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E07FE">
      <w:pPr>
        <w:spacing w:line="360" w:lineRule="auto"/>
        <w:jc w:val="center"/>
        <w:rPr>
          <w:b/>
          <w:sz w:val="36"/>
          <w:szCs w:val="36"/>
        </w:rPr>
      </w:pPr>
      <w:bookmarkStart w:id="0" w:name="_Toc247255858"/>
      <w:bookmarkStart w:id="1" w:name="_Toc272251366"/>
      <w:bookmarkStart w:id="2" w:name="_Toc233096668"/>
      <w:bookmarkStart w:id="3" w:name="_Toc272251073"/>
      <w:bookmarkStart w:id="4" w:name="_Toc271114216"/>
      <w:bookmarkStart w:id="5" w:name="_Toc271112537"/>
      <w:bookmarkStart w:id="6" w:name="_Toc48032536"/>
    </w:p>
    <w:p w14:paraId="65BAA71D">
      <w:pPr>
        <w:spacing w:line="360" w:lineRule="auto"/>
        <w:jc w:val="center"/>
        <w:rPr>
          <w:b/>
          <w:sz w:val="36"/>
          <w:szCs w:val="36"/>
        </w:rPr>
      </w:pPr>
    </w:p>
    <w:p w14:paraId="65E082A3">
      <w:pPr>
        <w:spacing w:line="360" w:lineRule="auto"/>
        <w:jc w:val="center"/>
        <w:rPr>
          <w:b/>
          <w:sz w:val="36"/>
          <w:szCs w:val="36"/>
        </w:rPr>
      </w:pPr>
      <w:r>
        <w:rPr>
          <w:b/>
          <w:sz w:val="36"/>
          <w:szCs w:val="36"/>
        </w:rPr>
        <w:t>石林源美养殖场项目</w:t>
      </w:r>
    </w:p>
    <w:p w14:paraId="460C8588">
      <w:pPr>
        <w:spacing w:line="360" w:lineRule="auto"/>
        <w:jc w:val="center"/>
        <w:rPr>
          <w:b/>
          <w:sz w:val="36"/>
          <w:szCs w:val="36"/>
        </w:rPr>
      </w:pPr>
      <w:r>
        <w:rPr>
          <w:b/>
          <w:sz w:val="36"/>
          <w:szCs w:val="36"/>
        </w:rPr>
        <w:t>环境影响报告书</w:t>
      </w:r>
    </w:p>
    <w:p w14:paraId="0E3F86B5">
      <w:pPr>
        <w:spacing w:line="360" w:lineRule="auto"/>
        <w:jc w:val="center"/>
        <w:rPr>
          <w:b/>
          <w:sz w:val="36"/>
          <w:szCs w:val="36"/>
        </w:rPr>
      </w:pPr>
    </w:p>
    <w:p w14:paraId="59D7E6D0">
      <w:pPr>
        <w:spacing w:line="360" w:lineRule="auto"/>
        <w:jc w:val="center"/>
        <w:rPr>
          <w:b/>
          <w:sz w:val="36"/>
          <w:szCs w:val="36"/>
        </w:rPr>
      </w:pPr>
    </w:p>
    <w:p w14:paraId="768B2660">
      <w:pPr>
        <w:spacing w:line="360" w:lineRule="auto"/>
        <w:jc w:val="center"/>
        <w:rPr>
          <w:b/>
          <w:sz w:val="36"/>
          <w:szCs w:val="36"/>
        </w:rPr>
      </w:pPr>
    </w:p>
    <w:p w14:paraId="0BED49CE">
      <w:pPr>
        <w:spacing w:line="360" w:lineRule="auto"/>
        <w:jc w:val="center"/>
        <w:rPr>
          <w:b/>
          <w:sz w:val="36"/>
          <w:szCs w:val="36"/>
        </w:rPr>
      </w:pPr>
    </w:p>
    <w:p w14:paraId="6BE46D57">
      <w:pPr>
        <w:spacing w:line="360" w:lineRule="auto"/>
        <w:jc w:val="center"/>
        <w:rPr>
          <w:b/>
          <w:sz w:val="36"/>
          <w:szCs w:val="36"/>
        </w:rPr>
      </w:pPr>
    </w:p>
    <w:p w14:paraId="3458D41D">
      <w:pPr>
        <w:spacing w:line="360" w:lineRule="auto"/>
        <w:jc w:val="center"/>
        <w:rPr>
          <w:b/>
          <w:sz w:val="36"/>
          <w:szCs w:val="36"/>
        </w:rPr>
      </w:pPr>
    </w:p>
    <w:p w14:paraId="74EDA222">
      <w:pPr>
        <w:spacing w:line="360" w:lineRule="auto"/>
        <w:jc w:val="center"/>
        <w:rPr>
          <w:b/>
          <w:sz w:val="36"/>
          <w:szCs w:val="36"/>
        </w:rPr>
      </w:pPr>
    </w:p>
    <w:p w14:paraId="1568023D">
      <w:pPr>
        <w:spacing w:line="360" w:lineRule="auto"/>
        <w:jc w:val="center"/>
        <w:rPr>
          <w:b/>
          <w:sz w:val="36"/>
          <w:szCs w:val="36"/>
        </w:rPr>
      </w:pPr>
    </w:p>
    <w:p w14:paraId="27FC9E72">
      <w:pPr>
        <w:spacing w:line="360" w:lineRule="auto"/>
        <w:jc w:val="center"/>
        <w:rPr>
          <w:b/>
          <w:sz w:val="36"/>
          <w:szCs w:val="36"/>
        </w:rPr>
      </w:pPr>
    </w:p>
    <w:p w14:paraId="3DCC5D40">
      <w:pPr>
        <w:spacing w:line="360" w:lineRule="auto"/>
        <w:jc w:val="center"/>
        <w:rPr>
          <w:b/>
          <w:sz w:val="36"/>
          <w:szCs w:val="36"/>
        </w:rPr>
      </w:pPr>
    </w:p>
    <w:p w14:paraId="25BD1C2A">
      <w:pPr>
        <w:spacing w:line="360" w:lineRule="auto"/>
        <w:jc w:val="center"/>
        <w:rPr>
          <w:b/>
          <w:sz w:val="36"/>
          <w:szCs w:val="36"/>
        </w:rPr>
      </w:pPr>
    </w:p>
    <w:p w14:paraId="7613925F">
      <w:pPr>
        <w:spacing w:line="360" w:lineRule="auto"/>
        <w:jc w:val="center"/>
        <w:rPr>
          <w:b/>
          <w:sz w:val="36"/>
          <w:szCs w:val="36"/>
        </w:rPr>
      </w:pPr>
    </w:p>
    <w:p w14:paraId="5859DCC0">
      <w:pPr>
        <w:spacing w:line="360" w:lineRule="auto"/>
        <w:jc w:val="center"/>
        <w:rPr>
          <w:b/>
          <w:sz w:val="28"/>
          <w:szCs w:val="28"/>
        </w:rPr>
      </w:pPr>
      <w:r>
        <w:rPr>
          <w:b/>
          <w:sz w:val="28"/>
          <w:szCs w:val="28"/>
        </w:rPr>
        <w:t xml:space="preserve">建设单位：石林源美农业发展有限公司 </w:t>
      </w:r>
    </w:p>
    <w:p w14:paraId="394CAD17">
      <w:pPr>
        <w:spacing w:line="360" w:lineRule="auto"/>
        <w:jc w:val="center"/>
        <w:rPr>
          <w:b/>
          <w:sz w:val="28"/>
          <w:szCs w:val="28"/>
        </w:rPr>
      </w:pPr>
    </w:p>
    <w:p w14:paraId="50DD8C4E">
      <w:pPr>
        <w:spacing w:line="360" w:lineRule="auto"/>
        <w:jc w:val="center"/>
        <w:rPr>
          <w:b/>
          <w:sz w:val="28"/>
          <w:szCs w:val="28"/>
        </w:rPr>
      </w:pPr>
      <w:r>
        <w:rPr>
          <w:b/>
          <w:sz w:val="28"/>
          <w:szCs w:val="28"/>
        </w:rPr>
        <w:t>评价单位：长沙澄宇环保技术有限公司</w:t>
      </w:r>
    </w:p>
    <w:p w14:paraId="6A5BC32C">
      <w:pPr>
        <w:spacing w:line="360" w:lineRule="auto"/>
        <w:jc w:val="center"/>
        <w:rPr>
          <w:b/>
          <w:sz w:val="28"/>
          <w:szCs w:val="28"/>
        </w:rPr>
      </w:pPr>
      <w:r>
        <w:rPr>
          <w:b/>
          <w:sz w:val="28"/>
          <w:szCs w:val="28"/>
        </w:rPr>
        <w:t>二零二一年</w:t>
      </w:r>
      <w:r>
        <w:rPr>
          <w:rFonts w:hint="eastAsia"/>
          <w:b/>
          <w:sz w:val="28"/>
          <w:szCs w:val="28"/>
        </w:rPr>
        <w:t>十二</w:t>
      </w:r>
      <w:r>
        <w:rPr>
          <w:b/>
          <w:sz w:val="28"/>
          <w:szCs w:val="28"/>
        </w:rPr>
        <w:t>月</w:t>
      </w:r>
    </w:p>
    <w:p w14:paraId="29A50D4A">
      <w:pPr>
        <w:spacing w:line="360" w:lineRule="auto"/>
        <w:jc w:val="center"/>
        <w:rPr>
          <w:b/>
          <w:sz w:val="28"/>
          <w:szCs w:val="28"/>
        </w:rPr>
      </w:pPr>
    </w:p>
    <w:p w14:paraId="4B223E88">
      <w:pPr>
        <w:spacing w:line="360" w:lineRule="auto"/>
        <w:rPr>
          <w:b/>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upperRoman" w:start="1"/>
          <w:cols w:space="720" w:num="1"/>
          <w:titlePg/>
          <w:docGrid w:linePitch="312" w:charSpace="0"/>
        </w:sectPr>
      </w:pPr>
    </w:p>
    <w:p w14:paraId="04A9D911">
      <w:pPr>
        <w:spacing w:line="360" w:lineRule="auto"/>
        <w:jc w:val="center"/>
        <w:rPr>
          <w:b/>
          <w:sz w:val="30"/>
          <w:szCs w:val="30"/>
        </w:rPr>
      </w:pPr>
      <w:r>
        <w:rPr>
          <w:b/>
          <w:sz w:val="30"/>
          <w:szCs w:val="30"/>
        </w:rPr>
        <w:t>目录</w:t>
      </w:r>
    </w:p>
    <w:p w14:paraId="5E64D5E6">
      <w:pPr>
        <w:pStyle w:val="60"/>
        <w:tabs>
          <w:tab w:val="right" w:leader="dot" w:pos="8312"/>
          <w:tab w:val="clear" w:pos="8302"/>
        </w:tabs>
      </w:pPr>
      <w:r>
        <w:fldChar w:fldCharType="begin"/>
      </w:r>
      <w:r>
        <w:instrText xml:space="preserve"> TOC \o "1-2" \h \z \u </w:instrText>
      </w:r>
      <w:r>
        <w:fldChar w:fldCharType="separate"/>
      </w:r>
      <w:r>
        <w:fldChar w:fldCharType="begin"/>
      </w:r>
      <w:r>
        <w:instrText xml:space="preserve"> HYPERLINK \l _Toc27631 </w:instrText>
      </w:r>
      <w:r>
        <w:fldChar w:fldCharType="separate"/>
      </w:r>
      <w:r>
        <w:rPr>
          <w:szCs w:val="32"/>
        </w:rPr>
        <w:t>1概述</w:t>
      </w:r>
      <w:r>
        <w:tab/>
      </w:r>
      <w:r>
        <w:fldChar w:fldCharType="begin"/>
      </w:r>
      <w:r>
        <w:instrText xml:space="preserve"> PAGEREF _Toc27631 \h </w:instrText>
      </w:r>
      <w:r>
        <w:fldChar w:fldCharType="separate"/>
      </w:r>
      <w:r>
        <w:t>1</w:t>
      </w:r>
      <w:r>
        <w:fldChar w:fldCharType="end"/>
      </w:r>
      <w:r>
        <w:fldChar w:fldCharType="end"/>
      </w:r>
    </w:p>
    <w:p w14:paraId="72D27F05">
      <w:pPr>
        <w:pStyle w:val="74"/>
        <w:tabs>
          <w:tab w:val="right" w:leader="dot" w:pos="8312"/>
          <w:tab w:val="clear" w:pos="8302"/>
        </w:tabs>
      </w:pPr>
      <w:r>
        <w:fldChar w:fldCharType="begin"/>
      </w:r>
      <w:r>
        <w:instrText xml:space="preserve"> HYPERLINK \l _Toc8712 </w:instrText>
      </w:r>
      <w:r>
        <w:fldChar w:fldCharType="separate"/>
      </w:r>
      <w:r>
        <w:rPr>
          <w:szCs w:val="30"/>
        </w:rPr>
        <w:t>1.1任务由来</w:t>
      </w:r>
      <w:r>
        <w:tab/>
      </w:r>
      <w:r>
        <w:fldChar w:fldCharType="begin"/>
      </w:r>
      <w:r>
        <w:instrText xml:space="preserve"> PAGEREF _Toc8712 \h </w:instrText>
      </w:r>
      <w:r>
        <w:fldChar w:fldCharType="separate"/>
      </w:r>
      <w:r>
        <w:t>1</w:t>
      </w:r>
      <w:r>
        <w:fldChar w:fldCharType="end"/>
      </w:r>
      <w:r>
        <w:fldChar w:fldCharType="end"/>
      </w:r>
    </w:p>
    <w:p w14:paraId="5D507231">
      <w:pPr>
        <w:pStyle w:val="74"/>
        <w:tabs>
          <w:tab w:val="right" w:leader="dot" w:pos="8312"/>
          <w:tab w:val="clear" w:pos="8302"/>
        </w:tabs>
      </w:pPr>
      <w:r>
        <w:fldChar w:fldCharType="begin"/>
      </w:r>
      <w:r>
        <w:instrText xml:space="preserve"> HYPERLINK \l _Toc20289 </w:instrText>
      </w:r>
      <w:r>
        <w:fldChar w:fldCharType="separate"/>
      </w:r>
      <w:r>
        <w:rPr>
          <w:szCs w:val="30"/>
        </w:rPr>
        <w:t>1.2环境影响评价的工作过程</w:t>
      </w:r>
      <w:r>
        <w:tab/>
      </w:r>
      <w:r>
        <w:fldChar w:fldCharType="begin"/>
      </w:r>
      <w:r>
        <w:instrText xml:space="preserve"> PAGEREF _Toc20289 \h </w:instrText>
      </w:r>
      <w:r>
        <w:fldChar w:fldCharType="separate"/>
      </w:r>
      <w:r>
        <w:t>2</w:t>
      </w:r>
      <w:r>
        <w:fldChar w:fldCharType="end"/>
      </w:r>
      <w:r>
        <w:fldChar w:fldCharType="end"/>
      </w:r>
    </w:p>
    <w:p w14:paraId="6698D8BD">
      <w:pPr>
        <w:pStyle w:val="74"/>
        <w:tabs>
          <w:tab w:val="right" w:leader="dot" w:pos="8312"/>
          <w:tab w:val="clear" w:pos="8302"/>
        </w:tabs>
      </w:pPr>
      <w:r>
        <w:fldChar w:fldCharType="begin"/>
      </w:r>
      <w:r>
        <w:instrText xml:space="preserve"> HYPERLINK \l _Toc25589 </w:instrText>
      </w:r>
      <w:r>
        <w:fldChar w:fldCharType="separate"/>
      </w:r>
      <w:r>
        <w:rPr>
          <w:szCs w:val="30"/>
        </w:rPr>
        <w:t>1.3分析判定相关情况</w:t>
      </w:r>
      <w:r>
        <w:tab/>
      </w:r>
      <w:r>
        <w:fldChar w:fldCharType="begin"/>
      </w:r>
      <w:r>
        <w:instrText xml:space="preserve"> PAGEREF _Toc25589 \h </w:instrText>
      </w:r>
      <w:r>
        <w:fldChar w:fldCharType="separate"/>
      </w:r>
      <w:r>
        <w:t>3</w:t>
      </w:r>
      <w:r>
        <w:fldChar w:fldCharType="end"/>
      </w:r>
      <w:r>
        <w:fldChar w:fldCharType="end"/>
      </w:r>
    </w:p>
    <w:p w14:paraId="399E32A1">
      <w:pPr>
        <w:pStyle w:val="74"/>
        <w:tabs>
          <w:tab w:val="right" w:leader="dot" w:pos="8312"/>
          <w:tab w:val="clear" w:pos="8302"/>
        </w:tabs>
      </w:pPr>
      <w:r>
        <w:fldChar w:fldCharType="begin"/>
      </w:r>
      <w:r>
        <w:instrText xml:space="preserve"> HYPERLINK \l _Toc28654 </w:instrText>
      </w:r>
      <w:r>
        <w:fldChar w:fldCharType="separate"/>
      </w:r>
      <w:r>
        <w:rPr>
          <w:szCs w:val="30"/>
        </w:rPr>
        <w:t>1.4关注的主要环境问题及环境影响</w:t>
      </w:r>
      <w:r>
        <w:tab/>
      </w:r>
      <w:r>
        <w:fldChar w:fldCharType="begin"/>
      </w:r>
      <w:r>
        <w:instrText xml:space="preserve"> PAGEREF _Toc28654 \h </w:instrText>
      </w:r>
      <w:r>
        <w:fldChar w:fldCharType="separate"/>
      </w:r>
      <w:r>
        <w:t>9</w:t>
      </w:r>
      <w:r>
        <w:fldChar w:fldCharType="end"/>
      </w:r>
      <w:r>
        <w:fldChar w:fldCharType="end"/>
      </w:r>
    </w:p>
    <w:p w14:paraId="62285209">
      <w:pPr>
        <w:pStyle w:val="74"/>
        <w:tabs>
          <w:tab w:val="right" w:leader="dot" w:pos="8312"/>
          <w:tab w:val="clear" w:pos="8302"/>
        </w:tabs>
      </w:pPr>
      <w:r>
        <w:fldChar w:fldCharType="begin"/>
      </w:r>
      <w:r>
        <w:instrText xml:space="preserve"> HYPERLINK \l _Toc20531 </w:instrText>
      </w:r>
      <w:r>
        <w:fldChar w:fldCharType="separate"/>
      </w:r>
      <w:r>
        <w:rPr>
          <w:szCs w:val="30"/>
        </w:rPr>
        <w:t>1.5环境影响评价的主要结论</w:t>
      </w:r>
      <w:r>
        <w:tab/>
      </w:r>
      <w:r>
        <w:fldChar w:fldCharType="begin"/>
      </w:r>
      <w:r>
        <w:instrText xml:space="preserve"> PAGEREF _Toc20531 \h </w:instrText>
      </w:r>
      <w:r>
        <w:fldChar w:fldCharType="separate"/>
      </w:r>
      <w:r>
        <w:t>10</w:t>
      </w:r>
      <w:r>
        <w:fldChar w:fldCharType="end"/>
      </w:r>
      <w:r>
        <w:fldChar w:fldCharType="end"/>
      </w:r>
    </w:p>
    <w:p w14:paraId="180DF461">
      <w:pPr>
        <w:pStyle w:val="60"/>
        <w:tabs>
          <w:tab w:val="right" w:leader="dot" w:pos="8312"/>
          <w:tab w:val="clear" w:pos="8302"/>
        </w:tabs>
      </w:pPr>
      <w:r>
        <w:fldChar w:fldCharType="begin"/>
      </w:r>
      <w:r>
        <w:instrText xml:space="preserve"> HYPERLINK \l _Toc15241 </w:instrText>
      </w:r>
      <w:r>
        <w:fldChar w:fldCharType="separate"/>
      </w:r>
      <w:r>
        <w:rPr>
          <w:szCs w:val="32"/>
        </w:rPr>
        <w:t>2总则</w:t>
      </w:r>
      <w:r>
        <w:tab/>
      </w:r>
      <w:r>
        <w:fldChar w:fldCharType="begin"/>
      </w:r>
      <w:r>
        <w:instrText xml:space="preserve"> PAGEREF _Toc15241 \h </w:instrText>
      </w:r>
      <w:r>
        <w:fldChar w:fldCharType="separate"/>
      </w:r>
      <w:r>
        <w:t>11</w:t>
      </w:r>
      <w:r>
        <w:fldChar w:fldCharType="end"/>
      </w:r>
      <w:r>
        <w:fldChar w:fldCharType="end"/>
      </w:r>
    </w:p>
    <w:p w14:paraId="4E4A14DD">
      <w:pPr>
        <w:pStyle w:val="74"/>
        <w:tabs>
          <w:tab w:val="right" w:leader="dot" w:pos="8312"/>
          <w:tab w:val="clear" w:pos="8302"/>
        </w:tabs>
      </w:pPr>
      <w:r>
        <w:fldChar w:fldCharType="begin"/>
      </w:r>
      <w:r>
        <w:instrText xml:space="preserve"> HYPERLINK \l _Toc19209 </w:instrText>
      </w:r>
      <w:r>
        <w:fldChar w:fldCharType="separate"/>
      </w:r>
      <w:r>
        <w:rPr>
          <w:szCs w:val="30"/>
        </w:rPr>
        <w:t>2.1编制依据</w:t>
      </w:r>
      <w:r>
        <w:tab/>
      </w:r>
      <w:r>
        <w:fldChar w:fldCharType="begin"/>
      </w:r>
      <w:r>
        <w:instrText xml:space="preserve"> PAGEREF _Toc19209 \h </w:instrText>
      </w:r>
      <w:r>
        <w:fldChar w:fldCharType="separate"/>
      </w:r>
      <w:r>
        <w:t>11</w:t>
      </w:r>
      <w:r>
        <w:fldChar w:fldCharType="end"/>
      </w:r>
      <w:r>
        <w:fldChar w:fldCharType="end"/>
      </w:r>
    </w:p>
    <w:p w14:paraId="0D65E7C8">
      <w:pPr>
        <w:pStyle w:val="74"/>
        <w:tabs>
          <w:tab w:val="right" w:leader="dot" w:pos="8312"/>
          <w:tab w:val="clear" w:pos="8302"/>
        </w:tabs>
      </w:pPr>
      <w:r>
        <w:fldChar w:fldCharType="begin"/>
      </w:r>
      <w:r>
        <w:instrText xml:space="preserve"> HYPERLINK \l _Toc1588 </w:instrText>
      </w:r>
      <w:r>
        <w:fldChar w:fldCharType="separate"/>
      </w:r>
      <w:r>
        <w:rPr>
          <w:szCs w:val="30"/>
        </w:rPr>
        <w:t>2.2评价目的及评价原则</w:t>
      </w:r>
      <w:r>
        <w:tab/>
      </w:r>
      <w:r>
        <w:fldChar w:fldCharType="begin"/>
      </w:r>
      <w:r>
        <w:instrText xml:space="preserve"> PAGEREF _Toc1588 \h </w:instrText>
      </w:r>
      <w:r>
        <w:fldChar w:fldCharType="separate"/>
      </w:r>
      <w:r>
        <w:t>15</w:t>
      </w:r>
      <w:r>
        <w:fldChar w:fldCharType="end"/>
      </w:r>
      <w:r>
        <w:fldChar w:fldCharType="end"/>
      </w:r>
    </w:p>
    <w:p w14:paraId="443BA2DC">
      <w:pPr>
        <w:pStyle w:val="74"/>
        <w:tabs>
          <w:tab w:val="right" w:leader="dot" w:pos="8312"/>
          <w:tab w:val="clear" w:pos="8302"/>
        </w:tabs>
      </w:pPr>
      <w:r>
        <w:fldChar w:fldCharType="begin"/>
      </w:r>
      <w:r>
        <w:instrText xml:space="preserve"> HYPERLINK \l _Toc15651 </w:instrText>
      </w:r>
      <w:r>
        <w:fldChar w:fldCharType="separate"/>
      </w:r>
      <w:r>
        <w:rPr>
          <w:szCs w:val="30"/>
        </w:rPr>
        <w:t>2.3评价因子与评价标准</w:t>
      </w:r>
      <w:r>
        <w:tab/>
      </w:r>
      <w:r>
        <w:fldChar w:fldCharType="begin"/>
      </w:r>
      <w:r>
        <w:instrText xml:space="preserve"> PAGEREF _Toc15651 \h </w:instrText>
      </w:r>
      <w:r>
        <w:fldChar w:fldCharType="separate"/>
      </w:r>
      <w:r>
        <w:t>16</w:t>
      </w:r>
      <w:r>
        <w:fldChar w:fldCharType="end"/>
      </w:r>
      <w:r>
        <w:fldChar w:fldCharType="end"/>
      </w:r>
    </w:p>
    <w:p w14:paraId="6C352A56">
      <w:pPr>
        <w:pStyle w:val="74"/>
        <w:tabs>
          <w:tab w:val="right" w:leader="dot" w:pos="8312"/>
          <w:tab w:val="clear" w:pos="8302"/>
        </w:tabs>
      </w:pPr>
      <w:r>
        <w:fldChar w:fldCharType="begin"/>
      </w:r>
      <w:r>
        <w:instrText xml:space="preserve"> HYPERLINK \l _Toc11958 </w:instrText>
      </w:r>
      <w:r>
        <w:fldChar w:fldCharType="separate"/>
      </w:r>
      <w:r>
        <w:rPr>
          <w:szCs w:val="30"/>
        </w:rPr>
        <w:t>2.4评价等级与评价范围</w:t>
      </w:r>
      <w:r>
        <w:tab/>
      </w:r>
      <w:r>
        <w:fldChar w:fldCharType="begin"/>
      </w:r>
      <w:r>
        <w:instrText xml:space="preserve"> PAGEREF _Toc11958 \h </w:instrText>
      </w:r>
      <w:r>
        <w:fldChar w:fldCharType="separate"/>
      </w:r>
      <w:r>
        <w:t>23</w:t>
      </w:r>
      <w:r>
        <w:fldChar w:fldCharType="end"/>
      </w:r>
      <w:r>
        <w:fldChar w:fldCharType="end"/>
      </w:r>
    </w:p>
    <w:p w14:paraId="7BC8BB33">
      <w:pPr>
        <w:pStyle w:val="74"/>
        <w:tabs>
          <w:tab w:val="right" w:leader="dot" w:pos="8312"/>
          <w:tab w:val="clear" w:pos="8302"/>
        </w:tabs>
      </w:pPr>
      <w:r>
        <w:fldChar w:fldCharType="begin"/>
      </w:r>
      <w:r>
        <w:instrText xml:space="preserve"> HYPERLINK \l _Toc26573 </w:instrText>
      </w:r>
      <w:r>
        <w:fldChar w:fldCharType="separate"/>
      </w:r>
      <w:r>
        <w:rPr>
          <w:szCs w:val="30"/>
        </w:rPr>
        <w:t>2.5区域环境功能区划</w:t>
      </w:r>
      <w:r>
        <w:tab/>
      </w:r>
      <w:r>
        <w:fldChar w:fldCharType="begin"/>
      </w:r>
      <w:r>
        <w:instrText xml:space="preserve"> PAGEREF _Toc26573 \h </w:instrText>
      </w:r>
      <w:r>
        <w:fldChar w:fldCharType="separate"/>
      </w:r>
      <w:r>
        <w:t>32</w:t>
      </w:r>
      <w:r>
        <w:fldChar w:fldCharType="end"/>
      </w:r>
      <w:r>
        <w:fldChar w:fldCharType="end"/>
      </w:r>
    </w:p>
    <w:p w14:paraId="27C7707C">
      <w:pPr>
        <w:pStyle w:val="74"/>
        <w:tabs>
          <w:tab w:val="right" w:leader="dot" w:pos="8312"/>
          <w:tab w:val="clear" w:pos="8302"/>
        </w:tabs>
      </w:pPr>
      <w:r>
        <w:fldChar w:fldCharType="begin"/>
      </w:r>
      <w:r>
        <w:instrText xml:space="preserve"> HYPERLINK \l _Toc24642 </w:instrText>
      </w:r>
      <w:r>
        <w:fldChar w:fldCharType="separate"/>
      </w:r>
      <w:r>
        <w:rPr>
          <w:szCs w:val="30"/>
        </w:rPr>
        <w:t>2.6主要环境保护目标</w:t>
      </w:r>
      <w:r>
        <w:tab/>
      </w:r>
      <w:r>
        <w:fldChar w:fldCharType="begin"/>
      </w:r>
      <w:r>
        <w:instrText xml:space="preserve"> PAGEREF _Toc24642 \h </w:instrText>
      </w:r>
      <w:r>
        <w:fldChar w:fldCharType="separate"/>
      </w:r>
      <w:r>
        <w:t>32</w:t>
      </w:r>
      <w:r>
        <w:fldChar w:fldCharType="end"/>
      </w:r>
      <w:r>
        <w:fldChar w:fldCharType="end"/>
      </w:r>
    </w:p>
    <w:p w14:paraId="66018EB2">
      <w:pPr>
        <w:pStyle w:val="60"/>
        <w:tabs>
          <w:tab w:val="right" w:leader="dot" w:pos="8312"/>
          <w:tab w:val="clear" w:pos="8302"/>
        </w:tabs>
      </w:pPr>
      <w:r>
        <w:fldChar w:fldCharType="begin"/>
      </w:r>
      <w:r>
        <w:instrText xml:space="preserve"> HYPERLINK \l _Toc25634 </w:instrText>
      </w:r>
      <w:r>
        <w:fldChar w:fldCharType="separate"/>
      </w:r>
      <w:r>
        <w:rPr>
          <w:szCs w:val="32"/>
        </w:rPr>
        <w:t>3建设项目工程分析</w:t>
      </w:r>
      <w:r>
        <w:tab/>
      </w:r>
      <w:r>
        <w:fldChar w:fldCharType="begin"/>
      </w:r>
      <w:r>
        <w:instrText xml:space="preserve"> PAGEREF _Toc25634 \h </w:instrText>
      </w:r>
      <w:r>
        <w:fldChar w:fldCharType="separate"/>
      </w:r>
      <w:r>
        <w:t>36</w:t>
      </w:r>
      <w:r>
        <w:fldChar w:fldCharType="end"/>
      </w:r>
      <w:r>
        <w:fldChar w:fldCharType="end"/>
      </w:r>
    </w:p>
    <w:p w14:paraId="5A873CA2">
      <w:pPr>
        <w:pStyle w:val="74"/>
        <w:tabs>
          <w:tab w:val="right" w:leader="dot" w:pos="8312"/>
          <w:tab w:val="clear" w:pos="8302"/>
        </w:tabs>
      </w:pPr>
      <w:r>
        <w:fldChar w:fldCharType="begin"/>
      </w:r>
      <w:r>
        <w:instrText xml:space="preserve"> HYPERLINK \l _Toc18295 </w:instrText>
      </w:r>
      <w:r>
        <w:fldChar w:fldCharType="separate"/>
      </w:r>
      <w:r>
        <w:rPr>
          <w:szCs w:val="30"/>
        </w:rPr>
        <w:t>3.1建设项目概况</w:t>
      </w:r>
      <w:r>
        <w:tab/>
      </w:r>
      <w:r>
        <w:fldChar w:fldCharType="begin"/>
      </w:r>
      <w:r>
        <w:instrText xml:space="preserve"> PAGEREF _Toc18295 \h </w:instrText>
      </w:r>
      <w:r>
        <w:fldChar w:fldCharType="separate"/>
      </w:r>
      <w:r>
        <w:t>36</w:t>
      </w:r>
      <w:r>
        <w:fldChar w:fldCharType="end"/>
      </w:r>
      <w:r>
        <w:fldChar w:fldCharType="end"/>
      </w:r>
    </w:p>
    <w:p w14:paraId="28A4A250">
      <w:pPr>
        <w:pStyle w:val="74"/>
        <w:tabs>
          <w:tab w:val="right" w:leader="dot" w:pos="8312"/>
          <w:tab w:val="clear" w:pos="8302"/>
        </w:tabs>
      </w:pPr>
      <w:r>
        <w:fldChar w:fldCharType="begin"/>
      </w:r>
      <w:r>
        <w:instrText xml:space="preserve"> HYPERLINK \l _Toc27782 </w:instrText>
      </w:r>
      <w:r>
        <w:fldChar w:fldCharType="separate"/>
      </w:r>
      <w:r>
        <w:rPr>
          <w:szCs w:val="30"/>
        </w:rPr>
        <w:t>3.2施工期生产工艺及产污环节分析</w:t>
      </w:r>
      <w:r>
        <w:tab/>
      </w:r>
      <w:r>
        <w:fldChar w:fldCharType="begin"/>
      </w:r>
      <w:r>
        <w:instrText xml:space="preserve"> PAGEREF _Toc27782 \h </w:instrText>
      </w:r>
      <w:r>
        <w:fldChar w:fldCharType="separate"/>
      </w:r>
      <w:r>
        <w:t>54</w:t>
      </w:r>
      <w:r>
        <w:fldChar w:fldCharType="end"/>
      </w:r>
      <w:r>
        <w:fldChar w:fldCharType="end"/>
      </w:r>
    </w:p>
    <w:p w14:paraId="7C139DDF">
      <w:pPr>
        <w:pStyle w:val="74"/>
        <w:tabs>
          <w:tab w:val="right" w:leader="dot" w:pos="8312"/>
          <w:tab w:val="clear" w:pos="8302"/>
        </w:tabs>
      </w:pPr>
      <w:r>
        <w:fldChar w:fldCharType="begin"/>
      </w:r>
      <w:r>
        <w:instrText xml:space="preserve"> HYPERLINK \l _Toc31842 </w:instrText>
      </w:r>
      <w:r>
        <w:fldChar w:fldCharType="separate"/>
      </w:r>
      <w:r>
        <w:rPr>
          <w:szCs w:val="30"/>
        </w:rPr>
        <w:t>3.3水平衡分析</w:t>
      </w:r>
      <w:r>
        <w:tab/>
      </w:r>
      <w:r>
        <w:fldChar w:fldCharType="begin"/>
      </w:r>
      <w:r>
        <w:instrText xml:space="preserve"> PAGEREF _Toc31842 \h </w:instrText>
      </w:r>
      <w:r>
        <w:fldChar w:fldCharType="separate"/>
      </w:r>
      <w:r>
        <w:t>58</w:t>
      </w:r>
      <w:r>
        <w:fldChar w:fldCharType="end"/>
      </w:r>
      <w:r>
        <w:fldChar w:fldCharType="end"/>
      </w:r>
    </w:p>
    <w:p w14:paraId="55C1D57E">
      <w:pPr>
        <w:pStyle w:val="74"/>
        <w:tabs>
          <w:tab w:val="right" w:leader="dot" w:pos="8312"/>
          <w:tab w:val="clear" w:pos="8302"/>
        </w:tabs>
      </w:pPr>
      <w:r>
        <w:fldChar w:fldCharType="begin"/>
      </w:r>
      <w:r>
        <w:instrText xml:space="preserve"> HYPERLINK \l _Toc19237 </w:instrText>
      </w:r>
      <w:r>
        <w:fldChar w:fldCharType="separate"/>
      </w:r>
      <w:r>
        <w:rPr>
          <w:szCs w:val="30"/>
        </w:rPr>
        <w:t>3.4运营期污染源源强核算</w:t>
      </w:r>
      <w:r>
        <w:tab/>
      </w:r>
      <w:r>
        <w:fldChar w:fldCharType="begin"/>
      </w:r>
      <w:r>
        <w:instrText xml:space="preserve"> PAGEREF _Toc19237 \h </w:instrText>
      </w:r>
      <w:r>
        <w:fldChar w:fldCharType="separate"/>
      </w:r>
      <w:r>
        <w:t>65</w:t>
      </w:r>
      <w:r>
        <w:fldChar w:fldCharType="end"/>
      </w:r>
      <w:r>
        <w:fldChar w:fldCharType="end"/>
      </w:r>
    </w:p>
    <w:p w14:paraId="23E7B2FD">
      <w:pPr>
        <w:pStyle w:val="74"/>
        <w:tabs>
          <w:tab w:val="right" w:leader="dot" w:pos="8312"/>
          <w:tab w:val="clear" w:pos="8302"/>
        </w:tabs>
      </w:pPr>
      <w:r>
        <w:fldChar w:fldCharType="begin"/>
      </w:r>
      <w:r>
        <w:instrText xml:space="preserve"> HYPERLINK \l _Toc12679 </w:instrText>
      </w:r>
      <w:r>
        <w:fldChar w:fldCharType="separate"/>
      </w:r>
      <w:r>
        <w:rPr>
          <w:szCs w:val="30"/>
        </w:rPr>
        <w:t>3.5非正常情况分析</w:t>
      </w:r>
      <w:r>
        <w:tab/>
      </w:r>
      <w:r>
        <w:fldChar w:fldCharType="begin"/>
      </w:r>
      <w:r>
        <w:instrText xml:space="preserve"> PAGEREF _Toc12679 \h </w:instrText>
      </w:r>
      <w:r>
        <w:fldChar w:fldCharType="separate"/>
      </w:r>
      <w:r>
        <w:t>86</w:t>
      </w:r>
      <w:r>
        <w:fldChar w:fldCharType="end"/>
      </w:r>
      <w:r>
        <w:fldChar w:fldCharType="end"/>
      </w:r>
    </w:p>
    <w:p w14:paraId="1C959CD6">
      <w:pPr>
        <w:pStyle w:val="60"/>
        <w:tabs>
          <w:tab w:val="right" w:leader="dot" w:pos="8312"/>
          <w:tab w:val="clear" w:pos="8302"/>
        </w:tabs>
      </w:pPr>
      <w:r>
        <w:fldChar w:fldCharType="begin"/>
      </w:r>
      <w:r>
        <w:instrText xml:space="preserve"> HYPERLINK \l _Toc23893 </w:instrText>
      </w:r>
      <w:r>
        <w:fldChar w:fldCharType="separate"/>
      </w:r>
      <w:r>
        <w:rPr>
          <w:szCs w:val="32"/>
        </w:rPr>
        <w:t>4环境现状调查与评价</w:t>
      </w:r>
      <w:r>
        <w:tab/>
      </w:r>
      <w:r>
        <w:fldChar w:fldCharType="begin"/>
      </w:r>
      <w:r>
        <w:instrText xml:space="preserve"> PAGEREF _Toc23893 \h </w:instrText>
      </w:r>
      <w:r>
        <w:fldChar w:fldCharType="separate"/>
      </w:r>
      <w:r>
        <w:t>87</w:t>
      </w:r>
      <w:r>
        <w:fldChar w:fldCharType="end"/>
      </w:r>
      <w:r>
        <w:fldChar w:fldCharType="end"/>
      </w:r>
    </w:p>
    <w:p w14:paraId="2C603F74">
      <w:pPr>
        <w:pStyle w:val="74"/>
        <w:tabs>
          <w:tab w:val="right" w:leader="dot" w:pos="8312"/>
          <w:tab w:val="clear" w:pos="8302"/>
        </w:tabs>
      </w:pPr>
      <w:r>
        <w:fldChar w:fldCharType="begin"/>
      </w:r>
      <w:r>
        <w:instrText xml:space="preserve"> HYPERLINK \l _Toc30779 </w:instrText>
      </w:r>
      <w:r>
        <w:fldChar w:fldCharType="separate"/>
      </w:r>
      <w:r>
        <w:rPr>
          <w:szCs w:val="30"/>
        </w:rPr>
        <w:t>4.1自然环境概况</w:t>
      </w:r>
      <w:r>
        <w:tab/>
      </w:r>
      <w:r>
        <w:fldChar w:fldCharType="begin"/>
      </w:r>
      <w:r>
        <w:instrText xml:space="preserve"> PAGEREF _Toc30779 \h </w:instrText>
      </w:r>
      <w:r>
        <w:fldChar w:fldCharType="separate"/>
      </w:r>
      <w:r>
        <w:t>87</w:t>
      </w:r>
      <w:r>
        <w:fldChar w:fldCharType="end"/>
      </w:r>
      <w:r>
        <w:fldChar w:fldCharType="end"/>
      </w:r>
    </w:p>
    <w:p w14:paraId="0A0D3A7A">
      <w:pPr>
        <w:pStyle w:val="74"/>
        <w:tabs>
          <w:tab w:val="right" w:leader="dot" w:pos="8312"/>
          <w:tab w:val="clear" w:pos="8302"/>
        </w:tabs>
      </w:pPr>
      <w:r>
        <w:fldChar w:fldCharType="begin"/>
      </w:r>
      <w:r>
        <w:instrText xml:space="preserve"> HYPERLINK \l _Toc23302 </w:instrText>
      </w:r>
      <w:r>
        <w:fldChar w:fldCharType="separate"/>
      </w:r>
      <w:r>
        <w:rPr>
          <w:szCs w:val="30"/>
        </w:rPr>
        <w:t>4.2环境质量现状监测与评价</w:t>
      </w:r>
      <w:r>
        <w:tab/>
      </w:r>
      <w:r>
        <w:fldChar w:fldCharType="begin"/>
      </w:r>
      <w:r>
        <w:instrText xml:space="preserve"> PAGEREF _Toc23302 \h </w:instrText>
      </w:r>
      <w:r>
        <w:fldChar w:fldCharType="separate"/>
      </w:r>
      <w:r>
        <w:t>93</w:t>
      </w:r>
      <w:r>
        <w:fldChar w:fldCharType="end"/>
      </w:r>
      <w:r>
        <w:fldChar w:fldCharType="end"/>
      </w:r>
    </w:p>
    <w:p w14:paraId="6B2BB6AE">
      <w:pPr>
        <w:pStyle w:val="74"/>
        <w:tabs>
          <w:tab w:val="right" w:leader="dot" w:pos="8312"/>
          <w:tab w:val="clear" w:pos="8302"/>
        </w:tabs>
      </w:pPr>
      <w:r>
        <w:fldChar w:fldCharType="begin"/>
      </w:r>
      <w:r>
        <w:instrText xml:space="preserve"> HYPERLINK \l _Toc11484 </w:instrText>
      </w:r>
      <w:r>
        <w:fldChar w:fldCharType="separate"/>
      </w:r>
      <w:r>
        <w:rPr>
          <w:szCs w:val="30"/>
        </w:rPr>
        <w:t>4.3 周边污染源分析</w:t>
      </w:r>
      <w:r>
        <w:tab/>
      </w:r>
      <w:r>
        <w:fldChar w:fldCharType="begin"/>
      </w:r>
      <w:r>
        <w:instrText xml:space="preserve"> PAGEREF _Toc11484 \h </w:instrText>
      </w:r>
      <w:r>
        <w:fldChar w:fldCharType="separate"/>
      </w:r>
      <w:r>
        <w:t>119</w:t>
      </w:r>
      <w:r>
        <w:fldChar w:fldCharType="end"/>
      </w:r>
      <w:r>
        <w:fldChar w:fldCharType="end"/>
      </w:r>
    </w:p>
    <w:p w14:paraId="6EA92292">
      <w:pPr>
        <w:pStyle w:val="60"/>
        <w:tabs>
          <w:tab w:val="right" w:leader="dot" w:pos="8312"/>
          <w:tab w:val="clear" w:pos="8302"/>
        </w:tabs>
      </w:pPr>
      <w:r>
        <w:fldChar w:fldCharType="begin"/>
      </w:r>
      <w:r>
        <w:instrText xml:space="preserve"> HYPERLINK \l _Toc19108 </w:instrText>
      </w:r>
      <w:r>
        <w:fldChar w:fldCharType="separate"/>
      </w:r>
      <w:r>
        <w:rPr>
          <w:szCs w:val="32"/>
        </w:rPr>
        <w:t>5环境影响预测与评价</w:t>
      </w:r>
      <w:r>
        <w:tab/>
      </w:r>
      <w:r>
        <w:fldChar w:fldCharType="begin"/>
      </w:r>
      <w:r>
        <w:instrText xml:space="preserve"> PAGEREF _Toc19108 \h </w:instrText>
      </w:r>
      <w:r>
        <w:fldChar w:fldCharType="separate"/>
      </w:r>
      <w:r>
        <w:t>120</w:t>
      </w:r>
      <w:r>
        <w:fldChar w:fldCharType="end"/>
      </w:r>
      <w:r>
        <w:fldChar w:fldCharType="end"/>
      </w:r>
    </w:p>
    <w:p w14:paraId="6222D23F">
      <w:pPr>
        <w:pStyle w:val="74"/>
        <w:tabs>
          <w:tab w:val="right" w:leader="dot" w:pos="8312"/>
          <w:tab w:val="clear" w:pos="8302"/>
        </w:tabs>
      </w:pPr>
      <w:r>
        <w:fldChar w:fldCharType="begin"/>
      </w:r>
      <w:r>
        <w:instrText xml:space="preserve"> HYPERLINK \l _Toc29091 </w:instrText>
      </w:r>
      <w:r>
        <w:fldChar w:fldCharType="separate"/>
      </w:r>
      <w:r>
        <w:rPr>
          <w:szCs w:val="30"/>
        </w:rPr>
        <w:t>5.1施工期环境影响分析</w:t>
      </w:r>
      <w:r>
        <w:tab/>
      </w:r>
      <w:r>
        <w:fldChar w:fldCharType="begin"/>
      </w:r>
      <w:r>
        <w:instrText xml:space="preserve"> PAGEREF _Toc29091 \h </w:instrText>
      </w:r>
      <w:r>
        <w:fldChar w:fldCharType="separate"/>
      </w:r>
      <w:r>
        <w:t>120</w:t>
      </w:r>
      <w:r>
        <w:fldChar w:fldCharType="end"/>
      </w:r>
      <w:r>
        <w:fldChar w:fldCharType="end"/>
      </w:r>
    </w:p>
    <w:p w14:paraId="2936E7DC">
      <w:pPr>
        <w:pStyle w:val="74"/>
        <w:tabs>
          <w:tab w:val="right" w:leader="dot" w:pos="8312"/>
          <w:tab w:val="clear" w:pos="8302"/>
        </w:tabs>
      </w:pPr>
      <w:r>
        <w:fldChar w:fldCharType="begin"/>
      </w:r>
      <w:r>
        <w:instrText xml:space="preserve"> HYPERLINK \l _Toc3349 </w:instrText>
      </w:r>
      <w:r>
        <w:fldChar w:fldCharType="separate"/>
      </w:r>
      <w:r>
        <w:rPr>
          <w:szCs w:val="30"/>
        </w:rPr>
        <w:t>5.2运营期环境影响分析</w:t>
      </w:r>
      <w:r>
        <w:tab/>
      </w:r>
      <w:r>
        <w:fldChar w:fldCharType="begin"/>
      </w:r>
      <w:r>
        <w:instrText xml:space="preserve"> PAGEREF _Toc3349 \h </w:instrText>
      </w:r>
      <w:r>
        <w:fldChar w:fldCharType="separate"/>
      </w:r>
      <w:r>
        <w:t>126</w:t>
      </w:r>
      <w:r>
        <w:fldChar w:fldCharType="end"/>
      </w:r>
      <w:r>
        <w:fldChar w:fldCharType="end"/>
      </w:r>
    </w:p>
    <w:p w14:paraId="43AB6E76">
      <w:pPr>
        <w:pStyle w:val="60"/>
        <w:tabs>
          <w:tab w:val="right" w:leader="dot" w:pos="8312"/>
          <w:tab w:val="clear" w:pos="8302"/>
        </w:tabs>
      </w:pPr>
      <w:r>
        <w:fldChar w:fldCharType="begin"/>
      </w:r>
      <w:r>
        <w:instrText xml:space="preserve"> HYPERLINK \l _Toc5410 </w:instrText>
      </w:r>
      <w:r>
        <w:fldChar w:fldCharType="separate"/>
      </w:r>
      <w:r>
        <w:rPr>
          <w:bCs w:val="0"/>
          <w:szCs w:val="30"/>
        </w:rPr>
        <w:t>6 环境风险评价</w:t>
      </w:r>
      <w:r>
        <w:tab/>
      </w:r>
      <w:r>
        <w:fldChar w:fldCharType="begin"/>
      </w:r>
      <w:r>
        <w:instrText xml:space="preserve"> PAGEREF _Toc5410 \h </w:instrText>
      </w:r>
      <w:r>
        <w:fldChar w:fldCharType="separate"/>
      </w:r>
      <w:r>
        <w:t>172</w:t>
      </w:r>
      <w:r>
        <w:fldChar w:fldCharType="end"/>
      </w:r>
      <w:r>
        <w:fldChar w:fldCharType="end"/>
      </w:r>
    </w:p>
    <w:p w14:paraId="673F782B">
      <w:pPr>
        <w:pStyle w:val="74"/>
        <w:tabs>
          <w:tab w:val="right" w:leader="dot" w:pos="8312"/>
          <w:tab w:val="clear" w:pos="8302"/>
        </w:tabs>
      </w:pPr>
      <w:r>
        <w:fldChar w:fldCharType="begin"/>
      </w:r>
      <w:r>
        <w:instrText xml:space="preserve"> HYPERLINK \l _Toc2755 </w:instrText>
      </w:r>
      <w:r>
        <w:fldChar w:fldCharType="separate"/>
      </w:r>
      <w:r>
        <w:rPr>
          <w:szCs w:val="28"/>
        </w:rPr>
        <w:t>6.1 环境风险因素识别</w:t>
      </w:r>
      <w:r>
        <w:tab/>
      </w:r>
      <w:r>
        <w:fldChar w:fldCharType="begin"/>
      </w:r>
      <w:r>
        <w:instrText xml:space="preserve"> PAGEREF _Toc2755 \h </w:instrText>
      </w:r>
      <w:r>
        <w:fldChar w:fldCharType="separate"/>
      </w:r>
      <w:r>
        <w:t>172</w:t>
      </w:r>
      <w:r>
        <w:fldChar w:fldCharType="end"/>
      </w:r>
      <w:r>
        <w:fldChar w:fldCharType="end"/>
      </w:r>
    </w:p>
    <w:p w14:paraId="7C9E49D7">
      <w:pPr>
        <w:pStyle w:val="74"/>
        <w:tabs>
          <w:tab w:val="right" w:leader="dot" w:pos="8312"/>
          <w:tab w:val="clear" w:pos="8302"/>
        </w:tabs>
      </w:pPr>
      <w:r>
        <w:fldChar w:fldCharType="begin"/>
      </w:r>
      <w:r>
        <w:instrText xml:space="preserve"> HYPERLINK \l _Toc27060 </w:instrText>
      </w:r>
      <w:r>
        <w:fldChar w:fldCharType="separate"/>
      </w:r>
      <w:r>
        <w:rPr>
          <w:bCs/>
          <w:szCs w:val="30"/>
          <w:lang w:val="en-US" w:eastAsia="zh-CN"/>
        </w:rPr>
        <w:t>6.2</w:t>
      </w:r>
      <w:r>
        <w:rPr>
          <w:bCs/>
          <w:szCs w:val="30"/>
          <w:lang w:val="zh-TW" w:eastAsia="zh-CN"/>
        </w:rPr>
        <w:t>评价工作等级及范围</w:t>
      </w:r>
      <w:r>
        <w:tab/>
      </w:r>
      <w:r>
        <w:fldChar w:fldCharType="begin"/>
      </w:r>
      <w:r>
        <w:instrText xml:space="preserve"> PAGEREF _Toc27060 \h </w:instrText>
      </w:r>
      <w:r>
        <w:fldChar w:fldCharType="separate"/>
      </w:r>
      <w:r>
        <w:t>176</w:t>
      </w:r>
      <w:r>
        <w:fldChar w:fldCharType="end"/>
      </w:r>
      <w:r>
        <w:fldChar w:fldCharType="end"/>
      </w:r>
    </w:p>
    <w:p w14:paraId="3528175F">
      <w:pPr>
        <w:pStyle w:val="74"/>
        <w:tabs>
          <w:tab w:val="right" w:leader="dot" w:pos="8312"/>
          <w:tab w:val="clear" w:pos="8302"/>
        </w:tabs>
      </w:pPr>
      <w:r>
        <w:fldChar w:fldCharType="begin"/>
      </w:r>
      <w:r>
        <w:instrText xml:space="preserve"> HYPERLINK \l _Toc4559 </w:instrText>
      </w:r>
      <w:r>
        <w:fldChar w:fldCharType="separate"/>
      </w:r>
      <w:r>
        <w:rPr>
          <w:szCs w:val="24"/>
        </w:rPr>
        <w:t>6.</w:t>
      </w:r>
      <w:r>
        <w:rPr>
          <w:szCs w:val="24"/>
          <w:lang w:val="en-US" w:eastAsia="zh-CN"/>
        </w:rPr>
        <w:t>3</w:t>
      </w:r>
      <w:r>
        <w:rPr>
          <w:szCs w:val="24"/>
        </w:rPr>
        <w:t xml:space="preserve"> 环境风险分析</w:t>
      </w:r>
      <w:r>
        <w:tab/>
      </w:r>
      <w:r>
        <w:fldChar w:fldCharType="begin"/>
      </w:r>
      <w:r>
        <w:instrText xml:space="preserve"> PAGEREF _Toc4559 \h </w:instrText>
      </w:r>
      <w:r>
        <w:fldChar w:fldCharType="separate"/>
      </w:r>
      <w:r>
        <w:t>176</w:t>
      </w:r>
      <w:r>
        <w:fldChar w:fldCharType="end"/>
      </w:r>
      <w:r>
        <w:fldChar w:fldCharType="end"/>
      </w:r>
    </w:p>
    <w:p w14:paraId="25EB170F">
      <w:pPr>
        <w:pStyle w:val="74"/>
        <w:tabs>
          <w:tab w:val="right" w:leader="dot" w:pos="8312"/>
          <w:tab w:val="clear" w:pos="8302"/>
        </w:tabs>
      </w:pPr>
      <w:r>
        <w:fldChar w:fldCharType="begin"/>
      </w:r>
      <w:r>
        <w:instrText xml:space="preserve"> HYPERLINK \l _Toc32103 </w:instrText>
      </w:r>
      <w:r>
        <w:fldChar w:fldCharType="separate"/>
      </w:r>
      <w:r>
        <w:rPr>
          <w:lang w:val="en-US" w:eastAsia="zh-CN"/>
        </w:rPr>
        <w:t>6.4</w:t>
      </w:r>
      <w:r>
        <w:t>事故防范措施</w:t>
      </w:r>
      <w:r>
        <w:tab/>
      </w:r>
      <w:r>
        <w:fldChar w:fldCharType="begin"/>
      </w:r>
      <w:r>
        <w:instrText xml:space="preserve"> PAGEREF _Toc32103 \h </w:instrText>
      </w:r>
      <w:r>
        <w:fldChar w:fldCharType="separate"/>
      </w:r>
      <w:r>
        <w:t>179</w:t>
      </w:r>
      <w:r>
        <w:fldChar w:fldCharType="end"/>
      </w:r>
      <w:r>
        <w:fldChar w:fldCharType="end"/>
      </w:r>
    </w:p>
    <w:p w14:paraId="4275621B">
      <w:pPr>
        <w:pStyle w:val="74"/>
        <w:tabs>
          <w:tab w:val="right" w:leader="dot" w:pos="8312"/>
          <w:tab w:val="clear" w:pos="8302"/>
        </w:tabs>
      </w:pPr>
      <w:r>
        <w:fldChar w:fldCharType="begin"/>
      </w:r>
      <w:r>
        <w:instrText xml:space="preserve"> HYPERLINK \l _Toc14035 </w:instrText>
      </w:r>
      <w:r>
        <w:fldChar w:fldCharType="separate"/>
      </w:r>
      <w:r>
        <w:rPr>
          <w:lang w:val="en-US" w:eastAsia="zh-CN"/>
        </w:rPr>
        <w:t>6.5</w:t>
      </w:r>
      <w:r>
        <w:t xml:space="preserve"> 应急预案</w:t>
      </w:r>
      <w:r>
        <w:tab/>
      </w:r>
      <w:r>
        <w:fldChar w:fldCharType="begin"/>
      </w:r>
      <w:r>
        <w:instrText xml:space="preserve"> PAGEREF _Toc14035 \h </w:instrText>
      </w:r>
      <w:r>
        <w:fldChar w:fldCharType="separate"/>
      </w:r>
      <w:r>
        <w:t>181</w:t>
      </w:r>
      <w:r>
        <w:fldChar w:fldCharType="end"/>
      </w:r>
      <w:r>
        <w:fldChar w:fldCharType="end"/>
      </w:r>
    </w:p>
    <w:p w14:paraId="52F727E9">
      <w:pPr>
        <w:pStyle w:val="74"/>
        <w:tabs>
          <w:tab w:val="right" w:leader="dot" w:pos="8312"/>
          <w:tab w:val="clear" w:pos="8302"/>
        </w:tabs>
      </w:pPr>
      <w:r>
        <w:fldChar w:fldCharType="begin"/>
      </w:r>
      <w:r>
        <w:instrText xml:space="preserve"> HYPERLINK \l _Toc24098 </w:instrText>
      </w:r>
      <w:r>
        <w:fldChar w:fldCharType="separate"/>
      </w:r>
      <w:r>
        <w:t>6.</w:t>
      </w:r>
      <w:r>
        <w:rPr>
          <w:lang w:val="en-US" w:eastAsia="zh-CN"/>
        </w:rPr>
        <w:t>6</w:t>
      </w:r>
      <w:r>
        <w:t>小结</w:t>
      </w:r>
      <w:r>
        <w:tab/>
      </w:r>
      <w:r>
        <w:fldChar w:fldCharType="begin"/>
      </w:r>
      <w:r>
        <w:instrText xml:space="preserve"> PAGEREF _Toc24098 \h </w:instrText>
      </w:r>
      <w:r>
        <w:fldChar w:fldCharType="separate"/>
      </w:r>
      <w:r>
        <w:t>183</w:t>
      </w:r>
      <w:r>
        <w:fldChar w:fldCharType="end"/>
      </w:r>
      <w:r>
        <w:fldChar w:fldCharType="end"/>
      </w:r>
    </w:p>
    <w:p w14:paraId="364AC434">
      <w:pPr>
        <w:pStyle w:val="60"/>
        <w:tabs>
          <w:tab w:val="right" w:leader="dot" w:pos="8312"/>
          <w:tab w:val="clear" w:pos="8302"/>
        </w:tabs>
      </w:pPr>
      <w:r>
        <w:fldChar w:fldCharType="begin"/>
      </w:r>
      <w:r>
        <w:instrText xml:space="preserve"> HYPERLINK \l _Toc21741 </w:instrText>
      </w:r>
      <w:r>
        <w:fldChar w:fldCharType="separate"/>
      </w:r>
      <w:r>
        <w:rPr>
          <w:szCs w:val="32"/>
        </w:rPr>
        <w:t>7环境保护措施及可行性分析</w:t>
      </w:r>
      <w:r>
        <w:tab/>
      </w:r>
      <w:r>
        <w:fldChar w:fldCharType="begin"/>
      </w:r>
      <w:r>
        <w:instrText xml:space="preserve"> PAGEREF _Toc21741 \h </w:instrText>
      </w:r>
      <w:r>
        <w:fldChar w:fldCharType="separate"/>
      </w:r>
      <w:r>
        <w:t>186</w:t>
      </w:r>
      <w:r>
        <w:fldChar w:fldCharType="end"/>
      </w:r>
      <w:r>
        <w:fldChar w:fldCharType="end"/>
      </w:r>
    </w:p>
    <w:p w14:paraId="7D8678D9">
      <w:pPr>
        <w:pStyle w:val="74"/>
        <w:tabs>
          <w:tab w:val="right" w:leader="dot" w:pos="8312"/>
          <w:tab w:val="clear" w:pos="8302"/>
        </w:tabs>
      </w:pPr>
      <w:r>
        <w:fldChar w:fldCharType="begin"/>
      </w:r>
      <w:r>
        <w:instrText xml:space="preserve"> HYPERLINK \l _Toc13336 </w:instrText>
      </w:r>
      <w:r>
        <w:fldChar w:fldCharType="separate"/>
      </w:r>
      <w:r>
        <w:rPr>
          <w:szCs w:val="30"/>
        </w:rPr>
        <w:t>7.1施工期污染防治措施</w:t>
      </w:r>
      <w:r>
        <w:tab/>
      </w:r>
      <w:r>
        <w:fldChar w:fldCharType="begin"/>
      </w:r>
      <w:r>
        <w:instrText xml:space="preserve"> PAGEREF _Toc13336 \h </w:instrText>
      </w:r>
      <w:r>
        <w:fldChar w:fldCharType="separate"/>
      </w:r>
      <w:r>
        <w:t>186</w:t>
      </w:r>
      <w:r>
        <w:fldChar w:fldCharType="end"/>
      </w:r>
      <w:r>
        <w:fldChar w:fldCharType="end"/>
      </w:r>
    </w:p>
    <w:p w14:paraId="5A11119D">
      <w:pPr>
        <w:pStyle w:val="74"/>
        <w:tabs>
          <w:tab w:val="right" w:leader="dot" w:pos="8312"/>
          <w:tab w:val="clear" w:pos="8302"/>
        </w:tabs>
      </w:pPr>
      <w:r>
        <w:fldChar w:fldCharType="begin"/>
      </w:r>
      <w:r>
        <w:instrText xml:space="preserve"> HYPERLINK \l _Toc28388 </w:instrText>
      </w:r>
      <w:r>
        <w:fldChar w:fldCharType="separate"/>
      </w:r>
      <w:r>
        <w:rPr>
          <w:szCs w:val="30"/>
        </w:rPr>
        <w:t>7.2运营期污染防治措施</w:t>
      </w:r>
      <w:r>
        <w:tab/>
      </w:r>
      <w:r>
        <w:fldChar w:fldCharType="begin"/>
      </w:r>
      <w:r>
        <w:instrText xml:space="preserve"> PAGEREF _Toc28388 \h </w:instrText>
      </w:r>
      <w:r>
        <w:fldChar w:fldCharType="separate"/>
      </w:r>
      <w:r>
        <w:t>188</w:t>
      </w:r>
      <w:r>
        <w:fldChar w:fldCharType="end"/>
      </w:r>
      <w:r>
        <w:fldChar w:fldCharType="end"/>
      </w:r>
    </w:p>
    <w:p w14:paraId="2A211CC4">
      <w:pPr>
        <w:pStyle w:val="74"/>
        <w:tabs>
          <w:tab w:val="right" w:leader="dot" w:pos="8312"/>
          <w:tab w:val="clear" w:pos="8302"/>
        </w:tabs>
      </w:pPr>
      <w:r>
        <w:fldChar w:fldCharType="begin"/>
      </w:r>
      <w:r>
        <w:instrText xml:space="preserve"> HYPERLINK \l _Toc3275 </w:instrText>
      </w:r>
      <w:r>
        <w:fldChar w:fldCharType="separate"/>
      </w:r>
      <w:r>
        <w:rPr>
          <w:bCs/>
          <w:kern w:val="0"/>
          <w:szCs w:val="30"/>
        </w:rPr>
        <w:t>7.3 项目环境保护措施汇总</w:t>
      </w:r>
      <w:r>
        <w:tab/>
      </w:r>
      <w:r>
        <w:fldChar w:fldCharType="begin"/>
      </w:r>
      <w:r>
        <w:instrText xml:space="preserve"> PAGEREF _Toc3275 \h </w:instrText>
      </w:r>
      <w:r>
        <w:fldChar w:fldCharType="separate"/>
      </w:r>
      <w:r>
        <w:t>203</w:t>
      </w:r>
      <w:r>
        <w:fldChar w:fldCharType="end"/>
      </w:r>
      <w:r>
        <w:fldChar w:fldCharType="end"/>
      </w:r>
    </w:p>
    <w:p w14:paraId="483A947C">
      <w:pPr>
        <w:pStyle w:val="60"/>
        <w:tabs>
          <w:tab w:val="right" w:leader="dot" w:pos="8312"/>
          <w:tab w:val="clear" w:pos="8302"/>
        </w:tabs>
      </w:pPr>
      <w:r>
        <w:fldChar w:fldCharType="begin"/>
      </w:r>
      <w:r>
        <w:instrText xml:space="preserve"> HYPERLINK \l _Toc673 </w:instrText>
      </w:r>
      <w:r>
        <w:fldChar w:fldCharType="separate"/>
      </w:r>
      <w:r>
        <w:rPr>
          <w:szCs w:val="32"/>
        </w:rPr>
        <w:t>8环境影响经济损益分析</w:t>
      </w:r>
      <w:r>
        <w:tab/>
      </w:r>
      <w:r>
        <w:fldChar w:fldCharType="begin"/>
      </w:r>
      <w:r>
        <w:instrText xml:space="preserve"> PAGEREF _Toc673 \h </w:instrText>
      </w:r>
      <w:r>
        <w:fldChar w:fldCharType="separate"/>
      </w:r>
      <w:r>
        <w:t>211</w:t>
      </w:r>
      <w:r>
        <w:fldChar w:fldCharType="end"/>
      </w:r>
      <w:r>
        <w:fldChar w:fldCharType="end"/>
      </w:r>
    </w:p>
    <w:p w14:paraId="22152F63">
      <w:pPr>
        <w:pStyle w:val="74"/>
        <w:tabs>
          <w:tab w:val="right" w:leader="dot" w:pos="8312"/>
          <w:tab w:val="clear" w:pos="8302"/>
        </w:tabs>
      </w:pPr>
      <w:r>
        <w:fldChar w:fldCharType="begin"/>
      </w:r>
      <w:r>
        <w:instrText xml:space="preserve"> HYPERLINK \l _Toc17196 </w:instrText>
      </w:r>
      <w:r>
        <w:fldChar w:fldCharType="separate"/>
      </w:r>
      <w:r>
        <w:rPr>
          <w:szCs w:val="30"/>
        </w:rPr>
        <w:t>8.1 环保投资估算</w:t>
      </w:r>
      <w:r>
        <w:tab/>
      </w:r>
      <w:r>
        <w:fldChar w:fldCharType="begin"/>
      </w:r>
      <w:r>
        <w:instrText xml:space="preserve"> PAGEREF _Toc17196 \h </w:instrText>
      </w:r>
      <w:r>
        <w:fldChar w:fldCharType="separate"/>
      </w:r>
      <w:r>
        <w:t>211</w:t>
      </w:r>
      <w:r>
        <w:fldChar w:fldCharType="end"/>
      </w:r>
      <w:r>
        <w:fldChar w:fldCharType="end"/>
      </w:r>
    </w:p>
    <w:p w14:paraId="548B319A">
      <w:pPr>
        <w:pStyle w:val="74"/>
        <w:tabs>
          <w:tab w:val="right" w:leader="dot" w:pos="8312"/>
          <w:tab w:val="clear" w:pos="8302"/>
        </w:tabs>
      </w:pPr>
      <w:r>
        <w:fldChar w:fldCharType="begin"/>
      </w:r>
      <w:r>
        <w:instrText xml:space="preserve"> HYPERLINK \l _Toc10586 </w:instrText>
      </w:r>
      <w:r>
        <w:fldChar w:fldCharType="separate"/>
      </w:r>
      <w:r>
        <w:rPr>
          <w:szCs w:val="30"/>
        </w:rPr>
        <w:t>8.2环保投资的环境效益</w:t>
      </w:r>
      <w:r>
        <w:tab/>
      </w:r>
      <w:r>
        <w:fldChar w:fldCharType="begin"/>
      </w:r>
      <w:r>
        <w:instrText xml:space="preserve"> PAGEREF _Toc10586 \h </w:instrText>
      </w:r>
      <w:r>
        <w:fldChar w:fldCharType="separate"/>
      </w:r>
      <w:r>
        <w:t>215</w:t>
      </w:r>
      <w:r>
        <w:fldChar w:fldCharType="end"/>
      </w:r>
      <w:r>
        <w:fldChar w:fldCharType="end"/>
      </w:r>
    </w:p>
    <w:p w14:paraId="63D593AE">
      <w:pPr>
        <w:pStyle w:val="74"/>
        <w:tabs>
          <w:tab w:val="right" w:leader="dot" w:pos="8312"/>
          <w:tab w:val="clear" w:pos="8302"/>
        </w:tabs>
      </w:pPr>
      <w:r>
        <w:fldChar w:fldCharType="begin"/>
      </w:r>
      <w:r>
        <w:instrText xml:space="preserve"> HYPERLINK \l _Toc5520 </w:instrText>
      </w:r>
      <w:r>
        <w:fldChar w:fldCharType="separate"/>
      </w:r>
      <w:r>
        <w:rPr>
          <w:szCs w:val="30"/>
        </w:rPr>
        <w:t>8.3经济效益分析</w:t>
      </w:r>
      <w:r>
        <w:tab/>
      </w:r>
      <w:r>
        <w:fldChar w:fldCharType="begin"/>
      </w:r>
      <w:r>
        <w:instrText xml:space="preserve"> PAGEREF _Toc5520 \h </w:instrText>
      </w:r>
      <w:r>
        <w:fldChar w:fldCharType="separate"/>
      </w:r>
      <w:r>
        <w:t>215</w:t>
      </w:r>
      <w:r>
        <w:fldChar w:fldCharType="end"/>
      </w:r>
      <w:r>
        <w:fldChar w:fldCharType="end"/>
      </w:r>
    </w:p>
    <w:p w14:paraId="0DD2B03E">
      <w:pPr>
        <w:pStyle w:val="74"/>
        <w:tabs>
          <w:tab w:val="right" w:leader="dot" w:pos="8312"/>
          <w:tab w:val="clear" w:pos="8302"/>
        </w:tabs>
      </w:pPr>
      <w:r>
        <w:fldChar w:fldCharType="begin"/>
      </w:r>
      <w:r>
        <w:instrText xml:space="preserve"> HYPERLINK \l _Toc29212 </w:instrText>
      </w:r>
      <w:r>
        <w:fldChar w:fldCharType="separate"/>
      </w:r>
      <w:r>
        <w:rPr>
          <w:szCs w:val="30"/>
        </w:rPr>
        <w:t>8.4社会效益分析</w:t>
      </w:r>
      <w:r>
        <w:tab/>
      </w:r>
      <w:r>
        <w:fldChar w:fldCharType="begin"/>
      </w:r>
      <w:r>
        <w:instrText xml:space="preserve"> PAGEREF _Toc29212 \h </w:instrText>
      </w:r>
      <w:r>
        <w:fldChar w:fldCharType="separate"/>
      </w:r>
      <w:r>
        <w:t>215</w:t>
      </w:r>
      <w:r>
        <w:fldChar w:fldCharType="end"/>
      </w:r>
      <w:r>
        <w:fldChar w:fldCharType="end"/>
      </w:r>
    </w:p>
    <w:p w14:paraId="3F3029D8">
      <w:pPr>
        <w:pStyle w:val="74"/>
        <w:tabs>
          <w:tab w:val="right" w:leader="dot" w:pos="8312"/>
          <w:tab w:val="clear" w:pos="8302"/>
        </w:tabs>
      </w:pPr>
      <w:r>
        <w:fldChar w:fldCharType="begin"/>
      </w:r>
      <w:r>
        <w:instrText xml:space="preserve"> HYPERLINK \l _Toc16543 </w:instrText>
      </w:r>
      <w:r>
        <w:fldChar w:fldCharType="separate"/>
      </w:r>
      <w:r>
        <w:rPr>
          <w:szCs w:val="30"/>
        </w:rPr>
        <w:t>8.5小结</w:t>
      </w:r>
      <w:r>
        <w:tab/>
      </w:r>
      <w:r>
        <w:fldChar w:fldCharType="begin"/>
      </w:r>
      <w:r>
        <w:instrText xml:space="preserve"> PAGEREF _Toc16543 \h </w:instrText>
      </w:r>
      <w:r>
        <w:fldChar w:fldCharType="separate"/>
      </w:r>
      <w:r>
        <w:t>215</w:t>
      </w:r>
      <w:r>
        <w:fldChar w:fldCharType="end"/>
      </w:r>
      <w:r>
        <w:fldChar w:fldCharType="end"/>
      </w:r>
    </w:p>
    <w:p w14:paraId="19855B6D">
      <w:pPr>
        <w:pStyle w:val="60"/>
        <w:tabs>
          <w:tab w:val="right" w:leader="dot" w:pos="8312"/>
          <w:tab w:val="clear" w:pos="8302"/>
        </w:tabs>
      </w:pPr>
      <w:r>
        <w:fldChar w:fldCharType="begin"/>
      </w:r>
      <w:r>
        <w:instrText xml:space="preserve"> HYPERLINK \l _Toc4501 </w:instrText>
      </w:r>
      <w:r>
        <w:fldChar w:fldCharType="separate"/>
      </w:r>
      <w:r>
        <w:rPr>
          <w:szCs w:val="32"/>
        </w:rPr>
        <w:t>9环境管理与监测计划</w:t>
      </w:r>
      <w:r>
        <w:tab/>
      </w:r>
      <w:r>
        <w:fldChar w:fldCharType="begin"/>
      </w:r>
      <w:r>
        <w:instrText xml:space="preserve"> PAGEREF _Toc4501 \h </w:instrText>
      </w:r>
      <w:r>
        <w:fldChar w:fldCharType="separate"/>
      </w:r>
      <w:r>
        <w:t>217</w:t>
      </w:r>
      <w:r>
        <w:fldChar w:fldCharType="end"/>
      </w:r>
      <w:r>
        <w:fldChar w:fldCharType="end"/>
      </w:r>
    </w:p>
    <w:p w14:paraId="017AEA8B">
      <w:pPr>
        <w:pStyle w:val="74"/>
        <w:tabs>
          <w:tab w:val="right" w:leader="dot" w:pos="8312"/>
          <w:tab w:val="clear" w:pos="8302"/>
        </w:tabs>
      </w:pPr>
      <w:r>
        <w:fldChar w:fldCharType="begin"/>
      </w:r>
      <w:r>
        <w:instrText xml:space="preserve"> HYPERLINK \l _Toc28260 </w:instrText>
      </w:r>
      <w:r>
        <w:fldChar w:fldCharType="separate"/>
      </w:r>
      <w:r>
        <w:rPr>
          <w:szCs w:val="30"/>
          <w:lang w:val="en-US" w:eastAsia="zh-CN"/>
        </w:rPr>
        <w:t>9</w:t>
      </w:r>
      <w:r>
        <w:rPr>
          <w:szCs w:val="30"/>
        </w:rPr>
        <w:t>.1 环境管理</w:t>
      </w:r>
      <w:r>
        <w:tab/>
      </w:r>
      <w:r>
        <w:fldChar w:fldCharType="begin"/>
      </w:r>
      <w:r>
        <w:instrText xml:space="preserve"> PAGEREF _Toc28260 \h </w:instrText>
      </w:r>
      <w:r>
        <w:fldChar w:fldCharType="separate"/>
      </w:r>
      <w:r>
        <w:t>217</w:t>
      </w:r>
      <w:r>
        <w:fldChar w:fldCharType="end"/>
      </w:r>
      <w:r>
        <w:fldChar w:fldCharType="end"/>
      </w:r>
    </w:p>
    <w:p w14:paraId="33339BA1">
      <w:pPr>
        <w:pStyle w:val="74"/>
        <w:tabs>
          <w:tab w:val="right" w:leader="dot" w:pos="8312"/>
          <w:tab w:val="clear" w:pos="8302"/>
        </w:tabs>
      </w:pPr>
      <w:r>
        <w:fldChar w:fldCharType="begin"/>
      </w:r>
      <w:r>
        <w:instrText xml:space="preserve"> HYPERLINK \l _Toc6483 </w:instrText>
      </w:r>
      <w:r>
        <w:fldChar w:fldCharType="separate"/>
      </w:r>
      <w:r>
        <w:rPr>
          <w:bCs/>
          <w:szCs w:val="30"/>
          <w:lang w:val="en-US" w:eastAsia="zh-CN"/>
        </w:rPr>
        <w:t>9</w:t>
      </w:r>
      <w:r>
        <w:rPr>
          <w:bCs/>
          <w:szCs w:val="30"/>
          <w:lang w:eastAsia="zh-CN"/>
        </w:rPr>
        <w:t>.2污染物排放管理要求</w:t>
      </w:r>
      <w:r>
        <w:tab/>
      </w:r>
      <w:r>
        <w:fldChar w:fldCharType="begin"/>
      </w:r>
      <w:r>
        <w:instrText xml:space="preserve"> PAGEREF _Toc6483 \h </w:instrText>
      </w:r>
      <w:r>
        <w:fldChar w:fldCharType="separate"/>
      </w:r>
      <w:r>
        <w:t>219</w:t>
      </w:r>
      <w:r>
        <w:fldChar w:fldCharType="end"/>
      </w:r>
      <w:r>
        <w:fldChar w:fldCharType="end"/>
      </w:r>
    </w:p>
    <w:p w14:paraId="5B7847F0">
      <w:pPr>
        <w:pStyle w:val="74"/>
        <w:tabs>
          <w:tab w:val="right" w:leader="dot" w:pos="8312"/>
          <w:tab w:val="clear" w:pos="8302"/>
        </w:tabs>
      </w:pPr>
      <w:r>
        <w:fldChar w:fldCharType="begin"/>
      </w:r>
      <w:r>
        <w:instrText xml:space="preserve"> HYPERLINK \l _Toc802 </w:instrText>
      </w:r>
      <w:r>
        <w:fldChar w:fldCharType="separate"/>
      </w:r>
      <w:r>
        <w:rPr>
          <w:bCs/>
          <w:szCs w:val="30"/>
          <w:lang w:val="en-US" w:eastAsia="zh-CN"/>
        </w:rPr>
        <w:t>9</w:t>
      </w:r>
      <w:r>
        <w:rPr>
          <w:bCs/>
          <w:szCs w:val="30"/>
          <w:lang w:eastAsia="zh-CN"/>
        </w:rPr>
        <w:t>.3环境信息公开</w:t>
      </w:r>
      <w:r>
        <w:tab/>
      </w:r>
      <w:r>
        <w:fldChar w:fldCharType="begin"/>
      </w:r>
      <w:r>
        <w:instrText xml:space="preserve"> PAGEREF _Toc802 \h </w:instrText>
      </w:r>
      <w:r>
        <w:fldChar w:fldCharType="separate"/>
      </w:r>
      <w:r>
        <w:t>225</w:t>
      </w:r>
      <w:r>
        <w:fldChar w:fldCharType="end"/>
      </w:r>
      <w:r>
        <w:fldChar w:fldCharType="end"/>
      </w:r>
    </w:p>
    <w:p w14:paraId="4AA9204D">
      <w:pPr>
        <w:pStyle w:val="74"/>
        <w:tabs>
          <w:tab w:val="right" w:leader="dot" w:pos="8312"/>
          <w:tab w:val="clear" w:pos="8302"/>
        </w:tabs>
      </w:pPr>
      <w:r>
        <w:fldChar w:fldCharType="begin"/>
      </w:r>
      <w:r>
        <w:instrText xml:space="preserve"> HYPERLINK \l _Toc14801 </w:instrText>
      </w:r>
      <w:r>
        <w:fldChar w:fldCharType="separate"/>
      </w:r>
      <w:r>
        <w:rPr>
          <w:szCs w:val="30"/>
          <w:lang w:val="en-US" w:eastAsia="zh-CN"/>
        </w:rPr>
        <w:t>9.4</w:t>
      </w:r>
      <w:r>
        <w:rPr>
          <w:szCs w:val="30"/>
        </w:rPr>
        <w:t>环境监理</w:t>
      </w:r>
      <w:r>
        <w:tab/>
      </w:r>
      <w:r>
        <w:fldChar w:fldCharType="begin"/>
      </w:r>
      <w:r>
        <w:instrText xml:space="preserve"> PAGEREF _Toc14801 \h </w:instrText>
      </w:r>
      <w:r>
        <w:fldChar w:fldCharType="separate"/>
      </w:r>
      <w:r>
        <w:t>226</w:t>
      </w:r>
      <w:r>
        <w:fldChar w:fldCharType="end"/>
      </w:r>
      <w:r>
        <w:fldChar w:fldCharType="end"/>
      </w:r>
    </w:p>
    <w:p w14:paraId="25DA277C">
      <w:pPr>
        <w:pStyle w:val="74"/>
        <w:tabs>
          <w:tab w:val="right" w:leader="dot" w:pos="8312"/>
          <w:tab w:val="clear" w:pos="8302"/>
        </w:tabs>
      </w:pPr>
      <w:r>
        <w:fldChar w:fldCharType="begin"/>
      </w:r>
      <w:r>
        <w:instrText xml:space="preserve"> HYPERLINK \l _Toc23970 </w:instrText>
      </w:r>
      <w:r>
        <w:fldChar w:fldCharType="separate"/>
      </w:r>
      <w:r>
        <w:rPr>
          <w:szCs w:val="30"/>
          <w:lang w:val="en-US" w:eastAsia="zh-CN"/>
        </w:rPr>
        <w:t>9</w:t>
      </w:r>
      <w:r>
        <w:rPr>
          <w:szCs w:val="30"/>
        </w:rPr>
        <w:t>.</w:t>
      </w:r>
      <w:r>
        <w:rPr>
          <w:szCs w:val="30"/>
          <w:lang w:val="en-US" w:eastAsia="zh-CN"/>
        </w:rPr>
        <w:t>5</w:t>
      </w:r>
      <w:r>
        <w:rPr>
          <w:szCs w:val="30"/>
        </w:rPr>
        <w:t>环境监测计划</w:t>
      </w:r>
      <w:r>
        <w:tab/>
      </w:r>
      <w:r>
        <w:fldChar w:fldCharType="begin"/>
      </w:r>
      <w:r>
        <w:instrText xml:space="preserve"> PAGEREF _Toc23970 \h </w:instrText>
      </w:r>
      <w:r>
        <w:fldChar w:fldCharType="separate"/>
      </w:r>
      <w:r>
        <w:t>228</w:t>
      </w:r>
      <w:r>
        <w:fldChar w:fldCharType="end"/>
      </w:r>
      <w:r>
        <w:fldChar w:fldCharType="end"/>
      </w:r>
    </w:p>
    <w:p w14:paraId="07A924A0">
      <w:pPr>
        <w:pStyle w:val="74"/>
        <w:tabs>
          <w:tab w:val="right" w:leader="dot" w:pos="8312"/>
          <w:tab w:val="clear" w:pos="8302"/>
        </w:tabs>
      </w:pPr>
      <w:r>
        <w:fldChar w:fldCharType="begin"/>
      </w:r>
      <w:r>
        <w:instrText xml:space="preserve"> HYPERLINK \l _Toc28163 </w:instrText>
      </w:r>
      <w:r>
        <w:fldChar w:fldCharType="separate"/>
      </w:r>
      <w:r>
        <w:rPr>
          <w:szCs w:val="30"/>
          <w:lang w:val="en-US" w:eastAsia="zh-CN"/>
        </w:rPr>
        <w:t>9</w:t>
      </w:r>
      <w:r>
        <w:rPr>
          <w:szCs w:val="30"/>
        </w:rPr>
        <w:t>.</w:t>
      </w:r>
      <w:r>
        <w:rPr>
          <w:szCs w:val="30"/>
          <w:lang w:val="en-US" w:eastAsia="zh-CN"/>
        </w:rPr>
        <w:t>6</w:t>
      </w:r>
      <w:r>
        <w:rPr>
          <w:szCs w:val="30"/>
        </w:rPr>
        <w:t>“三同时”验收一览表</w:t>
      </w:r>
      <w:r>
        <w:tab/>
      </w:r>
      <w:r>
        <w:fldChar w:fldCharType="begin"/>
      </w:r>
      <w:r>
        <w:instrText xml:space="preserve"> PAGEREF _Toc28163 \h </w:instrText>
      </w:r>
      <w:r>
        <w:fldChar w:fldCharType="separate"/>
      </w:r>
      <w:r>
        <w:t>231</w:t>
      </w:r>
      <w:r>
        <w:fldChar w:fldCharType="end"/>
      </w:r>
      <w:r>
        <w:fldChar w:fldCharType="end"/>
      </w:r>
    </w:p>
    <w:p w14:paraId="037A2341">
      <w:pPr>
        <w:pStyle w:val="60"/>
        <w:tabs>
          <w:tab w:val="right" w:leader="dot" w:pos="8312"/>
          <w:tab w:val="clear" w:pos="8302"/>
        </w:tabs>
      </w:pPr>
      <w:r>
        <w:fldChar w:fldCharType="begin"/>
      </w:r>
      <w:r>
        <w:instrText xml:space="preserve"> HYPERLINK \l _Toc3857 </w:instrText>
      </w:r>
      <w:r>
        <w:fldChar w:fldCharType="separate"/>
      </w:r>
      <w:r>
        <w:rPr>
          <w:szCs w:val="32"/>
        </w:rPr>
        <w:t>10环境影响评价结论</w:t>
      </w:r>
      <w:r>
        <w:tab/>
      </w:r>
      <w:r>
        <w:fldChar w:fldCharType="begin"/>
      </w:r>
      <w:r>
        <w:instrText xml:space="preserve"> PAGEREF _Toc3857 \h </w:instrText>
      </w:r>
      <w:r>
        <w:fldChar w:fldCharType="separate"/>
      </w:r>
      <w:r>
        <w:t>237</w:t>
      </w:r>
      <w:r>
        <w:fldChar w:fldCharType="end"/>
      </w:r>
      <w:r>
        <w:fldChar w:fldCharType="end"/>
      </w:r>
    </w:p>
    <w:p w14:paraId="5376C7D0">
      <w:pPr>
        <w:pStyle w:val="74"/>
        <w:tabs>
          <w:tab w:val="right" w:leader="dot" w:pos="8312"/>
          <w:tab w:val="clear" w:pos="8302"/>
        </w:tabs>
      </w:pPr>
      <w:r>
        <w:fldChar w:fldCharType="begin"/>
      </w:r>
      <w:r>
        <w:instrText xml:space="preserve"> HYPERLINK \l _Toc9290 </w:instrText>
      </w:r>
      <w:r>
        <w:fldChar w:fldCharType="separate"/>
      </w:r>
      <w:r>
        <w:rPr>
          <w:szCs w:val="30"/>
          <w:lang w:val="en-US" w:eastAsia="zh-CN"/>
        </w:rPr>
        <w:t>10</w:t>
      </w:r>
      <w:r>
        <w:rPr>
          <w:szCs w:val="30"/>
        </w:rPr>
        <w:t>.1 项目概况</w:t>
      </w:r>
      <w:r>
        <w:tab/>
      </w:r>
      <w:r>
        <w:fldChar w:fldCharType="begin"/>
      </w:r>
      <w:r>
        <w:instrText xml:space="preserve"> PAGEREF _Toc9290 \h </w:instrText>
      </w:r>
      <w:r>
        <w:fldChar w:fldCharType="separate"/>
      </w:r>
      <w:r>
        <w:t>237</w:t>
      </w:r>
      <w:r>
        <w:fldChar w:fldCharType="end"/>
      </w:r>
      <w:r>
        <w:fldChar w:fldCharType="end"/>
      </w:r>
    </w:p>
    <w:p w14:paraId="64425028">
      <w:pPr>
        <w:pStyle w:val="74"/>
        <w:tabs>
          <w:tab w:val="right" w:leader="dot" w:pos="8312"/>
          <w:tab w:val="clear" w:pos="8302"/>
        </w:tabs>
      </w:pPr>
      <w:r>
        <w:fldChar w:fldCharType="begin"/>
      </w:r>
      <w:r>
        <w:instrText xml:space="preserve"> HYPERLINK \l _Toc28324 </w:instrText>
      </w:r>
      <w:r>
        <w:fldChar w:fldCharType="separate"/>
      </w:r>
      <w:r>
        <w:rPr>
          <w:szCs w:val="30"/>
          <w:lang w:val="en-US" w:eastAsia="zh-CN"/>
        </w:rPr>
        <w:t>10</w:t>
      </w:r>
      <w:r>
        <w:rPr>
          <w:szCs w:val="30"/>
        </w:rPr>
        <w:t>.2产业政策符合性</w:t>
      </w:r>
      <w:r>
        <w:tab/>
      </w:r>
      <w:r>
        <w:fldChar w:fldCharType="begin"/>
      </w:r>
      <w:r>
        <w:instrText xml:space="preserve"> PAGEREF _Toc28324 \h </w:instrText>
      </w:r>
      <w:r>
        <w:fldChar w:fldCharType="separate"/>
      </w:r>
      <w:r>
        <w:t>237</w:t>
      </w:r>
      <w:r>
        <w:fldChar w:fldCharType="end"/>
      </w:r>
      <w:r>
        <w:fldChar w:fldCharType="end"/>
      </w:r>
    </w:p>
    <w:p w14:paraId="54DC3358">
      <w:pPr>
        <w:pStyle w:val="74"/>
        <w:tabs>
          <w:tab w:val="right" w:leader="dot" w:pos="8312"/>
          <w:tab w:val="clear" w:pos="8302"/>
        </w:tabs>
      </w:pPr>
      <w:r>
        <w:fldChar w:fldCharType="begin"/>
      </w:r>
      <w:r>
        <w:instrText xml:space="preserve"> HYPERLINK \l _Toc22514 </w:instrText>
      </w:r>
      <w:r>
        <w:fldChar w:fldCharType="separate"/>
      </w:r>
      <w:r>
        <w:rPr>
          <w:szCs w:val="30"/>
          <w:lang w:val="en-US" w:eastAsia="zh-CN"/>
        </w:rPr>
        <w:t>10</w:t>
      </w:r>
      <w:r>
        <w:rPr>
          <w:szCs w:val="30"/>
        </w:rPr>
        <w:t>.3项目选址的环境可行性</w:t>
      </w:r>
      <w:r>
        <w:tab/>
      </w:r>
      <w:r>
        <w:fldChar w:fldCharType="begin"/>
      </w:r>
      <w:r>
        <w:instrText xml:space="preserve"> PAGEREF _Toc22514 \h </w:instrText>
      </w:r>
      <w:r>
        <w:fldChar w:fldCharType="separate"/>
      </w:r>
      <w:r>
        <w:t>237</w:t>
      </w:r>
      <w:r>
        <w:fldChar w:fldCharType="end"/>
      </w:r>
      <w:r>
        <w:fldChar w:fldCharType="end"/>
      </w:r>
    </w:p>
    <w:p w14:paraId="4BE3DB12">
      <w:pPr>
        <w:pStyle w:val="74"/>
        <w:tabs>
          <w:tab w:val="right" w:leader="dot" w:pos="8312"/>
          <w:tab w:val="clear" w:pos="8302"/>
        </w:tabs>
      </w:pPr>
      <w:r>
        <w:fldChar w:fldCharType="begin"/>
      </w:r>
      <w:r>
        <w:instrText xml:space="preserve"> HYPERLINK \l _Toc20389 </w:instrText>
      </w:r>
      <w:r>
        <w:fldChar w:fldCharType="separate"/>
      </w:r>
      <w:r>
        <w:rPr>
          <w:szCs w:val="30"/>
          <w:lang w:val="en-US" w:eastAsia="zh-CN"/>
        </w:rPr>
        <w:t>10</w:t>
      </w:r>
      <w:r>
        <w:rPr>
          <w:szCs w:val="30"/>
        </w:rPr>
        <w:t>.4环境质量现状评价结论</w:t>
      </w:r>
      <w:r>
        <w:tab/>
      </w:r>
      <w:r>
        <w:fldChar w:fldCharType="begin"/>
      </w:r>
      <w:r>
        <w:instrText xml:space="preserve"> PAGEREF _Toc20389 \h </w:instrText>
      </w:r>
      <w:r>
        <w:fldChar w:fldCharType="separate"/>
      </w:r>
      <w:r>
        <w:t>238</w:t>
      </w:r>
      <w:r>
        <w:fldChar w:fldCharType="end"/>
      </w:r>
      <w:r>
        <w:fldChar w:fldCharType="end"/>
      </w:r>
    </w:p>
    <w:p w14:paraId="533D7C22">
      <w:pPr>
        <w:pStyle w:val="74"/>
        <w:tabs>
          <w:tab w:val="right" w:leader="dot" w:pos="8312"/>
          <w:tab w:val="clear" w:pos="8302"/>
        </w:tabs>
      </w:pPr>
      <w:r>
        <w:fldChar w:fldCharType="begin"/>
      </w:r>
      <w:r>
        <w:instrText xml:space="preserve"> HYPERLINK \l _Toc26532 </w:instrText>
      </w:r>
      <w:r>
        <w:fldChar w:fldCharType="separate"/>
      </w:r>
      <w:r>
        <w:rPr>
          <w:szCs w:val="30"/>
          <w:lang w:val="en-US" w:eastAsia="zh-CN"/>
        </w:rPr>
        <w:t>10</w:t>
      </w:r>
      <w:r>
        <w:rPr>
          <w:szCs w:val="30"/>
        </w:rPr>
        <w:t>.5 环境影响评价结论</w:t>
      </w:r>
      <w:r>
        <w:tab/>
      </w:r>
      <w:r>
        <w:fldChar w:fldCharType="begin"/>
      </w:r>
      <w:r>
        <w:instrText xml:space="preserve"> PAGEREF _Toc26532 \h </w:instrText>
      </w:r>
      <w:r>
        <w:fldChar w:fldCharType="separate"/>
      </w:r>
      <w:r>
        <w:t>240</w:t>
      </w:r>
      <w:r>
        <w:fldChar w:fldCharType="end"/>
      </w:r>
      <w:r>
        <w:fldChar w:fldCharType="end"/>
      </w:r>
    </w:p>
    <w:p w14:paraId="5D11EB0F">
      <w:pPr>
        <w:pStyle w:val="74"/>
        <w:tabs>
          <w:tab w:val="right" w:leader="dot" w:pos="8312"/>
          <w:tab w:val="clear" w:pos="8302"/>
        </w:tabs>
      </w:pPr>
      <w:r>
        <w:fldChar w:fldCharType="begin"/>
      </w:r>
      <w:r>
        <w:instrText xml:space="preserve"> HYPERLINK \l _Toc5265 </w:instrText>
      </w:r>
      <w:r>
        <w:fldChar w:fldCharType="separate"/>
      </w:r>
      <w:r>
        <w:rPr>
          <w:szCs w:val="30"/>
          <w:lang w:val="en-US" w:eastAsia="zh-CN"/>
        </w:rPr>
        <w:t>10</w:t>
      </w:r>
      <w:r>
        <w:rPr>
          <w:szCs w:val="30"/>
        </w:rPr>
        <w:t>.6环境风险评价结论</w:t>
      </w:r>
      <w:r>
        <w:tab/>
      </w:r>
      <w:r>
        <w:fldChar w:fldCharType="begin"/>
      </w:r>
      <w:r>
        <w:instrText xml:space="preserve"> PAGEREF _Toc5265 \h </w:instrText>
      </w:r>
      <w:r>
        <w:fldChar w:fldCharType="separate"/>
      </w:r>
      <w:r>
        <w:t>243</w:t>
      </w:r>
      <w:r>
        <w:fldChar w:fldCharType="end"/>
      </w:r>
      <w:r>
        <w:fldChar w:fldCharType="end"/>
      </w:r>
    </w:p>
    <w:p w14:paraId="1CD59D17">
      <w:pPr>
        <w:pStyle w:val="74"/>
        <w:tabs>
          <w:tab w:val="right" w:leader="dot" w:pos="8312"/>
          <w:tab w:val="clear" w:pos="8302"/>
        </w:tabs>
      </w:pPr>
      <w:r>
        <w:fldChar w:fldCharType="begin"/>
      </w:r>
      <w:r>
        <w:instrText xml:space="preserve"> HYPERLINK \l _Toc6265 </w:instrText>
      </w:r>
      <w:r>
        <w:fldChar w:fldCharType="separate"/>
      </w:r>
      <w:r>
        <w:rPr>
          <w:szCs w:val="30"/>
          <w:lang w:val="en-US" w:eastAsia="zh-CN"/>
        </w:rPr>
        <w:t>10</w:t>
      </w:r>
      <w:r>
        <w:rPr>
          <w:szCs w:val="30"/>
        </w:rPr>
        <w:t>.7总量控制指标</w:t>
      </w:r>
      <w:r>
        <w:tab/>
      </w:r>
      <w:r>
        <w:fldChar w:fldCharType="begin"/>
      </w:r>
      <w:r>
        <w:instrText xml:space="preserve"> PAGEREF _Toc6265 \h </w:instrText>
      </w:r>
      <w:r>
        <w:fldChar w:fldCharType="separate"/>
      </w:r>
      <w:r>
        <w:t>244</w:t>
      </w:r>
      <w:r>
        <w:fldChar w:fldCharType="end"/>
      </w:r>
      <w:r>
        <w:fldChar w:fldCharType="end"/>
      </w:r>
    </w:p>
    <w:p w14:paraId="63344776">
      <w:pPr>
        <w:pStyle w:val="74"/>
        <w:tabs>
          <w:tab w:val="right" w:leader="dot" w:pos="8312"/>
          <w:tab w:val="clear" w:pos="8302"/>
        </w:tabs>
      </w:pPr>
      <w:r>
        <w:fldChar w:fldCharType="begin"/>
      </w:r>
      <w:r>
        <w:instrText xml:space="preserve"> HYPERLINK \l _Toc28779 </w:instrText>
      </w:r>
      <w:r>
        <w:fldChar w:fldCharType="separate"/>
      </w:r>
      <w:r>
        <w:rPr>
          <w:szCs w:val="30"/>
          <w:lang w:val="en-US" w:eastAsia="zh-CN"/>
        </w:rPr>
        <w:t>10</w:t>
      </w:r>
      <w:r>
        <w:rPr>
          <w:szCs w:val="30"/>
        </w:rPr>
        <w:t>.8公众调查结论及采纳情况</w:t>
      </w:r>
      <w:r>
        <w:tab/>
      </w:r>
      <w:r>
        <w:fldChar w:fldCharType="begin"/>
      </w:r>
      <w:r>
        <w:instrText xml:space="preserve"> PAGEREF _Toc28779 \h </w:instrText>
      </w:r>
      <w:r>
        <w:fldChar w:fldCharType="separate"/>
      </w:r>
      <w:r>
        <w:t>244</w:t>
      </w:r>
      <w:r>
        <w:fldChar w:fldCharType="end"/>
      </w:r>
      <w:r>
        <w:fldChar w:fldCharType="end"/>
      </w:r>
    </w:p>
    <w:p w14:paraId="0A258384">
      <w:pPr>
        <w:pStyle w:val="74"/>
        <w:tabs>
          <w:tab w:val="right" w:leader="dot" w:pos="8312"/>
          <w:tab w:val="clear" w:pos="8302"/>
        </w:tabs>
      </w:pPr>
      <w:r>
        <w:fldChar w:fldCharType="begin"/>
      </w:r>
      <w:r>
        <w:instrText xml:space="preserve"> HYPERLINK \l _Toc29323 </w:instrText>
      </w:r>
      <w:r>
        <w:fldChar w:fldCharType="separate"/>
      </w:r>
      <w:r>
        <w:rPr>
          <w:szCs w:val="30"/>
          <w:lang w:val="en-US" w:eastAsia="zh-CN"/>
        </w:rPr>
        <w:t>10</w:t>
      </w:r>
      <w:r>
        <w:rPr>
          <w:szCs w:val="30"/>
        </w:rPr>
        <w:t>.9综合结论</w:t>
      </w:r>
      <w:r>
        <w:tab/>
      </w:r>
      <w:r>
        <w:fldChar w:fldCharType="begin"/>
      </w:r>
      <w:r>
        <w:instrText xml:space="preserve"> PAGEREF _Toc29323 \h </w:instrText>
      </w:r>
      <w:r>
        <w:fldChar w:fldCharType="separate"/>
      </w:r>
      <w:r>
        <w:t>244</w:t>
      </w:r>
      <w:r>
        <w:fldChar w:fldCharType="end"/>
      </w:r>
      <w:r>
        <w:fldChar w:fldCharType="end"/>
      </w:r>
    </w:p>
    <w:p w14:paraId="43B8FD8C">
      <w:pPr>
        <w:pStyle w:val="74"/>
        <w:tabs>
          <w:tab w:val="right" w:leader="dot" w:pos="8312"/>
          <w:tab w:val="clear" w:pos="8302"/>
        </w:tabs>
      </w:pPr>
      <w:r>
        <w:fldChar w:fldCharType="begin"/>
      </w:r>
      <w:r>
        <w:instrText xml:space="preserve"> HYPERLINK \l _Toc28534 </w:instrText>
      </w:r>
      <w:r>
        <w:fldChar w:fldCharType="separate"/>
      </w:r>
      <w:r>
        <w:rPr>
          <w:szCs w:val="30"/>
        </w:rPr>
        <w:t>11.10建议</w:t>
      </w:r>
      <w:r>
        <w:tab/>
      </w:r>
      <w:r>
        <w:fldChar w:fldCharType="begin"/>
      </w:r>
      <w:r>
        <w:instrText xml:space="preserve"> PAGEREF _Toc28534 \h </w:instrText>
      </w:r>
      <w:r>
        <w:fldChar w:fldCharType="separate"/>
      </w:r>
      <w:r>
        <w:t>245</w:t>
      </w:r>
      <w:r>
        <w:fldChar w:fldCharType="end"/>
      </w:r>
      <w:r>
        <w:fldChar w:fldCharType="end"/>
      </w:r>
    </w:p>
    <w:p w14:paraId="4673D17C">
      <w:pPr>
        <w:spacing w:line="360" w:lineRule="auto"/>
      </w:pPr>
      <w:r>
        <w:fldChar w:fldCharType="end"/>
      </w:r>
    </w:p>
    <w:p w14:paraId="12844EA2">
      <w:pPr>
        <w:spacing w:line="240" w:lineRule="atLeast"/>
        <w:rPr>
          <w:b/>
          <w:bCs/>
          <w:caps/>
          <w:szCs w:val="21"/>
        </w:rPr>
      </w:pPr>
      <w:r>
        <w:rPr>
          <w:b/>
          <w:bCs/>
          <w:caps/>
          <w:szCs w:val="21"/>
        </w:rPr>
        <w:t>附表：</w:t>
      </w:r>
    </w:p>
    <w:p w14:paraId="089BBA05">
      <w:pPr>
        <w:spacing w:line="240" w:lineRule="atLeast"/>
        <w:rPr>
          <w:b/>
        </w:rPr>
      </w:pPr>
      <w:r>
        <w:rPr>
          <w:rFonts w:hint="eastAsia"/>
          <w:b/>
          <w:bCs/>
          <w:caps/>
          <w:szCs w:val="21"/>
        </w:rPr>
        <w:t>1：</w:t>
      </w:r>
      <w:r>
        <w:rPr>
          <w:b/>
        </w:rPr>
        <w:t>建设项目环评审批基础信息表</w:t>
      </w:r>
    </w:p>
    <w:p w14:paraId="01596F86">
      <w:pPr>
        <w:spacing w:line="240" w:lineRule="atLeast"/>
        <w:rPr>
          <w:b/>
        </w:rPr>
      </w:pPr>
      <w:r>
        <w:rPr>
          <w:rFonts w:hint="eastAsia"/>
          <w:b/>
        </w:rPr>
        <w:t>2</w:t>
      </w:r>
      <w:r>
        <w:rPr>
          <w:b/>
        </w:rPr>
        <w:t>：建设项目大气环境影响评价自查表；</w:t>
      </w:r>
    </w:p>
    <w:p w14:paraId="13823201">
      <w:pPr>
        <w:spacing w:line="240" w:lineRule="atLeast"/>
        <w:rPr>
          <w:b/>
        </w:rPr>
      </w:pPr>
      <w:r>
        <w:rPr>
          <w:rFonts w:hint="eastAsia"/>
          <w:b/>
        </w:rPr>
        <w:t>3</w:t>
      </w:r>
      <w:r>
        <w:rPr>
          <w:b/>
        </w:rPr>
        <w:t>： 建设项目水环境影响评价附表；</w:t>
      </w:r>
    </w:p>
    <w:p w14:paraId="74322F08">
      <w:pPr>
        <w:spacing w:line="240" w:lineRule="atLeast"/>
        <w:rPr>
          <w:b/>
        </w:rPr>
      </w:pPr>
      <w:r>
        <w:rPr>
          <w:rFonts w:hint="eastAsia"/>
          <w:b/>
        </w:rPr>
        <w:t>4</w:t>
      </w:r>
      <w:r>
        <w:rPr>
          <w:b/>
        </w:rPr>
        <w:t>： 环境风险评价自查表。</w:t>
      </w:r>
    </w:p>
    <w:p w14:paraId="701B2A74">
      <w:pPr>
        <w:spacing w:line="360" w:lineRule="auto"/>
        <w:rPr>
          <w:b/>
          <w:sz w:val="24"/>
        </w:rPr>
      </w:pPr>
      <w:r>
        <w:rPr>
          <w:b/>
          <w:sz w:val="24"/>
        </w:rPr>
        <w:t>附件：</w:t>
      </w:r>
    </w:p>
    <w:p w14:paraId="3855EFCA">
      <w:pPr>
        <w:numPr>
          <w:ilvl w:val="0"/>
          <w:numId w:val="79"/>
        </w:numPr>
        <w:spacing w:line="360" w:lineRule="auto"/>
        <w:rPr>
          <w:sz w:val="24"/>
        </w:rPr>
      </w:pPr>
      <w:r>
        <w:rPr>
          <w:sz w:val="24"/>
        </w:rPr>
        <w:t>委托书</w:t>
      </w:r>
    </w:p>
    <w:p w14:paraId="4D6C38E7">
      <w:pPr>
        <w:spacing w:line="360" w:lineRule="auto"/>
        <w:rPr>
          <w:sz w:val="24"/>
        </w:rPr>
      </w:pPr>
      <w:r>
        <w:rPr>
          <w:sz w:val="24"/>
          <w:szCs w:val="20"/>
        </w:rPr>
        <w:t>2</w:t>
      </w:r>
      <w:r>
        <w:rPr>
          <w:sz w:val="24"/>
        </w:rPr>
        <w:t>、立项文件</w:t>
      </w:r>
    </w:p>
    <w:p w14:paraId="13471D07">
      <w:pPr>
        <w:spacing w:line="360" w:lineRule="auto"/>
        <w:rPr>
          <w:sz w:val="24"/>
        </w:rPr>
      </w:pPr>
      <w:r>
        <w:rPr>
          <w:sz w:val="24"/>
        </w:rPr>
        <w:t>3、</w:t>
      </w:r>
      <w:r>
        <w:rPr>
          <w:rFonts w:hint="eastAsia"/>
          <w:sz w:val="24"/>
        </w:rPr>
        <w:t>设施农用地备案表；</w:t>
      </w:r>
    </w:p>
    <w:p w14:paraId="6AF1B37D">
      <w:pPr>
        <w:spacing w:line="360" w:lineRule="auto"/>
        <w:rPr>
          <w:rFonts w:hint="eastAsia"/>
          <w:sz w:val="24"/>
        </w:rPr>
      </w:pPr>
      <w:r>
        <w:rPr>
          <w:sz w:val="24"/>
        </w:rPr>
        <w:t>4、</w:t>
      </w:r>
      <w:r>
        <w:rPr>
          <w:rFonts w:hint="eastAsia"/>
          <w:sz w:val="24"/>
        </w:rPr>
        <w:t>设施农用地协议</w:t>
      </w:r>
    </w:p>
    <w:p w14:paraId="0B26C127">
      <w:pPr>
        <w:pStyle w:val="47"/>
        <w:rPr>
          <w:rFonts w:hint="eastAsia" w:ascii="Times New Roman" w:hAnsi="Times New Roman" w:cs="Times New Roman"/>
          <w:sz w:val="24"/>
        </w:rPr>
      </w:pPr>
      <w:r>
        <w:rPr>
          <w:rFonts w:hint="eastAsia" w:ascii="Times New Roman" w:hAnsi="Times New Roman" w:cs="Times New Roman"/>
          <w:sz w:val="24"/>
        </w:rPr>
        <w:t>5、设施农用地监管协议书；</w:t>
      </w:r>
    </w:p>
    <w:p w14:paraId="5A47E458">
      <w:pPr>
        <w:pStyle w:val="2"/>
        <w:rPr>
          <w:color w:val="auto"/>
        </w:rPr>
      </w:pPr>
      <w:r>
        <w:rPr>
          <w:rFonts w:hint="eastAsia" w:ascii="Times New Roman" w:hAnsi="Times New Roman"/>
          <w:color w:val="auto"/>
        </w:rPr>
        <w:t>6、苹果园用地合同；</w:t>
      </w:r>
    </w:p>
    <w:p w14:paraId="6A9FE37C">
      <w:pPr>
        <w:spacing w:line="360" w:lineRule="auto"/>
        <w:rPr>
          <w:sz w:val="24"/>
        </w:rPr>
      </w:pPr>
      <w:r>
        <w:rPr>
          <w:rFonts w:hint="eastAsia"/>
          <w:sz w:val="24"/>
        </w:rPr>
        <w:t>7</w:t>
      </w:r>
      <w:r>
        <w:rPr>
          <w:sz w:val="24"/>
        </w:rPr>
        <w:t>、生态红线查询结果</w:t>
      </w:r>
    </w:p>
    <w:p w14:paraId="12CB3B73">
      <w:pPr>
        <w:spacing w:line="360" w:lineRule="auto"/>
        <w:rPr>
          <w:sz w:val="24"/>
        </w:rPr>
      </w:pPr>
      <w:r>
        <w:rPr>
          <w:rFonts w:hint="eastAsia"/>
          <w:sz w:val="24"/>
        </w:rPr>
        <w:t>8</w:t>
      </w:r>
      <w:r>
        <w:rPr>
          <w:sz w:val="24"/>
        </w:rPr>
        <w:t>、监测报告</w:t>
      </w:r>
    </w:p>
    <w:p w14:paraId="13FA6E8A">
      <w:pPr>
        <w:spacing w:line="360" w:lineRule="auto"/>
        <w:rPr>
          <w:sz w:val="24"/>
        </w:rPr>
      </w:pPr>
      <w:r>
        <w:rPr>
          <w:rFonts w:hint="eastAsia"/>
          <w:sz w:val="24"/>
        </w:rPr>
        <w:t>9</w:t>
      </w:r>
      <w:r>
        <w:rPr>
          <w:sz w:val="24"/>
        </w:rPr>
        <w:t>、无害化处理产物监测结果</w:t>
      </w:r>
    </w:p>
    <w:p w14:paraId="70BA5216">
      <w:pPr>
        <w:spacing w:line="360" w:lineRule="auto"/>
        <w:rPr>
          <w:b/>
          <w:sz w:val="24"/>
        </w:rPr>
      </w:pPr>
      <w:r>
        <w:rPr>
          <w:b/>
          <w:sz w:val="24"/>
        </w:rPr>
        <w:t>附图：</w:t>
      </w:r>
    </w:p>
    <w:p w14:paraId="4704F7F6">
      <w:pPr>
        <w:spacing w:line="360" w:lineRule="auto"/>
        <w:rPr>
          <w:sz w:val="24"/>
        </w:rPr>
      </w:pPr>
      <w:r>
        <w:rPr>
          <w:sz w:val="24"/>
        </w:rPr>
        <w:t>1、</w:t>
      </w:r>
      <w:r>
        <w:rPr>
          <w:rFonts w:hint="eastAsia"/>
          <w:sz w:val="24"/>
        </w:rPr>
        <w:t>评价范围图及敏感点分布图</w:t>
      </w:r>
      <w:r>
        <w:rPr>
          <w:sz w:val="24"/>
        </w:rPr>
        <w:t>；</w:t>
      </w:r>
    </w:p>
    <w:p w14:paraId="0B2D3A7A">
      <w:pPr>
        <w:spacing w:line="360" w:lineRule="auto"/>
        <w:rPr>
          <w:sz w:val="24"/>
        </w:rPr>
      </w:pPr>
      <w:r>
        <w:rPr>
          <w:sz w:val="24"/>
        </w:rPr>
        <w:t>2、项目区总平面布置图；</w:t>
      </w:r>
    </w:p>
    <w:p w14:paraId="46D76E39">
      <w:pPr>
        <w:pStyle w:val="47"/>
        <w:spacing w:line="360" w:lineRule="auto"/>
      </w:pPr>
      <w:r>
        <w:rPr>
          <w:rFonts w:hint="eastAsia" w:ascii="Times New Roman" w:hAnsi="Times New Roman" w:cs="Times New Roman"/>
          <w:sz w:val="24"/>
        </w:rPr>
        <w:t>3、地理位置图；</w:t>
      </w:r>
    </w:p>
    <w:p w14:paraId="66324A4D">
      <w:pPr>
        <w:spacing w:line="360" w:lineRule="auto"/>
        <w:rPr>
          <w:sz w:val="24"/>
        </w:rPr>
      </w:pPr>
      <w:r>
        <w:rPr>
          <w:sz w:val="24"/>
        </w:rPr>
        <w:t>4、项目区水系图；</w:t>
      </w:r>
    </w:p>
    <w:p w14:paraId="180E44A1">
      <w:pPr>
        <w:spacing w:line="360" w:lineRule="auto"/>
        <w:rPr>
          <w:sz w:val="24"/>
        </w:rPr>
      </w:pPr>
      <w:r>
        <w:rPr>
          <w:sz w:val="24"/>
        </w:rPr>
        <w:t>5、项目监测布点图；</w:t>
      </w:r>
    </w:p>
    <w:p w14:paraId="48C93A95">
      <w:pPr>
        <w:spacing w:line="360" w:lineRule="auto"/>
        <w:rPr>
          <w:sz w:val="24"/>
        </w:rPr>
      </w:pPr>
      <w:r>
        <w:rPr>
          <w:sz w:val="24"/>
        </w:rPr>
        <w:t>6：项目与石林风景名胜区保护区位置关系；</w:t>
      </w:r>
    </w:p>
    <w:p w14:paraId="381FDE56">
      <w:pPr>
        <w:spacing w:line="360" w:lineRule="auto"/>
        <w:rPr>
          <w:sz w:val="24"/>
        </w:rPr>
      </w:pPr>
      <w:r>
        <w:rPr>
          <w:sz w:val="24"/>
        </w:rPr>
        <w:t>7：项目所在区域水文地质图；</w:t>
      </w:r>
    </w:p>
    <w:p w14:paraId="5722F013">
      <w:pPr>
        <w:spacing w:line="360" w:lineRule="auto"/>
        <w:rPr>
          <w:sz w:val="24"/>
        </w:rPr>
      </w:pPr>
      <w:r>
        <w:rPr>
          <w:rFonts w:hint="eastAsia"/>
          <w:sz w:val="24"/>
        </w:rPr>
        <w:t>8</w:t>
      </w:r>
      <w:r>
        <w:rPr>
          <w:sz w:val="24"/>
        </w:rPr>
        <w:t>：项目防渗分区示意图；</w:t>
      </w:r>
    </w:p>
    <w:p w14:paraId="5C5A9F3F">
      <w:pPr>
        <w:spacing w:line="360" w:lineRule="auto"/>
        <w:rPr>
          <w:sz w:val="24"/>
        </w:rPr>
      </w:pPr>
      <w:r>
        <w:rPr>
          <w:rFonts w:hint="eastAsia"/>
          <w:sz w:val="24"/>
        </w:rPr>
        <w:t>9</w:t>
      </w:r>
      <w:r>
        <w:rPr>
          <w:sz w:val="24"/>
        </w:rPr>
        <w:t>：土地利用现状图</w:t>
      </w:r>
    </w:p>
    <w:p w14:paraId="6BA5726C">
      <w:pPr>
        <w:spacing w:line="360" w:lineRule="auto"/>
        <w:rPr>
          <w:sz w:val="24"/>
        </w:rPr>
      </w:pPr>
    </w:p>
    <w:p w14:paraId="1DADBA44">
      <w:pPr>
        <w:spacing w:line="360" w:lineRule="auto"/>
      </w:pPr>
    </w:p>
    <w:p w14:paraId="648C7D8A">
      <w:pPr>
        <w:spacing w:line="360" w:lineRule="auto"/>
        <w:sectPr>
          <w:pgSz w:w="11906" w:h="16838"/>
          <w:pgMar w:top="1440" w:right="1797" w:bottom="1440" w:left="1797" w:header="851" w:footer="992" w:gutter="0"/>
          <w:pgNumType w:fmt="upperRoman" w:start="1"/>
          <w:cols w:space="720" w:num="1"/>
          <w:docGrid w:linePitch="312" w:charSpace="0"/>
        </w:sectPr>
      </w:pPr>
    </w:p>
    <w:p w14:paraId="19C74759">
      <w:pPr>
        <w:pStyle w:val="5"/>
        <w:tabs>
          <w:tab w:val="left" w:pos="2895"/>
        </w:tabs>
        <w:spacing w:before="0" w:after="0" w:line="360" w:lineRule="auto"/>
        <w:rPr>
          <w:sz w:val="32"/>
          <w:szCs w:val="32"/>
        </w:rPr>
      </w:pPr>
      <w:bookmarkStart w:id="7" w:name="_Toc27631"/>
      <w:r>
        <w:rPr>
          <w:sz w:val="32"/>
          <w:szCs w:val="32"/>
        </w:rPr>
        <w:t>1概述</w:t>
      </w:r>
      <w:bookmarkEnd w:id="7"/>
    </w:p>
    <w:p w14:paraId="2D44DF13">
      <w:pPr>
        <w:pStyle w:val="6"/>
        <w:spacing w:before="0" w:after="0" w:line="360" w:lineRule="auto"/>
        <w:rPr>
          <w:rFonts w:ascii="Times New Roman" w:hAnsi="Times New Roman" w:eastAsia="宋体"/>
          <w:sz w:val="30"/>
          <w:szCs w:val="30"/>
        </w:rPr>
      </w:pPr>
      <w:bookmarkStart w:id="8" w:name="_Toc8712"/>
      <w:r>
        <w:rPr>
          <w:rFonts w:ascii="Times New Roman" w:hAnsi="Times New Roman" w:eastAsia="宋体"/>
          <w:sz w:val="30"/>
          <w:szCs w:val="30"/>
        </w:rPr>
        <w:t>1.1任务由来</w:t>
      </w:r>
      <w:bookmarkEnd w:id="8"/>
    </w:p>
    <w:p w14:paraId="332B5BCC">
      <w:pPr>
        <w:spacing w:line="360" w:lineRule="auto"/>
        <w:ind w:firstLine="480" w:firstLineChars="200"/>
        <w:rPr>
          <w:sz w:val="24"/>
        </w:rPr>
      </w:pPr>
      <w:r>
        <w:rPr>
          <w:sz w:val="24"/>
        </w:rPr>
        <w:t>《中共中央 国务院关于落实发展新理念加快农业现代化实现全面建成小康目标的若干意见》（中发〔2016〕1号）要求：“加快现代畜牧业建设，根据环境容量调整区域养殖布局，优化畜禽养殖结构，形成规模化生产、集约化经营为主导的产业发展格局。”《中共云南省委 云南省人民政府关于加快高原特色农业现代化实现全面建成小康目标的意见》（云发〔2016〕1号）也强调：“加大创新驱动力度，推进农业供给侧结构性改革，加快推进高原特色农业现代化。” 中共昆明市、县党委和政府在贯彻落实中央和省有关文件精神以及编制的州、县“十三五”农业和农村经济发展规划中均提出，加强高原特色农业基地建设，培育壮大新型农业经营主体，推进现代农业和信息化深度融合，促进农业可持续发展，为地区经济转型升级、提速发展、跨越式发展奠定坚实基础。大力发展高原特色现代农业是当前和今后较长时期内云南现代农业发展的重要途径和新模式，是建立新型工农城乡关系，加快农业农村经济转型升级，推动农村一二三产业融合发展，全面建成小康社会目标的现实需要和重要途径。</w:t>
      </w:r>
    </w:p>
    <w:p w14:paraId="1499E127">
      <w:pPr>
        <w:spacing w:line="360" w:lineRule="auto"/>
        <w:ind w:firstLine="480" w:firstLineChars="200"/>
        <w:rPr>
          <w:sz w:val="24"/>
        </w:rPr>
      </w:pPr>
      <w:r>
        <w:rPr>
          <w:sz w:val="24"/>
        </w:rPr>
        <w:t>公司原为煤矿企业，2008年购买了鑫旺煤矿、盛丰煤矿，先后投资改造，规模达到年产30万吨、15万吨，《云南省人民政府关于整治</w:t>
      </w:r>
      <w:r>
        <w:rPr>
          <w:color w:val="auto"/>
          <w:sz w:val="24"/>
          <w:u w:val="none"/>
        </w:rPr>
        <w:t>煤</w:t>
      </w:r>
      <w:r>
        <w:rPr>
          <w:sz w:val="24"/>
        </w:rPr>
        <w:t>炭行业加强</w:t>
      </w:r>
      <w:r>
        <w:rPr>
          <w:color w:val="auto"/>
          <w:sz w:val="24"/>
          <w:u w:val="none"/>
        </w:rPr>
        <w:t>煤矿</w:t>
      </w:r>
      <w:r>
        <w:rPr>
          <w:sz w:val="24"/>
        </w:rPr>
        <w:t>安全生产的通知》(云政发〔2020〕9号)明确提出，全省煤炭产业布局以曲靖、昭通、红河等3个州市为重点，以楚雄州楚雄市、南华县，文山州富宁县，大理州祥云县，丽江市华坪县等5个县市为补充，其余州市、县区一律退出，鑫旺煤矿、盛丰煤矿关闭，按照“绿水青山就是金山银山”的发展理念，公司成立石林源美农业发展有限公司，投资近2000万元完成10千伏农业用电设施、生产道路、供水管网及水肥一体化设施、基地应急水池和标准化生产管理用房等设施建，2018年和2019年又扩大了种植规模，目前已经扩大到2800亩，如今，源美农业创立了“圭山源美”品牌，将示范成果向周边农户推广，建立公司＋基地＋家户的果业发展示范点，带动圭山片区开展有机果品发展。基地依托优质水果生产、果树良种繁育及试验示范，计划建成集农业观光、良种繁育、品种展示、科技培训、休闲采摘、农事体验为一体的现代农业产业园，将有效带动附近农民增加增收渠道。为充分利用原煤矿关闭后闲置土地及生产厂房，石林源美农业发展有限公司决定在原煤矿关闭后闲置土地建设生猪养殖项目，形成种养结合模式。</w:t>
      </w:r>
    </w:p>
    <w:p w14:paraId="33E8A67F">
      <w:pPr>
        <w:spacing w:line="360" w:lineRule="auto"/>
        <w:ind w:firstLine="480" w:firstLineChars="200"/>
        <w:rPr>
          <w:sz w:val="24"/>
        </w:rPr>
      </w:pPr>
      <w:r>
        <w:rPr>
          <w:sz w:val="24"/>
        </w:rPr>
        <w:t>石林源美农业发展有限公司结合国家的产业政策、产业发展规划、产业前景及公司的发展战略，计划在原关闭煤矿位置石林彝族自治县圭山镇法块村委会法块村，普拉河村委会上寨村建设石林源美养殖场项目，建设完成后形成1期占地面积62亩，计划养殖生猪4800头；2期占地面积54亩，计划养殖生猪4500头。</w:t>
      </w:r>
    </w:p>
    <w:p w14:paraId="153F0059">
      <w:pPr>
        <w:pStyle w:val="6"/>
        <w:spacing w:before="0" w:after="0" w:line="360" w:lineRule="auto"/>
        <w:rPr>
          <w:rFonts w:ascii="Times New Roman" w:hAnsi="Times New Roman" w:eastAsia="宋体"/>
          <w:sz w:val="30"/>
          <w:szCs w:val="30"/>
        </w:rPr>
      </w:pPr>
      <w:bookmarkStart w:id="9" w:name="_Toc20289"/>
      <w:r>
        <w:rPr>
          <w:rFonts w:ascii="Times New Roman" w:hAnsi="Times New Roman" w:eastAsia="宋体"/>
          <w:sz w:val="30"/>
          <w:szCs w:val="30"/>
        </w:rPr>
        <w:t>1.2环境影响评价的工作过程</w:t>
      </w:r>
      <w:bookmarkEnd w:id="9"/>
    </w:p>
    <w:p w14:paraId="2FD34228">
      <w:pPr>
        <w:spacing w:line="360" w:lineRule="auto"/>
        <w:ind w:firstLine="480" w:firstLineChars="200"/>
        <w:rPr>
          <w:sz w:val="24"/>
        </w:rPr>
      </w:pPr>
      <w:r>
        <w:rPr>
          <w:sz w:val="24"/>
        </w:rPr>
        <w:t>根据《中华人民共和国环境保护法》、《中华人民共和国环境影响评价法》、《建设项目环境保护管理条例》和《云南省建设项目环境保护管理规定》等有关法律和规定，对于一切可能对环境造成影响的新建、改建或扩建的项目必须执行环境影响评价制度。根据《建设项目环境保护分类管理名录》（2021年版），本项目属于“二畜牧业”中“3、牲畜饲养、家禽饲养、其他畜牧业中年出栏生猪5000头（其他畜禽种类折合猪的养殖规模），本项目年出栏生猪18600头/年，需编制环境影响报告书的项目。</w:t>
      </w:r>
    </w:p>
    <w:p w14:paraId="55731388">
      <w:pPr>
        <w:spacing w:line="360" w:lineRule="auto"/>
        <w:ind w:firstLine="480" w:firstLineChars="200"/>
        <w:rPr>
          <w:sz w:val="24"/>
        </w:rPr>
      </w:pPr>
      <w:r>
        <w:rPr>
          <w:sz w:val="24"/>
        </w:rPr>
        <w:t>2021年3月，受建设单位的委托，我公司承担了本项目环境影响评价报告书的编制工作。接受委托后，我单位迅速组成项目工作小组，按《环境影响评价技术导则》所规定的原、方法、内容的和要求开展工作。在调研、收集和核实有关资料的基础上进行实地踏勘、现场监测、公众参与调查以及报告编制等工作。</w:t>
      </w:r>
    </w:p>
    <w:p w14:paraId="19F7AF78">
      <w:pPr>
        <w:spacing w:line="360" w:lineRule="auto"/>
        <w:ind w:firstLine="480" w:firstLineChars="200"/>
        <w:rPr>
          <w:sz w:val="24"/>
        </w:rPr>
      </w:pPr>
      <w:r>
        <w:rPr>
          <w:sz w:val="24"/>
        </w:rPr>
        <w:t>具体环境影响评价工作过程如下：</w:t>
      </w:r>
    </w:p>
    <w:p w14:paraId="775B74E0">
      <w:pPr>
        <w:spacing w:line="360" w:lineRule="auto"/>
        <w:ind w:firstLine="480" w:firstLineChars="200"/>
        <w:rPr>
          <w:sz w:val="24"/>
        </w:rPr>
      </w:pPr>
      <w:r>
        <w:rPr>
          <w:sz w:val="24"/>
        </w:rPr>
        <w:t xml:space="preserve">1、环评单位分别于2021年3月6日、2021年4月10日组织踏勘了项目场址，考察了项目周围地区的环境状况，收集了项目相关资料； </w:t>
      </w:r>
    </w:p>
    <w:p w14:paraId="18475E79">
      <w:pPr>
        <w:spacing w:line="360" w:lineRule="auto"/>
        <w:ind w:firstLine="480" w:firstLineChars="200"/>
        <w:rPr>
          <w:sz w:val="24"/>
        </w:rPr>
      </w:pPr>
      <w:r>
        <w:rPr>
          <w:sz w:val="24"/>
        </w:rPr>
        <w:t>2、于2021年3月1日进行第一次网络公示，公示链接为：http://www.eiafans.com/thread-1346618-1-1.html。并根据收集到的环境质量现状监测资料和项目的产排污特征制定了现状监测方案；</w:t>
      </w:r>
    </w:p>
    <w:p w14:paraId="4D8DA5C3">
      <w:pPr>
        <w:spacing w:line="360" w:lineRule="auto"/>
        <w:ind w:firstLine="480" w:firstLineChars="200"/>
        <w:rPr>
          <w:sz w:val="24"/>
        </w:rPr>
      </w:pPr>
      <w:r>
        <w:rPr>
          <w:sz w:val="24"/>
        </w:rPr>
        <w:t>3、于2021年3月28日~2021年4月3日委托云南环绿环境检测技术有限公司对评价区的环境空气、土壤环境、声环境质量现状进行监测。</w:t>
      </w:r>
    </w:p>
    <w:p w14:paraId="4A1236E3">
      <w:pPr>
        <w:spacing w:line="360" w:lineRule="auto"/>
        <w:ind w:firstLine="480" w:firstLineChars="200"/>
        <w:rPr>
          <w:sz w:val="24"/>
        </w:rPr>
      </w:pPr>
      <w:r>
        <w:rPr>
          <w:sz w:val="24"/>
        </w:rPr>
        <w:t>4、在收集和核实有关资料，认真研究项目相关情况的基础上，2021年11月1日，编制完成环境影响报告书初稿；</w:t>
      </w:r>
    </w:p>
    <w:p w14:paraId="7F5203A8">
      <w:pPr>
        <w:spacing w:line="360" w:lineRule="auto"/>
        <w:ind w:firstLine="480" w:firstLineChars="200"/>
        <w:rPr>
          <w:sz w:val="24"/>
        </w:rPr>
      </w:pPr>
      <w:r>
        <w:rPr>
          <w:sz w:val="24"/>
        </w:rPr>
        <w:t>根据以上基础，我公司依据环评相关的法律、法规、部门规章、技术导则等，结合现状环境质量监测与调查，在现场调查和收集、分析有关资料的基础上，2021年</w:t>
      </w:r>
      <w:r>
        <w:rPr>
          <w:rFonts w:hint="eastAsia"/>
          <w:sz w:val="24"/>
        </w:rPr>
        <w:t>12</w:t>
      </w:r>
      <w:r>
        <w:rPr>
          <w:sz w:val="24"/>
        </w:rPr>
        <w:t>月完成《石林源美养殖场项目环境影响报告书》（以下简称“报告书”），供建设单位上报。</w:t>
      </w:r>
    </w:p>
    <w:p w14:paraId="344B468D">
      <w:pPr>
        <w:spacing w:line="360" w:lineRule="auto"/>
        <w:ind w:firstLine="480" w:firstLineChars="200"/>
        <w:rPr>
          <w:sz w:val="24"/>
        </w:rPr>
      </w:pPr>
      <w:r>
        <w:rPr>
          <w:sz w:val="24"/>
        </w:rPr>
        <w:t>本项目环境影响评价过程可分为调查分析和工作方案确定阶段、分析论证和预测评价阶段、环境影响报告书编制阶段。工作流程详见下图。</w:t>
      </w:r>
    </w:p>
    <w:p w14:paraId="34F54CEA">
      <w:pPr>
        <w:snapToGrid w:val="0"/>
      </w:pPr>
      <w:r>
        <w:rPr>
          <w:b/>
          <w:kern w:val="0"/>
          <w:szCs w:val="21"/>
        </w:rPr>
        <w:drawing>
          <wp:inline distT="0" distB="0" distL="114300" distR="114300">
            <wp:extent cx="5281930" cy="5059045"/>
            <wp:effectExtent l="0" t="0" r="13970" b="8255"/>
            <wp:docPr id="224" name="图片 1" descr="环评工作图 新导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 descr="环评工作图 新导则1"/>
                    <pic:cNvPicPr>
                      <a:picLocks noChangeAspect="1"/>
                    </pic:cNvPicPr>
                  </pic:nvPicPr>
                  <pic:blipFill>
                    <a:blip r:embed="rId15"/>
                    <a:stretch>
                      <a:fillRect/>
                    </a:stretch>
                  </pic:blipFill>
                  <pic:spPr>
                    <a:xfrm>
                      <a:off x="0" y="0"/>
                      <a:ext cx="5281930" cy="5059045"/>
                    </a:xfrm>
                    <a:prstGeom prst="rect">
                      <a:avLst/>
                    </a:prstGeom>
                    <a:noFill/>
                    <a:ln>
                      <a:noFill/>
                    </a:ln>
                  </pic:spPr>
                </pic:pic>
              </a:graphicData>
            </a:graphic>
          </wp:inline>
        </w:drawing>
      </w:r>
    </w:p>
    <w:p w14:paraId="0CBE4E4F">
      <w:pPr>
        <w:spacing w:line="360" w:lineRule="auto"/>
        <w:ind w:firstLine="482" w:firstLineChars="200"/>
        <w:jc w:val="center"/>
        <w:rPr>
          <w:sz w:val="24"/>
        </w:rPr>
      </w:pPr>
      <w:r>
        <w:rPr>
          <w:b/>
          <w:sz w:val="24"/>
        </w:rPr>
        <w:t>图1-1      环境影响评价工作程序</w:t>
      </w:r>
    </w:p>
    <w:p w14:paraId="03DA0394">
      <w:pPr>
        <w:pStyle w:val="6"/>
        <w:spacing w:before="0" w:after="0" w:line="360" w:lineRule="auto"/>
        <w:rPr>
          <w:rFonts w:ascii="Times New Roman" w:hAnsi="Times New Roman" w:eastAsia="宋体"/>
          <w:sz w:val="30"/>
          <w:szCs w:val="30"/>
        </w:rPr>
      </w:pPr>
      <w:bookmarkStart w:id="10" w:name="_Toc12410"/>
      <w:bookmarkStart w:id="11" w:name="_Toc25589"/>
      <w:r>
        <w:rPr>
          <w:rFonts w:ascii="Times New Roman" w:hAnsi="Times New Roman" w:eastAsia="宋体"/>
          <w:sz w:val="30"/>
          <w:szCs w:val="30"/>
        </w:rPr>
        <w:t>1.3分析判定相关情况</w:t>
      </w:r>
      <w:bookmarkEnd w:id="10"/>
      <w:bookmarkEnd w:id="11"/>
    </w:p>
    <w:p w14:paraId="775C2B86">
      <w:pPr>
        <w:pStyle w:val="7"/>
        <w:spacing w:before="0" w:after="0" w:line="360" w:lineRule="auto"/>
        <w:rPr>
          <w:rFonts w:ascii="Times New Roman" w:hAnsi="Times New Roman"/>
        </w:rPr>
      </w:pPr>
      <w:bookmarkStart w:id="12" w:name="_Toc526853368"/>
      <w:r>
        <w:rPr>
          <w:rFonts w:ascii="Times New Roman" w:hAnsi="Times New Roman"/>
        </w:rPr>
        <w:t>1.3.1产业政策符合性分析</w:t>
      </w:r>
      <w:bookmarkEnd w:id="12"/>
    </w:p>
    <w:p w14:paraId="22CC8900">
      <w:pPr>
        <w:pStyle w:val="677"/>
        <w:ind w:firstLine="480"/>
        <w:rPr>
          <w:rFonts w:ascii="Times New Roman" w:hAnsi="Times New Roman"/>
          <w:szCs w:val="24"/>
          <w:lang w:eastAsia="zh-CN"/>
        </w:rPr>
      </w:pPr>
      <w:bookmarkStart w:id="13" w:name="_Toc526853369"/>
      <w:r>
        <w:rPr>
          <w:rFonts w:ascii="Times New Roman" w:hAnsi="Times New Roman"/>
          <w:szCs w:val="24"/>
        </w:rPr>
        <w:t>根据国家发改委《产业结构调整指导目录（</w:t>
      </w:r>
      <w:r>
        <w:rPr>
          <w:rFonts w:ascii="Times New Roman" w:hAnsi="Times New Roman"/>
          <w:szCs w:val="24"/>
          <w:lang w:eastAsia="zh-CN"/>
        </w:rPr>
        <w:t>2019</w:t>
      </w:r>
      <w:r>
        <w:rPr>
          <w:rFonts w:ascii="Times New Roman" w:hAnsi="Times New Roman"/>
          <w:szCs w:val="24"/>
        </w:rPr>
        <w:t>年本）》，本项目符合鼓励类中“农林类”中第</w:t>
      </w:r>
      <w:r>
        <w:rPr>
          <w:rFonts w:ascii="Times New Roman" w:hAnsi="Times New Roman"/>
          <w:szCs w:val="24"/>
          <w:lang w:eastAsia="zh-CN"/>
        </w:rPr>
        <w:t>4</w:t>
      </w:r>
      <w:r>
        <w:rPr>
          <w:rFonts w:ascii="Times New Roman" w:hAnsi="Times New Roman"/>
          <w:szCs w:val="24"/>
        </w:rPr>
        <w:t>条“畜禽标准化规模养殖技术开发与运用”</w:t>
      </w:r>
      <w:r>
        <w:rPr>
          <w:rFonts w:ascii="Times New Roman" w:hAnsi="Times New Roman"/>
          <w:szCs w:val="24"/>
          <w:lang w:eastAsia="zh-CN"/>
        </w:rPr>
        <w:t>、</w:t>
      </w:r>
      <w:r>
        <w:rPr>
          <w:rFonts w:ascii="Times New Roman" w:hAnsi="Times New Roman"/>
          <w:szCs w:val="24"/>
        </w:rPr>
        <w:t>第</w:t>
      </w:r>
      <w:r>
        <w:rPr>
          <w:rFonts w:ascii="Times New Roman" w:hAnsi="Times New Roman"/>
          <w:szCs w:val="24"/>
          <w:lang w:eastAsia="zh-CN"/>
        </w:rPr>
        <w:t>53</w:t>
      </w:r>
      <w:r>
        <w:rPr>
          <w:rFonts w:ascii="Times New Roman" w:hAnsi="Times New Roman"/>
          <w:szCs w:val="24"/>
        </w:rPr>
        <w:t>条</w:t>
      </w:r>
      <w:r>
        <w:rPr>
          <w:rFonts w:ascii="Times New Roman" w:hAnsi="Times New Roman"/>
          <w:szCs w:val="24"/>
          <w:lang w:eastAsia="zh-CN"/>
        </w:rPr>
        <w:t>“畜禽养殖废弃物处理和资源化利用（畜禽粪污肥料化、能源化、基料化和垫料化利用，病死畜禽无害化处理）”</w:t>
      </w:r>
      <w:r>
        <w:rPr>
          <w:rFonts w:ascii="Times New Roman" w:hAnsi="Times New Roman"/>
          <w:szCs w:val="24"/>
        </w:rPr>
        <w:t>，属于鼓励类，不属于限制类和淘汰类。因此，本项目符合国家产业政策。</w:t>
      </w:r>
    </w:p>
    <w:p w14:paraId="15F40A42">
      <w:pPr>
        <w:pStyle w:val="677"/>
        <w:ind w:firstLine="480"/>
        <w:jc w:val="both"/>
        <w:rPr>
          <w:rFonts w:ascii="Times New Roman" w:hAnsi="Times New Roman"/>
        </w:rPr>
      </w:pPr>
      <w:r>
        <w:rPr>
          <w:rFonts w:ascii="Times New Roman" w:hAnsi="Times New Roman"/>
        </w:rPr>
        <w:t>2021年</w:t>
      </w:r>
      <w:r>
        <w:rPr>
          <w:rFonts w:ascii="Times New Roman" w:hAnsi="Times New Roman"/>
          <w:lang w:val="en-US" w:eastAsia="zh-CN"/>
        </w:rPr>
        <w:t>4</w:t>
      </w:r>
      <w:r>
        <w:rPr>
          <w:rFonts w:ascii="Times New Roman" w:hAnsi="Times New Roman"/>
        </w:rPr>
        <w:t>月</w:t>
      </w:r>
      <w:r>
        <w:rPr>
          <w:rFonts w:ascii="Times New Roman" w:hAnsi="Times New Roman"/>
          <w:lang w:val="en-US" w:eastAsia="zh-CN"/>
        </w:rPr>
        <w:t>15</w:t>
      </w:r>
      <w:r>
        <w:rPr>
          <w:rFonts w:ascii="Times New Roman" w:hAnsi="Times New Roman"/>
        </w:rPr>
        <w:t>日，本项目已在全国投资项目在线审批监管平台申报并取得投资项目备案证，项目代码：2104-530126-89-01-311126，</w:t>
      </w:r>
      <w:r>
        <w:rPr>
          <w:rFonts w:ascii="Times New Roman" w:hAnsi="Times New Roman"/>
          <w:kern w:val="0"/>
        </w:rPr>
        <w:t>本项目符合产业政策。</w:t>
      </w:r>
    </w:p>
    <w:p w14:paraId="2E8F0296">
      <w:pPr>
        <w:pStyle w:val="7"/>
        <w:spacing w:before="0" w:after="0" w:line="360" w:lineRule="auto"/>
        <w:rPr>
          <w:rFonts w:ascii="Times New Roman" w:hAnsi="Times New Roman"/>
        </w:rPr>
      </w:pPr>
      <w:r>
        <w:rPr>
          <w:rFonts w:ascii="Times New Roman" w:hAnsi="Times New Roman"/>
        </w:rPr>
        <w:t>1.3.2用地符合性分析</w:t>
      </w:r>
      <w:bookmarkEnd w:id="13"/>
    </w:p>
    <w:p w14:paraId="4FE263D9">
      <w:pPr>
        <w:pStyle w:val="677"/>
        <w:ind w:firstLine="480"/>
        <w:rPr>
          <w:rFonts w:ascii="Times New Roman" w:hAnsi="Times New Roman"/>
        </w:rPr>
      </w:pPr>
      <w:r>
        <w:rPr>
          <w:rFonts w:ascii="Times New Roman" w:hAnsi="Times New Roman"/>
        </w:rPr>
        <w:t>本项目位于</w:t>
      </w:r>
      <w:r>
        <w:rPr>
          <w:rFonts w:ascii="Times New Roman" w:hAnsi="Times New Roman"/>
          <w:szCs w:val="24"/>
        </w:rPr>
        <w:t>昆明市石林彝族自治县圭山镇</w:t>
      </w:r>
      <w:r>
        <w:rPr>
          <w:rFonts w:ascii="Times New Roman" w:hAnsi="Times New Roman"/>
          <w:lang w:val="en-US" w:eastAsia="zh-CN"/>
        </w:rPr>
        <w:t>法块村委会法块村，普拉河村委会上寨村</w:t>
      </w:r>
      <w:r>
        <w:rPr>
          <w:rFonts w:ascii="Times New Roman" w:hAnsi="Times New Roman"/>
        </w:rPr>
        <w:t>，项目用地符合土地利用总体规划</w:t>
      </w:r>
      <w:r>
        <w:rPr>
          <w:rFonts w:ascii="Times New Roman" w:hAnsi="Times New Roman"/>
          <w:lang w:eastAsia="zh-CN"/>
        </w:rPr>
        <w:t>。</w:t>
      </w:r>
      <w:r>
        <w:rPr>
          <w:rFonts w:ascii="Times New Roman" w:hAnsi="Times New Roman"/>
        </w:rPr>
        <w:t>本项目占地属于</w:t>
      </w:r>
      <w:r>
        <w:rPr>
          <w:rFonts w:ascii="Times New Roman" w:hAnsi="Times New Roman"/>
          <w:lang w:val="en-US" w:eastAsia="zh-CN"/>
        </w:rPr>
        <w:t>设施农用地</w:t>
      </w:r>
      <w:r>
        <w:rPr>
          <w:rFonts w:ascii="Times New Roman" w:hAnsi="Times New Roman"/>
        </w:rPr>
        <w:t>，非基本农田保护区，可</w:t>
      </w:r>
      <w:r>
        <w:rPr>
          <w:rFonts w:ascii="Times New Roman" w:hAnsi="Times New Roman"/>
          <w:lang w:eastAsia="zh-CN"/>
        </w:rPr>
        <w:t>用于生猪养殖项目的建设</w:t>
      </w:r>
      <w:r>
        <w:rPr>
          <w:rFonts w:ascii="Times New Roman" w:hAnsi="Times New Roman"/>
        </w:rPr>
        <w:t>。</w:t>
      </w:r>
    </w:p>
    <w:p w14:paraId="5C4BBC1B">
      <w:pPr>
        <w:pStyle w:val="677"/>
        <w:ind w:firstLine="480"/>
        <w:rPr>
          <w:rFonts w:ascii="Times New Roman" w:hAnsi="Times New Roman"/>
        </w:rPr>
      </w:pPr>
      <w:r>
        <w:rPr>
          <w:rFonts w:ascii="Times New Roman" w:hAnsi="Times New Roman"/>
        </w:rPr>
        <w:t>根据现场调查，项目选址区域不属于集中式饮用水源地、风景名胜区、自然保护区等禁止养殖区域，不属于集中式饮用水源地、自然保护区等禁止养殖区域，符合环境保护要求。</w:t>
      </w:r>
    </w:p>
    <w:p w14:paraId="0A69D63F">
      <w:pPr>
        <w:pStyle w:val="677"/>
        <w:ind w:firstLine="480"/>
        <w:rPr>
          <w:rFonts w:ascii="Times New Roman" w:hAnsi="Times New Roman"/>
        </w:rPr>
      </w:pPr>
      <w:r>
        <w:rPr>
          <w:rFonts w:ascii="Times New Roman" w:hAnsi="Times New Roman"/>
        </w:rPr>
        <w:t>综上所述，本项目用地符合相关规划，项目用地得到</w:t>
      </w:r>
      <w:r>
        <w:rPr>
          <w:rFonts w:ascii="Times New Roman" w:hAnsi="Times New Roman"/>
          <w:lang w:eastAsia="zh-CN"/>
        </w:rPr>
        <w:t>石林县各</w:t>
      </w:r>
      <w:r>
        <w:rPr>
          <w:rFonts w:ascii="Times New Roman" w:hAnsi="Times New Roman"/>
        </w:rPr>
        <w:t>部门同意，办理了相关手续，符合畜禽规模养殖场建设条件。</w:t>
      </w:r>
    </w:p>
    <w:p w14:paraId="035F09FC">
      <w:pPr>
        <w:pStyle w:val="7"/>
        <w:spacing w:before="0" w:after="0" w:line="415" w:lineRule="auto"/>
        <w:rPr>
          <w:rFonts w:ascii="Times New Roman" w:hAnsi="Times New Roman"/>
        </w:rPr>
      </w:pPr>
      <w:bookmarkStart w:id="14" w:name="_Toc423426315"/>
      <w:bookmarkStart w:id="15" w:name="_Toc526853370"/>
      <w:bookmarkStart w:id="16" w:name="_Toc423426510"/>
      <w:bookmarkStart w:id="17" w:name="_Toc330483136"/>
      <w:bookmarkStart w:id="18" w:name="_Toc182022394"/>
      <w:bookmarkStart w:id="19" w:name="_Toc289433030"/>
      <w:r>
        <w:rPr>
          <w:rFonts w:ascii="Times New Roman" w:hAnsi="Times New Roman"/>
        </w:rPr>
        <w:t>1.3.3本项目选址环境可行性分析</w:t>
      </w:r>
      <w:bookmarkEnd w:id="14"/>
      <w:bookmarkEnd w:id="15"/>
      <w:bookmarkEnd w:id="16"/>
      <w:bookmarkEnd w:id="17"/>
      <w:bookmarkEnd w:id="18"/>
      <w:bookmarkEnd w:id="19"/>
    </w:p>
    <w:p w14:paraId="3C67B274">
      <w:pPr>
        <w:pStyle w:val="8"/>
        <w:ind w:firstLine="562"/>
      </w:pPr>
      <w:r>
        <w:t>1.3.3.1项目与《畜禽养殖业污染防治技术规范》的符合性分析</w:t>
      </w:r>
    </w:p>
    <w:p w14:paraId="77CF8EB1">
      <w:pPr>
        <w:spacing w:line="360" w:lineRule="auto"/>
        <w:ind w:firstLine="480" w:firstLineChars="200"/>
        <w:rPr>
          <w:sz w:val="24"/>
        </w:rPr>
      </w:pPr>
      <w:r>
        <w:rPr>
          <w:sz w:val="24"/>
        </w:rPr>
        <w:t>本项目选址位于昆明市石林彝族自治县圭山镇海邑村。为进一步阐明本项目选址的环境可行性，现就本项目选址情况与《畜禽养殖业污染防治技术规范》（HJ/T81-2001）中的选址要求的符合性分析如下：</w:t>
      </w:r>
    </w:p>
    <w:p w14:paraId="42DC6248">
      <w:pPr>
        <w:spacing w:line="360" w:lineRule="auto"/>
        <w:ind w:firstLine="480" w:firstLineChars="200"/>
        <w:rPr>
          <w:sz w:val="24"/>
        </w:rPr>
      </w:pPr>
      <w:r>
        <w:rPr>
          <w:sz w:val="24"/>
        </w:rPr>
        <w:t>（1）《畜禽养殖业污染防治技术规范》（HJ/T81-2001）选址要求</w:t>
      </w:r>
    </w:p>
    <w:p w14:paraId="0913B095">
      <w:pPr>
        <w:spacing w:line="360" w:lineRule="auto"/>
        <w:ind w:firstLine="480" w:firstLineChars="200"/>
        <w:rPr>
          <w:sz w:val="24"/>
        </w:rPr>
      </w:pPr>
      <w:r>
        <w:rPr>
          <w:sz w:val="24"/>
        </w:rPr>
        <w:t>“3 选址要求</w:t>
      </w:r>
    </w:p>
    <w:p w14:paraId="37C5D5E4">
      <w:pPr>
        <w:spacing w:line="360" w:lineRule="auto"/>
        <w:ind w:firstLine="480" w:firstLineChars="200"/>
        <w:rPr>
          <w:sz w:val="24"/>
        </w:rPr>
      </w:pPr>
      <w:r>
        <w:rPr>
          <w:sz w:val="24"/>
        </w:rPr>
        <w:t>3.1 禁止在下列区域内建设畜禽养殖场：</w:t>
      </w:r>
    </w:p>
    <w:p w14:paraId="41A1B44F">
      <w:pPr>
        <w:spacing w:line="360" w:lineRule="auto"/>
        <w:ind w:firstLine="480" w:firstLineChars="200"/>
        <w:rPr>
          <w:sz w:val="24"/>
        </w:rPr>
      </w:pPr>
      <w:r>
        <w:rPr>
          <w:sz w:val="24"/>
        </w:rPr>
        <w:t>3.1.1 生活饮用水水源保护区、风景名胜区、自然保护区的核心区及缓冲区；</w:t>
      </w:r>
    </w:p>
    <w:p w14:paraId="4C4371C5">
      <w:pPr>
        <w:spacing w:line="360" w:lineRule="auto"/>
        <w:ind w:firstLine="480" w:firstLineChars="200"/>
        <w:rPr>
          <w:sz w:val="24"/>
        </w:rPr>
      </w:pPr>
      <w:r>
        <w:rPr>
          <w:sz w:val="24"/>
        </w:rPr>
        <w:t>3.1.2 城市和城镇居民区，包括文教科研区、医疗区、商业区、工业区、游览区等人口集中地区；</w:t>
      </w:r>
    </w:p>
    <w:p w14:paraId="65AADEA0">
      <w:pPr>
        <w:spacing w:line="360" w:lineRule="auto"/>
        <w:ind w:firstLine="480" w:firstLineChars="200"/>
        <w:rPr>
          <w:sz w:val="24"/>
        </w:rPr>
      </w:pPr>
      <w:r>
        <w:rPr>
          <w:sz w:val="24"/>
        </w:rPr>
        <w:t>3.1.3 县级人民政府依法划定的禁养区域；</w:t>
      </w:r>
    </w:p>
    <w:p w14:paraId="6A75051A">
      <w:pPr>
        <w:spacing w:line="360" w:lineRule="auto"/>
        <w:ind w:firstLine="480" w:firstLineChars="200"/>
        <w:rPr>
          <w:sz w:val="24"/>
        </w:rPr>
      </w:pPr>
      <w:r>
        <w:rPr>
          <w:sz w:val="24"/>
        </w:rPr>
        <w:t>3.1.4 国家或地方法律、法规规定需特殊保护的其它区域。</w:t>
      </w:r>
    </w:p>
    <w:p w14:paraId="508FBF5E">
      <w:pPr>
        <w:spacing w:line="360" w:lineRule="auto"/>
        <w:ind w:firstLine="480" w:firstLineChars="200"/>
        <w:rPr>
          <w:sz w:val="24"/>
        </w:rPr>
      </w:pPr>
      <w:r>
        <w:rPr>
          <w:sz w:val="24"/>
        </w:rPr>
        <w:t>3.2 新建改建、扩建的畜禽养殖场选址应避开3.1规定的禁建区域，在禁建区域附近建设的，应设在3.1规定的禁建区域常年主导风向的下风向或侧风向处，场界与禁建区域边界的最小距离不得小于500m。”</w:t>
      </w:r>
    </w:p>
    <w:p w14:paraId="358FCBA9">
      <w:pPr>
        <w:spacing w:line="360" w:lineRule="auto"/>
        <w:ind w:firstLine="480" w:firstLineChars="200"/>
        <w:rPr>
          <w:sz w:val="24"/>
        </w:rPr>
      </w:pPr>
      <w:r>
        <w:rPr>
          <w:sz w:val="24"/>
        </w:rPr>
        <w:t>（2）本项目情况</w:t>
      </w:r>
    </w:p>
    <w:p w14:paraId="5B683077">
      <w:pPr>
        <w:pStyle w:val="47"/>
        <w:rPr>
          <w:rFonts w:ascii="Times New Roman" w:hAnsi="Times New Roman" w:cs="Times New Roman"/>
          <w:sz w:val="24"/>
        </w:rPr>
      </w:pPr>
    </w:p>
    <w:p w14:paraId="3EF38650">
      <w:pPr>
        <w:pStyle w:val="2"/>
        <w:rPr>
          <w:rFonts w:ascii="Times New Roman" w:hAnsi="Times New Roman"/>
          <w:color w:val="auto"/>
        </w:rPr>
      </w:pPr>
    </w:p>
    <w:p w14:paraId="6800DEA6">
      <w:pPr>
        <w:pStyle w:val="2"/>
        <w:rPr>
          <w:rFonts w:ascii="Times New Roman" w:hAnsi="Times New Roman"/>
          <w:color w:val="auto"/>
        </w:rPr>
      </w:pPr>
    </w:p>
    <w:p w14:paraId="1C490B17">
      <w:pPr>
        <w:spacing w:line="360" w:lineRule="auto"/>
        <w:ind w:firstLine="200"/>
        <w:jc w:val="center"/>
        <w:rPr>
          <w:b/>
          <w:sz w:val="24"/>
        </w:rPr>
      </w:pPr>
      <w:r>
        <w:rPr>
          <w:b/>
          <w:sz w:val="24"/>
        </w:rPr>
        <w:t>表1.3-1 项目选址合理性分析对照表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7"/>
        <w:gridCol w:w="4003"/>
        <w:gridCol w:w="728"/>
      </w:tblGrid>
      <w:tr w14:paraId="2DF1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2226" w:type="pct"/>
            <w:noWrap w:val="0"/>
            <w:vAlign w:val="center"/>
          </w:tcPr>
          <w:p w14:paraId="64515B01">
            <w:pPr>
              <w:spacing w:line="288" w:lineRule="auto"/>
              <w:jc w:val="center"/>
              <w:rPr>
                <w:b/>
                <w:bCs/>
                <w:szCs w:val="21"/>
              </w:rPr>
            </w:pPr>
            <w:r>
              <w:rPr>
                <w:b/>
                <w:bCs/>
                <w:szCs w:val="21"/>
              </w:rPr>
              <w:t>选址要求</w:t>
            </w:r>
          </w:p>
        </w:tc>
        <w:tc>
          <w:tcPr>
            <w:tcW w:w="2347" w:type="pct"/>
            <w:noWrap w:val="0"/>
            <w:vAlign w:val="center"/>
          </w:tcPr>
          <w:p w14:paraId="06CC1193">
            <w:pPr>
              <w:spacing w:line="288" w:lineRule="auto"/>
              <w:jc w:val="center"/>
              <w:rPr>
                <w:b/>
                <w:bCs/>
                <w:szCs w:val="21"/>
              </w:rPr>
            </w:pPr>
            <w:r>
              <w:rPr>
                <w:b/>
                <w:bCs/>
                <w:szCs w:val="21"/>
              </w:rPr>
              <w:t>本项目情况</w:t>
            </w:r>
          </w:p>
        </w:tc>
        <w:tc>
          <w:tcPr>
            <w:tcW w:w="427" w:type="pct"/>
            <w:noWrap w:val="0"/>
            <w:vAlign w:val="center"/>
          </w:tcPr>
          <w:p w14:paraId="7A8D6FD4">
            <w:pPr>
              <w:spacing w:line="288" w:lineRule="auto"/>
              <w:jc w:val="center"/>
              <w:rPr>
                <w:b/>
                <w:bCs/>
                <w:szCs w:val="21"/>
              </w:rPr>
            </w:pPr>
            <w:r>
              <w:rPr>
                <w:b/>
                <w:bCs/>
                <w:szCs w:val="21"/>
              </w:rPr>
              <w:t>结论</w:t>
            </w:r>
          </w:p>
        </w:tc>
      </w:tr>
      <w:tr w14:paraId="7170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2226" w:type="pct"/>
            <w:noWrap w:val="0"/>
            <w:vAlign w:val="center"/>
          </w:tcPr>
          <w:p w14:paraId="39277092">
            <w:pPr>
              <w:spacing w:line="288" w:lineRule="auto"/>
              <w:rPr>
                <w:szCs w:val="21"/>
              </w:rPr>
            </w:pPr>
            <w:r>
              <w:rPr>
                <w:kern w:val="0"/>
                <w:szCs w:val="21"/>
              </w:rPr>
              <w:t>禁止选在生活饮用水水源保护区、风景名胜区、自然保护区的核心区及缓冲区</w:t>
            </w:r>
          </w:p>
        </w:tc>
        <w:tc>
          <w:tcPr>
            <w:tcW w:w="2347" w:type="pct"/>
            <w:noWrap w:val="0"/>
            <w:vAlign w:val="center"/>
          </w:tcPr>
          <w:p w14:paraId="503CCE57">
            <w:pPr>
              <w:spacing w:line="288" w:lineRule="auto"/>
              <w:rPr>
                <w:szCs w:val="21"/>
              </w:rPr>
            </w:pPr>
            <w:r>
              <w:rPr>
                <w:szCs w:val="21"/>
              </w:rPr>
              <w:t>本项目场址不属于划定的生活饮用水水源保护区、风景名胜区、自然保护区的核心区及缓冲区</w:t>
            </w:r>
          </w:p>
        </w:tc>
        <w:tc>
          <w:tcPr>
            <w:tcW w:w="427" w:type="pct"/>
            <w:noWrap w:val="0"/>
            <w:vAlign w:val="center"/>
          </w:tcPr>
          <w:p w14:paraId="65C7299B">
            <w:pPr>
              <w:spacing w:line="288" w:lineRule="auto"/>
              <w:rPr>
                <w:szCs w:val="21"/>
              </w:rPr>
            </w:pPr>
            <w:r>
              <w:rPr>
                <w:szCs w:val="21"/>
              </w:rPr>
              <w:t>符合</w:t>
            </w:r>
          </w:p>
        </w:tc>
      </w:tr>
      <w:tr w14:paraId="2ACA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2226" w:type="pct"/>
            <w:noWrap w:val="0"/>
            <w:vAlign w:val="center"/>
          </w:tcPr>
          <w:p w14:paraId="2BFC4D7E">
            <w:pPr>
              <w:spacing w:line="288" w:lineRule="auto"/>
              <w:rPr>
                <w:szCs w:val="21"/>
              </w:rPr>
            </w:pPr>
            <w:r>
              <w:rPr>
                <w:kern w:val="0"/>
                <w:szCs w:val="21"/>
              </w:rPr>
              <w:t>禁止选在城市和城镇中居民区、文教科研区、医疗区等人口集中地区</w:t>
            </w:r>
          </w:p>
        </w:tc>
        <w:tc>
          <w:tcPr>
            <w:tcW w:w="2347" w:type="pct"/>
            <w:noWrap w:val="0"/>
            <w:vAlign w:val="center"/>
          </w:tcPr>
          <w:p w14:paraId="0A3D22C8">
            <w:pPr>
              <w:spacing w:line="288" w:lineRule="auto"/>
              <w:rPr>
                <w:szCs w:val="21"/>
              </w:rPr>
            </w:pPr>
            <w:r>
              <w:rPr>
                <w:szCs w:val="21"/>
              </w:rPr>
              <w:t>本项目位于昆明市石林彝族自治县法块村委会法块村，普拉河村委会上寨村；不属于城市和城镇居民区，包括文教科研区、医疗区、商业区、工业区、游览区等人口集中地区</w:t>
            </w:r>
          </w:p>
        </w:tc>
        <w:tc>
          <w:tcPr>
            <w:tcW w:w="427" w:type="pct"/>
            <w:noWrap w:val="0"/>
            <w:vAlign w:val="center"/>
          </w:tcPr>
          <w:p w14:paraId="0C77DB38">
            <w:pPr>
              <w:spacing w:line="288" w:lineRule="auto"/>
              <w:rPr>
                <w:szCs w:val="21"/>
              </w:rPr>
            </w:pPr>
            <w:r>
              <w:rPr>
                <w:szCs w:val="21"/>
              </w:rPr>
              <w:t>符合</w:t>
            </w:r>
          </w:p>
        </w:tc>
      </w:tr>
      <w:tr w14:paraId="4EFD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2226" w:type="pct"/>
            <w:noWrap w:val="0"/>
            <w:vAlign w:val="center"/>
          </w:tcPr>
          <w:p w14:paraId="269309CF">
            <w:pPr>
              <w:spacing w:line="288" w:lineRule="auto"/>
              <w:rPr>
                <w:szCs w:val="21"/>
              </w:rPr>
            </w:pPr>
            <w:r>
              <w:rPr>
                <w:kern w:val="0"/>
                <w:szCs w:val="21"/>
              </w:rPr>
              <w:t>县级人民政府依法划定的禁养区域</w:t>
            </w:r>
          </w:p>
        </w:tc>
        <w:tc>
          <w:tcPr>
            <w:tcW w:w="2347" w:type="pct"/>
            <w:noWrap w:val="0"/>
            <w:vAlign w:val="center"/>
          </w:tcPr>
          <w:p w14:paraId="7842460A">
            <w:pPr>
              <w:spacing w:line="288" w:lineRule="auto"/>
              <w:rPr>
                <w:szCs w:val="21"/>
              </w:rPr>
            </w:pPr>
            <w:r>
              <w:rPr>
                <w:szCs w:val="21"/>
              </w:rPr>
              <w:t>选址不在石林县划定的禁养区内，本项目选址符合畜禽规模养殖场建设条件</w:t>
            </w:r>
          </w:p>
        </w:tc>
        <w:tc>
          <w:tcPr>
            <w:tcW w:w="427" w:type="pct"/>
            <w:noWrap w:val="0"/>
            <w:vAlign w:val="center"/>
          </w:tcPr>
          <w:p w14:paraId="5FF83FC7">
            <w:pPr>
              <w:spacing w:line="288" w:lineRule="auto"/>
              <w:rPr>
                <w:szCs w:val="21"/>
              </w:rPr>
            </w:pPr>
            <w:r>
              <w:rPr>
                <w:szCs w:val="21"/>
              </w:rPr>
              <w:t>符合</w:t>
            </w:r>
          </w:p>
        </w:tc>
      </w:tr>
      <w:tr w14:paraId="1D8D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2226" w:type="pct"/>
            <w:noWrap w:val="0"/>
            <w:vAlign w:val="center"/>
          </w:tcPr>
          <w:p w14:paraId="1BE08765">
            <w:pPr>
              <w:spacing w:line="288" w:lineRule="auto"/>
              <w:rPr>
                <w:szCs w:val="21"/>
              </w:rPr>
            </w:pPr>
            <w:r>
              <w:rPr>
                <w:kern w:val="0"/>
                <w:szCs w:val="21"/>
              </w:rPr>
              <w:t>国家或地方法律、法规规定需特殊保护的其他区域</w:t>
            </w:r>
          </w:p>
        </w:tc>
        <w:tc>
          <w:tcPr>
            <w:tcW w:w="2347" w:type="pct"/>
            <w:noWrap w:val="0"/>
            <w:vAlign w:val="center"/>
          </w:tcPr>
          <w:p w14:paraId="601261CD">
            <w:pPr>
              <w:spacing w:line="288" w:lineRule="auto"/>
              <w:rPr>
                <w:szCs w:val="21"/>
              </w:rPr>
            </w:pPr>
            <w:r>
              <w:rPr>
                <w:szCs w:val="21"/>
              </w:rPr>
              <w:t>没有需要特殊保护的区域</w:t>
            </w:r>
          </w:p>
        </w:tc>
        <w:tc>
          <w:tcPr>
            <w:tcW w:w="427" w:type="pct"/>
            <w:noWrap w:val="0"/>
            <w:vAlign w:val="center"/>
          </w:tcPr>
          <w:p w14:paraId="1C2F58F5">
            <w:pPr>
              <w:spacing w:line="288" w:lineRule="auto"/>
              <w:rPr>
                <w:szCs w:val="21"/>
              </w:rPr>
            </w:pPr>
            <w:r>
              <w:rPr>
                <w:szCs w:val="21"/>
              </w:rPr>
              <w:t>符合</w:t>
            </w:r>
          </w:p>
        </w:tc>
      </w:tr>
      <w:tr w14:paraId="3298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2226" w:type="pct"/>
            <w:noWrap w:val="0"/>
            <w:vAlign w:val="center"/>
          </w:tcPr>
          <w:p w14:paraId="2842DC6D">
            <w:pPr>
              <w:spacing w:line="288" w:lineRule="auto"/>
              <w:rPr>
                <w:szCs w:val="21"/>
              </w:rPr>
            </w:pPr>
            <w:r>
              <w:rPr>
                <w:rStyle w:val="926"/>
              </w:rPr>
              <w:t>应设在规范3.1条规定的禁建区域常年主导风向的下风向或侧风向处，场界与禁建区域边界的最小距离不得小于500m</w:t>
            </w:r>
            <w:r>
              <w:rPr>
                <w:szCs w:val="21"/>
              </w:rPr>
              <w:t xml:space="preserve"> </w:t>
            </w:r>
          </w:p>
        </w:tc>
        <w:tc>
          <w:tcPr>
            <w:tcW w:w="2347" w:type="pct"/>
            <w:noWrap w:val="0"/>
            <w:vAlign w:val="center"/>
          </w:tcPr>
          <w:p w14:paraId="19C98366">
            <w:pPr>
              <w:spacing w:line="288" w:lineRule="auto"/>
              <w:rPr>
                <w:szCs w:val="21"/>
              </w:rPr>
            </w:pPr>
            <w:r>
              <w:rPr>
                <w:szCs w:val="21"/>
              </w:rPr>
              <w:t>距项目不涉及</w:t>
            </w:r>
            <w:r>
              <w:rPr>
                <w:rStyle w:val="926"/>
              </w:rPr>
              <w:t>禁建区</w:t>
            </w:r>
          </w:p>
        </w:tc>
        <w:tc>
          <w:tcPr>
            <w:tcW w:w="427" w:type="pct"/>
            <w:noWrap w:val="0"/>
            <w:vAlign w:val="center"/>
          </w:tcPr>
          <w:p w14:paraId="4CEF7E69">
            <w:pPr>
              <w:spacing w:line="288" w:lineRule="auto"/>
              <w:rPr>
                <w:szCs w:val="21"/>
              </w:rPr>
            </w:pPr>
            <w:r>
              <w:rPr>
                <w:szCs w:val="21"/>
              </w:rPr>
              <w:t>符合</w:t>
            </w:r>
          </w:p>
        </w:tc>
      </w:tr>
    </w:tbl>
    <w:p w14:paraId="6ED32E92">
      <w:pPr>
        <w:spacing w:line="360" w:lineRule="auto"/>
        <w:ind w:firstLine="480" w:firstLineChars="200"/>
        <w:rPr>
          <w:sz w:val="24"/>
        </w:rPr>
      </w:pPr>
      <w:r>
        <w:rPr>
          <w:sz w:val="24"/>
        </w:rPr>
        <w:t>由上表可以看出，本项目符合《畜禽养殖业污染防治技术规范》选址要求，项目选址符合畜禽规模养殖场建设条件。</w:t>
      </w:r>
    </w:p>
    <w:p w14:paraId="2813875A">
      <w:pPr>
        <w:pStyle w:val="76"/>
        <w:spacing w:after="0" w:line="360" w:lineRule="auto"/>
        <w:ind w:firstLine="480" w:firstLineChars="200"/>
        <w:rPr>
          <w:sz w:val="24"/>
        </w:rPr>
      </w:pPr>
      <w:r>
        <w:rPr>
          <w:sz w:val="24"/>
        </w:rPr>
        <w:t>综合以上分析可见，该项目选址符合要求。</w:t>
      </w:r>
    </w:p>
    <w:p w14:paraId="1A69DED5">
      <w:pPr>
        <w:pStyle w:val="8"/>
        <w:ind w:firstLine="562"/>
      </w:pPr>
      <w:r>
        <w:t>1.3.3.2项目与</w:t>
      </w:r>
      <w:r>
        <w:rPr>
          <w:kern w:val="18"/>
          <w:sz w:val="24"/>
          <w:szCs w:val="24"/>
        </w:rPr>
        <w:t>《畜禽规模养殖污染防治条例》</w:t>
      </w:r>
      <w:r>
        <w:t>的符合性分析</w:t>
      </w:r>
    </w:p>
    <w:p w14:paraId="32A34F6E">
      <w:pPr>
        <w:spacing w:line="360" w:lineRule="auto"/>
        <w:ind w:firstLine="480" w:firstLineChars="200"/>
        <w:rPr>
          <w:sz w:val="24"/>
        </w:rPr>
      </w:pPr>
      <w:r>
        <w:rPr>
          <w:sz w:val="24"/>
        </w:rPr>
        <w:t>根据《畜禽规模养殖污染防治条例》（国务院令第643号）第十一条规定，</w:t>
      </w:r>
      <w:r>
        <w:rPr>
          <w:sz w:val="24"/>
          <w:shd w:val="clear" w:color="auto" w:fill="FFFFFF"/>
        </w:rPr>
        <w:t>禁止在下列区域内建设畜禽养殖场、养殖小区</w:t>
      </w:r>
      <w:r>
        <w:rPr>
          <w:sz w:val="24"/>
        </w:rPr>
        <w:t>：</w:t>
      </w:r>
    </w:p>
    <w:p w14:paraId="0E171E16">
      <w:pPr>
        <w:ind w:firstLine="1308" w:firstLineChars="543"/>
        <w:rPr>
          <w:b/>
          <w:bCs/>
          <w:sz w:val="24"/>
        </w:rPr>
      </w:pPr>
      <w:r>
        <w:rPr>
          <w:b/>
          <w:bCs/>
          <w:sz w:val="24"/>
        </w:rPr>
        <w:t>表1.3-2   场址选择与《畜禽规模养殖污染防治条例》的符合性</w:t>
      </w:r>
    </w:p>
    <w:tbl>
      <w:tblPr>
        <w:tblStyle w:val="8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18"/>
        <w:gridCol w:w="2569"/>
        <w:gridCol w:w="1141"/>
      </w:tblGrid>
      <w:tr w14:paraId="07A6E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After w:w="0" w:type="dxa"/>
        </w:trPr>
        <w:tc>
          <w:tcPr>
            <w:tcW w:w="2825" w:type="pct"/>
            <w:shd w:val="clear" w:color="auto" w:fill="D7D7D7"/>
            <w:noWrap w:val="0"/>
            <w:vAlign w:val="center"/>
          </w:tcPr>
          <w:p w14:paraId="6D562D99">
            <w:pPr>
              <w:jc w:val="center"/>
              <w:rPr>
                <w:b/>
                <w:szCs w:val="21"/>
              </w:rPr>
            </w:pPr>
            <w:r>
              <w:rPr>
                <w:b/>
                <w:szCs w:val="21"/>
              </w:rPr>
              <w:t>《畜禽规模养殖污染防治条例》要求</w:t>
            </w:r>
          </w:p>
        </w:tc>
        <w:tc>
          <w:tcPr>
            <w:tcW w:w="1506" w:type="pct"/>
            <w:shd w:val="clear" w:color="auto" w:fill="D7D7D7"/>
            <w:noWrap w:val="0"/>
            <w:vAlign w:val="center"/>
          </w:tcPr>
          <w:p w14:paraId="58E9668A">
            <w:pPr>
              <w:jc w:val="center"/>
              <w:rPr>
                <w:b/>
                <w:szCs w:val="21"/>
              </w:rPr>
            </w:pPr>
            <w:r>
              <w:rPr>
                <w:b/>
                <w:szCs w:val="21"/>
              </w:rPr>
              <w:t>项目情况</w:t>
            </w:r>
          </w:p>
        </w:tc>
        <w:tc>
          <w:tcPr>
            <w:tcW w:w="669" w:type="pct"/>
            <w:shd w:val="clear" w:color="auto" w:fill="D7D7D7"/>
            <w:noWrap w:val="0"/>
            <w:vAlign w:val="center"/>
          </w:tcPr>
          <w:p w14:paraId="1DAE8452">
            <w:pPr>
              <w:jc w:val="center"/>
              <w:rPr>
                <w:b/>
                <w:szCs w:val="21"/>
              </w:rPr>
            </w:pPr>
            <w:r>
              <w:rPr>
                <w:b/>
                <w:szCs w:val="21"/>
              </w:rPr>
              <w:t>符合性</w:t>
            </w:r>
          </w:p>
        </w:tc>
      </w:tr>
      <w:tr w14:paraId="2A4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After w:w="0" w:type="dxa"/>
        </w:trPr>
        <w:tc>
          <w:tcPr>
            <w:tcW w:w="2825" w:type="pct"/>
            <w:noWrap w:val="0"/>
            <w:vAlign w:val="center"/>
          </w:tcPr>
          <w:p w14:paraId="615F3A58">
            <w:pPr>
              <w:ind w:firstLine="420" w:firstLineChars="200"/>
              <w:jc w:val="center"/>
              <w:rPr>
                <w:szCs w:val="21"/>
              </w:rPr>
            </w:pPr>
            <w:r>
              <w:rPr>
                <w:szCs w:val="21"/>
              </w:rPr>
              <w:t>禁止建设在</w:t>
            </w:r>
            <w:r>
              <w:rPr>
                <w:szCs w:val="21"/>
                <w:shd w:val="clear" w:color="auto" w:fill="FFFFFF"/>
              </w:rPr>
              <w:t>饮用水水源保护区，风景名胜区</w:t>
            </w:r>
          </w:p>
        </w:tc>
        <w:tc>
          <w:tcPr>
            <w:tcW w:w="1506" w:type="pct"/>
            <w:noWrap w:val="0"/>
            <w:vAlign w:val="center"/>
          </w:tcPr>
          <w:p w14:paraId="4AEE0F59">
            <w:pPr>
              <w:jc w:val="center"/>
              <w:rPr>
                <w:szCs w:val="21"/>
              </w:rPr>
            </w:pPr>
            <w:r>
              <w:rPr>
                <w:szCs w:val="21"/>
              </w:rPr>
              <w:t>项目建设不在禁建区内</w:t>
            </w:r>
          </w:p>
        </w:tc>
        <w:tc>
          <w:tcPr>
            <w:tcW w:w="669" w:type="pct"/>
            <w:noWrap w:val="0"/>
            <w:vAlign w:val="center"/>
          </w:tcPr>
          <w:p w14:paraId="4ADC3A9E">
            <w:pPr>
              <w:jc w:val="center"/>
              <w:rPr>
                <w:szCs w:val="21"/>
              </w:rPr>
            </w:pPr>
            <w:r>
              <w:rPr>
                <w:szCs w:val="21"/>
              </w:rPr>
              <w:t>符合</w:t>
            </w:r>
          </w:p>
        </w:tc>
      </w:tr>
      <w:tr w14:paraId="4FA8F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After w:w="0" w:type="dxa"/>
        </w:trPr>
        <w:tc>
          <w:tcPr>
            <w:tcW w:w="2825" w:type="pct"/>
            <w:noWrap w:val="0"/>
            <w:vAlign w:val="center"/>
          </w:tcPr>
          <w:p w14:paraId="0A8497A9">
            <w:pPr>
              <w:ind w:firstLine="420" w:firstLineChars="200"/>
              <w:jc w:val="center"/>
              <w:rPr>
                <w:szCs w:val="21"/>
              </w:rPr>
            </w:pPr>
            <w:r>
              <w:rPr>
                <w:szCs w:val="21"/>
              </w:rPr>
              <w:t>禁止建设在</w:t>
            </w:r>
            <w:r>
              <w:rPr>
                <w:szCs w:val="21"/>
                <w:shd w:val="clear" w:color="auto" w:fill="FFFFFF"/>
              </w:rPr>
              <w:t>然保护区的核心区和缓冲区</w:t>
            </w:r>
          </w:p>
        </w:tc>
        <w:tc>
          <w:tcPr>
            <w:tcW w:w="1506" w:type="pct"/>
            <w:noWrap w:val="0"/>
            <w:vAlign w:val="center"/>
          </w:tcPr>
          <w:p w14:paraId="12EA3C1B">
            <w:pPr>
              <w:jc w:val="center"/>
              <w:rPr>
                <w:szCs w:val="21"/>
              </w:rPr>
            </w:pPr>
            <w:r>
              <w:rPr>
                <w:szCs w:val="21"/>
              </w:rPr>
              <w:t>项目建设不在禁建区内</w:t>
            </w:r>
          </w:p>
        </w:tc>
        <w:tc>
          <w:tcPr>
            <w:tcW w:w="669" w:type="pct"/>
            <w:noWrap w:val="0"/>
            <w:vAlign w:val="center"/>
          </w:tcPr>
          <w:p w14:paraId="413444CF">
            <w:pPr>
              <w:jc w:val="center"/>
              <w:rPr>
                <w:szCs w:val="21"/>
              </w:rPr>
            </w:pPr>
            <w:r>
              <w:rPr>
                <w:szCs w:val="21"/>
              </w:rPr>
              <w:t>符合</w:t>
            </w:r>
          </w:p>
        </w:tc>
      </w:tr>
      <w:tr w14:paraId="388B6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After w:w="0" w:type="dxa"/>
        </w:trPr>
        <w:tc>
          <w:tcPr>
            <w:tcW w:w="2825" w:type="pct"/>
            <w:noWrap w:val="0"/>
            <w:vAlign w:val="center"/>
          </w:tcPr>
          <w:p w14:paraId="6499AAF0">
            <w:pPr>
              <w:jc w:val="center"/>
              <w:rPr>
                <w:szCs w:val="21"/>
              </w:rPr>
            </w:pPr>
            <w:r>
              <w:rPr>
                <w:szCs w:val="21"/>
              </w:rPr>
              <w:t>禁止建设在</w:t>
            </w:r>
            <w:r>
              <w:rPr>
                <w:szCs w:val="21"/>
                <w:shd w:val="clear" w:color="auto" w:fill="FFFFFF"/>
              </w:rPr>
              <w:t>城镇居民区、文化教育科学研究区等人口集中区域</w:t>
            </w:r>
          </w:p>
        </w:tc>
        <w:tc>
          <w:tcPr>
            <w:tcW w:w="1506" w:type="pct"/>
            <w:noWrap w:val="0"/>
            <w:vAlign w:val="center"/>
          </w:tcPr>
          <w:p w14:paraId="2A89A402">
            <w:pPr>
              <w:jc w:val="center"/>
              <w:rPr>
                <w:szCs w:val="21"/>
              </w:rPr>
            </w:pPr>
            <w:r>
              <w:rPr>
                <w:szCs w:val="21"/>
              </w:rPr>
              <w:t>项目建设不在禁建区内</w:t>
            </w:r>
          </w:p>
        </w:tc>
        <w:tc>
          <w:tcPr>
            <w:tcW w:w="669" w:type="pct"/>
            <w:noWrap w:val="0"/>
            <w:vAlign w:val="center"/>
          </w:tcPr>
          <w:p w14:paraId="71CED46C">
            <w:pPr>
              <w:jc w:val="center"/>
              <w:rPr>
                <w:szCs w:val="21"/>
              </w:rPr>
            </w:pPr>
            <w:r>
              <w:rPr>
                <w:szCs w:val="21"/>
              </w:rPr>
              <w:t>符合</w:t>
            </w:r>
          </w:p>
        </w:tc>
      </w:tr>
      <w:tr w14:paraId="0655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After w:w="0" w:type="dxa"/>
        </w:trPr>
        <w:tc>
          <w:tcPr>
            <w:tcW w:w="2825" w:type="pct"/>
            <w:noWrap w:val="0"/>
            <w:vAlign w:val="center"/>
          </w:tcPr>
          <w:p w14:paraId="4C4383BA">
            <w:pPr>
              <w:jc w:val="center"/>
              <w:rPr>
                <w:szCs w:val="21"/>
              </w:rPr>
            </w:pPr>
            <w:r>
              <w:rPr>
                <w:szCs w:val="21"/>
              </w:rPr>
              <w:t>禁止建设在</w:t>
            </w:r>
            <w:r>
              <w:rPr>
                <w:szCs w:val="21"/>
                <w:shd w:val="clear" w:color="auto" w:fill="FFFFFF"/>
              </w:rPr>
              <w:t>法律、法规规定的其他禁止养殖区域</w:t>
            </w:r>
          </w:p>
        </w:tc>
        <w:tc>
          <w:tcPr>
            <w:tcW w:w="1506" w:type="pct"/>
            <w:noWrap w:val="0"/>
            <w:vAlign w:val="center"/>
          </w:tcPr>
          <w:p w14:paraId="7700C8EB">
            <w:pPr>
              <w:jc w:val="center"/>
              <w:rPr>
                <w:szCs w:val="21"/>
              </w:rPr>
            </w:pPr>
            <w:r>
              <w:rPr>
                <w:szCs w:val="21"/>
              </w:rPr>
              <w:t>项目建设不在禁建区内</w:t>
            </w:r>
          </w:p>
        </w:tc>
        <w:tc>
          <w:tcPr>
            <w:tcW w:w="669" w:type="pct"/>
            <w:noWrap w:val="0"/>
            <w:vAlign w:val="center"/>
          </w:tcPr>
          <w:p w14:paraId="5BDF0715">
            <w:pPr>
              <w:jc w:val="center"/>
              <w:rPr>
                <w:szCs w:val="21"/>
              </w:rPr>
            </w:pPr>
            <w:r>
              <w:rPr>
                <w:szCs w:val="21"/>
              </w:rPr>
              <w:t>符合</w:t>
            </w:r>
          </w:p>
        </w:tc>
      </w:tr>
    </w:tbl>
    <w:p w14:paraId="001BB8D4">
      <w:pPr>
        <w:spacing w:line="360" w:lineRule="auto"/>
        <w:ind w:firstLine="480" w:firstLineChars="200"/>
        <w:rPr>
          <w:sz w:val="24"/>
          <w:szCs w:val="32"/>
        </w:rPr>
      </w:pPr>
      <w:r>
        <w:rPr>
          <w:sz w:val="24"/>
          <w:szCs w:val="32"/>
        </w:rPr>
        <w:t>项目选址符合《畜禽规模养殖污染防治条例》中的选址要求。项目场址不涉及饮用水水源保护区、自然保护区、风景名胜区、生态功能保护区、基本农田保护区、水土流失重点防治区、森林公园、地质公园、世界遗产地、国家重点文物保护单位、历史文化保护地，区内无国家规定的保护动植物。</w:t>
      </w:r>
    </w:p>
    <w:p w14:paraId="7FF915C0">
      <w:pPr>
        <w:adjustRightInd w:val="0"/>
        <w:snapToGrid w:val="0"/>
        <w:spacing w:line="360" w:lineRule="auto"/>
        <w:ind w:firstLine="480" w:firstLineChars="200"/>
        <w:jc w:val="left"/>
        <w:rPr>
          <w:kern w:val="18"/>
          <w:sz w:val="24"/>
          <w:szCs w:val="20"/>
        </w:rPr>
      </w:pPr>
      <w:r>
        <w:rPr>
          <w:kern w:val="18"/>
          <w:sz w:val="24"/>
          <w:szCs w:val="20"/>
        </w:rPr>
        <w:t>综上所述，项目选址符合《畜禽养殖业污染防治技术规范》（HJ/T81-2001）和《畜禽规模养殖污染防治条例》（国务院令第643号）的相关要求。</w:t>
      </w:r>
    </w:p>
    <w:p w14:paraId="6013A245">
      <w:pPr>
        <w:pStyle w:val="8"/>
        <w:ind w:firstLine="562"/>
      </w:pPr>
      <w:r>
        <w:t>1.3.3.3与周围地表水系关系分析</w:t>
      </w:r>
    </w:p>
    <w:p w14:paraId="56F61D04">
      <w:pPr>
        <w:pStyle w:val="677"/>
        <w:ind w:firstLine="480"/>
        <w:rPr>
          <w:rFonts w:ascii="Times New Roman" w:hAnsi="Times New Roman"/>
        </w:rPr>
      </w:pPr>
      <w:r>
        <w:rPr>
          <w:rFonts w:ascii="Times New Roman" w:hAnsi="Times New Roman"/>
        </w:rPr>
        <w:t>本项目所在地位于</w:t>
      </w:r>
      <w:r>
        <w:rPr>
          <w:rFonts w:ascii="Times New Roman" w:hAnsi="Times New Roman"/>
          <w:lang w:eastAsia="zh-CN"/>
        </w:rPr>
        <w:t>普拉河</w:t>
      </w:r>
      <w:r>
        <w:rPr>
          <w:rFonts w:ascii="Times New Roman" w:hAnsi="Times New Roman"/>
        </w:rPr>
        <w:t>流域，详见水系图。距离本项目最近的地表水体是</w:t>
      </w:r>
      <w:r>
        <w:rPr>
          <w:rFonts w:ascii="Times New Roman" w:hAnsi="Times New Roman"/>
          <w:lang w:eastAsia="zh-CN"/>
        </w:rPr>
        <w:t>普拉河</w:t>
      </w:r>
      <w:r>
        <w:rPr>
          <w:rFonts w:ascii="Times New Roman" w:hAnsi="Times New Roman"/>
        </w:rPr>
        <w:t>，距离项目区</w:t>
      </w:r>
      <w:r>
        <w:rPr>
          <w:rFonts w:ascii="Times New Roman" w:hAnsi="Times New Roman"/>
          <w:lang w:val="en-US" w:eastAsia="zh-CN"/>
        </w:rPr>
        <w:t>最近距离为50</w:t>
      </w:r>
      <w:r>
        <w:rPr>
          <w:rFonts w:ascii="Times New Roman" w:hAnsi="Times New Roman"/>
        </w:rPr>
        <w:t>m；根据《云南省水环境功能区划（</w:t>
      </w:r>
      <w:r>
        <w:rPr>
          <w:rFonts w:ascii="Times New Roman" w:hAnsi="Times New Roman"/>
          <w:lang w:val="en-US" w:eastAsia="zh-CN"/>
        </w:rPr>
        <w:t>2014</w:t>
      </w:r>
      <w:r>
        <w:rPr>
          <w:rFonts w:ascii="Times New Roman" w:hAnsi="Times New Roman"/>
        </w:rPr>
        <w:t>年）》及其使用功能，确定</w:t>
      </w:r>
      <w:r>
        <w:rPr>
          <w:rFonts w:ascii="Times New Roman" w:hAnsi="Times New Roman"/>
          <w:lang w:val="en-US" w:eastAsia="zh-CN"/>
        </w:rPr>
        <w:t>白马河（</w:t>
      </w:r>
      <w:r>
        <w:rPr>
          <w:rFonts w:ascii="Times New Roman" w:hAnsi="Times New Roman"/>
          <w:lang w:eastAsia="zh-CN"/>
        </w:rPr>
        <w:t>普拉河</w:t>
      </w:r>
      <w:r>
        <w:rPr>
          <w:rFonts w:ascii="Times New Roman" w:hAnsi="Times New Roman"/>
          <w:lang w:val="en-US" w:eastAsia="zh-CN"/>
        </w:rPr>
        <w:t>）</w:t>
      </w:r>
      <w:r>
        <w:rPr>
          <w:rFonts w:ascii="Times New Roman" w:hAnsi="Times New Roman"/>
        </w:rPr>
        <w:t>水质类别为《地表水环境质量标准》（GB3838—2002）</w:t>
      </w:r>
      <w:r>
        <w:rPr>
          <w:rFonts w:ascii="Times New Roman" w:hAnsi="Times New Roman"/>
          <w:lang w:val="en-US" w:eastAsia="zh-CN"/>
        </w:rPr>
        <w:t>II</w:t>
      </w:r>
      <w:r>
        <w:rPr>
          <w:rFonts w:ascii="Times New Roman" w:hAnsi="Times New Roman"/>
        </w:rPr>
        <w:t>类标准。</w:t>
      </w:r>
    </w:p>
    <w:p w14:paraId="60331B74">
      <w:pPr>
        <w:pStyle w:val="677"/>
        <w:ind w:firstLine="480"/>
        <w:jc w:val="both"/>
        <w:rPr>
          <w:rFonts w:ascii="Times New Roman" w:hAnsi="Times New Roman"/>
        </w:rPr>
      </w:pPr>
      <w:r>
        <w:rPr>
          <w:rFonts w:ascii="Times New Roman" w:hAnsi="Times New Roman"/>
        </w:rPr>
        <w:t>本项目运行期产生的污水</w:t>
      </w:r>
      <w:r>
        <w:rPr>
          <w:rFonts w:ascii="Times New Roman" w:hAnsi="Times New Roman"/>
          <w:lang w:eastAsia="zh-CN"/>
        </w:rPr>
        <w:t>处理工艺为：</w:t>
      </w:r>
      <w:r>
        <w:rPr>
          <w:rFonts w:ascii="Times New Roman" w:hAnsi="Times New Roman"/>
          <w:lang w:val="en-US" w:eastAsia="zh-CN"/>
        </w:rPr>
        <w:t>“集中收集+固液分离+平流气浮+调节池+沼气池（UASB反应器）+沼液储存池”</w:t>
      </w:r>
      <w:r>
        <w:rPr>
          <w:rFonts w:ascii="Times New Roman" w:hAnsi="Times New Roman"/>
        </w:rPr>
        <w:t>，处理后</w:t>
      </w:r>
      <w:r>
        <w:rPr>
          <w:rFonts w:ascii="Times New Roman" w:hAnsi="Times New Roman"/>
          <w:lang w:val="en-US" w:eastAsia="zh-CN"/>
        </w:rPr>
        <w:t>作为液体肥料</w:t>
      </w:r>
      <w:r>
        <w:rPr>
          <w:rFonts w:ascii="Times New Roman" w:hAnsi="Times New Roman"/>
        </w:rPr>
        <w:t>回用于</w:t>
      </w:r>
      <w:r>
        <w:rPr>
          <w:rFonts w:ascii="Times New Roman" w:hAnsi="Times New Roman"/>
          <w:lang w:val="en-US" w:eastAsia="zh-CN"/>
        </w:rPr>
        <w:t>苹果园</w:t>
      </w:r>
      <w:r>
        <w:rPr>
          <w:rFonts w:ascii="Times New Roman" w:hAnsi="Times New Roman"/>
        </w:rPr>
        <w:t>灌溉，不</w:t>
      </w:r>
      <w:r>
        <w:rPr>
          <w:rFonts w:ascii="Times New Roman" w:hAnsi="Times New Roman"/>
          <w:lang w:eastAsia="zh-CN"/>
        </w:rPr>
        <w:t>排入地表水体</w:t>
      </w:r>
      <w:r>
        <w:rPr>
          <w:rFonts w:ascii="Times New Roman" w:hAnsi="Times New Roman"/>
        </w:rPr>
        <w:t>，不会对河流水质造成不利影响。因此，本项目选址合理。</w:t>
      </w:r>
    </w:p>
    <w:p w14:paraId="6CD03DA1">
      <w:pPr>
        <w:pStyle w:val="8"/>
        <w:ind w:firstLine="562"/>
      </w:pPr>
      <w:bookmarkStart w:id="20" w:name="_Toc526853371"/>
      <w:r>
        <w:t>1.3.3.5与云南省主体功能区规划的符合性分析</w:t>
      </w:r>
      <w:bookmarkEnd w:id="20"/>
    </w:p>
    <w:p w14:paraId="45FDACD7">
      <w:pPr>
        <w:pStyle w:val="677"/>
        <w:ind w:firstLine="480"/>
        <w:rPr>
          <w:rFonts w:ascii="Times New Roman" w:hAnsi="Times New Roman"/>
        </w:rPr>
      </w:pPr>
      <w:r>
        <w:rPr>
          <w:rFonts w:ascii="Times New Roman" w:hAnsi="Times New Roman"/>
        </w:rPr>
        <w:t>云南省人民政府于2014年1月6日发布《云南省主体功能区规划》（云政发[2014]1号）。规划将全省国土空间按照开发方式分为重点开发区域、限制开发区域和禁止开发区域3类主体功能区。</w:t>
      </w:r>
    </w:p>
    <w:p w14:paraId="1E041122">
      <w:pPr>
        <w:pStyle w:val="677"/>
        <w:ind w:firstLine="480"/>
        <w:jc w:val="both"/>
        <w:rPr>
          <w:rFonts w:ascii="Times New Roman" w:hAnsi="Times New Roman"/>
        </w:rPr>
      </w:pPr>
      <w:r>
        <w:rPr>
          <w:rFonts w:ascii="Times New Roman" w:hAnsi="Times New Roman"/>
        </w:rPr>
        <w:t>本项目所在区域</w:t>
      </w:r>
      <w:r>
        <w:rPr>
          <w:rFonts w:ascii="Times New Roman" w:hAnsi="Times New Roman"/>
          <w:lang w:eastAsia="zh-CN"/>
        </w:rPr>
        <w:t>石林县圭山镇</w:t>
      </w:r>
      <w:r>
        <w:rPr>
          <w:rFonts w:ascii="Times New Roman" w:hAnsi="Times New Roman"/>
        </w:rPr>
        <w:t>属《云南省主体功能区规划》中限制开发区域名录中的“农产品主产区”中国家级县市，该区域主体功能以提供农产品为主体功能，以提供生态产品和服务产品及工业品为主要功能。要以大力发展高原特色农业为重点，切实保护耕地，稳定粮食生产，发展现代农业，增强农业综合生产能力，增加农民收放，加快建设社会主义新农村，有效增强农产品供给保障能力，确保国家粮食安全和食品安全。</w:t>
      </w:r>
    </w:p>
    <w:p w14:paraId="52900D2D">
      <w:pPr>
        <w:pStyle w:val="677"/>
        <w:ind w:firstLine="480"/>
        <w:jc w:val="both"/>
        <w:rPr>
          <w:rFonts w:ascii="Times New Roman" w:hAnsi="Times New Roman"/>
        </w:rPr>
      </w:pPr>
      <w:r>
        <w:rPr>
          <w:rFonts w:ascii="Times New Roman" w:hAnsi="Times New Roman"/>
          <w:szCs w:val="24"/>
        </w:rPr>
        <w:t>项目</w:t>
      </w:r>
      <w:r>
        <w:rPr>
          <w:rFonts w:ascii="Times New Roman" w:hAnsi="Times New Roman"/>
        </w:rPr>
        <w:t>建成后</w:t>
      </w:r>
      <w:r>
        <w:rPr>
          <w:rFonts w:ascii="Times New Roman" w:hAnsi="Times New Roman"/>
          <w:szCs w:val="24"/>
        </w:rPr>
        <w:t>可实现</w:t>
      </w:r>
      <w:r>
        <w:rPr>
          <w:rFonts w:ascii="Times New Roman" w:hAnsi="Times New Roman"/>
          <w:szCs w:val="24"/>
          <w:lang w:eastAsia="zh-CN"/>
        </w:rPr>
        <w:t>年出栏商品猪</w:t>
      </w:r>
      <w:r>
        <w:rPr>
          <w:rFonts w:ascii="Times New Roman" w:hAnsi="Times New Roman"/>
          <w:szCs w:val="24"/>
          <w:lang w:val="en-US" w:eastAsia="zh-CN"/>
        </w:rPr>
        <w:t>18600</w:t>
      </w:r>
      <w:r>
        <w:rPr>
          <w:rFonts w:ascii="Times New Roman" w:hAnsi="Times New Roman"/>
          <w:szCs w:val="24"/>
          <w:lang w:eastAsia="zh-CN"/>
        </w:rPr>
        <w:t>头</w:t>
      </w:r>
      <w:r>
        <w:rPr>
          <w:rFonts w:ascii="Times New Roman" w:hAnsi="Times New Roman"/>
          <w:szCs w:val="24"/>
        </w:rPr>
        <w:t>。</w:t>
      </w:r>
      <w:r>
        <w:rPr>
          <w:rFonts w:ascii="Times New Roman" w:hAnsi="Times New Roman"/>
        </w:rPr>
        <w:t>项目占地</w:t>
      </w:r>
      <w:r>
        <w:rPr>
          <w:rFonts w:ascii="Times New Roman" w:hAnsi="Times New Roman"/>
          <w:lang w:val="en-US" w:eastAsia="zh-CN"/>
        </w:rPr>
        <w:t>116</w:t>
      </w:r>
      <w:r>
        <w:rPr>
          <w:rFonts w:ascii="Times New Roman" w:hAnsi="Times New Roman"/>
        </w:rPr>
        <w:t>亩，</w:t>
      </w:r>
      <w:r>
        <w:rPr>
          <w:rFonts w:ascii="Times New Roman" w:hAnsi="Times New Roman"/>
          <w:lang w:val="en-US" w:eastAsia="zh-CN"/>
        </w:rPr>
        <w:t>用地已调整为设施农用地</w:t>
      </w:r>
      <w:r>
        <w:rPr>
          <w:rFonts w:ascii="Times New Roman" w:hAnsi="Times New Roman"/>
        </w:rPr>
        <w:t>。项目不涉及基本农田等重要耕地。项目建成后增强</w:t>
      </w:r>
      <w:r>
        <w:rPr>
          <w:rFonts w:ascii="Times New Roman" w:hAnsi="Times New Roman"/>
          <w:lang w:eastAsia="zh-CN"/>
        </w:rPr>
        <w:t>石林县</w:t>
      </w:r>
      <w:r>
        <w:rPr>
          <w:rFonts w:ascii="Times New Roman" w:hAnsi="Times New Roman"/>
        </w:rPr>
        <w:t>的农业综合生产能力，带动全县</w:t>
      </w:r>
      <w:r>
        <w:rPr>
          <w:rFonts w:ascii="Times New Roman" w:hAnsi="Times New Roman"/>
          <w:lang w:eastAsia="zh-CN"/>
        </w:rPr>
        <w:t>生猪</w:t>
      </w:r>
      <w:r>
        <w:rPr>
          <w:rFonts w:ascii="Times New Roman" w:hAnsi="Times New Roman"/>
        </w:rPr>
        <w:t>产业发展，为脱贫摘帽的全面建成小康社会打下良好的产业基础。因此，本项目建设符合《云南省主体功能区规划》。</w:t>
      </w:r>
    </w:p>
    <w:p w14:paraId="463D2F85">
      <w:pPr>
        <w:pStyle w:val="8"/>
        <w:ind w:firstLine="562"/>
      </w:pPr>
      <w:bookmarkStart w:id="21" w:name="_Toc414715918"/>
      <w:bookmarkStart w:id="22" w:name="_Toc414717010"/>
      <w:bookmarkStart w:id="23" w:name="_Toc414718328"/>
      <w:bookmarkStart w:id="24" w:name="_Toc414720170"/>
      <w:bookmarkStart w:id="25" w:name="_Toc526853372"/>
      <w:r>
        <w:t>1.3.3.6与生态功能区划的符合性分析</w:t>
      </w:r>
      <w:bookmarkEnd w:id="21"/>
      <w:bookmarkEnd w:id="22"/>
      <w:bookmarkEnd w:id="23"/>
      <w:bookmarkEnd w:id="24"/>
      <w:bookmarkEnd w:id="25"/>
    </w:p>
    <w:p w14:paraId="65AB2E26">
      <w:pPr>
        <w:pStyle w:val="677"/>
        <w:ind w:firstLine="480"/>
        <w:rPr>
          <w:rFonts w:ascii="Times New Roman" w:hAnsi="Times New Roman"/>
          <w:lang w:eastAsia="zh-CN"/>
        </w:rPr>
      </w:pPr>
      <w:r>
        <w:rPr>
          <w:rFonts w:ascii="Times New Roman" w:hAnsi="Times New Roman"/>
        </w:rPr>
        <w:t>根据《云南省生态功能区划》，项目评价区属于</w:t>
      </w:r>
      <w:r>
        <w:rPr>
          <w:rFonts w:ascii="Times New Roman" w:hAnsi="Times New Roman"/>
          <w:lang w:val="en-US"/>
        </w:rPr>
        <w:t>高原亚热带北部常绿阔叶林生态区</w:t>
      </w:r>
      <w:r>
        <w:rPr>
          <w:rFonts w:ascii="Times New Roman" w:hAnsi="Times New Roman"/>
          <w:lang w:val="en-US" w:eastAsia="zh-CN"/>
        </w:rPr>
        <w:t>，滇中高原谷盆半湿润常绿阔叶林、暖性针叶林生态亚区，南盘江、甸溪河岩溶低山水土保持生态功能区；</w:t>
      </w:r>
      <w:r>
        <w:rPr>
          <w:rFonts w:ascii="Times New Roman" w:hAnsi="Times New Roman"/>
        </w:rPr>
        <w:t>区域主要生态特征：</w:t>
      </w:r>
      <w:r>
        <w:rPr>
          <w:rFonts w:ascii="Times New Roman" w:hAnsi="Times New Roman"/>
          <w:lang w:val="en-US"/>
        </w:rPr>
        <w:t>以石灰岩低山丘陵地貌为主。大部分地区年降雨量1000-1200毫米, 东部局部地区达到1500－2000 毫米。主要属南盘江水系。主要植被类型为云南松林和灌木林。土壤类型主要是黄红壤和石灰土</w:t>
      </w:r>
      <w:r>
        <w:rPr>
          <w:rFonts w:ascii="Times New Roman" w:hAnsi="Times New Roman"/>
          <w:lang w:val="en-US" w:eastAsia="zh-CN"/>
        </w:rPr>
        <w:t>。</w:t>
      </w:r>
      <w:r>
        <w:rPr>
          <w:rFonts w:ascii="Times New Roman" w:hAnsi="Times New Roman"/>
        </w:rPr>
        <w:t>主要生态环境问题是：</w:t>
      </w:r>
      <w:r>
        <w:rPr>
          <w:rFonts w:ascii="Times New Roman" w:hAnsi="Times New Roman"/>
          <w:lang w:val="en-US"/>
        </w:rPr>
        <w:t>人口密集、土地利用过度引起的潜在石漠化</w:t>
      </w:r>
      <w:r>
        <w:rPr>
          <w:rFonts w:ascii="Times New Roman" w:hAnsi="Times New Roman"/>
          <w:lang w:val="en-US" w:eastAsia="zh-CN"/>
        </w:rPr>
        <w:t>。</w:t>
      </w:r>
      <w:r>
        <w:rPr>
          <w:rFonts w:ascii="Times New Roman" w:hAnsi="Times New Roman"/>
        </w:rPr>
        <w:t>生态环境敏感性：</w:t>
      </w:r>
      <w:r>
        <w:rPr>
          <w:rFonts w:ascii="Times New Roman" w:hAnsi="Times New Roman"/>
          <w:lang w:val="en-US"/>
        </w:rPr>
        <w:t>石漠化高中度敏感</w:t>
      </w:r>
      <w:r>
        <w:rPr>
          <w:rFonts w:ascii="Times New Roman" w:hAnsi="Times New Roman"/>
          <w:lang w:val="en-US" w:eastAsia="zh-CN"/>
        </w:rPr>
        <w:t>。</w:t>
      </w:r>
      <w:r>
        <w:rPr>
          <w:rFonts w:ascii="Times New Roman" w:hAnsi="Times New Roman"/>
        </w:rPr>
        <w:t>主要生态服务功能：岩溶地区的生态农业建设</w:t>
      </w:r>
      <w:r>
        <w:rPr>
          <w:rFonts w:ascii="Times New Roman" w:hAnsi="Times New Roman"/>
          <w:lang w:eastAsia="zh-CN"/>
        </w:rPr>
        <w:t>。</w:t>
      </w:r>
      <w:r>
        <w:rPr>
          <w:rFonts w:ascii="Times New Roman" w:hAnsi="Times New Roman"/>
        </w:rPr>
        <w:t>保护措施与发展方向：发展以亚热带经济林木为主的生态林业，降低土地利用强度，开展多种经营和清洁生产，防止石漠化</w:t>
      </w:r>
      <w:r>
        <w:rPr>
          <w:rFonts w:ascii="Times New Roman" w:hAnsi="Times New Roman"/>
          <w:lang w:eastAsia="zh-CN"/>
        </w:rPr>
        <w:t>。</w:t>
      </w:r>
    </w:p>
    <w:p w14:paraId="408ABC45">
      <w:pPr>
        <w:pStyle w:val="677"/>
        <w:ind w:firstLine="480"/>
        <w:jc w:val="both"/>
        <w:rPr>
          <w:rFonts w:ascii="Times New Roman" w:hAnsi="Times New Roman"/>
        </w:rPr>
      </w:pPr>
      <w:r>
        <w:rPr>
          <w:rFonts w:ascii="Times New Roman" w:hAnsi="Times New Roman"/>
          <w:szCs w:val="24"/>
        </w:rPr>
        <w:t>项目</w:t>
      </w:r>
      <w:r>
        <w:rPr>
          <w:rFonts w:ascii="Times New Roman" w:hAnsi="Times New Roman"/>
        </w:rPr>
        <w:t>建成后</w:t>
      </w:r>
      <w:r>
        <w:rPr>
          <w:rFonts w:ascii="Times New Roman" w:hAnsi="Times New Roman"/>
          <w:szCs w:val="24"/>
        </w:rPr>
        <w:t>可实现</w:t>
      </w:r>
      <w:r>
        <w:rPr>
          <w:rFonts w:ascii="Times New Roman" w:hAnsi="Times New Roman"/>
          <w:szCs w:val="24"/>
          <w:lang w:eastAsia="zh-CN"/>
        </w:rPr>
        <w:t>年出栏</w:t>
      </w:r>
      <w:r>
        <w:rPr>
          <w:rFonts w:ascii="Times New Roman" w:hAnsi="Times New Roman"/>
          <w:szCs w:val="24"/>
          <w:lang w:val="en-US" w:eastAsia="zh-CN"/>
        </w:rPr>
        <w:t>18600</w:t>
      </w:r>
      <w:r>
        <w:rPr>
          <w:rFonts w:ascii="Times New Roman" w:hAnsi="Times New Roman"/>
          <w:szCs w:val="24"/>
          <w:lang w:eastAsia="zh-CN"/>
        </w:rPr>
        <w:t>头商品猪</w:t>
      </w:r>
      <w:r>
        <w:rPr>
          <w:rFonts w:ascii="Times New Roman" w:hAnsi="Times New Roman"/>
          <w:szCs w:val="24"/>
        </w:rPr>
        <w:t>。</w:t>
      </w:r>
      <w:r>
        <w:rPr>
          <w:rFonts w:ascii="Times New Roman" w:hAnsi="Times New Roman"/>
        </w:rPr>
        <w:t>项目占地</w:t>
      </w:r>
      <w:r>
        <w:rPr>
          <w:rFonts w:ascii="Times New Roman" w:hAnsi="Times New Roman"/>
          <w:lang w:val="en-US" w:eastAsia="zh-CN"/>
        </w:rPr>
        <w:t>116</w:t>
      </w:r>
      <w:r>
        <w:rPr>
          <w:rFonts w:ascii="Times New Roman" w:hAnsi="Times New Roman"/>
        </w:rPr>
        <w:t>亩，均为</w:t>
      </w:r>
      <w:r>
        <w:rPr>
          <w:rFonts w:ascii="Times New Roman" w:hAnsi="Times New Roman"/>
          <w:lang w:val="en-US" w:eastAsia="zh-CN"/>
        </w:rPr>
        <w:t>设施农用地</w:t>
      </w:r>
      <w:r>
        <w:rPr>
          <w:rFonts w:ascii="Times New Roman" w:hAnsi="Times New Roman"/>
        </w:rPr>
        <w:t>。养殖场产生的</w:t>
      </w:r>
      <w:r>
        <w:rPr>
          <w:rFonts w:ascii="Times New Roman" w:hAnsi="Times New Roman"/>
          <w:lang w:eastAsia="zh-CN"/>
        </w:rPr>
        <w:t>尿液及废水经</w:t>
      </w:r>
      <w:r>
        <w:rPr>
          <w:rFonts w:ascii="Times New Roman" w:hAnsi="Times New Roman"/>
          <w:lang w:val="en-US" w:eastAsia="zh-CN"/>
        </w:rPr>
        <w:t>“集中收集+固液分离+平流气浮+调节池+沼气池（UASB反应器）+沼液储存池”</w:t>
      </w:r>
      <w:r>
        <w:rPr>
          <w:rFonts w:ascii="Times New Roman" w:hAnsi="Times New Roman"/>
        </w:rPr>
        <w:t>处理后</w:t>
      </w:r>
      <w:r>
        <w:rPr>
          <w:rFonts w:ascii="Times New Roman" w:hAnsi="Times New Roman"/>
          <w:lang w:val="en-US" w:eastAsia="zh-CN"/>
        </w:rPr>
        <w:t>作为液体肥料</w:t>
      </w:r>
      <w:r>
        <w:rPr>
          <w:rFonts w:ascii="Times New Roman" w:hAnsi="Times New Roman"/>
        </w:rPr>
        <w:t>用于</w:t>
      </w:r>
      <w:r>
        <w:rPr>
          <w:rFonts w:ascii="Times New Roman" w:hAnsi="Times New Roman"/>
          <w:lang w:val="en-US" w:eastAsia="zh-CN"/>
        </w:rPr>
        <w:t>公司2800亩苹果基地</w:t>
      </w:r>
      <w:r>
        <w:rPr>
          <w:rFonts w:ascii="Times New Roman" w:hAnsi="Times New Roman"/>
          <w:lang w:eastAsia="zh-CN"/>
        </w:rPr>
        <w:t>农灌</w:t>
      </w:r>
      <w:r>
        <w:rPr>
          <w:rFonts w:ascii="Times New Roman" w:hAnsi="Times New Roman"/>
          <w:u w:val="none" w:color="000000"/>
        </w:rPr>
        <w:t>；</w:t>
      </w:r>
      <w:r>
        <w:rPr>
          <w:rFonts w:ascii="Times New Roman" w:hAnsi="Times New Roman"/>
          <w:u w:val="none" w:color="000000"/>
          <w:lang w:eastAsia="zh-CN"/>
        </w:rPr>
        <w:t>粪便和沼渣经堆肥发酵成为有机肥</w:t>
      </w:r>
      <w:r>
        <w:rPr>
          <w:rFonts w:ascii="Times New Roman" w:hAnsi="Times New Roman"/>
          <w:u w:val="none" w:color="000000"/>
          <w:lang w:val="en-US" w:eastAsia="zh-CN"/>
        </w:rPr>
        <w:t>用于苹果种植</w:t>
      </w:r>
      <w:r>
        <w:rPr>
          <w:rFonts w:ascii="Times New Roman" w:hAnsi="Times New Roman"/>
          <w:u w:val="none" w:color="000000"/>
          <w:lang w:eastAsia="zh-CN"/>
        </w:rPr>
        <w:t>。</w:t>
      </w:r>
      <w:r>
        <w:rPr>
          <w:rFonts w:ascii="Times New Roman" w:hAnsi="Times New Roman"/>
        </w:rPr>
        <w:t>养殖废水、粪便还田是国家鼓励的养殖废弃物污染治理方法，形成粮食、草料(饲料)——喂</w:t>
      </w:r>
      <w:r>
        <w:rPr>
          <w:rFonts w:ascii="Times New Roman" w:hAnsi="Times New Roman"/>
          <w:lang w:eastAsia="zh-CN"/>
        </w:rPr>
        <w:t>猪</w:t>
      </w:r>
      <w:r>
        <w:rPr>
          <w:rFonts w:ascii="Times New Roman" w:hAnsi="Times New Roman"/>
        </w:rPr>
        <w:t>——</w:t>
      </w:r>
      <w:r>
        <w:rPr>
          <w:rFonts w:ascii="Times New Roman" w:hAnsi="Times New Roman"/>
          <w:lang w:eastAsia="zh-CN"/>
        </w:rPr>
        <w:t>猪</w:t>
      </w:r>
      <w:r>
        <w:rPr>
          <w:rFonts w:ascii="Times New Roman" w:hAnsi="Times New Roman"/>
        </w:rPr>
        <w:t>粪——建沼气池——沼液（沼渣）还田——发展有机食品的良性循环环保型经济模式；符合循环要求，因此本项目与云南省生态功能区划不冲突。</w:t>
      </w:r>
    </w:p>
    <w:p w14:paraId="150925DB">
      <w:pPr>
        <w:pStyle w:val="8"/>
        <w:ind w:firstLine="562"/>
      </w:pPr>
      <w:r>
        <w:t>1.3.3.7与石林县生态保护红线规划的相符性分析</w:t>
      </w:r>
    </w:p>
    <w:p w14:paraId="2243DE4D">
      <w:pPr>
        <w:spacing w:line="360" w:lineRule="auto"/>
        <w:ind w:firstLine="480" w:firstLineChars="200"/>
        <w:rPr>
          <w:kern w:val="0"/>
          <w:sz w:val="24"/>
        </w:rPr>
      </w:pPr>
      <w:r>
        <w:rPr>
          <w:sz w:val="24"/>
        </w:rPr>
        <w:t>本项目位于昆明市石林彝族自治县圭山镇法块村委会法块村，普拉河村委会上寨村，根据石林县生态保护红线查询结果，按照建设单位提供的项目拐点坐标空间范围数据（2000坐标），经查询，所涉及区域不在生态保护红线范围内，详见附件5。</w:t>
      </w:r>
    </w:p>
    <w:p w14:paraId="3619DAE2">
      <w:pPr>
        <w:pStyle w:val="8"/>
        <w:ind w:firstLine="562"/>
      </w:pPr>
      <w:bookmarkStart w:id="26" w:name="_Toc526853374"/>
      <w:r>
        <w:t>1.3.3.8与《石林县畜禽养殖禁养区限养区划定方案》的相符性分析</w:t>
      </w:r>
      <w:bookmarkEnd w:id="26"/>
    </w:p>
    <w:p w14:paraId="150411A0">
      <w:pPr>
        <w:pStyle w:val="677"/>
        <w:ind w:firstLine="480"/>
        <w:rPr>
          <w:rFonts w:ascii="Times New Roman" w:hAnsi="Times New Roman"/>
          <w:lang w:eastAsia="zh-CN"/>
        </w:rPr>
      </w:pPr>
      <w:r>
        <w:rPr>
          <w:rFonts w:ascii="Times New Roman" w:hAnsi="Times New Roman"/>
        </w:rPr>
        <w:t>中共石林彝族自治县委、石林彝族自治县人民政府印发《石林彝族自治县“四全”工作方案》的通知（石发[2008]31号）中明确规定了</w:t>
      </w:r>
      <w:r>
        <w:rPr>
          <w:rFonts w:ascii="Times New Roman" w:hAnsi="Times New Roman"/>
          <w:lang w:eastAsia="zh-CN"/>
        </w:rPr>
        <w:t>石林县</w:t>
      </w:r>
      <w:r>
        <w:rPr>
          <w:rFonts w:ascii="Times New Roman" w:hAnsi="Times New Roman"/>
        </w:rPr>
        <w:t>行政区内的畜禽养殖禁养区</w:t>
      </w:r>
      <w:r>
        <w:rPr>
          <w:rFonts w:ascii="Times New Roman" w:hAnsi="Times New Roman"/>
          <w:lang w:eastAsia="zh-CN"/>
        </w:rPr>
        <w:t>和</w:t>
      </w:r>
      <w:r>
        <w:rPr>
          <w:rFonts w:ascii="Times New Roman" w:hAnsi="Times New Roman"/>
        </w:rPr>
        <w:t>限养区，</w:t>
      </w:r>
      <w:r>
        <w:rPr>
          <w:rFonts w:ascii="Times New Roman" w:hAnsi="Times New Roman"/>
          <w:lang w:eastAsia="zh-CN"/>
        </w:rPr>
        <w:t>具体如下：</w:t>
      </w:r>
    </w:p>
    <w:p w14:paraId="212CD7BA">
      <w:pPr>
        <w:pStyle w:val="677"/>
        <w:ind w:firstLine="480"/>
        <w:rPr>
          <w:rFonts w:ascii="Times New Roman" w:hAnsi="Times New Roman"/>
          <w:lang w:eastAsia="zh-CN"/>
        </w:rPr>
      </w:pPr>
      <w:r>
        <w:rPr>
          <w:rFonts w:ascii="Times New Roman" w:hAnsi="Times New Roman"/>
          <w:lang w:eastAsia="zh-CN"/>
        </w:rPr>
        <w:t>禁养区：县城规划建设区9.9平方公里范围、石林岔口集镇规划建设区3.9平方公里范围、石林风景名胜区核心保护区14.5平方公里及流经县城规划建设区的河道两侧各200米范围内，集中式饮用水源地及湖泊、水库(重点是黑龙潭水库、团结水库、威黑水库、圭山水库、三角水库)正常水位线以上沿地表外延200米范围内，主要涉-及的村组为西北社区、龙泉社区、东门社区、南门社区、大屯村、桃园村、大坝上村、沙地村、小东山村、小乐台旧村、小昌乐村、马石坎村、站4村、乐尔村、小箐村、三家村、五棵树村等。</w:t>
      </w:r>
    </w:p>
    <w:p w14:paraId="62A5B9CF">
      <w:pPr>
        <w:pStyle w:val="677"/>
        <w:ind w:firstLine="480"/>
        <w:rPr>
          <w:rFonts w:ascii="Times New Roman" w:hAnsi="Times New Roman"/>
          <w:lang w:eastAsia="zh-CN"/>
        </w:rPr>
      </w:pPr>
      <w:r>
        <w:rPr>
          <w:rFonts w:ascii="Times New Roman" w:hAnsi="Times New Roman"/>
          <w:lang w:eastAsia="zh-CN"/>
        </w:rPr>
        <w:t>限养区：禁养区至城市建设规划控制区范围；黑龙潭水厍、团结水库、威黑水库、圭山水库、三角水库水源保护区，主要涉及的村组为东海子村、大乐台旧村、大坡厂村、堡子村、白龙潭村、大山沟村、小山沟村、小坡头村、小滑坡村、北吉村、红桥村、老昔街村、白水井村、雨中堂村、寨黑村、大老挖村、小老挖村、月湖村、水塘铺村、大尾博邑村、小尾博邑村、清水塘村、山头上村、和摩村、高石哨村、上打磨箐村、威黑老寨村、威黑中寨村、威黑清水塘村、双龙箐村、口子哨村、红路口村、铁厂村、亩竹箐村等。</w:t>
      </w:r>
    </w:p>
    <w:p w14:paraId="630FEDEE">
      <w:pPr>
        <w:pStyle w:val="677"/>
        <w:ind w:firstLine="480"/>
        <w:rPr>
          <w:rFonts w:ascii="Times New Roman" w:hAnsi="Times New Roman"/>
          <w:lang w:eastAsia="zh-CN"/>
        </w:rPr>
      </w:pPr>
      <w:r>
        <w:rPr>
          <w:rFonts w:ascii="Times New Roman" w:hAnsi="Times New Roman"/>
          <w:lang w:eastAsia="zh-CN"/>
        </w:rPr>
        <w:t>规划养殖区：县境内禁养区、限养区以外的区域。</w:t>
      </w:r>
    </w:p>
    <w:p w14:paraId="02A6D749">
      <w:pPr>
        <w:pStyle w:val="677"/>
        <w:ind w:firstLine="480"/>
        <w:jc w:val="both"/>
        <w:rPr>
          <w:rFonts w:ascii="Times New Roman" w:hAnsi="Times New Roman"/>
          <w:lang w:eastAsia="zh-CN"/>
        </w:rPr>
      </w:pPr>
      <w:r>
        <w:rPr>
          <w:rFonts w:ascii="Times New Roman" w:hAnsi="Times New Roman"/>
        </w:rPr>
        <w:t>本项目位于</w:t>
      </w:r>
      <w:r>
        <w:rPr>
          <w:rFonts w:ascii="Times New Roman" w:hAnsi="Times New Roman"/>
          <w:szCs w:val="24"/>
        </w:rPr>
        <w:t>昆明市石林彝族自治县圭山镇</w:t>
      </w:r>
      <w:r>
        <w:rPr>
          <w:rFonts w:ascii="Times New Roman" w:hAnsi="Times New Roman"/>
          <w:lang w:val="en-US" w:eastAsia="zh-CN"/>
        </w:rPr>
        <w:t>法块村委会法块村，普拉河村委会上寨村</w:t>
      </w:r>
      <w:r>
        <w:rPr>
          <w:rFonts w:ascii="Times New Roman" w:hAnsi="Times New Roman"/>
        </w:rPr>
        <w:t>，该项目选址不在石林县划定的畜禽养殖禁养区和限养区</w:t>
      </w:r>
      <w:r>
        <w:rPr>
          <w:rFonts w:ascii="Times New Roman" w:hAnsi="Times New Roman"/>
          <w:lang w:eastAsia="zh-CN"/>
        </w:rPr>
        <w:t>，</w:t>
      </w:r>
      <w:r>
        <w:rPr>
          <w:rFonts w:ascii="Times New Roman" w:hAnsi="Times New Roman"/>
        </w:rPr>
        <w:t>因此，项目选址符合《石林县畜禽养殖禁养区限养区划定方案》的相关要求。</w:t>
      </w:r>
    </w:p>
    <w:p w14:paraId="72DD3CE5">
      <w:pPr>
        <w:pStyle w:val="8"/>
        <w:ind w:firstLine="562"/>
      </w:pPr>
      <w:r>
        <w:t>1.3.3.9 “三线一单”相符性分析</w:t>
      </w:r>
    </w:p>
    <w:p w14:paraId="46E27B1C">
      <w:pPr>
        <w:pStyle w:val="677"/>
        <w:ind w:firstLine="480"/>
        <w:rPr>
          <w:rFonts w:ascii="Times New Roman" w:hAnsi="Times New Roman"/>
          <w:lang w:eastAsia="zh-CN"/>
        </w:rPr>
      </w:pPr>
      <w:r>
        <w:rPr>
          <w:rFonts w:ascii="Times New Roman" w:hAnsi="Times New Roman"/>
          <w:lang w:eastAsia="zh-CN"/>
        </w:rPr>
        <w:t>根据《关于以改善环境质量为核心加强环境影响评价管理的通知》（环环评[2016]150 号）、《关于规划环境影响评价加强空间管制、总量管控和环境准入的指导意见（试行）》环办环评[2016]14 号中的相关要求，制定本项目的三线一单。要求以生态保护红线、环境质量底线、资源利用上限和环境准入负面清单（以下简称“三线一单”）为手段，强化空间、总量和准入环境管理。</w:t>
      </w:r>
    </w:p>
    <w:p w14:paraId="45D1E4C1">
      <w:pPr>
        <w:spacing w:line="360" w:lineRule="auto"/>
        <w:ind w:firstLine="480" w:firstLineChars="200"/>
        <w:rPr>
          <w:sz w:val="24"/>
        </w:rPr>
      </w:pPr>
      <w:r>
        <w:rPr>
          <w:sz w:val="24"/>
        </w:rPr>
        <w:t>1）与生态保护红线的符合性</w:t>
      </w:r>
    </w:p>
    <w:p w14:paraId="677D843A">
      <w:pPr>
        <w:spacing w:line="360" w:lineRule="auto"/>
        <w:ind w:firstLine="420" w:firstLineChars="200"/>
        <w:rPr>
          <w:sz w:val="24"/>
        </w:rPr>
      </w:pPr>
      <w:r>
        <w:t>本项目位于昆明市石林彝族自治县圭山镇</w:t>
      </w:r>
      <w:r>
        <w:rPr>
          <w:sz w:val="24"/>
        </w:rPr>
        <w:t>法块村委会法块村，普拉河村委会上寨村</w:t>
      </w:r>
      <w:r>
        <w:t>，</w:t>
      </w:r>
      <w:r>
        <w:rPr>
          <w:sz w:val="24"/>
        </w:rPr>
        <w:t>不涉及基本农田保护区、天然林、珍稀濒危野生动植物集中分布区及风景名胜区、自然保护区、世界自然遗产地等生态环境保护目标。</w:t>
      </w:r>
      <w:r>
        <w:rPr>
          <w:bCs/>
          <w:sz w:val="24"/>
          <w:lang w:bidi="ar"/>
        </w:rPr>
        <w:t>根据向昆明市生态环境局石林分局查询，</w:t>
      </w:r>
      <w:r>
        <w:rPr>
          <w:sz w:val="24"/>
        </w:rPr>
        <w:t>项目不涉及生态红线。</w:t>
      </w:r>
    </w:p>
    <w:p w14:paraId="15774214">
      <w:pPr>
        <w:spacing w:line="360" w:lineRule="auto"/>
        <w:ind w:firstLine="480" w:firstLineChars="200"/>
        <w:rPr>
          <w:sz w:val="24"/>
        </w:rPr>
      </w:pPr>
      <w:r>
        <w:rPr>
          <w:sz w:val="24"/>
        </w:rPr>
        <w:t>2）环境质量底线</w:t>
      </w:r>
    </w:p>
    <w:p w14:paraId="09F3BF6F">
      <w:pPr>
        <w:spacing w:line="360" w:lineRule="auto"/>
        <w:ind w:firstLine="480" w:firstLineChars="200"/>
        <w:rPr>
          <w:sz w:val="24"/>
        </w:rPr>
      </w:pPr>
      <w:r>
        <w:rPr>
          <w:sz w:val="24"/>
        </w:rPr>
        <w:t>项目所在区域的环境质量底线为：环境空气质量目标为《环境空气质量标准》（GB3095-2012）二级标准</w:t>
      </w:r>
      <w:r>
        <w:rPr>
          <w:kern w:val="0"/>
          <w:sz w:val="24"/>
        </w:rPr>
        <w:t>，</w:t>
      </w:r>
      <w:r>
        <w:rPr>
          <w:sz w:val="24"/>
        </w:rPr>
        <w:t>项目所在区域属于达标区；</w:t>
      </w:r>
      <w:r>
        <w:rPr>
          <w:kern w:val="10"/>
          <w:sz w:val="24"/>
        </w:rPr>
        <w:t>项目所在区域污染物环境质量中H</w:t>
      </w:r>
      <w:r>
        <w:rPr>
          <w:kern w:val="10"/>
          <w:sz w:val="24"/>
          <w:vertAlign w:val="subscript"/>
        </w:rPr>
        <w:t>2</w:t>
      </w:r>
      <w:r>
        <w:rPr>
          <w:kern w:val="10"/>
          <w:sz w:val="24"/>
        </w:rPr>
        <w:t>S、NH</w:t>
      </w:r>
      <w:r>
        <w:rPr>
          <w:kern w:val="10"/>
          <w:sz w:val="24"/>
          <w:vertAlign w:val="subscript"/>
        </w:rPr>
        <w:t>3</w:t>
      </w:r>
      <w:r>
        <w:rPr>
          <w:kern w:val="10"/>
          <w:sz w:val="24"/>
        </w:rPr>
        <w:t>指标满足</w:t>
      </w:r>
      <w:r>
        <w:rPr>
          <w:sz w:val="24"/>
        </w:rPr>
        <w:t>《环境影响评价技术导则 大气环境》（HJ2.2-2018）附录D中表D.1其他污染物空气质量浓度参考限值。</w:t>
      </w:r>
      <w:r>
        <w:rPr>
          <w:sz w:val="24"/>
          <w:lang w:bidi="ar"/>
        </w:rPr>
        <w:t>项目所在区域污染物环境质量现状良好。</w:t>
      </w:r>
      <w:r>
        <w:rPr>
          <w:kern w:val="10"/>
          <w:sz w:val="24"/>
        </w:rPr>
        <w:t>项目区域地下水环境质量现状满足GB/T 14848-2017《地下水质量标准》中的Ⅲ类标准，项目各厂界声环境质量能够满足GB3096-2008《声环境质量标准》中的2类标准，声环境质量现状良好。</w:t>
      </w:r>
      <w:r>
        <w:rPr>
          <w:sz w:val="24"/>
        </w:rPr>
        <w:t>本项目对产生的废水、废气治理之后能做到达标排放，各项固废均可得到妥善处置。采取本环评提出的相关防治措施后，本项目排放的污染物不会对区域环境质量底线造成冲击。</w:t>
      </w:r>
    </w:p>
    <w:p w14:paraId="7D3B364F">
      <w:pPr>
        <w:spacing w:line="360" w:lineRule="auto"/>
        <w:ind w:firstLine="480" w:firstLineChars="200"/>
        <w:rPr>
          <w:sz w:val="24"/>
        </w:rPr>
      </w:pPr>
      <w:r>
        <w:rPr>
          <w:sz w:val="24"/>
        </w:rPr>
        <w:t>3）资源利用上线</w:t>
      </w:r>
    </w:p>
    <w:p w14:paraId="77EFEFF4">
      <w:pPr>
        <w:spacing w:line="360" w:lineRule="auto"/>
        <w:ind w:firstLine="480" w:firstLineChars="200"/>
        <w:rPr>
          <w:sz w:val="24"/>
        </w:rPr>
      </w:pPr>
      <w:r>
        <w:rPr>
          <w:sz w:val="24"/>
        </w:rPr>
        <w:t>本项目建成运行后通过内部管理、设备选择、原辅材料的选用和管理、废物回收利用、污染治理等多方面采取合理可行的防治措施，以“节能、降耗、减污” 为目标，有效的控制污染。项目的水、电、土地等资源利用不会突破区域的资源利用上线。</w:t>
      </w:r>
    </w:p>
    <w:p w14:paraId="6B2DE5CC">
      <w:pPr>
        <w:spacing w:line="360" w:lineRule="auto"/>
        <w:ind w:firstLine="480" w:firstLineChars="200"/>
        <w:rPr>
          <w:sz w:val="24"/>
        </w:rPr>
      </w:pPr>
      <w:r>
        <w:rPr>
          <w:sz w:val="24"/>
        </w:rPr>
        <w:t>4）环境准入负面清单</w:t>
      </w:r>
    </w:p>
    <w:p w14:paraId="55ADBED5">
      <w:pPr>
        <w:spacing w:line="360" w:lineRule="auto"/>
        <w:ind w:firstLine="480" w:firstLineChars="200"/>
        <w:rPr>
          <w:sz w:val="24"/>
        </w:rPr>
      </w:pPr>
      <w:r>
        <w:rPr>
          <w:sz w:val="24"/>
        </w:rPr>
        <w:t>项目为标准化养殖场建设项目，选址合理，</w:t>
      </w:r>
      <w:r>
        <w:rPr>
          <w:sz w:val="24"/>
          <w:lang w:bidi="ar"/>
        </w:rPr>
        <w:t>属于《产业结构调整指导目录（2019年本）》鼓励类的第一条“农林类”中的第5款“畜禽标准化规模养殖技术开发与应用”范围中，为鼓励类项目，不在环境准入负面清单内</w:t>
      </w:r>
      <w:r>
        <w:rPr>
          <w:sz w:val="24"/>
        </w:rPr>
        <w:t>。</w:t>
      </w:r>
    </w:p>
    <w:p w14:paraId="711A7431">
      <w:pPr>
        <w:pStyle w:val="47"/>
        <w:ind w:firstLine="480" w:firstLineChars="200"/>
        <w:rPr>
          <w:rFonts w:ascii="Times New Roman" w:hAnsi="Times New Roman" w:cs="Times New Roman"/>
          <w:sz w:val="24"/>
          <w:szCs w:val="24"/>
        </w:rPr>
      </w:pPr>
      <w:r>
        <w:rPr>
          <w:rFonts w:ascii="Times New Roman" w:hAnsi="Times New Roman" w:cs="Times New Roman"/>
          <w:sz w:val="24"/>
          <w:szCs w:val="24"/>
        </w:rPr>
        <w:t>根据以上分析，项目符合三线一单的要求。</w:t>
      </w:r>
    </w:p>
    <w:p w14:paraId="5621C2E2">
      <w:pPr>
        <w:pStyle w:val="6"/>
        <w:spacing w:before="0" w:after="0" w:line="360" w:lineRule="auto"/>
        <w:rPr>
          <w:rFonts w:ascii="Times New Roman" w:hAnsi="Times New Roman" w:eastAsia="宋体"/>
          <w:sz w:val="30"/>
          <w:szCs w:val="30"/>
        </w:rPr>
      </w:pPr>
      <w:bookmarkStart w:id="27" w:name="_Toc28654"/>
      <w:r>
        <w:rPr>
          <w:rFonts w:ascii="Times New Roman" w:hAnsi="Times New Roman" w:eastAsia="宋体"/>
          <w:sz w:val="30"/>
          <w:szCs w:val="30"/>
        </w:rPr>
        <w:t>1.4关注的主要环境问题及环境影响</w:t>
      </w:r>
      <w:bookmarkEnd w:id="27"/>
    </w:p>
    <w:p w14:paraId="0E43A287">
      <w:pPr>
        <w:spacing w:line="360" w:lineRule="auto"/>
        <w:ind w:firstLine="482" w:firstLineChars="200"/>
        <w:rPr>
          <w:b/>
          <w:sz w:val="24"/>
        </w:rPr>
      </w:pPr>
      <w:r>
        <w:rPr>
          <w:b/>
          <w:sz w:val="24"/>
        </w:rPr>
        <w:t>本项目关注的主要环境问题：</w:t>
      </w:r>
    </w:p>
    <w:p w14:paraId="45219031">
      <w:pPr>
        <w:spacing w:line="360" w:lineRule="auto"/>
        <w:ind w:firstLine="480" w:firstLineChars="200"/>
        <w:rPr>
          <w:sz w:val="24"/>
        </w:rPr>
      </w:pPr>
      <w:r>
        <w:rPr>
          <w:sz w:val="24"/>
        </w:rPr>
        <w:t>施工期——施工过程中产生的主要污染物为施工扬尘、各施工阶段施工机械噪声、施工生活污水、施工废水。</w:t>
      </w:r>
    </w:p>
    <w:p w14:paraId="00E5F33D">
      <w:pPr>
        <w:spacing w:line="360" w:lineRule="auto"/>
        <w:ind w:firstLine="480" w:firstLineChars="200"/>
        <w:rPr>
          <w:sz w:val="24"/>
        </w:rPr>
      </w:pPr>
      <w:r>
        <w:rPr>
          <w:sz w:val="24"/>
        </w:rPr>
        <w:t>运营期——废气有猪舍、废水处理、猪粪发酵产生的恶臭气体，影响项目区域环境空气质量；废水有养殖废水、员工生活废水，若直接排入环境会对项目区域水环境造成污染；固废有猪粪、沼渣、病死猪、医疗废物、员工生活垃圾等，若随意丢弃会污染环境；噪声为设备噪声对周边声环境产生影响。</w:t>
      </w:r>
    </w:p>
    <w:p w14:paraId="17D15584">
      <w:pPr>
        <w:spacing w:line="360" w:lineRule="auto"/>
        <w:ind w:firstLine="482" w:firstLineChars="200"/>
        <w:rPr>
          <w:b/>
          <w:sz w:val="24"/>
        </w:rPr>
      </w:pPr>
      <w:r>
        <w:rPr>
          <w:b/>
          <w:sz w:val="24"/>
        </w:rPr>
        <w:t>本项目关注的主要环境影响：</w:t>
      </w:r>
    </w:p>
    <w:p w14:paraId="1A5F373C">
      <w:pPr>
        <w:spacing w:line="360" w:lineRule="auto"/>
        <w:ind w:firstLine="480" w:firstLineChars="200"/>
        <w:rPr>
          <w:sz w:val="24"/>
        </w:rPr>
      </w:pPr>
      <w:r>
        <w:rPr>
          <w:sz w:val="24"/>
        </w:rPr>
        <w:t>施工期—施工扬尘对大气环境的影响、施工废水对周围地表水环境的影响、施工噪声对周边敏感目标的影响，施工固废占地对生态环境的影响和堆放产生的水土流失对周围地表水环境的影响、施工期占地对植物、动物、产生的水土流失影响；</w:t>
      </w:r>
    </w:p>
    <w:p w14:paraId="4AC40E2C">
      <w:pPr>
        <w:spacing w:line="360" w:lineRule="auto"/>
        <w:ind w:firstLine="480" w:firstLineChars="200"/>
        <w:rPr>
          <w:sz w:val="24"/>
        </w:rPr>
      </w:pPr>
      <w:r>
        <w:rPr>
          <w:sz w:val="24"/>
        </w:rPr>
        <w:t>运营期——猪舍及废水处理、猪粪堆肥发酵散发的恶臭气体影响项目区域环境空气质量；养殖废水和生活污水的处理；病死猪和猪粪、沼渣、医疗废物等固废的处置问题；产生的噪声对周边环境产生的影响。</w:t>
      </w:r>
    </w:p>
    <w:p w14:paraId="5DE4583E">
      <w:pPr>
        <w:spacing w:line="360" w:lineRule="auto"/>
        <w:ind w:firstLine="480" w:firstLineChars="200"/>
        <w:rPr>
          <w:sz w:val="24"/>
        </w:rPr>
      </w:pPr>
      <w:r>
        <w:rPr>
          <w:kern w:val="18"/>
          <w:sz w:val="24"/>
          <w:szCs w:val="20"/>
        </w:rPr>
        <w:t>本项目采用UASB厌氧反应器产生沼气以及养殖废水收集处理过程中虽具有潜在危险性，项目内沼气储量不构成重大风险源，只要企业在严格按照有关规范标准的要求对各单元进行监控和管理，采取相应的安全防范措施，制定场内的应急计划后，危险性指数较低。因此，本项目风险水平是可以接受的。</w:t>
      </w:r>
    </w:p>
    <w:p w14:paraId="4B9C60C9">
      <w:pPr>
        <w:pStyle w:val="6"/>
        <w:spacing w:before="0" w:after="0" w:line="360" w:lineRule="auto"/>
        <w:rPr>
          <w:rFonts w:ascii="Times New Roman" w:hAnsi="Times New Roman" w:eastAsia="宋体"/>
          <w:sz w:val="30"/>
          <w:szCs w:val="30"/>
        </w:rPr>
      </w:pPr>
      <w:bookmarkStart w:id="28" w:name="_Toc20531"/>
      <w:r>
        <w:rPr>
          <w:rFonts w:ascii="Times New Roman" w:hAnsi="Times New Roman" w:eastAsia="宋体"/>
          <w:sz w:val="30"/>
          <w:szCs w:val="30"/>
        </w:rPr>
        <w:t>1.5环境影响评价的主要结论</w:t>
      </w:r>
      <w:bookmarkEnd w:id="28"/>
    </w:p>
    <w:p w14:paraId="07F21DEC">
      <w:pPr>
        <w:spacing w:line="360" w:lineRule="auto"/>
        <w:ind w:firstLine="480" w:firstLineChars="200"/>
        <w:rPr>
          <w:sz w:val="24"/>
        </w:rPr>
      </w:pPr>
      <w:r>
        <w:rPr>
          <w:sz w:val="24"/>
        </w:rPr>
        <w:t>石林源美养殖场项目符合国家产业政策以及行业技术规范，符合当地环境保护规划以及经济发展规划，项目基础支撑条件较好。通过预测和评价，本项目施工期及运行期的环境影响不大。在采取严格的管理及环保措施后，对周围环境影响程度小，不会改变当地环境功能等级。本项目符合《畜禽养殖业污染防治技术规范》选址要求，选址不在《石林县畜禽殖禁养区限养区划定方案》范围内；项目占地不涉及基本农田，不涉及生态红线。</w:t>
      </w:r>
    </w:p>
    <w:p w14:paraId="2039F253">
      <w:pPr>
        <w:spacing w:line="360" w:lineRule="auto"/>
        <w:ind w:firstLine="480" w:firstLineChars="200"/>
        <w:rPr>
          <w:sz w:val="24"/>
        </w:rPr>
      </w:pPr>
      <w:r>
        <w:rPr>
          <w:sz w:val="24"/>
        </w:rPr>
        <w:t>环评认为，只要石林源美农业发展有限公司石林源美养殖场项目在建设和运营过程中，严格执行国家环保政策和各项规章管理制度，在按“三同时”要求严格落实设计及本环评提出的各项污染控制对策措施的条件下，</w:t>
      </w:r>
      <w:r>
        <w:rPr>
          <w:b/>
          <w:sz w:val="24"/>
        </w:rPr>
        <w:t>该项目从环境保护的角度来看是可行的</w:t>
      </w:r>
      <w:r>
        <w:rPr>
          <w:sz w:val="24"/>
        </w:rPr>
        <w:t>。</w:t>
      </w:r>
    </w:p>
    <w:p w14:paraId="1ABEA28E">
      <w:pPr>
        <w:spacing w:line="360" w:lineRule="auto"/>
        <w:ind w:firstLine="480" w:firstLineChars="200"/>
        <w:rPr>
          <w:sz w:val="24"/>
        </w:rPr>
      </w:pPr>
    </w:p>
    <w:p w14:paraId="600CB7AA">
      <w:pPr>
        <w:spacing w:line="360" w:lineRule="auto"/>
        <w:ind w:firstLine="480" w:firstLineChars="200"/>
        <w:rPr>
          <w:sz w:val="24"/>
        </w:rPr>
      </w:pPr>
    </w:p>
    <w:p w14:paraId="71BDD097">
      <w:pPr>
        <w:spacing w:line="360" w:lineRule="auto"/>
        <w:ind w:firstLine="480" w:firstLineChars="200"/>
        <w:rPr>
          <w:sz w:val="24"/>
        </w:rPr>
      </w:pPr>
    </w:p>
    <w:p w14:paraId="0CF59EA8">
      <w:pPr>
        <w:spacing w:line="360" w:lineRule="auto"/>
        <w:ind w:firstLine="480" w:firstLineChars="200"/>
        <w:rPr>
          <w:sz w:val="24"/>
        </w:rPr>
        <w:sectPr>
          <w:pgSz w:w="11906" w:h="16838"/>
          <w:pgMar w:top="1440" w:right="1797" w:bottom="1361" w:left="1797" w:header="720" w:footer="720" w:gutter="0"/>
          <w:pgNumType w:start="1"/>
          <w:cols w:space="720" w:num="1"/>
        </w:sectPr>
      </w:pPr>
    </w:p>
    <w:p w14:paraId="5CF6E960">
      <w:pPr>
        <w:pStyle w:val="5"/>
        <w:tabs>
          <w:tab w:val="left" w:pos="2895"/>
        </w:tabs>
        <w:spacing w:before="0" w:after="0" w:line="360" w:lineRule="auto"/>
        <w:rPr>
          <w:sz w:val="32"/>
          <w:szCs w:val="32"/>
        </w:rPr>
      </w:pPr>
      <w:bookmarkStart w:id="29" w:name="_Toc68186618"/>
      <w:bookmarkStart w:id="30" w:name="_Toc15241"/>
      <w:r>
        <w:rPr>
          <w:sz w:val="32"/>
          <w:szCs w:val="32"/>
        </w:rPr>
        <w:t>2总则</w:t>
      </w:r>
      <w:bookmarkEnd w:id="29"/>
      <w:bookmarkEnd w:id="30"/>
    </w:p>
    <w:p w14:paraId="03C89AE1">
      <w:pPr>
        <w:pStyle w:val="6"/>
        <w:spacing w:before="0" w:after="0" w:line="360" w:lineRule="auto"/>
        <w:rPr>
          <w:rFonts w:ascii="Times New Roman" w:hAnsi="Times New Roman" w:eastAsia="宋体"/>
          <w:sz w:val="30"/>
          <w:szCs w:val="30"/>
        </w:rPr>
      </w:pPr>
      <w:bookmarkStart w:id="31" w:name="_Toc19209"/>
      <w:bookmarkStart w:id="32" w:name="_Toc68186619"/>
      <w:r>
        <w:rPr>
          <w:rFonts w:ascii="Times New Roman" w:hAnsi="Times New Roman" w:eastAsia="宋体"/>
          <w:sz w:val="30"/>
          <w:szCs w:val="30"/>
        </w:rPr>
        <w:t>2.1编制依据</w:t>
      </w:r>
      <w:bookmarkEnd w:id="31"/>
      <w:bookmarkEnd w:id="32"/>
    </w:p>
    <w:p w14:paraId="63434B88">
      <w:pPr>
        <w:pStyle w:val="7"/>
        <w:spacing w:before="0" w:after="0" w:line="360" w:lineRule="auto"/>
        <w:rPr>
          <w:rFonts w:ascii="Times New Roman" w:hAnsi="Times New Roman"/>
          <w:sz w:val="28"/>
          <w:szCs w:val="28"/>
        </w:rPr>
      </w:pPr>
      <w:r>
        <w:rPr>
          <w:rFonts w:ascii="Times New Roman" w:hAnsi="Times New Roman"/>
          <w:sz w:val="28"/>
          <w:szCs w:val="28"/>
        </w:rPr>
        <w:t>2.1.1法律法规</w:t>
      </w:r>
    </w:p>
    <w:p w14:paraId="3E8D45FA">
      <w:pPr>
        <w:widowControl/>
        <w:adjustRightInd w:val="0"/>
        <w:snapToGrid w:val="0"/>
        <w:spacing w:line="360" w:lineRule="auto"/>
        <w:ind w:firstLine="480" w:firstLineChars="200"/>
        <w:jc w:val="left"/>
        <w:rPr>
          <w:sz w:val="24"/>
        </w:rPr>
      </w:pPr>
      <w:r>
        <w:rPr>
          <w:sz w:val="24"/>
        </w:rPr>
        <w:t>（1）《中华人民共和国环境保护法》（2015年1月1日）；</w:t>
      </w:r>
    </w:p>
    <w:p w14:paraId="3E5A80A2">
      <w:pPr>
        <w:widowControl/>
        <w:adjustRightInd w:val="0"/>
        <w:snapToGrid w:val="0"/>
        <w:spacing w:line="360" w:lineRule="auto"/>
        <w:ind w:firstLine="480" w:firstLineChars="200"/>
        <w:jc w:val="left"/>
        <w:rPr>
          <w:sz w:val="24"/>
        </w:rPr>
      </w:pPr>
      <w:r>
        <w:rPr>
          <w:sz w:val="24"/>
        </w:rPr>
        <w:t>（2）《中华人民共和国环境影响评价法》（2018年12月29日）；</w:t>
      </w:r>
    </w:p>
    <w:p w14:paraId="2A1BA48D">
      <w:pPr>
        <w:widowControl/>
        <w:adjustRightInd w:val="0"/>
        <w:snapToGrid w:val="0"/>
        <w:spacing w:line="360" w:lineRule="auto"/>
        <w:ind w:firstLine="480" w:firstLineChars="200"/>
        <w:jc w:val="left"/>
        <w:rPr>
          <w:sz w:val="24"/>
        </w:rPr>
      </w:pPr>
      <w:r>
        <w:rPr>
          <w:sz w:val="24"/>
        </w:rPr>
        <w:t>（3）《中华人民共和国水污染防治法》（2018年1月1日）；</w:t>
      </w:r>
    </w:p>
    <w:p w14:paraId="0BAE283F">
      <w:pPr>
        <w:widowControl/>
        <w:adjustRightInd w:val="0"/>
        <w:snapToGrid w:val="0"/>
        <w:spacing w:line="360" w:lineRule="auto"/>
        <w:ind w:firstLine="480" w:firstLineChars="200"/>
        <w:jc w:val="left"/>
        <w:rPr>
          <w:sz w:val="24"/>
        </w:rPr>
      </w:pPr>
      <w:r>
        <w:rPr>
          <w:sz w:val="24"/>
        </w:rPr>
        <w:t>（4）《中华人民共和国大气污染防治法》（2016年1月1日）；</w:t>
      </w:r>
    </w:p>
    <w:p w14:paraId="0B3C2976">
      <w:pPr>
        <w:widowControl/>
        <w:adjustRightInd w:val="0"/>
        <w:snapToGrid w:val="0"/>
        <w:spacing w:line="360" w:lineRule="auto"/>
        <w:ind w:firstLine="480" w:firstLineChars="200"/>
        <w:jc w:val="left"/>
        <w:rPr>
          <w:sz w:val="24"/>
        </w:rPr>
      </w:pPr>
      <w:r>
        <w:rPr>
          <w:sz w:val="24"/>
        </w:rPr>
        <w:t>（5）《中华人民共和国环境噪声污染防治法》（</w:t>
      </w:r>
      <w:r>
        <w:rPr>
          <w:sz w:val="24"/>
          <w:szCs w:val="32"/>
        </w:rPr>
        <w:t>2018年12月29日</w:t>
      </w:r>
      <w:r>
        <w:rPr>
          <w:sz w:val="24"/>
        </w:rPr>
        <w:t>）；</w:t>
      </w:r>
    </w:p>
    <w:p w14:paraId="25CE01BA">
      <w:pPr>
        <w:widowControl/>
        <w:adjustRightInd w:val="0"/>
        <w:snapToGrid w:val="0"/>
        <w:spacing w:line="360" w:lineRule="auto"/>
        <w:ind w:left="479" w:leftChars="228"/>
        <w:jc w:val="left"/>
        <w:rPr>
          <w:sz w:val="24"/>
        </w:rPr>
      </w:pPr>
      <w:r>
        <w:rPr>
          <w:sz w:val="24"/>
        </w:rPr>
        <w:t>（6）《中华人民共和国固体废物污染环境防治法》（2020年09月01日施行）；</w:t>
      </w:r>
    </w:p>
    <w:p w14:paraId="20084909">
      <w:pPr>
        <w:widowControl/>
        <w:adjustRightInd w:val="0"/>
        <w:snapToGrid w:val="0"/>
        <w:spacing w:line="360" w:lineRule="auto"/>
        <w:ind w:left="479" w:leftChars="228"/>
        <w:jc w:val="left"/>
      </w:pPr>
      <w:r>
        <w:rPr>
          <w:sz w:val="24"/>
          <w:szCs w:val="32"/>
        </w:rPr>
        <w:t>（7）《中华人民共和国土壤污染防治法》（2019年1月1日）；</w:t>
      </w:r>
    </w:p>
    <w:p w14:paraId="45ADF91B">
      <w:pPr>
        <w:widowControl/>
        <w:adjustRightInd w:val="0"/>
        <w:snapToGrid w:val="0"/>
        <w:spacing w:line="360" w:lineRule="auto"/>
        <w:ind w:firstLine="480" w:firstLineChars="200"/>
        <w:jc w:val="left"/>
        <w:rPr>
          <w:sz w:val="24"/>
        </w:rPr>
      </w:pPr>
      <w:r>
        <w:rPr>
          <w:sz w:val="24"/>
        </w:rPr>
        <w:t>（8）《中华人民共和国清洁生产促进法》（2012年7月1日）；</w:t>
      </w:r>
    </w:p>
    <w:p w14:paraId="4F273778">
      <w:pPr>
        <w:widowControl/>
        <w:adjustRightInd w:val="0"/>
        <w:snapToGrid w:val="0"/>
        <w:spacing w:line="360" w:lineRule="auto"/>
        <w:ind w:firstLine="480" w:firstLineChars="200"/>
        <w:jc w:val="left"/>
        <w:rPr>
          <w:sz w:val="24"/>
        </w:rPr>
      </w:pPr>
      <w:r>
        <w:rPr>
          <w:sz w:val="24"/>
        </w:rPr>
        <w:t>（9）《中华人民共和国循环经济促进法》（2009年1月1日）；</w:t>
      </w:r>
    </w:p>
    <w:p w14:paraId="36A2BEAE">
      <w:pPr>
        <w:widowControl/>
        <w:adjustRightInd w:val="0"/>
        <w:snapToGrid w:val="0"/>
        <w:spacing w:line="360" w:lineRule="auto"/>
        <w:ind w:firstLine="480" w:firstLineChars="200"/>
        <w:jc w:val="left"/>
        <w:rPr>
          <w:sz w:val="24"/>
        </w:rPr>
      </w:pPr>
      <w:r>
        <w:rPr>
          <w:sz w:val="24"/>
        </w:rPr>
        <w:t>（10）《中华人民共和国水法》（2016年7月修订）；</w:t>
      </w:r>
    </w:p>
    <w:p w14:paraId="3C2294C3">
      <w:pPr>
        <w:widowControl/>
        <w:adjustRightInd w:val="0"/>
        <w:snapToGrid w:val="0"/>
        <w:spacing w:line="360" w:lineRule="auto"/>
        <w:ind w:firstLine="480" w:firstLineChars="200"/>
        <w:jc w:val="left"/>
        <w:rPr>
          <w:sz w:val="24"/>
        </w:rPr>
      </w:pPr>
      <w:r>
        <w:rPr>
          <w:sz w:val="24"/>
        </w:rPr>
        <w:t>（11）《中华人民共和国节约能源法》（2016年7月）；</w:t>
      </w:r>
    </w:p>
    <w:p w14:paraId="57BD8A91">
      <w:pPr>
        <w:widowControl/>
        <w:adjustRightInd w:val="0"/>
        <w:snapToGrid w:val="0"/>
        <w:spacing w:line="360" w:lineRule="auto"/>
        <w:ind w:firstLine="480" w:firstLineChars="200"/>
        <w:jc w:val="left"/>
        <w:rPr>
          <w:sz w:val="24"/>
        </w:rPr>
      </w:pPr>
      <w:r>
        <w:rPr>
          <w:sz w:val="24"/>
        </w:rPr>
        <w:t>（12）《中华人民共和国土地管理法》（2004年8月28日）；</w:t>
      </w:r>
    </w:p>
    <w:p w14:paraId="56D15AA1">
      <w:pPr>
        <w:widowControl/>
        <w:adjustRightInd w:val="0"/>
        <w:snapToGrid w:val="0"/>
        <w:spacing w:line="360" w:lineRule="auto"/>
        <w:ind w:firstLine="480" w:firstLineChars="200"/>
        <w:jc w:val="left"/>
        <w:rPr>
          <w:sz w:val="24"/>
        </w:rPr>
      </w:pPr>
      <w:r>
        <w:rPr>
          <w:sz w:val="24"/>
        </w:rPr>
        <w:t>（13）《中华人民共和国水土保持法》（2011年3月1日）；</w:t>
      </w:r>
    </w:p>
    <w:p w14:paraId="4558C23E">
      <w:pPr>
        <w:widowControl/>
        <w:adjustRightInd w:val="0"/>
        <w:snapToGrid w:val="0"/>
        <w:spacing w:line="360" w:lineRule="auto"/>
        <w:ind w:firstLine="480" w:firstLineChars="200"/>
        <w:jc w:val="left"/>
        <w:rPr>
          <w:sz w:val="24"/>
        </w:rPr>
      </w:pPr>
      <w:r>
        <w:rPr>
          <w:sz w:val="24"/>
        </w:rPr>
        <w:t>（14）《中华人民共和国城乡规划法》（2008年1月1日）；</w:t>
      </w:r>
    </w:p>
    <w:p w14:paraId="1977D946">
      <w:pPr>
        <w:widowControl/>
        <w:adjustRightInd w:val="0"/>
        <w:snapToGrid w:val="0"/>
        <w:spacing w:line="360" w:lineRule="auto"/>
        <w:ind w:firstLine="480" w:firstLineChars="200"/>
        <w:jc w:val="left"/>
        <w:rPr>
          <w:sz w:val="24"/>
        </w:rPr>
      </w:pPr>
      <w:r>
        <w:rPr>
          <w:sz w:val="24"/>
        </w:rPr>
        <w:t>（15）《建设项目环境保护管理条例》（国务院令第253号）（2017年7月16日修订）；</w:t>
      </w:r>
    </w:p>
    <w:p w14:paraId="55277915">
      <w:pPr>
        <w:widowControl/>
        <w:adjustRightInd w:val="0"/>
        <w:snapToGrid w:val="0"/>
        <w:spacing w:line="360" w:lineRule="auto"/>
        <w:ind w:firstLine="480" w:firstLineChars="200"/>
        <w:jc w:val="left"/>
        <w:rPr>
          <w:sz w:val="24"/>
        </w:rPr>
      </w:pPr>
      <w:r>
        <w:rPr>
          <w:sz w:val="24"/>
        </w:rPr>
        <w:t>（16）《建设项目危险废物环境影响评价指南》 （公告2017 第43号）；</w:t>
      </w:r>
    </w:p>
    <w:p w14:paraId="68CDD1A6">
      <w:pPr>
        <w:widowControl/>
        <w:adjustRightInd w:val="0"/>
        <w:snapToGrid w:val="0"/>
        <w:spacing w:line="360" w:lineRule="auto"/>
        <w:ind w:firstLine="480" w:firstLineChars="200"/>
        <w:jc w:val="left"/>
        <w:rPr>
          <w:sz w:val="24"/>
        </w:rPr>
      </w:pPr>
      <w:r>
        <w:rPr>
          <w:sz w:val="24"/>
        </w:rPr>
        <w:t>（17）《建设项目环境影响评价分类管理名录》（2021年版）（2021年01月01日施行）；</w:t>
      </w:r>
    </w:p>
    <w:p w14:paraId="06F6EB8C">
      <w:pPr>
        <w:widowControl/>
        <w:adjustRightInd w:val="0"/>
        <w:snapToGrid w:val="0"/>
        <w:spacing w:line="360" w:lineRule="auto"/>
        <w:ind w:firstLine="480" w:firstLineChars="200"/>
        <w:jc w:val="left"/>
        <w:rPr>
          <w:sz w:val="24"/>
        </w:rPr>
      </w:pPr>
      <w:r>
        <w:rPr>
          <w:sz w:val="24"/>
        </w:rPr>
        <w:t>（18）《国务院办公厅关于加强环境监管执法的通知》（国办发〔2014〕56号）；</w:t>
      </w:r>
    </w:p>
    <w:p w14:paraId="3C82207E">
      <w:pPr>
        <w:widowControl/>
        <w:adjustRightInd w:val="0"/>
        <w:snapToGrid w:val="0"/>
        <w:spacing w:line="360" w:lineRule="auto"/>
        <w:ind w:firstLine="480" w:firstLineChars="200"/>
        <w:jc w:val="left"/>
        <w:rPr>
          <w:kern w:val="0"/>
          <w:sz w:val="24"/>
          <w:lang w:bidi="ar"/>
        </w:rPr>
      </w:pPr>
      <w:r>
        <w:rPr>
          <w:kern w:val="0"/>
          <w:sz w:val="24"/>
          <w:lang w:bidi="ar"/>
        </w:rPr>
        <w:t>（19）环境保护部印发《“生态保护红线、环境质量底线、资源利用上线和环境准入负面清单”编制技术指南（试行）》（环办环评[2017]99号）；</w:t>
      </w:r>
    </w:p>
    <w:p w14:paraId="3DAC637A">
      <w:pPr>
        <w:widowControl/>
        <w:adjustRightInd w:val="0"/>
        <w:snapToGrid w:val="0"/>
        <w:spacing w:line="360" w:lineRule="auto"/>
        <w:ind w:firstLine="480" w:firstLineChars="200"/>
        <w:jc w:val="left"/>
        <w:rPr>
          <w:sz w:val="24"/>
        </w:rPr>
      </w:pPr>
      <w:r>
        <w:rPr>
          <w:kern w:val="0"/>
          <w:sz w:val="24"/>
          <w:lang w:bidi="ar"/>
        </w:rPr>
        <w:t>（21）国务院办公厅《关于加快推进畜禽养殖废弃物资源化利用的意见》（国办发〔2017〕48号）；</w:t>
      </w:r>
    </w:p>
    <w:p w14:paraId="2096DEA8">
      <w:pPr>
        <w:pStyle w:val="74"/>
        <w:spacing w:line="360" w:lineRule="auto"/>
        <w:ind w:left="0" w:firstLine="480" w:firstLineChars="200"/>
        <w:rPr>
          <w:sz w:val="24"/>
          <w:szCs w:val="24"/>
        </w:rPr>
      </w:pPr>
      <w:r>
        <w:rPr>
          <w:sz w:val="24"/>
          <w:szCs w:val="24"/>
        </w:rPr>
        <w:t>（2</w:t>
      </w:r>
      <w:r>
        <w:rPr>
          <w:sz w:val="24"/>
          <w:szCs w:val="24"/>
          <w:lang w:val="en-US" w:eastAsia="zh-CN"/>
        </w:rPr>
        <w:t>2</w:t>
      </w:r>
      <w:r>
        <w:rPr>
          <w:sz w:val="24"/>
          <w:szCs w:val="24"/>
        </w:rPr>
        <w:t>）《土壤污染防治行动计划》自2016年5月28日起实施；</w:t>
      </w:r>
    </w:p>
    <w:p w14:paraId="1A51A1E5">
      <w:pPr>
        <w:spacing w:line="360" w:lineRule="auto"/>
        <w:ind w:firstLine="480" w:firstLineChars="200"/>
        <w:rPr>
          <w:sz w:val="24"/>
        </w:rPr>
      </w:pPr>
      <w:r>
        <w:rPr>
          <w:sz w:val="24"/>
        </w:rPr>
        <w:t>（23）《关于做好畜禽规模养殖项目环境影响评价管理工作的通知》（环办环评【2018】31号）；</w:t>
      </w:r>
    </w:p>
    <w:p w14:paraId="4D4F36E7">
      <w:pPr>
        <w:spacing w:line="360" w:lineRule="auto"/>
        <w:ind w:firstLine="480" w:firstLineChars="200"/>
        <w:rPr>
          <w:sz w:val="24"/>
          <w:szCs w:val="32"/>
        </w:rPr>
      </w:pPr>
      <w:r>
        <w:rPr>
          <w:sz w:val="24"/>
          <w:szCs w:val="32"/>
        </w:rPr>
        <w:t>（24）《环境影响评价公众参与办法》（部令第4号2019年1月1日实施）；</w:t>
      </w:r>
    </w:p>
    <w:p w14:paraId="2FBB0849">
      <w:pPr>
        <w:spacing w:line="360" w:lineRule="auto"/>
        <w:ind w:firstLine="480" w:firstLineChars="200"/>
        <w:rPr>
          <w:sz w:val="24"/>
          <w:szCs w:val="32"/>
        </w:rPr>
      </w:pPr>
      <w:r>
        <w:rPr>
          <w:sz w:val="24"/>
          <w:szCs w:val="32"/>
        </w:rPr>
        <w:t>（25）</w:t>
      </w:r>
      <w:r>
        <w:rPr>
          <w:sz w:val="24"/>
        </w:rPr>
        <w:t>《中华人民共和国土壤污染防治法》2018年8月；</w:t>
      </w:r>
    </w:p>
    <w:p w14:paraId="1CD63D29">
      <w:pPr>
        <w:spacing w:line="360" w:lineRule="auto"/>
        <w:ind w:firstLine="480" w:firstLineChars="200"/>
        <w:rPr>
          <w:sz w:val="24"/>
          <w:szCs w:val="32"/>
        </w:rPr>
      </w:pPr>
      <w:r>
        <w:rPr>
          <w:sz w:val="24"/>
          <w:szCs w:val="32"/>
        </w:rPr>
        <w:t>（26）</w:t>
      </w:r>
      <w:r>
        <w:rPr>
          <w:sz w:val="24"/>
        </w:rPr>
        <w:t>《畜禽规模养殖污染防治条例》（2014.1）；</w:t>
      </w:r>
    </w:p>
    <w:p w14:paraId="00E4E4AA">
      <w:pPr>
        <w:spacing w:line="360" w:lineRule="auto"/>
        <w:ind w:firstLine="480" w:firstLineChars="200"/>
        <w:rPr>
          <w:sz w:val="24"/>
          <w:szCs w:val="32"/>
        </w:rPr>
      </w:pPr>
      <w:r>
        <w:rPr>
          <w:sz w:val="24"/>
          <w:szCs w:val="32"/>
        </w:rPr>
        <w:t>（27）</w:t>
      </w:r>
      <w:r>
        <w:rPr>
          <w:sz w:val="24"/>
        </w:rPr>
        <w:t>《病死动物处理技术规范》（2013.10）；</w:t>
      </w:r>
    </w:p>
    <w:p w14:paraId="4B00D86F">
      <w:pPr>
        <w:spacing w:line="360" w:lineRule="auto"/>
        <w:ind w:firstLine="480" w:firstLineChars="200"/>
        <w:rPr>
          <w:sz w:val="24"/>
          <w:szCs w:val="32"/>
        </w:rPr>
      </w:pPr>
      <w:r>
        <w:rPr>
          <w:sz w:val="24"/>
          <w:szCs w:val="32"/>
        </w:rPr>
        <w:t>（28）《自然资源部办公厅关于保障生猪养殖用地有关问题的通知》（自然资电[2019]39号），2019年9月4日。</w:t>
      </w:r>
    </w:p>
    <w:p w14:paraId="03B146A4">
      <w:pPr>
        <w:pStyle w:val="7"/>
        <w:spacing w:before="0" w:after="0" w:line="360" w:lineRule="auto"/>
        <w:rPr>
          <w:rFonts w:ascii="Times New Roman" w:hAnsi="Times New Roman"/>
          <w:sz w:val="28"/>
          <w:szCs w:val="28"/>
        </w:rPr>
      </w:pPr>
      <w:r>
        <w:rPr>
          <w:rFonts w:ascii="Times New Roman" w:hAnsi="Times New Roman"/>
          <w:sz w:val="28"/>
          <w:szCs w:val="28"/>
        </w:rPr>
        <w:t>2.1.2部门规章、规范性文件</w:t>
      </w:r>
    </w:p>
    <w:p w14:paraId="70394D38">
      <w:pPr>
        <w:pStyle w:val="36"/>
        <w:spacing w:line="360" w:lineRule="auto"/>
        <w:rPr>
          <w:rFonts w:ascii="Times New Roman" w:hAnsi="Times New Roman"/>
        </w:rPr>
      </w:pPr>
      <w:r>
        <w:rPr>
          <w:rFonts w:ascii="Times New Roman" w:hAnsi="Times New Roman"/>
        </w:rPr>
        <w:t>（1）农业部办公厅印发《畜禽粪污土地承载力测算技术指南》（2018年1月15日）</w:t>
      </w:r>
    </w:p>
    <w:p w14:paraId="409E3992">
      <w:pPr>
        <w:pStyle w:val="36"/>
        <w:spacing w:line="360" w:lineRule="auto"/>
        <w:rPr>
          <w:rFonts w:ascii="Times New Roman" w:hAnsi="Times New Roman"/>
        </w:rPr>
      </w:pPr>
      <w:r>
        <w:rPr>
          <w:rFonts w:ascii="Times New Roman" w:hAnsi="Times New Roman"/>
        </w:rPr>
        <w:t>（2）</w:t>
      </w:r>
      <w:r>
        <w:rPr>
          <w:rFonts w:ascii="Times New Roman" w:hAnsi="Times New Roman"/>
          <w:bCs/>
        </w:rPr>
        <w:t>《畜禽规模养殖场粪污资源化利用设施建设规范（试行）》[农办牧〔2018〕2号]；</w:t>
      </w:r>
    </w:p>
    <w:p w14:paraId="02ECCA0C">
      <w:pPr>
        <w:pStyle w:val="36"/>
        <w:spacing w:line="360" w:lineRule="auto"/>
        <w:rPr>
          <w:rFonts w:ascii="Times New Roman" w:hAnsi="Times New Roman"/>
        </w:rPr>
      </w:pPr>
      <w:r>
        <w:rPr>
          <w:rFonts w:ascii="Times New Roman" w:hAnsi="Times New Roman"/>
        </w:rPr>
        <w:t>（3）《国务院关于印发全国生态环境保护纲要的通知》，国发[2000]38号；</w:t>
      </w:r>
    </w:p>
    <w:p w14:paraId="06268565">
      <w:pPr>
        <w:pStyle w:val="36"/>
        <w:spacing w:line="360" w:lineRule="auto"/>
        <w:rPr>
          <w:rFonts w:ascii="Times New Roman" w:hAnsi="Times New Roman"/>
        </w:rPr>
      </w:pPr>
      <w:r>
        <w:rPr>
          <w:rFonts w:ascii="Times New Roman" w:hAnsi="Times New Roman"/>
        </w:rPr>
        <w:t>（4）《产业结构调整指导目录(2019年本)》，2019年10月30日国家发展改革委第29号令公布；</w:t>
      </w:r>
    </w:p>
    <w:p w14:paraId="36084F5B">
      <w:pPr>
        <w:pStyle w:val="36"/>
        <w:spacing w:line="360" w:lineRule="auto"/>
        <w:rPr>
          <w:rFonts w:ascii="Times New Roman" w:hAnsi="Times New Roman"/>
        </w:rPr>
      </w:pPr>
      <w:r>
        <w:rPr>
          <w:rFonts w:ascii="Times New Roman" w:hAnsi="Times New Roman"/>
        </w:rPr>
        <w:t>（5）《国土资源部、农业部关于促进规模化畜禽养殖有关用地政策的通知》，国土资发[2007]220号；</w:t>
      </w:r>
    </w:p>
    <w:p w14:paraId="605FCD9D">
      <w:pPr>
        <w:autoSpaceDE w:val="0"/>
        <w:autoSpaceDN w:val="0"/>
        <w:spacing w:line="360" w:lineRule="auto"/>
        <w:ind w:right="237" w:firstLine="480" w:firstLineChars="200"/>
        <w:jc w:val="left"/>
        <w:rPr>
          <w:kern w:val="0"/>
          <w:sz w:val="24"/>
        </w:rPr>
      </w:pPr>
      <w:r>
        <w:rPr>
          <w:kern w:val="0"/>
          <w:sz w:val="24"/>
        </w:rPr>
        <w:t>（6）国务院办公厅《国务院办公厅关于加快推进畜禽养殖废弃物资源化利用的意见》（国办发[2017]48号），2017.5.31；</w:t>
      </w:r>
    </w:p>
    <w:p w14:paraId="1F1B189D">
      <w:pPr>
        <w:autoSpaceDE w:val="0"/>
        <w:autoSpaceDN w:val="0"/>
        <w:spacing w:line="360" w:lineRule="auto"/>
        <w:ind w:right="237" w:firstLine="480" w:firstLineChars="200"/>
        <w:jc w:val="left"/>
        <w:rPr>
          <w:kern w:val="0"/>
          <w:sz w:val="24"/>
        </w:rPr>
      </w:pPr>
      <w:r>
        <w:rPr>
          <w:kern w:val="0"/>
          <w:sz w:val="24"/>
        </w:rPr>
        <w:t>（7）国务院办公厅《国务院办公厅关于建立病死畜禽无害化处理机制的意见》（国办发[2014]47号），2014.10.20；</w:t>
      </w:r>
    </w:p>
    <w:p w14:paraId="7210EEAC">
      <w:pPr>
        <w:pStyle w:val="36"/>
        <w:spacing w:line="360" w:lineRule="auto"/>
        <w:rPr>
          <w:rFonts w:ascii="Times New Roman" w:hAnsi="Times New Roman"/>
        </w:rPr>
      </w:pPr>
      <w:r>
        <w:rPr>
          <w:rFonts w:ascii="Times New Roman" w:hAnsi="Times New Roman"/>
        </w:rPr>
        <w:t>（8）环境保护部 农业部《关于进一步加强畜禽养殖污染防治工作的通知》（环水体[2016]144号），2016.10.19；</w:t>
      </w:r>
    </w:p>
    <w:p w14:paraId="0AA92946">
      <w:pPr>
        <w:pStyle w:val="36"/>
        <w:spacing w:line="360" w:lineRule="auto"/>
        <w:rPr>
          <w:rFonts w:ascii="Times New Roman" w:hAnsi="Times New Roman"/>
        </w:rPr>
      </w:pPr>
      <w:r>
        <w:rPr>
          <w:rFonts w:ascii="Times New Roman" w:hAnsi="Times New Roman"/>
        </w:rPr>
        <w:t>（9）环境保护部《关于在畜禽养殖废弃物资源化利用过程中加强环境监管的通知》（环水体[2017]120号），2017.9.8；</w:t>
      </w:r>
    </w:p>
    <w:p w14:paraId="412B5FF0">
      <w:pPr>
        <w:pStyle w:val="36"/>
        <w:spacing w:line="360" w:lineRule="auto"/>
        <w:rPr>
          <w:rFonts w:ascii="Times New Roman" w:hAnsi="Times New Roman"/>
        </w:rPr>
      </w:pPr>
      <w:r>
        <w:rPr>
          <w:rFonts w:ascii="Times New Roman" w:hAnsi="Times New Roman"/>
        </w:rPr>
        <w:t>（10）环境保护部《关于印发〈企业事业单位突发环境事件应急预案备案管理办法（试行）〉的通知》（环发[2015]4号），2015.1.8；</w:t>
      </w:r>
    </w:p>
    <w:p w14:paraId="37436029">
      <w:pPr>
        <w:pStyle w:val="36"/>
        <w:spacing w:line="360" w:lineRule="auto"/>
        <w:rPr>
          <w:rFonts w:ascii="Times New Roman" w:hAnsi="Times New Roman"/>
        </w:rPr>
      </w:pPr>
      <w:r>
        <w:rPr>
          <w:rFonts w:ascii="Times New Roman" w:hAnsi="Times New Roman"/>
        </w:rPr>
        <w:t>（11）农业部关于印发《畜禽粪污资源化利用行动方案（2017—2020年）》的通知农牧发[2017]11号；</w:t>
      </w:r>
    </w:p>
    <w:p w14:paraId="3BFC33AD">
      <w:pPr>
        <w:pStyle w:val="36"/>
        <w:spacing w:line="360" w:lineRule="auto"/>
        <w:rPr>
          <w:rFonts w:ascii="Times New Roman" w:hAnsi="Times New Roman"/>
        </w:rPr>
      </w:pPr>
      <w:r>
        <w:rPr>
          <w:rFonts w:ascii="Times New Roman" w:hAnsi="Times New Roman"/>
        </w:rPr>
        <w:t>（12）农业部关于印发《病死及病害动物无害化处理技术规范》的通知。农医发〔2017〕25号；</w:t>
      </w:r>
    </w:p>
    <w:p w14:paraId="005E1E5A">
      <w:pPr>
        <w:pStyle w:val="36"/>
        <w:spacing w:line="360" w:lineRule="auto"/>
        <w:rPr>
          <w:rFonts w:ascii="Times New Roman" w:hAnsi="Times New Roman"/>
        </w:rPr>
      </w:pPr>
      <w:r>
        <w:rPr>
          <w:rFonts w:ascii="Times New Roman" w:hAnsi="Times New Roman"/>
        </w:rPr>
        <w:t>（13）</w:t>
      </w:r>
      <w:r>
        <w:rPr>
          <w:rFonts w:ascii="Times New Roman" w:hAnsi="Times New Roman"/>
          <w:kern w:val="0"/>
        </w:rPr>
        <w:t>国务院关于印发《水污染防治行动计划》，国发〔2015〕17号，2015年4月2日。</w:t>
      </w:r>
    </w:p>
    <w:p w14:paraId="440C630C">
      <w:pPr>
        <w:autoSpaceDE w:val="0"/>
        <w:autoSpaceDN w:val="0"/>
        <w:spacing w:line="360" w:lineRule="auto"/>
        <w:ind w:right="237" w:firstLine="480" w:firstLineChars="200"/>
        <w:jc w:val="left"/>
        <w:rPr>
          <w:kern w:val="0"/>
          <w:sz w:val="24"/>
        </w:rPr>
      </w:pPr>
      <w:r>
        <w:rPr>
          <w:kern w:val="0"/>
          <w:sz w:val="24"/>
        </w:rPr>
        <w:t>（14）国务院关于印发《大气污染防治行动计划》的通知，国发〔2013〕37号，2013年6月14日。</w:t>
      </w:r>
    </w:p>
    <w:p w14:paraId="355E1290">
      <w:pPr>
        <w:autoSpaceDE w:val="0"/>
        <w:autoSpaceDN w:val="0"/>
        <w:spacing w:line="360" w:lineRule="auto"/>
        <w:ind w:right="237" w:firstLine="480" w:firstLineChars="200"/>
        <w:jc w:val="left"/>
        <w:rPr>
          <w:kern w:val="0"/>
          <w:sz w:val="24"/>
        </w:rPr>
      </w:pPr>
      <w:r>
        <w:rPr>
          <w:kern w:val="0"/>
          <w:sz w:val="24"/>
        </w:rPr>
        <w:t>（15）国务院关于印发《土壤污染防治行动计划》的通知，</w:t>
      </w:r>
      <w:r>
        <w:rPr>
          <w:sz w:val="24"/>
        </w:rPr>
        <w:t>国发[2016]31号</w:t>
      </w:r>
      <w:r>
        <w:rPr>
          <w:kern w:val="0"/>
          <w:sz w:val="24"/>
        </w:rPr>
        <w:t>，2016年5月28日。</w:t>
      </w:r>
    </w:p>
    <w:p w14:paraId="683352ED">
      <w:pPr>
        <w:autoSpaceDE w:val="0"/>
        <w:autoSpaceDN w:val="0"/>
        <w:spacing w:line="360" w:lineRule="auto"/>
        <w:ind w:right="237" w:firstLine="480" w:firstLineChars="200"/>
        <w:jc w:val="left"/>
        <w:rPr>
          <w:kern w:val="0"/>
          <w:sz w:val="24"/>
        </w:rPr>
      </w:pPr>
      <w:r>
        <w:rPr>
          <w:kern w:val="0"/>
          <w:sz w:val="24"/>
        </w:rPr>
        <w:t>（16）中华人民共和国生态环境部关于畜禽养殖业选址问题的回复，2018年2月26日；</w:t>
      </w:r>
    </w:p>
    <w:p w14:paraId="7AAE4DB8">
      <w:pPr>
        <w:autoSpaceDE w:val="0"/>
        <w:autoSpaceDN w:val="0"/>
        <w:spacing w:line="360" w:lineRule="auto"/>
        <w:ind w:right="237" w:firstLine="480" w:firstLineChars="200"/>
        <w:jc w:val="left"/>
        <w:rPr>
          <w:kern w:val="0"/>
          <w:sz w:val="24"/>
        </w:rPr>
      </w:pPr>
      <w:r>
        <w:rPr>
          <w:kern w:val="0"/>
          <w:sz w:val="24"/>
        </w:rPr>
        <w:t>（17）《国家危险废物名录》（2021版）。</w:t>
      </w:r>
    </w:p>
    <w:p w14:paraId="560666C0">
      <w:pPr>
        <w:pStyle w:val="7"/>
        <w:spacing w:before="0" w:after="0" w:line="360" w:lineRule="auto"/>
        <w:rPr>
          <w:rFonts w:ascii="Times New Roman" w:hAnsi="Times New Roman"/>
          <w:sz w:val="28"/>
          <w:szCs w:val="28"/>
        </w:rPr>
      </w:pPr>
      <w:r>
        <w:rPr>
          <w:rFonts w:ascii="Times New Roman" w:hAnsi="Times New Roman"/>
          <w:sz w:val="28"/>
          <w:szCs w:val="28"/>
        </w:rPr>
        <w:t>2.1.3地方性法规和规范性文件</w:t>
      </w:r>
    </w:p>
    <w:p w14:paraId="6658B1FC">
      <w:pPr>
        <w:tabs>
          <w:tab w:val="left" w:pos="851"/>
          <w:tab w:val="left" w:pos="993"/>
        </w:tabs>
        <w:spacing w:line="360" w:lineRule="auto"/>
        <w:ind w:firstLine="480" w:firstLineChars="200"/>
        <w:rPr>
          <w:sz w:val="24"/>
        </w:rPr>
      </w:pPr>
      <w:r>
        <w:rPr>
          <w:sz w:val="24"/>
        </w:rPr>
        <w:t>（1）《云南省环境保护条例》（2004年6月29日修订）；</w:t>
      </w:r>
    </w:p>
    <w:p w14:paraId="4658D199">
      <w:pPr>
        <w:tabs>
          <w:tab w:val="left" w:pos="851"/>
          <w:tab w:val="left" w:pos="993"/>
        </w:tabs>
        <w:spacing w:line="360" w:lineRule="auto"/>
        <w:ind w:firstLine="480" w:firstLineChars="200"/>
        <w:rPr>
          <w:sz w:val="24"/>
        </w:rPr>
      </w:pPr>
      <w:r>
        <w:rPr>
          <w:sz w:val="24"/>
        </w:rPr>
        <w:t>（2）《中共云南省委云南省人民政府关于加强环境保护的决定》（2006年12月颁布）；</w:t>
      </w:r>
    </w:p>
    <w:p w14:paraId="59E885BC">
      <w:pPr>
        <w:tabs>
          <w:tab w:val="left" w:pos="851"/>
          <w:tab w:val="left" w:pos="993"/>
        </w:tabs>
        <w:spacing w:line="360" w:lineRule="auto"/>
        <w:ind w:firstLine="480" w:firstLineChars="200"/>
        <w:rPr>
          <w:sz w:val="24"/>
        </w:rPr>
      </w:pPr>
      <w:r>
        <w:rPr>
          <w:sz w:val="24"/>
        </w:rPr>
        <w:t>（3）《云南省人民政府七彩云南保护行动》（2007年1月颁布）；</w:t>
      </w:r>
    </w:p>
    <w:p w14:paraId="33B402E2">
      <w:pPr>
        <w:tabs>
          <w:tab w:val="left" w:pos="851"/>
          <w:tab w:val="left" w:pos="993"/>
        </w:tabs>
        <w:spacing w:line="360" w:lineRule="auto"/>
        <w:ind w:firstLine="480" w:firstLineChars="200"/>
        <w:rPr>
          <w:sz w:val="24"/>
        </w:rPr>
      </w:pPr>
      <w:r>
        <w:rPr>
          <w:sz w:val="24"/>
        </w:rPr>
        <w:t>（4）《云南省建设项目环境保护管理规定》（云南省人民政府令第105号，2001年10月）；</w:t>
      </w:r>
    </w:p>
    <w:p w14:paraId="35FDC22B">
      <w:pPr>
        <w:tabs>
          <w:tab w:val="left" w:pos="851"/>
          <w:tab w:val="left" w:pos="993"/>
        </w:tabs>
        <w:spacing w:line="360" w:lineRule="auto"/>
        <w:ind w:firstLine="480" w:firstLineChars="200"/>
        <w:rPr>
          <w:sz w:val="24"/>
        </w:rPr>
      </w:pPr>
      <w:r>
        <w:rPr>
          <w:sz w:val="24"/>
        </w:rPr>
        <w:t>（5）《云南省水功能区划》（2014年修订），云南省水利厅；</w:t>
      </w:r>
    </w:p>
    <w:p w14:paraId="348ED262">
      <w:pPr>
        <w:tabs>
          <w:tab w:val="left" w:pos="851"/>
          <w:tab w:val="left" w:pos="993"/>
        </w:tabs>
        <w:spacing w:line="360" w:lineRule="auto"/>
        <w:ind w:firstLine="480" w:firstLineChars="200"/>
        <w:rPr>
          <w:sz w:val="24"/>
        </w:rPr>
      </w:pPr>
      <w:r>
        <w:rPr>
          <w:sz w:val="24"/>
        </w:rPr>
        <w:t>（6）《云南省地方标准用水定额》（DB53T 168-2013）；</w:t>
      </w:r>
    </w:p>
    <w:p w14:paraId="7F1E357F">
      <w:pPr>
        <w:tabs>
          <w:tab w:val="left" w:pos="851"/>
          <w:tab w:val="left" w:pos="993"/>
        </w:tabs>
        <w:spacing w:line="360" w:lineRule="auto"/>
        <w:ind w:firstLine="480" w:firstLineChars="200"/>
        <w:rPr>
          <w:sz w:val="24"/>
        </w:rPr>
      </w:pPr>
      <w:r>
        <w:rPr>
          <w:sz w:val="24"/>
        </w:rPr>
        <w:t>（7）《云南省环境保护局关于加强建设项目主要污染物排放指标管理有关问题的通知》（云环发〔2007〕287 号）；</w:t>
      </w:r>
    </w:p>
    <w:p w14:paraId="0755C373">
      <w:pPr>
        <w:tabs>
          <w:tab w:val="left" w:pos="851"/>
          <w:tab w:val="left" w:pos="993"/>
        </w:tabs>
        <w:spacing w:line="360" w:lineRule="auto"/>
        <w:ind w:firstLine="480" w:firstLineChars="200"/>
        <w:rPr>
          <w:sz w:val="24"/>
        </w:rPr>
      </w:pPr>
      <w:r>
        <w:rPr>
          <w:sz w:val="24"/>
        </w:rPr>
        <w:t>（8）《云南省生态环境厅关于发布厅审批环境影响评价文件的建设项目目录（2020年本）的通知，云环发（〔2020〕6号）；</w:t>
      </w:r>
    </w:p>
    <w:p w14:paraId="0F14DBDF">
      <w:pPr>
        <w:tabs>
          <w:tab w:val="left" w:pos="851"/>
          <w:tab w:val="left" w:pos="993"/>
        </w:tabs>
        <w:spacing w:line="360" w:lineRule="auto"/>
        <w:ind w:firstLine="480" w:firstLineChars="200"/>
        <w:rPr>
          <w:sz w:val="24"/>
        </w:rPr>
      </w:pPr>
      <w:r>
        <w:rPr>
          <w:sz w:val="24"/>
        </w:rPr>
        <w:t>（9）《中共云南省委、云南省人民政府关于把畜牧产业发展成为国民经济重要产业的若干意见》（云发[2004]5号）；</w:t>
      </w:r>
    </w:p>
    <w:p w14:paraId="2F528C0A">
      <w:pPr>
        <w:tabs>
          <w:tab w:val="left" w:pos="851"/>
          <w:tab w:val="left" w:pos="993"/>
        </w:tabs>
        <w:spacing w:line="360" w:lineRule="auto"/>
        <w:ind w:firstLine="480" w:firstLineChars="200"/>
        <w:rPr>
          <w:sz w:val="24"/>
        </w:rPr>
      </w:pPr>
      <w:r>
        <w:rPr>
          <w:sz w:val="24"/>
        </w:rPr>
        <w:t>（10）《云南省关于规模化畜禽养殖主要污染物减排量认定条件》（云环函[2012] 343号）；</w:t>
      </w:r>
    </w:p>
    <w:p w14:paraId="16604611">
      <w:pPr>
        <w:pStyle w:val="677"/>
        <w:ind w:firstLine="480"/>
        <w:rPr>
          <w:rFonts w:ascii="Times New Roman" w:hAnsi="Times New Roman"/>
        </w:rPr>
      </w:pPr>
      <w:r>
        <w:rPr>
          <w:rFonts w:ascii="Times New Roman" w:hAnsi="Times New Roman"/>
        </w:rPr>
        <w:t>（</w:t>
      </w:r>
      <w:r>
        <w:rPr>
          <w:rFonts w:ascii="Times New Roman" w:hAnsi="Times New Roman"/>
          <w:lang w:val="en-US" w:eastAsia="zh-CN"/>
        </w:rPr>
        <w:t>11</w:t>
      </w:r>
      <w:r>
        <w:rPr>
          <w:rFonts w:ascii="Times New Roman" w:hAnsi="Times New Roman"/>
        </w:rPr>
        <w:t>）《云南省农业环境保护条例》（1997.5.28）；</w:t>
      </w:r>
    </w:p>
    <w:p w14:paraId="5B43D766">
      <w:pPr>
        <w:pStyle w:val="677"/>
        <w:ind w:firstLine="480"/>
        <w:rPr>
          <w:rFonts w:ascii="Times New Roman" w:hAnsi="Times New Roman"/>
        </w:rPr>
      </w:pPr>
      <w:r>
        <w:rPr>
          <w:rFonts w:ascii="Times New Roman" w:hAnsi="Times New Roman"/>
        </w:rPr>
        <w:t>（</w:t>
      </w:r>
      <w:r>
        <w:rPr>
          <w:rFonts w:ascii="Times New Roman" w:hAnsi="Times New Roman"/>
          <w:lang w:val="en-US" w:eastAsia="zh-CN"/>
        </w:rPr>
        <w:t>12</w:t>
      </w:r>
      <w:r>
        <w:rPr>
          <w:rFonts w:ascii="Times New Roman" w:hAnsi="Times New Roman"/>
        </w:rPr>
        <w:t>）</w:t>
      </w:r>
      <w:r>
        <w:rPr>
          <w:rFonts w:ascii="Times New Roman" w:hAnsi="Times New Roman"/>
          <w:bCs/>
        </w:rPr>
        <w:t>《中共云南省委、云南省人民政府关于把畜牧产业发展成为国民经济重要产业的若干意见》（云发[2004]5号）；</w:t>
      </w:r>
    </w:p>
    <w:p w14:paraId="7244CB77">
      <w:pPr>
        <w:pStyle w:val="677"/>
        <w:ind w:firstLine="480"/>
        <w:rPr>
          <w:rFonts w:ascii="Times New Roman" w:hAnsi="Times New Roman"/>
        </w:rPr>
      </w:pPr>
      <w:r>
        <w:rPr>
          <w:rFonts w:ascii="Times New Roman" w:hAnsi="Times New Roman"/>
        </w:rPr>
        <w:t>（</w:t>
      </w:r>
      <w:r>
        <w:rPr>
          <w:rFonts w:ascii="Times New Roman" w:hAnsi="Times New Roman"/>
          <w:lang w:val="en-US" w:eastAsia="zh-CN"/>
        </w:rPr>
        <w:t>13</w:t>
      </w:r>
      <w:r>
        <w:rPr>
          <w:rFonts w:ascii="Times New Roman" w:hAnsi="Times New Roman"/>
        </w:rPr>
        <w:t>）《</w:t>
      </w:r>
      <w:r>
        <w:rPr>
          <w:rFonts w:ascii="Times New Roman" w:hAnsi="Times New Roman"/>
          <w:bCs/>
        </w:rPr>
        <w:t>云南省人民政府关于发布云南省生态保护红线的通知</w:t>
      </w:r>
      <w:r>
        <w:rPr>
          <w:rFonts w:ascii="Times New Roman" w:hAnsi="Times New Roman"/>
        </w:rPr>
        <w:t>》</w:t>
      </w:r>
      <w:r>
        <w:rPr>
          <w:rFonts w:ascii="Times New Roman" w:hAnsi="Times New Roman"/>
          <w:bCs/>
        </w:rPr>
        <w:t>，云政发〔2018〕32号，2018年6月29日</w:t>
      </w:r>
      <w:r>
        <w:rPr>
          <w:rFonts w:ascii="Times New Roman" w:hAnsi="Times New Roman"/>
        </w:rPr>
        <w:t>。</w:t>
      </w:r>
    </w:p>
    <w:p w14:paraId="62C13F6B">
      <w:pPr>
        <w:pStyle w:val="36"/>
        <w:spacing w:line="360" w:lineRule="auto"/>
        <w:rPr>
          <w:rFonts w:ascii="Times New Roman" w:hAnsi="Times New Roman"/>
        </w:rPr>
      </w:pPr>
      <w:r>
        <w:rPr>
          <w:rFonts w:ascii="Times New Roman" w:hAnsi="Times New Roman"/>
        </w:rPr>
        <w:t>（14）《昆明市城市建筑垃圾管理实施办法》〔2011〕88号。</w:t>
      </w:r>
    </w:p>
    <w:p w14:paraId="1BECACEF">
      <w:pPr>
        <w:pStyle w:val="7"/>
        <w:spacing w:before="0" w:after="0" w:line="360" w:lineRule="auto"/>
        <w:rPr>
          <w:rFonts w:ascii="Times New Roman" w:hAnsi="Times New Roman"/>
          <w:sz w:val="28"/>
          <w:szCs w:val="28"/>
        </w:rPr>
      </w:pPr>
      <w:r>
        <w:rPr>
          <w:rFonts w:ascii="Times New Roman" w:hAnsi="Times New Roman"/>
          <w:sz w:val="28"/>
          <w:szCs w:val="28"/>
        </w:rPr>
        <w:t>2.1.4技术导则与规范</w:t>
      </w:r>
    </w:p>
    <w:p w14:paraId="7742F5F8">
      <w:pPr>
        <w:pStyle w:val="36"/>
        <w:spacing w:line="360" w:lineRule="auto"/>
        <w:rPr>
          <w:rFonts w:ascii="Times New Roman" w:hAnsi="Times New Roman"/>
        </w:rPr>
      </w:pPr>
      <w:r>
        <w:rPr>
          <w:rFonts w:ascii="Times New Roman" w:hAnsi="Times New Roman"/>
        </w:rPr>
        <w:t>（1）《建设项目环境影响评价技术导则 总纲》（HJ2.1-2016），2017年1月1 实施；</w:t>
      </w:r>
    </w:p>
    <w:p w14:paraId="33EFBFF1">
      <w:pPr>
        <w:pStyle w:val="36"/>
        <w:spacing w:line="360" w:lineRule="auto"/>
        <w:rPr>
          <w:rFonts w:ascii="Times New Roman" w:hAnsi="Times New Roman"/>
        </w:rPr>
      </w:pPr>
      <w:r>
        <w:rPr>
          <w:rFonts w:ascii="Times New Roman" w:hAnsi="Times New Roman"/>
        </w:rPr>
        <w:t>（2）《环境影响评价技术导则 大气环境》（HJ2.2-2018），2018年12月01日实施；</w:t>
      </w:r>
    </w:p>
    <w:p w14:paraId="1C6F184D">
      <w:pPr>
        <w:pStyle w:val="36"/>
        <w:spacing w:line="360" w:lineRule="auto"/>
        <w:rPr>
          <w:rFonts w:ascii="Times New Roman" w:hAnsi="Times New Roman"/>
        </w:rPr>
      </w:pPr>
      <w:r>
        <w:rPr>
          <w:rFonts w:ascii="Times New Roman" w:hAnsi="Times New Roman"/>
        </w:rPr>
        <w:t>（3）《环境影响评价技术导则 地面水环境》（HJ2.3-2018）；</w:t>
      </w:r>
    </w:p>
    <w:p w14:paraId="291BAE9C">
      <w:pPr>
        <w:pStyle w:val="36"/>
        <w:spacing w:line="360" w:lineRule="auto"/>
        <w:rPr>
          <w:rFonts w:ascii="Times New Roman" w:hAnsi="Times New Roman"/>
        </w:rPr>
      </w:pPr>
      <w:r>
        <w:rPr>
          <w:rFonts w:ascii="Times New Roman" w:hAnsi="Times New Roman"/>
        </w:rPr>
        <w:t>（4）《环境影响评价技术导则 地下水环境》（HJ 610-2016），2016年 01月 07 日实施；</w:t>
      </w:r>
    </w:p>
    <w:p w14:paraId="65E42AA1">
      <w:pPr>
        <w:pStyle w:val="36"/>
        <w:spacing w:line="360" w:lineRule="auto"/>
        <w:rPr>
          <w:rFonts w:ascii="Times New Roman" w:hAnsi="Times New Roman"/>
        </w:rPr>
      </w:pPr>
      <w:r>
        <w:rPr>
          <w:rFonts w:ascii="Times New Roman" w:hAnsi="Times New Roman"/>
        </w:rPr>
        <w:t>（5）《环境影响评价技术导则 声环境》（HJ2.4-2009），2010年 04月 01日实施；</w:t>
      </w:r>
    </w:p>
    <w:p w14:paraId="43FD9105">
      <w:pPr>
        <w:pStyle w:val="36"/>
        <w:spacing w:line="360" w:lineRule="auto"/>
        <w:rPr>
          <w:rFonts w:ascii="Times New Roman" w:hAnsi="Times New Roman"/>
        </w:rPr>
      </w:pPr>
      <w:r>
        <w:rPr>
          <w:rFonts w:ascii="Times New Roman" w:hAnsi="Times New Roman"/>
        </w:rPr>
        <w:t>（6）《环境影响评价技术导则 生态影响》（HJ19-2011），2011年 09月01日实施；</w:t>
      </w:r>
    </w:p>
    <w:p w14:paraId="44DC924D">
      <w:pPr>
        <w:pStyle w:val="36"/>
        <w:spacing w:line="360" w:lineRule="auto"/>
        <w:rPr>
          <w:rFonts w:ascii="Times New Roman" w:hAnsi="Times New Roman"/>
        </w:rPr>
      </w:pPr>
      <w:r>
        <w:rPr>
          <w:rFonts w:ascii="Times New Roman" w:hAnsi="Times New Roman"/>
        </w:rPr>
        <w:t>（7）《建设项目环境风险评价技术导则》（HJ169-2018）；</w:t>
      </w:r>
    </w:p>
    <w:p w14:paraId="0D5175FE">
      <w:pPr>
        <w:pStyle w:val="36"/>
        <w:spacing w:line="360" w:lineRule="auto"/>
        <w:rPr>
          <w:rFonts w:ascii="Times New Roman" w:hAnsi="Times New Roman"/>
        </w:rPr>
      </w:pPr>
      <w:r>
        <w:rPr>
          <w:rFonts w:ascii="Times New Roman" w:hAnsi="Times New Roman"/>
        </w:rPr>
        <w:t>（8）《环境影响评价技术导则  土壤环境（试行）》（HJ964-2018）；</w:t>
      </w:r>
    </w:p>
    <w:p w14:paraId="57185925">
      <w:pPr>
        <w:pStyle w:val="36"/>
        <w:spacing w:line="360" w:lineRule="auto"/>
        <w:rPr>
          <w:rFonts w:ascii="Times New Roman" w:hAnsi="Times New Roman"/>
        </w:rPr>
      </w:pPr>
      <w:r>
        <w:rPr>
          <w:rFonts w:ascii="Times New Roman" w:hAnsi="Times New Roman"/>
        </w:rPr>
        <w:t>（9）《畜禽养殖业污染防治技术规范》（HJ/T81-2001），2002年04月01日实施；</w:t>
      </w:r>
    </w:p>
    <w:p w14:paraId="2A4513C9">
      <w:pPr>
        <w:pStyle w:val="36"/>
        <w:spacing w:line="360" w:lineRule="auto"/>
        <w:rPr>
          <w:rFonts w:ascii="Times New Roman" w:hAnsi="Times New Roman"/>
        </w:rPr>
      </w:pPr>
      <w:r>
        <w:rPr>
          <w:rFonts w:ascii="Times New Roman" w:hAnsi="Times New Roman"/>
        </w:rPr>
        <w:t>（10）《畜禽养殖业污染治理工程技术规范》（HJ497-2009），2009年12月1日起施行；</w:t>
      </w:r>
    </w:p>
    <w:p w14:paraId="381FE34A">
      <w:pPr>
        <w:pStyle w:val="36"/>
        <w:spacing w:line="360" w:lineRule="auto"/>
        <w:rPr>
          <w:rFonts w:ascii="Times New Roman" w:hAnsi="Times New Roman"/>
        </w:rPr>
      </w:pPr>
      <w:r>
        <w:rPr>
          <w:rFonts w:ascii="Times New Roman" w:hAnsi="Times New Roman"/>
        </w:rPr>
        <w:t>（10）《畜禽养殖业污染防治技术政策》（环发[2010]151号）；</w:t>
      </w:r>
    </w:p>
    <w:p w14:paraId="7839FE97">
      <w:pPr>
        <w:pStyle w:val="36"/>
        <w:spacing w:line="360" w:lineRule="auto"/>
        <w:rPr>
          <w:rFonts w:ascii="Times New Roman" w:hAnsi="Times New Roman"/>
        </w:rPr>
      </w:pPr>
      <w:r>
        <w:rPr>
          <w:rFonts w:ascii="Times New Roman" w:hAnsi="Times New Roman"/>
        </w:rPr>
        <w:t>（11）《病死动物无害化处理技术规范》（农医发[2013]34号）；</w:t>
      </w:r>
    </w:p>
    <w:p w14:paraId="5F214940">
      <w:pPr>
        <w:pStyle w:val="36"/>
        <w:spacing w:line="360" w:lineRule="auto"/>
        <w:rPr>
          <w:rFonts w:ascii="Times New Roman" w:hAnsi="Times New Roman"/>
        </w:rPr>
      </w:pPr>
      <w:r>
        <w:rPr>
          <w:rFonts w:ascii="Times New Roman" w:hAnsi="Times New Roman"/>
        </w:rPr>
        <w:t>（12）《畜禽病害肉尸及其产品无害化处理规程》（GB16548-1996）；</w:t>
      </w:r>
    </w:p>
    <w:p w14:paraId="030A6B1E">
      <w:pPr>
        <w:pStyle w:val="36"/>
        <w:spacing w:line="360" w:lineRule="auto"/>
        <w:rPr>
          <w:rFonts w:ascii="Times New Roman" w:hAnsi="Times New Roman"/>
        </w:rPr>
      </w:pPr>
      <w:r>
        <w:rPr>
          <w:rFonts w:ascii="Times New Roman" w:hAnsi="Times New Roman"/>
        </w:rPr>
        <w:t>（13）《规模化畜禽养殖场沼气工程设计规范》（NY/T1222-2006），2007年2月1日；</w:t>
      </w:r>
    </w:p>
    <w:p w14:paraId="511C8E5C">
      <w:pPr>
        <w:pStyle w:val="36"/>
        <w:spacing w:line="360" w:lineRule="auto"/>
        <w:rPr>
          <w:rFonts w:ascii="Times New Roman" w:hAnsi="Times New Roman"/>
        </w:rPr>
      </w:pPr>
      <w:r>
        <w:rPr>
          <w:rFonts w:ascii="Times New Roman" w:hAnsi="Times New Roman"/>
        </w:rPr>
        <w:t>（14）《沼气工程技术规范》（NY/T1220.1-2006），2007 年2月1日；</w:t>
      </w:r>
    </w:p>
    <w:p w14:paraId="6E5FC483">
      <w:pPr>
        <w:pStyle w:val="36"/>
        <w:spacing w:line="360" w:lineRule="auto"/>
        <w:rPr>
          <w:rFonts w:ascii="Times New Roman" w:hAnsi="Times New Roman"/>
          <w:bCs/>
        </w:rPr>
      </w:pPr>
      <w:r>
        <w:rPr>
          <w:rFonts w:ascii="Times New Roman" w:hAnsi="Times New Roman"/>
          <w:bCs/>
        </w:rPr>
        <w:t>（15）《畜禽粪便还田技术规范》（GB/ T 25246-2010），</w:t>
      </w:r>
      <w:r>
        <w:rPr>
          <w:rFonts w:ascii="Times New Roman" w:hAnsi="Times New Roman"/>
        </w:rPr>
        <w:t>2011年3月1日</w:t>
      </w:r>
      <w:r>
        <w:rPr>
          <w:rFonts w:ascii="Times New Roman" w:hAnsi="Times New Roman"/>
          <w:bCs/>
        </w:rPr>
        <w:t>；</w:t>
      </w:r>
    </w:p>
    <w:p w14:paraId="3BB407D2">
      <w:pPr>
        <w:pStyle w:val="36"/>
        <w:spacing w:line="360" w:lineRule="auto"/>
        <w:rPr>
          <w:rFonts w:ascii="Times New Roman" w:hAnsi="Times New Roman"/>
          <w:bCs/>
        </w:rPr>
      </w:pPr>
      <w:r>
        <w:rPr>
          <w:rFonts w:ascii="Times New Roman" w:hAnsi="Times New Roman"/>
          <w:bCs/>
        </w:rPr>
        <w:t>（16）</w:t>
      </w:r>
      <w:r>
        <w:rPr>
          <w:rFonts w:ascii="Times New Roman" w:hAnsi="Times New Roman"/>
        </w:rPr>
        <w:t>《畜禽粪便农田利用环境影响评价准则》（GB/T 26622-2011）</w:t>
      </w:r>
      <w:r>
        <w:rPr>
          <w:rFonts w:ascii="Times New Roman" w:hAnsi="Times New Roman"/>
          <w:bCs/>
        </w:rPr>
        <w:t>，</w:t>
      </w:r>
      <w:r>
        <w:rPr>
          <w:rFonts w:ascii="Times New Roman" w:hAnsi="Times New Roman"/>
        </w:rPr>
        <w:t>2011年11月1日；</w:t>
      </w:r>
    </w:p>
    <w:p w14:paraId="466D3B20">
      <w:pPr>
        <w:pStyle w:val="36"/>
        <w:spacing w:line="360" w:lineRule="auto"/>
        <w:rPr>
          <w:rFonts w:ascii="Times New Roman" w:hAnsi="Times New Roman"/>
        </w:rPr>
      </w:pPr>
      <w:r>
        <w:rPr>
          <w:rFonts w:ascii="Times New Roman" w:hAnsi="Times New Roman"/>
        </w:rPr>
        <w:t>（17）《畜禽养殖产地环境评价规范》（HJ 568-2010）；</w:t>
      </w:r>
    </w:p>
    <w:p w14:paraId="4952899C">
      <w:pPr>
        <w:pStyle w:val="7"/>
        <w:spacing w:before="0" w:after="0" w:line="360" w:lineRule="auto"/>
        <w:rPr>
          <w:rFonts w:ascii="Times New Roman" w:hAnsi="Times New Roman"/>
          <w:sz w:val="28"/>
          <w:szCs w:val="28"/>
        </w:rPr>
      </w:pPr>
      <w:r>
        <w:rPr>
          <w:rFonts w:ascii="Times New Roman" w:hAnsi="Times New Roman"/>
          <w:sz w:val="28"/>
          <w:szCs w:val="28"/>
        </w:rPr>
        <w:t>2.1.5相关资料</w:t>
      </w:r>
    </w:p>
    <w:p w14:paraId="64056E8A">
      <w:pPr>
        <w:spacing w:line="360" w:lineRule="auto"/>
        <w:ind w:firstLine="480" w:firstLineChars="200"/>
        <w:rPr>
          <w:sz w:val="24"/>
        </w:rPr>
      </w:pPr>
      <w:r>
        <w:rPr>
          <w:sz w:val="24"/>
        </w:rPr>
        <w:t>（1）项目委托书；</w:t>
      </w:r>
    </w:p>
    <w:p w14:paraId="0BE79BD3">
      <w:pPr>
        <w:numPr>
          <w:ilvl w:val="0"/>
          <w:numId w:val="80"/>
        </w:numPr>
        <w:spacing w:line="360" w:lineRule="auto"/>
        <w:rPr>
          <w:sz w:val="24"/>
        </w:rPr>
      </w:pPr>
      <w:r>
        <w:rPr>
          <w:sz w:val="24"/>
        </w:rPr>
        <w:t>投资项目备案证；</w:t>
      </w:r>
    </w:p>
    <w:p w14:paraId="66A3B95D">
      <w:pPr>
        <w:numPr>
          <w:ilvl w:val="0"/>
          <w:numId w:val="80"/>
        </w:numPr>
        <w:spacing w:line="360" w:lineRule="auto"/>
        <w:rPr>
          <w:sz w:val="24"/>
        </w:rPr>
      </w:pPr>
      <w:r>
        <w:rPr>
          <w:sz w:val="24"/>
        </w:rPr>
        <w:t>中共石林彝族自治县委、石林彝族自治县人民政府印发《石林彝族自治县“四全”工作方案》的通知（石发[2008]31号）；</w:t>
      </w:r>
    </w:p>
    <w:p w14:paraId="570E4BDC">
      <w:pPr>
        <w:numPr>
          <w:ilvl w:val="0"/>
          <w:numId w:val="80"/>
        </w:numPr>
        <w:spacing w:line="360" w:lineRule="auto"/>
        <w:rPr>
          <w:sz w:val="24"/>
        </w:rPr>
      </w:pPr>
      <w:r>
        <w:rPr>
          <w:sz w:val="24"/>
        </w:rPr>
        <w:t>项目建设方案；</w:t>
      </w:r>
    </w:p>
    <w:p w14:paraId="175AE89A">
      <w:pPr>
        <w:spacing w:line="360" w:lineRule="auto"/>
        <w:ind w:firstLine="480" w:firstLineChars="200"/>
        <w:rPr>
          <w:sz w:val="24"/>
        </w:rPr>
      </w:pPr>
      <w:r>
        <w:rPr>
          <w:sz w:val="24"/>
        </w:rPr>
        <w:t>（5）建设单位提供的设计资料及其它资料。</w:t>
      </w:r>
    </w:p>
    <w:p w14:paraId="43A48D02">
      <w:pPr>
        <w:pStyle w:val="6"/>
        <w:spacing w:before="0" w:after="0" w:line="360" w:lineRule="auto"/>
        <w:rPr>
          <w:rFonts w:ascii="Times New Roman" w:hAnsi="Times New Roman" w:eastAsia="宋体"/>
          <w:sz w:val="30"/>
          <w:szCs w:val="30"/>
        </w:rPr>
      </w:pPr>
      <w:bookmarkStart w:id="33" w:name="_Toc1588"/>
      <w:bookmarkStart w:id="34" w:name="_Toc68186620"/>
      <w:r>
        <w:rPr>
          <w:rFonts w:ascii="Times New Roman" w:hAnsi="Times New Roman" w:eastAsia="宋体"/>
          <w:sz w:val="30"/>
          <w:szCs w:val="30"/>
        </w:rPr>
        <w:t>2.2评价目的及评价原则</w:t>
      </w:r>
      <w:bookmarkEnd w:id="33"/>
      <w:bookmarkEnd w:id="34"/>
    </w:p>
    <w:p w14:paraId="14BD9601">
      <w:pPr>
        <w:pStyle w:val="7"/>
        <w:spacing w:before="0" w:after="0" w:line="360" w:lineRule="auto"/>
        <w:rPr>
          <w:rFonts w:ascii="Times New Roman" w:hAnsi="Times New Roman"/>
          <w:sz w:val="28"/>
          <w:szCs w:val="28"/>
        </w:rPr>
      </w:pPr>
      <w:r>
        <w:rPr>
          <w:rFonts w:ascii="Times New Roman" w:hAnsi="Times New Roman"/>
          <w:sz w:val="28"/>
          <w:szCs w:val="28"/>
        </w:rPr>
        <w:t>2.2.1 评价目的</w:t>
      </w:r>
    </w:p>
    <w:p w14:paraId="0D5B454D">
      <w:pPr>
        <w:tabs>
          <w:tab w:val="left" w:pos="540"/>
        </w:tabs>
        <w:spacing w:line="360" w:lineRule="auto"/>
        <w:ind w:firstLine="600" w:firstLineChars="250"/>
        <w:rPr>
          <w:sz w:val="24"/>
          <w:szCs w:val="28"/>
        </w:rPr>
      </w:pPr>
      <w:r>
        <w:rPr>
          <w:sz w:val="24"/>
          <w:szCs w:val="28"/>
        </w:rPr>
        <w:t>（1）</w:t>
      </w:r>
      <w:r>
        <w:rPr>
          <w:bCs/>
          <w:sz w:val="24"/>
          <w:szCs w:val="28"/>
        </w:rPr>
        <w:t>分析项目的建设与国家产业政策、行业政策的相符性，论证场址可行性</w:t>
      </w:r>
      <w:r>
        <w:rPr>
          <w:sz w:val="24"/>
          <w:szCs w:val="28"/>
        </w:rPr>
        <w:t>。</w:t>
      </w:r>
    </w:p>
    <w:p w14:paraId="159D204D">
      <w:pPr>
        <w:tabs>
          <w:tab w:val="left" w:pos="540"/>
        </w:tabs>
        <w:spacing w:line="360" w:lineRule="auto"/>
        <w:ind w:firstLine="600" w:firstLineChars="250"/>
        <w:rPr>
          <w:sz w:val="24"/>
          <w:szCs w:val="28"/>
        </w:rPr>
      </w:pPr>
      <w:r>
        <w:rPr>
          <w:sz w:val="24"/>
          <w:szCs w:val="28"/>
        </w:rPr>
        <w:t>（2）根据同类行业类比调查、查阅数据手册、物料衡算等方法，</w:t>
      </w:r>
      <w:r>
        <w:rPr>
          <w:bCs/>
          <w:sz w:val="24"/>
          <w:szCs w:val="28"/>
        </w:rPr>
        <w:t>分析确定本项目工艺产污环节及污染物排放情况，并进行达标分析。</w:t>
      </w:r>
    </w:p>
    <w:p w14:paraId="5B4A0B5B">
      <w:pPr>
        <w:tabs>
          <w:tab w:val="left" w:pos="540"/>
        </w:tabs>
        <w:spacing w:line="360" w:lineRule="auto"/>
        <w:ind w:firstLine="600" w:firstLineChars="250"/>
        <w:rPr>
          <w:sz w:val="24"/>
          <w:szCs w:val="28"/>
        </w:rPr>
      </w:pPr>
      <w:r>
        <w:rPr>
          <w:sz w:val="24"/>
          <w:szCs w:val="28"/>
        </w:rPr>
        <w:t>（3）</w:t>
      </w:r>
      <w:r>
        <w:rPr>
          <w:bCs/>
          <w:sz w:val="24"/>
          <w:szCs w:val="28"/>
        </w:rPr>
        <w:t>对评价区域环境质量现状进行调查、监测与评价，明确环境保护目标。</w:t>
      </w:r>
    </w:p>
    <w:p w14:paraId="35F8D361">
      <w:pPr>
        <w:tabs>
          <w:tab w:val="left" w:pos="540"/>
        </w:tabs>
        <w:spacing w:line="360" w:lineRule="auto"/>
        <w:ind w:firstLine="600" w:firstLineChars="250"/>
        <w:rPr>
          <w:sz w:val="24"/>
          <w:szCs w:val="28"/>
        </w:rPr>
      </w:pPr>
      <w:r>
        <w:rPr>
          <w:sz w:val="24"/>
          <w:szCs w:val="28"/>
        </w:rPr>
        <w:t>（4）</w:t>
      </w:r>
      <w:r>
        <w:rPr>
          <w:bCs/>
          <w:sz w:val="24"/>
          <w:szCs w:val="28"/>
        </w:rPr>
        <w:t>预测本项目投产后全场污染物排放对周围环境影响的程度和范围，并对其进行影响评价，给出影响结论。</w:t>
      </w:r>
    </w:p>
    <w:p w14:paraId="0ED9F62A">
      <w:pPr>
        <w:tabs>
          <w:tab w:val="left" w:pos="540"/>
        </w:tabs>
        <w:spacing w:line="360" w:lineRule="auto"/>
        <w:ind w:firstLine="600" w:firstLineChars="250"/>
        <w:rPr>
          <w:sz w:val="24"/>
          <w:szCs w:val="28"/>
        </w:rPr>
      </w:pPr>
      <w:r>
        <w:rPr>
          <w:sz w:val="24"/>
          <w:szCs w:val="28"/>
        </w:rPr>
        <w:t>（5）</w:t>
      </w:r>
      <w:r>
        <w:rPr>
          <w:bCs/>
          <w:sz w:val="24"/>
          <w:szCs w:val="28"/>
        </w:rPr>
        <w:t>分析论证本项目拟采取的污染防治措施的技术经济可行性。</w:t>
      </w:r>
    </w:p>
    <w:p w14:paraId="01F0980E">
      <w:pPr>
        <w:tabs>
          <w:tab w:val="left" w:pos="540"/>
        </w:tabs>
        <w:spacing w:line="360" w:lineRule="auto"/>
        <w:ind w:firstLine="600" w:firstLineChars="250"/>
        <w:rPr>
          <w:sz w:val="24"/>
          <w:szCs w:val="28"/>
        </w:rPr>
      </w:pPr>
      <w:r>
        <w:rPr>
          <w:sz w:val="24"/>
          <w:szCs w:val="28"/>
        </w:rPr>
        <w:t>（6）根据预测评价结果，分析项目选址的可行性。</w:t>
      </w:r>
    </w:p>
    <w:p w14:paraId="5D25A2E6">
      <w:pPr>
        <w:tabs>
          <w:tab w:val="left" w:pos="540"/>
        </w:tabs>
        <w:spacing w:line="360" w:lineRule="auto"/>
        <w:ind w:firstLine="600" w:firstLineChars="250"/>
        <w:rPr>
          <w:sz w:val="24"/>
          <w:szCs w:val="28"/>
        </w:rPr>
      </w:pPr>
      <w:r>
        <w:rPr>
          <w:sz w:val="24"/>
          <w:szCs w:val="28"/>
        </w:rPr>
        <w:t>（7）预测环境风险事故发生后对周围环境及人员的影响程度和范围，提出防范措施和应急预案。</w:t>
      </w:r>
    </w:p>
    <w:p w14:paraId="7CED0D30">
      <w:pPr>
        <w:tabs>
          <w:tab w:val="left" w:pos="540"/>
        </w:tabs>
        <w:spacing w:line="360" w:lineRule="auto"/>
        <w:ind w:firstLine="600" w:firstLineChars="250"/>
        <w:rPr>
          <w:sz w:val="24"/>
          <w:szCs w:val="28"/>
        </w:rPr>
      </w:pPr>
      <w:r>
        <w:rPr>
          <w:sz w:val="24"/>
          <w:szCs w:val="28"/>
        </w:rPr>
        <w:t>（8）</w:t>
      </w:r>
      <w:r>
        <w:rPr>
          <w:bCs/>
          <w:sz w:val="24"/>
          <w:szCs w:val="28"/>
        </w:rPr>
        <w:t>从环保角度，给出本项目建设是否可行的明确结论，为工程设计和环境管理提供科学依据。</w:t>
      </w:r>
    </w:p>
    <w:p w14:paraId="66F0D651">
      <w:pPr>
        <w:pStyle w:val="7"/>
        <w:spacing w:before="0" w:after="0" w:line="360" w:lineRule="auto"/>
        <w:rPr>
          <w:rFonts w:ascii="Times New Roman" w:hAnsi="Times New Roman"/>
          <w:sz w:val="28"/>
          <w:szCs w:val="28"/>
        </w:rPr>
      </w:pPr>
      <w:r>
        <w:rPr>
          <w:rFonts w:ascii="Times New Roman" w:hAnsi="Times New Roman"/>
          <w:sz w:val="28"/>
          <w:szCs w:val="28"/>
        </w:rPr>
        <w:t>2.2.2 评价原则</w:t>
      </w:r>
    </w:p>
    <w:p w14:paraId="3F7E9ECE">
      <w:pPr>
        <w:pStyle w:val="10"/>
        <w:spacing w:line="360" w:lineRule="auto"/>
        <w:ind w:firstLine="480"/>
        <w:rPr>
          <w:sz w:val="24"/>
        </w:rPr>
      </w:pPr>
      <w:r>
        <w:rPr>
          <w:sz w:val="24"/>
        </w:rPr>
        <w:t>根据《环境影响评价技术导则  总纲》（HJ2.l-2016），本项目环境影响评价原则如下：</w:t>
      </w:r>
    </w:p>
    <w:p w14:paraId="1D19CF47">
      <w:pPr>
        <w:pStyle w:val="10"/>
        <w:spacing w:line="360" w:lineRule="auto"/>
        <w:ind w:firstLine="480"/>
        <w:rPr>
          <w:sz w:val="24"/>
        </w:rPr>
      </w:pPr>
      <w:r>
        <w:rPr>
          <w:sz w:val="24"/>
        </w:rPr>
        <w:t xml:space="preserve">（1）依法评价原则：贯彻执行我国环境保护相关法律法规、标准、政策和规划等，优化项目建设，服务环境管理。 </w:t>
      </w:r>
    </w:p>
    <w:p w14:paraId="09C6FFCB">
      <w:pPr>
        <w:pStyle w:val="10"/>
        <w:spacing w:line="360" w:lineRule="auto"/>
        <w:ind w:firstLine="480"/>
        <w:rPr>
          <w:sz w:val="24"/>
        </w:rPr>
      </w:pPr>
      <w:r>
        <w:rPr>
          <w:sz w:val="24"/>
        </w:rPr>
        <w:t xml:space="preserve">（2）科学评价：规范环境影响评价方法，科学分析项目建设对环境质量的影响。 </w:t>
      </w:r>
    </w:p>
    <w:p w14:paraId="0D676927">
      <w:pPr>
        <w:pStyle w:val="10"/>
        <w:spacing w:line="360" w:lineRule="auto"/>
        <w:ind w:firstLine="480"/>
        <w:rPr>
          <w:sz w:val="24"/>
        </w:rPr>
      </w:pPr>
      <w:r>
        <w:rPr>
          <w:sz w:val="24"/>
        </w:rPr>
        <w:t>（3）突出重点：根据建设项目的工程内容及其特点，明确与环境要素间的作用效应关系，根据规划环境影响评价结论和审查意见，充分利用符合时效的数据资料及成果，对建设项目主要环境影响予以重点分析和评价。</w:t>
      </w:r>
    </w:p>
    <w:p w14:paraId="7C94D981">
      <w:pPr>
        <w:pStyle w:val="6"/>
        <w:spacing w:before="0" w:after="0" w:line="360" w:lineRule="auto"/>
        <w:rPr>
          <w:rFonts w:ascii="Times New Roman" w:hAnsi="Times New Roman" w:eastAsia="宋体"/>
          <w:sz w:val="30"/>
          <w:szCs w:val="30"/>
        </w:rPr>
      </w:pPr>
      <w:bookmarkStart w:id="35" w:name="_Toc68186621"/>
      <w:bookmarkStart w:id="36" w:name="_Toc15651"/>
      <w:r>
        <w:rPr>
          <w:rFonts w:ascii="Times New Roman" w:hAnsi="Times New Roman" w:eastAsia="宋体"/>
          <w:sz w:val="30"/>
          <w:szCs w:val="30"/>
        </w:rPr>
        <w:t>2.3评价因子与评价标准</w:t>
      </w:r>
      <w:bookmarkEnd w:id="35"/>
      <w:bookmarkEnd w:id="36"/>
    </w:p>
    <w:p w14:paraId="05A3E27D">
      <w:pPr>
        <w:pStyle w:val="7"/>
        <w:spacing w:before="0" w:after="0" w:line="360" w:lineRule="auto"/>
        <w:rPr>
          <w:rFonts w:ascii="Times New Roman" w:hAnsi="Times New Roman"/>
          <w:sz w:val="28"/>
          <w:szCs w:val="28"/>
        </w:rPr>
      </w:pPr>
      <w:r>
        <w:rPr>
          <w:rFonts w:ascii="Times New Roman" w:hAnsi="Times New Roman"/>
          <w:sz w:val="28"/>
          <w:szCs w:val="28"/>
        </w:rPr>
        <w:t>2.3.1评价因子</w:t>
      </w:r>
    </w:p>
    <w:p w14:paraId="4B48AABC">
      <w:pPr>
        <w:spacing w:line="360" w:lineRule="auto"/>
        <w:ind w:firstLine="480" w:firstLineChars="200"/>
        <w:rPr>
          <w:sz w:val="24"/>
        </w:rPr>
      </w:pPr>
      <w:r>
        <w:rPr>
          <w:sz w:val="24"/>
        </w:rPr>
        <w:t>项目施工期和运营期对环境的影响不尽相同，结合项目实际进行初步分析后，明确项目在施工期和运营期的各种行为与可能受影响的环境要素间的作用效应关系，识别项目的环境影响性质、影响范围、影响程度等，定性分析建设项目对社会、经济、环境各要素可能产生的影响，根据项目特点和区域环境特征，筛选了主要环境问题识别矩阵，详见表2.3-1。</w:t>
      </w:r>
    </w:p>
    <w:p w14:paraId="1DE6F500">
      <w:pPr>
        <w:spacing w:line="360" w:lineRule="auto"/>
        <w:ind w:firstLine="480" w:firstLineChars="200"/>
        <w:rPr>
          <w:sz w:val="24"/>
        </w:rPr>
      </w:pPr>
    </w:p>
    <w:p w14:paraId="6DF4902B">
      <w:pPr>
        <w:spacing w:before="79" w:after="35"/>
        <w:ind w:right="38"/>
        <w:jc w:val="center"/>
        <w:rPr>
          <w:sz w:val="24"/>
        </w:rPr>
        <w:sectPr>
          <w:pgSz w:w="11906" w:h="16838"/>
          <w:pgMar w:top="1440" w:right="1797" w:bottom="1361" w:left="1797" w:header="720" w:footer="720" w:gutter="0"/>
          <w:cols w:space="720" w:num="1"/>
        </w:sectPr>
      </w:pPr>
    </w:p>
    <w:p w14:paraId="3F01E3AC">
      <w:pPr>
        <w:spacing w:before="79" w:after="35"/>
        <w:ind w:right="38"/>
        <w:jc w:val="center"/>
        <w:rPr>
          <w:b/>
          <w:bCs/>
          <w:szCs w:val="21"/>
        </w:rPr>
      </w:pPr>
      <w:r>
        <w:rPr>
          <w:b/>
          <w:bCs/>
          <w:szCs w:val="21"/>
        </w:rPr>
        <w:t>表</w:t>
      </w:r>
      <w:r>
        <w:rPr>
          <w:b/>
          <w:bCs/>
          <w:spacing w:val="14"/>
          <w:szCs w:val="21"/>
        </w:rPr>
        <w:t>2.3-</w:t>
      </w:r>
      <w:r>
        <w:rPr>
          <w:b/>
          <w:bCs/>
          <w:szCs w:val="21"/>
        </w:rPr>
        <w:t>1</w:t>
      </w:r>
      <w:r>
        <w:rPr>
          <w:b/>
          <w:bCs/>
          <w:szCs w:val="21"/>
        </w:rPr>
        <w:tab/>
      </w:r>
      <w:r>
        <w:rPr>
          <w:b/>
          <w:bCs/>
          <w:spacing w:val="40"/>
          <w:szCs w:val="21"/>
        </w:rPr>
        <w:t>环境影</w:t>
      </w:r>
      <w:r>
        <w:rPr>
          <w:b/>
          <w:bCs/>
          <w:spacing w:val="38"/>
          <w:szCs w:val="21"/>
        </w:rPr>
        <w:t>响因</w:t>
      </w:r>
      <w:r>
        <w:rPr>
          <w:b/>
          <w:bCs/>
          <w:spacing w:val="40"/>
          <w:szCs w:val="21"/>
        </w:rPr>
        <w:t>子识</w:t>
      </w:r>
      <w:r>
        <w:rPr>
          <w:b/>
          <w:bCs/>
          <w:spacing w:val="38"/>
          <w:szCs w:val="21"/>
        </w:rPr>
        <w:t>别</w:t>
      </w:r>
      <w:r>
        <w:rPr>
          <w:b/>
          <w:bCs/>
          <w:spacing w:val="40"/>
          <w:szCs w:val="21"/>
        </w:rPr>
        <w:t>一</w:t>
      </w:r>
      <w:r>
        <w:rPr>
          <w:b/>
          <w:bCs/>
          <w:spacing w:val="38"/>
          <w:szCs w:val="21"/>
        </w:rPr>
        <w:t>览</w:t>
      </w:r>
      <w:r>
        <w:rPr>
          <w:b/>
          <w:bCs/>
          <w:szCs w:val="21"/>
        </w:rPr>
        <w:t>表</w:t>
      </w:r>
    </w:p>
    <w:tbl>
      <w:tblPr>
        <w:tblStyle w:val="87"/>
        <w:tblW w:w="0" w:type="auto"/>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2392"/>
        <w:gridCol w:w="806"/>
        <w:gridCol w:w="809"/>
        <w:gridCol w:w="806"/>
        <w:gridCol w:w="808"/>
        <w:gridCol w:w="808"/>
        <w:gridCol w:w="806"/>
        <w:gridCol w:w="806"/>
        <w:gridCol w:w="806"/>
        <w:gridCol w:w="808"/>
        <w:gridCol w:w="806"/>
        <w:gridCol w:w="850"/>
        <w:gridCol w:w="777"/>
        <w:gridCol w:w="1060"/>
      </w:tblGrid>
      <w:tr w14:paraId="6A363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restart"/>
            <w:noWrap w:val="0"/>
            <w:vAlign w:val="center"/>
          </w:tcPr>
          <w:p w14:paraId="2F2EF9A0">
            <w:pPr>
              <w:pStyle w:val="2251"/>
              <w:ind w:left="151" w:right="146"/>
              <w:rPr>
                <w:rFonts w:ascii="Times New Roman" w:hAnsi="Times New Roman" w:cs="Times New Roman"/>
                <w:sz w:val="21"/>
                <w:szCs w:val="21"/>
              </w:rPr>
            </w:pPr>
            <w:r>
              <w:rPr>
                <w:rFonts w:ascii="Times New Roman" w:hAnsi="Times New Roman" w:cs="Times New Roman"/>
                <w:sz w:val="21"/>
                <w:szCs w:val="21"/>
              </w:rPr>
              <w:t xml:space="preserve">工程阶段 </w:t>
            </w:r>
          </w:p>
        </w:tc>
        <w:tc>
          <w:tcPr>
            <w:tcW w:w="2392" w:type="dxa"/>
            <w:vMerge w:val="restart"/>
            <w:noWrap w:val="0"/>
            <w:vAlign w:val="top"/>
          </w:tcPr>
          <w:p w14:paraId="09A941CB">
            <w:pPr>
              <w:pStyle w:val="2251"/>
              <w:spacing w:before="8"/>
              <w:rPr>
                <w:rFonts w:ascii="Times New Roman" w:hAnsi="Times New Roman" w:cs="Times New Roman"/>
                <w:b/>
                <w:bCs/>
                <w:sz w:val="29"/>
                <w:szCs w:val="29"/>
              </w:rPr>
            </w:pPr>
          </w:p>
          <w:p w14:paraId="3BE2FA20">
            <w:pPr>
              <w:pStyle w:val="2251"/>
              <w:ind w:left="444"/>
              <w:rPr>
                <w:rFonts w:ascii="Times New Roman" w:hAnsi="Times New Roman" w:cs="Times New Roman"/>
                <w:sz w:val="21"/>
                <w:szCs w:val="21"/>
              </w:rPr>
            </w:pPr>
            <w:r>
              <w:rPr>
                <w:rFonts w:ascii="Times New Roman" w:hAnsi="Times New Roman" w:cs="Times New Roman"/>
                <w:sz w:val="21"/>
                <w:szCs w:val="21"/>
              </w:rPr>
              <w:t xml:space="preserve">工程作用因素 </w:t>
            </w:r>
          </w:p>
        </w:tc>
        <w:tc>
          <w:tcPr>
            <w:tcW w:w="10756" w:type="dxa"/>
            <w:gridSpan w:val="13"/>
            <w:noWrap w:val="0"/>
            <w:vAlign w:val="top"/>
          </w:tcPr>
          <w:p w14:paraId="38D6738A">
            <w:pPr>
              <w:pStyle w:val="2251"/>
              <w:spacing w:before="37"/>
              <w:ind w:left="3889" w:right="3881"/>
              <w:jc w:val="center"/>
              <w:rPr>
                <w:rFonts w:ascii="Times New Roman" w:hAnsi="Times New Roman" w:cs="Times New Roman"/>
                <w:sz w:val="21"/>
                <w:szCs w:val="21"/>
              </w:rPr>
            </w:pPr>
            <w:r>
              <w:rPr>
                <w:rFonts w:ascii="Times New Roman" w:hAnsi="Times New Roman" w:cs="Times New Roman"/>
                <w:sz w:val="21"/>
                <w:szCs w:val="21"/>
              </w:rPr>
              <w:t xml:space="preserve">工程引起的环境影响及影响程度 </w:t>
            </w:r>
          </w:p>
        </w:tc>
      </w:tr>
      <w:tr w14:paraId="56793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6E13E10F">
            <w:pPr>
              <w:widowControl/>
              <w:rPr>
                <w:szCs w:val="21"/>
              </w:rPr>
            </w:pPr>
          </w:p>
        </w:tc>
        <w:tc>
          <w:tcPr>
            <w:tcW w:w="2392" w:type="dxa"/>
            <w:vMerge w:val="continue"/>
            <w:noWrap w:val="0"/>
            <w:vAlign w:val="center"/>
          </w:tcPr>
          <w:p w14:paraId="475D2A14">
            <w:pPr>
              <w:widowControl/>
              <w:rPr>
                <w:szCs w:val="21"/>
              </w:rPr>
            </w:pPr>
          </w:p>
        </w:tc>
        <w:tc>
          <w:tcPr>
            <w:tcW w:w="806" w:type="dxa"/>
            <w:vMerge w:val="restart"/>
            <w:noWrap w:val="0"/>
            <w:vAlign w:val="top"/>
          </w:tcPr>
          <w:p w14:paraId="531FA8BC">
            <w:pPr>
              <w:pStyle w:val="2251"/>
              <w:spacing w:before="2"/>
              <w:rPr>
                <w:rFonts w:ascii="Times New Roman" w:hAnsi="Times New Roman" w:cs="Times New Roman"/>
                <w:b/>
                <w:bCs/>
                <w:sz w:val="16"/>
                <w:szCs w:val="16"/>
              </w:rPr>
            </w:pPr>
          </w:p>
          <w:p w14:paraId="45879AD4">
            <w:pPr>
              <w:pStyle w:val="2251"/>
              <w:ind w:left="154"/>
              <w:rPr>
                <w:rFonts w:ascii="Times New Roman" w:hAnsi="Times New Roman" w:cs="Times New Roman"/>
                <w:sz w:val="21"/>
                <w:szCs w:val="21"/>
              </w:rPr>
            </w:pPr>
            <w:r>
              <w:rPr>
                <w:rFonts w:ascii="Times New Roman" w:hAnsi="Times New Roman" w:cs="Times New Roman"/>
                <w:sz w:val="21"/>
                <w:szCs w:val="21"/>
              </w:rPr>
              <w:t xml:space="preserve">水文 </w:t>
            </w:r>
          </w:p>
        </w:tc>
        <w:tc>
          <w:tcPr>
            <w:tcW w:w="809" w:type="dxa"/>
            <w:vMerge w:val="restart"/>
            <w:noWrap w:val="0"/>
            <w:vAlign w:val="top"/>
          </w:tcPr>
          <w:p w14:paraId="46210F8A">
            <w:pPr>
              <w:pStyle w:val="2251"/>
              <w:spacing w:before="2"/>
              <w:rPr>
                <w:rFonts w:ascii="Times New Roman" w:hAnsi="Times New Roman" w:cs="Times New Roman"/>
                <w:b/>
                <w:bCs/>
                <w:sz w:val="16"/>
                <w:szCs w:val="16"/>
              </w:rPr>
            </w:pPr>
          </w:p>
          <w:p w14:paraId="44785675">
            <w:pPr>
              <w:pStyle w:val="2251"/>
              <w:ind w:left="155"/>
              <w:rPr>
                <w:rFonts w:ascii="Times New Roman" w:hAnsi="Times New Roman" w:cs="Times New Roman"/>
                <w:sz w:val="21"/>
                <w:szCs w:val="21"/>
              </w:rPr>
            </w:pPr>
            <w:r>
              <w:rPr>
                <w:rFonts w:ascii="Times New Roman" w:hAnsi="Times New Roman" w:cs="Times New Roman"/>
                <w:sz w:val="21"/>
                <w:szCs w:val="21"/>
              </w:rPr>
              <w:t xml:space="preserve">水质 </w:t>
            </w:r>
          </w:p>
        </w:tc>
        <w:tc>
          <w:tcPr>
            <w:tcW w:w="1614" w:type="dxa"/>
            <w:gridSpan w:val="2"/>
            <w:noWrap w:val="0"/>
            <w:vAlign w:val="top"/>
          </w:tcPr>
          <w:p w14:paraId="604DBFDC">
            <w:pPr>
              <w:pStyle w:val="2251"/>
              <w:spacing w:before="34"/>
              <w:ind w:left="578" w:right="571"/>
              <w:jc w:val="center"/>
              <w:rPr>
                <w:rFonts w:ascii="Times New Roman" w:hAnsi="Times New Roman" w:cs="Times New Roman"/>
                <w:sz w:val="21"/>
                <w:szCs w:val="21"/>
              </w:rPr>
            </w:pPr>
            <w:r>
              <w:rPr>
                <w:rFonts w:ascii="Times New Roman" w:hAnsi="Times New Roman" w:cs="Times New Roman"/>
                <w:sz w:val="21"/>
                <w:szCs w:val="21"/>
              </w:rPr>
              <w:t xml:space="preserve">土壤 </w:t>
            </w:r>
          </w:p>
        </w:tc>
        <w:tc>
          <w:tcPr>
            <w:tcW w:w="808" w:type="dxa"/>
            <w:vMerge w:val="restart"/>
            <w:noWrap w:val="0"/>
            <w:vAlign w:val="top"/>
          </w:tcPr>
          <w:p w14:paraId="4EEB7121">
            <w:pPr>
              <w:pStyle w:val="2251"/>
              <w:spacing w:before="2"/>
              <w:rPr>
                <w:rFonts w:ascii="Times New Roman" w:hAnsi="Times New Roman" w:cs="Times New Roman"/>
                <w:b/>
                <w:bCs/>
                <w:sz w:val="16"/>
                <w:szCs w:val="16"/>
              </w:rPr>
            </w:pPr>
          </w:p>
          <w:p w14:paraId="6EF87FA0">
            <w:pPr>
              <w:pStyle w:val="2251"/>
              <w:ind w:left="29"/>
              <w:rPr>
                <w:rFonts w:ascii="Times New Roman" w:hAnsi="Times New Roman" w:cs="Times New Roman"/>
                <w:sz w:val="21"/>
                <w:szCs w:val="21"/>
              </w:rPr>
            </w:pPr>
            <w:r>
              <w:rPr>
                <w:rFonts w:ascii="Times New Roman" w:hAnsi="Times New Roman" w:cs="Times New Roman"/>
                <w:sz w:val="21"/>
                <w:szCs w:val="21"/>
              </w:rPr>
              <w:t xml:space="preserve">声环境 </w:t>
            </w:r>
          </w:p>
        </w:tc>
        <w:tc>
          <w:tcPr>
            <w:tcW w:w="806" w:type="dxa"/>
            <w:vMerge w:val="restart"/>
            <w:noWrap w:val="0"/>
            <w:vAlign w:val="top"/>
          </w:tcPr>
          <w:p w14:paraId="07E03AC6">
            <w:pPr>
              <w:pStyle w:val="2251"/>
              <w:spacing w:before="70" w:line="242" w:lineRule="auto"/>
              <w:ind w:left="155" w:right="144"/>
              <w:rPr>
                <w:rFonts w:ascii="Times New Roman" w:hAnsi="Times New Roman" w:cs="Times New Roman"/>
                <w:sz w:val="21"/>
                <w:szCs w:val="21"/>
              </w:rPr>
            </w:pPr>
            <w:r>
              <w:rPr>
                <w:rFonts w:ascii="Times New Roman" w:hAnsi="Times New Roman" w:cs="Times New Roman"/>
                <w:sz w:val="21"/>
                <w:szCs w:val="21"/>
              </w:rPr>
              <w:t xml:space="preserve">空气环境 </w:t>
            </w:r>
          </w:p>
        </w:tc>
        <w:tc>
          <w:tcPr>
            <w:tcW w:w="806" w:type="dxa"/>
            <w:vMerge w:val="restart"/>
            <w:noWrap w:val="0"/>
            <w:vAlign w:val="top"/>
          </w:tcPr>
          <w:p w14:paraId="6373F940">
            <w:pPr>
              <w:pStyle w:val="2251"/>
              <w:spacing w:before="70" w:line="242" w:lineRule="auto"/>
              <w:ind w:left="158" w:right="141"/>
              <w:rPr>
                <w:rFonts w:ascii="Times New Roman" w:hAnsi="Times New Roman" w:cs="Times New Roman"/>
                <w:sz w:val="21"/>
                <w:szCs w:val="21"/>
              </w:rPr>
            </w:pPr>
            <w:r>
              <w:rPr>
                <w:rFonts w:ascii="Times New Roman" w:hAnsi="Times New Roman" w:cs="Times New Roman"/>
                <w:sz w:val="21"/>
                <w:szCs w:val="21"/>
              </w:rPr>
              <w:t xml:space="preserve">陆生生态 </w:t>
            </w:r>
          </w:p>
        </w:tc>
        <w:tc>
          <w:tcPr>
            <w:tcW w:w="806" w:type="dxa"/>
            <w:vMerge w:val="restart"/>
            <w:noWrap w:val="0"/>
            <w:vAlign w:val="top"/>
          </w:tcPr>
          <w:p w14:paraId="3A260CDF">
            <w:pPr>
              <w:pStyle w:val="2251"/>
              <w:spacing w:before="2"/>
              <w:rPr>
                <w:rFonts w:ascii="Times New Roman" w:hAnsi="Times New Roman" w:cs="Times New Roman"/>
                <w:b/>
                <w:bCs/>
                <w:sz w:val="16"/>
                <w:szCs w:val="16"/>
              </w:rPr>
            </w:pPr>
          </w:p>
          <w:p w14:paraId="665F4F63">
            <w:pPr>
              <w:pStyle w:val="2251"/>
              <w:ind w:left="158"/>
              <w:rPr>
                <w:rFonts w:ascii="Times New Roman" w:hAnsi="Times New Roman" w:cs="Times New Roman"/>
                <w:sz w:val="21"/>
                <w:szCs w:val="21"/>
              </w:rPr>
            </w:pPr>
            <w:r>
              <w:rPr>
                <w:rFonts w:ascii="Times New Roman" w:hAnsi="Times New Roman" w:cs="Times New Roman"/>
                <w:sz w:val="21"/>
                <w:szCs w:val="21"/>
              </w:rPr>
              <w:t xml:space="preserve">景观 </w:t>
            </w:r>
          </w:p>
        </w:tc>
        <w:tc>
          <w:tcPr>
            <w:tcW w:w="808" w:type="dxa"/>
            <w:vMerge w:val="restart"/>
            <w:noWrap w:val="0"/>
            <w:vAlign w:val="top"/>
          </w:tcPr>
          <w:p w14:paraId="20163B96">
            <w:pPr>
              <w:pStyle w:val="2251"/>
              <w:spacing w:before="2"/>
              <w:rPr>
                <w:rFonts w:ascii="Times New Roman" w:hAnsi="Times New Roman" w:cs="Times New Roman"/>
                <w:b/>
                <w:bCs/>
                <w:sz w:val="16"/>
                <w:szCs w:val="16"/>
              </w:rPr>
            </w:pPr>
          </w:p>
          <w:p w14:paraId="6A0B3DC0">
            <w:pPr>
              <w:pStyle w:val="2251"/>
              <w:ind w:left="159"/>
              <w:rPr>
                <w:rFonts w:ascii="Times New Roman" w:hAnsi="Times New Roman" w:cs="Times New Roman"/>
                <w:sz w:val="21"/>
                <w:szCs w:val="21"/>
              </w:rPr>
            </w:pPr>
            <w:r>
              <w:rPr>
                <w:rFonts w:ascii="Times New Roman" w:hAnsi="Times New Roman" w:cs="Times New Roman"/>
                <w:sz w:val="21"/>
                <w:szCs w:val="21"/>
              </w:rPr>
              <w:t xml:space="preserve">文物 </w:t>
            </w:r>
          </w:p>
        </w:tc>
        <w:tc>
          <w:tcPr>
            <w:tcW w:w="806" w:type="dxa"/>
            <w:vMerge w:val="restart"/>
            <w:noWrap w:val="0"/>
            <w:vAlign w:val="top"/>
          </w:tcPr>
          <w:p w14:paraId="7F92D8DC">
            <w:pPr>
              <w:pStyle w:val="2251"/>
              <w:spacing w:before="70" w:line="242" w:lineRule="auto"/>
              <w:ind w:left="157" w:right="142"/>
              <w:rPr>
                <w:rFonts w:ascii="Times New Roman" w:hAnsi="Times New Roman" w:cs="Times New Roman"/>
                <w:sz w:val="21"/>
                <w:szCs w:val="21"/>
              </w:rPr>
            </w:pPr>
            <w:r>
              <w:rPr>
                <w:rFonts w:ascii="Times New Roman" w:hAnsi="Times New Roman" w:cs="Times New Roman"/>
                <w:sz w:val="21"/>
                <w:szCs w:val="21"/>
              </w:rPr>
              <w:t xml:space="preserve">环境卫生 </w:t>
            </w:r>
          </w:p>
        </w:tc>
        <w:tc>
          <w:tcPr>
            <w:tcW w:w="850" w:type="dxa"/>
            <w:vMerge w:val="restart"/>
            <w:noWrap w:val="0"/>
            <w:vAlign w:val="top"/>
          </w:tcPr>
          <w:p w14:paraId="38B1CFD2">
            <w:pPr>
              <w:pStyle w:val="2251"/>
              <w:spacing w:before="70" w:line="242" w:lineRule="auto"/>
              <w:ind w:left="181" w:right="161"/>
              <w:rPr>
                <w:rFonts w:ascii="Times New Roman" w:hAnsi="Times New Roman" w:cs="Times New Roman"/>
                <w:sz w:val="21"/>
                <w:szCs w:val="21"/>
              </w:rPr>
            </w:pPr>
            <w:r>
              <w:rPr>
                <w:rFonts w:ascii="Times New Roman" w:hAnsi="Times New Roman" w:cs="Times New Roman"/>
                <w:sz w:val="21"/>
                <w:szCs w:val="21"/>
              </w:rPr>
              <w:t xml:space="preserve">人群健康 </w:t>
            </w:r>
          </w:p>
        </w:tc>
        <w:tc>
          <w:tcPr>
            <w:tcW w:w="777" w:type="dxa"/>
            <w:vMerge w:val="restart"/>
            <w:noWrap w:val="0"/>
            <w:vAlign w:val="top"/>
          </w:tcPr>
          <w:p w14:paraId="288CD5D6">
            <w:pPr>
              <w:pStyle w:val="2251"/>
              <w:spacing w:before="70" w:line="242" w:lineRule="auto"/>
              <w:ind w:left="143" w:right="127"/>
              <w:rPr>
                <w:rFonts w:ascii="Times New Roman" w:hAnsi="Times New Roman" w:cs="Times New Roman"/>
                <w:sz w:val="21"/>
                <w:szCs w:val="21"/>
              </w:rPr>
            </w:pPr>
            <w:r>
              <w:rPr>
                <w:rFonts w:ascii="Times New Roman" w:hAnsi="Times New Roman" w:cs="Times New Roman"/>
                <w:sz w:val="21"/>
                <w:szCs w:val="21"/>
              </w:rPr>
              <w:t xml:space="preserve">就业机会 </w:t>
            </w:r>
          </w:p>
        </w:tc>
        <w:tc>
          <w:tcPr>
            <w:tcW w:w="1060" w:type="dxa"/>
            <w:vMerge w:val="restart"/>
            <w:noWrap w:val="0"/>
            <w:vAlign w:val="top"/>
          </w:tcPr>
          <w:p w14:paraId="1916AFE3">
            <w:pPr>
              <w:pStyle w:val="2251"/>
              <w:spacing w:before="70" w:line="242" w:lineRule="auto"/>
              <w:ind w:left="161" w:right="18" w:hanging="125"/>
              <w:rPr>
                <w:rFonts w:ascii="Times New Roman" w:hAnsi="Times New Roman" w:cs="Times New Roman"/>
                <w:sz w:val="21"/>
                <w:szCs w:val="21"/>
              </w:rPr>
            </w:pPr>
            <w:r>
              <w:rPr>
                <w:rFonts w:ascii="Times New Roman" w:hAnsi="Times New Roman" w:cs="Times New Roman"/>
                <w:sz w:val="21"/>
                <w:szCs w:val="21"/>
              </w:rPr>
              <w:t xml:space="preserve">科技与经济发展 </w:t>
            </w:r>
          </w:p>
        </w:tc>
      </w:tr>
      <w:tr w14:paraId="1670C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31DD98A6">
            <w:pPr>
              <w:widowControl/>
              <w:rPr>
                <w:szCs w:val="21"/>
              </w:rPr>
            </w:pPr>
          </w:p>
        </w:tc>
        <w:tc>
          <w:tcPr>
            <w:tcW w:w="2392" w:type="dxa"/>
            <w:vMerge w:val="continue"/>
            <w:noWrap w:val="0"/>
            <w:vAlign w:val="center"/>
          </w:tcPr>
          <w:p w14:paraId="1C400C65">
            <w:pPr>
              <w:widowControl/>
              <w:rPr>
                <w:szCs w:val="21"/>
              </w:rPr>
            </w:pPr>
          </w:p>
        </w:tc>
        <w:tc>
          <w:tcPr>
            <w:tcW w:w="806" w:type="dxa"/>
            <w:vMerge w:val="continue"/>
            <w:noWrap w:val="0"/>
            <w:vAlign w:val="center"/>
          </w:tcPr>
          <w:p w14:paraId="5B44793F">
            <w:pPr>
              <w:widowControl/>
              <w:rPr>
                <w:szCs w:val="21"/>
              </w:rPr>
            </w:pPr>
          </w:p>
        </w:tc>
        <w:tc>
          <w:tcPr>
            <w:tcW w:w="809" w:type="dxa"/>
            <w:vMerge w:val="continue"/>
            <w:noWrap w:val="0"/>
            <w:vAlign w:val="center"/>
          </w:tcPr>
          <w:p w14:paraId="37BD1E43">
            <w:pPr>
              <w:widowControl/>
              <w:rPr>
                <w:szCs w:val="21"/>
              </w:rPr>
            </w:pPr>
          </w:p>
        </w:tc>
        <w:tc>
          <w:tcPr>
            <w:tcW w:w="806" w:type="dxa"/>
            <w:noWrap w:val="0"/>
            <w:vAlign w:val="top"/>
          </w:tcPr>
          <w:p w14:paraId="29943576">
            <w:pPr>
              <w:pStyle w:val="2251"/>
              <w:spacing w:before="34"/>
              <w:ind w:left="172" w:right="168"/>
              <w:jc w:val="center"/>
              <w:rPr>
                <w:rFonts w:ascii="Times New Roman" w:hAnsi="Times New Roman" w:cs="Times New Roman"/>
                <w:sz w:val="21"/>
                <w:szCs w:val="21"/>
              </w:rPr>
            </w:pPr>
            <w:r>
              <w:rPr>
                <w:rFonts w:ascii="Times New Roman" w:hAnsi="Times New Roman" w:cs="Times New Roman"/>
                <w:sz w:val="21"/>
                <w:szCs w:val="21"/>
              </w:rPr>
              <w:t xml:space="preserve">侵蚀 </w:t>
            </w:r>
          </w:p>
        </w:tc>
        <w:tc>
          <w:tcPr>
            <w:tcW w:w="808" w:type="dxa"/>
            <w:noWrap w:val="0"/>
            <w:vAlign w:val="top"/>
          </w:tcPr>
          <w:p w14:paraId="3EE69CF8">
            <w:pPr>
              <w:pStyle w:val="2251"/>
              <w:spacing w:before="34"/>
              <w:ind w:left="175" w:right="167"/>
              <w:jc w:val="center"/>
              <w:rPr>
                <w:rFonts w:ascii="Times New Roman" w:hAnsi="Times New Roman" w:cs="Times New Roman"/>
                <w:sz w:val="21"/>
                <w:szCs w:val="21"/>
              </w:rPr>
            </w:pPr>
            <w:r>
              <w:rPr>
                <w:rFonts w:ascii="Times New Roman" w:hAnsi="Times New Roman" w:cs="Times New Roman"/>
                <w:sz w:val="21"/>
                <w:szCs w:val="21"/>
              </w:rPr>
              <w:t xml:space="preserve">污染 </w:t>
            </w:r>
          </w:p>
        </w:tc>
        <w:tc>
          <w:tcPr>
            <w:tcW w:w="808" w:type="dxa"/>
            <w:vMerge w:val="continue"/>
            <w:noWrap w:val="0"/>
            <w:vAlign w:val="center"/>
          </w:tcPr>
          <w:p w14:paraId="2CE41B80">
            <w:pPr>
              <w:widowControl/>
              <w:rPr>
                <w:szCs w:val="21"/>
              </w:rPr>
            </w:pPr>
          </w:p>
        </w:tc>
        <w:tc>
          <w:tcPr>
            <w:tcW w:w="806" w:type="dxa"/>
            <w:vMerge w:val="continue"/>
            <w:noWrap w:val="0"/>
            <w:vAlign w:val="center"/>
          </w:tcPr>
          <w:p w14:paraId="2CA770C9">
            <w:pPr>
              <w:widowControl/>
              <w:rPr>
                <w:szCs w:val="21"/>
              </w:rPr>
            </w:pPr>
          </w:p>
        </w:tc>
        <w:tc>
          <w:tcPr>
            <w:tcW w:w="806" w:type="dxa"/>
            <w:vMerge w:val="continue"/>
            <w:noWrap w:val="0"/>
            <w:vAlign w:val="center"/>
          </w:tcPr>
          <w:p w14:paraId="7EBAE9A8">
            <w:pPr>
              <w:widowControl/>
              <w:rPr>
                <w:szCs w:val="21"/>
              </w:rPr>
            </w:pPr>
          </w:p>
        </w:tc>
        <w:tc>
          <w:tcPr>
            <w:tcW w:w="806" w:type="dxa"/>
            <w:vMerge w:val="continue"/>
            <w:noWrap w:val="0"/>
            <w:vAlign w:val="center"/>
          </w:tcPr>
          <w:p w14:paraId="7736600B">
            <w:pPr>
              <w:widowControl/>
              <w:rPr>
                <w:szCs w:val="21"/>
              </w:rPr>
            </w:pPr>
          </w:p>
        </w:tc>
        <w:tc>
          <w:tcPr>
            <w:tcW w:w="808" w:type="dxa"/>
            <w:vMerge w:val="continue"/>
            <w:noWrap w:val="0"/>
            <w:vAlign w:val="center"/>
          </w:tcPr>
          <w:p w14:paraId="5F545D0C">
            <w:pPr>
              <w:widowControl/>
              <w:rPr>
                <w:szCs w:val="21"/>
              </w:rPr>
            </w:pPr>
          </w:p>
        </w:tc>
        <w:tc>
          <w:tcPr>
            <w:tcW w:w="806" w:type="dxa"/>
            <w:vMerge w:val="continue"/>
            <w:noWrap w:val="0"/>
            <w:vAlign w:val="center"/>
          </w:tcPr>
          <w:p w14:paraId="5C7BB990">
            <w:pPr>
              <w:widowControl/>
              <w:rPr>
                <w:szCs w:val="21"/>
              </w:rPr>
            </w:pPr>
          </w:p>
        </w:tc>
        <w:tc>
          <w:tcPr>
            <w:tcW w:w="850" w:type="dxa"/>
            <w:vMerge w:val="continue"/>
            <w:noWrap w:val="0"/>
            <w:vAlign w:val="center"/>
          </w:tcPr>
          <w:p w14:paraId="0DEEBDA3">
            <w:pPr>
              <w:widowControl/>
              <w:rPr>
                <w:szCs w:val="21"/>
              </w:rPr>
            </w:pPr>
          </w:p>
        </w:tc>
        <w:tc>
          <w:tcPr>
            <w:tcW w:w="777" w:type="dxa"/>
            <w:vMerge w:val="continue"/>
            <w:noWrap w:val="0"/>
            <w:vAlign w:val="center"/>
          </w:tcPr>
          <w:p w14:paraId="6F2DA228">
            <w:pPr>
              <w:widowControl/>
              <w:rPr>
                <w:szCs w:val="21"/>
              </w:rPr>
            </w:pPr>
          </w:p>
        </w:tc>
        <w:tc>
          <w:tcPr>
            <w:tcW w:w="1060" w:type="dxa"/>
            <w:vMerge w:val="continue"/>
            <w:noWrap w:val="0"/>
            <w:vAlign w:val="center"/>
          </w:tcPr>
          <w:p w14:paraId="4367247D">
            <w:pPr>
              <w:widowControl/>
              <w:rPr>
                <w:szCs w:val="21"/>
              </w:rPr>
            </w:pPr>
          </w:p>
        </w:tc>
      </w:tr>
      <w:tr w14:paraId="7484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04" w:type="dxa"/>
            <w:vMerge w:val="restart"/>
            <w:noWrap w:val="0"/>
            <w:vAlign w:val="center"/>
          </w:tcPr>
          <w:p w14:paraId="1DEF13B7">
            <w:pPr>
              <w:pStyle w:val="2251"/>
              <w:ind w:left="23"/>
              <w:rPr>
                <w:rFonts w:ascii="Times New Roman" w:hAnsi="Times New Roman" w:cs="Times New Roman"/>
                <w:sz w:val="21"/>
                <w:szCs w:val="21"/>
              </w:rPr>
            </w:pPr>
            <w:r>
              <w:rPr>
                <w:rFonts w:ascii="Times New Roman" w:hAnsi="Times New Roman" w:cs="Times New Roman"/>
                <w:sz w:val="21"/>
                <w:szCs w:val="21"/>
              </w:rPr>
              <w:t xml:space="preserve">施工期 </w:t>
            </w:r>
          </w:p>
        </w:tc>
        <w:tc>
          <w:tcPr>
            <w:tcW w:w="2392" w:type="dxa"/>
            <w:noWrap w:val="0"/>
            <w:vAlign w:val="top"/>
          </w:tcPr>
          <w:p w14:paraId="66C325A4">
            <w:pPr>
              <w:pStyle w:val="2251"/>
              <w:spacing w:before="34"/>
              <w:ind w:left="209" w:right="248"/>
              <w:jc w:val="center"/>
              <w:rPr>
                <w:rFonts w:ascii="Times New Roman" w:hAnsi="Times New Roman" w:cs="Times New Roman"/>
                <w:sz w:val="21"/>
                <w:szCs w:val="21"/>
              </w:rPr>
            </w:pPr>
            <w:r>
              <w:rPr>
                <w:rFonts w:ascii="Times New Roman" w:hAnsi="Times New Roman" w:cs="Times New Roman"/>
                <w:sz w:val="21"/>
                <w:szCs w:val="21"/>
              </w:rPr>
              <w:t>施工材料运输、堆放</w:t>
            </w:r>
          </w:p>
        </w:tc>
        <w:tc>
          <w:tcPr>
            <w:tcW w:w="806" w:type="dxa"/>
            <w:noWrap w:val="0"/>
            <w:vAlign w:val="top"/>
          </w:tcPr>
          <w:p w14:paraId="6B9D5A13">
            <w:pPr>
              <w:pStyle w:val="2251"/>
              <w:spacing w:before="46"/>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4C7B7756">
            <w:pPr>
              <w:pStyle w:val="2251"/>
              <w:spacing w:before="34"/>
              <w:ind w:right="29"/>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3FBAEF6A">
            <w:pPr>
              <w:pStyle w:val="2251"/>
              <w:spacing w:before="46"/>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8981702">
            <w:pPr>
              <w:pStyle w:val="2251"/>
              <w:spacing w:before="46"/>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D6A56D7">
            <w:pPr>
              <w:pStyle w:val="2251"/>
              <w:spacing w:before="25"/>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3331DACB">
            <w:pPr>
              <w:pStyle w:val="2251"/>
              <w:spacing w:before="41"/>
              <w:ind w:right="10"/>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7297640B">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79F7EA97">
            <w:pPr>
              <w:pStyle w:val="2251"/>
              <w:spacing w:before="25"/>
              <w:ind w:left="330"/>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005787C3">
            <w:pPr>
              <w:pStyle w:val="2251"/>
              <w:spacing w:before="46"/>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26AD945">
            <w:pPr>
              <w:pStyle w:val="2251"/>
              <w:spacing w:before="46"/>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5E1FC59E">
            <w:pPr>
              <w:pStyle w:val="2251"/>
              <w:spacing w:before="46"/>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340B2D83">
            <w:pPr>
              <w:pStyle w:val="2251"/>
              <w:spacing w:before="34"/>
              <w:ind w:right="290"/>
              <w:jc w:val="right"/>
              <w:rPr>
                <w:rFonts w:ascii="Times New Roman" w:hAnsi="Times New Roman" w:cs="Times New Roman"/>
                <w:sz w:val="21"/>
                <w:szCs w:val="21"/>
              </w:rPr>
            </w:pPr>
            <w:r>
              <w:rPr>
                <w:rFonts w:ascii="Times New Roman" w:hAnsi="Times New Roman" w:cs="Times New Roman"/>
                <w:sz w:val="21"/>
                <w:szCs w:val="21"/>
              </w:rPr>
              <w:t>★</w:t>
            </w:r>
          </w:p>
        </w:tc>
        <w:tc>
          <w:tcPr>
            <w:tcW w:w="1060" w:type="dxa"/>
            <w:noWrap w:val="0"/>
            <w:vAlign w:val="top"/>
          </w:tcPr>
          <w:p w14:paraId="30460655">
            <w:pPr>
              <w:pStyle w:val="2251"/>
              <w:spacing w:before="34"/>
              <w:ind w:right="428"/>
              <w:jc w:val="right"/>
              <w:rPr>
                <w:rFonts w:ascii="Times New Roman" w:hAnsi="Times New Roman" w:cs="Times New Roman"/>
                <w:sz w:val="21"/>
                <w:szCs w:val="21"/>
              </w:rPr>
            </w:pPr>
            <w:r>
              <w:rPr>
                <w:rFonts w:ascii="Times New Roman" w:hAnsi="Times New Roman" w:cs="Times New Roman"/>
                <w:sz w:val="21"/>
                <w:szCs w:val="21"/>
              </w:rPr>
              <w:t>★</w:t>
            </w:r>
          </w:p>
        </w:tc>
      </w:tr>
      <w:tr w14:paraId="661AA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36FD6F5F">
            <w:pPr>
              <w:widowControl/>
              <w:rPr>
                <w:szCs w:val="21"/>
              </w:rPr>
            </w:pPr>
          </w:p>
        </w:tc>
        <w:tc>
          <w:tcPr>
            <w:tcW w:w="2392" w:type="dxa"/>
            <w:noWrap w:val="0"/>
            <w:vAlign w:val="top"/>
          </w:tcPr>
          <w:p w14:paraId="1508F8BF">
            <w:pPr>
              <w:pStyle w:val="2251"/>
              <w:spacing w:before="37"/>
              <w:ind w:left="209" w:right="209"/>
              <w:jc w:val="center"/>
              <w:rPr>
                <w:rFonts w:ascii="Times New Roman" w:hAnsi="Times New Roman" w:cs="Times New Roman"/>
                <w:sz w:val="21"/>
                <w:szCs w:val="21"/>
              </w:rPr>
            </w:pPr>
            <w:r>
              <w:rPr>
                <w:rFonts w:ascii="Times New Roman" w:hAnsi="Times New Roman" w:cs="Times New Roman"/>
                <w:sz w:val="21"/>
                <w:szCs w:val="21"/>
              </w:rPr>
              <w:t xml:space="preserve">施工机械运转 </w:t>
            </w:r>
          </w:p>
        </w:tc>
        <w:tc>
          <w:tcPr>
            <w:tcW w:w="806" w:type="dxa"/>
            <w:noWrap w:val="0"/>
            <w:vAlign w:val="top"/>
          </w:tcPr>
          <w:p w14:paraId="54FC9BC6">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5EFB2EC9">
            <w:pPr>
              <w:pStyle w:val="2251"/>
              <w:spacing w:before="48"/>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7E604BD">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16D14598">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22218558">
            <w:pPr>
              <w:pStyle w:val="2251"/>
              <w:spacing w:before="44"/>
              <w:ind w:right="9"/>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71FDFE20">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4F910E7C">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418639F">
            <w:pPr>
              <w:pStyle w:val="2251"/>
              <w:spacing w:before="44"/>
              <w:ind w:left="333"/>
              <w:rPr>
                <w:rFonts w:ascii="Times New Roman" w:hAnsi="Times New Roman" w:cs="Times New Roman"/>
                <w:sz w:val="21"/>
                <w:szCs w:val="21"/>
              </w:rPr>
            </w:pPr>
            <w:r>
              <w:rPr>
                <w:rFonts w:ascii="Times New Roman" w:hAnsi="Times New Roman" w:cs="Times New Roman"/>
                <w:sz w:val="21"/>
                <w:szCs w:val="21"/>
              </w:rPr>
              <w:t>∆</w:t>
            </w:r>
          </w:p>
        </w:tc>
        <w:tc>
          <w:tcPr>
            <w:tcW w:w="808" w:type="dxa"/>
            <w:noWrap w:val="0"/>
            <w:vAlign w:val="top"/>
          </w:tcPr>
          <w:p w14:paraId="58CC6C4D">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4963240">
            <w:pPr>
              <w:pStyle w:val="2251"/>
              <w:spacing w:before="37"/>
              <w:ind w:left="27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6B7A7552">
            <w:pPr>
              <w:pStyle w:val="2251"/>
              <w:spacing w:before="37"/>
              <w:ind w:left="306"/>
              <w:rPr>
                <w:rFonts w:ascii="Times New Roman" w:hAnsi="Times New Roman" w:cs="Times New Roman"/>
                <w:sz w:val="21"/>
                <w:szCs w:val="21"/>
              </w:rPr>
            </w:pPr>
            <w:r>
              <w:rPr>
                <w:rFonts w:ascii="Times New Roman" w:hAnsi="Times New Roman" w:cs="Times New Roman"/>
                <w:sz w:val="21"/>
                <w:szCs w:val="21"/>
              </w:rPr>
              <w:t>＃</w:t>
            </w:r>
          </w:p>
        </w:tc>
        <w:tc>
          <w:tcPr>
            <w:tcW w:w="777" w:type="dxa"/>
            <w:noWrap w:val="0"/>
            <w:vAlign w:val="top"/>
          </w:tcPr>
          <w:p w14:paraId="5E69E35C">
            <w:pPr>
              <w:pStyle w:val="2251"/>
              <w:spacing w:before="37"/>
              <w:ind w:right="290"/>
              <w:jc w:val="right"/>
              <w:rPr>
                <w:rFonts w:ascii="Times New Roman" w:hAnsi="Times New Roman" w:cs="Times New Roman"/>
                <w:sz w:val="21"/>
                <w:szCs w:val="21"/>
              </w:rPr>
            </w:pPr>
            <w:r>
              <w:rPr>
                <w:rFonts w:ascii="Times New Roman" w:hAnsi="Times New Roman" w:cs="Times New Roman"/>
                <w:sz w:val="21"/>
                <w:szCs w:val="21"/>
              </w:rPr>
              <w:t>★</w:t>
            </w:r>
          </w:p>
        </w:tc>
        <w:tc>
          <w:tcPr>
            <w:tcW w:w="1060" w:type="dxa"/>
            <w:noWrap w:val="0"/>
            <w:vAlign w:val="top"/>
          </w:tcPr>
          <w:p w14:paraId="0B4C6B03">
            <w:pPr>
              <w:pStyle w:val="2251"/>
              <w:spacing w:before="37"/>
              <w:ind w:right="428"/>
              <w:jc w:val="right"/>
              <w:rPr>
                <w:rFonts w:ascii="Times New Roman" w:hAnsi="Times New Roman" w:cs="Times New Roman"/>
                <w:sz w:val="21"/>
                <w:szCs w:val="21"/>
              </w:rPr>
            </w:pPr>
            <w:r>
              <w:rPr>
                <w:rFonts w:ascii="Times New Roman" w:hAnsi="Times New Roman" w:cs="Times New Roman"/>
                <w:sz w:val="21"/>
                <w:szCs w:val="21"/>
              </w:rPr>
              <w:t>★</w:t>
            </w:r>
          </w:p>
        </w:tc>
      </w:tr>
      <w:tr w14:paraId="419E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04" w:type="dxa"/>
            <w:vMerge w:val="continue"/>
            <w:noWrap w:val="0"/>
            <w:vAlign w:val="center"/>
          </w:tcPr>
          <w:p w14:paraId="53C1E3E9">
            <w:pPr>
              <w:widowControl/>
              <w:rPr>
                <w:szCs w:val="21"/>
              </w:rPr>
            </w:pPr>
          </w:p>
        </w:tc>
        <w:tc>
          <w:tcPr>
            <w:tcW w:w="2392" w:type="dxa"/>
            <w:noWrap w:val="0"/>
            <w:vAlign w:val="top"/>
          </w:tcPr>
          <w:p w14:paraId="0BC3DCF4">
            <w:pPr>
              <w:pStyle w:val="2251"/>
              <w:spacing w:before="35"/>
              <w:ind w:left="209" w:right="209"/>
              <w:jc w:val="center"/>
              <w:rPr>
                <w:rFonts w:ascii="Times New Roman" w:hAnsi="Times New Roman" w:cs="Times New Roman"/>
                <w:sz w:val="21"/>
                <w:szCs w:val="21"/>
              </w:rPr>
            </w:pPr>
            <w:r>
              <w:rPr>
                <w:rFonts w:ascii="Times New Roman" w:hAnsi="Times New Roman" w:cs="Times New Roman"/>
                <w:sz w:val="21"/>
                <w:szCs w:val="21"/>
              </w:rPr>
              <w:t xml:space="preserve">建筑垃圾、土石方 </w:t>
            </w:r>
          </w:p>
        </w:tc>
        <w:tc>
          <w:tcPr>
            <w:tcW w:w="806" w:type="dxa"/>
            <w:noWrap w:val="0"/>
            <w:vAlign w:val="top"/>
          </w:tcPr>
          <w:p w14:paraId="33BE443A">
            <w:pPr>
              <w:pStyle w:val="2251"/>
              <w:spacing w:before="49"/>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404E3836">
            <w:pPr>
              <w:pStyle w:val="2251"/>
              <w:spacing w:before="35"/>
              <w:ind w:right="29"/>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051B4D12">
            <w:pPr>
              <w:pStyle w:val="2251"/>
              <w:spacing w:before="44"/>
              <w:ind w:right="14"/>
              <w:jc w:val="center"/>
              <w:rPr>
                <w:rFonts w:ascii="Times New Roman" w:hAnsi="Times New Roman" w:cs="Times New Roman"/>
                <w:sz w:val="21"/>
                <w:szCs w:val="21"/>
              </w:rPr>
            </w:pPr>
            <w:r>
              <w:rPr>
                <w:rFonts w:ascii="Times New Roman" w:hAnsi="Times New Roman" w:cs="Times New Roman"/>
                <w:sz w:val="21"/>
                <w:szCs w:val="21"/>
              </w:rPr>
              <w:t>○</w:t>
            </w:r>
          </w:p>
        </w:tc>
        <w:tc>
          <w:tcPr>
            <w:tcW w:w="808" w:type="dxa"/>
            <w:noWrap w:val="0"/>
            <w:vAlign w:val="top"/>
          </w:tcPr>
          <w:p w14:paraId="51B569FC">
            <w:pPr>
              <w:pStyle w:val="2251"/>
              <w:spacing w:before="49"/>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20ACA98A">
            <w:pPr>
              <w:pStyle w:val="2251"/>
              <w:spacing w:before="49"/>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69D2798">
            <w:pPr>
              <w:pStyle w:val="2251"/>
              <w:spacing w:before="44"/>
              <w:ind w:right="10"/>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1EBF2E5C">
            <w:pPr>
              <w:pStyle w:val="2251"/>
              <w:spacing w:before="28"/>
              <w:ind w:left="329"/>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3F280693">
            <w:pPr>
              <w:pStyle w:val="2251"/>
              <w:spacing w:before="28"/>
              <w:ind w:left="330"/>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07722562">
            <w:pPr>
              <w:pStyle w:val="2251"/>
              <w:spacing w:before="49"/>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26191F6">
            <w:pPr>
              <w:pStyle w:val="2251"/>
              <w:spacing w:before="49"/>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4C6987BE">
            <w:pPr>
              <w:pStyle w:val="2251"/>
              <w:spacing w:before="49"/>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2188CA8E">
            <w:pPr>
              <w:pStyle w:val="2251"/>
              <w:spacing w:before="35"/>
              <w:ind w:right="290"/>
              <w:jc w:val="right"/>
              <w:rPr>
                <w:rFonts w:ascii="Times New Roman" w:hAnsi="Times New Roman" w:cs="Times New Roman"/>
                <w:sz w:val="21"/>
                <w:szCs w:val="21"/>
              </w:rPr>
            </w:pPr>
            <w:r>
              <w:rPr>
                <w:rFonts w:ascii="Times New Roman" w:hAnsi="Times New Roman" w:cs="Times New Roman"/>
                <w:sz w:val="21"/>
                <w:szCs w:val="21"/>
              </w:rPr>
              <w:t>★</w:t>
            </w:r>
          </w:p>
        </w:tc>
        <w:tc>
          <w:tcPr>
            <w:tcW w:w="1060" w:type="dxa"/>
            <w:noWrap w:val="0"/>
            <w:vAlign w:val="top"/>
          </w:tcPr>
          <w:p w14:paraId="71A7F8C4">
            <w:pPr>
              <w:pStyle w:val="2251"/>
              <w:spacing w:before="35"/>
              <w:ind w:right="428"/>
              <w:jc w:val="right"/>
              <w:rPr>
                <w:rFonts w:ascii="Times New Roman" w:hAnsi="Times New Roman" w:cs="Times New Roman"/>
                <w:sz w:val="21"/>
                <w:szCs w:val="21"/>
              </w:rPr>
            </w:pPr>
            <w:r>
              <w:rPr>
                <w:rFonts w:ascii="Times New Roman" w:hAnsi="Times New Roman" w:cs="Times New Roman"/>
                <w:sz w:val="21"/>
                <w:szCs w:val="21"/>
              </w:rPr>
              <w:t>★</w:t>
            </w:r>
          </w:p>
        </w:tc>
      </w:tr>
      <w:tr w14:paraId="040E5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75D8FA6E">
            <w:pPr>
              <w:widowControl/>
              <w:rPr>
                <w:szCs w:val="21"/>
              </w:rPr>
            </w:pPr>
          </w:p>
        </w:tc>
        <w:tc>
          <w:tcPr>
            <w:tcW w:w="2392" w:type="dxa"/>
            <w:noWrap w:val="0"/>
            <w:vAlign w:val="top"/>
          </w:tcPr>
          <w:p w14:paraId="650FB0E7">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施工人员生活垃圾 </w:t>
            </w:r>
          </w:p>
        </w:tc>
        <w:tc>
          <w:tcPr>
            <w:tcW w:w="806" w:type="dxa"/>
            <w:noWrap w:val="0"/>
            <w:vAlign w:val="top"/>
          </w:tcPr>
          <w:p w14:paraId="4DBABD8F">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75301649">
            <w:pPr>
              <w:pStyle w:val="2251"/>
              <w:spacing w:before="34"/>
              <w:ind w:right="29"/>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4224E26F">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6C743E84">
            <w:pPr>
              <w:pStyle w:val="2251"/>
              <w:spacing w:before="27"/>
              <w:ind w:left="8"/>
              <w:jc w:val="center"/>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43D58269">
            <w:pPr>
              <w:pStyle w:val="2251"/>
              <w:spacing w:before="48"/>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15B2C06">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319365B2">
            <w:pPr>
              <w:pStyle w:val="2251"/>
              <w:spacing w:before="27"/>
              <w:ind w:left="329"/>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7C4FC5D5">
            <w:pPr>
              <w:pStyle w:val="2251"/>
              <w:spacing w:before="27"/>
              <w:ind w:left="330"/>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6C49A454">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448A31F">
            <w:pPr>
              <w:pStyle w:val="2251"/>
              <w:spacing w:before="44"/>
              <w:ind w:left="332"/>
              <w:rPr>
                <w:rFonts w:ascii="Times New Roman" w:hAnsi="Times New Roman" w:cs="Times New Roman"/>
                <w:sz w:val="21"/>
                <w:szCs w:val="21"/>
              </w:rPr>
            </w:pPr>
            <w:r>
              <w:rPr>
                <w:rFonts w:ascii="Times New Roman" w:hAnsi="Times New Roman" w:cs="Times New Roman"/>
                <w:sz w:val="21"/>
                <w:szCs w:val="21"/>
              </w:rPr>
              <w:t>○</w:t>
            </w:r>
          </w:p>
        </w:tc>
        <w:tc>
          <w:tcPr>
            <w:tcW w:w="850" w:type="dxa"/>
            <w:noWrap w:val="0"/>
            <w:vAlign w:val="top"/>
          </w:tcPr>
          <w:p w14:paraId="6FDBCA0A">
            <w:pPr>
              <w:pStyle w:val="2251"/>
              <w:spacing w:before="27"/>
              <w:ind w:left="355"/>
              <w:rPr>
                <w:rFonts w:ascii="Times New Roman" w:hAnsi="Times New Roman" w:cs="Times New Roman"/>
                <w:sz w:val="23"/>
                <w:szCs w:val="23"/>
              </w:rPr>
            </w:pPr>
            <w:r>
              <w:rPr>
                <w:rFonts w:ascii="Times New Roman" w:hAnsi="Times New Roman" w:cs="Times New Roman"/>
                <w:sz w:val="23"/>
                <w:szCs w:val="23"/>
              </w:rPr>
              <w:t></w:t>
            </w:r>
          </w:p>
        </w:tc>
        <w:tc>
          <w:tcPr>
            <w:tcW w:w="777" w:type="dxa"/>
            <w:noWrap w:val="0"/>
            <w:vAlign w:val="top"/>
          </w:tcPr>
          <w:p w14:paraId="251F913B">
            <w:pPr>
              <w:pStyle w:val="2251"/>
              <w:spacing w:before="48"/>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3AA332D9">
            <w:pPr>
              <w:pStyle w:val="2251"/>
              <w:spacing w:before="48"/>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0DDB1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04" w:type="dxa"/>
            <w:vMerge w:val="continue"/>
            <w:noWrap w:val="0"/>
            <w:vAlign w:val="center"/>
          </w:tcPr>
          <w:p w14:paraId="030DF388">
            <w:pPr>
              <w:widowControl/>
              <w:rPr>
                <w:szCs w:val="21"/>
              </w:rPr>
            </w:pPr>
          </w:p>
        </w:tc>
        <w:tc>
          <w:tcPr>
            <w:tcW w:w="2392" w:type="dxa"/>
            <w:noWrap w:val="0"/>
            <w:vAlign w:val="top"/>
          </w:tcPr>
          <w:p w14:paraId="7E3D8DA6">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施工人员生活污水 </w:t>
            </w:r>
          </w:p>
        </w:tc>
        <w:tc>
          <w:tcPr>
            <w:tcW w:w="806" w:type="dxa"/>
            <w:noWrap w:val="0"/>
            <w:vAlign w:val="top"/>
          </w:tcPr>
          <w:p w14:paraId="763D8ECF">
            <w:pPr>
              <w:pStyle w:val="2251"/>
              <w:spacing w:before="25"/>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9" w:type="dxa"/>
            <w:noWrap w:val="0"/>
            <w:vAlign w:val="top"/>
          </w:tcPr>
          <w:p w14:paraId="202DE7E0">
            <w:pPr>
              <w:pStyle w:val="2251"/>
              <w:spacing w:before="25"/>
              <w:ind w:left="1"/>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7F0977FC">
            <w:pPr>
              <w:pStyle w:val="2251"/>
              <w:spacing w:before="46"/>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2DB07620">
            <w:pPr>
              <w:pStyle w:val="2251"/>
              <w:spacing w:before="25"/>
              <w:ind w:left="8"/>
              <w:jc w:val="center"/>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54CC50D8">
            <w:pPr>
              <w:pStyle w:val="2251"/>
              <w:spacing w:before="46"/>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741D1612">
            <w:pPr>
              <w:pStyle w:val="2251"/>
              <w:spacing w:before="46"/>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0F8B7926">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8069B53">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0DADE410">
            <w:pPr>
              <w:pStyle w:val="2251"/>
              <w:spacing w:before="46"/>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276C2E8">
            <w:pPr>
              <w:pStyle w:val="2251"/>
              <w:spacing w:before="41"/>
              <w:ind w:left="332"/>
              <w:rPr>
                <w:rFonts w:ascii="Times New Roman" w:hAnsi="Times New Roman" w:cs="Times New Roman"/>
                <w:sz w:val="21"/>
                <w:szCs w:val="21"/>
              </w:rPr>
            </w:pPr>
            <w:r>
              <w:rPr>
                <w:rFonts w:ascii="Times New Roman" w:hAnsi="Times New Roman" w:cs="Times New Roman"/>
                <w:sz w:val="21"/>
                <w:szCs w:val="21"/>
              </w:rPr>
              <w:t>○</w:t>
            </w:r>
          </w:p>
        </w:tc>
        <w:tc>
          <w:tcPr>
            <w:tcW w:w="850" w:type="dxa"/>
            <w:noWrap w:val="0"/>
            <w:vAlign w:val="top"/>
          </w:tcPr>
          <w:p w14:paraId="749845A9">
            <w:pPr>
              <w:pStyle w:val="2251"/>
              <w:spacing w:before="46"/>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18E736DB">
            <w:pPr>
              <w:pStyle w:val="2251"/>
              <w:spacing w:before="46"/>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33BC6D57">
            <w:pPr>
              <w:pStyle w:val="2251"/>
              <w:spacing w:before="46"/>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4810F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restart"/>
            <w:noWrap w:val="0"/>
            <w:vAlign w:val="center"/>
          </w:tcPr>
          <w:p w14:paraId="47B60571">
            <w:pPr>
              <w:pStyle w:val="2251"/>
              <w:ind w:left="23"/>
              <w:rPr>
                <w:rFonts w:ascii="Times New Roman" w:hAnsi="Times New Roman" w:cs="Times New Roman"/>
                <w:sz w:val="21"/>
                <w:szCs w:val="21"/>
              </w:rPr>
            </w:pPr>
            <w:r>
              <w:rPr>
                <w:rFonts w:ascii="Times New Roman" w:hAnsi="Times New Roman" w:cs="Times New Roman"/>
                <w:sz w:val="21"/>
                <w:szCs w:val="21"/>
              </w:rPr>
              <w:t xml:space="preserve">运营期 </w:t>
            </w:r>
          </w:p>
        </w:tc>
        <w:tc>
          <w:tcPr>
            <w:tcW w:w="2392" w:type="dxa"/>
            <w:noWrap w:val="0"/>
            <w:vAlign w:val="top"/>
          </w:tcPr>
          <w:p w14:paraId="1FD6333A">
            <w:pPr>
              <w:pStyle w:val="2251"/>
              <w:spacing w:before="37"/>
              <w:ind w:left="209" w:right="209"/>
              <w:jc w:val="center"/>
              <w:rPr>
                <w:rFonts w:ascii="Times New Roman" w:hAnsi="Times New Roman" w:cs="Times New Roman"/>
                <w:sz w:val="21"/>
                <w:szCs w:val="21"/>
              </w:rPr>
            </w:pPr>
            <w:r>
              <w:rPr>
                <w:rFonts w:ascii="Times New Roman" w:hAnsi="Times New Roman" w:cs="Times New Roman"/>
                <w:sz w:val="21"/>
                <w:szCs w:val="21"/>
              </w:rPr>
              <w:t xml:space="preserve">废污水排放 </w:t>
            </w:r>
          </w:p>
        </w:tc>
        <w:tc>
          <w:tcPr>
            <w:tcW w:w="806" w:type="dxa"/>
            <w:noWrap w:val="0"/>
            <w:vAlign w:val="top"/>
          </w:tcPr>
          <w:p w14:paraId="18905213">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9" w:type="dxa"/>
            <w:noWrap w:val="0"/>
            <w:vAlign w:val="top"/>
          </w:tcPr>
          <w:p w14:paraId="61419EF8">
            <w:pPr>
              <w:pStyle w:val="2251"/>
              <w:spacing w:before="44"/>
              <w:ind w:right="12"/>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20971E3C">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6DF6257">
            <w:pPr>
              <w:pStyle w:val="2251"/>
              <w:spacing w:before="27"/>
              <w:ind w:left="8"/>
              <w:jc w:val="center"/>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24A42301">
            <w:pPr>
              <w:pStyle w:val="2251"/>
              <w:spacing w:before="48"/>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F758A84">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69905808">
            <w:pPr>
              <w:pStyle w:val="2251"/>
              <w:spacing w:before="27"/>
              <w:ind w:left="329"/>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3B443F5D">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214B6C76">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1E3C8948">
            <w:pPr>
              <w:pStyle w:val="2251"/>
              <w:spacing w:before="27"/>
              <w:ind w:left="329"/>
              <w:rPr>
                <w:rFonts w:ascii="Times New Roman" w:hAnsi="Times New Roman" w:cs="Times New Roman"/>
                <w:sz w:val="23"/>
                <w:szCs w:val="23"/>
              </w:rPr>
            </w:pPr>
            <w:r>
              <w:rPr>
                <w:rFonts w:ascii="Times New Roman" w:hAnsi="Times New Roman" w:cs="Times New Roman"/>
                <w:sz w:val="23"/>
                <w:szCs w:val="23"/>
              </w:rPr>
              <w:t></w:t>
            </w:r>
          </w:p>
        </w:tc>
        <w:tc>
          <w:tcPr>
            <w:tcW w:w="850" w:type="dxa"/>
            <w:noWrap w:val="0"/>
            <w:vAlign w:val="top"/>
          </w:tcPr>
          <w:p w14:paraId="1E7A59CA">
            <w:pPr>
              <w:pStyle w:val="2251"/>
              <w:spacing w:before="27"/>
              <w:ind w:left="355"/>
              <w:rPr>
                <w:rFonts w:ascii="Times New Roman" w:hAnsi="Times New Roman" w:cs="Times New Roman"/>
                <w:sz w:val="23"/>
                <w:szCs w:val="23"/>
              </w:rPr>
            </w:pPr>
            <w:r>
              <w:rPr>
                <w:rFonts w:ascii="Times New Roman" w:hAnsi="Times New Roman" w:cs="Times New Roman"/>
                <w:sz w:val="23"/>
                <w:szCs w:val="23"/>
              </w:rPr>
              <w:t></w:t>
            </w:r>
          </w:p>
        </w:tc>
        <w:tc>
          <w:tcPr>
            <w:tcW w:w="777" w:type="dxa"/>
            <w:noWrap w:val="0"/>
            <w:vAlign w:val="top"/>
          </w:tcPr>
          <w:p w14:paraId="2CF1D62C">
            <w:pPr>
              <w:pStyle w:val="2251"/>
              <w:spacing w:before="37"/>
              <w:ind w:right="290"/>
              <w:jc w:val="right"/>
              <w:rPr>
                <w:rFonts w:ascii="Times New Roman" w:hAnsi="Times New Roman" w:cs="Times New Roman"/>
                <w:sz w:val="21"/>
                <w:szCs w:val="21"/>
              </w:rPr>
            </w:pPr>
            <w:r>
              <w:rPr>
                <w:rFonts w:ascii="Times New Roman" w:hAnsi="Times New Roman" w:cs="Times New Roman"/>
                <w:sz w:val="21"/>
                <w:szCs w:val="21"/>
              </w:rPr>
              <w:t>★</w:t>
            </w:r>
          </w:p>
        </w:tc>
        <w:tc>
          <w:tcPr>
            <w:tcW w:w="1060" w:type="dxa"/>
            <w:noWrap w:val="0"/>
            <w:vAlign w:val="top"/>
          </w:tcPr>
          <w:p w14:paraId="401C6A5C">
            <w:pPr>
              <w:pStyle w:val="2251"/>
              <w:spacing w:before="37"/>
              <w:ind w:right="428"/>
              <w:jc w:val="right"/>
              <w:rPr>
                <w:rFonts w:ascii="Times New Roman" w:hAnsi="Times New Roman" w:cs="Times New Roman"/>
                <w:sz w:val="21"/>
                <w:szCs w:val="21"/>
              </w:rPr>
            </w:pPr>
            <w:r>
              <w:rPr>
                <w:rFonts w:ascii="Times New Roman" w:hAnsi="Times New Roman" w:cs="Times New Roman"/>
                <w:sz w:val="21"/>
                <w:szCs w:val="21"/>
              </w:rPr>
              <w:t>★</w:t>
            </w:r>
          </w:p>
        </w:tc>
      </w:tr>
      <w:tr w14:paraId="2EA15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22F3A65F">
            <w:pPr>
              <w:widowControl/>
              <w:rPr>
                <w:szCs w:val="21"/>
              </w:rPr>
            </w:pPr>
          </w:p>
        </w:tc>
        <w:tc>
          <w:tcPr>
            <w:tcW w:w="2392" w:type="dxa"/>
            <w:noWrap w:val="0"/>
            <w:vAlign w:val="top"/>
          </w:tcPr>
          <w:p w14:paraId="582836CC">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固体废物排放 </w:t>
            </w:r>
          </w:p>
        </w:tc>
        <w:tc>
          <w:tcPr>
            <w:tcW w:w="806" w:type="dxa"/>
            <w:noWrap w:val="0"/>
            <w:vAlign w:val="top"/>
          </w:tcPr>
          <w:p w14:paraId="1CDDB17B">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7AF8FDD7">
            <w:pPr>
              <w:pStyle w:val="2251"/>
              <w:spacing w:before="27"/>
              <w:ind w:left="1"/>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2C4FF926">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4BB68C23">
            <w:pPr>
              <w:pStyle w:val="2251"/>
              <w:spacing w:before="34"/>
              <w:ind w:right="28"/>
              <w:jc w:val="center"/>
              <w:rPr>
                <w:rFonts w:ascii="Times New Roman" w:hAnsi="Times New Roman" w:cs="Times New Roman"/>
                <w:sz w:val="21"/>
                <w:szCs w:val="21"/>
              </w:rPr>
            </w:pPr>
            <w:r>
              <w:rPr>
                <w:rFonts w:ascii="Times New Roman" w:hAnsi="Times New Roman" w:cs="Times New Roman"/>
                <w:sz w:val="21"/>
                <w:szCs w:val="21"/>
              </w:rPr>
              <w:t>＃</w:t>
            </w:r>
          </w:p>
        </w:tc>
        <w:tc>
          <w:tcPr>
            <w:tcW w:w="808" w:type="dxa"/>
            <w:noWrap w:val="0"/>
            <w:vAlign w:val="top"/>
          </w:tcPr>
          <w:p w14:paraId="5A5B520A">
            <w:pPr>
              <w:pStyle w:val="2251"/>
              <w:spacing w:before="48"/>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10D3E609">
            <w:pPr>
              <w:pStyle w:val="2251"/>
              <w:spacing w:before="44"/>
              <w:ind w:right="10"/>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3515664A">
            <w:pPr>
              <w:pStyle w:val="2251"/>
              <w:spacing w:before="44"/>
              <w:ind w:left="333"/>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3D1157C0">
            <w:pPr>
              <w:pStyle w:val="2251"/>
              <w:spacing w:before="44"/>
              <w:ind w:left="333"/>
              <w:rPr>
                <w:rFonts w:ascii="Times New Roman" w:hAnsi="Times New Roman" w:cs="Times New Roman"/>
                <w:sz w:val="21"/>
                <w:szCs w:val="21"/>
              </w:rPr>
            </w:pPr>
            <w:r>
              <w:rPr>
                <w:rFonts w:ascii="Times New Roman" w:hAnsi="Times New Roman" w:cs="Times New Roman"/>
                <w:sz w:val="21"/>
                <w:szCs w:val="21"/>
              </w:rPr>
              <w:t>○</w:t>
            </w:r>
          </w:p>
        </w:tc>
        <w:tc>
          <w:tcPr>
            <w:tcW w:w="808" w:type="dxa"/>
            <w:noWrap w:val="0"/>
            <w:vAlign w:val="top"/>
          </w:tcPr>
          <w:p w14:paraId="7F465497">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6677F17">
            <w:pPr>
              <w:pStyle w:val="2251"/>
              <w:spacing w:before="44"/>
              <w:ind w:left="332"/>
              <w:rPr>
                <w:rFonts w:ascii="Times New Roman" w:hAnsi="Times New Roman" w:cs="Times New Roman"/>
                <w:sz w:val="21"/>
                <w:szCs w:val="21"/>
              </w:rPr>
            </w:pPr>
            <w:r>
              <w:rPr>
                <w:rFonts w:ascii="Times New Roman" w:hAnsi="Times New Roman" w:cs="Times New Roman"/>
                <w:sz w:val="21"/>
                <w:szCs w:val="21"/>
              </w:rPr>
              <w:t>○</w:t>
            </w:r>
          </w:p>
        </w:tc>
        <w:tc>
          <w:tcPr>
            <w:tcW w:w="850" w:type="dxa"/>
            <w:noWrap w:val="0"/>
            <w:vAlign w:val="top"/>
          </w:tcPr>
          <w:p w14:paraId="5310C39F">
            <w:pPr>
              <w:pStyle w:val="2251"/>
              <w:spacing w:before="27"/>
              <w:ind w:left="355"/>
              <w:rPr>
                <w:rFonts w:ascii="Times New Roman" w:hAnsi="Times New Roman" w:cs="Times New Roman"/>
                <w:sz w:val="23"/>
                <w:szCs w:val="23"/>
              </w:rPr>
            </w:pPr>
            <w:r>
              <w:rPr>
                <w:rFonts w:ascii="Times New Roman" w:hAnsi="Times New Roman" w:cs="Times New Roman"/>
                <w:sz w:val="23"/>
                <w:szCs w:val="23"/>
              </w:rPr>
              <w:t></w:t>
            </w:r>
          </w:p>
        </w:tc>
        <w:tc>
          <w:tcPr>
            <w:tcW w:w="777" w:type="dxa"/>
            <w:noWrap w:val="0"/>
            <w:vAlign w:val="top"/>
          </w:tcPr>
          <w:p w14:paraId="19181D10">
            <w:pPr>
              <w:pStyle w:val="2251"/>
              <w:spacing w:before="34"/>
              <w:ind w:right="290"/>
              <w:jc w:val="right"/>
              <w:rPr>
                <w:rFonts w:ascii="Times New Roman" w:hAnsi="Times New Roman" w:cs="Times New Roman"/>
                <w:sz w:val="21"/>
                <w:szCs w:val="21"/>
              </w:rPr>
            </w:pPr>
            <w:r>
              <w:rPr>
                <w:rFonts w:ascii="Times New Roman" w:hAnsi="Times New Roman" w:cs="Times New Roman"/>
                <w:sz w:val="21"/>
                <w:szCs w:val="21"/>
              </w:rPr>
              <w:t>★</w:t>
            </w:r>
          </w:p>
        </w:tc>
        <w:tc>
          <w:tcPr>
            <w:tcW w:w="1060" w:type="dxa"/>
            <w:noWrap w:val="0"/>
            <w:vAlign w:val="top"/>
          </w:tcPr>
          <w:p w14:paraId="181FDEBD">
            <w:pPr>
              <w:pStyle w:val="2251"/>
              <w:spacing w:before="34"/>
              <w:ind w:right="428"/>
              <w:jc w:val="right"/>
              <w:rPr>
                <w:rFonts w:ascii="Times New Roman" w:hAnsi="Times New Roman" w:cs="Times New Roman"/>
                <w:sz w:val="21"/>
                <w:szCs w:val="21"/>
              </w:rPr>
            </w:pPr>
            <w:r>
              <w:rPr>
                <w:rFonts w:ascii="Times New Roman" w:hAnsi="Times New Roman" w:cs="Times New Roman"/>
                <w:sz w:val="21"/>
                <w:szCs w:val="21"/>
              </w:rPr>
              <w:t>★</w:t>
            </w:r>
          </w:p>
        </w:tc>
      </w:tr>
      <w:tr w14:paraId="02045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76F97D66">
            <w:pPr>
              <w:widowControl/>
              <w:rPr>
                <w:szCs w:val="21"/>
              </w:rPr>
            </w:pPr>
          </w:p>
        </w:tc>
        <w:tc>
          <w:tcPr>
            <w:tcW w:w="2392" w:type="dxa"/>
            <w:noWrap w:val="0"/>
            <w:vAlign w:val="top"/>
          </w:tcPr>
          <w:p w14:paraId="41A36A22">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设备运转产生噪声 </w:t>
            </w:r>
          </w:p>
        </w:tc>
        <w:tc>
          <w:tcPr>
            <w:tcW w:w="806" w:type="dxa"/>
            <w:noWrap w:val="0"/>
            <w:vAlign w:val="top"/>
          </w:tcPr>
          <w:p w14:paraId="4C18B3AA">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78E05981">
            <w:pPr>
              <w:pStyle w:val="2251"/>
              <w:spacing w:before="48"/>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6B3B100">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6E509E1E">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370D8F37">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523DB1D4">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3FFB5967">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10AED2C4">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277628F">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388D035">
            <w:pPr>
              <w:pStyle w:val="2251"/>
              <w:spacing w:before="48"/>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4D9CF9BA">
            <w:pPr>
              <w:pStyle w:val="2251"/>
              <w:spacing w:before="34"/>
              <w:ind w:left="306"/>
              <w:rPr>
                <w:rFonts w:ascii="Times New Roman" w:hAnsi="Times New Roman" w:cs="Times New Roman"/>
                <w:sz w:val="21"/>
                <w:szCs w:val="21"/>
              </w:rPr>
            </w:pPr>
            <w:r>
              <w:rPr>
                <w:rFonts w:ascii="Times New Roman" w:hAnsi="Times New Roman" w:cs="Times New Roman"/>
                <w:sz w:val="21"/>
                <w:szCs w:val="21"/>
              </w:rPr>
              <w:t>＃</w:t>
            </w:r>
          </w:p>
        </w:tc>
        <w:tc>
          <w:tcPr>
            <w:tcW w:w="777" w:type="dxa"/>
            <w:noWrap w:val="0"/>
            <w:vAlign w:val="top"/>
          </w:tcPr>
          <w:p w14:paraId="1F381B22">
            <w:pPr>
              <w:pStyle w:val="2251"/>
              <w:spacing w:before="48"/>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6F603BAE">
            <w:pPr>
              <w:pStyle w:val="2251"/>
              <w:spacing w:before="48"/>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263B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04" w:type="dxa"/>
            <w:vMerge w:val="continue"/>
            <w:noWrap w:val="0"/>
            <w:vAlign w:val="center"/>
          </w:tcPr>
          <w:p w14:paraId="26329CFC">
            <w:pPr>
              <w:widowControl/>
              <w:rPr>
                <w:szCs w:val="21"/>
              </w:rPr>
            </w:pPr>
          </w:p>
        </w:tc>
        <w:tc>
          <w:tcPr>
            <w:tcW w:w="2392" w:type="dxa"/>
            <w:noWrap w:val="0"/>
            <w:vAlign w:val="top"/>
          </w:tcPr>
          <w:p w14:paraId="241F2CED">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废气排放 </w:t>
            </w:r>
          </w:p>
        </w:tc>
        <w:tc>
          <w:tcPr>
            <w:tcW w:w="806" w:type="dxa"/>
            <w:noWrap w:val="0"/>
            <w:vAlign w:val="top"/>
          </w:tcPr>
          <w:p w14:paraId="234E04BE">
            <w:pPr>
              <w:pStyle w:val="2251"/>
              <w:spacing w:before="46"/>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40FBE88B">
            <w:pPr>
              <w:pStyle w:val="2251"/>
              <w:spacing w:before="46"/>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7D52196">
            <w:pPr>
              <w:pStyle w:val="2251"/>
              <w:spacing w:before="46"/>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08B28CF">
            <w:pPr>
              <w:pStyle w:val="2251"/>
              <w:spacing w:before="46"/>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1617E0FC">
            <w:pPr>
              <w:pStyle w:val="2251"/>
              <w:spacing w:before="46"/>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190C533">
            <w:pPr>
              <w:pStyle w:val="2251"/>
              <w:spacing w:before="41"/>
              <w:ind w:right="10"/>
              <w:jc w:val="center"/>
              <w:rPr>
                <w:rFonts w:ascii="Times New Roman" w:hAnsi="Times New Roman" w:cs="Times New Roman"/>
                <w:sz w:val="21"/>
                <w:szCs w:val="21"/>
              </w:rPr>
            </w:pPr>
            <w:r>
              <w:rPr>
                <w:rFonts w:ascii="Times New Roman" w:hAnsi="Times New Roman" w:cs="Times New Roman"/>
                <w:sz w:val="21"/>
                <w:szCs w:val="21"/>
              </w:rPr>
              <w:t>○</w:t>
            </w:r>
          </w:p>
        </w:tc>
        <w:tc>
          <w:tcPr>
            <w:tcW w:w="806" w:type="dxa"/>
            <w:noWrap w:val="0"/>
            <w:vAlign w:val="top"/>
          </w:tcPr>
          <w:p w14:paraId="7AF95EE6">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3DFEC738">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6B78C9E5">
            <w:pPr>
              <w:pStyle w:val="2251"/>
              <w:spacing w:before="46"/>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8B297C2">
            <w:pPr>
              <w:pStyle w:val="2251"/>
              <w:spacing w:before="41"/>
              <w:ind w:left="332"/>
              <w:rPr>
                <w:rFonts w:ascii="Times New Roman" w:hAnsi="Times New Roman" w:cs="Times New Roman"/>
                <w:sz w:val="21"/>
                <w:szCs w:val="21"/>
              </w:rPr>
            </w:pPr>
            <w:r>
              <w:rPr>
                <w:rFonts w:ascii="Times New Roman" w:hAnsi="Times New Roman" w:cs="Times New Roman"/>
                <w:sz w:val="21"/>
                <w:szCs w:val="21"/>
              </w:rPr>
              <w:t>○</w:t>
            </w:r>
          </w:p>
        </w:tc>
        <w:tc>
          <w:tcPr>
            <w:tcW w:w="850" w:type="dxa"/>
            <w:noWrap w:val="0"/>
            <w:vAlign w:val="top"/>
          </w:tcPr>
          <w:p w14:paraId="721A0BE4">
            <w:pPr>
              <w:pStyle w:val="2251"/>
              <w:spacing w:before="34"/>
              <w:ind w:left="306"/>
              <w:rPr>
                <w:rFonts w:ascii="Times New Roman" w:hAnsi="Times New Roman" w:cs="Times New Roman"/>
                <w:sz w:val="21"/>
                <w:szCs w:val="21"/>
              </w:rPr>
            </w:pPr>
            <w:r>
              <w:rPr>
                <w:rFonts w:ascii="Times New Roman" w:hAnsi="Times New Roman" w:cs="Times New Roman"/>
                <w:sz w:val="21"/>
                <w:szCs w:val="21"/>
              </w:rPr>
              <w:t>＃</w:t>
            </w:r>
          </w:p>
        </w:tc>
        <w:tc>
          <w:tcPr>
            <w:tcW w:w="777" w:type="dxa"/>
            <w:noWrap w:val="0"/>
            <w:vAlign w:val="top"/>
          </w:tcPr>
          <w:p w14:paraId="72437C73">
            <w:pPr>
              <w:pStyle w:val="2251"/>
              <w:spacing w:before="46"/>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3D7481B0">
            <w:pPr>
              <w:pStyle w:val="2251"/>
              <w:spacing w:before="46"/>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19B6E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196" w:type="dxa"/>
            <w:gridSpan w:val="2"/>
            <w:noWrap w:val="0"/>
            <w:vAlign w:val="center"/>
          </w:tcPr>
          <w:p w14:paraId="68069AF0">
            <w:pPr>
              <w:pStyle w:val="2251"/>
              <w:spacing w:before="37"/>
              <w:ind w:left="347"/>
              <w:rPr>
                <w:rFonts w:ascii="Times New Roman" w:hAnsi="Times New Roman" w:cs="Times New Roman"/>
                <w:sz w:val="21"/>
                <w:szCs w:val="21"/>
              </w:rPr>
            </w:pPr>
            <w:r>
              <w:rPr>
                <w:rFonts w:ascii="Times New Roman" w:hAnsi="Times New Roman" w:cs="Times New Roman"/>
                <w:sz w:val="21"/>
                <w:szCs w:val="21"/>
              </w:rPr>
              <w:t>项目建设综合环境影响</w:t>
            </w:r>
          </w:p>
        </w:tc>
        <w:tc>
          <w:tcPr>
            <w:tcW w:w="806" w:type="dxa"/>
            <w:noWrap w:val="0"/>
            <w:vAlign w:val="top"/>
          </w:tcPr>
          <w:p w14:paraId="67D8A58A">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9" w:type="dxa"/>
            <w:noWrap w:val="0"/>
            <w:vAlign w:val="top"/>
          </w:tcPr>
          <w:p w14:paraId="3F252BC8">
            <w:pPr>
              <w:pStyle w:val="2251"/>
              <w:spacing w:before="27"/>
              <w:ind w:left="1"/>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454785AB">
            <w:pPr>
              <w:pStyle w:val="2251"/>
              <w:spacing w:before="27"/>
              <w:jc w:val="center"/>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05FFBBB6">
            <w:pPr>
              <w:pStyle w:val="2251"/>
              <w:spacing w:before="27"/>
              <w:ind w:left="8"/>
              <w:jc w:val="center"/>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1473E702">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304F5396">
            <w:pPr>
              <w:pStyle w:val="2251"/>
              <w:spacing w:before="27"/>
              <w:ind w:left="4"/>
              <w:jc w:val="center"/>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5858B6F1">
            <w:pPr>
              <w:pStyle w:val="2251"/>
              <w:spacing w:before="27"/>
              <w:ind w:left="329"/>
              <w:rPr>
                <w:rFonts w:ascii="Times New Roman" w:hAnsi="Times New Roman" w:cs="Times New Roman"/>
                <w:sz w:val="23"/>
                <w:szCs w:val="23"/>
              </w:rPr>
            </w:pPr>
            <w:r>
              <w:rPr>
                <w:rFonts w:ascii="Times New Roman" w:hAnsi="Times New Roman" w:cs="Times New Roman"/>
                <w:sz w:val="23"/>
                <w:szCs w:val="23"/>
              </w:rPr>
              <w:t></w:t>
            </w:r>
          </w:p>
        </w:tc>
        <w:tc>
          <w:tcPr>
            <w:tcW w:w="806" w:type="dxa"/>
            <w:noWrap w:val="0"/>
            <w:vAlign w:val="top"/>
          </w:tcPr>
          <w:p w14:paraId="0763774D">
            <w:pPr>
              <w:pStyle w:val="2251"/>
              <w:spacing w:before="27"/>
              <w:ind w:left="330"/>
              <w:rPr>
                <w:rFonts w:ascii="Times New Roman" w:hAnsi="Times New Roman" w:cs="Times New Roman"/>
                <w:sz w:val="23"/>
                <w:szCs w:val="23"/>
              </w:rPr>
            </w:pPr>
            <w:r>
              <w:rPr>
                <w:rFonts w:ascii="Times New Roman" w:hAnsi="Times New Roman" w:cs="Times New Roman"/>
                <w:sz w:val="23"/>
                <w:szCs w:val="23"/>
              </w:rPr>
              <w:t></w:t>
            </w:r>
          </w:p>
        </w:tc>
        <w:tc>
          <w:tcPr>
            <w:tcW w:w="808" w:type="dxa"/>
            <w:noWrap w:val="0"/>
            <w:vAlign w:val="top"/>
          </w:tcPr>
          <w:p w14:paraId="3856C08A">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3E93D3B8">
            <w:pPr>
              <w:pStyle w:val="2251"/>
              <w:spacing w:before="27"/>
              <w:ind w:left="329"/>
              <w:rPr>
                <w:rFonts w:ascii="Times New Roman" w:hAnsi="Times New Roman" w:cs="Times New Roman"/>
                <w:sz w:val="23"/>
                <w:szCs w:val="23"/>
              </w:rPr>
            </w:pPr>
            <w:r>
              <w:rPr>
                <w:rFonts w:ascii="Times New Roman" w:hAnsi="Times New Roman" w:cs="Times New Roman"/>
                <w:sz w:val="23"/>
                <w:szCs w:val="23"/>
              </w:rPr>
              <w:t></w:t>
            </w:r>
          </w:p>
        </w:tc>
        <w:tc>
          <w:tcPr>
            <w:tcW w:w="850" w:type="dxa"/>
            <w:noWrap w:val="0"/>
            <w:vAlign w:val="top"/>
          </w:tcPr>
          <w:p w14:paraId="266F0BD8">
            <w:pPr>
              <w:pStyle w:val="2251"/>
              <w:spacing w:before="27"/>
              <w:ind w:left="355"/>
              <w:rPr>
                <w:rFonts w:ascii="Times New Roman" w:hAnsi="Times New Roman" w:cs="Times New Roman"/>
                <w:sz w:val="23"/>
                <w:szCs w:val="23"/>
              </w:rPr>
            </w:pPr>
            <w:r>
              <w:rPr>
                <w:rFonts w:ascii="Times New Roman" w:hAnsi="Times New Roman" w:cs="Times New Roman"/>
                <w:sz w:val="23"/>
                <w:szCs w:val="23"/>
              </w:rPr>
              <w:t></w:t>
            </w:r>
          </w:p>
        </w:tc>
        <w:tc>
          <w:tcPr>
            <w:tcW w:w="777" w:type="dxa"/>
            <w:noWrap w:val="0"/>
            <w:vAlign w:val="top"/>
          </w:tcPr>
          <w:p w14:paraId="343CBB3F">
            <w:pPr>
              <w:pStyle w:val="2251"/>
              <w:spacing w:before="37"/>
              <w:ind w:right="290"/>
              <w:jc w:val="right"/>
              <w:rPr>
                <w:rFonts w:ascii="Times New Roman" w:hAnsi="Times New Roman" w:cs="Times New Roman"/>
                <w:sz w:val="21"/>
                <w:szCs w:val="21"/>
              </w:rPr>
            </w:pPr>
            <w:r>
              <w:rPr>
                <w:rFonts w:ascii="Times New Roman" w:hAnsi="Times New Roman" w:cs="Times New Roman"/>
                <w:sz w:val="21"/>
                <w:szCs w:val="21"/>
              </w:rPr>
              <w:t>★</w:t>
            </w:r>
          </w:p>
        </w:tc>
        <w:tc>
          <w:tcPr>
            <w:tcW w:w="1060" w:type="dxa"/>
            <w:noWrap w:val="0"/>
            <w:vAlign w:val="top"/>
          </w:tcPr>
          <w:p w14:paraId="3C9006FC">
            <w:pPr>
              <w:pStyle w:val="2251"/>
              <w:spacing w:before="37"/>
              <w:ind w:right="428"/>
              <w:jc w:val="right"/>
              <w:rPr>
                <w:rFonts w:ascii="Times New Roman" w:hAnsi="Times New Roman" w:cs="Times New Roman"/>
                <w:sz w:val="21"/>
                <w:szCs w:val="21"/>
              </w:rPr>
            </w:pPr>
            <w:r>
              <w:rPr>
                <w:rFonts w:ascii="Times New Roman" w:hAnsi="Times New Roman" w:cs="Times New Roman"/>
                <w:sz w:val="21"/>
                <w:szCs w:val="21"/>
              </w:rPr>
              <w:t>★</w:t>
            </w:r>
          </w:p>
        </w:tc>
      </w:tr>
      <w:tr w14:paraId="79DD0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04" w:type="dxa"/>
            <w:vMerge w:val="restart"/>
            <w:noWrap w:val="0"/>
            <w:vAlign w:val="center"/>
          </w:tcPr>
          <w:p w14:paraId="4DCB6C68">
            <w:pPr>
              <w:pStyle w:val="2251"/>
              <w:spacing w:before="1"/>
              <w:ind w:left="23"/>
              <w:rPr>
                <w:rFonts w:ascii="Times New Roman" w:hAnsi="Times New Roman" w:cs="Times New Roman"/>
                <w:sz w:val="21"/>
                <w:szCs w:val="21"/>
              </w:rPr>
            </w:pPr>
            <w:r>
              <w:rPr>
                <w:rFonts w:ascii="Times New Roman" w:hAnsi="Times New Roman" w:cs="Times New Roman"/>
                <w:sz w:val="21"/>
                <w:szCs w:val="21"/>
              </w:rPr>
              <w:t xml:space="preserve">外环境 </w:t>
            </w:r>
          </w:p>
        </w:tc>
        <w:tc>
          <w:tcPr>
            <w:tcW w:w="2392" w:type="dxa"/>
            <w:noWrap w:val="0"/>
            <w:vAlign w:val="top"/>
          </w:tcPr>
          <w:p w14:paraId="500217E6">
            <w:pPr>
              <w:pStyle w:val="2251"/>
              <w:spacing w:before="35"/>
              <w:ind w:left="209" w:right="209"/>
              <w:jc w:val="center"/>
              <w:rPr>
                <w:rFonts w:ascii="Times New Roman" w:hAnsi="Times New Roman" w:cs="Times New Roman"/>
                <w:sz w:val="21"/>
                <w:szCs w:val="21"/>
              </w:rPr>
            </w:pPr>
            <w:r>
              <w:rPr>
                <w:rFonts w:ascii="Times New Roman" w:hAnsi="Times New Roman" w:cs="Times New Roman"/>
                <w:sz w:val="21"/>
                <w:szCs w:val="21"/>
              </w:rPr>
              <w:t xml:space="preserve">交通噪声 </w:t>
            </w:r>
          </w:p>
        </w:tc>
        <w:tc>
          <w:tcPr>
            <w:tcW w:w="806" w:type="dxa"/>
            <w:noWrap w:val="0"/>
            <w:vAlign w:val="top"/>
          </w:tcPr>
          <w:p w14:paraId="78EC6C14">
            <w:pPr>
              <w:pStyle w:val="2251"/>
              <w:spacing w:before="49"/>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7450B875">
            <w:pPr>
              <w:pStyle w:val="2251"/>
              <w:spacing w:before="49"/>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1E724C69">
            <w:pPr>
              <w:pStyle w:val="2251"/>
              <w:spacing w:before="49"/>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7D45B081">
            <w:pPr>
              <w:pStyle w:val="2251"/>
              <w:spacing w:before="49"/>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3B610E4">
            <w:pPr>
              <w:pStyle w:val="2251"/>
              <w:spacing w:before="49"/>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184DFEE">
            <w:pPr>
              <w:pStyle w:val="2251"/>
              <w:spacing w:before="49"/>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735ABFCE">
            <w:pPr>
              <w:pStyle w:val="2251"/>
              <w:spacing w:before="49"/>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8A67241">
            <w:pPr>
              <w:pStyle w:val="2251"/>
              <w:spacing w:before="49"/>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2798A6D4">
            <w:pPr>
              <w:pStyle w:val="2251"/>
              <w:spacing w:before="49"/>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BF374B0">
            <w:pPr>
              <w:pStyle w:val="2251"/>
              <w:spacing w:before="49"/>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4DFB21E1">
            <w:pPr>
              <w:pStyle w:val="2251"/>
              <w:spacing w:before="49"/>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17EAC779">
            <w:pPr>
              <w:pStyle w:val="2251"/>
              <w:spacing w:before="49"/>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6D1CC397">
            <w:pPr>
              <w:pStyle w:val="2251"/>
              <w:spacing w:before="49"/>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57198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6B74BB4B">
            <w:pPr>
              <w:widowControl/>
              <w:rPr>
                <w:szCs w:val="21"/>
              </w:rPr>
            </w:pPr>
          </w:p>
        </w:tc>
        <w:tc>
          <w:tcPr>
            <w:tcW w:w="2392" w:type="dxa"/>
            <w:noWrap w:val="0"/>
            <w:vAlign w:val="top"/>
          </w:tcPr>
          <w:p w14:paraId="5412299F">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交通废气 </w:t>
            </w:r>
          </w:p>
        </w:tc>
        <w:tc>
          <w:tcPr>
            <w:tcW w:w="806" w:type="dxa"/>
            <w:noWrap w:val="0"/>
            <w:vAlign w:val="top"/>
          </w:tcPr>
          <w:p w14:paraId="752DC144">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68B45B12">
            <w:pPr>
              <w:pStyle w:val="2251"/>
              <w:spacing w:before="48"/>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13FDFC16">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0771A348">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6C998BB">
            <w:pPr>
              <w:pStyle w:val="2251"/>
              <w:spacing w:before="48"/>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69195F0">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4CC785F">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EB2F27C">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398FCAEC">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3903E4EE">
            <w:pPr>
              <w:pStyle w:val="2251"/>
              <w:spacing w:before="48"/>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43198248">
            <w:pPr>
              <w:pStyle w:val="2251"/>
              <w:spacing w:before="48"/>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4213AD6D">
            <w:pPr>
              <w:pStyle w:val="2251"/>
              <w:spacing w:before="48"/>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4C258690">
            <w:pPr>
              <w:pStyle w:val="2251"/>
              <w:spacing w:before="48"/>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1E404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04" w:type="dxa"/>
            <w:vMerge w:val="continue"/>
            <w:noWrap w:val="0"/>
            <w:vAlign w:val="center"/>
          </w:tcPr>
          <w:p w14:paraId="6FD36796">
            <w:pPr>
              <w:widowControl/>
              <w:rPr>
                <w:szCs w:val="21"/>
              </w:rPr>
            </w:pPr>
          </w:p>
        </w:tc>
        <w:tc>
          <w:tcPr>
            <w:tcW w:w="2392" w:type="dxa"/>
            <w:noWrap w:val="0"/>
            <w:vAlign w:val="top"/>
          </w:tcPr>
          <w:p w14:paraId="3EABB25C">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工业噪声 </w:t>
            </w:r>
          </w:p>
        </w:tc>
        <w:tc>
          <w:tcPr>
            <w:tcW w:w="806" w:type="dxa"/>
            <w:noWrap w:val="0"/>
            <w:vAlign w:val="top"/>
          </w:tcPr>
          <w:p w14:paraId="0E1050AF">
            <w:pPr>
              <w:pStyle w:val="2251"/>
              <w:spacing w:before="46"/>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03FCC0A5">
            <w:pPr>
              <w:pStyle w:val="2251"/>
              <w:spacing w:before="46"/>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3B72FDA3">
            <w:pPr>
              <w:pStyle w:val="2251"/>
              <w:spacing w:before="46"/>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08C615C9">
            <w:pPr>
              <w:pStyle w:val="2251"/>
              <w:spacing w:before="46"/>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29BF9C8F">
            <w:pPr>
              <w:pStyle w:val="2251"/>
              <w:spacing w:before="46"/>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AAB917D">
            <w:pPr>
              <w:pStyle w:val="2251"/>
              <w:spacing w:before="46"/>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FB37071">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77CB0A96">
            <w:pPr>
              <w:pStyle w:val="2251"/>
              <w:spacing w:before="46"/>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459D202C">
            <w:pPr>
              <w:pStyle w:val="2251"/>
              <w:spacing w:before="46"/>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EB96C8A">
            <w:pPr>
              <w:pStyle w:val="2251"/>
              <w:spacing w:before="46"/>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69091570">
            <w:pPr>
              <w:pStyle w:val="2251"/>
              <w:spacing w:before="46"/>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69AE09AF">
            <w:pPr>
              <w:pStyle w:val="2251"/>
              <w:spacing w:before="46"/>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4789412B">
            <w:pPr>
              <w:pStyle w:val="2251"/>
              <w:spacing w:before="46"/>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6FF92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38294CA9">
            <w:pPr>
              <w:widowControl/>
              <w:rPr>
                <w:szCs w:val="21"/>
              </w:rPr>
            </w:pPr>
          </w:p>
        </w:tc>
        <w:tc>
          <w:tcPr>
            <w:tcW w:w="2392" w:type="dxa"/>
            <w:noWrap w:val="0"/>
            <w:vAlign w:val="top"/>
          </w:tcPr>
          <w:p w14:paraId="41AD5FEB">
            <w:pPr>
              <w:pStyle w:val="2251"/>
              <w:spacing w:before="37"/>
              <w:ind w:left="209" w:right="209"/>
              <w:jc w:val="center"/>
              <w:rPr>
                <w:rFonts w:ascii="Times New Roman" w:hAnsi="Times New Roman" w:cs="Times New Roman"/>
                <w:sz w:val="21"/>
                <w:szCs w:val="21"/>
              </w:rPr>
            </w:pPr>
            <w:r>
              <w:rPr>
                <w:rFonts w:ascii="Times New Roman" w:hAnsi="Times New Roman" w:cs="Times New Roman"/>
                <w:sz w:val="21"/>
                <w:szCs w:val="21"/>
              </w:rPr>
              <w:t xml:space="preserve">工业废气 </w:t>
            </w:r>
          </w:p>
        </w:tc>
        <w:tc>
          <w:tcPr>
            <w:tcW w:w="806" w:type="dxa"/>
            <w:noWrap w:val="0"/>
            <w:vAlign w:val="top"/>
          </w:tcPr>
          <w:p w14:paraId="1F269D67">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283A0FF1">
            <w:pPr>
              <w:pStyle w:val="2251"/>
              <w:spacing w:before="48"/>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F0531DF">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F7502AC">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1E0D1902">
            <w:pPr>
              <w:pStyle w:val="2251"/>
              <w:spacing w:before="48"/>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BECEB9B">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46A5CB7B">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0B3C67B3">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6333B292">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6EE4BF9A">
            <w:pPr>
              <w:pStyle w:val="2251"/>
              <w:spacing w:before="48"/>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14D909C7">
            <w:pPr>
              <w:pStyle w:val="2251"/>
              <w:spacing w:before="48"/>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15B3EE7C">
            <w:pPr>
              <w:pStyle w:val="2251"/>
              <w:spacing w:before="48"/>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3B598806">
            <w:pPr>
              <w:pStyle w:val="2251"/>
              <w:spacing w:before="48"/>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r w14:paraId="4DFE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04" w:type="dxa"/>
            <w:vMerge w:val="continue"/>
            <w:noWrap w:val="0"/>
            <w:vAlign w:val="center"/>
          </w:tcPr>
          <w:p w14:paraId="3900177A">
            <w:pPr>
              <w:widowControl/>
              <w:rPr>
                <w:szCs w:val="21"/>
              </w:rPr>
            </w:pPr>
          </w:p>
        </w:tc>
        <w:tc>
          <w:tcPr>
            <w:tcW w:w="2392" w:type="dxa"/>
            <w:noWrap w:val="0"/>
            <w:vAlign w:val="top"/>
          </w:tcPr>
          <w:p w14:paraId="435220CA">
            <w:pPr>
              <w:pStyle w:val="2251"/>
              <w:spacing w:before="34"/>
              <w:ind w:left="209" w:right="209"/>
              <w:jc w:val="center"/>
              <w:rPr>
                <w:rFonts w:ascii="Times New Roman" w:hAnsi="Times New Roman" w:cs="Times New Roman"/>
                <w:sz w:val="21"/>
                <w:szCs w:val="21"/>
              </w:rPr>
            </w:pPr>
            <w:r>
              <w:rPr>
                <w:rFonts w:ascii="Times New Roman" w:hAnsi="Times New Roman" w:cs="Times New Roman"/>
                <w:sz w:val="21"/>
                <w:szCs w:val="21"/>
              </w:rPr>
              <w:t xml:space="preserve">电磁辐射 </w:t>
            </w:r>
          </w:p>
        </w:tc>
        <w:tc>
          <w:tcPr>
            <w:tcW w:w="806" w:type="dxa"/>
            <w:noWrap w:val="0"/>
            <w:vAlign w:val="top"/>
          </w:tcPr>
          <w:p w14:paraId="2BAFE87C">
            <w:pPr>
              <w:pStyle w:val="2251"/>
              <w:spacing w:before="48"/>
              <w:ind w:right="5"/>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9" w:type="dxa"/>
            <w:noWrap w:val="0"/>
            <w:vAlign w:val="top"/>
          </w:tcPr>
          <w:p w14:paraId="0C005FCD">
            <w:pPr>
              <w:pStyle w:val="2251"/>
              <w:spacing w:before="48"/>
              <w:ind w:right="6"/>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DF894B3">
            <w:pPr>
              <w:pStyle w:val="2251"/>
              <w:spacing w:before="48"/>
              <w:ind w:right="8"/>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7F74A89B">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5E540B54">
            <w:pPr>
              <w:pStyle w:val="2251"/>
              <w:spacing w:before="48"/>
              <w:ind w:right="3"/>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0C14A2FE">
            <w:pPr>
              <w:pStyle w:val="2251"/>
              <w:spacing w:before="48"/>
              <w:ind w:right="4"/>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37A88177">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59D06A48">
            <w:pPr>
              <w:pStyle w:val="2251"/>
              <w:spacing w:before="48"/>
              <w:ind w:left="340"/>
              <w:rPr>
                <w:rFonts w:ascii="Times New Roman" w:hAnsi="Times New Roman" w:cs="Times New Roman"/>
                <w:b/>
                <w:bCs/>
                <w:sz w:val="21"/>
                <w:szCs w:val="21"/>
              </w:rPr>
            </w:pPr>
            <w:r>
              <w:rPr>
                <w:rFonts w:ascii="Times New Roman" w:hAnsi="Times New Roman" w:cs="Times New Roman"/>
                <w:b/>
                <w:bCs/>
                <w:sz w:val="21"/>
                <w:szCs w:val="21"/>
              </w:rPr>
              <w:t>×</w:t>
            </w:r>
          </w:p>
        </w:tc>
        <w:tc>
          <w:tcPr>
            <w:tcW w:w="808" w:type="dxa"/>
            <w:noWrap w:val="0"/>
            <w:vAlign w:val="top"/>
          </w:tcPr>
          <w:p w14:paraId="698C1B00">
            <w:pPr>
              <w:pStyle w:val="2251"/>
              <w:spacing w:before="48"/>
              <w:ind w:left="341"/>
              <w:rPr>
                <w:rFonts w:ascii="Times New Roman" w:hAnsi="Times New Roman" w:cs="Times New Roman"/>
                <w:b/>
                <w:bCs/>
                <w:sz w:val="21"/>
                <w:szCs w:val="21"/>
              </w:rPr>
            </w:pPr>
            <w:r>
              <w:rPr>
                <w:rFonts w:ascii="Times New Roman" w:hAnsi="Times New Roman" w:cs="Times New Roman"/>
                <w:b/>
                <w:bCs/>
                <w:sz w:val="21"/>
                <w:szCs w:val="21"/>
              </w:rPr>
              <w:t>×</w:t>
            </w:r>
          </w:p>
        </w:tc>
        <w:tc>
          <w:tcPr>
            <w:tcW w:w="806" w:type="dxa"/>
            <w:noWrap w:val="0"/>
            <w:vAlign w:val="top"/>
          </w:tcPr>
          <w:p w14:paraId="22FF7487">
            <w:pPr>
              <w:pStyle w:val="2251"/>
              <w:spacing w:before="48"/>
              <w:ind w:left="339"/>
              <w:rPr>
                <w:rFonts w:ascii="Times New Roman" w:hAnsi="Times New Roman" w:cs="Times New Roman"/>
                <w:b/>
                <w:bCs/>
                <w:sz w:val="21"/>
                <w:szCs w:val="21"/>
              </w:rPr>
            </w:pPr>
            <w:r>
              <w:rPr>
                <w:rFonts w:ascii="Times New Roman" w:hAnsi="Times New Roman" w:cs="Times New Roman"/>
                <w:b/>
                <w:bCs/>
                <w:sz w:val="21"/>
                <w:szCs w:val="21"/>
              </w:rPr>
              <w:t>×</w:t>
            </w:r>
          </w:p>
        </w:tc>
        <w:tc>
          <w:tcPr>
            <w:tcW w:w="850" w:type="dxa"/>
            <w:noWrap w:val="0"/>
            <w:vAlign w:val="top"/>
          </w:tcPr>
          <w:p w14:paraId="542112CB">
            <w:pPr>
              <w:pStyle w:val="2251"/>
              <w:spacing w:before="48"/>
              <w:ind w:left="363"/>
              <w:rPr>
                <w:rFonts w:ascii="Times New Roman" w:hAnsi="Times New Roman" w:cs="Times New Roman"/>
                <w:b/>
                <w:bCs/>
                <w:sz w:val="21"/>
                <w:szCs w:val="21"/>
              </w:rPr>
            </w:pPr>
            <w:r>
              <w:rPr>
                <w:rFonts w:ascii="Times New Roman" w:hAnsi="Times New Roman" w:cs="Times New Roman"/>
                <w:b/>
                <w:bCs/>
                <w:sz w:val="21"/>
                <w:szCs w:val="21"/>
              </w:rPr>
              <w:t>×</w:t>
            </w:r>
          </w:p>
        </w:tc>
        <w:tc>
          <w:tcPr>
            <w:tcW w:w="777" w:type="dxa"/>
            <w:noWrap w:val="0"/>
            <w:vAlign w:val="top"/>
          </w:tcPr>
          <w:p w14:paraId="5C6AF1F2">
            <w:pPr>
              <w:pStyle w:val="2251"/>
              <w:spacing w:before="48"/>
              <w:ind w:right="323"/>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60" w:type="dxa"/>
            <w:noWrap w:val="0"/>
            <w:vAlign w:val="top"/>
          </w:tcPr>
          <w:p w14:paraId="178C12FE">
            <w:pPr>
              <w:pStyle w:val="2251"/>
              <w:spacing w:before="48"/>
              <w:ind w:right="462"/>
              <w:jc w:val="right"/>
              <w:rPr>
                <w:rFonts w:ascii="Times New Roman" w:hAnsi="Times New Roman" w:cs="Times New Roman"/>
                <w:b/>
                <w:bCs/>
                <w:sz w:val="21"/>
                <w:szCs w:val="21"/>
              </w:rPr>
            </w:pPr>
            <w:r>
              <w:rPr>
                <w:rFonts w:ascii="Times New Roman" w:hAnsi="Times New Roman" w:cs="Times New Roman"/>
                <w:b/>
                <w:bCs/>
                <w:sz w:val="21"/>
                <w:szCs w:val="21"/>
              </w:rPr>
              <w:t>×</w:t>
            </w:r>
          </w:p>
        </w:tc>
      </w:tr>
    </w:tbl>
    <w:p w14:paraId="422BE066">
      <w:pPr>
        <w:spacing w:before="3"/>
        <w:ind w:left="120" w:leftChars="57" w:firstLine="105" w:firstLineChars="50"/>
        <w:rPr>
          <w:szCs w:val="21"/>
        </w:rPr>
      </w:pPr>
      <w:r>
        <w:rPr>
          <w:szCs w:val="21"/>
        </w:rPr>
        <w:t>图例：</w:t>
      </w:r>
      <w:r>
        <w:rPr>
          <w:spacing w:val="-3"/>
          <w:szCs w:val="21"/>
        </w:rPr>
        <w:t>负面影响</w:t>
      </w:r>
      <w:r>
        <w:rPr>
          <w:szCs w:val="21"/>
        </w:rPr>
        <w:t>（</w:t>
      </w:r>
      <w:r>
        <w:rPr>
          <w:sz w:val="23"/>
          <w:szCs w:val="23"/>
        </w:rPr>
        <w:t></w:t>
      </w:r>
      <w:r>
        <w:rPr>
          <w:spacing w:val="-3"/>
          <w:szCs w:val="21"/>
        </w:rPr>
        <w:t>轻微影响、</w:t>
      </w:r>
      <w:r>
        <w:rPr>
          <w:szCs w:val="21"/>
        </w:rPr>
        <w:t>○</w:t>
      </w:r>
      <w:r>
        <w:rPr>
          <w:spacing w:val="-3"/>
          <w:szCs w:val="21"/>
        </w:rPr>
        <w:t>较大影响、</w:t>
      </w:r>
      <w:r>
        <w:rPr>
          <w:szCs w:val="21"/>
        </w:rPr>
        <w:t>●</w:t>
      </w:r>
      <w:r>
        <w:rPr>
          <w:spacing w:val="-3"/>
          <w:szCs w:val="21"/>
        </w:rPr>
        <w:t>有重大影响、＃可能有影响</w:t>
      </w:r>
      <w:r>
        <w:rPr>
          <w:szCs w:val="21"/>
        </w:rPr>
        <w:t>）</w:t>
      </w:r>
      <w:r>
        <w:rPr>
          <w:spacing w:val="-1"/>
          <w:szCs w:val="21"/>
        </w:rPr>
        <w:t>；★正面影响；</w:t>
      </w:r>
      <w:r>
        <w:rPr>
          <w:b/>
          <w:bCs/>
          <w:szCs w:val="21"/>
        </w:rPr>
        <w:t>×</w:t>
      </w:r>
      <w:r>
        <w:rPr>
          <w:spacing w:val="-2"/>
          <w:szCs w:val="21"/>
        </w:rPr>
        <w:t>无影响</w:t>
      </w:r>
    </w:p>
    <w:p w14:paraId="537E8266">
      <w:pPr>
        <w:pStyle w:val="35"/>
        <w:rPr>
          <w:sz w:val="20"/>
          <w:szCs w:val="20"/>
        </w:rPr>
      </w:pPr>
      <w:r>
        <w:rPr>
          <w:sz w:val="20"/>
          <w:szCs w:val="20"/>
        </w:rPr>
        <w:t xml:space="preserve"> </w:t>
      </w:r>
    </w:p>
    <w:p w14:paraId="78CDCCD4">
      <w:pPr>
        <w:pStyle w:val="7"/>
        <w:spacing w:before="0" w:after="0" w:line="360" w:lineRule="auto"/>
        <w:rPr>
          <w:rFonts w:ascii="Times New Roman" w:hAnsi="Times New Roman"/>
          <w:sz w:val="24"/>
        </w:rPr>
        <w:sectPr>
          <w:pgSz w:w="16838" w:h="11906" w:orient="landscape"/>
          <w:pgMar w:top="1797" w:right="1440" w:bottom="1797" w:left="1361" w:header="720" w:footer="720" w:gutter="0"/>
          <w:cols w:space="720" w:num="1"/>
        </w:sectPr>
      </w:pPr>
    </w:p>
    <w:p w14:paraId="427CAB72">
      <w:pPr>
        <w:autoSpaceDE w:val="0"/>
        <w:autoSpaceDN w:val="0"/>
        <w:spacing w:before="120" w:line="360" w:lineRule="auto"/>
        <w:ind w:right="890" w:firstLine="480" w:firstLineChars="200"/>
        <w:jc w:val="left"/>
        <w:rPr>
          <w:kern w:val="0"/>
          <w:sz w:val="24"/>
        </w:rPr>
      </w:pPr>
      <w:r>
        <w:rPr>
          <w:kern w:val="0"/>
          <w:sz w:val="24"/>
        </w:rPr>
        <w:t>根据环境影响因素的识别与分析，结合本项目建设、营运特点和区域环境功能要求及环境保护目标，确定该项目评价因子见表2.3-2。</w:t>
      </w:r>
    </w:p>
    <w:p w14:paraId="321E3547">
      <w:pPr>
        <w:autoSpaceDE w:val="0"/>
        <w:autoSpaceDN w:val="0"/>
        <w:spacing w:line="360" w:lineRule="auto"/>
        <w:ind w:right="136"/>
        <w:jc w:val="center"/>
        <w:rPr>
          <w:b/>
          <w:bCs/>
          <w:kern w:val="0"/>
          <w:szCs w:val="21"/>
        </w:rPr>
      </w:pPr>
      <w:r>
        <w:rPr>
          <w:b/>
          <w:bCs/>
          <w:kern w:val="0"/>
          <w:szCs w:val="21"/>
        </w:rPr>
        <w:t>表2.3-2</w:t>
      </w:r>
      <w:r>
        <w:rPr>
          <w:b/>
          <w:bCs/>
          <w:kern w:val="0"/>
          <w:szCs w:val="21"/>
        </w:rPr>
        <w:tab/>
      </w:r>
      <w:r>
        <w:rPr>
          <w:b/>
          <w:bCs/>
          <w:kern w:val="0"/>
          <w:szCs w:val="21"/>
        </w:rPr>
        <w:t>主要评价因子</w:t>
      </w:r>
      <w:r>
        <w:rPr>
          <w:b/>
          <w:bCs/>
          <w:spacing w:val="-3"/>
          <w:kern w:val="0"/>
          <w:szCs w:val="21"/>
        </w:rPr>
        <w:t>一</w:t>
      </w:r>
      <w:r>
        <w:rPr>
          <w:b/>
          <w:bCs/>
          <w:kern w:val="0"/>
          <w:szCs w:val="21"/>
        </w:rPr>
        <w:t>览表</w:t>
      </w:r>
    </w:p>
    <w:tbl>
      <w:tblPr>
        <w:tblStyle w:val="87"/>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593"/>
        <w:gridCol w:w="5096"/>
      </w:tblGrid>
      <w:tr w14:paraId="2475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306" w:type="dxa"/>
            <w:gridSpan w:val="2"/>
            <w:tcBorders>
              <w:top w:val="single" w:color="auto" w:sz="4" w:space="0"/>
              <w:left w:val="single" w:color="auto" w:sz="4" w:space="0"/>
              <w:bottom w:val="single" w:color="auto" w:sz="4" w:space="0"/>
              <w:right w:val="single" w:color="auto" w:sz="4" w:space="0"/>
            </w:tcBorders>
            <w:noWrap w:val="0"/>
            <w:vAlign w:val="center"/>
          </w:tcPr>
          <w:p w14:paraId="505E8E56">
            <w:pPr>
              <w:jc w:val="center"/>
              <w:rPr>
                <w:szCs w:val="21"/>
              </w:rPr>
            </w:pPr>
            <w:r>
              <w:rPr>
                <w:szCs w:val="21"/>
              </w:rPr>
              <w:t>项目</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77AD94BD">
            <w:pPr>
              <w:jc w:val="center"/>
              <w:rPr>
                <w:szCs w:val="21"/>
              </w:rPr>
            </w:pPr>
            <w:r>
              <w:rPr>
                <w:szCs w:val="21"/>
              </w:rPr>
              <w:t>评价因子</w:t>
            </w:r>
          </w:p>
        </w:tc>
      </w:tr>
      <w:tr w14:paraId="048D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3" w:type="dxa"/>
            <w:vMerge w:val="restart"/>
            <w:tcBorders>
              <w:top w:val="single" w:color="auto" w:sz="4" w:space="0"/>
              <w:left w:val="single" w:color="auto" w:sz="4" w:space="0"/>
              <w:bottom w:val="single" w:color="auto" w:sz="4" w:space="0"/>
              <w:right w:val="single" w:color="auto" w:sz="4" w:space="0"/>
            </w:tcBorders>
            <w:noWrap w:val="0"/>
            <w:vAlign w:val="center"/>
          </w:tcPr>
          <w:p w14:paraId="7E06BD23">
            <w:pPr>
              <w:jc w:val="center"/>
              <w:rPr>
                <w:szCs w:val="21"/>
              </w:rPr>
            </w:pPr>
            <w:r>
              <w:rPr>
                <w:szCs w:val="21"/>
              </w:rPr>
              <w:t>环境空气</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67F4AA2">
            <w:pPr>
              <w:jc w:val="center"/>
              <w:rPr>
                <w:szCs w:val="21"/>
              </w:rPr>
            </w:pPr>
            <w:r>
              <w:rPr>
                <w:szCs w:val="21"/>
              </w:rPr>
              <w:t>现状评价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11799D20">
            <w:pPr>
              <w:jc w:val="center"/>
              <w:rPr>
                <w:szCs w:val="21"/>
              </w:rPr>
            </w:pPr>
            <w:r>
              <w:rPr>
                <w:szCs w:val="21"/>
              </w:rPr>
              <w:t>SO</w:t>
            </w:r>
            <w:r>
              <w:rPr>
                <w:szCs w:val="21"/>
                <w:vertAlign w:val="subscript"/>
              </w:rPr>
              <w:t>2</w:t>
            </w:r>
            <w:r>
              <w:rPr>
                <w:szCs w:val="21"/>
              </w:rPr>
              <w:t>、NO</w:t>
            </w:r>
            <w:r>
              <w:rPr>
                <w:szCs w:val="21"/>
                <w:vertAlign w:val="subscript"/>
              </w:rPr>
              <w:t>2</w:t>
            </w:r>
            <w:r>
              <w:rPr>
                <w:szCs w:val="21"/>
              </w:rPr>
              <w:t>、TSP</w:t>
            </w:r>
            <w:r>
              <w:rPr>
                <w:szCs w:val="21"/>
                <w:lang w:val="de-DE"/>
              </w:rPr>
              <w:t>、PM</w:t>
            </w:r>
            <w:r>
              <w:rPr>
                <w:szCs w:val="21"/>
                <w:vertAlign w:val="subscript"/>
                <w:lang w:val="de-DE"/>
              </w:rPr>
              <w:t>10</w:t>
            </w:r>
            <w:r>
              <w:rPr>
                <w:szCs w:val="21"/>
                <w:lang w:val="de-DE"/>
              </w:rPr>
              <w:t>、PM</w:t>
            </w:r>
            <w:r>
              <w:rPr>
                <w:szCs w:val="21"/>
                <w:vertAlign w:val="subscript"/>
                <w:lang w:val="de-DE"/>
              </w:rPr>
              <w:t>2.5</w:t>
            </w:r>
            <w:r>
              <w:rPr>
                <w:szCs w:val="21"/>
                <w:lang w:val="de-DE"/>
              </w:rPr>
              <w:t>、O</w:t>
            </w:r>
            <w:r>
              <w:rPr>
                <w:szCs w:val="21"/>
                <w:vertAlign w:val="subscript"/>
                <w:lang w:val="de-DE"/>
              </w:rPr>
              <w:t>3</w:t>
            </w:r>
            <w:r>
              <w:rPr>
                <w:szCs w:val="21"/>
                <w:lang w:val="de-DE"/>
              </w:rPr>
              <w:t>、CO、NH</w:t>
            </w:r>
            <w:r>
              <w:rPr>
                <w:szCs w:val="21"/>
                <w:vertAlign w:val="subscript"/>
                <w:lang w:val="de-DE"/>
              </w:rPr>
              <w:t>3</w:t>
            </w:r>
            <w:r>
              <w:rPr>
                <w:szCs w:val="21"/>
              </w:rPr>
              <w:t>、</w:t>
            </w:r>
            <w:r>
              <w:rPr>
                <w:szCs w:val="21"/>
                <w:lang w:val="de-DE"/>
              </w:rPr>
              <w:t>H</w:t>
            </w:r>
            <w:r>
              <w:rPr>
                <w:szCs w:val="21"/>
                <w:vertAlign w:val="subscript"/>
              </w:rPr>
              <w:t>2</w:t>
            </w:r>
            <w:r>
              <w:rPr>
                <w:szCs w:val="21"/>
                <w:lang w:val="de-DE"/>
              </w:rPr>
              <w:t>S</w:t>
            </w:r>
          </w:p>
        </w:tc>
      </w:tr>
      <w:tr w14:paraId="5B92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3" w:type="dxa"/>
            <w:vMerge w:val="continue"/>
            <w:tcBorders>
              <w:top w:val="single" w:color="auto" w:sz="4" w:space="0"/>
              <w:left w:val="single" w:color="auto" w:sz="4" w:space="0"/>
              <w:bottom w:val="single" w:color="auto" w:sz="4" w:space="0"/>
              <w:right w:val="single" w:color="auto" w:sz="4" w:space="0"/>
            </w:tcBorders>
            <w:noWrap w:val="0"/>
            <w:vAlign w:val="center"/>
          </w:tcPr>
          <w:p w14:paraId="79321F6C">
            <w:pPr>
              <w:widowControl/>
              <w:jc w:val="left"/>
              <w:rPr>
                <w:szCs w:val="21"/>
              </w:rPr>
            </w:pPr>
          </w:p>
        </w:tc>
        <w:tc>
          <w:tcPr>
            <w:tcW w:w="1593" w:type="dxa"/>
            <w:tcBorders>
              <w:top w:val="single" w:color="auto" w:sz="4" w:space="0"/>
              <w:left w:val="single" w:color="auto" w:sz="4" w:space="0"/>
              <w:bottom w:val="single" w:color="auto" w:sz="4" w:space="0"/>
              <w:right w:val="single" w:color="auto" w:sz="4" w:space="0"/>
            </w:tcBorders>
            <w:noWrap w:val="0"/>
            <w:vAlign w:val="center"/>
          </w:tcPr>
          <w:p w14:paraId="2351DC98">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10061146">
            <w:pPr>
              <w:jc w:val="center"/>
              <w:rPr>
                <w:szCs w:val="21"/>
              </w:rPr>
            </w:pPr>
            <w:r>
              <w:rPr>
                <w:szCs w:val="21"/>
                <w:lang w:val="de-DE"/>
              </w:rPr>
              <w:t>NH</w:t>
            </w:r>
            <w:r>
              <w:rPr>
                <w:szCs w:val="21"/>
                <w:vertAlign w:val="subscript"/>
                <w:lang w:val="de-DE"/>
              </w:rPr>
              <w:t>3</w:t>
            </w:r>
            <w:r>
              <w:rPr>
                <w:szCs w:val="21"/>
              </w:rPr>
              <w:t>、</w:t>
            </w:r>
            <w:r>
              <w:rPr>
                <w:szCs w:val="21"/>
                <w:lang w:val="de-DE"/>
              </w:rPr>
              <w:t>H</w:t>
            </w:r>
            <w:r>
              <w:rPr>
                <w:szCs w:val="21"/>
                <w:vertAlign w:val="subscript"/>
              </w:rPr>
              <w:t>2</w:t>
            </w:r>
            <w:r>
              <w:rPr>
                <w:szCs w:val="21"/>
                <w:lang w:val="de-DE"/>
              </w:rPr>
              <w:t>S</w:t>
            </w:r>
            <w:r>
              <w:rPr>
                <w:szCs w:val="21"/>
              </w:rPr>
              <w:t>、臭气浓度</w:t>
            </w:r>
          </w:p>
        </w:tc>
      </w:tr>
      <w:tr w14:paraId="2860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1713" w:type="dxa"/>
            <w:vMerge w:val="restart"/>
            <w:tcBorders>
              <w:top w:val="single" w:color="auto" w:sz="4" w:space="0"/>
              <w:left w:val="single" w:color="auto" w:sz="4" w:space="0"/>
              <w:bottom w:val="single" w:color="auto" w:sz="4" w:space="0"/>
              <w:right w:val="single" w:color="auto" w:sz="4" w:space="0"/>
            </w:tcBorders>
            <w:noWrap w:val="0"/>
            <w:vAlign w:val="center"/>
          </w:tcPr>
          <w:p w14:paraId="633F2139">
            <w:pPr>
              <w:jc w:val="center"/>
              <w:rPr>
                <w:szCs w:val="21"/>
              </w:rPr>
            </w:pPr>
            <w:r>
              <w:rPr>
                <w:szCs w:val="21"/>
              </w:rPr>
              <w:t>地表水环境</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6C72E44D">
            <w:pPr>
              <w:jc w:val="center"/>
              <w:rPr>
                <w:szCs w:val="21"/>
              </w:rPr>
            </w:pPr>
            <w:r>
              <w:rPr>
                <w:szCs w:val="21"/>
              </w:rPr>
              <w:t>现状评价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083AC7DF">
            <w:pPr>
              <w:jc w:val="center"/>
              <w:rPr>
                <w:szCs w:val="21"/>
              </w:rPr>
            </w:pPr>
            <w:r>
              <w:rPr>
                <w:szCs w:val="21"/>
              </w:rPr>
              <w:t>pH值、溶解氧、化学需氧量、高锰酸盐指数、五日生化需氧量、氨氮、总氮、总磷、石油类、氟化物、硫化物、粪大肠菌群</w:t>
            </w:r>
          </w:p>
        </w:tc>
      </w:tr>
      <w:tr w14:paraId="62C2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1713" w:type="dxa"/>
            <w:vMerge w:val="continue"/>
            <w:tcBorders>
              <w:top w:val="single" w:color="auto" w:sz="4" w:space="0"/>
              <w:left w:val="single" w:color="auto" w:sz="4" w:space="0"/>
              <w:bottom w:val="single" w:color="auto" w:sz="4" w:space="0"/>
              <w:right w:val="single" w:color="auto" w:sz="4" w:space="0"/>
            </w:tcBorders>
            <w:noWrap w:val="0"/>
            <w:vAlign w:val="center"/>
          </w:tcPr>
          <w:p w14:paraId="49548EA9">
            <w:pPr>
              <w:widowControl/>
              <w:jc w:val="left"/>
              <w:rPr>
                <w:szCs w:val="21"/>
              </w:rPr>
            </w:pP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7AFFA15">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31499932">
            <w:pPr>
              <w:jc w:val="center"/>
              <w:rPr>
                <w:szCs w:val="21"/>
              </w:rPr>
            </w:pPr>
            <w:r>
              <w:rPr>
                <w:szCs w:val="21"/>
              </w:rPr>
              <w:t>不外排可行、可靠性</w:t>
            </w:r>
          </w:p>
        </w:tc>
      </w:tr>
      <w:tr w14:paraId="6EF7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jc w:val="center"/>
        </w:trPr>
        <w:tc>
          <w:tcPr>
            <w:tcW w:w="1713" w:type="dxa"/>
            <w:vMerge w:val="restart"/>
            <w:tcBorders>
              <w:top w:val="single" w:color="auto" w:sz="4" w:space="0"/>
              <w:left w:val="single" w:color="auto" w:sz="4" w:space="0"/>
              <w:right w:val="single" w:color="auto" w:sz="4" w:space="0"/>
            </w:tcBorders>
            <w:noWrap w:val="0"/>
            <w:vAlign w:val="center"/>
          </w:tcPr>
          <w:p w14:paraId="7814574B">
            <w:pPr>
              <w:jc w:val="center"/>
              <w:rPr>
                <w:szCs w:val="21"/>
              </w:rPr>
            </w:pPr>
            <w:r>
              <w:rPr>
                <w:szCs w:val="21"/>
              </w:rPr>
              <w:t>地下水环境</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382AC52A">
            <w:pPr>
              <w:jc w:val="center"/>
              <w:rPr>
                <w:szCs w:val="21"/>
              </w:rPr>
            </w:pPr>
            <w:r>
              <w:rPr>
                <w:szCs w:val="21"/>
              </w:rPr>
              <w:t>现状评价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069ACA9E">
            <w:pPr>
              <w:jc w:val="center"/>
              <w:rPr>
                <w:szCs w:val="21"/>
              </w:rPr>
            </w:pPr>
            <w:r>
              <w:rPr>
                <w:bCs/>
                <w:kern w:val="0"/>
                <w:szCs w:val="21"/>
              </w:rPr>
              <w:t>K</w:t>
            </w:r>
            <w:r>
              <w:rPr>
                <w:bCs/>
                <w:kern w:val="0"/>
                <w:szCs w:val="21"/>
                <w:vertAlign w:val="superscript"/>
              </w:rPr>
              <w:t>+</w:t>
            </w:r>
            <w:r>
              <w:rPr>
                <w:bCs/>
                <w:kern w:val="0"/>
                <w:szCs w:val="21"/>
              </w:rPr>
              <w:t>、Na</w:t>
            </w:r>
            <w:r>
              <w:rPr>
                <w:bCs/>
                <w:kern w:val="0"/>
                <w:szCs w:val="21"/>
                <w:vertAlign w:val="superscript"/>
              </w:rPr>
              <w:t>+</w:t>
            </w:r>
            <w:r>
              <w:rPr>
                <w:bCs/>
                <w:kern w:val="0"/>
                <w:szCs w:val="21"/>
              </w:rPr>
              <w:t>、Ca</w:t>
            </w:r>
            <w:r>
              <w:rPr>
                <w:bCs/>
                <w:kern w:val="0"/>
                <w:szCs w:val="21"/>
                <w:vertAlign w:val="superscript"/>
              </w:rPr>
              <w:t>2+</w:t>
            </w:r>
            <w:r>
              <w:rPr>
                <w:bCs/>
                <w:kern w:val="0"/>
                <w:szCs w:val="21"/>
              </w:rPr>
              <w:t>、Mg</w:t>
            </w:r>
            <w:r>
              <w:rPr>
                <w:bCs/>
                <w:kern w:val="0"/>
                <w:szCs w:val="21"/>
                <w:vertAlign w:val="superscript"/>
              </w:rPr>
              <w:t>2+</w:t>
            </w:r>
            <w:r>
              <w:rPr>
                <w:bCs/>
                <w:kern w:val="0"/>
                <w:szCs w:val="21"/>
              </w:rPr>
              <w:t>、CO</w:t>
            </w:r>
            <w:r>
              <w:rPr>
                <w:bCs/>
                <w:kern w:val="0"/>
                <w:szCs w:val="21"/>
                <w:vertAlign w:val="subscript"/>
              </w:rPr>
              <w:t>3</w:t>
            </w:r>
            <w:r>
              <w:rPr>
                <w:bCs/>
                <w:kern w:val="0"/>
                <w:szCs w:val="21"/>
                <w:vertAlign w:val="superscript"/>
              </w:rPr>
              <w:t>2-</w:t>
            </w:r>
            <w:r>
              <w:rPr>
                <w:bCs/>
                <w:kern w:val="0"/>
                <w:szCs w:val="21"/>
              </w:rPr>
              <w:t>、HCO</w:t>
            </w:r>
            <w:r>
              <w:rPr>
                <w:bCs/>
                <w:kern w:val="0"/>
                <w:szCs w:val="21"/>
                <w:vertAlign w:val="superscript"/>
              </w:rPr>
              <w:t>3-</w:t>
            </w:r>
            <w:r>
              <w:rPr>
                <w:bCs/>
                <w:kern w:val="0"/>
                <w:szCs w:val="21"/>
              </w:rPr>
              <w:t>、Cl</w:t>
            </w:r>
            <w:r>
              <w:rPr>
                <w:bCs/>
                <w:kern w:val="0"/>
                <w:szCs w:val="21"/>
                <w:vertAlign w:val="superscript"/>
              </w:rPr>
              <w:t>-</w:t>
            </w:r>
            <w:r>
              <w:rPr>
                <w:bCs/>
                <w:kern w:val="0"/>
                <w:szCs w:val="21"/>
              </w:rPr>
              <w:t>、SO</w:t>
            </w:r>
            <w:r>
              <w:rPr>
                <w:bCs/>
                <w:kern w:val="0"/>
                <w:szCs w:val="21"/>
                <w:vertAlign w:val="subscript"/>
              </w:rPr>
              <w:t>4</w:t>
            </w:r>
            <w:r>
              <w:rPr>
                <w:bCs/>
                <w:kern w:val="0"/>
                <w:szCs w:val="21"/>
                <w:vertAlign w:val="superscript"/>
              </w:rPr>
              <w:t>2-</w:t>
            </w:r>
            <w:r>
              <w:rPr>
                <w:bCs/>
                <w:kern w:val="0"/>
                <w:szCs w:val="21"/>
              </w:rPr>
              <w:t>、pH、氨氮、亚硝酸盐、总硬度、</w:t>
            </w:r>
            <w:r>
              <w:rPr>
                <w:szCs w:val="21"/>
              </w:rPr>
              <w:t>耗氧量</w:t>
            </w:r>
            <w:r>
              <w:rPr>
                <w:bCs/>
                <w:kern w:val="0"/>
                <w:szCs w:val="21"/>
              </w:rPr>
              <w:t>、硫酸盐、氯化物、总大肠菌群、细菌总数</w:t>
            </w:r>
          </w:p>
        </w:tc>
      </w:tr>
      <w:tr w14:paraId="34E3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1713" w:type="dxa"/>
            <w:vMerge w:val="continue"/>
            <w:tcBorders>
              <w:left w:val="single" w:color="auto" w:sz="4" w:space="0"/>
              <w:bottom w:val="single" w:color="auto" w:sz="4" w:space="0"/>
              <w:right w:val="single" w:color="auto" w:sz="4" w:space="0"/>
            </w:tcBorders>
            <w:noWrap w:val="0"/>
            <w:vAlign w:val="center"/>
          </w:tcPr>
          <w:p w14:paraId="284E49A8">
            <w:pPr>
              <w:widowControl/>
              <w:jc w:val="left"/>
              <w:rPr>
                <w:szCs w:val="21"/>
              </w:rPr>
            </w:pPr>
          </w:p>
        </w:tc>
        <w:tc>
          <w:tcPr>
            <w:tcW w:w="1593" w:type="dxa"/>
            <w:tcBorders>
              <w:top w:val="single" w:color="auto" w:sz="4" w:space="0"/>
              <w:left w:val="single" w:color="auto" w:sz="4" w:space="0"/>
              <w:bottom w:val="single" w:color="auto" w:sz="4" w:space="0"/>
              <w:right w:val="single" w:color="auto" w:sz="4" w:space="0"/>
            </w:tcBorders>
            <w:noWrap w:val="0"/>
            <w:vAlign w:val="center"/>
          </w:tcPr>
          <w:p w14:paraId="0F73C372">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34313631">
            <w:pPr>
              <w:jc w:val="center"/>
              <w:rPr>
                <w:szCs w:val="21"/>
              </w:rPr>
            </w:pPr>
            <w:r>
              <w:rPr>
                <w:szCs w:val="21"/>
              </w:rPr>
              <w:t>CODcr</w:t>
            </w:r>
            <w:r>
              <w:rPr>
                <w:b/>
                <w:szCs w:val="21"/>
              </w:rPr>
              <w:t>、</w:t>
            </w:r>
            <w:r>
              <w:rPr>
                <w:szCs w:val="21"/>
              </w:rPr>
              <w:t>NH</w:t>
            </w:r>
            <w:r>
              <w:rPr>
                <w:szCs w:val="21"/>
                <w:vertAlign w:val="subscript"/>
              </w:rPr>
              <w:t>3</w:t>
            </w:r>
            <w:r>
              <w:rPr>
                <w:szCs w:val="21"/>
              </w:rPr>
              <w:t>-N</w:t>
            </w:r>
          </w:p>
        </w:tc>
      </w:tr>
      <w:tr w14:paraId="26A7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3" w:type="dxa"/>
            <w:vMerge w:val="restart"/>
            <w:tcBorders>
              <w:top w:val="single" w:color="auto" w:sz="4" w:space="0"/>
              <w:left w:val="single" w:color="auto" w:sz="4" w:space="0"/>
              <w:bottom w:val="single" w:color="auto" w:sz="4" w:space="0"/>
              <w:right w:val="single" w:color="auto" w:sz="4" w:space="0"/>
            </w:tcBorders>
            <w:noWrap w:val="0"/>
            <w:vAlign w:val="center"/>
          </w:tcPr>
          <w:p w14:paraId="38FDFBFA">
            <w:pPr>
              <w:jc w:val="center"/>
              <w:rPr>
                <w:szCs w:val="21"/>
              </w:rPr>
            </w:pPr>
            <w:r>
              <w:rPr>
                <w:szCs w:val="21"/>
              </w:rPr>
              <w:t>声环境</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3B35AC8">
            <w:pPr>
              <w:jc w:val="center"/>
              <w:rPr>
                <w:szCs w:val="21"/>
              </w:rPr>
            </w:pPr>
            <w:r>
              <w:rPr>
                <w:szCs w:val="21"/>
              </w:rPr>
              <w:t>现状评价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27F50CB9">
            <w:pPr>
              <w:jc w:val="center"/>
              <w:rPr>
                <w:szCs w:val="21"/>
              </w:rPr>
            </w:pPr>
            <w:r>
              <w:rPr>
                <w:szCs w:val="21"/>
              </w:rPr>
              <w:t>Leq(A)</w:t>
            </w:r>
          </w:p>
        </w:tc>
      </w:tr>
      <w:tr w14:paraId="6F82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3" w:type="dxa"/>
            <w:vMerge w:val="continue"/>
            <w:tcBorders>
              <w:top w:val="single" w:color="auto" w:sz="4" w:space="0"/>
              <w:left w:val="single" w:color="auto" w:sz="4" w:space="0"/>
              <w:bottom w:val="single" w:color="auto" w:sz="4" w:space="0"/>
              <w:right w:val="single" w:color="auto" w:sz="4" w:space="0"/>
            </w:tcBorders>
            <w:noWrap w:val="0"/>
            <w:vAlign w:val="center"/>
          </w:tcPr>
          <w:p w14:paraId="346EE55C">
            <w:pPr>
              <w:widowControl/>
              <w:jc w:val="left"/>
              <w:rPr>
                <w:szCs w:val="21"/>
              </w:rPr>
            </w:pPr>
          </w:p>
        </w:tc>
        <w:tc>
          <w:tcPr>
            <w:tcW w:w="1593" w:type="dxa"/>
            <w:tcBorders>
              <w:top w:val="single" w:color="auto" w:sz="4" w:space="0"/>
              <w:left w:val="single" w:color="auto" w:sz="4" w:space="0"/>
              <w:bottom w:val="single" w:color="auto" w:sz="4" w:space="0"/>
              <w:right w:val="single" w:color="auto" w:sz="4" w:space="0"/>
            </w:tcBorders>
            <w:noWrap w:val="0"/>
            <w:vAlign w:val="center"/>
          </w:tcPr>
          <w:p w14:paraId="04E92752">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2733C0C6">
            <w:pPr>
              <w:jc w:val="center"/>
              <w:rPr>
                <w:szCs w:val="21"/>
              </w:rPr>
            </w:pPr>
            <w:r>
              <w:rPr>
                <w:szCs w:val="21"/>
              </w:rPr>
              <w:t>Leq(A)</w:t>
            </w:r>
          </w:p>
        </w:tc>
      </w:tr>
      <w:tr w14:paraId="662C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3" w:type="dxa"/>
            <w:vMerge w:val="restart"/>
            <w:tcBorders>
              <w:top w:val="single" w:color="auto" w:sz="4" w:space="0"/>
              <w:left w:val="single" w:color="auto" w:sz="4" w:space="0"/>
              <w:right w:val="single" w:color="auto" w:sz="4" w:space="0"/>
            </w:tcBorders>
            <w:noWrap w:val="0"/>
            <w:vAlign w:val="center"/>
          </w:tcPr>
          <w:p w14:paraId="6C491CC8">
            <w:pPr>
              <w:widowControl/>
              <w:jc w:val="center"/>
              <w:rPr>
                <w:szCs w:val="21"/>
              </w:rPr>
            </w:pPr>
            <w:r>
              <w:rPr>
                <w:szCs w:val="21"/>
              </w:rPr>
              <w:t>土壤环境</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0A95B1ED">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599D17BA">
            <w:pPr>
              <w:jc w:val="center"/>
              <w:rPr>
                <w:szCs w:val="21"/>
              </w:rPr>
            </w:pPr>
            <w:r>
              <w:rPr>
                <w:szCs w:val="21"/>
              </w:rPr>
              <w:t>CODcr</w:t>
            </w:r>
            <w:r>
              <w:rPr>
                <w:b/>
                <w:szCs w:val="21"/>
              </w:rPr>
              <w:t>、</w:t>
            </w:r>
            <w:r>
              <w:rPr>
                <w:szCs w:val="21"/>
              </w:rPr>
              <w:t>NH</w:t>
            </w:r>
            <w:r>
              <w:rPr>
                <w:szCs w:val="21"/>
                <w:vertAlign w:val="subscript"/>
              </w:rPr>
              <w:t>3</w:t>
            </w:r>
            <w:r>
              <w:rPr>
                <w:szCs w:val="21"/>
              </w:rPr>
              <w:t>-N、盐分</w:t>
            </w:r>
          </w:p>
        </w:tc>
      </w:tr>
      <w:tr w14:paraId="4866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jc w:val="center"/>
        </w:trPr>
        <w:tc>
          <w:tcPr>
            <w:tcW w:w="1713" w:type="dxa"/>
            <w:vMerge w:val="continue"/>
            <w:tcBorders>
              <w:left w:val="single" w:color="auto" w:sz="4" w:space="0"/>
              <w:bottom w:val="single" w:color="auto" w:sz="4" w:space="0"/>
              <w:right w:val="single" w:color="auto" w:sz="4" w:space="0"/>
            </w:tcBorders>
            <w:noWrap w:val="0"/>
            <w:vAlign w:val="center"/>
          </w:tcPr>
          <w:p w14:paraId="252E0F97">
            <w:pPr>
              <w:widowControl/>
              <w:jc w:val="center"/>
              <w:rPr>
                <w:szCs w:val="21"/>
              </w:rPr>
            </w:pPr>
          </w:p>
        </w:tc>
        <w:tc>
          <w:tcPr>
            <w:tcW w:w="1593" w:type="dxa"/>
            <w:tcBorders>
              <w:top w:val="single" w:color="auto" w:sz="4" w:space="0"/>
              <w:left w:val="single" w:color="auto" w:sz="4" w:space="0"/>
              <w:bottom w:val="single" w:color="auto" w:sz="4" w:space="0"/>
              <w:right w:val="single" w:color="auto" w:sz="4" w:space="0"/>
            </w:tcBorders>
            <w:noWrap w:val="0"/>
            <w:vAlign w:val="center"/>
          </w:tcPr>
          <w:p w14:paraId="1A527B4F">
            <w:pPr>
              <w:jc w:val="center"/>
              <w:rPr>
                <w:szCs w:val="21"/>
              </w:rPr>
            </w:pPr>
            <w:r>
              <w:rPr>
                <w:szCs w:val="21"/>
              </w:rPr>
              <w:t>现状评价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4B402A9F">
            <w:pPr>
              <w:autoSpaceDE w:val="0"/>
              <w:autoSpaceDN w:val="0"/>
              <w:adjustRightInd w:val="0"/>
              <w:jc w:val="left"/>
              <w:rPr>
                <w:kern w:val="0"/>
                <w:szCs w:val="21"/>
              </w:rPr>
            </w:pPr>
            <w:r>
              <w:rPr>
                <w:szCs w:val="21"/>
              </w:rPr>
              <w:t>pH值、镉、汞、砷、铅、铬、铜、镍、锌、含盐量</w:t>
            </w:r>
          </w:p>
        </w:tc>
      </w:tr>
      <w:tr w14:paraId="5719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1713" w:type="dxa"/>
            <w:tcBorders>
              <w:top w:val="single" w:color="auto" w:sz="4" w:space="0"/>
              <w:left w:val="single" w:color="auto" w:sz="4" w:space="0"/>
              <w:bottom w:val="single" w:color="auto" w:sz="4" w:space="0"/>
              <w:right w:val="single" w:color="auto" w:sz="4" w:space="0"/>
            </w:tcBorders>
            <w:noWrap w:val="0"/>
            <w:vAlign w:val="center"/>
          </w:tcPr>
          <w:p w14:paraId="65C0BE98">
            <w:pPr>
              <w:jc w:val="center"/>
              <w:rPr>
                <w:szCs w:val="21"/>
              </w:rPr>
            </w:pPr>
            <w:r>
              <w:rPr>
                <w:szCs w:val="21"/>
              </w:rPr>
              <w:t>固体废物</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5C5BF466">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092CE7AC">
            <w:pPr>
              <w:jc w:val="center"/>
              <w:rPr>
                <w:szCs w:val="21"/>
              </w:rPr>
            </w:pPr>
            <w:r>
              <w:rPr>
                <w:kern w:val="0"/>
                <w:szCs w:val="21"/>
              </w:rPr>
              <w:t>猪粪、沼渣、病死猪、废包装材料、废脱硫剂、生活垃圾、医疗废物</w:t>
            </w:r>
          </w:p>
        </w:tc>
      </w:tr>
      <w:tr w14:paraId="2355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713" w:type="dxa"/>
            <w:vMerge w:val="restart"/>
            <w:tcBorders>
              <w:top w:val="single" w:color="auto" w:sz="4" w:space="0"/>
              <w:left w:val="single" w:color="auto" w:sz="4" w:space="0"/>
              <w:bottom w:val="single" w:color="auto" w:sz="4" w:space="0"/>
              <w:right w:val="single" w:color="auto" w:sz="4" w:space="0"/>
            </w:tcBorders>
            <w:noWrap w:val="0"/>
            <w:vAlign w:val="center"/>
          </w:tcPr>
          <w:p w14:paraId="0B96CAA8">
            <w:pPr>
              <w:jc w:val="center"/>
              <w:rPr>
                <w:szCs w:val="21"/>
              </w:rPr>
            </w:pPr>
            <w:r>
              <w:rPr>
                <w:szCs w:val="21"/>
              </w:rPr>
              <w:t>生态环境</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B312218">
            <w:pPr>
              <w:jc w:val="center"/>
              <w:rPr>
                <w:szCs w:val="21"/>
              </w:rPr>
            </w:pPr>
            <w:r>
              <w:rPr>
                <w:szCs w:val="21"/>
              </w:rPr>
              <w:t>现状评价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1A8DF20D">
            <w:pPr>
              <w:jc w:val="center"/>
              <w:rPr>
                <w:szCs w:val="21"/>
              </w:rPr>
            </w:pPr>
            <w:r>
              <w:rPr>
                <w:szCs w:val="21"/>
              </w:rPr>
              <w:t>生态环境现状、水土流失</w:t>
            </w:r>
          </w:p>
        </w:tc>
      </w:tr>
      <w:tr w14:paraId="044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exact"/>
          <w:jc w:val="center"/>
        </w:trPr>
        <w:tc>
          <w:tcPr>
            <w:tcW w:w="1713" w:type="dxa"/>
            <w:vMerge w:val="continue"/>
            <w:tcBorders>
              <w:top w:val="single" w:color="auto" w:sz="4" w:space="0"/>
              <w:left w:val="single" w:color="auto" w:sz="4" w:space="0"/>
              <w:bottom w:val="single" w:color="auto" w:sz="4" w:space="0"/>
              <w:right w:val="single" w:color="auto" w:sz="4" w:space="0"/>
            </w:tcBorders>
            <w:noWrap w:val="0"/>
            <w:vAlign w:val="center"/>
          </w:tcPr>
          <w:p w14:paraId="1C7C857C">
            <w:pPr>
              <w:widowControl/>
              <w:jc w:val="left"/>
              <w:rPr>
                <w:szCs w:val="21"/>
              </w:rPr>
            </w:pPr>
          </w:p>
        </w:tc>
        <w:tc>
          <w:tcPr>
            <w:tcW w:w="1593" w:type="dxa"/>
            <w:tcBorders>
              <w:top w:val="single" w:color="auto" w:sz="4" w:space="0"/>
              <w:left w:val="single" w:color="auto" w:sz="4" w:space="0"/>
              <w:bottom w:val="single" w:color="auto" w:sz="4" w:space="0"/>
              <w:right w:val="single" w:color="auto" w:sz="4" w:space="0"/>
            </w:tcBorders>
            <w:noWrap w:val="0"/>
            <w:vAlign w:val="center"/>
          </w:tcPr>
          <w:p w14:paraId="0A65CD21">
            <w:pPr>
              <w:jc w:val="center"/>
              <w:rPr>
                <w:szCs w:val="21"/>
              </w:rPr>
            </w:pPr>
            <w:r>
              <w:rPr>
                <w:szCs w:val="21"/>
              </w:rPr>
              <w:t>影响评价</w:t>
            </w:r>
          </w:p>
        </w:tc>
        <w:tc>
          <w:tcPr>
            <w:tcW w:w="5096" w:type="dxa"/>
            <w:tcBorders>
              <w:top w:val="single" w:color="auto" w:sz="4" w:space="0"/>
              <w:left w:val="single" w:color="auto" w:sz="4" w:space="0"/>
              <w:bottom w:val="single" w:color="auto" w:sz="4" w:space="0"/>
              <w:right w:val="single" w:color="auto" w:sz="4" w:space="0"/>
            </w:tcBorders>
            <w:noWrap w:val="0"/>
            <w:vAlign w:val="center"/>
          </w:tcPr>
          <w:p w14:paraId="76E19362">
            <w:pPr>
              <w:jc w:val="center"/>
              <w:rPr>
                <w:szCs w:val="21"/>
              </w:rPr>
            </w:pPr>
            <w:r>
              <w:rPr>
                <w:szCs w:val="21"/>
              </w:rPr>
              <w:t>绿化、景观</w:t>
            </w:r>
          </w:p>
        </w:tc>
      </w:tr>
    </w:tbl>
    <w:p w14:paraId="41CA2A48">
      <w:pPr>
        <w:autoSpaceDE w:val="0"/>
        <w:autoSpaceDN w:val="0"/>
        <w:spacing w:line="360" w:lineRule="auto"/>
        <w:ind w:right="136"/>
        <w:jc w:val="center"/>
        <w:rPr>
          <w:b/>
          <w:bCs/>
          <w:kern w:val="0"/>
          <w:szCs w:val="21"/>
        </w:rPr>
      </w:pPr>
    </w:p>
    <w:p w14:paraId="2080E81F">
      <w:pPr>
        <w:pStyle w:val="7"/>
        <w:spacing w:before="0" w:after="0" w:line="360" w:lineRule="auto"/>
        <w:rPr>
          <w:rFonts w:ascii="Times New Roman" w:hAnsi="Times New Roman"/>
          <w:sz w:val="28"/>
          <w:szCs w:val="28"/>
        </w:rPr>
      </w:pPr>
      <w:r>
        <w:rPr>
          <w:rFonts w:ascii="Times New Roman" w:hAnsi="Times New Roman"/>
          <w:sz w:val="28"/>
          <w:szCs w:val="28"/>
        </w:rPr>
        <w:t>2.3.2评价标准</w:t>
      </w:r>
    </w:p>
    <w:p w14:paraId="6269D213">
      <w:pPr>
        <w:spacing w:line="360" w:lineRule="auto"/>
        <w:ind w:firstLine="480" w:firstLineChars="200"/>
        <w:rPr>
          <w:sz w:val="24"/>
        </w:rPr>
      </w:pPr>
      <w:r>
        <w:rPr>
          <w:sz w:val="24"/>
        </w:rPr>
        <w:t>根据工程所处位置及工程区的环境特征，拟定本工程环境影响评价工作执行以下标准。</w:t>
      </w:r>
    </w:p>
    <w:p w14:paraId="0DA42D9C">
      <w:pPr>
        <w:pStyle w:val="10"/>
        <w:spacing w:line="360" w:lineRule="auto"/>
        <w:ind w:firstLine="482"/>
        <w:rPr>
          <w:b/>
          <w:snapToGrid w:val="0"/>
          <w:sz w:val="24"/>
        </w:rPr>
      </w:pPr>
      <w:r>
        <w:rPr>
          <w:b/>
          <w:snapToGrid w:val="0"/>
          <w:sz w:val="24"/>
        </w:rPr>
        <w:t>一、环境质量标准</w:t>
      </w:r>
    </w:p>
    <w:p w14:paraId="162005C8">
      <w:pPr>
        <w:pStyle w:val="10"/>
        <w:spacing w:line="360" w:lineRule="auto"/>
        <w:ind w:firstLine="482"/>
        <w:rPr>
          <w:b/>
          <w:snapToGrid w:val="0"/>
          <w:sz w:val="24"/>
        </w:rPr>
      </w:pPr>
      <w:r>
        <w:rPr>
          <w:b/>
          <w:snapToGrid w:val="0"/>
          <w:sz w:val="24"/>
        </w:rPr>
        <w:t>1、环境空气质量标准</w:t>
      </w:r>
    </w:p>
    <w:p w14:paraId="2DD99FB4">
      <w:pPr>
        <w:spacing w:line="360" w:lineRule="auto"/>
        <w:ind w:firstLine="480" w:firstLineChars="200"/>
        <w:rPr>
          <w:sz w:val="24"/>
        </w:rPr>
      </w:pPr>
      <w:r>
        <w:rPr>
          <w:sz w:val="24"/>
        </w:rPr>
        <w:t>项目位于昆明市石林彝族自治县圭山镇法块村、普拉河上寨村，属于二类环境空气质量功能区，颗粒物、PM</w:t>
      </w:r>
      <w:r>
        <w:rPr>
          <w:sz w:val="24"/>
          <w:vertAlign w:val="subscript"/>
        </w:rPr>
        <w:t>10</w:t>
      </w:r>
      <w:r>
        <w:rPr>
          <w:sz w:val="24"/>
        </w:rPr>
        <w:t>、NO</w:t>
      </w:r>
      <w:r>
        <w:rPr>
          <w:sz w:val="24"/>
          <w:vertAlign w:val="subscript"/>
        </w:rPr>
        <w:t>2</w:t>
      </w:r>
      <w:r>
        <w:rPr>
          <w:sz w:val="24"/>
        </w:rPr>
        <w:t>、SO</w:t>
      </w:r>
      <w:r>
        <w:rPr>
          <w:sz w:val="24"/>
          <w:vertAlign w:val="subscript"/>
        </w:rPr>
        <w:t>2</w:t>
      </w:r>
      <w:r>
        <w:rPr>
          <w:sz w:val="24"/>
        </w:rPr>
        <w:t>等执行《环境空气质量标准》（GB3095-2012）二级标准，硫化氢、氨气参照执行《环境影响评价技术导则 大气环境》（HJ2.2-2018）中附录D中其他污染物空气质量浓度参考限值，具体见下表。</w:t>
      </w:r>
    </w:p>
    <w:p w14:paraId="3D3E6995">
      <w:pPr>
        <w:pStyle w:val="47"/>
        <w:rPr>
          <w:rFonts w:ascii="Times New Roman" w:hAnsi="Times New Roman" w:cs="Times New Roman"/>
          <w:sz w:val="24"/>
        </w:rPr>
      </w:pPr>
    </w:p>
    <w:p w14:paraId="3C7437E3">
      <w:pPr>
        <w:pStyle w:val="2"/>
        <w:rPr>
          <w:rFonts w:ascii="Times New Roman" w:hAnsi="Times New Roman"/>
          <w:color w:val="auto"/>
        </w:rPr>
      </w:pPr>
    </w:p>
    <w:p w14:paraId="75727533">
      <w:pPr>
        <w:spacing w:line="360" w:lineRule="auto"/>
        <w:ind w:firstLine="422"/>
        <w:jc w:val="center"/>
        <w:rPr>
          <w:b/>
          <w:szCs w:val="21"/>
        </w:rPr>
      </w:pPr>
      <w:r>
        <w:rPr>
          <w:b/>
          <w:szCs w:val="21"/>
        </w:rPr>
        <w:t>表2.3-3  环境空气质量标准一览表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368"/>
        <w:gridCol w:w="1197"/>
        <w:gridCol w:w="1228"/>
        <w:gridCol w:w="3052"/>
      </w:tblGrid>
      <w:tr w14:paraId="0DF9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987" w:type="pct"/>
            <w:vMerge w:val="restart"/>
            <w:noWrap w:val="0"/>
            <w:vAlign w:val="center"/>
          </w:tcPr>
          <w:p w14:paraId="7FC10E99">
            <w:pPr>
              <w:jc w:val="center"/>
              <w:rPr>
                <w:szCs w:val="21"/>
              </w:rPr>
            </w:pPr>
            <w:r>
              <w:rPr>
                <w:szCs w:val="21"/>
              </w:rPr>
              <w:t>因子</w:t>
            </w:r>
          </w:p>
        </w:tc>
        <w:tc>
          <w:tcPr>
            <w:tcW w:w="2224" w:type="pct"/>
            <w:gridSpan w:val="3"/>
            <w:noWrap w:val="0"/>
            <w:vAlign w:val="center"/>
          </w:tcPr>
          <w:p w14:paraId="2075DAD5">
            <w:pPr>
              <w:jc w:val="center"/>
              <w:rPr>
                <w:szCs w:val="21"/>
              </w:rPr>
            </w:pPr>
            <w:r>
              <w:rPr>
                <w:szCs w:val="21"/>
              </w:rPr>
              <w:t>浓度限值μg/m</w:t>
            </w:r>
            <w:r>
              <w:rPr>
                <w:szCs w:val="21"/>
                <w:vertAlign w:val="superscript"/>
              </w:rPr>
              <w:t>3</w:t>
            </w:r>
          </w:p>
        </w:tc>
        <w:tc>
          <w:tcPr>
            <w:tcW w:w="1789" w:type="pct"/>
            <w:noWrap w:val="0"/>
            <w:vAlign w:val="center"/>
          </w:tcPr>
          <w:p w14:paraId="0940DBA5">
            <w:pPr>
              <w:jc w:val="center"/>
              <w:rPr>
                <w:szCs w:val="21"/>
              </w:rPr>
            </w:pPr>
            <w:r>
              <w:rPr>
                <w:szCs w:val="21"/>
              </w:rPr>
              <w:t>标准来源</w:t>
            </w:r>
          </w:p>
        </w:tc>
      </w:tr>
      <w:tr w14:paraId="5AC4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987" w:type="pct"/>
            <w:vMerge w:val="continue"/>
            <w:noWrap w:val="0"/>
            <w:vAlign w:val="center"/>
          </w:tcPr>
          <w:p w14:paraId="58B78F5D">
            <w:pPr>
              <w:jc w:val="center"/>
              <w:rPr>
                <w:szCs w:val="21"/>
              </w:rPr>
            </w:pPr>
          </w:p>
        </w:tc>
        <w:tc>
          <w:tcPr>
            <w:tcW w:w="802" w:type="pct"/>
            <w:noWrap w:val="0"/>
            <w:vAlign w:val="center"/>
          </w:tcPr>
          <w:p w14:paraId="2B613B93">
            <w:pPr>
              <w:jc w:val="center"/>
              <w:rPr>
                <w:szCs w:val="21"/>
              </w:rPr>
            </w:pPr>
            <w:r>
              <w:rPr>
                <w:szCs w:val="21"/>
              </w:rPr>
              <w:t>小时平均</w:t>
            </w:r>
          </w:p>
        </w:tc>
        <w:tc>
          <w:tcPr>
            <w:tcW w:w="702" w:type="pct"/>
            <w:noWrap w:val="0"/>
            <w:vAlign w:val="center"/>
          </w:tcPr>
          <w:p w14:paraId="4F40D545">
            <w:pPr>
              <w:jc w:val="center"/>
              <w:rPr>
                <w:szCs w:val="21"/>
              </w:rPr>
            </w:pPr>
            <w:r>
              <w:rPr>
                <w:szCs w:val="21"/>
              </w:rPr>
              <w:t>日平均</w:t>
            </w:r>
          </w:p>
        </w:tc>
        <w:tc>
          <w:tcPr>
            <w:tcW w:w="720" w:type="pct"/>
            <w:noWrap w:val="0"/>
            <w:vAlign w:val="center"/>
          </w:tcPr>
          <w:p w14:paraId="5369965C">
            <w:pPr>
              <w:jc w:val="center"/>
              <w:rPr>
                <w:szCs w:val="21"/>
              </w:rPr>
            </w:pPr>
            <w:r>
              <w:rPr>
                <w:szCs w:val="21"/>
              </w:rPr>
              <w:t>年平均</w:t>
            </w:r>
          </w:p>
        </w:tc>
        <w:tc>
          <w:tcPr>
            <w:tcW w:w="1789" w:type="pct"/>
            <w:vMerge w:val="restart"/>
            <w:noWrap w:val="0"/>
            <w:vAlign w:val="center"/>
          </w:tcPr>
          <w:p w14:paraId="31BEA2BF">
            <w:pPr>
              <w:jc w:val="center"/>
              <w:rPr>
                <w:szCs w:val="21"/>
              </w:rPr>
            </w:pPr>
            <w:r>
              <w:rPr>
                <w:szCs w:val="21"/>
              </w:rPr>
              <w:t>《环境空气质量标准》（GB3095-2012）二级标准</w:t>
            </w:r>
          </w:p>
        </w:tc>
      </w:tr>
      <w:tr w14:paraId="36E3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87" w:type="pct"/>
            <w:noWrap w:val="0"/>
            <w:vAlign w:val="center"/>
          </w:tcPr>
          <w:p w14:paraId="4641D0D7">
            <w:pPr>
              <w:jc w:val="center"/>
              <w:rPr>
                <w:szCs w:val="21"/>
              </w:rPr>
            </w:pPr>
            <w:r>
              <w:rPr>
                <w:szCs w:val="21"/>
              </w:rPr>
              <w:t>SO</w:t>
            </w:r>
            <w:r>
              <w:rPr>
                <w:szCs w:val="21"/>
                <w:vertAlign w:val="subscript"/>
              </w:rPr>
              <w:t>2</w:t>
            </w:r>
          </w:p>
        </w:tc>
        <w:tc>
          <w:tcPr>
            <w:tcW w:w="802" w:type="pct"/>
            <w:noWrap w:val="0"/>
            <w:vAlign w:val="center"/>
          </w:tcPr>
          <w:p w14:paraId="4E427D80">
            <w:pPr>
              <w:jc w:val="center"/>
              <w:rPr>
                <w:szCs w:val="21"/>
              </w:rPr>
            </w:pPr>
            <w:r>
              <w:rPr>
                <w:szCs w:val="21"/>
              </w:rPr>
              <w:t>500</w:t>
            </w:r>
          </w:p>
        </w:tc>
        <w:tc>
          <w:tcPr>
            <w:tcW w:w="702" w:type="pct"/>
            <w:noWrap w:val="0"/>
            <w:vAlign w:val="center"/>
          </w:tcPr>
          <w:p w14:paraId="10909F8A">
            <w:pPr>
              <w:jc w:val="center"/>
              <w:rPr>
                <w:szCs w:val="21"/>
              </w:rPr>
            </w:pPr>
            <w:r>
              <w:rPr>
                <w:szCs w:val="21"/>
              </w:rPr>
              <w:t>150</w:t>
            </w:r>
          </w:p>
        </w:tc>
        <w:tc>
          <w:tcPr>
            <w:tcW w:w="720" w:type="pct"/>
            <w:noWrap w:val="0"/>
            <w:vAlign w:val="center"/>
          </w:tcPr>
          <w:p w14:paraId="435AA4B3">
            <w:pPr>
              <w:jc w:val="center"/>
              <w:rPr>
                <w:szCs w:val="21"/>
              </w:rPr>
            </w:pPr>
            <w:r>
              <w:rPr>
                <w:szCs w:val="21"/>
              </w:rPr>
              <w:t>60</w:t>
            </w:r>
          </w:p>
        </w:tc>
        <w:tc>
          <w:tcPr>
            <w:tcW w:w="1789" w:type="pct"/>
            <w:vMerge w:val="continue"/>
            <w:noWrap w:val="0"/>
            <w:vAlign w:val="center"/>
          </w:tcPr>
          <w:p w14:paraId="68C3D187">
            <w:pPr>
              <w:jc w:val="center"/>
              <w:rPr>
                <w:szCs w:val="21"/>
              </w:rPr>
            </w:pPr>
          </w:p>
        </w:tc>
      </w:tr>
      <w:tr w14:paraId="3F0D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87" w:type="pct"/>
            <w:noWrap w:val="0"/>
            <w:vAlign w:val="center"/>
          </w:tcPr>
          <w:p w14:paraId="3A9DE790">
            <w:pPr>
              <w:jc w:val="center"/>
              <w:rPr>
                <w:szCs w:val="21"/>
              </w:rPr>
            </w:pPr>
            <w:r>
              <w:rPr>
                <w:szCs w:val="21"/>
              </w:rPr>
              <w:t>NO</w:t>
            </w:r>
            <w:r>
              <w:rPr>
                <w:szCs w:val="21"/>
                <w:vertAlign w:val="subscript"/>
              </w:rPr>
              <w:t>2</w:t>
            </w:r>
          </w:p>
        </w:tc>
        <w:tc>
          <w:tcPr>
            <w:tcW w:w="802" w:type="pct"/>
            <w:noWrap w:val="0"/>
            <w:vAlign w:val="center"/>
          </w:tcPr>
          <w:p w14:paraId="57D1299F">
            <w:pPr>
              <w:jc w:val="center"/>
              <w:rPr>
                <w:szCs w:val="21"/>
              </w:rPr>
            </w:pPr>
            <w:r>
              <w:rPr>
                <w:szCs w:val="21"/>
              </w:rPr>
              <w:t>200</w:t>
            </w:r>
          </w:p>
        </w:tc>
        <w:tc>
          <w:tcPr>
            <w:tcW w:w="702" w:type="pct"/>
            <w:noWrap w:val="0"/>
            <w:vAlign w:val="center"/>
          </w:tcPr>
          <w:p w14:paraId="5D3E625A">
            <w:pPr>
              <w:jc w:val="center"/>
              <w:rPr>
                <w:szCs w:val="21"/>
              </w:rPr>
            </w:pPr>
            <w:r>
              <w:rPr>
                <w:szCs w:val="21"/>
              </w:rPr>
              <w:t>80</w:t>
            </w:r>
          </w:p>
        </w:tc>
        <w:tc>
          <w:tcPr>
            <w:tcW w:w="720" w:type="pct"/>
            <w:noWrap w:val="0"/>
            <w:vAlign w:val="center"/>
          </w:tcPr>
          <w:p w14:paraId="47F6EE5D">
            <w:pPr>
              <w:jc w:val="center"/>
              <w:rPr>
                <w:szCs w:val="21"/>
              </w:rPr>
            </w:pPr>
            <w:r>
              <w:rPr>
                <w:szCs w:val="21"/>
              </w:rPr>
              <w:t>40</w:t>
            </w:r>
          </w:p>
        </w:tc>
        <w:tc>
          <w:tcPr>
            <w:tcW w:w="1789" w:type="pct"/>
            <w:vMerge w:val="continue"/>
            <w:noWrap w:val="0"/>
            <w:vAlign w:val="center"/>
          </w:tcPr>
          <w:p w14:paraId="55C47765">
            <w:pPr>
              <w:jc w:val="center"/>
              <w:rPr>
                <w:szCs w:val="21"/>
              </w:rPr>
            </w:pPr>
          </w:p>
        </w:tc>
      </w:tr>
      <w:tr w14:paraId="4AF1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87" w:type="pct"/>
            <w:noWrap w:val="0"/>
            <w:vAlign w:val="center"/>
          </w:tcPr>
          <w:p w14:paraId="685FE7AF">
            <w:pPr>
              <w:jc w:val="center"/>
              <w:rPr>
                <w:szCs w:val="21"/>
              </w:rPr>
            </w:pPr>
            <w:r>
              <w:rPr>
                <w:szCs w:val="21"/>
              </w:rPr>
              <w:t>TSP</w:t>
            </w:r>
          </w:p>
        </w:tc>
        <w:tc>
          <w:tcPr>
            <w:tcW w:w="802" w:type="pct"/>
            <w:noWrap w:val="0"/>
            <w:vAlign w:val="center"/>
          </w:tcPr>
          <w:p w14:paraId="196A7261">
            <w:pPr>
              <w:jc w:val="center"/>
              <w:rPr>
                <w:szCs w:val="21"/>
              </w:rPr>
            </w:pPr>
            <w:r>
              <w:rPr>
                <w:szCs w:val="21"/>
              </w:rPr>
              <w:t>—</w:t>
            </w:r>
          </w:p>
        </w:tc>
        <w:tc>
          <w:tcPr>
            <w:tcW w:w="702" w:type="pct"/>
            <w:noWrap w:val="0"/>
            <w:vAlign w:val="center"/>
          </w:tcPr>
          <w:p w14:paraId="17B96233">
            <w:pPr>
              <w:jc w:val="center"/>
              <w:rPr>
                <w:szCs w:val="21"/>
              </w:rPr>
            </w:pPr>
            <w:r>
              <w:rPr>
                <w:szCs w:val="21"/>
              </w:rPr>
              <w:t>300</w:t>
            </w:r>
          </w:p>
        </w:tc>
        <w:tc>
          <w:tcPr>
            <w:tcW w:w="720" w:type="pct"/>
            <w:noWrap w:val="0"/>
            <w:vAlign w:val="center"/>
          </w:tcPr>
          <w:p w14:paraId="65AA0DB3">
            <w:pPr>
              <w:jc w:val="center"/>
              <w:rPr>
                <w:szCs w:val="21"/>
              </w:rPr>
            </w:pPr>
            <w:r>
              <w:rPr>
                <w:szCs w:val="21"/>
              </w:rPr>
              <w:t>200</w:t>
            </w:r>
          </w:p>
        </w:tc>
        <w:tc>
          <w:tcPr>
            <w:tcW w:w="1789" w:type="pct"/>
            <w:vMerge w:val="continue"/>
            <w:noWrap w:val="0"/>
            <w:vAlign w:val="center"/>
          </w:tcPr>
          <w:p w14:paraId="6F108A60">
            <w:pPr>
              <w:jc w:val="center"/>
              <w:rPr>
                <w:szCs w:val="21"/>
              </w:rPr>
            </w:pPr>
          </w:p>
        </w:tc>
      </w:tr>
      <w:tr w14:paraId="1E47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87" w:type="pct"/>
            <w:noWrap w:val="0"/>
            <w:vAlign w:val="center"/>
          </w:tcPr>
          <w:p w14:paraId="7096A993">
            <w:pPr>
              <w:jc w:val="center"/>
              <w:rPr>
                <w:szCs w:val="21"/>
              </w:rPr>
            </w:pPr>
            <w:r>
              <w:rPr>
                <w:szCs w:val="21"/>
              </w:rPr>
              <w:t>PM</w:t>
            </w:r>
            <w:r>
              <w:rPr>
                <w:szCs w:val="21"/>
                <w:vertAlign w:val="subscript"/>
              </w:rPr>
              <w:t>10</w:t>
            </w:r>
          </w:p>
        </w:tc>
        <w:tc>
          <w:tcPr>
            <w:tcW w:w="802" w:type="pct"/>
            <w:noWrap w:val="0"/>
            <w:vAlign w:val="center"/>
          </w:tcPr>
          <w:p w14:paraId="32A31E62">
            <w:pPr>
              <w:jc w:val="center"/>
              <w:rPr>
                <w:szCs w:val="21"/>
              </w:rPr>
            </w:pPr>
            <w:r>
              <w:rPr>
                <w:szCs w:val="21"/>
              </w:rPr>
              <w:t>—</w:t>
            </w:r>
          </w:p>
        </w:tc>
        <w:tc>
          <w:tcPr>
            <w:tcW w:w="702" w:type="pct"/>
            <w:noWrap w:val="0"/>
            <w:vAlign w:val="center"/>
          </w:tcPr>
          <w:p w14:paraId="69C64AD3">
            <w:pPr>
              <w:jc w:val="center"/>
              <w:rPr>
                <w:szCs w:val="21"/>
              </w:rPr>
            </w:pPr>
            <w:r>
              <w:rPr>
                <w:szCs w:val="21"/>
              </w:rPr>
              <w:t>150</w:t>
            </w:r>
          </w:p>
        </w:tc>
        <w:tc>
          <w:tcPr>
            <w:tcW w:w="720" w:type="pct"/>
            <w:noWrap w:val="0"/>
            <w:vAlign w:val="center"/>
          </w:tcPr>
          <w:p w14:paraId="6CAF25C4">
            <w:pPr>
              <w:jc w:val="center"/>
              <w:rPr>
                <w:szCs w:val="21"/>
              </w:rPr>
            </w:pPr>
            <w:r>
              <w:rPr>
                <w:szCs w:val="21"/>
              </w:rPr>
              <w:t>70</w:t>
            </w:r>
          </w:p>
        </w:tc>
        <w:tc>
          <w:tcPr>
            <w:tcW w:w="1789" w:type="pct"/>
            <w:vMerge w:val="continue"/>
            <w:noWrap w:val="0"/>
            <w:vAlign w:val="center"/>
          </w:tcPr>
          <w:p w14:paraId="46809FC9">
            <w:pPr>
              <w:jc w:val="center"/>
              <w:rPr>
                <w:szCs w:val="21"/>
              </w:rPr>
            </w:pPr>
          </w:p>
        </w:tc>
      </w:tr>
      <w:tr w14:paraId="315C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87" w:type="pct"/>
            <w:noWrap w:val="0"/>
            <w:vAlign w:val="center"/>
          </w:tcPr>
          <w:p w14:paraId="21B5E756">
            <w:pPr>
              <w:jc w:val="center"/>
              <w:rPr>
                <w:szCs w:val="21"/>
              </w:rPr>
            </w:pPr>
            <w:r>
              <w:rPr>
                <w:szCs w:val="21"/>
              </w:rPr>
              <w:t>PM</w:t>
            </w:r>
            <w:r>
              <w:rPr>
                <w:szCs w:val="21"/>
                <w:vertAlign w:val="subscript"/>
              </w:rPr>
              <w:t>2.5</w:t>
            </w:r>
          </w:p>
        </w:tc>
        <w:tc>
          <w:tcPr>
            <w:tcW w:w="802" w:type="pct"/>
            <w:noWrap w:val="0"/>
            <w:vAlign w:val="center"/>
          </w:tcPr>
          <w:p w14:paraId="462F1899">
            <w:pPr>
              <w:jc w:val="center"/>
              <w:rPr>
                <w:szCs w:val="21"/>
              </w:rPr>
            </w:pPr>
            <w:r>
              <w:rPr>
                <w:szCs w:val="21"/>
              </w:rPr>
              <w:t>—</w:t>
            </w:r>
          </w:p>
        </w:tc>
        <w:tc>
          <w:tcPr>
            <w:tcW w:w="702" w:type="pct"/>
            <w:noWrap w:val="0"/>
            <w:vAlign w:val="center"/>
          </w:tcPr>
          <w:p w14:paraId="001DC503">
            <w:pPr>
              <w:jc w:val="center"/>
              <w:rPr>
                <w:szCs w:val="21"/>
              </w:rPr>
            </w:pPr>
            <w:r>
              <w:rPr>
                <w:szCs w:val="21"/>
              </w:rPr>
              <w:t>75</w:t>
            </w:r>
          </w:p>
        </w:tc>
        <w:tc>
          <w:tcPr>
            <w:tcW w:w="720" w:type="pct"/>
            <w:noWrap w:val="0"/>
            <w:vAlign w:val="center"/>
          </w:tcPr>
          <w:p w14:paraId="40EB2745">
            <w:pPr>
              <w:jc w:val="center"/>
              <w:rPr>
                <w:szCs w:val="21"/>
              </w:rPr>
            </w:pPr>
            <w:r>
              <w:rPr>
                <w:szCs w:val="21"/>
              </w:rPr>
              <w:t>35</w:t>
            </w:r>
          </w:p>
        </w:tc>
        <w:tc>
          <w:tcPr>
            <w:tcW w:w="1789" w:type="pct"/>
            <w:vMerge w:val="continue"/>
            <w:noWrap w:val="0"/>
            <w:vAlign w:val="center"/>
          </w:tcPr>
          <w:p w14:paraId="78E3EECE">
            <w:pPr>
              <w:jc w:val="center"/>
              <w:rPr>
                <w:szCs w:val="21"/>
              </w:rPr>
            </w:pPr>
          </w:p>
        </w:tc>
      </w:tr>
      <w:tr w14:paraId="393E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87" w:type="pct"/>
            <w:noWrap w:val="0"/>
            <w:vAlign w:val="center"/>
          </w:tcPr>
          <w:p w14:paraId="3C9379F5">
            <w:pPr>
              <w:jc w:val="center"/>
              <w:rPr>
                <w:szCs w:val="21"/>
              </w:rPr>
            </w:pPr>
            <w:r>
              <w:rPr>
                <w:szCs w:val="21"/>
              </w:rPr>
              <w:t>CO</w:t>
            </w:r>
          </w:p>
        </w:tc>
        <w:tc>
          <w:tcPr>
            <w:tcW w:w="802" w:type="pct"/>
            <w:noWrap w:val="0"/>
            <w:vAlign w:val="center"/>
          </w:tcPr>
          <w:p w14:paraId="04A6F07B">
            <w:pPr>
              <w:jc w:val="center"/>
              <w:rPr>
                <w:szCs w:val="21"/>
              </w:rPr>
            </w:pPr>
            <w:r>
              <w:rPr>
                <w:szCs w:val="21"/>
              </w:rPr>
              <w:t>10mg/m</w:t>
            </w:r>
            <w:r>
              <w:rPr>
                <w:szCs w:val="21"/>
                <w:vertAlign w:val="superscript"/>
              </w:rPr>
              <w:t>3</w:t>
            </w:r>
          </w:p>
        </w:tc>
        <w:tc>
          <w:tcPr>
            <w:tcW w:w="702" w:type="pct"/>
            <w:noWrap w:val="0"/>
            <w:vAlign w:val="center"/>
          </w:tcPr>
          <w:p w14:paraId="0F7408AE">
            <w:pPr>
              <w:jc w:val="center"/>
              <w:rPr>
                <w:szCs w:val="21"/>
              </w:rPr>
            </w:pPr>
            <w:r>
              <w:rPr>
                <w:szCs w:val="21"/>
              </w:rPr>
              <w:t>4mg/m</w:t>
            </w:r>
            <w:r>
              <w:rPr>
                <w:szCs w:val="21"/>
                <w:vertAlign w:val="superscript"/>
              </w:rPr>
              <w:t>3</w:t>
            </w:r>
          </w:p>
        </w:tc>
        <w:tc>
          <w:tcPr>
            <w:tcW w:w="720" w:type="pct"/>
            <w:noWrap w:val="0"/>
            <w:vAlign w:val="center"/>
          </w:tcPr>
          <w:p w14:paraId="227CBD06">
            <w:pPr>
              <w:jc w:val="center"/>
              <w:rPr>
                <w:szCs w:val="21"/>
              </w:rPr>
            </w:pPr>
            <w:r>
              <w:rPr>
                <w:szCs w:val="21"/>
              </w:rPr>
              <w:t>—</w:t>
            </w:r>
          </w:p>
        </w:tc>
        <w:tc>
          <w:tcPr>
            <w:tcW w:w="1789" w:type="pct"/>
            <w:vMerge w:val="continue"/>
            <w:noWrap w:val="0"/>
            <w:vAlign w:val="center"/>
          </w:tcPr>
          <w:p w14:paraId="564CF0B4">
            <w:pPr>
              <w:jc w:val="center"/>
              <w:rPr>
                <w:szCs w:val="21"/>
              </w:rPr>
            </w:pPr>
          </w:p>
        </w:tc>
      </w:tr>
      <w:tr w14:paraId="44B5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87" w:type="pct"/>
            <w:noWrap w:val="0"/>
            <w:vAlign w:val="center"/>
          </w:tcPr>
          <w:p w14:paraId="71ECB973">
            <w:pPr>
              <w:jc w:val="center"/>
              <w:rPr>
                <w:szCs w:val="21"/>
              </w:rPr>
            </w:pPr>
            <w:r>
              <w:rPr>
                <w:szCs w:val="21"/>
              </w:rPr>
              <w:t>臭氧</w:t>
            </w:r>
          </w:p>
        </w:tc>
        <w:tc>
          <w:tcPr>
            <w:tcW w:w="802" w:type="pct"/>
            <w:noWrap w:val="0"/>
            <w:vAlign w:val="center"/>
          </w:tcPr>
          <w:p w14:paraId="2CCE3123">
            <w:pPr>
              <w:jc w:val="center"/>
              <w:rPr>
                <w:szCs w:val="21"/>
              </w:rPr>
            </w:pPr>
            <w:r>
              <w:rPr>
                <w:szCs w:val="21"/>
              </w:rPr>
              <w:t>200</w:t>
            </w:r>
          </w:p>
        </w:tc>
        <w:tc>
          <w:tcPr>
            <w:tcW w:w="1422" w:type="pct"/>
            <w:gridSpan w:val="2"/>
            <w:noWrap w:val="0"/>
            <w:vAlign w:val="center"/>
          </w:tcPr>
          <w:p w14:paraId="1AA8AEE2">
            <w:pPr>
              <w:jc w:val="center"/>
              <w:rPr>
                <w:szCs w:val="21"/>
              </w:rPr>
            </w:pPr>
            <w:r>
              <w:rPr>
                <w:szCs w:val="21"/>
              </w:rPr>
              <w:t>160（日均最大8h）</w:t>
            </w:r>
          </w:p>
        </w:tc>
        <w:tc>
          <w:tcPr>
            <w:tcW w:w="1789" w:type="pct"/>
            <w:vMerge w:val="continue"/>
            <w:noWrap w:val="0"/>
            <w:vAlign w:val="center"/>
          </w:tcPr>
          <w:p w14:paraId="6649977F">
            <w:pPr>
              <w:jc w:val="center"/>
              <w:rPr>
                <w:szCs w:val="21"/>
              </w:rPr>
            </w:pPr>
          </w:p>
        </w:tc>
      </w:tr>
      <w:tr w14:paraId="1143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87" w:type="pct"/>
            <w:noWrap w:val="0"/>
            <w:vAlign w:val="center"/>
          </w:tcPr>
          <w:p w14:paraId="2B989F4C">
            <w:pPr>
              <w:jc w:val="center"/>
              <w:rPr>
                <w:w w:val="90"/>
                <w:szCs w:val="21"/>
              </w:rPr>
            </w:pPr>
            <w:r>
              <w:rPr>
                <w:szCs w:val="21"/>
              </w:rPr>
              <w:t>硫化氢</w:t>
            </w:r>
          </w:p>
        </w:tc>
        <w:tc>
          <w:tcPr>
            <w:tcW w:w="802" w:type="pct"/>
            <w:noWrap w:val="0"/>
            <w:vAlign w:val="center"/>
          </w:tcPr>
          <w:p w14:paraId="1D4CA6DE">
            <w:pPr>
              <w:autoSpaceDE w:val="0"/>
              <w:autoSpaceDN w:val="0"/>
              <w:jc w:val="center"/>
              <w:rPr>
                <w:szCs w:val="21"/>
              </w:rPr>
            </w:pPr>
            <w:r>
              <w:rPr>
                <w:szCs w:val="21"/>
              </w:rPr>
              <w:t>居住区</w:t>
            </w:r>
          </w:p>
        </w:tc>
        <w:tc>
          <w:tcPr>
            <w:tcW w:w="1422" w:type="pct"/>
            <w:gridSpan w:val="2"/>
            <w:noWrap w:val="0"/>
            <w:vAlign w:val="center"/>
          </w:tcPr>
          <w:p w14:paraId="224442D0">
            <w:pPr>
              <w:jc w:val="center"/>
              <w:rPr>
                <w:w w:val="97"/>
                <w:szCs w:val="21"/>
              </w:rPr>
            </w:pPr>
            <w:r>
              <w:rPr>
                <w:szCs w:val="21"/>
              </w:rPr>
              <w:t>10</w:t>
            </w:r>
          </w:p>
        </w:tc>
        <w:tc>
          <w:tcPr>
            <w:tcW w:w="1789" w:type="pct"/>
            <w:vMerge w:val="restart"/>
            <w:noWrap w:val="0"/>
            <w:vAlign w:val="center"/>
          </w:tcPr>
          <w:p w14:paraId="5B9C3365">
            <w:pPr>
              <w:jc w:val="center"/>
              <w:rPr>
                <w:szCs w:val="21"/>
              </w:rPr>
            </w:pPr>
            <w:r>
              <w:rPr>
                <w:szCs w:val="21"/>
              </w:rPr>
              <w:t>《环境影响评价技术导则 大气环境》（HJ2.2-2018）中附录D</w:t>
            </w:r>
          </w:p>
        </w:tc>
      </w:tr>
      <w:tr w14:paraId="3EFA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87" w:type="pct"/>
            <w:noWrap w:val="0"/>
            <w:vAlign w:val="center"/>
          </w:tcPr>
          <w:p w14:paraId="0262F0AF">
            <w:pPr>
              <w:jc w:val="center"/>
              <w:rPr>
                <w:w w:val="90"/>
                <w:szCs w:val="21"/>
              </w:rPr>
            </w:pPr>
            <w:r>
              <w:rPr>
                <w:szCs w:val="21"/>
              </w:rPr>
              <w:t>氨气</w:t>
            </w:r>
          </w:p>
        </w:tc>
        <w:tc>
          <w:tcPr>
            <w:tcW w:w="802" w:type="pct"/>
            <w:noWrap w:val="0"/>
            <w:vAlign w:val="center"/>
          </w:tcPr>
          <w:p w14:paraId="145DEBF1">
            <w:pPr>
              <w:autoSpaceDE w:val="0"/>
              <w:autoSpaceDN w:val="0"/>
              <w:jc w:val="center"/>
              <w:rPr>
                <w:szCs w:val="21"/>
              </w:rPr>
            </w:pPr>
            <w:r>
              <w:rPr>
                <w:szCs w:val="21"/>
              </w:rPr>
              <w:t>居住区</w:t>
            </w:r>
          </w:p>
        </w:tc>
        <w:tc>
          <w:tcPr>
            <w:tcW w:w="1422" w:type="pct"/>
            <w:gridSpan w:val="2"/>
            <w:noWrap w:val="0"/>
            <w:vAlign w:val="center"/>
          </w:tcPr>
          <w:p w14:paraId="56486E3F">
            <w:pPr>
              <w:jc w:val="center"/>
              <w:rPr>
                <w:w w:val="97"/>
                <w:szCs w:val="21"/>
              </w:rPr>
            </w:pPr>
            <w:r>
              <w:rPr>
                <w:szCs w:val="21"/>
              </w:rPr>
              <w:t>200</w:t>
            </w:r>
          </w:p>
        </w:tc>
        <w:tc>
          <w:tcPr>
            <w:tcW w:w="1789" w:type="pct"/>
            <w:vMerge w:val="continue"/>
            <w:noWrap w:val="0"/>
            <w:vAlign w:val="center"/>
          </w:tcPr>
          <w:p w14:paraId="5DE9742B">
            <w:pPr>
              <w:jc w:val="center"/>
              <w:rPr>
                <w:szCs w:val="21"/>
              </w:rPr>
            </w:pPr>
          </w:p>
        </w:tc>
      </w:tr>
    </w:tbl>
    <w:p w14:paraId="539B5099">
      <w:pPr>
        <w:pStyle w:val="29"/>
        <w:spacing w:line="360" w:lineRule="auto"/>
        <w:ind w:firstLine="482" w:firstLineChars="200"/>
        <w:jc w:val="both"/>
        <w:rPr>
          <w:b/>
          <w:sz w:val="24"/>
        </w:rPr>
      </w:pPr>
      <w:r>
        <w:rPr>
          <w:b/>
          <w:sz w:val="24"/>
        </w:rPr>
        <w:t>2、地表水环境质量标准</w:t>
      </w:r>
    </w:p>
    <w:p w14:paraId="5A22917C">
      <w:pPr>
        <w:pStyle w:val="10"/>
        <w:spacing w:line="360" w:lineRule="auto"/>
        <w:ind w:firstLine="480"/>
        <w:rPr>
          <w:snapToGrid w:val="0"/>
          <w:sz w:val="24"/>
        </w:rPr>
      </w:pPr>
      <w:r>
        <w:rPr>
          <w:sz w:val="24"/>
        </w:rPr>
        <w:t>项目区位于普拉河汇水区，普拉河距离项目最近距离约50m；根据调查，普拉河又名白马河，根据《云南省水功能区划》（2014年修订），白马河从源头至雨补水库库区起始为白马河师宗-弥勒源头水保护区，水环境目标为II类水；项目区地表水执行《地表水环境质量标准》（GB3838-2002）中的II类标准。主要指标见表2.3-4。</w:t>
      </w:r>
    </w:p>
    <w:p w14:paraId="60C181D7">
      <w:pPr>
        <w:pStyle w:val="784"/>
        <w:rPr>
          <w:rFonts w:ascii="Times New Roman" w:hAnsi="Times New Roman" w:cs="Times New Roman"/>
        </w:rPr>
      </w:pPr>
      <w:r>
        <w:rPr>
          <w:rFonts w:ascii="Times New Roman" w:hAnsi="Times New Roman" w:cs="Times New Roman"/>
        </w:rPr>
        <w:t>表2.3-4</w:t>
      </w:r>
      <w:r>
        <w:rPr>
          <w:rFonts w:ascii="Times New Roman" w:hAnsi="Times New Roman" w:cs="Times New Roman"/>
          <w:lang w:val="en-US"/>
        </w:rPr>
        <w:t xml:space="preserve">  </w:t>
      </w:r>
      <w:r>
        <w:rPr>
          <w:rFonts w:ascii="Times New Roman" w:hAnsi="Times New Roman" w:cs="Times New Roman"/>
        </w:rPr>
        <w:t>地表水环境质量标准（GB3838-2002）</w:t>
      </w:r>
      <w:r>
        <w:rPr>
          <w:rFonts w:ascii="Times New Roman" w:hAnsi="Times New Roman" w:cs="Times New Roman"/>
          <w:lang w:val="en-US"/>
        </w:rPr>
        <w:t>II</w:t>
      </w:r>
      <w:r>
        <w:rPr>
          <w:rFonts w:ascii="Times New Roman" w:hAnsi="Times New Roman" w:cs="Times New Roman"/>
          <w:lang w:val="zh-CN"/>
        </w:rPr>
        <w:t>类标准</w:t>
      </w:r>
      <w:r>
        <w:rPr>
          <w:rFonts w:ascii="Times New Roman" w:hAnsi="Times New Roman" w:cs="Times New Roman"/>
          <w:lang w:val="en-US"/>
        </w:rPr>
        <w:t xml:space="preserve">    </w:t>
      </w:r>
      <w:r>
        <w:rPr>
          <w:rFonts w:ascii="Times New Roman" w:hAnsi="Times New Roman" w:cs="Times New Roman"/>
        </w:rPr>
        <w:t>单位：mg/L</w:t>
      </w:r>
    </w:p>
    <w:tbl>
      <w:tblPr>
        <w:tblStyle w:val="8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59"/>
        <w:gridCol w:w="1019"/>
        <w:gridCol w:w="834"/>
        <w:gridCol w:w="997"/>
        <w:gridCol w:w="1001"/>
        <w:gridCol w:w="996"/>
        <w:gridCol w:w="997"/>
        <w:gridCol w:w="1114"/>
      </w:tblGrid>
      <w:tr w14:paraId="14D0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7" w:type="pct"/>
            <w:noWrap w:val="0"/>
            <w:vAlign w:val="center"/>
          </w:tcPr>
          <w:p w14:paraId="53703450">
            <w:pPr>
              <w:pStyle w:val="393"/>
              <w:ind w:firstLine="0"/>
              <w:jc w:val="center"/>
              <w:rPr>
                <w:b/>
                <w:sz w:val="21"/>
                <w:szCs w:val="21"/>
              </w:rPr>
            </w:pPr>
            <w:r>
              <w:rPr>
                <w:b/>
                <w:sz w:val="21"/>
                <w:szCs w:val="21"/>
              </w:rPr>
              <w:t>适用水体</w:t>
            </w:r>
          </w:p>
        </w:tc>
        <w:tc>
          <w:tcPr>
            <w:tcW w:w="612" w:type="pct"/>
            <w:noWrap w:val="0"/>
            <w:vAlign w:val="center"/>
          </w:tcPr>
          <w:p w14:paraId="6727D1A8">
            <w:pPr>
              <w:pStyle w:val="393"/>
              <w:ind w:firstLine="0"/>
              <w:jc w:val="center"/>
              <w:rPr>
                <w:b/>
                <w:sz w:val="21"/>
                <w:szCs w:val="21"/>
              </w:rPr>
            </w:pPr>
            <w:r>
              <w:rPr>
                <w:b/>
                <w:sz w:val="21"/>
                <w:szCs w:val="21"/>
              </w:rPr>
              <w:t>类别</w:t>
            </w:r>
          </w:p>
        </w:tc>
        <w:tc>
          <w:tcPr>
            <w:tcW w:w="501" w:type="pct"/>
            <w:noWrap w:val="0"/>
            <w:vAlign w:val="center"/>
          </w:tcPr>
          <w:p w14:paraId="4E9045DE">
            <w:pPr>
              <w:widowControl/>
              <w:jc w:val="center"/>
              <w:textAlignment w:val="center"/>
              <w:rPr>
                <w:b/>
                <w:szCs w:val="21"/>
              </w:rPr>
            </w:pPr>
            <w:r>
              <w:rPr>
                <w:kern w:val="0"/>
                <w:szCs w:val="21"/>
                <w:lang w:bidi="ar"/>
              </w:rPr>
              <w:t>pH值（无量纲）</w:t>
            </w:r>
          </w:p>
        </w:tc>
        <w:tc>
          <w:tcPr>
            <w:tcW w:w="599" w:type="pct"/>
            <w:noWrap w:val="0"/>
            <w:vAlign w:val="center"/>
          </w:tcPr>
          <w:p w14:paraId="7549AAA0">
            <w:pPr>
              <w:widowControl/>
              <w:jc w:val="center"/>
              <w:textAlignment w:val="center"/>
              <w:rPr>
                <w:b/>
                <w:szCs w:val="21"/>
              </w:rPr>
            </w:pPr>
            <w:r>
              <w:rPr>
                <w:kern w:val="0"/>
                <w:szCs w:val="21"/>
                <w:lang w:bidi="ar"/>
              </w:rPr>
              <w:t>溶解氧</w:t>
            </w:r>
          </w:p>
        </w:tc>
        <w:tc>
          <w:tcPr>
            <w:tcW w:w="601" w:type="pct"/>
            <w:noWrap w:val="0"/>
            <w:vAlign w:val="center"/>
          </w:tcPr>
          <w:p w14:paraId="616BC19B">
            <w:pPr>
              <w:widowControl/>
              <w:jc w:val="center"/>
              <w:textAlignment w:val="center"/>
              <w:rPr>
                <w:b/>
                <w:szCs w:val="21"/>
              </w:rPr>
            </w:pPr>
            <w:r>
              <w:rPr>
                <w:kern w:val="0"/>
                <w:szCs w:val="21"/>
                <w:lang w:bidi="ar"/>
              </w:rPr>
              <w:t>化学需氧量</w:t>
            </w:r>
          </w:p>
        </w:tc>
        <w:tc>
          <w:tcPr>
            <w:tcW w:w="598" w:type="pct"/>
            <w:noWrap w:val="0"/>
            <w:vAlign w:val="center"/>
          </w:tcPr>
          <w:p w14:paraId="4F0543B1">
            <w:pPr>
              <w:widowControl/>
              <w:jc w:val="center"/>
              <w:textAlignment w:val="center"/>
              <w:rPr>
                <w:b/>
                <w:szCs w:val="21"/>
              </w:rPr>
            </w:pPr>
            <w:r>
              <w:rPr>
                <w:kern w:val="0"/>
                <w:szCs w:val="21"/>
                <w:lang w:bidi="ar"/>
              </w:rPr>
              <w:t>高锰酸盐指数</w:t>
            </w:r>
          </w:p>
        </w:tc>
        <w:tc>
          <w:tcPr>
            <w:tcW w:w="599" w:type="pct"/>
            <w:noWrap w:val="0"/>
            <w:vAlign w:val="center"/>
          </w:tcPr>
          <w:p w14:paraId="575A636B">
            <w:pPr>
              <w:widowControl/>
              <w:jc w:val="center"/>
              <w:textAlignment w:val="center"/>
              <w:rPr>
                <w:b/>
                <w:szCs w:val="21"/>
              </w:rPr>
            </w:pPr>
            <w:r>
              <w:rPr>
                <w:kern w:val="0"/>
                <w:szCs w:val="21"/>
                <w:lang w:bidi="ar"/>
              </w:rPr>
              <w:t>五日生化需氧量</w:t>
            </w:r>
          </w:p>
        </w:tc>
        <w:tc>
          <w:tcPr>
            <w:tcW w:w="669" w:type="pct"/>
            <w:noWrap w:val="0"/>
            <w:vAlign w:val="center"/>
          </w:tcPr>
          <w:p w14:paraId="2FB562B9">
            <w:pPr>
              <w:widowControl/>
              <w:jc w:val="center"/>
              <w:textAlignment w:val="center"/>
              <w:rPr>
                <w:b/>
                <w:szCs w:val="21"/>
              </w:rPr>
            </w:pPr>
            <w:r>
              <w:rPr>
                <w:kern w:val="0"/>
                <w:szCs w:val="21"/>
                <w:lang w:bidi="ar"/>
              </w:rPr>
              <w:t>氨氮</w:t>
            </w:r>
          </w:p>
        </w:tc>
      </w:tr>
      <w:tr w14:paraId="30DC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7" w:type="pct"/>
            <w:noWrap w:val="0"/>
            <w:vAlign w:val="center"/>
          </w:tcPr>
          <w:p w14:paraId="079BEFD4">
            <w:pPr>
              <w:pStyle w:val="393"/>
              <w:ind w:firstLine="0"/>
              <w:jc w:val="center"/>
              <w:rPr>
                <w:sz w:val="21"/>
                <w:szCs w:val="21"/>
              </w:rPr>
            </w:pPr>
            <w:r>
              <w:rPr>
                <w:sz w:val="21"/>
                <w:szCs w:val="21"/>
              </w:rPr>
              <w:t>普拉河</w:t>
            </w:r>
          </w:p>
        </w:tc>
        <w:tc>
          <w:tcPr>
            <w:tcW w:w="612" w:type="pct"/>
            <w:noWrap w:val="0"/>
            <w:vAlign w:val="center"/>
          </w:tcPr>
          <w:p w14:paraId="025F53B3">
            <w:pPr>
              <w:pStyle w:val="393"/>
              <w:ind w:firstLine="0"/>
              <w:jc w:val="center"/>
              <w:rPr>
                <w:sz w:val="21"/>
                <w:szCs w:val="21"/>
              </w:rPr>
            </w:pPr>
            <w:r>
              <w:rPr>
                <w:sz w:val="21"/>
                <w:szCs w:val="21"/>
              </w:rPr>
              <w:t>II类</w:t>
            </w:r>
          </w:p>
        </w:tc>
        <w:tc>
          <w:tcPr>
            <w:tcW w:w="501" w:type="pct"/>
            <w:noWrap w:val="0"/>
            <w:vAlign w:val="center"/>
          </w:tcPr>
          <w:p w14:paraId="39775DD7">
            <w:pPr>
              <w:widowControl/>
              <w:jc w:val="center"/>
              <w:textAlignment w:val="center"/>
              <w:rPr>
                <w:szCs w:val="21"/>
              </w:rPr>
            </w:pPr>
            <w:r>
              <w:rPr>
                <w:kern w:val="0"/>
                <w:szCs w:val="21"/>
                <w:lang w:bidi="ar"/>
              </w:rPr>
              <w:t>6-9</w:t>
            </w:r>
          </w:p>
        </w:tc>
        <w:tc>
          <w:tcPr>
            <w:tcW w:w="599" w:type="pct"/>
            <w:noWrap w:val="0"/>
            <w:vAlign w:val="center"/>
          </w:tcPr>
          <w:p w14:paraId="765499F3">
            <w:pPr>
              <w:widowControl/>
              <w:jc w:val="center"/>
              <w:textAlignment w:val="center"/>
              <w:rPr>
                <w:szCs w:val="21"/>
              </w:rPr>
            </w:pPr>
            <w:r>
              <w:rPr>
                <w:kern w:val="0"/>
                <w:szCs w:val="21"/>
                <w:lang w:bidi="ar"/>
              </w:rPr>
              <w:t>6</w:t>
            </w:r>
          </w:p>
        </w:tc>
        <w:tc>
          <w:tcPr>
            <w:tcW w:w="601" w:type="pct"/>
            <w:noWrap w:val="0"/>
            <w:vAlign w:val="center"/>
          </w:tcPr>
          <w:p w14:paraId="6FB7DBCF">
            <w:pPr>
              <w:widowControl/>
              <w:jc w:val="center"/>
              <w:textAlignment w:val="center"/>
              <w:rPr>
                <w:szCs w:val="21"/>
              </w:rPr>
            </w:pPr>
            <w:r>
              <w:rPr>
                <w:kern w:val="0"/>
                <w:szCs w:val="21"/>
                <w:lang w:bidi="ar"/>
              </w:rPr>
              <w:t>15</w:t>
            </w:r>
          </w:p>
        </w:tc>
        <w:tc>
          <w:tcPr>
            <w:tcW w:w="598" w:type="pct"/>
            <w:noWrap w:val="0"/>
            <w:vAlign w:val="center"/>
          </w:tcPr>
          <w:p w14:paraId="7C05A690">
            <w:pPr>
              <w:widowControl/>
              <w:jc w:val="center"/>
              <w:textAlignment w:val="center"/>
              <w:rPr>
                <w:szCs w:val="21"/>
              </w:rPr>
            </w:pPr>
            <w:r>
              <w:rPr>
                <w:kern w:val="0"/>
                <w:szCs w:val="21"/>
                <w:lang w:bidi="ar"/>
              </w:rPr>
              <w:t>4</w:t>
            </w:r>
          </w:p>
        </w:tc>
        <w:tc>
          <w:tcPr>
            <w:tcW w:w="599" w:type="pct"/>
            <w:noWrap w:val="0"/>
            <w:vAlign w:val="center"/>
          </w:tcPr>
          <w:p w14:paraId="1C63497C">
            <w:pPr>
              <w:widowControl/>
              <w:jc w:val="center"/>
              <w:textAlignment w:val="center"/>
              <w:rPr>
                <w:szCs w:val="21"/>
              </w:rPr>
            </w:pPr>
            <w:r>
              <w:rPr>
                <w:kern w:val="0"/>
                <w:szCs w:val="21"/>
                <w:lang w:bidi="ar"/>
              </w:rPr>
              <w:t>3</w:t>
            </w:r>
          </w:p>
        </w:tc>
        <w:tc>
          <w:tcPr>
            <w:tcW w:w="669" w:type="pct"/>
            <w:noWrap w:val="0"/>
            <w:vAlign w:val="center"/>
          </w:tcPr>
          <w:p w14:paraId="22710E05">
            <w:pPr>
              <w:widowControl/>
              <w:jc w:val="center"/>
              <w:textAlignment w:val="center"/>
              <w:rPr>
                <w:szCs w:val="21"/>
              </w:rPr>
            </w:pPr>
            <w:r>
              <w:rPr>
                <w:kern w:val="0"/>
                <w:szCs w:val="21"/>
                <w:lang w:bidi="ar"/>
              </w:rPr>
              <w:t>0.5</w:t>
            </w:r>
          </w:p>
        </w:tc>
      </w:tr>
      <w:tr w14:paraId="5B10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7" w:type="pct"/>
            <w:noWrap w:val="0"/>
            <w:vAlign w:val="center"/>
          </w:tcPr>
          <w:p w14:paraId="2AE4450E">
            <w:pPr>
              <w:pStyle w:val="393"/>
              <w:ind w:firstLine="0"/>
              <w:jc w:val="center"/>
              <w:rPr>
                <w:sz w:val="21"/>
                <w:szCs w:val="21"/>
              </w:rPr>
            </w:pPr>
            <w:r>
              <w:rPr>
                <w:b/>
                <w:sz w:val="21"/>
                <w:szCs w:val="21"/>
              </w:rPr>
              <w:t>适用水体</w:t>
            </w:r>
          </w:p>
        </w:tc>
        <w:tc>
          <w:tcPr>
            <w:tcW w:w="612" w:type="pct"/>
            <w:noWrap w:val="0"/>
            <w:vAlign w:val="center"/>
          </w:tcPr>
          <w:p w14:paraId="6F48983D">
            <w:pPr>
              <w:pStyle w:val="393"/>
              <w:ind w:firstLine="0"/>
              <w:jc w:val="center"/>
              <w:rPr>
                <w:sz w:val="21"/>
                <w:szCs w:val="21"/>
              </w:rPr>
            </w:pPr>
            <w:r>
              <w:rPr>
                <w:b/>
                <w:sz w:val="21"/>
                <w:szCs w:val="21"/>
              </w:rPr>
              <w:t>类别</w:t>
            </w:r>
          </w:p>
        </w:tc>
        <w:tc>
          <w:tcPr>
            <w:tcW w:w="501" w:type="pct"/>
            <w:noWrap w:val="0"/>
            <w:vAlign w:val="center"/>
          </w:tcPr>
          <w:p w14:paraId="0642269C">
            <w:pPr>
              <w:widowControl/>
              <w:jc w:val="center"/>
              <w:textAlignment w:val="center"/>
              <w:rPr>
                <w:szCs w:val="21"/>
              </w:rPr>
            </w:pPr>
            <w:r>
              <w:rPr>
                <w:kern w:val="0"/>
                <w:szCs w:val="21"/>
                <w:lang w:bidi="ar"/>
              </w:rPr>
              <w:t>总氮</w:t>
            </w:r>
          </w:p>
        </w:tc>
        <w:tc>
          <w:tcPr>
            <w:tcW w:w="599" w:type="pct"/>
            <w:noWrap w:val="0"/>
            <w:vAlign w:val="center"/>
          </w:tcPr>
          <w:p w14:paraId="109ACCB5">
            <w:pPr>
              <w:widowControl/>
              <w:jc w:val="center"/>
              <w:textAlignment w:val="center"/>
              <w:rPr>
                <w:szCs w:val="21"/>
              </w:rPr>
            </w:pPr>
            <w:r>
              <w:rPr>
                <w:kern w:val="0"/>
                <w:szCs w:val="21"/>
                <w:lang w:bidi="ar"/>
              </w:rPr>
              <w:t>总磷</w:t>
            </w:r>
          </w:p>
        </w:tc>
        <w:tc>
          <w:tcPr>
            <w:tcW w:w="601" w:type="pct"/>
            <w:noWrap w:val="0"/>
            <w:vAlign w:val="center"/>
          </w:tcPr>
          <w:p w14:paraId="10229B0B">
            <w:pPr>
              <w:widowControl/>
              <w:jc w:val="center"/>
              <w:textAlignment w:val="center"/>
              <w:rPr>
                <w:szCs w:val="21"/>
              </w:rPr>
            </w:pPr>
            <w:r>
              <w:rPr>
                <w:kern w:val="0"/>
                <w:szCs w:val="21"/>
                <w:lang w:bidi="ar"/>
              </w:rPr>
              <w:t>石油类</w:t>
            </w:r>
          </w:p>
        </w:tc>
        <w:tc>
          <w:tcPr>
            <w:tcW w:w="598" w:type="pct"/>
            <w:noWrap w:val="0"/>
            <w:vAlign w:val="center"/>
          </w:tcPr>
          <w:p w14:paraId="1F3E0793">
            <w:pPr>
              <w:widowControl/>
              <w:jc w:val="center"/>
              <w:textAlignment w:val="center"/>
              <w:rPr>
                <w:szCs w:val="21"/>
              </w:rPr>
            </w:pPr>
            <w:r>
              <w:rPr>
                <w:kern w:val="0"/>
                <w:szCs w:val="21"/>
                <w:lang w:bidi="ar"/>
              </w:rPr>
              <w:t>氟化物</w:t>
            </w:r>
          </w:p>
        </w:tc>
        <w:tc>
          <w:tcPr>
            <w:tcW w:w="599" w:type="pct"/>
            <w:noWrap w:val="0"/>
            <w:vAlign w:val="center"/>
          </w:tcPr>
          <w:p w14:paraId="01AB43EA">
            <w:pPr>
              <w:widowControl/>
              <w:jc w:val="center"/>
              <w:textAlignment w:val="center"/>
              <w:rPr>
                <w:szCs w:val="21"/>
              </w:rPr>
            </w:pPr>
            <w:r>
              <w:rPr>
                <w:kern w:val="0"/>
                <w:szCs w:val="21"/>
                <w:lang w:bidi="ar"/>
              </w:rPr>
              <w:t>硫化物</w:t>
            </w:r>
          </w:p>
        </w:tc>
        <w:tc>
          <w:tcPr>
            <w:tcW w:w="669" w:type="pct"/>
            <w:noWrap w:val="0"/>
            <w:vAlign w:val="center"/>
          </w:tcPr>
          <w:p w14:paraId="2BF53234">
            <w:pPr>
              <w:widowControl/>
              <w:jc w:val="center"/>
              <w:textAlignment w:val="center"/>
              <w:rPr>
                <w:szCs w:val="21"/>
              </w:rPr>
            </w:pPr>
            <w:r>
              <w:rPr>
                <w:kern w:val="0"/>
                <w:szCs w:val="21"/>
                <w:lang w:bidi="ar"/>
              </w:rPr>
              <w:t>粪大肠菌群（MPN/L)</w:t>
            </w:r>
          </w:p>
        </w:tc>
      </w:tr>
      <w:tr w14:paraId="79EE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7" w:type="pct"/>
            <w:noWrap w:val="0"/>
            <w:vAlign w:val="center"/>
          </w:tcPr>
          <w:p w14:paraId="548AB815">
            <w:pPr>
              <w:pStyle w:val="393"/>
              <w:ind w:firstLine="0"/>
              <w:jc w:val="center"/>
              <w:rPr>
                <w:sz w:val="21"/>
                <w:szCs w:val="21"/>
              </w:rPr>
            </w:pPr>
            <w:r>
              <w:rPr>
                <w:sz w:val="21"/>
                <w:szCs w:val="21"/>
              </w:rPr>
              <w:t>普拉河</w:t>
            </w:r>
          </w:p>
        </w:tc>
        <w:tc>
          <w:tcPr>
            <w:tcW w:w="612" w:type="pct"/>
            <w:noWrap w:val="0"/>
            <w:vAlign w:val="center"/>
          </w:tcPr>
          <w:p w14:paraId="07AB863C">
            <w:pPr>
              <w:pStyle w:val="393"/>
              <w:ind w:firstLine="0"/>
              <w:jc w:val="center"/>
              <w:rPr>
                <w:sz w:val="21"/>
                <w:szCs w:val="21"/>
              </w:rPr>
            </w:pPr>
            <w:r>
              <w:rPr>
                <w:sz w:val="21"/>
                <w:szCs w:val="21"/>
              </w:rPr>
              <w:t>II类</w:t>
            </w:r>
          </w:p>
        </w:tc>
        <w:tc>
          <w:tcPr>
            <w:tcW w:w="501" w:type="pct"/>
            <w:noWrap w:val="0"/>
            <w:vAlign w:val="center"/>
          </w:tcPr>
          <w:p w14:paraId="52036AA5">
            <w:pPr>
              <w:widowControl/>
              <w:jc w:val="center"/>
              <w:textAlignment w:val="center"/>
              <w:rPr>
                <w:szCs w:val="21"/>
              </w:rPr>
            </w:pPr>
            <w:r>
              <w:rPr>
                <w:kern w:val="0"/>
                <w:szCs w:val="21"/>
                <w:lang w:bidi="ar"/>
              </w:rPr>
              <w:t>0.5</w:t>
            </w:r>
          </w:p>
        </w:tc>
        <w:tc>
          <w:tcPr>
            <w:tcW w:w="599" w:type="pct"/>
            <w:noWrap w:val="0"/>
            <w:vAlign w:val="center"/>
          </w:tcPr>
          <w:p w14:paraId="7F18DEDF">
            <w:pPr>
              <w:widowControl/>
              <w:jc w:val="center"/>
              <w:textAlignment w:val="center"/>
              <w:rPr>
                <w:szCs w:val="21"/>
              </w:rPr>
            </w:pPr>
            <w:r>
              <w:rPr>
                <w:kern w:val="0"/>
                <w:szCs w:val="21"/>
                <w:lang w:bidi="ar"/>
              </w:rPr>
              <w:t>0.1</w:t>
            </w:r>
          </w:p>
        </w:tc>
        <w:tc>
          <w:tcPr>
            <w:tcW w:w="601" w:type="pct"/>
            <w:noWrap w:val="0"/>
            <w:vAlign w:val="center"/>
          </w:tcPr>
          <w:p w14:paraId="5DAB2548">
            <w:pPr>
              <w:widowControl/>
              <w:jc w:val="center"/>
              <w:textAlignment w:val="center"/>
              <w:rPr>
                <w:szCs w:val="21"/>
              </w:rPr>
            </w:pPr>
            <w:r>
              <w:rPr>
                <w:kern w:val="0"/>
                <w:szCs w:val="21"/>
                <w:lang w:bidi="ar"/>
              </w:rPr>
              <w:t>0.05</w:t>
            </w:r>
          </w:p>
        </w:tc>
        <w:tc>
          <w:tcPr>
            <w:tcW w:w="598" w:type="pct"/>
            <w:noWrap w:val="0"/>
            <w:vAlign w:val="center"/>
          </w:tcPr>
          <w:p w14:paraId="19D25866">
            <w:pPr>
              <w:widowControl/>
              <w:jc w:val="center"/>
              <w:textAlignment w:val="center"/>
              <w:rPr>
                <w:szCs w:val="21"/>
              </w:rPr>
            </w:pPr>
            <w:r>
              <w:rPr>
                <w:kern w:val="0"/>
                <w:szCs w:val="21"/>
                <w:lang w:bidi="ar"/>
              </w:rPr>
              <w:t>1</w:t>
            </w:r>
          </w:p>
        </w:tc>
        <w:tc>
          <w:tcPr>
            <w:tcW w:w="599" w:type="pct"/>
            <w:noWrap w:val="0"/>
            <w:vAlign w:val="center"/>
          </w:tcPr>
          <w:p w14:paraId="289CC379">
            <w:pPr>
              <w:widowControl/>
              <w:jc w:val="center"/>
              <w:textAlignment w:val="center"/>
              <w:rPr>
                <w:szCs w:val="21"/>
              </w:rPr>
            </w:pPr>
            <w:r>
              <w:rPr>
                <w:kern w:val="0"/>
                <w:szCs w:val="21"/>
                <w:lang w:bidi="ar"/>
              </w:rPr>
              <w:t>0.1</w:t>
            </w:r>
          </w:p>
        </w:tc>
        <w:tc>
          <w:tcPr>
            <w:tcW w:w="669" w:type="pct"/>
            <w:noWrap w:val="0"/>
            <w:vAlign w:val="center"/>
          </w:tcPr>
          <w:p w14:paraId="1B22A6E1">
            <w:pPr>
              <w:widowControl/>
              <w:jc w:val="center"/>
              <w:textAlignment w:val="center"/>
              <w:rPr>
                <w:szCs w:val="21"/>
              </w:rPr>
            </w:pPr>
            <w:r>
              <w:rPr>
                <w:kern w:val="0"/>
                <w:szCs w:val="21"/>
                <w:lang w:bidi="ar"/>
              </w:rPr>
              <w:t>2000</w:t>
            </w:r>
          </w:p>
        </w:tc>
      </w:tr>
    </w:tbl>
    <w:p w14:paraId="1CA203A8">
      <w:pPr>
        <w:pStyle w:val="784"/>
        <w:rPr>
          <w:rFonts w:ascii="Times New Roman" w:hAnsi="Times New Roman" w:cs="Times New Roman"/>
        </w:rPr>
      </w:pPr>
    </w:p>
    <w:p w14:paraId="05295945">
      <w:pPr>
        <w:spacing w:line="360" w:lineRule="auto"/>
        <w:ind w:firstLine="482" w:firstLineChars="200"/>
        <w:rPr>
          <w:b/>
          <w:sz w:val="24"/>
        </w:rPr>
      </w:pPr>
      <w:r>
        <w:rPr>
          <w:b/>
          <w:sz w:val="24"/>
        </w:rPr>
        <w:t>3、地下水环境质量标准</w:t>
      </w:r>
    </w:p>
    <w:p w14:paraId="43CA1DC3">
      <w:pPr>
        <w:spacing w:line="360" w:lineRule="auto"/>
        <w:ind w:firstLine="480" w:firstLineChars="200"/>
      </w:pPr>
      <w:r>
        <w:rPr>
          <w:sz w:val="24"/>
        </w:rPr>
        <w:t>项目区地下水执行《地下水质量标准》（GB/T14848－2017）表1中Ⅲ类水质标准。具体见表2.3-5。</w:t>
      </w:r>
    </w:p>
    <w:p w14:paraId="43D9F481">
      <w:pPr>
        <w:spacing w:line="360" w:lineRule="auto"/>
        <w:jc w:val="center"/>
      </w:pPr>
      <w:r>
        <w:rPr>
          <w:b/>
          <w:szCs w:val="21"/>
        </w:rPr>
        <w:t xml:space="preserve">表2.3-5  地下水质量标准         </w:t>
      </w:r>
      <w:r>
        <w:rPr>
          <w:b/>
          <w:kern w:val="0"/>
          <w:szCs w:val="21"/>
        </w:rPr>
        <w:t>单位：mg/L（pH无量纲）</w:t>
      </w:r>
    </w:p>
    <w:tbl>
      <w:tblPr>
        <w:tblStyle w:val="8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1134"/>
        <w:gridCol w:w="938"/>
        <w:gridCol w:w="936"/>
        <w:gridCol w:w="954"/>
        <w:gridCol w:w="1189"/>
        <w:gridCol w:w="993"/>
        <w:gridCol w:w="1710"/>
      </w:tblGrid>
      <w:tr w14:paraId="44A74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6" w:type="pct"/>
            <w:noWrap w:val="0"/>
            <w:vAlign w:val="center"/>
          </w:tcPr>
          <w:p w14:paraId="22435CF6">
            <w:pPr>
              <w:widowControl/>
              <w:jc w:val="center"/>
              <w:rPr>
                <w:kern w:val="0"/>
                <w:szCs w:val="21"/>
              </w:rPr>
            </w:pPr>
            <w:r>
              <w:rPr>
                <w:kern w:val="0"/>
                <w:szCs w:val="21"/>
              </w:rPr>
              <w:t>项目</w:t>
            </w:r>
          </w:p>
        </w:tc>
        <w:tc>
          <w:tcPr>
            <w:tcW w:w="665" w:type="pct"/>
            <w:noWrap w:val="0"/>
            <w:vAlign w:val="center"/>
          </w:tcPr>
          <w:p w14:paraId="2C14CB04">
            <w:pPr>
              <w:widowControl/>
              <w:jc w:val="center"/>
              <w:rPr>
                <w:kern w:val="0"/>
                <w:szCs w:val="21"/>
              </w:rPr>
            </w:pPr>
            <w:r>
              <w:rPr>
                <w:kern w:val="0"/>
                <w:szCs w:val="21"/>
              </w:rPr>
              <w:t xml:space="preserve">pH </w:t>
            </w:r>
          </w:p>
        </w:tc>
        <w:tc>
          <w:tcPr>
            <w:tcW w:w="549" w:type="pct"/>
            <w:noWrap w:val="0"/>
            <w:vAlign w:val="center"/>
          </w:tcPr>
          <w:p w14:paraId="4BB27CBA">
            <w:pPr>
              <w:widowControl/>
              <w:jc w:val="center"/>
              <w:rPr>
                <w:kern w:val="0"/>
                <w:szCs w:val="21"/>
              </w:rPr>
            </w:pPr>
            <w:r>
              <w:rPr>
                <w:kern w:val="0"/>
                <w:szCs w:val="21"/>
              </w:rPr>
              <w:t>氨氮</w:t>
            </w:r>
          </w:p>
        </w:tc>
        <w:tc>
          <w:tcPr>
            <w:tcW w:w="549" w:type="pct"/>
            <w:noWrap w:val="0"/>
            <w:vAlign w:val="center"/>
          </w:tcPr>
          <w:p w14:paraId="6422B184">
            <w:pPr>
              <w:widowControl/>
              <w:jc w:val="center"/>
              <w:rPr>
                <w:kern w:val="0"/>
                <w:szCs w:val="21"/>
              </w:rPr>
            </w:pPr>
            <w:r>
              <w:rPr>
                <w:kern w:val="0"/>
                <w:szCs w:val="21"/>
              </w:rPr>
              <w:t>硝酸盐</w:t>
            </w:r>
          </w:p>
        </w:tc>
        <w:tc>
          <w:tcPr>
            <w:tcW w:w="559" w:type="pct"/>
            <w:noWrap w:val="0"/>
            <w:vAlign w:val="center"/>
          </w:tcPr>
          <w:p w14:paraId="22C1CAF6">
            <w:pPr>
              <w:widowControl/>
              <w:jc w:val="center"/>
              <w:rPr>
                <w:kern w:val="0"/>
                <w:szCs w:val="21"/>
              </w:rPr>
            </w:pPr>
            <w:r>
              <w:rPr>
                <w:kern w:val="0"/>
                <w:szCs w:val="21"/>
              </w:rPr>
              <w:t>亚硝</w:t>
            </w:r>
          </w:p>
          <w:p w14:paraId="5EDDAE70">
            <w:pPr>
              <w:widowControl/>
              <w:jc w:val="center"/>
              <w:rPr>
                <w:kern w:val="0"/>
                <w:szCs w:val="21"/>
              </w:rPr>
            </w:pPr>
            <w:r>
              <w:rPr>
                <w:kern w:val="0"/>
                <w:szCs w:val="21"/>
              </w:rPr>
              <w:t>酸盐</w:t>
            </w:r>
          </w:p>
        </w:tc>
        <w:tc>
          <w:tcPr>
            <w:tcW w:w="697" w:type="pct"/>
            <w:noWrap w:val="0"/>
            <w:vAlign w:val="center"/>
          </w:tcPr>
          <w:p w14:paraId="053C03E5">
            <w:pPr>
              <w:widowControl/>
              <w:jc w:val="center"/>
              <w:rPr>
                <w:kern w:val="0"/>
                <w:szCs w:val="21"/>
              </w:rPr>
            </w:pPr>
            <w:r>
              <w:rPr>
                <w:kern w:val="0"/>
                <w:szCs w:val="21"/>
              </w:rPr>
              <w:t>挥发性酚类</w:t>
            </w:r>
          </w:p>
        </w:tc>
        <w:tc>
          <w:tcPr>
            <w:tcW w:w="582" w:type="pct"/>
            <w:noWrap w:val="0"/>
            <w:vAlign w:val="center"/>
          </w:tcPr>
          <w:p w14:paraId="77EAF673">
            <w:pPr>
              <w:widowControl/>
              <w:tabs>
                <w:tab w:val="center" w:pos="638"/>
              </w:tabs>
              <w:jc w:val="center"/>
              <w:rPr>
                <w:kern w:val="0"/>
                <w:szCs w:val="21"/>
              </w:rPr>
            </w:pPr>
            <w:r>
              <w:rPr>
                <w:kern w:val="0"/>
                <w:szCs w:val="21"/>
              </w:rPr>
              <w:t>氰化物</w:t>
            </w:r>
          </w:p>
        </w:tc>
        <w:tc>
          <w:tcPr>
            <w:tcW w:w="1003" w:type="pct"/>
            <w:noWrap w:val="0"/>
            <w:vAlign w:val="center"/>
          </w:tcPr>
          <w:p w14:paraId="33ECB77B">
            <w:pPr>
              <w:widowControl/>
              <w:jc w:val="center"/>
              <w:rPr>
                <w:kern w:val="0"/>
                <w:szCs w:val="21"/>
              </w:rPr>
            </w:pPr>
            <w:r>
              <w:rPr>
                <w:kern w:val="0"/>
                <w:szCs w:val="21"/>
              </w:rPr>
              <w:t>砷</w:t>
            </w:r>
          </w:p>
        </w:tc>
      </w:tr>
      <w:tr w14:paraId="2726E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396" w:type="pct"/>
            <w:noWrap w:val="0"/>
            <w:vAlign w:val="center"/>
          </w:tcPr>
          <w:p w14:paraId="1993373F">
            <w:pPr>
              <w:widowControl/>
              <w:jc w:val="center"/>
              <w:rPr>
                <w:kern w:val="0"/>
                <w:szCs w:val="21"/>
              </w:rPr>
            </w:pP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p>
        </w:tc>
        <w:tc>
          <w:tcPr>
            <w:tcW w:w="665" w:type="pct"/>
            <w:noWrap w:val="0"/>
            <w:vAlign w:val="center"/>
          </w:tcPr>
          <w:p w14:paraId="0F842D56">
            <w:pPr>
              <w:widowControl/>
              <w:ind w:right="150"/>
              <w:jc w:val="center"/>
              <w:rPr>
                <w:kern w:val="0"/>
                <w:szCs w:val="21"/>
              </w:rPr>
            </w:pPr>
            <w:r>
              <w:rPr>
                <w:kern w:val="0"/>
                <w:szCs w:val="21"/>
              </w:rPr>
              <w:t>6.5～8.5</w:t>
            </w:r>
          </w:p>
        </w:tc>
        <w:tc>
          <w:tcPr>
            <w:tcW w:w="549" w:type="pct"/>
            <w:noWrap w:val="0"/>
            <w:vAlign w:val="center"/>
          </w:tcPr>
          <w:p w14:paraId="1A9CC7D4">
            <w:pPr>
              <w:widowControl/>
              <w:ind w:right="150"/>
              <w:jc w:val="center"/>
              <w:rPr>
                <w:kern w:val="0"/>
                <w:szCs w:val="21"/>
              </w:rPr>
            </w:pPr>
            <w:r>
              <w:rPr>
                <w:kern w:val="0"/>
                <w:szCs w:val="21"/>
              </w:rPr>
              <w:t xml:space="preserve"> ≤0.5</w:t>
            </w:r>
          </w:p>
        </w:tc>
        <w:tc>
          <w:tcPr>
            <w:tcW w:w="549" w:type="pct"/>
            <w:noWrap w:val="0"/>
            <w:vAlign w:val="center"/>
          </w:tcPr>
          <w:p w14:paraId="6593F6DA">
            <w:pPr>
              <w:widowControl/>
              <w:ind w:right="150"/>
              <w:jc w:val="center"/>
              <w:rPr>
                <w:kern w:val="0"/>
                <w:szCs w:val="21"/>
              </w:rPr>
            </w:pPr>
            <w:r>
              <w:rPr>
                <w:kern w:val="0"/>
                <w:szCs w:val="21"/>
              </w:rPr>
              <w:t>≤20</w:t>
            </w:r>
          </w:p>
        </w:tc>
        <w:tc>
          <w:tcPr>
            <w:tcW w:w="559" w:type="pct"/>
            <w:noWrap w:val="0"/>
            <w:vAlign w:val="center"/>
          </w:tcPr>
          <w:p w14:paraId="1B1A1504">
            <w:pPr>
              <w:widowControl/>
              <w:ind w:right="150"/>
              <w:jc w:val="center"/>
              <w:rPr>
                <w:kern w:val="0"/>
                <w:szCs w:val="21"/>
              </w:rPr>
            </w:pPr>
            <w:r>
              <w:rPr>
                <w:kern w:val="0"/>
                <w:szCs w:val="21"/>
              </w:rPr>
              <w:t>≤1.0</w:t>
            </w:r>
          </w:p>
        </w:tc>
        <w:tc>
          <w:tcPr>
            <w:tcW w:w="697" w:type="pct"/>
            <w:noWrap w:val="0"/>
            <w:vAlign w:val="center"/>
          </w:tcPr>
          <w:p w14:paraId="006190C1">
            <w:pPr>
              <w:widowControl/>
              <w:ind w:right="150"/>
              <w:jc w:val="center"/>
              <w:rPr>
                <w:kern w:val="0"/>
                <w:szCs w:val="21"/>
              </w:rPr>
            </w:pPr>
            <w:r>
              <w:rPr>
                <w:kern w:val="0"/>
                <w:szCs w:val="21"/>
              </w:rPr>
              <w:t>≤0.002</w:t>
            </w:r>
          </w:p>
        </w:tc>
        <w:tc>
          <w:tcPr>
            <w:tcW w:w="582" w:type="pct"/>
            <w:noWrap w:val="0"/>
            <w:vAlign w:val="center"/>
          </w:tcPr>
          <w:p w14:paraId="1178180E">
            <w:pPr>
              <w:widowControl/>
              <w:ind w:right="150"/>
              <w:jc w:val="center"/>
              <w:rPr>
                <w:kern w:val="0"/>
                <w:szCs w:val="21"/>
              </w:rPr>
            </w:pPr>
            <w:r>
              <w:rPr>
                <w:kern w:val="0"/>
                <w:szCs w:val="21"/>
              </w:rPr>
              <w:t>≤0.05</w:t>
            </w:r>
          </w:p>
        </w:tc>
        <w:tc>
          <w:tcPr>
            <w:tcW w:w="1003" w:type="pct"/>
            <w:noWrap w:val="0"/>
            <w:vAlign w:val="center"/>
          </w:tcPr>
          <w:p w14:paraId="4FF2C061">
            <w:pPr>
              <w:widowControl/>
              <w:ind w:right="150"/>
              <w:jc w:val="center"/>
              <w:rPr>
                <w:kern w:val="0"/>
                <w:szCs w:val="21"/>
              </w:rPr>
            </w:pPr>
            <w:r>
              <w:rPr>
                <w:kern w:val="0"/>
                <w:szCs w:val="21"/>
              </w:rPr>
              <w:t>≤0.01</w:t>
            </w:r>
          </w:p>
        </w:tc>
      </w:tr>
      <w:tr w14:paraId="1630B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96" w:type="pct"/>
            <w:noWrap w:val="0"/>
            <w:vAlign w:val="center"/>
          </w:tcPr>
          <w:p w14:paraId="7A6DBF1B">
            <w:pPr>
              <w:widowControl/>
              <w:jc w:val="center"/>
              <w:rPr>
                <w:kern w:val="0"/>
                <w:szCs w:val="21"/>
              </w:rPr>
            </w:pPr>
            <w:r>
              <w:rPr>
                <w:kern w:val="0"/>
                <w:szCs w:val="21"/>
              </w:rPr>
              <w:t>项目</w:t>
            </w:r>
          </w:p>
        </w:tc>
        <w:tc>
          <w:tcPr>
            <w:tcW w:w="665" w:type="pct"/>
            <w:noWrap w:val="0"/>
            <w:vAlign w:val="center"/>
          </w:tcPr>
          <w:p w14:paraId="5F6D3BF4">
            <w:pPr>
              <w:widowControl/>
              <w:jc w:val="center"/>
              <w:rPr>
                <w:kern w:val="0"/>
                <w:szCs w:val="21"/>
              </w:rPr>
            </w:pPr>
            <w:r>
              <w:rPr>
                <w:kern w:val="0"/>
                <w:szCs w:val="21"/>
              </w:rPr>
              <w:t>汞</w:t>
            </w:r>
          </w:p>
        </w:tc>
        <w:tc>
          <w:tcPr>
            <w:tcW w:w="549" w:type="pct"/>
            <w:noWrap w:val="0"/>
            <w:vAlign w:val="center"/>
          </w:tcPr>
          <w:p w14:paraId="283216E3">
            <w:pPr>
              <w:widowControl/>
              <w:jc w:val="center"/>
              <w:rPr>
                <w:kern w:val="0"/>
                <w:szCs w:val="21"/>
              </w:rPr>
            </w:pPr>
            <w:r>
              <w:rPr>
                <w:kern w:val="0"/>
                <w:szCs w:val="21"/>
              </w:rPr>
              <w:t>铬</w:t>
            </w:r>
          </w:p>
        </w:tc>
        <w:tc>
          <w:tcPr>
            <w:tcW w:w="549" w:type="pct"/>
            <w:noWrap w:val="0"/>
            <w:vAlign w:val="center"/>
          </w:tcPr>
          <w:p w14:paraId="4E4ACD7B">
            <w:pPr>
              <w:widowControl/>
              <w:jc w:val="center"/>
              <w:rPr>
                <w:kern w:val="0"/>
                <w:szCs w:val="21"/>
              </w:rPr>
            </w:pPr>
            <w:r>
              <w:rPr>
                <w:kern w:val="0"/>
                <w:szCs w:val="21"/>
              </w:rPr>
              <w:t>铅</w:t>
            </w:r>
          </w:p>
        </w:tc>
        <w:tc>
          <w:tcPr>
            <w:tcW w:w="559" w:type="pct"/>
            <w:noWrap w:val="0"/>
            <w:vAlign w:val="center"/>
          </w:tcPr>
          <w:p w14:paraId="6097AC83">
            <w:pPr>
              <w:widowControl/>
              <w:jc w:val="center"/>
              <w:rPr>
                <w:kern w:val="0"/>
                <w:szCs w:val="21"/>
              </w:rPr>
            </w:pPr>
            <w:r>
              <w:rPr>
                <w:kern w:val="0"/>
                <w:szCs w:val="21"/>
              </w:rPr>
              <w:t>镉</w:t>
            </w:r>
          </w:p>
        </w:tc>
        <w:tc>
          <w:tcPr>
            <w:tcW w:w="697" w:type="pct"/>
            <w:noWrap w:val="0"/>
            <w:vAlign w:val="center"/>
          </w:tcPr>
          <w:p w14:paraId="03BDA4E5">
            <w:pPr>
              <w:widowControl/>
              <w:jc w:val="center"/>
              <w:rPr>
                <w:kern w:val="0"/>
                <w:szCs w:val="21"/>
              </w:rPr>
            </w:pPr>
            <w:r>
              <w:rPr>
                <w:kern w:val="0"/>
                <w:szCs w:val="21"/>
              </w:rPr>
              <w:t>铁</w:t>
            </w:r>
          </w:p>
        </w:tc>
        <w:tc>
          <w:tcPr>
            <w:tcW w:w="582" w:type="pct"/>
            <w:noWrap w:val="0"/>
            <w:vAlign w:val="center"/>
          </w:tcPr>
          <w:p w14:paraId="119AA4CF">
            <w:pPr>
              <w:widowControl/>
              <w:jc w:val="center"/>
              <w:rPr>
                <w:kern w:val="0"/>
                <w:szCs w:val="21"/>
              </w:rPr>
            </w:pPr>
            <w:r>
              <w:rPr>
                <w:kern w:val="0"/>
                <w:szCs w:val="21"/>
              </w:rPr>
              <w:t>锰</w:t>
            </w:r>
          </w:p>
        </w:tc>
        <w:tc>
          <w:tcPr>
            <w:tcW w:w="1003" w:type="pct"/>
            <w:noWrap w:val="0"/>
            <w:vAlign w:val="center"/>
          </w:tcPr>
          <w:p w14:paraId="35260A90">
            <w:pPr>
              <w:widowControl/>
              <w:jc w:val="center"/>
              <w:rPr>
                <w:kern w:val="0"/>
                <w:szCs w:val="21"/>
              </w:rPr>
            </w:pPr>
            <w:r>
              <w:rPr>
                <w:kern w:val="0"/>
                <w:szCs w:val="21"/>
              </w:rPr>
              <w:t>溶解性总固体</w:t>
            </w:r>
          </w:p>
        </w:tc>
      </w:tr>
      <w:tr w14:paraId="3CF9F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396" w:type="pct"/>
            <w:noWrap w:val="0"/>
            <w:vAlign w:val="center"/>
          </w:tcPr>
          <w:p w14:paraId="39B85FFE">
            <w:pPr>
              <w:widowControl/>
              <w:jc w:val="center"/>
              <w:rPr>
                <w:kern w:val="0"/>
                <w:szCs w:val="21"/>
              </w:rPr>
            </w:pP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p>
        </w:tc>
        <w:tc>
          <w:tcPr>
            <w:tcW w:w="665" w:type="pct"/>
            <w:noWrap w:val="0"/>
            <w:vAlign w:val="center"/>
          </w:tcPr>
          <w:p w14:paraId="52FA6531">
            <w:pPr>
              <w:widowControl/>
              <w:ind w:right="150"/>
              <w:jc w:val="center"/>
              <w:rPr>
                <w:kern w:val="0"/>
                <w:szCs w:val="21"/>
              </w:rPr>
            </w:pPr>
            <w:r>
              <w:rPr>
                <w:kern w:val="0"/>
                <w:szCs w:val="21"/>
              </w:rPr>
              <w:t>≤0.001</w:t>
            </w:r>
          </w:p>
        </w:tc>
        <w:tc>
          <w:tcPr>
            <w:tcW w:w="549" w:type="pct"/>
            <w:noWrap w:val="0"/>
            <w:vAlign w:val="center"/>
          </w:tcPr>
          <w:p w14:paraId="11F47141">
            <w:pPr>
              <w:widowControl/>
              <w:ind w:right="150"/>
              <w:jc w:val="center"/>
              <w:rPr>
                <w:kern w:val="0"/>
                <w:szCs w:val="21"/>
              </w:rPr>
            </w:pPr>
            <w:r>
              <w:rPr>
                <w:kern w:val="0"/>
                <w:szCs w:val="21"/>
              </w:rPr>
              <w:t>≤0.05</w:t>
            </w:r>
          </w:p>
        </w:tc>
        <w:tc>
          <w:tcPr>
            <w:tcW w:w="549" w:type="pct"/>
            <w:noWrap w:val="0"/>
            <w:vAlign w:val="center"/>
          </w:tcPr>
          <w:p w14:paraId="565F63C4">
            <w:pPr>
              <w:widowControl/>
              <w:ind w:right="150"/>
              <w:jc w:val="center"/>
              <w:rPr>
                <w:kern w:val="0"/>
                <w:szCs w:val="21"/>
              </w:rPr>
            </w:pPr>
            <w:r>
              <w:rPr>
                <w:kern w:val="0"/>
                <w:szCs w:val="21"/>
              </w:rPr>
              <w:t>≤0.01</w:t>
            </w:r>
          </w:p>
        </w:tc>
        <w:tc>
          <w:tcPr>
            <w:tcW w:w="559" w:type="pct"/>
            <w:noWrap w:val="0"/>
            <w:vAlign w:val="center"/>
          </w:tcPr>
          <w:p w14:paraId="6A6577CB">
            <w:pPr>
              <w:widowControl/>
              <w:ind w:right="150"/>
              <w:jc w:val="center"/>
              <w:rPr>
                <w:kern w:val="0"/>
                <w:szCs w:val="21"/>
              </w:rPr>
            </w:pPr>
            <w:r>
              <w:rPr>
                <w:kern w:val="0"/>
                <w:szCs w:val="21"/>
              </w:rPr>
              <w:t>≤0.005</w:t>
            </w:r>
          </w:p>
        </w:tc>
        <w:tc>
          <w:tcPr>
            <w:tcW w:w="697" w:type="pct"/>
            <w:noWrap w:val="0"/>
            <w:vAlign w:val="center"/>
          </w:tcPr>
          <w:p w14:paraId="019CF0F5">
            <w:pPr>
              <w:widowControl/>
              <w:ind w:right="150"/>
              <w:jc w:val="center"/>
              <w:rPr>
                <w:kern w:val="0"/>
                <w:szCs w:val="21"/>
              </w:rPr>
            </w:pPr>
            <w:r>
              <w:rPr>
                <w:kern w:val="0"/>
                <w:szCs w:val="21"/>
              </w:rPr>
              <w:t>≤0.3</w:t>
            </w:r>
          </w:p>
        </w:tc>
        <w:tc>
          <w:tcPr>
            <w:tcW w:w="582" w:type="pct"/>
            <w:noWrap w:val="0"/>
            <w:vAlign w:val="center"/>
          </w:tcPr>
          <w:p w14:paraId="7E173A07">
            <w:pPr>
              <w:widowControl/>
              <w:ind w:right="150"/>
              <w:jc w:val="center"/>
              <w:rPr>
                <w:kern w:val="0"/>
                <w:szCs w:val="21"/>
              </w:rPr>
            </w:pPr>
            <w:r>
              <w:rPr>
                <w:kern w:val="0"/>
                <w:szCs w:val="21"/>
              </w:rPr>
              <w:t>≤0.1</w:t>
            </w:r>
          </w:p>
        </w:tc>
        <w:tc>
          <w:tcPr>
            <w:tcW w:w="1003" w:type="pct"/>
            <w:noWrap w:val="0"/>
            <w:vAlign w:val="center"/>
          </w:tcPr>
          <w:p w14:paraId="735C9E45">
            <w:pPr>
              <w:widowControl/>
              <w:ind w:left="150" w:right="150"/>
              <w:jc w:val="center"/>
              <w:rPr>
                <w:kern w:val="0"/>
                <w:szCs w:val="21"/>
              </w:rPr>
            </w:pPr>
            <w:r>
              <w:rPr>
                <w:kern w:val="0"/>
                <w:szCs w:val="21"/>
              </w:rPr>
              <w:t>≤1000</w:t>
            </w:r>
          </w:p>
        </w:tc>
      </w:tr>
      <w:tr w14:paraId="28B55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6" w:type="pct"/>
            <w:noWrap w:val="0"/>
            <w:vAlign w:val="center"/>
          </w:tcPr>
          <w:p w14:paraId="4605BC2F">
            <w:pPr>
              <w:widowControl/>
              <w:jc w:val="center"/>
              <w:rPr>
                <w:kern w:val="0"/>
                <w:szCs w:val="21"/>
              </w:rPr>
            </w:pPr>
            <w:r>
              <w:rPr>
                <w:kern w:val="0"/>
                <w:szCs w:val="21"/>
              </w:rPr>
              <w:t>项目</w:t>
            </w:r>
          </w:p>
        </w:tc>
        <w:tc>
          <w:tcPr>
            <w:tcW w:w="1215" w:type="pct"/>
            <w:gridSpan w:val="2"/>
            <w:noWrap w:val="0"/>
            <w:vAlign w:val="center"/>
          </w:tcPr>
          <w:p w14:paraId="6EAD0C1C">
            <w:pPr>
              <w:widowControl/>
              <w:jc w:val="center"/>
              <w:rPr>
                <w:kern w:val="0"/>
                <w:szCs w:val="21"/>
              </w:rPr>
            </w:pPr>
            <w:r>
              <w:rPr>
                <w:kern w:val="0"/>
                <w:szCs w:val="21"/>
              </w:rPr>
              <w:t>硫酸盐</w:t>
            </w:r>
          </w:p>
        </w:tc>
        <w:tc>
          <w:tcPr>
            <w:tcW w:w="549" w:type="pct"/>
            <w:noWrap w:val="0"/>
            <w:vAlign w:val="center"/>
          </w:tcPr>
          <w:p w14:paraId="0EF7B36C">
            <w:pPr>
              <w:widowControl/>
              <w:jc w:val="center"/>
              <w:rPr>
                <w:kern w:val="0"/>
                <w:szCs w:val="21"/>
              </w:rPr>
            </w:pPr>
            <w:r>
              <w:rPr>
                <w:kern w:val="0"/>
                <w:szCs w:val="21"/>
              </w:rPr>
              <w:t>总硬度</w:t>
            </w:r>
          </w:p>
        </w:tc>
        <w:tc>
          <w:tcPr>
            <w:tcW w:w="559" w:type="pct"/>
            <w:noWrap w:val="0"/>
            <w:vAlign w:val="center"/>
          </w:tcPr>
          <w:p w14:paraId="292978E7">
            <w:pPr>
              <w:widowControl/>
              <w:jc w:val="center"/>
              <w:rPr>
                <w:kern w:val="0"/>
                <w:szCs w:val="21"/>
              </w:rPr>
            </w:pPr>
            <w:r>
              <w:rPr>
                <w:kern w:val="0"/>
                <w:szCs w:val="21"/>
              </w:rPr>
              <w:t>氟化物</w:t>
            </w:r>
          </w:p>
        </w:tc>
        <w:tc>
          <w:tcPr>
            <w:tcW w:w="697" w:type="pct"/>
            <w:noWrap w:val="0"/>
            <w:vAlign w:val="center"/>
          </w:tcPr>
          <w:p w14:paraId="0469C73B">
            <w:pPr>
              <w:widowControl/>
              <w:jc w:val="center"/>
              <w:rPr>
                <w:kern w:val="0"/>
                <w:szCs w:val="21"/>
              </w:rPr>
            </w:pPr>
            <w:r>
              <w:rPr>
                <w:kern w:val="0"/>
                <w:szCs w:val="21"/>
              </w:rPr>
              <w:t>氯化物</w:t>
            </w:r>
          </w:p>
        </w:tc>
        <w:tc>
          <w:tcPr>
            <w:tcW w:w="582" w:type="pct"/>
            <w:noWrap w:val="0"/>
            <w:vAlign w:val="center"/>
          </w:tcPr>
          <w:p w14:paraId="0B95459F">
            <w:pPr>
              <w:widowControl/>
              <w:tabs>
                <w:tab w:val="center" w:pos="638"/>
              </w:tabs>
              <w:jc w:val="center"/>
              <w:rPr>
                <w:kern w:val="0"/>
                <w:szCs w:val="21"/>
              </w:rPr>
            </w:pPr>
            <w:r>
              <w:rPr>
                <w:kern w:val="0"/>
                <w:szCs w:val="21"/>
              </w:rPr>
              <w:t>锌</w:t>
            </w:r>
          </w:p>
        </w:tc>
        <w:tc>
          <w:tcPr>
            <w:tcW w:w="1003" w:type="pct"/>
            <w:noWrap w:val="0"/>
            <w:vAlign w:val="center"/>
          </w:tcPr>
          <w:p w14:paraId="3FE91DEE">
            <w:pPr>
              <w:widowControl/>
              <w:tabs>
                <w:tab w:val="center" w:pos="638"/>
              </w:tabs>
              <w:jc w:val="center"/>
              <w:rPr>
                <w:kern w:val="0"/>
                <w:szCs w:val="21"/>
              </w:rPr>
            </w:pPr>
            <w:r>
              <w:rPr>
                <w:kern w:val="0"/>
                <w:szCs w:val="21"/>
              </w:rPr>
              <w:t>总大肠菌群</w:t>
            </w:r>
          </w:p>
          <w:p w14:paraId="0698645C">
            <w:pPr>
              <w:widowControl/>
              <w:tabs>
                <w:tab w:val="center" w:pos="638"/>
              </w:tabs>
              <w:jc w:val="center"/>
              <w:rPr>
                <w:kern w:val="0"/>
                <w:szCs w:val="21"/>
              </w:rPr>
            </w:pPr>
            <w:r>
              <w:rPr>
                <w:kern w:val="0"/>
                <w:szCs w:val="21"/>
              </w:rPr>
              <w:t>（CPU/100mL）</w:t>
            </w:r>
          </w:p>
        </w:tc>
      </w:tr>
      <w:tr w14:paraId="3ABB7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396" w:type="pct"/>
            <w:noWrap w:val="0"/>
            <w:vAlign w:val="center"/>
          </w:tcPr>
          <w:p w14:paraId="76757531">
            <w:pPr>
              <w:widowControl/>
              <w:jc w:val="center"/>
              <w:rPr>
                <w:kern w:val="0"/>
                <w:szCs w:val="21"/>
              </w:rPr>
            </w:pP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p>
        </w:tc>
        <w:tc>
          <w:tcPr>
            <w:tcW w:w="1215" w:type="pct"/>
            <w:gridSpan w:val="2"/>
            <w:noWrap w:val="0"/>
            <w:vAlign w:val="center"/>
          </w:tcPr>
          <w:p w14:paraId="691D0F23">
            <w:pPr>
              <w:widowControl/>
              <w:ind w:right="150"/>
              <w:jc w:val="center"/>
              <w:rPr>
                <w:kern w:val="0"/>
                <w:szCs w:val="21"/>
              </w:rPr>
            </w:pPr>
            <w:r>
              <w:rPr>
                <w:kern w:val="0"/>
                <w:szCs w:val="21"/>
              </w:rPr>
              <w:t>≤250</w:t>
            </w:r>
          </w:p>
        </w:tc>
        <w:tc>
          <w:tcPr>
            <w:tcW w:w="549" w:type="pct"/>
            <w:noWrap w:val="0"/>
            <w:vAlign w:val="center"/>
          </w:tcPr>
          <w:p w14:paraId="3349C8D8">
            <w:pPr>
              <w:widowControl/>
              <w:ind w:right="150"/>
              <w:jc w:val="center"/>
              <w:rPr>
                <w:kern w:val="0"/>
                <w:szCs w:val="21"/>
              </w:rPr>
            </w:pPr>
            <w:r>
              <w:rPr>
                <w:kern w:val="0"/>
                <w:szCs w:val="21"/>
              </w:rPr>
              <w:t>≤450</w:t>
            </w:r>
          </w:p>
        </w:tc>
        <w:tc>
          <w:tcPr>
            <w:tcW w:w="559" w:type="pct"/>
            <w:noWrap w:val="0"/>
            <w:vAlign w:val="center"/>
          </w:tcPr>
          <w:p w14:paraId="10C3A344">
            <w:pPr>
              <w:widowControl/>
              <w:ind w:right="150"/>
              <w:jc w:val="center"/>
              <w:rPr>
                <w:kern w:val="0"/>
                <w:szCs w:val="21"/>
              </w:rPr>
            </w:pPr>
            <w:r>
              <w:rPr>
                <w:kern w:val="0"/>
                <w:szCs w:val="21"/>
              </w:rPr>
              <w:t>≤1.0</w:t>
            </w:r>
          </w:p>
        </w:tc>
        <w:tc>
          <w:tcPr>
            <w:tcW w:w="697" w:type="pct"/>
            <w:noWrap w:val="0"/>
            <w:vAlign w:val="center"/>
          </w:tcPr>
          <w:p w14:paraId="7EC39E3F">
            <w:pPr>
              <w:widowControl/>
              <w:ind w:left="150" w:right="150"/>
              <w:jc w:val="center"/>
              <w:rPr>
                <w:kern w:val="0"/>
                <w:szCs w:val="21"/>
              </w:rPr>
            </w:pPr>
            <w:r>
              <w:rPr>
                <w:kern w:val="0"/>
                <w:szCs w:val="21"/>
              </w:rPr>
              <w:t>≤250</w:t>
            </w:r>
          </w:p>
        </w:tc>
        <w:tc>
          <w:tcPr>
            <w:tcW w:w="582" w:type="pct"/>
            <w:noWrap w:val="0"/>
            <w:vAlign w:val="center"/>
          </w:tcPr>
          <w:p w14:paraId="6BAAC678">
            <w:pPr>
              <w:widowControl/>
              <w:ind w:left="150" w:right="150"/>
              <w:jc w:val="center"/>
              <w:rPr>
                <w:kern w:val="0"/>
                <w:szCs w:val="21"/>
              </w:rPr>
            </w:pPr>
            <w:r>
              <w:rPr>
                <w:kern w:val="0"/>
                <w:szCs w:val="21"/>
              </w:rPr>
              <w:t>≤1.0</w:t>
            </w:r>
          </w:p>
        </w:tc>
        <w:tc>
          <w:tcPr>
            <w:tcW w:w="1003" w:type="pct"/>
            <w:noWrap w:val="0"/>
            <w:vAlign w:val="center"/>
          </w:tcPr>
          <w:p w14:paraId="5A7D2F24">
            <w:pPr>
              <w:widowControl/>
              <w:ind w:left="150" w:right="150"/>
              <w:jc w:val="center"/>
              <w:rPr>
                <w:kern w:val="0"/>
                <w:szCs w:val="21"/>
              </w:rPr>
            </w:pPr>
            <w:r>
              <w:rPr>
                <w:kern w:val="0"/>
                <w:szCs w:val="21"/>
              </w:rPr>
              <w:t>≤3.0</w:t>
            </w:r>
          </w:p>
        </w:tc>
      </w:tr>
    </w:tbl>
    <w:p w14:paraId="29881C51">
      <w:pPr>
        <w:spacing w:line="360" w:lineRule="auto"/>
        <w:ind w:firstLine="482" w:firstLineChars="200"/>
        <w:rPr>
          <w:b/>
          <w:sz w:val="24"/>
        </w:rPr>
      </w:pPr>
      <w:r>
        <w:rPr>
          <w:b/>
          <w:sz w:val="24"/>
        </w:rPr>
        <w:t>4、声环境质量标准</w:t>
      </w:r>
    </w:p>
    <w:p w14:paraId="6772D8C0">
      <w:pPr>
        <w:spacing w:line="360" w:lineRule="auto"/>
        <w:ind w:firstLine="480" w:firstLineChars="200"/>
        <w:rPr>
          <w:sz w:val="24"/>
        </w:rPr>
      </w:pPr>
      <w:r>
        <w:rPr>
          <w:sz w:val="24"/>
        </w:rPr>
        <w:t>拟建项目位于项目位于昆明市石林彝族自治县圭山镇法块村、普拉河上寨村，项目区声环境执行《声环境质量标准》（GB3096－2008）2类标准，具体指标见表2.3-6。</w:t>
      </w:r>
    </w:p>
    <w:p w14:paraId="1EB803E1">
      <w:pPr>
        <w:pStyle w:val="784"/>
        <w:rPr>
          <w:rFonts w:ascii="Times New Roman" w:hAnsi="Times New Roman" w:cs="Times New Roman"/>
        </w:rPr>
      </w:pPr>
      <w:r>
        <w:rPr>
          <w:rFonts w:ascii="Times New Roman" w:hAnsi="Times New Roman" w:cs="Times New Roman"/>
        </w:rPr>
        <w:t>表2.3-6  声环境质量标准（GB3096－2008）中</w:t>
      </w:r>
      <w:r>
        <w:rPr>
          <w:rFonts w:ascii="Times New Roman" w:hAnsi="Times New Roman" w:cs="Times New Roman"/>
          <w:lang w:val="en-US"/>
        </w:rPr>
        <w:t>2</w:t>
      </w:r>
      <w:r>
        <w:rPr>
          <w:rFonts w:ascii="Times New Roman" w:hAnsi="Times New Roman" w:cs="Times New Roman"/>
        </w:rPr>
        <w:t>类</w:t>
      </w:r>
      <w:r>
        <w:rPr>
          <w:rFonts w:ascii="Times New Roman" w:hAnsi="Times New Roman" w:cs="Times New Roman"/>
          <w:lang w:val="en-US"/>
        </w:rPr>
        <w:t xml:space="preserve">   单位：</w:t>
      </w:r>
      <w:r>
        <w:rPr>
          <w:rFonts w:ascii="Times New Roman" w:hAnsi="Times New Roman" w:cs="Times New Roman"/>
        </w:rPr>
        <w:t>dB(A)</w:t>
      </w:r>
    </w:p>
    <w:tbl>
      <w:tblPr>
        <w:tblStyle w:val="87"/>
        <w:tblpPr w:leftFromText="181" w:rightFromText="181" w:bottomFromText="142" w:vertAnchor="text" w:tblpXSpec="center" w:tblpY="1"/>
        <w:tblOverlap w:val="never"/>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843"/>
        <w:gridCol w:w="2843"/>
        <w:gridCol w:w="2842"/>
      </w:tblGrid>
      <w:tr w14:paraId="5D881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1667" w:type="pct"/>
            <w:noWrap w:val="0"/>
            <w:vAlign w:val="center"/>
          </w:tcPr>
          <w:p w14:paraId="63B54A89">
            <w:pPr>
              <w:pStyle w:val="444"/>
              <w:rPr>
                <w:rFonts w:ascii="Times New Roman" w:hAnsi="Times New Roman"/>
                <w:color w:val="auto"/>
              </w:rPr>
            </w:pPr>
            <w:r>
              <w:rPr>
                <w:rFonts w:ascii="Times New Roman" w:hAnsi="Times New Roman"/>
                <w:color w:val="auto"/>
              </w:rPr>
              <w:t>类别</w:t>
            </w:r>
          </w:p>
        </w:tc>
        <w:tc>
          <w:tcPr>
            <w:tcW w:w="1667" w:type="pct"/>
            <w:noWrap w:val="0"/>
            <w:vAlign w:val="center"/>
          </w:tcPr>
          <w:p w14:paraId="0121AA99">
            <w:pPr>
              <w:pStyle w:val="444"/>
              <w:rPr>
                <w:rFonts w:ascii="Times New Roman" w:hAnsi="Times New Roman"/>
                <w:color w:val="auto"/>
              </w:rPr>
            </w:pPr>
            <w:r>
              <w:rPr>
                <w:rFonts w:ascii="Times New Roman" w:hAnsi="Times New Roman"/>
                <w:color w:val="auto"/>
              </w:rPr>
              <w:t>昼间Leq[dB(A)]</w:t>
            </w:r>
          </w:p>
        </w:tc>
        <w:tc>
          <w:tcPr>
            <w:tcW w:w="1667" w:type="pct"/>
            <w:noWrap w:val="0"/>
            <w:vAlign w:val="center"/>
          </w:tcPr>
          <w:p w14:paraId="71DD9E4A">
            <w:pPr>
              <w:pStyle w:val="444"/>
              <w:rPr>
                <w:rFonts w:ascii="Times New Roman" w:hAnsi="Times New Roman"/>
                <w:color w:val="auto"/>
              </w:rPr>
            </w:pPr>
            <w:r>
              <w:rPr>
                <w:rFonts w:ascii="Times New Roman" w:hAnsi="Times New Roman"/>
                <w:color w:val="auto"/>
              </w:rPr>
              <w:t>夜间Leq[dB(A)]</w:t>
            </w:r>
          </w:p>
        </w:tc>
      </w:tr>
      <w:tr w14:paraId="27774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1667" w:type="pct"/>
            <w:noWrap w:val="0"/>
            <w:vAlign w:val="center"/>
          </w:tcPr>
          <w:p w14:paraId="1E7C6365">
            <w:pPr>
              <w:pStyle w:val="444"/>
              <w:rPr>
                <w:rFonts w:ascii="Times New Roman" w:hAnsi="Times New Roman"/>
                <w:color w:val="auto"/>
              </w:rPr>
            </w:pPr>
            <w:r>
              <w:rPr>
                <w:rFonts w:ascii="Times New Roman" w:hAnsi="Times New Roman"/>
                <w:color w:val="auto"/>
              </w:rPr>
              <w:t>2类</w:t>
            </w:r>
          </w:p>
        </w:tc>
        <w:tc>
          <w:tcPr>
            <w:tcW w:w="1667" w:type="pct"/>
            <w:noWrap w:val="0"/>
            <w:vAlign w:val="center"/>
          </w:tcPr>
          <w:p w14:paraId="0EE0561F">
            <w:pPr>
              <w:pStyle w:val="444"/>
              <w:rPr>
                <w:rFonts w:ascii="Times New Roman" w:hAnsi="Times New Roman"/>
                <w:color w:val="auto"/>
              </w:rPr>
            </w:pPr>
            <w:r>
              <w:rPr>
                <w:rFonts w:ascii="Times New Roman" w:hAnsi="Times New Roman"/>
                <w:color w:val="auto"/>
              </w:rPr>
              <w:t>60</w:t>
            </w:r>
          </w:p>
        </w:tc>
        <w:tc>
          <w:tcPr>
            <w:tcW w:w="1667" w:type="pct"/>
            <w:noWrap w:val="0"/>
            <w:vAlign w:val="center"/>
          </w:tcPr>
          <w:p w14:paraId="63D5C0BC">
            <w:pPr>
              <w:pStyle w:val="444"/>
              <w:rPr>
                <w:rFonts w:ascii="Times New Roman" w:hAnsi="Times New Roman"/>
                <w:color w:val="auto"/>
              </w:rPr>
            </w:pPr>
            <w:r>
              <w:rPr>
                <w:rFonts w:ascii="Times New Roman" w:hAnsi="Times New Roman"/>
                <w:color w:val="auto"/>
              </w:rPr>
              <w:t>50</w:t>
            </w:r>
          </w:p>
        </w:tc>
      </w:tr>
    </w:tbl>
    <w:p w14:paraId="1F0F62EB">
      <w:pPr>
        <w:spacing w:line="360" w:lineRule="auto"/>
        <w:ind w:firstLine="482" w:firstLineChars="200"/>
        <w:rPr>
          <w:b/>
          <w:sz w:val="24"/>
        </w:rPr>
      </w:pPr>
      <w:r>
        <w:rPr>
          <w:b/>
          <w:sz w:val="24"/>
        </w:rPr>
        <w:t>5、土壤环境质量标准</w:t>
      </w:r>
    </w:p>
    <w:p w14:paraId="75C0E1FA">
      <w:pPr>
        <w:spacing w:line="360" w:lineRule="auto"/>
        <w:ind w:firstLine="480" w:firstLineChars="200"/>
        <w:rPr>
          <w:sz w:val="24"/>
        </w:rPr>
      </w:pPr>
      <w:r>
        <w:rPr>
          <w:sz w:val="24"/>
        </w:rPr>
        <w:t>项目用地属于设施农用地，场地范围外的养殖废水施肥区的耕地主要种植苹果等农作物，为农业用地。执行《土壤环境质量 农用地土壤污染风险管控标准GB15618-2018》，见表2.3-7~表2.3-9。</w:t>
      </w:r>
    </w:p>
    <w:p w14:paraId="487EEF66">
      <w:pPr>
        <w:tabs>
          <w:tab w:val="left" w:pos="2280"/>
        </w:tabs>
        <w:spacing w:line="360" w:lineRule="auto"/>
        <w:ind w:firstLine="422" w:firstLineChars="200"/>
        <w:jc w:val="center"/>
        <w:rPr>
          <w:b/>
          <w:szCs w:val="21"/>
        </w:rPr>
      </w:pPr>
      <w:r>
        <w:rPr>
          <w:b/>
          <w:szCs w:val="21"/>
        </w:rPr>
        <w:t>表2.3-7  农用地土壤污染风险筛选值（基本项目）  单位： mg/kg</w:t>
      </w:r>
    </w:p>
    <w:tbl>
      <w:tblPr>
        <w:tblStyle w:val="87"/>
        <w:tblW w:w="5000" w:type="pct"/>
        <w:tblInd w:w="0" w:type="dxa"/>
        <w:tblLayout w:type="autofit"/>
        <w:tblCellMar>
          <w:top w:w="0" w:type="dxa"/>
          <w:left w:w="108" w:type="dxa"/>
          <w:bottom w:w="0" w:type="dxa"/>
          <w:right w:w="108" w:type="dxa"/>
        </w:tblCellMar>
      </w:tblPr>
      <w:tblGrid>
        <w:gridCol w:w="698"/>
        <w:gridCol w:w="716"/>
        <w:gridCol w:w="866"/>
        <w:gridCol w:w="1361"/>
        <w:gridCol w:w="1463"/>
        <w:gridCol w:w="1689"/>
        <w:gridCol w:w="1735"/>
      </w:tblGrid>
      <w:tr w14:paraId="05410A50">
        <w:trPr>
          <w:trHeight w:val="363"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7A756FEC">
            <w:pPr>
              <w:autoSpaceDE w:val="0"/>
              <w:autoSpaceDN w:val="0"/>
              <w:adjustRightInd w:val="0"/>
              <w:jc w:val="center"/>
              <w:rPr>
                <w:kern w:val="0"/>
                <w:sz w:val="18"/>
                <w:szCs w:val="18"/>
              </w:rPr>
            </w:pPr>
            <w:r>
              <w:rPr>
                <w:kern w:val="0"/>
                <w:sz w:val="18"/>
                <w:szCs w:val="18"/>
              </w:rPr>
              <w:t>序号</w:t>
            </w:r>
          </w:p>
        </w:tc>
        <w:tc>
          <w:tcPr>
            <w:tcW w:w="928"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A4CB84A">
            <w:pPr>
              <w:autoSpaceDE w:val="0"/>
              <w:autoSpaceDN w:val="0"/>
              <w:adjustRightInd w:val="0"/>
              <w:jc w:val="center"/>
              <w:rPr>
                <w:kern w:val="0"/>
                <w:sz w:val="18"/>
                <w:szCs w:val="18"/>
              </w:rPr>
            </w:pPr>
            <w:r>
              <w:rPr>
                <w:kern w:val="0"/>
                <w:sz w:val="18"/>
                <w:szCs w:val="18"/>
              </w:rPr>
              <w:t>污染物项目①②</w:t>
            </w:r>
          </w:p>
        </w:tc>
        <w:tc>
          <w:tcPr>
            <w:tcW w:w="3663" w:type="pct"/>
            <w:gridSpan w:val="4"/>
            <w:tcBorders>
              <w:top w:val="single" w:color="000000" w:sz="4" w:space="0"/>
              <w:left w:val="single" w:color="000000" w:sz="4" w:space="0"/>
              <w:bottom w:val="single" w:color="000000" w:sz="4" w:space="0"/>
              <w:right w:val="single" w:color="000000" w:sz="4" w:space="0"/>
            </w:tcBorders>
            <w:noWrap w:val="0"/>
            <w:vAlign w:val="center"/>
          </w:tcPr>
          <w:p w14:paraId="75E4E648">
            <w:pPr>
              <w:autoSpaceDE w:val="0"/>
              <w:autoSpaceDN w:val="0"/>
              <w:adjustRightInd w:val="0"/>
              <w:jc w:val="center"/>
              <w:rPr>
                <w:kern w:val="0"/>
                <w:sz w:val="18"/>
                <w:szCs w:val="18"/>
              </w:rPr>
            </w:pPr>
            <w:r>
              <w:rPr>
                <w:kern w:val="0"/>
                <w:sz w:val="18"/>
                <w:szCs w:val="18"/>
              </w:rPr>
              <w:t>风险筛选值</w:t>
            </w:r>
          </w:p>
        </w:tc>
      </w:tr>
      <w:tr w14:paraId="0D1685D9">
        <w:tblPrEx>
          <w:tblCellMar>
            <w:top w:w="0" w:type="dxa"/>
            <w:left w:w="108" w:type="dxa"/>
            <w:bottom w:w="0" w:type="dxa"/>
            <w:right w:w="108" w:type="dxa"/>
          </w:tblCellMar>
        </w:tblPrEx>
        <w:trPr>
          <w:trHeight w:val="323"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921BBE">
            <w:pPr>
              <w:autoSpaceDE w:val="0"/>
              <w:autoSpaceDN w:val="0"/>
              <w:adjustRightInd w:val="0"/>
              <w:jc w:val="center"/>
              <w:rPr>
                <w:kern w:val="0"/>
              </w:rPr>
            </w:pPr>
          </w:p>
        </w:tc>
        <w:tc>
          <w:tcPr>
            <w:tcW w:w="928"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DEF5846">
            <w:pPr>
              <w:autoSpaceDE w:val="0"/>
              <w:autoSpaceDN w:val="0"/>
              <w:adjustRightInd w:val="0"/>
              <w:jc w:val="center"/>
              <w:rPr>
                <w:kern w:val="0"/>
              </w:rPr>
            </w:pP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00926AEB">
            <w:pPr>
              <w:autoSpaceDE w:val="0"/>
              <w:autoSpaceDN w:val="0"/>
              <w:adjustRightInd w:val="0"/>
              <w:jc w:val="center"/>
              <w:rPr>
                <w:kern w:val="0"/>
                <w:sz w:val="18"/>
                <w:szCs w:val="18"/>
              </w:rPr>
            </w:pPr>
            <w:r>
              <w:rPr>
                <w:kern w:val="0"/>
                <w:sz w:val="18"/>
                <w:szCs w:val="18"/>
              </w:rPr>
              <w:t>pH≤5.5</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1E4DFEBB">
            <w:pPr>
              <w:autoSpaceDE w:val="0"/>
              <w:autoSpaceDN w:val="0"/>
              <w:adjustRightInd w:val="0"/>
              <w:jc w:val="center"/>
              <w:rPr>
                <w:kern w:val="0"/>
                <w:sz w:val="18"/>
                <w:szCs w:val="18"/>
              </w:rPr>
            </w:pPr>
            <w:r>
              <w:rPr>
                <w:kern w:val="0"/>
                <w:sz w:val="18"/>
                <w:szCs w:val="18"/>
              </w:rPr>
              <w:t>5.5＜pH≤6.5</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65516B52">
            <w:pPr>
              <w:autoSpaceDE w:val="0"/>
              <w:autoSpaceDN w:val="0"/>
              <w:adjustRightInd w:val="0"/>
              <w:jc w:val="center"/>
              <w:rPr>
                <w:kern w:val="0"/>
                <w:sz w:val="18"/>
                <w:szCs w:val="18"/>
              </w:rPr>
            </w:pPr>
            <w:r>
              <w:rPr>
                <w:kern w:val="0"/>
                <w:sz w:val="18"/>
                <w:szCs w:val="18"/>
              </w:rPr>
              <w:t>6.5&lt; pH≤7.5</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191BF73F">
            <w:pPr>
              <w:autoSpaceDE w:val="0"/>
              <w:autoSpaceDN w:val="0"/>
              <w:adjustRightInd w:val="0"/>
              <w:jc w:val="center"/>
              <w:rPr>
                <w:kern w:val="0"/>
                <w:sz w:val="18"/>
                <w:szCs w:val="18"/>
              </w:rPr>
            </w:pPr>
            <w:r>
              <w:rPr>
                <w:kern w:val="0"/>
                <w:sz w:val="18"/>
                <w:szCs w:val="18"/>
              </w:rPr>
              <w:t>pH&gt;7.5</w:t>
            </w:r>
          </w:p>
        </w:tc>
      </w:tr>
      <w:tr w14:paraId="78BC4371">
        <w:tblPrEx>
          <w:tblCellMar>
            <w:top w:w="0" w:type="dxa"/>
            <w:left w:w="108" w:type="dxa"/>
            <w:bottom w:w="0" w:type="dxa"/>
            <w:right w:w="108" w:type="dxa"/>
          </w:tblCellMar>
        </w:tblPrEx>
        <w:trPr>
          <w:trHeight w:val="375"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778CB989">
            <w:pPr>
              <w:autoSpaceDE w:val="0"/>
              <w:autoSpaceDN w:val="0"/>
              <w:adjustRightInd w:val="0"/>
              <w:jc w:val="center"/>
              <w:rPr>
                <w:kern w:val="0"/>
              </w:rPr>
            </w:pPr>
            <w:r>
              <w:rPr>
                <w:kern w:val="0"/>
              </w:rPr>
              <w:t xml:space="preserve">1 </w:t>
            </w:r>
          </w:p>
        </w:tc>
        <w:tc>
          <w:tcPr>
            <w:tcW w:w="420" w:type="pct"/>
            <w:vMerge w:val="restart"/>
            <w:tcBorders>
              <w:top w:val="single" w:color="000000" w:sz="4" w:space="0"/>
              <w:left w:val="single" w:color="000000" w:sz="4" w:space="0"/>
              <w:bottom w:val="single" w:color="000000" w:sz="4" w:space="0"/>
              <w:right w:val="single" w:color="000000" w:sz="4" w:space="0"/>
            </w:tcBorders>
            <w:noWrap w:val="0"/>
            <w:vAlign w:val="center"/>
          </w:tcPr>
          <w:p w14:paraId="47A62D66">
            <w:pPr>
              <w:autoSpaceDE w:val="0"/>
              <w:autoSpaceDN w:val="0"/>
              <w:adjustRightInd w:val="0"/>
              <w:jc w:val="center"/>
              <w:rPr>
                <w:kern w:val="0"/>
                <w:sz w:val="18"/>
                <w:szCs w:val="18"/>
              </w:rPr>
            </w:pPr>
            <w:r>
              <w:rPr>
                <w:kern w:val="0"/>
                <w:sz w:val="18"/>
                <w:szCs w:val="18"/>
              </w:rPr>
              <w:t>镉</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35CDB2CB">
            <w:pPr>
              <w:autoSpaceDE w:val="0"/>
              <w:autoSpaceDN w:val="0"/>
              <w:adjustRightInd w:val="0"/>
              <w:jc w:val="center"/>
              <w:rPr>
                <w:kern w:val="0"/>
                <w:sz w:val="18"/>
                <w:szCs w:val="18"/>
              </w:rPr>
            </w:pPr>
            <w:r>
              <w:rPr>
                <w:kern w:val="0"/>
                <w:sz w:val="18"/>
                <w:szCs w:val="18"/>
              </w:rPr>
              <w:t>水田</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576C3790">
            <w:pPr>
              <w:autoSpaceDE w:val="0"/>
              <w:autoSpaceDN w:val="0"/>
              <w:adjustRightInd w:val="0"/>
              <w:jc w:val="center"/>
              <w:rPr>
                <w:kern w:val="0"/>
                <w:sz w:val="18"/>
                <w:szCs w:val="18"/>
              </w:rPr>
            </w:pPr>
            <w:r>
              <w:rPr>
                <w:kern w:val="0"/>
                <w:sz w:val="18"/>
                <w:szCs w:val="18"/>
              </w:rPr>
              <w:t xml:space="preserve">0.3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5EC8D357">
            <w:pPr>
              <w:autoSpaceDE w:val="0"/>
              <w:autoSpaceDN w:val="0"/>
              <w:adjustRightInd w:val="0"/>
              <w:jc w:val="center"/>
              <w:rPr>
                <w:kern w:val="0"/>
                <w:sz w:val="18"/>
                <w:szCs w:val="18"/>
              </w:rPr>
            </w:pPr>
            <w:r>
              <w:rPr>
                <w:kern w:val="0"/>
                <w:sz w:val="18"/>
                <w:szCs w:val="18"/>
              </w:rPr>
              <w:t xml:space="preserve">0.4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1A5AD56B">
            <w:pPr>
              <w:autoSpaceDE w:val="0"/>
              <w:autoSpaceDN w:val="0"/>
              <w:adjustRightInd w:val="0"/>
              <w:jc w:val="center"/>
              <w:rPr>
                <w:kern w:val="0"/>
                <w:sz w:val="18"/>
                <w:szCs w:val="18"/>
              </w:rPr>
            </w:pPr>
            <w:r>
              <w:rPr>
                <w:kern w:val="0"/>
                <w:sz w:val="18"/>
                <w:szCs w:val="18"/>
              </w:rPr>
              <w:t xml:space="preserve">0.6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397C3494">
            <w:pPr>
              <w:autoSpaceDE w:val="0"/>
              <w:autoSpaceDN w:val="0"/>
              <w:adjustRightInd w:val="0"/>
              <w:jc w:val="center"/>
              <w:rPr>
                <w:kern w:val="0"/>
                <w:sz w:val="18"/>
                <w:szCs w:val="18"/>
              </w:rPr>
            </w:pPr>
            <w:r>
              <w:rPr>
                <w:kern w:val="0"/>
                <w:sz w:val="18"/>
                <w:szCs w:val="18"/>
              </w:rPr>
              <w:t xml:space="preserve">0.8 </w:t>
            </w:r>
          </w:p>
        </w:tc>
      </w:tr>
      <w:tr w14:paraId="5E7CAEB0">
        <w:tblPrEx>
          <w:tblCellMar>
            <w:top w:w="0" w:type="dxa"/>
            <w:left w:w="108" w:type="dxa"/>
            <w:bottom w:w="0" w:type="dxa"/>
            <w:right w:w="108" w:type="dxa"/>
          </w:tblCellMar>
        </w:tblPrEx>
        <w:trPr>
          <w:trHeight w:val="375"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50CD10">
            <w:pPr>
              <w:autoSpaceDE w:val="0"/>
              <w:autoSpaceDN w:val="0"/>
              <w:adjustRightInd w:val="0"/>
              <w:jc w:val="center"/>
              <w:rPr>
                <w:kern w:val="0"/>
              </w:rPr>
            </w:pPr>
          </w:p>
        </w:tc>
        <w:tc>
          <w:tcPr>
            <w:tcW w:w="4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6DA324">
            <w:pPr>
              <w:autoSpaceDE w:val="0"/>
              <w:autoSpaceDN w:val="0"/>
              <w:adjustRightInd w:val="0"/>
              <w:jc w:val="center"/>
              <w:rPr>
                <w:kern w:val="0"/>
              </w:rPr>
            </w:pP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36C5005A">
            <w:pPr>
              <w:autoSpaceDE w:val="0"/>
              <w:autoSpaceDN w:val="0"/>
              <w:adjustRightInd w:val="0"/>
              <w:jc w:val="center"/>
              <w:rPr>
                <w:kern w:val="0"/>
                <w:sz w:val="18"/>
                <w:szCs w:val="18"/>
              </w:rPr>
            </w:pPr>
            <w:r>
              <w:rPr>
                <w:kern w:val="0"/>
                <w:sz w:val="18"/>
                <w:szCs w:val="18"/>
              </w:rPr>
              <w:t>其他</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466608D6">
            <w:pPr>
              <w:autoSpaceDE w:val="0"/>
              <w:autoSpaceDN w:val="0"/>
              <w:adjustRightInd w:val="0"/>
              <w:jc w:val="center"/>
              <w:rPr>
                <w:kern w:val="0"/>
                <w:sz w:val="18"/>
                <w:szCs w:val="18"/>
              </w:rPr>
            </w:pPr>
            <w:r>
              <w:rPr>
                <w:kern w:val="0"/>
                <w:sz w:val="18"/>
                <w:szCs w:val="18"/>
              </w:rPr>
              <w:t xml:space="preserve">0.3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159BD40B">
            <w:pPr>
              <w:autoSpaceDE w:val="0"/>
              <w:autoSpaceDN w:val="0"/>
              <w:adjustRightInd w:val="0"/>
              <w:jc w:val="center"/>
              <w:rPr>
                <w:kern w:val="0"/>
                <w:sz w:val="18"/>
                <w:szCs w:val="18"/>
              </w:rPr>
            </w:pPr>
            <w:r>
              <w:rPr>
                <w:kern w:val="0"/>
                <w:sz w:val="18"/>
                <w:szCs w:val="18"/>
              </w:rPr>
              <w:t xml:space="preserve">0.3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5DACD66F">
            <w:pPr>
              <w:autoSpaceDE w:val="0"/>
              <w:autoSpaceDN w:val="0"/>
              <w:adjustRightInd w:val="0"/>
              <w:jc w:val="center"/>
              <w:rPr>
                <w:kern w:val="0"/>
                <w:sz w:val="18"/>
                <w:szCs w:val="18"/>
              </w:rPr>
            </w:pPr>
            <w:r>
              <w:rPr>
                <w:kern w:val="0"/>
                <w:sz w:val="18"/>
                <w:szCs w:val="18"/>
              </w:rPr>
              <w:t xml:space="preserve">0.3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668FD48A">
            <w:pPr>
              <w:autoSpaceDE w:val="0"/>
              <w:autoSpaceDN w:val="0"/>
              <w:adjustRightInd w:val="0"/>
              <w:jc w:val="center"/>
              <w:rPr>
                <w:kern w:val="0"/>
                <w:sz w:val="18"/>
                <w:szCs w:val="18"/>
              </w:rPr>
            </w:pPr>
            <w:r>
              <w:rPr>
                <w:kern w:val="0"/>
                <w:sz w:val="18"/>
                <w:szCs w:val="18"/>
              </w:rPr>
              <w:t xml:space="preserve">0.6 </w:t>
            </w:r>
          </w:p>
        </w:tc>
      </w:tr>
      <w:tr w14:paraId="11F02A8B">
        <w:tblPrEx>
          <w:tblCellMar>
            <w:top w:w="0" w:type="dxa"/>
            <w:left w:w="108" w:type="dxa"/>
            <w:bottom w:w="0" w:type="dxa"/>
            <w:right w:w="108" w:type="dxa"/>
          </w:tblCellMar>
        </w:tblPrEx>
        <w:trPr>
          <w:trHeight w:val="323"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29FE1F14">
            <w:pPr>
              <w:autoSpaceDE w:val="0"/>
              <w:autoSpaceDN w:val="0"/>
              <w:adjustRightInd w:val="0"/>
              <w:jc w:val="center"/>
              <w:rPr>
                <w:kern w:val="0"/>
              </w:rPr>
            </w:pPr>
            <w:r>
              <w:rPr>
                <w:kern w:val="0"/>
              </w:rPr>
              <w:t xml:space="preserve">2 </w:t>
            </w:r>
          </w:p>
        </w:tc>
        <w:tc>
          <w:tcPr>
            <w:tcW w:w="420" w:type="pct"/>
            <w:vMerge w:val="restart"/>
            <w:tcBorders>
              <w:top w:val="single" w:color="000000" w:sz="4" w:space="0"/>
              <w:left w:val="single" w:color="000000" w:sz="4" w:space="0"/>
              <w:bottom w:val="single" w:color="000000" w:sz="4" w:space="0"/>
              <w:right w:val="single" w:color="000000" w:sz="4" w:space="0"/>
            </w:tcBorders>
            <w:noWrap w:val="0"/>
            <w:vAlign w:val="center"/>
          </w:tcPr>
          <w:p w14:paraId="7BF9B07C">
            <w:pPr>
              <w:autoSpaceDE w:val="0"/>
              <w:autoSpaceDN w:val="0"/>
              <w:adjustRightInd w:val="0"/>
              <w:jc w:val="center"/>
              <w:rPr>
                <w:kern w:val="0"/>
                <w:sz w:val="18"/>
                <w:szCs w:val="18"/>
              </w:rPr>
            </w:pPr>
            <w:r>
              <w:rPr>
                <w:kern w:val="0"/>
                <w:sz w:val="18"/>
                <w:szCs w:val="18"/>
              </w:rPr>
              <w:t>汞</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1A3223C9">
            <w:pPr>
              <w:autoSpaceDE w:val="0"/>
              <w:autoSpaceDN w:val="0"/>
              <w:adjustRightInd w:val="0"/>
              <w:jc w:val="center"/>
              <w:rPr>
                <w:kern w:val="0"/>
                <w:sz w:val="18"/>
                <w:szCs w:val="18"/>
              </w:rPr>
            </w:pPr>
            <w:r>
              <w:rPr>
                <w:kern w:val="0"/>
                <w:sz w:val="18"/>
                <w:szCs w:val="18"/>
              </w:rPr>
              <w:t>水田</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6B526A1A">
            <w:pPr>
              <w:autoSpaceDE w:val="0"/>
              <w:autoSpaceDN w:val="0"/>
              <w:adjustRightInd w:val="0"/>
              <w:jc w:val="center"/>
              <w:rPr>
                <w:kern w:val="0"/>
                <w:sz w:val="18"/>
                <w:szCs w:val="18"/>
              </w:rPr>
            </w:pPr>
            <w:r>
              <w:rPr>
                <w:kern w:val="0"/>
                <w:sz w:val="18"/>
                <w:szCs w:val="18"/>
              </w:rPr>
              <w:t xml:space="preserve">0.5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76654360">
            <w:pPr>
              <w:autoSpaceDE w:val="0"/>
              <w:autoSpaceDN w:val="0"/>
              <w:adjustRightInd w:val="0"/>
              <w:jc w:val="center"/>
              <w:rPr>
                <w:kern w:val="0"/>
                <w:sz w:val="18"/>
                <w:szCs w:val="18"/>
              </w:rPr>
            </w:pPr>
            <w:r>
              <w:rPr>
                <w:kern w:val="0"/>
                <w:sz w:val="18"/>
                <w:szCs w:val="18"/>
              </w:rPr>
              <w:t xml:space="preserve">0.5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43B3C7E8">
            <w:pPr>
              <w:autoSpaceDE w:val="0"/>
              <w:autoSpaceDN w:val="0"/>
              <w:adjustRightInd w:val="0"/>
              <w:jc w:val="center"/>
              <w:rPr>
                <w:kern w:val="0"/>
                <w:sz w:val="18"/>
                <w:szCs w:val="18"/>
              </w:rPr>
            </w:pPr>
            <w:r>
              <w:rPr>
                <w:kern w:val="0"/>
                <w:sz w:val="18"/>
                <w:szCs w:val="18"/>
              </w:rPr>
              <w:t xml:space="preserve">0.6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7D560583">
            <w:pPr>
              <w:autoSpaceDE w:val="0"/>
              <w:autoSpaceDN w:val="0"/>
              <w:adjustRightInd w:val="0"/>
              <w:jc w:val="center"/>
              <w:rPr>
                <w:kern w:val="0"/>
                <w:sz w:val="18"/>
                <w:szCs w:val="18"/>
              </w:rPr>
            </w:pPr>
            <w:r>
              <w:rPr>
                <w:kern w:val="0"/>
                <w:sz w:val="18"/>
                <w:szCs w:val="18"/>
              </w:rPr>
              <w:t xml:space="preserve">1.0 </w:t>
            </w:r>
          </w:p>
        </w:tc>
      </w:tr>
      <w:tr w14:paraId="2401DE36">
        <w:tblPrEx>
          <w:tblCellMar>
            <w:top w:w="0" w:type="dxa"/>
            <w:left w:w="108" w:type="dxa"/>
            <w:bottom w:w="0" w:type="dxa"/>
            <w:right w:w="108" w:type="dxa"/>
          </w:tblCellMar>
        </w:tblPrEx>
        <w:trPr>
          <w:trHeight w:val="325"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D88ABD">
            <w:pPr>
              <w:autoSpaceDE w:val="0"/>
              <w:autoSpaceDN w:val="0"/>
              <w:adjustRightInd w:val="0"/>
              <w:jc w:val="center"/>
              <w:rPr>
                <w:kern w:val="0"/>
              </w:rPr>
            </w:pPr>
          </w:p>
        </w:tc>
        <w:tc>
          <w:tcPr>
            <w:tcW w:w="4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4FEAA0">
            <w:pPr>
              <w:autoSpaceDE w:val="0"/>
              <w:autoSpaceDN w:val="0"/>
              <w:adjustRightInd w:val="0"/>
              <w:jc w:val="center"/>
              <w:rPr>
                <w:kern w:val="0"/>
              </w:rPr>
            </w:pP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6415AB05">
            <w:pPr>
              <w:autoSpaceDE w:val="0"/>
              <w:autoSpaceDN w:val="0"/>
              <w:adjustRightInd w:val="0"/>
              <w:jc w:val="center"/>
              <w:rPr>
                <w:kern w:val="0"/>
                <w:sz w:val="18"/>
                <w:szCs w:val="18"/>
              </w:rPr>
            </w:pPr>
            <w:r>
              <w:rPr>
                <w:kern w:val="0"/>
                <w:sz w:val="18"/>
                <w:szCs w:val="18"/>
              </w:rPr>
              <w:t>其他</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51593140">
            <w:pPr>
              <w:autoSpaceDE w:val="0"/>
              <w:autoSpaceDN w:val="0"/>
              <w:adjustRightInd w:val="0"/>
              <w:jc w:val="center"/>
              <w:rPr>
                <w:kern w:val="0"/>
                <w:sz w:val="18"/>
                <w:szCs w:val="18"/>
              </w:rPr>
            </w:pPr>
            <w:r>
              <w:rPr>
                <w:kern w:val="0"/>
                <w:sz w:val="18"/>
                <w:szCs w:val="18"/>
              </w:rPr>
              <w:t xml:space="preserve">1.3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5FD244F1">
            <w:pPr>
              <w:autoSpaceDE w:val="0"/>
              <w:autoSpaceDN w:val="0"/>
              <w:adjustRightInd w:val="0"/>
              <w:jc w:val="center"/>
              <w:rPr>
                <w:kern w:val="0"/>
                <w:sz w:val="18"/>
                <w:szCs w:val="18"/>
              </w:rPr>
            </w:pPr>
            <w:r>
              <w:rPr>
                <w:kern w:val="0"/>
                <w:sz w:val="18"/>
                <w:szCs w:val="18"/>
              </w:rPr>
              <w:t xml:space="preserve">1.8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1C996187">
            <w:pPr>
              <w:autoSpaceDE w:val="0"/>
              <w:autoSpaceDN w:val="0"/>
              <w:adjustRightInd w:val="0"/>
              <w:jc w:val="center"/>
              <w:rPr>
                <w:kern w:val="0"/>
                <w:sz w:val="18"/>
                <w:szCs w:val="18"/>
              </w:rPr>
            </w:pPr>
            <w:r>
              <w:rPr>
                <w:kern w:val="0"/>
                <w:sz w:val="18"/>
                <w:szCs w:val="18"/>
              </w:rPr>
              <w:t xml:space="preserve">2.4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7D6B64E5">
            <w:pPr>
              <w:autoSpaceDE w:val="0"/>
              <w:autoSpaceDN w:val="0"/>
              <w:adjustRightInd w:val="0"/>
              <w:jc w:val="center"/>
              <w:rPr>
                <w:kern w:val="0"/>
                <w:sz w:val="18"/>
                <w:szCs w:val="18"/>
              </w:rPr>
            </w:pPr>
            <w:r>
              <w:rPr>
                <w:kern w:val="0"/>
                <w:sz w:val="18"/>
                <w:szCs w:val="18"/>
              </w:rPr>
              <w:t xml:space="preserve">3.4 </w:t>
            </w:r>
          </w:p>
        </w:tc>
      </w:tr>
      <w:tr w14:paraId="56D2846D">
        <w:tblPrEx>
          <w:tblCellMar>
            <w:top w:w="0" w:type="dxa"/>
            <w:left w:w="108" w:type="dxa"/>
            <w:bottom w:w="0" w:type="dxa"/>
            <w:right w:w="108" w:type="dxa"/>
          </w:tblCellMar>
        </w:tblPrEx>
        <w:trPr>
          <w:trHeight w:val="323"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544904CC">
            <w:pPr>
              <w:autoSpaceDE w:val="0"/>
              <w:autoSpaceDN w:val="0"/>
              <w:adjustRightInd w:val="0"/>
              <w:jc w:val="center"/>
              <w:rPr>
                <w:kern w:val="0"/>
              </w:rPr>
            </w:pPr>
            <w:r>
              <w:rPr>
                <w:kern w:val="0"/>
              </w:rPr>
              <w:t xml:space="preserve">3 </w:t>
            </w:r>
          </w:p>
        </w:tc>
        <w:tc>
          <w:tcPr>
            <w:tcW w:w="420" w:type="pct"/>
            <w:vMerge w:val="restart"/>
            <w:tcBorders>
              <w:top w:val="single" w:color="000000" w:sz="4" w:space="0"/>
              <w:left w:val="single" w:color="000000" w:sz="4" w:space="0"/>
              <w:bottom w:val="single" w:color="000000" w:sz="4" w:space="0"/>
              <w:right w:val="single" w:color="000000" w:sz="4" w:space="0"/>
            </w:tcBorders>
            <w:noWrap w:val="0"/>
            <w:vAlign w:val="center"/>
          </w:tcPr>
          <w:p w14:paraId="330ED805">
            <w:pPr>
              <w:autoSpaceDE w:val="0"/>
              <w:autoSpaceDN w:val="0"/>
              <w:adjustRightInd w:val="0"/>
              <w:jc w:val="center"/>
              <w:rPr>
                <w:kern w:val="0"/>
                <w:sz w:val="18"/>
                <w:szCs w:val="18"/>
              </w:rPr>
            </w:pPr>
            <w:r>
              <w:rPr>
                <w:kern w:val="0"/>
                <w:sz w:val="18"/>
                <w:szCs w:val="18"/>
              </w:rPr>
              <w:t>砷</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346B3391">
            <w:pPr>
              <w:autoSpaceDE w:val="0"/>
              <w:autoSpaceDN w:val="0"/>
              <w:adjustRightInd w:val="0"/>
              <w:jc w:val="center"/>
              <w:rPr>
                <w:kern w:val="0"/>
                <w:sz w:val="18"/>
                <w:szCs w:val="18"/>
              </w:rPr>
            </w:pPr>
            <w:r>
              <w:rPr>
                <w:kern w:val="0"/>
                <w:sz w:val="18"/>
                <w:szCs w:val="18"/>
              </w:rPr>
              <w:t>水田</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64B18C56">
            <w:pPr>
              <w:autoSpaceDE w:val="0"/>
              <w:autoSpaceDN w:val="0"/>
              <w:adjustRightInd w:val="0"/>
              <w:jc w:val="center"/>
              <w:rPr>
                <w:kern w:val="0"/>
                <w:sz w:val="18"/>
                <w:szCs w:val="18"/>
              </w:rPr>
            </w:pPr>
            <w:r>
              <w:rPr>
                <w:kern w:val="0"/>
                <w:sz w:val="18"/>
                <w:szCs w:val="18"/>
              </w:rPr>
              <w:t xml:space="preserve">30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4F3D9EA0">
            <w:pPr>
              <w:autoSpaceDE w:val="0"/>
              <w:autoSpaceDN w:val="0"/>
              <w:adjustRightInd w:val="0"/>
              <w:jc w:val="center"/>
              <w:rPr>
                <w:kern w:val="0"/>
                <w:sz w:val="18"/>
                <w:szCs w:val="18"/>
              </w:rPr>
            </w:pPr>
            <w:r>
              <w:rPr>
                <w:kern w:val="0"/>
                <w:sz w:val="18"/>
                <w:szCs w:val="18"/>
              </w:rPr>
              <w:t xml:space="preserve">30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3DD8AE03">
            <w:pPr>
              <w:autoSpaceDE w:val="0"/>
              <w:autoSpaceDN w:val="0"/>
              <w:adjustRightInd w:val="0"/>
              <w:jc w:val="center"/>
              <w:rPr>
                <w:kern w:val="0"/>
                <w:sz w:val="18"/>
                <w:szCs w:val="18"/>
              </w:rPr>
            </w:pPr>
            <w:r>
              <w:rPr>
                <w:kern w:val="0"/>
                <w:sz w:val="18"/>
                <w:szCs w:val="18"/>
              </w:rPr>
              <w:t xml:space="preserve">25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2FA9F524">
            <w:pPr>
              <w:autoSpaceDE w:val="0"/>
              <w:autoSpaceDN w:val="0"/>
              <w:adjustRightInd w:val="0"/>
              <w:jc w:val="center"/>
              <w:rPr>
                <w:kern w:val="0"/>
                <w:sz w:val="18"/>
                <w:szCs w:val="18"/>
              </w:rPr>
            </w:pPr>
            <w:r>
              <w:rPr>
                <w:kern w:val="0"/>
                <w:sz w:val="18"/>
                <w:szCs w:val="18"/>
              </w:rPr>
              <w:t xml:space="preserve">20 </w:t>
            </w:r>
          </w:p>
        </w:tc>
      </w:tr>
      <w:tr w14:paraId="41112F28">
        <w:tblPrEx>
          <w:tblCellMar>
            <w:top w:w="0" w:type="dxa"/>
            <w:left w:w="108" w:type="dxa"/>
            <w:bottom w:w="0" w:type="dxa"/>
            <w:right w:w="108" w:type="dxa"/>
          </w:tblCellMar>
        </w:tblPrEx>
        <w:trPr>
          <w:trHeight w:val="323"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16A87E">
            <w:pPr>
              <w:autoSpaceDE w:val="0"/>
              <w:autoSpaceDN w:val="0"/>
              <w:adjustRightInd w:val="0"/>
              <w:jc w:val="center"/>
              <w:rPr>
                <w:kern w:val="0"/>
              </w:rPr>
            </w:pPr>
          </w:p>
        </w:tc>
        <w:tc>
          <w:tcPr>
            <w:tcW w:w="4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42A8B7">
            <w:pPr>
              <w:autoSpaceDE w:val="0"/>
              <w:autoSpaceDN w:val="0"/>
              <w:adjustRightInd w:val="0"/>
              <w:jc w:val="center"/>
              <w:rPr>
                <w:kern w:val="0"/>
              </w:rPr>
            </w:pP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0B65C33C">
            <w:pPr>
              <w:autoSpaceDE w:val="0"/>
              <w:autoSpaceDN w:val="0"/>
              <w:adjustRightInd w:val="0"/>
              <w:jc w:val="center"/>
              <w:rPr>
                <w:kern w:val="0"/>
                <w:sz w:val="18"/>
                <w:szCs w:val="18"/>
              </w:rPr>
            </w:pPr>
            <w:r>
              <w:rPr>
                <w:kern w:val="0"/>
                <w:sz w:val="18"/>
                <w:szCs w:val="18"/>
              </w:rPr>
              <w:t>其他</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7F592FBD">
            <w:pPr>
              <w:autoSpaceDE w:val="0"/>
              <w:autoSpaceDN w:val="0"/>
              <w:adjustRightInd w:val="0"/>
              <w:jc w:val="center"/>
              <w:rPr>
                <w:kern w:val="0"/>
                <w:sz w:val="18"/>
                <w:szCs w:val="18"/>
              </w:rPr>
            </w:pPr>
            <w:r>
              <w:rPr>
                <w:kern w:val="0"/>
                <w:sz w:val="18"/>
                <w:szCs w:val="18"/>
              </w:rPr>
              <w:t xml:space="preserve">40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56E14934">
            <w:pPr>
              <w:autoSpaceDE w:val="0"/>
              <w:autoSpaceDN w:val="0"/>
              <w:adjustRightInd w:val="0"/>
              <w:jc w:val="center"/>
              <w:rPr>
                <w:kern w:val="0"/>
                <w:sz w:val="18"/>
                <w:szCs w:val="18"/>
              </w:rPr>
            </w:pPr>
            <w:r>
              <w:rPr>
                <w:kern w:val="0"/>
                <w:sz w:val="18"/>
                <w:szCs w:val="18"/>
              </w:rPr>
              <w:t xml:space="preserve">40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2806E47E">
            <w:pPr>
              <w:autoSpaceDE w:val="0"/>
              <w:autoSpaceDN w:val="0"/>
              <w:adjustRightInd w:val="0"/>
              <w:jc w:val="center"/>
              <w:rPr>
                <w:kern w:val="0"/>
                <w:sz w:val="18"/>
                <w:szCs w:val="18"/>
              </w:rPr>
            </w:pPr>
            <w:r>
              <w:rPr>
                <w:kern w:val="0"/>
                <w:sz w:val="18"/>
                <w:szCs w:val="18"/>
              </w:rPr>
              <w:t xml:space="preserve">30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2727E933">
            <w:pPr>
              <w:autoSpaceDE w:val="0"/>
              <w:autoSpaceDN w:val="0"/>
              <w:adjustRightInd w:val="0"/>
              <w:jc w:val="center"/>
              <w:rPr>
                <w:kern w:val="0"/>
                <w:sz w:val="18"/>
                <w:szCs w:val="18"/>
              </w:rPr>
            </w:pPr>
            <w:r>
              <w:rPr>
                <w:kern w:val="0"/>
                <w:sz w:val="18"/>
                <w:szCs w:val="18"/>
              </w:rPr>
              <w:t xml:space="preserve">25 </w:t>
            </w:r>
          </w:p>
        </w:tc>
      </w:tr>
      <w:tr w14:paraId="1C02B16D">
        <w:tblPrEx>
          <w:tblCellMar>
            <w:top w:w="0" w:type="dxa"/>
            <w:left w:w="108" w:type="dxa"/>
            <w:bottom w:w="0" w:type="dxa"/>
            <w:right w:w="108" w:type="dxa"/>
          </w:tblCellMar>
        </w:tblPrEx>
        <w:trPr>
          <w:trHeight w:val="323"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4A64A802">
            <w:pPr>
              <w:autoSpaceDE w:val="0"/>
              <w:autoSpaceDN w:val="0"/>
              <w:adjustRightInd w:val="0"/>
              <w:jc w:val="center"/>
              <w:rPr>
                <w:kern w:val="0"/>
              </w:rPr>
            </w:pPr>
            <w:r>
              <w:rPr>
                <w:kern w:val="0"/>
              </w:rPr>
              <w:t xml:space="preserve">4 </w:t>
            </w:r>
          </w:p>
        </w:tc>
        <w:tc>
          <w:tcPr>
            <w:tcW w:w="420" w:type="pct"/>
            <w:vMerge w:val="restart"/>
            <w:tcBorders>
              <w:top w:val="single" w:color="000000" w:sz="4" w:space="0"/>
              <w:left w:val="single" w:color="000000" w:sz="4" w:space="0"/>
              <w:bottom w:val="single" w:color="000000" w:sz="4" w:space="0"/>
              <w:right w:val="single" w:color="000000" w:sz="4" w:space="0"/>
            </w:tcBorders>
            <w:noWrap w:val="0"/>
            <w:vAlign w:val="center"/>
          </w:tcPr>
          <w:p w14:paraId="00AB6C27">
            <w:pPr>
              <w:autoSpaceDE w:val="0"/>
              <w:autoSpaceDN w:val="0"/>
              <w:adjustRightInd w:val="0"/>
              <w:jc w:val="center"/>
              <w:rPr>
                <w:kern w:val="0"/>
                <w:sz w:val="18"/>
                <w:szCs w:val="18"/>
              </w:rPr>
            </w:pPr>
            <w:r>
              <w:rPr>
                <w:kern w:val="0"/>
                <w:sz w:val="18"/>
                <w:szCs w:val="18"/>
              </w:rPr>
              <w:t>铅</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450DCB1F">
            <w:pPr>
              <w:autoSpaceDE w:val="0"/>
              <w:autoSpaceDN w:val="0"/>
              <w:adjustRightInd w:val="0"/>
              <w:jc w:val="center"/>
              <w:rPr>
                <w:kern w:val="0"/>
                <w:sz w:val="18"/>
                <w:szCs w:val="18"/>
              </w:rPr>
            </w:pPr>
            <w:r>
              <w:rPr>
                <w:kern w:val="0"/>
                <w:sz w:val="18"/>
                <w:szCs w:val="18"/>
              </w:rPr>
              <w:t>水田</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6AE21088">
            <w:pPr>
              <w:autoSpaceDE w:val="0"/>
              <w:autoSpaceDN w:val="0"/>
              <w:adjustRightInd w:val="0"/>
              <w:jc w:val="center"/>
              <w:rPr>
                <w:kern w:val="0"/>
                <w:sz w:val="18"/>
                <w:szCs w:val="18"/>
              </w:rPr>
            </w:pPr>
            <w:r>
              <w:rPr>
                <w:kern w:val="0"/>
                <w:sz w:val="18"/>
                <w:szCs w:val="18"/>
              </w:rPr>
              <w:t xml:space="preserve">80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72FD2241">
            <w:pPr>
              <w:autoSpaceDE w:val="0"/>
              <w:autoSpaceDN w:val="0"/>
              <w:adjustRightInd w:val="0"/>
              <w:jc w:val="center"/>
              <w:rPr>
                <w:kern w:val="0"/>
                <w:sz w:val="18"/>
                <w:szCs w:val="18"/>
              </w:rPr>
            </w:pPr>
            <w:r>
              <w:rPr>
                <w:kern w:val="0"/>
                <w:sz w:val="18"/>
                <w:szCs w:val="18"/>
              </w:rPr>
              <w:t xml:space="preserve">100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2B65CCCF">
            <w:pPr>
              <w:autoSpaceDE w:val="0"/>
              <w:autoSpaceDN w:val="0"/>
              <w:adjustRightInd w:val="0"/>
              <w:jc w:val="center"/>
              <w:rPr>
                <w:kern w:val="0"/>
                <w:sz w:val="18"/>
                <w:szCs w:val="18"/>
              </w:rPr>
            </w:pPr>
            <w:r>
              <w:rPr>
                <w:kern w:val="0"/>
                <w:sz w:val="18"/>
                <w:szCs w:val="18"/>
              </w:rPr>
              <w:t xml:space="preserve">140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372286A8">
            <w:pPr>
              <w:autoSpaceDE w:val="0"/>
              <w:autoSpaceDN w:val="0"/>
              <w:adjustRightInd w:val="0"/>
              <w:jc w:val="center"/>
              <w:rPr>
                <w:kern w:val="0"/>
                <w:sz w:val="18"/>
                <w:szCs w:val="18"/>
              </w:rPr>
            </w:pPr>
            <w:r>
              <w:rPr>
                <w:kern w:val="0"/>
                <w:sz w:val="18"/>
                <w:szCs w:val="18"/>
              </w:rPr>
              <w:t xml:space="preserve">240 </w:t>
            </w:r>
          </w:p>
        </w:tc>
      </w:tr>
      <w:tr w14:paraId="2A0B94F9">
        <w:tblPrEx>
          <w:tblCellMar>
            <w:top w:w="0" w:type="dxa"/>
            <w:left w:w="108" w:type="dxa"/>
            <w:bottom w:w="0" w:type="dxa"/>
            <w:right w:w="108" w:type="dxa"/>
          </w:tblCellMar>
        </w:tblPrEx>
        <w:trPr>
          <w:trHeight w:val="323"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229075">
            <w:pPr>
              <w:autoSpaceDE w:val="0"/>
              <w:autoSpaceDN w:val="0"/>
              <w:adjustRightInd w:val="0"/>
              <w:jc w:val="center"/>
              <w:rPr>
                <w:kern w:val="0"/>
              </w:rPr>
            </w:pPr>
          </w:p>
        </w:tc>
        <w:tc>
          <w:tcPr>
            <w:tcW w:w="4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8070E8">
            <w:pPr>
              <w:autoSpaceDE w:val="0"/>
              <w:autoSpaceDN w:val="0"/>
              <w:adjustRightInd w:val="0"/>
              <w:jc w:val="center"/>
              <w:rPr>
                <w:kern w:val="0"/>
              </w:rPr>
            </w:pP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4FAE8A26">
            <w:pPr>
              <w:autoSpaceDE w:val="0"/>
              <w:autoSpaceDN w:val="0"/>
              <w:adjustRightInd w:val="0"/>
              <w:jc w:val="center"/>
              <w:rPr>
                <w:kern w:val="0"/>
                <w:sz w:val="18"/>
                <w:szCs w:val="18"/>
              </w:rPr>
            </w:pPr>
            <w:r>
              <w:rPr>
                <w:kern w:val="0"/>
                <w:sz w:val="18"/>
                <w:szCs w:val="18"/>
              </w:rPr>
              <w:t>其他</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7E50C349">
            <w:pPr>
              <w:autoSpaceDE w:val="0"/>
              <w:autoSpaceDN w:val="0"/>
              <w:adjustRightInd w:val="0"/>
              <w:jc w:val="center"/>
              <w:rPr>
                <w:kern w:val="0"/>
                <w:sz w:val="18"/>
                <w:szCs w:val="18"/>
              </w:rPr>
            </w:pPr>
            <w:r>
              <w:rPr>
                <w:kern w:val="0"/>
                <w:sz w:val="18"/>
                <w:szCs w:val="18"/>
              </w:rPr>
              <w:t xml:space="preserve">70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1DE91D70">
            <w:pPr>
              <w:autoSpaceDE w:val="0"/>
              <w:autoSpaceDN w:val="0"/>
              <w:adjustRightInd w:val="0"/>
              <w:jc w:val="center"/>
              <w:rPr>
                <w:kern w:val="0"/>
                <w:sz w:val="18"/>
                <w:szCs w:val="18"/>
              </w:rPr>
            </w:pPr>
            <w:r>
              <w:rPr>
                <w:kern w:val="0"/>
                <w:sz w:val="18"/>
                <w:szCs w:val="18"/>
              </w:rPr>
              <w:t xml:space="preserve">90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4D9116A3">
            <w:pPr>
              <w:autoSpaceDE w:val="0"/>
              <w:autoSpaceDN w:val="0"/>
              <w:adjustRightInd w:val="0"/>
              <w:jc w:val="center"/>
              <w:rPr>
                <w:kern w:val="0"/>
                <w:sz w:val="18"/>
                <w:szCs w:val="18"/>
              </w:rPr>
            </w:pPr>
            <w:r>
              <w:rPr>
                <w:kern w:val="0"/>
                <w:sz w:val="18"/>
                <w:szCs w:val="18"/>
              </w:rPr>
              <w:t xml:space="preserve">120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36670958">
            <w:pPr>
              <w:autoSpaceDE w:val="0"/>
              <w:autoSpaceDN w:val="0"/>
              <w:adjustRightInd w:val="0"/>
              <w:jc w:val="center"/>
              <w:rPr>
                <w:kern w:val="0"/>
                <w:sz w:val="18"/>
                <w:szCs w:val="18"/>
              </w:rPr>
            </w:pPr>
            <w:r>
              <w:rPr>
                <w:kern w:val="0"/>
                <w:sz w:val="18"/>
                <w:szCs w:val="18"/>
              </w:rPr>
              <w:t xml:space="preserve">170 </w:t>
            </w:r>
          </w:p>
        </w:tc>
      </w:tr>
      <w:tr w14:paraId="7F2E1A3F">
        <w:tblPrEx>
          <w:tblCellMar>
            <w:top w:w="0" w:type="dxa"/>
            <w:left w:w="108" w:type="dxa"/>
            <w:bottom w:w="0" w:type="dxa"/>
            <w:right w:w="108" w:type="dxa"/>
          </w:tblCellMar>
        </w:tblPrEx>
        <w:trPr>
          <w:trHeight w:val="323"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61B108CA">
            <w:pPr>
              <w:autoSpaceDE w:val="0"/>
              <w:autoSpaceDN w:val="0"/>
              <w:adjustRightInd w:val="0"/>
              <w:jc w:val="center"/>
              <w:rPr>
                <w:kern w:val="0"/>
              </w:rPr>
            </w:pPr>
            <w:r>
              <w:rPr>
                <w:kern w:val="0"/>
              </w:rPr>
              <w:t xml:space="preserve">5 </w:t>
            </w:r>
          </w:p>
        </w:tc>
        <w:tc>
          <w:tcPr>
            <w:tcW w:w="420" w:type="pct"/>
            <w:vMerge w:val="restart"/>
            <w:tcBorders>
              <w:top w:val="single" w:color="000000" w:sz="4" w:space="0"/>
              <w:left w:val="single" w:color="000000" w:sz="4" w:space="0"/>
              <w:bottom w:val="single" w:color="000000" w:sz="4" w:space="0"/>
              <w:right w:val="single" w:color="000000" w:sz="4" w:space="0"/>
            </w:tcBorders>
            <w:noWrap w:val="0"/>
            <w:vAlign w:val="center"/>
          </w:tcPr>
          <w:p w14:paraId="2D643B10">
            <w:pPr>
              <w:autoSpaceDE w:val="0"/>
              <w:autoSpaceDN w:val="0"/>
              <w:adjustRightInd w:val="0"/>
              <w:jc w:val="center"/>
              <w:rPr>
                <w:kern w:val="0"/>
                <w:sz w:val="18"/>
                <w:szCs w:val="18"/>
              </w:rPr>
            </w:pPr>
            <w:r>
              <w:rPr>
                <w:kern w:val="0"/>
                <w:sz w:val="18"/>
                <w:szCs w:val="18"/>
              </w:rPr>
              <w:t>铬</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16FF9F36">
            <w:pPr>
              <w:autoSpaceDE w:val="0"/>
              <w:autoSpaceDN w:val="0"/>
              <w:adjustRightInd w:val="0"/>
              <w:jc w:val="center"/>
              <w:rPr>
                <w:kern w:val="0"/>
                <w:sz w:val="18"/>
                <w:szCs w:val="18"/>
              </w:rPr>
            </w:pPr>
            <w:r>
              <w:rPr>
                <w:kern w:val="0"/>
                <w:sz w:val="18"/>
                <w:szCs w:val="18"/>
              </w:rPr>
              <w:t>水田</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7C7226E1">
            <w:pPr>
              <w:autoSpaceDE w:val="0"/>
              <w:autoSpaceDN w:val="0"/>
              <w:adjustRightInd w:val="0"/>
              <w:jc w:val="center"/>
              <w:rPr>
                <w:kern w:val="0"/>
                <w:sz w:val="18"/>
                <w:szCs w:val="18"/>
              </w:rPr>
            </w:pPr>
            <w:r>
              <w:rPr>
                <w:kern w:val="0"/>
                <w:sz w:val="18"/>
                <w:szCs w:val="18"/>
              </w:rPr>
              <w:t xml:space="preserve">250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7EC93B93">
            <w:pPr>
              <w:autoSpaceDE w:val="0"/>
              <w:autoSpaceDN w:val="0"/>
              <w:adjustRightInd w:val="0"/>
              <w:jc w:val="center"/>
              <w:rPr>
                <w:kern w:val="0"/>
                <w:sz w:val="18"/>
                <w:szCs w:val="18"/>
              </w:rPr>
            </w:pPr>
            <w:r>
              <w:rPr>
                <w:kern w:val="0"/>
                <w:sz w:val="18"/>
                <w:szCs w:val="18"/>
              </w:rPr>
              <w:t xml:space="preserve">250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75DF11FC">
            <w:pPr>
              <w:autoSpaceDE w:val="0"/>
              <w:autoSpaceDN w:val="0"/>
              <w:adjustRightInd w:val="0"/>
              <w:jc w:val="center"/>
              <w:rPr>
                <w:kern w:val="0"/>
                <w:sz w:val="18"/>
                <w:szCs w:val="18"/>
              </w:rPr>
            </w:pPr>
            <w:r>
              <w:rPr>
                <w:kern w:val="0"/>
                <w:sz w:val="18"/>
                <w:szCs w:val="18"/>
              </w:rPr>
              <w:t xml:space="preserve">300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58E2B6B5">
            <w:pPr>
              <w:autoSpaceDE w:val="0"/>
              <w:autoSpaceDN w:val="0"/>
              <w:adjustRightInd w:val="0"/>
              <w:jc w:val="center"/>
              <w:rPr>
                <w:kern w:val="0"/>
                <w:sz w:val="18"/>
                <w:szCs w:val="18"/>
              </w:rPr>
            </w:pPr>
            <w:r>
              <w:rPr>
                <w:kern w:val="0"/>
                <w:sz w:val="18"/>
                <w:szCs w:val="18"/>
              </w:rPr>
              <w:t xml:space="preserve">350 </w:t>
            </w:r>
          </w:p>
        </w:tc>
      </w:tr>
      <w:tr w14:paraId="016D51AE">
        <w:tblPrEx>
          <w:tblCellMar>
            <w:top w:w="0" w:type="dxa"/>
            <w:left w:w="108" w:type="dxa"/>
            <w:bottom w:w="0" w:type="dxa"/>
            <w:right w:w="108" w:type="dxa"/>
          </w:tblCellMar>
        </w:tblPrEx>
        <w:trPr>
          <w:trHeight w:val="325"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68DE3">
            <w:pPr>
              <w:autoSpaceDE w:val="0"/>
              <w:autoSpaceDN w:val="0"/>
              <w:adjustRightInd w:val="0"/>
              <w:jc w:val="center"/>
              <w:rPr>
                <w:kern w:val="0"/>
              </w:rPr>
            </w:pPr>
          </w:p>
        </w:tc>
        <w:tc>
          <w:tcPr>
            <w:tcW w:w="4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F142F">
            <w:pPr>
              <w:autoSpaceDE w:val="0"/>
              <w:autoSpaceDN w:val="0"/>
              <w:adjustRightInd w:val="0"/>
              <w:jc w:val="center"/>
              <w:rPr>
                <w:kern w:val="0"/>
              </w:rPr>
            </w:pP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22B15A41">
            <w:pPr>
              <w:autoSpaceDE w:val="0"/>
              <w:autoSpaceDN w:val="0"/>
              <w:adjustRightInd w:val="0"/>
              <w:jc w:val="center"/>
              <w:rPr>
                <w:kern w:val="0"/>
                <w:sz w:val="18"/>
                <w:szCs w:val="18"/>
              </w:rPr>
            </w:pPr>
            <w:r>
              <w:rPr>
                <w:kern w:val="0"/>
                <w:sz w:val="18"/>
                <w:szCs w:val="18"/>
              </w:rPr>
              <w:t>其他</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419E4A65">
            <w:pPr>
              <w:autoSpaceDE w:val="0"/>
              <w:autoSpaceDN w:val="0"/>
              <w:adjustRightInd w:val="0"/>
              <w:jc w:val="center"/>
              <w:rPr>
                <w:kern w:val="0"/>
                <w:sz w:val="18"/>
                <w:szCs w:val="18"/>
              </w:rPr>
            </w:pPr>
            <w:r>
              <w:rPr>
                <w:kern w:val="0"/>
                <w:sz w:val="18"/>
                <w:szCs w:val="18"/>
              </w:rPr>
              <w:t xml:space="preserve">150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6B4A4578">
            <w:pPr>
              <w:autoSpaceDE w:val="0"/>
              <w:autoSpaceDN w:val="0"/>
              <w:adjustRightInd w:val="0"/>
              <w:jc w:val="center"/>
              <w:rPr>
                <w:kern w:val="0"/>
                <w:sz w:val="18"/>
                <w:szCs w:val="18"/>
              </w:rPr>
            </w:pPr>
            <w:r>
              <w:rPr>
                <w:kern w:val="0"/>
                <w:sz w:val="18"/>
                <w:szCs w:val="18"/>
              </w:rPr>
              <w:t xml:space="preserve">150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6EC88A90">
            <w:pPr>
              <w:autoSpaceDE w:val="0"/>
              <w:autoSpaceDN w:val="0"/>
              <w:adjustRightInd w:val="0"/>
              <w:jc w:val="center"/>
              <w:rPr>
                <w:kern w:val="0"/>
                <w:sz w:val="18"/>
                <w:szCs w:val="18"/>
              </w:rPr>
            </w:pPr>
            <w:r>
              <w:rPr>
                <w:kern w:val="0"/>
                <w:sz w:val="18"/>
                <w:szCs w:val="18"/>
              </w:rPr>
              <w:t xml:space="preserve">200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7459D7CD">
            <w:pPr>
              <w:autoSpaceDE w:val="0"/>
              <w:autoSpaceDN w:val="0"/>
              <w:adjustRightInd w:val="0"/>
              <w:jc w:val="center"/>
              <w:rPr>
                <w:kern w:val="0"/>
                <w:sz w:val="18"/>
                <w:szCs w:val="18"/>
              </w:rPr>
            </w:pPr>
            <w:r>
              <w:rPr>
                <w:kern w:val="0"/>
                <w:sz w:val="18"/>
                <w:szCs w:val="18"/>
              </w:rPr>
              <w:t xml:space="preserve">250 </w:t>
            </w:r>
          </w:p>
        </w:tc>
      </w:tr>
      <w:tr w14:paraId="30805E67">
        <w:tblPrEx>
          <w:tblCellMar>
            <w:top w:w="0" w:type="dxa"/>
            <w:left w:w="108" w:type="dxa"/>
            <w:bottom w:w="0" w:type="dxa"/>
            <w:right w:w="108" w:type="dxa"/>
          </w:tblCellMar>
        </w:tblPrEx>
        <w:trPr>
          <w:trHeight w:val="323" w:hRule="atLeast"/>
        </w:trPr>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6861EA4F">
            <w:pPr>
              <w:autoSpaceDE w:val="0"/>
              <w:autoSpaceDN w:val="0"/>
              <w:adjustRightInd w:val="0"/>
              <w:jc w:val="center"/>
              <w:rPr>
                <w:kern w:val="0"/>
              </w:rPr>
            </w:pPr>
            <w:r>
              <w:rPr>
                <w:kern w:val="0"/>
              </w:rPr>
              <w:t xml:space="preserve">6 </w:t>
            </w:r>
          </w:p>
        </w:tc>
        <w:tc>
          <w:tcPr>
            <w:tcW w:w="420" w:type="pct"/>
            <w:vMerge w:val="restart"/>
            <w:tcBorders>
              <w:top w:val="single" w:color="000000" w:sz="4" w:space="0"/>
              <w:left w:val="single" w:color="000000" w:sz="4" w:space="0"/>
              <w:bottom w:val="single" w:color="000000" w:sz="4" w:space="0"/>
              <w:right w:val="single" w:color="000000" w:sz="4" w:space="0"/>
            </w:tcBorders>
            <w:noWrap w:val="0"/>
            <w:vAlign w:val="center"/>
          </w:tcPr>
          <w:p w14:paraId="42ED70BD">
            <w:pPr>
              <w:autoSpaceDE w:val="0"/>
              <w:autoSpaceDN w:val="0"/>
              <w:adjustRightInd w:val="0"/>
              <w:jc w:val="center"/>
              <w:rPr>
                <w:kern w:val="0"/>
                <w:sz w:val="18"/>
                <w:szCs w:val="18"/>
              </w:rPr>
            </w:pPr>
            <w:r>
              <w:rPr>
                <w:kern w:val="0"/>
                <w:sz w:val="18"/>
                <w:szCs w:val="18"/>
              </w:rPr>
              <w:t>铜</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7A633511">
            <w:pPr>
              <w:autoSpaceDE w:val="0"/>
              <w:autoSpaceDN w:val="0"/>
              <w:adjustRightInd w:val="0"/>
              <w:jc w:val="center"/>
              <w:rPr>
                <w:kern w:val="0"/>
                <w:sz w:val="18"/>
                <w:szCs w:val="18"/>
              </w:rPr>
            </w:pPr>
            <w:r>
              <w:rPr>
                <w:kern w:val="0"/>
                <w:sz w:val="18"/>
                <w:szCs w:val="18"/>
              </w:rPr>
              <w:t>果园</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5049623B">
            <w:pPr>
              <w:autoSpaceDE w:val="0"/>
              <w:autoSpaceDN w:val="0"/>
              <w:adjustRightInd w:val="0"/>
              <w:jc w:val="center"/>
              <w:rPr>
                <w:kern w:val="0"/>
                <w:sz w:val="18"/>
                <w:szCs w:val="18"/>
              </w:rPr>
            </w:pPr>
            <w:r>
              <w:rPr>
                <w:kern w:val="0"/>
                <w:sz w:val="18"/>
                <w:szCs w:val="18"/>
              </w:rPr>
              <w:t xml:space="preserve">150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43FD5A19">
            <w:pPr>
              <w:autoSpaceDE w:val="0"/>
              <w:autoSpaceDN w:val="0"/>
              <w:adjustRightInd w:val="0"/>
              <w:jc w:val="center"/>
              <w:rPr>
                <w:kern w:val="0"/>
                <w:sz w:val="18"/>
                <w:szCs w:val="18"/>
              </w:rPr>
            </w:pPr>
            <w:r>
              <w:rPr>
                <w:kern w:val="0"/>
                <w:sz w:val="18"/>
                <w:szCs w:val="18"/>
              </w:rPr>
              <w:t xml:space="preserve">150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683DE554">
            <w:pPr>
              <w:autoSpaceDE w:val="0"/>
              <w:autoSpaceDN w:val="0"/>
              <w:adjustRightInd w:val="0"/>
              <w:jc w:val="center"/>
              <w:rPr>
                <w:kern w:val="0"/>
                <w:sz w:val="18"/>
                <w:szCs w:val="18"/>
              </w:rPr>
            </w:pPr>
            <w:r>
              <w:rPr>
                <w:kern w:val="0"/>
                <w:sz w:val="18"/>
                <w:szCs w:val="18"/>
              </w:rPr>
              <w:t xml:space="preserve">200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3D6840F1">
            <w:pPr>
              <w:autoSpaceDE w:val="0"/>
              <w:autoSpaceDN w:val="0"/>
              <w:adjustRightInd w:val="0"/>
              <w:jc w:val="center"/>
              <w:rPr>
                <w:kern w:val="0"/>
                <w:sz w:val="18"/>
                <w:szCs w:val="18"/>
              </w:rPr>
            </w:pPr>
            <w:r>
              <w:rPr>
                <w:kern w:val="0"/>
                <w:sz w:val="18"/>
                <w:szCs w:val="18"/>
              </w:rPr>
              <w:t xml:space="preserve">200 </w:t>
            </w:r>
          </w:p>
        </w:tc>
      </w:tr>
      <w:tr w14:paraId="33FED6FF">
        <w:tblPrEx>
          <w:tblCellMar>
            <w:top w:w="0" w:type="dxa"/>
            <w:left w:w="108" w:type="dxa"/>
            <w:bottom w:w="0" w:type="dxa"/>
            <w:right w:w="108" w:type="dxa"/>
          </w:tblCellMar>
        </w:tblPrEx>
        <w:trPr>
          <w:trHeight w:val="323" w:hRule="atLeast"/>
        </w:trPr>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351008">
            <w:pPr>
              <w:autoSpaceDE w:val="0"/>
              <w:autoSpaceDN w:val="0"/>
              <w:adjustRightInd w:val="0"/>
              <w:jc w:val="center"/>
              <w:rPr>
                <w:kern w:val="0"/>
              </w:rPr>
            </w:pPr>
          </w:p>
        </w:tc>
        <w:tc>
          <w:tcPr>
            <w:tcW w:w="42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4D71A1">
            <w:pPr>
              <w:autoSpaceDE w:val="0"/>
              <w:autoSpaceDN w:val="0"/>
              <w:adjustRightInd w:val="0"/>
              <w:jc w:val="center"/>
              <w:rPr>
                <w:kern w:val="0"/>
              </w:rPr>
            </w:pP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0BB70A9F">
            <w:pPr>
              <w:autoSpaceDE w:val="0"/>
              <w:autoSpaceDN w:val="0"/>
              <w:adjustRightInd w:val="0"/>
              <w:jc w:val="center"/>
              <w:rPr>
                <w:kern w:val="0"/>
                <w:sz w:val="18"/>
                <w:szCs w:val="18"/>
              </w:rPr>
            </w:pPr>
            <w:r>
              <w:rPr>
                <w:kern w:val="0"/>
                <w:sz w:val="18"/>
                <w:szCs w:val="18"/>
              </w:rPr>
              <w:t>其他</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018A41E6">
            <w:pPr>
              <w:autoSpaceDE w:val="0"/>
              <w:autoSpaceDN w:val="0"/>
              <w:adjustRightInd w:val="0"/>
              <w:jc w:val="center"/>
              <w:rPr>
                <w:kern w:val="0"/>
                <w:sz w:val="18"/>
                <w:szCs w:val="18"/>
              </w:rPr>
            </w:pPr>
            <w:r>
              <w:rPr>
                <w:kern w:val="0"/>
                <w:sz w:val="18"/>
                <w:szCs w:val="18"/>
              </w:rPr>
              <w:t xml:space="preserve">50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53A6FE3B">
            <w:pPr>
              <w:autoSpaceDE w:val="0"/>
              <w:autoSpaceDN w:val="0"/>
              <w:adjustRightInd w:val="0"/>
              <w:jc w:val="center"/>
              <w:rPr>
                <w:kern w:val="0"/>
                <w:sz w:val="18"/>
                <w:szCs w:val="18"/>
              </w:rPr>
            </w:pPr>
            <w:r>
              <w:rPr>
                <w:kern w:val="0"/>
                <w:sz w:val="18"/>
                <w:szCs w:val="18"/>
              </w:rPr>
              <w:t xml:space="preserve">50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23969105">
            <w:pPr>
              <w:autoSpaceDE w:val="0"/>
              <w:autoSpaceDN w:val="0"/>
              <w:adjustRightInd w:val="0"/>
              <w:jc w:val="center"/>
              <w:rPr>
                <w:kern w:val="0"/>
                <w:sz w:val="18"/>
                <w:szCs w:val="18"/>
              </w:rPr>
            </w:pPr>
            <w:r>
              <w:rPr>
                <w:kern w:val="0"/>
                <w:sz w:val="18"/>
                <w:szCs w:val="18"/>
              </w:rPr>
              <w:t xml:space="preserve">100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6E3BDC42">
            <w:pPr>
              <w:autoSpaceDE w:val="0"/>
              <w:autoSpaceDN w:val="0"/>
              <w:adjustRightInd w:val="0"/>
              <w:jc w:val="center"/>
              <w:rPr>
                <w:kern w:val="0"/>
                <w:sz w:val="18"/>
                <w:szCs w:val="18"/>
              </w:rPr>
            </w:pPr>
            <w:r>
              <w:rPr>
                <w:kern w:val="0"/>
                <w:sz w:val="18"/>
                <w:szCs w:val="18"/>
              </w:rPr>
              <w:t xml:space="preserve">100 </w:t>
            </w:r>
          </w:p>
        </w:tc>
      </w:tr>
      <w:tr w14:paraId="29487B43">
        <w:tblPrEx>
          <w:tblCellMar>
            <w:top w:w="0" w:type="dxa"/>
            <w:left w:w="108" w:type="dxa"/>
            <w:bottom w:w="0" w:type="dxa"/>
            <w:right w:w="108" w:type="dxa"/>
          </w:tblCellMar>
        </w:tblPrEx>
        <w:trPr>
          <w:trHeight w:val="323" w:hRule="atLeast"/>
        </w:trPr>
        <w:tc>
          <w:tcPr>
            <w:tcW w:w="409" w:type="pct"/>
            <w:tcBorders>
              <w:top w:val="single" w:color="000000" w:sz="4" w:space="0"/>
              <w:left w:val="single" w:color="000000" w:sz="4" w:space="0"/>
              <w:bottom w:val="single" w:color="000000" w:sz="4" w:space="0"/>
              <w:right w:val="single" w:color="000000" w:sz="4" w:space="0"/>
            </w:tcBorders>
            <w:noWrap w:val="0"/>
            <w:vAlign w:val="center"/>
          </w:tcPr>
          <w:p w14:paraId="74F004F1">
            <w:pPr>
              <w:autoSpaceDE w:val="0"/>
              <w:autoSpaceDN w:val="0"/>
              <w:adjustRightInd w:val="0"/>
              <w:jc w:val="center"/>
              <w:rPr>
                <w:kern w:val="0"/>
              </w:rPr>
            </w:pPr>
            <w:r>
              <w:rPr>
                <w:kern w:val="0"/>
              </w:rPr>
              <w:t xml:space="preserve">7 </w:t>
            </w:r>
          </w:p>
        </w:tc>
        <w:tc>
          <w:tcPr>
            <w:tcW w:w="928" w:type="pct"/>
            <w:gridSpan w:val="2"/>
            <w:tcBorders>
              <w:top w:val="single" w:color="000000" w:sz="4" w:space="0"/>
              <w:left w:val="single" w:color="000000" w:sz="4" w:space="0"/>
              <w:bottom w:val="single" w:color="000000" w:sz="4" w:space="0"/>
              <w:right w:val="single" w:color="000000" w:sz="4" w:space="0"/>
            </w:tcBorders>
            <w:noWrap w:val="0"/>
            <w:vAlign w:val="center"/>
          </w:tcPr>
          <w:p w14:paraId="3A067908">
            <w:pPr>
              <w:autoSpaceDE w:val="0"/>
              <w:autoSpaceDN w:val="0"/>
              <w:adjustRightInd w:val="0"/>
              <w:jc w:val="center"/>
              <w:rPr>
                <w:kern w:val="0"/>
                <w:sz w:val="18"/>
                <w:szCs w:val="18"/>
              </w:rPr>
            </w:pPr>
            <w:r>
              <w:rPr>
                <w:kern w:val="0"/>
                <w:sz w:val="18"/>
                <w:szCs w:val="18"/>
              </w:rPr>
              <w:t>镍</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3DC43053">
            <w:pPr>
              <w:autoSpaceDE w:val="0"/>
              <w:autoSpaceDN w:val="0"/>
              <w:adjustRightInd w:val="0"/>
              <w:jc w:val="center"/>
              <w:rPr>
                <w:kern w:val="0"/>
                <w:sz w:val="18"/>
                <w:szCs w:val="18"/>
              </w:rPr>
            </w:pPr>
            <w:r>
              <w:rPr>
                <w:kern w:val="0"/>
                <w:sz w:val="18"/>
                <w:szCs w:val="18"/>
              </w:rPr>
              <w:t xml:space="preserve">60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4167DD72">
            <w:pPr>
              <w:autoSpaceDE w:val="0"/>
              <w:autoSpaceDN w:val="0"/>
              <w:adjustRightInd w:val="0"/>
              <w:jc w:val="center"/>
              <w:rPr>
                <w:kern w:val="0"/>
                <w:sz w:val="18"/>
                <w:szCs w:val="18"/>
              </w:rPr>
            </w:pPr>
            <w:r>
              <w:rPr>
                <w:kern w:val="0"/>
                <w:sz w:val="18"/>
                <w:szCs w:val="18"/>
              </w:rPr>
              <w:t xml:space="preserve">70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5A087BD8">
            <w:pPr>
              <w:autoSpaceDE w:val="0"/>
              <w:autoSpaceDN w:val="0"/>
              <w:adjustRightInd w:val="0"/>
              <w:jc w:val="center"/>
              <w:rPr>
                <w:kern w:val="0"/>
                <w:sz w:val="18"/>
                <w:szCs w:val="18"/>
              </w:rPr>
            </w:pPr>
            <w:r>
              <w:rPr>
                <w:kern w:val="0"/>
                <w:sz w:val="18"/>
                <w:szCs w:val="18"/>
              </w:rPr>
              <w:t xml:space="preserve">100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1ED022FA">
            <w:pPr>
              <w:autoSpaceDE w:val="0"/>
              <w:autoSpaceDN w:val="0"/>
              <w:adjustRightInd w:val="0"/>
              <w:jc w:val="center"/>
              <w:rPr>
                <w:kern w:val="0"/>
                <w:sz w:val="18"/>
                <w:szCs w:val="18"/>
              </w:rPr>
            </w:pPr>
            <w:r>
              <w:rPr>
                <w:kern w:val="0"/>
                <w:sz w:val="18"/>
                <w:szCs w:val="18"/>
              </w:rPr>
              <w:t xml:space="preserve">190 </w:t>
            </w:r>
          </w:p>
        </w:tc>
      </w:tr>
      <w:tr w14:paraId="0E82F25D">
        <w:tblPrEx>
          <w:tblCellMar>
            <w:top w:w="0" w:type="dxa"/>
            <w:left w:w="108" w:type="dxa"/>
            <w:bottom w:w="0" w:type="dxa"/>
            <w:right w:w="108" w:type="dxa"/>
          </w:tblCellMar>
        </w:tblPrEx>
        <w:trPr>
          <w:trHeight w:val="323" w:hRule="atLeast"/>
        </w:trPr>
        <w:tc>
          <w:tcPr>
            <w:tcW w:w="409" w:type="pct"/>
            <w:tcBorders>
              <w:top w:val="single" w:color="000000" w:sz="4" w:space="0"/>
              <w:left w:val="single" w:color="000000" w:sz="4" w:space="0"/>
              <w:bottom w:val="single" w:color="000000" w:sz="4" w:space="0"/>
              <w:right w:val="single" w:color="000000" w:sz="4" w:space="0"/>
            </w:tcBorders>
            <w:noWrap w:val="0"/>
            <w:vAlign w:val="center"/>
          </w:tcPr>
          <w:p w14:paraId="70F857A1">
            <w:pPr>
              <w:autoSpaceDE w:val="0"/>
              <w:autoSpaceDN w:val="0"/>
              <w:adjustRightInd w:val="0"/>
              <w:jc w:val="center"/>
              <w:rPr>
                <w:kern w:val="0"/>
              </w:rPr>
            </w:pPr>
            <w:r>
              <w:rPr>
                <w:kern w:val="0"/>
              </w:rPr>
              <w:t xml:space="preserve">8 </w:t>
            </w:r>
          </w:p>
        </w:tc>
        <w:tc>
          <w:tcPr>
            <w:tcW w:w="928" w:type="pct"/>
            <w:gridSpan w:val="2"/>
            <w:tcBorders>
              <w:top w:val="single" w:color="000000" w:sz="4" w:space="0"/>
              <w:left w:val="single" w:color="000000" w:sz="4" w:space="0"/>
              <w:bottom w:val="single" w:color="000000" w:sz="4" w:space="0"/>
              <w:right w:val="single" w:color="000000" w:sz="4" w:space="0"/>
            </w:tcBorders>
            <w:noWrap w:val="0"/>
            <w:vAlign w:val="center"/>
          </w:tcPr>
          <w:p w14:paraId="41A09DBA">
            <w:pPr>
              <w:autoSpaceDE w:val="0"/>
              <w:autoSpaceDN w:val="0"/>
              <w:adjustRightInd w:val="0"/>
              <w:jc w:val="center"/>
              <w:rPr>
                <w:kern w:val="0"/>
                <w:sz w:val="18"/>
                <w:szCs w:val="18"/>
              </w:rPr>
            </w:pPr>
            <w:r>
              <w:rPr>
                <w:kern w:val="0"/>
                <w:sz w:val="18"/>
                <w:szCs w:val="18"/>
              </w:rPr>
              <w:t>锌</w:t>
            </w:r>
          </w:p>
        </w:tc>
        <w:tc>
          <w:tcPr>
            <w:tcW w:w="798" w:type="pct"/>
            <w:tcBorders>
              <w:top w:val="single" w:color="000000" w:sz="4" w:space="0"/>
              <w:left w:val="single" w:color="000000" w:sz="4" w:space="0"/>
              <w:bottom w:val="single" w:color="000000" w:sz="4" w:space="0"/>
              <w:right w:val="single" w:color="000000" w:sz="4" w:space="0"/>
            </w:tcBorders>
            <w:noWrap w:val="0"/>
            <w:vAlign w:val="center"/>
          </w:tcPr>
          <w:p w14:paraId="2ED183E5">
            <w:pPr>
              <w:autoSpaceDE w:val="0"/>
              <w:autoSpaceDN w:val="0"/>
              <w:adjustRightInd w:val="0"/>
              <w:jc w:val="center"/>
              <w:rPr>
                <w:kern w:val="0"/>
                <w:sz w:val="18"/>
                <w:szCs w:val="18"/>
              </w:rPr>
            </w:pPr>
            <w:r>
              <w:rPr>
                <w:kern w:val="0"/>
                <w:sz w:val="18"/>
                <w:szCs w:val="18"/>
              </w:rPr>
              <w:t xml:space="preserve">200 </w:t>
            </w:r>
          </w:p>
        </w:tc>
        <w:tc>
          <w:tcPr>
            <w:tcW w:w="858" w:type="pct"/>
            <w:tcBorders>
              <w:top w:val="single" w:color="000000" w:sz="4" w:space="0"/>
              <w:left w:val="single" w:color="000000" w:sz="4" w:space="0"/>
              <w:bottom w:val="single" w:color="000000" w:sz="4" w:space="0"/>
              <w:right w:val="single" w:color="000000" w:sz="4" w:space="0"/>
            </w:tcBorders>
            <w:noWrap w:val="0"/>
            <w:vAlign w:val="center"/>
          </w:tcPr>
          <w:p w14:paraId="29B4E087">
            <w:pPr>
              <w:autoSpaceDE w:val="0"/>
              <w:autoSpaceDN w:val="0"/>
              <w:adjustRightInd w:val="0"/>
              <w:jc w:val="center"/>
              <w:rPr>
                <w:kern w:val="0"/>
                <w:sz w:val="18"/>
                <w:szCs w:val="18"/>
              </w:rPr>
            </w:pPr>
            <w:r>
              <w:rPr>
                <w:kern w:val="0"/>
                <w:sz w:val="18"/>
                <w:szCs w:val="18"/>
              </w:rPr>
              <w:t xml:space="preserve">200 </w:t>
            </w:r>
          </w:p>
        </w:tc>
        <w:tc>
          <w:tcPr>
            <w:tcW w:w="990" w:type="pct"/>
            <w:tcBorders>
              <w:top w:val="single" w:color="000000" w:sz="4" w:space="0"/>
              <w:left w:val="single" w:color="000000" w:sz="4" w:space="0"/>
              <w:bottom w:val="single" w:color="000000" w:sz="4" w:space="0"/>
              <w:right w:val="single" w:color="000000" w:sz="4" w:space="0"/>
            </w:tcBorders>
            <w:noWrap w:val="0"/>
            <w:vAlign w:val="center"/>
          </w:tcPr>
          <w:p w14:paraId="2D1F2B29">
            <w:pPr>
              <w:autoSpaceDE w:val="0"/>
              <w:autoSpaceDN w:val="0"/>
              <w:adjustRightInd w:val="0"/>
              <w:jc w:val="center"/>
              <w:rPr>
                <w:kern w:val="0"/>
                <w:sz w:val="18"/>
                <w:szCs w:val="18"/>
              </w:rPr>
            </w:pPr>
            <w:r>
              <w:rPr>
                <w:kern w:val="0"/>
                <w:sz w:val="18"/>
                <w:szCs w:val="18"/>
              </w:rPr>
              <w:t xml:space="preserve">250 </w:t>
            </w:r>
          </w:p>
        </w:tc>
        <w:tc>
          <w:tcPr>
            <w:tcW w:w="1017" w:type="pct"/>
            <w:tcBorders>
              <w:top w:val="single" w:color="000000" w:sz="4" w:space="0"/>
              <w:left w:val="single" w:color="000000" w:sz="4" w:space="0"/>
              <w:bottom w:val="single" w:color="000000" w:sz="4" w:space="0"/>
              <w:right w:val="single" w:color="000000" w:sz="4" w:space="0"/>
            </w:tcBorders>
            <w:noWrap w:val="0"/>
            <w:vAlign w:val="center"/>
          </w:tcPr>
          <w:p w14:paraId="66815E97">
            <w:pPr>
              <w:autoSpaceDE w:val="0"/>
              <w:autoSpaceDN w:val="0"/>
              <w:adjustRightInd w:val="0"/>
              <w:jc w:val="center"/>
              <w:rPr>
                <w:kern w:val="0"/>
                <w:sz w:val="18"/>
                <w:szCs w:val="18"/>
              </w:rPr>
            </w:pPr>
            <w:r>
              <w:rPr>
                <w:kern w:val="0"/>
                <w:sz w:val="18"/>
                <w:szCs w:val="18"/>
              </w:rPr>
              <w:t xml:space="preserve">300 </w:t>
            </w:r>
          </w:p>
        </w:tc>
      </w:tr>
      <w:tr w14:paraId="0E741575">
        <w:tblPrEx>
          <w:tblCellMar>
            <w:top w:w="0" w:type="dxa"/>
            <w:left w:w="108" w:type="dxa"/>
            <w:bottom w:w="0" w:type="dxa"/>
            <w:right w:w="108" w:type="dxa"/>
          </w:tblCellMar>
        </w:tblPrEx>
        <w:trPr>
          <w:trHeight w:val="272" w:hRule="atLeast"/>
        </w:trPr>
        <w:tc>
          <w:tcPr>
            <w:tcW w:w="5000" w:type="pct"/>
            <w:gridSpan w:val="7"/>
            <w:tcBorders>
              <w:top w:val="single" w:color="000000" w:sz="4" w:space="0"/>
              <w:left w:val="single" w:color="000000" w:sz="4" w:space="0"/>
              <w:bottom w:val="single" w:color="000000" w:sz="4" w:space="0"/>
              <w:right w:val="single" w:color="000000" w:sz="4" w:space="0"/>
            </w:tcBorders>
            <w:noWrap w:val="0"/>
            <w:vAlign w:val="center"/>
          </w:tcPr>
          <w:p w14:paraId="681106CE">
            <w:pPr>
              <w:autoSpaceDE w:val="0"/>
              <w:autoSpaceDN w:val="0"/>
              <w:adjustRightInd w:val="0"/>
              <w:jc w:val="center"/>
              <w:rPr>
                <w:kern w:val="0"/>
                <w:sz w:val="18"/>
                <w:szCs w:val="18"/>
              </w:rPr>
            </w:pPr>
            <w:r>
              <w:rPr>
                <w:kern w:val="0"/>
                <w:sz w:val="18"/>
                <w:szCs w:val="18"/>
              </w:rPr>
              <w:t>注：① 重金属和类金属砷均按元素总量计。② 对于水旱轮作地， 采用其中较严格的风险筛选值。</w:t>
            </w:r>
          </w:p>
        </w:tc>
      </w:tr>
    </w:tbl>
    <w:p w14:paraId="41CA85DB">
      <w:pPr>
        <w:tabs>
          <w:tab w:val="left" w:pos="2280"/>
        </w:tabs>
        <w:spacing w:line="360" w:lineRule="auto"/>
        <w:ind w:firstLine="422" w:firstLineChars="200"/>
        <w:jc w:val="center"/>
        <w:rPr>
          <w:b/>
          <w:szCs w:val="21"/>
        </w:rPr>
      </w:pPr>
      <w:r>
        <w:rPr>
          <w:b/>
          <w:szCs w:val="21"/>
        </w:rPr>
        <w:t>表2.3-8  农用地土壤污染风险筛选值（其他项目）  单位： mg/kg</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2417"/>
        <w:gridCol w:w="5165"/>
      </w:tblGrid>
      <w:tr w14:paraId="79A2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55" w:type="pct"/>
            <w:noWrap w:val="0"/>
            <w:vAlign w:val="center"/>
          </w:tcPr>
          <w:p w14:paraId="61D79605">
            <w:pPr>
              <w:autoSpaceDE w:val="0"/>
              <w:autoSpaceDN w:val="0"/>
              <w:adjustRightInd w:val="0"/>
              <w:jc w:val="center"/>
              <w:rPr>
                <w:kern w:val="0"/>
              </w:rPr>
            </w:pPr>
            <w:r>
              <w:rPr>
                <w:kern w:val="0"/>
              </w:rPr>
              <w:t>序号</w:t>
            </w:r>
          </w:p>
        </w:tc>
        <w:tc>
          <w:tcPr>
            <w:tcW w:w="1417" w:type="pct"/>
            <w:noWrap w:val="0"/>
            <w:vAlign w:val="center"/>
          </w:tcPr>
          <w:p w14:paraId="2A19EB52">
            <w:pPr>
              <w:autoSpaceDE w:val="0"/>
              <w:autoSpaceDN w:val="0"/>
              <w:adjustRightInd w:val="0"/>
              <w:jc w:val="center"/>
              <w:rPr>
                <w:kern w:val="0"/>
              </w:rPr>
            </w:pPr>
            <w:r>
              <w:rPr>
                <w:kern w:val="0"/>
              </w:rPr>
              <w:t>污染物项目</w:t>
            </w:r>
          </w:p>
        </w:tc>
        <w:tc>
          <w:tcPr>
            <w:tcW w:w="3028" w:type="pct"/>
            <w:noWrap w:val="0"/>
            <w:vAlign w:val="center"/>
          </w:tcPr>
          <w:p w14:paraId="325F3611">
            <w:pPr>
              <w:autoSpaceDE w:val="0"/>
              <w:autoSpaceDN w:val="0"/>
              <w:adjustRightInd w:val="0"/>
              <w:jc w:val="center"/>
              <w:rPr>
                <w:kern w:val="0"/>
              </w:rPr>
            </w:pPr>
            <w:r>
              <w:rPr>
                <w:kern w:val="0"/>
              </w:rPr>
              <w:t>风险筛选值</w:t>
            </w:r>
          </w:p>
        </w:tc>
      </w:tr>
      <w:tr w14:paraId="01C1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55" w:type="pct"/>
            <w:noWrap w:val="0"/>
            <w:vAlign w:val="center"/>
          </w:tcPr>
          <w:p w14:paraId="40437A2C">
            <w:pPr>
              <w:autoSpaceDE w:val="0"/>
              <w:autoSpaceDN w:val="0"/>
              <w:adjustRightInd w:val="0"/>
              <w:jc w:val="center"/>
              <w:rPr>
                <w:kern w:val="0"/>
              </w:rPr>
            </w:pPr>
            <w:r>
              <w:rPr>
                <w:kern w:val="0"/>
              </w:rPr>
              <w:t>1</w:t>
            </w:r>
          </w:p>
        </w:tc>
        <w:tc>
          <w:tcPr>
            <w:tcW w:w="1417" w:type="pct"/>
            <w:noWrap w:val="0"/>
            <w:vAlign w:val="center"/>
          </w:tcPr>
          <w:p w14:paraId="728DA563">
            <w:pPr>
              <w:autoSpaceDE w:val="0"/>
              <w:autoSpaceDN w:val="0"/>
              <w:adjustRightInd w:val="0"/>
              <w:jc w:val="center"/>
              <w:rPr>
                <w:kern w:val="0"/>
              </w:rPr>
            </w:pPr>
            <w:r>
              <w:rPr>
                <w:kern w:val="0"/>
              </w:rPr>
              <w:t>六六六总量①</w:t>
            </w:r>
          </w:p>
        </w:tc>
        <w:tc>
          <w:tcPr>
            <w:tcW w:w="3028" w:type="pct"/>
            <w:noWrap w:val="0"/>
            <w:vAlign w:val="center"/>
          </w:tcPr>
          <w:p w14:paraId="50972A86">
            <w:pPr>
              <w:autoSpaceDE w:val="0"/>
              <w:autoSpaceDN w:val="0"/>
              <w:adjustRightInd w:val="0"/>
              <w:jc w:val="center"/>
              <w:rPr>
                <w:kern w:val="0"/>
              </w:rPr>
            </w:pPr>
            <w:r>
              <w:rPr>
                <w:kern w:val="0"/>
              </w:rPr>
              <w:t>0.10</w:t>
            </w:r>
          </w:p>
        </w:tc>
      </w:tr>
      <w:tr w14:paraId="734C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5" w:type="pct"/>
            <w:noWrap w:val="0"/>
            <w:vAlign w:val="center"/>
          </w:tcPr>
          <w:p w14:paraId="5B9423CC">
            <w:pPr>
              <w:autoSpaceDE w:val="0"/>
              <w:autoSpaceDN w:val="0"/>
              <w:adjustRightInd w:val="0"/>
              <w:jc w:val="center"/>
              <w:rPr>
                <w:kern w:val="0"/>
              </w:rPr>
            </w:pPr>
            <w:r>
              <w:rPr>
                <w:kern w:val="0"/>
              </w:rPr>
              <w:t>2</w:t>
            </w:r>
          </w:p>
        </w:tc>
        <w:tc>
          <w:tcPr>
            <w:tcW w:w="1417" w:type="pct"/>
            <w:noWrap w:val="0"/>
            <w:vAlign w:val="center"/>
          </w:tcPr>
          <w:p w14:paraId="216B412B">
            <w:pPr>
              <w:autoSpaceDE w:val="0"/>
              <w:autoSpaceDN w:val="0"/>
              <w:adjustRightInd w:val="0"/>
              <w:jc w:val="center"/>
              <w:rPr>
                <w:kern w:val="0"/>
              </w:rPr>
            </w:pPr>
            <w:r>
              <w:rPr>
                <w:kern w:val="0"/>
              </w:rPr>
              <w:t>滴滴涕总量②</w:t>
            </w:r>
          </w:p>
        </w:tc>
        <w:tc>
          <w:tcPr>
            <w:tcW w:w="3028" w:type="pct"/>
            <w:noWrap w:val="0"/>
            <w:vAlign w:val="center"/>
          </w:tcPr>
          <w:p w14:paraId="4DCC9C6C">
            <w:pPr>
              <w:autoSpaceDE w:val="0"/>
              <w:autoSpaceDN w:val="0"/>
              <w:adjustRightInd w:val="0"/>
              <w:jc w:val="center"/>
              <w:rPr>
                <w:kern w:val="0"/>
              </w:rPr>
            </w:pPr>
            <w:r>
              <w:rPr>
                <w:kern w:val="0"/>
              </w:rPr>
              <w:t>0.10</w:t>
            </w:r>
          </w:p>
        </w:tc>
      </w:tr>
      <w:tr w14:paraId="191A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55" w:type="pct"/>
            <w:noWrap w:val="0"/>
            <w:vAlign w:val="center"/>
          </w:tcPr>
          <w:p w14:paraId="3AA5F982">
            <w:pPr>
              <w:autoSpaceDE w:val="0"/>
              <w:autoSpaceDN w:val="0"/>
              <w:adjustRightInd w:val="0"/>
              <w:jc w:val="center"/>
              <w:rPr>
                <w:kern w:val="0"/>
              </w:rPr>
            </w:pPr>
            <w:r>
              <w:rPr>
                <w:kern w:val="0"/>
              </w:rPr>
              <w:t>3</w:t>
            </w:r>
          </w:p>
        </w:tc>
        <w:tc>
          <w:tcPr>
            <w:tcW w:w="1417" w:type="pct"/>
            <w:noWrap w:val="0"/>
            <w:vAlign w:val="center"/>
          </w:tcPr>
          <w:p w14:paraId="29655DF0">
            <w:pPr>
              <w:autoSpaceDE w:val="0"/>
              <w:autoSpaceDN w:val="0"/>
              <w:adjustRightInd w:val="0"/>
              <w:jc w:val="center"/>
              <w:rPr>
                <w:kern w:val="0"/>
              </w:rPr>
            </w:pPr>
            <w:r>
              <w:rPr>
                <w:kern w:val="0"/>
              </w:rPr>
              <w:t>苯并[a] 芘</w:t>
            </w:r>
          </w:p>
        </w:tc>
        <w:tc>
          <w:tcPr>
            <w:tcW w:w="3028" w:type="pct"/>
            <w:noWrap w:val="0"/>
            <w:vAlign w:val="center"/>
          </w:tcPr>
          <w:p w14:paraId="6F49BE1F">
            <w:pPr>
              <w:autoSpaceDE w:val="0"/>
              <w:autoSpaceDN w:val="0"/>
              <w:adjustRightInd w:val="0"/>
              <w:jc w:val="center"/>
              <w:rPr>
                <w:kern w:val="0"/>
              </w:rPr>
            </w:pPr>
            <w:r>
              <w:rPr>
                <w:kern w:val="0"/>
              </w:rPr>
              <w:t>0.55</w:t>
            </w:r>
          </w:p>
        </w:tc>
      </w:tr>
      <w:tr w14:paraId="59F1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3"/>
            <w:noWrap w:val="0"/>
            <w:vAlign w:val="center"/>
          </w:tcPr>
          <w:p w14:paraId="11ABEC9A">
            <w:pPr>
              <w:autoSpaceDE w:val="0"/>
              <w:autoSpaceDN w:val="0"/>
              <w:adjustRightInd w:val="0"/>
              <w:jc w:val="center"/>
              <w:rPr>
                <w:kern w:val="0"/>
              </w:rPr>
            </w:pPr>
            <w:r>
              <w:rPr>
                <w:kern w:val="0"/>
              </w:rPr>
              <w:t>注：① 六六六总量为α-六六六、β-六六六、γ-六六六、δ-六六六四种异构体的含量总和。② 滴滴涕总量为p,p'-滴滴伊、p,p'-滴滴滴、o,p'-滴滴涕、p,p'-滴滴涕四种衍生物的含量总和。</w:t>
            </w:r>
          </w:p>
        </w:tc>
      </w:tr>
    </w:tbl>
    <w:p w14:paraId="6103C95F">
      <w:pPr>
        <w:tabs>
          <w:tab w:val="left" w:pos="2280"/>
        </w:tabs>
        <w:spacing w:line="360" w:lineRule="auto"/>
        <w:ind w:firstLine="422" w:firstLineChars="200"/>
        <w:jc w:val="center"/>
        <w:rPr>
          <w:b/>
          <w:szCs w:val="21"/>
        </w:rPr>
      </w:pPr>
    </w:p>
    <w:p w14:paraId="65F15EAA">
      <w:pPr>
        <w:tabs>
          <w:tab w:val="left" w:pos="2280"/>
        </w:tabs>
        <w:spacing w:line="360" w:lineRule="auto"/>
        <w:ind w:firstLine="422" w:firstLineChars="200"/>
        <w:jc w:val="center"/>
        <w:rPr>
          <w:b/>
          <w:szCs w:val="21"/>
        </w:rPr>
      </w:pPr>
      <w:r>
        <w:rPr>
          <w:b/>
          <w:szCs w:val="21"/>
        </w:rPr>
        <w:t>表2.3-9农用地土壤污染风险管制值   单位：mg/kg</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19"/>
        <w:gridCol w:w="1289"/>
        <w:gridCol w:w="1680"/>
        <w:gridCol w:w="1682"/>
        <w:gridCol w:w="1680"/>
        <w:gridCol w:w="1578"/>
      </w:tblGrid>
      <w:tr w14:paraId="7CC9A8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363" w:type="pct"/>
            <w:vMerge w:val="restart"/>
            <w:noWrap w:val="0"/>
            <w:vAlign w:val="center"/>
          </w:tcPr>
          <w:p w14:paraId="67DB596E">
            <w:pPr>
              <w:pStyle w:val="2"/>
              <w:jc w:val="center"/>
              <w:rPr>
                <w:rFonts w:ascii="Times New Roman" w:hAnsi="Times New Roman"/>
                <w:color w:val="auto"/>
                <w:sz w:val="18"/>
                <w:szCs w:val="18"/>
              </w:rPr>
            </w:pPr>
            <w:r>
              <w:rPr>
                <w:rFonts w:ascii="Times New Roman" w:hAnsi="Times New Roman"/>
                <w:color w:val="auto"/>
                <w:sz w:val="18"/>
                <w:szCs w:val="18"/>
              </w:rPr>
              <w:t>序号</w:t>
            </w:r>
          </w:p>
        </w:tc>
        <w:tc>
          <w:tcPr>
            <w:tcW w:w="756" w:type="pct"/>
            <w:vMerge w:val="restart"/>
            <w:noWrap w:val="0"/>
            <w:vAlign w:val="center"/>
          </w:tcPr>
          <w:p w14:paraId="7C73B23C">
            <w:pPr>
              <w:pStyle w:val="2"/>
              <w:jc w:val="center"/>
              <w:rPr>
                <w:rFonts w:ascii="Times New Roman" w:hAnsi="Times New Roman"/>
                <w:color w:val="auto"/>
                <w:sz w:val="18"/>
                <w:szCs w:val="18"/>
              </w:rPr>
            </w:pPr>
            <w:r>
              <w:rPr>
                <w:rFonts w:ascii="Times New Roman" w:hAnsi="Times New Roman"/>
                <w:color w:val="auto"/>
                <w:sz w:val="18"/>
                <w:szCs w:val="18"/>
              </w:rPr>
              <w:t>污染物项目</w:t>
            </w:r>
          </w:p>
        </w:tc>
        <w:tc>
          <w:tcPr>
            <w:tcW w:w="3881" w:type="pct"/>
            <w:gridSpan w:val="4"/>
            <w:noWrap w:val="0"/>
            <w:vAlign w:val="center"/>
          </w:tcPr>
          <w:p w14:paraId="22CCE2DD">
            <w:pPr>
              <w:pStyle w:val="2"/>
              <w:jc w:val="center"/>
              <w:rPr>
                <w:rFonts w:ascii="Times New Roman" w:hAnsi="Times New Roman"/>
                <w:color w:val="auto"/>
              </w:rPr>
            </w:pPr>
            <w:r>
              <w:rPr>
                <w:rFonts w:ascii="Times New Roman" w:hAnsi="Times New Roman"/>
                <w:color w:val="auto"/>
                <w:sz w:val="18"/>
                <w:szCs w:val="18"/>
              </w:rPr>
              <w:t>风险管制值</w:t>
            </w:r>
          </w:p>
        </w:tc>
      </w:tr>
      <w:tr w14:paraId="126D84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363" w:type="pct"/>
            <w:vMerge w:val="continue"/>
            <w:noWrap w:val="0"/>
            <w:vAlign w:val="center"/>
          </w:tcPr>
          <w:p w14:paraId="209F0D4D">
            <w:pPr>
              <w:pStyle w:val="2"/>
              <w:jc w:val="center"/>
              <w:rPr>
                <w:rFonts w:ascii="Times New Roman" w:hAnsi="Times New Roman"/>
                <w:color w:val="auto"/>
              </w:rPr>
            </w:pPr>
          </w:p>
        </w:tc>
        <w:tc>
          <w:tcPr>
            <w:tcW w:w="756" w:type="pct"/>
            <w:vMerge w:val="continue"/>
            <w:noWrap w:val="0"/>
            <w:vAlign w:val="center"/>
          </w:tcPr>
          <w:p w14:paraId="526E2D26">
            <w:pPr>
              <w:pStyle w:val="2"/>
              <w:jc w:val="center"/>
              <w:rPr>
                <w:rFonts w:ascii="Times New Roman" w:hAnsi="Times New Roman"/>
                <w:color w:val="auto"/>
              </w:rPr>
            </w:pPr>
          </w:p>
        </w:tc>
        <w:tc>
          <w:tcPr>
            <w:tcW w:w="985" w:type="pct"/>
            <w:noWrap w:val="0"/>
            <w:vAlign w:val="center"/>
          </w:tcPr>
          <w:p w14:paraId="15DB0E72">
            <w:pPr>
              <w:pStyle w:val="2"/>
              <w:jc w:val="center"/>
              <w:rPr>
                <w:rFonts w:ascii="Times New Roman" w:hAnsi="Times New Roman"/>
                <w:color w:val="auto"/>
                <w:sz w:val="18"/>
                <w:szCs w:val="18"/>
              </w:rPr>
            </w:pPr>
            <w:r>
              <w:rPr>
                <w:rFonts w:ascii="Times New Roman" w:hAnsi="Times New Roman"/>
                <w:color w:val="auto"/>
                <w:sz w:val="18"/>
                <w:szCs w:val="18"/>
              </w:rPr>
              <w:t>pH≤5.5</w:t>
            </w:r>
          </w:p>
        </w:tc>
        <w:tc>
          <w:tcPr>
            <w:tcW w:w="986" w:type="pct"/>
            <w:noWrap w:val="0"/>
            <w:vAlign w:val="center"/>
          </w:tcPr>
          <w:p w14:paraId="086A333A">
            <w:pPr>
              <w:pStyle w:val="2"/>
              <w:jc w:val="center"/>
              <w:rPr>
                <w:rFonts w:ascii="Times New Roman" w:hAnsi="Times New Roman"/>
                <w:color w:val="auto"/>
                <w:sz w:val="18"/>
                <w:szCs w:val="18"/>
              </w:rPr>
            </w:pPr>
            <w:r>
              <w:rPr>
                <w:rFonts w:ascii="Times New Roman" w:hAnsi="Times New Roman"/>
                <w:color w:val="auto"/>
                <w:sz w:val="18"/>
                <w:szCs w:val="18"/>
              </w:rPr>
              <w:t>5.5&lt;pH≤6.5</w:t>
            </w:r>
          </w:p>
        </w:tc>
        <w:tc>
          <w:tcPr>
            <w:tcW w:w="985" w:type="pct"/>
            <w:noWrap w:val="0"/>
            <w:vAlign w:val="center"/>
          </w:tcPr>
          <w:p w14:paraId="46A19532">
            <w:pPr>
              <w:pStyle w:val="2"/>
              <w:jc w:val="center"/>
              <w:rPr>
                <w:rFonts w:ascii="Times New Roman" w:hAnsi="Times New Roman"/>
                <w:color w:val="auto"/>
                <w:sz w:val="18"/>
                <w:szCs w:val="18"/>
              </w:rPr>
            </w:pPr>
            <w:r>
              <w:rPr>
                <w:rFonts w:ascii="Times New Roman" w:hAnsi="Times New Roman"/>
                <w:color w:val="auto"/>
                <w:sz w:val="18"/>
                <w:szCs w:val="18"/>
              </w:rPr>
              <w:t>6.5&lt; pH≤7.5</w:t>
            </w:r>
          </w:p>
        </w:tc>
        <w:tc>
          <w:tcPr>
            <w:tcW w:w="925" w:type="pct"/>
            <w:noWrap w:val="0"/>
            <w:vAlign w:val="center"/>
          </w:tcPr>
          <w:p w14:paraId="5B01EA2B">
            <w:pPr>
              <w:pStyle w:val="2"/>
              <w:jc w:val="center"/>
              <w:rPr>
                <w:rFonts w:ascii="Times New Roman" w:hAnsi="Times New Roman"/>
                <w:color w:val="auto"/>
                <w:sz w:val="18"/>
                <w:szCs w:val="18"/>
              </w:rPr>
            </w:pPr>
            <w:r>
              <w:rPr>
                <w:rFonts w:ascii="Times New Roman" w:hAnsi="Times New Roman"/>
                <w:color w:val="auto"/>
                <w:sz w:val="18"/>
                <w:szCs w:val="18"/>
              </w:rPr>
              <w:t>pH&gt;7.5</w:t>
            </w:r>
          </w:p>
        </w:tc>
      </w:tr>
      <w:tr w14:paraId="2C50AA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363" w:type="pct"/>
            <w:noWrap w:val="0"/>
            <w:vAlign w:val="center"/>
          </w:tcPr>
          <w:p w14:paraId="0F986742">
            <w:pPr>
              <w:pStyle w:val="2"/>
              <w:jc w:val="center"/>
              <w:rPr>
                <w:rFonts w:ascii="Times New Roman" w:hAnsi="Times New Roman"/>
                <w:color w:val="auto"/>
              </w:rPr>
            </w:pPr>
            <w:r>
              <w:rPr>
                <w:rFonts w:ascii="Times New Roman" w:hAnsi="Times New Roman"/>
                <w:color w:val="auto"/>
              </w:rPr>
              <w:t>1</w:t>
            </w:r>
          </w:p>
        </w:tc>
        <w:tc>
          <w:tcPr>
            <w:tcW w:w="756" w:type="pct"/>
            <w:noWrap w:val="0"/>
            <w:vAlign w:val="center"/>
          </w:tcPr>
          <w:p w14:paraId="792ED82A">
            <w:pPr>
              <w:pStyle w:val="2"/>
              <w:jc w:val="center"/>
              <w:rPr>
                <w:rFonts w:ascii="Times New Roman" w:hAnsi="Times New Roman"/>
                <w:color w:val="auto"/>
                <w:sz w:val="18"/>
                <w:szCs w:val="18"/>
              </w:rPr>
            </w:pPr>
            <w:r>
              <w:rPr>
                <w:rFonts w:ascii="Times New Roman" w:hAnsi="Times New Roman"/>
                <w:color w:val="auto"/>
                <w:sz w:val="18"/>
                <w:szCs w:val="18"/>
              </w:rPr>
              <w:t>镉</w:t>
            </w:r>
          </w:p>
        </w:tc>
        <w:tc>
          <w:tcPr>
            <w:tcW w:w="985" w:type="pct"/>
            <w:noWrap w:val="0"/>
            <w:vAlign w:val="center"/>
          </w:tcPr>
          <w:p w14:paraId="7F200EE0">
            <w:pPr>
              <w:pStyle w:val="2"/>
              <w:jc w:val="center"/>
              <w:rPr>
                <w:rFonts w:ascii="Times New Roman" w:hAnsi="Times New Roman"/>
                <w:color w:val="auto"/>
                <w:sz w:val="18"/>
                <w:szCs w:val="18"/>
              </w:rPr>
            </w:pPr>
            <w:r>
              <w:rPr>
                <w:rFonts w:ascii="Times New Roman" w:hAnsi="Times New Roman"/>
                <w:color w:val="auto"/>
                <w:sz w:val="18"/>
                <w:szCs w:val="18"/>
              </w:rPr>
              <w:t>1.5</w:t>
            </w:r>
          </w:p>
        </w:tc>
        <w:tc>
          <w:tcPr>
            <w:tcW w:w="986" w:type="pct"/>
            <w:noWrap w:val="0"/>
            <w:vAlign w:val="center"/>
          </w:tcPr>
          <w:p w14:paraId="39F1FE48">
            <w:pPr>
              <w:pStyle w:val="2"/>
              <w:jc w:val="center"/>
              <w:rPr>
                <w:rFonts w:ascii="Times New Roman" w:hAnsi="Times New Roman"/>
                <w:color w:val="auto"/>
                <w:sz w:val="18"/>
                <w:szCs w:val="18"/>
              </w:rPr>
            </w:pPr>
            <w:r>
              <w:rPr>
                <w:rFonts w:ascii="Times New Roman" w:hAnsi="Times New Roman"/>
                <w:color w:val="auto"/>
                <w:sz w:val="18"/>
                <w:szCs w:val="18"/>
              </w:rPr>
              <w:t>2.0</w:t>
            </w:r>
          </w:p>
        </w:tc>
        <w:tc>
          <w:tcPr>
            <w:tcW w:w="985" w:type="pct"/>
            <w:noWrap w:val="0"/>
            <w:vAlign w:val="center"/>
          </w:tcPr>
          <w:p w14:paraId="1578260C">
            <w:pPr>
              <w:pStyle w:val="2"/>
              <w:jc w:val="center"/>
              <w:rPr>
                <w:rFonts w:ascii="Times New Roman" w:hAnsi="Times New Roman"/>
                <w:color w:val="auto"/>
                <w:sz w:val="18"/>
                <w:szCs w:val="18"/>
              </w:rPr>
            </w:pPr>
            <w:r>
              <w:rPr>
                <w:rFonts w:ascii="Times New Roman" w:hAnsi="Times New Roman"/>
                <w:color w:val="auto"/>
                <w:sz w:val="18"/>
                <w:szCs w:val="18"/>
              </w:rPr>
              <w:t>3.0</w:t>
            </w:r>
          </w:p>
        </w:tc>
        <w:tc>
          <w:tcPr>
            <w:tcW w:w="925" w:type="pct"/>
            <w:noWrap w:val="0"/>
            <w:vAlign w:val="center"/>
          </w:tcPr>
          <w:p w14:paraId="3582CFD1">
            <w:pPr>
              <w:pStyle w:val="2"/>
              <w:jc w:val="center"/>
              <w:rPr>
                <w:rFonts w:ascii="Times New Roman" w:hAnsi="Times New Roman"/>
                <w:color w:val="auto"/>
                <w:sz w:val="18"/>
                <w:szCs w:val="18"/>
              </w:rPr>
            </w:pPr>
            <w:r>
              <w:rPr>
                <w:rFonts w:ascii="Times New Roman" w:hAnsi="Times New Roman"/>
                <w:color w:val="auto"/>
                <w:sz w:val="18"/>
                <w:szCs w:val="18"/>
              </w:rPr>
              <w:t>4.0</w:t>
            </w:r>
          </w:p>
        </w:tc>
      </w:tr>
      <w:tr w14:paraId="47AF2B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363" w:type="pct"/>
            <w:noWrap w:val="0"/>
            <w:vAlign w:val="center"/>
          </w:tcPr>
          <w:p w14:paraId="5D0F7021">
            <w:pPr>
              <w:pStyle w:val="2"/>
              <w:jc w:val="center"/>
              <w:rPr>
                <w:rFonts w:ascii="Times New Roman" w:hAnsi="Times New Roman"/>
                <w:color w:val="auto"/>
              </w:rPr>
            </w:pPr>
            <w:r>
              <w:rPr>
                <w:rFonts w:ascii="Times New Roman" w:hAnsi="Times New Roman"/>
                <w:color w:val="auto"/>
              </w:rPr>
              <w:t>2</w:t>
            </w:r>
          </w:p>
        </w:tc>
        <w:tc>
          <w:tcPr>
            <w:tcW w:w="756" w:type="pct"/>
            <w:noWrap w:val="0"/>
            <w:vAlign w:val="center"/>
          </w:tcPr>
          <w:p w14:paraId="7B07A3CF">
            <w:pPr>
              <w:pStyle w:val="2"/>
              <w:jc w:val="center"/>
              <w:rPr>
                <w:rFonts w:ascii="Times New Roman" w:hAnsi="Times New Roman"/>
                <w:color w:val="auto"/>
                <w:sz w:val="18"/>
                <w:szCs w:val="18"/>
              </w:rPr>
            </w:pPr>
            <w:r>
              <w:rPr>
                <w:rFonts w:ascii="Times New Roman" w:hAnsi="Times New Roman"/>
                <w:color w:val="auto"/>
                <w:sz w:val="18"/>
                <w:szCs w:val="18"/>
              </w:rPr>
              <w:t>汞</w:t>
            </w:r>
          </w:p>
        </w:tc>
        <w:tc>
          <w:tcPr>
            <w:tcW w:w="985" w:type="pct"/>
            <w:noWrap w:val="0"/>
            <w:vAlign w:val="center"/>
          </w:tcPr>
          <w:p w14:paraId="3625FA52">
            <w:pPr>
              <w:pStyle w:val="2"/>
              <w:jc w:val="center"/>
              <w:rPr>
                <w:rFonts w:ascii="Times New Roman" w:hAnsi="Times New Roman"/>
                <w:color w:val="auto"/>
                <w:sz w:val="18"/>
                <w:szCs w:val="18"/>
              </w:rPr>
            </w:pPr>
            <w:r>
              <w:rPr>
                <w:rFonts w:ascii="Times New Roman" w:hAnsi="Times New Roman"/>
                <w:color w:val="auto"/>
                <w:sz w:val="18"/>
                <w:szCs w:val="18"/>
              </w:rPr>
              <w:t>2.0</w:t>
            </w:r>
          </w:p>
        </w:tc>
        <w:tc>
          <w:tcPr>
            <w:tcW w:w="986" w:type="pct"/>
            <w:noWrap w:val="0"/>
            <w:vAlign w:val="center"/>
          </w:tcPr>
          <w:p w14:paraId="5B3062B8">
            <w:pPr>
              <w:pStyle w:val="2"/>
              <w:jc w:val="center"/>
              <w:rPr>
                <w:rFonts w:ascii="Times New Roman" w:hAnsi="Times New Roman"/>
                <w:color w:val="auto"/>
                <w:sz w:val="18"/>
                <w:szCs w:val="18"/>
              </w:rPr>
            </w:pPr>
            <w:r>
              <w:rPr>
                <w:rFonts w:ascii="Times New Roman" w:hAnsi="Times New Roman"/>
                <w:color w:val="auto"/>
                <w:sz w:val="18"/>
                <w:szCs w:val="18"/>
              </w:rPr>
              <w:t>2.5</w:t>
            </w:r>
          </w:p>
        </w:tc>
        <w:tc>
          <w:tcPr>
            <w:tcW w:w="985" w:type="pct"/>
            <w:noWrap w:val="0"/>
            <w:vAlign w:val="center"/>
          </w:tcPr>
          <w:p w14:paraId="7FF2C664">
            <w:pPr>
              <w:pStyle w:val="2"/>
              <w:jc w:val="center"/>
              <w:rPr>
                <w:rFonts w:ascii="Times New Roman" w:hAnsi="Times New Roman"/>
                <w:color w:val="auto"/>
                <w:sz w:val="18"/>
                <w:szCs w:val="18"/>
              </w:rPr>
            </w:pPr>
            <w:r>
              <w:rPr>
                <w:rFonts w:ascii="Times New Roman" w:hAnsi="Times New Roman"/>
                <w:color w:val="auto"/>
                <w:sz w:val="18"/>
                <w:szCs w:val="18"/>
              </w:rPr>
              <w:t>4.0</w:t>
            </w:r>
          </w:p>
        </w:tc>
        <w:tc>
          <w:tcPr>
            <w:tcW w:w="925" w:type="pct"/>
            <w:noWrap w:val="0"/>
            <w:vAlign w:val="center"/>
          </w:tcPr>
          <w:p w14:paraId="17D4E0ED">
            <w:pPr>
              <w:pStyle w:val="2"/>
              <w:jc w:val="center"/>
              <w:rPr>
                <w:rFonts w:ascii="Times New Roman" w:hAnsi="Times New Roman"/>
                <w:color w:val="auto"/>
                <w:sz w:val="18"/>
                <w:szCs w:val="18"/>
              </w:rPr>
            </w:pPr>
            <w:r>
              <w:rPr>
                <w:rFonts w:ascii="Times New Roman" w:hAnsi="Times New Roman"/>
                <w:color w:val="auto"/>
                <w:sz w:val="18"/>
                <w:szCs w:val="18"/>
              </w:rPr>
              <w:t>6.0</w:t>
            </w:r>
          </w:p>
        </w:tc>
      </w:tr>
      <w:tr w14:paraId="73D96A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363" w:type="pct"/>
            <w:noWrap w:val="0"/>
            <w:vAlign w:val="center"/>
          </w:tcPr>
          <w:p w14:paraId="79806433">
            <w:pPr>
              <w:pStyle w:val="2"/>
              <w:jc w:val="center"/>
              <w:rPr>
                <w:rFonts w:ascii="Times New Roman" w:hAnsi="Times New Roman"/>
                <w:color w:val="auto"/>
              </w:rPr>
            </w:pPr>
            <w:r>
              <w:rPr>
                <w:rFonts w:ascii="Times New Roman" w:hAnsi="Times New Roman"/>
                <w:color w:val="auto"/>
              </w:rPr>
              <w:t>3</w:t>
            </w:r>
          </w:p>
        </w:tc>
        <w:tc>
          <w:tcPr>
            <w:tcW w:w="756" w:type="pct"/>
            <w:noWrap w:val="0"/>
            <w:vAlign w:val="center"/>
          </w:tcPr>
          <w:p w14:paraId="49868C3B">
            <w:pPr>
              <w:pStyle w:val="2"/>
              <w:jc w:val="center"/>
              <w:rPr>
                <w:rFonts w:ascii="Times New Roman" w:hAnsi="Times New Roman"/>
                <w:color w:val="auto"/>
                <w:sz w:val="18"/>
                <w:szCs w:val="18"/>
              </w:rPr>
            </w:pPr>
            <w:r>
              <w:rPr>
                <w:rFonts w:ascii="Times New Roman" w:hAnsi="Times New Roman"/>
                <w:color w:val="auto"/>
                <w:sz w:val="18"/>
                <w:szCs w:val="18"/>
              </w:rPr>
              <w:t>砷</w:t>
            </w:r>
          </w:p>
        </w:tc>
        <w:tc>
          <w:tcPr>
            <w:tcW w:w="985" w:type="pct"/>
            <w:noWrap w:val="0"/>
            <w:vAlign w:val="center"/>
          </w:tcPr>
          <w:p w14:paraId="2282938A">
            <w:pPr>
              <w:pStyle w:val="2"/>
              <w:jc w:val="center"/>
              <w:rPr>
                <w:rFonts w:ascii="Times New Roman" w:hAnsi="Times New Roman"/>
                <w:color w:val="auto"/>
                <w:sz w:val="18"/>
                <w:szCs w:val="18"/>
              </w:rPr>
            </w:pPr>
            <w:r>
              <w:rPr>
                <w:rFonts w:ascii="Times New Roman" w:hAnsi="Times New Roman"/>
                <w:color w:val="auto"/>
                <w:sz w:val="18"/>
                <w:szCs w:val="18"/>
              </w:rPr>
              <w:t>200</w:t>
            </w:r>
          </w:p>
        </w:tc>
        <w:tc>
          <w:tcPr>
            <w:tcW w:w="986" w:type="pct"/>
            <w:noWrap w:val="0"/>
            <w:vAlign w:val="center"/>
          </w:tcPr>
          <w:p w14:paraId="4081D037">
            <w:pPr>
              <w:pStyle w:val="2"/>
              <w:jc w:val="center"/>
              <w:rPr>
                <w:rFonts w:ascii="Times New Roman" w:hAnsi="Times New Roman"/>
                <w:color w:val="auto"/>
                <w:sz w:val="18"/>
                <w:szCs w:val="18"/>
              </w:rPr>
            </w:pPr>
            <w:r>
              <w:rPr>
                <w:rFonts w:ascii="Times New Roman" w:hAnsi="Times New Roman"/>
                <w:color w:val="auto"/>
                <w:sz w:val="18"/>
                <w:szCs w:val="18"/>
              </w:rPr>
              <w:t>150</w:t>
            </w:r>
          </w:p>
        </w:tc>
        <w:tc>
          <w:tcPr>
            <w:tcW w:w="985" w:type="pct"/>
            <w:noWrap w:val="0"/>
            <w:vAlign w:val="center"/>
          </w:tcPr>
          <w:p w14:paraId="00B8AA17">
            <w:pPr>
              <w:pStyle w:val="2"/>
              <w:jc w:val="center"/>
              <w:rPr>
                <w:rFonts w:ascii="Times New Roman" w:hAnsi="Times New Roman"/>
                <w:color w:val="auto"/>
                <w:sz w:val="18"/>
                <w:szCs w:val="18"/>
              </w:rPr>
            </w:pPr>
            <w:r>
              <w:rPr>
                <w:rFonts w:ascii="Times New Roman" w:hAnsi="Times New Roman"/>
                <w:color w:val="auto"/>
                <w:sz w:val="18"/>
                <w:szCs w:val="18"/>
              </w:rPr>
              <w:t>120</w:t>
            </w:r>
          </w:p>
        </w:tc>
        <w:tc>
          <w:tcPr>
            <w:tcW w:w="925" w:type="pct"/>
            <w:noWrap w:val="0"/>
            <w:vAlign w:val="center"/>
          </w:tcPr>
          <w:p w14:paraId="07420B69">
            <w:pPr>
              <w:pStyle w:val="2"/>
              <w:jc w:val="center"/>
              <w:rPr>
                <w:rFonts w:ascii="Times New Roman" w:hAnsi="Times New Roman"/>
                <w:color w:val="auto"/>
                <w:sz w:val="18"/>
                <w:szCs w:val="18"/>
              </w:rPr>
            </w:pPr>
            <w:r>
              <w:rPr>
                <w:rFonts w:ascii="Times New Roman" w:hAnsi="Times New Roman"/>
                <w:color w:val="auto"/>
                <w:sz w:val="18"/>
                <w:szCs w:val="18"/>
              </w:rPr>
              <w:t>100</w:t>
            </w:r>
          </w:p>
        </w:tc>
      </w:tr>
      <w:tr w14:paraId="178C11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363" w:type="pct"/>
            <w:noWrap w:val="0"/>
            <w:vAlign w:val="center"/>
          </w:tcPr>
          <w:p w14:paraId="560C3975">
            <w:pPr>
              <w:pStyle w:val="2"/>
              <w:jc w:val="center"/>
              <w:rPr>
                <w:rFonts w:ascii="Times New Roman" w:hAnsi="Times New Roman"/>
                <w:color w:val="auto"/>
              </w:rPr>
            </w:pPr>
            <w:r>
              <w:rPr>
                <w:rFonts w:ascii="Times New Roman" w:hAnsi="Times New Roman"/>
                <w:color w:val="auto"/>
              </w:rPr>
              <w:t>4</w:t>
            </w:r>
          </w:p>
        </w:tc>
        <w:tc>
          <w:tcPr>
            <w:tcW w:w="756" w:type="pct"/>
            <w:noWrap w:val="0"/>
            <w:vAlign w:val="center"/>
          </w:tcPr>
          <w:p w14:paraId="1A091C8A">
            <w:pPr>
              <w:pStyle w:val="2"/>
              <w:jc w:val="center"/>
              <w:rPr>
                <w:rFonts w:ascii="Times New Roman" w:hAnsi="Times New Roman"/>
                <w:color w:val="auto"/>
                <w:sz w:val="18"/>
                <w:szCs w:val="18"/>
              </w:rPr>
            </w:pPr>
            <w:r>
              <w:rPr>
                <w:rFonts w:ascii="Times New Roman" w:hAnsi="Times New Roman"/>
                <w:color w:val="auto"/>
                <w:sz w:val="18"/>
                <w:szCs w:val="18"/>
              </w:rPr>
              <w:t>铅</w:t>
            </w:r>
          </w:p>
        </w:tc>
        <w:tc>
          <w:tcPr>
            <w:tcW w:w="985" w:type="pct"/>
            <w:noWrap w:val="0"/>
            <w:vAlign w:val="center"/>
          </w:tcPr>
          <w:p w14:paraId="34B17D6B">
            <w:pPr>
              <w:pStyle w:val="2"/>
              <w:jc w:val="center"/>
              <w:rPr>
                <w:rFonts w:ascii="Times New Roman" w:hAnsi="Times New Roman"/>
                <w:color w:val="auto"/>
                <w:sz w:val="18"/>
                <w:szCs w:val="18"/>
              </w:rPr>
            </w:pPr>
            <w:r>
              <w:rPr>
                <w:rFonts w:ascii="Times New Roman" w:hAnsi="Times New Roman"/>
                <w:color w:val="auto"/>
                <w:sz w:val="18"/>
                <w:szCs w:val="18"/>
              </w:rPr>
              <w:t>400</w:t>
            </w:r>
          </w:p>
        </w:tc>
        <w:tc>
          <w:tcPr>
            <w:tcW w:w="986" w:type="pct"/>
            <w:noWrap w:val="0"/>
            <w:vAlign w:val="center"/>
          </w:tcPr>
          <w:p w14:paraId="440748C9">
            <w:pPr>
              <w:pStyle w:val="2"/>
              <w:jc w:val="center"/>
              <w:rPr>
                <w:rFonts w:ascii="Times New Roman" w:hAnsi="Times New Roman"/>
                <w:color w:val="auto"/>
                <w:sz w:val="18"/>
                <w:szCs w:val="18"/>
              </w:rPr>
            </w:pPr>
            <w:r>
              <w:rPr>
                <w:rFonts w:ascii="Times New Roman" w:hAnsi="Times New Roman"/>
                <w:color w:val="auto"/>
                <w:sz w:val="18"/>
                <w:szCs w:val="18"/>
              </w:rPr>
              <w:t>500</w:t>
            </w:r>
          </w:p>
        </w:tc>
        <w:tc>
          <w:tcPr>
            <w:tcW w:w="985" w:type="pct"/>
            <w:noWrap w:val="0"/>
            <w:vAlign w:val="center"/>
          </w:tcPr>
          <w:p w14:paraId="53611C40">
            <w:pPr>
              <w:pStyle w:val="2"/>
              <w:jc w:val="center"/>
              <w:rPr>
                <w:rFonts w:ascii="Times New Roman" w:hAnsi="Times New Roman"/>
                <w:color w:val="auto"/>
                <w:sz w:val="18"/>
                <w:szCs w:val="18"/>
              </w:rPr>
            </w:pPr>
            <w:r>
              <w:rPr>
                <w:rFonts w:ascii="Times New Roman" w:hAnsi="Times New Roman"/>
                <w:color w:val="auto"/>
                <w:sz w:val="18"/>
                <w:szCs w:val="18"/>
              </w:rPr>
              <w:t>700</w:t>
            </w:r>
          </w:p>
        </w:tc>
        <w:tc>
          <w:tcPr>
            <w:tcW w:w="925" w:type="pct"/>
            <w:noWrap w:val="0"/>
            <w:vAlign w:val="center"/>
          </w:tcPr>
          <w:p w14:paraId="4AD09005">
            <w:pPr>
              <w:pStyle w:val="2"/>
              <w:jc w:val="center"/>
              <w:rPr>
                <w:rFonts w:ascii="Times New Roman" w:hAnsi="Times New Roman"/>
                <w:color w:val="auto"/>
                <w:sz w:val="18"/>
                <w:szCs w:val="18"/>
              </w:rPr>
            </w:pPr>
            <w:r>
              <w:rPr>
                <w:rFonts w:ascii="Times New Roman" w:hAnsi="Times New Roman"/>
                <w:color w:val="auto"/>
                <w:sz w:val="18"/>
                <w:szCs w:val="18"/>
              </w:rPr>
              <w:t>1000</w:t>
            </w:r>
          </w:p>
        </w:tc>
      </w:tr>
      <w:tr w14:paraId="6AD6E1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5" w:hRule="atLeast"/>
        </w:trPr>
        <w:tc>
          <w:tcPr>
            <w:tcW w:w="363" w:type="pct"/>
            <w:noWrap w:val="0"/>
            <w:vAlign w:val="center"/>
          </w:tcPr>
          <w:p w14:paraId="2997BAA4">
            <w:pPr>
              <w:pStyle w:val="2"/>
              <w:jc w:val="center"/>
              <w:rPr>
                <w:rFonts w:ascii="Times New Roman" w:hAnsi="Times New Roman"/>
                <w:color w:val="auto"/>
              </w:rPr>
            </w:pPr>
            <w:r>
              <w:rPr>
                <w:rFonts w:ascii="Times New Roman" w:hAnsi="Times New Roman"/>
                <w:color w:val="auto"/>
              </w:rPr>
              <w:t>5</w:t>
            </w:r>
          </w:p>
        </w:tc>
        <w:tc>
          <w:tcPr>
            <w:tcW w:w="756" w:type="pct"/>
            <w:noWrap w:val="0"/>
            <w:vAlign w:val="center"/>
          </w:tcPr>
          <w:p w14:paraId="3C303EFD">
            <w:pPr>
              <w:pStyle w:val="2"/>
              <w:jc w:val="center"/>
              <w:rPr>
                <w:rFonts w:ascii="Times New Roman" w:hAnsi="Times New Roman"/>
                <w:color w:val="auto"/>
                <w:sz w:val="18"/>
                <w:szCs w:val="18"/>
              </w:rPr>
            </w:pPr>
            <w:r>
              <w:rPr>
                <w:rFonts w:ascii="Times New Roman" w:hAnsi="Times New Roman"/>
                <w:color w:val="auto"/>
                <w:sz w:val="18"/>
                <w:szCs w:val="18"/>
              </w:rPr>
              <w:t>铬</w:t>
            </w:r>
          </w:p>
        </w:tc>
        <w:tc>
          <w:tcPr>
            <w:tcW w:w="985" w:type="pct"/>
            <w:noWrap w:val="0"/>
            <w:vAlign w:val="center"/>
          </w:tcPr>
          <w:p w14:paraId="7D6361D7">
            <w:pPr>
              <w:pStyle w:val="2"/>
              <w:jc w:val="center"/>
              <w:rPr>
                <w:rFonts w:ascii="Times New Roman" w:hAnsi="Times New Roman"/>
                <w:color w:val="auto"/>
                <w:sz w:val="18"/>
                <w:szCs w:val="18"/>
              </w:rPr>
            </w:pPr>
            <w:r>
              <w:rPr>
                <w:rFonts w:ascii="Times New Roman" w:hAnsi="Times New Roman"/>
                <w:color w:val="auto"/>
                <w:sz w:val="18"/>
                <w:szCs w:val="18"/>
              </w:rPr>
              <w:t>800</w:t>
            </w:r>
          </w:p>
        </w:tc>
        <w:tc>
          <w:tcPr>
            <w:tcW w:w="986" w:type="pct"/>
            <w:noWrap w:val="0"/>
            <w:vAlign w:val="center"/>
          </w:tcPr>
          <w:p w14:paraId="751C6E5A">
            <w:pPr>
              <w:pStyle w:val="2"/>
              <w:jc w:val="center"/>
              <w:rPr>
                <w:rFonts w:ascii="Times New Roman" w:hAnsi="Times New Roman"/>
                <w:color w:val="auto"/>
                <w:sz w:val="18"/>
                <w:szCs w:val="18"/>
              </w:rPr>
            </w:pPr>
            <w:r>
              <w:rPr>
                <w:rFonts w:ascii="Times New Roman" w:hAnsi="Times New Roman"/>
                <w:color w:val="auto"/>
                <w:sz w:val="18"/>
                <w:szCs w:val="18"/>
              </w:rPr>
              <w:t>850</w:t>
            </w:r>
          </w:p>
        </w:tc>
        <w:tc>
          <w:tcPr>
            <w:tcW w:w="985" w:type="pct"/>
            <w:noWrap w:val="0"/>
            <w:vAlign w:val="center"/>
          </w:tcPr>
          <w:p w14:paraId="7295D0ED">
            <w:pPr>
              <w:pStyle w:val="2"/>
              <w:jc w:val="center"/>
              <w:rPr>
                <w:rFonts w:ascii="Times New Roman" w:hAnsi="Times New Roman"/>
                <w:color w:val="auto"/>
                <w:sz w:val="18"/>
                <w:szCs w:val="18"/>
              </w:rPr>
            </w:pPr>
            <w:r>
              <w:rPr>
                <w:rFonts w:ascii="Times New Roman" w:hAnsi="Times New Roman"/>
                <w:color w:val="auto"/>
                <w:sz w:val="18"/>
                <w:szCs w:val="18"/>
              </w:rPr>
              <w:t>1000</w:t>
            </w:r>
          </w:p>
        </w:tc>
        <w:tc>
          <w:tcPr>
            <w:tcW w:w="925" w:type="pct"/>
            <w:noWrap w:val="0"/>
            <w:vAlign w:val="center"/>
          </w:tcPr>
          <w:p w14:paraId="1AE22499">
            <w:pPr>
              <w:pStyle w:val="2"/>
              <w:jc w:val="center"/>
              <w:rPr>
                <w:rFonts w:ascii="Times New Roman" w:hAnsi="Times New Roman"/>
                <w:color w:val="auto"/>
                <w:sz w:val="18"/>
                <w:szCs w:val="18"/>
              </w:rPr>
            </w:pPr>
            <w:r>
              <w:rPr>
                <w:rFonts w:ascii="Times New Roman" w:hAnsi="Times New Roman"/>
                <w:color w:val="auto"/>
                <w:sz w:val="18"/>
                <w:szCs w:val="18"/>
              </w:rPr>
              <w:t>1300</w:t>
            </w:r>
          </w:p>
        </w:tc>
      </w:tr>
    </w:tbl>
    <w:p w14:paraId="37FA08B4"/>
    <w:p w14:paraId="14524074">
      <w:pPr>
        <w:pStyle w:val="10"/>
        <w:spacing w:line="360" w:lineRule="auto"/>
        <w:ind w:firstLine="482"/>
        <w:rPr>
          <w:b/>
          <w:snapToGrid w:val="0"/>
          <w:sz w:val="24"/>
        </w:rPr>
      </w:pPr>
      <w:r>
        <w:rPr>
          <w:b/>
          <w:snapToGrid w:val="0"/>
          <w:sz w:val="24"/>
        </w:rPr>
        <w:t>二、 污染物排放标准</w:t>
      </w:r>
    </w:p>
    <w:p w14:paraId="1959B562">
      <w:pPr>
        <w:pStyle w:val="10"/>
        <w:spacing w:line="360" w:lineRule="auto"/>
        <w:ind w:firstLine="482"/>
        <w:rPr>
          <w:b/>
          <w:snapToGrid w:val="0"/>
          <w:sz w:val="24"/>
        </w:rPr>
      </w:pPr>
      <w:r>
        <w:rPr>
          <w:b/>
          <w:snapToGrid w:val="0"/>
          <w:sz w:val="24"/>
        </w:rPr>
        <w:t>1、大气污染物排放标准</w:t>
      </w:r>
    </w:p>
    <w:p w14:paraId="78787869">
      <w:pPr>
        <w:spacing w:line="360" w:lineRule="auto"/>
        <w:ind w:firstLine="480" w:firstLineChars="200"/>
        <w:rPr>
          <w:sz w:val="24"/>
        </w:rPr>
      </w:pPr>
      <w:r>
        <w:rPr>
          <w:sz w:val="24"/>
        </w:rPr>
        <w:t>（1）</w:t>
      </w:r>
      <w:r>
        <w:rPr>
          <w:spacing w:val="-3"/>
          <w:kern w:val="0"/>
          <w:sz w:val="24"/>
        </w:rPr>
        <w:t>施工期及运营期过程无组织排放粉尘执行《大气污染物综合排放标准》</w:t>
      </w:r>
      <w:r>
        <w:rPr>
          <w:kern w:val="0"/>
          <w:sz w:val="24"/>
        </w:rPr>
        <w:t>（GB16297-1996）表 2 颗粒物无组织排放浓度限值，具体标准值见表</w:t>
      </w:r>
      <w:r>
        <w:rPr>
          <w:sz w:val="24"/>
        </w:rPr>
        <w:t>2.3-10。</w:t>
      </w:r>
    </w:p>
    <w:p w14:paraId="7ACD1CD4">
      <w:pPr>
        <w:pStyle w:val="784"/>
        <w:rPr>
          <w:rFonts w:ascii="Times New Roman" w:hAnsi="Times New Roman" w:cs="Times New Roman"/>
        </w:rPr>
      </w:pPr>
      <w:r>
        <w:rPr>
          <w:rFonts w:ascii="Times New Roman" w:hAnsi="Times New Roman" w:cs="Times New Roman"/>
        </w:rPr>
        <w:t>表2.3-</w:t>
      </w:r>
      <w:r>
        <w:rPr>
          <w:rFonts w:ascii="Times New Roman" w:hAnsi="Times New Roman" w:cs="Times New Roman"/>
          <w:lang w:val="en-US"/>
        </w:rPr>
        <w:t xml:space="preserve">10 </w:t>
      </w:r>
      <w:r>
        <w:rPr>
          <w:rFonts w:ascii="Times New Roman" w:hAnsi="Times New Roman" w:cs="Times New Roman"/>
        </w:rPr>
        <w:t>施工期大气污染物排放标准</w:t>
      </w:r>
    </w:p>
    <w:tbl>
      <w:tblPr>
        <w:tblStyle w:val="87"/>
        <w:tblpPr w:leftFromText="181" w:rightFromText="181" w:bottomFromText="142" w:vertAnchor="text" w:tblpXSpec="center" w:tblpY="1"/>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5"/>
        <w:gridCol w:w="3769"/>
        <w:gridCol w:w="1685"/>
        <w:gridCol w:w="1629"/>
      </w:tblGrid>
      <w:tr w14:paraId="747EF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45" w:type="dxa"/>
            <w:noWrap w:val="0"/>
            <w:vAlign w:val="center"/>
          </w:tcPr>
          <w:p w14:paraId="1FA3BB17">
            <w:pPr>
              <w:pStyle w:val="444"/>
              <w:rPr>
                <w:rFonts w:ascii="Times New Roman" w:hAnsi="Times New Roman"/>
                <w:color w:val="auto"/>
              </w:rPr>
            </w:pPr>
            <w:r>
              <w:rPr>
                <w:rFonts w:ascii="Times New Roman" w:hAnsi="Times New Roman"/>
                <w:color w:val="auto"/>
              </w:rPr>
              <w:t>污染物</w:t>
            </w:r>
          </w:p>
        </w:tc>
        <w:tc>
          <w:tcPr>
            <w:tcW w:w="3769" w:type="dxa"/>
            <w:noWrap w:val="0"/>
            <w:vAlign w:val="center"/>
          </w:tcPr>
          <w:p w14:paraId="3C8899A5">
            <w:pPr>
              <w:pStyle w:val="444"/>
              <w:rPr>
                <w:rFonts w:ascii="Times New Roman" w:hAnsi="Times New Roman"/>
                <w:color w:val="auto"/>
              </w:rPr>
            </w:pPr>
            <w:r>
              <w:rPr>
                <w:rFonts w:ascii="Times New Roman" w:hAnsi="Times New Roman"/>
                <w:color w:val="auto"/>
              </w:rPr>
              <w:t>控制点</w:t>
            </w:r>
          </w:p>
        </w:tc>
        <w:tc>
          <w:tcPr>
            <w:tcW w:w="1685" w:type="dxa"/>
            <w:noWrap w:val="0"/>
            <w:vAlign w:val="center"/>
          </w:tcPr>
          <w:p w14:paraId="51F4E13E">
            <w:pPr>
              <w:pStyle w:val="444"/>
              <w:rPr>
                <w:rFonts w:ascii="Times New Roman" w:hAnsi="Times New Roman"/>
                <w:color w:val="auto"/>
              </w:rPr>
            </w:pPr>
            <w:r>
              <w:rPr>
                <w:rFonts w:ascii="Times New Roman" w:hAnsi="Times New Roman"/>
                <w:color w:val="auto"/>
              </w:rPr>
              <w:t>浓度限值</w:t>
            </w:r>
          </w:p>
        </w:tc>
        <w:tc>
          <w:tcPr>
            <w:tcW w:w="1629" w:type="dxa"/>
            <w:noWrap w:val="0"/>
            <w:vAlign w:val="center"/>
          </w:tcPr>
          <w:p w14:paraId="4EF3C845">
            <w:pPr>
              <w:pStyle w:val="444"/>
              <w:rPr>
                <w:rFonts w:ascii="Times New Roman" w:hAnsi="Times New Roman"/>
                <w:color w:val="auto"/>
              </w:rPr>
            </w:pPr>
            <w:r>
              <w:rPr>
                <w:rFonts w:ascii="Times New Roman" w:hAnsi="Times New Roman"/>
                <w:color w:val="auto"/>
              </w:rPr>
              <w:t>单位</w:t>
            </w:r>
          </w:p>
        </w:tc>
      </w:tr>
      <w:tr w14:paraId="16A1D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45" w:type="dxa"/>
            <w:noWrap w:val="0"/>
            <w:vAlign w:val="center"/>
          </w:tcPr>
          <w:p w14:paraId="15D44235">
            <w:pPr>
              <w:pStyle w:val="444"/>
              <w:rPr>
                <w:rFonts w:ascii="Times New Roman" w:hAnsi="Times New Roman"/>
                <w:color w:val="auto"/>
              </w:rPr>
            </w:pPr>
            <w:r>
              <w:rPr>
                <w:rFonts w:ascii="Times New Roman" w:hAnsi="Times New Roman"/>
                <w:color w:val="auto"/>
              </w:rPr>
              <w:t>颗粒物</w:t>
            </w:r>
          </w:p>
        </w:tc>
        <w:tc>
          <w:tcPr>
            <w:tcW w:w="3769" w:type="dxa"/>
            <w:noWrap w:val="0"/>
            <w:vAlign w:val="center"/>
          </w:tcPr>
          <w:p w14:paraId="6422BDA5">
            <w:pPr>
              <w:pStyle w:val="444"/>
              <w:rPr>
                <w:rFonts w:ascii="Times New Roman" w:hAnsi="Times New Roman"/>
                <w:color w:val="auto"/>
              </w:rPr>
            </w:pPr>
            <w:r>
              <w:rPr>
                <w:rFonts w:ascii="Times New Roman" w:hAnsi="Times New Roman"/>
                <w:color w:val="auto"/>
              </w:rPr>
              <w:t>无组织排放监控浓度</w:t>
            </w:r>
          </w:p>
        </w:tc>
        <w:tc>
          <w:tcPr>
            <w:tcW w:w="1685" w:type="dxa"/>
            <w:noWrap w:val="0"/>
            <w:vAlign w:val="center"/>
          </w:tcPr>
          <w:p w14:paraId="3AFFAF00">
            <w:pPr>
              <w:pStyle w:val="444"/>
              <w:rPr>
                <w:rFonts w:ascii="Times New Roman" w:hAnsi="Times New Roman"/>
                <w:color w:val="auto"/>
              </w:rPr>
            </w:pPr>
            <w:r>
              <w:rPr>
                <w:rFonts w:ascii="Times New Roman" w:hAnsi="Times New Roman"/>
                <w:color w:val="auto"/>
              </w:rPr>
              <w:t>1.0</w:t>
            </w:r>
          </w:p>
        </w:tc>
        <w:tc>
          <w:tcPr>
            <w:tcW w:w="1629" w:type="dxa"/>
            <w:noWrap w:val="0"/>
            <w:vAlign w:val="center"/>
          </w:tcPr>
          <w:p w14:paraId="0D6F3B8D">
            <w:pPr>
              <w:pStyle w:val="444"/>
              <w:rPr>
                <w:rFonts w:ascii="Times New Roman" w:hAnsi="Times New Roman"/>
                <w:color w:val="auto"/>
              </w:rPr>
            </w:pPr>
            <w:r>
              <w:rPr>
                <w:rFonts w:ascii="Times New Roman" w:hAnsi="Times New Roman"/>
                <w:color w:val="auto"/>
              </w:rPr>
              <w:t>mg/ m</w:t>
            </w:r>
            <w:r>
              <w:rPr>
                <w:rFonts w:ascii="Times New Roman" w:hAnsi="Times New Roman"/>
                <w:color w:val="auto"/>
                <w:vertAlign w:val="superscript"/>
              </w:rPr>
              <w:t>3</w:t>
            </w:r>
          </w:p>
        </w:tc>
      </w:tr>
    </w:tbl>
    <w:p w14:paraId="1A6AE566">
      <w:pPr>
        <w:pStyle w:val="10"/>
        <w:spacing w:line="360" w:lineRule="auto"/>
        <w:ind w:firstLine="480"/>
        <w:rPr>
          <w:sz w:val="24"/>
        </w:rPr>
      </w:pPr>
      <w:r>
        <w:rPr>
          <w:snapToGrid w:val="0"/>
          <w:sz w:val="24"/>
        </w:rPr>
        <w:t>（2）运营期硫化氢、氨执行《恶臭污染物排放标准》（GB14554-93）表1、表2中所列二级排放限值和厂界排放浓度限值，具体数值见表2.3-12。</w:t>
      </w:r>
      <w:r>
        <w:rPr>
          <w:sz w:val="24"/>
          <w:szCs w:val="20"/>
        </w:rPr>
        <w:t>恶臭浓度排放执行《畜禽养殖业污染物排放标准》（GB18596-2001）表7中的要求。</w:t>
      </w:r>
      <w:r>
        <w:rPr>
          <w:snapToGrid w:val="0"/>
          <w:sz w:val="24"/>
        </w:rPr>
        <w:t>具体数值见表2.3-11。</w:t>
      </w:r>
    </w:p>
    <w:p w14:paraId="29556BA3">
      <w:pPr>
        <w:pStyle w:val="784"/>
        <w:rPr>
          <w:rFonts w:ascii="Times New Roman" w:hAnsi="Times New Roman" w:cs="Times New Roman"/>
        </w:rPr>
      </w:pPr>
      <w:r>
        <w:rPr>
          <w:rFonts w:ascii="Times New Roman" w:hAnsi="Times New Roman" w:cs="Times New Roman"/>
        </w:rPr>
        <w:t>表2.3-1</w:t>
      </w:r>
      <w:r>
        <w:rPr>
          <w:rFonts w:ascii="Times New Roman" w:hAnsi="Times New Roman" w:cs="Times New Roman"/>
          <w:lang w:val="en-US"/>
        </w:rPr>
        <w:t>1</w:t>
      </w:r>
      <w:r>
        <w:rPr>
          <w:rFonts w:ascii="Times New Roman" w:hAnsi="Times New Roman" w:cs="Times New Roman"/>
        </w:rPr>
        <w:t xml:space="preserve"> 项目运行期恶臭污染物排放标准限值</w:t>
      </w:r>
    </w:p>
    <w:tbl>
      <w:tblPr>
        <w:tblStyle w:val="87"/>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98"/>
        <w:gridCol w:w="851"/>
        <w:gridCol w:w="1420"/>
        <w:gridCol w:w="2408"/>
        <w:gridCol w:w="2645"/>
      </w:tblGrid>
      <w:tr w14:paraId="20A46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10" w:type="pct"/>
            <w:gridSpan w:val="2"/>
            <w:vMerge w:val="restart"/>
            <w:noWrap w:val="0"/>
            <w:vAlign w:val="center"/>
          </w:tcPr>
          <w:p w14:paraId="500E4ED6">
            <w:pPr>
              <w:pStyle w:val="2251"/>
              <w:jc w:val="center"/>
              <w:rPr>
                <w:rFonts w:ascii="Times New Roman" w:hAnsi="Times New Roman" w:cs="Times New Roman"/>
                <w:sz w:val="21"/>
                <w:szCs w:val="21"/>
              </w:rPr>
            </w:pPr>
            <w:r>
              <w:rPr>
                <w:rFonts w:ascii="Times New Roman" w:hAnsi="Times New Roman" w:cs="Times New Roman"/>
                <w:sz w:val="21"/>
                <w:szCs w:val="21"/>
              </w:rPr>
              <w:t>污染物名称</w:t>
            </w:r>
          </w:p>
        </w:tc>
        <w:tc>
          <w:tcPr>
            <w:tcW w:w="853" w:type="pct"/>
            <w:noWrap w:val="0"/>
            <w:vAlign w:val="center"/>
          </w:tcPr>
          <w:p w14:paraId="09BF36E7">
            <w:pPr>
              <w:pStyle w:val="2251"/>
              <w:jc w:val="center"/>
              <w:rPr>
                <w:rFonts w:ascii="Times New Roman" w:hAnsi="Times New Roman" w:cs="Times New Roman"/>
                <w:sz w:val="21"/>
                <w:szCs w:val="21"/>
              </w:rPr>
            </w:pPr>
            <w:r>
              <w:rPr>
                <w:rFonts w:ascii="Times New Roman" w:hAnsi="Times New Roman" w:cs="Times New Roman"/>
                <w:sz w:val="21"/>
                <w:szCs w:val="21"/>
              </w:rPr>
              <w:t>标准值</w:t>
            </w:r>
          </w:p>
        </w:tc>
        <w:tc>
          <w:tcPr>
            <w:tcW w:w="1447" w:type="pct"/>
            <w:noWrap w:val="0"/>
            <w:vAlign w:val="center"/>
          </w:tcPr>
          <w:p w14:paraId="115EC054">
            <w:pPr>
              <w:pStyle w:val="2251"/>
              <w:jc w:val="center"/>
              <w:rPr>
                <w:rFonts w:ascii="Times New Roman" w:hAnsi="Times New Roman" w:cs="Times New Roman"/>
                <w:sz w:val="21"/>
                <w:szCs w:val="21"/>
              </w:rPr>
            </w:pPr>
            <w:r>
              <w:rPr>
                <w:rFonts w:ascii="Times New Roman" w:hAnsi="Times New Roman" w:cs="Times New Roman"/>
                <w:sz w:val="21"/>
                <w:szCs w:val="21"/>
              </w:rPr>
              <w:t>标准</w:t>
            </w:r>
          </w:p>
        </w:tc>
        <w:tc>
          <w:tcPr>
            <w:tcW w:w="1590" w:type="pct"/>
            <w:noWrap w:val="0"/>
            <w:vAlign w:val="center"/>
          </w:tcPr>
          <w:p w14:paraId="4071DAC0">
            <w:pPr>
              <w:pStyle w:val="2251"/>
              <w:jc w:val="center"/>
              <w:rPr>
                <w:rFonts w:ascii="Times New Roman" w:hAnsi="Times New Roman" w:cs="Times New Roman"/>
                <w:sz w:val="21"/>
                <w:szCs w:val="21"/>
              </w:rPr>
            </w:pPr>
            <w:r>
              <w:rPr>
                <w:rFonts w:ascii="Times New Roman" w:hAnsi="Times New Roman" w:cs="Times New Roman"/>
                <w:sz w:val="21"/>
                <w:szCs w:val="21"/>
              </w:rPr>
              <w:t>说明</w:t>
            </w:r>
          </w:p>
        </w:tc>
      </w:tr>
      <w:tr w14:paraId="4328D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10" w:type="pct"/>
            <w:gridSpan w:val="2"/>
            <w:vMerge w:val="continue"/>
            <w:noWrap w:val="0"/>
            <w:vAlign w:val="center"/>
          </w:tcPr>
          <w:p w14:paraId="63F836EB">
            <w:pPr>
              <w:widowControl/>
              <w:jc w:val="center"/>
              <w:rPr>
                <w:szCs w:val="21"/>
              </w:rPr>
            </w:pPr>
          </w:p>
        </w:tc>
        <w:tc>
          <w:tcPr>
            <w:tcW w:w="853" w:type="pct"/>
            <w:noWrap w:val="0"/>
            <w:vAlign w:val="center"/>
          </w:tcPr>
          <w:p w14:paraId="696169AF">
            <w:pPr>
              <w:pStyle w:val="2251"/>
              <w:jc w:val="center"/>
              <w:rPr>
                <w:rFonts w:ascii="Times New Roman" w:hAnsi="Times New Roman" w:cs="Times New Roman"/>
                <w:sz w:val="21"/>
                <w:szCs w:val="21"/>
              </w:rPr>
            </w:pPr>
            <w:r>
              <w:rPr>
                <w:rFonts w:ascii="Times New Roman" w:hAnsi="Times New Roman" w:cs="Times New Roman"/>
                <w:sz w:val="21"/>
                <w:szCs w:val="21"/>
              </w:rPr>
              <w:t>二级</w:t>
            </w:r>
          </w:p>
        </w:tc>
        <w:tc>
          <w:tcPr>
            <w:tcW w:w="1447" w:type="pct"/>
            <w:noWrap w:val="0"/>
            <w:vAlign w:val="center"/>
          </w:tcPr>
          <w:p w14:paraId="7479B3C0">
            <w:pPr>
              <w:pStyle w:val="2251"/>
              <w:jc w:val="center"/>
              <w:rPr>
                <w:rFonts w:ascii="Times New Roman" w:hAnsi="Times New Roman" w:cs="Times New Roman"/>
                <w:sz w:val="21"/>
                <w:szCs w:val="21"/>
              </w:rPr>
            </w:pPr>
          </w:p>
        </w:tc>
        <w:tc>
          <w:tcPr>
            <w:tcW w:w="1590" w:type="pct"/>
            <w:noWrap w:val="0"/>
            <w:vAlign w:val="center"/>
          </w:tcPr>
          <w:p w14:paraId="3913CE81">
            <w:pPr>
              <w:pStyle w:val="2251"/>
              <w:jc w:val="center"/>
              <w:rPr>
                <w:rFonts w:ascii="Times New Roman" w:hAnsi="Times New Roman" w:cs="Times New Roman"/>
                <w:sz w:val="21"/>
                <w:szCs w:val="21"/>
              </w:rPr>
            </w:pPr>
          </w:p>
        </w:tc>
      </w:tr>
      <w:tr w14:paraId="13797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600" w:type="pct"/>
            <w:vMerge w:val="restart"/>
            <w:noWrap w:val="0"/>
            <w:vAlign w:val="center"/>
          </w:tcPr>
          <w:p w14:paraId="58EB89E8">
            <w:pPr>
              <w:pStyle w:val="2251"/>
              <w:jc w:val="center"/>
              <w:rPr>
                <w:rFonts w:ascii="Times New Roman" w:hAnsi="Times New Roman" w:cs="Times New Roman"/>
                <w:sz w:val="21"/>
                <w:szCs w:val="21"/>
              </w:rPr>
            </w:pPr>
            <w:r>
              <w:rPr>
                <w:rFonts w:ascii="Times New Roman" w:hAnsi="Times New Roman" w:cs="Times New Roman"/>
                <w:sz w:val="21"/>
                <w:szCs w:val="21"/>
              </w:rPr>
              <w:t>排放浓度mg/m</w:t>
            </w:r>
            <w:r>
              <w:rPr>
                <w:rFonts w:ascii="Times New Roman" w:hAnsi="Times New Roman" w:cs="Times New Roman"/>
                <w:sz w:val="21"/>
                <w:szCs w:val="21"/>
                <w:vertAlign w:val="superscript"/>
              </w:rPr>
              <w:t>3</w:t>
            </w:r>
          </w:p>
        </w:tc>
        <w:tc>
          <w:tcPr>
            <w:tcW w:w="511" w:type="pct"/>
            <w:noWrap w:val="0"/>
            <w:vAlign w:val="center"/>
          </w:tcPr>
          <w:p w14:paraId="5DE66FA4">
            <w:pPr>
              <w:pStyle w:val="2251"/>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w:t>
            </w:r>
          </w:p>
        </w:tc>
        <w:tc>
          <w:tcPr>
            <w:tcW w:w="853" w:type="pct"/>
            <w:noWrap w:val="0"/>
            <w:vAlign w:val="center"/>
          </w:tcPr>
          <w:p w14:paraId="6CD3DF4A">
            <w:pPr>
              <w:pStyle w:val="2251"/>
              <w:jc w:val="center"/>
              <w:rPr>
                <w:rFonts w:ascii="Times New Roman" w:hAnsi="Times New Roman" w:cs="Times New Roman"/>
                <w:sz w:val="21"/>
                <w:szCs w:val="21"/>
              </w:rPr>
            </w:pPr>
            <w:r>
              <w:rPr>
                <w:rFonts w:ascii="Times New Roman" w:hAnsi="Times New Roman" w:cs="Times New Roman"/>
                <w:sz w:val="21"/>
                <w:szCs w:val="21"/>
              </w:rPr>
              <w:t>0.06</w:t>
            </w:r>
          </w:p>
        </w:tc>
        <w:tc>
          <w:tcPr>
            <w:tcW w:w="1447" w:type="pct"/>
            <w:vMerge w:val="restart"/>
            <w:noWrap w:val="0"/>
            <w:vAlign w:val="center"/>
          </w:tcPr>
          <w:p w14:paraId="59FF3663">
            <w:pPr>
              <w:pStyle w:val="2251"/>
              <w:jc w:val="center"/>
              <w:rPr>
                <w:rFonts w:ascii="Times New Roman" w:hAnsi="Times New Roman" w:cs="Times New Roman"/>
                <w:sz w:val="21"/>
                <w:szCs w:val="21"/>
              </w:rPr>
            </w:pPr>
            <w:r>
              <w:rPr>
                <w:rFonts w:ascii="Times New Roman" w:hAnsi="Times New Roman" w:cs="Times New Roman"/>
                <w:snapToGrid w:val="0"/>
                <w:sz w:val="21"/>
                <w:szCs w:val="21"/>
              </w:rPr>
              <w:t>《恶臭污染物排放标准》（GB14554-93）</w:t>
            </w:r>
          </w:p>
        </w:tc>
        <w:tc>
          <w:tcPr>
            <w:tcW w:w="1590" w:type="pct"/>
            <w:vMerge w:val="restart"/>
            <w:noWrap w:val="0"/>
            <w:vAlign w:val="center"/>
          </w:tcPr>
          <w:p w14:paraId="2D509CA6">
            <w:pPr>
              <w:pStyle w:val="2251"/>
              <w:jc w:val="center"/>
              <w:rPr>
                <w:rFonts w:ascii="Times New Roman" w:hAnsi="Times New Roman" w:cs="Times New Roman"/>
                <w:snapToGrid w:val="0"/>
                <w:sz w:val="21"/>
                <w:szCs w:val="21"/>
              </w:rPr>
            </w:pPr>
            <w:r>
              <w:rPr>
                <w:rFonts w:ascii="Times New Roman" w:hAnsi="Times New Roman" w:cs="Times New Roman"/>
                <w:snapToGrid w:val="0"/>
                <w:sz w:val="21"/>
                <w:szCs w:val="21"/>
              </w:rPr>
              <w:t>厂界无组织排放浓度</w:t>
            </w:r>
          </w:p>
        </w:tc>
      </w:tr>
      <w:tr w14:paraId="4C36F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00" w:type="pct"/>
            <w:vMerge w:val="continue"/>
            <w:noWrap w:val="0"/>
            <w:vAlign w:val="center"/>
          </w:tcPr>
          <w:p w14:paraId="6923254B">
            <w:pPr>
              <w:pStyle w:val="2251"/>
              <w:jc w:val="center"/>
              <w:rPr>
                <w:rFonts w:ascii="Times New Roman" w:hAnsi="Times New Roman" w:cs="Times New Roman"/>
                <w:sz w:val="21"/>
                <w:szCs w:val="21"/>
              </w:rPr>
            </w:pPr>
          </w:p>
        </w:tc>
        <w:tc>
          <w:tcPr>
            <w:tcW w:w="511" w:type="pct"/>
            <w:noWrap w:val="0"/>
            <w:vAlign w:val="center"/>
          </w:tcPr>
          <w:p w14:paraId="1BF5055E">
            <w:pPr>
              <w:pStyle w:val="2251"/>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p>
        </w:tc>
        <w:tc>
          <w:tcPr>
            <w:tcW w:w="853" w:type="pct"/>
            <w:noWrap w:val="0"/>
            <w:vAlign w:val="center"/>
          </w:tcPr>
          <w:p w14:paraId="58CE6FDD">
            <w:pPr>
              <w:pStyle w:val="2251"/>
              <w:jc w:val="center"/>
              <w:rPr>
                <w:rFonts w:ascii="Times New Roman" w:hAnsi="Times New Roman" w:cs="Times New Roman"/>
                <w:sz w:val="21"/>
                <w:szCs w:val="21"/>
              </w:rPr>
            </w:pPr>
            <w:r>
              <w:rPr>
                <w:rFonts w:ascii="Times New Roman" w:hAnsi="Times New Roman" w:cs="Times New Roman"/>
                <w:sz w:val="21"/>
                <w:szCs w:val="21"/>
              </w:rPr>
              <w:t>1.5</w:t>
            </w:r>
          </w:p>
        </w:tc>
        <w:tc>
          <w:tcPr>
            <w:tcW w:w="1447" w:type="pct"/>
            <w:vMerge w:val="continue"/>
            <w:noWrap w:val="0"/>
            <w:vAlign w:val="center"/>
          </w:tcPr>
          <w:p w14:paraId="32F26CF2">
            <w:pPr>
              <w:pStyle w:val="2251"/>
              <w:jc w:val="center"/>
              <w:rPr>
                <w:rFonts w:ascii="Times New Roman" w:hAnsi="Times New Roman" w:cs="Times New Roman"/>
                <w:sz w:val="21"/>
                <w:szCs w:val="21"/>
              </w:rPr>
            </w:pPr>
          </w:p>
        </w:tc>
        <w:tc>
          <w:tcPr>
            <w:tcW w:w="1590" w:type="pct"/>
            <w:vMerge w:val="continue"/>
            <w:noWrap w:val="0"/>
            <w:vAlign w:val="center"/>
          </w:tcPr>
          <w:p w14:paraId="61621AEC">
            <w:pPr>
              <w:pStyle w:val="2251"/>
              <w:jc w:val="center"/>
              <w:rPr>
                <w:rFonts w:ascii="Times New Roman" w:hAnsi="Times New Roman" w:cs="Times New Roman"/>
                <w:sz w:val="21"/>
                <w:szCs w:val="21"/>
              </w:rPr>
            </w:pPr>
          </w:p>
        </w:tc>
      </w:tr>
      <w:tr w14:paraId="4EA50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00" w:type="pct"/>
            <w:vMerge w:val="restart"/>
            <w:noWrap w:val="0"/>
            <w:vAlign w:val="center"/>
          </w:tcPr>
          <w:p w14:paraId="16D1A601">
            <w:pPr>
              <w:pStyle w:val="2251"/>
              <w:jc w:val="center"/>
              <w:rPr>
                <w:rFonts w:ascii="Times New Roman" w:hAnsi="Times New Roman" w:cs="Times New Roman"/>
                <w:sz w:val="21"/>
                <w:szCs w:val="21"/>
              </w:rPr>
            </w:pPr>
            <w:r>
              <w:rPr>
                <w:rFonts w:ascii="Times New Roman" w:hAnsi="Times New Roman" w:cs="Times New Roman"/>
                <w:sz w:val="21"/>
                <w:szCs w:val="21"/>
              </w:rPr>
              <w:t>排放速率kg/h</w:t>
            </w:r>
          </w:p>
        </w:tc>
        <w:tc>
          <w:tcPr>
            <w:tcW w:w="511" w:type="pct"/>
            <w:noWrap w:val="0"/>
            <w:vAlign w:val="center"/>
          </w:tcPr>
          <w:p w14:paraId="7B23CBD9">
            <w:pPr>
              <w:pStyle w:val="2251"/>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w:t>
            </w:r>
          </w:p>
        </w:tc>
        <w:tc>
          <w:tcPr>
            <w:tcW w:w="853" w:type="pct"/>
            <w:noWrap w:val="0"/>
            <w:vAlign w:val="center"/>
          </w:tcPr>
          <w:p w14:paraId="02531062">
            <w:pPr>
              <w:pStyle w:val="2251"/>
              <w:jc w:val="center"/>
              <w:rPr>
                <w:rFonts w:ascii="Times New Roman" w:hAnsi="Times New Roman" w:cs="Times New Roman"/>
                <w:sz w:val="21"/>
                <w:szCs w:val="21"/>
              </w:rPr>
            </w:pPr>
            <w:r>
              <w:rPr>
                <w:rFonts w:ascii="Times New Roman" w:hAnsi="Times New Roman" w:cs="Times New Roman"/>
                <w:sz w:val="21"/>
                <w:szCs w:val="21"/>
              </w:rPr>
              <w:t>0.33</w:t>
            </w:r>
          </w:p>
        </w:tc>
        <w:tc>
          <w:tcPr>
            <w:tcW w:w="1447" w:type="pct"/>
            <w:vMerge w:val="restart"/>
            <w:noWrap w:val="0"/>
            <w:vAlign w:val="center"/>
          </w:tcPr>
          <w:p w14:paraId="6C54000E">
            <w:pPr>
              <w:pStyle w:val="2251"/>
              <w:jc w:val="center"/>
              <w:rPr>
                <w:rFonts w:ascii="Times New Roman" w:hAnsi="Times New Roman" w:cs="Times New Roman"/>
                <w:sz w:val="21"/>
                <w:szCs w:val="21"/>
              </w:rPr>
            </w:pPr>
            <w:r>
              <w:rPr>
                <w:rFonts w:ascii="Times New Roman" w:hAnsi="Times New Roman" w:cs="Times New Roman"/>
                <w:snapToGrid w:val="0"/>
                <w:sz w:val="21"/>
                <w:szCs w:val="21"/>
              </w:rPr>
              <w:t>《恶臭污染物排放标准》（GB14554-93）</w:t>
            </w:r>
          </w:p>
        </w:tc>
        <w:tc>
          <w:tcPr>
            <w:tcW w:w="1590" w:type="pct"/>
            <w:vMerge w:val="restart"/>
            <w:noWrap w:val="0"/>
            <w:vAlign w:val="center"/>
          </w:tcPr>
          <w:p w14:paraId="67896845">
            <w:pPr>
              <w:pStyle w:val="2251"/>
              <w:jc w:val="center"/>
              <w:rPr>
                <w:rFonts w:ascii="Times New Roman" w:hAnsi="Times New Roman" w:cs="Times New Roman"/>
                <w:sz w:val="21"/>
                <w:szCs w:val="21"/>
              </w:rPr>
            </w:pPr>
            <w:r>
              <w:rPr>
                <w:rFonts w:ascii="Times New Roman" w:hAnsi="Times New Roman" w:cs="Times New Roman"/>
                <w:snapToGrid w:val="0"/>
                <w:sz w:val="21"/>
                <w:szCs w:val="21"/>
              </w:rPr>
              <w:t>无害化处理车间有组织排放量</w:t>
            </w:r>
          </w:p>
        </w:tc>
      </w:tr>
      <w:tr w14:paraId="11EF2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00" w:type="pct"/>
            <w:vMerge w:val="continue"/>
            <w:noWrap w:val="0"/>
            <w:vAlign w:val="center"/>
          </w:tcPr>
          <w:p w14:paraId="1BC951A9">
            <w:pPr>
              <w:pStyle w:val="2251"/>
              <w:jc w:val="center"/>
              <w:rPr>
                <w:rFonts w:ascii="Times New Roman" w:hAnsi="Times New Roman" w:cs="Times New Roman"/>
                <w:sz w:val="21"/>
                <w:szCs w:val="21"/>
              </w:rPr>
            </w:pPr>
          </w:p>
        </w:tc>
        <w:tc>
          <w:tcPr>
            <w:tcW w:w="511" w:type="pct"/>
            <w:noWrap w:val="0"/>
            <w:vAlign w:val="center"/>
          </w:tcPr>
          <w:p w14:paraId="7E9795A2">
            <w:pPr>
              <w:pStyle w:val="2251"/>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p>
        </w:tc>
        <w:tc>
          <w:tcPr>
            <w:tcW w:w="853" w:type="pct"/>
            <w:noWrap w:val="0"/>
            <w:vAlign w:val="center"/>
          </w:tcPr>
          <w:p w14:paraId="125619BB">
            <w:pPr>
              <w:pStyle w:val="2251"/>
              <w:jc w:val="center"/>
              <w:rPr>
                <w:rFonts w:ascii="Times New Roman" w:hAnsi="Times New Roman" w:cs="Times New Roman"/>
                <w:sz w:val="21"/>
                <w:szCs w:val="21"/>
              </w:rPr>
            </w:pPr>
            <w:r>
              <w:rPr>
                <w:rFonts w:ascii="Times New Roman" w:hAnsi="Times New Roman" w:cs="Times New Roman"/>
                <w:sz w:val="21"/>
                <w:szCs w:val="21"/>
              </w:rPr>
              <w:t>4.9</w:t>
            </w:r>
          </w:p>
        </w:tc>
        <w:tc>
          <w:tcPr>
            <w:tcW w:w="1447" w:type="pct"/>
            <w:vMerge w:val="continue"/>
            <w:noWrap w:val="0"/>
            <w:vAlign w:val="center"/>
          </w:tcPr>
          <w:p w14:paraId="5982EBD2">
            <w:pPr>
              <w:pStyle w:val="2251"/>
              <w:jc w:val="center"/>
              <w:rPr>
                <w:rFonts w:ascii="Times New Roman" w:hAnsi="Times New Roman" w:cs="Times New Roman"/>
                <w:sz w:val="21"/>
                <w:szCs w:val="21"/>
              </w:rPr>
            </w:pPr>
          </w:p>
        </w:tc>
        <w:tc>
          <w:tcPr>
            <w:tcW w:w="1590" w:type="pct"/>
            <w:vMerge w:val="continue"/>
            <w:noWrap w:val="0"/>
            <w:vAlign w:val="center"/>
          </w:tcPr>
          <w:p w14:paraId="0D72EEE8">
            <w:pPr>
              <w:pStyle w:val="2251"/>
              <w:jc w:val="center"/>
              <w:rPr>
                <w:rFonts w:ascii="Times New Roman" w:hAnsi="Times New Roman" w:cs="Times New Roman"/>
                <w:sz w:val="21"/>
                <w:szCs w:val="21"/>
              </w:rPr>
            </w:pPr>
          </w:p>
        </w:tc>
      </w:tr>
      <w:tr w14:paraId="32AC8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110" w:type="pct"/>
            <w:gridSpan w:val="2"/>
            <w:noWrap w:val="0"/>
            <w:vAlign w:val="center"/>
          </w:tcPr>
          <w:p w14:paraId="00B6C04F">
            <w:pPr>
              <w:jc w:val="center"/>
              <w:rPr>
                <w:szCs w:val="21"/>
              </w:rPr>
            </w:pPr>
            <w:r>
              <w:rPr>
                <w:bCs/>
                <w:szCs w:val="21"/>
              </w:rPr>
              <w:t>臭气浓度（无量纲）</w:t>
            </w:r>
          </w:p>
        </w:tc>
        <w:tc>
          <w:tcPr>
            <w:tcW w:w="853" w:type="pct"/>
            <w:noWrap w:val="0"/>
            <w:vAlign w:val="center"/>
          </w:tcPr>
          <w:p w14:paraId="5E03844E">
            <w:pPr>
              <w:jc w:val="center"/>
              <w:rPr>
                <w:szCs w:val="21"/>
              </w:rPr>
            </w:pPr>
            <w:r>
              <w:rPr>
                <w:bCs/>
                <w:szCs w:val="21"/>
              </w:rPr>
              <w:t>70</w:t>
            </w:r>
          </w:p>
        </w:tc>
        <w:tc>
          <w:tcPr>
            <w:tcW w:w="1447" w:type="pct"/>
            <w:noWrap w:val="0"/>
            <w:vAlign w:val="center"/>
          </w:tcPr>
          <w:p w14:paraId="5A4E6B3C">
            <w:pPr>
              <w:jc w:val="center"/>
              <w:rPr>
                <w:bCs/>
                <w:szCs w:val="21"/>
              </w:rPr>
            </w:pPr>
            <w:r>
              <w:rPr>
                <w:szCs w:val="21"/>
              </w:rPr>
              <w:t>《畜禽养殖业污染物排放标准》（GB18596-2001）</w:t>
            </w:r>
          </w:p>
        </w:tc>
        <w:tc>
          <w:tcPr>
            <w:tcW w:w="1590" w:type="pct"/>
            <w:noWrap w:val="0"/>
            <w:vAlign w:val="center"/>
          </w:tcPr>
          <w:p w14:paraId="2CCDF271">
            <w:pPr>
              <w:jc w:val="center"/>
              <w:rPr>
                <w:szCs w:val="21"/>
              </w:rPr>
            </w:pPr>
            <w:r>
              <w:rPr>
                <w:szCs w:val="21"/>
              </w:rPr>
              <w:t>厂界</w:t>
            </w:r>
          </w:p>
        </w:tc>
      </w:tr>
    </w:tbl>
    <w:p w14:paraId="71E86E8E">
      <w:pPr>
        <w:spacing w:line="360" w:lineRule="auto"/>
        <w:ind w:firstLine="480" w:firstLineChars="200"/>
        <w:rPr>
          <w:sz w:val="24"/>
        </w:rPr>
      </w:pPr>
      <w:r>
        <w:rPr>
          <w:sz w:val="24"/>
        </w:rPr>
        <w:t>（3）食堂油烟废气</w:t>
      </w:r>
    </w:p>
    <w:p w14:paraId="5E72FA51">
      <w:pPr>
        <w:adjustRightInd w:val="0"/>
        <w:snapToGrid w:val="0"/>
        <w:spacing w:line="360" w:lineRule="auto"/>
        <w:ind w:firstLine="480" w:firstLineChars="200"/>
        <w:rPr>
          <w:sz w:val="24"/>
        </w:rPr>
      </w:pPr>
      <w:r>
        <w:rPr>
          <w:sz w:val="24"/>
        </w:rPr>
        <w:t>本项目设有员工食堂，为小型饮食业单位，食堂油烟执行《昆明市地方标准-餐饮业油烟污染物排放要求》（DB5301/T 50-2021）中</w:t>
      </w:r>
      <w:r>
        <w:rPr>
          <w:sz w:val="24"/>
        </w:rPr>
        <w:fldChar w:fldCharType="begin"/>
      </w:r>
      <w:r>
        <w:rPr>
          <w:sz w:val="24"/>
        </w:rPr>
        <w:instrText xml:space="preserve"> = 1 \* ROMAN </w:instrText>
      </w:r>
      <w:r>
        <w:rPr>
          <w:sz w:val="24"/>
        </w:rPr>
        <w:fldChar w:fldCharType="separate"/>
      </w:r>
      <w:r>
        <w:rPr>
          <w:sz w:val="24"/>
        </w:rPr>
        <w:t>I</w:t>
      </w:r>
      <w:r>
        <w:rPr>
          <w:sz w:val="24"/>
        </w:rPr>
        <w:fldChar w:fldCharType="end"/>
      </w:r>
      <w:r>
        <w:rPr>
          <w:sz w:val="24"/>
        </w:rPr>
        <w:t>型饮食单位标准，具体限值见表2.3-12。</w:t>
      </w:r>
    </w:p>
    <w:p w14:paraId="32127D3F">
      <w:pPr>
        <w:pStyle w:val="24"/>
        <w:ind w:firstLine="422"/>
        <w:rPr>
          <w:bCs w:val="0"/>
        </w:rPr>
      </w:pPr>
      <w:r>
        <w:rPr>
          <w:bCs w:val="0"/>
        </w:rPr>
        <w:t>表 2.3</w:t>
      </w:r>
      <w:r>
        <w:rPr>
          <w:bCs w:val="0"/>
        </w:rPr>
        <w:noBreakHyphen/>
      </w:r>
      <w:r>
        <w:rPr>
          <w:bCs w:val="0"/>
        </w:rPr>
        <w:t>12 《昆明市地方标准-餐饮业油烟污染物排放要求》</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32"/>
        <w:gridCol w:w="2132"/>
        <w:gridCol w:w="4264"/>
      </w:tblGrid>
      <w:tr w14:paraId="666A24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2500" w:type="pct"/>
            <w:gridSpan w:val="2"/>
            <w:noWrap w:val="0"/>
            <w:vAlign w:val="center"/>
          </w:tcPr>
          <w:p w14:paraId="2F2D32D0">
            <w:pPr>
              <w:jc w:val="center"/>
              <w:rPr>
                <w:szCs w:val="21"/>
              </w:rPr>
            </w:pPr>
            <w:r>
              <w:rPr>
                <w:szCs w:val="21"/>
              </w:rPr>
              <w:t>规模</w:t>
            </w:r>
          </w:p>
        </w:tc>
        <w:tc>
          <w:tcPr>
            <w:tcW w:w="2500" w:type="pct"/>
            <w:noWrap w:val="0"/>
            <w:vAlign w:val="center"/>
          </w:tcPr>
          <w:p w14:paraId="1BFE8D7F">
            <w:pPr>
              <w:jc w:val="center"/>
              <w:rPr>
                <w:szCs w:val="21"/>
              </w:rPr>
            </w:pPr>
            <w:r>
              <w:fldChar w:fldCharType="begin"/>
            </w:r>
            <w:r>
              <w:instrText xml:space="preserve"> = 1 \* ROMAN </w:instrText>
            </w:r>
            <w:r>
              <w:fldChar w:fldCharType="separate"/>
            </w:r>
            <w:r>
              <w:t>I</w:t>
            </w:r>
            <w:r>
              <w:fldChar w:fldCharType="end"/>
            </w:r>
            <w:r>
              <w:rPr>
                <w:szCs w:val="21"/>
              </w:rPr>
              <w:t>型</w:t>
            </w:r>
          </w:p>
        </w:tc>
      </w:tr>
      <w:tr w14:paraId="5DAD33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1250" w:type="pct"/>
            <w:vMerge w:val="restart"/>
            <w:noWrap w:val="0"/>
            <w:vAlign w:val="center"/>
          </w:tcPr>
          <w:p w14:paraId="18BE6F3D">
            <w:pPr>
              <w:jc w:val="center"/>
              <w:rPr>
                <w:szCs w:val="21"/>
              </w:rPr>
            </w:pPr>
            <w:r>
              <w:rPr>
                <w:szCs w:val="21"/>
              </w:rPr>
              <w:t>最高允许排放浓度(mg/m</w:t>
            </w:r>
            <w:r>
              <w:rPr>
                <w:szCs w:val="21"/>
                <w:vertAlign w:val="superscript"/>
              </w:rPr>
              <w:t>3</w:t>
            </w:r>
            <w:r>
              <w:rPr>
                <w:szCs w:val="21"/>
              </w:rPr>
              <w:t xml:space="preserve"> )</w:t>
            </w:r>
          </w:p>
        </w:tc>
        <w:tc>
          <w:tcPr>
            <w:tcW w:w="1250" w:type="pct"/>
            <w:noWrap w:val="0"/>
            <w:vAlign w:val="center"/>
          </w:tcPr>
          <w:p w14:paraId="6F8E4424">
            <w:pPr>
              <w:jc w:val="center"/>
              <w:rPr>
                <w:szCs w:val="21"/>
              </w:rPr>
            </w:pPr>
            <w:r>
              <w:rPr>
                <w:szCs w:val="21"/>
              </w:rPr>
              <w:t>油烟</w:t>
            </w:r>
          </w:p>
        </w:tc>
        <w:tc>
          <w:tcPr>
            <w:tcW w:w="2500" w:type="pct"/>
            <w:noWrap w:val="0"/>
            <w:vAlign w:val="center"/>
          </w:tcPr>
          <w:p w14:paraId="6928E64A">
            <w:pPr>
              <w:jc w:val="center"/>
              <w:rPr>
                <w:szCs w:val="21"/>
              </w:rPr>
            </w:pPr>
            <w:r>
              <w:rPr>
                <w:szCs w:val="21"/>
              </w:rPr>
              <w:t>1.0</w:t>
            </w:r>
          </w:p>
        </w:tc>
      </w:tr>
      <w:tr w14:paraId="017B06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1250" w:type="pct"/>
            <w:vMerge w:val="continue"/>
            <w:noWrap w:val="0"/>
            <w:vAlign w:val="center"/>
          </w:tcPr>
          <w:p w14:paraId="1814DD0F">
            <w:pPr>
              <w:jc w:val="center"/>
              <w:rPr>
                <w:szCs w:val="21"/>
              </w:rPr>
            </w:pPr>
          </w:p>
        </w:tc>
        <w:tc>
          <w:tcPr>
            <w:tcW w:w="1250" w:type="pct"/>
            <w:noWrap w:val="0"/>
            <w:vAlign w:val="center"/>
          </w:tcPr>
          <w:p w14:paraId="55C0A966">
            <w:pPr>
              <w:jc w:val="center"/>
              <w:rPr>
                <w:szCs w:val="21"/>
              </w:rPr>
            </w:pPr>
            <w:r>
              <w:rPr>
                <w:szCs w:val="21"/>
              </w:rPr>
              <w:t>非甲烷总烃</w:t>
            </w:r>
          </w:p>
        </w:tc>
        <w:tc>
          <w:tcPr>
            <w:tcW w:w="2500" w:type="pct"/>
            <w:noWrap w:val="0"/>
            <w:vAlign w:val="center"/>
          </w:tcPr>
          <w:p w14:paraId="702F9F43">
            <w:pPr>
              <w:jc w:val="center"/>
              <w:rPr>
                <w:szCs w:val="21"/>
              </w:rPr>
            </w:pPr>
            <w:r>
              <w:rPr>
                <w:szCs w:val="21"/>
              </w:rPr>
              <w:t>10.0</w:t>
            </w:r>
          </w:p>
        </w:tc>
      </w:tr>
      <w:tr w14:paraId="2E2AA9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2500" w:type="pct"/>
            <w:gridSpan w:val="2"/>
            <w:noWrap w:val="0"/>
            <w:vAlign w:val="center"/>
          </w:tcPr>
          <w:p w14:paraId="4FC07DE4">
            <w:pPr>
              <w:jc w:val="center"/>
              <w:rPr>
                <w:szCs w:val="21"/>
              </w:rPr>
            </w:pPr>
            <w:r>
              <w:rPr>
                <w:szCs w:val="21"/>
              </w:rPr>
              <w:t>基准灶头数</w:t>
            </w:r>
          </w:p>
        </w:tc>
        <w:tc>
          <w:tcPr>
            <w:tcW w:w="2500" w:type="pct"/>
            <w:noWrap w:val="0"/>
            <w:vAlign w:val="center"/>
          </w:tcPr>
          <w:p w14:paraId="723ED7AF">
            <w:pPr>
              <w:jc w:val="center"/>
              <w:rPr>
                <w:szCs w:val="21"/>
              </w:rPr>
            </w:pPr>
            <w:r>
              <w:rPr>
                <w:szCs w:val="21"/>
              </w:rPr>
              <w:t>≥1，&lt;6</w:t>
            </w:r>
          </w:p>
        </w:tc>
      </w:tr>
    </w:tbl>
    <w:p w14:paraId="1DDAEB99">
      <w:pPr>
        <w:pStyle w:val="10"/>
        <w:spacing w:line="360" w:lineRule="auto"/>
        <w:ind w:firstLine="482"/>
        <w:rPr>
          <w:b/>
          <w:snapToGrid w:val="0"/>
          <w:sz w:val="24"/>
        </w:rPr>
      </w:pPr>
      <w:r>
        <w:rPr>
          <w:b/>
          <w:snapToGrid w:val="0"/>
          <w:sz w:val="24"/>
        </w:rPr>
        <w:t>2、污水排放标准</w:t>
      </w:r>
    </w:p>
    <w:p w14:paraId="53310C37">
      <w:pPr>
        <w:spacing w:line="360" w:lineRule="auto"/>
        <w:ind w:firstLine="480"/>
        <w:rPr>
          <w:sz w:val="24"/>
        </w:rPr>
      </w:pPr>
      <w:r>
        <w:rPr>
          <w:sz w:val="24"/>
        </w:rPr>
        <w:t>1）项目施工期设置旱厕，其他生活污水收集后直接用于洒水抑尘。</w:t>
      </w:r>
    </w:p>
    <w:p w14:paraId="47AC93B9">
      <w:pPr>
        <w:spacing w:line="360" w:lineRule="auto"/>
        <w:ind w:firstLine="480"/>
        <w:rPr>
          <w:sz w:val="24"/>
        </w:rPr>
      </w:pPr>
      <w:r>
        <w:rPr>
          <w:sz w:val="24"/>
        </w:rPr>
        <w:t>2）养殖废水：本项目养殖场采用干清粪工艺对粪便进行处理，执行《畜禽养殖业污染物排放标准》（GB18596-2001）中的表5（污染物最高允许日均排放浓度）标准，具体见表2.3-13。</w:t>
      </w:r>
    </w:p>
    <w:p w14:paraId="39F94DEE">
      <w:pPr>
        <w:pStyle w:val="52"/>
        <w:adjustRightInd w:val="0"/>
        <w:snapToGrid w:val="0"/>
        <w:spacing w:line="240" w:lineRule="auto"/>
        <w:ind w:firstLine="482"/>
        <w:jc w:val="center"/>
        <w:rPr>
          <w:rFonts w:ascii="Times New Roman" w:hAnsi="Times New Roman"/>
          <w:b/>
          <w:bCs/>
          <w:szCs w:val="24"/>
        </w:rPr>
      </w:pPr>
      <w:r>
        <w:rPr>
          <w:rFonts w:ascii="Times New Roman" w:hAnsi="Times New Roman"/>
          <w:b/>
          <w:bCs/>
          <w:szCs w:val="24"/>
        </w:rPr>
        <w:t>表2.3-13  畜禽养殖业污染物排放标准（GB18596-2001）污水排放量标准</w:t>
      </w:r>
    </w:p>
    <w:tbl>
      <w:tblPr>
        <w:tblStyle w:val="8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048"/>
        <w:gridCol w:w="3276"/>
        <w:gridCol w:w="3204"/>
      </w:tblGrid>
      <w:tr w14:paraId="64C347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01" w:type="pct"/>
            <w:vMerge w:val="restart"/>
            <w:noWrap w:val="0"/>
            <w:vAlign w:val="center"/>
          </w:tcPr>
          <w:p w14:paraId="31DB7C66">
            <w:pPr>
              <w:pStyle w:val="777"/>
              <w:snapToGrid w:val="0"/>
              <w:spacing w:after="0"/>
              <w:jc w:val="center"/>
              <w:rPr>
                <w:rFonts w:ascii="Times New Roman" w:hAnsi="Times New Roman"/>
                <w:sz w:val="21"/>
                <w:szCs w:val="21"/>
              </w:rPr>
            </w:pPr>
            <w:r>
              <w:rPr>
                <w:rFonts w:ascii="Times New Roman" w:hAnsi="Times New Roman"/>
                <w:sz w:val="21"/>
                <w:szCs w:val="21"/>
              </w:rPr>
              <w:t>种类</w:t>
            </w:r>
          </w:p>
        </w:tc>
        <w:tc>
          <w:tcPr>
            <w:tcW w:w="3799" w:type="pct"/>
            <w:gridSpan w:val="2"/>
            <w:noWrap w:val="0"/>
            <w:vAlign w:val="center"/>
          </w:tcPr>
          <w:p w14:paraId="42D9E893">
            <w:pPr>
              <w:pStyle w:val="777"/>
              <w:snapToGrid w:val="0"/>
              <w:spacing w:after="0"/>
              <w:jc w:val="center"/>
              <w:rPr>
                <w:rFonts w:ascii="Times New Roman" w:hAnsi="Times New Roman"/>
                <w:sz w:val="21"/>
                <w:szCs w:val="21"/>
              </w:rPr>
            </w:pPr>
            <w:r>
              <w:rPr>
                <w:rFonts w:ascii="Times New Roman" w:hAnsi="Times New Roman"/>
                <w:sz w:val="21"/>
                <w:szCs w:val="21"/>
              </w:rPr>
              <w:t>猪（m</w:t>
            </w:r>
            <w:r>
              <w:rPr>
                <w:rFonts w:ascii="Times New Roman" w:hAnsi="Times New Roman"/>
                <w:sz w:val="21"/>
                <w:szCs w:val="21"/>
                <w:vertAlign w:val="superscript"/>
              </w:rPr>
              <w:t>3</w:t>
            </w:r>
            <w:r>
              <w:rPr>
                <w:rFonts w:ascii="Times New Roman" w:hAnsi="Times New Roman"/>
                <w:sz w:val="21"/>
                <w:szCs w:val="21"/>
              </w:rPr>
              <w:t>/百头·天）</w:t>
            </w:r>
          </w:p>
        </w:tc>
      </w:tr>
      <w:tr w14:paraId="7952D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 w:hRule="atLeast"/>
          <w:jc w:val="center"/>
        </w:trPr>
        <w:tc>
          <w:tcPr>
            <w:tcW w:w="1201" w:type="pct"/>
            <w:vMerge w:val="continue"/>
            <w:noWrap w:val="0"/>
            <w:vAlign w:val="center"/>
          </w:tcPr>
          <w:p w14:paraId="566B2830">
            <w:pPr>
              <w:pStyle w:val="777"/>
              <w:snapToGrid w:val="0"/>
              <w:spacing w:after="0"/>
              <w:jc w:val="center"/>
              <w:rPr>
                <w:rFonts w:ascii="Times New Roman" w:hAnsi="Times New Roman"/>
                <w:sz w:val="21"/>
                <w:szCs w:val="21"/>
              </w:rPr>
            </w:pPr>
          </w:p>
        </w:tc>
        <w:tc>
          <w:tcPr>
            <w:tcW w:w="3799" w:type="pct"/>
            <w:gridSpan w:val="2"/>
            <w:noWrap w:val="0"/>
            <w:vAlign w:val="center"/>
          </w:tcPr>
          <w:p w14:paraId="468C9C2D">
            <w:pPr>
              <w:pStyle w:val="777"/>
              <w:snapToGrid w:val="0"/>
              <w:spacing w:after="0"/>
              <w:jc w:val="center"/>
              <w:rPr>
                <w:rFonts w:ascii="Times New Roman" w:hAnsi="Times New Roman"/>
                <w:sz w:val="21"/>
                <w:szCs w:val="21"/>
              </w:rPr>
            </w:pPr>
            <w:r>
              <w:rPr>
                <w:rFonts w:ascii="Times New Roman" w:hAnsi="Times New Roman"/>
                <w:sz w:val="21"/>
                <w:szCs w:val="21"/>
              </w:rPr>
              <w:t>干清粪工艺最高允许排水量</w:t>
            </w:r>
          </w:p>
        </w:tc>
      </w:tr>
      <w:tr w14:paraId="796C3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01" w:type="pct"/>
            <w:noWrap w:val="0"/>
            <w:vAlign w:val="center"/>
          </w:tcPr>
          <w:p w14:paraId="732B2BCB">
            <w:pPr>
              <w:pStyle w:val="777"/>
              <w:snapToGrid w:val="0"/>
              <w:spacing w:after="0"/>
              <w:jc w:val="center"/>
              <w:rPr>
                <w:rFonts w:ascii="Times New Roman" w:hAnsi="Times New Roman"/>
                <w:sz w:val="21"/>
                <w:szCs w:val="21"/>
              </w:rPr>
            </w:pPr>
            <w:r>
              <w:rPr>
                <w:rFonts w:ascii="Times New Roman" w:hAnsi="Times New Roman"/>
                <w:sz w:val="21"/>
                <w:szCs w:val="21"/>
              </w:rPr>
              <w:t>季节</w:t>
            </w:r>
          </w:p>
        </w:tc>
        <w:tc>
          <w:tcPr>
            <w:tcW w:w="1921" w:type="pct"/>
            <w:noWrap w:val="0"/>
            <w:vAlign w:val="center"/>
          </w:tcPr>
          <w:p w14:paraId="37891E0C">
            <w:pPr>
              <w:pStyle w:val="777"/>
              <w:snapToGrid w:val="0"/>
              <w:spacing w:after="0"/>
              <w:jc w:val="center"/>
              <w:rPr>
                <w:rFonts w:ascii="Times New Roman" w:hAnsi="Times New Roman"/>
                <w:sz w:val="21"/>
                <w:szCs w:val="21"/>
              </w:rPr>
            </w:pPr>
            <w:r>
              <w:rPr>
                <w:rFonts w:ascii="Times New Roman" w:hAnsi="Times New Roman"/>
                <w:sz w:val="21"/>
                <w:szCs w:val="21"/>
              </w:rPr>
              <w:t>冬季</w:t>
            </w:r>
          </w:p>
        </w:tc>
        <w:tc>
          <w:tcPr>
            <w:tcW w:w="1878" w:type="pct"/>
            <w:noWrap w:val="0"/>
            <w:vAlign w:val="center"/>
          </w:tcPr>
          <w:p w14:paraId="45679EF0">
            <w:pPr>
              <w:pStyle w:val="777"/>
              <w:snapToGrid w:val="0"/>
              <w:spacing w:after="0"/>
              <w:jc w:val="center"/>
              <w:rPr>
                <w:rFonts w:ascii="Times New Roman" w:hAnsi="Times New Roman"/>
                <w:sz w:val="21"/>
                <w:szCs w:val="21"/>
              </w:rPr>
            </w:pPr>
            <w:r>
              <w:rPr>
                <w:rFonts w:ascii="Times New Roman" w:hAnsi="Times New Roman"/>
                <w:sz w:val="21"/>
                <w:szCs w:val="21"/>
              </w:rPr>
              <w:t>夏季</w:t>
            </w:r>
          </w:p>
        </w:tc>
      </w:tr>
      <w:tr w14:paraId="21D68C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01" w:type="pct"/>
            <w:noWrap w:val="0"/>
            <w:vAlign w:val="center"/>
          </w:tcPr>
          <w:p w14:paraId="4074C01D">
            <w:pPr>
              <w:pStyle w:val="777"/>
              <w:snapToGrid w:val="0"/>
              <w:spacing w:after="0"/>
              <w:jc w:val="center"/>
              <w:rPr>
                <w:rFonts w:ascii="Times New Roman" w:hAnsi="Times New Roman"/>
                <w:sz w:val="21"/>
                <w:szCs w:val="21"/>
              </w:rPr>
            </w:pPr>
            <w:r>
              <w:rPr>
                <w:rFonts w:ascii="Times New Roman" w:hAnsi="Times New Roman"/>
                <w:sz w:val="21"/>
                <w:szCs w:val="21"/>
              </w:rPr>
              <w:t>标准值</w:t>
            </w:r>
          </w:p>
        </w:tc>
        <w:tc>
          <w:tcPr>
            <w:tcW w:w="1921" w:type="pct"/>
            <w:noWrap w:val="0"/>
            <w:vAlign w:val="center"/>
          </w:tcPr>
          <w:p w14:paraId="6D47B5D1">
            <w:pPr>
              <w:pStyle w:val="777"/>
              <w:snapToGrid w:val="0"/>
              <w:spacing w:after="0"/>
              <w:jc w:val="center"/>
              <w:rPr>
                <w:rFonts w:ascii="Times New Roman" w:hAnsi="Times New Roman"/>
                <w:b w:val="0"/>
                <w:sz w:val="21"/>
                <w:szCs w:val="21"/>
              </w:rPr>
            </w:pPr>
            <w:r>
              <w:rPr>
                <w:rFonts w:ascii="Times New Roman" w:hAnsi="Times New Roman"/>
                <w:b w:val="0"/>
                <w:sz w:val="21"/>
                <w:szCs w:val="21"/>
              </w:rPr>
              <w:t>1.2</w:t>
            </w:r>
          </w:p>
        </w:tc>
        <w:tc>
          <w:tcPr>
            <w:tcW w:w="1878" w:type="pct"/>
            <w:noWrap w:val="0"/>
            <w:vAlign w:val="center"/>
          </w:tcPr>
          <w:p w14:paraId="0FE1BB98">
            <w:pPr>
              <w:pStyle w:val="777"/>
              <w:snapToGrid w:val="0"/>
              <w:spacing w:after="0"/>
              <w:jc w:val="center"/>
              <w:rPr>
                <w:rFonts w:ascii="Times New Roman" w:hAnsi="Times New Roman"/>
                <w:b w:val="0"/>
                <w:sz w:val="21"/>
                <w:szCs w:val="21"/>
              </w:rPr>
            </w:pPr>
            <w:r>
              <w:rPr>
                <w:rFonts w:ascii="Times New Roman" w:hAnsi="Times New Roman"/>
                <w:b w:val="0"/>
                <w:sz w:val="21"/>
                <w:szCs w:val="21"/>
              </w:rPr>
              <w:t>1.8</w:t>
            </w:r>
          </w:p>
        </w:tc>
      </w:tr>
    </w:tbl>
    <w:p w14:paraId="1707F71E">
      <w:pPr>
        <w:spacing w:line="360" w:lineRule="auto"/>
        <w:ind w:firstLine="480"/>
        <w:rPr>
          <w:sz w:val="24"/>
        </w:rPr>
      </w:pPr>
      <w:r>
        <w:rPr>
          <w:sz w:val="24"/>
        </w:rPr>
        <w:t>项目场区内采取雨污分流。项目废水主要包括职工生活污水、养殖相关废水，经污水收集管网收集后经自建污水处理设施处理，产生的沼液全部作为液体肥料运至公司苹果园浇灌使用，因此项目废水全部资源化利用，实现废水零排放。</w:t>
      </w:r>
    </w:p>
    <w:p w14:paraId="4514CE9C">
      <w:pPr>
        <w:spacing w:line="360" w:lineRule="auto"/>
        <w:ind w:firstLine="480" w:firstLineChars="200"/>
        <w:jc w:val="left"/>
        <w:rPr>
          <w:sz w:val="24"/>
        </w:rPr>
      </w:pPr>
      <w:r>
        <w:rPr>
          <w:sz w:val="24"/>
        </w:rPr>
        <w:t>本项目沼液处理执行《畜禽粪便还田技术规范》（GB/T25246-2010）中表2的规定，</w:t>
      </w:r>
      <w:r>
        <w:rPr>
          <w:kern w:val="0"/>
          <w:sz w:val="24"/>
        </w:rPr>
        <w:t>排放标准详见表</w:t>
      </w:r>
      <w:r>
        <w:rPr>
          <w:sz w:val="24"/>
        </w:rPr>
        <w:t>2.3-14</w:t>
      </w:r>
      <w:r>
        <w:rPr>
          <w:kern w:val="0"/>
          <w:sz w:val="24"/>
        </w:rPr>
        <w:t>。</w:t>
      </w:r>
    </w:p>
    <w:p w14:paraId="378EDA24">
      <w:pPr>
        <w:jc w:val="center"/>
        <w:rPr>
          <w:b/>
          <w:sz w:val="24"/>
        </w:rPr>
      </w:pPr>
      <w:r>
        <w:rPr>
          <w:b/>
          <w:sz w:val="24"/>
        </w:rPr>
        <w:t>表2.3-14  沼液卫生学要求</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6294"/>
      </w:tblGrid>
      <w:tr w14:paraId="78BF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noWrap w:val="0"/>
            <w:vAlign w:val="center"/>
          </w:tcPr>
          <w:p w14:paraId="043A76AA">
            <w:pPr>
              <w:jc w:val="center"/>
              <w:rPr>
                <w:b/>
                <w:szCs w:val="21"/>
              </w:rPr>
            </w:pPr>
            <w:r>
              <w:rPr>
                <w:b/>
                <w:szCs w:val="21"/>
              </w:rPr>
              <w:t>项目</w:t>
            </w:r>
          </w:p>
        </w:tc>
        <w:tc>
          <w:tcPr>
            <w:tcW w:w="3690" w:type="pct"/>
            <w:noWrap w:val="0"/>
            <w:vAlign w:val="center"/>
          </w:tcPr>
          <w:p w14:paraId="4167B84E">
            <w:pPr>
              <w:jc w:val="center"/>
              <w:rPr>
                <w:b/>
                <w:szCs w:val="21"/>
              </w:rPr>
            </w:pPr>
            <w:r>
              <w:rPr>
                <w:b/>
                <w:szCs w:val="21"/>
              </w:rPr>
              <w:t>要求</w:t>
            </w:r>
          </w:p>
        </w:tc>
      </w:tr>
      <w:tr w14:paraId="2AA4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noWrap w:val="0"/>
            <w:vAlign w:val="center"/>
          </w:tcPr>
          <w:p w14:paraId="5A5E5DBF">
            <w:pPr>
              <w:jc w:val="center"/>
              <w:rPr>
                <w:szCs w:val="21"/>
              </w:rPr>
            </w:pPr>
            <w:r>
              <w:rPr>
                <w:szCs w:val="21"/>
              </w:rPr>
              <w:t>蛔虫卵沉降率</w:t>
            </w:r>
          </w:p>
        </w:tc>
        <w:tc>
          <w:tcPr>
            <w:tcW w:w="3690" w:type="pct"/>
            <w:noWrap w:val="0"/>
            <w:vAlign w:val="center"/>
          </w:tcPr>
          <w:p w14:paraId="544588B0">
            <w:pPr>
              <w:jc w:val="center"/>
              <w:rPr>
                <w:szCs w:val="21"/>
              </w:rPr>
            </w:pPr>
            <w:r>
              <w:rPr>
                <w:szCs w:val="21"/>
              </w:rPr>
              <w:t>95%以上</w:t>
            </w:r>
          </w:p>
        </w:tc>
      </w:tr>
      <w:tr w14:paraId="0FF8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noWrap w:val="0"/>
            <w:vAlign w:val="center"/>
          </w:tcPr>
          <w:p w14:paraId="68D18C4C">
            <w:pPr>
              <w:jc w:val="center"/>
              <w:rPr>
                <w:szCs w:val="21"/>
              </w:rPr>
            </w:pPr>
            <w:r>
              <w:rPr>
                <w:szCs w:val="21"/>
              </w:rPr>
              <w:t>血吸虫卵和钩虫卵</w:t>
            </w:r>
          </w:p>
        </w:tc>
        <w:tc>
          <w:tcPr>
            <w:tcW w:w="3690" w:type="pct"/>
            <w:noWrap w:val="0"/>
            <w:vAlign w:val="center"/>
          </w:tcPr>
          <w:p w14:paraId="18AD66A5">
            <w:pPr>
              <w:jc w:val="center"/>
              <w:rPr>
                <w:szCs w:val="21"/>
              </w:rPr>
            </w:pPr>
            <w:r>
              <w:rPr>
                <w:szCs w:val="21"/>
              </w:rPr>
              <w:t>在使用的沼液中不应有活的血吸虫卵和钩虫卵</w:t>
            </w:r>
          </w:p>
        </w:tc>
      </w:tr>
      <w:tr w14:paraId="2939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noWrap w:val="0"/>
            <w:vAlign w:val="center"/>
          </w:tcPr>
          <w:p w14:paraId="4AD44010">
            <w:pPr>
              <w:jc w:val="center"/>
              <w:rPr>
                <w:szCs w:val="21"/>
              </w:rPr>
            </w:pPr>
            <w:r>
              <w:rPr>
                <w:szCs w:val="21"/>
              </w:rPr>
              <w:t>粪大肠菌值</w:t>
            </w:r>
          </w:p>
        </w:tc>
        <w:tc>
          <w:tcPr>
            <w:tcW w:w="3690" w:type="pct"/>
            <w:noWrap w:val="0"/>
            <w:vAlign w:val="center"/>
          </w:tcPr>
          <w:p w14:paraId="0046B634">
            <w:pPr>
              <w:jc w:val="center"/>
              <w:rPr>
                <w:szCs w:val="21"/>
              </w:rPr>
            </w:pPr>
            <w:r>
              <w:rPr>
                <w:szCs w:val="21"/>
              </w:rPr>
              <w:t>10</w:t>
            </w:r>
            <w:r>
              <w:rPr>
                <w:szCs w:val="21"/>
                <w:vertAlign w:val="superscript"/>
              </w:rPr>
              <w:t>-1</w:t>
            </w:r>
            <w:r>
              <w:rPr>
                <w:szCs w:val="21"/>
              </w:rPr>
              <w:t>~10</w:t>
            </w:r>
            <w:r>
              <w:rPr>
                <w:szCs w:val="21"/>
                <w:vertAlign w:val="superscript"/>
              </w:rPr>
              <w:t>-2</w:t>
            </w:r>
          </w:p>
        </w:tc>
      </w:tr>
      <w:tr w14:paraId="0942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noWrap w:val="0"/>
            <w:vAlign w:val="center"/>
          </w:tcPr>
          <w:p w14:paraId="5177BCB4">
            <w:pPr>
              <w:jc w:val="center"/>
              <w:rPr>
                <w:szCs w:val="21"/>
              </w:rPr>
            </w:pPr>
            <w:r>
              <w:rPr>
                <w:szCs w:val="21"/>
              </w:rPr>
              <w:t>蚊子、苍蝇</w:t>
            </w:r>
          </w:p>
        </w:tc>
        <w:tc>
          <w:tcPr>
            <w:tcW w:w="3690" w:type="pct"/>
            <w:noWrap w:val="0"/>
            <w:vAlign w:val="center"/>
          </w:tcPr>
          <w:p w14:paraId="17321F91">
            <w:pPr>
              <w:jc w:val="center"/>
              <w:rPr>
                <w:szCs w:val="21"/>
              </w:rPr>
            </w:pPr>
            <w:r>
              <w:rPr>
                <w:szCs w:val="21"/>
              </w:rPr>
              <w:t>有效地控制蚊蝇孳生，沼液中无孑孓，池的周边无活蛆、蛹或新羽化的成蝇</w:t>
            </w:r>
          </w:p>
        </w:tc>
      </w:tr>
      <w:tr w14:paraId="53CC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noWrap w:val="0"/>
            <w:vAlign w:val="center"/>
          </w:tcPr>
          <w:p w14:paraId="1F9697BB">
            <w:pPr>
              <w:jc w:val="center"/>
              <w:rPr>
                <w:szCs w:val="21"/>
              </w:rPr>
            </w:pPr>
            <w:r>
              <w:rPr>
                <w:szCs w:val="21"/>
              </w:rPr>
              <w:t>蛔虫卵死亡率（%）</w:t>
            </w:r>
          </w:p>
        </w:tc>
        <w:tc>
          <w:tcPr>
            <w:tcW w:w="3690" w:type="pct"/>
            <w:noWrap w:val="0"/>
            <w:vAlign w:val="center"/>
          </w:tcPr>
          <w:p w14:paraId="0DC9D355">
            <w:pPr>
              <w:jc w:val="center"/>
              <w:rPr>
                <w:szCs w:val="21"/>
              </w:rPr>
            </w:pPr>
            <w:r>
              <w:rPr>
                <w:szCs w:val="21"/>
              </w:rPr>
              <w:t>≥95</w:t>
            </w:r>
          </w:p>
        </w:tc>
      </w:tr>
    </w:tbl>
    <w:p w14:paraId="47F1E0EA">
      <w:pPr>
        <w:ind w:firstLine="480"/>
      </w:pPr>
    </w:p>
    <w:p w14:paraId="233E319A">
      <w:pPr>
        <w:pStyle w:val="10"/>
        <w:spacing w:line="360" w:lineRule="auto"/>
        <w:ind w:firstLine="482"/>
        <w:rPr>
          <w:b/>
          <w:snapToGrid w:val="0"/>
          <w:sz w:val="24"/>
        </w:rPr>
      </w:pPr>
      <w:r>
        <w:rPr>
          <w:b/>
          <w:snapToGrid w:val="0"/>
          <w:sz w:val="24"/>
        </w:rPr>
        <w:t>3、噪声排放标准</w:t>
      </w:r>
    </w:p>
    <w:p w14:paraId="20CC6D14">
      <w:pPr>
        <w:spacing w:line="360" w:lineRule="auto"/>
        <w:ind w:firstLine="480" w:firstLineChars="200"/>
        <w:rPr>
          <w:sz w:val="24"/>
        </w:rPr>
      </w:pPr>
      <w:r>
        <w:rPr>
          <w:sz w:val="24"/>
        </w:rPr>
        <w:t>（1）施工期</w:t>
      </w:r>
    </w:p>
    <w:p w14:paraId="53738231">
      <w:pPr>
        <w:spacing w:line="360" w:lineRule="auto"/>
        <w:ind w:firstLine="480" w:firstLineChars="200"/>
        <w:rPr>
          <w:sz w:val="24"/>
        </w:rPr>
      </w:pPr>
      <w:r>
        <w:rPr>
          <w:sz w:val="24"/>
        </w:rPr>
        <w:t>施工期执行《建筑施工场界环境噪声排放限值》（GB12523-2011），标准限值见表2.3-15。</w:t>
      </w:r>
    </w:p>
    <w:p w14:paraId="0FF21F19">
      <w:pPr>
        <w:pStyle w:val="24"/>
        <w:spacing w:line="360" w:lineRule="auto"/>
        <w:rPr>
          <w:sz w:val="21"/>
          <w:szCs w:val="21"/>
        </w:rPr>
      </w:pPr>
      <w:r>
        <w:rPr>
          <w:sz w:val="21"/>
          <w:szCs w:val="21"/>
        </w:rPr>
        <w:t>表2.3-15   建筑施工场界环境噪声排放限值  单位：Leq[dB(A)]</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385E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5A39AE7A">
            <w:pPr>
              <w:pStyle w:val="24"/>
              <w:rPr>
                <w:sz w:val="21"/>
                <w:szCs w:val="21"/>
              </w:rPr>
            </w:pPr>
            <w:r>
              <w:rPr>
                <w:sz w:val="21"/>
                <w:szCs w:val="21"/>
              </w:rPr>
              <w:t>昼间</w:t>
            </w:r>
          </w:p>
        </w:tc>
        <w:tc>
          <w:tcPr>
            <w:tcW w:w="4264" w:type="dxa"/>
            <w:noWrap w:val="0"/>
            <w:vAlign w:val="center"/>
          </w:tcPr>
          <w:p w14:paraId="02689FA5">
            <w:pPr>
              <w:pStyle w:val="24"/>
              <w:rPr>
                <w:sz w:val="21"/>
                <w:szCs w:val="21"/>
              </w:rPr>
            </w:pPr>
            <w:r>
              <w:rPr>
                <w:sz w:val="21"/>
                <w:szCs w:val="21"/>
              </w:rPr>
              <w:t>夜间</w:t>
            </w:r>
          </w:p>
        </w:tc>
      </w:tr>
      <w:tr w14:paraId="4DB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6F7A2775">
            <w:pPr>
              <w:jc w:val="center"/>
              <w:rPr>
                <w:szCs w:val="21"/>
              </w:rPr>
            </w:pPr>
            <w:r>
              <w:rPr>
                <w:szCs w:val="21"/>
              </w:rPr>
              <w:t>70</w:t>
            </w:r>
          </w:p>
        </w:tc>
        <w:tc>
          <w:tcPr>
            <w:tcW w:w="4264" w:type="dxa"/>
            <w:noWrap w:val="0"/>
            <w:vAlign w:val="center"/>
          </w:tcPr>
          <w:p w14:paraId="47E71ECB">
            <w:pPr>
              <w:jc w:val="center"/>
              <w:rPr>
                <w:szCs w:val="21"/>
              </w:rPr>
            </w:pPr>
            <w:r>
              <w:rPr>
                <w:szCs w:val="21"/>
              </w:rPr>
              <w:t>55</w:t>
            </w:r>
          </w:p>
        </w:tc>
      </w:tr>
    </w:tbl>
    <w:p w14:paraId="2677AAF5">
      <w:pPr>
        <w:pStyle w:val="35"/>
        <w:snapToGrid w:val="0"/>
        <w:spacing w:after="0" w:line="360" w:lineRule="auto"/>
        <w:ind w:firstLine="480" w:firstLineChars="200"/>
        <w:rPr>
          <w:sz w:val="24"/>
        </w:rPr>
      </w:pPr>
      <w:r>
        <w:rPr>
          <w:sz w:val="24"/>
        </w:rPr>
        <w:t>（2）运营期</w:t>
      </w:r>
    </w:p>
    <w:p w14:paraId="7A1043D8">
      <w:pPr>
        <w:pStyle w:val="35"/>
        <w:snapToGrid w:val="0"/>
        <w:spacing w:after="0" w:line="360" w:lineRule="auto"/>
        <w:ind w:firstLine="480" w:firstLineChars="200"/>
        <w:rPr>
          <w:sz w:val="24"/>
        </w:rPr>
      </w:pPr>
      <w:r>
        <w:rPr>
          <w:sz w:val="24"/>
        </w:rPr>
        <w:t>运营期噪声执行《工业企业厂界环境噪声排放标准》（GB12348-2008）2类区标准，标准限值见表2.3-16。</w:t>
      </w:r>
    </w:p>
    <w:p w14:paraId="3B8C6CF1">
      <w:pPr>
        <w:pStyle w:val="24"/>
        <w:spacing w:line="360" w:lineRule="auto"/>
        <w:rPr>
          <w:sz w:val="21"/>
          <w:szCs w:val="21"/>
        </w:rPr>
      </w:pPr>
      <w:r>
        <w:rPr>
          <w:sz w:val="21"/>
          <w:szCs w:val="21"/>
        </w:rPr>
        <w:t>表2.3-16    工业企业厂界环境噪声排放标准</w:t>
      </w:r>
    </w:p>
    <w:tbl>
      <w:tblPr>
        <w:tblStyle w:val="87"/>
        <w:tblpPr w:leftFromText="181" w:rightFromText="181" w:bottomFromText="142" w:vertAnchor="text" w:tblpXSpec="center" w:tblpY="1"/>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20"/>
        <w:gridCol w:w="2923"/>
        <w:gridCol w:w="2923"/>
      </w:tblGrid>
      <w:tr w14:paraId="4E741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920" w:type="dxa"/>
            <w:noWrap w:val="0"/>
            <w:vAlign w:val="center"/>
          </w:tcPr>
          <w:p w14:paraId="409F5AA7">
            <w:pPr>
              <w:jc w:val="center"/>
              <w:rPr>
                <w:szCs w:val="21"/>
              </w:rPr>
            </w:pPr>
            <w:r>
              <w:rPr>
                <w:szCs w:val="21"/>
              </w:rPr>
              <w:t>类别</w:t>
            </w:r>
          </w:p>
        </w:tc>
        <w:tc>
          <w:tcPr>
            <w:tcW w:w="2923" w:type="dxa"/>
            <w:noWrap w:val="0"/>
            <w:vAlign w:val="center"/>
          </w:tcPr>
          <w:p w14:paraId="11D980AC">
            <w:pPr>
              <w:jc w:val="center"/>
              <w:rPr>
                <w:szCs w:val="21"/>
              </w:rPr>
            </w:pPr>
            <w:r>
              <w:rPr>
                <w:szCs w:val="21"/>
              </w:rPr>
              <w:t>昼间Leq[dB(A)]</w:t>
            </w:r>
          </w:p>
        </w:tc>
        <w:tc>
          <w:tcPr>
            <w:tcW w:w="2923" w:type="dxa"/>
            <w:noWrap w:val="0"/>
            <w:vAlign w:val="center"/>
          </w:tcPr>
          <w:p w14:paraId="095AA29D">
            <w:pPr>
              <w:jc w:val="center"/>
              <w:rPr>
                <w:szCs w:val="21"/>
              </w:rPr>
            </w:pPr>
            <w:r>
              <w:rPr>
                <w:szCs w:val="21"/>
              </w:rPr>
              <w:t>夜间Leq[dB(A)]</w:t>
            </w:r>
          </w:p>
        </w:tc>
      </w:tr>
      <w:tr w14:paraId="2CC3F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920" w:type="dxa"/>
            <w:noWrap w:val="0"/>
            <w:vAlign w:val="center"/>
          </w:tcPr>
          <w:p w14:paraId="70898EF4">
            <w:pPr>
              <w:jc w:val="center"/>
              <w:rPr>
                <w:szCs w:val="21"/>
              </w:rPr>
            </w:pPr>
            <w:r>
              <w:rPr>
                <w:szCs w:val="21"/>
              </w:rPr>
              <w:t>2类</w:t>
            </w:r>
          </w:p>
        </w:tc>
        <w:tc>
          <w:tcPr>
            <w:tcW w:w="2923" w:type="dxa"/>
            <w:noWrap w:val="0"/>
            <w:vAlign w:val="center"/>
          </w:tcPr>
          <w:p w14:paraId="55B004C2">
            <w:pPr>
              <w:jc w:val="center"/>
              <w:rPr>
                <w:szCs w:val="21"/>
              </w:rPr>
            </w:pPr>
            <w:r>
              <w:rPr>
                <w:szCs w:val="21"/>
              </w:rPr>
              <w:t>60</w:t>
            </w:r>
          </w:p>
        </w:tc>
        <w:tc>
          <w:tcPr>
            <w:tcW w:w="2923" w:type="dxa"/>
            <w:noWrap w:val="0"/>
            <w:vAlign w:val="center"/>
          </w:tcPr>
          <w:p w14:paraId="24BAE2D6">
            <w:pPr>
              <w:jc w:val="center"/>
              <w:rPr>
                <w:szCs w:val="21"/>
              </w:rPr>
            </w:pPr>
            <w:r>
              <w:rPr>
                <w:szCs w:val="21"/>
              </w:rPr>
              <w:t>50</w:t>
            </w:r>
          </w:p>
        </w:tc>
      </w:tr>
    </w:tbl>
    <w:p w14:paraId="4A628672">
      <w:pPr>
        <w:pStyle w:val="10"/>
        <w:spacing w:line="360" w:lineRule="auto"/>
        <w:ind w:firstLine="482"/>
        <w:rPr>
          <w:b/>
          <w:snapToGrid w:val="0"/>
          <w:sz w:val="24"/>
        </w:rPr>
      </w:pPr>
      <w:r>
        <w:rPr>
          <w:b/>
          <w:snapToGrid w:val="0"/>
          <w:sz w:val="24"/>
        </w:rPr>
        <w:t>4、固废</w:t>
      </w:r>
    </w:p>
    <w:p w14:paraId="158AAA29">
      <w:pPr>
        <w:pStyle w:val="10"/>
        <w:spacing w:line="360" w:lineRule="auto"/>
        <w:ind w:firstLine="480"/>
        <w:rPr>
          <w:sz w:val="24"/>
        </w:rPr>
      </w:pPr>
      <w:r>
        <w:rPr>
          <w:sz w:val="24"/>
        </w:rPr>
        <w:t>（1）《畜禽养殖业污染物排放标准》（GB18596-2001）中规定，用于直接还田的畜禽粪便，必须进行无害化处理，经无害化处理后的猪粪，应符合表2.3-16的规定。</w:t>
      </w:r>
    </w:p>
    <w:p w14:paraId="44F589E8">
      <w:pPr>
        <w:autoSpaceDE w:val="0"/>
        <w:autoSpaceDN w:val="0"/>
        <w:adjustRightInd w:val="0"/>
        <w:spacing w:line="360" w:lineRule="auto"/>
        <w:jc w:val="center"/>
        <w:rPr>
          <w:b/>
          <w:szCs w:val="21"/>
        </w:rPr>
      </w:pPr>
      <w:r>
        <w:rPr>
          <w:b/>
          <w:szCs w:val="21"/>
        </w:rPr>
        <w:t>表2.3-17  畜禽养殖业废渣无害化环境标准</w:t>
      </w:r>
    </w:p>
    <w:tbl>
      <w:tblPr>
        <w:tblStyle w:val="8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64"/>
        <w:gridCol w:w="4264"/>
      </w:tblGrid>
      <w:tr w14:paraId="2B9B5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264" w:type="dxa"/>
            <w:noWrap w:val="0"/>
            <w:vAlign w:val="center"/>
          </w:tcPr>
          <w:p w14:paraId="328AD31F">
            <w:pPr>
              <w:jc w:val="center"/>
              <w:rPr>
                <w:szCs w:val="21"/>
              </w:rPr>
            </w:pPr>
            <w:r>
              <w:rPr>
                <w:szCs w:val="21"/>
              </w:rPr>
              <w:t>项目</w:t>
            </w:r>
          </w:p>
        </w:tc>
        <w:tc>
          <w:tcPr>
            <w:tcW w:w="4264" w:type="dxa"/>
            <w:noWrap w:val="0"/>
            <w:vAlign w:val="center"/>
          </w:tcPr>
          <w:p w14:paraId="05F804C8">
            <w:pPr>
              <w:jc w:val="center"/>
              <w:rPr>
                <w:szCs w:val="21"/>
              </w:rPr>
            </w:pPr>
            <w:r>
              <w:rPr>
                <w:szCs w:val="21"/>
              </w:rPr>
              <w:t>指标</w:t>
            </w:r>
          </w:p>
        </w:tc>
      </w:tr>
      <w:tr w14:paraId="3EF0D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264" w:type="dxa"/>
            <w:noWrap w:val="0"/>
            <w:vAlign w:val="center"/>
          </w:tcPr>
          <w:p w14:paraId="7EE472DB">
            <w:pPr>
              <w:jc w:val="center"/>
              <w:rPr>
                <w:szCs w:val="21"/>
              </w:rPr>
            </w:pPr>
            <w:r>
              <w:rPr>
                <w:szCs w:val="21"/>
              </w:rPr>
              <w:t>蛔虫卵</w:t>
            </w:r>
          </w:p>
        </w:tc>
        <w:tc>
          <w:tcPr>
            <w:tcW w:w="4264" w:type="dxa"/>
            <w:noWrap w:val="0"/>
            <w:vAlign w:val="center"/>
          </w:tcPr>
          <w:p w14:paraId="6A3624F4">
            <w:pPr>
              <w:jc w:val="center"/>
              <w:rPr>
                <w:szCs w:val="21"/>
              </w:rPr>
            </w:pPr>
            <w:r>
              <w:rPr>
                <w:szCs w:val="21"/>
              </w:rPr>
              <w:t>死亡率≥95%</w:t>
            </w:r>
          </w:p>
        </w:tc>
      </w:tr>
      <w:tr w14:paraId="0664F3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264" w:type="dxa"/>
            <w:noWrap w:val="0"/>
            <w:vAlign w:val="center"/>
          </w:tcPr>
          <w:p w14:paraId="56C41BE4">
            <w:pPr>
              <w:jc w:val="center"/>
              <w:rPr>
                <w:szCs w:val="21"/>
              </w:rPr>
            </w:pPr>
            <w:r>
              <w:rPr>
                <w:szCs w:val="21"/>
              </w:rPr>
              <w:t>粪大肠菌群数</w:t>
            </w:r>
          </w:p>
        </w:tc>
        <w:tc>
          <w:tcPr>
            <w:tcW w:w="4264" w:type="dxa"/>
            <w:noWrap w:val="0"/>
            <w:vAlign w:val="center"/>
          </w:tcPr>
          <w:p w14:paraId="02BA82A1">
            <w:pPr>
              <w:jc w:val="center"/>
              <w:rPr>
                <w:szCs w:val="21"/>
              </w:rPr>
            </w:pPr>
            <w:r>
              <w:rPr>
                <w:szCs w:val="21"/>
              </w:rPr>
              <w:t>≤10</w:t>
            </w:r>
            <w:r>
              <w:rPr>
                <w:szCs w:val="21"/>
                <w:vertAlign w:val="superscript"/>
              </w:rPr>
              <w:t>5</w:t>
            </w:r>
            <w:r>
              <w:rPr>
                <w:szCs w:val="21"/>
              </w:rPr>
              <w:t>个/kg</w:t>
            </w:r>
          </w:p>
        </w:tc>
      </w:tr>
    </w:tbl>
    <w:p w14:paraId="47CD8219">
      <w:pPr>
        <w:pStyle w:val="10"/>
        <w:spacing w:line="360" w:lineRule="auto"/>
        <w:ind w:firstLine="480"/>
        <w:rPr>
          <w:sz w:val="24"/>
        </w:rPr>
      </w:pPr>
      <w:r>
        <w:rPr>
          <w:sz w:val="24"/>
        </w:rPr>
        <w:t>（2）病死猪尸体、固粪等废物处置执行《畜禽养殖业污染防治技术规范》（HJ/T81-2001）等规定性文件。</w:t>
      </w:r>
    </w:p>
    <w:p w14:paraId="250D0088">
      <w:pPr>
        <w:pStyle w:val="10"/>
        <w:spacing w:line="360" w:lineRule="auto"/>
        <w:ind w:firstLine="480"/>
        <w:rPr>
          <w:sz w:val="24"/>
        </w:rPr>
      </w:pPr>
      <w:r>
        <w:rPr>
          <w:sz w:val="24"/>
        </w:rPr>
        <w:t>（3）兽医室医疗垃圾处置执行《危险废物贮存污染控制标准》（GB18597-2001）（2013年修订）及《医疗废物管理条例》相关规定。</w:t>
      </w:r>
    </w:p>
    <w:p w14:paraId="40F9CCB0">
      <w:pPr>
        <w:pStyle w:val="10"/>
        <w:spacing w:line="360" w:lineRule="auto"/>
        <w:ind w:firstLine="480"/>
        <w:rPr>
          <w:sz w:val="24"/>
        </w:rPr>
      </w:pPr>
      <w:r>
        <w:rPr>
          <w:sz w:val="24"/>
        </w:rPr>
        <w:t>（4）其他固体废弃物处置执行《一般工业固体废物贮存和填埋污染控制标准》（GB18599-2020）相关要求。</w:t>
      </w:r>
    </w:p>
    <w:p w14:paraId="222F4D56">
      <w:pPr>
        <w:pStyle w:val="6"/>
        <w:spacing w:before="0" w:after="0" w:line="360" w:lineRule="auto"/>
        <w:rPr>
          <w:rFonts w:ascii="Times New Roman" w:hAnsi="Times New Roman" w:eastAsia="宋体"/>
          <w:sz w:val="30"/>
          <w:szCs w:val="30"/>
        </w:rPr>
      </w:pPr>
      <w:bookmarkStart w:id="37" w:name="_Toc68186622"/>
      <w:bookmarkStart w:id="38" w:name="_Toc11958"/>
      <w:r>
        <w:rPr>
          <w:rFonts w:ascii="Times New Roman" w:hAnsi="Times New Roman" w:eastAsia="宋体"/>
          <w:sz w:val="30"/>
          <w:szCs w:val="30"/>
        </w:rPr>
        <w:t>2.4评价等级与评价范围</w:t>
      </w:r>
      <w:bookmarkEnd w:id="37"/>
      <w:bookmarkEnd w:id="38"/>
    </w:p>
    <w:p w14:paraId="4C59AD66">
      <w:pPr>
        <w:pStyle w:val="7"/>
        <w:spacing w:before="0" w:after="0" w:line="360" w:lineRule="auto"/>
        <w:rPr>
          <w:rFonts w:ascii="Times New Roman" w:hAnsi="Times New Roman"/>
          <w:sz w:val="28"/>
          <w:szCs w:val="28"/>
        </w:rPr>
      </w:pPr>
      <w:r>
        <w:rPr>
          <w:rFonts w:ascii="Times New Roman" w:hAnsi="Times New Roman"/>
          <w:sz w:val="28"/>
          <w:szCs w:val="28"/>
        </w:rPr>
        <w:t>2.4.1评价等级</w:t>
      </w:r>
    </w:p>
    <w:p w14:paraId="252FD565">
      <w:pPr>
        <w:autoSpaceDE w:val="0"/>
        <w:autoSpaceDN w:val="0"/>
        <w:adjustRightInd w:val="0"/>
        <w:spacing w:line="360" w:lineRule="auto"/>
        <w:ind w:firstLine="480" w:firstLineChars="200"/>
        <w:rPr>
          <w:sz w:val="24"/>
        </w:rPr>
      </w:pPr>
      <w:r>
        <w:rPr>
          <w:sz w:val="24"/>
        </w:rPr>
        <w:t>根据项目排污状况及项目周围的环境特征和《环境影响评价技术导则》，确定本项目各个环境要素的评价工作等级如下：</w:t>
      </w:r>
    </w:p>
    <w:p w14:paraId="2FB3CC7F">
      <w:pPr>
        <w:spacing w:line="360" w:lineRule="auto"/>
        <w:ind w:firstLine="354" w:firstLineChars="147"/>
        <w:rPr>
          <w:b/>
          <w:sz w:val="24"/>
        </w:rPr>
      </w:pPr>
      <w:r>
        <w:rPr>
          <w:b/>
          <w:sz w:val="24"/>
        </w:rPr>
        <w:t>（1）大气环境</w:t>
      </w:r>
    </w:p>
    <w:p w14:paraId="44C6E4F8">
      <w:pPr>
        <w:spacing w:line="360" w:lineRule="auto"/>
        <w:ind w:firstLine="480" w:firstLineChars="200"/>
        <w:rPr>
          <w:sz w:val="24"/>
        </w:rPr>
      </w:pPr>
      <w:r>
        <w:rPr>
          <w:bCs/>
          <w:sz w:val="24"/>
        </w:rPr>
        <w:t>根据《环境影响评价技术导则 大气环境》（HJ2.2-2018）中5.3节工作等级的确定方法，结合项目工程分析结果，选择正常排放的主要污染物及排放参数，采用附录A推荐模型中的AERSCREEN模式计算</w:t>
      </w:r>
      <w:r>
        <w:rPr>
          <w:sz w:val="24"/>
        </w:rPr>
        <w:t>各污染源污染物最大地面浓度占标率P</w:t>
      </w:r>
      <w:r>
        <w:rPr>
          <w:sz w:val="24"/>
          <w:vertAlign w:val="subscript"/>
        </w:rPr>
        <w:t>i</w:t>
      </w:r>
      <w:r>
        <w:rPr>
          <w:sz w:val="24"/>
        </w:rPr>
        <w:t>及污染物地面浓度达标准限值10%时所对应的最远距离D</w:t>
      </w:r>
      <w:r>
        <w:rPr>
          <w:sz w:val="24"/>
          <w:vertAlign w:val="subscript"/>
        </w:rPr>
        <w:t>10%</w:t>
      </w:r>
      <w:r>
        <w:rPr>
          <w:sz w:val="24"/>
        </w:rPr>
        <w:t>，然后确定本项目的大气环境评价工作等级。</w:t>
      </w:r>
    </w:p>
    <w:p w14:paraId="2B85829F">
      <w:pPr>
        <w:spacing w:line="360" w:lineRule="auto"/>
        <w:jc w:val="center"/>
        <w:rPr>
          <w:sz w:val="24"/>
        </w:rPr>
      </w:pPr>
      <w:r>
        <w:rPr>
          <w:sz w:val="24"/>
        </w:rPr>
        <w:t>P</w:t>
      </w:r>
      <w:r>
        <w:rPr>
          <w:sz w:val="24"/>
          <w:vertAlign w:val="subscript"/>
        </w:rPr>
        <w:t>i</w:t>
      </w:r>
      <w:r>
        <w:rPr>
          <w:sz w:val="24"/>
        </w:rPr>
        <w:t>=C</w:t>
      </w:r>
      <w:r>
        <w:rPr>
          <w:sz w:val="24"/>
          <w:vertAlign w:val="subscript"/>
        </w:rPr>
        <w:t>i</w:t>
      </w:r>
      <w:r>
        <w:rPr>
          <w:sz w:val="24"/>
        </w:rPr>
        <w:t>/Co</w:t>
      </w:r>
      <w:r>
        <w:rPr>
          <w:sz w:val="24"/>
          <w:vertAlign w:val="subscript"/>
        </w:rPr>
        <w:t>i</w:t>
      </w:r>
      <w:r>
        <w:rPr>
          <w:sz w:val="24"/>
        </w:rPr>
        <w:t>×100%</w:t>
      </w:r>
    </w:p>
    <w:p w14:paraId="2FEEF30C">
      <w:pPr>
        <w:spacing w:line="360" w:lineRule="auto"/>
        <w:ind w:firstLine="480" w:firstLineChars="200"/>
        <w:rPr>
          <w:sz w:val="24"/>
        </w:rPr>
      </w:pPr>
      <w:r>
        <w:rPr>
          <w:kern w:val="24"/>
          <w:sz w:val="24"/>
        </w:rPr>
        <w:t>式中：</w:t>
      </w:r>
      <w:r>
        <w:rPr>
          <w:sz w:val="24"/>
        </w:rPr>
        <w:t>P</w:t>
      </w:r>
      <w:r>
        <w:rPr>
          <w:sz w:val="24"/>
          <w:vertAlign w:val="subscript"/>
        </w:rPr>
        <w:t>i</w:t>
      </w:r>
      <w:r>
        <w:rPr>
          <w:sz w:val="24"/>
        </w:rPr>
        <w:t>—第i个污染物的最大地面浓度占标率，％；</w:t>
      </w:r>
    </w:p>
    <w:p w14:paraId="62D5257E">
      <w:pPr>
        <w:spacing w:line="360" w:lineRule="auto"/>
        <w:ind w:firstLine="1200" w:firstLineChars="500"/>
        <w:rPr>
          <w:sz w:val="24"/>
        </w:rPr>
      </w:pPr>
      <w:r>
        <w:rPr>
          <w:sz w:val="24"/>
        </w:rPr>
        <w:t>C</w:t>
      </w:r>
      <w:r>
        <w:rPr>
          <w:sz w:val="24"/>
          <w:vertAlign w:val="subscript"/>
        </w:rPr>
        <w:t>i</w:t>
      </w:r>
      <w:r>
        <w:rPr>
          <w:sz w:val="24"/>
        </w:rPr>
        <w:t>—采用估算模式计算出的第i个污染物的最大地面浓度，mg/m</w:t>
      </w:r>
      <w:r>
        <w:rPr>
          <w:sz w:val="24"/>
          <w:vertAlign w:val="superscript"/>
        </w:rPr>
        <w:t>3</w:t>
      </w:r>
      <w:r>
        <w:rPr>
          <w:sz w:val="24"/>
        </w:rPr>
        <w:t>；</w:t>
      </w:r>
    </w:p>
    <w:p w14:paraId="7153C7EC">
      <w:pPr>
        <w:spacing w:line="360" w:lineRule="auto"/>
        <w:ind w:firstLine="1200" w:firstLineChars="500"/>
        <w:rPr>
          <w:sz w:val="24"/>
        </w:rPr>
      </w:pPr>
      <w:r>
        <w:rPr>
          <w:sz w:val="24"/>
        </w:rPr>
        <w:t>Co</w:t>
      </w:r>
      <w:r>
        <w:rPr>
          <w:sz w:val="24"/>
          <w:vertAlign w:val="subscript"/>
        </w:rPr>
        <w:t>i</w:t>
      </w:r>
      <w:r>
        <w:rPr>
          <w:sz w:val="24"/>
        </w:rPr>
        <w:t>—第i个污染物的环境空气质量标准，mg/m</w:t>
      </w:r>
      <w:r>
        <w:rPr>
          <w:sz w:val="24"/>
          <w:vertAlign w:val="superscript"/>
        </w:rPr>
        <w:t>3</w:t>
      </w:r>
      <w:r>
        <w:rPr>
          <w:sz w:val="24"/>
        </w:rPr>
        <w:t>。</w:t>
      </w:r>
    </w:p>
    <w:p w14:paraId="577D6525">
      <w:pPr>
        <w:spacing w:line="360" w:lineRule="auto"/>
        <w:ind w:firstLine="480" w:firstLineChars="200"/>
        <w:rPr>
          <w:sz w:val="24"/>
        </w:rPr>
      </w:pPr>
      <w:r>
        <w:rPr>
          <w:sz w:val="24"/>
        </w:rPr>
        <w:t>评价等级按下表的分级判据（表2.4-1）进行划分。</w:t>
      </w:r>
    </w:p>
    <w:p w14:paraId="74993B94">
      <w:pPr>
        <w:adjustRightInd w:val="0"/>
        <w:snapToGrid w:val="0"/>
        <w:spacing w:line="360" w:lineRule="auto"/>
        <w:jc w:val="center"/>
        <w:rPr>
          <w:b/>
        </w:rPr>
      </w:pPr>
      <w:r>
        <w:rPr>
          <w:b/>
        </w:rPr>
        <w:t>表2.4-1   评价工作分级判据</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6807"/>
      </w:tblGrid>
      <w:tr w14:paraId="2B21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1" w:type="dxa"/>
            <w:noWrap w:val="0"/>
            <w:vAlign w:val="center"/>
          </w:tcPr>
          <w:p w14:paraId="10DBB0B4">
            <w:pPr>
              <w:adjustRightInd w:val="0"/>
              <w:snapToGrid w:val="0"/>
              <w:jc w:val="center"/>
              <w:rPr>
                <w:szCs w:val="21"/>
              </w:rPr>
            </w:pPr>
            <w:r>
              <w:rPr>
                <w:szCs w:val="21"/>
              </w:rPr>
              <w:t>评价工作等级</w:t>
            </w:r>
          </w:p>
        </w:tc>
        <w:tc>
          <w:tcPr>
            <w:tcW w:w="6807" w:type="dxa"/>
            <w:noWrap w:val="0"/>
            <w:vAlign w:val="center"/>
          </w:tcPr>
          <w:p w14:paraId="751C2AD9">
            <w:pPr>
              <w:adjustRightInd w:val="0"/>
              <w:snapToGrid w:val="0"/>
              <w:ind w:left="420" w:hanging="420" w:hangingChars="200"/>
              <w:jc w:val="center"/>
              <w:rPr>
                <w:szCs w:val="21"/>
              </w:rPr>
            </w:pPr>
            <w:r>
              <w:rPr>
                <w:szCs w:val="21"/>
              </w:rPr>
              <w:t>评价工作分级判据</w:t>
            </w:r>
          </w:p>
        </w:tc>
      </w:tr>
      <w:tr w14:paraId="5A3C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1" w:type="dxa"/>
            <w:noWrap w:val="0"/>
            <w:vAlign w:val="center"/>
          </w:tcPr>
          <w:p w14:paraId="0C126C46">
            <w:pPr>
              <w:adjustRightInd w:val="0"/>
              <w:snapToGrid w:val="0"/>
              <w:jc w:val="center"/>
              <w:rPr>
                <w:szCs w:val="21"/>
              </w:rPr>
            </w:pPr>
            <w:r>
              <w:rPr>
                <w:szCs w:val="21"/>
              </w:rPr>
              <w:t>一级评价</w:t>
            </w:r>
          </w:p>
        </w:tc>
        <w:tc>
          <w:tcPr>
            <w:tcW w:w="6807" w:type="dxa"/>
            <w:noWrap w:val="0"/>
            <w:vAlign w:val="center"/>
          </w:tcPr>
          <w:p w14:paraId="23D9CC4E">
            <w:pPr>
              <w:adjustRightInd w:val="0"/>
              <w:snapToGrid w:val="0"/>
              <w:ind w:firstLine="420" w:firstLineChars="200"/>
              <w:jc w:val="center"/>
              <w:rPr>
                <w:szCs w:val="21"/>
              </w:rPr>
            </w:pPr>
            <w:r>
              <w:rPr>
                <w:szCs w:val="21"/>
              </w:rPr>
              <w:t>Pmax≧10%</w:t>
            </w:r>
          </w:p>
        </w:tc>
      </w:tr>
      <w:tr w14:paraId="5C59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1" w:type="dxa"/>
            <w:noWrap w:val="0"/>
            <w:vAlign w:val="center"/>
          </w:tcPr>
          <w:p w14:paraId="3565F1E7">
            <w:pPr>
              <w:adjustRightInd w:val="0"/>
              <w:snapToGrid w:val="0"/>
              <w:jc w:val="center"/>
              <w:rPr>
                <w:szCs w:val="21"/>
              </w:rPr>
            </w:pPr>
            <w:r>
              <w:rPr>
                <w:szCs w:val="21"/>
              </w:rPr>
              <w:t>二级评价</w:t>
            </w:r>
          </w:p>
        </w:tc>
        <w:tc>
          <w:tcPr>
            <w:tcW w:w="6807" w:type="dxa"/>
            <w:noWrap w:val="0"/>
            <w:vAlign w:val="center"/>
          </w:tcPr>
          <w:p w14:paraId="5FBD7036">
            <w:pPr>
              <w:adjustRightInd w:val="0"/>
              <w:snapToGrid w:val="0"/>
              <w:ind w:firstLine="420" w:firstLineChars="200"/>
              <w:jc w:val="center"/>
              <w:rPr>
                <w:szCs w:val="21"/>
              </w:rPr>
            </w:pPr>
            <w:r>
              <w:rPr>
                <w:szCs w:val="21"/>
              </w:rPr>
              <w:t>1%≦Pmax&lt;10%</w:t>
            </w:r>
          </w:p>
        </w:tc>
      </w:tr>
      <w:tr w14:paraId="493E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1" w:type="dxa"/>
            <w:noWrap w:val="0"/>
            <w:vAlign w:val="center"/>
          </w:tcPr>
          <w:p w14:paraId="62E1AE10">
            <w:pPr>
              <w:adjustRightInd w:val="0"/>
              <w:snapToGrid w:val="0"/>
              <w:jc w:val="center"/>
              <w:rPr>
                <w:szCs w:val="21"/>
              </w:rPr>
            </w:pPr>
            <w:r>
              <w:rPr>
                <w:szCs w:val="21"/>
              </w:rPr>
              <w:t>三级评价</w:t>
            </w:r>
          </w:p>
        </w:tc>
        <w:tc>
          <w:tcPr>
            <w:tcW w:w="6807" w:type="dxa"/>
            <w:noWrap w:val="0"/>
            <w:vAlign w:val="center"/>
          </w:tcPr>
          <w:p w14:paraId="0141ECFA">
            <w:pPr>
              <w:adjustRightInd w:val="0"/>
              <w:snapToGrid w:val="0"/>
              <w:ind w:firstLine="420" w:firstLineChars="200"/>
              <w:jc w:val="center"/>
              <w:rPr>
                <w:szCs w:val="21"/>
              </w:rPr>
            </w:pPr>
            <w:r>
              <w:rPr>
                <w:szCs w:val="21"/>
              </w:rPr>
              <w:t>Pmax&lt;1%</w:t>
            </w:r>
          </w:p>
        </w:tc>
      </w:tr>
    </w:tbl>
    <w:p w14:paraId="1D1DBA46">
      <w:pPr>
        <w:spacing w:line="360" w:lineRule="auto"/>
        <w:ind w:firstLine="480"/>
        <w:rPr>
          <w:sz w:val="24"/>
        </w:rPr>
      </w:pPr>
      <w:r>
        <w:rPr>
          <w:sz w:val="24"/>
        </w:rPr>
        <w:t>估算模式所用参数见表2.4-2。</w:t>
      </w:r>
    </w:p>
    <w:p w14:paraId="543D0CB6">
      <w:pPr>
        <w:spacing w:line="360" w:lineRule="auto"/>
        <w:ind w:firstLine="482"/>
        <w:jc w:val="center"/>
        <w:rPr>
          <w:b/>
          <w:szCs w:val="21"/>
        </w:rPr>
      </w:pPr>
      <w:r>
        <w:rPr>
          <w:b/>
          <w:szCs w:val="21"/>
        </w:rPr>
        <w:t>表2.4-2    估算模型参数表</w:t>
      </w:r>
    </w:p>
    <w:tbl>
      <w:tblPr>
        <w:tblStyle w:val="8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02"/>
        <w:gridCol w:w="2654"/>
        <w:gridCol w:w="3572"/>
      </w:tblGrid>
      <w:tr w14:paraId="6164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84" w:hRule="atLeast"/>
          <w:jc w:val="center"/>
        </w:trPr>
        <w:tc>
          <w:tcPr>
            <w:tcW w:w="4956" w:type="dxa"/>
            <w:gridSpan w:val="2"/>
            <w:noWrap w:val="0"/>
            <w:vAlign w:val="center"/>
          </w:tcPr>
          <w:p w14:paraId="5D9634D7">
            <w:pPr>
              <w:snapToGrid w:val="0"/>
              <w:ind w:left="133"/>
              <w:jc w:val="center"/>
              <w:rPr>
                <w:spacing w:val="-1"/>
                <w:szCs w:val="21"/>
              </w:rPr>
            </w:pPr>
            <w:r>
              <w:rPr>
                <w:spacing w:val="-1"/>
                <w:szCs w:val="21"/>
              </w:rPr>
              <w:t>参数</w:t>
            </w:r>
          </w:p>
        </w:tc>
        <w:tc>
          <w:tcPr>
            <w:tcW w:w="3572" w:type="dxa"/>
            <w:noWrap w:val="0"/>
            <w:vAlign w:val="center"/>
          </w:tcPr>
          <w:p w14:paraId="6FC2BC35">
            <w:pPr>
              <w:snapToGrid w:val="0"/>
              <w:ind w:left="133"/>
              <w:jc w:val="center"/>
              <w:rPr>
                <w:spacing w:val="-1"/>
                <w:szCs w:val="21"/>
              </w:rPr>
            </w:pPr>
            <w:r>
              <w:rPr>
                <w:spacing w:val="-1"/>
                <w:szCs w:val="21"/>
              </w:rPr>
              <w:t>取值</w:t>
            </w:r>
          </w:p>
        </w:tc>
      </w:tr>
      <w:tr w14:paraId="4E72E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restart"/>
            <w:noWrap w:val="0"/>
            <w:vAlign w:val="center"/>
          </w:tcPr>
          <w:p w14:paraId="50FBD3CB">
            <w:pPr>
              <w:snapToGrid w:val="0"/>
              <w:ind w:left="133"/>
              <w:jc w:val="center"/>
              <w:rPr>
                <w:spacing w:val="-1"/>
                <w:szCs w:val="21"/>
              </w:rPr>
            </w:pPr>
            <w:r>
              <w:rPr>
                <w:spacing w:val="-1"/>
                <w:szCs w:val="21"/>
              </w:rPr>
              <w:t>城市农村/选项</w:t>
            </w:r>
          </w:p>
        </w:tc>
        <w:tc>
          <w:tcPr>
            <w:tcW w:w="2654" w:type="dxa"/>
            <w:noWrap w:val="0"/>
            <w:vAlign w:val="center"/>
          </w:tcPr>
          <w:p w14:paraId="2CDB5DB5">
            <w:pPr>
              <w:snapToGrid w:val="0"/>
              <w:ind w:left="133"/>
              <w:jc w:val="center"/>
              <w:rPr>
                <w:spacing w:val="-1"/>
                <w:szCs w:val="21"/>
              </w:rPr>
            </w:pPr>
            <w:r>
              <w:rPr>
                <w:spacing w:val="-1"/>
                <w:szCs w:val="21"/>
              </w:rPr>
              <w:t>城市/农村</w:t>
            </w:r>
          </w:p>
        </w:tc>
        <w:tc>
          <w:tcPr>
            <w:tcW w:w="3572" w:type="dxa"/>
            <w:noWrap w:val="0"/>
            <w:vAlign w:val="center"/>
          </w:tcPr>
          <w:p w14:paraId="451F15DC">
            <w:pPr>
              <w:snapToGrid w:val="0"/>
              <w:ind w:left="133"/>
              <w:jc w:val="center"/>
              <w:rPr>
                <w:spacing w:val="-1"/>
                <w:szCs w:val="21"/>
              </w:rPr>
            </w:pPr>
            <w:r>
              <w:rPr>
                <w:spacing w:val="-1"/>
                <w:szCs w:val="21"/>
              </w:rPr>
              <w:t>农村</w:t>
            </w:r>
          </w:p>
        </w:tc>
      </w:tr>
      <w:tr w14:paraId="39655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38E46678">
            <w:pPr>
              <w:snapToGrid w:val="0"/>
              <w:ind w:left="133"/>
              <w:jc w:val="center"/>
              <w:rPr>
                <w:spacing w:val="-1"/>
                <w:szCs w:val="21"/>
              </w:rPr>
            </w:pPr>
          </w:p>
        </w:tc>
        <w:tc>
          <w:tcPr>
            <w:tcW w:w="2654" w:type="dxa"/>
            <w:noWrap w:val="0"/>
            <w:vAlign w:val="center"/>
          </w:tcPr>
          <w:p w14:paraId="7222F043">
            <w:pPr>
              <w:snapToGrid w:val="0"/>
              <w:ind w:left="133"/>
              <w:jc w:val="center"/>
              <w:rPr>
                <w:spacing w:val="-1"/>
                <w:szCs w:val="21"/>
              </w:rPr>
            </w:pPr>
            <w:r>
              <w:rPr>
                <w:spacing w:val="-1"/>
                <w:szCs w:val="21"/>
              </w:rPr>
              <w:t>人口数(城市人口数)</w:t>
            </w:r>
          </w:p>
        </w:tc>
        <w:tc>
          <w:tcPr>
            <w:tcW w:w="3572" w:type="dxa"/>
            <w:noWrap w:val="0"/>
            <w:vAlign w:val="center"/>
          </w:tcPr>
          <w:p w14:paraId="77C3A7BD">
            <w:pPr>
              <w:snapToGrid w:val="0"/>
              <w:ind w:left="133"/>
              <w:jc w:val="center"/>
              <w:rPr>
                <w:spacing w:val="-1"/>
                <w:szCs w:val="21"/>
              </w:rPr>
            </w:pPr>
            <w:r>
              <w:rPr>
                <w:spacing w:val="-1"/>
                <w:szCs w:val="21"/>
              </w:rPr>
              <w:t>/</w:t>
            </w:r>
          </w:p>
        </w:tc>
      </w:tr>
      <w:tr w14:paraId="73FF0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35904911">
            <w:pPr>
              <w:snapToGrid w:val="0"/>
              <w:ind w:left="133"/>
              <w:jc w:val="center"/>
              <w:rPr>
                <w:spacing w:val="-1"/>
                <w:szCs w:val="21"/>
              </w:rPr>
            </w:pPr>
            <w:r>
              <w:rPr>
                <w:spacing w:val="-1"/>
                <w:szCs w:val="21"/>
              </w:rPr>
              <w:t>最高环境温度</w:t>
            </w:r>
          </w:p>
        </w:tc>
        <w:tc>
          <w:tcPr>
            <w:tcW w:w="3572" w:type="dxa"/>
            <w:noWrap w:val="0"/>
            <w:vAlign w:val="center"/>
          </w:tcPr>
          <w:p w14:paraId="2F3A1B4F">
            <w:pPr>
              <w:snapToGrid w:val="0"/>
              <w:ind w:left="133"/>
              <w:jc w:val="center"/>
              <w:rPr>
                <w:spacing w:val="-1"/>
                <w:szCs w:val="21"/>
              </w:rPr>
            </w:pPr>
            <w:r>
              <w:rPr>
                <w:spacing w:val="-1"/>
                <w:szCs w:val="21"/>
              </w:rPr>
              <w:t>20.7°C</w:t>
            </w:r>
          </w:p>
        </w:tc>
      </w:tr>
      <w:tr w14:paraId="1BF54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4A6B98CD">
            <w:pPr>
              <w:snapToGrid w:val="0"/>
              <w:ind w:left="133"/>
              <w:jc w:val="center"/>
              <w:rPr>
                <w:spacing w:val="-1"/>
                <w:szCs w:val="21"/>
              </w:rPr>
            </w:pPr>
            <w:r>
              <w:rPr>
                <w:spacing w:val="-1"/>
                <w:szCs w:val="21"/>
              </w:rPr>
              <w:t>最低环境温度</w:t>
            </w:r>
          </w:p>
        </w:tc>
        <w:tc>
          <w:tcPr>
            <w:tcW w:w="3572" w:type="dxa"/>
            <w:noWrap w:val="0"/>
            <w:vAlign w:val="center"/>
          </w:tcPr>
          <w:p w14:paraId="36D00A53">
            <w:pPr>
              <w:snapToGrid w:val="0"/>
              <w:ind w:left="133"/>
              <w:jc w:val="center"/>
              <w:rPr>
                <w:spacing w:val="-1"/>
                <w:szCs w:val="21"/>
              </w:rPr>
            </w:pPr>
            <w:r>
              <w:rPr>
                <w:spacing w:val="-1"/>
                <w:szCs w:val="21"/>
              </w:rPr>
              <w:t>-3.4°C</w:t>
            </w:r>
          </w:p>
        </w:tc>
      </w:tr>
      <w:tr w14:paraId="0049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3AE3A1FE">
            <w:pPr>
              <w:snapToGrid w:val="0"/>
              <w:ind w:left="133"/>
              <w:jc w:val="center"/>
              <w:rPr>
                <w:spacing w:val="-1"/>
                <w:szCs w:val="21"/>
              </w:rPr>
            </w:pPr>
            <w:r>
              <w:rPr>
                <w:spacing w:val="-1"/>
                <w:szCs w:val="21"/>
              </w:rPr>
              <w:t>土地利用类型</w:t>
            </w:r>
          </w:p>
        </w:tc>
        <w:tc>
          <w:tcPr>
            <w:tcW w:w="3572" w:type="dxa"/>
            <w:noWrap w:val="0"/>
            <w:vAlign w:val="center"/>
          </w:tcPr>
          <w:p w14:paraId="148FABC0">
            <w:pPr>
              <w:snapToGrid w:val="0"/>
              <w:ind w:left="133"/>
              <w:jc w:val="center"/>
              <w:rPr>
                <w:spacing w:val="-1"/>
                <w:szCs w:val="21"/>
              </w:rPr>
            </w:pPr>
            <w:r>
              <w:rPr>
                <w:spacing w:val="-1"/>
                <w:szCs w:val="21"/>
              </w:rPr>
              <w:t>农田</w:t>
            </w:r>
          </w:p>
        </w:tc>
      </w:tr>
      <w:tr w14:paraId="28D44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4450639E">
            <w:pPr>
              <w:snapToGrid w:val="0"/>
              <w:ind w:left="133"/>
              <w:jc w:val="center"/>
              <w:rPr>
                <w:spacing w:val="-1"/>
                <w:szCs w:val="21"/>
              </w:rPr>
            </w:pPr>
            <w:r>
              <w:rPr>
                <w:spacing w:val="-1"/>
                <w:szCs w:val="21"/>
              </w:rPr>
              <w:t>区域湿度条件</w:t>
            </w:r>
          </w:p>
        </w:tc>
        <w:tc>
          <w:tcPr>
            <w:tcW w:w="3572" w:type="dxa"/>
            <w:noWrap w:val="0"/>
            <w:vAlign w:val="center"/>
          </w:tcPr>
          <w:p w14:paraId="02CC504D">
            <w:pPr>
              <w:snapToGrid w:val="0"/>
              <w:ind w:left="133"/>
              <w:jc w:val="center"/>
              <w:rPr>
                <w:spacing w:val="-1"/>
                <w:szCs w:val="21"/>
              </w:rPr>
            </w:pPr>
            <w:r>
              <w:rPr>
                <w:spacing w:val="-1"/>
                <w:szCs w:val="21"/>
              </w:rPr>
              <w:t>潮湿</w:t>
            </w:r>
          </w:p>
        </w:tc>
      </w:tr>
      <w:tr w14:paraId="101C5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restart"/>
            <w:noWrap w:val="0"/>
            <w:vAlign w:val="center"/>
          </w:tcPr>
          <w:p w14:paraId="7C03DA08">
            <w:pPr>
              <w:snapToGrid w:val="0"/>
              <w:ind w:left="133"/>
              <w:jc w:val="center"/>
              <w:rPr>
                <w:spacing w:val="-1"/>
                <w:szCs w:val="21"/>
              </w:rPr>
            </w:pPr>
            <w:r>
              <w:rPr>
                <w:spacing w:val="-1"/>
                <w:szCs w:val="21"/>
              </w:rPr>
              <w:t>是否考虑地形</w:t>
            </w:r>
          </w:p>
        </w:tc>
        <w:tc>
          <w:tcPr>
            <w:tcW w:w="2654" w:type="dxa"/>
            <w:noWrap w:val="0"/>
            <w:vAlign w:val="center"/>
          </w:tcPr>
          <w:p w14:paraId="6D7D946F">
            <w:pPr>
              <w:snapToGrid w:val="0"/>
              <w:ind w:left="133"/>
              <w:jc w:val="center"/>
              <w:rPr>
                <w:spacing w:val="-1"/>
                <w:szCs w:val="21"/>
              </w:rPr>
            </w:pPr>
            <w:r>
              <w:rPr>
                <w:spacing w:val="-1"/>
                <w:szCs w:val="21"/>
              </w:rPr>
              <w:t>考虑地形</w:t>
            </w:r>
          </w:p>
        </w:tc>
        <w:tc>
          <w:tcPr>
            <w:tcW w:w="3572" w:type="dxa"/>
            <w:noWrap w:val="0"/>
            <w:vAlign w:val="center"/>
          </w:tcPr>
          <w:p w14:paraId="56B7EDC2">
            <w:pPr>
              <w:snapToGrid w:val="0"/>
              <w:ind w:left="133"/>
              <w:jc w:val="center"/>
              <w:rPr>
                <w:spacing w:val="-1"/>
                <w:szCs w:val="21"/>
              </w:rPr>
            </w:pPr>
            <w:r>
              <w:rPr>
                <w:spacing w:val="-1"/>
                <w:szCs w:val="21"/>
              </w:rPr>
              <w:t>是</w:t>
            </w:r>
          </w:p>
        </w:tc>
      </w:tr>
      <w:tr w14:paraId="2DD98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041961C8">
            <w:pPr>
              <w:snapToGrid w:val="0"/>
              <w:ind w:left="133"/>
              <w:jc w:val="center"/>
              <w:rPr>
                <w:spacing w:val="-1"/>
                <w:szCs w:val="21"/>
              </w:rPr>
            </w:pPr>
          </w:p>
        </w:tc>
        <w:tc>
          <w:tcPr>
            <w:tcW w:w="2654" w:type="dxa"/>
            <w:noWrap w:val="0"/>
            <w:vAlign w:val="center"/>
          </w:tcPr>
          <w:p w14:paraId="32B88CBA">
            <w:pPr>
              <w:snapToGrid w:val="0"/>
              <w:ind w:left="133"/>
              <w:jc w:val="center"/>
              <w:rPr>
                <w:spacing w:val="-1"/>
                <w:szCs w:val="21"/>
              </w:rPr>
            </w:pPr>
            <w:r>
              <w:rPr>
                <w:spacing w:val="-1"/>
                <w:szCs w:val="21"/>
              </w:rPr>
              <w:t>地形数据分辨率(m)</w:t>
            </w:r>
          </w:p>
        </w:tc>
        <w:tc>
          <w:tcPr>
            <w:tcW w:w="3572" w:type="dxa"/>
            <w:noWrap w:val="0"/>
            <w:vAlign w:val="center"/>
          </w:tcPr>
          <w:p w14:paraId="49614259">
            <w:pPr>
              <w:snapToGrid w:val="0"/>
              <w:ind w:left="133"/>
              <w:jc w:val="center"/>
              <w:rPr>
                <w:spacing w:val="-1"/>
                <w:szCs w:val="21"/>
              </w:rPr>
            </w:pPr>
            <w:r>
              <w:rPr>
                <w:spacing w:val="-1"/>
                <w:szCs w:val="21"/>
              </w:rPr>
              <w:t>90</w:t>
            </w:r>
          </w:p>
        </w:tc>
      </w:tr>
      <w:tr w14:paraId="6872B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restart"/>
            <w:noWrap w:val="0"/>
            <w:vAlign w:val="center"/>
          </w:tcPr>
          <w:p w14:paraId="736324B3">
            <w:pPr>
              <w:snapToGrid w:val="0"/>
              <w:ind w:left="133"/>
              <w:jc w:val="center"/>
              <w:rPr>
                <w:spacing w:val="-1"/>
                <w:szCs w:val="21"/>
              </w:rPr>
            </w:pPr>
            <w:r>
              <w:rPr>
                <w:spacing w:val="-1"/>
                <w:szCs w:val="21"/>
              </w:rPr>
              <w:t>是否考虑岸线熏烟</w:t>
            </w:r>
          </w:p>
        </w:tc>
        <w:tc>
          <w:tcPr>
            <w:tcW w:w="2654" w:type="dxa"/>
            <w:noWrap w:val="0"/>
            <w:vAlign w:val="center"/>
          </w:tcPr>
          <w:p w14:paraId="51DA53FA">
            <w:pPr>
              <w:snapToGrid w:val="0"/>
              <w:ind w:left="133"/>
              <w:jc w:val="center"/>
              <w:rPr>
                <w:spacing w:val="-1"/>
                <w:szCs w:val="21"/>
              </w:rPr>
            </w:pPr>
            <w:r>
              <w:rPr>
                <w:spacing w:val="-1"/>
                <w:szCs w:val="21"/>
              </w:rPr>
              <w:t>考虑岸线熏烟</w:t>
            </w:r>
          </w:p>
        </w:tc>
        <w:tc>
          <w:tcPr>
            <w:tcW w:w="3572" w:type="dxa"/>
            <w:noWrap w:val="0"/>
            <w:vAlign w:val="center"/>
          </w:tcPr>
          <w:p w14:paraId="283618B0">
            <w:pPr>
              <w:snapToGrid w:val="0"/>
              <w:ind w:left="133"/>
              <w:jc w:val="center"/>
              <w:rPr>
                <w:spacing w:val="-1"/>
                <w:szCs w:val="21"/>
              </w:rPr>
            </w:pPr>
            <w:r>
              <w:rPr>
                <w:spacing w:val="-1"/>
                <w:szCs w:val="21"/>
              </w:rPr>
              <w:t>否</w:t>
            </w:r>
          </w:p>
        </w:tc>
      </w:tr>
      <w:tr w14:paraId="4A419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1832285D">
            <w:pPr>
              <w:snapToGrid w:val="0"/>
              <w:ind w:left="133"/>
              <w:jc w:val="center"/>
              <w:rPr>
                <w:spacing w:val="-1"/>
                <w:szCs w:val="21"/>
              </w:rPr>
            </w:pPr>
          </w:p>
        </w:tc>
        <w:tc>
          <w:tcPr>
            <w:tcW w:w="2654" w:type="dxa"/>
            <w:noWrap w:val="0"/>
            <w:vAlign w:val="center"/>
          </w:tcPr>
          <w:p w14:paraId="3FEEC321">
            <w:pPr>
              <w:snapToGrid w:val="0"/>
              <w:ind w:left="133"/>
              <w:jc w:val="center"/>
              <w:rPr>
                <w:spacing w:val="-1"/>
                <w:szCs w:val="21"/>
              </w:rPr>
            </w:pPr>
            <w:r>
              <w:rPr>
                <w:spacing w:val="-1"/>
                <w:szCs w:val="21"/>
              </w:rPr>
              <w:t>岸线距离/km</w:t>
            </w:r>
          </w:p>
        </w:tc>
        <w:tc>
          <w:tcPr>
            <w:tcW w:w="3572" w:type="dxa"/>
            <w:noWrap w:val="0"/>
            <w:vAlign w:val="center"/>
          </w:tcPr>
          <w:p w14:paraId="5273824C">
            <w:pPr>
              <w:snapToGrid w:val="0"/>
              <w:ind w:left="133"/>
              <w:jc w:val="center"/>
              <w:rPr>
                <w:spacing w:val="-1"/>
                <w:szCs w:val="21"/>
              </w:rPr>
            </w:pPr>
            <w:r>
              <w:rPr>
                <w:spacing w:val="-1"/>
                <w:szCs w:val="21"/>
              </w:rPr>
              <w:t>/</w:t>
            </w:r>
          </w:p>
        </w:tc>
      </w:tr>
      <w:tr w14:paraId="16E12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0C945C89">
            <w:pPr>
              <w:snapToGrid w:val="0"/>
              <w:ind w:left="133"/>
              <w:jc w:val="center"/>
              <w:rPr>
                <w:spacing w:val="-1"/>
                <w:szCs w:val="21"/>
              </w:rPr>
            </w:pPr>
          </w:p>
        </w:tc>
        <w:tc>
          <w:tcPr>
            <w:tcW w:w="2654" w:type="dxa"/>
            <w:noWrap w:val="0"/>
            <w:vAlign w:val="center"/>
          </w:tcPr>
          <w:p w14:paraId="7709FFCA">
            <w:pPr>
              <w:snapToGrid w:val="0"/>
              <w:ind w:left="133"/>
              <w:jc w:val="center"/>
              <w:rPr>
                <w:spacing w:val="-1"/>
                <w:szCs w:val="21"/>
              </w:rPr>
            </w:pPr>
            <w:r>
              <w:rPr>
                <w:spacing w:val="-1"/>
                <w:szCs w:val="21"/>
              </w:rPr>
              <w:t>岸线方向/°</w:t>
            </w:r>
          </w:p>
        </w:tc>
        <w:tc>
          <w:tcPr>
            <w:tcW w:w="3572" w:type="dxa"/>
            <w:noWrap w:val="0"/>
            <w:vAlign w:val="center"/>
          </w:tcPr>
          <w:p w14:paraId="574802F3">
            <w:pPr>
              <w:snapToGrid w:val="0"/>
              <w:ind w:left="133"/>
              <w:jc w:val="center"/>
              <w:rPr>
                <w:spacing w:val="-1"/>
                <w:szCs w:val="21"/>
              </w:rPr>
            </w:pPr>
            <w:r>
              <w:rPr>
                <w:spacing w:val="-1"/>
                <w:szCs w:val="21"/>
              </w:rPr>
              <w:t>/</w:t>
            </w:r>
          </w:p>
        </w:tc>
      </w:tr>
    </w:tbl>
    <w:p w14:paraId="4CD73673">
      <w:pPr>
        <w:spacing w:line="500" w:lineRule="exact"/>
        <w:ind w:firstLine="480" w:firstLineChars="200"/>
        <w:rPr>
          <w:sz w:val="24"/>
        </w:rPr>
      </w:pPr>
      <w:r>
        <w:rPr>
          <w:sz w:val="24"/>
        </w:rPr>
        <w:t>判定结果</w:t>
      </w:r>
    </w:p>
    <w:p w14:paraId="6A2047D6">
      <w:pPr>
        <w:spacing w:line="480" w:lineRule="exact"/>
        <w:ind w:firstLine="482"/>
        <w:rPr>
          <w:sz w:val="24"/>
        </w:rPr>
      </w:pPr>
      <w:r>
        <w:rPr>
          <w:sz w:val="24"/>
        </w:rPr>
        <w:t>通过对项目进行初步工程分析，本项目废气排放源点源主要为沼气燃烧、无害化处理车间废气；面源主要为养殖场、粪污处理区等。</w:t>
      </w:r>
    </w:p>
    <w:p w14:paraId="44A2120F">
      <w:pPr>
        <w:tabs>
          <w:tab w:val="left" w:pos="900"/>
          <w:tab w:val="left" w:pos="2770"/>
        </w:tabs>
        <w:spacing w:line="500" w:lineRule="exact"/>
        <w:jc w:val="center"/>
        <w:rPr>
          <w:b/>
          <w:szCs w:val="21"/>
        </w:rPr>
      </w:pPr>
      <w:r>
        <w:rPr>
          <w:b/>
          <w:szCs w:val="21"/>
        </w:rPr>
        <w:t>表2.4-3估算模式参数取值及结果</w:t>
      </w:r>
    </w:p>
    <w:tbl>
      <w:tblPr>
        <w:tblStyle w:val="87"/>
        <w:tblW w:w="5000" w:type="pct"/>
        <w:tblInd w:w="0" w:type="dxa"/>
        <w:tblLayout w:type="fixed"/>
        <w:tblCellMar>
          <w:top w:w="0" w:type="dxa"/>
          <w:left w:w="108" w:type="dxa"/>
          <w:bottom w:w="0" w:type="dxa"/>
          <w:right w:w="108" w:type="dxa"/>
        </w:tblCellMar>
      </w:tblPr>
      <w:tblGrid>
        <w:gridCol w:w="555"/>
        <w:gridCol w:w="1802"/>
        <w:gridCol w:w="716"/>
        <w:gridCol w:w="1245"/>
        <w:gridCol w:w="981"/>
        <w:gridCol w:w="1245"/>
        <w:gridCol w:w="981"/>
        <w:gridCol w:w="496"/>
        <w:gridCol w:w="507"/>
      </w:tblGrid>
      <w:tr w14:paraId="5A47F5EA">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CCFC354">
            <w:pPr>
              <w:widowControl/>
              <w:jc w:val="center"/>
              <w:textAlignment w:val="center"/>
              <w:rPr>
                <w:b/>
                <w:bCs/>
                <w:szCs w:val="21"/>
              </w:rPr>
            </w:pPr>
            <w:r>
              <w:rPr>
                <w:b/>
                <w:bCs/>
                <w:kern w:val="0"/>
                <w:szCs w:val="21"/>
                <w:lang w:bidi="ar"/>
              </w:rPr>
              <w:t>所在位置</w:t>
            </w:r>
          </w:p>
        </w:tc>
        <w:tc>
          <w:tcPr>
            <w:tcW w:w="1055"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AAFD185">
            <w:pPr>
              <w:widowControl/>
              <w:jc w:val="center"/>
              <w:textAlignment w:val="center"/>
              <w:rPr>
                <w:b/>
                <w:bCs/>
                <w:szCs w:val="21"/>
              </w:rPr>
            </w:pPr>
            <w:r>
              <w:rPr>
                <w:b/>
                <w:bCs/>
                <w:kern w:val="0"/>
                <w:szCs w:val="21"/>
                <w:lang w:bidi="ar"/>
              </w:rPr>
              <w:t>污染源名称</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20F40DE">
            <w:pPr>
              <w:widowControl/>
              <w:jc w:val="center"/>
              <w:textAlignment w:val="center"/>
              <w:rPr>
                <w:b/>
                <w:bCs/>
                <w:szCs w:val="21"/>
              </w:rPr>
            </w:pPr>
            <w:r>
              <w:rPr>
                <w:b/>
                <w:bCs/>
                <w:kern w:val="0"/>
                <w:szCs w:val="21"/>
                <w:lang w:bidi="ar"/>
              </w:rPr>
              <w:t>离源距离(m)</w:t>
            </w:r>
          </w:p>
        </w:tc>
        <w:tc>
          <w:tcPr>
            <w:tcW w:w="1305"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EA85DEF">
            <w:pPr>
              <w:widowControl/>
              <w:jc w:val="center"/>
              <w:textAlignment w:val="center"/>
              <w:rPr>
                <w:b/>
                <w:bCs/>
                <w:szCs w:val="21"/>
              </w:rPr>
            </w:pPr>
            <w:r>
              <w:rPr>
                <w:b/>
                <w:bCs/>
                <w:kern w:val="0"/>
                <w:szCs w:val="21"/>
                <w:lang w:bidi="ar"/>
              </w:rPr>
              <w:t>氨气</w:t>
            </w:r>
          </w:p>
        </w:tc>
        <w:tc>
          <w:tcPr>
            <w:tcW w:w="1305"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0749439">
            <w:pPr>
              <w:widowControl/>
              <w:jc w:val="center"/>
              <w:textAlignment w:val="center"/>
              <w:rPr>
                <w:b/>
                <w:bCs/>
                <w:szCs w:val="21"/>
              </w:rPr>
            </w:pPr>
            <w:r>
              <w:rPr>
                <w:b/>
                <w:bCs/>
                <w:kern w:val="0"/>
                <w:szCs w:val="21"/>
                <w:lang w:bidi="ar"/>
              </w:rPr>
              <w:t>硫化氢</w:t>
            </w:r>
          </w:p>
        </w:tc>
        <w:tc>
          <w:tcPr>
            <w:tcW w:w="291"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5B29C1D">
            <w:pPr>
              <w:widowControl/>
              <w:jc w:val="center"/>
              <w:textAlignment w:val="center"/>
              <w:rPr>
                <w:b/>
                <w:bCs/>
                <w:szCs w:val="21"/>
              </w:rPr>
            </w:pPr>
            <w:r>
              <w:rPr>
                <w:b/>
                <w:bCs/>
                <w:kern w:val="0"/>
                <w:szCs w:val="21"/>
                <w:lang w:bidi="ar"/>
              </w:rPr>
              <w:t>评价等级</w:t>
            </w:r>
          </w:p>
        </w:tc>
        <w:tc>
          <w:tcPr>
            <w:tcW w:w="297"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C2EE8D2">
            <w:pPr>
              <w:widowControl/>
              <w:jc w:val="center"/>
              <w:textAlignment w:val="center"/>
              <w:rPr>
                <w:b/>
                <w:bCs/>
                <w:szCs w:val="21"/>
              </w:rPr>
            </w:pPr>
            <w:r>
              <w:rPr>
                <w:b/>
                <w:bCs/>
                <w:kern w:val="0"/>
                <w:szCs w:val="21"/>
                <w:lang w:bidi="ar"/>
              </w:rPr>
              <w:t>D10%</w:t>
            </w:r>
          </w:p>
        </w:tc>
      </w:tr>
      <w:tr w14:paraId="039D3B18">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11E42AD">
            <w:pPr>
              <w:jc w:val="center"/>
              <w:rPr>
                <w:b/>
                <w:bCs/>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E645CEA">
            <w:pPr>
              <w:jc w:val="center"/>
              <w:rPr>
                <w:b/>
                <w:bCs/>
                <w:szCs w:val="21"/>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6EF8F2">
            <w:pPr>
              <w:jc w:val="center"/>
              <w:rPr>
                <w:b/>
                <w:bCs/>
                <w:szCs w:val="21"/>
              </w:rPr>
            </w:pPr>
          </w:p>
        </w:tc>
        <w:tc>
          <w:tcPr>
            <w:tcW w:w="73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20C80F2">
            <w:pPr>
              <w:widowControl/>
              <w:jc w:val="center"/>
              <w:textAlignment w:val="center"/>
              <w:rPr>
                <w:b/>
                <w:bCs/>
                <w:szCs w:val="21"/>
              </w:rPr>
            </w:pPr>
            <w:r>
              <w:rPr>
                <w:b/>
                <w:bCs/>
                <w:kern w:val="0"/>
                <w:szCs w:val="21"/>
                <w:lang w:bidi="ar"/>
              </w:rPr>
              <w:t>最大落地浓度（ug/m</w:t>
            </w:r>
            <w:r>
              <w:rPr>
                <w:b/>
                <w:bCs/>
                <w:kern w:val="0"/>
                <w:szCs w:val="21"/>
                <w:vertAlign w:val="superscript"/>
                <w:lang w:bidi="ar"/>
              </w:rPr>
              <w:t>3</w:t>
            </w:r>
            <w:r>
              <w:rPr>
                <w:b/>
                <w:bCs/>
                <w:kern w:val="0"/>
                <w:szCs w:val="21"/>
                <w:lang w:bidi="ar"/>
              </w:rPr>
              <w:t>）</w:t>
            </w:r>
          </w:p>
        </w:tc>
        <w:tc>
          <w:tcPr>
            <w:tcW w:w="57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23084C3">
            <w:pPr>
              <w:widowControl/>
              <w:jc w:val="center"/>
              <w:textAlignment w:val="center"/>
              <w:rPr>
                <w:b/>
                <w:bCs/>
                <w:szCs w:val="21"/>
              </w:rPr>
            </w:pPr>
            <w:r>
              <w:rPr>
                <w:b/>
                <w:bCs/>
                <w:kern w:val="0"/>
                <w:szCs w:val="21"/>
                <w:lang w:bidi="ar"/>
              </w:rPr>
              <w:t>最大占标率（%）</w:t>
            </w:r>
          </w:p>
        </w:tc>
        <w:tc>
          <w:tcPr>
            <w:tcW w:w="73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680F3F9">
            <w:pPr>
              <w:widowControl/>
              <w:jc w:val="center"/>
              <w:textAlignment w:val="center"/>
              <w:rPr>
                <w:b/>
                <w:bCs/>
                <w:szCs w:val="21"/>
              </w:rPr>
            </w:pPr>
            <w:r>
              <w:rPr>
                <w:b/>
                <w:bCs/>
                <w:kern w:val="0"/>
                <w:szCs w:val="21"/>
                <w:lang w:bidi="ar"/>
              </w:rPr>
              <w:t>最大落地浓度（ug/m</w:t>
            </w:r>
            <w:r>
              <w:rPr>
                <w:b/>
                <w:bCs/>
                <w:kern w:val="0"/>
                <w:szCs w:val="21"/>
                <w:vertAlign w:val="superscript"/>
                <w:lang w:bidi="ar"/>
              </w:rPr>
              <w:t>3</w:t>
            </w:r>
            <w:r>
              <w:rPr>
                <w:b/>
                <w:bCs/>
                <w:kern w:val="0"/>
                <w:szCs w:val="21"/>
                <w:lang w:bidi="ar"/>
              </w:rPr>
              <w:t>）</w:t>
            </w:r>
          </w:p>
        </w:tc>
        <w:tc>
          <w:tcPr>
            <w:tcW w:w="57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4ECD76A">
            <w:pPr>
              <w:widowControl/>
              <w:jc w:val="center"/>
              <w:textAlignment w:val="center"/>
              <w:rPr>
                <w:b/>
                <w:bCs/>
                <w:szCs w:val="21"/>
              </w:rPr>
            </w:pPr>
            <w:r>
              <w:rPr>
                <w:b/>
                <w:bCs/>
                <w:kern w:val="0"/>
                <w:szCs w:val="21"/>
                <w:lang w:bidi="ar"/>
              </w:rPr>
              <w:t>最大占标率（%）</w:t>
            </w:r>
          </w:p>
        </w:tc>
        <w:tc>
          <w:tcPr>
            <w:tcW w:w="291"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83BEB17">
            <w:pPr>
              <w:jc w:val="center"/>
              <w:rPr>
                <w:b/>
                <w:bCs/>
                <w:szCs w:val="21"/>
              </w:rPr>
            </w:pP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E42FD3C">
            <w:pPr>
              <w:jc w:val="center"/>
              <w:rPr>
                <w:b/>
                <w:bCs/>
                <w:szCs w:val="21"/>
              </w:rPr>
            </w:pPr>
          </w:p>
        </w:tc>
      </w:tr>
      <w:tr w14:paraId="148674D2">
        <w:tblPrEx>
          <w:tblCellMar>
            <w:top w:w="0" w:type="dxa"/>
            <w:left w:w="108" w:type="dxa"/>
            <w:bottom w:w="0" w:type="dxa"/>
            <w:right w:w="108" w:type="dxa"/>
          </w:tblCellMar>
        </w:tblPrEx>
        <w:trPr>
          <w:trHeight w:val="300" w:hRule="atLeast"/>
        </w:trPr>
        <w:tc>
          <w:tcPr>
            <w:tcW w:w="325" w:type="pct"/>
            <w:tcBorders>
              <w:top w:val="single" w:color="000000" w:sz="4" w:space="0"/>
              <w:left w:val="single" w:color="000000" w:sz="4" w:space="0"/>
              <w:bottom w:val="single" w:color="000000" w:sz="4" w:space="0"/>
              <w:right w:val="single" w:color="000000" w:sz="4" w:space="0"/>
            </w:tcBorders>
            <w:noWrap/>
            <w:vAlign w:val="center"/>
          </w:tcPr>
          <w:p w14:paraId="203B76B4">
            <w:pPr>
              <w:widowControl/>
              <w:jc w:val="center"/>
              <w:textAlignment w:val="center"/>
              <w:rPr>
                <w:szCs w:val="21"/>
              </w:rPr>
            </w:pPr>
            <w:r>
              <w:rPr>
                <w:kern w:val="0"/>
                <w:szCs w:val="21"/>
                <w:lang w:bidi="ar"/>
              </w:rPr>
              <w:t>4号地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EA8267D">
            <w:pPr>
              <w:widowControl/>
              <w:jc w:val="center"/>
              <w:textAlignment w:val="center"/>
              <w:rPr>
                <w:szCs w:val="21"/>
              </w:rPr>
            </w:pPr>
            <w:r>
              <w:rPr>
                <w:kern w:val="0"/>
                <w:szCs w:val="21"/>
                <w:lang w:bidi="ar"/>
              </w:rPr>
              <w:t>无害化处理车间废气</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00E8983">
            <w:pPr>
              <w:widowControl/>
              <w:jc w:val="center"/>
              <w:textAlignment w:val="center"/>
              <w:rPr>
                <w:szCs w:val="21"/>
              </w:rPr>
            </w:pPr>
            <w:r>
              <w:rPr>
                <w:kern w:val="0"/>
                <w:szCs w:val="21"/>
                <w:lang w:bidi="ar"/>
              </w:rPr>
              <w:t>246</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6236E96">
            <w:pPr>
              <w:widowControl/>
              <w:jc w:val="center"/>
              <w:textAlignment w:val="center"/>
              <w:rPr>
                <w:szCs w:val="21"/>
              </w:rPr>
            </w:pPr>
            <w:r>
              <w:rPr>
                <w:kern w:val="0"/>
                <w:szCs w:val="21"/>
                <w:lang w:bidi="ar"/>
              </w:rPr>
              <w:t>4.8774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711D148">
            <w:pPr>
              <w:widowControl/>
              <w:jc w:val="center"/>
              <w:textAlignment w:val="center"/>
              <w:rPr>
                <w:szCs w:val="21"/>
              </w:rPr>
            </w:pPr>
            <w:r>
              <w:rPr>
                <w:kern w:val="0"/>
                <w:szCs w:val="21"/>
                <w:lang w:bidi="ar"/>
              </w:rPr>
              <w:t>2.44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1D71CCE">
            <w:pPr>
              <w:widowControl/>
              <w:jc w:val="center"/>
              <w:textAlignment w:val="center"/>
              <w:rPr>
                <w:szCs w:val="21"/>
              </w:rPr>
            </w:pPr>
            <w:r>
              <w:rPr>
                <w:kern w:val="0"/>
                <w:szCs w:val="21"/>
                <w:lang w:bidi="ar"/>
              </w:rPr>
              <w:t>/</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A9B9BAA">
            <w:pPr>
              <w:widowControl/>
              <w:jc w:val="center"/>
              <w:textAlignment w:val="center"/>
              <w:rPr>
                <w:szCs w:val="21"/>
              </w:rPr>
            </w:pPr>
            <w:r>
              <w:rPr>
                <w:kern w:val="0"/>
                <w:szCs w:val="21"/>
                <w:lang w:bidi="ar"/>
              </w:rPr>
              <w:t>/</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531160E">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647EA91B">
            <w:pPr>
              <w:widowControl/>
              <w:jc w:val="center"/>
              <w:textAlignment w:val="center"/>
              <w:rPr>
                <w:szCs w:val="21"/>
              </w:rPr>
            </w:pPr>
            <w:r>
              <w:rPr>
                <w:kern w:val="0"/>
                <w:szCs w:val="21"/>
                <w:lang w:bidi="ar"/>
              </w:rPr>
              <w:t>不出现</w:t>
            </w:r>
          </w:p>
        </w:tc>
      </w:tr>
      <w:tr w14:paraId="6F0258C4">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1191857A">
            <w:pPr>
              <w:widowControl/>
              <w:jc w:val="center"/>
              <w:textAlignment w:val="center"/>
              <w:rPr>
                <w:szCs w:val="21"/>
              </w:rPr>
            </w:pPr>
            <w:r>
              <w:rPr>
                <w:kern w:val="0"/>
                <w:szCs w:val="21"/>
                <w:lang w:bidi="ar"/>
              </w:rPr>
              <w:t>1号地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3233D103">
            <w:pPr>
              <w:widowControl/>
              <w:jc w:val="center"/>
              <w:textAlignment w:val="center"/>
              <w:rPr>
                <w:szCs w:val="21"/>
              </w:rPr>
            </w:pPr>
            <w:r>
              <w:rPr>
                <w:kern w:val="0"/>
                <w:szCs w:val="21"/>
                <w:lang w:bidi="ar"/>
              </w:rPr>
              <w:t>盛丰通风井位置1号舍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E89A904">
            <w:pPr>
              <w:widowControl/>
              <w:jc w:val="center"/>
              <w:textAlignment w:val="center"/>
              <w:rPr>
                <w:szCs w:val="21"/>
              </w:rPr>
            </w:pPr>
            <w:r>
              <w:rPr>
                <w:kern w:val="0"/>
                <w:szCs w:val="21"/>
                <w:lang w:bidi="ar"/>
              </w:rPr>
              <w:t>47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A996E02">
            <w:pPr>
              <w:widowControl/>
              <w:jc w:val="center"/>
              <w:textAlignment w:val="center"/>
              <w:rPr>
                <w:szCs w:val="21"/>
              </w:rPr>
            </w:pPr>
            <w:r>
              <w:rPr>
                <w:kern w:val="0"/>
                <w:szCs w:val="21"/>
                <w:lang w:bidi="ar"/>
              </w:rPr>
              <w:t>8.8575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6A7C277">
            <w:pPr>
              <w:widowControl/>
              <w:jc w:val="center"/>
              <w:textAlignment w:val="center"/>
              <w:rPr>
                <w:szCs w:val="21"/>
              </w:rPr>
            </w:pPr>
            <w:r>
              <w:rPr>
                <w:kern w:val="0"/>
                <w:szCs w:val="21"/>
                <w:lang w:bidi="ar"/>
              </w:rPr>
              <w:t>4.43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F8F7FB9">
            <w:pPr>
              <w:widowControl/>
              <w:jc w:val="center"/>
              <w:textAlignment w:val="center"/>
              <w:rPr>
                <w:szCs w:val="21"/>
              </w:rPr>
            </w:pPr>
            <w:r>
              <w:rPr>
                <w:kern w:val="0"/>
                <w:szCs w:val="21"/>
                <w:lang w:bidi="ar"/>
              </w:rPr>
              <w:t>0.813444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FCBE9F6">
            <w:pPr>
              <w:widowControl/>
              <w:jc w:val="center"/>
              <w:textAlignment w:val="center"/>
              <w:rPr>
                <w:szCs w:val="21"/>
              </w:rPr>
            </w:pPr>
            <w:r>
              <w:rPr>
                <w:kern w:val="0"/>
                <w:szCs w:val="21"/>
                <w:lang w:bidi="ar"/>
              </w:rPr>
              <w:t>8.13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3D3A324">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3A345AE">
            <w:pPr>
              <w:widowControl/>
              <w:jc w:val="center"/>
              <w:textAlignment w:val="center"/>
              <w:rPr>
                <w:szCs w:val="21"/>
              </w:rPr>
            </w:pPr>
            <w:r>
              <w:rPr>
                <w:kern w:val="0"/>
                <w:szCs w:val="21"/>
                <w:lang w:bidi="ar"/>
              </w:rPr>
              <w:t>不出现</w:t>
            </w:r>
          </w:p>
        </w:tc>
      </w:tr>
      <w:tr w14:paraId="21BACBA8">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2CAE105">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9763BC8">
            <w:pPr>
              <w:widowControl/>
              <w:jc w:val="center"/>
              <w:textAlignment w:val="center"/>
              <w:rPr>
                <w:szCs w:val="21"/>
              </w:rPr>
            </w:pPr>
            <w:r>
              <w:rPr>
                <w:kern w:val="0"/>
                <w:szCs w:val="21"/>
                <w:lang w:bidi="ar"/>
              </w:rPr>
              <w:t>盛丰通风井位置2号舍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82B59F0">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5D2381D">
            <w:pPr>
              <w:widowControl/>
              <w:jc w:val="center"/>
              <w:textAlignment w:val="center"/>
              <w:rPr>
                <w:szCs w:val="21"/>
              </w:rPr>
            </w:pPr>
            <w:r>
              <w:rPr>
                <w:kern w:val="0"/>
                <w:szCs w:val="21"/>
                <w:lang w:bidi="ar"/>
              </w:rPr>
              <w:t>5.1074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D5A34B6">
            <w:pPr>
              <w:widowControl/>
              <w:jc w:val="center"/>
              <w:textAlignment w:val="center"/>
              <w:rPr>
                <w:szCs w:val="21"/>
              </w:rPr>
            </w:pPr>
            <w:r>
              <w:rPr>
                <w:kern w:val="0"/>
                <w:szCs w:val="21"/>
                <w:lang w:bidi="ar"/>
              </w:rPr>
              <w:t>2.55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4DACAFB">
            <w:pPr>
              <w:widowControl/>
              <w:jc w:val="center"/>
              <w:textAlignment w:val="center"/>
              <w:rPr>
                <w:szCs w:val="21"/>
              </w:rPr>
            </w:pPr>
            <w:r>
              <w:rPr>
                <w:kern w:val="0"/>
                <w:szCs w:val="21"/>
                <w:lang w:bidi="ar"/>
              </w:rPr>
              <w:t>0.414114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54C7394">
            <w:pPr>
              <w:widowControl/>
              <w:jc w:val="center"/>
              <w:textAlignment w:val="center"/>
              <w:rPr>
                <w:szCs w:val="21"/>
              </w:rPr>
            </w:pPr>
            <w:r>
              <w:rPr>
                <w:kern w:val="0"/>
                <w:szCs w:val="21"/>
                <w:lang w:bidi="ar"/>
              </w:rPr>
              <w:t>4.14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2436962">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0E14559">
            <w:pPr>
              <w:widowControl/>
              <w:jc w:val="center"/>
              <w:textAlignment w:val="center"/>
              <w:rPr>
                <w:szCs w:val="21"/>
              </w:rPr>
            </w:pPr>
            <w:r>
              <w:rPr>
                <w:kern w:val="0"/>
                <w:szCs w:val="21"/>
                <w:lang w:bidi="ar"/>
              </w:rPr>
              <w:t>不出现</w:t>
            </w:r>
          </w:p>
        </w:tc>
      </w:tr>
      <w:tr w14:paraId="33153FA8">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2116EA9">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B2D786A">
            <w:pPr>
              <w:widowControl/>
              <w:jc w:val="center"/>
              <w:textAlignment w:val="center"/>
              <w:rPr>
                <w:szCs w:val="21"/>
              </w:rPr>
            </w:pPr>
            <w:r>
              <w:rPr>
                <w:kern w:val="0"/>
                <w:szCs w:val="21"/>
                <w:lang w:bidi="ar"/>
              </w:rPr>
              <w:t>盛丰通风井养殖区堆肥间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11250D4">
            <w:pPr>
              <w:widowControl/>
              <w:jc w:val="center"/>
              <w:textAlignment w:val="center"/>
              <w:rPr>
                <w:szCs w:val="21"/>
              </w:rPr>
            </w:pPr>
            <w:r>
              <w:rPr>
                <w:kern w:val="0"/>
                <w:szCs w:val="21"/>
                <w:lang w:bidi="ar"/>
              </w:rPr>
              <w:t>14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64CE743">
            <w:pPr>
              <w:widowControl/>
              <w:jc w:val="center"/>
              <w:textAlignment w:val="center"/>
              <w:rPr>
                <w:szCs w:val="21"/>
              </w:rPr>
            </w:pPr>
            <w:r>
              <w:rPr>
                <w:kern w:val="0"/>
                <w:szCs w:val="21"/>
                <w:lang w:bidi="ar"/>
              </w:rPr>
              <w:t>10.698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842EAD9">
            <w:pPr>
              <w:widowControl/>
              <w:jc w:val="center"/>
              <w:textAlignment w:val="center"/>
              <w:rPr>
                <w:szCs w:val="21"/>
              </w:rPr>
            </w:pPr>
            <w:r>
              <w:rPr>
                <w:kern w:val="0"/>
                <w:szCs w:val="21"/>
                <w:lang w:bidi="ar"/>
              </w:rPr>
              <w:t>5.35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91A32DE">
            <w:pPr>
              <w:widowControl/>
              <w:jc w:val="center"/>
              <w:textAlignment w:val="center"/>
              <w:rPr>
                <w:szCs w:val="21"/>
              </w:rPr>
            </w:pPr>
            <w:r>
              <w:rPr>
                <w:kern w:val="0"/>
                <w:szCs w:val="21"/>
                <w:lang w:bidi="ar"/>
              </w:rPr>
              <w:t>0.608097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22E0030">
            <w:pPr>
              <w:widowControl/>
              <w:jc w:val="center"/>
              <w:textAlignment w:val="center"/>
              <w:rPr>
                <w:szCs w:val="21"/>
              </w:rPr>
            </w:pPr>
            <w:r>
              <w:rPr>
                <w:kern w:val="0"/>
                <w:szCs w:val="21"/>
                <w:lang w:bidi="ar"/>
              </w:rPr>
              <w:t>6.08</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152126C">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1181073">
            <w:pPr>
              <w:widowControl/>
              <w:jc w:val="center"/>
              <w:textAlignment w:val="center"/>
              <w:rPr>
                <w:szCs w:val="21"/>
              </w:rPr>
            </w:pPr>
            <w:r>
              <w:rPr>
                <w:kern w:val="0"/>
                <w:szCs w:val="21"/>
                <w:lang w:bidi="ar"/>
              </w:rPr>
              <w:t>不出现</w:t>
            </w:r>
          </w:p>
        </w:tc>
      </w:tr>
      <w:tr w14:paraId="731BDD06">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765DFB2">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1646135">
            <w:pPr>
              <w:widowControl/>
              <w:jc w:val="center"/>
              <w:textAlignment w:val="center"/>
              <w:rPr>
                <w:szCs w:val="21"/>
              </w:rPr>
            </w:pPr>
            <w:r>
              <w:rPr>
                <w:kern w:val="0"/>
                <w:szCs w:val="21"/>
                <w:lang w:bidi="ar"/>
              </w:rPr>
              <w:t>1号地盛丰通风井养殖区污水处理站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136CF18">
            <w:pPr>
              <w:widowControl/>
              <w:jc w:val="center"/>
              <w:textAlignment w:val="center"/>
              <w:rPr>
                <w:szCs w:val="21"/>
              </w:rPr>
            </w:pPr>
            <w:r>
              <w:rPr>
                <w:kern w:val="0"/>
                <w:szCs w:val="21"/>
                <w:lang w:bidi="ar"/>
              </w:rPr>
              <w:t>17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104AFCD">
            <w:pPr>
              <w:widowControl/>
              <w:jc w:val="center"/>
              <w:textAlignment w:val="center"/>
              <w:rPr>
                <w:szCs w:val="21"/>
              </w:rPr>
            </w:pPr>
            <w:r>
              <w:rPr>
                <w:kern w:val="0"/>
                <w:szCs w:val="21"/>
                <w:lang w:bidi="ar"/>
              </w:rPr>
              <w:t>0.64809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9997FC4">
            <w:pPr>
              <w:widowControl/>
              <w:jc w:val="center"/>
              <w:textAlignment w:val="center"/>
              <w:rPr>
                <w:szCs w:val="21"/>
              </w:rPr>
            </w:pPr>
            <w:r>
              <w:rPr>
                <w:kern w:val="0"/>
                <w:szCs w:val="21"/>
                <w:lang w:bidi="ar"/>
              </w:rPr>
              <w:t>0.32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192F139">
            <w:pPr>
              <w:widowControl/>
              <w:jc w:val="center"/>
              <w:textAlignment w:val="center"/>
              <w:rPr>
                <w:szCs w:val="21"/>
              </w:rPr>
            </w:pPr>
            <w:r>
              <w:rPr>
                <w:kern w:val="0"/>
                <w:szCs w:val="21"/>
                <w:lang w:bidi="ar"/>
              </w:rPr>
              <w:t>0.024303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4205331">
            <w:pPr>
              <w:widowControl/>
              <w:jc w:val="center"/>
              <w:textAlignment w:val="center"/>
              <w:rPr>
                <w:szCs w:val="21"/>
              </w:rPr>
            </w:pPr>
            <w:r>
              <w:rPr>
                <w:kern w:val="0"/>
                <w:szCs w:val="21"/>
                <w:lang w:bidi="ar"/>
              </w:rPr>
              <w:t>0.24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BCAD4E2">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5F7B576">
            <w:pPr>
              <w:widowControl/>
              <w:jc w:val="center"/>
              <w:textAlignment w:val="center"/>
              <w:rPr>
                <w:szCs w:val="21"/>
              </w:rPr>
            </w:pPr>
            <w:r>
              <w:rPr>
                <w:kern w:val="0"/>
                <w:szCs w:val="21"/>
                <w:lang w:bidi="ar"/>
              </w:rPr>
              <w:t>不出现</w:t>
            </w:r>
          </w:p>
        </w:tc>
      </w:tr>
      <w:tr w14:paraId="754687C6">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52352A79">
            <w:pPr>
              <w:widowControl/>
              <w:jc w:val="center"/>
              <w:textAlignment w:val="center"/>
              <w:rPr>
                <w:szCs w:val="21"/>
              </w:rPr>
            </w:pPr>
            <w:r>
              <w:rPr>
                <w:kern w:val="0"/>
                <w:szCs w:val="21"/>
                <w:lang w:bidi="ar"/>
              </w:rPr>
              <w:t>2号地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36BE033B">
            <w:pPr>
              <w:widowControl/>
              <w:jc w:val="center"/>
              <w:textAlignment w:val="center"/>
              <w:rPr>
                <w:szCs w:val="21"/>
              </w:rPr>
            </w:pPr>
            <w:r>
              <w:rPr>
                <w:kern w:val="0"/>
                <w:szCs w:val="21"/>
                <w:lang w:bidi="ar"/>
              </w:rPr>
              <w:t>盛丰焦化楼位置1号舍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DC6240F">
            <w:pPr>
              <w:widowControl/>
              <w:jc w:val="center"/>
              <w:textAlignment w:val="center"/>
              <w:rPr>
                <w:szCs w:val="21"/>
              </w:rPr>
            </w:pPr>
            <w:r>
              <w:rPr>
                <w:kern w:val="0"/>
                <w:szCs w:val="21"/>
                <w:lang w:bidi="ar"/>
              </w:rPr>
              <w:t>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DB22F56">
            <w:pPr>
              <w:widowControl/>
              <w:jc w:val="center"/>
              <w:textAlignment w:val="center"/>
              <w:rPr>
                <w:szCs w:val="21"/>
              </w:rPr>
            </w:pPr>
            <w:r>
              <w:rPr>
                <w:kern w:val="0"/>
                <w:szCs w:val="21"/>
                <w:lang w:bidi="ar"/>
              </w:rPr>
              <w:t>8.2509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759FEDD">
            <w:pPr>
              <w:widowControl/>
              <w:jc w:val="center"/>
              <w:textAlignment w:val="center"/>
              <w:rPr>
                <w:szCs w:val="21"/>
              </w:rPr>
            </w:pPr>
            <w:r>
              <w:rPr>
                <w:kern w:val="0"/>
                <w:szCs w:val="21"/>
                <w:lang w:bidi="ar"/>
              </w:rPr>
              <w:t>4.13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EF71139">
            <w:pPr>
              <w:widowControl/>
              <w:jc w:val="center"/>
              <w:textAlignment w:val="center"/>
              <w:rPr>
                <w:szCs w:val="21"/>
              </w:rPr>
            </w:pPr>
            <w:r>
              <w:rPr>
                <w:kern w:val="0"/>
                <w:szCs w:val="21"/>
                <w:lang w:bidi="ar"/>
              </w:rPr>
              <w:t>0.759951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47202CB">
            <w:pPr>
              <w:widowControl/>
              <w:jc w:val="center"/>
              <w:textAlignment w:val="center"/>
              <w:rPr>
                <w:szCs w:val="21"/>
              </w:rPr>
            </w:pPr>
            <w:r>
              <w:rPr>
                <w:kern w:val="0"/>
                <w:szCs w:val="21"/>
                <w:lang w:bidi="ar"/>
              </w:rPr>
              <w:t>7.6</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0EBC46A">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474E4E9">
            <w:pPr>
              <w:widowControl/>
              <w:jc w:val="center"/>
              <w:textAlignment w:val="center"/>
              <w:rPr>
                <w:szCs w:val="21"/>
              </w:rPr>
            </w:pPr>
            <w:r>
              <w:rPr>
                <w:kern w:val="0"/>
                <w:szCs w:val="21"/>
                <w:lang w:bidi="ar"/>
              </w:rPr>
              <w:t>不出现</w:t>
            </w:r>
          </w:p>
        </w:tc>
      </w:tr>
      <w:tr w14:paraId="6FC5A26F">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EBE2BE6">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47F8F00F">
            <w:pPr>
              <w:widowControl/>
              <w:jc w:val="center"/>
              <w:textAlignment w:val="center"/>
              <w:rPr>
                <w:szCs w:val="21"/>
              </w:rPr>
            </w:pPr>
            <w:r>
              <w:rPr>
                <w:kern w:val="0"/>
                <w:szCs w:val="21"/>
                <w:lang w:bidi="ar"/>
              </w:rPr>
              <w:t>盛丰焦化楼位置2号舍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5E4D4AA">
            <w:pPr>
              <w:widowControl/>
              <w:jc w:val="center"/>
              <w:textAlignment w:val="center"/>
              <w:rPr>
                <w:szCs w:val="21"/>
              </w:rPr>
            </w:pPr>
            <w:r>
              <w:rPr>
                <w:kern w:val="0"/>
                <w:szCs w:val="21"/>
                <w:lang w:bidi="ar"/>
              </w:rPr>
              <w:t>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D1BCE88">
            <w:pPr>
              <w:widowControl/>
              <w:jc w:val="center"/>
              <w:textAlignment w:val="center"/>
              <w:rPr>
                <w:szCs w:val="21"/>
              </w:rPr>
            </w:pPr>
            <w:r>
              <w:rPr>
                <w:kern w:val="0"/>
                <w:szCs w:val="21"/>
                <w:lang w:bidi="ar"/>
              </w:rPr>
              <w:t>11.575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73DEECC">
            <w:pPr>
              <w:widowControl/>
              <w:jc w:val="center"/>
              <w:textAlignment w:val="center"/>
              <w:rPr>
                <w:szCs w:val="21"/>
              </w:rPr>
            </w:pPr>
            <w:r>
              <w:rPr>
                <w:kern w:val="0"/>
                <w:szCs w:val="21"/>
                <w:lang w:bidi="ar"/>
              </w:rPr>
              <w:t>5.79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D552668">
            <w:pPr>
              <w:widowControl/>
              <w:jc w:val="center"/>
              <w:textAlignment w:val="center"/>
              <w:rPr>
                <w:szCs w:val="21"/>
              </w:rPr>
            </w:pPr>
            <w:r>
              <w:rPr>
                <w:kern w:val="0"/>
                <w:szCs w:val="21"/>
                <w:lang w:bidi="ar"/>
              </w:rPr>
              <w:t>0.982783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6ED0AA5">
            <w:pPr>
              <w:widowControl/>
              <w:jc w:val="center"/>
              <w:textAlignment w:val="center"/>
              <w:rPr>
                <w:szCs w:val="21"/>
              </w:rPr>
            </w:pPr>
            <w:r>
              <w:rPr>
                <w:kern w:val="0"/>
                <w:szCs w:val="21"/>
                <w:lang w:bidi="ar"/>
              </w:rPr>
              <w:t>9.83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38E2916">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63DBB90">
            <w:pPr>
              <w:widowControl/>
              <w:jc w:val="center"/>
              <w:textAlignment w:val="center"/>
              <w:rPr>
                <w:szCs w:val="21"/>
              </w:rPr>
            </w:pPr>
            <w:r>
              <w:rPr>
                <w:kern w:val="0"/>
                <w:szCs w:val="21"/>
                <w:lang w:bidi="ar"/>
              </w:rPr>
              <w:t>不出现</w:t>
            </w:r>
          </w:p>
        </w:tc>
      </w:tr>
      <w:tr w14:paraId="5C19A85A">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553BA58">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251BB1F">
            <w:pPr>
              <w:widowControl/>
              <w:jc w:val="center"/>
              <w:textAlignment w:val="center"/>
              <w:rPr>
                <w:szCs w:val="21"/>
              </w:rPr>
            </w:pPr>
            <w:r>
              <w:rPr>
                <w:kern w:val="0"/>
                <w:szCs w:val="21"/>
                <w:lang w:bidi="ar"/>
              </w:rPr>
              <w:t>球场位置1单元</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7948CC5">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B82DE2B">
            <w:pPr>
              <w:widowControl/>
              <w:jc w:val="center"/>
              <w:textAlignment w:val="center"/>
              <w:rPr>
                <w:szCs w:val="21"/>
              </w:rPr>
            </w:pPr>
            <w:r>
              <w:rPr>
                <w:kern w:val="0"/>
                <w:szCs w:val="21"/>
                <w:lang w:bidi="ar"/>
              </w:rPr>
              <w:t>5.4646</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222458C">
            <w:pPr>
              <w:widowControl/>
              <w:jc w:val="center"/>
              <w:textAlignment w:val="center"/>
              <w:rPr>
                <w:szCs w:val="21"/>
              </w:rPr>
            </w:pPr>
            <w:r>
              <w:rPr>
                <w:kern w:val="0"/>
                <w:szCs w:val="21"/>
                <w:lang w:bidi="ar"/>
              </w:rPr>
              <w:t>2.73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42F2712">
            <w:pPr>
              <w:widowControl/>
              <w:jc w:val="center"/>
              <w:textAlignment w:val="center"/>
              <w:rPr>
                <w:szCs w:val="21"/>
              </w:rPr>
            </w:pPr>
            <w:r>
              <w:rPr>
                <w:kern w:val="0"/>
                <w:szCs w:val="21"/>
                <w:lang w:bidi="ar"/>
              </w:rPr>
              <w:t>0.420354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FD72951">
            <w:pPr>
              <w:widowControl/>
              <w:jc w:val="center"/>
              <w:textAlignment w:val="center"/>
              <w:rPr>
                <w:szCs w:val="21"/>
              </w:rPr>
            </w:pPr>
            <w:r>
              <w:rPr>
                <w:kern w:val="0"/>
                <w:szCs w:val="21"/>
                <w:lang w:bidi="ar"/>
              </w:rPr>
              <w:t>4.2</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ED31F3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D918947">
            <w:pPr>
              <w:widowControl/>
              <w:jc w:val="center"/>
              <w:textAlignment w:val="center"/>
              <w:rPr>
                <w:szCs w:val="21"/>
              </w:rPr>
            </w:pPr>
            <w:r>
              <w:rPr>
                <w:kern w:val="0"/>
                <w:szCs w:val="21"/>
                <w:lang w:bidi="ar"/>
              </w:rPr>
              <w:t>不出现</w:t>
            </w:r>
          </w:p>
        </w:tc>
      </w:tr>
      <w:tr w14:paraId="3E984B3B">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925435D">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25A82A1">
            <w:pPr>
              <w:widowControl/>
              <w:jc w:val="center"/>
              <w:textAlignment w:val="center"/>
              <w:rPr>
                <w:szCs w:val="21"/>
              </w:rPr>
            </w:pPr>
            <w:r>
              <w:rPr>
                <w:kern w:val="0"/>
                <w:szCs w:val="21"/>
                <w:lang w:bidi="ar"/>
              </w:rPr>
              <w:t>球场位置2单元</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44A02D4">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84EE41A">
            <w:pPr>
              <w:widowControl/>
              <w:jc w:val="center"/>
              <w:textAlignment w:val="center"/>
              <w:rPr>
                <w:szCs w:val="21"/>
              </w:rPr>
            </w:pPr>
            <w:r>
              <w:rPr>
                <w:kern w:val="0"/>
                <w:szCs w:val="21"/>
                <w:lang w:bidi="ar"/>
              </w:rPr>
              <w:t>4.4677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DEC263B">
            <w:pPr>
              <w:widowControl/>
              <w:jc w:val="center"/>
              <w:textAlignment w:val="center"/>
              <w:rPr>
                <w:szCs w:val="21"/>
              </w:rPr>
            </w:pPr>
            <w:r>
              <w:rPr>
                <w:kern w:val="0"/>
                <w:szCs w:val="21"/>
                <w:lang w:bidi="ar"/>
              </w:rPr>
              <w:t>2.23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8506FEE">
            <w:pPr>
              <w:widowControl/>
              <w:jc w:val="center"/>
              <w:textAlignment w:val="center"/>
              <w:rPr>
                <w:szCs w:val="21"/>
              </w:rPr>
            </w:pPr>
            <w:r>
              <w:rPr>
                <w:kern w:val="0"/>
                <w:szCs w:val="21"/>
                <w:lang w:bidi="ar"/>
              </w:rPr>
              <w:t>0.418847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4AA6F19">
            <w:pPr>
              <w:widowControl/>
              <w:jc w:val="center"/>
              <w:textAlignment w:val="center"/>
              <w:rPr>
                <w:szCs w:val="21"/>
              </w:rPr>
            </w:pPr>
            <w:r>
              <w:rPr>
                <w:kern w:val="0"/>
                <w:szCs w:val="21"/>
                <w:lang w:bidi="ar"/>
              </w:rPr>
              <w:t>4.19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FF28C1C">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6BD3C535">
            <w:pPr>
              <w:widowControl/>
              <w:jc w:val="center"/>
              <w:textAlignment w:val="center"/>
              <w:rPr>
                <w:szCs w:val="21"/>
              </w:rPr>
            </w:pPr>
            <w:r>
              <w:rPr>
                <w:kern w:val="0"/>
                <w:szCs w:val="21"/>
                <w:lang w:bidi="ar"/>
              </w:rPr>
              <w:t>不出现</w:t>
            </w:r>
          </w:p>
        </w:tc>
      </w:tr>
      <w:tr w14:paraId="1A63F141">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555F1EC">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79084AE7">
            <w:pPr>
              <w:widowControl/>
              <w:jc w:val="center"/>
              <w:textAlignment w:val="center"/>
              <w:rPr>
                <w:szCs w:val="21"/>
              </w:rPr>
            </w:pPr>
            <w:r>
              <w:rPr>
                <w:kern w:val="0"/>
                <w:szCs w:val="21"/>
                <w:lang w:bidi="ar"/>
              </w:rPr>
              <w:t>球场位置3单元</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7C8D7E6">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C74FB76">
            <w:pPr>
              <w:widowControl/>
              <w:jc w:val="center"/>
              <w:textAlignment w:val="center"/>
              <w:rPr>
                <w:szCs w:val="21"/>
              </w:rPr>
            </w:pPr>
            <w:r>
              <w:rPr>
                <w:kern w:val="0"/>
                <w:szCs w:val="21"/>
                <w:lang w:bidi="ar"/>
              </w:rPr>
              <w:t>4.6664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373711D">
            <w:pPr>
              <w:widowControl/>
              <w:jc w:val="center"/>
              <w:textAlignment w:val="center"/>
              <w:rPr>
                <w:szCs w:val="21"/>
              </w:rPr>
            </w:pPr>
            <w:r>
              <w:rPr>
                <w:kern w:val="0"/>
                <w:szCs w:val="21"/>
                <w:lang w:bidi="ar"/>
              </w:rPr>
              <w:t>2.33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8C1E86A">
            <w:pPr>
              <w:widowControl/>
              <w:jc w:val="center"/>
              <w:textAlignment w:val="center"/>
              <w:rPr>
                <w:szCs w:val="21"/>
              </w:rPr>
            </w:pPr>
            <w:r>
              <w:rPr>
                <w:kern w:val="0"/>
                <w:szCs w:val="21"/>
                <w:lang w:bidi="ar"/>
              </w:rPr>
              <w:t>0.411741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FDB6C17">
            <w:pPr>
              <w:widowControl/>
              <w:jc w:val="center"/>
              <w:textAlignment w:val="center"/>
              <w:rPr>
                <w:szCs w:val="21"/>
              </w:rPr>
            </w:pPr>
            <w:r>
              <w:rPr>
                <w:kern w:val="0"/>
                <w:szCs w:val="21"/>
                <w:lang w:bidi="ar"/>
              </w:rPr>
              <w:t>4.12</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180B1C6">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6FF5A71">
            <w:pPr>
              <w:widowControl/>
              <w:jc w:val="center"/>
              <w:textAlignment w:val="center"/>
              <w:rPr>
                <w:szCs w:val="21"/>
              </w:rPr>
            </w:pPr>
            <w:r>
              <w:rPr>
                <w:kern w:val="0"/>
                <w:szCs w:val="21"/>
                <w:lang w:bidi="ar"/>
              </w:rPr>
              <w:t>不出现</w:t>
            </w:r>
          </w:p>
        </w:tc>
      </w:tr>
      <w:tr w14:paraId="7EB48D07">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6ABCB38">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370A036">
            <w:pPr>
              <w:widowControl/>
              <w:jc w:val="center"/>
              <w:textAlignment w:val="center"/>
              <w:rPr>
                <w:szCs w:val="21"/>
              </w:rPr>
            </w:pPr>
            <w:r>
              <w:rPr>
                <w:kern w:val="0"/>
                <w:szCs w:val="21"/>
                <w:lang w:bidi="ar"/>
              </w:rPr>
              <w:t>盛丰焦化楼养殖区堆肥间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BFBDEB2">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2C308CC">
            <w:pPr>
              <w:widowControl/>
              <w:jc w:val="center"/>
              <w:textAlignment w:val="center"/>
              <w:rPr>
                <w:szCs w:val="21"/>
              </w:rPr>
            </w:pPr>
            <w:r>
              <w:rPr>
                <w:kern w:val="0"/>
                <w:szCs w:val="21"/>
                <w:lang w:bidi="ar"/>
              </w:rPr>
              <w:t>16.843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4F99744">
            <w:pPr>
              <w:widowControl/>
              <w:jc w:val="center"/>
              <w:textAlignment w:val="center"/>
              <w:rPr>
                <w:szCs w:val="21"/>
              </w:rPr>
            </w:pPr>
            <w:r>
              <w:rPr>
                <w:kern w:val="0"/>
                <w:szCs w:val="21"/>
                <w:lang w:bidi="ar"/>
              </w:rPr>
              <w:t>8.42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5AFC77A">
            <w:pPr>
              <w:widowControl/>
              <w:jc w:val="center"/>
              <w:textAlignment w:val="center"/>
              <w:rPr>
                <w:szCs w:val="21"/>
              </w:rPr>
            </w:pPr>
            <w:r>
              <w:rPr>
                <w:kern w:val="0"/>
                <w:szCs w:val="21"/>
                <w:lang w:bidi="ar"/>
              </w:rPr>
              <w:t>0.976148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967B67E">
            <w:pPr>
              <w:widowControl/>
              <w:jc w:val="center"/>
              <w:textAlignment w:val="center"/>
              <w:rPr>
                <w:szCs w:val="21"/>
              </w:rPr>
            </w:pPr>
            <w:r>
              <w:rPr>
                <w:kern w:val="0"/>
                <w:szCs w:val="21"/>
                <w:lang w:bidi="ar"/>
              </w:rPr>
              <w:t>9.76</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8E5E16F">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42C9F0FF">
            <w:pPr>
              <w:widowControl/>
              <w:jc w:val="center"/>
              <w:textAlignment w:val="center"/>
              <w:rPr>
                <w:szCs w:val="21"/>
              </w:rPr>
            </w:pPr>
            <w:r>
              <w:rPr>
                <w:kern w:val="0"/>
                <w:szCs w:val="21"/>
                <w:lang w:bidi="ar"/>
              </w:rPr>
              <w:t>不出现</w:t>
            </w:r>
          </w:p>
        </w:tc>
      </w:tr>
      <w:tr w14:paraId="2380986A">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18CB415">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549F942">
            <w:pPr>
              <w:widowControl/>
              <w:jc w:val="center"/>
              <w:textAlignment w:val="center"/>
              <w:rPr>
                <w:szCs w:val="21"/>
              </w:rPr>
            </w:pPr>
            <w:r>
              <w:rPr>
                <w:kern w:val="0"/>
                <w:szCs w:val="21"/>
                <w:lang w:bidi="ar"/>
              </w:rPr>
              <w:t>2号地盛丰焦化楼养殖区污水处理站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E20DAEC">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86D25DC">
            <w:pPr>
              <w:widowControl/>
              <w:jc w:val="center"/>
              <w:textAlignment w:val="center"/>
              <w:rPr>
                <w:szCs w:val="21"/>
              </w:rPr>
            </w:pPr>
            <w:r>
              <w:rPr>
                <w:kern w:val="0"/>
                <w:szCs w:val="21"/>
                <w:lang w:bidi="ar"/>
              </w:rPr>
              <w:t>1.1241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45B4863">
            <w:pPr>
              <w:widowControl/>
              <w:jc w:val="center"/>
              <w:textAlignment w:val="center"/>
              <w:rPr>
                <w:szCs w:val="21"/>
              </w:rPr>
            </w:pPr>
            <w:r>
              <w:rPr>
                <w:kern w:val="0"/>
                <w:szCs w:val="21"/>
                <w:lang w:bidi="ar"/>
              </w:rPr>
              <w:t>0.56</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3362D4E">
            <w:pPr>
              <w:widowControl/>
              <w:jc w:val="center"/>
              <w:textAlignment w:val="center"/>
              <w:rPr>
                <w:szCs w:val="21"/>
              </w:rPr>
            </w:pPr>
            <w:r>
              <w:rPr>
                <w:kern w:val="0"/>
                <w:szCs w:val="21"/>
                <w:lang w:bidi="ar"/>
              </w:rPr>
              <w:t>0.043715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9E01232">
            <w:pPr>
              <w:widowControl/>
              <w:jc w:val="center"/>
              <w:textAlignment w:val="center"/>
              <w:rPr>
                <w:szCs w:val="21"/>
              </w:rPr>
            </w:pPr>
            <w:r>
              <w:rPr>
                <w:kern w:val="0"/>
                <w:szCs w:val="21"/>
                <w:lang w:bidi="ar"/>
              </w:rPr>
              <w:t>0.44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3FD40BF">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3240A04">
            <w:pPr>
              <w:widowControl/>
              <w:jc w:val="center"/>
              <w:textAlignment w:val="center"/>
              <w:rPr>
                <w:szCs w:val="21"/>
              </w:rPr>
            </w:pPr>
            <w:r>
              <w:rPr>
                <w:kern w:val="0"/>
                <w:szCs w:val="21"/>
                <w:lang w:bidi="ar"/>
              </w:rPr>
              <w:t>不出现</w:t>
            </w:r>
          </w:p>
        </w:tc>
      </w:tr>
      <w:tr w14:paraId="4AB2D77C">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78BBF48F">
            <w:pPr>
              <w:widowControl/>
              <w:jc w:val="center"/>
              <w:textAlignment w:val="center"/>
              <w:rPr>
                <w:szCs w:val="21"/>
              </w:rPr>
            </w:pPr>
            <w:r>
              <w:rPr>
                <w:kern w:val="0"/>
                <w:szCs w:val="21"/>
                <w:lang w:bidi="ar"/>
              </w:rPr>
              <w:t>3号地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DB14E3B">
            <w:pPr>
              <w:widowControl/>
              <w:jc w:val="center"/>
              <w:textAlignment w:val="center"/>
              <w:rPr>
                <w:szCs w:val="21"/>
              </w:rPr>
            </w:pPr>
            <w:r>
              <w:rPr>
                <w:kern w:val="0"/>
                <w:szCs w:val="21"/>
                <w:lang w:bidi="ar"/>
              </w:rPr>
              <w:t>老井位置1号舍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E400907">
            <w:pPr>
              <w:widowControl/>
              <w:jc w:val="center"/>
              <w:textAlignment w:val="center"/>
              <w:rPr>
                <w:szCs w:val="21"/>
              </w:rPr>
            </w:pPr>
            <w:r>
              <w:rPr>
                <w:kern w:val="0"/>
                <w:szCs w:val="21"/>
                <w:lang w:bidi="ar"/>
              </w:rPr>
              <w:t>38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511972B">
            <w:pPr>
              <w:widowControl/>
              <w:jc w:val="center"/>
              <w:textAlignment w:val="center"/>
              <w:rPr>
                <w:szCs w:val="21"/>
              </w:rPr>
            </w:pPr>
            <w:r>
              <w:rPr>
                <w:kern w:val="0"/>
                <w:szCs w:val="21"/>
                <w:lang w:bidi="ar"/>
              </w:rPr>
              <w:t>6.4937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87E1B6B">
            <w:pPr>
              <w:widowControl/>
              <w:jc w:val="center"/>
              <w:textAlignment w:val="center"/>
              <w:rPr>
                <w:szCs w:val="21"/>
              </w:rPr>
            </w:pPr>
            <w:r>
              <w:rPr>
                <w:kern w:val="0"/>
                <w:szCs w:val="21"/>
                <w:lang w:bidi="ar"/>
              </w:rPr>
              <w:t>3.25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136E835">
            <w:pPr>
              <w:widowControl/>
              <w:jc w:val="center"/>
              <w:textAlignment w:val="center"/>
              <w:rPr>
                <w:szCs w:val="21"/>
              </w:rPr>
            </w:pPr>
            <w:r>
              <w:rPr>
                <w:kern w:val="0"/>
                <w:szCs w:val="21"/>
                <w:lang w:bidi="ar"/>
              </w:rPr>
              <w:t>0.608784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4DC4084">
            <w:pPr>
              <w:widowControl/>
              <w:jc w:val="center"/>
              <w:textAlignment w:val="center"/>
              <w:rPr>
                <w:szCs w:val="21"/>
              </w:rPr>
            </w:pPr>
            <w:r>
              <w:rPr>
                <w:kern w:val="0"/>
                <w:szCs w:val="21"/>
                <w:lang w:bidi="ar"/>
              </w:rPr>
              <w:t>6.09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43ABB35">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FAAEF4F">
            <w:pPr>
              <w:widowControl/>
              <w:jc w:val="center"/>
              <w:textAlignment w:val="center"/>
              <w:rPr>
                <w:szCs w:val="21"/>
              </w:rPr>
            </w:pPr>
            <w:r>
              <w:rPr>
                <w:kern w:val="0"/>
                <w:szCs w:val="21"/>
                <w:lang w:bidi="ar"/>
              </w:rPr>
              <w:t>不出现</w:t>
            </w:r>
          </w:p>
        </w:tc>
      </w:tr>
      <w:tr w14:paraId="1816D6F2">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05379B3">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9DC12AE">
            <w:pPr>
              <w:widowControl/>
              <w:jc w:val="center"/>
              <w:textAlignment w:val="center"/>
              <w:rPr>
                <w:szCs w:val="21"/>
              </w:rPr>
            </w:pPr>
            <w:r>
              <w:rPr>
                <w:kern w:val="0"/>
                <w:szCs w:val="21"/>
                <w:lang w:bidi="ar"/>
              </w:rPr>
              <w:t>老井位置2号舍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270D4E5">
            <w:pPr>
              <w:widowControl/>
              <w:jc w:val="center"/>
              <w:textAlignment w:val="center"/>
              <w:rPr>
                <w:szCs w:val="21"/>
              </w:rPr>
            </w:pPr>
            <w:r>
              <w:rPr>
                <w:kern w:val="0"/>
                <w:szCs w:val="21"/>
                <w:lang w:bidi="ar"/>
              </w:rPr>
              <w:t>51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4A87D80">
            <w:pPr>
              <w:widowControl/>
              <w:jc w:val="center"/>
              <w:textAlignment w:val="center"/>
              <w:rPr>
                <w:szCs w:val="21"/>
              </w:rPr>
            </w:pPr>
            <w:r>
              <w:rPr>
                <w:kern w:val="0"/>
                <w:szCs w:val="21"/>
                <w:lang w:bidi="ar"/>
              </w:rPr>
              <w:t>5.6444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04D1BD6">
            <w:pPr>
              <w:widowControl/>
              <w:jc w:val="center"/>
              <w:textAlignment w:val="center"/>
              <w:rPr>
                <w:szCs w:val="21"/>
              </w:rPr>
            </w:pPr>
            <w:r>
              <w:rPr>
                <w:kern w:val="0"/>
                <w:szCs w:val="21"/>
                <w:lang w:bidi="ar"/>
              </w:rPr>
              <w:t>2.82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6DDAED5">
            <w:pPr>
              <w:widowControl/>
              <w:jc w:val="center"/>
              <w:textAlignment w:val="center"/>
              <w:rPr>
                <w:szCs w:val="21"/>
              </w:rPr>
            </w:pPr>
            <w:r>
              <w:rPr>
                <w:kern w:val="0"/>
                <w:szCs w:val="21"/>
                <w:lang w:bidi="ar"/>
              </w:rPr>
              <w:t>0.529163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572A733">
            <w:pPr>
              <w:widowControl/>
              <w:jc w:val="center"/>
              <w:textAlignment w:val="center"/>
              <w:rPr>
                <w:szCs w:val="21"/>
              </w:rPr>
            </w:pPr>
            <w:r>
              <w:rPr>
                <w:kern w:val="0"/>
                <w:szCs w:val="21"/>
                <w:lang w:bidi="ar"/>
              </w:rPr>
              <w:t>5.29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CF9CC6C">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2FAED166">
            <w:pPr>
              <w:widowControl/>
              <w:jc w:val="center"/>
              <w:textAlignment w:val="center"/>
              <w:rPr>
                <w:szCs w:val="21"/>
              </w:rPr>
            </w:pPr>
            <w:r>
              <w:rPr>
                <w:kern w:val="0"/>
                <w:szCs w:val="21"/>
                <w:lang w:bidi="ar"/>
              </w:rPr>
              <w:t>不出现</w:t>
            </w:r>
          </w:p>
        </w:tc>
      </w:tr>
      <w:tr w14:paraId="26938B85">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C93DD44">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A0419FE">
            <w:pPr>
              <w:widowControl/>
              <w:jc w:val="center"/>
              <w:textAlignment w:val="center"/>
              <w:rPr>
                <w:szCs w:val="21"/>
              </w:rPr>
            </w:pPr>
            <w:r>
              <w:rPr>
                <w:kern w:val="0"/>
                <w:szCs w:val="21"/>
                <w:lang w:bidi="ar"/>
              </w:rPr>
              <w:t>老井养殖区堆肥间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3C08FEF">
            <w:pPr>
              <w:widowControl/>
              <w:jc w:val="center"/>
              <w:textAlignment w:val="center"/>
              <w:rPr>
                <w:szCs w:val="21"/>
              </w:rPr>
            </w:pPr>
            <w:r>
              <w:rPr>
                <w:kern w:val="0"/>
                <w:szCs w:val="21"/>
                <w:lang w:bidi="ar"/>
              </w:rPr>
              <w:t>14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D23D01D">
            <w:pPr>
              <w:widowControl/>
              <w:jc w:val="center"/>
              <w:textAlignment w:val="center"/>
              <w:rPr>
                <w:szCs w:val="21"/>
              </w:rPr>
            </w:pPr>
            <w:r>
              <w:rPr>
                <w:kern w:val="0"/>
                <w:szCs w:val="21"/>
                <w:lang w:bidi="ar"/>
              </w:rPr>
              <w:t>10.817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C1E94D3">
            <w:pPr>
              <w:widowControl/>
              <w:jc w:val="center"/>
              <w:textAlignment w:val="center"/>
              <w:rPr>
                <w:szCs w:val="21"/>
              </w:rPr>
            </w:pPr>
            <w:r>
              <w:rPr>
                <w:kern w:val="0"/>
                <w:szCs w:val="21"/>
                <w:lang w:bidi="ar"/>
              </w:rPr>
              <w:t>5.41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670ABEF">
            <w:pPr>
              <w:widowControl/>
              <w:jc w:val="center"/>
              <w:textAlignment w:val="center"/>
              <w:rPr>
                <w:szCs w:val="21"/>
              </w:rPr>
            </w:pPr>
            <w:r>
              <w:rPr>
                <w:kern w:val="0"/>
                <w:szCs w:val="21"/>
                <w:lang w:bidi="ar"/>
              </w:rPr>
              <w:t>0.614861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23F017D">
            <w:pPr>
              <w:widowControl/>
              <w:jc w:val="center"/>
              <w:textAlignment w:val="center"/>
              <w:rPr>
                <w:szCs w:val="21"/>
              </w:rPr>
            </w:pPr>
            <w:r>
              <w:rPr>
                <w:kern w:val="0"/>
                <w:szCs w:val="21"/>
                <w:lang w:bidi="ar"/>
              </w:rPr>
              <w:t>6.15</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76E67C2">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4D2AE58">
            <w:pPr>
              <w:widowControl/>
              <w:jc w:val="center"/>
              <w:textAlignment w:val="center"/>
              <w:rPr>
                <w:szCs w:val="21"/>
              </w:rPr>
            </w:pPr>
            <w:r>
              <w:rPr>
                <w:kern w:val="0"/>
                <w:szCs w:val="21"/>
                <w:lang w:bidi="ar"/>
              </w:rPr>
              <w:t>不出现</w:t>
            </w:r>
          </w:p>
        </w:tc>
      </w:tr>
      <w:tr w14:paraId="42BBEAE5">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38FA264">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5A6487BE">
            <w:pPr>
              <w:widowControl/>
              <w:jc w:val="center"/>
              <w:textAlignment w:val="center"/>
              <w:rPr>
                <w:szCs w:val="21"/>
              </w:rPr>
            </w:pPr>
            <w:r>
              <w:rPr>
                <w:kern w:val="0"/>
                <w:szCs w:val="21"/>
                <w:lang w:bidi="ar"/>
              </w:rPr>
              <w:t>3号地老井养殖区污水处理站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0BFE68C">
            <w:pPr>
              <w:widowControl/>
              <w:jc w:val="center"/>
              <w:textAlignment w:val="center"/>
              <w:rPr>
                <w:szCs w:val="21"/>
              </w:rPr>
            </w:pPr>
            <w:r>
              <w:rPr>
                <w:kern w:val="0"/>
                <w:szCs w:val="21"/>
                <w:lang w:bidi="ar"/>
              </w:rPr>
              <w:t>15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B72293D">
            <w:pPr>
              <w:widowControl/>
              <w:jc w:val="center"/>
              <w:textAlignment w:val="center"/>
              <w:rPr>
                <w:szCs w:val="21"/>
              </w:rPr>
            </w:pPr>
            <w:r>
              <w:rPr>
                <w:kern w:val="0"/>
                <w:szCs w:val="21"/>
                <w:lang w:bidi="ar"/>
              </w:rPr>
              <w:t>0.49444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A4ACD68">
            <w:pPr>
              <w:widowControl/>
              <w:jc w:val="center"/>
              <w:textAlignment w:val="center"/>
              <w:rPr>
                <w:szCs w:val="21"/>
              </w:rPr>
            </w:pPr>
            <w:r>
              <w:rPr>
                <w:kern w:val="0"/>
                <w:szCs w:val="21"/>
                <w:lang w:bidi="ar"/>
              </w:rPr>
              <w:t>0.25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7F840AD">
            <w:pPr>
              <w:widowControl/>
              <w:jc w:val="center"/>
              <w:textAlignment w:val="center"/>
              <w:rPr>
                <w:szCs w:val="21"/>
              </w:rPr>
            </w:pPr>
            <w:r>
              <w:rPr>
                <w:kern w:val="0"/>
                <w:szCs w:val="21"/>
                <w:lang w:bidi="ar"/>
              </w:rPr>
              <w:t>0.017659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BC44187">
            <w:pPr>
              <w:widowControl/>
              <w:jc w:val="center"/>
              <w:textAlignment w:val="center"/>
              <w:rPr>
                <w:szCs w:val="21"/>
              </w:rPr>
            </w:pPr>
            <w:r>
              <w:rPr>
                <w:kern w:val="0"/>
                <w:szCs w:val="21"/>
                <w:lang w:bidi="ar"/>
              </w:rPr>
              <w:t>0.18</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0450413">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6008EC2">
            <w:pPr>
              <w:widowControl/>
              <w:jc w:val="center"/>
              <w:textAlignment w:val="center"/>
              <w:rPr>
                <w:szCs w:val="21"/>
              </w:rPr>
            </w:pPr>
            <w:r>
              <w:rPr>
                <w:kern w:val="0"/>
                <w:szCs w:val="21"/>
                <w:lang w:bidi="ar"/>
              </w:rPr>
              <w:t>不出现</w:t>
            </w:r>
          </w:p>
        </w:tc>
      </w:tr>
      <w:tr w14:paraId="2C61D764">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29CF86B6">
            <w:pPr>
              <w:widowControl/>
              <w:jc w:val="center"/>
              <w:textAlignment w:val="center"/>
              <w:rPr>
                <w:szCs w:val="21"/>
              </w:rPr>
            </w:pPr>
            <w:r>
              <w:rPr>
                <w:kern w:val="0"/>
                <w:szCs w:val="21"/>
                <w:lang w:bidi="ar"/>
              </w:rPr>
              <w:t>4号地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056FA57">
            <w:pPr>
              <w:widowControl/>
              <w:jc w:val="center"/>
              <w:textAlignment w:val="center"/>
              <w:rPr>
                <w:szCs w:val="21"/>
              </w:rPr>
            </w:pPr>
            <w:r>
              <w:rPr>
                <w:kern w:val="0"/>
                <w:szCs w:val="21"/>
                <w:lang w:bidi="ar"/>
              </w:rPr>
              <w:t>鑫旺板块1号舍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90A206C">
            <w:pPr>
              <w:widowControl/>
              <w:jc w:val="center"/>
              <w:textAlignment w:val="center"/>
              <w:rPr>
                <w:szCs w:val="21"/>
              </w:rPr>
            </w:pPr>
            <w:r>
              <w:rPr>
                <w:kern w:val="0"/>
                <w:szCs w:val="21"/>
                <w:lang w:bidi="ar"/>
              </w:rPr>
              <w:t>51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13D9FE7">
            <w:pPr>
              <w:widowControl/>
              <w:jc w:val="center"/>
              <w:textAlignment w:val="center"/>
              <w:rPr>
                <w:szCs w:val="21"/>
              </w:rPr>
            </w:pPr>
            <w:r>
              <w:rPr>
                <w:kern w:val="0"/>
                <w:szCs w:val="21"/>
                <w:lang w:bidi="ar"/>
              </w:rPr>
              <w:t>9.3456</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78A9286">
            <w:pPr>
              <w:widowControl/>
              <w:jc w:val="center"/>
              <w:textAlignment w:val="center"/>
              <w:rPr>
                <w:szCs w:val="21"/>
              </w:rPr>
            </w:pPr>
            <w:r>
              <w:rPr>
                <w:kern w:val="0"/>
                <w:szCs w:val="21"/>
                <w:lang w:bidi="ar"/>
              </w:rPr>
              <w:t>4.67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9ABEB1C">
            <w:pPr>
              <w:widowControl/>
              <w:jc w:val="center"/>
              <w:textAlignment w:val="center"/>
              <w:rPr>
                <w:szCs w:val="21"/>
              </w:rPr>
            </w:pPr>
            <w:r>
              <w:rPr>
                <w:kern w:val="0"/>
                <w:szCs w:val="21"/>
                <w:lang w:bidi="ar"/>
              </w:rPr>
              <w:t>0.793495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0CAC59F">
            <w:pPr>
              <w:widowControl/>
              <w:jc w:val="center"/>
              <w:textAlignment w:val="center"/>
              <w:rPr>
                <w:szCs w:val="21"/>
              </w:rPr>
            </w:pPr>
            <w:r>
              <w:rPr>
                <w:kern w:val="0"/>
                <w:szCs w:val="21"/>
                <w:lang w:bidi="ar"/>
              </w:rPr>
              <w:t>7.93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E8C38D5">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FA3FBA7">
            <w:pPr>
              <w:widowControl/>
              <w:jc w:val="center"/>
              <w:textAlignment w:val="center"/>
              <w:rPr>
                <w:szCs w:val="21"/>
              </w:rPr>
            </w:pPr>
            <w:r>
              <w:rPr>
                <w:kern w:val="0"/>
                <w:szCs w:val="21"/>
                <w:lang w:bidi="ar"/>
              </w:rPr>
              <w:t>不出现</w:t>
            </w:r>
          </w:p>
        </w:tc>
      </w:tr>
      <w:tr w14:paraId="4DF22398">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BC4A6FE">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509B695A">
            <w:pPr>
              <w:widowControl/>
              <w:jc w:val="center"/>
              <w:textAlignment w:val="center"/>
              <w:rPr>
                <w:szCs w:val="21"/>
              </w:rPr>
            </w:pPr>
            <w:r>
              <w:rPr>
                <w:kern w:val="0"/>
                <w:szCs w:val="21"/>
                <w:lang w:bidi="ar"/>
              </w:rPr>
              <w:t>鑫旺板块2号舍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3BF28B4E">
            <w:pPr>
              <w:widowControl/>
              <w:jc w:val="center"/>
              <w:textAlignment w:val="center"/>
              <w:rPr>
                <w:szCs w:val="21"/>
              </w:rPr>
            </w:pPr>
            <w:r>
              <w:rPr>
                <w:kern w:val="0"/>
                <w:szCs w:val="21"/>
                <w:lang w:bidi="ar"/>
              </w:rPr>
              <w:t>52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FEB7439">
            <w:pPr>
              <w:widowControl/>
              <w:jc w:val="center"/>
              <w:textAlignment w:val="center"/>
              <w:rPr>
                <w:szCs w:val="21"/>
              </w:rPr>
            </w:pPr>
            <w:r>
              <w:rPr>
                <w:kern w:val="0"/>
                <w:szCs w:val="21"/>
                <w:lang w:bidi="ar"/>
              </w:rPr>
              <w:t>9.4367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46E1E5B">
            <w:pPr>
              <w:widowControl/>
              <w:jc w:val="center"/>
              <w:textAlignment w:val="center"/>
              <w:rPr>
                <w:szCs w:val="21"/>
              </w:rPr>
            </w:pPr>
            <w:r>
              <w:rPr>
                <w:kern w:val="0"/>
                <w:szCs w:val="21"/>
                <w:lang w:bidi="ar"/>
              </w:rPr>
              <w:t>4.72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8AC65AB">
            <w:pPr>
              <w:widowControl/>
              <w:jc w:val="center"/>
              <w:textAlignment w:val="center"/>
              <w:rPr>
                <w:szCs w:val="21"/>
              </w:rPr>
            </w:pPr>
            <w:r>
              <w:rPr>
                <w:kern w:val="0"/>
                <w:szCs w:val="21"/>
                <w:lang w:bidi="ar"/>
              </w:rPr>
              <w:t>0.801229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860FC3F">
            <w:pPr>
              <w:widowControl/>
              <w:jc w:val="center"/>
              <w:textAlignment w:val="center"/>
              <w:rPr>
                <w:szCs w:val="21"/>
              </w:rPr>
            </w:pPr>
            <w:r>
              <w:rPr>
                <w:kern w:val="0"/>
                <w:szCs w:val="21"/>
                <w:lang w:bidi="ar"/>
              </w:rPr>
              <w:t>8.01</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92ED07F">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E8BCB86">
            <w:pPr>
              <w:widowControl/>
              <w:jc w:val="center"/>
              <w:textAlignment w:val="center"/>
              <w:rPr>
                <w:szCs w:val="21"/>
              </w:rPr>
            </w:pPr>
            <w:r>
              <w:rPr>
                <w:kern w:val="0"/>
                <w:szCs w:val="21"/>
                <w:lang w:bidi="ar"/>
              </w:rPr>
              <w:t>不出现</w:t>
            </w:r>
          </w:p>
        </w:tc>
      </w:tr>
      <w:tr w14:paraId="74671B8C">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6BDADD0">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E1F4877">
            <w:pPr>
              <w:widowControl/>
              <w:jc w:val="center"/>
              <w:textAlignment w:val="center"/>
              <w:rPr>
                <w:szCs w:val="21"/>
              </w:rPr>
            </w:pPr>
            <w:r>
              <w:rPr>
                <w:kern w:val="0"/>
                <w:szCs w:val="21"/>
                <w:lang w:bidi="ar"/>
              </w:rPr>
              <w:t>鑫旺板块3号舍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3F0E0421">
            <w:pPr>
              <w:widowControl/>
              <w:jc w:val="center"/>
              <w:textAlignment w:val="center"/>
              <w:rPr>
                <w:szCs w:val="21"/>
              </w:rPr>
            </w:pPr>
            <w:r>
              <w:rPr>
                <w:kern w:val="0"/>
                <w:szCs w:val="21"/>
                <w:lang w:bidi="ar"/>
              </w:rPr>
              <w:t>48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A64E30A">
            <w:pPr>
              <w:widowControl/>
              <w:jc w:val="center"/>
              <w:textAlignment w:val="center"/>
              <w:rPr>
                <w:szCs w:val="21"/>
              </w:rPr>
            </w:pPr>
            <w:r>
              <w:rPr>
                <w:kern w:val="0"/>
                <w:szCs w:val="21"/>
                <w:lang w:bidi="ar"/>
              </w:rPr>
              <w:t>9.5637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99416C4">
            <w:pPr>
              <w:widowControl/>
              <w:jc w:val="center"/>
              <w:textAlignment w:val="center"/>
              <w:rPr>
                <w:szCs w:val="21"/>
              </w:rPr>
            </w:pPr>
            <w:r>
              <w:rPr>
                <w:kern w:val="0"/>
                <w:szCs w:val="21"/>
                <w:lang w:bidi="ar"/>
              </w:rPr>
              <w:t>4.78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7CEBB58">
            <w:pPr>
              <w:widowControl/>
              <w:jc w:val="center"/>
              <w:textAlignment w:val="center"/>
              <w:rPr>
                <w:szCs w:val="21"/>
              </w:rPr>
            </w:pPr>
            <w:r>
              <w:rPr>
                <w:kern w:val="0"/>
                <w:szCs w:val="21"/>
                <w:lang w:bidi="ar"/>
              </w:rPr>
              <w:t>0.878299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97608E5">
            <w:pPr>
              <w:widowControl/>
              <w:jc w:val="center"/>
              <w:textAlignment w:val="center"/>
              <w:rPr>
                <w:szCs w:val="21"/>
              </w:rPr>
            </w:pPr>
            <w:r>
              <w:rPr>
                <w:kern w:val="0"/>
                <w:szCs w:val="21"/>
                <w:lang w:bidi="ar"/>
              </w:rPr>
              <w:t>8.78</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C007C8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2790AF7">
            <w:pPr>
              <w:widowControl/>
              <w:jc w:val="center"/>
              <w:textAlignment w:val="center"/>
              <w:rPr>
                <w:szCs w:val="21"/>
              </w:rPr>
            </w:pPr>
            <w:r>
              <w:rPr>
                <w:kern w:val="0"/>
                <w:szCs w:val="21"/>
                <w:lang w:bidi="ar"/>
              </w:rPr>
              <w:t>不出现</w:t>
            </w:r>
          </w:p>
        </w:tc>
      </w:tr>
      <w:tr w14:paraId="1E7D3159">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1AD29BD">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AA08B37">
            <w:pPr>
              <w:widowControl/>
              <w:jc w:val="center"/>
              <w:textAlignment w:val="center"/>
              <w:rPr>
                <w:szCs w:val="21"/>
              </w:rPr>
            </w:pPr>
            <w:r>
              <w:rPr>
                <w:kern w:val="0"/>
                <w:szCs w:val="21"/>
                <w:lang w:bidi="ar"/>
              </w:rPr>
              <w:t>鑫旺板块养殖区堆肥间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503A308">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89CC863">
            <w:pPr>
              <w:widowControl/>
              <w:jc w:val="center"/>
              <w:textAlignment w:val="center"/>
              <w:rPr>
                <w:szCs w:val="21"/>
              </w:rPr>
            </w:pPr>
            <w:r>
              <w:rPr>
                <w:kern w:val="0"/>
                <w:szCs w:val="21"/>
                <w:lang w:bidi="ar"/>
              </w:rPr>
              <w:t>16.843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EB0DF28">
            <w:pPr>
              <w:widowControl/>
              <w:jc w:val="center"/>
              <w:textAlignment w:val="center"/>
              <w:rPr>
                <w:szCs w:val="21"/>
              </w:rPr>
            </w:pPr>
            <w:r>
              <w:rPr>
                <w:kern w:val="0"/>
                <w:szCs w:val="21"/>
                <w:lang w:bidi="ar"/>
              </w:rPr>
              <w:t>8.42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14D1096">
            <w:pPr>
              <w:widowControl/>
              <w:jc w:val="center"/>
              <w:textAlignment w:val="center"/>
              <w:rPr>
                <w:szCs w:val="21"/>
              </w:rPr>
            </w:pPr>
            <w:r>
              <w:rPr>
                <w:kern w:val="0"/>
                <w:szCs w:val="21"/>
                <w:lang w:bidi="ar"/>
              </w:rPr>
              <w:t>0.976148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5512874">
            <w:pPr>
              <w:widowControl/>
              <w:jc w:val="center"/>
              <w:textAlignment w:val="center"/>
              <w:rPr>
                <w:szCs w:val="21"/>
              </w:rPr>
            </w:pPr>
            <w:r>
              <w:rPr>
                <w:kern w:val="0"/>
                <w:szCs w:val="21"/>
                <w:lang w:bidi="ar"/>
              </w:rPr>
              <w:t>9.76</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812E2A4">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E8DF341">
            <w:pPr>
              <w:widowControl/>
              <w:jc w:val="center"/>
              <w:textAlignment w:val="center"/>
              <w:rPr>
                <w:szCs w:val="21"/>
              </w:rPr>
            </w:pPr>
            <w:r>
              <w:rPr>
                <w:kern w:val="0"/>
                <w:szCs w:val="21"/>
                <w:lang w:bidi="ar"/>
              </w:rPr>
              <w:t>不出现</w:t>
            </w:r>
          </w:p>
        </w:tc>
      </w:tr>
      <w:tr w14:paraId="73DED692">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D9A0927">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10BB7E7">
            <w:pPr>
              <w:widowControl/>
              <w:jc w:val="center"/>
              <w:textAlignment w:val="center"/>
              <w:rPr>
                <w:szCs w:val="21"/>
              </w:rPr>
            </w:pPr>
            <w:r>
              <w:rPr>
                <w:kern w:val="0"/>
                <w:szCs w:val="21"/>
                <w:lang w:bidi="ar"/>
              </w:rPr>
              <w:t>4号地旺鑫板块养殖区污水处理站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B3B5302">
            <w:pPr>
              <w:widowControl/>
              <w:jc w:val="center"/>
              <w:textAlignment w:val="center"/>
              <w:rPr>
                <w:szCs w:val="21"/>
              </w:rPr>
            </w:pPr>
            <w:r>
              <w:rPr>
                <w:kern w:val="0"/>
                <w:szCs w:val="21"/>
                <w:lang w:bidi="ar"/>
              </w:rPr>
              <w:t>24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2829C8F">
            <w:pPr>
              <w:widowControl/>
              <w:jc w:val="center"/>
              <w:textAlignment w:val="center"/>
              <w:rPr>
                <w:szCs w:val="21"/>
              </w:rPr>
            </w:pPr>
            <w:r>
              <w:rPr>
                <w:kern w:val="0"/>
                <w:szCs w:val="21"/>
                <w:lang w:bidi="ar"/>
              </w:rPr>
              <w:t>1.0044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B349D72">
            <w:pPr>
              <w:widowControl/>
              <w:jc w:val="center"/>
              <w:textAlignment w:val="center"/>
              <w:rPr>
                <w:szCs w:val="21"/>
              </w:rPr>
            </w:pPr>
            <w:r>
              <w:rPr>
                <w:kern w:val="0"/>
                <w:szCs w:val="21"/>
                <w:lang w:bidi="ar"/>
              </w:rPr>
              <w:t>0.5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B08DF3B">
            <w:pPr>
              <w:widowControl/>
              <w:jc w:val="center"/>
              <w:textAlignment w:val="center"/>
              <w:rPr>
                <w:szCs w:val="21"/>
              </w:rPr>
            </w:pPr>
            <w:r>
              <w:rPr>
                <w:kern w:val="0"/>
                <w:szCs w:val="21"/>
                <w:lang w:bidi="ar"/>
              </w:rPr>
              <w:t>0.040176</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A91F03C">
            <w:pPr>
              <w:widowControl/>
              <w:jc w:val="center"/>
              <w:textAlignment w:val="center"/>
              <w:rPr>
                <w:szCs w:val="21"/>
              </w:rPr>
            </w:pPr>
            <w:r>
              <w:rPr>
                <w:kern w:val="0"/>
                <w:szCs w:val="21"/>
                <w:lang w:bidi="ar"/>
              </w:rPr>
              <w:t>0.4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CF98050">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DC49993">
            <w:pPr>
              <w:widowControl/>
              <w:jc w:val="center"/>
              <w:textAlignment w:val="center"/>
              <w:rPr>
                <w:szCs w:val="21"/>
              </w:rPr>
            </w:pPr>
            <w:r>
              <w:rPr>
                <w:kern w:val="0"/>
                <w:szCs w:val="21"/>
                <w:lang w:bidi="ar"/>
              </w:rPr>
              <w:t>不出现</w:t>
            </w:r>
          </w:p>
        </w:tc>
      </w:tr>
      <w:tr w14:paraId="573E30AD">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418ECA3E">
            <w:pPr>
              <w:widowControl/>
              <w:jc w:val="center"/>
              <w:textAlignment w:val="center"/>
              <w:rPr>
                <w:szCs w:val="21"/>
              </w:rPr>
            </w:pPr>
            <w:r>
              <w:rPr>
                <w:kern w:val="0"/>
                <w:szCs w:val="21"/>
                <w:lang w:bidi="ar"/>
              </w:rPr>
              <w:t>5号地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C12026E">
            <w:pPr>
              <w:widowControl/>
              <w:jc w:val="center"/>
              <w:textAlignment w:val="center"/>
              <w:rPr>
                <w:szCs w:val="21"/>
              </w:rPr>
            </w:pPr>
            <w:r>
              <w:rPr>
                <w:kern w:val="0"/>
                <w:szCs w:val="21"/>
                <w:lang w:bidi="ar"/>
              </w:rPr>
              <w:t>大河边篮球场位置猪舍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439F888">
            <w:pPr>
              <w:widowControl/>
              <w:jc w:val="center"/>
              <w:textAlignment w:val="center"/>
              <w:rPr>
                <w:szCs w:val="21"/>
              </w:rPr>
            </w:pPr>
            <w:r>
              <w:rPr>
                <w:kern w:val="0"/>
                <w:szCs w:val="21"/>
                <w:lang w:bidi="ar"/>
              </w:rPr>
              <w:t>48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C2D8F95">
            <w:pPr>
              <w:widowControl/>
              <w:jc w:val="center"/>
              <w:textAlignment w:val="center"/>
              <w:rPr>
                <w:szCs w:val="21"/>
              </w:rPr>
            </w:pPr>
            <w:r>
              <w:rPr>
                <w:kern w:val="0"/>
                <w:szCs w:val="21"/>
                <w:lang w:bidi="ar"/>
              </w:rPr>
              <w:t>8.5887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3254D15">
            <w:pPr>
              <w:widowControl/>
              <w:jc w:val="center"/>
              <w:textAlignment w:val="center"/>
              <w:rPr>
                <w:szCs w:val="21"/>
              </w:rPr>
            </w:pPr>
            <w:r>
              <w:rPr>
                <w:kern w:val="0"/>
                <w:szCs w:val="21"/>
                <w:lang w:bidi="ar"/>
              </w:rPr>
              <w:t>4.29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C41008C">
            <w:pPr>
              <w:widowControl/>
              <w:jc w:val="center"/>
              <w:textAlignment w:val="center"/>
              <w:rPr>
                <w:szCs w:val="21"/>
              </w:rPr>
            </w:pPr>
            <w:r>
              <w:rPr>
                <w:kern w:val="0"/>
                <w:szCs w:val="21"/>
                <w:lang w:bidi="ar"/>
              </w:rPr>
              <w:t>0.780791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08E9637">
            <w:pPr>
              <w:widowControl/>
              <w:jc w:val="center"/>
              <w:textAlignment w:val="center"/>
              <w:rPr>
                <w:szCs w:val="21"/>
              </w:rPr>
            </w:pPr>
            <w:r>
              <w:rPr>
                <w:kern w:val="0"/>
                <w:szCs w:val="21"/>
                <w:lang w:bidi="ar"/>
              </w:rPr>
              <w:t>7.81</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40E4273">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5C9BC42">
            <w:pPr>
              <w:widowControl/>
              <w:jc w:val="center"/>
              <w:textAlignment w:val="center"/>
              <w:rPr>
                <w:szCs w:val="21"/>
              </w:rPr>
            </w:pPr>
            <w:r>
              <w:rPr>
                <w:kern w:val="0"/>
                <w:szCs w:val="21"/>
                <w:lang w:bidi="ar"/>
              </w:rPr>
              <w:t>不出现</w:t>
            </w:r>
          </w:p>
        </w:tc>
      </w:tr>
      <w:tr w14:paraId="156D0A65">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1254CFC">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8F7642B">
            <w:pPr>
              <w:widowControl/>
              <w:jc w:val="center"/>
              <w:textAlignment w:val="center"/>
              <w:rPr>
                <w:szCs w:val="21"/>
              </w:rPr>
            </w:pPr>
            <w:r>
              <w:rPr>
                <w:kern w:val="0"/>
                <w:szCs w:val="21"/>
                <w:lang w:bidi="ar"/>
              </w:rPr>
              <w:t>大河边上煤仓位置1号舍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8E300DE">
            <w:pPr>
              <w:widowControl/>
              <w:jc w:val="center"/>
              <w:textAlignment w:val="center"/>
              <w:rPr>
                <w:szCs w:val="21"/>
              </w:rPr>
            </w:pPr>
            <w:r>
              <w:rPr>
                <w:kern w:val="0"/>
                <w:szCs w:val="21"/>
                <w:lang w:bidi="ar"/>
              </w:rPr>
              <w:t>37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C6ED330">
            <w:pPr>
              <w:widowControl/>
              <w:jc w:val="center"/>
              <w:textAlignment w:val="center"/>
              <w:rPr>
                <w:szCs w:val="21"/>
              </w:rPr>
            </w:pPr>
            <w:r>
              <w:rPr>
                <w:kern w:val="0"/>
                <w:szCs w:val="21"/>
                <w:lang w:bidi="ar"/>
              </w:rPr>
              <w:t>4.0135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405743C">
            <w:pPr>
              <w:widowControl/>
              <w:jc w:val="center"/>
              <w:textAlignment w:val="center"/>
              <w:rPr>
                <w:szCs w:val="21"/>
              </w:rPr>
            </w:pPr>
            <w:r>
              <w:rPr>
                <w:kern w:val="0"/>
                <w:szCs w:val="21"/>
                <w:lang w:bidi="ar"/>
              </w:rPr>
              <w:t>2.01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8F36415">
            <w:pPr>
              <w:widowControl/>
              <w:jc w:val="center"/>
              <w:textAlignment w:val="center"/>
              <w:rPr>
                <w:szCs w:val="21"/>
              </w:rPr>
            </w:pPr>
            <w:r>
              <w:rPr>
                <w:kern w:val="0"/>
                <w:szCs w:val="21"/>
                <w:lang w:bidi="ar"/>
              </w:rPr>
              <w:t>0.334458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B820508">
            <w:pPr>
              <w:widowControl/>
              <w:jc w:val="center"/>
              <w:textAlignment w:val="center"/>
              <w:rPr>
                <w:szCs w:val="21"/>
              </w:rPr>
            </w:pPr>
            <w:r>
              <w:rPr>
                <w:kern w:val="0"/>
                <w:szCs w:val="21"/>
                <w:lang w:bidi="ar"/>
              </w:rPr>
              <w:t>3.34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13638C5">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118DA0D">
            <w:pPr>
              <w:widowControl/>
              <w:jc w:val="center"/>
              <w:textAlignment w:val="center"/>
              <w:rPr>
                <w:szCs w:val="21"/>
              </w:rPr>
            </w:pPr>
            <w:r>
              <w:rPr>
                <w:kern w:val="0"/>
                <w:szCs w:val="21"/>
                <w:lang w:bidi="ar"/>
              </w:rPr>
              <w:t>不出现</w:t>
            </w:r>
          </w:p>
        </w:tc>
      </w:tr>
      <w:tr w14:paraId="38B790EF">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551745D">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5825C6D9">
            <w:pPr>
              <w:widowControl/>
              <w:jc w:val="center"/>
              <w:textAlignment w:val="center"/>
              <w:rPr>
                <w:szCs w:val="21"/>
              </w:rPr>
            </w:pPr>
            <w:r>
              <w:rPr>
                <w:kern w:val="0"/>
                <w:szCs w:val="21"/>
                <w:lang w:bidi="ar"/>
              </w:rPr>
              <w:t>大河边上煤仓位置2号舍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EAF19EA">
            <w:pPr>
              <w:widowControl/>
              <w:jc w:val="center"/>
              <w:textAlignment w:val="center"/>
              <w:rPr>
                <w:szCs w:val="21"/>
              </w:rPr>
            </w:pPr>
            <w:r>
              <w:rPr>
                <w:kern w:val="0"/>
                <w:szCs w:val="21"/>
                <w:lang w:bidi="ar"/>
              </w:rPr>
              <w:t>32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4D1AF5C">
            <w:pPr>
              <w:widowControl/>
              <w:jc w:val="center"/>
              <w:textAlignment w:val="center"/>
              <w:rPr>
                <w:szCs w:val="21"/>
              </w:rPr>
            </w:pPr>
            <w:r>
              <w:rPr>
                <w:kern w:val="0"/>
                <w:szCs w:val="21"/>
                <w:lang w:bidi="ar"/>
              </w:rPr>
              <w:t>7.3843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14D5A0B">
            <w:pPr>
              <w:widowControl/>
              <w:jc w:val="center"/>
              <w:textAlignment w:val="center"/>
              <w:rPr>
                <w:szCs w:val="21"/>
              </w:rPr>
            </w:pPr>
            <w:r>
              <w:rPr>
                <w:kern w:val="0"/>
                <w:szCs w:val="21"/>
                <w:lang w:bidi="ar"/>
              </w:rPr>
              <w:t>3.69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34DA8DC">
            <w:pPr>
              <w:widowControl/>
              <w:jc w:val="center"/>
              <w:textAlignment w:val="center"/>
              <w:rPr>
                <w:szCs w:val="21"/>
              </w:rPr>
            </w:pPr>
            <w:r>
              <w:rPr>
                <w:kern w:val="0"/>
                <w:szCs w:val="21"/>
                <w:lang w:bidi="ar"/>
              </w:rPr>
              <w:t>0.659313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F0E6B13">
            <w:pPr>
              <w:widowControl/>
              <w:jc w:val="center"/>
              <w:textAlignment w:val="center"/>
              <w:rPr>
                <w:szCs w:val="21"/>
              </w:rPr>
            </w:pPr>
            <w:r>
              <w:rPr>
                <w:kern w:val="0"/>
                <w:szCs w:val="21"/>
                <w:lang w:bidi="ar"/>
              </w:rPr>
              <w:t>6.59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5935266">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840FEAC">
            <w:pPr>
              <w:widowControl/>
              <w:jc w:val="center"/>
              <w:textAlignment w:val="center"/>
              <w:rPr>
                <w:szCs w:val="21"/>
              </w:rPr>
            </w:pPr>
            <w:r>
              <w:rPr>
                <w:kern w:val="0"/>
                <w:szCs w:val="21"/>
                <w:lang w:bidi="ar"/>
              </w:rPr>
              <w:t>不出现</w:t>
            </w:r>
          </w:p>
        </w:tc>
      </w:tr>
      <w:tr w14:paraId="091B7B3A">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4789866">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B497183">
            <w:pPr>
              <w:widowControl/>
              <w:jc w:val="center"/>
              <w:textAlignment w:val="center"/>
              <w:rPr>
                <w:szCs w:val="21"/>
              </w:rPr>
            </w:pPr>
            <w:r>
              <w:rPr>
                <w:kern w:val="0"/>
                <w:szCs w:val="21"/>
                <w:lang w:bidi="ar"/>
              </w:rPr>
              <w:t>大河边下煤仓位置猪舍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CBF36FB">
            <w:pPr>
              <w:widowControl/>
              <w:jc w:val="center"/>
              <w:textAlignment w:val="center"/>
              <w:rPr>
                <w:szCs w:val="21"/>
              </w:rPr>
            </w:pPr>
            <w:r>
              <w:rPr>
                <w:kern w:val="0"/>
                <w:szCs w:val="21"/>
                <w:lang w:bidi="ar"/>
              </w:rPr>
              <w:t>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1239003">
            <w:pPr>
              <w:widowControl/>
              <w:jc w:val="center"/>
              <w:textAlignment w:val="center"/>
              <w:rPr>
                <w:szCs w:val="21"/>
              </w:rPr>
            </w:pPr>
            <w:r>
              <w:rPr>
                <w:kern w:val="0"/>
                <w:szCs w:val="21"/>
                <w:lang w:bidi="ar"/>
              </w:rPr>
              <w:t>6.7681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20CEEB3">
            <w:pPr>
              <w:widowControl/>
              <w:jc w:val="center"/>
              <w:textAlignment w:val="center"/>
              <w:rPr>
                <w:szCs w:val="21"/>
              </w:rPr>
            </w:pPr>
            <w:r>
              <w:rPr>
                <w:kern w:val="0"/>
                <w:szCs w:val="21"/>
                <w:lang w:bidi="ar"/>
              </w:rPr>
              <w:t>3.38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E01FA22">
            <w:pPr>
              <w:widowControl/>
              <w:jc w:val="center"/>
              <w:textAlignment w:val="center"/>
              <w:rPr>
                <w:szCs w:val="21"/>
              </w:rPr>
            </w:pPr>
            <w:r>
              <w:rPr>
                <w:kern w:val="0"/>
                <w:szCs w:val="21"/>
                <w:lang w:bidi="ar"/>
              </w:rPr>
              <w:t>0.644581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0FA26C1">
            <w:pPr>
              <w:widowControl/>
              <w:jc w:val="center"/>
              <w:textAlignment w:val="center"/>
              <w:rPr>
                <w:szCs w:val="21"/>
              </w:rPr>
            </w:pPr>
            <w:r>
              <w:rPr>
                <w:kern w:val="0"/>
                <w:szCs w:val="21"/>
                <w:lang w:bidi="ar"/>
              </w:rPr>
              <w:t>6.45</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12140E2">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B64175B">
            <w:pPr>
              <w:widowControl/>
              <w:jc w:val="center"/>
              <w:textAlignment w:val="center"/>
              <w:rPr>
                <w:szCs w:val="21"/>
              </w:rPr>
            </w:pPr>
            <w:r>
              <w:rPr>
                <w:kern w:val="0"/>
                <w:szCs w:val="21"/>
                <w:lang w:bidi="ar"/>
              </w:rPr>
              <w:t>不出现</w:t>
            </w:r>
          </w:p>
        </w:tc>
      </w:tr>
      <w:tr w14:paraId="7D3C1494">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52BA20A">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70D1DB52">
            <w:pPr>
              <w:widowControl/>
              <w:jc w:val="center"/>
              <w:textAlignment w:val="center"/>
              <w:rPr>
                <w:szCs w:val="21"/>
              </w:rPr>
            </w:pPr>
            <w:r>
              <w:rPr>
                <w:kern w:val="0"/>
                <w:szCs w:val="21"/>
                <w:lang w:bidi="ar"/>
              </w:rPr>
              <w:t>大河边养殖区堆肥间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5FE1194">
            <w:pPr>
              <w:widowControl/>
              <w:jc w:val="center"/>
              <w:textAlignment w:val="center"/>
              <w:rPr>
                <w:szCs w:val="21"/>
              </w:rPr>
            </w:pPr>
            <w:r>
              <w:rPr>
                <w:kern w:val="0"/>
                <w:szCs w:val="21"/>
                <w:lang w:bidi="ar"/>
              </w:rPr>
              <w:t>21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9937E96">
            <w:pPr>
              <w:widowControl/>
              <w:jc w:val="center"/>
              <w:textAlignment w:val="center"/>
              <w:rPr>
                <w:szCs w:val="21"/>
              </w:rPr>
            </w:pPr>
            <w:r>
              <w:rPr>
                <w:kern w:val="0"/>
                <w:szCs w:val="21"/>
                <w:lang w:bidi="ar"/>
              </w:rPr>
              <w:t>14.43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DEE6B5B">
            <w:pPr>
              <w:widowControl/>
              <w:jc w:val="center"/>
              <w:textAlignment w:val="center"/>
              <w:rPr>
                <w:szCs w:val="21"/>
              </w:rPr>
            </w:pPr>
            <w:r>
              <w:rPr>
                <w:kern w:val="0"/>
                <w:szCs w:val="21"/>
                <w:lang w:bidi="ar"/>
              </w:rPr>
              <w:t>7.22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4898F0E">
            <w:pPr>
              <w:widowControl/>
              <w:jc w:val="center"/>
              <w:textAlignment w:val="center"/>
              <w:rPr>
                <w:szCs w:val="21"/>
              </w:rPr>
            </w:pPr>
            <w:r>
              <w:rPr>
                <w:kern w:val="0"/>
                <w:szCs w:val="21"/>
                <w:lang w:bidi="ar"/>
              </w:rPr>
              <w:t>0.836522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F0B206F">
            <w:pPr>
              <w:widowControl/>
              <w:jc w:val="center"/>
              <w:textAlignment w:val="center"/>
              <w:rPr>
                <w:szCs w:val="21"/>
              </w:rPr>
            </w:pPr>
            <w:r>
              <w:rPr>
                <w:kern w:val="0"/>
                <w:szCs w:val="21"/>
                <w:lang w:bidi="ar"/>
              </w:rPr>
              <w:t>8.37</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553612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5D40BB6">
            <w:pPr>
              <w:widowControl/>
              <w:jc w:val="center"/>
              <w:textAlignment w:val="center"/>
              <w:rPr>
                <w:szCs w:val="21"/>
              </w:rPr>
            </w:pPr>
            <w:r>
              <w:rPr>
                <w:kern w:val="0"/>
                <w:szCs w:val="21"/>
                <w:lang w:bidi="ar"/>
              </w:rPr>
              <w:t>不出现</w:t>
            </w:r>
          </w:p>
        </w:tc>
      </w:tr>
      <w:tr w14:paraId="693DB0BA">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9C6D840">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3EA7197D">
            <w:pPr>
              <w:widowControl/>
              <w:jc w:val="center"/>
              <w:textAlignment w:val="center"/>
              <w:rPr>
                <w:szCs w:val="21"/>
              </w:rPr>
            </w:pPr>
            <w:r>
              <w:rPr>
                <w:kern w:val="0"/>
                <w:szCs w:val="21"/>
                <w:lang w:bidi="ar"/>
              </w:rPr>
              <w:t>5号地大河边养殖区污水处理站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F07AC31">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7D30218">
            <w:pPr>
              <w:widowControl/>
              <w:jc w:val="center"/>
              <w:textAlignment w:val="center"/>
              <w:rPr>
                <w:szCs w:val="21"/>
              </w:rPr>
            </w:pPr>
            <w:r>
              <w:rPr>
                <w:kern w:val="0"/>
                <w:szCs w:val="21"/>
                <w:lang w:bidi="ar"/>
              </w:rPr>
              <w:t>0.78381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AACA858">
            <w:pPr>
              <w:widowControl/>
              <w:jc w:val="center"/>
              <w:textAlignment w:val="center"/>
              <w:rPr>
                <w:szCs w:val="21"/>
              </w:rPr>
            </w:pPr>
            <w:r>
              <w:rPr>
                <w:kern w:val="0"/>
                <w:szCs w:val="21"/>
                <w:lang w:bidi="ar"/>
              </w:rPr>
              <w:t>0.39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B3D16AE">
            <w:pPr>
              <w:widowControl/>
              <w:jc w:val="center"/>
              <w:textAlignment w:val="center"/>
              <w:rPr>
                <w:szCs w:val="21"/>
              </w:rPr>
            </w:pPr>
            <w:r>
              <w:rPr>
                <w:kern w:val="0"/>
                <w:szCs w:val="21"/>
                <w:lang w:bidi="ar"/>
              </w:rPr>
              <w:t>0.030341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5F6D795">
            <w:pPr>
              <w:widowControl/>
              <w:jc w:val="center"/>
              <w:textAlignment w:val="center"/>
              <w:rPr>
                <w:szCs w:val="21"/>
              </w:rPr>
            </w:pPr>
            <w:r>
              <w:rPr>
                <w:kern w:val="0"/>
                <w:szCs w:val="21"/>
                <w:lang w:bidi="ar"/>
              </w:rPr>
              <w:t>0.3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8CE0D1D">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B866C6E">
            <w:pPr>
              <w:widowControl/>
              <w:jc w:val="center"/>
              <w:textAlignment w:val="center"/>
              <w:rPr>
                <w:szCs w:val="21"/>
              </w:rPr>
            </w:pPr>
            <w:r>
              <w:rPr>
                <w:kern w:val="0"/>
                <w:szCs w:val="21"/>
                <w:lang w:bidi="ar"/>
              </w:rPr>
              <w:t>不出现</w:t>
            </w:r>
          </w:p>
        </w:tc>
      </w:tr>
      <w:tr w14:paraId="51776886">
        <w:tblPrEx>
          <w:tblCellMar>
            <w:top w:w="0" w:type="dxa"/>
            <w:left w:w="108" w:type="dxa"/>
            <w:bottom w:w="0" w:type="dxa"/>
            <w:right w:w="108" w:type="dxa"/>
          </w:tblCellMar>
        </w:tblPrEx>
        <w:trPr>
          <w:trHeight w:val="300" w:hRule="atLeast"/>
        </w:trPr>
        <w:tc>
          <w:tcPr>
            <w:tcW w:w="1380" w:type="pct"/>
            <w:gridSpan w:val="2"/>
            <w:tcBorders>
              <w:top w:val="single" w:color="000000" w:sz="4" w:space="0"/>
              <w:left w:val="single" w:color="000000" w:sz="4" w:space="0"/>
              <w:bottom w:val="single" w:color="000000" w:sz="4" w:space="0"/>
              <w:right w:val="single" w:color="000000" w:sz="4" w:space="0"/>
            </w:tcBorders>
            <w:noWrap/>
            <w:vAlign w:val="center"/>
          </w:tcPr>
          <w:p w14:paraId="48CC51E0">
            <w:pPr>
              <w:widowControl/>
              <w:jc w:val="center"/>
              <w:textAlignment w:val="center"/>
              <w:rPr>
                <w:szCs w:val="21"/>
              </w:rPr>
            </w:pPr>
            <w:r>
              <w:rPr>
                <w:kern w:val="0"/>
                <w:szCs w:val="21"/>
                <w:lang w:bidi="ar"/>
              </w:rPr>
              <w:t>各源最大值</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C504D86">
            <w:pPr>
              <w:widowControl/>
              <w:jc w:val="center"/>
              <w:textAlignment w:val="center"/>
              <w:rPr>
                <w:szCs w:val="21"/>
              </w:rPr>
            </w:pPr>
            <w:r>
              <w:rPr>
                <w:kern w:val="0"/>
                <w:szCs w:val="21"/>
                <w:lang w:bidi="ar"/>
              </w:rPr>
              <w:t>--</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7F2529E">
            <w:pPr>
              <w:widowControl/>
              <w:jc w:val="center"/>
              <w:textAlignment w:val="center"/>
              <w:rPr>
                <w:szCs w:val="21"/>
              </w:rPr>
            </w:pPr>
            <w:r>
              <w:rPr>
                <w:kern w:val="0"/>
                <w:szCs w:val="21"/>
                <w:lang w:bidi="ar"/>
              </w:rPr>
              <w:t>16.843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EA010E3">
            <w:pPr>
              <w:widowControl/>
              <w:jc w:val="center"/>
              <w:textAlignment w:val="center"/>
              <w:rPr>
                <w:szCs w:val="21"/>
              </w:rPr>
            </w:pPr>
            <w:r>
              <w:rPr>
                <w:kern w:val="0"/>
                <w:szCs w:val="21"/>
                <w:lang w:bidi="ar"/>
              </w:rPr>
              <w:t>8.42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8EA5236">
            <w:pPr>
              <w:widowControl/>
              <w:jc w:val="center"/>
              <w:textAlignment w:val="center"/>
              <w:rPr>
                <w:szCs w:val="21"/>
              </w:rPr>
            </w:pPr>
            <w:r>
              <w:rPr>
                <w:kern w:val="0"/>
                <w:szCs w:val="21"/>
                <w:lang w:bidi="ar"/>
              </w:rPr>
              <w:t>0.982783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6672117">
            <w:pPr>
              <w:widowControl/>
              <w:jc w:val="center"/>
              <w:textAlignment w:val="center"/>
              <w:rPr>
                <w:szCs w:val="21"/>
              </w:rPr>
            </w:pPr>
            <w:r>
              <w:rPr>
                <w:kern w:val="0"/>
                <w:szCs w:val="21"/>
                <w:lang w:bidi="ar"/>
              </w:rPr>
              <w:t>9.83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AE6CDDF">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523A197">
            <w:pPr>
              <w:widowControl/>
              <w:jc w:val="center"/>
              <w:textAlignment w:val="center"/>
              <w:rPr>
                <w:szCs w:val="21"/>
              </w:rPr>
            </w:pPr>
            <w:r>
              <w:rPr>
                <w:kern w:val="0"/>
                <w:szCs w:val="21"/>
                <w:lang w:bidi="ar"/>
              </w:rPr>
              <w:t>不出现</w:t>
            </w:r>
          </w:p>
        </w:tc>
      </w:tr>
    </w:tbl>
    <w:p w14:paraId="51D77834">
      <w:pPr>
        <w:snapToGrid w:val="0"/>
        <w:spacing w:before="120" w:beforeLines="50" w:line="360" w:lineRule="auto"/>
        <w:ind w:firstLine="480" w:firstLineChars="200"/>
        <w:rPr>
          <w:snapToGrid w:val="0"/>
          <w:sz w:val="24"/>
        </w:rPr>
      </w:pPr>
      <w:r>
        <w:rPr>
          <w:bCs/>
          <w:sz w:val="24"/>
        </w:rPr>
        <w:t>由上表可知</w:t>
      </w:r>
      <w:r>
        <w:rPr>
          <w:sz w:val="24"/>
        </w:rPr>
        <w:t>本项目大气评价等级为二级。</w:t>
      </w:r>
    </w:p>
    <w:p w14:paraId="6F863C2F">
      <w:pPr>
        <w:spacing w:line="360" w:lineRule="auto"/>
        <w:ind w:firstLine="354" w:firstLineChars="147"/>
        <w:rPr>
          <w:b/>
          <w:sz w:val="24"/>
        </w:rPr>
      </w:pPr>
      <w:r>
        <w:rPr>
          <w:b/>
          <w:sz w:val="24"/>
        </w:rPr>
        <w:t>（2）地表水环境</w:t>
      </w:r>
    </w:p>
    <w:p w14:paraId="3C7EB7BD">
      <w:pPr>
        <w:spacing w:line="360" w:lineRule="auto"/>
        <w:ind w:firstLine="480" w:firstLineChars="200"/>
        <w:rPr>
          <w:sz w:val="24"/>
        </w:rPr>
      </w:pPr>
      <w:r>
        <w:rPr>
          <w:snapToGrid w:val="0"/>
          <w:kern w:val="0"/>
          <w:sz w:val="24"/>
        </w:rPr>
        <w:t>项目产生废水主要是施工期的施工废水，运行期生活及生产过程中带来的日常生活污水、猪尿等废水。由于该项目产生废水所含污染物成份为简单，</w:t>
      </w:r>
      <w:r>
        <w:rPr>
          <w:sz w:val="24"/>
        </w:rPr>
        <w:t>“集中收集+固液分离+平流气浮+调节池+沼气池（UASB反应器）+沼液储存池”，处理后回用于自有苹果园作肥水消纳，不排入周边地表水体。根据HJ2.3-2018《环境影响评价技术导则 地面水环境》，确定地表水环境影响评价等级为三级B，本项目污水不排入地表水体，重点评价污水处理后回用的可行性和可靠性。</w:t>
      </w:r>
    </w:p>
    <w:p w14:paraId="67AAFA09">
      <w:pPr>
        <w:spacing w:line="360" w:lineRule="auto"/>
        <w:ind w:firstLine="480" w:firstLineChars="200"/>
        <w:rPr>
          <w:snapToGrid w:val="0"/>
          <w:kern w:val="0"/>
          <w:sz w:val="24"/>
        </w:rPr>
      </w:pPr>
      <w:r>
        <w:rPr>
          <w:snapToGrid w:val="0"/>
          <w:kern w:val="0"/>
          <w:sz w:val="24"/>
        </w:rPr>
        <w:t>评价工作等级按HJ2.3-2018《环境影响评价技术导则 地表水环境》评价等级判别表进行判别。</w:t>
      </w:r>
    </w:p>
    <w:p w14:paraId="61BAB2D6">
      <w:pPr>
        <w:spacing w:before="48" w:beforeLines="20"/>
        <w:jc w:val="center"/>
        <w:rPr>
          <w:b/>
          <w:lang w:bidi="ar"/>
        </w:rPr>
      </w:pPr>
      <w:r>
        <w:rPr>
          <w:b/>
          <w:sz w:val="24"/>
          <w:lang w:bidi="ar"/>
        </w:rPr>
        <w:t>表2.4-4  评价等级判别表</w:t>
      </w:r>
    </w:p>
    <w:tbl>
      <w:tblPr>
        <w:tblStyle w:val="8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66"/>
        <w:gridCol w:w="4639"/>
        <w:gridCol w:w="2192"/>
      </w:tblGrid>
      <w:tr w14:paraId="5C5B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86" w:type="pct"/>
            <w:vMerge w:val="restart"/>
            <w:tcBorders>
              <w:top w:val="single" w:color="auto" w:sz="4" w:space="0"/>
              <w:left w:val="single" w:color="auto" w:sz="4" w:space="0"/>
              <w:bottom w:val="single" w:color="auto" w:sz="4" w:space="0"/>
              <w:right w:val="single" w:color="auto" w:sz="4" w:space="0"/>
            </w:tcBorders>
            <w:shd w:val="pct10" w:color="auto" w:fill="auto"/>
            <w:noWrap w:val="0"/>
            <w:vAlign w:val="center"/>
          </w:tcPr>
          <w:p w14:paraId="22415505">
            <w:pPr>
              <w:pStyle w:val="81"/>
              <w:widowControl w:val="0"/>
              <w:ind w:left="-105" w:leftChars="-50" w:right="-105" w:rightChars="-50"/>
              <w:jc w:val="center"/>
              <w:rPr>
                <w:rFonts w:ascii="Times New Roman" w:hAnsi="Times New Roman" w:eastAsia="宋体"/>
                <w:b/>
                <w:color w:val="auto"/>
                <w:sz w:val="21"/>
                <w:szCs w:val="21"/>
              </w:rPr>
            </w:pPr>
            <w:r>
              <w:rPr>
                <w:rFonts w:ascii="Times New Roman" w:hAnsi="Times New Roman" w:eastAsia="宋体"/>
                <w:b/>
                <w:color w:val="auto"/>
                <w:sz w:val="21"/>
                <w:szCs w:val="21"/>
                <w:lang w:bidi="ar"/>
              </w:rPr>
              <w:t>评价工作等级</w:t>
            </w:r>
          </w:p>
        </w:tc>
        <w:tc>
          <w:tcPr>
            <w:tcW w:w="3228" w:type="pct"/>
            <w:gridSpan w:val="2"/>
            <w:tcBorders>
              <w:top w:val="single" w:color="auto" w:sz="4" w:space="0"/>
              <w:left w:val="single" w:color="auto" w:sz="4" w:space="0"/>
              <w:bottom w:val="single" w:color="auto" w:sz="4" w:space="0"/>
              <w:right w:val="single" w:color="auto" w:sz="4" w:space="0"/>
            </w:tcBorders>
            <w:shd w:val="pct10" w:color="auto" w:fill="auto"/>
            <w:noWrap w:val="0"/>
            <w:vAlign w:val="center"/>
          </w:tcPr>
          <w:p w14:paraId="1F7F34EA">
            <w:pPr>
              <w:pStyle w:val="81"/>
              <w:widowControl w:val="0"/>
              <w:ind w:left="-105" w:leftChars="-50" w:right="-105" w:rightChars="-50"/>
              <w:jc w:val="center"/>
              <w:rPr>
                <w:rFonts w:ascii="Times New Roman" w:hAnsi="Times New Roman" w:eastAsia="宋体"/>
                <w:b/>
                <w:color w:val="auto"/>
                <w:sz w:val="21"/>
                <w:szCs w:val="21"/>
              </w:rPr>
            </w:pPr>
            <w:r>
              <w:rPr>
                <w:rFonts w:ascii="Times New Roman" w:hAnsi="Times New Roman" w:eastAsia="宋体"/>
                <w:b/>
                <w:color w:val="auto"/>
                <w:sz w:val="21"/>
                <w:szCs w:val="21"/>
                <w:lang w:bidi="ar"/>
              </w:rPr>
              <w:t>评价工作分级判据</w:t>
            </w:r>
          </w:p>
        </w:tc>
        <w:tc>
          <w:tcPr>
            <w:tcW w:w="1285" w:type="pct"/>
            <w:vMerge w:val="restart"/>
            <w:tcBorders>
              <w:top w:val="single" w:color="auto" w:sz="4" w:space="0"/>
              <w:left w:val="single" w:color="auto" w:sz="4" w:space="0"/>
              <w:right w:val="single" w:color="auto" w:sz="4" w:space="0"/>
            </w:tcBorders>
            <w:shd w:val="pct10" w:color="auto" w:fill="auto"/>
            <w:noWrap w:val="0"/>
            <w:vAlign w:val="center"/>
          </w:tcPr>
          <w:p w14:paraId="3FE066DD">
            <w:pPr>
              <w:pStyle w:val="81"/>
              <w:jc w:val="center"/>
              <w:rPr>
                <w:rFonts w:ascii="Times New Roman" w:hAnsi="Times New Roman" w:eastAsia="宋体"/>
                <w:b/>
                <w:color w:val="auto"/>
                <w:sz w:val="21"/>
                <w:szCs w:val="21"/>
                <w:lang w:bidi="ar"/>
              </w:rPr>
            </w:pPr>
            <w:r>
              <w:rPr>
                <w:rFonts w:ascii="Times New Roman" w:hAnsi="Times New Roman" w:eastAsia="宋体"/>
                <w:b/>
                <w:color w:val="auto"/>
                <w:sz w:val="21"/>
                <w:szCs w:val="21"/>
                <w:lang w:bidi="ar"/>
              </w:rPr>
              <w:t>备注</w:t>
            </w:r>
          </w:p>
        </w:tc>
      </w:tr>
      <w:tr w14:paraId="4B7C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86" w:type="pct"/>
            <w:vMerge w:val="continue"/>
            <w:tcBorders>
              <w:top w:val="single" w:color="auto" w:sz="4" w:space="0"/>
              <w:left w:val="single" w:color="auto" w:sz="4" w:space="0"/>
              <w:bottom w:val="single" w:color="auto" w:sz="4" w:space="0"/>
              <w:right w:val="single" w:color="auto" w:sz="4" w:space="0"/>
            </w:tcBorders>
            <w:shd w:val="pct10" w:color="auto" w:fill="auto"/>
            <w:noWrap w:val="0"/>
            <w:vAlign w:val="center"/>
          </w:tcPr>
          <w:p w14:paraId="4DEE860A">
            <w:pPr>
              <w:ind w:left="-105" w:leftChars="-50" w:right="-105" w:rightChars="-50"/>
              <w:rPr>
                <w:szCs w:val="21"/>
              </w:rPr>
            </w:pPr>
          </w:p>
        </w:tc>
        <w:tc>
          <w:tcPr>
            <w:tcW w:w="508" w:type="pct"/>
            <w:tcBorders>
              <w:top w:val="single" w:color="auto" w:sz="4" w:space="0"/>
              <w:left w:val="single" w:color="auto" w:sz="4" w:space="0"/>
              <w:bottom w:val="single" w:color="auto" w:sz="4" w:space="0"/>
              <w:right w:val="single" w:color="auto" w:sz="4" w:space="0"/>
            </w:tcBorders>
            <w:shd w:val="pct10" w:color="auto" w:fill="auto"/>
            <w:noWrap w:val="0"/>
            <w:vAlign w:val="center"/>
          </w:tcPr>
          <w:p w14:paraId="51B2F9AA">
            <w:pPr>
              <w:pStyle w:val="81"/>
              <w:widowControl w:val="0"/>
              <w:ind w:left="-105" w:leftChars="-50" w:right="-105" w:rightChars="-50"/>
              <w:jc w:val="center"/>
              <w:rPr>
                <w:rFonts w:ascii="Times New Roman" w:hAnsi="Times New Roman" w:eastAsia="宋体"/>
                <w:b/>
                <w:color w:val="auto"/>
                <w:sz w:val="21"/>
                <w:szCs w:val="21"/>
              </w:rPr>
            </w:pPr>
            <w:r>
              <w:rPr>
                <w:rFonts w:ascii="Times New Roman" w:hAnsi="Times New Roman" w:eastAsia="宋体"/>
                <w:b/>
                <w:color w:val="auto"/>
                <w:sz w:val="21"/>
                <w:szCs w:val="21"/>
                <w:lang w:bidi="ar"/>
              </w:rPr>
              <w:t>排放方式</w:t>
            </w:r>
          </w:p>
        </w:tc>
        <w:tc>
          <w:tcPr>
            <w:tcW w:w="2720" w:type="pct"/>
            <w:tcBorders>
              <w:top w:val="single" w:color="auto" w:sz="4" w:space="0"/>
              <w:left w:val="single" w:color="auto" w:sz="4" w:space="0"/>
              <w:bottom w:val="single" w:color="auto" w:sz="4" w:space="0"/>
              <w:right w:val="single" w:color="auto" w:sz="4" w:space="0"/>
            </w:tcBorders>
            <w:shd w:val="pct10" w:color="auto" w:fill="auto"/>
            <w:noWrap w:val="0"/>
            <w:vAlign w:val="center"/>
          </w:tcPr>
          <w:p w14:paraId="4B32C709">
            <w:pPr>
              <w:pStyle w:val="81"/>
              <w:widowControl w:val="0"/>
              <w:ind w:left="-105" w:leftChars="-50" w:right="-105" w:rightChars="-50"/>
              <w:jc w:val="center"/>
              <w:rPr>
                <w:rFonts w:ascii="Times New Roman" w:hAnsi="Times New Roman" w:eastAsia="宋体"/>
                <w:b/>
                <w:color w:val="auto"/>
                <w:sz w:val="21"/>
                <w:szCs w:val="21"/>
              </w:rPr>
            </w:pPr>
            <w:r>
              <w:rPr>
                <w:rFonts w:ascii="Times New Roman" w:hAnsi="Times New Roman" w:eastAsia="宋体"/>
                <w:b/>
                <w:color w:val="auto"/>
                <w:sz w:val="21"/>
                <w:szCs w:val="21"/>
                <w:lang w:bidi="ar"/>
              </w:rPr>
              <w:t>废水排放量</w:t>
            </w:r>
            <w:r>
              <w:rPr>
                <w:rFonts w:ascii="Times New Roman" w:hAnsi="Times New Roman" w:eastAsia="宋体"/>
                <w:b/>
                <w:i/>
                <w:color w:val="auto"/>
                <w:sz w:val="21"/>
                <w:szCs w:val="21"/>
                <w:lang w:bidi="ar"/>
              </w:rPr>
              <w:t>Q</w:t>
            </w:r>
            <w:r>
              <w:rPr>
                <w:rFonts w:ascii="Times New Roman" w:hAnsi="Times New Roman" w:eastAsia="宋体"/>
                <w:b/>
                <w:color w:val="auto"/>
                <w:sz w:val="21"/>
                <w:szCs w:val="21"/>
                <w:lang w:bidi="ar"/>
              </w:rPr>
              <w:t>/（m</w:t>
            </w:r>
            <w:r>
              <w:rPr>
                <w:rFonts w:ascii="Times New Roman" w:hAnsi="Times New Roman" w:eastAsia="宋体"/>
                <w:b/>
                <w:color w:val="auto"/>
                <w:sz w:val="21"/>
                <w:szCs w:val="21"/>
                <w:vertAlign w:val="superscript"/>
                <w:lang w:bidi="ar"/>
              </w:rPr>
              <w:t>3</w:t>
            </w:r>
            <w:r>
              <w:rPr>
                <w:rFonts w:ascii="Times New Roman" w:hAnsi="Times New Roman" w:eastAsia="宋体"/>
                <w:b/>
                <w:color w:val="auto"/>
                <w:sz w:val="21"/>
                <w:szCs w:val="21"/>
                <w:lang w:bidi="ar"/>
              </w:rPr>
              <w:t>/d）；水污染物当量数</w:t>
            </w:r>
            <w:r>
              <w:rPr>
                <w:rFonts w:ascii="Times New Roman" w:hAnsi="Times New Roman" w:eastAsia="宋体"/>
                <w:b/>
                <w:i/>
                <w:color w:val="auto"/>
                <w:sz w:val="21"/>
                <w:szCs w:val="21"/>
                <w:lang w:bidi="ar"/>
              </w:rPr>
              <w:t>W</w:t>
            </w:r>
            <w:r>
              <w:rPr>
                <w:rFonts w:ascii="Times New Roman" w:hAnsi="Times New Roman" w:eastAsia="宋体"/>
                <w:b/>
                <w:color w:val="auto"/>
                <w:sz w:val="21"/>
                <w:szCs w:val="21"/>
                <w:lang w:bidi="ar"/>
              </w:rPr>
              <w:t>/（无量纲）</w:t>
            </w:r>
          </w:p>
        </w:tc>
        <w:tc>
          <w:tcPr>
            <w:tcW w:w="1285" w:type="pct"/>
            <w:vMerge w:val="continue"/>
            <w:tcBorders>
              <w:left w:val="single" w:color="auto" w:sz="4" w:space="0"/>
              <w:bottom w:val="single" w:color="auto" w:sz="4" w:space="0"/>
              <w:right w:val="single" w:color="auto" w:sz="4" w:space="0"/>
            </w:tcBorders>
            <w:shd w:val="pct10" w:color="auto" w:fill="auto"/>
            <w:noWrap w:val="0"/>
            <w:vAlign w:val="center"/>
          </w:tcPr>
          <w:p w14:paraId="2482015C">
            <w:pPr>
              <w:pStyle w:val="81"/>
              <w:jc w:val="center"/>
              <w:rPr>
                <w:rFonts w:ascii="Times New Roman" w:hAnsi="Times New Roman" w:eastAsia="宋体"/>
                <w:b/>
                <w:color w:val="auto"/>
                <w:sz w:val="21"/>
                <w:szCs w:val="21"/>
                <w:lang w:bidi="ar"/>
              </w:rPr>
            </w:pPr>
          </w:p>
        </w:tc>
      </w:tr>
      <w:tr w14:paraId="367C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336A960A">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一级</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1EA3382">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直接排放</w:t>
            </w:r>
          </w:p>
        </w:tc>
        <w:tc>
          <w:tcPr>
            <w:tcW w:w="2720" w:type="pct"/>
            <w:tcBorders>
              <w:top w:val="single" w:color="auto" w:sz="4" w:space="0"/>
              <w:left w:val="single" w:color="auto" w:sz="4" w:space="0"/>
              <w:bottom w:val="single" w:color="auto" w:sz="4" w:space="0"/>
              <w:right w:val="single" w:color="auto" w:sz="4" w:space="0"/>
            </w:tcBorders>
            <w:noWrap w:val="0"/>
            <w:vAlign w:val="center"/>
          </w:tcPr>
          <w:p w14:paraId="5D153004">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Q≥20000或W≥600000</w:t>
            </w:r>
          </w:p>
        </w:tc>
        <w:tc>
          <w:tcPr>
            <w:tcW w:w="1285" w:type="pct"/>
            <w:vMerge w:val="restart"/>
            <w:tcBorders>
              <w:top w:val="single" w:color="auto" w:sz="4" w:space="0"/>
              <w:left w:val="single" w:color="auto" w:sz="4" w:space="0"/>
              <w:right w:val="single" w:color="auto" w:sz="4" w:space="0"/>
            </w:tcBorders>
            <w:noWrap w:val="0"/>
            <w:vAlign w:val="center"/>
          </w:tcPr>
          <w:p w14:paraId="43BC9795">
            <w:pPr>
              <w:pStyle w:val="81"/>
              <w:jc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建设项目生产工艺中有废水产生，但作为回水利用，不排放到外环境的，按三级B评价</w:t>
            </w:r>
          </w:p>
        </w:tc>
      </w:tr>
      <w:tr w14:paraId="0446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1C5536C8">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二级</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4007982">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直接排放</w:t>
            </w:r>
          </w:p>
        </w:tc>
        <w:tc>
          <w:tcPr>
            <w:tcW w:w="2720" w:type="pct"/>
            <w:tcBorders>
              <w:top w:val="single" w:color="auto" w:sz="4" w:space="0"/>
              <w:left w:val="single" w:color="auto" w:sz="4" w:space="0"/>
              <w:bottom w:val="single" w:color="auto" w:sz="4" w:space="0"/>
              <w:right w:val="single" w:color="auto" w:sz="4" w:space="0"/>
            </w:tcBorders>
            <w:noWrap w:val="0"/>
            <w:vAlign w:val="center"/>
          </w:tcPr>
          <w:p w14:paraId="7D6E26EE">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其他</w:t>
            </w:r>
          </w:p>
        </w:tc>
        <w:tc>
          <w:tcPr>
            <w:tcW w:w="1285" w:type="pct"/>
            <w:vMerge w:val="continue"/>
            <w:tcBorders>
              <w:left w:val="single" w:color="auto" w:sz="4" w:space="0"/>
              <w:right w:val="single" w:color="auto" w:sz="4" w:space="0"/>
            </w:tcBorders>
            <w:noWrap w:val="0"/>
            <w:vAlign w:val="center"/>
          </w:tcPr>
          <w:p w14:paraId="6759DC58">
            <w:pPr>
              <w:pStyle w:val="81"/>
              <w:jc w:val="center"/>
              <w:rPr>
                <w:rFonts w:ascii="Times New Roman" w:hAnsi="Times New Roman" w:eastAsia="宋体"/>
                <w:color w:val="auto"/>
                <w:sz w:val="21"/>
                <w:szCs w:val="21"/>
                <w:lang w:bidi="ar"/>
              </w:rPr>
            </w:pPr>
          </w:p>
        </w:tc>
      </w:tr>
      <w:tr w14:paraId="6772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02DACA20">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三级A</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43AE2EA8">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直接排放</w:t>
            </w:r>
          </w:p>
        </w:tc>
        <w:tc>
          <w:tcPr>
            <w:tcW w:w="2720" w:type="pct"/>
            <w:tcBorders>
              <w:top w:val="single" w:color="auto" w:sz="4" w:space="0"/>
              <w:left w:val="single" w:color="auto" w:sz="4" w:space="0"/>
              <w:bottom w:val="single" w:color="auto" w:sz="4" w:space="0"/>
              <w:right w:val="single" w:color="auto" w:sz="4" w:space="0"/>
            </w:tcBorders>
            <w:noWrap w:val="0"/>
            <w:vAlign w:val="center"/>
          </w:tcPr>
          <w:p w14:paraId="0347C1E3">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Q＜200且W＜6000</w:t>
            </w:r>
          </w:p>
        </w:tc>
        <w:tc>
          <w:tcPr>
            <w:tcW w:w="1285" w:type="pct"/>
            <w:vMerge w:val="continue"/>
            <w:tcBorders>
              <w:left w:val="single" w:color="auto" w:sz="4" w:space="0"/>
              <w:right w:val="single" w:color="auto" w:sz="4" w:space="0"/>
            </w:tcBorders>
            <w:noWrap w:val="0"/>
            <w:vAlign w:val="center"/>
          </w:tcPr>
          <w:p w14:paraId="5E9D47C6">
            <w:pPr>
              <w:pStyle w:val="81"/>
              <w:jc w:val="center"/>
              <w:rPr>
                <w:rFonts w:ascii="Times New Roman" w:hAnsi="Times New Roman" w:eastAsia="宋体"/>
                <w:color w:val="auto"/>
                <w:sz w:val="21"/>
                <w:szCs w:val="21"/>
                <w:lang w:bidi="ar"/>
              </w:rPr>
            </w:pPr>
          </w:p>
        </w:tc>
      </w:tr>
      <w:tr w14:paraId="6901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0F984A4F">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三级B</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7737DF9E">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间接排放</w:t>
            </w:r>
          </w:p>
        </w:tc>
        <w:tc>
          <w:tcPr>
            <w:tcW w:w="2720" w:type="pct"/>
            <w:tcBorders>
              <w:top w:val="single" w:color="auto" w:sz="4" w:space="0"/>
              <w:left w:val="single" w:color="auto" w:sz="4" w:space="0"/>
              <w:bottom w:val="single" w:color="auto" w:sz="4" w:space="0"/>
              <w:right w:val="single" w:color="auto" w:sz="4" w:space="0"/>
            </w:tcBorders>
            <w:noWrap w:val="0"/>
            <w:vAlign w:val="center"/>
          </w:tcPr>
          <w:p w14:paraId="09C9102A">
            <w:pPr>
              <w:pStyle w:val="81"/>
              <w:widowControl w:val="0"/>
              <w:ind w:left="-105" w:leftChars="-50" w:right="-105" w:rightChars="-50"/>
              <w:jc w:val="center"/>
              <w:rPr>
                <w:rFonts w:ascii="Times New Roman" w:hAnsi="Times New Roman" w:eastAsia="宋体"/>
                <w:color w:val="auto"/>
                <w:sz w:val="21"/>
                <w:szCs w:val="21"/>
              </w:rPr>
            </w:pPr>
            <w:r>
              <w:rPr>
                <w:rFonts w:ascii="Times New Roman" w:hAnsi="Times New Roman" w:eastAsia="宋体"/>
                <w:color w:val="auto"/>
                <w:sz w:val="21"/>
                <w:szCs w:val="21"/>
                <w:lang w:bidi="ar"/>
              </w:rPr>
              <w:t>--</w:t>
            </w:r>
          </w:p>
        </w:tc>
        <w:tc>
          <w:tcPr>
            <w:tcW w:w="1285" w:type="pct"/>
            <w:vMerge w:val="continue"/>
            <w:tcBorders>
              <w:left w:val="single" w:color="auto" w:sz="4" w:space="0"/>
              <w:bottom w:val="single" w:color="auto" w:sz="4" w:space="0"/>
              <w:right w:val="single" w:color="auto" w:sz="4" w:space="0"/>
            </w:tcBorders>
            <w:noWrap w:val="0"/>
            <w:vAlign w:val="center"/>
          </w:tcPr>
          <w:p w14:paraId="6AFBB1D1">
            <w:pPr>
              <w:pStyle w:val="81"/>
              <w:jc w:val="center"/>
              <w:rPr>
                <w:rFonts w:ascii="Times New Roman" w:hAnsi="Times New Roman" w:eastAsia="宋体"/>
                <w:color w:val="auto"/>
                <w:sz w:val="21"/>
                <w:szCs w:val="21"/>
                <w:lang w:bidi="ar"/>
              </w:rPr>
            </w:pPr>
          </w:p>
        </w:tc>
      </w:tr>
    </w:tbl>
    <w:p w14:paraId="0A1487CA">
      <w:pPr>
        <w:pStyle w:val="47"/>
        <w:rPr>
          <w:rFonts w:ascii="Times New Roman" w:hAnsi="Times New Roman" w:cs="Times New Roman"/>
        </w:rPr>
      </w:pPr>
    </w:p>
    <w:p w14:paraId="0D9DA7DB">
      <w:pPr>
        <w:spacing w:line="360" w:lineRule="auto"/>
        <w:ind w:firstLine="482" w:firstLineChars="200"/>
        <w:rPr>
          <w:b/>
          <w:sz w:val="24"/>
        </w:rPr>
      </w:pPr>
      <w:r>
        <w:rPr>
          <w:b/>
          <w:sz w:val="24"/>
        </w:rPr>
        <w:t>（3）地下水环境</w:t>
      </w:r>
    </w:p>
    <w:p w14:paraId="26D10CC3">
      <w:pPr>
        <w:spacing w:line="360" w:lineRule="auto"/>
        <w:ind w:firstLine="480" w:firstLineChars="200"/>
        <w:rPr>
          <w:sz w:val="24"/>
        </w:rPr>
      </w:pPr>
      <w:r>
        <w:rPr>
          <w:sz w:val="24"/>
        </w:rPr>
        <w:t>根据《环境影响评价技术导则 地下水环境》（HJ610-2016），本项目属于《环境影响评价技术导则 地下水环境》（HJ610-2016）中附录A“地下水环境影响评价行业分类表”，畜禽养殖场、养殖小区为Ⅲ类项目。建设项目的地下水环境敏感程度可分为敏感、较敏感、不敏感三级，分级原则下表。</w:t>
      </w:r>
    </w:p>
    <w:p w14:paraId="77F89910">
      <w:pPr>
        <w:spacing w:line="360" w:lineRule="auto"/>
        <w:ind w:firstLine="211" w:firstLineChars="100"/>
        <w:jc w:val="center"/>
      </w:pPr>
      <w:r>
        <w:rPr>
          <w:b/>
        </w:rPr>
        <w:t>表2.4-5 地下水环境敏感程度分级表</w:t>
      </w:r>
    </w:p>
    <w:tbl>
      <w:tblPr>
        <w:tblStyle w:val="8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0"/>
        <w:gridCol w:w="7288"/>
      </w:tblGrid>
      <w:tr w14:paraId="46E5F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40" w:type="dxa"/>
            <w:noWrap w:val="0"/>
            <w:vAlign w:val="center"/>
          </w:tcPr>
          <w:p w14:paraId="43020CA0">
            <w:pPr>
              <w:ind w:left="-105" w:leftChars="-50" w:right="-105" w:rightChars="-50"/>
              <w:jc w:val="center"/>
              <w:rPr>
                <w:szCs w:val="21"/>
              </w:rPr>
            </w:pPr>
            <w:r>
              <w:rPr>
                <w:szCs w:val="21"/>
              </w:rPr>
              <w:t>敏感程度</w:t>
            </w:r>
          </w:p>
        </w:tc>
        <w:tc>
          <w:tcPr>
            <w:tcW w:w="7288" w:type="dxa"/>
            <w:noWrap w:val="0"/>
            <w:vAlign w:val="center"/>
          </w:tcPr>
          <w:p w14:paraId="028D0E4E">
            <w:pPr>
              <w:ind w:left="-105" w:leftChars="-50" w:right="-105" w:rightChars="-50"/>
              <w:jc w:val="center"/>
              <w:rPr>
                <w:szCs w:val="21"/>
              </w:rPr>
            </w:pPr>
            <w:r>
              <w:rPr>
                <w:szCs w:val="21"/>
              </w:rPr>
              <w:t>地下水环境敏感特征</w:t>
            </w:r>
          </w:p>
        </w:tc>
      </w:tr>
      <w:tr w14:paraId="1043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0" w:type="dxa"/>
            <w:noWrap w:val="0"/>
            <w:vAlign w:val="center"/>
          </w:tcPr>
          <w:p w14:paraId="180727C4">
            <w:pPr>
              <w:ind w:left="-105" w:leftChars="-50" w:right="-105" w:rightChars="-50"/>
              <w:jc w:val="center"/>
              <w:rPr>
                <w:szCs w:val="21"/>
              </w:rPr>
            </w:pPr>
            <w:r>
              <w:rPr>
                <w:szCs w:val="21"/>
              </w:rPr>
              <w:t>敏感</w:t>
            </w:r>
          </w:p>
        </w:tc>
        <w:tc>
          <w:tcPr>
            <w:tcW w:w="7288" w:type="dxa"/>
            <w:noWrap w:val="0"/>
            <w:vAlign w:val="center"/>
          </w:tcPr>
          <w:p w14:paraId="34C4F4F3">
            <w:pPr>
              <w:ind w:left="-105" w:leftChars="-50" w:right="-105" w:rightChars="-50"/>
              <w:jc w:val="center"/>
              <w:rPr>
                <w:szCs w:val="21"/>
              </w:rPr>
            </w:pPr>
            <w:r>
              <w:rPr>
                <w:szCs w:val="21"/>
              </w:rPr>
              <w:t>集中式饮用水水源（包括已建成的在用、备用、应急水源，在建和规划的饮用水水源）准保护区；除集中饮用水水源以外的国家或地方政府设定的与地下水环境相关的其他保护区，如热水、矿泉水、温泉等特殊地下水资源保护区。</w:t>
            </w:r>
          </w:p>
        </w:tc>
      </w:tr>
      <w:tr w14:paraId="4C7C3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0" w:type="dxa"/>
            <w:noWrap w:val="0"/>
            <w:vAlign w:val="center"/>
          </w:tcPr>
          <w:p w14:paraId="658CC56F">
            <w:pPr>
              <w:ind w:left="-105" w:leftChars="-50" w:right="-105" w:rightChars="-50"/>
              <w:jc w:val="center"/>
              <w:rPr>
                <w:szCs w:val="21"/>
              </w:rPr>
            </w:pPr>
            <w:r>
              <w:rPr>
                <w:szCs w:val="21"/>
              </w:rPr>
              <w:t>较敏感</w:t>
            </w:r>
          </w:p>
        </w:tc>
        <w:tc>
          <w:tcPr>
            <w:tcW w:w="7288" w:type="dxa"/>
            <w:noWrap w:val="0"/>
            <w:vAlign w:val="center"/>
          </w:tcPr>
          <w:p w14:paraId="4C003D4D">
            <w:pPr>
              <w:ind w:left="-105" w:leftChars="-50" w:right="-105" w:rightChars="-50"/>
              <w:jc w:val="center"/>
              <w:rPr>
                <w:szCs w:val="21"/>
              </w:rPr>
            </w:pPr>
            <w:r>
              <w:rPr>
                <w:szCs w:val="21"/>
              </w:rPr>
              <w:t>集中式饮用水水源（包括已建成的在用、备用、应急水源，在建和规划的饮用水水源）准保护区以外的补给径流区 ；未划定准保护区的集中水式饮用水水源，其保护区以外的补给径流区；分散式饮用水水源地；特殊地下水资源（矿泉水、温泉等）保护区以外的分布区等其他未列入上述敏感分级的环境敏感区。</w:t>
            </w:r>
          </w:p>
        </w:tc>
      </w:tr>
      <w:tr w14:paraId="7F12C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0" w:type="dxa"/>
            <w:noWrap w:val="0"/>
            <w:vAlign w:val="center"/>
          </w:tcPr>
          <w:p w14:paraId="4FB16263">
            <w:pPr>
              <w:ind w:left="-105" w:leftChars="-50" w:right="-105" w:rightChars="-50"/>
              <w:jc w:val="center"/>
              <w:rPr>
                <w:szCs w:val="21"/>
              </w:rPr>
            </w:pPr>
            <w:r>
              <w:rPr>
                <w:szCs w:val="21"/>
              </w:rPr>
              <w:t>不敏感</w:t>
            </w:r>
          </w:p>
        </w:tc>
        <w:tc>
          <w:tcPr>
            <w:tcW w:w="7288" w:type="dxa"/>
            <w:noWrap w:val="0"/>
            <w:vAlign w:val="center"/>
          </w:tcPr>
          <w:p w14:paraId="096807F4">
            <w:pPr>
              <w:ind w:left="-105" w:leftChars="-50" w:right="-105" w:rightChars="-50"/>
              <w:jc w:val="center"/>
              <w:rPr>
                <w:szCs w:val="21"/>
              </w:rPr>
            </w:pPr>
            <w:r>
              <w:rPr>
                <w:szCs w:val="21"/>
              </w:rPr>
              <w:t>上述地区之外的其他地区。</w:t>
            </w:r>
          </w:p>
        </w:tc>
      </w:tr>
      <w:tr w14:paraId="53803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28" w:type="dxa"/>
            <w:gridSpan w:val="2"/>
            <w:noWrap w:val="0"/>
            <w:vAlign w:val="center"/>
          </w:tcPr>
          <w:p w14:paraId="6F76CF7B">
            <w:pPr>
              <w:ind w:left="-105" w:leftChars="-50" w:right="-105" w:rightChars="-50" w:firstLine="420" w:firstLineChars="200"/>
              <w:rPr>
                <w:szCs w:val="21"/>
              </w:rPr>
            </w:pPr>
            <w:r>
              <w:rPr>
                <w:szCs w:val="21"/>
              </w:rPr>
              <w:t>注：a“环境敏感区”是指《建设项目环境影响评价分类管理名录》中所界定的涉及地下水的环境敏感区。</w:t>
            </w:r>
          </w:p>
        </w:tc>
      </w:tr>
    </w:tbl>
    <w:p w14:paraId="40A1B8EB">
      <w:pPr>
        <w:spacing w:line="360" w:lineRule="auto"/>
        <w:ind w:firstLine="561"/>
        <w:rPr>
          <w:sz w:val="24"/>
        </w:rPr>
      </w:pPr>
      <w:r>
        <w:rPr>
          <w:sz w:val="24"/>
        </w:rPr>
        <w:t>本项目厂址周边主要为耕地，无饮用水源点等敏感目标，地下水环境敏感程度为不敏感。</w:t>
      </w:r>
    </w:p>
    <w:p w14:paraId="7B895F52">
      <w:pPr>
        <w:spacing w:line="360" w:lineRule="auto"/>
        <w:ind w:firstLine="561"/>
        <w:rPr>
          <w:sz w:val="24"/>
        </w:rPr>
      </w:pPr>
      <w:r>
        <w:rPr>
          <w:sz w:val="24"/>
        </w:rPr>
        <w:t>建设项目地下水环境影响评价工作等级划分见下表。</w:t>
      </w:r>
    </w:p>
    <w:p w14:paraId="6C91DE2F">
      <w:pPr>
        <w:spacing w:line="360" w:lineRule="auto"/>
        <w:ind w:firstLine="211" w:firstLineChars="100"/>
        <w:jc w:val="center"/>
        <w:rPr>
          <w:b/>
          <w:szCs w:val="21"/>
        </w:rPr>
      </w:pPr>
      <w:r>
        <w:rPr>
          <w:b/>
          <w:szCs w:val="21"/>
        </w:rPr>
        <w:t>表2.4-6  评价工作等级分级表</w:t>
      </w:r>
    </w:p>
    <w:tbl>
      <w:tblPr>
        <w:tblStyle w:val="8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32"/>
        <w:gridCol w:w="2132"/>
        <w:gridCol w:w="2132"/>
        <w:gridCol w:w="2132"/>
      </w:tblGrid>
      <w:tr w14:paraId="05FA5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32" w:type="dxa"/>
            <w:noWrap w:val="0"/>
            <w:vAlign w:val="center"/>
          </w:tcPr>
          <w:p w14:paraId="7001A68B">
            <w:pPr>
              <w:ind w:left="-105" w:leftChars="-50" w:right="-105" w:rightChars="-50"/>
              <w:jc w:val="center"/>
              <w:rPr>
                <w:szCs w:val="21"/>
              </w:rPr>
            </w:pPr>
            <w:r>
              <w:rPr>
                <w:szCs w:val="21"/>
              </w:rPr>
              <w:t xml:space="preserve">       项目类别</w:t>
            </w:r>
          </w:p>
          <w:p w14:paraId="108EA472">
            <w:pPr>
              <w:ind w:left="-105" w:leftChars="-50" w:right="-105" w:rightChars="-50"/>
              <w:rPr>
                <w:szCs w:val="21"/>
              </w:rPr>
            </w:pPr>
            <w:r>
              <w:rPr>
                <w:szCs w:val="21"/>
              </w:rPr>
              <w:t>环境敏感程度</w:t>
            </w:r>
          </w:p>
        </w:tc>
        <w:tc>
          <w:tcPr>
            <w:tcW w:w="2132" w:type="dxa"/>
            <w:noWrap w:val="0"/>
            <w:vAlign w:val="center"/>
          </w:tcPr>
          <w:p w14:paraId="18B19654">
            <w:pPr>
              <w:ind w:left="-105" w:leftChars="-50" w:right="-105" w:rightChars="-50"/>
              <w:jc w:val="center"/>
              <w:rPr>
                <w:szCs w:val="21"/>
              </w:rPr>
            </w:pPr>
            <w:r>
              <w:rPr>
                <w:szCs w:val="21"/>
              </w:rPr>
              <w:t>Ⅰ类项目</w:t>
            </w:r>
          </w:p>
        </w:tc>
        <w:tc>
          <w:tcPr>
            <w:tcW w:w="2132" w:type="dxa"/>
            <w:noWrap w:val="0"/>
            <w:vAlign w:val="center"/>
          </w:tcPr>
          <w:p w14:paraId="55AB0F87">
            <w:pPr>
              <w:ind w:left="-105" w:leftChars="-50" w:right="-105" w:rightChars="-50"/>
              <w:jc w:val="center"/>
              <w:rPr>
                <w:szCs w:val="21"/>
              </w:rPr>
            </w:pPr>
            <w:r>
              <w:rPr>
                <w:szCs w:val="21"/>
              </w:rPr>
              <w:t>Ⅱ类项目</w:t>
            </w:r>
          </w:p>
        </w:tc>
        <w:tc>
          <w:tcPr>
            <w:tcW w:w="2132" w:type="dxa"/>
            <w:noWrap w:val="0"/>
            <w:vAlign w:val="center"/>
          </w:tcPr>
          <w:p w14:paraId="00AEBCDE">
            <w:pPr>
              <w:ind w:left="-105" w:leftChars="-50" w:right="-105" w:rightChars="-50"/>
              <w:jc w:val="center"/>
              <w:rPr>
                <w:szCs w:val="21"/>
              </w:rPr>
            </w:pPr>
            <w:r>
              <w:rPr>
                <w:szCs w:val="21"/>
              </w:rPr>
              <w:t>Ⅲ类项目</w:t>
            </w:r>
          </w:p>
        </w:tc>
      </w:tr>
      <w:tr w14:paraId="317AB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32" w:type="dxa"/>
            <w:noWrap w:val="0"/>
            <w:vAlign w:val="center"/>
          </w:tcPr>
          <w:p w14:paraId="5303BA1C">
            <w:pPr>
              <w:ind w:left="-105" w:leftChars="-50" w:right="-105" w:rightChars="-50"/>
              <w:jc w:val="center"/>
              <w:rPr>
                <w:szCs w:val="21"/>
              </w:rPr>
            </w:pPr>
            <w:r>
              <w:rPr>
                <w:szCs w:val="21"/>
              </w:rPr>
              <w:t>敏感</w:t>
            </w:r>
          </w:p>
        </w:tc>
        <w:tc>
          <w:tcPr>
            <w:tcW w:w="2132" w:type="dxa"/>
            <w:noWrap w:val="0"/>
            <w:vAlign w:val="center"/>
          </w:tcPr>
          <w:p w14:paraId="7ADE438B">
            <w:pPr>
              <w:ind w:left="-105" w:leftChars="-50" w:right="-105" w:rightChars="-50"/>
              <w:jc w:val="center"/>
              <w:rPr>
                <w:szCs w:val="21"/>
              </w:rPr>
            </w:pPr>
            <w:r>
              <w:rPr>
                <w:szCs w:val="21"/>
              </w:rPr>
              <w:t>一</w:t>
            </w:r>
          </w:p>
        </w:tc>
        <w:tc>
          <w:tcPr>
            <w:tcW w:w="2132" w:type="dxa"/>
            <w:noWrap w:val="0"/>
            <w:vAlign w:val="center"/>
          </w:tcPr>
          <w:p w14:paraId="6E189DF4">
            <w:pPr>
              <w:ind w:left="-105" w:leftChars="-50" w:right="-105" w:rightChars="-50"/>
              <w:jc w:val="center"/>
              <w:rPr>
                <w:szCs w:val="21"/>
              </w:rPr>
            </w:pPr>
            <w:r>
              <w:rPr>
                <w:szCs w:val="21"/>
              </w:rPr>
              <w:t>一</w:t>
            </w:r>
          </w:p>
        </w:tc>
        <w:tc>
          <w:tcPr>
            <w:tcW w:w="2132" w:type="dxa"/>
            <w:noWrap w:val="0"/>
            <w:vAlign w:val="center"/>
          </w:tcPr>
          <w:p w14:paraId="1F73ACBD">
            <w:pPr>
              <w:ind w:left="-105" w:leftChars="-50" w:right="-105" w:rightChars="-50"/>
              <w:jc w:val="center"/>
              <w:rPr>
                <w:szCs w:val="21"/>
              </w:rPr>
            </w:pPr>
            <w:r>
              <w:rPr>
                <w:szCs w:val="21"/>
              </w:rPr>
              <w:t>二</w:t>
            </w:r>
          </w:p>
        </w:tc>
      </w:tr>
      <w:tr w14:paraId="03130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32" w:type="dxa"/>
            <w:noWrap w:val="0"/>
            <w:vAlign w:val="center"/>
          </w:tcPr>
          <w:p w14:paraId="4E557EC8">
            <w:pPr>
              <w:ind w:left="-105" w:leftChars="-50" w:right="-105" w:rightChars="-50"/>
              <w:jc w:val="center"/>
              <w:rPr>
                <w:szCs w:val="21"/>
              </w:rPr>
            </w:pPr>
            <w:r>
              <w:rPr>
                <w:szCs w:val="21"/>
              </w:rPr>
              <w:t>较敏感</w:t>
            </w:r>
          </w:p>
        </w:tc>
        <w:tc>
          <w:tcPr>
            <w:tcW w:w="2132" w:type="dxa"/>
            <w:noWrap w:val="0"/>
            <w:vAlign w:val="center"/>
          </w:tcPr>
          <w:p w14:paraId="764B15B1">
            <w:pPr>
              <w:ind w:left="-105" w:leftChars="-50" w:right="-105" w:rightChars="-50"/>
              <w:jc w:val="center"/>
              <w:rPr>
                <w:szCs w:val="21"/>
              </w:rPr>
            </w:pPr>
            <w:r>
              <w:rPr>
                <w:szCs w:val="21"/>
              </w:rPr>
              <w:t>一</w:t>
            </w:r>
          </w:p>
        </w:tc>
        <w:tc>
          <w:tcPr>
            <w:tcW w:w="2132" w:type="dxa"/>
            <w:noWrap w:val="0"/>
            <w:vAlign w:val="center"/>
          </w:tcPr>
          <w:p w14:paraId="6E01EBD6">
            <w:pPr>
              <w:ind w:left="-105" w:leftChars="-50" w:right="-105" w:rightChars="-50"/>
              <w:jc w:val="center"/>
              <w:rPr>
                <w:szCs w:val="21"/>
              </w:rPr>
            </w:pPr>
            <w:r>
              <w:rPr>
                <w:szCs w:val="21"/>
              </w:rPr>
              <w:t>二</w:t>
            </w:r>
          </w:p>
        </w:tc>
        <w:tc>
          <w:tcPr>
            <w:tcW w:w="2132" w:type="dxa"/>
            <w:noWrap w:val="0"/>
            <w:vAlign w:val="center"/>
          </w:tcPr>
          <w:p w14:paraId="7E23BAF7">
            <w:pPr>
              <w:ind w:left="-105" w:leftChars="-50" w:right="-105" w:rightChars="-50"/>
              <w:jc w:val="center"/>
              <w:rPr>
                <w:szCs w:val="21"/>
              </w:rPr>
            </w:pPr>
            <w:r>
              <w:rPr>
                <w:szCs w:val="21"/>
              </w:rPr>
              <w:t>三</w:t>
            </w:r>
          </w:p>
        </w:tc>
      </w:tr>
      <w:tr w14:paraId="3F291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32" w:type="dxa"/>
            <w:shd w:val="clear" w:color="auto" w:fill="auto"/>
            <w:noWrap w:val="0"/>
            <w:vAlign w:val="center"/>
          </w:tcPr>
          <w:p w14:paraId="155A96B1">
            <w:pPr>
              <w:ind w:left="-105" w:leftChars="-50" w:right="-105" w:rightChars="-50"/>
              <w:jc w:val="center"/>
              <w:rPr>
                <w:szCs w:val="21"/>
              </w:rPr>
            </w:pPr>
            <w:r>
              <w:rPr>
                <w:szCs w:val="21"/>
              </w:rPr>
              <w:t>不敏感</w:t>
            </w:r>
          </w:p>
        </w:tc>
        <w:tc>
          <w:tcPr>
            <w:tcW w:w="2132" w:type="dxa"/>
            <w:shd w:val="clear" w:color="auto" w:fill="auto"/>
            <w:noWrap w:val="0"/>
            <w:vAlign w:val="center"/>
          </w:tcPr>
          <w:p w14:paraId="3D355C87">
            <w:pPr>
              <w:ind w:left="-105" w:leftChars="-50" w:right="-105" w:rightChars="-50"/>
              <w:jc w:val="center"/>
              <w:rPr>
                <w:szCs w:val="21"/>
              </w:rPr>
            </w:pPr>
            <w:r>
              <w:rPr>
                <w:szCs w:val="21"/>
              </w:rPr>
              <w:t>二</w:t>
            </w:r>
          </w:p>
        </w:tc>
        <w:tc>
          <w:tcPr>
            <w:tcW w:w="2132" w:type="dxa"/>
            <w:shd w:val="clear" w:color="auto" w:fill="auto"/>
            <w:noWrap w:val="0"/>
            <w:vAlign w:val="center"/>
          </w:tcPr>
          <w:p w14:paraId="1D07B45A">
            <w:pPr>
              <w:ind w:left="-105" w:leftChars="-50" w:right="-105" w:rightChars="-50"/>
              <w:jc w:val="center"/>
              <w:rPr>
                <w:szCs w:val="21"/>
              </w:rPr>
            </w:pPr>
            <w:r>
              <w:rPr>
                <w:szCs w:val="21"/>
              </w:rPr>
              <w:t>三</w:t>
            </w:r>
          </w:p>
        </w:tc>
        <w:tc>
          <w:tcPr>
            <w:tcW w:w="2132" w:type="dxa"/>
            <w:shd w:val="clear" w:color="auto" w:fill="7F7F7F"/>
            <w:noWrap w:val="0"/>
            <w:vAlign w:val="center"/>
          </w:tcPr>
          <w:p w14:paraId="7FEBEB43">
            <w:pPr>
              <w:ind w:left="-105" w:leftChars="-50" w:right="-105" w:rightChars="-50"/>
              <w:jc w:val="center"/>
              <w:rPr>
                <w:szCs w:val="21"/>
              </w:rPr>
            </w:pPr>
            <w:r>
              <w:rPr>
                <w:szCs w:val="21"/>
              </w:rPr>
              <w:t>三</w:t>
            </w:r>
          </w:p>
        </w:tc>
      </w:tr>
    </w:tbl>
    <w:p w14:paraId="6682F644">
      <w:pPr>
        <w:spacing w:line="360" w:lineRule="auto"/>
        <w:ind w:firstLine="480" w:firstLineChars="200"/>
        <w:rPr>
          <w:sz w:val="24"/>
        </w:rPr>
      </w:pPr>
      <w:r>
        <w:rPr>
          <w:sz w:val="24"/>
        </w:rPr>
        <w:t>根据《环境影响评价技术导则 地下水环境》（HJ610-2016）附录A，项目地下水环境影响评价类别为Ⅲ类项目；项目地下水敏感程度为不敏感。因此，项目地下水评价等级确定为三级。</w:t>
      </w:r>
    </w:p>
    <w:p w14:paraId="7BF6BFDD">
      <w:pPr>
        <w:spacing w:line="360" w:lineRule="auto"/>
        <w:ind w:firstLine="354" w:firstLineChars="147"/>
        <w:rPr>
          <w:b/>
          <w:sz w:val="24"/>
        </w:rPr>
      </w:pPr>
      <w:r>
        <w:rPr>
          <w:b/>
          <w:sz w:val="24"/>
        </w:rPr>
        <w:t>（4）声环境</w:t>
      </w:r>
    </w:p>
    <w:p w14:paraId="5AC4F867">
      <w:pPr>
        <w:autoSpaceDE w:val="0"/>
        <w:autoSpaceDN w:val="0"/>
        <w:adjustRightInd w:val="0"/>
        <w:spacing w:line="360" w:lineRule="auto"/>
        <w:ind w:firstLine="480" w:firstLineChars="200"/>
        <w:rPr>
          <w:sz w:val="24"/>
        </w:rPr>
      </w:pPr>
      <w:r>
        <w:rPr>
          <w:sz w:val="24"/>
        </w:rPr>
        <w:t>按HJ2.4-2009《环境影响评价技术导则  声环境》中相关规定，噪声评价工作等级应主要依据项目所在区域的声环境功能区类别、项目建设前后所在区域的声环境质量变化程度以及受项目影响人口的数量来划分。</w:t>
      </w:r>
    </w:p>
    <w:p w14:paraId="15D1D178">
      <w:pPr>
        <w:autoSpaceDE w:val="0"/>
        <w:autoSpaceDN w:val="0"/>
        <w:adjustRightInd w:val="0"/>
        <w:spacing w:line="360" w:lineRule="auto"/>
        <w:ind w:firstLine="480" w:firstLineChars="200"/>
        <w:rPr>
          <w:sz w:val="24"/>
        </w:rPr>
      </w:pPr>
      <w:r>
        <w:rPr>
          <w:sz w:val="24"/>
        </w:rPr>
        <w:t>本建设项目所在地属于农村地区，根据《声环境质量标准》（GB3096-2008）中的声环境功能区分类，本项目属2类声环境功能区，项目建成投产后，周边环境敏感目标噪声级增加量较小，小于3dB（A），且受影响人口变化不大，按照《环境影响评价技术导则声学环境（HJ2.4-2009）中的有关规定，确定本项目声环境评价为二级评价。</w:t>
      </w:r>
    </w:p>
    <w:p w14:paraId="31DADC16">
      <w:pPr>
        <w:spacing w:line="360" w:lineRule="auto"/>
        <w:ind w:firstLine="354" w:firstLineChars="147"/>
        <w:rPr>
          <w:b/>
          <w:sz w:val="24"/>
        </w:rPr>
      </w:pPr>
      <w:r>
        <w:rPr>
          <w:b/>
          <w:sz w:val="24"/>
        </w:rPr>
        <w:t>（5）生态环境</w:t>
      </w:r>
    </w:p>
    <w:p w14:paraId="20939DB8">
      <w:pPr>
        <w:autoSpaceDE w:val="0"/>
        <w:autoSpaceDN w:val="0"/>
        <w:adjustRightInd w:val="0"/>
        <w:spacing w:line="360" w:lineRule="auto"/>
        <w:ind w:firstLine="480" w:firstLineChars="200"/>
        <w:rPr>
          <w:sz w:val="24"/>
        </w:rPr>
      </w:pPr>
      <w:r>
        <w:rPr>
          <w:sz w:val="24"/>
        </w:rPr>
        <w:t>根据《环境影响评价技术导则  生态影响）》（HJ19-2011），生态影响评价工作等级划分表见表2.4-7。</w:t>
      </w:r>
    </w:p>
    <w:p w14:paraId="5D406C7F">
      <w:pPr>
        <w:spacing w:line="360" w:lineRule="auto"/>
        <w:ind w:firstLine="517" w:firstLineChars="245"/>
        <w:jc w:val="center"/>
        <w:rPr>
          <w:b/>
          <w:szCs w:val="21"/>
        </w:rPr>
      </w:pPr>
      <w:r>
        <w:rPr>
          <w:b/>
          <w:szCs w:val="21"/>
        </w:rPr>
        <w:t>表2.4-7 生态影响评价工作等级划分表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1811"/>
        <w:gridCol w:w="2250"/>
        <w:gridCol w:w="2031"/>
      </w:tblGrid>
      <w:tr w14:paraId="299D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6" w:type="dxa"/>
            <w:vMerge w:val="restart"/>
            <w:noWrap w:val="0"/>
            <w:vAlign w:val="center"/>
          </w:tcPr>
          <w:p w14:paraId="16600E95">
            <w:pPr>
              <w:ind w:left="-105" w:leftChars="-50" w:right="-105" w:rightChars="-50"/>
              <w:jc w:val="center"/>
              <w:rPr>
                <w:szCs w:val="21"/>
              </w:rPr>
            </w:pPr>
            <w:r>
              <w:rPr>
                <w:szCs w:val="21"/>
              </w:rPr>
              <w:t>影响区域生态敏感性</w:t>
            </w:r>
          </w:p>
        </w:tc>
        <w:tc>
          <w:tcPr>
            <w:tcW w:w="6092" w:type="dxa"/>
            <w:gridSpan w:val="3"/>
            <w:noWrap w:val="0"/>
            <w:vAlign w:val="center"/>
          </w:tcPr>
          <w:p w14:paraId="663B2BC1">
            <w:pPr>
              <w:ind w:left="-105" w:leftChars="-50" w:right="-105" w:rightChars="-50"/>
              <w:jc w:val="center"/>
              <w:rPr>
                <w:szCs w:val="21"/>
              </w:rPr>
            </w:pPr>
            <w:r>
              <w:rPr>
                <w:szCs w:val="21"/>
              </w:rPr>
              <w:t>工程占地（水域）范围</w:t>
            </w:r>
          </w:p>
        </w:tc>
      </w:tr>
      <w:tr w14:paraId="0F94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6" w:type="dxa"/>
            <w:vMerge w:val="continue"/>
            <w:noWrap w:val="0"/>
            <w:vAlign w:val="center"/>
          </w:tcPr>
          <w:p w14:paraId="58BCB57B">
            <w:pPr>
              <w:ind w:left="-105" w:leftChars="-50" w:right="-105" w:rightChars="-50"/>
              <w:jc w:val="center"/>
              <w:rPr>
                <w:szCs w:val="21"/>
              </w:rPr>
            </w:pPr>
          </w:p>
        </w:tc>
        <w:tc>
          <w:tcPr>
            <w:tcW w:w="1811" w:type="dxa"/>
            <w:noWrap w:val="0"/>
            <w:vAlign w:val="center"/>
          </w:tcPr>
          <w:p w14:paraId="4AD59627">
            <w:pPr>
              <w:ind w:left="-105" w:leftChars="-50" w:right="-105" w:rightChars="-50"/>
              <w:jc w:val="center"/>
              <w:rPr>
                <w:szCs w:val="21"/>
              </w:rPr>
            </w:pPr>
            <w:r>
              <w:rPr>
                <w:szCs w:val="21"/>
              </w:rPr>
              <w:t>面积≥20km</w:t>
            </w:r>
            <w:r>
              <w:rPr>
                <w:szCs w:val="21"/>
                <w:vertAlign w:val="superscript"/>
              </w:rPr>
              <w:t>2</w:t>
            </w:r>
            <w:r>
              <w:rPr>
                <w:szCs w:val="21"/>
              </w:rPr>
              <w:t>或长度≥100km</w:t>
            </w:r>
          </w:p>
        </w:tc>
        <w:tc>
          <w:tcPr>
            <w:tcW w:w="2250" w:type="dxa"/>
            <w:noWrap w:val="0"/>
            <w:vAlign w:val="center"/>
          </w:tcPr>
          <w:p w14:paraId="3901DF40">
            <w:pPr>
              <w:ind w:left="-105" w:leftChars="-50" w:right="-105" w:rightChars="-50"/>
              <w:jc w:val="center"/>
              <w:rPr>
                <w:szCs w:val="21"/>
              </w:rPr>
            </w:pPr>
            <w:r>
              <w:rPr>
                <w:szCs w:val="21"/>
              </w:rPr>
              <w:t>面积2km</w:t>
            </w:r>
            <w:r>
              <w:rPr>
                <w:szCs w:val="21"/>
                <w:vertAlign w:val="superscript"/>
              </w:rPr>
              <w:t>2</w:t>
            </w:r>
            <w:r>
              <w:rPr>
                <w:szCs w:val="21"/>
              </w:rPr>
              <w:t>～20km</w:t>
            </w:r>
            <w:r>
              <w:rPr>
                <w:szCs w:val="21"/>
                <w:vertAlign w:val="superscript"/>
              </w:rPr>
              <w:t>2</w:t>
            </w:r>
            <w:r>
              <w:rPr>
                <w:szCs w:val="21"/>
              </w:rPr>
              <w:t>或长度50km～100km</w:t>
            </w:r>
          </w:p>
        </w:tc>
        <w:tc>
          <w:tcPr>
            <w:tcW w:w="2031" w:type="dxa"/>
            <w:noWrap w:val="0"/>
            <w:vAlign w:val="center"/>
          </w:tcPr>
          <w:p w14:paraId="6A916B0E">
            <w:pPr>
              <w:ind w:left="-105" w:leftChars="-50" w:right="-105" w:rightChars="-50"/>
              <w:jc w:val="center"/>
              <w:rPr>
                <w:szCs w:val="21"/>
              </w:rPr>
            </w:pPr>
            <w:r>
              <w:rPr>
                <w:szCs w:val="21"/>
              </w:rPr>
              <w:t>面积≤2km</w:t>
            </w:r>
            <w:r>
              <w:rPr>
                <w:szCs w:val="21"/>
                <w:vertAlign w:val="superscript"/>
              </w:rPr>
              <w:t>2</w:t>
            </w:r>
            <w:r>
              <w:rPr>
                <w:szCs w:val="21"/>
              </w:rPr>
              <w:t>或长度≤50km</w:t>
            </w:r>
          </w:p>
        </w:tc>
      </w:tr>
      <w:tr w14:paraId="162A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6" w:type="dxa"/>
            <w:noWrap w:val="0"/>
            <w:vAlign w:val="center"/>
          </w:tcPr>
          <w:p w14:paraId="217845AB">
            <w:pPr>
              <w:ind w:left="-105" w:leftChars="-50" w:right="-105" w:rightChars="-50"/>
              <w:jc w:val="center"/>
              <w:rPr>
                <w:szCs w:val="21"/>
              </w:rPr>
            </w:pPr>
            <w:r>
              <w:rPr>
                <w:szCs w:val="21"/>
              </w:rPr>
              <w:t>特殊生态敏感区</w:t>
            </w:r>
          </w:p>
        </w:tc>
        <w:tc>
          <w:tcPr>
            <w:tcW w:w="1811" w:type="dxa"/>
            <w:noWrap w:val="0"/>
            <w:vAlign w:val="center"/>
          </w:tcPr>
          <w:p w14:paraId="60BDC1A8">
            <w:pPr>
              <w:jc w:val="center"/>
              <w:rPr>
                <w:szCs w:val="21"/>
              </w:rPr>
            </w:pPr>
            <w:r>
              <w:rPr>
                <w:szCs w:val="21"/>
              </w:rPr>
              <w:t>一级</w:t>
            </w:r>
          </w:p>
        </w:tc>
        <w:tc>
          <w:tcPr>
            <w:tcW w:w="2250" w:type="dxa"/>
            <w:noWrap w:val="0"/>
            <w:vAlign w:val="center"/>
          </w:tcPr>
          <w:p w14:paraId="79373A69">
            <w:pPr>
              <w:jc w:val="center"/>
              <w:rPr>
                <w:szCs w:val="21"/>
              </w:rPr>
            </w:pPr>
            <w:r>
              <w:rPr>
                <w:szCs w:val="21"/>
              </w:rPr>
              <w:t>一级</w:t>
            </w:r>
          </w:p>
        </w:tc>
        <w:tc>
          <w:tcPr>
            <w:tcW w:w="2031" w:type="dxa"/>
            <w:noWrap w:val="0"/>
            <w:vAlign w:val="center"/>
          </w:tcPr>
          <w:p w14:paraId="5A217EB5">
            <w:pPr>
              <w:jc w:val="center"/>
              <w:rPr>
                <w:szCs w:val="21"/>
              </w:rPr>
            </w:pPr>
            <w:r>
              <w:rPr>
                <w:szCs w:val="21"/>
              </w:rPr>
              <w:t>一级</w:t>
            </w:r>
          </w:p>
        </w:tc>
      </w:tr>
      <w:tr w14:paraId="6335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6" w:type="dxa"/>
            <w:noWrap w:val="0"/>
            <w:vAlign w:val="center"/>
          </w:tcPr>
          <w:p w14:paraId="1B0FECEC">
            <w:pPr>
              <w:ind w:left="-105" w:leftChars="-50" w:right="-105" w:rightChars="-50"/>
              <w:jc w:val="center"/>
              <w:rPr>
                <w:szCs w:val="21"/>
              </w:rPr>
            </w:pPr>
            <w:r>
              <w:rPr>
                <w:szCs w:val="21"/>
              </w:rPr>
              <w:t>重要生态敏感区</w:t>
            </w:r>
          </w:p>
        </w:tc>
        <w:tc>
          <w:tcPr>
            <w:tcW w:w="1811" w:type="dxa"/>
            <w:noWrap w:val="0"/>
            <w:vAlign w:val="center"/>
          </w:tcPr>
          <w:p w14:paraId="5997D649">
            <w:pPr>
              <w:jc w:val="center"/>
              <w:rPr>
                <w:szCs w:val="21"/>
              </w:rPr>
            </w:pPr>
            <w:r>
              <w:rPr>
                <w:szCs w:val="21"/>
              </w:rPr>
              <w:t>一级</w:t>
            </w:r>
          </w:p>
        </w:tc>
        <w:tc>
          <w:tcPr>
            <w:tcW w:w="2250" w:type="dxa"/>
            <w:noWrap w:val="0"/>
            <w:vAlign w:val="center"/>
          </w:tcPr>
          <w:p w14:paraId="3957E78F">
            <w:pPr>
              <w:jc w:val="center"/>
              <w:rPr>
                <w:szCs w:val="21"/>
              </w:rPr>
            </w:pPr>
            <w:r>
              <w:rPr>
                <w:szCs w:val="21"/>
              </w:rPr>
              <w:t>二级</w:t>
            </w:r>
          </w:p>
        </w:tc>
        <w:tc>
          <w:tcPr>
            <w:tcW w:w="2031" w:type="dxa"/>
            <w:noWrap w:val="0"/>
            <w:vAlign w:val="center"/>
          </w:tcPr>
          <w:p w14:paraId="2FD9571E">
            <w:pPr>
              <w:jc w:val="center"/>
              <w:rPr>
                <w:szCs w:val="21"/>
              </w:rPr>
            </w:pPr>
            <w:r>
              <w:rPr>
                <w:szCs w:val="21"/>
              </w:rPr>
              <w:t>三级</w:t>
            </w:r>
          </w:p>
        </w:tc>
      </w:tr>
      <w:tr w14:paraId="2A83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6" w:type="dxa"/>
            <w:noWrap w:val="0"/>
            <w:vAlign w:val="center"/>
          </w:tcPr>
          <w:p w14:paraId="38C59E5D">
            <w:pPr>
              <w:ind w:left="-105" w:leftChars="-50" w:right="-105" w:rightChars="-50"/>
              <w:jc w:val="center"/>
              <w:rPr>
                <w:szCs w:val="21"/>
              </w:rPr>
            </w:pPr>
            <w:r>
              <w:rPr>
                <w:szCs w:val="21"/>
              </w:rPr>
              <w:t>一般区域</w:t>
            </w:r>
          </w:p>
        </w:tc>
        <w:tc>
          <w:tcPr>
            <w:tcW w:w="1811" w:type="dxa"/>
            <w:noWrap w:val="0"/>
            <w:vAlign w:val="center"/>
          </w:tcPr>
          <w:p w14:paraId="6B23C694">
            <w:pPr>
              <w:jc w:val="center"/>
              <w:rPr>
                <w:szCs w:val="21"/>
              </w:rPr>
            </w:pPr>
            <w:r>
              <w:rPr>
                <w:szCs w:val="21"/>
              </w:rPr>
              <w:t>二级</w:t>
            </w:r>
          </w:p>
        </w:tc>
        <w:tc>
          <w:tcPr>
            <w:tcW w:w="2250" w:type="dxa"/>
            <w:noWrap w:val="0"/>
            <w:vAlign w:val="center"/>
          </w:tcPr>
          <w:p w14:paraId="10B39C48">
            <w:pPr>
              <w:jc w:val="center"/>
              <w:rPr>
                <w:szCs w:val="21"/>
              </w:rPr>
            </w:pPr>
            <w:r>
              <w:rPr>
                <w:szCs w:val="21"/>
              </w:rPr>
              <w:t>三级</w:t>
            </w:r>
          </w:p>
        </w:tc>
        <w:tc>
          <w:tcPr>
            <w:tcW w:w="2031" w:type="dxa"/>
            <w:noWrap w:val="0"/>
            <w:vAlign w:val="center"/>
          </w:tcPr>
          <w:p w14:paraId="312880D5">
            <w:pPr>
              <w:jc w:val="center"/>
              <w:rPr>
                <w:szCs w:val="21"/>
              </w:rPr>
            </w:pPr>
            <w:r>
              <w:rPr>
                <w:szCs w:val="21"/>
              </w:rPr>
              <w:t>三级</w:t>
            </w:r>
          </w:p>
        </w:tc>
      </w:tr>
    </w:tbl>
    <w:p w14:paraId="12BB1A52">
      <w:pPr>
        <w:spacing w:line="360" w:lineRule="auto"/>
        <w:ind w:firstLine="480" w:firstLineChars="200"/>
        <w:rPr>
          <w:sz w:val="24"/>
        </w:rPr>
      </w:pPr>
      <w:r>
        <w:rPr>
          <w:sz w:val="24"/>
        </w:rPr>
        <w:t>本项目总占地面积</w:t>
      </w:r>
      <w:r>
        <w:rPr>
          <w:snapToGrid w:val="0"/>
          <w:sz w:val="24"/>
        </w:rPr>
        <w:t>77332.56m</w:t>
      </w:r>
      <w:r>
        <w:rPr>
          <w:sz w:val="24"/>
          <w:vertAlign w:val="superscript"/>
        </w:rPr>
        <w:t>2</w:t>
      </w:r>
      <w:r>
        <w:rPr>
          <w:sz w:val="24"/>
        </w:rPr>
        <w:t>（116亩），项目占地约0.0773km</w:t>
      </w:r>
      <w:r>
        <w:rPr>
          <w:sz w:val="24"/>
          <w:vertAlign w:val="superscript"/>
        </w:rPr>
        <w:t>2</w:t>
      </w:r>
      <w:r>
        <w:rPr>
          <w:sz w:val="24"/>
        </w:rPr>
        <w:t>&lt;2km</w:t>
      </w:r>
      <w:r>
        <w:rPr>
          <w:sz w:val="24"/>
          <w:vertAlign w:val="superscript"/>
        </w:rPr>
        <w:t>2</w:t>
      </w:r>
      <w:r>
        <w:rPr>
          <w:sz w:val="24"/>
        </w:rPr>
        <w:t xml:space="preserve">；项目占地不涉及自然保护区、风景名胜区、水源地等生态敏感区，生态敏感性属一般区域。按HJ19-2011《环境影响评价技术导则  生态影响》要求，确定本项目生态环境评价等级为三级。 </w:t>
      </w:r>
    </w:p>
    <w:p w14:paraId="3E5F843D">
      <w:pPr>
        <w:spacing w:line="360" w:lineRule="auto"/>
        <w:ind w:firstLine="354" w:firstLineChars="147"/>
        <w:rPr>
          <w:b/>
          <w:sz w:val="24"/>
        </w:rPr>
      </w:pPr>
      <w:r>
        <w:rPr>
          <w:b/>
          <w:sz w:val="24"/>
        </w:rPr>
        <w:t>（6）环境风险</w:t>
      </w:r>
    </w:p>
    <w:p w14:paraId="1F2E0BDC">
      <w:pPr>
        <w:adjustRightInd w:val="0"/>
        <w:snapToGrid w:val="0"/>
        <w:spacing w:line="360" w:lineRule="auto"/>
        <w:ind w:firstLine="480" w:firstLineChars="200"/>
        <w:rPr>
          <w:kern w:val="0"/>
          <w:sz w:val="24"/>
        </w:rPr>
      </w:pPr>
      <w:r>
        <w:rPr>
          <w:bCs/>
          <w:sz w:val="24"/>
        </w:rPr>
        <w:t>根据《建设项目环境风险评价技术导则》（HJ 169-2018）中的有毒物质、易燃物质及爆炸物质名称及临界量的规定以及《重大危险源辨识》（GB18218-2009），结合本项目生产工艺特征及本评价确定的环境风险评价因子，项目涉及的危险化学品为沼气，经分析</w:t>
      </w:r>
      <w:r>
        <w:rPr>
          <w:kern w:val="0"/>
          <w:sz w:val="24"/>
        </w:rPr>
        <w:t>本项目危险物质及工艺系统危险性为P4（轻度危害），大气环境敏感程度为E3，地表水环境敏感程度为E3，地下水环境敏感程度为E3，环境要素中最大环境敏感程度为E3，根据《建设项目环境风险评价技术导则》（HJ169-2018）建设项目环境风险潜势划分原则，项目环境风险潜势为：Ⅰ。判断依据见下表。</w:t>
      </w:r>
    </w:p>
    <w:p w14:paraId="55562833">
      <w:pPr>
        <w:pStyle w:val="1346"/>
        <w:shd w:val="clear" w:color="auto" w:fill="auto"/>
        <w:spacing w:line="360" w:lineRule="auto"/>
        <w:ind w:left="20" w:right="20" w:firstLine="520"/>
        <w:rPr>
          <w:rStyle w:val="298"/>
          <w:rFonts w:ascii="Times New Roman" w:hAnsi="Times New Roman" w:eastAsia="宋体" w:cs="Times New Roman"/>
          <w:color w:val="auto"/>
          <w:sz w:val="24"/>
        </w:rPr>
      </w:pPr>
      <w:r>
        <w:rPr>
          <w:rStyle w:val="298"/>
          <w:rFonts w:ascii="Times New Roman" w:hAnsi="Times New Roman" w:eastAsia="宋体" w:cs="Times New Roman"/>
          <w:color w:val="auto"/>
          <w:sz w:val="24"/>
        </w:rPr>
        <w:t>按照《建设项目环境风险评价技术导则》（HJ/T169－20</w:t>
      </w:r>
      <w:r>
        <w:rPr>
          <w:rStyle w:val="298"/>
          <w:rFonts w:ascii="Times New Roman" w:hAnsi="Times New Roman" w:eastAsia="宋体" w:cs="Times New Roman"/>
          <w:color w:val="auto"/>
          <w:sz w:val="24"/>
          <w:lang w:val="en-US"/>
        </w:rPr>
        <w:t>18</w:t>
      </w:r>
      <w:r>
        <w:rPr>
          <w:rStyle w:val="298"/>
          <w:rFonts w:ascii="Times New Roman" w:hAnsi="Times New Roman" w:eastAsia="宋体" w:cs="Times New Roman"/>
          <w:color w:val="auto"/>
          <w:sz w:val="24"/>
        </w:rPr>
        <w:t>）评价工作等级划分依据，根据建设项目涉及的物质及工艺系统的危险性和所在地的环境敏感性确定环境风险潜势，再根据环境风险潜势确定评价等级，具体如下：</w:t>
      </w:r>
    </w:p>
    <w:p w14:paraId="5C6D6755">
      <w:pPr>
        <w:ind w:firstLine="480"/>
        <w:jc w:val="center"/>
        <w:rPr>
          <w:b/>
          <w:bCs/>
          <w:sz w:val="24"/>
        </w:rPr>
      </w:pPr>
      <w:r>
        <w:rPr>
          <w:b/>
          <w:bCs/>
          <w:sz w:val="24"/>
        </w:rPr>
        <w:t>表2.4-8  评价工作等级划分</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5"/>
        <w:gridCol w:w="1703"/>
        <w:gridCol w:w="1705"/>
        <w:gridCol w:w="1707"/>
      </w:tblGrid>
      <w:tr w14:paraId="1898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pct"/>
            <w:shd w:val="pct10" w:color="auto" w:fill="auto"/>
            <w:noWrap w:val="0"/>
            <w:vAlign w:val="top"/>
          </w:tcPr>
          <w:p w14:paraId="130723C1">
            <w:pPr>
              <w:rPr>
                <w:b/>
                <w:bCs/>
                <w:szCs w:val="21"/>
              </w:rPr>
            </w:pPr>
            <w:r>
              <w:rPr>
                <w:b/>
                <w:bCs/>
                <w:szCs w:val="21"/>
              </w:rPr>
              <w:t>环境风险潜势</w:t>
            </w:r>
          </w:p>
        </w:tc>
        <w:tc>
          <w:tcPr>
            <w:tcW w:w="1000" w:type="pct"/>
            <w:noWrap w:val="0"/>
            <w:vAlign w:val="top"/>
          </w:tcPr>
          <w:p w14:paraId="34BDFD04">
            <w:pPr>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rPr>
              <w:t>，</w:t>
            </w: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vertAlign w:val="superscript"/>
              </w:rPr>
              <w:t>+</w:t>
            </w:r>
          </w:p>
        </w:tc>
        <w:tc>
          <w:tcPr>
            <w:tcW w:w="999" w:type="pct"/>
            <w:noWrap w:val="0"/>
            <w:vAlign w:val="top"/>
          </w:tcPr>
          <w:p w14:paraId="2BB26B6E">
            <w:pPr>
              <w:rPr>
                <w:szCs w:val="21"/>
              </w:rPr>
            </w:pPr>
            <w:r>
              <w:rPr>
                <w:szCs w:val="21"/>
              </w:rPr>
              <w:fldChar w:fldCharType="begin"/>
            </w:r>
            <w:r>
              <w:rPr>
                <w:szCs w:val="21"/>
              </w:rPr>
              <w:instrText xml:space="preserve"> = 3 \* ROMAN \* MERGEFORMAT </w:instrText>
            </w:r>
            <w:r>
              <w:rPr>
                <w:szCs w:val="21"/>
              </w:rPr>
              <w:fldChar w:fldCharType="separate"/>
            </w:r>
            <w:r>
              <w:t>III</w:t>
            </w:r>
            <w:r>
              <w:rPr>
                <w:szCs w:val="21"/>
              </w:rPr>
              <w:fldChar w:fldCharType="end"/>
            </w:r>
          </w:p>
        </w:tc>
        <w:tc>
          <w:tcPr>
            <w:tcW w:w="1000" w:type="pct"/>
            <w:noWrap w:val="0"/>
            <w:vAlign w:val="top"/>
          </w:tcPr>
          <w:p w14:paraId="25B0C331">
            <w:pPr>
              <w:rPr>
                <w:szCs w:val="21"/>
              </w:rPr>
            </w:pPr>
            <w:r>
              <w:rPr>
                <w:szCs w:val="21"/>
              </w:rPr>
              <w:fldChar w:fldCharType="begin"/>
            </w:r>
            <w:r>
              <w:rPr>
                <w:szCs w:val="21"/>
              </w:rPr>
              <w:instrText xml:space="preserve"> = 2 \* ROMAN \* MERGEFORMAT </w:instrText>
            </w:r>
            <w:r>
              <w:rPr>
                <w:szCs w:val="21"/>
              </w:rPr>
              <w:fldChar w:fldCharType="separate"/>
            </w:r>
            <w:r>
              <w:t>II</w:t>
            </w:r>
            <w:r>
              <w:rPr>
                <w:szCs w:val="21"/>
              </w:rPr>
              <w:fldChar w:fldCharType="end"/>
            </w:r>
          </w:p>
        </w:tc>
        <w:tc>
          <w:tcPr>
            <w:tcW w:w="1000" w:type="pct"/>
            <w:noWrap w:val="0"/>
            <w:vAlign w:val="top"/>
          </w:tcPr>
          <w:p w14:paraId="13C82515">
            <w:pPr>
              <w:ind w:firstLine="840" w:firstLineChars="400"/>
              <w:rPr>
                <w:szCs w:val="21"/>
              </w:rPr>
            </w:pPr>
            <w:r>
              <w:rPr>
                <w:szCs w:val="21"/>
              </w:rPr>
              <w:fldChar w:fldCharType="begin"/>
            </w:r>
            <w:r>
              <w:rPr>
                <w:szCs w:val="21"/>
              </w:rPr>
              <w:instrText xml:space="preserve"> = 1 \* ROMAN \* MERGEFORMAT </w:instrText>
            </w:r>
            <w:r>
              <w:rPr>
                <w:szCs w:val="21"/>
              </w:rPr>
              <w:fldChar w:fldCharType="separate"/>
            </w:r>
            <w:r>
              <w:t>I</w:t>
            </w:r>
            <w:r>
              <w:rPr>
                <w:szCs w:val="21"/>
              </w:rPr>
              <w:fldChar w:fldCharType="end"/>
            </w:r>
          </w:p>
        </w:tc>
      </w:tr>
      <w:tr w14:paraId="1C52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pct10" w:color="auto" w:fill="auto"/>
            <w:noWrap w:val="0"/>
            <w:vAlign w:val="top"/>
          </w:tcPr>
          <w:p w14:paraId="3BEFC22C">
            <w:pPr>
              <w:rPr>
                <w:b/>
                <w:bCs/>
                <w:szCs w:val="21"/>
              </w:rPr>
            </w:pPr>
            <w:r>
              <w:rPr>
                <w:b/>
                <w:bCs/>
                <w:szCs w:val="21"/>
              </w:rPr>
              <w:t>评价工作等级</w:t>
            </w:r>
          </w:p>
        </w:tc>
        <w:tc>
          <w:tcPr>
            <w:tcW w:w="1000" w:type="pct"/>
            <w:noWrap w:val="0"/>
            <w:vAlign w:val="top"/>
          </w:tcPr>
          <w:p w14:paraId="57AAB31D">
            <w:pPr>
              <w:jc w:val="center"/>
              <w:rPr>
                <w:szCs w:val="21"/>
              </w:rPr>
            </w:pPr>
            <w:r>
              <w:rPr>
                <w:szCs w:val="21"/>
              </w:rPr>
              <w:t>一</w:t>
            </w:r>
          </w:p>
        </w:tc>
        <w:tc>
          <w:tcPr>
            <w:tcW w:w="999" w:type="pct"/>
            <w:noWrap w:val="0"/>
            <w:vAlign w:val="top"/>
          </w:tcPr>
          <w:p w14:paraId="019F51EF">
            <w:pPr>
              <w:jc w:val="center"/>
              <w:rPr>
                <w:szCs w:val="21"/>
              </w:rPr>
            </w:pPr>
            <w:r>
              <w:rPr>
                <w:szCs w:val="21"/>
              </w:rPr>
              <w:t>二</w:t>
            </w:r>
          </w:p>
        </w:tc>
        <w:tc>
          <w:tcPr>
            <w:tcW w:w="1000" w:type="pct"/>
            <w:noWrap w:val="0"/>
            <w:vAlign w:val="top"/>
          </w:tcPr>
          <w:p w14:paraId="7B50673F">
            <w:pPr>
              <w:jc w:val="center"/>
              <w:rPr>
                <w:szCs w:val="21"/>
              </w:rPr>
            </w:pPr>
            <w:r>
              <w:rPr>
                <w:szCs w:val="21"/>
              </w:rPr>
              <w:t>三</w:t>
            </w:r>
          </w:p>
        </w:tc>
        <w:tc>
          <w:tcPr>
            <w:tcW w:w="1000" w:type="pct"/>
            <w:noWrap w:val="0"/>
            <w:vAlign w:val="top"/>
          </w:tcPr>
          <w:p w14:paraId="547B0EBB">
            <w:pPr>
              <w:jc w:val="center"/>
              <w:rPr>
                <w:szCs w:val="21"/>
              </w:rPr>
            </w:pPr>
            <w:r>
              <w:rPr>
                <w:szCs w:val="21"/>
              </w:rPr>
              <w:t>简单分析</w:t>
            </w:r>
            <w:r>
              <w:rPr>
                <w:szCs w:val="21"/>
                <w:vertAlign w:val="superscript"/>
              </w:rPr>
              <w:t>a</w:t>
            </w:r>
          </w:p>
        </w:tc>
      </w:tr>
      <w:tr w14:paraId="1C1B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14:paraId="2B13364F">
            <w:pPr>
              <w:rPr>
                <w:szCs w:val="21"/>
              </w:rPr>
            </w:pPr>
            <w:r>
              <w:rPr>
                <w:szCs w:val="21"/>
              </w:rPr>
              <w:t>a是相对于详细评价工作内容而言，在描述危险物质、环境影响途径、环境危害后果、风险防范措施等方面给出定性的说明。见附录A</w:t>
            </w:r>
          </w:p>
        </w:tc>
      </w:tr>
    </w:tbl>
    <w:p w14:paraId="7D6B2595">
      <w:pPr>
        <w:ind w:firstLine="480"/>
        <w:jc w:val="center"/>
        <w:rPr>
          <w:b/>
          <w:bCs/>
          <w:sz w:val="24"/>
        </w:rPr>
      </w:pPr>
      <w:r>
        <w:rPr>
          <w:b/>
          <w:bCs/>
          <w:sz w:val="24"/>
        </w:rPr>
        <w:t>表2.4-9  建设项目环境风险潜势划分</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1590"/>
        <w:gridCol w:w="1590"/>
        <w:gridCol w:w="1590"/>
        <w:gridCol w:w="1590"/>
      </w:tblGrid>
      <w:tr w14:paraId="0DF4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shd w:val="pct10" w:color="auto" w:fill="auto"/>
            <w:noWrap w:val="0"/>
            <w:vAlign w:val="center"/>
          </w:tcPr>
          <w:p w14:paraId="04AD3C63">
            <w:pPr>
              <w:jc w:val="center"/>
              <w:rPr>
                <w:b/>
                <w:bCs/>
                <w:szCs w:val="21"/>
              </w:rPr>
            </w:pPr>
            <w:r>
              <w:rPr>
                <w:b/>
                <w:bCs/>
                <w:szCs w:val="21"/>
              </w:rPr>
              <w:t>环境敏感程度（E）</w:t>
            </w:r>
          </w:p>
        </w:tc>
        <w:tc>
          <w:tcPr>
            <w:tcW w:w="0" w:type="auto"/>
            <w:gridSpan w:val="4"/>
            <w:noWrap w:val="0"/>
            <w:vAlign w:val="top"/>
          </w:tcPr>
          <w:p w14:paraId="79E650F5">
            <w:pPr>
              <w:rPr>
                <w:szCs w:val="21"/>
              </w:rPr>
            </w:pPr>
            <w:r>
              <w:rPr>
                <w:szCs w:val="21"/>
              </w:rPr>
              <w:t>危险物质及工艺系统危险性（P）</w:t>
            </w:r>
          </w:p>
        </w:tc>
      </w:tr>
      <w:tr w14:paraId="0031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shd w:val="pct10" w:color="auto" w:fill="auto"/>
            <w:noWrap w:val="0"/>
            <w:vAlign w:val="center"/>
          </w:tcPr>
          <w:p w14:paraId="5301C7F1">
            <w:pPr>
              <w:jc w:val="center"/>
              <w:rPr>
                <w:b/>
                <w:bCs/>
                <w:szCs w:val="21"/>
              </w:rPr>
            </w:pPr>
          </w:p>
        </w:tc>
        <w:tc>
          <w:tcPr>
            <w:tcW w:w="0" w:type="auto"/>
            <w:noWrap w:val="0"/>
            <w:vAlign w:val="top"/>
          </w:tcPr>
          <w:p w14:paraId="1CB53E18">
            <w:pPr>
              <w:rPr>
                <w:szCs w:val="21"/>
              </w:rPr>
            </w:pPr>
            <w:r>
              <w:rPr>
                <w:szCs w:val="21"/>
              </w:rPr>
              <w:t>极高危害（P1）</w:t>
            </w:r>
          </w:p>
        </w:tc>
        <w:tc>
          <w:tcPr>
            <w:tcW w:w="0" w:type="auto"/>
            <w:noWrap w:val="0"/>
            <w:vAlign w:val="top"/>
          </w:tcPr>
          <w:p w14:paraId="4EA083DD">
            <w:pPr>
              <w:rPr>
                <w:szCs w:val="21"/>
              </w:rPr>
            </w:pPr>
            <w:r>
              <w:rPr>
                <w:szCs w:val="21"/>
              </w:rPr>
              <w:t>高度危害（P2）</w:t>
            </w:r>
          </w:p>
        </w:tc>
        <w:tc>
          <w:tcPr>
            <w:tcW w:w="0" w:type="auto"/>
            <w:noWrap w:val="0"/>
            <w:vAlign w:val="top"/>
          </w:tcPr>
          <w:p w14:paraId="4FC8D056">
            <w:pPr>
              <w:rPr>
                <w:szCs w:val="21"/>
              </w:rPr>
            </w:pPr>
            <w:r>
              <w:rPr>
                <w:szCs w:val="21"/>
              </w:rPr>
              <w:t>中度危害（P3）</w:t>
            </w:r>
          </w:p>
        </w:tc>
        <w:tc>
          <w:tcPr>
            <w:tcW w:w="0" w:type="auto"/>
            <w:noWrap w:val="0"/>
            <w:vAlign w:val="top"/>
          </w:tcPr>
          <w:p w14:paraId="735F5504">
            <w:pPr>
              <w:rPr>
                <w:szCs w:val="21"/>
              </w:rPr>
            </w:pPr>
            <w:r>
              <w:rPr>
                <w:szCs w:val="21"/>
              </w:rPr>
              <w:t>轻度危害（P4）</w:t>
            </w:r>
          </w:p>
        </w:tc>
      </w:tr>
      <w:tr w14:paraId="5318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pct10" w:color="auto" w:fill="auto"/>
            <w:noWrap w:val="0"/>
            <w:vAlign w:val="center"/>
          </w:tcPr>
          <w:p w14:paraId="74C022CB">
            <w:pPr>
              <w:jc w:val="center"/>
              <w:rPr>
                <w:b/>
                <w:bCs/>
                <w:szCs w:val="21"/>
              </w:rPr>
            </w:pPr>
            <w:r>
              <w:rPr>
                <w:b/>
                <w:bCs/>
                <w:szCs w:val="21"/>
              </w:rPr>
              <w:t>环境高度敏感区（E1）</w:t>
            </w:r>
          </w:p>
        </w:tc>
        <w:tc>
          <w:tcPr>
            <w:tcW w:w="0" w:type="auto"/>
            <w:noWrap w:val="0"/>
            <w:vAlign w:val="top"/>
          </w:tcPr>
          <w:p w14:paraId="6A55D7EF">
            <w:pPr>
              <w:ind w:firstLine="420" w:firstLineChars="200"/>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rPr>
              <w:t>+</w:t>
            </w:r>
          </w:p>
        </w:tc>
        <w:tc>
          <w:tcPr>
            <w:tcW w:w="0" w:type="auto"/>
            <w:noWrap w:val="0"/>
            <w:vAlign w:val="top"/>
          </w:tcPr>
          <w:p w14:paraId="27657883">
            <w:pPr>
              <w:ind w:firstLine="420" w:firstLineChars="200"/>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p>
        </w:tc>
        <w:tc>
          <w:tcPr>
            <w:tcW w:w="0" w:type="auto"/>
            <w:noWrap w:val="0"/>
            <w:vAlign w:val="top"/>
          </w:tcPr>
          <w:p w14:paraId="49CF0C17">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0" w:type="auto"/>
            <w:noWrap w:val="0"/>
            <w:vAlign w:val="top"/>
          </w:tcPr>
          <w:p w14:paraId="36B23EC4">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r>
      <w:tr w14:paraId="3960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pct10" w:color="auto" w:fill="auto"/>
            <w:noWrap w:val="0"/>
            <w:vAlign w:val="center"/>
          </w:tcPr>
          <w:p w14:paraId="16416730">
            <w:pPr>
              <w:jc w:val="center"/>
              <w:rPr>
                <w:b/>
                <w:bCs/>
                <w:szCs w:val="21"/>
              </w:rPr>
            </w:pPr>
            <w:r>
              <w:rPr>
                <w:b/>
                <w:bCs/>
                <w:szCs w:val="21"/>
              </w:rPr>
              <w:t>环境中度敏感区（E2）</w:t>
            </w:r>
          </w:p>
        </w:tc>
        <w:tc>
          <w:tcPr>
            <w:tcW w:w="0" w:type="auto"/>
            <w:noWrap w:val="0"/>
            <w:vAlign w:val="top"/>
          </w:tcPr>
          <w:p w14:paraId="3E91C596">
            <w:pPr>
              <w:ind w:firstLine="420" w:firstLineChars="200"/>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p>
        </w:tc>
        <w:tc>
          <w:tcPr>
            <w:tcW w:w="0" w:type="auto"/>
            <w:noWrap w:val="0"/>
            <w:vAlign w:val="top"/>
          </w:tcPr>
          <w:p w14:paraId="5E1595EE">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0" w:type="auto"/>
            <w:noWrap w:val="0"/>
            <w:vAlign w:val="top"/>
          </w:tcPr>
          <w:p w14:paraId="0466804D">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0" w:type="auto"/>
            <w:noWrap w:val="0"/>
            <w:vAlign w:val="top"/>
          </w:tcPr>
          <w:p w14:paraId="734CA94F">
            <w:pPr>
              <w:ind w:firstLine="420" w:firstLineChars="200"/>
              <w:rPr>
                <w:szCs w:val="21"/>
              </w:rPr>
            </w:pPr>
            <w:r>
              <w:rPr>
                <w:szCs w:val="21"/>
              </w:rPr>
              <w:fldChar w:fldCharType="begin"/>
            </w:r>
            <w:r>
              <w:rPr>
                <w:szCs w:val="21"/>
              </w:rPr>
              <w:instrText xml:space="preserve"> = 2 \* ROMAN \* MERGEFORMAT </w:instrText>
            </w:r>
            <w:r>
              <w:rPr>
                <w:szCs w:val="21"/>
              </w:rPr>
              <w:fldChar w:fldCharType="separate"/>
            </w:r>
            <w:r>
              <w:rPr>
                <w:szCs w:val="21"/>
              </w:rPr>
              <w:t>II</w:t>
            </w:r>
            <w:r>
              <w:rPr>
                <w:szCs w:val="21"/>
              </w:rPr>
              <w:fldChar w:fldCharType="end"/>
            </w:r>
          </w:p>
        </w:tc>
      </w:tr>
      <w:tr w14:paraId="7EE8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pct10" w:color="auto" w:fill="auto"/>
            <w:noWrap w:val="0"/>
            <w:vAlign w:val="center"/>
          </w:tcPr>
          <w:p w14:paraId="180B43F9">
            <w:pPr>
              <w:jc w:val="center"/>
              <w:rPr>
                <w:b/>
                <w:bCs/>
                <w:szCs w:val="21"/>
              </w:rPr>
            </w:pPr>
            <w:r>
              <w:rPr>
                <w:b/>
                <w:bCs/>
                <w:szCs w:val="21"/>
              </w:rPr>
              <w:t>环境低度敏感区（E3）</w:t>
            </w:r>
          </w:p>
        </w:tc>
        <w:tc>
          <w:tcPr>
            <w:tcW w:w="0" w:type="auto"/>
            <w:noWrap w:val="0"/>
            <w:vAlign w:val="top"/>
          </w:tcPr>
          <w:p w14:paraId="174FC7C4">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0" w:type="auto"/>
            <w:noWrap w:val="0"/>
            <w:vAlign w:val="top"/>
          </w:tcPr>
          <w:p w14:paraId="749F829A">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0" w:type="auto"/>
            <w:noWrap w:val="0"/>
            <w:vAlign w:val="top"/>
          </w:tcPr>
          <w:p w14:paraId="65F65D6C">
            <w:pPr>
              <w:ind w:firstLine="420" w:firstLineChars="200"/>
              <w:rPr>
                <w:szCs w:val="21"/>
              </w:rPr>
            </w:pPr>
            <w:r>
              <w:rPr>
                <w:szCs w:val="21"/>
              </w:rPr>
              <w:fldChar w:fldCharType="begin"/>
            </w:r>
            <w:r>
              <w:rPr>
                <w:szCs w:val="21"/>
              </w:rPr>
              <w:instrText xml:space="preserve"> = 2 \* ROMAN \* MERGEFORMAT </w:instrText>
            </w:r>
            <w:r>
              <w:rPr>
                <w:szCs w:val="21"/>
              </w:rPr>
              <w:fldChar w:fldCharType="separate"/>
            </w:r>
            <w:r>
              <w:rPr>
                <w:szCs w:val="21"/>
              </w:rPr>
              <w:t>II</w:t>
            </w:r>
            <w:r>
              <w:rPr>
                <w:szCs w:val="21"/>
              </w:rPr>
              <w:fldChar w:fldCharType="end"/>
            </w:r>
          </w:p>
        </w:tc>
        <w:tc>
          <w:tcPr>
            <w:tcW w:w="0" w:type="auto"/>
            <w:noWrap w:val="0"/>
            <w:vAlign w:val="top"/>
          </w:tcPr>
          <w:p w14:paraId="79560DE3">
            <w:pPr>
              <w:ind w:firstLine="420" w:firstLineChars="200"/>
              <w:rPr>
                <w:szCs w:val="21"/>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r>
      <w:tr w14:paraId="4711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noWrap w:val="0"/>
            <w:vAlign w:val="top"/>
          </w:tcPr>
          <w:p w14:paraId="2640A579">
            <w:pPr>
              <w:rPr>
                <w:szCs w:val="21"/>
              </w:rPr>
            </w:pPr>
            <w:r>
              <w:rPr>
                <w:szCs w:val="21"/>
              </w:rPr>
              <w:t>注：</w:t>
            </w: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vertAlign w:val="superscript"/>
              </w:rPr>
              <w:t>+</w:t>
            </w:r>
            <w:r>
              <w:rPr>
                <w:szCs w:val="21"/>
              </w:rPr>
              <w:t>为极高环境风险</w:t>
            </w:r>
          </w:p>
        </w:tc>
      </w:tr>
    </w:tbl>
    <w:p w14:paraId="18B8958C">
      <w:pPr>
        <w:spacing w:line="360" w:lineRule="auto"/>
        <w:ind w:firstLine="480" w:firstLineChars="200"/>
        <w:rPr>
          <w:sz w:val="24"/>
        </w:rPr>
      </w:pPr>
      <w:r>
        <w:rPr>
          <w:sz w:val="24"/>
        </w:rPr>
        <w:t>对照《建设项目环境风险评价技术导则》（HJ169-2018）附录B，本项目原辅材料涉及的危险物质为沼气，主要成分均为甲烷，属于易燃、易爆危险品。项目沼气存储情况详见下表。</w:t>
      </w:r>
    </w:p>
    <w:p w14:paraId="5037B4BB">
      <w:pPr>
        <w:spacing w:line="360" w:lineRule="auto"/>
        <w:ind w:firstLine="200"/>
        <w:jc w:val="center"/>
        <w:rPr>
          <w:b/>
          <w:sz w:val="24"/>
        </w:rPr>
      </w:pPr>
      <w:r>
        <w:rPr>
          <w:b/>
          <w:sz w:val="24"/>
        </w:rPr>
        <w:t>表2.4-10 项目区风险物质储存情况及Q值确定表</w:t>
      </w:r>
    </w:p>
    <w:tbl>
      <w:tblPr>
        <w:tblStyle w:val="87"/>
        <w:tblW w:w="5000" w:type="pct"/>
        <w:tblInd w:w="0" w:type="dxa"/>
        <w:tblLayout w:type="fixed"/>
        <w:tblCellMar>
          <w:top w:w="0" w:type="dxa"/>
          <w:left w:w="108" w:type="dxa"/>
          <w:bottom w:w="0" w:type="dxa"/>
          <w:right w:w="108" w:type="dxa"/>
        </w:tblCellMar>
      </w:tblPr>
      <w:tblGrid>
        <w:gridCol w:w="952"/>
        <w:gridCol w:w="1542"/>
        <w:gridCol w:w="1160"/>
        <w:gridCol w:w="1238"/>
        <w:gridCol w:w="1204"/>
        <w:gridCol w:w="819"/>
        <w:gridCol w:w="1613"/>
      </w:tblGrid>
      <w:tr w14:paraId="59BB48DA">
        <w:trPr>
          <w:trHeight w:val="79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66BDA4C5">
            <w:pPr>
              <w:widowControl/>
              <w:jc w:val="center"/>
              <w:textAlignment w:val="center"/>
              <w:rPr>
                <w:szCs w:val="21"/>
              </w:rPr>
            </w:pPr>
            <w:r>
              <w:rPr>
                <w:kern w:val="0"/>
                <w:szCs w:val="21"/>
                <w:lang w:bidi="ar"/>
              </w:rPr>
              <w:t>地块</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0CAAAC96">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/a）</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40714C5A">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/d）</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0ED12EA">
            <w:pPr>
              <w:widowControl/>
              <w:jc w:val="center"/>
              <w:textAlignment w:val="center"/>
              <w:rPr>
                <w:szCs w:val="21"/>
              </w:rPr>
            </w:pPr>
            <w:r>
              <w:rPr>
                <w:kern w:val="0"/>
                <w:szCs w:val="21"/>
                <w:lang w:bidi="ar"/>
              </w:rPr>
              <w:t>沼气储罐最大储存量（m</w:t>
            </w:r>
            <w:r>
              <w:rPr>
                <w:kern w:val="0"/>
                <w:szCs w:val="21"/>
                <w:vertAlign w:val="superscript"/>
                <w:lang w:bidi="ar"/>
              </w:rPr>
              <w:t>3</w:t>
            </w:r>
            <w:r>
              <w:rPr>
                <w:kern w:val="0"/>
                <w:szCs w:val="21"/>
                <w:lang w:bidi="ar"/>
              </w:rPr>
              <w:t>）</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7E8C603">
            <w:pPr>
              <w:jc w:val="center"/>
              <w:rPr>
                <w:szCs w:val="21"/>
              </w:rPr>
            </w:pPr>
            <w:r>
              <w:rPr>
                <w:szCs w:val="21"/>
              </w:rPr>
              <w:t>最大储存量t</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6FBF588A">
            <w:pPr>
              <w:jc w:val="center"/>
              <w:rPr>
                <w:szCs w:val="21"/>
              </w:rPr>
            </w:pPr>
            <w:r>
              <w:rPr>
                <w:kern w:val="0"/>
                <w:szCs w:val="21"/>
              </w:rPr>
              <w:t>临界量/t</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0091B230">
            <w:pPr>
              <w:jc w:val="center"/>
              <w:rPr>
                <w:szCs w:val="21"/>
              </w:rPr>
            </w:pPr>
            <w:r>
              <w:rPr>
                <w:kern w:val="0"/>
                <w:szCs w:val="21"/>
              </w:rPr>
              <w:t>该种危险物质Q值</w:t>
            </w:r>
          </w:p>
        </w:tc>
      </w:tr>
      <w:tr w14:paraId="1C7DDB33">
        <w:tblPrEx>
          <w:tblCellMar>
            <w:top w:w="0" w:type="dxa"/>
            <w:left w:w="108" w:type="dxa"/>
            <w:bottom w:w="0" w:type="dxa"/>
            <w:right w:w="108" w:type="dxa"/>
          </w:tblCellMar>
        </w:tblPrEx>
        <w:trPr>
          <w:trHeight w:val="300"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35B4BBCF">
            <w:pPr>
              <w:widowControl/>
              <w:jc w:val="center"/>
              <w:textAlignment w:val="center"/>
              <w:rPr>
                <w:szCs w:val="21"/>
              </w:rPr>
            </w:pPr>
            <w:r>
              <w:rPr>
                <w:kern w:val="0"/>
                <w:szCs w:val="21"/>
                <w:lang w:bidi="ar"/>
              </w:rPr>
              <w:t>1号地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099DF9AB">
            <w:pPr>
              <w:widowControl/>
              <w:jc w:val="center"/>
              <w:textAlignment w:val="center"/>
              <w:rPr>
                <w:szCs w:val="21"/>
              </w:rPr>
            </w:pPr>
            <w:r>
              <w:rPr>
                <w:kern w:val="0"/>
                <w:szCs w:val="21"/>
                <w:lang w:bidi="ar"/>
              </w:rPr>
              <w:t>294.8438</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23F5CE49">
            <w:pPr>
              <w:widowControl/>
              <w:jc w:val="center"/>
              <w:textAlignment w:val="center"/>
              <w:rPr>
                <w:szCs w:val="21"/>
              </w:rPr>
            </w:pPr>
            <w:r>
              <w:rPr>
                <w:kern w:val="0"/>
                <w:szCs w:val="21"/>
                <w:lang w:bidi="ar"/>
              </w:rPr>
              <w:t>0.81</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B73C1B5">
            <w:pPr>
              <w:widowControl/>
              <w:jc w:val="center"/>
              <w:textAlignment w:val="center"/>
              <w:rPr>
                <w:szCs w:val="21"/>
              </w:rPr>
            </w:pPr>
            <w:r>
              <w:rPr>
                <w:kern w:val="0"/>
                <w:szCs w:val="21"/>
                <w:lang w:bidi="ar"/>
              </w:rPr>
              <w:t>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A0F37D9">
            <w:pPr>
              <w:widowControl/>
              <w:jc w:val="center"/>
              <w:textAlignment w:val="center"/>
              <w:rPr>
                <w:szCs w:val="21"/>
              </w:rPr>
            </w:pPr>
            <w:r>
              <w:rPr>
                <w:kern w:val="0"/>
                <w:szCs w:val="21"/>
                <w:lang w:bidi="ar"/>
              </w:rPr>
              <w:t>0.000717</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49FDDF73">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54F07F84">
            <w:pPr>
              <w:widowControl/>
              <w:jc w:val="center"/>
              <w:textAlignment w:val="center"/>
              <w:rPr>
                <w:szCs w:val="21"/>
              </w:rPr>
            </w:pPr>
            <w:r>
              <w:rPr>
                <w:kern w:val="0"/>
                <w:szCs w:val="21"/>
                <w:lang w:bidi="ar"/>
              </w:rPr>
              <w:t>0.0000717</w:t>
            </w:r>
          </w:p>
        </w:tc>
      </w:tr>
      <w:tr w14:paraId="7A7DE433">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73C7847A">
            <w:pPr>
              <w:widowControl/>
              <w:jc w:val="center"/>
              <w:textAlignment w:val="center"/>
              <w:rPr>
                <w:szCs w:val="21"/>
              </w:rPr>
            </w:pPr>
            <w:r>
              <w:rPr>
                <w:kern w:val="0"/>
                <w:szCs w:val="21"/>
                <w:lang w:bidi="ar"/>
              </w:rPr>
              <w:t>2号地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1E87C52E">
            <w:pPr>
              <w:widowControl/>
              <w:jc w:val="center"/>
              <w:textAlignment w:val="center"/>
              <w:rPr>
                <w:szCs w:val="21"/>
              </w:rPr>
            </w:pPr>
            <w:r>
              <w:rPr>
                <w:kern w:val="0"/>
                <w:szCs w:val="21"/>
                <w:lang w:bidi="ar"/>
              </w:rPr>
              <w:t>663.5634</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1DF7B278">
            <w:pPr>
              <w:widowControl/>
              <w:jc w:val="center"/>
              <w:textAlignment w:val="center"/>
              <w:rPr>
                <w:szCs w:val="21"/>
              </w:rPr>
            </w:pPr>
            <w:r>
              <w:rPr>
                <w:kern w:val="0"/>
                <w:szCs w:val="21"/>
                <w:lang w:bidi="ar"/>
              </w:rPr>
              <w:t>1.82</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C29650B">
            <w:pPr>
              <w:widowControl/>
              <w:jc w:val="center"/>
              <w:textAlignment w:val="center"/>
              <w:rPr>
                <w:szCs w:val="21"/>
              </w:rPr>
            </w:pPr>
            <w:r>
              <w:rPr>
                <w:kern w:val="0"/>
                <w:szCs w:val="21"/>
                <w:lang w:bidi="ar"/>
              </w:rPr>
              <w:t>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78A7A26">
            <w:pPr>
              <w:widowControl/>
              <w:jc w:val="center"/>
              <w:textAlignment w:val="center"/>
              <w:rPr>
                <w:szCs w:val="21"/>
              </w:rPr>
            </w:pPr>
            <w:r>
              <w:rPr>
                <w:kern w:val="0"/>
                <w:szCs w:val="21"/>
                <w:lang w:bidi="ar"/>
              </w:rPr>
              <w:t>0.002151</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1EDCFFE5">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5105069F">
            <w:pPr>
              <w:widowControl/>
              <w:jc w:val="center"/>
              <w:textAlignment w:val="center"/>
              <w:rPr>
                <w:szCs w:val="21"/>
              </w:rPr>
            </w:pPr>
            <w:r>
              <w:rPr>
                <w:kern w:val="0"/>
                <w:szCs w:val="21"/>
                <w:lang w:bidi="ar"/>
              </w:rPr>
              <w:t>0.0002151</w:t>
            </w:r>
          </w:p>
        </w:tc>
      </w:tr>
      <w:tr w14:paraId="59F68626">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5E7EDC8C">
            <w:pPr>
              <w:widowControl/>
              <w:jc w:val="center"/>
              <w:textAlignment w:val="center"/>
              <w:rPr>
                <w:szCs w:val="21"/>
              </w:rPr>
            </w:pPr>
            <w:r>
              <w:rPr>
                <w:kern w:val="0"/>
                <w:szCs w:val="21"/>
                <w:lang w:bidi="ar"/>
              </w:rPr>
              <w:t>3号地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603A94E0">
            <w:pPr>
              <w:widowControl/>
              <w:jc w:val="center"/>
              <w:textAlignment w:val="center"/>
              <w:rPr>
                <w:szCs w:val="21"/>
              </w:rPr>
            </w:pPr>
            <w:r>
              <w:rPr>
                <w:kern w:val="0"/>
                <w:szCs w:val="21"/>
                <w:lang w:bidi="ar"/>
              </w:rPr>
              <w:t>250.6803</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02F1596C">
            <w:pPr>
              <w:widowControl/>
              <w:jc w:val="center"/>
              <w:textAlignment w:val="center"/>
              <w:rPr>
                <w:szCs w:val="21"/>
              </w:rPr>
            </w:pPr>
            <w:r>
              <w:rPr>
                <w:kern w:val="0"/>
                <w:szCs w:val="21"/>
                <w:lang w:bidi="ar"/>
              </w:rPr>
              <w:t>0.69</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016347A">
            <w:pPr>
              <w:jc w:val="center"/>
              <w:rPr>
                <w:szCs w:val="21"/>
              </w:rPr>
            </w:pPr>
            <w:r>
              <w:rPr>
                <w:szCs w:val="21"/>
              </w:rPr>
              <w:t>/</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B0F1C3B">
            <w:pPr>
              <w:widowControl/>
              <w:jc w:val="center"/>
              <w:textAlignment w:val="center"/>
              <w:rPr>
                <w:szCs w:val="21"/>
              </w:rPr>
            </w:pPr>
            <w:r>
              <w:rPr>
                <w:kern w:val="0"/>
                <w:szCs w:val="21"/>
                <w:lang w:bidi="ar"/>
              </w:rPr>
              <w:t>/</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5A747A7F">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9371B14">
            <w:pPr>
              <w:widowControl/>
              <w:jc w:val="center"/>
              <w:textAlignment w:val="center"/>
              <w:rPr>
                <w:szCs w:val="21"/>
              </w:rPr>
            </w:pPr>
            <w:r>
              <w:rPr>
                <w:kern w:val="0"/>
                <w:szCs w:val="21"/>
                <w:lang w:bidi="ar"/>
              </w:rPr>
              <w:t>0</w:t>
            </w:r>
          </w:p>
        </w:tc>
      </w:tr>
      <w:tr w14:paraId="27A16031">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2242AB48">
            <w:pPr>
              <w:widowControl/>
              <w:jc w:val="center"/>
              <w:textAlignment w:val="center"/>
              <w:rPr>
                <w:szCs w:val="21"/>
              </w:rPr>
            </w:pPr>
            <w:r>
              <w:rPr>
                <w:kern w:val="0"/>
                <w:szCs w:val="21"/>
                <w:lang w:bidi="ar"/>
              </w:rPr>
              <w:t>4号地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1339E873">
            <w:pPr>
              <w:widowControl/>
              <w:jc w:val="center"/>
              <w:textAlignment w:val="center"/>
              <w:rPr>
                <w:szCs w:val="21"/>
              </w:rPr>
            </w:pPr>
            <w:r>
              <w:rPr>
                <w:kern w:val="0"/>
                <w:szCs w:val="21"/>
                <w:lang w:bidi="ar"/>
              </w:rPr>
              <w:t>652.4862</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1805A590">
            <w:pPr>
              <w:widowControl/>
              <w:jc w:val="center"/>
              <w:textAlignment w:val="center"/>
              <w:rPr>
                <w:szCs w:val="21"/>
              </w:rPr>
            </w:pPr>
            <w:r>
              <w:rPr>
                <w:kern w:val="0"/>
                <w:szCs w:val="21"/>
                <w:lang w:bidi="ar"/>
              </w:rPr>
              <w:t>1.79</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B4D2B79">
            <w:pPr>
              <w:widowControl/>
              <w:jc w:val="center"/>
              <w:textAlignment w:val="center"/>
              <w:rPr>
                <w:szCs w:val="21"/>
              </w:rPr>
            </w:pPr>
            <w:r>
              <w:rPr>
                <w:kern w:val="0"/>
                <w:szCs w:val="21"/>
                <w:lang w:bidi="ar"/>
              </w:rPr>
              <w:t>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818E8D6">
            <w:pPr>
              <w:widowControl/>
              <w:jc w:val="center"/>
              <w:textAlignment w:val="center"/>
              <w:rPr>
                <w:szCs w:val="21"/>
              </w:rPr>
            </w:pPr>
            <w:r>
              <w:rPr>
                <w:kern w:val="0"/>
                <w:szCs w:val="21"/>
                <w:lang w:bidi="ar"/>
              </w:rPr>
              <w:t>0.001434</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5ECDD31D">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54E7D50F">
            <w:pPr>
              <w:widowControl/>
              <w:jc w:val="center"/>
              <w:textAlignment w:val="center"/>
              <w:rPr>
                <w:szCs w:val="21"/>
              </w:rPr>
            </w:pPr>
            <w:r>
              <w:rPr>
                <w:kern w:val="0"/>
                <w:szCs w:val="21"/>
                <w:lang w:bidi="ar"/>
              </w:rPr>
              <w:t>0.0001434</w:t>
            </w:r>
          </w:p>
        </w:tc>
      </w:tr>
      <w:tr w14:paraId="794161DB">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48A30CB7">
            <w:pPr>
              <w:widowControl/>
              <w:jc w:val="center"/>
              <w:textAlignment w:val="center"/>
              <w:rPr>
                <w:szCs w:val="21"/>
              </w:rPr>
            </w:pPr>
            <w:r>
              <w:rPr>
                <w:kern w:val="0"/>
                <w:szCs w:val="21"/>
                <w:lang w:bidi="ar"/>
              </w:rPr>
              <w:t>5号地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0BA1E4B0">
            <w:pPr>
              <w:widowControl/>
              <w:jc w:val="center"/>
              <w:textAlignment w:val="center"/>
              <w:rPr>
                <w:szCs w:val="21"/>
              </w:rPr>
            </w:pPr>
            <w:r>
              <w:rPr>
                <w:kern w:val="0"/>
                <w:szCs w:val="21"/>
                <w:lang w:bidi="ar"/>
              </w:rPr>
              <w:t>562.8033</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50BF9A21">
            <w:pPr>
              <w:widowControl/>
              <w:jc w:val="center"/>
              <w:textAlignment w:val="center"/>
              <w:rPr>
                <w:szCs w:val="21"/>
              </w:rPr>
            </w:pPr>
            <w:r>
              <w:rPr>
                <w:kern w:val="0"/>
                <w:szCs w:val="21"/>
                <w:lang w:bidi="ar"/>
              </w:rPr>
              <w:t>1.54</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7B943F6">
            <w:pPr>
              <w:widowControl/>
              <w:jc w:val="center"/>
              <w:textAlignment w:val="center"/>
              <w:rPr>
                <w:szCs w:val="21"/>
              </w:rPr>
            </w:pPr>
            <w:r>
              <w:rPr>
                <w:kern w:val="0"/>
                <w:szCs w:val="21"/>
                <w:lang w:bidi="ar"/>
              </w:rPr>
              <w:t>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74F6E68">
            <w:pPr>
              <w:widowControl/>
              <w:jc w:val="center"/>
              <w:textAlignment w:val="center"/>
              <w:rPr>
                <w:szCs w:val="21"/>
              </w:rPr>
            </w:pPr>
            <w:r>
              <w:rPr>
                <w:kern w:val="0"/>
                <w:szCs w:val="21"/>
                <w:lang w:bidi="ar"/>
              </w:rPr>
              <w:t>0.001434</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080A74B2">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63E6CA0E">
            <w:pPr>
              <w:widowControl/>
              <w:jc w:val="center"/>
              <w:textAlignment w:val="center"/>
              <w:rPr>
                <w:szCs w:val="21"/>
              </w:rPr>
            </w:pPr>
            <w:r>
              <w:rPr>
                <w:kern w:val="0"/>
                <w:szCs w:val="21"/>
                <w:lang w:bidi="ar"/>
              </w:rPr>
              <w:t>0.0001434</w:t>
            </w:r>
          </w:p>
        </w:tc>
      </w:tr>
    </w:tbl>
    <w:p w14:paraId="7AC60096">
      <w:pPr>
        <w:pStyle w:val="47"/>
        <w:rPr>
          <w:rFonts w:ascii="Times New Roman" w:hAnsi="Times New Roman" w:cs="Times New Roman"/>
        </w:rPr>
      </w:pPr>
      <w:r>
        <w:rPr>
          <w:rFonts w:ascii="Times New Roman" w:hAnsi="Times New Roman" w:cs="Times New Roman"/>
        </w:rPr>
        <w:t>注：2号地与3号地共同设置1个生活区，因此共同设置1个沼气储罐。</w:t>
      </w:r>
    </w:p>
    <w:p w14:paraId="7E8B5869">
      <w:pPr>
        <w:adjustRightInd w:val="0"/>
        <w:snapToGrid w:val="0"/>
        <w:spacing w:line="360" w:lineRule="auto"/>
        <w:ind w:firstLine="480" w:firstLineChars="200"/>
        <w:rPr>
          <w:sz w:val="24"/>
        </w:rPr>
      </w:pPr>
      <w:r>
        <w:rPr>
          <w:sz w:val="24"/>
        </w:rPr>
        <w:t>根据《建设项目环境风险评价技术导则》（HJ169-2018）附录C，当只涉及一种危险物质时，计算该物质的总量与其临界量比值，即为Q；</w:t>
      </w:r>
    </w:p>
    <w:p w14:paraId="441FE27F">
      <w:pPr>
        <w:adjustRightInd w:val="0"/>
        <w:snapToGrid w:val="0"/>
        <w:spacing w:line="360" w:lineRule="auto"/>
        <w:ind w:firstLine="480" w:firstLineChars="200"/>
        <w:rPr>
          <w:sz w:val="24"/>
        </w:rPr>
      </w:pPr>
      <w:r>
        <w:rPr>
          <w:sz w:val="24"/>
        </w:rPr>
        <w:t>当存在多种危险物质时，则按下列公式计算物质总量与其临界量比值（Q）：</w:t>
      </w:r>
    </w:p>
    <w:p w14:paraId="3BD73F9B">
      <w:pPr>
        <w:adjustRightInd w:val="0"/>
        <w:snapToGrid w:val="0"/>
        <w:spacing w:line="360" w:lineRule="auto"/>
        <w:ind w:firstLine="480" w:firstLineChars="200"/>
        <w:jc w:val="center"/>
        <w:rPr>
          <w:sz w:val="24"/>
        </w:rPr>
      </w:pPr>
      <w:r>
        <w:rPr>
          <w:position w:val="-30"/>
          <w:sz w:val="24"/>
        </w:rPr>
        <w:drawing>
          <wp:inline distT="0" distB="0" distL="114300" distR="114300">
            <wp:extent cx="1276350" cy="429895"/>
            <wp:effectExtent l="0" t="0" r="0" b="6985"/>
            <wp:docPr id="2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9"/>
                    <pic:cNvPicPr>
                      <a:picLocks noChangeAspect="1"/>
                    </pic:cNvPicPr>
                  </pic:nvPicPr>
                  <pic:blipFill>
                    <a:blip r:embed="rId16"/>
                    <a:stretch>
                      <a:fillRect/>
                    </a:stretch>
                  </pic:blipFill>
                  <pic:spPr>
                    <a:xfrm>
                      <a:off x="0" y="0"/>
                      <a:ext cx="1276350" cy="429895"/>
                    </a:xfrm>
                    <a:prstGeom prst="rect">
                      <a:avLst/>
                    </a:prstGeom>
                    <a:noFill/>
                    <a:ln>
                      <a:noFill/>
                    </a:ln>
                  </pic:spPr>
                </pic:pic>
              </a:graphicData>
            </a:graphic>
          </wp:inline>
        </w:drawing>
      </w:r>
    </w:p>
    <w:p w14:paraId="5470B3AC">
      <w:pPr>
        <w:adjustRightInd w:val="0"/>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14:paraId="4A07CE22">
      <w:pPr>
        <w:adjustRightInd w:val="0"/>
        <w:snapToGrid w:val="0"/>
        <w:spacing w:line="360" w:lineRule="auto"/>
        <w:ind w:firstLine="480" w:firstLineChars="2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14:paraId="63C902A5">
      <w:pPr>
        <w:adjustRightInd w:val="0"/>
        <w:snapToGrid w:val="0"/>
        <w:spacing w:line="360" w:lineRule="auto"/>
        <w:ind w:firstLine="480" w:firstLineChars="200"/>
        <w:rPr>
          <w:sz w:val="24"/>
        </w:rPr>
      </w:pPr>
      <w:r>
        <w:rPr>
          <w:sz w:val="24"/>
        </w:rPr>
        <w:t>当Q＜1时，该项目环境风险潜势为Ⅰ。</w:t>
      </w:r>
    </w:p>
    <w:p w14:paraId="3621D026">
      <w:pPr>
        <w:adjustRightInd w:val="0"/>
        <w:snapToGrid w:val="0"/>
        <w:spacing w:line="360" w:lineRule="auto"/>
        <w:ind w:firstLine="480" w:firstLineChars="200"/>
        <w:rPr>
          <w:sz w:val="24"/>
        </w:rPr>
      </w:pPr>
      <w:r>
        <w:rPr>
          <w:sz w:val="24"/>
        </w:rPr>
        <w:t>当Q≥1时，将Q值划分为：（1）1≤Q＜10；（2）10≤Q＜100；（3）Q≥100。</w:t>
      </w:r>
    </w:p>
    <w:p w14:paraId="746C093C">
      <w:pPr>
        <w:autoSpaceDE w:val="0"/>
        <w:autoSpaceDN w:val="0"/>
        <w:adjustRightInd w:val="0"/>
        <w:spacing w:line="360" w:lineRule="auto"/>
        <w:ind w:firstLine="480" w:firstLineChars="200"/>
        <w:jc w:val="left"/>
        <w:rPr>
          <w:sz w:val="24"/>
        </w:rPr>
      </w:pPr>
      <w:r>
        <w:rPr>
          <w:sz w:val="24"/>
        </w:rPr>
        <w:t>据此计算得本项目各地块中最大Q值Q=0.0002151，项目Q≤1。</w:t>
      </w:r>
    </w:p>
    <w:p w14:paraId="5D599E86">
      <w:pPr>
        <w:pStyle w:val="1346"/>
        <w:shd w:val="clear" w:color="auto" w:fill="auto"/>
        <w:spacing w:line="360" w:lineRule="auto"/>
        <w:ind w:right="20" w:firstLine="520" w:firstLineChars="200"/>
        <w:rPr>
          <w:rFonts w:ascii="Times New Roman" w:hAnsi="Times New Roman"/>
          <w:sz w:val="24"/>
          <w:szCs w:val="24"/>
        </w:rPr>
      </w:pPr>
    </w:p>
    <w:p w14:paraId="083732E8">
      <w:pPr>
        <w:pStyle w:val="1346"/>
        <w:shd w:val="clear" w:color="auto" w:fill="auto"/>
        <w:spacing w:line="360" w:lineRule="auto"/>
        <w:ind w:right="20" w:firstLine="520" w:firstLineChars="200"/>
        <w:rPr>
          <w:rStyle w:val="298"/>
          <w:rFonts w:ascii="Times New Roman" w:hAnsi="Times New Roman" w:eastAsia="宋体" w:cs="Times New Roman"/>
          <w:color w:val="auto"/>
          <w:sz w:val="24"/>
          <w:lang w:val="en-US"/>
        </w:rPr>
      </w:pPr>
      <w:r>
        <w:rPr>
          <w:rFonts w:ascii="Times New Roman" w:hAnsi="Times New Roman"/>
          <w:sz w:val="24"/>
          <w:szCs w:val="24"/>
        </w:rPr>
        <w:t>本项目</w:t>
      </w:r>
      <w:r>
        <w:rPr>
          <w:rFonts w:ascii="Times New Roman" w:hAnsi="Times New Roman" w:eastAsia="宋体"/>
          <w:sz w:val="24"/>
          <w:szCs w:val="24"/>
        </w:rPr>
        <w:t>风险物质为沼气</w:t>
      </w:r>
      <w:r>
        <w:rPr>
          <w:rStyle w:val="298"/>
          <w:rFonts w:ascii="Times New Roman" w:hAnsi="Times New Roman" w:eastAsia="宋体" w:cs="Times New Roman"/>
          <w:color w:val="auto"/>
          <w:sz w:val="24"/>
          <w:lang w:val="en-US"/>
        </w:rPr>
        <w:t>，储存量较小，项目Q划分于Q＜1。</w:t>
      </w:r>
    </w:p>
    <w:p w14:paraId="448C1125">
      <w:pPr>
        <w:pStyle w:val="1360"/>
        <w:shd w:val="clear" w:color="auto" w:fill="auto"/>
        <w:spacing w:line="360" w:lineRule="auto"/>
        <w:ind w:firstLine="480" w:firstLineChars="200"/>
        <w:rPr>
          <w:rStyle w:val="243"/>
          <w:rFonts w:ascii="Times New Roman" w:hAnsi="Times New Roman" w:eastAsia="宋体" w:cs="Times New Roman"/>
          <w:bCs/>
          <w:color w:val="auto"/>
          <w:sz w:val="24"/>
          <w:lang w:val="en-US"/>
        </w:rPr>
      </w:pPr>
      <w:r>
        <w:rPr>
          <w:rStyle w:val="243"/>
          <w:rFonts w:ascii="Times New Roman" w:hAnsi="Times New Roman" w:eastAsia="宋体" w:cs="Times New Roman"/>
          <w:bCs/>
          <w:color w:val="auto"/>
          <w:sz w:val="24"/>
          <w:lang w:val="en-US"/>
        </w:rPr>
        <w:t>故项目风险潜势为</w:t>
      </w:r>
      <w:r>
        <w:rPr>
          <w:rFonts w:ascii="Times New Roman" w:hAnsi="Times New Roman" w:eastAsia="宋体"/>
          <w:b w:val="0"/>
          <w:sz w:val="24"/>
        </w:rPr>
        <w:fldChar w:fldCharType="begin"/>
      </w:r>
      <w:r>
        <w:rPr>
          <w:rStyle w:val="243"/>
          <w:rFonts w:ascii="Times New Roman" w:hAnsi="Times New Roman" w:eastAsia="宋体" w:cs="Times New Roman"/>
          <w:bCs/>
          <w:color w:val="auto"/>
          <w:sz w:val="24"/>
          <w:lang w:val="en-US"/>
        </w:rPr>
        <w:instrText xml:space="preserve"> = 1 \* ROMAN \* MERGEFORMAT </w:instrText>
      </w:r>
      <w:r>
        <w:rPr>
          <w:rFonts w:ascii="Times New Roman" w:hAnsi="Times New Roman" w:eastAsia="宋体"/>
          <w:b w:val="0"/>
          <w:sz w:val="24"/>
        </w:rPr>
        <w:fldChar w:fldCharType="separate"/>
      </w:r>
      <w:r>
        <w:rPr>
          <w:rFonts w:ascii="Times New Roman" w:hAnsi="Times New Roman"/>
        </w:rPr>
        <w:t>I</w:t>
      </w:r>
      <w:r>
        <w:rPr>
          <w:rFonts w:ascii="Times New Roman" w:hAnsi="Times New Roman" w:eastAsia="宋体"/>
          <w:b w:val="0"/>
          <w:sz w:val="24"/>
        </w:rPr>
        <w:fldChar w:fldCharType="end"/>
      </w:r>
      <w:r>
        <w:rPr>
          <w:rStyle w:val="243"/>
          <w:rFonts w:ascii="Times New Roman" w:hAnsi="Times New Roman" w:eastAsia="宋体" w:cs="Times New Roman"/>
          <w:bCs/>
          <w:color w:val="auto"/>
          <w:sz w:val="24"/>
          <w:lang w:val="en-US"/>
        </w:rPr>
        <w:t>，风险评价等级为简单分析。</w:t>
      </w:r>
    </w:p>
    <w:p w14:paraId="1E11C6CB">
      <w:pPr>
        <w:pStyle w:val="593"/>
        <w:spacing w:after="0" w:line="360" w:lineRule="auto"/>
        <w:ind w:firstLine="480"/>
      </w:pPr>
      <w:r>
        <w:rPr>
          <w:bCs/>
        </w:rPr>
        <w:t>项目环境风险</w:t>
      </w:r>
      <w:r>
        <w:rPr>
          <w:rStyle w:val="243"/>
          <w:rFonts w:ascii="Times New Roman" w:hAnsi="Times New Roman" w:eastAsia="宋体" w:cs="Times New Roman"/>
          <w:b w:val="0"/>
          <w:color w:val="auto"/>
          <w:sz w:val="24"/>
          <w:szCs w:val="24"/>
          <w:lang w:val="en-US"/>
        </w:rPr>
        <w:t>潜势为</w:t>
      </w:r>
      <w:r>
        <w:rPr>
          <w:bCs/>
        </w:rPr>
        <w:fldChar w:fldCharType="begin"/>
      </w:r>
      <w:r>
        <w:rPr>
          <w:rStyle w:val="243"/>
          <w:rFonts w:ascii="Times New Roman" w:hAnsi="Times New Roman" w:eastAsia="宋体" w:cs="Times New Roman"/>
          <w:b w:val="0"/>
          <w:color w:val="auto"/>
          <w:sz w:val="24"/>
          <w:szCs w:val="24"/>
          <w:lang w:val="en-US"/>
        </w:rPr>
        <w:instrText xml:space="preserve"> = 1 \* ROMAN \* MERGEFORMAT </w:instrText>
      </w:r>
      <w:r>
        <w:rPr>
          <w:bCs/>
        </w:rPr>
        <w:fldChar w:fldCharType="separate"/>
      </w:r>
      <w:r>
        <w:t>I</w:t>
      </w:r>
      <w:r>
        <w:rPr>
          <w:bCs/>
        </w:rPr>
        <w:fldChar w:fldCharType="end"/>
      </w:r>
      <w:r>
        <w:rPr>
          <w:rStyle w:val="243"/>
          <w:rFonts w:ascii="Times New Roman" w:hAnsi="Times New Roman" w:eastAsia="宋体" w:cs="Times New Roman"/>
          <w:b w:val="0"/>
          <w:color w:val="auto"/>
          <w:sz w:val="24"/>
          <w:szCs w:val="24"/>
          <w:lang w:val="en-US"/>
        </w:rPr>
        <w:t>，风险评价等级为简单分析，故不设置环境风险评价范围。</w:t>
      </w:r>
    </w:p>
    <w:p w14:paraId="4102E86B">
      <w:pPr>
        <w:spacing w:line="360" w:lineRule="auto"/>
        <w:ind w:firstLine="354" w:firstLineChars="147"/>
        <w:rPr>
          <w:b/>
          <w:sz w:val="24"/>
        </w:rPr>
      </w:pPr>
      <w:r>
        <w:rPr>
          <w:b/>
          <w:sz w:val="24"/>
        </w:rPr>
        <w:t>（7）土壤环境</w:t>
      </w:r>
    </w:p>
    <w:p w14:paraId="1696113D">
      <w:pPr>
        <w:pStyle w:val="47"/>
        <w:spacing w:line="360" w:lineRule="auto"/>
        <w:ind w:firstLine="480" w:firstLineChars="200"/>
        <w:rPr>
          <w:rFonts w:ascii="Times New Roman" w:hAnsi="Times New Roman" w:cs="Times New Roman"/>
          <w:bCs/>
          <w:sz w:val="24"/>
        </w:rPr>
      </w:pPr>
      <w:r>
        <w:rPr>
          <w:rFonts w:ascii="Times New Roman" w:hAnsi="Times New Roman" w:cs="Times New Roman"/>
          <w:sz w:val="24"/>
        </w:rPr>
        <w:t>根据</w:t>
      </w:r>
      <w:r>
        <w:rPr>
          <w:rFonts w:ascii="Times New Roman" w:hAnsi="Times New Roman" w:cs="Times New Roman"/>
          <w:bCs/>
          <w:sz w:val="24"/>
        </w:rPr>
        <w:t>《环境影响评价技术导则 土壤环境（试行）》（HJ 964—2018），本项目为生猪项目，年出栏18600头商品猪，</w:t>
      </w:r>
    </w:p>
    <w:p w14:paraId="69CADECC">
      <w:pPr>
        <w:pStyle w:val="47"/>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按生态影响型项目，</w:t>
      </w:r>
      <w:r>
        <w:rPr>
          <w:rFonts w:ascii="Times New Roman" w:hAnsi="Times New Roman" w:cs="Times New Roman"/>
          <w:bCs/>
          <w:sz w:val="24"/>
        </w:rPr>
        <w:t>属于农林牧渔业类项目，属于生态影响型</w:t>
      </w:r>
      <w:r>
        <w:rPr>
          <w:rFonts w:ascii="Times New Roman" w:hAnsi="Times New Roman" w:cs="Times New Roman"/>
          <w:bCs/>
          <w:sz w:val="24"/>
        </w:rPr>
        <w:fldChar w:fldCharType="begin"/>
      </w:r>
      <w:r>
        <w:rPr>
          <w:rFonts w:ascii="Times New Roman" w:hAnsi="Times New Roman" w:cs="Times New Roman"/>
          <w:bCs/>
          <w:sz w:val="24"/>
        </w:rPr>
        <w:instrText xml:space="preserve"> = 3 \* ROMAN </w:instrText>
      </w:r>
      <w:r>
        <w:rPr>
          <w:rFonts w:ascii="Times New Roman" w:hAnsi="Times New Roman" w:cs="Times New Roman"/>
          <w:bCs/>
          <w:sz w:val="24"/>
        </w:rPr>
        <w:fldChar w:fldCharType="separate"/>
      </w:r>
      <w:r>
        <w:rPr>
          <w:rFonts w:ascii="Times New Roman" w:hAnsi="Times New Roman" w:cs="Times New Roman"/>
          <w:bCs/>
          <w:sz w:val="24"/>
        </w:rPr>
        <w:t>III</w:t>
      </w:r>
      <w:r>
        <w:rPr>
          <w:rFonts w:ascii="Times New Roman" w:hAnsi="Times New Roman" w:cs="Times New Roman"/>
          <w:sz w:val="24"/>
        </w:rPr>
        <w:fldChar w:fldCharType="end"/>
      </w:r>
      <w:r>
        <w:rPr>
          <w:rFonts w:ascii="Times New Roman" w:hAnsi="Times New Roman" w:cs="Times New Roman"/>
          <w:bCs/>
          <w:sz w:val="24"/>
        </w:rPr>
        <w:t>类项目，项目场地土壤监测pH为6.48~7.72，土壤含盐量为0.3~1.3g/kg，地下水埋深大于1.5m；</w:t>
      </w:r>
      <w:r>
        <w:rPr>
          <w:rFonts w:ascii="Times New Roman" w:hAnsi="Times New Roman" w:cs="Times New Roman"/>
          <w:bCs/>
          <w:sz w:val="24"/>
          <w:szCs w:val="24"/>
        </w:rPr>
        <w:t>项目位于丘陵地带，土壤环境敏感程度为不敏感，根据《环境影响评价技术导则土壤环境（试行）》（HJ964-2018）中附录 A 相关规定， 本项目可不开展土壤环境影响评价工作。</w:t>
      </w:r>
    </w:p>
    <w:p w14:paraId="7585E13F">
      <w:pPr>
        <w:pStyle w:val="35"/>
        <w:spacing w:after="0" w:line="360" w:lineRule="auto"/>
        <w:jc w:val="center"/>
        <w:rPr>
          <w:b/>
          <w:bCs/>
          <w:sz w:val="24"/>
          <w:lang w:bidi="ar"/>
        </w:rPr>
      </w:pPr>
      <w:r>
        <w:rPr>
          <w:b/>
          <w:bCs/>
          <w:sz w:val="24"/>
          <w:lang w:bidi="ar"/>
        </w:rPr>
        <w:t>表2.4-11敏感程度分级表</w:t>
      </w:r>
    </w:p>
    <w:tbl>
      <w:tblPr>
        <w:tblStyle w:val="8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4"/>
        <w:gridCol w:w="4426"/>
        <w:gridCol w:w="1520"/>
        <w:gridCol w:w="1440"/>
      </w:tblGrid>
      <w:tr w14:paraId="4F3C9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2" w:type="pct"/>
            <w:vMerge w:val="restart"/>
            <w:shd w:val="clear" w:color="auto" w:fill="D7D7D7"/>
            <w:noWrap w:val="0"/>
            <w:vAlign w:val="top"/>
          </w:tcPr>
          <w:p w14:paraId="1276A4BB">
            <w:pPr>
              <w:jc w:val="center"/>
              <w:rPr>
                <w:b/>
                <w:bCs/>
                <w:kern w:val="0"/>
                <w:szCs w:val="21"/>
                <w:lang w:bidi="ar"/>
              </w:rPr>
            </w:pPr>
            <w:r>
              <w:rPr>
                <w:b/>
                <w:bCs/>
                <w:kern w:val="0"/>
                <w:szCs w:val="21"/>
                <w:lang w:bidi="ar"/>
              </w:rPr>
              <w:t>敏感</w:t>
            </w:r>
          </w:p>
          <w:p w14:paraId="22AA1898">
            <w:pPr>
              <w:jc w:val="center"/>
              <w:rPr>
                <w:b/>
                <w:bCs/>
                <w:kern w:val="0"/>
                <w:szCs w:val="21"/>
                <w:lang w:bidi="ar"/>
              </w:rPr>
            </w:pPr>
            <w:r>
              <w:rPr>
                <w:b/>
                <w:bCs/>
                <w:kern w:val="0"/>
                <w:szCs w:val="21"/>
                <w:lang w:bidi="ar"/>
              </w:rPr>
              <w:t>程度</w:t>
            </w:r>
          </w:p>
        </w:tc>
        <w:tc>
          <w:tcPr>
            <w:tcW w:w="4437" w:type="pct"/>
            <w:gridSpan w:val="3"/>
            <w:shd w:val="clear" w:color="auto" w:fill="D7D7D7"/>
            <w:noWrap w:val="0"/>
            <w:vAlign w:val="top"/>
          </w:tcPr>
          <w:p w14:paraId="36231374">
            <w:pPr>
              <w:jc w:val="center"/>
              <w:rPr>
                <w:b/>
                <w:bCs/>
                <w:kern w:val="0"/>
                <w:szCs w:val="21"/>
                <w:lang w:bidi="ar"/>
              </w:rPr>
            </w:pPr>
            <w:r>
              <w:rPr>
                <w:b/>
                <w:bCs/>
                <w:kern w:val="0"/>
                <w:szCs w:val="21"/>
                <w:lang w:bidi="ar"/>
              </w:rPr>
              <w:t>判别依据</w:t>
            </w:r>
          </w:p>
        </w:tc>
      </w:tr>
      <w:tr w14:paraId="17762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62" w:type="pct"/>
            <w:vMerge w:val="continue"/>
            <w:tcBorders>
              <w:top w:val="nil"/>
            </w:tcBorders>
            <w:shd w:val="clear" w:color="auto" w:fill="D7D7D7"/>
            <w:noWrap w:val="0"/>
            <w:vAlign w:val="top"/>
          </w:tcPr>
          <w:p w14:paraId="21E5C51B">
            <w:pPr>
              <w:jc w:val="center"/>
              <w:rPr>
                <w:b/>
                <w:bCs/>
                <w:kern w:val="0"/>
                <w:szCs w:val="21"/>
                <w:lang w:bidi="ar"/>
              </w:rPr>
            </w:pPr>
          </w:p>
        </w:tc>
        <w:tc>
          <w:tcPr>
            <w:tcW w:w="2659" w:type="pct"/>
            <w:shd w:val="clear" w:color="auto" w:fill="D7D7D7"/>
            <w:noWrap w:val="0"/>
            <w:vAlign w:val="top"/>
          </w:tcPr>
          <w:p w14:paraId="1607AA43">
            <w:pPr>
              <w:jc w:val="center"/>
              <w:rPr>
                <w:b/>
                <w:bCs/>
                <w:kern w:val="0"/>
                <w:szCs w:val="21"/>
                <w:lang w:bidi="ar"/>
              </w:rPr>
            </w:pPr>
            <w:r>
              <w:rPr>
                <w:b/>
                <w:bCs/>
                <w:kern w:val="0"/>
                <w:szCs w:val="21"/>
                <w:lang w:bidi="ar"/>
              </w:rPr>
              <w:t>盐化</w:t>
            </w:r>
          </w:p>
        </w:tc>
        <w:tc>
          <w:tcPr>
            <w:tcW w:w="913" w:type="pct"/>
            <w:shd w:val="clear" w:color="auto" w:fill="D7D7D7"/>
            <w:noWrap w:val="0"/>
            <w:vAlign w:val="top"/>
          </w:tcPr>
          <w:p w14:paraId="20EF5E82">
            <w:pPr>
              <w:jc w:val="center"/>
              <w:rPr>
                <w:b/>
                <w:bCs/>
                <w:kern w:val="0"/>
                <w:szCs w:val="21"/>
                <w:lang w:bidi="ar"/>
              </w:rPr>
            </w:pPr>
            <w:r>
              <w:rPr>
                <w:b/>
                <w:bCs/>
                <w:kern w:val="0"/>
                <w:szCs w:val="21"/>
                <w:lang w:bidi="ar"/>
              </w:rPr>
              <w:t>酸化</w:t>
            </w:r>
          </w:p>
        </w:tc>
        <w:tc>
          <w:tcPr>
            <w:tcW w:w="865" w:type="pct"/>
            <w:shd w:val="clear" w:color="auto" w:fill="D7D7D7"/>
            <w:noWrap w:val="0"/>
            <w:vAlign w:val="top"/>
          </w:tcPr>
          <w:p w14:paraId="05111980">
            <w:pPr>
              <w:jc w:val="center"/>
              <w:rPr>
                <w:b/>
                <w:bCs/>
                <w:kern w:val="0"/>
                <w:szCs w:val="21"/>
                <w:lang w:bidi="ar"/>
              </w:rPr>
            </w:pPr>
            <w:r>
              <w:rPr>
                <w:b/>
                <w:bCs/>
                <w:kern w:val="0"/>
                <w:szCs w:val="21"/>
                <w:lang w:bidi="ar"/>
              </w:rPr>
              <w:t>碱化</w:t>
            </w:r>
          </w:p>
        </w:tc>
      </w:tr>
      <w:tr w14:paraId="152F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562" w:type="pct"/>
            <w:noWrap w:val="0"/>
            <w:vAlign w:val="top"/>
          </w:tcPr>
          <w:p w14:paraId="243362F5">
            <w:pPr>
              <w:jc w:val="center"/>
              <w:rPr>
                <w:kern w:val="0"/>
                <w:szCs w:val="21"/>
                <w:lang w:bidi="ar"/>
              </w:rPr>
            </w:pPr>
          </w:p>
          <w:p w14:paraId="60BEA635">
            <w:pPr>
              <w:jc w:val="center"/>
              <w:rPr>
                <w:kern w:val="0"/>
                <w:szCs w:val="21"/>
                <w:lang w:bidi="ar"/>
              </w:rPr>
            </w:pPr>
            <w:r>
              <w:rPr>
                <w:kern w:val="0"/>
                <w:szCs w:val="21"/>
                <w:lang w:bidi="ar"/>
              </w:rPr>
              <w:t>敏感</w:t>
            </w:r>
          </w:p>
        </w:tc>
        <w:tc>
          <w:tcPr>
            <w:tcW w:w="2659" w:type="pct"/>
            <w:noWrap w:val="0"/>
            <w:vAlign w:val="top"/>
          </w:tcPr>
          <w:p w14:paraId="574225FF">
            <w:pPr>
              <w:jc w:val="center"/>
              <w:rPr>
                <w:kern w:val="0"/>
                <w:szCs w:val="21"/>
                <w:lang w:bidi="ar"/>
              </w:rPr>
            </w:pPr>
            <w:r>
              <w:rPr>
                <w:kern w:val="0"/>
                <w:szCs w:val="21"/>
                <w:lang w:bidi="ar"/>
              </w:rPr>
              <w:t>建设项目所在地干燥度＞2.5 且常年地下水位平均埋深＜1.5m 的地势平坦区域；或土壤含盐量</w:t>
            </w:r>
          </w:p>
          <w:p w14:paraId="6FAECF72">
            <w:pPr>
              <w:jc w:val="center"/>
              <w:rPr>
                <w:kern w:val="0"/>
                <w:szCs w:val="21"/>
                <w:lang w:bidi="ar"/>
              </w:rPr>
            </w:pPr>
            <w:r>
              <w:rPr>
                <w:kern w:val="0"/>
                <w:szCs w:val="21"/>
                <w:lang w:bidi="ar"/>
              </w:rPr>
              <w:t>＞4g/kg 的区域</w:t>
            </w:r>
          </w:p>
        </w:tc>
        <w:tc>
          <w:tcPr>
            <w:tcW w:w="913" w:type="pct"/>
            <w:noWrap w:val="0"/>
            <w:vAlign w:val="top"/>
          </w:tcPr>
          <w:p w14:paraId="02A1C5FE">
            <w:pPr>
              <w:jc w:val="center"/>
              <w:rPr>
                <w:kern w:val="0"/>
                <w:szCs w:val="21"/>
                <w:lang w:bidi="ar"/>
              </w:rPr>
            </w:pPr>
          </w:p>
          <w:p w14:paraId="0ECFDB1D">
            <w:pPr>
              <w:jc w:val="center"/>
              <w:rPr>
                <w:kern w:val="0"/>
                <w:szCs w:val="21"/>
                <w:lang w:bidi="ar"/>
              </w:rPr>
            </w:pPr>
            <w:r>
              <w:rPr>
                <w:kern w:val="0"/>
                <w:szCs w:val="21"/>
                <w:lang w:bidi="ar"/>
              </w:rPr>
              <w:t>pH≤4.5</w:t>
            </w:r>
          </w:p>
        </w:tc>
        <w:tc>
          <w:tcPr>
            <w:tcW w:w="865" w:type="pct"/>
            <w:noWrap w:val="0"/>
            <w:vAlign w:val="top"/>
          </w:tcPr>
          <w:p w14:paraId="602F62AC">
            <w:pPr>
              <w:jc w:val="center"/>
              <w:rPr>
                <w:kern w:val="0"/>
                <w:szCs w:val="21"/>
                <w:lang w:bidi="ar"/>
              </w:rPr>
            </w:pPr>
          </w:p>
          <w:p w14:paraId="63AD16DE">
            <w:pPr>
              <w:jc w:val="center"/>
              <w:rPr>
                <w:kern w:val="0"/>
                <w:szCs w:val="21"/>
                <w:lang w:bidi="ar"/>
              </w:rPr>
            </w:pPr>
            <w:r>
              <w:rPr>
                <w:kern w:val="0"/>
                <w:szCs w:val="21"/>
                <w:lang w:bidi="ar"/>
              </w:rPr>
              <w:t>pH≥9.0</w:t>
            </w:r>
          </w:p>
        </w:tc>
      </w:tr>
      <w:tr w14:paraId="55862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562" w:type="pct"/>
            <w:noWrap w:val="0"/>
            <w:vAlign w:val="top"/>
          </w:tcPr>
          <w:p w14:paraId="574CF5AE">
            <w:pPr>
              <w:jc w:val="center"/>
              <w:rPr>
                <w:kern w:val="0"/>
                <w:szCs w:val="21"/>
                <w:lang w:bidi="ar"/>
              </w:rPr>
            </w:pPr>
          </w:p>
          <w:p w14:paraId="54238190">
            <w:pPr>
              <w:jc w:val="center"/>
              <w:rPr>
                <w:kern w:val="0"/>
                <w:szCs w:val="21"/>
                <w:lang w:bidi="ar"/>
              </w:rPr>
            </w:pPr>
          </w:p>
          <w:p w14:paraId="5D219AC3">
            <w:pPr>
              <w:jc w:val="center"/>
              <w:rPr>
                <w:kern w:val="0"/>
                <w:szCs w:val="21"/>
                <w:lang w:bidi="ar"/>
              </w:rPr>
            </w:pPr>
          </w:p>
          <w:p w14:paraId="084D583B">
            <w:pPr>
              <w:jc w:val="center"/>
              <w:rPr>
                <w:kern w:val="0"/>
                <w:szCs w:val="21"/>
                <w:lang w:bidi="ar"/>
              </w:rPr>
            </w:pPr>
            <w:r>
              <w:rPr>
                <w:kern w:val="0"/>
                <w:szCs w:val="21"/>
                <w:lang w:bidi="ar"/>
              </w:rPr>
              <w:t>较敏感</w:t>
            </w:r>
          </w:p>
        </w:tc>
        <w:tc>
          <w:tcPr>
            <w:tcW w:w="2659" w:type="pct"/>
            <w:noWrap w:val="0"/>
            <w:vAlign w:val="top"/>
          </w:tcPr>
          <w:p w14:paraId="5CA98854">
            <w:pPr>
              <w:jc w:val="center"/>
              <w:rPr>
                <w:kern w:val="0"/>
                <w:szCs w:val="21"/>
                <w:lang w:bidi="ar"/>
              </w:rPr>
            </w:pPr>
            <w:r>
              <w:rPr>
                <w:kern w:val="0"/>
                <w:szCs w:val="21"/>
                <w:lang w:bidi="ar"/>
              </w:rPr>
              <w:t>建设项目所在地干燥度＞2.5 且常年地下水位平均埋深≥1.5m 的，或 1.8＜干燥度≤2.5 且常年地下水位平均埋深＜1.8m 的地势平坦区域；建设项目所在地干燥度＞2.5 或常年地下水位平均埋深＜1.5m 的平原区；或 2g/kg＜土壤含盐量≤4g/kg 的区域</w:t>
            </w:r>
          </w:p>
        </w:tc>
        <w:tc>
          <w:tcPr>
            <w:tcW w:w="913" w:type="pct"/>
            <w:noWrap w:val="0"/>
            <w:vAlign w:val="top"/>
          </w:tcPr>
          <w:p w14:paraId="628D1F22">
            <w:pPr>
              <w:jc w:val="center"/>
              <w:rPr>
                <w:kern w:val="0"/>
                <w:szCs w:val="21"/>
                <w:lang w:bidi="ar"/>
              </w:rPr>
            </w:pPr>
          </w:p>
          <w:p w14:paraId="11F8F5A7">
            <w:pPr>
              <w:jc w:val="center"/>
              <w:rPr>
                <w:kern w:val="0"/>
                <w:szCs w:val="21"/>
                <w:lang w:bidi="ar"/>
              </w:rPr>
            </w:pPr>
          </w:p>
          <w:p w14:paraId="0D2871E0">
            <w:pPr>
              <w:jc w:val="center"/>
              <w:rPr>
                <w:kern w:val="0"/>
                <w:szCs w:val="21"/>
                <w:lang w:bidi="ar"/>
              </w:rPr>
            </w:pPr>
          </w:p>
          <w:p w14:paraId="4A0F72CC">
            <w:pPr>
              <w:jc w:val="center"/>
              <w:rPr>
                <w:kern w:val="0"/>
                <w:szCs w:val="21"/>
                <w:lang w:bidi="ar"/>
              </w:rPr>
            </w:pPr>
            <w:r>
              <w:rPr>
                <w:kern w:val="0"/>
                <w:szCs w:val="21"/>
                <w:lang w:bidi="ar"/>
              </w:rPr>
              <w:t>4.5＜pH≤5.5</w:t>
            </w:r>
          </w:p>
        </w:tc>
        <w:tc>
          <w:tcPr>
            <w:tcW w:w="865" w:type="pct"/>
            <w:noWrap w:val="0"/>
            <w:vAlign w:val="top"/>
          </w:tcPr>
          <w:p w14:paraId="76194564">
            <w:pPr>
              <w:jc w:val="center"/>
              <w:rPr>
                <w:kern w:val="0"/>
                <w:szCs w:val="21"/>
                <w:lang w:bidi="ar"/>
              </w:rPr>
            </w:pPr>
          </w:p>
          <w:p w14:paraId="1BC3F155">
            <w:pPr>
              <w:jc w:val="center"/>
              <w:rPr>
                <w:kern w:val="0"/>
                <w:szCs w:val="21"/>
                <w:lang w:bidi="ar"/>
              </w:rPr>
            </w:pPr>
          </w:p>
          <w:p w14:paraId="50B9ABCF">
            <w:pPr>
              <w:jc w:val="center"/>
              <w:rPr>
                <w:kern w:val="0"/>
                <w:szCs w:val="21"/>
                <w:lang w:bidi="ar"/>
              </w:rPr>
            </w:pPr>
          </w:p>
          <w:p w14:paraId="7D36FB9A">
            <w:pPr>
              <w:jc w:val="center"/>
              <w:rPr>
                <w:kern w:val="0"/>
                <w:szCs w:val="21"/>
                <w:lang w:bidi="ar"/>
              </w:rPr>
            </w:pPr>
            <w:r>
              <w:rPr>
                <w:kern w:val="0"/>
                <w:szCs w:val="21"/>
                <w:lang w:bidi="ar"/>
              </w:rPr>
              <w:t>8.5≤pH＜9.0</w:t>
            </w:r>
          </w:p>
        </w:tc>
      </w:tr>
      <w:tr w14:paraId="67661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62" w:type="pct"/>
            <w:noWrap w:val="0"/>
            <w:vAlign w:val="top"/>
          </w:tcPr>
          <w:p w14:paraId="04A90541">
            <w:pPr>
              <w:jc w:val="center"/>
              <w:rPr>
                <w:kern w:val="0"/>
                <w:szCs w:val="21"/>
                <w:lang w:bidi="ar"/>
              </w:rPr>
            </w:pPr>
            <w:r>
              <w:rPr>
                <w:kern w:val="0"/>
                <w:szCs w:val="21"/>
                <w:lang w:bidi="ar"/>
              </w:rPr>
              <w:t>不敏感</w:t>
            </w:r>
          </w:p>
        </w:tc>
        <w:tc>
          <w:tcPr>
            <w:tcW w:w="2659" w:type="pct"/>
            <w:noWrap w:val="0"/>
            <w:vAlign w:val="top"/>
          </w:tcPr>
          <w:p w14:paraId="52DCB4B2">
            <w:pPr>
              <w:jc w:val="center"/>
              <w:rPr>
                <w:kern w:val="0"/>
                <w:szCs w:val="21"/>
                <w:lang w:bidi="ar"/>
              </w:rPr>
            </w:pPr>
            <w:r>
              <w:rPr>
                <w:b/>
                <w:bCs/>
                <w:kern w:val="0"/>
                <w:szCs w:val="21"/>
                <w:lang w:bidi="ar"/>
              </w:rPr>
              <w:t>其他</w:t>
            </w:r>
          </w:p>
        </w:tc>
        <w:tc>
          <w:tcPr>
            <w:tcW w:w="1778" w:type="pct"/>
            <w:gridSpan w:val="2"/>
            <w:noWrap w:val="0"/>
            <w:vAlign w:val="top"/>
          </w:tcPr>
          <w:p w14:paraId="43E18F8A">
            <w:pPr>
              <w:jc w:val="center"/>
              <w:rPr>
                <w:kern w:val="0"/>
                <w:szCs w:val="21"/>
                <w:lang w:bidi="ar"/>
              </w:rPr>
            </w:pPr>
            <w:r>
              <w:rPr>
                <w:b/>
                <w:bCs/>
                <w:kern w:val="0"/>
                <w:szCs w:val="21"/>
                <w:lang w:bidi="ar"/>
              </w:rPr>
              <w:t>5.5＜pH＜8.5</w:t>
            </w:r>
          </w:p>
        </w:tc>
      </w:tr>
    </w:tbl>
    <w:p w14:paraId="4B79117E">
      <w:pPr>
        <w:tabs>
          <w:tab w:val="left" w:pos="806"/>
        </w:tabs>
        <w:spacing w:before="22" w:after="21"/>
        <w:jc w:val="center"/>
        <w:rPr>
          <w:b/>
          <w:bCs/>
          <w:sz w:val="24"/>
        </w:rPr>
      </w:pPr>
      <w:r>
        <w:rPr>
          <w:b/>
          <w:bCs/>
          <w:sz w:val="24"/>
        </w:rPr>
        <w:t>表2.4-12本项目土壤环</w:t>
      </w:r>
      <w:r>
        <w:rPr>
          <w:b/>
          <w:bCs/>
          <w:spacing w:val="-3"/>
          <w:sz w:val="24"/>
        </w:rPr>
        <w:t>境</w:t>
      </w:r>
      <w:r>
        <w:rPr>
          <w:b/>
          <w:bCs/>
          <w:sz w:val="24"/>
        </w:rPr>
        <w:t>影响评价等级划分</w:t>
      </w:r>
    </w:p>
    <w:tbl>
      <w:tblPr>
        <w:tblStyle w:val="8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78"/>
        <w:gridCol w:w="2082"/>
        <w:gridCol w:w="2078"/>
        <w:gridCol w:w="2082"/>
      </w:tblGrid>
      <w:tr w14:paraId="15228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249" w:type="pct"/>
            <w:shd w:val="clear" w:color="auto" w:fill="D7D7D7"/>
            <w:noWrap w:val="0"/>
            <w:vAlign w:val="center"/>
          </w:tcPr>
          <w:p w14:paraId="43DC83FA">
            <w:pPr>
              <w:snapToGrid w:val="0"/>
              <w:jc w:val="center"/>
              <w:rPr>
                <w:b/>
                <w:bCs/>
                <w:kern w:val="0"/>
                <w:szCs w:val="21"/>
                <w:lang w:bidi="ar"/>
              </w:rPr>
            </w:pPr>
          </w:p>
          <w:p w14:paraId="4CFF98B6">
            <w:pPr>
              <w:snapToGrid w:val="0"/>
              <w:jc w:val="center"/>
              <w:rPr>
                <w:b/>
                <w:bCs/>
                <w:kern w:val="0"/>
                <w:szCs w:val="21"/>
                <w:lang w:bidi="ar"/>
              </w:rPr>
            </w:pPr>
          </w:p>
          <w:p w14:paraId="5220CBFC">
            <w:pPr>
              <w:snapToGrid w:val="0"/>
              <w:rPr>
                <w:b/>
                <w:bCs/>
                <w:kern w:val="0"/>
                <w:szCs w:val="21"/>
                <w:lang w:bidi="ar"/>
              </w:rPr>
            </w:pPr>
            <w:r>
              <w:rPr>
                <w:b/>
                <w:bCs/>
                <w:kern w:val="0"/>
                <w:szCs w:val="21"/>
                <w:lang w:bidi="ar"/>
              </w:rPr>
              <w:t>敏感程度</w:t>
            </w:r>
          </w:p>
          <w:p w14:paraId="42381F77">
            <w:pPr>
              <w:jc w:val="center"/>
              <w:rPr>
                <w:b/>
                <w:bCs/>
                <w:kern w:val="0"/>
                <w:szCs w:val="21"/>
                <w:lang w:bidi="ar"/>
              </w:rPr>
            </w:pPr>
            <w:r>
              <w:rPr>
                <w:b/>
                <w:bCs/>
                <w:kern w:val="0"/>
                <w:szCs w:val="21"/>
                <w:lang w:bidi="ar"/>
              </w:rPr>
              <w:t>类别</w:t>
            </w:r>
          </w:p>
          <w:p w14:paraId="6A5C43D0">
            <w:pPr>
              <w:jc w:val="center"/>
              <w:rPr>
                <w:b/>
                <w:bCs/>
                <w:kern w:val="0"/>
                <w:szCs w:val="21"/>
                <w:lang w:bidi="ar"/>
              </w:rPr>
            </w:pPr>
          </w:p>
        </w:tc>
        <w:tc>
          <w:tcPr>
            <w:tcW w:w="1251" w:type="pct"/>
            <w:shd w:val="clear" w:color="auto" w:fill="D7D7D7"/>
            <w:noWrap w:val="0"/>
            <w:vAlign w:val="center"/>
          </w:tcPr>
          <w:p w14:paraId="7076213F">
            <w:pPr>
              <w:jc w:val="center"/>
              <w:rPr>
                <w:b/>
                <w:bCs/>
                <w:kern w:val="0"/>
                <w:szCs w:val="21"/>
                <w:lang w:bidi="ar"/>
              </w:rPr>
            </w:pPr>
            <w:r>
              <w:rPr>
                <w:b/>
                <w:bCs/>
                <w:kern w:val="0"/>
                <w:szCs w:val="21"/>
                <w:lang w:bidi="ar"/>
              </w:rPr>
              <w:t>I类</w:t>
            </w:r>
          </w:p>
        </w:tc>
        <w:tc>
          <w:tcPr>
            <w:tcW w:w="1249" w:type="pct"/>
            <w:shd w:val="clear" w:color="auto" w:fill="D7D7D7"/>
            <w:noWrap w:val="0"/>
            <w:vAlign w:val="center"/>
          </w:tcPr>
          <w:p w14:paraId="4EFBB0EF">
            <w:pPr>
              <w:jc w:val="center"/>
              <w:rPr>
                <w:b/>
                <w:bCs/>
                <w:kern w:val="0"/>
                <w:szCs w:val="21"/>
                <w:lang w:bidi="ar"/>
              </w:rPr>
            </w:pPr>
            <w:r>
              <w:rPr>
                <w:b/>
                <w:bCs/>
                <w:kern w:val="0"/>
                <w:szCs w:val="21"/>
                <w:lang w:bidi="ar"/>
              </w:rPr>
              <w:t>II类</w:t>
            </w:r>
          </w:p>
        </w:tc>
        <w:tc>
          <w:tcPr>
            <w:tcW w:w="1249" w:type="pct"/>
            <w:shd w:val="clear" w:color="auto" w:fill="D7D7D7"/>
            <w:noWrap w:val="0"/>
            <w:vAlign w:val="center"/>
          </w:tcPr>
          <w:p w14:paraId="57A4E073">
            <w:pPr>
              <w:jc w:val="center"/>
              <w:rPr>
                <w:b/>
                <w:bCs/>
                <w:kern w:val="0"/>
                <w:szCs w:val="21"/>
                <w:lang w:bidi="ar"/>
              </w:rPr>
            </w:pPr>
            <w:r>
              <w:rPr>
                <w:b/>
                <w:bCs/>
                <w:kern w:val="0"/>
                <w:szCs w:val="21"/>
                <w:lang w:bidi="ar"/>
              </w:rPr>
              <w:t>III类</w:t>
            </w:r>
          </w:p>
        </w:tc>
      </w:tr>
      <w:tr w14:paraId="00975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49" w:type="pct"/>
            <w:noWrap w:val="0"/>
            <w:vAlign w:val="center"/>
          </w:tcPr>
          <w:p w14:paraId="035196F3">
            <w:pPr>
              <w:jc w:val="center"/>
              <w:rPr>
                <w:kern w:val="0"/>
                <w:szCs w:val="21"/>
                <w:lang w:bidi="ar"/>
              </w:rPr>
            </w:pPr>
            <w:r>
              <w:rPr>
                <w:kern w:val="0"/>
                <w:szCs w:val="21"/>
                <w:lang w:bidi="ar"/>
              </w:rPr>
              <w:t>敏感</w:t>
            </w:r>
          </w:p>
        </w:tc>
        <w:tc>
          <w:tcPr>
            <w:tcW w:w="1251" w:type="pct"/>
            <w:noWrap w:val="0"/>
            <w:vAlign w:val="center"/>
          </w:tcPr>
          <w:p w14:paraId="36F66F4C">
            <w:pPr>
              <w:jc w:val="center"/>
              <w:rPr>
                <w:kern w:val="0"/>
                <w:szCs w:val="21"/>
                <w:lang w:bidi="ar"/>
              </w:rPr>
            </w:pPr>
            <w:r>
              <w:rPr>
                <w:kern w:val="0"/>
                <w:szCs w:val="21"/>
                <w:lang w:bidi="ar"/>
              </w:rPr>
              <w:t>一级</w:t>
            </w:r>
          </w:p>
        </w:tc>
        <w:tc>
          <w:tcPr>
            <w:tcW w:w="1249" w:type="pct"/>
            <w:noWrap w:val="0"/>
            <w:vAlign w:val="center"/>
          </w:tcPr>
          <w:p w14:paraId="257E27BF">
            <w:pPr>
              <w:jc w:val="center"/>
              <w:rPr>
                <w:kern w:val="0"/>
                <w:szCs w:val="21"/>
                <w:lang w:bidi="ar"/>
              </w:rPr>
            </w:pPr>
            <w:r>
              <w:rPr>
                <w:kern w:val="0"/>
                <w:szCs w:val="21"/>
                <w:lang w:bidi="ar"/>
              </w:rPr>
              <w:t>二级</w:t>
            </w:r>
          </w:p>
        </w:tc>
        <w:tc>
          <w:tcPr>
            <w:tcW w:w="1249" w:type="pct"/>
            <w:noWrap w:val="0"/>
            <w:vAlign w:val="center"/>
          </w:tcPr>
          <w:p w14:paraId="6AC57080">
            <w:pPr>
              <w:jc w:val="center"/>
              <w:rPr>
                <w:kern w:val="0"/>
                <w:szCs w:val="21"/>
                <w:lang w:bidi="ar"/>
              </w:rPr>
            </w:pPr>
            <w:r>
              <w:rPr>
                <w:kern w:val="0"/>
                <w:szCs w:val="21"/>
                <w:lang w:bidi="ar"/>
              </w:rPr>
              <w:t>三级</w:t>
            </w:r>
          </w:p>
        </w:tc>
      </w:tr>
      <w:tr w14:paraId="26B27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49" w:type="pct"/>
            <w:noWrap w:val="0"/>
            <w:vAlign w:val="center"/>
          </w:tcPr>
          <w:p w14:paraId="3B09F406">
            <w:pPr>
              <w:jc w:val="center"/>
              <w:rPr>
                <w:kern w:val="0"/>
                <w:szCs w:val="21"/>
                <w:lang w:bidi="ar"/>
              </w:rPr>
            </w:pPr>
            <w:r>
              <w:rPr>
                <w:kern w:val="0"/>
                <w:szCs w:val="21"/>
                <w:lang w:bidi="ar"/>
              </w:rPr>
              <w:t>较敏感</w:t>
            </w:r>
          </w:p>
        </w:tc>
        <w:tc>
          <w:tcPr>
            <w:tcW w:w="1251" w:type="pct"/>
            <w:noWrap w:val="0"/>
            <w:vAlign w:val="center"/>
          </w:tcPr>
          <w:p w14:paraId="78A64A2F">
            <w:pPr>
              <w:jc w:val="center"/>
              <w:rPr>
                <w:kern w:val="0"/>
                <w:szCs w:val="21"/>
                <w:lang w:bidi="ar"/>
              </w:rPr>
            </w:pPr>
            <w:r>
              <w:rPr>
                <w:kern w:val="0"/>
                <w:szCs w:val="21"/>
                <w:lang w:bidi="ar"/>
              </w:rPr>
              <w:t>二级</w:t>
            </w:r>
          </w:p>
        </w:tc>
        <w:tc>
          <w:tcPr>
            <w:tcW w:w="1249" w:type="pct"/>
            <w:noWrap w:val="0"/>
            <w:vAlign w:val="center"/>
          </w:tcPr>
          <w:p w14:paraId="4A29C1EB">
            <w:pPr>
              <w:jc w:val="center"/>
              <w:rPr>
                <w:kern w:val="0"/>
                <w:szCs w:val="21"/>
                <w:lang w:bidi="ar"/>
              </w:rPr>
            </w:pPr>
            <w:r>
              <w:rPr>
                <w:kern w:val="0"/>
                <w:szCs w:val="21"/>
                <w:lang w:bidi="ar"/>
              </w:rPr>
              <w:t>二级</w:t>
            </w:r>
          </w:p>
        </w:tc>
        <w:tc>
          <w:tcPr>
            <w:tcW w:w="1249" w:type="pct"/>
            <w:noWrap w:val="0"/>
            <w:vAlign w:val="center"/>
          </w:tcPr>
          <w:p w14:paraId="474D17D9">
            <w:pPr>
              <w:jc w:val="center"/>
              <w:rPr>
                <w:kern w:val="0"/>
                <w:szCs w:val="21"/>
                <w:lang w:bidi="ar"/>
              </w:rPr>
            </w:pPr>
            <w:r>
              <w:rPr>
                <w:kern w:val="0"/>
                <w:szCs w:val="21"/>
                <w:lang w:bidi="ar"/>
              </w:rPr>
              <w:t>三级</w:t>
            </w:r>
          </w:p>
        </w:tc>
      </w:tr>
      <w:tr w14:paraId="4B3A8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49" w:type="pct"/>
            <w:noWrap w:val="0"/>
            <w:vAlign w:val="center"/>
          </w:tcPr>
          <w:p w14:paraId="31362BC6">
            <w:pPr>
              <w:jc w:val="center"/>
              <w:rPr>
                <w:kern w:val="0"/>
                <w:szCs w:val="21"/>
                <w:lang w:bidi="ar"/>
              </w:rPr>
            </w:pPr>
            <w:r>
              <w:rPr>
                <w:kern w:val="0"/>
                <w:szCs w:val="21"/>
                <w:lang w:bidi="ar"/>
              </w:rPr>
              <w:t>不敏感</w:t>
            </w:r>
          </w:p>
        </w:tc>
        <w:tc>
          <w:tcPr>
            <w:tcW w:w="1251" w:type="pct"/>
            <w:noWrap w:val="0"/>
            <w:vAlign w:val="center"/>
          </w:tcPr>
          <w:p w14:paraId="76603F72">
            <w:pPr>
              <w:jc w:val="center"/>
              <w:rPr>
                <w:kern w:val="0"/>
                <w:szCs w:val="21"/>
                <w:lang w:bidi="ar"/>
              </w:rPr>
            </w:pPr>
            <w:r>
              <w:rPr>
                <w:kern w:val="0"/>
                <w:szCs w:val="21"/>
                <w:lang w:bidi="ar"/>
              </w:rPr>
              <w:t>二级</w:t>
            </w:r>
          </w:p>
        </w:tc>
        <w:tc>
          <w:tcPr>
            <w:tcW w:w="1249" w:type="pct"/>
            <w:noWrap w:val="0"/>
            <w:vAlign w:val="center"/>
          </w:tcPr>
          <w:p w14:paraId="79A464C7">
            <w:pPr>
              <w:jc w:val="center"/>
              <w:rPr>
                <w:kern w:val="0"/>
                <w:szCs w:val="21"/>
                <w:lang w:bidi="ar"/>
              </w:rPr>
            </w:pPr>
            <w:r>
              <w:rPr>
                <w:kern w:val="0"/>
                <w:szCs w:val="21"/>
                <w:lang w:bidi="ar"/>
              </w:rPr>
              <w:t>三级</w:t>
            </w:r>
          </w:p>
        </w:tc>
        <w:tc>
          <w:tcPr>
            <w:tcW w:w="1249" w:type="pct"/>
            <w:noWrap w:val="0"/>
            <w:vAlign w:val="center"/>
          </w:tcPr>
          <w:p w14:paraId="5B90F4B4">
            <w:pPr>
              <w:jc w:val="center"/>
              <w:rPr>
                <w:kern w:val="0"/>
                <w:szCs w:val="21"/>
                <w:lang w:bidi="ar"/>
              </w:rPr>
            </w:pPr>
            <w:r>
              <w:rPr>
                <w:b/>
                <w:bCs/>
                <w:kern w:val="0"/>
                <w:szCs w:val="21"/>
                <w:lang w:bidi="ar"/>
              </w:rPr>
              <w:t>-</w:t>
            </w:r>
          </w:p>
        </w:tc>
      </w:tr>
      <w:tr w14:paraId="10E51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000" w:type="pct"/>
            <w:gridSpan w:val="4"/>
            <w:noWrap w:val="0"/>
            <w:vAlign w:val="center"/>
          </w:tcPr>
          <w:p w14:paraId="6FC8E1A2">
            <w:pPr>
              <w:jc w:val="center"/>
              <w:rPr>
                <w:kern w:val="0"/>
                <w:szCs w:val="21"/>
                <w:lang w:bidi="ar"/>
              </w:rPr>
            </w:pPr>
            <w:r>
              <w:rPr>
                <w:kern w:val="0"/>
                <w:szCs w:val="21"/>
                <w:lang w:bidi="ar"/>
              </w:rPr>
              <w:t>注：“-”表示可不开展土壤环境影响评价工作</w:t>
            </w:r>
          </w:p>
        </w:tc>
      </w:tr>
    </w:tbl>
    <w:p w14:paraId="313B3921">
      <w:pPr>
        <w:autoSpaceDE w:val="0"/>
        <w:autoSpaceDN w:val="0"/>
        <w:spacing w:line="360" w:lineRule="auto"/>
        <w:ind w:firstLine="480" w:firstLineChars="200"/>
        <w:jc w:val="left"/>
        <w:rPr>
          <w:sz w:val="24"/>
          <w:lang w:val="zh-CN" w:bidi="zh-CN"/>
        </w:rPr>
      </w:pPr>
      <w:r>
        <w:rPr>
          <w:bCs/>
          <w:sz w:val="24"/>
        </w:rPr>
        <w:t>按</w:t>
      </w:r>
      <w:r>
        <w:rPr>
          <w:bCs/>
          <w:sz w:val="24"/>
          <w:lang w:val="zh-CN"/>
        </w:rPr>
        <w:t>污染影响型项目，</w:t>
      </w:r>
      <w:r>
        <w:rPr>
          <w:sz w:val="24"/>
          <w:lang w:val="zh-CN" w:bidi="zh-CN"/>
        </w:rPr>
        <w:t>拟建项目周边存在耕地，因此项目占地土壤敏感程度为敏感。污染影响型敏感程度分级依据见表</w:t>
      </w:r>
      <w:r>
        <w:rPr>
          <w:sz w:val="24"/>
          <w:lang w:bidi="zh-CN"/>
        </w:rPr>
        <w:t>1.6-11</w:t>
      </w:r>
      <w:r>
        <w:rPr>
          <w:sz w:val="24"/>
          <w:lang w:val="zh-CN" w:bidi="zh-CN"/>
        </w:rPr>
        <w:t>。</w:t>
      </w:r>
    </w:p>
    <w:p w14:paraId="0F0E8A6F">
      <w:pPr>
        <w:tabs>
          <w:tab w:val="left" w:pos="1039"/>
        </w:tabs>
        <w:autoSpaceDE w:val="0"/>
        <w:autoSpaceDN w:val="0"/>
        <w:spacing w:before="5" w:after="5" w:line="360" w:lineRule="auto"/>
        <w:ind w:right="896"/>
        <w:jc w:val="center"/>
        <w:rPr>
          <w:b/>
          <w:bCs/>
          <w:sz w:val="24"/>
          <w:lang w:val="zh-CN"/>
        </w:rPr>
      </w:pPr>
      <w:r>
        <w:rPr>
          <w:b/>
          <w:bCs/>
          <w:sz w:val="24"/>
          <w:lang w:val="zh-CN"/>
        </w:rPr>
        <w:t xml:space="preserve">表 </w:t>
      </w:r>
      <w:r>
        <w:rPr>
          <w:b/>
          <w:bCs/>
          <w:sz w:val="24"/>
        </w:rPr>
        <w:t>2.4-13</w:t>
      </w:r>
      <w:r>
        <w:rPr>
          <w:b/>
          <w:bCs/>
          <w:sz w:val="24"/>
          <w:lang w:val="zh-CN"/>
        </w:rPr>
        <w:t>污染影响型敏感程度分级表</w:t>
      </w:r>
    </w:p>
    <w:tbl>
      <w:tblPr>
        <w:tblStyle w:val="87"/>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05"/>
        <w:gridCol w:w="7021"/>
      </w:tblGrid>
      <w:tr w14:paraId="55EC7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84" w:type="pct"/>
            <w:noWrap w:val="0"/>
            <w:vAlign w:val="top"/>
          </w:tcPr>
          <w:p w14:paraId="7CB705C8">
            <w:pPr>
              <w:autoSpaceDE w:val="0"/>
              <w:autoSpaceDN w:val="0"/>
              <w:spacing w:before="1" w:line="250" w:lineRule="exact"/>
              <w:ind w:left="112" w:right="196"/>
              <w:jc w:val="center"/>
              <w:rPr>
                <w:b/>
                <w:bCs/>
                <w:szCs w:val="22"/>
                <w:lang w:val="zh-CN" w:bidi="zh-CN"/>
              </w:rPr>
            </w:pPr>
            <w:r>
              <w:rPr>
                <w:b/>
                <w:bCs/>
                <w:szCs w:val="22"/>
                <w:lang w:val="zh-CN" w:bidi="zh-CN"/>
              </w:rPr>
              <w:t>敏感程度</w:t>
            </w:r>
          </w:p>
        </w:tc>
        <w:tc>
          <w:tcPr>
            <w:tcW w:w="4215" w:type="pct"/>
            <w:noWrap w:val="0"/>
            <w:vAlign w:val="top"/>
          </w:tcPr>
          <w:p w14:paraId="16162B6C">
            <w:pPr>
              <w:autoSpaceDE w:val="0"/>
              <w:autoSpaceDN w:val="0"/>
              <w:spacing w:before="1" w:line="250" w:lineRule="exact"/>
              <w:ind w:right="3272"/>
              <w:jc w:val="center"/>
              <w:rPr>
                <w:b/>
                <w:bCs/>
                <w:szCs w:val="22"/>
                <w:lang w:val="zh-CN" w:bidi="zh-CN"/>
              </w:rPr>
            </w:pPr>
            <w:r>
              <w:rPr>
                <w:b/>
                <w:bCs/>
                <w:szCs w:val="22"/>
                <w:lang w:val="zh-CN" w:bidi="zh-CN"/>
              </w:rPr>
              <w:t>判别依据</w:t>
            </w:r>
          </w:p>
        </w:tc>
      </w:tr>
      <w:tr w14:paraId="12B75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84" w:type="pct"/>
            <w:noWrap w:val="0"/>
            <w:vAlign w:val="top"/>
          </w:tcPr>
          <w:p w14:paraId="5ECA68D7">
            <w:pPr>
              <w:autoSpaceDE w:val="0"/>
              <w:autoSpaceDN w:val="0"/>
              <w:spacing w:before="138"/>
              <w:ind w:left="112" w:right="106"/>
              <w:jc w:val="center"/>
              <w:rPr>
                <w:szCs w:val="22"/>
                <w:lang w:val="zh-CN" w:bidi="zh-CN"/>
              </w:rPr>
            </w:pPr>
            <w:r>
              <w:rPr>
                <w:szCs w:val="22"/>
                <w:lang w:val="zh-CN" w:bidi="zh-CN"/>
              </w:rPr>
              <w:t>敏感</w:t>
            </w:r>
          </w:p>
        </w:tc>
        <w:tc>
          <w:tcPr>
            <w:tcW w:w="4215" w:type="pct"/>
            <w:noWrap w:val="0"/>
            <w:vAlign w:val="top"/>
          </w:tcPr>
          <w:p w14:paraId="1DB3094A">
            <w:pPr>
              <w:autoSpaceDE w:val="0"/>
              <w:autoSpaceDN w:val="0"/>
              <w:spacing w:before="1"/>
              <w:ind w:left="105" w:right="-15"/>
              <w:jc w:val="left"/>
              <w:rPr>
                <w:szCs w:val="22"/>
                <w:lang w:val="zh-CN" w:bidi="zh-CN"/>
              </w:rPr>
            </w:pPr>
            <w:r>
              <w:rPr>
                <w:spacing w:val="-6"/>
                <w:szCs w:val="22"/>
                <w:lang w:val="zh-CN" w:bidi="zh-CN"/>
              </w:rPr>
              <w:t>建设项目周边存在耕地、园地、牧草地、饮用水水源地或居民区、学校、医院、</w:t>
            </w:r>
          </w:p>
          <w:p w14:paraId="2D42EB16">
            <w:pPr>
              <w:autoSpaceDE w:val="0"/>
              <w:autoSpaceDN w:val="0"/>
              <w:spacing w:before="4" w:line="250" w:lineRule="exact"/>
              <w:ind w:left="105"/>
              <w:jc w:val="left"/>
              <w:rPr>
                <w:szCs w:val="22"/>
                <w:lang w:val="zh-CN" w:bidi="zh-CN"/>
              </w:rPr>
            </w:pPr>
            <w:r>
              <w:rPr>
                <w:szCs w:val="22"/>
                <w:lang w:val="zh-CN" w:bidi="zh-CN"/>
              </w:rPr>
              <w:t>疗养院、养老院等土壤环境敏感目标的</w:t>
            </w:r>
          </w:p>
        </w:tc>
      </w:tr>
      <w:tr w14:paraId="73CD5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84" w:type="pct"/>
            <w:noWrap w:val="0"/>
            <w:vAlign w:val="top"/>
          </w:tcPr>
          <w:p w14:paraId="19358A9B">
            <w:pPr>
              <w:autoSpaceDE w:val="0"/>
              <w:autoSpaceDN w:val="0"/>
              <w:spacing w:before="1" w:line="253" w:lineRule="exact"/>
              <w:ind w:left="112" w:right="105"/>
              <w:jc w:val="center"/>
              <w:rPr>
                <w:szCs w:val="22"/>
                <w:lang w:val="zh-CN" w:bidi="zh-CN"/>
              </w:rPr>
            </w:pPr>
            <w:r>
              <w:rPr>
                <w:szCs w:val="22"/>
                <w:lang w:val="zh-CN" w:bidi="zh-CN"/>
              </w:rPr>
              <w:t>较敏感</w:t>
            </w:r>
          </w:p>
        </w:tc>
        <w:tc>
          <w:tcPr>
            <w:tcW w:w="4215" w:type="pct"/>
            <w:noWrap w:val="0"/>
            <w:vAlign w:val="top"/>
          </w:tcPr>
          <w:p w14:paraId="386429B0">
            <w:pPr>
              <w:autoSpaceDE w:val="0"/>
              <w:autoSpaceDN w:val="0"/>
              <w:spacing w:before="1" w:line="253" w:lineRule="exact"/>
              <w:ind w:left="105"/>
              <w:jc w:val="left"/>
              <w:rPr>
                <w:szCs w:val="22"/>
                <w:lang w:val="zh-CN" w:bidi="zh-CN"/>
              </w:rPr>
            </w:pPr>
            <w:r>
              <w:rPr>
                <w:szCs w:val="22"/>
                <w:lang w:val="zh-CN" w:bidi="zh-CN"/>
              </w:rPr>
              <w:t>建设项目周边存在其他土壤环境敏感目标的</w:t>
            </w:r>
          </w:p>
        </w:tc>
      </w:tr>
      <w:tr w14:paraId="683FB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84" w:type="pct"/>
            <w:noWrap w:val="0"/>
            <w:vAlign w:val="top"/>
          </w:tcPr>
          <w:p w14:paraId="56F20FD4">
            <w:pPr>
              <w:autoSpaceDE w:val="0"/>
              <w:autoSpaceDN w:val="0"/>
              <w:spacing w:before="1" w:line="250" w:lineRule="exact"/>
              <w:ind w:left="112" w:right="105"/>
              <w:jc w:val="center"/>
              <w:rPr>
                <w:szCs w:val="22"/>
                <w:lang w:val="zh-CN" w:bidi="zh-CN"/>
              </w:rPr>
            </w:pPr>
            <w:r>
              <w:rPr>
                <w:szCs w:val="22"/>
                <w:lang w:val="zh-CN" w:bidi="zh-CN"/>
              </w:rPr>
              <w:t>不敏感</w:t>
            </w:r>
          </w:p>
        </w:tc>
        <w:tc>
          <w:tcPr>
            <w:tcW w:w="4215" w:type="pct"/>
            <w:noWrap w:val="0"/>
            <w:vAlign w:val="top"/>
          </w:tcPr>
          <w:p w14:paraId="4991C2A6">
            <w:pPr>
              <w:autoSpaceDE w:val="0"/>
              <w:autoSpaceDN w:val="0"/>
              <w:spacing w:before="1" w:line="250" w:lineRule="exact"/>
              <w:ind w:left="105"/>
              <w:jc w:val="left"/>
              <w:rPr>
                <w:szCs w:val="22"/>
                <w:lang w:val="zh-CN" w:bidi="zh-CN"/>
              </w:rPr>
            </w:pPr>
            <w:r>
              <w:rPr>
                <w:szCs w:val="22"/>
                <w:lang w:val="zh-CN" w:bidi="zh-CN"/>
              </w:rPr>
              <w:t>其他情况</w:t>
            </w:r>
          </w:p>
        </w:tc>
      </w:tr>
    </w:tbl>
    <w:p w14:paraId="7D9156A6">
      <w:pPr>
        <w:autoSpaceDE w:val="0"/>
        <w:autoSpaceDN w:val="0"/>
        <w:spacing w:line="365" w:lineRule="auto"/>
        <w:ind w:firstLine="480" w:firstLineChars="200"/>
        <w:jc w:val="left"/>
        <w:rPr>
          <w:sz w:val="24"/>
          <w:lang w:val="zh-CN" w:bidi="zh-CN"/>
        </w:rPr>
      </w:pPr>
      <w:r>
        <w:rPr>
          <w:sz w:val="24"/>
          <w:lang w:val="zh-CN" w:bidi="zh-CN"/>
        </w:rPr>
        <w:t>拟建项目占地面积约为</w:t>
      </w:r>
      <w:r>
        <w:rPr>
          <w:snapToGrid w:val="0"/>
          <w:sz w:val="24"/>
        </w:rPr>
        <w:t>77332.56m</w:t>
      </w:r>
      <w:r>
        <w:rPr>
          <w:sz w:val="24"/>
          <w:vertAlign w:val="superscript"/>
        </w:rPr>
        <w:t>2</w:t>
      </w:r>
      <w:r>
        <w:rPr>
          <w:sz w:val="24"/>
        </w:rPr>
        <w:t>（116亩），</w:t>
      </w:r>
      <w:r>
        <w:rPr>
          <w:sz w:val="24"/>
          <w:lang w:val="zh-CN" w:bidi="zh-CN"/>
        </w:rPr>
        <w:t>故项目占地规模属于</w:t>
      </w:r>
      <w:r>
        <w:rPr>
          <w:sz w:val="24"/>
          <w:lang w:bidi="zh-CN"/>
        </w:rPr>
        <w:t>中</w:t>
      </w:r>
      <w:r>
        <w:rPr>
          <w:sz w:val="24"/>
          <w:lang w:val="zh-CN" w:bidi="zh-CN"/>
        </w:rPr>
        <w:t>型。</w:t>
      </w:r>
    </w:p>
    <w:p w14:paraId="4406D1C3">
      <w:pPr>
        <w:autoSpaceDE w:val="0"/>
        <w:autoSpaceDN w:val="0"/>
        <w:spacing w:line="365" w:lineRule="auto"/>
        <w:ind w:firstLine="480" w:firstLineChars="200"/>
        <w:jc w:val="left"/>
        <w:rPr>
          <w:sz w:val="24"/>
          <w:lang w:val="zh-CN" w:bidi="zh-CN"/>
        </w:rPr>
      </w:pPr>
      <w:r>
        <w:rPr>
          <w:sz w:val="24"/>
          <w:lang w:val="zh-CN" w:bidi="zh-CN"/>
        </w:rPr>
        <w:t xml:space="preserve">拟建项目土壤境影响评价项目类别为 </w:t>
      </w:r>
      <w:r>
        <w:rPr>
          <w:rFonts w:eastAsia="Times New Roman"/>
          <w:sz w:val="24"/>
          <w:lang w:val="zh-CN" w:bidi="zh-CN"/>
        </w:rPr>
        <w:t xml:space="preserve">III </w:t>
      </w:r>
      <w:r>
        <w:rPr>
          <w:sz w:val="24"/>
          <w:lang w:val="zh-CN" w:bidi="zh-CN"/>
        </w:rPr>
        <w:t>类，土壤敏感程度为敏感，占地规模属于</w:t>
      </w:r>
      <w:r>
        <w:rPr>
          <w:sz w:val="24"/>
          <w:lang w:bidi="zh-CN"/>
        </w:rPr>
        <w:t>中</w:t>
      </w:r>
      <w:r>
        <w:rPr>
          <w:sz w:val="24"/>
          <w:lang w:val="zh-CN" w:bidi="zh-CN"/>
        </w:rPr>
        <w:t>型，根据《环境影响评价技术导则 土壤环境》（试行）（</w:t>
      </w:r>
      <w:r>
        <w:rPr>
          <w:rFonts w:eastAsia="Times New Roman"/>
          <w:sz w:val="24"/>
          <w:lang w:val="zh-CN" w:bidi="zh-CN"/>
        </w:rPr>
        <w:t>HJ964-2018</w:t>
      </w:r>
      <w:r>
        <w:rPr>
          <w:sz w:val="24"/>
          <w:lang w:val="zh-CN" w:bidi="zh-CN"/>
        </w:rPr>
        <w:t>） 的规定，拟建项目评价等级为三级。拟建项目</w:t>
      </w:r>
      <w:r>
        <w:rPr>
          <w:sz w:val="24"/>
          <w:lang w:bidi="zh-CN"/>
        </w:rPr>
        <w:t>土壤评价</w:t>
      </w:r>
      <w:r>
        <w:rPr>
          <w:sz w:val="24"/>
          <w:lang w:val="zh-CN" w:bidi="zh-CN"/>
        </w:rPr>
        <w:t>等级划分见表</w:t>
      </w:r>
      <w:r>
        <w:rPr>
          <w:sz w:val="24"/>
          <w:lang w:bidi="zh-CN"/>
        </w:rPr>
        <w:t>1.6-12</w:t>
      </w:r>
      <w:r>
        <w:rPr>
          <w:sz w:val="24"/>
          <w:lang w:val="zh-CN" w:bidi="zh-CN"/>
        </w:rPr>
        <w:t>。</w:t>
      </w:r>
    </w:p>
    <w:p w14:paraId="0EA378B7">
      <w:pPr>
        <w:pStyle w:val="47"/>
        <w:rPr>
          <w:rFonts w:ascii="Times New Roman" w:hAnsi="Times New Roman" w:cs="Times New Roman"/>
          <w:sz w:val="24"/>
          <w:szCs w:val="24"/>
          <w:lang w:val="zh-CN" w:bidi="zh-CN"/>
        </w:rPr>
      </w:pPr>
    </w:p>
    <w:p w14:paraId="5FCE5644">
      <w:pPr>
        <w:pStyle w:val="2"/>
        <w:rPr>
          <w:rFonts w:ascii="Times New Roman" w:hAnsi="Times New Roman"/>
          <w:color w:val="auto"/>
          <w:lang w:val="zh-CN"/>
        </w:rPr>
      </w:pPr>
    </w:p>
    <w:p w14:paraId="28FB770B">
      <w:pPr>
        <w:tabs>
          <w:tab w:val="left" w:pos="1039"/>
        </w:tabs>
        <w:autoSpaceDE w:val="0"/>
        <w:autoSpaceDN w:val="0"/>
        <w:spacing w:before="5" w:after="5" w:line="360" w:lineRule="auto"/>
        <w:ind w:right="896"/>
        <w:jc w:val="center"/>
        <w:rPr>
          <w:b/>
          <w:bCs/>
          <w:sz w:val="24"/>
          <w:lang w:val="zh-CN"/>
        </w:rPr>
      </w:pPr>
      <w:r>
        <w:rPr>
          <w:b/>
          <w:bCs/>
          <w:sz w:val="24"/>
          <w:lang w:val="zh-CN"/>
        </w:rPr>
        <w:t>表</w:t>
      </w:r>
      <w:r>
        <w:rPr>
          <w:b/>
          <w:bCs/>
          <w:sz w:val="24"/>
        </w:rPr>
        <w:t>2.4-14</w:t>
      </w:r>
      <w:r>
        <w:rPr>
          <w:b/>
          <w:bCs/>
          <w:sz w:val="24"/>
          <w:lang w:val="zh-CN"/>
        </w:rPr>
        <w:tab/>
      </w:r>
      <w:r>
        <w:rPr>
          <w:b/>
          <w:bCs/>
          <w:sz w:val="24"/>
          <w:lang w:val="zh-CN"/>
        </w:rPr>
        <w:t>拟建项目</w:t>
      </w:r>
      <w:r>
        <w:rPr>
          <w:b/>
          <w:bCs/>
          <w:sz w:val="24"/>
        </w:rPr>
        <w:t>土壤</w:t>
      </w:r>
      <w:r>
        <w:rPr>
          <w:b/>
          <w:bCs/>
          <w:sz w:val="24"/>
          <w:lang w:val="zh-CN"/>
        </w:rPr>
        <w:t>评价工作等级划分</w:t>
      </w:r>
    </w:p>
    <w:tbl>
      <w:tblPr>
        <w:tblStyle w:val="8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27"/>
        <w:gridCol w:w="682"/>
        <w:gridCol w:w="682"/>
        <w:gridCol w:w="685"/>
        <w:gridCol w:w="682"/>
        <w:gridCol w:w="682"/>
        <w:gridCol w:w="685"/>
        <w:gridCol w:w="818"/>
        <w:gridCol w:w="820"/>
        <w:gridCol w:w="652"/>
      </w:tblGrid>
      <w:tr w14:paraId="0B5D5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159" w:type="pct"/>
            <w:vMerge w:val="restart"/>
            <w:shd w:val="clear" w:color="auto" w:fill="D7D7D7"/>
            <w:noWrap w:val="0"/>
            <w:vAlign w:val="center"/>
          </w:tcPr>
          <w:p w14:paraId="0D3D98DD">
            <w:pPr>
              <w:autoSpaceDE w:val="0"/>
              <w:autoSpaceDN w:val="0"/>
              <w:snapToGrid w:val="0"/>
              <w:ind w:left="16"/>
              <w:jc w:val="left"/>
              <w:rPr>
                <w:b/>
                <w:bCs/>
                <w:szCs w:val="21"/>
                <w:lang w:val="zh-CN" w:bidi="zh-CN"/>
              </w:rPr>
            </w:pPr>
          </w:p>
          <w:p w14:paraId="53BF7364">
            <w:pPr>
              <w:autoSpaceDE w:val="0"/>
              <w:autoSpaceDN w:val="0"/>
              <w:snapToGrid w:val="0"/>
              <w:ind w:left="16"/>
              <w:jc w:val="left"/>
              <w:rPr>
                <w:b/>
                <w:bCs/>
                <w:szCs w:val="21"/>
                <w:lang w:val="zh-CN" w:bidi="zh-CN"/>
              </w:rPr>
            </w:pPr>
          </w:p>
          <w:p w14:paraId="4ABCFA64">
            <w:pPr>
              <w:autoSpaceDE w:val="0"/>
              <w:autoSpaceDN w:val="0"/>
              <w:snapToGrid w:val="0"/>
              <w:ind w:left="16"/>
              <w:jc w:val="left"/>
              <w:rPr>
                <w:b/>
                <w:bCs/>
                <w:szCs w:val="21"/>
                <w:lang w:val="zh-CN" w:bidi="zh-CN"/>
              </w:rPr>
            </w:pPr>
            <w:r>
              <w:rPr>
                <w:b/>
                <w:bCs/>
                <w:szCs w:val="21"/>
                <w:lang w:val="zh-CN" w:bidi="zh-CN"/>
              </w:rPr>
              <w:t>敏感程度</w:t>
            </w:r>
          </w:p>
          <w:p w14:paraId="52E12A93">
            <w:pPr>
              <w:autoSpaceDE w:val="0"/>
              <w:autoSpaceDN w:val="0"/>
              <w:spacing w:before="1"/>
              <w:ind w:right="197"/>
              <w:jc w:val="left"/>
              <w:rPr>
                <w:b/>
                <w:bCs/>
                <w:szCs w:val="21"/>
                <w:lang w:val="zh-CN" w:bidi="zh-CN"/>
              </w:rPr>
            </w:pPr>
            <w:r>
              <w:rPr>
                <w:b/>
                <w:bCs/>
                <w:szCs w:val="21"/>
                <w:lang w:bidi="zh-CN"/>
              </w:rPr>
              <w:t>评价</w:t>
            </w:r>
            <w:r>
              <w:rPr>
                <w:b/>
                <w:bCs/>
                <w:szCs w:val="21"/>
                <w:lang w:val="zh-CN" w:bidi="zh-CN"/>
              </w:rPr>
              <w:t>工作等级</w:t>
            </w:r>
          </w:p>
          <w:p w14:paraId="35938892">
            <w:pPr>
              <w:autoSpaceDE w:val="0"/>
              <w:autoSpaceDN w:val="0"/>
              <w:snapToGrid w:val="0"/>
              <w:ind w:left="16"/>
              <w:jc w:val="left"/>
              <w:rPr>
                <w:b/>
                <w:bCs/>
                <w:szCs w:val="21"/>
                <w:lang w:val="zh-CN" w:bidi="zh-CN"/>
              </w:rPr>
            </w:pPr>
          </w:p>
          <w:p w14:paraId="67F3753E">
            <w:pPr>
              <w:autoSpaceDE w:val="0"/>
              <w:autoSpaceDN w:val="0"/>
              <w:ind w:left="16"/>
              <w:jc w:val="left"/>
              <w:rPr>
                <w:b/>
                <w:bCs/>
                <w:szCs w:val="21"/>
                <w:lang w:val="zh-CN" w:bidi="zh-CN"/>
              </w:rPr>
            </w:pPr>
            <w:r>
              <w:rPr>
                <w:b/>
                <w:bCs/>
                <w:szCs w:val="21"/>
                <w:lang w:bidi="zh-CN"/>
              </w:rPr>
              <w:t>占</w:t>
            </w:r>
            <w:r>
              <w:rPr>
                <w:b/>
                <w:bCs/>
                <w:szCs w:val="21"/>
                <w:lang w:val="zh-CN" w:bidi="zh-CN"/>
              </w:rPr>
              <w:t>地规模</w:t>
            </w:r>
          </w:p>
        </w:tc>
        <w:tc>
          <w:tcPr>
            <w:tcW w:w="1232" w:type="pct"/>
            <w:gridSpan w:val="3"/>
            <w:tcBorders>
              <w:right w:val="single" w:color="000000" w:sz="4" w:space="0"/>
            </w:tcBorders>
            <w:shd w:val="clear" w:color="auto" w:fill="D7D7D7"/>
            <w:noWrap w:val="0"/>
            <w:vAlign w:val="center"/>
          </w:tcPr>
          <w:p w14:paraId="1F675AD6">
            <w:pPr>
              <w:autoSpaceDE w:val="0"/>
              <w:autoSpaceDN w:val="0"/>
              <w:spacing w:before="126"/>
              <w:ind w:left="874" w:right="872"/>
              <w:jc w:val="center"/>
              <w:rPr>
                <w:b/>
                <w:bCs/>
                <w:szCs w:val="21"/>
                <w:lang w:val="zh-CN" w:bidi="zh-CN"/>
              </w:rPr>
            </w:pPr>
            <w:r>
              <w:rPr>
                <w:b/>
                <w:bCs/>
                <w:szCs w:val="21"/>
                <w:lang w:val="zh-CN" w:bidi="zh-CN"/>
              </w:rPr>
              <w:t>I类</w:t>
            </w:r>
          </w:p>
        </w:tc>
        <w:tc>
          <w:tcPr>
            <w:tcW w:w="1232" w:type="pct"/>
            <w:gridSpan w:val="3"/>
            <w:tcBorders>
              <w:left w:val="single" w:color="000000" w:sz="4" w:space="0"/>
              <w:right w:val="single" w:color="000000" w:sz="4" w:space="0"/>
            </w:tcBorders>
            <w:shd w:val="clear" w:color="auto" w:fill="D7D7D7"/>
            <w:noWrap w:val="0"/>
            <w:vAlign w:val="center"/>
          </w:tcPr>
          <w:p w14:paraId="632E086E">
            <w:pPr>
              <w:autoSpaceDE w:val="0"/>
              <w:autoSpaceDN w:val="0"/>
              <w:spacing w:before="126"/>
              <w:ind w:left="836" w:right="836"/>
              <w:jc w:val="center"/>
              <w:rPr>
                <w:b/>
                <w:bCs/>
                <w:szCs w:val="21"/>
                <w:lang w:val="zh-CN" w:bidi="zh-CN"/>
              </w:rPr>
            </w:pPr>
            <w:r>
              <w:rPr>
                <w:b/>
                <w:bCs/>
                <w:szCs w:val="21"/>
                <w:lang w:val="zh-CN" w:bidi="zh-CN"/>
              </w:rPr>
              <w:t>II类</w:t>
            </w:r>
          </w:p>
        </w:tc>
        <w:tc>
          <w:tcPr>
            <w:tcW w:w="1375" w:type="pct"/>
            <w:gridSpan w:val="3"/>
            <w:tcBorders>
              <w:left w:val="single" w:color="000000" w:sz="4" w:space="0"/>
            </w:tcBorders>
            <w:shd w:val="clear" w:color="auto" w:fill="D7D7D7"/>
            <w:noWrap w:val="0"/>
            <w:vAlign w:val="center"/>
          </w:tcPr>
          <w:p w14:paraId="7247D9A3">
            <w:pPr>
              <w:autoSpaceDE w:val="0"/>
              <w:autoSpaceDN w:val="0"/>
              <w:spacing w:before="126"/>
              <w:ind w:right="926"/>
              <w:jc w:val="center"/>
              <w:rPr>
                <w:b/>
                <w:bCs/>
                <w:szCs w:val="21"/>
                <w:lang w:val="zh-CN" w:bidi="zh-CN"/>
              </w:rPr>
            </w:pPr>
            <w:r>
              <w:rPr>
                <w:b/>
                <w:bCs/>
                <w:szCs w:val="21"/>
                <w:lang w:bidi="zh-CN"/>
              </w:rPr>
              <w:t>III</w:t>
            </w:r>
            <w:r>
              <w:rPr>
                <w:b/>
                <w:bCs/>
                <w:szCs w:val="21"/>
                <w:lang w:val="zh-CN" w:bidi="zh-CN"/>
              </w:rPr>
              <w:t>类</w:t>
            </w:r>
          </w:p>
        </w:tc>
      </w:tr>
      <w:tr w14:paraId="6AB68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1159" w:type="pct"/>
            <w:vMerge w:val="continue"/>
            <w:tcBorders>
              <w:top w:val="nil"/>
            </w:tcBorders>
            <w:shd w:val="clear" w:color="auto" w:fill="D7D7D7"/>
            <w:noWrap w:val="0"/>
            <w:vAlign w:val="center"/>
          </w:tcPr>
          <w:p w14:paraId="06DAEF4E">
            <w:pPr>
              <w:autoSpaceDE w:val="0"/>
              <w:autoSpaceDN w:val="0"/>
              <w:jc w:val="left"/>
              <w:rPr>
                <w:b/>
                <w:bCs/>
                <w:kern w:val="0"/>
                <w:szCs w:val="21"/>
                <w:lang w:val="zh-CN" w:bidi="zh-CN"/>
              </w:rPr>
            </w:pPr>
          </w:p>
        </w:tc>
        <w:tc>
          <w:tcPr>
            <w:tcW w:w="410" w:type="pct"/>
            <w:tcBorders>
              <w:right w:val="single" w:color="000000" w:sz="4" w:space="0"/>
            </w:tcBorders>
            <w:shd w:val="clear" w:color="auto" w:fill="D7D7D7"/>
            <w:noWrap w:val="0"/>
            <w:vAlign w:val="center"/>
          </w:tcPr>
          <w:p w14:paraId="61719276">
            <w:pPr>
              <w:autoSpaceDE w:val="0"/>
              <w:autoSpaceDN w:val="0"/>
              <w:spacing w:before="10"/>
              <w:ind w:left="4"/>
              <w:jc w:val="center"/>
              <w:rPr>
                <w:b/>
                <w:bCs/>
                <w:szCs w:val="21"/>
                <w:lang w:val="zh-CN" w:bidi="zh-CN"/>
              </w:rPr>
            </w:pPr>
            <w:r>
              <w:rPr>
                <w:b/>
                <w:bCs/>
                <w:szCs w:val="21"/>
                <w:lang w:val="zh-CN" w:bidi="zh-CN"/>
              </w:rPr>
              <w:t>大</w:t>
            </w:r>
          </w:p>
        </w:tc>
        <w:tc>
          <w:tcPr>
            <w:tcW w:w="410" w:type="pct"/>
            <w:tcBorders>
              <w:left w:val="single" w:color="000000" w:sz="4" w:space="0"/>
              <w:right w:val="single" w:color="000000" w:sz="4" w:space="0"/>
            </w:tcBorders>
            <w:shd w:val="clear" w:color="auto" w:fill="D7D7D7"/>
            <w:noWrap w:val="0"/>
            <w:vAlign w:val="center"/>
          </w:tcPr>
          <w:p w14:paraId="406E1404">
            <w:pPr>
              <w:autoSpaceDE w:val="0"/>
              <w:autoSpaceDN w:val="0"/>
              <w:spacing w:before="10"/>
              <w:jc w:val="center"/>
              <w:rPr>
                <w:b/>
                <w:bCs/>
                <w:szCs w:val="21"/>
                <w:lang w:val="zh-CN" w:bidi="zh-CN"/>
              </w:rPr>
            </w:pPr>
            <w:r>
              <w:rPr>
                <w:b/>
                <w:bCs/>
                <w:szCs w:val="21"/>
                <w:lang w:val="zh-CN" w:bidi="zh-CN"/>
              </w:rPr>
              <w:t>中</w:t>
            </w:r>
          </w:p>
        </w:tc>
        <w:tc>
          <w:tcPr>
            <w:tcW w:w="411" w:type="pct"/>
            <w:tcBorders>
              <w:left w:val="single" w:color="000000" w:sz="4" w:space="0"/>
              <w:right w:val="single" w:color="000000" w:sz="4" w:space="0"/>
            </w:tcBorders>
            <w:shd w:val="clear" w:color="auto" w:fill="D7D7D7"/>
            <w:noWrap w:val="0"/>
            <w:vAlign w:val="center"/>
          </w:tcPr>
          <w:p w14:paraId="54B1CFC0">
            <w:pPr>
              <w:autoSpaceDE w:val="0"/>
              <w:autoSpaceDN w:val="0"/>
              <w:spacing w:before="10"/>
              <w:ind w:left="2"/>
              <w:jc w:val="center"/>
              <w:rPr>
                <w:b/>
                <w:bCs/>
                <w:szCs w:val="21"/>
                <w:lang w:val="zh-CN" w:bidi="zh-CN"/>
              </w:rPr>
            </w:pPr>
            <w:r>
              <w:rPr>
                <w:b/>
                <w:bCs/>
                <w:szCs w:val="21"/>
                <w:lang w:val="zh-CN" w:bidi="zh-CN"/>
              </w:rPr>
              <w:t>小</w:t>
            </w:r>
          </w:p>
        </w:tc>
        <w:tc>
          <w:tcPr>
            <w:tcW w:w="410" w:type="pct"/>
            <w:tcBorders>
              <w:left w:val="single" w:color="000000" w:sz="4" w:space="0"/>
            </w:tcBorders>
            <w:shd w:val="clear" w:color="auto" w:fill="D7D7D7"/>
            <w:noWrap w:val="0"/>
            <w:vAlign w:val="center"/>
          </w:tcPr>
          <w:p w14:paraId="6B71C01E">
            <w:pPr>
              <w:autoSpaceDE w:val="0"/>
              <w:autoSpaceDN w:val="0"/>
              <w:spacing w:before="10"/>
              <w:jc w:val="center"/>
              <w:rPr>
                <w:b/>
                <w:bCs/>
                <w:szCs w:val="21"/>
                <w:lang w:val="zh-CN" w:bidi="zh-CN"/>
              </w:rPr>
            </w:pPr>
            <w:r>
              <w:rPr>
                <w:b/>
                <w:bCs/>
                <w:szCs w:val="21"/>
                <w:lang w:val="zh-CN" w:bidi="zh-CN"/>
              </w:rPr>
              <w:t>大</w:t>
            </w:r>
          </w:p>
        </w:tc>
        <w:tc>
          <w:tcPr>
            <w:tcW w:w="410" w:type="pct"/>
            <w:shd w:val="clear" w:color="auto" w:fill="D7D7D7"/>
            <w:noWrap w:val="0"/>
            <w:vAlign w:val="center"/>
          </w:tcPr>
          <w:p w14:paraId="48F99824">
            <w:pPr>
              <w:autoSpaceDE w:val="0"/>
              <w:autoSpaceDN w:val="0"/>
              <w:spacing w:before="10"/>
              <w:ind w:left="1"/>
              <w:jc w:val="center"/>
              <w:rPr>
                <w:b/>
                <w:bCs/>
                <w:szCs w:val="21"/>
                <w:lang w:val="zh-CN" w:bidi="zh-CN"/>
              </w:rPr>
            </w:pPr>
            <w:r>
              <w:rPr>
                <w:b/>
                <w:bCs/>
                <w:szCs w:val="21"/>
                <w:lang w:val="zh-CN" w:bidi="zh-CN"/>
              </w:rPr>
              <w:t>中</w:t>
            </w:r>
          </w:p>
        </w:tc>
        <w:tc>
          <w:tcPr>
            <w:tcW w:w="410" w:type="pct"/>
            <w:tcBorders>
              <w:right w:val="single" w:color="000000" w:sz="4" w:space="0"/>
            </w:tcBorders>
            <w:shd w:val="clear" w:color="auto" w:fill="D7D7D7"/>
            <w:noWrap w:val="0"/>
            <w:vAlign w:val="center"/>
          </w:tcPr>
          <w:p w14:paraId="46752503">
            <w:pPr>
              <w:autoSpaceDE w:val="0"/>
              <w:autoSpaceDN w:val="0"/>
              <w:spacing w:before="10"/>
              <w:ind w:left="1"/>
              <w:jc w:val="center"/>
              <w:rPr>
                <w:b/>
                <w:bCs/>
                <w:szCs w:val="21"/>
                <w:lang w:val="zh-CN" w:bidi="zh-CN"/>
              </w:rPr>
            </w:pPr>
            <w:r>
              <w:rPr>
                <w:b/>
                <w:bCs/>
                <w:szCs w:val="21"/>
                <w:lang w:val="zh-CN" w:bidi="zh-CN"/>
              </w:rPr>
              <w:t>小</w:t>
            </w:r>
          </w:p>
        </w:tc>
        <w:tc>
          <w:tcPr>
            <w:tcW w:w="492" w:type="pct"/>
            <w:tcBorders>
              <w:left w:val="single" w:color="000000" w:sz="4" w:space="0"/>
              <w:right w:val="single" w:color="000000" w:sz="4" w:space="0"/>
            </w:tcBorders>
            <w:shd w:val="clear" w:color="auto" w:fill="D7D7D7"/>
            <w:noWrap w:val="0"/>
            <w:vAlign w:val="center"/>
          </w:tcPr>
          <w:p w14:paraId="27B226EF">
            <w:pPr>
              <w:autoSpaceDE w:val="0"/>
              <w:autoSpaceDN w:val="0"/>
              <w:spacing w:before="10"/>
              <w:ind w:left="6"/>
              <w:jc w:val="center"/>
              <w:rPr>
                <w:b/>
                <w:bCs/>
                <w:szCs w:val="21"/>
                <w:lang w:val="zh-CN" w:bidi="zh-CN"/>
              </w:rPr>
            </w:pPr>
            <w:r>
              <w:rPr>
                <w:b/>
                <w:bCs/>
                <w:szCs w:val="21"/>
                <w:lang w:val="zh-CN" w:bidi="zh-CN"/>
              </w:rPr>
              <w:t>大</w:t>
            </w:r>
          </w:p>
        </w:tc>
        <w:tc>
          <w:tcPr>
            <w:tcW w:w="493" w:type="pct"/>
            <w:tcBorders>
              <w:left w:val="single" w:color="000000" w:sz="4" w:space="0"/>
            </w:tcBorders>
            <w:shd w:val="clear" w:color="auto" w:fill="D7D7D7"/>
            <w:noWrap w:val="0"/>
            <w:vAlign w:val="center"/>
          </w:tcPr>
          <w:p w14:paraId="3DC9352E">
            <w:pPr>
              <w:autoSpaceDE w:val="0"/>
              <w:autoSpaceDN w:val="0"/>
              <w:spacing w:before="10"/>
              <w:ind w:left="2"/>
              <w:jc w:val="center"/>
              <w:rPr>
                <w:b/>
                <w:bCs/>
                <w:szCs w:val="21"/>
                <w:lang w:val="zh-CN" w:bidi="zh-CN"/>
              </w:rPr>
            </w:pPr>
            <w:r>
              <w:rPr>
                <w:b/>
                <w:bCs/>
                <w:szCs w:val="21"/>
                <w:lang w:val="zh-CN" w:bidi="zh-CN"/>
              </w:rPr>
              <w:t>中</w:t>
            </w:r>
          </w:p>
        </w:tc>
        <w:tc>
          <w:tcPr>
            <w:tcW w:w="388" w:type="pct"/>
            <w:shd w:val="clear" w:color="auto" w:fill="D7D7D7"/>
            <w:noWrap w:val="0"/>
            <w:vAlign w:val="center"/>
          </w:tcPr>
          <w:p w14:paraId="66CC8EF5">
            <w:pPr>
              <w:autoSpaceDE w:val="0"/>
              <w:autoSpaceDN w:val="0"/>
              <w:spacing w:before="10"/>
              <w:ind w:left="4"/>
              <w:jc w:val="center"/>
              <w:rPr>
                <w:b/>
                <w:bCs/>
                <w:szCs w:val="21"/>
                <w:lang w:val="zh-CN" w:bidi="zh-CN"/>
              </w:rPr>
            </w:pPr>
            <w:r>
              <w:rPr>
                <w:b/>
                <w:bCs/>
                <w:szCs w:val="21"/>
                <w:lang w:val="zh-CN" w:bidi="zh-CN"/>
              </w:rPr>
              <w:t>小</w:t>
            </w:r>
          </w:p>
        </w:tc>
      </w:tr>
      <w:tr w14:paraId="738C7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59" w:type="pct"/>
            <w:shd w:val="clear" w:color="auto" w:fill="auto"/>
            <w:noWrap w:val="0"/>
            <w:vAlign w:val="center"/>
          </w:tcPr>
          <w:p w14:paraId="765875F4">
            <w:pPr>
              <w:autoSpaceDE w:val="0"/>
              <w:autoSpaceDN w:val="0"/>
              <w:spacing w:before="1"/>
              <w:ind w:right="703"/>
              <w:jc w:val="center"/>
              <w:rPr>
                <w:szCs w:val="21"/>
                <w:lang w:val="zh-CN" w:bidi="zh-CN"/>
              </w:rPr>
            </w:pPr>
            <w:r>
              <w:rPr>
                <w:szCs w:val="21"/>
                <w:lang w:val="zh-CN" w:bidi="zh-CN"/>
              </w:rPr>
              <w:t>敏感</w:t>
            </w:r>
          </w:p>
        </w:tc>
        <w:tc>
          <w:tcPr>
            <w:tcW w:w="410" w:type="pct"/>
            <w:tcBorders>
              <w:right w:val="single" w:color="000000" w:sz="4" w:space="0"/>
            </w:tcBorders>
            <w:shd w:val="clear" w:color="auto" w:fill="auto"/>
            <w:noWrap w:val="0"/>
            <w:vAlign w:val="center"/>
          </w:tcPr>
          <w:p w14:paraId="67B86068">
            <w:pPr>
              <w:autoSpaceDE w:val="0"/>
              <w:autoSpaceDN w:val="0"/>
              <w:spacing w:before="1"/>
              <w:ind w:left="122" w:right="113"/>
              <w:jc w:val="center"/>
              <w:rPr>
                <w:szCs w:val="21"/>
                <w:lang w:val="zh-CN" w:bidi="zh-CN"/>
              </w:rPr>
            </w:pPr>
            <w:r>
              <w:rPr>
                <w:szCs w:val="21"/>
                <w:lang w:val="zh-CN" w:bidi="zh-CN"/>
              </w:rPr>
              <w:t>一级</w:t>
            </w:r>
          </w:p>
        </w:tc>
        <w:tc>
          <w:tcPr>
            <w:tcW w:w="410" w:type="pct"/>
            <w:tcBorders>
              <w:left w:val="single" w:color="000000" w:sz="4" w:space="0"/>
              <w:right w:val="single" w:color="000000" w:sz="4" w:space="0"/>
            </w:tcBorders>
            <w:shd w:val="clear" w:color="auto" w:fill="auto"/>
            <w:noWrap w:val="0"/>
            <w:vAlign w:val="center"/>
          </w:tcPr>
          <w:p w14:paraId="6719AF0E">
            <w:pPr>
              <w:autoSpaceDE w:val="0"/>
              <w:autoSpaceDN w:val="0"/>
              <w:spacing w:before="1"/>
              <w:ind w:left="122" w:right="118"/>
              <w:jc w:val="center"/>
              <w:rPr>
                <w:szCs w:val="21"/>
                <w:lang w:val="zh-CN" w:bidi="zh-CN"/>
              </w:rPr>
            </w:pPr>
            <w:r>
              <w:rPr>
                <w:szCs w:val="21"/>
                <w:lang w:val="zh-CN" w:bidi="zh-CN"/>
              </w:rPr>
              <w:t>一级</w:t>
            </w:r>
          </w:p>
        </w:tc>
        <w:tc>
          <w:tcPr>
            <w:tcW w:w="411" w:type="pct"/>
            <w:tcBorders>
              <w:left w:val="single" w:color="000000" w:sz="4" w:space="0"/>
              <w:right w:val="single" w:color="000000" w:sz="4" w:space="0"/>
            </w:tcBorders>
            <w:shd w:val="clear" w:color="auto" w:fill="auto"/>
            <w:noWrap w:val="0"/>
            <w:vAlign w:val="center"/>
          </w:tcPr>
          <w:p w14:paraId="2D3F4E32">
            <w:pPr>
              <w:autoSpaceDE w:val="0"/>
              <w:autoSpaceDN w:val="0"/>
              <w:spacing w:before="1"/>
              <w:ind w:left="122" w:right="115"/>
              <w:jc w:val="center"/>
              <w:rPr>
                <w:szCs w:val="21"/>
                <w:lang w:val="zh-CN" w:bidi="zh-CN"/>
              </w:rPr>
            </w:pPr>
            <w:r>
              <w:rPr>
                <w:szCs w:val="21"/>
                <w:lang w:val="zh-CN" w:bidi="zh-CN"/>
              </w:rPr>
              <w:t>一级</w:t>
            </w:r>
          </w:p>
        </w:tc>
        <w:tc>
          <w:tcPr>
            <w:tcW w:w="410" w:type="pct"/>
            <w:tcBorders>
              <w:left w:val="single" w:color="000000" w:sz="4" w:space="0"/>
            </w:tcBorders>
            <w:shd w:val="clear" w:color="auto" w:fill="auto"/>
            <w:noWrap w:val="0"/>
            <w:vAlign w:val="center"/>
          </w:tcPr>
          <w:p w14:paraId="1BA76942">
            <w:pPr>
              <w:autoSpaceDE w:val="0"/>
              <w:autoSpaceDN w:val="0"/>
              <w:spacing w:before="1"/>
              <w:ind w:left="119" w:right="115"/>
              <w:jc w:val="center"/>
              <w:rPr>
                <w:szCs w:val="21"/>
                <w:lang w:val="zh-CN" w:bidi="zh-CN"/>
              </w:rPr>
            </w:pPr>
            <w:r>
              <w:rPr>
                <w:szCs w:val="21"/>
                <w:lang w:val="zh-CN" w:bidi="zh-CN"/>
              </w:rPr>
              <w:t>二级</w:t>
            </w:r>
          </w:p>
        </w:tc>
        <w:tc>
          <w:tcPr>
            <w:tcW w:w="410" w:type="pct"/>
            <w:shd w:val="clear" w:color="auto" w:fill="auto"/>
            <w:noWrap w:val="0"/>
            <w:vAlign w:val="center"/>
          </w:tcPr>
          <w:p w14:paraId="67194152">
            <w:pPr>
              <w:autoSpaceDE w:val="0"/>
              <w:autoSpaceDN w:val="0"/>
              <w:spacing w:before="1"/>
              <w:ind w:left="125" w:right="119"/>
              <w:jc w:val="center"/>
              <w:rPr>
                <w:szCs w:val="21"/>
                <w:lang w:val="zh-CN" w:bidi="zh-CN"/>
              </w:rPr>
            </w:pPr>
            <w:r>
              <w:rPr>
                <w:szCs w:val="21"/>
                <w:lang w:val="zh-CN" w:bidi="zh-CN"/>
              </w:rPr>
              <w:t>二级</w:t>
            </w:r>
          </w:p>
        </w:tc>
        <w:tc>
          <w:tcPr>
            <w:tcW w:w="410" w:type="pct"/>
            <w:tcBorders>
              <w:right w:val="single" w:color="000000" w:sz="4" w:space="0"/>
            </w:tcBorders>
            <w:shd w:val="clear" w:color="auto" w:fill="auto"/>
            <w:noWrap w:val="0"/>
            <w:vAlign w:val="center"/>
          </w:tcPr>
          <w:p w14:paraId="413BA765">
            <w:pPr>
              <w:autoSpaceDE w:val="0"/>
              <w:autoSpaceDN w:val="0"/>
              <w:spacing w:before="1"/>
              <w:ind w:left="121" w:right="115"/>
              <w:jc w:val="center"/>
              <w:rPr>
                <w:szCs w:val="21"/>
                <w:lang w:val="zh-CN" w:bidi="zh-CN"/>
              </w:rPr>
            </w:pPr>
            <w:r>
              <w:rPr>
                <w:szCs w:val="21"/>
                <w:lang w:val="zh-CN" w:bidi="zh-CN"/>
              </w:rPr>
              <w:t>二级</w:t>
            </w:r>
          </w:p>
        </w:tc>
        <w:tc>
          <w:tcPr>
            <w:tcW w:w="492" w:type="pct"/>
            <w:tcBorders>
              <w:left w:val="single" w:color="000000" w:sz="4" w:space="0"/>
              <w:right w:val="single" w:color="000000" w:sz="4" w:space="0"/>
            </w:tcBorders>
            <w:shd w:val="clear" w:color="auto" w:fill="auto"/>
            <w:noWrap w:val="0"/>
            <w:vAlign w:val="center"/>
          </w:tcPr>
          <w:p w14:paraId="21892C7E">
            <w:pPr>
              <w:autoSpaceDE w:val="0"/>
              <w:autoSpaceDN w:val="0"/>
              <w:spacing w:before="1"/>
              <w:ind w:left="193" w:right="187"/>
              <w:jc w:val="center"/>
              <w:rPr>
                <w:szCs w:val="21"/>
                <w:lang w:val="zh-CN" w:bidi="zh-CN"/>
              </w:rPr>
            </w:pPr>
            <w:r>
              <w:rPr>
                <w:szCs w:val="21"/>
                <w:lang w:val="zh-CN" w:bidi="zh-CN"/>
              </w:rPr>
              <w:t>三级</w:t>
            </w:r>
          </w:p>
        </w:tc>
        <w:tc>
          <w:tcPr>
            <w:tcW w:w="493" w:type="pct"/>
            <w:tcBorders>
              <w:left w:val="single" w:color="000000" w:sz="4" w:space="0"/>
            </w:tcBorders>
            <w:shd w:val="clear" w:color="auto" w:fill="FFFFFF"/>
            <w:noWrap w:val="0"/>
            <w:vAlign w:val="center"/>
          </w:tcPr>
          <w:p w14:paraId="412BC80C">
            <w:pPr>
              <w:autoSpaceDE w:val="0"/>
              <w:autoSpaceDN w:val="0"/>
              <w:spacing w:before="1"/>
              <w:ind w:left="195" w:right="189"/>
              <w:jc w:val="center"/>
              <w:rPr>
                <w:szCs w:val="21"/>
                <w:lang w:val="zh-CN" w:bidi="zh-CN"/>
              </w:rPr>
            </w:pPr>
            <w:r>
              <w:rPr>
                <w:b/>
                <w:bCs/>
                <w:szCs w:val="21"/>
                <w:lang w:val="zh-CN" w:bidi="zh-CN"/>
              </w:rPr>
              <w:t>三级</w:t>
            </w:r>
          </w:p>
        </w:tc>
        <w:tc>
          <w:tcPr>
            <w:tcW w:w="388" w:type="pct"/>
            <w:shd w:val="clear" w:color="auto" w:fill="FFFFFF"/>
            <w:noWrap w:val="0"/>
            <w:vAlign w:val="center"/>
          </w:tcPr>
          <w:p w14:paraId="4DCACDE6">
            <w:pPr>
              <w:autoSpaceDE w:val="0"/>
              <w:autoSpaceDN w:val="0"/>
              <w:spacing w:before="1"/>
              <w:ind w:left="103" w:right="99"/>
              <w:jc w:val="center"/>
              <w:rPr>
                <w:b/>
                <w:szCs w:val="21"/>
                <w:lang w:val="zh-CN" w:bidi="zh-CN"/>
              </w:rPr>
            </w:pPr>
            <w:r>
              <w:rPr>
                <w:bCs/>
                <w:szCs w:val="21"/>
                <w:lang w:val="zh-CN" w:bidi="zh-CN"/>
              </w:rPr>
              <w:t>三级</w:t>
            </w:r>
          </w:p>
        </w:tc>
      </w:tr>
      <w:tr w14:paraId="4D5C6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59" w:type="pct"/>
            <w:noWrap w:val="0"/>
            <w:vAlign w:val="center"/>
          </w:tcPr>
          <w:p w14:paraId="0D88EBE0">
            <w:pPr>
              <w:autoSpaceDE w:val="0"/>
              <w:autoSpaceDN w:val="0"/>
              <w:spacing w:before="1"/>
              <w:ind w:right="703"/>
              <w:jc w:val="center"/>
              <w:rPr>
                <w:szCs w:val="21"/>
                <w:lang w:val="zh-CN" w:bidi="zh-CN"/>
              </w:rPr>
            </w:pPr>
            <w:r>
              <w:rPr>
                <w:szCs w:val="21"/>
                <w:lang w:val="zh-CN" w:bidi="zh-CN"/>
              </w:rPr>
              <w:t>较敏感</w:t>
            </w:r>
          </w:p>
        </w:tc>
        <w:tc>
          <w:tcPr>
            <w:tcW w:w="410" w:type="pct"/>
            <w:tcBorders>
              <w:right w:val="single" w:color="000000" w:sz="4" w:space="0"/>
            </w:tcBorders>
            <w:noWrap w:val="0"/>
            <w:vAlign w:val="center"/>
          </w:tcPr>
          <w:p w14:paraId="320D21E0">
            <w:pPr>
              <w:autoSpaceDE w:val="0"/>
              <w:autoSpaceDN w:val="0"/>
              <w:spacing w:before="1"/>
              <w:ind w:left="122" w:right="113"/>
              <w:jc w:val="center"/>
              <w:rPr>
                <w:szCs w:val="21"/>
                <w:lang w:val="zh-CN" w:bidi="zh-CN"/>
              </w:rPr>
            </w:pPr>
            <w:r>
              <w:rPr>
                <w:szCs w:val="21"/>
                <w:lang w:val="zh-CN" w:bidi="zh-CN"/>
              </w:rPr>
              <w:t>一级</w:t>
            </w:r>
          </w:p>
        </w:tc>
        <w:tc>
          <w:tcPr>
            <w:tcW w:w="410" w:type="pct"/>
            <w:tcBorders>
              <w:left w:val="single" w:color="000000" w:sz="4" w:space="0"/>
              <w:right w:val="single" w:color="000000" w:sz="4" w:space="0"/>
            </w:tcBorders>
            <w:noWrap w:val="0"/>
            <w:vAlign w:val="center"/>
          </w:tcPr>
          <w:p w14:paraId="4CB764CE">
            <w:pPr>
              <w:autoSpaceDE w:val="0"/>
              <w:autoSpaceDN w:val="0"/>
              <w:spacing w:before="1"/>
              <w:ind w:left="122" w:right="118"/>
              <w:jc w:val="center"/>
              <w:rPr>
                <w:szCs w:val="21"/>
                <w:lang w:val="zh-CN" w:bidi="zh-CN"/>
              </w:rPr>
            </w:pPr>
            <w:r>
              <w:rPr>
                <w:szCs w:val="21"/>
                <w:lang w:val="zh-CN" w:bidi="zh-CN"/>
              </w:rPr>
              <w:t>一级</w:t>
            </w:r>
          </w:p>
        </w:tc>
        <w:tc>
          <w:tcPr>
            <w:tcW w:w="411" w:type="pct"/>
            <w:tcBorders>
              <w:left w:val="single" w:color="000000" w:sz="4" w:space="0"/>
              <w:right w:val="single" w:color="000000" w:sz="4" w:space="0"/>
            </w:tcBorders>
            <w:noWrap w:val="0"/>
            <w:vAlign w:val="center"/>
          </w:tcPr>
          <w:p w14:paraId="0140D82B">
            <w:pPr>
              <w:autoSpaceDE w:val="0"/>
              <w:autoSpaceDN w:val="0"/>
              <w:spacing w:before="1"/>
              <w:ind w:left="122" w:right="115"/>
              <w:jc w:val="center"/>
              <w:rPr>
                <w:szCs w:val="21"/>
                <w:lang w:val="zh-CN" w:bidi="zh-CN"/>
              </w:rPr>
            </w:pPr>
            <w:r>
              <w:rPr>
                <w:szCs w:val="21"/>
                <w:lang w:val="zh-CN" w:bidi="zh-CN"/>
              </w:rPr>
              <w:t>二级</w:t>
            </w:r>
          </w:p>
        </w:tc>
        <w:tc>
          <w:tcPr>
            <w:tcW w:w="410" w:type="pct"/>
            <w:tcBorders>
              <w:left w:val="single" w:color="000000" w:sz="4" w:space="0"/>
            </w:tcBorders>
            <w:noWrap w:val="0"/>
            <w:vAlign w:val="center"/>
          </w:tcPr>
          <w:p w14:paraId="0AFFD546">
            <w:pPr>
              <w:autoSpaceDE w:val="0"/>
              <w:autoSpaceDN w:val="0"/>
              <w:spacing w:before="1"/>
              <w:ind w:left="119" w:right="115"/>
              <w:jc w:val="center"/>
              <w:rPr>
                <w:szCs w:val="21"/>
                <w:lang w:val="zh-CN" w:bidi="zh-CN"/>
              </w:rPr>
            </w:pPr>
            <w:r>
              <w:rPr>
                <w:szCs w:val="21"/>
                <w:lang w:val="zh-CN" w:bidi="zh-CN"/>
              </w:rPr>
              <w:t>二级</w:t>
            </w:r>
          </w:p>
        </w:tc>
        <w:tc>
          <w:tcPr>
            <w:tcW w:w="410" w:type="pct"/>
            <w:noWrap w:val="0"/>
            <w:vAlign w:val="center"/>
          </w:tcPr>
          <w:p w14:paraId="69D137FE">
            <w:pPr>
              <w:autoSpaceDE w:val="0"/>
              <w:autoSpaceDN w:val="0"/>
              <w:spacing w:before="1"/>
              <w:ind w:left="125" w:right="119"/>
              <w:jc w:val="center"/>
              <w:rPr>
                <w:szCs w:val="21"/>
                <w:lang w:val="zh-CN" w:bidi="zh-CN"/>
              </w:rPr>
            </w:pPr>
            <w:r>
              <w:rPr>
                <w:szCs w:val="21"/>
                <w:lang w:val="zh-CN" w:bidi="zh-CN"/>
              </w:rPr>
              <w:t>二级</w:t>
            </w:r>
          </w:p>
        </w:tc>
        <w:tc>
          <w:tcPr>
            <w:tcW w:w="410" w:type="pct"/>
            <w:tcBorders>
              <w:right w:val="single" w:color="000000" w:sz="4" w:space="0"/>
            </w:tcBorders>
            <w:noWrap w:val="0"/>
            <w:vAlign w:val="center"/>
          </w:tcPr>
          <w:p w14:paraId="4CDDCE78">
            <w:pPr>
              <w:autoSpaceDE w:val="0"/>
              <w:autoSpaceDN w:val="0"/>
              <w:spacing w:before="1"/>
              <w:ind w:left="121" w:right="115"/>
              <w:jc w:val="center"/>
              <w:rPr>
                <w:szCs w:val="21"/>
                <w:lang w:val="zh-CN" w:bidi="zh-CN"/>
              </w:rPr>
            </w:pPr>
            <w:r>
              <w:rPr>
                <w:szCs w:val="21"/>
                <w:lang w:val="zh-CN" w:bidi="zh-CN"/>
              </w:rPr>
              <w:t>三级</w:t>
            </w:r>
          </w:p>
        </w:tc>
        <w:tc>
          <w:tcPr>
            <w:tcW w:w="492" w:type="pct"/>
            <w:tcBorders>
              <w:left w:val="single" w:color="000000" w:sz="4" w:space="0"/>
              <w:right w:val="single" w:color="000000" w:sz="4" w:space="0"/>
            </w:tcBorders>
            <w:noWrap w:val="0"/>
            <w:vAlign w:val="center"/>
          </w:tcPr>
          <w:p w14:paraId="309704B7">
            <w:pPr>
              <w:autoSpaceDE w:val="0"/>
              <w:autoSpaceDN w:val="0"/>
              <w:spacing w:before="1"/>
              <w:ind w:left="193" w:right="187"/>
              <w:jc w:val="center"/>
              <w:rPr>
                <w:szCs w:val="21"/>
                <w:lang w:val="zh-CN" w:bidi="zh-CN"/>
              </w:rPr>
            </w:pPr>
            <w:r>
              <w:rPr>
                <w:szCs w:val="21"/>
                <w:lang w:val="zh-CN" w:bidi="zh-CN"/>
              </w:rPr>
              <w:t>三级</w:t>
            </w:r>
          </w:p>
        </w:tc>
        <w:tc>
          <w:tcPr>
            <w:tcW w:w="493" w:type="pct"/>
            <w:tcBorders>
              <w:left w:val="single" w:color="000000" w:sz="4" w:space="0"/>
            </w:tcBorders>
            <w:noWrap w:val="0"/>
            <w:vAlign w:val="center"/>
          </w:tcPr>
          <w:p w14:paraId="3A8A090A">
            <w:pPr>
              <w:autoSpaceDE w:val="0"/>
              <w:autoSpaceDN w:val="0"/>
              <w:spacing w:before="1"/>
              <w:ind w:left="195" w:right="189"/>
              <w:jc w:val="center"/>
              <w:rPr>
                <w:szCs w:val="21"/>
                <w:lang w:val="zh-CN" w:bidi="zh-CN"/>
              </w:rPr>
            </w:pPr>
            <w:r>
              <w:rPr>
                <w:szCs w:val="21"/>
                <w:lang w:val="zh-CN" w:bidi="zh-CN"/>
              </w:rPr>
              <w:t>三级</w:t>
            </w:r>
          </w:p>
        </w:tc>
        <w:tc>
          <w:tcPr>
            <w:tcW w:w="388" w:type="pct"/>
            <w:noWrap w:val="0"/>
            <w:vAlign w:val="center"/>
          </w:tcPr>
          <w:p w14:paraId="4E9078F5">
            <w:pPr>
              <w:autoSpaceDE w:val="0"/>
              <w:autoSpaceDN w:val="0"/>
              <w:spacing w:before="10"/>
              <w:ind w:left="103" w:right="99"/>
              <w:jc w:val="center"/>
              <w:rPr>
                <w:szCs w:val="21"/>
                <w:lang w:val="zh-CN" w:bidi="zh-CN"/>
              </w:rPr>
            </w:pPr>
            <w:r>
              <w:rPr>
                <w:szCs w:val="21"/>
                <w:lang w:val="zh-CN" w:bidi="zh-CN"/>
              </w:rPr>
              <w:t>--</w:t>
            </w:r>
          </w:p>
        </w:tc>
      </w:tr>
      <w:tr w14:paraId="6FAF7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59" w:type="pct"/>
            <w:noWrap w:val="0"/>
            <w:vAlign w:val="center"/>
          </w:tcPr>
          <w:p w14:paraId="0A138EDB">
            <w:pPr>
              <w:autoSpaceDE w:val="0"/>
              <w:autoSpaceDN w:val="0"/>
              <w:spacing w:before="1"/>
              <w:ind w:right="703"/>
              <w:jc w:val="center"/>
              <w:rPr>
                <w:szCs w:val="21"/>
                <w:lang w:val="zh-CN" w:bidi="zh-CN"/>
              </w:rPr>
            </w:pPr>
            <w:r>
              <w:rPr>
                <w:szCs w:val="21"/>
                <w:lang w:val="zh-CN" w:bidi="zh-CN"/>
              </w:rPr>
              <w:t>不敏感</w:t>
            </w:r>
          </w:p>
        </w:tc>
        <w:tc>
          <w:tcPr>
            <w:tcW w:w="410" w:type="pct"/>
            <w:tcBorders>
              <w:right w:val="single" w:color="000000" w:sz="4" w:space="0"/>
            </w:tcBorders>
            <w:noWrap w:val="0"/>
            <w:vAlign w:val="center"/>
          </w:tcPr>
          <w:p w14:paraId="645D8E93">
            <w:pPr>
              <w:autoSpaceDE w:val="0"/>
              <w:autoSpaceDN w:val="0"/>
              <w:spacing w:before="1"/>
              <w:ind w:left="122" w:right="113"/>
              <w:jc w:val="center"/>
              <w:rPr>
                <w:szCs w:val="21"/>
                <w:lang w:val="zh-CN" w:bidi="zh-CN"/>
              </w:rPr>
            </w:pPr>
            <w:r>
              <w:rPr>
                <w:szCs w:val="21"/>
                <w:lang w:val="zh-CN" w:bidi="zh-CN"/>
              </w:rPr>
              <w:t>一级</w:t>
            </w:r>
          </w:p>
        </w:tc>
        <w:tc>
          <w:tcPr>
            <w:tcW w:w="410" w:type="pct"/>
            <w:tcBorders>
              <w:left w:val="single" w:color="000000" w:sz="4" w:space="0"/>
              <w:right w:val="single" w:color="000000" w:sz="4" w:space="0"/>
            </w:tcBorders>
            <w:noWrap w:val="0"/>
            <w:vAlign w:val="center"/>
          </w:tcPr>
          <w:p w14:paraId="4301F3EE">
            <w:pPr>
              <w:autoSpaceDE w:val="0"/>
              <w:autoSpaceDN w:val="0"/>
              <w:spacing w:before="1"/>
              <w:ind w:left="122" w:right="118"/>
              <w:jc w:val="center"/>
              <w:rPr>
                <w:szCs w:val="21"/>
                <w:lang w:val="zh-CN" w:bidi="zh-CN"/>
              </w:rPr>
            </w:pPr>
            <w:r>
              <w:rPr>
                <w:szCs w:val="21"/>
                <w:lang w:val="zh-CN" w:bidi="zh-CN"/>
              </w:rPr>
              <w:t>二级</w:t>
            </w:r>
          </w:p>
        </w:tc>
        <w:tc>
          <w:tcPr>
            <w:tcW w:w="411" w:type="pct"/>
            <w:tcBorders>
              <w:left w:val="single" w:color="000000" w:sz="4" w:space="0"/>
              <w:right w:val="single" w:color="000000" w:sz="4" w:space="0"/>
            </w:tcBorders>
            <w:noWrap w:val="0"/>
            <w:vAlign w:val="center"/>
          </w:tcPr>
          <w:p w14:paraId="5A2F0745">
            <w:pPr>
              <w:autoSpaceDE w:val="0"/>
              <w:autoSpaceDN w:val="0"/>
              <w:spacing w:before="1"/>
              <w:ind w:left="122" w:right="115"/>
              <w:jc w:val="center"/>
              <w:rPr>
                <w:szCs w:val="21"/>
                <w:lang w:val="zh-CN" w:bidi="zh-CN"/>
              </w:rPr>
            </w:pPr>
            <w:r>
              <w:rPr>
                <w:szCs w:val="21"/>
                <w:lang w:val="zh-CN" w:bidi="zh-CN"/>
              </w:rPr>
              <w:t>二级</w:t>
            </w:r>
          </w:p>
        </w:tc>
        <w:tc>
          <w:tcPr>
            <w:tcW w:w="410" w:type="pct"/>
            <w:tcBorders>
              <w:left w:val="single" w:color="000000" w:sz="4" w:space="0"/>
            </w:tcBorders>
            <w:noWrap w:val="0"/>
            <w:vAlign w:val="center"/>
          </w:tcPr>
          <w:p w14:paraId="6BB7549D">
            <w:pPr>
              <w:autoSpaceDE w:val="0"/>
              <w:autoSpaceDN w:val="0"/>
              <w:spacing w:before="1"/>
              <w:ind w:left="119" w:right="115"/>
              <w:jc w:val="center"/>
              <w:rPr>
                <w:szCs w:val="21"/>
                <w:lang w:val="zh-CN" w:bidi="zh-CN"/>
              </w:rPr>
            </w:pPr>
            <w:r>
              <w:rPr>
                <w:szCs w:val="21"/>
                <w:lang w:val="zh-CN" w:bidi="zh-CN"/>
              </w:rPr>
              <w:t>二级</w:t>
            </w:r>
          </w:p>
        </w:tc>
        <w:tc>
          <w:tcPr>
            <w:tcW w:w="410" w:type="pct"/>
            <w:noWrap w:val="0"/>
            <w:vAlign w:val="center"/>
          </w:tcPr>
          <w:p w14:paraId="0F6A7D2D">
            <w:pPr>
              <w:autoSpaceDE w:val="0"/>
              <w:autoSpaceDN w:val="0"/>
              <w:spacing w:before="1"/>
              <w:ind w:left="125" w:right="119"/>
              <w:jc w:val="center"/>
              <w:rPr>
                <w:szCs w:val="21"/>
                <w:lang w:val="zh-CN" w:bidi="zh-CN"/>
              </w:rPr>
            </w:pPr>
            <w:r>
              <w:rPr>
                <w:szCs w:val="21"/>
                <w:lang w:val="zh-CN" w:bidi="zh-CN"/>
              </w:rPr>
              <w:t>三级</w:t>
            </w:r>
          </w:p>
        </w:tc>
        <w:tc>
          <w:tcPr>
            <w:tcW w:w="410" w:type="pct"/>
            <w:tcBorders>
              <w:right w:val="single" w:color="000000" w:sz="4" w:space="0"/>
            </w:tcBorders>
            <w:noWrap w:val="0"/>
            <w:vAlign w:val="center"/>
          </w:tcPr>
          <w:p w14:paraId="02ADFED5">
            <w:pPr>
              <w:autoSpaceDE w:val="0"/>
              <w:autoSpaceDN w:val="0"/>
              <w:spacing w:before="1"/>
              <w:ind w:left="121" w:right="115"/>
              <w:jc w:val="center"/>
              <w:rPr>
                <w:szCs w:val="21"/>
                <w:lang w:val="zh-CN" w:bidi="zh-CN"/>
              </w:rPr>
            </w:pPr>
            <w:r>
              <w:rPr>
                <w:szCs w:val="21"/>
                <w:lang w:val="zh-CN" w:bidi="zh-CN"/>
              </w:rPr>
              <w:t>三级</w:t>
            </w:r>
          </w:p>
        </w:tc>
        <w:tc>
          <w:tcPr>
            <w:tcW w:w="492" w:type="pct"/>
            <w:tcBorders>
              <w:left w:val="single" w:color="000000" w:sz="4" w:space="0"/>
              <w:right w:val="single" w:color="000000" w:sz="4" w:space="0"/>
            </w:tcBorders>
            <w:noWrap w:val="0"/>
            <w:vAlign w:val="center"/>
          </w:tcPr>
          <w:p w14:paraId="1835CB52">
            <w:pPr>
              <w:autoSpaceDE w:val="0"/>
              <w:autoSpaceDN w:val="0"/>
              <w:spacing w:before="1"/>
              <w:ind w:left="193" w:right="187"/>
              <w:jc w:val="center"/>
              <w:rPr>
                <w:szCs w:val="21"/>
                <w:lang w:val="zh-CN" w:bidi="zh-CN"/>
              </w:rPr>
            </w:pPr>
            <w:r>
              <w:rPr>
                <w:szCs w:val="21"/>
                <w:lang w:val="zh-CN" w:bidi="zh-CN"/>
              </w:rPr>
              <w:t>三级</w:t>
            </w:r>
          </w:p>
        </w:tc>
        <w:tc>
          <w:tcPr>
            <w:tcW w:w="493" w:type="pct"/>
            <w:tcBorders>
              <w:left w:val="single" w:color="000000" w:sz="4" w:space="0"/>
            </w:tcBorders>
            <w:noWrap w:val="0"/>
            <w:vAlign w:val="center"/>
          </w:tcPr>
          <w:p w14:paraId="09677D02">
            <w:pPr>
              <w:autoSpaceDE w:val="0"/>
              <w:autoSpaceDN w:val="0"/>
              <w:spacing w:before="8"/>
              <w:ind w:left="191" w:right="189"/>
              <w:jc w:val="center"/>
              <w:rPr>
                <w:szCs w:val="21"/>
                <w:lang w:val="zh-CN" w:bidi="zh-CN"/>
              </w:rPr>
            </w:pPr>
            <w:r>
              <w:rPr>
                <w:szCs w:val="21"/>
                <w:lang w:val="zh-CN" w:bidi="zh-CN"/>
              </w:rPr>
              <w:t>--</w:t>
            </w:r>
          </w:p>
        </w:tc>
        <w:tc>
          <w:tcPr>
            <w:tcW w:w="388" w:type="pct"/>
            <w:noWrap w:val="0"/>
            <w:vAlign w:val="center"/>
          </w:tcPr>
          <w:p w14:paraId="4F273666">
            <w:pPr>
              <w:autoSpaceDE w:val="0"/>
              <w:autoSpaceDN w:val="0"/>
              <w:spacing w:before="8"/>
              <w:ind w:left="103" w:right="99"/>
              <w:jc w:val="center"/>
              <w:rPr>
                <w:szCs w:val="21"/>
                <w:lang w:val="zh-CN" w:bidi="zh-CN"/>
              </w:rPr>
            </w:pPr>
            <w:r>
              <w:rPr>
                <w:szCs w:val="21"/>
                <w:lang w:val="zh-CN" w:bidi="zh-CN"/>
              </w:rPr>
              <w:t>--</w:t>
            </w:r>
          </w:p>
        </w:tc>
      </w:tr>
      <w:tr w14:paraId="2620C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5000" w:type="pct"/>
            <w:gridSpan w:val="10"/>
            <w:noWrap w:val="0"/>
            <w:vAlign w:val="center"/>
          </w:tcPr>
          <w:p w14:paraId="0CC398E5">
            <w:pPr>
              <w:autoSpaceDE w:val="0"/>
              <w:autoSpaceDN w:val="0"/>
              <w:spacing w:before="1"/>
              <w:ind w:left="107"/>
              <w:jc w:val="left"/>
              <w:rPr>
                <w:szCs w:val="21"/>
                <w:lang w:val="zh-CN" w:bidi="zh-CN"/>
              </w:rPr>
            </w:pPr>
            <w:r>
              <w:rPr>
                <w:szCs w:val="21"/>
                <w:lang w:val="zh-CN" w:bidi="zh-CN"/>
              </w:rPr>
              <w:t>注：“-”表示可不开展土壤环境影响评价工作</w:t>
            </w:r>
          </w:p>
        </w:tc>
      </w:tr>
    </w:tbl>
    <w:p w14:paraId="03458AD7">
      <w:pPr>
        <w:pStyle w:val="47"/>
        <w:ind w:firstLine="480" w:firstLineChars="200"/>
        <w:rPr>
          <w:rFonts w:ascii="Times New Roman" w:hAnsi="Times New Roman" w:cs="Times New Roman"/>
          <w:sz w:val="24"/>
        </w:rPr>
      </w:pPr>
      <w:r>
        <w:rPr>
          <w:rFonts w:ascii="Times New Roman" w:hAnsi="Times New Roman" w:cs="Times New Roman"/>
          <w:sz w:val="24"/>
        </w:rPr>
        <w:t>根据该表，本项目土壤环境影响评价工作等级为三级。</w:t>
      </w:r>
    </w:p>
    <w:p w14:paraId="243D9E76">
      <w:pPr>
        <w:pStyle w:val="7"/>
        <w:spacing w:before="0" w:after="0" w:line="360" w:lineRule="auto"/>
        <w:rPr>
          <w:rFonts w:ascii="Times New Roman" w:hAnsi="Times New Roman"/>
          <w:sz w:val="28"/>
          <w:szCs w:val="28"/>
        </w:rPr>
      </w:pPr>
      <w:r>
        <w:rPr>
          <w:rFonts w:ascii="Times New Roman" w:hAnsi="Times New Roman"/>
          <w:sz w:val="28"/>
          <w:szCs w:val="28"/>
        </w:rPr>
        <w:t>2.4.2评价范围</w:t>
      </w:r>
    </w:p>
    <w:p w14:paraId="657D48FE">
      <w:pPr>
        <w:autoSpaceDE w:val="0"/>
        <w:autoSpaceDN w:val="0"/>
        <w:adjustRightInd w:val="0"/>
        <w:spacing w:line="360" w:lineRule="auto"/>
        <w:ind w:firstLine="480" w:firstLineChars="200"/>
        <w:rPr>
          <w:sz w:val="24"/>
        </w:rPr>
      </w:pPr>
      <w:r>
        <w:rPr>
          <w:sz w:val="24"/>
        </w:rPr>
        <w:t>根据《环境影响评价技术导则》的有关规定，并依据厂址所在地概况和厂区周围关心点的环境状况以及项目的规模、性质、环境影响及排污特点，环境评价范围确定如下：</w:t>
      </w:r>
    </w:p>
    <w:p w14:paraId="516F3956">
      <w:pPr>
        <w:spacing w:line="360" w:lineRule="auto"/>
        <w:ind w:firstLine="482" w:firstLineChars="200"/>
        <w:rPr>
          <w:b/>
          <w:bCs/>
          <w:sz w:val="24"/>
          <w:szCs w:val="32"/>
        </w:rPr>
      </w:pPr>
      <w:r>
        <w:rPr>
          <w:b/>
          <w:bCs/>
          <w:sz w:val="24"/>
          <w:szCs w:val="32"/>
        </w:rPr>
        <w:t>（1）大气环境影响评价范围</w:t>
      </w:r>
    </w:p>
    <w:p w14:paraId="76974D82">
      <w:pPr>
        <w:spacing w:line="360" w:lineRule="auto"/>
        <w:ind w:firstLine="480" w:firstLineChars="200"/>
        <w:rPr>
          <w:sz w:val="24"/>
          <w:szCs w:val="32"/>
        </w:rPr>
      </w:pPr>
      <w:r>
        <w:rPr>
          <w:sz w:val="24"/>
          <w:szCs w:val="32"/>
        </w:rPr>
        <w:t>根据当地气象特征及厂址周围环境特点及《环境影响评价技术导则大气环境》（HJ 2.2-2018）的相关规定，评价范围以各养殖地块用地中心为中心，边长5km矩形区域。</w:t>
      </w:r>
    </w:p>
    <w:p w14:paraId="66941744">
      <w:pPr>
        <w:spacing w:line="360" w:lineRule="auto"/>
        <w:ind w:firstLine="482" w:firstLineChars="200"/>
        <w:rPr>
          <w:b/>
          <w:bCs/>
          <w:sz w:val="24"/>
          <w:szCs w:val="32"/>
        </w:rPr>
      </w:pPr>
      <w:r>
        <w:rPr>
          <w:b/>
          <w:bCs/>
          <w:sz w:val="24"/>
          <w:szCs w:val="32"/>
        </w:rPr>
        <w:t>（2）地表水环境影响评价范围</w:t>
      </w:r>
    </w:p>
    <w:p w14:paraId="3C9BB1AF">
      <w:pPr>
        <w:autoSpaceDE w:val="0"/>
        <w:autoSpaceDN w:val="0"/>
        <w:spacing w:line="360" w:lineRule="auto"/>
        <w:ind w:firstLine="480" w:firstLineChars="200"/>
        <w:rPr>
          <w:sz w:val="24"/>
          <w:szCs w:val="32"/>
        </w:rPr>
      </w:pPr>
      <w:r>
        <w:rPr>
          <w:sz w:val="24"/>
        </w:rPr>
        <w:t>根据HJ/T2.3-2018《环境影响评价技术导则 地面水环境》，确定地表水环境影响评价等级为三级A，但是本项目污水不排入地表水体（无受纳水体），重点评价污水处理后回用的可行性和可靠性。</w:t>
      </w:r>
    </w:p>
    <w:p w14:paraId="23E94EE9">
      <w:pPr>
        <w:spacing w:line="360" w:lineRule="auto"/>
        <w:ind w:firstLine="482" w:firstLineChars="200"/>
        <w:rPr>
          <w:b/>
          <w:bCs/>
          <w:sz w:val="24"/>
          <w:szCs w:val="32"/>
        </w:rPr>
      </w:pPr>
      <w:r>
        <w:rPr>
          <w:b/>
          <w:bCs/>
          <w:sz w:val="24"/>
          <w:szCs w:val="32"/>
        </w:rPr>
        <w:t>（3）地下水评价范围</w:t>
      </w:r>
    </w:p>
    <w:p w14:paraId="7C9F9696">
      <w:pPr>
        <w:autoSpaceDE w:val="0"/>
        <w:autoSpaceDN w:val="0"/>
        <w:spacing w:line="360" w:lineRule="auto"/>
        <w:ind w:firstLine="480" w:firstLineChars="200"/>
        <w:rPr>
          <w:spacing w:val="1"/>
          <w:sz w:val="24"/>
          <w:szCs w:val="32"/>
        </w:rPr>
      </w:pPr>
      <w:r>
        <w:rPr>
          <w:sz w:val="24"/>
          <w:szCs w:val="32"/>
        </w:rPr>
        <w:t>根据《环境影响评价技术导则》（HJ 610-2016），</w:t>
      </w:r>
      <w:r>
        <w:rPr>
          <w:spacing w:val="1"/>
          <w:sz w:val="24"/>
          <w:szCs w:val="32"/>
        </w:rPr>
        <w:t>以项目区所在地</w:t>
      </w:r>
      <w:r>
        <w:rPr>
          <w:rFonts w:hint="eastAsia"/>
          <w:spacing w:val="1"/>
          <w:sz w:val="24"/>
          <w:szCs w:val="32"/>
        </w:rPr>
        <w:t>地下水流向上游及两侧分水岭，下游至普拉河所围成区域为评价范围</w:t>
      </w:r>
      <w:r>
        <w:rPr>
          <w:spacing w:val="1"/>
          <w:sz w:val="24"/>
          <w:szCs w:val="32"/>
        </w:rPr>
        <w:t>。</w:t>
      </w:r>
    </w:p>
    <w:p w14:paraId="31146063">
      <w:pPr>
        <w:spacing w:line="360" w:lineRule="auto"/>
        <w:ind w:firstLine="482" w:firstLineChars="200"/>
        <w:rPr>
          <w:b/>
          <w:bCs/>
          <w:sz w:val="24"/>
          <w:szCs w:val="32"/>
        </w:rPr>
      </w:pPr>
      <w:r>
        <w:rPr>
          <w:b/>
          <w:bCs/>
          <w:sz w:val="24"/>
          <w:szCs w:val="32"/>
        </w:rPr>
        <w:t>（4）声环境评价范围</w:t>
      </w:r>
    </w:p>
    <w:p w14:paraId="5F3825F7">
      <w:pPr>
        <w:spacing w:line="360" w:lineRule="auto"/>
        <w:ind w:firstLine="480" w:firstLineChars="200"/>
        <w:rPr>
          <w:sz w:val="24"/>
          <w:szCs w:val="32"/>
        </w:rPr>
      </w:pPr>
      <w:r>
        <w:rPr>
          <w:sz w:val="24"/>
          <w:szCs w:val="32"/>
        </w:rPr>
        <w:t>根据《环境影响评价技术导则声环境》（HJ2.4-2009），确定声环境评价范围为项目厂界200m区域范围及敏感点。</w:t>
      </w:r>
    </w:p>
    <w:p w14:paraId="67333C85">
      <w:pPr>
        <w:autoSpaceDE w:val="0"/>
        <w:autoSpaceDN w:val="0"/>
        <w:spacing w:line="360" w:lineRule="auto"/>
        <w:ind w:right="-20" w:firstLine="364" w:firstLineChars="150"/>
        <w:rPr>
          <w:b/>
          <w:sz w:val="24"/>
          <w:szCs w:val="32"/>
        </w:rPr>
      </w:pPr>
      <w:r>
        <w:rPr>
          <w:b/>
          <w:spacing w:val="1"/>
          <w:sz w:val="24"/>
          <w:szCs w:val="32"/>
        </w:rPr>
        <w:t>（</w:t>
      </w:r>
      <w:r>
        <w:rPr>
          <w:b/>
          <w:sz w:val="24"/>
          <w:szCs w:val="32"/>
        </w:rPr>
        <w:t>5</w:t>
      </w:r>
      <w:r>
        <w:rPr>
          <w:b/>
          <w:spacing w:val="1"/>
          <w:sz w:val="24"/>
          <w:szCs w:val="32"/>
        </w:rPr>
        <w:t>）生态环境影响评价范围</w:t>
      </w:r>
    </w:p>
    <w:p w14:paraId="6C5BD5F5">
      <w:pPr>
        <w:autoSpaceDE w:val="0"/>
        <w:autoSpaceDN w:val="0"/>
        <w:spacing w:line="360" w:lineRule="auto"/>
        <w:ind w:right="203" w:firstLine="480" w:firstLineChars="200"/>
        <w:rPr>
          <w:sz w:val="24"/>
          <w:szCs w:val="32"/>
        </w:rPr>
      </w:pPr>
      <w:r>
        <w:rPr>
          <w:sz w:val="24"/>
          <w:szCs w:val="32"/>
        </w:rPr>
        <w:t>生态环境评价范围为项目区范围及项目区范围外延300m的范围内的陆生生态环境。</w:t>
      </w:r>
    </w:p>
    <w:p w14:paraId="28DDD99B">
      <w:pPr>
        <w:autoSpaceDE w:val="0"/>
        <w:autoSpaceDN w:val="0"/>
        <w:spacing w:line="360" w:lineRule="auto"/>
        <w:ind w:right="-20" w:firstLine="364" w:firstLineChars="150"/>
        <w:rPr>
          <w:b/>
          <w:spacing w:val="1"/>
          <w:sz w:val="24"/>
          <w:szCs w:val="32"/>
        </w:rPr>
      </w:pPr>
      <w:r>
        <w:rPr>
          <w:b/>
          <w:spacing w:val="1"/>
          <w:sz w:val="24"/>
          <w:szCs w:val="32"/>
        </w:rPr>
        <w:t>（6）风险评价范围</w:t>
      </w:r>
    </w:p>
    <w:p w14:paraId="6BDD9E69">
      <w:pPr>
        <w:spacing w:line="360" w:lineRule="auto"/>
        <w:ind w:firstLine="360" w:firstLineChars="150"/>
        <w:rPr>
          <w:sz w:val="24"/>
        </w:rPr>
      </w:pPr>
      <w:r>
        <w:rPr>
          <w:sz w:val="24"/>
        </w:rPr>
        <w:t>根据《建设项目环境风险评价技术导则》（HJ/T 169-2018），在确定本项目环境分析评价可做简单分析，不做等级评价的基础上，本项目环境风险可不设置评价范围。</w:t>
      </w:r>
    </w:p>
    <w:p w14:paraId="63BF9E33">
      <w:pPr>
        <w:autoSpaceDE w:val="0"/>
        <w:autoSpaceDN w:val="0"/>
        <w:spacing w:line="360" w:lineRule="auto"/>
        <w:ind w:right="-20" w:firstLine="364" w:firstLineChars="150"/>
        <w:rPr>
          <w:b/>
          <w:spacing w:val="1"/>
          <w:sz w:val="24"/>
          <w:szCs w:val="32"/>
        </w:rPr>
      </w:pPr>
      <w:r>
        <w:rPr>
          <w:b/>
          <w:spacing w:val="1"/>
          <w:sz w:val="24"/>
          <w:szCs w:val="32"/>
        </w:rPr>
        <w:t>（7）土壤环境</w:t>
      </w:r>
    </w:p>
    <w:p w14:paraId="48640BDD">
      <w:pPr>
        <w:spacing w:line="360" w:lineRule="auto"/>
        <w:ind w:firstLine="360" w:firstLineChars="150"/>
        <w:rPr>
          <w:sz w:val="24"/>
        </w:rPr>
      </w:pPr>
      <w:r>
        <w:rPr>
          <w:sz w:val="24"/>
        </w:rPr>
        <w:t>根据《环境影响评价技术导则 土壤环境（试行）》（HJ 964—2018），本项目土壤环境影响评价工作等级为三级，评价范围为项目占地范围</w:t>
      </w:r>
      <w:r>
        <w:rPr>
          <w:sz w:val="24"/>
          <w:lang w:val="zh-CN" w:bidi="zh-CN"/>
        </w:rPr>
        <w:t>外 0.05km 范围内</w:t>
      </w:r>
      <w:r>
        <w:rPr>
          <w:sz w:val="24"/>
        </w:rPr>
        <w:t>。</w:t>
      </w:r>
    </w:p>
    <w:p w14:paraId="2DB5F0D4">
      <w:pPr>
        <w:autoSpaceDE w:val="0"/>
        <w:autoSpaceDN w:val="0"/>
        <w:adjustRightInd w:val="0"/>
        <w:spacing w:line="360" w:lineRule="auto"/>
        <w:ind w:firstLine="480" w:firstLineChars="200"/>
        <w:jc w:val="left"/>
        <w:rPr>
          <w:sz w:val="24"/>
        </w:rPr>
      </w:pPr>
      <w:r>
        <w:rPr>
          <w:sz w:val="24"/>
        </w:rPr>
        <w:t>评价范围见附图</w:t>
      </w:r>
      <w:r>
        <w:rPr>
          <w:rFonts w:hint="eastAsia"/>
          <w:sz w:val="24"/>
        </w:rPr>
        <w:t>1</w:t>
      </w:r>
      <w:r>
        <w:rPr>
          <w:sz w:val="24"/>
        </w:rPr>
        <w:t>。</w:t>
      </w:r>
    </w:p>
    <w:p w14:paraId="3F780D68">
      <w:pPr>
        <w:pStyle w:val="6"/>
        <w:spacing w:before="0" w:after="0" w:line="360" w:lineRule="auto"/>
        <w:rPr>
          <w:rFonts w:ascii="Times New Roman" w:hAnsi="Times New Roman" w:eastAsia="宋体"/>
          <w:sz w:val="30"/>
          <w:szCs w:val="30"/>
        </w:rPr>
      </w:pPr>
      <w:bookmarkStart w:id="39" w:name="_Toc68186623"/>
      <w:bookmarkStart w:id="40" w:name="_Toc26573"/>
      <w:r>
        <w:rPr>
          <w:rFonts w:ascii="Times New Roman" w:hAnsi="Times New Roman" w:eastAsia="宋体"/>
          <w:sz w:val="30"/>
          <w:szCs w:val="30"/>
        </w:rPr>
        <w:t>2.5区域环境功能区划</w:t>
      </w:r>
      <w:bookmarkEnd w:id="39"/>
      <w:bookmarkEnd w:id="40"/>
    </w:p>
    <w:p w14:paraId="3D5314A7">
      <w:pPr>
        <w:autoSpaceDE w:val="0"/>
        <w:autoSpaceDN w:val="0"/>
        <w:adjustRightInd w:val="0"/>
        <w:spacing w:line="360" w:lineRule="auto"/>
        <w:ind w:firstLine="480" w:firstLineChars="200"/>
        <w:jc w:val="left"/>
        <w:rPr>
          <w:sz w:val="24"/>
        </w:rPr>
      </w:pPr>
      <w:r>
        <w:rPr>
          <w:snapToGrid w:val="0"/>
          <w:sz w:val="24"/>
        </w:rPr>
        <w:t>项目位于昆明市石林彝族自治县圭山镇，项目所处</w:t>
      </w:r>
      <w:r>
        <w:rPr>
          <w:kern w:val="0"/>
          <w:sz w:val="24"/>
        </w:rPr>
        <w:t>区域不属于城市规划区，不涉及环境敏感区，项目所在区域的主要环境功能区划情况见表2.5-1</w:t>
      </w:r>
      <w:r>
        <w:rPr>
          <w:sz w:val="24"/>
        </w:rPr>
        <w:t>。</w:t>
      </w:r>
    </w:p>
    <w:p w14:paraId="523E709C">
      <w:pPr>
        <w:autoSpaceDE w:val="0"/>
        <w:autoSpaceDN w:val="0"/>
        <w:adjustRightInd w:val="0"/>
        <w:spacing w:line="360" w:lineRule="auto"/>
        <w:ind w:firstLine="422" w:firstLineChars="200"/>
        <w:jc w:val="center"/>
        <w:rPr>
          <w:b/>
          <w:szCs w:val="21"/>
        </w:rPr>
      </w:pPr>
      <w:r>
        <w:rPr>
          <w:b/>
          <w:szCs w:val="21"/>
        </w:rPr>
        <w:t>表2.5-1  项目所在区域环境功能属性一览表</w:t>
      </w:r>
    </w:p>
    <w:tbl>
      <w:tblPr>
        <w:tblStyle w:val="8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8"/>
        <w:gridCol w:w="3402"/>
        <w:gridCol w:w="4478"/>
      </w:tblGrid>
      <w:tr w14:paraId="6EC4C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216A0337">
            <w:pPr>
              <w:autoSpaceDE w:val="0"/>
              <w:autoSpaceDN w:val="0"/>
              <w:adjustRightInd w:val="0"/>
              <w:jc w:val="center"/>
              <w:rPr>
                <w:kern w:val="0"/>
                <w:szCs w:val="21"/>
              </w:rPr>
            </w:pPr>
            <w:r>
              <w:rPr>
                <w:kern w:val="0"/>
                <w:szCs w:val="21"/>
              </w:rPr>
              <w:t>编号</w:t>
            </w:r>
          </w:p>
        </w:tc>
        <w:tc>
          <w:tcPr>
            <w:tcW w:w="3402" w:type="dxa"/>
            <w:noWrap w:val="0"/>
            <w:vAlign w:val="center"/>
          </w:tcPr>
          <w:p w14:paraId="60004F5F">
            <w:pPr>
              <w:autoSpaceDE w:val="0"/>
              <w:autoSpaceDN w:val="0"/>
              <w:adjustRightInd w:val="0"/>
              <w:jc w:val="center"/>
              <w:rPr>
                <w:kern w:val="0"/>
                <w:szCs w:val="21"/>
              </w:rPr>
            </w:pPr>
            <w:r>
              <w:rPr>
                <w:kern w:val="0"/>
                <w:szCs w:val="21"/>
              </w:rPr>
              <w:t>环境功能区名称</w:t>
            </w:r>
          </w:p>
        </w:tc>
        <w:tc>
          <w:tcPr>
            <w:tcW w:w="4478" w:type="dxa"/>
            <w:noWrap w:val="0"/>
            <w:vAlign w:val="center"/>
          </w:tcPr>
          <w:p w14:paraId="31238B80">
            <w:pPr>
              <w:autoSpaceDE w:val="0"/>
              <w:autoSpaceDN w:val="0"/>
              <w:adjustRightInd w:val="0"/>
              <w:jc w:val="center"/>
              <w:rPr>
                <w:kern w:val="0"/>
                <w:szCs w:val="21"/>
              </w:rPr>
            </w:pPr>
            <w:r>
              <w:rPr>
                <w:kern w:val="0"/>
                <w:szCs w:val="21"/>
              </w:rPr>
              <w:t>评价区域所属类别</w:t>
            </w:r>
          </w:p>
        </w:tc>
      </w:tr>
      <w:tr w14:paraId="02DDA4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44C39728">
            <w:pPr>
              <w:autoSpaceDE w:val="0"/>
              <w:autoSpaceDN w:val="0"/>
              <w:adjustRightInd w:val="0"/>
              <w:jc w:val="center"/>
              <w:rPr>
                <w:kern w:val="0"/>
                <w:szCs w:val="21"/>
              </w:rPr>
            </w:pPr>
            <w:r>
              <w:rPr>
                <w:kern w:val="0"/>
                <w:szCs w:val="21"/>
              </w:rPr>
              <w:t>1</w:t>
            </w:r>
          </w:p>
        </w:tc>
        <w:tc>
          <w:tcPr>
            <w:tcW w:w="3402" w:type="dxa"/>
            <w:noWrap w:val="0"/>
            <w:vAlign w:val="center"/>
          </w:tcPr>
          <w:p w14:paraId="58E154B3">
            <w:pPr>
              <w:autoSpaceDE w:val="0"/>
              <w:autoSpaceDN w:val="0"/>
              <w:adjustRightInd w:val="0"/>
              <w:jc w:val="left"/>
              <w:rPr>
                <w:kern w:val="0"/>
                <w:szCs w:val="21"/>
              </w:rPr>
            </w:pPr>
            <w:r>
              <w:rPr>
                <w:kern w:val="0"/>
                <w:szCs w:val="21"/>
              </w:rPr>
              <w:t>是否在“自然保护区、风景名胜区、世界文化和自然遗产地、饮用水源保护区”内</w:t>
            </w:r>
          </w:p>
        </w:tc>
        <w:tc>
          <w:tcPr>
            <w:tcW w:w="4478" w:type="dxa"/>
            <w:noWrap w:val="0"/>
            <w:vAlign w:val="center"/>
          </w:tcPr>
          <w:p w14:paraId="4243E7CC">
            <w:pPr>
              <w:autoSpaceDE w:val="0"/>
              <w:autoSpaceDN w:val="0"/>
              <w:adjustRightInd w:val="0"/>
              <w:jc w:val="left"/>
              <w:rPr>
                <w:kern w:val="0"/>
                <w:szCs w:val="21"/>
              </w:rPr>
            </w:pPr>
            <w:r>
              <w:rPr>
                <w:kern w:val="0"/>
                <w:szCs w:val="21"/>
              </w:rPr>
              <w:t>本项目位于昆明市石林彝族自治县法块村及普拉河上寨，项目不涉及自然保护区、风景名胜区、世界文化和自然遗产地、饮用水源保护区</w:t>
            </w:r>
          </w:p>
        </w:tc>
      </w:tr>
      <w:tr w14:paraId="6E1692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7BD1694B">
            <w:pPr>
              <w:autoSpaceDE w:val="0"/>
              <w:autoSpaceDN w:val="0"/>
              <w:adjustRightInd w:val="0"/>
              <w:jc w:val="center"/>
              <w:rPr>
                <w:kern w:val="0"/>
                <w:szCs w:val="21"/>
              </w:rPr>
            </w:pPr>
            <w:r>
              <w:rPr>
                <w:kern w:val="0"/>
                <w:szCs w:val="21"/>
              </w:rPr>
              <w:t>2</w:t>
            </w:r>
          </w:p>
        </w:tc>
        <w:tc>
          <w:tcPr>
            <w:tcW w:w="3402" w:type="dxa"/>
            <w:noWrap w:val="0"/>
            <w:vAlign w:val="center"/>
          </w:tcPr>
          <w:p w14:paraId="21227BC6">
            <w:pPr>
              <w:autoSpaceDE w:val="0"/>
              <w:autoSpaceDN w:val="0"/>
              <w:adjustRightInd w:val="0"/>
              <w:jc w:val="center"/>
              <w:rPr>
                <w:kern w:val="0"/>
                <w:szCs w:val="21"/>
              </w:rPr>
            </w:pPr>
            <w:r>
              <w:rPr>
                <w:kern w:val="0"/>
                <w:szCs w:val="21"/>
              </w:rPr>
              <w:t>是否在“富营养化水域”内</w:t>
            </w:r>
          </w:p>
        </w:tc>
        <w:tc>
          <w:tcPr>
            <w:tcW w:w="4478" w:type="dxa"/>
            <w:noWrap w:val="0"/>
            <w:vAlign w:val="center"/>
          </w:tcPr>
          <w:p w14:paraId="5440383F">
            <w:pPr>
              <w:autoSpaceDE w:val="0"/>
              <w:autoSpaceDN w:val="0"/>
              <w:adjustRightInd w:val="0"/>
              <w:jc w:val="center"/>
              <w:rPr>
                <w:kern w:val="0"/>
                <w:szCs w:val="21"/>
              </w:rPr>
            </w:pPr>
            <w:r>
              <w:rPr>
                <w:kern w:val="0"/>
                <w:szCs w:val="21"/>
              </w:rPr>
              <w:t>本项目不涉及“富营养化水域”</w:t>
            </w:r>
          </w:p>
        </w:tc>
      </w:tr>
      <w:tr w14:paraId="155271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73311798">
            <w:pPr>
              <w:autoSpaceDE w:val="0"/>
              <w:autoSpaceDN w:val="0"/>
              <w:adjustRightInd w:val="0"/>
              <w:jc w:val="center"/>
              <w:rPr>
                <w:kern w:val="0"/>
                <w:szCs w:val="21"/>
              </w:rPr>
            </w:pPr>
            <w:r>
              <w:rPr>
                <w:kern w:val="0"/>
                <w:szCs w:val="21"/>
              </w:rPr>
              <w:t>3</w:t>
            </w:r>
          </w:p>
        </w:tc>
        <w:tc>
          <w:tcPr>
            <w:tcW w:w="3402" w:type="dxa"/>
            <w:noWrap w:val="0"/>
            <w:vAlign w:val="center"/>
          </w:tcPr>
          <w:p w14:paraId="7F15F78A">
            <w:pPr>
              <w:autoSpaceDE w:val="0"/>
              <w:autoSpaceDN w:val="0"/>
              <w:adjustRightInd w:val="0"/>
              <w:jc w:val="left"/>
              <w:rPr>
                <w:kern w:val="0"/>
                <w:szCs w:val="21"/>
              </w:rPr>
            </w:pPr>
            <w:r>
              <w:rPr>
                <w:kern w:val="0"/>
                <w:szCs w:val="21"/>
              </w:rPr>
              <w:t>是否在“以居住、医疗卫生、文化</w:t>
            </w:r>
          </w:p>
          <w:p w14:paraId="3A6856B3">
            <w:pPr>
              <w:autoSpaceDE w:val="0"/>
              <w:autoSpaceDN w:val="0"/>
              <w:adjustRightInd w:val="0"/>
              <w:jc w:val="left"/>
              <w:rPr>
                <w:kern w:val="0"/>
                <w:szCs w:val="21"/>
              </w:rPr>
            </w:pPr>
            <w:r>
              <w:rPr>
                <w:kern w:val="0"/>
                <w:szCs w:val="21"/>
              </w:rPr>
              <w:t>教育、科研、行政办公等为主要功</w:t>
            </w:r>
          </w:p>
          <w:p w14:paraId="445A1BBC">
            <w:pPr>
              <w:autoSpaceDE w:val="0"/>
              <w:autoSpaceDN w:val="0"/>
              <w:adjustRightInd w:val="0"/>
              <w:jc w:val="left"/>
              <w:rPr>
                <w:kern w:val="0"/>
                <w:szCs w:val="21"/>
              </w:rPr>
            </w:pPr>
            <w:r>
              <w:rPr>
                <w:kern w:val="0"/>
                <w:szCs w:val="21"/>
              </w:rPr>
              <w:t>能的区域，文物保护单位，具有特</w:t>
            </w:r>
          </w:p>
          <w:p w14:paraId="4FB51AC8">
            <w:pPr>
              <w:autoSpaceDE w:val="0"/>
              <w:autoSpaceDN w:val="0"/>
              <w:adjustRightInd w:val="0"/>
              <w:jc w:val="left"/>
              <w:rPr>
                <w:kern w:val="0"/>
                <w:szCs w:val="21"/>
              </w:rPr>
            </w:pPr>
            <w:r>
              <w:rPr>
                <w:kern w:val="0"/>
                <w:szCs w:val="21"/>
              </w:rPr>
              <w:t>殊历史、文化、科学、民族意义的</w:t>
            </w:r>
          </w:p>
          <w:p w14:paraId="04F298EE">
            <w:pPr>
              <w:autoSpaceDE w:val="0"/>
              <w:autoSpaceDN w:val="0"/>
              <w:adjustRightInd w:val="0"/>
              <w:jc w:val="left"/>
              <w:rPr>
                <w:kern w:val="0"/>
                <w:szCs w:val="21"/>
              </w:rPr>
            </w:pPr>
            <w:r>
              <w:rPr>
                <w:kern w:val="0"/>
                <w:szCs w:val="21"/>
              </w:rPr>
              <w:t>保护地”</w:t>
            </w:r>
          </w:p>
        </w:tc>
        <w:tc>
          <w:tcPr>
            <w:tcW w:w="4478" w:type="dxa"/>
            <w:noWrap w:val="0"/>
            <w:vAlign w:val="center"/>
          </w:tcPr>
          <w:p w14:paraId="5DBC6889">
            <w:pPr>
              <w:autoSpaceDE w:val="0"/>
              <w:autoSpaceDN w:val="0"/>
              <w:adjustRightInd w:val="0"/>
              <w:jc w:val="left"/>
              <w:rPr>
                <w:kern w:val="0"/>
                <w:szCs w:val="21"/>
              </w:rPr>
            </w:pPr>
            <w:r>
              <w:rPr>
                <w:kern w:val="0"/>
                <w:szCs w:val="21"/>
              </w:rPr>
              <w:t>本项目位于昆明市石林彝族自治县西街口镇新木凹村，不属于“以居住、医疗卫生、文化教育、科研、行政办公等为主要功能的区域文物保护单位，具有特殊历史、文化、科学、民族意义的保护地</w:t>
            </w:r>
          </w:p>
        </w:tc>
      </w:tr>
      <w:tr w14:paraId="57C8B4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0117A5EA">
            <w:pPr>
              <w:autoSpaceDE w:val="0"/>
              <w:autoSpaceDN w:val="0"/>
              <w:adjustRightInd w:val="0"/>
              <w:jc w:val="center"/>
              <w:rPr>
                <w:kern w:val="0"/>
                <w:szCs w:val="21"/>
              </w:rPr>
            </w:pPr>
            <w:r>
              <w:rPr>
                <w:kern w:val="0"/>
                <w:szCs w:val="21"/>
              </w:rPr>
              <w:t>4</w:t>
            </w:r>
          </w:p>
        </w:tc>
        <w:tc>
          <w:tcPr>
            <w:tcW w:w="3402" w:type="dxa"/>
            <w:noWrap w:val="0"/>
            <w:vAlign w:val="center"/>
          </w:tcPr>
          <w:p w14:paraId="0364F6AC">
            <w:pPr>
              <w:autoSpaceDE w:val="0"/>
              <w:autoSpaceDN w:val="0"/>
              <w:adjustRightInd w:val="0"/>
              <w:jc w:val="center"/>
              <w:rPr>
                <w:kern w:val="0"/>
                <w:szCs w:val="21"/>
              </w:rPr>
            </w:pPr>
            <w:r>
              <w:rPr>
                <w:kern w:val="0"/>
                <w:szCs w:val="21"/>
              </w:rPr>
              <w:t>地表水环境</w:t>
            </w:r>
          </w:p>
        </w:tc>
        <w:tc>
          <w:tcPr>
            <w:tcW w:w="4478" w:type="dxa"/>
            <w:noWrap w:val="0"/>
            <w:vAlign w:val="center"/>
          </w:tcPr>
          <w:p w14:paraId="5F1E3AE5">
            <w:pPr>
              <w:autoSpaceDE w:val="0"/>
              <w:autoSpaceDN w:val="0"/>
              <w:adjustRightInd w:val="0"/>
              <w:jc w:val="center"/>
              <w:rPr>
                <w:kern w:val="0"/>
                <w:szCs w:val="21"/>
              </w:rPr>
            </w:pPr>
            <w:r>
              <w:rPr>
                <w:kern w:val="0"/>
                <w:szCs w:val="21"/>
              </w:rPr>
              <w:t>本项目区域内执行II类</w:t>
            </w:r>
          </w:p>
        </w:tc>
      </w:tr>
      <w:tr w14:paraId="04FFF4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34198345">
            <w:pPr>
              <w:autoSpaceDE w:val="0"/>
              <w:autoSpaceDN w:val="0"/>
              <w:adjustRightInd w:val="0"/>
              <w:jc w:val="center"/>
              <w:rPr>
                <w:kern w:val="0"/>
                <w:szCs w:val="21"/>
              </w:rPr>
            </w:pPr>
            <w:r>
              <w:rPr>
                <w:kern w:val="0"/>
                <w:szCs w:val="21"/>
              </w:rPr>
              <w:t>5</w:t>
            </w:r>
          </w:p>
        </w:tc>
        <w:tc>
          <w:tcPr>
            <w:tcW w:w="3402" w:type="dxa"/>
            <w:noWrap w:val="0"/>
            <w:vAlign w:val="center"/>
          </w:tcPr>
          <w:p w14:paraId="6AA0C422">
            <w:pPr>
              <w:autoSpaceDE w:val="0"/>
              <w:autoSpaceDN w:val="0"/>
              <w:adjustRightInd w:val="0"/>
              <w:jc w:val="center"/>
              <w:rPr>
                <w:kern w:val="0"/>
                <w:szCs w:val="21"/>
              </w:rPr>
            </w:pPr>
            <w:r>
              <w:rPr>
                <w:kern w:val="0"/>
                <w:szCs w:val="21"/>
              </w:rPr>
              <w:t>地下水环境</w:t>
            </w:r>
          </w:p>
        </w:tc>
        <w:tc>
          <w:tcPr>
            <w:tcW w:w="4478" w:type="dxa"/>
            <w:noWrap w:val="0"/>
            <w:vAlign w:val="center"/>
          </w:tcPr>
          <w:p w14:paraId="487BD7FE">
            <w:pPr>
              <w:autoSpaceDE w:val="0"/>
              <w:autoSpaceDN w:val="0"/>
              <w:adjustRightInd w:val="0"/>
              <w:jc w:val="center"/>
              <w:rPr>
                <w:kern w:val="0"/>
                <w:szCs w:val="21"/>
              </w:rPr>
            </w:pPr>
            <w:r>
              <w:rPr>
                <w:kern w:val="0"/>
                <w:szCs w:val="21"/>
              </w:rPr>
              <w:t>本项目区域内执行Ⅲ类</w:t>
            </w:r>
          </w:p>
        </w:tc>
      </w:tr>
      <w:tr w14:paraId="27A41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63CB2A1F">
            <w:pPr>
              <w:autoSpaceDE w:val="0"/>
              <w:autoSpaceDN w:val="0"/>
              <w:adjustRightInd w:val="0"/>
              <w:jc w:val="center"/>
              <w:rPr>
                <w:kern w:val="0"/>
                <w:szCs w:val="21"/>
              </w:rPr>
            </w:pPr>
            <w:r>
              <w:rPr>
                <w:kern w:val="0"/>
                <w:szCs w:val="21"/>
              </w:rPr>
              <w:t>6</w:t>
            </w:r>
          </w:p>
        </w:tc>
        <w:tc>
          <w:tcPr>
            <w:tcW w:w="3402" w:type="dxa"/>
            <w:noWrap w:val="0"/>
            <w:vAlign w:val="center"/>
          </w:tcPr>
          <w:p w14:paraId="387138C0">
            <w:pPr>
              <w:autoSpaceDE w:val="0"/>
              <w:autoSpaceDN w:val="0"/>
              <w:adjustRightInd w:val="0"/>
              <w:jc w:val="center"/>
              <w:rPr>
                <w:kern w:val="0"/>
                <w:szCs w:val="21"/>
              </w:rPr>
            </w:pPr>
            <w:r>
              <w:rPr>
                <w:kern w:val="0"/>
                <w:szCs w:val="21"/>
              </w:rPr>
              <w:t>环境空气功能区</w:t>
            </w:r>
          </w:p>
        </w:tc>
        <w:tc>
          <w:tcPr>
            <w:tcW w:w="4478" w:type="dxa"/>
            <w:noWrap w:val="0"/>
            <w:vAlign w:val="center"/>
          </w:tcPr>
          <w:p w14:paraId="500CA8AC">
            <w:pPr>
              <w:autoSpaceDE w:val="0"/>
              <w:autoSpaceDN w:val="0"/>
              <w:adjustRightInd w:val="0"/>
              <w:jc w:val="center"/>
              <w:rPr>
                <w:kern w:val="0"/>
                <w:szCs w:val="21"/>
              </w:rPr>
            </w:pPr>
            <w:r>
              <w:rPr>
                <w:kern w:val="0"/>
                <w:szCs w:val="21"/>
              </w:rPr>
              <w:t>本项目区域内执行二类区</w:t>
            </w:r>
          </w:p>
        </w:tc>
      </w:tr>
      <w:tr w14:paraId="12DA0C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48" w:type="dxa"/>
            <w:noWrap w:val="0"/>
            <w:vAlign w:val="center"/>
          </w:tcPr>
          <w:p w14:paraId="582AD9CB">
            <w:pPr>
              <w:autoSpaceDE w:val="0"/>
              <w:autoSpaceDN w:val="0"/>
              <w:adjustRightInd w:val="0"/>
              <w:jc w:val="center"/>
              <w:rPr>
                <w:kern w:val="0"/>
                <w:szCs w:val="21"/>
              </w:rPr>
            </w:pPr>
            <w:r>
              <w:rPr>
                <w:kern w:val="0"/>
                <w:szCs w:val="21"/>
              </w:rPr>
              <w:t>7</w:t>
            </w:r>
          </w:p>
        </w:tc>
        <w:tc>
          <w:tcPr>
            <w:tcW w:w="3402" w:type="dxa"/>
            <w:noWrap w:val="0"/>
            <w:vAlign w:val="center"/>
          </w:tcPr>
          <w:p w14:paraId="3A69501D">
            <w:pPr>
              <w:autoSpaceDE w:val="0"/>
              <w:autoSpaceDN w:val="0"/>
              <w:adjustRightInd w:val="0"/>
              <w:jc w:val="center"/>
              <w:rPr>
                <w:kern w:val="0"/>
                <w:szCs w:val="21"/>
              </w:rPr>
            </w:pPr>
            <w:r>
              <w:rPr>
                <w:kern w:val="0"/>
                <w:szCs w:val="21"/>
              </w:rPr>
              <w:t>环境噪声功能区</w:t>
            </w:r>
          </w:p>
        </w:tc>
        <w:tc>
          <w:tcPr>
            <w:tcW w:w="4478" w:type="dxa"/>
            <w:noWrap w:val="0"/>
            <w:vAlign w:val="center"/>
          </w:tcPr>
          <w:p w14:paraId="0352A4FE">
            <w:pPr>
              <w:autoSpaceDE w:val="0"/>
              <w:autoSpaceDN w:val="0"/>
              <w:adjustRightInd w:val="0"/>
              <w:jc w:val="center"/>
              <w:rPr>
                <w:kern w:val="0"/>
                <w:szCs w:val="21"/>
              </w:rPr>
            </w:pPr>
            <w:r>
              <w:rPr>
                <w:kern w:val="0"/>
                <w:szCs w:val="21"/>
              </w:rPr>
              <w:t>本项目区域内执行2类区</w:t>
            </w:r>
          </w:p>
        </w:tc>
      </w:tr>
    </w:tbl>
    <w:p w14:paraId="4CCFE761">
      <w:pPr>
        <w:pStyle w:val="6"/>
        <w:spacing w:before="0" w:after="0" w:line="360" w:lineRule="auto"/>
        <w:rPr>
          <w:rFonts w:ascii="Times New Roman" w:hAnsi="Times New Roman" w:eastAsia="宋体"/>
          <w:sz w:val="30"/>
          <w:szCs w:val="30"/>
        </w:rPr>
      </w:pPr>
      <w:bookmarkStart w:id="41" w:name="_Toc68186624"/>
      <w:bookmarkStart w:id="42" w:name="_Toc24642"/>
      <w:r>
        <w:rPr>
          <w:rFonts w:ascii="Times New Roman" w:hAnsi="Times New Roman" w:eastAsia="宋体"/>
          <w:sz w:val="30"/>
          <w:szCs w:val="30"/>
        </w:rPr>
        <w:t>2.6主要环境保护目标</w:t>
      </w:r>
      <w:bookmarkEnd w:id="41"/>
      <w:bookmarkEnd w:id="42"/>
    </w:p>
    <w:p w14:paraId="57AA8CB4">
      <w:pPr>
        <w:spacing w:line="360" w:lineRule="auto"/>
        <w:ind w:firstLine="480" w:firstLineChars="200"/>
        <w:rPr>
          <w:sz w:val="24"/>
          <w:szCs w:val="32"/>
        </w:rPr>
      </w:pPr>
      <w:r>
        <w:rPr>
          <w:sz w:val="24"/>
        </w:rPr>
        <w:t>本项目位于圭山镇法块村委会法块村，普拉河村委会上寨村，</w:t>
      </w:r>
      <w:r>
        <w:rPr>
          <w:sz w:val="24"/>
          <w:szCs w:val="32"/>
        </w:rPr>
        <w:t>目前拟选场址周围仍以农业生态环境为主，周围主要分布旱地和林地。</w:t>
      </w:r>
    </w:p>
    <w:p w14:paraId="41FE9452">
      <w:pPr>
        <w:pStyle w:val="2191"/>
        <w:snapToGrid w:val="0"/>
        <w:spacing w:line="360" w:lineRule="auto"/>
        <w:ind w:firstLine="480" w:firstLineChars="200"/>
        <w:rPr>
          <w:sz w:val="24"/>
          <w:szCs w:val="24"/>
        </w:rPr>
      </w:pPr>
      <w:r>
        <w:rPr>
          <w:sz w:val="24"/>
          <w:szCs w:val="24"/>
        </w:rPr>
        <w:t>（1）大气环境</w:t>
      </w:r>
    </w:p>
    <w:p w14:paraId="06BEF33F">
      <w:pPr>
        <w:pStyle w:val="2191"/>
        <w:snapToGrid w:val="0"/>
        <w:spacing w:line="360" w:lineRule="auto"/>
        <w:ind w:firstLine="480" w:firstLineChars="200"/>
        <w:rPr>
          <w:sz w:val="24"/>
          <w:szCs w:val="24"/>
        </w:rPr>
      </w:pPr>
      <w:r>
        <w:rPr>
          <w:sz w:val="24"/>
        </w:rPr>
        <w:t>项目区域属</w:t>
      </w:r>
      <w:r>
        <w:rPr>
          <w:sz w:val="24"/>
          <w:szCs w:val="24"/>
        </w:rPr>
        <w:t>《环境空气质量标准》（GB3095-2012）中确定的二类区</w:t>
      </w:r>
      <w:r>
        <w:rPr>
          <w:sz w:val="24"/>
        </w:rPr>
        <w:t>，</w:t>
      </w:r>
      <w:r>
        <w:rPr>
          <w:sz w:val="24"/>
          <w:szCs w:val="24"/>
        </w:rPr>
        <w:t>按《环境空气质量标准》（GB3095-2012）中的二级标准保护。</w:t>
      </w:r>
    </w:p>
    <w:p w14:paraId="28F6952E">
      <w:pPr>
        <w:pStyle w:val="2191"/>
        <w:snapToGrid w:val="0"/>
        <w:spacing w:line="360" w:lineRule="auto"/>
        <w:ind w:firstLine="480" w:firstLineChars="200"/>
        <w:rPr>
          <w:sz w:val="24"/>
          <w:szCs w:val="24"/>
        </w:rPr>
      </w:pPr>
      <w:r>
        <w:rPr>
          <w:sz w:val="24"/>
          <w:szCs w:val="24"/>
        </w:rPr>
        <w:t>（2）地表水环境</w:t>
      </w:r>
    </w:p>
    <w:p w14:paraId="6B47F576">
      <w:pPr>
        <w:pStyle w:val="2191"/>
        <w:snapToGrid w:val="0"/>
        <w:spacing w:line="360" w:lineRule="auto"/>
        <w:ind w:firstLine="480" w:firstLineChars="200"/>
        <w:rPr>
          <w:sz w:val="24"/>
          <w:szCs w:val="24"/>
        </w:rPr>
      </w:pPr>
      <w:r>
        <w:rPr>
          <w:sz w:val="24"/>
          <w:szCs w:val="24"/>
        </w:rPr>
        <w:t>项目厂址周围的地表水为项目北面50m的普拉河，根据《云南省水环境功能区划（2014年）》</w:t>
      </w:r>
      <w:r>
        <w:rPr>
          <w:sz w:val="24"/>
        </w:rPr>
        <w:t>，地表水体水功能为II类水</w:t>
      </w:r>
      <w:r>
        <w:rPr>
          <w:sz w:val="24"/>
          <w:szCs w:val="24"/>
        </w:rPr>
        <w:t>，按《地表水环境质量标准》(GB3838-2002) II类水域标准保护。</w:t>
      </w:r>
    </w:p>
    <w:p w14:paraId="22579537">
      <w:pPr>
        <w:pStyle w:val="2191"/>
        <w:snapToGrid w:val="0"/>
        <w:spacing w:line="360" w:lineRule="auto"/>
        <w:ind w:firstLine="480" w:firstLineChars="200"/>
        <w:rPr>
          <w:sz w:val="24"/>
          <w:szCs w:val="24"/>
        </w:rPr>
      </w:pPr>
      <w:r>
        <w:rPr>
          <w:sz w:val="24"/>
          <w:szCs w:val="24"/>
        </w:rPr>
        <w:t>（3）地下水环境</w:t>
      </w:r>
    </w:p>
    <w:p w14:paraId="75719DA5">
      <w:pPr>
        <w:pStyle w:val="2191"/>
        <w:snapToGrid w:val="0"/>
        <w:spacing w:line="360" w:lineRule="auto"/>
        <w:ind w:firstLine="480" w:firstLineChars="200"/>
        <w:rPr>
          <w:sz w:val="24"/>
          <w:szCs w:val="24"/>
        </w:rPr>
      </w:pPr>
      <w:r>
        <w:rPr>
          <w:sz w:val="24"/>
          <w:szCs w:val="24"/>
        </w:rPr>
        <w:t>根据现场调查和项目地址勘查结果，项目区周边无泉眼，周边村落有</w:t>
      </w:r>
      <w:r>
        <w:rPr>
          <w:sz w:val="24"/>
        </w:rPr>
        <w:t>历史遗留水井，偶尔取水用于旱地浇灌。</w:t>
      </w:r>
      <w:r>
        <w:rPr>
          <w:sz w:val="24"/>
          <w:szCs w:val="24"/>
        </w:rPr>
        <w:t>项目厂区及周边水文地质单元按</w:t>
      </w:r>
      <w:r>
        <w:rPr>
          <w:sz w:val="24"/>
        </w:rPr>
        <w:t>《地下水质量标准》（GB/T14848－2017）表1中Ⅲ类水质标准保护。</w:t>
      </w:r>
    </w:p>
    <w:p w14:paraId="0DBC2FB7">
      <w:pPr>
        <w:pStyle w:val="2191"/>
        <w:snapToGrid w:val="0"/>
        <w:spacing w:line="360" w:lineRule="auto"/>
        <w:ind w:firstLine="480" w:firstLineChars="200"/>
        <w:rPr>
          <w:sz w:val="24"/>
          <w:szCs w:val="24"/>
        </w:rPr>
      </w:pPr>
      <w:r>
        <w:rPr>
          <w:sz w:val="24"/>
          <w:szCs w:val="24"/>
        </w:rPr>
        <w:t>（4）声环境</w:t>
      </w:r>
    </w:p>
    <w:p w14:paraId="1D57D162">
      <w:pPr>
        <w:pStyle w:val="2191"/>
        <w:snapToGrid w:val="0"/>
        <w:spacing w:line="360" w:lineRule="auto"/>
        <w:ind w:firstLine="480" w:firstLineChars="200"/>
        <w:rPr>
          <w:sz w:val="24"/>
          <w:szCs w:val="28"/>
        </w:rPr>
      </w:pPr>
      <w:r>
        <w:rPr>
          <w:sz w:val="24"/>
          <w:szCs w:val="32"/>
        </w:rPr>
        <w:t>声环境评价范围为项目厂界200m区域范围及敏感点，项目厂界200m范围内无居民点等敏感目标</w:t>
      </w:r>
      <w:r>
        <w:rPr>
          <w:sz w:val="24"/>
          <w:szCs w:val="28"/>
        </w:rPr>
        <w:t>。</w:t>
      </w:r>
    </w:p>
    <w:p w14:paraId="28C8C509">
      <w:pPr>
        <w:spacing w:line="360" w:lineRule="auto"/>
        <w:ind w:firstLine="480" w:firstLineChars="200"/>
        <w:rPr>
          <w:sz w:val="24"/>
          <w:szCs w:val="32"/>
        </w:rPr>
        <w:sectPr>
          <w:footerReference r:id="rId11" w:type="even"/>
          <w:pgSz w:w="11906" w:h="16838"/>
          <w:pgMar w:top="1440" w:right="1797" w:bottom="1361" w:left="1797" w:header="851" w:footer="992" w:gutter="0"/>
          <w:cols w:space="720" w:num="1"/>
          <w:docGrid w:linePitch="312" w:charSpace="0"/>
        </w:sectPr>
      </w:pPr>
      <w:r>
        <w:rPr>
          <w:sz w:val="24"/>
          <w:szCs w:val="32"/>
        </w:rPr>
        <w:t>经现场踏勘后确定本项目环境保护目标详见表2.6-1。</w:t>
      </w:r>
    </w:p>
    <w:p w14:paraId="23837061">
      <w:pPr>
        <w:spacing w:line="360" w:lineRule="auto"/>
        <w:jc w:val="center"/>
        <w:rPr>
          <w:b/>
          <w:bCs/>
          <w:sz w:val="24"/>
        </w:rPr>
      </w:pPr>
      <w:r>
        <w:rPr>
          <w:b/>
          <w:bCs/>
          <w:sz w:val="24"/>
        </w:rPr>
        <w:t>表2.6-1   项目环境保护目标一览表</w:t>
      </w:r>
    </w:p>
    <w:tbl>
      <w:tblPr>
        <w:tblStyle w:val="87"/>
        <w:tblW w:w="501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0"/>
        <w:gridCol w:w="2060"/>
        <w:gridCol w:w="2400"/>
        <w:gridCol w:w="2146"/>
        <w:gridCol w:w="888"/>
        <w:gridCol w:w="1476"/>
        <w:gridCol w:w="1207"/>
        <w:gridCol w:w="3383"/>
        <w:gridCol w:w="49"/>
      </w:tblGrid>
      <w:tr w14:paraId="717B95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3" w:hRule="atLeast"/>
          <w:jc w:val="center"/>
        </w:trPr>
        <w:tc>
          <w:tcPr>
            <w:tcW w:w="241" w:type="pct"/>
            <w:vMerge w:val="restart"/>
            <w:noWrap w:val="0"/>
            <w:vAlign w:val="center"/>
          </w:tcPr>
          <w:p w14:paraId="6A8E896F">
            <w:pPr>
              <w:spacing w:line="300" w:lineRule="auto"/>
              <w:jc w:val="center"/>
              <w:rPr>
                <w:b/>
              </w:rPr>
            </w:pPr>
            <w:r>
              <w:rPr>
                <w:b/>
              </w:rPr>
              <w:t>项目</w:t>
            </w:r>
          </w:p>
        </w:tc>
        <w:tc>
          <w:tcPr>
            <w:tcW w:w="720" w:type="pct"/>
            <w:vMerge w:val="restart"/>
            <w:noWrap w:val="0"/>
            <w:vAlign w:val="center"/>
          </w:tcPr>
          <w:p w14:paraId="7CAD4D16">
            <w:pPr>
              <w:spacing w:line="300" w:lineRule="auto"/>
              <w:jc w:val="center"/>
              <w:rPr>
                <w:b/>
              </w:rPr>
            </w:pPr>
            <w:r>
              <w:rPr>
                <w:b/>
              </w:rPr>
              <w:t>保护目标</w:t>
            </w:r>
          </w:p>
        </w:tc>
        <w:tc>
          <w:tcPr>
            <w:tcW w:w="1589" w:type="pct"/>
            <w:gridSpan w:val="2"/>
            <w:noWrap w:val="0"/>
            <w:vAlign w:val="center"/>
          </w:tcPr>
          <w:p w14:paraId="066E8BF5">
            <w:pPr>
              <w:spacing w:line="300" w:lineRule="auto"/>
              <w:jc w:val="center"/>
              <w:rPr>
                <w:b/>
              </w:rPr>
            </w:pPr>
            <w:r>
              <w:rPr>
                <w:b/>
              </w:rPr>
              <w:t>坐标</w:t>
            </w:r>
          </w:p>
        </w:tc>
        <w:tc>
          <w:tcPr>
            <w:tcW w:w="310" w:type="pct"/>
            <w:vMerge w:val="restart"/>
            <w:noWrap w:val="0"/>
            <w:vAlign w:val="center"/>
          </w:tcPr>
          <w:p w14:paraId="02CC2CC4">
            <w:pPr>
              <w:spacing w:line="300" w:lineRule="auto"/>
              <w:jc w:val="center"/>
              <w:rPr>
                <w:b/>
              </w:rPr>
            </w:pPr>
            <w:r>
              <w:rPr>
                <w:b/>
              </w:rPr>
              <w:t>方位</w:t>
            </w:r>
          </w:p>
        </w:tc>
        <w:tc>
          <w:tcPr>
            <w:tcW w:w="516" w:type="pct"/>
            <w:vMerge w:val="restart"/>
            <w:noWrap w:val="0"/>
            <w:vAlign w:val="center"/>
          </w:tcPr>
          <w:p w14:paraId="29CEA7C3">
            <w:pPr>
              <w:spacing w:line="300" w:lineRule="auto"/>
              <w:jc w:val="center"/>
              <w:rPr>
                <w:b/>
              </w:rPr>
            </w:pPr>
            <w:r>
              <w:rPr>
                <w:b/>
              </w:rPr>
              <w:t>受影响人数</w:t>
            </w:r>
          </w:p>
        </w:tc>
        <w:tc>
          <w:tcPr>
            <w:tcW w:w="421" w:type="pct"/>
            <w:vMerge w:val="restart"/>
            <w:tcBorders>
              <w:right w:val="single" w:color="auto" w:sz="4" w:space="0"/>
            </w:tcBorders>
            <w:noWrap w:val="0"/>
            <w:vAlign w:val="center"/>
          </w:tcPr>
          <w:p w14:paraId="59A71BF5">
            <w:pPr>
              <w:spacing w:line="300" w:lineRule="auto"/>
              <w:jc w:val="center"/>
              <w:rPr>
                <w:b/>
              </w:rPr>
            </w:pPr>
            <w:r>
              <w:rPr>
                <w:b/>
              </w:rPr>
              <w:t>与项目最近距离m</w:t>
            </w:r>
          </w:p>
        </w:tc>
        <w:tc>
          <w:tcPr>
            <w:tcW w:w="1183" w:type="pct"/>
            <w:vMerge w:val="restart"/>
            <w:tcBorders>
              <w:left w:val="single" w:color="auto" w:sz="4" w:space="0"/>
              <w:right w:val="single" w:color="auto" w:sz="4" w:space="0"/>
            </w:tcBorders>
            <w:noWrap w:val="0"/>
            <w:vAlign w:val="center"/>
          </w:tcPr>
          <w:p w14:paraId="55F07AA4">
            <w:pPr>
              <w:spacing w:line="300" w:lineRule="auto"/>
              <w:jc w:val="center"/>
              <w:rPr>
                <w:b/>
              </w:rPr>
            </w:pPr>
            <w:r>
              <w:rPr>
                <w:b/>
              </w:rPr>
              <w:t>保护级别</w:t>
            </w:r>
          </w:p>
        </w:tc>
      </w:tr>
      <w:tr w14:paraId="282DA9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3" w:hRule="atLeast"/>
          <w:jc w:val="center"/>
        </w:trPr>
        <w:tc>
          <w:tcPr>
            <w:tcW w:w="241" w:type="pct"/>
            <w:vMerge w:val="continue"/>
            <w:tcBorders>
              <w:bottom w:val="single" w:color="auto" w:sz="4" w:space="0"/>
            </w:tcBorders>
            <w:noWrap w:val="0"/>
            <w:vAlign w:val="center"/>
          </w:tcPr>
          <w:p w14:paraId="68A259C1">
            <w:pPr>
              <w:spacing w:line="300" w:lineRule="auto"/>
              <w:jc w:val="center"/>
              <w:rPr>
                <w:b/>
              </w:rPr>
            </w:pPr>
          </w:p>
        </w:tc>
        <w:tc>
          <w:tcPr>
            <w:tcW w:w="720" w:type="pct"/>
            <w:vMerge w:val="continue"/>
            <w:noWrap w:val="0"/>
            <w:vAlign w:val="center"/>
          </w:tcPr>
          <w:p w14:paraId="73D61D97">
            <w:pPr>
              <w:spacing w:line="300" w:lineRule="auto"/>
              <w:jc w:val="center"/>
              <w:rPr>
                <w:b/>
              </w:rPr>
            </w:pPr>
          </w:p>
        </w:tc>
        <w:tc>
          <w:tcPr>
            <w:tcW w:w="839" w:type="pct"/>
            <w:noWrap w:val="0"/>
            <w:vAlign w:val="center"/>
          </w:tcPr>
          <w:p w14:paraId="2EF67787">
            <w:pPr>
              <w:spacing w:line="300" w:lineRule="auto"/>
              <w:jc w:val="center"/>
              <w:rPr>
                <w:b/>
              </w:rPr>
            </w:pPr>
            <w:r>
              <w:rPr>
                <w:b/>
              </w:rPr>
              <w:t>东经</w:t>
            </w:r>
          </w:p>
        </w:tc>
        <w:tc>
          <w:tcPr>
            <w:tcW w:w="750" w:type="pct"/>
            <w:noWrap w:val="0"/>
            <w:vAlign w:val="center"/>
          </w:tcPr>
          <w:p w14:paraId="62E971E4">
            <w:pPr>
              <w:spacing w:line="300" w:lineRule="auto"/>
              <w:jc w:val="center"/>
              <w:rPr>
                <w:b/>
              </w:rPr>
            </w:pPr>
            <w:r>
              <w:rPr>
                <w:b/>
              </w:rPr>
              <w:t>北纬</w:t>
            </w:r>
          </w:p>
        </w:tc>
        <w:tc>
          <w:tcPr>
            <w:tcW w:w="310" w:type="pct"/>
            <w:vMerge w:val="continue"/>
            <w:noWrap w:val="0"/>
            <w:vAlign w:val="center"/>
          </w:tcPr>
          <w:p w14:paraId="295B0C8F">
            <w:pPr>
              <w:spacing w:line="300" w:lineRule="auto"/>
              <w:jc w:val="center"/>
              <w:rPr>
                <w:b/>
              </w:rPr>
            </w:pPr>
          </w:p>
        </w:tc>
        <w:tc>
          <w:tcPr>
            <w:tcW w:w="516" w:type="pct"/>
            <w:vMerge w:val="continue"/>
            <w:noWrap w:val="0"/>
            <w:vAlign w:val="center"/>
          </w:tcPr>
          <w:p w14:paraId="40AEA6B0">
            <w:pPr>
              <w:spacing w:line="300" w:lineRule="auto"/>
              <w:jc w:val="center"/>
              <w:rPr>
                <w:b/>
              </w:rPr>
            </w:pPr>
          </w:p>
        </w:tc>
        <w:tc>
          <w:tcPr>
            <w:tcW w:w="421" w:type="pct"/>
            <w:vMerge w:val="continue"/>
            <w:tcBorders>
              <w:right w:val="single" w:color="auto" w:sz="4" w:space="0"/>
            </w:tcBorders>
            <w:noWrap w:val="0"/>
            <w:vAlign w:val="center"/>
          </w:tcPr>
          <w:p w14:paraId="189001C4">
            <w:pPr>
              <w:spacing w:line="300" w:lineRule="auto"/>
              <w:jc w:val="center"/>
              <w:rPr>
                <w:b/>
              </w:rPr>
            </w:pPr>
          </w:p>
        </w:tc>
        <w:tc>
          <w:tcPr>
            <w:tcW w:w="1183" w:type="pct"/>
            <w:vMerge w:val="continue"/>
            <w:tcBorders>
              <w:left w:val="single" w:color="auto" w:sz="4" w:space="0"/>
              <w:right w:val="single" w:color="auto" w:sz="4" w:space="0"/>
            </w:tcBorders>
            <w:noWrap w:val="0"/>
            <w:vAlign w:val="center"/>
          </w:tcPr>
          <w:p w14:paraId="26D8202E">
            <w:pPr>
              <w:spacing w:line="300" w:lineRule="auto"/>
              <w:jc w:val="center"/>
              <w:rPr>
                <w:b/>
              </w:rPr>
            </w:pPr>
          </w:p>
        </w:tc>
      </w:tr>
      <w:tr w14:paraId="7E1CEF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49" w:hRule="atLeast"/>
          <w:jc w:val="center"/>
        </w:trPr>
        <w:tc>
          <w:tcPr>
            <w:tcW w:w="241" w:type="pct"/>
            <w:vMerge w:val="restart"/>
            <w:noWrap w:val="0"/>
            <w:vAlign w:val="center"/>
          </w:tcPr>
          <w:p w14:paraId="3553C4C8">
            <w:pPr>
              <w:spacing w:line="300" w:lineRule="auto"/>
              <w:jc w:val="center"/>
            </w:pPr>
            <w:r>
              <w:t>大气环境</w:t>
            </w:r>
          </w:p>
        </w:tc>
        <w:tc>
          <w:tcPr>
            <w:tcW w:w="720" w:type="pct"/>
            <w:noWrap w:val="0"/>
            <w:vAlign w:val="center"/>
          </w:tcPr>
          <w:p w14:paraId="7CD62DA8">
            <w:pPr>
              <w:snapToGrid w:val="0"/>
              <w:jc w:val="center"/>
              <w:rPr>
                <w:szCs w:val="21"/>
              </w:rPr>
            </w:pPr>
            <w:r>
              <w:rPr>
                <w:szCs w:val="21"/>
              </w:rPr>
              <w:t>法块村</w:t>
            </w:r>
          </w:p>
        </w:tc>
        <w:tc>
          <w:tcPr>
            <w:tcW w:w="839" w:type="pct"/>
            <w:noWrap w:val="0"/>
            <w:vAlign w:val="center"/>
          </w:tcPr>
          <w:p w14:paraId="1DEA1B1F">
            <w:pPr>
              <w:spacing w:line="300" w:lineRule="auto"/>
              <w:jc w:val="center"/>
            </w:pPr>
            <w:r>
              <w:t>103°36′7.03″</w:t>
            </w:r>
          </w:p>
        </w:tc>
        <w:tc>
          <w:tcPr>
            <w:tcW w:w="750" w:type="pct"/>
            <w:noWrap w:val="0"/>
            <w:vAlign w:val="center"/>
          </w:tcPr>
          <w:p w14:paraId="78594542">
            <w:pPr>
              <w:spacing w:line="300" w:lineRule="auto"/>
              <w:jc w:val="center"/>
            </w:pPr>
            <w:r>
              <w:t>24°36′34.06″</w:t>
            </w:r>
          </w:p>
        </w:tc>
        <w:tc>
          <w:tcPr>
            <w:tcW w:w="310" w:type="pct"/>
            <w:noWrap w:val="0"/>
            <w:vAlign w:val="center"/>
          </w:tcPr>
          <w:p w14:paraId="5BFECDF5">
            <w:pPr>
              <w:snapToGrid w:val="0"/>
              <w:jc w:val="center"/>
              <w:rPr>
                <w:szCs w:val="21"/>
              </w:rPr>
            </w:pPr>
            <w:r>
              <w:rPr>
                <w:szCs w:val="21"/>
              </w:rPr>
              <w:t>北侧</w:t>
            </w:r>
          </w:p>
        </w:tc>
        <w:tc>
          <w:tcPr>
            <w:tcW w:w="516" w:type="pct"/>
            <w:noWrap w:val="0"/>
            <w:vAlign w:val="center"/>
          </w:tcPr>
          <w:p w14:paraId="00324BF2">
            <w:pPr>
              <w:snapToGrid w:val="0"/>
              <w:jc w:val="center"/>
              <w:rPr>
                <w:szCs w:val="21"/>
              </w:rPr>
            </w:pPr>
            <w:r>
              <w:rPr>
                <w:szCs w:val="21"/>
              </w:rPr>
              <w:t>580人</w:t>
            </w:r>
          </w:p>
        </w:tc>
        <w:tc>
          <w:tcPr>
            <w:tcW w:w="421" w:type="pct"/>
            <w:tcBorders>
              <w:right w:val="single" w:color="auto" w:sz="4" w:space="0"/>
            </w:tcBorders>
            <w:noWrap w:val="0"/>
            <w:vAlign w:val="center"/>
          </w:tcPr>
          <w:p w14:paraId="22B0A538">
            <w:pPr>
              <w:spacing w:line="300" w:lineRule="auto"/>
              <w:jc w:val="center"/>
              <w:rPr>
                <w:szCs w:val="21"/>
              </w:rPr>
            </w:pPr>
            <w:r>
              <w:rPr>
                <w:szCs w:val="21"/>
              </w:rPr>
              <w:t>294</w:t>
            </w:r>
          </w:p>
        </w:tc>
        <w:tc>
          <w:tcPr>
            <w:tcW w:w="1183" w:type="pct"/>
            <w:vMerge w:val="restart"/>
            <w:tcBorders>
              <w:left w:val="single" w:color="auto" w:sz="4" w:space="0"/>
              <w:right w:val="single" w:color="auto" w:sz="4" w:space="0"/>
            </w:tcBorders>
            <w:noWrap w:val="0"/>
            <w:vAlign w:val="center"/>
          </w:tcPr>
          <w:p w14:paraId="1D05DBFB">
            <w:pPr>
              <w:spacing w:line="300" w:lineRule="auto"/>
              <w:jc w:val="center"/>
              <w:rPr>
                <w:szCs w:val="21"/>
              </w:rPr>
            </w:pPr>
            <w:r>
              <w:rPr>
                <w:szCs w:val="21"/>
              </w:rPr>
              <w:t>《环境空气质量标准》</w:t>
            </w:r>
            <w:r>
              <w:rPr>
                <w:szCs w:val="21"/>
              </w:rPr>
              <w:cr/>
            </w:r>
            <w:r>
              <w:rPr>
                <w:szCs w:val="21"/>
              </w:rPr>
              <w:t>（GB3095-2012)二级标准；</w:t>
            </w:r>
          </w:p>
        </w:tc>
      </w:tr>
      <w:tr w14:paraId="2CE3F4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269" w:hRule="atLeast"/>
          <w:jc w:val="center"/>
        </w:trPr>
        <w:tc>
          <w:tcPr>
            <w:tcW w:w="241" w:type="pct"/>
            <w:vMerge w:val="continue"/>
            <w:noWrap w:val="0"/>
            <w:vAlign w:val="center"/>
          </w:tcPr>
          <w:p w14:paraId="167EBCE0">
            <w:pPr>
              <w:spacing w:line="300" w:lineRule="auto"/>
              <w:jc w:val="center"/>
            </w:pPr>
          </w:p>
        </w:tc>
        <w:tc>
          <w:tcPr>
            <w:tcW w:w="720" w:type="pct"/>
            <w:noWrap w:val="0"/>
            <w:vAlign w:val="center"/>
          </w:tcPr>
          <w:p w14:paraId="061D1248">
            <w:pPr>
              <w:snapToGrid w:val="0"/>
              <w:jc w:val="center"/>
              <w:rPr>
                <w:szCs w:val="21"/>
              </w:rPr>
            </w:pPr>
            <w:r>
              <w:rPr>
                <w:szCs w:val="21"/>
              </w:rPr>
              <w:t>老庄科</w:t>
            </w:r>
          </w:p>
        </w:tc>
        <w:tc>
          <w:tcPr>
            <w:tcW w:w="839" w:type="pct"/>
            <w:noWrap w:val="0"/>
            <w:vAlign w:val="center"/>
          </w:tcPr>
          <w:p w14:paraId="0F71121D">
            <w:pPr>
              <w:spacing w:line="300" w:lineRule="auto"/>
              <w:jc w:val="center"/>
            </w:pPr>
            <w:r>
              <w:t>103°35′11.87″</w:t>
            </w:r>
          </w:p>
        </w:tc>
        <w:tc>
          <w:tcPr>
            <w:tcW w:w="750" w:type="pct"/>
            <w:noWrap w:val="0"/>
            <w:vAlign w:val="center"/>
          </w:tcPr>
          <w:p w14:paraId="43CE713E">
            <w:pPr>
              <w:spacing w:line="300" w:lineRule="auto"/>
              <w:jc w:val="center"/>
            </w:pPr>
            <w:r>
              <w:t>24°36′28.07″</w:t>
            </w:r>
          </w:p>
        </w:tc>
        <w:tc>
          <w:tcPr>
            <w:tcW w:w="310" w:type="pct"/>
            <w:noWrap w:val="0"/>
            <w:vAlign w:val="center"/>
          </w:tcPr>
          <w:p w14:paraId="15D154A1">
            <w:pPr>
              <w:snapToGrid w:val="0"/>
              <w:jc w:val="center"/>
              <w:rPr>
                <w:szCs w:val="21"/>
              </w:rPr>
            </w:pPr>
            <w:r>
              <w:rPr>
                <w:szCs w:val="21"/>
              </w:rPr>
              <w:t>西侧</w:t>
            </w:r>
          </w:p>
        </w:tc>
        <w:tc>
          <w:tcPr>
            <w:tcW w:w="516" w:type="pct"/>
            <w:noWrap w:val="0"/>
            <w:vAlign w:val="center"/>
          </w:tcPr>
          <w:p w14:paraId="601DF98B">
            <w:pPr>
              <w:snapToGrid w:val="0"/>
              <w:jc w:val="center"/>
              <w:rPr>
                <w:szCs w:val="21"/>
              </w:rPr>
            </w:pPr>
            <w:r>
              <w:rPr>
                <w:szCs w:val="21"/>
              </w:rPr>
              <w:t>230人</w:t>
            </w:r>
          </w:p>
        </w:tc>
        <w:tc>
          <w:tcPr>
            <w:tcW w:w="421" w:type="pct"/>
            <w:tcBorders>
              <w:right w:val="single" w:color="auto" w:sz="4" w:space="0"/>
            </w:tcBorders>
            <w:noWrap w:val="0"/>
            <w:vAlign w:val="center"/>
          </w:tcPr>
          <w:p w14:paraId="1F15D0A3">
            <w:pPr>
              <w:spacing w:line="300" w:lineRule="auto"/>
              <w:jc w:val="center"/>
              <w:rPr>
                <w:szCs w:val="21"/>
              </w:rPr>
            </w:pPr>
            <w:r>
              <w:rPr>
                <w:szCs w:val="21"/>
              </w:rPr>
              <w:t>794</w:t>
            </w:r>
          </w:p>
        </w:tc>
        <w:tc>
          <w:tcPr>
            <w:tcW w:w="1183" w:type="pct"/>
            <w:vMerge w:val="continue"/>
            <w:tcBorders>
              <w:left w:val="single" w:color="auto" w:sz="4" w:space="0"/>
              <w:right w:val="single" w:color="auto" w:sz="4" w:space="0"/>
            </w:tcBorders>
            <w:noWrap w:val="0"/>
            <w:vAlign w:val="center"/>
          </w:tcPr>
          <w:p w14:paraId="00CA6266">
            <w:pPr>
              <w:spacing w:line="300" w:lineRule="auto"/>
              <w:jc w:val="center"/>
              <w:rPr>
                <w:szCs w:val="21"/>
              </w:rPr>
            </w:pPr>
          </w:p>
        </w:tc>
      </w:tr>
      <w:tr w14:paraId="501D73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72" w:hRule="atLeast"/>
          <w:jc w:val="center"/>
        </w:trPr>
        <w:tc>
          <w:tcPr>
            <w:tcW w:w="241" w:type="pct"/>
            <w:vMerge w:val="continue"/>
            <w:noWrap w:val="0"/>
            <w:vAlign w:val="center"/>
          </w:tcPr>
          <w:p w14:paraId="4EB8E730">
            <w:pPr>
              <w:spacing w:line="300" w:lineRule="auto"/>
              <w:jc w:val="center"/>
            </w:pPr>
          </w:p>
        </w:tc>
        <w:tc>
          <w:tcPr>
            <w:tcW w:w="720" w:type="pct"/>
            <w:noWrap w:val="0"/>
            <w:vAlign w:val="center"/>
          </w:tcPr>
          <w:p w14:paraId="36CC3DA0">
            <w:pPr>
              <w:snapToGrid w:val="0"/>
              <w:jc w:val="center"/>
              <w:rPr>
                <w:szCs w:val="21"/>
              </w:rPr>
            </w:pPr>
            <w:r>
              <w:rPr>
                <w:szCs w:val="21"/>
              </w:rPr>
              <w:t>拖湾村</w:t>
            </w:r>
          </w:p>
        </w:tc>
        <w:tc>
          <w:tcPr>
            <w:tcW w:w="839" w:type="pct"/>
            <w:noWrap w:val="0"/>
            <w:vAlign w:val="center"/>
          </w:tcPr>
          <w:p w14:paraId="01DF4F45">
            <w:pPr>
              <w:spacing w:line="300" w:lineRule="auto"/>
              <w:jc w:val="center"/>
            </w:pPr>
            <w:r>
              <w:t>103°36′36.48″</w:t>
            </w:r>
          </w:p>
        </w:tc>
        <w:tc>
          <w:tcPr>
            <w:tcW w:w="750" w:type="pct"/>
            <w:noWrap w:val="0"/>
            <w:vAlign w:val="center"/>
          </w:tcPr>
          <w:p w14:paraId="105E51BC">
            <w:pPr>
              <w:spacing w:line="300" w:lineRule="auto"/>
              <w:jc w:val="center"/>
            </w:pPr>
            <w:r>
              <w:t>24°37′19.40″</w:t>
            </w:r>
          </w:p>
        </w:tc>
        <w:tc>
          <w:tcPr>
            <w:tcW w:w="310" w:type="pct"/>
            <w:noWrap w:val="0"/>
            <w:vAlign w:val="center"/>
          </w:tcPr>
          <w:p w14:paraId="10DA9F89">
            <w:pPr>
              <w:snapToGrid w:val="0"/>
              <w:jc w:val="center"/>
              <w:rPr>
                <w:szCs w:val="21"/>
              </w:rPr>
            </w:pPr>
            <w:r>
              <w:rPr>
                <w:szCs w:val="21"/>
              </w:rPr>
              <w:t>东北</w:t>
            </w:r>
          </w:p>
        </w:tc>
        <w:tc>
          <w:tcPr>
            <w:tcW w:w="516" w:type="pct"/>
            <w:noWrap w:val="0"/>
            <w:vAlign w:val="center"/>
          </w:tcPr>
          <w:p w14:paraId="77532A8E">
            <w:pPr>
              <w:snapToGrid w:val="0"/>
              <w:jc w:val="center"/>
              <w:rPr>
                <w:szCs w:val="21"/>
              </w:rPr>
            </w:pPr>
            <w:r>
              <w:rPr>
                <w:szCs w:val="21"/>
              </w:rPr>
              <w:t>480人</w:t>
            </w:r>
          </w:p>
        </w:tc>
        <w:tc>
          <w:tcPr>
            <w:tcW w:w="421" w:type="pct"/>
            <w:tcBorders>
              <w:right w:val="single" w:color="auto" w:sz="4" w:space="0"/>
            </w:tcBorders>
            <w:noWrap w:val="0"/>
            <w:vAlign w:val="center"/>
          </w:tcPr>
          <w:p w14:paraId="5581FA76">
            <w:pPr>
              <w:spacing w:line="300" w:lineRule="auto"/>
              <w:jc w:val="center"/>
              <w:rPr>
                <w:szCs w:val="21"/>
              </w:rPr>
            </w:pPr>
            <w:r>
              <w:rPr>
                <w:szCs w:val="21"/>
              </w:rPr>
              <w:t>1540</w:t>
            </w:r>
          </w:p>
        </w:tc>
        <w:tc>
          <w:tcPr>
            <w:tcW w:w="1183" w:type="pct"/>
            <w:vMerge w:val="continue"/>
            <w:tcBorders>
              <w:left w:val="single" w:color="auto" w:sz="4" w:space="0"/>
              <w:right w:val="single" w:color="auto" w:sz="4" w:space="0"/>
            </w:tcBorders>
            <w:noWrap w:val="0"/>
            <w:vAlign w:val="center"/>
          </w:tcPr>
          <w:p w14:paraId="4F6BC872">
            <w:pPr>
              <w:spacing w:line="300" w:lineRule="auto"/>
              <w:jc w:val="center"/>
              <w:rPr>
                <w:szCs w:val="21"/>
              </w:rPr>
            </w:pPr>
          </w:p>
        </w:tc>
      </w:tr>
      <w:tr w14:paraId="1C375B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72" w:hRule="atLeast"/>
          <w:jc w:val="center"/>
        </w:trPr>
        <w:tc>
          <w:tcPr>
            <w:tcW w:w="241" w:type="pct"/>
            <w:vMerge w:val="continue"/>
            <w:noWrap w:val="0"/>
            <w:vAlign w:val="center"/>
          </w:tcPr>
          <w:p w14:paraId="0F39C6C2">
            <w:pPr>
              <w:spacing w:line="300" w:lineRule="auto"/>
              <w:jc w:val="center"/>
            </w:pPr>
          </w:p>
        </w:tc>
        <w:tc>
          <w:tcPr>
            <w:tcW w:w="720" w:type="pct"/>
            <w:noWrap w:val="0"/>
            <w:vAlign w:val="center"/>
          </w:tcPr>
          <w:p w14:paraId="75622A48">
            <w:pPr>
              <w:snapToGrid w:val="0"/>
              <w:jc w:val="center"/>
              <w:rPr>
                <w:szCs w:val="21"/>
              </w:rPr>
            </w:pPr>
            <w:r>
              <w:rPr>
                <w:rFonts w:hint="eastAsia"/>
                <w:szCs w:val="21"/>
              </w:rPr>
              <w:t>新哨村</w:t>
            </w:r>
          </w:p>
        </w:tc>
        <w:tc>
          <w:tcPr>
            <w:tcW w:w="839" w:type="pct"/>
            <w:noWrap w:val="0"/>
            <w:vAlign w:val="center"/>
          </w:tcPr>
          <w:p w14:paraId="09CB729E">
            <w:pPr>
              <w:spacing w:line="300" w:lineRule="auto"/>
              <w:jc w:val="center"/>
            </w:pPr>
            <w:r>
              <w:t>103°37′50.03″</w:t>
            </w:r>
          </w:p>
        </w:tc>
        <w:tc>
          <w:tcPr>
            <w:tcW w:w="750" w:type="pct"/>
            <w:noWrap w:val="0"/>
            <w:vAlign w:val="center"/>
          </w:tcPr>
          <w:p w14:paraId="76E104CD">
            <w:pPr>
              <w:spacing w:line="300" w:lineRule="auto"/>
              <w:jc w:val="center"/>
            </w:pPr>
            <w:r>
              <w:t>24°37′23.81″</w:t>
            </w:r>
          </w:p>
        </w:tc>
        <w:tc>
          <w:tcPr>
            <w:tcW w:w="310" w:type="pct"/>
            <w:noWrap w:val="0"/>
            <w:vAlign w:val="center"/>
          </w:tcPr>
          <w:p w14:paraId="2A15F7F7">
            <w:pPr>
              <w:snapToGrid w:val="0"/>
              <w:jc w:val="center"/>
              <w:rPr>
                <w:szCs w:val="21"/>
              </w:rPr>
            </w:pPr>
            <w:r>
              <w:rPr>
                <w:rFonts w:hint="eastAsia"/>
                <w:szCs w:val="21"/>
              </w:rPr>
              <w:t>东北</w:t>
            </w:r>
          </w:p>
        </w:tc>
        <w:tc>
          <w:tcPr>
            <w:tcW w:w="516" w:type="pct"/>
            <w:noWrap w:val="0"/>
            <w:vAlign w:val="center"/>
          </w:tcPr>
          <w:p w14:paraId="50AF7804">
            <w:pPr>
              <w:snapToGrid w:val="0"/>
              <w:jc w:val="center"/>
              <w:rPr>
                <w:szCs w:val="21"/>
              </w:rPr>
            </w:pPr>
            <w:r>
              <w:rPr>
                <w:rFonts w:hint="eastAsia"/>
                <w:szCs w:val="21"/>
              </w:rPr>
              <w:t>215人</w:t>
            </w:r>
          </w:p>
        </w:tc>
        <w:tc>
          <w:tcPr>
            <w:tcW w:w="421" w:type="pct"/>
            <w:tcBorders>
              <w:right w:val="single" w:color="auto" w:sz="4" w:space="0"/>
            </w:tcBorders>
            <w:noWrap w:val="0"/>
            <w:vAlign w:val="center"/>
          </w:tcPr>
          <w:p w14:paraId="7DBEAD8F">
            <w:pPr>
              <w:spacing w:line="300" w:lineRule="auto"/>
              <w:jc w:val="center"/>
              <w:rPr>
                <w:szCs w:val="21"/>
              </w:rPr>
            </w:pPr>
            <w:r>
              <w:rPr>
                <w:rFonts w:hint="eastAsia"/>
                <w:szCs w:val="21"/>
              </w:rPr>
              <w:t>3717</w:t>
            </w:r>
          </w:p>
        </w:tc>
        <w:tc>
          <w:tcPr>
            <w:tcW w:w="1183" w:type="pct"/>
            <w:vMerge w:val="continue"/>
            <w:tcBorders>
              <w:left w:val="single" w:color="auto" w:sz="4" w:space="0"/>
              <w:right w:val="single" w:color="auto" w:sz="4" w:space="0"/>
            </w:tcBorders>
            <w:noWrap w:val="0"/>
            <w:vAlign w:val="center"/>
          </w:tcPr>
          <w:p w14:paraId="5FD215E4">
            <w:pPr>
              <w:spacing w:line="300" w:lineRule="auto"/>
              <w:jc w:val="center"/>
              <w:rPr>
                <w:szCs w:val="21"/>
              </w:rPr>
            </w:pPr>
          </w:p>
        </w:tc>
      </w:tr>
      <w:tr w14:paraId="7280C3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33267F0A">
            <w:pPr>
              <w:spacing w:line="300" w:lineRule="auto"/>
              <w:jc w:val="center"/>
            </w:pPr>
          </w:p>
        </w:tc>
        <w:tc>
          <w:tcPr>
            <w:tcW w:w="720" w:type="pct"/>
            <w:noWrap w:val="0"/>
            <w:vAlign w:val="center"/>
          </w:tcPr>
          <w:p w14:paraId="404142A2">
            <w:pPr>
              <w:snapToGrid w:val="0"/>
              <w:jc w:val="center"/>
              <w:rPr>
                <w:szCs w:val="21"/>
              </w:rPr>
            </w:pPr>
            <w:r>
              <w:rPr>
                <w:szCs w:val="21"/>
              </w:rPr>
              <w:t>海纳村</w:t>
            </w:r>
          </w:p>
        </w:tc>
        <w:tc>
          <w:tcPr>
            <w:tcW w:w="839" w:type="pct"/>
            <w:noWrap w:val="0"/>
            <w:vAlign w:val="center"/>
          </w:tcPr>
          <w:p w14:paraId="16323D75">
            <w:pPr>
              <w:spacing w:line="300" w:lineRule="auto"/>
              <w:jc w:val="center"/>
            </w:pPr>
            <w:r>
              <w:t>103°37′0.60″</w:t>
            </w:r>
          </w:p>
        </w:tc>
        <w:tc>
          <w:tcPr>
            <w:tcW w:w="750" w:type="pct"/>
            <w:noWrap w:val="0"/>
            <w:vAlign w:val="center"/>
          </w:tcPr>
          <w:p w14:paraId="4F0FA1F4">
            <w:pPr>
              <w:spacing w:line="300" w:lineRule="auto"/>
              <w:jc w:val="center"/>
            </w:pPr>
            <w:r>
              <w:t>24°36′27.80″</w:t>
            </w:r>
          </w:p>
        </w:tc>
        <w:tc>
          <w:tcPr>
            <w:tcW w:w="310" w:type="pct"/>
            <w:noWrap w:val="0"/>
            <w:vAlign w:val="center"/>
          </w:tcPr>
          <w:p w14:paraId="246714F3">
            <w:pPr>
              <w:snapToGrid w:val="0"/>
              <w:jc w:val="center"/>
              <w:rPr>
                <w:szCs w:val="21"/>
              </w:rPr>
            </w:pPr>
            <w:r>
              <w:rPr>
                <w:szCs w:val="21"/>
              </w:rPr>
              <w:t>东侧</w:t>
            </w:r>
          </w:p>
        </w:tc>
        <w:tc>
          <w:tcPr>
            <w:tcW w:w="516" w:type="pct"/>
            <w:noWrap w:val="0"/>
            <w:vAlign w:val="center"/>
          </w:tcPr>
          <w:p w14:paraId="36E80B1F">
            <w:pPr>
              <w:snapToGrid w:val="0"/>
              <w:jc w:val="center"/>
              <w:rPr>
                <w:szCs w:val="21"/>
              </w:rPr>
            </w:pPr>
            <w:r>
              <w:rPr>
                <w:szCs w:val="21"/>
              </w:rPr>
              <w:t>490人</w:t>
            </w:r>
          </w:p>
        </w:tc>
        <w:tc>
          <w:tcPr>
            <w:tcW w:w="421" w:type="pct"/>
            <w:tcBorders>
              <w:right w:val="single" w:color="auto" w:sz="4" w:space="0"/>
            </w:tcBorders>
            <w:noWrap w:val="0"/>
            <w:vAlign w:val="center"/>
          </w:tcPr>
          <w:p w14:paraId="4A3069C4">
            <w:pPr>
              <w:spacing w:line="300" w:lineRule="auto"/>
              <w:jc w:val="center"/>
              <w:rPr>
                <w:szCs w:val="21"/>
              </w:rPr>
            </w:pPr>
            <w:r>
              <w:rPr>
                <w:szCs w:val="21"/>
              </w:rPr>
              <w:t>650</w:t>
            </w:r>
          </w:p>
        </w:tc>
        <w:tc>
          <w:tcPr>
            <w:tcW w:w="1183" w:type="pct"/>
            <w:vMerge w:val="continue"/>
            <w:tcBorders>
              <w:left w:val="single" w:color="auto" w:sz="4" w:space="0"/>
              <w:right w:val="single" w:color="auto" w:sz="4" w:space="0"/>
            </w:tcBorders>
            <w:noWrap w:val="0"/>
            <w:vAlign w:val="center"/>
          </w:tcPr>
          <w:p w14:paraId="214F037A">
            <w:pPr>
              <w:spacing w:line="300" w:lineRule="auto"/>
              <w:jc w:val="center"/>
              <w:rPr>
                <w:szCs w:val="21"/>
              </w:rPr>
            </w:pPr>
          </w:p>
        </w:tc>
      </w:tr>
      <w:tr w14:paraId="28DC9A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203E8009">
            <w:pPr>
              <w:spacing w:line="300" w:lineRule="auto"/>
              <w:jc w:val="center"/>
            </w:pPr>
          </w:p>
        </w:tc>
        <w:tc>
          <w:tcPr>
            <w:tcW w:w="720" w:type="pct"/>
            <w:noWrap w:val="0"/>
            <w:vAlign w:val="center"/>
          </w:tcPr>
          <w:p w14:paraId="13A11525">
            <w:pPr>
              <w:spacing w:line="300" w:lineRule="auto"/>
              <w:jc w:val="center"/>
              <w:rPr>
                <w:szCs w:val="21"/>
              </w:rPr>
            </w:pPr>
            <w:r>
              <w:rPr>
                <w:szCs w:val="21"/>
              </w:rPr>
              <w:t>芋头得</w:t>
            </w:r>
          </w:p>
        </w:tc>
        <w:tc>
          <w:tcPr>
            <w:tcW w:w="839" w:type="pct"/>
            <w:noWrap w:val="0"/>
            <w:vAlign w:val="center"/>
          </w:tcPr>
          <w:p w14:paraId="00781046">
            <w:pPr>
              <w:spacing w:line="300" w:lineRule="auto"/>
              <w:jc w:val="center"/>
              <w:rPr>
                <w:szCs w:val="21"/>
              </w:rPr>
            </w:pPr>
            <w:r>
              <w:rPr>
                <w:szCs w:val="21"/>
              </w:rPr>
              <w:t>103°36′1.27″</w:t>
            </w:r>
          </w:p>
        </w:tc>
        <w:tc>
          <w:tcPr>
            <w:tcW w:w="750" w:type="pct"/>
            <w:noWrap w:val="0"/>
            <w:vAlign w:val="center"/>
          </w:tcPr>
          <w:p w14:paraId="6427BACD">
            <w:pPr>
              <w:spacing w:line="300" w:lineRule="auto"/>
              <w:jc w:val="center"/>
              <w:rPr>
                <w:szCs w:val="21"/>
              </w:rPr>
            </w:pPr>
            <w:r>
              <w:rPr>
                <w:szCs w:val="21"/>
              </w:rPr>
              <w:t>24°35′54.31″</w:t>
            </w:r>
          </w:p>
        </w:tc>
        <w:tc>
          <w:tcPr>
            <w:tcW w:w="310" w:type="pct"/>
            <w:noWrap w:val="0"/>
            <w:vAlign w:val="center"/>
          </w:tcPr>
          <w:p w14:paraId="01558CD2">
            <w:pPr>
              <w:spacing w:line="300" w:lineRule="auto"/>
              <w:jc w:val="center"/>
              <w:rPr>
                <w:szCs w:val="21"/>
              </w:rPr>
            </w:pPr>
            <w:r>
              <w:rPr>
                <w:szCs w:val="21"/>
              </w:rPr>
              <w:t>南侧</w:t>
            </w:r>
          </w:p>
        </w:tc>
        <w:tc>
          <w:tcPr>
            <w:tcW w:w="516" w:type="pct"/>
            <w:noWrap w:val="0"/>
            <w:vAlign w:val="center"/>
          </w:tcPr>
          <w:p w14:paraId="5F06064B">
            <w:pPr>
              <w:spacing w:line="300" w:lineRule="auto"/>
              <w:jc w:val="center"/>
              <w:rPr>
                <w:szCs w:val="21"/>
              </w:rPr>
            </w:pPr>
            <w:r>
              <w:rPr>
                <w:szCs w:val="21"/>
              </w:rPr>
              <w:t>400人</w:t>
            </w:r>
          </w:p>
        </w:tc>
        <w:tc>
          <w:tcPr>
            <w:tcW w:w="421" w:type="pct"/>
            <w:tcBorders>
              <w:right w:val="single" w:color="auto" w:sz="4" w:space="0"/>
            </w:tcBorders>
            <w:noWrap w:val="0"/>
            <w:vAlign w:val="center"/>
          </w:tcPr>
          <w:p w14:paraId="0DF27E21">
            <w:pPr>
              <w:spacing w:line="300" w:lineRule="auto"/>
              <w:jc w:val="center"/>
              <w:rPr>
                <w:szCs w:val="21"/>
              </w:rPr>
            </w:pPr>
            <w:r>
              <w:rPr>
                <w:szCs w:val="21"/>
              </w:rPr>
              <w:t>450</w:t>
            </w:r>
          </w:p>
        </w:tc>
        <w:tc>
          <w:tcPr>
            <w:tcW w:w="1183" w:type="pct"/>
            <w:vMerge w:val="continue"/>
            <w:tcBorders>
              <w:left w:val="single" w:color="auto" w:sz="4" w:space="0"/>
              <w:right w:val="single" w:color="auto" w:sz="4" w:space="0"/>
            </w:tcBorders>
            <w:noWrap w:val="0"/>
            <w:vAlign w:val="center"/>
          </w:tcPr>
          <w:p w14:paraId="149E72DD">
            <w:pPr>
              <w:spacing w:line="300" w:lineRule="auto"/>
              <w:jc w:val="center"/>
              <w:rPr>
                <w:szCs w:val="21"/>
              </w:rPr>
            </w:pPr>
          </w:p>
        </w:tc>
      </w:tr>
      <w:tr w14:paraId="4BE8A7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1B43748A">
            <w:pPr>
              <w:spacing w:line="300" w:lineRule="auto"/>
              <w:jc w:val="center"/>
              <w:rPr>
                <w:szCs w:val="21"/>
              </w:rPr>
            </w:pPr>
          </w:p>
        </w:tc>
        <w:tc>
          <w:tcPr>
            <w:tcW w:w="720" w:type="pct"/>
            <w:noWrap w:val="0"/>
            <w:vAlign w:val="center"/>
          </w:tcPr>
          <w:p w14:paraId="087CCD3E">
            <w:pPr>
              <w:spacing w:line="300" w:lineRule="auto"/>
              <w:jc w:val="center"/>
              <w:rPr>
                <w:szCs w:val="21"/>
              </w:rPr>
            </w:pPr>
            <w:r>
              <w:rPr>
                <w:szCs w:val="21"/>
              </w:rPr>
              <w:t>自足</w:t>
            </w:r>
          </w:p>
        </w:tc>
        <w:tc>
          <w:tcPr>
            <w:tcW w:w="839" w:type="pct"/>
            <w:noWrap w:val="0"/>
            <w:vAlign w:val="center"/>
          </w:tcPr>
          <w:p w14:paraId="45739493">
            <w:pPr>
              <w:spacing w:line="300" w:lineRule="auto"/>
              <w:jc w:val="center"/>
              <w:rPr>
                <w:szCs w:val="21"/>
              </w:rPr>
            </w:pPr>
            <w:r>
              <w:rPr>
                <w:szCs w:val="21"/>
              </w:rPr>
              <w:t>103°37′14.37″</w:t>
            </w:r>
          </w:p>
        </w:tc>
        <w:tc>
          <w:tcPr>
            <w:tcW w:w="750" w:type="pct"/>
            <w:noWrap w:val="0"/>
            <w:vAlign w:val="center"/>
          </w:tcPr>
          <w:p w14:paraId="159A348F">
            <w:pPr>
              <w:spacing w:line="300" w:lineRule="auto"/>
              <w:jc w:val="center"/>
              <w:rPr>
                <w:szCs w:val="21"/>
              </w:rPr>
            </w:pPr>
            <w:r>
              <w:rPr>
                <w:szCs w:val="21"/>
              </w:rPr>
              <w:t>24°35′34.64″</w:t>
            </w:r>
          </w:p>
        </w:tc>
        <w:tc>
          <w:tcPr>
            <w:tcW w:w="310" w:type="pct"/>
            <w:noWrap w:val="0"/>
            <w:vAlign w:val="center"/>
          </w:tcPr>
          <w:p w14:paraId="75770489">
            <w:pPr>
              <w:spacing w:line="300" w:lineRule="auto"/>
              <w:jc w:val="center"/>
              <w:rPr>
                <w:szCs w:val="21"/>
              </w:rPr>
            </w:pPr>
            <w:r>
              <w:rPr>
                <w:szCs w:val="21"/>
              </w:rPr>
              <w:t>东南</w:t>
            </w:r>
          </w:p>
        </w:tc>
        <w:tc>
          <w:tcPr>
            <w:tcW w:w="516" w:type="pct"/>
            <w:noWrap w:val="0"/>
            <w:vAlign w:val="center"/>
          </w:tcPr>
          <w:p w14:paraId="76BD6A3E">
            <w:pPr>
              <w:spacing w:line="300" w:lineRule="auto"/>
              <w:jc w:val="center"/>
              <w:rPr>
                <w:szCs w:val="21"/>
              </w:rPr>
            </w:pPr>
            <w:r>
              <w:rPr>
                <w:szCs w:val="21"/>
              </w:rPr>
              <w:t>180人</w:t>
            </w:r>
          </w:p>
        </w:tc>
        <w:tc>
          <w:tcPr>
            <w:tcW w:w="421" w:type="pct"/>
            <w:tcBorders>
              <w:right w:val="single" w:color="auto" w:sz="4" w:space="0"/>
            </w:tcBorders>
            <w:noWrap w:val="0"/>
            <w:vAlign w:val="center"/>
          </w:tcPr>
          <w:p w14:paraId="5A927810">
            <w:pPr>
              <w:spacing w:line="300" w:lineRule="auto"/>
              <w:jc w:val="center"/>
              <w:rPr>
                <w:szCs w:val="21"/>
              </w:rPr>
            </w:pPr>
            <w:r>
              <w:rPr>
                <w:szCs w:val="21"/>
              </w:rPr>
              <w:t>1760</w:t>
            </w:r>
          </w:p>
        </w:tc>
        <w:tc>
          <w:tcPr>
            <w:tcW w:w="1183" w:type="pct"/>
            <w:vMerge w:val="continue"/>
            <w:tcBorders>
              <w:left w:val="single" w:color="auto" w:sz="4" w:space="0"/>
              <w:right w:val="single" w:color="auto" w:sz="4" w:space="0"/>
            </w:tcBorders>
            <w:noWrap w:val="0"/>
            <w:vAlign w:val="center"/>
          </w:tcPr>
          <w:p w14:paraId="63A67DDD">
            <w:pPr>
              <w:spacing w:line="300" w:lineRule="auto"/>
              <w:jc w:val="center"/>
              <w:rPr>
                <w:szCs w:val="21"/>
              </w:rPr>
            </w:pPr>
          </w:p>
        </w:tc>
      </w:tr>
      <w:tr w14:paraId="147A23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7DC8BE75">
            <w:pPr>
              <w:spacing w:line="300" w:lineRule="auto"/>
              <w:jc w:val="center"/>
              <w:rPr>
                <w:szCs w:val="21"/>
              </w:rPr>
            </w:pPr>
          </w:p>
        </w:tc>
        <w:tc>
          <w:tcPr>
            <w:tcW w:w="720" w:type="pct"/>
            <w:noWrap w:val="0"/>
            <w:vAlign w:val="center"/>
          </w:tcPr>
          <w:p w14:paraId="792228B3">
            <w:pPr>
              <w:spacing w:line="300" w:lineRule="auto"/>
              <w:jc w:val="center"/>
              <w:rPr>
                <w:szCs w:val="21"/>
              </w:rPr>
            </w:pPr>
            <w:r>
              <w:rPr>
                <w:szCs w:val="21"/>
              </w:rPr>
              <w:t>泉上</w:t>
            </w:r>
          </w:p>
        </w:tc>
        <w:tc>
          <w:tcPr>
            <w:tcW w:w="839" w:type="pct"/>
            <w:noWrap w:val="0"/>
            <w:vAlign w:val="center"/>
          </w:tcPr>
          <w:p w14:paraId="6CD5F242">
            <w:pPr>
              <w:spacing w:line="300" w:lineRule="auto"/>
              <w:jc w:val="center"/>
              <w:rPr>
                <w:szCs w:val="21"/>
              </w:rPr>
            </w:pPr>
            <w:r>
              <w:rPr>
                <w:szCs w:val="21"/>
              </w:rPr>
              <w:t>103°37′14.98″</w:t>
            </w:r>
          </w:p>
        </w:tc>
        <w:tc>
          <w:tcPr>
            <w:tcW w:w="750" w:type="pct"/>
            <w:noWrap w:val="0"/>
            <w:vAlign w:val="center"/>
          </w:tcPr>
          <w:p w14:paraId="6F18F7B9">
            <w:pPr>
              <w:spacing w:line="300" w:lineRule="auto"/>
              <w:jc w:val="center"/>
              <w:rPr>
                <w:szCs w:val="21"/>
              </w:rPr>
            </w:pPr>
            <w:r>
              <w:rPr>
                <w:szCs w:val="21"/>
              </w:rPr>
              <w:t>24°34′53.76″</w:t>
            </w:r>
          </w:p>
        </w:tc>
        <w:tc>
          <w:tcPr>
            <w:tcW w:w="310" w:type="pct"/>
            <w:noWrap w:val="0"/>
            <w:vAlign w:val="center"/>
          </w:tcPr>
          <w:p w14:paraId="71D35588">
            <w:pPr>
              <w:spacing w:line="300" w:lineRule="auto"/>
              <w:jc w:val="center"/>
              <w:rPr>
                <w:szCs w:val="21"/>
              </w:rPr>
            </w:pPr>
            <w:r>
              <w:rPr>
                <w:szCs w:val="21"/>
              </w:rPr>
              <w:t>东</w:t>
            </w:r>
          </w:p>
        </w:tc>
        <w:tc>
          <w:tcPr>
            <w:tcW w:w="516" w:type="pct"/>
            <w:noWrap w:val="0"/>
            <w:vAlign w:val="center"/>
          </w:tcPr>
          <w:p w14:paraId="2D8D46A6">
            <w:pPr>
              <w:spacing w:line="300" w:lineRule="auto"/>
              <w:jc w:val="center"/>
              <w:rPr>
                <w:szCs w:val="21"/>
              </w:rPr>
            </w:pPr>
            <w:r>
              <w:rPr>
                <w:szCs w:val="21"/>
              </w:rPr>
              <w:t>120人</w:t>
            </w:r>
          </w:p>
        </w:tc>
        <w:tc>
          <w:tcPr>
            <w:tcW w:w="421" w:type="pct"/>
            <w:tcBorders>
              <w:right w:val="single" w:color="auto" w:sz="4" w:space="0"/>
            </w:tcBorders>
            <w:noWrap w:val="0"/>
            <w:vAlign w:val="center"/>
          </w:tcPr>
          <w:p w14:paraId="55CE887E">
            <w:pPr>
              <w:spacing w:line="300" w:lineRule="auto"/>
              <w:jc w:val="center"/>
              <w:rPr>
                <w:szCs w:val="21"/>
              </w:rPr>
            </w:pPr>
            <w:r>
              <w:rPr>
                <w:szCs w:val="21"/>
              </w:rPr>
              <w:t>2880</w:t>
            </w:r>
          </w:p>
        </w:tc>
        <w:tc>
          <w:tcPr>
            <w:tcW w:w="1183" w:type="pct"/>
            <w:vMerge w:val="continue"/>
            <w:tcBorders>
              <w:left w:val="single" w:color="auto" w:sz="4" w:space="0"/>
              <w:right w:val="single" w:color="auto" w:sz="4" w:space="0"/>
            </w:tcBorders>
            <w:noWrap w:val="0"/>
            <w:vAlign w:val="center"/>
          </w:tcPr>
          <w:p w14:paraId="455A8269">
            <w:pPr>
              <w:spacing w:line="300" w:lineRule="auto"/>
              <w:jc w:val="center"/>
              <w:rPr>
                <w:szCs w:val="21"/>
              </w:rPr>
            </w:pPr>
          </w:p>
        </w:tc>
      </w:tr>
      <w:tr w14:paraId="61FB49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6FCCDC54">
            <w:pPr>
              <w:spacing w:line="300" w:lineRule="auto"/>
              <w:jc w:val="center"/>
              <w:rPr>
                <w:szCs w:val="21"/>
              </w:rPr>
            </w:pPr>
          </w:p>
        </w:tc>
        <w:tc>
          <w:tcPr>
            <w:tcW w:w="720" w:type="pct"/>
            <w:noWrap w:val="0"/>
            <w:vAlign w:val="center"/>
          </w:tcPr>
          <w:p w14:paraId="56B58847">
            <w:pPr>
              <w:spacing w:line="300" w:lineRule="auto"/>
              <w:jc w:val="center"/>
              <w:rPr>
                <w:szCs w:val="21"/>
              </w:rPr>
            </w:pPr>
            <w:r>
              <w:rPr>
                <w:szCs w:val="21"/>
              </w:rPr>
              <w:t>躲牛山</w:t>
            </w:r>
          </w:p>
        </w:tc>
        <w:tc>
          <w:tcPr>
            <w:tcW w:w="839" w:type="pct"/>
            <w:noWrap w:val="0"/>
            <w:vAlign w:val="center"/>
          </w:tcPr>
          <w:p w14:paraId="491B4652">
            <w:pPr>
              <w:spacing w:line="300" w:lineRule="auto"/>
              <w:jc w:val="center"/>
              <w:rPr>
                <w:szCs w:val="21"/>
              </w:rPr>
            </w:pPr>
            <w:r>
              <w:rPr>
                <w:szCs w:val="21"/>
              </w:rPr>
              <w:t>103°37′29.91″</w:t>
            </w:r>
          </w:p>
        </w:tc>
        <w:tc>
          <w:tcPr>
            <w:tcW w:w="750" w:type="pct"/>
            <w:noWrap w:val="0"/>
            <w:vAlign w:val="center"/>
          </w:tcPr>
          <w:p w14:paraId="736ADFC3">
            <w:pPr>
              <w:spacing w:line="300" w:lineRule="auto"/>
              <w:jc w:val="center"/>
              <w:rPr>
                <w:szCs w:val="21"/>
              </w:rPr>
            </w:pPr>
            <w:r>
              <w:rPr>
                <w:szCs w:val="21"/>
              </w:rPr>
              <w:t>24°35′0.52″</w:t>
            </w:r>
          </w:p>
        </w:tc>
        <w:tc>
          <w:tcPr>
            <w:tcW w:w="310" w:type="pct"/>
            <w:noWrap w:val="0"/>
            <w:vAlign w:val="center"/>
          </w:tcPr>
          <w:p w14:paraId="2C80DA91">
            <w:pPr>
              <w:spacing w:line="300" w:lineRule="auto"/>
              <w:jc w:val="center"/>
              <w:rPr>
                <w:szCs w:val="21"/>
              </w:rPr>
            </w:pPr>
            <w:r>
              <w:rPr>
                <w:szCs w:val="21"/>
              </w:rPr>
              <w:t>东</w:t>
            </w:r>
          </w:p>
        </w:tc>
        <w:tc>
          <w:tcPr>
            <w:tcW w:w="516" w:type="pct"/>
            <w:noWrap w:val="0"/>
            <w:vAlign w:val="center"/>
          </w:tcPr>
          <w:p w14:paraId="56ED08AC">
            <w:pPr>
              <w:spacing w:line="300" w:lineRule="auto"/>
              <w:jc w:val="center"/>
              <w:rPr>
                <w:szCs w:val="21"/>
              </w:rPr>
            </w:pPr>
            <w:r>
              <w:rPr>
                <w:szCs w:val="21"/>
              </w:rPr>
              <w:t>210人</w:t>
            </w:r>
          </w:p>
        </w:tc>
        <w:tc>
          <w:tcPr>
            <w:tcW w:w="421" w:type="pct"/>
            <w:tcBorders>
              <w:right w:val="single" w:color="auto" w:sz="4" w:space="0"/>
            </w:tcBorders>
            <w:noWrap w:val="0"/>
            <w:vAlign w:val="center"/>
          </w:tcPr>
          <w:p w14:paraId="75B2C7F7">
            <w:pPr>
              <w:spacing w:line="300" w:lineRule="auto"/>
              <w:jc w:val="center"/>
              <w:rPr>
                <w:szCs w:val="21"/>
              </w:rPr>
            </w:pPr>
            <w:r>
              <w:rPr>
                <w:szCs w:val="21"/>
              </w:rPr>
              <w:t>2980</w:t>
            </w:r>
          </w:p>
        </w:tc>
        <w:tc>
          <w:tcPr>
            <w:tcW w:w="1183" w:type="pct"/>
            <w:vMerge w:val="continue"/>
            <w:tcBorders>
              <w:left w:val="single" w:color="auto" w:sz="4" w:space="0"/>
              <w:right w:val="single" w:color="auto" w:sz="4" w:space="0"/>
            </w:tcBorders>
            <w:noWrap w:val="0"/>
            <w:vAlign w:val="center"/>
          </w:tcPr>
          <w:p w14:paraId="235B0E6C">
            <w:pPr>
              <w:spacing w:line="300" w:lineRule="auto"/>
              <w:jc w:val="center"/>
              <w:rPr>
                <w:szCs w:val="21"/>
              </w:rPr>
            </w:pPr>
          </w:p>
        </w:tc>
      </w:tr>
      <w:tr w14:paraId="0FB2DB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2FC3B16E">
            <w:pPr>
              <w:spacing w:line="300" w:lineRule="auto"/>
              <w:jc w:val="center"/>
              <w:rPr>
                <w:szCs w:val="21"/>
              </w:rPr>
            </w:pPr>
          </w:p>
        </w:tc>
        <w:tc>
          <w:tcPr>
            <w:tcW w:w="720" w:type="pct"/>
            <w:noWrap w:val="0"/>
            <w:vAlign w:val="center"/>
          </w:tcPr>
          <w:p w14:paraId="1F16A7ED">
            <w:pPr>
              <w:spacing w:line="300" w:lineRule="auto"/>
              <w:jc w:val="center"/>
              <w:rPr>
                <w:szCs w:val="21"/>
              </w:rPr>
            </w:pPr>
            <w:r>
              <w:rPr>
                <w:szCs w:val="21"/>
              </w:rPr>
              <w:t>龙潭</w:t>
            </w:r>
          </w:p>
        </w:tc>
        <w:tc>
          <w:tcPr>
            <w:tcW w:w="839" w:type="pct"/>
            <w:noWrap w:val="0"/>
            <w:vAlign w:val="center"/>
          </w:tcPr>
          <w:p w14:paraId="65534F5D">
            <w:pPr>
              <w:spacing w:line="300" w:lineRule="auto"/>
              <w:jc w:val="center"/>
              <w:rPr>
                <w:szCs w:val="21"/>
              </w:rPr>
            </w:pPr>
            <w:r>
              <w:rPr>
                <w:szCs w:val="21"/>
              </w:rPr>
              <w:t>103°36′16.61″</w:t>
            </w:r>
          </w:p>
        </w:tc>
        <w:tc>
          <w:tcPr>
            <w:tcW w:w="750" w:type="pct"/>
            <w:noWrap w:val="0"/>
            <w:vAlign w:val="center"/>
          </w:tcPr>
          <w:p w14:paraId="29A1EC75">
            <w:pPr>
              <w:spacing w:line="300" w:lineRule="auto"/>
              <w:jc w:val="center"/>
              <w:rPr>
                <w:szCs w:val="21"/>
              </w:rPr>
            </w:pPr>
            <w:r>
              <w:rPr>
                <w:szCs w:val="21"/>
              </w:rPr>
              <w:t>24°34′56.12″</w:t>
            </w:r>
          </w:p>
        </w:tc>
        <w:tc>
          <w:tcPr>
            <w:tcW w:w="310" w:type="pct"/>
            <w:noWrap w:val="0"/>
            <w:vAlign w:val="center"/>
          </w:tcPr>
          <w:p w14:paraId="18BDE5BE">
            <w:pPr>
              <w:spacing w:line="300" w:lineRule="auto"/>
              <w:jc w:val="center"/>
              <w:rPr>
                <w:szCs w:val="21"/>
              </w:rPr>
            </w:pPr>
            <w:r>
              <w:rPr>
                <w:szCs w:val="21"/>
              </w:rPr>
              <w:t>东</w:t>
            </w:r>
          </w:p>
        </w:tc>
        <w:tc>
          <w:tcPr>
            <w:tcW w:w="516" w:type="pct"/>
            <w:noWrap w:val="0"/>
            <w:vAlign w:val="center"/>
          </w:tcPr>
          <w:p w14:paraId="40465F96">
            <w:pPr>
              <w:spacing w:line="300" w:lineRule="auto"/>
              <w:jc w:val="center"/>
              <w:rPr>
                <w:szCs w:val="21"/>
              </w:rPr>
            </w:pPr>
            <w:r>
              <w:rPr>
                <w:szCs w:val="21"/>
              </w:rPr>
              <w:t>80人</w:t>
            </w:r>
          </w:p>
        </w:tc>
        <w:tc>
          <w:tcPr>
            <w:tcW w:w="421" w:type="pct"/>
            <w:tcBorders>
              <w:right w:val="single" w:color="auto" w:sz="4" w:space="0"/>
            </w:tcBorders>
            <w:noWrap w:val="0"/>
            <w:vAlign w:val="center"/>
          </w:tcPr>
          <w:p w14:paraId="6773ED27">
            <w:pPr>
              <w:spacing w:line="300" w:lineRule="auto"/>
              <w:jc w:val="center"/>
              <w:rPr>
                <w:szCs w:val="21"/>
              </w:rPr>
            </w:pPr>
            <w:r>
              <w:rPr>
                <w:szCs w:val="21"/>
              </w:rPr>
              <w:t>1785</w:t>
            </w:r>
          </w:p>
        </w:tc>
        <w:tc>
          <w:tcPr>
            <w:tcW w:w="1183" w:type="pct"/>
            <w:vMerge w:val="continue"/>
            <w:tcBorders>
              <w:left w:val="single" w:color="auto" w:sz="4" w:space="0"/>
              <w:right w:val="single" w:color="auto" w:sz="4" w:space="0"/>
            </w:tcBorders>
            <w:noWrap w:val="0"/>
            <w:vAlign w:val="center"/>
          </w:tcPr>
          <w:p w14:paraId="57B1585C">
            <w:pPr>
              <w:spacing w:line="300" w:lineRule="auto"/>
              <w:jc w:val="center"/>
              <w:rPr>
                <w:szCs w:val="21"/>
              </w:rPr>
            </w:pPr>
          </w:p>
        </w:tc>
      </w:tr>
      <w:tr w14:paraId="0884C7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6EC563C5">
            <w:pPr>
              <w:spacing w:line="300" w:lineRule="auto"/>
              <w:jc w:val="center"/>
              <w:rPr>
                <w:szCs w:val="21"/>
              </w:rPr>
            </w:pPr>
          </w:p>
        </w:tc>
        <w:tc>
          <w:tcPr>
            <w:tcW w:w="720" w:type="pct"/>
            <w:noWrap w:val="0"/>
            <w:vAlign w:val="center"/>
          </w:tcPr>
          <w:p w14:paraId="752656AE">
            <w:pPr>
              <w:spacing w:line="300" w:lineRule="auto"/>
              <w:jc w:val="center"/>
              <w:rPr>
                <w:szCs w:val="21"/>
              </w:rPr>
            </w:pPr>
            <w:r>
              <w:rPr>
                <w:szCs w:val="21"/>
              </w:rPr>
              <w:t>茂山上寨</w:t>
            </w:r>
          </w:p>
        </w:tc>
        <w:tc>
          <w:tcPr>
            <w:tcW w:w="839" w:type="pct"/>
            <w:noWrap w:val="0"/>
            <w:vAlign w:val="center"/>
          </w:tcPr>
          <w:p w14:paraId="3086C886">
            <w:pPr>
              <w:spacing w:line="300" w:lineRule="auto"/>
              <w:jc w:val="center"/>
              <w:rPr>
                <w:szCs w:val="21"/>
              </w:rPr>
            </w:pPr>
            <w:r>
              <w:rPr>
                <w:szCs w:val="21"/>
              </w:rPr>
              <w:t>103°35′30.40″</w:t>
            </w:r>
          </w:p>
        </w:tc>
        <w:tc>
          <w:tcPr>
            <w:tcW w:w="750" w:type="pct"/>
            <w:noWrap w:val="0"/>
            <w:vAlign w:val="center"/>
          </w:tcPr>
          <w:p w14:paraId="71FB4A5B">
            <w:pPr>
              <w:spacing w:line="300" w:lineRule="auto"/>
              <w:jc w:val="center"/>
              <w:rPr>
                <w:szCs w:val="21"/>
              </w:rPr>
            </w:pPr>
            <w:r>
              <w:rPr>
                <w:szCs w:val="21"/>
              </w:rPr>
              <w:t>24°34′45.52″</w:t>
            </w:r>
          </w:p>
        </w:tc>
        <w:tc>
          <w:tcPr>
            <w:tcW w:w="310" w:type="pct"/>
            <w:noWrap w:val="0"/>
            <w:vAlign w:val="center"/>
          </w:tcPr>
          <w:p w14:paraId="12AE0679">
            <w:pPr>
              <w:spacing w:line="300" w:lineRule="auto"/>
              <w:jc w:val="center"/>
              <w:rPr>
                <w:szCs w:val="21"/>
              </w:rPr>
            </w:pPr>
            <w:r>
              <w:rPr>
                <w:szCs w:val="21"/>
              </w:rPr>
              <w:t>东南</w:t>
            </w:r>
          </w:p>
        </w:tc>
        <w:tc>
          <w:tcPr>
            <w:tcW w:w="516" w:type="pct"/>
            <w:noWrap w:val="0"/>
            <w:vAlign w:val="center"/>
          </w:tcPr>
          <w:p w14:paraId="06FC96E7">
            <w:pPr>
              <w:spacing w:line="300" w:lineRule="auto"/>
              <w:jc w:val="center"/>
              <w:rPr>
                <w:szCs w:val="21"/>
              </w:rPr>
            </w:pPr>
            <w:r>
              <w:rPr>
                <w:szCs w:val="21"/>
              </w:rPr>
              <w:t>120人</w:t>
            </w:r>
          </w:p>
        </w:tc>
        <w:tc>
          <w:tcPr>
            <w:tcW w:w="421" w:type="pct"/>
            <w:tcBorders>
              <w:right w:val="single" w:color="auto" w:sz="4" w:space="0"/>
            </w:tcBorders>
            <w:noWrap w:val="0"/>
            <w:vAlign w:val="center"/>
          </w:tcPr>
          <w:p w14:paraId="5BBFA12A">
            <w:pPr>
              <w:spacing w:line="300" w:lineRule="auto"/>
              <w:jc w:val="center"/>
              <w:rPr>
                <w:szCs w:val="21"/>
              </w:rPr>
            </w:pPr>
            <w:r>
              <w:rPr>
                <w:szCs w:val="21"/>
              </w:rPr>
              <w:t>750</w:t>
            </w:r>
          </w:p>
        </w:tc>
        <w:tc>
          <w:tcPr>
            <w:tcW w:w="1183" w:type="pct"/>
            <w:vMerge w:val="continue"/>
            <w:tcBorders>
              <w:left w:val="single" w:color="auto" w:sz="4" w:space="0"/>
              <w:right w:val="single" w:color="auto" w:sz="4" w:space="0"/>
            </w:tcBorders>
            <w:noWrap w:val="0"/>
            <w:vAlign w:val="center"/>
          </w:tcPr>
          <w:p w14:paraId="608DA89F">
            <w:pPr>
              <w:spacing w:line="300" w:lineRule="auto"/>
              <w:jc w:val="center"/>
              <w:rPr>
                <w:szCs w:val="21"/>
              </w:rPr>
            </w:pPr>
          </w:p>
        </w:tc>
      </w:tr>
      <w:tr w14:paraId="34EA3E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324B3C7A">
            <w:pPr>
              <w:spacing w:line="300" w:lineRule="auto"/>
              <w:jc w:val="center"/>
              <w:rPr>
                <w:szCs w:val="21"/>
              </w:rPr>
            </w:pPr>
          </w:p>
        </w:tc>
        <w:tc>
          <w:tcPr>
            <w:tcW w:w="720" w:type="pct"/>
            <w:noWrap w:val="0"/>
            <w:vAlign w:val="center"/>
          </w:tcPr>
          <w:p w14:paraId="7FF9CA81">
            <w:pPr>
              <w:spacing w:line="300" w:lineRule="auto"/>
              <w:jc w:val="center"/>
              <w:rPr>
                <w:szCs w:val="21"/>
              </w:rPr>
            </w:pPr>
            <w:r>
              <w:rPr>
                <w:szCs w:val="21"/>
              </w:rPr>
              <w:t>茂山下寨</w:t>
            </w:r>
          </w:p>
        </w:tc>
        <w:tc>
          <w:tcPr>
            <w:tcW w:w="839" w:type="pct"/>
            <w:noWrap w:val="0"/>
            <w:vAlign w:val="center"/>
          </w:tcPr>
          <w:p w14:paraId="67A5E60B">
            <w:pPr>
              <w:spacing w:line="300" w:lineRule="auto"/>
              <w:jc w:val="center"/>
              <w:rPr>
                <w:szCs w:val="21"/>
              </w:rPr>
            </w:pPr>
            <w:r>
              <w:rPr>
                <w:szCs w:val="21"/>
              </w:rPr>
              <w:t>103°35′32.72″</w:t>
            </w:r>
          </w:p>
        </w:tc>
        <w:tc>
          <w:tcPr>
            <w:tcW w:w="750" w:type="pct"/>
            <w:noWrap w:val="0"/>
            <w:vAlign w:val="center"/>
          </w:tcPr>
          <w:p w14:paraId="5C3532FB">
            <w:pPr>
              <w:spacing w:line="300" w:lineRule="auto"/>
              <w:jc w:val="center"/>
              <w:rPr>
                <w:szCs w:val="21"/>
              </w:rPr>
            </w:pPr>
            <w:r>
              <w:rPr>
                <w:szCs w:val="21"/>
              </w:rPr>
              <w:t>24°34′26.83″</w:t>
            </w:r>
          </w:p>
        </w:tc>
        <w:tc>
          <w:tcPr>
            <w:tcW w:w="310" w:type="pct"/>
            <w:noWrap w:val="0"/>
            <w:vAlign w:val="center"/>
          </w:tcPr>
          <w:p w14:paraId="0ADD31F5">
            <w:pPr>
              <w:spacing w:line="300" w:lineRule="auto"/>
              <w:jc w:val="center"/>
              <w:rPr>
                <w:szCs w:val="21"/>
              </w:rPr>
            </w:pPr>
            <w:r>
              <w:rPr>
                <w:szCs w:val="21"/>
              </w:rPr>
              <w:t>东南</w:t>
            </w:r>
          </w:p>
        </w:tc>
        <w:tc>
          <w:tcPr>
            <w:tcW w:w="516" w:type="pct"/>
            <w:noWrap w:val="0"/>
            <w:vAlign w:val="center"/>
          </w:tcPr>
          <w:p w14:paraId="53EA19F3">
            <w:pPr>
              <w:spacing w:line="300" w:lineRule="auto"/>
              <w:jc w:val="center"/>
              <w:rPr>
                <w:szCs w:val="21"/>
              </w:rPr>
            </w:pPr>
            <w:r>
              <w:rPr>
                <w:szCs w:val="21"/>
              </w:rPr>
              <w:t>320人</w:t>
            </w:r>
          </w:p>
        </w:tc>
        <w:tc>
          <w:tcPr>
            <w:tcW w:w="421" w:type="pct"/>
            <w:tcBorders>
              <w:right w:val="single" w:color="auto" w:sz="4" w:space="0"/>
            </w:tcBorders>
            <w:noWrap w:val="0"/>
            <w:vAlign w:val="center"/>
          </w:tcPr>
          <w:p w14:paraId="532B9240">
            <w:pPr>
              <w:spacing w:line="300" w:lineRule="auto"/>
              <w:jc w:val="center"/>
              <w:rPr>
                <w:szCs w:val="21"/>
              </w:rPr>
            </w:pPr>
            <w:r>
              <w:rPr>
                <w:szCs w:val="21"/>
              </w:rPr>
              <w:t>960</w:t>
            </w:r>
          </w:p>
        </w:tc>
        <w:tc>
          <w:tcPr>
            <w:tcW w:w="1183" w:type="pct"/>
            <w:vMerge w:val="continue"/>
            <w:tcBorders>
              <w:left w:val="single" w:color="auto" w:sz="4" w:space="0"/>
              <w:right w:val="single" w:color="auto" w:sz="4" w:space="0"/>
            </w:tcBorders>
            <w:noWrap w:val="0"/>
            <w:vAlign w:val="center"/>
          </w:tcPr>
          <w:p w14:paraId="3923196A">
            <w:pPr>
              <w:spacing w:line="300" w:lineRule="auto"/>
              <w:jc w:val="center"/>
              <w:rPr>
                <w:szCs w:val="21"/>
              </w:rPr>
            </w:pPr>
          </w:p>
        </w:tc>
      </w:tr>
      <w:tr w14:paraId="2AC45B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7E5C8A34">
            <w:pPr>
              <w:spacing w:line="300" w:lineRule="auto"/>
              <w:jc w:val="center"/>
              <w:rPr>
                <w:szCs w:val="21"/>
              </w:rPr>
            </w:pPr>
          </w:p>
        </w:tc>
        <w:tc>
          <w:tcPr>
            <w:tcW w:w="720" w:type="pct"/>
            <w:noWrap w:val="0"/>
            <w:vAlign w:val="center"/>
          </w:tcPr>
          <w:p w14:paraId="5E32A9E5">
            <w:pPr>
              <w:spacing w:line="300" w:lineRule="auto"/>
              <w:jc w:val="center"/>
              <w:rPr>
                <w:szCs w:val="21"/>
              </w:rPr>
            </w:pPr>
            <w:r>
              <w:rPr>
                <w:szCs w:val="21"/>
              </w:rPr>
              <w:t>尖山小寨</w:t>
            </w:r>
          </w:p>
        </w:tc>
        <w:tc>
          <w:tcPr>
            <w:tcW w:w="839" w:type="pct"/>
            <w:noWrap w:val="0"/>
            <w:vAlign w:val="center"/>
          </w:tcPr>
          <w:p w14:paraId="5B6C83FE">
            <w:pPr>
              <w:spacing w:line="300" w:lineRule="auto"/>
              <w:jc w:val="center"/>
              <w:rPr>
                <w:szCs w:val="21"/>
              </w:rPr>
            </w:pPr>
            <w:r>
              <w:rPr>
                <w:szCs w:val="21"/>
              </w:rPr>
              <w:t>103°36′36.01″</w:t>
            </w:r>
          </w:p>
        </w:tc>
        <w:tc>
          <w:tcPr>
            <w:tcW w:w="750" w:type="pct"/>
            <w:noWrap w:val="0"/>
            <w:vAlign w:val="center"/>
          </w:tcPr>
          <w:p w14:paraId="6BE1E57D">
            <w:pPr>
              <w:spacing w:line="300" w:lineRule="auto"/>
              <w:jc w:val="center"/>
              <w:rPr>
                <w:szCs w:val="21"/>
              </w:rPr>
            </w:pPr>
            <w:r>
              <w:rPr>
                <w:szCs w:val="21"/>
              </w:rPr>
              <w:t>24°34′6.18″</w:t>
            </w:r>
          </w:p>
        </w:tc>
        <w:tc>
          <w:tcPr>
            <w:tcW w:w="310" w:type="pct"/>
            <w:noWrap w:val="0"/>
            <w:vAlign w:val="center"/>
          </w:tcPr>
          <w:p w14:paraId="76069C8F">
            <w:pPr>
              <w:spacing w:line="300" w:lineRule="auto"/>
              <w:jc w:val="center"/>
              <w:rPr>
                <w:szCs w:val="21"/>
              </w:rPr>
            </w:pPr>
            <w:r>
              <w:rPr>
                <w:szCs w:val="21"/>
              </w:rPr>
              <w:t>东南</w:t>
            </w:r>
          </w:p>
        </w:tc>
        <w:tc>
          <w:tcPr>
            <w:tcW w:w="516" w:type="pct"/>
            <w:noWrap w:val="0"/>
            <w:vAlign w:val="center"/>
          </w:tcPr>
          <w:p w14:paraId="26D9001C">
            <w:pPr>
              <w:spacing w:line="300" w:lineRule="auto"/>
              <w:jc w:val="center"/>
              <w:rPr>
                <w:szCs w:val="21"/>
              </w:rPr>
            </w:pPr>
            <w:r>
              <w:rPr>
                <w:szCs w:val="21"/>
              </w:rPr>
              <w:t>60人</w:t>
            </w:r>
          </w:p>
        </w:tc>
        <w:tc>
          <w:tcPr>
            <w:tcW w:w="421" w:type="pct"/>
            <w:tcBorders>
              <w:right w:val="single" w:color="auto" w:sz="4" w:space="0"/>
            </w:tcBorders>
            <w:noWrap w:val="0"/>
            <w:vAlign w:val="center"/>
          </w:tcPr>
          <w:p w14:paraId="4124934D">
            <w:pPr>
              <w:spacing w:line="300" w:lineRule="auto"/>
              <w:jc w:val="center"/>
              <w:rPr>
                <w:szCs w:val="21"/>
              </w:rPr>
            </w:pPr>
            <w:r>
              <w:rPr>
                <w:szCs w:val="21"/>
              </w:rPr>
              <w:t>2943</w:t>
            </w:r>
          </w:p>
        </w:tc>
        <w:tc>
          <w:tcPr>
            <w:tcW w:w="1183" w:type="pct"/>
            <w:vMerge w:val="continue"/>
            <w:tcBorders>
              <w:left w:val="single" w:color="auto" w:sz="4" w:space="0"/>
              <w:right w:val="single" w:color="auto" w:sz="4" w:space="0"/>
            </w:tcBorders>
            <w:noWrap w:val="0"/>
            <w:vAlign w:val="center"/>
          </w:tcPr>
          <w:p w14:paraId="1634949A">
            <w:pPr>
              <w:spacing w:line="300" w:lineRule="auto"/>
              <w:jc w:val="center"/>
              <w:rPr>
                <w:szCs w:val="21"/>
              </w:rPr>
            </w:pPr>
          </w:p>
        </w:tc>
      </w:tr>
      <w:tr w14:paraId="1FA93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3" w:hRule="atLeast"/>
          <w:jc w:val="center"/>
        </w:trPr>
        <w:tc>
          <w:tcPr>
            <w:tcW w:w="241" w:type="pct"/>
            <w:vMerge w:val="continue"/>
            <w:noWrap w:val="0"/>
            <w:vAlign w:val="center"/>
          </w:tcPr>
          <w:p w14:paraId="2DAA9244">
            <w:pPr>
              <w:spacing w:line="300" w:lineRule="auto"/>
              <w:jc w:val="center"/>
              <w:rPr>
                <w:szCs w:val="21"/>
              </w:rPr>
            </w:pPr>
          </w:p>
        </w:tc>
        <w:tc>
          <w:tcPr>
            <w:tcW w:w="720" w:type="pct"/>
            <w:noWrap w:val="0"/>
            <w:vAlign w:val="center"/>
          </w:tcPr>
          <w:p w14:paraId="778ECD96">
            <w:pPr>
              <w:spacing w:line="300" w:lineRule="auto"/>
              <w:jc w:val="center"/>
              <w:rPr>
                <w:szCs w:val="21"/>
              </w:rPr>
            </w:pPr>
            <w:r>
              <w:rPr>
                <w:szCs w:val="21"/>
              </w:rPr>
              <w:t>绿娥村</w:t>
            </w:r>
          </w:p>
        </w:tc>
        <w:tc>
          <w:tcPr>
            <w:tcW w:w="839" w:type="pct"/>
            <w:noWrap w:val="0"/>
            <w:vAlign w:val="center"/>
          </w:tcPr>
          <w:p w14:paraId="4C78EE32">
            <w:pPr>
              <w:spacing w:line="300" w:lineRule="auto"/>
              <w:jc w:val="center"/>
              <w:rPr>
                <w:szCs w:val="21"/>
              </w:rPr>
            </w:pPr>
            <w:r>
              <w:rPr>
                <w:szCs w:val="21"/>
              </w:rPr>
              <w:t>103°35′44.46″</w:t>
            </w:r>
          </w:p>
        </w:tc>
        <w:tc>
          <w:tcPr>
            <w:tcW w:w="750" w:type="pct"/>
            <w:noWrap w:val="0"/>
            <w:vAlign w:val="center"/>
          </w:tcPr>
          <w:p w14:paraId="3B627F89">
            <w:pPr>
              <w:spacing w:line="300" w:lineRule="auto"/>
              <w:jc w:val="center"/>
              <w:rPr>
                <w:szCs w:val="21"/>
              </w:rPr>
            </w:pPr>
            <w:r>
              <w:rPr>
                <w:szCs w:val="21"/>
              </w:rPr>
              <w:t>24°33′41.94″</w:t>
            </w:r>
          </w:p>
        </w:tc>
        <w:tc>
          <w:tcPr>
            <w:tcW w:w="310" w:type="pct"/>
            <w:noWrap w:val="0"/>
            <w:vAlign w:val="center"/>
          </w:tcPr>
          <w:p w14:paraId="6DD63E1E">
            <w:pPr>
              <w:spacing w:line="300" w:lineRule="auto"/>
              <w:jc w:val="center"/>
              <w:rPr>
                <w:szCs w:val="21"/>
              </w:rPr>
            </w:pPr>
            <w:r>
              <w:rPr>
                <w:szCs w:val="21"/>
              </w:rPr>
              <w:t>东南</w:t>
            </w:r>
          </w:p>
        </w:tc>
        <w:tc>
          <w:tcPr>
            <w:tcW w:w="516" w:type="pct"/>
            <w:noWrap w:val="0"/>
            <w:vAlign w:val="center"/>
          </w:tcPr>
          <w:p w14:paraId="64E84A92">
            <w:pPr>
              <w:spacing w:line="300" w:lineRule="auto"/>
              <w:jc w:val="center"/>
              <w:rPr>
                <w:szCs w:val="21"/>
              </w:rPr>
            </w:pPr>
            <w:r>
              <w:rPr>
                <w:szCs w:val="21"/>
              </w:rPr>
              <w:t>420人</w:t>
            </w:r>
          </w:p>
        </w:tc>
        <w:tc>
          <w:tcPr>
            <w:tcW w:w="421" w:type="pct"/>
            <w:tcBorders>
              <w:right w:val="single" w:color="auto" w:sz="4" w:space="0"/>
            </w:tcBorders>
            <w:noWrap w:val="0"/>
            <w:vAlign w:val="center"/>
          </w:tcPr>
          <w:p w14:paraId="40389621">
            <w:pPr>
              <w:spacing w:line="300" w:lineRule="auto"/>
              <w:jc w:val="center"/>
              <w:rPr>
                <w:szCs w:val="21"/>
              </w:rPr>
            </w:pPr>
            <w:r>
              <w:rPr>
                <w:szCs w:val="21"/>
              </w:rPr>
              <w:t>2407</w:t>
            </w:r>
          </w:p>
        </w:tc>
        <w:tc>
          <w:tcPr>
            <w:tcW w:w="1183" w:type="pct"/>
            <w:vMerge w:val="continue"/>
            <w:tcBorders>
              <w:left w:val="single" w:color="auto" w:sz="4" w:space="0"/>
              <w:right w:val="single" w:color="auto" w:sz="4" w:space="0"/>
            </w:tcBorders>
            <w:noWrap w:val="0"/>
            <w:vAlign w:val="center"/>
          </w:tcPr>
          <w:p w14:paraId="718B1A0D">
            <w:pPr>
              <w:spacing w:line="300" w:lineRule="auto"/>
              <w:jc w:val="center"/>
              <w:rPr>
                <w:szCs w:val="21"/>
              </w:rPr>
            </w:pPr>
          </w:p>
        </w:tc>
      </w:tr>
      <w:tr w14:paraId="14E3D0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2697612C">
            <w:pPr>
              <w:spacing w:line="300" w:lineRule="auto"/>
              <w:jc w:val="center"/>
              <w:rPr>
                <w:szCs w:val="21"/>
              </w:rPr>
            </w:pPr>
          </w:p>
        </w:tc>
        <w:tc>
          <w:tcPr>
            <w:tcW w:w="720" w:type="pct"/>
            <w:noWrap w:val="0"/>
            <w:vAlign w:val="center"/>
          </w:tcPr>
          <w:p w14:paraId="42ACA0DE">
            <w:pPr>
              <w:spacing w:line="300" w:lineRule="auto"/>
              <w:jc w:val="center"/>
              <w:rPr>
                <w:szCs w:val="21"/>
              </w:rPr>
            </w:pPr>
            <w:r>
              <w:rPr>
                <w:szCs w:val="21"/>
              </w:rPr>
              <w:t>新发村</w:t>
            </w:r>
          </w:p>
        </w:tc>
        <w:tc>
          <w:tcPr>
            <w:tcW w:w="839" w:type="pct"/>
            <w:noWrap w:val="0"/>
            <w:vAlign w:val="center"/>
          </w:tcPr>
          <w:p w14:paraId="30FA9007">
            <w:pPr>
              <w:spacing w:line="300" w:lineRule="auto"/>
              <w:jc w:val="center"/>
              <w:rPr>
                <w:szCs w:val="21"/>
              </w:rPr>
            </w:pPr>
            <w:r>
              <w:rPr>
                <w:szCs w:val="21"/>
              </w:rPr>
              <w:t>103°35′22.99″</w:t>
            </w:r>
          </w:p>
        </w:tc>
        <w:tc>
          <w:tcPr>
            <w:tcW w:w="750" w:type="pct"/>
            <w:noWrap w:val="0"/>
            <w:vAlign w:val="center"/>
          </w:tcPr>
          <w:p w14:paraId="128BB6B5">
            <w:pPr>
              <w:spacing w:line="300" w:lineRule="auto"/>
              <w:jc w:val="center"/>
              <w:rPr>
                <w:szCs w:val="21"/>
              </w:rPr>
            </w:pPr>
            <w:r>
              <w:rPr>
                <w:szCs w:val="21"/>
              </w:rPr>
              <w:t>24°33′48.27″</w:t>
            </w:r>
          </w:p>
        </w:tc>
        <w:tc>
          <w:tcPr>
            <w:tcW w:w="310" w:type="pct"/>
            <w:noWrap w:val="0"/>
            <w:vAlign w:val="center"/>
          </w:tcPr>
          <w:p w14:paraId="4F25916D">
            <w:pPr>
              <w:spacing w:line="300" w:lineRule="auto"/>
              <w:jc w:val="center"/>
              <w:rPr>
                <w:szCs w:val="21"/>
              </w:rPr>
            </w:pPr>
            <w:r>
              <w:rPr>
                <w:szCs w:val="21"/>
              </w:rPr>
              <w:t>东南</w:t>
            </w:r>
          </w:p>
        </w:tc>
        <w:tc>
          <w:tcPr>
            <w:tcW w:w="516" w:type="pct"/>
            <w:noWrap w:val="0"/>
            <w:vAlign w:val="center"/>
          </w:tcPr>
          <w:p w14:paraId="5B5C764A">
            <w:pPr>
              <w:spacing w:line="300" w:lineRule="auto"/>
              <w:jc w:val="center"/>
              <w:rPr>
                <w:szCs w:val="21"/>
              </w:rPr>
            </w:pPr>
            <w:r>
              <w:rPr>
                <w:szCs w:val="21"/>
              </w:rPr>
              <w:t>65人</w:t>
            </w:r>
          </w:p>
        </w:tc>
        <w:tc>
          <w:tcPr>
            <w:tcW w:w="421" w:type="pct"/>
            <w:tcBorders>
              <w:right w:val="single" w:color="auto" w:sz="4" w:space="0"/>
            </w:tcBorders>
            <w:noWrap w:val="0"/>
            <w:vAlign w:val="center"/>
          </w:tcPr>
          <w:p w14:paraId="0C039807">
            <w:pPr>
              <w:spacing w:line="300" w:lineRule="auto"/>
              <w:jc w:val="center"/>
              <w:rPr>
                <w:szCs w:val="21"/>
              </w:rPr>
            </w:pPr>
            <w:r>
              <w:rPr>
                <w:szCs w:val="21"/>
              </w:rPr>
              <w:t>2250</w:t>
            </w:r>
          </w:p>
        </w:tc>
        <w:tc>
          <w:tcPr>
            <w:tcW w:w="1183" w:type="pct"/>
            <w:vMerge w:val="continue"/>
            <w:tcBorders>
              <w:left w:val="single" w:color="auto" w:sz="4" w:space="0"/>
              <w:right w:val="single" w:color="auto" w:sz="4" w:space="0"/>
            </w:tcBorders>
            <w:noWrap w:val="0"/>
            <w:vAlign w:val="center"/>
          </w:tcPr>
          <w:p w14:paraId="7EABA502">
            <w:pPr>
              <w:spacing w:line="300" w:lineRule="auto"/>
              <w:jc w:val="center"/>
              <w:rPr>
                <w:szCs w:val="21"/>
              </w:rPr>
            </w:pPr>
          </w:p>
        </w:tc>
      </w:tr>
      <w:tr w14:paraId="19BF4B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1727F441">
            <w:pPr>
              <w:spacing w:line="300" w:lineRule="auto"/>
              <w:jc w:val="center"/>
              <w:rPr>
                <w:szCs w:val="21"/>
              </w:rPr>
            </w:pPr>
          </w:p>
        </w:tc>
        <w:tc>
          <w:tcPr>
            <w:tcW w:w="720" w:type="pct"/>
            <w:noWrap w:val="0"/>
            <w:vAlign w:val="center"/>
          </w:tcPr>
          <w:p w14:paraId="6406DEC9">
            <w:pPr>
              <w:spacing w:line="300" w:lineRule="auto"/>
              <w:jc w:val="center"/>
              <w:rPr>
                <w:szCs w:val="21"/>
              </w:rPr>
            </w:pPr>
            <w:r>
              <w:rPr>
                <w:szCs w:val="21"/>
              </w:rPr>
              <w:t>老寨</w:t>
            </w:r>
          </w:p>
        </w:tc>
        <w:tc>
          <w:tcPr>
            <w:tcW w:w="839" w:type="pct"/>
            <w:noWrap w:val="0"/>
            <w:vAlign w:val="center"/>
          </w:tcPr>
          <w:p w14:paraId="7F179838">
            <w:pPr>
              <w:spacing w:line="300" w:lineRule="auto"/>
              <w:jc w:val="center"/>
              <w:rPr>
                <w:szCs w:val="21"/>
              </w:rPr>
            </w:pPr>
            <w:r>
              <w:rPr>
                <w:szCs w:val="21"/>
              </w:rPr>
              <w:t>103°34′55.73″</w:t>
            </w:r>
          </w:p>
        </w:tc>
        <w:tc>
          <w:tcPr>
            <w:tcW w:w="750" w:type="pct"/>
            <w:noWrap w:val="0"/>
            <w:vAlign w:val="center"/>
          </w:tcPr>
          <w:p w14:paraId="13F09AF7">
            <w:pPr>
              <w:spacing w:line="300" w:lineRule="auto"/>
              <w:jc w:val="center"/>
              <w:rPr>
                <w:szCs w:val="21"/>
              </w:rPr>
            </w:pPr>
            <w:r>
              <w:rPr>
                <w:szCs w:val="21"/>
              </w:rPr>
              <w:t>24°33′45.76″</w:t>
            </w:r>
          </w:p>
        </w:tc>
        <w:tc>
          <w:tcPr>
            <w:tcW w:w="310" w:type="pct"/>
            <w:noWrap w:val="0"/>
            <w:vAlign w:val="center"/>
          </w:tcPr>
          <w:p w14:paraId="68641CDC">
            <w:pPr>
              <w:spacing w:line="300" w:lineRule="auto"/>
              <w:jc w:val="center"/>
              <w:rPr>
                <w:szCs w:val="21"/>
              </w:rPr>
            </w:pPr>
            <w:r>
              <w:rPr>
                <w:szCs w:val="21"/>
              </w:rPr>
              <w:t>南</w:t>
            </w:r>
          </w:p>
        </w:tc>
        <w:tc>
          <w:tcPr>
            <w:tcW w:w="516" w:type="pct"/>
            <w:noWrap w:val="0"/>
            <w:vAlign w:val="center"/>
          </w:tcPr>
          <w:p w14:paraId="6E191081">
            <w:pPr>
              <w:spacing w:line="300" w:lineRule="auto"/>
              <w:jc w:val="center"/>
              <w:rPr>
                <w:szCs w:val="21"/>
              </w:rPr>
            </w:pPr>
            <w:r>
              <w:rPr>
                <w:szCs w:val="21"/>
              </w:rPr>
              <w:t>45人</w:t>
            </w:r>
          </w:p>
        </w:tc>
        <w:tc>
          <w:tcPr>
            <w:tcW w:w="421" w:type="pct"/>
            <w:tcBorders>
              <w:right w:val="single" w:color="auto" w:sz="4" w:space="0"/>
            </w:tcBorders>
            <w:noWrap w:val="0"/>
            <w:vAlign w:val="center"/>
          </w:tcPr>
          <w:p w14:paraId="189969CC">
            <w:pPr>
              <w:spacing w:line="300" w:lineRule="auto"/>
              <w:jc w:val="center"/>
              <w:rPr>
                <w:szCs w:val="21"/>
              </w:rPr>
            </w:pPr>
            <w:r>
              <w:rPr>
                <w:szCs w:val="21"/>
              </w:rPr>
              <w:t>2230</w:t>
            </w:r>
          </w:p>
        </w:tc>
        <w:tc>
          <w:tcPr>
            <w:tcW w:w="1183" w:type="pct"/>
            <w:vMerge w:val="continue"/>
            <w:tcBorders>
              <w:left w:val="single" w:color="auto" w:sz="4" w:space="0"/>
              <w:right w:val="single" w:color="auto" w:sz="4" w:space="0"/>
            </w:tcBorders>
            <w:noWrap w:val="0"/>
            <w:vAlign w:val="center"/>
          </w:tcPr>
          <w:p w14:paraId="01FAD0F1">
            <w:pPr>
              <w:spacing w:line="300" w:lineRule="auto"/>
              <w:jc w:val="center"/>
              <w:rPr>
                <w:szCs w:val="21"/>
              </w:rPr>
            </w:pPr>
          </w:p>
        </w:tc>
      </w:tr>
      <w:tr w14:paraId="2217D6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22AF12CE">
            <w:pPr>
              <w:spacing w:line="300" w:lineRule="auto"/>
              <w:jc w:val="center"/>
              <w:rPr>
                <w:szCs w:val="21"/>
              </w:rPr>
            </w:pPr>
          </w:p>
        </w:tc>
        <w:tc>
          <w:tcPr>
            <w:tcW w:w="720" w:type="pct"/>
            <w:noWrap w:val="0"/>
            <w:vAlign w:val="center"/>
          </w:tcPr>
          <w:p w14:paraId="7D372146">
            <w:pPr>
              <w:spacing w:line="300" w:lineRule="auto"/>
              <w:jc w:val="center"/>
              <w:rPr>
                <w:szCs w:val="21"/>
              </w:rPr>
            </w:pPr>
            <w:r>
              <w:rPr>
                <w:szCs w:val="21"/>
              </w:rPr>
              <w:t>新寨</w:t>
            </w:r>
          </w:p>
        </w:tc>
        <w:tc>
          <w:tcPr>
            <w:tcW w:w="839" w:type="pct"/>
            <w:noWrap w:val="0"/>
            <w:vAlign w:val="center"/>
          </w:tcPr>
          <w:p w14:paraId="5EFAE8F3">
            <w:pPr>
              <w:spacing w:line="300" w:lineRule="auto"/>
              <w:jc w:val="center"/>
              <w:rPr>
                <w:szCs w:val="21"/>
              </w:rPr>
            </w:pPr>
            <w:r>
              <w:rPr>
                <w:szCs w:val="21"/>
              </w:rPr>
              <w:t>103°34′4.71″</w:t>
            </w:r>
          </w:p>
        </w:tc>
        <w:tc>
          <w:tcPr>
            <w:tcW w:w="750" w:type="pct"/>
            <w:noWrap w:val="0"/>
            <w:vAlign w:val="center"/>
          </w:tcPr>
          <w:p w14:paraId="48272238">
            <w:pPr>
              <w:spacing w:line="300" w:lineRule="auto"/>
              <w:jc w:val="center"/>
              <w:rPr>
                <w:szCs w:val="21"/>
              </w:rPr>
            </w:pPr>
            <w:r>
              <w:rPr>
                <w:szCs w:val="21"/>
              </w:rPr>
              <w:t>24°34′11.31″</w:t>
            </w:r>
          </w:p>
        </w:tc>
        <w:tc>
          <w:tcPr>
            <w:tcW w:w="310" w:type="pct"/>
            <w:noWrap w:val="0"/>
            <w:vAlign w:val="center"/>
          </w:tcPr>
          <w:p w14:paraId="2FA617D3">
            <w:pPr>
              <w:spacing w:line="300" w:lineRule="auto"/>
              <w:jc w:val="center"/>
              <w:rPr>
                <w:szCs w:val="21"/>
              </w:rPr>
            </w:pPr>
            <w:r>
              <w:rPr>
                <w:szCs w:val="21"/>
              </w:rPr>
              <w:t>西南</w:t>
            </w:r>
          </w:p>
        </w:tc>
        <w:tc>
          <w:tcPr>
            <w:tcW w:w="516" w:type="pct"/>
            <w:noWrap w:val="0"/>
            <w:vAlign w:val="center"/>
          </w:tcPr>
          <w:p w14:paraId="683A2F57">
            <w:pPr>
              <w:spacing w:line="300" w:lineRule="auto"/>
              <w:jc w:val="center"/>
              <w:rPr>
                <w:szCs w:val="21"/>
              </w:rPr>
            </w:pPr>
            <w:r>
              <w:rPr>
                <w:szCs w:val="21"/>
              </w:rPr>
              <w:t>180人</w:t>
            </w:r>
          </w:p>
        </w:tc>
        <w:tc>
          <w:tcPr>
            <w:tcW w:w="421" w:type="pct"/>
            <w:tcBorders>
              <w:right w:val="single" w:color="auto" w:sz="4" w:space="0"/>
            </w:tcBorders>
            <w:noWrap w:val="0"/>
            <w:vAlign w:val="center"/>
          </w:tcPr>
          <w:p w14:paraId="6E6785BE">
            <w:pPr>
              <w:spacing w:line="300" w:lineRule="auto"/>
              <w:jc w:val="center"/>
              <w:rPr>
                <w:szCs w:val="21"/>
              </w:rPr>
            </w:pPr>
            <w:r>
              <w:rPr>
                <w:szCs w:val="21"/>
              </w:rPr>
              <w:t>2150</w:t>
            </w:r>
          </w:p>
        </w:tc>
        <w:tc>
          <w:tcPr>
            <w:tcW w:w="1183" w:type="pct"/>
            <w:vMerge w:val="continue"/>
            <w:tcBorders>
              <w:left w:val="single" w:color="auto" w:sz="4" w:space="0"/>
              <w:right w:val="single" w:color="auto" w:sz="4" w:space="0"/>
            </w:tcBorders>
            <w:noWrap w:val="0"/>
            <w:vAlign w:val="center"/>
          </w:tcPr>
          <w:p w14:paraId="1A427C0B">
            <w:pPr>
              <w:spacing w:line="300" w:lineRule="auto"/>
              <w:jc w:val="center"/>
              <w:rPr>
                <w:szCs w:val="21"/>
              </w:rPr>
            </w:pPr>
          </w:p>
        </w:tc>
      </w:tr>
      <w:tr w14:paraId="5ED289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2B8532F0">
            <w:pPr>
              <w:spacing w:line="300" w:lineRule="auto"/>
              <w:jc w:val="center"/>
              <w:rPr>
                <w:szCs w:val="21"/>
              </w:rPr>
            </w:pPr>
          </w:p>
        </w:tc>
        <w:tc>
          <w:tcPr>
            <w:tcW w:w="720" w:type="pct"/>
            <w:noWrap w:val="0"/>
            <w:vAlign w:val="center"/>
          </w:tcPr>
          <w:p w14:paraId="476E45EB">
            <w:pPr>
              <w:spacing w:line="300" w:lineRule="auto"/>
              <w:jc w:val="center"/>
              <w:rPr>
                <w:szCs w:val="21"/>
              </w:rPr>
            </w:pPr>
            <w:r>
              <w:rPr>
                <w:szCs w:val="21"/>
              </w:rPr>
              <w:t>普拉河村</w:t>
            </w:r>
          </w:p>
        </w:tc>
        <w:tc>
          <w:tcPr>
            <w:tcW w:w="839" w:type="pct"/>
            <w:noWrap w:val="0"/>
            <w:vAlign w:val="center"/>
          </w:tcPr>
          <w:p w14:paraId="24CE5139">
            <w:pPr>
              <w:spacing w:line="300" w:lineRule="auto"/>
              <w:jc w:val="center"/>
              <w:rPr>
                <w:szCs w:val="21"/>
              </w:rPr>
            </w:pPr>
            <w:r>
              <w:rPr>
                <w:szCs w:val="21"/>
              </w:rPr>
              <w:t>103°34′11.19″</w:t>
            </w:r>
          </w:p>
        </w:tc>
        <w:tc>
          <w:tcPr>
            <w:tcW w:w="750" w:type="pct"/>
            <w:noWrap w:val="0"/>
            <w:vAlign w:val="center"/>
          </w:tcPr>
          <w:p w14:paraId="546EA6B6">
            <w:pPr>
              <w:spacing w:line="300" w:lineRule="auto"/>
              <w:jc w:val="center"/>
              <w:rPr>
                <w:szCs w:val="21"/>
              </w:rPr>
            </w:pPr>
            <w:r>
              <w:rPr>
                <w:szCs w:val="21"/>
              </w:rPr>
              <w:t>24°34′41.30″</w:t>
            </w:r>
          </w:p>
        </w:tc>
        <w:tc>
          <w:tcPr>
            <w:tcW w:w="310" w:type="pct"/>
            <w:noWrap w:val="0"/>
            <w:vAlign w:val="center"/>
          </w:tcPr>
          <w:p w14:paraId="472A345A">
            <w:pPr>
              <w:spacing w:line="300" w:lineRule="auto"/>
              <w:jc w:val="center"/>
              <w:rPr>
                <w:szCs w:val="21"/>
              </w:rPr>
            </w:pPr>
            <w:r>
              <w:rPr>
                <w:szCs w:val="21"/>
              </w:rPr>
              <w:t>西南</w:t>
            </w:r>
          </w:p>
        </w:tc>
        <w:tc>
          <w:tcPr>
            <w:tcW w:w="516" w:type="pct"/>
            <w:noWrap w:val="0"/>
            <w:vAlign w:val="center"/>
          </w:tcPr>
          <w:p w14:paraId="7B62AA4F">
            <w:pPr>
              <w:spacing w:line="300" w:lineRule="auto"/>
              <w:jc w:val="center"/>
              <w:rPr>
                <w:szCs w:val="21"/>
              </w:rPr>
            </w:pPr>
            <w:r>
              <w:rPr>
                <w:szCs w:val="21"/>
              </w:rPr>
              <w:t>280人</w:t>
            </w:r>
          </w:p>
        </w:tc>
        <w:tc>
          <w:tcPr>
            <w:tcW w:w="421" w:type="pct"/>
            <w:tcBorders>
              <w:right w:val="single" w:color="auto" w:sz="4" w:space="0"/>
            </w:tcBorders>
            <w:noWrap w:val="0"/>
            <w:vAlign w:val="center"/>
          </w:tcPr>
          <w:p w14:paraId="17C7E0EE">
            <w:pPr>
              <w:spacing w:line="300" w:lineRule="auto"/>
              <w:jc w:val="center"/>
              <w:rPr>
                <w:szCs w:val="21"/>
              </w:rPr>
            </w:pPr>
            <w:r>
              <w:rPr>
                <w:szCs w:val="21"/>
              </w:rPr>
              <w:t>1400</w:t>
            </w:r>
          </w:p>
        </w:tc>
        <w:tc>
          <w:tcPr>
            <w:tcW w:w="1183" w:type="pct"/>
            <w:vMerge w:val="continue"/>
            <w:tcBorders>
              <w:left w:val="single" w:color="auto" w:sz="4" w:space="0"/>
              <w:right w:val="single" w:color="auto" w:sz="4" w:space="0"/>
            </w:tcBorders>
            <w:noWrap w:val="0"/>
            <w:vAlign w:val="center"/>
          </w:tcPr>
          <w:p w14:paraId="6AFC1C0B">
            <w:pPr>
              <w:spacing w:line="300" w:lineRule="auto"/>
              <w:jc w:val="center"/>
              <w:rPr>
                <w:szCs w:val="21"/>
              </w:rPr>
            </w:pPr>
          </w:p>
        </w:tc>
      </w:tr>
      <w:tr w14:paraId="31478A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0D73FF16">
            <w:pPr>
              <w:spacing w:line="300" w:lineRule="auto"/>
              <w:jc w:val="center"/>
              <w:rPr>
                <w:szCs w:val="21"/>
              </w:rPr>
            </w:pPr>
          </w:p>
        </w:tc>
        <w:tc>
          <w:tcPr>
            <w:tcW w:w="720" w:type="pct"/>
            <w:noWrap w:val="0"/>
            <w:vAlign w:val="center"/>
          </w:tcPr>
          <w:p w14:paraId="6054B06B">
            <w:pPr>
              <w:spacing w:line="300" w:lineRule="auto"/>
              <w:jc w:val="center"/>
              <w:rPr>
                <w:szCs w:val="21"/>
              </w:rPr>
            </w:pPr>
            <w:r>
              <w:rPr>
                <w:szCs w:val="21"/>
              </w:rPr>
              <w:t>普拉河中寨</w:t>
            </w:r>
          </w:p>
        </w:tc>
        <w:tc>
          <w:tcPr>
            <w:tcW w:w="839" w:type="pct"/>
            <w:noWrap w:val="0"/>
            <w:vAlign w:val="center"/>
          </w:tcPr>
          <w:p w14:paraId="4A12A55F">
            <w:pPr>
              <w:spacing w:line="300" w:lineRule="auto"/>
              <w:jc w:val="center"/>
              <w:rPr>
                <w:szCs w:val="21"/>
              </w:rPr>
            </w:pPr>
            <w:r>
              <w:rPr>
                <w:szCs w:val="21"/>
              </w:rPr>
              <w:t>103°33′56.76″</w:t>
            </w:r>
          </w:p>
        </w:tc>
        <w:tc>
          <w:tcPr>
            <w:tcW w:w="750" w:type="pct"/>
            <w:noWrap w:val="0"/>
            <w:vAlign w:val="center"/>
          </w:tcPr>
          <w:p w14:paraId="4F7E29DA">
            <w:pPr>
              <w:spacing w:line="300" w:lineRule="auto"/>
              <w:jc w:val="center"/>
              <w:rPr>
                <w:szCs w:val="21"/>
              </w:rPr>
            </w:pPr>
            <w:r>
              <w:rPr>
                <w:szCs w:val="21"/>
              </w:rPr>
              <w:t>24°34′34.79″</w:t>
            </w:r>
          </w:p>
        </w:tc>
        <w:tc>
          <w:tcPr>
            <w:tcW w:w="310" w:type="pct"/>
            <w:noWrap w:val="0"/>
            <w:vAlign w:val="center"/>
          </w:tcPr>
          <w:p w14:paraId="06E280FD">
            <w:pPr>
              <w:spacing w:line="300" w:lineRule="auto"/>
              <w:jc w:val="center"/>
              <w:rPr>
                <w:szCs w:val="21"/>
              </w:rPr>
            </w:pPr>
            <w:r>
              <w:rPr>
                <w:szCs w:val="21"/>
              </w:rPr>
              <w:t>西南</w:t>
            </w:r>
          </w:p>
        </w:tc>
        <w:tc>
          <w:tcPr>
            <w:tcW w:w="516" w:type="pct"/>
            <w:noWrap w:val="0"/>
            <w:vAlign w:val="center"/>
          </w:tcPr>
          <w:p w14:paraId="65458D55">
            <w:pPr>
              <w:spacing w:line="300" w:lineRule="auto"/>
              <w:jc w:val="center"/>
              <w:rPr>
                <w:szCs w:val="21"/>
              </w:rPr>
            </w:pPr>
            <w:r>
              <w:rPr>
                <w:szCs w:val="21"/>
              </w:rPr>
              <w:t>560人</w:t>
            </w:r>
          </w:p>
        </w:tc>
        <w:tc>
          <w:tcPr>
            <w:tcW w:w="421" w:type="pct"/>
            <w:tcBorders>
              <w:right w:val="single" w:color="auto" w:sz="4" w:space="0"/>
            </w:tcBorders>
            <w:noWrap w:val="0"/>
            <w:vAlign w:val="center"/>
          </w:tcPr>
          <w:p w14:paraId="0FFA3829">
            <w:pPr>
              <w:spacing w:line="300" w:lineRule="auto"/>
              <w:jc w:val="center"/>
              <w:rPr>
                <w:szCs w:val="21"/>
              </w:rPr>
            </w:pPr>
            <w:r>
              <w:rPr>
                <w:szCs w:val="21"/>
              </w:rPr>
              <w:t>1871</w:t>
            </w:r>
          </w:p>
        </w:tc>
        <w:tc>
          <w:tcPr>
            <w:tcW w:w="1183" w:type="pct"/>
            <w:vMerge w:val="continue"/>
            <w:tcBorders>
              <w:left w:val="single" w:color="auto" w:sz="4" w:space="0"/>
              <w:right w:val="single" w:color="auto" w:sz="4" w:space="0"/>
            </w:tcBorders>
            <w:noWrap w:val="0"/>
            <w:vAlign w:val="center"/>
          </w:tcPr>
          <w:p w14:paraId="4998E74F">
            <w:pPr>
              <w:spacing w:line="300" w:lineRule="auto"/>
              <w:jc w:val="center"/>
              <w:rPr>
                <w:szCs w:val="21"/>
              </w:rPr>
            </w:pPr>
          </w:p>
        </w:tc>
      </w:tr>
      <w:tr w14:paraId="53EF30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4FD7B890">
            <w:pPr>
              <w:spacing w:line="300" w:lineRule="auto"/>
              <w:jc w:val="center"/>
              <w:rPr>
                <w:szCs w:val="21"/>
              </w:rPr>
            </w:pPr>
          </w:p>
        </w:tc>
        <w:tc>
          <w:tcPr>
            <w:tcW w:w="720" w:type="pct"/>
            <w:noWrap w:val="0"/>
            <w:vAlign w:val="center"/>
          </w:tcPr>
          <w:p w14:paraId="41D460B4">
            <w:pPr>
              <w:spacing w:line="300" w:lineRule="auto"/>
              <w:jc w:val="center"/>
              <w:rPr>
                <w:szCs w:val="21"/>
              </w:rPr>
            </w:pPr>
            <w:r>
              <w:rPr>
                <w:szCs w:val="21"/>
              </w:rPr>
              <w:t>普拉河上寨</w:t>
            </w:r>
          </w:p>
        </w:tc>
        <w:tc>
          <w:tcPr>
            <w:tcW w:w="839" w:type="pct"/>
            <w:noWrap w:val="0"/>
            <w:vAlign w:val="center"/>
          </w:tcPr>
          <w:p w14:paraId="63F50408">
            <w:pPr>
              <w:spacing w:line="300" w:lineRule="auto"/>
              <w:jc w:val="center"/>
              <w:rPr>
                <w:szCs w:val="21"/>
              </w:rPr>
            </w:pPr>
            <w:r>
              <w:rPr>
                <w:szCs w:val="21"/>
              </w:rPr>
              <w:t>103°34′7.18″</w:t>
            </w:r>
          </w:p>
        </w:tc>
        <w:tc>
          <w:tcPr>
            <w:tcW w:w="750" w:type="pct"/>
            <w:noWrap w:val="0"/>
            <w:vAlign w:val="center"/>
          </w:tcPr>
          <w:p w14:paraId="5DCD9331">
            <w:pPr>
              <w:spacing w:line="300" w:lineRule="auto"/>
              <w:jc w:val="center"/>
              <w:rPr>
                <w:szCs w:val="21"/>
              </w:rPr>
            </w:pPr>
            <w:r>
              <w:rPr>
                <w:szCs w:val="21"/>
              </w:rPr>
              <w:t>24°35′7.50″</w:t>
            </w:r>
          </w:p>
        </w:tc>
        <w:tc>
          <w:tcPr>
            <w:tcW w:w="310" w:type="pct"/>
            <w:noWrap w:val="0"/>
            <w:vAlign w:val="center"/>
          </w:tcPr>
          <w:p w14:paraId="6FB7E011">
            <w:pPr>
              <w:spacing w:line="300" w:lineRule="auto"/>
              <w:jc w:val="center"/>
              <w:rPr>
                <w:szCs w:val="21"/>
              </w:rPr>
            </w:pPr>
            <w:r>
              <w:rPr>
                <w:szCs w:val="21"/>
              </w:rPr>
              <w:t>西</w:t>
            </w:r>
          </w:p>
        </w:tc>
        <w:tc>
          <w:tcPr>
            <w:tcW w:w="516" w:type="pct"/>
            <w:noWrap w:val="0"/>
            <w:vAlign w:val="center"/>
          </w:tcPr>
          <w:p w14:paraId="04B0B5F4">
            <w:pPr>
              <w:spacing w:line="300" w:lineRule="auto"/>
              <w:jc w:val="center"/>
              <w:rPr>
                <w:szCs w:val="21"/>
              </w:rPr>
            </w:pPr>
            <w:r>
              <w:rPr>
                <w:szCs w:val="21"/>
              </w:rPr>
              <w:t>360人</w:t>
            </w:r>
          </w:p>
        </w:tc>
        <w:tc>
          <w:tcPr>
            <w:tcW w:w="421" w:type="pct"/>
            <w:tcBorders>
              <w:right w:val="single" w:color="auto" w:sz="4" w:space="0"/>
            </w:tcBorders>
            <w:noWrap w:val="0"/>
            <w:vAlign w:val="center"/>
          </w:tcPr>
          <w:p w14:paraId="34E59792">
            <w:pPr>
              <w:spacing w:line="300" w:lineRule="auto"/>
              <w:jc w:val="center"/>
              <w:rPr>
                <w:szCs w:val="21"/>
              </w:rPr>
            </w:pPr>
            <w:r>
              <w:rPr>
                <w:szCs w:val="21"/>
              </w:rPr>
              <w:t>1290</w:t>
            </w:r>
          </w:p>
        </w:tc>
        <w:tc>
          <w:tcPr>
            <w:tcW w:w="1183" w:type="pct"/>
            <w:vMerge w:val="continue"/>
            <w:tcBorders>
              <w:left w:val="single" w:color="auto" w:sz="4" w:space="0"/>
              <w:right w:val="single" w:color="auto" w:sz="4" w:space="0"/>
            </w:tcBorders>
            <w:noWrap w:val="0"/>
            <w:vAlign w:val="center"/>
          </w:tcPr>
          <w:p w14:paraId="25C6C9BB">
            <w:pPr>
              <w:spacing w:line="300" w:lineRule="auto"/>
              <w:jc w:val="center"/>
              <w:rPr>
                <w:szCs w:val="21"/>
              </w:rPr>
            </w:pPr>
          </w:p>
        </w:tc>
      </w:tr>
      <w:tr w14:paraId="67904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35" w:hRule="atLeast"/>
          <w:jc w:val="center"/>
        </w:trPr>
        <w:tc>
          <w:tcPr>
            <w:tcW w:w="241" w:type="pct"/>
            <w:vMerge w:val="continue"/>
            <w:noWrap w:val="0"/>
            <w:vAlign w:val="center"/>
          </w:tcPr>
          <w:p w14:paraId="12005DF3">
            <w:pPr>
              <w:spacing w:line="300" w:lineRule="auto"/>
              <w:jc w:val="center"/>
              <w:rPr>
                <w:szCs w:val="21"/>
              </w:rPr>
            </w:pPr>
          </w:p>
        </w:tc>
        <w:tc>
          <w:tcPr>
            <w:tcW w:w="720" w:type="pct"/>
            <w:noWrap w:val="0"/>
            <w:vAlign w:val="center"/>
          </w:tcPr>
          <w:p w14:paraId="781D2FE2">
            <w:pPr>
              <w:spacing w:line="300" w:lineRule="auto"/>
              <w:jc w:val="center"/>
              <w:rPr>
                <w:szCs w:val="21"/>
              </w:rPr>
            </w:pPr>
            <w:r>
              <w:rPr>
                <w:szCs w:val="21"/>
              </w:rPr>
              <w:t>起女黑</w:t>
            </w:r>
          </w:p>
        </w:tc>
        <w:tc>
          <w:tcPr>
            <w:tcW w:w="839" w:type="pct"/>
            <w:noWrap w:val="0"/>
            <w:vAlign w:val="center"/>
          </w:tcPr>
          <w:p w14:paraId="17221A99">
            <w:pPr>
              <w:spacing w:line="300" w:lineRule="auto"/>
              <w:jc w:val="center"/>
              <w:rPr>
                <w:szCs w:val="21"/>
              </w:rPr>
            </w:pPr>
            <w:r>
              <w:rPr>
                <w:szCs w:val="21"/>
              </w:rPr>
              <w:t>103°34′43.99″</w:t>
            </w:r>
          </w:p>
        </w:tc>
        <w:tc>
          <w:tcPr>
            <w:tcW w:w="750" w:type="pct"/>
            <w:noWrap w:val="0"/>
            <w:vAlign w:val="center"/>
          </w:tcPr>
          <w:p w14:paraId="455FDFB2">
            <w:pPr>
              <w:spacing w:line="300" w:lineRule="auto"/>
              <w:jc w:val="center"/>
              <w:rPr>
                <w:szCs w:val="21"/>
              </w:rPr>
            </w:pPr>
            <w:r>
              <w:rPr>
                <w:szCs w:val="21"/>
              </w:rPr>
              <w:t>24°33′43.87″</w:t>
            </w:r>
          </w:p>
        </w:tc>
        <w:tc>
          <w:tcPr>
            <w:tcW w:w="310" w:type="pct"/>
            <w:noWrap w:val="0"/>
            <w:vAlign w:val="center"/>
          </w:tcPr>
          <w:p w14:paraId="3F23C491">
            <w:pPr>
              <w:spacing w:line="300" w:lineRule="auto"/>
              <w:jc w:val="center"/>
              <w:rPr>
                <w:szCs w:val="21"/>
              </w:rPr>
            </w:pPr>
            <w:r>
              <w:rPr>
                <w:szCs w:val="21"/>
              </w:rPr>
              <w:t>南</w:t>
            </w:r>
          </w:p>
        </w:tc>
        <w:tc>
          <w:tcPr>
            <w:tcW w:w="516" w:type="pct"/>
            <w:noWrap w:val="0"/>
            <w:vAlign w:val="center"/>
          </w:tcPr>
          <w:p w14:paraId="55307EFE">
            <w:pPr>
              <w:spacing w:line="300" w:lineRule="auto"/>
              <w:jc w:val="center"/>
              <w:rPr>
                <w:szCs w:val="21"/>
              </w:rPr>
            </w:pPr>
            <w:r>
              <w:rPr>
                <w:szCs w:val="21"/>
              </w:rPr>
              <w:t>30人</w:t>
            </w:r>
          </w:p>
        </w:tc>
        <w:tc>
          <w:tcPr>
            <w:tcW w:w="421" w:type="pct"/>
            <w:tcBorders>
              <w:right w:val="single" w:color="auto" w:sz="4" w:space="0"/>
            </w:tcBorders>
            <w:noWrap w:val="0"/>
            <w:vAlign w:val="center"/>
          </w:tcPr>
          <w:p w14:paraId="2566491F">
            <w:pPr>
              <w:spacing w:line="300" w:lineRule="auto"/>
              <w:jc w:val="center"/>
              <w:rPr>
                <w:szCs w:val="21"/>
              </w:rPr>
            </w:pPr>
            <w:r>
              <w:rPr>
                <w:szCs w:val="21"/>
              </w:rPr>
              <w:t>2450</w:t>
            </w:r>
          </w:p>
        </w:tc>
        <w:tc>
          <w:tcPr>
            <w:tcW w:w="1183" w:type="pct"/>
            <w:vMerge w:val="continue"/>
            <w:tcBorders>
              <w:left w:val="single" w:color="auto" w:sz="4" w:space="0"/>
              <w:right w:val="single" w:color="auto" w:sz="4" w:space="0"/>
            </w:tcBorders>
            <w:noWrap w:val="0"/>
            <w:vAlign w:val="center"/>
          </w:tcPr>
          <w:p w14:paraId="734D0DA4">
            <w:pPr>
              <w:spacing w:line="300" w:lineRule="auto"/>
              <w:jc w:val="center"/>
              <w:rPr>
                <w:szCs w:val="21"/>
              </w:rPr>
            </w:pPr>
          </w:p>
        </w:tc>
      </w:tr>
      <w:tr w14:paraId="5B4921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807" w:hRule="atLeast"/>
          <w:jc w:val="center"/>
        </w:trPr>
        <w:tc>
          <w:tcPr>
            <w:tcW w:w="241" w:type="pct"/>
            <w:noWrap w:val="0"/>
            <w:vAlign w:val="center"/>
          </w:tcPr>
          <w:p w14:paraId="009E787B">
            <w:pPr>
              <w:spacing w:line="300" w:lineRule="auto"/>
              <w:jc w:val="center"/>
            </w:pPr>
            <w:r>
              <w:t>水环境</w:t>
            </w:r>
          </w:p>
        </w:tc>
        <w:tc>
          <w:tcPr>
            <w:tcW w:w="720" w:type="pct"/>
            <w:tcBorders>
              <w:bottom w:val="single" w:color="auto" w:sz="4" w:space="0"/>
            </w:tcBorders>
            <w:noWrap w:val="0"/>
            <w:vAlign w:val="center"/>
          </w:tcPr>
          <w:p w14:paraId="40BA433F">
            <w:pPr>
              <w:spacing w:line="300" w:lineRule="auto"/>
              <w:jc w:val="center"/>
            </w:pPr>
            <w:r>
              <w:rPr>
                <w:szCs w:val="21"/>
              </w:rPr>
              <w:t>白马河（普拉河）</w:t>
            </w:r>
          </w:p>
        </w:tc>
        <w:tc>
          <w:tcPr>
            <w:tcW w:w="839" w:type="pct"/>
            <w:tcBorders>
              <w:bottom w:val="single" w:color="auto" w:sz="4" w:space="0"/>
            </w:tcBorders>
            <w:noWrap w:val="0"/>
            <w:vAlign w:val="center"/>
          </w:tcPr>
          <w:p w14:paraId="11A7A8A2">
            <w:pPr>
              <w:spacing w:line="300" w:lineRule="auto"/>
              <w:jc w:val="center"/>
            </w:pPr>
            <w:r>
              <w:t>/</w:t>
            </w:r>
          </w:p>
        </w:tc>
        <w:tc>
          <w:tcPr>
            <w:tcW w:w="750" w:type="pct"/>
            <w:tcBorders>
              <w:bottom w:val="single" w:color="auto" w:sz="4" w:space="0"/>
            </w:tcBorders>
            <w:noWrap w:val="0"/>
            <w:vAlign w:val="center"/>
          </w:tcPr>
          <w:p w14:paraId="2C562889">
            <w:pPr>
              <w:spacing w:line="300" w:lineRule="auto"/>
              <w:jc w:val="center"/>
            </w:pPr>
            <w:r>
              <w:t>/</w:t>
            </w:r>
          </w:p>
        </w:tc>
        <w:tc>
          <w:tcPr>
            <w:tcW w:w="310" w:type="pct"/>
            <w:tcBorders>
              <w:bottom w:val="single" w:color="auto" w:sz="4" w:space="0"/>
            </w:tcBorders>
            <w:noWrap w:val="0"/>
            <w:vAlign w:val="center"/>
          </w:tcPr>
          <w:p w14:paraId="22BED606">
            <w:pPr>
              <w:spacing w:line="300" w:lineRule="auto"/>
              <w:jc w:val="center"/>
            </w:pPr>
            <w:r>
              <w:rPr>
                <w:szCs w:val="21"/>
              </w:rPr>
              <w:t>北面</w:t>
            </w:r>
          </w:p>
        </w:tc>
        <w:tc>
          <w:tcPr>
            <w:tcW w:w="516" w:type="pct"/>
            <w:tcBorders>
              <w:bottom w:val="single" w:color="auto" w:sz="4" w:space="0"/>
            </w:tcBorders>
            <w:noWrap w:val="0"/>
            <w:vAlign w:val="center"/>
          </w:tcPr>
          <w:p w14:paraId="5D57F9B7">
            <w:pPr>
              <w:spacing w:line="300" w:lineRule="auto"/>
              <w:jc w:val="center"/>
            </w:pPr>
            <w:r>
              <w:t>/</w:t>
            </w:r>
          </w:p>
        </w:tc>
        <w:tc>
          <w:tcPr>
            <w:tcW w:w="421" w:type="pct"/>
            <w:tcBorders>
              <w:bottom w:val="single" w:color="auto" w:sz="4" w:space="0"/>
              <w:right w:val="single" w:color="auto" w:sz="4" w:space="0"/>
            </w:tcBorders>
            <w:noWrap w:val="0"/>
            <w:vAlign w:val="center"/>
          </w:tcPr>
          <w:p w14:paraId="39BCBAF0">
            <w:pPr>
              <w:spacing w:line="300" w:lineRule="auto"/>
              <w:jc w:val="center"/>
              <w:rPr>
                <w:szCs w:val="21"/>
              </w:rPr>
            </w:pPr>
            <w:r>
              <w:rPr>
                <w:szCs w:val="21"/>
              </w:rPr>
              <w:t>50</w:t>
            </w:r>
          </w:p>
        </w:tc>
        <w:tc>
          <w:tcPr>
            <w:tcW w:w="1183" w:type="pct"/>
            <w:tcBorders>
              <w:left w:val="single" w:color="auto" w:sz="4" w:space="0"/>
              <w:right w:val="single" w:color="auto" w:sz="4" w:space="0"/>
            </w:tcBorders>
            <w:noWrap w:val="0"/>
            <w:vAlign w:val="center"/>
          </w:tcPr>
          <w:p w14:paraId="0C1A5AC0">
            <w:pPr>
              <w:spacing w:line="300" w:lineRule="auto"/>
              <w:jc w:val="center"/>
              <w:rPr>
                <w:szCs w:val="21"/>
              </w:rPr>
            </w:pPr>
            <w:r>
              <w:rPr>
                <w:szCs w:val="21"/>
              </w:rPr>
              <w:t>GB3838-2002《地表水环境质量标准》II类标准</w:t>
            </w:r>
          </w:p>
        </w:tc>
      </w:tr>
      <w:tr w14:paraId="29C5A0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17" w:type="pct"/>
          <w:trHeight w:val="544" w:hRule="atLeast"/>
          <w:jc w:val="center"/>
        </w:trPr>
        <w:tc>
          <w:tcPr>
            <w:tcW w:w="241" w:type="pct"/>
            <w:noWrap w:val="0"/>
            <w:vAlign w:val="center"/>
          </w:tcPr>
          <w:p w14:paraId="1F054E81">
            <w:pPr>
              <w:spacing w:line="300" w:lineRule="auto"/>
              <w:jc w:val="center"/>
            </w:pPr>
            <w:r>
              <w:t>地下水</w:t>
            </w:r>
          </w:p>
        </w:tc>
        <w:tc>
          <w:tcPr>
            <w:tcW w:w="720" w:type="pct"/>
            <w:tcBorders>
              <w:bottom w:val="single" w:color="auto" w:sz="4" w:space="0"/>
            </w:tcBorders>
            <w:noWrap w:val="0"/>
            <w:vAlign w:val="center"/>
          </w:tcPr>
          <w:p w14:paraId="3F16637E">
            <w:pPr>
              <w:spacing w:line="300" w:lineRule="auto"/>
              <w:jc w:val="center"/>
              <w:rPr>
                <w:szCs w:val="21"/>
              </w:rPr>
            </w:pPr>
            <w:r>
              <w:rPr>
                <w:szCs w:val="21"/>
              </w:rPr>
              <w:t>地下水文地质单元</w:t>
            </w:r>
          </w:p>
        </w:tc>
        <w:tc>
          <w:tcPr>
            <w:tcW w:w="839" w:type="pct"/>
            <w:tcBorders>
              <w:bottom w:val="single" w:color="auto" w:sz="4" w:space="0"/>
            </w:tcBorders>
            <w:noWrap w:val="0"/>
            <w:vAlign w:val="center"/>
          </w:tcPr>
          <w:p w14:paraId="081D5BD6">
            <w:pPr>
              <w:spacing w:line="300" w:lineRule="auto"/>
              <w:jc w:val="center"/>
            </w:pPr>
            <w:r>
              <w:t>/</w:t>
            </w:r>
          </w:p>
        </w:tc>
        <w:tc>
          <w:tcPr>
            <w:tcW w:w="750" w:type="pct"/>
            <w:tcBorders>
              <w:bottom w:val="single" w:color="auto" w:sz="4" w:space="0"/>
            </w:tcBorders>
            <w:noWrap w:val="0"/>
            <w:vAlign w:val="center"/>
          </w:tcPr>
          <w:p w14:paraId="58FD9613">
            <w:pPr>
              <w:spacing w:line="300" w:lineRule="auto"/>
              <w:jc w:val="center"/>
            </w:pPr>
            <w:r>
              <w:t>/</w:t>
            </w:r>
          </w:p>
        </w:tc>
        <w:tc>
          <w:tcPr>
            <w:tcW w:w="310" w:type="pct"/>
            <w:tcBorders>
              <w:bottom w:val="single" w:color="auto" w:sz="4" w:space="0"/>
            </w:tcBorders>
            <w:noWrap w:val="0"/>
            <w:vAlign w:val="center"/>
          </w:tcPr>
          <w:p w14:paraId="2557D232">
            <w:pPr>
              <w:spacing w:line="300" w:lineRule="auto"/>
              <w:jc w:val="center"/>
              <w:rPr>
                <w:szCs w:val="21"/>
              </w:rPr>
            </w:pPr>
            <w:r>
              <w:rPr>
                <w:szCs w:val="21"/>
              </w:rPr>
              <w:t>/</w:t>
            </w:r>
          </w:p>
        </w:tc>
        <w:tc>
          <w:tcPr>
            <w:tcW w:w="516" w:type="pct"/>
            <w:tcBorders>
              <w:bottom w:val="single" w:color="auto" w:sz="4" w:space="0"/>
            </w:tcBorders>
            <w:noWrap w:val="0"/>
            <w:vAlign w:val="center"/>
          </w:tcPr>
          <w:p w14:paraId="4628893B">
            <w:pPr>
              <w:spacing w:line="300" w:lineRule="auto"/>
              <w:jc w:val="center"/>
            </w:pPr>
            <w:r>
              <w:t>/</w:t>
            </w:r>
          </w:p>
        </w:tc>
        <w:tc>
          <w:tcPr>
            <w:tcW w:w="421" w:type="pct"/>
            <w:tcBorders>
              <w:bottom w:val="single" w:color="auto" w:sz="4" w:space="0"/>
              <w:right w:val="single" w:color="auto" w:sz="4" w:space="0"/>
            </w:tcBorders>
            <w:noWrap w:val="0"/>
            <w:vAlign w:val="center"/>
          </w:tcPr>
          <w:p w14:paraId="12B7701C">
            <w:pPr>
              <w:spacing w:line="300" w:lineRule="auto"/>
              <w:jc w:val="center"/>
            </w:pPr>
            <w:r>
              <w:t>/</w:t>
            </w:r>
          </w:p>
          <w:p w14:paraId="70C08F67">
            <w:pPr>
              <w:spacing w:line="300" w:lineRule="auto"/>
              <w:jc w:val="center"/>
              <w:rPr>
                <w:szCs w:val="21"/>
              </w:rPr>
            </w:pPr>
          </w:p>
        </w:tc>
        <w:tc>
          <w:tcPr>
            <w:tcW w:w="1183" w:type="pct"/>
            <w:tcBorders>
              <w:left w:val="single" w:color="auto" w:sz="4" w:space="0"/>
              <w:right w:val="single" w:color="auto" w:sz="4" w:space="0"/>
            </w:tcBorders>
            <w:noWrap w:val="0"/>
            <w:vAlign w:val="center"/>
          </w:tcPr>
          <w:p w14:paraId="3F9D19B2">
            <w:pPr>
              <w:spacing w:line="300" w:lineRule="auto"/>
              <w:jc w:val="center"/>
              <w:rPr>
                <w:szCs w:val="21"/>
              </w:rPr>
            </w:pPr>
            <w:r>
              <w:rPr>
                <w:szCs w:val="21"/>
              </w:rPr>
              <w:t>GB/T14848－2017《地下水环境质量标准》Ⅲ类标准</w:t>
            </w:r>
          </w:p>
        </w:tc>
      </w:tr>
      <w:tr w14:paraId="6AA3C2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After w:w="0" w:type="auto"/>
          <w:trHeight w:val="1135" w:hRule="atLeast"/>
          <w:jc w:val="center"/>
        </w:trPr>
        <w:tc>
          <w:tcPr>
            <w:tcW w:w="241" w:type="pct"/>
            <w:noWrap w:val="0"/>
            <w:vAlign w:val="center"/>
          </w:tcPr>
          <w:p w14:paraId="012C6F66">
            <w:pPr>
              <w:spacing w:line="300" w:lineRule="auto"/>
              <w:jc w:val="center"/>
            </w:pPr>
            <w:r>
              <w:t>生态</w:t>
            </w:r>
          </w:p>
          <w:p w14:paraId="23936096">
            <w:pPr>
              <w:spacing w:line="300" w:lineRule="auto"/>
              <w:jc w:val="center"/>
            </w:pPr>
            <w:r>
              <w:t>环境</w:t>
            </w:r>
          </w:p>
        </w:tc>
        <w:tc>
          <w:tcPr>
            <w:tcW w:w="720" w:type="pct"/>
            <w:noWrap w:val="0"/>
            <w:vAlign w:val="center"/>
          </w:tcPr>
          <w:p w14:paraId="4551E567">
            <w:pPr>
              <w:spacing w:line="300" w:lineRule="auto"/>
              <w:jc w:val="center"/>
            </w:pPr>
            <w:r>
              <w:rPr>
                <w:szCs w:val="21"/>
              </w:rPr>
              <w:t>评价范围内的植被、动植物、水土流失、土地利用等</w:t>
            </w:r>
            <w:r>
              <w:rPr>
                <w:rFonts w:hint="eastAsia"/>
                <w:szCs w:val="21"/>
              </w:rPr>
              <w:t>；圭山国家森林公园</w:t>
            </w:r>
          </w:p>
        </w:tc>
        <w:tc>
          <w:tcPr>
            <w:tcW w:w="839" w:type="pct"/>
            <w:noWrap w:val="0"/>
            <w:vAlign w:val="center"/>
          </w:tcPr>
          <w:p w14:paraId="13B80653">
            <w:pPr>
              <w:spacing w:line="300" w:lineRule="auto"/>
              <w:jc w:val="center"/>
            </w:pPr>
            <w:r>
              <w:t>/</w:t>
            </w:r>
          </w:p>
        </w:tc>
        <w:tc>
          <w:tcPr>
            <w:tcW w:w="750" w:type="pct"/>
            <w:noWrap w:val="0"/>
            <w:vAlign w:val="center"/>
          </w:tcPr>
          <w:p w14:paraId="52E42AD7">
            <w:pPr>
              <w:spacing w:line="300" w:lineRule="auto"/>
              <w:jc w:val="center"/>
            </w:pPr>
            <w:r>
              <w:t>/</w:t>
            </w:r>
          </w:p>
        </w:tc>
        <w:tc>
          <w:tcPr>
            <w:tcW w:w="1248" w:type="pct"/>
            <w:gridSpan w:val="3"/>
            <w:tcBorders>
              <w:right w:val="single" w:color="auto" w:sz="4" w:space="0"/>
            </w:tcBorders>
            <w:noWrap w:val="0"/>
            <w:vAlign w:val="center"/>
          </w:tcPr>
          <w:p w14:paraId="4802D592">
            <w:pPr>
              <w:spacing w:line="300" w:lineRule="auto"/>
              <w:jc w:val="center"/>
              <w:rPr>
                <w:szCs w:val="21"/>
              </w:rPr>
            </w:pPr>
            <w:r>
              <w:t>项目区及周边200m范围</w:t>
            </w:r>
          </w:p>
        </w:tc>
        <w:tc>
          <w:tcPr>
            <w:tcW w:w="1200" w:type="pct"/>
            <w:gridSpan w:val="2"/>
            <w:tcBorders>
              <w:left w:val="single" w:color="auto" w:sz="4" w:space="0"/>
              <w:right w:val="single" w:color="auto" w:sz="4" w:space="0"/>
            </w:tcBorders>
            <w:noWrap w:val="0"/>
            <w:vAlign w:val="center"/>
          </w:tcPr>
          <w:p w14:paraId="02EB9C54">
            <w:pPr>
              <w:spacing w:line="300" w:lineRule="auto"/>
              <w:jc w:val="center"/>
              <w:rPr>
                <w:szCs w:val="21"/>
              </w:rPr>
            </w:pPr>
            <w:r>
              <w:rPr>
                <w:szCs w:val="21"/>
              </w:rPr>
              <w:t>不降低现有生态功能</w:t>
            </w:r>
          </w:p>
        </w:tc>
      </w:tr>
      <w:tr w14:paraId="4ECB37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After w:w="0" w:type="auto"/>
          <w:trHeight w:val="1245" w:hRule="atLeast"/>
          <w:jc w:val="center"/>
        </w:trPr>
        <w:tc>
          <w:tcPr>
            <w:tcW w:w="241" w:type="pct"/>
            <w:noWrap w:val="0"/>
            <w:vAlign w:val="center"/>
          </w:tcPr>
          <w:p w14:paraId="58981324">
            <w:pPr>
              <w:spacing w:line="300" w:lineRule="auto"/>
              <w:jc w:val="center"/>
            </w:pPr>
            <w:r>
              <w:rPr>
                <w:szCs w:val="21"/>
              </w:rPr>
              <w:t>土壤环境</w:t>
            </w:r>
          </w:p>
        </w:tc>
        <w:tc>
          <w:tcPr>
            <w:tcW w:w="720" w:type="pct"/>
            <w:noWrap w:val="0"/>
            <w:vAlign w:val="center"/>
          </w:tcPr>
          <w:p w14:paraId="00D13E3F">
            <w:pPr>
              <w:spacing w:line="300" w:lineRule="auto"/>
              <w:jc w:val="center"/>
              <w:rPr>
                <w:szCs w:val="21"/>
              </w:rPr>
            </w:pPr>
            <w:r>
              <w:rPr>
                <w:szCs w:val="21"/>
              </w:rPr>
              <w:t>土壤</w:t>
            </w:r>
          </w:p>
        </w:tc>
        <w:tc>
          <w:tcPr>
            <w:tcW w:w="839" w:type="pct"/>
            <w:noWrap w:val="0"/>
            <w:vAlign w:val="center"/>
          </w:tcPr>
          <w:p w14:paraId="27CA0B5F">
            <w:pPr>
              <w:spacing w:line="300" w:lineRule="auto"/>
              <w:jc w:val="center"/>
            </w:pPr>
            <w:r>
              <w:t>/</w:t>
            </w:r>
          </w:p>
        </w:tc>
        <w:tc>
          <w:tcPr>
            <w:tcW w:w="750" w:type="pct"/>
            <w:noWrap w:val="0"/>
            <w:vAlign w:val="center"/>
          </w:tcPr>
          <w:p w14:paraId="399975CB">
            <w:pPr>
              <w:spacing w:line="300" w:lineRule="auto"/>
              <w:jc w:val="center"/>
            </w:pPr>
            <w:r>
              <w:t>/</w:t>
            </w:r>
          </w:p>
        </w:tc>
        <w:tc>
          <w:tcPr>
            <w:tcW w:w="1248" w:type="pct"/>
            <w:gridSpan w:val="3"/>
            <w:tcBorders>
              <w:right w:val="single" w:color="auto" w:sz="4" w:space="0"/>
            </w:tcBorders>
            <w:noWrap w:val="0"/>
            <w:vAlign w:val="center"/>
          </w:tcPr>
          <w:p w14:paraId="05D014AF">
            <w:pPr>
              <w:spacing w:line="300" w:lineRule="auto"/>
              <w:jc w:val="center"/>
              <w:rPr>
                <w:szCs w:val="21"/>
              </w:rPr>
            </w:pPr>
            <w:r>
              <w:rPr>
                <w:szCs w:val="21"/>
              </w:rPr>
              <w:t>项目区</w:t>
            </w:r>
            <w:r>
              <w:t>及周边50m范围</w:t>
            </w:r>
          </w:p>
        </w:tc>
        <w:tc>
          <w:tcPr>
            <w:tcW w:w="1200" w:type="pct"/>
            <w:gridSpan w:val="2"/>
            <w:tcBorders>
              <w:left w:val="single" w:color="auto" w:sz="4" w:space="0"/>
              <w:right w:val="single" w:color="auto" w:sz="4" w:space="0"/>
            </w:tcBorders>
            <w:noWrap w:val="0"/>
            <w:vAlign w:val="center"/>
          </w:tcPr>
          <w:p w14:paraId="786647DC">
            <w:pPr>
              <w:spacing w:line="300" w:lineRule="auto"/>
              <w:jc w:val="center"/>
              <w:rPr>
                <w:szCs w:val="21"/>
              </w:rPr>
            </w:pPr>
            <w:r>
              <w:rPr>
                <w:szCs w:val="21"/>
              </w:rPr>
              <w:t>GB36600-2018《土壤环境质量建设用地土壤污染风险管控标准》表1 第二类用地筛选值标准</w:t>
            </w:r>
          </w:p>
        </w:tc>
      </w:tr>
    </w:tbl>
    <w:p w14:paraId="058A9221">
      <w:pPr>
        <w:rPr>
          <w:sz w:val="18"/>
          <w:szCs w:val="18"/>
        </w:rPr>
      </w:pPr>
      <w:r>
        <w:rPr>
          <w:sz w:val="18"/>
          <w:szCs w:val="18"/>
        </w:rPr>
        <w:t>注：声环境200m范围内无敏感保护目标。</w:t>
      </w:r>
    </w:p>
    <w:p w14:paraId="369AEF27">
      <w:pPr>
        <w:pStyle w:val="5"/>
        <w:tabs>
          <w:tab w:val="left" w:pos="2895"/>
        </w:tabs>
        <w:spacing w:before="0" w:after="0" w:line="360" w:lineRule="auto"/>
        <w:rPr>
          <w:sz w:val="32"/>
          <w:szCs w:val="32"/>
        </w:rPr>
        <w:sectPr>
          <w:pgSz w:w="16838" w:h="11906" w:orient="landscape"/>
          <w:pgMar w:top="1797" w:right="1440" w:bottom="1797" w:left="1361" w:header="720" w:footer="720" w:gutter="0"/>
          <w:cols w:space="720" w:num="1"/>
        </w:sectPr>
      </w:pPr>
    </w:p>
    <w:bookmarkEnd w:id="0"/>
    <w:bookmarkEnd w:id="1"/>
    <w:bookmarkEnd w:id="2"/>
    <w:bookmarkEnd w:id="3"/>
    <w:bookmarkEnd w:id="4"/>
    <w:bookmarkEnd w:id="5"/>
    <w:bookmarkEnd w:id="6"/>
    <w:p w14:paraId="13847039">
      <w:pPr>
        <w:pStyle w:val="5"/>
        <w:tabs>
          <w:tab w:val="left" w:pos="2895"/>
        </w:tabs>
        <w:spacing w:before="0" w:after="0" w:line="360" w:lineRule="auto"/>
        <w:rPr>
          <w:b w:val="0"/>
          <w:sz w:val="32"/>
          <w:szCs w:val="32"/>
        </w:rPr>
      </w:pPr>
      <w:bookmarkStart w:id="43" w:name="_Toc25634"/>
      <w:bookmarkStart w:id="44" w:name="_Toc339009581"/>
      <w:r>
        <w:rPr>
          <w:sz w:val="32"/>
          <w:szCs w:val="32"/>
        </w:rPr>
        <w:t>3建设项目工程分析</w:t>
      </w:r>
      <w:bookmarkEnd w:id="43"/>
    </w:p>
    <w:p w14:paraId="46ACBB99">
      <w:pPr>
        <w:pStyle w:val="6"/>
        <w:spacing w:before="0" w:after="0" w:line="360" w:lineRule="auto"/>
        <w:rPr>
          <w:rFonts w:ascii="Times New Roman" w:hAnsi="Times New Roman" w:eastAsia="宋体"/>
          <w:sz w:val="30"/>
          <w:szCs w:val="30"/>
        </w:rPr>
      </w:pPr>
      <w:bookmarkStart w:id="45" w:name="_Toc18295"/>
      <w:r>
        <w:rPr>
          <w:rFonts w:ascii="Times New Roman" w:hAnsi="Times New Roman" w:eastAsia="宋体"/>
          <w:sz w:val="30"/>
          <w:szCs w:val="30"/>
        </w:rPr>
        <w:t>3.1建设项目概况</w:t>
      </w:r>
      <w:bookmarkEnd w:id="45"/>
    </w:p>
    <w:p w14:paraId="04C68939">
      <w:pPr>
        <w:pStyle w:val="7"/>
        <w:spacing w:before="0" w:after="0" w:line="360" w:lineRule="auto"/>
        <w:rPr>
          <w:rFonts w:ascii="Times New Roman" w:hAnsi="Times New Roman"/>
          <w:sz w:val="28"/>
          <w:szCs w:val="28"/>
        </w:rPr>
      </w:pPr>
      <w:r>
        <w:rPr>
          <w:rFonts w:ascii="Times New Roman" w:hAnsi="Times New Roman"/>
          <w:sz w:val="28"/>
          <w:szCs w:val="28"/>
        </w:rPr>
        <w:t>3.1.1 项目基本概况</w:t>
      </w:r>
    </w:p>
    <w:p w14:paraId="66D58014">
      <w:pPr>
        <w:spacing w:line="360" w:lineRule="auto"/>
        <w:ind w:firstLine="480" w:firstLineChars="200"/>
        <w:rPr>
          <w:sz w:val="24"/>
        </w:rPr>
      </w:pPr>
      <w:r>
        <w:rPr>
          <w:sz w:val="24"/>
        </w:rPr>
        <w:t>项目名称：石林源美养殖场项目；</w:t>
      </w:r>
    </w:p>
    <w:p w14:paraId="368BE166">
      <w:pPr>
        <w:spacing w:line="360" w:lineRule="auto"/>
        <w:ind w:firstLine="480" w:firstLineChars="200"/>
        <w:rPr>
          <w:sz w:val="24"/>
        </w:rPr>
      </w:pPr>
      <w:r>
        <w:rPr>
          <w:sz w:val="24"/>
        </w:rPr>
        <w:t>项目性质：新建；</w:t>
      </w:r>
    </w:p>
    <w:p w14:paraId="7BE05DC1">
      <w:pPr>
        <w:spacing w:line="360" w:lineRule="auto"/>
        <w:ind w:firstLine="480" w:firstLineChars="200"/>
        <w:rPr>
          <w:sz w:val="24"/>
        </w:rPr>
      </w:pPr>
      <w:r>
        <w:rPr>
          <w:sz w:val="24"/>
        </w:rPr>
        <w:t>建设单位：石林源美农业发展有限公司；</w:t>
      </w:r>
    </w:p>
    <w:p w14:paraId="0BA568A5">
      <w:pPr>
        <w:spacing w:line="360" w:lineRule="auto"/>
        <w:ind w:firstLine="480" w:firstLineChars="200"/>
        <w:rPr>
          <w:snapToGrid w:val="0"/>
          <w:sz w:val="24"/>
        </w:rPr>
      </w:pPr>
      <w:r>
        <w:rPr>
          <w:sz w:val="24"/>
        </w:rPr>
        <w:t>建设地点</w:t>
      </w:r>
      <w:r>
        <w:rPr>
          <w:snapToGrid w:val="0"/>
          <w:sz w:val="24"/>
        </w:rPr>
        <w:t>：昆明市石林彝族自治县圭山镇法块村委会法块村，普拉河村委会上寨村；</w:t>
      </w:r>
    </w:p>
    <w:p w14:paraId="33327D5D">
      <w:pPr>
        <w:spacing w:line="360" w:lineRule="auto"/>
        <w:ind w:firstLine="480" w:firstLineChars="200"/>
        <w:rPr>
          <w:sz w:val="24"/>
        </w:rPr>
      </w:pPr>
      <w:r>
        <w:rPr>
          <w:snapToGrid w:val="0"/>
          <w:sz w:val="24"/>
        </w:rPr>
        <w:t>占地面积：77332.56m</w:t>
      </w:r>
      <w:r>
        <w:rPr>
          <w:sz w:val="24"/>
          <w:vertAlign w:val="superscript"/>
        </w:rPr>
        <w:t>2</w:t>
      </w:r>
      <w:r>
        <w:rPr>
          <w:sz w:val="24"/>
        </w:rPr>
        <w:t>（116亩），分为两个区块，5块场地，其中：地块一占地面积36026.3m</w:t>
      </w:r>
      <w:r>
        <w:rPr>
          <w:sz w:val="24"/>
          <w:vertAlign w:val="superscript"/>
        </w:rPr>
        <w:t>2</w:t>
      </w:r>
      <w:r>
        <w:rPr>
          <w:sz w:val="24"/>
        </w:rPr>
        <w:t>（54.04亩），分为3块场地；地块二占地面积41592.92m</w:t>
      </w:r>
      <w:r>
        <w:rPr>
          <w:sz w:val="24"/>
          <w:vertAlign w:val="superscript"/>
        </w:rPr>
        <w:t>2</w:t>
      </w:r>
      <w:r>
        <w:rPr>
          <w:sz w:val="24"/>
        </w:rPr>
        <w:t>（62.39亩），分为2块场地；场地划分具体见下表：</w:t>
      </w:r>
    </w:p>
    <w:p w14:paraId="20B99CEC">
      <w:pPr>
        <w:pStyle w:val="35"/>
        <w:jc w:val="center"/>
        <w:rPr>
          <w:b/>
          <w:bCs/>
          <w:sz w:val="24"/>
        </w:rPr>
      </w:pPr>
      <w:r>
        <w:rPr>
          <w:b/>
          <w:bCs/>
          <w:sz w:val="24"/>
        </w:rPr>
        <w:t>表3.1-1 地块划分表</w:t>
      </w:r>
    </w:p>
    <w:tbl>
      <w:tblPr>
        <w:tblStyle w:val="87"/>
        <w:tblW w:w="4515" w:type="pct"/>
        <w:jc w:val="center"/>
        <w:tblLayout w:type="autofit"/>
        <w:tblCellMar>
          <w:top w:w="0" w:type="dxa"/>
          <w:left w:w="108" w:type="dxa"/>
          <w:bottom w:w="0" w:type="dxa"/>
          <w:right w:w="108" w:type="dxa"/>
        </w:tblCellMar>
      </w:tblPr>
      <w:tblGrid>
        <w:gridCol w:w="1102"/>
        <w:gridCol w:w="3652"/>
        <w:gridCol w:w="2947"/>
      </w:tblGrid>
      <w:tr w14:paraId="19B4EA44">
        <w:tblPrEx>
          <w:tblCellMar>
            <w:top w:w="0" w:type="dxa"/>
            <w:left w:w="108" w:type="dxa"/>
            <w:bottom w:w="0" w:type="dxa"/>
            <w:right w:w="108" w:type="dxa"/>
          </w:tblCellMar>
        </w:tblPrEx>
        <w:trPr>
          <w:trHeight w:val="285" w:hRule="atLeast"/>
          <w:jc w:val="center"/>
        </w:trPr>
        <w:tc>
          <w:tcPr>
            <w:tcW w:w="764" w:type="pct"/>
            <w:tcBorders>
              <w:top w:val="single" w:color="000000" w:sz="4" w:space="0"/>
              <w:left w:val="single" w:color="000000" w:sz="4" w:space="0"/>
              <w:bottom w:val="single" w:color="000000" w:sz="4" w:space="0"/>
              <w:right w:val="single" w:color="000000" w:sz="4" w:space="0"/>
            </w:tcBorders>
            <w:noWrap/>
            <w:vAlign w:val="center"/>
          </w:tcPr>
          <w:p w14:paraId="05A489BD">
            <w:pPr>
              <w:widowControl/>
              <w:jc w:val="center"/>
              <w:textAlignment w:val="center"/>
              <w:rPr>
                <w:b/>
                <w:bCs/>
                <w:kern w:val="0"/>
                <w:szCs w:val="21"/>
                <w:lang w:bidi="ar"/>
              </w:rPr>
            </w:pPr>
            <w:r>
              <w:rPr>
                <w:b/>
                <w:bCs/>
                <w:kern w:val="0"/>
                <w:szCs w:val="21"/>
                <w:lang w:bidi="ar"/>
              </w:rPr>
              <w:t>地块编号</w:t>
            </w: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7DD35573">
            <w:pPr>
              <w:widowControl/>
              <w:jc w:val="center"/>
              <w:textAlignment w:val="center"/>
              <w:rPr>
                <w:b/>
                <w:bCs/>
                <w:kern w:val="0"/>
                <w:szCs w:val="21"/>
                <w:lang w:bidi="ar"/>
              </w:rPr>
            </w:pPr>
            <w:r>
              <w:rPr>
                <w:b/>
                <w:bCs/>
                <w:kern w:val="0"/>
                <w:szCs w:val="21"/>
                <w:lang w:bidi="ar"/>
              </w:rPr>
              <w:t>场地编号</w:t>
            </w:r>
          </w:p>
        </w:tc>
        <w:tc>
          <w:tcPr>
            <w:tcW w:w="1815" w:type="pct"/>
            <w:tcBorders>
              <w:top w:val="single" w:color="000000" w:sz="4" w:space="0"/>
              <w:left w:val="single" w:color="000000" w:sz="4" w:space="0"/>
              <w:bottom w:val="single" w:color="000000" w:sz="4" w:space="0"/>
              <w:right w:val="single" w:color="000000" w:sz="4" w:space="0"/>
            </w:tcBorders>
            <w:noWrap/>
            <w:vAlign w:val="center"/>
          </w:tcPr>
          <w:p w14:paraId="35A7E91E">
            <w:pPr>
              <w:widowControl/>
              <w:jc w:val="center"/>
              <w:textAlignment w:val="center"/>
              <w:rPr>
                <w:b/>
                <w:bCs/>
                <w:kern w:val="0"/>
                <w:szCs w:val="21"/>
                <w:lang w:bidi="ar"/>
              </w:rPr>
            </w:pPr>
            <w:r>
              <w:rPr>
                <w:b/>
                <w:bCs/>
                <w:kern w:val="0"/>
                <w:szCs w:val="21"/>
                <w:lang w:bidi="ar"/>
              </w:rPr>
              <w:t>所在位置</w:t>
            </w:r>
          </w:p>
        </w:tc>
      </w:tr>
      <w:tr w14:paraId="45B99373">
        <w:tblPrEx>
          <w:tblCellMar>
            <w:top w:w="0" w:type="dxa"/>
            <w:left w:w="108" w:type="dxa"/>
            <w:bottom w:w="0" w:type="dxa"/>
            <w:right w:w="108" w:type="dxa"/>
          </w:tblCellMar>
        </w:tblPrEx>
        <w:trPr>
          <w:trHeight w:val="285" w:hRule="atLeast"/>
          <w:jc w:val="center"/>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00C133F3">
            <w:pPr>
              <w:widowControl/>
              <w:jc w:val="center"/>
              <w:textAlignment w:val="center"/>
              <w:rPr>
                <w:szCs w:val="21"/>
              </w:rPr>
            </w:pPr>
            <w:r>
              <w:rPr>
                <w:kern w:val="0"/>
                <w:szCs w:val="21"/>
                <w:lang w:bidi="ar"/>
              </w:rPr>
              <w:t>地块一</w:t>
            </w: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2D03956C">
            <w:pPr>
              <w:widowControl/>
              <w:jc w:val="center"/>
              <w:textAlignment w:val="center"/>
              <w:rPr>
                <w:szCs w:val="21"/>
              </w:rPr>
            </w:pPr>
            <w:r>
              <w:rPr>
                <w:kern w:val="0"/>
                <w:szCs w:val="21"/>
                <w:lang w:bidi="ar"/>
              </w:rPr>
              <w:t>1号场地</w:t>
            </w:r>
          </w:p>
        </w:tc>
        <w:tc>
          <w:tcPr>
            <w:tcW w:w="1815" w:type="pct"/>
            <w:tcBorders>
              <w:top w:val="single" w:color="000000" w:sz="4" w:space="0"/>
              <w:left w:val="single" w:color="000000" w:sz="4" w:space="0"/>
              <w:bottom w:val="single" w:color="000000" w:sz="4" w:space="0"/>
              <w:right w:val="single" w:color="000000" w:sz="4" w:space="0"/>
            </w:tcBorders>
            <w:noWrap/>
            <w:vAlign w:val="center"/>
          </w:tcPr>
          <w:p w14:paraId="524E9C37">
            <w:pPr>
              <w:widowControl/>
              <w:jc w:val="center"/>
              <w:textAlignment w:val="center"/>
              <w:rPr>
                <w:szCs w:val="21"/>
              </w:rPr>
            </w:pPr>
            <w:r>
              <w:rPr>
                <w:kern w:val="0"/>
                <w:szCs w:val="21"/>
                <w:lang w:bidi="ar"/>
              </w:rPr>
              <w:t>盛丰通风井</w:t>
            </w:r>
          </w:p>
        </w:tc>
      </w:tr>
      <w:tr w14:paraId="6CE5D668">
        <w:tblPrEx>
          <w:tblCellMar>
            <w:top w:w="0" w:type="dxa"/>
            <w:left w:w="108" w:type="dxa"/>
            <w:bottom w:w="0" w:type="dxa"/>
            <w:right w:w="108" w:type="dxa"/>
          </w:tblCellMar>
        </w:tblPrEx>
        <w:trPr>
          <w:trHeight w:val="285" w:hRule="atLeast"/>
          <w:jc w:val="center"/>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6106F2C1">
            <w:pPr>
              <w:jc w:val="center"/>
              <w:rPr>
                <w:szCs w:val="21"/>
              </w:rPr>
            </w:pP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3D6A6E0E">
            <w:pPr>
              <w:widowControl/>
              <w:jc w:val="center"/>
              <w:textAlignment w:val="center"/>
              <w:rPr>
                <w:szCs w:val="21"/>
              </w:rPr>
            </w:pPr>
            <w:r>
              <w:rPr>
                <w:kern w:val="0"/>
                <w:szCs w:val="21"/>
                <w:lang w:bidi="ar"/>
              </w:rPr>
              <w:t>3号场地</w:t>
            </w:r>
          </w:p>
        </w:tc>
        <w:tc>
          <w:tcPr>
            <w:tcW w:w="1815" w:type="pct"/>
            <w:tcBorders>
              <w:top w:val="single" w:color="000000" w:sz="4" w:space="0"/>
              <w:left w:val="single" w:color="000000" w:sz="4" w:space="0"/>
              <w:bottom w:val="single" w:color="000000" w:sz="4" w:space="0"/>
              <w:right w:val="single" w:color="000000" w:sz="4" w:space="0"/>
            </w:tcBorders>
            <w:noWrap/>
            <w:vAlign w:val="center"/>
          </w:tcPr>
          <w:p w14:paraId="3724DD5D">
            <w:pPr>
              <w:widowControl/>
              <w:jc w:val="center"/>
              <w:textAlignment w:val="center"/>
              <w:rPr>
                <w:szCs w:val="21"/>
              </w:rPr>
            </w:pPr>
            <w:r>
              <w:rPr>
                <w:kern w:val="0"/>
                <w:szCs w:val="21"/>
                <w:lang w:bidi="ar"/>
              </w:rPr>
              <w:t>老井位置</w:t>
            </w:r>
          </w:p>
        </w:tc>
      </w:tr>
      <w:tr w14:paraId="48488A19">
        <w:tblPrEx>
          <w:tblCellMar>
            <w:top w:w="0" w:type="dxa"/>
            <w:left w:w="108" w:type="dxa"/>
            <w:bottom w:w="0" w:type="dxa"/>
            <w:right w:w="108" w:type="dxa"/>
          </w:tblCellMar>
        </w:tblPrEx>
        <w:trPr>
          <w:trHeight w:val="285" w:hRule="atLeast"/>
          <w:jc w:val="center"/>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2CAF7350">
            <w:pPr>
              <w:jc w:val="center"/>
              <w:rPr>
                <w:szCs w:val="21"/>
              </w:rPr>
            </w:pP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124125C2">
            <w:pPr>
              <w:widowControl/>
              <w:jc w:val="center"/>
              <w:textAlignment w:val="center"/>
              <w:rPr>
                <w:szCs w:val="21"/>
              </w:rPr>
            </w:pPr>
            <w:r>
              <w:rPr>
                <w:kern w:val="0"/>
                <w:szCs w:val="21"/>
                <w:lang w:bidi="ar"/>
              </w:rPr>
              <w:t>4号场地</w:t>
            </w:r>
          </w:p>
        </w:tc>
        <w:tc>
          <w:tcPr>
            <w:tcW w:w="1815" w:type="pct"/>
            <w:tcBorders>
              <w:top w:val="single" w:color="000000" w:sz="4" w:space="0"/>
              <w:left w:val="single" w:color="000000" w:sz="4" w:space="0"/>
              <w:bottom w:val="single" w:color="000000" w:sz="4" w:space="0"/>
              <w:right w:val="single" w:color="000000" w:sz="4" w:space="0"/>
            </w:tcBorders>
            <w:noWrap/>
            <w:vAlign w:val="center"/>
          </w:tcPr>
          <w:p w14:paraId="28DBBAE8">
            <w:pPr>
              <w:widowControl/>
              <w:jc w:val="center"/>
              <w:textAlignment w:val="center"/>
              <w:rPr>
                <w:szCs w:val="21"/>
              </w:rPr>
            </w:pPr>
            <w:r>
              <w:rPr>
                <w:kern w:val="0"/>
                <w:szCs w:val="21"/>
                <w:lang w:bidi="ar"/>
              </w:rPr>
              <w:t>鑫旺板块</w:t>
            </w:r>
          </w:p>
        </w:tc>
      </w:tr>
      <w:tr w14:paraId="4DD998E2">
        <w:tblPrEx>
          <w:tblCellMar>
            <w:top w:w="0" w:type="dxa"/>
            <w:left w:w="108" w:type="dxa"/>
            <w:bottom w:w="0" w:type="dxa"/>
            <w:right w:w="108" w:type="dxa"/>
          </w:tblCellMar>
        </w:tblPrEx>
        <w:trPr>
          <w:trHeight w:val="285" w:hRule="atLeast"/>
          <w:jc w:val="center"/>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5A6D3A55">
            <w:pPr>
              <w:widowControl/>
              <w:jc w:val="center"/>
              <w:textAlignment w:val="center"/>
              <w:rPr>
                <w:szCs w:val="21"/>
              </w:rPr>
            </w:pPr>
            <w:r>
              <w:rPr>
                <w:kern w:val="0"/>
                <w:szCs w:val="21"/>
                <w:lang w:bidi="ar"/>
              </w:rPr>
              <w:t>地块二</w:t>
            </w: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6532959D">
            <w:pPr>
              <w:widowControl/>
              <w:jc w:val="center"/>
              <w:textAlignment w:val="center"/>
              <w:rPr>
                <w:szCs w:val="21"/>
              </w:rPr>
            </w:pPr>
            <w:r>
              <w:rPr>
                <w:kern w:val="0"/>
                <w:szCs w:val="21"/>
                <w:lang w:bidi="ar"/>
              </w:rPr>
              <w:t>2号场地</w:t>
            </w:r>
          </w:p>
        </w:tc>
        <w:tc>
          <w:tcPr>
            <w:tcW w:w="1815" w:type="pct"/>
            <w:tcBorders>
              <w:top w:val="single" w:color="000000" w:sz="4" w:space="0"/>
              <w:left w:val="single" w:color="000000" w:sz="4" w:space="0"/>
              <w:bottom w:val="single" w:color="000000" w:sz="4" w:space="0"/>
              <w:right w:val="single" w:color="000000" w:sz="4" w:space="0"/>
            </w:tcBorders>
            <w:noWrap/>
            <w:vAlign w:val="center"/>
          </w:tcPr>
          <w:p w14:paraId="3AD68A57">
            <w:pPr>
              <w:widowControl/>
              <w:jc w:val="center"/>
              <w:textAlignment w:val="center"/>
              <w:rPr>
                <w:szCs w:val="21"/>
              </w:rPr>
            </w:pPr>
            <w:r>
              <w:rPr>
                <w:kern w:val="0"/>
                <w:szCs w:val="21"/>
                <w:lang w:bidi="ar"/>
              </w:rPr>
              <w:t>盛丰焦化楼、盛丰篮球场位置</w:t>
            </w:r>
          </w:p>
        </w:tc>
      </w:tr>
      <w:tr w14:paraId="757E883F">
        <w:tblPrEx>
          <w:tblCellMar>
            <w:top w:w="0" w:type="dxa"/>
            <w:left w:w="108" w:type="dxa"/>
            <w:bottom w:w="0" w:type="dxa"/>
            <w:right w:w="108" w:type="dxa"/>
          </w:tblCellMar>
        </w:tblPrEx>
        <w:trPr>
          <w:trHeight w:val="285" w:hRule="atLeast"/>
          <w:jc w:val="center"/>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22A37919">
            <w:pPr>
              <w:jc w:val="center"/>
              <w:rPr>
                <w:szCs w:val="21"/>
              </w:rPr>
            </w:pP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3CAEDDD4">
            <w:pPr>
              <w:widowControl/>
              <w:jc w:val="center"/>
              <w:textAlignment w:val="center"/>
              <w:rPr>
                <w:szCs w:val="21"/>
              </w:rPr>
            </w:pPr>
            <w:r>
              <w:rPr>
                <w:kern w:val="0"/>
                <w:szCs w:val="21"/>
                <w:lang w:bidi="ar"/>
              </w:rPr>
              <w:t>5号场地</w:t>
            </w:r>
          </w:p>
        </w:tc>
        <w:tc>
          <w:tcPr>
            <w:tcW w:w="1815" w:type="pct"/>
            <w:tcBorders>
              <w:top w:val="single" w:color="000000" w:sz="4" w:space="0"/>
              <w:left w:val="single" w:color="000000" w:sz="4" w:space="0"/>
              <w:bottom w:val="single" w:color="000000" w:sz="4" w:space="0"/>
              <w:right w:val="single" w:color="000000" w:sz="4" w:space="0"/>
            </w:tcBorders>
            <w:noWrap/>
            <w:vAlign w:val="center"/>
          </w:tcPr>
          <w:p w14:paraId="6A8AF031">
            <w:pPr>
              <w:widowControl/>
              <w:jc w:val="center"/>
              <w:textAlignment w:val="center"/>
              <w:rPr>
                <w:szCs w:val="21"/>
              </w:rPr>
            </w:pPr>
            <w:r>
              <w:rPr>
                <w:kern w:val="0"/>
                <w:szCs w:val="21"/>
                <w:lang w:bidi="ar"/>
              </w:rPr>
              <w:t>大河边板块</w:t>
            </w:r>
          </w:p>
        </w:tc>
      </w:tr>
    </w:tbl>
    <w:p w14:paraId="785D809D">
      <w:pPr>
        <w:pStyle w:val="47"/>
        <w:rPr>
          <w:rFonts w:ascii="Times New Roman" w:hAnsi="Times New Roman" w:cs="Times New Roman"/>
        </w:rPr>
      </w:pPr>
    </w:p>
    <w:p w14:paraId="20FB137E">
      <w:pPr>
        <w:spacing w:line="360" w:lineRule="auto"/>
        <w:ind w:firstLine="480" w:firstLineChars="200"/>
        <w:rPr>
          <w:sz w:val="24"/>
        </w:rPr>
      </w:pPr>
      <w:r>
        <w:rPr>
          <w:sz w:val="24"/>
        </w:rPr>
        <w:t>项目投资：项目总投资4000万元，资金企业自筹；</w:t>
      </w:r>
    </w:p>
    <w:p w14:paraId="7BC2B1C5">
      <w:pPr>
        <w:spacing w:line="360" w:lineRule="auto"/>
        <w:ind w:firstLine="480" w:firstLineChars="200"/>
        <w:rPr>
          <w:sz w:val="24"/>
        </w:rPr>
      </w:pPr>
      <w:r>
        <w:rPr>
          <w:sz w:val="24"/>
        </w:rPr>
        <w:t>主要建设内容：主要建设育肥舍15栋，配套建设管理用房、环保设施等，厂内配套建设病死猪无害化处理区。</w:t>
      </w:r>
    </w:p>
    <w:p w14:paraId="683E85B5">
      <w:pPr>
        <w:pStyle w:val="85"/>
        <w:overflowPunct w:val="0"/>
        <w:adjustRightInd w:val="0"/>
        <w:snapToGrid w:val="0"/>
        <w:spacing w:after="0" w:line="360" w:lineRule="auto"/>
        <w:ind w:firstLine="480" w:firstLineChars="200"/>
        <w:jc w:val="left"/>
        <w:rPr>
          <w:sz w:val="24"/>
        </w:rPr>
      </w:pPr>
      <w:r>
        <w:rPr>
          <w:sz w:val="24"/>
        </w:rPr>
        <w:t>生产规模和产品方案：存栏9300头，其中地块一</w:t>
      </w:r>
      <w:r>
        <w:rPr>
          <w:rFonts w:hint="eastAsia"/>
          <w:sz w:val="24"/>
        </w:rPr>
        <w:t>养殖</w:t>
      </w:r>
      <w:r>
        <w:rPr>
          <w:sz w:val="24"/>
        </w:rPr>
        <w:t>商品猪</w:t>
      </w:r>
      <w:r>
        <w:rPr>
          <w:rFonts w:hint="eastAsia"/>
          <w:sz w:val="24"/>
        </w:rPr>
        <w:t>4800</w:t>
      </w:r>
      <w:r>
        <w:rPr>
          <w:sz w:val="24"/>
        </w:rPr>
        <w:t>头，地块二</w:t>
      </w:r>
      <w:r>
        <w:rPr>
          <w:rFonts w:hint="eastAsia"/>
          <w:sz w:val="24"/>
        </w:rPr>
        <w:t>养殖</w:t>
      </w:r>
      <w:r>
        <w:rPr>
          <w:sz w:val="24"/>
        </w:rPr>
        <w:t>商品猪</w:t>
      </w:r>
      <w:r>
        <w:rPr>
          <w:rFonts w:hint="eastAsia"/>
          <w:sz w:val="24"/>
        </w:rPr>
        <w:t>4500</w:t>
      </w:r>
      <w:r>
        <w:rPr>
          <w:sz w:val="24"/>
        </w:rPr>
        <w:t>头，项目只进行仔猪育肥，仔猪外购，不养殖种猪。</w:t>
      </w:r>
    </w:p>
    <w:p w14:paraId="7ACC4A21">
      <w:pPr>
        <w:spacing w:line="360" w:lineRule="auto"/>
        <w:ind w:firstLine="480" w:firstLineChars="200"/>
        <w:rPr>
          <w:b/>
          <w:sz w:val="24"/>
        </w:rPr>
      </w:pPr>
      <w:r>
        <w:rPr>
          <w:sz w:val="24"/>
        </w:rPr>
        <w:t>劳动定员：3</w:t>
      </w:r>
      <w:r>
        <w:rPr>
          <w:rFonts w:hint="eastAsia"/>
          <w:sz w:val="24"/>
        </w:rPr>
        <w:t>6</w:t>
      </w:r>
      <w:r>
        <w:rPr>
          <w:sz w:val="24"/>
        </w:rPr>
        <w:t>人，均在厂区食宿。项目年生产运行时间为365d。</w:t>
      </w:r>
    </w:p>
    <w:p w14:paraId="69AABB32">
      <w:pPr>
        <w:pStyle w:val="7"/>
        <w:spacing w:before="0" w:after="0" w:line="360" w:lineRule="auto"/>
        <w:rPr>
          <w:rFonts w:ascii="Times New Roman" w:hAnsi="Times New Roman"/>
          <w:sz w:val="28"/>
          <w:szCs w:val="28"/>
        </w:rPr>
      </w:pPr>
      <w:r>
        <w:rPr>
          <w:rFonts w:ascii="Times New Roman" w:hAnsi="Times New Roman"/>
          <w:sz w:val="28"/>
          <w:szCs w:val="28"/>
        </w:rPr>
        <w:t>3.1.2建设内容及规模</w:t>
      </w:r>
    </w:p>
    <w:p w14:paraId="6CFECD59">
      <w:pPr>
        <w:autoSpaceDE w:val="0"/>
        <w:autoSpaceDN w:val="0"/>
        <w:adjustRightInd w:val="0"/>
        <w:spacing w:line="360" w:lineRule="auto"/>
        <w:ind w:firstLine="480" w:firstLineChars="200"/>
        <w:jc w:val="left"/>
        <w:rPr>
          <w:sz w:val="24"/>
        </w:rPr>
      </w:pPr>
      <w:r>
        <w:rPr>
          <w:sz w:val="24"/>
        </w:rPr>
        <w:t>（1）</w:t>
      </w:r>
      <w:r>
        <w:rPr>
          <w:b/>
          <w:sz w:val="24"/>
        </w:rPr>
        <w:t>主要建设内容</w:t>
      </w:r>
    </w:p>
    <w:p w14:paraId="16D8780B">
      <w:pPr>
        <w:autoSpaceDE w:val="0"/>
        <w:autoSpaceDN w:val="0"/>
        <w:adjustRightInd w:val="0"/>
        <w:spacing w:line="360" w:lineRule="auto"/>
        <w:ind w:firstLine="480" w:firstLineChars="200"/>
        <w:jc w:val="left"/>
        <w:rPr>
          <w:sz w:val="24"/>
        </w:rPr>
      </w:pPr>
      <w:r>
        <w:rPr>
          <w:sz w:val="24"/>
        </w:rPr>
        <w:t>本项目主要建设内容由主体工程、辅助工程、公用工程、环保工程等组成。本项目为新建项目，目前未开工建设。本项目主要建设内容见表3.1-2。</w:t>
      </w:r>
    </w:p>
    <w:p w14:paraId="6F4C5675">
      <w:pPr>
        <w:autoSpaceDE w:val="0"/>
        <w:autoSpaceDN w:val="0"/>
        <w:adjustRightInd w:val="0"/>
        <w:spacing w:line="360" w:lineRule="auto"/>
        <w:ind w:firstLine="480" w:firstLineChars="200"/>
        <w:jc w:val="left"/>
        <w:rPr>
          <w:kern w:val="0"/>
          <w:sz w:val="24"/>
        </w:rPr>
      </w:pPr>
    </w:p>
    <w:p w14:paraId="609E06A4">
      <w:pPr>
        <w:autoSpaceDE w:val="0"/>
        <w:autoSpaceDN w:val="0"/>
        <w:adjustRightInd w:val="0"/>
        <w:spacing w:line="360" w:lineRule="auto"/>
        <w:ind w:firstLine="480" w:firstLineChars="200"/>
        <w:jc w:val="left"/>
        <w:rPr>
          <w:kern w:val="0"/>
          <w:sz w:val="24"/>
        </w:rPr>
      </w:pPr>
    </w:p>
    <w:p w14:paraId="1C1DF655">
      <w:pPr>
        <w:autoSpaceDE w:val="0"/>
        <w:autoSpaceDN w:val="0"/>
        <w:adjustRightInd w:val="0"/>
        <w:spacing w:line="360" w:lineRule="auto"/>
        <w:ind w:firstLine="480" w:firstLineChars="200"/>
        <w:jc w:val="left"/>
        <w:rPr>
          <w:kern w:val="0"/>
          <w:sz w:val="24"/>
        </w:rPr>
        <w:sectPr>
          <w:pgSz w:w="11906" w:h="16838"/>
          <w:pgMar w:top="1440" w:right="1797" w:bottom="1361" w:left="1797" w:header="851" w:footer="992" w:gutter="0"/>
          <w:cols w:space="720" w:num="1"/>
          <w:docGrid w:linePitch="312" w:charSpace="0"/>
        </w:sectPr>
      </w:pPr>
    </w:p>
    <w:p w14:paraId="35B6BF5F">
      <w:pPr>
        <w:tabs>
          <w:tab w:val="left" w:pos="900"/>
        </w:tabs>
        <w:spacing w:before="120" w:beforeLines="50" w:after="120" w:afterLines="50"/>
        <w:ind w:left="480"/>
        <w:jc w:val="center"/>
        <w:rPr>
          <w:b/>
          <w:sz w:val="24"/>
        </w:rPr>
      </w:pPr>
      <w:r>
        <w:rPr>
          <w:b/>
          <w:sz w:val="24"/>
        </w:rPr>
        <w:t>表3.1-2   本项目主要建设内容</w:t>
      </w:r>
    </w:p>
    <w:tbl>
      <w:tblPr>
        <w:tblStyle w:val="87"/>
        <w:tblW w:w="523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127"/>
        <w:gridCol w:w="769"/>
        <w:gridCol w:w="583"/>
        <w:gridCol w:w="648"/>
        <w:gridCol w:w="501"/>
        <w:gridCol w:w="989"/>
        <w:gridCol w:w="1946"/>
        <w:gridCol w:w="8157"/>
      </w:tblGrid>
      <w:tr w14:paraId="6AC194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tblHeader/>
          <w:jc w:val="center"/>
        </w:trPr>
        <w:tc>
          <w:tcPr>
            <w:tcW w:w="383" w:type="pct"/>
            <w:noWrap w:val="0"/>
            <w:vAlign w:val="center"/>
          </w:tcPr>
          <w:p w14:paraId="678154CD">
            <w:pPr>
              <w:jc w:val="center"/>
              <w:rPr>
                <w:b/>
                <w:szCs w:val="21"/>
              </w:rPr>
            </w:pPr>
            <w:r>
              <w:rPr>
                <w:b/>
                <w:szCs w:val="21"/>
              </w:rPr>
              <w:t>项目组成</w:t>
            </w:r>
          </w:p>
        </w:tc>
        <w:tc>
          <w:tcPr>
            <w:tcW w:w="4616" w:type="pct"/>
            <w:gridSpan w:val="7"/>
            <w:noWrap w:val="0"/>
            <w:vAlign w:val="center"/>
          </w:tcPr>
          <w:p w14:paraId="13AEC924">
            <w:pPr>
              <w:ind w:left="-105" w:leftChars="-50" w:right="-105" w:rightChars="-50"/>
              <w:jc w:val="center"/>
              <w:rPr>
                <w:b/>
                <w:szCs w:val="21"/>
              </w:rPr>
            </w:pPr>
            <w:r>
              <w:rPr>
                <w:b/>
                <w:szCs w:val="21"/>
              </w:rPr>
              <w:t>工   程   内   容</w:t>
            </w:r>
          </w:p>
        </w:tc>
      </w:tr>
      <w:tr w14:paraId="47F365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restart"/>
            <w:noWrap w:val="0"/>
            <w:vAlign w:val="center"/>
          </w:tcPr>
          <w:p w14:paraId="2291D764">
            <w:pPr>
              <w:jc w:val="center"/>
              <w:rPr>
                <w:b/>
                <w:szCs w:val="21"/>
              </w:rPr>
            </w:pPr>
            <w:r>
              <w:rPr>
                <w:b/>
                <w:szCs w:val="21"/>
              </w:rPr>
              <w:t>主体工程</w:t>
            </w:r>
          </w:p>
        </w:tc>
        <w:tc>
          <w:tcPr>
            <w:tcW w:w="261" w:type="pct"/>
            <w:vMerge w:val="restart"/>
            <w:noWrap w:val="0"/>
            <w:vAlign w:val="center"/>
          </w:tcPr>
          <w:p w14:paraId="31F8ED54">
            <w:pPr>
              <w:jc w:val="center"/>
              <w:rPr>
                <w:szCs w:val="21"/>
              </w:rPr>
            </w:pPr>
            <w:r>
              <w:rPr>
                <w:szCs w:val="21"/>
              </w:rPr>
              <w:t>育肥舍</w:t>
            </w:r>
          </w:p>
        </w:tc>
        <w:tc>
          <w:tcPr>
            <w:tcW w:w="198" w:type="pct"/>
            <w:vMerge w:val="restart"/>
            <w:noWrap w:val="0"/>
            <w:vAlign w:val="center"/>
          </w:tcPr>
          <w:p w14:paraId="2BDACD85">
            <w:pPr>
              <w:jc w:val="center"/>
              <w:rPr>
                <w:szCs w:val="21"/>
              </w:rPr>
            </w:pPr>
            <w:r>
              <w:rPr>
                <w:szCs w:val="21"/>
              </w:rPr>
              <w:t>地块一</w:t>
            </w:r>
          </w:p>
          <w:p w14:paraId="2D9A657F">
            <w:pPr>
              <w:jc w:val="center"/>
              <w:rPr>
                <w:szCs w:val="21"/>
              </w:rPr>
            </w:pPr>
          </w:p>
        </w:tc>
        <w:tc>
          <w:tcPr>
            <w:tcW w:w="219" w:type="pct"/>
            <w:noWrap w:val="0"/>
            <w:vAlign w:val="center"/>
          </w:tcPr>
          <w:p w14:paraId="782A6B5D">
            <w:pPr>
              <w:widowControl/>
              <w:jc w:val="center"/>
              <w:textAlignment w:val="center"/>
              <w:rPr>
                <w:szCs w:val="21"/>
              </w:rPr>
            </w:pPr>
            <w:r>
              <w:rPr>
                <w:kern w:val="0"/>
                <w:szCs w:val="21"/>
                <w:lang w:bidi="ar"/>
              </w:rPr>
              <w:t>1号场地</w:t>
            </w:r>
          </w:p>
        </w:tc>
        <w:tc>
          <w:tcPr>
            <w:tcW w:w="3936" w:type="pct"/>
            <w:gridSpan w:val="4"/>
            <w:noWrap w:val="0"/>
            <w:vAlign w:val="center"/>
          </w:tcPr>
          <w:p w14:paraId="64DF4163">
            <w:pPr>
              <w:rPr>
                <w:szCs w:val="21"/>
              </w:rPr>
            </w:pPr>
            <w:r>
              <w:rPr>
                <w:szCs w:val="21"/>
              </w:rPr>
              <w:t>原盛丰通风井位置新建猪舍2栋，其中</w:t>
            </w:r>
            <w:r>
              <w:rPr>
                <w:bCs/>
                <w:spacing w:val="-10"/>
                <w:szCs w:val="21"/>
              </w:rPr>
              <w:t>规格为92.43</w:t>
            </w:r>
            <w:r>
              <w:rPr>
                <w:szCs w:val="21"/>
              </w:rPr>
              <w:t>×21.82m1栋，</w:t>
            </w:r>
            <w:r>
              <w:rPr>
                <w:bCs/>
                <w:spacing w:val="-10"/>
                <w:szCs w:val="21"/>
              </w:rPr>
              <w:t>规格为35.15</w:t>
            </w:r>
            <w:r>
              <w:rPr>
                <w:szCs w:val="21"/>
              </w:rPr>
              <w:t>×21.82m1栋，</w:t>
            </w:r>
            <w:r>
              <w:rPr>
                <w:spacing w:val="-6"/>
                <w:kern w:val="0"/>
                <w:szCs w:val="21"/>
              </w:rPr>
              <w:t>猪舍底部采用PO膜+土工格栅+混凝土防渗。</w:t>
            </w:r>
          </w:p>
        </w:tc>
      </w:tr>
      <w:tr w14:paraId="6D2060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4FDFA252">
            <w:pPr>
              <w:jc w:val="center"/>
              <w:rPr>
                <w:b/>
                <w:szCs w:val="21"/>
              </w:rPr>
            </w:pPr>
          </w:p>
        </w:tc>
        <w:tc>
          <w:tcPr>
            <w:tcW w:w="261" w:type="pct"/>
            <w:vMerge w:val="continue"/>
            <w:noWrap w:val="0"/>
            <w:vAlign w:val="center"/>
          </w:tcPr>
          <w:p w14:paraId="3F7EAA25">
            <w:pPr>
              <w:jc w:val="center"/>
              <w:rPr>
                <w:szCs w:val="21"/>
              </w:rPr>
            </w:pPr>
          </w:p>
        </w:tc>
        <w:tc>
          <w:tcPr>
            <w:tcW w:w="198" w:type="pct"/>
            <w:vMerge w:val="continue"/>
            <w:noWrap w:val="0"/>
            <w:vAlign w:val="center"/>
          </w:tcPr>
          <w:p w14:paraId="36BAD77D">
            <w:pPr>
              <w:jc w:val="center"/>
              <w:rPr>
                <w:szCs w:val="21"/>
              </w:rPr>
            </w:pPr>
          </w:p>
        </w:tc>
        <w:tc>
          <w:tcPr>
            <w:tcW w:w="219" w:type="pct"/>
            <w:noWrap w:val="0"/>
            <w:vAlign w:val="center"/>
          </w:tcPr>
          <w:p w14:paraId="613584E6">
            <w:pPr>
              <w:widowControl/>
              <w:jc w:val="center"/>
              <w:textAlignment w:val="center"/>
              <w:rPr>
                <w:szCs w:val="21"/>
              </w:rPr>
            </w:pPr>
            <w:r>
              <w:rPr>
                <w:kern w:val="0"/>
                <w:szCs w:val="21"/>
                <w:lang w:bidi="ar"/>
              </w:rPr>
              <w:t>4号场地</w:t>
            </w:r>
          </w:p>
        </w:tc>
        <w:tc>
          <w:tcPr>
            <w:tcW w:w="3936" w:type="pct"/>
            <w:gridSpan w:val="4"/>
            <w:noWrap w:val="0"/>
            <w:vAlign w:val="center"/>
          </w:tcPr>
          <w:p w14:paraId="1AFE90A7">
            <w:pPr>
              <w:rPr>
                <w:szCs w:val="21"/>
              </w:rPr>
            </w:pPr>
            <w:r>
              <w:rPr>
                <w:szCs w:val="21"/>
              </w:rPr>
              <w:t>鑫旺板块新建猪舍共3栋；鑫旺1号舍</w:t>
            </w:r>
            <w:r>
              <w:rPr>
                <w:bCs/>
                <w:spacing w:val="-10"/>
                <w:szCs w:val="21"/>
              </w:rPr>
              <w:t>规格为100</w:t>
            </w:r>
            <w:r>
              <w:rPr>
                <w:szCs w:val="21"/>
              </w:rPr>
              <w:t>×21.82m，鑫旺2号舍</w:t>
            </w:r>
            <w:r>
              <w:rPr>
                <w:bCs/>
                <w:spacing w:val="-10"/>
                <w:szCs w:val="21"/>
              </w:rPr>
              <w:t>规格为100</w:t>
            </w:r>
            <w:r>
              <w:rPr>
                <w:szCs w:val="21"/>
              </w:rPr>
              <w:t>×21.82m，鑫旺3号舍</w:t>
            </w:r>
            <w:r>
              <w:rPr>
                <w:bCs/>
                <w:spacing w:val="-10"/>
                <w:szCs w:val="21"/>
              </w:rPr>
              <w:t>规格为92</w:t>
            </w:r>
            <w:r>
              <w:rPr>
                <w:szCs w:val="21"/>
              </w:rPr>
              <w:t>×21.82m，总建筑面积为6371.44m</w:t>
            </w:r>
            <w:r>
              <w:rPr>
                <w:szCs w:val="21"/>
                <w:vertAlign w:val="superscript"/>
              </w:rPr>
              <w:t>2</w:t>
            </w:r>
            <w:r>
              <w:rPr>
                <w:szCs w:val="21"/>
              </w:rPr>
              <w:t>，</w:t>
            </w:r>
            <w:r>
              <w:rPr>
                <w:spacing w:val="-6"/>
                <w:kern w:val="0"/>
                <w:szCs w:val="21"/>
              </w:rPr>
              <w:t>猪舍底部采用PO膜+土工格栅+混凝土防渗</w:t>
            </w:r>
            <w:r>
              <w:rPr>
                <w:szCs w:val="21"/>
              </w:rPr>
              <w:t>。</w:t>
            </w:r>
          </w:p>
        </w:tc>
      </w:tr>
      <w:tr w14:paraId="10A71D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42" w:hRule="atLeast"/>
          <w:jc w:val="center"/>
        </w:trPr>
        <w:tc>
          <w:tcPr>
            <w:tcW w:w="383" w:type="pct"/>
            <w:vMerge w:val="continue"/>
            <w:noWrap w:val="0"/>
            <w:vAlign w:val="center"/>
          </w:tcPr>
          <w:p w14:paraId="52A7F810">
            <w:pPr>
              <w:jc w:val="center"/>
              <w:rPr>
                <w:b/>
                <w:szCs w:val="21"/>
              </w:rPr>
            </w:pPr>
          </w:p>
        </w:tc>
        <w:tc>
          <w:tcPr>
            <w:tcW w:w="261" w:type="pct"/>
            <w:vMerge w:val="continue"/>
            <w:noWrap w:val="0"/>
            <w:vAlign w:val="center"/>
          </w:tcPr>
          <w:p w14:paraId="07B1E4F1">
            <w:pPr>
              <w:jc w:val="center"/>
              <w:rPr>
                <w:szCs w:val="21"/>
              </w:rPr>
            </w:pPr>
          </w:p>
        </w:tc>
        <w:tc>
          <w:tcPr>
            <w:tcW w:w="198" w:type="pct"/>
            <w:vMerge w:val="continue"/>
            <w:noWrap w:val="0"/>
            <w:vAlign w:val="center"/>
          </w:tcPr>
          <w:p w14:paraId="3663CB29">
            <w:pPr>
              <w:jc w:val="center"/>
              <w:rPr>
                <w:szCs w:val="21"/>
              </w:rPr>
            </w:pPr>
          </w:p>
        </w:tc>
        <w:tc>
          <w:tcPr>
            <w:tcW w:w="219" w:type="pct"/>
            <w:noWrap w:val="0"/>
            <w:vAlign w:val="center"/>
          </w:tcPr>
          <w:p w14:paraId="0B5E0CFC">
            <w:pPr>
              <w:widowControl/>
              <w:jc w:val="center"/>
              <w:textAlignment w:val="center"/>
              <w:rPr>
                <w:szCs w:val="21"/>
              </w:rPr>
            </w:pPr>
            <w:r>
              <w:rPr>
                <w:kern w:val="0"/>
                <w:szCs w:val="21"/>
                <w:lang w:bidi="ar"/>
              </w:rPr>
              <w:t>5号场地</w:t>
            </w:r>
          </w:p>
        </w:tc>
        <w:tc>
          <w:tcPr>
            <w:tcW w:w="3936" w:type="pct"/>
            <w:gridSpan w:val="4"/>
            <w:noWrap w:val="0"/>
            <w:vAlign w:val="center"/>
          </w:tcPr>
          <w:p w14:paraId="15A0FD1B">
            <w:pPr>
              <w:rPr>
                <w:szCs w:val="21"/>
              </w:rPr>
            </w:pPr>
            <w:r>
              <w:rPr>
                <w:szCs w:val="21"/>
              </w:rPr>
              <w:t>大河边板块处利用原有建筑改建猪舍4栋；原篮球场位置1栋，</w:t>
            </w:r>
            <w:r>
              <w:rPr>
                <w:bCs/>
                <w:spacing w:val="-10"/>
                <w:szCs w:val="21"/>
              </w:rPr>
              <w:t>规格为</w:t>
            </w:r>
            <w:r>
              <w:rPr>
                <w:szCs w:val="21"/>
              </w:rPr>
              <w:t>66.92×27m，上煤仓位置2栋，其中</w:t>
            </w:r>
            <w:r>
              <w:rPr>
                <w:bCs/>
                <w:spacing w:val="-10"/>
                <w:szCs w:val="21"/>
              </w:rPr>
              <w:t>规格为</w:t>
            </w:r>
            <w:r>
              <w:rPr>
                <w:szCs w:val="21"/>
              </w:rPr>
              <w:t>62×12m1栋，规格为72×18m1栋，下煤仓位置1栋，</w:t>
            </w:r>
            <w:r>
              <w:rPr>
                <w:bCs/>
                <w:spacing w:val="-10"/>
                <w:szCs w:val="21"/>
              </w:rPr>
              <w:t>规格为</w:t>
            </w:r>
            <w:r>
              <w:rPr>
                <w:szCs w:val="21"/>
              </w:rPr>
              <w:t>46×28m；总建筑面积为4989.97m</w:t>
            </w:r>
            <w:r>
              <w:rPr>
                <w:szCs w:val="21"/>
                <w:vertAlign w:val="superscript"/>
              </w:rPr>
              <w:t>2</w:t>
            </w:r>
            <w:r>
              <w:rPr>
                <w:szCs w:val="21"/>
              </w:rPr>
              <w:t>，</w:t>
            </w:r>
            <w:r>
              <w:rPr>
                <w:spacing w:val="-6"/>
                <w:kern w:val="0"/>
                <w:szCs w:val="21"/>
              </w:rPr>
              <w:t>猪舍底部采用PO膜+土工格栅+混凝土防渗。</w:t>
            </w:r>
          </w:p>
        </w:tc>
      </w:tr>
      <w:tr w14:paraId="494E7F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62286BD7">
            <w:pPr>
              <w:jc w:val="center"/>
              <w:rPr>
                <w:b/>
                <w:szCs w:val="21"/>
              </w:rPr>
            </w:pPr>
          </w:p>
        </w:tc>
        <w:tc>
          <w:tcPr>
            <w:tcW w:w="261" w:type="pct"/>
            <w:vMerge w:val="continue"/>
            <w:noWrap w:val="0"/>
            <w:vAlign w:val="center"/>
          </w:tcPr>
          <w:p w14:paraId="3BEF8F94">
            <w:pPr>
              <w:jc w:val="center"/>
              <w:rPr>
                <w:szCs w:val="21"/>
              </w:rPr>
            </w:pPr>
          </w:p>
        </w:tc>
        <w:tc>
          <w:tcPr>
            <w:tcW w:w="198" w:type="pct"/>
            <w:vMerge w:val="restart"/>
            <w:noWrap w:val="0"/>
            <w:vAlign w:val="center"/>
          </w:tcPr>
          <w:p w14:paraId="18A5E13C">
            <w:pPr>
              <w:jc w:val="center"/>
              <w:rPr>
                <w:szCs w:val="21"/>
              </w:rPr>
            </w:pPr>
            <w:r>
              <w:rPr>
                <w:szCs w:val="21"/>
              </w:rPr>
              <w:t>地块二</w:t>
            </w:r>
          </w:p>
        </w:tc>
        <w:tc>
          <w:tcPr>
            <w:tcW w:w="219" w:type="pct"/>
            <w:noWrap w:val="0"/>
            <w:vAlign w:val="center"/>
          </w:tcPr>
          <w:p w14:paraId="6B49E055">
            <w:pPr>
              <w:widowControl/>
              <w:jc w:val="center"/>
              <w:textAlignment w:val="center"/>
              <w:rPr>
                <w:szCs w:val="21"/>
              </w:rPr>
            </w:pPr>
            <w:r>
              <w:rPr>
                <w:kern w:val="0"/>
                <w:szCs w:val="21"/>
                <w:lang w:bidi="ar"/>
              </w:rPr>
              <w:t>2号场地</w:t>
            </w:r>
          </w:p>
        </w:tc>
        <w:tc>
          <w:tcPr>
            <w:tcW w:w="3936" w:type="pct"/>
            <w:gridSpan w:val="4"/>
            <w:noWrap w:val="0"/>
            <w:vAlign w:val="center"/>
          </w:tcPr>
          <w:p w14:paraId="2A3E5B8F">
            <w:pPr>
              <w:rPr>
                <w:szCs w:val="21"/>
              </w:rPr>
            </w:pPr>
            <w:r>
              <w:rPr>
                <w:szCs w:val="21"/>
              </w:rPr>
              <w:t>原盛丰球场处新建3栋，其中</w:t>
            </w:r>
            <w:r>
              <w:rPr>
                <w:bCs/>
                <w:spacing w:val="-10"/>
                <w:szCs w:val="21"/>
              </w:rPr>
              <w:t>规格为36.3</w:t>
            </w:r>
            <w:r>
              <w:rPr>
                <w:szCs w:val="21"/>
              </w:rPr>
              <w:t>×21.9m1栋，</w:t>
            </w:r>
            <w:r>
              <w:rPr>
                <w:bCs/>
                <w:spacing w:val="-10"/>
                <w:szCs w:val="21"/>
              </w:rPr>
              <w:t>规格为34.6</w:t>
            </w:r>
            <w:r>
              <w:rPr>
                <w:szCs w:val="21"/>
              </w:rPr>
              <w:t>×18.9m1栋，</w:t>
            </w:r>
            <w:r>
              <w:rPr>
                <w:bCs/>
                <w:spacing w:val="-10"/>
                <w:szCs w:val="21"/>
              </w:rPr>
              <w:t>规格为36.3</w:t>
            </w:r>
            <w:r>
              <w:rPr>
                <w:szCs w:val="21"/>
              </w:rPr>
              <w:t>×19.24m1栋，此3栋采用通道联通，</w:t>
            </w:r>
            <w:r>
              <w:rPr>
                <w:spacing w:val="-6"/>
                <w:kern w:val="0"/>
                <w:szCs w:val="21"/>
              </w:rPr>
              <w:t>猪舍底部采用PO膜+土工格栅+混凝土防渗；</w:t>
            </w:r>
            <w:r>
              <w:rPr>
                <w:szCs w:val="21"/>
              </w:rPr>
              <w:t>原盛丰焦化楼处利用原有建筑改建2栋，其中</w:t>
            </w:r>
            <w:r>
              <w:rPr>
                <w:bCs/>
                <w:spacing w:val="-10"/>
                <w:szCs w:val="21"/>
              </w:rPr>
              <w:t>规格为72.77</w:t>
            </w:r>
            <w:r>
              <w:rPr>
                <w:szCs w:val="21"/>
              </w:rPr>
              <w:t>×21.82m1栋，</w:t>
            </w:r>
            <w:r>
              <w:rPr>
                <w:bCs/>
                <w:spacing w:val="-10"/>
                <w:szCs w:val="21"/>
              </w:rPr>
              <w:t>规格为100</w:t>
            </w:r>
            <w:r>
              <w:rPr>
                <w:szCs w:val="21"/>
              </w:rPr>
              <w:t>×21.82m1栋，</w:t>
            </w:r>
            <w:r>
              <w:rPr>
                <w:spacing w:val="-6"/>
                <w:kern w:val="0"/>
                <w:szCs w:val="21"/>
              </w:rPr>
              <w:t>猪舍底部采用PO膜+土工格栅+混凝土防渗。</w:t>
            </w:r>
          </w:p>
        </w:tc>
      </w:tr>
      <w:tr w14:paraId="32F394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2BC531DF">
            <w:pPr>
              <w:jc w:val="center"/>
              <w:rPr>
                <w:b/>
                <w:szCs w:val="21"/>
              </w:rPr>
            </w:pPr>
          </w:p>
        </w:tc>
        <w:tc>
          <w:tcPr>
            <w:tcW w:w="261" w:type="pct"/>
            <w:vMerge w:val="continue"/>
            <w:noWrap w:val="0"/>
            <w:vAlign w:val="center"/>
          </w:tcPr>
          <w:p w14:paraId="4BDC164A">
            <w:pPr>
              <w:jc w:val="center"/>
              <w:rPr>
                <w:szCs w:val="21"/>
              </w:rPr>
            </w:pPr>
          </w:p>
        </w:tc>
        <w:tc>
          <w:tcPr>
            <w:tcW w:w="198" w:type="pct"/>
            <w:vMerge w:val="continue"/>
            <w:noWrap w:val="0"/>
            <w:vAlign w:val="center"/>
          </w:tcPr>
          <w:p w14:paraId="29E85C98">
            <w:pPr>
              <w:jc w:val="center"/>
              <w:rPr>
                <w:szCs w:val="21"/>
              </w:rPr>
            </w:pPr>
          </w:p>
        </w:tc>
        <w:tc>
          <w:tcPr>
            <w:tcW w:w="219" w:type="pct"/>
            <w:noWrap w:val="0"/>
            <w:vAlign w:val="center"/>
          </w:tcPr>
          <w:p w14:paraId="2D7CD534">
            <w:pPr>
              <w:widowControl/>
              <w:jc w:val="center"/>
              <w:textAlignment w:val="center"/>
              <w:rPr>
                <w:szCs w:val="21"/>
              </w:rPr>
            </w:pPr>
            <w:r>
              <w:rPr>
                <w:kern w:val="0"/>
                <w:szCs w:val="21"/>
                <w:lang w:bidi="ar"/>
              </w:rPr>
              <w:t>3号场地</w:t>
            </w:r>
          </w:p>
        </w:tc>
        <w:tc>
          <w:tcPr>
            <w:tcW w:w="3936" w:type="pct"/>
            <w:gridSpan w:val="4"/>
            <w:noWrap w:val="0"/>
            <w:vAlign w:val="center"/>
          </w:tcPr>
          <w:p w14:paraId="08B06167">
            <w:pPr>
              <w:rPr>
                <w:szCs w:val="21"/>
              </w:rPr>
            </w:pPr>
            <w:r>
              <w:rPr>
                <w:szCs w:val="21"/>
              </w:rPr>
              <w:t>原老井处新建猪舍2栋，</w:t>
            </w:r>
            <w:r>
              <w:rPr>
                <w:bCs/>
                <w:spacing w:val="-10"/>
                <w:szCs w:val="21"/>
              </w:rPr>
              <w:t>规格为60</w:t>
            </w:r>
            <w:r>
              <w:rPr>
                <w:szCs w:val="21"/>
              </w:rPr>
              <w:t>×21.82m 2栋，</w:t>
            </w:r>
            <w:r>
              <w:rPr>
                <w:spacing w:val="-6"/>
                <w:kern w:val="0"/>
                <w:szCs w:val="21"/>
              </w:rPr>
              <w:t>猪舍底部采用PO膜+土工格栅+混凝土防渗</w:t>
            </w:r>
            <w:r>
              <w:rPr>
                <w:szCs w:val="21"/>
              </w:rPr>
              <w:t>。</w:t>
            </w:r>
          </w:p>
        </w:tc>
      </w:tr>
      <w:tr w14:paraId="6C4D8D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3" w:hRule="atLeast"/>
          <w:jc w:val="center"/>
        </w:trPr>
        <w:tc>
          <w:tcPr>
            <w:tcW w:w="383" w:type="pct"/>
            <w:vMerge w:val="restart"/>
            <w:noWrap w:val="0"/>
            <w:vAlign w:val="center"/>
          </w:tcPr>
          <w:p w14:paraId="4281DDE3">
            <w:pPr>
              <w:jc w:val="center"/>
              <w:rPr>
                <w:b/>
                <w:szCs w:val="21"/>
              </w:rPr>
            </w:pPr>
            <w:r>
              <w:rPr>
                <w:b/>
                <w:szCs w:val="21"/>
              </w:rPr>
              <w:t>辅助工程</w:t>
            </w:r>
          </w:p>
        </w:tc>
        <w:tc>
          <w:tcPr>
            <w:tcW w:w="261" w:type="pct"/>
            <w:vMerge w:val="restart"/>
            <w:noWrap w:val="0"/>
            <w:vAlign w:val="center"/>
          </w:tcPr>
          <w:p w14:paraId="3AB21722">
            <w:pPr>
              <w:jc w:val="center"/>
              <w:rPr>
                <w:szCs w:val="21"/>
              </w:rPr>
            </w:pPr>
            <w:r>
              <w:rPr>
                <w:szCs w:val="21"/>
              </w:rPr>
              <w:t>饲料仓库</w:t>
            </w:r>
          </w:p>
        </w:tc>
        <w:tc>
          <w:tcPr>
            <w:tcW w:w="417" w:type="pct"/>
            <w:gridSpan w:val="2"/>
            <w:vMerge w:val="restart"/>
            <w:noWrap w:val="0"/>
            <w:vAlign w:val="center"/>
          </w:tcPr>
          <w:p w14:paraId="484B4E03">
            <w:pPr>
              <w:jc w:val="center"/>
              <w:rPr>
                <w:szCs w:val="21"/>
              </w:rPr>
            </w:pPr>
            <w:r>
              <w:rPr>
                <w:szCs w:val="21"/>
              </w:rPr>
              <w:t>地块一</w:t>
            </w:r>
          </w:p>
        </w:tc>
        <w:tc>
          <w:tcPr>
            <w:tcW w:w="3936" w:type="pct"/>
            <w:gridSpan w:val="4"/>
            <w:noWrap w:val="0"/>
            <w:vAlign w:val="center"/>
          </w:tcPr>
          <w:p w14:paraId="2A9A95FD">
            <w:pPr>
              <w:rPr>
                <w:szCs w:val="21"/>
              </w:rPr>
            </w:pPr>
            <w:r>
              <w:rPr>
                <w:szCs w:val="21"/>
              </w:rPr>
              <w:t>1号场盛丰通风井位置1座，利用原有建筑改造，建筑面积为60m</w:t>
            </w:r>
            <w:r>
              <w:rPr>
                <w:szCs w:val="21"/>
                <w:vertAlign w:val="superscript"/>
              </w:rPr>
              <w:t>2</w:t>
            </w:r>
            <w:r>
              <w:rPr>
                <w:szCs w:val="21"/>
              </w:rPr>
              <w:t>，存放外购成品饲料</w:t>
            </w:r>
            <w:r>
              <w:rPr>
                <w:kern w:val="0"/>
                <w:szCs w:val="21"/>
              </w:rPr>
              <w:t>。</w:t>
            </w:r>
          </w:p>
        </w:tc>
      </w:tr>
      <w:tr w14:paraId="589F5D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3" w:hRule="atLeast"/>
          <w:jc w:val="center"/>
        </w:trPr>
        <w:tc>
          <w:tcPr>
            <w:tcW w:w="383" w:type="pct"/>
            <w:vMerge w:val="continue"/>
            <w:noWrap w:val="0"/>
            <w:vAlign w:val="center"/>
          </w:tcPr>
          <w:p w14:paraId="5A20F297">
            <w:pPr>
              <w:rPr>
                <w:szCs w:val="21"/>
              </w:rPr>
            </w:pPr>
          </w:p>
        </w:tc>
        <w:tc>
          <w:tcPr>
            <w:tcW w:w="261" w:type="pct"/>
            <w:vMerge w:val="continue"/>
            <w:noWrap w:val="0"/>
            <w:vAlign w:val="center"/>
          </w:tcPr>
          <w:p w14:paraId="5D8E0BDF">
            <w:pPr>
              <w:rPr>
                <w:szCs w:val="21"/>
              </w:rPr>
            </w:pPr>
          </w:p>
        </w:tc>
        <w:tc>
          <w:tcPr>
            <w:tcW w:w="417" w:type="pct"/>
            <w:gridSpan w:val="2"/>
            <w:vMerge w:val="continue"/>
            <w:noWrap w:val="0"/>
            <w:vAlign w:val="center"/>
          </w:tcPr>
          <w:p w14:paraId="1699FEEC">
            <w:pPr>
              <w:jc w:val="center"/>
              <w:rPr>
                <w:szCs w:val="21"/>
              </w:rPr>
            </w:pPr>
          </w:p>
        </w:tc>
        <w:tc>
          <w:tcPr>
            <w:tcW w:w="3936" w:type="pct"/>
            <w:gridSpan w:val="4"/>
            <w:noWrap w:val="0"/>
            <w:vAlign w:val="center"/>
          </w:tcPr>
          <w:p w14:paraId="24BFCFA9">
            <w:pPr>
              <w:rPr>
                <w:szCs w:val="21"/>
              </w:rPr>
            </w:pPr>
            <w:r>
              <w:rPr>
                <w:szCs w:val="21"/>
              </w:rPr>
              <w:t>4号场地鑫旺板块1座，新建，建筑面积为100m</w:t>
            </w:r>
            <w:r>
              <w:rPr>
                <w:szCs w:val="21"/>
                <w:vertAlign w:val="superscript"/>
              </w:rPr>
              <w:t>2</w:t>
            </w:r>
            <w:r>
              <w:rPr>
                <w:szCs w:val="21"/>
              </w:rPr>
              <w:t>，存放外购成品饲料</w:t>
            </w:r>
            <w:r>
              <w:rPr>
                <w:kern w:val="0"/>
                <w:szCs w:val="21"/>
              </w:rPr>
              <w:t>。</w:t>
            </w:r>
          </w:p>
        </w:tc>
      </w:tr>
      <w:tr w14:paraId="0ED46F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3" w:hRule="atLeast"/>
          <w:jc w:val="center"/>
        </w:trPr>
        <w:tc>
          <w:tcPr>
            <w:tcW w:w="383" w:type="pct"/>
            <w:vMerge w:val="continue"/>
            <w:noWrap w:val="0"/>
            <w:vAlign w:val="center"/>
          </w:tcPr>
          <w:p w14:paraId="39EC3EE3">
            <w:pPr>
              <w:rPr>
                <w:szCs w:val="21"/>
              </w:rPr>
            </w:pPr>
          </w:p>
        </w:tc>
        <w:tc>
          <w:tcPr>
            <w:tcW w:w="261" w:type="pct"/>
            <w:vMerge w:val="continue"/>
            <w:noWrap w:val="0"/>
            <w:vAlign w:val="center"/>
          </w:tcPr>
          <w:p w14:paraId="6FB72613">
            <w:pPr>
              <w:rPr>
                <w:szCs w:val="21"/>
              </w:rPr>
            </w:pPr>
          </w:p>
        </w:tc>
        <w:tc>
          <w:tcPr>
            <w:tcW w:w="417" w:type="pct"/>
            <w:gridSpan w:val="2"/>
            <w:vMerge w:val="continue"/>
            <w:noWrap w:val="0"/>
            <w:vAlign w:val="center"/>
          </w:tcPr>
          <w:p w14:paraId="304472DD">
            <w:pPr>
              <w:jc w:val="center"/>
              <w:rPr>
                <w:szCs w:val="21"/>
              </w:rPr>
            </w:pPr>
          </w:p>
        </w:tc>
        <w:tc>
          <w:tcPr>
            <w:tcW w:w="3936" w:type="pct"/>
            <w:gridSpan w:val="4"/>
            <w:noWrap w:val="0"/>
            <w:vAlign w:val="center"/>
          </w:tcPr>
          <w:p w14:paraId="381F746A">
            <w:pPr>
              <w:rPr>
                <w:szCs w:val="21"/>
              </w:rPr>
            </w:pPr>
            <w:r>
              <w:rPr>
                <w:kern w:val="0"/>
                <w:szCs w:val="21"/>
                <w:lang w:bidi="ar"/>
              </w:rPr>
              <w:t>5号场地</w:t>
            </w:r>
            <w:r>
              <w:rPr>
                <w:szCs w:val="21"/>
              </w:rPr>
              <w:t>大河边板块1座，利用原有建筑改造，建筑面积为100m</w:t>
            </w:r>
            <w:r>
              <w:rPr>
                <w:szCs w:val="21"/>
                <w:vertAlign w:val="superscript"/>
              </w:rPr>
              <w:t>2</w:t>
            </w:r>
            <w:r>
              <w:rPr>
                <w:szCs w:val="21"/>
              </w:rPr>
              <w:t>，存放外购成品饲料</w:t>
            </w:r>
            <w:r>
              <w:rPr>
                <w:kern w:val="0"/>
                <w:szCs w:val="21"/>
              </w:rPr>
              <w:t>。</w:t>
            </w:r>
          </w:p>
        </w:tc>
      </w:tr>
      <w:tr w14:paraId="1C7FD5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3" w:hRule="atLeast"/>
          <w:jc w:val="center"/>
        </w:trPr>
        <w:tc>
          <w:tcPr>
            <w:tcW w:w="383" w:type="pct"/>
            <w:vMerge w:val="continue"/>
            <w:noWrap w:val="0"/>
            <w:vAlign w:val="center"/>
          </w:tcPr>
          <w:p w14:paraId="20DA6AC8">
            <w:pPr>
              <w:rPr>
                <w:szCs w:val="21"/>
              </w:rPr>
            </w:pPr>
          </w:p>
        </w:tc>
        <w:tc>
          <w:tcPr>
            <w:tcW w:w="261" w:type="pct"/>
            <w:vMerge w:val="continue"/>
            <w:noWrap w:val="0"/>
            <w:vAlign w:val="center"/>
          </w:tcPr>
          <w:p w14:paraId="0A6C42A0">
            <w:pPr>
              <w:rPr>
                <w:szCs w:val="21"/>
              </w:rPr>
            </w:pPr>
          </w:p>
        </w:tc>
        <w:tc>
          <w:tcPr>
            <w:tcW w:w="417" w:type="pct"/>
            <w:gridSpan w:val="2"/>
            <w:vMerge w:val="restart"/>
            <w:noWrap w:val="0"/>
            <w:vAlign w:val="center"/>
          </w:tcPr>
          <w:p w14:paraId="7E5CB13A">
            <w:pPr>
              <w:jc w:val="center"/>
              <w:rPr>
                <w:szCs w:val="21"/>
              </w:rPr>
            </w:pPr>
            <w:r>
              <w:rPr>
                <w:szCs w:val="21"/>
              </w:rPr>
              <w:t>地块二</w:t>
            </w:r>
          </w:p>
        </w:tc>
        <w:tc>
          <w:tcPr>
            <w:tcW w:w="3936" w:type="pct"/>
            <w:gridSpan w:val="4"/>
            <w:noWrap w:val="0"/>
            <w:vAlign w:val="center"/>
          </w:tcPr>
          <w:p w14:paraId="6B4EEB43">
            <w:pPr>
              <w:rPr>
                <w:szCs w:val="21"/>
              </w:rPr>
            </w:pPr>
            <w:r>
              <w:rPr>
                <w:kern w:val="0"/>
                <w:szCs w:val="21"/>
                <w:lang w:bidi="ar"/>
              </w:rPr>
              <w:t>2号场地</w:t>
            </w:r>
            <w:r>
              <w:rPr>
                <w:szCs w:val="21"/>
              </w:rPr>
              <w:t>盛丰球场</w:t>
            </w:r>
            <w:r>
              <w:rPr>
                <w:kern w:val="0"/>
                <w:szCs w:val="21"/>
                <w:lang w:bidi="ar"/>
              </w:rPr>
              <w:t>篮球场</w:t>
            </w:r>
            <w:r>
              <w:rPr>
                <w:szCs w:val="21"/>
              </w:rPr>
              <w:t>1座，利用原有建筑改造，建筑面积为60m</w:t>
            </w:r>
            <w:r>
              <w:rPr>
                <w:szCs w:val="21"/>
                <w:vertAlign w:val="superscript"/>
              </w:rPr>
              <w:t>2</w:t>
            </w:r>
            <w:r>
              <w:rPr>
                <w:szCs w:val="21"/>
              </w:rPr>
              <w:t>，存放外购成品饲料</w:t>
            </w:r>
            <w:r>
              <w:rPr>
                <w:kern w:val="0"/>
                <w:szCs w:val="21"/>
              </w:rPr>
              <w:t>。</w:t>
            </w:r>
            <w:r>
              <w:rPr>
                <w:szCs w:val="21"/>
              </w:rPr>
              <w:t>盛丰焦化楼1处1座，利用原有建筑改造，建筑面积为60m</w:t>
            </w:r>
            <w:r>
              <w:rPr>
                <w:szCs w:val="21"/>
                <w:vertAlign w:val="superscript"/>
              </w:rPr>
              <w:t>2</w:t>
            </w:r>
            <w:r>
              <w:rPr>
                <w:szCs w:val="21"/>
              </w:rPr>
              <w:t>，存放外购成品饲料</w:t>
            </w:r>
            <w:r>
              <w:rPr>
                <w:kern w:val="0"/>
                <w:szCs w:val="21"/>
              </w:rPr>
              <w:t>。</w:t>
            </w:r>
          </w:p>
        </w:tc>
      </w:tr>
      <w:tr w14:paraId="1FBAF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3" w:hRule="atLeast"/>
          <w:jc w:val="center"/>
        </w:trPr>
        <w:tc>
          <w:tcPr>
            <w:tcW w:w="383" w:type="pct"/>
            <w:vMerge w:val="continue"/>
            <w:noWrap w:val="0"/>
            <w:vAlign w:val="center"/>
          </w:tcPr>
          <w:p w14:paraId="476D58D0">
            <w:pPr>
              <w:rPr>
                <w:szCs w:val="21"/>
              </w:rPr>
            </w:pPr>
          </w:p>
        </w:tc>
        <w:tc>
          <w:tcPr>
            <w:tcW w:w="261" w:type="pct"/>
            <w:vMerge w:val="continue"/>
            <w:noWrap w:val="0"/>
            <w:vAlign w:val="center"/>
          </w:tcPr>
          <w:p w14:paraId="4C28A54F">
            <w:pPr>
              <w:rPr>
                <w:szCs w:val="21"/>
              </w:rPr>
            </w:pPr>
          </w:p>
        </w:tc>
        <w:tc>
          <w:tcPr>
            <w:tcW w:w="417" w:type="pct"/>
            <w:gridSpan w:val="2"/>
            <w:vMerge w:val="continue"/>
            <w:noWrap w:val="0"/>
            <w:vAlign w:val="center"/>
          </w:tcPr>
          <w:p w14:paraId="7CBDAA37">
            <w:pPr>
              <w:jc w:val="center"/>
              <w:rPr>
                <w:szCs w:val="21"/>
              </w:rPr>
            </w:pPr>
          </w:p>
        </w:tc>
        <w:tc>
          <w:tcPr>
            <w:tcW w:w="3936" w:type="pct"/>
            <w:gridSpan w:val="4"/>
            <w:noWrap w:val="0"/>
            <w:vAlign w:val="center"/>
          </w:tcPr>
          <w:p w14:paraId="0BB5B172">
            <w:pPr>
              <w:rPr>
                <w:szCs w:val="21"/>
              </w:rPr>
            </w:pPr>
            <w:r>
              <w:rPr>
                <w:szCs w:val="21"/>
              </w:rPr>
              <w:t>3号场地老井位置1座，新建，建筑面积为60m</w:t>
            </w:r>
            <w:r>
              <w:rPr>
                <w:szCs w:val="21"/>
                <w:vertAlign w:val="superscript"/>
              </w:rPr>
              <w:t>2</w:t>
            </w:r>
            <w:r>
              <w:rPr>
                <w:szCs w:val="21"/>
              </w:rPr>
              <w:t>，存放外购成品饲料</w:t>
            </w:r>
            <w:r>
              <w:rPr>
                <w:kern w:val="0"/>
                <w:szCs w:val="21"/>
              </w:rPr>
              <w:t>。</w:t>
            </w:r>
          </w:p>
        </w:tc>
      </w:tr>
      <w:tr w14:paraId="540262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3" w:type="pct"/>
            <w:vMerge w:val="continue"/>
            <w:noWrap w:val="0"/>
            <w:vAlign w:val="center"/>
          </w:tcPr>
          <w:p w14:paraId="2A94155F">
            <w:pPr>
              <w:jc w:val="center"/>
              <w:rPr>
                <w:b/>
                <w:szCs w:val="21"/>
              </w:rPr>
            </w:pPr>
          </w:p>
        </w:tc>
        <w:tc>
          <w:tcPr>
            <w:tcW w:w="261" w:type="pct"/>
            <w:noWrap w:val="0"/>
            <w:vAlign w:val="center"/>
          </w:tcPr>
          <w:p w14:paraId="2BF3E0CA">
            <w:pPr>
              <w:jc w:val="center"/>
              <w:rPr>
                <w:szCs w:val="21"/>
              </w:rPr>
            </w:pPr>
            <w:r>
              <w:rPr>
                <w:szCs w:val="21"/>
              </w:rPr>
              <w:t>办公生活区</w:t>
            </w:r>
          </w:p>
        </w:tc>
        <w:tc>
          <w:tcPr>
            <w:tcW w:w="417" w:type="pct"/>
            <w:gridSpan w:val="2"/>
            <w:noWrap w:val="0"/>
            <w:vAlign w:val="center"/>
          </w:tcPr>
          <w:p w14:paraId="4E2EDDBF">
            <w:pPr>
              <w:jc w:val="center"/>
              <w:rPr>
                <w:szCs w:val="21"/>
              </w:rPr>
            </w:pPr>
            <w:r>
              <w:rPr>
                <w:szCs w:val="21"/>
              </w:rPr>
              <w:t>地块一、地块二</w:t>
            </w:r>
          </w:p>
        </w:tc>
        <w:tc>
          <w:tcPr>
            <w:tcW w:w="3936" w:type="pct"/>
            <w:gridSpan w:val="4"/>
            <w:noWrap w:val="0"/>
            <w:vAlign w:val="center"/>
          </w:tcPr>
          <w:p w14:paraId="57F74BF3">
            <w:pPr>
              <w:rPr>
                <w:szCs w:val="21"/>
              </w:rPr>
            </w:pPr>
            <w:r>
              <w:rPr>
                <w:szCs w:val="21"/>
              </w:rPr>
              <w:t>1号场地盛丰通风井位置设置1处；2号原盛丰球场及焦化楼、3号场地盛丰老井位置共同设置1处，4号场地鑫旺板块设置1处，5号场地大河边板块设置1处。</w:t>
            </w:r>
          </w:p>
        </w:tc>
      </w:tr>
      <w:tr w14:paraId="7866B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75" w:hRule="atLeast"/>
          <w:jc w:val="center"/>
        </w:trPr>
        <w:tc>
          <w:tcPr>
            <w:tcW w:w="383" w:type="pct"/>
            <w:vMerge w:val="continue"/>
            <w:noWrap w:val="0"/>
            <w:vAlign w:val="center"/>
          </w:tcPr>
          <w:p w14:paraId="754F6234">
            <w:pPr>
              <w:jc w:val="center"/>
              <w:rPr>
                <w:szCs w:val="21"/>
              </w:rPr>
            </w:pPr>
          </w:p>
        </w:tc>
        <w:tc>
          <w:tcPr>
            <w:tcW w:w="261" w:type="pct"/>
            <w:noWrap w:val="0"/>
            <w:vAlign w:val="center"/>
          </w:tcPr>
          <w:p w14:paraId="24D5AA02">
            <w:pPr>
              <w:jc w:val="center"/>
              <w:rPr>
                <w:szCs w:val="21"/>
              </w:rPr>
            </w:pPr>
            <w:r>
              <w:rPr>
                <w:szCs w:val="21"/>
              </w:rPr>
              <w:t>值班室</w:t>
            </w:r>
          </w:p>
        </w:tc>
        <w:tc>
          <w:tcPr>
            <w:tcW w:w="417" w:type="pct"/>
            <w:gridSpan w:val="2"/>
            <w:noWrap w:val="0"/>
            <w:vAlign w:val="center"/>
          </w:tcPr>
          <w:p w14:paraId="381AF2EB">
            <w:pPr>
              <w:jc w:val="center"/>
              <w:rPr>
                <w:szCs w:val="21"/>
              </w:rPr>
            </w:pPr>
            <w:r>
              <w:rPr>
                <w:szCs w:val="21"/>
              </w:rPr>
              <w:t>地块一、地块二</w:t>
            </w:r>
          </w:p>
        </w:tc>
        <w:tc>
          <w:tcPr>
            <w:tcW w:w="3936" w:type="pct"/>
            <w:gridSpan w:val="4"/>
            <w:noWrap w:val="0"/>
            <w:vAlign w:val="center"/>
          </w:tcPr>
          <w:p w14:paraId="6AAF0443">
            <w:pPr>
              <w:rPr>
                <w:szCs w:val="21"/>
              </w:rPr>
            </w:pPr>
            <w:r>
              <w:rPr>
                <w:szCs w:val="21"/>
              </w:rPr>
              <w:t>在各养殖地块入口处设置值班室，共计设置5处值班室，每个20m</w:t>
            </w:r>
            <w:r>
              <w:rPr>
                <w:szCs w:val="21"/>
                <w:vertAlign w:val="superscript"/>
              </w:rPr>
              <w:t>2</w:t>
            </w:r>
            <w:r>
              <w:rPr>
                <w:szCs w:val="21"/>
              </w:rPr>
              <w:t>;</w:t>
            </w:r>
          </w:p>
        </w:tc>
      </w:tr>
      <w:tr w14:paraId="75A718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3" w:type="pct"/>
            <w:vMerge w:val="continue"/>
            <w:noWrap w:val="0"/>
            <w:vAlign w:val="center"/>
          </w:tcPr>
          <w:p w14:paraId="1F61350D">
            <w:pPr>
              <w:jc w:val="center"/>
              <w:rPr>
                <w:szCs w:val="21"/>
              </w:rPr>
            </w:pPr>
          </w:p>
        </w:tc>
        <w:tc>
          <w:tcPr>
            <w:tcW w:w="261" w:type="pct"/>
            <w:vMerge w:val="restart"/>
            <w:noWrap w:val="0"/>
            <w:vAlign w:val="center"/>
          </w:tcPr>
          <w:p w14:paraId="4C025A36">
            <w:pPr>
              <w:jc w:val="center"/>
              <w:rPr>
                <w:szCs w:val="21"/>
              </w:rPr>
            </w:pPr>
            <w:r>
              <w:rPr>
                <w:szCs w:val="21"/>
              </w:rPr>
              <w:t>停车场</w:t>
            </w:r>
          </w:p>
        </w:tc>
        <w:tc>
          <w:tcPr>
            <w:tcW w:w="417" w:type="pct"/>
            <w:gridSpan w:val="2"/>
            <w:noWrap w:val="0"/>
            <w:vAlign w:val="center"/>
          </w:tcPr>
          <w:p w14:paraId="3FB7EB47">
            <w:pPr>
              <w:jc w:val="center"/>
              <w:rPr>
                <w:szCs w:val="21"/>
              </w:rPr>
            </w:pPr>
            <w:r>
              <w:rPr>
                <w:szCs w:val="21"/>
              </w:rPr>
              <w:t>地块一</w:t>
            </w:r>
          </w:p>
        </w:tc>
        <w:tc>
          <w:tcPr>
            <w:tcW w:w="3936" w:type="pct"/>
            <w:gridSpan w:val="4"/>
            <w:noWrap w:val="0"/>
            <w:vAlign w:val="center"/>
          </w:tcPr>
          <w:p w14:paraId="08B6A386">
            <w:pPr>
              <w:rPr>
                <w:b/>
                <w:szCs w:val="21"/>
              </w:rPr>
            </w:pPr>
            <w:r>
              <w:rPr>
                <w:bCs/>
                <w:szCs w:val="21"/>
              </w:rPr>
              <w:t>设置1个，位于</w:t>
            </w:r>
            <w:r>
              <w:rPr>
                <w:szCs w:val="21"/>
              </w:rPr>
              <w:t>2号场地盛丰焦化楼位置，面积480m</w:t>
            </w:r>
            <w:r>
              <w:rPr>
                <w:szCs w:val="21"/>
                <w:vertAlign w:val="superscript"/>
              </w:rPr>
              <w:t>2</w:t>
            </w:r>
          </w:p>
        </w:tc>
      </w:tr>
      <w:tr w14:paraId="49B900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3" w:type="pct"/>
            <w:vMerge w:val="continue"/>
            <w:noWrap w:val="0"/>
            <w:vAlign w:val="center"/>
          </w:tcPr>
          <w:p w14:paraId="72727856">
            <w:pPr>
              <w:jc w:val="center"/>
              <w:rPr>
                <w:szCs w:val="21"/>
              </w:rPr>
            </w:pPr>
          </w:p>
        </w:tc>
        <w:tc>
          <w:tcPr>
            <w:tcW w:w="261" w:type="pct"/>
            <w:vMerge w:val="continue"/>
            <w:noWrap w:val="0"/>
            <w:vAlign w:val="center"/>
          </w:tcPr>
          <w:p w14:paraId="4E33428F">
            <w:pPr>
              <w:jc w:val="center"/>
              <w:rPr>
                <w:szCs w:val="21"/>
              </w:rPr>
            </w:pPr>
          </w:p>
        </w:tc>
        <w:tc>
          <w:tcPr>
            <w:tcW w:w="417" w:type="pct"/>
            <w:gridSpan w:val="2"/>
            <w:noWrap w:val="0"/>
            <w:vAlign w:val="center"/>
          </w:tcPr>
          <w:p w14:paraId="4E911761">
            <w:pPr>
              <w:jc w:val="center"/>
              <w:rPr>
                <w:szCs w:val="21"/>
              </w:rPr>
            </w:pPr>
            <w:r>
              <w:rPr>
                <w:szCs w:val="21"/>
              </w:rPr>
              <w:t>地块二</w:t>
            </w:r>
          </w:p>
        </w:tc>
        <w:tc>
          <w:tcPr>
            <w:tcW w:w="3936" w:type="pct"/>
            <w:gridSpan w:val="4"/>
            <w:noWrap w:val="0"/>
            <w:vAlign w:val="center"/>
          </w:tcPr>
          <w:p w14:paraId="21C834CE">
            <w:pPr>
              <w:rPr>
                <w:bCs/>
                <w:szCs w:val="21"/>
              </w:rPr>
            </w:pPr>
            <w:r>
              <w:rPr>
                <w:bCs/>
                <w:szCs w:val="21"/>
              </w:rPr>
              <w:t>设置1个，位于</w:t>
            </w:r>
            <w:r>
              <w:rPr>
                <w:szCs w:val="21"/>
              </w:rPr>
              <w:t>5号场地猪舍旁，面积500m</w:t>
            </w:r>
            <w:r>
              <w:rPr>
                <w:szCs w:val="21"/>
                <w:vertAlign w:val="superscript"/>
              </w:rPr>
              <w:t>2</w:t>
            </w:r>
          </w:p>
        </w:tc>
      </w:tr>
      <w:tr w14:paraId="01EED6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00E82BB7">
            <w:pPr>
              <w:jc w:val="center"/>
              <w:rPr>
                <w:szCs w:val="21"/>
              </w:rPr>
            </w:pPr>
          </w:p>
        </w:tc>
        <w:tc>
          <w:tcPr>
            <w:tcW w:w="261" w:type="pct"/>
            <w:vMerge w:val="restart"/>
            <w:noWrap w:val="0"/>
            <w:vAlign w:val="center"/>
          </w:tcPr>
          <w:p w14:paraId="06889C86">
            <w:pPr>
              <w:jc w:val="center"/>
              <w:rPr>
                <w:szCs w:val="21"/>
              </w:rPr>
            </w:pPr>
            <w:r>
              <w:rPr>
                <w:szCs w:val="21"/>
              </w:rPr>
              <w:t>车辆消毒通道</w:t>
            </w:r>
          </w:p>
        </w:tc>
        <w:tc>
          <w:tcPr>
            <w:tcW w:w="417" w:type="pct"/>
            <w:gridSpan w:val="2"/>
            <w:vMerge w:val="restart"/>
            <w:noWrap w:val="0"/>
            <w:vAlign w:val="center"/>
          </w:tcPr>
          <w:p w14:paraId="1A27D0A3">
            <w:pPr>
              <w:jc w:val="center"/>
              <w:rPr>
                <w:szCs w:val="21"/>
              </w:rPr>
            </w:pPr>
            <w:r>
              <w:rPr>
                <w:szCs w:val="21"/>
              </w:rPr>
              <w:t>地块一</w:t>
            </w:r>
          </w:p>
        </w:tc>
        <w:tc>
          <w:tcPr>
            <w:tcW w:w="3936" w:type="pct"/>
            <w:gridSpan w:val="4"/>
            <w:noWrap w:val="0"/>
            <w:vAlign w:val="center"/>
          </w:tcPr>
          <w:p w14:paraId="354C563E">
            <w:pPr>
              <w:rPr>
                <w:b/>
                <w:szCs w:val="21"/>
              </w:rPr>
            </w:pPr>
            <w:r>
              <w:rPr>
                <w:szCs w:val="21"/>
              </w:rPr>
              <w:t>1号场盛丰通风井位置1座，</w:t>
            </w:r>
            <w:r>
              <w:rPr>
                <w:bCs/>
                <w:szCs w:val="21"/>
              </w:rPr>
              <w:t>总建筑面积</w:t>
            </w:r>
            <w:r>
              <w:rPr>
                <w:szCs w:val="21"/>
              </w:rPr>
              <w:t>243</w:t>
            </w:r>
            <w:r>
              <w:rPr>
                <w:bCs/>
                <w:spacing w:val="-10"/>
                <w:szCs w:val="21"/>
              </w:rPr>
              <w:t>m</w:t>
            </w:r>
            <w:r>
              <w:rPr>
                <w:bCs/>
                <w:spacing w:val="-10"/>
                <w:szCs w:val="21"/>
                <w:vertAlign w:val="superscript"/>
              </w:rPr>
              <w:t>2</w:t>
            </w:r>
            <w:r>
              <w:rPr>
                <w:szCs w:val="21"/>
              </w:rPr>
              <w:t>，位于入口处</w:t>
            </w:r>
          </w:p>
        </w:tc>
      </w:tr>
      <w:tr w14:paraId="43B94E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16A66536">
            <w:pPr>
              <w:jc w:val="center"/>
              <w:rPr>
                <w:szCs w:val="21"/>
              </w:rPr>
            </w:pPr>
          </w:p>
        </w:tc>
        <w:tc>
          <w:tcPr>
            <w:tcW w:w="261" w:type="pct"/>
            <w:vMerge w:val="continue"/>
            <w:noWrap w:val="0"/>
            <w:vAlign w:val="center"/>
          </w:tcPr>
          <w:p w14:paraId="3B959F21">
            <w:pPr>
              <w:jc w:val="center"/>
              <w:rPr>
                <w:szCs w:val="21"/>
              </w:rPr>
            </w:pPr>
          </w:p>
        </w:tc>
        <w:tc>
          <w:tcPr>
            <w:tcW w:w="417" w:type="pct"/>
            <w:gridSpan w:val="2"/>
            <w:vMerge w:val="continue"/>
            <w:noWrap w:val="0"/>
            <w:vAlign w:val="center"/>
          </w:tcPr>
          <w:p w14:paraId="7AA8712E">
            <w:pPr>
              <w:jc w:val="center"/>
              <w:rPr>
                <w:szCs w:val="21"/>
              </w:rPr>
            </w:pPr>
          </w:p>
        </w:tc>
        <w:tc>
          <w:tcPr>
            <w:tcW w:w="3936" w:type="pct"/>
            <w:gridSpan w:val="4"/>
            <w:noWrap w:val="0"/>
            <w:vAlign w:val="center"/>
          </w:tcPr>
          <w:p w14:paraId="7B5F3425">
            <w:pPr>
              <w:rPr>
                <w:bCs/>
                <w:szCs w:val="21"/>
              </w:rPr>
            </w:pPr>
            <w:r>
              <w:rPr>
                <w:szCs w:val="21"/>
              </w:rPr>
              <w:t>4号场地鑫旺板块1座，</w:t>
            </w:r>
            <w:r>
              <w:rPr>
                <w:bCs/>
                <w:szCs w:val="21"/>
              </w:rPr>
              <w:t>总建筑面积</w:t>
            </w:r>
            <w:r>
              <w:rPr>
                <w:szCs w:val="21"/>
              </w:rPr>
              <w:t>243</w:t>
            </w:r>
            <w:r>
              <w:rPr>
                <w:bCs/>
                <w:spacing w:val="-10"/>
                <w:szCs w:val="21"/>
              </w:rPr>
              <w:t>m</w:t>
            </w:r>
            <w:r>
              <w:rPr>
                <w:bCs/>
                <w:spacing w:val="-10"/>
                <w:szCs w:val="21"/>
                <w:vertAlign w:val="superscript"/>
              </w:rPr>
              <w:t>2</w:t>
            </w:r>
            <w:r>
              <w:rPr>
                <w:szCs w:val="21"/>
              </w:rPr>
              <w:t>，位于入口处</w:t>
            </w:r>
          </w:p>
        </w:tc>
      </w:tr>
      <w:tr w14:paraId="0E9F0D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56E3178D">
            <w:pPr>
              <w:jc w:val="center"/>
              <w:rPr>
                <w:szCs w:val="21"/>
              </w:rPr>
            </w:pPr>
          </w:p>
        </w:tc>
        <w:tc>
          <w:tcPr>
            <w:tcW w:w="261" w:type="pct"/>
            <w:vMerge w:val="continue"/>
            <w:noWrap w:val="0"/>
            <w:vAlign w:val="center"/>
          </w:tcPr>
          <w:p w14:paraId="1A3FEE31">
            <w:pPr>
              <w:jc w:val="center"/>
              <w:rPr>
                <w:szCs w:val="21"/>
              </w:rPr>
            </w:pPr>
          </w:p>
        </w:tc>
        <w:tc>
          <w:tcPr>
            <w:tcW w:w="417" w:type="pct"/>
            <w:gridSpan w:val="2"/>
            <w:vMerge w:val="continue"/>
            <w:noWrap w:val="0"/>
            <w:vAlign w:val="center"/>
          </w:tcPr>
          <w:p w14:paraId="7B1C5FC2">
            <w:pPr>
              <w:jc w:val="center"/>
              <w:rPr>
                <w:szCs w:val="21"/>
              </w:rPr>
            </w:pPr>
          </w:p>
        </w:tc>
        <w:tc>
          <w:tcPr>
            <w:tcW w:w="3936" w:type="pct"/>
            <w:gridSpan w:val="4"/>
            <w:noWrap w:val="0"/>
            <w:vAlign w:val="center"/>
          </w:tcPr>
          <w:p w14:paraId="41CB7B13">
            <w:pPr>
              <w:rPr>
                <w:bCs/>
                <w:szCs w:val="21"/>
              </w:rPr>
            </w:pPr>
            <w:r>
              <w:rPr>
                <w:kern w:val="0"/>
                <w:szCs w:val="21"/>
                <w:lang w:bidi="ar"/>
              </w:rPr>
              <w:t>5号场地</w:t>
            </w:r>
            <w:r>
              <w:rPr>
                <w:szCs w:val="21"/>
              </w:rPr>
              <w:t>大河边板块1座，</w:t>
            </w:r>
            <w:r>
              <w:rPr>
                <w:bCs/>
                <w:szCs w:val="21"/>
              </w:rPr>
              <w:t>总建筑面积</w:t>
            </w:r>
            <w:r>
              <w:rPr>
                <w:szCs w:val="21"/>
              </w:rPr>
              <w:t>243</w:t>
            </w:r>
            <w:r>
              <w:rPr>
                <w:bCs/>
                <w:spacing w:val="-10"/>
                <w:szCs w:val="21"/>
              </w:rPr>
              <w:t>m</w:t>
            </w:r>
            <w:r>
              <w:rPr>
                <w:bCs/>
                <w:spacing w:val="-10"/>
                <w:szCs w:val="21"/>
                <w:vertAlign w:val="superscript"/>
              </w:rPr>
              <w:t>2</w:t>
            </w:r>
            <w:r>
              <w:rPr>
                <w:szCs w:val="21"/>
              </w:rPr>
              <w:t>，位于入口处</w:t>
            </w:r>
          </w:p>
        </w:tc>
      </w:tr>
      <w:tr w14:paraId="011FC6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5936148E">
            <w:pPr>
              <w:jc w:val="center"/>
              <w:rPr>
                <w:szCs w:val="21"/>
              </w:rPr>
            </w:pPr>
          </w:p>
        </w:tc>
        <w:tc>
          <w:tcPr>
            <w:tcW w:w="261" w:type="pct"/>
            <w:vMerge w:val="continue"/>
            <w:noWrap w:val="0"/>
            <w:vAlign w:val="center"/>
          </w:tcPr>
          <w:p w14:paraId="1EEFAED9">
            <w:pPr>
              <w:jc w:val="center"/>
              <w:rPr>
                <w:szCs w:val="21"/>
              </w:rPr>
            </w:pPr>
          </w:p>
        </w:tc>
        <w:tc>
          <w:tcPr>
            <w:tcW w:w="417" w:type="pct"/>
            <w:gridSpan w:val="2"/>
            <w:vMerge w:val="restart"/>
            <w:noWrap w:val="0"/>
            <w:vAlign w:val="center"/>
          </w:tcPr>
          <w:p w14:paraId="5E2EC055">
            <w:pPr>
              <w:jc w:val="center"/>
              <w:rPr>
                <w:szCs w:val="21"/>
              </w:rPr>
            </w:pPr>
            <w:r>
              <w:rPr>
                <w:szCs w:val="21"/>
              </w:rPr>
              <w:t>地块二</w:t>
            </w:r>
          </w:p>
        </w:tc>
        <w:tc>
          <w:tcPr>
            <w:tcW w:w="3936" w:type="pct"/>
            <w:gridSpan w:val="4"/>
            <w:noWrap w:val="0"/>
            <w:vAlign w:val="center"/>
          </w:tcPr>
          <w:p w14:paraId="74958F2F">
            <w:pPr>
              <w:rPr>
                <w:bCs/>
                <w:szCs w:val="21"/>
              </w:rPr>
            </w:pPr>
            <w:r>
              <w:rPr>
                <w:kern w:val="0"/>
                <w:szCs w:val="21"/>
                <w:lang w:bidi="ar"/>
              </w:rPr>
              <w:t>2号场</w:t>
            </w:r>
            <w:r>
              <w:rPr>
                <w:szCs w:val="21"/>
              </w:rPr>
              <w:t>，</w:t>
            </w:r>
            <w:r>
              <w:rPr>
                <w:bCs/>
                <w:szCs w:val="21"/>
              </w:rPr>
              <w:t>总建筑面积</w:t>
            </w:r>
            <w:r>
              <w:rPr>
                <w:szCs w:val="21"/>
              </w:rPr>
              <w:t>243</w:t>
            </w:r>
            <w:r>
              <w:rPr>
                <w:bCs/>
                <w:spacing w:val="-10"/>
                <w:szCs w:val="21"/>
              </w:rPr>
              <w:t>m</w:t>
            </w:r>
            <w:r>
              <w:rPr>
                <w:bCs/>
                <w:spacing w:val="-10"/>
                <w:szCs w:val="21"/>
                <w:vertAlign w:val="superscript"/>
              </w:rPr>
              <w:t>2</w:t>
            </w:r>
            <w:r>
              <w:rPr>
                <w:szCs w:val="21"/>
              </w:rPr>
              <w:t>，位于入口处</w:t>
            </w:r>
          </w:p>
        </w:tc>
      </w:tr>
      <w:tr w14:paraId="05BB9B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147018D2">
            <w:pPr>
              <w:jc w:val="center"/>
              <w:rPr>
                <w:szCs w:val="21"/>
              </w:rPr>
            </w:pPr>
          </w:p>
        </w:tc>
        <w:tc>
          <w:tcPr>
            <w:tcW w:w="261" w:type="pct"/>
            <w:vMerge w:val="continue"/>
            <w:noWrap w:val="0"/>
            <w:vAlign w:val="center"/>
          </w:tcPr>
          <w:p w14:paraId="474F44E7">
            <w:pPr>
              <w:jc w:val="center"/>
              <w:rPr>
                <w:szCs w:val="21"/>
              </w:rPr>
            </w:pPr>
          </w:p>
        </w:tc>
        <w:tc>
          <w:tcPr>
            <w:tcW w:w="417" w:type="pct"/>
            <w:gridSpan w:val="2"/>
            <w:vMerge w:val="continue"/>
            <w:noWrap w:val="0"/>
            <w:vAlign w:val="center"/>
          </w:tcPr>
          <w:p w14:paraId="3CE1E30D">
            <w:pPr>
              <w:jc w:val="center"/>
              <w:rPr>
                <w:szCs w:val="21"/>
              </w:rPr>
            </w:pPr>
          </w:p>
        </w:tc>
        <w:tc>
          <w:tcPr>
            <w:tcW w:w="3936" w:type="pct"/>
            <w:gridSpan w:val="4"/>
            <w:noWrap w:val="0"/>
            <w:vAlign w:val="center"/>
          </w:tcPr>
          <w:p w14:paraId="009EA238">
            <w:pPr>
              <w:rPr>
                <w:bCs/>
                <w:szCs w:val="21"/>
              </w:rPr>
            </w:pPr>
            <w:r>
              <w:rPr>
                <w:szCs w:val="21"/>
              </w:rPr>
              <w:t>3号场地老井位置1座，</w:t>
            </w:r>
            <w:r>
              <w:rPr>
                <w:bCs/>
                <w:szCs w:val="21"/>
              </w:rPr>
              <w:t>总建筑面积</w:t>
            </w:r>
            <w:r>
              <w:rPr>
                <w:szCs w:val="21"/>
              </w:rPr>
              <w:t>243</w:t>
            </w:r>
            <w:r>
              <w:rPr>
                <w:bCs/>
                <w:spacing w:val="-10"/>
                <w:szCs w:val="21"/>
              </w:rPr>
              <w:t>m</w:t>
            </w:r>
            <w:r>
              <w:rPr>
                <w:bCs/>
                <w:spacing w:val="-10"/>
                <w:szCs w:val="21"/>
                <w:vertAlign w:val="superscript"/>
              </w:rPr>
              <w:t>2</w:t>
            </w:r>
            <w:r>
              <w:rPr>
                <w:szCs w:val="21"/>
              </w:rPr>
              <w:t>，位于入口处</w:t>
            </w:r>
          </w:p>
        </w:tc>
      </w:tr>
      <w:tr w14:paraId="0155F7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1" w:hRule="atLeast"/>
          <w:jc w:val="center"/>
        </w:trPr>
        <w:tc>
          <w:tcPr>
            <w:tcW w:w="383" w:type="pct"/>
            <w:vMerge w:val="continue"/>
            <w:noWrap w:val="0"/>
            <w:vAlign w:val="center"/>
          </w:tcPr>
          <w:p w14:paraId="7717A53C">
            <w:pPr>
              <w:jc w:val="center"/>
              <w:rPr>
                <w:szCs w:val="21"/>
              </w:rPr>
            </w:pPr>
          </w:p>
        </w:tc>
        <w:tc>
          <w:tcPr>
            <w:tcW w:w="261" w:type="pct"/>
            <w:vMerge w:val="restart"/>
            <w:noWrap w:val="0"/>
            <w:vAlign w:val="center"/>
          </w:tcPr>
          <w:p w14:paraId="2D8A1060">
            <w:pPr>
              <w:jc w:val="center"/>
              <w:rPr>
                <w:szCs w:val="21"/>
              </w:rPr>
            </w:pPr>
            <w:r>
              <w:rPr>
                <w:szCs w:val="21"/>
              </w:rPr>
              <w:t>装猪台</w:t>
            </w:r>
          </w:p>
        </w:tc>
        <w:tc>
          <w:tcPr>
            <w:tcW w:w="417" w:type="pct"/>
            <w:gridSpan w:val="2"/>
            <w:vMerge w:val="restart"/>
            <w:noWrap w:val="0"/>
            <w:vAlign w:val="center"/>
          </w:tcPr>
          <w:p w14:paraId="15A61B3D">
            <w:pPr>
              <w:jc w:val="center"/>
              <w:rPr>
                <w:szCs w:val="21"/>
              </w:rPr>
            </w:pPr>
            <w:r>
              <w:rPr>
                <w:szCs w:val="21"/>
              </w:rPr>
              <w:t>地块一</w:t>
            </w:r>
          </w:p>
        </w:tc>
        <w:tc>
          <w:tcPr>
            <w:tcW w:w="3936" w:type="pct"/>
            <w:gridSpan w:val="4"/>
            <w:noWrap w:val="0"/>
            <w:vAlign w:val="center"/>
          </w:tcPr>
          <w:p w14:paraId="246185E5">
            <w:pPr>
              <w:rPr>
                <w:b/>
                <w:szCs w:val="21"/>
              </w:rPr>
            </w:pPr>
            <w:r>
              <w:rPr>
                <w:szCs w:val="21"/>
              </w:rPr>
              <w:t>1号场盛丰通风井位置1座，</w:t>
            </w:r>
            <w:r>
              <w:rPr>
                <w:bCs/>
                <w:szCs w:val="21"/>
              </w:rPr>
              <w:t>规格30.7m×14m，建筑面积</w:t>
            </w:r>
            <w:r>
              <w:rPr>
                <w:szCs w:val="21"/>
              </w:rPr>
              <w:t>1289.4</w:t>
            </w:r>
            <w:r>
              <w:rPr>
                <w:bCs/>
                <w:spacing w:val="-10"/>
                <w:szCs w:val="21"/>
              </w:rPr>
              <w:t>m</w:t>
            </w:r>
            <w:r>
              <w:rPr>
                <w:bCs/>
                <w:spacing w:val="-10"/>
                <w:szCs w:val="21"/>
                <w:vertAlign w:val="superscript"/>
              </w:rPr>
              <w:t>2</w:t>
            </w:r>
          </w:p>
        </w:tc>
      </w:tr>
      <w:tr w14:paraId="12CC0C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1" w:hRule="atLeast"/>
          <w:jc w:val="center"/>
        </w:trPr>
        <w:tc>
          <w:tcPr>
            <w:tcW w:w="383" w:type="pct"/>
            <w:vMerge w:val="continue"/>
            <w:noWrap w:val="0"/>
            <w:vAlign w:val="center"/>
          </w:tcPr>
          <w:p w14:paraId="068D4BB1">
            <w:pPr>
              <w:rPr>
                <w:szCs w:val="21"/>
              </w:rPr>
            </w:pPr>
          </w:p>
        </w:tc>
        <w:tc>
          <w:tcPr>
            <w:tcW w:w="261" w:type="pct"/>
            <w:vMerge w:val="continue"/>
            <w:noWrap w:val="0"/>
            <w:vAlign w:val="center"/>
          </w:tcPr>
          <w:p w14:paraId="02B6F4A7">
            <w:pPr>
              <w:rPr>
                <w:szCs w:val="21"/>
              </w:rPr>
            </w:pPr>
          </w:p>
        </w:tc>
        <w:tc>
          <w:tcPr>
            <w:tcW w:w="417" w:type="pct"/>
            <w:gridSpan w:val="2"/>
            <w:vMerge w:val="continue"/>
            <w:noWrap w:val="0"/>
            <w:vAlign w:val="center"/>
          </w:tcPr>
          <w:p w14:paraId="2D223A25">
            <w:pPr>
              <w:jc w:val="center"/>
              <w:rPr>
                <w:szCs w:val="21"/>
              </w:rPr>
            </w:pPr>
          </w:p>
        </w:tc>
        <w:tc>
          <w:tcPr>
            <w:tcW w:w="3936" w:type="pct"/>
            <w:gridSpan w:val="4"/>
            <w:noWrap w:val="0"/>
            <w:vAlign w:val="center"/>
          </w:tcPr>
          <w:p w14:paraId="70D3E090">
            <w:pPr>
              <w:rPr>
                <w:bCs/>
                <w:szCs w:val="21"/>
              </w:rPr>
            </w:pPr>
            <w:r>
              <w:rPr>
                <w:szCs w:val="21"/>
              </w:rPr>
              <w:t>4号场地鑫旺板块1座，</w:t>
            </w:r>
            <w:r>
              <w:rPr>
                <w:bCs/>
                <w:szCs w:val="21"/>
              </w:rPr>
              <w:t>规格30.7m×14m，建筑面积</w:t>
            </w:r>
            <w:r>
              <w:rPr>
                <w:szCs w:val="21"/>
              </w:rPr>
              <w:t>1289.4</w:t>
            </w:r>
            <w:r>
              <w:rPr>
                <w:bCs/>
                <w:spacing w:val="-10"/>
                <w:szCs w:val="21"/>
              </w:rPr>
              <w:t>m</w:t>
            </w:r>
            <w:r>
              <w:rPr>
                <w:bCs/>
                <w:spacing w:val="-10"/>
                <w:szCs w:val="21"/>
                <w:vertAlign w:val="superscript"/>
              </w:rPr>
              <w:t>2</w:t>
            </w:r>
          </w:p>
        </w:tc>
      </w:tr>
      <w:tr w14:paraId="10AED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1" w:hRule="atLeast"/>
          <w:jc w:val="center"/>
        </w:trPr>
        <w:tc>
          <w:tcPr>
            <w:tcW w:w="383" w:type="pct"/>
            <w:vMerge w:val="continue"/>
            <w:noWrap w:val="0"/>
            <w:vAlign w:val="center"/>
          </w:tcPr>
          <w:p w14:paraId="785AEDC2">
            <w:pPr>
              <w:rPr>
                <w:szCs w:val="21"/>
              </w:rPr>
            </w:pPr>
          </w:p>
        </w:tc>
        <w:tc>
          <w:tcPr>
            <w:tcW w:w="261" w:type="pct"/>
            <w:vMerge w:val="continue"/>
            <w:noWrap w:val="0"/>
            <w:vAlign w:val="center"/>
          </w:tcPr>
          <w:p w14:paraId="1D9FE64E">
            <w:pPr>
              <w:rPr>
                <w:szCs w:val="21"/>
              </w:rPr>
            </w:pPr>
          </w:p>
        </w:tc>
        <w:tc>
          <w:tcPr>
            <w:tcW w:w="417" w:type="pct"/>
            <w:gridSpan w:val="2"/>
            <w:vMerge w:val="continue"/>
            <w:noWrap w:val="0"/>
            <w:vAlign w:val="center"/>
          </w:tcPr>
          <w:p w14:paraId="29BD11B7">
            <w:pPr>
              <w:jc w:val="center"/>
              <w:rPr>
                <w:szCs w:val="21"/>
              </w:rPr>
            </w:pPr>
          </w:p>
        </w:tc>
        <w:tc>
          <w:tcPr>
            <w:tcW w:w="3936" w:type="pct"/>
            <w:gridSpan w:val="4"/>
            <w:noWrap w:val="0"/>
            <w:vAlign w:val="center"/>
          </w:tcPr>
          <w:p w14:paraId="1E4449FE">
            <w:pPr>
              <w:rPr>
                <w:bCs/>
                <w:szCs w:val="21"/>
              </w:rPr>
            </w:pPr>
            <w:r>
              <w:rPr>
                <w:kern w:val="0"/>
                <w:szCs w:val="21"/>
                <w:lang w:bidi="ar"/>
              </w:rPr>
              <w:t>5号场地</w:t>
            </w:r>
            <w:r>
              <w:rPr>
                <w:szCs w:val="21"/>
              </w:rPr>
              <w:t>大河边板块1座，</w:t>
            </w:r>
            <w:r>
              <w:rPr>
                <w:bCs/>
                <w:szCs w:val="21"/>
              </w:rPr>
              <w:t>规格30.7m×14m，建筑面积</w:t>
            </w:r>
            <w:r>
              <w:rPr>
                <w:szCs w:val="21"/>
              </w:rPr>
              <w:t>1289.4</w:t>
            </w:r>
            <w:r>
              <w:rPr>
                <w:bCs/>
                <w:spacing w:val="-10"/>
                <w:szCs w:val="21"/>
              </w:rPr>
              <w:t>m</w:t>
            </w:r>
            <w:r>
              <w:rPr>
                <w:bCs/>
                <w:spacing w:val="-10"/>
                <w:szCs w:val="21"/>
                <w:vertAlign w:val="superscript"/>
              </w:rPr>
              <w:t>2</w:t>
            </w:r>
          </w:p>
        </w:tc>
      </w:tr>
      <w:tr w14:paraId="543CFE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1" w:hRule="atLeast"/>
          <w:jc w:val="center"/>
        </w:trPr>
        <w:tc>
          <w:tcPr>
            <w:tcW w:w="383" w:type="pct"/>
            <w:vMerge w:val="continue"/>
            <w:noWrap w:val="0"/>
            <w:vAlign w:val="center"/>
          </w:tcPr>
          <w:p w14:paraId="08422B8C">
            <w:pPr>
              <w:rPr>
                <w:szCs w:val="21"/>
              </w:rPr>
            </w:pPr>
          </w:p>
        </w:tc>
        <w:tc>
          <w:tcPr>
            <w:tcW w:w="261" w:type="pct"/>
            <w:vMerge w:val="continue"/>
            <w:noWrap w:val="0"/>
            <w:vAlign w:val="center"/>
          </w:tcPr>
          <w:p w14:paraId="60B50B17">
            <w:pPr>
              <w:rPr>
                <w:szCs w:val="21"/>
              </w:rPr>
            </w:pPr>
          </w:p>
        </w:tc>
        <w:tc>
          <w:tcPr>
            <w:tcW w:w="417" w:type="pct"/>
            <w:gridSpan w:val="2"/>
            <w:vMerge w:val="restart"/>
            <w:noWrap w:val="0"/>
            <w:vAlign w:val="center"/>
          </w:tcPr>
          <w:p w14:paraId="1F6A61DD">
            <w:pPr>
              <w:jc w:val="center"/>
              <w:rPr>
                <w:szCs w:val="21"/>
              </w:rPr>
            </w:pPr>
            <w:r>
              <w:rPr>
                <w:szCs w:val="21"/>
              </w:rPr>
              <w:t>地块二</w:t>
            </w:r>
          </w:p>
        </w:tc>
        <w:tc>
          <w:tcPr>
            <w:tcW w:w="3936" w:type="pct"/>
            <w:gridSpan w:val="4"/>
            <w:noWrap w:val="0"/>
            <w:vAlign w:val="center"/>
          </w:tcPr>
          <w:p w14:paraId="2FA24EE7">
            <w:pPr>
              <w:rPr>
                <w:bCs/>
                <w:szCs w:val="21"/>
              </w:rPr>
            </w:pPr>
            <w:r>
              <w:rPr>
                <w:kern w:val="0"/>
                <w:szCs w:val="21"/>
                <w:lang w:bidi="ar"/>
              </w:rPr>
              <w:t>2号场</w:t>
            </w:r>
            <w:r>
              <w:rPr>
                <w:szCs w:val="21"/>
              </w:rPr>
              <w:t>，</w:t>
            </w:r>
            <w:r>
              <w:rPr>
                <w:bCs/>
                <w:szCs w:val="21"/>
              </w:rPr>
              <w:t>总建筑面积</w:t>
            </w:r>
            <w:r>
              <w:rPr>
                <w:szCs w:val="21"/>
              </w:rPr>
              <w:t>243</w:t>
            </w:r>
            <w:r>
              <w:rPr>
                <w:bCs/>
                <w:spacing w:val="-10"/>
                <w:szCs w:val="21"/>
              </w:rPr>
              <w:t>m</w:t>
            </w:r>
            <w:r>
              <w:rPr>
                <w:bCs/>
                <w:spacing w:val="-10"/>
                <w:szCs w:val="21"/>
                <w:vertAlign w:val="superscript"/>
              </w:rPr>
              <w:t>2</w:t>
            </w:r>
            <w:r>
              <w:rPr>
                <w:szCs w:val="21"/>
              </w:rPr>
              <w:t>，</w:t>
            </w:r>
            <w:r>
              <w:rPr>
                <w:bCs/>
                <w:szCs w:val="21"/>
              </w:rPr>
              <w:t>规格30.7m×14m，建筑面积</w:t>
            </w:r>
            <w:r>
              <w:rPr>
                <w:szCs w:val="21"/>
              </w:rPr>
              <w:t>1289.4</w:t>
            </w:r>
            <w:r>
              <w:rPr>
                <w:bCs/>
                <w:spacing w:val="-10"/>
                <w:szCs w:val="21"/>
              </w:rPr>
              <w:t>m</w:t>
            </w:r>
            <w:r>
              <w:rPr>
                <w:bCs/>
                <w:spacing w:val="-10"/>
                <w:szCs w:val="21"/>
                <w:vertAlign w:val="superscript"/>
              </w:rPr>
              <w:t>2</w:t>
            </w:r>
          </w:p>
        </w:tc>
      </w:tr>
      <w:tr w14:paraId="76875B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1" w:hRule="atLeast"/>
          <w:jc w:val="center"/>
        </w:trPr>
        <w:tc>
          <w:tcPr>
            <w:tcW w:w="383" w:type="pct"/>
            <w:vMerge w:val="continue"/>
            <w:noWrap w:val="0"/>
            <w:vAlign w:val="center"/>
          </w:tcPr>
          <w:p w14:paraId="13D2541A">
            <w:pPr>
              <w:rPr>
                <w:szCs w:val="21"/>
              </w:rPr>
            </w:pPr>
          </w:p>
        </w:tc>
        <w:tc>
          <w:tcPr>
            <w:tcW w:w="261" w:type="pct"/>
            <w:vMerge w:val="continue"/>
            <w:noWrap w:val="0"/>
            <w:vAlign w:val="center"/>
          </w:tcPr>
          <w:p w14:paraId="4E21A5E6">
            <w:pPr>
              <w:rPr>
                <w:szCs w:val="21"/>
              </w:rPr>
            </w:pPr>
          </w:p>
        </w:tc>
        <w:tc>
          <w:tcPr>
            <w:tcW w:w="417" w:type="pct"/>
            <w:gridSpan w:val="2"/>
            <w:vMerge w:val="continue"/>
            <w:noWrap w:val="0"/>
            <w:vAlign w:val="center"/>
          </w:tcPr>
          <w:p w14:paraId="33864D4B">
            <w:pPr>
              <w:jc w:val="center"/>
              <w:rPr>
                <w:szCs w:val="21"/>
              </w:rPr>
            </w:pPr>
          </w:p>
        </w:tc>
        <w:tc>
          <w:tcPr>
            <w:tcW w:w="3936" w:type="pct"/>
            <w:gridSpan w:val="4"/>
            <w:noWrap w:val="0"/>
            <w:vAlign w:val="center"/>
          </w:tcPr>
          <w:p w14:paraId="6ADFBF2A">
            <w:pPr>
              <w:rPr>
                <w:bCs/>
                <w:szCs w:val="21"/>
              </w:rPr>
            </w:pPr>
            <w:r>
              <w:rPr>
                <w:szCs w:val="21"/>
              </w:rPr>
              <w:t>3号场地老井位置1座，</w:t>
            </w:r>
            <w:r>
              <w:rPr>
                <w:bCs/>
                <w:szCs w:val="21"/>
              </w:rPr>
              <w:t>规格30.7m×14m，建筑面积</w:t>
            </w:r>
            <w:r>
              <w:rPr>
                <w:szCs w:val="21"/>
              </w:rPr>
              <w:t>1289.4</w:t>
            </w:r>
            <w:r>
              <w:rPr>
                <w:bCs/>
                <w:spacing w:val="-10"/>
                <w:szCs w:val="21"/>
              </w:rPr>
              <w:t>m</w:t>
            </w:r>
            <w:r>
              <w:rPr>
                <w:bCs/>
                <w:spacing w:val="-10"/>
                <w:szCs w:val="21"/>
                <w:vertAlign w:val="superscript"/>
              </w:rPr>
              <w:t>2</w:t>
            </w:r>
          </w:p>
        </w:tc>
      </w:tr>
      <w:tr w14:paraId="44CDCA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213B56E3">
            <w:pPr>
              <w:jc w:val="center"/>
              <w:rPr>
                <w:szCs w:val="21"/>
              </w:rPr>
            </w:pPr>
          </w:p>
        </w:tc>
        <w:tc>
          <w:tcPr>
            <w:tcW w:w="261" w:type="pct"/>
            <w:vMerge w:val="restart"/>
            <w:noWrap w:val="0"/>
            <w:vAlign w:val="center"/>
          </w:tcPr>
          <w:p w14:paraId="2F426DFD">
            <w:pPr>
              <w:jc w:val="center"/>
              <w:rPr>
                <w:szCs w:val="21"/>
              </w:rPr>
            </w:pPr>
            <w:r>
              <w:rPr>
                <w:szCs w:val="21"/>
              </w:rPr>
              <w:t>运输工程</w:t>
            </w:r>
          </w:p>
        </w:tc>
        <w:tc>
          <w:tcPr>
            <w:tcW w:w="417" w:type="pct"/>
            <w:gridSpan w:val="2"/>
            <w:noWrap w:val="0"/>
            <w:vAlign w:val="center"/>
          </w:tcPr>
          <w:p w14:paraId="0A3FC364">
            <w:pPr>
              <w:jc w:val="center"/>
              <w:rPr>
                <w:szCs w:val="21"/>
              </w:rPr>
            </w:pPr>
            <w:r>
              <w:rPr>
                <w:szCs w:val="21"/>
              </w:rPr>
              <w:t>场外生猪运输道路</w:t>
            </w:r>
          </w:p>
        </w:tc>
        <w:tc>
          <w:tcPr>
            <w:tcW w:w="3936" w:type="pct"/>
            <w:gridSpan w:val="4"/>
            <w:noWrap w:val="0"/>
            <w:vAlign w:val="center"/>
          </w:tcPr>
          <w:p w14:paraId="619F050A">
            <w:pPr>
              <w:rPr>
                <w:bCs/>
                <w:szCs w:val="21"/>
              </w:rPr>
            </w:pPr>
            <w:r>
              <w:rPr>
                <w:bCs/>
                <w:szCs w:val="21"/>
              </w:rPr>
              <w:t>生猪运输方式为汽车运输，运输路线从厂区与现有的乡道相连，不需要新修进场道路。</w:t>
            </w:r>
          </w:p>
        </w:tc>
      </w:tr>
      <w:tr w14:paraId="6EC1B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528CA0DE">
            <w:pPr>
              <w:jc w:val="center"/>
              <w:rPr>
                <w:szCs w:val="21"/>
              </w:rPr>
            </w:pPr>
          </w:p>
        </w:tc>
        <w:tc>
          <w:tcPr>
            <w:tcW w:w="261" w:type="pct"/>
            <w:vMerge w:val="continue"/>
            <w:noWrap w:val="0"/>
            <w:vAlign w:val="center"/>
          </w:tcPr>
          <w:p w14:paraId="3BEEE5B3">
            <w:pPr>
              <w:jc w:val="center"/>
              <w:rPr>
                <w:szCs w:val="21"/>
              </w:rPr>
            </w:pPr>
          </w:p>
        </w:tc>
        <w:tc>
          <w:tcPr>
            <w:tcW w:w="417" w:type="pct"/>
            <w:gridSpan w:val="2"/>
            <w:noWrap w:val="0"/>
            <w:vAlign w:val="center"/>
          </w:tcPr>
          <w:p w14:paraId="18C3454B">
            <w:pPr>
              <w:jc w:val="center"/>
              <w:rPr>
                <w:szCs w:val="21"/>
              </w:rPr>
            </w:pPr>
            <w:r>
              <w:rPr>
                <w:szCs w:val="21"/>
              </w:rPr>
              <w:t>场外饲料运输道路</w:t>
            </w:r>
          </w:p>
        </w:tc>
        <w:tc>
          <w:tcPr>
            <w:tcW w:w="3936" w:type="pct"/>
            <w:gridSpan w:val="4"/>
            <w:noWrap w:val="0"/>
            <w:vAlign w:val="center"/>
          </w:tcPr>
          <w:p w14:paraId="180405B5">
            <w:pPr>
              <w:rPr>
                <w:bCs/>
                <w:szCs w:val="21"/>
              </w:rPr>
            </w:pPr>
            <w:r>
              <w:rPr>
                <w:szCs w:val="21"/>
              </w:rPr>
              <w:t>饲料外购成品饲料，由已有乡道进入厂区。</w:t>
            </w:r>
          </w:p>
        </w:tc>
      </w:tr>
      <w:tr w14:paraId="6629E9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621FA7A0">
            <w:pPr>
              <w:jc w:val="center"/>
              <w:rPr>
                <w:szCs w:val="21"/>
              </w:rPr>
            </w:pPr>
          </w:p>
        </w:tc>
        <w:tc>
          <w:tcPr>
            <w:tcW w:w="261" w:type="pct"/>
            <w:vMerge w:val="continue"/>
            <w:noWrap w:val="0"/>
            <w:vAlign w:val="center"/>
          </w:tcPr>
          <w:p w14:paraId="275B461E">
            <w:pPr>
              <w:jc w:val="center"/>
              <w:rPr>
                <w:szCs w:val="21"/>
              </w:rPr>
            </w:pPr>
          </w:p>
        </w:tc>
        <w:tc>
          <w:tcPr>
            <w:tcW w:w="417" w:type="pct"/>
            <w:gridSpan w:val="2"/>
            <w:noWrap w:val="0"/>
            <w:vAlign w:val="center"/>
          </w:tcPr>
          <w:p w14:paraId="191E7505">
            <w:pPr>
              <w:jc w:val="center"/>
              <w:rPr>
                <w:szCs w:val="21"/>
              </w:rPr>
            </w:pPr>
            <w:r>
              <w:rPr>
                <w:szCs w:val="21"/>
              </w:rPr>
              <w:t>场内病死猪</w:t>
            </w:r>
          </w:p>
        </w:tc>
        <w:tc>
          <w:tcPr>
            <w:tcW w:w="3936" w:type="pct"/>
            <w:gridSpan w:val="4"/>
            <w:noWrap w:val="0"/>
            <w:vAlign w:val="center"/>
          </w:tcPr>
          <w:p w14:paraId="1F433380">
            <w:pPr>
              <w:rPr>
                <w:bCs/>
                <w:szCs w:val="21"/>
              </w:rPr>
            </w:pPr>
            <w:r>
              <w:rPr>
                <w:bCs/>
                <w:szCs w:val="21"/>
              </w:rPr>
              <w:t>场内病死猪由各个产生单位产生，由手推车运输到病死猪暂存间暂存，日产日清，然后统一运到地块二4号场地</w:t>
            </w:r>
            <w:r>
              <w:rPr>
                <w:szCs w:val="21"/>
              </w:rPr>
              <w:t>鑫旺板块</w:t>
            </w:r>
            <w:r>
              <w:rPr>
                <w:bCs/>
                <w:szCs w:val="21"/>
              </w:rPr>
              <w:t>位置处北侧的无害化车间处理。</w:t>
            </w:r>
          </w:p>
        </w:tc>
      </w:tr>
      <w:tr w14:paraId="781B3F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restart"/>
            <w:noWrap w:val="0"/>
            <w:vAlign w:val="center"/>
          </w:tcPr>
          <w:p w14:paraId="743C9CD0">
            <w:pPr>
              <w:jc w:val="center"/>
              <w:rPr>
                <w:b/>
                <w:szCs w:val="21"/>
              </w:rPr>
            </w:pPr>
            <w:r>
              <w:rPr>
                <w:b/>
                <w:szCs w:val="21"/>
              </w:rPr>
              <w:t>公用工程</w:t>
            </w:r>
          </w:p>
        </w:tc>
        <w:tc>
          <w:tcPr>
            <w:tcW w:w="679" w:type="pct"/>
            <w:gridSpan w:val="3"/>
            <w:noWrap w:val="0"/>
            <w:vAlign w:val="center"/>
          </w:tcPr>
          <w:p w14:paraId="25A93C24">
            <w:pPr>
              <w:jc w:val="center"/>
              <w:rPr>
                <w:szCs w:val="21"/>
              </w:rPr>
            </w:pPr>
            <w:r>
              <w:rPr>
                <w:szCs w:val="21"/>
              </w:rPr>
              <w:t>给水工程</w:t>
            </w:r>
          </w:p>
        </w:tc>
        <w:tc>
          <w:tcPr>
            <w:tcW w:w="3936" w:type="pct"/>
            <w:gridSpan w:val="4"/>
            <w:noWrap w:val="0"/>
            <w:vAlign w:val="center"/>
          </w:tcPr>
          <w:p w14:paraId="108B3023">
            <w:pPr>
              <w:rPr>
                <w:szCs w:val="21"/>
              </w:rPr>
            </w:pPr>
            <w:r>
              <w:rPr>
                <w:szCs w:val="21"/>
              </w:rPr>
              <w:t>本项目用水由周边村寨自来水接入。</w:t>
            </w:r>
          </w:p>
        </w:tc>
      </w:tr>
      <w:tr w14:paraId="274869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3" w:type="pct"/>
            <w:vMerge w:val="continue"/>
            <w:noWrap w:val="0"/>
            <w:vAlign w:val="center"/>
          </w:tcPr>
          <w:p w14:paraId="2F55659B">
            <w:pPr>
              <w:jc w:val="center"/>
              <w:rPr>
                <w:szCs w:val="21"/>
              </w:rPr>
            </w:pPr>
          </w:p>
        </w:tc>
        <w:tc>
          <w:tcPr>
            <w:tcW w:w="679" w:type="pct"/>
            <w:gridSpan w:val="3"/>
            <w:vMerge w:val="restart"/>
            <w:noWrap w:val="0"/>
            <w:vAlign w:val="center"/>
          </w:tcPr>
          <w:p w14:paraId="456CA9A9">
            <w:pPr>
              <w:jc w:val="center"/>
              <w:rPr>
                <w:szCs w:val="21"/>
              </w:rPr>
            </w:pPr>
            <w:r>
              <w:rPr>
                <w:szCs w:val="21"/>
              </w:rPr>
              <w:t>排水工程</w:t>
            </w:r>
          </w:p>
        </w:tc>
        <w:tc>
          <w:tcPr>
            <w:tcW w:w="1167" w:type="pct"/>
            <w:gridSpan w:val="3"/>
            <w:noWrap w:val="0"/>
            <w:vAlign w:val="center"/>
          </w:tcPr>
          <w:p w14:paraId="6AEB992D">
            <w:pPr>
              <w:jc w:val="center"/>
              <w:rPr>
                <w:szCs w:val="21"/>
              </w:rPr>
            </w:pPr>
            <w:r>
              <w:rPr>
                <w:bCs/>
                <w:szCs w:val="21"/>
              </w:rPr>
              <w:t>雨水</w:t>
            </w:r>
          </w:p>
        </w:tc>
        <w:tc>
          <w:tcPr>
            <w:tcW w:w="2769" w:type="pct"/>
            <w:noWrap w:val="0"/>
            <w:vAlign w:val="center"/>
          </w:tcPr>
          <w:p w14:paraId="3E164199">
            <w:pPr>
              <w:rPr>
                <w:bCs/>
                <w:szCs w:val="21"/>
              </w:rPr>
            </w:pPr>
            <w:r>
              <w:rPr>
                <w:szCs w:val="21"/>
              </w:rPr>
              <w:t>本项目用宽30cm、深20cm的雨水明渠，</w:t>
            </w:r>
            <w:r>
              <w:rPr>
                <w:bCs/>
                <w:szCs w:val="21"/>
              </w:rPr>
              <w:t>项目雨水经雨水渠外排。</w:t>
            </w:r>
          </w:p>
        </w:tc>
      </w:tr>
      <w:tr w14:paraId="45EEFC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34" w:hRule="atLeast"/>
          <w:jc w:val="center"/>
        </w:trPr>
        <w:tc>
          <w:tcPr>
            <w:tcW w:w="383" w:type="pct"/>
            <w:vMerge w:val="continue"/>
            <w:noWrap w:val="0"/>
            <w:vAlign w:val="center"/>
          </w:tcPr>
          <w:p w14:paraId="38B52F21">
            <w:pPr>
              <w:jc w:val="center"/>
              <w:rPr>
                <w:szCs w:val="21"/>
              </w:rPr>
            </w:pPr>
          </w:p>
        </w:tc>
        <w:tc>
          <w:tcPr>
            <w:tcW w:w="679" w:type="pct"/>
            <w:gridSpan w:val="3"/>
            <w:vMerge w:val="continue"/>
            <w:noWrap w:val="0"/>
            <w:vAlign w:val="center"/>
          </w:tcPr>
          <w:p w14:paraId="62A253CB">
            <w:pPr>
              <w:jc w:val="center"/>
              <w:rPr>
                <w:szCs w:val="21"/>
              </w:rPr>
            </w:pPr>
          </w:p>
        </w:tc>
        <w:tc>
          <w:tcPr>
            <w:tcW w:w="170" w:type="pct"/>
            <w:noWrap w:val="0"/>
            <w:vAlign w:val="center"/>
          </w:tcPr>
          <w:p w14:paraId="0752CEBC">
            <w:pPr>
              <w:jc w:val="center"/>
              <w:rPr>
                <w:bCs/>
                <w:szCs w:val="21"/>
              </w:rPr>
            </w:pPr>
            <w:r>
              <w:rPr>
                <w:bCs/>
                <w:szCs w:val="21"/>
              </w:rPr>
              <w:t>污水</w:t>
            </w:r>
          </w:p>
        </w:tc>
        <w:tc>
          <w:tcPr>
            <w:tcW w:w="997" w:type="pct"/>
            <w:gridSpan w:val="2"/>
            <w:noWrap w:val="0"/>
            <w:vAlign w:val="center"/>
          </w:tcPr>
          <w:p w14:paraId="18BA3BA3">
            <w:pPr>
              <w:jc w:val="center"/>
              <w:rPr>
                <w:bCs/>
                <w:szCs w:val="21"/>
              </w:rPr>
            </w:pPr>
            <w:r>
              <w:rPr>
                <w:bCs/>
                <w:szCs w:val="21"/>
              </w:rPr>
              <w:t>猪尿液、猪粪固液分离废水、猪舍冲洗废水、生活污水</w:t>
            </w:r>
          </w:p>
        </w:tc>
        <w:tc>
          <w:tcPr>
            <w:tcW w:w="2769" w:type="pct"/>
            <w:noWrap w:val="0"/>
            <w:vAlign w:val="center"/>
          </w:tcPr>
          <w:p w14:paraId="1F51D214">
            <w:pPr>
              <w:rPr>
                <w:bCs/>
                <w:szCs w:val="21"/>
              </w:rPr>
            </w:pPr>
            <w:r>
              <w:rPr>
                <w:bCs/>
                <w:szCs w:val="21"/>
              </w:rPr>
              <w:t>产生后排至厂区污水处理站，处理后废水用于自有苹果园灌溉，沼渣堆肥。</w:t>
            </w:r>
          </w:p>
        </w:tc>
      </w:tr>
      <w:tr w14:paraId="7D88AD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3B5F0FD7">
            <w:pPr>
              <w:jc w:val="center"/>
              <w:rPr>
                <w:szCs w:val="21"/>
              </w:rPr>
            </w:pPr>
          </w:p>
        </w:tc>
        <w:tc>
          <w:tcPr>
            <w:tcW w:w="679" w:type="pct"/>
            <w:gridSpan w:val="3"/>
            <w:noWrap w:val="0"/>
            <w:vAlign w:val="center"/>
          </w:tcPr>
          <w:p w14:paraId="4EFC7C0E">
            <w:pPr>
              <w:jc w:val="center"/>
              <w:rPr>
                <w:szCs w:val="21"/>
              </w:rPr>
            </w:pPr>
            <w:r>
              <w:rPr>
                <w:szCs w:val="21"/>
              </w:rPr>
              <w:t>供电系统</w:t>
            </w:r>
          </w:p>
        </w:tc>
        <w:tc>
          <w:tcPr>
            <w:tcW w:w="3936" w:type="pct"/>
            <w:gridSpan w:val="4"/>
            <w:noWrap w:val="0"/>
            <w:vAlign w:val="center"/>
          </w:tcPr>
          <w:p w14:paraId="487D80B3">
            <w:pPr>
              <w:rPr>
                <w:szCs w:val="21"/>
              </w:rPr>
            </w:pPr>
            <w:r>
              <w:rPr>
                <w:szCs w:val="21"/>
              </w:rPr>
              <w:t>本项目电源</w:t>
            </w:r>
            <w:r>
              <w:rPr>
                <w:bCs/>
                <w:szCs w:val="21"/>
              </w:rPr>
              <w:t>由圭山镇供</w:t>
            </w:r>
            <w:r>
              <w:rPr>
                <w:szCs w:val="21"/>
              </w:rPr>
              <w:t>电所接入项目区</w:t>
            </w:r>
          </w:p>
        </w:tc>
      </w:tr>
      <w:tr w14:paraId="070B55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3" w:type="pct"/>
            <w:vMerge w:val="continue"/>
            <w:noWrap w:val="0"/>
            <w:vAlign w:val="center"/>
          </w:tcPr>
          <w:p w14:paraId="5EEB19AB">
            <w:pPr>
              <w:jc w:val="center"/>
              <w:rPr>
                <w:szCs w:val="21"/>
              </w:rPr>
            </w:pPr>
          </w:p>
        </w:tc>
        <w:tc>
          <w:tcPr>
            <w:tcW w:w="679" w:type="pct"/>
            <w:gridSpan w:val="3"/>
            <w:noWrap w:val="0"/>
            <w:vAlign w:val="center"/>
          </w:tcPr>
          <w:p w14:paraId="112392D5">
            <w:pPr>
              <w:jc w:val="center"/>
              <w:rPr>
                <w:szCs w:val="21"/>
              </w:rPr>
            </w:pPr>
            <w:r>
              <w:rPr>
                <w:szCs w:val="21"/>
              </w:rPr>
              <w:t>供热工程</w:t>
            </w:r>
          </w:p>
        </w:tc>
        <w:tc>
          <w:tcPr>
            <w:tcW w:w="3936" w:type="pct"/>
            <w:gridSpan w:val="4"/>
            <w:noWrap w:val="0"/>
            <w:vAlign w:val="center"/>
          </w:tcPr>
          <w:p w14:paraId="5975B5F1">
            <w:pPr>
              <w:numPr>
                <w:ilvl w:val="0"/>
                <w:numId w:val="81"/>
              </w:numPr>
              <w:rPr>
                <w:szCs w:val="21"/>
              </w:rPr>
            </w:pPr>
            <w:r>
              <w:rPr>
                <w:szCs w:val="21"/>
              </w:rPr>
              <w:t>猪舍冬季取暖主要是通过猪舍墙体保温材料与外部断绝热交换，猪舍内部通风通过全热交换器进行。</w:t>
            </w:r>
          </w:p>
          <w:p w14:paraId="41DCA1AC">
            <w:pPr>
              <w:rPr>
                <w:szCs w:val="21"/>
              </w:rPr>
            </w:pPr>
            <w:r>
              <w:rPr>
                <w:szCs w:val="21"/>
              </w:rPr>
              <w:t>（2）病死猪无害化处理热源</w:t>
            </w:r>
            <w:r>
              <w:rPr>
                <w:rFonts w:hint="eastAsia"/>
                <w:szCs w:val="21"/>
              </w:rPr>
              <w:t>为</w:t>
            </w:r>
            <w:r>
              <w:rPr>
                <w:szCs w:val="21"/>
              </w:rPr>
              <w:t>电能。</w:t>
            </w:r>
          </w:p>
        </w:tc>
      </w:tr>
      <w:tr w14:paraId="44D2B4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3" w:type="pct"/>
            <w:vMerge w:val="continue"/>
            <w:noWrap w:val="0"/>
            <w:vAlign w:val="center"/>
          </w:tcPr>
          <w:p w14:paraId="18CAAA2C">
            <w:pPr>
              <w:jc w:val="center"/>
              <w:rPr>
                <w:szCs w:val="21"/>
              </w:rPr>
            </w:pPr>
          </w:p>
        </w:tc>
        <w:tc>
          <w:tcPr>
            <w:tcW w:w="679" w:type="pct"/>
            <w:gridSpan w:val="3"/>
            <w:noWrap w:val="0"/>
            <w:vAlign w:val="center"/>
          </w:tcPr>
          <w:p w14:paraId="61001DBE">
            <w:pPr>
              <w:jc w:val="center"/>
              <w:rPr>
                <w:szCs w:val="21"/>
              </w:rPr>
            </w:pPr>
            <w:r>
              <w:rPr>
                <w:szCs w:val="21"/>
              </w:rPr>
              <w:t>供气工程</w:t>
            </w:r>
          </w:p>
        </w:tc>
        <w:tc>
          <w:tcPr>
            <w:tcW w:w="3936" w:type="pct"/>
            <w:gridSpan w:val="4"/>
            <w:noWrap w:val="0"/>
            <w:vAlign w:val="center"/>
          </w:tcPr>
          <w:p w14:paraId="6F64D469">
            <w:pPr>
              <w:rPr>
                <w:szCs w:val="21"/>
              </w:rPr>
            </w:pPr>
            <w:r>
              <w:rPr>
                <w:szCs w:val="21"/>
              </w:rPr>
              <w:t>粪污处理产生的沼气经脱硫后进入沼气储罐储存后供生活区作为生活能源。</w:t>
            </w:r>
          </w:p>
        </w:tc>
      </w:tr>
      <w:tr w14:paraId="5ABFFE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06" w:hRule="atLeast"/>
          <w:jc w:val="center"/>
        </w:trPr>
        <w:tc>
          <w:tcPr>
            <w:tcW w:w="383" w:type="pct"/>
            <w:vMerge w:val="restart"/>
            <w:noWrap w:val="0"/>
            <w:vAlign w:val="center"/>
          </w:tcPr>
          <w:p w14:paraId="3E511720">
            <w:pPr>
              <w:jc w:val="center"/>
              <w:rPr>
                <w:b/>
                <w:szCs w:val="21"/>
              </w:rPr>
            </w:pPr>
            <w:r>
              <w:rPr>
                <w:b/>
                <w:szCs w:val="21"/>
              </w:rPr>
              <w:t>环保工程</w:t>
            </w:r>
          </w:p>
        </w:tc>
        <w:tc>
          <w:tcPr>
            <w:tcW w:w="261" w:type="pct"/>
            <w:vMerge w:val="restart"/>
            <w:noWrap w:val="0"/>
            <w:vAlign w:val="center"/>
          </w:tcPr>
          <w:p w14:paraId="04EFAB95">
            <w:pPr>
              <w:jc w:val="center"/>
              <w:rPr>
                <w:szCs w:val="21"/>
              </w:rPr>
            </w:pPr>
            <w:r>
              <w:rPr>
                <w:szCs w:val="21"/>
              </w:rPr>
              <w:t>废气处理</w:t>
            </w:r>
          </w:p>
        </w:tc>
        <w:tc>
          <w:tcPr>
            <w:tcW w:w="417" w:type="pct"/>
            <w:gridSpan w:val="2"/>
            <w:vMerge w:val="restart"/>
            <w:noWrap w:val="0"/>
            <w:vAlign w:val="center"/>
          </w:tcPr>
          <w:p w14:paraId="0B6A4A59">
            <w:pPr>
              <w:jc w:val="center"/>
              <w:rPr>
                <w:szCs w:val="21"/>
              </w:rPr>
            </w:pPr>
            <w:r>
              <w:rPr>
                <w:szCs w:val="21"/>
              </w:rPr>
              <w:t>恶臭产生场所</w:t>
            </w:r>
          </w:p>
        </w:tc>
        <w:tc>
          <w:tcPr>
            <w:tcW w:w="3936" w:type="pct"/>
            <w:gridSpan w:val="4"/>
            <w:noWrap w:val="0"/>
            <w:vAlign w:val="center"/>
          </w:tcPr>
          <w:p w14:paraId="41FB618B">
            <w:pPr>
              <w:rPr>
                <w:szCs w:val="21"/>
              </w:rPr>
            </w:pPr>
            <w:r>
              <w:rPr>
                <w:szCs w:val="21"/>
              </w:rPr>
              <w:t>猪舍：采用对控制饲养密度、加强通风、粪尿及时清理、喷洒除臭剂、投加吸附剂，改善日粮结构处理。</w:t>
            </w:r>
          </w:p>
        </w:tc>
      </w:tr>
      <w:tr w14:paraId="67D9C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57" w:hRule="atLeast"/>
          <w:jc w:val="center"/>
        </w:trPr>
        <w:tc>
          <w:tcPr>
            <w:tcW w:w="383" w:type="pct"/>
            <w:vMerge w:val="continue"/>
            <w:noWrap w:val="0"/>
            <w:vAlign w:val="center"/>
          </w:tcPr>
          <w:p w14:paraId="07A58ABD">
            <w:pPr>
              <w:jc w:val="center"/>
              <w:rPr>
                <w:b/>
                <w:szCs w:val="21"/>
              </w:rPr>
            </w:pPr>
          </w:p>
        </w:tc>
        <w:tc>
          <w:tcPr>
            <w:tcW w:w="261" w:type="pct"/>
            <w:vMerge w:val="continue"/>
            <w:noWrap w:val="0"/>
            <w:vAlign w:val="center"/>
          </w:tcPr>
          <w:p w14:paraId="4D18C838">
            <w:pPr>
              <w:jc w:val="center"/>
              <w:rPr>
                <w:szCs w:val="21"/>
              </w:rPr>
            </w:pPr>
          </w:p>
        </w:tc>
        <w:tc>
          <w:tcPr>
            <w:tcW w:w="417" w:type="pct"/>
            <w:gridSpan w:val="2"/>
            <w:vMerge w:val="continue"/>
            <w:noWrap w:val="0"/>
            <w:vAlign w:val="center"/>
          </w:tcPr>
          <w:p w14:paraId="2653E971">
            <w:pPr>
              <w:jc w:val="center"/>
              <w:rPr>
                <w:szCs w:val="21"/>
              </w:rPr>
            </w:pPr>
          </w:p>
        </w:tc>
        <w:tc>
          <w:tcPr>
            <w:tcW w:w="3936" w:type="pct"/>
            <w:gridSpan w:val="4"/>
            <w:noWrap w:val="0"/>
            <w:vAlign w:val="center"/>
          </w:tcPr>
          <w:p w14:paraId="37D2D5C7">
            <w:pPr>
              <w:rPr>
                <w:szCs w:val="21"/>
              </w:rPr>
            </w:pPr>
            <w:r>
              <w:rPr>
                <w:szCs w:val="21"/>
              </w:rPr>
              <w:t>收集池恶臭：收集池采取加盖全密闭措施、喷洒除臭剂。</w:t>
            </w:r>
          </w:p>
        </w:tc>
      </w:tr>
      <w:tr w14:paraId="70E5B0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90" w:hRule="atLeast"/>
          <w:jc w:val="center"/>
        </w:trPr>
        <w:tc>
          <w:tcPr>
            <w:tcW w:w="383" w:type="pct"/>
            <w:vMerge w:val="continue"/>
            <w:noWrap w:val="0"/>
            <w:vAlign w:val="center"/>
          </w:tcPr>
          <w:p w14:paraId="0DFFDA57">
            <w:pPr>
              <w:jc w:val="center"/>
              <w:rPr>
                <w:b/>
                <w:szCs w:val="21"/>
              </w:rPr>
            </w:pPr>
          </w:p>
        </w:tc>
        <w:tc>
          <w:tcPr>
            <w:tcW w:w="261" w:type="pct"/>
            <w:vMerge w:val="continue"/>
            <w:noWrap w:val="0"/>
            <w:vAlign w:val="center"/>
          </w:tcPr>
          <w:p w14:paraId="172BEF33">
            <w:pPr>
              <w:jc w:val="center"/>
              <w:rPr>
                <w:szCs w:val="21"/>
              </w:rPr>
            </w:pPr>
          </w:p>
        </w:tc>
        <w:tc>
          <w:tcPr>
            <w:tcW w:w="417" w:type="pct"/>
            <w:gridSpan w:val="2"/>
            <w:vMerge w:val="continue"/>
            <w:noWrap w:val="0"/>
            <w:vAlign w:val="center"/>
          </w:tcPr>
          <w:p w14:paraId="6253D055">
            <w:pPr>
              <w:jc w:val="center"/>
              <w:rPr>
                <w:szCs w:val="21"/>
              </w:rPr>
            </w:pPr>
          </w:p>
        </w:tc>
        <w:tc>
          <w:tcPr>
            <w:tcW w:w="3936" w:type="pct"/>
            <w:gridSpan w:val="4"/>
            <w:noWrap w:val="0"/>
            <w:vAlign w:val="center"/>
          </w:tcPr>
          <w:p w14:paraId="6FC91794">
            <w:pPr>
              <w:rPr>
                <w:szCs w:val="21"/>
              </w:rPr>
            </w:pPr>
            <w:r>
              <w:rPr>
                <w:szCs w:val="21"/>
              </w:rPr>
              <w:t>沼液储存池废气：沼液储存池采取全密闭措施；</w:t>
            </w:r>
          </w:p>
        </w:tc>
      </w:tr>
      <w:tr w14:paraId="291E65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40" w:hRule="atLeast"/>
          <w:jc w:val="center"/>
        </w:trPr>
        <w:tc>
          <w:tcPr>
            <w:tcW w:w="383" w:type="pct"/>
            <w:vMerge w:val="continue"/>
            <w:noWrap w:val="0"/>
            <w:vAlign w:val="center"/>
          </w:tcPr>
          <w:p w14:paraId="779EE24E">
            <w:pPr>
              <w:jc w:val="center"/>
              <w:rPr>
                <w:b/>
                <w:szCs w:val="21"/>
              </w:rPr>
            </w:pPr>
          </w:p>
        </w:tc>
        <w:tc>
          <w:tcPr>
            <w:tcW w:w="261" w:type="pct"/>
            <w:vMerge w:val="continue"/>
            <w:noWrap w:val="0"/>
            <w:vAlign w:val="center"/>
          </w:tcPr>
          <w:p w14:paraId="0DB83AB5">
            <w:pPr>
              <w:jc w:val="center"/>
              <w:rPr>
                <w:szCs w:val="21"/>
              </w:rPr>
            </w:pPr>
          </w:p>
        </w:tc>
        <w:tc>
          <w:tcPr>
            <w:tcW w:w="417" w:type="pct"/>
            <w:gridSpan w:val="2"/>
            <w:vMerge w:val="continue"/>
            <w:noWrap w:val="0"/>
            <w:vAlign w:val="center"/>
          </w:tcPr>
          <w:p w14:paraId="158A1188">
            <w:pPr>
              <w:jc w:val="center"/>
              <w:rPr>
                <w:szCs w:val="21"/>
              </w:rPr>
            </w:pPr>
          </w:p>
        </w:tc>
        <w:tc>
          <w:tcPr>
            <w:tcW w:w="3936" w:type="pct"/>
            <w:gridSpan w:val="4"/>
            <w:noWrap w:val="0"/>
            <w:vAlign w:val="center"/>
          </w:tcPr>
          <w:p w14:paraId="519E22D4">
            <w:pPr>
              <w:rPr>
                <w:szCs w:val="21"/>
              </w:rPr>
            </w:pPr>
            <w:r>
              <w:rPr>
                <w:szCs w:val="21"/>
              </w:rPr>
              <w:t>固粪处理区恶臭气体：采用UV光解+水帘生物除臭装置对堆肥过程恶臭气体进行处理，通过风机将固粪处理区的臭气抽至UV光解和水帘除臭装置，通过装置顶部的UV灯管除臭，经过光解氧化处理过的气体通过生物水帘进一步水洗后排放。</w:t>
            </w:r>
          </w:p>
        </w:tc>
      </w:tr>
      <w:tr w14:paraId="2BFCC8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93" w:hRule="atLeast"/>
          <w:jc w:val="center"/>
        </w:trPr>
        <w:tc>
          <w:tcPr>
            <w:tcW w:w="383" w:type="pct"/>
            <w:vMerge w:val="continue"/>
            <w:noWrap w:val="0"/>
            <w:vAlign w:val="center"/>
          </w:tcPr>
          <w:p w14:paraId="566F98EC">
            <w:pPr>
              <w:jc w:val="center"/>
              <w:rPr>
                <w:b/>
                <w:szCs w:val="21"/>
              </w:rPr>
            </w:pPr>
          </w:p>
        </w:tc>
        <w:tc>
          <w:tcPr>
            <w:tcW w:w="261" w:type="pct"/>
            <w:vMerge w:val="continue"/>
            <w:noWrap w:val="0"/>
            <w:vAlign w:val="center"/>
          </w:tcPr>
          <w:p w14:paraId="03436A07">
            <w:pPr>
              <w:jc w:val="center"/>
              <w:rPr>
                <w:szCs w:val="21"/>
              </w:rPr>
            </w:pPr>
          </w:p>
        </w:tc>
        <w:tc>
          <w:tcPr>
            <w:tcW w:w="417" w:type="pct"/>
            <w:gridSpan w:val="2"/>
            <w:vMerge w:val="continue"/>
            <w:noWrap w:val="0"/>
            <w:vAlign w:val="center"/>
          </w:tcPr>
          <w:p w14:paraId="45B9ECE9">
            <w:pPr>
              <w:jc w:val="center"/>
              <w:rPr>
                <w:szCs w:val="21"/>
              </w:rPr>
            </w:pPr>
          </w:p>
        </w:tc>
        <w:tc>
          <w:tcPr>
            <w:tcW w:w="3936" w:type="pct"/>
            <w:gridSpan w:val="4"/>
            <w:noWrap w:val="0"/>
            <w:vAlign w:val="center"/>
          </w:tcPr>
          <w:p w14:paraId="3A8E8626">
            <w:pPr>
              <w:rPr>
                <w:szCs w:val="21"/>
              </w:rPr>
            </w:pPr>
            <w:r>
              <w:rPr>
                <w:szCs w:val="21"/>
              </w:rPr>
              <w:t>粪污池恶臭：采用定期喷洒生物除臭剂的方式抑制恶臭的排放。</w:t>
            </w:r>
          </w:p>
        </w:tc>
      </w:tr>
      <w:tr w14:paraId="2485A5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93" w:hRule="atLeast"/>
          <w:jc w:val="center"/>
        </w:trPr>
        <w:tc>
          <w:tcPr>
            <w:tcW w:w="383" w:type="pct"/>
            <w:vMerge w:val="continue"/>
            <w:noWrap w:val="0"/>
            <w:vAlign w:val="center"/>
          </w:tcPr>
          <w:p w14:paraId="6B405AF1">
            <w:pPr>
              <w:jc w:val="center"/>
              <w:rPr>
                <w:b/>
                <w:szCs w:val="21"/>
              </w:rPr>
            </w:pPr>
          </w:p>
        </w:tc>
        <w:tc>
          <w:tcPr>
            <w:tcW w:w="261" w:type="pct"/>
            <w:vMerge w:val="continue"/>
            <w:noWrap w:val="0"/>
            <w:vAlign w:val="center"/>
          </w:tcPr>
          <w:p w14:paraId="67FBFABE">
            <w:pPr>
              <w:jc w:val="center"/>
              <w:rPr>
                <w:szCs w:val="21"/>
              </w:rPr>
            </w:pPr>
          </w:p>
        </w:tc>
        <w:tc>
          <w:tcPr>
            <w:tcW w:w="417" w:type="pct"/>
            <w:gridSpan w:val="2"/>
            <w:vMerge w:val="continue"/>
            <w:noWrap w:val="0"/>
            <w:vAlign w:val="center"/>
          </w:tcPr>
          <w:p w14:paraId="67825D2A">
            <w:pPr>
              <w:jc w:val="center"/>
              <w:rPr>
                <w:szCs w:val="21"/>
              </w:rPr>
            </w:pPr>
          </w:p>
        </w:tc>
        <w:tc>
          <w:tcPr>
            <w:tcW w:w="3936" w:type="pct"/>
            <w:gridSpan w:val="4"/>
            <w:noWrap w:val="0"/>
            <w:vAlign w:val="center"/>
          </w:tcPr>
          <w:p w14:paraId="78FB6D49">
            <w:pPr>
              <w:rPr>
                <w:szCs w:val="21"/>
              </w:rPr>
            </w:pPr>
            <w:r>
              <w:rPr>
                <w:szCs w:val="21"/>
              </w:rPr>
              <w:t>无害化车间恶臭：无害化处理车间废气密闭设备+负压收集+光解催化氧化+15m排气筒排放。</w:t>
            </w:r>
          </w:p>
        </w:tc>
      </w:tr>
      <w:tr w14:paraId="62E82C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17" w:hRule="atLeast"/>
          <w:jc w:val="center"/>
        </w:trPr>
        <w:tc>
          <w:tcPr>
            <w:tcW w:w="383" w:type="pct"/>
            <w:vMerge w:val="continue"/>
            <w:noWrap w:val="0"/>
            <w:vAlign w:val="center"/>
          </w:tcPr>
          <w:p w14:paraId="28BAD499">
            <w:pPr>
              <w:jc w:val="center"/>
              <w:rPr>
                <w:szCs w:val="21"/>
              </w:rPr>
            </w:pPr>
          </w:p>
        </w:tc>
        <w:tc>
          <w:tcPr>
            <w:tcW w:w="261" w:type="pct"/>
            <w:vMerge w:val="restart"/>
            <w:noWrap w:val="0"/>
            <w:vAlign w:val="center"/>
          </w:tcPr>
          <w:p w14:paraId="2BB24C58">
            <w:pPr>
              <w:jc w:val="center"/>
              <w:rPr>
                <w:szCs w:val="21"/>
              </w:rPr>
            </w:pPr>
            <w:r>
              <w:rPr>
                <w:szCs w:val="21"/>
              </w:rPr>
              <w:t>废水处理</w:t>
            </w:r>
          </w:p>
        </w:tc>
        <w:tc>
          <w:tcPr>
            <w:tcW w:w="417" w:type="pct"/>
            <w:gridSpan w:val="2"/>
            <w:vMerge w:val="restart"/>
            <w:noWrap w:val="0"/>
            <w:vAlign w:val="center"/>
          </w:tcPr>
          <w:p w14:paraId="20E5F0A5">
            <w:pPr>
              <w:jc w:val="center"/>
              <w:rPr>
                <w:szCs w:val="21"/>
              </w:rPr>
            </w:pPr>
            <w:r>
              <w:rPr>
                <w:szCs w:val="21"/>
              </w:rPr>
              <w:t>污水处理系统</w:t>
            </w:r>
          </w:p>
        </w:tc>
        <w:tc>
          <w:tcPr>
            <w:tcW w:w="506" w:type="pct"/>
            <w:gridSpan w:val="2"/>
            <w:noWrap w:val="0"/>
            <w:vAlign w:val="center"/>
          </w:tcPr>
          <w:p w14:paraId="0B3F7CD4">
            <w:pPr>
              <w:jc w:val="center"/>
              <w:rPr>
                <w:szCs w:val="21"/>
              </w:rPr>
            </w:pPr>
            <w:r>
              <w:rPr>
                <w:szCs w:val="21"/>
              </w:rPr>
              <w:t>粪污池</w:t>
            </w:r>
          </w:p>
        </w:tc>
        <w:tc>
          <w:tcPr>
            <w:tcW w:w="3430" w:type="pct"/>
            <w:gridSpan w:val="2"/>
            <w:noWrap w:val="0"/>
            <w:vAlign w:val="center"/>
          </w:tcPr>
          <w:p w14:paraId="235B64E7">
            <w:pPr>
              <w:jc w:val="center"/>
              <w:rPr>
                <w:szCs w:val="21"/>
              </w:rPr>
            </w:pPr>
            <w:r>
              <w:rPr>
                <w:szCs w:val="21"/>
              </w:rPr>
              <w:t>养殖舍粪尿暂存于猪舍下方的粪污池内，粪污池与猪舍相同长宽，深为1.2m，在距离池底0.8m处有底窗，最大可收集0.8m深的粪尿和冲洗废水，猪舍总面积为22659.82m</w:t>
            </w:r>
            <w:r>
              <w:rPr>
                <w:szCs w:val="21"/>
                <w:vertAlign w:val="superscript"/>
              </w:rPr>
              <w:t>2</w:t>
            </w:r>
            <w:r>
              <w:rPr>
                <w:szCs w:val="21"/>
              </w:rPr>
              <w:t>，粪污池的容积为18127m</w:t>
            </w:r>
            <w:r>
              <w:rPr>
                <w:szCs w:val="21"/>
                <w:vertAlign w:val="superscript"/>
              </w:rPr>
              <w:t>3</w:t>
            </w:r>
            <w:r>
              <w:rPr>
                <w:szCs w:val="21"/>
              </w:rPr>
              <w:t>。</w:t>
            </w:r>
          </w:p>
        </w:tc>
      </w:tr>
      <w:tr w14:paraId="32FC5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17" w:hRule="atLeast"/>
          <w:jc w:val="center"/>
        </w:trPr>
        <w:tc>
          <w:tcPr>
            <w:tcW w:w="383" w:type="pct"/>
            <w:vMerge w:val="continue"/>
            <w:noWrap w:val="0"/>
            <w:vAlign w:val="center"/>
          </w:tcPr>
          <w:p w14:paraId="63557F33">
            <w:pPr>
              <w:jc w:val="center"/>
              <w:rPr>
                <w:szCs w:val="21"/>
              </w:rPr>
            </w:pPr>
          </w:p>
        </w:tc>
        <w:tc>
          <w:tcPr>
            <w:tcW w:w="261" w:type="pct"/>
            <w:vMerge w:val="continue"/>
            <w:noWrap w:val="0"/>
            <w:vAlign w:val="center"/>
          </w:tcPr>
          <w:p w14:paraId="17BEFE91">
            <w:pPr>
              <w:jc w:val="center"/>
              <w:rPr>
                <w:szCs w:val="21"/>
              </w:rPr>
            </w:pPr>
          </w:p>
        </w:tc>
        <w:tc>
          <w:tcPr>
            <w:tcW w:w="417" w:type="pct"/>
            <w:gridSpan w:val="2"/>
            <w:vMerge w:val="continue"/>
            <w:noWrap w:val="0"/>
            <w:vAlign w:val="center"/>
          </w:tcPr>
          <w:p w14:paraId="5395E9D8">
            <w:pPr>
              <w:jc w:val="center"/>
              <w:rPr>
                <w:szCs w:val="21"/>
              </w:rPr>
            </w:pPr>
          </w:p>
        </w:tc>
        <w:tc>
          <w:tcPr>
            <w:tcW w:w="506" w:type="pct"/>
            <w:gridSpan w:val="2"/>
            <w:noWrap w:val="0"/>
            <w:vAlign w:val="center"/>
          </w:tcPr>
          <w:p w14:paraId="73D7A359">
            <w:pPr>
              <w:jc w:val="center"/>
              <w:rPr>
                <w:szCs w:val="21"/>
              </w:rPr>
            </w:pPr>
            <w:r>
              <w:rPr>
                <w:szCs w:val="21"/>
              </w:rPr>
              <w:t>收集池</w:t>
            </w:r>
          </w:p>
        </w:tc>
        <w:tc>
          <w:tcPr>
            <w:tcW w:w="3430" w:type="pct"/>
            <w:gridSpan w:val="2"/>
            <w:noWrap w:val="0"/>
            <w:vAlign w:val="center"/>
          </w:tcPr>
          <w:p w14:paraId="1F1B83F6">
            <w:pPr>
              <w:jc w:val="center"/>
              <w:rPr>
                <w:kern w:val="0"/>
                <w:szCs w:val="21"/>
              </w:rPr>
            </w:pPr>
            <w:r>
              <w:rPr>
                <w:szCs w:val="21"/>
              </w:rPr>
              <w:t>各粪污池出口设置1个8×4×1米的收集池，收集池加盖处理。</w:t>
            </w:r>
          </w:p>
        </w:tc>
      </w:tr>
      <w:tr w14:paraId="05D8C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884" w:hRule="atLeast"/>
          <w:jc w:val="center"/>
        </w:trPr>
        <w:tc>
          <w:tcPr>
            <w:tcW w:w="383" w:type="pct"/>
            <w:vMerge w:val="continue"/>
            <w:noWrap w:val="0"/>
            <w:vAlign w:val="center"/>
          </w:tcPr>
          <w:p w14:paraId="5E3D0DB3">
            <w:pPr>
              <w:jc w:val="center"/>
              <w:rPr>
                <w:szCs w:val="21"/>
              </w:rPr>
            </w:pPr>
          </w:p>
        </w:tc>
        <w:tc>
          <w:tcPr>
            <w:tcW w:w="261" w:type="pct"/>
            <w:vMerge w:val="continue"/>
            <w:noWrap w:val="0"/>
            <w:vAlign w:val="center"/>
          </w:tcPr>
          <w:p w14:paraId="2BC67765">
            <w:pPr>
              <w:jc w:val="center"/>
              <w:rPr>
                <w:szCs w:val="21"/>
              </w:rPr>
            </w:pPr>
          </w:p>
        </w:tc>
        <w:tc>
          <w:tcPr>
            <w:tcW w:w="417" w:type="pct"/>
            <w:gridSpan w:val="2"/>
            <w:vMerge w:val="continue"/>
            <w:noWrap w:val="0"/>
            <w:vAlign w:val="center"/>
          </w:tcPr>
          <w:p w14:paraId="39763856">
            <w:pPr>
              <w:jc w:val="center"/>
              <w:rPr>
                <w:szCs w:val="21"/>
              </w:rPr>
            </w:pPr>
          </w:p>
        </w:tc>
        <w:tc>
          <w:tcPr>
            <w:tcW w:w="506" w:type="pct"/>
            <w:gridSpan w:val="2"/>
            <w:noWrap w:val="0"/>
            <w:vAlign w:val="center"/>
          </w:tcPr>
          <w:p w14:paraId="1E1B2976">
            <w:pPr>
              <w:jc w:val="center"/>
              <w:rPr>
                <w:szCs w:val="21"/>
              </w:rPr>
            </w:pPr>
            <w:r>
              <w:rPr>
                <w:szCs w:val="21"/>
              </w:rPr>
              <w:t>污水处理系统</w:t>
            </w:r>
          </w:p>
        </w:tc>
        <w:tc>
          <w:tcPr>
            <w:tcW w:w="3430" w:type="pct"/>
            <w:gridSpan w:val="2"/>
            <w:noWrap w:val="0"/>
            <w:vAlign w:val="center"/>
          </w:tcPr>
          <w:p w14:paraId="2D689967">
            <w:pPr>
              <w:jc w:val="center"/>
              <w:rPr>
                <w:szCs w:val="21"/>
              </w:rPr>
            </w:pPr>
            <w:r>
              <w:rPr>
                <w:szCs w:val="21"/>
              </w:rPr>
              <w:t>在各养殖场地各建设一座污水处理站，共计5座污水处理站，废水处理工艺为：“集中收集+固液分离+平流气浮+调节池+沼气池（UASB反应器）+沼液储存池”，生活污水及养殖废水收集后进入各自场地污水处理站处理，其中3号养殖场地及2号养殖场地的生活污水统一进入2号场地污水处理站处理；处理规模分别为1号地14m</w:t>
            </w:r>
            <w:r>
              <w:rPr>
                <w:szCs w:val="21"/>
                <w:vertAlign w:val="superscript"/>
              </w:rPr>
              <w:t>3</w:t>
            </w:r>
            <w:r>
              <w:rPr>
                <w:szCs w:val="21"/>
              </w:rPr>
              <w:t>/d，2号地28m</w:t>
            </w:r>
            <w:r>
              <w:rPr>
                <w:szCs w:val="21"/>
                <w:vertAlign w:val="superscript"/>
              </w:rPr>
              <w:t>3</w:t>
            </w:r>
            <w:r>
              <w:rPr>
                <w:szCs w:val="21"/>
              </w:rPr>
              <w:t>/d，3号地12m</w:t>
            </w:r>
            <w:r>
              <w:rPr>
                <w:szCs w:val="21"/>
                <w:vertAlign w:val="superscript"/>
              </w:rPr>
              <w:t>3</w:t>
            </w:r>
            <w:r>
              <w:rPr>
                <w:szCs w:val="21"/>
              </w:rPr>
              <w:t>/d，4号地31m</w:t>
            </w:r>
            <w:r>
              <w:rPr>
                <w:szCs w:val="21"/>
                <w:vertAlign w:val="superscript"/>
              </w:rPr>
              <w:t>3</w:t>
            </w:r>
            <w:r>
              <w:rPr>
                <w:szCs w:val="21"/>
              </w:rPr>
              <w:t>/d，5号地25m</w:t>
            </w:r>
            <w:r>
              <w:rPr>
                <w:szCs w:val="21"/>
                <w:vertAlign w:val="superscript"/>
              </w:rPr>
              <w:t>3</w:t>
            </w:r>
            <w:r>
              <w:rPr>
                <w:szCs w:val="21"/>
              </w:rPr>
              <w:t>/d。</w:t>
            </w:r>
          </w:p>
        </w:tc>
      </w:tr>
      <w:tr w14:paraId="39FD5E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43" w:hRule="atLeast"/>
          <w:jc w:val="center"/>
        </w:trPr>
        <w:tc>
          <w:tcPr>
            <w:tcW w:w="383" w:type="pct"/>
            <w:vMerge w:val="continue"/>
            <w:noWrap w:val="0"/>
            <w:vAlign w:val="center"/>
          </w:tcPr>
          <w:p w14:paraId="564D5E60">
            <w:pPr>
              <w:jc w:val="center"/>
              <w:rPr>
                <w:szCs w:val="21"/>
              </w:rPr>
            </w:pPr>
          </w:p>
        </w:tc>
        <w:tc>
          <w:tcPr>
            <w:tcW w:w="261" w:type="pct"/>
            <w:vMerge w:val="continue"/>
            <w:noWrap w:val="0"/>
            <w:vAlign w:val="center"/>
          </w:tcPr>
          <w:p w14:paraId="57D349E9">
            <w:pPr>
              <w:jc w:val="center"/>
              <w:rPr>
                <w:szCs w:val="21"/>
              </w:rPr>
            </w:pPr>
          </w:p>
        </w:tc>
        <w:tc>
          <w:tcPr>
            <w:tcW w:w="417" w:type="pct"/>
            <w:gridSpan w:val="2"/>
            <w:vMerge w:val="continue"/>
            <w:noWrap w:val="0"/>
            <w:vAlign w:val="center"/>
          </w:tcPr>
          <w:p w14:paraId="5D45FEE0">
            <w:pPr>
              <w:jc w:val="center"/>
              <w:rPr>
                <w:szCs w:val="21"/>
              </w:rPr>
            </w:pPr>
          </w:p>
        </w:tc>
        <w:tc>
          <w:tcPr>
            <w:tcW w:w="506" w:type="pct"/>
            <w:gridSpan w:val="2"/>
            <w:noWrap w:val="0"/>
            <w:vAlign w:val="center"/>
          </w:tcPr>
          <w:p w14:paraId="48CE4832">
            <w:pPr>
              <w:jc w:val="center"/>
              <w:rPr>
                <w:szCs w:val="21"/>
              </w:rPr>
            </w:pPr>
            <w:r>
              <w:rPr>
                <w:szCs w:val="21"/>
              </w:rPr>
              <w:t>沼液储存池</w:t>
            </w:r>
          </w:p>
        </w:tc>
        <w:tc>
          <w:tcPr>
            <w:tcW w:w="3430" w:type="pct"/>
            <w:gridSpan w:val="2"/>
            <w:noWrap w:val="0"/>
            <w:vAlign w:val="center"/>
          </w:tcPr>
          <w:p w14:paraId="1E013084">
            <w:pPr>
              <w:jc w:val="center"/>
              <w:rPr>
                <w:kern w:val="0"/>
                <w:szCs w:val="21"/>
              </w:rPr>
            </w:pPr>
            <w:r>
              <w:rPr>
                <w:kern w:val="0"/>
                <w:szCs w:val="21"/>
                <w:lang w:bidi="ar"/>
              </w:rPr>
              <w:t>1号地100m</w:t>
            </w:r>
            <w:r>
              <w:rPr>
                <w:kern w:val="0"/>
                <w:szCs w:val="21"/>
                <w:vertAlign w:val="superscript"/>
                <w:lang w:bidi="ar"/>
              </w:rPr>
              <w:t>3</w:t>
            </w:r>
            <w:r>
              <w:rPr>
                <w:kern w:val="0"/>
                <w:szCs w:val="21"/>
                <w:lang w:bidi="ar"/>
              </w:rPr>
              <w:t>，2号地200m</w:t>
            </w:r>
            <w:r>
              <w:rPr>
                <w:kern w:val="0"/>
                <w:szCs w:val="21"/>
                <w:vertAlign w:val="superscript"/>
                <w:lang w:bidi="ar"/>
              </w:rPr>
              <w:t>3</w:t>
            </w:r>
            <w:r>
              <w:rPr>
                <w:kern w:val="0"/>
                <w:szCs w:val="21"/>
                <w:lang w:bidi="ar"/>
              </w:rPr>
              <w:t>，3号地100m</w:t>
            </w:r>
            <w:r>
              <w:rPr>
                <w:kern w:val="0"/>
                <w:szCs w:val="21"/>
                <w:vertAlign w:val="superscript"/>
                <w:lang w:bidi="ar"/>
              </w:rPr>
              <w:t>3</w:t>
            </w:r>
            <w:r>
              <w:rPr>
                <w:kern w:val="0"/>
                <w:szCs w:val="21"/>
                <w:lang w:bidi="ar"/>
              </w:rPr>
              <w:t>，4号地250m</w:t>
            </w:r>
            <w:r>
              <w:rPr>
                <w:kern w:val="0"/>
                <w:szCs w:val="21"/>
                <w:vertAlign w:val="superscript"/>
                <w:lang w:bidi="ar"/>
              </w:rPr>
              <w:t>3</w:t>
            </w:r>
            <w:r>
              <w:rPr>
                <w:kern w:val="0"/>
                <w:szCs w:val="21"/>
                <w:lang w:bidi="ar"/>
              </w:rPr>
              <w:t>，5号地200m</w:t>
            </w:r>
            <w:r>
              <w:rPr>
                <w:kern w:val="0"/>
                <w:szCs w:val="21"/>
                <w:vertAlign w:val="superscript"/>
                <w:lang w:bidi="ar"/>
              </w:rPr>
              <w:t>3</w:t>
            </w:r>
            <w:r>
              <w:rPr>
                <w:kern w:val="0"/>
                <w:szCs w:val="21"/>
                <w:lang w:bidi="ar"/>
              </w:rPr>
              <w:t>，</w:t>
            </w:r>
            <w:r>
              <w:rPr>
                <w:szCs w:val="21"/>
              </w:rPr>
              <w:t>沼液储存池为全密闭设计，</w:t>
            </w:r>
            <w:r>
              <w:rPr>
                <w:bCs/>
                <w:szCs w:val="21"/>
              </w:rPr>
              <w:t>在苹果园内部建设有一个9400m</w:t>
            </w:r>
            <w:r>
              <w:rPr>
                <w:bCs/>
                <w:szCs w:val="21"/>
                <w:vertAlign w:val="superscript"/>
              </w:rPr>
              <w:t>3</w:t>
            </w:r>
            <w:r>
              <w:rPr>
                <w:bCs/>
                <w:szCs w:val="21"/>
              </w:rPr>
              <w:t>储存池</w:t>
            </w:r>
            <w:r>
              <w:rPr>
                <w:szCs w:val="21"/>
              </w:rPr>
              <w:t>。</w:t>
            </w:r>
          </w:p>
        </w:tc>
      </w:tr>
      <w:tr w14:paraId="1E3FFF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4F28A413">
            <w:pPr>
              <w:jc w:val="center"/>
              <w:rPr>
                <w:szCs w:val="21"/>
              </w:rPr>
            </w:pPr>
          </w:p>
        </w:tc>
        <w:tc>
          <w:tcPr>
            <w:tcW w:w="261" w:type="pct"/>
            <w:vMerge w:val="continue"/>
            <w:noWrap w:val="0"/>
            <w:vAlign w:val="center"/>
          </w:tcPr>
          <w:p w14:paraId="5A4D8849">
            <w:pPr>
              <w:jc w:val="center"/>
              <w:rPr>
                <w:szCs w:val="21"/>
              </w:rPr>
            </w:pPr>
          </w:p>
        </w:tc>
        <w:tc>
          <w:tcPr>
            <w:tcW w:w="417" w:type="pct"/>
            <w:gridSpan w:val="2"/>
            <w:noWrap w:val="0"/>
            <w:vAlign w:val="center"/>
          </w:tcPr>
          <w:p w14:paraId="106E04AA">
            <w:pPr>
              <w:jc w:val="center"/>
              <w:rPr>
                <w:szCs w:val="21"/>
              </w:rPr>
            </w:pPr>
            <w:r>
              <w:rPr>
                <w:szCs w:val="21"/>
              </w:rPr>
              <w:t>沼气综合利用系统</w:t>
            </w:r>
          </w:p>
        </w:tc>
        <w:tc>
          <w:tcPr>
            <w:tcW w:w="3936" w:type="pct"/>
            <w:gridSpan w:val="4"/>
            <w:noWrap w:val="0"/>
            <w:vAlign w:val="center"/>
          </w:tcPr>
          <w:p w14:paraId="4AEE7E7D">
            <w:pPr>
              <w:rPr>
                <w:kern w:val="0"/>
                <w:szCs w:val="21"/>
              </w:rPr>
            </w:pPr>
            <w:r>
              <w:rPr>
                <w:szCs w:val="21"/>
              </w:rPr>
              <w:t>本项目沼气池产生的沼气经配套的沼气净化装置净化后输送至储气罐暂存，然后供生活区使用。</w:t>
            </w:r>
          </w:p>
        </w:tc>
      </w:tr>
      <w:tr w14:paraId="6AF762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28AC3B5A">
            <w:pPr>
              <w:jc w:val="center"/>
              <w:rPr>
                <w:szCs w:val="21"/>
              </w:rPr>
            </w:pPr>
          </w:p>
        </w:tc>
        <w:tc>
          <w:tcPr>
            <w:tcW w:w="679" w:type="pct"/>
            <w:gridSpan w:val="3"/>
            <w:noWrap w:val="0"/>
            <w:vAlign w:val="center"/>
          </w:tcPr>
          <w:p w14:paraId="649DAB0E">
            <w:pPr>
              <w:jc w:val="center"/>
              <w:rPr>
                <w:szCs w:val="21"/>
              </w:rPr>
            </w:pPr>
            <w:r>
              <w:rPr>
                <w:szCs w:val="21"/>
              </w:rPr>
              <w:t>噪声防治措施</w:t>
            </w:r>
          </w:p>
        </w:tc>
        <w:tc>
          <w:tcPr>
            <w:tcW w:w="3936" w:type="pct"/>
            <w:gridSpan w:val="4"/>
            <w:noWrap w:val="0"/>
            <w:vAlign w:val="center"/>
          </w:tcPr>
          <w:p w14:paraId="4F10468E">
            <w:pPr>
              <w:ind w:firstLine="105" w:firstLineChars="50"/>
              <w:rPr>
                <w:szCs w:val="21"/>
              </w:rPr>
            </w:pPr>
            <w:r>
              <w:rPr>
                <w:szCs w:val="21"/>
              </w:rPr>
              <w:t>优先选择低噪声设备、基础减震、隔声等</w:t>
            </w:r>
          </w:p>
        </w:tc>
      </w:tr>
      <w:tr w14:paraId="226CE3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763F5DD2">
            <w:pPr>
              <w:jc w:val="center"/>
              <w:rPr>
                <w:szCs w:val="21"/>
              </w:rPr>
            </w:pPr>
          </w:p>
        </w:tc>
        <w:tc>
          <w:tcPr>
            <w:tcW w:w="261" w:type="pct"/>
            <w:vMerge w:val="restart"/>
            <w:noWrap w:val="0"/>
            <w:vAlign w:val="center"/>
          </w:tcPr>
          <w:p w14:paraId="1A71C870">
            <w:pPr>
              <w:jc w:val="center"/>
              <w:rPr>
                <w:szCs w:val="21"/>
              </w:rPr>
            </w:pPr>
            <w:r>
              <w:rPr>
                <w:szCs w:val="21"/>
              </w:rPr>
              <w:t>固废</w:t>
            </w:r>
          </w:p>
        </w:tc>
        <w:tc>
          <w:tcPr>
            <w:tcW w:w="417" w:type="pct"/>
            <w:gridSpan w:val="2"/>
            <w:noWrap w:val="0"/>
            <w:vAlign w:val="center"/>
          </w:tcPr>
          <w:p w14:paraId="09EA3A8E">
            <w:pPr>
              <w:jc w:val="center"/>
              <w:rPr>
                <w:szCs w:val="21"/>
              </w:rPr>
            </w:pPr>
            <w:r>
              <w:rPr>
                <w:szCs w:val="21"/>
              </w:rPr>
              <w:t>医疗废物</w:t>
            </w:r>
          </w:p>
        </w:tc>
        <w:tc>
          <w:tcPr>
            <w:tcW w:w="3936" w:type="pct"/>
            <w:gridSpan w:val="4"/>
            <w:noWrap w:val="0"/>
            <w:vAlign w:val="center"/>
          </w:tcPr>
          <w:p w14:paraId="28A418FA">
            <w:pPr>
              <w:rPr>
                <w:szCs w:val="21"/>
              </w:rPr>
            </w:pPr>
            <w:r>
              <w:rPr>
                <w:szCs w:val="21"/>
              </w:rPr>
              <w:t>在各养殖区兽医室旁设置危废暂存间1间，单间面积为10m</w:t>
            </w:r>
            <w:r>
              <w:rPr>
                <w:szCs w:val="21"/>
                <w:vertAlign w:val="superscript"/>
              </w:rPr>
              <w:t>2</w:t>
            </w:r>
            <w:r>
              <w:rPr>
                <w:szCs w:val="21"/>
              </w:rPr>
              <w:t>，委托具有危废处理资质的单位处置，危废间按照《危险废物贮存污染控制标准》（GB18597-2001）及其修改单（环保部2013年第36号公告修改）中的相关要求进行建设。渗透系数≤10</w:t>
            </w:r>
            <w:r>
              <w:rPr>
                <w:szCs w:val="21"/>
                <w:vertAlign w:val="superscript"/>
              </w:rPr>
              <w:t>-10</w:t>
            </w:r>
            <w:r>
              <w:rPr>
                <w:szCs w:val="21"/>
              </w:rPr>
              <w:t>cm/s。</w:t>
            </w:r>
          </w:p>
        </w:tc>
      </w:tr>
      <w:tr w14:paraId="63797C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209F4213">
            <w:pPr>
              <w:jc w:val="center"/>
              <w:rPr>
                <w:szCs w:val="21"/>
              </w:rPr>
            </w:pPr>
          </w:p>
        </w:tc>
        <w:tc>
          <w:tcPr>
            <w:tcW w:w="261" w:type="pct"/>
            <w:vMerge w:val="continue"/>
            <w:noWrap w:val="0"/>
            <w:vAlign w:val="center"/>
          </w:tcPr>
          <w:p w14:paraId="672159B6">
            <w:pPr>
              <w:jc w:val="center"/>
              <w:rPr>
                <w:szCs w:val="21"/>
              </w:rPr>
            </w:pPr>
          </w:p>
        </w:tc>
        <w:tc>
          <w:tcPr>
            <w:tcW w:w="417" w:type="pct"/>
            <w:gridSpan w:val="2"/>
            <w:noWrap w:val="0"/>
            <w:vAlign w:val="center"/>
          </w:tcPr>
          <w:p w14:paraId="655395C0">
            <w:pPr>
              <w:jc w:val="center"/>
              <w:rPr>
                <w:szCs w:val="21"/>
              </w:rPr>
            </w:pPr>
            <w:r>
              <w:rPr>
                <w:szCs w:val="21"/>
              </w:rPr>
              <w:t>病死猪</w:t>
            </w:r>
          </w:p>
        </w:tc>
        <w:tc>
          <w:tcPr>
            <w:tcW w:w="3936" w:type="pct"/>
            <w:gridSpan w:val="4"/>
            <w:noWrap w:val="0"/>
            <w:vAlign w:val="center"/>
          </w:tcPr>
          <w:p w14:paraId="4579BCC8">
            <w:pPr>
              <w:jc w:val="center"/>
              <w:rPr>
                <w:szCs w:val="21"/>
              </w:rPr>
            </w:pPr>
            <w:r>
              <w:rPr>
                <w:szCs w:val="21"/>
              </w:rPr>
              <w:t>场内设置病死猪暂存间内共5间；</w:t>
            </w:r>
            <w:r>
              <w:rPr>
                <w:bCs/>
                <w:spacing w:val="-10"/>
                <w:szCs w:val="21"/>
              </w:rPr>
              <w:t>规格为12.24</w:t>
            </w:r>
            <w:r>
              <w:rPr>
                <w:szCs w:val="21"/>
              </w:rPr>
              <w:t>×12.24m，总建筑面积为449.5m</w:t>
            </w:r>
            <w:r>
              <w:rPr>
                <w:szCs w:val="21"/>
                <w:vertAlign w:val="superscript"/>
              </w:rPr>
              <w:t>2</w:t>
            </w:r>
            <w:r>
              <w:rPr>
                <w:szCs w:val="21"/>
              </w:rPr>
              <w:t>，按照《危险废物贮存污染控制标准》（GB18597-2001）及其修改单（环保部2013年第36号公告修改）中的相关要求进行建设。渗透系数≤10</w:t>
            </w:r>
            <w:r>
              <w:rPr>
                <w:szCs w:val="21"/>
                <w:vertAlign w:val="superscript"/>
              </w:rPr>
              <w:t>-10</w:t>
            </w:r>
            <w:r>
              <w:rPr>
                <w:szCs w:val="21"/>
              </w:rPr>
              <w:t>cm/s。</w:t>
            </w:r>
          </w:p>
        </w:tc>
      </w:tr>
      <w:tr w14:paraId="53E598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68A977B9">
            <w:pPr>
              <w:jc w:val="center"/>
              <w:rPr>
                <w:szCs w:val="21"/>
              </w:rPr>
            </w:pPr>
          </w:p>
        </w:tc>
        <w:tc>
          <w:tcPr>
            <w:tcW w:w="261" w:type="pct"/>
            <w:vMerge w:val="continue"/>
            <w:noWrap w:val="0"/>
            <w:vAlign w:val="center"/>
          </w:tcPr>
          <w:p w14:paraId="79BB3103">
            <w:pPr>
              <w:jc w:val="center"/>
              <w:rPr>
                <w:szCs w:val="21"/>
              </w:rPr>
            </w:pPr>
          </w:p>
        </w:tc>
        <w:tc>
          <w:tcPr>
            <w:tcW w:w="417" w:type="pct"/>
            <w:gridSpan w:val="2"/>
            <w:noWrap w:val="0"/>
            <w:vAlign w:val="center"/>
          </w:tcPr>
          <w:p w14:paraId="3164E2C4">
            <w:pPr>
              <w:jc w:val="center"/>
              <w:rPr>
                <w:szCs w:val="21"/>
              </w:rPr>
            </w:pPr>
            <w:r>
              <w:rPr>
                <w:szCs w:val="21"/>
              </w:rPr>
              <w:t>无害化处理车间</w:t>
            </w:r>
          </w:p>
        </w:tc>
        <w:tc>
          <w:tcPr>
            <w:tcW w:w="3936" w:type="pct"/>
            <w:gridSpan w:val="4"/>
            <w:noWrap w:val="0"/>
            <w:vAlign w:val="center"/>
          </w:tcPr>
          <w:p w14:paraId="044DF9EC">
            <w:pPr>
              <w:jc w:val="center"/>
              <w:rPr>
                <w:szCs w:val="21"/>
              </w:rPr>
            </w:pPr>
            <w:r>
              <w:rPr>
                <w:szCs w:val="21"/>
              </w:rPr>
              <w:t>位于鑫旺板块处，建筑面积为160m</w:t>
            </w:r>
            <w:r>
              <w:rPr>
                <w:szCs w:val="21"/>
                <w:vertAlign w:val="superscript"/>
              </w:rPr>
              <w:t>2</w:t>
            </w:r>
            <w:r>
              <w:rPr>
                <w:szCs w:val="21"/>
              </w:rPr>
              <w:t>，对场内病死猪进行无害化处理，设计处理规模为2t/d，采用高温处理工艺。</w:t>
            </w:r>
          </w:p>
        </w:tc>
      </w:tr>
      <w:tr w14:paraId="4E7AAF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383" w:type="pct"/>
            <w:vMerge w:val="continue"/>
            <w:noWrap w:val="0"/>
            <w:vAlign w:val="center"/>
          </w:tcPr>
          <w:p w14:paraId="5E8F0A6B">
            <w:pPr>
              <w:jc w:val="center"/>
              <w:rPr>
                <w:szCs w:val="21"/>
              </w:rPr>
            </w:pPr>
          </w:p>
        </w:tc>
        <w:tc>
          <w:tcPr>
            <w:tcW w:w="261" w:type="pct"/>
            <w:vMerge w:val="continue"/>
            <w:noWrap w:val="0"/>
            <w:vAlign w:val="center"/>
          </w:tcPr>
          <w:p w14:paraId="4FCC95CB">
            <w:pPr>
              <w:jc w:val="center"/>
              <w:rPr>
                <w:szCs w:val="21"/>
              </w:rPr>
            </w:pPr>
          </w:p>
        </w:tc>
        <w:tc>
          <w:tcPr>
            <w:tcW w:w="417" w:type="pct"/>
            <w:gridSpan w:val="2"/>
            <w:noWrap w:val="0"/>
            <w:vAlign w:val="center"/>
          </w:tcPr>
          <w:p w14:paraId="5FC091BC">
            <w:pPr>
              <w:jc w:val="center"/>
              <w:rPr>
                <w:szCs w:val="21"/>
              </w:rPr>
            </w:pPr>
            <w:r>
              <w:rPr>
                <w:szCs w:val="21"/>
              </w:rPr>
              <w:t>固粪发酵堆肥场</w:t>
            </w:r>
          </w:p>
        </w:tc>
        <w:tc>
          <w:tcPr>
            <w:tcW w:w="3936" w:type="pct"/>
            <w:gridSpan w:val="4"/>
            <w:noWrap w:val="0"/>
            <w:vAlign w:val="center"/>
          </w:tcPr>
          <w:p w14:paraId="0932277B">
            <w:pPr>
              <w:rPr>
                <w:szCs w:val="21"/>
              </w:rPr>
            </w:pPr>
            <w:r>
              <w:rPr>
                <w:szCs w:val="21"/>
              </w:rPr>
              <w:t>在各养殖地个设置1个堆肥发酵场，</w:t>
            </w:r>
            <w:r>
              <w:rPr>
                <w:kern w:val="0"/>
                <w:szCs w:val="21"/>
                <w:lang w:bidi="ar"/>
              </w:rPr>
              <w:t>1号地盛丰通风井位置设置堆肥发酵区容积不小于250m</w:t>
            </w:r>
            <w:r>
              <w:rPr>
                <w:kern w:val="0"/>
                <w:szCs w:val="21"/>
                <w:vertAlign w:val="superscript"/>
                <w:lang w:bidi="ar"/>
              </w:rPr>
              <w:t>3</w:t>
            </w:r>
            <w:r>
              <w:rPr>
                <w:kern w:val="0"/>
                <w:szCs w:val="21"/>
                <w:lang w:bidi="ar"/>
              </w:rPr>
              <w:t>，2号盛丰焦化楼位置设置堆肥发酵区容积不小于500m</w:t>
            </w:r>
            <w:r>
              <w:rPr>
                <w:kern w:val="0"/>
                <w:szCs w:val="21"/>
                <w:vertAlign w:val="superscript"/>
                <w:lang w:bidi="ar"/>
              </w:rPr>
              <w:t>3</w:t>
            </w:r>
            <w:r>
              <w:rPr>
                <w:kern w:val="0"/>
                <w:szCs w:val="21"/>
                <w:lang w:bidi="ar"/>
              </w:rPr>
              <w:t>，3号老井位置设置堆肥发酵区容积不小于250m</w:t>
            </w:r>
            <w:r>
              <w:rPr>
                <w:kern w:val="0"/>
                <w:szCs w:val="21"/>
                <w:vertAlign w:val="superscript"/>
                <w:lang w:bidi="ar"/>
              </w:rPr>
              <w:t>3</w:t>
            </w:r>
            <w:r>
              <w:rPr>
                <w:kern w:val="0"/>
                <w:szCs w:val="21"/>
                <w:lang w:bidi="ar"/>
              </w:rPr>
              <w:t>，4号鑫旺板块位置设置堆肥发酵区容积不小于500m</w:t>
            </w:r>
            <w:r>
              <w:rPr>
                <w:kern w:val="0"/>
                <w:szCs w:val="21"/>
                <w:vertAlign w:val="superscript"/>
                <w:lang w:bidi="ar"/>
              </w:rPr>
              <w:t>3</w:t>
            </w:r>
            <w:r>
              <w:rPr>
                <w:kern w:val="0"/>
                <w:szCs w:val="21"/>
                <w:lang w:bidi="ar"/>
              </w:rPr>
              <w:t>，5号大河边位置设置堆肥发酵区容积不小于400m</w:t>
            </w:r>
            <w:r>
              <w:rPr>
                <w:kern w:val="0"/>
                <w:szCs w:val="21"/>
                <w:vertAlign w:val="superscript"/>
                <w:lang w:bidi="ar"/>
              </w:rPr>
              <w:t>3</w:t>
            </w:r>
            <w:r>
              <w:rPr>
                <w:bCs/>
                <w:spacing w:val="-10"/>
                <w:szCs w:val="21"/>
              </w:rPr>
              <w:t>，场地采取“三防”措施。</w:t>
            </w:r>
          </w:p>
        </w:tc>
      </w:tr>
    </w:tbl>
    <w:p w14:paraId="46D75BF1">
      <w:pPr>
        <w:autoSpaceDE w:val="0"/>
        <w:autoSpaceDN w:val="0"/>
        <w:adjustRightInd w:val="0"/>
        <w:spacing w:line="360" w:lineRule="auto"/>
        <w:jc w:val="left"/>
        <w:rPr>
          <w:kern w:val="0"/>
          <w:sz w:val="24"/>
        </w:rPr>
        <w:sectPr>
          <w:pgSz w:w="16838" w:h="11906" w:orient="landscape"/>
          <w:pgMar w:top="1797" w:right="1440" w:bottom="1797" w:left="1361" w:header="851" w:footer="992" w:gutter="0"/>
          <w:cols w:space="720" w:num="1"/>
          <w:docGrid w:linePitch="312" w:charSpace="0"/>
        </w:sectPr>
      </w:pPr>
    </w:p>
    <w:p w14:paraId="36B904AD">
      <w:pPr>
        <w:autoSpaceDE w:val="0"/>
        <w:autoSpaceDN w:val="0"/>
        <w:adjustRightInd w:val="0"/>
        <w:spacing w:line="360" w:lineRule="auto"/>
        <w:ind w:firstLine="480" w:firstLineChars="200"/>
        <w:jc w:val="left"/>
        <w:rPr>
          <w:kern w:val="0"/>
          <w:sz w:val="24"/>
        </w:rPr>
      </w:pPr>
      <w:r>
        <w:rPr>
          <w:kern w:val="0"/>
          <w:sz w:val="24"/>
        </w:rPr>
        <w:t>（2）</w:t>
      </w:r>
      <w:r>
        <w:rPr>
          <w:sz w:val="24"/>
        </w:rPr>
        <w:t>场区总平面布置介绍</w:t>
      </w:r>
    </w:p>
    <w:p w14:paraId="4D407B01">
      <w:pPr>
        <w:autoSpaceDE w:val="0"/>
        <w:autoSpaceDN w:val="0"/>
        <w:adjustRightInd w:val="0"/>
        <w:spacing w:line="360" w:lineRule="auto"/>
        <w:ind w:firstLine="480" w:firstLineChars="200"/>
        <w:jc w:val="left"/>
        <w:rPr>
          <w:sz w:val="24"/>
        </w:rPr>
      </w:pPr>
      <w:r>
        <w:rPr>
          <w:sz w:val="24"/>
        </w:rPr>
        <w:t>本项目位于昆明市石林彝族自治县圭山镇法块村委会法块村，普拉河村委会上寨村，分为两个地块，5块场地，其中：地块一位于法块村，分为3个场地；地块二位于普拉河村委会上寨村，分为2块场地；</w:t>
      </w:r>
    </w:p>
    <w:p w14:paraId="645716F6">
      <w:pPr>
        <w:autoSpaceDE w:val="0"/>
        <w:autoSpaceDN w:val="0"/>
        <w:adjustRightInd w:val="0"/>
        <w:spacing w:line="360" w:lineRule="auto"/>
        <w:ind w:firstLine="480" w:firstLineChars="200"/>
        <w:jc w:val="left"/>
        <w:rPr>
          <w:kern w:val="0"/>
          <w:sz w:val="24"/>
        </w:rPr>
      </w:pPr>
      <w:r>
        <w:rPr>
          <w:sz w:val="24"/>
        </w:rPr>
        <w:t>项目各养殖场区主要分为养殖区、办公生活区、污水处理区、仓库、固粪发酵堆场等。项目区平面布置见附图2。</w:t>
      </w:r>
    </w:p>
    <w:p w14:paraId="7F80C241">
      <w:pPr>
        <w:autoSpaceDE w:val="0"/>
        <w:autoSpaceDN w:val="0"/>
        <w:adjustRightInd w:val="0"/>
        <w:spacing w:line="360" w:lineRule="auto"/>
        <w:ind w:firstLine="480" w:firstLineChars="200"/>
        <w:jc w:val="left"/>
        <w:rPr>
          <w:kern w:val="0"/>
          <w:sz w:val="24"/>
        </w:rPr>
      </w:pPr>
      <w:r>
        <w:rPr>
          <w:kern w:val="0"/>
          <w:sz w:val="24"/>
        </w:rPr>
        <w:t>（3）项目设计养殖方案及养殖规模</w:t>
      </w:r>
    </w:p>
    <w:p w14:paraId="2CD88C6A">
      <w:pPr>
        <w:spacing w:line="360" w:lineRule="auto"/>
        <w:ind w:firstLine="480" w:firstLineChars="200"/>
        <w:rPr>
          <w:sz w:val="24"/>
        </w:rPr>
      </w:pPr>
      <w:bookmarkStart w:id="46" w:name="_Toc153686080"/>
      <w:bookmarkStart w:id="47" w:name="_Toc269400660"/>
      <w:bookmarkStart w:id="48" w:name="_Toc226880828"/>
      <w:bookmarkStart w:id="49" w:name="_Toc235445939"/>
      <w:bookmarkStart w:id="50" w:name="_Toc311979798"/>
      <w:bookmarkStart w:id="51" w:name="_Toc311979844"/>
      <w:bookmarkStart w:id="52" w:name="_Toc371868943"/>
      <w:bookmarkStart w:id="53" w:name="_Toc311979912"/>
      <w:bookmarkStart w:id="54" w:name="_Toc277335898"/>
      <w:r>
        <w:rPr>
          <w:sz w:val="24"/>
        </w:rPr>
        <w:t>本项目主要产品方案及养殖规模见表3.1-3。生猪养殖参数表见表3.1-4。</w:t>
      </w:r>
    </w:p>
    <w:p w14:paraId="1E9AEBAF">
      <w:pPr>
        <w:tabs>
          <w:tab w:val="left" w:pos="900"/>
        </w:tabs>
        <w:jc w:val="center"/>
        <w:rPr>
          <w:b/>
          <w:szCs w:val="21"/>
        </w:rPr>
      </w:pPr>
      <w:r>
        <w:rPr>
          <w:b/>
          <w:szCs w:val="21"/>
        </w:rPr>
        <w:t>表 3.1-3本项目主要产品方案及养殖规模</w:t>
      </w:r>
    </w:p>
    <w:tbl>
      <w:tblPr>
        <w:tblStyle w:val="87"/>
        <w:tblW w:w="4999" w:type="pct"/>
        <w:jc w:val="center"/>
        <w:tblLayout w:type="autofit"/>
        <w:tblCellMar>
          <w:top w:w="0" w:type="dxa"/>
          <w:left w:w="108" w:type="dxa"/>
          <w:bottom w:w="0" w:type="dxa"/>
          <w:right w:w="108" w:type="dxa"/>
        </w:tblCellMar>
      </w:tblPr>
      <w:tblGrid>
        <w:gridCol w:w="6218"/>
        <w:gridCol w:w="2308"/>
      </w:tblGrid>
      <w:tr w14:paraId="42455B45">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6DEC9B18">
            <w:pPr>
              <w:jc w:val="center"/>
              <w:rPr>
                <w:szCs w:val="21"/>
              </w:rPr>
            </w:pPr>
            <w:r>
              <w:rPr>
                <w:szCs w:val="21"/>
              </w:rPr>
              <w:t>所在养殖场地</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3A8479ED">
            <w:pPr>
              <w:widowControl/>
              <w:jc w:val="center"/>
              <w:textAlignment w:val="center"/>
              <w:rPr>
                <w:szCs w:val="21"/>
              </w:rPr>
            </w:pPr>
            <w:r>
              <w:rPr>
                <w:kern w:val="0"/>
                <w:szCs w:val="21"/>
                <w:lang w:bidi="ar"/>
              </w:rPr>
              <w:t>存栏养殖数量</w:t>
            </w:r>
          </w:p>
        </w:tc>
      </w:tr>
      <w:tr w14:paraId="78C8473F">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483AFC68">
            <w:pPr>
              <w:widowControl/>
              <w:jc w:val="center"/>
              <w:textAlignment w:val="center"/>
              <w:rPr>
                <w:szCs w:val="21"/>
              </w:rPr>
            </w:pPr>
            <w:r>
              <w:rPr>
                <w:kern w:val="0"/>
                <w:szCs w:val="21"/>
                <w:lang w:bidi="ar"/>
              </w:rPr>
              <w:t>盛丰通风井位置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2D9F8AFF">
            <w:pPr>
              <w:widowControl/>
              <w:jc w:val="center"/>
              <w:textAlignment w:val="center"/>
              <w:rPr>
                <w:szCs w:val="21"/>
              </w:rPr>
            </w:pPr>
            <w:r>
              <w:rPr>
                <w:kern w:val="0"/>
                <w:szCs w:val="21"/>
                <w:lang w:bidi="ar"/>
              </w:rPr>
              <w:t>828</w:t>
            </w:r>
          </w:p>
        </w:tc>
      </w:tr>
      <w:tr w14:paraId="609FFC6B">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40402196">
            <w:pPr>
              <w:widowControl/>
              <w:jc w:val="center"/>
              <w:textAlignment w:val="center"/>
              <w:rPr>
                <w:szCs w:val="21"/>
              </w:rPr>
            </w:pPr>
            <w:r>
              <w:rPr>
                <w:kern w:val="0"/>
                <w:szCs w:val="21"/>
                <w:lang w:bidi="ar"/>
              </w:rPr>
              <w:t>盛丰通风井位置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6017D37C">
            <w:pPr>
              <w:widowControl/>
              <w:jc w:val="center"/>
              <w:textAlignment w:val="center"/>
              <w:rPr>
                <w:szCs w:val="21"/>
              </w:rPr>
            </w:pPr>
            <w:r>
              <w:rPr>
                <w:kern w:val="0"/>
                <w:szCs w:val="21"/>
                <w:lang w:bidi="ar"/>
              </w:rPr>
              <w:t>315</w:t>
            </w:r>
          </w:p>
        </w:tc>
      </w:tr>
      <w:tr w14:paraId="1C48B8A1">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0AC1B5CA">
            <w:pPr>
              <w:widowControl/>
              <w:jc w:val="center"/>
              <w:textAlignment w:val="center"/>
              <w:rPr>
                <w:szCs w:val="21"/>
              </w:rPr>
            </w:pPr>
            <w:r>
              <w:rPr>
                <w:kern w:val="0"/>
                <w:szCs w:val="21"/>
                <w:lang w:bidi="ar"/>
              </w:rPr>
              <w:t>盛丰焦化楼位置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2C1C8084">
            <w:pPr>
              <w:widowControl/>
              <w:jc w:val="center"/>
              <w:textAlignment w:val="center"/>
              <w:rPr>
                <w:szCs w:val="21"/>
              </w:rPr>
            </w:pPr>
            <w:r>
              <w:rPr>
                <w:kern w:val="0"/>
                <w:szCs w:val="21"/>
                <w:lang w:bidi="ar"/>
              </w:rPr>
              <w:t>643</w:t>
            </w:r>
          </w:p>
        </w:tc>
      </w:tr>
      <w:tr w14:paraId="1DE18ABB">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43271CA6">
            <w:pPr>
              <w:widowControl/>
              <w:jc w:val="center"/>
              <w:textAlignment w:val="center"/>
              <w:rPr>
                <w:szCs w:val="21"/>
              </w:rPr>
            </w:pPr>
            <w:r>
              <w:rPr>
                <w:kern w:val="0"/>
                <w:szCs w:val="21"/>
                <w:lang w:bidi="ar"/>
              </w:rPr>
              <w:t>盛丰焦化楼位置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37A11316">
            <w:pPr>
              <w:widowControl/>
              <w:jc w:val="center"/>
              <w:textAlignment w:val="center"/>
              <w:rPr>
                <w:szCs w:val="21"/>
              </w:rPr>
            </w:pPr>
            <w:r>
              <w:rPr>
                <w:kern w:val="0"/>
                <w:szCs w:val="21"/>
                <w:lang w:bidi="ar"/>
              </w:rPr>
              <w:t>896</w:t>
            </w:r>
          </w:p>
        </w:tc>
      </w:tr>
      <w:tr w14:paraId="2CF63FD6">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66F4FCC5">
            <w:pPr>
              <w:widowControl/>
              <w:jc w:val="center"/>
              <w:textAlignment w:val="center"/>
              <w:rPr>
                <w:szCs w:val="21"/>
              </w:rPr>
            </w:pPr>
            <w:r>
              <w:rPr>
                <w:kern w:val="0"/>
                <w:szCs w:val="21"/>
                <w:lang w:bidi="ar"/>
              </w:rPr>
              <w:t>球场位置1单元</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771AE5A5">
            <w:pPr>
              <w:widowControl/>
              <w:jc w:val="center"/>
              <w:textAlignment w:val="center"/>
              <w:rPr>
                <w:szCs w:val="21"/>
              </w:rPr>
            </w:pPr>
            <w:r>
              <w:rPr>
                <w:kern w:val="0"/>
                <w:szCs w:val="21"/>
                <w:lang w:bidi="ar"/>
              </w:rPr>
              <w:t>326</w:t>
            </w:r>
          </w:p>
        </w:tc>
      </w:tr>
      <w:tr w14:paraId="4B191450">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6924746E">
            <w:pPr>
              <w:widowControl/>
              <w:jc w:val="center"/>
              <w:textAlignment w:val="center"/>
              <w:rPr>
                <w:szCs w:val="21"/>
              </w:rPr>
            </w:pPr>
            <w:r>
              <w:rPr>
                <w:kern w:val="0"/>
                <w:szCs w:val="21"/>
                <w:lang w:bidi="ar"/>
              </w:rPr>
              <w:t>球场位置2单元</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22C19B9E">
            <w:pPr>
              <w:widowControl/>
              <w:jc w:val="center"/>
              <w:textAlignment w:val="center"/>
              <w:rPr>
                <w:szCs w:val="21"/>
              </w:rPr>
            </w:pPr>
            <w:r>
              <w:rPr>
                <w:kern w:val="0"/>
                <w:szCs w:val="21"/>
                <w:lang w:bidi="ar"/>
              </w:rPr>
              <w:t>268</w:t>
            </w:r>
          </w:p>
        </w:tc>
      </w:tr>
      <w:tr w14:paraId="166678FB">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665F29EC">
            <w:pPr>
              <w:widowControl/>
              <w:jc w:val="center"/>
              <w:textAlignment w:val="center"/>
              <w:rPr>
                <w:szCs w:val="21"/>
              </w:rPr>
            </w:pPr>
            <w:r>
              <w:rPr>
                <w:kern w:val="0"/>
                <w:szCs w:val="21"/>
                <w:lang w:bidi="ar"/>
              </w:rPr>
              <w:t>球场位置3单元</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6BBD2917">
            <w:pPr>
              <w:widowControl/>
              <w:jc w:val="center"/>
              <w:textAlignment w:val="center"/>
              <w:rPr>
                <w:szCs w:val="21"/>
              </w:rPr>
            </w:pPr>
            <w:r>
              <w:rPr>
                <w:kern w:val="0"/>
                <w:szCs w:val="21"/>
                <w:lang w:bidi="ar"/>
              </w:rPr>
              <w:t>287</w:t>
            </w:r>
          </w:p>
        </w:tc>
      </w:tr>
      <w:tr w14:paraId="724E69BF">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002E6E91">
            <w:pPr>
              <w:widowControl/>
              <w:jc w:val="center"/>
              <w:textAlignment w:val="center"/>
              <w:rPr>
                <w:szCs w:val="21"/>
              </w:rPr>
            </w:pPr>
            <w:r>
              <w:rPr>
                <w:kern w:val="0"/>
                <w:szCs w:val="21"/>
                <w:lang w:bidi="ar"/>
              </w:rPr>
              <w:t>老井位置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39B4802D">
            <w:pPr>
              <w:widowControl/>
              <w:jc w:val="center"/>
              <w:textAlignment w:val="center"/>
              <w:rPr>
                <w:szCs w:val="21"/>
              </w:rPr>
            </w:pPr>
            <w:r>
              <w:rPr>
                <w:kern w:val="0"/>
                <w:szCs w:val="21"/>
                <w:lang w:bidi="ar"/>
              </w:rPr>
              <w:t>537</w:t>
            </w:r>
          </w:p>
        </w:tc>
      </w:tr>
      <w:tr w14:paraId="29F58D05">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7C489A76">
            <w:pPr>
              <w:widowControl/>
              <w:jc w:val="center"/>
              <w:textAlignment w:val="center"/>
              <w:rPr>
                <w:szCs w:val="21"/>
              </w:rPr>
            </w:pPr>
            <w:r>
              <w:rPr>
                <w:kern w:val="0"/>
                <w:szCs w:val="21"/>
                <w:lang w:bidi="ar"/>
              </w:rPr>
              <w:t>老井位置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0172673A">
            <w:pPr>
              <w:widowControl/>
              <w:jc w:val="center"/>
              <w:textAlignment w:val="center"/>
              <w:rPr>
                <w:szCs w:val="21"/>
              </w:rPr>
            </w:pPr>
            <w:r>
              <w:rPr>
                <w:kern w:val="0"/>
                <w:szCs w:val="21"/>
                <w:lang w:bidi="ar"/>
              </w:rPr>
              <w:t>537</w:t>
            </w:r>
          </w:p>
        </w:tc>
      </w:tr>
      <w:tr w14:paraId="0B2167A1">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16FAF0F0">
            <w:pPr>
              <w:widowControl/>
              <w:jc w:val="center"/>
              <w:textAlignment w:val="center"/>
              <w:rPr>
                <w:szCs w:val="21"/>
              </w:rPr>
            </w:pPr>
            <w:r>
              <w:rPr>
                <w:kern w:val="0"/>
                <w:szCs w:val="21"/>
                <w:lang w:bidi="ar"/>
              </w:rPr>
              <w:t>鑫旺板块</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2893BF1C">
            <w:pPr>
              <w:widowControl/>
              <w:jc w:val="center"/>
              <w:textAlignment w:val="center"/>
              <w:rPr>
                <w:szCs w:val="21"/>
              </w:rPr>
            </w:pPr>
            <w:r>
              <w:rPr>
                <w:kern w:val="0"/>
                <w:szCs w:val="21"/>
                <w:lang w:bidi="ar"/>
              </w:rPr>
              <w:t>896</w:t>
            </w:r>
          </w:p>
        </w:tc>
      </w:tr>
      <w:tr w14:paraId="614758AC">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41D11CE7">
            <w:pPr>
              <w:widowControl/>
              <w:jc w:val="center"/>
              <w:textAlignment w:val="center"/>
              <w:rPr>
                <w:szCs w:val="21"/>
              </w:rPr>
            </w:pPr>
            <w:r>
              <w:rPr>
                <w:kern w:val="0"/>
                <w:szCs w:val="21"/>
                <w:lang w:bidi="ar"/>
              </w:rPr>
              <w:t>鑫旺板块</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579E957B">
            <w:pPr>
              <w:widowControl/>
              <w:jc w:val="center"/>
              <w:textAlignment w:val="center"/>
              <w:rPr>
                <w:szCs w:val="21"/>
              </w:rPr>
            </w:pPr>
            <w:r>
              <w:rPr>
                <w:kern w:val="0"/>
                <w:szCs w:val="21"/>
                <w:lang w:bidi="ar"/>
              </w:rPr>
              <w:t>896</w:t>
            </w:r>
          </w:p>
        </w:tc>
      </w:tr>
      <w:tr w14:paraId="2FEF622F">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14554C28">
            <w:pPr>
              <w:widowControl/>
              <w:jc w:val="center"/>
              <w:textAlignment w:val="center"/>
              <w:rPr>
                <w:szCs w:val="21"/>
              </w:rPr>
            </w:pPr>
            <w:r>
              <w:rPr>
                <w:kern w:val="0"/>
                <w:szCs w:val="21"/>
                <w:lang w:bidi="ar"/>
              </w:rPr>
              <w:t>鑫旺板块</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52CCBA70">
            <w:pPr>
              <w:widowControl/>
              <w:jc w:val="center"/>
              <w:textAlignment w:val="center"/>
              <w:rPr>
                <w:szCs w:val="21"/>
              </w:rPr>
            </w:pPr>
            <w:r>
              <w:rPr>
                <w:kern w:val="0"/>
                <w:szCs w:val="21"/>
                <w:lang w:bidi="ar"/>
              </w:rPr>
              <w:t>824</w:t>
            </w:r>
          </w:p>
        </w:tc>
      </w:tr>
      <w:tr w14:paraId="25D8A51C">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63042527">
            <w:pPr>
              <w:widowControl/>
              <w:jc w:val="center"/>
              <w:textAlignment w:val="center"/>
              <w:rPr>
                <w:szCs w:val="21"/>
              </w:rPr>
            </w:pPr>
            <w:r>
              <w:rPr>
                <w:kern w:val="0"/>
                <w:szCs w:val="21"/>
                <w:lang w:bidi="ar"/>
              </w:rPr>
              <w:t>大河边篮球场位置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18BFB1F8">
            <w:pPr>
              <w:widowControl/>
              <w:jc w:val="center"/>
              <w:textAlignment w:val="center"/>
              <w:rPr>
                <w:szCs w:val="21"/>
              </w:rPr>
            </w:pPr>
            <w:r>
              <w:rPr>
                <w:kern w:val="0"/>
                <w:szCs w:val="21"/>
                <w:lang w:bidi="ar"/>
              </w:rPr>
              <w:t>742</w:t>
            </w:r>
          </w:p>
        </w:tc>
      </w:tr>
      <w:tr w14:paraId="0F20B078">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3E1B6FEA">
            <w:pPr>
              <w:widowControl/>
              <w:jc w:val="center"/>
              <w:textAlignment w:val="center"/>
              <w:rPr>
                <w:szCs w:val="21"/>
              </w:rPr>
            </w:pPr>
            <w:r>
              <w:rPr>
                <w:kern w:val="0"/>
                <w:szCs w:val="21"/>
                <w:lang w:bidi="ar"/>
              </w:rPr>
              <w:t>大河边上煤仓位置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10EDE129">
            <w:pPr>
              <w:widowControl/>
              <w:jc w:val="center"/>
              <w:textAlignment w:val="center"/>
              <w:rPr>
                <w:szCs w:val="21"/>
              </w:rPr>
            </w:pPr>
            <w:r>
              <w:rPr>
                <w:kern w:val="0"/>
                <w:szCs w:val="21"/>
                <w:lang w:bidi="ar"/>
              </w:rPr>
              <w:t>305</w:t>
            </w:r>
          </w:p>
        </w:tc>
      </w:tr>
      <w:tr w14:paraId="199279C2">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36B5BF55">
            <w:pPr>
              <w:widowControl/>
              <w:jc w:val="center"/>
              <w:textAlignment w:val="center"/>
              <w:rPr>
                <w:szCs w:val="21"/>
              </w:rPr>
            </w:pPr>
            <w:r>
              <w:rPr>
                <w:kern w:val="0"/>
                <w:szCs w:val="21"/>
                <w:lang w:bidi="ar"/>
              </w:rPr>
              <w:t>大河边上煤仓位置</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2F7930A2">
            <w:pPr>
              <w:widowControl/>
              <w:jc w:val="center"/>
              <w:textAlignment w:val="center"/>
              <w:rPr>
                <w:szCs w:val="21"/>
              </w:rPr>
            </w:pPr>
            <w:r>
              <w:rPr>
                <w:kern w:val="0"/>
                <w:szCs w:val="21"/>
                <w:lang w:bidi="ar"/>
              </w:rPr>
              <w:t>473</w:t>
            </w:r>
          </w:p>
        </w:tc>
      </w:tr>
      <w:tr w14:paraId="6893CDE4">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756FAAA0">
            <w:pPr>
              <w:widowControl/>
              <w:jc w:val="center"/>
              <w:textAlignment w:val="center"/>
              <w:rPr>
                <w:szCs w:val="21"/>
              </w:rPr>
            </w:pPr>
            <w:r>
              <w:rPr>
                <w:kern w:val="0"/>
                <w:szCs w:val="21"/>
                <w:lang w:bidi="ar"/>
              </w:rPr>
              <w:t>下煤仓</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7043F04A">
            <w:pPr>
              <w:widowControl/>
              <w:jc w:val="center"/>
              <w:textAlignment w:val="center"/>
              <w:rPr>
                <w:szCs w:val="21"/>
              </w:rPr>
            </w:pPr>
            <w:r>
              <w:rPr>
                <w:kern w:val="0"/>
                <w:szCs w:val="21"/>
                <w:lang w:bidi="ar"/>
              </w:rPr>
              <w:t>529</w:t>
            </w:r>
          </w:p>
        </w:tc>
      </w:tr>
      <w:tr w14:paraId="4D83E5A0">
        <w:tblPrEx>
          <w:tblCellMar>
            <w:top w:w="0" w:type="dxa"/>
            <w:left w:w="108" w:type="dxa"/>
            <w:bottom w:w="0" w:type="dxa"/>
            <w:right w:w="108" w:type="dxa"/>
          </w:tblCellMar>
        </w:tblPrEx>
        <w:trPr>
          <w:wBefore w:w="0" w:type="auto"/>
          <w:trHeight w:val="285" w:hRule="atLeast"/>
          <w:jc w:val="center"/>
        </w:trPr>
        <w:tc>
          <w:tcPr>
            <w:tcW w:w="3646" w:type="pct"/>
            <w:tcBorders>
              <w:top w:val="single" w:color="000000" w:sz="4" w:space="0"/>
              <w:left w:val="single" w:color="000000" w:sz="4" w:space="0"/>
              <w:bottom w:val="single" w:color="000000" w:sz="4" w:space="0"/>
              <w:right w:val="single" w:color="000000" w:sz="4" w:space="0"/>
            </w:tcBorders>
            <w:noWrap/>
            <w:vAlign w:val="center"/>
          </w:tcPr>
          <w:p w14:paraId="5832C32D">
            <w:pPr>
              <w:jc w:val="center"/>
              <w:rPr>
                <w:szCs w:val="21"/>
              </w:rPr>
            </w:pPr>
            <w:r>
              <w:rPr>
                <w:szCs w:val="21"/>
              </w:rPr>
              <w:t>合计</w:t>
            </w:r>
          </w:p>
        </w:tc>
        <w:tc>
          <w:tcPr>
            <w:tcW w:w="1353" w:type="pct"/>
            <w:tcBorders>
              <w:top w:val="single" w:color="000000" w:sz="4" w:space="0"/>
              <w:left w:val="single" w:color="000000" w:sz="4" w:space="0"/>
              <w:bottom w:val="single" w:color="000000" w:sz="4" w:space="0"/>
              <w:right w:val="single" w:color="000000" w:sz="4" w:space="0"/>
            </w:tcBorders>
            <w:noWrap/>
            <w:vAlign w:val="center"/>
          </w:tcPr>
          <w:p w14:paraId="706F2EAB">
            <w:pPr>
              <w:widowControl/>
              <w:jc w:val="center"/>
              <w:textAlignment w:val="center"/>
              <w:rPr>
                <w:szCs w:val="21"/>
              </w:rPr>
            </w:pPr>
            <w:r>
              <w:rPr>
                <w:kern w:val="0"/>
                <w:szCs w:val="21"/>
                <w:lang w:bidi="ar"/>
              </w:rPr>
              <w:t>9300</w:t>
            </w:r>
          </w:p>
        </w:tc>
      </w:tr>
    </w:tbl>
    <w:p w14:paraId="3E0F5859">
      <w:pPr>
        <w:tabs>
          <w:tab w:val="left" w:pos="900"/>
          <w:tab w:val="left" w:pos="2345"/>
        </w:tabs>
        <w:spacing w:before="120" w:beforeLines="50" w:after="120" w:afterLines="50"/>
        <w:jc w:val="left"/>
        <w:rPr>
          <w:b/>
          <w:szCs w:val="21"/>
        </w:rPr>
      </w:pPr>
      <w:r>
        <w:rPr>
          <w:b/>
          <w:szCs w:val="21"/>
        </w:rPr>
        <w:t>注：</w:t>
      </w:r>
      <w:r>
        <w:rPr>
          <w:szCs w:val="21"/>
        </w:rPr>
        <w:t>项目不养殖种猪，仔猪均为外购。年出栏育肥猪2.6批次。</w:t>
      </w:r>
    </w:p>
    <w:p w14:paraId="5FCA392C">
      <w:pPr>
        <w:tabs>
          <w:tab w:val="left" w:pos="900"/>
        </w:tabs>
        <w:jc w:val="center"/>
        <w:rPr>
          <w:b/>
          <w:szCs w:val="21"/>
        </w:rPr>
      </w:pPr>
      <w:r>
        <w:rPr>
          <w:b/>
          <w:szCs w:val="21"/>
        </w:rPr>
        <w:t>表 3.1-4  养殖参数表</w:t>
      </w:r>
    </w:p>
    <w:tbl>
      <w:tblPr>
        <w:tblStyle w:val="87"/>
        <w:tblW w:w="501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236"/>
        <w:gridCol w:w="1316"/>
        <w:gridCol w:w="1654"/>
        <w:gridCol w:w="1064"/>
        <w:gridCol w:w="3078"/>
      </w:tblGrid>
      <w:tr w14:paraId="1A01D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40" w:type="pct"/>
            <w:noWrap w:val="0"/>
            <w:vAlign w:val="center"/>
          </w:tcPr>
          <w:p w14:paraId="7932519A">
            <w:pPr>
              <w:adjustRightInd w:val="0"/>
              <w:snapToGrid w:val="0"/>
              <w:jc w:val="center"/>
              <w:rPr>
                <w:bCs/>
                <w:szCs w:val="21"/>
              </w:rPr>
            </w:pPr>
            <w:r>
              <w:rPr>
                <w:bCs/>
                <w:szCs w:val="21"/>
              </w:rPr>
              <w:t>种类</w:t>
            </w:r>
          </w:p>
        </w:tc>
        <w:tc>
          <w:tcPr>
            <w:tcW w:w="788" w:type="pct"/>
            <w:noWrap w:val="0"/>
            <w:vAlign w:val="center"/>
          </w:tcPr>
          <w:p w14:paraId="29115CCA">
            <w:pPr>
              <w:adjustRightInd w:val="0"/>
              <w:snapToGrid w:val="0"/>
              <w:jc w:val="center"/>
              <w:rPr>
                <w:bCs/>
                <w:szCs w:val="21"/>
              </w:rPr>
            </w:pPr>
            <w:r>
              <w:rPr>
                <w:bCs/>
                <w:szCs w:val="21"/>
              </w:rPr>
              <w:t>进场年龄（天）</w:t>
            </w:r>
          </w:p>
        </w:tc>
        <w:tc>
          <w:tcPr>
            <w:tcW w:w="990" w:type="pct"/>
            <w:noWrap w:val="0"/>
            <w:vAlign w:val="center"/>
          </w:tcPr>
          <w:p w14:paraId="799719EE">
            <w:pPr>
              <w:adjustRightInd w:val="0"/>
              <w:snapToGrid w:val="0"/>
              <w:jc w:val="center"/>
              <w:rPr>
                <w:bCs/>
                <w:szCs w:val="21"/>
              </w:rPr>
            </w:pPr>
            <w:r>
              <w:rPr>
                <w:bCs/>
                <w:szCs w:val="21"/>
              </w:rPr>
              <w:t>出栏平均重量（kg/头）</w:t>
            </w:r>
          </w:p>
        </w:tc>
        <w:tc>
          <w:tcPr>
            <w:tcW w:w="637" w:type="pct"/>
            <w:noWrap w:val="0"/>
            <w:vAlign w:val="center"/>
          </w:tcPr>
          <w:p w14:paraId="1B52AC7E">
            <w:pPr>
              <w:adjustRightInd w:val="0"/>
              <w:snapToGrid w:val="0"/>
              <w:jc w:val="center"/>
              <w:rPr>
                <w:bCs/>
                <w:szCs w:val="21"/>
              </w:rPr>
            </w:pPr>
            <w:r>
              <w:rPr>
                <w:bCs/>
                <w:szCs w:val="21"/>
              </w:rPr>
              <w:t>死亡率（%）</w:t>
            </w:r>
          </w:p>
        </w:tc>
        <w:tc>
          <w:tcPr>
            <w:tcW w:w="1842" w:type="pct"/>
            <w:noWrap w:val="0"/>
            <w:vAlign w:val="center"/>
          </w:tcPr>
          <w:p w14:paraId="58EA5F09">
            <w:pPr>
              <w:adjustRightInd w:val="0"/>
              <w:snapToGrid w:val="0"/>
              <w:jc w:val="center"/>
              <w:rPr>
                <w:bCs/>
                <w:szCs w:val="21"/>
              </w:rPr>
            </w:pPr>
            <w:r>
              <w:rPr>
                <w:bCs/>
                <w:szCs w:val="21"/>
              </w:rPr>
              <w:t>备注</w:t>
            </w:r>
          </w:p>
        </w:tc>
      </w:tr>
      <w:tr w14:paraId="585C6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40" w:type="pct"/>
            <w:noWrap w:val="0"/>
            <w:vAlign w:val="center"/>
          </w:tcPr>
          <w:p w14:paraId="09B12D9F">
            <w:pPr>
              <w:adjustRightInd w:val="0"/>
              <w:snapToGrid w:val="0"/>
              <w:jc w:val="center"/>
              <w:rPr>
                <w:szCs w:val="21"/>
              </w:rPr>
            </w:pPr>
            <w:r>
              <w:rPr>
                <w:szCs w:val="21"/>
              </w:rPr>
              <w:t>育肥猪</w:t>
            </w:r>
          </w:p>
        </w:tc>
        <w:tc>
          <w:tcPr>
            <w:tcW w:w="788" w:type="pct"/>
            <w:noWrap w:val="0"/>
            <w:vAlign w:val="center"/>
          </w:tcPr>
          <w:p w14:paraId="219DFA2B">
            <w:pPr>
              <w:jc w:val="center"/>
              <w:rPr>
                <w:szCs w:val="21"/>
              </w:rPr>
            </w:pPr>
            <w:r>
              <w:rPr>
                <w:szCs w:val="21"/>
              </w:rPr>
              <w:t>35~40</w:t>
            </w:r>
          </w:p>
        </w:tc>
        <w:tc>
          <w:tcPr>
            <w:tcW w:w="990" w:type="pct"/>
            <w:noWrap w:val="0"/>
            <w:vAlign w:val="center"/>
          </w:tcPr>
          <w:p w14:paraId="6A2C900B">
            <w:pPr>
              <w:jc w:val="center"/>
              <w:rPr>
                <w:sz w:val="22"/>
              </w:rPr>
            </w:pPr>
            <w:r>
              <w:rPr>
                <w:sz w:val="22"/>
              </w:rPr>
              <w:t>100</w:t>
            </w:r>
          </w:p>
        </w:tc>
        <w:tc>
          <w:tcPr>
            <w:tcW w:w="637" w:type="pct"/>
            <w:noWrap w:val="0"/>
            <w:vAlign w:val="center"/>
          </w:tcPr>
          <w:p w14:paraId="352C26B9">
            <w:pPr>
              <w:jc w:val="center"/>
              <w:rPr>
                <w:szCs w:val="21"/>
              </w:rPr>
            </w:pPr>
            <w:r>
              <w:rPr>
                <w:szCs w:val="21"/>
              </w:rPr>
              <w:t>1</w:t>
            </w:r>
          </w:p>
        </w:tc>
        <w:tc>
          <w:tcPr>
            <w:tcW w:w="1842" w:type="pct"/>
            <w:noWrap w:val="0"/>
            <w:vAlign w:val="center"/>
          </w:tcPr>
          <w:p w14:paraId="6D9FDA46">
            <w:pPr>
              <w:spacing w:line="300" w:lineRule="exact"/>
              <w:jc w:val="center"/>
              <w:rPr>
                <w:szCs w:val="21"/>
              </w:rPr>
            </w:pPr>
          </w:p>
        </w:tc>
      </w:tr>
    </w:tbl>
    <w:p w14:paraId="10E210FD">
      <w:pPr>
        <w:spacing w:line="520" w:lineRule="exact"/>
        <w:rPr>
          <w:szCs w:val="21"/>
        </w:rPr>
      </w:pPr>
      <w:r>
        <w:rPr>
          <w:szCs w:val="21"/>
        </w:rPr>
        <w:t>备注：本项目养殖过程用水量、排尿量、排粪量、有机肥基料产生量均按最大量计算。</w:t>
      </w:r>
    </w:p>
    <w:p w14:paraId="56CE2882">
      <w:pPr>
        <w:spacing w:line="360" w:lineRule="auto"/>
        <w:ind w:firstLine="480" w:firstLineChars="200"/>
        <w:rPr>
          <w:sz w:val="24"/>
        </w:rPr>
      </w:pPr>
    </w:p>
    <w:p w14:paraId="553BC7C8">
      <w:pPr>
        <w:spacing w:line="360" w:lineRule="auto"/>
        <w:ind w:firstLine="480" w:firstLineChars="200"/>
        <w:rPr>
          <w:sz w:val="24"/>
        </w:rPr>
      </w:pPr>
      <w:r>
        <w:rPr>
          <w:sz w:val="24"/>
        </w:rPr>
        <w:t>（4）主要生产设备</w:t>
      </w:r>
    </w:p>
    <w:p w14:paraId="32DB86FE">
      <w:pPr>
        <w:spacing w:line="360" w:lineRule="auto"/>
        <w:ind w:firstLine="480" w:firstLineChars="200"/>
        <w:rPr>
          <w:sz w:val="24"/>
        </w:rPr>
      </w:pPr>
      <w:r>
        <w:rPr>
          <w:sz w:val="24"/>
        </w:rPr>
        <w:t>项目主要生产设备详见表 3.1-5。</w:t>
      </w:r>
    </w:p>
    <w:p w14:paraId="41DF5205">
      <w:pPr>
        <w:spacing w:line="360" w:lineRule="auto"/>
        <w:jc w:val="center"/>
        <w:rPr>
          <w:b/>
          <w:bCs/>
          <w:szCs w:val="21"/>
        </w:rPr>
      </w:pPr>
      <w:r>
        <w:rPr>
          <w:b/>
          <w:bCs/>
          <w:szCs w:val="21"/>
        </w:rPr>
        <w:t>表3.1-5</w:t>
      </w:r>
      <w:r>
        <w:rPr>
          <w:b/>
          <w:bCs/>
          <w:szCs w:val="21"/>
        </w:rPr>
        <w:tab/>
      </w:r>
      <w:r>
        <w:rPr>
          <w:b/>
          <w:bCs/>
          <w:szCs w:val="21"/>
        </w:rPr>
        <w:t>项目主要设备</w:t>
      </w:r>
      <w:r>
        <w:rPr>
          <w:b/>
          <w:bCs/>
          <w:spacing w:val="-3"/>
          <w:szCs w:val="21"/>
        </w:rPr>
        <w:t>一</w:t>
      </w:r>
      <w:r>
        <w:rPr>
          <w:b/>
          <w:bCs/>
          <w:szCs w:val="21"/>
        </w:rPr>
        <w:t>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3362"/>
        <w:gridCol w:w="1503"/>
        <w:gridCol w:w="1840"/>
      </w:tblGrid>
      <w:tr w14:paraId="56AB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17C96C38">
            <w:pPr>
              <w:pStyle w:val="2492"/>
              <w:ind w:firstLine="0" w:firstLineChars="0"/>
              <w:jc w:val="center"/>
              <w:rPr>
                <w:color w:val="auto"/>
                <w:szCs w:val="21"/>
              </w:rPr>
            </w:pPr>
            <w:r>
              <w:rPr>
                <w:color w:val="auto"/>
                <w:szCs w:val="21"/>
              </w:rPr>
              <w:t>序号</w:t>
            </w:r>
          </w:p>
        </w:tc>
        <w:tc>
          <w:tcPr>
            <w:tcW w:w="1971" w:type="pct"/>
            <w:noWrap w:val="0"/>
            <w:vAlign w:val="center"/>
          </w:tcPr>
          <w:p w14:paraId="1691A1D8">
            <w:pPr>
              <w:pStyle w:val="2492"/>
              <w:ind w:firstLine="0" w:firstLineChars="0"/>
              <w:jc w:val="center"/>
              <w:rPr>
                <w:color w:val="auto"/>
                <w:szCs w:val="21"/>
              </w:rPr>
            </w:pPr>
            <w:r>
              <w:rPr>
                <w:color w:val="auto"/>
                <w:szCs w:val="21"/>
              </w:rPr>
              <w:t>设备名称</w:t>
            </w:r>
          </w:p>
        </w:tc>
        <w:tc>
          <w:tcPr>
            <w:tcW w:w="881" w:type="pct"/>
            <w:noWrap w:val="0"/>
            <w:vAlign w:val="center"/>
          </w:tcPr>
          <w:p w14:paraId="665073E5">
            <w:pPr>
              <w:pStyle w:val="2492"/>
              <w:ind w:firstLine="0" w:firstLineChars="0"/>
              <w:jc w:val="center"/>
              <w:rPr>
                <w:color w:val="auto"/>
                <w:szCs w:val="21"/>
              </w:rPr>
            </w:pPr>
            <w:r>
              <w:rPr>
                <w:color w:val="auto"/>
                <w:szCs w:val="21"/>
              </w:rPr>
              <w:t>单位</w:t>
            </w:r>
          </w:p>
        </w:tc>
        <w:tc>
          <w:tcPr>
            <w:tcW w:w="1078" w:type="pct"/>
            <w:noWrap w:val="0"/>
            <w:vAlign w:val="center"/>
          </w:tcPr>
          <w:p w14:paraId="6273D34F">
            <w:pPr>
              <w:pStyle w:val="2492"/>
              <w:ind w:firstLine="0" w:firstLineChars="0"/>
              <w:jc w:val="center"/>
              <w:rPr>
                <w:color w:val="auto"/>
                <w:szCs w:val="21"/>
              </w:rPr>
            </w:pPr>
            <w:r>
              <w:rPr>
                <w:color w:val="auto"/>
                <w:szCs w:val="21"/>
              </w:rPr>
              <w:t>数量</w:t>
            </w:r>
          </w:p>
        </w:tc>
      </w:tr>
      <w:tr w14:paraId="5511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noWrap w:val="0"/>
            <w:vAlign w:val="center"/>
          </w:tcPr>
          <w:p w14:paraId="689F5176">
            <w:pPr>
              <w:pStyle w:val="2492"/>
              <w:ind w:firstLine="0" w:firstLineChars="0"/>
              <w:jc w:val="center"/>
              <w:rPr>
                <w:color w:val="auto"/>
                <w:szCs w:val="21"/>
              </w:rPr>
            </w:pPr>
            <w:r>
              <w:rPr>
                <w:b/>
                <w:bCs/>
                <w:color w:val="auto"/>
                <w:szCs w:val="21"/>
              </w:rPr>
              <w:t>养殖过程</w:t>
            </w:r>
          </w:p>
        </w:tc>
      </w:tr>
      <w:tr w14:paraId="02AE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219BA68E">
            <w:pPr>
              <w:pStyle w:val="2492"/>
              <w:ind w:firstLine="0" w:firstLineChars="0"/>
              <w:jc w:val="center"/>
              <w:rPr>
                <w:color w:val="auto"/>
                <w:szCs w:val="21"/>
              </w:rPr>
            </w:pPr>
            <w:r>
              <w:rPr>
                <w:color w:val="auto"/>
                <w:szCs w:val="21"/>
              </w:rPr>
              <w:t>1</w:t>
            </w:r>
          </w:p>
        </w:tc>
        <w:tc>
          <w:tcPr>
            <w:tcW w:w="1971" w:type="pct"/>
            <w:noWrap w:val="0"/>
            <w:vAlign w:val="center"/>
          </w:tcPr>
          <w:p w14:paraId="70505A98">
            <w:pPr>
              <w:pStyle w:val="2492"/>
              <w:ind w:firstLine="0" w:firstLineChars="0"/>
              <w:jc w:val="center"/>
              <w:rPr>
                <w:color w:val="auto"/>
                <w:szCs w:val="21"/>
              </w:rPr>
            </w:pPr>
            <w:r>
              <w:rPr>
                <w:color w:val="auto"/>
                <w:szCs w:val="21"/>
              </w:rPr>
              <w:t>饲料罐</w:t>
            </w:r>
          </w:p>
        </w:tc>
        <w:tc>
          <w:tcPr>
            <w:tcW w:w="881" w:type="pct"/>
            <w:noWrap w:val="0"/>
            <w:vAlign w:val="center"/>
          </w:tcPr>
          <w:p w14:paraId="2B108152">
            <w:pPr>
              <w:pStyle w:val="2492"/>
              <w:ind w:firstLine="0" w:firstLineChars="0"/>
              <w:jc w:val="center"/>
              <w:rPr>
                <w:color w:val="auto"/>
                <w:szCs w:val="21"/>
              </w:rPr>
            </w:pPr>
            <w:r>
              <w:rPr>
                <w:color w:val="auto"/>
                <w:szCs w:val="21"/>
              </w:rPr>
              <w:t>个</w:t>
            </w:r>
          </w:p>
        </w:tc>
        <w:tc>
          <w:tcPr>
            <w:tcW w:w="1078" w:type="pct"/>
            <w:noWrap w:val="0"/>
            <w:vAlign w:val="center"/>
          </w:tcPr>
          <w:p w14:paraId="549FA9C2">
            <w:pPr>
              <w:pStyle w:val="2492"/>
              <w:ind w:firstLine="0" w:firstLineChars="0"/>
              <w:jc w:val="center"/>
              <w:rPr>
                <w:color w:val="auto"/>
                <w:szCs w:val="21"/>
              </w:rPr>
            </w:pPr>
            <w:r>
              <w:rPr>
                <w:color w:val="auto"/>
                <w:szCs w:val="21"/>
              </w:rPr>
              <w:t>77</w:t>
            </w:r>
          </w:p>
        </w:tc>
      </w:tr>
      <w:tr w14:paraId="119C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78D0AECE">
            <w:pPr>
              <w:pStyle w:val="2492"/>
              <w:ind w:firstLine="0" w:firstLineChars="0"/>
              <w:jc w:val="center"/>
              <w:rPr>
                <w:color w:val="auto"/>
                <w:szCs w:val="21"/>
              </w:rPr>
            </w:pPr>
            <w:r>
              <w:rPr>
                <w:color w:val="auto"/>
                <w:szCs w:val="21"/>
              </w:rPr>
              <w:t>2</w:t>
            </w:r>
          </w:p>
        </w:tc>
        <w:tc>
          <w:tcPr>
            <w:tcW w:w="1971" w:type="pct"/>
            <w:noWrap w:val="0"/>
            <w:vAlign w:val="center"/>
          </w:tcPr>
          <w:p w14:paraId="50C02B50">
            <w:pPr>
              <w:pStyle w:val="2492"/>
              <w:ind w:firstLine="0" w:firstLineChars="0"/>
              <w:jc w:val="center"/>
              <w:rPr>
                <w:color w:val="auto"/>
                <w:szCs w:val="21"/>
              </w:rPr>
            </w:pPr>
            <w:r>
              <w:rPr>
                <w:color w:val="auto"/>
                <w:szCs w:val="21"/>
              </w:rPr>
              <w:t>风机</w:t>
            </w:r>
          </w:p>
        </w:tc>
        <w:tc>
          <w:tcPr>
            <w:tcW w:w="881" w:type="pct"/>
            <w:noWrap w:val="0"/>
            <w:vAlign w:val="center"/>
          </w:tcPr>
          <w:p w14:paraId="5A1B67AE">
            <w:pPr>
              <w:pStyle w:val="2492"/>
              <w:ind w:firstLine="0" w:firstLineChars="0"/>
              <w:jc w:val="center"/>
              <w:rPr>
                <w:color w:val="auto"/>
                <w:szCs w:val="21"/>
              </w:rPr>
            </w:pPr>
            <w:r>
              <w:rPr>
                <w:color w:val="auto"/>
                <w:szCs w:val="21"/>
              </w:rPr>
              <w:t>个</w:t>
            </w:r>
          </w:p>
        </w:tc>
        <w:tc>
          <w:tcPr>
            <w:tcW w:w="1078" w:type="pct"/>
            <w:noWrap w:val="0"/>
            <w:vAlign w:val="center"/>
          </w:tcPr>
          <w:p w14:paraId="5228683E">
            <w:pPr>
              <w:pStyle w:val="2492"/>
              <w:ind w:firstLine="0" w:firstLineChars="0"/>
              <w:jc w:val="center"/>
              <w:rPr>
                <w:color w:val="auto"/>
                <w:szCs w:val="21"/>
              </w:rPr>
            </w:pPr>
            <w:r>
              <w:rPr>
                <w:color w:val="auto"/>
                <w:szCs w:val="21"/>
              </w:rPr>
              <w:t>308</w:t>
            </w:r>
          </w:p>
        </w:tc>
      </w:tr>
      <w:tr w14:paraId="6475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17780DC8">
            <w:pPr>
              <w:pStyle w:val="2492"/>
              <w:ind w:firstLine="0" w:firstLineChars="0"/>
              <w:jc w:val="center"/>
              <w:rPr>
                <w:color w:val="auto"/>
                <w:szCs w:val="21"/>
              </w:rPr>
            </w:pPr>
            <w:r>
              <w:rPr>
                <w:color w:val="auto"/>
                <w:szCs w:val="21"/>
              </w:rPr>
              <w:t>3</w:t>
            </w:r>
          </w:p>
        </w:tc>
        <w:tc>
          <w:tcPr>
            <w:tcW w:w="1971" w:type="pct"/>
            <w:noWrap w:val="0"/>
            <w:vAlign w:val="center"/>
          </w:tcPr>
          <w:p w14:paraId="1B9DEEDE">
            <w:pPr>
              <w:pStyle w:val="2492"/>
              <w:ind w:firstLine="0" w:firstLineChars="0"/>
              <w:jc w:val="center"/>
              <w:rPr>
                <w:color w:val="auto"/>
                <w:szCs w:val="21"/>
              </w:rPr>
            </w:pPr>
            <w:r>
              <w:rPr>
                <w:color w:val="auto"/>
                <w:szCs w:val="21"/>
              </w:rPr>
              <w:t>饮水器</w:t>
            </w:r>
          </w:p>
        </w:tc>
        <w:tc>
          <w:tcPr>
            <w:tcW w:w="881" w:type="pct"/>
            <w:noWrap w:val="0"/>
            <w:vAlign w:val="center"/>
          </w:tcPr>
          <w:p w14:paraId="5155F4F6">
            <w:pPr>
              <w:pStyle w:val="2492"/>
              <w:ind w:firstLine="0" w:firstLineChars="0"/>
              <w:jc w:val="center"/>
              <w:rPr>
                <w:color w:val="auto"/>
                <w:szCs w:val="21"/>
              </w:rPr>
            </w:pPr>
            <w:r>
              <w:rPr>
                <w:color w:val="auto"/>
                <w:szCs w:val="21"/>
              </w:rPr>
              <w:t>个</w:t>
            </w:r>
          </w:p>
        </w:tc>
        <w:tc>
          <w:tcPr>
            <w:tcW w:w="1078" w:type="pct"/>
            <w:noWrap w:val="0"/>
            <w:vAlign w:val="center"/>
          </w:tcPr>
          <w:p w14:paraId="365FE45F">
            <w:pPr>
              <w:pStyle w:val="2492"/>
              <w:ind w:firstLine="0" w:firstLineChars="0"/>
              <w:jc w:val="center"/>
              <w:rPr>
                <w:color w:val="auto"/>
                <w:szCs w:val="21"/>
              </w:rPr>
            </w:pPr>
            <w:r>
              <w:rPr>
                <w:color w:val="auto"/>
                <w:szCs w:val="21"/>
              </w:rPr>
              <w:t>816</w:t>
            </w:r>
          </w:p>
        </w:tc>
      </w:tr>
      <w:tr w14:paraId="558D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noWrap w:val="0"/>
            <w:vAlign w:val="center"/>
          </w:tcPr>
          <w:p w14:paraId="49DA5475">
            <w:pPr>
              <w:pStyle w:val="2492"/>
              <w:ind w:firstLine="0" w:firstLineChars="0"/>
              <w:jc w:val="center"/>
              <w:rPr>
                <w:color w:val="auto"/>
                <w:szCs w:val="21"/>
              </w:rPr>
            </w:pPr>
            <w:r>
              <w:rPr>
                <w:b/>
                <w:bCs/>
                <w:color w:val="auto"/>
                <w:szCs w:val="21"/>
              </w:rPr>
              <w:t>污水处理过程</w:t>
            </w:r>
          </w:p>
        </w:tc>
      </w:tr>
      <w:tr w14:paraId="3868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582FE139">
            <w:pPr>
              <w:pStyle w:val="2492"/>
              <w:ind w:firstLine="0" w:firstLineChars="0"/>
              <w:jc w:val="center"/>
              <w:rPr>
                <w:color w:val="auto"/>
                <w:szCs w:val="21"/>
                <w:lang w:val="en-US"/>
              </w:rPr>
            </w:pPr>
            <w:r>
              <w:rPr>
                <w:color w:val="auto"/>
                <w:szCs w:val="21"/>
                <w:lang w:val="en-US"/>
              </w:rPr>
              <w:t>1</w:t>
            </w:r>
          </w:p>
        </w:tc>
        <w:tc>
          <w:tcPr>
            <w:tcW w:w="1971" w:type="pct"/>
            <w:noWrap w:val="0"/>
            <w:vAlign w:val="center"/>
          </w:tcPr>
          <w:p w14:paraId="59A8B5C9">
            <w:pPr>
              <w:pStyle w:val="2492"/>
              <w:ind w:firstLine="0" w:firstLineChars="0"/>
              <w:jc w:val="center"/>
              <w:rPr>
                <w:color w:val="auto"/>
                <w:szCs w:val="21"/>
              </w:rPr>
            </w:pPr>
            <w:r>
              <w:rPr>
                <w:color w:val="auto"/>
                <w:szCs w:val="21"/>
              </w:rPr>
              <w:t>两相流泵</w:t>
            </w:r>
          </w:p>
        </w:tc>
        <w:tc>
          <w:tcPr>
            <w:tcW w:w="881" w:type="pct"/>
            <w:noWrap w:val="0"/>
            <w:vAlign w:val="center"/>
          </w:tcPr>
          <w:p w14:paraId="70B08619">
            <w:pPr>
              <w:pStyle w:val="2492"/>
              <w:ind w:firstLine="0" w:firstLineChars="0"/>
              <w:jc w:val="center"/>
              <w:rPr>
                <w:color w:val="auto"/>
                <w:szCs w:val="21"/>
              </w:rPr>
            </w:pPr>
            <w:r>
              <w:rPr>
                <w:color w:val="auto"/>
                <w:szCs w:val="21"/>
              </w:rPr>
              <w:t>台</w:t>
            </w:r>
          </w:p>
        </w:tc>
        <w:tc>
          <w:tcPr>
            <w:tcW w:w="1078" w:type="pct"/>
            <w:noWrap w:val="0"/>
            <w:vAlign w:val="center"/>
          </w:tcPr>
          <w:p w14:paraId="6858E452">
            <w:pPr>
              <w:pStyle w:val="2492"/>
              <w:ind w:firstLine="0" w:firstLineChars="0"/>
              <w:jc w:val="center"/>
              <w:rPr>
                <w:color w:val="auto"/>
                <w:szCs w:val="21"/>
                <w:lang w:val="en-US"/>
              </w:rPr>
            </w:pPr>
            <w:r>
              <w:rPr>
                <w:color w:val="auto"/>
                <w:szCs w:val="21"/>
                <w:lang w:val="en-US"/>
              </w:rPr>
              <w:t>10</w:t>
            </w:r>
          </w:p>
        </w:tc>
      </w:tr>
      <w:tr w14:paraId="48E0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69A96D46">
            <w:pPr>
              <w:pStyle w:val="2492"/>
              <w:ind w:firstLine="0" w:firstLineChars="0"/>
              <w:jc w:val="center"/>
              <w:rPr>
                <w:color w:val="auto"/>
                <w:szCs w:val="21"/>
                <w:lang w:val="en-US"/>
              </w:rPr>
            </w:pPr>
            <w:r>
              <w:rPr>
                <w:color w:val="auto"/>
                <w:szCs w:val="21"/>
                <w:lang w:val="en-US"/>
              </w:rPr>
              <w:t>2</w:t>
            </w:r>
          </w:p>
        </w:tc>
        <w:tc>
          <w:tcPr>
            <w:tcW w:w="1971" w:type="pct"/>
            <w:noWrap w:val="0"/>
            <w:vAlign w:val="center"/>
          </w:tcPr>
          <w:p w14:paraId="3AE19AE7">
            <w:pPr>
              <w:pStyle w:val="2492"/>
              <w:ind w:firstLine="0" w:firstLineChars="0"/>
              <w:jc w:val="center"/>
              <w:rPr>
                <w:color w:val="auto"/>
                <w:szCs w:val="21"/>
              </w:rPr>
            </w:pPr>
            <w:r>
              <w:rPr>
                <w:color w:val="auto"/>
                <w:szCs w:val="21"/>
              </w:rPr>
              <w:t>潜污泵</w:t>
            </w:r>
          </w:p>
        </w:tc>
        <w:tc>
          <w:tcPr>
            <w:tcW w:w="881" w:type="pct"/>
            <w:noWrap w:val="0"/>
            <w:vAlign w:val="center"/>
          </w:tcPr>
          <w:p w14:paraId="7394E279">
            <w:pPr>
              <w:pStyle w:val="2492"/>
              <w:ind w:firstLine="0" w:firstLineChars="0"/>
              <w:jc w:val="center"/>
              <w:rPr>
                <w:color w:val="auto"/>
                <w:szCs w:val="21"/>
              </w:rPr>
            </w:pPr>
            <w:r>
              <w:rPr>
                <w:color w:val="auto"/>
                <w:szCs w:val="21"/>
              </w:rPr>
              <w:t>台</w:t>
            </w:r>
          </w:p>
        </w:tc>
        <w:tc>
          <w:tcPr>
            <w:tcW w:w="1078" w:type="pct"/>
            <w:noWrap w:val="0"/>
            <w:vAlign w:val="center"/>
          </w:tcPr>
          <w:p w14:paraId="78ABCF71">
            <w:pPr>
              <w:pStyle w:val="2492"/>
              <w:ind w:firstLine="0" w:firstLineChars="0"/>
              <w:jc w:val="center"/>
              <w:rPr>
                <w:color w:val="auto"/>
                <w:szCs w:val="21"/>
                <w:lang w:val="en-US"/>
              </w:rPr>
            </w:pPr>
            <w:r>
              <w:rPr>
                <w:color w:val="auto"/>
                <w:szCs w:val="21"/>
                <w:lang w:val="en-US"/>
              </w:rPr>
              <w:t>10</w:t>
            </w:r>
          </w:p>
        </w:tc>
      </w:tr>
      <w:tr w14:paraId="3CA4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037C21C6">
            <w:pPr>
              <w:pStyle w:val="2492"/>
              <w:ind w:firstLine="0" w:firstLineChars="0"/>
              <w:jc w:val="center"/>
              <w:rPr>
                <w:color w:val="auto"/>
                <w:szCs w:val="21"/>
                <w:lang w:val="en-US"/>
              </w:rPr>
            </w:pPr>
            <w:r>
              <w:rPr>
                <w:color w:val="auto"/>
                <w:szCs w:val="21"/>
                <w:lang w:val="en-US"/>
              </w:rPr>
              <w:t>3</w:t>
            </w:r>
          </w:p>
        </w:tc>
        <w:tc>
          <w:tcPr>
            <w:tcW w:w="1971" w:type="pct"/>
            <w:noWrap w:val="0"/>
            <w:vAlign w:val="center"/>
          </w:tcPr>
          <w:p w14:paraId="3CE0E52C">
            <w:pPr>
              <w:pStyle w:val="2492"/>
              <w:ind w:firstLine="0" w:firstLineChars="0"/>
              <w:jc w:val="center"/>
              <w:rPr>
                <w:color w:val="auto"/>
                <w:szCs w:val="21"/>
                <w:lang w:val="en-US"/>
              </w:rPr>
            </w:pPr>
            <w:r>
              <w:rPr>
                <w:color w:val="auto"/>
                <w:szCs w:val="21"/>
                <w:lang w:val="en-US"/>
              </w:rPr>
              <w:t>污水处理设施（沼气池）</w:t>
            </w:r>
          </w:p>
        </w:tc>
        <w:tc>
          <w:tcPr>
            <w:tcW w:w="881" w:type="pct"/>
            <w:noWrap w:val="0"/>
            <w:vAlign w:val="center"/>
          </w:tcPr>
          <w:p w14:paraId="1A45CC97">
            <w:pPr>
              <w:pStyle w:val="2492"/>
              <w:ind w:firstLine="0" w:firstLineChars="0"/>
              <w:jc w:val="center"/>
              <w:rPr>
                <w:color w:val="auto"/>
                <w:szCs w:val="21"/>
                <w:lang w:val="en-US"/>
              </w:rPr>
            </w:pPr>
            <w:r>
              <w:rPr>
                <w:color w:val="auto"/>
                <w:szCs w:val="21"/>
                <w:lang w:val="en-US"/>
              </w:rPr>
              <w:t>套</w:t>
            </w:r>
          </w:p>
        </w:tc>
        <w:tc>
          <w:tcPr>
            <w:tcW w:w="1078" w:type="pct"/>
            <w:noWrap w:val="0"/>
            <w:vAlign w:val="center"/>
          </w:tcPr>
          <w:p w14:paraId="34AD9D2A">
            <w:pPr>
              <w:pStyle w:val="2492"/>
              <w:ind w:firstLine="0" w:firstLineChars="0"/>
              <w:jc w:val="center"/>
              <w:rPr>
                <w:color w:val="auto"/>
                <w:szCs w:val="21"/>
              </w:rPr>
            </w:pPr>
            <w:r>
              <w:rPr>
                <w:color w:val="auto"/>
                <w:szCs w:val="21"/>
                <w:lang w:val="en-US"/>
              </w:rPr>
              <w:t>5</w:t>
            </w:r>
          </w:p>
        </w:tc>
      </w:tr>
      <w:tr w14:paraId="42D4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1D15B07D">
            <w:pPr>
              <w:pStyle w:val="2492"/>
              <w:ind w:firstLine="0" w:firstLineChars="0"/>
              <w:jc w:val="center"/>
              <w:rPr>
                <w:color w:val="auto"/>
                <w:szCs w:val="21"/>
                <w:lang w:val="en-US"/>
              </w:rPr>
            </w:pPr>
            <w:r>
              <w:rPr>
                <w:color w:val="auto"/>
                <w:szCs w:val="21"/>
                <w:lang w:val="en-US"/>
              </w:rPr>
              <w:t>4</w:t>
            </w:r>
          </w:p>
        </w:tc>
        <w:tc>
          <w:tcPr>
            <w:tcW w:w="1971" w:type="pct"/>
            <w:noWrap w:val="0"/>
            <w:vAlign w:val="center"/>
          </w:tcPr>
          <w:p w14:paraId="6749DBFC">
            <w:pPr>
              <w:pStyle w:val="2492"/>
              <w:ind w:firstLine="0" w:firstLineChars="0"/>
              <w:jc w:val="center"/>
              <w:rPr>
                <w:color w:val="auto"/>
                <w:szCs w:val="21"/>
              </w:rPr>
            </w:pPr>
            <w:r>
              <w:rPr>
                <w:color w:val="auto"/>
                <w:szCs w:val="21"/>
              </w:rPr>
              <w:t>沼气净化设备</w:t>
            </w:r>
          </w:p>
        </w:tc>
        <w:tc>
          <w:tcPr>
            <w:tcW w:w="881" w:type="pct"/>
            <w:noWrap w:val="0"/>
            <w:vAlign w:val="center"/>
          </w:tcPr>
          <w:p w14:paraId="3849EEF3">
            <w:pPr>
              <w:pStyle w:val="2492"/>
              <w:ind w:firstLine="0" w:firstLineChars="0"/>
              <w:jc w:val="center"/>
              <w:rPr>
                <w:color w:val="auto"/>
                <w:szCs w:val="21"/>
              </w:rPr>
            </w:pPr>
            <w:r>
              <w:rPr>
                <w:color w:val="auto"/>
                <w:szCs w:val="21"/>
              </w:rPr>
              <w:t>个</w:t>
            </w:r>
          </w:p>
        </w:tc>
        <w:tc>
          <w:tcPr>
            <w:tcW w:w="1078" w:type="pct"/>
            <w:noWrap w:val="0"/>
            <w:vAlign w:val="center"/>
          </w:tcPr>
          <w:p w14:paraId="075348F8">
            <w:pPr>
              <w:pStyle w:val="2492"/>
              <w:ind w:firstLine="0" w:firstLineChars="0"/>
              <w:jc w:val="center"/>
              <w:rPr>
                <w:color w:val="auto"/>
                <w:szCs w:val="21"/>
              </w:rPr>
            </w:pPr>
            <w:r>
              <w:rPr>
                <w:color w:val="auto"/>
                <w:szCs w:val="21"/>
                <w:lang w:val="en-US"/>
              </w:rPr>
              <w:t>5</w:t>
            </w:r>
          </w:p>
        </w:tc>
      </w:tr>
      <w:tr w14:paraId="1D2A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22E71645">
            <w:pPr>
              <w:pStyle w:val="2492"/>
              <w:ind w:firstLine="0" w:firstLineChars="0"/>
              <w:jc w:val="center"/>
              <w:rPr>
                <w:color w:val="auto"/>
                <w:szCs w:val="21"/>
                <w:lang w:val="en-US"/>
              </w:rPr>
            </w:pPr>
            <w:r>
              <w:rPr>
                <w:color w:val="auto"/>
                <w:szCs w:val="21"/>
                <w:lang w:val="en-US"/>
              </w:rPr>
              <w:t>5</w:t>
            </w:r>
          </w:p>
        </w:tc>
        <w:tc>
          <w:tcPr>
            <w:tcW w:w="1971" w:type="pct"/>
            <w:noWrap w:val="0"/>
            <w:vAlign w:val="center"/>
          </w:tcPr>
          <w:p w14:paraId="4538EA6B">
            <w:pPr>
              <w:pStyle w:val="2492"/>
              <w:ind w:firstLine="0" w:firstLineChars="0"/>
              <w:jc w:val="center"/>
              <w:rPr>
                <w:color w:val="auto"/>
                <w:szCs w:val="21"/>
                <w:lang w:val="en-US"/>
              </w:rPr>
            </w:pPr>
            <w:r>
              <w:rPr>
                <w:color w:val="auto"/>
                <w:szCs w:val="21"/>
                <w:lang w:val="en-US"/>
              </w:rPr>
              <w:t>固液分离机</w:t>
            </w:r>
          </w:p>
        </w:tc>
        <w:tc>
          <w:tcPr>
            <w:tcW w:w="881" w:type="pct"/>
            <w:noWrap w:val="0"/>
            <w:vAlign w:val="center"/>
          </w:tcPr>
          <w:p w14:paraId="718B7107">
            <w:pPr>
              <w:pStyle w:val="2492"/>
              <w:ind w:firstLine="0" w:firstLineChars="0"/>
              <w:jc w:val="center"/>
              <w:rPr>
                <w:color w:val="auto"/>
                <w:szCs w:val="21"/>
                <w:lang w:val="en-US"/>
              </w:rPr>
            </w:pPr>
            <w:r>
              <w:rPr>
                <w:color w:val="auto"/>
                <w:szCs w:val="21"/>
                <w:lang w:val="en-US"/>
              </w:rPr>
              <w:t>台</w:t>
            </w:r>
          </w:p>
        </w:tc>
        <w:tc>
          <w:tcPr>
            <w:tcW w:w="1078" w:type="pct"/>
            <w:noWrap w:val="0"/>
            <w:vAlign w:val="center"/>
          </w:tcPr>
          <w:p w14:paraId="3AE61A7D">
            <w:pPr>
              <w:pStyle w:val="2492"/>
              <w:ind w:firstLine="0" w:firstLineChars="0"/>
              <w:jc w:val="center"/>
              <w:rPr>
                <w:color w:val="auto"/>
                <w:szCs w:val="21"/>
                <w:lang w:val="en-US"/>
              </w:rPr>
            </w:pPr>
            <w:r>
              <w:rPr>
                <w:color w:val="auto"/>
                <w:szCs w:val="21"/>
                <w:lang w:val="en-US"/>
              </w:rPr>
              <w:t>5</w:t>
            </w:r>
          </w:p>
        </w:tc>
      </w:tr>
      <w:tr w14:paraId="017B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5F9E8BC1">
            <w:pPr>
              <w:pStyle w:val="2492"/>
              <w:ind w:firstLine="0" w:firstLineChars="0"/>
              <w:jc w:val="center"/>
              <w:rPr>
                <w:color w:val="auto"/>
                <w:szCs w:val="21"/>
                <w:lang w:val="en-US"/>
              </w:rPr>
            </w:pPr>
            <w:r>
              <w:rPr>
                <w:color w:val="auto"/>
                <w:szCs w:val="21"/>
                <w:lang w:val="en-US"/>
              </w:rPr>
              <w:t>6</w:t>
            </w:r>
          </w:p>
        </w:tc>
        <w:tc>
          <w:tcPr>
            <w:tcW w:w="1971" w:type="pct"/>
            <w:noWrap w:val="0"/>
            <w:vAlign w:val="center"/>
          </w:tcPr>
          <w:p w14:paraId="3CFEB930">
            <w:pPr>
              <w:pStyle w:val="2492"/>
              <w:ind w:firstLine="0" w:firstLineChars="0"/>
              <w:jc w:val="center"/>
              <w:rPr>
                <w:color w:val="auto"/>
                <w:szCs w:val="21"/>
                <w:lang w:val="en-US"/>
              </w:rPr>
            </w:pPr>
            <w:r>
              <w:rPr>
                <w:color w:val="auto"/>
                <w:szCs w:val="21"/>
                <w:lang w:val="en-US"/>
              </w:rPr>
              <w:t>双膜气袋</w:t>
            </w:r>
          </w:p>
        </w:tc>
        <w:tc>
          <w:tcPr>
            <w:tcW w:w="881" w:type="pct"/>
            <w:noWrap w:val="0"/>
            <w:vAlign w:val="center"/>
          </w:tcPr>
          <w:p w14:paraId="6647398B">
            <w:pPr>
              <w:pStyle w:val="2492"/>
              <w:ind w:firstLine="0" w:firstLineChars="0"/>
              <w:jc w:val="center"/>
              <w:rPr>
                <w:color w:val="auto"/>
                <w:szCs w:val="21"/>
                <w:lang w:val="en-US"/>
              </w:rPr>
            </w:pPr>
            <w:r>
              <w:rPr>
                <w:color w:val="auto"/>
                <w:szCs w:val="21"/>
                <w:lang w:val="en-US"/>
              </w:rPr>
              <w:t>个</w:t>
            </w:r>
          </w:p>
        </w:tc>
        <w:tc>
          <w:tcPr>
            <w:tcW w:w="1078" w:type="pct"/>
            <w:noWrap w:val="0"/>
            <w:vAlign w:val="center"/>
          </w:tcPr>
          <w:p w14:paraId="415CDBCE">
            <w:pPr>
              <w:pStyle w:val="2492"/>
              <w:ind w:firstLine="0" w:firstLineChars="0"/>
              <w:jc w:val="center"/>
              <w:rPr>
                <w:color w:val="auto"/>
                <w:szCs w:val="21"/>
                <w:lang w:val="en-US"/>
              </w:rPr>
            </w:pPr>
            <w:r>
              <w:rPr>
                <w:color w:val="auto"/>
                <w:szCs w:val="21"/>
                <w:lang w:val="en-US"/>
              </w:rPr>
              <w:t>5</w:t>
            </w:r>
          </w:p>
        </w:tc>
      </w:tr>
      <w:tr w14:paraId="07C8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411650B8">
            <w:pPr>
              <w:pStyle w:val="2492"/>
              <w:ind w:firstLine="0" w:firstLineChars="0"/>
              <w:jc w:val="center"/>
              <w:rPr>
                <w:color w:val="auto"/>
                <w:szCs w:val="21"/>
                <w:lang w:val="en-US"/>
              </w:rPr>
            </w:pPr>
            <w:r>
              <w:rPr>
                <w:color w:val="auto"/>
                <w:szCs w:val="21"/>
                <w:lang w:val="en-US"/>
              </w:rPr>
              <w:t>7</w:t>
            </w:r>
          </w:p>
        </w:tc>
        <w:tc>
          <w:tcPr>
            <w:tcW w:w="1971" w:type="pct"/>
            <w:noWrap w:val="0"/>
            <w:vAlign w:val="center"/>
          </w:tcPr>
          <w:p w14:paraId="0F748D97">
            <w:pPr>
              <w:pStyle w:val="2492"/>
              <w:ind w:firstLine="0" w:firstLineChars="0"/>
              <w:jc w:val="center"/>
              <w:rPr>
                <w:color w:val="auto"/>
                <w:szCs w:val="21"/>
                <w:lang w:val="en-US"/>
              </w:rPr>
            </w:pPr>
            <w:r>
              <w:rPr>
                <w:color w:val="auto"/>
                <w:szCs w:val="21"/>
                <w:lang w:val="en-US"/>
              </w:rPr>
              <w:t>平流气浮</w:t>
            </w:r>
          </w:p>
        </w:tc>
        <w:tc>
          <w:tcPr>
            <w:tcW w:w="881" w:type="pct"/>
            <w:noWrap w:val="0"/>
            <w:vAlign w:val="center"/>
          </w:tcPr>
          <w:p w14:paraId="3E065ED9">
            <w:pPr>
              <w:pStyle w:val="2492"/>
              <w:ind w:firstLine="0" w:firstLineChars="0"/>
              <w:jc w:val="center"/>
              <w:rPr>
                <w:color w:val="auto"/>
                <w:szCs w:val="21"/>
                <w:lang w:val="en-US"/>
              </w:rPr>
            </w:pPr>
            <w:r>
              <w:rPr>
                <w:color w:val="auto"/>
                <w:szCs w:val="21"/>
                <w:lang w:val="en-US"/>
              </w:rPr>
              <w:t>台</w:t>
            </w:r>
          </w:p>
        </w:tc>
        <w:tc>
          <w:tcPr>
            <w:tcW w:w="1078" w:type="pct"/>
            <w:noWrap w:val="0"/>
            <w:vAlign w:val="center"/>
          </w:tcPr>
          <w:p w14:paraId="6CD4414B">
            <w:pPr>
              <w:pStyle w:val="2492"/>
              <w:ind w:firstLine="0" w:firstLineChars="0"/>
              <w:jc w:val="center"/>
              <w:rPr>
                <w:color w:val="auto"/>
                <w:szCs w:val="21"/>
                <w:lang w:val="en-US"/>
              </w:rPr>
            </w:pPr>
            <w:r>
              <w:rPr>
                <w:color w:val="auto"/>
                <w:szCs w:val="21"/>
                <w:lang w:val="en-US"/>
              </w:rPr>
              <w:t>5</w:t>
            </w:r>
          </w:p>
        </w:tc>
      </w:tr>
      <w:tr w14:paraId="7678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noWrap w:val="0"/>
            <w:vAlign w:val="center"/>
          </w:tcPr>
          <w:p w14:paraId="2BB19C38">
            <w:pPr>
              <w:pStyle w:val="2492"/>
              <w:ind w:firstLine="0" w:firstLineChars="0"/>
              <w:jc w:val="center"/>
              <w:rPr>
                <w:color w:val="auto"/>
                <w:szCs w:val="21"/>
                <w:lang w:val="en-US"/>
              </w:rPr>
            </w:pPr>
            <w:r>
              <w:rPr>
                <w:b/>
                <w:bCs/>
                <w:color w:val="auto"/>
                <w:szCs w:val="21"/>
                <w:lang w:val="en-US"/>
              </w:rPr>
              <w:t>无害化处理车间</w:t>
            </w:r>
          </w:p>
        </w:tc>
      </w:tr>
      <w:tr w14:paraId="4E7C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4940D2C8">
            <w:pPr>
              <w:pStyle w:val="2492"/>
              <w:ind w:firstLine="0" w:firstLineChars="0"/>
              <w:jc w:val="center"/>
              <w:rPr>
                <w:color w:val="auto"/>
                <w:szCs w:val="21"/>
                <w:lang w:val="en-US"/>
              </w:rPr>
            </w:pPr>
            <w:r>
              <w:rPr>
                <w:color w:val="auto"/>
                <w:szCs w:val="21"/>
                <w:lang w:val="en-US"/>
              </w:rPr>
              <w:t>1</w:t>
            </w:r>
          </w:p>
        </w:tc>
        <w:tc>
          <w:tcPr>
            <w:tcW w:w="1971" w:type="pct"/>
            <w:noWrap w:val="0"/>
            <w:vAlign w:val="center"/>
          </w:tcPr>
          <w:p w14:paraId="444718CB">
            <w:pPr>
              <w:pStyle w:val="2492"/>
              <w:ind w:firstLine="0" w:firstLineChars="0"/>
              <w:jc w:val="center"/>
              <w:rPr>
                <w:color w:val="auto"/>
                <w:szCs w:val="21"/>
              </w:rPr>
            </w:pPr>
            <w:r>
              <w:rPr>
                <w:color w:val="auto"/>
                <w:szCs w:val="21"/>
              </w:rPr>
              <w:t>无害化处理设备</w:t>
            </w:r>
          </w:p>
        </w:tc>
        <w:tc>
          <w:tcPr>
            <w:tcW w:w="881" w:type="pct"/>
            <w:noWrap w:val="0"/>
            <w:vAlign w:val="center"/>
          </w:tcPr>
          <w:p w14:paraId="21AE0073">
            <w:pPr>
              <w:jc w:val="center"/>
              <w:rPr>
                <w:szCs w:val="21"/>
              </w:rPr>
            </w:pPr>
            <w:r>
              <w:rPr>
                <w:szCs w:val="21"/>
              </w:rPr>
              <w:t>台</w:t>
            </w:r>
          </w:p>
        </w:tc>
        <w:tc>
          <w:tcPr>
            <w:tcW w:w="1078" w:type="pct"/>
            <w:noWrap w:val="0"/>
            <w:vAlign w:val="center"/>
          </w:tcPr>
          <w:p w14:paraId="11D0928E">
            <w:pPr>
              <w:widowControl/>
              <w:jc w:val="center"/>
              <w:textAlignment w:val="center"/>
              <w:rPr>
                <w:szCs w:val="21"/>
              </w:rPr>
            </w:pPr>
            <w:r>
              <w:rPr>
                <w:kern w:val="0"/>
                <w:szCs w:val="21"/>
                <w:lang w:bidi="ar"/>
              </w:rPr>
              <w:t>1</w:t>
            </w:r>
          </w:p>
        </w:tc>
      </w:tr>
      <w:tr w14:paraId="6DAF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noWrap w:val="0"/>
            <w:vAlign w:val="center"/>
          </w:tcPr>
          <w:p w14:paraId="777BDD45">
            <w:pPr>
              <w:widowControl/>
              <w:jc w:val="center"/>
              <w:textAlignment w:val="center"/>
              <w:rPr>
                <w:kern w:val="0"/>
                <w:szCs w:val="21"/>
                <w:lang w:bidi="ar"/>
              </w:rPr>
            </w:pPr>
            <w:r>
              <w:rPr>
                <w:kern w:val="0"/>
                <w:szCs w:val="21"/>
                <w:lang w:bidi="ar"/>
              </w:rPr>
              <w:t>运输工具</w:t>
            </w:r>
          </w:p>
        </w:tc>
      </w:tr>
      <w:tr w14:paraId="7A74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1DF212A1">
            <w:pPr>
              <w:pStyle w:val="2492"/>
              <w:ind w:firstLine="0" w:firstLineChars="0"/>
              <w:jc w:val="center"/>
              <w:rPr>
                <w:color w:val="auto"/>
                <w:szCs w:val="21"/>
                <w:lang w:val="en-US"/>
              </w:rPr>
            </w:pPr>
            <w:r>
              <w:rPr>
                <w:color w:val="auto"/>
                <w:szCs w:val="21"/>
                <w:lang w:val="en-US"/>
              </w:rPr>
              <w:t>1</w:t>
            </w:r>
          </w:p>
        </w:tc>
        <w:tc>
          <w:tcPr>
            <w:tcW w:w="1971" w:type="pct"/>
            <w:noWrap w:val="0"/>
            <w:vAlign w:val="top"/>
          </w:tcPr>
          <w:p w14:paraId="6DF14F70">
            <w:pPr>
              <w:pStyle w:val="2251"/>
              <w:spacing w:before="3" w:line="250" w:lineRule="exact"/>
              <w:ind w:left="515" w:right="505"/>
              <w:jc w:val="center"/>
              <w:rPr>
                <w:rFonts w:ascii="Times New Roman" w:hAnsi="Times New Roman" w:cs="Times New Roman"/>
                <w:sz w:val="21"/>
                <w:szCs w:val="21"/>
              </w:rPr>
            </w:pPr>
            <w:r>
              <w:rPr>
                <w:rFonts w:ascii="Times New Roman" w:hAnsi="Times New Roman" w:cs="Times New Roman"/>
                <w:sz w:val="21"/>
                <w:szCs w:val="21"/>
              </w:rPr>
              <w:t>运粪车</w:t>
            </w:r>
          </w:p>
        </w:tc>
        <w:tc>
          <w:tcPr>
            <w:tcW w:w="881" w:type="pct"/>
            <w:noWrap w:val="0"/>
            <w:vAlign w:val="top"/>
          </w:tcPr>
          <w:p w14:paraId="6D608B3E">
            <w:pPr>
              <w:pStyle w:val="2251"/>
              <w:spacing w:before="3" w:line="250" w:lineRule="exact"/>
              <w:ind w:left="5"/>
              <w:jc w:val="center"/>
              <w:rPr>
                <w:rFonts w:ascii="Times New Roman" w:hAnsi="Times New Roman" w:cs="Times New Roman"/>
                <w:sz w:val="21"/>
                <w:szCs w:val="21"/>
              </w:rPr>
            </w:pPr>
            <w:r>
              <w:rPr>
                <w:rFonts w:ascii="Times New Roman" w:hAnsi="Times New Roman" w:cs="Times New Roman"/>
                <w:sz w:val="21"/>
                <w:szCs w:val="21"/>
              </w:rPr>
              <w:t>辆</w:t>
            </w:r>
          </w:p>
        </w:tc>
        <w:tc>
          <w:tcPr>
            <w:tcW w:w="1078" w:type="pct"/>
            <w:noWrap w:val="0"/>
            <w:vAlign w:val="top"/>
          </w:tcPr>
          <w:p w14:paraId="5CC157DF">
            <w:pPr>
              <w:pStyle w:val="2251"/>
              <w:spacing w:before="24" w:line="229" w:lineRule="exact"/>
              <w:ind w:left="508" w:right="509"/>
              <w:jc w:val="center"/>
              <w:rPr>
                <w:rFonts w:ascii="Times New Roman" w:hAnsi="Times New Roman" w:cs="Times New Roman"/>
                <w:sz w:val="21"/>
                <w:szCs w:val="21"/>
              </w:rPr>
            </w:pPr>
            <w:r>
              <w:rPr>
                <w:rFonts w:ascii="Times New Roman" w:hAnsi="Times New Roman" w:cs="Times New Roman"/>
                <w:sz w:val="21"/>
                <w:szCs w:val="21"/>
              </w:rPr>
              <w:t>5</w:t>
            </w:r>
          </w:p>
        </w:tc>
      </w:tr>
      <w:tr w14:paraId="5B15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1F2417AF">
            <w:pPr>
              <w:pStyle w:val="2492"/>
              <w:ind w:firstLine="0" w:firstLineChars="0"/>
              <w:jc w:val="center"/>
              <w:rPr>
                <w:color w:val="auto"/>
                <w:szCs w:val="21"/>
                <w:lang w:val="en-US"/>
              </w:rPr>
            </w:pPr>
            <w:r>
              <w:rPr>
                <w:color w:val="auto"/>
                <w:szCs w:val="21"/>
                <w:lang w:val="en-US"/>
              </w:rPr>
              <w:t>2</w:t>
            </w:r>
          </w:p>
        </w:tc>
        <w:tc>
          <w:tcPr>
            <w:tcW w:w="1971" w:type="pct"/>
            <w:noWrap w:val="0"/>
            <w:vAlign w:val="top"/>
          </w:tcPr>
          <w:p w14:paraId="7EF7A314">
            <w:pPr>
              <w:pStyle w:val="2251"/>
              <w:spacing w:before="1" w:line="252" w:lineRule="exact"/>
              <w:ind w:left="515" w:right="508"/>
              <w:jc w:val="center"/>
              <w:rPr>
                <w:rFonts w:ascii="Times New Roman" w:hAnsi="Times New Roman" w:cs="Times New Roman"/>
                <w:sz w:val="21"/>
                <w:szCs w:val="21"/>
              </w:rPr>
            </w:pPr>
            <w:r>
              <w:rPr>
                <w:rFonts w:ascii="Times New Roman" w:hAnsi="Times New Roman" w:cs="Times New Roman"/>
                <w:sz w:val="21"/>
                <w:szCs w:val="21"/>
              </w:rPr>
              <w:t>辅助工器具</w:t>
            </w:r>
          </w:p>
        </w:tc>
        <w:tc>
          <w:tcPr>
            <w:tcW w:w="881" w:type="pct"/>
            <w:noWrap w:val="0"/>
            <w:vAlign w:val="top"/>
          </w:tcPr>
          <w:p w14:paraId="1D8C5A82">
            <w:pPr>
              <w:pStyle w:val="2251"/>
              <w:spacing w:before="1" w:line="252" w:lineRule="exact"/>
              <w:ind w:left="5"/>
              <w:jc w:val="center"/>
              <w:rPr>
                <w:rFonts w:ascii="Times New Roman" w:hAnsi="Times New Roman" w:cs="Times New Roman"/>
                <w:sz w:val="21"/>
                <w:szCs w:val="21"/>
              </w:rPr>
            </w:pPr>
            <w:r>
              <w:rPr>
                <w:rFonts w:ascii="Times New Roman" w:hAnsi="Times New Roman" w:cs="Times New Roman"/>
                <w:sz w:val="21"/>
                <w:szCs w:val="21"/>
              </w:rPr>
              <w:t>套</w:t>
            </w:r>
          </w:p>
        </w:tc>
        <w:tc>
          <w:tcPr>
            <w:tcW w:w="1078" w:type="pct"/>
            <w:noWrap w:val="0"/>
            <w:vAlign w:val="top"/>
          </w:tcPr>
          <w:p w14:paraId="5F368CB0">
            <w:pPr>
              <w:pStyle w:val="2251"/>
              <w:spacing w:before="24" w:line="229" w:lineRule="exact"/>
              <w:ind w:right="1"/>
              <w:jc w:val="center"/>
              <w:rPr>
                <w:rFonts w:ascii="Times New Roman" w:hAnsi="Times New Roman" w:cs="Times New Roman"/>
                <w:sz w:val="21"/>
                <w:szCs w:val="21"/>
              </w:rPr>
            </w:pPr>
            <w:r>
              <w:rPr>
                <w:rFonts w:ascii="Times New Roman" w:hAnsi="Times New Roman" w:cs="Times New Roman"/>
                <w:sz w:val="21"/>
                <w:szCs w:val="21"/>
              </w:rPr>
              <w:t>10</w:t>
            </w:r>
          </w:p>
        </w:tc>
      </w:tr>
      <w:tr w14:paraId="0F01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072341D3">
            <w:pPr>
              <w:pStyle w:val="2492"/>
              <w:ind w:firstLine="0" w:firstLineChars="0"/>
              <w:jc w:val="center"/>
              <w:rPr>
                <w:color w:val="auto"/>
                <w:szCs w:val="21"/>
                <w:lang w:val="en-US"/>
              </w:rPr>
            </w:pPr>
            <w:r>
              <w:rPr>
                <w:color w:val="auto"/>
                <w:szCs w:val="21"/>
                <w:lang w:val="en-US"/>
              </w:rPr>
              <w:t>3</w:t>
            </w:r>
          </w:p>
        </w:tc>
        <w:tc>
          <w:tcPr>
            <w:tcW w:w="1971" w:type="pct"/>
            <w:noWrap w:val="0"/>
            <w:vAlign w:val="top"/>
          </w:tcPr>
          <w:p w14:paraId="61862009">
            <w:pPr>
              <w:pStyle w:val="2251"/>
              <w:spacing w:before="1" w:line="250" w:lineRule="exact"/>
              <w:ind w:left="515" w:right="505"/>
              <w:jc w:val="center"/>
              <w:rPr>
                <w:rFonts w:ascii="Times New Roman" w:hAnsi="Times New Roman" w:cs="Times New Roman"/>
                <w:sz w:val="21"/>
                <w:szCs w:val="21"/>
              </w:rPr>
            </w:pPr>
            <w:r>
              <w:rPr>
                <w:rFonts w:ascii="Times New Roman" w:hAnsi="Times New Roman" w:cs="Times New Roman"/>
                <w:sz w:val="21"/>
                <w:szCs w:val="21"/>
              </w:rPr>
              <w:t>运输车</w:t>
            </w:r>
          </w:p>
        </w:tc>
        <w:tc>
          <w:tcPr>
            <w:tcW w:w="881" w:type="pct"/>
            <w:noWrap w:val="0"/>
            <w:vAlign w:val="top"/>
          </w:tcPr>
          <w:p w14:paraId="6A8864C7">
            <w:pPr>
              <w:pStyle w:val="2251"/>
              <w:spacing w:before="1" w:line="250" w:lineRule="exact"/>
              <w:ind w:left="5"/>
              <w:jc w:val="center"/>
              <w:rPr>
                <w:rFonts w:ascii="Times New Roman" w:hAnsi="Times New Roman" w:cs="Times New Roman"/>
                <w:sz w:val="21"/>
                <w:szCs w:val="21"/>
              </w:rPr>
            </w:pPr>
            <w:r>
              <w:rPr>
                <w:rFonts w:ascii="Times New Roman" w:hAnsi="Times New Roman" w:cs="Times New Roman"/>
                <w:sz w:val="21"/>
                <w:szCs w:val="21"/>
              </w:rPr>
              <w:t>辆</w:t>
            </w:r>
          </w:p>
        </w:tc>
        <w:tc>
          <w:tcPr>
            <w:tcW w:w="1078" w:type="pct"/>
            <w:noWrap w:val="0"/>
            <w:vAlign w:val="top"/>
          </w:tcPr>
          <w:p w14:paraId="2F9A77CC">
            <w:pPr>
              <w:pStyle w:val="2251"/>
              <w:spacing w:before="24" w:line="226" w:lineRule="exact"/>
              <w:ind w:right="1"/>
              <w:jc w:val="center"/>
              <w:rPr>
                <w:rFonts w:ascii="Times New Roman" w:hAnsi="Times New Roman" w:cs="Times New Roman"/>
                <w:sz w:val="21"/>
                <w:szCs w:val="21"/>
              </w:rPr>
            </w:pPr>
            <w:r>
              <w:rPr>
                <w:rFonts w:ascii="Times New Roman" w:hAnsi="Times New Roman" w:cs="Times New Roman"/>
                <w:sz w:val="21"/>
                <w:szCs w:val="21"/>
              </w:rPr>
              <w:t>5</w:t>
            </w:r>
          </w:p>
        </w:tc>
      </w:tr>
      <w:tr w14:paraId="7EA5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9" w:type="pct"/>
            <w:noWrap w:val="0"/>
            <w:vAlign w:val="center"/>
          </w:tcPr>
          <w:p w14:paraId="1B4839D6">
            <w:pPr>
              <w:pStyle w:val="2492"/>
              <w:ind w:firstLine="0" w:firstLineChars="0"/>
              <w:jc w:val="center"/>
              <w:rPr>
                <w:color w:val="auto"/>
                <w:szCs w:val="21"/>
                <w:lang w:val="en-US"/>
              </w:rPr>
            </w:pPr>
            <w:r>
              <w:rPr>
                <w:color w:val="auto"/>
                <w:szCs w:val="21"/>
                <w:lang w:val="en-US"/>
              </w:rPr>
              <w:t>4</w:t>
            </w:r>
          </w:p>
        </w:tc>
        <w:tc>
          <w:tcPr>
            <w:tcW w:w="1971" w:type="pct"/>
            <w:noWrap w:val="0"/>
            <w:vAlign w:val="top"/>
          </w:tcPr>
          <w:p w14:paraId="0C910998">
            <w:pPr>
              <w:pStyle w:val="2251"/>
              <w:spacing w:before="1" w:line="250" w:lineRule="exact"/>
              <w:ind w:left="515" w:right="505"/>
              <w:jc w:val="center"/>
              <w:rPr>
                <w:rFonts w:ascii="Times New Roman" w:hAnsi="Times New Roman" w:cs="Times New Roman"/>
                <w:sz w:val="21"/>
                <w:szCs w:val="21"/>
              </w:rPr>
            </w:pPr>
            <w:r>
              <w:rPr>
                <w:rFonts w:ascii="Times New Roman" w:hAnsi="Times New Roman" w:cs="Times New Roman"/>
                <w:sz w:val="21"/>
                <w:szCs w:val="21"/>
              </w:rPr>
              <w:t>10m</w:t>
            </w:r>
            <w:r>
              <w:rPr>
                <w:rFonts w:ascii="Times New Roman" w:hAnsi="Times New Roman" w:cs="Times New Roman"/>
                <w:sz w:val="21"/>
                <w:szCs w:val="21"/>
                <w:vertAlign w:val="superscript"/>
              </w:rPr>
              <w:t>3</w:t>
            </w:r>
            <w:r>
              <w:rPr>
                <w:rFonts w:ascii="Times New Roman" w:hAnsi="Times New Roman" w:cs="Times New Roman"/>
                <w:sz w:val="21"/>
                <w:szCs w:val="21"/>
              </w:rPr>
              <w:t>槽车</w:t>
            </w:r>
          </w:p>
        </w:tc>
        <w:tc>
          <w:tcPr>
            <w:tcW w:w="881" w:type="pct"/>
            <w:noWrap w:val="0"/>
            <w:vAlign w:val="top"/>
          </w:tcPr>
          <w:p w14:paraId="6D92FC88">
            <w:pPr>
              <w:pStyle w:val="2251"/>
              <w:spacing w:before="1" w:line="250" w:lineRule="exact"/>
              <w:ind w:left="5"/>
              <w:jc w:val="center"/>
              <w:rPr>
                <w:rFonts w:ascii="Times New Roman" w:hAnsi="Times New Roman" w:cs="Times New Roman"/>
                <w:sz w:val="21"/>
                <w:szCs w:val="21"/>
              </w:rPr>
            </w:pPr>
            <w:r>
              <w:rPr>
                <w:rFonts w:ascii="Times New Roman" w:hAnsi="Times New Roman" w:cs="Times New Roman"/>
                <w:sz w:val="21"/>
                <w:szCs w:val="21"/>
              </w:rPr>
              <w:t>辆</w:t>
            </w:r>
          </w:p>
        </w:tc>
        <w:tc>
          <w:tcPr>
            <w:tcW w:w="1078" w:type="pct"/>
            <w:noWrap w:val="0"/>
            <w:vAlign w:val="top"/>
          </w:tcPr>
          <w:p w14:paraId="1E560570">
            <w:pPr>
              <w:pStyle w:val="2251"/>
              <w:spacing w:before="24" w:line="226" w:lineRule="exact"/>
              <w:ind w:right="1"/>
              <w:jc w:val="center"/>
              <w:rPr>
                <w:rFonts w:ascii="Times New Roman" w:hAnsi="Times New Roman" w:cs="Times New Roman"/>
                <w:sz w:val="21"/>
                <w:szCs w:val="21"/>
              </w:rPr>
            </w:pPr>
            <w:r>
              <w:rPr>
                <w:rFonts w:ascii="Times New Roman" w:hAnsi="Times New Roman" w:cs="Times New Roman"/>
                <w:sz w:val="21"/>
                <w:szCs w:val="21"/>
              </w:rPr>
              <w:t>3</w:t>
            </w:r>
          </w:p>
        </w:tc>
      </w:tr>
    </w:tbl>
    <w:p w14:paraId="5AAF92DD">
      <w:pPr>
        <w:spacing w:line="360" w:lineRule="auto"/>
        <w:jc w:val="center"/>
        <w:rPr>
          <w:b/>
          <w:bCs/>
          <w:szCs w:val="21"/>
        </w:rPr>
      </w:pPr>
    </w:p>
    <w:p w14:paraId="31DFB9D2">
      <w:pPr>
        <w:pStyle w:val="7"/>
        <w:spacing w:before="0" w:after="0" w:line="360" w:lineRule="auto"/>
        <w:rPr>
          <w:rFonts w:ascii="Times New Roman" w:hAnsi="Times New Roman"/>
          <w:sz w:val="28"/>
          <w:szCs w:val="28"/>
        </w:rPr>
      </w:pPr>
      <w:bookmarkStart w:id="55" w:name="_Toc12955127"/>
      <w:r>
        <w:rPr>
          <w:rFonts w:ascii="Times New Roman" w:hAnsi="Times New Roman"/>
          <w:sz w:val="28"/>
          <w:szCs w:val="28"/>
        </w:rPr>
        <w:t>3.1.3公用工程</w:t>
      </w:r>
      <w:bookmarkEnd w:id="55"/>
    </w:p>
    <w:p w14:paraId="1A6F7168">
      <w:pPr>
        <w:spacing w:line="360" w:lineRule="auto"/>
        <w:ind w:firstLine="482" w:firstLineChars="200"/>
        <w:rPr>
          <w:b/>
          <w:sz w:val="24"/>
        </w:rPr>
      </w:pPr>
      <w:bookmarkStart w:id="56" w:name="_Toc12955128"/>
      <w:r>
        <w:rPr>
          <w:b/>
          <w:sz w:val="24"/>
        </w:rPr>
        <w:t>3.1.3.1给水</w:t>
      </w:r>
      <w:bookmarkEnd w:id="56"/>
      <w:r>
        <w:rPr>
          <w:b/>
          <w:sz w:val="24"/>
        </w:rPr>
        <w:t xml:space="preserve"> </w:t>
      </w:r>
    </w:p>
    <w:p w14:paraId="158B7C93">
      <w:pPr>
        <w:spacing w:line="360" w:lineRule="auto"/>
        <w:ind w:firstLine="480" w:firstLineChars="200"/>
        <w:rPr>
          <w:bCs/>
          <w:sz w:val="24"/>
        </w:rPr>
      </w:pPr>
      <w:r>
        <w:rPr>
          <w:bCs/>
          <w:sz w:val="24"/>
        </w:rPr>
        <w:t>本项目建设地点位于</w:t>
      </w:r>
      <w:r>
        <w:rPr>
          <w:snapToGrid w:val="0"/>
          <w:sz w:val="24"/>
        </w:rPr>
        <w:t>昆明市石林彝族自治县圭山镇</w:t>
      </w:r>
      <w:r>
        <w:rPr>
          <w:bCs/>
          <w:sz w:val="24"/>
        </w:rPr>
        <w:t>，生产用水和生活用水水源由周边村寨接入。</w:t>
      </w:r>
    </w:p>
    <w:p w14:paraId="544C6481">
      <w:pPr>
        <w:spacing w:line="360" w:lineRule="auto"/>
        <w:ind w:firstLine="480" w:firstLineChars="200"/>
        <w:rPr>
          <w:bCs/>
          <w:sz w:val="24"/>
        </w:rPr>
      </w:pPr>
      <w:r>
        <w:rPr>
          <w:bCs/>
          <w:sz w:val="24"/>
        </w:rPr>
        <w:t>（1）生产、生活给水系统</w:t>
      </w:r>
    </w:p>
    <w:p w14:paraId="176C7D3A">
      <w:pPr>
        <w:spacing w:line="360" w:lineRule="auto"/>
        <w:ind w:firstLine="480" w:firstLineChars="200"/>
        <w:rPr>
          <w:bCs/>
          <w:sz w:val="24"/>
        </w:rPr>
      </w:pPr>
      <w:r>
        <w:rPr>
          <w:bCs/>
          <w:sz w:val="24"/>
        </w:rPr>
        <w:t>拟建项目生产用水主要为猪只饮水、冲洗用水；办公生活用水主要员工生活用水、食堂餐饮用水的生活用水。</w:t>
      </w:r>
    </w:p>
    <w:p w14:paraId="3B3D8DFE">
      <w:pPr>
        <w:spacing w:line="360" w:lineRule="auto"/>
        <w:ind w:firstLine="480" w:firstLineChars="200"/>
        <w:rPr>
          <w:bCs/>
          <w:sz w:val="24"/>
        </w:rPr>
      </w:pPr>
      <w:r>
        <w:rPr>
          <w:bCs/>
          <w:sz w:val="24"/>
        </w:rPr>
        <w:t>生产、生活用水水源由周边村寨接入。室外生产、生活给水管道采用碳钢给水管，室内生产、生活给水管道采用镀锌钢管，供水管道布置为枝状。</w:t>
      </w:r>
    </w:p>
    <w:p w14:paraId="2D3681E7">
      <w:pPr>
        <w:spacing w:line="360" w:lineRule="auto"/>
        <w:ind w:firstLine="480" w:firstLineChars="200"/>
        <w:rPr>
          <w:bCs/>
          <w:sz w:val="24"/>
        </w:rPr>
      </w:pPr>
      <w:r>
        <w:rPr>
          <w:bCs/>
          <w:sz w:val="24"/>
        </w:rPr>
        <w:t>（2）给水消防系统</w:t>
      </w:r>
    </w:p>
    <w:p w14:paraId="6C3EE1F0">
      <w:pPr>
        <w:spacing w:line="360" w:lineRule="auto"/>
        <w:ind w:firstLine="480" w:firstLineChars="200"/>
        <w:rPr>
          <w:bCs/>
          <w:sz w:val="24"/>
        </w:rPr>
      </w:pPr>
      <w:r>
        <w:rPr>
          <w:bCs/>
          <w:sz w:val="24"/>
        </w:rPr>
        <w:t>给水消防系统采用独立给水回路系统。消防给水管道采用无缝钢管，除与设备及阀门的连接采用法兰连接外，其余均采用焊接。埋地钢管采用环氧煤沥青加强级防腐，露出地面钢管刷防腐漆防腐。</w:t>
      </w:r>
    </w:p>
    <w:p w14:paraId="6DE98213">
      <w:pPr>
        <w:spacing w:line="360" w:lineRule="auto"/>
        <w:ind w:firstLine="482" w:firstLineChars="200"/>
        <w:rPr>
          <w:bCs/>
          <w:sz w:val="24"/>
        </w:rPr>
      </w:pPr>
      <w:bookmarkStart w:id="57" w:name="_Toc12955129"/>
      <w:r>
        <w:rPr>
          <w:b/>
          <w:sz w:val="24"/>
        </w:rPr>
        <w:t>3.1.3.2排水</w:t>
      </w:r>
      <w:bookmarkEnd w:id="57"/>
      <w:r>
        <w:rPr>
          <w:bCs/>
          <w:sz w:val="24"/>
        </w:rPr>
        <w:t xml:space="preserve"> </w:t>
      </w:r>
    </w:p>
    <w:p w14:paraId="1DAFDFA6">
      <w:pPr>
        <w:spacing w:line="360" w:lineRule="auto"/>
        <w:ind w:firstLine="480" w:firstLineChars="200"/>
        <w:rPr>
          <w:bCs/>
          <w:sz w:val="24"/>
        </w:rPr>
      </w:pPr>
      <w:r>
        <w:rPr>
          <w:bCs/>
          <w:sz w:val="24"/>
        </w:rPr>
        <w:t>排水系统采用“雨污分流”的排水体制。排水系统分为办公生活污水排水系统、生产废水排水系统、消防事故排水系统。</w:t>
      </w:r>
    </w:p>
    <w:p w14:paraId="707D0EF1">
      <w:pPr>
        <w:spacing w:line="360" w:lineRule="auto"/>
        <w:ind w:firstLine="480" w:firstLineChars="200"/>
        <w:rPr>
          <w:bCs/>
          <w:sz w:val="24"/>
        </w:rPr>
      </w:pPr>
      <w:r>
        <w:rPr>
          <w:bCs/>
          <w:sz w:val="24"/>
        </w:rPr>
        <w:t>（1）生活污水、生产废水排水系统</w:t>
      </w:r>
    </w:p>
    <w:p w14:paraId="1CB7B1C8">
      <w:pPr>
        <w:spacing w:line="360" w:lineRule="auto"/>
        <w:ind w:firstLine="480" w:firstLineChars="200"/>
        <w:rPr>
          <w:bCs/>
          <w:sz w:val="24"/>
        </w:rPr>
      </w:pPr>
      <w:r>
        <w:rPr>
          <w:bCs/>
          <w:sz w:val="24"/>
        </w:rPr>
        <w:t>生产废水经收集，与化粪池预处理的办公生活污水、经隔油池预处理的食堂废水一同排入项目污水处理站，处理后沼液采用槽车运至公司自有苹果园作为农肥使用，不外排。。</w:t>
      </w:r>
    </w:p>
    <w:p w14:paraId="6B3E57C4">
      <w:pPr>
        <w:spacing w:line="360" w:lineRule="auto"/>
        <w:ind w:firstLine="480" w:firstLineChars="200"/>
        <w:rPr>
          <w:bCs/>
          <w:sz w:val="24"/>
        </w:rPr>
      </w:pPr>
      <w:r>
        <w:rPr>
          <w:bCs/>
          <w:sz w:val="24"/>
        </w:rPr>
        <w:t>（2）事故排水</w:t>
      </w:r>
    </w:p>
    <w:p w14:paraId="42ACF9BC">
      <w:pPr>
        <w:spacing w:line="360" w:lineRule="auto"/>
        <w:ind w:firstLine="480" w:firstLineChars="200"/>
        <w:rPr>
          <w:bCs/>
          <w:sz w:val="24"/>
        </w:rPr>
      </w:pPr>
      <w:r>
        <w:rPr>
          <w:bCs/>
          <w:sz w:val="24"/>
        </w:rPr>
        <w:t>养殖舍粪尿暂存于猪舍下方的粪污池内，粪污池与猪舍相同长宽，深为1.2m，在距离池底0.8m处有底窗，最大可收集0.8m深的粪尿和冲洗废水，。当污水处理系统发生故障，废水可暂存在粪污池内（因此不设置事故池），待生产正常后通过污水处理站处理后暂存在沼液储存池，回用于农灌，不外排到地表水体。</w:t>
      </w:r>
    </w:p>
    <w:p w14:paraId="2BC905F4">
      <w:pPr>
        <w:spacing w:line="360" w:lineRule="auto"/>
        <w:ind w:firstLine="482" w:firstLineChars="200"/>
        <w:rPr>
          <w:b/>
          <w:sz w:val="24"/>
        </w:rPr>
      </w:pPr>
      <w:bookmarkStart w:id="58" w:name="_Toc12955130"/>
      <w:r>
        <w:rPr>
          <w:b/>
          <w:sz w:val="24"/>
        </w:rPr>
        <w:t>3.1.3.3供电</w:t>
      </w:r>
      <w:bookmarkEnd w:id="58"/>
    </w:p>
    <w:p w14:paraId="33C2D847">
      <w:pPr>
        <w:spacing w:line="360" w:lineRule="auto"/>
        <w:ind w:firstLine="480" w:firstLineChars="200"/>
        <w:rPr>
          <w:bCs/>
          <w:sz w:val="24"/>
        </w:rPr>
      </w:pPr>
      <w:r>
        <w:rPr>
          <w:bCs/>
          <w:sz w:val="24"/>
        </w:rPr>
        <w:t>由当地电网引入220V电力线，可以满足本项目用电需求。本项目用电主要包括：生活区普通照明用电、生产区照明及简易设备用电。</w:t>
      </w:r>
    </w:p>
    <w:p w14:paraId="76F0B338">
      <w:pPr>
        <w:spacing w:line="360" w:lineRule="auto"/>
        <w:ind w:firstLine="482" w:firstLineChars="200"/>
        <w:rPr>
          <w:b/>
          <w:sz w:val="24"/>
        </w:rPr>
      </w:pPr>
      <w:bookmarkStart w:id="59" w:name="_Toc12955131"/>
      <w:r>
        <w:rPr>
          <w:b/>
          <w:sz w:val="24"/>
        </w:rPr>
        <w:t>3.1.3.4供热</w:t>
      </w:r>
      <w:bookmarkEnd w:id="59"/>
    </w:p>
    <w:p w14:paraId="17B3F5DE">
      <w:pPr>
        <w:spacing w:line="360" w:lineRule="auto"/>
        <w:ind w:firstLine="480" w:firstLineChars="200"/>
        <w:rPr>
          <w:bCs/>
          <w:sz w:val="24"/>
        </w:rPr>
      </w:pPr>
      <w:r>
        <w:rPr>
          <w:bCs/>
          <w:sz w:val="24"/>
        </w:rPr>
        <w:t>猪舍取暖主要是通过猪舍墙体保温材料与外部断绝热交换，猪舍内部通风通过全热交换器进行。</w:t>
      </w:r>
    </w:p>
    <w:bookmarkEnd w:id="46"/>
    <w:bookmarkEnd w:id="47"/>
    <w:bookmarkEnd w:id="48"/>
    <w:bookmarkEnd w:id="49"/>
    <w:bookmarkEnd w:id="50"/>
    <w:bookmarkEnd w:id="51"/>
    <w:bookmarkEnd w:id="52"/>
    <w:bookmarkEnd w:id="53"/>
    <w:bookmarkEnd w:id="54"/>
    <w:p w14:paraId="7F01C2AA">
      <w:pPr>
        <w:pStyle w:val="7"/>
        <w:spacing w:before="0" w:after="0" w:line="360" w:lineRule="auto"/>
        <w:rPr>
          <w:rFonts w:ascii="Times New Roman" w:hAnsi="Times New Roman"/>
          <w:sz w:val="28"/>
          <w:szCs w:val="28"/>
        </w:rPr>
      </w:pPr>
      <w:r>
        <w:rPr>
          <w:rFonts w:ascii="Times New Roman" w:hAnsi="Times New Roman"/>
          <w:sz w:val="28"/>
          <w:szCs w:val="28"/>
        </w:rPr>
        <w:t>3.1.4生产工艺</w:t>
      </w:r>
    </w:p>
    <w:p w14:paraId="5D39D4C4">
      <w:pPr>
        <w:snapToGrid w:val="0"/>
        <w:spacing w:line="360" w:lineRule="auto"/>
        <w:ind w:firstLine="420"/>
        <w:rPr>
          <w:b/>
          <w:sz w:val="24"/>
        </w:rPr>
      </w:pPr>
      <w:r>
        <w:rPr>
          <w:b/>
          <w:sz w:val="24"/>
        </w:rPr>
        <w:t>一、饲养工艺</w:t>
      </w:r>
    </w:p>
    <w:p w14:paraId="403714DE">
      <w:pPr>
        <w:spacing w:line="360" w:lineRule="auto"/>
        <w:ind w:firstLine="480" w:firstLineChars="200"/>
        <w:rPr>
          <w:sz w:val="24"/>
        </w:rPr>
      </w:pPr>
      <w:r>
        <w:rPr>
          <w:sz w:val="24"/>
        </w:rPr>
        <w:t>本项目采用集约化养殖方式饲养生猪，按照现代化养猪要求设计养殖工艺流程，实行流水生产工艺，本项目产品为育肥猪，项目外购引进断奶后的保育仔猪，进行短时间仔猪保育及生产育肥，全程饲养约150~180天，至育肥体重达 100kg左右，即可上市出售。猪只养殖主要工艺如下：</w:t>
      </w:r>
    </w:p>
    <w:p w14:paraId="67DFAB25">
      <w:pPr>
        <w:spacing w:line="360" w:lineRule="auto"/>
        <w:ind w:firstLine="480" w:firstLineChars="200"/>
        <w:rPr>
          <w:sz w:val="24"/>
        </w:rPr>
      </w:pPr>
      <w:bookmarkStart w:id="60" w:name="_Toc18878"/>
      <w:r>
        <w:rPr>
          <w:sz w:val="24"/>
        </w:rPr>
        <w:t>（1）仔猪保育阶段</w:t>
      </w:r>
      <w:bookmarkEnd w:id="60"/>
    </w:p>
    <w:p w14:paraId="7A4BA51F">
      <w:pPr>
        <w:spacing w:line="360" w:lineRule="auto"/>
        <w:ind w:firstLine="480" w:firstLineChars="200"/>
        <w:rPr>
          <w:sz w:val="24"/>
        </w:rPr>
      </w:pPr>
      <w:r>
        <w:rPr>
          <w:sz w:val="24"/>
        </w:rPr>
        <w:t>仔猪断奶后进入本项目保育阶段。进猪前将仔猪按体重大小、性别、强弱分群，每群大小应视圈舍大小而定，一般为10～20头。保育的适宜温度和相对湿度控制在20℃～22℃和65％～70％，并注意良好的通风换气，保持圈舍清洁、干燥，饮水充足。进入保育舍的幼猪，7～10日内应保持原来的乳猪饲料，并严格控制采食量，由自由采食改为日喂4~5餐，投料量为自由采食的70％。以后逐渐过渡到仔猪料。保育阶段应安排驱虫、防疫注射工作，保育时间约40天。</w:t>
      </w:r>
    </w:p>
    <w:p w14:paraId="4C088639">
      <w:pPr>
        <w:spacing w:line="360" w:lineRule="auto"/>
        <w:ind w:firstLine="480" w:firstLineChars="200"/>
        <w:rPr>
          <w:sz w:val="24"/>
        </w:rPr>
      </w:pPr>
      <w:bookmarkStart w:id="61" w:name="_Toc22876"/>
      <w:r>
        <w:rPr>
          <w:sz w:val="24"/>
        </w:rPr>
        <w:t>（2）生长育肥阶段</w:t>
      </w:r>
      <w:bookmarkEnd w:id="61"/>
    </w:p>
    <w:p w14:paraId="6F84474C">
      <w:pPr>
        <w:spacing w:line="360" w:lineRule="auto"/>
        <w:ind w:firstLine="480" w:firstLineChars="200"/>
        <w:rPr>
          <w:sz w:val="24"/>
        </w:rPr>
      </w:pPr>
      <w:r>
        <w:rPr>
          <w:sz w:val="24"/>
        </w:rPr>
        <w:t>保育40天后，按育肥猪饲养。育肥养殖100d后成长为大猪，该部分大猪体重约120-150kg，为成品猪，经检疫合格后可出厂售卖。</w:t>
      </w:r>
    </w:p>
    <w:p w14:paraId="4FA5BAB2">
      <w:pPr>
        <w:spacing w:line="360" w:lineRule="auto"/>
        <w:ind w:firstLine="480" w:firstLineChars="200"/>
        <w:rPr>
          <w:sz w:val="24"/>
        </w:rPr>
      </w:pPr>
      <w:r>
        <w:rPr>
          <w:sz w:val="24"/>
        </w:rPr>
        <w:t>每月要定期称重，以检查饲喂效果。经常检查猪群的采食、发育等情况，及时调整饲料配方，发现疫病及时报告，采取有效措施进行治疗和处理。</w:t>
      </w:r>
    </w:p>
    <w:p w14:paraId="5DDBF126">
      <w:pPr>
        <w:spacing w:line="360" w:lineRule="auto"/>
        <w:ind w:firstLine="480" w:firstLineChars="200"/>
        <w:rPr>
          <w:sz w:val="24"/>
        </w:rPr>
      </w:pPr>
      <w:r>
        <w:rPr>
          <w:sz w:val="24"/>
          <w:lang/>
        </w:rPr>
        <mc:AlternateContent>
          <mc:Choice Requires="wpc">
            <w:drawing>
              <wp:anchor distT="0" distB="0" distL="114300" distR="114300" simplePos="0" relativeHeight="251766784" behindDoc="0" locked="0" layoutInCell="1" allowOverlap="1">
                <wp:simplePos x="0" y="0"/>
                <wp:positionH relativeFrom="column">
                  <wp:posOffset>-262255</wp:posOffset>
                </wp:positionH>
                <wp:positionV relativeFrom="paragraph">
                  <wp:posOffset>224155</wp:posOffset>
                </wp:positionV>
                <wp:extent cx="5398135" cy="4263390"/>
                <wp:effectExtent l="0" t="0" r="0" b="0"/>
                <wp:wrapTopAndBottom/>
                <wp:docPr id="13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a:noFill/>
                        </a:ln>
                      </wpc:whole>
                      <wps:wsp>
                        <wps:cNvPr id="106" name="文本框 40"/>
                        <wps:cNvSpPr txBox="1"/>
                        <wps:spPr>
                          <a:xfrm>
                            <a:off x="1714712090" y="1522528705"/>
                            <a:ext cx="1599257660" cy="170180635"/>
                          </a:xfrm>
                          <a:prstGeom prst="rect">
                            <a:avLst/>
                          </a:prstGeom>
                          <a:noFill/>
                          <a:ln w="9525">
                            <a:noFill/>
                          </a:ln>
                          <a:effectLst/>
                        </wps:spPr>
                        <wps:txbx>
                          <w:txbxContent>
                            <w:p w14:paraId="26CC7775">
                              <w:pPr>
                                <w:jc w:val="center"/>
                                <w:rPr>
                                  <w:szCs w:val="21"/>
                                </w:rPr>
                              </w:pPr>
                              <w:r>
                                <w:rPr>
                                  <w:rFonts w:hint="eastAsia" w:cs="宋体"/>
                                  <w:szCs w:val="21"/>
                                </w:rPr>
                                <w:t>恶臭、废水、猪粪、病死猪尸、医疗废物</w:t>
                              </w:r>
                            </w:p>
                          </w:txbxContent>
                        </wps:txbx>
                        <wps:bodyPr vert="horz" wrap="square" anchor="t" upright="1"/>
                      </wps:wsp>
                      <wps:wsp>
                        <wps:cNvPr id="107" name="Text Box 126"/>
                        <wps:cNvSpPr txBox="1"/>
                        <wps:spPr>
                          <a:xfrm>
                            <a:off x="-433705" y="-842010"/>
                            <a:ext cx="190500" cy="0"/>
                          </a:xfrm>
                          <a:prstGeom prst="rect">
                            <a:avLst/>
                          </a:prstGeom>
                          <a:noFill/>
                          <a:ln w="9525">
                            <a:noFill/>
                          </a:ln>
                          <a:effectLst/>
                        </wps:spPr>
                        <wps:txbx>
                          <w:txbxContent>
                            <w:p w14:paraId="223A342C">
                              <w:pPr>
                                <w:jc w:val="center"/>
                                <w:rPr>
                                  <w:szCs w:val="21"/>
                                </w:rPr>
                              </w:pPr>
                              <w:r>
                                <w:rPr>
                                  <w:rFonts w:hint="eastAsia" w:cs="宋体"/>
                                  <w:szCs w:val="21"/>
                                </w:rPr>
                                <w:t>恶臭、废水、猪粪、病死猪尸、医疗废物</w:t>
                              </w:r>
                            </w:p>
                          </w:txbxContent>
                        </wps:txbx>
                        <wps:bodyPr vert="horz" wrap="square" anchor="t" upright="1"/>
                      </wps:wsp>
                      <wps:wsp>
                        <wps:cNvPr id="108" name="文本框 4"/>
                        <wps:cNvSpPr txBox="1"/>
                        <wps:spPr>
                          <a:xfrm>
                            <a:off x="2522855" y="59690"/>
                            <a:ext cx="168021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30D189">
                              <w:pPr>
                                <w:jc w:val="center"/>
                                <w:rPr>
                                  <w:szCs w:val="21"/>
                                </w:rPr>
                              </w:pPr>
                              <w:r>
                                <w:rPr>
                                  <w:rFonts w:hint="eastAsia" w:cs="宋体"/>
                                  <w:szCs w:val="21"/>
                                </w:rPr>
                                <w:t>猪舍冲洗、消毒</w:t>
                              </w:r>
                            </w:p>
                          </w:txbxContent>
                        </wps:txbx>
                        <wps:bodyPr vert="horz" wrap="square" anchor="t" anchorCtr="0" upright="1"/>
                      </wps:wsp>
                      <wps:wsp>
                        <wps:cNvPr id="109" name="文本框 5"/>
                        <wps:cNvSpPr txBox="1"/>
                        <wps:spPr>
                          <a:xfrm>
                            <a:off x="2946400" y="964565"/>
                            <a:ext cx="833755"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F69C63">
                              <w:pPr>
                                <w:jc w:val="center"/>
                                <w:rPr>
                                  <w:szCs w:val="21"/>
                                </w:rPr>
                              </w:pPr>
                              <w:r>
                                <w:rPr>
                                  <w:rFonts w:hint="eastAsia" w:cs="宋体"/>
                                  <w:szCs w:val="21"/>
                                </w:rPr>
                                <w:t>接猪</w:t>
                              </w:r>
                            </w:p>
                          </w:txbxContent>
                        </wps:txbx>
                        <wps:bodyPr vert="horz" wrap="square" anchor="t" anchorCtr="0" upright="1"/>
                      </wps:wsp>
                      <wps:wsp>
                        <wps:cNvPr id="110" name="自选图形 8"/>
                        <wps:cNvSpPr/>
                        <wps:spPr>
                          <a:xfrm>
                            <a:off x="3364230" y="351155"/>
                            <a:ext cx="1270" cy="613410"/>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s:wsp>
                        <wps:cNvPr id="111" name="自选图形 11"/>
                        <wps:cNvSpPr/>
                        <wps:spPr>
                          <a:xfrm>
                            <a:off x="3362960" y="1257300"/>
                            <a:ext cx="1270" cy="624205"/>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s:wsp>
                        <wps:cNvPr id="112" name="文本框 12"/>
                        <wps:cNvSpPr txBox="1"/>
                        <wps:spPr>
                          <a:xfrm>
                            <a:off x="2946400" y="1881505"/>
                            <a:ext cx="833755"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C9B82F">
                              <w:pPr>
                                <w:jc w:val="center"/>
                                <w:rPr>
                                  <w:szCs w:val="21"/>
                                </w:rPr>
                              </w:pPr>
                              <w:r>
                                <w:rPr>
                                  <w:rFonts w:hint="eastAsia" w:cs="宋体"/>
                                  <w:szCs w:val="21"/>
                                </w:rPr>
                                <w:t>保育40天</w:t>
                              </w:r>
                            </w:p>
                          </w:txbxContent>
                        </wps:txbx>
                        <wps:bodyPr vert="horz" wrap="square" anchor="t" anchorCtr="0" upright="1"/>
                      </wps:wsp>
                      <wps:wsp>
                        <wps:cNvPr id="113" name="自选图形 26"/>
                        <wps:cNvSpPr/>
                        <wps:spPr>
                          <a:xfrm>
                            <a:off x="2361565" y="2028190"/>
                            <a:ext cx="584835" cy="635"/>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s:wsp>
                        <wps:cNvPr id="114" name="文本框 27"/>
                        <wps:cNvSpPr txBox="1"/>
                        <wps:spPr>
                          <a:xfrm>
                            <a:off x="755650" y="1881505"/>
                            <a:ext cx="1680845" cy="292735"/>
                          </a:xfrm>
                          <a:prstGeom prst="rect">
                            <a:avLst/>
                          </a:prstGeom>
                          <a:noFill/>
                          <a:ln>
                            <a:noFill/>
                          </a:ln>
                        </wps:spPr>
                        <wps:txbx>
                          <w:txbxContent>
                            <w:p w14:paraId="576EB165">
                              <w:pPr>
                                <w:jc w:val="center"/>
                                <w:rPr>
                                  <w:szCs w:val="21"/>
                                </w:rPr>
                              </w:pPr>
                              <w:r>
                                <w:rPr>
                                  <w:rFonts w:hint="eastAsia" w:cs="宋体"/>
                                  <w:szCs w:val="21"/>
                                </w:rPr>
                                <w:t>防疫、水、饲料</w:t>
                              </w:r>
                            </w:p>
                          </w:txbxContent>
                        </wps:txbx>
                        <wps:bodyPr vert="horz" wrap="square" anchor="t" anchorCtr="0" upright="1"/>
                      </wps:wsp>
                      <wps:wsp>
                        <wps:cNvPr id="115" name="自选图形 33"/>
                        <wps:cNvSpPr/>
                        <wps:spPr>
                          <a:xfrm>
                            <a:off x="4203065" y="205105"/>
                            <a:ext cx="485775" cy="0"/>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16" name="文本框 34"/>
                        <wps:cNvSpPr txBox="1"/>
                        <wps:spPr>
                          <a:xfrm>
                            <a:off x="4688840" y="59690"/>
                            <a:ext cx="709295" cy="292735"/>
                          </a:xfrm>
                          <a:prstGeom prst="rect">
                            <a:avLst/>
                          </a:prstGeom>
                          <a:noFill/>
                          <a:ln>
                            <a:noFill/>
                          </a:ln>
                        </wps:spPr>
                        <wps:txbx>
                          <w:txbxContent>
                            <w:p w14:paraId="5B14D713">
                              <w:pPr>
                                <w:jc w:val="center"/>
                                <w:rPr>
                                  <w:szCs w:val="21"/>
                                </w:rPr>
                              </w:pPr>
                              <w:r>
                                <w:rPr>
                                  <w:rFonts w:hint="eastAsia" w:cs="宋体"/>
                                  <w:szCs w:val="21"/>
                                </w:rPr>
                                <w:t>废水</w:t>
                              </w:r>
                            </w:p>
                          </w:txbxContent>
                        </wps:txbx>
                        <wps:bodyPr vert="horz" wrap="square" anchor="t" anchorCtr="0" upright="1"/>
                      </wps:wsp>
                      <wps:wsp>
                        <wps:cNvPr id="117" name="自选图形 35"/>
                        <wps:cNvSpPr/>
                        <wps:spPr>
                          <a:xfrm flipV="1">
                            <a:off x="3599815" y="694055"/>
                            <a:ext cx="635" cy="270510"/>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18" name="文本框 36"/>
                        <wps:cNvSpPr txBox="1"/>
                        <wps:spPr>
                          <a:xfrm>
                            <a:off x="3239770" y="401320"/>
                            <a:ext cx="709295" cy="292735"/>
                          </a:xfrm>
                          <a:prstGeom prst="rect">
                            <a:avLst/>
                          </a:prstGeom>
                          <a:noFill/>
                          <a:ln>
                            <a:noFill/>
                          </a:ln>
                        </wps:spPr>
                        <wps:txbx>
                          <w:txbxContent>
                            <w:p w14:paraId="3E6A7C45">
                              <w:pPr>
                                <w:jc w:val="center"/>
                                <w:rPr>
                                  <w:szCs w:val="21"/>
                                </w:rPr>
                              </w:pPr>
                              <w:r>
                                <w:rPr>
                                  <w:rFonts w:hint="eastAsia" w:cs="宋体"/>
                                  <w:szCs w:val="21"/>
                                </w:rPr>
                                <w:t>噪声</w:t>
                              </w:r>
                            </w:p>
                          </w:txbxContent>
                        </wps:txbx>
                        <wps:bodyPr vert="horz" wrap="square" anchor="t" anchorCtr="0" upright="1"/>
                      </wps:wsp>
                      <wps:wsp>
                        <wps:cNvPr id="119" name="自选图形 37"/>
                        <wps:cNvSpPr/>
                        <wps:spPr>
                          <a:xfrm flipV="1">
                            <a:off x="3667125" y="1610995"/>
                            <a:ext cx="635" cy="270510"/>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20" name="文本框 38"/>
                        <wps:cNvSpPr txBox="1"/>
                        <wps:spPr>
                          <a:xfrm>
                            <a:off x="3364230" y="1318260"/>
                            <a:ext cx="709295" cy="292735"/>
                          </a:xfrm>
                          <a:prstGeom prst="rect">
                            <a:avLst/>
                          </a:prstGeom>
                          <a:noFill/>
                          <a:ln>
                            <a:noFill/>
                          </a:ln>
                        </wps:spPr>
                        <wps:txbx>
                          <w:txbxContent>
                            <w:p w14:paraId="7376CA3C">
                              <w:pPr>
                                <w:jc w:val="center"/>
                                <w:rPr>
                                  <w:szCs w:val="21"/>
                                </w:rPr>
                              </w:pPr>
                              <w:r>
                                <w:rPr>
                                  <w:rFonts w:hint="eastAsia" w:cs="宋体"/>
                                  <w:szCs w:val="21"/>
                                </w:rPr>
                                <w:t>噪声</w:t>
                              </w:r>
                            </w:p>
                          </w:txbxContent>
                        </wps:txbx>
                        <wps:bodyPr vert="horz" wrap="square" anchor="t" anchorCtr="0" upright="1"/>
                      </wps:wsp>
                      <wps:wsp>
                        <wps:cNvPr id="121" name="自选图形 39"/>
                        <wps:cNvSpPr/>
                        <wps:spPr>
                          <a:xfrm>
                            <a:off x="3642995" y="2173605"/>
                            <a:ext cx="635" cy="351155"/>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22" name="文本框 32"/>
                        <wps:cNvSpPr txBox="1"/>
                        <wps:spPr>
                          <a:xfrm>
                            <a:off x="893445" y="59690"/>
                            <a:ext cx="1082040" cy="292735"/>
                          </a:xfrm>
                          <a:prstGeom prst="rect">
                            <a:avLst/>
                          </a:prstGeom>
                          <a:noFill/>
                          <a:ln>
                            <a:noFill/>
                          </a:ln>
                        </wps:spPr>
                        <wps:txbx>
                          <w:txbxContent>
                            <w:p w14:paraId="5455781B">
                              <w:pPr>
                                <w:jc w:val="center"/>
                                <w:rPr>
                                  <w:szCs w:val="21"/>
                                </w:rPr>
                              </w:pPr>
                              <w:r>
                                <w:rPr>
                                  <w:rFonts w:hint="eastAsia" w:cs="宋体"/>
                                  <w:szCs w:val="21"/>
                                </w:rPr>
                                <w:t>水、消毒剂</w:t>
                              </w:r>
                            </w:p>
                          </w:txbxContent>
                        </wps:txbx>
                        <wps:bodyPr vert="horz" wrap="square" anchor="t" anchorCtr="0" upright="1"/>
                      </wps:wsp>
                      <wps:wsp>
                        <wps:cNvPr id="123" name="自选图形 7"/>
                        <wps:cNvSpPr/>
                        <wps:spPr>
                          <a:xfrm>
                            <a:off x="2006600" y="189865"/>
                            <a:ext cx="516255" cy="0"/>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s:wsp>
                        <wps:cNvPr id="124" name="文本框 22"/>
                        <wps:cNvSpPr txBox="1"/>
                        <wps:spPr>
                          <a:xfrm>
                            <a:off x="2961640" y="3164840"/>
                            <a:ext cx="833120"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94334E">
                              <w:pPr>
                                <w:jc w:val="center"/>
                                <w:rPr>
                                  <w:szCs w:val="21"/>
                                </w:rPr>
                              </w:pPr>
                              <w:r>
                                <w:rPr>
                                  <w:rFonts w:hint="eastAsia" w:cs="宋体"/>
                                  <w:szCs w:val="21"/>
                                </w:rPr>
                                <w:t>育肥100天</w:t>
                              </w:r>
                            </w:p>
                          </w:txbxContent>
                        </wps:txbx>
                        <wps:bodyPr vert="horz" wrap="square" anchor="t" anchorCtr="0" upright="1"/>
                      </wps:wsp>
                      <wps:wsp>
                        <wps:cNvPr id="125" name="自选图形 28"/>
                        <wps:cNvSpPr/>
                        <wps:spPr>
                          <a:xfrm>
                            <a:off x="2383790" y="3341370"/>
                            <a:ext cx="584835" cy="635"/>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s:wsp>
                        <wps:cNvPr id="126" name="文本框 29"/>
                        <wps:cNvSpPr txBox="1"/>
                        <wps:spPr>
                          <a:xfrm>
                            <a:off x="1492885" y="3218815"/>
                            <a:ext cx="1056640" cy="332740"/>
                          </a:xfrm>
                          <a:prstGeom prst="rect">
                            <a:avLst/>
                          </a:prstGeom>
                          <a:noFill/>
                          <a:ln>
                            <a:noFill/>
                          </a:ln>
                        </wps:spPr>
                        <wps:txbx>
                          <w:txbxContent>
                            <w:p w14:paraId="4413AE0F">
                              <w:pPr>
                                <w:rPr>
                                  <w:szCs w:val="21"/>
                                </w:rPr>
                              </w:pPr>
                              <w:r>
                                <w:rPr>
                                  <w:rFonts w:hint="eastAsia" w:cs="宋体"/>
                                  <w:szCs w:val="21"/>
                                </w:rPr>
                                <w:t>防疫、水饲料</w:t>
                              </w:r>
                            </w:p>
                          </w:txbxContent>
                        </wps:txbx>
                        <wps:bodyPr vert="horz" wrap="square" anchor="t" anchorCtr="0" upright="1"/>
                      </wps:wsp>
                      <wps:wsp>
                        <wps:cNvPr id="127" name="文本框 52"/>
                        <wps:cNvSpPr txBox="1"/>
                        <wps:spPr>
                          <a:xfrm>
                            <a:off x="1640205" y="3970655"/>
                            <a:ext cx="709295" cy="292735"/>
                          </a:xfrm>
                          <a:prstGeom prst="rect">
                            <a:avLst/>
                          </a:prstGeom>
                          <a:noFill/>
                          <a:ln>
                            <a:noFill/>
                          </a:ln>
                        </wps:spPr>
                        <wps:txbx>
                          <w:txbxContent>
                            <w:p w14:paraId="53D914C2">
                              <w:pPr>
                                <w:jc w:val="center"/>
                                <w:rPr>
                                  <w:szCs w:val="21"/>
                                </w:rPr>
                              </w:pPr>
                              <w:r>
                                <w:rPr>
                                  <w:rFonts w:hint="eastAsia" w:cs="宋体"/>
                                  <w:szCs w:val="21"/>
                                </w:rPr>
                                <w:t>噪声</w:t>
                              </w:r>
                            </w:p>
                          </w:txbxContent>
                        </wps:txbx>
                        <wps:bodyPr vert="horz" wrap="square" anchor="t" anchorCtr="0" upright="1"/>
                      </wps:wsp>
                      <wps:wsp>
                        <wps:cNvPr id="128" name="文本框 25"/>
                        <wps:cNvSpPr txBox="1"/>
                        <wps:spPr>
                          <a:xfrm>
                            <a:off x="2701290" y="3921760"/>
                            <a:ext cx="1279525"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9E2BA4">
                              <w:pPr>
                                <w:jc w:val="center"/>
                                <w:rPr>
                                  <w:szCs w:val="21"/>
                                </w:rPr>
                              </w:pPr>
                              <w:r>
                                <w:rPr>
                                  <w:rFonts w:hint="eastAsia" w:cs="宋体"/>
                                  <w:szCs w:val="21"/>
                                </w:rPr>
                                <w:t>育肥猪出栏</w:t>
                              </w:r>
                            </w:p>
                          </w:txbxContent>
                        </wps:txbx>
                        <wps:bodyPr vert="horz" wrap="square" anchor="t" anchorCtr="0" upright="1"/>
                      </wps:wsp>
                      <wps:wsp>
                        <wps:cNvPr id="129" name="自选图形 43"/>
                        <wps:cNvSpPr/>
                        <wps:spPr>
                          <a:xfrm flipH="1">
                            <a:off x="2254885" y="4057015"/>
                            <a:ext cx="442595" cy="635"/>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30" name="文本框 40"/>
                        <wps:cNvSpPr txBox="1"/>
                        <wps:spPr>
                          <a:xfrm>
                            <a:off x="3105785" y="2716530"/>
                            <a:ext cx="2277110" cy="507365"/>
                          </a:xfrm>
                          <a:prstGeom prst="rect">
                            <a:avLst/>
                          </a:prstGeom>
                          <a:noFill/>
                          <a:ln>
                            <a:noFill/>
                          </a:ln>
                        </wps:spPr>
                        <wps:txbx>
                          <w:txbxContent>
                            <w:p w14:paraId="0EFC17D3">
                              <w:pPr>
                                <w:jc w:val="center"/>
                                <w:rPr>
                                  <w:rFonts w:cs="宋体"/>
                                  <w:szCs w:val="21"/>
                                </w:rPr>
                              </w:pPr>
                              <w:r>
                                <w:rPr>
                                  <w:rFonts w:hint="eastAsia" w:cs="宋体"/>
                                  <w:szCs w:val="21"/>
                                </w:rPr>
                                <w:t>恶臭、废水、猪粪</w:t>
                              </w:r>
                            </w:p>
                            <w:p w14:paraId="603D6152">
                              <w:pPr>
                                <w:jc w:val="center"/>
                                <w:rPr>
                                  <w:szCs w:val="21"/>
                                </w:rPr>
                              </w:pPr>
                              <w:r>
                                <w:rPr>
                                  <w:rFonts w:hint="eastAsia" w:cs="宋体"/>
                                  <w:szCs w:val="21"/>
                                </w:rPr>
                                <w:t>病死猪尸、医疗废物</w:t>
                              </w:r>
                            </w:p>
                          </w:txbxContent>
                        </wps:txbx>
                        <wps:bodyPr vert="horz" wrap="square" anchor="t" anchorCtr="0" upright="1"/>
                      </wps:wsp>
                      <wps:wsp>
                        <wps:cNvPr id="131" name="自选图形 37"/>
                        <wps:cNvSpPr/>
                        <wps:spPr>
                          <a:xfrm flipV="1">
                            <a:off x="3715385" y="3090545"/>
                            <a:ext cx="178435" cy="223520"/>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32" name="文本框 52"/>
                        <wps:cNvSpPr txBox="1"/>
                        <wps:spPr>
                          <a:xfrm>
                            <a:off x="4270375" y="3242310"/>
                            <a:ext cx="697230" cy="290830"/>
                          </a:xfrm>
                          <a:prstGeom prst="rect">
                            <a:avLst/>
                          </a:prstGeom>
                          <a:noFill/>
                          <a:ln>
                            <a:noFill/>
                          </a:ln>
                        </wps:spPr>
                        <wps:txbx>
                          <w:txbxContent>
                            <w:p w14:paraId="7CA8AF48">
                              <w:pPr>
                                <w:jc w:val="center"/>
                                <w:rPr>
                                  <w:szCs w:val="21"/>
                                </w:rPr>
                              </w:pPr>
                              <w:r>
                                <w:rPr>
                                  <w:rFonts w:hint="eastAsia" w:cs="宋体"/>
                                  <w:szCs w:val="21"/>
                                </w:rPr>
                                <w:t>噪声</w:t>
                              </w:r>
                            </w:p>
                          </w:txbxContent>
                        </wps:txbx>
                        <wps:bodyPr vert="horz" wrap="square" anchor="t" anchorCtr="0" upright="1"/>
                      </wps:wsp>
                      <wps:wsp>
                        <wps:cNvPr id="133" name="自选图形 43"/>
                        <wps:cNvSpPr/>
                        <wps:spPr>
                          <a:xfrm>
                            <a:off x="3827780" y="3353435"/>
                            <a:ext cx="497840" cy="635"/>
                          </a:xfrm>
                          <a:prstGeom prst="straightConnector1">
                            <a:avLst/>
                          </a:prstGeom>
                          <a:ln w="9525" cap="flat" cmpd="sng">
                            <a:solidFill>
                              <a:srgbClr val="000000"/>
                            </a:solidFill>
                            <a:prstDash val="dash"/>
                            <a:headEnd type="none" w="med" len="med"/>
                            <a:tailEnd type="triangle" w="med" len="med"/>
                          </a:ln>
                        </wps:spPr>
                        <wps:bodyPr vert="horz" wrap="square" anchor="t" anchorCtr="0" upright="1"/>
                      </wps:wsp>
                      <wps:wsp>
                        <wps:cNvPr id="134" name="自选图形 11"/>
                        <wps:cNvSpPr/>
                        <wps:spPr>
                          <a:xfrm>
                            <a:off x="3382010" y="2179955"/>
                            <a:ext cx="7620" cy="982980"/>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s:wsp>
                        <wps:cNvPr id="135" name="自选图形 11"/>
                        <wps:cNvSpPr/>
                        <wps:spPr>
                          <a:xfrm>
                            <a:off x="3418205" y="3459480"/>
                            <a:ext cx="5715" cy="431165"/>
                          </a:xfrm>
                          <a:prstGeom prst="straightConnector1">
                            <a:avLst/>
                          </a:prstGeom>
                          <a:ln w="9525" cap="flat" cmpd="sng">
                            <a:solidFill>
                              <a:srgbClr val="000000"/>
                            </a:solidFill>
                            <a:prstDash val="solid"/>
                            <a:headEnd type="none" w="med" len="med"/>
                            <a:tailEnd type="triangle" w="med" len="med"/>
                          </a:ln>
                        </wps:spPr>
                        <wps:bodyPr vert="horz" wrap="square" anchor="t" anchorCtr="0" upright="1"/>
                      </wps:wsp>
                    </wpc:wpc>
                  </a:graphicData>
                </a:graphic>
              </wp:anchor>
            </w:drawing>
          </mc:Choice>
          <mc:Fallback>
            <w:pict>
              <v:group id="画布 2" o:spid="_x0000_s1026" o:spt="203" style="position:absolute;left:0pt;margin-left:-20.65pt;margin-top:17.65pt;height:335.7pt;width:425.05pt;mso-wrap-distance-bottom:0pt;mso-wrap-distance-top:0pt;z-index:251766784;mso-width-relative:page;mso-height-relative:page;" coordsize="5398135,4263390" editas="canvas" o:gfxdata="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BTjA2h2gAAAAoBAAAPAAAAAAAAAAEAIAAAACIAAABkcnMvZG93bnJldi54bWxQSwECFAAU&#10;AAAACACHTuJARQZoyrkHAACrQwAADgAAAAAAAAABACAAAAApAQAAZHJzL2Uyb0RvYy54bWxQSwUG&#10;AAAAAAYABgBZAQAAVAsAAAAA&#10;">
                <o:lock v:ext="edit" aspectratio="f"/>
                <v:rect id="画布 2" o:spid="_x0000_s1026" o:spt="1" style="position:absolute;left:0;top:0;height:4263390;width:5398135;" filled="f" stroked="f" coordsize="21600,21600" o:gfxdata="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">
                  <v:fill on="f" focussize="0,0"/>
                  <v:stroke on="f" weight="1pt"/>
                  <v:imagedata o:title=""/>
                  <o:lock v:ext="edit" aspectratio="t"/>
                </v:rect>
                <v:shape id="文本框 40" o:spid="_x0000_s1026" o:spt="202" type="#_x0000_t202" style="position:absolute;left:1714712090;top:1522528705;height:170180635;width:0;" filled="f" stroked="f" coordsize="21600,21600" o:gfxdata="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NEiMjX&#10;AAAACgEAAA8AAAAAAAAAAQAgAAAAIgAAAGRycy9kb3ducmV2LnhtbFBLAQIUABQAAAAIAIdO4kD2&#10;9QBW6AEAAKUDAAAOAAAAAAAAAAEAIAAAACYBAABkcnMvZTJvRG9jLnhtbFBLBQYAAAAABgAGAFkB&#10;AACABQAAAAA=&#10;">
                  <v:fill on="f" focussize="0,0"/>
                  <v:stroke on="f"/>
                  <v:imagedata o:title=""/>
                  <o:lock v:ext="edit" aspectratio="f"/>
                  <v:textbox>
                    <w:txbxContent>
                      <w:p w14:paraId="26CC7775">
                        <w:pPr>
                          <w:jc w:val="center"/>
                          <w:rPr>
                            <w:szCs w:val="21"/>
                          </w:rPr>
                        </w:pPr>
                        <w:r>
                          <w:rPr>
                            <w:rFonts w:hint="eastAsia" w:cs="宋体"/>
                            <w:szCs w:val="21"/>
                          </w:rPr>
                          <w:t>恶臭、废水、猪粪、病死猪尸、医疗废物</w:t>
                        </w:r>
                      </w:p>
                    </w:txbxContent>
                  </v:textbox>
                </v:shape>
                <v:shape id="Text Box 126" o:spid="_x0000_s1026" o:spt="202" type="#_x0000_t202" style="position:absolute;left:-433705;top:-842010;height:0;width:190500;" filled="f" stroked="f" coordsize="21600,21600" o:gfxdata="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0SIyNcAAAAKAQAADwAAAAAAAAABACAAAAAiAAAAZHJz&#10;L2Rvd25yZXYueG1sUEsBAhQAFAAAAAgAh07iQJKr0vnMAQAAkwMAAA4AAAAAAAAAAQAgAAAAJgEA&#10;AGRycy9lMm9Eb2MueG1sUEsFBgAAAAAGAAYAWQEAAGQFAAAAAA==&#10;">
                  <v:fill on="f" focussize="0,0"/>
                  <v:stroke on="f"/>
                  <v:imagedata o:title=""/>
                  <o:lock v:ext="edit" aspectratio="f"/>
                  <v:textbox>
                    <w:txbxContent>
                      <w:p w14:paraId="223A342C">
                        <w:pPr>
                          <w:jc w:val="center"/>
                          <w:rPr>
                            <w:szCs w:val="21"/>
                          </w:rPr>
                        </w:pPr>
                        <w:r>
                          <w:rPr>
                            <w:rFonts w:hint="eastAsia" w:cs="宋体"/>
                            <w:szCs w:val="21"/>
                          </w:rPr>
                          <w:t>恶臭、废水、猪粪、病死猪尸、医疗废物</w:t>
                        </w:r>
                      </w:p>
                    </w:txbxContent>
                  </v:textbox>
                </v:shape>
                <v:shape id="文本框 4" o:spid="_x0000_s1026" o:spt="202" type="#_x0000_t202" style="position:absolute;left:2522855;top:59690;height:291465;width:1680210;" fillcolor="#FFFFFF" filled="t" stroked="t" coordsize="21600,21600"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30D189">
                        <w:pPr>
                          <w:jc w:val="center"/>
                          <w:rPr>
                            <w:szCs w:val="21"/>
                          </w:rPr>
                        </w:pPr>
                        <w:r>
                          <w:rPr>
                            <w:rFonts w:hint="eastAsia" w:cs="宋体"/>
                            <w:szCs w:val="21"/>
                          </w:rPr>
                          <w:t>猪舍冲洗、消毒</w:t>
                        </w:r>
                      </w:p>
                    </w:txbxContent>
                  </v:textbox>
                </v:shape>
                <v:shape id="文本框 5" o:spid="_x0000_s1026" o:spt="202" type="#_x0000_t202" style="position:absolute;left:2946400;top:964565;height:292735;width:833755;" fillcolor="#FFFFFF" filled="t" stroked="t" coordsize="21600,21600"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F69C63">
                        <w:pPr>
                          <w:jc w:val="center"/>
                          <w:rPr>
                            <w:szCs w:val="21"/>
                          </w:rPr>
                        </w:pPr>
                        <w:r>
                          <w:rPr>
                            <w:rFonts w:hint="eastAsia" w:cs="宋体"/>
                            <w:szCs w:val="21"/>
                          </w:rPr>
                          <w:t>接猪</w:t>
                        </w:r>
                      </w:p>
                    </w:txbxContent>
                  </v:textbox>
                </v:shape>
                <v:shape id="自选图形 8" o:spid="_x0000_s1026" o:spt="32" type="#_x0000_t32" style="position:absolute;left:3364230;top:351155;height:613410;width:1270;"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1" o:spid="_x0000_s1026" o:spt="32" type="#_x0000_t32" style="position:absolute;left:3362960;top:1257300;height:624205;width:1270;"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2" o:spid="_x0000_s1026" o:spt="202" type="#_x0000_t202" style="position:absolute;left:2946400;top:1881505;height:292735;width:833755;" fillcolor="#FFFFFF" filled="t" stroked="t" coordsize="21600,21600" o:gfxdata="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m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C9B82F">
                        <w:pPr>
                          <w:jc w:val="center"/>
                          <w:rPr>
                            <w:szCs w:val="21"/>
                          </w:rPr>
                        </w:pPr>
                        <w:r>
                          <w:rPr>
                            <w:rFonts w:hint="eastAsia" w:cs="宋体"/>
                            <w:szCs w:val="21"/>
                          </w:rPr>
                          <w:t>保育40天</w:t>
                        </w:r>
                      </w:p>
                    </w:txbxContent>
                  </v:textbox>
                </v:shape>
                <v:shape id="自选图形 26" o:spid="_x0000_s1026" o:spt="32" type="#_x0000_t32" style="position:absolute;left:2361565;top:2028190;height:635;width:584835;" filled="f" stroked="t" coordsize="21600,21600" o:gfxdata="UEsDBAoAAAAAAIdO4kAAAAAAAAAAAAAAAAAEAAAAZHJzL1BLAwQUAAAACACHTuJA0//ou70AAADc&#10;AAAADwAAAGRycy9kb3ducmV2LnhtbEVPS2sCMRC+C/0PYQreatZS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7" o:spid="_x0000_s1026" o:spt="202" type="#_x0000_t202" style="position:absolute;left:755650;top:1881505;height:292735;width:1680845;"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6EB165">
                        <w:pPr>
                          <w:jc w:val="center"/>
                          <w:rPr>
                            <w:szCs w:val="21"/>
                          </w:rPr>
                        </w:pPr>
                        <w:r>
                          <w:rPr>
                            <w:rFonts w:hint="eastAsia" w:cs="宋体"/>
                            <w:szCs w:val="21"/>
                          </w:rPr>
                          <w:t>防疫、水、饲料</w:t>
                        </w:r>
                      </w:p>
                    </w:txbxContent>
                  </v:textbox>
                </v:shape>
                <v:shape id="自选图形 33" o:spid="_x0000_s1026" o:spt="32" type="#_x0000_t32" style="position:absolute;left:4203065;top:205105;height:0;width:485775;" filled="f" stroked="t" coordsize="21600,21600" o:gfxdata="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32a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文本框 34" o:spid="_x0000_s1026" o:spt="202" type="#_x0000_t202" style="position:absolute;left:4688840;top:59690;height:292735;width:709295;" filled="f" stroked="f" coordsize="21600,21600" o:gfxdata="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Td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14D713">
                        <w:pPr>
                          <w:jc w:val="center"/>
                          <w:rPr>
                            <w:szCs w:val="21"/>
                          </w:rPr>
                        </w:pPr>
                        <w:r>
                          <w:rPr>
                            <w:rFonts w:hint="eastAsia" w:cs="宋体"/>
                            <w:szCs w:val="21"/>
                          </w:rPr>
                          <w:t>废水</w:t>
                        </w:r>
                      </w:p>
                    </w:txbxContent>
                  </v:textbox>
                </v:shape>
                <v:shape id="自选图形 35" o:spid="_x0000_s1026" o:spt="32" type="#_x0000_t32" style="position:absolute;left:3599815;top:694055;flip:y;height:270510;width:635;" filled="f" stroked="t" coordsize="21600,21600" o:gfxdata="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Rsum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文本框 36" o:spid="_x0000_s1026" o:spt="202" type="#_x0000_t202" style="position:absolute;left:3239770;top:401320;height:292735;width:709295;" filled="f" stroked="f" coordsize="21600,21600" o:gfxdata="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4k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E6A7C45">
                        <w:pPr>
                          <w:jc w:val="center"/>
                          <w:rPr>
                            <w:szCs w:val="21"/>
                          </w:rPr>
                        </w:pPr>
                        <w:r>
                          <w:rPr>
                            <w:rFonts w:hint="eastAsia" w:cs="宋体"/>
                            <w:szCs w:val="21"/>
                          </w:rPr>
                          <w:t>噪声</w:t>
                        </w:r>
                      </w:p>
                    </w:txbxContent>
                  </v:textbox>
                </v:shape>
                <v:shape id="自选图形 37" o:spid="_x0000_s1026" o:spt="32" type="#_x0000_t32" style="position:absolute;left:3667125;top:1610995;flip:y;height:270510;width:635;" filled="f" stroked="t" coordsize="21600,21600" o:gfxdata="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UN2b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文本框 38" o:spid="_x0000_s1026" o:spt="202" type="#_x0000_t202" style="position:absolute;left:3364230;top:1318260;height:292735;width:709295;" filled="f" stroked="f" coordsize="21600,21600" o:gfxdata="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WV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376CA3C">
                        <w:pPr>
                          <w:jc w:val="center"/>
                          <w:rPr>
                            <w:szCs w:val="21"/>
                          </w:rPr>
                        </w:pPr>
                        <w:r>
                          <w:rPr>
                            <w:rFonts w:hint="eastAsia" w:cs="宋体"/>
                            <w:szCs w:val="21"/>
                          </w:rPr>
                          <w:t>噪声</w:t>
                        </w:r>
                      </w:p>
                    </w:txbxContent>
                  </v:textbox>
                </v:shape>
                <v:shape id="自选图形 39" o:spid="_x0000_s1026" o:spt="32" type="#_x0000_t32" style="position:absolute;left:3642995;top:2173605;height:351155;width:635;" filled="f" stroked="t" coordsize="21600,21600" o:gfxdata="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64QR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32" o:spid="_x0000_s1026" o:spt="202" type="#_x0000_t202" style="position:absolute;left:893445;top:59690;height:292735;width:1082040;" filled="f" stroked="f" coordsize="21600,21600" o:gfxdata="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wq7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455781B">
                        <w:pPr>
                          <w:jc w:val="center"/>
                          <w:rPr>
                            <w:szCs w:val="21"/>
                          </w:rPr>
                        </w:pPr>
                        <w:r>
                          <w:rPr>
                            <w:rFonts w:hint="eastAsia" w:cs="宋体"/>
                            <w:szCs w:val="21"/>
                          </w:rPr>
                          <w:t>水、消毒剂</w:t>
                        </w:r>
                      </w:p>
                    </w:txbxContent>
                  </v:textbox>
                </v:shape>
                <v:shape id="自选图形 7" o:spid="_x0000_s1026" o:spt="32" type="#_x0000_t32" style="position:absolute;left:2006600;top:189865;height:0;width:516255;" filled="f" stroked="t" coordsize="21600,21600" o:gfxdata="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oUW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2" o:spid="_x0000_s1026" o:spt="202" type="#_x0000_t202" style="position:absolute;left:2961640;top:3164840;height:292735;width:833120;" fillcolor="#FFFFFF" filled="t" stroked="t" coordsize="21600,21600" o:gfxdata="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294334E">
                        <w:pPr>
                          <w:jc w:val="center"/>
                          <w:rPr>
                            <w:szCs w:val="21"/>
                          </w:rPr>
                        </w:pPr>
                        <w:r>
                          <w:rPr>
                            <w:rFonts w:hint="eastAsia" w:cs="宋体"/>
                            <w:szCs w:val="21"/>
                          </w:rPr>
                          <w:t>育肥100天</w:t>
                        </w:r>
                      </w:p>
                    </w:txbxContent>
                  </v:textbox>
                </v:shape>
                <v:shape id="自选图形 28" o:spid="_x0000_s1026" o:spt="32" type="#_x0000_t32" style="position:absolute;left:2383790;top:3341370;height:635;width:584835;" filled="f" stroked="t" coordsize="21600,21600" o:gfxdata="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ok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29" o:spid="_x0000_s1026" o:spt="202" type="#_x0000_t202" style="position:absolute;left:1492885;top:3218815;height:332740;width:1056640;" filled="f" stroked="f" coordsize="21600,21600" o:gfxdata="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j90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413AE0F">
                        <w:pPr>
                          <w:rPr>
                            <w:szCs w:val="21"/>
                          </w:rPr>
                        </w:pPr>
                        <w:r>
                          <w:rPr>
                            <w:rFonts w:hint="eastAsia" w:cs="宋体"/>
                            <w:szCs w:val="21"/>
                          </w:rPr>
                          <w:t>防疫、水饲料</w:t>
                        </w:r>
                      </w:p>
                    </w:txbxContent>
                  </v:textbox>
                </v:shape>
                <v:shape id="文本框 52" o:spid="_x0000_s1026" o:spt="202" type="#_x0000_t202" style="position:absolute;left:1640205;top:3970655;height:292735;width:709295;" filled="f" stroked="f" coordsize="21600,21600" o:gfxdata="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mO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3D914C2">
                        <w:pPr>
                          <w:jc w:val="center"/>
                          <w:rPr>
                            <w:szCs w:val="21"/>
                          </w:rPr>
                        </w:pPr>
                        <w:r>
                          <w:rPr>
                            <w:rFonts w:hint="eastAsia" w:cs="宋体"/>
                            <w:szCs w:val="21"/>
                          </w:rPr>
                          <w:t>噪声</w:t>
                        </w:r>
                      </w:p>
                    </w:txbxContent>
                  </v:textbox>
                </v:shape>
                <v:shape id="文本框 25" o:spid="_x0000_s1026" o:spt="202" type="#_x0000_t202" style="position:absolute;left:2701290;top:3921760;height:292735;width:1279525;" fillcolor="#FFFFFF" filled="t" stroked="t" coordsize="21600,21600" o:gfxdata="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b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9E2BA4">
                        <w:pPr>
                          <w:jc w:val="center"/>
                          <w:rPr>
                            <w:szCs w:val="21"/>
                          </w:rPr>
                        </w:pPr>
                        <w:r>
                          <w:rPr>
                            <w:rFonts w:hint="eastAsia" w:cs="宋体"/>
                            <w:szCs w:val="21"/>
                          </w:rPr>
                          <w:t>育肥猪出栏</w:t>
                        </w:r>
                      </w:p>
                    </w:txbxContent>
                  </v:textbox>
                </v:shape>
                <v:shape id="自选图形 43" o:spid="_x0000_s1026" o:spt="32" type="#_x0000_t32" style="position:absolute;left:2254885;top:4057015;flip:x;height:635;width:442595;" filled="f" stroked="t" coordsize="21600,21600" o:gfxdata="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vM4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文本框 40" o:spid="_x0000_s1026" o:spt="202" type="#_x0000_t202" style="position:absolute;left:3105785;top:2716530;height:507365;width:2277110;" filled="f" stroked="f" coordsize="21600,21600" o:gfxdata="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O2G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EFC17D3">
                        <w:pPr>
                          <w:jc w:val="center"/>
                          <w:rPr>
                            <w:rFonts w:cs="宋体"/>
                            <w:szCs w:val="21"/>
                          </w:rPr>
                        </w:pPr>
                        <w:r>
                          <w:rPr>
                            <w:rFonts w:hint="eastAsia" w:cs="宋体"/>
                            <w:szCs w:val="21"/>
                          </w:rPr>
                          <w:t>恶臭、废水、猪粪</w:t>
                        </w:r>
                      </w:p>
                      <w:p w14:paraId="603D6152">
                        <w:pPr>
                          <w:jc w:val="center"/>
                          <w:rPr>
                            <w:szCs w:val="21"/>
                          </w:rPr>
                        </w:pPr>
                        <w:r>
                          <w:rPr>
                            <w:rFonts w:hint="eastAsia" w:cs="宋体"/>
                            <w:szCs w:val="21"/>
                          </w:rPr>
                          <w:t>病死猪尸、医疗废物</w:t>
                        </w:r>
                      </w:p>
                    </w:txbxContent>
                  </v:textbox>
                </v:shape>
                <v:shape id="自选图形 37" o:spid="_x0000_s1026" o:spt="32" type="#_x0000_t32" style="position:absolute;left:3715385;top:3090545;flip:y;height:223520;width:178435;" filled="f" stroked="t" coordsize="21600,21600" o:gfxdata="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wCa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shape>
                <v:shape id="文本框 52" o:spid="_x0000_s1026" o:spt="202" type="#_x0000_t202" style="position:absolute;left:4270375;top:3242310;height:290830;width:697230;" filled="f" stroked="f" coordsize="21600,21600" o:gfxdata="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Qh/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CA8AF48">
                        <w:pPr>
                          <w:jc w:val="center"/>
                          <w:rPr>
                            <w:szCs w:val="21"/>
                          </w:rPr>
                        </w:pPr>
                        <w:r>
                          <w:rPr>
                            <w:rFonts w:hint="eastAsia" w:cs="宋体"/>
                            <w:szCs w:val="21"/>
                          </w:rPr>
                          <w:t>噪声</w:t>
                        </w:r>
                      </w:p>
                    </w:txbxContent>
                  </v:textbox>
                </v:shape>
                <v:shape id="自选图形 43" o:spid="_x0000_s1026" o:spt="32" type="#_x0000_t32" style="position:absolute;left:3827779;top:3353435;height:635;width:497840;" filled="f" stroked="t" coordsize="21600,21600" o:gfxdata="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kou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自选图形 11" o:spid="_x0000_s1026" o:spt="32" type="#_x0000_t32" style="position:absolute;left:3382009;top:2179955;height:982980;width:7620;" filled="f" stroked="t" coordsize="21600,21600" o:gfxdata="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6sbRzbAAAACgEAAA8AAAAAAAAAAQAgAAAAIgAAAGRycy9kb3ducmV2&#10;LnhtbFBLAQIUABQAAAAIAIdO4kCrpplqMgIAADcEAAAOAAAAAAAAAAEAIAAAACoBAABkcnMvZTJv&#10;RG9jLnhtbFBLBQYAAAAABgAGAFkBAADOBQAAAAA=&#10;">
                  <v:fill on="f" focussize="0,0"/>
                  <v:stroke color="#000000" joinstyle="round" endarrow="block"/>
                  <v:imagedata o:title=""/>
                  <o:lock v:ext="edit" aspectratio="f"/>
                </v:shape>
                <v:shape id="自选图形 11" o:spid="_x0000_s1026" o:spt="32" type="#_x0000_t32" style="position:absolute;left:3418205;top:3459480;height:431165;width:5715;" filled="f" stroked="t" coordsize="21600,21600" o:gfxdata="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rG0c2wAAAAoBAAAPAAAAAAAAAAEAIAAAACIAAABkcnMvZG93bnJldi54bWxQ&#10;SwECFAAUAAAACACHTuJAM1cOmy0CAAA3BAAADgAAAAAAAAABACAAAAAqAQAAZHJzL2Uyb0RvYy54&#10;bWxQSwUGAAAAAAYABgBZAQAAyQUAAAAA&#10;">
                  <v:fill on="f" focussize="0,0"/>
                  <v:stroke color="#000000" joinstyle="round" endarrow="block"/>
                  <v:imagedata o:title=""/>
                  <o:lock v:ext="edit" aspectratio="f"/>
                </v:shape>
                <w10:wrap type="topAndBottom"/>
              </v:group>
            </w:pict>
          </mc:Fallback>
        </mc:AlternateContent>
      </w:r>
      <w:r>
        <w:rPr>
          <w:sz w:val="24"/>
        </w:rPr>
        <w:t>育肥猪养殖过程工艺流程及产污环节示意图见图3-1。</w:t>
      </w:r>
    </w:p>
    <w:p w14:paraId="34605110">
      <w:pPr>
        <w:spacing w:line="360" w:lineRule="auto"/>
        <w:ind w:firstLine="482" w:firstLineChars="200"/>
        <w:jc w:val="center"/>
      </w:pPr>
      <w:r>
        <w:rPr>
          <w:b/>
          <w:bCs/>
          <w:sz w:val="24"/>
        </w:rPr>
        <w:t>图3-1  本项目保育猪、育肥猪养殖过程工艺流程及产污环节图</w:t>
      </w:r>
    </w:p>
    <w:p w14:paraId="735FCFB4">
      <w:pPr>
        <w:spacing w:line="360" w:lineRule="auto"/>
        <w:ind w:firstLine="482" w:firstLineChars="200"/>
        <w:rPr>
          <w:b/>
          <w:bCs/>
          <w:sz w:val="24"/>
        </w:rPr>
      </w:pPr>
      <w:bookmarkStart w:id="62" w:name="_Toc311979915"/>
      <w:bookmarkStart w:id="63" w:name="_Toc311979801"/>
      <w:bookmarkStart w:id="64" w:name="_Toc311979847"/>
      <w:r>
        <w:rPr>
          <w:b/>
          <w:bCs/>
          <w:sz w:val="24"/>
        </w:rPr>
        <w:t>三、消毒防疫</w:t>
      </w:r>
    </w:p>
    <w:p w14:paraId="2827475F">
      <w:pPr>
        <w:spacing w:line="360" w:lineRule="auto"/>
        <w:ind w:firstLine="480" w:firstLineChars="200"/>
        <w:rPr>
          <w:sz w:val="24"/>
        </w:rPr>
      </w:pPr>
      <w:r>
        <w:rPr>
          <w:sz w:val="24"/>
        </w:rPr>
        <w:t>1、消毒：每个地块主入口车行道设置消毒池和烘干房，使用消毒剂溶液消毒，池长4m，宽5m。每周更换两次消毒液；猪舍每周栏内带猪消毒一次，使用喷雾消毒剂，300mL/m</w:t>
      </w:r>
      <w:r>
        <w:rPr>
          <w:sz w:val="24"/>
          <w:vertAlign w:val="superscript"/>
        </w:rPr>
        <w:t>2</w:t>
      </w:r>
      <w:r>
        <w:rPr>
          <w:sz w:val="24"/>
        </w:rPr>
        <w:t>；整栏换舍后猪舍彻底清扫并冲洗后，使用灭菌灵喷洒消毒，500mL/m</w:t>
      </w:r>
      <w:r>
        <w:rPr>
          <w:sz w:val="24"/>
          <w:vertAlign w:val="superscript"/>
        </w:rPr>
        <w:t>2</w:t>
      </w:r>
      <w:r>
        <w:rPr>
          <w:sz w:val="24"/>
        </w:rPr>
        <w:t>；间隔1天后重复进行一次；春秋两季各进行一次大消毒；运输猪和饲料的车辆装运前后必须用灭菌灵喷雾消毒。</w:t>
      </w:r>
    </w:p>
    <w:p w14:paraId="7FC1F1B8">
      <w:pPr>
        <w:spacing w:line="360" w:lineRule="auto"/>
        <w:ind w:firstLine="480" w:firstLineChars="200"/>
        <w:rPr>
          <w:sz w:val="24"/>
        </w:rPr>
      </w:pPr>
      <w:r>
        <w:rPr>
          <w:sz w:val="24"/>
        </w:rPr>
        <w:t>2、驱蝇灭蚊：夏秋时节养猪场蚊蝇滋生，采取化学、物理结合的方法驱蝇灭蚊，对于粪便贮存池、污水沟等死水，每周使用杀虫剂消杀2次。同时在圈舍内安装灭蚊灯、门窗均安装纱窗。</w:t>
      </w:r>
    </w:p>
    <w:p w14:paraId="71C26669">
      <w:pPr>
        <w:spacing w:line="360" w:lineRule="auto"/>
        <w:ind w:firstLine="480" w:firstLineChars="200"/>
        <w:rPr>
          <w:sz w:val="24"/>
        </w:rPr>
      </w:pPr>
      <w:r>
        <w:rPr>
          <w:sz w:val="24"/>
        </w:rPr>
        <w:t>3、防疫方式：</w:t>
      </w:r>
    </w:p>
    <w:p w14:paraId="49D0EDC3">
      <w:pPr>
        <w:spacing w:line="360" w:lineRule="auto"/>
        <w:ind w:firstLine="480" w:firstLineChars="200"/>
        <w:rPr>
          <w:sz w:val="24"/>
        </w:rPr>
      </w:pPr>
      <w:r>
        <w:rPr>
          <w:sz w:val="24"/>
        </w:rPr>
        <w:t>养猪场必须制定严格的防疫、检疫和其他兽医卫生管理制度，预防控制疫病。由石林县畜牧兽医局进行技术指导，建设单位负责。包含预防疫病、生病猪的治疗等工作。日常养殖过程中使用的少量防疫医疗废物委托有资质的单位处置。</w:t>
      </w:r>
    </w:p>
    <w:p w14:paraId="023C475C">
      <w:pPr>
        <w:pStyle w:val="7"/>
        <w:spacing w:before="0" w:after="0" w:line="360" w:lineRule="auto"/>
        <w:rPr>
          <w:rFonts w:ascii="Times New Roman" w:hAnsi="Times New Roman"/>
          <w:sz w:val="28"/>
          <w:szCs w:val="28"/>
        </w:rPr>
      </w:pPr>
      <w:r>
        <w:rPr>
          <w:rFonts w:ascii="Times New Roman" w:hAnsi="Times New Roman"/>
          <w:sz w:val="28"/>
          <w:szCs w:val="28"/>
        </w:rPr>
        <w:t>3.1.5原辅材料及能源消耗</w:t>
      </w:r>
    </w:p>
    <w:p w14:paraId="4F70456D">
      <w:pPr>
        <w:pStyle w:val="36"/>
        <w:adjustRightInd w:val="0"/>
        <w:snapToGrid w:val="0"/>
        <w:spacing w:line="360" w:lineRule="auto"/>
        <w:rPr>
          <w:rFonts w:ascii="Times New Roman" w:hAnsi="Times New Roman"/>
        </w:rPr>
      </w:pPr>
      <w:r>
        <w:rPr>
          <w:rFonts w:ascii="Times New Roman" w:hAnsi="Times New Roman"/>
        </w:rPr>
        <w:t>（1）饲料</w:t>
      </w:r>
    </w:p>
    <w:p w14:paraId="1F8C7C76">
      <w:pPr>
        <w:pStyle w:val="2492"/>
        <w:spacing w:line="360" w:lineRule="auto"/>
        <w:ind w:firstLine="480"/>
        <w:rPr>
          <w:color w:val="auto"/>
          <w:sz w:val="24"/>
        </w:rPr>
      </w:pPr>
      <w:r>
        <w:rPr>
          <w:color w:val="auto"/>
          <w:sz w:val="24"/>
        </w:rPr>
        <w:t>本项目营运期间主要原料饲料外购成品饲料，定时定量供应饲料，保证生猪饮食需求。本项目饲料用量见表3.1-</w:t>
      </w:r>
      <w:r>
        <w:rPr>
          <w:color w:val="auto"/>
          <w:sz w:val="24"/>
          <w:lang w:val="en-US"/>
        </w:rPr>
        <w:t>6。</w:t>
      </w:r>
    </w:p>
    <w:p w14:paraId="04DBBD5B">
      <w:pPr>
        <w:spacing w:line="360" w:lineRule="auto"/>
        <w:ind w:firstLine="200"/>
        <w:jc w:val="center"/>
        <w:rPr>
          <w:b/>
          <w:sz w:val="24"/>
        </w:rPr>
      </w:pPr>
      <w:r>
        <w:rPr>
          <w:b/>
          <w:sz w:val="24"/>
        </w:rPr>
        <w:t>表3.1-6本项目养殖过程饲料消耗参数表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849"/>
        <w:gridCol w:w="1384"/>
        <w:gridCol w:w="1380"/>
        <w:gridCol w:w="1203"/>
        <w:gridCol w:w="1396"/>
        <w:gridCol w:w="1218"/>
      </w:tblGrid>
      <w:tr w14:paraId="383D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4" w:type="pct"/>
            <w:vMerge w:val="restart"/>
            <w:noWrap w:val="0"/>
            <w:vAlign w:val="center"/>
          </w:tcPr>
          <w:p w14:paraId="16825442">
            <w:pPr>
              <w:widowControl/>
              <w:jc w:val="center"/>
              <w:rPr>
                <w:b/>
                <w:bCs/>
                <w:kern w:val="0"/>
                <w:szCs w:val="21"/>
              </w:rPr>
            </w:pPr>
            <w:r>
              <w:rPr>
                <w:b/>
                <w:bCs/>
                <w:kern w:val="0"/>
                <w:szCs w:val="21"/>
              </w:rPr>
              <w:t>名  称</w:t>
            </w:r>
          </w:p>
        </w:tc>
        <w:tc>
          <w:tcPr>
            <w:tcW w:w="497" w:type="pct"/>
            <w:vMerge w:val="restart"/>
            <w:noWrap w:val="0"/>
            <w:vAlign w:val="center"/>
          </w:tcPr>
          <w:p w14:paraId="5D24F00B">
            <w:pPr>
              <w:widowControl/>
              <w:jc w:val="center"/>
              <w:rPr>
                <w:b/>
                <w:bCs/>
                <w:kern w:val="0"/>
                <w:szCs w:val="21"/>
              </w:rPr>
            </w:pPr>
            <w:r>
              <w:rPr>
                <w:b/>
                <w:bCs/>
                <w:kern w:val="0"/>
                <w:szCs w:val="21"/>
              </w:rPr>
              <w:t>存栏量（头）</w:t>
            </w:r>
          </w:p>
        </w:tc>
        <w:tc>
          <w:tcPr>
            <w:tcW w:w="3857" w:type="pct"/>
            <w:gridSpan w:val="5"/>
            <w:noWrap w:val="0"/>
            <w:vAlign w:val="top"/>
          </w:tcPr>
          <w:p w14:paraId="062EA62C">
            <w:pPr>
              <w:widowControl/>
              <w:jc w:val="center"/>
              <w:rPr>
                <w:b/>
                <w:bCs/>
                <w:kern w:val="0"/>
                <w:szCs w:val="21"/>
              </w:rPr>
            </w:pPr>
            <w:r>
              <w:rPr>
                <w:b/>
                <w:bCs/>
                <w:kern w:val="0"/>
                <w:szCs w:val="21"/>
              </w:rPr>
              <w:t>饲  料  消  耗  量</w:t>
            </w:r>
          </w:p>
        </w:tc>
      </w:tr>
      <w:tr w14:paraId="5DAF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44" w:type="pct"/>
            <w:vMerge w:val="continue"/>
            <w:noWrap w:val="0"/>
            <w:vAlign w:val="center"/>
          </w:tcPr>
          <w:p w14:paraId="4D14291F">
            <w:pPr>
              <w:widowControl/>
              <w:jc w:val="left"/>
              <w:rPr>
                <w:b/>
                <w:bCs/>
                <w:kern w:val="0"/>
                <w:szCs w:val="21"/>
              </w:rPr>
            </w:pPr>
          </w:p>
        </w:tc>
        <w:tc>
          <w:tcPr>
            <w:tcW w:w="497" w:type="pct"/>
            <w:vMerge w:val="continue"/>
            <w:noWrap w:val="0"/>
            <w:vAlign w:val="center"/>
          </w:tcPr>
          <w:p w14:paraId="43690744">
            <w:pPr>
              <w:widowControl/>
              <w:jc w:val="left"/>
              <w:rPr>
                <w:b/>
                <w:bCs/>
                <w:kern w:val="0"/>
                <w:szCs w:val="21"/>
              </w:rPr>
            </w:pPr>
          </w:p>
        </w:tc>
        <w:tc>
          <w:tcPr>
            <w:tcW w:w="812" w:type="pct"/>
            <w:noWrap w:val="0"/>
            <w:vAlign w:val="center"/>
          </w:tcPr>
          <w:p w14:paraId="4A57DD11">
            <w:pPr>
              <w:widowControl/>
              <w:jc w:val="center"/>
              <w:rPr>
                <w:b/>
                <w:bCs/>
                <w:kern w:val="0"/>
                <w:szCs w:val="21"/>
              </w:rPr>
            </w:pPr>
            <w:r>
              <w:rPr>
                <w:b/>
                <w:bCs/>
                <w:kern w:val="0"/>
                <w:szCs w:val="21"/>
              </w:rPr>
              <w:t>饲料定额（kg/头·d）</w:t>
            </w:r>
          </w:p>
        </w:tc>
        <w:tc>
          <w:tcPr>
            <w:tcW w:w="809" w:type="pct"/>
            <w:noWrap w:val="0"/>
            <w:vAlign w:val="center"/>
          </w:tcPr>
          <w:p w14:paraId="39A15FF7">
            <w:pPr>
              <w:widowControl/>
              <w:jc w:val="center"/>
              <w:rPr>
                <w:b/>
                <w:bCs/>
                <w:kern w:val="0"/>
                <w:szCs w:val="21"/>
              </w:rPr>
            </w:pPr>
            <w:r>
              <w:rPr>
                <w:b/>
                <w:bCs/>
                <w:kern w:val="0"/>
                <w:szCs w:val="21"/>
              </w:rPr>
              <w:t>日消耗量（kg/d）</w:t>
            </w:r>
          </w:p>
        </w:tc>
        <w:tc>
          <w:tcPr>
            <w:tcW w:w="705" w:type="pct"/>
            <w:noWrap w:val="0"/>
            <w:vAlign w:val="center"/>
          </w:tcPr>
          <w:p w14:paraId="483C74C9">
            <w:pPr>
              <w:jc w:val="center"/>
              <w:rPr>
                <w:b/>
                <w:szCs w:val="21"/>
              </w:rPr>
            </w:pPr>
            <w:r>
              <w:rPr>
                <w:b/>
                <w:szCs w:val="21"/>
              </w:rPr>
              <w:t>存栏周期（d）</w:t>
            </w:r>
          </w:p>
        </w:tc>
        <w:tc>
          <w:tcPr>
            <w:tcW w:w="816" w:type="pct"/>
            <w:noWrap w:val="0"/>
            <w:vAlign w:val="top"/>
          </w:tcPr>
          <w:p w14:paraId="222DB4CC">
            <w:pPr>
              <w:widowControl/>
              <w:jc w:val="center"/>
              <w:rPr>
                <w:b/>
                <w:bCs/>
                <w:kern w:val="0"/>
                <w:szCs w:val="21"/>
              </w:rPr>
            </w:pPr>
            <w:r>
              <w:rPr>
                <w:b/>
                <w:bCs/>
                <w:kern w:val="0"/>
                <w:szCs w:val="21"/>
              </w:rPr>
              <w:t>年生产批次/次</w:t>
            </w:r>
          </w:p>
        </w:tc>
        <w:tc>
          <w:tcPr>
            <w:tcW w:w="714" w:type="pct"/>
            <w:noWrap w:val="0"/>
            <w:vAlign w:val="center"/>
          </w:tcPr>
          <w:p w14:paraId="45EDF16E">
            <w:pPr>
              <w:widowControl/>
              <w:jc w:val="center"/>
              <w:rPr>
                <w:b/>
                <w:bCs/>
                <w:kern w:val="0"/>
                <w:szCs w:val="21"/>
              </w:rPr>
            </w:pPr>
            <w:r>
              <w:rPr>
                <w:b/>
                <w:bCs/>
                <w:kern w:val="0"/>
                <w:szCs w:val="21"/>
              </w:rPr>
              <w:t>年消耗量(t/a）</w:t>
            </w:r>
          </w:p>
        </w:tc>
      </w:tr>
      <w:tr w14:paraId="7548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pct"/>
            <w:noWrap w:val="0"/>
            <w:vAlign w:val="center"/>
          </w:tcPr>
          <w:p w14:paraId="103F74C5">
            <w:pPr>
              <w:widowControl/>
              <w:jc w:val="center"/>
              <w:rPr>
                <w:kern w:val="0"/>
                <w:szCs w:val="21"/>
              </w:rPr>
            </w:pPr>
            <w:r>
              <w:rPr>
                <w:kern w:val="0"/>
                <w:szCs w:val="21"/>
              </w:rPr>
              <w:t>保育猪</w:t>
            </w:r>
          </w:p>
        </w:tc>
        <w:tc>
          <w:tcPr>
            <w:tcW w:w="849" w:type="dxa"/>
            <w:noWrap w:val="0"/>
            <w:vAlign w:val="center"/>
          </w:tcPr>
          <w:p w14:paraId="485B194A">
            <w:pPr>
              <w:widowControl/>
              <w:jc w:val="center"/>
              <w:textAlignment w:val="center"/>
              <w:rPr>
                <w:szCs w:val="21"/>
              </w:rPr>
            </w:pPr>
            <w:r>
              <w:rPr>
                <w:kern w:val="0"/>
                <w:szCs w:val="21"/>
                <w:lang w:bidi="ar"/>
              </w:rPr>
              <w:t>9300</w:t>
            </w:r>
          </w:p>
        </w:tc>
        <w:tc>
          <w:tcPr>
            <w:tcW w:w="1384" w:type="dxa"/>
            <w:noWrap w:val="0"/>
            <w:vAlign w:val="center"/>
          </w:tcPr>
          <w:p w14:paraId="1A0EB043">
            <w:pPr>
              <w:widowControl/>
              <w:jc w:val="center"/>
              <w:textAlignment w:val="center"/>
              <w:rPr>
                <w:kern w:val="0"/>
                <w:szCs w:val="21"/>
              </w:rPr>
            </w:pPr>
            <w:r>
              <w:rPr>
                <w:kern w:val="0"/>
                <w:szCs w:val="21"/>
                <w:lang w:bidi="ar"/>
              </w:rPr>
              <w:t>0.8</w:t>
            </w:r>
          </w:p>
        </w:tc>
        <w:tc>
          <w:tcPr>
            <w:tcW w:w="1380" w:type="dxa"/>
            <w:noWrap w:val="0"/>
            <w:vAlign w:val="center"/>
          </w:tcPr>
          <w:p w14:paraId="30DA2461">
            <w:pPr>
              <w:widowControl/>
              <w:jc w:val="center"/>
              <w:textAlignment w:val="center"/>
              <w:rPr>
                <w:szCs w:val="21"/>
              </w:rPr>
            </w:pPr>
            <w:r>
              <w:rPr>
                <w:kern w:val="0"/>
                <w:szCs w:val="21"/>
                <w:lang w:bidi="ar"/>
              </w:rPr>
              <w:t>7440</w:t>
            </w:r>
          </w:p>
        </w:tc>
        <w:tc>
          <w:tcPr>
            <w:tcW w:w="1203" w:type="dxa"/>
            <w:noWrap w:val="0"/>
            <w:vAlign w:val="center"/>
          </w:tcPr>
          <w:p w14:paraId="4BDF8F01">
            <w:pPr>
              <w:widowControl/>
              <w:jc w:val="center"/>
              <w:textAlignment w:val="center"/>
              <w:rPr>
                <w:szCs w:val="21"/>
              </w:rPr>
            </w:pPr>
            <w:r>
              <w:rPr>
                <w:kern w:val="0"/>
                <w:szCs w:val="21"/>
                <w:lang w:bidi="ar"/>
              </w:rPr>
              <w:t>40</w:t>
            </w:r>
          </w:p>
        </w:tc>
        <w:tc>
          <w:tcPr>
            <w:tcW w:w="1396" w:type="dxa"/>
            <w:noWrap w:val="0"/>
            <w:vAlign w:val="center"/>
          </w:tcPr>
          <w:p w14:paraId="2DAA45E9">
            <w:pPr>
              <w:widowControl/>
              <w:jc w:val="center"/>
              <w:textAlignment w:val="center"/>
              <w:rPr>
                <w:kern w:val="0"/>
                <w:szCs w:val="21"/>
                <w:lang w:bidi="ar"/>
              </w:rPr>
            </w:pPr>
            <w:r>
              <w:rPr>
                <w:kern w:val="0"/>
                <w:szCs w:val="21"/>
                <w:lang w:bidi="ar"/>
              </w:rPr>
              <w:t>2.6</w:t>
            </w:r>
          </w:p>
        </w:tc>
        <w:tc>
          <w:tcPr>
            <w:tcW w:w="1218" w:type="dxa"/>
            <w:noWrap w:val="0"/>
            <w:vAlign w:val="center"/>
          </w:tcPr>
          <w:p w14:paraId="4225DA5F">
            <w:pPr>
              <w:widowControl/>
              <w:jc w:val="center"/>
              <w:textAlignment w:val="center"/>
              <w:rPr>
                <w:szCs w:val="21"/>
              </w:rPr>
            </w:pPr>
            <w:r>
              <w:rPr>
                <w:kern w:val="0"/>
                <w:szCs w:val="21"/>
                <w:lang w:bidi="ar"/>
              </w:rPr>
              <w:t>773.76</w:t>
            </w:r>
          </w:p>
        </w:tc>
      </w:tr>
      <w:tr w14:paraId="104C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noWrap w:val="0"/>
            <w:vAlign w:val="center"/>
          </w:tcPr>
          <w:p w14:paraId="0BB83A92">
            <w:pPr>
              <w:widowControl/>
              <w:jc w:val="center"/>
              <w:rPr>
                <w:kern w:val="0"/>
                <w:szCs w:val="21"/>
              </w:rPr>
            </w:pPr>
            <w:r>
              <w:rPr>
                <w:kern w:val="0"/>
                <w:szCs w:val="21"/>
              </w:rPr>
              <w:t>育肥猪</w:t>
            </w:r>
          </w:p>
        </w:tc>
        <w:tc>
          <w:tcPr>
            <w:tcW w:w="849" w:type="dxa"/>
            <w:noWrap w:val="0"/>
            <w:vAlign w:val="center"/>
          </w:tcPr>
          <w:p w14:paraId="25E2378B">
            <w:pPr>
              <w:widowControl/>
              <w:jc w:val="center"/>
              <w:textAlignment w:val="center"/>
              <w:rPr>
                <w:szCs w:val="21"/>
              </w:rPr>
            </w:pPr>
            <w:r>
              <w:rPr>
                <w:kern w:val="0"/>
                <w:szCs w:val="21"/>
                <w:lang w:bidi="ar"/>
              </w:rPr>
              <w:t>9300</w:t>
            </w:r>
          </w:p>
        </w:tc>
        <w:tc>
          <w:tcPr>
            <w:tcW w:w="1384" w:type="dxa"/>
            <w:noWrap w:val="0"/>
            <w:vAlign w:val="center"/>
          </w:tcPr>
          <w:p w14:paraId="4BB4A7BC">
            <w:pPr>
              <w:widowControl/>
              <w:jc w:val="center"/>
              <w:textAlignment w:val="center"/>
              <w:rPr>
                <w:kern w:val="0"/>
                <w:szCs w:val="21"/>
              </w:rPr>
            </w:pPr>
            <w:r>
              <w:rPr>
                <w:kern w:val="0"/>
                <w:szCs w:val="21"/>
                <w:lang w:bidi="ar"/>
              </w:rPr>
              <w:t>2</w:t>
            </w:r>
          </w:p>
        </w:tc>
        <w:tc>
          <w:tcPr>
            <w:tcW w:w="1380" w:type="dxa"/>
            <w:noWrap w:val="0"/>
            <w:vAlign w:val="center"/>
          </w:tcPr>
          <w:p w14:paraId="03F31243">
            <w:pPr>
              <w:widowControl/>
              <w:jc w:val="center"/>
              <w:textAlignment w:val="center"/>
              <w:rPr>
                <w:szCs w:val="21"/>
              </w:rPr>
            </w:pPr>
            <w:r>
              <w:rPr>
                <w:kern w:val="0"/>
                <w:szCs w:val="21"/>
                <w:lang w:bidi="ar"/>
              </w:rPr>
              <w:t>18600</w:t>
            </w:r>
          </w:p>
        </w:tc>
        <w:tc>
          <w:tcPr>
            <w:tcW w:w="1203" w:type="dxa"/>
            <w:noWrap w:val="0"/>
            <w:vAlign w:val="center"/>
          </w:tcPr>
          <w:p w14:paraId="64888966">
            <w:pPr>
              <w:widowControl/>
              <w:jc w:val="center"/>
              <w:textAlignment w:val="center"/>
              <w:rPr>
                <w:szCs w:val="21"/>
              </w:rPr>
            </w:pPr>
            <w:r>
              <w:rPr>
                <w:kern w:val="0"/>
                <w:szCs w:val="21"/>
                <w:lang w:bidi="ar"/>
              </w:rPr>
              <w:t>100</w:t>
            </w:r>
          </w:p>
        </w:tc>
        <w:tc>
          <w:tcPr>
            <w:tcW w:w="1396" w:type="dxa"/>
            <w:noWrap w:val="0"/>
            <w:vAlign w:val="center"/>
          </w:tcPr>
          <w:p w14:paraId="0831026F">
            <w:pPr>
              <w:widowControl/>
              <w:jc w:val="center"/>
              <w:textAlignment w:val="center"/>
              <w:rPr>
                <w:kern w:val="0"/>
                <w:szCs w:val="21"/>
                <w:lang w:bidi="ar"/>
              </w:rPr>
            </w:pPr>
            <w:r>
              <w:rPr>
                <w:kern w:val="0"/>
                <w:szCs w:val="21"/>
                <w:lang w:bidi="ar"/>
              </w:rPr>
              <w:t>2.6</w:t>
            </w:r>
          </w:p>
        </w:tc>
        <w:tc>
          <w:tcPr>
            <w:tcW w:w="1218" w:type="dxa"/>
            <w:noWrap w:val="0"/>
            <w:vAlign w:val="center"/>
          </w:tcPr>
          <w:p w14:paraId="4F980B0B">
            <w:pPr>
              <w:widowControl/>
              <w:jc w:val="center"/>
              <w:textAlignment w:val="center"/>
              <w:rPr>
                <w:szCs w:val="21"/>
              </w:rPr>
            </w:pPr>
            <w:r>
              <w:rPr>
                <w:kern w:val="0"/>
                <w:szCs w:val="21"/>
                <w:lang w:bidi="ar"/>
              </w:rPr>
              <w:t>4836</w:t>
            </w:r>
          </w:p>
        </w:tc>
      </w:tr>
      <w:tr w14:paraId="04E5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85" w:type="pct"/>
            <w:gridSpan w:val="6"/>
            <w:noWrap w:val="0"/>
            <w:vAlign w:val="center"/>
          </w:tcPr>
          <w:p w14:paraId="462C2CBA">
            <w:pPr>
              <w:widowControl/>
              <w:jc w:val="center"/>
              <w:textAlignment w:val="bottom"/>
              <w:rPr>
                <w:kern w:val="0"/>
                <w:szCs w:val="21"/>
                <w:lang w:bidi="ar"/>
              </w:rPr>
            </w:pPr>
            <w:r>
              <w:rPr>
                <w:kern w:val="0"/>
                <w:szCs w:val="21"/>
              </w:rPr>
              <w:t>合计</w:t>
            </w:r>
          </w:p>
        </w:tc>
        <w:tc>
          <w:tcPr>
            <w:tcW w:w="714" w:type="pct"/>
            <w:noWrap w:val="0"/>
            <w:vAlign w:val="center"/>
          </w:tcPr>
          <w:p w14:paraId="4918AAF2">
            <w:pPr>
              <w:widowControl/>
              <w:jc w:val="center"/>
              <w:textAlignment w:val="center"/>
              <w:rPr>
                <w:szCs w:val="21"/>
              </w:rPr>
            </w:pPr>
            <w:r>
              <w:rPr>
                <w:kern w:val="0"/>
                <w:szCs w:val="21"/>
                <w:lang w:bidi="ar"/>
              </w:rPr>
              <w:t>5609.76</w:t>
            </w:r>
          </w:p>
        </w:tc>
      </w:tr>
    </w:tbl>
    <w:p w14:paraId="51A797EB">
      <w:pPr>
        <w:pStyle w:val="36"/>
        <w:adjustRightInd w:val="0"/>
        <w:snapToGrid w:val="0"/>
        <w:spacing w:line="360" w:lineRule="auto"/>
        <w:rPr>
          <w:rFonts w:ascii="Times New Roman" w:hAnsi="Times New Roman"/>
        </w:rPr>
      </w:pPr>
      <w:r>
        <w:rPr>
          <w:rFonts w:ascii="Times New Roman" w:hAnsi="Times New Roman"/>
        </w:rPr>
        <w:t>（2）</w:t>
      </w:r>
      <w:bookmarkEnd w:id="62"/>
      <w:bookmarkEnd w:id="63"/>
      <w:bookmarkEnd w:id="64"/>
      <w:r>
        <w:rPr>
          <w:rFonts w:ascii="Times New Roman" w:hAnsi="Times New Roman"/>
        </w:rPr>
        <w:t>辅助材料</w:t>
      </w:r>
    </w:p>
    <w:p w14:paraId="1E43A3F7">
      <w:pPr>
        <w:spacing w:line="360" w:lineRule="auto"/>
        <w:ind w:firstLine="480" w:firstLineChars="200"/>
        <w:rPr>
          <w:sz w:val="24"/>
        </w:rPr>
      </w:pPr>
      <w:r>
        <w:rPr>
          <w:sz w:val="24"/>
        </w:rPr>
        <w:t>项目辅助材料主要包括脱硫剂、药品疫苗、除臭剂、灭菌剂等。</w:t>
      </w:r>
      <w:r>
        <w:rPr>
          <w:bCs/>
          <w:sz w:val="24"/>
        </w:rPr>
        <w:t>本项目辅助材料消耗情况见表</w:t>
      </w:r>
      <w:r>
        <w:rPr>
          <w:sz w:val="24"/>
        </w:rPr>
        <w:t>表3.1-7。</w:t>
      </w:r>
    </w:p>
    <w:p w14:paraId="70D38690">
      <w:pPr>
        <w:ind w:left="480"/>
        <w:jc w:val="center"/>
        <w:rPr>
          <w:b/>
          <w:szCs w:val="21"/>
        </w:rPr>
      </w:pPr>
      <w:r>
        <w:rPr>
          <w:b/>
          <w:sz w:val="24"/>
        </w:rPr>
        <w:t xml:space="preserve">表3.1-7 </w:t>
      </w:r>
      <w:r>
        <w:rPr>
          <w:b/>
          <w:szCs w:val="21"/>
        </w:rPr>
        <w:t>项目主要辅材料及能源消耗</w:t>
      </w:r>
    </w:p>
    <w:tbl>
      <w:tblPr>
        <w:tblStyle w:val="8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25"/>
        <w:gridCol w:w="859"/>
        <w:gridCol w:w="1276"/>
        <w:gridCol w:w="4943"/>
      </w:tblGrid>
      <w:tr w14:paraId="1B30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743" w:type="dxa"/>
            <w:noWrap w:val="0"/>
            <w:vAlign w:val="center"/>
          </w:tcPr>
          <w:p w14:paraId="5FA14ABB">
            <w:pPr>
              <w:jc w:val="center"/>
              <w:rPr>
                <w:b/>
                <w:bCs/>
                <w:szCs w:val="21"/>
              </w:rPr>
            </w:pPr>
            <w:r>
              <w:rPr>
                <w:b/>
                <w:bCs/>
                <w:szCs w:val="21"/>
              </w:rPr>
              <w:t>序号</w:t>
            </w:r>
          </w:p>
        </w:tc>
        <w:tc>
          <w:tcPr>
            <w:tcW w:w="1125" w:type="dxa"/>
            <w:noWrap w:val="0"/>
            <w:vAlign w:val="center"/>
          </w:tcPr>
          <w:p w14:paraId="7A814FA3">
            <w:pPr>
              <w:jc w:val="center"/>
              <w:rPr>
                <w:b/>
                <w:bCs/>
                <w:szCs w:val="21"/>
              </w:rPr>
            </w:pPr>
            <w:r>
              <w:rPr>
                <w:b/>
                <w:bCs/>
                <w:szCs w:val="21"/>
              </w:rPr>
              <w:t>名称</w:t>
            </w:r>
          </w:p>
        </w:tc>
        <w:tc>
          <w:tcPr>
            <w:tcW w:w="859" w:type="dxa"/>
            <w:noWrap w:val="0"/>
            <w:vAlign w:val="center"/>
          </w:tcPr>
          <w:p w14:paraId="1F52401C">
            <w:pPr>
              <w:jc w:val="center"/>
              <w:rPr>
                <w:b/>
                <w:bCs/>
                <w:szCs w:val="21"/>
              </w:rPr>
            </w:pPr>
            <w:r>
              <w:rPr>
                <w:b/>
                <w:bCs/>
                <w:szCs w:val="21"/>
              </w:rPr>
              <w:t>单位</w:t>
            </w:r>
          </w:p>
        </w:tc>
        <w:tc>
          <w:tcPr>
            <w:tcW w:w="1276" w:type="dxa"/>
            <w:noWrap w:val="0"/>
            <w:vAlign w:val="center"/>
          </w:tcPr>
          <w:p w14:paraId="2B93EE1A">
            <w:pPr>
              <w:jc w:val="center"/>
              <w:rPr>
                <w:b/>
                <w:bCs/>
                <w:szCs w:val="21"/>
              </w:rPr>
            </w:pPr>
            <w:r>
              <w:rPr>
                <w:b/>
                <w:bCs/>
                <w:szCs w:val="21"/>
              </w:rPr>
              <w:t>消耗量</w:t>
            </w:r>
          </w:p>
        </w:tc>
        <w:tc>
          <w:tcPr>
            <w:tcW w:w="4943" w:type="dxa"/>
            <w:noWrap w:val="0"/>
            <w:vAlign w:val="center"/>
          </w:tcPr>
          <w:p w14:paraId="21784E66">
            <w:pPr>
              <w:jc w:val="center"/>
              <w:rPr>
                <w:b/>
                <w:bCs/>
                <w:szCs w:val="21"/>
              </w:rPr>
            </w:pPr>
            <w:r>
              <w:rPr>
                <w:b/>
                <w:bCs/>
                <w:szCs w:val="21"/>
              </w:rPr>
              <w:t>备  注</w:t>
            </w:r>
          </w:p>
        </w:tc>
      </w:tr>
      <w:tr w14:paraId="1AEA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0929C50E">
            <w:pPr>
              <w:widowControl/>
              <w:jc w:val="center"/>
              <w:textAlignment w:val="center"/>
              <w:rPr>
                <w:bCs/>
                <w:szCs w:val="21"/>
              </w:rPr>
            </w:pPr>
            <w:r>
              <w:rPr>
                <w:kern w:val="0"/>
                <w:szCs w:val="21"/>
                <w:lang w:bidi="ar"/>
              </w:rPr>
              <w:t>1</w:t>
            </w:r>
          </w:p>
        </w:tc>
        <w:tc>
          <w:tcPr>
            <w:tcW w:w="1125" w:type="dxa"/>
            <w:noWrap w:val="0"/>
            <w:vAlign w:val="center"/>
          </w:tcPr>
          <w:p w14:paraId="5E9CB5B9">
            <w:pPr>
              <w:widowControl/>
              <w:jc w:val="center"/>
              <w:textAlignment w:val="center"/>
              <w:rPr>
                <w:bCs/>
                <w:szCs w:val="21"/>
              </w:rPr>
            </w:pPr>
            <w:r>
              <w:rPr>
                <w:kern w:val="0"/>
                <w:szCs w:val="21"/>
                <w:lang w:bidi="ar"/>
              </w:rPr>
              <w:t>药品疫苗</w:t>
            </w:r>
          </w:p>
        </w:tc>
        <w:tc>
          <w:tcPr>
            <w:tcW w:w="859" w:type="dxa"/>
            <w:noWrap w:val="0"/>
            <w:vAlign w:val="center"/>
          </w:tcPr>
          <w:p w14:paraId="5D3EC07E">
            <w:pPr>
              <w:widowControl/>
              <w:jc w:val="center"/>
              <w:textAlignment w:val="center"/>
              <w:rPr>
                <w:bCs/>
                <w:szCs w:val="21"/>
              </w:rPr>
            </w:pPr>
            <w:r>
              <w:rPr>
                <w:kern w:val="0"/>
                <w:szCs w:val="21"/>
                <w:lang w:bidi="ar"/>
              </w:rPr>
              <w:t>t/a</w:t>
            </w:r>
          </w:p>
        </w:tc>
        <w:tc>
          <w:tcPr>
            <w:tcW w:w="1276" w:type="dxa"/>
            <w:noWrap w:val="0"/>
            <w:vAlign w:val="center"/>
          </w:tcPr>
          <w:p w14:paraId="5AFC3767">
            <w:pPr>
              <w:widowControl/>
              <w:jc w:val="center"/>
              <w:textAlignment w:val="center"/>
              <w:rPr>
                <w:szCs w:val="21"/>
              </w:rPr>
            </w:pPr>
            <w:r>
              <w:rPr>
                <w:szCs w:val="21"/>
              </w:rPr>
              <w:t>0.8</w:t>
            </w:r>
          </w:p>
        </w:tc>
        <w:tc>
          <w:tcPr>
            <w:tcW w:w="4943" w:type="dxa"/>
            <w:noWrap w:val="0"/>
            <w:vAlign w:val="center"/>
          </w:tcPr>
          <w:p w14:paraId="7A5FDA5C">
            <w:pPr>
              <w:widowControl/>
              <w:jc w:val="center"/>
              <w:textAlignment w:val="center"/>
              <w:rPr>
                <w:szCs w:val="21"/>
              </w:rPr>
            </w:pPr>
            <w:r>
              <w:rPr>
                <w:kern w:val="0"/>
                <w:szCs w:val="21"/>
                <w:lang w:bidi="ar"/>
              </w:rPr>
              <w:t>防疫</w:t>
            </w:r>
          </w:p>
        </w:tc>
      </w:tr>
      <w:tr w14:paraId="7EBA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0F9893A6">
            <w:pPr>
              <w:widowControl/>
              <w:jc w:val="center"/>
              <w:textAlignment w:val="center"/>
              <w:rPr>
                <w:bCs/>
                <w:szCs w:val="21"/>
              </w:rPr>
            </w:pPr>
            <w:r>
              <w:rPr>
                <w:kern w:val="0"/>
                <w:szCs w:val="21"/>
                <w:lang w:bidi="ar"/>
              </w:rPr>
              <w:t>2</w:t>
            </w:r>
          </w:p>
        </w:tc>
        <w:tc>
          <w:tcPr>
            <w:tcW w:w="1125" w:type="dxa"/>
            <w:noWrap w:val="0"/>
            <w:vAlign w:val="center"/>
          </w:tcPr>
          <w:p w14:paraId="6D1DAAFC">
            <w:pPr>
              <w:widowControl/>
              <w:jc w:val="center"/>
              <w:textAlignment w:val="center"/>
              <w:rPr>
                <w:bCs/>
                <w:szCs w:val="21"/>
              </w:rPr>
            </w:pPr>
            <w:r>
              <w:rPr>
                <w:kern w:val="0"/>
                <w:szCs w:val="21"/>
                <w:lang w:bidi="ar"/>
              </w:rPr>
              <w:t>脱硫剂</w:t>
            </w:r>
          </w:p>
        </w:tc>
        <w:tc>
          <w:tcPr>
            <w:tcW w:w="859" w:type="dxa"/>
            <w:noWrap w:val="0"/>
            <w:vAlign w:val="center"/>
          </w:tcPr>
          <w:p w14:paraId="4DDB9EA1">
            <w:pPr>
              <w:widowControl/>
              <w:jc w:val="center"/>
              <w:textAlignment w:val="center"/>
              <w:rPr>
                <w:bCs/>
                <w:szCs w:val="21"/>
              </w:rPr>
            </w:pPr>
            <w:r>
              <w:rPr>
                <w:kern w:val="0"/>
                <w:szCs w:val="21"/>
                <w:lang w:bidi="ar"/>
              </w:rPr>
              <w:t>t/a</w:t>
            </w:r>
          </w:p>
        </w:tc>
        <w:tc>
          <w:tcPr>
            <w:tcW w:w="1276" w:type="dxa"/>
            <w:noWrap w:val="0"/>
            <w:vAlign w:val="center"/>
          </w:tcPr>
          <w:p w14:paraId="5FF544EC">
            <w:pPr>
              <w:widowControl/>
              <w:jc w:val="center"/>
              <w:textAlignment w:val="center"/>
              <w:rPr>
                <w:szCs w:val="21"/>
              </w:rPr>
            </w:pPr>
            <w:r>
              <w:rPr>
                <w:szCs w:val="21"/>
              </w:rPr>
              <w:t>0.5</w:t>
            </w:r>
          </w:p>
        </w:tc>
        <w:tc>
          <w:tcPr>
            <w:tcW w:w="4943" w:type="dxa"/>
            <w:noWrap w:val="0"/>
            <w:vAlign w:val="center"/>
          </w:tcPr>
          <w:p w14:paraId="22115EF8">
            <w:pPr>
              <w:widowControl/>
              <w:jc w:val="center"/>
              <w:textAlignment w:val="center"/>
              <w:rPr>
                <w:szCs w:val="21"/>
              </w:rPr>
            </w:pPr>
            <w:r>
              <w:rPr>
                <w:kern w:val="0"/>
                <w:szCs w:val="21"/>
                <w:lang w:bidi="ar"/>
              </w:rPr>
              <w:t>沼气脱硫</w:t>
            </w:r>
          </w:p>
        </w:tc>
      </w:tr>
      <w:tr w14:paraId="1345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45AC9464">
            <w:pPr>
              <w:widowControl/>
              <w:jc w:val="center"/>
              <w:textAlignment w:val="center"/>
              <w:rPr>
                <w:bCs/>
                <w:szCs w:val="21"/>
              </w:rPr>
            </w:pPr>
            <w:r>
              <w:rPr>
                <w:kern w:val="0"/>
                <w:szCs w:val="21"/>
                <w:lang w:bidi="ar"/>
              </w:rPr>
              <w:t>3</w:t>
            </w:r>
          </w:p>
        </w:tc>
        <w:tc>
          <w:tcPr>
            <w:tcW w:w="1125" w:type="dxa"/>
            <w:noWrap w:val="0"/>
            <w:vAlign w:val="center"/>
          </w:tcPr>
          <w:p w14:paraId="359EA3CC">
            <w:pPr>
              <w:widowControl/>
              <w:jc w:val="center"/>
              <w:textAlignment w:val="center"/>
              <w:rPr>
                <w:bCs/>
                <w:szCs w:val="21"/>
              </w:rPr>
            </w:pPr>
            <w:r>
              <w:rPr>
                <w:kern w:val="0"/>
                <w:szCs w:val="21"/>
                <w:lang w:bidi="ar"/>
              </w:rPr>
              <w:t>除臭剂</w:t>
            </w:r>
          </w:p>
        </w:tc>
        <w:tc>
          <w:tcPr>
            <w:tcW w:w="859" w:type="dxa"/>
            <w:noWrap w:val="0"/>
            <w:vAlign w:val="center"/>
          </w:tcPr>
          <w:p w14:paraId="2A2CCEC1">
            <w:pPr>
              <w:widowControl/>
              <w:jc w:val="center"/>
              <w:textAlignment w:val="center"/>
              <w:rPr>
                <w:bCs/>
                <w:szCs w:val="21"/>
              </w:rPr>
            </w:pPr>
            <w:r>
              <w:rPr>
                <w:kern w:val="0"/>
                <w:szCs w:val="21"/>
                <w:lang w:bidi="ar"/>
              </w:rPr>
              <w:t>t/a</w:t>
            </w:r>
          </w:p>
        </w:tc>
        <w:tc>
          <w:tcPr>
            <w:tcW w:w="1276" w:type="dxa"/>
            <w:noWrap w:val="0"/>
            <w:vAlign w:val="center"/>
          </w:tcPr>
          <w:p w14:paraId="11E3096B">
            <w:pPr>
              <w:widowControl/>
              <w:jc w:val="center"/>
              <w:textAlignment w:val="center"/>
              <w:rPr>
                <w:bCs/>
                <w:szCs w:val="21"/>
              </w:rPr>
            </w:pPr>
            <w:r>
              <w:rPr>
                <w:bCs/>
                <w:szCs w:val="21"/>
              </w:rPr>
              <w:t>1.2</w:t>
            </w:r>
          </w:p>
        </w:tc>
        <w:tc>
          <w:tcPr>
            <w:tcW w:w="4943" w:type="dxa"/>
            <w:noWrap w:val="0"/>
            <w:vAlign w:val="center"/>
          </w:tcPr>
          <w:p w14:paraId="2DCB8384">
            <w:pPr>
              <w:widowControl/>
              <w:jc w:val="center"/>
              <w:textAlignment w:val="center"/>
              <w:rPr>
                <w:szCs w:val="21"/>
              </w:rPr>
            </w:pPr>
            <w:r>
              <w:rPr>
                <w:kern w:val="0"/>
                <w:szCs w:val="21"/>
                <w:lang w:bidi="ar"/>
              </w:rPr>
              <w:t>/</w:t>
            </w:r>
          </w:p>
        </w:tc>
      </w:tr>
      <w:tr w14:paraId="0D81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7851AF6D">
            <w:pPr>
              <w:widowControl/>
              <w:jc w:val="center"/>
              <w:textAlignment w:val="center"/>
              <w:rPr>
                <w:kern w:val="0"/>
                <w:szCs w:val="21"/>
                <w:lang w:bidi="ar"/>
              </w:rPr>
            </w:pPr>
            <w:r>
              <w:rPr>
                <w:kern w:val="0"/>
                <w:szCs w:val="21"/>
                <w:lang w:bidi="ar"/>
              </w:rPr>
              <w:t>4</w:t>
            </w:r>
          </w:p>
        </w:tc>
        <w:tc>
          <w:tcPr>
            <w:tcW w:w="1125" w:type="dxa"/>
            <w:noWrap w:val="0"/>
            <w:vAlign w:val="center"/>
          </w:tcPr>
          <w:p w14:paraId="2CF672EB">
            <w:pPr>
              <w:widowControl/>
              <w:jc w:val="center"/>
              <w:textAlignment w:val="center"/>
              <w:rPr>
                <w:kern w:val="0"/>
                <w:szCs w:val="21"/>
                <w:lang w:bidi="ar"/>
              </w:rPr>
            </w:pPr>
            <w:r>
              <w:rPr>
                <w:kern w:val="0"/>
                <w:szCs w:val="21"/>
                <w:lang w:bidi="ar"/>
              </w:rPr>
              <w:t>消毒剂</w:t>
            </w:r>
          </w:p>
        </w:tc>
        <w:tc>
          <w:tcPr>
            <w:tcW w:w="859" w:type="dxa"/>
            <w:noWrap w:val="0"/>
            <w:vAlign w:val="center"/>
          </w:tcPr>
          <w:p w14:paraId="219894B0">
            <w:pPr>
              <w:widowControl/>
              <w:jc w:val="center"/>
              <w:textAlignment w:val="center"/>
              <w:rPr>
                <w:kern w:val="0"/>
                <w:szCs w:val="21"/>
                <w:lang w:bidi="ar"/>
              </w:rPr>
            </w:pPr>
            <w:r>
              <w:rPr>
                <w:kern w:val="0"/>
                <w:szCs w:val="21"/>
                <w:lang w:bidi="ar"/>
              </w:rPr>
              <w:t>t/a</w:t>
            </w:r>
          </w:p>
        </w:tc>
        <w:tc>
          <w:tcPr>
            <w:tcW w:w="1276" w:type="dxa"/>
            <w:noWrap w:val="0"/>
            <w:vAlign w:val="center"/>
          </w:tcPr>
          <w:p w14:paraId="7B53DAAB">
            <w:pPr>
              <w:widowControl/>
              <w:jc w:val="center"/>
              <w:textAlignment w:val="center"/>
              <w:rPr>
                <w:bCs/>
                <w:szCs w:val="21"/>
              </w:rPr>
            </w:pPr>
            <w:r>
              <w:rPr>
                <w:bCs/>
                <w:szCs w:val="21"/>
              </w:rPr>
              <w:t>1.0</w:t>
            </w:r>
          </w:p>
        </w:tc>
        <w:tc>
          <w:tcPr>
            <w:tcW w:w="4943" w:type="dxa"/>
            <w:noWrap w:val="0"/>
            <w:vAlign w:val="center"/>
          </w:tcPr>
          <w:p w14:paraId="3E47387E">
            <w:pPr>
              <w:widowControl/>
              <w:jc w:val="center"/>
              <w:textAlignment w:val="center"/>
              <w:rPr>
                <w:kern w:val="0"/>
                <w:szCs w:val="21"/>
                <w:lang w:bidi="ar"/>
              </w:rPr>
            </w:pPr>
            <w:r>
              <w:rPr>
                <w:kern w:val="0"/>
                <w:szCs w:val="21"/>
                <w:lang w:bidi="ar"/>
              </w:rPr>
              <w:t>外购，用于消毒，一种消毒氯片，该产品一种高效、低毒、广谱、快速的杀菌消毒剂，具有快速杀灭各种细菌、真菌、芽胞、霉菌、霍乱孤菌和灭藻、除臭、净水、漂白之功效，对人畜毫无害处，无二次污染。</w:t>
            </w:r>
          </w:p>
        </w:tc>
      </w:tr>
      <w:tr w14:paraId="5735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0EA9B798">
            <w:pPr>
              <w:widowControl/>
              <w:jc w:val="center"/>
              <w:textAlignment w:val="center"/>
              <w:rPr>
                <w:kern w:val="0"/>
                <w:szCs w:val="21"/>
                <w:lang w:bidi="ar"/>
              </w:rPr>
            </w:pPr>
            <w:r>
              <w:rPr>
                <w:kern w:val="0"/>
                <w:szCs w:val="21"/>
                <w:lang w:bidi="ar"/>
              </w:rPr>
              <w:t>5</w:t>
            </w:r>
          </w:p>
        </w:tc>
        <w:tc>
          <w:tcPr>
            <w:tcW w:w="1125" w:type="dxa"/>
            <w:noWrap w:val="0"/>
            <w:vAlign w:val="center"/>
          </w:tcPr>
          <w:p w14:paraId="228DBC79">
            <w:pPr>
              <w:widowControl/>
              <w:jc w:val="center"/>
              <w:textAlignment w:val="center"/>
              <w:rPr>
                <w:kern w:val="0"/>
                <w:szCs w:val="21"/>
                <w:lang w:bidi="ar"/>
              </w:rPr>
            </w:pPr>
            <w:r>
              <w:rPr>
                <w:kern w:val="0"/>
                <w:szCs w:val="21"/>
                <w:lang w:bidi="ar"/>
              </w:rPr>
              <w:t>水</w:t>
            </w:r>
          </w:p>
        </w:tc>
        <w:tc>
          <w:tcPr>
            <w:tcW w:w="859" w:type="dxa"/>
            <w:noWrap w:val="0"/>
            <w:vAlign w:val="center"/>
          </w:tcPr>
          <w:p w14:paraId="79432916">
            <w:pPr>
              <w:widowControl/>
              <w:jc w:val="center"/>
              <w:textAlignment w:val="center"/>
              <w:rPr>
                <w:kern w:val="0"/>
                <w:szCs w:val="21"/>
                <w:lang w:bidi="ar"/>
              </w:rPr>
            </w:pPr>
            <w:r>
              <w:rPr>
                <w:kern w:val="0"/>
                <w:szCs w:val="21"/>
                <w:lang w:bidi="ar"/>
              </w:rPr>
              <w:t>m</w:t>
            </w:r>
            <w:r>
              <w:rPr>
                <w:kern w:val="0"/>
                <w:szCs w:val="21"/>
                <w:vertAlign w:val="superscript"/>
                <w:lang w:bidi="ar"/>
              </w:rPr>
              <w:t>3</w:t>
            </w:r>
            <w:r>
              <w:rPr>
                <w:kern w:val="0"/>
                <w:szCs w:val="21"/>
                <w:lang w:bidi="ar"/>
              </w:rPr>
              <w:t>/a</w:t>
            </w:r>
          </w:p>
        </w:tc>
        <w:tc>
          <w:tcPr>
            <w:tcW w:w="1276" w:type="dxa"/>
            <w:noWrap w:val="0"/>
            <w:vAlign w:val="center"/>
          </w:tcPr>
          <w:p w14:paraId="536E581D">
            <w:pPr>
              <w:widowControl/>
              <w:jc w:val="center"/>
              <w:textAlignment w:val="center"/>
              <w:rPr>
                <w:bCs/>
                <w:szCs w:val="21"/>
              </w:rPr>
            </w:pPr>
            <w:r>
              <w:rPr>
                <w:bCs/>
                <w:szCs w:val="21"/>
              </w:rPr>
              <w:t>20286.55</w:t>
            </w:r>
          </w:p>
        </w:tc>
        <w:tc>
          <w:tcPr>
            <w:tcW w:w="4943" w:type="dxa"/>
            <w:noWrap w:val="0"/>
            <w:vAlign w:val="center"/>
          </w:tcPr>
          <w:p w14:paraId="043E7E03">
            <w:pPr>
              <w:widowControl/>
              <w:jc w:val="center"/>
              <w:textAlignment w:val="center"/>
              <w:rPr>
                <w:kern w:val="0"/>
                <w:szCs w:val="21"/>
                <w:lang w:bidi="ar"/>
              </w:rPr>
            </w:pPr>
            <w:r>
              <w:rPr>
                <w:kern w:val="0"/>
                <w:szCs w:val="21"/>
                <w:lang w:bidi="ar"/>
              </w:rPr>
              <w:t>市政</w:t>
            </w:r>
          </w:p>
        </w:tc>
      </w:tr>
      <w:tr w14:paraId="5FEB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61CED6CB">
            <w:pPr>
              <w:widowControl/>
              <w:jc w:val="center"/>
              <w:textAlignment w:val="center"/>
              <w:rPr>
                <w:kern w:val="0"/>
                <w:szCs w:val="21"/>
                <w:lang w:bidi="ar"/>
              </w:rPr>
            </w:pPr>
            <w:r>
              <w:rPr>
                <w:kern w:val="0"/>
                <w:szCs w:val="21"/>
                <w:lang w:bidi="ar"/>
              </w:rPr>
              <w:t>6</w:t>
            </w:r>
          </w:p>
        </w:tc>
        <w:tc>
          <w:tcPr>
            <w:tcW w:w="1125" w:type="dxa"/>
            <w:noWrap w:val="0"/>
            <w:vAlign w:val="center"/>
          </w:tcPr>
          <w:p w14:paraId="2FED24C6">
            <w:pPr>
              <w:widowControl/>
              <w:jc w:val="center"/>
              <w:textAlignment w:val="center"/>
              <w:rPr>
                <w:kern w:val="0"/>
                <w:szCs w:val="21"/>
                <w:lang w:bidi="ar"/>
              </w:rPr>
            </w:pPr>
            <w:r>
              <w:rPr>
                <w:kern w:val="0"/>
                <w:szCs w:val="21"/>
                <w:lang w:bidi="ar"/>
              </w:rPr>
              <w:t>电</w:t>
            </w:r>
          </w:p>
        </w:tc>
        <w:tc>
          <w:tcPr>
            <w:tcW w:w="859" w:type="dxa"/>
            <w:noWrap w:val="0"/>
            <w:vAlign w:val="center"/>
          </w:tcPr>
          <w:p w14:paraId="49DEE0B0">
            <w:pPr>
              <w:widowControl/>
              <w:jc w:val="center"/>
              <w:textAlignment w:val="center"/>
              <w:rPr>
                <w:kern w:val="0"/>
                <w:szCs w:val="21"/>
                <w:lang w:bidi="ar"/>
              </w:rPr>
            </w:pPr>
            <w:r>
              <w:rPr>
                <w:kern w:val="0"/>
                <w:szCs w:val="21"/>
                <w:lang w:bidi="ar"/>
              </w:rPr>
              <w:t>Kwh</w:t>
            </w:r>
          </w:p>
        </w:tc>
        <w:tc>
          <w:tcPr>
            <w:tcW w:w="1276" w:type="dxa"/>
            <w:noWrap w:val="0"/>
            <w:vAlign w:val="center"/>
          </w:tcPr>
          <w:p w14:paraId="5B44F994">
            <w:pPr>
              <w:widowControl/>
              <w:jc w:val="center"/>
              <w:textAlignment w:val="center"/>
              <w:rPr>
                <w:bCs/>
                <w:szCs w:val="21"/>
              </w:rPr>
            </w:pPr>
            <w:r>
              <w:rPr>
                <w:bCs/>
                <w:szCs w:val="21"/>
              </w:rPr>
              <w:t>0.8万</w:t>
            </w:r>
          </w:p>
        </w:tc>
        <w:tc>
          <w:tcPr>
            <w:tcW w:w="4943" w:type="dxa"/>
            <w:noWrap w:val="0"/>
            <w:vAlign w:val="center"/>
          </w:tcPr>
          <w:p w14:paraId="1734AA5B">
            <w:pPr>
              <w:widowControl/>
              <w:jc w:val="center"/>
              <w:textAlignment w:val="center"/>
              <w:rPr>
                <w:kern w:val="0"/>
                <w:szCs w:val="21"/>
                <w:lang w:bidi="ar"/>
              </w:rPr>
            </w:pPr>
            <w:r>
              <w:rPr>
                <w:kern w:val="0"/>
                <w:szCs w:val="21"/>
                <w:lang w:bidi="ar"/>
              </w:rPr>
              <w:t>圭山镇供电所</w:t>
            </w:r>
          </w:p>
        </w:tc>
      </w:tr>
      <w:tr w14:paraId="7BD7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noWrap w:val="0"/>
            <w:vAlign w:val="center"/>
          </w:tcPr>
          <w:p w14:paraId="23D93229">
            <w:pPr>
              <w:widowControl/>
              <w:jc w:val="center"/>
              <w:textAlignment w:val="center"/>
              <w:rPr>
                <w:kern w:val="0"/>
                <w:szCs w:val="21"/>
                <w:lang w:bidi="ar"/>
              </w:rPr>
            </w:pPr>
            <w:r>
              <w:rPr>
                <w:kern w:val="0"/>
                <w:szCs w:val="21"/>
                <w:lang w:bidi="ar"/>
              </w:rPr>
              <w:t>7</w:t>
            </w:r>
          </w:p>
        </w:tc>
        <w:tc>
          <w:tcPr>
            <w:tcW w:w="1125" w:type="dxa"/>
            <w:noWrap w:val="0"/>
            <w:vAlign w:val="center"/>
          </w:tcPr>
          <w:p w14:paraId="56E3CDDD">
            <w:pPr>
              <w:widowControl/>
              <w:jc w:val="center"/>
              <w:textAlignment w:val="center"/>
              <w:rPr>
                <w:kern w:val="0"/>
                <w:szCs w:val="21"/>
                <w:lang w:bidi="ar"/>
              </w:rPr>
            </w:pPr>
            <w:r>
              <w:rPr>
                <w:kern w:val="0"/>
                <w:szCs w:val="21"/>
                <w:lang w:bidi="ar"/>
              </w:rPr>
              <w:t>沼气</w:t>
            </w:r>
          </w:p>
        </w:tc>
        <w:tc>
          <w:tcPr>
            <w:tcW w:w="859" w:type="dxa"/>
            <w:noWrap w:val="0"/>
            <w:vAlign w:val="center"/>
          </w:tcPr>
          <w:p w14:paraId="5BB38C94">
            <w:pPr>
              <w:widowControl/>
              <w:jc w:val="center"/>
              <w:textAlignment w:val="center"/>
              <w:rPr>
                <w:kern w:val="0"/>
                <w:szCs w:val="21"/>
                <w:lang w:bidi="ar"/>
              </w:rPr>
            </w:pPr>
            <w:r>
              <w:rPr>
                <w:kern w:val="0"/>
                <w:szCs w:val="21"/>
                <w:lang w:bidi="ar"/>
              </w:rPr>
              <w:t>m</w:t>
            </w:r>
            <w:r>
              <w:rPr>
                <w:kern w:val="0"/>
                <w:szCs w:val="21"/>
                <w:vertAlign w:val="superscript"/>
                <w:lang w:bidi="ar"/>
              </w:rPr>
              <w:t>3</w:t>
            </w:r>
            <w:r>
              <w:rPr>
                <w:kern w:val="0"/>
                <w:szCs w:val="21"/>
                <w:lang w:bidi="ar"/>
              </w:rPr>
              <w:t>/a</w:t>
            </w:r>
          </w:p>
        </w:tc>
        <w:tc>
          <w:tcPr>
            <w:tcW w:w="1276" w:type="dxa"/>
            <w:noWrap w:val="0"/>
            <w:vAlign w:val="center"/>
          </w:tcPr>
          <w:p w14:paraId="6E489021">
            <w:pPr>
              <w:widowControl/>
              <w:jc w:val="center"/>
              <w:textAlignment w:val="center"/>
              <w:rPr>
                <w:bCs/>
                <w:szCs w:val="21"/>
              </w:rPr>
            </w:pPr>
            <w:r>
              <w:rPr>
                <w:szCs w:val="21"/>
              </w:rPr>
              <w:t>2424.3</w:t>
            </w:r>
          </w:p>
        </w:tc>
        <w:tc>
          <w:tcPr>
            <w:tcW w:w="4943" w:type="dxa"/>
            <w:noWrap w:val="0"/>
            <w:vAlign w:val="center"/>
          </w:tcPr>
          <w:p w14:paraId="4A3B617C">
            <w:pPr>
              <w:widowControl/>
              <w:jc w:val="center"/>
              <w:textAlignment w:val="center"/>
              <w:rPr>
                <w:kern w:val="0"/>
                <w:szCs w:val="21"/>
                <w:lang w:bidi="ar"/>
              </w:rPr>
            </w:pPr>
            <w:r>
              <w:rPr>
                <w:kern w:val="0"/>
                <w:szCs w:val="21"/>
                <w:lang w:bidi="ar"/>
              </w:rPr>
              <w:t>沼气池产生</w:t>
            </w:r>
          </w:p>
        </w:tc>
      </w:tr>
    </w:tbl>
    <w:p w14:paraId="1DB3B1CB">
      <w:pPr>
        <w:pStyle w:val="7"/>
        <w:spacing w:before="0" w:after="0" w:line="360" w:lineRule="auto"/>
        <w:rPr>
          <w:rFonts w:ascii="Times New Roman" w:hAnsi="Times New Roman"/>
          <w:sz w:val="28"/>
          <w:szCs w:val="28"/>
        </w:rPr>
      </w:pPr>
      <w:bookmarkStart w:id="65" w:name="_Toc327867688"/>
      <w:bookmarkStart w:id="66" w:name="_Toc338163090"/>
      <w:bookmarkStart w:id="67" w:name="_Toc322617050"/>
      <w:bookmarkStart w:id="68" w:name="_Toc256755207"/>
      <w:r>
        <w:rPr>
          <w:rFonts w:ascii="Times New Roman" w:hAnsi="Times New Roman"/>
          <w:sz w:val="28"/>
          <w:szCs w:val="28"/>
        </w:rPr>
        <w:t>3.1.6粪污处理工艺</w:t>
      </w:r>
    </w:p>
    <w:bookmarkEnd w:id="65"/>
    <w:bookmarkEnd w:id="66"/>
    <w:bookmarkEnd w:id="67"/>
    <w:bookmarkEnd w:id="68"/>
    <w:p w14:paraId="3ED81943">
      <w:pPr>
        <w:adjustRightInd w:val="0"/>
        <w:snapToGrid w:val="0"/>
        <w:spacing w:line="500" w:lineRule="exact"/>
        <w:ind w:firstLine="482" w:firstLineChars="200"/>
        <w:rPr>
          <w:b/>
          <w:bCs/>
          <w:sz w:val="24"/>
        </w:rPr>
      </w:pPr>
      <w:r>
        <w:rPr>
          <w:b/>
          <w:bCs/>
          <w:sz w:val="24"/>
        </w:rPr>
        <w:t>3.1.6.1清粪工艺</w:t>
      </w:r>
    </w:p>
    <w:p w14:paraId="34F3DAB1">
      <w:pPr>
        <w:adjustRightInd w:val="0"/>
        <w:snapToGrid w:val="0"/>
        <w:spacing w:line="500" w:lineRule="exact"/>
        <w:ind w:firstLine="480" w:firstLineChars="200"/>
        <w:rPr>
          <w:sz w:val="24"/>
        </w:rPr>
      </w:pPr>
      <w:r>
        <w:rPr>
          <w:sz w:val="24"/>
        </w:rPr>
        <w:t>本项目采用环保部认定的（图3-2）干清粪工艺：猪生活在漏缝地板上，猪舍内产生的猪粪由于猪的踩踏及重力作用离开猪舍进入猪舍底部的粪污储存池，粪污储存池使用尿封，不注入清水，也不将清水用于圈舍粪尿日常清理。储存池底部设计成一端高一端低的倾斜结构，排粪塞位于最低端，项目粪污储存池每日进行排空，排空时粪尿依靠储存池底部坡度由储存池排出，固液分离后，废水排入收集池，采用罐车抽吸后运至苹果园处设置的污水处理系统进行处理。</w:t>
      </w:r>
    </w:p>
    <w:p w14:paraId="5E31019E">
      <w:pPr>
        <w:adjustRightInd w:val="0"/>
        <w:snapToGrid w:val="0"/>
        <w:spacing w:line="500" w:lineRule="exact"/>
        <w:ind w:firstLine="480" w:firstLineChars="200"/>
        <w:rPr>
          <w:sz w:val="24"/>
        </w:rPr>
      </w:pPr>
      <w:r>
        <w:rPr>
          <w:sz w:val="24"/>
        </w:rPr>
        <w:t>猪粪和沼渣运至固粪处理区进行堆存，发酵后作为有机肥使用于苹果园施肥。粪污可以实现粪污固液分离和无害化并全部实现综合利用，不混合排出。本项目采用的清粪工艺日常清理不需使用清水，废水产生量较小，劳动强度小，管理难度低。</w:t>
      </w:r>
    </w:p>
    <w:p w14:paraId="61322867">
      <w:pPr>
        <w:pStyle w:val="86"/>
        <w:spacing w:after="0" w:line="500" w:lineRule="exact"/>
        <w:ind w:left="0" w:leftChars="0" w:firstLine="480"/>
        <w:rPr>
          <w:szCs w:val="22"/>
        </w:rPr>
      </w:pPr>
      <w:r>
        <w:rPr>
          <w:szCs w:val="22"/>
        </w:rPr>
        <w:t>清粪工艺流程见图3-</w:t>
      </w:r>
      <w:r>
        <w:rPr>
          <w:rFonts w:hint="eastAsia"/>
          <w:szCs w:val="22"/>
        </w:rPr>
        <w:t>2</w:t>
      </w:r>
      <w:r>
        <w:rPr>
          <w:szCs w:val="22"/>
        </w:rPr>
        <w:t>。</w:t>
      </w:r>
    </w:p>
    <w:p w14:paraId="6D3608D0">
      <w:pPr>
        <w:pStyle w:val="86"/>
        <w:ind w:firstLine="480"/>
      </w:pPr>
      <w:r>
        <w:rPr>
          <w:lang/>
        </w:rPr>
        <mc:AlternateContent>
          <mc:Choice Requires="wps">
            <w:drawing>
              <wp:anchor distT="0" distB="0" distL="114300" distR="114300" simplePos="0" relativeHeight="251767808" behindDoc="0" locked="0" layoutInCell="1" allowOverlap="1">
                <wp:simplePos x="0" y="0"/>
                <wp:positionH relativeFrom="column">
                  <wp:posOffset>-234315</wp:posOffset>
                </wp:positionH>
                <wp:positionV relativeFrom="paragraph">
                  <wp:posOffset>57785</wp:posOffset>
                </wp:positionV>
                <wp:extent cx="5553075" cy="3329940"/>
                <wp:effectExtent l="4445" t="4445" r="5080" b="18415"/>
                <wp:wrapNone/>
                <wp:docPr id="137" name="文本框 1963"/>
                <wp:cNvGraphicFramePr/>
                <a:graphic xmlns:a="http://schemas.openxmlformats.org/drawingml/2006/main">
                  <a:graphicData uri="http://schemas.microsoft.com/office/word/2010/wordprocessingShape">
                    <wps:wsp>
                      <wps:cNvSpPr txBox="1"/>
                      <wps:spPr>
                        <a:xfrm>
                          <a:off x="0" y="0"/>
                          <a:ext cx="5553075" cy="3329940"/>
                        </a:xfrm>
                        <a:prstGeom prst="rect">
                          <a:avLst/>
                        </a:prstGeom>
                        <a:noFill/>
                        <a:ln w="9525" cap="flat" cmpd="sng">
                          <a:solidFill>
                            <a:srgbClr val="000000"/>
                          </a:solidFill>
                          <a:prstDash val="solid"/>
                          <a:miter/>
                          <a:headEnd type="none" w="med" len="med"/>
                          <a:tailEnd type="none" w="med" len="med"/>
                        </a:ln>
                      </wps:spPr>
                      <wps:txbx>
                        <w:txbxContent>
                          <w:p w14:paraId="18A0A817"/>
                        </w:txbxContent>
                      </wps:txbx>
                      <wps:bodyPr wrap="square" upright="1"/>
                    </wps:wsp>
                  </a:graphicData>
                </a:graphic>
              </wp:anchor>
            </w:drawing>
          </mc:Choice>
          <mc:Fallback>
            <w:pict>
              <v:shape id="文本框 1963" o:spid="_x0000_s1026" o:spt="202" type="#_x0000_t202" style="position:absolute;left:0pt;margin-left:-18.45pt;margin-top:4.55pt;height:262.2pt;width:437.25pt;z-index:251767808;mso-width-relative:page;mso-height-relative:page;" filled="f" stroked="t" coordsize="21600,21600" o:gfxdata="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J1Ps1wAAAAkBAAAPAAAA&#10;AAAAAAEAIAAAACIAAABkcnMvZG93bnJldi54bWxQSwECFAAUAAAACACHTuJA3np+YhYCAAAhBAAA&#10;DgAAAAAAAAABACAAAAAmAQAAZHJzL2Uyb0RvYy54bWxQSwUGAAAAAAYABgBZAQAArgUAAAAA&#10;">
                <v:fill on="f" focussize="0,0"/>
                <v:stroke color="#000000" joinstyle="miter"/>
                <v:imagedata o:title=""/>
                <o:lock v:ext="edit" aspectratio="f"/>
                <v:textbox>
                  <w:txbxContent>
                    <w:p w14:paraId="18A0A817"/>
                  </w:txbxContent>
                </v:textbox>
              </v:shape>
            </w:pict>
          </mc:Fallback>
        </mc:AlternateContent>
      </w:r>
      <w:r>
        <w:rPr>
          <w:lang/>
        </w:rPr>
        <mc:AlternateContent>
          <mc:Choice Requires="wps">
            <w:drawing>
              <wp:anchor distT="0" distB="0" distL="114300" distR="114300" simplePos="0" relativeHeight="251772928" behindDoc="0" locked="0" layoutInCell="1" allowOverlap="1">
                <wp:simplePos x="0" y="0"/>
                <wp:positionH relativeFrom="column">
                  <wp:posOffset>777875</wp:posOffset>
                </wp:positionH>
                <wp:positionV relativeFrom="paragraph">
                  <wp:posOffset>33020</wp:posOffset>
                </wp:positionV>
                <wp:extent cx="895350" cy="295275"/>
                <wp:effectExtent l="0" t="0" r="0" b="0"/>
                <wp:wrapNone/>
                <wp:docPr id="142" name="文本框 9"/>
                <wp:cNvGraphicFramePr/>
                <a:graphic xmlns:a="http://schemas.openxmlformats.org/drawingml/2006/main">
                  <a:graphicData uri="http://schemas.microsoft.com/office/word/2010/wordprocessingShape">
                    <wps:wsp>
                      <wps:cNvSpPr txBox="1"/>
                      <wps:spPr>
                        <a:xfrm>
                          <a:off x="0" y="0"/>
                          <a:ext cx="895350" cy="295275"/>
                        </a:xfrm>
                        <a:prstGeom prst="rect">
                          <a:avLst/>
                        </a:prstGeom>
                        <a:noFill/>
                        <a:ln>
                          <a:noFill/>
                        </a:ln>
                      </wps:spPr>
                      <wps:txbx>
                        <w:txbxContent>
                          <w:p w14:paraId="7FF25E0A">
                            <w:pPr>
                              <w:rPr>
                                <w:szCs w:val="21"/>
                              </w:rPr>
                            </w:pPr>
                            <w:r>
                              <w:rPr>
                                <w:rFonts w:hint="eastAsia"/>
                                <w:szCs w:val="21"/>
                              </w:rPr>
                              <w:t>漏粪板（猪）</w:t>
                            </w:r>
                          </w:p>
                        </w:txbxContent>
                      </wps:txbx>
                      <wps:bodyPr wrap="square" upright="1"/>
                    </wps:wsp>
                  </a:graphicData>
                </a:graphic>
              </wp:anchor>
            </w:drawing>
          </mc:Choice>
          <mc:Fallback>
            <w:pict>
              <v:shape id="文本框 9" o:spid="_x0000_s1026" o:spt="202" type="#_x0000_t202" style="position:absolute;left:0pt;margin-left:61.25pt;margin-top:2.6pt;height:23.25pt;width:70.5pt;z-index:251772928;mso-width-relative:page;mso-height-relative:page;" filled="f" stroked="f" coordsize="21600,21600" o:gfxdata="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fZW9MAAAAIAQAADwAAAAAAAAABACAAAAAiAAAAZHJzL2Rvd25yZXYueG1sUEsBAhQAFAAAAAgA&#10;h07iQEIueni4AQAAXQMAAA4AAAAAAAAAAQAgAAAAIgEAAGRycy9lMm9Eb2MueG1sUEsFBgAAAAAG&#10;AAYAWQEAAEwFAAAAAA==&#10;">
                <v:fill on="f" focussize="0,0"/>
                <v:stroke on="f"/>
                <v:imagedata o:title=""/>
                <o:lock v:ext="edit" aspectratio="f"/>
                <v:textbox>
                  <w:txbxContent>
                    <w:p w14:paraId="7FF25E0A">
                      <w:pPr>
                        <w:rPr>
                          <w:szCs w:val="21"/>
                        </w:rPr>
                      </w:pPr>
                      <w:r>
                        <w:rPr>
                          <w:rFonts w:hint="eastAsia"/>
                          <w:szCs w:val="21"/>
                        </w:rPr>
                        <w:t>漏粪板（猪）</w:t>
                      </w:r>
                    </w:p>
                  </w:txbxContent>
                </v:textbox>
              </v:shape>
            </w:pict>
          </mc:Fallback>
        </mc:AlternateContent>
      </w:r>
      <w:r>
        <w:rPr>
          <w:lang/>
        </w:rPr>
        <mc:AlternateContent>
          <mc:Choice Requires="wps">
            <w:drawing>
              <wp:anchor distT="0" distB="0" distL="114300" distR="114300" simplePos="0" relativeHeight="251768832" behindDoc="0" locked="0" layoutInCell="1" allowOverlap="1">
                <wp:simplePos x="0" y="0"/>
                <wp:positionH relativeFrom="column">
                  <wp:posOffset>-79375</wp:posOffset>
                </wp:positionH>
                <wp:positionV relativeFrom="paragraph">
                  <wp:posOffset>258445</wp:posOffset>
                </wp:positionV>
                <wp:extent cx="2219325" cy="346075"/>
                <wp:effectExtent l="16510" t="4445" r="31115" b="11430"/>
                <wp:wrapNone/>
                <wp:docPr id="138" name="自选图形 5"/>
                <wp:cNvGraphicFramePr/>
                <a:graphic xmlns:a="http://schemas.openxmlformats.org/drawingml/2006/main">
                  <a:graphicData uri="http://schemas.microsoft.com/office/word/2010/wordprocessingShape">
                    <wps:wsp>
                      <wps:cNvSpPr/>
                      <wps:spPr>
                        <a:xfrm>
                          <a:off x="0" y="0"/>
                          <a:ext cx="2219325" cy="346075"/>
                        </a:xfrm>
                        <a:prstGeom prst="parallelogram">
                          <a:avLst>
                            <a:gd name="adj" fmla="val 160321"/>
                          </a:avLst>
                        </a:prstGeom>
                        <a:pattFill prst="openDmnd">
                          <a:fgClr>
                            <a:srgbClr val="000000"/>
                          </a:fgClr>
                          <a:bgClr>
                            <a:srgbClr val="FFFFFF"/>
                          </a:bgClr>
                        </a:patt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 o:spid="_x0000_s1026" o:spt="7" type="#_x0000_t7" style="position:absolute;left:0pt;margin-left:-6.25pt;margin-top:20.35pt;height:27.25pt;width:174.75pt;z-index:251768832;mso-width-relative:page;mso-height-relative:page;" fillcolor="#000000" filled="t" stroked="t" coordsize="21600,21600" o:gfxdata="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TxG1NkAAAAJAQAADwAAAAAAAAAB&#10;ACAAAAAiAAAAZHJzL2Rvd25yZXYueG1sUEsBAhQAFAAAAAgAh07iQLcMl3NIAgAAtwQAAA4AAAAA&#10;AAAAAQAgAAAAKAEAAGRycy9lMm9Eb2MueG1sUEsFBgAAAAAGAAYAWQEAAOIFAAAAAA==&#10;" adj="5400">
                <v:fill type="pattern" on="t" color2="#FFFFFF" o:title="轮廓式菱形" focussize="0,0" r:id="rId17"/>
                <v:stroke color="#000000" joinstyle="miter"/>
                <v:imagedata o:title=""/>
                <o:lock v:ext="edit" aspectratio="f"/>
              </v:shape>
            </w:pict>
          </mc:Fallback>
        </mc:AlternateContent>
      </w:r>
    </w:p>
    <w:p w14:paraId="1A01EF7F">
      <w:pPr>
        <w:pStyle w:val="86"/>
        <w:ind w:firstLine="480"/>
      </w:pPr>
      <w:r>
        <w:rPr>
          <w:lang/>
        </w:rPr>
        <mc:AlternateContent>
          <mc:Choice Requires="wps">
            <w:drawing>
              <wp:anchor distT="0" distB="0" distL="114300" distR="114300" simplePos="0" relativeHeight="251770880" behindDoc="0" locked="0" layoutInCell="1" allowOverlap="1">
                <wp:simplePos x="0" y="0"/>
                <wp:positionH relativeFrom="column">
                  <wp:posOffset>1206500</wp:posOffset>
                </wp:positionH>
                <wp:positionV relativeFrom="paragraph">
                  <wp:posOffset>224790</wp:posOffset>
                </wp:positionV>
                <wp:extent cx="0" cy="866775"/>
                <wp:effectExtent l="38100" t="0" r="38100" b="9525"/>
                <wp:wrapNone/>
                <wp:docPr id="140" name="自选图形 7"/>
                <wp:cNvGraphicFramePr/>
                <a:graphic xmlns:a="http://schemas.openxmlformats.org/drawingml/2006/main">
                  <a:graphicData uri="http://schemas.microsoft.com/office/word/2010/wordprocessingShape">
                    <wps:wsp>
                      <wps:cNvCnPr/>
                      <wps:spPr>
                        <a:xfrm>
                          <a:off x="0" y="0"/>
                          <a:ext cx="0" cy="866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95pt;margin-top:17.7pt;height:68.25pt;width:0pt;z-index:251770880;mso-width-relative:page;mso-height-relative:page;" filled="f" stroked="t" coordsize="21600,21600" o:gfxdata="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VfMn9kAAAAKAQAADwAAAAAAAAABACAAAAAiAAAAZHJzL2Rvd25yZXYu&#10;eG1sUEsBAhQAFAAAAAgAh07iQL4zQ5P6AQAA6AMAAA4AAAAAAAAAAQAgAAAAKAEAAGRycy9lMm9E&#10;b2MueG1sUEsFBgAAAAAGAAYAWQEAAJQFAAAAAA==&#10;">
                <v:fill on="f" focussize="0,0"/>
                <v:stroke color="#000000" joinstyle="round" endarrow="block"/>
                <v:imagedata o:title=""/>
                <o:lock v:ext="edit" aspectratio="f"/>
              </v:shape>
            </w:pict>
          </mc:Fallback>
        </mc:AlternateContent>
      </w:r>
    </w:p>
    <w:p w14:paraId="53FB98AF">
      <w:pPr>
        <w:pStyle w:val="86"/>
        <w:ind w:firstLine="480"/>
      </w:pPr>
      <w:r>
        <w:rPr>
          <w:lang/>
        </w:rPr>
        <mc:AlternateContent>
          <mc:Choice Requires="wps">
            <w:drawing>
              <wp:anchor distT="0" distB="0" distL="114300" distR="114300" simplePos="0" relativeHeight="251771904" behindDoc="0" locked="0" layoutInCell="1" allowOverlap="1">
                <wp:simplePos x="0" y="0"/>
                <wp:positionH relativeFrom="column">
                  <wp:posOffset>1120775</wp:posOffset>
                </wp:positionH>
                <wp:positionV relativeFrom="paragraph">
                  <wp:posOffset>203835</wp:posOffset>
                </wp:positionV>
                <wp:extent cx="895350" cy="295275"/>
                <wp:effectExtent l="0" t="0" r="0" b="0"/>
                <wp:wrapNone/>
                <wp:docPr id="141" name="文本框 8"/>
                <wp:cNvGraphicFramePr/>
                <a:graphic xmlns:a="http://schemas.openxmlformats.org/drawingml/2006/main">
                  <a:graphicData uri="http://schemas.microsoft.com/office/word/2010/wordprocessingShape">
                    <wps:wsp>
                      <wps:cNvSpPr txBox="1"/>
                      <wps:spPr>
                        <a:xfrm>
                          <a:off x="0" y="0"/>
                          <a:ext cx="895350" cy="295275"/>
                        </a:xfrm>
                        <a:prstGeom prst="rect">
                          <a:avLst/>
                        </a:prstGeom>
                        <a:noFill/>
                        <a:ln>
                          <a:noFill/>
                        </a:ln>
                      </wps:spPr>
                      <wps:txbx>
                        <w:txbxContent>
                          <w:p w14:paraId="6A1C3D2F">
                            <w:pPr>
                              <w:rPr>
                                <w:szCs w:val="21"/>
                              </w:rPr>
                            </w:pPr>
                            <w:r>
                              <w:rPr>
                                <w:rFonts w:hint="eastAsia"/>
                                <w:szCs w:val="21"/>
                              </w:rPr>
                              <w:t>猪粪猪尿</w:t>
                            </w:r>
                          </w:p>
                        </w:txbxContent>
                      </wps:txbx>
                      <wps:bodyPr wrap="square" upright="1"/>
                    </wps:wsp>
                  </a:graphicData>
                </a:graphic>
              </wp:anchor>
            </w:drawing>
          </mc:Choice>
          <mc:Fallback>
            <w:pict>
              <v:shape id="文本框 8" o:spid="_x0000_s1026" o:spt="202" type="#_x0000_t202" style="position:absolute;left:0pt;margin-left:88.25pt;margin-top:16.05pt;height:23.25pt;width:70.5pt;z-index:251771904;mso-width-relative:page;mso-height-relative:page;" filled="f" stroked="f" coordsize="21600,21600" o:gfxdata="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6rv7X1gAAAAkBAAAPAAAAAAAAAAEAIAAAACIAAABkcnMvZG93bnJldi54bWxQSwECFAAUAAAA&#10;CACHTuJAqSYPebcBAABdAwAADgAAAAAAAAABACAAAAAlAQAAZHJzL2Uyb0RvYy54bWxQSwUGAAAA&#10;AAYABgBZAQAATgUAAAAA&#10;">
                <v:fill on="f" focussize="0,0"/>
                <v:stroke on="f"/>
                <v:imagedata o:title=""/>
                <o:lock v:ext="edit" aspectratio="f"/>
                <v:textbox>
                  <w:txbxContent>
                    <w:p w14:paraId="6A1C3D2F">
                      <w:pPr>
                        <w:rPr>
                          <w:szCs w:val="21"/>
                        </w:rPr>
                      </w:pPr>
                      <w:r>
                        <w:rPr>
                          <w:rFonts w:hint="eastAsia"/>
                          <w:szCs w:val="21"/>
                        </w:rPr>
                        <w:t>猪粪猪尿</w:t>
                      </w:r>
                    </w:p>
                  </w:txbxContent>
                </v:textbox>
              </v:shape>
            </w:pict>
          </mc:Fallback>
        </mc:AlternateContent>
      </w:r>
    </w:p>
    <w:p w14:paraId="72A2F0A5">
      <w:pPr>
        <w:pStyle w:val="86"/>
        <w:ind w:firstLine="480"/>
      </w:pPr>
    </w:p>
    <w:p w14:paraId="3028B2F4">
      <w:pPr>
        <w:pStyle w:val="86"/>
        <w:ind w:firstLine="480"/>
      </w:pPr>
      <w:r>
        <w:rPr>
          <w:lang/>
        </w:rPr>
        <mc:AlternateContent>
          <mc:Choice Requires="wps">
            <w:drawing>
              <wp:anchor distT="0" distB="0" distL="114300" distR="114300" simplePos="0" relativeHeight="251773952" behindDoc="0" locked="0" layoutInCell="1" allowOverlap="1">
                <wp:simplePos x="0" y="0"/>
                <wp:positionH relativeFrom="column">
                  <wp:posOffset>92075</wp:posOffset>
                </wp:positionH>
                <wp:positionV relativeFrom="paragraph">
                  <wp:posOffset>142875</wp:posOffset>
                </wp:positionV>
                <wp:extent cx="1200150" cy="295275"/>
                <wp:effectExtent l="0" t="0" r="0" b="0"/>
                <wp:wrapNone/>
                <wp:docPr id="143" name="文本框 10"/>
                <wp:cNvGraphicFramePr/>
                <a:graphic xmlns:a="http://schemas.openxmlformats.org/drawingml/2006/main">
                  <a:graphicData uri="http://schemas.microsoft.com/office/word/2010/wordprocessingShape">
                    <wps:wsp>
                      <wps:cNvSpPr txBox="1"/>
                      <wps:spPr>
                        <a:xfrm>
                          <a:off x="0" y="0"/>
                          <a:ext cx="1200150" cy="295275"/>
                        </a:xfrm>
                        <a:prstGeom prst="rect">
                          <a:avLst/>
                        </a:prstGeom>
                        <a:noFill/>
                        <a:ln>
                          <a:noFill/>
                        </a:ln>
                      </wps:spPr>
                      <wps:txbx>
                        <w:txbxContent>
                          <w:p w14:paraId="43AB64D4">
                            <w:pPr>
                              <w:rPr>
                                <w:szCs w:val="21"/>
                              </w:rPr>
                            </w:pPr>
                            <w:r>
                              <w:rPr>
                                <w:rFonts w:hint="eastAsia"/>
                                <w:szCs w:val="21"/>
                              </w:rPr>
                              <w:t>粪污储存池</w:t>
                            </w:r>
                          </w:p>
                        </w:txbxContent>
                      </wps:txbx>
                      <wps:bodyPr wrap="square" upright="1"/>
                    </wps:wsp>
                  </a:graphicData>
                </a:graphic>
              </wp:anchor>
            </w:drawing>
          </mc:Choice>
          <mc:Fallback>
            <w:pict>
              <v:shape id="文本框 10" o:spid="_x0000_s1026" o:spt="202" type="#_x0000_t202" style="position:absolute;left:0pt;margin-left:7.25pt;margin-top:11.25pt;height:23.25pt;width:94.5pt;z-index:251773952;mso-width-relative:page;mso-height-relative:page;" filled="f" stroked="f" coordsize="21600,21600" o:gfxdata="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a&#10;PnvVAAAACAEAAA8AAAAAAAAAAQAgAAAAIgAAAGRycy9kb3ducmV2LnhtbFBLAQIUABQAAAAIAIdO&#10;4kD9mlsGtAEAAF8DAAAOAAAAAAAAAAEAIAAAACQBAABkcnMvZTJvRG9jLnhtbFBLBQYAAAAABgAG&#10;AFkBAABKBQAAAAA=&#10;">
                <v:fill on="f" focussize="0,0"/>
                <v:stroke on="f"/>
                <v:imagedata o:title=""/>
                <o:lock v:ext="edit" aspectratio="f"/>
                <v:textbox>
                  <w:txbxContent>
                    <w:p w14:paraId="43AB64D4">
                      <w:pPr>
                        <w:rPr>
                          <w:szCs w:val="21"/>
                        </w:rPr>
                      </w:pPr>
                      <w:r>
                        <w:rPr>
                          <w:rFonts w:hint="eastAsia"/>
                          <w:szCs w:val="21"/>
                        </w:rPr>
                        <w:t>粪污储存池</w:t>
                      </w:r>
                    </w:p>
                  </w:txbxContent>
                </v:textbox>
              </v:shape>
            </w:pict>
          </mc:Fallback>
        </mc:AlternateContent>
      </w:r>
      <w:r>
        <w:rPr>
          <w:lang/>
        </w:rPr>
        <mc:AlternateContent>
          <mc:Choice Requires="wps">
            <w:drawing>
              <wp:anchor distT="0" distB="0" distL="114300" distR="114300" simplePos="0" relativeHeight="251769856" behindDoc="0" locked="0" layoutInCell="1" allowOverlap="1">
                <wp:simplePos x="0" y="0"/>
                <wp:positionH relativeFrom="column">
                  <wp:posOffset>-155575</wp:posOffset>
                </wp:positionH>
                <wp:positionV relativeFrom="paragraph">
                  <wp:posOffset>31750</wp:posOffset>
                </wp:positionV>
                <wp:extent cx="1857375" cy="911225"/>
                <wp:effectExtent l="7620" t="4445" r="20955" b="17780"/>
                <wp:wrapNone/>
                <wp:docPr id="139" name="自选图形 6"/>
                <wp:cNvGraphicFramePr/>
                <a:graphic xmlns:a="http://schemas.openxmlformats.org/drawingml/2006/main">
                  <a:graphicData uri="http://schemas.microsoft.com/office/word/2010/wordprocessingShape">
                    <wps:wsp>
                      <wps:cNvSpPr/>
                      <wps:spPr>
                        <a:xfrm>
                          <a:off x="0" y="0"/>
                          <a:ext cx="1857375" cy="911225"/>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 o:spid="_x0000_s1026" o:spt="100" style="position:absolute;left:0pt;margin-left:-12.25pt;margin-top:2.5pt;height:71.75pt;width:146.25pt;z-index:251769856;mso-width-relative:page;mso-height-relative:page;" fillcolor="#FFFFFF" filled="t" stroked="t" coordsize="21600,21600" o:gfxdata="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JzM9jtgAAAAJAQAADwAAAAAAAAABACAAAAAiAAAA&#10;ZHJzL2Rvd25yZXYueG1sUEsBAhQAFAAAAAgAh07iQG3b8yzrAgAA4gYAAA4AAAAAAAAAAQAgAAAA&#10;JwEAAGRycy9lMm9Eb2MueG1sUEsFBgAAAAAGAAYAWQEAAIQGAAAAAA==&#10;" path="m0,0l5400,21600,16200,21600,21600,0xe">
                <v:path o:connectlocs="18900,10800;10800,21600;2700,10800;10800,0" o:connectangles="0,0,0,0"/>
                <v:fill on="t" focussize="0,0"/>
                <v:stroke color="#000000" joinstyle="miter"/>
                <v:imagedata o:title=""/>
                <o:lock v:ext="edit" aspectratio="f"/>
              </v:shape>
            </w:pict>
          </mc:Fallback>
        </mc:AlternateContent>
      </w:r>
    </w:p>
    <w:p w14:paraId="1DE8EF1C">
      <w:pPr>
        <w:pStyle w:val="86"/>
        <w:ind w:left="0" w:leftChars="0" w:firstLine="0" w:firstLineChars="0"/>
      </w:pPr>
    </w:p>
    <w:p w14:paraId="079EAC07">
      <w:pPr>
        <w:pStyle w:val="86"/>
        <w:ind w:firstLine="480"/>
      </w:pPr>
      <w:r>
        <w:rPr>
          <w:lang/>
        </w:rPr>
        <mc:AlternateContent>
          <mc:Choice Requires="wps">
            <w:drawing>
              <wp:anchor distT="0" distB="0" distL="114300" distR="114300" simplePos="0" relativeHeight="251786240" behindDoc="0" locked="0" layoutInCell="1" allowOverlap="1">
                <wp:simplePos x="0" y="0"/>
                <wp:positionH relativeFrom="column">
                  <wp:posOffset>3346450</wp:posOffset>
                </wp:positionH>
                <wp:positionV relativeFrom="paragraph">
                  <wp:posOffset>224155</wp:posOffset>
                </wp:positionV>
                <wp:extent cx="539750" cy="293370"/>
                <wp:effectExtent l="0" t="0" r="0" b="0"/>
                <wp:wrapNone/>
                <wp:docPr id="155" name="文本框 165"/>
                <wp:cNvGraphicFramePr/>
                <a:graphic xmlns:a="http://schemas.openxmlformats.org/drawingml/2006/main">
                  <a:graphicData uri="http://schemas.microsoft.com/office/word/2010/wordprocessingShape">
                    <wps:wsp>
                      <wps:cNvSpPr txBox="1"/>
                      <wps:spPr>
                        <a:xfrm>
                          <a:off x="0" y="0"/>
                          <a:ext cx="539750" cy="293370"/>
                        </a:xfrm>
                        <a:prstGeom prst="rect">
                          <a:avLst/>
                        </a:prstGeom>
                        <a:noFill/>
                        <a:ln>
                          <a:noFill/>
                        </a:ln>
                      </wps:spPr>
                      <wps:txbx>
                        <w:txbxContent>
                          <w:p w14:paraId="6D826856">
                            <w:pPr>
                              <w:rPr>
                                <w:rFonts w:hint="eastAsia"/>
                              </w:rPr>
                            </w:pPr>
                            <w:r>
                              <w:rPr>
                                <w:rFonts w:hint="eastAsia"/>
                              </w:rPr>
                              <w:t>猪粪</w:t>
                            </w:r>
                          </w:p>
                        </w:txbxContent>
                      </wps:txbx>
                      <wps:bodyPr wrap="square" upright="1"/>
                    </wps:wsp>
                  </a:graphicData>
                </a:graphic>
              </wp:anchor>
            </w:drawing>
          </mc:Choice>
          <mc:Fallback>
            <w:pict>
              <v:shape id="文本框 165" o:spid="_x0000_s1026" o:spt="202" type="#_x0000_t202" style="position:absolute;left:0pt;margin-left:263.5pt;margin-top:17.65pt;height:23.1pt;width:42.5pt;z-index:251786240;mso-width-relative:page;mso-height-relative:page;" filled="f" stroked="f" coordsize="21600,21600" o:gfxdata="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bP6xNcAAAAJAQAADwAAAAAAAAABACAAAAAiAAAAZHJzL2Rvd25yZXYueG1sUEsBAhQA&#10;FAAAAAgAh07iQDpMZgq6AQAAXwMAAA4AAAAAAAAAAQAgAAAAJgEAAGRycy9lMm9Eb2MueG1sUEsF&#10;BgAAAAAGAAYAWQEAAFIFAAAAAA==&#10;">
                <v:fill on="f" focussize="0,0"/>
                <v:stroke on="f"/>
                <v:imagedata o:title=""/>
                <o:lock v:ext="edit" aspectratio="f"/>
                <v:textbox>
                  <w:txbxContent>
                    <w:p w14:paraId="6D826856">
                      <w:pPr>
                        <w:rPr>
                          <w:rFonts w:hint="eastAsia"/>
                        </w:rPr>
                      </w:pPr>
                      <w:r>
                        <w:rPr>
                          <w:rFonts w:hint="eastAsia"/>
                        </w:rPr>
                        <w:t>猪粪</w:t>
                      </w:r>
                    </w:p>
                  </w:txbxContent>
                </v:textbox>
              </v:shape>
            </w:pict>
          </mc:Fallback>
        </mc:AlternateContent>
      </w:r>
      <w:r>
        <w:rPr>
          <w:lang/>
        </w:rPr>
        <mc:AlternateContent>
          <mc:Choice Requires="wps">
            <w:drawing>
              <wp:anchor distT="0" distB="0" distL="114300" distR="114300" simplePos="0" relativeHeight="251781120" behindDoc="0" locked="0" layoutInCell="1" allowOverlap="1">
                <wp:simplePos x="0" y="0"/>
                <wp:positionH relativeFrom="column">
                  <wp:posOffset>673100</wp:posOffset>
                </wp:positionH>
                <wp:positionV relativeFrom="paragraph">
                  <wp:posOffset>62865</wp:posOffset>
                </wp:positionV>
                <wp:extent cx="247650" cy="450850"/>
                <wp:effectExtent l="5080" t="5080" r="13970" b="0"/>
                <wp:wrapNone/>
                <wp:docPr id="150" name="自选图形 58"/>
                <wp:cNvGraphicFramePr/>
                <a:graphic xmlns:a="http://schemas.openxmlformats.org/drawingml/2006/main">
                  <a:graphicData uri="http://schemas.microsoft.com/office/word/2010/wordprocessingShape">
                    <wps:wsp>
                      <wps:cNvSpPr/>
                      <wps:spPr>
                        <a:xfrm>
                          <a:off x="0" y="0"/>
                          <a:ext cx="247650" cy="450850"/>
                        </a:xfrm>
                        <a:custGeom>
                          <a:avLst/>
                          <a:gdLst>
                            <a:gd name="txL" fmla="*/ 0 w 21600"/>
                            <a:gd name="txT" fmla="*/ 0 h 21600"/>
                            <a:gd name="txR" fmla="*/ 21600 w 21600"/>
                            <a:gd name="txB" fmla="*/ 10800 h 21600"/>
                          </a:gdLst>
                          <a:ahLst/>
                          <a:cxnLst>
                            <a:cxn ang="270">
                              <a:pos x="10800" y="0"/>
                            </a:cxn>
                            <a:cxn ang="180">
                              <a:pos x="2700" y="10800"/>
                            </a:cxn>
                            <a:cxn ang="270">
                              <a:pos x="10800" y="5400"/>
                            </a:cxn>
                            <a:cxn ang="0">
                              <a:pos x="18900" y="10800"/>
                            </a:cxn>
                          </a:cxnLst>
                          <a:rect l="txL" t="txT" r="txR" b="txB"/>
                          <a:pathLst>
                            <a:path w="21600" h="21600">
                              <a:moveTo>
                                <a:pt x="5400" y="10800"/>
                              </a:moveTo>
                              <a:arcTo wR="5400" hR="5400" stAng="10800000" swAng="10800000"/>
                              <a:lnTo>
                                <a:pt x="21600" y="10800"/>
                              </a:lnTo>
                              <a:arcTo wR="10800" hR="10800" stAng="0" swAng="-10800000"/>
                              <a:close/>
                            </a:path>
                          </a:pathLst>
                        </a:cu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8" o:spid="_x0000_s1026" o:spt="100" style="position:absolute;left:0pt;margin-left:53pt;margin-top:4.95pt;height:35.5pt;width:19.5pt;z-index:251781120;mso-width-relative:page;mso-height-relative:page;" fillcolor="#FFFFFF" filled="t" stroked="t" coordsize="21600,21600" o:gfxdata="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CQHqhjX&#10;AAAACAEAAA8AAAAAAAAAAQAgAAAAIgAAAGRycy9kb3ducmV2LnhtbFBLAQIUABQAAAAIAIdO4kB4&#10;tY6kBQMAAAwHAAAOAAAAAAAAAAEAIAAAACYBAABkcnMvZTJvRG9jLnhtbFBLBQYAAAAABgAGAFkB&#10;AACdBgAAAAA=&#10;" path="m5400,10800c5400,7818,7818,5400,10800,5400c13782,5400,16200,7818,16200,10800l21600,10800c21600,4835,16765,0,10800,0c4835,0,0,4835,0,10800xe">
                <v:path o:connectlocs="10800,0;2700,10800;10800,5400;18900,10800" o:connectangles="0,0,0,0"/>
                <v:fill on="t" focussize="0,0"/>
                <v:stroke color="#000000" joinstyle="miter"/>
                <v:imagedata o:title=""/>
                <o:lock v:ext="edit" aspectratio="f"/>
              </v:shape>
            </w:pict>
          </mc:Fallback>
        </mc:AlternateContent>
      </w:r>
      <w:r>
        <w:rPr>
          <w:lang/>
        </w:rPr>
        <mc:AlternateContent>
          <mc:Choice Requires="wps">
            <w:drawing>
              <wp:anchor distT="0" distB="0" distL="114300" distR="114300" simplePos="0" relativeHeight="251776000" behindDoc="0" locked="0" layoutInCell="1" allowOverlap="1">
                <wp:simplePos x="0" y="0"/>
                <wp:positionH relativeFrom="column">
                  <wp:posOffset>863600</wp:posOffset>
                </wp:positionH>
                <wp:positionV relativeFrom="paragraph">
                  <wp:posOffset>123190</wp:posOffset>
                </wp:positionV>
                <wp:extent cx="685800" cy="352425"/>
                <wp:effectExtent l="0" t="0" r="0" b="0"/>
                <wp:wrapNone/>
                <wp:docPr id="145" name="文本框 12"/>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a:noFill/>
                        </a:ln>
                      </wps:spPr>
                      <wps:txbx>
                        <w:txbxContent>
                          <w:p w14:paraId="43ECA419">
                            <w:pPr>
                              <w:rPr>
                                <w:rFonts w:hint="eastAsia"/>
                                <w:szCs w:val="21"/>
                              </w:rPr>
                            </w:pPr>
                            <w:r>
                              <w:rPr>
                                <w:rFonts w:hint="eastAsia"/>
                                <w:szCs w:val="21"/>
                              </w:rPr>
                              <w:t>排粪塞</w:t>
                            </w:r>
                          </w:p>
                        </w:txbxContent>
                      </wps:txbx>
                      <wps:bodyPr wrap="square" upright="1"/>
                    </wps:wsp>
                  </a:graphicData>
                </a:graphic>
              </wp:anchor>
            </w:drawing>
          </mc:Choice>
          <mc:Fallback>
            <w:pict>
              <v:shape id="文本框 12" o:spid="_x0000_s1026" o:spt="202" type="#_x0000_t202" style="position:absolute;left:0pt;margin-left:68pt;margin-top:9.7pt;height:27.75pt;width:54pt;z-index:251776000;mso-width-relative:page;mso-height-relative:page;" filled="f" stroked="f" coordsize="21600,21600" o:gfxdata="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gVD9YAAAAJAQAADwAAAAAAAAABACAAAAAiAAAAZHJzL2Rvd25yZXYueG1sUEsBAhQAFAAA&#10;AAgAh07iQGPswjq4AQAAXgMAAA4AAAAAAAAAAQAgAAAAJQEAAGRycy9lMm9Eb2MueG1sUEsFBgAA&#10;AAAGAAYAWQEAAE8FAAAAAA==&#10;">
                <v:fill on="f" focussize="0,0"/>
                <v:stroke on="f"/>
                <v:imagedata o:title=""/>
                <o:lock v:ext="edit" aspectratio="f"/>
                <v:textbox>
                  <w:txbxContent>
                    <w:p w14:paraId="43ECA419">
                      <w:pPr>
                        <w:rPr>
                          <w:rFonts w:hint="eastAsia"/>
                          <w:szCs w:val="21"/>
                        </w:rPr>
                      </w:pPr>
                      <w:r>
                        <w:rPr>
                          <w:rFonts w:hint="eastAsia"/>
                          <w:szCs w:val="21"/>
                        </w:rPr>
                        <w:t>排粪塞</w:t>
                      </w:r>
                    </w:p>
                  </w:txbxContent>
                </v:textbox>
              </v:shape>
            </w:pict>
          </mc:Fallback>
        </mc:AlternateContent>
      </w:r>
      <w:r>
        <w:rPr>
          <w:lang/>
        </w:rPr>
        <mc:AlternateContent>
          <mc:Choice Requires="wps">
            <w:drawing>
              <wp:anchor distT="0" distB="0" distL="114300" distR="114300" simplePos="0" relativeHeight="251774976" behindDoc="0" locked="0" layoutInCell="1" allowOverlap="1">
                <wp:simplePos x="0" y="0"/>
                <wp:positionH relativeFrom="column">
                  <wp:posOffset>673100</wp:posOffset>
                </wp:positionH>
                <wp:positionV relativeFrom="paragraph">
                  <wp:posOffset>256540</wp:posOffset>
                </wp:positionV>
                <wp:extent cx="266700" cy="219075"/>
                <wp:effectExtent l="4445" t="4445" r="14605" b="5080"/>
                <wp:wrapNone/>
                <wp:docPr id="144" name="自选图形 11"/>
                <wp:cNvGraphicFramePr/>
                <a:graphic xmlns:a="http://schemas.openxmlformats.org/drawingml/2006/main">
                  <a:graphicData uri="http://schemas.microsoft.com/office/word/2010/wordprocessingShape">
                    <wps:wsp>
                      <wps:cNvSpPr/>
                      <wps:spPr>
                        <a:xfrm>
                          <a:off x="0" y="0"/>
                          <a:ext cx="266700" cy="219075"/>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1" o:spid="_x0000_s1026" o:spt="22" type="#_x0000_t22" style="position:absolute;left:0pt;margin-left:53pt;margin-top:20.2pt;height:17.25pt;width:21pt;z-index:251774976;mso-width-relative:page;mso-height-relative:page;" fillcolor="#FFFFFF" filled="t" stroked="t" coordsize="21600,21600" o:gfxdata="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KX&#10;38jYAAAACQEAAA8AAAAAAAAAAQAgAAAAIgAAAGRycy9kb3ducmV2LnhtbFBLAQIUABQAAAAIAIdO&#10;4kCRiGJlIwIAAFUEAAAOAAAAAAAAAAEAIAAAACcBAABkcnMvZTJvRG9jLnhtbFBLBQYAAAAABgAG&#10;AFkBAAC8BQAAAAA=&#10;" adj="5400">
                <v:fill on="t" focussize="0,0"/>
                <v:stroke color="#000000" joinstyle="round"/>
                <v:imagedata o:title=""/>
                <o:lock v:ext="edit" aspectratio="f"/>
              </v:shape>
            </w:pict>
          </mc:Fallback>
        </mc:AlternateContent>
      </w:r>
    </w:p>
    <w:p w14:paraId="4510CF68">
      <w:pPr>
        <w:pStyle w:val="86"/>
        <w:ind w:firstLine="480"/>
      </w:pPr>
      <w:r>
        <w:rPr>
          <w:lang/>
        </w:rPr>
        <mc:AlternateContent>
          <mc:Choice Requires="wps">
            <w:drawing>
              <wp:anchor distT="0" distB="0" distL="114300" distR="114300" simplePos="0" relativeHeight="251795456" behindDoc="0" locked="0" layoutInCell="1" allowOverlap="1">
                <wp:simplePos x="0" y="0"/>
                <wp:positionH relativeFrom="column">
                  <wp:posOffset>2912110</wp:posOffset>
                </wp:positionH>
                <wp:positionV relativeFrom="paragraph">
                  <wp:posOffset>215900</wp:posOffset>
                </wp:positionV>
                <wp:extent cx="298450" cy="791845"/>
                <wp:effectExtent l="0" t="0" r="0" b="0"/>
                <wp:wrapNone/>
                <wp:docPr id="164" name="文本框 96"/>
                <wp:cNvGraphicFramePr/>
                <a:graphic xmlns:a="http://schemas.openxmlformats.org/drawingml/2006/main">
                  <a:graphicData uri="http://schemas.microsoft.com/office/word/2010/wordprocessingShape">
                    <wps:wsp>
                      <wps:cNvSpPr txBox="1"/>
                      <wps:spPr>
                        <a:xfrm>
                          <a:off x="0" y="0"/>
                          <a:ext cx="298450" cy="791845"/>
                        </a:xfrm>
                        <a:prstGeom prst="rect">
                          <a:avLst/>
                        </a:prstGeom>
                        <a:noFill/>
                        <a:ln>
                          <a:noFill/>
                        </a:ln>
                      </wps:spPr>
                      <wps:txbx>
                        <w:txbxContent>
                          <w:p w14:paraId="1F9E2C4C">
                            <w:pPr>
                              <w:rPr>
                                <w:rFonts w:hint="eastAsia"/>
                                <w:szCs w:val="21"/>
                              </w:rPr>
                            </w:pPr>
                            <w:r>
                              <w:rPr>
                                <w:rFonts w:hint="eastAsia"/>
                                <w:szCs w:val="21"/>
                              </w:rPr>
                              <w:t>粪尿污水</w:t>
                            </w:r>
                          </w:p>
                        </w:txbxContent>
                      </wps:txbx>
                      <wps:bodyPr wrap="square" upright="1"/>
                    </wps:wsp>
                  </a:graphicData>
                </a:graphic>
              </wp:anchor>
            </w:drawing>
          </mc:Choice>
          <mc:Fallback>
            <w:pict>
              <v:shape id="文本框 96" o:spid="_x0000_s1026" o:spt="202" type="#_x0000_t202" style="position:absolute;left:0pt;margin-left:229.3pt;margin-top:17pt;height:62.35pt;width:23.5pt;z-index:251795456;mso-width-relative:page;mso-height-relative:page;" filled="f" stroked="f" coordsize="21600,21600" o:gfxdata="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MLWlHWAAAACgEAAA8AAAAAAAAAAQAgAAAAIgAAAGRycy9kb3ducmV2LnhtbFBLAQIUABQAAAAI&#10;AIdO4kBv/2EltgEAAF4DAAAOAAAAAAAAAAEAIAAAACUBAABkcnMvZTJvRG9jLnhtbFBLBQYAAAAA&#10;BgAGAFkBAABNBQAAAAA=&#10;">
                <v:fill on="f" focussize="0,0"/>
                <v:stroke on="f"/>
                <v:imagedata o:title=""/>
                <o:lock v:ext="edit" aspectratio="f"/>
                <v:textbox>
                  <w:txbxContent>
                    <w:p w14:paraId="1F9E2C4C">
                      <w:pPr>
                        <w:rPr>
                          <w:rFonts w:hint="eastAsia"/>
                          <w:szCs w:val="21"/>
                        </w:rPr>
                      </w:pPr>
                      <w:r>
                        <w:rPr>
                          <w:rFonts w:hint="eastAsia"/>
                          <w:szCs w:val="21"/>
                        </w:rPr>
                        <w:t>粪尿污水</w:t>
                      </w:r>
                    </w:p>
                  </w:txbxContent>
                </v:textbox>
              </v:shape>
            </w:pict>
          </mc:Fallback>
        </mc:AlternateContent>
      </w:r>
      <w:r>
        <w:rPr>
          <w:lang/>
        </w:rPr>
        <mc:AlternateContent>
          <mc:Choice Requires="wps">
            <w:drawing>
              <wp:anchor distT="0" distB="0" distL="114300" distR="114300" simplePos="0" relativeHeight="251778048" behindDoc="0" locked="0" layoutInCell="1" allowOverlap="1">
                <wp:simplePos x="0" y="0"/>
                <wp:positionH relativeFrom="column">
                  <wp:posOffset>682625</wp:posOffset>
                </wp:positionH>
                <wp:positionV relativeFrom="paragraph">
                  <wp:posOffset>194310</wp:posOffset>
                </wp:positionV>
                <wp:extent cx="1206500" cy="815975"/>
                <wp:effectExtent l="4445" t="1270" r="8255" b="20955"/>
                <wp:wrapNone/>
                <wp:docPr id="147" name="任意多边形 55"/>
                <wp:cNvGraphicFramePr/>
                <a:graphic xmlns:a="http://schemas.openxmlformats.org/drawingml/2006/main">
                  <a:graphicData uri="http://schemas.microsoft.com/office/word/2010/wordprocessingShape">
                    <wps:wsp>
                      <wps:cNvSpPr/>
                      <wps:spPr>
                        <a:xfrm>
                          <a:off x="0" y="0"/>
                          <a:ext cx="1206500" cy="815975"/>
                        </a:xfrm>
                        <a:custGeom>
                          <a:avLst/>
                          <a:gdLst/>
                          <a:ahLst/>
                          <a:cxnLst/>
                          <a:pathLst>
                            <a:path w="3120" h="1755">
                              <a:moveTo>
                                <a:pt x="0" y="0"/>
                              </a:moveTo>
                              <a:cubicBezTo>
                                <a:pt x="23" y="91"/>
                                <a:pt x="8" y="40"/>
                                <a:pt x="45" y="150"/>
                              </a:cubicBezTo>
                              <a:cubicBezTo>
                                <a:pt x="56" y="184"/>
                                <a:pt x="94" y="206"/>
                                <a:pt x="105" y="240"/>
                              </a:cubicBezTo>
                              <a:cubicBezTo>
                                <a:pt x="143" y="353"/>
                                <a:pt x="92" y="214"/>
                                <a:pt x="150" y="330"/>
                              </a:cubicBezTo>
                              <a:cubicBezTo>
                                <a:pt x="157" y="344"/>
                                <a:pt x="155" y="363"/>
                                <a:pt x="165" y="375"/>
                              </a:cubicBezTo>
                              <a:cubicBezTo>
                                <a:pt x="176" y="389"/>
                                <a:pt x="195" y="395"/>
                                <a:pt x="210" y="405"/>
                              </a:cubicBezTo>
                              <a:cubicBezTo>
                                <a:pt x="248" y="482"/>
                                <a:pt x="287" y="552"/>
                                <a:pt x="360" y="600"/>
                              </a:cubicBezTo>
                              <a:cubicBezTo>
                                <a:pt x="445" y="727"/>
                                <a:pt x="305" y="530"/>
                                <a:pt x="480" y="705"/>
                              </a:cubicBezTo>
                              <a:cubicBezTo>
                                <a:pt x="520" y="745"/>
                                <a:pt x="575" y="770"/>
                                <a:pt x="615" y="810"/>
                              </a:cubicBezTo>
                              <a:cubicBezTo>
                                <a:pt x="675" y="870"/>
                                <a:pt x="739" y="913"/>
                                <a:pt x="810" y="960"/>
                              </a:cubicBezTo>
                              <a:cubicBezTo>
                                <a:pt x="857" y="992"/>
                                <a:pt x="939" y="1063"/>
                                <a:pt x="990" y="1080"/>
                              </a:cubicBezTo>
                              <a:cubicBezTo>
                                <a:pt x="1035" y="1095"/>
                                <a:pt x="1084" y="1117"/>
                                <a:pt x="1125" y="1140"/>
                              </a:cubicBezTo>
                              <a:cubicBezTo>
                                <a:pt x="1299" y="1237"/>
                                <a:pt x="1130" y="1172"/>
                                <a:pt x="1305" y="1230"/>
                              </a:cubicBezTo>
                              <a:cubicBezTo>
                                <a:pt x="1360" y="1248"/>
                                <a:pt x="1400" y="1302"/>
                                <a:pt x="1455" y="1320"/>
                              </a:cubicBezTo>
                              <a:cubicBezTo>
                                <a:pt x="1470" y="1325"/>
                                <a:pt x="1486" y="1328"/>
                                <a:pt x="1500" y="1335"/>
                              </a:cubicBezTo>
                              <a:cubicBezTo>
                                <a:pt x="1516" y="1343"/>
                                <a:pt x="1528" y="1359"/>
                                <a:pt x="1545" y="1365"/>
                              </a:cubicBezTo>
                              <a:cubicBezTo>
                                <a:pt x="1584" y="1379"/>
                                <a:pt x="1625" y="1385"/>
                                <a:pt x="1665" y="1395"/>
                              </a:cubicBezTo>
                              <a:cubicBezTo>
                                <a:pt x="1726" y="1410"/>
                                <a:pt x="1784" y="1440"/>
                                <a:pt x="1845" y="1455"/>
                              </a:cubicBezTo>
                              <a:cubicBezTo>
                                <a:pt x="2030" y="1501"/>
                                <a:pt x="2215" y="1544"/>
                                <a:pt x="2400" y="1590"/>
                              </a:cubicBezTo>
                              <a:cubicBezTo>
                                <a:pt x="2446" y="1602"/>
                                <a:pt x="2489" y="1623"/>
                                <a:pt x="2535" y="1635"/>
                              </a:cubicBezTo>
                              <a:cubicBezTo>
                                <a:pt x="2669" y="1669"/>
                                <a:pt x="2804" y="1698"/>
                                <a:pt x="2940" y="1725"/>
                              </a:cubicBezTo>
                              <a:cubicBezTo>
                                <a:pt x="3009" y="1739"/>
                                <a:pt x="3048" y="1755"/>
                                <a:pt x="3120" y="1755"/>
                              </a:cubicBezTo>
                            </a:path>
                          </a:pathLst>
                        </a:custGeom>
                        <a:no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55" o:spid="_x0000_s1026" o:spt="100" style="position:absolute;left:0pt;margin-left:53.75pt;margin-top:15.3pt;height:64.25pt;width:95pt;z-index:251778048;mso-width-relative:page;mso-height-relative:page;" filled="f" stroked="t" coordsize="3120,1755" o:gfxdata="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l/OXIdcA&#10;AAAKAQAADwAAAAAAAAABACAAAAAiAAAAZHJzL2Rvd25yZXYueG1sUEsBAhQAFAAAAAgAh07iQCTz&#10;CMRaBAAA5AwAAA4AAAAAAAAAAQAgAAAAJgEAAGRycy9lMm9Eb2MueG1sUEsFBgAAAAAGAAYAWQEA&#10;APIHAAAAAA==&#10;" path="m0,0c23,91,8,40,45,150c56,184,94,206,105,240c143,353,92,214,150,330c157,344,155,363,165,375c176,389,195,395,210,405c248,482,287,552,360,600c445,727,305,530,480,705c520,745,575,770,615,810c675,870,739,913,810,960c857,992,939,1063,990,1080c1035,1095,1084,1117,1125,1140c1299,1237,1130,1172,1305,1230c1360,1248,1400,1302,1455,1320c1470,1325,1486,1328,1500,1335c1516,1343,1528,1359,1545,1365c1584,1379,1625,1385,1665,1395c1726,1410,1784,1440,1845,1455c2030,1501,2215,1544,2400,1590c2446,1602,2489,1623,2535,1635c2669,1669,2804,1698,2940,1725c3009,1739,3048,1755,3120,1755e">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77024" behindDoc="0" locked="0" layoutInCell="1" allowOverlap="1">
                <wp:simplePos x="0" y="0"/>
                <wp:positionH relativeFrom="column">
                  <wp:posOffset>930275</wp:posOffset>
                </wp:positionH>
                <wp:positionV relativeFrom="paragraph">
                  <wp:posOffset>194310</wp:posOffset>
                </wp:positionV>
                <wp:extent cx="1007745" cy="606425"/>
                <wp:effectExtent l="4445" t="1270" r="16510" b="20955"/>
                <wp:wrapNone/>
                <wp:docPr id="146" name="任意多边形 13"/>
                <wp:cNvGraphicFramePr/>
                <a:graphic xmlns:a="http://schemas.openxmlformats.org/drawingml/2006/main">
                  <a:graphicData uri="http://schemas.microsoft.com/office/word/2010/wordprocessingShape">
                    <wps:wsp>
                      <wps:cNvSpPr/>
                      <wps:spPr>
                        <a:xfrm>
                          <a:off x="0" y="0"/>
                          <a:ext cx="1007745" cy="606425"/>
                        </a:xfrm>
                        <a:custGeom>
                          <a:avLst/>
                          <a:gdLst/>
                          <a:ahLst/>
                          <a:cxnLst/>
                          <a:pathLst>
                            <a:path w="3120" h="1755">
                              <a:moveTo>
                                <a:pt x="0" y="0"/>
                              </a:moveTo>
                              <a:cubicBezTo>
                                <a:pt x="23" y="91"/>
                                <a:pt x="8" y="40"/>
                                <a:pt x="45" y="150"/>
                              </a:cubicBezTo>
                              <a:cubicBezTo>
                                <a:pt x="56" y="184"/>
                                <a:pt x="94" y="206"/>
                                <a:pt x="105" y="240"/>
                              </a:cubicBezTo>
                              <a:cubicBezTo>
                                <a:pt x="143" y="353"/>
                                <a:pt x="92" y="214"/>
                                <a:pt x="150" y="330"/>
                              </a:cubicBezTo>
                              <a:cubicBezTo>
                                <a:pt x="157" y="344"/>
                                <a:pt x="155" y="363"/>
                                <a:pt x="165" y="375"/>
                              </a:cubicBezTo>
                              <a:cubicBezTo>
                                <a:pt x="176" y="389"/>
                                <a:pt x="195" y="395"/>
                                <a:pt x="210" y="405"/>
                              </a:cubicBezTo>
                              <a:cubicBezTo>
                                <a:pt x="248" y="482"/>
                                <a:pt x="287" y="552"/>
                                <a:pt x="360" y="600"/>
                              </a:cubicBezTo>
                              <a:cubicBezTo>
                                <a:pt x="445" y="727"/>
                                <a:pt x="305" y="530"/>
                                <a:pt x="480" y="705"/>
                              </a:cubicBezTo>
                              <a:cubicBezTo>
                                <a:pt x="520" y="745"/>
                                <a:pt x="575" y="770"/>
                                <a:pt x="615" y="810"/>
                              </a:cubicBezTo>
                              <a:cubicBezTo>
                                <a:pt x="675" y="870"/>
                                <a:pt x="739" y="913"/>
                                <a:pt x="810" y="960"/>
                              </a:cubicBezTo>
                              <a:cubicBezTo>
                                <a:pt x="857" y="992"/>
                                <a:pt x="939" y="1063"/>
                                <a:pt x="990" y="1080"/>
                              </a:cubicBezTo>
                              <a:cubicBezTo>
                                <a:pt x="1035" y="1095"/>
                                <a:pt x="1084" y="1117"/>
                                <a:pt x="1125" y="1140"/>
                              </a:cubicBezTo>
                              <a:cubicBezTo>
                                <a:pt x="1299" y="1237"/>
                                <a:pt x="1130" y="1172"/>
                                <a:pt x="1305" y="1230"/>
                              </a:cubicBezTo>
                              <a:cubicBezTo>
                                <a:pt x="1360" y="1248"/>
                                <a:pt x="1400" y="1302"/>
                                <a:pt x="1455" y="1320"/>
                              </a:cubicBezTo>
                              <a:cubicBezTo>
                                <a:pt x="1470" y="1325"/>
                                <a:pt x="1486" y="1328"/>
                                <a:pt x="1500" y="1335"/>
                              </a:cubicBezTo>
                              <a:cubicBezTo>
                                <a:pt x="1516" y="1343"/>
                                <a:pt x="1528" y="1359"/>
                                <a:pt x="1545" y="1365"/>
                              </a:cubicBezTo>
                              <a:cubicBezTo>
                                <a:pt x="1584" y="1379"/>
                                <a:pt x="1625" y="1385"/>
                                <a:pt x="1665" y="1395"/>
                              </a:cubicBezTo>
                              <a:cubicBezTo>
                                <a:pt x="1726" y="1410"/>
                                <a:pt x="1784" y="1440"/>
                                <a:pt x="1845" y="1455"/>
                              </a:cubicBezTo>
                              <a:cubicBezTo>
                                <a:pt x="2030" y="1501"/>
                                <a:pt x="2215" y="1544"/>
                                <a:pt x="2400" y="1590"/>
                              </a:cubicBezTo>
                              <a:cubicBezTo>
                                <a:pt x="2446" y="1602"/>
                                <a:pt x="2489" y="1623"/>
                                <a:pt x="2535" y="1635"/>
                              </a:cubicBezTo>
                              <a:cubicBezTo>
                                <a:pt x="2669" y="1669"/>
                                <a:pt x="2804" y="1698"/>
                                <a:pt x="2940" y="1725"/>
                              </a:cubicBezTo>
                              <a:cubicBezTo>
                                <a:pt x="3009" y="1739"/>
                                <a:pt x="3048" y="1755"/>
                                <a:pt x="3120" y="1755"/>
                              </a:cubicBezTo>
                            </a:path>
                          </a:pathLst>
                        </a:custGeom>
                        <a:no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任意多边形 13" o:spid="_x0000_s1026" o:spt="100" style="position:absolute;left:0pt;margin-left:73.25pt;margin-top:15.3pt;height:47.75pt;width:79.35pt;z-index:251777024;mso-width-relative:page;mso-height-relative:page;" filled="f" stroked="t" coordsize="3120,1755" o:gfxdata="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Br4UT91wAAAAoBAAAPAAAAAAAAAAEAIAAAACIAAABkcnMvZG93bnJldi54bWxQSwEC&#10;FAAUAAAACACHTuJAOLAch2gEAADkDAAADgAAAAAAAAABACAAAAAmAQAAZHJzL2Uyb0RvYy54bWxQ&#10;SwUGAAAAAAYABgBZAQAAAAgAAAAA&#10;" path="m0,0c23,91,8,40,45,150c56,184,94,206,105,240c143,353,92,214,150,330c157,344,155,363,165,375c176,389,195,395,210,405c248,482,287,552,360,600c445,727,305,530,480,705c520,745,575,770,615,810c675,870,739,913,810,960c857,992,939,1063,990,1080c1035,1095,1084,1117,1125,1140c1299,1237,1130,1172,1305,1230c1360,1248,1400,1302,1455,1320c1470,1325,1486,1328,1500,1335c1516,1343,1528,1359,1545,1365c1584,1379,1625,1385,1665,1395c1726,1410,1784,1440,1845,1455c2030,1501,2215,1544,2400,1590c2446,1602,2489,1623,2535,1635c2669,1669,2804,1698,2940,1725c3009,1739,3048,1755,3120,1755e">
                <v:fill on="f" focussize="0,0"/>
                <v:stroke color="#000000" joinstyle="round"/>
                <v:imagedata o:title=""/>
                <o:lock v:ext="edit" aspectratio="f"/>
              </v:shape>
            </w:pict>
          </mc:Fallback>
        </mc:AlternateContent>
      </w:r>
    </w:p>
    <w:p w14:paraId="328796E4">
      <w:pPr>
        <w:pStyle w:val="86"/>
        <w:ind w:firstLine="480"/>
      </w:pPr>
      <w:r>
        <w:rPr>
          <w:lang/>
        </w:rPr>
        <mc:AlternateContent>
          <mc:Choice Requires="wps">
            <w:drawing>
              <wp:anchor distT="0" distB="0" distL="114300" distR="114300" simplePos="0" relativeHeight="251787264" behindDoc="0" locked="0" layoutInCell="1" allowOverlap="1">
                <wp:simplePos x="0" y="0"/>
                <wp:positionH relativeFrom="column">
                  <wp:posOffset>3215640</wp:posOffset>
                </wp:positionH>
                <wp:positionV relativeFrom="paragraph">
                  <wp:posOffset>165735</wp:posOffset>
                </wp:positionV>
                <wp:extent cx="554990" cy="1061720"/>
                <wp:effectExtent l="4445" t="4445" r="12065" b="19685"/>
                <wp:wrapNone/>
                <wp:docPr id="156" name="文本框 88"/>
                <wp:cNvGraphicFramePr/>
                <a:graphic xmlns:a="http://schemas.openxmlformats.org/drawingml/2006/main">
                  <a:graphicData uri="http://schemas.microsoft.com/office/word/2010/wordprocessingShape">
                    <wps:wsp>
                      <wps:cNvSpPr txBox="1"/>
                      <wps:spPr>
                        <a:xfrm>
                          <a:off x="0" y="0"/>
                          <a:ext cx="55499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AF4223">
                            <w:pPr>
                              <w:rPr>
                                <w:rFonts w:hint="eastAsia"/>
                              </w:rPr>
                            </w:pPr>
                            <w:r>
                              <w:rPr>
                                <w:rFonts w:hint="eastAsia"/>
                              </w:rPr>
                              <w:t>U</w:t>
                            </w:r>
                            <w:r>
                              <w:t>ASB</w:t>
                            </w:r>
                            <w:r>
                              <w:rPr>
                                <w:rFonts w:hint="eastAsia"/>
                              </w:rPr>
                              <w:t>厌氧反应器</w:t>
                            </w:r>
                          </w:p>
                        </w:txbxContent>
                      </wps:txbx>
                      <wps:bodyPr wrap="square" upright="1"/>
                    </wps:wsp>
                  </a:graphicData>
                </a:graphic>
              </wp:anchor>
            </w:drawing>
          </mc:Choice>
          <mc:Fallback>
            <w:pict>
              <v:shape id="文本框 88" o:spid="_x0000_s1026" o:spt="202" type="#_x0000_t202" style="position:absolute;left:0pt;margin-left:253.2pt;margin-top:13.05pt;height:83.6pt;width:43.7pt;z-index:251787264;mso-width-relative:page;mso-height-relative:page;" fillcolor="#FFFFFF" filled="t" stroked="t" coordsize="21600,21600" o:gfxdata="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41oitkAAAAKAQAA&#10;DwAAAAAAAAABACAAAAAiAAAAZHJzL2Rvd25yZXYueG1sUEsBAhQAFAAAAAgAh07iQOgx52gYAgAA&#10;RwQAAA4AAAAAAAAAAQAgAAAAKAEAAGRycy9lMm9Eb2MueG1sUEsFBgAAAAAGAAYAWQEAALIFAAAA&#10;AA==&#10;">
                <v:fill on="t" focussize="0,0"/>
                <v:stroke color="#000000" joinstyle="miter"/>
                <v:imagedata o:title=""/>
                <o:lock v:ext="edit" aspectratio="f"/>
                <v:textbox>
                  <w:txbxContent>
                    <w:p w14:paraId="52AF4223">
                      <w:pPr>
                        <w:rPr>
                          <w:rFonts w:hint="eastAsia"/>
                        </w:rPr>
                      </w:pPr>
                      <w:r>
                        <w:rPr>
                          <w:rFonts w:hint="eastAsia"/>
                        </w:rPr>
                        <w:t>U</w:t>
                      </w:r>
                      <w:r>
                        <w:t>ASB</w:t>
                      </w:r>
                      <w:r>
                        <w:rPr>
                          <w:rFonts w:hint="eastAsia"/>
                        </w:rPr>
                        <w:t>厌氧反应器</w:t>
                      </w:r>
                    </w:p>
                  </w:txbxContent>
                </v:textbox>
              </v:shape>
            </w:pict>
          </mc:Fallback>
        </mc:AlternateContent>
      </w:r>
      <w:r>
        <w:rPr>
          <w:lang/>
        </w:rPr>
        <mc:AlternateContent>
          <mc:Choice Requires="wps">
            <w:drawing>
              <wp:anchor distT="0" distB="0" distL="114300" distR="114300" simplePos="0" relativeHeight="251785216" behindDoc="0" locked="0" layoutInCell="1" allowOverlap="1">
                <wp:simplePos x="0" y="0"/>
                <wp:positionH relativeFrom="column">
                  <wp:posOffset>3588385</wp:posOffset>
                </wp:positionH>
                <wp:positionV relativeFrom="paragraph">
                  <wp:posOffset>-756920</wp:posOffset>
                </wp:positionV>
                <wp:extent cx="123190" cy="1967865"/>
                <wp:effectExtent l="5080" t="233680" r="46355" b="5080"/>
                <wp:wrapNone/>
                <wp:docPr id="154" name="自选图形 149"/>
                <wp:cNvGraphicFramePr/>
                <a:graphic xmlns:a="http://schemas.openxmlformats.org/drawingml/2006/main">
                  <a:graphicData uri="http://schemas.microsoft.com/office/word/2010/wordprocessingShape">
                    <wps:wsp>
                      <wps:cNvCnPr>
                        <a:stCxn id="152" idx="0"/>
                        <a:endCxn id="157" idx="0"/>
                      </wps:cNvCnPr>
                      <wps:spPr>
                        <a:xfrm rot="5400000" flipV="1">
                          <a:off x="0" y="0"/>
                          <a:ext cx="123190" cy="1967865"/>
                        </a:xfrm>
                        <a:prstGeom prst="bentConnector3">
                          <a:avLst>
                            <a:gd name="adj1" fmla="val -185565"/>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9" o:spid="_x0000_s1026" o:spt="34" type="#_x0000_t34" style="position:absolute;left:0pt;flip:y;margin-left:282.55pt;margin-top:-59.6pt;height:154.95pt;width:9.7pt;rotation:-5898240f;z-index:251785216;mso-width-relative:page;mso-height-relative:page;" filled="f" stroked="t" coordsize="21600,21600" o:gfxdata="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9F3r2QAAAAwBAAAPAAAAAAAAAAEAIAAA&#10;ACIAAABkcnMvZG93bnJldi54bWxQSwECFAAUAAAACACHTuJAnXB3MkQCAACBBAAADgAAAAAAAAAB&#10;ACAAAAAoAQAAZHJzL2Uyb0RvYy54bWxQSwUGAAAAAAYABgBZAQAA3gUAAAAA&#10;" adj="-40082">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92384" behindDoc="0" locked="0" layoutInCell="1" allowOverlap="1">
                <wp:simplePos x="0" y="0"/>
                <wp:positionH relativeFrom="column">
                  <wp:posOffset>3789045</wp:posOffset>
                </wp:positionH>
                <wp:positionV relativeFrom="paragraph">
                  <wp:posOffset>154940</wp:posOffset>
                </wp:positionV>
                <wp:extent cx="485140" cy="294005"/>
                <wp:effectExtent l="0" t="0" r="0" b="0"/>
                <wp:wrapNone/>
                <wp:docPr id="161" name="文本框 93"/>
                <wp:cNvGraphicFramePr/>
                <a:graphic xmlns:a="http://schemas.openxmlformats.org/drawingml/2006/main">
                  <a:graphicData uri="http://schemas.microsoft.com/office/word/2010/wordprocessingShape">
                    <wps:wsp>
                      <wps:cNvSpPr txBox="1"/>
                      <wps:spPr>
                        <a:xfrm>
                          <a:off x="0" y="0"/>
                          <a:ext cx="485140" cy="294005"/>
                        </a:xfrm>
                        <a:prstGeom prst="rect">
                          <a:avLst/>
                        </a:prstGeom>
                        <a:noFill/>
                        <a:ln>
                          <a:noFill/>
                        </a:ln>
                      </wps:spPr>
                      <wps:txbx>
                        <w:txbxContent>
                          <w:p w14:paraId="5CAE51AB">
                            <w:pPr>
                              <w:rPr>
                                <w:rFonts w:hint="eastAsia"/>
                              </w:rPr>
                            </w:pPr>
                            <w:r>
                              <w:rPr>
                                <w:rFonts w:hint="eastAsia"/>
                              </w:rPr>
                              <w:t>沼渣</w:t>
                            </w:r>
                          </w:p>
                        </w:txbxContent>
                      </wps:txbx>
                      <wps:bodyPr wrap="square" upright="1"/>
                    </wps:wsp>
                  </a:graphicData>
                </a:graphic>
              </wp:anchor>
            </w:drawing>
          </mc:Choice>
          <mc:Fallback>
            <w:pict>
              <v:shape id="文本框 93" o:spid="_x0000_s1026" o:spt="202" type="#_x0000_t202" style="position:absolute;left:0pt;margin-left:298.35pt;margin-top:12.2pt;height:23.15pt;width:38.2pt;z-index:251792384;mso-width-relative:page;mso-height-relative:page;" filled="f" stroked="f" coordsize="21600,21600" o:gfxdata="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QAxaL2AAAAAkBAAAPAAAAAAAAAAEAIAAAACIAAABkcnMvZG93bnJldi54bWxQSwECFAAU&#10;AAAACACHTuJAiY8tZLgBAABeAwAADgAAAAAAAAABACAAAAAnAQAAZHJzL2Uyb0RvYy54bWxQSwUG&#10;AAAAAAYABgBZAQAAUQUAAAAA&#10;">
                <v:fill on="f" focussize="0,0"/>
                <v:stroke on="f"/>
                <v:imagedata o:title=""/>
                <o:lock v:ext="edit" aspectratio="f"/>
                <v:textbox>
                  <w:txbxContent>
                    <w:p w14:paraId="5CAE51AB">
                      <w:pPr>
                        <w:rPr>
                          <w:rFonts w:hint="eastAsia"/>
                        </w:rPr>
                      </w:pPr>
                      <w:r>
                        <w:rPr>
                          <w:rFonts w:hint="eastAsia"/>
                        </w:rPr>
                        <w:t>沼渣</w:t>
                      </w:r>
                    </w:p>
                  </w:txbxContent>
                </v:textbox>
              </v:shape>
            </w:pict>
          </mc:Fallback>
        </mc:AlternateContent>
      </w:r>
      <w:r>
        <w:rPr>
          <w:lang/>
        </w:rPr>
        <mc:AlternateContent>
          <mc:Choice Requires="wps">
            <w:drawing>
              <wp:anchor distT="0" distB="0" distL="114300" distR="114300" simplePos="0" relativeHeight="251783168" behindDoc="0" locked="0" layoutInCell="1" allowOverlap="1">
                <wp:simplePos x="0" y="0"/>
                <wp:positionH relativeFrom="column">
                  <wp:posOffset>2531745</wp:posOffset>
                </wp:positionH>
                <wp:positionV relativeFrom="paragraph">
                  <wp:posOffset>165100</wp:posOffset>
                </wp:positionV>
                <wp:extent cx="340360" cy="1043940"/>
                <wp:effectExtent l="4445" t="4445" r="17145" b="18415"/>
                <wp:wrapNone/>
                <wp:docPr id="152" name="文本框 100"/>
                <wp:cNvGraphicFramePr/>
                <a:graphic xmlns:a="http://schemas.openxmlformats.org/drawingml/2006/main">
                  <a:graphicData uri="http://schemas.microsoft.com/office/word/2010/wordprocessingShape">
                    <wps:wsp>
                      <wps:cNvSpPr txBox="1"/>
                      <wps:spPr>
                        <a:xfrm>
                          <a:off x="0" y="0"/>
                          <a:ext cx="340360" cy="1043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A678AF">
                            <w:pPr>
                              <w:rPr>
                                <w:rFonts w:hint="eastAsia"/>
                              </w:rPr>
                            </w:pPr>
                            <w:r>
                              <w:rPr>
                                <w:rFonts w:hint="eastAsia"/>
                              </w:rPr>
                              <w:t>固液分离机</w:t>
                            </w:r>
                          </w:p>
                        </w:txbxContent>
                      </wps:txbx>
                      <wps:bodyPr wrap="square" upright="1"/>
                    </wps:wsp>
                  </a:graphicData>
                </a:graphic>
              </wp:anchor>
            </w:drawing>
          </mc:Choice>
          <mc:Fallback>
            <w:pict>
              <v:shape id="文本框 100" o:spid="_x0000_s1026" o:spt="202" type="#_x0000_t202" style="position:absolute;left:0pt;margin-left:199.35pt;margin-top:13pt;height:82.2pt;width:26.8pt;z-index:251783168;mso-width-relative:page;mso-height-relative:page;" fillcolor="#FFFFFF" filled="t" stroked="t" coordsize="21600,21600" o:gfxdata="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dc98dkAAAAKAQAA&#10;DwAAAAAAAAABACAAAAAiAAAAZHJzL2Rvd25yZXYueG1sUEsBAhQAFAAAAAgAh07iQDWbI/kYAgAA&#10;SAQAAA4AAAAAAAAAAQAgAAAAKAEAAGRycy9lMm9Eb2MueG1sUEsFBgAAAAAGAAYAWQEAALIFAAAA&#10;AA==&#10;">
                <v:fill on="t" focussize="0,0"/>
                <v:stroke color="#000000" joinstyle="miter"/>
                <v:imagedata o:title=""/>
                <o:lock v:ext="edit" aspectratio="f"/>
                <v:textbox>
                  <w:txbxContent>
                    <w:p w14:paraId="18A678AF">
                      <w:pPr>
                        <w:rPr>
                          <w:rFonts w:hint="eastAsia"/>
                        </w:rPr>
                      </w:pPr>
                      <w:r>
                        <w:rPr>
                          <w:rFonts w:hint="eastAsia"/>
                        </w:rPr>
                        <w:t>固液分离机</w:t>
                      </w:r>
                    </w:p>
                  </w:txbxContent>
                </v:textbox>
              </v:shape>
            </w:pict>
          </mc:Fallback>
        </mc:AlternateContent>
      </w:r>
      <w:r>
        <w:rPr>
          <w:lang/>
        </w:rPr>
        <mc:AlternateContent>
          <mc:Choice Requires="wps">
            <w:drawing>
              <wp:anchor distT="0" distB="0" distL="114300" distR="114300" simplePos="0" relativeHeight="251780096" behindDoc="0" locked="0" layoutInCell="1" allowOverlap="1">
                <wp:simplePos x="0" y="0"/>
                <wp:positionH relativeFrom="column">
                  <wp:posOffset>777875</wp:posOffset>
                </wp:positionH>
                <wp:positionV relativeFrom="paragraph">
                  <wp:posOffset>116205</wp:posOffset>
                </wp:positionV>
                <wp:extent cx="590550" cy="295275"/>
                <wp:effectExtent l="0" t="0" r="0" b="0"/>
                <wp:wrapNone/>
                <wp:docPr id="149" name="文本框 57"/>
                <wp:cNvGraphicFramePr/>
                <a:graphic xmlns:a="http://schemas.openxmlformats.org/drawingml/2006/main">
                  <a:graphicData uri="http://schemas.microsoft.com/office/word/2010/wordprocessingShape">
                    <wps:wsp>
                      <wps:cNvSpPr txBox="1"/>
                      <wps:spPr>
                        <a:xfrm>
                          <a:off x="0" y="0"/>
                          <a:ext cx="590550" cy="295275"/>
                        </a:xfrm>
                        <a:prstGeom prst="rect">
                          <a:avLst/>
                        </a:prstGeom>
                        <a:noFill/>
                        <a:ln>
                          <a:noFill/>
                        </a:ln>
                      </wps:spPr>
                      <wps:txbx>
                        <w:txbxContent>
                          <w:p w14:paraId="4C0312DF">
                            <w:pPr>
                              <w:rPr>
                                <w:szCs w:val="21"/>
                              </w:rPr>
                            </w:pPr>
                            <w:r>
                              <w:rPr>
                                <w:rFonts w:hint="eastAsia"/>
                                <w:szCs w:val="21"/>
                              </w:rPr>
                              <w:t>粪尿</w:t>
                            </w:r>
                          </w:p>
                        </w:txbxContent>
                      </wps:txbx>
                      <wps:bodyPr wrap="square" upright="1"/>
                    </wps:wsp>
                  </a:graphicData>
                </a:graphic>
              </wp:anchor>
            </w:drawing>
          </mc:Choice>
          <mc:Fallback>
            <w:pict>
              <v:shape id="文本框 57" o:spid="_x0000_s1026" o:spt="202" type="#_x0000_t202" style="position:absolute;left:0pt;margin-left:61.25pt;margin-top:9.15pt;height:23.25pt;width:46.5pt;z-index:251780096;mso-width-relative:page;mso-height-relative:page;" filled="f" stroked="f" coordsize="21600,21600" o:gfxdata="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ZD2v9YAAAAJAQAADwAAAAAAAAABACAAAAAiAAAAZHJzL2Rvd25yZXYueG1sUEsBAhQAFAAA&#10;AAgAh07iQFBuOIO4AQAAXgMAAA4AAAAAAAAAAQAgAAAAJQEAAGRycy9lMm9Eb2MueG1sUEsFBgAA&#10;AAAGAAYAWQEAAE8FAAAAAA==&#10;">
                <v:fill on="f" focussize="0,0"/>
                <v:stroke on="f"/>
                <v:imagedata o:title=""/>
                <o:lock v:ext="edit" aspectratio="f"/>
                <v:textbox>
                  <w:txbxContent>
                    <w:p w14:paraId="4C0312DF">
                      <w:pPr>
                        <w:rPr>
                          <w:szCs w:val="21"/>
                        </w:rPr>
                      </w:pPr>
                      <w:r>
                        <w:rPr>
                          <w:rFonts w:hint="eastAsia"/>
                          <w:szCs w:val="21"/>
                        </w:rPr>
                        <w:t>粪尿</w:t>
                      </w:r>
                    </w:p>
                  </w:txbxContent>
                </v:textbox>
              </v:shape>
            </w:pict>
          </mc:Fallback>
        </mc:AlternateContent>
      </w:r>
    </w:p>
    <w:p w14:paraId="3DDA35E0">
      <w:pPr>
        <w:pStyle w:val="86"/>
        <w:ind w:firstLine="480"/>
      </w:pPr>
      <w:r>
        <w:rPr>
          <w:lang/>
        </w:rPr>
        <mc:AlternateContent>
          <mc:Choice Requires="wps">
            <w:drawing>
              <wp:anchor distT="0" distB="0" distL="114300" distR="114300" simplePos="0" relativeHeight="251790336" behindDoc="0" locked="0" layoutInCell="1" allowOverlap="1">
                <wp:simplePos x="0" y="0"/>
                <wp:positionH relativeFrom="column">
                  <wp:posOffset>3770630</wp:posOffset>
                </wp:positionH>
                <wp:positionV relativeFrom="paragraph">
                  <wp:posOffset>173355</wp:posOffset>
                </wp:positionV>
                <wp:extent cx="440690" cy="260985"/>
                <wp:effectExtent l="0" t="38100" r="16510" b="5715"/>
                <wp:wrapNone/>
                <wp:docPr id="159" name="自选图形 91"/>
                <wp:cNvGraphicFramePr/>
                <a:graphic xmlns:a="http://schemas.openxmlformats.org/drawingml/2006/main">
                  <a:graphicData uri="http://schemas.microsoft.com/office/word/2010/wordprocessingShape">
                    <wps:wsp>
                      <wps:cNvCnPr>
                        <a:stCxn id="156" idx="3"/>
                        <a:endCxn id="157" idx="1"/>
                      </wps:cNvCnPr>
                      <wps:spPr>
                        <a:xfrm flipV="1">
                          <a:off x="0" y="0"/>
                          <a:ext cx="440690" cy="26098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91" o:spid="_x0000_s1026" o:spt="34" type="#_x0000_t34" style="position:absolute;left:0pt;flip:y;margin-left:296.9pt;margin-top:13.65pt;height:20.55pt;width:34.7pt;z-index:251790336;mso-width-relative:page;mso-height-relative:page;" filled="f" stroked="t" coordsize="21600,21600" o:gfxdata="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77MAHYAAAACQEAAA8AAAAAAAAAAQAgAAAAIgAAAGRycy9k&#10;b3ducmV2LnhtbFBLAQIUABQAAAAIAIdO4kBFgBEkOwIAAG8EAAAOAAAAAAAAAAEAIAAAACcBAABk&#10;cnMvZTJvRG9jLnhtbFBLBQYAAAAABgAGAFkBAADUBQAAAAA=&#10;" adj="10800">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91360" behindDoc="0" locked="0" layoutInCell="1" allowOverlap="1">
                <wp:simplePos x="0" y="0"/>
                <wp:positionH relativeFrom="column">
                  <wp:posOffset>3770630</wp:posOffset>
                </wp:positionH>
                <wp:positionV relativeFrom="paragraph">
                  <wp:posOffset>173355</wp:posOffset>
                </wp:positionV>
                <wp:extent cx="440690" cy="260985"/>
                <wp:effectExtent l="0" t="38100" r="16510" b="5715"/>
                <wp:wrapNone/>
                <wp:docPr id="160" name="自选图形 92"/>
                <wp:cNvGraphicFramePr/>
                <a:graphic xmlns:a="http://schemas.openxmlformats.org/drawingml/2006/main">
                  <a:graphicData uri="http://schemas.microsoft.com/office/word/2010/wordprocessingShape">
                    <wps:wsp>
                      <wps:cNvCnPr>
                        <a:stCxn id="156" idx="3"/>
                        <a:endCxn id="157" idx="1"/>
                      </wps:cNvCnPr>
                      <wps:spPr>
                        <a:xfrm flipV="1">
                          <a:off x="0" y="0"/>
                          <a:ext cx="440690" cy="26098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92" o:spid="_x0000_s1026" o:spt="34" type="#_x0000_t34" style="position:absolute;left:0pt;flip:y;margin-left:296.9pt;margin-top:13.65pt;height:20.55pt;width:34.7pt;z-index:251791360;mso-width-relative:page;mso-height-relative:page;" filled="f" stroked="t" coordsize="21600,21600" o:gfxdata="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zAB2AAAAAkBAAAPAAAAAAAAAAEAIAAAACIAAABkcnMvZG93&#10;bnJldi54bWxQSwECFAAUAAAACACHTuJACZmPizkCAABvBAAADgAAAAAAAAABACAAAAAnAQAAZHJz&#10;L2Uyb0RvYy54bWxQSwUGAAAAAAYABgBZAQAA0gUAAAAA&#10;" adj="10800">
                <v:fill on="f" focussize="0,0"/>
                <v:stroke color="#000000" joinstyle="miter" endarrow="block"/>
                <v:imagedata o:title=""/>
                <o:lock v:ext="edit" aspectratio="f"/>
              </v:shape>
            </w:pict>
          </mc:Fallback>
        </mc:AlternateContent>
      </w:r>
      <w:r>
        <w:rPr>
          <w:lang/>
        </w:rPr>
        <mc:AlternateContent>
          <mc:Choice Requires="wps">
            <w:drawing>
              <wp:anchor distT="0" distB="0" distL="114300" distR="114300" simplePos="0" relativeHeight="251788288" behindDoc="0" locked="0" layoutInCell="1" allowOverlap="1">
                <wp:simplePos x="0" y="0"/>
                <wp:positionH relativeFrom="column">
                  <wp:posOffset>4211320</wp:posOffset>
                </wp:positionH>
                <wp:positionV relativeFrom="paragraph">
                  <wp:posOffset>26035</wp:posOffset>
                </wp:positionV>
                <wp:extent cx="916305" cy="294005"/>
                <wp:effectExtent l="5080" t="4445" r="12065" b="6350"/>
                <wp:wrapNone/>
                <wp:docPr id="157" name="文本框 89"/>
                <wp:cNvGraphicFramePr/>
                <a:graphic xmlns:a="http://schemas.openxmlformats.org/drawingml/2006/main">
                  <a:graphicData uri="http://schemas.microsoft.com/office/word/2010/wordprocessingShape">
                    <wps:wsp>
                      <wps:cNvSpPr txBox="1"/>
                      <wps:spPr>
                        <a:xfrm>
                          <a:off x="0" y="0"/>
                          <a:ext cx="916305" cy="294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A8F96">
                            <w:pPr>
                              <w:rPr>
                                <w:rFonts w:hint="eastAsia"/>
                              </w:rPr>
                            </w:pPr>
                            <w:r>
                              <w:rPr>
                                <w:rFonts w:hint="eastAsia"/>
                              </w:rPr>
                              <w:t>固粪处理区</w:t>
                            </w:r>
                          </w:p>
                        </w:txbxContent>
                      </wps:txbx>
                      <wps:bodyPr wrap="square" upright="1"/>
                    </wps:wsp>
                  </a:graphicData>
                </a:graphic>
              </wp:anchor>
            </w:drawing>
          </mc:Choice>
          <mc:Fallback>
            <w:pict>
              <v:shape id="文本框 89" o:spid="_x0000_s1026" o:spt="202" type="#_x0000_t202" style="position:absolute;left:0pt;margin-left:331.6pt;margin-top:2.05pt;height:23.15pt;width:72.15pt;z-index:251788288;mso-width-relative:page;mso-height-relative:page;" fillcolor="#FFFFFF" filled="t" stroked="t" coordsize="21600,21600" o:gfxdata="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g7Oc2AAAAAgBAAAPAAAA&#10;AAAAAAEAIAAAACIAAABkcnMvZG93bnJldi54bWxQSwECFAAUAAAACACHTuJAl1GjghUCAABGBAAA&#10;DgAAAAAAAAABACAAAAAnAQAAZHJzL2Uyb0RvYy54bWxQSwUGAAAAAAYABgBZAQAArgUAAAAA&#10;">
                <v:fill on="t" focussize="0,0"/>
                <v:stroke color="#000000" joinstyle="miter"/>
                <v:imagedata o:title=""/>
                <o:lock v:ext="edit" aspectratio="f"/>
                <v:textbox>
                  <w:txbxContent>
                    <w:p w14:paraId="0E8A8F96">
                      <w:pPr>
                        <w:rPr>
                          <w:rFonts w:hint="eastAsia"/>
                        </w:rPr>
                      </w:pPr>
                      <w:r>
                        <w:rPr>
                          <w:rFonts w:hint="eastAsia"/>
                        </w:rPr>
                        <w:t>固粪处理区</w:t>
                      </w:r>
                    </w:p>
                  </w:txbxContent>
                </v:textbox>
              </v:shape>
            </w:pict>
          </mc:Fallback>
        </mc:AlternateContent>
      </w:r>
      <w:r>
        <w:rPr>
          <w:lang/>
        </w:rPr>
        <mc:AlternateContent>
          <mc:Choice Requires="wps">
            <w:drawing>
              <wp:anchor distT="0" distB="0" distL="114300" distR="114300" simplePos="0" relativeHeight="251782144" behindDoc="0" locked="0" layoutInCell="1" allowOverlap="1">
                <wp:simplePos x="0" y="0"/>
                <wp:positionH relativeFrom="column">
                  <wp:posOffset>1903095</wp:posOffset>
                </wp:positionH>
                <wp:positionV relativeFrom="paragraph">
                  <wp:posOffset>17145</wp:posOffset>
                </wp:positionV>
                <wp:extent cx="340360" cy="826135"/>
                <wp:effectExtent l="4445" t="4445" r="17145" b="7620"/>
                <wp:wrapNone/>
                <wp:docPr id="151" name="文本框 59"/>
                <wp:cNvGraphicFramePr/>
                <a:graphic xmlns:a="http://schemas.openxmlformats.org/drawingml/2006/main">
                  <a:graphicData uri="http://schemas.microsoft.com/office/word/2010/wordprocessingShape">
                    <wps:wsp>
                      <wps:cNvSpPr txBox="1"/>
                      <wps:spPr>
                        <a:xfrm>
                          <a:off x="0" y="0"/>
                          <a:ext cx="340360" cy="826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C1FE6A">
                            <w:pPr>
                              <w:rPr>
                                <w:rFonts w:hint="eastAsia"/>
                              </w:rPr>
                            </w:pPr>
                            <w:r>
                              <w:rPr>
                                <w:rFonts w:hint="eastAsia"/>
                              </w:rPr>
                              <w:t>收集池</w:t>
                            </w:r>
                          </w:p>
                        </w:txbxContent>
                      </wps:txbx>
                      <wps:bodyPr wrap="square" upright="1"/>
                    </wps:wsp>
                  </a:graphicData>
                </a:graphic>
              </wp:anchor>
            </w:drawing>
          </mc:Choice>
          <mc:Fallback>
            <w:pict>
              <v:shape id="文本框 59" o:spid="_x0000_s1026" o:spt="202" type="#_x0000_t202" style="position:absolute;left:0pt;margin-left:149.85pt;margin-top:1.35pt;height:65.05pt;width:26.8pt;z-index:251782144;mso-width-relative:page;mso-height-relative:page;" fillcolor="#FFFFFF" filled="t" stroked="t" coordsize="21600,21600" o:gfxdata="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zNzVdgAAAAJAQAADwAA&#10;AAAAAAABACAAAAAiAAAAZHJzL2Rvd25yZXYueG1sUEsBAhQAFAAAAAgAh07iQHvxb28WAgAARgQA&#10;AA4AAAAAAAAAAQAgAAAAJwEAAGRycy9lMm9Eb2MueG1sUEsFBgAAAAAGAAYAWQEAAK8FAAAAAA==&#10;">
                <v:fill on="t" focussize="0,0"/>
                <v:stroke color="#000000" joinstyle="miter"/>
                <v:imagedata o:title=""/>
                <o:lock v:ext="edit" aspectratio="f"/>
                <v:textbox>
                  <w:txbxContent>
                    <w:p w14:paraId="1AC1FE6A">
                      <w:pPr>
                        <w:rPr>
                          <w:rFonts w:hint="eastAsia"/>
                        </w:rPr>
                      </w:pPr>
                      <w:r>
                        <w:rPr>
                          <w:rFonts w:hint="eastAsia"/>
                        </w:rPr>
                        <w:t>收集池</w:t>
                      </w:r>
                    </w:p>
                  </w:txbxContent>
                </v:textbox>
              </v:shape>
            </w:pict>
          </mc:Fallback>
        </mc:AlternateContent>
      </w:r>
      <w:r>
        <w:rPr>
          <w:lang/>
        </w:rPr>
        <mc:AlternateContent>
          <mc:Choice Requires="wps">
            <w:drawing>
              <wp:anchor distT="0" distB="0" distL="114300" distR="114300" simplePos="0" relativeHeight="251779072" behindDoc="0" locked="0" layoutInCell="1" allowOverlap="1">
                <wp:simplePos x="0" y="0"/>
                <wp:positionH relativeFrom="column">
                  <wp:posOffset>1206500</wp:posOffset>
                </wp:positionH>
                <wp:positionV relativeFrom="paragraph">
                  <wp:posOffset>88900</wp:posOffset>
                </wp:positionV>
                <wp:extent cx="561975" cy="269875"/>
                <wp:effectExtent l="1905" t="4445" r="7620" b="11430"/>
                <wp:wrapNone/>
                <wp:docPr id="148" name="自选图形 56"/>
                <wp:cNvGraphicFramePr/>
                <a:graphic xmlns:a="http://schemas.openxmlformats.org/drawingml/2006/main">
                  <a:graphicData uri="http://schemas.microsoft.com/office/word/2010/wordprocessingShape">
                    <wps:wsp>
                      <wps:cNvCnPr/>
                      <wps:spPr>
                        <a:xfrm>
                          <a:off x="0" y="0"/>
                          <a:ext cx="561975" cy="269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95pt;margin-top:7pt;height:21.25pt;width:44.25pt;z-index:251779072;mso-width-relative:page;mso-height-relative:page;" filled="f" stroked="t" coordsize="21600,21600" o:gfxdata="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WlN/NkAAAAJAQAADwAAAAAAAAABACAAAAAiAAAAZHJzL2Rv&#10;d25yZXYueG1sUEsBAhQAFAAAAAgAh07iQP9EbUsAAgAA7gMAAA4AAAAAAAAAAQAgAAAAKAEAAGRy&#10;cy9lMm9Eb2MueG1sUEsFBgAAAAAGAAYAWQEAAJoFAAAAAA==&#10;">
                <v:fill on="f" focussize="0,0"/>
                <v:stroke color="#000000" joinstyle="round" endarrow="block"/>
                <v:imagedata o:title=""/>
                <o:lock v:ext="edit" aspectratio="f"/>
              </v:shape>
            </w:pict>
          </mc:Fallback>
        </mc:AlternateContent>
      </w:r>
    </w:p>
    <w:p w14:paraId="19DF4DDE">
      <w:pPr>
        <w:pStyle w:val="86"/>
        <w:ind w:firstLine="480"/>
      </w:pPr>
      <w:r>
        <w:rPr>
          <w:lang/>
        </w:rPr>
        <mc:AlternateContent>
          <mc:Choice Requires="wps">
            <w:drawing>
              <wp:anchor distT="0" distB="0" distL="114300" distR="114300" simplePos="0" relativeHeight="251796480" behindDoc="0" locked="0" layoutInCell="1" allowOverlap="1">
                <wp:simplePos x="0" y="0"/>
                <wp:positionH relativeFrom="column">
                  <wp:posOffset>3994150</wp:posOffset>
                </wp:positionH>
                <wp:positionV relativeFrom="paragraph">
                  <wp:posOffset>154305</wp:posOffset>
                </wp:positionV>
                <wp:extent cx="0" cy="328930"/>
                <wp:effectExtent l="4445" t="0" r="14605" b="13970"/>
                <wp:wrapNone/>
                <wp:docPr id="165" name="自选图形 1967"/>
                <wp:cNvGraphicFramePr/>
                <a:graphic xmlns:a="http://schemas.openxmlformats.org/drawingml/2006/main">
                  <a:graphicData uri="http://schemas.microsoft.com/office/word/2010/wordprocessingShape">
                    <wps:wsp>
                      <wps:cNvCnPr>
                        <a:stCxn id="156" idx="3"/>
                        <a:endCxn id="157" idx="1"/>
                      </wps:cNvCnPr>
                      <wps:spPr>
                        <a:xfrm>
                          <a:off x="0" y="0"/>
                          <a:ext cx="0" cy="328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67" o:spid="_x0000_s1026" o:spt="32" type="#_x0000_t32" style="position:absolute;left:0pt;margin-left:314.5pt;margin-top:12.15pt;height:25.9pt;width:0pt;z-index:251796480;mso-width-relative:page;mso-height-relative:page;" filled="f" stroked="t" coordsize="21600,21600" o:gfxdata="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jzoftcAAAAJAQAADwAAAAAA&#10;AAABACAAAAAiAAAAZHJzL2Rvd25yZXYueG1sUEsBAhQAFAAAAAgAh07iQOz+3JMUAgAAKwQAAA4A&#10;AAAAAAAAAQAgAAAAJgEAAGRycy9lMm9Eb2MueG1sUEsFBgAAAAAGAAYAWQEAAKwFAAAAAA==&#10;">
                <v:fill on="f" focussize="0,0"/>
                <v:stroke color="#000000" joinstyle="round"/>
                <v:imagedata o:title=""/>
                <o:lock v:ext="edit" aspectratio="f"/>
              </v:shape>
            </w:pict>
          </mc:Fallback>
        </mc:AlternateContent>
      </w:r>
      <w:r>
        <w:rPr>
          <w:lang/>
        </w:rPr>
        <mc:AlternateContent>
          <mc:Choice Requires="wps">
            <w:drawing>
              <wp:anchor distT="0" distB="0" distL="114300" distR="114300" simplePos="0" relativeHeight="251794432" behindDoc="0" locked="0" layoutInCell="1" allowOverlap="1">
                <wp:simplePos x="0" y="0"/>
                <wp:positionH relativeFrom="column">
                  <wp:posOffset>2908300</wp:posOffset>
                </wp:positionH>
                <wp:positionV relativeFrom="paragraph">
                  <wp:posOffset>177800</wp:posOffset>
                </wp:positionV>
                <wp:extent cx="306705" cy="635"/>
                <wp:effectExtent l="0" t="38100" r="17145" b="37465"/>
                <wp:wrapNone/>
                <wp:docPr id="163" name="直线 95"/>
                <wp:cNvGraphicFramePr/>
                <a:graphic xmlns:a="http://schemas.openxmlformats.org/drawingml/2006/main">
                  <a:graphicData uri="http://schemas.microsoft.com/office/word/2010/wordprocessingShape">
                    <wps:wsp>
                      <wps:cNvSpPr/>
                      <wps:spPr>
                        <a:xfrm flipV="1">
                          <a:off x="0" y="0"/>
                          <a:ext cx="3067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 o:spid="_x0000_s1026" o:spt="20" style="position:absolute;left:0pt;flip:y;margin-left:229pt;margin-top:14pt;height:0.05pt;width:24.15pt;z-index:251794432;mso-width-relative:page;mso-height-relative:page;" filled="f" stroked="t" coordsize="21600,21600" o:gfxdata="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b6XI2QAAAAkBAAAPAAAAAAAAAAEAIAAAACIAAABkcnMvZG93bnJldi54&#10;bWxQSwECFAAUAAAACACHTuJAPRJgNfkBAADtAwAADgAAAAAAAAABACAAAAAoAQAAZHJzL2Uyb0Rv&#10;Yy54bWxQSwUGAAAAAAYABgBZAQAAkwU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784192" behindDoc="0" locked="0" layoutInCell="1" allowOverlap="1">
                <wp:simplePos x="0" y="0"/>
                <wp:positionH relativeFrom="column">
                  <wp:posOffset>2258695</wp:posOffset>
                </wp:positionH>
                <wp:positionV relativeFrom="paragraph">
                  <wp:posOffset>128905</wp:posOffset>
                </wp:positionV>
                <wp:extent cx="276225" cy="635"/>
                <wp:effectExtent l="0" t="37465" r="9525" b="38100"/>
                <wp:wrapNone/>
                <wp:docPr id="153" name="直线 104"/>
                <wp:cNvGraphicFramePr/>
                <a:graphic xmlns:a="http://schemas.openxmlformats.org/drawingml/2006/main">
                  <a:graphicData uri="http://schemas.microsoft.com/office/word/2010/wordprocessingShape">
                    <wps:wsp>
                      <wps:cNvSpPr/>
                      <wps:spPr>
                        <a:xfrm>
                          <a:off x="0" y="0"/>
                          <a:ext cx="2762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177.85pt;margin-top:10.15pt;height:0.05pt;width:21.75pt;z-index:251784192;mso-width-relative:page;mso-height-relative:page;" filled="f" stroked="t" coordsize="21600,21600" o:gfxdata="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FbTaAAAACQEAAA8AAAAAAAAAAQAgAAAAIgAAAGRycy9kb3ducmV2LnhtbFBLAQIU&#10;ABQAAAAIAIdO4kA32O9E8QEAAOQDAAAOAAAAAAAAAAEAIAAAACkBAABkcnMvZTJvRG9jLnhtbFBL&#10;BQYAAAAABgAGAFkBAACMBQAAAAA=&#10;">
                <v:fill on="f" focussize="0,0"/>
                <v:stroke color="#000000" joinstyle="round" endarrow="block"/>
                <v:imagedata o:title=""/>
                <o:lock v:ext="edit" aspectratio="f"/>
              </v:line>
            </w:pict>
          </mc:Fallback>
        </mc:AlternateContent>
      </w:r>
    </w:p>
    <w:p w14:paraId="5FD33EFA">
      <w:pPr>
        <w:pStyle w:val="86"/>
        <w:ind w:firstLine="480"/>
      </w:pPr>
      <w:r>
        <w:rPr>
          <w:lang/>
        </w:rPr>
        <mc:AlternateContent>
          <mc:Choice Requires="wps">
            <w:drawing>
              <wp:anchor distT="0" distB="0" distL="114300" distR="114300" simplePos="0" relativeHeight="251797504" behindDoc="0" locked="0" layoutInCell="1" allowOverlap="1">
                <wp:simplePos x="0" y="0"/>
                <wp:positionH relativeFrom="column">
                  <wp:posOffset>3994150</wp:posOffset>
                </wp:positionH>
                <wp:positionV relativeFrom="paragraph">
                  <wp:posOffset>220980</wp:posOffset>
                </wp:positionV>
                <wp:extent cx="217170" cy="0"/>
                <wp:effectExtent l="0" t="38100" r="11430" b="38100"/>
                <wp:wrapNone/>
                <wp:docPr id="166" name="自选图形 1968"/>
                <wp:cNvGraphicFramePr/>
                <a:graphic xmlns:a="http://schemas.openxmlformats.org/drawingml/2006/main">
                  <a:graphicData uri="http://schemas.microsoft.com/office/word/2010/wordprocessingShape">
                    <wps:wsp>
                      <wps:cNvCnPr>
                        <a:stCxn id="156" idx="3"/>
                        <a:endCxn id="157" idx="1"/>
                      </wps:cNvCnPr>
                      <wps:spPr>
                        <a:xfrm>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68" o:spid="_x0000_s1026" o:spt="32" type="#_x0000_t32" style="position:absolute;left:0pt;margin-left:314.5pt;margin-top:17.4pt;height:0pt;width:17.1pt;z-index:251797504;mso-width-relative:page;mso-height-relative:page;" filled="f" stroked="t" coordsize="21600,21600" o:gfxdata="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J77rYAAAACQEA&#10;AA8AAAAAAAAAAQAgAAAAIgAAAGRycy9kb3ducmV2LnhtbFBLAQIUABQAAAAIAIdO4kDdkGM8GgIA&#10;AC8EAAAOAAAAAAAAAAEAIAAAACcBAABkcnMvZTJvRG9jLnhtbFBLBQYAAAAABgAGAFkBAACzBQAA&#10;AAA=&#10;">
                <v:fill on="f" focussize="0,0"/>
                <v:stroke color="#000000" joinstyle="round" endarrow="block"/>
                <v:imagedata o:title=""/>
                <o:lock v:ext="edit" aspectratio="f"/>
              </v:shape>
            </w:pict>
          </mc:Fallback>
        </mc:AlternateContent>
      </w:r>
      <w:r>
        <w:rPr>
          <w:lang/>
        </w:rPr>
        <mc:AlternateContent>
          <mc:Choice Requires="wps">
            <w:drawing>
              <wp:anchor distT="0" distB="0" distL="114300" distR="114300" simplePos="0" relativeHeight="251793408" behindDoc="0" locked="0" layoutInCell="1" allowOverlap="1">
                <wp:simplePos x="0" y="0"/>
                <wp:positionH relativeFrom="column">
                  <wp:posOffset>3770630</wp:posOffset>
                </wp:positionH>
                <wp:positionV relativeFrom="paragraph">
                  <wp:posOffset>184150</wp:posOffset>
                </wp:positionV>
                <wp:extent cx="485775" cy="294005"/>
                <wp:effectExtent l="0" t="0" r="0" b="0"/>
                <wp:wrapNone/>
                <wp:docPr id="162" name="文本框 94"/>
                <wp:cNvGraphicFramePr/>
                <a:graphic xmlns:a="http://schemas.openxmlformats.org/drawingml/2006/main">
                  <a:graphicData uri="http://schemas.microsoft.com/office/word/2010/wordprocessingShape">
                    <wps:wsp>
                      <wps:cNvSpPr txBox="1"/>
                      <wps:spPr>
                        <a:xfrm>
                          <a:off x="0" y="0"/>
                          <a:ext cx="485775" cy="294005"/>
                        </a:xfrm>
                        <a:prstGeom prst="rect">
                          <a:avLst/>
                        </a:prstGeom>
                        <a:noFill/>
                        <a:ln>
                          <a:noFill/>
                        </a:ln>
                      </wps:spPr>
                      <wps:txbx>
                        <w:txbxContent>
                          <w:p w14:paraId="5D6275B2">
                            <w:pPr>
                              <w:rPr>
                                <w:rFonts w:hint="eastAsia"/>
                              </w:rPr>
                            </w:pPr>
                            <w:r>
                              <w:rPr>
                                <w:rFonts w:hint="eastAsia"/>
                              </w:rPr>
                              <w:t>沼液</w:t>
                            </w:r>
                          </w:p>
                        </w:txbxContent>
                      </wps:txbx>
                      <wps:bodyPr wrap="square" upright="1"/>
                    </wps:wsp>
                  </a:graphicData>
                </a:graphic>
              </wp:anchor>
            </w:drawing>
          </mc:Choice>
          <mc:Fallback>
            <w:pict>
              <v:shape id="文本框 94" o:spid="_x0000_s1026" o:spt="202" type="#_x0000_t202" style="position:absolute;left:0pt;margin-left:296.9pt;margin-top:14.5pt;height:23.15pt;width:38.25pt;z-index:251793408;mso-width-relative:page;mso-height-relative:page;" filled="f" stroked="f" coordsize="21600,21600" o:gfxdata="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tNKA1wAAAAkBAAAPAAAAAAAAAAEAIAAAACIAAABkcnMvZG93bnJldi54bWxQSwECFAAU&#10;AAAACACHTuJASCq5sbkBAABeAwAADgAAAAAAAAABACAAAAAmAQAAZHJzL2Uyb0RvYy54bWxQSwUG&#10;AAAAAAYABgBZAQAAUQUAAAAA&#10;">
                <v:fill on="f" focussize="0,0"/>
                <v:stroke on="f"/>
                <v:imagedata o:title=""/>
                <o:lock v:ext="edit" aspectratio="f"/>
                <v:textbox>
                  <w:txbxContent>
                    <w:p w14:paraId="5D6275B2">
                      <w:pPr>
                        <w:rPr>
                          <w:rFonts w:hint="eastAsia"/>
                        </w:rPr>
                      </w:pPr>
                      <w:r>
                        <w:rPr>
                          <w:rFonts w:hint="eastAsia"/>
                        </w:rPr>
                        <w:t>沼液</w:t>
                      </w:r>
                    </w:p>
                  </w:txbxContent>
                </v:textbox>
              </v:shape>
            </w:pict>
          </mc:Fallback>
        </mc:AlternateContent>
      </w:r>
      <w:r>
        <w:rPr>
          <w:lang/>
        </w:rPr>
        <mc:AlternateContent>
          <mc:Choice Requires="wps">
            <w:drawing>
              <wp:anchor distT="0" distB="0" distL="114300" distR="114300" simplePos="0" relativeHeight="251789312" behindDoc="0" locked="0" layoutInCell="1" allowOverlap="1">
                <wp:simplePos x="0" y="0"/>
                <wp:positionH relativeFrom="column">
                  <wp:posOffset>4219575</wp:posOffset>
                </wp:positionH>
                <wp:positionV relativeFrom="paragraph">
                  <wp:posOffset>80645</wp:posOffset>
                </wp:positionV>
                <wp:extent cx="934720" cy="294005"/>
                <wp:effectExtent l="5080" t="4445" r="12700" b="6350"/>
                <wp:wrapNone/>
                <wp:docPr id="158" name="文本框 90"/>
                <wp:cNvGraphicFramePr/>
                <a:graphic xmlns:a="http://schemas.openxmlformats.org/drawingml/2006/main">
                  <a:graphicData uri="http://schemas.microsoft.com/office/word/2010/wordprocessingShape">
                    <wps:wsp>
                      <wps:cNvSpPr txBox="1"/>
                      <wps:spPr>
                        <a:xfrm>
                          <a:off x="0" y="0"/>
                          <a:ext cx="934720" cy="294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8073DC">
                            <w:pPr>
                              <w:rPr>
                                <w:rFonts w:hint="eastAsia"/>
                              </w:rPr>
                            </w:pPr>
                            <w:r>
                              <w:rPr>
                                <w:rFonts w:hint="eastAsia"/>
                              </w:rPr>
                              <w:t>沼液储存池</w:t>
                            </w:r>
                          </w:p>
                        </w:txbxContent>
                      </wps:txbx>
                      <wps:bodyPr wrap="square" upright="1"/>
                    </wps:wsp>
                  </a:graphicData>
                </a:graphic>
              </wp:anchor>
            </w:drawing>
          </mc:Choice>
          <mc:Fallback>
            <w:pict>
              <v:shape id="文本框 90" o:spid="_x0000_s1026" o:spt="202" type="#_x0000_t202" style="position:absolute;left:0pt;margin-left:332.25pt;margin-top:6.35pt;height:23.15pt;width:73.6pt;z-index:251789312;mso-width-relative:page;mso-height-relative:page;" fillcolor="#FFFFFF" filled="t" stroked="t" coordsize="21600,21600" o:gfxdata="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oK7MrYAAAACQEAAA8AAAAA&#10;AAAAAQAgAAAAIgAAAGRycy9kb3ducmV2LnhtbFBLAQIUABQAAAAIAIdO4kApwjAQFAIAAEYEAAAO&#10;AAAAAAAAAAEAIAAAACcBAABkcnMvZTJvRG9jLnhtbFBLBQYAAAAABgAGAFkBAACtBQAAAAA=&#10;">
                <v:fill on="t" focussize="0,0"/>
                <v:stroke color="#000000" joinstyle="miter"/>
                <v:imagedata o:title=""/>
                <o:lock v:ext="edit" aspectratio="f"/>
                <v:textbox>
                  <w:txbxContent>
                    <w:p w14:paraId="2B8073DC">
                      <w:pPr>
                        <w:rPr>
                          <w:rFonts w:hint="eastAsia"/>
                        </w:rPr>
                      </w:pPr>
                      <w:r>
                        <w:rPr>
                          <w:rFonts w:hint="eastAsia"/>
                        </w:rPr>
                        <w:t>沼液储存池</w:t>
                      </w:r>
                    </w:p>
                  </w:txbxContent>
                </v:textbox>
              </v:shape>
            </w:pict>
          </mc:Fallback>
        </mc:AlternateContent>
      </w:r>
    </w:p>
    <w:p w14:paraId="28803398">
      <w:pPr>
        <w:pStyle w:val="86"/>
        <w:ind w:firstLine="480"/>
      </w:pPr>
    </w:p>
    <w:p w14:paraId="2EFBA28B">
      <w:pPr>
        <w:spacing w:line="500" w:lineRule="exact"/>
        <w:jc w:val="center"/>
        <w:rPr>
          <w:b/>
          <w:szCs w:val="21"/>
        </w:rPr>
      </w:pPr>
      <w:r>
        <w:rPr>
          <w:b/>
          <w:szCs w:val="21"/>
        </w:rPr>
        <w:t>图3-</w:t>
      </w:r>
      <w:r>
        <w:rPr>
          <w:rFonts w:hint="eastAsia"/>
          <w:b/>
          <w:szCs w:val="21"/>
        </w:rPr>
        <w:t>2</w:t>
      </w:r>
      <w:r>
        <w:rPr>
          <w:b/>
          <w:szCs w:val="21"/>
        </w:rPr>
        <w:t xml:space="preserve"> 干清粪工艺流程图</w:t>
      </w:r>
    </w:p>
    <w:p w14:paraId="663F78B9">
      <w:pPr>
        <w:spacing w:line="360" w:lineRule="auto"/>
        <w:ind w:firstLine="480" w:firstLineChars="200"/>
        <w:rPr>
          <w:sz w:val="24"/>
        </w:rPr>
      </w:pPr>
    </w:p>
    <w:p w14:paraId="34E9CA8B">
      <w:pPr>
        <w:spacing w:line="360" w:lineRule="auto"/>
        <w:ind w:firstLine="482" w:firstLineChars="200"/>
        <w:rPr>
          <w:b/>
          <w:bCs/>
          <w:sz w:val="24"/>
        </w:rPr>
      </w:pPr>
      <w:r>
        <w:rPr>
          <w:b/>
          <w:bCs/>
          <w:sz w:val="24"/>
        </w:rPr>
        <w:t>3.1.6.2粪水处理工程</w:t>
      </w:r>
    </w:p>
    <w:p w14:paraId="3C3FFB80">
      <w:pPr>
        <w:adjustRightInd w:val="0"/>
        <w:snapToGrid w:val="0"/>
        <w:spacing w:before="84" w:beforeLines="35" w:after="60" w:afterLines="25" w:line="360" w:lineRule="auto"/>
        <w:ind w:firstLine="480" w:firstLineChars="200"/>
        <w:textAlignment w:val="baseline"/>
        <w:rPr>
          <w:sz w:val="24"/>
        </w:rPr>
      </w:pPr>
      <w:r>
        <w:rPr>
          <w:sz w:val="24"/>
        </w:rPr>
        <w:t>工艺流程简述：在选用粪污处理工艺时，根据养殖场的养殖种类、养殖规模、粪污收集方式、当地的自然地理环境条件、排放去向等因素确定工艺路线及处理目标，本项目设计按照《畜禽养殖业污染治理工程技术规范》（HJ497--2009）中模式Ⅱ要求对污水进行处理，养殖废水经收集后全部由罐车运至企业自有苹果园处污水处理系统，经过厌氧发酵的沼液再经净化消毒后在配套灌溉区进行综合利用，在非农灌季节储存于场内沼液储存池内，不外排；沼渣进固粪处理区堆肥发酵，用于苹果园有机肥。厌氧发酵产生的沼气脱硫净化后，输送至生活区使用。本项目污水处理工艺流程及产污环节图见图3-</w:t>
      </w:r>
      <w:r>
        <w:rPr>
          <w:rFonts w:hint="eastAsia"/>
          <w:sz w:val="24"/>
        </w:rPr>
        <w:t>3</w:t>
      </w:r>
      <w:r>
        <w:rPr>
          <w:sz w:val="24"/>
        </w:rPr>
        <w:t>。</w:t>
      </w:r>
    </w:p>
    <w:p w14:paraId="38A7FE44">
      <w:pPr>
        <w:pStyle w:val="47"/>
      </w:pPr>
    </w:p>
    <w:p w14:paraId="77B71216">
      <w:pPr>
        <w:spacing w:line="500" w:lineRule="exact"/>
        <w:ind w:firstLine="480" w:firstLineChars="200"/>
        <w:rPr>
          <w:sz w:val="24"/>
        </w:rPr>
      </w:pPr>
      <w:r>
        <w:rPr>
          <w:sz w:val="24"/>
          <w:lang/>
        </w:rPr>
        <mc:AlternateContent>
          <mc:Choice Requires="wps">
            <w:drawing>
              <wp:anchor distT="0" distB="0" distL="114300" distR="114300" simplePos="0" relativeHeight="251671552" behindDoc="0" locked="0" layoutInCell="1" allowOverlap="1">
                <wp:simplePos x="0" y="0"/>
                <wp:positionH relativeFrom="column">
                  <wp:posOffset>3297555</wp:posOffset>
                </wp:positionH>
                <wp:positionV relativeFrom="paragraph">
                  <wp:posOffset>231775</wp:posOffset>
                </wp:positionV>
                <wp:extent cx="635" cy="323850"/>
                <wp:effectExtent l="37465" t="0" r="38100" b="0"/>
                <wp:wrapNone/>
                <wp:docPr id="13" name="直线 709"/>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259.65pt;margin-top:18.25pt;height:25.5pt;width:0.05pt;z-index:251671552;mso-width-relative:page;mso-height-relative:page;" filled="f" stroked="t" coordsize="21600,21600" o:gfxdata="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h1199oAAAAJAQAADwAAAAAAAAABACAAAAAiAAAAZHJzL2Rvd25yZXYueG1sUEsB&#10;AhQAFAAAAAgAh07iQAEu58XzAQAA4wMAAA4AAAAAAAAAAQAgAAAAKQEAAGRycy9lMm9Eb2MueG1s&#10;UEsFBgAAAAAGAAYAWQEAAI4FAAAAAA==&#10;">
                <v:fill on="f" focussize="0,0"/>
                <v:stroke color="#000000" joinstyle="round" endarrow="block"/>
                <v:imagedata o:title=""/>
                <o:lock v:ext="edit" aspectratio="f"/>
              </v:line>
            </w:pict>
          </mc:Fallback>
        </mc:AlternateContent>
      </w:r>
      <w:r>
        <w:rPr>
          <w:sz w:val="24"/>
          <w:lang/>
        </w:rPr>
        <mc:AlternateContent>
          <mc:Choice Requires="wps">
            <w:drawing>
              <wp:anchor distT="0" distB="0" distL="114300" distR="114300" simplePos="0" relativeHeight="251668480" behindDoc="0" locked="0" layoutInCell="1" allowOverlap="1">
                <wp:simplePos x="0" y="0"/>
                <wp:positionH relativeFrom="column">
                  <wp:posOffset>2519045</wp:posOffset>
                </wp:positionH>
                <wp:positionV relativeFrom="paragraph">
                  <wp:posOffset>31115</wp:posOffset>
                </wp:positionV>
                <wp:extent cx="1511935" cy="274955"/>
                <wp:effectExtent l="0" t="0" r="0" b="0"/>
                <wp:wrapNone/>
                <wp:docPr id="10" name="矩形 696"/>
                <wp:cNvGraphicFramePr/>
                <a:graphic xmlns:a="http://schemas.openxmlformats.org/drawingml/2006/main">
                  <a:graphicData uri="http://schemas.microsoft.com/office/word/2010/wordprocessingShape">
                    <wps:wsp>
                      <wps:cNvSpPr/>
                      <wps:spPr>
                        <a:xfrm>
                          <a:off x="0" y="0"/>
                          <a:ext cx="1511935" cy="274955"/>
                        </a:xfrm>
                        <a:prstGeom prst="rect">
                          <a:avLst/>
                        </a:prstGeom>
                        <a:noFill/>
                        <a:ln>
                          <a:noFill/>
                        </a:ln>
                      </wps:spPr>
                      <wps:txbx>
                        <w:txbxContent>
                          <w:p w14:paraId="40834FC4">
                            <w:pPr>
                              <w:jc w:val="center"/>
                              <w:rPr>
                                <w:szCs w:val="21"/>
                              </w:rPr>
                            </w:pPr>
                            <w:r>
                              <w:rPr>
                                <w:rFonts w:hint="eastAsia"/>
                                <w:szCs w:val="21"/>
                              </w:rPr>
                              <w:t>养殖场污水</w:t>
                            </w:r>
                          </w:p>
                        </w:txbxContent>
                      </wps:txbx>
                      <wps:bodyPr wrap="square" upright="1"/>
                    </wps:wsp>
                  </a:graphicData>
                </a:graphic>
              </wp:anchor>
            </w:drawing>
          </mc:Choice>
          <mc:Fallback>
            <w:pict>
              <v:rect id="矩形 696" o:spid="_x0000_s1026" o:spt="1" style="position:absolute;left:0pt;margin-left:198.35pt;margin-top:2.45pt;height:21.65pt;width:119.05pt;z-index:251668480;mso-width-relative:page;mso-height-relative:page;" filled="f" stroked="f" coordsize="21600,21600" o:gfxdata="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XaR79oAAAAIAQAADwAAAAAAAAABACAAAAAiAAAAZHJzL2Rvd25yZXYueG1sUEsBAhQAFAAAAAgA&#10;h07iQLmoPo6xAQAAUgMAAA4AAAAAAAAAAQAgAAAAKQEAAGRycy9lMm9Eb2MueG1sUEsFBgAAAAAG&#10;AAYAWQEAAEwFAAAAAA==&#10;">
                <v:fill on="f" focussize="0,0"/>
                <v:stroke on="f"/>
                <v:imagedata o:title=""/>
                <o:lock v:ext="edit" aspectratio="f"/>
                <v:textbox>
                  <w:txbxContent>
                    <w:p w14:paraId="40834FC4">
                      <w:pPr>
                        <w:jc w:val="center"/>
                        <w:rPr>
                          <w:szCs w:val="21"/>
                        </w:rPr>
                      </w:pPr>
                      <w:r>
                        <w:rPr>
                          <w:rFonts w:hint="eastAsia"/>
                          <w:szCs w:val="21"/>
                        </w:rPr>
                        <w:t>养殖场污水</w:t>
                      </w:r>
                    </w:p>
                  </w:txbxContent>
                </v:textbox>
              </v:rect>
            </w:pict>
          </mc:Fallback>
        </mc:AlternateContent>
      </w:r>
    </w:p>
    <w:p w14:paraId="2D26B230">
      <w:pPr>
        <w:spacing w:line="500" w:lineRule="exact"/>
        <w:ind w:firstLine="420" w:firstLineChars="200"/>
        <w:rPr>
          <w:sz w:val="24"/>
        </w:rPr>
      </w:pPr>
      <w:r>
        <w:rPr>
          <w:lang/>
        </w:rPr>
        <mc:AlternateContent>
          <mc:Choice Requires="wps">
            <w:drawing>
              <wp:anchor distT="0" distB="0" distL="114300" distR="114300" simplePos="0" relativeHeight="251713536" behindDoc="0" locked="0" layoutInCell="1" allowOverlap="1">
                <wp:simplePos x="0" y="0"/>
                <wp:positionH relativeFrom="column">
                  <wp:posOffset>4925695</wp:posOffset>
                </wp:positionH>
                <wp:positionV relativeFrom="paragraph">
                  <wp:posOffset>242570</wp:posOffset>
                </wp:positionV>
                <wp:extent cx="487680" cy="261620"/>
                <wp:effectExtent l="0" t="0" r="0" b="0"/>
                <wp:wrapNone/>
                <wp:docPr id="54" name="矩形 743"/>
                <wp:cNvGraphicFramePr/>
                <a:graphic xmlns:a="http://schemas.openxmlformats.org/drawingml/2006/main">
                  <a:graphicData uri="http://schemas.microsoft.com/office/word/2010/wordprocessingShape">
                    <wps:wsp>
                      <wps:cNvSpPr/>
                      <wps:spPr>
                        <a:xfrm>
                          <a:off x="0" y="0"/>
                          <a:ext cx="487680" cy="261620"/>
                        </a:xfrm>
                        <a:prstGeom prst="rect">
                          <a:avLst/>
                        </a:prstGeom>
                        <a:noFill/>
                        <a:ln>
                          <a:noFill/>
                        </a:ln>
                      </wps:spPr>
                      <wps:txbx>
                        <w:txbxContent>
                          <w:p w14:paraId="220E8B1D">
                            <w:pPr>
                              <w:rPr>
                                <w:szCs w:val="21"/>
                              </w:rPr>
                            </w:pPr>
                            <w:r>
                              <w:rPr>
                                <w:rFonts w:hint="eastAsia"/>
                                <w:szCs w:val="21"/>
                              </w:rPr>
                              <w:t>恶臭</w:t>
                            </w:r>
                          </w:p>
                        </w:txbxContent>
                      </wps:txbx>
                      <wps:bodyPr wrap="square" upright="1"/>
                    </wps:wsp>
                  </a:graphicData>
                </a:graphic>
              </wp:anchor>
            </w:drawing>
          </mc:Choice>
          <mc:Fallback>
            <w:pict>
              <v:rect id="矩形 743" o:spid="_x0000_s1026" o:spt="1" style="position:absolute;left:0pt;margin-left:387.85pt;margin-top:19.1pt;height:20.6pt;width:38.4pt;z-index:251713536;mso-width-relative:page;mso-height-relative:page;" filled="f" stroked="f" coordsize="21600,21600" o:gfxdata="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M2&#10;3toAAAAJAQAADwAAAAAAAAABACAAAAAiAAAAZHJzL2Rvd25yZXYueG1sUEsBAhQAFAAAAAgAh07i&#10;QHg/5HyuAQAAUQMAAA4AAAAAAAAAAQAgAAAAKQEAAGRycy9lMm9Eb2MueG1sUEsFBgAAAAAGAAYA&#10;WQEAAEkFAAAAAA==&#10;">
                <v:fill on="f" focussize="0,0"/>
                <v:stroke on="f"/>
                <v:imagedata o:title=""/>
                <o:lock v:ext="edit" aspectratio="f"/>
                <v:textbox>
                  <w:txbxContent>
                    <w:p w14:paraId="220E8B1D">
                      <w:pPr>
                        <w:rPr>
                          <w:szCs w:val="21"/>
                        </w:rPr>
                      </w:pPr>
                      <w:r>
                        <w:rPr>
                          <w:rFonts w:hint="eastAsia"/>
                          <w:szCs w:val="21"/>
                        </w:rPr>
                        <w:t>恶臭</w:t>
                      </w:r>
                    </w:p>
                  </w:txbxContent>
                </v:textbox>
              </v:rect>
            </w:pict>
          </mc:Fallback>
        </mc:AlternateContent>
      </w:r>
      <w:r>
        <w:rPr>
          <w:sz w:val="24"/>
          <w:lang/>
        </w:rPr>
        <mc:AlternateContent>
          <mc:Choice Requires="wps">
            <w:drawing>
              <wp:anchor distT="0" distB="0" distL="114300" distR="114300" simplePos="0" relativeHeight="251675648" behindDoc="0" locked="0" layoutInCell="1" allowOverlap="1">
                <wp:simplePos x="0" y="0"/>
                <wp:positionH relativeFrom="column">
                  <wp:posOffset>2319020</wp:posOffset>
                </wp:positionH>
                <wp:positionV relativeFrom="paragraph">
                  <wp:posOffset>254000</wp:posOffset>
                </wp:positionV>
                <wp:extent cx="2080260" cy="276860"/>
                <wp:effectExtent l="4445" t="4445" r="10795" b="23495"/>
                <wp:wrapNone/>
                <wp:docPr id="17" name="矩形 728"/>
                <wp:cNvGraphicFramePr/>
                <a:graphic xmlns:a="http://schemas.openxmlformats.org/drawingml/2006/main">
                  <a:graphicData uri="http://schemas.microsoft.com/office/word/2010/wordprocessingShape">
                    <wps:wsp>
                      <wps:cNvSpPr/>
                      <wps:spPr>
                        <a:xfrm>
                          <a:off x="0" y="0"/>
                          <a:ext cx="208026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CE32A9">
                            <w:r>
                              <w:rPr>
                                <w:rFonts w:ascii="宋体" w:hAnsi="宋体"/>
                                <w:szCs w:val="21"/>
                              </w:rPr>
                              <w:t>粪污储存池</w:t>
                            </w:r>
                            <w:r>
                              <w:rPr>
                                <w:rFonts w:hint="eastAsia" w:ascii="宋体" w:hAnsi="宋体"/>
                                <w:szCs w:val="21"/>
                              </w:rPr>
                              <w:t>（位于猪舍漏粪板下）</w:t>
                            </w:r>
                          </w:p>
                          <w:p w14:paraId="6D5754AF">
                            <w:pPr>
                              <w:rPr>
                                <w:szCs w:val="21"/>
                              </w:rPr>
                            </w:pPr>
                          </w:p>
                        </w:txbxContent>
                      </wps:txbx>
                      <wps:bodyPr wrap="square" upright="1"/>
                    </wps:wsp>
                  </a:graphicData>
                </a:graphic>
              </wp:anchor>
            </w:drawing>
          </mc:Choice>
          <mc:Fallback>
            <w:pict>
              <v:rect id="矩形 728" o:spid="_x0000_s1026" o:spt="1" style="position:absolute;left:0pt;margin-left:182.6pt;margin-top:20pt;height:21.8pt;width:163.8pt;z-index:251675648;mso-width-relative:page;mso-height-relative:page;" fillcolor="#FFFFFF" filled="t" stroked="t" coordsize="21600,21600" o:gfxdata="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ACHD1wAAAAkBAAAPAAAAAAAAAAEAIAAAACIA&#10;AABkcnMvZG93bnJldi54bWxQSwECFAAUAAAACACHTuJA0NqJOAoCAAA6BAAADgAAAAAAAAABACAA&#10;AAAmAQAAZHJzL2Uyb0RvYy54bWxQSwUGAAAAAAYABgBZAQAAogUAAAAA&#10;">
                <v:fill on="t" focussize="0,0"/>
                <v:stroke color="#000000" joinstyle="miter"/>
                <v:imagedata o:title=""/>
                <o:lock v:ext="edit" aspectratio="f"/>
                <v:textbox>
                  <w:txbxContent>
                    <w:p w14:paraId="6CCE32A9">
                      <w:r>
                        <w:rPr>
                          <w:rFonts w:ascii="宋体" w:hAnsi="宋体"/>
                          <w:szCs w:val="21"/>
                        </w:rPr>
                        <w:t>粪污储存池</w:t>
                      </w:r>
                      <w:r>
                        <w:rPr>
                          <w:rFonts w:hint="eastAsia" w:ascii="宋体" w:hAnsi="宋体"/>
                          <w:szCs w:val="21"/>
                        </w:rPr>
                        <w:t>（位于猪舍漏粪板下）</w:t>
                      </w:r>
                    </w:p>
                    <w:p w14:paraId="6D5754AF">
                      <w:pPr>
                        <w:rPr>
                          <w:szCs w:val="21"/>
                        </w:rPr>
                      </w:pPr>
                    </w:p>
                  </w:txbxContent>
                </v:textbox>
              </v:rect>
            </w:pict>
          </mc:Fallback>
        </mc:AlternateContent>
      </w:r>
    </w:p>
    <w:p w14:paraId="62CA9484">
      <w:pPr>
        <w:spacing w:line="500" w:lineRule="exact"/>
        <w:ind w:firstLine="480" w:firstLineChars="200"/>
        <w:rPr>
          <w:sz w:val="24"/>
        </w:rPr>
      </w:pPr>
      <w:r>
        <w:rPr>
          <w:sz w:val="24"/>
          <w:lang/>
        </w:rPr>
        <mc:AlternateContent>
          <mc:Choice Requires="wps">
            <w:drawing>
              <wp:anchor distT="0" distB="0" distL="114300" distR="114300" simplePos="0" relativeHeight="251673600" behindDoc="0" locked="0" layoutInCell="1" allowOverlap="1">
                <wp:simplePos x="0" y="0"/>
                <wp:positionH relativeFrom="column">
                  <wp:posOffset>3314065</wp:posOffset>
                </wp:positionH>
                <wp:positionV relativeFrom="paragraph">
                  <wp:posOffset>206375</wp:posOffset>
                </wp:positionV>
                <wp:extent cx="9525" cy="289560"/>
                <wp:effectExtent l="31115" t="0" r="35560" b="15240"/>
                <wp:wrapNone/>
                <wp:docPr id="15" name="直线 723"/>
                <wp:cNvGraphicFramePr/>
                <a:graphic xmlns:a="http://schemas.openxmlformats.org/drawingml/2006/main">
                  <a:graphicData uri="http://schemas.microsoft.com/office/word/2010/wordprocessingShape">
                    <wps:wsp>
                      <wps:cNvSpPr/>
                      <wps:spPr>
                        <a:xfrm>
                          <a:off x="0" y="0"/>
                          <a:ext cx="9525"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3" o:spid="_x0000_s1026" o:spt="20" style="position:absolute;left:0pt;margin-left:260.95pt;margin-top:16.25pt;height:22.8pt;width:0.75pt;z-index:251673600;mso-width-relative:page;mso-height-relative:page;" filled="f" stroked="t" coordsize="21600,21600" o:gfxdata="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YjUqdsAAAAJAQAADwAAAAAAAAABACAAAAAiAAAAZHJzL2Rvd25yZXYueG1sUEsBAhQA&#10;FAAAAAgAh07iQJkQlHXvAQAA5AMAAA4AAAAAAAAAAQAgAAAAKgEAAGRycy9lMm9Eb2MueG1sUEsF&#10;BgAAAAAGAAYAWQEAAIsFAAAAAA==&#10;">
                <v:fill on="f" focussize="0,0"/>
                <v:stroke color="#000000" joinstyle="round" endarrow="block"/>
                <v:imagedata o:title=""/>
                <o:lock v:ext="edit" aspectratio="f"/>
              </v:line>
            </w:pict>
          </mc:Fallback>
        </mc:AlternateContent>
      </w:r>
      <w:r>
        <w:rPr>
          <w:sz w:val="24"/>
          <w:lang/>
        </w:rPr>
        <mc:AlternateContent>
          <mc:Choice Requires="wps">
            <w:drawing>
              <wp:anchor distT="0" distB="0" distL="114300" distR="114300" simplePos="0" relativeHeight="251691008" behindDoc="0" locked="0" layoutInCell="1" allowOverlap="1">
                <wp:simplePos x="0" y="0"/>
                <wp:positionH relativeFrom="column">
                  <wp:posOffset>4410075</wp:posOffset>
                </wp:positionH>
                <wp:positionV relativeFrom="paragraph">
                  <wp:posOffset>55245</wp:posOffset>
                </wp:positionV>
                <wp:extent cx="541655" cy="6985"/>
                <wp:effectExtent l="0" t="36830" r="10795" b="32385"/>
                <wp:wrapNone/>
                <wp:docPr id="32" name="直线 697"/>
                <wp:cNvGraphicFramePr/>
                <a:graphic xmlns:a="http://schemas.openxmlformats.org/drawingml/2006/main">
                  <a:graphicData uri="http://schemas.microsoft.com/office/word/2010/wordprocessingShape">
                    <wps:wsp>
                      <wps:cNvSpPr/>
                      <wps:spPr>
                        <a:xfrm flipV="1">
                          <a:off x="0" y="0"/>
                          <a:ext cx="541655" cy="698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flip:y;margin-left:347.25pt;margin-top:4.35pt;height:0.55pt;width:42.65pt;z-index:251691008;mso-width-relative:page;mso-height-relative:page;" filled="f" stroked="t" coordsize="21600,21600" o:gfxdata="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9k/A1gAAAAcBAAAPAAAAAAAAAAEAIAAAACIAAABkcnMvZG93bnJldi54bWxQ&#10;SwECFAAUAAAACACHTuJAZaaQsfkBAADtAwAADgAAAAAAAAABACAAAAAlAQAAZHJzL2Uyb0RvYy54&#10;bWxQSwUGAAAAAAYABgBZAQAAkAUAAAAA&#10;">
                <v:fill on="f" focussize="0,0"/>
                <v:stroke color="#000000" joinstyle="round" dashstyle="dash" endarrow="block"/>
                <v:imagedata o:title=""/>
                <o:lock v:ext="edit" aspectratio="f"/>
              </v:line>
            </w:pict>
          </mc:Fallback>
        </mc:AlternateContent>
      </w:r>
    </w:p>
    <w:p w14:paraId="41505E95">
      <w:pPr>
        <w:spacing w:line="500" w:lineRule="exact"/>
        <w:rPr>
          <w:sz w:val="24"/>
        </w:rPr>
      </w:pPr>
      <w:r>
        <w:rPr>
          <w:lang/>
        </w:rPr>
        <mc:AlternateContent>
          <mc:Choice Requires="wps">
            <w:drawing>
              <wp:anchor distT="0" distB="0" distL="114300" distR="114300" simplePos="0" relativeHeight="251692032" behindDoc="0" locked="0" layoutInCell="1" allowOverlap="1">
                <wp:simplePos x="0" y="0"/>
                <wp:positionH relativeFrom="column">
                  <wp:posOffset>4281805</wp:posOffset>
                </wp:positionH>
                <wp:positionV relativeFrom="paragraph">
                  <wp:posOffset>222250</wp:posOffset>
                </wp:positionV>
                <wp:extent cx="487680" cy="261620"/>
                <wp:effectExtent l="0" t="0" r="0" b="0"/>
                <wp:wrapNone/>
                <wp:docPr id="33" name="矩形 743"/>
                <wp:cNvGraphicFramePr/>
                <a:graphic xmlns:a="http://schemas.openxmlformats.org/drawingml/2006/main">
                  <a:graphicData uri="http://schemas.microsoft.com/office/word/2010/wordprocessingShape">
                    <wps:wsp>
                      <wps:cNvSpPr/>
                      <wps:spPr>
                        <a:xfrm>
                          <a:off x="0" y="0"/>
                          <a:ext cx="487680" cy="261620"/>
                        </a:xfrm>
                        <a:prstGeom prst="rect">
                          <a:avLst/>
                        </a:prstGeom>
                        <a:noFill/>
                        <a:ln>
                          <a:noFill/>
                        </a:ln>
                      </wps:spPr>
                      <wps:txbx>
                        <w:txbxContent>
                          <w:p w14:paraId="76666069">
                            <w:pPr>
                              <w:rPr>
                                <w:szCs w:val="21"/>
                              </w:rPr>
                            </w:pPr>
                            <w:r>
                              <w:rPr>
                                <w:rFonts w:hint="eastAsia"/>
                                <w:szCs w:val="21"/>
                              </w:rPr>
                              <w:t>恶臭</w:t>
                            </w:r>
                          </w:p>
                        </w:txbxContent>
                      </wps:txbx>
                      <wps:bodyPr wrap="square" upright="1"/>
                    </wps:wsp>
                  </a:graphicData>
                </a:graphic>
              </wp:anchor>
            </w:drawing>
          </mc:Choice>
          <mc:Fallback>
            <w:pict>
              <v:rect id="矩形 743" o:spid="_x0000_s1026" o:spt="1" style="position:absolute;left:0pt;margin-left:337.15pt;margin-top:17.5pt;height:20.6pt;width:38.4pt;z-index:251692032;mso-width-relative:page;mso-height-relative:page;" filled="f" stroked="f" coordsize="21600,21600" o:gfxdata="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7C&#10;ZHDbAAAACQEAAA8AAAAAAAAAAQAgAAAAIgAAAGRycy9kb3ducmV2LnhtbFBLAQIUABQAAAAIAIdO&#10;4kAOuNFargEAAFEDAAAOAAAAAAAAAAEAIAAAACoBAABkcnMvZTJvRG9jLnhtbFBLBQYAAAAABgAG&#10;AFkBAABKBQAAAAA=&#10;">
                <v:fill on="f" focussize="0,0"/>
                <v:stroke on="f"/>
                <v:imagedata o:title=""/>
                <o:lock v:ext="edit" aspectratio="f"/>
                <v:textbox>
                  <w:txbxContent>
                    <w:p w14:paraId="76666069">
                      <w:pPr>
                        <w:rPr>
                          <w:szCs w:val="21"/>
                        </w:rPr>
                      </w:pPr>
                      <w:r>
                        <w:rPr>
                          <w:rFonts w:hint="eastAsia"/>
                          <w:szCs w:val="21"/>
                        </w:rPr>
                        <w:t>恶臭</w:t>
                      </w:r>
                    </w:p>
                  </w:txbxContent>
                </v:textbox>
              </v:rect>
            </w:pict>
          </mc:Fallback>
        </mc:AlternateContent>
      </w:r>
      <w:r>
        <w:rPr>
          <w:lang/>
        </w:rPr>
        <mc:AlternateContent>
          <mc:Choice Requires="wps">
            <w:drawing>
              <wp:anchor distT="0" distB="0" distL="114300" distR="114300" simplePos="0" relativeHeight="251674624" behindDoc="0" locked="0" layoutInCell="1" allowOverlap="1">
                <wp:simplePos x="0" y="0"/>
                <wp:positionH relativeFrom="column">
                  <wp:posOffset>2684780</wp:posOffset>
                </wp:positionH>
                <wp:positionV relativeFrom="paragraph">
                  <wp:posOffset>187325</wp:posOffset>
                </wp:positionV>
                <wp:extent cx="1264920" cy="305435"/>
                <wp:effectExtent l="4445" t="4445" r="6985" b="13970"/>
                <wp:wrapNone/>
                <wp:docPr id="16" name="矩形 727"/>
                <wp:cNvGraphicFramePr/>
                <a:graphic xmlns:a="http://schemas.openxmlformats.org/drawingml/2006/main">
                  <a:graphicData uri="http://schemas.microsoft.com/office/word/2010/wordprocessingShape">
                    <wps:wsp>
                      <wps:cNvSpPr/>
                      <wps:spPr>
                        <a:xfrm>
                          <a:off x="0" y="0"/>
                          <a:ext cx="1264920" cy="305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9C511">
                            <w:pPr>
                              <w:jc w:val="center"/>
                              <w:rPr>
                                <w:szCs w:val="21"/>
                              </w:rPr>
                            </w:pPr>
                            <w:r>
                              <w:rPr>
                                <w:rFonts w:hint="eastAsia"/>
                                <w:szCs w:val="21"/>
                              </w:rPr>
                              <w:t>收集池</w:t>
                            </w:r>
                          </w:p>
                        </w:txbxContent>
                      </wps:txbx>
                      <wps:bodyPr wrap="square" upright="1"/>
                    </wps:wsp>
                  </a:graphicData>
                </a:graphic>
              </wp:anchor>
            </w:drawing>
          </mc:Choice>
          <mc:Fallback>
            <w:pict>
              <v:rect id="矩形 727" o:spid="_x0000_s1026" o:spt="1" style="position:absolute;left:0pt;margin-left:211.4pt;margin-top:14.75pt;height:24.05pt;width:99.6pt;z-index:251674624;mso-width-relative:page;mso-height-relative:page;" fillcolor="#FFFFFF" filled="t" stroked="t" coordsize="21600,21600" o:gfxdata="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RQAgdgAAAAJAQAADwAAAAAAAAABACAA&#10;AAAiAAAAZHJzL2Rvd25yZXYueG1sUEsBAhQAFAAAAAgAh07iQPk1SAcNAgAAOgQAAA4AAAAAAAAA&#10;AQAgAAAAJwEAAGRycy9lMm9Eb2MueG1sUEsFBgAAAAAGAAYAWQEAAKYFAAAAAA==&#10;">
                <v:fill on="t" focussize="0,0"/>
                <v:stroke color="#000000" joinstyle="miter"/>
                <v:imagedata o:title=""/>
                <o:lock v:ext="edit" aspectratio="f"/>
                <v:textbox>
                  <w:txbxContent>
                    <w:p w14:paraId="3E79C511">
                      <w:pPr>
                        <w:jc w:val="center"/>
                        <w:rPr>
                          <w:szCs w:val="21"/>
                        </w:rPr>
                      </w:pPr>
                      <w:r>
                        <w:rPr>
                          <w:rFonts w:hint="eastAsia"/>
                          <w:szCs w:val="21"/>
                        </w:rPr>
                        <w:t>收集池</w:t>
                      </w:r>
                    </w:p>
                  </w:txbxContent>
                </v:textbox>
              </v:rect>
            </w:pict>
          </mc:Fallback>
        </mc:AlternateContent>
      </w:r>
    </w:p>
    <w:p w14:paraId="24BB85AA">
      <w:pPr>
        <w:spacing w:line="500" w:lineRule="exact"/>
        <w:rPr>
          <w:sz w:val="24"/>
        </w:rPr>
      </w:pPr>
      <w:r>
        <w:rPr>
          <w:lang/>
        </w:rPr>
        <mc:AlternateContent>
          <mc:Choice Requires="wps">
            <w:drawing>
              <wp:anchor distT="0" distB="0" distL="114300" distR="114300" simplePos="0" relativeHeight="251680768" behindDoc="0" locked="0" layoutInCell="1" allowOverlap="1">
                <wp:simplePos x="0" y="0"/>
                <wp:positionH relativeFrom="column">
                  <wp:posOffset>3324860</wp:posOffset>
                </wp:positionH>
                <wp:positionV relativeFrom="paragraph">
                  <wp:posOffset>176530</wp:posOffset>
                </wp:positionV>
                <wp:extent cx="21590" cy="1551305"/>
                <wp:effectExtent l="17780" t="0" r="36830" b="10795"/>
                <wp:wrapNone/>
                <wp:docPr id="22" name="直线 723"/>
                <wp:cNvGraphicFramePr/>
                <a:graphic xmlns:a="http://schemas.openxmlformats.org/drawingml/2006/main">
                  <a:graphicData uri="http://schemas.microsoft.com/office/word/2010/wordprocessingShape">
                    <wps:wsp>
                      <wps:cNvSpPr/>
                      <wps:spPr>
                        <a:xfrm>
                          <a:off x="0" y="0"/>
                          <a:ext cx="21590" cy="15513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3" o:spid="_x0000_s1026" o:spt="20" style="position:absolute;left:0pt;margin-left:261.8pt;margin-top:13.9pt;height:122.15pt;width:1.7pt;z-index:251680768;mso-width-relative:page;mso-height-relative:page;" filled="f" stroked="t" coordsize="21600,21600" o:gfxdata="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OLmOdoAAAAKAQAADwAAAAAAAAABACAAAAAiAAAAZHJzL2Rvd25yZXYueG1sUEsB&#10;AhQAFAAAAAgAh07iQBoFFRLzAQAA5gMAAA4AAAAAAAAAAQAgAAAAKQEAAGRycy9lMm9Eb2MueG1s&#10;UEsFBgAAAAAGAAYAWQEAAI4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712512" behindDoc="0" locked="0" layoutInCell="1" allowOverlap="1">
                <wp:simplePos x="0" y="0"/>
                <wp:positionH relativeFrom="column">
                  <wp:posOffset>3959860</wp:posOffset>
                </wp:positionH>
                <wp:positionV relativeFrom="paragraph">
                  <wp:posOffset>15875</wp:posOffset>
                </wp:positionV>
                <wp:extent cx="328295" cy="6985"/>
                <wp:effectExtent l="0" t="36195" r="14605" b="33020"/>
                <wp:wrapNone/>
                <wp:docPr id="53" name="直线 697"/>
                <wp:cNvGraphicFramePr/>
                <a:graphic xmlns:a="http://schemas.openxmlformats.org/drawingml/2006/main">
                  <a:graphicData uri="http://schemas.microsoft.com/office/word/2010/wordprocessingShape">
                    <wps:wsp>
                      <wps:cNvSpPr/>
                      <wps:spPr>
                        <a:xfrm flipV="1">
                          <a:off x="0" y="0"/>
                          <a:ext cx="328295" cy="698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flip:y;margin-left:311.8pt;margin-top:1.25pt;height:0.55pt;width:25.85pt;z-index:251712512;mso-width-relative:page;mso-height-relative:page;" filled="f" stroked="t" coordsize="21600,21600" o:gfxdata="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TmWPUAAAABwEAAA8AAAAAAAAAAQAgAAAAIgAAAGRycy9kb3ducmV2LnhtbFBL&#10;AQIUABQAAAAIAIdO4kAIClU3+gEAAO0DAAAOAAAAAAAAAAEAIAAAACMBAABkcnMvZTJvRG9jLnht&#10;bFBLBQYAAAAABgAGAFkBAACPBQAAAAA=&#10;">
                <v:fill on="f" focussize="0,0"/>
                <v:stroke color="#000000" joinstyle="round" dashstyle="dash" endarrow="block"/>
                <v:imagedata o:title=""/>
                <o:lock v:ext="edit" aspectratio="f"/>
              </v:line>
            </w:pict>
          </mc:Fallback>
        </mc:AlternateContent>
      </w:r>
    </w:p>
    <w:p w14:paraId="647B7E7A">
      <w:pPr>
        <w:pStyle w:val="86"/>
        <w:ind w:firstLine="480"/>
      </w:pPr>
      <w:r>
        <w:rPr>
          <w:lang/>
        </w:rPr>
        <mc:AlternateContent>
          <mc:Choice Requires="wps">
            <w:drawing>
              <wp:anchor distT="0" distB="0" distL="114300" distR="114300" simplePos="0" relativeHeight="251694080" behindDoc="0" locked="0" layoutInCell="1" allowOverlap="1">
                <wp:simplePos x="0" y="0"/>
                <wp:positionH relativeFrom="column">
                  <wp:posOffset>4883150</wp:posOffset>
                </wp:positionH>
                <wp:positionV relativeFrom="paragraph">
                  <wp:posOffset>15875</wp:posOffset>
                </wp:positionV>
                <wp:extent cx="487680" cy="261620"/>
                <wp:effectExtent l="0" t="0" r="0" b="0"/>
                <wp:wrapNone/>
                <wp:docPr id="35" name="矩形 743"/>
                <wp:cNvGraphicFramePr/>
                <a:graphic xmlns:a="http://schemas.openxmlformats.org/drawingml/2006/main">
                  <a:graphicData uri="http://schemas.microsoft.com/office/word/2010/wordprocessingShape">
                    <wps:wsp>
                      <wps:cNvSpPr/>
                      <wps:spPr>
                        <a:xfrm>
                          <a:off x="0" y="0"/>
                          <a:ext cx="487680" cy="261620"/>
                        </a:xfrm>
                        <a:prstGeom prst="rect">
                          <a:avLst/>
                        </a:prstGeom>
                        <a:noFill/>
                        <a:ln>
                          <a:noFill/>
                        </a:ln>
                      </wps:spPr>
                      <wps:txbx>
                        <w:txbxContent>
                          <w:p w14:paraId="0BDD1EF2">
                            <w:pPr>
                              <w:rPr>
                                <w:szCs w:val="21"/>
                              </w:rPr>
                            </w:pPr>
                            <w:r>
                              <w:rPr>
                                <w:rFonts w:hint="eastAsia"/>
                                <w:szCs w:val="21"/>
                              </w:rPr>
                              <w:t>恶臭</w:t>
                            </w:r>
                          </w:p>
                        </w:txbxContent>
                      </wps:txbx>
                      <wps:bodyPr wrap="square" upright="1"/>
                    </wps:wsp>
                  </a:graphicData>
                </a:graphic>
              </wp:anchor>
            </w:drawing>
          </mc:Choice>
          <mc:Fallback>
            <w:pict>
              <v:rect id="矩形 743" o:spid="_x0000_s1026" o:spt="1" style="position:absolute;left:0pt;margin-left:384.5pt;margin-top:1.25pt;height:20.6pt;width:38.4pt;z-index:251694080;mso-width-relative:page;mso-height-relative:page;" filled="f" stroked="f" coordsize="21600,21600" o:gfxdata="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BHv&#10;69oAAAAIAQAADwAAAAAAAAABACAAAAAiAAAAZHJzL2Rvd25yZXYueG1sUEsBAhQAFAAAAAgAh07i&#10;QL6FUB+uAQAAUQMAAA4AAAAAAAAAAQAgAAAAKQEAAGRycy9lMm9Eb2MueG1sUEsFBgAAAAAGAAYA&#10;WQEAAEkFAAAAAA==&#10;">
                <v:fill on="f" focussize="0,0"/>
                <v:stroke on="f"/>
                <v:imagedata o:title=""/>
                <o:lock v:ext="edit" aspectratio="f"/>
                <v:textbox>
                  <w:txbxContent>
                    <w:p w14:paraId="0BDD1EF2">
                      <w:pPr>
                        <w:rPr>
                          <w:szCs w:val="21"/>
                        </w:rPr>
                      </w:pPr>
                      <w:r>
                        <w:rPr>
                          <w:rFonts w:hint="eastAsia"/>
                          <w:szCs w:val="21"/>
                        </w:rPr>
                        <w:t>恶臭</w:t>
                      </w:r>
                    </w:p>
                  </w:txbxContent>
                </v:textbox>
              </v:rect>
            </w:pict>
          </mc:Fallback>
        </mc:AlternateContent>
      </w:r>
    </w:p>
    <w:p w14:paraId="61FDDFF2">
      <w:pPr>
        <w:pStyle w:val="86"/>
        <w:ind w:firstLine="480"/>
      </w:pPr>
      <w:r>
        <w:rPr>
          <w:lang/>
        </w:rPr>
        <mc:AlternateContent>
          <mc:Choice Requires="wps">
            <w:drawing>
              <wp:anchor distT="0" distB="0" distL="114300" distR="114300" simplePos="0" relativeHeight="251693056" behindDoc="0" locked="0" layoutInCell="1" allowOverlap="1">
                <wp:simplePos x="0" y="0"/>
                <wp:positionH relativeFrom="column">
                  <wp:posOffset>5090795</wp:posOffset>
                </wp:positionH>
                <wp:positionV relativeFrom="paragraph">
                  <wp:posOffset>12065</wp:posOffset>
                </wp:positionV>
                <wp:extent cx="7620" cy="344170"/>
                <wp:effectExtent l="36195" t="0" r="32385" b="17780"/>
                <wp:wrapNone/>
                <wp:docPr id="34" name="直线 697"/>
                <wp:cNvGraphicFramePr/>
                <a:graphic xmlns:a="http://schemas.openxmlformats.org/drawingml/2006/main">
                  <a:graphicData uri="http://schemas.microsoft.com/office/word/2010/wordprocessingShape">
                    <wps:wsp>
                      <wps:cNvSpPr/>
                      <wps:spPr>
                        <a:xfrm flipH="1" flipV="1">
                          <a:off x="0" y="0"/>
                          <a:ext cx="7620" cy="34417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flip:x y;margin-left:400.85pt;margin-top:0.95pt;height:27.1pt;width:0.6pt;z-index:251693056;mso-width-relative:page;mso-height-relative:page;" filled="f" stroked="t" coordsize="21600,21600" o:gfxdata="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fxf1gAAAAgBAAAPAAAAAAAAAAEAIAAAACIAAABkcnMvZG93&#10;bnJldi54bWxQSwECFAAUAAAACACHTuJAp2iCzAICAAD3AwAADgAAAAAAAAABACAAAAAlAQAAZHJz&#10;L2Uyb0RvYy54bWxQSwUGAAAAAAYABgBZAQAAmQUAAAAA&#10;">
                <v:fill on="f" focussize="0,0"/>
                <v:stroke color="#000000" joinstyle="round" dashstyle="dash" endarrow="block"/>
                <v:imagedata o:title=""/>
                <o:lock v:ext="edit" aspectratio="f"/>
              </v:line>
            </w:pict>
          </mc:Fallback>
        </mc:AlternateContent>
      </w:r>
    </w:p>
    <w:p w14:paraId="587BC1B4">
      <w:pPr>
        <w:pStyle w:val="86"/>
        <w:ind w:firstLine="480"/>
      </w:pPr>
      <w:r>
        <w:rPr>
          <w:lang/>
        </w:rPr>
        <mc:AlternateContent>
          <mc:Choice Requires="wps">
            <w:drawing>
              <wp:anchor distT="0" distB="0" distL="114300" distR="114300" simplePos="0" relativeHeight="251670528" behindDoc="0" locked="0" layoutInCell="1" allowOverlap="1">
                <wp:simplePos x="0" y="0"/>
                <wp:positionH relativeFrom="column">
                  <wp:posOffset>4852035</wp:posOffset>
                </wp:positionH>
                <wp:positionV relativeFrom="paragraph">
                  <wp:posOffset>107950</wp:posOffset>
                </wp:positionV>
                <wp:extent cx="433705" cy="2325370"/>
                <wp:effectExtent l="5080" t="5080" r="18415" b="12700"/>
                <wp:wrapNone/>
                <wp:docPr id="12" name="矩形 698"/>
                <wp:cNvGraphicFramePr/>
                <a:graphic xmlns:a="http://schemas.openxmlformats.org/drawingml/2006/main">
                  <a:graphicData uri="http://schemas.microsoft.com/office/word/2010/wordprocessingShape">
                    <wps:wsp>
                      <wps:cNvSpPr/>
                      <wps:spPr>
                        <a:xfrm>
                          <a:off x="0" y="0"/>
                          <a:ext cx="433705" cy="2325370"/>
                        </a:xfrm>
                        <a:prstGeom prst="rect">
                          <a:avLst/>
                        </a:prstGeom>
                        <a:noFill/>
                        <a:ln w="9525" cap="flat" cmpd="sng">
                          <a:solidFill>
                            <a:srgbClr val="000000"/>
                          </a:solidFill>
                          <a:prstDash val="solid"/>
                          <a:miter/>
                          <a:headEnd type="none" w="med" len="med"/>
                          <a:tailEnd type="none" w="med" len="med"/>
                        </a:ln>
                      </wps:spPr>
                      <wps:txbx>
                        <w:txbxContent>
                          <w:p w14:paraId="193256B8">
                            <w:pPr>
                              <w:spacing w:before="120" w:beforeLines="50"/>
                              <w:jc w:val="center"/>
                              <w:rPr>
                                <w:rFonts w:hint="eastAsia"/>
                                <w:szCs w:val="21"/>
                              </w:rPr>
                            </w:pPr>
                            <w:r>
                              <w:rPr>
                                <w:rFonts w:hint="eastAsia"/>
                                <w:szCs w:val="21"/>
                              </w:rPr>
                              <w:t>堆肥发酵用于自有苹果园</w:t>
                            </w:r>
                          </w:p>
                        </w:txbxContent>
                      </wps:txbx>
                      <wps:bodyPr wrap="square" upright="1"/>
                    </wps:wsp>
                  </a:graphicData>
                </a:graphic>
              </wp:anchor>
            </w:drawing>
          </mc:Choice>
          <mc:Fallback>
            <w:pict>
              <v:rect id="矩形 698" o:spid="_x0000_s1026" o:spt="1" style="position:absolute;left:0pt;margin-left:382.05pt;margin-top:8.5pt;height:183.1pt;width:34.15pt;z-index:251670528;mso-width-relative:page;mso-height-relative:page;" filled="f" stroked="t" coordsize="21600,21600" o:gfxdata="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zjqrtgAAAAKAQAADwAAAAAAAAABACAAAAAiAAAA&#10;ZHJzL2Rvd25yZXYueG1sUEsBAhQAFAAAAAgAh07iQDJ3DWcHAgAAEQQAAA4AAAAAAAAAAQAgAAAA&#10;JwEAAGRycy9lMm9Eb2MueG1sUEsFBgAAAAAGAAYAWQEAAKAFAAAAAA==&#10;">
                <v:fill on="f" focussize="0,0"/>
                <v:stroke color="#000000" joinstyle="miter"/>
                <v:imagedata o:title=""/>
                <o:lock v:ext="edit" aspectratio="f"/>
                <v:textbox>
                  <w:txbxContent>
                    <w:p w14:paraId="193256B8">
                      <w:pPr>
                        <w:spacing w:before="120" w:beforeLines="50"/>
                        <w:jc w:val="center"/>
                        <w:rPr>
                          <w:rFonts w:hint="eastAsia"/>
                          <w:szCs w:val="21"/>
                        </w:rPr>
                      </w:pPr>
                      <w:r>
                        <w:rPr>
                          <w:rFonts w:hint="eastAsia"/>
                          <w:szCs w:val="21"/>
                        </w:rPr>
                        <w:t>堆肥发酵用于自有苹果园</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2358390</wp:posOffset>
                </wp:positionH>
                <wp:positionV relativeFrom="paragraph">
                  <wp:posOffset>-87108030</wp:posOffset>
                </wp:positionV>
                <wp:extent cx="1434465" cy="1270"/>
                <wp:effectExtent l="0" t="36830" r="13335" b="38100"/>
                <wp:wrapNone/>
                <wp:docPr id="7" name="自选图形 742"/>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2" o:spid="_x0000_s1026" o:spt="32" type="#_x0000_t32" style="position:absolute;left:0pt;flip:x;margin-left:185.7pt;margin-top:-6858.9pt;height:0.1pt;width:112.95pt;z-index:251665408;mso-width-relative:page;mso-height-relative:page;" filled="f" stroked="t" coordsize="21600,21600" o:gfxdata="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y7H3QAAABEBAAAPAAAAAAAAAAEA&#10;IAAAACIAAABkcnMvZG93bnJldi54bWxQSwECFAAUAAAACACHTuJAVmgmFQoCAAD2AwAADgAAAAAA&#10;AAABACAAAAAs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2358390</wp:posOffset>
                </wp:positionH>
                <wp:positionV relativeFrom="paragraph">
                  <wp:posOffset>-87108030</wp:posOffset>
                </wp:positionV>
                <wp:extent cx="1434465" cy="1270"/>
                <wp:effectExtent l="0" t="36830" r="13335" b="38100"/>
                <wp:wrapNone/>
                <wp:docPr id="5" name="自选图形 742"/>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2" o:spid="_x0000_s1026" o:spt="32" type="#_x0000_t32" style="position:absolute;left:0pt;flip:x;margin-left:185.7pt;margin-top:-6858.9pt;height:0.1pt;width:112.95pt;z-index:251663360;mso-width-relative:page;mso-height-relative:page;" filled="f" stroked="t" coordsize="21600,21600" o:gfxdata="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D7LsfdAAAAEQEAAA8AAAAAAAAAAQAg&#10;AAAAIgAAAGRycy9kb3ducmV2LnhtbFBLAQIUABQAAAAIAIdO4kADzL5aCQIAAPYDAAAOAAAAAAAA&#10;AAEAIAAAACwBAABkcnMvZTJvRG9jLnhtbFBLBQYAAAAABgAGAFkBAACnBQAAAAA=&#10;">
                <v:fill on="f" focussize="0,0"/>
                <v:stroke color="#000000" joinstyle="round" endarrow="block"/>
                <v:imagedata o:title=""/>
                <o:lock v:ext="edit" aspectratio="f"/>
              </v:shape>
            </w:pict>
          </mc:Fallback>
        </mc:AlternateContent>
      </w:r>
    </w:p>
    <w:p w14:paraId="32DE5C4C">
      <w:pPr>
        <w:pStyle w:val="86"/>
        <w:ind w:firstLine="480"/>
      </w:pPr>
      <w:r>
        <w:rPr>
          <w:lang/>
        </w:rPr>
        <mc:AlternateContent>
          <mc:Choice Requires="wps">
            <w:drawing>
              <wp:anchor distT="0" distB="0" distL="114300" distR="114300" simplePos="0" relativeHeight="251701248" behindDoc="0" locked="0" layoutInCell="1" allowOverlap="1">
                <wp:simplePos x="0" y="0"/>
                <wp:positionH relativeFrom="column">
                  <wp:posOffset>2755265</wp:posOffset>
                </wp:positionH>
                <wp:positionV relativeFrom="paragraph">
                  <wp:posOffset>1210310</wp:posOffset>
                </wp:positionV>
                <wp:extent cx="1264920" cy="305435"/>
                <wp:effectExtent l="4445" t="4445" r="6985" b="13970"/>
                <wp:wrapNone/>
                <wp:docPr id="42" name="矩形 727"/>
                <wp:cNvGraphicFramePr/>
                <a:graphic xmlns:a="http://schemas.openxmlformats.org/drawingml/2006/main">
                  <a:graphicData uri="http://schemas.microsoft.com/office/word/2010/wordprocessingShape">
                    <wps:wsp>
                      <wps:cNvSpPr/>
                      <wps:spPr>
                        <a:xfrm>
                          <a:off x="0" y="0"/>
                          <a:ext cx="1264920" cy="305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BEFEF">
                            <w:pPr>
                              <w:jc w:val="center"/>
                              <w:rPr>
                                <w:rFonts w:hint="eastAsia"/>
                                <w:szCs w:val="21"/>
                              </w:rPr>
                            </w:pPr>
                            <w:r>
                              <w:rPr>
                                <w:rFonts w:hint="eastAsia"/>
                                <w:szCs w:val="21"/>
                              </w:rPr>
                              <w:t>水解酸化池</w:t>
                            </w:r>
                          </w:p>
                        </w:txbxContent>
                      </wps:txbx>
                      <wps:bodyPr wrap="square" upright="1"/>
                    </wps:wsp>
                  </a:graphicData>
                </a:graphic>
              </wp:anchor>
            </w:drawing>
          </mc:Choice>
          <mc:Fallback>
            <w:pict>
              <v:rect id="矩形 727" o:spid="_x0000_s1026" o:spt="1" style="position:absolute;left:0pt;margin-left:216.95pt;margin-top:95.3pt;height:24.05pt;width:99.6pt;z-index:251701248;mso-width-relative:page;mso-height-relative:page;" fillcolor="#FFFFFF" filled="t" stroked="t" coordsize="21600,21600" o:gfxdata="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EiXJ9gAAAALAQAADwAAAAAAAAABACAA&#10;AAAiAAAAZHJzL2Rvd25yZXYueG1sUEsBAhQAFAAAAAgAh07iQDiqzGgNAgAAOgQAAA4AAAAAAAAA&#10;AQAgAAAAJwEAAGRycy9lMm9Eb2MueG1sUEsFBgAAAAAGAAYAWQEAAKYFAAAAAA==&#10;">
                <v:fill on="t" focussize="0,0"/>
                <v:stroke color="#000000" joinstyle="miter"/>
                <v:imagedata o:title=""/>
                <o:lock v:ext="edit" aspectratio="f"/>
                <v:textbox>
                  <w:txbxContent>
                    <w:p w14:paraId="110BEFEF">
                      <w:pPr>
                        <w:jc w:val="center"/>
                        <w:rPr>
                          <w:rFonts w:hint="eastAsia"/>
                          <w:szCs w:val="21"/>
                        </w:rPr>
                      </w:pPr>
                      <w:r>
                        <w:rPr>
                          <w:rFonts w:hint="eastAsia"/>
                          <w:szCs w:val="21"/>
                        </w:rPr>
                        <w:t>水解酸化池</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2358390</wp:posOffset>
                </wp:positionH>
                <wp:positionV relativeFrom="paragraph">
                  <wp:posOffset>-87359490</wp:posOffset>
                </wp:positionV>
                <wp:extent cx="1434465" cy="1270"/>
                <wp:effectExtent l="0" t="36830" r="13335" b="38100"/>
                <wp:wrapNone/>
                <wp:docPr id="6" name="自选图形 744"/>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4" o:spid="_x0000_s1026" o:spt="32" type="#_x0000_t32" style="position:absolute;left:0pt;flip:x;margin-left:185.7pt;margin-top:-6878.7pt;height:0.1pt;width:112.95pt;z-index:251664384;mso-width-relative:page;mso-height-relative:page;" filled="f" stroked="t" coordsize="21600,21600" o:gfxdata="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pOH/cAAAAEQEAAA8AAAAAAAAAAQAg&#10;AAAAIgAAAGRycy9kb3ducmV2LnhtbFBLAQIUABQAAAAIAIdO4kDUdsz6CgIAAPYDAAAOAAAAAAAA&#10;AAEAIAAAACsBAABkcnMvZTJvRG9jLnhtbFBLBQYAAAAABgAGAFkBAACnBQAAAAA=&#10;">
                <v:fill on="f" focussize="0,0"/>
                <v:stroke color="#000000" joinstyle="round" endarrow="block"/>
                <v:imagedata o:title=""/>
                <o:lock v:ext="edit" aspectratio="f"/>
              </v:shape>
            </w:pict>
          </mc:Fallback>
        </mc:AlternateContent>
      </w:r>
    </w:p>
    <w:p w14:paraId="289DF53D">
      <w:pPr>
        <w:pStyle w:val="86"/>
        <w:ind w:firstLine="480"/>
      </w:pPr>
      <w:r>
        <w:rPr>
          <w:lang/>
        </w:rPr>
        <mc:AlternateContent>
          <mc:Choice Requires="wps">
            <w:drawing>
              <wp:anchor distT="0" distB="0" distL="114300" distR="114300" simplePos="0" relativeHeight="251697152" behindDoc="0" locked="0" layoutInCell="1" allowOverlap="1">
                <wp:simplePos x="0" y="0"/>
                <wp:positionH relativeFrom="column">
                  <wp:posOffset>3133090</wp:posOffset>
                </wp:positionH>
                <wp:positionV relativeFrom="paragraph">
                  <wp:posOffset>24765</wp:posOffset>
                </wp:positionV>
                <wp:extent cx="831850" cy="274955"/>
                <wp:effectExtent l="0" t="0" r="0" b="0"/>
                <wp:wrapNone/>
                <wp:docPr id="38" name="矩形 743"/>
                <wp:cNvGraphicFramePr/>
                <a:graphic xmlns:a="http://schemas.openxmlformats.org/drawingml/2006/main">
                  <a:graphicData uri="http://schemas.microsoft.com/office/word/2010/wordprocessingShape">
                    <wps:wsp>
                      <wps:cNvSpPr/>
                      <wps:spPr>
                        <a:xfrm>
                          <a:off x="0" y="0"/>
                          <a:ext cx="831850" cy="274955"/>
                        </a:xfrm>
                        <a:prstGeom prst="rect">
                          <a:avLst/>
                        </a:prstGeom>
                        <a:noFill/>
                        <a:ln>
                          <a:noFill/>
                        </a:ln>
                      </wps:spPr>
                      <wps:txbx>
                        <w:txbxContent>
                          <w:p w14:paraId="69BF99F7">
                            <w:pPr>
                              <w:jc w:val="center"/>
                              <w:rPr>
                                <w:rFonts w:hint="eastAsia"/>
                                <w:szCs w:val="21"/>
                              </w:rPr>
                            </w:pPr>
                            <w:r>
                              <w:rPr>
                                <w:rFonts w:hint="eastAsia"/>
                                <w:szCs w:val="21"/>
                              </w:rPr>
                              <w:t>液体</w:t>
                            </w:r>
                          </w:p>
                        </w:txbxContent>
                      </wps:txbx>
                      <wps:bodyPr wrap="square" upright="1"/>
                    </wps:wsp>
                  </a:graphicData>
                </a:graphic>
              </wp:anchor>
            </w:drawing>
          </mc:Choice>
          <mc:Fallback>
            <w:pict>
              <v:rect id="矩形 743" o:spid="_x0000_s1026" o:spt="1" style="position:absolute;left:0pt;margin-left:246.7pt;margin-top:1.95pt;height:21.65pt;width:65.5pt;z-index:251697152;mso-width-relative:page;mso-height-relative:page;" filled="f" stroked="f" coordsize="21600,21600" o:gfxdata="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w1J&#10;iNkAAAAIAQAADwAAAAAAAAABACAAAAAiAAAAZHJzL2Rvd25yZXYueG1sUEsBAhQAFAAAAAgAh07i&#10;QBOE/DOvAQAAUQMAAA4AAAAAAAAAAQAgAAAAKAEAAGRycy9lMm9Eb2MueG1sUEsFBgAAAAAGAAYA&#10;WQEAAEkFAAAAAA==&#10;">
                <v:fill on="f" focussize="0,0"/>
                <v:stroke on="f"/>
                <v:imagedata o:title=""/>
                <o:lock v:ext="edit" aspectratio="f"/>
                <v:textbox>
                  <w:txbxContent>
                    <w:p w14:paraId="69BF99F7">
                      <w:pPr>
                        <w:jc w:val="center"/>
                        <w:rPr>
                          <w:rFonts w:hint="eastAsia"/>
                          <w:szCs w:val="21"/>
                        </w:rPr>
                      </w:pPr>
                      <w:r>
                        <w:rPr>
                          <w:rFonts w:hint="eastAsia"/>
                          <w:szCs w:val="21"/>
                        </w:rPr>
                        <w:t>液体</w:t>
                      </w:r>
                    </w:p>
                  </w:txbxContent>
                </v:textbox>
              </v:rect>
            </w:pict>
          </mc:Fallback>
        </mc:AlternateContent>
      </w:r>
    </w:p>
    <w:p w14:paraId="33E475EF">
      <w:pPr>
        <w:pStyle w:val="86"/>
        <w:ind w:firstLine="480"/>
      </w:pPr>
      <w:r>
        <w:rPr>
          <w:lang/>
        </w:rPr>
        <mc:AlternateContent>
          <mc:Choice Requires="wps">
            <w:drawing>
              <wp:anchor distT="0" distB="0" distL="114300" distR="114300" simplePos="0" relativeHeight="251696128" behindDoc="0" locked="0" layoutInCell="1" allowOverlap="1">
                <wp:simplePos x="0" y="0"/>
                <wp:positionH relativeFrom="column">
                  <wp:posOffset>2692400</wp:posOffset>
                </wp:positionH>
                <wp:positionV relativeFrom="paragraph">
                  <wp:posOffset>80645</wp:posOffset>
                </wp:positionV>
                <wp:extent cx="1343025" cy="305435"/>
                <wp:effectExtent l="4445" t="4445" r="5080" b="13970"/>
                <wp:wrapNone/>
                <wp:docPr id="37" name="矩形 727"/>
                <wp:cNvGraphicFramePr/>
                <a:graphic xmlns:a="http://schemas.openxmlformats.org/drawingml/2006/main">
                  <a:graphicData uri="http://schemas.microsoft.com/office/word/2010/wordprocessingShape">
                    <wps:wsp>
                      <wps:cNvSpPr/>
                      <wps:spPr>
                        <a:xfrm>
                          <a:off x="0" y="0"/>
                          <a:ext cx="1343025" cy="305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CCC567">
                            <w:pPr>
                              <w:jc w:val="center"/>
                              <w:rPr>
                                <w:rFonts w:hint="eastAsia"/>
                                <w:szCs w:val="21"/>
                              </w:rPr>
                            </w:pPr>
                            <w:r>
                              <w:rPr>
                                <w:rFonts w:hint="eastAsia"/>
                                <w:szCs w:val="21"/>
                              </w:rPr>
                              <w:t>固液分离、平流气浮</w:t>
                            </w:r>
                          </w:p>
                        </w:txbxContent>
                      </wps:txbx>
                      <wps:bodyPr wrap="square" upright="1"/>
                    </wps:wsp>
                  </a:graphicData>
                </a:graphic>
              </wp:anchor>
            </w:drawing>
          </mc:Choice>
          <mc:Fallback>
            <w:pict>
              <v:rect id="矩形 727" o:spid="_x0000_s1026" o:spt="1" style="position:absolute;left:0pt;margin-left:212pt;margin-top:6.35pt;height:24.05pt;width:105.75pt;z-index:251696128;mso-width-relative:page;mso-height-relative:page;" fillcolor="#FFFFFF" filled="t" stroked="t" coordsize="21600,21600" o:gfxdata="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eDnM2AAAAAkBAAAPAAAAAAAAAAEAIAAA&#10;ACIAAABkcnMvZG93bnJldi54bWxQSwECFAAUAAAACACHTuJAtIkFBgwCAAA6BAAADgAAAAAAAAAB&#10;ACAAAAAnAQAAZHJzL2Uyb0RvYy54bWxQSwUGAAAAAAYABgBZAQAApQUAAAAA&#10;">
                <v:fill on="t" focussize="0,0"/>
                <v:stroke color="#000000" joinstyle="miter"/>
                <v:imagedata o:title=""/>
                <o:lock v:ext="edit" aspectratio="f"/>
                <v:textbox>
                  <w:txbxContent>
                    <w:p w14:paraId="03CCC567">
                      <w:pPr>
                        <w:jc w:val="center"/>
                        <w:rPr>
                          <w:rFonts w:hint="eastAsia"/>
                          <w:szCs w:val="21"/>
                        </w:rPr>
                      </w:pPr>
                      <w:r>
                        <w:rPr>
                          <w:rFonts w:hint="eastAsia"/>
                          <w:szCs w:val="21"/>
                        </w:rPr>
                        <w:t>固液分离、平流气浮</w:t>
                      </w:r>
                    </w:p>
                  </w:txbxContent>
                </v:textbox>
              </v:rect>
            </w:pict>
          </mc:Fallback>
        </mc:AlternateContent>
      </w:r>
      <w:r>
        <w:rPr>
          <w:lang/>
        </w:rPr>
        <mc:AlternateContent>
          <mc:Choice Requires="wps">
            <w:drawing>
              <wp:anchor distT="0" distB="0" distL="114300" distR="114300" simplePos="0" relativeHeight="251685888" behindDoc="0" locked="0" layoutInCell="1" allowOverlap="1">
                <wp:simplePos x="0" y="0"/>
                <wp:positionH relativeFrom="column">
                  <wp:posOffset>683260</wp:posOffset>
                </wp:positionH>
                <wp:positionV relativeFrom="paragraph">
                  <wp:posOffset>160655</wp:posOffset>
                </wp:positionV>
                <wp:extent cx="1511935" cy="259715"/>
                <wp:effectExtent l="0" t="0" r="0" b="0"/>
                <wp:wrapNone/>
                <wp:docPr id="27" name="矩形 743"/>
                <wp:cNvGraphicFramePr/>
                <a:graphic xmlns:a="http://schemas.openxmlformats.org/drawingml/2006/main">
                  <a:graphicData uri="http://schemas.microsoft.com/office/word/2010/wordprocessingShape">
                    <wps:wsp>
                      <wps:cNvSpPr/>
                      <wps:spPr>
                        <a:xfrm>
                          <a:off x="0" y="0"/>
                          <a:ext cx="1511935" cy="259715"/>
                        </a:xfrm>
                        <a:prstGeom prst="rect">
                          <a:avLst/>
                        </a:prstGeom>
                        <a:noFill/>
                        <a:ln>
                          <a:noFill/>
                        </a:ln>
                      </wps:spPr>
                      <wps:txbx>
                        <w:txbxContent>
                          <w:p w14:paraId="08D23766">
                            <w:pPr>
                              <w:jc w:val="center"/>
                              <w:rPr>
                                <w:szCs w:val="21"/>
                              </w:rPr>
                            </w:pPr>
                            <w:r>
                              <w:rPr>
                                <w:rFonts w:hint="eastAsia"/>
                                <w:szCs w:val="21"/>
                              </w:rPr>
                              <w:t>生活使用</w:t>
                            </w:r>
                          </w:p>
                        </w:txbxContent>
                      </wps:txbx>
                      <wps:bodyPr wrap="square" upright="1"/>
                    </wps:wsp>
                  </a:graphicData>
                </a:graphic>
              </wp:anchor>
            </w:drawing>
          </mc:Choice>
          <mc:Fallback>
            <w:pict>
              <v:rect id="矩形 743" o:spid="_x0000_s1026" o:spt="1" style="position:absolute;left:0pt;margin-left:53.8pt;margin-top:12.65pt;height:20.45pt;width:119.05pt;z-index:251685888;mso-width-relative:page;mso-height-relative:page;" filled="f" stroked="f" coordsize="21600,21600" o:gfxdata="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m6M8toAAAAJAQAADwAAAAAAAAABACAAAAAiAAAAZHJzL2Rvd25yZXYueG1sUEsBAhQAFAAAAAgA&#10;h07iQIn/coixAQAAUgMAAA4AAAAAAAAAAQAgAAAAKQEAAGRycy9lMm9Eb2MueG1sUEsFBgAAAAAG&#10;AAYAWQEAAEwFAAAAAA==&#10;">
                <v:fill on="f" focussize="0,0"/>
                <v:stroke on="f"/>
                <v:imagedata o:title=""/>
                <o:lock v:ext="edit" aspectratio="f"/>
                <v:textbox>
                  <w:txbxContent>
                    <w:p w14:paraId="08D23766">
                      <w:pPr>
                        <w:jc w:val="center"/>
                        <w:rPr>
                          <w:szCs w:val="21"/>
                        </w:rPr>
                      </w:pPr>
                      <w:r>
                        <w:rPr>
                          <w:rFonts w:hint="eastAsia"/>
                          <w:szCs w:val="21"/>
                        </w:rPr>
                        <w:t>生活使用</w:t>
                      </w:r>
                    </w:p>
                  </w:txbxContent>
                </v:textbox>
              </v:rect>
            </w:pict>
          </mc:Fallback>
        </mc:AlternateContent>
      </w:r>
      <w:r>
        <w:rPr>
          <w:lang/>
        </w:rPr>
        <mc:AlternateContent>
          <mc:Choice Requires="wps">
            <w:drawing>
              <wp:anchor distT="0" distB="0" distL="114300" distR="114300" simplePos="0" relativeHeight="251672576" behindDoc="0" locked="0" layoutInCell="1" allowOverlap="1">
                <wp:simplePos x="0" y="0"/>
                <wp:positionH relativeFrom="column">
                  <wp:posOffset>4025265</wp:posOffset>
                </wp:positionH>
                <wp:positionV relativeFrom="paragraph">
                  <wp:posOffset>12700</wp:posOffset>
                </wp:positionV>
                <wp:extent cx="583565" cy="264160"/>
                <wp:effectExtent l="0" t="0" r="0" b="0"/>
                <wp:wrapNone/>
                <wp:docPr id="14" name="矩形 714"/>
                <wp:cNvGraphicFramePr/>
                <a:graphic xmlns:a="http://schemas.openxmlformats.org/drawingml/2006/main">
                  <a:graphicData uri="http://schemas.microsoft.com/office/word/2010/wordprocessingShape">
                    <wps:wsp>
                      <wps:cNvSpPr/>
                      <wps:spPr>
                        <a:xfrm>
                          <a:off x="0" y="0"/>
                          <a:ext cx="583565" cy="264160"/>
                        </a:xfrm>
                        <a:prstGeom prst="rect">
                          <a:avLst/>
                        </a:prstGeom>
                        <a:noFill/>
                        <a:ln>
                          <a:noFill/>
                        </a:ln>
                      </wps:spPr>
                      <wps:txbx>
                        <w:txbxContent>
                          <w:p w14:paraId="489BBC1E">
                            <w:pPr>
                              <w:ind w:firstLine="210" w:firstLineChars="100"/>
                              <w:rPr>
                                <w:szCs w:val="21"/>
                              </w:rPr>
                            </w:pPr>
                            <w:r>
                              <w:rPr>
                                <w:rFonts w:hint="eastAsia"/>
                                <w:szCs w:val="21"/>
                              </w:rPr>
                              <w:t>浮渣</w:t>
                            </w:r>
                          </w:p>
                        </w:txbxContent>
                      </wps:txbx>
                      <wps:bodyPr wrap="none" upright="1">
                        <a:spAutoFit/>
                      </wps:bodyPr>
                    </wps:wsp>
                  </a:graphicData>
                </a:graphic>
              </wp:anchor>
            </w:drawing>
          </mc:Choice>
          <mc:Fallback>
            <w:pict>
              <v:rect id="矩形 714" o:spid="_x0000_s1026" o:spt="1" style="position:absolute;left:0pt;margin-left:316.95pt;margin-top:1pt;height:20.8pt;width:45.95pt;mso-wrap-style:none;z-index:251672576;mso-width-relative:page;mso-height-relative:page;" filled="f" stroked="f" coordsize="21600,21600" o:gfxdata="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ibO3XWAAAACAEAAA8AAAAAAAAAAQAgAAAAIgAAAGRycy9kb3ducmV2LnhtbFBLAQIUABQA&#10;AAAIAIdO4kBJFshFuQEAAGkDAAAOAAAAAAAAAAEAIAAAACUBAABkcnMvZTJvRG9jLnhtbFBLBQYA&#10;AAAABgAGAFkBAABQBQAAAAA=&#10;">
                <v:fill on="f" focussize="0,0"/>
                <v:stroke on="f"/>
                <v:imagedata o:title=""/>
                <o:lock v:ext="edit" aspectratio="f"/>
                <v:textbox style="mso-fit-shape-to-text:t;">
                  <w:txbxContent>
                    <w:p w14:paraId="489BBC1E">
                      <w:pPr>
                        <w:ind w:firstLine="210" w:firstLineChars="100"/>
                        <w:rPr>
                          <w:szCs w:val="21"/>
                        </w:rPr>
                      </w:pPr>
                      <w:r>
                        <w:rPr>
                          <w:rFonts w:hint="eastAsia"/>
                          <w:szCs w:val="21"/>
                        </w:rPr>
                        <w:t>浮渣</w:t>
                      </w:r>
                    </w:p>
                  </w:txbxContent>
                </v:textbox>
              </v:rect>
            </w:pict>
          </mc:Fallback>
        </mc:AlternateContent>
      </w:r>
    </w:p>
    <w:p w14:paraId="76F14EF2">
      <w:pPr>
        <w:pStyle w:val="86"/>
        <w:ind w:firstLine="480"/>
      </w:pPr>
      <w:r>
        <w:rPr>
          <w:lang/>
        </w:rPr>
        <mc:AlternateContent>
          <mc:Choice Requires="wps">
            <w:drawing>
              <wp:anchor distT="0" distB="0" distL="114300" distR="114300" simplePos="0" relativeHeight="251695104" behindDoc="0" locked="0" layoutInCell="1" allowOverlap="1">
                <wp:simplePos x="0" y="0"/>
                <wp:positionH relativeFrom="column">
                  <wp:posOffset>3357880</wp:posOffset>
                </wp:positionH>
                <wp:positionV relativeFrom="paragraph">
                  <wp:posOffset>131445</wp:posOffset>
                </wp:positionV>
                <wp:extent cx="8890" cy="299720"/>
                <wp:effectExtent l="31750" t="0" r="35560" b="5080"/>
                <wp:wrapNone/>
                <wp:docPr id="36" name="直线 709"/>
                <wp:cNvGraphicFramePr/>
                <a:graphic xmlns:a="http://schemas.openxmlformats.org/drawingml/2006/main">
                  <a:graphicData uri="http://schemas.microsoft.com/office/word/2010/wordprocessingShape">
                    <wps:wsp>
                      <wps:cNvSpPr/>
                      <wps:spPr>
                        <a:xfrm>
                          <a:off x="0" y="0"/>
                          <a:ext cx="8890" cy="299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264.4pt;margin-top:10.35pt;height:23.6pt;width:0.7pt;z-index:251695104;mso-width-relative:page;mso-height-relative:page;" filled="f" stroked="t" coordsize="21600,21600" o:gfxdata="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3mGt2gAAAAkBAAAPAAAAAAAAAAEAIAAAACIAAABkcnMvZG93bnJldi54bWxQ&#10;SwECFAAUAAAACACHTuJAfmtJNfUBAADkAwAADgAAAAAAAAABACAAAAApAQAAZHJzL2Uyb0RvYy54&#10;bWxQSwUGAAAAAAYABgBZAQAAkAU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707392" behindDoc="0" locked="0" layoutInCell="1" allowOverlap="1">
                <wp:simplePos x="0" y="0"/>
                <wp:positionH relativeFrom="column">
                  <wp:posOffset>1370965</wp:posOffset>
                </wp:positionH>
                <wp:positionV relativeFrom="paragraph">
                  <wp:posOffset>164465</wp:posOffset>
                </wp:positionV>
                <wp:extent cx="635" cy="299720"/>
                <wp:effectExtent l="38100" t="0" r="37465" b="5080"/>
                <wp:wrapNone/>
                <wp:docPr id="48" name="直线 399"/>
                <wp:cNvGraphicFramePr/>
                <a:graphic xmlns:a="http://schemas.openxmlformats.org/drawingml/2006/main">
                  <a:graphicData uri="http://schemas.microsoft.com/office/word/2010/wordprocessingShape">
                    <wps:wsp>
                      <wps:cNvSpPr/>
                      <wps:spPr>
                        <a:xfrm flipH="1" flipV="1">
                          <a:off x="0" y="0"/>
                          <a:ext cx="635" cy="299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9" o:spid="_x0000_s1026" o:spt="20" style="position:absolute;left:0pt;flip:x y;margin-left:107.95pt;margin-top:12.95pt;height:23.6pt;width:0.05pt;z-index:251707392;mso-width-relative:page;mso-height-relative:page;" filled="f" stroked="t" coordsize="21600,21600" o:gfxdata="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V1GpdgAAAAJAQAADwAAAAAAAAABACAAAAAiAAAAZHJzL2Rv&#10;d25yZXYueG1sUEsBAhQAFAAAAAgAh07iQJZKAJYBAgAA9wMAAA4AAAAAAAAAAQAgAAAAJwEAAGRy&#10;cy9lMm9Eb2MueG1sUEsFBgAAAAAGAAYAWQEAAJo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681792" behindDoc="0" locked="0" layoutInCell="1" allowOverlap="1">
                <wp:simplePos x="0" y="0"/>
                <wp:positionH relativeFrom="column">
                  <wp:posOffset>3246120</wp:posOffset>
                </wp:positionH>
                <wp:positionV relativeFrom="paragraph">
                  <wp:posOffset>156210</wp:posOffset>
                </wp:positionV>
                <wp:extent cx="554990" cy="259715"/>
                <wp:effectExtent l="0" t="0" r="0" b="0"/>
                <wp:wrapNone/>
                <wp:docPr id="23" name="矩形 743"/>
                <wp:cNvGraphicFramePr/>
                <a:graphic xmlns:a="http://schemas.openxmlformats.org/drawingml/2006/main">
                  <a:graphicData uri="http://schemas.microsoft.com/office/word/2010/wordprocessingShape">
                    <wps:wsp>
                      <wps:cNvSpPr/>
                      <wps:spPr>
                        <a:xfrm>
                          <a:off x="0" y="0"/>
                          <a:ext cx="554990" cy="259715"/>
                        </a:xfrm>
                        <a:prstGeom prst="rect">
                          <a:avLst/>
                        </a:prstGeom>
                        <a:noFill/>
                        <a:ln>
                          <a:noFill/>
                        </a:ln>
                      </wps:spPr>
                      <wps:txbx>
                        <w:txbxContent>
                          <w:p w14:paraId="06AD11FE">
                            <w:pPr>
                              <w:jc w:val="center"/>
                              <w:rPr>
                                <w:rFonts w:hint="eastAsia"/>
                                <w:szCs w:val="21"/>
                              </w:rPr>
                            </w:pPr>
                            <w:r>
                              <w:rPr>
                                <w:rFonts w:hint="eastAsia"/>
                                <w:szCs w:val="21"/>
                              </w:rPr>
                              <w:t>液体</w:t>
                            </w:r>
                          </w:p>
                        </w:txbxContent>
                      </wps:txbx>
                      <wps:bodyPr wrap="square" upright="1"/>
                    </wps:wsp>
                  </a:graphicData>
                </a:graphic>
              </wp:anchor>
            </w:drawing>
          </mc:Choice>
          <mc:Fallback>
            <w:pict>
              <v:rect id="矩形 743" o:spid="_x0000_s1026" o:spt="1" style="position:absolute;left:0pt;margin-left:255.6pt;margin-top:12.3pt;height:20.45pt;width:43.7pt;z-index:251681792;mso-width-relative:page;mso-height-relative:page;" filled="f" stroked="f" coordsize="21600,21600" o:gfxdata="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lR&#10;F5vaAAAACQEAAA8AAAAAAAAAAQAgAAAAIgAAAGRycy9kb3ducmV2LnhtbFBLAQIUABQAAAAIAIdO&#10;4kDEywD5rwEAAFEDAAAOAAAAAAAAAAEAIAAAACkBAABkcnMvZTJvRG9jLnhtbFBLBQYAAAAABgAG&#10;AFkBAABKBQAAAAA=&#10;">
                <v:fill on="f" focussize="0,0"/>
                <v:stroke on="f"/>
                <v:imagedata o:title=""/>
                <o:lock v:ext="edit" aspectratio="f"/>
                <v:textbox>
                  <w:txbxContent>
                    <w:p w14:paraId="06AD11FE">
                      <w:pPr>
                        <w:jc w:val="center"/>
                        <w:rPr>
                          <w:rFonts w:hint="eastAsia"/>
                          <w:szCs w:val="21"/>
                        </w:rPr>
                      </w:pPr>
                      <w:r>
                        <w:rPr>
                          <w:rFonts w:hint="eastAsia"/>
                          <w:szCs w:val="21"/>
                        </w:rPr>
                        <w:t>液体</w:t>
                      </w:r>
                    </w:p>
                  </w:txbxContent>
                </v:textbox>
              </v:rect>
            </w:pict>
          </mc:Fallback>
        </mc:AlternateContent>
      </w:r>
      <w:r>
        <w:rPr>
          <w:lang/>
        </w:rPr>
        <mc:AlternateContent>
          <mc:Choice Requires="wps">
            <w:drawing>
              <wp:anchor distT="0" distB="0" distL="114300" distR="114300" simplePos="0" relativeHeight="251698176" behindDoc="0" locked="0" layoutInCell="1" allowOverlap="1">
                <wp:simplePos x="0" y="0"/>
                <wp:positionH relativeFrom="column">
                  <wp:posOffset>4035425</wp:posOffset>
                </wp:positionH>
                <wp:positionV relativeFrom="paragraph">
                  <wp:posOffset>6350</wp:posOffset>
                </wp:positionV>
                <wp:extent cx="816610" cy="0"/>
                <wp:effectExtent l="0" t="38100" r="2540" b="38100"/>
                <wp:wrapNone/>
                <wp:docPr id="39" name="直线 697"/>
                <wp:cNvGraphicFramePr/>
                <a:graphic xmlns:a="http://schemas.openxmlformats.org/drawingml/2006/main">
                  <a:graphicData uri="http://schemas.microsoft.com/office/word/2010/wordprocessingShape">
                    <wps:wsp>
                      <wps:cNvSpPr/>
                      <wps:spPr>
                        <a:xfrm>
                          <a:off x="0" y="0"/>
                          <a:ext cx="816610"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margin-left:317.75pt;margin-top:0.5pt;height:0pt;width:64.3pt;z-index:251698176;mso-width-relative:page;mso-height-relative:page;" filled="f" stroked="t" coordsize="21600,21600" o:gfxdata="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vtO2dYAAAAHAQAADwAAAAAAAAABACAAAAAiAAAAZHJzL2Rvd25yZXYueG1sUEsBAhQAFAAA&#10;AAgAh07iQFVqkp/xAQAA4AMAAA4AAAAAAAAAAQAgAAAAJQEAAGRycy9lMm9Eb2MueG1sUEsFBgAA&#10;AAAGAAYAWQEAAIgFAAAAAA==&#10;">
                <v:fill on="f" focussize="0,0"/>
                <v:stroke color="#000000" joinstyle="round" dashstyle="dash" endarrow="block"/>
                <v:imagedata o:title=""/>
                <o:lock v:ext="edit" aspectratio="f"/>
              </v:line>
            </w:pict>
          </mc:Fallback>
        </mc:AlternateContent>
      </w:r>
    </w:p>
    <w:p w14:paraId="4EB8C049">
      <w:pPr>
        <w:pStyle w:val="86"/>
        <w:ind w:firstLine="480"/>
      </w:pPr>
      <w:r>
        <w:rPr>
          <w:lang/>
        </w:rPr>
        <mc:AlternateContent>
          <mc:Choice Requires="wps">
            <w:drawing>
              <wp:anchor distT="0" distB="0" distL="114300" distR="114300" simplePos="0" relativeHeight="251709440" behindDoc="0" locked="0" layoutInCell="1" allowOverlap="1">
                <wp:simplePos x="0" y="0"/>
                <wp:positionH relativeFrom="column">
                  <wp:posOffset>4353560</wp:posOffset>
                </wp:positionH>
                <wp:positionV relativeFrom="paragraph">
                  <wp:posOffset>247015</wp:posOffset>
                </wp:positionV>
                <wp:extent cx="487680" cy="261620"/>
                <wp:effectExtent l="0" t="0" r="0" b="0"/>
                <wp:wrapNone/>
                <wp:docPr id="50" name="矩形 743"/>
                <wp:cNvGraphicFramePr/>
                <a:graphic xmlns:a="http://schemas.openxmlformats.org/drawingml/2006/main">
                  <a:graphicData uri="http://schemas.microsoft.com/office/word/2010/wordprocessingShape">
                    <wps:wsp>
                      <wps:cNvSpPr/>
                      <wps:spPr>
                        <a:xfrm>
                          <a:off x="0" y="0"/>
                          <a:ext cx="487680" cy="261620"/>
                        </a:xfrm>
                        <a:prstGeom prst="rect">
                          <a:avLst/>
                        </a:prstGeom>
                        <a:noFill/>
                        <a:ln>
                          <a:noFill/>
                        </a:ln>
                      </wps:spPr>
                      <wps:txbx>
                        <w:txbxContent>
                          <w:p w14:paraId="5B68614F">
                            <w:pPr>
                              <w:rPr>
                                <w:szCs w:val="21"/>
                              </w:rPr>
                            </w:pPr>
                            <w:r>
                              <w:rPr>
                                <w:rFonts w:hint="eastAsia"/>
                                <w:szCs w:val="21"/>
                              </w:rPr>
                              <w:t>恶臭</w:t>
                            </w:r>
                          </w:p>
                        </w:txbxContent>
                      </wps:txbx>
                      <wps:bodyPr wrap="square" upright="1"/>
                    </wps:wsp>
                  </a:graphicData>
                </a:graphic>
              </wp:anchor>
            </w:drawing>
          </mc:Choice>
          <mc:Fallback>
            <w:pict>
              <v:rect id="矩形 743" o:spid="_x0000_s1026" o:spt="1" style="position:absolute;left:0pt;margin-left:342.8pt;margin-top:19.45pt;height:20.6pt;width:38.4pt;z-index:251709440;mso-width-relative:page;mso-height-relative:page;" filled="f" stroked="f" coordsize="21600,21600" o:gfxdata="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m&#10;d6nbAAAACQEAAA8AAAAAAAAAAQAgAAAAIgAAAGRycy9kb3ducmV2LnhtbFBLAQIUABQAAAAIAIdO&#10;4kBnFDWzrgEAAFEDAAAOAAAAAAAAAAEAIAAAACoBAABkcnMvZTJvRG9jLnhtbFBLBQYAAAAABgAG&#10;AFkBAABKBQAAAAA=&#10;">
                <v:fill on="f" focussize="0,0"/>
                <v:stroke on="f"/>
                <v:imagedata o:title=""/>
                <o:lock v:ext="edit" aspectratio="f"/>
                <v:textbox>
                  <w:txbxContent>
                    <w:p w14:paraId="5B68614F">
                      <w:pPr>
                        <w:rPr>
                          <w:szCs w:val="21"/>
                        </w:rPr>
                      </w:pPr>
                      <w:r>
                        <w:rPr>
                          <w:rFonts w:hint="eastAsia"/>
                          <w:szCs w:val="21"/>
                        </w:rPr>
                        <w:t>恶臭</w:t>
                      </w:r>
                    </w:p>
                  </w:txbxContent>
                </v:textbox>
              </v:rect>
            </w:pict>
          </mc:Fallback>
        </mc:AlternateContent>
      </w:r>
    </w:p>
    <w:p w14:paraId="41689981">
      <w:pPr>
        <w:pStyle w:val="86"/>
        <w:ind w:firstLine="480"/>
      </w:pPr>
      <w:r>
        <w:rPr>
          <w:lang/>
        </w:rPr>
        <mc:AlternateContent>
          <mc:Choice Requires="wps">
            <w:drawing>
              <wp:anchor distT="0" distB="0" distL="114300" distR="114300" simplePos="0" relativeHeight="251710464" behindDoc="0" locked="0" layoutInCell="1" allowOverlap="1">
                <wp:simplePos x="0" y="0"/>
                <wp:positionH relativeFrom="column">
                  <wp:posOffset>4072255</wp:posOffset>
                </wp:positionH>
                <wp:positionV relativeFrom="paragraph">
                  <wp:posOffset>1174750</wp:posOffset>
                </wp:positionV>
                <wp:extent cx="328295" cy="6985"/>
                <wp:effectExtent l="0" t="36195" r="14605" b="33020"/>
                <wp:wrapNone/>
                <wp:docPr id="51" name="直线 697"/>
                <wp:cNvGraphicFramePr/>
                <a:graphic xmlns:a="http://schemas.openxmlformats.org/drawingml/2006/main">
                  <a:graphicData uri="http://schemas.microsoft.com/office/word/2010/wordprocessingShape">
                    <wps:wsp>
                      <wps:cNvSpPr/>
                      <wps:spPr>
                        <a:xfrm flipV="1">
                          <a:off x="0" y="0"/>
                          <a:ext cx="328295" cy="698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flip:y;margin-left:320.65pt;margin-top:92.5pt;height:0.55pt;width:25.85pt;z-index:251710464;mso-width-relative:page;mso-height-relative:page;" filled="f" stroked="t" coordsize="21600,21600" o:gfxdata="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bbzXtcAAAALAQAADwAAAAAAAAABACAAAAAiAAAAZHJzL2Rvd25yZXYueG1s&#10;UEsBAhQAFAAAAAgAh07iQE5U3WD5AQAA7QMAAA4AAAAAAAAAAQAgAAAAJgEAAGRycy9lMm9Eb2Mu&#10;eG1sUEsFBgAAAAAGAAYAWQEAAJEFAAAAAA==&#10;">
                <v:fill on="f" focussize="0,0"/>
                <v:stroke color="#000000" joinstyle="round" dashstyle="dash" endarrow="block"/>
                <v:imagedata o:title=""/>
                <o:lock v:ext="edit" aspectratio="f"/>
              </v:line>
            </w:pict>
          </mc:Fallback>
        </mc:AlternateContent>
      </w:r>
      <w:r>
        <w:rPr>
          <w:lang/>
        </w:rPr>
        <mc:AlternateContent>
          <mc:Choice Requires="wps">
            <w:drawing>
              <wp:anchor distT="0" distB="0" distL="114300" distR="114300" simplePos="0" relativeHeight="251708416" behindDoc="0" locked="0" layoutInCell="1" allowOverlap="1">
                <wp:simplePos x="0" y="0"/>
                <wp:positionH relativeFrom="column">
                  <wp:posOffset>4025265</wp:posOffset>
                </wp:positionH>
                <wp:positionV relativeFrom="paragraph">
                  <wp:posOffset>109220</wp:posOffset>
                </wp:positionV>
                <wp:extent cx="328295" cy="6985"/>
                <wp:effectExtent l="0" t="36195" r="14605" b="33020"/>
                <wp:wrapNone/>
                <wp:docPr id="49" name="直线 697"/>
                <wp:cNvGraphicFramePr/>
                <a:graphic xmlns:a="http://schemas.openxmlformats.org/drawingml/2006/main">
                  <a:graphicData uri="http://schemas.microsoft.com/office/word/2010/wordprocessingShape">
                    <wps:wsp>
                      <wps:cNvSpPr/>
                      <wps:spPr>
                        <a:xfrm flipV="1">
                          <a:off x="0" y="0"/>
                          <a:ext cx="328295" cy="698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flip:y;margin-left:316.95pt;margin-top:8.6pt;height:0.55pt;width:25.85pt;z-index:251708416;mso-width-relative:page;mso-height-relative:page;" filled="f" stroked="t" coordsize="21600,21600" o:gfxdata="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EmlxNcAAAAJAQAADwAAAAAAAAABACAAAAAiAAAAZHJzL2Rvd25yZXYueG1s&#10;UEsBAhQAFAAAAAgAh07iQEqewUf5AQAA7QMAAA4AAAAAAAAAAQAgAAAAJgEAAGRycy9lMm9Eb2Mu&#10;eG1sUEsFBgAAAAAGAAYAWQEAAJEFAAAAAA==&#10;">
                <v:fill on="f" focussize="0,0"/>
                <v:stroke color="#000000" joinstyle="round" dashstyle="dash" endarrow="block"/>
                <v:imagedata o:title=""/>
                <o:lock v:ext="edit" aspectratio="f"/>
              </v:line>
            </w:pict>
          </mc:Fallback>
        </mc:AlternateContent>
      </w:r>
      <w:r>
        <w:rPr>
          <w:lang/>
        </w:rPr>
        <mc:AlternateContent>
          <mc:Choice Requires="wps">
            <w:drawing>
              <wp:anchor distT="0" distB="0" distL="114300" distR="114300" simplePos="0" relativeHeight="251689984" behindDoc="0" locked="0" layoutInCell="1" allowOverlap="1">
                <wp:simplePos x="0" y="0"/>
                <wp:positionH relativeFrom="column">
                  <wp:posOffset>1372235</wp:posOffset>
                </wp:positionH>
                <wp:positionV relativeFrom="paragraph">
                  <wp:posOffset>246380</wp:posOffset>
                </wp:positionV>
                <wp:extent cx="635" cy="299720"/>
                <wp:effectExtent l="38100" t="0" r="37465" b="5080"/>
                <wp:wrapNone/>
                <wp:docPr id="31" name="直线 399"/>
                <wp:cNvGraphicFramePr/>
                <a:graphic xmlns:a="http://schemas.openxmlformats.org/drawingml/2006/main">
                  <a:graphicData uri="http://schemas.microsoft.com/office/word/2010/wordprocessingShape">
                    <wps:wsp>
                      <wps:cNvSpPr/>
                      <wps:spPr>
                        <a:xfrm flipH="1" flipV="1">
                          <a:off x="0" y="0"/>
                          <a:ext cx="635" cy="299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9" o:spid="_x0000_s1026" o:spt="20" style="position:absolute;left:0pt;flip:x y;margin-left:108.05pt;margin-top:19.4pt;height:23.6pt;width:0.05pt;z-index:251689984;mso-width-relative:page;mso-height-relative:page;" filled="f" stroked="t" coordsize="21600,21600" o:gfxdata="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KJVfXAAAACQEAAA8AAAAAAAAAAQAgAAAAIgAAAGRycy9kb3du&#10;cmV2LnhtbFBLAQIUABQAAAAIAIdO4kAn16p0AAIAAPcDAAAOAAAAAAAAAAEAIAAAACYBAABkcnMv&#10;ZTJvRG9jLnhtbFBLBQYAAAAABgAGAFkBAACYBQ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676672" behindDoc="0" locked="0" layoutInCell="1" allowOverlap="1">
                <wp:simplePos x="0" y="0"/>
                <wp:positionH relativeFrom="column">
                  <wp:posOffset>-233680</wp:posOffset>
                </wp:positionH>
                <wp:positionV relativeFrom="paragraph">
                  <wp:posOffset>189865</wp:posOffset>
                </wp:positionV>
                <wp:extent cx="659130" cy="274955"/>
                <wp:effectExtent l="0" t="0" r="0" b="0"/>
                <wp:wrapNone/>
                <wp:docPr id="18" name="矩形 743"/>
                <wp:cNvGraphicFramePr/>
                <a:graphic xmlns:a="http://schemas.openxmlformats.org/drawingml/2006/main">
                  <a:graphicData uri="http://schemas.microsoft.com/office/word/2010/wordprocessingShape">
                    <wps:wsp>
                      <wps:cNvSpPr/>
                      <wps:spPr>
                        <a:xfrm>
                          <a:off x="0" y="0"/>
                          <a:ext cx="659130" cy="274955"/>
                        </a:xfrm>
                        <a:prstGeom prst="rect">
                          <a:avLst/>
                        </a:prstGeom>
                        <a:noFill/>
                        <a:ln>
                          <a:noFill/>
                        </a:ln>
                      </wps:spPr>
                      <wps:txbx>
                        <w:txbxContent>
                          <w:p w14:paraId="3F342BCB">
                            <w:pPr>
                              <w:jc w:val="center"/>
                              <w:rPr>
                                <w:szCs w:val="21"/>
                              </w:rPr>
                            </w:pPr>
                            <w:r>
                              <w:rPr>
                                <w:rFonts w:hint="eastAsia"/>
                                <w:szCs w:val="21"/>
                              </w:rPr>
                              <w:t>脱硫剂</w:t>
                            </w:r>
                          </w:p>
                        </w:txbxContent>
                      </wps:txbx>
                      <wps:bodyPr wrap="square" upright="1"/>
                    </wps:wsp>
                  </a:graphicData>
                </a:graphic>
              </wp:anchor>
            </w:drawing>
          </mc:Choice>
          <mc:Fallback>
            <w:pict>
              <v:rect id="矩形 743" o:spid="_x0000_s1026" o:spt="1" style="position:absolute;left:0pt;margin-left:-18.4pt;margin-top:14.95pt;height:21.65pt;width:51.9pt;z-index:251676672;mso-width-relative:page;mso-height-relative:page;" filled="f" stroked="f" coordsize="21600,21600" o:gfxdata="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DXUD2gAAAAgBAAAPAAAAAAAAAAEAIAAAACIAAABkcnMvZG93bnJldi54bWxQSwECFAAUAAAACACH&#10;TuJAlhgn37ABAABRAwAADgAAAAAAAAABACAAAAApAQAAZHJzL2Uyb0RvYy54bWxQSwUGAAAAAAYA&#10;BgBZAQAASwUAAAAA&#10;">
                <v:fill on="f" focussize="0,0"/>
                <v:stroke on="f"/>
                <v:imagedata o:title=""/>
                <o:lock v:ext="edit" aspectratio="f"/>
                <v:textbox>
                  <w:txbxContent>
                    <w:p w14:paraId="3F342BCB">
                      <w:pPr>
                        <w:jc w:val="center"/>
                        <w:rPr>
                          <w:szCs w:val="21"/>
                        </w:rPr>
                      </w:pPr>
                      <w:r>
                        <w:rPr>
                          <w:rFonts w:hint="eastAsia"/>
                          <w:szCs w:val="21"/>
                        </w:rPr>
                        <w:t>脱硫剂</w:t>
                      </w:r>
                    </w:p>
                  </w:txbxContent>
                </v:textbox>
              </v:rect>
            </w:pict>
          </mc:Fallback>
        </mc:AlternateContent>
      </w:r>
      <w:r>
        <w:rPr>
          <w:lang/>
        </w:rPr>
        <mc:AlternateContent>
          <mc:Choice Requires="wps">
            <w:drawing>
              <wp:anchor distT="0" distB="0" distL="114300" distR="114300" simplePos="0" relativeHeight="251700224" behindDoc="0" locked="0" layoutInCell="1" allowOverlap="1">
                <wp:simplePos x="0" y="0"/>
                <wp:positionH relativeFrom="column">
                  <wp:posOffset>3366770</wp:posOffset>
                </wp:positionH>
                <wp:positionV relativeFrom="paragraph">
                  <wp:posOffset>246380</wp:posOffset>
                </wp:positionV>
                <wp:extent cx="0" cy="299720"/>
                <wp:effectExtent l="38100" t="0" r="38100" b="5080"/>
                <wp:wrapNone/>
                <wp:docPr id="41" name="直线 709"/>
                <wp:cNvGraphicFramePr/>
                <a:graphic xmlns:a="http://schemas.openxmlformats.org/drawingml/2006/main">
                  <a:graphicData uri="http://schemas.microsoft.com/office/word/2010/wordprocessingShape">
                    <wps:wsp>
                      <wps:cNvSpPr/>
                      <wps:spPr>
                        <a:xfrm flipH="1">
                          <a:off x="0" y="0"/>
                          <a:ext cx="0" cy="299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flip:x;margin-left:265.1pt;margin-top:19.4pt;height:23.6pt;width:0pt;z-index:251700224;mso-width-relative:page;mso-height-relative:page;" filled="f" stroked="t" coordsize="21600,21600" o:gfxdata="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euSDtgAAAAJAQAADwAAAAAAAAABACAAAAAiAAAAZHJzL2Rvd25yZXYueG1s&#10;UEsBAhQAFAAAAAgAh07iQFHfSPn4AQAA6wMAAA4AAAAAAAAAAQAgAAAAJwEAAGRycy9lMm9Eb2Mu&#10;eG1sUEsFBgAAAAAGAAYAWQEAAJEFAAAAAA==&#10;">
                <v:fill on="f" focussize="0,0"/>
                <v:stroke color="#000000" joinstyle="round" endarrow="block"/>
                <v:imagedata o:title=""/>
                <o:lock v:ext="edit" aspectratio="f"/>
              </v:line>
            </w:pict>
          </mc:Fallback>
        </mc:AlternateContent>
      </w:r>
    </w:p>
    <w:p w14:paraId="665FF946">
      <w:pPr>
        <w:pStyle w:val="86"/>
        <w:ind w:firstLine="480"/>
      </w:pPr>
      <w:r>
        <w:rPr>
          <w:lang/>
        </w:rPr>
        <mc:AlternateContent>
          <mc:Choice Requires="wps">
            <w:drawing>
              <wp:anchor distT="0" distB="0" distL="114300" distR="114300" simplePos="0" relativeHeight="251688960" behindDoc="0" locked="0" layoutInCell="1" allowOverlap="1">
                <wp:simplePos x="0" y="0"/>
                <wp:positionH relativeFrom="column">
                  <wp:posOffset>359410</wp:posOffset>
                </wp:positionH>
                <wp:positionV relativeFrom="paragraph">
                  <wp:posOffset>104140</wp:posOffset>
                </wp:positionV>
                <wp:extent cx="401955" cy="190500"/>
                <wp:effectExtent l="1905" t="4445" r="15240" b="14605"/>
                <wp:wrapNone/>
                <wp:docPr id="30" name="直线 398"/>
                <wp:cNvGraphicFramePr/>
                <a:graphic xmlns:a="http://schemas.openxmlformats.org/drawingml/2006/main">
                  <a:graphicData uri="http://schemas.microsoft.com/office/word/2010/wordprocessingShape">
                    <wps:wsp>
                      <wps:cNvSpPr/>
                      <wps:spPr>
                        <a:xfrm>
                          <a:off x="0" y="0"/>
                          <a:ext cx="401955" cy="190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8" o:spid="_x0000_s1026" o:spt="20" style="position:absolute;left:0pt;margin-left:28.3pt;margin-top:8.2pt;height:15pt;width:31.65pt;z-index:251688960;mso-width-relative:page;mso-height-relative:page;" filled="f" stroked="t" coordsize="21600,21600" o:gfxdata="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ub4N9gAAAAIAQAADwAAAAAAAAABACAAAAAiAAAAZHJzL2Rvd25yZXYueG1sUEsB&#10;AhQAFAAAAAgAh07iQDzE+Yb1AQAA5gMAAA4AAAAAAAAAAQAgAAAAJwEAAGRycy9lMm9Eb2MueG1s&#10;UEsFBgAAAAAGAAYAWQEAAI4FA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682816" behindDoc="0" locked="0" layoutInCell="1" allowOverlap="1">
                <wp:simplePos x="0" y="0"/>
                <wp:positionH relativeFrom="column">
                  <wp:posOffset>1995805</wp:posOffset>
                </wp:positionH>
                <wp:positionV relativeFrom="paragraph">
                  <wp:posOffset>198755</wp:posOffset>
                </wp:positionV>
                <wp:extent cx="651510" cy="313690"/>
                <wp:effectExtent l="0" t="0" r="0" b="0"/>
                <wp:wrapNone/>
                <wp:docPr id="24" name="矩形 701"/>
                <wp:cNvGraphicFramePr/>
                <a:graphic xmlns:a="http://schemas.openxmlformats.org/drawingml/2006/main">
                  <a:graphicData uri="http://schemas.microsoft.com/office/word/2010/wordprocessingShape">
                    <wps:wsp>
                      <wps:cNvSpPr/>
                      <wps:spPr>
                        <a:xfrm>
                          <a:off x="0" y="0"/>
                          <a:ext cx="651510" cy="313690"/>
                        </a:xfrm>
                        <a:prstGeom prst="rect">
                          <a:avLst/>
                        </a:prstGeom>
                        <a:noFill/>
                        <a:ln>
                          <a:noFill/>
                        </a:ln>
                      </wps:spPr>
                      <wps:txbx>
                        <w:txbxContent>
                          <w:p w14:paraId="4343FF0B">
                            <w:pPr>
                              <w:jc w:val="center"/>
                              <w:rPr>
                                <w:szCs w:val="21"/>
                              </w:rPr>
                            </w:pPr>
                            <w:r>
                              <w:rPr>
                                <w:rFonts w:hint="eastAsia"/>
                                <w:szCs w:val="21"/>
                              </w:rPr>
                              <w:t>沼气</w:t>
                            </w:r>
                          </w:p>
                        </w:txbxContent>
                      </wps:txbx>
                      <wps:bodyPr wrap="square" upright="1"/>
                    </wps:wsp>
                  </a:graphicData>
                </a:graphic>
              </wp:anchor>
            </w:drawing>
          </mc:Choice>
          <mc:Fallback>
            <w:pict>
              <v:rect id="矩形 701" o:spid="_x0000_s1026" o:spt="1" style="position:absolute;left:0pt;margin-left:157.15pt;margin-top:15.65pt;height:24.7pt;width:51.3pt;z-index:251682816;mso-width-relative:page;mso-height-relative:page;" filled="f" stroked="f" coordsize="21600,21600" o:gfxdata="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VtB5XZ&#10;AAAACQEAAA8AAAAAAAAAAQAgAAAAIgAAAGRycy9kb3ducmV2LnhtbFBLAQIUABQAAAAIAIdO4kB2&#10;ZNEIrQEAAFEDAAAOAAAAAAAAAAEAIAAAACgBAABkcnMvZTJvRG9jLnhtbFBLBQYAAAAABgAGAFkB&#10;AABHBQAAAAA=&#10;">
                <v:fill on="f" focussize="0,0"/>
                <v:stroke on="f"/>
                <v:imagedata o:title=""/>
                <o:lock v:ext="edit" aspectratio="f"/>
                <v:textbox>
                  <w:txbxContent>
                    <w:p w14:paraId="4343FF0B">
                      <w:pPr>
                        <w:jc w:val="center"/>
                        <w:rPr>
                          <w:szCs w:val="21"/>
                        </w:rPr>
                      </w:pPr>
                      <w:r>
                        <w:rPr>
                          <w:rFonts w:hint="eastAsia"/>
                          <w:szCs w:val="21"/>
                        </w:rPr>
                        <w:t>沼气</w:t>
                      </w:r>
                    </w:p>
                  </w:txbxContent>
                </v:textbox>
              </v:rect>
            </w:pict>
          </mc:Fallback>
        </mc:AlternateContent>
      </w:r>
      <w:r>
        <w:rPr>
          <w:lang/>
        </w:rPr>
        <mc:AlternateContent>
          <mc:Choice Requires="wps">
            <w:drawing>
              <wp:anchor distT="0" distB="0" distL="114300" distR="114300" simplePos="0" relativeHeight="251699200" behindDoc="0" locked="0" layoutInCell="1" allowOverlap="1">
                <wp:simplePos x="0" y="0"/>
                <wp:positionH relativeFrom="column">
                  <wp:posOffset>4095750</wp:posOffset>
                </wp:positionH>
                <wp:positionV relativeFrom="paragraph">
                  <wp:posOffset>206375</wp:posOffset>
                </wp:positionV>
                <wp:extent cx="583565" cy="264160"/>
                <wp:effectExtent l="0" t="0" r="0" b="0"/>
                <wp:wrapNone/>
                <wp:docPr id="40" name="矩形 714"/>
                <wp:cNvGraphicFramePr/>
                <a:graphic xmlns:a="http://schemas.openxmlformats.org/drawingml/2006/main">
                  <a:graphicData uri="http://schemas.microsoft.com/office/word/2010/wordprocessingShape">
                    <wps:wsp>
                      <wps:cNvSpPr/>
                      <wps:spPr>
                        <a:xfrm>
                          <a:off x="0" y="0"/>
                          <a:ext cx="583565" cy="264160"/>
                        </a:xfrm>
                        <a:prstGeom prst="rect">
                          <a:avLst/>
                        </a:prstGeom>
                        <a:noFill/>
                        <a:ln>
                          <a:noFill/>
                        </a:ln>
                      </wps:spPr>
                      <wps:txbx>
                        <w:txbxContent>
                          <w:p w14:paraId="6AC19F36">
                            <w:pPr>
                              <w:ind w:firstLine="210" w:firstLineChars="100"/>
                              <w:rPr>
                                <w:szCs w:val="21"/>
                              </w:rPr>
                            </w:pPr>
                            <w:r>
                              <w:rPr>
                                <w:rFonts w:hint="eastAsia"/>
                                <w:szCs w:val="21"/>
                              </w:rPr>
                              <w:t>沼渣</w:t>
                            </w:r>
                          </w:p>
                        </w:txbxContent>
                      </wps:txbx>
                      <wps:bodyPr wrap="none" upright="1">
                        <a:spAutoFit/>
                      </wps:bodyPr>
                    </wps:wsp>
                  </a:graphicData>
                </a:graphic>
              </wp:anchor>
            </w:drawing>
          </mc:Choice>
          <mc:Fallback>
            <w:pict>
              <v:rect id="矩形 714" o:spid="_x0000_s1026" o:spt="1" style="position:absolute;left:0pt;margin-left:322.5pt;margin-top:16.25pt;height:20.8pt;width:45.95pt;mso-wrap-style:none;z-index:251699200;mso-width-relative:page;mso-height-relative:page;" filled="f" stroked="f" coordsize="21600,21600" o:gfxdata="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Q2bmXZAAAACQEAAA8AAAAAAAAAAQAgAAAAIgAAAGRycy9kb3ducmV2LnhtbFBLAQIU&#10;ABQAAAAIAIdO4kDBn/xpuQEAAGkDAAAOAAAAAAAAAAEAIAAAACgBAABkcnMvZTJvRG9jLnhtbFBL&#10;BQYAAAAABgAGAFkBAABTBQAAAAA=&#10;">
                <v:fill on="f" focussize="0,0"/>
                <v:stroke on="f"/>
                <v:imagedata o:title=""/>
                <o:lock v:ext="edit" aspectratio="f"/>
                <v:textbox style="mso-fit-shape-to-text:t;">
                  <w:txbxContent>
                    <w:p w14:paraId="6AC19F36">
                      <w:pPr>
                        <w:ind w:firstLine="210" w:firstLineChars="100"/>
                        <w:rPr>
                          <w:szCs w:val="21"/>
                        </w:rPr>
                      </w:pPr>
                      <w:r>
                        <w:rPr>
                          <w:rFonts w:hint="eastAsia"/>
                          <w:szCs w:val="21"/>
                        </w:rPr>
                        <w:t>沼渣</w:t>
                      </w:r>
                    </w:p>
                  </w:txbxContent>
                </v:textbox>
              </v:rect>
            </w:pict>
          </mc:Fallback>
        </mc:AlternateContent>
      </w:r>
    </w:p>
    <w:p w14:paraId="21765106">
      <w:pPr>
        <w:pStyle w:val="86"/>
        <w:ind w:firstLine="480"/>
      </w:pPr>
      <w:r>
        <w:rPr>
          <w:lang/>
        </w:rPr>
        <mc:AlternateContent>
          <mc:Choice Requires="wps">
            <w:drawing>
              <wp:anchor distT="0" distB="0" distL="114300" distR="114300" simplePos="0" relativeHeight="251706368" behindDoc="0" locked="0" layoutInCell="1" allowOverlap="1">
                <wp:simplePos x="0" y="0"/>
                <wp:positionH relativeFrom="column">
                  <wp:posOffset>761365</wp:posOffset>
                </wp:positionH>
                <wp:positionV relativeFrom="paragraph">
                  <wp:posOffset>-532130</wp:posOffset>
                </wp:positionV>
                <wp:extent cx="1234440" cy="275590"/>
                <wp:effectExtent l="5080" t="4445" r="17780" b="5715"/>
                <wp:wrapNone/>
                <wp:docPr id="47" name="矩形 716"/>
                <wp:cNvGraphicFramePr/>
                <a:graphic xmlns:a="http://schemas.openxmlformats.org/drawingml/2006/main">
                  <a:graphicData uri="http://schemas.microsoft.com/office/word/2010/wordprocessingShape">
                    <wps:wsp>
                      <wps:cNvSpPr/>
                      <wps:spPr>
                        <a:xfrm>
                          <a:off x="0" y="0"/>
                          <a:ext cx="1234440" cy="275590"/>
                        </a:xfrm>
                        <a:prstGeom prst="rect">
                          <a:avLst/>
                        </a:prstGeom>
                        <a:noFill/>
                        <a:ln w="9525" cap="flat" cmpd="sng">
                          <a:solidFill>
                            <a:srgbClr val="000000"/>
                          </a:solidFill>
                          <a:prstDash val="solid"/>
                          <a:miter/>
                          <a:headEnd type="none" w="med" len="med"/>
                          <a:tailEnd type="none" w="med" len="med"/>
                        </a:ln>
                      </wps:spPr>
                      <wps:txbx>
                        <w:txbxContent>
                          <w:p w14:paraId="04495F1F">
                            <w:pPr>
                              <w:jc w:val="center"/>
                              <w:rPr>
                                <w:szCs w:val="21"/>
                              </w:rPr>
                            </w:pPr>
                            <w:r>
                              <w:rPr>
                                <w:rFonts w:hint="eastAsia"/>
                                <w:szCs w:val="21"/>
                              </w:rPr>
                              <w:t>沼气储存柜</w:t>
                            </w:r>
                          </w:p>
                        </w:txbxContent>
                      </wps:txbx>
                      <wps:bodyPr wrap="square" upright="1"/>
                    </wps:wsp>
                  </a:graphicData>
                </a:graphic>
              </wp:anchor>
            </w:drawing>
          </mc:Choice>
          <mc:Fallback>
            <w:pict>
              <v:rect id="矩形 716" o:spid="_x0000_s1026" o:spt="1" style="position:absolute;left:0pt;margin-left:59.95pt;margin-top:-41.9pt;height:21.7pt;width:97.2pt;z-index:251706368;mso-width-relative:page;mso-height-relative:page;" filled="f" stroked="t" coordsize="21600,21600" o:gfxdata="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O8he9gAAAALAQAADwAAAAAAAAABACAAAAAi&#10;AAAAZHJzL2Rvd25yZXYueG1sUEsBAhQAFAAAAAgAh07iQOmh9NIKAgAAEQQAAA4AAAAAAAAAAQAg&#10;AAAAJwEAAGRycy9lMm9Eb2MueG1sUEsFBgAAAAAGAAYAWQEAAKMFAAAAAA==&#10;">
                <v:fill on="f" focussize="0,0"/>
                <v:stroke color="#000000" joinstyle="miter"/>
                <v:imagedata o:title=""/>
                <o:lock v:ext="edit" aspectratio="f"/>
                <v:textbox>
                  <w:txbxContent>
                    <w:p w14:paraId="04495F1F">
                      <w:pPr>
                        <w:jc w:val="center"/>
                        <w:rPr>
                          <w:szCs w:val="21"/>
                        </w:rPr>
                      </w:pPr>
                      <w:r>
                        <w:rPr>
                          <w:rFonts w:hint="eastAsia"/>
                          <w:szCs w:val="21"/>
                        </w:rPr>
                        <w:t>沼气储存柜</w:t>
                      </w:r>
                    </w:p>
                  </w:txbxContent>
                </v:textbox>
              </v:rect>
            </w:pict>
          </mc:Fallback>
        </mc:AlternateContent>
      </w:r>
      <w:r>
        <w:rPr>
          <w:lang/>
        </w:rPr>
        <mc:AlternateContent>
          <mc:Choice Requires="wps">
            <w:drawing>
              <wp:anchor distT="0" distB="0" distL="114300" distR="114300" simplePos="0" relativeHeight="251702272" behindDoc="0" locked="0" layoutInCell="1" allowOverlap="1">
                <wp:simplePos x="0" y="0"/>
                <wp:positionH relativeFrom="column">
                  <wp:posOffset>2602865</wp:posOffset>
                </wp:positionH>
                <wp:positionV relativeFrom="paragraph">
                  <wp:posOffset>531495</wp:posOffset>
                </wp:positionV>
                <wp:extent cx="1463675" cy="275590"/>
                <wp:effectExtent l="5080" t="4445" r="17145" b="5715"/>
                <wp:wrapNone/>
                <wp:docPr id="43" name="矩形 711"/>
                <wp:cNvGraphicFramePr/>
                <a:graphic xmlns:a="http://schemas.openxmlformats.org/drawingml/2006/main">
                  <a:graphicData uri="http://schemas.microsoft.com/office/word/2010/wordprocessingShape">
                    <wps:wsp>
                      <wps:cNvSpPr/>
                      <wps:spPr>
                        <a:xfrm>
                          <a:off x="0" y="0"/>
                          <a:ext cx="1463675" cy="275590"/>
                        </a:xfrm>
                        <a:prstGeom prst="rect">
                          <a:avLst/>
                        </a:prstGeom>
                        <a:noFill/>
                        <a:ln w="9525" cap="flat" cmpd="sng">
                          <a:solidFill>
                            <a:srgbClr val="000000"/>
                          </a:solidFill>
                          <a:prstDash val="solid"/>
                          <a:miter/>
                          <a:headEnd type="none" w="med" len="med"/>
                          <a:tailEnd type="none" w="med" len="med"/>
                        </a:ln>
                      </wps:spPr>
                      <wps:txbx>
                        <w:txbxContent>
                          <w:p w14:paraId="7BF4032A">
                            <w:pPr>
                              <w:jc w:val="center"/>
                              <w:rPr>
                                <w:rFonts w:hint="eastAsia"/>
                                <w:szCs w:val="21"/>
                              </w:rPr>
                            </w:pPr>
                            <w:r>
                              <w:rPr>
                                <w:rFonts w:hint="eastAsia"/>
                                <w:szCs w:val="21"/>
                              </w:rPr>
                              <w:t>沼液储存池</w:t>
                            </w:r>
                          </w:p>
                        </w:txbxContent>
                      </wps:txbx>
                      <wps:bodyPr wrap="square" upright="1"/>
                    </wps:wsp>
                  </a:graphicData>
                </a:graphic>
              </wp:anchor>
            </w:drawing>
          </mc:Choice>
          <mc:Fallback>
            <w:pict>
              <v:rect id="矩形 711" o:spid="_x0000_s1026" o:spt="1" style="position:absolute;left:0pt;margin-left:204.95pt;margin-top:41.85pt;height:21.7pt;width:115.25pt;z-index:251702272;mso-width-relative:page;mso-height-relative:page;" filled="f" stroked="t" coordsize="21600,21600" o:gfxdata="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AnGU9kAAAAKAQAADwAAAAAAAAABACAAAAAi&#10;AAAAZHJzL2Rvd25yZXYueG1sUEsBAhQAFAAAAAgAh07iQGRg3S4JAgAAEQQAAA4AAAAAAAAAAQAg&#10;AAAAKAEAAGRycy9lMm9Eb2MueG1sUEsFBgAAAAAGAAYAWQEAAKMFAAAAAA==&#10;">
                <v:fill on="f" focussize="0,0"/>
                <v:stroke color="#000000" joinstyle="miter"/>
                <v:imagedata o:title=""/>
                <o:lock v:ext="edit" aspectratio="f"/>
                <v:textbox>
                  <w:txbxContent>
                    <w:p w14:paraId="7BF4032A">
                      <w:pPr>
                        <w:jc w:val="center"/>
                        <w:rPr>
                          <w:rFonts w:hint="eastAsia"/>
                          <w:szCs w:val="21"/>
                        </w:rPr>
                      </w:pPr>
                      <w:r>
                        <w:rPr>
                          <w:rFonts w:hint="eastAsia"/>
                          <w:szCs w:val="21"/>
                        </w:rPr>
                        <w:t>沼液储存池</w:t>
                      </w:r>
                    </w:p>
                  </w:txbxContent>
                </v:textbox>
              </v:rect>
            </w:pict>
          </mc:Fallback>
        </mc:AlternateContent>
      </w:r>
      <w:r>
        <w:rPr>
          <w:lang/>
        </w:rPr>
        <mc:AlternateContent>
          <mc:Choice Requires="wps">
            <w:drawing>
              <wp:anchor distT="0" distB="0" distL="114300" distR="114300" simplePos="0" relativeHeight="251683840" behindDoc="0" locked="0" layoutInCell="1" allowOverlap="1">
                <wp:simplePos x="0" y="0"/>
                <wp:positionH relativeFrom="column">
                  <wp:posOffset>761365</wp:posOffset>
                </wp:positionH>
                <wp:positionV relativeFrom="paragraph">
                  <wp:posOffset>43180</wp:posOffset>
                </wp:positionV>
                <wp:extent cx="1234440" cy="275590"/>
                <wp:effectExtent l="5080" t="4445" r="17780" b="5715"/>
                <wp:wrapNone/>
                <wp:docPr id="25" name="矩形 716"/>
                <wp:cNvGraphicFramePr/>
                <a:graphic xmlns:a="http://schemas.openxmlformats.org/drawingml/2006/main">
                  <a:graphicData uri="http://schemas.microsoft.com/office/word/2010/wordprocessingShape">
                    <wps:wsp>
                      <wps:cNvSpPr/>
                      <wps:spPr>
                        <a:xfrm>
                          <a:off x="0" y="0"/>
                          <a:ext cx="1234440" cy="275590"/>
                        </a:xfrm>
                        <a:prstGeom prst="rect">
                          <a:avLst/>
                        </a:prstGeom>
                        <a:noFill/>
                        <a:ln w="9525" cap="flat" cmpd="sng">
                          <a:solidFill>
                            <a:srgbClr val="000000"/>
                          </a:solidFill>
                          <a:prstDash val="solid"/>
                          <a:miter/>
                          <a:headEnd type="none" w="med" len="med"/>
                          <a:tailEnd type="none" w="med" len="med"/>
                        </a:ln>
                      </wps:spPr>
                      <wps:txbx>
                        <w:txbxContent>
                          <w:p w14:paraId="44C47527">
                            <w:pPr>
                              <w:jc w:val="center"/>
                              <w:rPr>
                                <w:szCs w:val="21"/>
                              </w:rPr>
                            </w:pPr>
                            <w:r>
                              <w:rPr>
                                <w:rFonts w:hint="eastAsia"/>
                                <w:szCs w:val="21"/>
                              </w:rPr>
                              <w:t>沼气净化</w:t>
                            </w:r>
                          </w:p>
                        </w:txbxContent>
                      </wps:txbx>
                      <wps:bodyPr wrap="square" upright="1"/>
                    </wps:wsp>
                  </a:graphicData>
                </a:graphic>
              </wp:anchor>
            </w:drawing>
          </mc:Choice>
          <mc:Fallback>
            <w:pict>
              <v:rect id="矩形 716" o:spid="_x0000_s1026" o:spt="1" style="position:absolute;left:0pt;margin-left:59.95pt;margin-top:3.4pt;height:21.7pt;width:97.2pt;z-index:251683840;mso-width-relative:page;mso-height-relative:page;" filled="f" stroked="t" coordsize="21600,21600" o:gfxdata="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eYF+9YAAAAIAQAADwAAAAAAAAABACAAAAAiAAAA&#10;ZHJzL2Rvd25yZXYueG1sUEsBAhQAFAAAAAgAh07iQHDS+ywJAgAAEQQAAA4AAAAAAAAAAQAgAAAA&#10;JQEAAGRycy9lMm9Eb2MueG1sUEsFBgAAAAAGAAYAWQEAAKAFAAAAAA==&#10;">
                <v:fill on="f" focussize="0,0"/>
                <v:stroke color="#000000" joinstyle="miter"/>
                <v:imagedata o:title=""/>
                <o:lock v:ext="edit" aspectratio="f"/>
                <v:textbox>
                  <w:txbxContent>
                    <w:p w14:paraId="44C47527">
                      <w:pPr>
                        <w:jc w:val="center"/>
                        <w:rPr>
                          <w:szCs w:val="21"/>
                        </w:rPr>
                      </w:pPr>
                      <w:r>
                        <w:rPr>
                          <w:rFonts w:hint="eastAsia"/>
                          <w:szCs w:val="21"/>
                        </w:rPr>
                        <w:t>沼气净化</w:t>
                      </w:r>
                    </w:p>
                  </w:txbxContent>
                </v:textbox>
              </v:rect>
            </w:pict>
          </mc:Fallback>
        </mc:AlternateContent>
      </w:r>
      <w:r>
        <w:rPr>
          <w:lang/>
        </w:rPr>
        <mc:AlternateContent>
          <mc:Choice Requires="wps">
            <w:drawing>
              <wp:anchor distT="0" distB="0" distL="114300" distR="114300" simplePos="0" relativeHeight="251686912" behindDoc="0" locked="0" layoutInCell="1" allowOverlap="1">
                <wp:simplePos x="0" y="0"/>
                <wp:positionH relativeFrom="column">
                  <wp:posOffset>1989455</wp:posOffset>
                </wp:positionH>
                <wp:positionV relativeFrom="paragraph">
                  <wp:posOffset>185420</wp:posOffset>
                </wp:positionV>
                <wp:extent cx="655955" cy="635"/>
                <wp:effectExtent l="0" t="38100" r="10795" b="37465"/>
                <wp:wrapNone/>
                <wp:docPr id="28" name="直线 395"/>
                <wp:cNvGraphicFramePr/>
                <a:graphic xmlns:a="http://schemas.openxmlformats.org/drawingml/2006/main">
                  <a:graphicData uri="http://schemas.microsoft.com/office/word/2010/wordprocessingShape">
                    <wps:wsp>
                      <wps:cNvSpPr/>
                      <wps:spPr>
                        <a:xfrm>
                          <a:off x="0" y="0"/>
                          <a:ext cx="655955" cy="63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395" o:spid="_x0000_s1026" o:spt="20" style="position:absolute;left:0pt;margin-left:156.65pt;margin-top:14.6pt;height:0.05pt;width:51.65pt;z-index:251686912;mso-width-relative:page;mso-height-relative:page;" filled="f" stroked="t" coordsize="21600,21600" o:gfxdata="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2lujdoAAAAJAQAADwAAAAAAAAABACAAAAAiAAAAZHJzL2Rvd25yZXYueG1sUEsB&#10;AhQAFAAAAAgAh07iQKzm+cvzAQAA4wMAAA4AAAAAAAAAAQAgAAAAKQEAAGRycy9lMm9Eb2MueG1s&#10;UEsFBgAAAAAGAAYAWQEAAI4FAAAAAA==&#10;">
                <v:fill on="f" focussize="0,0"/>
                <v:stroke color="#000000" joinstyle="round" startarrow="block"/>
                <v:imagedata o:title=""/>
                <o:lock v:ext="edit" aspectratio="f"/>
              </v:line>
            </w:pict>
          </mc:Fallback>
        </mc:AlternateContent>
      </w:r>
      <w:r>
        <w:rPr>
          <w:lang/>
        </w:rPr>
        <mc:AlternateContent>
          <mc:Choice Requires="wps">
            <w:drawing>
              <wp:anchor distT="0" distB="0" distL="114300" distR="114300" simplePos="0" relativeHeight="251669504" behindDoc="0" locked="0" layoutInCell="1" allowOverlap="1">
                <wp:simplePos x="0" y="0"/>
                <wp:positionH relativeFrom="column">
                  <wp:posOffset>4106545</wp:posOffset>
                </wp:positionH>
                <wp:positionV relativeFrom="paragraph">
                  <wp:posOffset>186055</wp:posOffset>
                </wp:positionV>
                <wp:extent cx="760730" cy="635"/>
                <wp:effectExtent l="0" t="37465" r="1270" b="38100"/>
                <wp:wrapNone/>
                <wp:docPr id="11" name="直线 697"/>
                <wp:cNvGraphicFramePr/>
                <a:graphic xmlns:a="http://schemas.openxmlformats.org/drawingml/2006/main">
                  <a:graphicData uri="http://schemas.microsoft.com/office/word/2010/wordprocessingShape">
                    <wps:wsp>
                      <wps:cNvSpPr/>
                      <wps:spPr>
                        <a:xfrm>
                          <a:off x="0" y="0"/>
                          <a:ext cx="760730" cy="63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97" o:spid="_x0000_s1026" o:spt="20" style="position:absolute;left:0pt;margin-left:323.35pt;margin-top:14.65pt;height:0.05pt;width:59.9pt;z-index:251669504;mso-width-relative:page;mso-height-relative:page;" filled="f" stroked="t" coordsize="21600,21600" o:gfxdata="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8xgv/ZAAAACQEAAA8AAAAAAAAAAQAgAAAAIgAAAGRycy9kb3ducmV2LnhtbFBLAQIU&#10;ABQAAAAIAIdO4kA3xeZ98gEAAOIDAAAOAAAAAAAAAAEAIAAAACgBAABkcnMvZTJvRG9jLnhtbFBL&#10;BQYAAAAABgAGAFkBAACMBQAAAAA=&#10;">
                <v:fill on="f" focussize="0,0"/>
                <v:stroke color="#000000" joinstyle="round" dashstyle="dash" endarrow="block"/>
                <v:imagedata o:title=""/>
                <o:lock v:ext="edit" aspectratio="f"/>
              </v:line>
            </w:pict>
          </mc:Fallback>
        </mc:AlternateContent>
      </w:r>
      <w:r>
        <w:rPr>
          <w:lang/>
        </w:rPr>
        <mc:AlternateContent>
          <mc:Choice Requires="wps">
            <w:drawing>
              <wp:anchor distT="0" distB="0" distL="114300" distR="114300" simplePos="0" relativeHeight="251677696" behindDoc="0" locked="0" layoutInCell="1" allowOverlap="1">
                <wp:simplePos x="0" y="0"/>
                <wp:positionH relativeFrom="column">
                  <wp:posOffset>2647315</wp:posOffset>
                </wp:positionH>
                <wp:positionV relativeFrom="paragraph">
                  <wp:posOffset>43180</wp:posOffset>
                </wp:positionV>
                <wp:extent cx="1463675" cy="275590"/>
                <wp:effectExtent l="5080" t="4445" r="17145" b="5715"/>
                <wp:wrapNone/>
                <wp:docPr id="19" name="矩形 711"/>
                <wp:cNvGraphicFramePr/>
                <a:graphic xmlns:a="http://schemas.openxmlformats.org/drawingml/2006/main">
                  <a:graphicData uri="http://schemas.microsoft.com/office/word/2010/wordprocessingShape">
                    <wps:wsp>
                      <wps:cNvSpPr/>
                      <wps:spPr>
                        <a:xfrm>
                          <a:off x="0" y="0"/>
                          <a:ext cx="1463675" cy="275590"/>
                        </a:xfrm>
                        <a:prstGeom prst="rect">
                          <a:avLst/>
                        </a:prstGeom>
                        <a:noFill/>
                        <a:ln w="9525" cap="flat" cmpd="sng">
                          <a:solidFill>
                            <a:srgbClr val="000000"/>
                          </a:solidFill>
                          <a:prstDash val="solid"/>
                          <a:miter/>
                          <a:headEnd type="none" w="med" len="med"/>
                          <a:tailEnd type="none" w="med" len="med"/>
                        </a:ln>
                      </wps:spPr>
                      <wps:txbx>
                        <w:txbxContent>
                          <w:p w14:paraId="00E546C3">
                            <w:pPr>
                              <w:jc w:val="center"/>
                              <w:rPr>
                                <w:rFonts w:hint="eastAsia"/>
                                <w:szCs w:val="21"/>
                              </w:rPr>
                            </w:pPr>
                            <w:r>
                              <w:rPr>
                                <w:rFonts w:hint="eastAsia"/>
                                <w:szCs w:val="21"/>
                              </w:rPr>
                              <w:t>UASB反应池</w:t>
                            </w:r>
                          </w:p>
                        </w:txbxContent>
                      </wps:txbx>
                      <wps:bodyPr wrap="square" upright="1"/>
                    </wps:wsp>
                  </a:graphicData>
                </a:graphic>
              </wp:anchor>
            </w:drawing>
          </mc:Choice>
          <mc:Fallback>
            <w:pict>
              <v:rect id="矩形 711" o:spid="_x0000_s1026" o:spt="1" style="position:absolute;left:0pt;margin-left:208.45pt;margin-top:3.4pt;height:21.7pt;width:115.25pt;z-index:251677696;mso-width-relative:page;mso-height-relative:page;" filled="f" stroked="t" coordsize="21600,21600" o:gfxdata="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Ozy1dcAAAAIAQAADwAAAAAAAAABACAAAAAiAAAA&#10;ZHJzL2Rvd25yZXYueG1sUEsBAhQAFAAAAAgAh07iQAQ31CgIAgAAEQQAAA4AAAAAAAAAAQAgAAAA&#10;JgEAAGRycy9lMm9Eb2MueG1sUEsFBgAAAAAGAAYAWQEAAKAFAAAAAA==&#10;">
                <v:fill on="f" focussize="0,0"/>
                <v:stroke color="#000000" joinstyle="miter"/>
                <v:imagedata o:title=""/>
                <o:lock v:ext="edit" aspectratio="f"/>
                <v:textbox>
                  <w:txbxContent>
                    <w:p w14:paraId="00E546C3">
                      <w:pPr>
                        <w:jc w:val="center"/>
                        <w:rPr>
                          <w:rFonts w:hint="eastAsia"/>
                          <w:szCs w:val="21"/>
                        </w:rPr>
                      </w:pPr>
                      <w:r>
                        <w:rPr>
                          <w:rFonts w:hint="eastAsia"/>
                          <w:szCs w:val="21"/>
                        </w:rPr>
                        <w:t>UASB反应池</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2358390</wp:posOffset>
                </wp:positionH>
                <wp:positionV relativeFrom="paragraph">
                  <wp:posOffset>-87862410</wp:posOffset>
                </wp:positionV>
                <wp:extent cx="1434465" cy="1270"/>
                <wp:effectExtent l="0" t="36830" r="13335" b="38100"/>
                <wp:wrapNone/>
                <wp:docPr id="8" name="自选图形 744"/>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4" o:spid="_x0000_s1026" o:spt="32" type="#_x0000_t32" style="position:absolute;left:0pt;flip:x;margin-left:185.7pt;margin-top:-6918.3pt;height:0.1pt;width:112.95pt;z-index:251666432;mso-width-relative:page;mso-height-relative:page;" filled="f" stroked="t" coordsize="21600,21600" o:gfxdata="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tu6694AAAARAQAADwAAAAAAAAAB&#10;ACAAAAAiAAAAZHJzL2Rvd25yZXYueG1sUEsBAhQAFAAAAAgAh07iQD4Nds8KAgAA9gMAAA4AAAAA&#10;AAAAAQAgAAAALQ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2358390</wp:posOffset>
                </wp:positionH>
                <wp:positionV relativeFrom="paragraph">
                  <wp:posOffset>-87862410</wp:posOffset>
                </wp:positionV>
                <wp:extent cx="1434465" cy="1270"/>
                <wp:effectExtent l="0" t="36830" r="13335" b="38100"/>
                <wp:wrapNone/>
                <wp:docPr id="4" name="自选图形 741"/>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41" o:spid="_x0000_s1026" o:spt="32" type="#_x0000_t32" style="position:absolute;left:0pt;flip:x;margin-left:185.7pt;margin-top:-6918.3pt;height:0.1pt;width:112.95pt;z-index:251662336;mso-width-relative:page;mso-height-relative:page;" filled="f" stroked="t" coordsize="21600,21600" o:gfxdata="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Ed/9NkAAAARAQAADwAAAAAAAAABACAAAAAi&#10;AAAAZHJzL2Rvd25yZXYueG1sUEsBAhQAFAAAAAgAh07iQEHAau8JAgAA9QMAAA4AAAAAAAAAAQAg&#10;AAAAKAEAAGRycy9lMm9Eb2MueG1sUEsFBgAAAAAGAAYAWQEAAKMFA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2358390</wp:posOffset>
                </wp:positionH>
                <wp:positionV relativeFrom="paragraph">
                  <wp:posOffset>-87862410</wp:posOffset>
                </wp:positionV>
                <wp:extent cx="1434465" cy="1270"/>
                <wp:effectExtent l="0" t="36830" r="13335" b="38100"/>
                <wp:wrapNone/>
                <wp:docPr id="3" name="自选图形 740"/>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dashDot"/>
                          <a:headEnd type="none" w="med" len="med"/>
                          <a:tailEnd type="triangle" w="med" len="med"/>
                        </a:ln>
                      </wps:spPr>
                      <wps:bodyPr/>
                    </wps:wsp>
                  </a:graphicData>
                </a:graphic>
              </wp:anchor>
            </w:drawing>
          </mc:Choice>
          <mc:Fallback>
            <w:pict>
              <v:shape id="自选图形 740" o:spid="_x0000_s1026" o:spt="32" type="#_x0000_t32" style="position:absolute;left:0pt;flip:x;margin-left:185.7pt;margin-top:-6918.3pt;height:0.1pt;width:112.95pt;z-index:251661312;mso-width-relative:page;mso-height-relative:page;" filled="f" stroked="t" coordsize="21600,21600" o:gfxdata="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eVYlrcAAAAEQEAAA8AAAAAAAAAAQAg&#10;AAAAIgAAAGRycy9kb3ducmV2LnhtbFBLAQIUABQAAAAIAIdO4kBVBU/JCgIAAPgDAAAOAAAAAAAA&#10;AAEAIAAAACsBAABkcnMvZTJvRG9jLnhtbFBLBQYAAAAABgAGAFkBAACnBQAAAAA=&#10;">
                <v:fill on="f" focussize="0,0"/>
                <v:stroke color="#000000" joinstyle="round" dashstyle="dashDot" endarrow="block"/>
                <v:imagedata o:title=""/>
                <o:lock v:ext="edit" aspectratio="f"/>
              </v:shape>
            </w:pict>
          </mc:Fallback>
        </mc:AlternateContent>
      </w:r>
    </w:p>
    <w:p w14:paraId="4F3D4AC0">
      <w:pPr>
        <w:pStyle w:val="86"/>
        <w:ind w:firstLine="480"/>
      </w:pPr>
      <w:r>
        <w:rPr>
          <w:lang/>
        </w:rPr>
        <mc:AlternateContent>
          <mc:Choice Requires="wps">
            <w:drawing>
              <wp:anchor distT="0" distB="0" distL="114300" distR="114300" simplePos="0" relativeHeight="251687936" behindDoc="0" locked="0" layoutInCell="1" allowOverlap="1">
                <wp:simplePos x="0" y="0"/>
                <wp:positionH relativeFrom="column">
                  <wp:posOffset>1371600</wp:posOffset>
                </wp:positionH>
                <wp:positionV relativeFrom="paragraph">
                  <wp:posOffset>76200</wp:posOffset>
                </wp:positionV>
                <wp:extent cx="635" cy="497840"/>
                <wp:effectExtent l="37465" t="0" r="38100" b="16510"/>
                <wp:wrapNone/>
                <wp:docPr id="29" name="直线 396"/>
                <wp:cNvGraphicFramePr/>
                <a:graphic xmlns:a="http://schemas.openxmlformats.org/drawingml/2006/main">
                  <a:graphicData uri="http://schemas.microsoft.com/office/word/2010/wordprocessingShape">
                    <wps:wsp>
                      <wps:cNvSpPr/>
                      <wps:spPr>
                        <a:xfrm>
                          <a:off x="0" y="0"/>
                          <a:ext cx="635" cy="497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6" o:spid="_x0000_s1026" o:spt="20" style="position:absolute;left:0pt;margin-left:108pt;margin-top:6pt;height:39.2pt;width:0.05pt;z-index:251687936;mso-width-relative:page;mso-height-relative:page;" filled="f" stroked="t" coordsize="21600,21600" o:gfxdata="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p9OV2AAAAAkBAAAPAAAAAAAAAAEAIAAAACIAAABkcnMvZG93bnJldi54bWxQSwEC&#10;FAAUAAAACACHTuJAARftLPQBAADjAwAADgAAAAAAAAABACAAAAAnAQAAZHJzL2Uyb0RvYy54bWxQ&#10;SwUGAAAAAAYABgBZAQAAjQUAAAAA&#10;">
                <v:fill on="f" focussize="0,0"/>
                <v:stroke color="#000000" joinstyle="round" endarrow="block"/>
                <v:imagedata o:title=""/>
                <o:lock v:ext="edit" aspectratio="f"/>
              </v:line>
            </w:pict>
          </mc:Fallback>
        </mc:AlternateContent>
      </w:r>
      <w:r>
        <w:rPr>
          <w:lang/>
        </w:rPr>
        <mc:AlternateContent>
          <mc:Choice Requires="wps">
            <w:drawing>
              <wp:anchor distT="0" distB="0" distL="114300" distR="114300" simplePos="0" relativeHeight="251679744" behindDoc="0" locked="0" layoutInCell="1" allowOverlap="1">
                <wp:simplePos x="0" y="0"/>
                <wp:positionH relativeFrom="column">
                  <wp:posOffset>3180080</wp:posOffset>
                </wp:positionH>
                <wp:positionV relativeFrom="paragraph">
                  <wp:posOffset>34290</wp:posOffset>
                </wp:positionV>
                <wp:extent cx="583565" cy="264160"/>
                <wp:effectExtent l="0" t="0" r="0" b="0"/>
                <wp:wrapNone/>
                <wp:docPr id="21" name="矩形 714"/>
                <wp:cNvGraphicFramePr/>
                <a:graphic xmlns:a="http://schemas.openxmlformats.org/drawingml/2006/main">
                  <a:graphicData uri="http://schemas.microsoft.com/office/word/2010/wordprocessingShape">
                    <wps:wsp>
                      <wps:cNvSpPr/>
                      <wps:spPr>
                        <a:xfrm>
                          <a:off x="0" y="0"/>
                          <a:ext cx="583565" cy="264160"/>
                        </a:xfrm>
                        <a:prstGeom prst="rect">
                          <a:avLst/>
                        </a:prstGeom>
                        <a:noFill/>
                        <a:ln>
                          <a:noFill/>
                        </a:ln>
                      </wps:spPr>
                      <wps:txbx>
                        <w:txbxContent>
                          <w:p w14:paraId="70FE48F9">
                            <w:pPr>
                              <w:ind w:firstLine="210" w:firstLineChars="100"/>
                              <w:rPr>
                                <w:szCs w:val="21"/>
                              </w:rPr>
                            </w:pPr>
                            <w:r>
                              <w:rPr>
                                <w:rFonts w:hint="eastAsia"/>
                                <w:szCs w:val="21"/>
                              </w:rPr>
                              <w:t>沼液</w:t>
                            </w:r>
                          </w:p>
                        </w:txbxContent>
                      </wps:txbx>
                      <wps:bodyPr wrap="none" upright="1">
                        <a:spAutoFit/>
                      </wps:bodyPr>
                    </wps:wsp>
                  </a:graphicData>
                </a:graphic>
              </wp:anchor>
            </w:drawing>
          </mc:Choice>
          <mc:Fallback>
            <w:pict>
              <v:rect id="矩形 714" o:spid="_x0000_s1026" o:spt="1" style="position:absolute;left:0pt;margin-left:250.4pt;margin-top:2.7pt;height:20.8pt;width:45.95pt;mso-wrap-style:none;z-index:251679744;mso-width-relative:page;mso-height-relative:page;" filled="f" stroked="f" coordsize="21600,21600" o:gfxdata="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Yt2UvWAAAACAEAAA8AAAAAAAAAAQAgAAAAIgAAAGRycy9kb3ducmV2LnhtbFBLAQIUABQA&#10;AAAIAIdO4kCyCpt9uQEAAGkDAAAOAAAAAAAAAAEAIAAAACUBAABkcnMvZTJvRG9jLnhtbFBLBQYA&#10;AAAABgAGAFkBAABQBQAAAAA=&#10;">
                <v:fill on="f" focussize="0,0"/>
                <v:stroke on="f"/>
                <v:imagedata o:title=""/>
                <o:lock v:ext="edit" aspectratio="f"/>
                <v:textbox style="mso-fit-shape-to-text:t;">
                  <w:txbxContent>
                    <w:p w14:paraId="70FE48F9">
                      <w:pPr>
                        <w:ind w:firstLine="210" w:firstLineChars="100"/>
                        <w:rPr>
                          <w:szCs w:val="21"/>
                        </w:rPr>
                      </w:pPr>
                      <w:r>
                        <w:rPr>
                          <w:rFonts w:hint="eastAsia"/>
                          <w:szCs w:val="21"/>
                        </w:rPr>
                        <w:t>沼液</w:t>
                      </w:r>
                    </w:p>
                  </w:txbxContent>
                </v:textbox>
              </v:rect>
            </w:pict>
          </mc:Fallback>
        </mc:AlternateContent>
      </w:r>
      <w:r>
        <w:rPr>
          <w:lang/>
        </w:rPr>
        <mc:AlternateContent>
          <mc:Choice Requires="wps">
            <w:drawing>
              <wp:anchor distT="0" distB="0" distL="114300" distR="114300" simplePos="0" relativeHeight="251678720" behindDoc="0" locked="0" layoutInCell="1" allowOverlap="1">
                <wp:simplePos x="0" y="0"/>
                <wp:positionH relativeFrom="column">
                  <wp:posOffset>3342640</wp:posOffset>
                </wp:positionH>
                <wp:positionV relativeFrom="paragraph">
                  <wp:posOffset>67310</wp:posOffset>
                </wp:positionV>
                <wp:extent cx="0" cy="212725"/>
                <wp:effectExtent l="38100" t="0" r="38100" b="15875"/>
                <wp:wrapNone/>
                <wp:docPr id="20" name="直线 709"/>
                <wp:cNvGraphicFramePr/>
                <a:graphic xmlns:a="http://schemas.openxmlformats.org/drawingml/2006/main">
                  <a:graphicData uri="http://schemas.microsoft.com/office/word/2010/wordprocessingShape">
                    <wps:wsp>
                      <wps:cNvSpPr/>
                      <wps:spPr>
                        <a:xfrm>
                          <a:off x="0" y="0"/>
                          <a:ext cx="0" cy="212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263.2pt;margin-top:5.3pt;height:16.75pt;width:0pt;z-index:251678720;mso-width-relative:page;mso-height-relative:page;" filled="f" stroked="t" coordsize="21600,21600" o:gfxdata="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Vk3rNgAAAAJAQAADwAAAAAAAAABACAAAAAiAAAAZHJzL2Rvd25yZXYueG1sUEsBAhQAFAAAAAgA&#10;h07iQHryzS3sAQAA4QMAAA4AAAAAAAAAAQAgAAAAJwEAAGRycy9lMm9Eb2MueG1sUEsFBgAAAAAG&#10;AAYAWQEAAIUFAAAAAA==&#10;">
                <v:fill on="f" focussize="0,0"/>
                <v:stroke color="#000000" joinstyle="round" endarrow="block"/>
                <v:imagedata o:title=""/>
                <o:lock v:ext="edit" aspectratio="f"/>
              </v:line>
            </w:pict>
          </mc:Fallback>
        </mc:AlternateContent>
      </w:r>
    </w:p>
    <w:p w14:paraId="49F873E9">
      <w:pPr>
        <w:spacing w:line="500" w:lineRule="exact"/>
        <w:rPr>
          <w:sz w:val="24"/>
        </w:rPr>
      </w:pPr>
      <w:r>
        <mc:AlternateContent>
          <mc:Choice Requires="wps">
            <w:drawing>
              <wp:anchor distT="0" distB="0" distL="114300" distR="114300" simplePos="0" relativeHeight="251803648" behindDoc="0" locked="0" layoutInCell="1" allowOverlap="1">
                <wp:simplePos x="0" y="0"/>
                <wp:positionH relativeFrom="column">
                  <wp:posOffset>3552825</wp:posOffset>
                </wp:positionH>
                <wp:positionV relativeFrom="paragraph">
                  <wp:posOffset>266700</wp:posOffset>
                </wp:positionV>
                <wp:extent cx="2143125" cy="580390"/>
                <wp:effectExtent l="0" t="0" r="0" b="0"/>
                <wp:wrapNone/>
                <wp:docPr id="169" name="矩形 743"/>
                <wp:cNvGraphicFramePr/>
                <a:graphic xmlns:a="http://schemas.openxmlformats.org/drawingml/2006/main">
                  <a:graphicData uri="http://schemas.microsoft.com/office/word/2010/wordprocessingShape">
                    <wps:wsp>
                      <wps:cNvSpPr/>
                      <wps:spPr>
                        <a:xfrm>
                          <a:off x="0" y="0"/>
                          <a:ext cx="2143125" cy="580390"/>
                        </a:xfrm>
                        <a:prstGeom prst="rect">
                          <a:avLst/>
                        </a:prstGeom>
                        <a:noFill/>
                        <a:ln>
                          <a:noFill/>
                        </a:ln>
                      </wps:spPr>
                      <wps:txbx>
                        <w:txbxContent>
                          <w:p w14:paraId="6733BBF7">
                            <w:pPr>
                              <w:rPr>
                                <w:rFonts w:hint="eastAsia"/>
                                <w:szCs w:val="21"/>
                              </w:rPr>
                            </w:pPr>
                            <w:r>
                              <w:rPr>
                                <w:rFonts w:hint="eastAsia"/>
                                <w:szCs w:val="21"/>
                              </w:rPr>
                              <w:t>沼液罐车运送至苹果园处污水处理系统</w:t>
                            </w:r>
                          </w:p>
                          <w:p w14:paraId="58E6183F"/>
                        </w:txbxContent>
                      </wps:txbx>
                      <wps:bodyPr wrap="square" upright="1"/>
                    </wps:wsp>
                  </a:graphicData>
                </a:graphic>
              </wp:anchor>
            </w:drawing>
          </mc:Choice>
          <mc:Fallback>
            <w:pict>
              <v:rect id="矩形 743" o:spid="_x0000_s1026" o:spt="1" style="position:absolute;left:0pt;margin-left:279.75pt;margin-top:21pt;height:45.7pt;width:168.75pt;z-index:251803648;mso-width-relative:page;mso-height-relative:page;" filled="f" stroked="f" coordsize="21600,21600" o:gfxdata="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4H81bbAAAACgEAAA8AAAAAAAAAAQAgAAAAIgAAAGRycy9kb3ducmV2LnhtbFBLAQIUABQAAAAI&#10;AIdO4kCHiEbXsQEAAFMDAAAOAAAAAAAAAAEAIAAAACoBAABkcnMvZTJvRG9jLnhtbFBLBQYAAAAA&#10;BgAGAFkBAABNBQAAAAA=&#10;">
                <v:fill on="f" focussize="0,0"/>
                <v:stroke on="f"/>
                <v:imagedata o:title=""/>
                <o:lock v:ext="edit" aspectratio="f"/>
                <v:textbox>
                  <w:txbxContent>
                    <w:p w14:paraId="6733BBF7">
                      <w:pPr>
                        <w:rPr>
                          <w:rFonts w:hint="eastAsia"/>
                          <w:szCs w:val="21"/>
                        </w:rPr>
                      </w:pPr>
                      <w:r>
                        <w:rPr>
                          <w:rFonts w:hint="eastAsia"/>
                          <w:szCs w:val="21"/>
                        </w:rPr>
                        <w:t>沼液罐车运送至苹果园处污水处理系统</w:t>
                      </w:r>
                    </w:p>
                    <w:p w14:paraId="58E6183F"/>
                  </w:txbxContent>
                </v:textbox>
              </v:rect>
            </w:pict>
          </mc:Fallback>
        </mc:AlternateContent>
      </w:r>
      <w:r>
        <w:rPr>
          <w:lang/>
        </w:rPr>
        <mc:AlternateContent>
          <mc:Choice Requires="wps">
            <w:drawing>
              <wp:anchor distT="0" distB="0" distL="114300" distR="114300" simplePos="0" relativeHeight="251705344" behindDoc="0" locked="0" layoutInCell="1" allowOverlap="1">
                <wp:simplePos x="0" y="0"/>
                <wp:positionH relativeFrom="column">
                  <wp:posOffset>3230880</wp:posOffset>
                </wp:positionH>
                <wp:positionV relativeFrom="paragraph">
                  <wp:posOffset>302260</wp:posOffset>
                </wp:positionV>
                <wp:extent cx="297815" cy="244475"/>
                <wp:effectExtent l="0" t="0" r="0" b="0"/>
                <wp:wrapNone/>
                <wp:docPr id="46" name="矩形 714"/>
                <wp:cNvGraphicFramePr/>
                <a:graphic xmlns:a="http://schemas.openxmlformats.org/drawingml/2006/main">
                  <a:graphicData uri="http://schemas.microsoft.com/office/word/2010/wordprocessingShape">
                    <wps:wsp>
                      <wps:cNvSpPr/>
                      <wps:spPr>
                        <a:xfrm>
                          <a:off x="0" y="0"/>
                          <a:ext cx="297815" cy="244475"/>
                        </a:xfrm>
                        <a:prstGeom prst="rect">
                          <a:avLst/>
                        </a:prstGeom>
                        <a:noFill/>
                        <a:ln>
                          <a:noFill/>
                        </a:ln>
                      </wps:spPr>
                      <wps:txbx>
                        <w:txbxContent>
                          <w:p w14:paraId="01E938D0"/>
                        </w:txbxContent>
                      </wps:txbx>
                      <wps:bodyPr wrap="none" upright="1">
                        <a:spAutoFit/>
                      </wps:bodyPr>
                    </wps:wsp>
                  </a:graphicData>
                </a:graphic>
              </wp:anchor>
            </w:drawing>
          </mc:Choice>
          <mc:Fallback>
            <w:pict>
              <v:rect id="矩形 714" o:spid="_x0000_s1026" o:spt="1" style="position:absolute;left:0pt;margin-left:254.4pt;margin-top:23.8pt;height:19.25pt;width:23.45pt;mso-wrap-style:none;z-index:251705344;mso-width-relative:page;mso-height-relative:page;" filled="f" stroked="f" coordsize="21600,21600" o:gfxdata="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8Fyj1wAAAAkBAAAPAAAAAAAAAAEAIAAAACIAAABkcnMvZG93bnJldi54bWxQSwECFAAU&#10;AAAACACHTuJAU00S7LkBAABpAwAADgAAAAAAAAABACAAAAAmAQAAZHJzL2Uyb0RvYy54bWxQSwUG&#10;AAAAAAYABgBZAQAAUQUAAAAA&#10;">
                <v:fill on="f" focussize="0,0"/>
                <v:stroke on="f"/>
                <v:imagedata o:title=""/>
                <o:lock v:ext="edit" aspectratio="f"/>
                <v:textbox style="mso-fit-shape-to-text:t;">
                  <w:txbxContent>
                    <w:p w14:paraId="01E938D0"/>
                  </w:txbxContent>
                </v:textbox>
              </v:rect>
            </w:pict>
          </mc:Fallback>
        </mc:AlternateContent>
      </w:r>
      <w:r>
        <w:rPr>
          <w:sz w:val="24"/>
          <w:lang/>
        </w:rPr>
        <mc:AlternateContent>
          <mc:Choice Requires="wps">
            <w:drawing>
              <wp:anchor distT="0" distB="0" distL="114300" distR="114300" simplePos="0" relativeHeight="251711488" behindDoc="0" locked="0" layoutInCell="1" allowOverlap="1">
                <wp:simplePos x="0" y="0"/>
                <wp:positionH relativeFrom="column">
                  <wp:posOffset>4370705</wp:posOffset>
                </wp:positionH>
                <wp:positionV relativeFrom="paragraph">
                  <wp:posOffset>9525</wp:posOffset>
                </wp:positionV>
                <wp:extent cx="487680" cy="261620"/>
                <wp:effectExtent l="0" t="0" r="0" b="0"/>
                <wp:wrapNone/>
                <wp:docPr id="52" name="矩形 743"/>
                <wp:cNvGraphicFramePr/>
                <a:graphic xmlns:a="http://schemas.openxmlformats.org/drawingml/2006/main">
                  <a:graphicData uri="http://schemas.microsoft.com/office/word/2010/wordprocessingShape">
                    <wps:wsp>
                      <wps:cNvSpPr/>
                      <wps:spPr>
                        <a:xfrm>
                          <a:off x="0" y="0"/>
                          <a:ext cx="487680" cy="261620"/>
                        </a:xfrm>
                        <a:prstGeom prst="rect">
                          <a:avLst/>
                        </a:prstGeom>
                        <a:noFill/>
                        <a:ln>
                          <a:noFill/>
                        </a:ln>
                      </wps:spPr>
                      <wps:txbx>
                        <w:txbxContent>
                          <w:p w14:paraId="22E4C361">
                            <w:pPr>
                              <w:rPr>
                                <w:szCs w:val="21"/>
                              </w:rPr>
                            </w:pPr>
                            <w:r>
                              <w:rPr>
                                <w:rFonts w:hint="eastAsia"/>
                                <w:szCs w:val="21"/>
                              </w:rPr>
                              <w:t>恶臭</w:t>
                            </w:r>
                          </w:p>
                        </w:txbxContent>
                      </wps:txbx>
                      <wps:bodyPr wrap="square" upright="1"/>
                    </wps:wsp>
                  </a:graphicData>
                </a:graphic>
              </wp:anchor>
            </w:drawing>
          </mc:Choice>
          <mc:Fallback>
            <w:pict>
              <v:rect id="矩形 743" o:spid="_x0000_s1026" o:spt="1" style="position:absolute;left:0pt;margin-left:344.15pt;margin-top:0.75pt;height:20.6pt;width:38.4pt;z-index:251711488;mso-width-relative:page;mso-height-relative:page;" filled="f" stroked="f" coordsize="21600,21600" o:gfxdata="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yRnM&#10;2QAAAAgBAAAPAAAAAAAAAAEAIAAAACIAAABkcnMvZG93bnJldi54bWxQSwECFAAUAAAACACHTuJA&#10;yAJlOa4BAABRAwAADgAAAAAAAAABACAAAAAoAQAAZHJzL2Uyb0RvYy54bWxQSwUGAAAAAAYABgBZ&#10;AQAASAUAAAAA&#10;">
                <v:fill on="f" focussize="0,0"/>
                <v:stroke on="f"/>
                <v:imagedata o:title=""/>
                <o:lock v:ext="edit" aspectratio="f"/>
                <v:textbox>
                  <w:txbxContent>
                    <w:p w14:paraId="22E4C361">
                      <w:pPr>
                        <w:rPr>
                          <w:szCs w:val="21"/>
                        </w:rPr>
                      </w:pPr>
                      <w:r>
                        <w:rPr>
                          <w:rFonts w:hint="eastAsia"/>
                          <w:szCs w:val="21"/>
                        </w:rPr>
                        <w:t>恶臭</w:t>
                      </w:r>
                    </w:p>
                  </w:txbxContent>
                </v:textbox>
              </v:rect>
            </w:pict>
          </mc:Fallback>
        </mc:AlternateContent>
      </w:r>
      <w:r>
        <w:rPr>
          <w:lang/>
        </w:rPr>
        <mc:AlternateContent>
          <mc:Choice Requires="wps">
            <w:drawing>
              <wp:anchor distT="0" distB="0" distL="114300" distR="114300" simplePos="0" relativeHeight="251703296" behindDoc="0" locked="0" layoutInCell="1" allowOverlap="1">
                <wp:simplePos x="0" y="0"/>
                <wp:positionH relativeFrom="column">
                  <wp:posOffset>3342640</wp:posOffset>
                </wp:positionH>
                <wp:positionV relativeFrom="paragraph">
                  <wp:posOffset>304165</wp:posOffset>
                </wp:positionV>
                <wp:extent cx="0" cy="212725"/>
                <wp:effectExtent l="38100" t="0" r="38100" b="15875"/>
                <wp:wrapNone/>
                <wp:docPr id="44" name="直线 709"/>
                <wp:cNvGraphicFramePr/>
                <a:graphic xmlns:a="http://schemas.openxmlformats.org/drawingml/2006/main">
                  <a:graphicData uri="http://schemas.microsoft.com/office/word/2010/wordprocessingShape">
                    <wps:wsp>
                      <wps:cNvSpPr/>
                      <wps:spPr>
                        <a:xfrm>
                          <a:off x="0" y="0"/>
                          <a:ext cx="0" cy="212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263.2pt;margin-top:23.95pt;height:16.75pt;width:0pt;z-index:251703296;mso-width-relative:page;mso-height-relative:page;" filled="f" stroked="t" coordsize="21600,21600" o:gfxdata="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8iZA2QAAAAkBAAAPAAAAAAAAAAEAIAAAACIAAABkcnMvZG93bnJldi54bWxQSwECFAAUAAAA&#10;CACHTuJAMn/vgO0BAADhAwAADgAAAAAAAAABACAAAAAoAQAAZHJzL2Uyb0RvYy54bWxQSwUGAAAA&#10;AAYABgBZAQAAhw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2358390</wp:posOffset>
                </wp:positionH>
                <wp:positionV relativeFrom="paragraph">
                  <wp:posOffset>-88365330</wp:posOffset>
                </wp:positionV>
                <wp:extent cx="1434465" cy="1270"/>
                <wp:effectExtent l="0" t="36830" r="13335" b="38100"/>
                <wp:wrapNone/>
                <wp:docPr id="2" name="自选图形 739"/>
                <wp:cNvGraphicFramePr/>
                <a:graphic xmlns:a="http://schemas.openxmlformats.org/drawingml/2006/main">
                  <a:graphicData uri="http://schemas.microsoft.com/office/word/2010/wordprocessingShape">
                    <wps:wsp>
                      <wps:cNvCnPr/>
                      <wps:spPr>
                        <a:xfrm flipH="1">
                          <a:off x="0" y="0"/>
                          <a:ext cx="143446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39" o:spid="_x0000_s1026" o:spt="32" type="#_x0000_t32" style="position:absolute;left:0pt;flip:x;margin-left:185.7pt;margin-top:-6957.9pt;height:0.1pt;width:112.95pt;z-index:251660288;mso-width-relative:page;mso-height-relative:page;" filled="f" stroked="t" coordsize="21600,21600" o:gfxdata="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XH3M7ZAAAAEQEAAA8AAAAAAAAAAQAgAAAA&#10;IgAAAGRycy9kb3ducmV2LnhtbFBLAQIUABQAAAAIAIdO4kBWQDkjCgIAAPUDAAAOAAAAAAAAAAEA&#10;IAAAACgBAABkcnMvZTJvRG9jLnhtbFBLBQYAAAAABgAGAFkBAACkBQAAAAA=&#10;">
                <v:fill on="f" focussize="0,0"/>
                <v:stroke color="#000000" joinstyle="round" dashstyle="dash" endarrow="block"/>
                <v:imagedata o:title=""/>
                <o:lock v:ext="edit" aspectratio="f"/>
              </v:shape>
            </w:pict>
          </mc:Fallback>
        </mc:AlternateContent>
      </w:r>
    </w:p>
    <w:p w14:paraId="47136C68">
      <w:pPr>
        <w:spacing w:line="600" w:lineRule="exact"/>
        <w:rPr>
          <w:b/>
          <w:sz w:val="24"/>
        </w:rPr>
      </w:pPr>
      <w:r>
        <w:rPr>
          <w:b/>
          <w:sz w:val="24"/>
          <w:lang/>
        </w:rPr>
        <mc:AlternateContent>
          <mc:Choice Requires="wps">
            <w:drawing>
              <wp:anchor distT="0" distB="0" distL="114300" distR="114300" simplePos="0" relativeHeight="251684864" behindDoc="0" locked="0" layoutInCell="1" allowOverlap="1">
                <wp:simplePos x="0" y="0"/>
                <wp:positionH relativeFrom="column">
                  <wp:posOffset>814070</wp:posOffset>
                </wp:positionH>
                <wp:positionV relativeFrom="paragraph">
                  <wp:posOffset>5080</wp:posOffset>
                </wp:positionV>
                <wp:extent cx="1064895" cy="274955"/>
                <wp:effectExtent l="0" t="0" r="0" b="0"/>
                <wp:wrapNone/>
                <wp:docPr id="26" name="Rectangle 429"/>
                <wp:cNvGraphicFramePr/>
                <a:graphic xmlns:a="http://schemas.openxmlformats.org/drawingml/2006/main">
                  <a:graphicData uri="http://schemas.microsoft.com/office/word/2010/wordprocessingShape">
                    <wps:wsp>
                      <wps:cNvSpPr/>
                      <wps:spPr>
                        <a:xfrm>
                          <a:off x="0" y="0"/>
                          <a:ext cx="1064895" cy="274955"/>
                        </a:xfrm>
                        <a:prstGeom prst="rect">
                          <a:avLst/>
                        </a:prstGeom>
                        <a:noFill/>
                        <a:ln>
                          <a:noFill/>
                        </a:ln>
                      </wps:spPr>
                      <wps:txbx>
                        <w:txbxContent>
                          <w:p w14:paraId="0B05AFFC">
                            <w:pPr>
                              <w:jc w:val="center"/>
                              <w:rPr>
                                <w:szCs w:val="21"/>
                              </w:rPr>
                            </w:pPr>
                            <w:r>
                              <w:rPr>
                                <w:rFonts w:hint="eastAsia"/>
                                <w:szCs w:val="21"/>
                              </w:rPr>
                              <w:t>废脱硫剂</w:t>
                            </w:r>
                          </w:p>
                        </w:txbxContent>
                      </wps:txbx>
                      <wps:bodyPr wrap="square" upright="1"/>
                    </wps:wsp>
                  </a:graphicData>
                </a:graphic>
              </wp:anchor>
            </w:drawing>
          </mc:Choice>
          <mc:Fallback>
            <w:pict>
              <v:rect id="Rectangle 429" o:spid="_x0000_s1026" o:spt="1" style="position:absolute;left:0pt;margin-left:64.1pt;margin-top:0.4pt;height:21.65pt;width:83.85pt;z-index:251684864;mso-width-relative:page;mso-height-relative:page;" filled="f" stroked="f" coordsize="21600,21600" o:gfxdata="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p23tl2AAAAAcBAAAP&#10;AAAAAAAAAAEAIAAAACIAAABkcnMvZG93bnJldi54bWxQSwECFAAUAAAACACHTuJAmV+XNaYBAABV&#10;AwAADgAAAAAAAAABACAAAAAnAQAAZHJzL2Uyb0RvYy54bWxQSwUGAAAAAAYABgBZAQAAPwUAAAAA&#10;">
                <v:fill on="f" focussize="0,0"/>
                <v:stroke on="f"/>
                <v:imagedata o:title=""/>
                <o:lock v:ext="edit" aspectratio="f"/>
                <v:textbox>
                  <w:txbxContent>
                    <w:p w14:paraId="0B05AFFC">
                      <w:pPr>
                        <w:jc w:val="center"/>
                        <w:rPr>
                          <w:szCs w:val="21"/>
                        </w:rPr>
                      </w:pPr>
                      <w:r>
                        <w:rPr>
                          <w:rFonts w:hint="eastAsia"/>
                          <w:szCs w:val="21"/>
                        </w:rPr>
                        <w:t>废脱硫剂</w:t>
                      </w:r>
                    </w:p>
                  </w:txbxContent>
                </v:textbox>
              </v:rect>
            </w:pict>
          </mc:Fallback>
        </mc:AlternateContent>
      </w:r>
      <w:r>
        <w:rPr>
          <w:lang/>
        </w:rPr>
        <mc:AlternateContent>
          <mc:Choice Requires="wps">
            <w:drawing>
              <wp:anchor distT="0" distB="0" distL="114300" distR="114300" simplePos="0" relativeHeight="251704320" behindDoc="0" locked="0" layoutInCell="1" allowOverlap="1">
                <wp:simplePos x="0" y="0"/>
                <wp:positionH relativeFrom="column">
                  <wp:posOffset>2602865</wp:posOffset>
                </wp:positionH>
                <wp:positionV relativeFrom="paragraph">
                  <wp:posOffset>215265</wp:posOffset>
                </wp:positionV>
                <wp:extent cx="1463675" cy="275590"/>
                <wp:effectExtent l="5080" t="4445" r="17145" b="5715"/>
                <wp:wrapNone/>
                <wp:docPr id="45" name="矩形 711"/>
                <wp:cNvGraphicFramePr/>
                <a:graphic xmlns:a="http://schemas.openxmlformats.org/drawingml/2006/main">
                  <a:graphicData uri="http://schemas.microsoft.com/office/word/2010/wordprocessingShape">
                    <wps:wsp>
                      <wps:cNvSpPr/>
                      <wps:spPr>
                        <a:xfrm>
                          <a:off x="0" y="0"/>
                          <a:ext cx="1463675" cy="275590"/>
                        </a:xfrm>
                        <a:prstGeom prst="rect">
                          <a:avLst/>
                        </a:prstGeom>
                        <a:noFill/>
                        <a:ln w="9525" cap="flat" cmpd="sng">
                          <a:solidFill>
                            <a:srgbClr val="000000"/>
                          </a:solidFill>
                          <a:prstDash val="solid"/>
                          <a:miter/>
                          <a:headEnd type="none" w="med" len="med"/>
                          <a:tailEnd type="none" w="med" len="med"/>
                        </a:ln>
                      </wps:spPr>
                      <wps:txbx>
                        <w:txbxContent>
                          <w:p w14:paraId="0F0B3137">
                            <w:pPr>
                              <w:jc w:val="center"/>
                              <w:rPr>
                                <w:rFonts w:hint="eastAsia"/>
                                <w:szCs w:val="21"/>
                              </w:rPr>
                            </w:pPr>
                            <w:r>
                              <w:rPr>
                                <w:rFonts w:hint="eastAsia"/>
                                <w:szCs w:val="21"/>
                              </w:rPr>
                              <w:t>苹果园浇灌</w:t>
                            </w:r>
                          </w:p>
                        </w:txbxContent>
                      </wps:txbx>
                      <wps:bodyPr wrap="square" upright="1"/>
                    </wps:wsp>
                  </a:graphicData>
                </a:graphic>
              </wp:anchor>
            </w:drawing>
          </mc:Choice>
          <mc:Fallback>
            <w:pict>
              <v:rect id="矩形 711" o:spid="_x0000_s1026" o:spt="1" style="position:absolute;left:0pt;margin-left:204.95pt;margin-top:16.95pt;height:21.7pt;width:115.25pt;z-index:251704320;mso-width-relative:page;mso-height-relative:page;" filled="f" stroked="t" coordsize="21600,21600" o:gfxdata="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e0sF2AAAAAkBAAAPAAAAAAAAAAEAIAAAACIA&#10;AABkcnMvZG93bnJldi54bWxQSwECFAAUAAAACACHTuJAXLBbjgkCAAARBAAADgAAAAAAAAABACAA&#10;AAAnAQAAZHJzL2Uyb0RvYy54bWxQSwUGAAAAAAYABgBZAQAAogUAAAAA&#10;">
                <v:fill on="f" focussize="0,0"/>
                <v:stroke color="#000000" joinstyle="miter"/>
                <v:imagedata o:title=""/>
                <o:lock v:ext="edit" aspectratio="f"/>
                <v:textbox>
                  <w:txbxContent>
                    <w:p w14:paraId="0F0B3137">
                      <w:pPr>
                        <w:jc w:val="center"/>
                        <w:rPr>
                          <w:rFonts w:hint="eastAsia"/>
                          <w:szCs w:val="21"/>
                        </w:rPr>
                      </w:pPr>
                      <w:r>
                        <w:rPr>
                          <w:rFonts w:hint="eastAsia"/>
                          <w:szCs w:val="21"/>
                        </w:rPr>
                        <w:t>苹果园浇灌</w:t>
                      </w:r>
                    </w:p>
                  </w:txbxContent>
                </v:textbox>
              </v:rect>
            </w:pict>
          </mc:Fallback>
        </mc:AlternateContent>
      </w:r>
    </w:p>
    <w:p w14:paraId="0C1B265C">
      <w:pPr>
        <w:adjustRightInd w:val="0"/>
        <w:snapToGrid w:val="0"/>
        <w:spacing w:before="84" w:beforeLines="35" w:after="60" w:afterLines="25" w:line="360" w:lineRule="auto"/>
        <w:ind w:firstLine="480" w:firstLineChars="200"/>
        <w:textAlignment w:val="baseline"/>
        <w:rPr>
          <w:sz w:val="24"/>
        </w:rPr>
      </w:pPr>
    </w:p>
    <w:p w14:paraId="6E5A24CC">
      <w:pPr>
        <w:adjustRightInd w:val="0"/>
        <w:snapToGrid w:val="0"/>
        <w:spacing w:before="84" w:beforeLines="35" w:after="60" w:afterLines="25" w:line="360" w:lineRule="auto"/>
        <w:ind w:firstLine="480" w:firstLineChars="200"/>
        <w:textAlignment w:val="baseline"/>
        <w:rPr>
          <w:sz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1195705</wp:posOffset>
                </wp:positionH>
                <wp:positionV relativeFrom="paragraph">
                  <wp:posOffset>33655</wp:posOffset>
                </wp:positionV>
                <wp:extent cx="3387090" cy="318770"/>
                <wp:effectExtent l="0" t="0" r="0" b="0"/>
                <wp:wrapNone/>
                <wp:docPr id="9" name="文本框 290"/>
                <wp:cNvGraphicFramePr/>
                <a:graphic xmlns:a="http://schemas.openxmlformats.org/drawingml/2006/main">
                  <a:graphicData uri="http://schemas.microsoft.com/office/word/2010/wordprocessingShape">
                    <wps:wsp>
                      <wps:cNvSpPr txBox="1"/>
                      <wps:spPr>
                        <a:xfrm>
                          <a:off x="0" y="0"/>
                          <a:ext cx="3387090" cy="318770"/>
                        </a:xfrm>
                        <a:prstGeom prst="rect">
                          <a:avLst/>
                        </a:prstGeom>
                        <a:noFill/>
                        <a:ln>
                          <a:noFill/>
                        </a:ln>
                      </wps:spPr>
                      <wps:txbx>
                        <w:txbxContent>
                          <w:p w14:paraId="52486132">
                            <w:pPr>
                              <w:jc w:val="center"/>
                              <w:rPr>
                                <w:color w:val="000000"/>
                                <w:sz w:val="24"/>
                              </w:rPr>
                            </w:pPr>
                            <w:r>
                              <w:rPr>
                                <w:b/>
                                <w:color w:val="000000"/>
                                <w:sz w:val="24"/>
                              </w:rPr>
                              <w:t>图3-</w:t>
                            </w:r>
                            <w:r>
                              <w:rPr>
                                <w:rFonts w:hint="eastAsia"/>
                                <w:b/>
                                <w:color w:val="000000"/>
                                <w:sz w:val="24"/>
                              </w:rPr>
                              <w:t>3</w:t>
                            </w:r>
                            <w:r>
                              <w:rPr>
                                <w:b/>
                                <w:color w:val="000000"/>
                                <w:sz w:val="24"/>
                              </w:rPr>
                              <w:t xml:space="preserve">  项目污水处理工艺流程图</w:t>
                            </w:r>
                          </w:p>
                        </w:txbxContent>
                      </wps:txbx>
                      <wps:bodyPr wrap="square" lIns="0" tIns="0" rIns="0" bIns="0" upright="1"/>
                    </wps:wsp>
                  </a:graphicData>
                </a:graphic>
              </wp:anchor>
            </w:drawing>
          </mc:Choice>
          <mc:Fallback>
            <w:pict>
              <v:shape id="文本框 290" o:spid="_x0000_s1026" o:spt="202" type="#_x0000_t202" style="position:absolute;left:0pt;margin-left:94.15pt;margin-top:2.65pt;height:25.1pt;width:266.7pt;z-index:251667456;mso-width-relative:page;mso-height-relative:page;" filled="f" stroked="f" coordsize="21600,21600" o:gfxdata="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tHTA1wAAAAgBAAAPAAAAAAAAAAEAIAAAACIAAABkcnMvZG93bnJl&#10;di54bWxQSwECFAAUAAAACACHTuJAr93hqcUBAACCAwAADgAAAAAAAAABACAAAAAmAQAAZHJzL2Uy&#10;b0RvYy54bWxQSwUGAAAAAAYABgBZAQAAXQUAAAAA&#10;">
                <v:fill on="f" focussize="0,0"/>
                <v:stroke on="f"/>
                <v:imagedata o:title=""/>
                <o:lock v:ext="edit" aspectratio="f"/>
                <v:textbox inset="0mm,0mm,0mm,0mm">
                  <w:txbxContent>
                    <w:p w14:paraId="52486132">
                      <w:pPr>
                        <w:jc w:val="center"/>
                        <w:rPr>
                          <w:color w:val="000000"/>
                          <w:sz w:val="24"/>
                        </w:rPr>
                      </w:pPr>
                      <w:r>
                        <w:rPr>
                          <w:b/>
                          <w:color w:val="000000"/>
                          <w:sz w:val="24"/>
                        </w:rPr>
                        <w:t>图3-</w:t>
                      </w:r>
                      <w:r>
                        <w:rPr>
                          <w:rFonts w:hint="eastAsia"/>
                          <w:b/>
                          <w:color w:val="000000"/>
                          <w:sz w:val="24"/>
                        </w:rPr>
                        <w:t>3</w:t>
                      </w:r>
                      <w:r>
                        <w:rPr>
                          <w:b/>
                          <w:color w:val="000000"/>
                          <w:sz w:val="24"/>
                        </w:rPr>
                        <w:t xml:space="preserve">  项目污水处理工艺流程图</w:t>
                      </w:r>
                    </w:p>
                  </w:txbxContent>
                </v:textbox>
              </v:shape>
            </w:pict>
          </mc:Fallback>
        </mc:AlternateContent>
      </w:r>
    </w:p>
    <w:p w14:paraId="52D3AD50">
      <w:pPr>
        <w:autoSpaceDE w:val="0"/>
        <w:autoSpaceDN w:val="0"/>
        <w:adjustRightInd w:val="0"/>
        <w:spacing w:line="360" w:lineRule="auto"/>
        <w:jc w:val="left"/>
        <w:rPr>
          <w:b/>
          <w:sz w:val="24"/>
        </w:rPr>
      </w:pPr>
      <w:r>
        <w:rPr>
          <w:b/>
          <w:sz w:val="24"/>
        </w:rPr>
        <w:t>污水处理流程说明：</w:t>
      </w:r>
    </w:p>
    <w:p w14:paraId="5AEE9610">
      <w:pPr>
        <w:autoSpaceDE w:val="0"/>
        <w:autoSpaceDN w:val="0"/>
        <w:adjustRightInd w:val="0"/>
        <w:spacing w:line="360" w:lineRule="auto"/>
        <w:ind w:firstLine="480" w:firstLineChars="200"/>
        <w:rPr>
          <w:sz w:val="24"/>
        </w:rPr>
      </w:pPr>
      <w:r>
        <w:rPr>
          <w:sz w:val="24"/>
        </w:rPr>
        <w:t>（1）粪污储存池</w:t>
      </w:r>
    </w:p>
    <w:p w14:paraId="314C694D">
      <w:pPr>
        <w:autoSpaceDE w:val="0"/>
        <w:autoSpaceDN w:val="0"/>
        <w:adjustRightInd w:val="0"/>
        <w:spacing w:line="360" w:lineRule="auto"/>
        <w:ind w:firstLine="480" w:firstLineChars="200"/>
        <w:rPr>
          <w:sz w:val="24"/>
        </w:rPr>
      </w:pPr>
      <w:r>
        <w:rPr>
          <w:sz w:val="24"/>
        </w:rPr>
        <w:t>粪污储存池位于猪舍漏粪板下，收集猪舍产生的粪尿等污染物，具有暂存功能，定期排空。</w:t>
      </w:r>
    </w:p>
    <w:p w14:paraId="0564D357">
      <w:pPr>
        <w:autoSpaceDE w:val="0"/>
        <w:autoSpaceDN w:val="0"/>
        <w:adjustRightInd w:val="0"/>
        <w:spacing w:line="360" w:lineRule="auto"/>
        <w:ind w:firstLine="480" w:firstLineChars="200"/>
        <w:rPr>
          <w:sz w:val="24"/>
        </w:rPr>
      </w:pPr>
      <w:r>
        <w:rPr>
          <w:sz w:val="24"/>
        </w:rPr>
        <w:t>（2）集水池 、暂存池</w:t>
      </w:r>
    </w:p>
    <w:p w14:paraId="76C8E158">
      <w:pPr>
        <w:autoSpaceDE w:val="0"/>
        <w:autoSpaceDN w:val="0"/>
        <w:adjustRightInd w:val="0"/>
        <w:spacing w:line="360" w:lineRule="auto"/>
        <w:ind w:firstLine="480" w:firstLineChars="200"/>
        <w:rPr>
          <w:sz w:val="24"/>
        </w:rPr>
      </w:pPr>
      <w:r>
        <w:rPr>
          <w:sz w:val="24"/>
        </w:rPr>
        <w:t xml:space="preserve">收集各猪舍粪污储存池排出的粪污水，废污水收集后由罐车抽吸运至苹果园处暂存池准备进行处理。 </w:t>
      </w:r>
    </w:p>
    <w:p w14:paraId="3E28DA52">
      <w:pPr>
        <w:autoSpaceDE w:val="0"/>
        <w:autoSpaceDN w:val="0"/>
        <w:adjustRightInd w:val="0"/>
        <w:spacing w:line="360" w:lineRule="auto"/>
        <w:ind w:firstLine="480" w:firstLineChars="200"/>
        <w:rPr>
          <w:sz w:val="24"/>
        </w:rPr>
      </w:pPr>
      <w:r>
        <w:rPr>
          <w:sz w:val="24"/>
        </w:rPr>
        <w:t xml:space="preserve">（3）固液分离器 </w:t>
      </w:r>
    </w:p>
    <w:p w14:paraId="54B62C9A">
      <w:pPr>
        <w:autoSpaceDE w:val="0"/>
        <w:autoSpaceDN w:val="0"/>
        <w:adjustRightInd w:val="0"/>
        <w:spacing w:line="360" w:lineRule="auto"/>
        <w:ind w:firstLine="480" w:firstLineChars="200"/>
        <w:rPr>
          <w:sz w:val="24"/>
        </w:rPr>
      </w:pPr>
      <w:r>
        <w:rPr>
          <w:sz w:val="24"/>
        </w:rPr>
        <w:t xml:space="preserve">将污水中SS予以去除（包括猪毛、较大的饲料颗粒物以及较大的猪粪颗粒），降低后续处理负荷及泵污堵风险，分离出来的固废运至固粪处理区堆肥处理，分离后的污水进入平流气浮。 </w:t>
      </w:r>
    </w:p>
    <w:p w14:paraId="518FC43F">
      <w:pPr>
        <w:autoSpaceDE w:val="0"/>
        <w:autoSpaceDN w:val="0"/>
        <w:adjustRightInd w:val="0"/>
        <w:spacing w:line="360" w:lineRule="auto"/>
        <w:ind w:firstLine="480" w:firstLineChars="200"/>
        <w:rPr>
          <w:sz w:val="24"/>
        </w:rPr>
      </w:pPr>
      <w:r>
        <w:rPr>
          <w:sz w:val="24"/>
        </w:rPr>
        <w:t>（4）平流气浮机</w:t>
      </w:r>
    </w:p>
    <w:p w14:paraId="4A215F84">
      <w:pPr>
        <w:autoSpaceDE w:val="0"/>
        <w:autoSpaceDN w:val="0"/>
        <w:adjustRightInd w:val="0"/>
        <w:spacing w:line="360" w:lineRule="auto"/>
        <w:ind w:firstLine="480" w:firstLineChars="200"/>
        <w:rPr>
          <w:sz w:val="24"/>
        </w:rPr>
      </w:pPr>
      <w:r>
        <w:rPr>
          <w:sz w:val="24"/>
        </w:rPr>
        <w:t>平流气浮机主要用于固-液分离，通过溶气和释放系统在水中产生大量的微细气泡，使其粘附于废水中的固体微粒上，造成整体密度小于水的状态，并依靠浮力使其上升至水面，形成浮渣层被刮除，从而实现固液分离的目的，去除养殖废水中细小的固体物质。刮除的浮渣用于堆肥发酵。</w:t>
      </w:r>
    </w:p>
    <w:p w14:paraId="610ABD84">
      <w:pPr>
        <w:autoSpaceDE w:val="0"/>
        <w:autoSpaceDN w:val="0"/>
        <w:adjustRightInd w:val="0"/>
        <w:spacing w:line="360" w:lineRule="auto"/>
        <w:ind w:firstLine="480" w:firstLineChars="200"/>
        <w:rPr>
          <w:sz w:val="24"/>
        </w:rPr>
      </w:pPr>
      <w:r>
        <w:rPr>
          <w:sz w:val="24"/>
        </w:rPr>
        <w:t xml:space="preserve">（5）调节池 </w:t>
      </w:r>
    </w:p>
    <w:p w14:paraId="19E058D6">
      <w:pPr>
        <w:autoSpaceDE w:val="0"/>
        <w:autoSpaceDN w:val="0"/>
        <w:adjustRightInd w:val="0"/>
        <w:spacing w:line="360" w:lineRule="auto"/>
        <w:ind w:firstLine="480" w:firstLineChars="200"/>
        <w:rPr>
          <w:sz w:val="24"/>
        </w:rPr>
      </w:pPr>
      <w:r>
        <w:rPr>
          <w:sz w:val="24"/>
        </w:rPr>
        <w:t>经过平流气浮机后的废水进入调节池，调节池中设置有曝气系统，废水在调节池中经过曝气充分均化水质水量后，通过自动液位控制将废水抽至下一道工序。</w:t>
      </w:r>
    </w:p>
    <w:p w14:paraId="54BD0487">
      <w:pPr>
        <w:autoSpaceDE w:val="0"/>
        <w:autoSpaceDN w:val="0"/>
        <w:adjustRightInd w:val="0"/>
        <w:spacing w:line="360" w:lineRule="auto"/>
        <w:ind w:firstLine="480" w:firstLineChars="200"/>
        <w:rPr>
          <w:sz w:val="24"/>
        </w:rPr>
      </w:pPr>
      <w:r>
        <w:rPr>
          <w:sz w:val="24"/>
        </w:rPr>
        <w:t xml:space="preserve">（6）UASB反应器 </w:t>
      </w:r>
    </w:p>
    <w:p w14:paraId="5841CE6E">
      <w:pPr>
        <w:autoSpaceDE w:val="0"/>
        <w:autoSpaceDN w:val="0"/>
        <w:adjustRightInd w:val="0"/>
        <w:spacing w:line="360" w:lineRule="auto"/>
        <w:ind w:firstLine="480" w:firstLineChars="200"/>
        <w:rPr>
          <w:sz w:val="24"/>
        </w:rPr>
      </w:pPr>
      <w:r>
        <w:rPr>
          <w:sz w:val="24"/>
        </w:rPr>
        <w:t>污水由USAB反应器底部进入，自下而上通过UASB。反应器底部有一个高浓度、高活性的污泥床，污水中的大部分有机污染物在此间经过厌氧发酵降解为甲烷和二氧化碳。因水流和气泡的搅动，污泥床之上有一个污泥悬浮层。反应器上部设有三相分离器，用以分离消化气、消化液和污泥颗粒。消化气（沼气）自反应器顶部导出加以利用，污泥颗粒自动滑落沉降至反应器底部的污泥床，消化液从澄清区出水。</w:t>
      </w:r>
    </w:p>
    <w:p w14:paraId="42BC16DA">
      <w:pPr>
        <w:autoSpaceDE w:val="0"/>
        <w:autoSpaceDN w:val="0"/>
        <w:adjustRightInd w:val="0"/>
        <w:spacing w:line="360" w:lineRule="auto"/>
        <w:ind w:firstLine="480" w:firstLineChars="200"/>
        <w:rPr>
          <w:sz w:val="24"/>
        </w:rPr>
      </w:pPr>
      <w:r>
        <w:rPr>
          <w:sz w:val="24"/>
        </w:rPr>
        <w:t>由于UASB 结构简单，容积负荷率高，废水在反应器内的水力停留时间较短，不需要搅拌，能适应较大幅度的负荷冲击、温度和pH变化，适用于高浓度有机废水的处理，具有很高的有机污染物去除率，其中化学耗氧量（CODCr）去除率为70～80％，五日生化需氧量（BOD</w:t>
      </w:r>
      <w:r>
        <w:rPr>
          <w:sz w:val="24"/>
          <w:vertAlign w:val="subscript"/>
        </w:rPr>
        <w:t>5</w:t>
      </w:r>
      <w:r>
        <w:rPr>
          <w:sz w:val="24"/>
        </w:rPr>
        <w:t xml:space="preserve">）去除率为70～85％，悬浮物（SS）去除率为65～80％。 </w:t>
      </w:r>
    </w:p>
    <w:p w14:paraId="6E2F05A4">
      <w:pPr>
        <w:autoSpaceDE w:val="0"/>
        <w:autoSpaceDN w:val="0"/>
        <w:adjustRightInd w:val="0"/>
        <w:spacing w:line="360" w:lineRule="auto"/>
        <w:ind w:firstLine="480" w:firstLineChars="200"/>
        <w:rPr>
          <w:sz w:val="24"/>
        </w:rPr>
      </w:pPr>
      <w:r>
        <w:rPr>
          <w:sz w:val="24"/>
        </w:rPr>
        <w:t>（7）沼液储存池</w:t>
      </w:r>
    </w:p>
    <w:p w14:paraId="41C35B95">
      <w:pPr>
        <w:adjustRightInd w:val="0"/>
        <w:snapToGrid w:val="0"/>
        <w:spacing w:line="360" w:lineRule="auto"/>
        <w:ind w:firstLine="480" w:firstLineChars="200"/>
        <w:textAlignment w:val="baseline"/>
        <w:rPr>
          <w:sz w:val="24"/>
        </w:rPr>
      </w:pPr>
      <w:r>
        <w:rPr>
          <w:sz w:val="24"/>
        </w:rPr>
        <w:t>本工程经处理后的沼液暂存于储存池内，定期采用槽车运至苹果园内的沼液集中收集池，然后用于自有苹果园灌溉，沼渣用于堆肥发酵后与猪粪共同作为苹果园有机肥使用。</w:t>
      </w:r>
    </w:p>
    <w:p w14:paraId="53014D7C">
      <w:pPr>
        <w:spacing w:line="360" w:lineRule="auto"/>
        <w:ind w:firstLine="482" w:firstLineChars="200"/>
        <w:rPr>
          <w:b/>
          <w:bCs/>
          <w:sz w:val="24"/>
        </w:rPr>
      </w:pPr>
      <w:r>
        <w:rPr>
          <w:b/>
          <w:sz w:val="24"/>
        </w:rPr>
        <w:t>3.1.6.3沼气利用工程</w:t>
      </w:r>
    </w:p>
    <w:p w14:paraId="1D9B777D">
      <w:pPr>
        <w:spacing w:line="360" w:lineRule="auto"/>
        <w:ind w:firstLine="480" w:firstLineChars="200"/>
        <w:rPr>
          <w:sz w:val="24"/>
        </w:rPr>
      </w:pPr>
      <w:r>
        <w:rPr>
          <w:sz w:val="24"/>
        </w:rPr>
        <w:t>项目运营期猪舍冲洗废水、猪尿水、固粪处理区渗滤液及生活污水经过UASB（厌氧反应器）处理，会产生沼气。根据建设方提供的资料，本项目沼气主要用于饲料中转站制粒工序和病死猪无害化处理区锅炉燃烧提供热源，项目场区设双膜储气袋，用于储存沼气，能够满足沼气存放要求。</w:t>
      </w:r>
    </w:p>
    <w:p w14:paraId="4A579144">
      <w:pPr>
        <w:spacing w:line="360" w:lineRule="auto"/>
        <w:ind w:firstLine="480" w:firstLineChars="200"/>
        <w:rPr>
          <w:sz w:val="24"/>
        </w:rPr>
      </w:pPr>
      <w:r>
        <w:rPr>
          <w:sz w:val="24"/>
        </w:rPr>
        <w:t>沼气是含饱和水蒸气的混合气体，具有较高的热值，属清洁燃料。沼气中除含有气体燃料CH</w:t>
      </w:r>
      <w:r>
        <w:rPr>
          <w:sz w:val="24"/>
          <w:vertAlign w:val="subscript"/>
        </w:rPr>
        <w:t>4</w:t>
      </w:r>
      <w:r>
        <w:rPr>
          <w:sz w:val="24"/>
        </w:rPr>
        <w:t>外，还含有CO</w:t>
      </w:r>
      <w:r>
        <w:rPr>
          <w:sz w:val="24"/>
          <w:vertAlign w:val="subscript"/>
        </w:rPr>
        <w:t>2</w:t>
      </w:r>
      <w:r>
        <w:rPr>
          <w:sz w:val="24"/>
        </w:rPr>
        <w:t>、H</w:t>
      </w:r>
      <w:r>
        <w:rPr>
          <w:sz w:val="24"/>
          <w:vertAlign w:val="subscript"/>
        </w:rPr>
        <w:t>2</w:t>
      </w:r>
      <w:r>
        <w:rPr>
          <w:sz w:val="24"/>
        </w:rPr>
        <w:t>S、N</w:t>
      </w:r>
      <w:r>
        <w:rPr>
          <w:sz w:val="24"/>
          <w:vertAlign w:val="subscript"/>
        </w:rPr>
        <w:t>2</w:t>
      </w:r>
      <w:r>
        <w:rPr>
          <w:sz w:val="24"/>
        </w:rPr>
        <w:t>、CO和悬浮颗粒状杂质等，在遇温度变化时会重新凝结为液态水阻塞沼气输送管路；同时，由于原沼气含硫化物量较大，且以H</w:t>
      </w:r>
      <w:r>
        <w:rPr>
          <w:sz w:val="24"/>
          <w:vertAlign w:val="subscript"/>
        </w:rPr>
        <w:t>2</w:t>
      </w:r>
      <w:r>
        <w:rPr>
          <w:sz w:val="24"/>
        </w:rPr>
        <w:t>S为主，易形成酸腐蚀管路。</w:t>
      </w:r>
    </w:p>
    <w:p w14:paraId="5A4F57B6">
      <w:pPr>
        <w:spacing w:line="360" w:lineRule="auto"/>
        <w:ind w:firstLine="480" w:firstLineChars="200"/>
        <w:rPr>
          <w:sz w:val="24"/>
        </w:rPr>
      </w:pPr>
      <w:r>
        <w:rPr>
          <w:sz w:val="24"/>
        </w:rPr>
        <w:t>按《规模化畜禽养殖场沼气设计规范》要求（NY/T1222-2006），在进入沼气储罐前，需进行冷凝脱水和脱硫净化处理。项目配套设置有沼气净化装置，采用脱水脱硫装置净化沼气，具体处理工艺为：</w:t>
      </w:r>
    </w:p>
    <w:p w14:paraId="594A34B0">
      <w:pPr>
        <w:spacing w:line="520" w:lineRule="exact"/>
        <w:ind w:firstLine="480" w:firstLineChars="200"/>
        <w:rPr>
          <w:b/>
          <w:sz w:val="24"/>
        </w:rPr>
      </w:pPr>
      <w:r>
        <w:rPr>
          <w:sz w:val="24"/>
          <w:lang/>
        </w:rPr>
        <mc:AlternateContent>
          <mc:Choice Requires="wps">
            <w:drawing>
              <wp:anchor distT="0" distB="0" distL="114300" distR="114300" simplePos="0" relativeHeight="251731968" behindDoc="0" locked="0" layoutInCell="1" allowOverlap="1">
                <wp:simplePos x="0" y="0"/>
                <wp:positionH relativeFrom="column">
                  <wp:posOffset>1734185</wp:posOffset>
                </wp:positionH>
                <wp:positionV relativeFrom="paragraph">
                  <wp:posOffset>1165225</wp:posOffset>
                </wp:positionV>
                <wp:extent cx="957580" cy="209550"/>
                <wp:effectExtent l="0" t="0" r="0" b="0"/>
                <wp:wrapNone/>
                <wp:docPr id="72" name="矩形 1256"/>
                <wp:cNvGraphicFramePr/>
                <a:graphic xmlns:a="http://schemas.openxmlformats.org/drawingml/2006/main">
                  <a:graphicData uri="http://schemas.microsoft.com/office/word/2010/wordprocessingShape">
                    <wps:wsp>
                      <wps:cNvSpPr/>
                      <wps:spPr>
                        <a:xfrm>
                          <a:off x="0" y="0"/>
                          <a:ext cx="957580" cy="209550"/>
                        </a:xfrm>
                        <a:prstGeom prst="rect">
                          <a:avLst/>
                        </a:prstGeom>
                        <a:noFill/>
                        <a:ln>
                          <a:noFill/>
                        </a:ln>
                      </wps:spPr>
                      <wps:txbx>
                        <w:txbxContent>
                          <w:p w14:paraId="62EF65BD">
                            <w:pPr>
                              <w:jc w:val="center"/>
                              <w:rPr>
                                <w:szCs w:val="21"/>
                              </w:rPr>
                            </w:pPr>
                            <w:r>
                              <w:rPr>
                                <w:rFonts w:hint="eastAsia"/>
                                <w:szCs w:val="21"/>
                              </w:rPr>
                              <w:t>污水处理系统</w:t>
                            </w:r>
                          </w:p>
                        </w:txbxContent>
                      </wps:txbx>
                      <wps:bodyPr wrap="square" lIns="0" tIns="0" rIns="0" bIns="0" upright="1"/>
                    </wps:wsp>
                  </a:graphicData>
                </a:graphic>
              </wp:anchor>
            </w:drawing>
          </mc:Choice>
          <mc:Fallback>
            <w:pict>
              <v:rect id="矩形 1256" o:spid="_x0000_s1026" o:spt="1" style="position:absolute;left:0pt;margin-left:136.55pt;margin-top:91.75pt;height:16.5pt;width:75.4pt;z-index:251731968;mso-width-relative:page;mso-height-relative:page;" filled="f" stroked="f" coordsize="21600,21600" o:gfxdata="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9mKEDbAAAACwEAAA8AAAAAAAAAAQAgAAAAIgAAAGRycy9kb3ducmV2Lnht&#10;bFBLAQIUABQAAAAIAIdO4kCHUX6svQEAAHYDAAAOAAAAAAAAAAEAIAAAACoBAABkcnMvZTJvRG9j&#10;LnhtbFBLBQYAAAAABgAGAFkBAABZBQAAAAA=&#10;">
                <v:fill on="f" focussize="0,0"/>
                <v:stroke on="f"/>
                <v:imagedata o:title=""/>
                <o:lock v:ext="edit" aspectratio="f"/>
                <v:textbox inset="0mm,0mm,0mm,0mm">
                  <w:txbxContent>
                    <w:p w14:paraId="62EF65BD">
                      <w:pPr>
                        <w:jc w:val="center"/>
                        <w:rPr>
                          <w:szCs w:val="21"/>
                        </w:rPr>
                      </w:pPr>
                      <w:r>
                        <w:rPr>
                          <w:rFonts w:hint="eastAsia"/>
                          <w:szCs w:val="21"/>
                        </w:rPr>
                        <w:t>污水处理系统</w:t>
                      </w:r>
                    </w:p>
                  </w:txbxContent>
                </v:textbox>
              </v:rect>
            </w:pict>
          </mc:Fallback>
        </mc:AlternateContent>
      </w:r>
      <w:r>
        <w:rPr>
          <w:sz w:val="24"/>
          <w:lang/>
        </w:rPr>
        <mc:AlternateContent>
          <mc:Choice Requires="wps">
            <w:drawing>
              <wp:anchor distT="0" distB="0" distL="114300" distR="114300" simplePos="0" relativeHeight="251722752" behindDoc="0" locked="0" layoutInCell="1" allowOverlap="1">
                <wp:simplePos x="0" y="0"/>
                <wp:positionH relativeFrom="column">
                  <wp:posOffset>1734185</wp:posOffset>
                </wp:positionH>
                <wp:positionV relativeFrom="paragraph">
                  <wp:posOffset>80645</wp:posOffset>
                </wp:positionV>
                <wp:extent cx="957580" cy="209550"/>
                <wp:effectExtent l="0" t="0" r="0" b="0"/>
                <wp:wrapNone/>
                <wp:docPr id="63" name="矩形 1256"/>
                <wp:cNvGraphicFramePr/>
                <a:graphic xmlns:a="http://schemas.openxmlformats.org/drawingml/2006/main">
                  <a:graphicData uri="http://schemas.microsoft.com/office/word/2010/wordprocessingShape">
                    <wps:wsp>
                      <wps:cNvSpPr/>
                      <wps:spPr>
                        <a:xfrm>
                          <a:off x="0" y="0"/>
                          <a:ext cx="957580" cy="209550"/>
                        </a:xfrm>
                        <a:prstGeom prst="rect">
                          <a:avLst/>
                        </a:prstGeom>
                        <a:noFill/>
                        <a:ln>
                          <a:noFill/>
                        </a:ln>
                      </wps:spPr>
                      <wps:txbx>
                        <w:txbxContent>
                          <w:p w14:paraId="000C91CE">
                            <w:pPr>
                              <w:jc w:val="center"/>
                              <w:rPr>
                                <w:szCs w:val="21"/>
                              </w:rPr>
                            </w:pPr>
                            <w:r>
                              <w:rPr>
                                <w:rFonts w:hint="eastAsia"/>
                                <w:szCs w:val="21"/>
                              </w:rPr>
                              <w:t>废脱硫剂</w:t>
                            </w:r>
                          </w:p>
                        </w:txbxContent>
                      </wps:txbx>
                      <wps:bodyPr wrap="square" lIns="0" tIns="0" rIns="0" bIns="0" upright="1"/>
                    </wps:wsp>
                  </a:graphicData>
                </a:graphic>
              </wp:anchor>
            </w:drawing>
          </mc:Choice>
          <mc:Fallback>
            <w:pict>
              <v:rect id="矩形 1256" o:spid="_x0000_s1026" o:spt="1" style="position:absolute;left:0pt;margin-left:136.55pt;margin-top:6.35pt;height:16.5pt;width:75.4pt;z-index:251722752;mso-width-relative:page;mso-height-relative:page;" filled="f" stroked="f" coordsize="21600,21600" o:gfxdata="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nQEwPaAAAACQEAAA8AAAAAAAAAAQAgAAAAIgAAAGRycy9kb3ducmV2Lnht&#10;bFBLAQIUABQAAAAIAIdO4kDXDex3vgEAAHYDAAAOAAAAAAAAAAEAIAAAACkBAABkcnMvZTJvRG9j&#10;LnhtbFBLBQYAAAAABgAGAFkBAABZBQAAAAA=&#10;">
                <v:fill on="f" focussize="0,0"/>
                <v:stroke on="f"/>
                <v:imagedata o:title=""/>
                <o:lock v:ext="edit" aspectratio="f"/>
                <v:textbox inset="0mm,0mm,0mm,0mm">
                  <w:txbxContent>
                    <w:p w14:paraId="000C91CE">
                      <w:pPr>
                        <w:jc w:val="center"/>
                        <w:rPr>
                          <w:szCs w:val="21"/>
                        </w:rPr>
                      </w:pPr>
                      <w:r>
                        <w:rPr>
                          <w:rFonts w:hint="eastAsia"/>
                          <w:szCs w:val="21"/>
                        </w:rPr>
                        <w:t>废脱硫剂</w:t>
                      </w:r>
                    </w:p>
                  </w:txbxContent>
                </v:textbox>
              </v:rect>
            </w:pict>
          </mc:Fallback>
        </mc:AlternateContent>
      </w:r>
      <w:r>
        <w:rPr>
          <w:sz w:val="24"/>
          <w:lang/>
        </w:rPr>
        <mc:AlternateContent>
          <mc:Choice Requires="wps">
            <w:drawing>
              <wp:anchor distT="0" distB="0" distL="114300" distR="114300" simplePos="0" relativeHeight="251725824" behindDoc="0" locked="0" layoutInCell="1" allowOverlap="1">
                <wp:simplePos x="0" y="0"/>
                <wp:positionH relativeFrom="column">
                  <wp:posOffset>2213610</wp:posOffset>
                </wp:positionH>
                <wp:positionV relativeFrom="paragraph">
                  <wp:posOffset>290195</wp:posOffset>
                </wp:positionV>
                <wp:extent cx="635" cy="295910"/>
                <wp:effectExtent l="38100" t="0" r="37465" b="8890"/>
                <wp:wrapNone/>
                <wp:docPr id="66" name="直线 1248"/>
                <wp:cNvGraphicFramePr/>
                <a:graphic xmlns:a="http://schemas.openxmlformats.org/drawingml/2006/main">
                  <a:graphicData uri="http://schemas.microsoft.com/office/word/2010/wordprocessingShape">
                    <wps:wsp>
                      <wps:cNvSpPr/>
                      <wps:spPr>
                        <a:xfrm>
                          <a:off x="0" y="0"/>
                          <a:ext cx="635" cy="29591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248" o:spid="_x0000_s1026" o:spt="20" style="position:absolute;left:0pt;margin-left:174.3pt;margin-top:22.85pt;height:23.3pt;width:0.05pt;z-index:251725824;mso-width-relative:page;mso-height-relative:page;" filled="f" stroked="t" coordsize="21600,21600" o:gfxdata="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aeNkAAAAJAQAADwAAAAAAAAABACAAAAAiAAAAZHJzL2Rvd25yZXYueG1sUEsB&#10;AhQAFAAAAAgAh07iQEzu7Gb0AQAA5AMAAA4AAAAAAAAAAQAgAAAAKAEAAGRycy9lMm9Eb2MueG1s&#10;UEsFBgAAAAAGAAYAWQEAAI4FAAAAAA==&#10;">
                <v:fill on="f" focussize="0,0"/>
                <v:stroke color="#000000" joinstyle="round" startarrow="block"/>
                <v:imagedata o:title=""/>
                <o:lock v:ext="edit" aspectratio="f"/>
              </v:line>
            </w:pict>
          </mc:Fallback>
        </mc:AlternateContent>
      </w:r>
      <w:r>
        <w:rPr>
          <w:sz w:val="24"/>
          <w:lang/>
        </w:rPr>
        <mc:AlternateContent>
          <mc:Choice Requires="wps">
            <w:drawing>
              <wp:anchor distT="0" distB="0" distL="114300" distR="114300" simplePos="0" relativeHeight="251724800" behindDoc="0" locked="0" layoutInCell="1" allowOverlap="1">
                <wp:simplePos x="0" y="0"/>
                <wp:positionH relativeFrom="column">
                  <wp:posOffset>4375785</wp:posOffset>
                </wp:positionH>
                <wp:positionV relativeFrom="paragraph">
                  <wp:posOffset>269240</wp:posOffset>
                </wp:positionV>
                <wp:extent cx="6350" cy="304165"/>
                <wp:effectExtent l="36195" t="0" r="33655" b="635"/>
                <wp:wrapNone/>
                <wp:docPr id="65" name="直线 1253"/>
                <wp:cNvGraphicFramePr/>
                <a:graphic xmlns:a="http://schemas.openxmlformats.org/drawingml/2006/main">
                  <a:graphicData uri="http://schemas.microsoft.com/office/word/2010/wordprocessingShape">
                    <wps:wsp>
                      <wps:cNvSpPr/>
                      <wps:spPr>
                        <a:xfrm flipH="1" flipV="1">
                          <a:off x="0" y="0"/>
                          <a:ext cx="6350" cy="3041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3" o:spid="_x0000_s1026" o:spt="20" style="position:absolute;left:0pt;flip:x y;margin-left:344.55pt;margin-top:21.2pt;height:23.95pt;width:0.5pt;z-index:251724800;mso-width-relative:page;mso-height-relative:page;" filled="f" stroked="t" coordsize="21600,21600" o:gfxdata="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01219gAAAAJAQAADwAAAAAAAAABACAAAAAiAAAAZHJzL2Rvd25y&#10;ZXYueG1sUEsBAhQAFAAAAAgAh07iQE9nIOj+AQAA+QMAAA4AAAAAAAAAAQAgAAAAJwEAAGRycy9l&#10;Mm9Eb2MueG1sUEsFBgAAAAAGAAYAWQEAAJcFAAAAAA==&#10;">
                <v:fill on="f" focussize="0,0"/>
                <v:stroke color="#000000" joinstyle="round" endarrow="block"/>
                <v:imagedata o:title=""/>
                <o:lock v:ext="edit" aspectratio="f"/>
              </v:line>
            </w:pict>
          </mc:Fallback>
        </mc:AlternateContent>
      </w:r>
      <w:r>
        <w:rPr>
          <w:sz w:val="24"/>
          <w:lang/>
        </w:rPr>
        <mc:AlternateContent>
          <mc:Choice Requires="wps">
            <w:drawing>
              <wp:anchor distT="0" distB="0" distL="114300" distR="114300" simplePos="0" relativeHeight="251723776" behindDoc="0" locked="0" layoutInCell="1" allowOverlap="1">
                <wp:simplePos x="0" y="0"/>
                <wp:positionH relativeFrom="column">
                  <wp:posOffset>4154170</wp:posOffset>
                </wp:positionH>
                <wp:positionV relativeFrom="paragraph">
                  <wp:posOffset>107950</wp:posOffset>
                </wp:positionV>
                <wp:extent cx="447675" cy="197485"/>
                <wp:effectExtent l="0" t="0" r="0" b="0"/>
                <wp:wrapNone/>
                <wp:docPr id="64" name="矩形 1258"/>
                <wp:cNvGraphicFramePr/>
                <a:graphic xmlns:a="http://schemas.openxmlformats.org/drawingml/2006/main">
                  <a:graphicData uri="http://schemas.microsoft.com/office/word/2010/wordprocessingShape">
                    <wps:wsp>
                      <wps:cNvSpPr/>
                      <wps:spPr>
                        <a:xfrm>
                          <a:off x="0" y="0"/>
                          <a:ext cx="447675" cy="197485"/>
                        </a:xfrm>
                        <a:prstGeom prst="rect">
                          <a:avLst/>
                        </a:prstGeom>
                        <a:noFill/>
                        <a:ln>
                          <a:noFill/>
                        </a:ln>
                      </wps:spPr>
                      <wps:txbx>
                        <w:txbxContent>
                          <w:p w14:paraId="648104AE">
                            <w:pPr>
                              <w:jc w:val="center"/>
                              <w:rPr>
                                <w:szCs w:val="21"/>
                              </w:rPr>
                            </w:pPr>
                            <w:r>
                              <w:rPr>
                                <w:rFonts w:hint="eastAsia"/>
                                <w:szCs w:val="21"/>
                              </w:rPr>
                              <w:t>废气</w:t>
                            </w:r>
                          </w:p>
                        </w:txbxContent>
                      </wps:txbx>
                      <wps:bodyPr wrap="square" lIns="0" tIns="0" rIns="0" bIns="0" upright="1"/>
                    </wps:wsp>
                  </a:graphicData>
                </a:graphic>
              </wp:anchor>
            </w:drawing>
          </mc:Choice>
          <mc:Fallback>
            <w:pict>
              <v:rect id="矩形 1258" o:spid="_x0000_s1026" o:spt="1" style="position:absolute;left:0pt;margin-left:327.1pt;margin-top:8.5pt;height:15.55pt;width:35.25pt;z-index:251723776;mso-width-relative:page;mso-height-relative:page;" filled="f" stroked="f" coordsize="21600,21600" o:gfxdata="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2OAh9oAAAAJAQAADwAAAAAAAAABACAAAAAiAAAAZHJzL2Rvd25yZXYueG1s&#10;UEsBAhQAFAAAAAgAh07iQPXCMUi9AQAAdgMAAA4AAAAAAAAAAQAgAAAAKQEAAGRycy9lMm9Eb2Mu&#10;eG1sUEsFBgAAAAAGAAYAWQEAAFgFAAAAAA==&#10;">
                <v:fill on="f" focussize="0,0"/>
                <v:stroke on="f"/>
                <v:imagedata o:title=""/>
                <o:lock v:ext="edit" aspectratio="f"/>
                <v:textbox inset="0mm,0mm,0mm,0mm">
                  <w:txbxContent>
                    <w:p w14:paraId="648104AE">
                      <w:pPr>
                        <w:jc w:val="center"/>
                        <w:rPr>
                          <w:szCs w:val="21"/>
                        </w:rPr>
                      </w:pPr>
                      <w:r>
                        <w:rPr>
                          <w:rFonts w:hint="eastAsia"/>
                          <w:szCs w:val="21"/>
                        </w:rPr>
                        <w:t>废气</w:t>
                      </w:r>
                    </w:p>
                  </w:txbxContent>
                </v:textbox>
              </v:rect>
            </w:pict>
          </mc:Fallback>
        </mc:AlternateContent>
      </w:r>
    </w:p>
    <w:p w14:paraId="5DD0DADB">
      <w:pPr>
        <w:spacing w:line="520" w:lineRule="exact"/>
        <w:ind w:firstLine="480" w:firstLineChars="200"/>
        <w:rPr>
          <w:bCs/>
          <w:sz w:val="24"/>
        </w:rPr>
      </w:pPr>
      <w:r>
        <w:rPr>
          <w:bCs/>
          <w:sz w:val="24"/>
          <w:lang/>
        </w:rPr>
        <mc:AlternateContent>
          <mc:Choice Requires="wps">
            <w:drawing>
              <wp:anchor distT="0" distB="0" distL="114300" distR="114300" simplePos="0" relativeHeight="251727872" behindDoc="0" locked="0" layoutInCell="1" allowOverlap="1">
                <wp:simplePos x="0" y="0"/>
                <wp:positionH relativeFrom="column">
                  <wp:posOffset>3135630</wp:posOffset>
                </wp:positionH>
                <wp:positionV relativeFrom="paragraph">
                  <wp:posOffset>260985</wp:posOffset>
                </wp:positionV>
                <wp:extent cx="578485" cy="295275"/>
                <wp:effectExtent l="4445" t="4445" r="7620" b="5080"/>
                <wp:wrapNone/>
                <wp:docPr id="68" name="矩形 1252"/>
                <wp:cNvGraphicFramePr/>
                <a:graphic xmlns:a="http://schemas.openxmlformats.org/drawingml/2006/main">
                  <a:graphicData uri="http://schemas.microsoft.com/office/word/2010/wordprocessingShape">
                    <wps:wsp>
                      <wps:cNvSpPr/>
                      <wps:spPr>
                        <a:xfrm>
                          <a:off x="0" y="0"/>
                          <a:ext cx="578485" cy="295275"/>
                        </a:xfrm>
                        <a:prstGeom prst="rect">
                          <a:avLst/>
                        </a:prstGeom>
                        <a:noFill/>
                        <a:ln w="9525" cap="flat" cmpd="sng">
                          <a:solidFill>
                            <a:srgbClr val="000000"/>
                          </a:solidFill>
                          <a:prstDash val="solid"/>
                          <a:miter/>
                          <a:headEnd type="none" w="med" len="med"/>
                          <a:tailEnd type="none" w="med" len="med"/>
                        </a:ln>
                      </wps:spPr>
                      <wps:txbx>
                        <w:txbxContent>
                          <w:p w14:paraId="6D002AA0">
                            <w:pPr>
                              <w:adjustRightInd w:val="0"/>
                              <w:snapToGrid w:val="0"/>
                              <w:spacing w:line="400" w:lineRule="exact"/>
                              <w:jc w:val="center"/>
                              <w:rPr>
                                <w:szCs w:val="21"/>
                              </w:rPr>
                            </w:pPr>
                            <w:r>
                              <w:rPr>
                                <w:rFonts w:hint="eastAsia"/>
                                <w:szCs w:val="21"/>
                              </w:rPr>
                              <w:t>储气柜</w:t>
                            </w:r>
                          </w:p>
                        </w:txbxContent>
                      </wps:txbx>
                      <wps:bodyPr wrap="square" lIns="0" tIns="0" rIns="0" bIns="0" upright="1"/>
                    </wps:wsp>
                  </a:graphicData>
                </a:graphic>
              </wp:anchor>
            </w:drawing>
          </mc:Choice>
          <mc:Fallback>
            <w:pict>
              <v:rect id="矩形 1252" o:spid="_x0000_s1026" o:spt="1" style="position:absolute;left:0pt;margin-left:246.9pt;margin-top:20.55pt;height:23.25pt;width:45.55pt;z-index:251727872;mso-width-relative:page;mso-height-relative:page;" filled="f" stroked="t" coordsize="21600,21600" o:gfxdata="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PDiZtYAAAAJAQAADwAAAAAA&#10;AAABACAAAAAiAAAAZHJzL2Rvd25yZXYueG1sUEsBAhQAFAAAAAgAh07iQO0C3GgVAgAANQQAAA4A&#10;AAAAAAAAAQAgAAAAJQEAAGRycy9lMm9Eb2MueG1sUEsFBgAAAAAGAAYAWQEAAKwFAAAAAA==&#10;">
                <v:fill on="f" focussize="0,0"/>
                <v:stroke color="#000000" joinstyle="miter"/>
                <v:imagedata o:title=""/>
                <o:lock v:ext="edit" aspectratio="f"/>
                <v:textbox inset="0mm,0mm,0mm,0mm">
                  <w:txbxContent>
                    <w:p w14:paraId="6D002AA0">
                      <w:pPr>
                        <w:adjustRightInd w:val="0"/>
                        <w:snapToGrid w:val="0"/>
                        <w:spacing w:line="400" w:lineRule="exact"/>
                        <w:jc w:val="center"/>
                        <w:rPr>
                          <w:szCs w:val="21"/>
                        </w:rPr>
                      </w:pPr>
                      <w:r>
                        <w:rPr>
                          <w:rFonts w:hint="eastAsia"/>
                          <w:szCs w:val="21"/>
                        </w:rPr>
                        <w:t>储气柜</w:t>
                      </w:r>
                    </w:p>
                  </w:txbxContent>
                </v:textbox>
              </v:rect>
            </w:pict>
          </mc:Fallback>
        </mc:AlternateContent>
      </w:r>
      <w:r>
        <w:rPr>
          <w:bCs/>
          <w:sz w:val="24"/>
          <w:lang/>
        </w:rPr>
        <mc:AlternateContent>
          <mc:Choice Requires="wps">
            <w:drawing>
              <wp:anchor distT="0" distB="0" distL="114300" distR="114300" simplePos="0" relativeHeight="251717632" behindDoc="0" locked="0" layoutInCell="1" allowOverlap="1">
                <wp:simplePos x="0" y="0"/>
                <wp:positionH relativeFrom="column">
                  <wp:posOffset>1939290</wp:posOffset>
                </wp:positionH>
                <wp:positionV relativeFrom="paragraph">
                  <wp:posOffset>241300</wp:posOffset>
                </wp:positionV>
                <wp:extent cx="831850" cy="307340"/>
                <wp:effectExtent l="4445" t="4445" r="20955" b="12065"/>
                <wp:wrapNone/>
                <wp:docPr id="58" name="矩形 1250"/>
                <wp:cNvGraphicFramePr/>
                <a:graphic xmlns:a="http://schemas.openxmlformats.org/drawingml/2006/main">
                  <a:graphicData uri="http://schemas.microsoft.com/office/word/2010/wordprocessingShape">
                    <wps:wsp>
                      <wps:cNvSpPr/>
                      <wps:spPr>
                        <a:xfrm>
                          <a:off x="0" y="0"/>
                          <a:ext cx="831850" cy="307340"/>
                        </a:xfrm>
                        <a:prstGeom prst="rect">
                          <a:avLst/>
                        </a:prstGeom>
                        <a:noFill/>
                        <a:ln w="9525" cap="flat" cmpd="sng">
                          <a:solidFill>
                            <a:srgbClr val="000000"/>
                          </a:solidFill>
                          <a:prstDash val="solid"/>
                          <a:miter/>
                          <a:headEnd type="none" w="med" len="med"/>
                          <a:tailEnd type="none" w="med" len="med"/>
                        </a:ln>
                      </wps:spPr>
                      <wps:txbx>
                        <w:txbxContent>
                          <w:p w14:paraId="09C9F4B9">
                            <w:pPr>
                              <w:adjustRightInd w:val="0"/>
                              <w:snapToGrid w:val="0"/>
                              <w:spacing w:line="400" w:lineRule="exact"/>
                              <w:jc w:val="center"/>
                              <w:rPr>
                                <w:szCs w:val="21"/>
                              </w:rPr>
                            </w:pPr>
                            <w:r>
                              <w:rPr>
                                <w:rFonts w:hint="eastAsia"/>
                                <w:szCs w:val="21"/>
                              </w:rPr>
                              <w:t>干法脱硫器</w:t>
                            </w:r>
                          </w:p>
                        </w:txbxContent>
                      </wps:txbx>
                      <wps:bodyPr wrap="square" lIns="0" tIns="0" rIns="0" bIns="0" upright="1"/>
                    </wps:wsp>
                  </a:graphicData>
                </a:graphic>
              </wp:anchor>
            </w:drawing>
          </mc:Choice>
          <mc:Fallback>
            <w:pict>
              <v:rect id="矩形 1250" o:spid="_x0000_s1026" o:spt="1" style="position:absolute;left:0pt;margin-left:152.7pt;margin-top:19pt;height:24.2pt;width:65.5pt;z-index:251717632;mso-width-relative:page;mso-height-relative:page;" filled="f" stroked="t" coordsize="21600,21600" o:gfxdata="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3roP7UAAAACQEAAA8AAAAAAAAA&#10;AQAgAAAAIgAAAGRycy9kb3ducmV2LnhtbFBLAQIUABQAAAAIAIdO4kBINiwmFQIAADUEAAAOAAAA&#10;AAAAAAEAIAAAACMBAABkcnMvZTJvRG9jLnhtbFBLBQYAAAAABgAGAFkBAACqBQAAAAA=&#10;">
                <v:fill on="f" focussize="0,0"/>
                <v:stroke color="#000000" joinstyle="miter"/>
                <v:imagedata o:title=""/>
                <o:lock v:ext="edit" aspectratio="f"/>
                <v:textbox inset="0mm,0mm,0mm,0mm">
                  <w:txbxContent>
                    <w:p w14:paraId="09C9F4B9">
                      <w:pPr>
                        <w:adjustRightInd w:val="0"/>
                        <w:snapToGrid w:val="0"/>
                        <w:spacing w:line="400" w:lineRule="exact"/>
                        <w:jc w:val="center"/>
                        <w:rPr>
                          <w:szCs w:val="21"/>
                        </w:rPr>
                      </w:pPr>
                      <w:r>
                        <w:rPr>
                          <w:rFonts w:hint="eastAsia"/>
                          <w:szCs w:val="21"/>
                        </w:rPr>
                        <w:t>干法脱硫器</w:t>
                      </w:r>
                    </w:p>
                  </w:txbxContent>
                </v:textbox>
              </v:rect>
            </w:pict>
          </mc:Fallback>
        </mc:AlternateContent>
      </w:r>
      <w:r>
        <w:rPr>
          <w:bCs/>
          <w:sz w:val="24"/>
          <w:lang/>
        </w:rPr>
        <mc:AlternateContent>
          <mc:Choice Requires="wps">
            <w:drawing>
              <wp:anchor distT="0" distB="0" distL="114300" distR="114300" simplePos="0" relativeHeight="251719680" behindDoc="0" locked="0" layoutInCell="1" allowOverlap="1">
                <wp:simplePos x="0" y="0"/>
                <wp:positionH relativeFrom="column">
                  <wp:posOffset>1019810</wp:posOffset>
                </wp:positionH>
                <wp:positionV relativeFrom="paragraph">
                  <wp:posOffset>241300</wp:posOffset>
                </wp:positionV>
                <wp:extent cx="578485" cy="295275"/>
                <wp:effectExtent l="4445" t="4445" r="7620" b="5080"/>
                <wp:wrapNone/>
                <wp:docPr id="60" name="矩形 1252"/>
                <wp:cNvGraphicFramePr/>
                <a:graphic xmlns:a="http://schemas.openxmlformats.org/drawingml/2006/main">
                  <a:graphicData uri="http://schemas.microsoft.com/office/word/2010/wordprocessingShape">
                    <wps:wsp>
                      <wps:cNvSpPr/>
                      <wps:spPr>
                        <a:xfrm>
                          <a:off x="0" y="0"/>
                          <a:ext cx="578485" cy="295275"/>
                        </a:xfrm>
                        <a:prstGeom prst="rect">
                          <a:avLst/>
                        </a:prstGeom>
                        <a:noFill/>
                        <a:ln w="9525" cap="flat" cmpd="sng">
                          <a:solidFill>
                            <a:srgbClr val="000000"/>
                          </a:solidFill>
                          <a:prstDash val="solid"/>
                          <a:miter/>
                          <a:headEnd type="none" w="med" len="med"/>
                          <a:tailEnd type="none" w="med" len="med"/>
                        </a:ln>
                      </wps:spPr>
                      <wps:txbx>
                        <w:txbxContent>
                          <w:p w14:paraId="722941AC">
                            <w:pPr>
                              <w:adjustRightInd w:val="0"/>
                              <w:snapToGrid w:val="0"/>
                              <w:spacing w:line="400" w:lineRule="exact"/>
                              <w:jc w:val="center"/>
                              <w:rPr>
                                <w:szCs w:val="21"/>
                              </w:rPr>
                            </w:pPr>
                            <w:r>
                              <w:rPr>
                                <w:rFonts w:hint="eastAsia"/>
                                <w:szCs w:val="21"/>
                              </w:rPr>
                              <w:t>沉降脱水</w:t>
                            </w:r>
                          </w:p>
                        </w:txbxContent>
                      </wps:txbx>
                      <wps:bodyPr wrap="square" lIns="0" tIns="0" rIns="0" bIns="0" upright="1"/>
                    </wps:wsp>
                  </a:graphicData>
                </a:graphic>
              </wp:anchor>
            </w:drawing>
          </mc:Choice>
          <mc:Fallback>
            <w:pict>
              <v:rect id="矩形 1252" o:spid="_x0000_s1026" o:spt="1" style="position:absolute;left:0pt;margin-left:80.3pt;margin-top:19pt;height:23.25pt;width:45.55pt;z-index:251719680;mso-width-relative:page;mso-height-relative:page;" filled="f" stroked="t" coordsize="21600,21600" o:gfxdata="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rjCVHUAAAACQEAAA8AAAAAAAAA&#10;AQAgAAAAIgAAAGRycy9kb3ducmV2LnhtbFBLAQIUABQAAAAIAIdO4kC28EfPFQIAADUEAAAOAAAA&#10;AAAAAAEAIAAAACMBAABkcnMvZTJvRG9jLnhtbFBLBQYAAAAABgAGAFkBAACqBQAAAAA=&#10;">
                <v:fill on="f" focussize="0,0"/>
                <v:stroke color="#000000" joinstyle="miter"/>
                <v:imagedata o:title=""/>
                <o:lock v:ext="edit" aspectratio="f"/>
                <v:textbox inset="0mm,0mm,0mm,0mm">
                  <w:txbxContent>
                    <w:p w14:paraId="722941AC">
                      <w:pPr>
                        <w:adjustRightInd w:val="0"/>
                        <w:snapToGrid w:val="0"/>
                        <w:spacing w:line="400" w:lineRule="exact"/>
                        <w:jc w:val="center"/>
                        <w:rPr>
                          <w:szCs w:val="21"/>
                        </w:rPr>
                      </w:pPr>
                      <w:r>
                        <w:rPr>
                          <w:rFonts w:hint="eastAsia"/>
                          <w:szCs w:val="21"/>
                        </w:rPr>
                        <w:t>沉降脱水</w:t>
                      </w:r>
                    </w:p>
                  </w:txbxContent>
                </v:textbox>
              </v:rect>
            </w:pict>
          </mc:Fallback>
        </mc:AlternateContent>
      </w:r>
      <w:r>
        <w:rPr>
          <w:bCs/>
          <w:sz w:val="24"/>
          <w:lang/>
        </w:rPr>
        <mc:AlternateContent>
          <mc:Choice Requires="wps">
            <w:drawing>
              <wp:anchor distT="0" distB="0" distL="114300" distR="114300" simplePos="0" relativeHeight="251716608" behindDoc="0" locked="0" layoutInCell="1" allowOverlap="1">
                <wp:simplePos x="0" y="0"/>
                <wp:positionH relativeFrom="column">
                  <wp:posOffset>-44450</wp:posOffset>
                </wp:positionH>
                <wp:positionV relativeFrom="paragraph">
                  <wp:posOffset>241300</wp:posOffset>
                </wp:positionV>
                <wp:extent cx="732155" cy="291465"/>
                <wp:effectExtent l="4445" t="4445" r="6350" b="8890"/>
                <wp:wrapNone/>
                <wp:docPr id="57" name="矩形 1249"/>
                <wp:cNvGraphicFramePr/>
                <a:graphic xmlns:a="http://schemas.openxmlformats.org/drawingml/2006/main">
                  <a:graphicData uri="http://schemas.microsoft.com/office/word/2010/wordprocessingShape">
                    <wps:wsp>
                      <wps:cNvSpPr/>
                      <wps:spPr>
                        <a:xfrm>
                          <a:off x="0" y="0"/>
                          <a:ext cx="732155" cy="291465"/>
                        </a:xfrm>
                        <a:prstGeom prst="rect">
                          <a:avLst/>
                        </a:prstGeom>
                        <a:noFill/>
                        <a:ln w="9525" cap="flat" cmpd="sng">
                          <a:solidFill>
                            <a:srgbClr val="000000"/>
                          </a:solidFill>
                          <a:prstDash val="solid"/>
                          <a:miter/>
                          <a:headEnd type="none" w="med" len="med"/>
                          <a:tailEnd type="none" w="med" len="med"/>
                        </a:ln>
                      </wps:spPr>
                      <wps:txbx>
                        <w:txbxContent>
                          <w:p w14:paraId="1CCC0251">
                            <w:pPr>
                              <w:adjustRightInd w:val="0"/>
                              <w:snapToGrid w:val="0"/>
                              <w:spacing w:line="400" w:lineRule="exact"/>
                              <w:jc w:val="center"/>
                              <w:rPr>
                                <w:szCs w:val="21"/>
                              </w:rPr>
                            </w:pPr>
                            <w:r>
                              <w:rPr>
                                <w:rFonts w:hint="eastAsia"/>
                                <w:szCs w:val="21"/>
                              </w:rPr>
                              <w:t>沼气池沼气</w:t>
                            </w:r>
                          </w:p>
                        </w:txbxContent>
                      </wps:txbx>
                      <wps:bodyPr wrap="square" lIns="0" tIns="0" rIns="0" bIns="0" upright="1"/>
                    </wps:wsp>
                  </a:graphicData>
                </a:graphic>
              </wp:anchor>
            </w:drawing>
          </mc:Choice>
          <mc:Fallback>
            <w:pict>
              <v:rect id="矩形 1249" o:spid="_x0000_s1026" o:spt="1" style="position:absolute;left:0pt;margin-left:-3.5pt;margin-top:19pt;height:22.95pt;width:57.65pt;z-index:251716608;mso-width-relative:page;mso-height-relative:page;" filled="f" stroked="t" coordsize="21600,21600" o:gfxdata="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7ib21AAAAAgBAAAPAAAAAAAA&#10;AAEAIAAAACIAAABkcnMvZG93bnJldi54bWxQSwECFAAUAAAACACHTuJAB39YyhYCAAA1BAAADgAA&#10;AAAAAAABACAAAAAjAQAAZHJzL2Uyb0RvYy54bWxQSwUGAAAAAAYABgBZAQAAqwUAAAAA&#10;">
                <v:fill on="f" focussize="0,0"/>
                <v:stroke color="#000000" joinstyle="miter"/>
                <v:imagedata o:title=""/>
                <o:lock v:ext="edit" aspectratio="f"/>
                <v:textbox inset="0mm,0mm,0mm,0mm">
                  <w:txbxContent>
                    <w:p w14:paraId="1CCC0251">
                      <w:pPr>
                        <w:adjustRightInd w:val="0"/>
                        <w:snapToGrid w:val="0"/>
                        <w:spacing w:line="400" w:lineRule="exact"/>
                        <w:jc w:val="center"/>
                        <w:rPr>
                          <w:szCs w:val="21"/>
                        </w:rPr>
                      </w:pPr>
                      <w:r>
                        <w:rPr>
                          <w:rFonts w:hint="eastAsia"/>
                          <w:szCs w:val="21"/>
                        </w:rPr>
                        <w:t>沼气池沼气</w:t>
                      </w:r>
                    </w:p>
                  </w:txbxContent>
                </v:textbox>
              </v:rect>
            </w:pict>
          </mc:Fallback>
        </mc:AlternateContent>
      </w:r>
      <w:r>
        <w:rPr>
          <w:bCs/>
          <w:sz w:val="24"/>
          <w:lang/>
        </w:rPr>
        <mc:AlternateContent>
          <mc:Choice Requires="wps">
            <w:drawing>
              <wp:anchor distT="0" distB="0" distL="114300" distR="114300" simplePos="0" relativeHeight="251721728" behindDoc="0" locked="0" layoutInCell="1" allowOverlap="1">
                <wp:simplePos x="0" y="0"/>
                <wp:positionH relativeFrom="column">
                  <wp:posOffset>4081145</wp:posOffset>
                </wp:positionH>
                <wp:positionV relativeFrom="paragraph">
                  <wp:posOffset>260985</wp:posOffset>
                </wp:positionV>
                <wp:extent cx="742315" cy="363220"/>
                <wp:effectExtent l="0" t="0" r="0" b="0"/>
                <wp:wrapNone/>
                <wp:docPr id="62" name="矩形 1254"/>
                <wp:cNvGraphicFramePr/>
                <a:graphic xmlns:a="http://schemas.openxmlformats.org/drawingml/2006/main">
                  <a:graphicData uri="http://schemas.microsoft.com/office/word/2010/wordprocessingShape">
                    <wps:wsp>
                      <wps:cNvSpPr/>
                      <wps:spPr>
                        <a:xfrm>
                          <a:off x="0" y="0"/>
                          <a:ext cx="742315" cy="363220"/>
                        </a:xfrm>
                        <a:prstGeom prst="rect">
                          <a:avLst/>
                        </a:prstGeom>
                        <a:noFill/>
                        <a:ln>
                          <a:noFill/>
                        </a:ln>
                      </wps:spPr>
                      <wps:txbx>
                        <w:txbxContent>
                          <w:p w14:paraId="16050555">
                            <w:pPr>
                              <w:adjustRightInd w:val="0"/>
                              <w:snapToGrid w:val="0"/>
                              <w:spacing w:line="240" w:lineRule="exact"/>
                              <w:rPr>
                                <w:rFonts w:hint="eastAsia"/>
                                <w:szCs w:val="21"/>
                              </w:rPr>
                            </w:pPr>
                            <w:r>
                              <w:rPr>
                                <w:rFonts w:hint="eastAsia"/>
                                <w:szCs w:val="21"/>
                              </w:rPr>
                              <w:t>沼气/燃气</w:t>
                            </w:r>
                          </w:p>
                          <w:p w14:paraId="04871F6F">
                            <w:pPr>
                              <w:adjustRightInd w:val="0"/>
                              <w:snapToGrid w:val="0"/>
                              <w:spacing w:line="240" w:lineRule="exact"/>
                              <w:rPr>
                                <w:szCs w:val="21"/>
                              </w:rPr>
                            </w:pPr>
                            <w:r>
                              <w:rPr>
                                <w:rFonts w:hint="eastAsia"/>
                                <w:szCs w:val="21"/>
                              </w:rPr>
                              <w:t>两用锅炉</w:t>
                            </w:r>
                          </w:p>
                        </w:txbxContent>
                      </wps:txbx>
                      <wps:bodyPr wrap="square" lIns="0" tIns="0" rIns="0" bIns="0" upright="1"/>
                    </wps:wsp>
                  </a:graphicData>
                </a:graphic>
              </wp:anchor>
            </w:drawing>
          </mc:Choice>
          <mc:Fallback>
            <w:pict>
              <v:rect id="矩形 1254" o:spid="_x0000_s1026" o:spt="1" style="position:absolute;left:0pt;margin-left:321.35pt;margin-top:20.55pt;height:28.6pt;width:58.45pt;z-index:251721728;mso-width-relative:page;mso-height-relative:page;" filled="f" stroked="f" coordsize="21600,21600" o:gfxdata="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bDZ+42wAAAAkBAAAPAAAAAAAAAAEAIAAAACIAAABkcnMvZG93bnJldi54&#10;bWxQSwECFAAUAAAACACHTuJAYuRnRr4BAAB2AwAADgAAAAAAAAABACAAAAAqAQAAZHJzL2Uyb0Rv&#10;Yy54bWxQSwUGAAAAAAYABgBZAQAAWgUAAAAA&#10;">
                <v:fill on="f" focussize="0,0"/>
                <v:stroke on="f"/>
                <v:imagedata o:title=""/>
                <o:lock v:ext="edit" aspectratio="f"/>
                <v:textbox inset="0mm,0mm,0mm,0mm">
                  <w:txbxContent>
                    <w:p w14:paraId="16050555">
                      <w:pPr>
                        <w:adjustRightInd w:val="0"/>
                        <w:snapToGrid w:val="0"/>
                        <w:spacing w:line="240" w:lineRule="exact"/>
                        <w:rPr>
                          <w:rFonts w:hint="eastAsia"/>
                          <w:szCs w:val="21"/>
                        </w:rPr>
                      </w:pPr>
                      <w:r>
                        <w:rPr>
                          <w:rFonts w:hint="eastAsia"/>
                          <w:szCs w:val="21"/>
                        </w:rPr>
                        <w:t>沼气/燃气</w:t>
                      </w:r>
                    </w:p>
                    <w:p w14:paraId="04871F6F">
                      <w:pPr>
                        <w:adjustRightInd w:val="0"/>
                        <w:snapToGrid w:val="0"/>
                        <w:spacing w:line="240" w:lineRule="exact"/>
                        <w:rPr>
                          <w:szCs w:val="21"/>
                        </w:rPr>
                      </w:pPr>
                      <w:r>
                        <w:rPr>
                          <w:rFonts w:hint="eastAsia"/>
                          <w:szCs w:val="21"/>
                        </w:rPr>
                        <w:t>两用锅炉</w:t>
                      </w:r>
                    </w:p>
                  </w:txbxContent>
                </v:textbox>
              </v:rect>
            </w:pict>
          </mc:Fallback>
        </mc:AlternateContent>
      </w:r>
    </w:p>
    <w:p w14:paraId="6E0F608F">
      <w:pPr>
        <w:spacing w:line="520" w:lineRule="exact"/>
        <w:ind w:firstLine="482" w:firstLineChars="200"/>
        <w:rPr>
          <w:b/>
          <w:sz w:val="24"/>
        </w:rPr>
      </w:pPr>
      <w:r>
        <w:rPr>
          <w:b/>
          <w:sz w:val="24"/>
          <w:lang/>
        </w:rPr>
        <mc:AlternateContent>
          <mc:Choice Requires="wps">
            <w:drawing>
              <wp:anchor distT="0" distB="0" distL="114300" distR="114300" simplePos="0" relativeHeight="251728896" behindDoc="0" locked="0" layoutInCell="1" allowOverlap="1">
                <wp:simplePos x="0" y="0"/>
                <wp:positionH relativeFrom="column">
                  <wp:posOffset>1252220</wp:posOffset>
                </wp:positionH>
                <wp:positionV relativeFrom="paragraph">
                  <wp:posOffset>226060</wp:posOffset>
                </wp:positionV>
                <wp:extent cx="0" cy="278765"/>
                <wp:effectExtent l="38100" t="0" r="38100" b="6985"/>
                <wp:wrapNone/>
                <wp:docPr id="69" name="直线 1248"/>
                <wp:cNvGraphicFramePr/>
                <a:graphic xmlns:a="http://schemas.openxmlformats.org/drawingml/2006/main">
                  <a:graphicData uri="http://schemas.microsoft.com/office/word/2010/wordprocessingShape">
                    <wps:wsp>
                      <wps:cNvSpPr/>
                      <wps:spPr>
                        <a:xfrm>
                          <a:off x="0" y="0"/>
                          <a:ext cx="0" cy="2787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98.6pt;margin-top:17.8pt;height:21.95pt;width:0pt;z-index:251728896;mso-width-relative:page;mso-height-relative:page;" filled="f" stroked="t" coordsize="21600,21600" o:gfxdata="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4AbwjZAAAACQEAAA8AAAAAAAAAAQAgAAAAIgAAAGRycy9kb3ducmV2LnhtbFBLAQIUABQA&#10;AAAIAIdO4kBK0D+l7wEAAOIDAAAOAAAAAAAAAAEAIAAAACgBAABkcnMvZTJvRG9jLnhtbFBLBQYA&#10;AAAABgAGAFkBAACJBQ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18656" behindDoc="0" locked="0" layoutInCell="1" allowOverlap="1">
                <wp:simplePos x="0" y="0"/>
                <wp:positionH relativeFrom="column">
                  <wp:posOffset>2771140</wp:posOffset>
                </wp:positionH>
                <wp:positionV relativeFrom="paragraph">
                  <wp:posOffset>75565</wp:posOffset>
                </wp:positionV>
                <wp:extent cx="364490" cy="0"/>
                <wp:effectExtent l="0" t="38100" r="16510" b="38100"/>
                <wp:wrapNone/>
                <wp:docPr id="59" name="直线 1251"/>
                <wp:cNvGraphicFramePr/>
                <a:graphic xmlns:a="http://schemas.openxmlformats.org/drawingml/2006/main">
                  <a:graphicData uri="http://schemas.microsoft.com/office/word/2010/wordprocessingShape">
                    <wps:wsp>
                      <wps:cNvSpPr/>
                      <wps:spPr>
                        <a:xfrm>
                          <a:off x="0" y="0"/>
                          <a:ext cx="3644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1" o:spid="_x0000_s1026" o:spt="20" style="position:absolute;left:0pt;margin-left:218.2pt;margin-top:5.95pt;height:0pt;width:28.7pt;z-index:251718656;mso-width-relative:page;mso-height-relative:page;" filled="f" stroked="t" coordsize="21600,21600" o:gfxdata="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3oq2AAAAAkBAAAPAAAAAAAAAAEAIAAAACIAAABkcnMvZG93bnJldi54bWxQSwECFAAU&#10;AAAACACHTuJA6UMJ6fEBAADiAwAADgAAAAAAAAABACAAAAAnAQAAZHJzL2Uyb0RvYy54bWxQSwUG&#10;AAAAAAYABgBZAQAAigU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26848" behindDoc="0" locked="0" layoutInCell="1" allowOverlap="1">
                <wp:simplePos x="0" y="0"/>
                <wp:positionH relativeFrom="column">
                  <wp:posOffset>1595755</wp:posOffset>
                </wp:positionH>
                <wp:positionV relativeFrom="paragraph">
                  <wp:posOffset>62865</wp:posOffset>
                </wp:positionV>
                <wp:extent cx="343535" cy="0"/>
                <wp:effectExtent l="0" t="38100" r="18415" b="38100"/>
                <wp:wrapNone/>
                <wp:docPr id="67" name="直线 1248"/>
                <wp:cNvGraphicFramePr/>
                <a:graphic xmlns:a="http://schemas.openxmlformats.org/drawingml/2006/main">
                  <a:graphicData uri="http://schemas.microsoft.com/office/word/2010/wordprocessingShape">
                    <wps:wsp>
                      <wps:cNvSpPr/>
                      <wps:spPr>
                        <a:xfrm>
                          <a:off x="0" y="0"/>
                          <a:ext cx="3435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25.65pt;margin-top:4.95pt;height:0pt;width:27.05pt;z-index:251726848;mso-width-relative:page;mso-height-relative:page;" filled="f" stroked="t" coordsize="21600,21600" o:gfxdata="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eeOK1wAAAAcBAAAPAAAAAAAAAAEAIAAAACIAAABkcnMvZG93bnJldi54bWxQSwECFAAU&#10;AAAACACHTuJA/d0/gvIBAADiAwAADgAAAAAAAAABACAAAAAmAQAAZHJzL2Uyb0RvYy54bWxQSwUG&#10;AAAAAAYABgBZAQAAigU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15584" behindDoc="0" locked="0" layoutInCell="1" allowOverlap="1">
                <wp:simplePos x="0" y="0"/>
                <wp:positionH relativeFrom="column">
                  <wp:posOffset>676275</wp:posOffset>
                </wp:positionH>
                <wp:positionV relativeFrom="paragraph">
                  <wp:posOffset>63500</wp:posOffset>
                </wp:positionV>
                <wp:extent cx="343535" cy="0"/>
                <wp:effectExtent l="0" t="38100" r="18415" b="38100"/>
                <wp:wrapNone/>
                <wp:docPr id="56" name="直线 1248"/>
                <wp:cNvGraphicFramePr/>
                <a:graphic xmlns:a="http://schemas.openxmlformats.org/drawingml/2006/main">
                  <a:graphicData uri="http://schemas.microsoft.com/office/word/2010/wordprocessingShape">
                    <wps:wsp>
                      <wps:cNvSpPr/>
                      <wps:spPr>
                        <a:xfrm>
                          <a:off x="0" y="0"/>
                          <a:ext cx="3435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53.25pt;margin-top:5pt;height:0pt;width:27.05pt;z-index:251715584;mso-width-relative:page;mso-height-relative:page;" filled="f" stroked="t" coordsize="21600,21600" o:gfxdata="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bC8pNYAAAAJAQAADwAAAAAAAAABACAAAAAiAAAAZHJzL2Rvd25yZXYueG1sUEsBAhQAFAAA&#10;AAgAh07iQIU3E+TxAQAA4gMAAA4AAAAAAAAAAQAgAAAAJQEAAGRycy9lMm9Eb2MueG1sUEsFBgAA&#10;AAAGAAYAWQEAAIgFA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20704" behindDoc="0" locked="0" layoutInCell="1" allowOverlap="1">
                <wp:simplePos x="0" y="0"/>
                <wp:positionH relativeFrom="column">
                  <wp:posOffset>3705860</wp:posOffset>
                </wp:positionH>
                <wp:positionV relativeFrom="paragraph">
                  <wp:posOffset>74930</wp:posOffset>
                </wp:positionV>
                <wp:extent cx="355600" cy="635"/>
                <wp:effectExtent l="0" t="37465" r="6350" b="38100"/>
                <wp:wrapNone/>
                <wp:docPr id="61" name="直线 1253"/>
                <wp:cNvGraphicFramePr/>
                <a:graphic xmlns:a="http://schemas.openxmlformats.org/drawingml/2006/main">
                  <a:graphicData uri="http://schemas.microsoft.com/office/word/2010/wordprocessingShape">
                    <wps:wsp>
                      <wps:cNvSpPr/>
                      <wps:spPr>
                        <a:xfrm>
                          <a:off x="0" y="0"/>
                          <a:ext cx="3556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3" o:spid="_x0000_s1026" o:spt="20" style="position:absolute;left:0pt;margin-left:291.8pt;margin-top:5.9pt;height:0.05pt;width:28pt;z-index:251720704;mso-width-relative:page;mso-height-relative:page;" filled="f" stroked="t" coordsize="21600,21600" o:gfxdata="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h4dq2AAAAAkBAAAPAAAAAAAAAAEAIAAAACIAAABkcnMvZG93bnJldi54bWxQSwECFAAU&#10;AAAACACHTuJA+gojX/EBAADkAwAADgAAAAAAAAABACAAAAAnAQAAZHJzL2Uyb0RvYy54bWxQSwUG&#10;AAAAAAYABgBZAQAAigUAAAAA&#10;">
                <v:fill on="f" focussize="0,0"/>
                <v:stroke color="#000000" joinstyle="round" endarrow="block"/>
                <v:imagedata o:title=""/>
                <o:lock v:ext="edit" aspectratio="f"/>
              </v:line>
            </w:pict>
          </mc:Fallback>
        </mc:AlternateContent>
      </w:r>
    </w:p>
    <w:p w14:paraId="4BB8CDA5">
      <w:pPr>
        <w:spacing w:line="520" w:lineRule="exact"/>
        <w:ind w:firstLine="482" w:firstLineChars="200"/>
        <w:rPr>
          <w:b/>
          <w:sz w:val="24"/>
        </w:rPr>
      </w:pPr>
      <w:r>
        <w:rPr>
          <w:b/>
          <w:sz w:val="24"/>
          <w:lang/>
        </w:rPr>
        <mc:AlternateContent>
          <mc:Choice Requires="wps">
            <w:drawing>
              <wp:anchor distT="0" distB="0" distL="114300" distR="114300" simplePos="0" relativeHeight="251730944" behindDoc="0" locked="0" layoutInCell="1" allowOverlap="1">
                <wp:simplePos x="0" y="0"/>
                <wp:positionH relativeFrom="column">
                  <wp:posOffset>1432560</wp:posOffset>
                </wp:positionH>
                <wp:positionV relativeFrom="paragraph">
                  <wp:posOffset>251460</wp:posOffset>
                </wp:positionV>
                <wp:extent cx="343535" cy="0"/>
                <wp:effectExtent l="0" t="38100" r="18415" b="38100"/>
                <wp:wrapNone/>
                <wp:docPr id="71" name="直线 1248"/>
                <wp:cNvGraphicFramePr/>
                <a:graphic xmlns:a="http://schemas.openxmlformats.org/drawingml/2006/main">
                  <a:graphicData uri="http://schemas.microsoft.com/office/word/2010/wordprocessingShape">
                    <wps:wsp>
                      <wps:cNvSpPr/>
                      <wps:spPr>
                        <a:xfrm>
                          <a:off x="0" y="0"/>
                          <a:ext cx="3435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12.8pt;margin-top:19.8pt;height:0pt;width:27.05pt;z-index:251730944;mso-width-relative:page;mso-height-relative:page;" filled="f" stroked="t" coordsize="21600,21600" o:gfxdata="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0JdTDaAAAACQEAAA8AAAAAAAAAAQAgAAAAIgAAAGRycy9kb3ducmV2LnhtbFBLAQIU&#10;ABQAAAAIAIdO4kDJFxcw8QEAAOIDAAAOAAAAAAAAAAEAIAAAACkBAABkcnMvZTJvRG9jLnhtbFBL&#10;BQYAAAAABgAGAFkBAACMBQAAAAA=&#10;">
                <v:fill on="f" focussize="0,0"/>
                <v:stroke color="#000000" joinstyle="round" endarrow="block"/>
                <v:imagedata o:title=""/>
                <o:lock v:ext="edit" aspectratio="f"/>
              </v:line>
            </w:pict>
          </mc:Fallback>
        </mc:AlternateContent>
      </w:r>
      <w:r>
        <w:rPr>
          <w:sz w:val="24"/>
          <w:lang/>
        </w:rPr>
        <mc:AlternateContent>
          <mc:Choice Requires="wps">
            <w:drawing>
              <wp:anchor distT="0" distB="0" distL="114300" distR="114300" simplePos="0" relativeHeight="251729920" behindDoc="0" locked="0" layoutInCell="1" allowOverlap="1">
                <wp:simplePos x="0" y="0"/>
                <wp:positionH relativeFrom="column">
                  <wp:posOffset>732155</wp:posOffset>
                </wp:positionH>
                <wp:positionV relativeFrom="paragraph">
                  <wp:posOffset>174625</wp:posOffset>
                </wp:positionV>
                <wp:extent cx="957580" cy="209550"/>
                <wp:effectExtent l="0" t="0" r="0" b="0"/>
                <wp:wrapNone/>
                <wp:docPr id="70" name="矩形 1256"/>
                <wp:cNvGraphicFramePr/>
                <a:graphic xmlns:a="http://schemas.openxmlformats.org/drawingml/2006/main">
                  <a:graphicData uri="http://schemas.microsoft.com/office/word/2010/wordprocessingShape">
                    <wps:wsp>
                      <wps:cNvSpPr/>
                      <wps:spPr>
                        <a:xfrm>
                          <a:off x="0" y="0"/>
                          <a:ext cx="957580" cy="209550"/>
                        </a:xfrm>
                        <a:prstGeom prst="rect">
                          <a:avLst/>
                        </a:prstGeom>
                        <a:noFill/>
                        <a:ln>
                          <a:noFill/>
                        </a:ln>
                      </wps:spPr>
                      <wps:txbx>
                        <w:txbxContent>
                          <w:p w14:paraId="079EFD8F">
                            <w:pPr>
                              <w:jc w:val="center"/>
                              <w:rPr>
                                <w:szCs w:val="21"/>
                              </w:rPr>
                            </w:pPr>
                            <w:r>
                              <w:rPr>
                                <w:rFonts w:hint="eastAsia"/>
                                <w:szCs w:val="21"/>
                              </w:rPr>
                              <w:t>脱出水</w:t>
                            </w:r>
                          </w:p>
                        </w:txbxContent>
                      </wps:txbx>
                      <wps:bodyPr wrap="square" lIns="0" tIns="0" rIns="0" bIns="0" upright="1"/>
                    </wps:wsp>
                  </a:graphicData>
                </a:graphic>
              </wp:anchor>
            </w:drawing>
          </mc:Choice>
          <mc:Fallback>
            <w:pict>
              <v:rect id="矩形 1256" o:spid="_x0000_s1026" o:spt="1" style="position:absolute;left:0pt;margin-left:57.65pt;margin-top:13.75pt;height:16.5pt;width:75.4pt;z-index:251729920;mso-width-relative:page;mso-height-relative:page;" filled="f" stroked="f" coordsize="21600,21600" o:gfxdata="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F3utoAAAAJAQAADwAAAAAAAAABACAAAAAiAAAAZHJzL2Rvd25yZXYueG1s&#10;UEsBAhQAFAAAAAgAh07iQHTl1+S9AQAAdgMAAA4AAAAAAAAAAQAgAAAAKQEAAGRycy9lMm9Eb2Mu&#10;eG1sUEsFBgAAAAAGAAYAWQEAAFgFAAAAAA==&#10;">
                <v:fill on="f" focussize="0,0"/>
                <v:stroke on="f"/>
                <v:imagedata o:title=""/>
                <o:lock v:ext="edit" aspectratio="f"/>
                <v:textbox inset="0mm,0mm,0mm,0mm">
                  <w:txbxContent>
                    <w:p w14:paraId="079EFD8F">
                      <w:pPr>
                        <w:jc w:val="center"/>
                        <w:rPr>
                          <w:szCs w:val="21"/>
                        </w:rPr>
                      </w:pPr>
                      <w:r>
                        <w:rPr>
                          <w:rFonts w:hint="eastAsia"/>
                          <w:szCs w:val="21"/>
                        </w:rPr>
                        <w:t>脱出水</w:t>
                      </w:r>
                    </w:p>
                  </w:txbxContent>
                </v:textbox>
              </v:rect>
            </w:pict>
          </mc:Fallback>
        </mc:AlternateContent>
      </w:r>
    </w:p>
    <w:p w14:paraId="0DC65BBA">
      <w:pPr>
        <w:spacing w:line="360" w:lineRule="auto"/>
        <w:ind w:firstLine="480" w:firstLineChars="200"/>
        <w:rPr>
          <w:sz w:val="24"/>
        </w:rPr>
      </w:pPr>
      <w:r>
        <w:rPr>
          <w:sz w:val="24"/>
          <w:lang/>
        </w:rPr>
        <mc:AlternateContent>
          <mc:Choice Requires="wps">
            <w:drawing>
              <wp:anchor distT="0" distB="0" distL="114300" distR="114300" simplePos="0" relativeHeight="251714560" behindDoc="0" locked="0" layoutInCell="1" allowOverlap="1">
                <wp:simplePos x="0" y="0"/>
                <wp:positionH relativeFrom="column">
                  <wp:posOffset>676275</wp:posOffset>
                </wp:positionH>
                <wp:positionV relativeFrom="paragraph">
                  <wp:posOffset>88900</wp:posOffset>
                </wp:positionV>
                <wp:extent cx="3548380" cy="247650"/>
                <wp:effectExtent l="0" t="0" r="0" b="0"/>
                <wp:wrapNone/>
                <wp:docPr id="55" name="文本框 47"/>
                <wp:cNvGraphicFramePr/>
                <a:graphic xmlns:a="http://schemas.openxmlformats.org/drawingml/2006/main">
                  <a:graphicData uri="http://schemas.microsoft.com/office/word/2010/wordprocessingShape">
                    <wps:wsp>
                      <wps:cNvSpPr txBox="1"/>
                      <wps:spPr>
                        <a:xfrm>
                          <a:off x="0" y="0"/>
                          <a:ext cx="3548380" cy="247650"/>
                        </a:xfrm>
                        <a:prstGeom prst="rect">
                          <a:avLst/>
                        </a:prstGeom>
                        <a:noFill/>
                        <a:ln>
                          <a:noFill/>
                        </a:ln>
                      </wps:spPr>
                      <wps:txbx>
                        <w:txbxContent>
                          <w:p w14:paraId="09351AB0">
                            <w:pPr>
                              <w:ind w:firstLine="422" w:firstLineChars="200"/>
                              <w:jc w:val="center"/>
                              <w:rPr>
                                <w:b/>
                                <w:bCs/>
                                <w:color w:val="000000"/>
                                <w:szCs w:val="21"/>
                              </w:rPr>
                            </w:pPr>
                            <w:r>
                              <w:rPr>
                                <w:b/>
                                <w:bCs/>
                                <w:color w:val="000000"/>
                                <w:szCs w:val="21"/>
                              </w:rPr>
                              <w:t>图3-</w:t>
                            </w:r>
                            <w:r>
                              <w:rPr>
                                <w:rFonts w:hint="eastAsia"/>
                                <w:b/>
                                <w:bCs/>
                                <w:color w:val="000000"/>
                                <w:szCs w:val="21"/>
                              </w:rPr>
                              <w:t>4</w:t>
                            </w:r>
                            <w:r>
                              <w:rPr>
                                <w:b/>
                                <w:bCs/>
                                <w:color w:val="000000"/>
                                <w:szCs w:val="21"/>
                              </w:rPr>
                              <w:t xml:space="preserve">   沼气利用流程及产物环节图</w:t>
                            </w:r>
                          </w:p>
                          <w:p w14:paraId="594C394D"/>
                        </w:txbxContent>
                      </wps:txbx>
                      <wps:bodyPr wrap="square" lIns="0" tIns="0" rIns="0" bIns="0" upright="1"/>
                    </wps:wsp>
                  </a:graphicData>
                </a:graphic>
              </wp:anchor>
            </w:drawing>
          </mc:Choice>
          <mc:Fallback>
            <w:pict>
              <v:shape id="文本框 47" o:spid="_x0000_s1026" o:spt="202" type="#_x0000_t202" style="position:absolute;left:0pt;margin-left:53.25pt;margin-top:7pt;height:19.5pt;width:279.4pt;z-index:251714560;mso-width-relative:page;mso-height-relative:page;" filled="f" stroked="f" coordsize="21600,21600" o:gfxdata="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FGlKnWAAAACQEAAA8AAAAAAAAAAQAgAAAAIgAAAGRycy9kb3du&#10;cmV2LnhtbFBLAQIUABQAAAAIAIdO4kA5GXz0yAEAAIIDAAAOAAAAAAAAAAEAIAAAACUBAABkcnMv&#10;ZTJvRG9jLnhtbFBLBQYAAAAABgAGAFkBAABfBQAAAAA=&#10;">
                <v:fill on="f" focussize="0,0"/>
                <v:stroke on="f"/>
                <v:imagedata o:title=""/>
                <o:lock v:ext="edit" aspectratio="f"/>
                <v:textbox inset="0mm,0mm,0mm,0mm">
                  <w:txbxContent>
                    <w:p w14:paraId="09351AB0">
                      <w:pPr>
                        <w:ind w:firstLine="422" w:firstLineChars="200"/>
                        <w:jc w:val="center"/>
                        <w:rPr>
                          <w:b/>
                          <w:bCs/>
                          <w:color w:val="000000"/>
                          <w:szCs w:val="21"/>
                        </w:rPr>
                      </w:pPr>
                      <w:r>
                        <w:rPr>
                          <w:b/>
                          <w:bCs/>
                          <w:color w:val="000000"/>
                          <w:szCs w:val="21"/>
                        </w:rPr>
                        <w:t>图3-</w:t>
                      </w:r>
                      <w:r>
                        <w:rPr>
                          <w:rFonts w:hint="eastAsia"/>
                          <w:b/>
                          <w:bCs/>
                          <w:color w:val="000000"/>
                          <w:szCs w:val="21"/>
                        </w:rPr>
                        <w:t>4</w:t>
                      </w:r>
                      <w:r>
                        <w:rPr>
                          <w:b/>
                          <w:bCs/>
                          <w:color w:val="000000"/>
                          <w:szCs w:val="21"/>
                        </w:rPr>
                        <w:t xml:space="preserve">   沼气利用流程及产物环节图</w:t>
                      </w:r>
                    </w:p>
                    <w:p w14:paraId="594C394D"/>
                  </w:txbxContent>
                </v:textbox>
              </v:shape>
            </w:pict>
          </mc:Fallback>
        </mc:AlternateContent>
      </w:r>
    </w:p>
    <w:p w14:paraId="50B2FEF4">
      <w:pPr>
        <w:spacing w:line="360" w:lineRule="auto"/>
        <w:ind w:firstLine="482" w:firstLineChars="200"/>
        <w:rPr>
          <w:sz w:val="24"/>
        </w:rPr>
      </w:pPr>
      <w:r>
        <w:rPr>
          <w:b/>
          <w:sz w:val="24"/>
        </w:rPr>
        <w:t>脱硫（硫化氢的去除）：</w:t>
      </w:r>
      <w:r>
        <w:rPr>
          <w:sz w:val="24"/>
        </w:rPr>
        <w:t>根据沼气技术培训资料及大理州农科院《沼气的主要成分及用途》：沼气中H</w:t>
      </w:r>
      <w:r>
        <w:rPr>
          <w:sz w:val="24"/>
          <w:vertAlign w:val="subscript"/>
        </w:rPr>
        <w:t>2</w:t>
      </w:r>
      <w:r>
        <w:rPr>
          <w:sz w:val="24"/>
        </w:rPr>
        <w:t>S平均含量为0.05%~0.1%。沼气需要进行脱硫处理，以防止对沼气输送管道的腐蚀影响。沼气脱硫一般有干法、湿法和生物法，本项目采用干法脱硫，脱硫剂为氧化铁。干式脱硫主要包括主体钢结构、脱硫剂填料、观察窗、压力表、温度表等组件。脱硫装置通常设计为一用一备，交替使用，即一个脱硫，一个再生。含有硫化氢(H</w:t>
      </w:r>
      <w:r>
        <w:rPr>
          <w:sz w:val="24"/>
          <w:vertAlign w:val="subscript"/>
        </w:rPr>
        <w:t>2</w:t>
      </w:r>
      <w:r>
        <w:rPr>
          <w:sz w:val="24"/>
        </w:rPr>
        <w:t>S)的沼气进入脱硫装置底部，在穿过脱硫填料层到达顶端的过程中，H</w:t>
      </w:r>
      <w:r>
        <w:rPr>
          <w:sz w:val="24"/>
          <w:vertAlign w:val="subscript"/>
        </w:rPr>
        <w:t>2</w:t>
      </w:r>
      <w:r>
        <w:rPr>
          <w:sz w:val="24"/>
        </w:rPr>
        <w:t>S与脱硫剂发生化学反应，达到去除H</w:t>
      </w:r>
      <w:r>
        <w:rPr>
          <w:sz w:val="24"/>
          <w:vertAlign w:val="subscript"/>
        </w:rPr>
        <w:t>2</w:t>
      </w:r>
      <w:r>
        <w:rPr>
          <w:sz w:val="24"/>
        </w:rPr>
        <w:t>S的目的。硫化氢通过氧化铁填料时被氧化成单质硫，结晶留在填料层中，净化后气体输送至沼气/燃气两用锅炉。沼气净化发生的反应方程式为：</w:t>
      </w:r>
    </w:p>
    <w:p w14:paraId="5B96BDE3">
      <w:pPr>
        <w:spacing w:line="360" w:lineRule="auto"/>
        <w:ind w:firstLine="480" w:firstLineChars="200"/>
        <w:rPr>
          <w:sz w:val="24"/>
        </w:rPr>
      </w:pPr>
      <w:r>
        <w:rPr>
          <w:sz w:val="24"/>
        </w:rPr>
        <w:t>第一步：Fe</w:t>
      </w:r>
      <w:r>
        <w:rPr>
          <w:sz w:val="24"/>
          <w:vertAlign w:val="subscript"/>
        </w:rPr>
        <w:t>2</w:t>
      </w:r>
      <w:r>
        <w:rPr>
          <w:sz w:val="24"/>
        </w:rPr>
        <w:t>O</w:t>
      </w:r>
      <w:r>
        <w:rPr>
          <w:sz w:val="24"/>
          <w:vertAlign w:val="subscript"/>
        </w:rPr>
        <w:t>3</w:t>
      </w:r>
      <w:r>
        <w:rPr>
          <w:sz w:val="24"/>
        </w:rPr>
        <w:t>·H</w:t>
      </w:r>
      <w:r>
        <w:rPr>
          <w:sz w:val="24"/>
          <w:vertAlign w:val="subscript"/>
        </w:rPr>
        <w:t>2</w:t>
      </w:r>
      <w:r>
        <w:rPr>
          <w:sz w:val="24"/>
        </w:rPr>
        <w:t>O + 3H</w:t>
      </w:r>
      <w:r>
        <w:rPr>
          <w:sz w:val="24"/>
          <w:vertAlign w:val="subscript"/>
        </w:rPr>
        <w:t>2</w:t>
      </w:r>
      <w:r>
        <w:rPr>
          <w:sz w:val="24"/>
        </w:rPr>
        <w:t>S = Fe</w:t>
      </w:r>
      <w:r>
        <w:rPr>
          <w:sz w:val="24"/>
          <w:vertAlign w:val="subscript"/>
        </w:rPr>
        <w:t>2</w:t>
      </w:r>
      <w:r>
        <w:rPr>
          <w:sz w:val="24"/>
        </w:rPr>
        <w:t>S</w:t>
      </w:r>
      <w:r>
        <w:rPr>
          <w:sz w:val="24"/>
          <w:vertAlign w:val="subscript"/>
        </w:rPr>
        <w:t>3</w:t>
      </w:r>
      <w:r>
        <w:rPr>
          <w:sz w:val="24"/>
        </w:rPr>
        <w:t xml:space="preserve"> + 4H</w:t>
      </w:r>
      <w:r>
        <w:rPr>
          <w:sz w:val="24"/>
          <w:vertAlign w:val="subscript"/>
        </w:rPr>
        <w:t>2</w:t>
      </w:r>
      <w:r>
        <w:rPr>
          <w:sz w:val="24"/>
        </w:rPr>
        <w:t>O（脱硫）</w:t>
      </w:r>
    </w:p>
    <w:p w14:paraId="08A01683">
      <w:pPr>
        <w:spacing w:line="360" w:lineRule="auto"/>
        <w:ind w:firstLine="480" w:firstLineChars="200"/>
        <w:rPr>
          <w:sz w:val="24"/>
        </w:rPr>
      </w:pPr>
      <w:r>
        <w:rPr>
          <w:sz w:val="24"/>
        </w:rPr>
        <w:t>第二步: Fe</w:t>
      </w:r>
      <w:r>
        <w:rPr>
          <w:sz w:val="24"/>
          <w:vertAlign w:val="subscript"/>
        </w:rPr>
        <w:t>2</w:t>
      </w:r>
      <w:r>
        <w:rPr>
          <w:sz w:val="24"/>
        </w:rPr>
        <w:t>S</w:t>
      </w:r>
      <w:r>
        <w:rPr>
          <w:sz w:val="24"/>
          <w:vertAlign w:val="subscript"/>
        </w:rPr>
        <w:t>3</w:t>
      </w:r>
      <w:r>
        <w:rPr>
          <w:sz w:val="24"/>
        </w:rPr>
        <w:t xml:space="preserve"> + 3/2 O</w:t>
      </w:r>
      <w:r>
        <w:rPr>
          <w:sz w:val="24"/>
          <w:vertAlign w:val="subscript"/>
        </w:rPr>
        <w:t>2</w:t>
      </w:r>
      <w:r>
        <w:rPr>
          <w:sz w:val="24"/>
        </w:rPr>
        <w:t xml:space="preserve"> + 3 H</w:t>
      </w:r>
      <w:r>
        <w:rPr>
          <w:sz w:val="24"/>
          <w:vertAlign w:val="subscript"/>
        </w:rPr>
        <w:t>2</w:t>
      </w:r>
      <w:r>
        <w:rPr>
          <w:sz w:val="24"/>
        </w:rPr>
        <w:t>O = Fe</w:t>
      </w:r>
      <w:r>
        <w:rPr>
          <w:sz w:val="24"/>
          <w:vertAlign w:val="subscript"/>
        </w:rPr>
        <w:t>2</w:t>
      </w:r>
      <w:r>
        <w:rPr>
          <w:sz w:val="24"/>
        </w:rPr>
        <w:t>O</w:t>
      </w:r>
      <w:r>
        <w:rPr>
          <w:sz w:val="24"/>
          <w:vertAlign w:val="subscript"/>
        </w:rPr>
        <w:t>3</w:t>
      </w:r>
      <w:r>
        <w:rPr>
          <w:sz w:val="24"/>
        </w:rPr>
        <w:t>·H</w:t>
      </w:r>
      <w:r>
        <w:rPr>
          <w:sz w:val="24"/>
          <w:vertAlign w:val="subscript"/>
        </w:rPr>
        <w:t>2</w:t>
      </w:r>
      <w:r>
        <w:rPr>
          <w:sz w:val="24"/>
        </w:rPr>
        <w:t>O + 2H</w:t>
      </w:r>
      <w:r>
        <w:rPr>
          <w:sz w:val="24"/>
          <w:vertAlign w:val="subscript"/>
        </w:rPr>
        <w:t>2</w:t>
      </w:r>
      <w:r>
        <w:rPr>
          <w:sz w:val="24"/>
        </w:rPr>
        <w:t>O +3S（再生）</w:t>
      </w:r>
    </w:p>
    <w:p w14:paraId="248E62E4">
      <w:pPr>
        <w:spacing w:line="360" w:lineRule="auto"/>
        <w:ind w:firstLine="480" w:firstLineChars="200"/>
        <w:rPr>
          <w:sz w:val="24"/>
        </w:rPr>
      </w:pPr>
      <w:r>
        <w:rPr>
          <w:sz w:val="24"/>
        </w:rPr>
        <w:t>经脱硫后沼气中硫化氢平均含量约为10mg/m</w:t>
      </w:r>
      <w:r>
        <w:rPr>
          <w:sz w:val="24"/>
          <w:vertAlign w:val="superscript"/>
        </w:rPr>
        <w:t>3</w:t>
      </w:r>
      <w:r>
        <w:rPr>
          <w:sz w:val="24"/>
        </w:rPr>
        <w:t>。而脱硫剂工作一定时间后，其活性会逐渐下降，脱硫效果逐渐变差。在沼气进入干式脱硫装置之前，设置有冷凝水罐或沼气颗粒过滤器。该装置可以消除沼气中夹杂的颗粒杂质，并使得沼气在进入脱硫前含有一定湿度。</w:t>
      </w:r>
    </w:p>
    <w:p w14:paraId="2E74E846">
      <w:pPr>
        <w:spacing w:line="360" w:lineRule="auto"/>
        <w:ind w:firstLine="480" w:firstLineChars="200"/>
        <w:rPr>
          <w:sz w:val="24"/>
        </w:rPr>
      </w:pPr>
      <w:r>
        <w:rPr>
          <w:sz w:val="24"/>
        </w:rPr>
        <w:t>当观察到脱硫剂变色，或系统压力损失过大时，应交替使用另一个脱硫装置。当前的脱硫装置在沼气放空后，进行自然通风，对脱硫剂进行再生（被氧气氧化成单质硫，结晶在填料层中）。当再生效果不佳时，应从塔体底部将废弃的脱硫剂排除，在底部排放废弃填料的同时，相同体积的新鲜脱硫填料加入反应器中。</w:t>
      </w:r>
    </w:p>
    <w:p w14:paraId="52A8489B">
      <w:pPr>
        <w:pStyle w:val="86"/>
        <w:spacing w:after="0" w:line="360" w:lineRule="auto"/>
        <w:ind w:left="0" w:leftChars="0" w:firstLine="480"/>
        <w:rPr>
          <w:spacing w:val="2"/>
        </w:rPr>
      </w:pPr>
      <w:r>
        <w:rPr>
          <w:szCs w:val="22"/>
        </w:rPr>
        <w:t>本项目沼气脱硫采用</w:t>
      </w:r>
      <w:r>
        <w:t>干法脱硫，脱硫剂为氧化铁，工艺为国内主流工艺，脱硫后的废气排放浓度满足</w:t>
      </w:r>
      <w:r>
        <w:rPr>
          <w:spacing w:val="2"/>
        </w:rPr>
        <w:t>《锅炉大气污染物排放标准》（GB13271-2014）中相关标准限制。</w:t>
      </w:r>
    </w:p>
    <w:p w14:paraId="5478BD0C">
      <w:pPr>
        <w:spacing w:line="360" w:lineRule="auto"/>
        <w:ind w:firstLine="482" w:firstLineChars="200"/>
        <w:rPr>
          <w:b/>
          <w:bCs/>
          <w:sz w:val="24"/>
        </w:rPr>
      </w:pPr>
      <w:r>
        <w:rPr>
          <w:b/>
          <w:bCs/>
          <w:sz w:val="24"/>
        </w:rPr>
        <w:t xml:space="preserve">3.1.6.4固粪堆肥系统 </w:t>
      </w:r>
    </w:p>
    <w:p w14:paraId="0B3DE45B">
      <w:pPr>
        <w:spacing w:line="360" w:lineRule="auto"/>
        <w:ind w:firstLine="480" w:firstLineChars="200"/>
        <w:rPr>
          <w:sz w:val="24"/>
        </w:rPr>
      </w:pPr>
      <w:r>
        <w:rPr>
          <w:sz w:val="24"/>
        </w:rPr>
        <w:t>项目在各养殖区均设有固粪处理区，用于对生产过程中产生的粪便、饲料残渣和污水处理站污泥进行堆肥处理。</w:t>
      </w:r>
    </w:p>
    <w:p w14:paraId="1806BD30">
      <w:pPr>
        <w:spacing w:line="360" w:lineRule="auto"/>
        <w:ind w:firstLine="480" w:firstLineChars="200"/>
        <w:rPr>
          <w:sz w:val="24"/>
        </w:rPr>
      </w:pPr>
      <w:r>
        <w:rPr>
          <w:bCs/>
          <w:sz w:val="24"/>
          <w:lang/>
        </w:rPr>
        <mc:AlternateContent>
          <mc:Choice Requires="wps">
            <w:drawing>
              <wp:anchor distT="0" distB="0" distL="114300" distR="114300" simplePos="0" relativeHeight="251738112" behindDoc="0" locked="0" layoutInCell="1" allowOverlap="1">
                <wp:simplePos x="0" y="0"/>
                <wp:positionH relativeFrom="column">
                  <wp:posOffset>797560</wp:posOffset>
                </wp:positionH>
                <wp:positionV relativeFrom="paragraph">
                  <wp:posOffset>-55880</wp:posOffset>
                </wp:positionV>
                <wp:extent cx="2652395" cy="3968115"/>
                <wp:effectExtent l="4445" t="4445" r="10160" b="8890"/>
                <wp:wrapNone/>
                <wp:docPr id="78" name="矩形 1252"/>
                <wp:cNvGraphicFramePr/>
                <a:graphic xmlns:a="http://schemas.openxmlformats.org/drawingml/2006/main">
                  <a:graphicData uri="http://schemas.microsoft.com/office/word/2010/wordprocessingShape">
                    <wps:wsp>
                      <wps:cNvSpPr/>
                      <wps:spPr>
                        <a:xfrm>
                          <a:off x="0" y="0"/>
                          <a:ext cx="2652395" cy="3968115"/>
                        </a:xfrm>
                        <a:prstGeom prst="rect">
                          <a:avLst/>
                        </a:prstGeom>
                        <a:noFill/>
                        <a:ln w="9525" cap="flat" cmpd="sng">
                          <a:solidFill>
                            <a:srgbClr val="000000"/>
                          </a:solidFill>
                          <a:prstDash val="dash"/>
                          <a:miter/>
                          <a:headEnd type="none" w="med" len="med"/>
                          <a:tailEnd type="none" w="med" len="med"/>
                        </a:ln>
                      </wps:spPr>
                      <wps:txbx>
                        <w:txbxContent>
                          <w:p w14:paraId="2DDF4171">
                            <w:pPr>
                              <w:adjustRightInd w:val="0"/>
                              <w:snapToGrid w:val="0"/>
                              <w:spacing w:line="400" w:lineRule="exact"/>
                              <w:jc w:val="center"/>
                              <w:rPr>
                                <w:szCs w:val="21"/>
                              </w:rPr>
                            </w:pPr>
                          </w:p>
                        </w:txbxContent>
                      </wps:txbx>
                      <wps:bodyPr wrap="square" lIns="0" tIns="0" rIns="0" bIns="0" upright="1"/>
                    </wps:wsp>
                  </a:graphicData>
                </a:graphic>
              </wp:anchor>
            </w:drawing>
          </mc:Choice>
          <mc:Fallback>
            <w:pict>
              <v:rect id="矩形 1252" o:spid="_x0000_s1026" o:spt="1" style="position:absolute;left:0pt;margin-left:62.8pt;margin-top:-4.4pt;height:312.45pt;width:208.85pt;z-index:251738112;mso-width-relative:page;mso-height-relative:page;" filled="f" stroked="t" coordsize="21600,21600" o:gfxdata="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mSVnaAAAACgEA&#10;AA8AAAAAAAAAAQAgAAAAIgAAAGRycy9kb3ducmV2LnhtbFBLAQIUABQAAAAIAIdO4kBGrTgJGAIA&#10;ADYEAAAOAAAAAAAAAAEAIAAAACkBAABkcnMvZTJvRG9jLnhtbFBLBQYAAAAABgAGAFkBAACzBQAA&#10;AAA=&#10;">
                <v:fill on="f" focussize="0,0"/>
                <v:stroke color="#000000" joinstyle="miter" dashstyle="dash"/>
                <v:imagedata o:title=""/>
                <o:lock v:ext="edit" aspectratio="f"/>
                <v:textbox inset="0mm,0mm,0mm,0mm">
                  <w:txbxContent>
                    <w:p w14:paraId="2DDF4171">
                      <w:pPr>
                        <w:adjustRightInd w:val="0"/>
                        <w:snapToGrid w:val="0"/>
                        <w:spacing w:line="400" w:lineRule="exact"/>
                        <w:jc w:val="center"/>
                        <w:rPr>
                          <w:szCs w:val="21"/>
                        </w:rPr>
                      </w:pPr>
                    </w:p>
                  </w:txbxContent>
                </v:textbox>
              </v:rect>
            </w:pict>
          </mc:Fallback>
        </mc:AlternateContent>
      </w:r>
      <w:r>
        <w:rPr>
          <w:sz w:val="24"/>
          <w:lang/>
        </w:rPr>
        <mc:AlternateContent>
          <mc:Choice Requires="wps">
            <w:drawing>
              <wp:anchor distT="0" distB="0" distL="114300" distR="114300" simplePos="0" relativeHeight="251741184" behindDoc="0" locked="0" layoutInCell="1" allowOverlap="1">
                <wp:simplePos x="0" y="0"/>
                <wp:positionH relativeFrom="column">
                  <wp:posOffset>2892425</wp:posOffset>
                </wp:positionH>
                <wp:positionV relativeFrom="paragraph">
                  <wp:posOffset>118110</wp:posOffset>
                </wp:positionV>
                <wp:extent cx="419100" cy="668020"/>
                <wp:effectExtent l="0" t="0" r="0" b="0"/>
                <wp:wrapNone/>
                <wp:docPr id="81" name="矩形 1256"/>
                <wp:cNvGraphicFramePr/>
                <a:graphic xmlns:a="http://schemas.openxmlformats.org/drawingml/2006/main">
                  <a:graphicData uri="http://schemas.microsoft.com/office/word/2010/wordprocessingShape">
                    <wps:wsp>
                      <wps:cNvSpPr/>
                      <wps:spPr>
                        <a:xfrm>
                          <a:off x="0" y="0"/>
                          <a:ext cx="419100" cy="668020"/>
                        </a:xfrm>
                        <a:prstGeom prst="rect">
                          <a:avLst/>
                        </a:prstGeom>
                        <a:noFill/>
                        <a:ln>
                          <a:noFill/>
                        </a:ln>
                      </wps:spPr>
                      <wps:txbx>
                        <w:txbxContent>
                          <w:p w14:paraId="714BFC2E">
                            <w:pPr>
                              <w:jc w:val="center"/>
                              <w:rPr>
                                <w:szCs w:val="21"/>
                              </w:rPr>
                            </w:pPr>
                            <w:r>
                              <w:rPr>
                                <w:rFonts w:hint="eastAsia"/>
                                <w:szCs w:val="21"/>
                              </w:rPr>
                              <w:t>污水处理系统污泥</w:t>
                            </w:r>
                          </w:p>
                        </w:txbxContent>
                      </wps:txbx>
                      <wps:bodyPr wrap="square" lIns="0" tIns="0" rIns="0" bIns="0" upright="1"/>
                    </wps:wsp>
                  </a:graphicData>
                </a:graphic>
              </wp:anchor>
            </w:drawing>
          </mc:Choice>
          <mc:Fallback>
            <w:pict>
              <v:rect id="矩形 1256" o:spid="_x0000_s1026" o:spt="1" style="position:absolute;left:0pt;margin-left:227.75pt;margin-top:9.3pt;height:52.6pt;width:33pt;z-index:251741184;mso-width-relative:page;mso-height-relative:page;" filled="f" stroked="f" coordsize="21600,21600" o:gfxdata="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nikPfZAAAACgEAAA8AAAAAAAAAAQAgAAAAIgAAAGRycy9kb3ducmV2LnhtbFBL&#10;AQIUABQAAAAIAIdO4kDWku0ovAEAAHYDAAAOAAAAAAAAAAEAIAAAACgBAABkcnMvZTJvRG9jLnht&#10;bFBLBQYAAAAABgAGAFkBAABWBQAAAAA=&#10;">
                <v:fill on="f" focussize="0,0"/>
                <v:stroke on="f"/>
                <v:imagedata o:title=""/>
                <o:lock v:ext="edit" aspectratio="f"/>
                <v:textbox inset="0mm,0mm,0mm,0mm">
                  <w:txbxContent>
                    <w:p w14:paraId="714BFC2E">
                      <w:pPr>
                        <w:jc w:val="center"/>
                        <w:rPr>
                          <w:szCs w:val="21"/>
                        </w:rPr>
                      </w:pPr>
                      <w:r>
                        <w:rPr>
                          <w:rFonts w:hint="eastAsia"/>
                          <w:szCs w:val="21"/>
                        </w:rPr>
                        <w:t>污水处理系统污泥</w:t>
                      </w:r>
                    </w:p>
                  </w:txbxContent>
                </v:textbox>
              </v:rect>
            </w:pict>
          </mc:Fallback>
        </mc:AlternateContent>
      </w:r>
      <w:r>
        <w:rPr>
          <w:sz w:val="24"/>
          <w:lang/>
        </w:rPr>
        <mc:AlternateContent>
          <mc:Choice Requires="wps">
            <w:drawing>
              <wp:anchor distT="0" distB="0" distL="114300" distR="114300" simplePos="0" relativeHeight="251740160" behindDoc="0" locked="0" layoutInCell="1" allowOverlap="1">
                <wp:simplePos x="0" y="0"/>
                <wp:positionH relativeFrom="column">
                  <wp:posOffset>1734185</wp:posOffset>
                </wp:positionH>
                <wp:positionV relativeFrom="paragraph">
                  <wp:posOffset>15240</wp:posOffset>
                </wp:positionV>
                <wp:extent cx="243205" cy="795655"/>
                <wp:effectExtent l="0" t="0" r="0" b="0"/>
                <wp:wrapNone/>
                <wp:docPr id="80" name="矩形 1256"/>
                <wp:cNvGraphicFramePr/>
                <a:graphic xmlns:a="http://schemas.openxmlformats.org/drawingml/2006/main">
                  <a:graphicData uri="http://schemas.microsoft.com/office/word/2010/wordprocessingShape">
                    <wps:wsp>
                      <wps:cNvSpPr/>
                      <wps:spPr>
                        <a:xfrm>
                          <a:off x="0" y="0"/>
                          <a:ext cx="243205" cy="795655"/>
                        </a:xfrm>
                        <a:prstGeom prst="rect">
                          <a:avLst/>
                        </a:prstGeom>
                        <a:noFill/>
                        <a:ln>
                          <a:noFill/>
                        </a:ln>
                      </wps:spPr>
                      <wps:txbx>
                        <w:txbxContent>
                          <w:p w14:paraId="02E46A91">
                            <w:pPr>
                              <w:jc w:val="center"/>
                              <w:rPr>
                                <w:szCs w:val="21"/>
                              </w:rPr>
                            </w:pPr>
                            <w:r>
                              <w:rPr>
                                <w:rFonts w:hint="eastAsia"/>
                                <w:szCs w:val="21"/>
                              </w:rPr>
                              <w:t>饲料残渣</w:t>
                            </w:r>
                          </w:p>
                        </w:txbxContent>
                      </wps:txbx>
                      <wps:bodyPr wrap="square" lIns="0" tIns="0" rIns="0" bIns="0" upright="1"/>
                    </wps:wsp>
                  </a:graphicData>
                </a:graphic>
              </wp:anchor>
            </w:drawing>
          </mc:Choice>
          <mc:Fallback>
            <w:pict>
              <v:rect id="矩形 1256" o:spid="_x0000_s1026" o:spt="1" style="position:absolute;left:0pt;margin-left:136.55pt;margin-top:1.2pt;height:62.65pt;width:19.15pt;z-index:251740160;mso-width-relative:page;mso-height-relative:page;" filled="f" stroked="f" coordsize="21600,21600" o:gfxdata="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uWP2QAAAAkBAAAPAAAAAAAAAAEAIAAAACIAAABkcnMvZG93bnJldi54bWxQ&#10;SwECFAAUAAAACACHTuJA47MAYb0BAAB2AwAADgAAAAAAAAABACAAAAAoAQAAZHJzL2Uyb0RvYy54&#10;bWxQSwUGAAAAAAYABgBZAQAAVwUAAAAA&#10;">
                <v:fill on="f" focussize="0,0"/>
                <v:stroke on="f"/>
                <v:imagedata o:title=""/>
                <o:lock v:ext="edit" aspectratio="f"/>
                <v:textbox inset="0mm,0mm,0mm,0mm">
                  <w:txbxContent>
                    <w:p w14:paraId="02E46A91">
                      <w:pPr>
                        <w:jc w:val="center"/>
                        <w:rPr>
                          <w:szCs w:val="21"/>
                        </w:rPr>
                      </w:pPr>
                      <w:r>
                        <w:rPr>
                          <w:rFonts w:hint="eastAsia"/>
                          <w:szCs w:val="21"/>
                        </w:rPr>
                        <w:t>饲料残渣</w:t>
                      </w:r>
                    </w:p>
                  </w:txbxContent>
                </v:textbox>
              </v:rect>
            </w:pict>
          </mc:Fallback>
        </mc:AlternateContent>
      </w:r>
    </w:p>
    <w:p w14:paraId="57571966">
      <w:pPr>
        <w:spacing w:line="360" w:lineRule="auto"/>
        <w:ind w:firstLine="480" w:firstLineChars="200"/>
        <w:rPr>
          <w:sz w:val="24"/>
        </w:rPr>
      </w:pPr>
      <w:r>
        <w:rPr>
          <w:sz w:val="24"/>
          <w:lang/>
        </w:rPr>
        <mc:AlternateContent>
          <mc:Choice Requires="wps">
            <w:drawing>
              <wp:anchor distT="0" distB="0" distL="114300" distR="114300" simplePos="0" relativeHeight="251755520" behindDoc="0" locked="0" layoutInCell="1" allowOverlap="1">
                <wp:simplePos x="0" y="0"/>
                <wp:positionH relativeFrom="column">
                  <wp:posOffset>3311525</wp:posOffset>
                </wp:positionH>
                <wp:positionV relativeFrom="paragraph">
                  <wp:posOffset>86995</wp:posOffset>
                </wp:positionV>
                <wp:extent cx="516890" cy="635"/>
                <wp:effectExtent l="0" t="0" r="0" b="0"/>
                <wp:wrapNone/>
                <wp:docPr id="95" name="自选图形 1363"/>
                <wp:cNvGraphicFramePr/>
                <a:graphic xmlns:a="http://schemas.openxmlformats.org/drawingml/2006/main">
                  <a:graphicData uri="http://schemas.microsoft.com/office/word/2010/wordprocessingShape">
                    <wps:wsp>
                      <wps:cNvCnPr/>
                      <wps:spPr>
                        <a:xfrm>
                          <a:off x="0" y="0"/>
                          <a:ext cx="516890" cy="63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自选图形 1363" o:spid="_x0000_s1026" o:spt="32" type="#_x0000_t32" style="position:absolute;left:0pt;margin-left:260.75pt;margin-top:6.85pt;height:0.05pt;width:40.7pt;z-index:251755520;mso-width-relative:page;mso-height-relative:page;" filled="f" stroked="t" coordsize="21600,21600" o:gfxdata="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JOtvNgAAAAJAQAADwAAAAAAAAABACAAAAAiAAAAZHJzL2Rvd25yZXYueG1s&#10;UEsBAhQAFAAAAAgAh07iQLKiUOX4AQAA5wMAAA4AAAAAAAAAAQAgAAAAJwEAAGRycy9lMm9Eb2Mu&#10;eG1sUEsFBgAAAAAGAAYAWQEAAJEFAAAAAA==&#10;">
                <v:fill on="f" focussize="0,0"/>
                <v:stroke color="#000000" joinstyle="round" dashstyle="dash"/>
                <v:imagedata o:title=""/>
                <o:lock v:ext="edit" aspectratio="f"/>
              </v:shape>
            </w:pict>
          </mc:Fallback>
        </mc:AlternateContent>
      </w:r>
      <w:r>
        <w:rPr>
          <w:sz w:val="24"/>
          <w:lang/>
        </w:rPr>
        <mc:AlternateContent>
          <mc:Choice Requires="wps">
            <w:drawing>
              <wp:anchor distT="0" distB="0" distL="114300" distR="114300" simplePos="0" relativeHeight="251756544" behindDoc="0" locked="0" layoutInCell="1" allowOverlap="1">
                <wp:simplePos x="0" y="0"/>
                <wp:positionH relativeFrom="column">
                  <wp:posOffset>3828415</wp:posOffset>
                </wp:positionH>
                <wp:positionV relativeFrom="paragraph">
                  <wp:posOffset>102235</wp:posOffset>
                </wp:positionV>
                <wp:extent cx="0" cy="1599565"/>
                <wp:effectExtent l="4445" t="0" r="14605" b="635"/>
                <wp:wrapNone/>
                <wp:docPr id="96" name="自选图形 1364"/>
                <wp:cNvGraphicFramePr/>
                <a:graphic xmlns:a="http://schemas.openxmlformats.org/drawingml/2006/main">
                  <a:graphicData uri="http://schemas.microsoft.com/office/word/2010/wordprocessingShape">
                    <wps:wsp>
                      <wps:cNvCnPr/>
                      <wps:spPr>
                        <a:xfrm>
                          <a:off x="0" y="0"/>
                          <a:ext cx="0" cy="159956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自选图形 1364" o:spid="_x0000_s1026" o:spt="32" type="#_x0000_t32" style="position:absolute;left:0pt;margin-left:301.45pt;margin-top:8.05pt;height:125.95pt;width:0pt;z-index:251756544;mso-width-relative:page;mso-height-relative:page;" filled="f" stroked="t" coordsize="21600,21600" o:gfxdata="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5MqMs1wAAAAoBAAAPAAAAAAAAAAEAIAAAACIAAABkcnMvZG93bnJldi54bWxQSwEC&#10;FAAUAAAACACHTuJA0KGhUvUBAADmAwAADgAAAAAAAAABACAAAAAmAQAAZHJzL2Uyb0RvYy54bWxQ&#10;SwUGAAAAAAYABgBZAQAAjQUAAAAA&#10;">
                <v:fill on="f" focussize="0,0"/>
                <v:stroke color="#000000" joinstyle="round" dashstyle="dash"/>
                <v:imagedata o:title=""/>
                <o:lock v:ext="edit" aspectratio="f"/>
              </v:shape>
            </w:pict>
          </mc:Fallback>
        </mc:AlternateContent>
      </w:r>
      <w:r>
        <w:rPr>
          <w:sz w:val="24"/>
          <w:lang/>
        </w:rPr>
        <mc:AlternateContent>
          <mc:Choice Requires="wps">
            <w:drawing>
              <wp:anchor distT="0" distB="0" distL="114300" distR="114300" simplePos="0" relativeHeight="251736064" behindDoc="0" locked="0" layoutInCell="1" allowOverlap="1">
                <wp:simplePos x="0" y="0"/>
                <wp:positionH relativeFrom="column">
                  <wp:posOffset>831215</wp:posOffset>
                </wp:positionH>
                <wp:positionV relativeFrom="paragraph">
                  <wp:posOffset>134620</wp:posOffset>
                </wp:positionV>
                <wp:extent cx="243205" cy="509270"/>
                <wp:effectExtent l="0" t="0" r="0" b="0"/>
                <wp:wrapNone/>
                <wp:docPr id="76" name="矩形 1256"/>
                <wp:cNvGraphicFramePr/>
                <a:graphic xmlns:a="http://schemas.openxmlformats.org/drawingml/2006/main">
                  <a:graphicData uri="http://schemas.microsoft.com/office/word/2010/wordprocessingShape">
                    <wps:wsp>
                      <wps:cNvSpPr/>
                      <wps:spPr>
                        <a:xfrm>
                          <a:off x="0" y="0"/>
                          <a:ext cx="243205" cy="509270"/>
                        </a:xfrm>
                        <a:prstGeom prst="rect">
                          <a:avLst/>
                        </a:prstGeom>
                        <a:noFill/>
                        <a:ln>
                          <a:noFill/>
                        </a:ln>
                      </wps:spPr>
                      <wps:txbx>
                        <w:txbxContent>
                          <w:p w14:paraId="0AA3C960">
                            <w:pPr>
                              <w:jc w:val="center"/>
                              <w:rPr>
                                <w:szCs w:val="21"/>
                              </w:rPr>
                            </w:pPr>
                            <w:r>
                              <w:rPr>
                                <w:rFonts w:hint="eastAsia"/>
                                <w:szCs w:val="21"/>
                              </w:rPr>
                              <w:t>猪粪</w:t>
                            </w:r>
                          </w:p>
                        </w:txbxContent>
                      </wps:txbx>
                      <wps:bodyPr wrap="square" lIns="0" tIns="0" rIns="0" bIns="0" upright="1"/>
                    </wps:wsp>
                  </a:graphicData>
                </a:graphic>
              </wp:anchor>
            </w:drawing>
          </mc:Choice>
          <mc:Fallback>
            <w:pict>
              <v:rect id="矩形 1256" o:spid="_x0000_s1026" o:spt="1" style="position:absolute;left:0pt;margin-left:65.45pt;margin-top:10.6pt;height:40.1pt;width:19.15pt;z-index:251736064;mso-width-relative:page;mso-height-relative:page;" filled="f" stroked="f" coordsize="21600,21600" o:gfxdata="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uhkd2AAAAAoBAAAPAAAAAAAAAAEAIAAAACIAAABkcnMvZG93bnJldi54bWxQ&#10;SwECFAAUAAAACACHTuJA7nt8m74BAAB2AwAADgAAAAAAAAABACAAAAAnAQAAZHJzL2Uyb0RvYy54&#10;bWxQSwUGAAAAAAYABgBZAQAAVwUAAAAA&#10;">
                <v:fill on="f" focussize="0,0"/>
                <v:stroke on="f"/>
                <v:imagedata o:title=""/>
                <o:lock v:ext="edit" aspectratio="f"/>
                <v:textbox inset="0mm,0mm,0mm,0mm">
                  <w:txbxContent>
                    <w:p w14:paraId="0AA3C960">
                      <w:pPr>
                        <w:jc w:val="center"/>
                        <w:rPr>
                          <w:szCs w:val="21"/>
                        </w:rPr>
                      </w:pPr>
                      <w:r>
                        <w:rPr>
                          <w:rFonts w:hint="eastAsia"/>
                          <w:szCs w:val="21"/>
                        </w:rPr>
                        <w:t>猪粪</w:t>
                      </w:r>
                    </w:p>
                  </w:txbxContent>
                </v:textbox>
              </v:rect>
            </w:pict>
          </mc:Fallback>
        </mc:AlternateContent>
      </w:r>
    </w:p>
    <w:p w14:paraId="2FFFD291">
      <w:pPr>
        <w:spacing w:line="360" w:lineRule="auto"/>
        <w:ind w:firstLine="480" w:firstLineChars="200"/>
        <w:rPr>
          <w:sz w:val="24"/>
        </w:rPr>
      </w:pPr>
      <w:r>
        <w:rPr>
          <w:sz w:val="24"/>
          <w:lang/>
        </w:rPr>
        <mc:AlternateContent>
          <mc:Choice Requires="wps">
            <w:drawing>
              <wp:anchor distT="0" distB="0" distL="114300" distR="114300" simplePos="0" relativeHeight="251744256" behindDoc="0" locked="0" layoutInCell="1" allowOverlap="1">
                <wp:simplePos x="0" y="0"/>
                <wp:positionH relativeFrom="column">
                  <wp:posOffset>3136265</wp:posOffset>
                </wp:positionH>
                <wp:positionV relativeFrom="paragraph">
                  <wp:posOffset>133985</wp:posOffset>
                </wp:positionV>
                <wp:extent cx="0" cy="691515"/>
                <wp:effectExtent l="4445" t="0" r="14605" b="13335"/>
                <wp:wrapNone/>
                <wp:docPr id="84" name="自选图形 1352"/>
                <wp:cNvGraphicFramePr/>
                <a:graphic xmlns:a="http://schemas.openxmlformats.org/drawingml/2006/main">
                  <a:graphicData uri="http://schemas.microsoft.com/office/word/2010/wordprocessingShape">
                    <wps:wsp>
                      <wps:cNvCnPr/>
                      <wps:spPr>
                        <a:xfrm>
                          <a:off x="0" y="0"/>
                          <a:ext cx="0" cy="6915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52" o:spid="_x0000_s1026" o:spt="32" type="#_x0000_t32" style="position:absolute;left:0pt;margin-left:246.95pt;margin-top:10.55pt;height:54.45pt;width:0pt;z-index:251744256;mso-width-relative:page;mso-height-relative:page;" filled="f" stroked="t" coordsize="21600,21600" o:gfxdata="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Ow6z1gAAAAoBAAAPAAAAAAAAAAEAIAAAACIAAABkcnMvZG93bnJldi54bWxQSwEC&#10;FAAUAAAACACHTuJAyoIiQvYBAADmAwAADgAAAAAAAAABACAAAAAlAQAAZHJzL2Uyb0RvYy54bWxQ&#10;SwUGAAAAAAYABgBZAQAAjQUAAAAA&#10;">
                <v:fill on="f" focussize="0,0"/>
                <v:stroke color="#000000" joinstyle="round"/>
                <v:imagedata o:title=""/>
                <o:lock v:ext="edit" aspectratio="f"/>
              </v:shape>
            </w:pict>
          </mc:Fallback>
        </mc:AlternateContent>
      </w:r>
      <w:r>
        <w:rPr>
          <w:b/>
          <w:sz w:val="24"/>
          <w:lang/>
        </w:rPr>
        <mc:AlternateContent>
          <mc:Choice Requires="wps">
            <w:drawing>
              <wp:anchor distT="0" distB="0" distL="114300" distR="114300" simplePos="0" relativeHeight="251745280" behindDoc="0" locked="0" layoutInCell="1" allowOverlap="1">
                <wp:simplePos x="0" y="0"/>
                <wp:positionH relativeFrom="column">
                  <wp:posOffset>1864360</wp:posOffset>
                </wp:positionH>
                <wp:positionV relativeFrom="paragraph">
                  <wp:posOffset>213995</wp:posOffset>
                </wp:positionV>
                <wp:extent cx="0" cy="1080770"/>
                <wp:effectExtent l="38100" t="0" r="38100" b="5080"/>
                <wp:wrapNone/>
                <wp:docPr id="85" name="直线 1248"/>
                <wp:cNvGraphicFramePr/>
                <a:graphic xmlns:a="http://schemas.openxmlformats.org/drawingml/2006/main">
                  <a:graphicData uri="http://schemas.microsoft.com/office/word/2010/wordprocessingShape">
                    <wps:wsp>
                      <wps:cNvSpPr/>
                      <wps:spPr>
                        <a:xfrm>
                          <a:off x="0" y="0"/>
                          <a:ext cx="0" cy="10807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46.8pt;margin-top:16.85pt;height:85.1pt;width:0pt;z-index:251745280;mso-width-relative:page;mso-height-relative:page;" filled="f" stroked="t" coordsize="21600,21600" o:gfxdata="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RxbDHZAAAACgEAAA8AAAAAAAAAAQAgAAAAIgAAAGRycy9kb3ducmV2LnhtbFBLAQIU&#10;ABQAAAAIAIdO4kBQ6l6F8gEAAOMDAAAOAAAAAAAAAAEAIAAAACgBAABkcnMvZTJvRG9jLnhtbFBL&#10;BQYAAAAABgAGAFkBAACMBQAAAAA=&#10;">
                <v:fill on="f" focussize="0,0"/>
                <v:stroke color="#000000" joinstyle="round" endarrow="block"/>
                <v:imagedata o:title=""/>
                <o:lock v:ext="edit" aspectratio="f"/>
              </v:line>
            </w:pict>
          </mc:Fallback>
        </mc:AlternateContent>
      </w:r>
    </w:p>
    <w:p w14:paraId="0DEE9653">
      <w:pPr>
        <w:spacing w:line="360" w:lineRule="auto"/>
        <w:ind w:firstLine="480" w:firstLineChars="200"/>
        <w:rPr>
          <w:sz w:val="24"/>
        </w:rPr>
      </w:pPr>
      <w:r>
        <w:rPr>
          <w:sz w:val="24"/>
          <w:lang/>
        </w:rPr>
        <mc:AlternateContent>
          <mc:Choice Requires="wps">
            <w:drawing>
              <wp:anchor distT="0" distB="0" distL="114300" distR="114300" simplePos="0" relativeHeight="251737088" behindDoc="0" locked="0" layoutInCell="1" allowOverlap="1">
                <wp:simplePos x="0" y="0"/>
                <wp:positionH relativeFrom="column">
                  <wp:posOffset>4184015</wp:posOffset>
                </wp:positionH>
                <wp:positionV relativeFrom="paragraph">
                  <wp:posOffset>189230</wp:posOffset>
                </wp:positionV>
                <wp:extent cx="551180" cy="197485"/>
                <wp:effectExtent l="0" t="0" r="0" b="0"/>
                <wp:wrapNone/>
                <wp:docPr id="77" name="矩形 1258"/>
                <wp:cNvGraphicFramePr/>
                <a:graphic xmlns:a="http://schemas.openxmlformats.org/drawingml/2006/main">
                  <a:graphicData uri="http://schemas.microsoft.com/office/word/2010/wordprocessingShape">
                    <wps:wsp>
                      <wps:cNvSpPr/>
                      <wps:spPr>
                        <a:xfrm>
                          <a:off x="0" y="0"/>
                          <a:ext cx="551180" cy="197485"/>
                        </a:xfrm>
                        <a:prstGeom prst="rect">
                          <a:avLst/>
                        </a:prstGeom>
                        <a:noFill/>
                        <a:ln>
                          <a:noFill/>
                        </a:ln>
                      </wps:spPr>
                      <wps:txbx>
                        <w:txbxContent>
                          <w:p w14:paraId="24F3CC75">
                            <w:pPr>
                              <w:jc w:val="center"/>
                              <w:rPr>
                                <w:szCs w:val="21"/>
                              </w:rPr>
                            </w:pPr>
                            <w:r>
                              <w:rPr>
                                <w:rFonts w:hint="eastAsia"/>
                                <w:szCs w:val="21"/>
                              </w:rPr>
                              <w:t>渗沥液</w:t>
                            </w:r>
                          </w:p>
                        </w:txbxContent>
                      </wps:txbx>
                      <wps:bodyPr wrap="square" lIns="0" tIns="0" rIns="0" bIns="0" upright="1"/>
                    </wps:wsp>
                  </a:graphicData>
                </a:graphic>
              </wp:anchor>
            </w:drawing>
          </mc:Choice>
          <mc:Fallback>
            <w:pict>
              <v:rect id="矩形 1258" o:spid="_x0000_s1026" o:spt="1" style="position:absolute;left:0pt;margin-left:329.45pt;margin-top:14.9pt;height:15.55pt;width:43.4pt;z-index:251737088;mso-width-relative:page;mso-height-relative:page;" filled="f" stroked="f" coordsize="21600,21600" o:gfxdata="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GRoznZAAAACQEAAA8AAAAAAAAAAQAgAAAAIgAAAGRycy9kb3ducmV2LnhtbFBL&#10;AQIUABQAAAAIAIdO4kDBqBn2vAEAAHYDAAAOAAAAAAAAAAEAIAAAACgBAABkcnMvZTJvRG9jLnht&#10;bFBLBQYAAAAABgAGAFkBAABWBQAAAAA=&#10;">
                <v:fill on="f" focussize="0,0"/>
                <v:stroke on="f"/>
                <v:imagedata o:title=""/>
                <o:lock v:ext="edit" aspectratio="f"/>
                <v:textbox inset="0mm,0mm,0mm,0mm">
                  <w:txbxContent>
                    <w:p w14:paraId="24F3CC75">
                      <w:pPr>
                        <w:jc w:val="center"/>
                        <w:rPr>
                          <w:szCs w:val="21"/>
                        </w:rPr>
                      </w:pPr>
                      <w:r>
                        <w:rPr>
                          <w:rFonts w:hint="eastAsia"/>
                          <w:szCs w:val="21"/>
                        </w:rPr>
                        <w:t>渗沥液</w:t>
                      </w:r>
                    </w:p>
                  </w:txbxContent>
                </v:textbox>
              </v:rect>
            </w:pict>
          </mc:Fallback>
        </mc:AlternateContent>
      </w:r>
      <w:r>
        <w:rPr>
          <w:sz w:val="24"/>
          <w:lang/>
        </w:rPr>
        <mc:AlternateContent>
          <mc:Choice Requires="wps">
            <w:drawing>
              <wp:anchor distT="0" distB="0" distL="114300" distR="114300" simplePos="0" relativeHeight="251743232" behindDoc="0" locked="0" layoutInCell="1" allowOverlap="1">
                <wp:simplePos x="0" y="0"/>
                <wp:positionH relativeFrom="column">
                  <wp:posOffset>918845</wp:posOffset>
                </wp:positionH>
                <wp:positionV relativeFrom="paragraph">
                  <wp:posOffset>22225</wp:posOffset>
                </wp:positionV>
                <wp:extent cx="635" cy="540385"/>
                <wp:effectExtent l="4445" t="0" r="13970" b="12065"/>
                <wp:wrapNone/>
                <wp:docPr id="83" name="自选图形 1351"/>
                <wp:cNvGraphicFramePr/>
                <a:graphic xmlns:a="http://schemas.openxmlformats.org/drawingml/2006/main">
                  <a:graphicData uri="http://schemas.microsoft.com/office/word/2010/wordprocessingShape">
                    <wps:wsp>
                      <wps:cNvCnPr/>
                      <wps:spPr>
                        <a:xfrm>
                          <a:off x="0" y="0"/>
                          <a:ext cx="635" cy="5403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51" o:spid="_x0000_s1026" o:spt="32" type="#_x0000_t32" style="position:absolute;left:0pt;margin-left:72.35pt;margin-top:1.75pt;height:42.55pt;width:0.05pt;z-index:251743232;mso-width-relative:page;mso-height-relative:page;" filled="f" stroked="t" coordsize="21600,21600" o:gfxdata="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i+8d1wAAAAgBAAAPAAAAAAAAAAEAIAAAACIAAABkcnMvZG93bnJldi54bWxQ&#10;SwECFAAUAAAACACHTuJAusNthfgBAADoAwAADgAAAAAAAAABACAAAAAmAQAAZHJzL2Uyb0RvYy54&#10;bWxQSwUGAAAAAAYABgBZAQAAkAUAAAAA&#10;">
                <v:fill on="f" focussize="0,0"/>
                <v:stroke color="#000000" joinstyle="round"/>
                <v:imagedata o:title=""/>
                <o:lock v:ext="edit" aspectratio="f"/>
              </v:shape>
            </w:pict>
          </mc:Fallback>
        </mc:AlternateContent>
      </w:r>
    </w:p>
    <w:p w14:paraId="41D5D8BA">
      <w:pPr>
        <w:spacing w:line="360" w:lineRule="auto"/>
        <w:ind w:firstLine="482" w:firstLineChars="200"/>
        <w:rPr>
          <w:sz w:val="24"/>
        </w:rPr>
      </w:pPr>
      <w:r>
        <w:rPr>
          <w:b/>
          <w:sz w:val="24"/>
          <w:lang/>
        </w:rPr>
        <mc:AlternateContent>
          <mc:Choice Requires="wps">
            <w:drawing>
              <wp:anchor distT="0" distB="0" distL="114300" distR="114300" simplePos="0" relativeHeight="251758592" behindDoc="0" locked="0" layoutInCell="1" allowOverlap="1">
                <wp:simplePos x="0" y="0"/>
                <wp:positionH relativeFrom="column">
                  <wp:posOffset>4448810</wp:posOffset>
                </wp:positionH>
                <wp:positionV relativeFrom="paragraph">
                  <wp:posOffset>123190</wp:posOffset>
                </wp:positionV>
                <wp:extent cx="0" cy="278765"/>
                <wp:effectExtent l="38100" t="0" r="38100" b="6985"/>
                <wp:wrapNone/>
                <wp:docPr id="98" name="直线 1248"/>
                <wp:cNvGraphicFramePr/>
                <a:graphic xmlns:a="http://schemas.openxmlformats.org/drawingml/2006/main">
                  <a:graphicData uri="http://schemas.microsoft.com/office/word/2010/wordprocessingShape">
                    <wps:wsp>
                      <wps:cNvSpPr/>
                      <wps:spPr>
                        <a:xfrm>
                          <a:off x="0" y="0"/>
                          <a:ext cx="0" cy="2787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350.3pt;margin-top:9.7pt;height:21.95pt;width:0pt;z-index:251758592;mso-width-relative:page;mso-height-relative:page;" filled="f" stroked="t" coordsize="21600,21600" o:gfxdata="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DQgQ2AAAAAkBAAAPAAAAAAAAAAEAIAAAACIAAABkcnMvZG93bnJldi54bWxQSwECFAAUAAAA&#10;CACHTuJAxkKj7u4BAADiAwAADgAAAAAAAAABACAAAAAnAQAAZHJzL2Uyb0RvYy54bWxQSwUGAAAA&#10;AAYABgBZAQAAhwUAAAAA&#10;">
                <v:fill on="f" focussize="0,0"/>
                <v:stroke color="#000000" joinstyle="round" endarrow="block"/>
                <v:imagedata o:title=""/>
                <o:lock v:ext="edit" aspectratio="f"/>
              </v:line>
            </w:pict>
          </mc:Fallback>
        </mc:AlternateContent>
      </w:r>
    </w:p>
    <w:p w14:paraId="6B9FB225">
      <w:pPr>
        <w:spacing w:line="360" w:lineRule="auto"/>
        <w:ind w:firstLine="482" w:firstLineChars="200"/>
        <w:rPr>
          <w:sz w:val="24"/>
        </w:rPr>
      </w:pPr>
      <w:r>
        <w:rPr>
          <w:b/>
          <w:sz w:val="24"/>
          <w:lang/>
        </w:rPr>
        <mc:AlternateContent>
          <mc:Choice Requires="wps">
            <w:drawing>
              <wp:anchor distT="0" distB="0" distL="114300" distR="114300" simplePos="0" relativeHeight="251759616" behindDoc="0" locked="0" layoutInCell="1" allowOverlap="1">
                <wp:simplePos x="0" y="0"/>
                <wp:positionH relativeFrom="column">
                  <wp:posOffset>3978910</wp:posOffset>
                </wp:positionH>
                <wp:positionV relativeFrom="paragraph">
                  <wp:posOffset>139065</wp:posOffset>
                </wp:positionV>
                <wp:extent cx="943610" cy="295275"/>
                <wp:effectExtent l="4445" t="4445" r="23495" b="5080"/>
                <wp:wrapNone/>
                <wp:docPr id="99" name="矩形 1252"/>
                <wp:cNvGraphicFramePr/>
                <a:graphic xmlns:a="http://schemas.openxmlformats.org/drawingml/2006/main">
                  <a:graphicData uri="http://schemas.microsoft.com/office/word/2010/wordprocessingShape">
                    <wps:wsp>
                      <wps:cNvSpPr/>
                      <wps:spPr>
                        <a:xfrm>
                          <a:off x="0" y="0"/>
                          <a:ext cx="943610" cy="295275"/>
                        </a:xfrm>
                        <a:prstGeom prst="rect">
                          <a:avLst/>
                        </a:prstGeom>
                        <a:noFill/>
                        <a:ln w="9525" cap="flat" cmpd="sng">
                          <a:solidFill>
                            <a:srgbClr val="000000"/>
                          </a:solidFill>
                          <a:prstDash val="solid"/>
                          <a:miter/>
                          <a:headEnd type="none" w="med" len="med"/>
                          <a:tailEnd type="none" w="med" len="med"/>
                        </a:ln>
                      </wps:spPr>
                      <wps:txbx>
                        <w:txbxContent>
                          <w:p w14:paraId="75642C3A">
                            <w:pPr>
                              <w:adjustRightInd w:val="0"/>
                              <w:snapToGrid w:val="0"/>
                              <w:spacing w:line="400" w:lineRule="exact"/>
                              <w:jc w:val="center"/>
                              <w:rPr>
                                <w:szCs w:val="21"/>
                              </w:rPr>
                            </w:pPr>
                            <w:r>
                              <w:rPr>
                                <w:szCs w:val="21"/>
                              </w:rPr>
                              <w:t>污水处理系统</w:t>
                            </w:r>
                          </w:p>
                        </w:txbxContent>
                      </wps:txbx>
                      <wps:bodyPr wrap="square" lIns="0" tIns="0" rIns="0" bIns="0" upright="1"/>
                    </wps:wsp>
                  </a:graphicData>
                </a:graphic>
              </wp:anchor>
            </w:drawing>
          </mc:Choice>
          <mc:Fallback>
            <w:pict>
              <v:rect id="矩形 1252" o:spid="_x0000_s1026" o:spt="1" style="position:absolute;left:0pt;margin-left:313.3pt;margin-top:10.95pt;height:23.25pt;width:74.3pt;z-index:251759616;mso-width-relative:page;mso-height-relative:page;" filled="f" stroked="t" coordsize="21600,21600" o:gfxdata="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Io1LtUAAAAJAQAADwAAAAAA&#10;AAABACAAAAAiAAAAZHJzL2Rvd25yZXYueG1sUEsBAhQAFAAAAAgAh07iQAwtwskWAgAANQQAAA4A&#10;AAAAAAAAAQAgAAAAJAEAAGRycy9lMm9Eb2MueG1sUEsFBgAAAAAGAAYAWQEAAKwFAAAAAA==&#10;">
                <v:fill on="f" focussize="0,0"/>
                <v:stroke color="#000000" joinstyle="miter"/>
                <v:imagedata o:title=""/>
                <o:lock v:ext="edit" aspectratio="f"/>
                <v:textbox inset="0mm,0mm,0mm,0mm">
                  <w:txbxContent>
                    <w:p w14:paraId="75642C3A">
                      <w:pPr>
                        <w:adjustRightInd w:val="0"/>
                        <w:snapToGrid w:val="0"/>
                        <w:spacing w:line="400" w:lineRule="exact"/>
                        <w:jc w:val="center"/>
                        <w:rPr>
                          <w:szCs w:val="21"/>
                        </w:rPr>
                      </w:pPr>
                      <w:r>
                        <w:rPr>
                          <w:szCs w:val="21"/>
                        </w:rPr>
                        <w:t>污水处理系统</w:t>
                      </w:r>
                    </w:p>
                  </w:txbxContent>
                </v:textbox>
              </v:rect>
            </w:pict>
          </mc:Fallback>
        </mc:AlternateContent>
      </w:r>
      <w:r>
        <w:rPr>
          <w:sz w:val="24"/>
          <w:lang/>
        </w:rPr>
        <mc:AlternateContent>
          <mc:Choice Requires="wps">
            <w:drawing>
              <wp:anchor distT="0" distB="0" distL="114300" distR="114300" simplePos="0" relativeHeight="251742208" behindDoc="0" locked="0" layoutInCell="1" allowOverlap="1">
                <wp:simplePos x="0" y="0"/>
                <wp:positionH relativeFrom="column">
                  <wp:posOffset>918845</wp:posOffset>
                </wp:positionH>
                <wp:positionV relativeFrom="paragraph">
                  <wp:posOffset>36830</wp:posOffset>
                </wp:positionV>
                <wp:extent cx="2217420" cy="635"/>
                <wp:effectExtent l="0" t="0" r="0" b="0"/>
                <wp:wrapNone/>
                <wp:docPr id="82" name="自选图形 1348"/>
                <wp:cNvGraphicFramePr/>
                <a:graphic xmlns:a="http://schemas.openxmlformats.org/drawingml/2006/main">
                  <a:graphicData uri="http://schemas.microsoft.com/office/word/2010/wordprocessingShape">
                    <wps:wsp>
                      <wps:cNvCnPr/>
                      <wps:spPr>
                        <a:xfrm>
                          <a:off x="0" y="0"/>
                          <a:ext cx="221742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48" o:spid="_x0000_s1026" o:spt="32" type="#_x0000_t32" style="position:absolute;left:0pt;margin-left:72.35pt;margin-top:2.9pt;height:0.05pt;width:174.6pt;z-index:251742208;mso-width-relative:page;mso-height-relative:page;" filled="f" stroked="t" coordsize="21600,21600" o:gfxdata="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ngyQ1QAAAAcBAAAPAAAAAAAAAAEAIAAAACIAAABkcnMvZG93bnJldi54bWxQ&#10;SwECFAAUAAAACACHTuJAhuzhWfoBAADpAwAADgAAAAAAAAABACAAAAAkAQAAZHJzL2Uyb0RvYy54&#10;bWxQSwUGAAAAAAYABgBZAQAAkAUAAAAA&#10;">
                <v:fill on="f" focussize="0,0"/>
                <v:stroke color="#000000" joinstyle="round"/>
                <v:imagedata o:title=""/>
                <o:lock v:ext="edit" aspectratio="f"/>
              </v:shape>
            </w:pict>
          </mc:Fallback>
        </mc:AlternateContent>
      </w:r>
    </w:p>
    <w:p w14:paraId="0A3D4D44">
      <w:pPr>
        <w:spacing w:line="360" w:lineRule="auto"/>
        <w:ind w:firstLine="480" w:firstLineChars="200"/>
        <w:rPr>
          <w:sz w:val="24"/>
        </w:rPr>
      </w:pPr>
      <w:r>
        <w:rPr>
          <w:bCs/>
          <w:sz w:val="24"/>
          <w:lang/>
        </w:rPr>
        <mc:AlternateContent>
          <mc:Choice Requires="wps">
            <w:drawing>
              <wp:anchor distT="0" distB="0" distL="114300" distR="114300" simplePos="0" relativeHeight="251735040" behindDoc="0" locked="0" layoutInCell="1" allowOverlap="1">
                <wp:simplePos x="0" y="0"/>
                <wp:positionH relativeFrom="column">
                  <wp:posOffset>1595755</wp:posOffset>
                </wp:positionH>
                <wp:positionV relativeFrom="paragraph">
                  <wp:posOffset>243205</wp:posOffset>
                </wp:positionV>
                <wp:extent cx="578485" cy="295275"/>
                <wp:effectExtent l="4445" t="4445" r="7620" b="5080"/>
                <wp:wrapNone/>
                <wp:docPr id="75" name="矩形 1252"/>
                <wp:cNvGraphicFramePr/>
                <a:graphic xmlns:a="http://schemas.openxmlformats.org/drawingml/2006/main">
                  <a:graphicData uri="http://schemas.microsoft.com/office/word/2010/wordprocessingShape">
                    <wps:wsp>
                      <wps:cNvSpPr/>
                      <wps:spPr>
                        <a:xfrm>
                          <a:off x="0" y="0"/>
                          <a:ext cx="578485" cy="295275"/>
                        </a:xfrm>
                        <a:prstGeom prst="rect">
                          <a:avLst/>
                        </a:prstGeom>
                        <a:noFill/>
                        <a:ln w="9525" cap="flat" cmpd="sng">
                          <a:solidFill>
                            <a:srgbClr val="000000"/>
                          </a:solidFill>
                          <a:prstDash val="solid"/>
                          <a:miter/>
                          <a:headEnd type="none" w="med" len="med"/>
                          <a:tailEnd type="none" w="med" len="med"/>
                        </a:ln>
                      </wps:spPr>
                      <wps:txbx>
                        <w:txbxContent>
                          <w:p w14:paraId="6EC784B1">
                            <w:pPr>
                              <w:adjustRightInd w:val="0"/>
                              <w:snapToGrid w:val="0"/>
                              <w:spacing w:line="400" w:lineRule="exact"/>
                              <w:jc w:val="center"/>
                              <w:rPr>
                                <w:szCs w:val="21"/>
                              </w:rPr>
                            </w:pPr>
                            <w:r>
                              <w:rPr>
                                <w:rFonts w:hint="eastAsia"/>
                                <w:szCs w:val="21"/>
                              </w:rPr>
                              <w:t>堆粪场</w:t>
                            </w:r>
                          </w:p>
                        </w:txbxContent>
                      </wps:txbx>
                      <wps:bodyPr wrap="square" lIns="0" tIns="0" rIns="0" bIns="0" upright="1"/>
                    </wps:wsp>
                  </a:graphicData>
                </a:graphic>
              </wp:anchor>
            </w:drawing>
          </mc:Choice>
          <mc:Fallback>
            <w:pict>
              <v:rect id="矩形 1252" o:spid="_x0000_s1026" o:spt="1" style="position:absolute;left:0pt;margin-left:125.65pt;margin-top:19.15pt;height:23.25pt;width:45.55pt;z-index:251735040;mso-width-relative:page;mso-height-relative:page;" filled="f" stroked="t" coordsize="21600,21600" o:gfxdata="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9YIPbVAAAACQEAAA8AAAAAAAAA&#10;AQAgAAAAIgAAAGRycy9kb3ducmV2LnhtbFBLAQIUABQAAAAIAIdO4kBplZSsFAIAADUEAAAOAAAA&#10;AAAAAAEAIAAAACQBAABkcnMvZTJvRG9jLnhtbFBLBQYAAAAABgAGAFkBAACqBQAAAAA=&#10;">
                <v:fill on="f" focussize="0,0"/>
                <v:stroke color="#000000" joinstyle="miter"/>
                <v:imagedata o:title=""/>
                <o:lock v:ext="edit" aspectratio="f"/>
                <v:textbox inset="0mm,0mm,0mm,0mm">
                  <w:txbxContent>
                    <w:p w14:paraId="6EC784B1">
                      <w:pPr>
                        <w:adjustRightInd w:val="0"/>
                        <w:snapToGrid w:val="0"/>
                        <w:spacing w:line="400" w:lineRule="exact"/>
                        <w:jc w:val="center"/>
                        <w:rPr>
                          <w:szCs w:val="21"/>
                        </w:rPr>
                      </w:pPr>
                      <w:r>
                        <w:rPr>
                          <w:rFonts w:hint="eastAsia"/>
                          <w:szCs w:val="21"/>
                        </w:rPr>
                        <w:t>堆粪场</w:t>
                      </w:r>
                    </w:p>
                  </w:txbxContent>
                </v:textbox>
              </v:rect>
            </w:pict>
          </mc:Fallback>
        </mc:AlternateContent>
      </w:r>
    </w:p>
    <w:p w14:paraId="30F6C2B9">
      <w:pPr>
        <w:spacing w:line="360" w:lineRule="auto"/>
        <w:ind w:firstLine="480" w:firstLineChars="200"/>
        <w:rPr>
          <w:sz w:val="24"/>
        </w:rPr>
      </w:pPr>
      <w:r>
        <w:rPr>
          <w:sz w:val="24"/>
          <w:lang/>
        </w:rPr>
        <mc:AlternateContent>
          <mc:Choice Requires="wps">
            <w:drawing>
              <wp:anchor distT="0" distB="0" distL="114300" distR="114300" simplePos="0" relativeHeight="251754496" behindDoc="0" locked="0" layoutInCell="1" allowOverlap="1">
                <wp:simplePos x="0" y="0"/>
                <wp:positionH relativeFrom="column">
                  <wp:posOffset>2180590</wp:posOffset>
                </wp:positionH>
                <wp:positionV relativeFrom="paragraph">
                  <wp:posOffset>123825</wp:posOffset>
                </wp:positionV>
                <wp:extent cx="1647825" cy="635"/>
                <wp:effectExtent l="0" t="0" r="0" b="0"/>
                <wp:wrapNone/>
                <wp:docPr id="94" name="自选图形 1362"/>
                <wp:cNvGraphicFramePr/>
                <a:graphic xmlns:a="http://schemas.openxmlformats.org/drawingml/2006/main">
                  <a:graphicData uri="http://schemas.microsoft.com/office/word/2010/wordprocessingShape">
                    <wps:wsp>
                      <wps:cNvCnPr/>
                      <wps:spPr>
                        <a:xfrm>
                          <a:off x="0" y="0"/>
                          <a:ext cx="1647825" cy="63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自选图形 1362" o:spid="_x0000_s1026" o:spt="32" type="#_x0000_t32" style="position:absolute;left:0pt;margin-left:171.7pt;margin-top:9.75pt;height:0.05pt;width:129.75pt;z-index:251754496;mso-width-relative:page;mso-height-relative:page;" filled="f" stroked="t" coordsize="21600,21600" o:gfxdata="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EDtEnYAAAACQEAAA8AAAAAAAAAAQAgAAAAIgAAAGRycy9kb3ducmV2Lnht&#10;bFBLAQIUABQAAAAIAIdO4kALORA8+QEAAOgDAAAOAAAAAAAAAAEAIAAAACcBAABkcnMvZTJvRG9j&#10;LnhtbFBLBQYAAAAABgAGAFkBAACSBQAAAAA=&#10;">
                <v:fill on="f" focussize="0,0"/>
                <v:stroke color="#000000" joinstyle="round" dashstyle="dash"/>
                <v:imagedata o:title=""/>
                <o:lock v:ext="edit" aspectratio="f"/>
              </v:shape>
            </w:pict>
          </mc:Fallback>
        </mc:AlternateContent>
      </w:r>
    </w:p>
    <w:p w14:paraId="1D22CF8F">
      <w:pPr>
        <w:spacing w:line="360" w:lineRule="auto"/>
        <w:ind w:firstLine="480" w:firstLineChars="200"/>
        <w:rPr>
          <w:sz w:val="24"/>
        </w:rPr>
      </w:pPr>
      <w:r>
        <w:rPr>
          <w:sz w:val="24"/>
          <w:lang/>
        </w:rPr>
        <mc:AlternateContent>
          <mc:Choice Requires="wps">
            <w:drawing>
              <wp:anchor distT="0" distB="0" distL="114300" distR="114300" simplePos="0" relativeHeight="251764736" behindDoc="0" locked="0" layoutInCell="1" allowOverlap="1">
                <wp:simplePos x="0" y="0"/>
                <wp:positionH relativeFrom="column">
                  <wp:posOffset>4735195</wp:posOffset>
                </wp:positionH>
                <wp:positionV relativeFrom="paragraph">
                  <wp:posOffset>161925</wp:posOffset>
                </wp:positionV>
                <wp:extent cx="0" cy="350520"/>
                <wp:effectExtent l="38100" t="0" r="38100" b="11430"/>
                <wp:wrapNone/>
                <wp:docPr id="104" name="直线 1253"/>
                <wp:cNvGraphicFramePr/>
                <a:graphic xmlns:a="http://schemas.openxmlformats.org/drawingml/2006/main">
                  <a:graphicData uri="http://schemas.microsoft.com/office/word/2010/wordprocessingShape">
                    <wps:wsp>
                      <wps:cNvSpPr/>
                      <wps:spPr>
                        <a:xfrm flipV="1">
                          <a:off x="0" y="0"/>
                          <a:ext cx="0" cy="35052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1253" o:spid="_x0000_s1026" o:spt="20" style="position:absolute;left:0pt;flip:y;margin-left:372.85pt;margin-top:12.75pt;height:27.6pt;width:0pt;z-index:251764736;mso-width-relative:page;mso-height-relative:page;" filled="f" stroked="t" coordsize="21600,21600" o:gfxdata="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Kouu1gAAAAkBAAAPAAAAAAAAAAEAIAAAACIAAABkcnMvZG93bnJldi54bWxQ&#10;SwECFAAUAAAACACHTuJAZSscl/kBAADsAwAADgAAAAAAAAABACAAAAAlAQAAZHJzL2Uyb0RvYy54&#10;bWxQSwUGAAAAAAYABgBZAQAAkAUAAAAA&#10;">
                <v:fill on="f" focussize="0,0"/>
                <v:stroke color="#000000" joinstyle="round" dashstyle="dash" endarrow="block"/>
                <v:imagedata o:title=""/>
                <o:lock v:ext="edit" aspectratio="f"/>
              </v:line>
            </w:pict>
          </mc:Fallback>
        </mc:AlternateContent>
      </w:r>
      <w:r>
        <w:rPr>
          <w:b/>
          <w:sz w:val="24"/>
          <w:lang/>
        </w:rPr>
        <mc:AlternateContent>
          <mc:Choice Requires="wps">
            <w:drawing>
              <wp:anchor distT="0" distB="0" distL="114300" distR="114300" simplePos="0" relativeHeight="251739136" behindDoc="0" locked="0" layoutInCell="1" allowOverlap="1">
                <wp:simplePos x="0" y="0"/>
                <wp:positionH relativeFrom="column">
                  <wp:posOffset>1864360</wp:posOffset>
                </wp:positionH>
                <wp:positionV relativeFrom="paragraph">
                  <wp:posOffset>12700</wp:posOffset>
                </wp:positionV>
                <wp:extent cx="0" cy="278765"/>
                <wp:effectExtent l="38100" t="0" r="38100" b="6985"/>
                <wp:wrapNone/>
                <wp:docPr id="79" name="直线 1248"/>
                <wp:cNvGraphicFramePr/>
                <a:graphic xmlns:a="http://schemas.openxmlformats.org/drawingml/2006/main">
                  <a:graphicData uri="http://schemas.microsoft.com/office/word/2010/wordprocessingShape">
                    <wps:wsp>
                      <wps:cNvSpPr/>
                      <wps:spPr>
                        <a:xfrm>
                          <a:off x="0" y="0"/>
                          <a:ext cx="0" cy="2787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46.8pt;margin-top:1pt;height:21.95pt;width:0pt;z-index:251739136;mso-width-relative:page;mso-height-relative:page;" filled="f" stroked="t" coordsize="21600,21600" o:gfxdata="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tmZs9gAAAAIAQAADwAAAAAAAAABACAAAAAiAAAAZHJzL2Rvd25yZXYueG1sUEsBAhQAFAAA&#10;AAgAh07iQKEl5KPvAQAA4gMAAA4AAAAAAAAAAQAgAAAAJwEAAGRycy9lMm9Eb2MueG1sUEsFBgAA&#10;AAAGAAYAWQEAAIgFAAAAAA==&#10;">
                <v:fill on="f" focussize="0,0"/>
                <v:stroke color="#000000" joinstyle="round" endarrow="block"/>
                <v:imagedata o:title=""/>
                <o:lock v:ext="edit" aspectratio="f"/>
              </v:line>
            </w:pict>
          </mc:Fallback>
        </mc:AlternateContent>
      </w:r>
    </w:p>
    <w:p w14:paraId="4A32C160">
      <w:pPr>
        <w:spacing w:line="360" w:lineRule="auto"/>
        <w:ind w:firstLine="482" w:firstLineChars="200"/>
        <w:rPr>
          <w:sz w:val="24"/>
        </w:rPr>
      </w:pPr>
      <w:r>
        <w:rPr>
          <w:b/>
          <w:sz w:val="24"/>
          <w:lang/>
        </w:rPr>
        <mc:AlternateContent>
          <mc:Choice Requires="wps">
            <w:drawing>
              <wp:anchor distT="0" distB="0" distL="114300" distR="114300" simplePos="0" relativeHeight="251763712" behindDoc="0" locked="0" layoutInCell="1" allowOverlap="1">
                <wp:simplePos x="0" y="0"/>
                <wp:positionH relativeFrom="column">
                  <wp:posOffset>4353560</wp:posOffset>
                </wp:positionH>
                <wp:positionV relativeFrom="paragraph">
                  <wp:posOffset>249555</wp:posOffset>
                </wp:positionV>
                <wp:extent cx="943610" cy="506095"/>
                <wp:effectExtent l="4445" t="4445" r="23495" b="22860"/>
                <wp:wrapNone/>
                <wp:docPr id="103" name="矩形 1252"/>
                <wp:cNvGraphicFramePr/>
                <a:graphic xmlns:a="http://schemas.openxmlformats.org/drawingml/2006/main">
                  <a:graphicData uri="http://schemas.microsoft.com/office/word/2010/wordprocessingShape">
                    <wps:wsp>
                      <wps:cNvSpPr/>
                      <wps:spPr>
                        <a:xfrm>
                          <a:off x="0" y="0"/>
                          <a:ext cx="943610" cy="506095"/>
                        </a:xfrm>
                        <a:prstGeom prst="rect">
                          <a:avLst/>
                        </a:prstGeom>
                        <a:noFill/>
                        <a:ln w="9525" cap="flat" cmpd="sng">
                          <a:solidFill>
                            <a:srgbClr val="000000"/>
                          </a:solidFill>
                          <a:prstDash val="solid"/>
                          <a:miter/>
                          <a:headEnd type="none" w="med" len="med"/>
                          <a:tailEnd type="none" w="med" len="med"/>
                        </a:ln>
                      </wps:spPr>
                      <wps:txbx>
                        <w:txbxContent>
                          <w:p w14:paraId="1988ADB2">
                            <w:pPr>
                              <w:adjustRightInd w:val="0"/>
                              <w:snapToGrid w:val="0"/>
                              <w:spacing w:line="400" w:lineRule="exact"/>
                              <w:jc w:val="center"/>
                              <w:rPr>
                                <w:szCs w:val="21"/>
                              </w:rPr>
                            </w:pPr>
                            <w:r>
                              <w:rPr>
                                <w:rFonts w:hint="eastAsia"/>
                                <w:szCs w:val="21"/>
                              </w:rPr>
                              <w:t>UV光解+水帘生物除臭装置</w:t>
                            </w:r>
                          </w:p>
                        </w:txbxContent>
                      </wps:txbx>
                      <wps:bodyPr wrap="square" lIns="0" tIns="0" rIns="0" bIns="0" upright="1"/>
                    </wps:wsp>
                  </a:graphicData>
                </a:graphic>
              </wp:anchor>
            </w:drawing>
          </mc:Choice>
          <mc:Fallback>
            <w:pict>
              <v:rect id="矩形 1252" o:spid="_x0000_s1026" o:spt="1" style="position:absolute;left:0pt;margin-left:342.8pt;margin-top:19.65pt;height:39.85pt;width:74.3pt;z-index:251763712;mso-width-relative:page;mso-height-relative:page;" filled="f" stroked="t" coordsize="21600,21600" o:gfxdata="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7LPEXWAAAACgEAAA8AAAAA&#10;AAAAAQAgAAAAIgAAAGRycy9kb3ducmV2LnhtbFBLAQIUABQAAAAIAIdO4kCJs4BHFgIAADYEAAAO&#10;AAAAAAAAAAEAIAAAACUBAABkcnMvZTJvRG9jLnhtbFBLBQYAAAAABgAGAFkBAACtBQAAAAA=&#10;">
                <v:fill on="f" focussize="0,0"/>
                <v:stroke color="#000000" joinstyle="miter"/>
                <v:imagedata o:title=""/>
                <o:lock v:ext="edit" aspectratio="f"/>
                <v:textbox inset="0mm,0mm,0mm,0mm">
                  <w:txbxContent>
                    <w:p w14:paraId="1988ADB2">
                      <w:pPr>
                        <w:adjustRightInd w:val="0"/>
                        <w:snapToGrid w:val="0"/>
                        <w:spacing w:line="400" w:lineRule="exact"/>
                        <w:jc w:val="center"/>
                        <w:rPr>
                          <w:szCs w:val="21"/>
                        </w:rPr>
                      </w:pPr>
                      <w:r>
                        <w:rPr>
                          <w:rFonts w:hint="eastAsia"/>
                          <w:szCs w:val="21"/>
                        </w:rPr>
                        <w:t>UV光解+水帘生物除臭装置</w:t>
                      </w:r>
                    </w:p>
                  </w:txbxContent>
                </v:textbox>
              </v:rect>
            </w:pict>
          </mc:Fallback>
        </mc:AlternateContent>
      </w:r>
      <w:r>
        <w:rPr>
          <w:b/>
          <w:sz w:val="24"/>
          <w:lang/>
        </w:rPr>
        <mc:AlternateContent>
          <mc:Choice Requires="wps">
            <w:drawing>
              <wp:anchor distT="0" distB="0" distL="114300" distR="114300" simplePos="0" relativeHeight="251753472" behindDoc="0" locked="0" layoutInCell="1" allowOverlap="1">
                <wp:simplePos x="0" y="0"/>
                <wp:positionH relativeFrom="column">
                  <wp:posOffset>224790</wp:posOffset>
                </wp:positionH>
                <wp:positionV relativeFrom="paragraph">
                  <wp:posOffset>93345</wp:posOffset>
                </wp:positionV>
                <wp:extent cx="447675" cy="197485"/>
                <wp:effectExtent l="0" t="0" r="0" b="0"/>
                <wp:wrapNone/>
                <wp:docPr id="93" name="矩形 1258"/>
                <wp:cNvGraphicFramePr/>
                <a:graphic xmlns:a="http://schemas.openxmlformats.org/drawingml/2006/main">
                  <a:graphicData uri="http://schemas.microsoft.com/office/word/2010/wordprocessingShape">
                    <wps:wsp>
                      <wps:cNvSpPr/>
                      <wps:spPr>
                        <a:xfrm>
                          <a:off x="0" y="0"/>
                          <a:ext cx="447675" cy="197485"/>
                        </a:xfrm>
                        <a:prstGeom prst="rect">
                          <a:avLst/>
                        </a:prstGeom>
                        <a:noFill/>
                        <a:ln>
                          <a:noFill/>
                        </a:ln>
                      </wps:spPr>
                      <wps:txbx>
                        <w:txbxContent>
                          <w:p w14:paraId="2162C799">
                            <w:pPr>
                              <w:jc w:val="center"/>
                              <w:rPr>
                                <w:szCs w:val="21"/>
                              </w:rPr>
                            </w:pPr>
                            <w:r>
                              <w:rPr>
                                <w:rFonts w:hint="eastAsia"/>
                                <w:szCs w:val="21"/>
                              </w:rPr>
                              <w:t>菌体</w:t>
                            </w:r>
                          </w:p>
                        </w:txbxContent>
                      </wps:txbx>
                      <wps:bodyPr wrap="square" lIns="0" tIns="0" rIns="0" bIns="0" upright="1"/>
                    </wps:wsp>
                  </a:graphicData>
                </a:graphic>
              </wp:anchor>
            </w:drawing>
          </mc:Choice>
          <mc:Fallback>
            <w:pict>
              <v:rect id="矩形 1258" o:spid="_x0000_s1026" o:spt="1" style="position:absolute;left:0pt;margin-left:17.7pt;margin-top:7.35pt;height:15.55pt;width:35.25pt;z-index:251753472;mso-width-relative:page;mso-height-relative:page;" filled="f" stroked="f" coordsize="21600,21600" o:gfxdata="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FlVMXZAAAACAEAAA8AAAAAAAAAAQAgAAAAIgAAAGRycy9kb3ducmV2Lnht&#10;bFBLAQIUABQAAAAIAIdO4kDOda20vwEAAHYDAAAOAAAAAAAAAAEAIAAAACgBAABkcnMvZTJvRG9j&#10;LnhtbFBLBQYAAAAABgAGAFkBAABZBQAAAAA=&#10;">
                <v:fill on="f" focussize="0,0"/>
                <v:stroke on="f"/>
                <v:imagedata o:title=""/>
                <o:lock v:ext="edit" aspectratio="f"/>
                <v:textbox inset="0mm,0mm,0mm,0mm">
                  <w:txbxContent>
                    <w:p w14:paraId="2162C799">
                      <w:pPr>
                        <w:jc w:val="center"/>
                        <w:rPr>
                          <w:szCs w:val="21"/>
                        </w:rPr>
                      </w:pPr>
                      <w:r>
                        <w:rPr>
                          <w:rFonts w:hint="eastAsia"/>
                          <w:szCs w:val="21"/>
                        </w:rPr>
                        <w:t>菌体</w:t>
                      </w:r>
                    </w:p>
                  </w:txbxContent>
                </v:textbox>
              </v:rect>
            </w:pict>
          </mc:Fallback>
        </mc:AlternateContent>
      </w:r>
      <w:r>
        <w:rPr>
          <w:b/>
          <w:sz w:val="24"/>
          <w:lang/>
        </w:rPr>
        <mc:AlternateContent>
          <mc:Choice Requires="wps">
            <w:drawing>
              <wp:anchor distT="0" distB="0" distL="114300" distR="114300" simplePos="0" relativeHeight="251734016" behindDoc="0" locked="0" layoutInCell="1" allowOverlap="1">
                <wp:simplePos x="0" y="0"/>
                <wp:positionH relativeFrom="column">
                  <wp:posOffset>631825</wp:posOffset>
                </wp:positionH>
                <wp:positionV relativeFrom="paragraph">
                  <wp:posOffset>170815</wp:posOffset>
                </wp:positionV>
                <wp:extent cx="891540" cy="0"/>
                <wp:effectExtent l="0" t="38100" r="3810" b="38100"/>
                <wp:wrapNone/>
                <wp:docPr id="74" name="直线 1251"/>
                <wp:cNvGraphicFramePr/>
                <a:graphic xmlns:a="http://schemas.openxmlformats.org/drawingml/2006/main">
                  <a:graphicData uri="http://schemas.microsoft.com/office/word/2010/wordprocessingShape">
                    <wps:wsp>
                      <wps:cNvSpPr/>
                      <wps:spPr>
                        <a:xfrm>
                          <a:off x="0" y="0"/>
                          <a:ext cx="89154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1" o:spid="_x0000_s1026" o:spt="20" style="position:absolute;left:0pt;margin-left:49.75pt;margin-top:13.45pt;height:0pt;width:70.2pt;z-index:251734016;mso-width-relative:page;mso-height-relative:page;" filled="f" stroked="t" coordsize="21600,21600" o:gfxdata="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K1PNtkAAAAIAQAADwAAAAAAAAABACAAAAAiAAAAZHJzL2Rvd25yZXYueG1sUEsBAhQA&#10;FAAAAAgAh07iQPWDOnnxAQAA4gMAAA4AAAAAAAAAAQAgAAAAKAEAAGRycy9lMm9Eb2MueG1sUEsF&#10;BgAAAAAGAAYAWQEAAIsFAAAAAA==&#10;">
                <v:fill on="f" focussize="0,0"/>
                <v:stroke color="#000000" joinstyle="round" endarrow="block"/>
                <v:imagedata o:title=""/>
                <o:lock v:ext="edit" aspectratio="f"/>
              </v:line>
            </w:pict>
          </mc:Fallback>
        </mc:AlternateContent>
      </w:r>
      <w:r>
        <w:rPr>
          <w:bCs/>
          <w:sz w:val="24"/>
          <w:lang/>
        </w:rPr>
        <mc:AlternateContent>
          <mc:Choice Requires="wps">
            <w:drawing>
              <wp:anchor distT="0" distB="0" distL="114300" distR="114300" simplePos="0" relativeHeight="251746304" behindDoc="0" locked="0" layoutInCell="1" allowOverlap="1">
                <wp:simplePos x="0" y="0"/>
                <wp:positionH relativeFrom="column">
                  <wp:posOffset>1529715</wp:posOffset>
                </wp:positionH>
                <wp:positionV relativeFrom="paragraph">
                  <wp:posOffset>28575</wp:posOffset>
                </wp:positionV>
                <wp:extent cx="650875" cy="295275"/>
                <wp:effectExtent l="4445" t="4445" r="11430" b="5080"/>
                <wp:wrapNone/>
                <wp:docPr id="86" name="矩形 1252"/>
                <wp:cNvGraphicFramePr/>
                <a:graphic xmlns:a="http://schemas.openxmlformats.org/drawingml/2006/main">
                  <a:graphicData uri="http://schemas.microsoft.com/office/word/2010/wordprocessingShape">
                    <wps:wsp>
                      <wps:cNvSpPr/>
                      <wps:spPr>
                        <a:xfrm>
                          <a:off x="0" y="0"/>
                          <a:ext cx="650875" cy="295275"/>
                        </a:xfrm>
                        <a:prstGeom prst="rect">
                          <a:avLst/>
                        </a:prstGeom>
                        <a:noFill/>
                        <a:ln w="9525" cap="flat" cmpd="sng">
                          <a:solidFill>
                            <a:srgbClr val="000000"/>
                          </a:solidFill>
                          <a:prstDash val="solid"/>
                          <a:miter/>
                          <a:headEnd type="none" w="med" len="med"/>
                          <a:tailEnd type="none" w="med" len="med"/>
                        </a:ln>
                      </wps:spPr>
                      <wps:txbx>
                        <w:txbxContent>
                          <w:p w14:paraId="3151B3F2">
                            <w:pPr>
                              <w:adjustRightInd w:val="0"/>
                              <w:snapToGrid w:val="0"/>
                              <w:spacing w:line="400" w:lineRule="exact"/>
                              <w:jc w:val="center"/>
                              <w:rPr>
                                <w:szCs w:val="21"/>
                              </w:rPr>
                            </w:pPr>
                            <w:r>
                              <w:rPr>
                                <w:rFonts w:hint="eastAsia"/>
                                <w:szCs w:val="21"/>
                              </w:rPr>
                              <w:t>高温发酵</w:t>
                            </w:r>
                          </w:p>
                        </w:txbxContent>
                      </wps:txbx>
                      <wps:bodyPr wrap="square" lIns="0" tIns="0" rIns="0" bIns="0" upright="1"/>
                    </wps:wsp>
                  </a:graphicData>
                </a:graphic>
              </wp:anchor>
            </w:drawing>
          </mc:Choice>
          <mc:Fallback>
            <w:pict>
              <v:rect id="矩形 1252" o:spid="_x0000_s1026" o:spt="1" style="position:absolute;left:0pt;margin-left:120.45pt;margin-top:2.25pt;height:23.25pt;width:51.25pt;z-index:251746304;mso-width-relative:page;mso-height-relative:page;" filled="f" stroked="t" coordsize="21600,21600" o:gfxdata="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6qaJtUAAAAIAQAADwAAAAAAAAAB&#10;ACAAAAAiAAAAZHJzL2Rvd25yZXYueG1sUEsBAhQAFAAAAAgAh07iQPDfZ/sTAgAANQQAAA4AAAAA&#10;AAAAAQAgAAAAJAEAAGRycy9lMm9Eb2MueG1sUEsFBgAAAAAGAAYAWQEAAKkFAAAAAA==&#10;">
                <v:fill on="f" focussize="0,0"/>
                <v:stroke color="#000000" joinstyle="miter"/>
                <v:imagedata o:title=""/>
                <o:lock v:ext="edit" aspectratio="f"/>
                <v:textbox inset="0mm,0mm,0mm,0mm">
                  <w:txbxContent>
                    <w:p w14:paraId="3151B3F2">
                      <w:pPr>
                        <w:adjustRightInd w:val="0"/>
                        <w:snapToGrid w:val="0"/>
                        <w:spacing w:line="400" w:lineRule="exact"/>
                        <w:jc w:val="center"/>
                        <w:rPr>
                          <w:szCs w:val="21"/>
                        </w:rPr>
                      </w:pPr>
                      <w:r>
                        <w:rPr>
                          <w:rFonts w:hint="eastAsia"/>
                          <w:szCs w:val="21"/>
                        </w:rPr>
                        <w:t>高温发酵</w:t>
                      </w:r>
                    </w:p>
                  </w:txbxContent>
                </v:textbox>
              </v:rect>
            </w:pict>
          </mc:Fallback>
        </mc:AlternateContent>
      </w:r>
    </w:p>
    <w:p w14:paraId="2D5A3B2C">
      <w:pPr>
        <w:spacing w:line="360" w:lineRule="auto"/>
        <w:ind w:firstLine="480" w:firstLineChars="200"/>
        <w:rPr>
          <w:sz w:val="24"/>
        </w:rPr>
      </w:pPr>
      <w:r>
        <w:rPr>
          <w:sz w:val="24"/>
          <w:lang/>
        </w:rPr>
        <mc:AlternateContent>
          <mc:Choice Requires="wps">
            <w:drawing>
              <wp:anchor distT="0" distB="0" distL="114300" distR="114300" simplePos="0" relativeHeight="251765760" behindDoc="0" locked="0" layoutInCell="1" allowOverlap="1">
                <wp:simplePos x="0" y="0"/>
                <wp:positionH relativeFrom="column">
                  <wp:posOffset>4448810</wp:posOffset>
                </wp:positionH>
                <wp:positionV relativeFrom="paragraph">
                  <wp:posOffset>-561340</wp:posOffset>
                </wp:positionV>
                <wp:extent cx="551180" cy="197485"/>
                <wp:effectExtent l="0" t="0" r="0" b="0"/>
                <wp:wrapNone/>
                <wp:docPr id="105" name="矩形 1258"/>
                <wp:cNvGraphicFramePr/>
                <a:graphic xmlns:a="http://schemas.openxmlformats.org/drawingml/2006/main">
                  <a:graphicData uri="http://schemas.microsoft.com/office/word/2010/wordprocessingShape">
                    <wps:wsp>
                      <wps:cNvSpPr/>
                      <wps:spPr>
                        <a:xfrm>
                          <a:off x="0" y="0"/>
                          <a:ext cx="551180" cy="197485"/>
                        </a:xfrm>
                        <a:prstGeom prst="rect">
                          <a:avLst/>
                        </a:prstGeom>
                        <a:noFill/>
                        <a:ln>
                          <a:noFill/>
                        </a:ln>
                      </wps:spPr>
                      <wps:txbx>
                        <w:txbxContent>
                          <w:p w14:paraId="74014AC9">
                            <w:pPr>
                              <w:jc w:val="center"/>
                              <w:rPr>
                                <w:szCs w:val="21"/>
                              </w:rPr>
                            </w:pPr>
                            <w:r>
                              <w:rPr>
                                <w:rFonts w:hint="eastAsia"/>
                                <w:szCs w:val="21"/>
                              </w:rPr>
                              <w:t>恶臭排放</w:t>
                            </w:r>
                          </w:p>
                        </w:txbxContent>
                      </wps:txbx>
                      <wps:bodyPr wrap="square" lIns="0" tIns="0" rIns="0" bIns="0" upright="1"/>
                    </wps:wsp>
                  </a:graphicData>
                </a:graphic>
              </wp:anchor>
            </w:drawing>
          </mc:Choice>
          <mc:Fallback>
            <w:pict>
              <v:rect id="矩形 1258" o:spid="_x0000_s1026" o:spt="1" style="position:absolute;left:0pt;margin-left:350.3pt;margin-top:-44.2pt;height:15.55pt;width:43.4pt;z-index:251765760;mso-width-relative:page;mso-height-relative:page;" filled="f" stroked="f" coordsize="21600,21600" o:gfxdata="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YhvhdoAAAALAQAADwAAAAAAAAABACAAAAAiAAAAZHJzL2Rvd25yZXYueG1s&#10;UEsBAhQAFAAAAAgAh07iQJhxvFu9AQAAdwMAAA4AAAAAAAAAAQAgAAAAKQEAAGRycy9lMm9Eb2Mu&#10;eG1sUEsFBgAAAAAGAAYAWQEAAFgFAAAAAA==&#10;">
                <v:fill on="f" focussize="0,0"/>
                <v:stroke on="f"/>
                <v:imagedata o:title=""/>
                <o:lock v:ext="edit" aspectratio="f"/>
                <v:textbox inset="0mm,0mm,0mm,0mm">
                  <w:txbxContent>
                    <w:p w14:paraId="74014AC9">
                      <w:pPr>
                        <w:jc w:val="center"/>
                        <w:rPr>
                          <w:szCs w:val="21"/>
                        </w:rPr>
                      </w:pPr>
                      <w:r>
                        <w:rPr>
                          <w:rFonts w:hint="eastAsia"/>
                          <w:szCs w:val="21"/>
                        </w:rPr>
                        <w:t>恶臭排放</w:t>
                      </w:r>
                    </w:p>
                  </w:txbxContent>
                </v:textbox>
              </v:rect>
            </w:pict>
          </mc:Fallback>
        </mc:AlternateContent>
      </w:r>
      <w:r>
        <w:rPr>
          <w:sz w:val="24"/>
          <w:lang/>
        </w:rPr>
        <mc:AlternateContent>
          <mc:Choice Requires="wps">
            <w:drawing>
              <wp:anchor distT="0" distB="0" distL="114300" distR="114300" simplePos="0" relativeHeight="251762688" behindDoc="0" locked="0" layoutInCell="1" allowOverlap="1">
                <wp:simplePos x="0" y="0"/>
                <wp:positionH relativeFrom="column">
                  <wp:posOffset>4085590</wp:posOffset>
                </wp:positionH>
                <wp:positionV relativeFrom="paragraph">
                  <wp:posOffset>217170</wp:posOffset>
                </wp:positionV>
                <wp:extent cx="267970" cy="0"/>
                <wp:effectExtent l="0" t="38100" r="17780" b="38100"/>
                <wp:wrapNone/>
                <wp:docPr id="102" name="直线 1253"/>
                <wp:cNvGraphicFramePr/>
                <a:graphic xmlns:a="http://schemas.openxmlformats.org/drawingml/2006/main">
                  <a:graphicData uri="http://schemas.microsoft.com/office/word/2010/wordprocessingShape">
                    <wps:wsp>
                      <wps:cNvSpPr/>
                      <wps:spPr>
                        <a:xfrm>
                          <a:off x="0" y="0"/>
                          <a:ext cx="2679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3" o:spid="_x0000_s1026" o:spt="20" style="position:absolute;left:0pt;margin-left:321.7pt;margin-top:17.1pt;height:0pt;width:21.1pt;z-index:251762688;mso-width-relative:page;mso-height-relative:page;" filled="f" stroked="t" coordsize="21600,21600" o:gfxdata="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CEMj2gAAAAkBAAAPAAAAAAAAAAEAIAAAACIAAABkcnMvZG93bnJldi54bWxQSwEC&#10;FAAUAAAACACHTuJAc/cLJPIBAADjAwAADgAAAAAAAAABACAAAAApAQAAZHJzL2Uyb0RvYy54bWxQ&#10;SwUGAAAAAAYABgBZAQAAjQUAAAAA&#10;">
                <v:fill on="f" focussize="0,0"/>
                <v:stroke color="#000000" joinstyle="round" endarrow="block"/>
                <v:imagedata o:title=""/>
                <o:lock v:ext="edit" aspectratio="f"/>
              </v:line>
            </w:pict>
          </mc:Fallback>
        </mc:AlternateContent>
      </w:r>
      <w:r>
        <w:rPr>
          <w:sz w:val="24"/>
          <w:lang/>
        </w:rPr>
        <mc:AlternateContent>
          <mc:Choice Requires="wps">
            <w:drawing>
              <wp:anchor distT="0" distB="0" distL="114300" distR="114300" simplePos="0" relativeHeight="251761664" behindDoc="0" locked="0" layoutInCell="1" allowOverlap="1">
                <wp:simplePos x="0" y="0"/>
                <wp:positionH relativeFrom="column">
                  <wp:posOffset>3632835</wp:posOffset>
                </wp:positionH>
                <wp:positionV relativeFrom="paragraph">
                  <wp:posOffset>142240</wp:posOffset>
                </wp:positionV>
                <wp:extent cx="551180" cy="197485"/>
                <wp:effectExtent l="0" t="0" r="0" b="0"/>
                <wp:wrapNone/>
                <wp:docPr id="101" name="矩形 1258"/>
                <wp:cNvGraphicFramePr/>
                <a:graphic xmlns:a="http://schemas.openxmlformats.org/drawingml/2006/main">
                  <a:graphicData uri="http://schemas.microsoft.com/office/word/2010/wordprocessingShape">
                    <wps:wsp>
                      <wps:cNvSpPr/>
                      <wps:spPr>
                        <a:xfrm>
                          <a:off x="0" y="0"/>
                          <a:ext cx="551180" cy="197485"/>
                        </a:xfrm>
                        <a:prstGeom prst="rect">
                          <a:avLst/>
                        </a:prstGeom>
                        <a:noFill/>
                        <a:ln>
                          <a:noFill/>
                        </a:ln>
                      </wps:spPr>
                      <wps:txbx>
                        <w:txbxContent>
                          <w:p w14:paraId="3DC444A1">
                            <w:pPr>
                              <w:jc w:val="center"/>
                              <w:rPr>
                                <w:szCs w:val="21"/>
                              </w:rPr>
                            </w:pPr>
                            <w:r>
                              <w:rPr>
                                <w:rFonts w:hint="eastAsia"/>
                                <w:szCs w:val="21"/>
                              </w:rPr>
                              <w:t>恶臭</w:t>
                            </w:r>
                          </w:p>
                        </w:txbxContent>
                      </wps:txbx>
                      <wps:bodyPr wrap="square" lIns="0" tIns="0" rIns="0" bIns="0" upright="1"/>
                    </wps:wsp>
                  </a:graphicData>
                </a:graphic>
              </wp:anchor>
            </w:drawing>
          </mc:Choice>
          <mc:Fallback>
            <w:pict>
              <v:rect id="矩形 1258" o:spid="_x0000_s1026" o:spt="1" style="position:absolute;left:0pt;margin-left:286.05pt;margin-top:11.2pt;height:15.55pt;width:43.4pt;z-index:251761664;mso-width-relative:page;mso-height-relative:page;" filled="f" stroked="f" coordsize="21600,21600" o:gfxdata="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jQim2gAAAAkBAAAPAAAAAAAAAAEAIAAAACIAAABkcnMvZG93bnJldi54bWxQ&#10;SwECFAAUAAAACACHTuJAfhjvyrwBAAB3AwAADgAAAAAAAAABACAAAAApAQAAZHJzL2Uyb0RvYy54&#10;bWxQSwUGAAAAAAYABgBZAQAAVwUAAAAA&#10;">
                <v:fill on="f" focussize="0,0"/>
                <v:stroke on="f"/>
                <v:imagedata o:title=""/>
                <o:lock v:ext="edit" aspectratio="f"/>
                <v:textbox inset="0mm,0mm,0mm,0mm">
                  <w:txbxContent>
                    <w:p w14:paraId="3DC444A1">
                      <w:pPr>
                        <w:jc w:val="center"/>
                        <w:rPr>
                          <w:szCs w:val="21"/>
                        </w:rPr>
                      </w:pPr>
                      <w:r>
                        <w:rPr>
                          <w:rFonts w:hint="eastAsia"/>
                          <w:szCs w:val="21"/>
                        </w:rPr>
                        <w:t>恶臭</w:t>
                      </w:r>
                    </w:p>
                  </w:txbxContent>
                </v:textbox>
              </v:rect>
            </w:pict>
          </mc:Fallback>
        </mc:AlternateContent>
      </w:r>
      <w:r>
        <w:rPr>
          <w:b/>
          <w:sz w:val="24"/>
          <w:lang/>
        </w:rPr>
        <mc:AlternateContent>
          <mc:Choice Requires="wps">
            <w:drawing>
              <wp:anchor distT="0" distB="0" distL="114300" distR="114300" simplePos="0" relativeHeight="251760640" behindDoc="0" locked="0" layoutInCell="1" allowOverlap="1">
                <wp:simplePos x="0" y="0"/>
                <wp:positionH relativeFrom="column">
                  <wp:posOffset>3449955</wp:posOffset>
                </wp:positionH>
                <wp:positionV relativeFrom="paragraph">
                  <wp:posOffset>217170</wp:posOffset>
                </wp:positionV>
                <wp:extent cx="277495" cy="0"/>
                <wp:effectExtent l="0" t="38100" r="8255" b="38100"/>
                <wp:wrapNone/>
                <wp:docPr id="100" name="直线 1253"/>
                <wp:cNvGraphicFramePr/>
                <a:graphic xmlns:a="http://schemas.openxmlformats.org/drawingml/2006/main">
                  <a:graphicData uri="http://schemas.microsoft.com/office/word/2010/wordprocessingShape">
                    <wps:wsp>
                      <wps:cNvSpPr/>
                      <wps:spPr>
                        <a:xfrm>
                          <a:off x="0" y="0"/>
                          <a:ext cx="2774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3" o:spid="_x0000_s1026" o:spt="20" style="position:absolute;left:0pt;margin-left:271.65pt;margin-top:17.1pt;height:0pt;width:21.85pt;z-index:251760640;mso-width-relative:page;mso-height-relative:page;" filled="f" stroked="t" coordsize="21600,21600" o:gfxdata="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PoO12gAAAAkBAAAPAAAAAAAAAAEAIAAAACIAAABkcnMvZG93bnJldi54bWxQSwEC&#10;FAAUAAAACACHTuJAKebEJvIBAADjAwAADgAAAAAAAAABACAAAAApAQAAZHJzL2Uyb0RvYy54bWxQ&#10;SwUGAAAAAAYABgBZAQAAjQU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51424" behindDoc="0" locked="0" layoutInCell="1" allowOverlap="1">
                <wp:simplePos x="0" y="0"/>
                <wp:positionH relativeFrom="column">
                  <wp:posOffset>1864360</wp:posOffset>
                </wp:positionH>
                <wp:positionV relativeFrom="paragraph">
                  <wp:posOffset>1220470</wp:posOffset>
                </wp:positionV>
                <wp:extent cx="0" cy="278765"/>
                <wp:effectExtent l="38100" t="0" r="38100" b="6985"/>
                <wp:wrapNone/>
                <wp:docPr id="91" name="直线 1248"/>
                <wp:cNvGraphicFramePr/>
                <a:graphic xmlns:a="http://schemas.openxmlformats.org/drawingml/2006/main">
                  <a:graphicData uri="http://schemas.microsoft.com/office/word/2010/wordprocessingShape">
                    <wps:wsp>
                      <wps:cNvSpPr/>
                      <wps:spPr>
                        <a:xfrm>
                          <a:off x="0" y="0"/>
                          <a:ext cx="0" cy="2787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46.8pt;margin-top:96.1pt;height:21.95pt;width:0pt;z-index:251751424;mso-width-relative:page;mso-height-relative:page;" filled="f" stroked="t" coordsize="21600,21600" o:gfxdata="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6vAp2gAAAAsBAAAPAAAAAAAAAAEAIAAAACIAAABkcnMvZG93bnJldi54bWxQSwECFAAU&#10;AAAACACHTuJAKRgGX+8BAADiAwAADgAAAAAAAAABACAAAAApAQAAZHJzL2Uyb0RvYy54bWxQSwUG&#10;AAAAAAYABgBZAQAAigU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49376" behindDoc="0" locked="0" layoutInCell="1" allowOverlap="1">
                <wp:simplePos x="0" y="0"/>
                <wp:positionH relativeFrom="column">
                  <wp:posOffset>1864360</wp:posOffset>
                </wp:positionH>
                <wp:positionV relativeFrom="paragraph">
                  <wp:posOffset>650240</wp:posOffset>
                </wp:positionV>
                <wp:extent cx="0" cy="278765"/>
                <wp:effectExtent l="38100" t="0" r="38100" b="6985"/>
                <wp:wrapNone/>
                <wp:docPr id="89" name="直线 1248"/>
                <wp:cNvGraphicFramePr/>
                <a:graphic xmlns:a="http://schemas.openxmlformats.org/drawingml/2006/main">
                  <a:graphicData uri="http://schemas.microsoft.com/office/word/2010/wordprocessingShape">
                    <wps:wsp>
                      <wps:cNvSpPr/>
                      <wps:spPr>
                        <a:xfrm>
                          <a:off x="0" y="0"/>
                          <a:ext cx="0" cy="2787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46.8pt;margin-top:51.2pt;height:21.95pt;width:0pt;z-index:251749376;mso-width-relative:page;mso-height-relative:page;" filled="f" stroked="t" coordsize="21600,21600" o:gfxdata="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5Uvu2gAAAAsBAAAPAAAAAAAAAAEAIAAAACIAAABkcnMvZG93bnJldi54bWxQSwECFAAU&#10;AAAACACHTuJAaEM4he8BAADiAwAADgAAAAAAAAABACAAAAApAQAAZHJzL2Uyb0RvYy54bWxQSwUG&#10;AAAAAAYABgBZAQAAigUAAAAA&#10;">
                <v:fill on="f" focussize="0,0"/>
                <v:stroke color="#000000" joinstyle="round" endarrow="block"/>
                <v:imagedata o:title=""/>
                <o:lock v:ext="edit" aspectratio="f"/>
              </v:line>
            </w:pict>
          </mc:Fallback>
        </mc:AlternateContent>
      </w:r>
      <w:r>
        <w:rPr>
          <w:b/>
          <w:sz w:val="24"/>
          <w:lang/>
        </w:rPr>
        <mc:AlternateContent>
          <mc:Choice Requires="wps">
            <w:drawing>
              <wp:anchor distT="0" distB="0" distL="114300" distR="114300" simplePos="0" relativeHeight="251750400" behindDoc="0" locked="0" layoutInCell="1" allowOverlap="1">
                <wp:simplePos x="0" y="0"/>
                <wp:positionH relativeFrom="column">
                  <wp:posOffset>1523365</wp:posOffset>
                </wp:positionH>
                <wp:positionV relativeFrom="paragraph">
                  <wp:posOffset>925195</wp:posOffset>
                </wp:positionV>
                <wp:extent cx="650875" cy="295275"/>
                <wp:effectExtent l="4445" t="4445" r="11430" b="5080"/>
                <wp:wrapNone/>
                <wp:docPr id="90" name="矩形 1252"/>
                <wp:cNvGraphicFramePr/>
                <a:graphic xmlns:a="http://schemas.openxmlformats.org/drawingml/2006/main">
                  <a:graphicData uri="http://schemas.microsoft.com/office/word/2010/wordprocessingShape">
                    <wps:wsp>
                      <wps:cNvSpPr/>
                      <wps:spPr>
                        <a:xfrm>
                          <a:off x="0" y="0"/>
                          <a:ext cx="650875" cy="295275"/>
                        </a:xfrm>
                        <a:prstGeom prst="rect">
                          <a:avLst/>
                        </a:prstGeom>
                        <a:noFill/>
                        <a:ln w="9525" cap="flat" cmpd="sng">
                          <a:solidFill>
                            <a:srgbClr val="000000"/>
                          </a:solidFill>
                          <a:prstDash val="solid"/>
                          <a:miter/>
                          <a:headEnd type="none" w="med" len="med"/>
                          <a:tailEnd type="none" w="med" len="med"/>
                        </a:ln>
                      </wps:spPr>
                      <wps:txbx>
                        <w:txbxContent>
                          <w:p w14:paraId="55F12FF3">
                            <w:pPr>
                              <w:adjustRightInd w:val="0"/>
                              <w:snapToGrid w:val="0"/>
                              <w:spacing w:line="400" w:lineRule="exact"/>
                              <w:jc w:val="center"/>
                              <w:rPr>
                                <w:szCs w:val="21"/>
                              </w:rPr>
                            </w:pPr>
                            <w:r>
                              <w:rPr>
                                <w:rFonts w:hint="eastAsia"/>
                                <w:szCs w:val="21"/>
                              </w:rPr>
                              <w:t>后熟</w:t>
                            </w:r>
                          </w:p>
                        </w:txbxContent>
                      </wps:txbx>
                      <wps:bodyPr wrap="square" lIns="0" tIns="0" rIns="0" bIns="0" upright="1"/>
                    </wps:wsp>
                  </a:graphicData>
                </a:graphic>
              </wp:anchor>
            </w:drawing>
          </mc:Choice>
          <mc:Fallback>
            <w:pict>
              <v:rect id="矩形 1252" o:spid="_x0000_s1026" o:spt="1" style="position:absolute;left:0pt;margin-left:119.95pt;margin-top:72.85pt;height:23.25pt;width:51.25pt;z-index:251750400;mso-width-relative:page;mso-height-relative:page;" filled="f" stroked="t" coordsize="21600,21600" o:gfxdata="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Irip1gAAAAsBAAAPAAAAAAAA&#10;AAEAIAAAACIAAABkcnMvZG93bnJldi54bWxQSwECFAAUAAAACACHTuJAGpt3cxQCAAA1BAAADgAA&#10;AAAAAAABACAAAAAlAQAAZHJzL2Uyb0RvYy54bWxQSwUGAAAAAAYABgBZAQAAqwUAAAAA&#10;">
                <v:fill on="f" focussize="0,0"/>
                <v:stroke color="#000000" joinstyle="miter"/>
                <v:imagedata o:title=""/>
                <o:lock v:ext="edit" aspectratio="f"/>
                <v:textbox inset="0mm,0mm,0mm,0mm">
                  <w:txbxContent>
                    <w:p w14:paraId="55F12FF3">
                      <w:pPr>
                        <w:adjustRightInd w:val="0"/>
                        <w:snapToGrid w:val="0"/>
                        <w:spacing w:line="400" w:lineRule="exact"/>
                        <w:jc w:val="center"/>
                        <w:rPr>
                          <w:szCs w:val="21"/>
                        </w:rPr>
                      </w:pPr>
                      <w:r>
                        <w:rPr>
                          <w:rFonts w:hint="eastAsia"/>
                          <w:szCs w:val="21"/>
                        </w:rPr>
                        <w:t>后熟</w:t>
                      </w:r>
                    </w:p>
                  </w:txbxContent>
                </v:textbox>
              </v:rect>
            </w:pict>
          </mc:Fallback>
        </mc:AlternateContent>
      </w:r>
      <w:r>
        <w:rPr>
          <w:b/>
          <w:sz w:val="24"/>
          <w:lang/>
        </w:rPr>
        <mc:AlternateContent>
          <mc:Choice Requires="wps">
            <w:drawing>
              <wp:anchor distT="0" distB="0" distL="114300" distR="114300" simplePos="0" relativeHeight="251747328" behindDoc="0" locked="0" layoutInCell="1" allowOverlap="1">
                <wp:simplePos x="0" y="0"/>
                <wp:positionH relativeFrom="column">
                  <wp:posOffset>1864360</wp:posOffset>
                </wp:positionH>
                <wp:positionV relativeFrom="paragraph">
                  <wp:posOffset>60960</wp:posOffset>
                </wp:positionV>
                <wp:extent cx="0" cy="278765"/>
                <wp:effectExtent l="38100" t="0" r="38100" b="6985"/>
                <wp:wrapNone/>
                <wp:docPr id="87" name="直线 1248"/>
                <wp:cNvGraphicFramePr/>
                <a:graphic xmlns:a="http://schemas.openxmlformats.org/drawingml/2006/main">
                  <a:graphicData uri="http://schemas.microsoft.com/office/word/2010/wordprocessingShape">
                    <wps:wsp>
                      <wps:cNvSpPr/>
                      <wps:spPr>
                        <a:xfrm>
                          <a:off x="0" y="0"/>
                          <a:ext cx="0" cy="2787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8" o:spid="_x0000_s1026" o:spt="20" style="position:absolute;left:0pt;margin-left:146.8pt;margin-top:4.8pt;height:21.95pt;width:0pt;z-index:251747328;mso-width-relative:page;mso-height-relative:page;" filled="f" stroked="t" coordsize="21600,21600" o:gfxdata="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LKuB9gAAAAIAQAADwAAAAAAAAABACAAAAAiAAAAZHJzL2Rvd25yZXYueG1sUEsBAhQAFAAA&#10;AAgAh07iQB3SLu3vAQAA4gMAAA4AAAAAAAAAAQAgAAAAJwEAAGRycy9lMm9Eb2MueG1sUEsFBgAA&#10;AAAGAAYAWQEAAIgFAAAAAA==&#10;">
                <v:fill on="f" focussize="0,0"/>
                <v:stroke color="#000000" joinstyle="round" endarrow="block"/>
                <v:imagedata o:title=""/>
                <o:lock v:ext="edit" aspectratio="f"/>
              </v:line>
            </w:pict>
          </mc:Fallback>
        </mc:AlternateContent>
      </w:r>
    </w:p>
    <w:p w14:paraId="4B30B9C3">
      <w:pPr>
        <w:spacing w:line="360" w:lineRule="auto"/>
        <w:ind w:firstLine="482" w:firstLineChars="200"/>
        <w:rPr>
          <w:sz w:val="24"/>
        </w:rPr>
      </w:pPr>
      <w:r>
        <w:rPr>
          <w:b/>
          <w:sz w:val="24"/>
          <w:lang/>
        </w:rPr>
        <mc:AlternateContent>
          <mc:Choice Requires="wps">
            <w:drawing>
              <wp:anchor distT="0" distB="0" distL="114300" distR="114300" simplePos="0" relativeHeight="251748352" behindDoc="0" locked="0" layoutInCell="1" allowOverlap="1">
                <wp:simplePos x="0" y="0"/>
                <wp:positionH relativeFrom="column">
                  <wp:posOffset>1523365</wp:posOffset>
                </wp:positionH>
                <wp:positionV relativeFrom="paragraph">
                  <wp:posOffset>73025</wp:posOffset>
                </wp:positionV>
                <wp:extent cx="650875" cy="295275"/>
                <wp:effectExtent l="4445" t="4445" r="11430" b="5080"/>
                <wp:wrapNone/>
                <wp:docPr id="88" name="矩形 1252"/>
                <wp:cNvGraphicFramePr/>
                <a:graphic xmlns:a="http://schemas.openxmlformats.org/drawingml/2006/main">
                  <a:graphicData uri="http://schemas.microsoft.com/office/word/2010/wordprocessingShape">
                    <wps:wsp>
                      <wps:cNvSpPr/>
                      <wps:spPr>
                        <a:xfrm>
                          <a:off x="0" y="0"/>
                          <a:ext cx="650875" cy="295275"/>
                        </a:xfrm>
                        <a:prstGeom prst="rect">
                          <a:avLst/>
                        </a:prstGeom>
                        <a:noFill/>
                        <a:ln w="9525" cap="flat" cmpd="sng">
                          <a:solidFill>
                            <a:srgbClr val="000000"/>
                          </a:solidFill>
                          <a:prstDash val="solid"/>
                          <a:miter/>
                          <a:headEnd type="none" w="med" len="med"/>
                          <a:tailEnd type="none" w="med" len="med"/>
                        </a:ln>
                      </wps:spPr>
                      <wps:txbx>
                        <w:txbxContent>
                          <w:p w14:paraId="7A50CA75">
                            <w:pPr>
                              <w:adjustRightInd w:val="0"/>
                              <w:snapToGrid w:val="0"/>
                              <w:spacing w:line="400" w:lineRule="exact"/>
                              <w:jc w:val="center"/>
                              <w:rPr>
                                <w:szCs w:val="21"/>
                              </w:rPr>
                            </w:pPr>
                            <w:r>
                              <w:rPr>
                                <w:rFonts w:hint="eastAsia"/>
                                <w:szCs w:val="21"/>
                              </w:rPr>
                              <w:t>翻堆</w:t>
                            </w:r>
                          </w:p>
                        </w:txbxContent>
                      </wps:txbx>
                      <wps:bodyPr wrap="square" lIns="0" tIns="0" rIns="0" bIns="0" upright="1"/>
                    </wps:wsp>
                  </a:graphicData>
                </a:graphic>
              </wp:anchor>
            </w:drawing>
          </mc:Choice>
          <mc:Fallback>
            <w:pict>
              <v:rect id="矩形 1252" o:spid="_x0000_s1026" o:spt="1" style="position:absolute;left:0pt;margin-left:119.95pt;margin-top:5.75pt;height:23.25pt;width:51.25pt;z-index:251748352;mso-width-relative:page;mso-height-relative:page;" filled="f" stroked="t" coordsize="21600,21600" o:gfxdata="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P90sjWAAAACQEAAA8AAAAAAAAA&#10;AQAgAAAAIgAAAGRycy9kb3ducmV2LnhtbFBLAQIUABQAAAAIAIdO4kCAaQtQEwIAADUEAAAOAAAA&#10;AAAAAAEAIAAAACUBAABkcnMvZTJvRG9jLnhtbFBLBQYAAAAABgAGAFkBAACqBQAAAAA=&#10;">
                <v:fill on="f" focussize="0,0"/>
                <v:stroke color="#000000" joinstyle="miter"/>
                <v:imagedata o:title=""/>
                <o:lock v:ext="edit" aspectratio="f"/>
                <v:textbox inset="0mm,0mm,0mm,0mm">
                  <w:txbxContent>
                    <w:p w14:paraId="7A50CA75">
                      <w:pPr>
                        <w:adjustRightInd w:val="0"/>
                        <w:snapToGrid w:val="0"/>
                        <w:spacing w:line="400" w:lineRule="exact"/>
                        <w:jc w:val="center"/>
                        <w:rPr>
                          <w:szCs w:val="21"/>
                        </w:rPr>
                      </w:pPr>
                      <w:r>
                        <w:rPr>
                          <w:rFonts w:hint="eastAsia"/>
                          <w:szCs w:val="21"/>
                        </w:rPr>
                        <w:t>翻堆</w:t>
                      </w:r>
                    </w:p>
                  </w:txbxContent>
                </v:textbox>
              </v:rect>
            </w:pict>
          </mc:Fallback>
        </mc:AlternateContent>
      </w:r>
    </w:p>
    <w:p w14:paraId="2417B605">
      <w:pPr>
        <w:spacing w:line="360" w:lineRule="auto"/>
        <w:ind w:firstLine="480" w:firstLineChars="200"/>
        <w:rPr>
          <w:sz w:val="24"/>
        </w:rPr>
      </w:pPr>
    </w:p>
    <w:p w14:paraId="1BFDB994">
      <w:pPr>
        <w:spacing w:line="360" w:lineRule="auto"/>
        <w:ind w:firstLine="480" w:firstLineChars="200"/>
        <w:rPr>
          <w:sz w:val="24"/>
        </w:rPr>
      </w:pPr>
    </w:p>
    <w:p w14:paraId="1E6226AF">
      <w:pPr>
        <w:spacing w:line="520" w:lineRule="exact"/>
        <w:ind w:firstLine="482" w:firstLineChars="200"/>
        <w:rPr>
          <w:b/>
          <w:sz w:val="24"/>
        </w:rPr>
      </w:pPr>
    </w:p>
    <w:p w14:paraId="62A2130E">
      <w:pPr>
        <w:spacing w:line="520" w:lineRule="exact"/>
        <w:ind w:firstLine="482" w:firstLineChars="200"/>
        <w:rPr>
          <w:b/>
          <w:sz w:val="24"/>
        </w:rPr>
      </w:pPr>
      <w:r>
        <w:rPr>
          <w:b/>
          <w:sz w:val="24"/>
          <w:lang/>
        </w:rPr>
        <mc:AlternateContent>
          <mc:Choice Requires="wps">
            <w:drawing>
              <wp:anchor distT="0" distB="0" distL="114300" distR="114300" simplePos="0" relativeHeight="251752448" behindDoc="0" locked="0" layoutInCell="1" allowOverlap="1">
                <wp:simplePos x="0" y="0"/>
                <wp:positionH relativeFrom="column">
                  <wp:posOffset>1328420</wp:posOffset>
                </wp:positionH>
                <wp:positionV relativeFrom="paragraph">
                  <wp:posOffset>117475</wp:posOffset>
                </wp:positionV>
                <wp:extent cx="1291590" cy="209550"/>
                <wp:effectExtent l="0" t="0" r="0" b="0"/>
                <wp:wrapNone/>
                <wp:docPr id="92" name="矩形 1256"/>
                <wp:cNvGraphicFramePr/>
                <a:graphic xmlns:a="http://schemas.openxmlformats.org/drawingml/2006/main">
                  <a:graphicData uri="http://schemas.microsoft.com/office/word/2010/wordprocessingShape">
                    <wps:wsp>
                      <wps:cNvSpPr/>
                      <wps:spPr>
                        <a:xfrm>
                          <a:off x="0" y="0"/>
                          <a:ext cx="1291590" cy="209550"/>
                        </a:xfrm>
                        <a:prstGeom prst="rect">
                          <a:avLst/>
                        </a:prstGeom>
                        <a:noFill/>
                        <a:ln>
                          <a:noFill/>
                        </a:ln>
                      </wps:spPr>
                      <wps:txbx>
                        <w:txbxContent>
                          <w:p w14:paraId="00EDE1AB">
                            <w:pPr>
                              <w:jc w:val="center"/>
                              <w:rPr>
                                <w:szCs w:val="21"/>
                              </w:rPr>
                            </w:pPr>
                            <w:r>
                              <w:rPr>
                                <w:rFonts w:hint="eastAsia"/>
                                <w:szCs w:val="21"/>
                              </w:rPr>
                              <w:t>用作苹果园有机肥</w:t>
                            </w:r>
                          </w:p>
                        </w:txbxContent>
                      </wps:txbx>
                      <wps:bodyPr wrap="square" lIns="0" tIns="0" rIns="0" bIns="0" upright="1"/>
                    </wps:wsp>
                  </a:graphicData>
                </a:graphic>
              </wp:anchor>
            </w:drawing>
          </mc:Choice>
          <mc:Fallback>
            <w:pict>
              <v:rect id="矩形 1256" o:spid="_x0000_s1026" o:spt="1" style="position:absolute;left:0pt;margin-left:104.6pt;margin-top:9.25pt;height:16.5pt;width:101.7pt;z-index:251752448;mso-width-relative:page;mso-height-relative:page;" filled="f" stroked="f" coordsize="21600,21600" o:gfxdata="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oGRO/2QAAAAkBAAAPAAAAAAAAAAEAIAAAACIAAABkcnMvZG93bnJldi54bWxQ&#10;SwECFAAUAAAACACHTuJAkGY9ML0BAAB3AwAADgAAAAAAAAABACAAAAAoAQAAZHJzL2Uyb0RvYy54&#10;bWxQSwUGAAAAAAYABgBZAQAAVwUAAAAA&#10;">
                <v:fill on="f" focussize="0,0"/>
                <v:stroke on="f"/>
                <v:imagedata o:title=""/>
                <o:lock v:ext="edit" aspectratio="f"/>
                <v:textbox inset="0mm,0mm,0mm,0mm">
                  <w:txbxContent>
                    <w:p w14:paraId="00EDE1AB">
                      <w:pPr>
                        <w:jc w:val="center"/>
                        <w:rPr>
                          <w:szCs w:val="21"/>
                        </w:rPr>
                      </w:pPr>
                      <w:r>
                        <w:rPr>
                          <w:rFonts w:hint="eastAsia"/>
                          <w:szCs w:val="21"/>
                        </w:rPr>
                        <w:t>用作苹果园有机肥</w:t>
                      </w:r>
                    </w:p>
                  </w:txbxContent>
                </v:textbox>
              </v:rect>
            </w:pict>
          </mc:Fallback>
        </mc:AlternateContent>
      </w:r>
    </w:p>
    <w:p w14:paraId="3944FA6F">
      <w:pPr>
        <w:spacing w:line="520" w:lineRule="exact"/>
        <w:ind w:firstLine="480" w:firstLineChars="200"/>
        <w:rPr>
          <w:bCs/>
          <w:sz w:val="24"/>
        </w:rPr>
      </w:pPr>
      <w:r>
        <w:rPr>
          <w:sz w:val="24"/>
          <w:lang/>
        </w:rPr>
        <mc:AlternateContent>
          <mc:Choice Requires="wps">
            <w:drawing>
              <wp:anchor distT="0" distB="0" distL="114300" distR="114300" simplePos="0" relativeHeight="251732992" behindDoc="0" locked="0" layoutInCell="1" allowOverlap="1">
                <wp:simplePos x="0" y="0"/>
                <wp:positionH relativeFrom="column">
                  <wp:posOffset>430530</wp:posOffset>
                </wp:positionH>
                <wp:positionV relativeFrom="paragraph">
                  <wp:posOffset>29845</wp:posOffset>
                </wp:positionV>
                <wp:extent cx="3548380" cy="247650"/>
                <wp:effectExtent l="0" t="0" r="0" b="0"/>
                <wp:wrapNone/>
                <wp:docPr id="73" name="文本框 47"/>
                <wp:cNvGraphicFramePr/>
                <a:graphic xmlns:a="http://schemas.openxmlformats.org/drawingml/2006/main">
                  <a:graphicData uri="http://schemas.microsoft.com/office/word/2010/wordprocessingShape">
                    <wps:wsp>
                      <wps:cNvSpPr txBox="1"/>
                      <wps:spPr>
                        <a:xfrm>
                          <a:off x="0" y="0"/>
                          <a:ext cx="3548380" cy="247650"/>
                        </a:xfrm>
                        <a:prstGeom prst="rect">
                          <a:avLst/>
                        </a:prstGeom>
                        <a:noFill/>
                        <a:ln>
                          <a:noFill/>
                        </a:ln>
                      </wps:spPr>
                      <wps:txbx>
                        <w:txbxContent>
                          <w:p w14:paraId="706CD717">
                            <w:pPr>
                              <w:ind w:firstLine="422" w:firstLineChars="200"/>
                              <w:jc w:val="center"/>
                              <w:rPr>
                                <w:b/>
                                <w:bCs/>
                                <w:color w:val="000000"/>
                                <w:szCs w:val="21"/>
                              </w:rPr>
                            </w:pPr>
                            <w:r>
                              <w:rPr>
                                <w:b/>
                                <w:bCs/>
                                <w:color w:val="000000"/>
                                <w:szCs w:val="21"/>
                              </w:rPr>
                              <w:t>图</w:t>
                            </w:r>
                            <w:r>
                              <w:rPr>
                                <w:rFonts w:hint="eastAsia"/>
                                <w:b/>
                                <w:bCs/>
                                <w:color w:val="000000"/>
                                <w:szCs w:val="21"/>
                              </w:rPr>
                              <w:t>3-5</w:t>
                            </w:r>
                            <w:r>
                              <w:rPr>
                                <w:b/>
                                <w:bCs/>
                                <w:color w:val="000000"/>
                                <w:szCs w:val="21"/>
                              </w:rPr>
                              <w:t xml:space="preserve">   </w:t>
                            </w:r>
                            <w:r>
                              <w:rPr>
                                <w:rFonts w:hint="eastAsia"/>
                                <w:b/>
                                <w:bCs/>
                                <w:color w:val="000000"/>
                                <w:szCs w:val="21"/>
                              </w:rPr>
                              <w:t>堆肥</w:t>
                            </w:r>
                            <w:r>
                              <w:rPr>
                                <w:b/>
                                <w:bCs/>
                                <w:color w:val="000000"/>
                                <w:szCs w:val="21"/>
                              </w:rPr>
                              <w:t>处理工艺流程及产物环节图</w:t>
                            </w:r>
                          </w:p>
                          <w:p w14:paraId="459A4CEA"/>
                        </w:txbxContent>
                      </wps:txbx>
                      <wps:bodyPr wrap="square" lIns="0" tIns="0" rIns="0" bIns="0" upright="1"/>
                    </wps:wsp>
                  </a:graphicData>
                </a:graphic>
              </wp:anchor>
            </w:drawing>
          </mc:Choice>
          <mc:Fallback>
            <w:pict>
              <v:shape id="文本框 47" o:spid="_x0000_s1026" o:spt="202" type="#_x0000_t202" style="position:absolute;left:0pt;margin-left:33.9pt;margin-top:2.35pt;height:19.5pt;width:279.4pt;z-index:251732992;mso-width-relative:page;mso-height-relative:page;" filled="f" stroked="f" coordsize="21600,21600" o:gfxdata="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osMANUAAAAHAQAADwAAAAAAAAABACAAAAAiAAAAZHJzL2Rvd25y&#10;ZXYueG1sUEsBAhQAFAAAAAgAh07iQARZJ8zIAQAAggMAAA4AAAAAAAAAAQAgAAAAJAEAAGRycy9l&#10;Mm9Eb2MueG1sUEsFBgAAAAAGAAYAWQEAAF4FAAAAAA==&#10;">
                <v:fill on="f" focussize="0,0"/>
                <v:stroke on="f"/>
                <v:imagedata o:title=""/>
                <o:lock v:ext="edit" aspectratio="f"/>
                <v:textbox inset="0mm,0mm,0mm,0mm">
                  <w:txbxContent>
                    <w:p w14:paraId="706CD717">
                      <w:pPr>
                        <w:ind w:firstLine="422" w:firstLineChars="200"/>
                        <w:jc w:val="center"/>
                        <w:rPr>
                          <w:b/>
                          <w:bCs/>
                          <w:color w:val="000000"/>
                          <w:szCs w:val="21"/>
                        </w:rPr>
                      </w:pPr>
                      <w:r>
                        <w:rPr>
                          <w:b/>
                          <w:bCs/>
                          <w:color w:val="000000"/>
                          <w:szCs w:val="21"/>
                        </w:rPr>
                        <w:t>图</w:t>
                      </w:r>
                      <w:r>
                        <w:rPr>
                          <w:rFonts w:hint="eastAsia"/>
                          <w:b/>
                          <w:bCs/>
                          <w:color w:val="000000"/>
                          <w:szCs w:val="21"/>
                        </w:rPr>
                        <w:t>3-5</w:t>
                      </w:r>
                      <w:r>
                        <w:rPr>
                          <w:b/>
                          <w:bCs/>
                          <w:color w:val="000000"/>
                          <w:szCs w:val="21"/>
                        </w:rPr>
                        <w:t xml:space="preserve">   </w:t>
                      </w:r>
                      <w:r>
                        <w:rPr>
                          <w:rFonts w:hint="eastAsia"/>
                          <w:b/>
                          <w:bCs/>
                          <w:color w:val="000000"/>
                          <w:szCs w:val="21"/>
                        </w:rPr>
                        <w:t>堆肥</w:t>
                      </w:r>
                      <w:r>
                        <w:rPr>
                          <w:b/>
                          <w:bCs/>
                          <w:color w:val="000000"/>
                          <w:szCs w:val="21"/>
                        </w:rPr>
                        <w:t>处理工艺流程及产物环节图</w:t>
                      </w:r>
                    </w:p>
                    <w:p w14:paraId="459A4CEA"/>
                  </w:txbxContent>
                </v:textbox>
              </v:shape>
            </w:pict>
          </mc:Fallback>
        </mc:AlternateContent>
      </w:r>
    </w:p>
    <w:p w14:paraId="7CE1F5CE">
      <w:pPr>
        <w:spacing w:line="360" w:lineRule="auto"/>
        <w:ind w:firstLine="482" w:firstLineChars="200"/>
        <w:rPr>
          <w:sz w:val="24"/>
        </w:rPr>
      </w:pPr>
      <w:r>
        <w:rPr>
          <w:b/>
          <w:sz w:val="24"/>
          <w:lang/>
        </w:rPr>
        <mc:AlternateContent>
          <mc:Choice Requires="wps">
            <w:drawing>
              <wp:anchor distT="0" distB="0" distL="114300" distR="114300" simplePos="0" relativeHeight="251757568" behindDoc="0" locked="0" layoutInCell="1" allowOverlap="1">
                <wp:simplePos x="0" y="0"/>
                <wp:positionH relativeFrom="column">
                  <wp:posOffset>3828415</wp:posOffset>
                </wp:positionH>
                <wp:positionV relativeFrom="paragraph">
                  <wp:posOffset>-3598545</wp:posOffset>
                </wp:positionV>
                <wp:extent cx="355600" cy="635"/>
                <wp:effectExtent l="0" t="37465" r="6350" b="38100"/>
                <wp:wrapNone/>
                <wp:docPr id="97" name="直线 1253"/>
                <wp:cNvGraphicFramePr/>
                <a:graphic xmlns:a="http://schemas.openxmlformats.org/drawingml/2006/main">
                  <a:graphicData uri="http://schemas.microsoft.com/office/word/2010/wordprocessingShape">
                    <wps:wsp>
                      <wps:cNvSpPr/>
                      <wps:spPr>
                        <a:xfrm>
                          <a:off x="0" y="0"/>
                          <a:ext cx="3556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3" o:spid="_x0000_s1026" o:spt="20" style="position:absolute;left:0pt;margin-left:301.45pt;margin-top:-283.35pt;height:0.05pt;width:28pt;z-index:251757568;mso-width-relative:page;mso-height-relative:page;" filled="f" stroked="t" coordsize="21600,21600" o:gfxdata="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J102wAAAA0BAAAPAAAAAAAAAAEAIAAAACIAAABkcnMvZG93bnJldi54bWxQSwEC&#10;FAAUAAAACACHTuJAUsQMUfEBAADkAwAADgAAAAAAAAABACAAAAAqAQAAZHJzL2Uyb0RvYy54bWxQ&#10;SwUGAAAAAAYABgBZAQAAjQUAAAAA&#10;">
                <v:fill on="f" focussize="0,0"/>
                <v:stroke color="#000000" joinstyle="round" endarrow="block"/>
                <v:imagedata o:title=""/>
                <o:lock v:ext="edit" aspectratio="f"/>
              </v:line>
            </w:pict>
          </mc:Fallback>
        </mc:AlternateContent>
      </w:r>
      <w:r>
        <w:rPr>
          <w:sz w:val="24"/>
        </w:rPr>
        <w:t xml:space="preserve">猪舍产生的粪便、饲料残渣和污水处理站污泥运到固粪处理区进行集中堆肥处理。堆肥发酵是利用复合微生物的氧化和分解能力，在一定的温度（50—60℃）、湿度（含水率55%-65%）和 pH（6-9）值条件下，有控制的促进物料有机质发生生物化学降解，形成一种稳定的腐殖质，该工艺可以有效处理物料中的有机物，同时杀死病原菌等有害物质。腐殖质作为有机肥基料外售。 </w:t>
      </w:r>
    </w:p>
    <w:p w14:paraId="3C28EC65">
      <w:pPr>
        <w:spacing w:line="360" w:lineRule="auto"/>
        <w:ind w:firstLine="480" w:firstLineChars="200"/>
        <w:rPr>
          <w:sz w:val="24"/>
        </w:rPr>
      </w:pPr>
      <w:r>
        <w:rPr>
          <w:sz w:val="24"/>
        </w:rPr>
        <w:t xml:space="preserve">项目采用翻堆条垛式发酵工艺，物料以垛状堆置，排列成多条平行的条垛，条垛的断面形状为梯形，下底为3m，上底为1.2m，高1.5-2m，长度约为20m，垛间距为30cm。通常在堆置后3d可翻堆一次，采用翻抛机进行翻堆，发酵15d左右腐熟，即可外售。发酵程序如下： </w:t>
      </w:r>
    </w:p>
    <w:p w14:paraId="273CDC9C">
      <w:pPr>
        <w:spacing w:line="360" w:lineRule="auto"/>
        <w:ind w:firstLine="480" w:firstLineChars="200"/>
        <w:rPr>
          <w:sz w:val="24"/>
        </w:rPr>
      </w:pPr>
      <w:r>
        <w:rPr>
          <w:sz w:val="24"/>
        </w:rPr>
        <w:t xml:space="preserve">1、原料的预处理：包括含水率和碳氮比调整。 </w:t>
      </w:r>
    </w:p>
    <w:p w14:paraId="376D4773">
      <w:pPr>
        <w:spacing w:line="360" w:lineRule="auto"/>
        <w:ind w:firstLine="480" w:firstLineChars="200"/>
        <w:rPr>
          <w:sz w:val="24"/>
        </w:rPr>
      </w:pPr>
      <w:r>
        <w:rPr>
          <w:sz w:val="24"/>
        </w:rPr>
        <w:t xml:space="preserve">2、原料发酵：周期一般需要 15－20 天。 </w:t>
      </w:r>
    </w:p>
    <w:p w14:paraId="01EF463C">
      <w:pPr>
        <w:spacing w:line="360" w:lineRule="auto"/>
        <w:ind w:firstLine="480" w:firstLineChars="200"/>
        <w:rPr>
          <w:sz w:val="24"/>
        </w:rPr>
      </w:pPr>
      <w:r>
        <w:rPr>
          <w:sz w:val="24"/>
        </w:rPr>
        <w:t xml:space="preserve">①第一阶段：指好氧发酵中的中温与高温两个阶段的微生物代谢过程。它是指从发酵初期开始，经中温、高温然后达到温度开始下降的整个过程，一般需10-12天。 </w:t>
      </w:r>
    </w:p>
    <w:p w14:paraId="6256DA16">
      <w:pPr>
        <w:spacing w:line="360" w:lineRule="auto"/>
        <w:ind w:firstLine="480" w:firstLineChars="200"/>
        <w:rPr>
          <w:sz w:val="24"/>
        </w:rPr>
      </w:pPr>
      <w:r>
        <w:rPr>
          <w:sz w:val="24"/>
        </w:rPr>
        <w:t xml:space="preserve">②第二阶段：物料经过第一阶段发酵，还有一部分易分解和大量难分解的有机物存在，需要继续发酵使之腐熟。此时温度持续下降，当温度稳定在35-40℃左右时即达腐熟，一般需5-10天。 </w:t>
      </w:r>
    </w:p>
    <w:p w14:paraId="7EE7EFE3">
      <w:pPr>
        <w:spacing w:line="360" w:lineRule="auto"/>
        <w:ind w:firstLine="480" w:firstLineChars="200"/>
        <w:rPr>
          <w:sz w:val="24"/>
        </w:rPr>
      </w:pPr>
      <w:r>
        <w:rPr>
          <w:sz w:val="24"/>
        </w:rPr>
        <w:t xml:space="preserve">3、后处理：去除堆肥前处理过程中没有去除的杂质。 </w:t>
      </w:r>
    </w:p>
    <w:p w14:paraId="76212561">
      <w:pPr>
        <w:spacing w:line="360" w:lineRule="auto"/>
        <w:ind w:firstLine="480" w:firstLineChars="200"/>
        <w:rPr>
          <w:sz w:val="24"/>
        </w:rPr>
      </w:pPr>
      <w:r>
        <w:rPr>
          <w:sz w:val="24"/>
        </w:rPr>
        <w:t xml:space="preserve">4、贮存外售阶段：将腐熟的发酵物料堆存于后熟区，一般可直接存放，也可装袋存放。腐熟的物料可直接外售作为有机肥基料。 </w:t>
      </w:r>
    </w:p>
    <w:p w14:paraId="3DDEDC83">
      <w:pPr>
        <w:spacing w:line="360" w:lineRule="auto"/>
        <w:ind w:firstLine="482" w:firstLineChars="200"/>
        <w:rPr>
          <w:b/>
          <w:bCs/>
          <w:sz w:val="24"/>
        </w:rPr>
      </w:pPr>
      <w:r>
        <w:rPr>
          <w:b/>
          <w:bCs/>
          <w:sz w:val="24"/>
        </w:rPr>
        <w:t>3.1.6.5病死猪的处理</w:t>
      </w:r>
    </w:p>
    <w:p w14:paraId="77287977">
      <w:pPr>
        <w:spacing w:line="360" w:lineRule="auto"/>
        <w:ind w:firstLine="480" w:firstLineChars="200"/>
        <w:rPr>
          <w:bCs/>
          <w:sz w:val="24"/>
        </w:rPr>
      </w:pPr>
      <w:r>
        <w:rPr>
          <w:sz w:val="24"/>
        </w:rPr>
        <w:t>本项目病死猪近期采用益康生环保科技有限公司生产的无害化降解处理机进行处理</w:t>
      </w:r>
      <w:r>
        <w:rPr>
          <w:bCs/>
          <w:sz w:val="24"/>
        </w:rPr>
        <w:t>，具体流程如下：</w:t>
      </w:r>
    </w:p>
    <w:p w14:paraId="18FAEB3F">
      <w:pPr>
        <w:spacing w:line="360" w:lineRule="auto"/>
        <w:ind w:firstLine="480" w:firstLineChars="200"/>
        <w:rPr>
          <w:sz w:val="24"/>
        </w:rPr>
      </w:pPr>
      <w:r>
        <w:rPr>
          <w:sz w:val="24"/>
        </w:rPr>
        <w:t>病死动物集中收集后，由专用封闭自卸式运输车经本项目场区消毒通道消毒后运至本项目无害化处理区。</w:t>
      </w:r>
    </w:p>
    <w:p w14:paraId="5CBD8C79">
      <w:pPr>
        <w:pStyle w:val="35"/>
        <w:spacing w:after="0" w:line="360" w:lineRule="auto"/>
        <w:ind w:firstLine="480" w:firstLineChars="200"/>
        <w:rPr>
          <w:spacing w:val="-6"/>
          <w:sz w:val="24"/>
        </w:rPr>
      </w:pPr>
      <w:r>
        <w:rPr>
          <w:sz w:val="24"/>
        </w:rPr>
        <w:t>病死猪在呈负压的密闭环境里通过螺旋输送机直接匀速把物料输送至预碎机内，物料在密闭的环境里在绞刀的作用下，破碎成粒径40mm--50mm的肉块。破碎后的物料直接进入不锈钢储料斗，</w:t>
      </w:r>
      <w:r>
        <w:rPr>
          <w:spacing w:val="-6"/>
          <w:sz w:val="24"/>
        </w:rPr>
        <w:t>按照投入动物尸体重量的10-15%的比例投入水份在30%的辅料，按照500g/吨的标准加入益生菌。自动关闭后点击触摸屏按钮则按照设计程序运行。期间，可通过物料网系统查看设备运作是否正常。</w:t>
      </w:r>
    </w:p>
    <w:p w14:paraId="67D41464">
      <w:pPr>
        <w:pStyle w:val="35"/>
        <w:spacing w:after="0" w:line="360" w:lineRule="auto"/>
        <w:ind w:firstLine="456" w:firstLineChars="200"/>
        <w:rPr>
          <w:spacing w:val="-6"/>
          <w:sz w:val="24"/>
        </w:rPr>
      </w:pPr>
      <w:r>
        <w:rPr>
          <w:spacing w:val="-6"/>
          <w:sz w:val="24"/>
        </w:rPr>
        <w:t>箱体温度达到80℃～100℃，菌种通过自身分泌高活性的蛋白酶及脂肪酶等酶系，释放到细胞外部，并与动物尸体接触后发生酶解作用。全过程都处于发酵降解状态，时间为24小时。</w:t>
      </w:r>
    </w:p>
    <w:p w14:paraId="4DA54FB1">
      <w:pPr>
        <w:pStyle w:val="35"/>
        <w:spacing w:after="0" w:line="360" w:lineRule="auto"/>
        <w:ind w:firstLine="456" w:firstLineChars="200"/>
        <w:rPr>
          <w:spacing w:val="-6"/>
          <w:sz w:val="24"/>
        </w:rPr>
      </w:pPr>
      <w:r>
        <w:rPr>
          <w:spacing w:val="-6"/>
          <w:sz w:val="24"/>
        </w:rPr>
        <w:t>大多数细菌毒素在55-75℃范围内1小时被完全灭活。箱体温度达到80℃～100℃长达20小时以上，足以将细菌毒素进行完成灭活。</w:t>
      </w:r>
    </w:p>
    <w:p w14:paraId="36808593">
      <w:pPr>
        <w:pStyle w:val="35"/>
        <w:spacing w:after="0" w:line="360" w:lineRule="auto"/>
        <w:ind w:firstLine="456" w:firstLineChars="200"/>
        <w:rPr>
          <w:spacing w:val="-6"/>
          <w:sz w:val="24"/>
        </w:rPr>
      </w:pPr>
      <w:r>
        <w:rPr>
          <w:spacing w:val="-6"/>
          <w:sz w:val="24"/>
        </w:rPr>
        <w:t>菌种主要是通过自身分泌高活性的蛋白酶及脂肪酶等酶系，释放到细胞外部，并与动物尸体接触后发生酶解作用，将动物尸体中的主要成分：蛋白质、脂肪等高分子物质逐步酶解成为低分子物质如短肽及脂肪酸，并通过多次循环作用将短肽及脂肪酸进一步降解为氨基酸、乙酰辅酶A等单体如。这些单体物质进入菌种体内，被菌种体内的三羧酸循环等代谢途径彻底分解为二氧化碳、水等物质，从而实现动物尸体的降解；动物尸体降解机的主要菌种是耐高温菌种，菌种可以形成抗逆性极强的孢子，抵御高温、强酸强碱、高盐、紫外线等不利环境，特别是在100℃的高温条件下能存活半小时。因此在75-85℃的工作环境中，菌种还能发挥优良的降解作用，而病原菌在此温度条件下极易被高温杀灭，很快失活。</w:t>
      </w:r>
    </w:p>
    <w:p w14:paraId="471C9717">
      <w:pPr>
        <w:spacing w:line="360" w:lineRule="auto"/>
        <w:ind w:firstLine="480" w:firstLineChars="200"/>
        <w:rPr>
          <w:sz w:val="24"/>
        </w:rPr>
      </w:pPr>
      <w:r>
        <w:rPr>
          <w:sz w:val="24"/>
        </w:rPr>
        <w:t>无害化处理工艺流程图见图3-</w:t>
      </w:r>
      <w:r>
        <w:rPr>
          <w:rFonts w:hint="eastAsia"/>
          <w:sz w:val="24"/>
        </w:rPr>
        <w:t>6</w:t>
      </w:r>
      <w:r>
        <w:rPr>
          <w:sz w:val="24"/>
        </w:rPr>
        <w:t>。</w:t>
      </w:r>
    </w:p>
    <w:p w14:paraId="7997594E">
      <w:pPr>
        <w:pStyle w:val="47"/>
        <w:rPr>
          <w:rFonts w:ascii="Times New Roman" w:hAnsi="Times New Roman" w:cs="Times New Roman"/>
          <w:sz w:val="24"/>
        </w:rPr>
      </w:pPr>
      <w:r>
        <w:rPr>
          <w:rFonts w:ascii="Times New Roman" w:hAnsi="Times New Roman" w:cs="Times New Roman"/>
        </w:rPr>
        <w:drawing>
          <wp:inline distT="0" distB="0" distL="114300" distR="114300">
            <wp:extent cx="4601845" cy="4072890"/>
            <wp:effectExtent l="0" t="0" r="8255" b="3810"/>
            <wp:docPr id="22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3"/>
                    <pic:cNvPicPr>
                      <a:picLocks noChangeAspect="1"/>
                    </pic:cNvPicPr>
                  </pic:nvPicPr>
                  <pic:blipFill>
                    <a:blip r:embed="rId18"/>
                    <a:stretch>
                      <a:fillRect/>
                    </a:stretch>
                  </pic:blipFill>
                  <pic:spPr>
                    <a:xfrm>
                      <a:off x="0" y="0"/>
                      <a:ext cx="4601845" cy="4072890"/>
                    </a:xfrm>
                    <a:prstGeom prst="rect">
                      <a:avLst/>
                    </a:prstGeom>
                    <a:noFill/>
                    <a:ln>
                      <a:noFill/>
                    </a:ln>
                  </pic:spPr>
                </pic:pic>
              </a:graphicData>
            </a:graphic>
          </wp:inline>
        </w:drawing>
      </w:r>
    </w:p>
    <w:p w14:paraId="1BBF35C2">
      <w:pPr>
        <w:pStyle w:val="2"/>
        <w:rPr>
          <w:rFonts w:ascii="Times New Roman" w:hAnsi="Times New Roman"/>
          <w:color w:val="auto"/>
        </w:rPr>
      </w:pPr>
    </w:p>
    <w:p w14:paraId="6DE19012">
      <w:pPr>
        <w:spacing w:line="360" w:lineRule="auto"/>
        <w:rPr>
          <w:sz w:val="24"/>
        </w:rPr>
      </w:pPr>
      <w:r>
        <mc:AlternateContent>
          <mc:Choice Requires="wps">
            <w:drawing>
              <wp:anchor distT="0" distB="0" distL="114300" distR="114300" simplePos="0" relativeHeight="251798528" behindDoc="0" locked="0" layoutInCell="1" allowOverlap="1">
                <wp:simplePos x="0" y="0"/>
                <wp:positionH relativeFrom="column">
                  <wp:posOffset>890270</wp:posOffset>
                </wp:positionH>
                <wp:positionV relativeFrom="paragraph">
                  <wp:posOffset>33020</wp:posOffset>
                </wp:positionV>
                <wp:extent cx="4023360" cy="321310"/>
                <wp:effectExtent l="0" t="0" r="0" b="0"/>
                <wp:wrapNone/>
                <wp:docPr id="167" name="文本框 699"/>
                <wp:cNvGraphicFramePr/>
                <a:graphic xmlns:a="http://schemas.openxmlformats.org/drawingml/2006/main">
                  <a:graphicData uri="http://schemas.microsoft.com/office/word/2010/wordprocessingShape">
                    <wps:wsp>
                      <wps:cNvSpPr txBox="1"/>
                      <wps:spPr>
                        <a:xfrm>
                          <a:off x="0" y="0"/>
                          <a:ext cx="4023360" cy="321310"/>
                        </a:xfrm>
                        <a:prstGeom prst="rect">
                          <a:avLst/>
                        </a:prstGeom>
                        <a:noFill/>
                        <a:ln>
                          <a:noFill/>
                        </a:ln>
                      </wps:spPr>
                      <wps:txbx>
                        <w:txbxContent>
                          <w:p w14:paraId="7FAAFAEB">
                            <w:pPr>
                              <w:rPr>
                                <w:b/>
                                <w:bCs/>
                                <w:sz w:val="28"/>
                                <w:szCs w:val="28"/>
                              </w:rPr>
                            </w:pPr>
                            <w:r>
                              <w:rPr>
                                <w:rFonts w:hint="eastAsia"/>
                                <w:b/>
                                <w:szCs w:val="21"/>
                              </w:rPr>
                              <w:t>图3-6   无害化处理工艺流程及产物节点图</w:t>
                            </w:r>
                          </w:p>
                        </w:txbxContent>
                      </wps:txbx>
                      <wps:bodyPr wrap="square" upright="1"/>
                    </wps:wsp>
                  </a:graphicData>
                </a:graphic>
              </wp:anchor>
            </w:drawing>
          </mc:Choice>
          <mc:Fallback>
            <w:pict>
              <v:shape id="文本框 699" o:spid="_x0000_s1026" o:spt="202" type="#_x0000_t202" style="position:absolute;left:0pt;margin-left:70.1pt;margin-top:2.6pt;height:25.3pt;width:316.8pt;z-index:251798528;mso-width-relative:page;mso-height-relative:page;" filled="f" stroked="f" coordsize="21600,21600" o:gfxdata="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khzBDVAAAACAEAAA8AAAAAAAAAAQAgAAAAIgAAAGRycy9kb3ducmV2LnhtbFBLAQIUABQA&#10;AAAIAIdO4kDqYZWcugEAAGADAAAOAAAAAAAAAAEAIAAAACQBAABkcnMvZTJvRG9jLnhtbFBLBQYA&#10;AAAABgAGAFkBAABQBQAAAAA=&#10;">
                <v:fill on="f" focussize="0,0"/>
                <v:stroke on="f"/>
                <v:imagedata o:title=""/>
                <o:lock v:ext="edit" aspectratio="f"/>
                <v:textbox>
                  <w:txbxContent>
                    <w:p w14:paraId="7FAAFAEB">
                      <w:pPr>
                        <w:rPr>
                          <w:b/>
                          <w:bCs/>
                          <w:sz w:val="28"/>
                          <w:szCs w:val="28"/>
                        </w:rPr>
                      </w:pPr>
                      <w:r>
                        <w:rPr>
                          <w:rFonts w:hint="eastAsia"/>
                          <w:b/>
                          <w:szCs w:val="21"/>
                        </w:rPr>
                        <w:t>图3-6   无害化处理工艺流程及产物节点图</w:t>
                      </w:r>
                    </w:p>
                  </w:txbxContent>
                </v:textbox>
              </v:shape>
            </w:pict>
          </mc:Fallback>
        </mc:AlternateContent>
      </w:r>
    </w:p>
    <w:p w14:paraId="4576200D">
      <w:pPr>
        <w:spacing w:line="360" w:lineRule="auto"/>
        <w:ind w:firstLine="482" w:firstLineChars="200"/>
        <w:rPr>
          <w:b/>
          <w:kern w:val="0"/>
          <w:sz w:val="24"/>
        </w:rPr>
      </w:pPr>
      <w:r>
        <w:rPr>
          <w:b/>
          <w:kern w:val="0"/>
          <w:sz w:val="24"/>
        </w:rPr>
        <w:t>3.1.6.6产污环节</w:t>
      </w:r>
    </w:p>
    <w:p w14:paraId="5C457DB8">
      <w:pPr>
        <w:spacing w:line="360" w:lineRule="auto"/>
        <w:ind w:firstLine="480" w:firstLineChars="200"/>
        <w:rPr>
          <w:kern w:val="0"/>
          <w:sz w:val="24"/>
        </w:rPr>
      </w:pPr>
      <w:r>
        <w:rPr>
          <w:kern w:val="0"/>
          <w:sz w:val="24"/>
        </w:rPr>
        <w:t>项目运营期产生的污染物主要有：废气（恶臭、油烟）、废水（猪尿、猪舍冲洗废水、生活污水）、噪声（猪叫声、设备噪声、车辆噪声）及固体废物（猪粪、饲料残渣、病死猪、生活垃圾、沼渣、废脱硫剂等），项目产污环节见表3.1-8。</w:t>
      </w:r>
    </w:p>
    <w:p w14:paraId="61A8A210">
      <w:pPr>
        <w:pStyle w:val="1042"/>
        <w:spacing w:before="0" w:line="360" w:lineRule="auto"/>
        <w:ind w:firstLine="482" w:firstLineChars="200"/>
        <w:rPr>
          <w:rFonts w:ascii="Times New Roman" w:hAnsi="Times New Roman"/>
          <w:szCs w:val="24"/>
        </w:rPr>
      </w:pPr>
      <w:r>
        <w:rPr>
          <w:rFonts w:ascii="Times New Roman" w:hAnsi="Times New Roman"/>
          <w:szCs w:val="24"/>
        </w:rPr>
        <w:t>表3.1-8 污染物一览表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837"/>
        <w:gridCol w:w="1657"/>
        <w:gridCol w:w="2634"/>
        <w:gridCol w:w="2456"/>
      </w:tblGrid>
      <w:tr w14:paraId="4D2D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noWrap w:val="0"/>
            <w:vAlign w:val="center"/>
          </w:tcPr>
          <w:p w14:paraId="2E258852">
            <w:pPr>
              <w:pStyle w:val="777"/>
              <w:spacing w:after="0"/>
              <w:jc w:val="center"/>
              <w:rPr>
                <w:rFonts w:ascii="Times New Roman" w:hAnsi="Times New Roman"/>
                <w:b w:val="0"/>
                <w:sz w:val="21"/>
                <w:szCs w:val="21"/>
              </w:rPr>
            </w:pPr>
            <w:r>
              <w:rPr>
                <w:rFonts w:ascii="Times New Roman" w:hAnsi="Times New Roman"/>
                <w:b w:val="0"/>
                <w:sz w:val="21"/>
                <w:szCs w:val="21"/>
              </w:rPr>
              <w:t>类别</w:t>
            </w:r>
          </w:p>
        </w:tc>
        <w:tc>
          <w:tcPr>
            <w:tcW w:w="837" w:type="dxa"/>
            <w:noWrap w:val="0"/>
            <w:vAlign w:val="center"/>
          </w:tcPr>
          <w:p w14:paraId="21B8AAA3">
            <w:pPr>
              <w:pStyle w:val="777"/>
              <w:spacing w:after="0"/>
              <w:jc w:val="center"/>
              <w:rPr>
                <w:rFonts w:ascii="Times New Roman" w:hAnsi="Times New Roman"/>
                <w:b w:val="0"/>
                <w:sz w:val="21"/>
                <w:szCs w:val="21"/>
              </w:rPr>
            </w:pPr>
            <w:r>
              <w:rPr>
                <w:rFonts w:ascii="Times New Roman" w:hAnsi="Times New Roman"/>
                <w:b w:val="0"/>
                <w:sz w:val="21"/>
                <w:szCs w:val="21"/>
              </w:rPr>
              <w:t>代码</w:t>
            </w:r>
          </w:p>
        </w:tc>
        <w:tc>
          <w:tcPr>
            <w:tcW w:w="1657" w:type="dxa"/>
            <w:noWrap w:val="0"/>
            <w:vAlign w:val="center"/>
          </w:tcPr>
          <w:p w14:paraId="7BDD46F6">
            <w:pPr>
              <w:pStyle w:val="777"/>
              <w:spacing w:after="0"/>
              <w:jc w:val="center"/>
              <w:rPr>
                <w:rFonts w:ascii="Times New Roman" w:hAnsi="Times New Roman"/>
                <w:b w:val="0"/>
                <w:sz w:val="21"/>
                <w:szCs w:val="21"/>
              </w:rPr>
            </w:pPr>
            <w:r>
              <w:rPr>
                <w:rFonts w:ascii="Times New Roman" w:hAnsi="Times New Roman"/>
                <w:b w:val="0"/>
                <w:sz w:val="21"/>
                <w:szCs w:val="21"/>
              </w:rPr>
              <w:t>污染物</w:t>
            </w:r>
          </w:p>
        </w:tc>
        <w:tc>
          <w:tcPr>
            <w:tcW w:w="2634" w:type="dxa"/>
            <w:noWrap w:val="0"/>
            <w:vAlign w:val="center"/>
          </w:tcPr>
          <w:p w14:paraId="73FC98D9">
            <w:pPr>
              <w:pStyle w:val="777"/>
              <w:spacing w:after="0"/>
              <w:jc w:val="center"/>
              <w:rPr>
                <w:rFonts w:ascii="Times New Roman" w:hAnsi="Times New Roman"/>
                <w:b w:val="0"/>
                <w:sz w:val="21"/>
                <w:szCs w:val="21"/>
              </w:rPr>
            </w:pPr>
            <w:r>
              <w:rPr>
                <w:rFonts w:ascii="Times New Roman" w:hAnsi="Times New Roman"/>
                <w:b w:val="0"/>
                <w:sz w:val="21"/>
                <w:szCs w:val="21"/>
              </w:rPr>
              <w:t>产污环节</w:t>
            </w:r>
          </w:p>
        </w:tc>
        <w:tc>
          <w:tcPr>
            <w:tcW w:w="2456" w:type="dxa"/>
            <w:noWrap w:val="0"/>
            <w:vAlign w:val="center"/>
          </w:tcPr>
          <w:p w14:paraId="7A2D6356">
            <w:pPr>
              <w:pStyle w:val="777"/>
              <w:spacing w:after="0"/>
              <w:jc w:val="center"/>
              <w:rPr>
                <w:rFonts w:ascii="Times New Roman" w:hAnsi="Times New Roman"/>
                <w:b w:val="0"/>
                <w:sz w:val="21"/>
                <w:szCs w:val="21"/>
              </w:rPr>
            </w:pPr>
            <w:r>
              <w:rPr>
                <w:rFonts w:ascii="Times New Roman" w:hAnsi="Times New Roman"/>
                <w:b w:val="0"/>
                <w:sz w:val="21"/>
                <w:szCs w:val="21"/>
              </w:rPr>
              <w:t>主要污染因子</w:t>
            </w:r>
          </w:p>
        </w:tc>
      </w:tr>
      <w:tr w14:paraId="0C89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restart"/>
            <w:noWrap w:val="0"/>
            <w:vAlign w:val="center"/>
          </w:tcPr>
          <w:p w14:paraId="4C8B76F6">
            <w:pPr>
              <w:pStyle w:val="777"/>
              <w:tabs>
                <w:tab w:val="left" w:pos="1230"/>
              </w:tabs>
              <w:rPr>
                <w:rFonts w:ascii="Times New Roman" w:hAnsi="Times New Roman"/>
                <w:b w:val="0"/>
                <w:sz w:val="21"/>
                <w:szCs w:val="21"/>
              </w:rPr>
            </w:pPr>
            <w:r>
              <w:rPr>
                <w:rFonts w:ascii="Times New Roman" w:hAnsi="Times New Roman"/>
                <w:b w:val="0"/>
                <w:sz w:val="21"/>
                <w:szCs w:val="21"/>
              </w:rPr>
              <w:t>废气</w:t>
            </w:r>
          </w:p>
        </w:tc>
        <w:tc>
          <w:tcPr>
            <w:tcW w:w="837" w:type="dxa"/>
            <w:noWrap w:val="0"/>
            <w:vAlign w:val="center"/>
          </w:tcPr>
          <w:p w14:paraId="12BBDBD0">
            <w:pPr>
              <w:pStyle w:val="777"/>
              <w:jc w:val="center"/>
              <w:rPr>
                <w:rFonts w:ascii="Times New Roman" w:hAnsi="Times New Roman"/>
                <w:b w:val="0"/>
                <w:sz w:val="21"/>
                <w:szCs w:val="21"/>
              </w:rPr>
            </w:pPr>
            <w:r>
              <w:rPr>
                <w:rFonts w:ascii="Times New Roman" w:hAnsi="Times New Roman"/>
                <w:b w:val="0"/>
                <w:sz w:val="21"/>
                <w:szCs w:val="21"/>
              </w:rPr>
              <w:t>G1</w:t>
            </w:r>
          </w:p>
        </w:tc>
        <w:tc>
          <w:tcPr>
            <w:tcW w:w="1657" w:type="dxa"/>
            <w:noWrap w:val="0"/>
            <w:vAlign w:val="center"/>
          </w:tcPr>
          <w:p w14:paraId="44B545B6">
            <w:pPr>
              <w:pStyle w:val="777"/>
              <w:rPr>
                <w:rFonts w:ascii="Times New Roman" w:hAnsi="Times New Roman"/>
                <w:b w:val="0"/>
                <w:sz w:val="21"/>
                <w:szCs w:val="21"/>
              </w:rPr>
            </w:pPr>
            <w:r>
              <w:rPr>
                <w:rFonts w:ascii="Times New Roman" w:hAnsi="Times New Roman"/>
                <w:b w:val="0"/>
                <w:sz w:val="21"/>
                <w:szCs w:val="21"/>
              </w:rPr>
              <w:t>恶臭</w:t>
            </w:r>
          </w:p>
        </w:tc>
        <w:tc>
          <w:tcPr>
            <w:tcW w:w="2634" w:type="dxa"/>
            <w:noWrap w:val="0"/>
            <w:vAlign w:val="center"/>
          </w:tcPr>
          <w:p w14:paraId="196BCEB5">
            <w:pPr>
              <w:pStyle w:val="777"/>
              <w:rPr>
                <w:rFonts w:ascii="Times New Roman" w:hAnsi="Times New Roman"/>
                <w:b w:val="0"/>
                <w:sz w:val="21"/>
                <w:szCs w:val="21"/>
              </w:rPr>
            </w:pPr>
            <w:r>
              <w:rPr>
                <w:rFonts w:ascii="Times New Roman" w:hAnsi="Times New Roman"/>
                <w:b w:val="0"/>
                <w:sz w:val="21"/>
                <w:szCs w:val="21"/>
              </w:rPr>
              <w:t>猪舍、固粪处理区、无害化处理</w:t>
            </w:r>
          </w:p>
        </w:tc>
        <w:tc>
          <w:tcPr>
            <w:tcW w:w="2456" w:type="dxa"/>
            <w:noWrap w:val="0"/>
            <w:vAlign w:val="center"/>
          </w:tcPr>
          <w:p w14:paraId="10EA8C03">
            <w:pPr>
              <w:pStyle w:val="777"/>
              <w:rPr>
                <w:rFonts w:ascii="Times New Roman" w:hAnsi="Times New Roman"/>
                <w:b w:val="0"/>
                <w:sz w:val="21"/>
                <w:szCs w:val="21"/>
              </w:rPr>
            </w:pPr>
            <w:r>
              <w:rPr>
                <w:rFonts w:ascii="Times New Roman" w:hAnsi="Times New Roman"/>
                <w:b w:val="0"/>
                <w:sz w:val="21"/>
                <w:szCs w:val="21"/>
              </w:rPr>
              <w:t>H</w:t>
            </w:r>
            <w:r>
              <w:rPr>
                <w:rFonts w:ascii="Times New Roman" w:hAnsi="Times New Roman"/>
                <w:b w:val="0"/>
                <w:sz w:val="21"/>
                <w:szCs w:val="21"/>
                <w:vertAlign w:val="subscript"/>
              </w:rPr>
              <w:t>2</w:t>
            </w:r>
            <w:r>
              <w:rPr>
                <w:rFonts w:ascii="Times New Roman" w:hAnsi="Times New Roman"/>
                <w:b w:val="0"/>
                <w:sz w:val="21"/>
                <w:szCs w:val="21"/>
              </w:rPr>
              <w:t>S、NH</w:t>
            </w:r>
            <w:r>
              <w:rPr>
                <w:rFonts w:ascii="Times New Roman" w:hAnsi="Times New Roman"/>
                <w:b w:val="0"/>
                <w:sz w:val="21"/>
                <w:szCs w:val="21"/>
                <w:vertAlign w:val="subscript"/>
              </w:rPr>
              <w:t>3</w:t>
            </w:r>
            <w:r>
              <w:rPr>
                <w:rFonts w:ascii="Times New Roman" w:hAnsi="Times New Roman"/>
                <w:b w:val="0"/>
                <w:sz w:val="21"/>
                <w:szCs w:val="21"/>
              </w:rPr>
              <w:t>等</w:t>
            </w:r>
          </w:p>
        </w:tc>
      </w:tr>
      <w:tr w14:paraId="7460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6FF90051">
            <w:pPr>
              <w:pStyle w:val="777"/>
              <w:tabs>
                <w:tab w:val="left" w:pos="1230"/>
              </w:tabs>
              <w:rPr>
                <w:rFonts w:ascii="Times New Roman" w:hAnsi="Times New Roman"/>
                <w:b w:val="0"/>
                <w:sz w:val="21"/>
                <w:szCs w:val="21"/>
              </w:rPr>
            </w:pPr>
          </w:p>
        </w:tc>
        <w:tc>
          <w:tcPr>
            <w:tcW w:w="837" w:type="dxa"/>
            <w:noWrap w:val="0"/>
            <w:vAlign w:val="center"/>
          </w:tcPr>
          <w:p w14:paraId="4D4ED76C">
            <w:pPr>
              <w:pStyle w:val="777"/>
              <w:jc w:val="center"/>
              <w:rPr>
                <w:rFonts w:ascii="Times New Roman" w:hAnsi="Times New Roman"/>
                <w:b w:val="0"/>
                <w:sz w:val="21"/>
                <w:szCs w:val="21"/>
              </w:rPr>
            </w:pPr>
            <w:r>
              <w:rPr>
                <w:rFonts w:ascii="Times New Roman" w:hAnsi="Times New Roman"/>
                <w:b w:val="0"/>
                <w:sz w:val="21"/>
                <w:szCs w:val="21"/>
              </w:rPr>
              <w:t>G2</w:t>
            </w:r>
          </w:p>
        </w:tc>
        <w:tc>
          <w:tcPr>
            <w:tcW w:w="1657" w:type="dxa"/>
            <w:noWrap w:val="0"/>
            <w:vAlign w:val="center"/>
          </w:tcPr>
          <w:p w14:paraId="75CFA541">
            <w:pPr>
              <w:pStyle w:val="777"/>
              <w:rPr>
                <w:rFonts w:ascii="Times New Roman" w:hAnsi="Times New Roman"/>
                <w:b w:val="0"/>
                <w:sz w:val="21"/>
                <w:szCs w:val="21"/>
              </w:rPr>
            </w:pPr>
            <w:r>
              <w:rPr>
                <w:rFonts w:ascii="Times New Roman" w:hAnsi="Times New Roman"/>
                <w:b w:val="0"/>
                <w:sz w:val="21"/>
                <w:szCs w:val="21"/>
              </w:rPr>
              <w:t>沼气、恶臭</w:t>
            </w:r>
          </w:p>
        </w:tc>
        <w:tc>
          <w:tcPr>
            <w:tcW w:w="2634" w:type="dxa"/>
            <w:noWrap w:val="0"/>
            <w:vAlign w:val="center"/>
          </w:tcPr>
          <w:p w14:paraId="06C745CD">
            <w:pPr>
              <w:pStyle w:val="777"/>
              <w:rPr>
                <w:rFonts w:ascii="Times New Roman" w:hAnsi="Times New Roman"/>
                <w:b w:val="0"/>
                <w:sz w:val="21"/>
                <w:szCs w:val="21"/>
              </w:rPr>
            </w:pPr>
            <w:r>
              <w:rPr>
                <w:rFonts w:ascii="Times New Roman" w:hAnsi="Times New Roman"/>
                <w:b w:val="0"/>
                <w:sz w:val="21"/>
                <w:szCs w:val="21"/>
              </w:rPr>
              <w:t>污水处理站</w:t>
            </w:r>
          </w:p>
        </w:tc>
        <w:tc>
          <w:tcPr>
            <w:tcW w:w="2456" w:type="dxa"/>
            <w:noWrap w:val="0"/>
            <w:vAlign w:val="center"/>
          </w:tcPr>
          <w:p w14:paraId="4918FD4B">
            <w:pPr>
              <w:pStyle w:val="777"/>
              <w:rPr>
                <w:rFonts w:ascii="Times New Roman" w:hAnsi="Times New Roman"/>
                <w:b w:val="0"/>
                <w:sz w:val="21"/>
                <w:szCs w:val="21"/>
              </w:rPr>
            </w:pPr>
            <w:r>
              <w:rPr>
                <w:rFonts w:ascii="Times New Roman" w:hAnsi="Times New Roman"/>
                <w:b w:val="0"/>
                <w:sz w:val="21"/>
                <w:szCs w:val="21"/>
              </w:rPr>
              <w:t>沼气（CH</w:t>
            </w:r>
            <w:r>
              <w:rPr>
                <w:rFonts w:ascii="Times New Roman" w:hAnsi="Times New Roman"/>
                <w:b w:val="0"/>
                <w:sz w:val="21"/>
                <w:szCs w:val="21"/>
                <w:vertAlign w:val="subscript"/>
              </w:rPr>
              <w:t>4</w:t>
            </w:r>
            <w:r>
              <w:rPr>
                <w:rFonts w:ascii="Times New Roman" w:hAnsi="Times New Roman"/>
                <w:b w:val="0"/>
                <w:sz w:val="21"/>
                <w:szCs w:val="21"/>
              </w:rPr>
              <w:t>、CO</w:t>
            </w:r>
            <w:r>
              <w:rPr>
                <w:rFonts w:ascii="Times New Roman" w:hAnsi="Times New Roman"/>
                <w:b w:val="0"/>
                <w:sz w:val="21"/>
                <w:szCs w:val="21"/>
                <w:vertAlign w:val="subscript"/>
              </w:rPr>
              <w:t>2</w:t>
            </w:r>
            <w:r>
              <w:rPr>
                <w:rFonts w:ascii="Times New Roman" w:hAnsi="Times New Roman"/>
                <w:b w:val="0"/>
                <w:sz w:val="21"/>
                <w:szCs w:val="21"/>
              </w:rPr>
              <w:t>等），H</w:t>
            </w:r>
            <w:r>
              <w:rPr>
                <w:rFonts w:ascii="Times New Roman" w:hAnsi="Times New Roman"/>
                <w:b w:val="0"/>
                <w:sz w:val="21"/>
                <w:szCs w:val="21"/>
                <w:vertAlign w:val="subscript"/>
              </w:rPr>
              <w:t>2</w:t>
            </w:r>
            <w:r>
              <w:rPr>
                <w:rFonts w:ascii="Times New Roman" w:hAnsi="Times New Roman"/>
                <w:b w:val="0"/>
                <w:sz w:val="21"/>
                <w:szCs w:val="21"/>
              </w:rPr>
              <w:t>S、NH</w:t>
            </w:r>
            <w:r>
              <w:rPr>
                <w:rFonts w:ascii="Times New Roman" w:hAnsi="Times New Roman"/>
                <w:b w:val="0"/>
                <w:sz w:val="21"/>
                <w:szCs w:val="21"/>
                <w:vertAlign w:val="subscript"/>
              </w:rPr>
              <w:t>3</w:t>
            </w:r>
            <w:r>
              <w:rPr>
                <w:rFonts w:ascii="Times New Roman" w:hAnsi="Times New Roman"/>
                <w:b w:val="0"/>
                <w:sz w:val="21"/>
                <w:szCs w:val="21"/>
              </w:rPr>
              <w:t>等</w:t>
            </w:r>
          </w:p>
        </w:tc>
      </w:tr>
      <w:tr w14:paraId="6A6A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3B533319">
            <w:pPr>
              <w:pStyle w:val="777"/>
              <w:tabs>
                <w:tab w:val="left" w:pos="1230"/>
              </w:tabs>
              <w:rPr>
                <w:rFonts w:ascii="Times New Roman" w:hAnsi="Times New Roman"/>
                <w:b w:val="0"/>
                <w:sz w:val="21"/>
                <w:szCs w:val="21"/>
              </w:rPr>
            </w:pPr>
          </w:p>
        </w:tc>
        <w:tc>
          <w:tcPr>
            <w:tcW w:w="837" w:type="dxa"/>
            <w:noWrap w:val="0"/>
            <w:vAlign w:val="center"/>
          </w:tcPr>
          <w:p w14:paraId="22EFA4FF">
            <w:pPr>
              <w:pStyle w:val="777"/>
              <w:jc w:val="center"/>
              <w:rPr>
                <w:rFonts w:ascii="Times New Roman" w:hAnsi="Times New Roman"/>
                <w:b w:val="0"/>
                <w:sz w:val="21"/>
                <w:szCs w:val="21"/>
              </w:rPr>
            </w:pPr>
            <w:r>
              <w:rPr>
                <w:rFonts w:ascii="Times New Roman" w:hAnsi="Times New Roman"/>
                <w:b w:val="0"/>
                <w:sz w:val="21"/>
                <w:szCs w:val="21"/>
              </w:rPr>
              <w:t>G3</w:t>
            </w:r>
          </w:p>
        </w:tc>
        <w:tc>
          <w:tcPr>
            <w:tcW w:w="1657" w:type="dxa"/>
            <w:noWrap w:val="0"/>
            <w:vAlign w:val="center"/>
          </w:tcPr>
          <w:p w14:paraId="0B39914F">
            <w:pPr>
              <w:pStyle w:val="777"/>
              <w:rPr>
                <w:rFonts w:ascii="Times New Roman" w:hAnsi="Times New Roman"/>
                <w:b w:val="0"/>
                <w:sz w:val="21"/>
                <w:szCs w:val="21"/>
              </w:rPr>
            </w:pPr>
            <w:r>
              <w:rPr>
                <w:rFonts w:ascii="Times New Roman" w:hAnsi="Times New Roman"/>
                <w:b w:val="0"/>
                <w:sz w:val="21"/>
                <w:szCs w:val="21"/>
              </w:rPr>
              <w:t>油烟</w:t>
            </w:r>
          </w:p>
        </w:tc>
        <w:tc>
          <w:tcPr>
            <w:tcW w:w="2634" w:type="dxa"/>
            <w:noWrap w:val="0"/>
            <w:vAlign w:val="center"/>
          </w:tcPr>
          <w:p w14:paraId="0E2DC1C7">
            <w:pPr>
              <w:pStyle w:val="777"/>
              <w:rPr>
                <w:rFonts w:ascii="Times New Roman" w:hAnsi="Times New Roman"/>
                <w:b w:val="0"/>
                <w:sz w:val="21"/>
                <w:szCs w:val="21"/>
              </w:rPr>
            </w:pPr>
            <w:r>
              <w:rPr>
                <w:rFonts w:ascii="Times New Roman" w:hAnsi="Times New Roman"/>
                <w:b w:val="0"/>
                <w:sz w:val="21"/>
                <w:szCs w:val="21"/>
              </w:rPr>
              <w:t>食堂</w:t>
            </w:r>
          </w:p>
        </w:tc>
        <w:tc>
          <w:tcPr>
            <w:tcW w:w="2456" w:type="dxa"/>
            <w:noWrap w:val="0"/>
            <w:vAlign w:val="center"/>
          </w:tcPr>
          <w:p w14:paraId="638E9AA8">
            <w:pPr>
              <w:pStyle w:val="777"/>
              <w:rPr>
                <w:rFonts w:ascii="Times New Roman" w:hAnsi="Times New Roman"/>
                <w:b w:val="0"/>
                <w:sz w:val="21"/>
                <w:szCs w:val="21"/>
              </w:rPr>
            </w:pPr>
            <w:r>
              <w:rPr>
                <w:rFonts w:ascii="Times New Roman" w:hAnsi="Times New Roman"/>
                <w:b w:val="0"/>
                <w:sz w:val="21"/>
                <w:szCs w:val="21"/>
              </w:rPr>
              <w:t>油烟、CO</w:t>
            </w:r>
            <w:r>
              <w:rPr>
                <w:rFonts w:ascii="Times New Roman" w:hAnsi="Times New Roman"/>
                <w:b w:val="0"/>
                <w:sz w:val="21"/>
                <w:szCs w:val="21"/>
                <w:vertAlign w:val="subscript"/>
              </w:rPr>
              <w:t>2</w:t>
            </w:r>
            <w:r>
              <w:rPr>
                <w:rFonts w:ascii="Times New Roman" w:hAnsi="Times New Roman"/>
                <w:b w:val="0"/>
                <w:sz w:val="21"/>
                <w:szCs w:val="21"/>
              </w:rPr>
              <w:t>等</w:t>
            </w:r>
          </w:p>
        </w:tc>
      </w:tr>
      <w:tr w14:paraId="3D46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8" w:type="dxa"/>
            <w:vMerge w:val="restart"/>
            <w:noWrap w:val="0"/>
            <w:vAlign w:val="center"/>
          </w:tcPr>
          <w:p w14:paraId="3FF3CEA8">
            <w:pPr>
              <w:pStyle w:val="777"/>
              <w:rPr>
                <w:rFonts w:ascii="Times New Roman" w:hAnsi="Times New Roman"/>
                <w:b w:val="0"/>
                <w:sz w:val="21"/>
                <w:szCs w:val="21"/>
              </w:rPr>
            </w:pPr>
            <w:r>
              <w:rPr>
                <w:rFonts w:ascii="Times New Roman" w:hAnsi="Times New Roman"/>
                <w:b w:val="0"/>
                <w:sz w:val="21"/>
                <w:szCs w:val="21"/>
              </w:rPr>
              <w:t>废水</w:t>
            </w:r>
          </w:p>
        </w:tc>
        <w:tc>
          <w:tcPr>
            <w:tcW w:w="837" w:type="dxa"/>
            <w:noWrap w:val="0"/>
            <w:vAlign w:val="center"/>
          </w:tcPr>
          <w:p w14:paraId="502A85EA">
            <w:pPr>
              <w:pStyle w:val="777"/>
              <w:jc w:val="center"/>
              <w:rPr>
                <w:rFonts w:ascii="Times New Roman" w:hAnsi="Times New Roman"/>
                <w:b w:val="0"/>
                <w:sz w:val="21"/>
                <w:szCs w:val="21"/>
              </w:rPr>
            </w:pPr>
            <w:r>
              <w:rPr>
                <w:rFonts w:ascii="Times New Roman" w:hAnsi="Times New Roman"/>
                <w:b w:val="0"/>
                <w:sz w:val="21"/>
                <w:szCs w:val="21"/>
              </w:rPr>
              <w:t>W1</w:t>
            </w:r>
          </w:p>
        </w:tc>
        <w:tc>
          <w:tcPr>
            <w:tcW w:w="1657" w:type="dxa"/>
            <w:noWrap w:val="0"/>
            <w:vAlign w:val="center"/>
          </w:tcPr>
          <w:p w14:paraId="1B0CE5FF">
            <w:pPr>
              <w:pStyle w:val="777"/>
              <w:rPr>
                <w:rFonts w:ascii="Times New Roman" w:hAnsi="Times New Roman"/>
                <w:b w:val="0"/>
                <w:sz w:val="21"/>
                <w:szCs w:val="21"/>
              </w:rPr>
            </w:pPr>
            <w:r>
              <w:rPr>
                <w:rFonts w:ascii="Times New Roman" w:hAnsi="Times New Roman"/>
                <w:b w:val="0"/>
                <w:sz w:val="21"/>
                <w:szCs w:val="21"/>
              </w:rPr>
              <w:t>清洗废水</w:t>
            </w:r>
          </w:p>
        </w:tc>
        <w:tc>
          <w:tcPr>
            <w:tcW w:w="2634" w:type="dxa"/>
            <w:noWrap w:val="0"/>
            <w:vAlign w:val="center"/>
          </w:tcPr>
          <w:p w14:paraId="7DEFFC4E">
            <w:pPr>
              <w:pStyle w:val="777"/>
              <w:rPr>
                <w:rFonts w:ascii="Times New Roman" w:hAnsi="Times New Roman"/>
                <w:b w:val="0"/>
                <w:sz w:val="21"/>
                <w:szCs w:val="21"/>
              </w:rPr>
            </w:pPr>
            <w:r>
              <w:rPr>
                <w:rFonts w:ascii="Times New Roman" w:hAnsi="Times New Roman"/>
                <w:b w:val="0"/>
                <w:sz w:val="21"/>
                <w:szCs w:val="21"/>
              </w:rPr>
              <w:t>猪舍</w:t>
            </w:r>
          </w:p>
        </w:tc>
        <w:tc>
          <w:tcPr>
            <w:tcW w:w="2456" w:type="dxa"/>
            <w:noWrap w:val="0"/>
            <w:vAlign w:val="center"/>
          </w:tcPr>
          <w:p w14:paraId="3311F9B0">
            <w:pPr>
              <w:pStyle w:val="777"/>
              <w:spacing w:after="0"/>
              <w:rPr>
                <w:rFonts w:ascii="Times New Roman" w:hAnsi="Times New Roman"/>
                <w:b w:val="0"/>
                <w:sz w:val="21"/>
                <w:szCs w:val="21"/>
              </w:rPr>
            </w:pPr>
            <w:r>
              <w:rPr>
                <w:rFonts w:ascii="Times New Roman" w:hAnsi="Times New Roman"/>
                <w:b w:val="0"/>
                <w:sz w:val="21"/>
                <w:szCs w:val="21"/>
              </w:rPr>
              <w:t>pH、SS、COD、BOD</w:t>
            </w:r>
            <w:r>
              <w:rPr>
                <w:rFonts w:ascii="Times New Roman" w:hAnsi="Times New Roman"/>
                <w:b w:val="0"/>
                <w:sz w:val="21"/>
                <w:szCs w:val="21"/>
                <w:vertAlign w:val="subscript"/>
              </w:rPr>
              <w:t>5</w:t>
            </w:r>
            <w:r>
              <w:rPr>
                <w:rFonts w:ascii="Times New Roman" w:hAnsi="Times New Roman"/>
                <w:b w:val="0"/>
                <w:sz w:val="21"/>
                <w:szCs w:val="21"/>
              </w:rPr>
              <w:t>、NH</w:t>
            </w:r>
            <w:r>
              <w:rPr>
                <w:rFonts w:ascii="Times New Roman" w:hAnsi="Times New Roman"/>
                <w:b w:val="0"/>
                <w:sz w:val="21"/>
                <w:szCs w:val="21"/>
                <w:vertAlign w:val="subscript"/>
              </w:rPr>
              <w:t>3</w:t>
            </w:r>
            <w:r>
              <w:rPr>
                <w:rFonts w:ascii="Times New Roman" w:hAnsi="Times New Roman"/>
                <w:b w:val="0"/>
                <w:sz w:val="21"/>
                <w:szCs w:val="21"/>
              </w:rPr>
              <w:t>-N、粪大肠菌群等</w:t>
            </w:r>
          </w:p>
        </w:tc>
      </w:tr>
      <w:tr w14:paraId="7848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76840B14">
            <w:pPr>
              <w:pStyle w:val="777"/>
              <w:rPr>
                <w:rFonts w:ascii="Times New Roman" w:hAnsi="Times New Roman"/>
                <w:b w:val="0"/>
                <w:sz w:val="21"/>
                <w:szCs w:val="21"/>
              </w:rPr>
            </w:pPr>
          </w:p>
        </w:tc>
        <w:tc>
          <w:tcPr>
            <w:tcW w:w="837" w:type="dxa"/>
            <w:noWrap w:val="0"/>
            <w:vAlign w:val="center"/>
          </w:tcPr>
          <w:p w14:paraId="29D13943">
            <w:pPr>
              <w:pStyle w:val="777"/>
              <w:jc w:val="center"/>
              <w:rPr>
                <w:rFonts w:ascii="Times New Roman" w:hAnsi="Times New Roman"/>
                <w:b w:val="0"/>
                <w:sz w:val="21"/>
                <w:szCs w:val="21"/>
              </w:rPr>
            </w:pPr>
            <w:r>
              <w:rPr>
                <w:rFonts w:ascii="Times New Roman" w:hAnsi="Times New Roman"/>
                <w:b w:val="0"/>
                <w:sz w:val="21"/>
                <w:szCs w:val="21"/>
              </w:rPr>
              <w:t>W2</w:t>
            </w:r>
          </w:p>
        </w:tc>
        <w:tc>
          <w:tcPr>
            <w:tcW w:w="1657" w:type="dxa"/>
            <w:noWrap w:val="0"/>
            <w:vAlign w:val="center"/>
          </w:tcPr>
          <w:p w14:paraId="63F305CD">
            <w:pPr>
              <w:pStyle w:val="777"/>
              <w:rPr>
                <w:rFonts w:ascii="Times New Roman" w:hAnsi="Times New Roman"/>
                <w:b w:val="0"/>
                <w:sz w:val="21"/>
                <w:szCs w:val="21"/>
              </w:rPr>
            </w:pPr>
            <w:r>
              <w:rPr>
                <w:rFonts w:ascii="Times New Roman" w:hAnsi="Times New Roman"/>
                <w:b w:val="0"/>
                <w:sz w:val="21"/>
                <w:szCs w:val="21"/>
              </w:rPr>
              <w:t>猪尿</w:t>
            </w:r>
          </w:p>
        </w:tc>
        <w:tc>
          <w:tcPr>
            <w:tcW w:w="2634" w:type="dxa"/>
            <w:noWrap w:val="0"/>
            <w:vAlign w:val="center"/>
          </w:tcPr>
          <w:p w14:paraId="5BAE3351">
            <w:pPr>
              <w:pStyle w:val="777"/>
              <w:rPr>
                <w:rFonts w:ascii="Times New Roman" w:hAnsi="Times New Roman"/>
                <w:b w:val="0"/>
                <w:sz w:val="21"/>
                <w:szCs w:val="21"/>
              </w:rPr>
            </w:pPr>
            <w:r>
              <w:rPr>
                <w:rFonts w:ascii="Times New Roman" w:hAnsi="Times New Roman"/>
                <w:b w:val="0"/>
                <w:sz w:val="21"/>
                <w:szCs w:val="21"/>
              </w:rPr>
              <w:t>猪舍</w:t>
            </w:r>
          </w:p>
        </w:tc>
        <w:tc>
          <w:tcPr>
            <w:tcW w:w="2456" w:type="dxa"/>
            <w:noWrap w:val="0"/>
            <w:vAlign w:val="center"/>
          </w:tcPr>
          <w:p w14:paraId="3DF4E80E">
            <w:pPr>
              <w:pStyle w:val="777"/>
              <w:spacing w:after="0"/>
              <w:rPr>
                <w:rFonts w:ascii="Times New Roman" w:hAnsi="Times New Roman"/>
                <w:b w:val="0"/>
                <w:sz w:val="21"/>
                <w:szCs w:val="21"/>
              </w:rPr>
            </w:pPr>
            <w:r>
              <w:rPr>
                <w:rFonts w:ascii="Times New Roman" w:hAnsi="Times New Roman"/>
                <w:b w:val="0"/>
                <w:sz w:val="21"/>
                <w:szCs w:val="21"/>
              </w:rPr>
              <w:t>pH、SS、COD、BOD</w:t>
            </w:r>
            <w:r>
              <w:rPr>
                <w:rFonts w:ascii="Times New Roman" w:hAnsi="Times New Roman"/>
                <w:b w:val="0"/>
                <w:sz w:val="21"/>
                <w:szCs w:val="21"/>
                <w:vertAlign w:val="subscript"/>
              </w:rPr>
              <w:t>5</w:t>
            </w:r>
            <w:r>
              <w:rPr>
                <w:rFonts w:ascii="Times New Roman" w:hAnsi="Times New Roman"/>
                <w:b w:val="0"/>
                <w:sz w:val="21"/>
                <w:szCs w:val="21"/>
              </w:rPr>
              <w:t>、NH</w:t>
            </w:r>
            <w:r>
              <w:rPr>
                <w:rFonts w:ascii="Times New Roman" w:hAnsi="Times New Roman"/>
                <w:b w:val="0"/>
                <w:sz w:val="21"/>
                <w:szCs w:val="21"/>
                <w:vertAlign w:val="subscript"/>
              </w:rPr>
              <w:t>3</w:t>
            </w:r>
            <w:r>
              <w:rPr>
                <w:rFonts w:ascii="Times New Roman" w:hAnsi="Times New Roman"/>
                <w:b w:val="0"/>
                <w:sz w:val="21"/>
                <w:szCs w:val="21"/>
              </w:rPr>
              <w:t>-N、粪大肠菌群等</w:t>
            </w:r>
          </w:p>
        </w:tc>
      </w:tr>
      <w:tr w14:paraId="78AB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3C3F385E">
            <w:pPr>
              <w:pStyle w:val="777"/>
              <w:rPr>
                <w:rFonts w:ascii="Times New Roman" w:hAnsi="Times New Roman"/>
                <w:b w:val="0"/>
                <w:sz w:val="21"/>
                <w:szCs w:val="21"/>
              </w:rPr>
            </w:pPr>
          </w:p>
        </w:tc>
        <w:tc>
          <w:tcPr>
            <w:tcW w:w="837" w:type="dxa"/>
            <w:noWrap w:val="0"/>
            <w:vAlign w:val="center"/>
          </w:tcPr>
          <w:p w14:paraId="170B76C5">
            <w:pPr>
              <w:pStyle w:val="777"/>
              <w:jc w:val="center"/>
              <w:rPr>
                <w:rFonts w:ascii="Times New Roman" w:hAnsi="Times New Roman"/>
                <w:b w:val="0"/>
                <w:sz w:val="21"/>
                <w:szCs w:val="21"/>
              </w:rPr>
            </w:pPr>
            <w:r>
              <w:rPr>
                <w:rFonts w:ascii="Times New Roman" w:hAnsi="Times New Roman"/>
                <w:b w:val="0"/>
                <w:sz w:val="21"/>
                <w:szCs w:val="21"/>
              </w:rPr>
              <w:t>W3</w:t>
            </w:r>
          </w:p>
        </w:tc>
        <w:tc>
          <w:tcPr>
            <w:tcW w:w="1657" w:type="dxa"/>
            <w:noWrap w:val="0"/>
            <w:vAlign w:val="center"/>
          </w:tcPr>
          <w:p w14:paraId="3FDBCB25">
            <w:pPr>
              <w:pStyle w:val="777"/>
              <w:rPr>
                <w:rFonts w:ascii="Times New Roman" w:hAnsi="Times New Roman"/>
                <w:b w:val="0"/>
                <w:sz w:val="21"/>
                <w:szCs w:val="21"/>
              </w:rPr>
            </w:pPr>
            <w:r>
              <w:rPr>
                <w:rFonts w:ascii="Times New Roman" w:hAnsi="Times New Roman"/>
                <w:b w:val="0"/>
                <w:sz w:val="21"/>
                <w:szCs w:val="21"/>
              </w:rPr>
              <w:t>堆粪渗滤液</w:t>
            </w:r>
          </w:p>
        </w:tc>
        <w:tc>
          <w:tcPr>
            <w:tcW w:w="2634" w:type="dxa"/>
            <w:noWrap w:val="0"/>
            <w:vAlign w:val="center"/>
          </w:tcPr>
          <w:p w14:paraId="56ECCFA0">
            <w:pPr>
              <w:pStyle w:val="777"/>
              <w:rPr>
                <w:rFonts w:ascii="Times New Roman" w:hAnsi="Times New Roman"/>
                <w:b w:val="0"/>
                <w:sz w:val="21"/>
                <w:szCs w:val="21"/>
              </w:rPr>
            </w:pPr>
            <w:r>
              <w:rPr>
                <w:rFonts w:ascii="Times New Roman" w:hAnsi="Times New Roman"/>
                <w:b w:val="0"/>
                <w:sz w:val="21"/>
                <w:szCs w:val="21"/>
              </w:rPr>
              <w:t>固粪处理区</w:t>
            </w:r>
          </w:p>
        </w:tc>
        <w:tc>
          <w:tcPr>
            <w:tcW w:w="2456" w:type="dxa"/>
            <w:noWrap w:val="0"/>
            <w:vAlign w:val="center"/>
          </w:tcPr>
          <w:p w14:paraId="727D3C73">
            <w:pPr>
              <w:pStyle w:val="777"/>
              <w:spacing w:after="0"/>
              <w:rPr>
                <w:rFonts w:ascii="Times New Roman" w:hAnsi="Times New Roman"/>
                <w:b w:val="0"/>
                <w:sz w:val="21"/>
                <w:szCs w:val="21"/>
              </w:rPr>
            </w:pPr>
            <w:r>
              <w:rPr>
                <w:rFonts w:ascii="Times New Roman" w:hAnsi="Times New Roman"/>
                <w:b w:val="0"/>
                <w:sz w:val="21"/>
                <w:szCs w:val="21"/>
              </w:rPr>
              <w:t>pH、SS、COD、BOD</w:t>
            </w:r>
            <w:r>
              <w:rPr>
                <w:rFonts w:ascii="Times New Roman" w:hAnsi="Times New Roman"/>
                <w:b w:val="0"/>
                <w:sz w:val="21"/>
                <w:szCs w:val="21"/>
                <w:vertAlign w:val="subscript"/>
              </w:rPr>
              <w:t>5</w:t>
            </w:r>
            <w:r>
              <w:rPr>
                <w:rFonts w:ascii="Times New Roman" w:hAnsi="Times New Roman"/>
                <w:b w:val="0"/>
                <w:sz w:val="21"/>
                <w:szCs w:val="21"/>
              </w:rPr>
              <w:t>、NH</w:t>
            </w:r>
            <w:r>
              <w:rPr>
                <w:rFonts w:ascii="Times New Roman" w:hAnsi="Times New Roman"/>
                <w:b w:val="0"/>
                <w:sz w:val="21"/>
                <w:szCs w:val="21"/>
                <w:vertAlign w:val="subscript"/>
              </w:rPr>
              <w:t>3</w:t>
            </w:r>
            <w:r>
              <w:rPr>
                <w:rFonts w:ascii="Times New Roman" w:hAnsi="Times New Roman"/>
                <w:b w:val="0"/>
                <w:sz w:val="21"/>
                <w:szCs w:val="21"/>
              </w:rPr>
              <w:t>-N、TP等</w:t>
            </w:r>
          </w:p>
        </w:tc>
      </w:tr>
      <w:tr w14:paraId="6938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2D865AC7">
            <w:pPr>
              <w:pStyle w:val="777"/>
              <w:rPr>
                <w:rFonts w:ascii="Times New Roman" w:hAnsi="Times New Roman"/>
                <w:b w:val="0"/>
                <w:sz w:val="21"/>
                <w:szCs w:val="21"/>
              </w:rPr>
            </w:pPr>
          </w:p>
        </w:tc>
        <w:tc>
          <w:tcPr>
            <w:tcW w:w="837" w:type="dxa"/>
            <w:noWrap w:val="0"/>
            <w:vAlign w:val="center"/>
          </w:tcPr>
          <w:p w14:paraId="12582C9C">
            <w:pPr>
              <w:pStyle w:val="777"/>
              <w:jc w:val="center"/>
              <w:rPr>
                <w:rFonts w:ascii="Times New Roman" w:hAnsi="Times New Roman"/>
                <w:b w:val="0"/>
                <w:sz w:val="21"/>
                <w:szCs w:val="21"/>
              </w:rPr>
            </w:pPr>
            <w:r>
              <w:rPr>
                <w:rFonts w:ascii="Times New Roman" w:hAnsi="Times New Roman"/>
                <w:b w:val="0"/>
                <w:sz w:val="21"/>
                <w:szCs w:val="21"/>
              </w:rPr>
              <w:t>W5</w:t>
            </w:r>
          </w:p>
        </w:tc>
        <w:tc>
          <w:tcPr>
            <w:tcW w:w="1657" w:type="dxa"/>
            <w:noWrap w:val="0"/>
            <w:vAlign w:val="center"/>
          </w:tcPr>
          <w:p w14:paraId="08A2E020">
            <w:pPr>
              <w:pStyle w:val="777"/>
              <w:rPr>
                <w:rFonts w:ascii="Times New Roman" w:hAnsi="Times New Roman"/>
                <w:b w:val="0"/>
                <w:sz w:val="21"/>
                <w:szCs w:val="21"/>
              </w:rPr>
            </w:pPr>
            <w:r>
              <w:rPr>
                <w:rFonts w:ascii="Times New Roman" w:hAnsi="Times New Roman"/>
                <w:b w:val="0"/>
                <w:sz w:val="21"/>
                <w:szCs w:val="21"/>
              </w:rPr>
              <w:t>生活污水</w:t>
            </w:r>
          </w:p>
        </w:tc>
        <w:tc>
          <w:tcPr>
            <w:tcW w:w="2634" w:type="dxa"/>
            <w:noWrap w:val="0"/>
            <w:vAlign w:val="center"/>
          </w:tcPr>
          <w:p w14:paraId="048C1055">
            <w:pPr>
              <w:pStyle w:val="777"/>
              <w:rPr>
                <w:rFonts w:ascii="Times New Roman" w:hAnsi="Times New Roman"/>
                <w:b w:val="0"/>
                <w:sz w:val="21"/>
                <w:szCs w:val="21"/>
              </w:rPr>
            </w:pPr>
            <w:r>
              <w:rPr>
                <w:rFonts w:ascii="Times New Roman" w:hAnsi="Times New Roman"/>
                <w:b w:val="0"/>
                <w:sz w:val="21"/>
                <w:szCs w:val="21"/>
              </w:rPr>
              <w:t>办公区、生活区</w:t>
            </w:r>
          </w:p>
        </w:tc>
        <w:tc>
          <w:tcPr>
            <w:tcW w:w="2456" w:type="dxa"/>
            <w:noWrap w:val="0"/>
            <w:vAlign w:val="center"/>
          </w:tcPr>
          <w:p w14:paraId="2CE3BBD5">
            <w:pPr>
              <w:pStyle w:val="777"/>
              <w:spacing w:after="0"/>
              <w:rPr>
                <w:rFonts w:ascii="Times New Roman" w:hAnsi="Times New Roman"/>
                <w:b w:val="0"/>
                <w:sz w:val="21"/>
                <w:szCs w:val="21"/>
              </w:rPr>
            </w:pPr>
            <w:r>
              <w:rPr>
                <w:rFonts w:ascii="Times New Roman" w:hAnsi="Times New Roman"/>
                <w:b w:val="0"/>
                <w:sz w:val="21"/>
                <w:szCs w:val="21"/>
              </w:rPr>
              <w:t>pH、SS、COD、BOD</w:t>
            </w:r>
            <w:r>
              <w:rPr>
                <w:rFonts w:ascii="Times New Roman" w:hAnsi="Times New Roman"/>
                <w:b w:val="0"/>
                <w:sz w:val="21"/>
                <w:szCs w:val="21"/>
                <w:vertAlign w:val="subscript"/>
              </w:rPr>
              <w:t>5</w:t>
            </w:r>
            <w:r>
              <w:rPr>
                <w:rFonts w:ascii="Times New Roman" w:hAnsi="Times New Roman"/>
                <w:b w:val="0"/>
                <w:sz w:val="21"/>
                <w:szCs w:val="21"/>
              </w:rPr>
              <w:t>、NH</w:t>
            </w:r>
            <w:r>
              <w:rPr>
                <w:rFonts w:ascii="Times New Roman" w:hAnsi="Times New Roman"/>
                <w:b w:val="0"/>
                <w:sz w:val="21"/>
                <w:szCs w:val="21"/>
                <w:vertAlign w:val="subscript"/>
              </w:rPr>
              <w:t>3</w:t>
            </w:r>
            <w:r>
              <w:rPr>
                <w:rFonts w:ascii="Times New Roman" w:hAnsi="Times New Roman"/>
                <w:b w:val="0"/>
                <w:sz w:val="21"/>
                <w:szCs w:val="21"/>
              </w:rPr>
              <w:t>-N、TP等</w:t>
            </w:r>
          </w:p>
        </w:tc>
      </w:tr>
      <w:tr w14:paraId="777C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58E27292">
            <w:pPr>
              <w:pStyle w:val="777"/>
              <w:rPr>
                <w:rFonts w:ascii="Times New Roman" w:hAnsi="Times New Roman"/>
                <w:b w:val="0"/>
                <w:sz w:val="21"/>
                <w:szCs w:val="21"/>
              </w:rPr>
            </w:pPr>
          </w:p>
        </w:tc>
        <w:tc>
          <w:tcPr>
            <w:tcW w:w="837" w:type="dxa"/>
            <w:noWrap w:val="0"/>
            <w:vAlign w:val="center"/>
          </w:tcPr>
          <w:p w14:paraId="46DB9B12">
            <w:pPr>
              <w:pStyle w:val="777"/>
              <w:jc w:val="center"/>
              <w:rPr>
                <w:rFonts w:ascii="Times New Roman" w:hAnsi="Times New Roman"/>
                <w:b w:val="0"/>
                <w:sz w:val="21"/>
                <w:szCs w:val="21"/>
              </w:rPr>
            </w:pPr>
            <w:r>
              <w:rPr>
                <w:rFonts w:ascii="Times New Roman" w:hAnsi="Times New Roman"/>
                <w:b w:val="0"/>
                <w:sz w:val="21"/>
                <w:szCs w:val="21"/>
              </w:rPr>
              <w:t>W6</w:t>
            </w:r>
          </w:p>
        </w:tc>
        <w:tc>
          <w:tcPr>
            <w:tcW w:w="1657" w:type="dxa"/>
            <w:noWrap w:val="0"/>
            <w:vAlign w:val="center"/>
          </w:tcPr>
          <w:p w14:paraId="1AF2098F">
            <w:pPr>
              <w:pStyle w:val="777"/>
              <w:rPr>
                <w:rFonts w:ascii="Times New Roman" w:hAnsi="Times New Roman"/>
                <w:b w:val="0"/>
                <w:sz w:val="21"/>
                <w:szCs w:val="21"/>
              </w:rPr>
            </w:pPr>
            <w:r>
              <w:rPr>
                <w:rFonts w:ascii="Times New Roman" w:hAnsi="Times New Roman"/>
                <w:b w:val="0"/>
                <w:sz w:val="21"/>
                <w:szCs w:val="21"/>
              </w:rPr>
              <w:t>食堂废水</w:t>
            </w:r>
          </w:p>
        </w:tc>
        <w:tc>
          <w:tcPr>
            <w:tcW w:w="2634" w:type="dxa"/>
            <w:noWrap w:val="0"/>
            <w:vAlign w:val="center"/>
          </w:tcPr>
          <w:p w14:paraId="3C119A42">
            <w:pPr>
              <w:pStyle w:val="777"/>
              <w:rPr>
                <w:rFonts w:ascii="Times New Roman" w:hAnsi="Times New Roman"/>
                <w:b w:val="0"/>
                <w:sz w:val="21"/>
                <w:szCs w:val="21"/>
              </w:rPr>
            </w:pPr>
            <w:r>
              <w:rPr>
                <w:rFonts w:ascii="Times New Roman" w:hAnsi="Times New Roman"/>
                <w:b w:val="0"/>
                <w:sz w:val="21"/>
                <w:szCs w:val="21"/>
              </w:rPr>
              <w:t>食堂</w:t>
            </w:r>
          </w:p>
        </w:tc>
        <w:tc>
          <w:tcPr>
            <w:tcW w:w="2456" w:type="dxa"/>
            <w:noWrap w:val="0"/>
            <w:vAlign w:val="center"/>
          </w:tcPr>
          <w:p w14:paraId="2C244557">
            <w:pPr>
              <w:pStyle w:val="777"/>
              <w:spacing w:after="0"/>
              <w:rPr>
                <w:rFonts w:ascii="Times New Roman" w:hAnsi="Times New Roman"/>
                <w:b w:val="0"/>
                <w:sz w:val="21"/>
                <w:szCs w:val="21"/>
              </w:rPr>
            </w:pPr>
            <w:r>
              <w:rPr>
                <w:rFonts w:ascii="Times New Roman" w:hAnsi="Times New Roman"/>
                <w:b w:val="0"/>
                <w:sz w:val="21"/>
                <w:szCs w:val="21"/>
              </w:rPr>
              <w:t>pH、SS、COD、BOD</w:t>
            </w:r>
            <w:r>
              <w:rPr>
                <w:rFonts w:ascii="Times New Roman" w:hAnsi="Times New Roman"/>
                <w:b w:val="0"/>
                <w:sz w:val="21"/>
                <w:szCs w:val="21"/>
                <w:vertAlign w:val="subscript"/>
              </w:rPr>
              <w:t>5</w:t>
            </w:r>
            <w:r>
              <w:rPr>
                <w:rFonts w:ascii="Times New Roman" w:hAnsi="Times New Roman"/>
                <w:b w:val="0"/>
                <w:sz w:val="21"/>
                <w:szCs w:val="21"/>
              </w:rPr>
              <w:t>、动植物油等</w:t>
            </w:r>
          </w:p>
        </w:tc>
      </w:tr>
      <w:tr w14:paraId="4C9D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noWrap w:val="0"/>
            <w:vAlign w:val="center"/>
          </w:tcPr>
          <w:p w14:paraId="70E53446">
            <w:pPr>
              <w:pStyle w:val="777"/>
              <w:rPr>
                <w:rFonts w:ascii="Times New Roman" w:hAnsi="Times New Roman"/>
                <w:b w:val="0"/>
                <w:sz w:val="21"/>
                <w:szCs w:val="21"/>
              </w:rPr>
            </w:pPr>
            <w:r>
              <w:rPr>
                <w:rFonts w:ascii="Times New Roman" w:hAnsi="Times New Roman"/>
                <w:b w:val="0"/>
                <w:sz w:val="21"/>
                <w:szCs w:val="21"/>
              </w:rPr>
              <w:t>噪声</w:t>
            </w:r>
          </w:p>
        </w:tc>
        <w:tc>
          <w:tcPr>
            <w:tcW w:w="837" w:type="dxa"/>
            <w:noWrap w:val="0"/>
            <w:vAlign w:val="center"/>
          </w:tcPr>
          <w:p w14:paraId="231ACFC5">
            <w:pPr>
              <w:pStyle w:val="777"/>
              <w:jc w:val="center"/>
              <w:rPr>
                <w:rFonts w:ascii="Times New Roman" w:hAnsi="Times New Roman"/>
                <w:b w:val="0"/>
                <w:sz w:val="21"/>
                <w:szCs w:val="21"/>
              </w:rPr>
            </w:pPr>
            <w:r>
              <w:rPr>
                <w:rFonts w:ascii="Times New Roman" w:hAnsi="Times New Roman"/>
                <w:b w:val="0"/>
                <w:sz w:val="21"/>
                <w:szCs w:val="21"/>
              </w:rPr>
              <w:t>N</w:t>
            </w:r>
          </w:p>
        </w:tc>
        <w:tc>
          <w:tcPr>
            <w:tcW w:w="1657" w:type="dxa"/>
            <w:noWrap w:val="0"/>
            <w:vAlign w:val="center"/>
          </w:tcPr>
          <w:p w14:paraId="4951E099">
            <w:pPr>
              <w:pStyle w:val="777"/>
              <w:rPr>
                <w:rFonts w:ascii="Times New Roman" w:hAnsi="Times New Roman"/>
                <w:b w:val="0"/>
                <w:sz w:val="21"/>
                <w:szCs w:val="21"/>
              </w:rPr>
            </w:pPr>
            <w:r>
              <w:rPr>
                <w:rFonts w:ascii="Times New Roman" w:hAnsi="Times New Roman"/>
                <w:b w:val="0"/>
                <w:sz w:val="21"/>
                <w:szCs w:val="21"/>
              </w:rPr>
              <w:t>设备噪声、猪叫声、交通运输等</w:t>
            </w:r>
          </w:p>
        </w:tc>
        <w:tc>
          <w:tcPr>
            <w:tcW w:w="2634" w:type="dxa"/>
            <w:noWrap w:val="0"/>
            <w:vAlign w:val="center"/>
          </w:tcPr>
          <w:p w14:paraId="22D32E3D">
            <w:pPr>
              <w:pStyle w:val="777"/>
              <w:rPr>
                <w:rFonts w:ascii="Times New Roman" w:hAnsi="Times New Roman"/>
                <w:b w:val="0"/>
                <w:sz w:val="21"/>
                <w:szCs w:val="21"/>
              </w:rPr>
            </w:pPr>
            <w:r>
              <w:rPr>
                <w:rFonts w:ascii="Times New Roman" w:hAnsi="Times New Roman"/>
                <w:b w:val="0"/>
                <w:sz w:val="21"/>
                <w:szCs w:val="21"/>
              </w:rPr>
              <w:t>生产区域、猪舍、车辆运输</w:t>
            </w:r>
          </w:p>
        </w:tc>
        <w:tc>
          <w:tcPr>
            <w:tcW w:w="2456" w:type="dxa"/>
            <w:noWrap w:val="0"/>
            <w:vAlign w:val="center"/>
          </w:tcPr>
          <w:p w14:paraId="05305338">
            <w:pPr>
              <w:pStyle w:val="777"/>
              <w:rPr>
                <w:rFonts w:ascii="Times New Roman" w:hAnsi="Times New Roman"/>
                <w:b w:val="0"/>
                <w:sz w:val="21"/>
                <w:szCs w:val="21"/>
              </w:rPr>
            </w:pPr>
            <w:r>
              <w:rPr>
                <w:rFonts w:ascii="Times New Roman" w:hAnsi="Times New Roman"/>
                <w:b w:val="0"/>
                <w:sz w:val="21"/>
                <w:szCs w:val="21"/>
              </w:rPr>
              <w:t>L</w:t>
            </w:r>
            <w:r>
              <w:rPr>
                <w:rFonts w:ascii="Times New Roman" w:hAnsi="Times New Roman"/>
                <w:b w:val="0"/>
                <w:sz w:val="21"/>
                <w:szCs w:val="21"/>
                <w:vertAlign w:val="subscript"/>
              </w:rPr>
              <w:t>eq</w:t>
            </w:r>
          </w:p>
        </w:tc>
      </w:tr>
      <w:tr w14:paraId="1A52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restart"/>
            <w:noWrap w:val="0"/>
            <w:vAlign w:val="center"/>
          </w:tcPr>
          <w:p w14:paraId="55515223">
            <w:pPr>
              <w:pStyle w:val="777"/>
              <w:rPr>
                <w:rFonts w:ascii="Times New Roman" w:hAnsi="Times New Roman"/>
                <w:b w:val="0"/>
                <w:sz w:val="21"/>
                <w:szCs w:val="21"/>
              </w:rPr>
            </w:pPr>
            <w:r>
              <w:rPr>
                <w:rFonts w:ascii="Times New Roman" w:hAnsi="Times New Roman"/>
                <w:b w:val="0"/>
                <w:sz w:val="21"/>
                <w:szCs w:val="21"/>
              </w:rPr>
              <w:t>固体废物</w:t>
            </w:r>
          </w:p>
        </w:tc>
        <w:tc>
          <w:tcPr>
            <w:tcW w:w="837" w:type="dxa"/>
            <w:noWrap w:val="0"/>
            <w:vAlign w:val="center"/>
          </w:tcPr>
          <w:p w14:paraId="3C2BB3E2">
            <w:pPr>
              <w:pStyle w:val="777"/>
              <w:spacing w:after="0"/>
              <w:jc w:val="center"/>
              <w:rPr>
                <w:rFonts w:ascii="Times New Roman" w:hAnsi="Times New Roman"/>
                <w:b w:val="0"/>
                <w:sz w:val="21"/>
                <w:szCs w:val="21"/>
              </w:rPr>
            </w:pPr>
            <w:r>
              <w:rPr>
                <w:rFonts w:ascii="Times New Roman" w:hAnsi="Times New Roman"/>
                <w:b w:val="0"/>
                <w:sz w:val="21"/>
                <w:szCs w:val="21"/>
              </w:rPr>
              <w:t>S1</w:t>
            </w:r>
          </w:p>
        </w:tc>
        <w:tc>
          <w:tcPr>
            <w:tcW w:w="1657" w:type="dxa"/>
            <w:noWrap w:val="0"/>
            <w:vAlign w:val="center"/>
          </w:tcPr>
          <w:p w14:paraId="1907234E">
            <w:pPr>
              <w:pStyle w:val="777"/>
              <w:spacing w:after="0"/>
              <w:rPr>
                <w:rFonts w:ascii="Times New Roman" w:hAnsi="Times New Roman"/>
                <w:b w:val="0"/>
                <w:sz w:val="21"/>
                <w:szCs w:val="21"/>
              </w:rPr>
            </w:pPr>
            <w:r>
              <w:rPr>
                <w:rFonts w:ascii="Times New Roman" w:hAnsi="Times New Roman"/>
                <w:b w:val="0"/>
                <w:sz w:val="21"/>
                <w:szCs w:val="21"/>
              </w:rPr>
              <w:t>猪粪</w:t>
            </w:r>
          </w:p>
        </w:tc>
        <w:tc>
          <w:tcPr>
            <w:tcW w:w="2634" w:type="dxa"/>
            <w:noWrap w:val="0"/>
            <w:vAlign w:val="center"/>
          </w:tcPr>
          <w:p w14:paraId="34068DFF">
            <w:pPr>
              <w:pStyle w:val="777"/>
              <w:spacing w:after="0"/>
              <w:rPr>
                <w:rFonts w:ascii="Times New Roman" w:hAnsi="Times New Roman"/>
                <w:b w:val="0"/>
                <w:sz w:val="21"/>
                <w:szCs w:val="21"/>
              </w:rPr>
            </w:pPr>
            <w:r>
              <w:rPr>
                <w:rFonts w:ascii="Times New Roman" w:hAnsi="Times New Roman"/>
                <w:b w:val="0"/>
                <w:sz w:val="21"/>
                <w:szCs w:val="21"/>
              </w:rPr>
              <w:t>猪舍</w:t>
            </w:r>
          </w:p>
        </w:tc>
        <w:tc>
          <w:tcPr>
            <w:tcW w:w="2456" w:type="dxa"/>
            <w:noWrap w:val="0"/>
            <w:vAlign w:val="center"/>
          </w:tcPr>
          <w:p w14:paraId="1C34352F">
            <w:pPr>
              <w:pStyle w:val="777"/>
              <w:spacing w:after="0"/>
              <w:rPr>
                <w:rFonts w:ascii="Times New Roman" w:hAnsi="Times New Roman"/>
                <w:b w:val="0"/>
                <w:sz w:val="21"/>
                <w:szCs w:val="21"/>
              </w:rPr>
            </w:pPr>
            <w:r>
              <w:rPr>
                <w:rFonts w:ascii="Times New Roman" w:hAnsi="Times New Roman"/>
                <w:b w:val="0"/>
                <w:sz w:val="21"/>
                <w:szCs w:val="21"/>
              </w:rPr>
              <w:t>有机物质</w:t>
            </w:r>
          </w:p>
        </w:tc>
      </w:tr>
      <w:tr w14:paraId="60EB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5F98BA2A">
            <w:pPr>
              <w:pStyle w:val="777"/>
              <w:rPr>
                <w:rFonts w:ascii="Times New Roman" w:hAnsi="Times New Roman"/>
                <w:b w:val="0"/>
                <w:sz w:val="21"/>
                <w:szCs w:val="21"/>
              </w:rPr>
            </w:pPr>
          </w:p>
        </w:tc>
        <w:tc>
          <w:tcPr>
            <w:tcW w:w="837" w:type="dxa"/>
            <w:noWrap w:val="0"/>
            <w:vAlign w:val="center"/>
          </w:tcPr>
          <w:p w14:paraId="23967183">
            <w:pPr>
              <w:pStyle w:val="777"/>
              <w:spacing w:after="0"/>
              <w:jc w:val="center"/>
              <w:rPr>
                <w:rFonts w:ascii="Times New Roman" w:hAnsi="Times New Roman"/>
                <w:b w:val="0"/>
                <w:sz w:val="21"/>
                <w:szCs w:val="21"/>
              </w:rPr>
            </w:pPr>
            <w:r>
              <w:rPr>
                <w:rFonts w:ascii="Times New Roman" w:hAnsi="Times New Roman"/>
                <w:b w:val="0"/>
                <w:sz w:val="21"/>
                <w:szCs w:val="21"/>
              </w:rPr>
              <w:t>S2</w:t>
            </w:r>
          </w:p>
        </w:tc>
        <w:tc>
          <w:tcPr>
            <w:tcW w:w="1657" w:type="dxa"/>
            <w:noWrap w:val="0"/>
            <w:vAlign w:val="center"/>
          </w:tcPr>
          <w:p w14:paraId="7B194863">
            <w:pPr>
              <w:pStyle w:val="777"/>
              <w:spacing w:after="0"/>
              <w:rPr>
                <w:rFonts w:ascii="Times New Roman" w:hAnsi="Times New Roman"/>
                <w:b w:val="0"/>
                <w:sz w:val="21"/>
                <w:szCs w:val="21"/>
              </w:rPr>
            </w:pPr>
            <w:r>
              <w:rPr>
                <w:rFonts w:ascii="Times New Roman" w:hAnsi="Times New Roman"/>
                <w:b w:val="0"/>
                <w:sz w:val="21"/>
                <w:szCs w:val="21"/>
              </w:rPr>
              <w:t>饲料残渣</w:t>
            </w:r>
          </w:p>
        </w:tc>
        <w:tc>
          <w:tcPr>
            <w:tcW w:w="2634" w:type="dxa"/>
            <w:noWrap w:val="0"/>
            <w:vAlign w:val="center"/>
          </w:tcPr>
          <w:p w14:paraId="7B9A5203">
            <w:pPr>
              <w:pStyle w:val="777"/>
              <w:spacing w:after="0"/>
              <w:rPr>
                <w:rFonts w:ascii="Times New Roman" w:hAnsi="Times New Roman"/>
                <w:b w:val="0"/>
                <w:sz w:val="21"/>
                <w:szCs w:val="21"/>
              </w:rPr>
            </w:pPr>
            <w:r>
              <w:rPr>
                <w:rFonts w:ascii="Times New Roman" w:hAnsi="Times New Roman"/>
                <w:b w:val="0"/>
                <w:sz w:val="21"/>
                <w:szCs w:val="21"/>
              </w:rPr>
              <w:t>猪舍</w:t>
            </w:r>
          </w:p>
        </w:tc>
        <w:tc>
          <w:tcPr>
            <w:tcW w:w="2456" w:type="dxa"/>
            <w:noWrap w:val="0"/>
            <w:vAlign w:val="center"/>
          </w:tcPr>
          <w:p w14:paraId="51EF1127">
            <w:pPr>
              <w:pStyle w:val="777"/>
              <w:spacing w:after="0"/>
              <w:rPr>
                <w:rFonts w:ascii="Times New Roman" w:hAnsi="Times New Roman"/>
                <w:b w:val="0"/>
                <w:sz w:val="21"/>
                <w:szCs w:val="21"/>
              </w:rPr>
            </w:pPr>
            <w:r>
              <w:rPr>
                <w:rFonts w:ascii="Times New Roman" w:hAnsi="Times New Roman"/>
                <w:b w:val="0"/>
                <w:sz w:val="21"/>
                <w:szCs w:val="21"/>
              </w:rPr>
              <w:t>有机物质</w:t>
            </w:r>
          </w:p>
        </w:tc>
      </w:tr>
      <w:tr w14:paraId="6B0F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52298EAF">
            <w:pPr>
              <w:pStyle w:val="777"/>
              <w:rPr>
                <w:rFonts w:ascii="Times New Roman" w:hAnsi="Times New Roman"/>
                <w:b w:val="0"/>
                <w:sz w:val="21"/>
                <w:szCs w:val="21"/>
              </w:rPr>
            </w:pPr>
          </w:p>
        </w:tc>
        <w:tc>
          <w:tcPr>
            <w:tcW w:w="837" w:type="dxa"/>
            <w:noWrap w:val="0"/>
            <w:vAlign w:val="center"/>
          </w:tcPr>
          <w:p w14:paraId="1336F9EC">
            <w:pPr>
              <w:pStyle w:val="777"/>
              <w:spacing w:after="0"/>
              <w:jc w:val="center"/>
              <w:rPr>
                <w:rFonts w:ascii="Times New Roman" w:hAnsi="Times New Roman"/>
                <w:b w:val="0"/>
                <w:sz w:val="21"/>
                <w:szCs w:val="21"/>
              </w:rPr>
            </w:pPr>
            <w:r>
              <w:rPr>
                <w:rFonts w:ascii="Times New Roman" w:hAnsi="Times New Roman"/>
                <w:b w:val="0"/>
                <w:sz w:val="21"/>
                <w:szCs w:val="21"/>
              </w:rPr>
              <w:t>S3</w:t>
            </w:r>
          </w:p>
        </w:tc>
        <w:tc>
          <w:tcPr>
            <w:tcW w:w="1657" w:type="dxa"/>
            <w:noWrap w:val="0"/>
            <w:vAlign w:val="center"/>
          </w:tcPr>
          <w:p w14:paraId="09839B86">
            <w:pPr>
              <w:pStyle w:val="777"/>
              <w:spacing w:after="0"/>
              <w:rPr>
                <w:rFonts w:ascii="Times New Roman" w:hAnsi="Times New Roman"/>
                <w:b w:val="0"/>
                <w:sz w:val="21"/>
                <w:szCs w:val="21"/>
              </w:rPr>
            </w:pPr>
            <w:r>
              <w:rPr>
                <w:rFonts w:ascii="Times New Roman" w:hAnsi="Times New Roman"/>
                <w:b w:val="0"/>
                <w:sz w:val="21"/>
                <w:szCs w:val="21"/>
              </w:rPr>
              <w:t>病死猪</w:t>
            </w:r>
          </w:p>
        </w:tc>
        <w:tc>
          <w:tcPr>
            <w:tcW w:w="2634" w:type="dxa"/>
            <w:noWrap w:val="0"/>
            <w:vAlign w:val="center"/>
          </w:tcPr>
          <w:p w14:paraId="65953D25">
            <w:pPr>
              <w:pStyle w:val="777"/>
              <w:spacing w:after="0"/>
              <w:rPr>
                <w:rFonts w:ascii="Times New Roman" w:hAnsi="Times New Roman"/>
                <w:b w:val="0"/>
                <w:sz w:val="21"/>
                <w:szCs w:val="21"/>
              </w:rPr>
            </w:pPr>
            <w:r>
              <w:rPr>
                <w:rFonts w:ascii="Times New Roman" w:hAnsi="Times New Roman"/>
                <w:b w:val="0"/>
                <w:sz w:val="21"/>
                <w:szCs w:val="21"/>
              </w:rPr>
              <w:t>猪舍</w:t>
            </w:r>
          </w:p>
        </w:tc>
        <w:tc>
          <w:tcPr>
            <w:tcW w:w="2456" w:type="dxa"/>
            <w:noWrap w:val="0"/>
            <w:vAlign w:val="center"/>
          </w:tcPr>
          <w:p w14:paraId="2ED1EF4B">
            <w:pPr>
              <w:pStyle w:val="777"/>
              <w:spacing w:after="0"/>
              <w:rPr>
                <w:rFonts w:ascii="Times New Roman" w:hAnsi="Times New Roman"/>
                <w:b w:val="0"/>
                <w:sz w:val="21"/>
                <w:szCs w:val="21"/>
              </w:rPr>
            </w:pPr>
            <w:r>
              <w:rPr>
                <w:rFonts w:ascii="Times New Roman" w:hAnsi="Times New Roman"/>
                <w:b w:val="0"/>
                <w:sz w:val="21"/>
                <w:szCs w:val="21"/>
              </w:rPr>
              <w:t>病死猪</w:t>
            </w:r>
          </w:p>
        </w:tc>
      </w:tr>
      <w:tr w14:paraId="3636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133A8D2C">
            <w:pPr>
              <w:pStyle w:val="777"/>
              <w:rPr>
                <w:rFonts w:ascii="Times New Roman" w:hAnsi="Times New Roman"/>
                <w:b w:val="0"/>
                <w:sz w:val="21"/>
                <w:szCs w:val="21"/>
              </w:rPr>
            </w:pPr>
          </w:p>
        </w:tc>
        <w:tc>
          <w:tcPr>
            <w:tcW w:w="837" w:type="dxa"/>
            <w:noWrap w:val="0"/>
            <w:vAlign w:val="center"/>
          </w:tcPr>
          <w:p w14:paraId="50493AFB">
            <w:pPr>
              <w:pStyle w:val="777"/>
              <w:spacing w:after="0"/>
              <w:jc w:val="center"/>
              <w:rPr>
                <w:rFonts w:ascii="Times New Roman" w:hAnsi="Times New Roman"/>
                <w:b w:val="0"/>
                <w:sz w:val="21"/>
                <w:szCs w:val="21"/>
              </w:rPr>
            </w:pPr>
            <w:r>
              <w:rPr>
                <w:rFonts w:ascii="Times New Roman" w:hAnsi="Times New Roman"/>
                <w:b w:val="0"/>
                <w:sz w:val="21"/>
                <w:szCs w:val="21"/>
              </w:rPr>
              <w:t>S4</w:t>
            </w:r>
          </w:p>
        </w:tc>
        <w:tc>
          <w:tcPr>
            <w:tcW w:w="1657" w:type="dxa"/>
            <w:noWrap w:val="0"/>
            <w:vAlign w:val="center"/>
          </w:tcPr>
          <w:p w14:paraId="70954469">
            <w:pPr>
              <w:pStyle w:val="777"/>
              <w:spacing w:after="0"/>
              <w:rPr>
                <w:rFonts w:ascii="Times New Roman" w:hAnsi="Times New Roman"/>
                <w:b w:val="0"/>
                <w:sz w:val="21"/>
                <w:szCs w:val="21"/>
              </w:rPr>
            </w:pPr>
            <w:r>
              <w:rPr>
                <w:rFonts w:ascii="Times New Roman" w:hAnsi="Times New Roman"/>
                <w:b w:val="0"/>
                <w:sz w:val="21"/>
                <w:szCs w:val="21"/>
              </w:rPr>
              <w:t xml:space="preserve">沼渣 </w:t>
            </w:r>
          </w:p>
        </w:tc>
        <w:tc>
          <w:tcPr>
            <w:tcW w:w="2634" w:type="dxa"/>
            <w:noWrap w:val="0"/>
            <w:vAlign w:val="center"/>
          </w:tcPr>
          <w:p w14:paraId="0751BC4A">
            <w:pPr>
              <w:pStyle w:val="777"/>
              <w:spacing w:after="0"/>
              <w:rPr>
                <w:rFonts w:ascii="Times New Roman" w:hAnsi="Times New Roman"/>
                <w:b w:val="0"/>
                <w:sz w:val="21"/>
                <w:szCs w:val="21"/>
              </w:rPr>
            </w:pPr>
            <w:r>
              <w:rPr>
                <w:rFonts w:ascii="Times New Roman" w:hAnsi="Times New Roman"/>
                <w:b w:val="0"/>
                <w:sz w:val="21"/>
                <w:szCs w:val="21"/>
              </w:rPr>
              <w:t>污水处理站</w:t>
            </w:r>
          </w:p>
        </w:tc>
        <w:tc>
          <w:tcPr>
            <w:tcW w:w="2456" w:type="dxa"/>
            <w:noWrap w:val="0"/>
            <w:vAlign w:val="center"/>
          </w:tcPr>
          <w:p w14:paraId="59BBAA1E">
            <w:pPr>
              <w:pStyle w:val="777"/>
              <w:spacing w:after="0"/>
              <w:rPr>
                <w:rFonts w:ascii="Times New Roman" w:hAnsi="Times New Roman"/>
                <w:b w:val="0"/>
                <w:sz w:val="21"/>
                <w:szCs w:val="21"/>
              </w:rPr>
            </w:pPr>
            <w:r>
              <w:rPr>
                <w:rFonts w:ascii="Times New Roman" w:hAnsi="Times New Roman"/>
                <w:b w:val="0"/>
                <w:sz w:val="21"/>
                <w:szCs w:val="21"/>
              </w:rPr>
              <w:t xml:space="preserve">沼渣 </w:t>
            </w:r>
          </w:p>
        </w:tc>
      </w:tr>
      <w:tr w14:paraId="681B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2D1E1630">
            <w:pPr>
              <w:pStyle w:val="777"/>
              <w:rPr>
                <w:rFonts w:ascii="Times New Roman" w:hAnsi="Times New Roman"/>
                <w:b w:val="0"/>
                <w:sz w:val="21"/>
                <w:szCs w:val="21"/>
              </w:rPr>
            </w:pPr>
          </w:p>
        </w:tc>
        <w:tc>
          <w:tcPr>
            <w:tcW w:w="837" w:type="dxa"/>
            <w:noWrap w:val="0"/>
            <w:vAlign w:val="center"/>
          </w:tcPr>
          <w:p w14:paraId="1F5C1496">
            <w:pPr>
              <w:pStyle w:val="777"/>
              <w:spacing w:after="0"/>
              <w:jc w:val="center"/>
              <w:rPr>
                <w:rFonts w:ascii="Times New Roman" w:hAnsi="Times New Roman"/>
                <w:b w:val="0"/>
                <w:sz w:val="21"/>
                <w:szCs w:val="21"/>
              </w:rPr>
            </w:pPr>
            <w:r>
              <w:rPr>
                <w:rFonts w:ascii="Times New Roman" w:hAnsi="Times New Roman"/>
                <w:b w:val="0"/>
                <w:sz w:val="21"/>
                <w:szCs w:val="21"/>
              </w:rPr>
              <w:t>S5</w:t>
            </w:r>
          </w:p>
        </w:tc>
        <w:tc>
          <w:tcPr>
            <w:tcW w:w="1657" w:type="dxa"/>
            <w:noWrap w:val="0"/>
            <w:vAlign w:val="center"/>
          </w:tcPr>
          <w:p w14:paraId="468BE239">
            <w:pPr>
              <w:pStyle w:val="777"/>
              <w:spacing w:after="0"/>
              <w:rPr>
                <w:rFonts w:ascii="Times New Roman" w:hAnsi="Times New Roman"/>
                <w:b w:val="0"/>
                <w:sz w:val="21"/>
                <w:szCs w:val="21"/>
              </w:rPr>
            </w:pPr>
            <w:r>
              <w:rPr>
                <w:rFonts w:ascii="Times New Roman" w:hAnsi="Times New Roman"/>
                <w:b w:val="0"/>
                <w:sz w:val="21"/>
                <w:szCs w:val="21"/>
              </w:rPr>
              <w:t>废弃包装材料</w:t>
            </w:r>
          </w:p>
        </w:tc>
        <w:tc>
          <w:tcPr>
            <w:tcW w:w="2634" w:type="dxa"/>
            <w:noWrap w:val="0"/>
            <w:vAlign w:val="center"/>
          </w:tcPr>
          <w:p w14:paraId="2B98AA4B">
            <w:pPr>
              <w:pStyle w:val="777"/>
              <w:spacing w:after="0"/>
              <w:rPr>
                <w:rFonts w:ascii="Times New Roman" w:hAnsi="Times New Roman"/>
                <w:b w:val="0"/>
                <w:sz w:val="21"/>
                <w:szCs w:val="21"/>
              </w:rPr>
            </w:pPr>
            <w:r>
              <w:rPr>
                <w:rFonts w:ascii="Times New Roman" w:hAnsi="Times New Roman"/>
                <w:b w:val="0"/>
                <w:sz w:val="21"/>
                <w:szCs w:val="21"/>
              </w:rPr>
              <w:t>库房</w:t>
            </w:r>
          </w:p>
        </w:tc>
        <w:tc>
          <w:tcPr>
            <w:tcW w:w="2456" w:type="dxa"/>
            <w:noWrap w:val="0"/>
            <w:vAlign w:val="center"/>
          </w:tcPr>
          <w:p w14:paraId="5C9140E7">
            <w:pPr>
              <w:pStyle w:val="777"/>
              <w:spacing w:after="0"/>
              <w:rPr>
                <w:rFonts w:ascii="Times New Roman" w:hAnsi="Times New Roman"/>
                <w:b w:val="0"/>
                <w:sz w:val="21"/>
                <w:szCs w:val="21"/>
              </w:rPr>
            </w:pPr>
            <w:r>
              <w:rPr>
                <w:rFonts w:ascii="Times New Roman" w:hAnsi="Times New Roman"/>
                <w:b w:val="0"/>
                <w:sz w:val="21"/>
                <w:szCs w:val="21"/>
              </w:rPr>
              <w:t>废塑料袋、废纸箱等</w:t>
            </w:r>
          </w:p>
        </w:tc>
      </w:tr>
      <w:tr w14:paraId="129D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71B53C1E">
            <w:pPr>
              <w:pStyle w:val="777"/>
              <w:rPr>
                <w:rFonts w:ascii="Times New Roman" w:hAnsi="Times New Roman"/>
                <w:b w:val="0"/>
                <w:sz w:val="21"/>
                <w:szCs w:val="21"/>
              </w:rPr>
            </w:pPr>
          </w:p>
        </w:tc>
        <w:tc>
          <w:tcPr>
            <w:tcW w:w="837" w:type="dxa"/>
            <w:noWrap w:val="0"/>
            <w:vAlign w:val="center"/>
          </w:tcPr>
          <w:p w14:paraId="3ECE1EED">
            <w:pPr>
              <w:pStyle w:val="777"/>
              <w:spacing w:after="0"/>
              <w:jc w:val="center"/>
              <w:rPr>
                <w:rFonts w:ascii="Times New Roman" w:hAnsi="Times New Roman"/>
                <w:b w:val="0"/>
                <w:sz w:val="21"/>
                <w:szCs w:val="21"/>
              </w:rPr>
            </w:pPr>
            <w:r>
              <w:rPr>
                <w:rFonts w:ascii="Times New Roman" w:hAnsi="Times New Roman"/>
                <w:b w:val="0"/>
                <w:sz w:val="21"/>
                <w:szCs w:val="21"/>
              </w:rPr>
              <w:t>S6</w:t>
            </w:r>
          </w:p>
        </w:tc>
        <w:tc>
          <w:tcPr>
            <w:tcW w:w="1657" w:type="dxa"/>
            <w:noWrap w:val="0"/>
            <w:vAlign w:val="center"/>
          </w:tcPr>
          <w:p w14:paraId="53CC9DBF">
            <w:pPr>
              <w:pStyle w:val="777"/>
              <w:spacing w:after="0"/>
              <w:rPr>
                <w:rFonts w:ascii="Times New Roman" w:hAnsi="Times New Roman"/>
                <w:b w:val="0"/>
                <w:sz w:val="21"/>
                <w:szCs w:val="21"/>
              </w:rPr>
            </w:pPr>
            <w:r>
              <w:rPr>
                <w:rFonts w:ascii="Times New Roman" w:hAnsi="Times New Roman"/>
                <w:b w:val="0"/>
                <w:sz w:val="21"/>
                <w:szCs w:val="21"/>
              </w:rPr>
              <w:t>废脱硫剂</w:t>
            </w:r>
          </w:p>
        </w:tc>
        <w:tc>
          <w:tcPr>
            <w:tcW w:w="2634" w:type="dxa"/>
            <w:noWrap w:val="0"/>
            <w:vAlign w:val="center"/>
          </w:tcPr>
          <w:p w14:paraId="1B75818B">
            <w:pPr>
              <w:pStyle w:val="777"/>
              <w:spacing w:after="0"/>
              <w:rPr>
                <w:rFonts w:ascii="Times New Roman" w:hAnsi="Times New Roman"/>
                <w:b w:val="0"/>
                <w:sz w:val="21"/>
                <w:szCs w:val="21"/>
              </w:rPr>
            </w:pPr>
            <w:r>
              <w:rPr>
                <w:rFonts w:ascii="Times New Roman" w:hAnsi="Times New Roman"/>
                <w:b w:val="0"/>
                <w:sz w:val="21"/>
                <w:szCs w:val="21"/>
              </w:rPr>
              <w:t>沼气系统脱硫器</w:t>
            </w:r>
          </w:p>
        </w:tc>
        <w:tc>
          <w:tcPr>
            <w:tcW w:w="2456" w:type="dxa"/>
            <w:noWrap w:val="0"/>
            <w:vAlign w:val="center"/>
          </w:tcPr>
          <w:p w14:paraId="692657F4">
            <w:pPr>
              <w:pStyle w:val="777"/>
              <w:spacing w:after="0"/>
              <w:rPr>
                <w:rFonts w:ascii="Times New Roman" w:hAnsi="Times New Roman"/>
                <w:b w:val="0"/>
                <w:sz w:val="21"/>
                <w:szCs w:val="21"/>
              </w:rPr>
            </w:pPr>
            <w:r>
              <w:rPr>
                <w:rFonts w:ascii="Times New Roman" w:hAnsi="Times New Roman"/>
                <w:b w:val="0"/>
                <w:sz w:val="21"/>
                <w:szCs w:val="21"/>
              </w:rPr>
              <w:t>氧化铁</w:t>
            </w:r>
          </w:p>
        </w:tc>
      </w:tr>
      <w:tr w14:paraId="5ABF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676370EE">
            <w:pPr>
              <w:pStyle w:val="777"/>
              <w:rPr>
                <w:rFonts w:ascii="Times New Roman" w:hAnsi="Times New Roman"/>
                <w:b w:val="0"/>
                <w:sz w:val="21"/>
                <w:szCs w:val="21"/>
              </w:rPr>
            </w:pPr>
          </w:p>
        </w:tc>
        <w:tc>
          <w:tcPr>
            <w:tcW w:w="837" w:type="dxa"/>
            <w:noWrap w:val="0"/>
            <w:vAlign w:val="center"/>
          </w:tcPr>
          <w:p w14:paraId="706DA776">
            <w:pPr>
              <w:pStyle w:val="777"/>
              <w:spacing w:after="0"/>
              <w:jc w:val="center"/>
              <w:rPr>
                <w:rFonts w:ascii="Times New Roman" w:hAnsi="Times New Roman"/>
                <w:b w:val="0"/>
                <w:sz w:val="21"/>
                <w:szCs w:val="21"/>
              </w:rPr>
            </w:pPr>
            <w:r>
              <w:rPr>
                <w:rFonts w:ascii="Times New Roman" w:hAnsi="Times New Roman"/>
                <w:b w:val="0"/>
                <w:sz w:val="21"/>
                <w:szCs w:val="21"/>
              </w:rPr>
              <w:t>S7</w:t>
            </w:r>
          </w:p>
        </w:tc>
        <w:tc>
          <w:tcPr>
            <w:tcW w:w="1657" w:type="dxa"/>
            <w:noWrap w:val="0"/>
            <w:vAlign w:val="center"/>
          </w:tcPr>
          <w:p w14:paraId="42FD5E6E">
            <w:pPr>
              <w:pStyle w:val="777"/>
              <w:spacing w:after="0"/>
              <w:rPr>
                <w:rFonts w:ascii="Times New Roman" w:hAnsi="Times New Roman"/>
                <w:b w:val="0"/>
                <w:sz w:val="21"/>
                <w:szCs w:val="21"/>
              </w:rPr>
            </w:pPr>
            <w:r>
              <w:rPr>
                <w:rFonts w:ascii="Times New Roman" w:hAnsi="Times New Roman"/>
                <w:b w:val="0"/>
                <w:sz w:val="21"/>
                <w:szCs w:val="21"/>
              </w:rPr>
              <w:t>医疗废物</w:t>
            </w:r>
          </w:p>
        </w:tc>
        <w:tc>
          <w:tcPr>
            <w:tcW w:w="2634" w:type="dxa"/>
            <w:noWrap w:val="0"/>
            <w:vAlign w:val="center"/>
          </w:tcPr>
          <w:p w14:paraId="06F237FB">
            <w:pPr>
              <w:pStyle w:val="777"/>
              <w:spacing w:after="0"/>
              <w:rPr>
                <w:rFonts w:ascii="Times New Roman" w:hAnsi="Times New Roman"/>
                <w:b w:val="0"/>
                <w:sz w:val="21"/>
                <w:szCs w:val="21"/>
              </w:rPr>
            </w:pPr>
            <w:r>
              <w:rPr>
                <w:rFonts w:ascii="Times New Roman" w:hAnsi="Times New Roman"/>
                <w:b w:val="0"/>
                <w:sz w:val="21"/>
                <w:szCs w:val="21"/>
              </w:rPr>
              <w:t>疫病防治</w:t>
            </w:r>
          </w:p>
        </w:tc>
        <w:tc>
          <w:tcPr>
            <w:tcW w:w="2456" w:type="dxa"/>
            <w:noWrap w:val="0"/>
            <w:vAlign w:val="center"/>
          </w:tcPr>
          <w:p w14:paraId="5951D1C3">
            <w:pPr>
              <w:pStyle w:val="777"/>
              <w:spacing w:after="0"/>
              <w:rPr>
                <w:rFonts w:ascii="Times New Roman" w:hAnsi="Times New Roman"/>
                <w:b w:val="0"/>
                <w:sz w:val="21"/>
                <w:szCs w:val="21"/>
              </w:rPr>
            </w:pPr>
            <w:r>
              <w:rPr>
                <w:rFonts w:ascii="Times New Roman" w:hAnsi="Times New Roman"/>
                <w:b w:val="0"/>
                <w:sz w:val="21"/>
                <w:szCs w:val="21"/>
              </w:rPr>
              <w:t>医疗废物</w:t>
            </w:r>
          </w:p>
        </w:tc>
      </w:tr>
      <w:tr w14:paraId="12BA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03CA1D35">
            <w:pPr>
              <w:pStyle w:val="777"/>
              <w:rPr>
                <w:rFonts w:ascii="Times New Roman" w:hAnsi="Times New Roman"/>
                <w:b w:val="0"/>
                <w:sz w:val="21"/>
                <w:szCs w:val="21"/>
              </w:rPr>
            </w:pPr>
          </w:p>
        </w:tc>
        <w:tc>
          <w:tcPr>
            <w:tcW w:w="837" w:type="dxa"/>
            <w:noWrap w:val="0"/>
            <w:vAlign w:val="center"/>
          </w:tcPr>
          <w:p w14:paraId="01B9813A">
            <w:pPr>
              <w:pStyle w:val="777"/>
              <w:spacing w:after="0"/>
              <w:jc w:val="center"/>
              <w:rPr>
                <w:rFonts w:ascii="Times New Roman" w:hAnsi="Times New Roman"/>
                <w:b w:val="0"/>
                <w:sz w:val="21"/>
                <w:szCs w:val="21"/>
              </w:rPr>
            </w:pPr>
            <w:r>
              <w:rPr>
                <w:rFonts w:ascii="Times New Roman" w:hAnsi="Times New Roman"/>
                <w:b w:val="0"/>
                <w:sz w:val="21"/>
                <w:szCs w:val="21"/>
              </w:rPr>
              <w:t>S8</w:t>
            </w:r>
          </w:p>
        </w:tc>
        <w:tc>
          <w:tcPr>
            <w:tcW w:w="1657" w:type="dxa"/>
            <w:noWrap w:val="0"/>
            <w:vAlign w:val="center"/>
          </w:tcPr>
          <w:p w14:paraId="737A1236">
            <w:pPr>
              <w:pStyle w:val="777"/>
              <w:spacing w:after="0"/>
              <w:rPr>
                <w:rFonts w:ascii="Times New Roman" w:hAnsi="Times New Roman"/>
                <w:b w:val="0"/>
                <w:sz w:val="21"/>
                <w:szCs w:val="21"/>
              </w:rPr>
            </w:pPr>
            <w:r>
              <w:rPr>
                <w:rFonts w:ascii="Times New Roman" w:hAnsi="Times New Roman"/>
                <w:b w:val="0"/>
                <w:sz w:val="21"/>
                <w:szCs w:val="21"/>
              </w:rPr>
              <w:t>职工生活垃圾、厨余垃圾</w:t>
            </w:r>
          </w:p>
        </w:tc>
        <w:tc>
          <w:tcPr>
            <w:tcW w:w="2634" w:type="dxa"/>
            <w:noWrap w:val="0"/>
            <w:vAlign w:val="center"/>
          </w:tcPr>
          <w:p w14:paraId="2ECEA81C">
            <w:pPr>
              <w:pStyle w:val="777"/>
              <w:spacing w:after="0"/>
              <w:rPr>
                <w:rFonts w:ascii="Times New Roman" w:hAnsi="Times New Roman"/>
                <w:b w:val="0"/>
                <w:sz w:val="21"/>
                <w:szCs w:val="21"/>
              </w:rPr>
            </w:pPr>
            <w:r>
              <w:rPr>
                <w:rFonts w:ascii="Times New Roman" w:hAnsi="Times New Roman"/>
                <w:b w:val="0"/>
                <w:sz w:val="21"/>
                <w:szCs w:val="21"/>
              </w:rPr>
              <w:t>办公区、生活区、食堂</w:t>
            </w:r>
          </w:p>
        </w:tc>
        <w:tc>
          <w:tcPr>
            <w:tcW w:w="2456" w:type="dxa"/>
            <w:noWrap w:val="0"/>
            <w:vAlign w:val="center"/>
          </w:tcPr>
          <w:p w14:paraId="6E76D487">
            <w:pPr>
              <w:pStyle w:val="777"/>
              <w:spacing w:after="0"/>
              <w:rPr>
                <w:rFonts w:ascii="Times New Roman" w:hAnsi="Times New Roman"/>
                <w:b w:val="0"/>
                <w:sz w:val="21"/>
                <w:szCs w:val="21"/>
              </w:rPr>
            </w:pPr>
            <w:r>
              <w:rPr>
                <w:rFonts w:ascii="Times New Roman" w:hAnsi="Times New Roman"/>
                <w:b w:val="0"/>
                <w:sz w:val="21"/>
                <w:szCs w:val="21"/>
              </w:rPr>
              <w:t>生活垃圾、办公垃圾等</w:t>
            </w:r>
          </w:p>
        </w:tc>
      </w:tr>
    </w:tbl>
    <w:p w14:paraId="1EA6051F">
      <w:pPr>
        <w:spacing w:line="360" w:lineRule="auto"/>
        <w:ind w:firstLine="480" w:firstLineChars="200"/>
        <w:rPr>
          <w:sz w:val="24"/>
        </w:rPr>
      </w:pPr>
    </w:p>
    <w:p w14:paraId="0BE2E8B8">
      <w:pPr>
        <w:pStyle w:val="7"/>
        <w:spacing w:before="0" w:after="0" w:line="360" w:lineRule="auto"/>
        <w:rPr>
          <w:rFonts w:ascii="Times New Roman" w:hAnsi="Times New Roman"/>
          <w:sz w:val="28"/>
          <w:szCs w:val="28"/>
        </w:rPr>
      </w:pPr>
      <w:bookmarkStart w:id="69" w:name="_Toc338163093"/>
      <w:bookmarkStart w:id="70" w:name="_Toc327867690"/>
      <w:r>
        <w:rPr>
          <w:rFonts w:ascii="Times New Roman" w:hAnsi="Times New Roman"/>
          <w:sz w:val="28"/>
          <w:szCs w:val="28"/>
        </w:rPr>
        <w:t>3.1.7厂区总平面布置</w:t>
      </w:r>
      <w:bookmarkEnd w:id="69"/>
      <w:bookmarkEnd w:id="70"/>
    </w:p>
    <w:p w14:paraId="33109212">
      <w:pPr>
        <w:tabs>
          <w:tab w:val="left" w:pos="720"/>
          <w:tab w:val="left" w:pos="1467"/>
        </w:tabs>
        <w:spacing w:line="360" w:lineRule="auto"/>
        <w:ind w:firstLine="480" w:firstLineChars="200"/>
        <w:rPr>
          <w:sz w:val="24"/>
        </w:rPr>
      </w:pPr>
      <w:r>
        <w:rPr>
          <w:sz w:val="24"/>
        </w:rPr>
        <w:t>本项目建设用地分为两个地块，5个养殖场地，其中：地块一占地面积36026.3m</w:t>
      </w:r>
      <w:r>
        <w:rPr>
          <w:sz w:val="24"/>
          <w:vertAlign w:val="superscript"/>
        </w:rPr>
        <w:t>2</w:t>
      </w:r>
      <w:r>
        <w:rPr>
          <w:sz w:val="24"/>
        </w:rPr>
        <w:t>（54.04亩），位于法块村，分为3个养殖场地；地块二占地面积41592.92m</w:t>
      </w:r>
      <w:r>
        <w:rPr>
          <w:sz w:val="24"/>
          <w:vertAlign w:val="superscript"/>
        </w:rPr>
        <w:t>2</w:t>
      </w:r>
      <w:r>
        <w:rPr>
          <w:sz w:val="24"/>
        </w:rPr>
        <w:t>（62.39亩），位于普拉河上寨村，分为2个养殖场地：</w:t>
      </w:r>
    </w:p>
    <w:p w14:paraId="21A29E45">
      <w:pPr>
        <w:tabs>
          <w:tab w:val="left" w:pos="720"/>
          <w:tab w:val="left" w:pos="1467"/>
        </w:tabs>
        <w:spacing w:line="360" w:lineRule="auto"/>
        <w:ind w:firstLine="482" w:firstLineChars="200"/>
        <w:rPr>
          <w:b/>
          <w:bCs/>
          <w:sz w:val="24"/>
        </w:rPr>
      </w:pPr>
      <w:r>
        <w:rPr>
          <w:b/>
          <w:bCs/>
          <w:sz w:val="24"/>
        </w:rPr>
        <w:t>3.1.7.1地块一平面布置</w:t>
      </w:r>
    </w:p>
    <w:p w14:paraId="16120110">
      <w:pPr>
        <w:tabs>
          <w:tab w:val="left" w:pos="720"/>
          <w:tab w:val="left" w:pos="1467"/>
        </w:tabs>
        <w:spacing w:line="360" w:lineRule="auto"/>
        <w:ind w:firstLine="480" w:firstLineChars="200"/>
        <w:rPr>
          <w:kern w:val="0"/>
          <w:szCs w:val="21"/>
          <w:lang w:bidi="ar"/>
        </w:rPr>
      </w:pPr>
      <w:r>
        <w:rPr>
          <w:sz w:val="24"/>
        </w:rPr>
        <w:t>项目地块一分为3个养殖场地，分别为</w:t>
      </w:r>
      <w:r>
        <w:rPr>
          <w:kern w:val="0"/>
          <w:szCs w:val="21"/>
          <w:lang w:bidi="ar"/>
        </w:rPr>
        <w:t>鑫旺板块、大河边板块、盛丰通风井位置；</w:t>
      </w:r>
    </w:p>
    <w:p w14:paraId="647593A5">
      <w:pPr>
        <w:tabs>
          <w:tab w:val="left" w:pos="720"/>
          <w:tab w:val="left" w:pos="1467"/>
        </w:tabs>
        <w:spacing w:line="360" w:lineRule="auto"/>
        <w:ind w:firstLine="480" w:firstLineChars="200"/>
        <w:rPr>
          <w:kern w:val="0"/>
          <w:sz w:val="24"/>
          <w:lang w:bidi="ar"/>
        </w:rPr>
      </w:pPr>
      <w:r>
        <w:rPr>
          <w:kern w:val="0"/>
          <w:sz w:val="24"/>
          <w:lang w:bidi="ar"/>
        </w:rPr>
        <w:t>（1）鑫旺板块</w:t>
      </w:r>
    </w:p>
    <w:p w14:paraId="3AB55A86">
      <w:pPr>
        <w:tabs>
          <w:tab w:val="left" w:pos="720"/>
          <w:tab w:val="left" w:pos="1467"/>
        </w:tabs>
        <w:spacing w:line="360" w:lineRule="auto"/>
        <w:ind w:firstLine="480" w:firstLineChars="200"/>
        <w:rPr>
          <w:sz w:val="24"/>
        </w:rPr>
      </w:pPr>
      <w:r>
        <w:rPr>
          <w:kern w:val="0"/>
          <w:sz w:val="24"/>
          <w:lang w:bidi="ar"/>
        </w:rPr>
        <w:t>鑫旺板块位于大河边板块南侧250m，</w:t>
      </w:r>
      <w:r>
        <w:rPr>
          <w:sz w:val="24"/>
        </w:rPr>
        <w:t>整体呈东西走向，为不规则形状，出入口位于场地东北侧与乡村道路相连。场地办公生活区位于入口东侧，便于人员出入及管理。猪舍位于场地西部和中部，污水处理设施及固粪堆肥发酵场位于场地北侧。整个场地地势南高北低，污水处理系统地势较低，便于场地的废水收集处理。生活区位于常年主导风向侧风向，减小了内部的相互影响，病死猪无害化处理间位于项目最北侧，与养殖区分开。项目区周围有山体遮挡，环境安静，且远离村庄及乡村主道路，有效阻隔了疫病的传播。生活区与养殖区设有隔离栏，总体平面布置基本合理。</w:t>
      </w:r>
    </w:p>
    <w:p w14:paraId="39DEC15C">
      <w:pPr>
        <w:tabs>
          <w:tab w:val="left" w:pos="720"/>
          <w:tab w:val="left" w:pos="1467"/>
        </w:tabs>
        <w:spacing w:line="360" w:lineRule="auto"/>
        <w:ind w:firstLine="480" w:firstLineChars="200"/>
        <w:rPr>
          <w:sz w:val="24"/>
        </w:rPr>
      </w:pPr>
      <w:r>
        <w:rPr>
          <w:sz w:val="24"/>
        </w:rPr>
        <w:t>（2）大河边板块平面布置</w:t>
      </w:r>
    </w:p>
    <w:p w14:paraId="24B900B6">
      <w:pPr>
        <w:tabs>
          <w:tab w:val="left" w:pos="720"/>
          <w:tab w:val="left" w:pos="1467"/>
        </w:tabs>
        <w:spacing w:line="360" w:lineRule="auto"/>
        <w:ind w:firstLine="480" w:firstLineChars="200"/>
        <w:rPr>
          <w:sz w:val="24"/>
        </w:rPr>
      </w:pPr>
      <w:r>
        <w:rPr>
          <w:sz w:val="24"/>
        </w:rPr>
        <w:t>大河边</w:t>
      </w:r>
      <w:r>
        <w:rPr>
          <w:kern w:val="0"/>
          <w:szCs w:val="21"/>
          <w:lang w:bidi="ar"/>
        </w:rPr>
        <w:t>板块位于法块村西南侧350m处，</w:t>
      </w:r>
      <w:r>
        <w:rPr>
          <w:sz w:val="24"/>
        </w:rPr>
        <w:t>整体呈南北走向布置，为不规则形状，出入口位于场地东侧与乡村道路相连。场地办公生活区位于整个场地东侧，便于人员出入及管理。猪舍位于场地西部由南向北布置，污水处理设施及固粪堆肥发酵场位于场地最北侧。整个场地地势南高北低，污水处理系统地势较低，便于场地的废水收集处理。生活区位于常年主导风向侧风向，减小了内部的相互影响。场地与法块村之间有高大山体遮挡，总体平面布置基本合理。</w:t>
      </w:r>
    </w:p>
    <w:p w14:paraId="573C0F86">
      <w:pPr>
        <w:tabs>
          <w:tab w:val="left" w:pos="720"/>
          <w:tab w:val="left" w:pos="1467"/>
        </w:tabs>
        <w:spacing w:line="360" w:lineRule="auto"/>
        <w:ind w:firstLine="480" w:firstLineChars="200"/>
        <w:rPr>
          <w:sz w:val="24"/>
        </w:rPr>
      </w:pPr>
      <w:r>
        <w:rPr>
          <w:sz w:val="24"/>
        </w:rPr>
        <w:t>（3）</w:t>
      </w:r>
      <w:r>
        <w:rPr>
          <w:kern w:val="0"/>
          <w:sz w:val="24"/>
          <w:lang w:bidi="ar"/>
        </w:rPr>
        <w:t>盛丰通风井位置</w:t>
      </w:r>
      <w:r>
        <w:rPr>
          <w:sz w:val="24"/>
        </w:rPr>
        <w:t>平面布置</w:t>
      </w:r>
    </w:p>
    <w:p w14:paraId="01E27604">
      <w:pPr>
        <w:snapToGrid w:val="0"/>
        <w:spacing w:line="360" w:lineRule="auto"/>
        <w:ind w:firstLine="480"/>
        <w:rPr>
          <w:sz w:val="24"/>
        </w:rPr>
      </w:pPr>
      <w:r>
        <w:rPr>
          <w:sz w:val="24"/>
        </w:rPr>
        <w:t>大河边</w:t>
      </w:r>
      <w:r>
        <w:rPr>
          <w:kern w:val="0"/>
          <w:sz w:val="24"/>
          <w:lang w:bidi="ar"/>
        </w:rPr>
        <w:t>板块位于法块村东侧360m处，</w:t>
      </w:r>
      <w:r>
        <w:rPr>
          <w:sz w:val="24"/>
        </w:rPr>
        <w:t>整体呈南北走向布置，为不规则形状，出入口位于场地西侧与乡村道路相连。场地办公生活区位于整个场地西侧，便于人员出入及管理。猪舍位于场地南部由南向北布置，污水处理设施及固粪堆肥发酵场位于猪舍西侧。整个场地地势西南高东北低，污水处理系统地势较低，便于场地的废水收集处理。生活区位于常年主导风向上风向，减小了内部的相互影响。场地与法块村之间有高大山体遮挡，总体平面布置基本合理。</w:t>
      </w:r>
    </w:p>
    <w:p w14:paraId="001EEA00">
      <w:pPr>
        <w:tabs>
          <w:tab w:val="left" w:pos="720"/>
          <w:tab w:val="left" w:pos="1467"/>
        </w:tabs>
        <w:spacing w:line="360" w:lineRule="auto"/>
        <w:ind w:firstLine="482" w:firstLineChars="200"/>
        <w:rPr>
          <w:b/>
          <w:bCs/>
          <w:sz w:val="24"/>
        </w:rPr>
      </w:pPr>
      <w:r>
        <w:rPr>
          <w:b/>
          <w:bCs/>
          <w:sz w:val="24"/>
        </w:rPr>
        <w:t>3.1.7.1地块二平面布置</w:t>
      </w:r>
    </w:p>
    <w:p w14:paraId="60621A12">
      <w:pPr>
        <w:snapToGrid w:val="0"/>
        <w:spacing w:line="360" w:lineRule="auto"/>
        <w:ind w:firstLine="480"/>
        <w:rPr>
          <w:sz w:val="24"/>
        </w:rPr>
      </w:pPr>
      <w:r>
        <w:rPr>
          <w:sz w:val="24"/>
        </w:rPr>
        <w:t>项目地块二分为2个养殖场地，分别为盛丰焦化楼及篮球场地块、老井位置，均位于普拉河上寨，两个养殖场地距离约100m，呈西南东北向布置；盛丰焦化楼及篮球场地块呈南北高、西南低地势，在南侧及北侧分别布置猪舍，西南侧布置污水处理设施，方便污水自流进入污水处理系统，西北侧布置猪粪发酵堆场，老井位置位置北高南地，呈北南向布置，猪舍整体位于北侧，在南侧布置污水处理设施及猪粪发酵堆场；两个养殖地块距离较近，共同布置1个生活办公区，位于盛丰焦化楼及篮球场地块北侧，利用原有建筑，不新建。生活区位于常年主导风向上风向，侧风向，与养殖区分离，总体平面布置基本合理。</w:t>
      </w:r>
    </w:p>
    <w:p w14:paraId="6128758C">
      <w:pPr>
        <w:pStyle w:val="7"/>
        <w:spacing w:before="0" w:after="0" w:line="360" w:lineRule="auto"/>
        <w:rPr>
          <w:rFonts w:ascii="Times New Roman" w:hAnsi="Times New Roman"/>
          <w:sz w:val="28"/>
          <w:szCs w:val="28"/>
        </w:rPr>
      </w:pPr>
      <w:r>
        <w:rPr>
          <w:rFonts w:ascii="Times New Roman" w:hAnsi="Times New Roman"/>
          <w:sz w:val="28"/>
          <w:szCs w:val="28"/>
        </w:rPr>
        <w:t>3.1.9 项目劳动定员及工作制度</w:t>
      </w:r>
    </w:p>
    <w:p w14:paraId="32E2C7C9">
      <w:pPr>
        <w:snapToGrid w:val="0"/>
        <w:spacing w:line="360" w:lineRule="auto"/>
        <w:ind w:firstLine="480" w:firstLineChars="200"/>
        <w:rPr>
          <w:sz w:val="24"/>
        </w:rPr>
      </w:pPr>
      <w:r>
        <w:rPr>
          <w:sz w:val="24"/>
        </w:rPr>
        <w:t>项目共配备员工3</w:t>
      </w:r>
      <w:r>
        <w:rPr>
          <w:rFonts w:hint="eastAsia"/>
          <w:sz w:val="24"/>
        </w:rPr>
        <w:t>6</w:t>
      </w:r>
      <w:r>
        <w:rPr>
          <w:sz w:val="24"/>
        </w:rPr>
        <w:t>人，均在场区食宿。实行8h工作制，全年工作日365d。</w:t>
      </w:r>
    </w:p>
    <w:p w14:paraId="1FBE2461">
      <w:pPr>
        <w:pStyle w:val="7"/>
        <w:spacing w:before="0" w:after="0" w:line="360" w:lineRule="auto"/>
        <w:rPr>
          <w:rFonts w:ascii="Times New Roman" w:hAnsi="Times New Roman"/>
          <w:sz w:val="28"/>
          <w:szCs w:val="28"/>
        </w:rPr>
      </w:pPr>
      <w:r>
        <w:rPr>
          <w:rFonts w:ascii="Times New Roman" w:hAnsi="Times New Roman"/>
          <w:sz w:val="28"/>
          <w:szCs w:val="28"/>
        </w:rPr>
        <w:t>3.1.10 项目建设周期</w:t>
      </w:r>
    </w:p>
    <w:p w14:paraId="4C19B486">
      <w:pPr>
        <w:snapToGrid w:val="0"/>
        <w:spacing w:line="360" w:lineRule="auto"/>
        <w:ind w:firstLine="480" w:firstLineChars="200"/>
        <w:rPr>
          <w:bCs/>
          <w:sz w:val="24"/>
        </w:rPr>
      </w:pPr>
      <w:r>
        <w:rPr>
          <w:bCs/>
          <w:sz w:val="24"/>
        </w:rPr>
        <w:t>项目工程建设工期为2022年1月～2022年5月，总施工期为5个月，项目预计于2022年6月投产使用。</w:t>
      </w:r>
    </w:p>
    <w:p w14:paraId="53CA8D8C">
      <w:pPr>
        <w:shd w:val="clear" w:color="auto" w:fill="FFFFFF"/>
        <w:ind w:firstLine="422"/>
        <w:jc w:val="center"/>
        <w:rPr>
          <w:b/>
          <w:szCs w:val="21"/>
        </w:rPr>
      </w:pPr>
      <w:r>
        <w:rPr>
          <w:b/>
          <w:szCs w:val="21"/>
        </w:rPr>
        <w:t>表3.1-9项目实施进度表</w:t>
      </w:r>
    </w:p>
    <w:tbl>
      <w:tblPr>
        <w:tblStyle w:val="8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9"/>
        <w:gridCol w:w="1346"/>
        <w:gridCol w:w="1225"/>
        <w:gridCol w:w="1240"/>
        <w:gridCol w:w="1085"/>
        <w:gridCol w:w="1011"/>
      </w:tblGrid>
      <w:tr w14:paraId="4E20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36" w:type="pct"/>
            <w:vMerge w:val="restart"/>
            <w:noWrap w:val="0"/>
            <w:vAlign w:val="center"/>
          </w:tcPr>
          <w:p w14:paraId="19E0724B">
            <w:pPr>
              <w:adjustRightInd w:val="0"/>
              <w:snapToGrid w:val="0"/>
              <w:jc w:val="right"/>
              <w:rPr>
                <w:szCs w:val="21"/>
              </w:rPr>
            </w:pPr>
            <w:r>
              <w:rPr>
                <w:szCs w:val="21"/>
              </w:rPr>
              <w:t>时间年月</w:t>
            </w:r>
          </w:p>
          <w:p w14:paraId="0156B277">
            <w:pPr>
              <w:adjustRightInd w:val="0"/>
              <w:snapToGrid w:val="0"/>
              <w:rPr>
                <w:szCs w:val="21"/>
              </w:rPr>
            </w:pPr>
            <w:r>
              <w:rPr>
                <w:szCs w:val="21"/>
              </w:rPr>
              <w:t>工作内容</w:t>
            </w:r>
          </w:p>
        </w:tc>
        <w:tc>
          <w:tcPr>
            <w:tcW w:w="3463" w:type="pct"/>
            <w:gridSpan w:val="5"/>
            <w:noWrap w:val="0"/>
            <w:vAlign w:val="center"/>
          </w:tcPr>
          <w:p w14:paraId="73E39BBA">
            <w:pPr>
              <w:adjustRightInd w:val="0"/>
              <w:snapToGrid w:val="0"/>
              <w:jc w:val="center"/>
              <w:rPr>
                <w:szCs w:val="21"/>
              </w:rPr>
            </w:pPr>
            <w:r>
              <w:rPr>
                <w:bCs/>
                <w:szCs w:val="21"/>
              </w:rPr>
              <w:t>2022年1月～2022年5月</w:t>
            </w:r>
          </w:p>
        </w:tc>
      </w:tr>
      <w:tr w14:paraId="70F0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536" w:type="pct"/>
            <w:vMerge w:val="continue"/>
            <w:noWrap w:val="0"/>
            <w:vAlign w:val="center"/>
          </w:tcPr>
          <w:p w14:paraId="76B5311A">
            <w:pPr>
              <w:adjustRightInd w:val="0"/>
              <w:snapToGrid w:val="0"/>
              <w:jc w:val="center"/>
              <w:rPr>
                <w:szCs w:val="21"/>
              </w:rPr>
            </w:pPr>
          </w:p>
        </w:tc>
        <w:tc>
          <w:tcPr>
            <w:tcW w:w="789" w:type="pct"/>
            <w:noWrap w:val="0"/>
            <w:vAlign w:val="center"/>
          </w:tcPr>
          <w:p w14:paraId="2D60F4D0">
            <w:pPr>
              <w:adjustRightInd w:val="0"/>
              <w:snapToGrid w:val="0"/>
              <w:jc w:val="center"/>
              <w:rPr>
                <w:szCs w:val="21"/>
              </w:rPr>
            </w:pPr>
            <w:r>
              <w:rPr>
                <w:szCs w:val="21"/>
              </w:rPr>
              <w:t>2022年1月</w:t>
            </w:r>
          </w:p>
        </w:tc>
        <w:tc>
          <w:tcPr>
            <w:tcW w:w="718" w:type="pct"/>
            <w:noWrap w:val="0"/>
            <w:vAlign w:val="center"/>
          </w:tcPr>
          <w:p w14:paraId="7F6CAAC7">
            <w:pPr>
              <w:adjustRightInd w:val="0"/>
              <w:snapToGrid w:val="0"/>
              <w:jc w:val="center"/>
              <w:rPr>
                <w:szCs w:val="21"/>
              </w:rPr>
            </w:pPr>
            <w:r>
              <w:rPr>
                <w:szCs w:val="21"/>
              </w:rPr>
              <w:t>2022年2月</w:t>
            </w:r>
          </w:p>
        </w:tc>
        <w:tc>
          <w:tcPr>
            <w:tcW w:w="727" w:type="pct"/>
            <w:noWrap w:val="0"/>
            <w:vAlign w:val="center"/>
          </w:tcPr>
          <w:p w14:paraId="69D44E34">
            <w:pPr>
              <w:adjustRightInd w:val="0"/>
              <w:snapToGrid w:val="0"/>
              <w:jc w:val="center"/>
              <w:rPr>
                <w:szCs w:val="21"/>
              </w:rPr>
            </w:pPr>
            <w:r>
              <w:rPr>
                <w:szCs w:val="21"/>
              </w:rPr>
              <w:t>2022年3月</w:t>
            </w:r>
          </w:p>
        </w:tc>
        <w:tc>
          <w:tcPr>
            <w:tcW w:w="636" w:type="pct"/>
            <w:noWrap w:val="0"/>
            <w:vAlign w:val="center"/>
          </w:tcPr>
          <w:p w14:paraId="25A12949">
            <w:pPr>
              <w:adjustRightInd w:val="0"/>
              <w:snapToGrid w:val="0"/>
              <w:jc w:val="center"/>
              <w:rPr>
                <w:szCs w:val="21"/>
              </w:rPr>
            </w:pPr>
            <w:r>
              <w:rPr>
                <w:szCs w:val="21"/>
              </w:rPr>
              <w:t>2022年4月</w:t>
            </w:r>
          </w:p>
        </w:tc>
        <w:tc>
          <w:tcPr>
            <w:tcW w:w="591" w:type="pct"/>
            <w:noWrap w:val="0"/>
            <w:vAlign w:val="center"/>
          </w:tcPr>
          <w:p w14:paraId="677CEE41">
            <w:pPr>
              <w:adjustRightInd w:val="0"/>
              <w:snapToGrid w:val="0"/>
              <w:jc w:val="center"/>
              <w:rPr>
                <w:szCs w:val="21"/>
              </w:rPr>
            </w:pPr>
            <w:r>
              <w:rPr>
                <w:szCs w:val="21"/>
              </w:rPr>
              <w:t>202</w:t>
            </w:r>
            <w:r>
              <w:rPr>
                <w:rFonts w:hint="eastAsia"/>
                <w:szCs w:val="21"/>
              </w:rPr>
              <w:t>2</w:t>
            </w:r>
            <w:r>
              <w:rPr>
                <w:szCs w:val="21"/>
              </w:rPr>
              <w:t>年5月</w:t>
            </w:r>
          </w:p>
        </w:tc>
      </w:tr>
      <w:tr w14:paraId="7395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36" w:type="pct"/>
            <w:noWrap w:val="0"/>
            <w:vAlign w:val="center"/>
          </w:tcPr>
          <w:p w14:paraId="4EC70E31">
            <w:pPr>
              <w:adjustRightInd w:val="0"/>
              <w:snapToGrid w:val="0"/>
              <w:jc w:val="center"/>
              <w:rPr>
                <w:szCs w:val="21"/>
              </w:rPr>
            </w:pPr>
            <w:r>
              <w:rPr>
                <w:szCs w:val="21"/>
              </w:rPr>
              <w:t>及场地开挖与平整</w:t>
            </w:r>
          </w:p>
        </w:tc>
        <w:tc>
          <w:tcPr>
            <w:tcW w:w="789" w:type="pct"/>
            <w:noWrap w:val="0"/>
            <w:vAlign w:val="center"/>
          </w:tcPr>
          <w:p w14:paraId="214E7D12">
            <w:pPr>
              <w:adjustRightInd w:val="0"/>
              <w:snapToGrid w:val="0"/>
              <w:jc w:val="center"/>
              <w:rPr>
                <w:szCs w:val="21"/>
              </w:rPr>
            </w:pPr>
            <w:r>
              <w:rPr>
                <w:lang/>
              </w:rPr>
              <mc:AlternateContent>
                <mc:Choice Requires="wps">
                  <w:drawing>
                    <wp:anchor distT="0" distB="0" distL="0" distR="0" simplePos="0" relativeHeight="251799552" behindDoc="0" locked="0" layoutInCell="1" allowOverlap="1">
                      <wp:simplePos x="0" y="0"/>
                      <wp:positionH relativeFrom="column">
                        <wp:posOffset>-51435</wp:posOffset>
                      </wp:positionH>
                      <wp:positionV relativeFrom="paragraph">
                        <wp:posOffset>66675</wp:posOffset>
                      </wp:positionV>
                      <wp:extent cx="723265" cy="8255"/>
                      <wp:effectExtent l="0" t="19050" r="635" b="29845"/>
                      <wp:wrapNone/>
                      <wp:docPr id="168" name="直接连接符 193"/>
                      <wp:cNvGraphicFramePr/>
                      <a:graphic xmlns:a="http://schemas.openxmlformats.org/drawingml/2006/main">
                        <a:graphicData uri="http://schemas.microsoft.com/office/word/2010/wordprocessingShape">
                          <wps:wsp>
                            <wps:cNvSpPr/>
                            <wps:spPr>
                              <a:xfrm flipV="1">
                                <a:off x="0" y="0"/>
                                <a:ext cx="723265" cy="825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接连接符 193" o:spid="_x0000_s1026" o:spt="20" style="position:absolute;left:0pt;flip:y;margin-left:-4.05pt;margin-top:5.25pt;height:0.65pt;width:56.95pt;z-index:251799552;mso-width-relative:page;mso-height-relative:page;" filled="f" stroked="t" coordsize="21600,21600" o:gfxdata="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enNm/UAAAACAEAAA8AAAAAAAAAAQAgAAAAIgAAAGRycy9kb3ducmV2&#10;LnhtbFBLAQIUABQAAAAIAIdO4kBUx2pGAAIAAPUDAAAOAAAAAAAAAAEAIAAAACMBAABkcnMvZTJv&#10;RG9jLnhtbFBLBQYAAAAABgAGAFkBAACVBQAAAAA=&#10;">
                      <v:fill on="f" focussize="0,0"/>
                      <v:stroke weight="3pt" color="#000000" joinstyle="round"/>
                      <v:imagedata o:title=""/>
                      <o:lock v:ext="edit" aspectratio="f"/>
                    </v:line>
                  </w:pict>
                </mc:Fallback>
              </mc:AlternateContent>
            </w:r>
          </w:p>
        </w:tc>
        <w:tc>
          <w:tcPr>
            <w:tcW w:w="718" w:type="pct"/>
            <w:noWrap w:val="0"/>
            <w:vAlign w:val="center"/>
          </w:tcPr>
          <w:p w14:paraId="0B647154">
            <w:pPr>
              <w:adjustRightInd w:val="0"/>
              <w:snapToGrid w:val="0"/>
              <w:jc w:val="center"/>
              <w:rPr>
                <w:szCs w:val="21"/>
              </w:rPr>
            </w:pPr>
          </w:p>
        </w:tc>
        <w:tc>
          <w:tcPr>
            <w:tcW w:w="727" w:type="pct"/>
            <w:noWrap w:val="0"/>
            <w:vAlign w:val="center"/>
          </w:tcPr>
          <w:p w14:paraId="05C4C956">
            <w:pPr>
              <w:adjustRightInd w:val="0"/>
              <w:snapToGrid w:val="0"/>
              <w:jc w:val="center"/>
              <w:rPr>
                <w:szCs w:val="21"/>
              </w:rPr>
            </w:pPr>
          </w:p>
        </w:tc>
        <w:tc>
          <w:tcPr>
            <w:tcW w:w="636" w:type="pct"/>
            <w:noWrap w:val="0"/>
            <w:vAlign w:val="center"/>
          </w:tcPr>
          <w:p w14:paraId="06EA57C6">
            <w:pPr>
              <w:adjustRightInd w:val="0"/>
              <w:snapToGrid w:val="0"/>
              <w:jc w:val="center"/>
              <w:rPr>
                <w:szCs w:val="21"/>
              </w:rPr>
            </w:pPr>
          </w:p>
        </w:tc>
        <w:tc>
          <w:tcPr>
            <w:tcW w:w="591" w:type="pct"/>
            <w:noWrap w:val="0"/>
            <w:vAlign w:val="center"/>
          </w:tcPr>
          <w:p w14:paraId="768C9661">
            <w:pPr>
              <w:adjustRightInd w:val="0"/>
              <w:snapToGrid w:val="0"/>
              <w:jc w:val="center"/>
              <w:rPr>
                <w:szCs w:val="21"/>
              </w:rPr>
            </w:pPr>
          </w:p>
        </w:tc>
      </w:tr>
      <w:tr w14:paraId="6C08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36" w:type="pct"/>
            <w:noWrap w:val="0"/>
            <w:vAlign w:val="center"/>
          </w:tcPr>
          <w:p w14:paraId="355386B7">
            <w:pPr>
              <w:adjustRightInd w:val="0"/>
              <w:snapToGrid w:val="0"/>
              <w:jc w:val="center"/>
              <w:rPr>
                <w:szCs w:val="21"/>
              </w:rPr>
            </w:pPr>
            <w:r>
              <w:rPr>
                <w:szCs w:val="21"/>
              </w:rPr>
              <w:t>原有建筑改造及主体工程施工</w:t>
            </w:r>
          </w:p>
        </w:tc>
        <w:tc>
          <w:tcPr>
            <w:tcW w:w="789" w:type="pct"/>
            <w:noWrap w:val="0"/>
            <w:vAlign w:val="center"/>
          </w:tcPr>
          <w:p w14:paraId="39922EEF">
            <w:pPr>
              <w:adjustRightInd w:val="0"/>
              <w:snapToGrid w:val="0"/>
              <w:jc w:val="center"/>
              <w:rPr>
                <w:szCs w:val="21"/>
              </w:rPr>
            </w:pPr>
          </w:p>
        </w:tc>
        <w:tc>
          <w:tcPr>
            <w:tcW w:w="718" w:type="pct"/>
            <w:noWrap w:val="0"/>
            <w:vAlign w:val="center"/>
          </w:tcPr>
          <w:p w14:paraId="60764E7F">
            <w:pPr>
              <w:adjustRightInd w:val="0"/>
              <w:snapToGrid w:val="0"/>
              <w:jc w:val="center"/>
              <w:rPr>
                <w:szCs w:val="21"/>
              </w:rPr>
            </w:pPr>
            <w:r>
              <w:rPr>
                <w:lang/>
              </w:rPr>
              <mc:AlternateContent>
                <mc:Choice Requires="wps">
                  <w:drawing>
                    <wp:anchor distT="0" distB="0" distL="0" distR="0" simplePos="0" relativeHeight="251800576" behindDoc="0" locked="0" layoutInCell="1" allowOverlap="1">
                      <wp:simplePos x="0" y="0"/>
                      <wp:positionH relativeFrom="column">
                        <wp:posOffset>-52705</wp:posOffset>
                      </wp:positionH>
                      <wp:positionV relativeFrom="paragraph">
                        <wp:posOffset>78740</wp:posOffset>
                      </wp:positionV>
                      <wp:extent cx="1400810" cy="9525"/>
                      <wp:effectExtent l="0" t="19050" r="8890" b="28575"/>
                      <wp:wrapNone/>
                      <wp:docPr id="192" name="直接连接符 192"/>
                      <wp:cNvGraphicFramePr/>
                      <a:graphic xmlns:a="http://schemas.openxmlformats.org/drawingml/2006/main">
                        <a:graphicData uri="http://schemas.microsoft.com/office/word/2010/wordprocessingShape">
                          <wps:wsp>
                            <wps:cNvCnPr>
                              <a:cxnSpLocks noChangeShapeType="1"/>
                            </wps:cNvCnPr>
                            <wps:spPr bwMode="auto">
                              <a:xfrm flipV="1">
                                <a:off x="0" y="0"/>
                                <a:ext cx="688340"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flip:y;margin-left:-4.15pt;margin-top:6.2pt;height:0.75pt;width:110.3pt;z-index:251800576;mso-width-relative:page;mso-height-relative:page;" filled="f" stroked="t" coordsize="21600,21600" o:gfxdata="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spEjvUAAAACAEAAA8AAAAAAAAAAQAgAAAAIgAAAGRycy9kb3ducmV2LnhtbFBLAQIUABQAAAAI&#10;AIdO4kBn7gu18QEAAMYDAAAOAAAAAAAAAAEAIAAAACMBAABkcnMvZTJvRG9jLnhtbFBLBQYAAAAA&#10;BgAGAFkBAACGBQAAAAA=&#10;">
                      <v:fill on="f" focussize="0,0"/>
                      <v:stroke weight="3pt" color="#000000" joinstyle="round"/>
                      <v:imagedata o:title=""/>
                      <o:lock v:ext="edit" aspectratio="f"/>
                    </v:line>
                  </w:pict>
                </mc:Fallback>
              </mc:AlternateContent>
            </w:r>
          </w:p>
        </w:tc>
        <w:tc>
          <w:tcPr>
            <w:tcW w:w="727" w:type="pct"/>
            <w:noWrap w:val="0"/>
            <w:vAlign w:val="center"/>
          </w:tcPr>
          <w:p w14:paraId="7F23B770">
            <w:pPr>
              <w:adjustRightInd w:val="0"/>
              <w:snapToGrid w:val="0"/>
              <w:jc w:val="center"/>
              <w:rPr>
                <w:szCs w:val="21"/>
              </w:rPr>
            </w:pPr>
          </w:p>
        </w:tc>
        <w:tc>
          <w:tcPr>
            <w:tcW w:w="636" w:type="pct"/>
            <w:noWrap w:val="0"/>
            <w:vAlign w:val="center"/>
          </w:tcPr>
          <w:p w14:paraId="72BBFA76">
            <w:pPr>
              <w:adjustRightInd w:val="0"/>
              <w:snapToGrid w:val="0"/>
              <w:jc w:val="center"/>
              <w:rPr>
                <w:szCs w:val="21"/>
              </w:rPr>
            </w:pPr>
          </w:p>
        </w:tc>
        <w:tc>
          <w:tcPr>
            <w:tcW w:w="591" w:type="pct"/>
            <w:noWrap w:val="0"/>
            <w:vAlign w:val="center"/>
          </w:tcPr>
          <w:p w14:paraId="0280D5CB">
            <w:pPr>
              <w:adjustRightInd w:val="0"/>
              <w:snapToGrid w:val="0"/>
              <w:jc w:val="center"/>
              <w:rPr>
                <w:szCs w:val="21"/>
              </w:rPr>
            </w:pPr>
          </w:p>
        </w:tc>
      </w:tr>
      <w:tr w14:paraId="4E87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36" w:type="pct"/>
            <w:noWrap w:val="0"/>
            <w:vAlign w:val="center"/>
          </w:tcPr>
          <w:p w14:paraId="0D23A43C">
            <w:pPr>
              <w:adjustRightInd w:val="0"/>
              <w:snapToGrid w:val="0"/>
              <w:jc w:val="center"/>
              <w:rPr>
                <w:szCs w:val="21"/>
              </w:rPr>
            </w:pPr>
            <w:r>
              <w:rPr>
                <w:szCs w:val="21"/>
              </w:rPr>
              <w:t>装修工程</w:t>
            </w:r>
          </w:p>
        </w:tc>
        <w:tc>
          <w:tcPr>
            <w:tcW w:w="789" w:type="pct"/>
            <w:noWrap w:val="0"/>
            <w:vAlign w:val="center"/>
          </w:tcPr>
          <w:p w14:paraId="0D58CC2A">
            <w:pPr>
              <w:adjustRightInd w:val="0"/>
              <w:snapToGrid w:val="0"/>
              <w:jc w:val="center"/>
              <w:rPr>
                <w:szCs w:val="21"/>
              </w:rPr>
            </w:pPr>
          </w:p>
        </w:tc>
        <w:tc>
          <w:tcPr>
            <w:tcW w:w="718" w:type="pct"/>
            <w:noWrap w:val="0"/>
            <w:vAlign w:val="center"/>
          </w:tcPr>
          <w:p w14:paraId="1D2E5442">
            <w:pPr>
              <w:adjustRightInd w:val="0"/>
              <w:snapToGrid w:val="0"/>
              <w:jc w:val="center"/>
              <w:rPr>
                <w:szCs w:val="21"/>
                <w:lang w:val="zh-CN"/>
              </w:rPr>
            </w:pPr>
          </w:p>
        </w:tc>
        <w:tc>
          <w:tcPr>
            <w:tcW w:w="727" w:type="pct"/>
            <w:noWrap w:val="0"/>
            <w:vAlign w:val="center"/>
          </w:tcPr>
          <w:p w14:paraId="1040056D">
            <w:pPr>
              <w:adjustRightInd w:val="0"/>
              <w:snapToGrid w:val="0"/>
              <w:jc w:val="center"/>
              <w:rPr>
                <w:szCs w:val="21"/>
              </w:rPr>
            </w:pPr>
            <w:r>
              <w:rPr>
                <w:lang/>
              </w:rPr>
              <mc:AlternateContent>
                <mc:Choice Requires="wps">
                  <w:drawing>
                    <wp:anchor distT="0" distB="0" distL="0" distR="0" simplePos="0" relativeHeight="251802624" behindDoc="0" locked="0" layoutInCell="1" allowOverlap="1">
                      <wp:simplePos x="0" y="0"/>
                      <wp:positionH relativeFrom="column">
                        <wp:posOffset>523875</wp:posOffset>
                      </wp:positionH>
                      <wp:positionV relativeFrom="paragraph">
                        <wp:posOffset>93345</wp:posOffset>
                      </wp:positionV>
                      <wp:extent cx="717550" cy="4445"/>
                      <wp:effectExtent l="0" t="19050" r="6350" b="33655"/>
                      <wp:wrapNone/>
                      <wp:docPr id="191" name="直接连接符 191"/>
                      <wp:cNvGraphicFramePr/>
                      <a:graphic xmlns:a="http://schemas.openxmlformats.org/drawingml/2006/main">
                        <a:graphicData uri="http://schemas.microsoft.com/office/word/2010/wordprocessingShape">
                          <wps:wsp>
                            <wps:cNvCnPr>
                              <a:cxnSpLocks noChangeShapeType="1"/>
                            </wps:cNvCnPr>
                            <wps:spPr bwMode="auto">
                              <a:xfrm>
                                <a:off x="0" y="0"/>
                                <a:ext cx="717550" cy="4445"/>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41.25pt;margin-top:7.35pt;height:0.35pt;width:56.5pt;z-index:251802624;mso-width-relative:page;mso-height-relative:page;" filled="f" stroked="t" coordsize="21600,21600" o:gfxdata="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7l&#10;nuPUAAAACAEAAA8AAAAAAAAAAQAgAAAAIgAAAGRycy9kb3ducmV2LnhtbFBLAQIUABQAAAAIAIdO&#10;4kCsbuoL7gEAAL8DAAAOAAAAAAAAAAEAIAAAACMBAABkcnMvZTJvRG9jLnhtbFBLBQYAAAAABgAG&#10;AFkBAACDBQAAAAA=&#10;">
                      <v:fill on="f" focussize="0,0"/>
                      <v:stroke weight="3pt" color="#000000" joinstyle="round"/>
                      <v:imagedata o:title=""/>
                      <o:lock v:ext="edit" aspectratio="f"/>
                    </v:line>
                  </w:pict>
                </mc:Fallback>
              </mc:AlternateContent>
            </w:r>
          </w:p>
        </w:tc>
        <w:tc>
          <w:tcPr>
            <w:tcW w:w="636" w:type="pct"/>
            <w:noWrap w:val="0"/>
            <w:vAlign w:val="center"/>
          </w:tcPr>
          <w:p w14:paraId="04F6F0EB">
            <w:pPr>
              <w:adjustRightInd w:val="0"/>
              <w:snapToGrid w:val="0"/>
              <w:jc w:val="center"/>
              <w:rPr>
                <w:szCs w:val="21"/>
              </w:rPr>
            </w:pPr>
          </w:p>
        </w:tc>
        <w:tc>
          <w:tcPr>
            <w:tcW w:w="591" w:type="pct"/>
            <w:noWrap w:val="0"/>
            <w:vAlign w:val="center"/>
          </w:tcPr>
          <w:p w14:paraId="5B3A6FA1">
            <w:pPr>
              <w:adjustRightInd w:val="0"/>
              <w:snapToGrid w:val="0"/>
              <w:jc w:val="center"/>
              <w:rPr>
                <w:szCs w:val="21"/>
              </w:rPr>
            </w:pPr>
          </w:p>
        </w:tc>
      </w:tr>
      <w:tr w14:paraId="27D9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36" w:type="pct"/>
            <w:noWrap w:val="0"/>
            <w:vAlign w:val="center"/>
          </w:tcPr>
          <w:p w14:paraId="7EBA1CC4">
            <w:pPr>
              <w:adjustRightInd w:val="0"/>
              <w:snapToGrid w:val="0"/>
              <w:jc w:val="center"/>
              <w:rPr>
                <w:szCs w:val="21"/>
              </w:rPr>
            </w:pPr>
            <w:r>
              <w:rPr>
                <w:szCs w:val="21"/>
              </w:rPr>
              <w:t>设备安装</w:t>
            </w:r>
          </w:p>
        </w:tc>
        <w:tc>
          <w:tcPr>
            <w:tcW w:w="789" w:type="pct"/>
            <w:noWrap w:val="0"/>
            <w:vAlign w:val="center"/>
          </w:tcPr>
          <w:p w14:paraId="5C67A7CA">
            <w:pPr>
              <w:adjustRightInd w:val="0"/>
              <w:snapToGrid w:val="0"/>
              <w:jc w:val="center"/>
              <w:rPr>
                <w:szCs w:val="21"/>
              </w:rPr>
            </w:pPr>
          </w:p>
        </w:tc>
        <w:tc>
          <w:tcPr>
            <w:tcW w:w="718" w:type="pct"/>
            <w:noWrap w:val="0"/>
            <w:vAlign w:val="center"/>
          </w:tcPr>
          <w:p w14:paraId="728FCD95">
            <w:pPr>
              <w:adjustRightInd w:val="0"/>
              <w:snapToGrid w:val="0"/>
              <w:jc w:val="center"/>
              <w:rPr>
                <w:szCs w:val="21"/>
              </w:rPr>
            </w:pPr>
          </w:p>
        </w:tc>
        <w:tc>
          <w:tcPr>
            <w:tcW w:w="727" w:type="pct"/>
            <w:noWrap w:val="0"/>
            <w:vAlign w:val="center"/>
          </w:tcPr>
          <w:p w14:paraId="19158FE0">
            <w:pPr>
              <w:adjustRightInd w:val="0"/>
              <w:snapToGrid w:val="0"/>
              <w:jc w:val="center"/>
              <w:rPr>
                <w:szCs w:val="21"/>
              </w:rPr>
            </w:pPr>
          </w:p>
        </w:tc>
        <w:tc>
          <w:tcPr>
            <w:tcW w:w="636" w:type="pct"/>
            <w:noWrap w:val="0"/>
            <w:vAlign w:val="center"/>
          </w:tcPr>
          <w:p w14:paraId="6B3CDAC6">
            <w:pPr>
              <w:adjustRightInd w:val="0"/>
              <w:snapToGrid w:val="0"/>
              <w:jc w:val="center"/>
              <w:rPr>
                <w:szCs w:val="21"/>
              </w:rPr>
            </w:pPr>
          </w:p>
        </w:tc>
        <w:tc>
          <w:tcPr>
            <w:tcW w:w="591" w:type="pct"/>
            <w:noWrap w:val="0"/>
            <w:vAlign w:val="center"/>
          </w:tcPr>
          <w:p w14:paraId="0F5ED517">
            <w:pPr>
              <w:adjustRightInd w:val="0"/>
              <w:snapToGrid w:val="0"/>
              <w:jc w:val="center"/>
              <w:rPr>
                <w:szCs w:val="21"/>
              </w:rPr>
            </w:pPr>
            <w:r>
              <w:rPr>
                <w:lang/>
              </w:rPr>
              <mc:AlternateContent>
                <mc:Choice Requires="wps">
                  <w:drawing>
                    <wp:anchor distT="0" distB="0" distL="0" distR="0" simplePos="0" relativeHeight="251801600" behindDoc="0" locked="0" layoutInCell="1" allowOverlap="1">
                      <wp:simplePos x="0" y="0"/>
                      <wp:positionH relativeFrom="column">
                        <wp:posOffset>-38735</wp:posOffset>
                      </wp:positionH>
                      <wp:positionV relativeFrom="paragraph">
                        <wp:posOffset>66040</wp:posOffset>
                      </wp:positionV>
                      <wp:extent cx="548005" cy="635"/>
                      <wp:effectExtent l="0" t="17145" r="4445" b="20320"/>
                      <wp:wrapNone/>
                      <wp:docPr id="190" name="直接连接符 190"/>
                      <wp:cNvGraphicFramePr/>
                      <a:graphic xmlns:a="http://schemas.openxmlformats.org/drawingml/2006/main">
                        <a:graphicData uri="http://schemas.microsoft.com/office/word/2010/wordprocessingShape">
                          <wps:wsp>
                            <wps:cNvCnPr>
                              <a:cxnSpLocks noChangeShapeType="1"/>
                            </wps:cNvCnPr>
                            <wps:spPr bwMode="auto">
                              <a:xfrm flipV="1">
                                <a:off x="0" y="0"/>
                                <a:ext cx="475615" cy="5080"/>
                              </a:xfrm>
                              <a:prstGeom prst="line">
                                <a:avLst/>
                              </a:prstGeom>
                              <a:noFill/>
                              <a:ln w="34925">
                                <a:solidFill>
                                  <a:srgbClr val="000000"/>
                                </a:solidFill>
                                <a:round/>
                              </a:ln>
                              <a:effectLst/>
                            </wps:spPr>
                            <wps:bodyPr/>
                          </wps:wsp>
                        </a:graphicData>
                      </a:graphic>
                    </wp:anchor>
                  </w:drawing>
                </mc:Choice>
                <mc:Fallback>
                  <w:pict>
                    <v:line id="_x0000_s1026" o:spid="_x0000_s1026" o:spt="20" style="position:absolute;left:0pt;flip:y;margin-left:-3.05pt;margin-top:5.2pt;height:0.05pt;width:43.15pt;z-index:251801600;mso-width-relative:page;mso-height-relative:page;" filled="f" stroked="t" coordsize="21600,21600" o:gfxdata="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0M3sdQAAAAHAQAADwAAAAAAAAABACAAAAAiAAAAZHJzL2Rvd25yZXYueG1sUEsBAhQA&#10;FAAAAAgAh07iQILbZYH2AQAAyQMAAA4AAAAAAAAAAQAgAAAAIwEAAGRycy9lMm9Eb2MueG1sUEsF&#10;BgAAAAAGAAYAWQEAAIsFAAAAAA==&#10;">
                      <v:fill on="f" focussize="0,0"/>
                      <v:stroke weight="2.75pt" color="#000000" joinstyle="round"/>
                      <v:imagedata o:title=""/>
                      <o:lock v:ext="edit" aspectratio="f"/>
                    </v:line>
                  </w:pict>
                </mc:Fallback>
              </mc:AlternateContent>
            </w:r>
          </w:p>
        </w:tc>
      </w:tr>
      <w:tr w14:paraId="494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36" w:type="pct"/>
            <w:noWrap w:val="0"/>
            <w:vAlign w:val="center"/>
          </w:tcPr>
          <w:p w14:paraId="1D5A4F9E">
            <w:pPr>
              <w:adjustRightInd w:val="0"/>
              <w:snapToGrid w:val="0"/>
              <w:jc w:val="center"/>
              <w:rPr>
                <w:szCs w:val="21"/>
              </w:rPr>
            </w:pPr>
            <w:r>
              <w:rPr>
                <w:szCs w:val="21"/>
              </w:rPr>
              <w:t>验收</w:t>
            </w:r>
          </w:p>
        </w:tc>
        <w:tc>
          <w:tcPr>
            <w:tcW w:w="789" w:type="pct"/>
            <w:noWrap w:val="0"/>
            <w:vAlign w:val="center"/>
          </w:tcPr>
          <w:p w14:paraId="590AF2EE">
            <w:pPr>
              <w:adjustRightInd w:val="0"/>
              <w:snapToGrid w:val="0"/>
              <w:jc w:val="center"/>
              <w:rPr>
                <w:szCs w:val="21"/>
              </w:rPr>
            </w:pPr>
          </w:p>
        </w:tc>
        <w:tc>
          <w:tcPr>
            <w:tcW w:w="718" w:type="pct"/>
            <w:noWrap w:val="0"/>
            <w:vAlign w:val="center"/>
          </w:tcPr>
          <w:p w14:paraId="6149FF41">
            <w:pPr>
              <w:adjustRightInd w:val="0"/>
              <w:snapToGrid w:val="0"/>
              <w:jc w:val="center"/>
              <w:rPr>
                <w:szCs w:val="21"/>
              </w:rPr>
            </w:pPr>
          </w:p>
        </w:tc>
        <w:tc>
          <w:tcPr>
            <w:tcW w:w="727" w:type="pct"/>
            <w:noWrap w:val="0"/>
            <w:vAlign w:val="center"/>
          </w:tcPr>
          <w:p w14:paraId="76EFEA0E">
            <w:pPr>
              <w:adjustRightInd w:val="0"/>
              <w:snapToGrid w:val="0"/>
              <w:jc w:val="center"/>
              <w:rPr>
                <w:szCs w:val="21"/>
              </w:rPr>
            </w:pPr>
          </w:p>
        </w:tc>
        <w:tc>
          <w:tcPr>
            <w:tcW w:w="636" w:type="pct"/>
            <w:noWrap w:val="0"/>
            <w:vAlign w:val="center"/>
          </w:tcPr>
          <w:p w14:paraId="2DE10D2A">
            <w:pPr>
              <w:adjustRightInd w:val="0"/>
              <w:snapToGrid w:val="0"/>
              <w:jc w:val="center"/>
              <w:rPr>
                <w:szCs w:val="21"/>
              </w:rPr>
            </w:pPr>
          </w:p>
        </w:tc>
        <w:tc>
          <w:tcPr>
            <w:tcW w:w="591" w:type="pct"/>
            <w:noWrap w:val="0"/>
            <w:vAlign w:val="center"/>
          </w:tcPr>
          <w:p w14:paraId="1A61949F">
            <w:pPr>
              <w:adjustRightInd w:val="0"/>
              <w:snapToGrid w:val="0"/>
              <w:jc w:val="center"/>
              <w:rPr>
                <w:szCs w:val="21"/>
              </w:rPr>
            </w:pPr>
          </w:p>
        </w:tc>
      </w:tr>
    </w:tbl>
    <w:p w14:paraId="159B7131">
      <w:pPr>
        <w:snapToGrid w:val="0"/>
        <w:spacing w:line="360" w:lineRule="auto"/>
        <w:ind w:firstLine="480" w:firstLineChars="200"/>
        <w:rPr>
          <w:bCs/>
          <w:sz w:val="24"/>
        </w:rPr>
      </w:pPr>
    </w:p>
    <w:p w14:paraId="3956F99B">
      <w:pPr>
        <w:pStyle w:val="7"/>
        <w:spacing w:before="0" w:after="0" w:line="360" w:lineRule="auto"/>
        <w:rPr>
          <w:rFonts w:ascii="Times New Roman" w:hAnsi="Times New Roman"/>
          <w:sz w:val="28"/>
          <w:szCs w:val="28"/>
        </w:rPr>
      </w:pPr>
      <w:r>
        <w:rPr>
          <w:rFonts w:ascii="Times New Roman" w:hAnsi="Times New Roman"/>
          <w:sz w:val="28"/>
          <w:szCs w:val="28"/>
        </w:rPr>
        <w:t>3.1.11项目总投资</w:t>
      </w:r>
    </w:p>
    <w:p w14:paraId="742A2EF1">
      <w:pPr>
        <w:snapToGrid w:val="0"/>
        <w:spacing w:line="360" w:lineRule="auto"/>
        <w:ind w:firstLine="480" w:firstLineChars="200"/>
        <w:rPr>
          <w:bCs/>
          <w:sz w:val="24"/>
        </w:rPr>
      </w:pPr>
      <w:r>
        <w:rPr>
          <w:bCs/>
          <w:sz w:val="24"/>
        </w:rPr>
        <w:t>项目总投资4800万元，资金均来源于企业自筹。</w:t>
      </w:r>
    </w:p>
    <w:p w14:paraId="15E442DC">
      <w:pPr>
        <w:pStyle w:val="7"/>
        <w:spacing w:before="0" w:after="0" w:line="360" w:lineRule="auto"/>
        <w:rPr>
          <w:rFonts w:ascii="Times New Roman" w:hAnsi="Times New Roman"/>
          <w:sz w:val="28"/>
          <w:szCs w:val="28"/>
        </w:rPr>
      </w:pPr>
      <w:bookmarkStart w:id="71" w:name="_Toc12955139"/>
      <w:r>
        <w:rPr>
          <w:rFonts w:ascii="Times New Roman" w:hAnsi="Times New Roman"/>
          <w:sz w:val="28"/>
          <w:szCs w:val="28"/>
        </w:rPr>
        <w:t>3.1.12项目主要技术经济指标</w:t>
      </w:r>
      <w:bookmarkEnd w:id="71"/>
    </w:p>
    <w:p w14:paraId="394BDDE7">
      <w:pPr>
        <w:spacing w:line="360" w:lineRule="auto"/>
        <w:ind w:firstLine="480" w:firstLineChars="200"/>
        <w:rPr>
          <w:sz w:val="24"/>
        </w:rPr>
      </w:pPr>
      <w:r>
        <w:rPr>
          <w:sz w:val="24"/>
        </w:rPr>
        <w:t>1、项目总占地</w:t>
      </w:r>
      <w:r>
        <w:rPr>
          <w:snapToGrid w:val="0"/>
          <w:sz w:val="24"/>
        </w:rPr>
        <w:t>77332.56m</w:t>
      </w:r>
      <w:r>
        <w:rPr>
          <w:sz w:val="24"/>
          <w:vertAlign w:val="superscript"/>
        </w:rPr>
        <w:t>2</w:t>
      </w:r>
      <w:r>
        <w:rPr>
          <w:sz w:val="24"/>
        </w:rPr>
        <w:t>（116亩），分为两个区块，6块场地，其中：区块一占地面积36026.3m</w:t>
      </w:r>
      <w:r>
        <w:rPr>
          <w:sz w:val="24"/>
          <w:vertAlign w:val="superscript"/>
        </w:rPr>
        <w:t>2</w:t>
      </w:r>
      <w:r>
        <w:rPr>
          <w:sz w:val="24"/>
        </w:rPr>
        <w:t>（54.04亩），分为4块场地；区块二占地面积41592.92m</w:t>
      </w:r>
      <w:r>
        <w:rPr>
          <w:sz w:val="24"/>
          <w:vertAlign w:val="superscript"/>
        </w:rPr>
        <w:t>2</w:t>
      </w:r>
      <w:r>
        <w:rPr>
          <w:sz w:val="24"/>
        </w:rPr>
        <w:t>（62.39亩），建筑面积包括：</w:t>
      </w:r>
    </w:p>
    <w:p w14:paraId="2D521497">
      <w:pPr>
        <w:spacing w:line="360" w:lineRule="auto"/>
        <w:ind w:firstLine="480" w:firstLineChars="200"/>
        <w:rPr>
          <w:sz w:val="24"/>
        </w:rPr>
      </w:pPr>
      <w:r>
        <w:rPr>
          <w:sz w:val="24"/>
        </w:rPr>
        <w:t>猪舍：22659.82</w:t>
      </w:r>
      <w:r>
        <w:rPr>
          <w:snapToGrid w:val="0"/>
          <w:sz w:val="24"/>
        </w:rPr>
        <w:t>m</w:t>
      </w:r>
      <w:r>
        <w:rPr>
          <w:sz w:val="24"/>
          <w:vertAlign w:val="superscript"/>
        </w:rPr>
        <w:t>2</w:t>
      </w:r>
      <w:r>
        <w:rPr>
          <w:sz w:val="24"/>
        </w:rPr>
        <w:t>。</w:t>
      </w:r>
    </w:p>
    <w:p w14:paraId="39229CF9">
      <w:pPr>
        <w:spacing w:line="360" w:lineRule="auto"/>
        <w:ind w:firstLine="480" w:firstLineChars="200"/>
        <w:rPr>
          <w:sz w:val="24"/>
        </w:rPr>
      </w:pPr>
      <w:r>
        <w:rPr>
          <w:sz w:val="24"/>
        </w:rPr>
        <w:t>办公区：3073.3</w:t>
      </w:r>
      <w:r>
        <w:rPr>
          <w:snapToGrid w:val="0"/>
          <w:sz w:val="24"/>
        </w:rPr>
        <w:t>m</w:t>
      </w:r>
      <w:r>
        <w:rPr>
          <w:sz w:val="24"/>
          <w:vertAlign w:val="superscript"/>
        </w:rPr>
        <w:t>2</w:t>
      </w:r>
      <w:r>
        <w:rPr>
          <w:sz w:val="24"/>
        </w:rPr>
        <w:t>；</w:t>
      </w:r>
    </w:p>
    <w:p w14:paraId="56B1E84C">
      <w:pPr>
        <w:spacing w:line="360" w:lineRule="auto"/>
        <w:ind w:firstLine="480" w:firstLineChars="200"/>
        <w:rPr>
          <w:sz w:val="24"/>
        </w:rPr>
      </w:pPr>
      <w:r>
        <w:rPr>
          <w:sz w:val="24"/>
        </w:rPr>
        <w:t>2、广场及附属工程51599.44</w:t>
      </w:r>
      <w:r>
        <w:rPr>
          <w:snapToGrid w:val="0"/>
          <w:sz w:val="24"/>
        </w:rPr>
        <w:t>m</w:t>
      </w:r>
      <w:r>
        <w:rPr>
          <w:sz w:val="24"/>
          <w:vertAlign w:val="superscript"/>
        </w:rPr>
        <w:t>2</w:t>
      </w:r>
      <w:r>
        <w:rPr>
          <w:sz w:val="24"/>
        </w:rPr>
        <w:t>：</w:t>
      </w:r>
    </w:p>
    <w:p w14:paraId="7E3566BF">
      <w:pPr>
        <w:pStyle w:val="1042"/>
        <w:spacing w:before="0" w:line="360" w:lineRule="auto"/>
        <w:ind w:firstLine="482" w:firstLineChars="200"/>
        <w:rPr>
          <w:rFonts w:ascii="Times New Roman" w:hAnsi="Times New Roman"/>
          <w:szCs w:val="24"/>
        </w:rPr>
      </w:pPr>
      <w:r>
        <w:rPr>
          <w:rFonts w:ascii="Times New Roman" w:hAnsi="Times New Roman"/>
          <w:szCs w:val="24"/>
        </w:rPr>
        <w:t>表3.1-10  主要经济技术指标</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732"/>
        <w:gridCol w:w="1430"/>
        <w:gridCol w:w="2471"/>
        <w:gridCol w:w="1139"/>
      </w:tblGrid>
      <w:tr w14:paraId="6CB1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5E83498B">
            <w:pPr>
              <w:adjustRightInd w:val="0"/>
              <w:snapToGrid w:val="0"/>
              <w:jc w:val="center"/>
              <w:rPr>
                <w:bCs/>
                <w:szCs w:val="21"/>
              </w:rPr>
            </w:pPr>
            <w:r>
              <w:rPr>
                <w:bCs/>
                <w:szCs w:val="21"/>
              </w:rPr>
              <w:t>序号</w:t>
            </w:r>
          </w:p>
        </w:tc>
        <w:tc>
          <w:tcPr>
            <w:tcW w:w="2732" w:type="dxa"/>
            <w:noWrap w:val="0"/>
            <w:vAlign w:val="center"/>
          </w:tcPr>
          <w:p w14:paraId="59BB91A9">
            <w:pPr>
              <w:adjustRightInd w:val="0"/>
              <w:snapToGrid w:val="0"/>
              <w:jc w:val="center"/>
              <w:rPr>
                <w:bCs/>
                <w:szCs w:val="21"/>
              </w:rPr>
            </w:pPr>
            <w:r>
              <w:rPr>
                <w:bCs/>
                <w:szCs w:val="21"/>
              </w:rPr>
              <w:t>项目</w:t>
            </w:r>
          </w:p>
        </w:tc>
        <w:tc>
          <w:tcPr>
            <w:tcW w:w="1430" w:type="dxa"/>
            <w:noWrap w:val="0"/>
            <w:vAlign w:val="center"/>
          </w:tcPr>
          <w:p w14:paraId="4ADF58BF">
            <w:pPr>
              <w:adjustRightInd w:val="0"/>
              <w:snapToGrid w:val="0"/>
              <w:jc w:val="center"/>
              <w:rPr>
                <w:bCs/>
                <w:szCs w:val="21"/>
              </w:rPr>
            </w:pPr>
            <w:r>
              <w:rPr>
                <w:bCs/>
                <w:szCs w:val="21"/>
              </w:rPr>
              <w:t>单位</w:t>
            </w:r>
          </w:p>
        </w:tc>
        <w:tc>
          <w:tcPr>
            <w:tcW w:w="2471" w:type="dxa"/>
            <w:noWrap w:val="0"/>
            <w:vAlign w:val="center"/>
          </w:tcPr>
          <w:p w14:paraId="7C9C8B08">
            <w:pPr>
              <w:adjustRightInd w:val="0"/>
              <w:snapToGrid w:val="0"/>
              <w:jc w:val="center"/>
              <w:rPr>
                <w:bCs/>
                <w:szCs w:val="21"/>
              </w:rPr>
            </w:pPr>
            <w:r>
              <w:rPr>
                <w:bCs/>
                <w:szCs w:val="21"/>
              </w:rPr>
              <w:t>数据</w:t>
            </w:r>
          </w:p>
        </w:tc>
        <w:tc>
          <w:tcPr>
            <w:tcW w:w="1139" w:type="dxa"/>
            <w:noWrap w:val="0"/>
            <w:vAlign w:val="top"/>
          </w:tcPr>
          <w:p w14:paraId="6C799C4C">
            <w:pPr>
              <w:adjustRightInd w:val="0"/>
              <w:snapToGrid w:val="0"/>
              <w:jc w:val="center"/>
              <w:rPr>
                <w:bCs/>
                <w:szCs w:val="21"/>
              </w:rPr>
            </w:pPr>
            <w:r>
              <w:rPr>
                <w:bCs/>
                <w:szCs w:val="21"/>
              </w:rPr>
              <w:t>备注</w:t>
            </w:r>
          </w:p>
        </w:tc>
      </w:tr>
      <w:tr w14:paraId="78C1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68856AC">
            <w:pPr>
              <w:adjustRightInd w:val="0"/>
              <w:snapToGrid w:val="0"/>
              <w:jc w:val="center"/>
              <w:rPr>
                <w:bCs/>
                <w:szCs w:val="21"/>
              </w:rPr>
            </w:pPr>
            <w:r>
              <w:rPr>
                <w:bCs/>
                <w:szCs w:val="21"/>
              </w:rPr>
              <w:t xml:space="preserve">1 </w:t>
            </w:r>
          </w:p>
        </w:tc>
        <w:tc>
          <w:tcPr>
            <w:tcW w:w="2732" w:type="dxa"/>
            <w:noWrap w:val="0"/>
            <w:vAlign w:val="center"/>
          </w:tcPr>
          <w:p w14:paraId="03D9E5CB">
            <w:pPr>
              <w:adjustRightInd w:val="0"/>
              <w:snapToGrid w:val="0"/>
              <w:jc w:val="center"/>
              <w:rPr>
                <w:bCs/>
                <w:szCs w:val="21"/>
              </w:rPr>
            </w:pPr>
            <w:r>
              <w:rPr>
                <w:bCs/>
                <w:szCs w:val="21"/>
              </w:rPr>
              <w:t>总占地面积</w:t>
            </w:r>
          </w:p>
        </w:tc>
        <w:tc>
          <w:tcPr>
            <w:tcW w:w="1430" w:type="dxa"/>
            <w:noWrap w:val="0"/>
            <w:vAlign w:val="center"/>
          </w:tcPr>
          <w:p w14:paraId="51107985">
            <w:pPr>
              <w:adjustRightInd w:val="0"/>
              <w:snapToGrid w:val="0"/>
              <w:jc w:val="center"/>
              <w:rPr>
                <w:bCs/>
                <w:szCs w:val="21"/>
              </w:rPr>
            </w:pPr>
            <w:r>
              <w:rPr>
                <w:bCs/>
                <w:szCs w:val="21"/>
              </w:rPr>
              <w:t>亩</w:t>
            </w:r>
          </w:p>
        </w:tc>
        <w:tc>
          <w:tcPr>
            <w:tcW w:w="2471" w:type="dxa"/>
            <w:noWrap w:val="0"/>
            <w:vAlign w:val="center"/>
          </w:tcPr>
          <w:p w14:paraId="533514A9">
            <w:pPr>
              <w:adjustRightInd w:val="0"/>
              <w:snapToGrid w:val="0"/>
              <w:jc w:val="center"/>
              <w:rPr>
                <w:bCs/>
                <w:szCs w:val="21"/>
              </w:rPr>
            </w:pPr>
            <w:r>
              <w:rPr>
                <w:bCs/>
                <w:szCs w:val="21"/>
              </w:rPr>
              <w:t>116</w:t>
            </w:r>
          </w:p>
        </w:tc>
        <w:tc>
          <w:tcPr>
            <w:tcW w:w="1139" w:type="dxa"/>
            <w:noWrap w:val="0"/>
            <w:vAlign w:val="top"/>
          </w:tcPr>
          <w:p w14:paraId="3F8E22FD">
            <w:pPr>
              <w:adjustRightInd w:val="0"/>
              <w:snapToGrid w:val="0"/>
              <w:jc w:val="center"/>
              <w:rPr>
                <w:bCs/>
                <w:szCs w:val="21"/>
              </w:rPr>
            </w:pPr>
            <w:r>
              <w:rPr>
                <w:bCs/>
                <w:szCs w:val="21"/>
              </w:rPr>
              <w:t>/</w:t>
            </w:r>
          </w:p>
        </w:tc>
      </w:tr>
      <w:tr w14:paraId="3ECE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0282666E">
            <w:pPr>
              <w:adjustRightInd w:val="0"/>
              <w:snapToGrid w:val="0"/>
              <w:jc w:val="center"/>
              <w:rPr>
                <w:bCs/>
                <w:szCs w:val="21"/>
              </w:rPr>
            </w:pPr>
            <w:r>
              <w:rPr>
                <w:bCs/>
                <w:szCs w:val="21"/>
              </w:rPr>
              <w:t>2</w:t>
            </w:r>
          </w:p>
        </w:tc>
        <w:tc>
          <w:tcPr>
            <w:tcW w:w="2732" w:type="dxa"/>
            <w:noWrap w:val="0"/>
            <w:vAlign w:val="center"/>
          </w:tcPr>
          <w:p w14:paraId="4E7DB11C">
            <w:pPr>
              <w:adjustRightInd w:val="0"/>
              <w:snapToGrid w:val="0"/>
              <w:jc w:val="center"/>
              <w:rPr>
                <w:bCs/>
                <w:szCs w:val="21"/>
              </w:rPr>
            </w:pPr>
            <w:r>
              <w:rPr>
                <w:bCs/>
                <w:szCs w:val="21"/>
              </w:rPr>
              <w:t>总建筑面积</w:t>
            </w:r>
          </w:p>
        </w:tc>
        <w:tc>
          <w:tcPr>
            <w:tcW w:w="1430" w:type="dxa"/>
            <w:noWrap w:val="0"/>
            <w:vAlign w:val="center"/>
          </w:tcPr>
          <w:p w14:paraId="24971F95">
            <w:pPr>
              <w:adjustRightInd w:val="0"/>
              <w:snapToGrid w:val="0"/>
              <w:jc w:val="center"/>
              <w:rPr>
                <w:bCs/>
                <w:szCs w:val="21"/>
              </w:rPr>
            </w:pPr>
            <w:r>
              <w:rPr>
                <w:bCs/>
                <w:szCs w:val="21"/>
              </w:rPr>
              <w:t>m</w:t>
            </w:r>
            <w:r>
              <w:rPr>
                <w:bCs/>
                <w:szCs w:val="21"/>
                <w:vertAlign w:val="superscript"/>
              </w:rPr>
              <w:t>2</w:t>
            </w:r>
          </w:p>
        </w:tc>
        <w:tc>
          <w:tcPr>
            <w:tcW w:w="2471" w:type="dxa"/>
            <w:noWrap w:val="0"/>
            <w:vAlign w:val="center"/>
          </w:tcPr>
          <w:p w14:paraId="1708EC08">
            <w:pPr>
              <w:adjustRightInd w:val="0"/>
              <w:snapToGrid w:val="0"/>
              <w:jc w:val="center"/>
              <w:rPr>
                <w:bCs/>
                <w:szCs w:val="21"/>
              </w:rPr>
            </w:pPr>
            <w:r>
              <w:rPr>
                <w:bCs/>
                <w:szCs w:val="21"/>
              </w:rPr>
              <w:t>25675.27</w:t>
            </w:r>
          </w:p>
        </w:tc>
        <w:tc>
          <w:tcPr>
            <w:tcW w:w="1139" w:type="dxa"/>
            <w:noWrap w:val="0"/>
            <w:vAlign w:val="top"/>
          </w:tcPr>
          <w:p w14:paraId="587D443B">
            <w:pPr>
              <w:adjustRightInd w:val="0"/>
              <w:snapToGrid w:val="0"/>
              <w:jc w:val="center"/>
              <w:rPr>
                <w:bCs/>
                <w:szCs w:val="21"/>
              </w:rPr>
            </w:pPr>
            <w:r>
              <w:rPr>
                <w:bCs/>
                <w:szCs w:val="21"/>
              </w:rPr>
              <w:t>/</w:t>
            </w:r>
          </w:p>
        </w:tc>
      </w:tr>
      <w:tr w14:paraId="76A0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68EEA0CA">
            <w:pPr>
              <w:adjustRightInd w:val="0"/>
              <w:snapToGrid w:val="0"/>
              <w:jc w:val="center"/>
              <w:rPr>
                <w:bCs/>
                <w:szCs w:val="21"/>
              </w:rPr>
            </w:pPr>
            <w:r>
              <w:rPr>
                <w:bCs/>
                <w:szCs w:val="21"/>
              </w:rPr>
              <w:t>2.1</w:t>
            </w:r>
          </w:p>
        </w:tc>
        <w:tc>
          <w:tcPr>
            <w:tcW w:w="2732" w:type="dxa"/>
            <w:noWrap w:val="0"/>
            <w:vAlign w:val="center"/>
          </w:tcPr>
          <w:p w14:paraId="7D02F80F">
            <w:pPr>
              <w:jc w:val="center"/>
              <w:rPr>
                <w:bCs/>
                <w:szCs w:val="21"/>
              </w:rPr>
            </w:pPr>
            <w:r>
              <w:rPr>
                <w:bCs/>
                <w:szCs w:val="21"/>
              </w:rPr>
              <w:t>养殖区</w:t>
            </w:r>
          </w:p>
        </w:tc>
        <w:tc>
          <w:tcPr>
            <w:tcW w:w="1430" w:type="dxa"/>
            <w:noWrap w:val="0"/>
            <w:vAlign w:val="center"/>
          </w:tcPr>
          <w:p w14:paraId="0AFDC845">
            <w:pPr>
              <w:adjustRightInd w:val="0"/>
              <w:snapToGrid w:val="0"/>
              <w:jc w:val="center"/>
              <w:rPr>
                <w:bCs/>
                <w:szCs w:val="21"/>
              </w:rPr>
            </w:pPr>
            <w:r>
              <w:rPr>
                <w:bCs/>
                <w:szCs w:val="21"/>
              </w:rPr>
              <w:t>m</w:t>
            </w:r>
            <w:r>
              <w:rPr>
                <w:bCs/>
                <w:szCs w:val="21"/>
                <w:vertAlign w:val="superscript"/>
              </w:rPr>
              <w:t>2</w:t>
            </w:r>
          </w:p>
        </w:tc>
        <w:tc>
          <w:tcPr>
            <w:tcW w:w="2471" w:type="dxa"/>
            <w:noWrap w:val="0"/>
            <w:vAlign w:val="center"/>
          </w:tcPr>
          <w:p w14:paraId="4E6305DE">
            <w:pPr>
              <w:adjustRightInd w:val="0"/>
              <w:snapToGrid w:val="0"/>
              <w:jc w:val="center"/>
              <w:rPr>
                <w:bCs/>
                <w:szCs w:val="21"/>
              </w:rPr>
            </w:pPr>
            <w:r>
              <w:rPr>
                <w:bCs/>
                <w:szCs w:val="21"/>
              </w:rPr>
              <w:t>22659.82</w:t>
            </w:r>
          </w:p>
        </w:tc>
        <w:tc>
          <w:tcPr>
            <w:tcW w:w="1139" w:type="dxa"/>
            <w:noWrap w:val="0"/>
            <w:vAlign w:val="top"/>
          </w:tcPr>
          <w:p w14:paraId="7DA509ED">
            <w:pPr>
              <w:adjustRightInd w:val="0"/>
              <w:snapToGrid w:val="0"/>
              <w:jc w:val="center"/>
              <w:rPr>
                <w:bCs/>
                <w:szCs w:val="21"/>
              </w:rPr>
            </w:pPr>
            <w:r>
              <w:rPr>
                <w:bCs/>
                <w:szCs w:val="21"/>
              </w:rPr>
              <w:t>建筑面积</w:t>
            </w:r>
          </w:p>
        </w:tc>
      </w:tr>
      <w:tr w14:paraId="58FF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4AF67A1B">
            <w:pPr>
              <w:adjustRightInd w:val="0"/>
              <w:snapToGrid w:val="0"/>
              <w:jc w:val="center"/>
              <w:rPr>
                <w:bCs/>
                <w:szCs w:val="21"/>
              </w:rPr>
            </w:pPr>
            <w:r>
              <w:rPr>
                <w:bCs/>
                <w:szCs w:val="21"/>
              </w:rPr>
              <w:t>2.1.1</w:t>
            </w:r>
          </w:p>
        </w:tc>
        <w:tc>
          <w:tcPr>
            <w:tcW w:w="2732" w:type="dxa"/>
            <w:noWrap w:val="0"/>
            <w:vAlign w:val="center"/>
          </w:tcPr>
          <w:p w14:paraId="795268D9">
            <w:pPr>
              <w:jc w:val="center"/>
              <w:rPr>
                <w:bCs/>
                <w:szCs w:val="21"/>
              </w:rPr>
            </w:pPr>
            <w:r>
              <w:rPr>
                <w:bCs/>
                <w:szCs w:val="21"/>
              </w:rPr>
              <w:t>猪舍</w:t>
            </w:r>
          </w:p>
        </w:tc>
        <w:tc>
          <w:tcPr>
            <w:tcW w:w="1430" w:type="dxa"/>
            <w:noWrap w:val="0"/>
            <w:vAlign w:val="center"/>
          </w:tcPr>
          <w:p w14:paraId="14DA2103">
            <w:pPr>
              <w:adjustRightInd w:val="0"/>
              <w:snapToGrid w:val="0"/>
              <w:jc w:val="center"/>
              <w:rPr>
                <w:bCs/>
                <w:szCs w:val="21"/>
              </w:rPr>
            </w:pPr>
            <w:r>
              <w:rPr>
                <w:bCs/>
                <w:szCs w:val="21"/>
              </w:rPr>
              <w:t>m</w:t>
            </w:r>
            <w:r>
              <w:rPr>
                <w:bCs/>
                <w:szCs w:val="21"/>
                <w:vertAlign w:val="superscript"/>
              </w:rPr>
              <w:t>2</w:t>
            </w:r>
          </w:p>
        </w:tc>
        <w:tc>
          <w:tcPr>
            <w:tcW w:w="2471" w:type="dxa"/>
            <w:noWrap w:val="0"/>
            <w:vAlign w:val="center"/>
          </w:tcPr>
          <w:p w14:paraId="01AF5054">
            <w:pPr>
              <w:adjustRightInd w:val="0"/>
              <w:snapToGrid w:val="0"/>
              <w:jc w:val="center"/>
              <w:rPr>
                <w:bCs/>
                <w:szCs w:val="21"/>
              </w:rPr>
            </w:pPr>
            <w:r>
              <w:rPr>
                <w:bCs/>
                <w:szCs w:val="21"/>
              </w:rPr>
              <w:t>22659.82</w:t>
            </w:r>
          </w:p>
        </w:tc>
        <w:tc>
          <w:tcPr>
            <w:tcW w:w="1139" w:type="dxa"/>
            <w:noWrap w:val="0"/>
            <w:vAlign w:val="top"/>
          </w:tcPr>
          <w:p w14:paraId="0E252055">
            <w:pPr>
              <w:adjustRightInd w:val="0"/>
              <w:snapToGrid w:val="0"/>
              <w:jc w:val="center"/>
              <w:rPr>
                <w:bCs/>
                <w:szCs w:val="21"/>
              </w:rPr>
            </w:pPr>
            <w:r>
              <w:rPr>
                <w:bCs/>
                <w:szCs w:val="21"/>
              </w:rPr>
              <w:t>/</w:t>
            </w:r>
          </w:p>
        </w:tc>
      </w:tr>
      <w:tr w14:paraId="5BBF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75D3F999">
            <w:pPr>
              <w:adjustRightInd w:val="0"/>
              <w:snapToGrid w:val="0"/>
              <w:jc w:val="center"/>
              <w:rPr>
                <w:bCs/>
                <w:szCs w:val="21"/>
              </w:rPr>
            </w:pPr>
            <w:r>
              <w:rPr>
                <w:bCs/>
                <w:szCs w:val="21"/>
              </w:rPr>
              <w:t>2.1.3</w:t>
            </w:r>
          </w:p>
        </w:tc>
        <w:tc>
          <w:tcPr>
            <w:tcW w:w="2732" w:type="dxa"/>
            <w:noWrap w:val="0"/>
            <w:vAlign w:val="center"/>
          </w:tcPr>
          <w:p w14:paraId="25FD7E08">
            <w:pPr>
              <w:jc w:val="center"/>
              <w:rPr>
                <w:bCs/>
                <w:szCs w:val="21"/>
              </w:rPr>
            </w:pPr>
            <w:r>
              <w:rPr>
                <w:bCs/>
                <w:szCs w:val="21"/>
              </w:rPr>
              <w:t>广场及其他配套设施</w:t>
            </w:r>
          </w:p>
        </w:tc>
        <w:tc>
          <w:tcPr>
            <w:tcW w:w="1430" w:type="dxa"/>
            <w:noWrap w:val="0"/>
            <w:vAlign w:val="center"/>
          </w:tcPr>
          <w:p w14:paraId="2F5C71C6">
            <w:pPr>
              <w:adjustRightInd w:val="0"/>
              <w:snapToGrid w:val="0"/>
              <w:jc w:val="center"/>
              <w:rPr>
                <w:bCs/>
                <w:szCs w:val="21"/>
              </w:rPr>
            </w:pPr>
            <w:r>
              <w:rPr>
                <w:bCs/>
                <w:szCs w:val="21"/>
              </w:rPr>
              <w:t>m</w:t>
            </w:r>
            <w:r>
              <w:rPr>
                <w:bCs/>
                <w:szCs w:val="21"/>
                <w:vertAlign w:val="superscript"/>
              </w:rPr>
              <w:t>2</w:t>
            </w:r>
          </w:p>
        </w:tc>
        <w:tc>
          <w:tcPr>
            <w:tcW w:w="2471" w:type="dxa"/>
            <w:noWrap w:val="0"/>
            <w:vAlign w:val="center"/>
          </w:tcPr>
          <w:p w14:paraId="335DB12A">
            <w:pPr>
              <w:adjustRightInd w:val="0"/>
              <w:snapToGrid w:val="0"/>
              <w:jc w:val="center"/>
              <w:rPr>
                <w:bCs/>
                <w:szCs w:val="21"/>
              </w:rPr>
            </w:pPr>
            <w:r>
              <w:rPr>
                <w:bCs/>
                <w:szCs w:val="21"/>
              </w:rPr>
              <w:t>51599.44</w:t>
            </w:r>
          </w:p>
        </w:tc>
        <w:tc>
          <w:tcPr>
            <w:tcW w:w="1139" w:type="dxa"/>
            <w:noWrap w:val="0"/>
            <w:vAlign w:val="top"/>
          </w:tcPr>
          <w:p w14:paraId="260E7B33">
            <w:pPr>
              <w:adjustRightInd w:val="0"/>
              <w:snapToGrid w:val="0"/>
              <w:jc w:val="center"/>
              <w:rPr>
                <w:bCs/>
                <w:szCs w:val="21"/>
              </w:rPr>
            </w:pPr>
            <w:r>
              <w:rPr>
                <w:bCs/>
                <w:szCs w:val="21"/>
              </w:rPr>
              <w:t>/</w:t>
            </w:r>
          </w:p>
        </w:tc>
      </w:tr>
      <w:tr w14:paraId="7037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1167B1F8">
            <w:pPr>
              <w:adjustRightInd w:val="0"/>
              <w:snapToGrid w:val="0"/>
              <w:jc w:val="center"/>
              <w:rPr>
                <w:bCs/>
                <w:szCs w:val="21"/>
              </w:rPr>
            </w:pPr>
            <w:r>
              <w:rPr>
                <w:bCs/>
                <w:szCs w:val="21"/>
              </w:rPr>
              <w:t>2.1.4</w:t>
            </w:r>
          </w:p>
        </w:tc>
        <w:tc>
          <w:tcPr>
            <w:tcW w:w="2732" w:type="dxa"/>
            <w:noWrap w:val="0"/>
            <w:vAlign w:val="center"/>
          </w:tcPr>
          <w:p w14:paraId="46C412BF">
            <w:pPr>
              <w:jc w:val="center"/>
              <w:rPr>
                <w:bCs/>
                <w:szCs w:val="21"/>
              </w:rPr>
            </w:pPr>
            <w:r>
              <w:rPr>
                <w:bCs/>
                <w:szCs w:val="21"/>
              </w:rPr>
              <w:t>办公生活区</w:t>
            </w:r>
          </w:p>
        </w:tc>
        <w:tc>
          <w:tcPr>
            <w:tcW w:w="1430" w:type="dxa"/>
            <w:noWrap w:val="0"/>
            <w:vAlign w:val="center"/>
          </w:tcPr>
          <w:p w14:paraId="223DF59A">
            <w:pPr>
              <w:adjustRightInd w:val="0"/>
              <w:snapToGrid w:val="0"/>
              <w:jc w:val="center"/>
              <w:rPr>
                <w:bCs/>
                <w:szCs w:val="21"/>
              </w:rPr>
            </w:pPr>
            <w:r>
              <w:rPr>
                <w:bCs/>
                <w:szCs w:val="21"/>
              </w:rPr>
              <w:t>m</w:t>
            </w:r>
            <w:r>
              <w:rPr>
                <w:bCs/>
                <w:szCs w:val="21"/>
                <w:vertAlign w:val="superscript"/>
              </w:rPr>
              <w:t>2</w:t>
            </w:r>
          </w:p>
        </w:tc>
        <w:tc>
          <w:tcPr>
            <w:tcW w:w="2471" w:type="dxa"/>
            <w:noWrap w:val="0"/>
            <w:vAlign w:val="center"/>
          </w:tcPr>
          <w:p w14:paraId="6273BF16">
            <w:pPr>
              <w:adjustRightInd w:val="0"/>
              <w:snapToGrid w:val="0"/>
              <w:jc w:val="center"/>
              <w:rPr>
                <w:bCs/>
                <w:szCs w:val="21"/>
              </w:rPr>
            </w:pPr>
            <w:r>
              <w:rPr>
                <w:bCs/>
                <w:szCs w:val="21"/>
              </w:rPr>
              <w:t>3073.3</w:t>
            </w:r>
          </w:p>
        </w:tc>
        <w:tc>
          <w:tcPr>
            <w:tcW w:w="1139" w:type="dxa"/>
            <w:noWrap w:val="0"/>
            <w:vAlign w:val="top"/>
          </w:tcPr>
          <w:p w14:paraId="4F64AC6E">
            <w:pPr>
              <w:adjustRightInd w:val="0"/>
              <w:snapToGrid w:val="0"/>
              <w:jc w:val="center"/>
              <w:rPr>
                <w:bCs/>
                <w:szCs w:val="21"/>
              </w:rPr>
            </w:pPr>
            <w:r>
              <w:rPr>
                <w:bCs/>
                <w:szCs w:val="21"/>
              </w:rPr>
              <w:t>/</w:t>
            </w:r>
          </w:p>
        </w:tc>
      </w:tr>
      <w:tr w14:paraId="36F7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6885F43">
            <w:pPr>
              <w:adjustRightInd w:val="0"/>
              <w:snapToGrid w:val="0"/>
              <w:jc w:val="center"/>
              <w:rPr>
                <w:bCs/>
                <w:szCs w:val="21"/>
              </w:rPr>
            </w:pPr>
            <w:r>
              <w:rPr>
                <w:bCs/>
                <w:szCs w:val="21"/>
              </w:rPr>
              <w:t>3</w:t>
            </w:r>
          </w:p>
        </w:tc>
        <w:tc>
          <w:tcPr>
            <w:tcW w:w="7772" w:type="dxa"/>
            <w:gridSpan w:val="4"/>
            <w:noWrap w:val="0"/>
            <w:vAlign w:val="center"/>
          </w:tcPr>
          <w:p w14:paraId="2E8801A7">
            <w:pPr>
              <w:adjustRightInd w:val="0"/>
              <w:snapToGrid w:val="0"/>
              <w:jc w:val="center"/>
              <w:rPr>
                <w:bCs/>
                <w:szCs w:val="21"/>
              </w:rPr>
            </w:pPr>
            <w:r>
              <w:rPr>
                <w:bCs/>
                <w:szCs w:val="21"/>
              </w:rPr>
              <w:t>产品方案</w:t>
            </w:r>
          </w:p>
        </w:tc>
      </w:tr>
      <w:tr w14:paraId="641C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2B5A1A88">
            <w:pPr>
              <w:adjustRightInd w:val="0"/>
              <w:snapToGrid w:val="0"/>
              <w:jc w:val="center"/>
              <w:rPr>
                <w:bCs/>
                <w:szCs w:val="21"/>
              </w:rPr>
            </w:pPr>
            <w:r>
              <w:rPr>
                <w:bCs/>
                <w:szCs w:val="21"/>
              </w:rPr>
              <w:t>3.1</w:t>
            </w:r>
          </w:p>
        </w:tc>
        <w:tc>
          <w:tcPr>
            <w:tcW w:w="2732" w:type="dxa"/>
            <w:noWrap w:val="0"/>
            <w:vAlign w:val="center"/>
          </w:tcPr>
          <w:p w14:paraId="30244180">
            <w:pPr>
              <w:adjustRightInd w:val="0"/>
              <w:snapToGrid w:val="0"/>
              <w:jc w:val="center"/>
              <w:rPr>
                <w:bCs/>
                <w:szCs w:val="21"/>
              </w:rPr>
            </w:pPr>
            <w:r>
              <w:rPr>
                <w:rFonts w:hint="eastAsia"/>
                <w:bCs/>
                <w:szCs w:val="21"/>
              </w:rPr>
              <w:t>养殖</w:t>
            </w:r>
            <w:r>
              <w:rPr>
                <w:bCs/>
                <w:szCs w:val="21"/>
              </w:rPr>
              <w:t>商品猪</w:t>
            </w:r>
          </w:p>
        </w:tc>
        <w:tc>
          <w:tcPr>
            <w:tcW w:w="1430" w:type="dxa"/>
            <w:noWrap w:val="0"/>
            <w:vAlign w:val="center"/>
          </w:tcPr>
          <w:p w14:paraId="1DF83D89">
            <w:pPr>
              <w:adjustRightInd w:val="0"/>
              <w:snapToGrid w:val="0"/>
              <w:jc w:val="center"/>
              <w:rPr>
                <w:bCs/>
                <w:szCs w:val="21"/>
              </w:rPr>
            </w:pPr>
            <w:r>
              <w:rPr>
                <w:bCs/>
                <w:szCs w:val="21"/>
              </w:rPr>
              <w:t>头</w:t>
            </w:r>
          </w:p>
        </w:tc>
        <w:tc>
          <w:tcPr>
            <w:tcW w:w="2471" w:type="dxa"/>
            <w:noWrap w:val="0"/>
            <w:vAlign w:val="center"/>
          </w:tcPr>
          <w:p w14:paraId="31F81090">
            <w:pPr>
              <w:adjustRightInd w:val="0"/>
              <w:snapToGrid w:val="0"/>
              <w:jc w:val="center"/>
              <w:rPr>
                <w:bCs/>
                <w:szCs w:val="21"/>
              </w:rPr>
            </w:pPr>
            <w:r>
              <w:rPr>
                <w:rFonts w:hint="eastAsia"/>
                <w:bCs/>
                <w:szCs w:val="21"/>
              </w:rPr>
              <w:t>9300</w:t>
            </w:r>
          </w:p>
        </w:tc>
        <w:tc>
          <w:tcPr>
            <w:tcW w:w="1139" w:type="dxa"/>
            <w:noWrap w:val="0"/>
            <w:vAlign w:val="top"/>
          </w:tcPr>
          <w:p w14:paraId="0BC13E78">
            <w:pPr>
              <w:adjustRightInd w:val="0"/>
              <w:snapToGrid w:val="0"/>
              <w:jc w:val="center"/>
              <w:rPr>
                <w:bCs/>
                <w:szCs w:val="21"/>
              </w:rPr>
            </w:pPr>
            <w:r>
              <w:rPr>
                <w:bCs/>
                <w:szCs w:val="21"/>
              </w:rPr>
              <w:t>/</w:t>
            </w:r>
          </w:p>
        </w:tc>
      </w:tr>
      <w:tr w14:paraId="5C6B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50" w:type="dxa"/>
            <w:noWrap w:val="0"/>
            <w:vAlign w:val="center"/>
          </w:tcPr>
          <w:p w14:paraId="0B6BC55D">
            <w:pPr>
              <w:adjustRightInd w:val="0"/>
              <w:snapToGrid w:val="0"/>
              <w:jc w:val="center"/>
              <w:rPr>
                <w:bCs/>
                <w:szCs w:val="21"/>
              </w:rPr>
            </w:pPr>
            <w:r>
              <w:rPr>
                <w:bCs/>
                <w:szCs w:val="21"/>
              </w:rPr>
              <w:t>3.2</w:t>
            </w:r>
          </w:p>
        </w:tc>
        <w:tc>
          <w:tcPr>
            <w:tcW w:w="2732" w:type="dxa"/>
            <w:noWrap w:val="0"/>
            <w:vAlign w:val="center"/>
          </w:tcPr>
          <w:p w14:paraId="7277F5FA">
            <w:pPr>
              <w:adjustRightInd w:val="0"/>
              <w:snapToGrid w:val="0"/>
              <w:jc w:val="center"/>
              <w:rPr>
                <w:bCs/>
                <w:szCs w:val="21"/>
              </w:rPr>
            </w:pPr>
            <w:r>
              <w:rPr>
                <w:bCs/>
                <w:szCs w:val="21"/>
              </w:rPr>
              <w:t>总投资</w:t>
            </w:r>
          </w:p>
        </w:tc>
        <w:tc>
          <w:tcPr>
            <w:tcW w:w="1430" w:type="dxa"/>
            <w:noWrap w:val="0"/>
            <w:vAlign w:val="center"/>
          </w:tcPr>
          <w:p w14:paraId="52B54761">
            <w:pPr>
              <w:adjustRightInd w:val="0"/>
              <w:snapToGrid w:val="0"/>
              <w:jc w:val="center"/>
              <w:rPr>
                <w:bCs/>
                <w:szCs w:val="21"/>
              </w:rPr>
            </w:pPr>
            <w:r>
              <w:rPr>
                <w:bCs/>
                <w:szCs w:val="21"/>
              </w:rPr>
              <w:t>万元</w:t>
            </w:r>
          </w:p>
        </w:tc>
        <w:tc>
          <w:tcPr>
            <w:tcW w:w="2471" w:type="dxa"/>
            <w:noWrap w:val="0"/>
            <w:vAlign w:val="center"/>
          </w:tcPr>
          <w:p w14:paraId="48C49C4B">
            <w:pPr>
              <w:adjustRightInd w:val="0"/>
              <w:snapToGrid w:val="0"/>
              <w:jc w:val="center"/>
              <w:rPr>
                <w:bCs/>
                <w:szCs w:val="21"/>
              </w:rPr>
            </w:pPr>
            <w:r>
              <w:rPr>
                <w:bCs/>
                <w:szCs w:val="21"/>
              </w:rPr>
              <w:t>4800</w:t>
            </w:r>
          </w:p>
        </w:tc>
        <w:tc>
          <w:tcPr>
            <w:tcW w:w="1139" w:type="dxa"/>
            <w:noWrap w:val="0"/>
            <w:vAlign w:val="top"/>
          </w:tcPr>
          <w:p w14:paraId="76E4EFB5">
            <w:pPr>
              <w:adjustRightInd w:val="0"/>
              <w:snapToGrid w:val="0"/>
              <w:jc w:val="center"/>
              <w:rPr>
                <w:bCs/>
                <w:szCs w:val="21"/>
              </w:rPr>
            </w:pPr>
            <w:r>
              <w:rPr>
                <w:bCs/>
                <w:szCs w:val="21"/>
              </w:rPr>
              <w:t>/</w:t>
            </w:r>
          </w:p>
        </w:tc>
      </w:tr>
      <w:tr w14:paraId="4592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0D7AA755">
            <w:pPr>
              <w:adjustRightInd w:val="0"/>
              <w:snapToGrid w:val="0"/>
              <w:jc w:val="center"/>
              <w:rPr>
                <w:bCs/>
                <w:szCs w:val="21"/>
              </w:rPr>
            </w:pPr>
            <w:r>
              <w:rPr>
                <w:bCs/>
                <w:szCs w:val="21"/>
              </w:rPr>
              <w:t>3.3</w:t>
            </w:r>
          </w:p>
        </w:tc>
        <w:tc>
          <w:tcPr>
            <w:tcW w:w="2732" w:type="dxa"/>
            <w:noWrap w:val="0"/>
            <w:vAlign w:val="center"/>
          </w:tcPr>
          <w:p w14:paraId="347A3DC7">
            <w:pPr>
              <w:adjustRightInd w:val="0"/>
              <w:snapToGrid w:val="0"/>
              <w:jc w:val="center"/>
              <w:rPr>
                <w:bCs/>
                <w:szCs w:val="21"/>
              </w:rPr>
            </w:pPr>
            <w:r>
              <w:rPr>
                <w:bCs/>
                <w:szCs w:val="21"/>
              </w:rPr>
              <w:t>建设期限</w:t>
            </w:r>
          </w:p>
        </w:tc>
        <w:tc>
          <w:tcPr>
            <w:tcW w:w="1430" w:type="dxa"/>
            <w:noWrap w:val="0"/>
            <w:vAlign w:val="center"/>
          </w:tcPr>
          <w:p w14:paraId="057C7133">
            <w:pPr>
              <w:adjustRightInd w:val="0"/>
              <w:snapToGrid w:val="0"/>
              <w:jc w:val="center"/>
              <w:rPr>
                <w:bCs/>
                <w:szCs w:val="21"/>
              </w:rPr>
            </w:pPr>
            <w:r>
              <w:rPr>
                <w:bCs/>
                <w:szCs w:val="21"/>
              </w:rPr>
              <w:t>月</w:t>
            </w:r>
          </w:p>
        </w:tc>
        <w:tc>
          <w:tcPr>
            <w:tcW w:w="2471" w:type="dxa"/>
            <w:noWrap w:val="0"/>
            <w:vAlign w:val="center"/>
          </w:tcPr>
          <w:p w14:paraId="6742945D">
            <w:pPr>
              <w:adjustRightInd w:val="0"/>
              <w:snapToGrid w:val="0"/>
              <w:jc w:val="center"/>
              <w:rPr>
                <w:bCs/>
                <w:szCs w:val="21"/>
              </w:rPr>
            </w:pPr>
            <w:r>
              <w:rPr>
                <w:rFonts w:hint="eastAsia"/>
                <w:bCs/>
                <w:szCs w:val="21"/>
              </w:rPr>
              <w:t>5</w:t>
            </w:r>
          </w:p>
        </w:tc>
        <w:tc>
          <w:tcPr>
            <w:tcW w:w="1139" w:type="dxa"/>
            <w:noWrap w:val="0"/>
            <w:vAlign w:val="top"/>
          </w:tcPr>
          <w:p w14:paraId="675C21AD">
            <w:pPr>
              <w:adjustRightInd w:val="0"/>
              <w:snapToGrid w:val="0"/>
              <w:jc w:val="center"/>
              <w:rPr>
                <w:bCs/>
                <w:szCs w:val="21"/>
              </w:rPr>
            </w:pPr>
          </w:p>
        </w:tc>
      </w:tr>
      <w:tr w14:paraId="20C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468B22F1">
            <w:pPr>
              <w:adjustRightInd w:val="0"/>
              <w:snapToGrid w:val="0"/>
              <w:jc w:val="center"/>
              <w:rPr>
                <w:bCs/>
                <w:szCs w:val="21"/>
              </w:rPr>
            </w:pPr>
            <w:r>
              <w:rPr>
                <w:bCs/>
                <w:szCs w:val="21"/>
              </w:rPr>
              <w:t>3.4</w:t>
            </w:r>
          </w:p>
        </w:tc>
        <w:tc>
          <w:tcPr>
            <w:tcW w:w="2732" w:type="dxa"/>
            <w:noWrap w:val="0"/>
            <w:vAlign w:val="center"/>
          </w:tcPr>
          <w:p w14:paraId="309CCDB0">
            <w:pPr>
              <w:adjustRightInd w:val="0"/>
              <w:snapToGrid w:val="0"/>
              <w:jc w:val="center"/>
              <w:rPr>
                <w:bCs/>
                <w:szCs w:val="21"/>
              </w:rPr>
            </w:pPr>
            <w:r>
              <w:rPr>
                <w:bCs/>
                <w:szCs w:val="21"/>
              </w:rPr>
              <w:t>劳动定员</w:t>
            </w:r>
          </w:p>
        </w:tc>
        <w:tc>
          <w:tcPr>
            <w:tcW w:w="1430" w:type="dxa"/>
            <w:noWrap w:val="0"/>
            <w:vAlign w:val="center"/>
          </w:tcPr>
          <w:p w14:paraId="1AF7BA8F">
            <w:pPr>
              <w:adjustRightInd w:val="0"/>
              <w:snapToGrid w:val="0"/>
              <w:jc w:val="center"/>
              <w:rPr>
                <w:bCs/>
                <w:szCs w:val="21"/>
              </w:rPr>
            </w:pPr>
            <w:r>
              <w:rPr>
                <w:bCs/>
                <w:szCs w:val="21"/>
              </w:rPr>
              <w:t>人</w:t>
            </w:r>
          </w:p>
        </w:tc>
        <w:tc>
          <w:tcPr>
            <w:tcW w:w="2471" w:type="dxa"/>
            <w:noWrap w:val="0"/>
            <w:vAlign w:val="center"/>
          </w:tcPr>
          <w:p w14:paraId="5510B099">
            <w:pPr>
              <w:adjustRightInd w:val="0"/>
              <w:snapToGrid w:val="0"/>
              <w:jc w:val="center"/>
              <w:rPr>
                <w:bCs/>
                <w:szCs w:val="21"/>
              </w:rPr>
            </w:pPr>
            <w:r>
              <w:rPr>
                <w:bCs/>
                <w:szCs w:val="21"/>
              </w:rPr>
              <w:t>32</w:t>
            </w:r>
          </w:p>
        </w:tc>
        <w:tc>
          <w:tcPr>
            <w:tcW w:w="1139" w:type="dxa"/>
            <w:noWrap w:val="0"/>
            <w:vAlign w:val="top"/>
          </w:tcPr>
          <w:p w14:paraId="500B5A90">
            <w:pPr>
              <w:adjustRightInd w:val="0"/>
              <w:snapToGrid w:val="0"/>
              <w:jc w:val="center"/>
              <w:rPr>
                <w:bCs/>
                <w:szCs w:val="21"/>
              </w:rPr>
            </w:pPr>
            <w:r>
              <w:rPr>
                <w:bCs/>
                <w:szCs w:val="21"/>
              </w:rPr>
              <w:t>/</w:t>
            </w:r>
          </w:p>
        </w:tc>
      </w:tr>
    </w:tbl>
    <w:p w14:paraId="56E2A16F">
      <w:pPr>
        <w:pStyle w:val="6"/>
        <w:spacing w:before="0" w:after="0" w:line="360" w:lineRule="auto"/>
        <w:rPr>
          <w:rFonts w:ascii="Times New Roman" w:hAnsi="Times New Roman" w:eastAsia="宋体"/>
          <w:sz w:val="30"/>
          <w:szCs w:val="30"/>
        </w:rPr>
      </w:pPr>
      <w:bookmarkStart w:id="72" w:name="_Toc27782"/>
      <w:bookmarkStart w:id="73" w:name="_Toc393899077"/>
      <w:bookmarkStart w:id="74" w:name="_Toc475462887"/>
      <w:r>
        <w:rPr>
          <w:rFonts w:ascii="Times New Roman" w:hAnsi="Times New Roman" w:eastAsia="宋体"/>
          <w:sz w:val="30"/>
          <w:szCs w:val="30"/>
        </w:rPr>
        <w:t>3.2施工期</w:t>
      </w:r>
      <w:r>
        <w:rPr>
          <w:rFonts w:ascii="Times New Roman" w:hAnsi="Times New Roman" w:eastAsia="宋体"/>
          <w:bCs w:val="0"/>
          <w:sz w:val="30"/>
          <w:szCs w:val="30"/>
        </w:rPr>
        <w:t>生产工艺及产污环节分析</w:t>
      </w:r>
      <w:bookmarkEnd w:id="72"/>
    </w:p>
    <w:bookmarkEnd w:id="73"/>
    <w:bookmarkEnd w:id="74"/>
    <w:p w14:paraId="5689528C">
      <w:pPr>
        <w:autoSpaceDE w:val="0"/>
        <w:autoSpaceDN w:val="0"/>
        <w:adjustRightInd w:val="0"/>
        <w:spacing w:line="360" w:lineRule="auto"/>
        <w:ind w:firstLine="482" w:firstLineChars="200"/>
        <w:jc w:val="left"/>
        <w:rPr>
          <w:b/>
          <w:sz w:val="24"/>
        </w:rPr>
      </w:pPr>
      <w:r>
        <w:rPr>
          <w:b/>
          <w:sz w:val="24"/>
        </w:rPr>
        <w:t>一、施工期产污环节</w:t>
      </w:r>
    </w:p>
    <w:p w14:paraId="29E52FCA">
      <w:pPr>
        <w:autoSpaceDE w:val="0"/>
        <w:autoSpaceDN w:val="0"/>
        <w:adjustRightInd w:val="0"/>
        <w:spacing w:line="360" w:lineRule="auto"/>
        <w:ind w:firstLine="480" w:firstLineChars="200"/>
        <w:jc w:val="left"/>
        <w:rPr>
          <w:sz w:val="24"/>
        </w:rPr>
      </w:pPr>
      <w:r>
        <w:rPr>
          <w:sz w:val="24"/>
        </w:rPr>
        <w:t>在原煤矿关闭后闲置土地建设生猪养殖项目，场地内已存在部分建筑，原为煤矿办公生活区及设备仓储用房，本次部分猪舍利用原场地内建筑进行改造，项目施工内容主要包括原有建筑改造，土地平整、猪舍、办公区、生活区、配套辅助设施、环保工程及场内道路的修建。施工流程及产污环节如下图所示：</w:t>
      </w:r>
    </w:p>
    <w:p w14:paraId="52895ED5">
      <w:pPr>
        <w:autoSpaceDE w:val="0"/>
        <w:autoSpaceDN w:val="0"/>
        <w:adjustRightInd w:val="0"/>
        <w:spacing w:line="360" w:lineRule="auto"/>
        <w:jc w:val="center"/>
        <w:rPr>
          <w:b/>
          <w:sz w:val="24"/>
        </w:rPr>
      </w:pPr>
      <w:r>
        <w:object>
          <v:shape id="_x0000_i1028" o:spt="75" type="#_x0000_t75" style="height:118.25pt;width:421.05pt;" o:ole="t" filled="f" o:preferrelative="t" stroked="f" coordsize="21600,21600">
            <v:path/>
            <v:fill on="f" focussize="0,0"/>
            <v:stroke on="f"/>
            <v:imagedata r:id="rId20" o:title=""/>
            <o:lock v:ext="edit" aspectratio="t"/>
            <w10:wrap type="none"/>
            <w10:anchorlock/>
          </v:shape>
          <o:OLEObject Type="Embed" ProgID="Visio.Drawing.11" ShapeID="_x0000_i1028" DrawAspect="Content" ObjectID="_1468075725" r:id="rId19">
            <o:LockedField>false</o:LockedField>
          </o:OLEObject>
        </w:object>
      </w:r>
      <w:r>
        <w:rPr>
          <w:b/>
          <w:sz w:val="24"/>
        </w:rPr>
        <w:t>图3</w:t>
      </w:r>
      <w:r>
        <w:rPr>
          <w:rFonts w:hint="eastAsia"/>
          <w:b/>
          <w:sz w:val="24"/>
        </w:rPr>
        <w:t>-7</w:t>
      </w:r>
      <w:r>
        <w:rPr>
          <w:b/>
          <w:sz w:val="24"/>
        </w:rPr>
        <w:t xml:space="preserve">   施工期工艺流程及产污节点图</w:t>
      </w:r>
    </w:p>
    <w:p w14:paraId="7ACE1120">
      <w:pPr>
        <w:autoSpaceDE w:val="0"/>
        <w:autoSpaceDN w:val="0"/>
        <w:adjustRightInd w:val="0"/>
        <w:spacing w:line="360" w:lineRule="auto"/>
        <w:ind w:firstLine="482" w:firstLineChars="200"/>
        <w:jc w:val="left"/>
        <w:rPr>
          <w:b/>
          <w:sz w:val="24"/>
        </w:rPr>
      </w:pPr>
      <w:r>
        <w:rPr>
          <w:b/>
          <w:sz w:val="24"/>
        </w:rPr>
        <w:t>二、施工期污染源分析</w:t>
      </w:r>
    </w:p>
    <w:p w14:paraId="17D5507C">
      <w:pPr>
        <w:autoSpaceDE w:val="0"/>
        <w:autoSpaceDN w:val="0"/>
        <w:adjustRightInd w:val="0"/>
        <w:spacing w:line="360" w:lineRule="auto"/>
        <w:ind w:firstLine="480" w:firstLineChars="200"/>
        <w:jc w:val="left"/>
        <w:rPr>
          <w:sz w:val="24"/>
        </w:rPr>
      </w:pPr>
      <w:r>
        <w:rPr>
          <w:sz w:val="24"/>
        </w:rPr>
        <w:t>（1）水污染源</w:t>
      </w:r>
    </w:p>
    <w:p w14:paraId="0971D86C">
      <w:pPr>
        <w:autoSpaceDE w:val="0"/>
        <w:autoSpaceDN w:val="0"/>
        <w:adjustRightInd w:val="0"/>
        <w:spacing w:line="360" w:lineRule="auto"/>
        <w:ind w:firstLine="480" w:firstLineChars="200"/>
        <w:jc w:val="left"/>
        <w:rPr>
          <w:sz w:val="24"/>
        </w:rPr>
      </w:pPr>
      <w:r>
        <w:rPr>
          <w:sz w:val="24"/>
        </w:rPr>
        <w:t>施工期污水主要是施工废水及施工人员生活废水。</w:t>
      </w:r>
    </w:p>
    <w:p w14:paraId="34BE3256">
      <w:pPr>
        <w:autoSpaceDE w:val="0"/>
        <w:autoSpaceDN w:val="0"/>
        <w:adjustRightInd w:val="0"/>
        <w:spacing w:line="360" w:lineRule="auto"/>
        <w:ind w:firstLine="480" w:firstLineChars="200"/>
        <w:jc w:val="left"/>
        <w:rPr>
          <w:sz w:val="24"/>
        </w:rPr>
      </w:pPr>
      <w:r>
        <w:rPr>
          <w:sz w:val="24"/>
        </w:rPr>
        <w:t>①施工人员生活污水</w:t>
      </w:r>
    </w:p>
    <w:p w14:paraId="76522C5A">
      <w:pPr>
        <w:autoSpaceDE w:val="0"/>
        <w:autoSpaceDN w:val="0"/>
        <w:adjustRightInd w:val="0"/>
        <w:spacing w:line="360" w:lineRule="auto"/>
        <w:ind w:firstLine="480" w:firstLineChars="200"/>
        <w:jc w:val="left"/>
        <w:rPr>
          <w:sz w:val="24"/>
        </w:rPr>
      </w:pPr>
      <w:r>
        <w:rPr>
          <w:sz w:val="24"/>
        </w:rPr>
        <w:t>项目施工人员高峰期约60人/d，项目不设施工营地，施工人员用水主要为洗脸、洗手、饮用水，生活用水量按10L/人.d计，生活废水产生量按日用水量的80%计，则生活污水产生量为0.48m</w:t>
      </w:r>
      <w:r>
        <w:rPr>
          <w:sz w:val="24"/>
          <w:vertAlign w:val="superscript"/>
        </w:rPr>
        <w:t>3</w:t>
      </w:r>
      <w:r>
        <w:rPr>
          <w:sz w:val="24"/>
        </w:rPr>
        <w:t>/d。生活污水中主要污染物为SS，生活污水经收集沉淀后回用于施工场地洒水抑尘。环评要求在每个场地施工时设置临时旱厕1个，收集粪便，由当地村民定期清掏作为农肥施用。</w:t>
      </w:r>
    </w:p>
    <w:p w14:paraId="67671A28">
      <w:pPr>
        <w:autoSpaceDE w:val="0"/>
        <w:autoSpaceDN w:val="0"/>
        <w:adjustRightInd w:val="0"/>
        <w:spacing w:line="360" w:lineRule="auto"/>
        <w:ind w:firstLine="480" w:firstLineChars="200"/>
        <w:jc w:val="left"/>
        <w:rPr>
          <w:sz w:val="24"/>
        </w:rPr>
      </w:pPr>
      <w:r>
        <w:rPr>
          <w:sz w:val="24"/>
        </w:rPr>
        <w:t>②建筑施工废水</w:t>
      </w:r>
    </w:p>
    <w:p w14:paraId="7D523DE2">
      <w:pPr>
        <w:autoSpaceDE w:val="0"/>
        <w:autoSpaceDN w:val="0"/>
        <w:adjustRightInd w:val="0"/>
        <w:spacing w:line="360" w:lineRule="auto"/>
        <w:ind w:firstLine="480" w:firstLineChars="200"/>
        <w:jc w:val="left"/>
        <w:rPr>
          <w:sz w:val="24"/>
        </w:rPr>
      </w:pPr>
      <w:r>
        <w:rPr>
          <w:sz w:val="24"/>
        </w:rPr>
        <w:t>项目施工废水主要为建筑养护排水、进出车辆冲洗水等，主要污染物为SS、石油类等。类比同类工程，本项目施工废水产生量约2m</w:t>
      </w:r>
      <w:r>
        <w:rPr>
          <w:sz w:val="24"/>
          <w:vertAlign w:val="superscript"/>
        </w:rPr>
        <w:t>3</w:t>
      </w:r>
      <w:r>
        <w:rPr>
          <w:sz w:val="24"/>
        </w:rPr>
        <w:t>/d。这部分废水悬浮物浓度较高，主要污染物为SS，SS约3000mg/L，环评要求在每个场地施工时在场地内设置1个临时2m</w:t>
      </w:r>
      <w:r>
        <w:rPr>
          <w:sz w:val="24"/>
          <w:vertAlign w:val="superscript"/>
        </w:rPr>
        <w:t>3</w:t>
      </w:r>
      <w:r>
        <w:rPr>
          <w:sz w:val="24"/>
        </w:rPr>
        <w:t>沉淀池，通过设置沉淀池（2m</w:t>
      </w:r>
      <w:r>
        <w:rPr>
          <w:sz w:val="24"/>
          <w:vertAlign w:val="superscript"/>
        </w:rPr>
        <w:t>3</w:t>
      </w:r>
      <w:r>
        <w:rPr>
          <w:sz w:val="24"/>
        </w:rPr>
        <w:t>）处理后回用于场区洒水降尘。</w:t>
      </w:r>
    </w:p>
    <w:p w14:paraId="16FE6CAE">
      <w:pPr>
        <w:autoSpaceDE w:val="0"/>
        <w:autoSpaceDN w:val="0"/>
        <w:adjustRightInd w:val="0"/>
        <w:spacing w:line="360" w:lineRule="auto"/>
        <w:ind w:firstLine="480" w:firstLineChars="200"/>
        <w:jc w:val="left"/>
        <w:rPr>
          <w:sz w:val="24"/>
        </w:rPr>
      </w:pPr>
      <w:r>
        <w:rPr>
          <w:sz w:val="24"/>
        </w:rPr>
        <w:t>施工过程如遇下雨，施工场地不可避免会遭遇降雨冲刷，使得施工场地成为面源污染源。暴雨时，施工场地地表初期雨水径流冲刷浮土、建筑砂石等形成的泥浆水，会携带大量泥沙、土壤养分、水泥及其它地表固体污染物，初期雨水径流产生的主要污染物为SS。通过临时排水沟收集进入临时沉淀池沉淀后回用于非雨天场地洒水降尘或施工用水，不外排。合理安排工期，避免在暴雨天进行作业，减小降雨冲刷水对地表水的影响。</w:t>
      </w:r>
    </w:p>
    <w:p w14:paraId="6659D0CE">
      <w:pPr>
        <w:autoSpaceDE w:val="0"/>
        <w:autoSpaceDN w:val="0"/>
        <w:adjustRightInd w:val="0"/>
        <w:spacing w:line="360" w:lineRule="auto"/>
        <w:ind w:firstLine="480" w:firstLineChars="200"/>
        <w:jc w:val="left"/>
        <w:rPr>
          <w:sz w:val="24"/>
        </w:rPr>
      </w:pPr>
      <w:r>
        <w:rPr>
          <w:sz w:val="24"/>
        </w:rPr>
        <w:t>（2）大气污染源</w:t>
      </w:r>
    </w:p>
    <w:p w14:paraId="751B3100">
      <w:pPr>
        <w:autoSpaceDE w:val="0"/>
        <w:autoSpaceDN w:val="0"/>
        <w:adjustRightInd w:val="0"/>
        <w:spacing w:line="360" w:lineRule="auto"/>
        <w:ind w:firstLine="480" w:firstLineChars="200"/>
        <w:jc w:val="left"/>
        <w:rPr>
          <w:sz w:val="24"/>
        </w:rPr>
      </w:pPr>
      <w:r>
        <w:rPr>
          <w:sz w:val="24"/>
        </w:rPr>
        <w:t>施工期间产生的大气污染有建筑材料（水泥、石灰、砂石料）的装卸、运输、堆砌过程中的扬尘；开、挖、弃土过程中的扬尘；道路运输造成的扬尘、各类施工机械和运输车辆所排放的废气。</w:t>
      </w:r>
    </w:p>
    <w:p w14:paraId="4B361E48">
      <w:pPr>
        <w:pStyle w:val="323"/>
        <w:spacing w:line="360" w:lineRule="auto"/>
        <w:ind w:firstLine="480" w:firstLineChars="200"/>
      </w:pPr>
      <w:r>
        <w:t>①施工扬尘</w:t>
      </w:r>
    </w:p>
    <w:p w14:paraId="434CE339">
      <w:pPr>
        <w:pStyle w:val="323"/>
        <w:spacing w:line="360" w:lineRule="auto"/>
        <w:ind w:firstLine="480" w:firstLineChars="200"/>
      </w:pPr>
      <w:r>
        <w:t>扬尘是施工阶段的主要大气污染物，拟建项目建设期扬尘主要来源于原有建筑拆除、建筑材料堆存、基础开挖、施工作业、车辆运输等过程。对整个施工期而言，施工产生的扬尘主要集中在原有建筑拆除、土建施工阶段，起尘的原因主要为风力起尘，即原有建筑拆除、露天堆放的建材（如细沙、水泥等）及裸露的施工区表层浮尘由于天气干燥及大风，产生风力扬尘。扬尘中主要污染因子为TSP，其中不含有毒有害的特殊污染物，且以无组织形式排放。扬尘产生量随施工强度、施工方式以及外环境而定，在有风时施工扬尘会使施工现场环境空气中的TSP超标。</w:t>
      </w:r>
    </w:p>
    <w:p w14:paraId="153867CA">
      <w:pPr>
        <w:pStyle w:val="323"/>
        <w:spacing w:line="360" w:lineRule="auto"/>
        <w:ind w:firstLine="480" w:firstLineChars="200"/>
      </w:pPr>
      <w:r>
        <w:t>汽车运输产生的扬尘与车速、路面清洁度有关，同样路面清洁程度条件下，车速越快，扬尘量越大；而在同样车速情况下，路面越脏，扬尘量越大。</w:t>
      </w:r>
    </w:p>
    <w:p w14:paraId="42EF6C9A">
      <w:pPr>
        <w:autoSpaceDE w:val="0"/>
        <w:autoSpaceDN w:val="0"/>
        <w:snapToGrid w:val="0"/>
        <w:spacing w:line="360" w:lineRule="auto"/>
        <w:ind w:firstLine="480" w:firstLineChars="200"/>
        <w:rPr>
          <w:sz w:val="24"/>
        </w:rPr>
      </w:pPr>
      <w:r>
        <w:rPr>
          <w:sz w:val="24"/>
        </w:rPr>
        <w:t>施工扬尘属无组织排放，其排放量与施工作业方式及气象条件有密切关系，类比同类工程实测情况，施工场地扬尘浓度一般为3~10mg/m</w:t>
      </w:r>
      <w:r>
        <w:rPr>
          <w:sz w:val="24"/>
          <w:vertAlign w:val="superscript"/>
        </w:rPr>
        <w:t>3</w:t>
      </w:r>
      <w:r>
        <w:rPr>
          <w:sz w:val="24"/>
        </w:rPr>
        <w:t>，其影响主要集中在施工场地200m范围内。运输车辆引起的扬尘则主要对运输道路沿线30m范围内影响较大。总体来看施工扬尘影响范围较小，施工结束后自动消除。</w:t>
      </w:r>
    </w:p>
    <w:p w14:paraId="0A8C0B40">
      <w:pPr>
        <w:pStyle w:val="323"/>
        <w:spacing w:line="360" w:lineRule="auto"/>
        <w:ind w:firstLine="480" w:firstLineChars="200"/>
      </w:pPr>
      <w:r>
        <w:t>②施工机械尾气</w:t>
      </w:r>
    </w:p>
    <w:p w14:paraId="10AE8D20">
      <w:pPr>
        <w:pStyle w:val="323"/>
        <w:spacing w:line="360" w:lineRule="auto"/>
        <w:ind w:firstLine="480" w:firstLineChars="200"/>
      </w:pPr>
      <w:r>
        <w:t>施工废气主要来自于各种施工燃油机械及运输车辆的尾气排放。</w:t>
      </w:r>
    </w:p>
    <w:p w14:paraId="52C0C73A">
      <w:pPr>
        <w:pStyle w:val="323"/>
        <w:spacing w:line="360" w:lineRule="auto"/>
        <w:ind w:firstLine="480" w:firstLineChars="200"/>
      </w:pPr>
      <w:r>
        <w:t>燃油机械和汽车尾气中的污染物为燃料燃烧后的产物，主要有NO</w:t>
      </w:r>
      <w:r>
        <w:rPr>
          <w:vertAlign w:val="subscript"/>
        </w:rPr>
        <w:t>2</w:t>
      </w:r>
      <w:r>
        <w:t>、CO及碳氢化合物等，类比其它工程，NO</w:t>
      </w:r>
      <w:r>
        <w:rPr>
          <w:vertAlign w:val="subscript"/>
        </w:rPr>
        <w:t>2</w:t>
      </w:r>
      <w:r>
        <w:t>的浓度可达0.150mg/m</w:t>
      </w:r>
      <w:r>
        <w:rPr>
          <w:vertAlign w:val="superscript"/>
        </w:rPr>
        <w:t>3</w:t>
      </w:r>
      <w:r>
        <w:t>，其影响范围在200m以内的范围。</w:t>
      </w:r>
    </w:p>
    <w:p w14:paraId="4102BD67">
      <w:pPr>
        <w:pStyle w:val="323"/>
        <w:spacing w:line="360" w:lineRule="auto"/>
        <w:ind w:firstLine="480" w:firstLineChars="200"/>
      </w:pPr>
      <w:r>
        <w:t>③装修废气</w:t>
      </w:r>
    </w:p>
    <w:p w14:paraId="4A478FE5">
      <w:pPr>
        <w:pStyle w:val="323"/>
        <w:spacing w:line="360" w:lineRule="auto"/>
        <w:ind w:firstLine="480" w:firstLineChars="200"/>
      </w:pPr>
      <w:r>
        <w:t>施工期的装修废气主要为外墙粉刷的粉尘及室内装修废气，室内空气质量污染主要来源于无机非金属建筑材料和装修材料。主要污染物为总挥发性有机化合物（TVOC）、游离甲醛和苯污染物。无机非金属建筑材料和装修材料中的污染物会在建设、装修过程以及项目投入营运后逐渐向周围环境释放而对室内外环境空气产生污染。</w:t>
      </w:r>
    </w:p>
    <w:p w14:paraId="2EE36000">
      <w:pPr>
        <w:autoSpaceDE w:val="0"/>
        <w:autoSpaceDN w:val="0"/>
        <w:adjustRightInd w:val="0"/>
        <w:spacing w:line="360" w:lineRule="auto"/>
        <w:ind w:firstLine="480" w:firstLineChars="200"/>
        <w:jc w:val="left"/>
        <w:rPr>
          <w:sz w:val="24"/>
        </w:rPr>
      </w:pPr>
      <w:r>
        <w:rPr>
          <w:sz w:val="24"/>
        </w:rPr>
        <w:t>（3）施工期噪声</w:t>
      </w:r>
    </w:p>
    <w:p w14:paraId="5FEC185B">
      <w:pPr>
        <w:pStyle w:val="323"/>
        <w:spacing w:line="360" w:lineRule="auto"/>
        <w:ind w:firstLine="461"/>
      </w:pPr>
      <w:r>
        <w:t>从噪声污染角度出发可以把工程施工期分为原建筑改造、土</w:t>
      </w:r>
      <w:r>
        <w:rPr>
          <w:szCs w:val="21"/>
        </w:rPr>
        <w:t>石</w:t>
      </w:r>
      <w:r>
        <w:t>方阶段、结构阶段及设备安装阶段，各阶段具有其独自的噪声特性。原建筑拆除阶段、土</w:t>
      </w:r>
      <w:r>
        <w:rPr>
          <w:szCs w:val="21"/>
        </w:rPr>
        <w:t>石</w:t>
      </w:r>
      <w:r>
        <w:t>方阶段噪声源主要有推土机、挖掘机、装载机及各种车辆等，这些声源大部分属于移动声源，没有明显的指向性；结构阶段主要产噪设备有振捣棒、电锯等，其中包括一些撞击噪声；设备安装阶段的主要产噪设备有电钻、电锤等。这些噪声源均为间歇性源，施工过程各声源设备源强类比调查结果见表3.2-1。</w:t>
      </w:r>
    </w:p>
    <w:p w14:paraId="33A89B12">
      <w:pPr>
        <w:pStyle w:val="1362"/>
        <w:snapToGrid/>
        <w:spacing w:line="276" w:lineRule="auto"/>
        <w:ind w:left="480" w:firstLine="422"/>
        <w:rPr>
          <w:rFonts w:ascii="Times New Roman" w:hAnsi="Times New Roman" w:cs="Times New Roman"/>
          <w:b/>
          <w:color w:val="auto"/>
          <w:sz w:val="21"/>
          <w:szCs w:val="21"/>
        </w:rPr>
      </w:pPr>
      <w:r>
        <w:rPr>
          <w:rFonts w:ascii="Times New Roman" w:hAnsi="Times New Roman" w:cs="Times New Roman"/>
          <w:b/>
          <w:color w:val="auto"/>
          <w:sz w:val="21"/>
          <w:szCs w:val="21"/>
        </w:rPr>
        <w:t>表3.2-1 施工期主要噪声源一览表 单位：dB（A）</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126"/>
        <w:gridCol w:w="2011"/>
        <w:gridCol w:w="1858"/>
        <w:gridCol w:w="2337"/>
      </w:tblGrid>
      <w:tr w14:paraId="392E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9" w:hRule="atLeast"/>
          <w:jc w:val="center"/>
        </w:trPr>
        <w:tc>
          <w:tcPr>
            <w:tcW w:w="1276" w:type="pct"/>
            <w:noWrap w:val="0"/>
            <w:vAlign w:val="center"/>
          </w:tcPr>
          <w:p w14:paraId="4B284821">
            <w:pPr>
              <w:adjustRightInd w:val="0"/>
              <w:jc w:val="center"/>
              <w:rPr>
                <w:b/>
                <w:szCs w:val="21"/>
              </w:rPr>
            </w:pPr>
            <w:r>
              <w:rPr>
                <w:b/>
                <w:szCs w:val="21"/>
              </w:rPr>
              <w:t>施工阶段</w:t>
            </w:r>
          </w:p>
        </w:tc>
        <w:tc>
          <w:tcPr>
            <w:tcW w:w="1207" w:type="pct"/>
            <w:noWrap w:val="0"/>
            <w:vAlign w:val="center"/>
          </w:tcPr>
          <w:p w14:paraId="0221D672">
            <w:pPr>
              <w:adjustRightInd w:val="0"/>
              <w:jc w:val="center"/>
              <w:rPr>
                <w:b/>
                <w:szCs w:val="21"/>
              </w:rPr>
            </w:pPr>
            <w:r>
              <w:rPr>
                <w:b/>
                <w:szCs w:val="21"/>
              </w:rPr>
              <w:t>声源</w:t>
            </w:r>
          </w:p>
        </w:tc>
        <w:tc>
          <w:tcPr>
            <w:tcW w:w="1115" w:type="pct"/>
            <w:noWrap w:val="0"/>
            <w:vAlign w:val="top"/>
          </w:tcPr>
          <w:p w14:paraId="2B672F5C">
            <w:pPr>
              <w:adjustRightInd w:val="0"/>
              <w:jc w:val="center"/>
              <w:rPr>
                <w:b/>
                <w:szCs w:val="21"/>
              </w:rPr>
            </w:pPr>
            <w:r>
              <w:rPr>
                <w:b/>
                <w:szCs w:val="21"/>
              </w:rPr>
              <w:t>测点距离（m）</w:t>
            </w:r>
          </w:p>
        </w:tc>
        <w:tc>
          <w:tcPr>
            <w:tcW w:w="1402" w:type="pct"/>
            <w:noWrap w:val="0"/>
            <w:vAlign w:val="center"/>
          </w:tcPr>
          <w:p w14:paraId="2E9617A7">
            <w:pPr>
              <w:adjustRightInd w:val="0"/>
              <w:jc w:val="center"/>
              <w:rPr>
                <w:b/>
                <w:szCs w:val="21"/>
              </w:rPr>
            </w:pPr>
            <w:r>
              <w:rPr>
                <w:b/>
                <w:szCs w:val="21"/>
              </w:rPr>
              <w:t>声级dB(A)</w:t>
            </w:r>
          </w:p>
        </w:tc>
      </w:tr>
      <w:tr w14:paraId="1592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restart"/>
            <w:noWrap w:val="0"/>
            <w:vAlign w:val="center"/>
          </w:tcPr>
          <w:p w14:paraId="67EFFB34">
            <w:pPr>
              <w:adjustRightInd w:val="0"/>
              <w:jc w:val="center"/>
              <w:rPr>
                <w:szCs w:val="21"/>
              </w:rPr>
            </w:pPr>
            <w:r>
              <w:rPr>
                <w:szCs w:val="21"/>
              </w:rPr>
              <w:t>原建筑改造、土石方阶段</w:t>
            </w:r>
          </w:p>
        </w:tc>
        <w:tc>
          <w:tcPr>
            <w:tcW w:w="2011" w:type="dxa"/>
            <w:noWrap w:val="0"/>
            <w:vAlign w:val="center"/>
          </w:tcPr>
          <w:p w14:paraId="51C85009">
            <w:pPr>
              <w:adjustRightInd w:val="0"/>
              <w:jc w:val="center"/>
              <w:rPr>
                <w:szCs w:val="21"/>
              </w:rPr>
            </w:pPr>
            <w:r>
              <w:rPr>
                <w:szCs w:val="21"/>
              </w:rPr>
              <w:t>电钻</w:t>
            </w:r>
          </w:p>
        </w:tc>
        <w:tc>
          <w:tcPr>
            <w:tcW w:w="1115" w:type="pct"/>
            <w:noWrap w:val="0"/>
            <w:vAlign w:val="top"/>
          </w:tcPr>
          <w:p w14:paraId="0098412F">
            <w:pPr>
              <w:adjustRightInd w:val="0"/>
              <w:jc w:val="center"/>
              <w:rPr>
                <w:szCs w:val="21"/>
              </w:rPr>
            </w:pPr>
            <w:r>
              <w:rPr>
                <w:szCs w:val="21"/>
              </w:rPr>
              <w:t>5</w:t>
            </w:r>
          </w:p>
        </w:tc>
        <w:tc>
          <w:tcPr>
            <w:tcW w:w="2337" w:type="dxa"/>
            <w:noWrap w:val="0"/>
            <w:vAlign w:val="center"/>
          </w:tcPr>
          <w:p w14:paraId="193F21F5">
            <w:pPr>
              <w:adjustRightInd w:val="0"/>
              <w:jc w:val="center"/>
              <w:rPr>
                <w:szCs w:val="21"/>
              </w:rPr>
            </w:pPr>
            <w:r>
              <w:rPr>
                <w:szCs w:val="21"/>
              </w:rPr>
              <w:t>90</w:t>
            </w:r>
          </w:p>
        </w:tc>
      </w:tr>
      <w:tr w14:paraId="3338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7BF2C6AE">
            <w:pPr>
              <w:adjustRightInd w:val="0"/>
              <w:jc w:val="center"/>
              <w:rPr>
                <w:szCs w:val="21"/>
              </w:rPr>
            </w:pPr>
          </w:p>
        </w:tc>
        <w:tc>
          <w:tcPr>
            <w:tcW w:w="2011" w:type="dxa"/>
            <w:noWrap w:val="0"/>
            <w:vAlign w:val="center"/>
          </w:tcPr>
          <w:p w14:paraId="6F9B782A">
            <w:pPr>
              <w:adjustRightInd w:val="0"/>
              <w:jc w:val="center"/>
              <w:rPr>
                <w:szCs w:val="21"/>
              </w:rPr>
            </w:pPr>
            <w:r>
              <w:rPr>
                <w:szCs w:val="21"/>
              </w:rPr>
              <w:t>电锤</w:t>
            </w:r>
          </w:p>
        </w:tc>
        <w:tc>
          <w:tcPr>
            <w:tcW w:w="1115" w:type="pct"/>
            <w:noWrap w:val="0"/>
            <w:vAlign w:val="top"/>
          </w:tcPr>
          <w:p w14:paraId="472A1F5C">
            <w:pPr>
              <w:adjustRightInd w:val="0"/>
              <w:jc w:val="center"/>
              <w:rPr>
                <w:szCs w:val="21"/>
              </w:rPr>
            </w:pPr>
            <w:r>
              <w:rPr>
                <w:szCs w:val="21"/>
              </w:rPr>
              <w:t>5</w:t>
            </w:r>
          </w:p>
        </w:tc>
        <w:tc>
          <w:tcPr>
            <w:tcW w:w="2337" w:type="dxa"/>
            <w:noWrap w:val="0"/>
            <w:vAlign w:val="center"/>
          </w:tcPr>
          <w:p w14:paraId="712C22D8">
            <w:pPr>
              <w:adjustRightInd w:val="0"/>
              <w:jc w:val="center"/>
              <w:rPr>
                <w:szCs w:val="21"/>
              </w:rPr>
            </w:pPr>
            <w:r>
              <w:rPr>
                <w:szCs w:val="21"/>
              </w:rPr>
              <w:t>85</w:t>
            </w:r>
          </w:p>
        </w:tc>
      </w:tr>
      <w:tr w14:paraId="08AC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5C77AA46">
            <w:pPr>
              <w:adjustRightInd w:val="0"/>
              <w:jc w:val="center"/>
              <w:rPr>
                <w:szCs w:val="21"/>
              </w:rPr>
            </w:pPr>
          </w:p>
        </w:tc>
        <w:tc>
          <w:tcPr>
            <w:tcW w:w="2011" w:type="dxa"/>
            <w:noWrap w:val="0"/>
            <w:vAlign w:val="center"/>
          </w:tcPr>
          <w:p w14:paraId="7CE22B60">
            <w:pPr>
              <w:adjustRightInd w:val="0"/>
              <w:jc w:val="center"/>
              <w:rPr>
                <w:szCs w:val="21"/>
              </w:rPr>
            </w:pPr>
            <w:r>
              <w:rPr>
                <w:szCs w:val="21"/>
              </w:rPr>
              <w:t>手工锯</w:t>
            </w:r>
          </w:p>
        </w:tc>
        <w:tc>
          <w:tcPr>
            <w:tcW w:w="1115" w:type="pct"/>
            <w:noWrap w:val="0"/>
            <w:vAlign w:val="top"/>
          </w:tcPr>
          <w:p w14:paraId="12BE8E1A">
            <w:pPr>
              <w:adjustRightInd w:val="0"/>
              <w:jc w:val="center"/>
              <w:rPr>
                <w:szCs w:val="21"/>
              </w:rPr>
            </w:pPr>
            <w:r>
              <w:rPr>
                <w:szCs w:val="21"/>
              </w:rPr>
              <w:t>5</w:t>
            </w:r>
          </w:p>
        </w:tc>
        <w:tc>
          <w:tcPr>
            <w:tcW w:w="2337" w:type="dxa"/>
            <w:noWrap w:val="0"/>
            <w:vAlign w:val="center"/>
          </w:tcPr>
          <w:p w14:paraId="24B9CF7A">
            <w:pPr>
              <w:adjustRightInd w:val="0"/>
              <w:jc w:val="center"/>
              <w:rPr>
                <w:szCs w:val="21"/>
              </w:rPr>
            </w:pPr>
            <w:r>
              <w:rPr>
                <w:szCs w:val="21"/>
              </w:rPr>
              <w:t>85</w:t>
            </w:r>
          </w:p>
        </w:tc>
      </w:tr>
      <w:tr w14:paraId="40E1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2C6C2095">
            <w:pPr>
              <w:adjustRightInd w:val="0"/>
              <w:jc w:val="center"/>
              <w:rPr>
                <w:szCs w:val="21"/>
              </w:rPr>
            </w:pPr>
          </w:p>
        </w:tc>
        <w:tc>
          <w:tcPr>
            <w:tcW w:w="1207" w:type="pct"/>
            <w:noWrap w:val="0"/>
            <w:vAlign w:val="center"/>
          </w:tcPr>
          <w:p w14:paraId="68163787">
            <w:pPr>
              <w:adjustRightInd w:val="0"/>
              <w:jc w:val="center"/>
              <w:rPr>
                <w:szCs w:val="21"/>
              </w:rPr>
            </w:pPr>
            <w:r>
              <w:rPr>
                <w:szCs w:val="21"/>
              </w:rPr>
              <w:t>运输车辆</w:t>
            </w:r>
          </w:p>
        </w:tc>
        <w:tc>
          <w:tcPr>
            <w:tcW w:w="1115" w:type="pct"/>
            <w:noWrap w:val="0"/>
            <w:vAlign w:val="top"/>
          </w:tcPr>
          <w:p w14:paraId="38AA408B">
            <w:pPr>
              <w:adjustRightInd w:val="0"/>
              <w:jc w:val="center"/>
              <w:rPr>
                <w:szCs w:val="21"/>
              </w:rPr>
            </w:pPr>
            <w:r>
              <w:rPr>
                <w:szCs w:val="21"/>
              </w:rPr>
              <w:t>5</w:t>
            </w:r>
          </w:p>
        </w:tc>
        <w:tc>
          <w:tcPr>
            <w:tcW w:w="1402" w:type="pct"/>
            <w:noWrap w:val="0"/>
            <w:vAlign w:val="center"/>
          </w:tcPr>
          <w:p w14:paraId="668E0199">
            <w:pPr>
              <w:adjustRightInd w:val="0"/>
              <w:jc w:val="center"/>
              <w:rPr>
                <w:szCs w:val="21"/>
              </w:rPr>
            </w:pPr>
            <w:r>
              <w:rPr>
                <w:szCs w:val="21"/>
              </w:rPr>
              <w:t>84</w:t>
            </w:r>
          </w:p>
        </w:tc>
      </w:tr>
      <w:tr w14:paraId="49F0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restart"/>
            <w:noWrap w:val="0"/>
            <w:vAlign w:val="center"/>
          </w:tcPr>
          <w:p w14:paraId="1DA9ACDF">
            <w:pPr>
              <w:adjustRightInd w:val="0"/>
              <w:jc w:val="center"/>
              <w:rPr>
                <w:szCs w:val="21"/>
              </w:rPr>
            </w:pPr>
            <w:r>
              <w:rPr>
                <w:szCs w:val="21"/>
              </w:rPr>
              <w:t>结构阶段</w:t>
            </w:r>
          </w:p>
        </w:tc>
        <w:tc>
          <w:tcPr>
            <w:tcW w:w="1207" w:type="pct"/>
            <w:noWrap w:val="0"/>
            <w:vAlign w:val="center"/>
          </w:tcPr>
          <w:p w14:paraId="6FDE9328">
            <w:pPr>
              <w:adjustRightInd w:val="0"/>
              <w:jc w:val="center"/>
              <w:rPr>
                <w:szCs w:val="21"/>
              </w:rPr>
            </w:pPr>
            <w:r>
              <w:rPr>
                <w:szCs w:val="21"/>
              </w:rPr>
              <w:t>振捣机</w:t>
            </w:r>
          </w:p>
        </w:tc>
        <w:tc>
          <w:tcPr>
            <w:tcW w:w="1115" w:type="pct"/>
            <w:noWrap w:val="0"/>
            <w:vAlign w:val="top"/>
          </w:tcPr>
          <w:p w14:paraId="071A24FF">
            <w:pPr>
              <w:adjustRightInd w:val="0"/>
              <w:jc w:val="center"/>
              <w:rPr>
                <w:szCs w:val="21"/>
              </w:rPr>
            </w:pPr>
            <w:r>
              <w:rPr>
                <w:szCs w:val="21"/>
              </w:rPr>
              <w:t>5</w:t>
            </w:r>
          </w:p>
        </w:tc>
        <w:tc>
          <w:tcPr>
            <w:tcW w:w="1402" w:type="pct"/>
            <w:noWrap w:val="0"/>
            <w:vAlign w:val="center"/>
          </w:tcPr>
          <w:p w14:paraId="2B88C541">
            <w:pPr>
              <w:adjustRightInd w:val="0"/>
              <w:jc w:val="center"/>
              <w:rPr>
                <w:szCs w:val="21"/>
              </w:rPr>
            </w:pPr>
            <w:r>
              <w:rPr>
                <w:szCs w:val="21"/>
              </w:rPr>
              <w:t>92</w:t>
            </w:r>
          </w:p>
        </w:tc>
      </w:tr>
      <w:tr w14:paraId="3635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2FA5F977">
            <w:pPr>
              <w:adjustRightInd w:val="0"/>
              <w:jc w:val="center"/>
              <w:rPr>
                <w:szCs w:val="21"/>
              </w:rPr>
            </w:pPr>
          </w:p>
        </w:tc>
        <w:tc>
          <w:tcPr>
            <w:tcW w:w="1207" w:type="pct"/>
            <w:noWrap w:val="0"/>
            <w:vAlign w:val="center"/>
          </w:tcPr>
          <w:p w14:paraId="277D3A5B">
            <w:pPr>
              <w:adjustRightInd w:val="0"/>
              <w:jc w:val="center"/>
              <w:rPr>
                <w:szCs w:val="21"/>
              </w:rPr>
            </w:pPr>
            <w:r>
              <w:rPr>
                <w:szCs w:val="21"/>
              </w:rPr>
              <w:t>切割机</w:t>
            </w:r>
          </w:p>
        </w:tc>
        <w:tc>
          <w:tcPr>
            <w:tcW w:w="1115" w:type="pct"/>
            <w:noWrap w:val="0"/>
            <w:vAlign w:val="top"/>
          </w:tcPr>
          <w:p w14:paraId="4DD8336E">
            <w:pPr>
              <w:adjustRightInd w:val="0"/>
              <w:jc w:val="center"/>
              <w:rPr>
                <w:szCs w:val="21"/>
              </w:rPr>
            </w:pPr>
            <w:r>
              <w:rPr>
                <w:szCs w:val="21"/>
              </w:rPr>
              <w:t>5</w:t>
            </w:r>
          </w:p>
        </w:tc>
        <w:tc>
          <w:tcPr>
            <w:tcW w:w="1402" w:type="pct"/>
            <w:noWrap w:val="0"/>
            <w:vAlign w:val="center"/>
          </w:tcPr>
          <w:p w14:paraId="0542A79C">
            <w:pPr>
              <w:adjustRightInd w:val="0"/>
              <w:jc w:val="center"/>
              <w:rPr>
                <w:szCs w:val="21"/>
              </w:rPr>
            </w:pPr>
            <w:r>
              <w:rPr>
                <w:szCs w:val="21"/>
              </w:rPr>
              <w:t>95</w:t>
            </w:r>
          </w:p>
        </w:tc>
      </w:tr>
      <w:tr w14:paraId="21E1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7DEF75EB">
            <w:pPr>
              <w:adjustRightInd w:val="0"/>
              <w:jc w:val="center"/>
              <w:rPr>
                <w:szCs w:val="21"/>
              </w:rPr>
            </w:pPr>
          </w:p>
        </w:tc>
        <w:tc>
          <w:tcPr>
            <w:tcW w:w="1207" w:type="pct"/>
            <w:noWrap w:val="0"/>
            <w:vAlign w:val="center"/>
          </w:tcPr>
          <w:p w14:paraId="07ADE9EC">
            <w:pPr>
              <w:adjustRightInd w:val="0"/>
              <w:jc w:val="center"/>
              <w:rPr>
                <w:szCs w:val="21"/>
              </w:rPr>
            </w:pPr>
            <w:r>
              <w:rPr>
                <w:szCs w:val="21"/>
              </w:rPr>
              <w:t>模板拆卸</w:t>
            </w:r>
          </w:p>
        </w:tc>
        <w:tc>
          <w:tcPr>
            <w:tcW w:w="1115" w:type="pct"/>
            <w:noWrap w:val="0"/>
            <w:vAlign w:val="top"/>
          </w:tcPr>
          <w:p w14:paraId="53C3100B">
            <w:pPr>
              <w:adjustRightInd w:val="0"/>
              <w:jc w:val="center"/>
              <w:rPr>
                <w:szCs w:val="21"/>
              </w:rPr>
            </w:pPr>
            <w:r>
              <w:rPr>
                <w:szCs w:val="21"/>
              </w:rPr>
              <w:t>5</w:t>
            </w:r>
          </w:p>
        </w:tc>
        <w:tc>
          <w:tcPr>
            <w:tcW w:w="1402" w:type="pct"/>
            <w:noWrap w:val="0"/>
            <w:vAlign w:val="center"/>
          </w:tcPr>
          <w:p w14:paraId="305E69FF">
            <w:pPr>
              <w:adjustRightInd w:val="0"/>
              <w:jc w:val="center"/>
              <w:rPr>
                <w:szCs w:val="21"/>
              </w:rPr>
            </w:pPr>
            <w:r>
              <w:rPr>
                <w:szCs w:val="21"/>
              </w:rPr>
              <w:t>95</w:t>
            </w:r>
          </w:p>
        </w:tc>
      </w:tr>
      <w:tr w14:paraId="554F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restart"/>
            <w:noWrap w:val="0"/>
            <w:vAlign w:val="center"/>
          </w:tcPr>
          <w:p w14:paraId="5D186469">
            <w:pPr>
              <w:adjustRightInd w:val="0"/>
              <w:jc w:val="center"/>
              <w:rPr>
                <w:szCs w:val="21"/>
              </w:rPr>
            </w:pPr>
            <w:r>
              <w:rPr>
                <w:szCs w:val="21"/>
              </w:rPr>
              <w:t>设备安装阶段</w:t>
            </w:r>
          </w:p>
        </w:tc>
        <w:tc>
          <w:tcPr>
            <w:tcW w:w="1207" w:type="pct"/>
            <w:noWrap w:val="0"/>
            <w:vAlign w:val="center"/>
          </w:tcPr>
          <w:p w14:paraId="100ADE49">
            <w:pPr>
              <w:adjustRightInd w:val="0"/>
              <w:jc w:val="center"/>
              <w:rPr>
                <w:szCs w:val="21"/>
              </w:rPr>
            </w:pPr>
            <w:r>
              <w:rPr>
                <w:szCs w:val="21"/>
              </w:rPr>
              <w:t>电钻</w:t>
            </w:r>
          </w:p>
        </w:tc>
        <w:tc>
          <w:tcPr>
            <w:tcW w:w="1115" w:type="pct"/>
            <w:noWrap w:val="0"/>
            <w:vAlign w:val="top"/>
          </w:tcPr>
          <w:p w14:paraId="78EE4F33">
            <w:pPr>
              <w:adjustRightInd w:val="0"/>
              <w:jc w:val="center"/>
              <w:rPr>
                <w:szCs w:val="21"/>
              </w:rPr>
            </w:pPr>
            <w:r>
              <w:rPr>
                <w:szCs w:val="21"/>
              </w:rPr>
              <w:t>5</w:t>
            </w:r>
          </w:p>
        </w:tc>
        <w:tc>
          <w:tcPr>
            <w:tcW w:w="1402" w:type="pct"/>
            <w:noWrap w:val="0"/>
            <w:vAlign w:val="center"/>
          </w:tcPr>
          <w:p w14:paraId="23F41EC7">
            <w:pPr>
              <w:adjustRightInd w:val="0"/>
              <w:jc w:val="center"/>
              <w:rPr>
                <w:szCs w:val="21"/>
              </w:rPr>
            </w:pPr>
            <w:r>
              <w:rPr>
                <w:szCs w:val="21"/>
              </w:rPr>
              <w:t>90</w:t>
            </w:r>
          </w:p>
        </w:tc>
      </w:tr>
      <w:tr w14:paraId="38A1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6AD6A0FD">
            <w:pPr>
              <w:adjustRightInd w:val="0"/>
              <w:jc w:val="center"/>
              <w:rPr>
                <w:szCs w:val="21"/>
              </w:rPr>
            </w:pPr>
          </w:p>
        </w:tc>
        <w:tc>
          <w:tcPr>
            <w:tcW w:w="1207" w:type="pct"/>
            <w:noWrap w:val="0"/>
            <w:vAlign w:val="center"/>
          </w:tcPr>
          <w:p w14:paraId="24C4F764">
            <w:pPr>
              <w:adjustRightInd w:val="0"/>
              <w:jc w:val="center"/>
              <w:rPr>
                <w:szCs w:val="21"/>
              </w:rPr>
            </w:pPr>
            <w:r>
              <w:rPr>
                <w:szCs w:val="21"/>
              </w:rPr>
              <w:t>电锤</w:t>
            </w:r>
          </w:p>
        </w:tc>
        <w:tc>
          <w:tcPr>
            <w:tcW w:w="1115" w:type="pct"/>
            <w:noWrap w:val="0"/>
            <w:vAlign w:val="top"/>
          </w:tcPr>
          <w:p w14:paraId="547DA78D">
            <w:pPr>
              <w:adjustRightInd w:val="0"/>
              <w:jc w:val="center"/>
              <w:rPr>
                <w:szCs w:val="21"/>
              </w:rPr>
            </w:pPr>
            <w:r>
              <w:rPr>
                <w:szCs w:val="21"/>
              </w:rPr>
              <w:t>5</w:t>
            </w:r>
          </w:p>
        </w:tc>
        <w:tc>
          <w:tcPr>
            <w:tcW w:w="1402" w:type="pct"/>
            <w:noWrap w:val="0"/>
            <w:vAlign w:val="center"/>
          </w:tcPr>
          <w:p w14:paraId="11438289">
            <w:pPr>
              <w:adjustRightInd w:val="0"/>
              <w:jc w:val="center"/>
              <w:rPr>
                <w:szCs w:val="21"/>
              </w:rPr>
            </w:pPr>
            <w:r>
              <w:rPr>
                <w:szCs w:val="21"/>
              </w:rPr>
              <w:t>85</w:t>
            </w:r>
          </w:p>
        </w:tc>
      </w:tr>
      <w:tr w14:paraId="5348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3D778295">
            <w:pPr>
              <w:adjustRightInd w:val="0"/>
              <w:jc w:val="center"/>
              <w:rPr>
                <w:szCs w:val="21"/>
              </w:rPr>
            </w:pPr>
          </w:p>
        </w:tc>
        <w:tc>
          <w:tcPr>
            <w:tcW w:w="1207" w:type="pct"/>
            <w:noWrap w:val="0"/>
            <w:vAlign w:val="center"/>
          </w:tcPr>
          <w:p w14:paraId="7BC50CE5">
            <w:pPr>
              <w:adjustRightInd w:val="0"/>
              <w:jc w:val="center"/>
              <w:rPr>
                <w:szCs w:val="21"/>
              </w:rPr>
            </w:pPr>
            <w:r>
              <w:rPr>
                <w:szCs w:val="21"/>
              </w:rPr>
              <w:t>手工锯</w:t>
            </w:r>
          </w:p>
        </w:tc>
        <w:tc>
          <w:tcPr>
            <w:tcW w:w="1115" w:type="pct"/>
            <w:noWrap w:val="0"/>
            <w:vAlign w:val="top"/>
          </w:tcPr>
          <w:p w14:paraId="393B1B13">
            <w:pPr>
              <w:adjustRightInd w:val="0"/>
              <w:jc w:val="center"/>
              <w:rPr>
                <w:szCs w:val="21"/>
              </w:rPr>
            </w:pPr>
            <w:r>
              <w:rPr>
                <w:szCs w:val="21"/>
              </w:rPr>
              <w:t>5</w:t>
            </w:r>
          </w:p>
        </w:tc>
        <w:tc>
          <w:tcPr>
            <w:tcW w:w="1402" w:type="pct"/>
            <w:noWrap w:val="0"/>
            <w:vAlign w:val="center"/>
          </w:tcPr>
          <w:p w14:paraId="7D36561F">
            <w:pPr>
              <w:adjustRightInd w:val="0"/>
              <w:jc w:val="center"/>
              <w:rPr>
                <w:szCs w:val="21"/>
              </w:rPr>
            </w:pPr>
            <w:r>
              <w:rPr>
                <w:szCs w:val="21"/>
              </w:rPr>
              <w:t>85</w:t>
            </w:r>
          </w:p>
        </w:tc>
      </w:tr>
      <w:tr w14:paraId="45A4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37A40A7C">
            <w:pPr>
              <w:adjustRightInd w:val="0"/>
              <w:jc w:val="center"/>
              <w:rPr>
                <w:szCs w:val="21"/>
              </w:rPr>
            </w:pPr>
          </w:p>
        </w:tc>
        <w:tc>
          <w:tcPr>
            <w:tcW w:w="1207" w:type="pct"/>
            <w:noWrap w:val="0"/>
            <w:vAlign w:val="center"/>
          </w:tcPr>
          <w:p w14:paraId="17BFC033">
            <w:pPr>
              <w:adjustRightInd w:val="0"/>
              <w:jc w:val="center"/>
              <w:rPr>
                <w:szCs w:val="21"/>
              </w:rPr>
            </w:pPr>
            <w:r>
              <w:rPr>
                <w:szCs w:val="21"/>
              </w:rPr>
              <w:t>多功能木工刨</w:t>
            </w:r>
          </w:p>
        </w:tc>
        <w:tc>
          <w:tcPr>
            <w:tcW w:w="1115" w:type="pct"/>
            <w:noWrap w:val="0"/>
            <w:vAlign w:val="top"/>
          </w:tcPr>
          <w:p w14:paraId="4329CADA">
            <w:pPr>
              <w:adjustRightInd w:val="0"/>
              <w:jc w:val="center"/>
              <w:rPr>
                <w:szCs w:val="21"/>
              </w:rPr>
            </w:pPr>
            <w:r>
              <w:rPr>
                <w:szCs w:val="21"/>
              </w:rPr>
              <w:t>5</w:t>
            </w:r>
          </w:p>
        </w:tc>
        <w:tc>
          <w:tcPr>
            <w:tcW w:w="1402" w:type="pct"/>
            <w:noWrap w:val="0"/>
            <w:vAlign w:val="center"/>
          </w:tcPr>
          <w:p w14:paraId="23B4B1CC">
            <w:pPr>
              <w:adjustRightInd w:val="0"/>
              <w:jc w:val="center"/>
              <w:rPr>
                <w:szCs w:val="21"/>
              </w:rPr>
            </w:pPr>
            <w:r>
              <w:rPr>
                <w:szCs w:val="21"/>
              </w:rPr>
              <w:t>85</w:t>
            </w:r>
          </w:p>
        </w:tc>
      </w:tr>
      <w:tr w14:paraId="22F5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 w:hRule="atLeast"/>
          <w:jc w:val="center"/>
        </w:trPr>
        <w:tc>
          <w:tcPr>
            <w:tcW w:w="1276" w:type="pct"/>
            <w:vMerge w:val="continue"/>
            <w:noWrap w:val="0"/>
            <w:vAlign w:val="center"/>
          </w:tcPr>
          <w:p w14:paraId="7473AB6F">
            <w:pPr>
              <w:adjustRightInd w:val="0"/>
              <w:jc w:val="center"/>
              <w:rPr>
                <w:szCs w:val="21"/>
              </w:rPr>
            </w:pPr>
          </w:p>
        </w:tc>
        <w:tc>
          <w:tcPr>
            <w:tcW w:w="1207" w:type="pct"/>
            <w:noWrap w:val="0"/>
            <w:vAlign w:val="center"/>
          </w:tcPr>
          <w:p w14:paraId="4E02A5CE">
            <w:pPr>
              <w:adjustRightInd w:val="0"/>
              <w:jc w:val="center"/>
              <w:rPr>
                <w:szCs w:val="21"/>
              </w:rPr>
            </w:pPr>
            <w:r>
              <w:rPr>
                <w:szCs w:val="21"/>
              </w:rPr>
              <w:t>角向磨光机</w:t>
            </w:r>
          </w:p>
        </w:tc>
        <w:tc>
          <w:tcPr>
            <w:tcW w:w="1115" w:type="pct"/>
            <w:noWrap w:val="0"/>
            <w:vAlign w:val="top"/>
          </w:tcPr>
          <w:p w14:paraId="5FDF91BA">
            <w:pPr>
              <w:adjustRightInd w:val="0"/>
              <w:jc w:val="center"/>
              <w:rPr>
                <w:szCs w:val="21"/>
              </w:rPr>
            </w:pPr>
            <w:r>
              <w:rPr>
                <w:szCs w:val="21"/>
              </w:rPr>
              <w:t>5</w:t>
            </w:r>
          </w:p>
        </w:tc>
        <w:tc>
          <w:tcPr>
            <w:tcW w:w="1402" w:type="pct"/>
            <w:noWrap w:val="0"/>
            <w:vAlign w:val="center"/>
          </w:tcPr>
          <w:p w14:paraId="4B2FAD08">
            <w:pPr>
              <w:adjustRightInd w:val="0"/>
              <w:jc w:val="center"/>
              <w:rPr>
                <w:szCs w:val="21"/>
              </w:rPr>
            </w:pPr>
            <w:r>
              <w:rPr>
                <w:szCs w:val="21"/>
              </w:rPr>
              <w:t>85</w:t>
            </w:r>
          </w:p>
        </w:tc>
      </w:tr>
    </w:tbl>
    <w:p w14:paraId="3C9DD07B">
      <w:pPr>
        <w:autoSpaceDE w:val="0"/>
        <w:autoSpaceDN w:val="0"/>
        <w:adjustRightInd w:val="0"/>
        <w:spacing w:line="360" w:lineRule="auto"/>
        <w:ind w:firstLine="480" w:firstLineChars="200"/>
        <w:jc w:val="left"/>
        <w:rPr>
          <w:sz w:val="24"/>
        </w:rPr>
      </w:pPr>
      <w:r>
        <w:rPr>
          <w:sz w:val="24"/>
        </w:rPr>
        <w:t>（4）施工期固体废物</w:t>
      </w:r>
    </w:p>
    <w:p w14:paraId="354A12CE">
      <w:pPr>
        <w:autoSpaceDE w:val="0"/>
        <w:autoSpaceDN w:val="0"/>
        <w:adjustRightInd w:val="0"/>
        <w:spacing w:line="360" w:lineRule="auto"/>
        <w:ind w:firstLine="480" w:firstLineChars="200"/>
        <w:rPr>
          <w:sz w:val="24"/>
        </w:rPr>
      </w:pPr>
      <w:r>
        <w:rPr>
          <w:sz w:val="24"/>
        </w:rPr>
        <w:t>施工期固体废物主要是场地部分平整（厂区大部分主体工程均为依据地形地势来建，不会做整体的挖方填平）、基坑挖掘产生的土石方，建筑材料废弃物及施工场地工人生活垃圾。</w:t>
      </w:r>
    </w:p>
    <w:p w14:paraId="328BA330">
      <w:pPr>
        <w:autoSpaceDE w:val="0"/>
        <w:autoSpaceDN w:val="0"/>
        <w:adjustRightInd w:val="0"/>
        <w:spacing w:line="360" w:lineRule="auto"/>
        <w:ind w:firstLine="480" w:firstLineChars="200"/>
        <w:jc w:val="left"/>
        <w:rPr>
          <w:sz w:val="24"/>
        </w:rPr>
      </w:pPr>
      <w:r>
        <w:rPr>
          <w:sz w:val="24"/>
        </w:rPr>
        <w:t>1）土石方</w:t>
      </w:r>
    </w:p>
    <w:p w14:paraId="6A5D29A3">
      <w:pPr>
        <w:autoSpaceDE w:val="0"/>
        <w:autoSpaceDN w:val="0"/>
        <w:adjustRightInd w:val="0"/>
        <w:spacing w:line="360" w:lineRule="auto"/>
        <w:ind w:firstLine="480" w:firstLineChars="200"/>
        <w:rPr>
          <w:sz w:val="24"/>
        </w:rPr>
      </w:pPr>
      <w:r>
        <w:rPr>
          <w:sz w:val="24"/>
        </w:rPr>
        <w:t>根据主体工程设计资料分析和现场踏勘，本工程土石方开挖总量为1.65万m</w:t>
      </w:r>
      <w:r>
        <w:rPr>
          <w:sz w:val="24"/>
          <w:vertAlign w:val="superscript"/>
        </w:rPr>
        <w:t>3</w:t>
      </w:r>
      <w:r>
        <w:rPr>
          <w:sz w:val="24"/>
        </w:rPr>
        <w:t>，土石方互相调用，内部平衡不产生永久废弃渣。表土临时堆存于临时表土堆场，用于后期绿化覆土。</w:t>
      </w:r>
    </w:p>
    <w:p w14:paraId="1F8999B3">
      <w:pPr>
        <w:autoSpaceDE w:val="0"/>
        <w:autoSpaceDN w:val="0"/>
        <w:adjustRightInd w:val="0"/>
        <w:spacing w:line="360" w:lineRule="auto"/>
        <w:ind w:firstLine="480" w:firstLineChars="200"/>
        <w:jc w:val="left"/>
        <w:rPr>
          <w:sz w:val="24"/>
        </w:rPr>
      </w:pPr>
      <w:r>
        <w:rPr>
          <w:sz w:val="24"/>
        </w:rPr>
        <w:t>2）建筑垃圾</w:t>
      </w:r>
    </w:p>
    <w:p w14:paraId="1E2F03C7">
      <w:pPr>
        <w:autoSpaceDE w:val="0"/>
        <w:autoSpaceDN w:val="0"/>
        <w:adjustRightInd w:val="0"/>
        <w:spacing w:line="360" w:lineRule="auto"/>
        <w:ind w:firstLine="480" w:firstLineChars="200"/>
        <w:jc w:val="left"/>
        <w:rPr>
          <w:sz w:val="24"/>
        </w:rPr>
      </w:pPr>
      <w:r>
        <w:rPr>
          <w:sz w:val="24"/>
        </w:rPr>
        <w:t>根据前期施工情况，施工期的建筑垃圾主要包括施工中的下脚料，如废弃的堆土、砖瓦、混凝土块等，同时还包括少量的有机垃圾，主要是各种包装材料，包括废旧塑料、泡沫等，建筑垃圾可回收利用部分经过分拣、剔除后回收利用，剩余部分用于场区道路铺设或按照《昆明市城市建筑垃圾管理实施办法》〔2011〕88号要求清运处置。</w:t>
      </w:r>
    </w:p>
    <w:p w14:paraId="598ECAA7">
      <w:pPr>
        <w:autoSpaceDE w:val="0"/>
        <w:autoSpaceDN w:val="0"/>
        <w:adjustRightInd w:val="0"/>
        <w:spacing w:line="360" w:lineRule="auto"/>
        <w:ind w:firstLine="480" w:firstLineChars="200"/>
        <w:jc w:val="left"/>
        <w:rPr>
          <w:sz w:val="24"/>
        </w:rPr>
      </w:pPr>
      <w:r>
        <w:rPr>
          <w:sz w:val="24"/>
        </w:rPr>
        <w:t>3）生活垃圾</w:t>
      </w:r>
    </w:p>
    <w:p w14:paraId="40DEB11F">
      <w:pPr>
        <w:autoSpaceDE w:val="0"/>
        <w:autoSpaceDN w:val="0"/>
        <w:adjustRightInd w:val="0"/>
        <w:spacing w:line="360" w:lineRule="auto"/>
        <w:ind w:firstLine="480" w:firstLineChars="200"/>
        <w:jc w:val="left"/>
        <w:rPr>
          <w:bCs/>
          <w:sz w:val="24"/>
        </w:rPr>
      </w:pPr>
      <w:r>
        <w:rPr>
          <w:sz w:val="24"/>
        </w:rPr>
        <w:t>项目施工人数约60人，生活垃圾产生量约为30kg/d，</w:t>
      </w:r>
      <w:r>
        <w:rPr>
          <w:bCs/>
          <w:sz w:val="24"/>
        </w:rPr>
        <w:t xml:space="preserve">对施工人员产生的生活垃圾应设置临时专门的垃圾收集池，将施工人员生活垃圾统一收集后定期由环卫部门统一处置。 </w:t>
      </w:r>
    </w:p>
    <w:p w14:paraId="09BDD44A">
      <w:pPr>
        <w:autoSpaceDE w:val="0"/>
        <w:autoSpaceDN w:val="0"/>
        <w:adjustRightInd w:val="0"/>
        <w:spacing w:line="360" w:lineRule="auto"/>
        <w:ind w:firstLine="480" w:firstLineChars="200"/>
        <w:jc w:val="left"/>
        <w:rPr>
          <w:sz w:val="24"/>
        </w:rPr>
      </w:pPr>
      <w:r>
        <w:rPr>
          <w:sz w:val="24"/>
        </w:rPr>
        <w:t>（5）生态环境</w:t>
      </w:r>
    </w:p>
    <w:p w14:paraId="46E0803D">
      <w:pPr>
        <w:autoSpaceDE w:val="0"/>
        <w:autoSpaceDN w:val="0"/>
        <w:adjustRightInd w:val="0"/>
        <w:spacing w:line="360" w:lineRule="auto"/>
        <w:ind w:firstLine="480" w:firstLineChars="200"/>
        <w:jc w:val="left"/>
        <w:rPr>
          <w:bCs/>
          <w:sz w:val="24"/>
        </w:rPr>
      </w:pPr>
      <w:r>
        <w:rPr>
          <w:bCs/>
          <w:sz w:val="24"/>
        </w:rPr>
        <w:t>施工期生态环境影响主要表现为：占用土地、土地利用功能发生变化、土石方的开挖、弃土弃渣堆放、建筑材料的堆放等可能破坏植被、引起水土流失、破坏和影响景观。</w:t>
      </w:r>
    </w:p>
    <w:p w14:paraId="45E6EEBB">
      <w:pPr>
        <w:autoSpaceDE w:val="0"/>
        <w:autoSpaceDN w:val="0"/>
        <w:adjustRightInd w:val="0"/>
        <w:spacing w:line="360" w:lineRule="auto"/>
        <w:ind w:firstLine="480" w:firstLineChars="200"/>
        <w:jc w:val="left"/>
        <w:rPr>
          <w:bCs/>
          <w:sz w:val="24"/>
        </w:rPr>
      </w:pPr>
      <w:r>
        <w:rPr>
          <w:bCs/>
          <w:sz w:val="24"/>
        </w:rPr>
        <w:t>拟建项目地处农村地区，项目地块盛丰板块目前为原煤矿废弃生活区</w:t>
      </w:r>
      <w:r>
        <w:rPr>
          <w:rFonts w:hint="eastAsia"/>
          <w:bCs/>
          <w:sz w:val="24"/>
        </w:rPr>
        <w:t>及仓库</w:t>
      </w:r>
      <w:r>
        <w:rPr>
          <w:bCs/>
          <w:sz w:val="24"/>
        </w:rPr>
        <w:t>，鑫旺板块为原采矿用地恢复后</w:t>
      </w:r>
      <w:r>
        <w:rPr>
          <w:rFonts w:hint="eastAsia"/>
          <w:bCs/>
          <w:sz w:val="24"/>
        </w:rPr>
        <w:t>林地</w:t>
      </w:r>
      <w:r>
        <w:rPr>
          <w:bCs/>
          <w:sz w:val="24"/>
        </w:rPr>
        <w:t>，大河边板块为废弃生活区及废弃煤仓，项目区周边植被覆盖主要为灌木丛、杂草、农作物。植被类型简单、不存在珍稀鸟类、动植物繁殖活动区域、自然保护区域，生态结构较为简单。</w:t>
      </w:r>
    </w:p>
    <w:p w14:paraId="71108C37">
      <w:pPr>
        <w:pStyle w:val="6"/>
        <w:spacing w:before="0" w:after="0" w:line="360" w:lineRule="auto"/>
        <w:rPr>
          <w:rFonts w:ascii="Times New Roman" w:hAnsi="Times New Roman" w:eastAsia="宋体"/>
          <w:sz w:val="30"/>
          <w:szCs w:val="30"/>
        </w:rPr>
      </w:pPr>
      <w:bookmarkStart w:id="75" w:name="_Toc31842"/>
      <w:r>
        <w:rPr>
          <w:rFonts w:ascii="Times New Roman" w:hAnsi="Times New Roman" w:eastAsia="宋体"/>
          <w:sz w:val="30"/>
          <w:szCs w:val="30"/>
        </w:rPr>
        <w:t>3.3水平衡分析</w:t>
      </w:r>
      <w:bookmarkEnd w:id="75"/>
    </w:p>
    <w:p w14:paraId="309092D4">
      <w:pPr>
        <w:pStyle w:val="7"/>
        <w:spacing w:before="0" w:after="0" w:line="360" w:lineRule="auto"/>
        <w:rPr>
          <w:rFonts w:ascii="Times New Roman" w:hAnsi="Times New Roman"/>
          <w:sz w:val="28"/>
          <w:szCs w:val="28"/>
        </w:rPr>
      </w:pPr>
      <w:bookmarkStart w:id="76" w:name="_Toc12955145"/>
      <w:r>
        <w:rPr>
          <w:rFonts w:ascii="Times New Roman" w:hAnsi="Times New Roman"/>
          <w:sz w:val="28"/>
          <w:szCs w:val="28"/>
        </w:rPr>
        <w:t>3.3.1供水</w:t>
      </w:r>
      <w:bookmarkEnd w:id="76"/>
    </w:p>
    <w:p w14:paraId="20D21074">
      <w:pPr>
        <w:pStyle w:val="10"/>
        <w:spacing w:line="360" w:lineRule="auto"/>
        <w:ind w:firstLine="480"/>
        <w:rPr>
          <w:sz w:val="24"/>
        </w:rPr>
      </w:pPr>
      <w:r>
        <w:rPr>
          <w:sz w:val="24"/>
        </w:rPr>
        <w:t>项目用水主要为：生猪饮用水、猪舍冲洗水、员工生活用水。具体用水量如下：</w:t>
      </w:r>
    </w:p>
    <w:p w14:paraId="06C49CB6">
      <w:pPr>
        <w:pStyle w:val="10"/>
        <w:spacing w:line="360" w:lineRule="auto"/>
        <w:ind w:firstLine="482"/>
        <w:rPr>
          <w:b/>
          <w:sz w:val="24"/>
        </w:rPr>
      </w:pPr>
      <w:r>
        <w:rPr>
          <w:b/>
          <w:sz w:val="24"/>
        </w:rPr>
        <w:t>1.生猪饮水用水量</w:t>
      </w:r>
    </w:p>
    <w:p w14:paraId="6EC94B89">
      <w:pPr>
        <w:pStyle w:val="10"/>
        <w:spacing w:line="360" w:lineRule="auto"/>
        <w:ind w:firstLine="480"/>
        <w:rPr>
          <w:sz w:val="24"/>
        </w:rPr>
      </w:pPr>
      <w:r>
        <w:rPr>
          <w:sz w:val="24"/>
        </w:rPr>
        <w:t>本项目养殖饮水量根据项目存栏猪数量，以及《中、小型集约化养猪场建设》（GB/T 17824.1-1999）中表3每头猪平均饮水量参数（见表3.3-1），确定本项目猪饮水量，见表3.3-1。</w:t>
      </w:r>
    </w:p>
    <w:p w14:paraId="78EF7793">
      <w:pPr>
        <w:tabs>
          <w:tab w:val="left" w:pos="5639"/>
        </w:tabs>
        <w:ind w:left="2042"/>
        <w:rPr>
          <w:kern w:val="0"/>
          <w:sz w:val="14"/>
          <w:szCs w:val="14"/>
        </w:rPr>
      </w:pPr>
      <w:r>
        <w:rPr>
          <w:b/>
          <w:bCs/>
          <w:kern w:val="0"/>
          <w:szCs w:val="21"/>
        </w:rPr>
        <w:t xml:space="preserve">表3..3-1 </w:t>
      </w:r>
      <w:r>
        <w:rPr>
          <w:b/>
          <w:bCs/>
          <w:spacing w:val="1"/>
          <w:kern w:val="0"/>
          <w:szCs w:val="21"/>
        </w:rPr>
        <w:t xml:space="preserve">每头猪平均饮水参数  </w:t>
      </w:r>
      <w:r>
        <w:rPr>
          <w:b/>
          <w:bCs/>
          <w:kern w:val="0"/>
          <w:szCs w:val="21"/>
        </w:rPr>
        <w:t>单位：L/（头·d）</w:t>
      </w:r>
    </w:p>
    <w:tbl>
      <w:tblPr>
        <w:tblStyle w:val="87"/>
        <w:tblW w:w="0" w:type="auto"/>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154"/>
        <w:gridCol w:w="4158"/>
      </w:tblGrid>
      <w:tr w14:paraId="630EC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Pr>
        <w:tc>
          <w:tcPr>
            <w:tcW w:w="4154" w:type="dxa"/>
            <w:noWrap w:val="0"/>
            <w:vAlign w:val="center"/>
          </w:tcPr>
          <w:p w14:paraId="3D55A6E3">
            <w:pPr>
              <w:snapToGrid w:val="0"/>
              <w:ind w:left="11"/>
              <w:jc w:val="center"/>
              <w:rPr>
                <w:kern w:val="0"/>
                <w:szCs w:val="21"/>
                <w:lang w:eastAsia="en-US"/>
              </w:rPr>
            </w:pPr>
            <w:r>
              <w:rPr>
                <w:b/>
                <w:bCs/>
                <w:spacing w:val="1"/>
                <w:kern w:val="0"/>
                <w:szCs w:val="21"/>
                <w:lang w:eastAsia="en-US"/>
              </w:rPr>
              <w:t>猪群类别</w:t>
            </w:r>
          </w:p>
        </w:tc>
        <w:tc>
          <w:tcPr>
            <w:tcW w:w="4158" w:type="dxa"/>
            <w:noWrap w:val="0"/>
            <w:vAlign w:val="center"/>
          </w:tcPr>
          <w:p w14:paraId="1DA970C3">
            <w:pPr>
              <w:snapToGrid w:val="0"/>
              <w:ind w:left="885" w:hanging="885" w:hangingChars="416"/>
              <w:jc w:val="center"/>
              <w:rPr>
                <w:kern w:val="0"/>
                <w:szCs w:val="21"/>
                <w:lang w:eastAsia="en-US"/>
              </w:rPr>
            </w:pPr>
            <w:r>
              <w:rPr>
                <w:b/>
                <w:bCs/>
                <w:spacing w:val="1"/>
                <w:kern w:val="0"/>
                <w:szCs w:val="21"/>
                <w:lang w:eastAsia="en-US"/>
              </w:rPr>
              <w:t>饮用水量</w:t>
            </w:r>
          </w:p>
        </w:tc>
      </w:tr>
      <w:tr w14:paraId="61282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Pr>
        <w:tc>
          <w:tcPr>
            <w:tcW w:w="4154" w:type="dxa"/>
            <w:noWrap w:val="0"/>
            <w:vAlign w:val="center"/>
          </w:tcPr>
          <w:p w14:paraId="5C6CB60E">
            <w:pPr>
              <w:jc w:val="center"/>
              <w:rPr>
                <w:szCs w:val="21"/>
              </w:rPr>
            </w:pPr>
            <w:r>
              <w:rPr>
                <w:szCs w:val="21"/>
              </w:rPr>
              <w:t>保育猪</w:t>
            </w:r>
          </w:p>
        </w:tc>
        <w:tc>
          <w:tcPr>
            <w:tcW w:w="4158" w:type="dxa"/>
            <w:noWrap w:val="0"/>
            <w:vAlign w:val="center"/>
          </w:tcPr>
          <w:p w14:paraId="59A105BD">
            <w:pPr>
              <w:snapToGrid w:val="0"/>
              <w:ind w:left="1308" w:right="1316"/>
              <w:jc w:val="center"/>
              <w:rPr>
                <w:kern w:val="0"/>
                <w:szCs w:val="22"/>
              </w:rPr>
            </w:pPr>
            <w:r>
              <w:rPr>
                <w:kern w:val="0"/>
                <w:szCs w:val="22"/>
              </w:rPr>
              <w:t>4.0</w:t>
            </w:r>
          </w:p>
        </w:tc>
      </w:tr>
      <w:tr w14:paraId="5FB81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Pr>
        <w:tc>
          <w:tcPr>
            <w:tcW w:w="4154" w:type="dxa"/>
            <w:noWrap w:val="0"/>
            <w:vAlign w:val="center"/>
          </w:tcPr>
          <w:p w14:paraId="39AE0B9E">
            <w:pPr>
              <w:jc w:val="center"/>
              <w:rPr>
                <w:szCs w:val="21"/>
              </w:rPr>
            </w:pPr>
            <w:r>
              <w:rPr>
                <w:szCs w:val="21"/>
              </w:rPr>
              <w:t>育肥猪</w:t>
            </w:r>
          </w:p>
        </w:tc>
        <w:tc>
          <w:tcPr>
            <w:tcW w:w="4158" w:type="dxa"/>
            <w:noWrap w:val="0"/>
            <w:vAlign w:val="center"/>
          </w:tcPr>
          <w:p w14:paraId="7ED63CBB">
            <w:pPr>
              <w:snapToGrid w:val="0"/>
              <w:ind w:left="1308" w:right="1316"/>
              <w:jc w:val="center"/>
              <w:rPr>
                <w:kern w:val="0"/>
                <w:szCs w:val="22"/>
              </w:rPr>
            </w:pPr>
            <w:r>
              <w:rPr>
                <w:kern w:val="0"/>
                <w:szCs w:val="22"/>
              </w:rPr>
              <w:t>6.0</w:t>
            </w:r>
          </w:p>
        </w:tc>
      </w:tr>
    </w:tbl>
    <w:p w14:paraId="29495279">
      <w:pPr>
        <w:spacing w:line="360" w:lineRule="auto"/>
        <w:ind w:firstLine="480"/>
      </w:pPr>
      <w:r>
        <w:t>根据以上参数计算本项目养殖饮用水量，见下表。</w:t>
      </w:r>
    </w:p>
    <w:p w14:paraId="43E83799">
      <w:pPr>
        <w:tabs>
          <w:tab w:val="left" w:pos="5639"/>
        </w:tabs>
        <w:spacing w:line="360" w:lineRule="auto"/>
        <w:jc w:val="center"/>
        <w:rPr>
          <w:b/>
          <w:bCs/>
          <w:kern w:val="0"/>
          <w:szCs w:val="21"/>
        </w:rPr>
        <w:sectPr>
          <w:pgSz w:w="11906" w:h="16838"/>
          <w:pgMar w:top="1440" w:right="1797" w:bottom="1361" w:left="1797" w:header="851" w:footer="992" w:gutter="0"/>
          <w:cols w:space="720" w:num="1"/>
          <w:docGrid w:linePitch="312" w:charSpace="0"/>
        </w:sectPr>
      </w:pPr>
    </w:p>
    <w:p w14:paraId="7381F823">
      <w:pPr>
        <w:tabs>
          <w:tab w:val="left" w:pos="5639"/>
        </w:tabs>
        <w:spacing w:line="360" w:lineRule="auto"/>
        <w:jc w:val="center"/>
        <w:rPr>
          <w:b/>
          <w:bCs/>
          <w:kern w:val="0"/>
          <w:szCs w:val="21"/>
        </w:rPr>
      </w:pPr>
      <w:r>
        <w:rPr>
          <w:b/>
          <w:bCs/>
          <w:kern w:val="0"/>
          <w:szCs w:val="21"/>
        </w:rPr>
        <w:t>3.3-2 项目猪只饮用用水量一览表</w:t>
      </w:r>
    </w:p>
    <w:tbl>
      <w:tblPr>
        <w:tblStyle w:val="87"/>
        <w:tblW w:w="4996" w:type="pct"/>
        <w:tblInd w:w="0" w:type="dxa"/>
        <w:tblLayout w:type="autofit"/>
        <w:tblCellMar>
          <w:top w:w="0" w:type="dxa"/>
          <w:left w:w="108" w:type="dxa"/>
          <w:bottom w:w="0" w:type="dxa"/>
          <w:right w:w="108" w:type="dxa"/>
        </w:tblCellMar>
      </w:tblPr>
      <w:tblGrid>
        <w:gridCol w:w="794"/>
        <w:gridCol w:w="2696"/>
        <w:gridCol w:w="1686"/>
        <w:gridCol w:w="928"/>
        <w:gridCol w:w="928"/>
        <w:gridCol w:w="1285"/>
        <w:gridCol w:w="1399"/>
        <w:gridCol w:w="1404"/>
        <w:gridCol w:w="965"/>
        <w:gridCol w:w="1078"/>
        <w:gridCol w:w="1079"/>
      </w:tblGrid>
      <w:tr w14:paraId="21035272">
        <w:tblPrEx>
          <w:tblCellMar>
            <w:top w:w="0" w:type="dxa"/>
            <w:left w:w="108" w:type="dxa"/>
            <w:bottom w:w="0" w:type="dxa"/>
            <w:right w:w="108" w:type="dxa"/>
          </w:tblCellMar>
        </w:tblPrEx>
        <w:trPr>
          <w:trHeight w:val="140" w:hRule="atLeast"/>
        </w:trPr>
        <w:tc>
          <w:tcPr>
            <w:tcW w:w="278" w:type="pct"/>
            <w:vMerge w:val="restart"/>
            <w:tcBorders>
              <w:top w:val="single" w:color="000000" w:sz="4" w:space="0"/>
              <w:left w:val="single" w:color="000000" w:sz="4" w:space="0"/>
              <w:right w:val="single" w:color="000000" w:sz="4" w:space="0"/>
            </w:tcBorders>
            <w:noWrap/>
            <w:vAlign w:val="center"/>
          </w:tcPr>
          <w:p w14:paraId="0E45FE5F">
            <w:pPr>
              <w:jc w:val="center"/>
              <w:rPr>
                <w:szCs w:val="21"/>
              </w:rPr>
            </w:pPr>
            <w:r>
              <w:rPr>
                <w:szCs w:val="21"/>
              </w:rPr>
              <w:t>编号</w:t>
            </w:r>
          </w:p>
        </w:tc>
        <w:tc>
          <w:tcPr>
            <w:tcW w:w="945" w:type="pct"/>
            <w:vMerge w:val="restart"/>
            <w:tcBorders>
              <w:top w:val="single" w:color="000000" w:sz="4" w:space="0"/>
              <w:left w:val="single" w:color="000000" w:sz="4" w:space="0"/>
              <w:right w:val="single" w:color="000000" w:sz="4" w:space="0"/>
            </w:tcBorders>
            <w:noWrap/>
            <w:vAlign w:val="center"/>
          </w:tcPr>
          <w:p w14:paraId="082639F8">
            <w:pPr>
              <w:jc w:val="center"/>
              <w:rPr>
                <w:szCs w:val="21"/>
              </w:rPr>
            </w:pPr>
            <w:r>
              <w:rPr>
                <w:szCs w:val="21"/>
              </w:rPr>
              <w:t>养殖位置</w:t>
            </w:r>
          </w:p>
        </w:tc>
        <w:tc>
          <w:tcPr>
            <w:tcW w:w="591" w:type="pct"/>
            <w:vMerge w:val="restart"/>
            <w:tcBorders>
              <w:top w:val="single" w:color="000000" w:sz="4" w:space="0"/>
              <w:left w:val="single" w:color="000000" w:sz="4" w:space="0"/>
              <w:right w:val="single" w:color="000000" w:sz="4" w:space="0"/>
            </w:tcBorders>
            <w:noWrap/>
            <w:vAlign w:val="center"/>
          </w:tcPr>
          <w:p w14:paraId="2BF9E024">
            <w:pPr>
              <w:widowControl/>
              <w:jc w:val="left"/>
              <w:textAlignment w:val="center"/>
              <w:rPr>
                <w:szCs w:val="21"/>
              </w:rPr>
            </w:pPr>
            <w:r>
              <w:rPr>
                <w:kern w:val="0"/>
                <w:szCs w:val="21"/>
                <w:lang w:bidi="ar"/>
              </w:rPr>
              <w:t>存栏数量（头）</w:t>
            </w:r>
          </w:p>
        </w:tc>
        <w:tc>
          <w:tcPr>
            <w:tcW w:w="651" w:type="pct"/>
            <w:gridSpan w:val="2"/>
            <w:tcBorders>
              <w:top w:val="single" w:color="000000" w:sz="4" w:space="0"/>
              <w:left w:val="single" w:color="000000" w:sz="4" w:space="0"/>
              <w:bottom w:val="single" w:color="000000" w:sz="4" w:space="0"/>
              <w:right w:val="single" w:color="000000" w:sz="4" w:space="0"/>
            </w:tcBorders>
            <w:noWrap/>
            <w:vAlign w:val="center"/>
          </w:tcPr>
          <w:p w14:paraId="0A08709A">
            <w:pPr>
              <w:widowControl/>
              <w:jc w:val="center"/>
              <w:textAlignment w:val="center"/>
              <w:rPr>
                <w:szCs w:val="21"/>
              </w:rPr>
            </w:pPr>
            <w:r>
              <w:rPr>
                <w:kern w:val="0"/>
                <w:szCs w:val="21"/>
                <w:lang w:bidi="ar"/>
              </w:rPr>
              <w:t>用水定额</w:t>
            </w:r>
          </w:p>
        </w:tc>
        <w:tc>
          <w:tcPr>
            <w:tcW w:w="451" w:type="pct"/>
            <w:vMerge w:val="restart"/>
            <w:tcBorders>
              <w:top w:val="single" w:color="000000" w:sz="4" w:space="0"/>
              <w:left w:val="single" w:color="000000" w:sz="4" w:space="0"/>
              <w:right w:val="single" w:color="000000" w:sz="4" w:space="0"/>
            </w:tcBorders>
            <w:noWrap/>
            <w:vAlign w:val="center"/>
          </w:tcPr>
          <w:p w14:paraId="0951AEC4">
            <w:pPr>
              <w:widowControl/>
              <w:jc w:val="left"/>
              <w:textAlignment w:val="center"/>
              <w:rPr>
                <w:szCs w:val="21"/>
              </w:rPr>
            </w:pPr>
            <w:r>
              <w:rPr>
                <w:kern w:val="0"/>
                <w:szCs w:val="21"/>
                <w:lang w:bidi="ar"/>
              </w:rPr>
              <w:t>年养殖批次</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1DC8B57">
            <w:pPr>
              <w:widowControl/>
              <w:jc w:val="center"/>
              <w:textAlignment w:val="center"/>
              <w:rPr>
                <w:szCs w:val="21"/>
              </w:rPr>
            </w:pPr>
            <w:r>
              <w:rPr>
                <w:kern w:val="0"/>
                <w:szCs w:val="21"/>
                <w:lang w:bidi="ar"/>
              </w:rPr>
              <w:t>保育猪</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4CD47A07">
            <w:pPr>
              <w:widowControl/>
              <w:jc w:val="center"/>
              <w:textAlignment w:val="center"/>
              <w:rPr>
                <w:szCs w:val="21"/>
              </w:rPr>
            </w:pPr>
            <w:r>
              <w:rPr>
                <w:kern w:val="0"/>
                <w:szCs w:val="21"/>
                <w:lang w:bidi="ar"/>
              </w:rPr>
              <w:t>育肥猪</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720E80D">
            <w:pPr>
              <w:widowControl/>
              <w:jc w:val="center"/>
              <w:textAlignment w:val="center"/>
              <w:rPr>
                <w:szCs w:val="21"/>
              </w:rPr>
            </w:pPr>
            <w:r>
              <w:rPr>
                <w:kern w:val="0"/>
                <w:szCs w:val="21"/>
                <w:lang w:bidi="ar"/>
              </w:rPr>
              <w:t>保育猪</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14:paraId="1FE874B5">
            <w:pPr>
              <w:widowControl/>
              <w:jc w:val="center"/>
              <w:textAlignment w:val="center"/>
              <w:rPr>
                <w:szCs w:val="21"/>
              </w:rPr>
            </w:pPr>
            <w:r>
              <w:rPr>
                <w:kern w:val="0"/>
                <w:szCs w:val="21"/>
                <w:lang w:bidi="ar"/>
              </w:rPr>
              <w:t>育肥猪</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14:paraId="57606FC1">
            <w:pPr>
              <w:widowControl/>
              <w:jc w:val="center"/>
              <w:textAlignment w:val="center"/>
              <w:rPr>
                <w:kern w:val="0"/>
                <w:szCs w:val="21"/>
                <w:lang w:bidi="ar"/>
              </w:rPr>
            </w:pPr>
            <w:r>
              <w:rPr>
                <w:kern w:val="0"/>
                <w:szCs w:val="21"/>
                <w:lang w:bidi="ar"/>
              </w:rPr>
              <w:t>合计</w:t>
            </w:r>
          </w:p>
        </w:tc>
      </w:tr>
      <w:tr w14:paraId="43FE8F8D">
        <w:tblPrEx>
          <w:tblCellMar>
            <w:top w:w="0" w:type="dxa"/>
            <w:left w:w="108" w:type="dxa"/>
            <w:bottom w:w="0" w:type="dxa"/>
            <w:right w:w="108" w:type="dxa"/>
          </w:tblCellMar>
        </w:tblPrEx>
        <w:trPr>
          <w:trHeight w:val="285" w:hRule="atLeast"/>
        </w:trPr>
        <w:tc>
          <w:tcPr>
            <w:tcW w:w="278" w:type="pct"/>
            <w:vMerge w:val="continue"/>
            <w:tcBorders>
              <w:left w:val="single" w:color="000000" w:sz="4" w:space="0"/>
              <w:bottom w:val="single" w:color="000000" w:sz="4" w:space="0"/>
              <w:right w:val="single" w:color="000000" w:sz="4" w:space="0"/>
            </w:tcBorders>
            <w:noWrap/>
            <w:vAlign w:val="center"/>
          </w:tcPr>
          <w:p w14:paraId="3B282411">
            <w:pPr>
              <w:jc w:val="center"/>
              <w:rPr>
                <w:szCs w:val="21"/>
              </w:rPr>
            </w:pPr>
          </w:p>
        </w:tc>
        <w:tc>
          <w:tcPr>
            <w:tcW w:w="945" w:type="pct"/>
            <w:vMerge w:val="continue"/>
            <w:tcBorders>
              <w:left w:val="single" w:color="000000" w:sz="4" w:space="0"/>
              <w:bottom w:val="single" w:color="000000" w:sz="4" w:space="0"/>
              <w:right w:val="single" w:color="000000" w:sz="4" w:space="0"/>
            </w:tcBorders>
            <w:noWrap/>
            <w:vAlign w:val="center"/>
          </w:tcPr>
          <w:p w14:paraId="06FDE6DE">
            <w:pPr>
              <w:jc w:val="center"/>
              <w:rPr>
                <w:szCs w:val="21"/>
              </w:rPr>
            </w:pPr>
          </w:p>
        </w:tc>
        <w:tc>
          <w:tcPr>
            <w:tcW w:w="591" w:type="pct"/>
            <w:vMerge w:val="continue"/>
            <w:tcBorders>
              <w:left w:val="single" w:color="000000" w:sz="4" w:space="0"/>
              <w:bottom w:val="single" w:color="000000" w:sz="4" w:space="0"/>
              <w:right w:val="single" w:color="000000" w:sz="4" w:space="0"/>
            </w:tcBorders>
            <w:noWrap/>
            <w:vAlign w:val="center"/>
          </w:tcPr>
          <w:p w14:paraId="6C7BC88A">
            <w:pPr>
              <w:widowControl/>
              <w:jc w:val="left"/>
              <w:textAlignment w:val="center"/>
              <w:rPr>
                <w:szCs w:val="21"/>
              </w:rPr>
            </w:pP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1116426B">
            <w:pPr>
              <w:widowControl/>
              <w:jc w:val="center"/>
              <w:textAlignment w:val="center"/>
              <w:rPr>
                <w:szCs w:val="21"/>
              </w:rPr>
            </w:pPr>
            <w:r>
              <w:rPr>
                <w:kern w:val="0"/>
                <w:szCs w:val="21"/>
                <w:lang w:bidi="ar"/>
              </w:rPr>
              <w:t>保育猪（L/d）</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1B389212">
            <w:pPr>
              <w:widowControl/>
              <w:jc w:val="center"/>
              <w:textAlignment w:val="center"/>
              <w:rPr>
                <w:szCs w:val="21"/>
              </w:rPr>
            </w:pPr>
            <w:r>
              <w:rPr>
                <w:kern w:val="0"/>
                <w:szCs w:val="21"/>
                <w:lang w:bidi="ar"/>
              </w:rPr>
              <w:t>育肥猪（L/d）</w:t>
            </w:r>
          </w:p>
        </w:tc>
        <w:tc>
          <w:tcPr>
            <w:tcW w:w="451" w:type="pct"/>
            <w:vMerge w:val="continue"/>
            <w:tcBorders>
              <w:left w:val="single" w:color="000000" w:sz="4" w:space="0"/>
              <w:bottom w:val="single" w:color="000000" w:sz="4" w:space="0"/>
              <w:right w:val="single" w:color="000000" w:sz="4" w:space="0"/>
            </w:tcBorders>
            <w:noWrap/>
            <w:vAlign w:val="center"/>
          </w:tcPr>
          <w:p w14:paraId="116334F1">
            <w:pPr>
              <w:widowControl/>
              <w:jc w:val="left"/>
              <w:textAlignment w:val="center"/>
              <w:rPr>
                <w:szCs w:val="21"/>
              </w:rPr>
            </w:pP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3191DCF">
            <w:pPr>
              <w:widowControl/>
              <w:jc w:val="center"/>
              <w:textAlignment w:val="center"/>
              <w:rPr>
                <w:szCs w:val="21"/>
              </w:rPr>
            </w:pPr>
            <w:r>
              <w:rPr>
                <w:kern w:val="0"/>
                <w:szCs w:val="21"/>
                <w:lang w:bidi="ar"/>
              </w:rPr>
              <w:t>m</w:t>
            </w:r>
            <w:r>
              <w:rPr>
                <w:rStyle w:val="254"/>
                <w:color w:val="auto"/>
                <w:vertAlign w:val="superscript"/>
                <w:lang w:bidi="ar"/>
              </w:rPr>
              <w:t>3</w:t>
            </w:r>
            <w:r>
              <w:rPr>
                <w:rStyle w:val="877"/>
                <w:rFonts w:hint="default" w:ascii="Times New Roman" w:hAnsi="Times New Roman"/>
                <w:color w:val="auto"/>
                <w:szCs w:val="21"/>
                <w:lang w:bidi="ar"/>
              </w:rPr>
              <w:t>/d</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7FCE67DB">
            <w:pPr>
              <w:widowControl/>
              <w:jc w:val="center"/>
              <w:textAlignment w:val="center"/>
              <w:rPr>
                <w:szCs w:val="21"/>
              </w:rPr>
            </w:pPr>
            <w:r>
              <w:rPr>
                <w:kern w:val="0"/>
                <w:szCs w:val="21"/>
                <w:lang w:bidi="ar"/>
              </w:rPr>
              <w:t>m</w:t>
            </w:r>
            <w:r>
              <w:rPr>
                <w:rStyle w:val="254"/>
                <w:color w:val="auto"/>
                <w:vertAlign w:val="superscript"/>
                <w:lang w:bidi="ar"/>
              </w:rPr>
              <w:t>3</w:t>
            </w:r>
            <w:r>
              <w:rPr>
                <w:rStyle w:val="877"/>
                <w:rFonts w:hint="default" w:ascii="Times New Roman" w:hAnsi="Times New Roman"/>
                <w:color w:val="auto"/>
                <w:szCs w:val="21"/>
                <w:lang w:bidi="ar"/>
              </w:rPr>
              <w:t>/d</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1F14050B">
            <w:pPr>
              <w:widowControl/>
              <w:jc w:val="center"/>
              <w:textAlignment w:val="center"/>
              <w:rPr>
                <w:szCs w:val="21"/>
              </w:rPr>
            </w:pPr>
            <w:r>
              <w:rPr>
                <w:kern w:val="0"/>
                <w:szCs w:val="21"/>
                <w:lang w:bidi="ar"/>
              </w:rPr>
              <w:t>m</w:t>
            </w:r>
            <w:r>
              <w:rPr>
                <w:rStyle w:val="254"/>
                <w:color w:val="auto"/>
                <w:vertAlign w:val="superscript"/>
                <w:lang w:bidi="ar"/>
              </w:rPr>
              <w:t>3</w:t>
            </w:r>
            <w:r>
              <w:rPr>
                <w:rStyle w:val="877"/>
                <w:rFonts w:hint="default" w:ascii="Times New Roman" w:hAnsi="Times New Roman"/>
                <w:color w:val="auto"/>
                <w:szCs w:val="21"/>
                <w:lang w:bidi="ar"/>
              </w:rPr>
              <w:t>/a</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14:paraId="65749EA7">
            <w:pPr>
              <w:widowControl/>
              <w:jc w:val="center"/>
              <w:textAlignment w:val="center"/>
              <w:rPr>
                <w:szCs w:val="21"/>
              </w:rPr>
            </w:pPr>
            <w:r>
              <w:rPr>
                <w:kern w:val="0"/>
                <w:szCs w:val="21"/>
                <w:lang w:bidi="ar"/>
              </w:rPr>
              <w:t>m</w:t>
            </w:r>
            <w:r>
              <w:rPr>
                <w:rStyle w:val="254"/>
                <w:color w:val="auto"/>
                <w:vertAlign w:val="superscript"/>
                <w:lang w:bidi="ar"/>
              </w:rPr>
              <w:t>3</w:t>
            </w:r>
            <w:r>
              <w:rPr>
                <w:rStyle w:val="877"/>
                <w:rFonts w:hint="default" w:ascii="Times New Roman" w:hAnsi="Times New Roman"/>
                <w:color w:val="auto"/>
                <w:szCs w:val="21"/>
                <w:lang w:bidi="ar"/>
              </w:rPr>
              <w:t>/a</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14:paraId="79F974C9">
            <w:pPr>
              <w:widowControl/>
              <w:jc w:val="center"/>
              <w:textAlignment w:val="center"/>
              <w:rPr>
                <w:kern w:val="0"/>
                <w:szCs w:val="21"/>
                <w:lang w:bidi="ar"/>
              </w:rPr>
            </w:pPr>
            <w:r>
              <w:rPr>
                <w:kern w:val="0"/>
                <w:szCs w:val="21"/>
                <w:lang w:bidi="ar"/>
              </w:rPr>
              <w:t>m</w:t>
            </w:r>
            <w:r>
              <w:rPr>
                <w:rStyle w:val="254"/>
                <w:color w:val="auto"/>
                <w:vertAlign w:val="superscript"/>
                <w:lang w:bidi="ar"/>
              </w:rPr>
              <w:t>3</w:t>
            </w:r>
            <w:r>
              <w:rPr>
                <w:rStyle w:val="877"/>
                <w:rFonts w:hint="default" w:ascii="Times New Roman" w:hAnsi="Times New Roman"/>
                <w:color w:val="auto"/>
                <w:szCs w:val="21"/>
                <w:lang w:bidi="ar"/>
              </w:rPr>
              <w:t>/a</w:t>
            </w:r>
          </w:p>
        </w:tc>
      </w:tr>
      <w:tr w14:paraId="2A7F9F54">
        <w:tblPrEx>
          <w:tblCellMar>
            <w:top w:w="0" w:type="dxa"/>
            <w:left w:w="108" w:type="dxa"/>
            <w:bottom w:w="0" w:type="dxa"/>
            <w:right w:w="108" w:type="dxa"/>
          </w:tblCellMar>
        </w:tblPrEx>
        <w:trPr>
          <w:trHeight w:val="285" w:hRule="atLeast"/>
        </w:trPr>
        <w:tc>
          <w:tcPr>
            <w:tcW w:w="278" w:type="pct"/>
            <w:vMerge w:val="restart"/>
            <w:tcBorders>
              <w:top w:val="single" w:color="000000" w:sz="4" w:space="0"/>
              <w:left w:val="single" w:color="000000" w:sz="4" w:space="0"/>
              <w:bottom w:val="single" w:color="000000" w:sz="4" w:space="0"/>
              <w:right w:val="single" w:color="000000" w:sz="4" w:space="0"/>
            </w:tcBorders>
            <w:noWrap/>
            <w:vAlign w:val="center"/>
          </w:tcPr>
          <w:p w14:paraId="4DCE8DEF">
            <w:pPr>
              <w:widowControl/>
              <w:jc w:val="center"/>
              <w:textAlignment w:val="center"/>
              <w:rPr>
                <w:szCs w:val="21"/>
              </w:rPr>
            </w:pPr>
            <w:r>
              <w:rPr>
                <w:kern w:val="0"/>
                <w:szCs w:val="21"/>
                <w:lang w:bidi="ar"/>
              </w:rPr>
              <w:t>1号地</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137AF14A">
            <w:pPr>
              <w:widowControl/>
              <w:jc w:val="center"/>
              <w:textAlignment w:val="center"/>
              <w:rPr>
                <w:szCs w:val="21"/>
              </w:rPr>
            </w:pPr>
            <w:r>
              <w:rPr>
                <w:kern w:val="0"/>
                <w:szCs w:val="21"/>
                <w:lang w:bidi="ar"/>
              </w:rPr>
              <w:t>盛丰通风井位置1号舍</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14:paraId="20A7FECF">
            <w:pPr>
              <w:widowControl/>
              <w:jc w:val="center"/>
              <w:textAlignment w:val="center"/>
              <w:rPr>
                <w:szCs w:val="21"/>
              </w:rPr>
            </w:pPr>
            <w:r>
              <w:rPr>
                <w:kern w:val="0"/>
                <w:szCs w:val="21"/>
                <w:lang w:bidi="ar"/>
              </w:rPr>
              <w:t xml:space="preserve">1143 </w:t>
            </w:r>
          </w:p>
        </w:tc>
        <w:tc>
          <w:tcPr>
            <w:tcW w:w="325" w:type="pct"/>
            <w:vMerge w:val="restart"/>
            <w:tcBorders>
              <w:top w:val="single" w:color="000000" w:sz="4" w:space="0"/>
              <w:left w:val="single" w:color="000000" w:sz="4" w:space="0"/>
              <w:bottom w:val="single" w:color="000000" w:sz="4" w:space="0"/>
              <w:right w:val="single" w:color="000000" w:sz="4" w:space="0"/>
            </w:tcBorders>
            <w:noWrap w:val="0"/>
            <w:vAlign w:val="center"/>
          </w:tcPr>
          <w:p w14:paraId="00C683CB">
            <w:pPr>
              <w:widowControl/>
              <w:jc w:val="center"/>
              <w:textAlignment w:val="center"/>
              <w:rPr>
                <w:szCs w:val="21"/>
              </w:rPr>
            </w:pPr>
            <w:r>
              <w:rPr>
                <w:kern w:val="0"/>
                <w:szCs w:val="21"/>
                <w:lang w:bidi="ar"/>
              </w:rPr>
              <w:t>4</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18FC2448">
            <w:pPr>
              <w:widowControl/>
              <w:jc w:val="center"/>
              <w:textAlignment w:val="center"/>
              <w:rPr>
                <w:szCs w:val="21"/>
              </w:rPr>
            </w:pPr>
            <w:r>
              <w:rPr>
                <w:kern w:val="0"/>
                <w:szCs w:val="21"/>
                <w:lang w:bidi="ar"/>
              </w:rPr>
              <w:t>6</w:t>
            </w:r>
          </w:p>
        </w:tc>
        <w:tc>
          <w:tcPr>
            <w:tcW w:w="451" w:type="pct"/>
            <w:vMerge w:val="restart"/>
            <w:tcBorders>
              <w:top w:val="single" w:color="000000" w:sz="4" w:space="0"/>
              <w:left w:val="single" w:color="000000" w:sz="4" w:space="0"/>
              <w:bottom w:val="single" w:color="000000" w:sz="4" w:space="0"/>
              <w:right w:val="single" w:color="000000" w:sz="4" w:space="0"/>
            </w:tcBorders>
            <w:noWrap w:val="0"/>
            <w:vAlign w:val="center"/>
          </w:tcPr>
          <w:p w14:paraId="3E40C512">
            <w:pPr>
              <w:widowControl/>
              <w:jc w:val="center"/>
              <w:textAlignment w:val="center"/>
              <w:rPr>
                <w:szCs w:val="21"/>
              </w:rPr>
            </w:pPr>
            <w:r>
              <w:rPr>
                <w:kern w:val="0"/>
                <w:szCs w:val="21"/>
                <w:lang w:bidi="ar"/>
              </w:rPr>
              <w:t>2.6</w:t>
            </w:r>
          </w:p>
        </w:tc>
        <w:tc>
          <w:tcPr>
            <w:tcW w:w="491" w:type="pct"/>
            <w:vMerge w:val="restart"/>
            <w:tcBorders>
              <w:top w:val="single" w:color="000000" w:sz="4" w:space="0"/>
              <w:left w:val="single" w:color="000000" w:sz="4" w:space="0"/>
              <w:bottom w:val="single" w:color="000000" w:sz="4" w:space="0"/>
              <w:right w:val="single" w:color="000000" w:sz="4" w:space="0"/>
            </w:tcBorders>
            <w:noWrap w:val="0"/>
            <w:vAlign w:val="center"/>
          </w:tcPr>
          <w:p w14:paraId="22F2CD23">
            <w:pPr>
              <w:widowControl/>
              <w:jc w:val="center"/>
              <w:textAlignment w:val="center"/>
              <w:rPr>
                <w:szCs w:val="21"/>
              </w:rPr>
            </w:pPr>
            <w:r>
              <w:rPr>
                <w:kern w:val="0"/>
                <w:szCs w:val="21"/>
                <w:lang w:bidi="ar"/>
              </w:rPr>
              <w:t xml:space="preserve">4.57 </w:t>
            </w:r>
          </w:p>
        </w:tc>
        <w:tc>
          <w:tcPr>
            <w:tcW w:w="493" w:type="pct"/>
            <w:vMerge w:val="restart"/>
            <w:tcBorders>
              <w:top w:val="single" w:color="000000" w:sz="4" w:space="0"/>
              <w:left w:val="single" w:color="000000" w:sz="4" w:space="0"/>
              <w:bottom w:val="single" w:color="000000" w:sz="4" w:space="0"/>
              <w:right w:val="single" w:color="000000" w:sz="4" w:space="0"/>
            </w:tcBorders>
            <w:noWrap w:val="0"/>
            <w:vAlign w:val="center"/>
          </w:tcPr>
          <w:p w14:paraId="15A417BA">
            <w:pPr>
              <w:widowControl/>
              <w:jc w:val="center"/>
              <w:textAlignment w:val="center"/>
              <w:rPr>
                <w:szCs w:val="21"/>
              </w:rPr>
            </w:pPr>
            <w:r>
              <w:rPr>
                <w:kern w:val="0"/>
                <w:szCs w:val="21"/>
                <w:lang w:bidi="ar"/>
              </w:rPr>
              <w:t xml:space="preserve">6.86 </w:t>
            </w:r>
          </w:p>
        </w:tc>
        <w:tc>
          <w:tcPr>
            <w:tcW w:w="339" w:type="pct"/>
            <w:vMerge w:val="restart"/>
            <w:tcBorders>
              <w:top w:val="single" w:color="000000" w:sz="4" w:space="0"/>
              <w:left w:val="single" w:color="000000" w:sz="4" w:space="0"/>
              <w:bottom w:val="single" w:color="000000" w:sz="4" w:space="0"/>
              <w:right w:val="single" w:color="000000" w:sz="4" w:space="0"/>
            </w:tcBorders>
            <w:noWrap w:val="0"/>
            <w:vAlign w:val="center"/>
          </w:tcPr>
          <w:p w14:paraId="5BBB9D6A">
            <w:pPr>
              <w:widowControl/>
              <w:jc w:val="center"/>
              <w:textAlignment w:val="center"/>
              <w:rPr>
                <w:szCs w:val="21"/>
              </w:rPr>
            </w:pPr>
            <w:r>
              <w:rPr>
                <w:kern w:val="0"/>
                <w:szCs w:val="21"/>
                <w:lang w:bidi="ar"/>
              </w:rPr>
              <w:t xml:space="preserve">475.29 </w:t>
            </w:r>
          </w:p>
        </w:tc>
        <w:tc>
          <w:tcPr>
            <w:tcW w:w="378" w:type="pct"/>
            <w:vMerge w:val="restart"/>
            <w:tcBorders>
              <w:top w:val="single" w:color="000000" w:sz="4" w:space="0"/>
              <w:left w:val="single" w:color="000000" w:sz="4" w:space="0"/>
              <w:bottom w:val="single" w:color="000000" w:sz="4" w:space="0"/>
              <w:right w:val="single" w:color="000000" w:sz="4" w:space="0"/>
            </w:tcBorders>
            <w:noWrap w:val="0"/>
            <w:vAlign w:val="center"/>
          </w:tcPr>
          <w:p w14:paraId="3D4B2B10">
            <w:pPr>
              <w:widowControl/>
              <w:jc w:val="center"/>
              <w:textAlignment w:val="center"/>
              <w:rPr>
                <w:szCs w:val="21"/>
              </w:rPr>
            </w:pPr>
            <w:r>
              <w:rPr>
                <w:kern w:val="0"/>
                <w:szCs w:val="21"/>
                <w:lang w:bidi="ar"/>
              </w:rPr>
              <w:t xml:space="preserve">1782.33 </w:t>
            </w:r>
          </w:p>
        </w:tc>
        <w:tc>
          <w:tcPr>
            <w:tcW w:w="1078" w:type="dxa"/>
            <w:vMerge w:val="restart"/>
            <w:tcBorders>
              <w:top w:val="single" w:color="000000" w:sz="4" w:space="0"/>
              <w:left w:val="single" w:color="000000" w:sz="4" w:space="0"/>
              <w:right w:val="single" w:color="000000" w:sz="4" w:space="0"/>
            </w:tcBorders>
            <w:noWrap w:val="0"/>
            <w:vAlign w:val="center"/>
          </w:tcPr>
          <w:p w14:paraId="09F63001">
            <w:pPr>
              <w:widowControl/>
              <w:jc w:val="center"/>
              <w:textAlignment w:val="center"/>
              <w:rPr>
                <w:kern w:val="0"/>
                <w:szCs w:val="21"/>
                <w:lang w:bidi="ar"/>
              </w:rPr>
            </w:pPr>
            <w:r>
              <w:rPr>
                <w:kern w:val="0"/>
                <w:szCs w:val="21"/>
                <w:lang w:bidi="ar"/>
              </w:rPr>
              <w:t xml:space="preserve">2257.62 </w:t>
            </w:r>
          </w:p>
        </w:tc>
      </w:tr>
      <w:tr w14:paraId="70903CE6">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1EECDD46">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37803CBC">
            <w:pPr>
              <w:widowControl/>
              <w:jc w:val="center"/>
              <w:textAlignment w:val="center"/>
              <w:rPr>
                <w:szCs w:val="21"/>
              </w:rPr>
            </w:pPr>
            <w:r>
              <w:rPr>
                <w:kern w:val="0"/>
                <w:szCs w:val="21"/>
                <w:lang w:bidi="ar"/>
              </w:rPr>
              <w:t>盛丰通风井位置2号舍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2DD15D48">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DA7E42">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DA4DDA2">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EEDE31">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01694A">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0E4608">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5308C4">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52CA82">
            <w:pPr>
              <w:jc w:val="center"/>
              <w:rPr>
                <w:szCs w:val="21"/>
              </w:rPr>
            </w:pPr>
          </w:p>
        </w:tc>
        <w:tc>
          <w:tcPr>
            <w:tcW w:w="378" w:type="pct"/>
            <w:vMerge w:val="continue"/>
            <w:tcBorders>
              <w:left w:val="single" w:color="000000" w:sz="4" w:space="0"/>
              <w:bottom w:val="single" w:color="000000" w:sz="4" w:space="0"/>
              <w:right w:val="single" w:color="000000" w:sz="4" w:space="0"/>
            </w:tcBorders>
            <w:noWrap w:val="0"/>
            <w:vAlign w:val="center"/>
          </w:tcPr>
          <w:p w14:paraId="287BC0FD">
            <w:pPr>
              <w:widowControl/>
              <w:jc w:val="center"/>
              <w:textAlignment w:val="center"/>
              <w:rPr>
                <w:kern w:val="0"/>
                <w:szCs w:val="21"/>
                <w:lang w:bidi="ar"/>
              </w:rPr>
            </w:pPr>
          </w:p>
        </w:tc>
      </w:tr>
      <w:tr w14:paraId="20B6EB79">
        <w:tblPrEx>
          <w:tblCellMar>
            <w:top w:w="0" w:type="dxa"/>
            <w:left w:w="108" w:type="dxa"/>
            <w:bottom w:w="0" w:type="dxa"/>
            <w:right w:w="108" w:type="dxa"/>
          </w:tblCellMar>
        </w:tblPrEx>
        <w:trPr>
          <w:trHeight w:val="285" w:hRule="atLeast"/>
        </w:trPr>
        <w:tc>
          <w:tcPr>
            <w:tcW w:w="278" w:type="pct"/>
            <w:vMerge w:val="restart"/>
            <w:tcBorders>
              <w:top w:val="single" w:color="000000" w:sz="4" w:space="0"/>
              <w:left w:val="single" w:color="000000" w:sz="4" w:space="0"/>
              <w:bottom w:val="single" w:color="000000" w:sz="4" w:space="0"/>
              <w:right w:val="single" w:color="000000" w:sz="4" w:space="0"/>
            </w:tcBorders>
            <w:noWrap/>
            <w:vAlign w:val="center"/>
          </w:tcPr>
          <w:p w14:paraId="1D87FF8B">
            <w:pPr>
              <w:widowControl/>
              <w:jc w:val="center"/>
              <w:textAlignment w:val="center"/>
              <w:rPr>
                <w:szCs w:val="21"/>
              </w:rPr>
            </w:pPr>
            <w:r>
              <w:rPr>
                <w:kern w:val="0"/>
                <w:szCs w:val="21"/>
                <w:lang w:bidi="ar"/>
              </w:rPr>
              <w:t>2号地</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D9547E1">
            <w:pPr>
              <w:widowControl/>
              <w:jc w:val="center"/>
              <w:textAlignment w:val="center"/>
              <w:rPr>
                <w:szCs w:val="21"/>
              </w:rPr>
            </w:pPr>
            <w:r>
              <w:rPr>
                <w:kern w:val="0"/>
                <w:szCs w:val="21"/>
                <w:lang w:bidi="ar"/>
              </w:rPr>
              <w:t>盛丰焦化楼位置1号舍</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14:paraId="1B8FF987">
            <w:pPr>
              <w:widowControl/>
              <w:jc w:val="center"/>
              <w:textAlignment w:val="center"/>
              <w:rPr>
                <w:szCs w:val="21"/>
              </w:rPr>
            </w:pPr>
            <w:r>
              <w:rPr>
                <w:kern w:val="0"/>
                <w:szCs w:val="21"/>
                <w:lang w:bidi="ar"/>
              </w:rPr>
              <w:t xml:space="preserve">2420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5931958F">
            <w:pPr>
              <w:widowControl/>
              <w:jc w:val="center"/>
              <w:textAlignment w:val="center"/>
              <w:rPr>
                <w:szCs w:val="21"/>
              </w:rPr>
            </w:pPr>
            <w:r>
              <w:rPr>
                <w:kern w:val="0"/>
                <w:szCs w:val="21"/>
                <w:lang w:bidi="ar"/>
              </w:rPr>
              <w:t>4</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62B0EBFA">
            <w:pPr>
              <w:widowControl/>
              <w:jc w:val="center"/>
              <w:textAlignment w:val="center"/>
              <w:rPr>
                <w:szCs w:val="21"/>
              </w:rPr>
            </w:pPr>
            <w:r>
              <w:rPr>
                <w:kern w:val="0"/>
                <w:szCs w:val="21"/>
                <w:lang w:bidi="ar"/>
              </w:rPr>
              <w:t>6</w:t>
            </w:r>
          </w:p>
        </w:tc>
        <w:tc>
          <w:tcPr>
            <w:tcW w:w="451" w:type="pct"/>
            <w:vMerge w:val="restart"/>
            <w:tcBorders>
              <w:top w:val="single" w:color="000000" w:sz="4" w:space="0"/>
              <w:left w:val="single" w:color="000000" w:sz="4" w:space="0"/>
              <w:bottom w:val="single" w:color="000000" w:sz="4" w:space="0"/>
              <w:right w:val="single" w:color="000000" w:sz="4" w:space="0"/>
            </w:tcBorders>
            <w:noWrap/>
            <w:vAlign w:val="center"/>
          </w:tcPr>
          <w:p w14:paraId="37209E31">
            <w:pPr>
              <w:widowControl/>
              <w:jc w:val="center"/>
              <w:textAlignment w:val="center"/>
              <w:rPr>
                <w:szCs w:val="21"/>
              </w:rPr>
            </w:pPr>
            <w:r>
              <w:rPr>
                <w:kern w:val="0"/>
                <w:szCs w:val="21"/>
                <w:lang w:bidi="ar"/>
              </w:rPr>
              <w:t>2.6</w:t>
            </w:r>
          </w:p>
        </w:tc>
        <w:tc>
          <w:tcPr>
            <w:tcW w:w="491" w:type="pct"/>
            <w:vMerge w:val="restart"/>
            <w:tcBorders>
              <w:top w:val="single" w:color="000000" w:sz="4" w:space="0"/>
              <w:left w:val="single" w:color="000000" w:sz="4" w:space="0"/>
              <w:bottom w:val="single" w:color="000000" w:sz="4" w:space="0"/>
              <w:right w:val="single" w:color="000000" w:sz="4" w:space="0"/>
            </w:tcBorders>
            <w:noWrap/>
            <w:vAlign w:val="center"/>
          </w:tcPr>
          <w:p w14:paraId="22C496A2">
            <w:pPr>
              <w:widowControl/>
              <w:jc w:val="center"/>
              <w:textAlignment w:val="center"/>
              <w:rPr>
                <w:szCs w:val="21"/>
              </w:rPr>
            </w:pPr>
            <w:r>
              <w:rPr>
                <w:kern w:val="0"/>
                <w:szCs w:val="21"/>
                <w:lang w:bidi="ar"/>
              </w:rPr>
              <w:t xml:space="preserve">9.68 </w:t>
            </w:r>
          </w:p>
        </w:tc>
        <w:tc>
          <w:tcPr>
            <w:tcW w:w="493" w:type="pct"/>
            <w:vMerge w:val="restart"/>
            <w:tcBorders>
              <w:top w:val="single" w:color="000000" w:sz="4" w:space="0"/>
              <w:left w:val="single" w:color="000000" w:sz="4" w:space="0"/>
              <w:bottom w:val="single" w:color="000000" w:sz="4" w:space="0"/>
              <w:right w:val="single" w:color="000000" w:sz="4" w:space="0"/>
            </w:tcBorders>
            <w:noWrap/>
            <w:vAlign w:val="center"/>
          </w:tcPr>
          <w:p w14:paraId="6AF58123">
            <w:pPr>
              <w:widowControl/>
              <w:jc w:val="center"/>
              <w:textAlignment w:val="center"/>
              <w:rPr>
                <w:szCs w:val="21"/>
              </w:rPr>
            </w:pPr>
            <w:r>
              <w:rPr>
                <w:kern w:val="0"/>
                <w:szCs w:val="21"/>
                <w:lang w:bidi="ar"/>
              </w:rPr>
              <w:t xml:space="preserve">14.52 </w:t>
            </w:r>
          </w:p>
        </w:tc>
        <w:tc>
          <w:tcPr>
            <w:tcW w:w="339" w:type="pct"/>
            <w:vMerge w:val="restart"/>
            <w:tcBorders>
              <w:top w:val="single" w:color="000000" w:sz="4" w:space="0"/>
              <w:left w:val="single" w:color="000000" w:sz="4" w:space="0"/>
              <w:bottom w:val="single" w:color="000000" w:sz="4" w:space="0"/>
              <w:right w:val="single" w:color="000000" w:sz="4" w:space="0"/>
            </w:tcBorders>
            <w:noWrap/>
            <w:vAlign w:val="center"/>
          </w:tcPr>
          <w:p w14:paraId="36ECAEF5">
            <w:pPr>
              <w:widowControl/>
              <w:jc w:val="center"/>
              <w:textAlignment w:val="center"/>
              <w:rPr>
                <w:szCs w:val="21"/>
              </w:rPr>
            </w:pPr>
            <w:r>
              <w:rPr>
                <w:kern w:val="0"/>
                <w:szCs w:val="21"/>
                <w:lang w:bidi="ar"/>
              </w:rPr>
              <w:t xml:space="preserve">1006.54 </w:t>
            </w:r>
          </w:p>
        </w:tc>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76D9889B">
            <w:pPr>
              <w:widowControl/>
              <w:jc w:val="center"/>
              <w:textAlignment w:val="center"/>
              <w:rPr>
                <w:szCs w:val="21"/>
              </w:rPr>
            </w:pPr>
            <w:r>
              <w:rPr>
                <w:kern w:val="0"/>
                <w:szCs w:val="21"/>
                <w:lang w:bidi="ar"/>
              </w:rPr>
              <w:t xml:space="preserve">3774.51 </w:t>
            </w:r>
          </w:p>
        </w:tc>
        <w:tc>
          <w:tcPr>
            <w:tcW w:w="1078" w:type="dxa"/>
            <w:vMerge w:val="restart"/>
            <w:tcBorders>
              <w:top w:val="single" w:color="000000" w:sz="4" w:space="0"/>
              <w:left w:val="single" w:color="000000" w:sz="4" w:space="0"/>
              <w:right w:val="single" w:color="000000" w:sz="4" w:space="0"/>
            </w:tcBorders>
            <w:noWrap/>
            <w:vAlign w:val="center"/>
          </w:tcPr>
          <w:p w14:paraId="0C26A4B6">
            <w:pPr>
              <w:widowControl/>
              <w:jc w:val="center"/>
              <w:textAlignment w:val="center"/>
              <w:rPr>
                <w:kern w:val="0"/>
                <w:szCs w:val="21"/>
                <w:lang w:bidi="ar"/>
              </w:rPr>
            </w:pPr>
            <w:r>
              <w:rPr>
                <w:kern w:val="0"/>
                <w:szCs w:val="21"/>
                <w:lang w:bidi="ar"/>
              </w:rPr>
              <w:t xml:space="preserve">4781.04 </w:t>
            </w:r>
          </w:p>
        </w:tc>
      </w:tr>
      <w:tr w14:paraId="6BFC1764">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4555A689">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7DFD5961">
            <w:pPr>
              <w:widowControl/>
              <w:jc w:val="center"/>
              <w:textAlignment w:val="center"/>
              <w:rPr>
                <w:szCs w:val="21"/>
              </w:rPr>
            </w:pPr>
            <w:r>
              <w:rPr>
                <w:kern w:val="0"/>
                <w:szCs w:val="21"/>
                <w:lang w:bidi="ar"/>
              </w:rPr>
              <w:t>盛丰焦化楼位置2号舍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18F6F715">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5908D9E">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331E2E1">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6616B988">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0C42237E">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4B784232">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311BF81F">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42111294">
            <w:pPr>
              <w:jc w:val="center"/>
              <w:rPr>
                <w:szCs w:val="21"/>
              </w:rPr>
            </w:pPr>
          </w:p>
        </w:tc>
        <w:tc>
          <w:tcPr>
            <w:tcW w:w="378" w:type="pct"/>
            <w:vMerge w:val="continue"/>
            <w:tcBorders>
              <w:left w:val="single" w:color="000000" w:sz="4" w:space="0"/>
              <w:right w:val="single" w:color="000000" w:sz="4" w:space="0"/>
            </w:tcBorders>
            <w:noWrap/>
            <w:vAlign w:val="center"/>
          </w:tcPr>
          <w:p w14:paraId="567FB92C">
            <w:pPr>
              <w:widowControl/>
              <w:jc w:val="center"/>
              <w:textAlignment w:val="center"/>
              <w:rPr>
                <w:kern w:val="0"/>
                <w:szCs w:val="21"/>
                <w:lang w:bidi="ar"/>
              </w:rPr>
            </w:pPr>
          </w:p>
        </w:tc>
      </w:tr>
      <w:tr w14:paraId="70CB6CC7">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4C458DCA">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17E7292E">
            <w:pPr>
              <w:widowControl/>
              <w:jc w:val="center"/>
              <w:textAlignment w:val="center"/>
              <w:rPr>
                <w:szCs w:val="21"/>
              </w:rPr>
            </w:pPr>
            <w:r>
              <w:rPr>
                <w:kern w:val="0"/>
                <w:szCs w:val="21"/>
                <w:lang w:bidi="ar"/>
              </w:rPr>
              <w:t>球场位置1单元</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04A4AF31">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C1BE415">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4345D82">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66385D57">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17E1A28C">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4A30197E">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14426840">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007861B2">
            <w:pPr>
              <w:jc w:val="center"/>
              <w:rPr>
                <w:szCs w:val="21"/>
              </w:rPr>
            </w:pPr>
          </w:p>
        </w:tc>
        <w:tc>
          <w:tcPr>
            <w:tcW w:w="378" w:type="pct"/>
            <w:vMerge w:val="continue"/>
            <w:tcBorders>
              <w:left w:val="single" w:color="000000" w:sz="4" w:space="0"/>
              <w:right w:val="single" w:color="000000" w:sz="4" w:space="0"/>
            </w:tcBorders>
            <w:noWrap/>
            <w:vAlign w:val="center"/>
          </w:tcPr>
          <w:p w14:paraId="5E2077FD">
            <w:pPr>
              <w:widowControl/>
              <w:jc w:val="center"/>
              <w:textAlignment w:val="center"/>
              <w:rPr>
                <w:kern w:val="0"/>
                <w:szCs w:val="21"/>
                <w:lang w:bidi="ar"/>
              </w:rPr>
            </w:pPr>
          </w:p>
        </w:tc>
      </w:tr>
      <w:tr w14:paraId="73FAAE56">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5B2054B6">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33078E0">
            <w:pPr>
              <w:widowControl/>
              <w:jc w:val="center"/>
              <w:textAlignment w:val="center"/>
              <w:rPr>
                <w:szCs w:val="21"/>
              </w:rPr>
            </w:pPr>
            <w:r>
              <w:rPr>
                <w:kern w:val="0"/>
                <w:szCs w:val="21"/>
                <w:lang w:bidi="ar"/>
              </w:rPr>
              <w:t>球场位置2单元</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188D7583">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2A5B72F">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24C08B0">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29A7DE88">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2B8FDB8E">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294FC1C1">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0B0F5A27">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7DF8CE72">
            <w:pPr>
              <w:jc w:val="center"/>
              <w:rPr>
                <w:szCs w:val="21"/>
              </w:rPr>
            </w:pPr>
          </w:p>
        </w:tc>
        <w:tc>
          <w:tcPr>
            <w:tcW w:w="378" w:type="pct"/>
            <w:vMerge w:val="continue"/>
            <w:tcBorders>
              <w:left w:val="single" w:color="000000" w:sz="4" w:space="0"/>
              <w:right w:val="single" w:color="000000" w:sz="4" w:space="0"/>
            </w:tcBorders>
            <w:noWrap/>
            <w:vAlign w:val="center"/>
          </w:tcPr>
          <w:p w14:paraId="4306F919">
            <w:pPr>
              <w:widowControl/>
              <w:jc w:val="center"/>
              <w:textAlignment w:val="center"/>
              <w:rPr>
                <w:kern w:val="0"/>
                <w:szCs w:val="21"/>
                <w:lang w:bidi="ar"/>
              </w:rPr>
            </w:pPr>
          </w:p>
        </w:tc>
      </w:tr>
      <w:tr w14:paraId="49610BA1">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4F785D05">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A9FF919">
            <w:pPr>
              <w:widowControl/>
              <w:jc w:val="center"/>
              <w:textAlignment w:val="center"/>
              <w:rPr>
                <w:szCs w:val="21"/>
              </w:rPr>
            </w:pPr>
            <w:r>
              <w:rPr>
                <w:kern w:val="0"/>
                <w:szCs w:val="21"/>
                <w:lang w:bidi="ar"/>
              </w:rPr>
              <w:t>球场位置3单元</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31F3964A">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B2E4082">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636A59C">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452DCA54">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0196EF68">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4FFD9318">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797CF9CF">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24737374">
            <w:pPr>
              <w:jc w:val="center"/>
              <w:rPr>
                <w:szCs w:val="21"/>
              </w:rPr>
            </w:pPr>
          </w:p>
        </w:tc>
        <w:tc>
          <w:tcPr>
            <w:tcW w:w="378" w:type="pct"/>
            <w:vMerge w:val="continue"/>
            <w:tcBorders>
              <w:left w:val="single" w:color="000000" w:sz="4" w:space="0"/>
              <w:bottom w:val="single" w:color="000000" w:sz="4" w:space="0"/>
              <w:right w:val="single" w:color="000000" w:sz="4" w:space="0"/>
            </w:tcBorders>
            <w:noWrap/>
            <w:vAlign w:val="center"/>
          </w:tcPr>
          <w:p w14:paraId="1C23F1E5">
            <w:pPr>
              <w:widowControl/>
              <w:jc w:val="center"/>
              <w:textAlignment w:val="center"/>
              <w:rPr>
                <w:kern w:val="0"/>
                <w:szCs w:val="21"/>
                <w:lang w:bidi="ar"/>
              </w:rPr>
            </w:pPr>
          </w:p>
        </w:tc>
      </w:tr>
      <w:tr w14:paraId="0B3BEEA4">
        <w:tblPrEx>
          <w:tblCellMar>
            <w:top w:w="0" w:type="dxa"/>
            <w:left w:w="108" w:type="dxa"/>
            <w:bottom w:w="0" w:type="dxa"/>
            <w:right w:w="108" w:type="dxa"/>
          </w:tblCellMar>
        </w:tblPrEx>
        <w:trPr>
          <w:trHeight w:val="285" w:hRule="atLeast"/>
        </w:trPr>
        <w:tc>
          <w:tcPr>
            <w:tcW w:w="278" w:type="pct"/>
            <w:vMerge w:val="restart"/>
            <w:tcBorders>
              <w:top w:val="single" w:color="000000" w:sz="4" w:space="0"/>
              <w:left w:val="single" w:color="000000" w:sz="4" w:space="0"/>
              <w:bottom w:val="single" w:color="000000" w:sz="4" w:space="0"/>
              <w:right w:val="single" w:color="000000" w:sz="4" w:space="0"/>
            </w:tcBorders>
            <w:noWrap/>
            <w:vAlign w:val="center"/>
          </w:tcPr>
          <w:p w14:paraId="66D30CA8">
            <w:pPr>
              <w:widowControl/>
              <w:jc w:val="center"/>
              <w:textAlignment w:val="center"/>
              <w:rPr>
                <w:szCs w:val="21"/>
              </w:rPr>
            </w:pPr>
            <w:r>
              <w:rPr>
                <w:kern w:val="0"/>
                <w:szCs w:val="21"/>
                <w:lang w:bidi="ar"/>
              </w:rPr>
              <w:t>3号地</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755AB8FE">
            <w:pPr>
              <w:widowControl/>
              <w:jc w:val="center"/>
              <w:textAlignment w:val="center"/>
              <w:rPr>
                <w:szCs w:val="21"/>
              </w:rPr>
            </w:pPr>
            <w:r>
              <w:rPr>
                <w:kern w:val="0"/>
                <w:szCs w:val="21"/>
                <w:lang w:bidi="ar"/>
              </w:rPr>
              <w:t>老井位置1号舍</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14:paraId="7BD84382">
            <w:pPr>
              <w:widowControl/>
              <w:jc w:val="center"/>
              <w:textAlignment w:val="center"/>
              <w:rPr>
                <w:szCs w:val="21"/>
              </w:rPr>
            </w:pPr>
            <w:r>
              <w:rPr>
                <w:kern w:val="0"/>
                <w:szCs w:val="21"/>
                <w:lang w:bidi="ar"/>
              </w:rPr>
              <w:t xml:space="preserve">1075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5596948D">
            <w:pPr>
              <w:widowControl/>
              <w:jc w:val="center"/>
              <w:textAlignment w:val="center"/>
              <w:rPr>
                <w:szCs w:val="21"/>
              </w:rPr>
            </w:pPr>
            <w:r>
              <w:rPr>
                <w:kern w:val="0"/>
                <w:szCs w:val="21"/>
                <w:lang w:bidi="ar"/>
              </w:rPr>
              <w:t>4</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57F27519">
            <w:pPr>
              <w:widowControl/>
              <w:jc w:val="center"/>
              <w:textAlignment w:val="center"/>
              <w:rPr>
                <w:szCs w:val="21"/>
              </w:rPr>
            </w:pPr>
            <w:r>
              <w:rPr>
                <w:kern w:val="0"/>
                <w:szCs w:val="21"/>
                <w:lang w:bidi="ar"/>
              </w:rPr>
              <w:t>6</w:t>
            </w:r>
          </w:p>
        </w:tc>
        <w:tc>
          <w:tcPr>
            <w:tcW w:w="451" w:type="pct"/>
            <w:vMerge w:val="restart"/>
            <w:tcBorders>
              <w:top w:val="single" w:color="000000" w:sz="4" w:space="0"/>
              <w:left w:val="single" w:color="000000" w:sz="4" w:space="0"/>
              <w:bottom w:val="single" w:color="000000" w:sz="4" w:space="0"/>
              <w:right w:val="single" w:color="000000" w:sz="4" w:space="0"/>
            </w:tcBorders>
            <w:noWrap/>
            <w:vAlign w:val="center"/>
          </w:tcPr>
          <w:p w14:paraId="143A6FB0">
            <w:pPr>
              <w:widowControl/>
              <w:jc w:val="center"/>
              <w:textAlignment w:val="center"/>
              <w:rPr>
                <w:szCs w:val="21"/>
              </w:rPr>
            </w:pPr>
            <w:r>
              <w:rPr>
                <w:kern w:val="0"/>
                <w:szCs w:val="21"/>
                <w:lang w:bidi="ar"/>
              </w:rPr>
              <w:t>2.6</w:t>
            </w:r>
          </w:p>
        </w:tc>
        <w:tc>
          <w:tcPr>
            <w:tcW w:w="491" w:type="pct"/>
            <w:vMerge w:val="restart"/>
            <w:tcBorders>
              <w:top w:val="single" w:color="000000" w:sz="4" w:space="0"/>
              <w:left w:val="single" w:color="000000" w:sz="4" w:space="0"/>
              <w:bottom w:val="single" w:color="000000" w:sz="4" w:space="0"/>
              <w:right w:val="single" w:color="000000" w:sz="4" w:space="0"/>
            </w:tcBorders>
            <w:noWrap/>
            <w:vAlign w:val="center"/>
          </w:tcPr>
          <w:p w14:paraId="77542AF5">
            <w:pPr>
              <w:widowControl/>
              <w:jc w:val="center"/>
              <w:textAlignment w:val="center"/>
              <w:rPr>
                <w:szCs w:val="21"/>
              </w:rPr>
            </w:pPr>
            <w:r>
              <w:rPr>
                <w:kern w:val="0"/>
                <w:szCs w:val="21"/>
                <w:lang w:bidi="ar"/>
              </w:rPr>
              <w:t xml:space="preserve">4.30 </w:t>
            </w:r>
          </w:p>
        </w:tc>
        <w:tc>
          <w:tcPr>
            <w:tcW w:w="493" w:type="pct"/>
            <w:vMerge w:val="restart"/>
            <w:tcBorders>
              <w:top w:val="single" w:color="000000" w:sz="4" w:space="0"/>
              <w:left w:val="single" w:color="000000" w:sz="4" w:space="0"/>
              <w:bottom w:val="single" w:color="000000" w:sz="4" w:space="0"/>
              <w:right w:val="single" w:color="000000" w:sz="4" w:space="0"/>
            </w:tcBorders>
            <w:noWrap/>
            <w:vAlign w:val="center"/>
          </w:tcPr>
          <w:p w14:paraId="6ED9A1FD">
            <w:pPr>
              <w:widowControl/>
              <w:jc w:val="center"/>
              <w:textAlignment w:val="center"/>
              <w:rPr>
                <w:szCs w:val="21"/>
              </w:rPr>
            </w:pPr>
            <w:r>
              <w:rPr>
                <w:kern w:val="0"/>
                <w:szCs w:val="21"/>
                <w:lang w:bidi="ar"/>
              </w:rPr>
              <w:t xml:space="preserve">6.45 </w:t>
            </w:r>
          </w:p>
        </w:tc>
        <w:tc>
          <w:tcPr>
            <w:tcW w:w="339" w:type="pct"/>
            <w:vMerge w:val="restart"/>
            <w:tcBorders>
              <w:top w:val="single" w:color="000000" w:sz="4" w:space="0"/>
              <w:left w:val="single" w:color="000000" w:sz="4" w:space="0"/>
              <w:bottom w:val="single" w:color="000000" w:sz="4" w:space="0"/>
              <w:right w:val="single" w:color="000000" w:sz="4" w:space="0"/>
            </w:tcBorders>
            <w:noWrap/>
            <w:vAlign w:val="center"/>
          </w:tcPr>
          <w:p w14:paraId="50A7333C">
            <w:pPr>
              <w:widowControl/>
              <w:jc w:val="center"/>
              <w:textAlignment w:val="center"/>
              <w:rPr>
                <w:szCs w:val="21"/>
              </w:rPr>
            </w:pPr>
            <w:r>
              <w:rPr>
                <w:kern w:val="0"/>
                <w:szCs w:val="21"/>
                <w:lang w:bidi="ar"/>
              </w:rPr>
              <w:t xml:space="preserve">447.05 </w:t>
            </w:r>
          </w:p>
        </w:tc>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6D48ECAF">
            <w:pPr>
              <w:widowControl/>
              <w:jc w:val="center"/>
              <w:textAlignment w:val="center"/>
              <w:rPr>
                <w:szCs w:val="21"/>
              </w:rPr>
            </w:pPr>
            <w:r>
              <w:rPr>
                <w:kern w:val="0"/>
                <w:szCs w:val="21"/>
                <w:lang w:bidi="ar"/>
              </w:rPr>
              <w:t xml:space="preserve">1676.44 </w:t>
            </w:r>
          </w:p>
        </w:tc>
        <w:tc>
          <w:tcPr>
            <w:tcW w:w="1078" w:type="dxa"/>
            <w:vMerge w:val="restart"/>
            <w:tcBorders>
              <w:top w:val="single" w:color="000000" w:sz="4" w:space="0"/>
              <w:left w:val="single" w:color="000000" w:sz="4" w:space="0"/>
              <w:right w:val="single" w:color="000000" w:sz="4" w:space="0"/>
            </w:tcBorders>
            <w:noWrap/>
            <w:vAlign w:val="center"/>
          </w:tcPr>
          <w:p w14:paraId="47C5D27B">
            <w:pPr>
              <w:widowControl/>
              <w:jc w:val="center"/>
              <w:textAlignment w:val="center"/>
              <w:rPr>
                <w:kern w:val="0"/>
                <w:szCs w:val="21"/>
                <w:lang w:bidi="ar"/>
              </w:rPr>
            </w:pPr>
            <w:r>
              <w:rPr>
                <w:kern w:val="0"/>
                <w:szCs w:val="21"/>
                <w:lang w:bidi="ar"/>
              </w:rPr>
              <w:t xml:space="preserve">2123.49 </w:t>
            </w:r>
          </w:p>
        </w:tc>
      </w:tr>
      <w:tr w14:paraId="11038056">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7AE993C0">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23B02BA4">
            <w:pPr>
              <w:widowControl/>
              <w:jc w:val="center"/>
              <w:textAlignment w:val="center"/>
              <w:rPr>
                <w:szCs w:val="21"/>
              </w:rPr>
            </w:pPr>
            <w:r>
              <w:rPr>
                <w:kern w:val="0"/>
                <w:szCs w:val="21"/>
                <w:lang w:bidi="ar"/>
              </w:rPr>
              <w:t>老井位置2号舍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0B006B16">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B85F5EB">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1E1FB97">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782D0985">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080E0944">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7D8F8249">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003768FF">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4140B6F7">
            <w:pPr>
              <w:jc w:val="center"/>
              <w:rPr>
                <w:szCs w:val="21"/>
              </w:rPr>
            </w:pPr>
          </w:p>
        </w:tc>
        <w:tc>
          <w:tcPr>
            <w:tcW w:w="378" w:type="pct"/>
            <w:vMerge w:val="continue"/>
            <w:tcBorders>
              <w:left w:val="single" w:color="000000" w:sz="4" w:space="0"/>
              <w:bottom w:val="single" w:color="000000" w:sz="4" w:space="0"/>
              <w:right w:val="single" w:color="000000" w:sz="4" w:space="0"/>
            </w:tcBorders>
            <w:noWrap/>
            <w:vAlign w:val="center"/>
          </w:tcPr>
          <w:p w14:paraId="425B200C">
            <w:pPr>
              <w:widowControl/>
              <w:jc w:val="center"/>
              <w:textAlignment w:val="center"/>
              <w:rPr>
                <w:kern w:val="0"/>
                <w:szCs w:val="21"/>
                <w:lang w:bidi="ar"/>
              </w:rPr>
            </w:pPr>
          </w:p>
        </w:tc>
      </w:tr>
      <w:tr w14:paraId="79537B1C">
        <w:tblPrEx>
          <w:tblCellMar>
            <w:top w:w="0" w:type="dxa"/>
            <w:left w:w="108" w:type="dxa"/>
            <w:bottom w:w="0" w:type="dxa"/>
            <w:right w:w="108" w:type="dxa"/>
          </w:tblCellMar>
        </w:tblPrEx>
        <w:trPr>
          <w:trHeight w:val="285" w:hRule="atLeast"/>
        </w:trPr>
        <w:tc>
          <w:tcPr>
            <w:tcW w:w="278" w:type="pct"/>
            <w:vMerge w:val="restart"/>
            <w:tcBorders>
              <w:top w:val="single" w:color="000000" w:sz="4" w:space="0"/>
              <w:left w:val="single" w:color="000000" w:sz="4" w:space="0"/>
              <w:bottom w:val="single" w:color="000000" w:sz="4" w:space="0"/>
              <w:right w:val="single" w:color="000000" w:sz="4" w:space="0"/>
            </w:tcBorders>
            <w:noWrap/>
            <w:vAlign w:val="center"/>
          </w:tcPr>
          <w:p w14:paraId="1AB9118D">
            <w:pPr>
              <w:widowControl/>
              <w:jc w:val="center"/>
              <w:textAlignment w:val="center"/>
              <w:rPr>
                <w:szCs w:val="21"/>
              </w:rPr>
            </w:pPr>
            <w:r>
              <w:rPr>
                <w:kern w:val="0"/>
                <w:szCs w:val="21"/>
                <w:lang w:bidi="ar"/>
              </w:rPr>
              <w:t>4号地</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F094170">
            <w:pPr>
              <w:widowControl/>
              <w:jc w:val="center"/>
              <w:textAlignment w:val="center"/>
              <w:rPr>
                <w:szCs w:val="21"/>
              </w:rPr>
            </w:pPr>
            <w:r>
              <w:rPr>
                <w:kern w:val="0"/>
                <w:szCs w:val="21"/>
                <w:lang w:bidi="ar"/>
              </w:rPr>
              <w:t>鑫旺板块1号舍</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14:paraId="193BCB44">
            <w:pPr>
              <w:widowControl/>
              <w:jc w:val="center"/>
              <w:textAlignment w:val="center"/>
              <w:rPr>
                <w:szCs w:val="21"/>
              </w:rPr>
            </w:pPr>
            <w:r>
              <w:rPr>
                <w:kern w:val="0"/>
                <w:szCs w:val="21"/>
                <w:lang w:bidi="ar"/>
              </w:rPr>
              <w:t xml:space="preserve">2615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44826441">
            <w:pPr>
              <w:widowControl/>
              <w:jc w:val="center"/>
              <w:textAlignment w:val="center"/>
              <w:rPr>
                <w:szCs w:val="21"/>
              </w:rPr>
            </w:pPr>
            <w:r>
              <w:rPr>
                <w:kern w:val="0"/>
                <w:szCs w:val="21"/>
                <w:lang w:bidi="ar"/>
              </w:rPr>
              <w:t>4</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7A02EEAD">
            <w:pPr>
              <w:widowControl/>
              <w:jc w:val="center"/>
              <w:textAlignment w:val="center"/>
              <w:rPr>
                <w:szCs w:val="21"/>
              </w:rPr>
            </w:pPr>
            <w:r>
              <w:rPr>
                <w:kern w:val="0"/>
                <w:szCs w:val="21"/>
                <w:lang w:bidi="ar"/>
              </w:rPr>
              <w:t>6</w:t>
            </w:r>
          </w:p>
        </w:tc>
        <w:tc>
          <w:tcPr>
            <w:tcW w:w="451" w:type="pct"/>
            <w:vMerge w:val="restart"/>
            <w:tcBorders>
              <w:top w:val="single" w:color="000000" w:sz="4" w:space="0"/>
              <w:left w:val="single" w:color="000000" w:sz="4" w:space="0"/>
              <w:bottom w:val="single" w:color="000000" w:sz="4" w:space="0"/>
              <w:right w:val="single" w:color="000000" w:sz="4" w:space="0"/>
            </w:tcBorders>
            <w:noWrap/>
            <w:vAlign w:val="center"/>
          </w:tcPr>
          <w:p w14:paraId="715915BF">
            <w:pPr>
              <w:widowControl/>
              <w:jc w:val="center"/>
              <w:textAlignment w:val="center"/>
              <w:rPr>
                <w:szCs w:val="21"/>
              </w:rPr>
            </w:pPr>
            <w:r>
              <w:rPr>
                <w:kern w:val="0"/>
                <w:szCs w:val="21"/>
                <w:lang w:bidi="ar"/>
              </w:rPr>
              <w:t>2.6</w:t>
            </w:r>
          </w:p>
        </w:tc>
        <w:tc>
          <w:tcPr>
            <w:tcW w:w="491" w:type="pct"/>
            <w:vMerge w:val="restart"/>
            <w:tcBorders>
              <w:top w:val="single" w:color="000000" w:sz="4" w:space="0"/>
              <w:left w:val="single" w:color="000000" w:sz="4" w:space="0"/>
              <w:bottom w:val="single" w:color="000000" w:sz="4" w:space="0"/>
              <w:right w:val="single" w:color="000000" w:sz="4" w:space="0"/>
            </w:tcBorders>
            <w:noWrap/>
            <w:vAlign w:val="center"/>
          </w:tcPr>
          <w:p w14:paraId="3EB762B5">
            <w:pPr>
              <w:widowControl/>
              <w:jc w:val="center"/>
              <w:textAlignment w:val="center"/>
              <w:rPr>
                <w:szCs w:val="21"/>
              </w:rPr>
            </w:pPr>
            <w:r>
              <w:rPr>
                <w:kern w:val="0"/>
                <w:szCs w:val="21"/>
                <w:lang w:bidi="ar"/>
              </w:rPr>
              <w:t xml:space="preserve">10.46 </w:t>
            </w:r>
          </w:p>
        </w:tc>
        <w:tc>
          <w:tcPr>
            <w:tcW w:w="493" w:type="pct"/>
            <w:vMerge w:val="restart"/>
            <w:tcBorders>
              <w:top w:val="single" w:color="000000" w:sz="4" w:space="0"/>
              <w:left w:val="single" w:color="000000" w:sz="4" w:space="0"/>
              <w:bottom w:val="single" w:color="000000" w:sz="4" w:space="0"/>
              <w:right w:val="single" w:color="000000" w:sz="4" w:space="0"/>
            </w:tcBorders>
            <w:noWrap/>
            <w:vAlign w:val="center"/>
          </w:tcPr>
          <w:p w14:paraId="38957E9C">
            <w:pPr>
              <w:widowControl/>
              <w:jc w:val="center"/>
              <w:textAlignment w:val="center"/>
              <w:rPr>
                <w:szCs w:val="21"/>
              </w:rPr>
            </w:pPr>
            <w:r>
              <w:rPr>
                <w:kern w:val="0"/>
                <w:szCs w:val="21"/>
                <w:lang w:bidi="ar"/>
              </w:rPr>
              <w:t xml:space="preserve">15.69 </w:t>
            </w:r>
          </w:p>
        </w:tc>
        <w:tc>
          <w:tcPr>
            <w:tcW w:w="339" w:type="pct"/>
            <w:vMerge w:val="restart"/>
            <w:tcBorders>
              <w:top w:val="single" w:color="000000" w:sz="4" w:space="0"/>
              <w:left w:val="single" w:color="000000" w:sz="4" w:space="0"/>
              <w:bottom w:val="single" w:color="000000" w:sz="4" w:space="0"/>
              <w:right w:val="single" w:color="000000" w:sz="4" w:space="0"/>
            </w:tcBorders>
            <w:noWrap/>
            <w:vAlign w:val="center"/>
          </w:tcPr>
          <w:p w14:paraId="371B5AFF">
            <w:pPr>
              <w:widowControl/>
              <w:jc w:val="center"/>
              <w:textAlignment w:val="center"/>
              <w:rPr>
                <w:szCs w:val="21"/>
              </w:rPr>
            </w:pPr>
            <w:r>
              <w:rPr>
                <w:kern w:val="0"/>
                <w:szCs w:val="21"/>
                <w:lang w:bidi="ar"/>
              </w:rPr>
              <w:t xml:space="preserve">1087.82 </w:t>
            </w:r>
          </w:p>
        </w:tc>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7F3CF41D">
            <w:pPr>
              <w:widowControl/>
              <w:jc w:val="center"/>
              <w:textAlignment w:val="center"/>
              <w:rPr>
                <w:szCs w:val="21"/>
              </w:rPr>
            </w:pPr>
            <w:r>
              <w:rPr>
                <w:kern w:val="0"/>
                <w:szCs w:val="21"/>
                <w:lang w:bidi="ar"/>
              </w:rPr>
              <w:t xml:space="preserve">4079.33 </w:t>
            </w:r>
          </w:p>
        </w:tc>
        <w:tc>
          <w:tcPr>
            <w:tcW w:w="1078" w:type="dxa"/>
            <w:vMerge w:val="restart"/>
            <w:tcBorders>
              <w:top w:val="single" w:color="000000" w:sz="4" w:space="0"/>
              <w:left w:val="single" w:color="000000" w:sz="4" w:space="0"/>
              <w:right w:val="single" w:color="000000" w:sz="4" w:space="0"/>
            </w:tcBorders>
            <w:noWrap/>
            <w:vAlign w:val="center"/>
          </w:tcPr>
          <w:p w14:paraId="231F1EFA">
            <w:pPr>
              <w:widowControl/>
              <w:jc w:val="center"/>
              <w:textAlignment w:val="center"/>
              <w:rPr>
                <w:kern w:val="0"/>
                <w:szCs w:val="21"/>
                <w:lang w:bidi="ar"/>
              </w:rPr>
            </w:pPr>
            <w:r>
              <w:rPr>
                <w:kern w:val="0"/>
                <w:szCs w:val="21"/>
                <w:lang w:bidi="ar"/>
              </w:rPr>
              <w:t xml:space="preserve">5167.15 </w:t>
            </w:r>
          </w:p>
        </w:tc>
      </w:tr>
      <w:tr w14:paraId="2E367DAA">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267D438F">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2D934B7D">
            <w:pPr>
              <w:widowControl/>
              <w:jc w:val="center"/>
              <w:textAlignment w:val="center"/>
              <w:rPr>
                <w:szCs w:val="21"/>
              </w:rPr>
            </w:pPr>
            <w:r>
              <w:rPr>
                <w:kern w:val="0"/>
                <w:szCs w:val="21"/>
                <w:lang w:bidi="ar"/>
              </w:rPr>
              <w:t>鑫旺板块2号舍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03435A2E">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C92777B">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FD3F819">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62C889B0">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4F59DB76">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3CA5F466">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3374AC32">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782F1B5A">
            <w:pPr>
              <w:jc w:val="center"/>
              <w:rPr>
                <w:szCs w:val="21"/>
              </w:rPr>
            </w:pPr>
          </w:p>
        </w:tc>
        <w:tc>
          <w:tcPr>
            <w:tcW w:w="378" w:type="pct"/>
            <w:vMerge w:val="continue"/>
            <w:tcBorders>
              <w:left w:val="single" w:color="000000" w:sz="4" w:space="0"/>
              <w:right w:val="single" w:color="000000" w:sz="4" w:space="0"/>
            </w:tcBorders>
            <w:noWrap/>
            <w:vAlign w:val="center"/>
          </w:tcPr>
          <w:p w14:paraId="6A662A34">
            <w:pPr>
              <w:widowControl/>
              <w:jc w:val="center"/>
              <w:textAlignment w:val="center"/>
              <w:rPr>
                <w:kern w:val="0"/>
                <w:szCs w:val="21"/>
                <w:lang w:bidi="ar"/>
              </w:rPr>
            </w:pPr>
          </w:p>
        </w:tc>
      </w:tr>
      <w:tr w14:paraId="2F727C86">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7A2FB28F">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748051D1">
            <w:pPr>
              <w:widowControl/>
              <w:jc w:val="center"/>
              <w:textAlignment w:val="center"/>
              <w:rPr>
                <w:szCs w:val="21"/>
              </w:rPr>
            </w:pPr>
            <w:r>
              <w:rPr>
                <w:kern w:val="0"/>
                <w:szCs w:val="21"/>
                <w:lang w:bidi="ar"/>
              </w:rPr>
              <w:t>鑫旺板块3号舍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4B34735E">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0EBA7FE">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9356831">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4768ABA0">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08DC8EA8">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6E1F9E30">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0AD6869F">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6BFE56BB">
            <w:pPr>
              <w:jc w:val="center"/>
              <w:rPr>
                <w:szCs w:val="21"/>
              </w:rPr>
            </w:pPr>
          </w:p>
        </w:tc>
        <w:tc>
          <w:tcPr>
            <w:tcW w:w="378" w:type="pct"/>
            <w:vMerge w:val="continue"/>
            <w:tcBorders>
              <w:left w:val="single" w:color="000000" w:sz="4" w:space="0"/>
              <w:bottom w:val="single" w:color="000000" w:sz="4" w:space="0"/>
              <w:right w:val="single" w:color="000000" w:sz="4" w:space="0"/>
            </w:tcBorders>
            <w:noWrap/>
            <w:vAlign w:val="center"/>
          </w:tcPr>
          <w:p w14:paraId="0CAC309B">
            <w:pPr>
              <w:widowControl/>
              <w:jc w:val="center"/>
              <w:textAlignment w:val="center"/>
              <w:rPr>
                <w:kern w:val="0"/>
                <w:szCs w:val="21"/>
                <w:lang w:bidi="ar"/>
              </w:rPr>
            </w:pPr>
          </w:p>
        </w:tc>
      </w:tr>
      <w:tr w14:paraId="5E2F6AB5">
        <w:tblPrEx>
          <w:tblCellMar>
            <w:top w:w="0" w:type="dxa"/>
            <w:left w:w="108" w:type="dxa"/>
            <w:bottom w:w="0" w:type="dxa"/>
            <w:right w:w="108" w:type="dxa"/>
          </w:tblCellMar>
        </w:tblPrEx>
        <w:trPr>
          <w:trHeight w:val="285" w:hRule="atLeast"/>
        </w:trPr>
        <w:tc>
          <w:tcPr>
            <w:tcW w:w="278" w:type="pct"/>
            <w:vMerge w:val="restart"/>
            <w:tcBorders>
              <w:top w:val="single" w:color="000000" w:sz="4" w:space="0"/>
              <w:left w:val="single" w:color="000000" w:sz="4" w:space="0"/>
              <w:bottom w:val="single" w:color="000000" w:sz="4" w:space="0"/>
              <w:right w:val="single" w:color="000000" w:sz="4" w:space="0"/>
            </w:tcBorders>
            <w:noWrap/>
            <w:vAlign w:val="center"/>
          </w:tcPr>
          <w:p w14:paraId="19A16188">
            <w:pPr>
              <w:widowControl/>
              <w:jc w:val="center"/>
              <w:textAlignment w:val="center"/>
              <w:rPr>
                <w:szCs w:val="21"/>
              </w:rPr>
            </w:pPr>
            <w:r>
              <w:rPr>
                <w:kern w:val="0"/>
                <w:szCs w:val="21"/>
                <w:lang w:bidi="ar"/>
              </w:rPr>
              <w:t>5号地</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06DAB514">
            <w:pPr>
              <w:widowControl/>
              <w:jc w:val="center"/>
              <w:textAlignment w:val="center"/>
              <w:rPr>
                <w:szCs w:val="21"/>
              </w:rPr>
            </w:pPr>
            <w:r>
              <w:rPr>
                <w:kern w:val="0"/>
                <w:szCs w:val="21"/>
                <w:lang w:bidi="ar"/>
              </w:rPr>
              <w:t>大河边篮球场位置猪舍</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14:paraId="0C32E70C">
            <w:pPr>
              <w:widowControl/>
              <w:jc w:val="center"/>
              <w:textAlignment w:val="center"/>
              <w:rPr>
                <w:szCs w:val="21"/>
              </w:rPr>
            </w:pPr>
            <w:r>
              <w:rPr>
                <w:kern w:val="0"/>
                <w:szCs w:val="21"/>
                <w:lang w:bidi="ar"/>
              </w:rPr>
              <w:t xml:space="preserve">2048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4F477D3F">
            <w:pPr>
              <w:widowControl/>
              <w:jc w:val="center"/>
              <w:textAlignment w:val="center"/>
              <w:rPr>
                <w:szCs w:val="21"/>
              </w:rPr>
            </w:pPr>
            <w:r>
              <w:rPr>
                <w:kern w:val="0"/>
                <w:szCs w:val="21"/>
                <w:lang w:bidi="ar"/>
              </w:rPr>
              <w:t>4</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0B49D5AB">
            <w:pPr>
              <w:widowControl/>
              <w:jc w:val="center"/>
              <w:textAlignment w:val="center"/>
              <w:rPr>
                <w:szCs w:val="21"/>
              </w:rPr>
            </w:pPr>
            <w:r>
              <w:rPr>
                <w:kern w:val="0"/>
                <w:szCs w:val="21"/>
                <w:lang w:bidi="ar"/>
              </w:rPr>
              <w:t>6</w:t>
            </w:r>
          </w:p>
        </w:tc>
        <w:tc>
          <w:tcPr>
            <w:tcW w:w="451" w:type="pct"/>
            <w:vMerge w:val="restart"/>
            <w:tcBorders>
              <w:top w:val="single" w:color="000000" w:sz="4" w:space="0"/>
              <w:left w:val="single" w:color="000000" w:sz="4" w:space="0"/>
              <w:bottom w:val="single" w:color="000000" w:sz="4" w:space="0"/>
              <w:right w:val="single" w:color="000000" w:sz="4" w:space="0"/>
            </w:tcBorders>
            <w:noWrap/>
            <w:vAlign w:val="center"/>
          </w:tcPr>
          <w:p w14:paraId="7574C620">
            <w:pPr>
              <w:widowControl/>
              <w:jc w:val="center"/>
              <w:textAlignment w:val="center"/>
              <w:rPr>
                <w:szCs w:val="21"/>
              </w:rPr>
            </w:pPr>
            <w:r>
              <w:rPr>
                <w:kern w:val="0"/>
                <w:szCs w:val="21"/>
                <w:lang w:bidi="ar"/>
              </w:rPr>
              <w:t>2.6</w:t>
            </w:r>
          </w:p>
        </w:tc>
        <w:tc>
          <w:tcPr>
            <w:tcW w:w="491" w:type="pct"/>
            <w:vMerge w:val="restart"/>
            <w:tcBorders>
              <w:top w:val="single" w:color="000000" w:sz="4" w:space="0"/>
              <w:left w:val="single" w:color="000000" w:sz="4" w:space="0"/>
              <w:bottom w:val="single" w:color="000000" w:sz="4" w:space="0"/>
              <w:right w:val="single" w:color="000000" w:sz="4" w:space="0"/>
            </w:tcBorders>
            <w:noWrap/>
            <w:vAlign w:val="center"/>
          </w:tcPr>
          <w:p w14:paraId="56AD4407">
            <w:pPr>
              <w:widowControl/>
              <w:jc w:val="center"/>
              <w:textAlignment w:val="center"/>
              <w:rPr>
                <w:szCs w:val="21"/>
              </w:rPr>
            </w:pPr>
            <w:r>
              <w:rPr>
                <w:kern w:val="0"/>
                <w:szCs w:val="21"/>
                <w:lang w:bidi="ar"/>
              </w:rPr>
              <w:t xml:space="preserve">8.19 </w:t>
            </w:r>
          </w:p>
        </w:tc>
        <w:tc>
          <w:tcPr>
            <w:tcW w:w="493" w:type="pct"/>
            <w:vMerge w:val="restart"/>
            <w:tcBorders>
              <w:top w:val="single" w:color="000000" w:sz="4" w:space="0"/>
              <w:left w:val="single" w:color="000000" w:sz="4" w:space="0"/>
              <w:bottom w:val="single" w:color="000000" w:sz="4" w:space="0"/>
              <w:right w:val="single" w:color="000000" w:sz="4" w:space="0"/>
            </w:tcBorders>
            <w:noWrap/>
            <w:vAlign w:val="center"/>
          </w:tcPr>
          <w:p w14:paraId="4454171B">
            <w:pPr>
              <w:widowControl/>
              <w:jc w:val="center"/>
              <w:textAlignment w:val="center"/>
              <w:rPr>
                <w:szCs w:val="21"/>
              </w:rPr>
            </w:pPr>
            <w:r>
              <w:rPr>
                <w:kern w:val="0"/>
                <w:szCs w:val="21"/>
                <w:lang w:bidi="ar"/>
              </w:rPr>
              <w:t xml:space="preserve">12.29 </w:t>
            </w:r>
          </w:p>
        </w:tc>
        <w:tc>
          <w:tcPr>
            <w:tcW w:w="339" w:type="pct"/>
            <w:vMerge w:val="restart"/>
            <w:tcBorders>
              <w:top w:val="single" w:color="000000" w:sz="4" w:space="0"/>
              <w:left w:val="single" w:color="000000" w:sz="4" w:space="0"/>
              <w:bottom w:val="single" w:color="000000" w:sz="4" w:space="0"/>
              <w:right w:val="single" w:color="000000" w:sz="4" w:space="0"/>
            </w:tcBorders>
            <w:noWrap/>
            <w:vAlign w:val="center"/>
          </w:tcPr>
          <w:p w14:paraId="75FD848A">
            <w:pPr>
              <w:widowControl/>
              <w:jc w:val="center"/>
              <w:textAlignment w:val="center"/>
              <w:rPr>
                <w:szCs w:val="21"/>
              </w:rPr>
            </w:pPr>
            <w:r>
              <w:rPr>
                <w:kern w:val="0"/>
                <w:szCs w:val="21"/>
                <w:lang w:bidi="ar"/>
              </w:rPr>
              <w:t xml:space="preserve">852.11 </w:t>
            </w:r>
          </w:p>
        </w:tc>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26D134AB">
            <w:pPr>
              <w:widowControl/>
              <w:jc w:val="center"/>
              <w:textAlignment w:val="center"/>
              <w:rPr>
                <w:szCs w:val="21"/>
              </w:rPr>
            </w:pPr>
            <w:r>
              <w:rPr>
                <w:kern w:val="0"/>
                <w:szCs w:val="21"/>
                <w:lang w:bidi="ar"/>
              </w:rPr>
              <w:t xml:space="preserve">3195.40 </w:t>
            </w:r>
          </w:p>
        </w:tc>
        <w:tc>
          <w:tcPr>
            <w:tcW w:w="1078" w:type="dxa"/>
            <w:vMerge w:val="restart"/>
            <w:tcBorders>
              <w:top w:val="single" w:color="000000" w:sz="4" w:space="0"/>
              <w:left w:val="single" w:color="000000" w:sz="4" w:space="0"/>
              <w:right w:val="single" w:color="000000" w:sz="4" w:space="0"/>
            </w:tcBorders>
            <w:noWrap/>
            <w:vAlign w:val="center"/>
          </w:tcPr>
          <w:p w14:paraId="2182035F">
            <w:pPr>
              <w:widowControl/>
              <w:jc w:val="center"/>
              <w:textAlignment w:val="center"/>
              <w:rPr>
                <w:kern w:val="0"/>
                <w:szCs w:val="21"/>
                <w:lang w:bidi="ar"/>
              </w:rPr>
            </w:pPr>
            <w:r>
              <w:rPr>
                <w:kern w:val="0"/>
                <w:szCs w:val="21"/>
                <w:lang w:bidi="ar"/>
              </w:rPr>
              <w:t xml:space="preserve">4047.50 </w:t>
            </w:r>
          </w:p>
        </w:tc>
      </w:tr>
      <w:tr w14:paraId="0AA865F7">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2A899DE3">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3ABD0C2E">
            <w:pPr>
              <w:widowControl/>
              <w:jc w:val="center"/>
              <w:textAlignment w:val="center"/>
              <w:rPr>
                <w:szCs w:val="21"/>
              </w:rPr>
            </w:pPr>
            <w:r>
              <w:rPr>
                <w:kern w:val="0"/>
                <w:szCs w:val="21"/>
                <w:lang w:bidi="ar"/>
              </w:rPr>
              <w:t>大河边上煤仓位置1号舍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3548B3F8">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0F90903">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CCC71EA">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7A80DFA6">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343765DC">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6B4352E8">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15C16509">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683C0E46">
            <w:pPr>
              <w:jc w:val="center"/>
              <w:rPr>
                <w:szCs w:val="21"/>
              </w:rPr>
            </w:pPr>
          </w:p>
        </w:tc>
        <w:tc>
          <w:tcPr>
            <w:tcW w:w="378" w:type="pct"/>
            <w:vMerge w:val="continue"/>
            <w:tcBorders>
              <w:left w:val="single" w:color="000000" w:sz="4" w:space="0"/>
              <w:right w:val="single" w:color="000000" w:sz="4" w:space="0"/>
            </w:tcBorders>
            <w:noWrap/>
            <w:vAlign w:val="center"/>
          </w:tcPr>
          <w:p w14:paraId="1BED3F4F">
            <w:pPr>
              <w:widowControl/>
              <w:jc w:val="center"/>
              <w:textAlignment w:val="center"/>
              <w:rPr>
                <w:kern w:val="0"/>
                <w:szCs w:val="21"/>
                <w:lang w:bidi="ar"/>
              </w:rPr>
            </w:pPr>
          </w:p>
        </w:tc>
      </w:tr>
      <w:tr w14:paraId="2D90B4FA">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20F5FF6D">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CAEB2FB">
            <w:pPr>
              <w:widowControl/>
              <w:jc w:val="center"/>
              <w:textAlignment w:val="center"/>
              <w:rPr>
                <w:szCs w:val="21"/>
              </w:rPr>
            </w:pPr>
            <w:r>
              <w:rPr>
                <w:kern w:val="0"/>
                <w:szCs w:val="21"/>
                <w:lang w:bidi="ar"/>
              </w:rPr>
              <w:t>大河边上煤仓位置2号舍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518CB364">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A9BF9F2">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5DBEA5F">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7F30C2D8">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4E2517C4">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3BF64E39">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1F7D2EB6">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36FADA49">
            <w:pPr>
              <w:jc w:val="center"/>
              <w:rPr>
                <w:szCs w:val="21"/>
              </w:rPr>
            </w:pPr>
          </w:p>
        </w:tc>
        <w:tc>
          <w:tcPr>
            <w:tcW w:w="378" w:type="pct"/>
            <w:vMerge w:val="continue"/>
            <w:tcBorders>
              <w:left w:val="single" w:color="000000" w:sz="4" w:space="0"/>
              <w:right w:val="single" w:color="000000" w:sz="4" w:space="0"/>
            </w:tcBorders>
            <w:noWrap/>
            <w:vAlign w:val="center"/>
          </w:tcPr>
          <w:p w14:paraId="6FCCEDBE">
            <w:pPr>
              <w:widowControl/>
              <w:jc w:val="center"/>
              <w:textAlignment w:val="center"/>
              <w:rPr>
                <w:kern w:val="0"/>
                <w:szCs w:val="21"/>
                <w:lang w:bidi="ar"/>
              </w:rPr>
            </w:pPr>
          </w:p>
        </w:tc>
      </w:tr>
      <w:tr w14:paraId="07C344AF">
        <w:tblPrEx>
          <w:tblCellMar>
            <w:top w:w="0" w:type="dxa"/>
            <w:left w:w="108" w:type="dxa"/>
            <w:bottom w:w="0" w:type="dxa"/>
            <w:right w:w="108" w:type="dxa"/>
          </w:tblCellMar>
        </w:tblPrEx>
        <w:trPr>
          <w:trHeight w:val="285" w:hRule="atLeast"/>
        </w:trPr>
        <w:tc>
          <w:tcPr>
            <w:tcW w:w="278" w:type="pct"/>
            <w:vMerge w:val="continue"/>
            <w:tcBorders>
              <w:top w:val="single" w:color="000000" w:sz="4" w:space="0"/>
              <w:left w:val="single" w:color="000000" w:sz="4" w:space="0"/>
              <w:bottom w:val="single" w:color="000000" w:sz="4" w:space="0"/>
              <w:right w:val="single" w:color="000000" w:sz="4" w:space="0"/>
            </w:tcBorders>
            <w:noWrap/>
            <w:vAlign w:val="center"/>
          </w:tcPr>
          <w:p w14:paraId="53840146">
            <w:pPr>
              <w:jc w:val="center"/>
              <w:rPr>
                <w:szCs w:val="21"/>
              </w:rPr>
            </w:pP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FBA1586">
            <w:pPr>
              <w:widowControl/>
              <w:jc w:val="center"/>
              <w:textAlignment w:val="center"/>
              <w:rPr>
                <w:szCs w:val="21"/>
              </w:rPr>
            </w:pPr>
            <w:r>
              <w:rPr>
                <w:kern w:val="0"/>
                <w:szCs w:val="21"/>
                <w:lang w:bidi="ar"/>
              </w:rPr>
              <w:t>大河边下煤仓位置猪舍</w:t>
            </w: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14:paraId="1CD8A175">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84311F6">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FB18AF6">
            <w:pPr>
              <w:jc w:val="center"/>
              <w:rPr>
                <w:szCs w:val="21"/>
              </w:rPr>
            </w:pPr>
          </w:p>
        </w:tc>
        <w:tc>
          <w:tcPr>
            <w:tcW w:w="451" w:type="pct"/>
            <w:vMerge w:val="continue"/>
            <w:tcBorders>
              <w:top w:val="single" w:color="000000" w:sz="4" w:space="0"/>
              <w:left w:val="single" w:color="000000" w:sz="4" w:space="0"/>
              <w:bottom w:val="single" w:color="000000" w:sz="4" w:space="0"/>
              <w:right w:val="single" w:color="000000" w:sz="4" w:space="0"/>
            </w:tcBorders>
            <w:noWrap/>
            <w:vAlign w:val="center"/>
          </w:tcPr>
          <w:p w14:paraId="2FD005FF">
            <w:pPr>
              <w:jc w:val="center"/>
              <w:rPr>
                <w:szCs w:val="21"/>
              </w:rPr>
            </w:pPr>
          </w:p>
        </w:tc>
        <w:tc>
          <w:tcPr>
            <w:tcW w:w="491" w:type="pct"/>
            <w:vMerge w:val="continue"/>
            <w:tcBorders>
              <w:top w:val="single" w:color="000000" w:sz="4" w:space="0"/>
              <w:left w:val="single" w:color="000000" w:sz="4" w:space="0"/>
              <w:bottom w:val="single" w:color="000000" w:sz="4" w:space="0"/>
              <w:right w:val="single" w:color="000000" w:sz="4" w:space="0"/>
            </w:tcBorders>
            <w:noWrap/>
            <w:vAlign w:val="center"/>
          </w:tcPr>
          <w:p w14:paraId="57E27C9E">
            <w:pPr>
              <w:jc w:val="center"/>
              <w:rPr>
                <w:szCs w:val="21"/>
              </w:rPr>
            </w:pPr>
          </w:p>
        </w:tc>
        <w:tc>
          <w:tcPr>
            <w:tcW w:w="493" w:type="pct"/>
            <w:vMerge w:val="continue"/>
            <w:tcBorders>
              <w:top w:val="single" w:color="000000" w:sz="4" w:space="0"/>
              <w:left w:val="single" w:color="000000" w:sz="4" w:space="0"/>
              <w:bottom w:val="single" w:color="000000" w:sz="4" w:space="0"/>
              <w:right w:val="single" w:color="000000" w:sz="4" w:space="0"/>
            </w:tcBorders>
            <w:noWrap/>
            <w:vAlign w:val="center"/>
          </w:tcPr>
          <w:p w14:paraId="6FED0A16">
            <w:pPr>
              <w:jc w:val="center"/>
              <w:rPr>
                <w:szCs w:val="21"/>
              </w:rPr>
            </w:pPr>
          </w:p>
        </w:tc>
        <w:tc>
          <w:tcPr>
            <w:tcW w:w="339" w:type="pct"/>
            <w:vMerge w:val="continue"/>
            <w:tcBorders>
              <w:top w:val="single" w:color="000000" w:sz="4" w:space="0"/>
              <w:left w:val="single" w:color="000000" w:sz="4" w:space="0"/>
              <w:bottom w:val="single" w:color="000000" w:sz="4" w:space="0"/>
              <w:right w:val="single" w:color="000000" w:sz="4" w:space="0"/>
            </w:tcBorders>
            <w:noWrap/>
            <w:vAlign w:val="center"/>
          </w:tcPr>
          <w:p w14:paraId="273446B2">
            <w:pPr>
              <w:jc w:val="center"/>
              <w:rPr>
                <w:szCs w:val="21"/>
              </w:rPr>
            </w:pPr>
          </w:p>
        </w:tc>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509DC2E6">
            <w:pPr>
              <w:jc w:val="center"/>
              <w:rPr>
                <w:szCs w:val="21"/>
              </w:rPr>
            </w:pPr>
          </w:p>
        </w:tc>
        <w:tc>
          <w:tcPr>
            <w:tcW w:w="378" w:type="pct"/>
            <w:vMerge w:val="continue"/>
            <w:tcBorders>
              <w:left w:val="single" w:color="000000" w:sz="4" w:space="0"/>
              <w:bottom w:val="single" w:color="000000" w:sz="4" w:space="0"/>
              <w:right w:val="single" w:color="000000" w:sz="4" w:space="0"/>
            </w:tcBorders>
            <w:noWrap/>
            <w:vAlign w:val="center"/>
          </w:tcPr>
          <w:p w14:paraId="6C4E3C42">
            <w:pPr>
              <w:widowControl/>
              <w:jc w:val="center"/>
              <w:textAlignment w:val="center"/>
              <w:rPr>
                <w:kern w:val="0"/>
                <w:szCs w:val="21"/>
                <w:lang w:bidi="ar"/>
              </w:rPr>
            </w:pPr>
          </w:p>
        </w:tc>
      </w:tr>
      <w:tr w14:paraId="44ED0FB0">
        <w:tblPrEx>
          <w:tblCellMar>
            <w:top w:w="0" w:type="dxa"/>
            <w:left w:w="108" w:type="dxa"/>
            <w:bottom w:w="0" w:type="dxa"/>
            <w:right w:w="108" w:type="dxa"/>
          </w:tblCellMar>
        </w:tblPrEx>
        <w:trPr>
          <w:trHeight w:val="285" w:hRule="atLeast"/>
        </w:trPr>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6BBF75E4">
            <w:pPr>
              <w:rPr>
                <w:szCs w:val="21"/>
              </w:rPr>
            </w:pPr>
            <w:r>
              <w:rPr>
                <w:szCs w:val="21"/>
              </w:rPr>
              <w:t>合计</w:t>
            </w:r>
          </w:p>
        </w:tc>
        <w:tc>
          <w:tcPr>
            <w:tcW w:w="591" w:type="pct"/>
            <w:tcBorders>
              <w:top w:val="single" w:color="000000" w:sz="4" w:space="0"/>
              <w:left w:val="single" w:color="000000" w:sz="4" w:space="0"/>
              <w:bottom w:val="single" w:color="000000" w:sz="4" w:space="0"/>
              <w:right w:val="single" w:color="000000" w:sz="4" w:space="0"/>
            </w:tcBorders>
            <w:noWrap/>
            <w:vAlign w:val="center"/>
          </w:tcPr>
          <w:p w14:paraId="155EEC28">
            <w:pPr>
              <w:widowControl/>
              <w:jc w:val="center"/>
              <w:textAlignment w:val="center"/>
              <w:rPr>
                <w:szCs w:val="21"/>
              </w:rPr>
            </w:pPr>
            <w:r>
              <w:rPr>
                <w:kern w:val="0"/>
                <w:szCs w:val="21"/>
                <w:lang w:bidi="ar"/>
              </w:rPr>
              <w:t>9300</w:t>
            </w:r>
          </w:p>
        </w:tc>
        <w:tc>
          <w:tcPr>
            <w:tcW w:w="325" w:type="pct"/>
            <w:tcBorders>
              <w:top w:val="single" w:color="000000" w:sz="4" w:space="0"/>
              <w:left w:val="single" w:color="000000" w:sz="4" w:space="0"/>
              <w:bottom w:val="single" w:color="000000" w:sz="4" w:space="0"/>
              <w:right w:val="single" w:color="000000" w:sz="4" w:space="0"/>
            </w:tcBorders>
            <w:noWrap/>
            <w:vAlign w:val="center"/>
          </w:tcPr>
          <w:p w14:paraId="3F2A38A5">
            <w:pPr>
              <w:rPr>
                <w:szCs w:val="21"/>
              </w:rPr>
            </w:pPr>
            <w:r>
              <w:rPr>
                <w:szCs w:val="21"/>
              </w:rPr>
              <w:t>/</w:t>
            </w:r>
          </w:p>
        </w:tc>
        <w:tc>
          <w:tcPr>
            <w:tcW w:w="325" w:type="pct"/>
            <w:tcBorders>
              <w:top w:val="single" w:color="000000" w:sz="4" w:space="0"/>
              <w:left w:val="single" w:color="000000" w:sz="4" w:space="0"/>
              <w:bottom w:val="single" w:color="000000" w:sz="4" w:space="0"/>
              <w:right w:val="single" w:color="000000" w:sz="4" w:space="0"/>
            </w:tcBorders>
            <w:noWrap/>
            <w:vAlign w:val="center"/>
          </w:tcPr>
          <w:p w14:paraId="713876E8">
            <w:pPr>
              <w:rPr>
                <w:szCs w:val="21"/>
              </w:rPr>
            </w:pPr>
            <w:r>
              <w:rPr>
                <w:szCs w:val="21"/>
              </w:rPr>
              <w:t>/</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500B579A">
            <w:pP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0643CA4E">
            <w:pPr>
              <w:widowControl/>
              <w:jc w:val="center"/>
              <w:textAlignment w:val="center"/>
              <w:rPr>
                <w:kern w:val="0"/>
                <w:szCs w:val="21"/>
                <w:lang w:bidi="ar"/>
              </w:rPr>
            </w:pPr>
            <w:r>
              <w:rPr>
                <w:kern w:val="0"/>
                <w:szCs w:val="21"/>
                <w:lang w:bidi="ar"/>
              </w:rPr>
              <w:t xml:space="preserve">37.20 </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DBD705A">
            <w:pPr>
              <w:widowControl/>
              <w:jc w:val="center"/>
              <w:textAlignment w:val="center"/>
              <w:rPr>
                <w:kern w:val="0"/>
                <w:szCs w:val="21"/>
                <w:lang w:bidi="ar"/>
              </w:rPr>
            </w:pPr>
            <w:r>
              <w:rPr>
                <w:kern w:val="0"/>
                <w:szCs w:val="21"/>
                <w:lang w:bidi="ar"/>
              </w:rPr>
              <w:t xml:space="preserve">55.80 </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4FE955DA">
            <w:pPr>
              <w:widowControl/>
              <w:jc w:val="center"/>
              <w:textAlignment w:val="center"/>
              <w:rPr>
                <w:kern w:val="0"/>
                <w:szCs w:val="21"/>
                <w:lang w:bidi="ar"/>
              </w:rPr>
            </w:pPr>
            <w:r>
              <w:rPr>
                <w:kern w:val="0"/>
                <w:szCs w:val="21"/>
                <w:lang w:bidi="ar"/>
              </w:rPr>
              <w:t xml:space="preserve">3868.80 </w:t>
            </w:r>
          </w:p>
        </w:tc>
        <w:tc>
          <w:tcPr>
            <w:tcW w:w="378" w:type="pct"/>
            <w:tcBorders>
              <w:top w:val="single" w:color="000000" w:sz="4" w:space="0"/>
              <w:left w:val="single" w:color="000000" w:sz="4" w:space="0"/>
              <w:bottom w:val="single" w:color="000000" w:sz="4" w:space="0"/>
              <w:right w:val="single" w:color="000000" w:sz="4" w:space="0"/>
            </w:tcBorders>
            <w:noWrap/>
            <w:vAlign w:val="center"/>
          </w:tcPr>
          <w:p w14:paraId="046868E2">
            <w:pPr>
              <w:widowControl/>
              <w:jc w:val="right"/>
              <w:textAlignment w:val="center"/>
              <w:rPr>
                <w:szCs w:val="21"/>
              </w:rPr>
            </w:pPr>
            <w:r>
              <w:rPr>
                <w:kern w:val="0"/>
                <w:szCs w:val="21"/>
                <w:lang w:bidi="ar"/>
              </w:rPr>
              <w:t xml:space="preserve">14508.00 </w:t>
            </w:r>
          </w:p>
        </w:tc>
        <w:tc>
          <w:tcPr>
            <w:tcW w:w="1078" w:type="dxa"/>
            <w:tcBorders>
              <w:top w:val="single" w:color="000000" w:sz="4" w:space="0"/>
              <w:left w:val="single" w:color="000000" w:sz="4" w:space="0"/>
              <w:bottom w:val="single" w:color="000000" w:sz="4" w:space="0"/>
              <w:right w:val="single" w:color="000000" w:sz="4" w:space="0"/>
            </w:tcBorders>
            <w:noWrap/>
            <w:vAlign w:val="center"/>
          </w:tcPr>
          <w:p w14:paraId="7C6DF3F7">
            <w:pPr>
              <w:widowControl/>
              <w:jc w:val="center"/>
              <w:textAlignment w:val="center"/>
              <w:rPr>
                <w:kern w:val="0"/>
                <w:szCs w:val="21"/>
                <w:lang w:bidi="ar"/>
              </w:rPr>
            </w:pPr>
            <w:r>
              <w:rPr>
                <w:kern w:val="0"/>
                <w:szCs w:val="21"/>
                <w:lang w:bidi="ar"/>
              </w:rPr>
              <w:t xml:space="preserve">18376.80 </w:t>
            </w:r>
          </w:p>
        </w:tc>
      </w:tr>
    </w:tbl>
    <w:p w14:paraId="7127DB31">
      <w:pPr>
        <w:pStyle w:val="35"/>
        <w:sectPr>
          <w:pgSz w:w="16838" w:h="11906" w:orient="landscape"/>
          <w:pgMar w:top="1797" w:right="1440" w:bottom="1797" w:left="1361" w:header="851" w:footer="992" w:gutter="0"/>
          <w:cols w:space="720" w:num="1"/>
          <w:docGrid w:linePitch="312" w:charSpace="0"/>
        </w:sectPr>
      </w:pPr>
    </w:p>
    <w:p w14:paraId="30466EAB">
      <w:pPr>
        <w:pStyle w:val="10"/>
        <w:spacing w:line="360" w:lineRule="auto"/>
        <w:ind w:firstLine="482"/>
        <w:rPr>
          <w:b/>
          <w:sz w:val="24"/>
        </w:rPr>
      </w:pPr>
      <w:r>
        <w:rPr>
          <w:b/>
          <w:sz w:val="24"/>
        </w:rPr>
        <w:t>2.猪舍冲洗水</w:t>
      </w:r>
    </w:p>
    <w:p w14:paraId="1D98EEC7">
      <w:pPr>
        <w:pStyle w:val="10"/>
        <w:spacing w:line="360" w:lineRule="auto"/>
        <w:ind w:firstLine="480"/>
        <w:rPr>
          <w:bCs/>
          <w:sz w:val="24"/>
        </w:rPr>
      </w:pPr>
      <w:r>
        <w:rPr>
          <w:sz w:val="24"/>
        </w:rPr>
        <w:t>依据牧原公司已建养殖场运行中的环保部认定的干清粪工艺的冲洗规律，利用高压水枪在出栏或挪圈过程中需进行猪舍冲洗、消毒。猪舍冲洗频率为每年2.6次，类比石林牧原公司同类型养猪场生产经验，猪舍的冲洗用水量为3L/（m</w:t>
      </w:r>
      <w:r>
        <w:rPr>
          <w:sz w:val="24"/>
          <w:vertAlign w:val="superscript"/>
        </w:rPr>
        <w:t>2</w:t>
      </w:r>
      <w:r>
        <w:rPr>
          <w:sz w:val="24"/>
        </w:rPr>
        <w:t>·次），项目猪舍冲洗水用量如下:</w:t>
      </w:r>
    </w:p>
    <w:p w14:paraId="51195891">
      <w:pPr>
        <w:tabs>
          <w:tab w:val="left" w:pos="5639"/>
        </w:tabs>
        <w:spacing w:line="360" w:lineRule="auto"/>
        <w:jc w:val="center"/>
        <w:rPr>
          <w:b/>
          <w:bCs/>
          <w:kern w:val="0"/>
          <w:szCs w:val="21"/>
        </w:rPr>
      </w:pPr>
      <w:r>
        <w:rPr>
          <w:b/>
          <w:bCs/>
          <w:kern w:val="0"/>
          <w:szCs w:val="21"/>
        </w:rPr>
        <w:t>3.3-3 项目猪舍冲洗用水量一览表</w:t>
      </w:r>
    </w:p>
    <w:tbl>
      <w:tblPr>
        <w:tblStyle w:val="87"/>
        <w:tblW w:w="5000" w:type="pct"/>
        <w:tblInd w:w="0" w:type="dxa"/>
        <w:tblLayout w:type="fixed"/>
        <w:tblCellMar>
          <w:top w:w="0" w:type="dxa"/>
          <w:left w:w="108" w:type="dxa"/>
          <w:bottom w:w="0" w:type="dxa"/>
          <w:right w:w="108" w:type="dxa"/>
        </w:tblCellMar>
      </w:tblPr>
      <w:tblGrid>
        <w:gridCol w:w="774"/>
        <w:gridCol w:w="2305"/>
        <w:gridCol w:w="1249"/>
        <w:gridCol w:w="885"/>
        <w:gridCol w:w="844"/>
        <w:gridCol w:w="849"/>
        <w:gridCol w:w="720"/>
        <w:gridCol w:w="902"/>
      </w:tblGrid>
      <w:tr w14:paraId="6D2EE196">
        <w:tblPrEx>
          <w:tblCellMar>
            <w:top w:w="0" w:type="dxa"/>
            <w:left w:w="108" w:type="dxa"/>
            <w:bottom w:w="0" w:type="dxa"/>
            <w:right w:w="108" w:type="dxa"/>
          </w:tblCellMar>
        </w:tblPrEx>
        <w:trPr>
          <w:trHeight w:val="855" w:hRule="atLeast"/>
        </w:trPr>
        <w:tc>
          <w:tcPr>
            <w:tcW w:w="453" w:type="pct"/>
            <w:tcBorders>
              <w:top w:val="single" w:color="000000" w:sz="4" w:space="0"/>
              <w:left w:val="single" w:color="000000" w:sz="4" w:space="0"/>
              <w:bottom w:val="single" w:color="000000" w:sz="4" w:space="0"/>
              <w:right w:val="single" w:color="000000" w:sz="4" w:space="0"/>
            </w:tcBorders>
            <w:noWrap/>
            <w:vAlign w:val="center"/>
          </w:tcPr>
          <w:p w14:paraId="1FA4B269">
            <w:pPr>
              <w:widowControl/>
              <w:jc w:val="center"/>
              <w:textAlignment w:val="center"/>
              <w:rPr>
                <w:szCs w:val="21"/>
              </w:rPr>
            </w:pPr>
            <w:r>
              <w:rPr>
                <w:kern w:val="0"/>
                <w:szCs w:val="21"/>
                <w:lang w:bidi="ar"/>
              </w:rPr>
              <w:t>编号</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406FCA7D">
            <w:pPr>
              <w:widowControl/>
              <w:jc w:val="center"/>
              <w:textAlignment w:val="center"/>
              <w:rPr>
                <w:szCs w:val="21"/>
              </w:rPr>
            </w:pPr>
            <w:r>
              <w:rPr>
                <w:kern w:val="0"/>
                <w:szCs w:val="21"/>
                <w:lang w:bidi="ar"/>
              </w:rPr>
              <w:t>猪舍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0513575D">
            <w:pPr>
              <w:widowControl/>
              <w:jc w:val="center"/>
              <w:textAlignment w:val="center"/>
              <w:rPr>
                <w:szCs w:val="21"/>
              </w:rPr>
            </w:pPr>
            <w:r>
              <w:rPr>
                <w:kern w:val="0"/>
                <w:szCs w:val="21"/>
                <w:lang w:bidi="ar"/>
              </w:rPr>
              <w:t>面积</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1FBC659">
            <w:pPr>
              <w:widowControl/>
              <w:jc w:val="center"/>
              <w:textAlignment w:val="center"/>
              <w:rPr>
                <w:szCs w:val="21"/>
              </w:rPr>
            </w:pPr>
            <w:r>
              <w:rPr>
                <w:kern w:val="0"/>
                <w:szCs w:val="21"/>
                <w:lang w:bidi="ar"/>
              </w:rPr>
              <w:t>用水定额L/（m</w:t>
            </w:r>
            <w:r>
              <w:rPr>
                <w:kern w:val="0"/>
                <w:szCs w:val="21"/>
                <w:vertAlign w:val="superscript"/>
                <w:lang w:bidi="ar"/>
              </w:rPr>
              <w:t>2</w:t>
            </w:r>
            <w:r>
              <w:rPr>
                <w:kern w:val="0"/>
                <w:szCs w:val="21"/>
                <w:lang w:bidi="ar"/>
              </w:rPr>
              <w:t>·次）</w:t>
            </w:r>
          </w:p>
        </w:tc>
        <w:tc>
          <w:tcPr>
            <w:tcW w:w="495" w:type="pct"/>
            <w:tcBorders>
              <w:top w:val="single" w:color="000000" w:sz="4" w:space="0"/>
              <w:left w:val="single" w:color="000000" w:sz="4" w:space="0"/>
              <w:bottom w:val="single" w:color="000000" w:sz="4" w:space="0"/>
              <w:right w:val="single" w:color="000000" w:sz="4" w:space="0"/>
            </w:tcBorders>
            <w:noWrap w:val="0"/>
            <w:vAlign w:val="center"/>
          </w:tcPr>
          <w:p w14:paraId="0C870E7D">
            <w:pPr>
              <w:widowControl/>
              <w:jc w:val="center"/>
              <w:textAlignment w:val="center"/>
              <w:rPr>
                <w:szCs w:val="21"/>
              </w:rPr>
            </w:pPr>
            <w:r>
              <w:rPr>
                <w:kern w:val="0"/>
                <w:szCs w:val="21"/>
                <w:lang w:bidi="ar"/>
              </w:rPr>
              <w:t>猪舍冲洗用水量（m</w:t>
            </w:r>
            <w:r>
              <w:rPr>
                <w:kern w:val="0"/>
                <w:szCs w:val="21"/>
                <w:vertAlign w:val="superscript"/>
                <w:lang w:bidi="ar"/>
              </w:rPr>
              <w:t>3</w:t>
            </w:r>
            <w:r>
              <w:rPr>
                <w:kern w:val="0"/>
                <w:szCs w:val="21"/>
                <w:lang w:bidi="ar"/>
              </w:rPr>
              <w:t>/次）</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14:paraId="36390CA5">
            <w:pPr>
              <w:widowControl/>
              <w:jc w:val="center"/>
              <w:textAlignment w:val="center"/>
              <w:rPr>
                <w:szCs w:val="21"/>
              </w:rPr>
            </w:pPr>
            <w:r>
              <w:rPr>
                <w:kern w:val="0"/>
                <w:szCs w:val="21"/>
                <w:lang w:bidi="ar"/>
              </w:rPr>
              <w:t>猪舍冲洗地块用水量（m</w:t>
            </w:r>
            <w:r>
              <w:rPr>
                <w:kern w:val="0"/>
                <w:szCs w:val="21"/>
                <w:vertAlign w:val="superscript"/>
                <w:lang w:bidi="ar"/>
              </w:rPr>
              <w:t>3</w:t>
            </w:r>
            <w:r>
              <w:rPr>
                <w:kern w:val="0"/>
                <w:szCs w:val="21"/>
                <w:lang w:bidi="ar"/>
              </w:rPr>
              <w:t>/次）</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A1793FA">
            <w:pPr>
              <w:widowControl/>
              <w:jc w:val="center"/>
              <w:textAlignment w:val="center"/>
              <w:rPr>
                <w:szCs w:val="21"/>
              </w:rPr>
            </w:pPr>
            <w:r>
              <w:rPr>
                <w:kern w:val="0"/>
                <w:szCs w:val="21"/>
                <w:lang w:bidi="ar"/>
              </w:rPr>
              <w:t>年冲洗频次</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E4D915C">
            <w:pPr>
              <w:widowControl/>
              <w:jc w:val="center"/>
              <w:textAlignment w:val="center"/>
              <w:rPr>
                <w:szCs w:val="21"/>
              </w:rPr>
            </w:pPr>
            <w:r>
              <w:rPr>
                <w:kern w:val="0"/>
                <w:szCs w:val="21"/>
                <w:lang w:bidi="ar"/>
              </w:rPr>
              <w:t>猪舍冲洗地块用水量（m</w:t>
            </w:r>
            <w:r>
              <w:rPr>
                <w:kern w:val="0"/>
                <w:szCs w:val="21"/>
                <w:vertAlign w:val="superscript"/>
                <w:lang w:bidi="ar"/>
              </w:rPr>
              <w:t>3</w:t>
            </w:r>
            <w:r>
              <w:rPr>
                <w:kern w:val="0"/>
                <w:szCs w:val="21"/>
                <w:lang w:bidi="ar"/>
              </w:rPr>
              <w:t>/a）</w:t>
            </w:r>
          </w:p>
        </w:tc>
      </w:tr>
      <w:tr w14:paraId="22F75B29">
        <w:tblPrEx>
          <w:tblCellMar>
            <w:top w:w="0" w:type="dxa"/>
            <w:left w:w="108" w:type="dxa"/>
            <w:bottom w:w="0" w:type="dxa"/>
            <w:right w:w="108" w:type="dxa"/>
          </w:tblCellMar>
        </w:tblPrEx>
        <w:trPr>
          <w:trHeight w:val="315" w:hRule="atLeast"/>
        </w:trPr>
        <w:tc>
          <w:tcPr>
            <w:tcW w:w="453" w:type="pct"/>
            <w:vMerge w:val="restart"/>
            <w:tcBorders>
              <w:top w:val="single" w:color="000000" w:sz="4" w:space="0"/>
              <w:left w:val="single" w:color="000000" w:sz="4" w:space="0"/>
              <w:bottom w:val="single" w:color="000000" w:sz="4" w:space="0"/>
              <w:right w:val="single" w:color="000000" w:sz="4" w:space="0"/>
            </w:tcBorders>
            <w:noWrap/>
            <w:vAlign w:val="center"/>
          </w:tcPr>
          <w:p w14:paraId="6EA70BFD">
            <w:pPr>
              <w:widowControl/>
              <w:jc w:val="center"/>
              <w:textAlignment w:val="center"/>
              <w:rPr>
                <w:szCs w:val="21"/>
              </w:rPr>
            </w:pPr>
            <w:r>
              <w:rPr>
                <w:kern w:val="0"/>
                <w:szCs w:val="21"/>
                <w:lang w:bidi="ar"/>
              </w:rPr>
              <w:t>1号地</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3872BF58">
            <w:pPr>
              <w:widowControl/>
              <w:jc w:val="center"/>
              <w:textAlignment w:val="center"/>
              <w:rPr>
                <w:szCs w:val="21"/>
              </w:rPr>
            </w:pPr>
            <w:r>
              <w:rPr>
                <w:kern w:val="0"/>
                <w:szCs w:val="21"/>
                <w:lang w:bidi="ar"/>
              </w:rPr>
              <w:t>盛丰通风井位置1号舍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2F655C24">
            <w:pPr>
              <w:widowControl/>
              <w:jc w:val="center"/>
              <w:textAlignment w:val="center"/>
              <w:rPr>
                <w:szCs w:val="21"/>
              </w:rPr>
            </w:pPr>
            <w:r>
              <w:rPr>
                <w:kern w:val="0"/>
                <w:szCs w:val="21"/>
                <w:lang w:bidi="ar"/>
              </w:rPr>
              <w:t>2016.82</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158D813C">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E577E9D">
            <w:pPr>
              <w:widowControl/>
              <w:jc w:val="center"/>
              <w:textAlignment w:val="center"/>
              <w:rPr>
                <w:szCs w:val="21"/>
              </w:rPr>
            </w:pPr>
            <w:r>
              <w:rPr>
                <w:kern w:val="0"/>
                <w:szCs w:val="21"/>
                <w:lang w:bidi="ar"/>
              </w:rPr>
              <w:t>6.05</w:t>
            </w:r>
          </w:p>
        </w:tc>
        <w:tc>
          <w:tcPr>
            <w:tcW w:w="498" w:type="pct"/>
            <w:vMerge w:val="restart"/>
            <w:tcBorders>
              <w:top w:val="single" w:color="000000" w:sz="4" w:space="0"/>
              <w:left w:val="single" w:color="000000" w:sz="4" w:space="0"/>
              <w:bottom w:val="single" w:color="000000" w:sz="4" w:space="0"/>
              <w:right w:val="single" w:color="000000" w:sz="4" w:space="0"/>
            </w:tcBorders>
            <w:noWrap/>
            <w:vAlign w:val="center"/>
          </w:tcPr>
          <w:p w14:paraId="2484F01D">
            <w:pPr>
              <w:widowControl/>
              <w:jc w:val="center"/>
              <w:textAlignment w:val="center"/>
              <w:rPr>
                <w:szCs w:val="21"/>
              </w:rPr>
            </w:pPr>
            <w:r>
              <w:rPr>
                <w:kern w:val="0"/>
                <w:szCs w:val="21"/>
                <w:lang w:bidi="ar"/>
              </w:rPr>
              <w:t>8.35</w:t>
            </w:r>
          </w:p>
        </w:tc>
        <w:tc>
          <w:tcPr>
            <w:tcW w:w="422" w:type="pct"/>
            <w:vMerge w:val="restart"/>
            <w:tcBorders>
              <w:top w:val="single" w:color="000000" w:sz="4" w:space="0"/>
              <w:left w:val="single" w:color="000000" w:sz="4" w:space="0"/>
              <w:bottom w:val="single" w:color="000000" w:sz="4" w:space="0"/>
              <w:right w:val="single" w:color="000000" w:sz="4" w:space="0"/>
            </w:tcBorders>
            <w:noWrap/>
            <w:vAlign w:val="center"/>
          </w:tcPr>
          <w:p w14:paraId="0E2B16D4">
            <w:pPr>
              <w:widowControl/>
              <w:jc w:val="center"/>
              <w:textAlignment w:val="center"/>
              <w:rPr>
                <w:szCs w:val="21"/>
              </w:rPr>
            </w:pPr>
            <w:r>
              <w:rPr>
                <w:kern w:val="0"/>
                <w:szCs w:val="21"/>
                <w:lang w:bidi="ar"/>
              </w:rPr>
              <w:t>2.6</w:t>
            </w:r>
          </w:p>
        </w:tc>
        <w:tc>
          <w:tcPr>
            <w:tcW w:w="529" w:type="pct"/>
            <w:vMerge w:val="restart"/>
            <w:tcBorders>
              <w:top w:val="single" w:color="000000" w:sz="4" w:space="0"/>
              <w:left w:val="single" w:color="000000" w:sz="4" w:space="0"/>
              <w:bottom w:val="single" w:color="000000" w:sz="4" w:space="0"/>
              <w:right w:val="single" w:color="000000" w:sz="4" w:space="0"/>
            </w:tcBorders>
            <w:noWrap/>
            <w:vAlign w:val="center"/>
          </w:tcPr>
          <w:p w14:paraId="034C1E12">
            <w:pPr>
              <w:widowControl/>
              <w:jc w:val="center"/>
              <w:textAlignment w:val="center"/>
              <w:rPr>
                <w:szCs w:val="21"/>
              </w:rPr>
            </w:pPr>
            <w:r>
              <w:rPr>
                <w:kern w:val="0"/>
                <w:szCs w:val="21"/>
                <w:lang w:bidi="ar"/>
              </w:rPr>
              <w:t>21.71</w:t>
            </w:r>
          </w:p>
        </w:tc>
      </w:tr>
      <w:tr w14:paraId="1FFC933F">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16FB5D5D">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09AB55E2">
            <w:pPr>
              <w:widowControl/>
              <w:jc w:val="center"/>
              <w:textAlignment w:val="center"/>
              <w:rPr>
                <w:szCs w:val="21"/>
              </w:rPr>
            </w:pPr>
            <w:r>
              <w:rPr>
                <w:kern w:val="0"/>
                <w:szCs w:val="21"/>
                <w:lang w:bidi="ar"/>
              </w:rPr>
              <w:t>盛丰通风井位置2号舍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31406319">
            <w:pPr>
              <w:widowControl/>
              <w:jc w:val="center"/>
              <w:textAlignment w:val="center"/>
              <w:rPr>
                <w:szCs w:val="21"/>
              </w:rPr>
            </w:pPr>
            <w:r>
              <w:rPr>
                <w:kern w:val="0"/>
                <w:szCs w:val="21"/>
                <w:lang w:bidi="ar"/>
              </w:rPr>
              <w:t>766.97</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63CA1407">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3815498A">
            <w:pPr>
              <w:widowControl/>
              <w:jc w:val="center"/>
              <w:textAlignment w:val="center"/>
              <w:rPr>
                <w:szCs w:val="21"/>
              </w:rPr>
            </w:pPr>
            <w:r>
              <w:rPr>
                <w:kern w:val="0"/>
                <w:szCs w:val="21"/>
                <w:lang w:bidi="ar"/>
              </w:rPr>
              <w:t>2.30</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7C1D29CB">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49408ABA">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7B7D6DDF">
            <w:pPr>
              <w:jc w:val="center"/>
              <w:rPr>
                <w:szCs w:val="21"/>
              </w:rPr>
            </w:pPr>
          </w:p>
        </w:tc>
      </w:tr>
      <w:tr w14:paraId="0DAA1707">
        <w:tblPrEx>
          <w:tblCellMar>
            <w:top w:w="0" w:type="dxa"/>
            <w:left w:w="108" w:type="dxa"/>
            <w:bottom w:w="0" w:type="dxa"/>
            <w:right w:w="108" w:type="dxa"/>
          </w:tblCellMar>
        </w:tblPrEx>
        <w:trPr>
          <w:trHeight w:val="315" w:hRule="atLeast"/>
        </w:trPr>
        <w:tc>
          <w:tcPr>
            <w:tcW w:w="453" w:type="pct"/>
            <w:vMerge w:val="restart"/>
            <w:tcBorders>
              <w:top w:val="single" w:color="000000" w:sz="4" w:space="0"/>
              <w:left w:val="single" w:color="000000" w:sz="4" w:space="0"/>
              <w:bottom w:val="single" w:color="000000" w:sz="4" w:space="0"/>
              <w:right w:val="single" w:color="000000" w:sz="4" w:space="0"/>
            </w:tcBorders>
            <w:noWrap/>
            <w:vAlign w:val="center"/>
          </w:tcPr>
          <w:p w14:paraId="67A27100">
            <w:pPr>
              <w:widowControl/>
              <w:jc w:val="center"/>
              <w:textAlignment w:val="center"/>
              <w:rPr>
                <w:szCs w:val="21"/>
              </w:rPr>
            </w:pPr>
            <w:r>
              <w:rPr>
                <w:kern w:val="0"/>
                <w:szCs w:val="21"/>
                <w:lang w:bidi="ar"/>
              </w:rPr>
              <w:t>2号地</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378FA2DF">
            <w:pPr>
              <w:widowControl/>
              <w:jc w:val="center"/>
              <w:textAlignment w:val="center"/>
              <w:rPr>
                <w:szCs w:val="21"/>
              </w:rPr>
            </w:pPr>
            <w:r>
              <w:rPr>
                <w:kern w:val="0"/>
                <w:szCs w:val="21"/>
                <w:lang w:bidi="ar"/>
              </w:rPr>
              <w:t>盛丰焦化楼位置1号舍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0C3B62BA">
            <w:pPr>
              <w:widowControl/>
              <w:jc w:val="center"/>
              <w:textAlignment w:val="center"/>
              <w:rPr>
                <w:szCs w:val="21"/>
              </w:rPr>
            </w:pPr>
            <w:r>
              <w:rPr>
                <w:kern w:val="0"/>
                <w:szCs w:val="21"/>
                <w:lang w:bidi="ar"/>
              </w:rPr>
              <w:t>1566.02</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49A4DA09">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2BDA32A9">
            <w:pPr>
              <w:widowControl/>
              <w:jc w:val="center"/>
              <w:textAlignment w:val="center"/>
              <w:rPr>
                <w:szCs w:val="21"/>
              </w:rPr>
            </w:pPr>
            <w:r>
              <w:rPr>
                <w:kern w:val="0"/>
                <w:szCs w:val="21"/>
                <w:lang w:bidi="ar"/>
              </w:rPr>
              <w:t>4.70</w:t>
            </w:r>
          </w:p>
        </w:tc>
        <w:tc>
          <w:tcPr>
            <w:tcW w:w="498" w:type="pct"/>
            <w:vMerge w:val="restart"/>
            <w:tcBorders>
              <w:top w:val="single" w:color="000000" w:sz="4" w:space="0"/>
              <w:left w:val="single" w:color="000000" w:sz="4" w:space="0"/>
              <w:bottom w:val="single" w:color="000000" w:sz="4" w:space="0"/>
              <w:right w:val="single" w:color="000000" w:sz="4" w:space="0"/>
            </w:tcBorders>
            <w:noWrap/>
            <w:vAlign w:val="center"/>
          </w:tcPr>
          <w:p w14:paraId="3FAB4B9D">
            <w:pPr>
              <w:widowControl/>
              <w:jc w:val="center"/>
              <w:textAlignment w:val="center"/>
              <w:rPr>
                <w:szCs w:val="21"/>
              </w:rPr>
            </w:pPr>
            <w:r>
              <w:rPr>
                <w:kern w:val="0"/>
                <w:szCs w:val="21"/>
                <w:lang w:bidi="ar"/>
              </w:rPr>
              <w:t>17.69</w:t>
            </w:r>
          </w:p>
        </w:tc>
        <w:tc>
          <w:tcPr>
            <w:tcW w:w="422" w:type="pct"/>
            <w:vMerge w:val="restart"/>
            <w:tcBorders>
              <w:top w:val="single" w:color="000000" w:sz="4" w:space="0"/>
              <w:left w:val="single" w:color="000000" w:sz="4" w:space="0"/>
              <w:bottom w:val="single" w:color="000000" w:sz="4" w:space="0"/>
              <w:right w:val="single" w:color="000000" w:sz="4" w:space="0"/>
            </w:tcBorders>
            <w:noWrap/>
            <w:vAlign w:val="center"/>
          </w:tcPr>
          <w:p w14:paraId="6B94BB30">
            <w:pPr>
              <w:widowControl/>
              <w:jc w:val="center"/>
              <w:textAlignment w:val="center"/>
              <w:rPr>
                <w:szCs w:val="21"/>
              </w:rPr>
            </w:pPr>
            <w:r>
              <w:rPr>
                <w:kern w:val="0"/>
                <w:szCs w:val="21"/>
                <w:lang w:bidi="ar"/>
              </w:rPr>
              <w:t>2.6</w:t>
            </w:r>
          </w:p>
        </w:tc>
        <w:tc>
          <w:tcPr>
            <w:tcW w:w="529" w:type="pct"/>
            <w:vMerge w:val="restart"/>
            <w:tcBorders>
              <w:top w:val="single" w:color="000000" w:sz="4" w:space="0"/>
              <w:left w:val="single" w:color="000000" w:sz="4" w:space="0"/>
              <w:bottom w:val="single" w:color="000000" w:sz="4" w:space="0"/>
              <w:right w:val="single" w:color="000000" w:sz="4" w:space="0"/>
            </w:tcBorders>
            <w:noWrap/>
            <w:vAlign w:val="center"/>
          </w:tcPr>
          <w:p w14:paraId="3A618C95">
            <w:pPr>
              <w:widowControl/>
              <w:jc w:val="center"/>
              <w:textAlignment w:val="center"/>
              <w:rPr>
                <w:szCs w:val="21"/>
              </w:rPr>
            </w:pPr>
            <w:r>
              <w:rPr>
                <w:kern w:val="0"/>
                <w:szCs w:val="21"/>
                <w:lang w:bidi="ar"/>
              </w:rPr>
              <w:t>45.98</w:t>
            </w:r>
          </w:p>
        </w:tc>
      </w:tr>
      <w:tr w14:paraId="41DA34A5">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6B057BA7">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5BC9BCC3">
            <w:pPr>
              <w:widowControl/>
              <w:jc w:val="center"/>
              <w:textAlignment w:val="center"/>
              <w:rPr>
                <w:szCs w:val="21"/>
              </w:rPr>
            </w:pPr>
            <w:r>
              <w:rPr>
                <w:kern w:val="0"/>
                <w:szCs w:val="21"/>
                <w:lang w:bidi="ar"/>
              </w:rPr>
              <w:t>盛丰焦化楼位置2号舍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6379459B">
            <w:pPr>
              <w:widowControl/>
              <w:jc w:val="center"/>
              <w:textAlignment w:val="center"/>
              <w:rPr>
                <w:szCs w:val="21"/>
              </w:rPr>
            </w:pPr>
            <w:r>
              <w:rPr>
                <w:kern w:val="0"/>
                <w:szCs w:val="21"/>
                <w:lang w:bidi="ar"/>
              </w:rPr>
              <w:t>2182.00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7F95F3C3">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523585A">
            <w:pPr>
              <w:widowControl/>
              <w:jc w:val="center"/>
              <w:textAlignment w:val="center"/>
              <w:rPr>
                <w:szCs w:val="21"/>
              </w:rPr>
            </w:pPr>
            <w:r>
              <w:rPr>
                <w:kern w:val="0"/>
                <w:szCs w:val="21"/>
                <w:lang w:bidi="ar"/>
              </w:rPr>
              <w:t>6.55</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0CC8152F">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69C0BE55">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0F151133">
            <w:pPr>
              <w:jc w:val="center"/>
              <w:rPr>
                <w:szCs w:val="21"/>
              </w:rPr>
            </w:pPr>
          </w:p>
        </w:tc>
      </w:tr>
      <w:tr w14:paraId="5FBE8CCE">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7C5ACA1F">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69CFF61C">
            <w:pPr>
              <w:widowControl/>
              <w:jc w:val="center"/>
              <w:textAlignment w:val="center"/>
              <w:rPr>
                <w:szCs w:val="21"/>
              </w:rPr>
            </w:pPr>
            <w:r>
              <w:rPr>
                <w:kern w:val="0"/>
                <w:szCs w:val="21"/>
                <w:lang w:bidi="ar"/>
              </w:rPr>
              <w:t>球场位置1单元</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1AD0CD4A">
            <w:pPr>
              <w:widowControl/>
              <w:jc w:val="center"/>
              <w:textAlignment w:val="center"/>
              <w:rPr>
                <w:szCs w:val="21"/>
              </w:rPr>
            </w:pPr>
            <w:r>
              <w:rPr>
                <w:kern w:val="0"/>
                <w:szCs w:val="21"/>
                <w:lang w:bidi="ar"/>
              </w:rPr>
              <w:t>794.97</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74795315">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1005AED">
            <w:pPr>
              <w:widowControl/>
              <w:jc w:val="center"/>
              <w:textAlignment w:val="center"/>
              <w:rPr>
                <w:szCs w:val="21"/>
              </w:rPr>
            </w:pPr>
            <w:r>
              <w:rPr>
                <w:kern w:val="0"/>
                <w:szCs w:val="21"/>
                <w:lang w:bidi="ar"/>
              </w:rPr>
              <w:t>2.38</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22099E3F">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36376B1B">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470957D9">
            <w:pPr>
              <w:jc w:val="center"/>
              <w:rPr>
                <w:szCs w:val="21"/>
              </w:rPr>
            </w:pPr>
          </w:p>
        </w:tc>
      </w:tr>
      <w:tr w14:paraId="525D7C93">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0BE448F0">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2E60778F">
            <w:pPr>
              <w:widowControl/>
              <w:jc w:val="center"/>
              <w:textAlignment w:val="center"/>
              <w:rPr>
                <w:szCs w:val="21"/>
              </w:rPr>
            </w:pPr>
            <w:r>
              <w:rPr>
                <w:kern w:val="0"/>
                <w:szCs w:val="21"/>
                <w:lang w:bidi="ar"/>
              </w:rPr>
              <w:t>球场位置2单元</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DB3F822">
            <w:pPr>
              <w:widowControl/>
              <w:jc w:val="center"/>
              <w:textAlignment w:val="center"/>
              <w:rPr>
                <w:szCs w:val="21"/>
              </w:rPr>
            </w:pPr>
            <w:r>
              <w:rPr>
                <w:kern w:val="0"/>
                <w:szCs w:val="21"/>
                <w:lang w:bidi="ar"/>
              </w:rPr>
              <w:t>653.94</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2C7532AF">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681BC13">
            <w:pPr>
              <w:widowControl/>
              <w:jc w:val="center"/>
              <w:textAlignment w:val="center"/>
              <w:rPr>
                <w:szCs w:val="21"/>
              </w:rPr>
            </w:pPr>
            <w:r>
              <w:rPr>
                <w:kern w:val="0"/>
                <w:szCs w:val="21"/>
                <w:lang w:bidi="ar"/>
              </w:rPr>
              <w:t>1.96</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7E22EB11">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4C3FBF27">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1BF51240">
            <w:pPr>
              <w:jc w:val="center"/>
              <w:rPr>
                <w:szCs w:val="21"/>
              </w:rPr>
            </w:pPr>
          </w:p>
        </w:tc>
      </w:tr>
      <w:tr w14:paraId="73694F90">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3DABECE3">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107322EB">
            <w:pPr>
              <w:widowControl/>
              <w:jc w:val="center"/>
              <w:textAlignment w:val="center"/>
              <w:rPr>
                <w:szCs w:val="21"/>
              </w:rPr>
            </w:pPr>
            <w:r>
              <w:rPr>
                <w:kern w:val="0"/>
                <w:szCs w:val="21"/>
                <w:lang w:bidi="ar"/>
              </w:rPr>
              <w:t>球场位置3单元</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7F74BFD2">
            <w:pPr>
              <w:widowControl/>
              <w:jc w:val="center"/>
              <w:textAlignment w:val="center"/>
              <w:rPr>
                <w:szCs w:val="21"/>
              </w:rPr>
            </w:pPr>
            <w:r>
              <w:rPr>
                <w:kern w:val="0"/>
                <w:szCs w:val="21"/>
                <w:lang w:bidi="ar"/>
              </w:rPr>
              <w:t>698.41</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151C3E5D">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5ACC4EE">
            <w:pPr>
              <w:widowControl/>
              <w:jc w:val="center"/>
              <w:textAlignment w:val="center"/>
              <w:rPr>
                <w:szCs w:val="21"/>
              </w:rPr>
            </w:pPr>
            <w:r>
              <w:rPr>
                <w:kern w:val="0"/>
                <w:szCs w:val="21"/>
                <w:lang w:bidi="ar"/>
              </w:rPr>
              <w:t>2.10</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21606FD5">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4F999E56">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254A3328">
            <w:pPr>
              <w:jc w:val="center"/>
              <w:rPr>
                <w:szCs w:val="21"/>
              </w:rPr>
            </w:pPr>
          </w:p>
        </w:tc>
      </w:tr>
      <w:tr w14:paraId="5CE197A4">
        <w:tblPrEx>
          <w:tblCellMar>
            <w:top w:w="0" w:type="dxa"/>
            <w:left w:w="108" w:type="dxa"/>
            <w:bottom w:w="0" w:type="dxa"/>
            <w:right w:w="108" w:type="dxa"/>
          </w:tblCellMar>
        </w:tblPrEx>
        <w:trPr>
          <w:trHeight w:val="315" w:hRule="atLeast"/>
        </w:trPr>
        <w:tc>
          <w:tcPr>
            <w:tcW w:w="453" w:type="pct"/>
            <w:vMerge w:val="restart"/>
            <w:tcBorders>
              <w:top w:val="single" w:color="000000" w:sz="4" w:space="0"/>
              <w:left w:val="single" w:color="000000" w:sz="4" w:space="0"/>
              <w:bottom w:val="single" w:color="000000" w:sz="4" w:space="0"/>
              <w:right w:val="single" w:color="000000" w:sz="4" w:space="0"/>
            </w:tcBorders>
            <w:noWrap/>
            <w:vAlign w:val="center"/>
          </w:tcPr>
          <w:p w14:paraId="0248089C">
            <w:pPr>
              <w:widowControl/>
              <w:jc w:val="center"/>
              <w:textAlignment w:val="center"/>
              <w:rPr>
                <w:szCs w:val="21"/>
              </w:rPr>
            </w:pPr>
            <w:r>
              <w:rPr>
                <w:kern w:val="0"/>
                <w:szCs w:val="21"/>
                <w:lang w:bidi="ar"/>
              </w:rPr>
              <w:t>3号地</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57E88C72">
            <w:pPr>
              <w:widowControl/>
              <w:jc w:val="center"/>
              <w:textAlignment w:val="center"/>
              <w:rPr>
                <w:szCs w:val="21"/>
              </w:rPr>
            </w:pPr>
            <w:r>
              <w:rPr>
                <w:kern w:val="0"/>
                <w:szCs w:val="21"/>
                <w:lang w:bidi="ar"/>
              </w:rPr>
              <w:t>老井位置1号舍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268C65D9">
            <w:pPr>
              <w:widowControl/>
              <w:jc w:val="center"/>
              <w:textAlignment w:val="center"/>
              <w:rPr>
                <w:szCs w:val="21"/>
              </w:rPr>
            </w:pPr>
            <w:r>
              <w:rPr>
                <w:kern w:val="0"/>
                <w:szCs w:val="21"/>
                <w:lang w:bidi="ar"/>
              </w:rPr>
              <w:t>1309.20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7E462A4F">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644F2B0">
            <w:pPr>
              <w:widowControl/>
              <w:jc w:val="center"/>
              <w:textAlignment w:val="center"/>
              <w:rPr>
                <w:szCs w:val="21"/>
              </w:rPr>
            </w:pPr>
            <w:r>
              <w:rPr>
                <w:kern w:val="0"/>
                <w:szCs w:val="21"/>
                <w:lang w:bidi="ar"/>
              </w:rPr>
              <w:t>3.93</w:t>
            </w:r>
          </w:p>
        </w:tc>
        <w:tc>
          <w:tcPr>
            <w:tcW w:w="498" w:type="pct"/>
            <w:vMerge w:val="restart"/>
            <w:tcBorders>
              <w:top w:val="single" w:color="000000" w:sz="4" w:space="0"/>
              <w:left w:val="single" w:color="000000" w:sz="4" w:space="0"/>
              <w:bottom w:val="single" w:color="000000" w:sz="4" w:space="0"/>
              <w:right w:val="single" w:color="000000" w:sz="4" w:space="0"/>
            </w:tcBorders>
            <w:noWrap/>
            <w:vAlign w:val="center"/>
          </w:tcPr>
          <w:p w14:paraId="031B429D">
            <w:pPr>
              <w:widowControl/>
              <w:jc w:val="center"/>
              <w:textAlignment w:val="center"/>
              <w:rPr>
                <w:szCs w:val="21"/>
              </w:rPr>
            </w:pPr>
            <w:r>
              <w:rPr>
                <w:kern w:val="0"/>
                <w:szCs w:val="21"/>
                <w:lang w:bidi="ar"/>
              </w:rPr>
              <w:t>7.86</w:t>
            </w:r>
          </w:p>
        </w:tc>
        <w:tc>
          <w:tcPr>
            <w:tcW w:w="422" w:type="pct"/>
            <w:vMerge w:val="restart"/>
            <w:tcBorders>
              <w:top w:val="single" w:color="000000" w:sz="4" w:space="0"/>
              <w:left w:val="single" w:color="000000" w:sz="4" w:space="0"/>
              <w:bottom w:val="single" w:color="000000" w:sz="4" w:space="0"/>
              <w:right w:val="single" w:color="000000" w:sz="4" w:space="0"/>
            </w:tcBorders>
            <w:noWrap/>
            <w:vAlign w:val="center"/>
          </w:tcPr>
          <w:p w14:paraId="43F6DDC4">
            <w:pPr>
              <w:widowControl/>
              <w:jc w:val="center"/>
              <w:textAlignment w:val="center"/>
              <w:rPr>
                <w:szCs w:val="21"/>
              </w:rPr>
            </w:pPr>
            <w:r>
              <w:rPr>
                <w:kern w:val="0"/>
                <w:szCs w:val="21"/>
                <w:lang w:bidi="ar"/>
              </w:rPr>
              <w:t>2.6</w:t>
            </w:r>
          </w:p>
        </w:tc>
        <w:tc>
          <w:tcPr>
            <w:tcW w:w="529" w:type="pct"/>
            <w:vMerge w:val="restart"/>
            <w:tcBorders>
              <w:top w:val="single" w:color="000000" w:sz="4" w:space="0"/>
              <w:left w:val="single" w:color="000000" w:sz="4" w:space="0"/>
              <w:bottom w:val="single" w:color="000000" w:sz="4" w:space="0"/>
              <w:right w:val="single" w:color="000000" w:sz="4" w:space="0"/>
            </w:tcBorders>
            <w:noWrap/>
            <w:vAlign w:val="center"/>
          </w:tcPr>
          <w:p w14:paraId="6CE0D5AA">
            <w:pPr>
              <w:widowControl/>
              <w:jc w:val="center"/>
              <w:textAlignment w:val="center"/>
              <w:rPr>
                <w:szCs w:val="21"/>
              </w:rPr>
            </w:pPr>
            <w:r>
              <w:rPr>
                <w:kern w:val="0"/>
                <w:szCs w:val="21"/>
                <w:lang w:bidi="ar"/>
              </w:rPr>
              <w:t>20.42</w:t>
            </w:r>
          </w:p>
        </w:tc>
      </w:tr>
      <w:tr w14:paraId="38FCB094">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785F5B6B">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3482BD58">
            <w:pPr>
              <w:widowControl/>
              <w:jc w:val="center"/>
              <w:textAlignment w:val="center"/>
              <w:rPr>
                <w:szCs w:val="21"/>
              </w:rPr>
            </w:pPr>
            <w:r>
              <w:rPr>
                <w:kern w:val="0"/>
                <w:szCs w:val="21"/>
                <w:lang w:bidi="ar"/>
              </w:rPr>
              <w:t>老井位置2号舍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48A0D257">
            <w:pPr>
              <w:widowControl/>
              <w:jc w:val="center"/>
              <w:textAlignment w:val="center"/>
              <w:rPr>
                <w:szCs w:val="21"/>
              </w:rPr>
            </w:pPr>
            <w:r>
              <w:rPr>
                <w:kern w:val="0"/>
                <w:szCs w:val="21"/>
                <w:lang w:bidi="ar"/>
              </w:rPr>
              <w:t>1309.20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23BC3DFB">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5A30A15">
            <w:pPr>
              <w:widowControl/>
              <w:jc w:val="center"/>
              <w:textAlignment w:val="center"/>
              <w:rPr>
                <w:szCs w:val="21"/>
              </w:rPr>
            </w:pPr>
            <w:r>
              <w:rPr>
                <w:kern w:val="0"/>
                <w:szCs w:val="21"/>
                <w:lang w:bidi="ar"/>
              </w:rPr>
              <w:t>3.93</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06A459C9">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6E2D67DE">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5A90368D">
            <w:pPr>
              <w:jc w:val="center"/>
              <w:rPr>
                <w:szCs w:val="21"/>
              </w:rPr>
            </w:pPr>
          </w:p>
        </w:tc>
      </w:tr>
      <w:tr w14:paraId="522B755A">
        <w:tblPrEx>
          <w:tblCellMar>
            <w:top w:w="0" w:type="dxa"/>
            <w:left w:w="108" w:type="dxa"/>
            <w:bottom w:w="0" w:type="dxa"/>
            <w:right w:w="108" w:type="dxa"/>
          </w:tblCellMar>
        </w:tblPrEx>
        <w:trPr>
          <w:trHeight w:val="315" w:hRule="atLeast"/>
        </w:trPr>
        <w:tc>
          <w:tcPr>
            <w:tcW w:w="453" w:type="pct"/>
            <w:vMerge w:val="restart"/>
            <w:tcBorders>
              <w:top w:val="single" w:color="000000" w:sz="4" w:space="0"/>
              <w:left w:val="single" w:color="000000" w:sz="4" w:space="0"/>
              <w:bottom w:val="single" w:color="000000" w:sz="4" w:space="0"/>
              <w:right w:val="single" w:color="000000" w:sz="4" w:space="0"/>
            </w:tcBorders>
            <w:noWrap/>
            <w:vAlign w:val="center"/>
          </w:tcPr>
          <w:p w14:paraId="78E03965">
            <w:pPr>
              <w:widowControl/>
              <w:jc w:val="center"/>
              <w:textAlignment w:val="center"/>
              <w:rPr>
                <w:szCs w:val="21"/>
              </w:rPr>
            </w:pPr>
            <w:r>
              <w:rPr>
                <w:kern w:val="0"/>
                <w:szCs w:val="21"/>
                <w:lang w:bidi="ar"/>
              </w:rPr>
              <w:t>4号地</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3FB9EAC4">
            <w:pPr>
              <w:widowControl/>
              <w:jc w:val="center"/>
              <w:textAlignment w:val="center"/>
              <w:rPr>
                <w:szCs w:val="21"/>
              </w:rPr>
            </w:pPr>
            <w:r>
              <w:rPr>
                <w:kern w:val="0"/>
                <w:szCs w:val="21"/>
                <w:lang w:bidi="ar"/>
              </w:rPr>
              <w:t>鑫旺板块1号舍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392CE75">
            <w:pPr>
              <w:widowControl/>
              <w:jc w:val="center"/>
              <w:textAlignment w:val="center"/>
              <w:rPr>
                <w:szCs w:val="21"/>
              </w:rPr>
            </w:pPr>
            <w:r>
              <w:rPr>
                <w:kern w:val="0"/>
                <w:szCs w:val="21"/>
                <w:lang w:bidi="ar"/>
              </w:rPr>
              <w:t>2182.00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409A2D89">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CAE57BB">
            <w:pPr>
              <w:widowControl/>
              <w:jc w:val="center"/>
              <w:textAlignment w:val="center"/>
              <w:rPr>
                <w:szCs w:val="21"/>
              </w:rPr>
            </w:pPr>
            <w:r>
              <w:rPr>
                <w:kern w:val="0"/>
                <w:szCs w:val="21"/>
                <w:lang w:bidi="ar"/>
              </w:rPr>
              <w:t>6.55</w:t>
            </w:r>
          </w:p>
        </w:tc>
        <w:tc>
          <w:tcPr>
            <w:tcW w:w="498" w:type="pct"/>
            <w:vMerge w:val="restart"/>
            <w:tcBorders>
              <w:top w:val="single" w:color="000000" w:sz="4" w:space="0"/>
              <w:left w:val="single" w:color="000000" w:sz="4" w:space="0"/>
              <w:bottom w:val="single" w:color="000000" w:sz="4" w:space="0"/>
              <w:right w:val="single" w:color="000000" w:sz="4" w:space="0"/>
            </w:tcBorders>
            <w:noWrap/>
            <w:vAlign w:val="center"/>
          </w:tcPr>
          <w:p w14:paraId="13214D46">
            <w:pPr>
              <w:widowControl/>
              <w:jc w:val="center"/>
              <w:textAlignment w:val="center"/>
              <w:rPr>
                <w:szCs w:val="21"/>
              </w:rPr>
            </w:pPr>
            <w:r>
              <w:rPr>
                <w:kern w:val="0"/>
                <w:szCs w:val="21"/>
                <w:lang w:bidi="ar"/>
              </w:rPr>
              <w:t>19.11</w:t>
            </w:r>
          </w:p>
        </w:tc>
        <w:tc>
          <w:tcPr>
            <w:tcW w:w="422" w:type="pct"/>
            <w:vMerge w:val="restart"/>
            <w:tcBorders>
              <w:top w:val="single" w:color="000000" w:sz="4" w:space="0"/>
              <w:left w:val="single" w:color="000000" w:sz="4" w:space="0"/>
              <w:bottom w:val="single" w:color="000000" w:sz="4" w:space="0"/>
              <w:right w:val="single" w:color="000000" w:sz="4" w:space="0"/>
            </w:tcBorders>
            <w:noWrap/>
            <w:vAlign w:val="center"/>
          </w:tcPr>
          <w:p w14:paraId="7ADA4E66">
            <w:pPr>
              <w:widowControl/>
              <w:jc w:val="center"/>
              <w:textAlignment w:val="center"/>
              <w:rPr>
                <w:szCs w:val="21"/>
              </w:rPr>
            </w:pPr>
            <w:r>
              <w:rPr>
                <w:kern w:val="0"/>
                <w:szCs w:val="21"/>
                <w:lang w:bidi="ar"/>
              </w:rPr>
              <w:t>2.6</w:t>
            </w:r>
          </w:p>
        </w:tc>
        <w:tc>
          <w:tcPr>
            <w:tcW w:w="529" w:type="pct"/>
            <w:vMerge w:val="restart"/>
            <w:tcBorders>
              <w:top w:val="single" w:color="000000" w:sz="4" w:space="0"/>
              <w:left w:val="single" w:color="000000" w:sz="4" w:space="0"/>
              <w:bottom w:val="single" w:color="000000" w:sz="4" w:space="0"/>
              <w:right w:val="single" w:color="000000" w:sz="4" w:space="0"/>
            </w:tcBorders>
            <w:noWrap/>
            <w:vAlign w:val="center"/>
          </w:tcPr>
          <w:p w14:paraId="554C4548">
            <w:pPr>
              <w:widowControl/>
              <w:jc w:val="center"/>
              <w:textAlignment w:val="center"/>
              <w:rPr>
                <w:szCs w:val="21"/>
              </w:rPr>
            </w:pPr>
            <w:r>
              <w:rPr>
                <w:kern w:val="0"/>
                <w:szCs w:val="21"/>
                <w:lang w:bidi="ar"/>
              </w:rPr>
              <w:t>49.70</w:t>
            </w:r>
          </w:p>
        </w:tc>
      </w:tr>
      <w:tr w14:paraId="604825C9">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38B82EA5">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717881B6">
            <w:pPr>
              <w:widowControl/>
              <w:jc w:val="center"/>
              <w:textAlignment w:val="center"/>
              <w:rPr>
                <w:szCs w:val="21"/>
              </w:rPr>
            </w:pPr>
            <w:r>
              <w:rPr>
                <w:kern w:val="0"/>
                <w:szCs w:val="21"/>
                <w:lang w:bidi="ar"/>
              </w:rPr>
              <w:t>鑫旺板块2号舍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153530C4">
            <w:pPr>
              <w:widowControl/>
              <w:jc w:val="center"/>
              <w:textAlignment w:val="center"/>
              <w:rPr>
                <w:szCs w:val="21"/>
              </w:rPr>
            </w:pPr>
            <w:r>
              <w:rPr>
                <w:kern w:val="0"/>
                <w:szCs w:val="21"/>
                <w:lang w:bidi="ar"/>
              </w:rPr>
              <w:t>2182.00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084504F2">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06BFBCFC">
            <w:pPr>
              <w:widowControl/>
              <w:jc w:val="center"/>
              <w:textAlignment w:val="center"/>
              <w:rPr>
                <w:szCs w:val="21"/>
              </w:rPr>
            </w:pPr>
            <w:r>
              <w:rPr>
                <w:kern w:val="0"/>
                <w:szCs w:val="21"/>
                <w:lang w:bidi="ar"/>
              </w:rPr>
              <w:t>6.55</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2FCBA20C">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2AAEBA48">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586C40EF">
            <w:pPr>
              <w:jc w:val="center"/>
              <w:rPr>
                <w:szCs w:val="21"/>
              </w:rPr>
            </w:pPr>
          </w:p>
        </w:tc>
      </w:tr>
      <w:tr w14:paraId="42972532">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6738534B">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4FE2674E">
            <w:pPr>
              <w:widowControl/>
              <w:jc w:val="center"/>
              <w:textAlignment w:val="center"/>
              <w:rPr>
                <w:szCs w:val="21"/>
              </w:rPr>
            </w:pPr>
            <w:r>
              <w:rPr>
                <w:kern w:val="0"/>
                <w:szCs w:val="21"/>
                <w:lang w:bidi="ar"/>
              </w:rPr>
              <w:t>鑫旺板块3号舍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7A5CE9A4">
            <w:pPr>
              <w:widowControl/>
              <w:jc w:val="center"/>
              <w:textAlignment w:val="center"/>
              <w:rPr>
                <w:szCs w:val="21"/>
              </w:rPr>
            </w:pPr>
            <w:r>
              <w:rPr>
                <w:kern w:val="0"/>
                <w:szCs w:val="21"/>
                <w:lang w:bidi="ar"/>
              </w:rPr>
              <w:t>2007.44</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280556C7">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B9791B9">
            <w:pPr>
              <w:widowControl/>
              <w:jc w:val="center"/>
              <w:textAlignment w:val="center"/>
              <w:rPr>
                <w:szCs w:val="21"/>
              </w:rPr>
            </w:pPr>
            <w:r>
              <w:rPr>
                <w:kern w:val="0"/>
                <w:szCs w:val="21"/>
                <w:lang w:bidi="ar"/>
              </w:rPr>
              <w:t>6.02</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43B50B0D">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301C94BA">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03CFF494">
            <w:pPr>
              <w:jc w:val="center"/>
              <w:rPr>
                <w:szCs w:val="21"/>
              </w:rPr>
            </w:pPr>
          </w:p>
        </w:tc>
      </w:tr>
      <w:tr w14:paraId="7316EFA1">
        <w:tblPrEx>
          <w:tblCellMar>
            <w:top w:w="0" w:type="dxa"/>
            <w:left w:w="108" w:type="dxa"/>
            <w:bottom w:w="0" w:type="dxa"/>
            <w:right w:w="108" w:type="dxa"/>
          </w:tblCellMar>
        </w:tblPrEx>
        <w:trPr>
          <w:trHeight w:val="315" w:hRule="atLeast"/>
        </w:trPr>
        <w:tc>
          <w:tcPr>
            <w:tcW w:w="453" w:type="pct"/>
            <w:vMerge w:val="restart"/>
            <w:tcBorders>
              <w:top w:val="single" w:color="000000" w:sz="4" w:space="0"/>
              <w:left w:val="single" w:color="000000" w:sz="4" w:space="0"/>
              <w:bottom w:val="single" w:color="000000" w:sz="4" w:space="0"/>
              <w:right w:val="single" w:color="000000" w:sz="4" w:space="0"/>
            </w:tcBorders>
            <w:noWrap/>
            <w:vAlign w:val="center"/>
          </w:tcPr>
          <w:p w14:paraId="43F0FD67">
            <w:pPr>
              <w:widowControl/>
              <w:jc w:val="center"/>
              <w:textAlignment w:val="center"/>
              <w:rPr>
                <w:szCs w:val="21"/>
              </w:rPr>
            </w:pPr>
            <w:r>
              <w:rPr>
                <w:kern w:val="0"/>
                <w:szCs w:val="21"/>
                <w:lang w:bidi="ar"/>
              </w:rPr>
              <w:t>5号地</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694DB138">
            <w:pPr>
              <w:widowControl/>
              <w:jc w:val="center"/>
              <w:textAlignment w:val="center"/>
              <w:rPr>
                <w:szCs w:val="21"/>
              </w:rPr>
            </w:pPr>
            <w:r>
              <w:rPr>
                <w:kern w:val="0"/>
                <w:szCs w:val="21"/>
                <w:lang w:bidi="ar"/>
              </w:rPr>
              <w:t>大河边篮球场位置猪舍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4CE23A8C">
            <w:pPr>
              <w:widowControl/>
              <w:jc w:val="center"/>
              <w:textAlignment w:val="center"/>
              <w:rPr>
                <w:szCs w:val="21"/>
              </w:rPr>
            </w:pPr>
            <w:r>
              <w:rPr>
                <w:kern w:val="0"/>
                <w:szCs w:val="21"/>
                <w:lang w:bidi="ar"/>
              </w:rPr>
              <w:t>1806.84</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0C7653AF">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64BF62B">
            <w:pPr>
              <w:widowControl/>
              <w:jc w:val="center"/>
              <w:textAlignment w:val="center"/>
              <w:rPr>
                <w:szCs w:val="21"/>
              </w:rPr>
            </w:pPr>
            <w:r>
              <w:rPr>
                <w:kern w:val="0"/>
                <w:szCs w:val="21"/>
                <w:lang w:bidi="ar"/>
              </w:rPr>
              <w:t>5.42</w:t>
            </w:r>
          </w:p>
        </w:tc>
        <w:tc>
          <w:tcPr>
            <w:tcW w:w="498" w:type="pct"/>
            <w:vMerge w:val="restart"/>
            <w:tcBorders>
              <w:top w:val="single" w:color="000000" w:sz="4" w:space="0"/>
              <w:left w:val="single" w:color="000000" w:sz="4" w:space="0"/>
              <w:bottom w:val="single" w:color="000000" w:sz="4" w:space="0"/>
              <w:right w:val="single" w:color="000000" w:sz="4" w:space="0"/>
            </w:tcBorders>
            <w:noWrap/>
            <w:vAlign w:val="center"/>
          </w:tcPr>
          <w:p w14:paraId="1B1C4CC8">
            <w:pPr>
              <w:widowControl/>
              <w:jc w:val="center"/>
              <w:textAlignment w:val="center"/>
              <w:rPr>
                <w:szCs w:val="21"/>
              </w:rPr>
            </w:pPr>
            <w:r>
              <w:rPr>
                <w:kern w:val="0"/>
                <w:szCs w:val="21"/>
                <w:lang w:bidi="ar"/>
              </w:rPr>
              <w:t>14.97</w:t>
            </w:r>
          </w:p>
        </w:tc>
        <w:tc>
          <w:tcPr>
            <w:tcW w:w="422" w:type="pct"/>
            <w:vMerge w:val="restart"/>
            <w:tcBorders>
              <w:top w:val="single" w:color="000000" w:sz="4" w:space="0"/>
              <w:left w:val="single" w:color="000000" w:sz="4" w:space="0"/>
              <w:bottom w:val="single" w:color="000000" w:sz="4" w:space="0"/>
              <w:right w:val="single" w:color="000000" w:sz="4" w:space="0"/>
            </w:tcBorders>
            <w:noWrap/>
            <w:vAlign w:val="center"/>
          </w:tcPr>
          <w:p w14:paraId="7694245F">
            <w:pPr>
              <w:widowControl/>
              <w:jc w:val="center"/>
              <w:textAlignment w:val="center"/>
              <w:rPr>
                <w:szCs w:val="21"/>
              </w:rPr>
            </w:pPr>
            <w:r>
              <w:rPr>
                <w:kern w:val="0"/>
                <w:szCs w:val="21"/>
                <w:lang w:bidi="ar"/>
              </w:rPr>
              <w:t>2.6</w:t>
            </w:r>
          </w:p>
        </w:tc>
        <w:tc>
          <w:tcPr>
            <w:tcW w:w="529" w:type="pct"/>
            <w:vMerge w:val="restart"/>
            <w:tcBorders>
              <w:top w:val="single" w:color="000000" w:sz="4" w:space="0"/>
              <w:left w:val="single" w:color="000000" w:sz="4" w:space="0"/>
              <w:bottom w:val="single" w:color="000000" w:sz="4" w:space="0"/>
              <w:right w:val="single" w:color="000000" w:sz="4" w:space="0"/>
            </w:tcBorders>
            <w:noWrap/>
            <w:vAlign w:val="center"/>
          </w:tcPr>
          <w:p w14:paraId="49CFCC4B">
            <w:pPr>
              <w:widowControl/>
              <w:jc w:val="center"/>
              <w:textAlignment w:val="center"/>
              <w:rPr>
                <w:szCs w:val="21"/>
              </w:rPr>
            </w:pPr>
            <w:r>
              <w:rPr>
                <w:kern w:val="0"/>
                <w:szCs w:val="21"/>
                <w:lang w:bidi="ar"/>
              </w:rPr>
              <w:t>38.93</w:t>
            </w:r>
          </w:p>
        </w:tc>
      </w:tr>
      <w:tr w14:paraId="024F443E">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16EB679B">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41029B9E">
            <w:pPr>
              <w:widowControl/>
              <w:jc w:val="center"/>
              <w:textAlignment w:val="center"/>
              <w:rPr>
                <w:szCs w:val="21"/>
              </w:rPr>
            </w:pPr>
            <w:r>
              <w:rPr>
                <w:kern w:val="0"/>
                <w:szCs w:val="21"/>
                <w:lang w:bidi="ar"/>
              </w:rPr>
              <w:t>大河边上煤仓位置1号舍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3D53642">
            <w:pPr>
              <w:widowControl/>
              <w:jc w:val="center"/>
              <w:textAlignment w:val="center"/>
              <w:rPr>
                <w:szCs w:val="21"/>
              </w:rPr>
            </w:pPr>
            <w:r>
              <w:rPr>
                <w:kern w:val="0"/>
                <w:szCs w:val="21"/>
                <w:lang w:bidi="ar"/>
              </w:rPr>
              <w:t>744.00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55129279">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8208178">
            <w:pPr>
              <w:widowControl/>
              <w:jc w:val="center"/>
              <w:textAlignment w:val="center"/>
              <w:rPr>
                <w:szCs w:val="21"/>
              </w:rPr>
            </w:pPr>
            <w:r>
              <w:rPr>
                <w:kern w:val="0"/>
                <w:szCs w:val="21"/>
                <w:lang w:bidi="ar"/>
              </w:rPr>
              <w:t>2.23</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6B8F0B72">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682C1FDF">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5AA42EE2">
            <w:pPr>
              <w:jc w:val="center"/>
              <w:rPr>
                <w:szCs w:val="21"/>
              </w:rPr>
            </w:pPr>
          </w:p>
        </w:tc>
      </w:tr>
      <w:tr w14:paraId="7C8FBB1E">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5816F7E2">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29BC5A5B">
            <w:pPr>
              <w:widowControl/>
              <w:jc w:val="center"/>
              <w:textAlignment w:val="center"/>
              <w:rPr>
                <w:szCs w:val="21"/>
              </w:rPr>
            </w:pPr>
            <w:r>
              <w:rPr>
                <w:kern w:val="0"/>
                <w:szCs w:val="21"/>
                <w:lang w:bidi="ar"/>
              </w:rPr>
              <w:t>大河边上煤仓位置1号舍2</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54002971">
            <w:pPr>
              <w:widowControl/>
              <w:jc w:val="center"/>
              <w:textAlignment w:val="center"/>
              <w:rPr>
                <w:szCs w:val="21"/>
              </w:rPr>
            </w:pPr>
            <w:r>
              <w:rPr>
                <w:kern w:val="0"/>
                <w:szCs w:val="21"/>
                <w:lang w:bidi="ar"/>
              </w:rPr>
              <w:t>1152.00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3F5D2736">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59182BD0">
            <w:pPr>
              <w:widowControl/>
              <w:jc w:val="center"/>
              <w:textAlignment w:val="center"/>
              <w:rPr>
                <w:szCs w:val="21"/>
              </w:rPr>
            </w:pPr>
            <w:r>
              <w:rPr>
                <w:kern w:val="0"/>
                <w:szCs w:val="21"/>
                <w:lang w:bidi="ar"/>
              </w:rPr>
              <w:t>3.46</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53BA4FB4">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7ECC868B">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6BDBBD70">
            <w:pPr>
              <w:jc w:val="center"/>
              <w:rPr>
                <w:szCs w:val="21"/>
              </w:rPr>
            </w:pPr>
          </w:p>
        </w:tc>
      </w:tr>
      <w:tr w14:paraId="6DB35C2B">
        <w:tblPrEx>
          <w:tblCellMar>
            <w:top w:w="0" w:type="dxa"/>
            <w:left w:w="108" w:type="dxa"/>
            <w:bottom w:w="0" w:type="dxa"/>
            <w:right w:w="108" w:type="dxa"/>
          </w:tblCellMar>
        </w:tblPrEx>
        <w:trPr>
          <w:trHeight w:val="315" w:hRule="atLeast"/>
        </w:trPr>
        <w:tc>
          <w:tcPr>
            <w:tcW w:w="453" w:type="pct"/>
            <w:vMerge w:val="continue"/>
            <w:tcBorders>
              <w:top w:val="single" w:color="000000" w:sz="4" w:space="0"/>
              <w:left w:val="single" w:color="000000" w:sz="4" w:space="0"/>
              <w:bottom w:val="single" w:color="000000" w:sz="4" w:space="0"/>
              <w:right w:val="single" w:color="000000" w:sz="4" w:space="0"/>
            </w:tcBorders>
            <w:noWrap/>
            <w:vAlign w:val="center"/>
          </w:tcPr>
          <w:p w14:paraId="666EBE9F">
            <w:pPr>
              <w:jc w:val="center"/>
              <w:rPr>
                <w:szCs w:val="21"/>
              </w:rPr>
            </w:pP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4559F3BD">
            <w:pPr>
              <w:widowControl/>
              <w:jc w:val="center"/>
              <w:textAlignment w:val="center"/>
              <w:rPr>
                <w:szCs w:val="21"/>
              </w:rPr>
            </w:pPr>
            <w:r>
              <w:rPr>
                <w:kern w:val="0"/>
                <w:szCs w:val="21"/>
                <w:lang w:bidi="ar"/>
              </w:rPr>
              <w:t>大河边下煤仓位置猪舍</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1F1A55D5">
            <w:pPr>
              <w:widowControl/>
              <w:jc w:val="center"/>
              <w:textAlignment w:val="center"/>
              <w:rPr>
                <w:szCs w:val="21"/>
              </w:rPr>
            </w:pPr>
            <w:r>
              <w:rPr>
                <w:kern w:val="0"/>
                <w:szCs w:val="21"/>
                <w:lang w:bidi="ar"/>
              </w:rPr>
              <w:t>1288.00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0795559B">
            <w:pPr>
              <w:widowControl/>
              <w:jc w:val="center"/>
              <w:textAlignment w:val="center"/>
              <w:rPr>
                <w:szCs w:val="21"/>
              </w:rPr>
            </w:pPr>
            <w:r>
              <w:rPr>
                <w:kern w:val="0"/>
                <w:szCs w:val="21"/>
                <w:lang w:bidi="ar"/>
              </w:rPr>
              <w:t>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431BBDBC">
            <w:pPr>
              <w:widowControl/>
              <w:jc w:val="center"/>
              <w:textAlignment w:val="center"/>
              <w:rPr>
                <w:szCs w:val="21"/>
              </w:rPr>
            </w:pPr>
            <w:r>
              <w:rPr>
                <w:kern w:val="0"/>
                <w:szCs w:val="21"/>
                <w:lang w:bidi="ar"/>
              </w:rPr>
              <w:t>3.86</w:t>
            </w:r>
          </w:p>
        </w:tc>
        <w:tc>
          <w:tcPr>
            <w:tcW w:w="498" w:type="pct"/>
            <w:vMerge w:val="continue"/>
            <w:tcBorders>
              <w:top w:val="single" w:color="000000" w:sz="4" w:space="0"/>
              <w:left w:val="single" w:color="000000" w:sz="4" w:space="0"/>
              <w:bottom w:val="single" w:color="000000" w:sz="4" w:space="0"/>
              <w:right w:val="single" w:color="000000" w:sz="4" w:space="0"/>
            </w:tcBorders>
            <w:noWrap/>
            <w:vAlign w:val="center"/>
          </w:tcPr>
          <w:p w14:paraId="3DD99EB1">
            <w:pPr>
              <w:jc w:val="center"/>
              <w:rPr>
                <w:szCs w:val="21"/>
              </w:rPr>
            </w:pPr>
          </w:p>
        </w:tc>
        <w:tc>
          <w:tcPr>
            <w:tcW w:w="422" w:type="pct"/>
            <w:vMerge w:val="continue"/>
            <w:tcBorders>
              <w:top w:val="single" w:color="000000" w:sz="4" w:space="0"/>
              <w:left w:val="single" w:color="000000" w:sz="4" w:space="0"/>
              <w:bottom w:val="single" w:color="000000" w:sz="4" w:space="0"/>
              <w:right w:val="single" w:color="000000" w:sz="4" w:space="0"/>
            </w:tcBorders>
            <w:noWrap/>
            <w:vAlign w:val="center"/>
          </w:tcPr>
          <w:p w14:paraId="5C9D0A6F">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ign w:val="center"/>
          </w:tcPr>
          <w:p w14:paraId="78431E12">
            <w:pPr>
              <w:jc w:val="center"/>
              <w:rPr>
                <w:szCs w:val="21"/>
              </w:rPr>
            </w:pPr>
          </w:p>
        </w:tc>
      </w:tr>
      <w:tr w14:paraId="4E5E543D">
        <w:tblPrEx>
          <w:tblCellMar>
            <w:top w:w="0" w:type="dxa"/>
            <w:left w:w="108" w:type="dxa"/>
            <w:bottom w:w="0" w:type="dxa"/>
            <w:right w:w="108" w:type="dxa"/>
          </w:tblCellMar>
        </w:tblPrEx>
        <w:trPr>
          <w:trHeight w:val="285" w:hRule="atLeast"/>
        </w:trPr>
        <w:tc>
          <w:tcPr>
            <w:tcW w:w="1803" w:type="pct"/>
            <w:gridSpan w:val="2"/>
            <w:tcBorders>
              <w:top w:val="single" w:color="000000" w:sz="4" w:space="0"/>
              <w:left w:val="single" w:color="000000" w:sz="4" w:space="0"/>
              <w:bottom w:val="single" w:color="000000" w:sz="4" w:space="0"/>
              <w:right w:val="single" w:color="000000" w:sz="4" w:space="0"/>
            </w:tcBorders>
            <w:noWrap/>
            <w:vAlign w:val="center"/>
          </w:tcPr>
          <w:p w14:paraId="189A449B">
            <w:pPr>
              <w:widowControl/>
              <w:jc w:val="center"/>
              <w:textAlignment w:val="center"/>
              <w:rPr>
                <w:szCs w:val="21"/>
              </w:rPr>
            </w:pPr>
            <w:r>
              <w:rPr>
                <w:kern w:val="0"/>
                <w:szCs w:val="21"/>
                <w:lang w:bidi="ar"/>
              </w:rPr>
              <w:t>合计</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4B282FB1">
            <w:pPr>
              <w:widowControl/>
              <w:jc w:val="center"/>
              <w:textAlignment w:val="center"/>
              <w:rPr>
                <w:szCs w:val="21"/>
              </w:rPr>
            </w:pPr>
            <w:r>
              <w:rPr>
                <w:kern w:val="0"/>
                <w:szCs w:val="21"/>
                <w:lang w:bidi="ar"/>
              </w:rPr>
              <w:t>22659.82</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32440E1C">
            <w:pPr>
              <w:jc w:val="center"/>
              <w:rPr>
                <w:szCs w:val="21"/>
              </w:rPr>
            </w:pP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078A247E">
            <w:pPr>
              <w:widowControl/>
              <w:jc w:val="center"/>
              <w:textAlignment w:val="center"/>
              <w:rPr>
                <w:szCs w:val="21"/>
              </w:rPr>
            </w:pPr>
            <w:r>
              <w:rPr>
                <w:kern w:val="0"/>
                <w:szCs w:val="21"/>
                <w:lang w:bidi="ar"/>
              </w:rPr>
              <w:t>67.98</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682BC8C">
            <w:pPr>
              <w:widowControl/>
              <w:jc w:val="center"/>
              <w:textAlignment w:val="center"/>
              <w:rPr>
                <w:szCs w:val="21"/>
              </w:rPr>
            </w:pPr>
            <w:r>
              <w:rPr>
                <w:kern w:val="0"/>
                <w:szCs w:val="21"/>
                <w:lang w:bidi="ar"/>
              </w:rPr>
              <w:t>67.98</w:t>
            </w:r>
          </w:p>
        </w:tc>
        <w:tc>
          <w:tcPr>
            <w:tcW w:w="422" w:type="pct"/>
            <w:tcBorders>
              <w:top w:val="single" w:color="000000" w:sz="4" w:space="0"/>
              <w:left w:val="single" w:color="000000" w:sz="4" w:space="0"/>
              <w:bottom w:val="single" w:color="000000" w:sz="4" w:space="0"/>
              <w:right w:val="single" w:color="000000" w:sz="4" w:space="0"/>
            </w:tcBorders>
            <w:noWrap/>
            <w:vAlign w:val="center"/>
          </w:tcPr>
          <w:p w14:paraId="695C6AD4">
            <w:pPr>
              <w:widowControl/>
              <w:jc w:val="center"/>
              <w:textAlignment w:val="center"/>
              <w:rPr>
                <w:szCs w:val="21"/>
              </w:rPr>
            </w:pPr>
            <w:r>
              <w:rPr>
                <w:kern w:val="0"/>
                <w:szCs w:val="21"/>
                <w:lang w:bidi="ar"/>
              </w:rPr>
              <w:t>13.00</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457165EB">
            <w:pPr>
              <w:widowControl/>
              <w:jc w:val="center"/>
              <w:textAlignment w:val="center"/>
              <w:rPr>
                <w:szCs w:val="21"/>
              </w:rPr>
            </w:pPr>
            <w:r>
              <w:rPr>
                <w:kern w:val="0"/>
                <w:szCs w:val="21"/>
                <w:lang w:bidi="ar"/>
              </w:rPr>
              <w:t>176.75</w:t>
            </w:r>
          </w:p>
        </w:tc>
      </w:tr>
    </w:tbl>
    <w:p w14:paraId="19353971">
      <w:pPr>
        <w:pStyle w:val="10"/>
        <w:spacing w:line="360" w:lineRule="auto"/>
        <w:ind w:firstLine="482"/>
        <w:rPr>
          <w:b/>
          <w:sz w:val="24"/>
        </w:rPr>
      </w:pPr>
      <w:r>
        <w:rPr>
          <w:b/>
          <w:sz w:val="24"/>
        </w:rPr>
        <w:t>3.员工生活用水</w:t>
      </w:r>
    </w:p>
    <w:p w14:paraId="056C66A4">
      <w:pPr>
        <w:pStyle w:val="10"/>
        <w:spacing w:line="360" w:lineRule="auto"/>
        <w:ind w:firstLine="480"/>
        <w:rPr>
          <w:sz w:val="24"/>
        </w:rPr>
      </w:pPr>
      <w:r>
        <w:rPr>
          <w:sz w:val="24"/>
        </w:rPr>
        <w:t>本项目劳动定员为</w:t>
      </w:r>
      <w:r>
        <w:rPr>
          <w:rFonts w:hint="eastAsia"/>
          <w:sz w:val="24"/>
        </w:rPr>
        <w:t>36</w:t>
      </w:r>
      <w:r>
        <w:rPr>
          <w:sz w:val="24"/>
        </w:rPr>
        <w:t>人，参照《云南省地方标准用水定额》（DB53/T168-2013）生活用水按100L/人·d计，年工作365天，场地内人员分配及生活用水量见表3.3-4。</w:t>
      </w:r>
    </w:p>
    <w:p w14:paraId="6D760765">
      <w:pPr>
        <w:tabs>
          <w:tab w:val="left" w:pos="5639"/>
        </w:tabs>
        <w:spacing w:line="360" w:lineRule="auto"/>
        <w:jc w:val="center"/>
        <w:rPr>
          <w:b/>
          <w:bCs/>
          <w:kern w:val="0"/>
          <w:szCs w:val="21"/>
        </w:rPr>
      </w:pPr>
      <w:r>
        <w:rPr>
          <w:b/>
          <w:bCs/>
          <w:kern w:val="0"/>
          <w:szCs w:val="21"/>
        </w:rPr>
        <w:t>3.3-4 项目员工生活用水量一览表</w:t>
      </w:r>
    </w:p>
    <w:tbl>
      <w:tblPr>
        <w:tblStyle w:val="87"/>
        <w:tblW w:w="4998" w:type="pct"/>
        <w:tblInd w:w="0" w:type="dxa"/>
        <w:tblLayout w:type="autofit"/>
        <w:tblCellMar>
          <w:top w:w="0" w:type="dxa"/>
          <w:left w:w="108" w:type="dxa"/>
          <w:bottom w:w="0" w:type="dxa"/>
          <w:right w:w="108" w:type="dxa"/>
        </w:tblCellMar>
      </w:tblPr>
      <w:tblGrid>
        <w:gridCol w:w="1458"/>
        <w:gridCol w:w="2389"/>
        <w:gridCol w:w="1364"/>
        <w:gridCol w:w="1726"/>
        <w:gridCol w:w="1588"/>
      </w:tblGrid>
      <w:tr w14:paraId="4E6290CD">
        <w:tblPrEx>
          <w:tblCellMar>
            <w:top w:w="0" w:type="dxa"/>
            <w:left w:w="108" w:type="dxa"/>
            <w:bottom w:w="0" w:type="dxa"/>
            <w:right w:w="108" w:type="dxa"/>
          </w:tblCellMar>
        </w:tblPrEx>
        <w:trPr>
          <w:trHeight w:val="23" w:hRule="atLeast"/>
        </w:trPr>
        <w:tc>
          <w:tcPr>
            <w:tcW w:w="855" w:type="pct"/>
            <w:tcBorders>
              <w:top w:val="single" w:color="000000" w:sz="4" w:space="0"/>
              <w:left w:val="single" w:color="000000" w:sz="4" w:space="0"/>
              <w:bottom w:val="single" w:color="000000" w:sz="4" w:space="0"/>
              <w:right w:val="single" w:color="000000" w:sz="4" w:space="0"/>
            </w:tcBorders>
            <w:noWrap/>
            <w:vAlign w:val="center"/>
          </w:tcPr>
          <w:p w14:paraId="2800D8DC">
            <w:pPr>
              <w:widowControl/>
              <w:jc w:val="left"/>
              <w:textAlignment w:val="center"/>
              <w:rPr>
                <w:szCs w:val="21"/>
              </w:rPr>
            </w:pPr>
            <w:r>
              <w:rPr>
                <w:kern w:val="0"/>
                <w:szCs w:val="21"/>
                <w:lang w:bidi="ar"/>
              </w:rPr>
              <w:t>编号</w:t>
            </w:r>
          </w:p>
        </w:tc>
        <w:tc>
          <w:tcPr>
            <w:tcW w:w="1401" w:type="pct"/>
            <w:tcBorders>
              <w:top w:val="single" w:color="000000" w:sz="4" w:space="0"/>
              <w:left w:val="single" w:color="000000" w:sz="4" w:space="0"/>
              <w:bottom w:val="single" w:color="000000" w:sz="4" w:space="0"/>
              <w:right w:val="single" w:color="000000" w:sz="4" w:space="0"/>
            </w:tcBorders>
            <w:noWrap/>
            <w:vAlign w:val="center"/>
          </w:tcPr>
          <w:p w14:paraId="7C25197D">
            <w:pPr>
              <w:widowControl/>
              <w:jc w:val="left"/>
              <w:textAlignment w:val="center"/>
              <w:rPr>
                <w:szCs w:val="21"/>
              </w:rPr>
            </w:pPr>
            <w:r>
              <w:rPr>
                <w:kern w:val="0"/>
                <w:szCs w:val="21"/>
                <w:lang w:bidi="ar"/>
              </w:rPr>
              <w:t>办公生活区设置情况</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14:paraId="465D6534">
            <w:pPr>
              <w:widowControl/>
              <w:jc w:val="left"/>
              <w:textAlignment w:val="center"/>
              <w:rPr>
                <w:szCs w:val="21"/>
              </w:rPr>
            </w:pPr>
            <w:r>
              <w:rPr>
                <w:kern w:val="0"/>
                <w:szCs w:val="21"/>
                <w:lang w:bidi="ar"/>
              </w:rPr>
              <w:t>人员配置</w:t>
            </w:r>
          </w:p>
        </w:tc>
        <w:tc>
          <w:tcPr>
            <w:tcW w:w="1011" w:type="pct"/>
            <w:tcBorders>
              <w:top w:val="single" w:color="000000" w:sz="4" w:space="0"/>
              <w:left w:val="single" w:color="000000" w:sz="4" w:space="0"/>
              <w:bottom w:val="single" w:color="000000" w:sz="4" w:space="0"/>
              <w:right w:val="single" w:color="000000" w:sz="4" w:space="0"/>
            </w:tcBorders>
            <w:noWrap w:val="0"/>
            <w:vAlign w:val="center"/>
          </w:tcPr>
          <w:p w14:paraId="0AAC566F">
            <w:pPr>
              <w:widowControl/>
              <w:jc w:val="left"/>
              <w:textAlignment w:val="center"/>
              <w:rPr>
                <w:szCs w:val="21"/>
              </w:rPr>
            </w:pPr>
            <w:r>
              <w:rPr>
                <w:kern w:val="0"/>
                <w:szCs w:val="21"/>
                <w:lang w:bidi="ar"/>
              </w:rPr>
              <w:t>用水定额（L/人·d）</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14:paraId="3098AEA3">
            <w:pPr>
              <w:widowControl/>
              <w:jc w:val="left"/>
              <w:textAlignment w:val="center"/>
              <w:rPr>
                <w:szCs w:val="21"/>
              </w:rPr>
            </w:pPr>
            <w:r>
              <w:rPr>
                <w:kern w:val="0"/>
                <w:szCs w:val="21"/>
                <w:lang w:bidi="ar"/>
              </w:rPr>
              <w:t>年用水量（m3/a）</w:t>
            </w:r>
          </w:p>
        </w:tc>
      </w:tr>
      <w:tr w14:paraId="4F2EAD4B">
        <w:tblPrEx>
          <w:tblCellMar>
            <w:top w:w="0" w:type="dxa"/>
            <w:left w:w="108" w:type="dxa"/>
            <w:bottom w:w="0" w:type="dxa"/>
            <w:right w:w="108" w:type="dxa"/>
          </w:tblCellMar>
        </w:tblPrEx>
        <w:trPr>
          <w:trHeight w:val="312" w:hRule="atLeast"/>
        </w:trPr>
        <w:tc>
          <w:tcPr>
            <w:tcW w:w="855" w:type="pct"/>
            <w:vMerge w:val="restart"/>
            <w:tcBorders>
              <w:top w:val="single" w:color="000000" w:sz="4" w:space="0"/>
              <w:left w:val="single" w:color="000000" w:sz="4" w:space="0"/>
              <w:bottom w:val="single" w:color="000000" w:sz="4" w:space="0"/>
              <w:right w:val="single" w:color="000000" w:sz="4" w:space="0"/>
            </w:tcBorders>
            <w:noWrap/>
            <w:vAlign w:val="center"/>
          </w:tcPr>
          <w:p w14:paraId="5B5E7874">
            <w:pPr>
              <w:widowControl/>
              <w:jc w:val="center"/>
              <w:textAlignment w:val="center"/>
              <w:rPr>
                <w:szCs w:val="21"/>
              </w:rPr>
            </w:pPr>
            <w:r>
              <w:rPr>
                <w:kern w:val="0"/>
                <w:szCs w:val="21"/>
                <w:lang w:bidi="ar"/>
              </w:rPr>
              <w:t>1号地</w:t>
            </w:r>
          </w:p>
        </w:tc>
        <w:tc>
          <w:tcPr>
            <w:tcW w:w="1401" w:type="pct"/>
            <w:vMerge w:val="restart"/>
            <w:tcBorders>
              <w:top w:val="single" w:color="000000" w:sz="4" w:space="0"/>
              <w:left w:val="single" w:color="000000" w:sz="4" w:space="0"/>
              <w:bottom w:val="single" w:color="000000" w:sz="4" w:space="0"/>
              <w:right w:val="single" w:color="000000" w:sz="4" w:space="0"/>
            </w:tcBorders>
            <w:noWrap w:val="0"/>
            <w:vAlign w:val="center"/>
          </w:tcPr>
          <w:p w14:paraId="6BCF3902">
            <w:pPr>
              <w:widowControl/>
              <w:jc w:val="center"/>
              <w:textAlignment w:val="center"/>
              <w:rPr>
                <w:szCs w:val="21"/>
              </w:rPr>
            </w:pPr>
            <w:r>
              <w:rPr>
                <w:kern w:val="0"/>
                <w:szCs w:val="21"/>
                <w:lang w:bidi="ar"/>
              </w:rPr>
              <w:t>设置1个办公生活区</w:t>
            </w:r>
          </w:p>
        </w:tc>
        <w:tc>
          <w:tcPr>
            <w:tcW w:w="800" w:type="pct"/>
            <w:vMerge w:val="restart"/>
            <w:tcBorders>
              <w:top w:val="single" w:color="000000" w:sz="4" w:space="0"/>
              <w:left w:val="single" w:color="000000" w:sz="4" w:space="0"/>
              <w:bottom w:val="single" w:color="000000" w:sz="4" w:space="0"/>
              <w:right w:val="single" w:color="000000" w:sz="4" w:space="0"/>
            </w:tcBorders>
            <w:noWrap w:val="0"/>
            <w:vAlign w:val="center"/>
          </w:tcPr>
          <w:p w14:paraId="66E4F5E0">
            <w:pPr>
              <w:widowControl/>
              <w:jc w:val="center"/>
              <w:textAlignment w:val="center"/>
              <w:rPr>
                <w:szCs w:val="21"/>
              </w:rPr>
            </w:pPr>
            <w:r>
              <w:rPr>
                <w:kern w:val="0"/>
                <w:szCs w:val="21"/>
                <w:lang w:bidi="ar"/>
              </w:rPr>
              <w:t>4人</w:t>
            </w:r>
          </w:p>
        </w:tc>
        <w:tc>
          <w:tcPr>
            <w:tcW w:w="1011" w:type="pct"/>
            <w:vMerge w:val="restart"/>
            <w:tcBorders>
              <w:top w:val="single" w:color="000000" w:sz="4" w:space="0"/>
              <w:left w:val="single" w:color="000000" w:sz="4" w:space="0"/>
              <w:bottom w:val="single" w:color="000000" w:sz="4" w:space="0"/>
              <w:right w:val="single" w:color="000000" w:sz="4" w:space="0"/>
            </w:tcBorders>
            <w:noWrap w:val="0"/>
            <w:vAlign w:val="center"/>
          </w:tcPr>
          <w:p w14:paraId="19F3699A">
            <w:pPr>
              <w:widowControl/>
              <w:jc w:val="center"/>
              <w:textAlignment w:val="center"/>
              <w:rPr>
                <w:szCs w:val="21"/>
              </w:rPr>
            </w:pPr>
            <w:r>
              <w:rPr>
                <w:kern w:val="0"/>
                <w:szCs w:val="21"/>
                <w:lang w:bidi="ar"/>
              </w:rPr>
              <w:t xml:space="preserve">100.00 </w:t>
            </w:r>
          </w:p>
        </w:tc>
        <w:tc>
          <w:tcPr>
            <w:tcW w:w="931" w:type="pct"/>
            <w:vMerge w:val="restart"/>
            <w:tcBorders>
              <w:top w:val="single" w:color="000000" w:sz="4" w:space="0"/>
              <w:left w:val="single" w:color="000000" w:sz="4" w:space="0"/>
              <w:bottom w:val="single" w:color="000000" w:sz="4" w:space="0"/>
              <w:right w:val="single" w:color="000000" w:sz="4" w:space="0"/>
            </w:tcBorders>
            <w:noWrap w:val="0"/>
            <w:vAlign w:val="center"/>
          </w:tcPr>
          <w:p w14:paraId="5524AFA3">
            <w:pPr>
              <w:widowControl/>
              <w:jc w:val="center"/>
              <w:textAlignment w:val="center"/>
              <w:rPr>
                <w:szCs w:val="21"/>
              </w:rPr>
            </w:pPr>
            <w:r>
              <w:rPr>
                <w:kern w:val="0"/>
                <w:szCs w:val="21"/>
                <w:lang w:bidi="ar"/>
              </w:rPr>
              <w:t xml:space="preserve">146.00 </w:t>
            </w:r>
          </w:p>
        </w:tc>
      </w:tr>
      <w:tr w14:paraId="2047AC93">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2CF8FE31">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1DDC61">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852D70">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950BAD">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924777">
            <w:pPr>
              <w:jc w:val="center"/>
              <w:rPr>
                <w:szCs w:val="21"/>
              </w:rPr>
            </w:pPr>
          </w:p>
        </w:tc>
      </w:tr>
      <w:tr w14:paraId="5B9DA6E6">
        <w:tblPrEx>
          <w:tblCellMar>
            <w:top w:w="0" w:type="dxa"/>
            <w:left w:w="108" w:type="dxa"/>
            <w:bottom w:w="0" w:type="dxa"/>
            <w:right w:w="108" w:type="dxa"/>
          </w:tblCellMar>
        </w:tblPrEx>
        <w:trPr>
          <w:trHeight w:val="312" w:hRule="atLeast"/>
        </w:trPr>
        <w:tc>
          <w:tcPr>
            <w:tcW w:w="855" w:type="pct"/>
            <w:vMerge w:val="restart"/>
            <w:tcBorders>
              <w:top w:val="single" w:color="000000" w:sz="4" w:space="0"/>
              <w:left w:val="single" w:color="000000" w:sz="4" w:space="0"/>
              <w:bottom w:val="single" w:color="000000" w:sz="4" w:space="0"/>
              <w:right w:val="single" w:color="000000" w:sz="4" w:space="0"/>
            </w:tcBorders>
            <w:noWrap/>
            <w:vAlign w:val="center"/>
          </w:tcPr>
          <w:p w14:paraId="5DCBF3EB">
            <w:pPr>
              <w:widowControl/>
              <w:jc w:val="center"/>
              <w:textAlignment w:val="center"/>
              <w:rPr>
                <w:szCs w:val="21"/>
              </w:rPr>
            </w:pPr>
            <w:r>
              <w:rPr>
                <w:kern w:val="0"/>
                <w:szCs w:val="21"/>
                <w:lang w:bidi="ar"/>
              </w:rPr>
              <w:t>2号地</w:t>
            </w:r>
          </w:p>
        </w:tc>
        <w:tc>
          <w:tcPr>
            <w:tcW w:w="1401" w:type="pct"/>
            <w:vMerge w:val="restart"/>
            <w:tcBorders>
              <w:top w:val="single" w:color="000000" w:sz="4" w:space="0"/>
              <w:left w:val="single" w:color="000000" w:sz="4" w:space="0"/>
              <w:bottom w:val="single" w:color="000000" w:sz="4" w:space="0"/>
              <w:right w:val="single" w:color="000000" w:sz="4" w:space="0"/>
            </w:tcBorders>
            <w:noWrap w:val="0"/>
            <w:vAlign w:val="center"/>
          </w:tcPr>
          <w:p w14:paraId="049F3394">
            <w:pPr>
              <w:widowControl/>
              <w:jc w:val="center"/>
              <w:textAlignment w:val="center"/>
              <w:rPr>
                <w:szCs w:val="21"/>
              </w:rPr>
            </w:pPr>
            <w:r>
              <w:rPr>
                <w:kern w:val="0"/>
                <w:szCs w:val="21"/>
                <w:lang w:bidi="ar"/>
              </w:rPr>
              <w:t>共同设置1个办公生活区</w:t>
            </w:r>
          </w:p>
        </w:tc>
        <w:tc>
          <w:tcPr>
            <w:tcW w:w="800" w:type="pct"/>
            <w:vMerge w:val="restart"/>
            <w:tcBorders>
              <w:top w:val="single" w:color="000000" w:sz="4" w:space="0"/>
              <w:left w:val="single" w:color="000000" w:sz="4" w:space="0"/>
              <w:bottom w:val="single" w:color="000000" w:sz="4" w:space="0"/>
              <w:right w:val="single" w:color="000000" w:sz="4" w:space="0"/>
            </w:tcBorders>
            <w:noWrap w:val="0"/>
            <w:vAlign w:val="center"/>
          </w:tcPr>
          <w:p w14:paraId="60ECAAAE">
            <w:pPr>
              <w:widowControl/>
              <w:jc w:val="center"/>
              <w:textAlignment w:val="center"/>
              <w:rPr>
                <w:szCs w:val="21"/>
              </w:rPr>
            </w:pPr>
            <w:r>
              <w:rPr>
                <w:kern w:val="0"/>
                <w:szCs w:val="21"/>
                <w:lang w:bidi="ar"/>
              </w:rPr>
              <w:t>14人</w:t>
            </w:r>
          </w:p>
        </w:tc>
        <w:tc>
          <w:tcPr>
            <w:tcW w:w="1011" w:type="pct"/>
            <w:vMerge w:val="restart"/>
            <w:tcBorders>
              <w:top w:val="single" w:color="000000" w:sz="4" w:space="0"/>
              <w:left w:val="single" w:color="000000" w:sz="4" w:space="0"/>
              <w:bottom w:val="single" w:color="000000" w:sz="4" w:space="0"/>
              <w:right w:val="single" w:color="000000" w:sz="4" w:space="0"/>
            </w:tcBorders>
            <w:noWrap w:val="0"/>
            <w:vAlign w:val="center"/>
          </w:tcPr>
          <w:p w14:paraId="0141979C">
            <w:pPr>
              <w:widowControl/>
              <w:jc w:val="center"/>
              <w:textAlignment w:val="center"/>
              <w:rPr>
                <w:szCs w:val="21"/>
              </w:rPr>
            </w:pPr>
            <w:r>
              <w:rPr>
                <w:kern w:val="0"/>
                <w:szCs w:val="21"/>
                <w:lang w:bidi="ar"/>
              </w:rPr>
              <w:t xml:space="preserve">100.00 </w:t>
            </w:r>
          </w:p>
        </w:tc>
        <w:tc>
          <w:tcPr>
            <w:tcW w:w="931" w:type="pct"/>
            <w:vMerge w:val="restart"/>
            <w:tcBorders>
              <w:top w:val="single" w:color="000000" w:sz="4" w:space="0"/>
              <w:left w:val="single" w:color="000000" w:sz="4" w:space="0"/>
              <w:bottom w:val="single" w:color="000000" w:sz="4" w:space="0"/>
              <w:right w:val="single" w:color="000000" w:sz="4" w:space="0"/>
            </w:tcBorders>
            <w:noWrap w:val="0"/>
            <w:vAlign w:val="center"/>
          </w:tcPr>
          <w:p w14:paraId="6473E9FF">
            <w:pPr>
              <w:widowControl/>
              <w:jc w:val="center"/>
              <w:textAlignment w:val="center"/>
              <w:rPr>
                <w:szCs w:val="21"/>
              </w:rPr>
            </w:pPr>
            <w:r>
              <w:rPr>
                <w:kern w:val="0"/>
                <w:szCs w:val="21"/>
                <w:lang w:bidi="ar"/>
              </w:rPr>
              <w:t xml:space="preserve">511.00 </w:t>
            </w:r>
          </w:p>
        </w:tc>
      </w:tr>
      <w:tr w14:paraId="3BBF4E61">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006841DB">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360ABF">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3979CD">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D09637">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EA3E44">
            <w:pPr>
              <w:jc w:val="center"/>
              <w:rPr>
                <w:szCs w:val="21"/>
              </w:rPr>
            </w:pPr>
          </w:p>
        </w:tc>
      </w:tr>
      <w:tr w14:paraId="52B8DF81">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48FE42E0">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8B919D">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3EC91D">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933A6D">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307044">
            <w:pPr>
              <w:jc w:val="center"/>
              <w:rPr>
                <w:szCs w:val="21"/>
              </w:rPr>
            </w:pPr>
          </w:p>
        </w:tc>
      </w:tr>
      <w:tr w14:paraId="583E7D8A">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55CE5430">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D8FD47">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036DB6">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80B4B9">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BD9487">
            <w:pPr>
              <w:jc w:val="center"/>
              <w:rPr>
                <w:szCs w:val="21"/>
              </w:rPr>
            </w:pPr>
          </w:p>
        </w:tc>
      </w:tr>
      <w:tr w14:paraId="38B08EC4">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42578AD7">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EE7434">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7C4A24">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0EB789">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229469">
            <w:pPr>
              <w:jc w:val="center"/>
              <w:rPr>
                <w:szCs w:val="21"/>
              </w:rPr>
            </w:pPr>
          </w:p>
        </w:tc>
      </w:tr>
      <w:tr w14:paraId="5F0B714E">
        <w:tblPrEx>
          <w:tblCellMar>
            <w:top w:w="0" w:type="dxa"/>
            <w:left w:w="108" w:type="dxa"/>
            <w:bottom w:w="0" w:type="dxa"/>
            <w:right w:w="108" w:type="dxa"/>
          </w:tblCellMar>
        </w:tblPrEx>
        <w:trPr>
          <w:trHeight w:val="312" w:hRule="atLeast"/>
        </w:trPr>
        <w:tc>
          <w:tcPr>
            <w:tcW w:w="855" w:type="pct"/>
            <w:vMerge w:val="restart"/>
            <w:tcBorders>
              <w:top w:val="single" w:color="000000" w:sz="4" w:space="0"/>
              <w:left w:val="single" w:color="000000" w:sz="4" w:space="0"/>
              <w:bottom w:val="single" w:color="000000" w:sz="4" w:space="0"/>
              <w:right w:val="single" w:color="000000" w:sz="4" w:space="0"/>
            </w:tcBorders>
            <w:noWrap/>
            <w:vAlign w:val="center"/>
          </w:tcPr>
          <w:p w14:paraId="004D80C8">
            <w:pPr>
              <w:widowControl/>
              <w:jc w:val="center"/>
              <w:textAlignment w:val="center"/>
              <w:rPr>
                <w:szCs w:val="21"/>
              </w:rPr>
            </w:pPr>
            <w:r>
              <w:rPr>
                <w:kern w:val="0"/>
                <w:szCs w:val="21"/>
                <w:lang w:bidi="ar"/>
              </w:rPr>
              <w:t>3号地</w:t>
            </w: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EB0147">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F64298">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4D8FF9">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550ECD">
            <w:pPr>
              <w:jc w:val="center"/>
              <w:rPr>
                <w:szCs w:val="21"/>
              </w:rPr>
            </w:pPr>
          </w:p>
        </w:tc>
      </w:tr>
      <w:tr w14:paraId="64887FB4">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7AEA5385">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B2F980">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E02690">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DF6D2E">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D5A44">
            <w:pPr>
              <w:jc w:val="center"/>
              <w:rPr>
                <w:szCs w:val="21"/>
              </w:rPr>
            </w:pPr>
          </w:p>
        </w:tc>
      </w:tr>
      <w:tr w14:paraId="5A6FB512">
        <w:tblPrEx>
          <w:tblCellMar>
            <w:top w:w="0" w:type="dxa"/>
            <w:left w:w="108" w:type="dxa"/>
            <w:bottom w:w="0" w:type="dxa"/>
            <w:right w:w="108" w:type="dxa"/>
          </w:tblCellMar>
        </w:tblPrEx>
        <w:trPr>
          <w:trHeight w:val="312" w:hRule="atLeast"/>
        </w:trPr>
        <w:tc>
          <w:tcPr>
            <w:tcW w:w="855" w:type="pct"/>
            <w:vMerge w:val="restart"/>
            <w:tcBorders>
              <w:top w:val="single" w:color="000000" w:sz="4" w:space="0"/>
              <w:left w:val="single" w:color="000000" w:sz="4" w:space="0"/>
              <w:bottom w:val="single" w:color="000000" w:sz="4" w:space="0"/>
              <w:right w:val="single" w:color="000000" w:sz="4" w:space="0"/>
            </w:tcBorders>
            <w:noWrap/>
            <w:vAlign w:val="center"/>
          </w:tcPr>
          <w:p w14:paraId="5DD9CB4D">
            <w:pPr>
              <w:widowControl/>
              <w:jc w:val="center"/>
              <w:textAlignment w:val="center"/>
              <w:rPr>
                <w:szCs w:val="21"/>
              </w:rPr>
            </w:pPr>
            <w:r>
              <w:rPr>
                <w:kern w:val="0"/>
                <w:szCs w:val="21"/>
                <w:lang w:bidi="ar"/>
              </w:rPr>
              <w:t>4号地</w:t>
            </w:r>
          </w:p>
        </w:tc>
        <w:tc>
          <w:tcPr>
            <w:tcW w:w="1401" w:type="pct"/>
            <w:vMerge w:val="restart"/>
            <w:tcBorders>
              <w:top w:val="single" w:color="000000" w:sz="4" w:space="0"/>
              <w:left w:val="single" w:color="000000" w:sz="4" w:space="0"/>
              <w:bottom w:val="single" w:color="000000" w:sz="4" w:space="0"/>
              <w:right w:val="single" w:color="000000" w:sz="4" w:space="0"/>
            </w:tcBorders>
            <w:noWrap w:val="0"/>
            <w:vAlign w:val="center"/>
          </w:tcPr>
          <w:p w14:paraId="1C4B8C60">
            <w:pPr>
              <w:widowControl/>
              <w:jc w:val="center"/>
              <w:textAlignment w:val="center"/>
              <w:rPr>
                <w:szCs w:val="21"/>
              </w:rPr>
            </w:pPr>
            <w:r>
              <w:rPr>
                <w:kern w:val="0"/>
                <w:szCs w:val="21"/>
                <w:lang w:bidi="ar"/>
              </w:rPr>
              <w:t>设置1个办公生活区</w:t>
            </w:r>
          </w:p>
        </w:tc>
        <w:tc>
          <w:tcPr>
            <w:tcW w:w="800" w:type="pct"/>
            <w:vMerge w:val="restart"/>
            <w:tcBorders>
              <w:top w:val="single" w:color="000000" w:sz="4" w:space="0"/>
              <w:left w:val="single" w:color="000000" w:sz="4" w:space="0"/>
              <w:bottom w:val="single" w:color="000000" w:sz="4" w:space="0"/>
              <w:right w:val="single" w:color="000000" w:sz="4" w:space="0"/>
            </w:tcBorders>
            <w:noWrap w:val="0"/>
            <w:vAlign w:val="center"/>
          </w:tcPr>
          <w:p w14:paraId="1B80CB95">
            <w:pPr>
              <w:widowControl/>
              <w:jc w:val="center"/>
              <w:textAlignment w:val="center"/>
              <w:rPr>
                <w:szCs w:val="21"/>
              </w:rPr>
            </w:pPr>
            <w:r>
              <w:rPr>
                <w:kern w:val="0"/>
                <w:szCs w:val="21"/>
                <w:lang w:bidi="ar"/>
              </w:rPr>
              <w:t>6人</w:t>
            </w:r>
          </w:p>
        </w:tc>
        <w:tc>
          <w:tcPr>
            <w:tcW w:w="1011" w:type="pct"/>
            <w:vMerge w:val="restart"/>
            <w:tcBorders>
              <w:top w:val="single" w:color="000000" w:sz="4" w:space="0"/>
              <w:left w:val="single" w:color="000000" w:sz="4" w:space="0"/>
              <w:bottom w:val="single" w:color="000000" w:sz="4" w:space="0"/>
              <w:right w:val="single" w:color="000000" w:sz="4" w:space="0"/>
            </w:tcBorders>
            <w:noWrap w:val="0"/>
            <w:vAlign w:val="center"/>
          </w:tcPr>
          <w:p w14:paraId="0AAA9C2B">
            <w:pPr>
              <w:widowControl/>
              <w:jc w:val="center"/>
              <w:textAlignment w:val="center"/>
              <w:rPr>
                <w:szCs w:val="21"/>
              </w:rPr>
            </w:pPr>
            <w:r>
              <w:rPr>
                <w:kern w:val="0"/>
                <w:szCs w:val="21"/>
                <w:lang w:bidi="ar"/>
              </w:rPr>
              <w:t xml:space="preserve">100.00 </w:t>
            </w:r>
          </w:p>
        </w:tc>
        <w:tc>
          <w:tcPr>
            <w:tcW w:w="931" w:type="pct"/>
            <w:vMerge w:val="restart"/>
            <w:tcBorders>
              <w:top w:val="single" w:color="000000" w:sz="4" w:space="0"/>
              <w:left w:val="single" w:color="000000" w:sz="4" w:space="0"/>
              <w:bottom w:val="single" w:color="000000" w:sz="4" w:space="0"/>
              <w:right w:val="single" w:color="000000" w:sz="4" w:space="0"/>
            </w:tcBorders>
            <w:noWrap w:val="0"/>
            <w:vAlign w:val="center"/>
          </w:tcPr>
          <w:p w14:paraId="360FD90A">
            <w:pPr>
              <w:widowControl/>
              <w:jc w:val="center"/>
              <w:textAlignment w:val="center"/>
              <w:rPr>
                <w:szCs w:val="21"/>
              </w:rPr>
            </w:pPr>
            <w:r>
              <w:rPr>
                <w:kern w:val="0"/>
                <w:szCs w:val="21"/>
                <w:lang w:bidi="ar"/>
              </w:rPr>
              <w:t xml:space="preserve">219.00 </w:t>
            </w:r>
          </w:p>
        </w:tc>
      </w:tr>
      <w:tr w14:paraId="2CD7AA3E">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223A76E4">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FF00E7">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8D2598">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3F2C59">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F820B9">
            <w:pPr>
              <w:jc w:val="center"/>
              <w:rPr>
                <w:szCs w:val="21"/>
              </w:rPr>
            </w:pPr>
          </w:p>
        </w:tc>
      </w:tr>
      <w:tr w14:paraId="0C067A6F">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488CF05B">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C820D9">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43E850">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ABA253">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72287D">
            <w:pPr>
              <w:jc w:val="center"/>
              <w:rPr>
                <w:szCs w:val="21"/>
              </w:rPr>
            </w:pPr>
          </w:p>
        </w:tc>
      </w:tr>
      <w:tr w14:paraId="2B8EF95C">
        <w:tblPrEx>
          <w:tblCellMar>
            <w:top w:w="0" w:type="dxa"/>
            <w:left w:w="108" w:type="dxa"/>
            <w:bottom w:w="0" w:type="dxa"/>
            <w:right w:w="108" w:type="dxa"/>
          </w:tblCellMar>
        </w:tblPrEx>
        <w:trPr>
          <w:trHeight w:val="312" w:hRule="atLeast"/>
        </w:trPr>
        <w:tc>
          <w:tcPr>
            <w:tcW w:w="855" w:type="pct"/>
            <w:vMerge w:val="restart"/>
            <w:tcBorders>
              <w:top w:val="single" w:color="000000" w:sz="4" w:space="0"/>
              <w:left w:val="single" w:color="000000" w:sz="4" w:space="0"/>
              <w:bottom w:val="single" w:color="000000" w:sz="4" w:space="0"/>
              <w:right w:val="single" w:color="000000" w:sz="4" w:space="0"/>
            </w:tcBorders>
            <w:noWrap/>
            <w:vAlign w:val="center"/>
          </w:tcPr>
          <w:p w14:paraId="5C604BA0">
            <w:pPr>
              <w:widowControl/>
              <w:jc w:val="center"/>
              <w:textAlignment w:val="center"/>
              <w:rPr>
                <w:szCs w:val="21"/>
              </w:rPr>
            </w:pPr>
            <w:r>
              <w:rPr>
                <w:kern w:val="0"/>
                <w:szCs w:val="21"/>
                <w:lang w:bidi="ar"/>
              </w:rPr>
              <w:t>5号地</w:t>
            </w:r>
          </w:p>
        </w:tc>
        <w:tc>
          <w:tcPr>
            <w:tcW w:w="1401" w:type="pct"/>
            <w:vMerge w:val="restart"/>
            <w:tcBorders>
              <w:top w:val="single" w:color="000000" w:sz="4" w:space="0"/>
              <w:left w:val="single" w:color="000000" w:sz="4" w:space="0"/>
              <w:bottom w:val="single" w:color="000000" w:sz="4" w:space="0"/>
              <w:right w:val="single" w:color="000000" w:sz="4" w:space="0"/>
            </w:tcBorders>
            <w:noWrap w:val="0"/>
            <w:vAlign w:val="center"/>
          </w:tcPr>
          <w:p w14:paraId="659BBCD2">
            <w:pPr>
              <w:widowControl/>
              <w:jc w:val="center"/>
              <w:textAlignment w:val="center"/>
              <w:rPr>
                <w:szCs w:val="21"/>
              </w:rPr>
            </w:pPr>
            <w:r>
              <w:rPr>
                <w:kern w:val="0"/>
                <w:szCs w:val="21"/>
                <w:lang w:bidi="ar"/>
              </w:rPr>
              <w:t>设置1个办公生活区</w:t>
            </w:r>
          </w:p>
        </w:tc>
        <w:tc>
          <w:tcPr>
            <w:tcW w:w="800" w:type="pct"/>
            <w:vMerge w:val="restart"/>
            <w:tcBorders>
              <w:top w:val="single" w:color="000000" w:sz="4" w:space="0"/>
              <w:left w:val="single" w:color="000000" w:sz="4" w:space="0"/>
              <w:bottom w:val="single" w:color="000000" w:sz="4" w:space="0"/>
              <w:right w:val="single" w:color="000000" w:sz="4" w:space="0"/>
            </w:tcBorders>
            <w:noWrap w:val="0"/>
            <w:vAlign w:val="center"/>
          </w:tcPr>
          <w:p w14:paraId="73276C3D">
            <w:pPr>
              <w:widowControl/>
              <w:jc w:val="center"/>
              <w:textAlignment w:val="center"/>
              <w:rPr>
                <w:szCs w:val="21"/>
              </w:rPr>
            </w:pPr>
            <w:r>
              <w:rPr>
                <w:kern w:val="0"/>
                <w:szCs w:val="21"/>
                <w:lang w:bidi="ar"/>
              </w:rPr>
              <w:t>12人</w:t>
            </w:r>
          </w:p>
        </w:tc>
        <w:tc>
          <w:tcPr>
            <w:tcW w:w="1011" w:type="pct"/>
            <w:vMerge w:val="restart"/>
            <w:tcBorders>
              <w:top w:val="single" w:color="000000" w:sz="4" w:space="0"/>
              <w:left w:val="single" w:color="000000" w:sz="4" w:space="0"/>
              <w:bottom w:val="single" w:color="000000" w:sz="4" w:space="0"/>
              <w:right w:val="single" w:color="000000" w:sz="4" w:space="0"/>
            </w:tcBorders>
            <w:noWrap w:val="0"/>
            <w:vAlign w:val="center"/>
          </w:tcPr>
          <w:p w14:paraId="61F6E7C5">
            <w:pPr>
              <w:widowControl/>
              <w:jc w:val="center"/>
              <w:textAlignment w:val="center"/>
              <w:rPr>
                <w:szCs w:val="21"/>
              </w:rPr>
            </w:pPr>
            <w:r>
              <w:rPr>
                <w:kern w:val="0"/>
                <w:szCs w:val="21"/>
                <w:lang w:bidi="ar"/>
              </w:rPr>
              <w:t xml:space="preserve">100.00 </w:t>
            </w:r>
          </w:p>
        </w:tc>
        <w:tc>
          <w:tcPr>
            <w:tcW w:w="931" w:type="pct"/>
            <w:vMerge w:val="restart"/>
            <w:tcBorders>
              <w:top w:val="single" w:color="000000" w:sz="4" w:space="0"/>
              <w:left w:val="single" w:color="000000" w:sz="4" w:space="0"/>
              <w:bottom w:val="single" w:color="000000" w:sz="4" w:space="0"/>
              <w:right w:val="single" w:color="000000" w:sz="4" w:space="0"/>
            </w:tcBorders>
            <w:noWrap w:val="0"/>
            <w:vAlign w:val="center"/>
          </w:tcPr>
          <w:p w14:paraId="6BDA3FCD">
            <w:pPr>
              <w:widowControl/>
              <w:jc w:val="center"/>
              <w:textAlignment w:val="center"/>
              <w:rPr>
                <w:szCs w:val="21"/>
              </w:rPr>
            </w:pPr>
            <w:r>
              <w:rPr>
                <w:kern w:val="0"/>
                <w:szCs w:val="21"/>
                <w:lang w:bidi="ar"/>
              </w:rPr>
              <w:t xml:space="preserve">438.00 </w:t>
            </w:r>
          </w:p>
        </w:tc>
      </w:tr>
      <w:tr w14:paraId="6D94FEF9">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73D5DC35">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8C1433">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BF963D">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782136">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5E6B8E">
            <w:pPr>
              <w:jc w:val="center"/>
              <w:rPr>
                <w:szCs w:val="21"/>
              </w:rPr>
            </w:pPr>
          </w:p>
        </w:tc>
      </w:tr>
      <w:tr w14:paraId="1FB61081">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274D1247">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2EC10C">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240F84">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E1032D">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6557C0">
            <w:pPr>
              <w:jc w:val="center"/>
              <w:rPr>
                <w:szCs w:val="21"/>
              </w:rPr>
            </w:pPr>
          </w:p>
        </w:tc>
      </w:tr>
      <w:tr w14:paraId="56C83B39">
        <w:tblPrEx>
          <w:tblCellMar>
            <w:top w:w="0" w:type="dxa"/>
            <w:left w:w="108" w:type="dxa"/>
            <w:bottom w:w="0" w:type="dxa"/>
            <w:right w:w="108" w:type="dxa"/>
          </w:tblCellMar>
        </w:tblPrEx>
        <w:trPr>
          <w:trHeight w:val="312" w:hRule="atLeast"/>
        </w:trPr>
        <w:tc>
          <w:tcPr>
            <w:tcW w:w="855" w:type="pct"/>
            <w:vMerge w:val="continue"/>
            <w:tcBorders>
              <w:top w:val="single" w:color="000000" w:sz="4" w:space="0"/>
              <w:left w:val="single" w:color="000000" w:sz="4" w:space="0"/>
              <w:bottom w:val="single" w:color="000000" w:sz="4" w:space="0"/>
              <w:right w:val="single" w:color="000000" w:sz="4" w:space="0"/>
            </w:tcBorders>
            <w:noWrap/>
            <w:vAlign w:val="center"/>
          </w:tcPr>
          <w:p w14:paraId="4ED3EF94">
            <w:pPr>
              <w:jc w:val="center"/>
              <w:rPr>
                <w:szCs w:val="21"/>
              </w:rPr>
            </w:pPr>
          </w:p>
        </w:tc>
        <w:tc>
          <w:tcPr>
            <w:tcW w:w="140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46216">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82C4F">
            <w:pPr>
              <w:jc w:val="center"/>
              <w:rPr>
                <w:szCs w:val="21"/>
              </w:rPr>
            </w:pPr>
          </w:p>
        </w:tc>
        <w:tc>
          <w:tcPr>
            <w:tcW w:w="101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476110">
            <w:pPr>
              <w:jc w:val="center"/>
              <w:rPr>
                <w:szCs w:val="21"/>
              </w:rPr>
            </w:pPr>
          </w:p>
        </w:tc>
        <w:tc>
          <w:tcPr>
            <w:tcW w:w="9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B85757">
            <w:pPr>
              <w:jc w:val="center"/>
              <w:rPr>
                <w:szCs w:val="21"/>
              </w:rPr>
            </w:pPr>
          </w:p>
        </w:tc>
      </w:tr>
      <w:tr w14:paraId="34523856">
        <w:tblPrEx>
          <w:tblCellMar>
            <w:top w:w="0" w:type="dxa"/>
            <w:left w:w="108" w:type="dxa"/>
            <w:bottom w:w="0" w:type="dxa"/>
            <w:right w:w="108" w:type="dxa"/>
          </w:tblCellMar>
        </w:tblPrEx>
        <w:trPr>
          <w:trHeight w:val="23" w:hRule="atLeast"/>
        </w:trPr>
        <w:tc>
          <w:tcPr>
            <w:tcW w:w="4068" w:type="pct"/>
            <w:gridSpan w:val="4"/>
            <w:tcBorders>
              <w:top w:val="single" w:color="000000" w:sz="4" w:space="0"/>
              <w:left w:val="single" w:color="000000" w:sz="4" w:space="0"/>
              <w:bottom w:val="single" w:color="000000" w:sz="4" w:space="0"/>
              <w:right w:val="single" w:color="000000" w:sz="4" w:space="0"/>
            </w:tcBorders>
            <w:noWrap/>
            <w:vAlign w:val="center"/>
          </w:tcPr>
          <w:p w14:paraId="4D0A3411">
            <w:pPr>
              <w:widowControl/>
              <w:jc w:val="center"/>
              <w:textAlignment w:val="center"/>
              <w:rPr>
                <w:szCs w:val="21"/>
              </w:rPr>
            </w:pPr>
            <w:r>
              <w:rPr>
                <w:kern w:val="0"/>
                <w:szCs w:val="21"/>
                <w:lang w:bidi="ar"/>
              </w:rPr>
              <w:t>合计</w:t>
            </w:r>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3C1CA8E">
            <w:pPr>
              <w:widowControl/>
              <w:jc w:val="center"/>
              <w:textAlignment w:val="center"/>
              <w:rPr>
                <w:szCs w:val="21"/>
              </w:rPr>
            </w:pPr>
            <w:r>
              <w:rPr>
                <w:kern w:val="0"/>
                <w:szCs w:val="21"/>
                <w:lang w:bidi="ar"/>
              </w:rPr>
              <w:t>1314</w:t>
            </w:r>
          </w:p>
        </w:tc>
      </w:tr>
    </w:tbl>
    <w:p w14:paraId="684AE921">
      <w:pPr>
        <w:pStyle w:val="10"/>
        <w:spacing w:line="360" w:lineRule="auto"/>
        <w:ind w:firstLine="482"/>
        <w:rPr>
          <w:b/>
          <w:sz w:val="24"/>
        </w:rPr>
      </w:pPr>
      <w:r>
        <w:rPr>
          <w:b/>
          <w:sz w:val="24"/>
        </w:rPr>
        <w:t>4、固粪处理区水帘装置用水</w:t>
      </w:r>
    </w:p>
    <w:p w14:paraId="0CE2D07A">
      <w:pPr>
        <w:pStyle w:val="10"/>
        <w:spacing w:line="360" w:lineRule="auto"/>
        <w:ind w:firstLine="480"/>
        <w:rPr>
          <w:sz w:val="24"/>
        </w:rPr>
      </w:pPr>
      <w:r>
        <w:rPr>
          <w:sz w:val="24"/>
        </w:rPr>
        <w:t>针对固粪处理区的恶臭气体，本项目</w:t>
      </w:r>
      <w:r>
        <w:rPr>
          <w:rFonts w:hint="eastAsia"/>
          <w:sz w:val="24"/>
        </w:rPr>
        <w:t xml:space="preserve"> </w:t>
      </w:r>
      <w:r>
        <w:rPr>
          <w:sz w:val="24"/>
        </w:rPr>
        <w:t>水帘生物除臭的方式进行除臭，此过程需要用水，根据建设单位提供的资料，水量装置中的水采用循环使用，定期补水的方式，每个地块水帘生物除臭循环水量为0.5m</w:t>
      </w:r>
      <w:r>
        <w:rPr>
          <w:sz w:val="24"/>
          <w:vertAlign w:val="superscript"/>
        </w:rPr>
        <w:t>3</w:t>
      </w:r>
      <w:r>
        <w:rPr>
          <w:sz w:val="24"/>
        </w:rPr>
        <w:t>/h，蒸发损耗量为0.005m</w:t>
      </w:r>
      <w:r>
        <w:rPr>
          <w:sz w:val="24"/>
          <w:vertAlign w:val="superscript"/>
        </w:rPr>
        <w:t>3</w:t>
      </w:r>
      <w:r>
        <w:rPr>
          <w:sz w:val="24"/>
        </w:rPr>
        <w:t>/h（0.12m</w:t>
      </w:r>
      <w:r>
        <w:rPr>
          <w:sz w:val="24"/>
          <w:vertAlign w:val="superscript"/>
        </w:rPr>
        <w:t>3</w:t>
      </w:r>
      <w:r>
        <w:rPr>
          <w:sz w:val="24"/>
        </w:rPr>
        <w:t>/d，43.8m</w:t>
      </w:r>
      <w:r>
        <w:rPr>
          <w:sz w:val="24"/>
          <w:vertAlign w:val="superscript"/>
        </w:rPr>
        <w:t>3</w:t>
      </w:r>
      <w:r>
        <w:rPr>
          <w:sz w:val="24"/>
        </w:rPr>
        <w:t>/a），每个地块补水量为0.12m</w:t>
      </w:r>
      <w:r>
        <w:rPr>
          <w:sz w:val="24"/>
          <w:vertAlign w:val="superscript"/>
        </w:rPr>
        <w:t>3</w:t>
      </w:r>
      <w:r>
        <w:rPr>
          <w:sz w:val="24"/>
        </w:rPr>
        <w:t>/d（43.8m</w:t>
      </w:r>
      <w:r>
        <w:rPr>
          <w:sz w:val="24"/>
          <w:vertAlign w:val="superscript"/>
        </w:rPr>
        <w:t>3</w:t>
      </w:r>
      <w:r>
        <w:rPr>
          <w:sz w:val="24"/>
        </w:rPr>
        <w:t>/a），5个养殖场地共计补水量219m</w:t>
      </w:r>
      <w:r>
        <w:rPr>
          <w:sz w:val="24"/>
          <w:vertAlign w:val="superscript"/>
        </w:rPr>
        <w:t>3</w:t>
      </w:r>
      <w:r>
        <w:rPr>
          <w:sz w:val="24"/>
        </w:rPr>
        <w:t>/a。</w:t>
      </w:r>
    </w:p>
    <w:p w14:paraId="07319516">
      <w:pPr>
        <w:pStyle w:val="10"/>
        <w:spacing w:line="360" w:lineRule="auto"/>
        <w:ind w:firstLine="482"/>
        <w:rPr>
          <w:b/>
          <w:sz w:val="24"/>
        </w:rPr>
      </w:pPr>
      <w:r>
        <w:rPr>
          <w:b/>
          <w:sz w:val="24"/>
        </w:rPr>
        <w:t>5、消毒用水</w:t>
      </w:r>
    </w:p>
    <w:p w14:paraId="2CD286C9">
      <w:pPr>
        <w:pStyle w:val="10"/>
        <w:spacing w:line="360" w:lineRule="auto"/>
        <w:ind w:firstLine="480"/>
        <w:rPr>
          <w:sz w:val="24"/>
        </w:rPr>
      </w:pPr>
      <w:r>
        <w:rPr>
          <w:sz w:val="24"/>
        </w:rPr>
        <w:t>根据消毒剂与水配比的稀释比例，兑水比例约为1:200，项目消毒剂及除臭剂用量为1000L/a，项目消毒用水量为，200 m</w:t>
      </w:r>
      <w:r>
        <w:rPr>
          <w:sz w:val="24"/>
          <w:vertAlign w:val="superscript"/>
        </w:rPr>
        <w:t>3</w:t>
      </w:r>
      <w:r>
        <w:rPr>
          <w:sz w:val="24"/>
        </w:rPr>
        <w:t>/a。</w:t>
      </w:r>
    </w:p>
    <w:p w14:paraId="766F0FD6">
      <w:pPr>
        <w:pStyle w:val="2"/>
        <w:spacing w:line="360" w:lineRule="auto"/>
        <w:ind w:firstLine="480" w:firstLineChars="200"/>
        <w:rPr>
          <w:rFonts w:ascii="Times New Roman" w:hAnsi="Times New Roman"/>
          <w:color w:val="auto"/>
          <w:lang w:bidi="zh-CN"/>
        </w:rPr>
      </w:pPr>
      <w:r>
        <w:rPr>
          <w:rFonts w:ascii="Times New Roman" w:hAnsi="Times New Roman"/>
          <w:color w:val="auto"/>
          <w:lang w:bidi="zh-CN"/>
        </w:rPr>
        <w:t>本项目用水情况一览表见表3.3-5。</w:t>
      </w:r>
    </w:p>
    <w:p w14:paraId="6ACCD6F7">
      <w:pPr>
        <w:tabs>
          <w:tab w:val="left" w:pos="840"/>
        </w:tabs>
        <w:spacing w:line="360" w:lineRule="auto"/>
        <w:jc w:val="center"/>
        <w:rPr>
          <w:b/>
          <w:sz w:val="24"/>
        </w:rPr>
      </w:pPr>
      <w:r>
        <w:rPr>
          <w:b/>
          <w:sz w:val="24"/>
        </w:rPr>
        <w:t>表3.3-5用水情况一览表</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4321"/>
        <w:gridCol w:w="3097"/>
      </w:tblGrid>
      <w:tr w14:paraId="460D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noWrap w:val="0"/>
            <w:vAlign w:val="center"/>
          </w:tcPr>
          <w:p w14:paraId="29CFFC17">
            <w:pPr>
              <w:pStyle w:val="74"/>
              <w:ind w:left="0"/>
              <w:jc w:val="center"/>
              <w:rPr>
                <w:sz w:val="21"/>
                <w:szCs w:val="21"/>
              </w:rPr>
            </w:pPr>
            <w:r>
              <w:rPr>
                <w:sz w:val="21"/>
                <w:szCs w:val="21"/>
              </w:rPr>
              <w:t>序号</w:t>
            </w:r>
          </w:p>
        </w:tc>
        <w:tc>
          <w:tcPr>
            <w:tcW w:w="2534" w:type="pct"/>
            <w:noWrap w:val="0"/>
            <w:vAlign w:val="center"/>
          </w:tcPr>
          <w:p w14:paraId="13289C5F">
            <w:pPr>
              <w:pStyle w:val="74"/>
              <w:ind w:left="0"/>
              <w:jc w:val="center"/>
              <w:rPr>
                <w:sz w:val="21"/>
                <w:szCs w:val="21"/>
                <w:lang w:eastAsia="zh-CN"/>
              </w:rPr>
            </w:pPr>
            <w:r>
              <w:rPr>
                <w:sz w:val="21"/>
                <w:szCs w:val="21"/>
              </w:rPr>
              <w:t>用水</w:t>
            </w:r>
            <w:r>
              <w:rPr>
                <w:sz w:val="21"/>
                <w:szCs w:val="21"/>
                <w:lang w:eastAsia="zh-CN"/>
              </w:rPr>
              <w:t>项目</w:t>
            </w:r>
          </w:p>
        </w:tc>
        <w:tc>
          <w:tcPr>
            <w:tcW w:w="1816" w:type="pct"/>
            <w:noWrap w:val="0"/>
            <w:vAlign w:val="center"/>
          </w:tcPr>
          <w:p w14:paraId="05ED2246">
            <w:pPr>
              <w:pStyle w:val="74"/>
              <w:ind w:left="0"/>
              <w:jc w:val="center"/>
              <w:rPr>
                <w:smallCaps w:val="0"/>
                <w:sz w:val="21"/>
                <w:szCs w:val="21"/>
              </w:rPr>
            </w:pPr>
            <w:r>
              <w:rPr>
                <w:sz w:val="21"/>
                <w:szCs w:val="21"/>
              </w:rPr>
              <w:t>用水量</w:t>
            </w:r>
            <w:r>
              <w:rPr>
                <w:smallCaps w:val="0"/>
                <w:sz w:val="21"/>
                <w:szCs w:val="21"/>
                <w:lang w:eastAsia="zh-CN"/>
              </w:rPr>
              <w:t>m</w:t>
            </w:r>
            <w:r>
              <w:rPr>
                <w:smallCaps w:val="0"/>
                <w:sz w:val="21"/>
                <w:szCs w:val="21"/>
                <w:vertAlign w:val="superscript"/>
                <w:lang w:eastAsia="zh-CN"/>
              </w:rPr>
              <w:t>3</w:t>
            </w:r>
            <w:r>
              <w:rPr>
                <w:smallCaps w:val="0"/>
                <w:sz w:val="21"/>
                <w:szCs w:val="21"/>
                <w:lang w:eastAsia="zh-CN"/>
              </w:rPr>
              <w:t>/a</w:t>
            </w:r>
          </w:p>
        </w:tc>
      </w:tr>
      <w:tr w14:paraId="5F47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noWrap w:val="0"/>
            <w:vAlign w:val="center"/>
          </w:tcPr>
          <w:p w14:paraId="469D1AAE">
            <w:pPr>
              <w:pStyle w:val="74"/>
              <w:ind w:left="0"/>
              <w:jc w:val="center"/>
              <w:rPr>
                <w:sz w:val="21"/>
                <w:szCs w:val="21"/>
              </w:rPr>
            </w:pPr>
            <w:r>
              <w:rPr>
                <w:sz w:val="21"/>
                <w:szCs w:val="21"/>
              </w:rPr>
              <w:t>1</w:t>
            </w:r>
          </w:p>
        </w:tc>
        <w:tc>
          <w:tcPr>
            <w:tcW w:w="2534" w:type="pct"/>
            <w:noWrap w:val="0"/>
            <w:vAlign w:val="center"/>
          </w:tcPr>
          <w:p w14:paraId="72114521">
            <w:pPr>
              <w:pStyle w:val="74"/>
              <w:ind w:left="0"/>
              <w:jc w:val="center"/>
              <w:rPr>
                <w:sz w:val="21"/>
                <w:szCs w:val="21"/>
              </w:rPr>
            </w:pPr>
            <w:r>
              <w:rPr>
                <w:sz w:val="21"/>
                <w:szCs w:val="21"/>
              </w:rPr>
              <w:t>猪只饮用</w:t>
            </w:r>
          </w:p>
        </w:tc>
        <w:tc>
          <w:tcPr>
            <w:tcW w:w="1816" w:type="pct"/>
            <w:noWrap w:val="0"/>
            <w:vAlign w:val="center"/>
          </w:tcPr>
          <w:p w14:paraId="0EA36EFF">
            <w:pPr>
              <w:jc w:val="center"/>
              <w:rPr>
                <w:szCs w:val="21"/>
              </w:rPr>
            </w:pPr>
            <w:r>
              <w:rPr>
                <w:kern w:val="0"/>
                <w:szCs w:val="21"/>
                <w:lang w:bidi="ar"/>
              </w:rPr>
              <w:t>18376.80</w:t>
            </w:r>
          </w:p>
        </w:tc>
      </w:tr>
      <w:tr w14:paraId="0D5A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noWrap w:val="0"/>
            <w:vAlign w:val="center"/>
          </w:tcPr>
          <w:p w14:paraId="5BEC757C">
            <w:pPr>
              <w:pStyle w:val="74"/>
              <w:ind w:left="0"/>
              <w:jc w:val="center"/>
              <w:rPr>
                <w:sz w:val="21"/>
                <w:szCs w:val="21"/>
              </w:rPr>
            </w:pPr>
            <w:r>
              <w:rPr>
                <w:sz w:val="21"/>
                <w:szCs w:val="21"/>
              </w:rPr>
              <w:t>2</w:t>
            </w:r>
          </w:p>
        </w:tc>
        <w:tc>
          <w:tcPr>
            <w:tcW w:w="2534" w:type="pct"/>
            <w:noWrap w:val="0"/>
            <w:vAlign w:val="center"/>
          </w:tcPr>
          <w:p w14:paraId="41E6ED95">
            <w:pPr>
              <w:pStyle w:val="74"/>
              <w:ind w:left="0"/>
              <w:jc w:val="center"/>
              <w:rPr>
                <w:sz w:val="21"/>
                <w:szCs w:val="21"/>
              </w:rPr>
            </w:pPr>
            <w:r>
              <w:rPr>
                <w:sz w:val="21"/>
                <w:szCs w:val="21"/>
              </w:rPr>
              <w:t>猪舍冲洗</w:t>
            </w:r>
          </w:p>
        </w:tc>
        <w:tc>
          <w:tcPr>
            <w:tcW w:w="1816" w:type="pct"/>
            <w:noWrap w:val="0"/>
            <w:vAlign w:val="center"/>
          </w:tcPr>
          <w:p w14:paraId="1FAE546B">
            <w:pPr>
              <w:pStyle w:val="74"/>
              <w:ind w:left="0"/>
              <w:jc w:val="center"/>
              <w:rPr>
                <w:sz w:val="21"/>
                <w:szCs w:val="21"/>
              </w:rPr>
            </w:pPr>
            <w:r>
              <w:rPr>
                <w:kern w:val="0"/>
                <w:sz w:val="21"/>
                <w:szCs w:val="21"/>
                <w:lang w:val="en-US" w:eastAsia="zh-CN" w:bidi="ar"/>
              </w:rPr>
              <w:t>176.75</w:t>
            </w:r>
          </w:p>
        </w:tc>
      </w:tr>
      <w:tr w14:paraId="2D63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noWrap w:val="0"/>
            <w:vAlign w:val="center"/>
          </w:tcPr>
          <w:p w14:paraId="399575F5">
            <w:pPr>
              <w:pStyle w:val="74"/>
              <w:ind w:left="0"/>
              <w:jc w:val="center"/>
              <w:rPr>
                <w:sz w:val="21"/>
                <w:szCs w:val="21"/>
              </w:rPr>
            </w:pPr>
            <w:r>
              <w:rPr>
                <w:sz w:val="21"/>
                <w:szCs w:val="21"/>
              </w:rPr>
              <w:t>3</w:t>
            </w:r>
          </w:p>
        </w:tc>
        <w:tc>
          <w:tcPr>
            <w:tcW w:w="2534" w:type="pct"/>
            <w:noWrap w:val="0"/>
            <w:vAlign w:val="center"/>
          </w:tcPr>
          <w:p w14:paraId="72AD1928">
            <w:pPr>
              <w:pStyle w:val="74"/>
              <w:ind w:left="0"/>
              <w:jc w:val="center"/>
              <w:rPr>
                <w:sz w:val="21"/>
                <w:szCs w:val="21"/>
              </w:rPr>
            </w:pPr>
            <w:r>
              <w:rPr>
                <w:sz w:val="21"/>
                <w:szCs w:val="21"/>
              </w:rPr>
              <w:t>养殖区职工生活用水</w:t>
            </w:r>
          </w:p>
        </w:tc>
        <w:tc>
          <w:tcPr>
            <w:tcW w:w="1816" w:type="pct"/>
            <w:noWrap w:val="0"/>
            <w:vAlign w:val="center"/>
          </w:tcPr>
          <w:p w14:paraId="4359DEC0">
            <w:pPr>
              <w:pStyle w:val="74"/>
              <w:ind w:left="0"/>
              <w:jc w:val="center"/>
              <w:rPr>
                <w:sz w:val="21"/>
                <w:szCs w:val="21"/>
                <w:lang w:eastAsia="zh-CN"/>
              </w:rPr>
            </w:pPr>
            <w:r>
              <w:rPr>
                <w:kern w:val="0"/>
                <w:sz w:val="21"/>
                <w:szCs w:val="21"/>
                <w:lang w:val="en-US" w:eastAsia="zh-CN" w:bidi="ar"/>
              </w:rPr>
              <w:t>1314</w:t>
            </w:r>
          </w:p>
        </w:tc>
      </w:tr>
      <w:tr w14:paraId="242A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noWrap w:val="0"/>
            <w:vAlign w:val="center"/>
          </w:tcPr>
          <w:p w14:paraId="2905CBDD">
            <w:pPr>
              <w:pStyle w:val="74"/>
              <w:ind w:left="0"/>
              <w:jc w:val="center"/>
              <w:rPr>
                <w:sz w:val="21"/>
                <w:szCs w:val="21"/>
                <w:lang w:eastAsia="zh-CN"/>
              </w:rPr>
            </w:pPr>
            <w:r>
              <w:rPr>
                <w:sz w:val="21"/>
                <w:szCs w:val="21"/>
                <w:lang w:val="en-US" w:eastAsia="zh-CN"/>
              </w:rPr>
              <w:t>4</w:t>
            </w:r>
          </w:p>
        </w:tc>
        <w:tc>
          <w:tcPr>
            <w:tcW w:w="2534" w:type="pct"/>
            <w:noWrap w:val="0"/>
            <w:vAlign w:val="center"/>
          </w:tcPr>
          <w:p w14:paraId="6491ED0F">
            <w:pPr>
              <w:pStyle w:val="74"/>
              <w:ind w:left="0"/>
              <w:jc w:val="center"/>
              <w:rPr>
                <w:sz w:val="21"/>
                <w:szCs w:val="21"/>
              </w:rPr>
            </w:pPr>
            <w:r>
              <w:rPr>
                <w:sz w:val="21"/>
                <w:szCs w:val="21"/>
              </w:rPr>
              <w:t>固粪处理区水帘装置用水</w:t>
            </w:r>
          </w:p>
        </w:tc>
        <w:tc>
          <w:tcPr>
            <w:tcW w:w="1816" w:type="pct"/>
            <w:noWrap w:val="0"/>
            <w:vAlign w:val="center"/>
          </w:tcPr>
          <w:p w14:paraId="29F41222">
            <w:pPr>
              <w:pStyle w:val="74"/>
              <w:ind w:left="0"/>
              <w:jc w:val="center"/>
              <w:rPr>
                <w:sz w:val="21"/>
                <w:szCs w:val="21"/>
                <w:lang w:val="en-US" w:eastAsia="zh-CN"/>
              </w:rPr>
            </w:pPr>
            <w:r>
              <w:rPr>
                <w:sz w:val="21"/>
                <w:szCs w:val="21"/>
                <w:lang w:val="en-US" w:eastAsia="zh-CN"/>
              </w:rPr>
              <w:t>219</w:t>
            </w:r>
          </w:p>
        </w:tc>
      </w:tr>
      <w:tr w14:paraId="6082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noWrap w:val="0"/>
            <w:vAlign w:val="center"/>
          </w:tcPr>
          <w:p w14:paraId="6E645230">
            <w:pPr>
              <w:pStyle w:val="74"/>
              <w:ind w:left="0"/>
              <w:jc w:val="center"/>
              <w:rPr>
                <w:sz w:val="21"/>
                <w:szCs w:val="21"/>
                <w:lang w:bidi="zh-CN"/>
              </w:rPr>
            </w:pPr>
            <w:r>
              <w:rPr>
                <w:sz w:val="21"/>
                <w:szCs w:val="21"/>
                <w:lang w:val="en-US" w:bidi="zh-CN"/>
              </w:rPr>
              <w:t>5</w:t>
            </w:r>
          </w:p>
        </w:tc>
        <w:tc>
          <w:tcPr>
            <w:tcW w:w="2534" w:type="pct"/>
            <w:noWrap w:val="0"/>
            <w:vAlign w:val="center"/>
          </w:tcPr>
          <w:p w14:paraId="5DE79FE0">
            <w:pPr>
              <w:pStyle w:val="74"/>
              <w:ind w:left="0"/>
              <w:jc w:val="center"/>
              <w:rPr>
                <w:sz w:val="21"/>
                <w:szCs w:val="21"/>
              </w:rPr>
            </w:pPr>
            <w:r>
              <w:rPr>
                <w:sz w:val="21"/>
                <w:szCs w:val="21"/>
              </w:rPr>
              <w:t>消毒用水</w:t>
            </w:r>
          </w:p>
        </w:tc>
        <w:tc>
          <w:tcPr>
            <w:tcW w:w="1816" w:type="pct"/>
            <w:noWrap w:val="0"/>
            <w:vAlign w:val="center"/>
          </w:tcPr>
          <w:p w14:paraId="0A3879C7">
            <w:pPr>
              <w:pStyle w:val="74"/>
              <w:ind w:left="0"/>
              <w:jc w:val="center"/>
              <w:rPr>
                <w:sz w:val="21"/>
                <w:szCs w:val="21"/>
                <w:lang w:val="en-US" w:eastAsia="zh-CN"/>
              </w:rPr>
            </w:pPr>
            <w:r>
              <w:rPr>
                <w:sz w:val="21"/>
                <w:szCs w:val="21"/>
                <w:lang w:val="en-US" w:eastAsia="zh-CN"/>
              </w:rPr>
              <w:t>200</w:t>
            </w:r>
          </w:p>
        </w:tc>
      </w:tr>
      <w:tr w14:paraId="08DB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3" w:type="pct"/>
            <w:gridSpan w:val="2"/>
            <w:noWrap w:val="0"/>
            <w:vAlign w:val="center"/>
          </w:tcPr>
          <w:p w14:paraId="15A7E37F">
            <w:pPr>
              <w:pStyle w:val="74"/>
              <w:ind w:left="0"/>
              <w:jc w:val="center"/>
              <w:rPr>
                <w:sz w:val="21"/>
                <w:szCs w:val="21"/>
                <w:lang w:bidi="zh-CN"/>
              </w:rPr>
            </w:pPr>
            <w:r>
              <w:rPr>
                <w:sz w:val="21"/>
                <w:szCs w:val="21"/>
                <w:lang w:bidi="zh-CN"/>
              </w:rPr>
              <w:t>合计</w:t>
            </w:r>
          </w:p>
        </w:tc>
        <w:tc>
          <w:tcPr>
            <w:tcW w:w="1816" w:type="pct"/>
            <w:noWrap w:val="0"/>
            <w:vAlign w:val="center"/>
          </w:tcPr>
          <w:p w14:paraId="0E18E781">
            <w:pPr>
              <w:pStyle w:val="74"/>
              <w:ind w:left="0"/>
              <w:jc w:val="center"/>
              <w:rPr>
                <w:sz w:val="21"/>
                <w:szCs w:val="21"/>
                <w:lang w:val="en-US" w:eastAsia="zh-CN"/>
              </w:rPr>
            </w:pPr>
            <w:r>
              <w:rPr>
                <w:sz w:val="21"/>
                <w:szCs w:val="21"/>
                <w:lang w:val="en-US" w:eastAsia="zh-CN"/>
              </w:rPr>
              <w:t>23571.55</w:t>
            </w:r>
          </w:p>
        </w:tc>
      </w:tr>
    </w:tbl>
    <w:p w14:paraId="214C51D9">
      <w:pPr>
        <w:pStyle w:val="7"/>
        <w:spacing w:before="0" w:after="0" w:line="360" w:lineRule="auto"/>
        <w:rPr>
          <w:rFonts w:ascii="Times New Roman" w:hAnsi="Times New Roman"/>
          <w:sz w:val="28"/>
          <w:szCs w:val="28"/>
        </w:rPr>
      </w:pPr>
      <w:bookmarkStart w:id="77" w:name="_Toc12955146"/>
      <w:r>
        <w:rPr>
          <w:rFonts w:ascii="Times New Roman" w:hAnsi="Times New Roman"/>
          <w:sz w:val="28"/>
          <w:szCs w:val="28"/>
        </w:rPr>
        <w:t>3.3.2排水</w:t>
      </w:r>
      <w:bookmarkEnd w:id="77"/>
    </w:p>
    <w:p w14:paraId="1CCDA4A3">
      <w:pPr>
        <w:spacing w:line="360" w:lineRule="auto"/>
        <w:ind w:firstLine="480" w:firstLineChars="200"/>
        <w:rPr>
          <w:sz w:val="24"/>
        </w:rPr>
      </w:pPr>
      <w:r>
        <w:rPr>
          <w:sz w:val="24"/>
        </w:rPr>
        <w:t>本项目排水环节主要为猪尿液、猪粪固液分离废水、猪舍冲洗废水、养殖区职工生活污水。生产废水中含有高浓度有机物和N、P及细菌等，若处理不当，不经处理直接排入附近的水体，将对周边水体造成影响。</w:t>
      </w:r>
    </w:p>
    <w:p w14:paraId="33980ABB">
      <w:pPr>
        <w:spacing w:line="360" w:lineRule="auto"/>
        <w:ind w:firstLine="480" w:firstLineChars="200"/>
        <w:jc w:val="left"/>
        <w:rPr>
          <w:kern w:val="0"/>
          <w:sz w:val="24"/>
        </w:rPr>
      </w:pPr>
      <w:r>
        <w:rPr>
          <w:kern w:val="0"/>
          <w:sz w:val="24"/>
        </w:rPr>
        <w:t>废水排放情况具体如下：</w:t>
      </w:r>
    </w:p>
    <w:p w14:paraId="52B53573">
      <w:pPr>
        <w:spacing w:line="360" w:lineRule="auto"/>
        <w:ind w:firstLine="482" w:firstLineChars="200"/>
        <w:rPr>
          <w:b/>
          <w:sz w:val="24"/>
        </w:rPr>
      </w:pPr>
      <w:r>
        <w:rPr>
          <w:b/>
          <w:sz w:val="24"/>
        </w:rPr>
        <w:t>1.猪尿（W1）</w:t>
      </w:r>
    </w:p>
    <w:p w14:paraId="26158DA9">
      <w:pPr>
        <w:adjustRightInd w:val="0"/>
        <w:snapToGrid w:val="0"/>
        <w:spacing w:line="360" w:lineRule="auto"/>
        <w:ind w:firstLine="480"/>
        <w:rPr>
          <w:sz w:val="24"/>
        </w:rPr>
      </w:pPr>
      <w:r>
        <w:rPr>
          <w:sz w:val="24"/>
        </w:rPr>
        <w:t>参照《规模畜禽养殖场污染防治最佳可行技术指南（试行）》（HJ-BAT-10）征求意见稿编制说明，猪尿液产生量可采用以下公式进行计算，计算如下：</w:t>
      </w:r>
    </w:p>
    <w:p w14:paraId="436D7452">
      <w:pPr>
        <w:adjustRightInd w:val="0"/>
        <w:snapToGrid w:val="0"/>
        <w:spacing w:line="360" w:lineRule="auto"/>
        <w:ind w:firstLine="480"/>
        <w:jc w:val="center"/>
        <w:rPr>
          <w:sz w:val="24"/>
        </w:rPr>
      </w:pPr>
      <w:r>
        <w:rPr>
          <w:sz w:val="24"/>
        </w:rPr>
        <w:t>Yu＝0.205+0.438W</w:t>
      </w:r>
    </w:p>
    <w:p w14:paraId="080E242D">
      <w:pPr>
        <w:adjustRightInd w:val="0"/>
        <w:snapToGrid w:val="0"/>
        <w:spacing w:line="360" w:lineRule="auto"/>
        <w:ind w:firstLine="480"/>
        <w:jc w:val="center"/>
        <w:rPr>
          <w:sz w:val="24"/>
        </w:rPr>
      </w:pPr>
      <w:r>
        <w:rPr>
          <w:sz w:val="24"/>
        </w:rPr>
        <w:t>式中：Yu——尿排泄量（kg）</w:t>
      </w:r>
    </w:p>
    <w:p w14:paraId="268ACEA1">
      <w:pPr>
        <w:adjustRightInd w:val="0"/>
        <w:snapToGrid w:val="0"/>
        <w:spacing w:line="360" w:lineRule="auto"/>
        <w:ind w:firstLine="3720" w:firstLineChars="1550"/>
        <w:rPr>
          <w:sz w:val="24"/>
        </w:rPr>
      </w:pPr>
      <w:r>
        <w:rPr>
          <w:sz w:val="24"/>
        </w:rPr>
        <w:t>W——饮水量（kg）</w:t>
      </w:r>
    </w:p>
    <w:p w14:paraId="4ACBB9C4">
      <w:pPr>
        <w:adjustRightInd w:val="0"/>
        <w:snapToGrid w:val="0"/>
        <w:spacing w:line="360" w:lineRule="auto"/>
        <w:ind w:firstLine="480"/>
        <w:rPr>
          <w:sz w:val="24"/>
        </w:rPr>
      </w:pPr>
      <w:r>
        <w:rPr>
          <w:sz w:val="24"/>
        </w:rPr>
        <w:t>通过计算，本项目猪的尿排泄量见表3.3-6。</w:t>
      </w:r>
    </w:p>
    <w:p w14:paraId="5576BA08">
      <w:pPr>
        <w:adjustRightInd w:val="0"/>
        <w:snapToGrid w:val="0"/>
        <w:spacing w:line="276" w:lineRule="auto"/>
        <w:ind w:firstLine="482"/>
        <w:jc w:val="center"/>
        <w:rPr>
          <w:b/>
          <w:szCs w:val="21"/>
        </w:rPr>
      </w:pPr>
      <w:r>
        <w:rPr>
          <w:b/>
          <w:szCs w:val="21"/>
        </w:rPr>
        <w:t>表3.3-6  不同阶段猪的猪只尿液排放量一览表L/（头•d）</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4"/>
        <w:gridCol w:w="3073"/>
        <w:gridCol w:w="2751"/>
      </w:tblGrid>
      <w:tr w14:paraId="0309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pct"/>
            <w:noWrap w:val="0"/>
            <w:vAlign w:val="center"/>
          </w:tcPr>
          <w:p w14:paraId="770F9549">
            <w:pPr>
              <w:pStyle w:val="323"/>
              <w:ind w:firstLine="0" w:firstLineChars="0"/>
              <w:jc w:val="center"/>
              <w:rPr>
                <w:b/>
                <w:sz w:val="21"/>
                <w:szCs w:val="21"/>
              </w:rPr>
            </w:pPr>
            <w:r>
              <w:rPr>
                <w:b/>
                <w:sz w:val="21"/>
                <w:szCs w:val="21"/>
              </w:rPr>
              <w:t>猪群种类</w:t>
            </w:r>
          </w:p>
        </w:tc>
        <w:tc>
          <w:tcPr>
            <w:tcW w:w="1801" w:type="pct"/>
            <w:noWrap w:val="0"/>
            <w:vAlign w:val="center"/>
          </w:tcPr>
          <w:p w14:paraId="3AEF7410">
            <w:pPr>
              <w:pStyle w:val="323"/>
              <w:ind w:firstLine="0" w:firstLineChars="0"/>
              <w:jc w:val="center"/>
              <w:rPr>
                <w:b/>
                <w:sz w:val="21"/>
                <w:szCs w:val="21"/>
              </w:rPr>
            </w:pPr>
            <w:r>
              <w:rPr>
                <w:b/>
                <w:sz w:val="21"/>
                <w:szCs w:val="21"/>
              </w:rPr>
              <w:t>饮用水量</w:t>
            </w:r>
          </w:p>
        </w:tc>
        <w:tc>
          <w:tcPr>
            <w:tcW w:w="1612" w:type="pct"/>
            <w:noWrap w:val="0"/>
            <w:vAlign w:val="center"/>
          </w:tcPr>
          <w:p w14:paraId="23264B39">
            <w:pPr>
              <w:pStyle w:val="323"/>
              <w:ind w:firstLine="0" w:firstLineChars="0"/>
              <w:jc w:val="center"/>
              <w:rPr>
                <w:b/>
                <w:sz w:val="21"/>
                <w:szCs w:val="21"/>
              </w:rPr>
            </w:pPr>
            <w:r>
              <w:rPr>
                <w:b/>
                <w:sz w:val="21"/>
                <w:szCs w:val="21"/>
              </w:rPr>
              <w:t>尿排泄量</w:t>
            </w:r>
          </w:p>
        </w:tc>
      </w:tr>
      <w:tr w14:paraId="35E2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5" w:type="pct"/>
            <w:noWrap w:val="0"/>
            <w:vAlign w:val="center"/>
          </w:tcPr>
          <w:p w14:paraId="00F2D11B">
            <w:pPr>
              <w:jc w:val="center"/>
              <w:rPr>
                <w:szCs w:val="21"/>
              </w:rPr>
            </w:pPr>
            <w:r>
              <w:rPr>
                <w:szCs w:val="21"/>
              </w:rPr>
              <w:t>保育猪</w:t>
            </w:r>
          </w:p>
        </w:tc>
        <w:tc>
          <w:tcPr>
            <w:tcW w:w="1801" w:type="pct"/>
            <w:noWrap w:val="0"/>
            <w:vAlign w:val="center"/>
          </w:tcPr>
          <w:p w14:paraId="3790AD57">
            <w:pPr>
              <w:pStyle w:val="323"/>
              <w:ind w:firstLine="0" w:firstLineChars="0"/>
              <w:jc w:val="center"/>
              <w:rPr>
                <w:sz w:val="21"/>
                <w:szCs w:val="21"/>
              </w:rPr>
            </w:pPr>
            <w:r>
              <w:rPr>
                <w:sz w:val="21"/>
                <w:szCs w:val="21"/>
              </w:rPr>
              <w:t>4</w:t>
            </w:r>
          </w:p>
        </w:tc>
        <w:tc>
          <w:tcPr>
            <w:tcW w:w="1612" w:type="pct"/>
            <w:noWrap w:val="0"/>
            <w:vAlign w:val="center"/>
          </w:tcPr>
          <w:p w14:paraId="76D25DB2">
            <w:pPr>
              <w:pStyle w:val="323"/>
              <w:ind w:firstLine="0" w:firstLineChars="0"/>
              <w:jc w:val="center"/>
              <w:rPr>
                <w:sz w:val="21"/>
                <w:szCs w:val="21"/>
              </w:rPr>
            </w:pPr>
            <w:r>
              <w:rPr>
                <w:sz w:val="21"/>
                <w:szCs w:val="21"/>
              </w:rPr>
              <w:t>1.957</w:t>
            </w:r>
          </w:p>
        </w:tc>
      </w:tr>
      <w:tr w14:paraId="10E6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pct"/>
            <w:noWrap w:val="0"/>
            <w:vAlign w:val="center"/>
          </w:tcPr>
          <w:p w14:paraId="43AFC264">
            <w:pPr>
              <w:jc w:val="center"/>
              <w:rPr>
                <w:szCs w:val="21"/>
              </w:rPr>
            </w:pPr>
            <w:r>
              <w:rPr>
                <w:szCs w:val="21"/>
              </w:rPr>
              <w:t>育肥猪</w:t>
            </w:r>
          </w:p>
        </w:tc>
        <w:tc>
          <w:tcPr>
            <w:tcW w:w="1801" w:type="pct"/>
            <w:noWrap w:val="0"/>
            <w:vAlign w:val="center"/>
          </w:tcPr>
          <w:p w14:paraId="313C72B6">
            <w:pPr>
              <w:pStyle w:val="323"/>
              <w:ind w:firstLine="0" w:firstLineChars="0"/>
              <w:jc w:val="center"/>
              <w:rPr>
                <w:sz w:val="21"/>
                <w:szCs w:val="21"/>
              </w:rPr>
            </w:pPr>
            <w:r>
              <w:rPr>
                <w:sz w:val="21"/>
                <w:szCs w:val="21"/>
              </w:rPr>
              <w:t>6</w:t>
            </w:r>
          </w:p>
        </w:tc>
        <w:tc>
          <w:tcPr>
            <w:tcW w:w="1612" w:type="pct"/>
            <w:noWrap w:val="0"/>
            <w:vAlign w:val="center"/>
          </w:tcPr>
          <w:p w14:paraId="778FD437">
            <w:pPr>
              <w:pStyle w:val="323"/>
              <w:ind w:firstLine="0" w:firstLineChars="0"/>
              <w:jc w:val="center"/>
              <w:rPr>
                <w:sz w:val="21"/>
                <w:szCs w:val="21"/>
              </w:rPr>
            </w:pPr>
            <w:r>
              <w:rPr>
                <w:sz w:val="21"/>
                <w:szCs w:val="21"/>
              </w:rPr>
              <w:t>2.833</w:t>
            </w:r>
          </w:p>
        </w:tc>
      </w:tr>
    </w:tbl>
    <w:p w14:paraId="25135E1D">
      <w:pPr>
        <w:pStyle w:val="323"/>
        <w:spacing w:line="360" w:lineRule="auto"/>
        <w:ind w:firstLine="461"/>
        <w:rPr>
          <w:b/>
          <w:szCs w:val="21"/>
        </w:rPr>
      </w:pPr>
      <w:r>
        <w:t>根据表3.3-7，本项目猪尿产生量见下表：</w:t>
      </w:r>
    </w:p>
    <w:p w14:paraId="77D83B18">
      <w:pPr>
        <w:pStyle w:val="1362"/>
        <w:snapToGrid/>
        <w:spacing w:line="276" w:lineRule="auto"/>
        <w:ind w:left="480" w:firstLine="422"/>
        <w:rPr>
          <w:rFonts w:ascii="Times New Roman" w:hAnsi="Times New Roman" w:cs="Times New Roman"/>
          <w:b/>
          <w:color w:val="auto"/>
          <w:sz w:val="21"/>
          <w:szCs w:val="21"/>
        </w:rPr>
      </w:pPr>
      <w:r>
        <w:rPr>
          <w:rFonts w:ascii="Times New Roman" w:hAnsi="Times New Roman" w:cs="Times New Roman"/>
          <w:b/>
          <w:color w:val="auto"/>
          <w:sz w:val="21"/>
          <w:szCs w:val="21"/>
        </w:rPr>
        <w:t>表3.3-7 本项目猪尿产生量</w:t>
      </w:r>
    </w:p>
    <w:tbl>
      <w:tblPr>
        <w:tblStyle w:val="87"/>
        <w:tblW w:w="4997" w:type="pct"/>
        <w:tblInd w:w="0" w:type="dxa"/>
        <w:tblLayout w:type="autofit"/>
        <w:tblCellMar>
          <w:top w:w="0" w:type="dxa"/>
          <w:left w:w="108" w:type="dxa"/>
          <w:bottom w:w="0" w:type="dxa"/>
          <w:right w:w="108" w:type="dxa"/>
        </w:tblCellMar>
      </w:tblPr>
      <w:tblGrid>
        <w:gridCol w:w="794"/>
        <w:gridCol w:w="2684"/>
        <w:gridCol w:w="1167"/>
        <w:gridCol w:w="1180"/>
        <w:gridCol w:w="899"/>
        <w:gridCol w:w="899"/>
        <w:gridCol w:w="900"/>
      </w:tblGrid>
      <w:tr w14:paraId="0E4520EF">
        <w:tblPrEx>
          <w:tblCellMar>
            <w:top w:w="0" w:type="dxa"/>
            <w:left w:w="108" w:type="dxa"/>
            <w:bottom w:w="0" w:type="dxa"/>
            <w:right w:w="108" w:type="dxa"/>
          </w:tblCellMar>
        </w:tblPrEx>
        <w:trPr>
          <w:trHeight w:val="140" w:hRule="atLeast"/>
        </w:trPr>
        <w:tc>
          <w:tcPr>
            <w:tcW w:w="465" w:type="pct"/>
            <w:vMerge w:val="restart"/>
            <w:tcBorders>
              <w:top w:val="single" w:color="000000" w:sz="4" w:space="0"/>
              <w:left w:val="single" w:color="000000" w:sz="4" w:space="0"/>
              <w:right w:val="single" w:color="000000" w:sz="4" w:space="0"/>
            </w:tcBorders>
            <w:noWrap/>
            <w:vAlign w:val="center"/>
          </w:tcPr>
          <w:p w14:paraId="3D219EDE">
            <w:pPr>
              <w:jc w:val="center"/>
              <w:rPr>
                <w:szCs w:val="21"/>
              </w:rPr>
            </w:pPr>
            <w:r>
              <w:rPr>
                <w:szCs w:val="21"/>
              </w:rPr>
              <w:t>编号</w:t>
            </w:r>
          </w:p>
        </w:tc>
        <w:tc>
          <w:tcPr>
            <w:tcW w:w="1575" w:type="pct"/>
            <w:vMerge w:val="restart"/>
            <w:tcBorders>
              <w:top w:val="single" w:color="000000" w:sz="4" w:space="0"/>
              <w:left w:val="single" w:color="000000" w:sz="4" w:space="0"/>
              <w:right w:val="single" w:color="000000" w:sz="4" w:space="0"/>
            </w:tcBorders>
            <w:noWrap/>
            <w:vAlign w:val="center"/>
          </w:tcPr>
          <w:p w14:paraId="1CAFCAC9">
            <w:pPr>
              <w:jc w:val="center"/>
              <w:rPr>
                <w:szCs w:val="21"/>
              </w:rPr>
            </w:pPr>
            <w:r>
              <w:rPr>
                <w:szCs w:val="21"/>
              </w:rPr>
              <w:t>养殖位置</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14:paraId="143439B3">
            <w:pPr>
              <w:widowControl/>
              <w:jc w:val="center"/>
              <w:textAlignment w:val="center"/>
              <w:rPr>
                <w:szCs w:val="21"/>
              </w:rPr>
            </w:pPr>
            <w:r>
              <w:rPr>
                <w:kern w:val="0"/>
                <w:szCs w:val="21"/>
                <w:lang w:bidi="ar"/>
              </w:rPr>
              <w:t>保育猪</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859969D">
            <w:pPr>
              <w:widowControl/>
              <w:jc w:val="center"/>
              <w:textAlignment w:val="center"/>
              <w:rPr>
                <w:szCs w:val="21"/>
              </w:rPr>
            </w:pPr>
            <w:r>
              <w:rPr>
                <w:kern w:val="0"/>
                <w:szCs w:val="21"/>
                <w:lang w:bidi="ar"/>
              </w:rPr>
              <w:t>育肥猪</w:t>
            </w:r>
          </w:p>
        </w:tc>
        <w:tc>
          <w:tcPr>
            <w:tcW w:w="527" w:type="pct"/>
            <w:tcBorders>
              <w:top w:val="single" w:color="000000" w:sz="4" w:space="0"/>
              <w:left w:val="single" w:color="000000" w:sz="4" w:space="0"/>
              <w:bottom w:val="single" w:color="000000" w:sz="4" w:space="0"/>
              <w:right w:val="single" w:color="000000" w:sz="4" w:space="0"/>
            </w:tcBorders>
            <w:noWrap w:val="0"/>
            <w:vAlign w:val="center"/>
          </w:tcPr>
          <w:p w14:paraId="125A9514">
            <w:pPr>
              <w:widowControl/>
              <w:jc w:val="center"/>
              <w:textAlignment w:val="center"/>
              <w:rPr>
                <w:szCs w:val="21"/>
              </w:rPr>
            </w:pPr>
            <w:r>
              <w:rPr>
                <w:kern w:val="0"/>
                <w:szCs w:val="21"/>
                <w:lang w:bidi="ar"/>
              </w:rPr>
              <w:t>保育猪</w:t>
            </w:r>
          </w:p>
        </w:tc>
        <w:tc>
          <w:tcPr>
            <w:tcW w:w="527" w:type="pct"/>
            <w:tcBorders>
              <w:top w:val="single" w:color="000000" w:sz="4" w:space="0"/>
              <w:left w:val="single" w:color="000000" w:sz="4" w:space="0"/>
              <w:bottom w:val="single" w:color="000000" w:sz="4" w:space="0"/>
              <w:right w:val="single" w:color="000000" w:sz="4" w:space="0"/>
            </w:tcBorders>
            <w:noWrap w:val="0"/>
            <w:vAlign w:val="center"/>
          </w:tcPr>
          <w:p w14:paraId="743E0EC1">
            <w:pPr>
              <w:widowControl/>
              <w:jc w:val="center"/>
              <w:textAlignment w:val="center"/>
              <w:rPr>
                <w:szCs w:val="21"/>
              </w:rPr>
            </w:pPr>
            <w:r>
              <w:rPr>
                <w:kern w:val="0"/>
                <w:szCs w:val="21"/>
                <w:lang w:bidi="ar"/>
              </w:rPr>
              <w:t>育肥猪</w:t>
            </w:r>
          </w:p>
        </w:tc>
        <w:tc>
          <w:tcPr>
            <w:tcW w:w="516" w:type="pct"/>
            <w:tcBorders>
              <w:top w:val="single" w:color="000000" w:sz="4" w:space="0"/>
              <w:left w:val="single" w:color="000000" w:sz="4" w:space="0"/>
              <w:bottom w:val="single" w:color="000000" w:sz="4" w:space="0"/>
              <w:right w:val="single" w:color="000000" w:sz="4" w:space="0"/>
            </w:tcBorders>
            <w:noWrap w:val="0"/>
            <w:vAlign w:val="center"/>
          </w:tcPr>
          <w:p w14:paraId="36AC360E">
            <w:pPr>
              <w:widowControl/>
              <w:jc w:val="center"/>
              <w:textAlignment w:val="center"/>
              <w:rPr>
                <w:kern w:val="0"/>
                <w:szCs w:val="21"/>
                <w:lang w:bidi="ar"/>
              </w:rPr>
            </w:pPr>
            <w:r>
              <w:rPr>
                <w:kern w:val="0"/>
                <w:szCs w:val="21"/>
                <w:lang w:bidi="ar"/>
              </w:rPr>
              <w:t>合计</w:t>
            </w:r>
          </w:p>
        </w:tc>
      </w:tr>
      <w:tr w14:paraId="20B28748">
        <w:tblPrEx>
          <w:tblCellMar>
            <w:top w:w="0" w:type="dxa"/>
            <w:left w:w="108" w:type="dxa"/>
            <w:bottom w:w="0" w:type="dxa"/>
            <w:right w:w="108" w:type="dxa"/>
          </w:tblCellMar>
        </w:tblPrEx>
        <w:trPr>
          <w:trHeight w:val="285" w:hRule="atLeast"/>
        </w:trPr>
        <w:tc>
          <w:tcPr>
            <w:tcW w:w="465" w:type="pct"/>
            <w:vMerge w:val="continue"/>
            <w:tcBorders>
              <w:left w:val="single" w:color="000000" w:sz="4" w:space="0"/>
              <w:bottom w:val="single" w:color="000000" w:sz="4" w:space="0"/>
              <w:right w:val="single" w:color="000000" w:sz="4" w:space="0"/>
            </w:tcBorders>
            <w:noWrap/>
            <w:vAlign w:val="center"/>
          </w:tcPr>
          <w:p w14:paraId="1884079B">
            <w:pPr>
              <w:jc w:val="center"/>
              <w:rPr>
                <w:szCs w:val="21"/>
              </w:rPr>
            </w:pPr>
          </w:p>
        </w:tc>
        <w:tc>
          <w:tcPr>
            <w:tcW w:w="1575" w:type="pct"/>
            <w:vMerge w:val="continue"/>
            <w:tcBorders>
              <w:left w:val="single" w:color="000000" w:sz="4" w:space="0"/>
              <w:bottom w:val="single" w:color="000000" w:sz="4" w:space="0"/>
              <w:right w:val="single" w:color="000000" w:sz="4" w:space="0"/>
            </w:tcBorders>
            <w:noWrap/>
            <w:vAlign w:val="center"/>
          </w:tcPr>
          <w:p w14:paraId="4A9B06F6">
            <w:pPr>
              <w:jc w:val="center"/>
              <w:rPr>
                <w:szCs w:val="21"/>
              </w:rPr>
            </w:pPr>
          </w:p>
        </w:tc>
        <w:tc>
          <w:tcPr>
            <w:tcW w:w="691" w:type="pct"/>
            <w:tcBorders>
              <w:top w:val="single" w:color="000000" w:sz="4" w:space="0"/>
              <w:left w:val="single" w:color="000000" w:sz="4" w:space="0"/>
              <w:bottom w:val="single" w:color="000000" w:sz="4" w:space="0"/>
              <w:right w:val="single" w:color="000000" w:sz="4" w:space="0"/>
            </w:tcBorders>
            <w:noWrap w:val="0"/>
            <w:vAlign w:val="center"/>
          </w:tcPr>
          <w:p w14:paraId="3B66ABCC">
            <w:pPr>
              <w:widowControl/>
              <w:jc w:val="center"/>
              <w:textAlignment w:val="center"/>
              <w:rPr>
                <w:szCs w:val="21"/>
              </w:rPr>
            </w:pPr>
            <w:r>
              <w:rPr>
                <w:kern w:val="0"/>
                <w:szCs w:val="21"/>
                <w:lang w:bidi="ar"/>
              </w:rPr>
              <w:t>m</w:t>
            </w:r>
            <w:r>
              <w:rPr>
                <w:kern w:val="0"/>
                <w:szCs w:val="21"/>
                <w:vertAlign w:val="superscript"/>
                <w:lang w:bidi="ar"/>
              </w:rPr>
              <w:t>3</w:t>
            </w:r>
            <w:r>
              <w:rPr>
                <w:kern w:val="0"/>
                <w:szCs w:val="21"/>
                <w:lang w:bidi="ar"/>
              </w:rPr>
              <w:t>/d</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F1F148C">
            <w:pPr>
              <w:widowControl/>
              <w:jc w:val="center"/>
              <w:textAlignment w:val="center"/>
              <w:rPr>
                <w:szCs w:val="21"/>
              </w:rPr>
            </w:pPr>
            <w:r>
              <w:rPr>
                <w:kern w:val="0"/>
                <w:szCs w:val="21"/>
                <w:lang w:bidi="ar"/>
              </w:rPr>
              <w:t>m</w:t>
            </w:r>
            <w:r>
              <w:rPr>
                <w:kern w:val="0"/>
                <w:szCs w:val="21"/>
                <w:vertAlign w:val="superscript"/>
                <w:lang w:bidi="ar"/>
              </w:rPr>
              <w:t>3</w:t>
            </w:r>
            <w:r>
              <w:rPr>
                <w:kern w:val="0"/>
                <w:szCs w:val="21"/>
                <w:lang w:bidi="ar"/>
              </w:rPr>
              <w:t>/d</w:t>
            </w:r>
          </w:p>
        </w:tc>
        <w:tc>
          <w:tcPr>
            <w:tcW w:w="527" w:type="pct"/>
            <w:tcBorders>
              <w:top w:val="single" w:color="000000" w:sz="4" w:space="0"/>
              <w:left w:val="single" w:color="000000" w:sz="4" w:space="0"/>
              <w:bottom w:val="single" w:color="000000" w:sz="4" w:space="0"/>
              <w:right w:val="single" w:color="000000" w:sz="4" w:space="0"/>
            </w:tcBorders>
            <w:noWrap w:val="0"/>
            <w:vAlign w:val="center"/>
          </w:tcPr>
          <w:p w14:paraId="526A340B">
            <w:pPr>
              <w:widowControl/>
              <w:jc w:val="center"/>
              <w:textAlignment w:val="center"/>
              <w:rPr>
                <w:szCs w:val="21"/>
              </w:rPr>
            </w:pPr>
            <w:r>
              <w:rPr>
                <w:kern w:val="0"/>
                <w:szCs w:val="21"/>
                <w:lang w:bidi="ar"/>
              </w:rPr>
              <w:t>m</w:t>
            </w:r>
            <w:r>
              <w:rPr>
                <w:kern w:val="0"/>
                <w:szCs w:val="21"/>
                <w:vertAlign w:val="superscript"/>
                <w:lang w:bidi="ar"/>
              </w:rPr>
              <w:t>3</w:t>
            </w:r>
            <w:r>
              <w:rPr>
                <w:kern w:val="0"/>
                <w:szCs w:val="21"/>
                <w:lang w:bidi="ar"/>
              </w:rPr>
              <w:t>/a</w:t>
            </w:r>
          </w:p>
        </w:tc>
        <w:tc>
          <w:tcPr>
            <w:tcW w:w="527" w:type="pct"/>
            <w:tcBorders>
              <w:top w:val="single" w:color="000000" w:sz="4" w:space="0"/>
              <w:left w:val="single" w:color="000000" w:sz="4" w:space="0"/>
              <w:bottom w:val="single" w:color="000000" w:sz="4" w:space="0"/>
              <w:right w:val="single" w:color="000000" w:sz="4" w:space="0"/>
            </w:tcBorders>
            <w:noWrap w:val="0"/>
            <w:vAlign w:val="center"/>
          </w:tcPr>
          <w:p w14:paraId="2529D13D">
            <w:pPr>
              <w:widowControl/>
              <w:jc w:val="center"/>
              <w:textAlignment w:val="center"/>
              <w:rPr>
                <w:szCs w:val="21"/>
              </w:rPr>
            </w:pPr>
            <w:r>
              <w:rPr>
                <w:kern w:val="0"/>
                <w:szCs w:val="21"/>
                <w:lang w:bidi="ar"/>
              </w:rPr>
              <w:t>m</w:t>
            </w:r>
            <w:r>
              <w:rPr>
                <w:kern w:val="0"/>
                <w:szCs w:val="21"/>
                <w:vertAlign w:val="superscript"/>
                <w:lang w:bidi="ar"/>
              </w:rPr>
              <w:t>3</w:t>
            </w:r>
            <w:r>
              <w:rPr>
                <w:kern w:val="0"/>
                <w:szCs w:val="21"/>
                <w:lang w:bidi="ar"/>
              </w:rPr>
              <w:t>/a</w:t>
            </w:r>
          </w:p>
        </w:tc>
        <w:tc>
          <w:tcPr>
            <w:tcW w:w="516" w:type="pct"/>
            <w:tcBorders>
              <w:top w:val="single" w:color="000000" w:sz="4" w:space="0"/>
              <w:left w:val="single" w:color="000000" w:sz="4" w:space="0"/>
              <w:bottom w:val="single" w:color="000000" w:sz="4" w:space="0"/>
              <w:right w:val="single" w:color="000000" w:sz="4" w:space="0"/>
            </w:tcBorders>
            <w:noWrap w:val="0"/>
            <w:vAlign w:val="center"/>
          </w:tcPr>
          <w:p w14:paraId="2442B386">
            <w:pPr>
              <w:widowControl/>
              <w:jc w:val="center"/>
              <w:textAlignment w:val="center"/>
              <w:rPr>
                <w:kern w:val="0"/>
                <w:szCs w:val="21"/>
                <w:lang w:bidi="ar"/>
              </w:rPr>
            </w:pPr>
            <w:r>
              <w:rPr>
                <w:kern w:val="0"/>
                <w:szCs w:val="21"/>
                <w:lang w:bidi="ar"/>
              </w:rPr>
              <w:t>m</w:t>
            </w:r>
            <w:r>
              <w:rPr>
                <w:kern w:val="0"/>
                <w:szCs w:val="21"/>
                <w:vertAlign w:val="superscript"/>
                <w:lang w:bidi="ar"/>
              </w:rPr>
              <w:t>3</w:t>
            </w:r>
            <w:r>
              <w:rPr>
                <w:kern w:val="0"/>
                <w:szCs w:val="21"/>
                <w:lang w:bidi="ar"/>
              </w:rPr>
              <w:t>/a</w:t>
            </w:r>
          </w:p>
        </w:tc>
      </w:tr>
      <w:tr w14:paraId="6226B131">
        <w:tblPrEx>
          <w:tblCellMar>
            <w:top w:w="0" w:type="dxa"/>
            <w:left w:w="108" w:type="dxa"/>
            <w:bottom w:w="0" w:type="dxa"/>
            <w:right w:w="108" w:type="dxa"/>
          </w:tblCellMar>
        </w:tblPrEx>
        <w:trPr>
          <w:trHeight w:val="285" w:hRule="atLeast"/>
        </w:trPr>
        <w:tc>
          <w:tcPr>
            <w:tcW w:w="465" w:type="pct"/>
            <w:vMerge w:val="restart"/>
            <w:tcBorders>
              <w:top w:val="single" w:color="000000" w:sz="4" w:space="0"/>
              <w:left w:val="single" w:color="000000" w:sz="4" w:space="0"/>
              <w:bottom w:val="single" w:color="000000" w:sz="4" w:space="0"/>
              <w:right w:val="single" w:color="000000" w:sz="4" w:space="0"/>
            </w:tcBorders>
            <w:noWrap/>
            <w:vAlign w:val="center"/>
          </w:tcPr>
          <w:p w14:paraId="74B01268">
            <w:pPr>
              <w:widowControl/>
              <w:jc w:val="center"/>
              <w:textAlignment w:val="center"/>
              <w:rPr>
                <w:szCs w:val="21"/>
              </w:rPr>
            </w:pPr>
            <w:r>
              <w:rPr>
                <w:kern w:val="0"/>
                <w:szCs w:val="21"/>
                <w:lang w:bidi="ar"/>
              </w:rPr>
              <w:t>1号地</w:t>
            </w: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3BC602BC">
            <w:pPr>
              <w:widowControl/>
              <w:jc w:val="center"/>
              <w:textAlignment w:val="center"/>
              <w:rPr>
                <w:szCs w:val="21"/>
              </w:rPr>
            </w:pPr>
            <w:r>
              <w:rPr>
                <w:kern w:val="0"/>
                <w:szCs w:val="21"/>
                <w:lang w:bidi="ar"/>
              </w:rPr>
              <w:t>盛丰通风井位置1号舍</w:t>
            </w:r>
          </w:p>
        </w:tc>
        <w:tc>
          <w:tcPr>
            <w:tcW w:w="691" w:type="pct"/>
            <w:vMerge w:val="restart"/>
            <w:tcBorders>
              <w:top w:val="single" w:color="000000" w:sz="4" w:space="0"/>
              <w:left w:val="single" w:color="000000" w:sz="4" w:space="0"/>
              <w:bottom w:val="single" w:color="000000" w:sz="4" w:space="0"/>
              <w:right w:val="single" w:color="000000" w:sz="4" w:space="0"/>
            </w:tcBorders>
            <w:noWrap w:val="0"/>
            <w:vAlign w:val="center"/>
          </w:tcPr>
          <w:p w14:paraId="4BED7366">
            <w:pPr>
              <w:widowControl/>
              <w:jc w:val="center"/>
              <w:textAlignment w:val="center"/>
              <w:rPr>
                <w:szCs w:val="21"/>
              </w:rPr>
            </w:pPr>
            <w:r>
              <w:rPr>
                <w:kern w:val="0"/>
                <w:szCs w:val="21"/>
                <w:lang w:bidi="ar"/>
              </w:rPr>
              <w:t xml:space="preserve">2.24 </w:t>
            </w:r>
          </w:p>
        </w:tc>
        <w:tc>
          <w:tcPr>
            <w:tcW w:w="696" w:type="pct"/>
            <w:vMerge w:val="restart"/>
            <w:tcBorders>
              <w:top w:val="single" w:color="000000" w:sz="4" w:space="0"/>
              <w:left w:val="single" w:color="000000" w:sz="4" w:space="0"/>
              <w:bottom w:val="single" w:color="000000" w:sz="4" w:space="0"/>
              <w:right w:val="single" w:color="000000" w:sz="4" w:space="0"/>
            </w:tcBorders>
            <w:noWrap w:val="0"/>
            <w:vAlign w:val="center"/>
          </w:tcPr>
          <w:p w14:paraId="0A1E0DED">
            <w:pPr>
              <w:widowControl/>
              <w:jc w:val="center"/>
              <w:textAlignment w:val="center"/>
              <w:rPr>
                <w:szCs w:val="21"/>
              </w:rPr>
            </w:pPr>
            <w:r>
              <w:rPr>
                <w:kern w:val="0"/>
                <w:szCs w:val="21"/>
                <w:lang w:bidi="ar"/>
              </w:rPr>
              <w:t xml:space="preserve">3.24 </w:t>
            </w:r>
          </w:p>
        </w:tc>
        <w:tc>
          <w:tcPr>
            <w:tcW w:w="527" w:type="pct"/>
            <w:vMerge w:val="restart"/>
            <w:tcBorders>
              <w:top w:val="single" w:color="000000" w:sz="4" w:space="0"/>
              <w:left w:val="single" w:color="000000" w:sz="4" w:space="0"/>
              <w:bottom w:val="single" w:color="000000" w:sz="4" w:space="0"/>
              <w:right w:val="single" w:color="000000" w:sz="4" w:space="0"/>
            </w:tcBorders>
            <w:noWrap w:val="0"/>
            <w:vAlign w:val="center"/>
          </w:tcPr>
          <w:p w14:paraId="2141E2F3">
            <w:pPr>
              <w:widowControl/>
              <w:jc w:val="center"/>
              <w:textAlignment w:val="center"/>
              <w:rPr>
                <w:szCs w:val="21"/>
              </w:rPr>
            </w:pPr>
            <w:r>
              <w:rPr>
                <w:kern w:val="0"/>
                <w:szCs w:val="21"/>
                <w:lang w:bidi="ar"/>
              </w:rPr>
              <w:t xml:space="preserve">232.53 </w:t>
            </w:r>
          </w:p>
        </w:tc>
        <w:tc>
          <w:tcPr>
            <w:tcW w:w="527" w:type="pct"/>
            <w:vMerge w:val="restart"/>
            <w:tcBorders>
              <w:top w:val="single" w:color="000000" w:sz="4" w:space="0"/>
              <w:left w:val="single" w:color="000000" w:sz="4" w:space="0"/>
              <w:bottom w:val="single" w:color="000000" w:sz="4" w:space="0"/>
              <w:right w:val="single" w:color="000000" w:sz="4" w:space="0"/>
            </w:tcBorders>
            <w:noWrap w:val="0"/>
            <w:vAlign w:val="center"/>
          </w:tcPr>
          <w:p w14:paraId="1AFBCEFF">
            <w:pPr>
              <w:widowControl/>
              <w:jc w:val="center"/>
              <w:textAlignment w:val="center"/>
              <w:rPr>
                <w:szCs w:val="21"/>
              </w:rPr>
            </w:pPr>
            <w:r>
              <w:rPr>
                <w:kern w:val="0"/>
                <w:szCs w:val="21"/>
                <w:lang w:bidi="ar"/>
              </w:rPr>
              <w:t xml:space="preserve">841.56 </w:t>
            </w:r>
          </w:p>
        </w:tc>
        <w:tc>
          <w:tcPr>
            <w:tcW w:w="880" w:type="dxa"/>
            <w:vMerge w:val="restart"/>
            <w:tcBorders>
              <w:top w:val="single" w:color="000000" w:sz="4" w:space="0"/>
              <w:left w:val="single" w:color="000000" w:sz="4" w:space="0"/>
              <w:right w:val="single" w:color="000000" w:sz="4" w:space="0"/>
            </w:tcBorders>
            <w:noWrap w:val="0"/>
            <w:vAlign w:val="center"/>
          </w:tcPr>
          <w:p w14:paraId="3E226518">
            <w:pPr>
              <w:widowControl/>
              <w:jc w:val="center"/>
              <w:textAlignment w:val="center"/>
              <w:rPr>
                <w:kern w:val="0"/>
                <w:szCs w:val="21"/>
                <w:lang w:bidi="ar"/>
              </w:rPr>
            </w:pPr>
            <w:r>
              <w:rPr>
                <w:kern w:val="0"/>
                <w:szCs w:val="21"/>
                <w:lang w:bidi="ar"/>
              </w:rPr>
              <w:t xml:space="preserve">1074.09 </w:t>
            </w:r>
          </w:p>
        </w:tc>
      </w:tr>
      <w:tr w14:paraId="43422D0D">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01A9CFC7">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0DC48D0B">
            <w:pPr>
              <w:widowControl/>
              <w:jc w:val="center"/>
              <w:textAlignment w:val="center"/>
              <w:rPr>
                <w:szCs w:val="21"/>
              </w:rPr>
            </w:pPr>
            <w:r>
              <w:rPr>
                <w:kern w:val="0"/>
                <w:szCs w:val="21"/>
                <w:lang w:bidi="ar"/>
              </w:rPr>
              <w:t>盛丰通风井位置2号舍</w:t>
            </w: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96649C">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6F91E3">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0F272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218596">
            <w:pPr>
              <w:jc w:val="center"/>
              <w:rPr>
                <w:szCs w:val="21"/>
              </w:rPr>
            </w:pPr>
          </w:p>
        </w:tc>
        <w:tc>
          <w:tcPr>
            <w:tcW w:w="516" w:type="pct"/>
            <w:vMerge w:val="continue"/>
            <w:tcBorders>
              <w:left w:val="single" w:color="000000" w:sz="4" w:space="0"/>
              <w:bottom w:val="single" w:color="000000" w:sz="4" w:space="0"/>
              <w:right w:val="single" w:color="000000" w:sz="4" w:space="0"/>
            </w:tcBorders>
            <w:noWrap w:val="0"/>
            <w:vAlign w:val="center"/>
          </w:tcPr>
          <w:p w14:paraId="7F2766E1">
            <w:pPr>
              <w:jc w:val="center"/>
              <w:rPr>
                <w:szCs w:val="21"/>
              </w:rPr>
            </w:pPr>
          </w:p>
        </w:tc>
      </w:tr>
      <w:tr w14:paraId="585340D4">
        <w:tblPrEx>
          <w:tblCellMar>
            <w:top w:w="0" w:type="dxa"/>
            <w:left w:w="108" w:type="dxa"/>
            <w:bottom w:w="0" w:type="dxa"/>
            <w:right w:w="108" w:type="dxa"/>
          </w:tblCellMar>
        </w:tblPrEx>
        <w:trPr>
          <w:trHeight w:val="285" w:hRule="atLeast"/>
        </w:trPr>
        <w:tc>
          <w:tcPr>
            <w:tcW w:w="465" w:type="pct"/>
            <w:vMerge w:val="restart"/>
            <w:tcBorders>
              <w:top w:val="single" w:color="000000" w:sz="4" w:space="0"/>
              <w:left w:val="single" w:color="000000" w:sz="4" w:space="0"/>
              <w:bottom w:val="single" w:color="000000" w:sz="4" w:space="0"/>
              <w:right w:val="single" w:color="000000" w:sz="4" w:space="0"/>
            </w:tcBorders>
            <w:noWrap/>
            <w:vAlign w:val="center"/>
          </w:tcPr>
          <w:p w14:paraId="4D3C31D9">
            <w:pPr>
              <w:widowControl/>
              <w:jc w:val="center"/>
              <w:textAlignment w:val="center"/>
              <w:rPr>
                <w:szCs w:val="21"/>
              </w:rPr>
            </w:pPr>
            <w:r>
              <w:rPr>
                <w:kern w:val="0"/>
                <w:szCs w:val="21"/>
                <w:lang w:bidi="ar"/>
              </w:rPr>
              <w:t>2号地</w:t>
            </w: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5C6E4648">
            <w:pPr>
              <w:widowControl/>
              <w:jc w:val="center"/>
              <w:textAlignment w:val="center"/>
              <w:rPr>
                <w:szCs w:val="21"/>
              </w:rPr>
            </w:pPr>
            <w:r>
              <w:rPr>
                <w:kern w:val="0"/>
                <w:szCs w:val="21"/>
                <w:lang w:bidi="ar"/>
              </w:rPr>
              <w:t>盛丰焦化楼位置1号舍</w:t>
            </w:r>
          </w:p>
        </w:tc>
        <w:tc>
          <w:tcPr>
            <w:tcW w:w="691" w:type="pct"/>
            <w:vMerge w:val="restart"/>
            <w:tcBorders>
              <w:top w:val="single" w:color="000000" w:sz="4" w:space="0"/>
              <w:left w:val="single" w:color="000000" w:sz="4" w:space="0"/>
              <w:bottom w:val="single" w:color="000000" w:sz="4" w:space="0"/>
              <w:right w:val="single" w:color="000000" w:sz="4" w:space="0"/>
            </w:tcBorders>
            <w:noWrap/>
            <w:vAlign w:val="center"/>
          </w:tcPr>
          <w:p w14:paraId="0952BF80">
            <w:pPr>
              <w:widowControl/>
              <w:jc w:val="center"/>
              <w:textAlignment w:val="center"/>
              <w:rPr>
                <w:szCs w:val="21"/>
              </w:rPr>
            </w:pPr>
            <w:r>
              <w:rPr>
                <w:kern w:val="0"/>
                <w:szCs w:val="21"/>
                <w:lang w:bidi="ar"/>
              </w:rPr>
              <w:t xml:space="preserve">4.74 </w:t>
            </w:r>
          </w:p>
        </w:tc>
        <w:tc>
          <w:tcPr>
            <w:tcW w:w="696" w:type="pct"/>
            <w:vMerge w:val="restart"/>
            <w:tcBorders>
              <w:top w:val="single" w:color="000000" w:sz="4" w:space="0"/>
              <w:left w:val="single" w:color="000000" w:sz="4" w:space="0"/>
              <w:bottom w:val="single" w:color="000000" w:sz="4" w:space="0"/>
              <w:right w:val="single" w:color="000000" w:sz="4" w:space="0"/>
            </w:tcBorders>
            <w:noWrap/>
            <w:vAlign w:val="center"/>
          </w:tcPr>
          <w:p w14:paraId="759B29B0">
            <w:pPr>
              <w:widowControl/>
              <w:jc w:val="center"/>
              <w:textAlignment w:val="center"/>
              <w:rPr>
                <w:szCs w:val="21"/>
              </w:rPr>
            </w:pPr>
            <w:r>
              <w:rPr>
                <w:kern w:val="0"/>
                <w:szCs w:val="21"/>
                <w:lang w:bidi="ar"/>
              </w:rPr>
              <w:t xml:space="preserve">6.85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5B1A7CEC">
            <w:pPr>
              <w:widowControl/>
              <w:jc w:val="center"/>
              <w:textAlignment w:val="center"/>
              <w:rPr>
                <w:szCs w:val="21"/>
              </w:rPr>
            </w:pPr>
            <w:r>
              <w:rPr>
                <w:kern w:val="0"/>
                <w:szCs w:val="21"/>
                <w:lang w:bidi="ar"/>
              </w:rPr>
              <w:t xml:space="preserve">492.45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70025093">
            <w:pPr>
              <w:widowControl/>
              <w:jc w:val="center"/>
              <w:textAlignment w:val="center"/>
              <w:rPr>
                <w:szCs w:val="21"/>
              </w:rPr>
            </w:pPr>
            <w:r>
              <w:rPr>
                <w:kern w:val="0"/>
                <w:szCs w:val="21"/>
                <w:lang w:bidi="ar"/>
              </w:rPr>
              <w:t xml:space="preserve">1782.20 </w:t>
            </w:r>
          </w:p>
        </w:tc>
        <w:tc>
          <w:tcPr>
            <w:tcW w:w="880" w:type="dxa"/>
            <w:vMerge w:val="restart"/>
            <w:tcBorders>
              <w:top w:val="single" w:color="000000" w:sz="4" w:space="0"/>
              <w:left w:val="single" w:color="000000" w:sz="4" w:space="0"/>
              <w:right w:val="single" w:color="000000" w:sz="4" w:space="0"/>
            </w:tcBorders>
            <w:noWrap/>
            <w:vAlign w:val="center"/>
          </w:tcPr>
          <w:p w14:paraId="3B9BCD16">
            <w:pPr>
              <w:widowControl/>
              <w:jc w:val="center"/>
              <w:textAlignment w:val="center"/>
              <w:rPr>
                <w:kern w:val="0"/>
                <w:szCs w:val="21"/>
                <w:lang w:bidi="ar"/>
              </w:rPr>
            </w:pPr>
            <w:r>
              <w:rPr>
                <w:kern w:val="0"/>
                <w:szCs w:val="21"/>
                <w:lang w:bidi="ar"/>
              </w:rPr>
              <w:t xml:space="preserve">2274.64 </w:t>
            </w:r>
          </w:p>
        </w:tc>
      </w:tr>
      <w:tr w14:paraId="150B4682">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0FD5B34A">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793577EF">
            <w:pPr>
              <w:widowControl/>
              <w:jc w:val="center"/>
              <w:textAlignment w:val="center"/>
              <w:rPr>
                <w:szCs w:val="21"/>
              </w:rPr>
            </w:pPr>
            <w:r>
              <w:rPr>
                <w:kern w:val="0"/>
                <w:szCs w:val="21"/>
                <w:lang w:bidi="ar"/>
              </w:rPr>
              <w:t>盛丰焦化楼位置2号舍</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45DD8C25">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52D8C21D">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6EA652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5C2BC9F0">
            <w:pPr>
              <w:jc w:val="center"/>
              <w:rPr>
                <w:szCs w:val="21"/>
              </w:rPr>
            </w:pPr>
          </w:p>
        </w:tc>
        <w:tc>
          <w:tcPr>
            <w:tcW w:w="516" w:type="pct"/>
            <w:vMerge w:val="continue"/>
            <w:tcBorders>
              <w:left w:val="single" w:color="000000" w:sz="4" w:space="0"/>
              <w:right w:val="single" w:color="000000" w:sz="4" w:space="0"/>
            </w:tcBorders>
            <w:noWrap/>
            <w:vAlign w:val="center"/>
          </w:tcPr>
          <w:p w14:paraId="7D2B6D91">
            <w:pPr>
              <w:jc w:val="center"/>
              <w:rPr>
                <w:szCs w:val="21"/>
              </w:rPr>
            </w:pPr>
          </w:p>
        </w:tc>
      </w:tr>
      <w:tr w14:paraId="1659F9E0">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22BE8F00">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7A15BA8F">
            <w:pPr>
              <w:widowControl/>
              <w:jc w:val="center"/>
              <w:textAlignment w:val="center"/>
              <w:rPr>
                <w:szCs w:val="21"/>
              </w:rPr>
            </w:pPr>
            <w:r>
              <w:rPr>
                <w:kern w:val="0"/>
                <w:szCs w:val="21"/>
                <w:lang w:bidi="ar"/>
              </w:rPr>
              <w:t>球场位置1单元</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56BCC47C">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2C95728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DB62B23">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8276BF7">
            <w:pPr>
              <w:jc w:val="center"/>
              <w:rPr>
                <w:szCs w:val="21"/>
              </w:rPr>
            </w:pPr>
          </w:p>
        </w:tc>
        <w:tc>
          <w:tcPr>
            <w:tcW w:w="516" w:type="pct"/>
            <w:vMerge w:val="continue"/>
            <w:tcBorders>
              <w:left w:val="single" w:color="000000" w:sz="4" w:space="0"/>
              <w:right w:val="single" w:color="000000" w:sz="4" w:space="0"/>
            </w:tcBorders>
            <w:noWrap/>
            <w:vAlign w:val="center"/>
          </w:tcPr>
          <w:p w14:paraId="23E397EA">
            <w:pPr>
              <w:jc w:val="center"/>
              <w:rPr>
                <w:szCs w:val="21"/>
              </w:rPr>
            </w:pPr>
          </w:p>
        </w:tc>
      </w:tr>
      <w:tr w14:paraId="2CE7F663">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025CC378">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3E69282B">
            <w:pPr>
              <w:widowControl/>
              <w:jc w:val="center"/>
              <w:textAlignment w:val="center"/>
              <w:rPr>
                <w:szCs w:val="21"/>
              </w:rPr>
            </w:pPr>
            <w:r>
              <w:rPr>
                <w:kern w:val="0"/>
                <w:szCs w:val="21"/>
                <w:lang w:bidi="ar"/>
              </w:rPr>
              <w:t>球场位置2单元</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044187E6">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54345DA1">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7CCFD4C4">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7FDA9411">
            <w:pPr>
              <w:jc w:val="center"/>
              <w:rPr>
                <w:szCs w:val="21"/>
              </w:rPr>
            </w:pPr>
          </w:p>
        </w:tc>
        <w:tc>
          <w:tcPr>
            <w:tcW w:w="516" w:type="pct"/>
            <w:vMerge w:val="continue"/>
            <w:tcBorders>
              <w:left w:val="single" w:color="000000" w:sz="4" w:space="0"/>
              <w:right w:val="single" w:color="000000" w:sz="4" w:space="0"/>
            </w:tcBorders>
            <w:noWrap/>
            <w:vAlign w:val="center"/>
          </w:tcPr>
          <w:p w14:paraId="7C53A694">
            <w:pPr>
              <w:jc w:val="center"/>
              <w:rPr>
                <w:szCs w:val="21"/>
              </w:rPr>
            </w:pPr>
          </w:p>
        </w:tc>
      </w:tr>
      <w:tr w14:paraId="26EA6824">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3BC20560">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52A69BFD">
            <w:pPr>
              <w:widowControl/>
              <w:jc w:val="center"/>
              <w:textAlignment w:val="center"/>
              <w:rPr>
                <w:szCs w:val="21"/>
              </w:rPr>
            </w:pPr>
            <w:r>
              <w:rPr>
                <w:kern w:val="0"/>
                <w:szCs w:val="21"/>
                <w:lang w:bidi="ar"/>
              </w:rPr>
              <w:t>球场位置3单元</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20548D6B">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5A832E59">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E72F778">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3BB0C0FA">
            <w:pPr>
              <w:jc w:val="center"/>
              <w:rPr>
                <w:szCs w:val="21"/>
              </w:rPr>
            </w:pPr>
          </w:p>
        </w:tc>
        <w:tc>
          <w:tcPr>
            <w:tcW w:w="516" w:type="pct"/>
            <w:vMerge w:val="continue"/>
            <w:tcBorders>
              <w:left w:val="single" w:color="000000" w:sz="4" w:space="0"/>
              <w:bottom w:val="single" w:color="000000" w:sz="4" w:space="0"/>
              <w:right w:val="single" w:color="000000" w:sz="4" w:space="0"/>
            </w:tcBorders>
            <w:noWrap/>
            <w:vAlign w:val="center"/>
          </w:tcPr>
          <w:p w14:paraId="5252F5F5">
            <w:pPr>
              <w:jc w:val="center"/>
              <w:rPr>
                <w:szCs w:val="21"/>
              </w:rPr>
            </w:pPr>
          </w:p>
        </w:tc>
      </w:tr>
      <w:tr w14:paraId="4BAD68B5">
        <w:tblPrEx>
          <w:tblCellMar>
            <w:top w:w="0" w:type="dxa"/>
            <w:left w:w="108" w:type="dxa"/>
            <w:bottom w:w="0" w:type="dxa"/>
            <w:right w:w="108" w:type="dxa"/>
          </w:tblCellMar>
        </w:tblPrEx>
        <w:trPr>
          <w:trHeight w:val="285" w:hRule="atLeast"/>
        </w:trPr>
        <w:tc>
          <w:tcPr>
            <w:tcW w:w="465" w:type="pct"/>
            <w:vMerge w:val="restart"/>
            <w:tcBorders>
              <w:top w:val="single" w:color="000000" w:sz="4" w:space="0"/>
              <w:left w:val="single" w:color="000000" w:sz="4" w:space="0"/>
              <w:bottom w:val="single" w:color="000000" w:sz="4" w:space="0"/>
              <w:right w:val="single" w:color="000000" w:sz="4" w:space="0"/>
            </w:tcBorders>
            <w:noWrap/>
            <w:vAlign w:val="center"/>
          </w:tcPr>
          <w:p w14:paraId="7425F8C4">
            <w:pPr>
              <w:widowControl/>
              <w:jc w:val="center"/>
              <w:textAlignment w:val="center"/>
              <w:rPr>
                <w:szCs w:val="21"/>
              </w:rPr>
            </w:pPr>
            <w:r>
              <w:rPr>
                <w:kern w:val="0"/>
                <w:szCs w:val="21"/>
                <w:lang w:bidi="ar"/>
              </w:rPr>
              <w:t>3号地</w:t>
            </w: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493F77F5">
            <w:pPr>
              <w:widowControl/>
              <w:jc w:val="center"/>
              <w:textAlignment w:val="center"/>
              <w:rPr>
                <w:szCs w:val="21"/>
              </w:rPr>
            </w:pPr>
            <w:r>
              <w:rPr>
                <w:kern w:val="0"/>
                <w:szCs w:val="21"/>
                <w:lang w:bidi="ar"/>
              </w:rPr>
              <w:t>老井位置1号舍</w:t>
            </w:r>
          </w:p>
        </w:tc>
        <w:tc>
          <w:tcPr>
            <w:tcW w:w="691" w:type="pct"/>
            <w:vMerge w:val="restart"/>
            <w:tcBorders>
              <w:top w:val="single" w:color="000000" w:sz="4" w:space="0"/>
              <w:left w:val="single" w:color="000000" w:sz="4" w:space="0"/>
              <w:bottom w:val="single" w:color="000000" w:sz="4" w:space="0"/>
              <w:right w:val="single" w:color="000000" w:sz="4" w:space="0"/>
            </w:tcBorders>
            <w:noWrap/>
            <w:vAlign w:val="center"/>
          </w:tcPr>
          <w:p w14:paraId="220DCAC1">
            <w:pPr>
              <w:widowControl/>
              <w:jc w:val="center"/>
              <w:textAlignment w:val="center"/>
              <w:rPr>
                <w:szCs w:val="21"/>
              </w:rPr>
            </w:pPr>
            <w:r>
              <w:rPr>
                <w:kern w:val="0"/>
                <w:szCs w:val="21"/>
                <w:lang w:bidi="ar"/>
              </w:rPr>
              <w:t xml:space="preserve">2.10 </w:t>
            </w:r>
          </w:p>
        </w:tc>
        <w:tc>
          <w:tcPr>
            <w:tcW w:w="696" w:type="pct"/>
            <w:vMerge w:val="restart"/>
            <w:tcBorders>
              <w:top w:val="single" w:color="000000" w:sz="4" w:space="0"/>
              <w:left w:val="single" w:color="000000" w:sz="4" w:space="0"/>
              <w:bottom w:val="single" w:color="000000" w:sz="4" w:space="0"/>
              <w:right w:val="single" w:color="000000" w:sz="4" w:space="0"/>
            </w:tcBorders>
            <w:noWrap/>
            <w:vAlign w:val="center"/>
          </w:tcPr>
          <w:p w14:paraId="71B36656">
            <w:pPr>
              <w:widowControl/>
              <w:jc w:val="center"/>
              <w:textAlignment w:val="center"/>
              <w:rPr>
                <w:szCs w:val="21"/>
              </w:rPr>
            </w:pPr>
            <w:r>
              <w:rPr>
                <w:kern w:val="0"/>
                <w:szCs w:val="21"/>
                <w:lang w:bidi="ar"/>
              </w:rPr>
              <w:t xml:space="preserve">3.04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662A5DF9">
            <w:pPr>
              <w:widowControl/>
              <w:jc w:val="center"/>
              <w:textAlignment w:val="center"/>
              <w:rPr>
                <w:szCs w:val="21"/>
              </w:rPr>
            </w:pPr>
            <w:r>
              <w:rPr>
                <w:kern w:val="0"/>
                <w:szCs w:val="21"/>
                <w:lang w:bidi="ar"/>
              </w:rPr>
              <w:t xml:space="preserve">218.72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09EDED3E">
            <w:pPr>
              <w:widowControl/>
              <w:jc w:val="center"/>
              <w:textAlignment w:val="center"/>
              <w:rPr>
                <w:szCs w:val="21"/>
              </w:rPr>
            </w:pPr>
            <w:r>
              <w:rPr>
                <w:kern w:val="0"/>
                <w:szCs w:val="21"/>
                <w:lang w:bidi="ar"/>
              </w:rPr>
              <w:t xml:space="preserve">791.56 </w:t>
            </w:r>
          </w:p>
        </w:tc>
        <w:tc>
          <w:tcPr>
            <w:tcW w:w="880" w:type="dxa"/>
            <w:vMerge w:val="restart"/>
            <w:tcBorders>
              <w:top w:val="single" w:color="000000" w:sz="4" w:space="0"/>
              <w:left w:val="single" w:color="000000" w:sz="4" w:space="0"/>
              <w:right w:val="single" w:color="000000" w:sz="4" w:space="0"/>
            </w:tcBorders>
            <w:noWrap/>
            <w:vAlign w:val="center"/>
          </w:tcPr>
          <w:p w14:paraId="78C874A1">
            <w:pPr>
              <w:widowControl/>
              <w:jc w:val="center"/>
              <w:textAlignment w:val="center"/>
              <w:rPr>
                <w:kern w:val="0"/>
                <w:szCs w:val="21"/>
                <w:lang w:bidi="ar"/>
              </w:rPr>
            </w:pPr>
            <w:r>
              <w:rPr>
                <w:kern w:val="0"/>
                <w:szCs w:val="21"/>
                <w:lang w:bidi="ar"/>
              </w:rPr>
              <w:t xml:space="preserve">1010.28 </w:t>
            </w:r>
          </w:p>
        </w:tc>
      </w:tr>
      <w:tr w14:paraId="04D68CE2">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67C3D03A">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5C58CC16">
            <w:pPr>
              <w:widowControl/>
              <w:jc w:val="center"/>
              <w:textAlignment w:val="center"/>
              <w:rPr>
                <w:szCs w:val="21"/>
              </w:rPr>
            </w:pPr>
            <w:r>
              <w:rPr>
                <w:kern w:val="0"/>
                <w:szCs w:val="21"/>
                <w:lang w:bidi="ar"/>
              </w:rPr>
              <w:t>老井位置2号舍</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10BE0C5A">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5CB7CCA8">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178A88F">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7A3B8C2A">
            <w:pPr>
              <w:jc w:val="center"/>
              <w:rPr>
                <w:szCs w:val="21"/>
              </w:rPr>
            </w:pPr>
          </w:p>
        </w:tc>
        <w:tc>
          <w:tcPr>
            <w:tcW w:w="516" w:type="pct"/>
            <w:vMerge w:val="continue"/>
            <w:tcBorders>
              <w:left w:val="single" w:color="000000" w:sz="4" w:space="0"/>
              <w:bottom w:val="single" w:color="000000" w:sz="4" w:space="0"/>
              <w:right w:val="single" w:color="000000" w:sz="4" w:space="0"/>
            </w:tcBorders>
            <w:noWrap/>
            <w:vAlign w:val="center"/>
          </w:tcPr>
          <w:p w14:paraId="3581A2EB">
            <w:pPr>
              <w:jc w:val="center"/>
              <w:rPr>
                <w:szCs w:val="21"/>
              </w:rPr>
            </w:pPr>
          </w:p>
        </w:tc>
      </w:tr>
      <w:tr w14:paraId="346CC201">
        <w:tblPrEx>
          <w:tblCellMar>
            <w:top w:w="0" w:type="dxa"/>
            <w:left w:w="108" w:type="dxa"/>
            <w:bottom w:w="0" w:type="dxa"/>
            <w:right w:w="108" w:type="dxa"/>
          </w:tblCellMar>
        </w:tblPrEx>
        <w:trPr>
          <w:trHeight w:val="285" w:hRule="atLeast"/>
        </w:trPr>
        <w:tc>
          <w:tcPr>
            <w:tcW w:w="465" w:type="pct"/>
            <w:vMerge w:val="restart"/>
            <w:tcBorders>
              <w:top w:val="single" w:color="000000" w:sz="4" w:space="0"/>
              <w:left w:val="single" w:color="000000" w:sz="4" w:space="0"/>
              <w:bottom w:val="single" w:color="000000" w:sz="4" w:space="0"/>
              <w:right w:val="single" w:color="000000" w:sz="4" w:space="0"/>
            </w:tcBorders>
            <w:noWrap/>
            <w:vAlign w:val="center"/>
          </w:tcPr>
          <w:p w14:paraId="15509A52">
            <w:pPr>
              <w:widowControl/>
              <w:jc w:val="center"/>
              <w:textAlignment w:val="center"/>
              <w:rPr>
                <w:szCs w:val="21"/>
              </w:rPr>
            </w:pPr>
            <w:r>
              <w:rPr>
                <w:kern w:val="0"/>
                <w:szCs w:val="21"/>
                <w:lang w:bidi="ar"/>
              </w:rPr>
              <w:t>4号地</w:t>
            </w: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16DE39E2">
            <w:pPr>
              <w:widowControl/>
              <w:jc w:val="center"/>
              <w:textAlignment w:val="center"/>
              <w:rPr>
                <w:szCs w:val="21"/>
              </w:rPr>
            </w:pPr>
            <w:r>
              <w:rPr>
                <w:kern w:val="0"/>
                <w:szCs w:val="21"/>
                <w:lang w:bidi="ar"/>
              </w:rPr>
              <w:t>鑫旺板块1号舍</w:t>
            </w:r>
          </w:p>
        </w:tc>
        <w:tc>
          <w:tcPr>
            <w:tcW w:w="691" w:type="pct"/>
            <w:vMerge w:val="restart"/>
            <w:tcBorders>
              <w:top w:val="single" w:color="000000" w:sz="4" w:space="0"/>
              <w:left w:val="single" w:color="000000" w:sz="4" w:space="0"/>
              <w:bottom w:val="single" w:color="000000" w:sz="4" w:space="0"/>
              <w:right w:val="single" w:color="000000" w:sz="4" w:space="0"/>
            </w:tcBorders>
            <w:noWrap/>
            <w:vAlign w:val="center"/>
          </w:tcPr>
          <w:p w14:paraId="7DF88C8C">
            <w:pPr>
              <w:widowControl/>
              <w:jc w:val="center"/>
              <w:textAlignment w:val="center"/>
              <w:rPr>
                <w:szCs w:val="21"/>
              </w:rPr>
            </w:pPr>
            <w:r>
              <w:rPr>
                <w:kern w:val="0"/>
                <w:szCs w:val="21"/>
                <w:lang w:bidi="ar"/>
              </w:rPr>
              <w:t xml:space="preserve">5.12 </w:t>
            </w:r>
          </w:p>
        </w:tc>
        <w:tc>
          <w:tcPr>
            <w:tcW w:w="696" w:type="pct"/>
            <w:vMerge w:val="restart"/>
            <w:tcBorders>
              <w:top w:val="single" w:color="000000" w:sz="4" w:space="0"/>
              <w:left w:val="single" w:color="000000" w:sz="4" w:space="0"/>
              <w:bottom w:val="single" w:color="000000" w:sz="4" w:space="0"/>
              <w:right w:val="single" w:color="000000" w:sz="4" w:space="0"/>
            </w:tcBorders>
            <w:noWrap/>
            <w:vAlign w:val="center"/>
          </w:tcPr>
          <w:p w14:paraId="41861ADF">
            <w:pPr>
              <w:widowControl/>
              <w:jc w:val="center"/>
              <w:textAlignment w:val="center"/>
              <w:rPr>
                <w:szCs w:val="21"/>
              </w:rPr>
            </w:pPr>
            <w:r>
              <w:rPr>
                <w:kern w:val="0"/>
                <w:szCs w:val="21"/>
                <w:lang w:bidi="ar"/>
              </w:rPr>
              <w:t xml:space="preserve">7.41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3BDA36B8">
            <w:pPr>
              <w:widowControl/>
              <w:jc w:val="center"/>
              <w:textAlignment w:val="center"/>
              <w:rPr>
                <w:szCs w:val="21"/>
              </w:rPr>
            </w:pPr>
            <w:r>
              <w:rPr>
                <w:kern w:val="0"/>
                <w:szCs w:val="21"/>
                <w:lang w:bidi="ar"/>
              </w:rPr>
              <w:t xml:space="preserve">532.22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3A41F43D">
            <w:pPr>
              <w:widowControl/>
              <w:jc w:val="center"/>
              <w:textAlignment w:val="center"/>
              <w:rPr>
                <w:szCs w:val="21"/>
              </w:rPr>
            </w:pPr>
            <w:r>
              <w:rPr>
                <w:kern w:val="0"/>
                <w:szCs w:val="21"/>
                <w:lang w:bidi="ar"/>
              </w:rPr>
              <w:t xml:space="preserve">1926.12 </w:t>
            </w:r>
          </w:p>
        </w:tc>
        <w:tc>
          <w:tcPr>
            <w:tcW w:w="880" w:type="dxa"/>
            <w:vMerge w:val="restart"/>
            <w:tcBorders>
              <w:top w:val="single" w:color="000000" w:sz="4" w:space="0"/>
              <w:left w:val="single" w:color="000000" w:sz="4" w:space="0"/>
              <w:right w:val="single" w:color="000000" w:sz="4" w:space="0"/>
            </w:tcBorders>
            <w:noWrap/>
            <w:vAlign w:val="center"/>
          </w:tcPr>
          <w:p w14:paraId="41ED090D">
            <w:pPr>
              <w:widowControl/>
              <w:jc w:val="center"/>
              <w:textAlignment w:val="center"/>
              <w:rPr>
                <w:kern w:val="0"/>
                <w:szCs w:val="21"/>
                <w:lang w:bidi="ar"/>
              </w:rPr>
            </w:pPr>
            <w:r>
              <w:rPr>
                <w:kern w:val="0"/>
                <w:szCs w:val="21"/>
                <w:lang w:bidi="ar"/>
              </w:rPr>
              <w:t xml:space="preserve">2458.34 </w:t>
            </w:r>
          </w:p>
        </w:tc>
      </w:tr>
      <w:tr w14:paraId="7A325882">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4A5CBFA6">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2494ADD3">
            <w:pPr>
              <w:widowControl/>
              <w:jc w:val="center"/>
              <w:textAlignment w:val="center"/>
              <w:rPr>
                <w:szCs w:val="21"/>
              </w:rPr>
            </w:pPr>
            <w:r>
              <w:rPr>
                <w:kern w:val="0"/>
                <w:szCs w:val="21"/>
                <w:lang w:bidi="ar"/>
              </w:rPr>
              <w:t>鑫旺板块2号舍</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6A3DE33C">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0827678E">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2DC92C1A">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2809F70A">
            <w:pPr>
              <w:jc w:val="center"/>
              <w:rPr>
                <w:szCs w:val="21"/>
              </w:rPr>
            </w:pPr>
          </w:p>
        </w:tc>
        <w:tc>
          <w:tcPr>
            <w:tcW w:w="516" w:type="pct"/>
            <w:vMerge w:val="continue"/>
            <w:tcBorders>
              <w:left w:val="single" w:color="000000" w:sz="4" w:space="0"/>
              <w:right w:val="single" w:color="000000" w:sz="4" w:space="0"/>
            </w:tcBorders>
            <w:noWrap/>
            <w:vAlign w:val="center"/>
          </w:tcPr>
          <w:p w14:paraId="7ADA7464">
            <w:pPr>
              <w:jc w:val="center"/>
              <w:rPr>
                <w:szCs w:val="21"/>
              </w:rPr>
            </w:pPr>
          </w:p>
        </w:tc>
      </w:tr>
      <w:tr w14:paraId="0222B4C3">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0508BED5">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15D06136">
            <w:pPr>
              <w:widowControl/>
              <w:jc w:val="center"/>
              <w:textAlignment w:val="center"/>
              <w:rPr>
                <w:szCs w:val="21"/>
              </w:rPr>
            </w:pPr>
            <w:r>
              <w:rPr>
                <w:kern w:val="0"/>
                <w:szCs w:val="21"/>
                <w:lang w:bidi="ar"/>
              </w:rPr>
              <w:t>鑫旺板块3号舍</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49190D0D">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0E9C1E9F">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14B2DA36">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72CB5837">
            <w:pPr>
              <w:jc w:val="center"/>
              <w:rPr>
                <w:szCs w:val="21"/>
              </w:rPr>
            </w:pPr>
          </w:p>
        </w:tc>
        <w:tc>
          <w:tcPr>
            <w:tcW w:w="516" w:type="pct"/>
            <w:vMerge w:val="continue"/>
            <w:tcBorders>
              <w:left w:val="single" w:color="000000" w:sz="4" w:space="0"/>
              <w:bottom w:val="single" w:color="000000" w:sz="4" w:space="0"/>
              <w:right w:val="single" w:color="000000" w:sz="4" w:space="0"/>
            </w:tcBorders>
            <w:noWrap/>
            <w:vAlign w:val="center"/>
          </w:tcPr>
          <w:p w14:paraId="263C062B">
            <w:pPr>
              <w:jc w:val="center"/>
              <w:rPr>
                <w:szCs w:val="21"/>
              </w:rPr>
            </w:pPr>
          </w:p>
        </w:tc>
      </w:tr>
      <w:tr w14:paraId="0E0B8164">
        <w:tblPrEx>
          <w:tblCellMar>
            <w:top w:w="0" w:type="dxa"/>
            <w:left w:w="108" w:type="dxa"/>
            <w:bottom w:w="0" w:type="dxa"/>
            <w:right w:w="108" w:type="dxa"/>
          </w:tblCellMar>
        </w:tblPrEx>
        <w:trPr>
          <w:trHeight w:val="285" w:hRule="atLeast"/>
        </w:trPr>
        <w:tc>
          <w:tcPr>
            <w:tcW w:w="465" w:type="pct"/>
            <w:vMerge w:val="restart"/>
            <w:tcBorders>
              <w:top w:val="single" w:color="000000" w:sz="4" w:space="0"/>
              <w:left w:val="single" w:color="000000" w:sz="4" w:space="0"/>
              <w:bottom w:val="single" w:color="000000" w:sz="4" w:space="0"/>
              <w:right w:val="single" w:color="000000" w:sz="4" w:space="0"/>
            </w:tcBorders>
            <w:noWrap/>
            <w:vAlign w:val="center"/>
          </w:tcPr>
          <w:p w14:paraId="4B634A94">
            <w:pPr>
              <w:widowControl/>
              <w:jc w:val="center"/>
              <w:textAlignment w:val="center"/>
              <w:rPr>
                <w:szCs w:val="21"/>
              </w:rPr>
            </w:pPr>
            <w:r>
              <w:rPr>
                <w:kern w:val="0"/>
                <w:szCs w:val="21"/>
                <w:lang w:bidi="ar"/>
              </w:rPr>
              <w:t>5号地</w:t>
            </w: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6384D433">
            <w:pPr>
              <w:widowControl/>
              <w:jc w:val="center"/>
              <w:textAlignment w:val="center"/>
              <w:rPr>
                <w:szCs w:val="21"/>
              </w:rPr>
            </w:pPr>
            <w:r>
              <w:rPr>
                <w:kern w:val="0"/>
                <w:szCs w:val="21"/>
                <w:lang w:bidi="ar"/>
              </w:rPr>
              <w:t>大河边篮球场位置猪舍</w:t>
            </w:r>
          </w:p>
        </w:tc>
        <w:tc>
          <w:tcPr>
            <w:tcW w:w="691" w:type="pct"/>
            <w:vMerge w:val="restart"/>
            <w:tcBorders>
              <w:top w:val="single" w:color="000000" w:sz="4" w:space="0"/>
              <w:left w:val="single" w:color="000000" w:sz="4" w:space="0"/>
              <w:bottom w:val="single" w:color="000000" w:sz="4" w:space="0"/>
              <w:right w:val="single" w:color="000000" w:sz="4" w:space="0"/>
            </w:tcBorders>
            <w:noWrap/>
            <w:vAlign w:val="center"/>
          </w:tcPr>
          <w:p w14:paraId="7B1CC86D">
            <w:pPr>
              <w:widowControl/>
              <w:jc w:val="center"/>
              <w:textAlignment w:val="center"/>
              <w:rPr>
                <w:szCs w:val="21"/>
              </w:rPr>
            </w:pPr>
            <w:r>
              <w:rPr>
                <w:kern w:val="0"/>
                <w:szCs w:val="21"/>
                <w:lang w:bidi="ar"/>
              </w:rPr>
              <w:t xml:space="preserve">4.01 </w:t>
            </w:r>
          </w:p>
        </w:tc>
        <w:tc>
          <w:tcPr>
            <w:tcW w:w="696" w:type="pct"/>
            <w:vMerge w:val="restart"/>
            <w:tcBorders>
              <w:top w:val="single" w:color="000000" w:sz="4" w:space="0"/>
              <w:left w:val="single" w:color="000000" w:sz="4" w:space="0"/>
              <w:bottom w:val="single" w:color="000000" w:sz="4" w:space="0"/>
              <w:right w:val="single" w:color="000000" w:sz="4" w:space="0"/>
            </w:tcBorders>
            <w:noWrap/>
            <w:vAlign w:val="center"/>
          </w:tcPr>
          <w:p w14:paraId="0E210AC2">
            <w:pPr>
              <w:widowControl/>
              <w:jc w:val="center"/>
              <w:textAlignment w:val="center"/>
              <w:rPr>
                <w:szCs w:val="21"/>
              </w:rPr>
            </w:pPr>
            <w:r>
              <w:rPr>
                <w:kern w:val="0"/>
                <w:szCs w:val="21"/>
                <w:lang w:bidi="ar"/>
              </w:rPr>
              <w:t xml:space="preserve">5.80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461CD831">
            <w:pPr>
              <w:widowControl/>
              <w:jc w:val="center"/>
              <w:textAlignment w:val="center"/>
              <w:rPr>
                <w:szCs w:val="21"/>
              </w:rPr>
            </w:pPr>
            <w:r>
              <w:rPr>
                <w:kern w:val="0"/>
                <w:szCs w:val="21"/>
                <w:lang w:bidi="ar"/>
              </w:rPr>
              <w:t xml:space="preserve">416.89 </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2B70B86C">
            <w:pPr>
              <w:widowControl/>
              <w:jc w:val="center"/>
              <w:textAlignment w:val="center"/>
              <w:rPr>
                <w:szCs w:val="21"/>
              </w:rPr>
            </w:pPr>
            <w:r>
              <w:rPr>
                <w:kern w:val="0"/>
                <w:szCs w:val="21"/>
                <w:lang w:bidi="ar"/>
              </w:rPr>
              <w:t xml:space="preserve">1508.76 </w:t>
            </w:r>
          </w:p>
        </w:tc>
        <w:tc>
          <w:tcPr>
            <w:tcW w:w="880" w:type="dxa"/>
            <w:vMerge w:val="restart"/>
            <w:tcBorders>
              <w:top w:val="single" w:color="000000" w:sz="4" w:space="0"/>
              <w:left w:val="single" w:color="000000" w:sz="4" w:space="0"/>
              <w:right w:val="single" w:color="000000" w:sz="4" w:space="0"/>
            </w:tcBorders>
            <w:noWrap/>
            <w:vAlign w:val="center"/>
          </w:tcPr>
          <w:p w14:paraId="6C9F94D3">
            <w:pPr>
              <w:widowControl/>
              <w:jc w:val="center"/>
              <w:textAlignment w:val="center"/>
              <w:rPr>
                <w:kern w:val="0"/>
                <w:szCs w:val="21"/>
                <w:lang w:bidi="ar"/>
              </w:rPr>
            </w:pPr>
            <w:r>
              <w:rPr>
                <w:kern w:val="0"/>
                <w:szCs w:val="21"/>
                <w:lang w:bidi="ar"/>
              </w:rPr>
              <w:t xml:space="preserve">1925.65 </w:t>
            </w:r>
          </w:p>
        </w:tc>
      </w:tr>
      <w:tr w14:paraId="4AF55F9A">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3E5A7BB1">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596607FE">
            <w:pPr>
              <w:widowControl/>
              <w:jc w:val="center"/>
              <w:textAlignment w:val="center"/>
              <w:rPr>
                <w:szCs w:val="21"/>
              </w:rPr>
            </w:pPr>
            <w:r>
              <w:rPr>
                <w:kern w:val="0"/>
                <w:szCs w:val="21"/>
                <w:lang w:bidi="ar"/>
              </w:rPr>
              <w:t>大河边上煤仓位置1号舍</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099743BD">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1ADB6D5F">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1C91ABC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6D1734DC">
            <w:pPr>
              <w:jc w:val="center"/>
              <w:rPr>
                <w:szCs w:val="21"/>
              </w:rPr>
            </w:pPr>
          </w:p>
        </w:tc>
        <w:tc>
          <w:tcPr>
            <w:tcW w:w="516" w:type="pct"/>
            <w:vMerge w:val="continue"/>
            <w:tcBorders>
              <w:left w:val="single" w:color="000000" w:sz="4" w:space="0"/>
              <w:right w:val="single" w:color="000000" w:sz="4" w:space="0"/>
            </w:tcBorders>
            <w:noWrap/>
            <w:vAlign w:val="center"/>
          </w:tcPr>
          <w:p w14:paraId="5A993A2D">
            <w:pPr>
              <w:jc w:val="center"/>
              <w:rPr>
                <w:szCs w:val="21"/>
              </w:rPr>
            </w:pPr>
          </w:p>
        </w:tc>
      </w:tr>
      <w:tr w14:paraId="2CCA93D1">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3E533C1B">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0FD28D7A">
            <w:pPr>
              <w:widowControl/>
              <w:jc w:val="center"/>
              <w:textAlignment w:val="center"/>
              <w:rPr>
                <w:szCs w:val="21"/>
              </w:rPr>
            </w:pPr>
            <w:r>
              <w:rPr>
                <w:kern w:val="0"/>
                <w:szCs w:val="21"/>
                <w:lang w:bidi="ar"/>
              </w:rPr>
              <w:t>大河边上煤仓位置1号舍2</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3C09C679">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41DAC741">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22349839">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31F556E3">
            <w:pPr>
              <w:jc w:val="center"/>
              <w:rPr>
                <w:szCs w:val="21"/>
              </w:rPr>
            </w:pPr>
          </w:p>
        </w:tc>
        <w:tc>
          <w:tcPr>
            <w:tcW w:w="516" w:type="pct"/>
            <w:vMerge w:val="continue"/>
            <w:tcBorders>
              <w:left w:val="single" w:color="000000" w:sz="4" w:space="0"/>
              <w:right w:val="single" w:color="000000" w:sz="4" w:space="0"/>
            </w:tcBorders>
            <w:noWrap/>
            <w:vAlign w:val="center"/>
          </w:tcPr>
          <w:p w14:paraId="72140CDF">
            <w:pPr>
              <w:jc w:val="center"/>
              <w:rPr>
                <w:szCs w:val="21"/>
              </w:rPr>
            </w:pPr>
          </w:p>
        </w:tc>
      </w:tr>
      <w:tr w14:paraId="44B97B6B">
        <w:tblPrEx>
          <w:tblCellMar>
            <w:top w:w="0" w:type="dxa"/>
            <w:left w:w="108" w:type="dxa"/>
            <w:bottom w:w="0" w:type="dxa"/>
            <w:right w:w="108" w:type="dxa"/>
          </w:tblCellMar>
        </w:tblPrEx>
        <w:trPr>
          <w:trHeight w:val="285" w:hRule="atLeast"/>
        </w:trPr>
        <w:tc>
          <w:tcPr>
            <w:tcW w:w="465" w:type="pct"/>
            <w:vMerge w:val="continue"/>
            <w:tcBorders>
              <w:top w:val="single" w:color="000000" w:sz="4" w:space="0"/>
              <w:left w:val="single" w:color="000000" w:sz="4" w:space="0"/>
              <w:bottom w:val="single" w:color="000000" w:sz="4" w:space="0"/>
              <w:right w:val="single" w:color="000000" w:sz="4" w:space="0"/>
            </w:tcBorders>
            <w:noWrap/>
            <w:vAlign w:val="center"/>
          </w:tcPr>
          <w:p w14:paraId="7A37C356">
            <w:pPr>
              <w:jc w:val="center"/>
              <w:rPr>
                <w:szCs w:val="21"/>
              </w:rPr>
            </w:pPr>
          </w:p>
        </w:tc>
        <w:tc>
          <w:tcPr>
            <w:tcW w:w="1575" w:type="pct"/>
            <w:tcBorders>
              <w:top w:val="single" w:color="000000" w:sz="4" w:space="0"/>
              <w:left w:val="single" w:color="000000" w:sz="4" w:space="0"/>
              <w:bottom w:val="single" w:color="000000" w:sz="4" w:space="0"/>
              <w:right w:val="single" w:color="000000" w:sz="4" w:space="0"/>
            </w:tcBorders>
            <w:noWrap/>
            <w:vAlign w:val="center"/>
          </w:tcPr>
          <w:p w14:paraId="5E1C69B6">
            <w:pPr>
              <w:widowControl/>
              <w:jc w:val="center"/>
              <w:textAlignment w:val="center"/>
              <w:rPr>
                <w:szCs w:val="21"/>
              </w:rPr>
            </w:pPr>
            <w:r>
              <w:rPr>
                <w:kern w:val="0"/>
                <w:szCs w:val="21"/>
                <w:lang w:bidi="ar"/>
              </w:rPr>
              <w:t>大河边下煤仓位置猪舍</w:t>
            </w:r>
          </w:p>
        </w:tc>
        <w:tc>
          <w:tcPr>
            <w:tcW w:w="691" w:type="pct"/>
            <w:vMerge w:val="continue"/>
            <w:tcBorders>
              <w:top w:val="single" w:color="000000" w:sz="4" w:space="0"/>
              <w:left w:val="single" w:color="000000" w:sz="4" w:space="0"/>
              <w:bottom w:val="single" w:color="000000" w:sz="4" w:space="0"/>
              <w:right w:val="single" w:color="000000" w:sz="4" w:space="0"/>
            </w:tcBorders>
            <w:noWrap/>
            <w:vAlign w:val="center"/>
          </w:tcPr>
          <w:p w14:paraId="0EEB1C4A">
            <w:pPr>
              <w:jc w:val="center"/>
              <w:rPr>
                <w:szCs w:val="21"/>
              </w:rPr>
            </w:pPr>
          </w:p>
        </w:tc>
        <w:tc>
          <w:tcPr>
            <w:tcW w:w="696" w:type="pct"/>
            <w:vMerge w:val="continue"/>
            <w:tcBorders>
              <w:top w:val="single" w:color="000000" w:sz="4" w:space="0"/>
              <w:left w:val="single" w:color="000000" w:sz="4" w:space="0"/>
              <w:bottom w:val="single" w:color="000000" w:sz="4" w:space="0"/>
              <w:right w:val="single" w:color="000000" w:sz="4" w:space="0"/>
            </w:tcBorders>
            <w:noWrap/>
            <w:vAlign w:val="center"/>
          </w:tcPr>
          <w:p w14:paraId="15D31A58">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7544C2FF">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369E236F">
            <w:pPr>
              <w:jc w:val="center"/>
              <w:rPr>
                <w:szCs w:val="21"/>
              </w:rPr>
            </w:pPr>
          </w:p>
        </w:tc>
        <w:tc>
          <w:tcPr>
            <w:tcW w:w="516" w:type="pct"/>
            <w:vMerge w:val="continue"/>
            <w:tcBorders>
              <w:left w:val="single" w:color="000000" w:sz="4" w:space="0"/>
              <w:bottom w:val="single" w:color="000000" w:sz="4" w:space="0"/>
              <w:right w:val="single" w:color="000000" w:sz="4" w:space="0"/>
            </w:tcBorders>
            <w:noWrap/>
            <w:vAlign w:val="center"/>
          </w:tcPr>
          <w:p w14:paraId="2A7C7362">
            <w:pPr>
              <w:jc w:val="center"/>
              <w:rPr>
                <w:szCs w:val="21"/>
              </w:rPr>
            </w:pPr>
          </w:p>
        </w:tc>
      </w:tr>
      <w:tr w14:paraId="4B1D5E45">
        <w:tblPrEx>
          <w:tblCellMar>
            <w:top w:w="0" w:type="dxa"/>
            <w:left w:w="108" w:type="dxa"/>
            <w:bottom w:w="0" w:type="dxa"/>
            <w:right w:w="108" w:type="dxa"/>
          </w:tblCellMar>
        </w:tblPrEx>
        <w:trPr>
          <w:trHeight w:val="285" w:hRule="atLeast"/>
        </w:trPr>
        <w:tc>
          <w:tcPr>
            <w:tcW w:w="2040" w:type="pct"/>
            <w:gridSpan w:val="2"/>
            <w:tcBorders>
              <w:top w:val="single" w:color="000000" w:sz="4" w:space="0"/>
              <w:left w:val="single" w:color="000000" w:sz="4" w:space="0"/>
              <w:bottom w:val="single" w:color="000000" w:sz="4" w:space="0"/>
              <w:right w:val="single" w:color="000000" w:sz="4" w:space="0"/>
            </w:tcBorders>
            <w:noWrap/>
            <w:vAlign w:val="center"/>
          </w:tcPr>
          <w:p w14:paraId="65D6A215">
            <w:pPr>
              <w:rPr>
                <w:szCs w:val="21"/>
              </w:rPr>
            </w:pPr>
            <w:r>
              <w:rPr>
                <w:szCs w:val="21"/>
              </w:rPr>
              <w:t>合计</w:t>
            </w:r>
          </w:p>
        </w:tc>
        <w:tc>
          <w:tcPr>
            <w:tcW w:w="691" w:type="pct"/>
            <w:tcBorders>
              <w:top w:val="single" w:color="000000" w:sz="4" w:space="0"/>
              <w:left w:val="single" w:color="000000" w:sz="4" w:space="0"/>
              <w:bottom w:val="single" w:color="000000" w:sz="4" w:space="0"/>
              <w:right w:val="single" w:color="000000" w:sz="4" w:space="0"/>
            </w:tcBorders>
            <w:noWrap/>
            <w:vAlign w:val="center"/>
          </w:tcPr>
          <w:p w14:paraId="38703216">
            <w:pPr>
              <w:widowControl/>
              <w:jc w:val="right"/>
              <w:textAlignment w:val="center"/>
              <w:rPr>
                <w:kern w:val="0"/>
                <w:szCs w:val="21"/>
                <w:lang w:bidi="ar"/>
              </w:rPr>
            </w:pPr>
            <w:r>
              <w:rPr>
                <w:kern w:val="0"/>
                <w:szCs w:val="21"/>
                <w:lang w:bidi="ar"/>
              </w:rPr>
              <w:t xml:space="preserve">18.20 </w:t>
            </w:r>
          </w:p>
        </w:tc>
        <w:tc>
          <w:tcPr>
            <w:tcW w:w="696" w:type="pct"/>
            <w:tcBorders>
              <w:top w:val="single" w:color="000000" w:sz="4" w:space="0"/>
              <w:left w:val="single" w:color="000000" w:sz="4" w:space="0"/>
              <w:bottom w:val="single" w:color="000000" w:sz="4" w:space="0"/>
              <w:right w:val="single" w:color="000000" w:sz="4" w:space="0"/>
            </w:tcBorders>
            <w:noWrap/>
            <w:vAlign w:val="center"/>
          </w:tcPr>
          <w:p w14:paraId="439944C2">
            <w:pPr>
              <w:widowControl/>
              <w:jc w:val="right"/>
              <w:textAlignment w:val="center"/>
              <w:rPr>
                <w:kern w:val="0"/>
                <w:szCs w:val="21"/>
                <w:lang w:bidi="ar"/>
              </w:rPr>
            </w:pPr>
            <w:r>
              <w:rPr>
                <w:kern w:val="0"/>
                <w:szCs w:val="21"/>
                <w:lang w:bidi="ar"/>
              </w:rPr>
              <w:t xml:space="preserve">26.35 </w:t>
            </w: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1D0570F7">
            <w:pPr>
              <w:widowControl/>
              <w:jc w:val="right"/>
              <w:textAlignment w:val="center"/>
              <w:rPr>
                <w:kern w:val="0"/>
                <w:szCs w:val="21"/>
                <w:lang w:bidi="ar"/>
              </w:rPr>
            </w:pPr>
            <w:r>
              <w:rPr>
                <w:kern w:val="0"/>
                <w:szCs w:val="21"/>
                <w:lang w:bidi="ar"/>
              </w:rPr>
              <w:t xml:space="preserve">1892.81 </w:t>
            </w: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6A842FB5">
            <w:pPr>
              <w:widowControl/>
              <w:jc w:val="right"/>
              <w:textAlignment w:val="center"/>
              <w:rPr>
                <w:szCs w:val="21"/>
              </w:rPr>
            </w:pPr>
            <w:r>
              <w:rPr>
                <w:kern w:val="0"/>
                <w:szCs w:val="21"/>
                <w:lang w:bidi="ar"/>
              </w:rPr>
              <w:t xml:space="preserve">6850.19 </w:t>
            </w:r>
          </w:p>
        </w:tc>
        <w:tc>
          <w:tcPr>
            <w:tcW w:w="880" w:type="dxa"/>
            <w:tcBorders>
              <w:top w:val="single" w:color="000000" w:sz="4" w:space="0"/>
              <w:left w:val="single" w:color="000000" w:sz="4" w:space="0"/>
              <w:bottom w:val="single" w:color="000000" w:sz="4" w:space="0"/>
              <w:right w:val="single" w:color="000000" w:sz="4" w:space="0"/>
            </w:tcBorders>
            <w:noWrap/>
            <w:vAlign w:val="center"/>
          </w:tcPr>
          <w:p w14:paraId="08FF4547">
            <w:pPr>
              <w:widowControl/>
              <w:jc w:val="right"/>
              <w:textAlignment w:val="center"/>
              <w:rPr>
                <w:kern w:val="0"/>
                <w:szCs w:val="21"/>
                <w:lang w:bidi="ar"/>
              </w:rPr>
            </w:pPr>
            <w:r>
              <w:rPr>
                <w:kern w:val="0"/>
                <w:szCs w:val="21"/>
                <w:lang w:bidi="ar"/>
              </w:rPr>
              <w:t xml:space="preserve">8743.00 </w:t>
            </w:r>
          </w:p>
        </w:tc>
      </w:tr>
    </w:tbl>
    <w:p w14:paraId="21D09FD7">
      <w:pPr>
        <w:pStyle w:val="1362"/>
        <w:snapToGrid/>
        <w:spacing w:line="276" w:lineRule="auto"/>
        <w:ind w:left="480" w:firstLine="422"/>
        <w:rPr>
          <w:rFonts w:ascii="Times New Roman" w:hAnsi="Times New Roman" w:cs="Times New Roman"/>
          <w:b/>
          <w:color w:val="auto"/>
          <w:sz w:val="21"/>
          <w:szCs w:val="21"/>
        </w:rPr>
      </w:pPr>
    </w:p>
    <w:p w14:paraId="294B9A21">
      <w:pPr>
        <w:pStyle w:val="323"/>
        <w:spacing w:line="360" w:lineRule="auto"/>
        <w:ind w:firstLine="461"/>
      </w:pPr>
      <w:r>
        <w:t>根据表3.3-7可得，项目保育阶段猪只尿液产生量为</w:t>
      </w:r>
      <w:r>
        <w:rPr>
          <w:kern w:val="0"/>
          <w:lang w:bidi="ar"/>
        </w:rPr>
        <w:t>18.20</w:t>
      </w:r>
      <w:r>
        <w:t>m</w:t>
      </w:r>
      <w:r>
        <w:rPr>
          <w:vertAlign w:val="superscript"/>
        </w:rPr>
        <w:t>3</w:t>
      </w:r>
      <w:r>
        <w:t>/d，育肥阶段猪只尿液产生量为</w:t>
      </w:r>
      <w:r>
        <w:rPr>
          <w:kern w:val="0"/>
          <w:lang w:bidi="ar"/>
        </w:rPr>
        <w:t>26.35</w:t>
      </w:r>
      <w:r>
        <w:t>m</w:t>
      </w:r>
      <w:r>
        <w:rPr>
          <w:vertAlign w:val="superscript"/>
        </w:rPr>
        <w:t>3</w:t>
      </w:r>
      <w:r>
        <w:t>/d，年尿液产生量</w:t>
      </w:r>
      <w:r>
        <w:rPr>
          <w:kern w:val="0"/>
          <w:lang w:bidi="ar"/>
        </w:rPr>
        <w:t xml:space="preserve">8743.00 </w:t>
      </w:r>
      <w:r>
        <w:t>m</w:t>
      </w:r>
      <w:r>
        <w:rPr>
          <w:vertAlign w:val="superscript"/>
        </w:rPr>
        <w:t>3</w:t>
      </w:r>
      <w:r>
        <w:t>/a，猪只尿液通过污水管道分别进入各养殖地块污水处理系统。</w:t>
      </w:r>
    </w:p>
    <w:p w14:paraId="038546A9">
      <w:pPr>
        <w:spacing w:line="360" w:lineRule="auto"/>
        <w:ind w:firstLine="482" w:firstLineChars="200"/>
        <w:rPr>
          <w:b/>
          <w:sz w:val="24"/>
        </w:rPr>
      </w:pPr>
      <w:r>
        <w:rPr>
          <w:b/>
          <w:sz w:val="24"/>
        </w:rPr>
        <w:t>2、猪粪固液分离废水及堆肥区渗滤液（W2）</w:t>
      </w:r>
    </w:p>
    <w:p w14:paraId="4121C78D">
      <w:pPr>
        <w:spacing w:line="360" w:lineRule="auto"/>
        <w:ind w:firstLine="480" w:firstLineChars="200"/>
        <w:rPr>
          <w:bCs/>
          <w:sz w:val="24"/>
        </w:rPr>
      </w:pPr>
      <w:r>
        <w:rPr>
          <w:bCs/>
          <w:sz w:val="24"/>
        </w:rPr>
        <w:t>堆肥区渗滤液按固粪产生量的1%计算，项目固粪产生量见表3.4-</w:t>
      </w:r>
      <w:r>
        <w:rPr>
          <w:rFonts w:hint="eastAsia"/>
          <w:bCs/>
          <w:sz w:val="24"/>
        </w:rPr>
        <w:t>14</w:t>
      </w:r>
      <w:r>
        <w:t>，</w:t>
      </w:r>
      <w:r>
        <w:rPr>
          <w:bCs/>
          <w:sz w:val="24"/>
        </w:rPr>
        <w:t>堆肥区渗滤液产生量见下表：</w:t>
      </w:r>
    </w:p>
    <w:p w14:paraId="1B23D05A">
      <w:pPr>
        <w:pStyle w:val="35"/>
        <w:ind w:firstLine="1687" w:firstLineChars="700"/>
        <w:jc w:val="center"/>
        <w:rPr>
          <w:b/>
        </w:rPr>
      </w:pPr>
      <w:r>
        <w:rPr>
          <w:b/>
          <w:sz w:val="24"/>
        </w:rPr>
        <w:t>表3.3-8堆肥固粪渗滤液产生量一览表</w:t>
      </w:r>
    </w:p>
    <w:tbl>
      <w:tblPr>
        <w:tblStyle w:val="87"/>
        <w:tblW w:w="5000" w:type="pct"/>
        <w:tblInd w:w="0" w:type="dxa"/>
        <w:tblLayout w:type="fixed"/>
        <w:tblCellMar>
          <w:top w:w="0" w:type="dxa"/>
          <w:left w:w="108" w:type="dxa"/>
          <w:bottom w:w="0" w:type="dxa"/>
          <w:right w:w="108" w:type="dxa"/>
        </w:tblCellMar>
      </w:tblPr>
      <w:tblGrid>
        <w:gridCol w:w="775"/>
        <w:gridCol w:w="2452"/>
        <w:gridCol w:w="1638"/>
        <w:gridCol w:w="982"/>
        <w:gridCol w:w="875"/>
        <w:gridCol w:w="982"/>
        <w:gridCol w:w="824"/>
      </w:tblGrid>
      <w:tr w14:paraId="08654D43">
        <w:tblPrEx>
          <w:tblCellMar>
            <w:top w:w="0" w:type="dxa"/>
            <w:left w:w="108" w:type="dxa"/>
            <w:bottom w:w="0" w:type="dxa"/>
            <w:right w:w="108" w:type="dxa"/>
          </w:tblCellMar>
        </w:tblPrEx>
        <w:trPr>
          <w:trHeight w:val="810" w:hRule="atLeast"/>
        </w:trPr>
        <w:tc>
          <w:tcPr>
            <w:tcW w:w="454" w:type="pct"/>
            <w:tcBorders>
              <w:top w:val="single" w:color="000000" w:sz="8" w:space="0"/>
              <w:left w:val="single" w:color="000000" w:sz="8" w:space="0"/>
              <w:bottom w:val="single" w:color="000000" w:sz="8" w:space="0"/>
              <w:right w:val="single" w:color="000000" w:sz="8" w:space="0"/>
            </w:tcBorders>
            <w:noWrap/>
            <w:vAlign w:val="center"/>
          </w:tcPr>
          <w:p w14:paraId="7AF0FB4F">
            <w:pPr>
              <w:widowControl/>
              <w:textAlignment w:val="center"/>
              <w:rPr>
                <w:szCs w:val="21"/>
              </w:rPr>
            </w:pPr>
            <w:r>
              <w:rPr>
                <w:kern w:val="0"/>
                <w:szCs w:val="21"/>
                <w:lang w:bidi="ar"/>
              </w:rPr>
              <w:t>地块</w:t>
            </w:r>
          </w:p>
        </w:tc>
        <w:tc>
          <w:tcPr>
            <w:tcW w:w="1435" w:type="pct"/>
            <w:tcBorders>
              <w:top w:val="single" w:color="000000" w:sz="8" w:space="0"/>
              <w:left w:val="nil"/>
              <w:bottom w:val="single" w:color="000000" w:sz="8" w:space="0"/>
              <w:right w:val="single" w:color="000000" w:sz="8" w:space="0"/>
            </w:tcBorders>
            <w:noWrap/>
            <w:vAlign w:val="center"/>
          </w:tcPr>
          <w:p w14:paraId="55C41DEB">
            <w:pPr>
              <w:widowControl/>
              <w:textAlignment w:val="center"/>
              <w:rPr>
                <w:szCs w:val="21"/>
              </w:rPr>
            </w:pPr>
            <w:r>
              <w:rPr>
                <w:kern w:val="0"/>
                <w:szCs w:val="21"/>
                <w:lang w:bidi="ar"/>
              </w:rPr>
              <w:t>养殖舍</w:t>
            </w:r>
          </w:p>
        </w:tc>
        <w:tc>
          <w:tcPr>
            <w:tcW w:w="959" w:type="pct"/>
            <w:tcBorders>
              <w:top w:val="single" w:color="000000" w:sz="8" w:space="0"/>
              <w:left w:val="nil"/>
              <w:bottom w:val="single" w:color="000000" w:sz="8" w:space="0"/>
              <w:right w:val="single" w:color="000000" w:sz="8" w:space="0"/>
            </w:tcBorders>
            <w:noWrap/>
            <w:vAlign w:val="center"/>
          </w:tcPr>
          <w:p w14:paraId="14647A3B">
            <w:pPr>
              <w:widowControl/>
              <w:jc w:val="left"/>
              <w:textAlignment w:val="center"/>
              <w:rPr>
                <w:szCs w:val="21"/>
              </w:rPr>
            </w:pPr>
            <w:r>
              <w:rPr>
                <w:kern w:val="0"/>
                <w:szCs w:val="21"/>
                <w:lang w:bidi="ar"/>
              </w:rPr>
              <w:t>存栏数量（头）</w:t>
            </w:r>
          </w:p>
        </w:tc>
        <w:tc>
          <w:tcPr>
            <w:tcW w:w="576" w:type="pct"/>
            <w:tcBorders>
              <w:top w:val="single" w:color="000000" w:sz="8" w:space="0"/>
              <w:left w:val="nil"/>
              <w:bottom w:val="single" w:color="000000" w:sz="8" w:space="0"/>
              <w:right w:val="single" w:color="000000" w:sz="8" w:space="0"/>
            </w:tcBorders>
            <w:noWrap w:val="0"/>
            <w:vAlign w:val="center"/>
          </w:tcPr>
          <w:p w14:paraId="26762917">
            <w:pPr>
              <w:widowControl/>
              <w:jc w:val="center"/>
              <w:textAlignment w:val="center"/>
              <w:rPr>
                <w:szCs w:val="21"/>
              </w:rPr>
            </w:pPr>
            <w:r>
              <w:rPr>
                <w:kern w:val="0"/>
                <w:szCs w:val="21"/>
                <w:lang w:bidi="ar"/>
              </w:rPr>
              <w:t>猪粪日产生量（kg/d）</w:t>
            </w:r>
          </w:p>
        </w:tc>
        <w:tc>
          <w:tcPr>
            <w:tcW w:w="513" w:type="pct"/>
            <w:tcBorders>
              <w:top w:val="single" w:color="000000" w:sz="8" w:space="0"/>
              <w:left w:val="nil"/>
              <w:bottom w:val="single" w:color="000000" w:sz="8" w:space="0"/>
              <w:right w:val="single" w:color="000000" w:sz="8" w:space="0"/>
            </w:tcBorders>
            <w:noWrap w:val="0"/>
            <w:vAlign w:val="center"/>
          </w:tcPr>
          <w:p w14:paraId="4744C24B">
            <w:pPr>
              <w:widowControl/>
              <w:jc w:val="center"/>
              <w:textAlignment w:val="center"/>
              <w:rPr>
                <w:szCs w:val="21"/>
              </w:rPr>
            </w:pPr>
            <w:r>
              <w:rPr>
                <w:kern w:val="0"/>
                <w:szCs w:val="21"/>
                <w:lang w:bidi="ar"/>
              </w:rPr>
              <w:t>猪粪年产生量（t/a）</w:t>
            </w:r>
          </w:p>
        </w:tc>
        <w:tc>
          <w:tcPr>
            <w:tcW w:w="576" w:type="pct"/>
            <w:tcBorders>
              <w:top w:val="single" w:color="000000" w:sz="8" w:space="0"/>
              <w:left w:val="nil"/>
              <w:bottom w:val="single" w:color="000000" w:sz="8" w:space="0"/>
              <w:right w:val="single" w:color="000000" w:sz="8" w:space="0"/>
            </w:tcBorders>
            <w:noWrap w:val="0"/>
            <w:vAlign w:val="center"/>
          </w:tcPr>
          <w:p w14:paraId="03E7AC7C">
            <w:pPr>
              <w:widowControl/>
              <w:jc w:val="center"/>
              <w:textAlignment w:val="center"/>
              <w:rPr>
                <w:szCs w:val="21"/>
              </w:rPr>
            </w:pPr>
            <w:r>
              <w:rPr>
                <w:kern w:val="0"/>
                <w:szCs w:val="21"/>
                <w:lang w:bidi="ar"/>
              </w:rPr>
              <w:t>渗率液日产生量（kg/d）</w:t>
            </w:r>
          </w:p>
        </w:tc>
        <w:tc>
          <w:tcPr>
            <w:tcW w:w="483" w:type="pct"/>
            <w:tcBorders>
              <w:top w:val="single" w:color="000000" w:sz="8" w:space="0"/>
              <w:left w:val="nil"/>
              <w:bottom w:val="single" w:color="000000" w:sz="8" w:space="0"/>
              <w:right w:val="single" w:color="000000" w:sz="8" w:space="0"/>
            </w:tcBorders>
            <w:noWrap w:val="0"/>
            <w:vAlign w:val="center"/>
          </w:tcPr>
          <w:p w14:paraId="6190ABB6">
            <w:pPr>
              <w:widowControl/>
              <w:jc w:val="center"/>
              <w:textAlignment w:val="center"/>
              <w:rPr>
                <w:szCs w:val="21"/>
              </w:rPr>
            </w:pPr>
            <w:r>
              <w:rPr>
                <w:kern w:val="0"/>
                <w:szCs w:val="21"/>
                <w:lang w:bidi="ar"/>
              </w:rPr>
              <w:t>渗率液年产生量（t/a）</w:t>
            </w:r>
          </w:p>
        </w:tc>
      </w:tr>
      <w:tr w14:paraId="50C9C979">
        <w:tblPrEx>
          <w:tblCellMar>
            <w:top w:w="0" w:type="dxa"/>
            <w:left w:w="108" w:type="dxa"/>
            <w:bottom w:w="0" w:type="dxa"/>
            <w:right w:w="108" w:type="dxa"/>
          </w:tblCellMar>
        </w:tblPrEx>
        <w:trPr>
          <w:trHeight w:val="300" w:hRule="atLeast"/>
        </w:trPr>
        <w:tc>
          <w:tcPr>
            <w:tcW w:w="454" w:type="pct"/>
            <w:vMerge w:val="restart"/>
            <w:tcBorders>
              <w:top w:val="nil"/>
              <w:left w:val="single" w:color="000000" w:sz="8" w:space="0"/>
              <w:bottom w:val="single" w:color="000000" w:sz="8" w:space="0"/>
              <w:right w:val="single" w:color="000000" w:sz="8" w:space="0"/>
            </w:tcBorders>
            <w:noWrap/>
            <w:vAlign w:val="center"/>
          </w:tcPr>
          <w:p w14:paraId="63FE055F">
            <w:pPr>
              <w:widowControl/>
              <w:jc w:val="center"/>
              <w:textAlignment w:val="center"/>
              <w:rPr>
                <w:szCs w:val="21"/>
              </w:rPr>
            </w:pPr>
            <w:r>
              <w:rPr>
                <w:kern w:val="0"/>
                <w:szCs w:val="21"/>
                <w:lang w:bidi="ar"/>
              </w:rPr>
              <w:t>1号地</w:t>
            </w:r>
          </w:p>
        </w:tc>
        <w:tc>
          <w:tcPr>
            <w:tcW w:w="1435" w:type="pct"/>
            <w:tcBorders>
              <w:top w:val="nil"/>
              <w:left w:val="nil"/>
              <w:bottom w:val="single" w:color="000000" w:sz="8" w:space="0"/>
              <w:right w:val="single" w:color="000000" w:sz="8" w:space="0"/>
            </w:tcBorders>
            <w:noWrap/>
            <w:vAlign w:val="center"/>
          </w:tcPr>
          <w:p w14:paraId="1142E11C">
            <w:pPr>
              <w:widowControl/>
              <w:jc w:val="center"/>
              <w:textAlignment w:val="center"/>
              <w:rPr>
                <w:szCs w:val="21"/>
              </w:rPr>
            </w:pPr>
            <w:r>
              <w:rPr>
                <w:kern w:val="0"/>
                <w:szCs w:val="21"/>
                <w:lang w:bidi="ar"/>
              </w:rPr>
              <w:t>盛丰通风井位置1号舍</w:t>
            </w:r>
          </w:p>
        </w:tc>
        <w:tc>
          <w:tcPr>
            <w:tcW w:w="959" w:type="pct"/>
            <w:vMerge w:val="restart"/>
            <w:tcBorders>
              <w:top w:val="nil"/>
              <w:left w:val="nil"/>
              <w:bottom w:val="single" w:color="000000" w:sz="8" w:space="0"/>
              <w:right w:val="single" w:color="000000" w:sz="8" w:space="0"/>
            </w:tcBorders>
            <w:noWrap/>
            <w:vAlign w:val="center"/>
          </w:tcPr>
          <w:p w14:paraId="0E96DAC9">
            <w:pPr>
              <w:widowControl/>
              <w:jc w:val="center"/>
              <w:textAlignment w:val="center"/>
              <w:rPr>
                <w:szCs w:val="21"/>
              </w:rPr>
            </w:pPr>
            <w:r>
              <w:rPr>
                <w:kern w:val="0"/>
                <w:szCs w:val="21"/>
                <w:lang w:bidi="ar"/>
              </w:rPr>
              <w:t>1143</w:t>
            </w:r>
          </w:p>
        </w:tc>
        <w:tc>
          <w:tcPr>
            <w:tcW w:w="576" w:type="pct"/>
            <w:vMerge w:val="restart"/>
            <w:tcBorders>
              <w:top w:val="nil"/>
              <w:left w:val="nil"/>
              <w:bottom w:val="single" w:color="000000" w:sz="8" w:space="0"/>
              <w:right w:val="single" w:color="000000" w:sz="8" w:space="0"/>
            </w:tcBorders>
            <w:noWrap/>
            <w:vAlign w:val="center"/>
          </w:tcPr>
          <w:p w14:paraId="4303E566">
            <w:pPr>
              <w:widowControl/>
              <w:jc w:val="center"/>
              <w:textAlignment w:val="center"/>
              <w:rPr>
                <w:szCs w:val="21"/>
              </w:rPr>
            </w:pPr>
            <w:r>
              <w:rPr>
                <w:kern w:val="0"/>
                <w:szCs w:val="21"/>
                <w:lang w:bidi="ar"/>
              </w:rPr>
              <w:t>1417</w:t>
            </w:r>
          </w:p>
        </w:tc>
        <w:tc>
          <w:tcPr>
            <w:tcW w:w="513" w:type="pct"/>
            <w:vMerge w:val="restart"/>
            <w:tcBorders>
              <w:top w:val="nil"/>
              <w:left w:val="nil"/>
              <w:bottom w:val="single" w:color="000000" w:sz="8" w:space="0"/>
              <w:right w:val="single" w:color="000000" w:sz="8" w:space="0"/>
            </w:tcBorders>
            <w:noWrap/>
            <w:vAlign w:val="center"/>
          </w:tcPr>
          <w:p w14:paraId="15A39912">
            <w:pPr>
              <w:widowControl/>
              <w:jc w:val="center"/>
              <w:textAlignment w:val="center"/>
              <w:rPr>
                <w:szCs w:val="21"/>
              </w:rPr>
            </w:pPr>
            <w:r>
              <w:rPr>
                <w:kern w:val="0"/>
                <w:szCs w:val="21"/>
                <w:lang w:bidi="ar"/>
              </w:rPr>
              <w:t>517</w:t>
            </w:r>
          </w:p>
        </w:tc>
        <w:tc>
          <w:tcPr>
            <w:tcW w:w="576" w:type="pct"/>
            <w:vMerge w:val="restart"/>
            <w:tcBorders>
              <w:top w:val="nil"/>
              <w:left w:val="nil"/>
              <w:bottom w:val="single" w:color="000000" w:sz="8" w:space="0"/>
              <w:right w:val="single" w:color="000000" w:sz="8" w:space="0"/>
            </w:tcBorders>
            <w:noWrap/>
            <w:vAlign w:val="center"/>
          </w:tcPr>
          <w:p w14:paraId="1BBB494D">
            <w:pPr>
              <w:widowControl/>
              <w:jc w:val="center"/>
              <w:textAlignment w:val="center"/>
              <w:rPr>
                <w:szCs w:val="21"/>
              </w:rPr>
            </w:pPr>
            <w:r>
              <w:rPr>
                <w:kern w:val="0"/>
                <w:szCs w:val="21"/>
                <w:lang w:bidi="ar"/>
              </w:rPr>
              <w:t>14.17</w:t>
            </w:r>
          </w:p>
        </w:tc>
        <w:tc>
          <w:tcPr>
            <w:tcW w:w="483" w:type="pct"/>
            <w:vMerge w:val="restart"/>
            <w:tcBorders>
              <w:top w:val="nil"/>
              <w:left w:val="nil"/>
              <w:bottom w:val="single" w:color="000000" w:sz="8" w:space="0"/>
              <w:right w:val="single" w:color="000000" w:sz="8" w:space="0"/>
            </w:tcBorders>
            <w:noWrap/>
            <w:vAlign w:val="center"/>
          </w:tcPr>
          <w:p w14:paraId="7AA0E832">
            <w:pPr>
              <w:widowControl/>
              <w:jc w:val="center"/>
              <w:textAlignment w:val="center"/>
              <w:rPr>
                <w:szCs w:val="21"/>
              </w:rPr>
            </w:pPr>
            <w:r>
              <w:rPr>
                <w:kern w:val="0"/>
                <w:szCs w:val="21"/>
                <w:lang w:bidi="ar"/>
              </w:rPr>
              <w:t>5.17</w:t>
            </w:r>
          </w:p>
        </w:tc>
      </w:tr>
      <w:tr w14:paraId="58B3F521">
        <w:tblPrEx>
          <w:tblCellMar>
            <w:top w:w="0" w:type="dxa"/>
            <w:left w:w="108" w:type="dxa"/>
            <w:bottom w:w="0" w:type="dxa"/>
            <w:right w:w="108" w:type="dxa"/>
          </w:tblCellMar>
        </w:tblPrEx>
        <w:trPr>
          <w:trHeight w:val="315"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68390395">
            <w:pPr>
              <w:jc w:val="center"/>
              <w:rPr>
                <w:szCs w:val="21"/>
              </w:rPr>
            </w:pPr>
          </w:p>
        </w:tc>
        <w:tc>
          <w:tcPr>
            <w:tcW w:w="1435" w:type="pct"/>
            <w:tcBorders>
              <w:top w:val="nil"/>
              <w:left w:val="nil"/>
              <w:bottom w:val="single" w:color="000000" w:sz="8" w:space="0"/>
              <w:right w:val="single" w:color="000000" w:sz="8" w:space="0"/>
            </w:tcBorders>
            <w:noWrap/>
            <w:vAlign w:val="center"/>
          </w:tcPr>
          <w:p w14:paraId="7F36FFBE">
            <w:pPr>
              <w:widowControl/>
              <w:jc w:val="center"/>
              <w:textAlignment w:val="center"/>
              <w:rPr>
                <w:szCs w:val="21"/>
              </w:rPr>
            </w:pPr>
            <w:r>
              <w:rPr>
                <w:kern w:val="0"/>
                <w:szCs w:val="21"/>
                <w:lang w:bidi="ar"/>
              </w:rPr>
              <w:t>盛丰通风井位置2号舍</w:t>
            </w:r>
          </w:p>
        </w:tc>
        <w:tc>
          <w:tcPr>
            <w:tcW w:w="959" w:type="pct"/>
            <w:vMerge w:val="continue"/>
            <w:tcBorders>
              <w:top w:val="nil"/>
              <w:left w:val="nil"/>
              <w:bottom w:val="single" w:color="000000" w:sz="8" w:space="0"/>
              <w:right w:val="single" w:color="000000" w:sz="8" w:space="0"/>
            </w:tcBorders>
            <w:noWrap/>
            <w:vAlign w:val="center"/>
          </w:tcPr>
          <w:p w14:paraId="5AC74605">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5F36680D">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60B8DB49">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4DD1C081">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36D09DBC">
            <w:pPr>
              <w:jc w:val="center"/>
              <w:rPr>
                <w:szCs w:val="21"/>
              </w:rPr>
            </w:pPr>
          </w:p>
        </w:tc>
      </w:tr>
      <w:tr w14:paraId="60ECC28B">
        <w:tblPrEx>
          <w:tblCellMar>
            <w:top w:w="0" w:type="dxa"/>
            <w:left w:w="108" w:type="dxa"/>
            <w:bottom w:w="0" w:type="dxa"/>
            <w:right w:w="108" w:type="dxa"/>
          </w:tblCellMar>
        </w:tblPrEx>
        <w:trPr>
          <w:trHeight w:val="300" w:hRule="atLeast"/>
        </w:trPr>
        <w:tc>
          <w:tcPr>
            <w:tcW w:w="454" w:type="pct"/>
            <w:vMerge w:val="restart"/>
            <w:tcBorders>
              <w:top w:val="nil"/>
              <w:left w:val="single" w:color="000000" w:sz="8" w:space="0"/>
              <w:bottom w:val="single" w:color="000000" w:sz="8" w:space="0"/>
              <w:right w:val="single" w:color="000000" w:sz="8" w:space="0"/>
            </w:tcBorders>
            <w:noWrap/>
            <w:vAlign w:val="center"/>
          </w:tcPr>
          <w:p w14:paraId="407752E0">
            <w:pPr>
              <w:widowControl/>
              <w:jc w:val="center"/>
              <w:textAlignment w:val="center"/>
              <w:rPr>
                <w:szCs w:val="21"/>
              </w:rPr>
            </w:pPr>
            <w:r>
              <w:rPr>
                <w:kern w:val="0"/>
                <w:szCs w:val="21"/>
                <w:lang w:bidi="ar"/>
              </w:rPr>
              <w:t>2号地</w:t>
            </w:r>
          </w:p>
        </w:tc>
        <w:tc>
          <w:tcPr>
            <w:tcW w:w="1435" w:type="pct"/>
            <w:tcBorders>
              <w:top w:val="nil"/>
              <w:left w:val="nil"/>
              <w:bottom w:val="single" w:color="000000" w:sz="8" w:space="0"/>
              <w:right w:val="single" w:color="000000" w:sz="8" w:space="0"/>
            </w:tcBorders>
            <w:noWrap/>
            <w:vAlign w:val="center"/>
          </w:tcPr>
          <w:p w14:paraId="5B5E7F96">
            <w:pPr>
              <w:widowControl/>
              <w:jc w:val="center"/>
              <w:textAlignment w:val="center"/>
              <w:rPr>
                <w:szCs w:val="21"/>
              </w:rPr>
            </w:pPr>
            <w:r>
              <w:rPr>
                <w:kern w:val="0"/>
                <w:szCs w:val="21"/>
                <w:lang w:bidi="ar"/>
              </w:rPr>
              <w:t>盛丰焦化楼位置1号舍</w:t>
            </w:r>
          </w:p>
        </w:tc>
        <w:tc>
          <w:tcPr>
            <w:tcW w:w="959" w:type="pct"/>
            <w:vMerge w:val="restart"/>
            <w:tcBorders>
              <w:top w:val="nil"/>
              <w:left w:val="nil"/>
              <w:bottom w:val="single" w:color="000000" w:sz="8" w:space="0"/>
              <w:right w:val="single" w:color="000000" w:sz="8" w:space="0"/>
            </w:tcBorders>
            <w:noWrap/>
            <w:vAlign w:val="center"/>
          </w:tcPr>
          <w:p w14:paraId="5D3B671C">
            <w:pPr>
              <w:widowControl/>
              <w:jc w:val="center"/>
              <w:textAlignment w:val="center"/>
              <w:rPr>
                <w:szCs w:val="21"/>
              </w:rPr>
            </w:pPr>
            <w:r>
              <w:rPr>
                <w:kern w:val="0"/>
                <w:szCs w:val="21"/>
                <w:lang w:bidi="ar"/>
              </w:rPr>
              <w:t>2420</w:t>
            </w:r>
          </w:p>
        </w:tc>
        <w:tc>
          <w:tcPr>
            <w:tcW w:w="576" w:type="pct"/>
            <w:vMerge w:val="restart"/>
            <w:tcBorders>
              <w:top w:val="nil"/>
              <w:left w:val="nil"/>
              <w:bottom w:val="single" w:color="000000" w:sz="8" w:space="0"/>
              <w:right w:val="single" w:color="000000" w:sz="8" w:space="0"/>
            </w:tcBorders>
            <w:noWrap/>
            <w:vAlign w:val="center"/>
          </w:tcPr>
          <w:p w14:paraId="1171030C">
            <w:pPr>
              <w:widowControl/>
              <w:jc w:val="center"/>
              <w:textAlignment w:val="center"/>
              <w:rPr>
                <w:szCs w:val="21"/>
              </w:rPr>
            </w:pPr>
            <w:r>
              <w:rPr>
                <w:kern w:val="0"/>
                <w:szCs w:val="21"/>
                <w:lang w:bidi="ar"/>
              </w:rPr>
              <w:t>3000</w:t>
            </w:r>
          </w:p>
        </w:tc>
        <w:tc>
          <w:tcPr>
            <w:tcW w:w="513" w:type="pct"/>
            <w:vMerge w:val="restart"/>
            <w:tcBorders>
              <w:top w:val="nil"/>
              <w:left w:val="nil"/>
              <w:bottom w:val="single" w:color="000000" w:sz="8" w:space="0"/>
              <w:right w:val="single" w:color="000000" w:sz="8" w:space="0"/>
            </w:tcBorders>
            <w:noWrap/>
            <w:vAlign w:val="center"/>
          </w:tcPr>
          <w:p w14:paraId="51626E37">
            <w:pPr>
              <w:widowControl/>
              <w:jc w:val="center"/>
              <w:textAlignment w:val="center"/>
              <w:rPr>
                <w:szCs w:val="21"/>
              </w:rPr>
            </w:pPr>
            <w:r>
              <w:rPr>
                <w:kern w:val="0"/>
                <w:szCs w:val="21"/>
                <w:lang w:bidi="ar"/>
              </w:rPr>
              <w:t>1095</w:t>
            </w:r>
          </w:p>
        </w:tc>
        <w:tc>
          <w:tcPr>
            <w:tcW w:w="576" w:type="pct"/>
            <w:vMerge w:val="restart"/>
            <w:tcBorders>
              <w:top w:val="nil"/>
              <w:left w:val="nil"/>
              <w:bottom w:val="single" w:color="000000" w:sz="8" w:space="0"/>
              <w:right w:val="single" w:color="000000" w:sz="8" w:space="0"/>
            </w:tcBorders>
            <w:noWrap/>
            <w:vAlign w:val="center"/>
          </w:tcPr>
          <w:p w14:paraId="1CAAD0D1">
            <w:pPr>
              <w:widowControl/>
              <w:jc w:val="center"/>
              <w:textAlignment w:val="center"/>
              <w:rPr>
                <w:szCs w:val="21"/>
              </w:rPr>
            </w:pPr>
            <w:r>
              <w:rPr>
                <w:kern w:val="0"/>
                <w:szCs w:val="21"/>
                <w:lang w:bidi="ar"/>
              </w:rPr>
              <w:t>30</w:t>
            </w:r>
          </w:p>
        </w:tc>
        <w:tc>
          <w:tcPr>
            <w:tcW w:w="483" w:type="pct"/>
            <w:vMerge w:val="restart"/>
            <w:tcBorders>
              <w:top w:val="nil"/>
              <w:left w:val="nil"/>
              <w:bottom w:val="single" w:color="000000" w:sz="8" w:space="0"/>
              <w:right w:val="single" w:color="000000" w:sz="8" w:space="0"/>
            </w:tcBorders>
            <w:noWrap/>
            <w:vAlign w:val="center"/>
          </w:tcPr>
          <w:p w14:paraId="0D5071AD">
            <w:pPr>
              <w:widowControl/>
              <w:jc w:val="center"/>
              <w:textAlignment w:val="center"/>
              <w:rPr>
                <w:szCs w:val="21"/>
              </w:rPr>
            </w:pPr>
            <w:r>
              <w:rPr>
                <w:kern w:val="0"/>
                <w:szCs w:val="21"/>
                <w:lang w:bidi="ar"/>
              </w:rPr>
              <w:t>10.95</w:t>
            </w:r>
          </w:p>
        </w:tc>
      </w:tr>
      <w:tr w14:paraId="1AE8A9C3">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01CBCC3B">
            <w:pPr>
              <w:jc w:val="center"/>
              <w:rPr>
                <w:szCs w:val="21"/>
              </w:rPr>
            </w:pPr>
          </w:p>
        </w:tc>
        <w:tc>
          <w:tcPr>
            <w:tcW w:w="1435" w:type="pct"/>
            <w:tcBorders>
              <w:top w:val="nil"/>
              <w:left w:val="nil"/>
              <w:bottom w:val="single" w:color="000000" w:sz="8" w:space="0"/>
              <w:right w:val="single" w:color="000000" w:sz="8" w:space="0"/>
            </w:tcBorders>
            <w:noWrap/>
            <w:vAlign w:val="center"/>
          </w:tcPr>
          <w:p w14:paraId="10899F1D">
            <w:pPr>
              <w:widowControl/>
              <w:jc w:val="center"/>
              <w:textAlignment w:val="center"/>
              <w:rPr>
                <w:szCs w:val="21"/>
              </w:rPr>
            </w:pPr>
            <w:r>
              <w:rPr>
                <w:kern w:val="0"/>
                <w:szCs w:val="21"/>
                <w:lang w:bidi="ar"/>
              </w:rPr>
              <w:t>盛丰焦化楼位置2号舍</w:t>
            </w:r>
          </w:p>
        </w:tc>
        <w:tc>
          <w:tcPr>
            <w:tcW w:w="959" w:type="pct"/>
            <w:vMerge w:val="continue"/>
            <w:tcBorders>
              <w:top w:val="nil"/>
              <w:left w:val="nil"/>
              <w:bottom w:val="single" w:color="000000" w:sz="8" w:space="0"/>
              <w:right w:val="single" w:color="000000" w:sz="8" w:space="0"/>
            </w:tcBorders>
            <w:noWrap/>
            <w:vAlign w:val="center"/>
          </w:tcPr>
          <w:p w14:paraId="3FE58568">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1620472A">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055073B5">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70217170">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609F893E">
            <w:pPr>
              <w:jc w:val="center"/>
              <w:rPr>
                <w:szCs w:val="21"/>
              </w:rPr>
            </w:pPr>
          </w:p>
        </w:tc>
      </w:tr>
      <w:tr w14:paraId="29B09B5B">
        <w:tblPrEx>
          <w:tblCellMar>
            <w:top w:w="0" w:type="dxa"/>
            <w:left w:w="108" w:type="dxa"/>
            <w:bottom w:w="0" w:type="dxa"/>
            <w:right w:w="108" w:type="dxa"/>
          </w:tblCellMar>
        </w:tblPrEx>
        <w:trPr>
          <w:trHeight w:val="315"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6FDDC2F0">
            <w:pPr>
              <w:jc w:val="center"/>
              <w:rPr>
                <w:szCs w:val="21"/>
              </w:rPr>
            </w:pPr>
          </w:p>
        </w:tc>
        <w:tc>
          <w:tcPr>
            <w:tcW w:w="1435" w:type="pct"/>
            <w:tcBorders>
              <w:top w:val="nil"/>
              <w:left w:val="nil"/>
              <w:bottom w:val="single" w:color="000000" w:sz="8" w:space="0"/>
              <w:right w:val="single" w:color="000000" w:sz="8" w:space="0"/>
            </w:tcBorders>
            <w:noWrap/>
            <w:vAlign w:val="center"/>
          </w:tcPr>
          <w:p w14:paraId="0083653B">
            <w:pPr>
              <w:widowControl/>
              <w:jc w:val="center"/>
              <w:textAlignment w:val="center"/>
              <w:rPr>
                <w:szCs w:val="21"/>
              </w:rPr>
            </w:pPr>
            <w:r>
              <w:rPr>
                <w:kern w:val="0"/>
                <w:szCs w:val="21"/>
                <w:lang w:bidi="ar"/>
              </w:rPr>
              <w:t>球场位置1单元</w:t>
            </w:r>
          </w:p>
        </w:tc>
        <w:tc>
          <w:tcPr>
            <w:tcW w:w="959" w:type="pct"/>
            <w:vMerge w:val="continue"/>
            <w:tcBorders>
              <w:top w:val="nil"/>
              <w:left w:val="nil"/>
              <w:bottom w:val="single" w:color="000000" w:sz="8" w:space="0"/>
              <w:right w:val="single" w:color="000000" w:sz="8" w:space="0"/>
            </w:tcBorders>
            <w:noWrap/>
            <w:vAlign w:val="center"/>
          </w:tcPr>
          <w:p w14:paraId="64767D91">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283DA445">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480A9825">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290EA3C6">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2365D9DF">
            <w:pPr>
              <w:jc w:val="center"/>
              <w:rPr>
                <w:szCs w:val="21"/>
              </w:rPr>
            </w:pPr>
          </w:p>
        </w:tc>
      </w:tr>
      <w:tr w14:paraId="1252412C">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3367683B">
            <w:pPr>
              <w:jc w:val="center"/>
              <w:rPr>
                <w:szCs w:val="21"/>
              </w:rPr>
            </w:pPr>
          </w:p>
        </w:tc>
        <w:tc>
          <w:tcPr>
            <w:tcW w:w="1435" w:type="pct"/>
            <w:tcBorders>
              <w:top w:val="nil"/>
              <w:left w:val="nil"/>
              <w:bottom w:val="single" w:color="000000" w:sz="8" w:space="0"/>
              <w:right w:val="single" w:color="000000" w:sz="8" w:space="0"/>
            </w:tcBorders>
            <w:noWrap/>
            <w:vAlign w:val="center"/>
          </w:tcPr>
          <w:p w14:paraId="1458BE3F">
            <w:pPr>
              <w:widowControl/>
              <w:jc w:val="center"/>
              <w:textAlignment w:val="center"/>
              <w:rPr>
                <w:szCs w:val="21"/>
              </w:rPr>
            </w:pPr>
            <w:r>
              <w:rPr>
                <w:kern w:val="0"/>
                <w:szCs w:val="21"/>
                <w:lang w:bidi="ar"/>
              </w:rPr>
              <w:t>球场位置2单元</w:t>
            </w:r>
          </w:p>
        </w:tc>
        <w:tc>
          <w:tcPr>
            <w:tcW w:w="959" w:type="pct"/>
            <w:vMerge w:val="continue"/>
            <w:tcBorders>
              <w:top w:val="nil"/>
              <w:left w:val="nil"/>
              <w:bottom w:val="single" w:color="000000" w:sz="8" w:space="0"/>
              <w:right w:val="single" w:color="000000" w:sz="8" w:space="0"/>
            </w:tcBorders>
            <w:noWrap/>
            <w:vAlign w:val="center"/>
          </w:tcPr>
          <w:p w14:paraId="66E4F676">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5DA59743">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778605B5">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2113BCCD">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62121DF1">
            <w:pPr>
              <w:jc w:val="center"/>
              <w:rPr>
                <w:szCs w:val="21"/>
              </w:rPr>
            </w:pPr>
          </w:p>
        </w:tc>
      </w:tr>
      <w:tr w14:paraId="16CEB611">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7D3A5699">
            <w:pPr>
              <w:jc w:val="center"/>
              <w:rPr>
                <w:szCs w:val="21"/>
              </w:rPr>
            </w:pPr>
          </w:p>
        </w:tc>
        <w:tc>
          <w:tcPr>
            <w:tcW w:w="1435" w:type="pct"/>
            <w:tcBorders>
              <w:top w:val="nil"/>
              <w:left w:val="nil"/>
              <w:bottom w:val="single" w:color="000000" w:sz="8" w:space="0"/>
              <w:right w:val="single" w:color="000000" w:sz="8" w:space="0"/>
            </w:tcBorders>
            <w:noWrap/>
            <w:vAlign w:val="center"/>
          </w:tcPr>
          <w:p w14:paraId="20D7BDD8">
            <w:pPr>
              <w:widowControl/>
              <w:jc w:val="center"/>
              <w:textAlignment w:val="center"/>
              <w:rPr>
                <w:szCs w:val="21"/>
              </w:rPr>
            </w:pPr>
            <w:r>
              <w:rPr>
                <w:kern w:val="0"/>
                <w:szCs w:val="21"/>
                <w:lang w:bidi="ar"/>
              </w:rPr>
              <w:t>球场位置3单元</w:t>
            </w:r>
          </w:p>
        </w:tc>
        <w:tc>
          <w:tcPr>
            <w:tcW w:w="959" w:type="pct"/>
            <w:vMerge w:val="continue"/>
            <w:tcBorders>
              <w:top w:val="nil"/>
              <w:left w:val="nil"/>
              <w:bottom w:val="single" w:color="000000" w:sz="8" w:space="0"/>
              <w:right w:val="single" w:color="000000" w:sz="8" w:space="0"/>
            </w:tcBorders>
            <w:noWrap/>
            <w:vAlign w:val="center"/>
          </w:tcPr>
          <w:p w14:paraId="02DDB13C">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34E8F188">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486A22CA">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6506D573">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3D7BACC1">
            <w:pPr>
              <w:jc w:val="center"/>
              <w:rPr>
                <w:szCs w:val="21"/>
              </w:rPr>
            </w:pPr>
          </w:p>
        </w:tc>
      </w:tr>
      <w:tr w14:paraId="6B13ABAA">
        <w:tblPrEx>
          <w:tblCellMar>
            <w:top w:w="0" w:type="dxa"/>
            <w:left w:w="108" w:type="dxa"/>
            <w:bottom w:w="0" w:type="dxa"/>
            <w:right w:w="108" w:type="dxa"/>
          </w:tblCellMar>
        </w:tblPrEx>
        <w:trPr>
          <w:trHeight w:val="300" w:hRule="atLeast"/>
        </w:trPr>
        <w:tc>
          <w:tcPr>
            <w:tcW w:w="454" w:type="pct"/>
            <w:vMerge w:val="restart"/>
            <w:tcBorders>
              <w:top w:val="nil"/>
              <w:left w:val="single" w:color="000000" w:sz="8" w:space="0"/>
              <w:bottom w:val="single" w:color="000000" w:sz="8" w:space="0"/>
              <w:right w:val="single" w:color="000000" w:sz="8" w:space="0"/>
            </w:tcBorders>
            <w:noWrap/>
            <w:vAlign w:val="center"/>
          </w:tcPr>
          <w:p w14:paraId="40DFD229">
            <w:pPr>
              <w:widowControl/>
              <w:jc w:val="center"/>
              <w:textAlignment w:val="center"/>
              <w:rPr>
                <w:szCs w:val="21"/>
              </w:rPr>
            </w:pPr>
            <w:r>
              <w:rPr>
                <w:kern w:val="0"/>
                <w:szCs w:val="21"/>
                <w:lang w:bidi="ar"/>
              </w:rPr>
              <w:t>3号地</w:t>
            </w:r>
          </w:p>
        </w:tc>
        <w:tc>
          <w:tcPr>
            <w:tcW w:w="1435" w:type="pct"/>
            <w:tcBorders>
              <w:top w:val="nil"/>
              <w:left w:val="nil"/>
              <w:bottom w:val="single" w:color="000000" w:sz="8" w:space="0"/>
              <w:right w:val="single" w:color="000000" w:sz="8" w:space="0"/>
            </w:tcBorders>
            <w:noWrap/>
            <w:vAlign w:val="center"/>
          </w:tcPr>
          <w:p w14:paraId="02347204">
            <w:pPr>
              <w:widowControl/>
              <w:jc w:val="center"/>
              <w:textAlignment w:val="center"/>
              <w:rPr>
                <w:szCs w:val="21"/>
              </w:rPr>
            </w:pPr>
            <w:r>
              <w:rPr>
                <w:kern w:val="0"/>
                <w:szCs w:val="21"/>
                <w:lang w:bidi="ar"/>
              </w:rPr>
              <w:t>老井位置1号舍</w:t>
            </w:r>
          </w:p>
        </w:tc>
        <w:tc>
          <w:tcPr>
            <w:tcW w:w="959" w:type="pct"/>
            <w:vMerge w:val="restart"/>
            <w:tcBorders>
              <w:top w:val="nil"/>
              <w:left w:val="nil"/>
              <w:bottom w:val="single" w:color="000000" w:sz="8" w:space="0"/>
              <w:right w:val="single" w:color="000000" w:sz="8" w:space="0"/>
            </w:tcBorders>
            <w:noWrap/>
            <w:vAlign w:val="center"/>
          </w:tcPr>
          <w:p w14:paraId="3E5FEB35">
            <w:pPr>
              <w:widowControl/>
              <w:jc w:val="center"/>
              <w:textAlignment w:val="center"/>
              <w:rPr>
                <w:szCs w:val="21"/>
              </w:rPr>
            </w:pPr>
            <w:r>
              <w:rPr>
                <w:kern w:val="0"/>
                <w:szCs w:val="21"/>
                <w:lang w:bidi="ar"/>
              </w:rPr>
              <w:t>1075</w:t>
            </w:r>
          </w:p>
        </w:tc>
        <w:tc>
          <w:tcPr>
            <w:tcW w:w="576" w:type="pct"/>
            <w:vMerge w:val="restart"/>
            <w:tcBorders>
              <w:top w:val="nil"/>
              <w:left w:val="nil"/>
              <w:bottom w:val="single" w:color="000000" w:sz="8" w:space="0"/>
              <w:right w:val="single" w:color="000000" w:sz="8" w:space="0"/>
            </w:tcBorders>
            <w:noWrap/>
            <w:vAlign w:val="center"/>
          </w:tcPr>
          <w:p w14:paraId="38555911">
            <w:pPr>
              <w:widowControl/>
              <w:jc w:val="center"/>
              <w:textAlignment w:val="center"/>
              <w:rPr>
                <w:szCs w:val="21"/>
              </w:rPr>
            </w:pPr>
            <w:r>
              <w:rPr>
                <w:kern w:val="0"/>
                <w:szCs w:val="21"/>
                <w:lang w:bidi="ar"/>
              </w:rPr>
              <w:t>1333</w:t>
            </w:r>
          </w:p>
        </w:tc>
        <w:tc>
          <w:tcPr>
            <w:tcW w:w="513" w:type="pct"/>
            <w:vMerge w:val="restart"/>
            <w:tcBorders>
              <w:top w:val="nil"/>
              <w:left w:val="nil"/>
              <w:bottom w:val="single" w:color="000000" w:sz="8" w:space="0"/>
              <w:right w:val="single" w:color="000000" w:sz="8" w:space="0"/>
            </w:tcBorders>
            <w:noWrap/>
            <w:vAlign w:val="center"/>
          </w:tcPr>
          <w:p w14:paraId="2D442DA3">
            <w:pPr>
              <w:widowControl/>
              <w:jc w:val="center"/>
              <w:textAlignment w:val="center"/>
              <w:rPr>
                <w:szCs w:val="21"/>
              </w:rPr>
            </w:pPr>
            <w:r>
              <w:rPr>
                <w:kern w:val="0"/>
                <w:szCs w:val="21"/>
                <w:lang w:bidi="ar"/>
              </w:rPr>
              <w:t>486</w:t>
            </w:r>
          </w:p>
        </w:tc>
        <w:tc>
          <w:tcPr>
            <w:tcW w:w="576" w:type="pct"/>
            <w:vMerge w:val="restart"/>
            <w:tcBorders>
              <w:top w:val="nil"/>
              <w:left w:val="nil"/>
              <w:bottom w:val="single" w:color="000000" w:sz="8" w:space="0"/>
              <w:right w:val="single" w:color="000000" w:sz="8" w:space="0"/>
            </w:tcBorders>
            <w:noWrap/>
            <w:vAlign w:val="center"/>
          </w:tcPr>
          <w:p w14:paraId="34C5A933">
            <w:pPr>
              <w:widowControl/>
              <w:jc w:val="center"/>
              <w:textAlignment w:val="center"/>
              <w:rPr>
                <w:szCs w:val="21"/>
              </w:rPr>
            </w:pPr>
            <w:r>
              <w:rPr>
                <w:kern w:val="0"/>
                <w:szCs w:val="21"/>
                <w:lang w:bidi="ar"/>
              </w:rPr>
              <w:t>13.33</w:t>
            </w:r>
          </w:p>
        </w:tc>
        <w:tc>
          <w:tcPr>
            <w:tcW w:w="483" w:type="pct"/>
            <w:vMerge w:val="restart"/>
            <w:tcBorders>
              <w:top w:val="nil"/>
              <w:left w:val="nil"/>
              <w:bottom w:val="single" w:color="000000" w:sz="8" w:space="0"/>
              <w:right w:val="single" w:color="000000" w:sz="8" w:space="0"/>
            </w:tcBorders>
            <w:noWrap/>
            <w:vAlign w:val="center"/>
          </w:tcPr>
          <w:p w14:paraId="78B171DE">
            <w:pPr>
              <w:widowControl/>
              <w:jc w:val="center"/>
              <w:textAlignment w:val="center"/>
              <w:rPr>
                <w:szCs w:val="21"/>
              </w:rPr>
            </w:pPr>
            <w:r>
              <w:rPr>
                <w:kern w:val="0"/>
                <w:szCs w:val="21"/>
                <w:lang w:bidi="ar"/>
              </w:rPr>
              <w:t>4.86</w:t>
            </w:r>
          </w:p>
        </w:tc>
      </w:tr>
      <w:tr w14:paraId="728E7BA5">
        <w:tblPrEx>
          <w:tblCellMar>
            <w:top w:w="0" w:type="dxa"/>
            <w:left w:w="108" w:type="dxa"/>
            <w:bottom w:w="0" w:type="dxa"/>
            <w:right w:w="108" w:type="dxa"/>
          </w:tblCellMar>
        </w:tblPrEx>
        <w:trPr>
          <w:trHeight w:val="315"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7425B733">
            <w:pPr>
              <w:jc w:val="center"/>
              <w:rPr>
                <w:szCs w:val="21"/>
              </w:rPr>
            </w:pPr>
          </w:p>
        </w:tc>
        <w:tc>
          <w:tcPr>
            <w:tcW w:w="1435" w:type="pct"/>
            <w:tcBorders>
              <w:top w:val="nil"/>
              <w:left w:val="nil"/>
              <w:bottom w:val="single" w:color="000000" w:sz="8" w:space="0"/>
              <w:right w:val="single" w:color="000000" w:sz="8" w:space="0"/>
            </w:tcBorders>
            <w:noWrap/>
            <w:vAlign w:val="center"/>
          </w:tcPr>
          <w:p w14:paraId="314ECCEE">
            <w:pPr>
              <w:widowControl/>
              <w:jc w:val="center"/>
              <w:textAlignment w:val="center"/>
              <w:rPr>
                <w:szCs w:val="21"/>
              </w:rPr>
            </w:pPr>
            <w:r>
              <w:rPr>
                <w:kern w:val="0"/>
                <w:szCs w:val="21"/>
                <w:lang w:bidi="ar"/>
              </w:rPr>
              <w:t>老井位置2号舍</w:t>
            </w:r>
          </w:p>
        </w:tc>
        <w:tc>
          <w:tcPr>
            <w:tcW w:w="959" w:type="pct"/>
            <w:vMerge w:val="continue"/>
            <w:tcBorders>
              <w:top w:val="nil"/>
              <w:left w:val="nil"/>
              <w:bottom w:val="single" w:color="000000" w:sz="8" w:space="0"/>
              <w:right w:val="single" w:color="000000" w:sz="8" w:space="0"/>
            </w:tcBorders>
            <w:noWrap/>
            <w:vAlign w:val="center"/>
          </w:tcPr>
          <w:p w14:paraId="5A11A55F">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7046CB2D">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46ECBF43">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30E5EDF1">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7458E676">
            <w:pPr>
              <w:jc w:val="center"/>
              <w:rPr>
                <w:szCs w:val="21"/>
              </w:rPr>
            </w:pPr>
          </w:p>
        </w:tc>
      </w:tr>
      <w:tr w14:paraId="64481BC0">
        <w:tblPrEx>
          <w:tblCellMar>
            <w:top w:w="0" w:type="dxa"/>
            <w:left w:w="108" w:type="dxa"/>
            <w:bottom w:w="0" w:type="dxa"/>
            <w:right w:w="108" w:type="dxa"/>
          </w:tblCellMar>
        </w:tblPrEx>
        <w:trPr>
          <w:trHeight w:val="300" w:hRule="atLeast"/>
        </w:trPr>
        <w:tc>
          <w:tcPr>
            <w:tcW w:w="454" w:type="pct"/>
            <w:vMerge w:val="restart"/>
            <w:tcBorders>
              <w:top w:val="nil"/>
              <w:left w:val="single" w:color="000000" w:sz="8" w:space="0"/>
              <w:bottom w:val="single" w:color="000000" w:sz="8" w:space="0"/>
              <w:right w:val="single" w:color="000000" w:sz="8" w:space="0"/>
            </w:tcBorders>
            <w:noWrap/>
            <w:vAlign w:val="center"/>
          </w:tcPr>
          <w:p w14:paraId="48C499ED">
            <w:pPr>
              <w:widowControl/>
              <w:jc w:val="center"/>
              <w:textAlignment w:val="center"/>
              <w:rPr>
                <w:szCs w:val="21"/>
              </w:rPr>
            </w:pPr>
            <w:r>
              <w:rPr>
                <w:kern w:val="0"/>
                <w:szCs w:val="21"/>
                <w:lang w:bidi="ar"/>
              </w:rPr>
              <w:t>4号地</w:t>
            </w:r>
          </w:p>
        </w:tc>
        <w:tc>
          <w:tcPr>
            <w:tcW w:w="1435" w:type="pct"/>
            <w:tcBorders>
              <w:top w:val="nil"/>
              <w:left w:val="nil"/>
              <w:bottom w:val="single" w:color="000000" w:sz="8" w:space="0"/>
              <w:right w:val="single" w:color="000000" w:sz="8" w:space="0"/>
            </w:tcBorders>
            <w:noWrap/>
            <w:vAlign w:val="center"/>
          </w:tcPr>
          <w:p w14:paraId="56953D5D">
            <w:pPr>
              <w:widowControl/>
              <w:jc w:val="center"/>
              <w:textAlignment w:val="center"/>
              <w:rPr>
                <w:szCs w:val="21"/>
              </w:rPr>
            </w:pPr>
            <w:r>
              <w:rPr>
                <w:kern w:val="0"/>
                <w:szCs w:val="21"/>
                <w:lang w:bidi="ar"/>
              </w:rPr>
              <w:t>鑫旺板块1号舍</w:t>
            </w:r>
          </w:p>
        </w:tc>
        <w:tc>
          <w:tcPr>
            <w:tcW w:w="959" w:type="pct"/>
            <w:vMerge w:val="restart"/>
            <w:tcBorders>
              <w:top w:val="nil"/>
              <w:left w:val="nil"/>
              <w:bottom w:val="single" w:color="000000" w:sz="8" w:space="0"/>
              <w:right w:val="single" w:color="000000" w:sz="8" w:space="0"/>
            </w:tcBorders>
            <w:noWrap/>
            <w:vAlign w:val="center"/>
          </w:tcPr>
          <w:p w14:paraId="4801905A">
            <w:pPr>
              <w:widowControl/>
              <w:jc w:val="center"/>
              <w:textAlignment w:val="center"/>
              <w:rPr>
                <w:szCs w:val="21"/>
              </w:rPr>
            </w:pPr>
            <w:r>
              <w:rPr>
                <w:kern w:val="0"/>
                <w:szCs w:val="21"/>
                <w:lang w:bidi="ar"/>
              </w:rPr>
              <w:t>2615</w:t>
            </w:r>
          </w:p>
        </w:tc>
        <w:tc>
          <w:tcPr>
            <w:tcW w:w="576" w:type="pct"/>
            <w:vMerge w:val="restart"/>
            <w:tcBorders>
              <w:top w:val="nil"/>
              <w:left w:val="nil"/>
              <w:bottom w:val="single" w:color="000000" w:sz="8" w:space="0"/>
              <w:right w:val="single" w:color="000000" w:sz="8" w:space="0"/>
            </w:tcBorders>
            <w:noWrap/>
            <w:vAlign w:val="center"/>
          </w:tcPr>
          <w:p w14:paraId="5BB30E81">
            <w:pPr>
              <w:widowControl/>
              <w:jc w:val="center"/>
              <w:textAlignment w:val="center"/>
              <w:rPr>
                <w:szCs w:val="21"/>
              </w:rPr>
            </w:pPr>
            <w:r>
              <w:rPr>
                <w:kern w:val="0"/>
                <w:szCs w:val="21"/>
                <w:lang w:bidi="ar"/>
              </w:rPr>
              <w:t>3243</w:t>
            </w:r>
          </w:p>
        </w:tc>
        <w:tc>
          <w:tcPr>
            <w:tcW w:w="513" w:type="pct"/>
            <w:vMerge w:val="restart"/>
            <w:tcBorders>
              <w:top w:val="nil"/>
              <w:left w:val="nil"/>
              <w:bottom w:val="single" w:color="000000" w:sz="8" w:space="0"/>
              <w:right w:val="single" w:color="000000" w:sz="8" w:space="0"/>
            </w:tcBorders>
            <w:noWrap/>
            <w:vAlign w:val="center"/>
          </w:tcPr>
          <w:p w14:paraId="58D27398">
            <w:pPr>
              <w:widowControl/>
              <w:jc w:val="center"/>
              <w:textAlignment w:val="center"/>
              <w:rPr>
                <w:szCs w:val="21"/>
              </w:rPr>
            </w:pPr>
            <w:r>
              <w:rPr>
                <w:kern w:val="0"/>
                <w:szCs w:val="21"/>
                <w:lang w:bidi="ar"/>
              </w:rPr>
              <w:t>1184</w:t>
            </w:r>
          </w:p>
        </w:tc>
        <w:tc>
          <w:tcPr>
            <w:tcW w:w="576" w:type="pct"/>
            <w:vMerge w:val="restart"/>
            <w:tcBorders>
              <w:top w:val="nil"/>
              <w:left w:val="nil"/>
              <w:bottom w:val="single" w:color="000000" w:sz="8" w:space="0"/>
              <w:right w:val="single" w:color="000000" w:sz="8" w:space="0"/>
            </w:tcBorders>
            <w:noWrap/>
            <w:vAlign w:val="center"/>
          </w:tcPr>
          <w:p w14:paraId="13708F7C">
            <w:pPr>
              <w:widowControl/>
              <w:jc w:val="center"/>
              <w:textAlignment w:val="center"/>
              <w:rPr>
                <w:szCs w:val="21"/>
              </w:rPr>
            </w:pPr>
            <w:r>
              <w:rPr>
                <w:kern w:val="0"/>
                <w:szCs w:val="21"/>
                <w:lang w:bidi="ar"/>
              </w:rPr>
              <w:t>32.43</w:t>
            </w:r>
          </w:p>
        </w:tc>
        <w:tc>
          <w:tcPr>
            <w:tcW w:w="483" w:type="pct"/>
            <w:vMerge w:val="restart"/>
            <w:tcBorders>
              <w:top w:val="nil"/>
              <w:left w:val="nil"/>
              <w:bottom w:val="single" w:color="000000" w:sz="8" w:space="0"/>
              <w:right w:val="single" w:color="000000" w:sz="8" w:space="0"/>
            </w:tcBorders>
            <w:noWrap/>
            <w:vAlign w:val="center"/>
          </w:tcPr>
          <w:p w14:paraId="4D5D3E7F">
            <w:pPr>
              <w:widowControl/>
              <w:jc w:val="center"/>
              <w:textAlignment w:val="center"/>
              <w:rPr>
                <w:szCs w:val="21"/>
              </w:rPr>
            </w:pPr>
            <w:r>
              <w:rPr>
                <w:kern w:val="0"/>
                <w:szCs w:val="21"/>
                <w:lang w:bidi="ar"/>
              </w:rPr>
              <w:t>11.84</w:t>
            </w:r>
          </w:p>
        </w:tc>
      </w:tr>
      <w:tr w14:paraId="164D4E1F">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3CBCA10A">
            <w:pPr>
              <w:jc w:val="center"/>
              <w:rPr>
                <w:szCs w:val="21"/>
              </w:rPr>
            </w:pPr>
          </w:p>
        </w:tc>
        <w:tc>
          <w:tcPr>
            <w:tcW w:w="1435" w:type="pct"/>
            <w:tcBorders>
              <w:top w:val="nil"/>
              <w:left w:val="nil"/>
              <w:bottom w:val="single" w:color="000000" w:sz="8" w:space="0"/>
              <w:right w:val="single" w:color="000000" w:sz="8" w:space="0"/>
            </w:tcBorders>
            <w:noWrap/>
            <w:vAlign w:val="center"/>
          </w:tcPr>
          <w:p w14:paraId="687DF8D6">
            <w:pPr>
              <w:widowControl/>
              <w:jc w:val="center"/>
              <w:textAlignment w:val="center"/>
              <w:rPr>
                <w:szCs w:val="21"/>
              </w:rPr>
            </w:pPr>
            <w:r>
              <w:rPr>
                <w:kern w:val="0"/>
                <w:szCs w:val="21"/>
                <w:lang w:bidi="ar"/>
              </w:rPr>
              <w:t>鑫旺板块2号舍</w:t>
            </w:r>
          </w:p>
        </w:tc>
        <w:tc>
          <w:tcPr>
            <w:tcW w:w="959" w:type="pct"/>
            <w:vMerge w:val="continue"/>
            <w:tcBorders>
              <w:top w:val="nil"/>
              <w:left w:val="nil"/>
              <w:bottom w:val="single" w:color="000000" w:sz="8" w:space="0"/>
              <w:right w:val="single" w:color="000000" w:sz="8" w:space="0"/>
            </w:tcBorders>
            <w:noWrap/>
            <w:vAlign w:val="center"/>
          </w:tcPr>
          <w:p w14:paraId="78465EB3">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0EAAF34A">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78A6D866">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4EB5C569">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0886A95B">
            <w:pPr>
              <w:jc w:val="center"/>
              <w:rPr>
                <w:szCs w:val="21"/>
              </w:rPr>
            </w:pPr>
          </w:p>
        </w:tc>
      </w:tr>
      <w:tr w14:paraId="561C5074">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3EC5EDEE">
            <w:pPr>
              <w:jc w:val="center"/>
              <w:rPr>
                <w:szCs w:val="21"/>
              </w:rPr>
            </w:pPr>
          </w:p>
        </w:tc>
        <w:tc>
          <w:tcPr>
            <w:tcW w:w="1435" w:type="pct"/>
            <w:tcBorders>
              <w:top w:val="nil"/>
              <w:left w:val="nil"/>
              <w:bottom w:val="single" w:color="000000" w:sz="8" w:space="0"/>
              <w:right w:val="single" w:color="000000" w:sz="8" w:space="0"/>
            </w:tcBorders>
            <w:noWrap/>
            <w:vAlign w:val="center"/>
          </w:tcPr>
          <w:p w14:paraId="755ED458">
            <w:pPr>
              <w:widowControl/>
              <w:jc w:val="center"/>
              <w:textAlignment w:val="center"/>
              <w:rPr>
                <w:szCs w:val="21"/>
              </w:rPr>
            </w:pPr>
            <w:r>
              <w:rPr>
                <w:kern w:val="0"/>
                <w:szCs w:val="21"/>
                <w:lang w:bidi="ar"/>
              </w:rPr>
              <w:t>鑫旺板块3号舍</w:t>
            </w:r>
          </w:p>
        </w:tc>
        <w:tc>
          <w:tcPr>
            <w:tcW w:w="959" w:type="pct"/>
            <w:vMerge w:val="continue"/>
            <w:tcBorders>
              <w:top w:val="nil"/>
              <w:left w:val="nil"/>
              <w:bottom w:val="single" w:color="000000" w:sz="8" w:space="0"/>
              <w:right w:val="single" w:color="000000" w:sz="8" w:space="0"/>
            </w:tcBorders>
            <w:noWrap/>
            <w:vAlign w:val="center"/>
          </w:tcPr>
          <w:p w14:paraId="4E763168">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7ACA4201">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6B60CBD9">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390C2DE5">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32ECFA39">
            <w:pPr>
              <w:jc w:val="center"/>
              <w:rPr>
                <w:szCs w:val="21"/>
              </w:rPr>
            </w:pPr>
          </w:p>
        </w:tc>
      </w:tr>
      <w:tr w14:paraId="2B5B7E08">
        <w:tblPrEx>
          <w:tblCellMar>
            <w:top w:w="0" w:type="dxa"/>
            <w:left w:w="108" w:type="dxa"/>
            <w:bottom w:w="0" w:type="dxa"/>
            <w:right w:w="108" w:type="dxa"/>
          </w:tblCellMar>
        </w:tblPrEx>
        <w:trPr>
          <w:trHeight w:val="300" w:hRule="atLeast"/>
        </w:trPr>
        <w:tc>
          <w:tcPr>
            <w:tcW w:w="454" w:type="pct"/>
            <w:vMerge w:val="restart"/>
            <w:tcBorders>
              <w:top w:val="nil"/>
              <w:left w:val="single" w:color="000000" w:sz="8" w:space="0"/>
              <w:bottom w:val="single" w:color="000000" w:sz="8" w:space="0"/>
              <w:right w:val="single" w:color="000000" w:sz="8" w:space="0"/>
            </w:tcBorders>
            <w:noWrap/>
            <w:vAlign w:val="center"/>
          </w:tcPr>
          <w:p w14:paraId="4B7EC974">
            <w:pPr>
              <w:widowControl/>
              <w:jc w:val="center"/>
              <w:textAlignment w:val="center"/>
              <w:rPr>
                <w:szCs w:val="21"/>
              </w:rPr>
            </w:pPr>
            <w:r>
              <w:rPr>
                <w:kern w:val="0"/>
                <w:szCs w:val="21"/>
                <w:lang w:bidi="ar"/>
              </w:rPr>
              <w:t>5号地</w:t>
            </w:r>
          </w:p>
        </w:tc>
        <w:tc>
          <w:tcPr>
            <w:tcW w:w="1435" w:type="pct"/>
            <w:tcBorders>
              <w:top w:val="nil"/>
              <w:left w:val="nil"/>
              <w:bottom w:val="single" w:color="000000" w:sz="8" w:space="0"/>
              <w:right w:val="single" w:color="000000" w:sz="8" w:space="0"/>
            </w:tcBorders>
            <w:noWrap/>
            <w:vAlign w:val="center"/>
          </w:tcPr>
          <w:p w14:paraId="29459295">
            <w:pPr>
              <w:widowControl/>
              <w:jc w:val="center"/>
              <w:textAlignment w:val="center"/>
              <w:rPr>
                <w:szCs w:val="21"/>
              </w:rPr>
            </w:pPr>
            <w:r>
              <w:rPr>
                <w:kern w:val="0"/>
                <w:szCs w:val="21"/>
                <w:lang w:bidi="ar"/>
              </w:rPr>
              <w:t>大河边篮球场位置猪舍</w:t>
            </w:r>
          </w:p>
        </w:tc>
        <w:tc>
          <w:tcPr>
            <w:tcW w:w="959" w:type="pct"/>
            <w:vMerge w:val="restart"/>
            <w:tcBorders>
              <w:top w:val="nil"/>
              <w:left w:val="nil"/>
              <w:bottom w:val="single" w:color="000000" w:sz="8" w:space="0"/>
              <w:right w:val="single" w:color="000000" w:sz="8" w:space="0"/>
            </w:tcBorders>
            <w:noWrap/>
            <w:vAlign w:val="center"/>
          </w:tcPr>
          <w:p w14:paraId="3F2C8DB8">
            <w:pPr>
              <w:widowControl/>
              <w:jc w:val="center"/>
              <w:textAlignment w:val="center"/>
              <w:rPr>
                <w:szCs w:val="21"/>
              </w:rPr>
            </w:pPr>
            <w:r>
              <w:rPr>
                <w:kern w:val="0"/>
                <w:szCs w:val="21"/>
                <w:lang w:bidi="ar"/>
              </w:rPr>
              <w:t>2048</w:t>
            </w:r>
          </w:p>
        </w:tc>
        <w:tc>
          <w:tcPr>
            <w:tcW w:w="576" w:type="pct"/>
            <w:vMerge w:val="restart"/>
            <w:tcBorders>
              <w:top w:val="nil"/>
              <w:left w:val="nil"/>
              <w:bottom w:val="single" w:color="000000" w:sz="8" w:space="0"/>
              <w:right w:val="single" w:color="000000" w:sz="8" w:space="0"/>
            </w:tcBorders>
            <w:noWrap/>
            <w:vAlign w:val="center"/>
          </w:tcPr>
          <w:p w14:paraId="7EC90097">
            <w:pPr>
              <w:widowControl/>
              <w:jc w:val="center"/>
              <w:textAlignment w:val="center"/>
              <w:rPr>
                <w:szCs w:val="21"/>
              </w:rPr>
            </w:pPr>
            <w:r>
              <w:rPr>
                <w:kern w:val="0"/>
                <w:szCs w:val="21"/>
                <w:lang w:bidi="ar"/>
              </w:rPr>
              <w:t>2540</w:t>
            </w:r>
          </w:p>
        </w:tc>
        <w:tc>
          <w:tcPr>
            <w:tcW w:w="513" w:type="pct"/>
            <w:vMerge w:val="restart"/>
            <w:tcBorders>
              <w:top w:val="nil"/>
              <w:left w:val="nil"/>
              <w:bottom w:val="single" w:color="000000" w:sz="8" w:space="0"/>
              <w:right w:val="single" w:color="000000" w:sz="8" w:space="0"/>
            </w:tcBorders>
            <w:noWrap/>
            <w:vAlign w:val="center"/>
          </w:tcPr>
          <w:p w14:paraId="64A4CA6F">
            <w:pPr>
              <w:widowControl/>
              <w:jc w:val="center"/>
              <w:textAlignment w:val="center"/>
              <w:rPr>
                <w:szCs w:val="21"/>
              </w:rPr>
            </w:pPr>
            <w:r>
              <w:rPr>
                <w:kern w:val="0"/>
                <w:szCs w:val="21"/>
                <w:lang w:bidi="ar"/>
              </w:rPr>
              <w:t>927</w:t>
            </w:r>
          </w:p>
        </w:tc>
        <w:tc>
          <w:tcPr>
            <w:tcW w:w="576" w:type="pct"/>
            <w:vMerge w:val="restart"/>
            <w:tcBorders>
              <w:top w:val="nil"/>
              <w:left w:val="nil"/>
              <w:bottom w:val="single" w:color="000000" w:sz="8" w:space="0"/>
              <w:right w:val="single" w:color="000000" w:sz="8" w:space="0"/>
            </w:tcBorders>
            <w:noWrap/>
            <w:vAlign w:val="center"/>
          </w:tcPr>
          <w:p w14:paraId="76761F28">
            <w:pPr>
              <w:widowControl/>
              <w:jc w:val="center"/>
              <w:textAlignment w:val="center"/>
              <w:rPr>
                <w:szCs w:val="21"/>
              </w:rPr>
            </w:pPr>
            <w:r>
              <w:rPr>
                <w:kern w:val="0"/>
                <w:szCs w:val="21"/>
                <w:lang w:bidi="ar"/>
              </w:rPr>
              <w:t>25.4</w:t>
            </w:r>
          </w:p>
        </w:tc>
        <w:tc>
          <w:tcPr>
            <w:tcW w:w="483" w:type="pct"/>
            <w:vMerge w:val="restart"/>
            <w:tcBorders>
              <w:top w:val="nil"/>
              <w:left w:val="nil"/>
              <w:bottom w:val="single" w:color="000000" w:sz="8" w:space="0"/>
              <w:right w:val="single" w:color="000000" w:sz="8" w:space="0"/>
            </w:tcBorders>
            <w:noWrap/>
            <w:vAlign w:val="center"/>
          </w:tcPr>
          <w:p w14:paraId="52D5C6DC">
            <w:pPr>
              <w:widowControl/>
              <w:jc w:val="center"/>
              <w:textAlignment w:val="center"/>
              <w:rPr>
                <w:szCs w:val="21"/>
              </w:rPr>
            </w:pPr>
            <w:r>
              <w:rPr>
                <w:kern w:val="0"/>
                <w:szCs w:val="21"/>
                <w:lang w:bidi="ar"/>
              </w:rPr>
              <w:t>9.27</w:t>
            </w:r>
          </w:p>
        </w:tc>
      </w:tr>
      <w:tr w14:paraId="11909BE5">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0328A8E7">
            <w:pPr>
              <w:jc w:val="center"/>
              <w:rPr>
                <w:szCs w:val="21"/>
              </w:rPr>
            </w:pPr>
          </w:p>
        </w:tc>
        <w:tc>
          <w:tcPr>
            <w:tcW w:w="1435" w:type="pct"/>
            <w:tcBorders>
              <w:top w:val="nil"/>
              <w:left w:val="nil"/>
              <w:bottom w:val="single" w:color="000000" w:sz="8" w:space="0"/>
              <w:right w:val="single" w:color="000000" w:sz="8" w:space="0"/>
            </w:tcBorders>
            <w:noWrap/>
            <w:vAlign w:val="center"/>
          </w:tcPr>
          <w:p w14:paraId="168FA392">
            <w:pPr>
              <w:widowControl/>
              <w:jc w:val="center"/>
              <w:textAlignment w:val="center"/>
              <w:rPr>
                <w:szCs w:val="21"/>
              </w:rPr>
            </w:pPr>
            <w:r>
              <w:rPr>
                <w:kern w:val="0"/>
                <w:szCs w:val="21"/>
                <w:lang w:bidi="ar"/>
              </w:rPr>
              <w:t>大河边上煤仓位置1号舍</w:t>
            </w:r>
          </w:p>
        </w:tc>
        <w:tc>
          <w:tcPr>
            <w:tcW w:w="959" w:type="pct"/>
            <w:vMerge w:val="continue"/>
            <w:tcBorders>
              <w:top w:val="nil"/>
              <w:left w:val="nil"/>
              <w:bottom w:val="single" w:color="000000" w:sz="8" w:space="0"/>
              <w:right w:val="single" w:color="000000" w:sz="8" w:space="0"/>
            </w:tcBorders>
            <w:noWrap/>
            <w:vAlign w:val="center"/>
          </w:tcPr>
          <w:p w14:paraId="615D25B0">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099D1568">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6FA48F47">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3E726BA4">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136E66A4">
            <w:pPr>
              <w:jc w:val="center"/>
              <w:rPr>
                <w:szCs w:val="21"/>
              </w:rPr>
            </w:pPr>
          </w:p>
        </w:tc>
      </w:tr>
      <w:tr w14:paraId="2ACBB892">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2424EB42">
            <w:pPr>
              <w:jc w:val="center"/>
              <w:rPr>
                <w:szCs w:val="21"/>
              </w:rPr>
            </w:pPr>
          </w:p>
        </w:tc>
        <w:tc>
          <w:tcPr>
            <w:tcW w:w="1435" w:type="pct"/>
            <w:tcBorders>
              <w:top w:val="nil"/>
              <w:left w:val="nil"/>
              <w:bottom w:val="single" w:color="000000" w:sz="8" w:space="0"/>
              <w:right w:val="single" w:color="000000" w:sz="8" w:space="0"/>
            </w:tcBorders>
            <w:noWrap/>
            <w:vAlign w:val="center"/>
          </w:tcPr>
          <w:p w14:paraId="644A5A03">
            <w:pPr>
              <w:widowControl/>
              <w:jc w:val="center"/>
              <w:textAlignment w:val="center"/>
              <w:rPr>
                <w:szCs w:val="21"/>
              </w:rPr>
            </w:pPr>
            <w:r>
              <w:rPr>
                <w:kern w:val="0"/>
                <w:szCs w:val="21"/>
                <w:lang w:bidi="ar"/>
              </w:rPr>
              <w:t>大河边上煤仓位置2号舍</w:t>
            </w:r>
          </w:p>
        </w:tc>
        <w:tc>
          <w:tcPr>
            <w:tcW w:w="959" w:type="pct"/>
            <w:vMerge w:val="continue"/>
            <w:tcBorders>
              <w:top w:val="nil"/>
              <w:left w:val="nil"/>
              <w:bottom w:val="single" w:color="000000" w:sz="8" w:space="0"/>
              <w:right w:val="single" w:color="000000" w:sz="8" w:space="0"/>
            </w:tcBorders>
            <w:noWrap/>
            <w:vAlign w:val="center"/>
          </w:tcPr>
          <w:p w14:paraId="26C1D07D">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201EC39B">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1C329264">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1A2FB21D">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37BCA6B8">
            <w:pPr>
              <w:jc w:val="center"/>
              <w:rPr>
                <w:szCs w:val="21"/>
              </w:rPr>
            </w:pPr>
          </w:p>
        </w:tc>
      </w:tr>
      <w:tr w14:paraId="47CA73F4">
        <w:tblPrEx>
          <w:tblCellMar>
            <w:top w:w="0" w:type="dxa"/>
            <w:left w:w="108" w:type="dxa"/>
            <w:bottom w:w="0" w:type="dxa"/>
            <w:right w:w="108" w:type="dxa"/>
          </w:tblCellMar>
        </w:tblPrEx>
        <w:trPr>
          <w:trHeight w:val="300" w:hRule="atLeast"/>
        </w:trPr>
        <w:tc>
          <w:tcPr>
            <w:tcW w:w="454" w:type="pct"/>
            <w:vMerge w:val="continue"/>
            <w:tcBorders>
              <w:top w:val="nil"/>
              <w:left w:val="single" w:color="000000" w:sz="8" w:space="0"/>
              <w:bottom w:val="single" w:color="000000" w:sz="8" w:space="0"/>
              <w:right w:val="single" w:color="000000" w:sz="8" w:space="0"/>
            </w:tcBorders>
            <w:noWrap/>
            <w:vAlign w:val="center"/>
          </w:tcPr>
          <w:p w14:paraId="0E9CD882">
            <w:pPr>
              <w:jc w:val="center"/>
              <w:rPr>
                <w:szCs w:val="21"/>
              </w:rPr>
            </w:pPr>
          </w:p>
        </w:tc>
        <w:tc>
          <w:tcPr>
            <w:tcW w:w="1435" w:type="pct"/>
            <w:tcBorders>
              <w:top w:val="nil"/>
              <w:left w:val="nil"/>
              <w:bottom w:val="single" w:color="000000" w:sz="8" w:space="0"/>
              <w:right w:val="single" w:color="000000" w:sz="8" w:space="0"/>
            </w:tcBorders>
            <w:noWrap/>
            <w:vAlign w:val="center"/>
          </w:tcPr>
          <w:p w14:paraId="1F93A6E5">
            <w:pPr>
              <w:widowControl/>
              <w:jc w:val="center"/>
              <w:textAlignment w:val="center"/>
              <w:rPr>
                <w:szCs w:val="21"/>
              </w:rPr>
            </w:pPr>
            <w:r>
              <w:rPr>
                <w:kern w:val="0"/>
                <w:szCs w:val="21"/>
                <w:lang w:bidi="ar"/>
              </w:rPr>
              <w:t>大河边下煤仓位置猪舍</w:t>
            </w:r>
          </w:p>
        </w:tc>
        <w:tc>
          <w:tcPr>
            <w:tcW w:w="959" w:type="pct"/>
            <w:vMerge w:val="continue"/>
            <w:tcBorders>
              <w:top w:val="nil"/>
              <w:left w:val="nil"/>
              <w:bottom w:val="single" w:color="000000" w:sz="8" w:space="0"/>
              <w:right w:val="single" w:color="000000" w:sz="8" w:space="0"/>
            </w:tcBorders>
            <w:noWrap/>
            <w:vAlign w:val="center"/>
          </w:tcPr>
          <w:p w14:paraId="38319A96">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1024681F">
            <w:pPr>
              <w:jc w:val="center"/>
              <w:rPr>
                <w:szCs w:val="21"/>
              </w:rPr>
            </w:pPr>
          </w:p>
        </w:tc>
        <w:tc>
          <w:tcPr>
            <w:tcW w:w="513" w:type="pct"/>
            <w:vMerge w:val="continue"/>
            <w:tcBorders>
              <w:top w:val="nil"/>
              <w:left w:val="nil"/>
              <w:bottom w:val="single" w:color="000000" w:sz="8" w:space="0"/>
              <w:right w:val="single" w:color="000000" w:sz="8" w:space="0"/>
            </w:tcBorders>
            <w:noWrap/>
            <w:vAlign w:val="center"/>
          </w:tcPr>
          <w:p w14:paraId="0BC905BF">
            <w:pPr>
              <w:jc w:val="center"/>
              <w:rPr>
                <w:szCs w:val="21"/>
              </w:rPr>
            </w:pPr>
          </w:p>
        </w:tc>
        <w:tc>
          <w:tcPr>
            <w:tcW w:w="576" w:type="pct"/>
            <w:vMerge w:val="continue"/>
            <w:tcBorders>
              <w:top w:val="nil"/>
              <w:left w:val="nil"/>
              <w:bottom w:val="single" w:color="000000" w:sz="8" w:space="0"/>
              <w:right w:val="single" w:color="000000" w:sz="8" w:space="0"/>
            </w:tcBorders>
            <w:noWrap/>
            <w:vAlign w:val="center"/>
          </w:tcPr>
          <w:p w14:paraId="4E6F4900">
            <w:pPr>
              <w:jc w:val="center"/>
              <w:rPr>
                <w:szCs w:val="21"/>
              </w:rPr>
            </w:pPr>
          </w:p>
        </w:tc>
        <w:tc>
          <w:tcPr>
            <w:tcW w:w="483" w:type="pct"/>
            <w:vMerge w:val="continue"/>
            <w:tcBorders>
              <w:top w:val="nil"/>
              <w:left w:val="nil"/>
              <w:bottom w:val="single" w:color="000000" w:sz="8" w:space="0"/>
              <w:right w:val="single" w:color="000000" w:sz="8" w:space="0"/>
            </w:tcBorders>
            <w:noWrap/>
            <w:vAlign w:val="center"/>
          </w:tcPr>
          <w:p w14:paraId="57DF2226">
            <w:pPr>
              <w:jc w:val="center"/>
              <w:rPr>
                <w:szCs w:val="21"/>
              </w:rPr>
            </w:pPr>
          </w:p>
        </w:tc>
      </w:tr>
      <w:tr w14:paraId="330D1358">
        <w:tblPrEx>
          <w:tblCellMar>
            <w:top w:w="0" w:type="dxa"/>
            <w:left w:w="108" w:type="dxa"/>
            <w:bottom w:w="0" w:type="dxa"/>
            <w:right w:w="108" w:type="dxa"/>
          </w:tblCellMar>
        </w:tblPrEx>
        <w:trPr>
          <w:trHeight w:val="300" w:hRule="atLeast"/>
        </w:trPr>
        <w:tc>
          <w:tcPr>
            <w:tcW w:w="1890" w:type="pct"/>
            <w:gridSpan w:val="2"/>
            <w:tcBorders>
              <w:top w:val="nil"/>
              <w:left w:val="single" w:color="000000" w:sz="8" w:space="0"/>
              <w:bottom w:val="single" w:color="000000" w:sz="8" w:space="0"/>
              <w:right w:val="single" w:color="000000" w:sz="8" w:space="0"/>
            </w:tcBorders>
            <w:noWrap/>
            <w:vAlign w:val="center"/>
          </w:tcPr>
          <w:p w14:paraId="17DCC77F">
            <w:pPr>
              <w:widowControl/>
              <w:jc w:val="center"/>
              <w:textAlignment w:val="center"/>
              <w:rPr>
                <w:szCs w:val="21"/>
              </w:rPr>
            </w:pPr>
            <w:r>
              <w:rPr>
                <w:kern w:val="0"/>
                <w:szCs w:val="21"/>
                <w:lang w:bidi="ar"/>
              </w:rPr>
              <w:t>合计</w:t>
            </w:r>
          </w:p>
        </w:tc>
        <w:tc>
          <w:tcPr>
            <w:tcW w:w="959" w:type="pct"/>
            <w:tcBorders>
              <w:top w:val="nil"/>
              <w:left w:val="nil"/>
              <w:bottom w:val="single" w:color="000000" w:sz="8" w:space="0"/>
              <w:right w:val="single" w:color="000000" w:sz="8" w:space="0"/>
            </w:tcBorders>
            <w:noWrap/>
            <w:vAlign w:val="center"/>
          </w:tcPr>
          <w:p w14:paraId="17091797">
            <w:pPr>
              <w:widowControl/>
              <w:jc w:val="center"/>
              <w:textAlignment w:val="center"/>
              <w:rPr>
                <w:szCs w:val="21"/>
              </w:rPr>
            </w:pPr>
            <w:r>
              <w:rPr>
                <w:kern w:val="0"/>
                <w:szCs w:val="21"/>
                <w:lang w:bidi="ar"/>
              </w:rPr>
              <w:t>9300</w:t>
            </w:r>
          </w:p>
        </w:tc>
        <w:tc>
          <w:tcPr>
            <w:tcW w:w="576" w:type="pct"/>
            <w:tcBorders>
              <w:top w:val="nil"/>
              <w:left w:val="nil"/>
              <w:bottom w:val="single" w:color="000000" w:sz="8" w:space="0"/>
              <w:right w:val="single" w:color="000000" w:sz="8" w:space="0"/>
            </w:tcBorders>
            <w:noWrap/>
            <w:vAlign w:val="center"/>
          </w:tcPr>
          <w:p w14:paraId="7BC89CE4">
            <w:pPr>
              <w:widowControl/>
              <w:jc w:val="center"/>
              <w:textAlignment w:val="center"/>
              <w:rPr>
                <w:szCs w:val="21"/>
              </w:rPr>
            </w:pPr>
            <w:r>
              <w:rPr>
                <w:kern w:val="0"/>
                <w:szCs w:val="21"/>
                <w:lang w:bidi="ar"/>
              </w:rPr>
              <w:t>11532</w:t>
            </w:r>
          </w:p>
        </w:tc>
        <w:tc>
          <w:tcPr>
            <w:tcW w:w="513" w:type="pct"/>
            <w:tcBorders>
              <w:top w:val="nil"/>
              <w:left w:val="nil"/>
              <w:bottom w:val="single" w:color="000000" w:sz="8" w:space="0"/>
              <w:right w:val="single" w:color="000000" w:sz="8" w:space="0"/>
            </w:tcBorders>
            <w:noWrap/>
            <w:vAlign w:val="center"/>
          </w:tcPr>
          <w:p w14:paraId="5DA0C475">
            <w:pPr>
              <w:widowControl/>
              <w:jc w:val="center"/>
              <w:textAlignment w:val="center"/>
              <w:rPr>
                <w:szCs w:val="21"/>
              </w:rPr>
            </w:pPr>
            <w:r>
              <w:rPr>
                <w:kern w:val="0"/>
                <w:szCs w:val="21"/>
                <w:lang w:bidi="ar"/>
              </w:rPr>
              <w:t>4209.18</w:t>
            </w:r>
          </w:p>
        </w:tc>
        <w:tc>
          <w:tcPr>
            <w:tcW w:w="576" w:type="pct"/>
            <w:tcBorders>
              <w:top w:val="nil"/>
              <w:left w:val="nil"/>
              <w:bottom w:val="single" w:color="000000" w:sz="8" w:space="0"/>
              <w:right w:val="single" w:color="000000" w:sz="8" w:space="0"/>
            </w:tcBorders>
            <w:noWrap/>
            <w:vAlign w:val="center"/>
          </w:tcPr>
          <w:p w14:paraId="371B093A">
            <w:pPr>
              <w:widowControl/>
              <w:jc w:val="center"/>
              <w:textAlignment w:val="center"/>
              <w:rPr>
                <w:szCs w:val="21"/>
              </w:rPr>
            </w:pPr>
            <w:r>
              <w:rPr>
                <w:kern w:val="0"/>
                <w:szCs w:val="21"/>
                <w:lang w:bidi="ar"/>
              </w:rPr>
              <w:t>115.33</w:t>
            </w:r>
          </w:p>
        </w:tc>
        <w:tc>
          <w:tcPr>
            <w:tcW w:w="483" w:type="pct"/>
            <w:tcBorders>
              <w:top w:val="nil"/>
              <w:left w:val="nil"/>
              <w:bottom w:val="single" w:color="000000" w:sz="8" w:space="0"/>
              <w:right w:val="single" w:color="000000" w:sz="8" w:space="0"/>
            </w:tcBorders>
            <w:noWrap/>
            <w:vAlign w:val="center"/>
          </w:tcPr>
          <w:p w14:paraId="1A954D25">
            <w:pPr>
              <w:widowControl/>
              <w:jc w:val="center"/>
              <w:textAlignment w:val="center"/>
              <w:rPr>
                <w:szCs w:val="21"/>
              </w:rPr>
            </w:pPr>
            <w:r>
              <w:rPr>
                <w:kern w:val="0"/>
                <w:szCs w:val="21"/>
                <w:lang w:bidi="ar"/>
              </w:rPr>
              <w:t>42.09</w:t>
            </w:r>
          </w:p>
        </w:tc>
      </w:tr>
    </w:tbl>
    <w:p w14:paraId="012EBF1D">
      <w:pPr>
        <w:spacing w:line="360" w:lineRule="auto"/>
        <w:ind w:firstLine="480" w:firstLineChars="200"/>
        <w:rPr>
          <w:bCs/>
          <w:sz w:val="24"/>
        </w:rPr>
      </w:pPr>
      <w:r>
        <w:rPr>
          <w:bCs/>
          <w:sz w:val="24"/>
        </w:rPr>
        <w:t>综上，堆肥区渗滤液产生量合计为</w:t>
      </w:r>
      <w:r>
        <w:rPr>
          <w:kern w:val="0"/>
          <w:sz w:val="24"/>
          <w:lang w:bidi="ar"/>
        </w:rPr>
        <w:t>42.09</w:t>
      </w:r>
      <w:r>
        <w:rPr>
          <w:bCs/>
          <w:sz w:val="24"/>
        </w:rPr>
        <w:t>t/a（合</w:t>
      </w:r>
      <w:r>
        <w:rPr>
          <w:kern w:val="0"/>
          <w:sz w:val="24"/>
          <w:lang w:bidi="ar"/>
        </w:rPr>
        <w:t>115.33kg</w:t>
      </w:r>
      <w:r>
        <w:rPr>
          <w:bCs/>
          <w:sz w:val="24"/>
        </w:rPr>
        <w:t>/d），这部分废水通过管沟进入各地块污水处理站处理。</w:t>
      </w:r>
    </w:p>
    <w:p w14:paraId="55A66CFC">
      <w:pPr>
        <w:spacing w:line="360" w:lineRule="auto"/>
        <w:ind w:firstLine="482" w:firstLineChars="200"/>
        <w:rPr>
          <w:b/>
          <w:sz w:val="24"/>
        </w:rPr>
      </w:pPr>
      <w:r>
        <w:rPr>
          <w:b/>
          <w:sz w:val="24"/>
        </w:rPr>
        <w:t>3、猪舍冲洗废水（W3）</w:t>
      </w:r>
    </w:p>
    <w:p w14:paraId="16A1024B">
      <w:pPr>
        <w:pStyle w:val="10"/>
        <w:spacing w:line="360" w:lineRule="auto"/>
        <w:ind w:firstLine="480"/>
        <w:rPr>
          <w:sz w:val="24"/>
        </w:rPr>
      </w:pPr>
      <w:r>
        <w:rPr>
          <w:bCs/>
          <w:sz w:val="24"/>
        </w:rPr>
        <w:t>猪舍冲洗</w:t>
      </w:r>
      <w:r>
        <w:rPr>
          <w:sz w:val="24"/>
        </w:rPr>
        <w:t>废水量按用水量的90%计，则冲洗废水产生量见下表：</w:t>
      </w:r>
    </w:p>
    <w:p w14:paraId="72A6D2EB">
      <w:pPr>
        <w:pStyle w:val="10"/>
        <w:spacing w:line="360" w:lineRule="auto"/>
        <w:ind w:firstLine="482"/>
        <w:jc w:val="center"/>
        <w:rPr>
          <w:b/>
          <w:bCs/>
          <w:sz w:val="24"/>
        </w:rPr>
      </w:pPr>
      <w:r>
        <w:rPr>
          <w:b/>
          <w:bCs/>
          <w:sz w:val="24"/>
        </w:rPr>
        <w:t>表3.3-9 猪舍冲洗废水产生量一览表</w:t>
      </w:r>
    </w:p>
    <w:tbl>
      <w:tblPr>
        <w:tblStyle w:val="87"/>
        <w:tblW w:w="5000" w:type="pct"/>
        <w:tblInd w:w="0" w:type="dxa"/>
        <w:tblLayout w:type="fixed"/>
        <w:tblCellMar>
          <w:top w:w="0" w:type="dxa"/>
          <w:left w:w="108" w:type="dxa"/>
          <w:bottom w:w="0" w:type="dxa"/>
          <w:right w:w="108" w:type="dxa"/>
        </w:tblCellMar>
      </w:tblPr>
      <w:tblGrid>
        <w:gridCol w:w="473"/>
        <w:gridCol w:w="2292"/>
        <w:gridCol w:w="813"/>
        <w:gridCol w:w="1200"/>
        <w:gridCol w:w="890"/>
        <w:gridCol w:w="1054"/>
        <w:gridCol w:w="750"/>
        <w:gridCol w:w="1056"/>
      </w:tblGrid>
      <w:tr w14:paraId="2EE7234B">
        <w:tblPrEx>
          <w:tblCellMar>
            <w:top w:w="0" w:type="dxa"/>
            <w:left w:w="108" w:type="dxa"/>
            <w:bottom w:w="0" w:type="dxa"/>
            <w:right w:w="108" w:type="dxa"/>
          </w:tblCellMar>
        </w:tblPrEx>
        <w:trPr>
          <w:trHeight w:val="1170" w:hRule="atLeast"/>
        </w:trPr>
        <w:tc>
          <w:tcPr>
            <w:tcW w:w="277" w:type="pct"/>
            <w:tcBorders>
              <w:top w:val="single" w:color="000000" w:sz="4" w:space="0"/>
              <w:left w:val="single" w:color="000000" w:sz="4" w:space="0"/>
              <w:bottom w:val="single" w:color="000000" w:sz="4" w:space="0"/>
              <w:right w:val="single" w:color="000000" w:sz="4" w:space="0"/>
            </w:tcBorders>
            <w:noWrap/>
            <w:vAlign w:val="center"/>
          </w:tcPr>
          <w:p w14:paraId="3F43C713">
            <w:pPr>
              <w:widowControl/>
              <w:jc w:val="left"/>
              <w:textAlignment w:val="center"/>
              <w:rPr>
                <w:szCs w:val="21"/>
              </w:rPr>
            </w:pPr>
            <w:r>
              <w:rPr>
                <w:kern w:val="0"/>
                <w:szCs w:val="21"/>
                <w:lang w:bidi="ar"/>
              </w:rPr>
              <w:t>编号</w:t>
            </w: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36FDD3BD">
            <w:pPr>
              <w:widowControl/>
              <w:jc w:val="left"/>
              <w:textAlignment w:val="center"/>
              <w:rPr>
                <w:szCs w:val="21"/>
              </w:rPr>
            </w:pPr>
            <w:r>
              <w:rPr>
                <w:kern w:val="0"/>
                <w:szCs w:val="21"/>
                <w:lang w:bidi="ar"/>
              </w:rPr>
              <w:t>猪舍位置</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233EB6BC">
            <w:pPr>
              <w:widowControl/>
              <w:jc w:val="center"/>
              <w:textAlignment w:val="center"/>
              <w:rPr>
                <w:szCs w:val="21"/>
              </w:rPr>
            </w:pPr>
            <w:r>
              <w:rPr>
                <w:kern w:val="0"/>
                <w:szCs w:val="21"/>
                <w:lang w:bidi="ar"/>
              </w:rPr>
              <w:t>猪舍冲洗用水量（m</w:t>
            </w:r>
            <w:r>
              <w:rPr>
                <w:kern w:val="0"/>
                <w:szCs w:val="21"/>
                <w:vertAlign w:val="superscript"/>
                <w:lang w:bidi="ar"/>
              </w:rPr>
              <w:t>3</w:t>
            </w:r>
            <w:r>
              <w:rPr>
                <w:kern w:val="0"/>
                <w:szCs w:val="21"/>
                <w:lang w:bidi="ar"/>
              </w:rPr>
              <w:t>/次）</w:t>
            </w:r>
          </w:p>
        </w:tc>
        <w:tc>
          <w:tcPr>
            <w:tcW w:w="703" w:type="pct"/>
            <w:tcBorders>
              <w:top w:val="single" w:color="000000" w:sz="4" w:space="0"/>
              <w:left w:val="single" w:color="000000" w:sz="4" w:space="0"/>
              <w:bottom w:val="single" w:color="000000" w:sz="4" w:space="0"/>
              <w:right w:val="single" w:color="000000" w:sz="4" w:space="0"/>
            </w:tcBorders>
            <w:noWrap w:val="0"/>
            <w:vAlign w:val="center"/>
          </w:tcPr>
          <w:p w14:paraId="0D9AE43B">
            <w:pPr>
              <w:widowControl/>
              <w:jc w:val="left"/>
              <w:textAlignment w:val="center"/>
              <w:rPr>
                <w:szCs w:val="21"/>
              </w:rPr>
            </w:pPr>
            <w:r>
              <w:rPr>
                <w:kern w:val="0"/>
                <w:szCs w:val="21"/>
                <w:lang w:bidi="ar"/>
              </w:rPr>
              <w:t>猪舍冲洗地块用水量（m</w:t>
            </w:r>
            <w:r>
              <w:rPr>
                <w:kern w:val="0"/>
                <w:szCs w:val="21"/>
                <w:vertAlign w:val="superscript"/>
                <w:lang w:bidi="ar"/>
              </w:rPr>
              <w:t>3</w:t>
            </w:r>
            <w:r>
              <w:rPr>
                <w:kern w:val="0"/>
                <w:szCs w:val="21"/>
                <w:lang w:bidi="ar"/>
              </w:rPr>
              <w:t>/次）</w:t>
            </w:r>
          </w:p>
        </w:tc>
        <w:tc>
          <w:tcPr>
            <w:tcW w:w="522" w:type="pct"/>
            <w:tcBorders>
              <w:top w:val="single" w:color="000000" w:sz="4" w:space="0"/>
              <w:left w:val="single" w:color="000000" w:sz="4" w:space="0"/>
              <w:bottom w:val="single" w:color="000000" w:sz="4" w:space="0"/>
              <w:right w:val="single" w:color="000000" w:sz="4" w:space="0"/>
            </w:tcBorders>
            <w:noWrap w:val="0"/>
            <w:vAlign w:val="center"/>
          </w:tcPr>
          <w:p w14:paraId="303CD5AC">
            <w:pPr>
              <w:widowControl/>
              <w:jc w:val="left"/>
              <w:textAlignment w:val="center"/>
              <w:rPr>
                <w:szCs w:val="21"/>
              </w:rPr>
            </w:pPr>
            <w:r>
              <w:rPr>
                <w:kern w:val="0"/>
                <w:szCs w:val="21"/>
                <w:lang w:bidi="ar"/>
              </w:rPr>
              <w:t>年冲洗频次</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5B3D50FD">
            <w:pPr>
              <w:widowControl/>
              <w:jc w:val="left"/>
              <w:textAlignment w:val="center"/>
              <w:rPr>
                <w:szCs w:val="21"/>
              </w:rPr>
            </w:pPr>
            <w:r>
              <w:rPr>
                <w:kern w:val="0"/>
                <w:szCs w:val="21"/>
                <w:lang w:bidi="ar"/>
              </w:rPr>
              <w:t>猪舍冲洗地块用水量（m</w:t>
            </w:r>
            <w:r>
              <w:rPr>
                <w:kern w:val="0"/>
                <w:szCs w:val="21"/>
                <w:vertAlign w:val="superscript"/>
                <w:lang w:bidi="ar"/>
              </w:rPr>
              <w:t>3</w:t>
            </w:r>
            <w:r>
              <w:rPr>
                <w:kern w:val="0"/>
                <w:szCs w:val="21"/>
                <w:lang w:bidi="ar"/>
              </w:rPr>
              <w:t>/a）</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2359C3D8">
            <w:pPr>
              <w:widowControl/>
              <w:jc w:val="left"/>
              <w:textAlignment w:val="center"/>
              <w:rPr>
                <w:szCs w:val="21"/>
              </w:rPr>
            </w:pPr>
            <w:r>
              <w:rPr>
                <w:kern w:val="0"/>
                <w:szCs w:val="21"/>
                <w:lang w:bidi="ar"/>
              </w:rPr>
              <w:t>冲洗废水产生量（m</w:t>
            </w:r>
            <w:r>
              <w:rPr>
                <w:kern w:val="0"/>
                <w:szCs w:val="21"/>
                <w:vertAlign w:val="superscript"/>
                <w:lang w:bidi="ar"/>
              </w:rPr>
              <w:t>3</w:t>
            </w:r>
            <w:r>
              <w:rPr>
                <w:kern w:val="0"/>
                <w:szCs w:val="21"/>
                <w:lang w:bidi="ar"/>
              </w:rPr>
              <w:t>/次）</w:t>
            </w:r>
          </w:p>
        </w:tc>
        <w:tc>
          <w:tcPr>
            <w:tcW w:w="619" w:type="pct"/>
            <w:tcBorders>
              <w:top w:val="single" w:color="000000" w:sz="4" w:space="0"/>
              <w:left w:val="single" w:color="000000" w:sz="4" w:space="0"/>
              <w:bottom w:val="single" w:color="000000" w:sz="4" w:space="0"/>
              <w:right w:val="single" w:color="000000" w:sz="4" w:space="0"/>
            </w:tcBorders>
            <w:noWrap w:val="0"/>
            <w:vAlign w:val="center"/>
          </w:tcPr>
          <w:p w14:paraId="59884462">
            <w:pPr>
              <w:widowControl/>
              <w:jc w:val="left"/>
              <w:textAlignment w:val="center"/>
              <w:rPr>
                <w:szCs w:val="21"/>
              </w:rPr>
            </w:pPr>
            <w:r>
              <w:rPr>
                <w:kern w:val="0"/>
                <w:szCs w:val="21"/>
                <w:lang w:bidi="ar"/>
              </w:rPr>
              <w:t>冲洗废水产生量（m</w:t>
            </w:r>
            <w:r>
              <w:rPr>
                <w:kern w:val="0"/>
                <w:szCs w:val="21"/>
                <w:vertAlign w:val="superscript"/>
                <w:lang w:bidi="ar"/>
              </w:rPr>
              <w:t>3</w:t>
            </w:r>
            <w:r>
              <w:rPr>
                <w:kern w:val="0"/>
                <w:szCs w:val="21"/>
                <w:lang w:bidi="ar"/>
              </w:rPr>
              <w:t>/a）</w:t>
            </w:r>
          </w:p>
        </w:tc>
      </w:tr>
      <w:tr w14:paraId="3BB4394D">
        <w:tblPrEx>
          <w:tblCellMar>
            <w:top w:w="0" w:type="dxa"/>
            <w:left w:w="108" w:type="dxa"/>
            <w:bottom w:w="0" w:type="dxa"/>
            <w:right w:w="108" w:type="dxa"/>
          </w:tblCellMar>
        </w:tblPrEx>
        <w:trPr>
          <w:trHeight w:val="315" w:hRule="atLeast"/>
        </w:trPr>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14:paraId="3EC595C5">
            <w:pPr>
              <w:widowControl/>
              <w:jc w:val="center"/>
              <w:textAlignment w:val="center"/>
              <w:rPr>
                <w:szCs w:val="21"/>
              </w:rPr>
            </w:pPr>
            <w:r>
              <w:rPr>
                <w:kern w:val="0"/>
                <w:szCs w:val="21"/>
                <w:lang w:bidi="ar"/>
              </w:rPr>
              <w:t>1号地</w:t>
            </w: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487CB9C9">
            <w:pPr>
              <w:widowControl/>
              <w:jc w:val="center"/>
              <w:textAlignment w:val="center"/>
              <w:rPr>
                <w:szCs w:val="21"/>
              </w:rPr>
            </w:pPr>
            <w:r>
              <w:rPr>
                <w:kern w:val="0"/>
                <w:szCs w:val="21"/>
                <w:lang w:bidi="ar"/>
              </w:rPr>
              <w:t>盛丰通风井位置1号舍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BD51F1B">
            <w:pPr>
              <w:widowControl/>
              <w:jc w:val="center"/>
              <w:textAlignment w:val="center"/>
              <w:rPr>
                <w:szCs w:val="21"/>
              </w:rPr>
            </w:pPr>
            <w:r>
              <w:rPr>
                <w:kern w:val="0"/>
                <w:szCs w:val="21"/>
                <w:lang w:bidi="ar"/>
              </w:rPr>
              <w:t>6.05</w:t>
            </w:r>
          </w:p>
        </w:tc>
        <w:tc>
          <w:tcPr>
            <w:tcW w:w="703" w:type="pct"/>
            <w:vMerge w:val="restart"/>
            <w:tcBorders>
              <w:top w:val="single" w:color="000000" w:sz="4" w:space="0"/>
              <w:left w:val="single" w:color="000000" w:sz="4" w:space="0"/>
              <w:bottom w:val="single" w:color="000000" w:sz="4" w:space="0"/>
              <w:right w:val="single" w:color="000000" w:sz="4" w:space="0"/>
            </w:tcBorders>
            <w:noWrap/>
            <w:vAlign w:val="center"/>
          </w:tcPr>
          <w:p w14:paraId="50136A9A">
            <w:pPr>
              <w:widowControl/>
              <w:jc w:val="center"/>
              <w:textAlignment w:val="center"/>
              <w:rPr>
                <w:szCs w:val="21"/>
              </w:rPr>
            </w:pPr>
            <w:r>
              <w:rPr>
                <w:kern w:val="0"/>
                <w:szCs w:val="21"/>
                <w:lang w:bidi="ar"/>
              </w:rPr>
              <w:t xml:space="preserve">8.35 </w:t>
            </w:r>
          </w:p>
        </w:tc>
        <w:tc>
          <w:tcPr>
            <w:tcW w:w="522" w:type="pct"/>
            <w:vMerge w:val="restart"/>
            <w:tcBorders>
              <w:top w:val="single" w:color="000000" w:sz="4" w:space="0"/>
              <w:left w:val="single" w:color="000000" w:sz="4" w:space="0"/>
              <w:bottom w:val="single" w:color="000000" w:sz="4" w:space="0"/>
              <w:right w:val="single" w:color="000000" w:sz="4" w:space="0"/>
            </w:tcBorders>
            <w:noWrap/>
            <w:vAlign w:val="center"/>
          </w:tcPr>
          <w:p w14:paraId="4D1E7794">
            <w:pPr>
              <w:widowControl/>
              <w:jc w:val="center"/>
              <w:textAlignment w:val="center"/>
              <w:rPr>
                <w:szCs w:val="21"/>
              </w:rPr>
            </w:pPr>
            <w:r>
              <w:rPr>
                <w:kern w:val="0"/>
                <w:szCs w:val="21"/>
                <w:lang w:bidi="ar"/>
              </w:rPr>
              <w:t>2.6</w:t>
            </w:r>
          </w:p>
        </w:tc>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77923D37">
            <w:pPr>
              <w:widowControl/>
              <w:jc w:val="center"/>
              <w:textAlignment w:val="center"/>
              <w:rPr>
                <w:szCs w:val="21"/>
              </w:rPr>
            </w:pPr>
            <w:r>
              <w:rPr>
                <w:kern w:val="0"/>
                <w:szCs w:val="21"/>
                <w:lang w:bidi="ar"/>
              </w:rPr>
              <w:t xml:space="preserve">21.71 </w:t>
            </w:r>
          </w:p>
        </w:tc>
        <w:tc>
          <w:tcPr>
            <w:tcW w:w="440" w:type="pct"/>
            <w:vMerge w:val="restart"/>
            <w:tcBorders>
              <w:top w:val="single" w:color="000000" w:sz="4" w:space="0"/>
              <w:left w:val="single" w:color="000000" w:sz="4" w:space="0"/>
              <w:bottom w:val="single" w:color="000000" w:sz="4" w:space="0"/>
              <w:right w:val="single" w:color="000000" w:sz="4" w:space="0"/>
            </w:tcBorders>
            <w:noWrap/>
            <w:vAlign w:val="center"/>
          </w:tcPr>
          <w:p w14:paraId="117DBAA0">
            <w:pPr>
              <w:widowControl/>
              <w:jc w:val="center"/>
              <w:textAlignment w:val="center"/>
              <w:rPr>
                <w:szCs w:val="21"/>
              </w:rPr>
            </w:pPr>
            <w:r>
              <w:rPr>
                <w:kern w:val="0"/>
                <w:szCs w:val="21"/>
                <w:lang w:bidi="ar"/>
              </w:rPr>
              <w:t xml:space="preserve">7.52 </w:t>
            </w:r>
          </w:p>
        </w:tc>
        <w:tc>
          <w:tcPr>
            <w:tcW w:w="619" w:type="pct"/>
            <w:vMerge w:val="restart"/>
            <w:tcBorders>
              <w:top w:val="single" w:color="000000" w:sz="4" w:space="0"/>
              <w:left w:val="single" w:color="000000" w:sz="4" w:space="0"/>
              <w:bottom w:val="single" w:color="000000" w:sz="4" w:space="0"/>
              <w:right w:val="single" w:color="000000" w:sz="4" w:space="0"/>
            </w:tcBorders>
            <w:noWrap/>
            <w:vAlign w:val="center"/>
          </w:tcPr>
          <w:p w14:paraId="6A4FF5F8">
            <w:pPr>
              <w:widowControl/>
              <w:jc w:val="center"/>
              <w:textAlignment w:val="center"/>
              <w:rPr>
                <w:szCs w:val="21"/>
              </w:rPr>
            </w:pPr>
            <w:r>
              <w:rPr>
                <w:kern w:val="0"/>
                <w:szCs w:val="21"/>
                <w:lang w:bidi="ar"/>
              </w:rPr>
              <w:t xml:space="preserve">19.54 </w:t>
            </w:r>
          </w:p>
        </w:tc>
      </w:tr>
      <w:tr w14:paraId="226D5755">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1D7551F3">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12D23EC1">
            <w:pPr>
              <w:widowControl/>
              <w:jc w:val="center"/>
              <w:textAlignment w:val="center"/>
              <w:rPr>
                <w:szCs w:val="21"/>
              </w:rPr>
            </w:pPr>
            <w:r>
              <w:rPr>
                <w:kern w:val="0"/>
                <w:szCs w:val="21"/>
                <w:lang w:bidi="ar"/>
              </w:rPr>
              <w:t>盛丰通风井位置2号舍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5453D8D">
            <w:pPr>
              <w:widowControl/>
              <w:jc w:val="center"/>
              <w:textAlignment w:val="center"/>
              <w:rPr>
                <w:szCs w:val="21"/>
              </w:rPr>
            </w:pPr>
            <w:r>
              <w:rPr>
                <w:kern w:val="0"/>
                <w:szCs w:val="21"/>
                <w:lang w:bidi="ar"/>
              </w:rPr>
              <w:t>2.30</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00A15130">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4C4FE8ED">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2950A6D8">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00E89882">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21EB21A4">
            <w:pPr>
              <w:jc w:val="center"/>
              <w:rPr>
                <w:szCs w:val="21"/>
              </w:rPr>
            </w:pPr>
          </w:p>
        </w:tc>
      </w:tr>
      <w:tr w14:paraId="336CA6C7">
        <w:tblPrEx>
          <w:tblCellMar>
            <w:top w:w="0" w:type="dxa"/>
            <w:left w:w="108" w:type="dxa"/>
            <w:bottom w:w="0" w:type="dxa"/>
            <w:right w:w="108" w:type="dxa"/>
          </w:tblCellMar>
        </w:tblPrEx>
        <w:trPr>
          <w:trHeight w:val="315" w:hRule="atLeast"/>
        </w:trPr>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14:paraId="512B7D35">
            <w:pPr>
              <w:widowControl/>
              <w:jc w:val="center"/>
              <w:textAlignment w:val="center"/>
              <w:rPr>
                <w:szCs w:val="21"/>
              </w:rPr>
            </w:pPr>
            <w:r>
              <w:rPr>
                <w:kern w:val="0"/>
                <w:szCs w:val="21"/>
                <w:lang w:bidi="ar"/>
              </w:rPr>
              <w:t>2号地</w:t>
            </w: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42A8A7B4">
            <w:pPr>
              <w:widowControl/>
              <w:jc w:val="center"/>
              <w:textAlignment w:val="center"/>
              <w:rPr>
                <w:szCs w:val="21"/>
              </w:rPr>
            </w:pPr>
            <w:r>
              <w:rPr>
                <w:kern w:val="0"/>
                <w:szCs w:val="21"/>
                <w:lang w:bidi="ar"/>
              </w:rPr>
              <w:t>盛丰焦化楼位置1号舍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6051CDA3">
            <w:pPr>
              <w:widowControl/>
              <w:jc w:val="center"/>
              <w:textAlignment w:val="center"/>
              <w:rPr>
                <w:szCs w:val="21"/>
              </w:rPr>
            </w:pPr>
            <w:r>
              <w:rPr>
                <w:kern w:val="0"/>
                <w:szCs w:val="21"/>
                <w:lang w:bidi="ar"/>
              </w:rPr>
              <w:t>4.70</w:t>
            </w:r>
          </w:p>
        </w:tc>
        <w:tc>
          <w:tcPr>
            <w:tcW w:w="703" w:type="pct"/>
            <w:vMerge w:val="restart"/>
            <w:tcBorders>
              <w:top w:val="single" w:color="000000" w:sz="4" w:space="0"/>
              <w:left w:val="single" w:color="000000" w:sz="4" w:space="0"/>
              <w:bottom w:val="single" w:color="000000" w:sz="4" w:space="0"/>
              <w:right w:val="single" w:color="000000" w:sz="4" w:space="0"/>
            </w:tcBorders>
            <w:noWrap/>
            <w:vAlign w:val="center"/>
          </w:tcPr>
          <w:p w14:paraId="136A3251">
            <w:pPr>
              <w:widowControl/>
              <w:jc w:val="center"/>
              <w:textAlignment w:val="center"/>
              <w:rPr>
                <w:szCs w:val="21"/>
              </w:rPr>
            </w:pPr>
            <w:r>
              <w:rPr>
                <w:kern w:val="0"/>
                <w:szCs w:val="21"/>
                <w:lang w:bidi="ar"/>
              </w:rPr>
              <w:t xml:space="preserve">17.69 </w:t>
            </w:r>
          </w:p>
        </w:tc>
        <w:tc>
          <w:tcPr>
            <w:tcW w:w="522" w:type="pct"/>
            <w:vMerge w:val="restart"/>
            <w:tcBorders>
              <w:top w:val="single" w:color="000000" w:sz="4" w:space="0"/>
              <w:left w:val="single" w:color="000000" w:sz="4" w:space="0"/>
              <w:bottom w:val="single" w:color="000000" w:sz="4" w:space="0"/>
              <w:right w:val="single" w:color="000000" w:sz="4" w:space="0"/>
            </w:tcBorders>
            <w:noWrap/>
            <w:vAlign w:val="center"/>
          </w:tcPr>
          <w:p w14:paraId="07129C39">
            <w:pPr>
              <w:widowControl/>
              <w:jc w:val="center"/>
              <w:textAlignment w:val="center"/>
              <w:rPr>
                <w:szCs w:val="21"/>
              </w:rPr>
            </w:pPr>
            <w:r>
              <w:rPr>
                <w:kern w:val="0"/>
                <w:szCs w:val="21"/>
                <w:lang w:bidi="ar"/>
              </w:rPr>
              <w:t>2.6</w:t>
            </w:r>
          </w:p>
        </w:tc>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095C4A1A">
            <w:pPr>
              <w:widowControl/>
              <w:jc w:val="center"/>
              <w:textAlignment w:val="center"/>
              <w:rPr>
                <w:szCs w:val="21"/>
              </w:rPr>
            </w:pPr>
            <w:r>
              <w:rPr>
                <w:kern w:val="0"/>
                <w:szCs w:val="21"/>
                <w:lang w:bidi="ar"/>
              </w:rPr>
              <w:t xml:space="preserve">45.98 </w:t>
            </w:r>
          </w:p>
        </w:tc>
        <w:tc>
          <w:tcPr>
            <w:tcW w:w="440" w:type="pct"/>
            <w:vMerge w:val="restart"/>
            <w:tcBorders>
              <w:top w:val="single" w:color="000000" w:sz="4" w:space="0"/>
              <w:left w:val="single" w:color="000000" w:sz="4" w:space="0"/>
              <w:bottom w:val="single" w:color="000000" w:sz="4" w:space="0"/>
              <w:right w:val="single" w:color="000000" w:sz="4" w:space="0"/>
            </w:tcBorders>
            <w:noWrap/>
            <w:vAlign w:val="center"/>
          </w:tcPr>
          <w:p w14:paraId="251AF7B9">
            <w:pPr>
              <w:widowControl/>
              <w:jc w:val="center"/>
              <w:textAlignment w:val="center"/>
              <w:rPr>
                <w:szCs w:val="21"/>
              </w:rPr>
            </w:pPr>
            <w:r>
              <w:rPr>
                <w:kern w:val="0"/>
                <w:szCs w:val="21"/>
                <w:lang w:bidi="ar"/>
              </w:rPr>
              <w:t xml:space="preserve">15.92 </w:t>
            </w:r>
          </w:p>
        </w:tc>
        <w:tc>
          <w:tcPr>
            <w:tcW w:w="619" w:type="pct"/>
            <w:vMerge w:val="restart"/>
            <w:tcBorders>
              <w:top w:val="single" w:color="000000" w:sz="4" w:space="0"/>
              <w:left w:val="single" w:color="000000" w:sz="4" w:space="0"/>
              <w:bottom w:val="single" w:color="000000" w:sz="4" w:space="0"/>
              <w:right w:val="single" w:color="000000" w:sz="4" w:space="0"/>
            </w:tcBorders>
            <w:noWrap/>
            <w:vAlign w:val="center"/>
          </w:tcPr>
          <w:p w14:paraId="548B3A88">
            <w:pPr>
              <w:widowControl/>
              <w:jc w:val="center"/>
              <w:textAlignment w:val="center"/>
              <w:rPr>
                <w:szCs w:val="21"/>
              </w:rPr>
            </w:pPr>
            <w:r>
              <w:rPr>
                <w:kern w:val="0"/>
                <w:szCs w:val="21"/>
                <w:lang w:bidi="ar"/>
              </w:rPr>
              <w:t xml:space="preserve">41.39 </w:t>
            </w:r>
          </w:p>
        </w:tc>
      </w:tr>
      <w:tr w14:paraId="2347232C">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48041AD2">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782497A1">
            <w:pPr>
              <w:widowControl/>
              <w:jc w:val="center"/>
              <w:textAlignment w:val="center"/>
              <w:rPr>
                <w:szCs w:val="21"/>
              </w:rPr>
            </w:pPr>
            <w:r>
              <w:rPr>
                <w:kern w:val="0"/>
                <w:szCs w:val="21"/>
                <w:lang w:bidi="ar"/>
              </w:rPr>
              <w:t>盛丰焦化楼位置2号舍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1B3BEEF">
            <w:pPr>
              <w:widowControl/>
              <w:jc w:val="center"/>
              <w:textAlignment w:val="center"/>
              <w:rPr>
                <w:szCs w:val="21"/>
              </w:rPr>
            </w:pPr>
            <w:r>
              <w:rPr>
                <w:kern w:val="0"/>
                <w:szCs w:val="21"/>
                <w:lang w:bidi="ar"/>
              </w:rPr>
              <w:t>6.55</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5704BB57">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3D259336">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63F0ED7">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05D3E321">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240492E0">
            <w:pPr>
              <w:jc w:val="center"/>
              <w:rPr>
                <w:szCs w:val="21"/>
              </w:rPr>
            </w:pPr>
          </w:p>
        </w:tc>
      </w:tr>
      <w:tr w14:paraId="329D019C">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74F0FE00">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200FD49C">
            <w:pPr>
              <w:widowControl/>
              <w:jc w:val="center"/>
              <w:textAlignment w:val="center"/>
              <w:rPr>
                <w:szCs w:val="21"/>
              </w:rPr>
            </w:pPr>
            <w:r>
              <w:rPr>
                <w:kern w:val="0"/>
                <w:szCs w:val="21"/>
                <w:lang w:bidi="ar"/>
              </w:rPr>
              <w:t>球场位置1单元</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7EDB12F">
            <w:pPr>
              <w:widowControl/>
              <w:jc w:val="center"/>
              <w:textAlignment w:val="center"/>
              <w:rPr>
                <w:szCs w:val="21"/>
              </w:rPr>
            </w:pPr>
            <w:r>
              <w:rPr>
                <w:kern w:val="0"/>
                <w:szCs w:val="21"/>
                <w:lang w:bidi="ar"/>
              </w:rPr>
              <w:t>2.38</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4FF00AB5">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3A6E4F13">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93A4CFE">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68922983">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4444549D">
            <w:pPr>
              <w:jc w:val="center"/>
              <w:rPr>
                <w:szCs w:val="21"/>
              </w:rPr>
            </w:pPr>
          </w:p>
        </w:tc>
      </w:tr>
      <w:tr w14:paraId="2B9C41CC">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4B8413E7">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77699819">
            <w:pPr>
              <w:widowControl/>
              <w:jc w:val="center"/>
              <w:textAlignment w:val="center"/>
              <w:rPr>
                <w:szCs w:val="21"/>
              </w:rPr>
            </w:pPr>
            <w:r>
              <w:rPr>
                <w:kern w:val="0"/>
                <w:szCs w:val="21"/>
                <w:lang w:bidi="ar"/>
              </w:rPr>
              <w:t>球场位置2单元</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6F25C9F">
            <w:pPr>
              <w:widowControl/>
              <w:jc w:val="center"/>
              <w:textAlignment w:val="center"/>
              <w:rPr>
                <w:szCs w:val="21"/>
              </w:rPr>
            </w:pPr>
            <w:r>
              <w:rPr>
                <w:kern w:val="0"/>
                <w:szCs w:val="21"/>
                <w:lang w:bidi="ar"/>
              </w:rPr>
              <w:t>1.96</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74C40D1D">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7BC1106A">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37BA5941">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01FAB1C5">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0B4EF050">
            <w:pPr>
              <w:jc w:val="center"/>
              <w:rPr>
                <w:szCs w:val="21"/>
              </w:rPr>
            </w:pPr>
          </w:p>
        </w:tc>
      </w:tr>
      <w:tr w14:paraId="5AE07587">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2BD189B4">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4FB261C7">
            <w:pPr>
              <w:widowControl/>
              <w:jc w:val="center"/>
              <w:textAlignment w:val="center"/>
              <w:rPr>
                <w:szCs w:val="21"/>
              </w:rPr>
            </w:pPr>
            <w:r>
              <w:rPr>
                <w:kern w:val="0"/>
                <w:szCs w:val="21"/>
                <w:lang w:bidi="ar"/>
              </w:rPr>
              <w:t>球场位置3单元</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F8C2A41">
            <w:pPr>
              <w:widowControl/>
              <w:jc w:val="center"/>
              <w:textAlignment w:val="center"/>
              <w:rPr>
                <w:szCs w:val="21"/>
              </w:rPr>
            </w:pPr>
            <w:r>
              <w:rPr>
                <w:kern w:val="0"/>
                <w:szCs w:val="21"/>
                <w:lang w:bidi="ar"/>
              </w:rPr>
              <w:t>2.10</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64432EFA">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59D0D2F8">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2CBE801">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7229B532">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4E87B3CA">
            <w:pPr>
              <w:jc w:val="center"/>
              <w:rPr>
                <w:szCs w:val="21"/>
              </w:rPr>
            </w:pPr>
          </w:p>
        </w:tc>
      </w:tr>
      <w:tr w14:paraId="03A38675">
        <w:tblPrEx>
          <w:tblCellMar>
            <w:top w:w="0" w:type="dxa"/>
            <w:left w:w="108" w:type="dxa"/>
            <w:bottom w:w="0" w:type="dxa"/>
            <w:right w:w="108" w:type="dxa"/>
          </w:tblCellMar>
        </w:tblPrEx>
        <w:trPr>
          <w:trHeight w:val="315" w:hRule="atLeast"/>
        </w:trPr>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14:paraId="128D3E6B">
            <w:pPr>
              <w:widowControl/>
              <w:jc w:val="center"/>
              <w:textAlignment w:val="center"/>
              <w:rPr>
                <w:szCs w:val="21"/>
              </w:rPr>
            </w:pPr>
            <w:r>
              <w:rPr>
                <w:kern w:val="0"/>
                <w:szCs w:val="21"/>
                <w:lang w:bidi="ar"/>
              </w:rPr>
              <w:t>3号地</w:t>
            </w: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4F82F9CB">
            <w:pPr>
              <w:widowControl/>
              <w:jc w:val="center"/>
              <w:textAlignment w:val="center"/>
              <w:rPr>
                <w:szCs w:val="21"/>
              </w:rPr>
            </w:pPr>
            <w:r>
              <w:rPr>
                <w:kern w:val="0"/>
                <w:szCs w:val="21"/>
                <w:lang w:bidi="ar"/>
              </w:rPr>
              <w:t>老井位置1号舍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6F7872A5">
            <w:pPr>
              <w:widowControl/>
              <w:jc w:val="center"/>
              <w:textAlignment w:val="center"/>
              <w:rPr>
                <w:szCs w:val="21"/>
              </w:rPr>
            </w:pPr>
            <w:r>
              <w:rPr>
                <w:kern w:val="0"/>
                <w:szCs w:val="21"/>
                <w:lang w:bidi="ar"/>
              </w:rPr>
              <w:t>3.93</w:t>
            </w:r>
          </w:p>
        </w:tc>
        <w:tc>
          <w:tcPr>
            <w:tcW w:w="703" w:type="pct"/>
            <w:vMerge w:val="restart"/>
            <w:tcBorders>
              <w:top w:val="single" w:color="000000" w:sz="4" w:space="0"/>
              <w:left w:val="single" w:color="000000" w:sz="4" w:space="0"/>
              <w:bottom w:val="single" w:color="000000" w:sz="4" w:space="0"/>
              <w:right w:val="single" w:color="000000" w:sz="4" w:space="0"/>
            </w:tcBorders>
            <w:noWrap/>
            <w:vAlign w:val="center"/>
          </w:tcPr>
          <w:p w14:paraId="66945210">
            <w:pPr>
              <w:widowControl/>
              <w:jc w:val="center"/>
              <w:textAlignment w:val="center"/>
              <w:rPr>
                <w:szCs w:val="21"/>
              </w:rPr>
            </w:pPr>
            <w:r>
              <w:rPr>
                <w:kern w:val="0"/>
                <w:szCs w:val="21"/>
                <w:lang w:bidi="ar"/>
              </w:rPr>
              <w:t xml:space="preserve">7.86 </w:t>
            </w:r>
          </w:p>
        </w:tc>
        <w:tc>
          <w:tcPr>
            <w:tcW w:w="522" w:type="pct"/>
            <w:vMerge w:val="restart"/>
            <w:tcBorders>
              <w:top w:val="single" w:color="000000" w:sz="4" w:space="0"/>
              <w:left w:val="single" w:color="000000" w:sz="4" w:space="0"/>
              <w:bottom w:val="single" w:color="000000" w:sz="4" w:space="0"/>
              <w:right w:val="single" w:color="000000" w:sz="4" w:space="0"/>
            </w:tcBorders>
            <w:noWrap/>
            <w:vAlign w:val="center"/>
          </w:tcPr>
          <w:p w14:paraId="5F0BA80A">
            <w:pPr>
              <w:widowControl/>
              <w:jc w:val="center"/>
              <w:textAlignment w:val="center"/>
              <w:rPr>
                <w:szCs w:val="21"/>
              </w:rPr>
            </w:pPr>
            <w:r>
              <w:rPr>
                <w:kern w:val="0"/>
                <w:szCs w:val="21"/>
                <w:lang w:bidi="ar"/>
              </w:rPr>
              <w:t>2.6</w:t>
            </w:r>
          </w:p>
        </w:tc>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128A7D5B">
            <w:pPr>
              <w:widowControl/>
              <w:jc w:val="center"/>
              <w:textAlignment w:val="center"/>
              <w:rPr>
                <w:szCs w:val="21"/>
              </w:rPr>
            </w:pPr>
            <w:r>
              <w:rPr>
                <w:kern w:val="0"/>
                <w:szCs w:val="21"/>
                <w:lang w:bidi="ar"/>
              </w:rPr>
              <w:t xml:space="preserve">20.42 </w:t>
            </w:r>
          </w:p>
        </w:tc>
        <w:tc>
          <w:tcPr>
            <w:tcW w:w="440" w:type="pct"/>
            <w:vMerge w:val="restart"/>
            <w:tcBorders>
              <w:top w:val="single" w:color="000000" w:sz="4" w:space="0"/>
              <w:left w:val="single" w:color="000000" w:sz="4" w:space="0"/>
              <w:bottom w:val="single" w:color="000000" w:sz="4" w:space="0"/>
              <w:right w:val="single" w:color="000000" w:sz="4" w:space="0"/>
            </w:tcBorders>
            <w:noWrap/>
            <w:vAlign w:val="center"/>
          </w:tcPr>
          <w:p w14:paraId="2F10B503">
            <w:pPr>
              <w:widowControl/>
              <w:jc w:val="center"/>
              <w:textAlignment w:val="center"/>
              <w:rPr>
                <w:szCs w:val="21"/>
              </w:rPr>
            </w:pPr>
            <w:r>
              <w:rPr>
                <w:kern w:val="0"/>
                <w:szCs w:val="21"/>
                <w:lang w:bidi="ar"/>
              </w:rPr>
              <w:t xml:space="preserve">7.07 </w:t>
            </w:r>
          </w:p>
        </w:tc>
        <w:tc>
          <w:tcPr>
            <w:tcW w:w="619" w:type="pct"/>
            <w:vMerge w:val="restart"/>
            <w:tcBorders>
              <w:top w:val="single" w:color="000000" w:sz="4" w:space="0"/>
              <w:left w:val="single" w:color="000000" w:sz="4" w:space="0"/>
              <w:bottom w:val="single" w:color="000000" w:sz="4" w:space="0"/>
              <w:right w:val="single" w:color="000000" w:sz="4" w:space="0"/>
            </w:tcBorders>
            <w:noWrap/>
            <w:vAlign w:val="center"/>
          </w:tcPr>
          <w:p w14:paraId="0C8286A2">
            <w:pPr>
              <w:widowControl/>
              <w:jc w:val="center"/>
              <w:textAlignment w:val="center"/>
              <w:rPr>
                <w:szCs w:val="21"/>
              </w:rPr>
            </w:pPr>
            <w:r>
              <w:rPr>
                <w:kern w:val="0"/>
                <w:szCs w:val="21"/>
                <w:lang w:bidi="ar"/>
              </w:rPr>
              <w:t xml:space="preserve">18.38 </w:t>
            </w:r>
          </w:p>
        </w:tc>
      </w:tr>
      <w:tr w14:paraId="3FBA79ED">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5B9571B7">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4259869F">
            <w:pPr>
              <w:widowControl/>
              <w:jc w:val="center"/>
              <w:textAlignment w:val="center"/>
              <w:rPr>
                <w:szCs w:val="21"/>
              </w:rPr>
            </w:pPr>
            <w:r>
              <w:rPr>
                <w:kern w:val="0"/>
                <w:szCs w:val="21"/>
                <w:lang w:bidi="ar"/>
              </w:rPr>
              <w:t>老井位置2号舍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1542DF70">
            <w:pPr>
              <w:widowControl/>
              <w:jc w:val="center"/>
              <w:textAlignment w:val="center"/>
              <w:rPr>
                <w:szCs w:val="21"/>
              </w:rPr>
            </w:pPr>
            <w:r>
              <w:rPr>
                <w:kern w:val="0"/>
                <w:szCs w:val="21"/>
                <w:lang w:bidi="ar"/>
              </w:rPr>
              <w:t>3.93</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3668B03E">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18B2F7B0">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BC74201">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2994D21A">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03EB3182">
            <w:pPr>
              <w:jc w:val="center"/>
              <w:rPr>
                <w:szCs w:val="21"/>
              </w:rPr>
            </w:pPr>
          </w:p>
        </w:tc>
      </w:tr>
      <w:tr w14:paraId="67EBDB42">
        <w:tblPrEx>
          <w:tblCellMar>
            <w:top w:w="0" w:type="dxa"/>
            <w:left w:w="108" w:type="dxa"/>
            <w:bottom w:w="0" w:type="dxa"/>
            <w:right w:w="108" w:type="dxa"/>
          </w:tblCellMar>
        </w:tblPrEx>
        <w:trPr>
          <w:trHeight w:val="315" w:hRule="atLeast"/>
        </w:trPr>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14:paraId="5F13B181">
            <w:pPr>
              <w:widowControl/>
              <w:jc w:val="center"/>
              <w:textAlignment w:val="center"/>
              <w:rPr>
                <w:szCs w:val="21"/>
              </w:rPr>
            </w:pPr>
            <w:r>
              <w:rPr>
                <w:kern w:val="0"/>
                <w:szCs w:val="21"/>
                <w:lang w:bidi="ar"/>
              </w:rPr>
              <w:t>4号地</w:t>
            </w: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1D11149E">
            <w:pPr>
              <w:widowControl/>
              <w:jc w:val="center"/>
              <w:textAlignment w:val="center"/>
              <w:rPr>
                <w:szCs w:val="21"/>
              </w:rPr>
            </w:pPr>
            <w:r>
              <w:rPr>
                <w:kern w:val="0"/>
                <w:szCs w:val="21"/>
                <w:lang w:bidi="ar"/>
              </w:rPr>
              <w:t>鑫旺板块1号舍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C292F9C">
            <w:pPr>
              <w:widowControl/>
              <w:jc w:val="center"/>
              <w:textAlignment w:val="center"/>
              <w:rPr>
                <w:szCs w:val="21"/>
              </w:rPr>
            </w:pPr>
            <w:r>
              <w:rPr>
                <w:kern w:val="0"/>
                <w:szCs w:val="21"/>
                <w:lang w:bidi="ar"/>
              </w:rPr>
              <w:t>6.55</w:t>
            </w:r>
          </w:p>
        </w:tc>
        <w:tc>
          <w:tcPr>
            <w:tcW w:w="703" w:type="pct"/>
            <w:vMerge w:val="restart"/>
            <w:tcBorders>
              <w:top w:val="single" w:color="000000" w:sz="4" w:space="0"/>
              <w:left w:val="single" w:color="000000" w:sz="4" w:space="0"/>
              <w:bottom w:val="single" w:color="000000" w:sz="4" w:space="0"/>
              <w:right w:val="single" w:color="000000" w:sz="4" w:space="0"/>
            </w:tcBorders>
            <w:noWrap/>
            <w:vAlign w:val="center"/>
          </w:tcPr>
          <w:p w14:paraId="5F716BF4">
            <w:pPr>
              <w:widowControl/>
              <w:jc w:val="center"/>
              <w:textAlignment w:val="center"/>
              <w:rPr>
                <w:szCs w:val="21"/>
              </w:rPr>
            </w:pPr>
            <w:r>
              <w:rPr>
                <w:kern w:val="0"/>
                <w:szCs w:val="21"/>
                <w:lang w:bidi="ar"/>
              </w:rPr>
              <w:t xml:space="preserve">19.11 </w:t>
            </w:r>
          </w:p>
        </w:tc>
        <w:tc>
          <w:tcPr>
            <w:tcW w:w="522" w:type="pct"/>
            <w:vMerge w:val="restart"/>
            <w:tcBorders>
              <w:top w:val="single" w:color="000000" w:sz="4" w:space="0"/>
              <w:left w:val="single" w:color="000000" w:sz="4" w:space="0"/>
              <w:bottom w:val="single" w:color="000000" w:sz="4" w:space="0"/>
              <w:right w:val="single" w:color="000000" w:sz="4" w:space="0"/>
            </w:tcBorders>
            <w:noWrap/>
            <w:vAlign w:val="center"/>
          </w:tcPr>
          <w:p w14:paraId="0D3FD9D3">
            <w:pPr>
              <w:widowControl/>
              <w:jc w:val="center"/>
              <w:textAlignment w:val="center"/>
              <w:rPr>
                <w:szCs w:val="21"/>
              </w:rPr>
            </w:pPr>
            <w:r>
              <w:rPr>
                <w:kern w:val="0"/>
                <w:szCs w:val="21"/>
                <w:lang w:bidi="ar"/>
              </w:rPr>
              <w:t>2.6</w:t>
            </w:r>
          </w:p>
        </w:tc>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483D3812">
            <w:pPr>
              <w:widowControl/>
              <w:jc w:val="center"/>
              <w:textAlignment w:val="center"/>
              <w:rPr>
                <w:szCs w:val="21"/>
              </w:rPr>
            </w:pPr>
            <w:r>
              <w:rPr>
                <w:kern w:val="0"/>
                <w:szCs w:val="21"/>
                <w:lang w:bidi="ar"/>
              </w:rPr>
              <w:t xml:space="preserve">49.70 </w:t>
            </w:r>
          </w:p>
        </w:tc>
        <w:tc>
          <w:tcPr>
            <w:tcW w:w="440" w:type="pct"/>
            <w:vMerge w:val="restart"/>
            <w:tcBorders>
              <w:top w:val="single" w:color="000000" w:sz="4" w:space="0"/>
              <w:left w:val="single" w:color="000000" w:sz="4" w:space="0"/>
              <w:bottom w:val="single" w:color="000000" w:sz="4" w:space="0"/>
              <w:right w:val="single" w:color="000000" w:sz="4" w:space="0"/>
            </w:tcBorders>
            <w:noWrap/>
            <w:vAlign w:val="center"/>
          </w:tcPr>
          <w:p w14:paraId="1212DAE5">
            <w:pPr>
              <w:widowControl/>
              <w:jc w:val="center"/>
              <w:textAlignment w:val="center"/>
              <w:rPr>
                <w:szCs w:val="21"/>
              </w:rPr>
            </w:pPr>
            <w:r>
              <w:rPr>
                <w:kern w:val="0"/>
                <w:szCs w:val="21"/>
                <w:lang w:bidi="ar"/>
              </w:rPr>
              <w:t xml:space="preserve">17.20 </w:t>
            </w:r>
          </w:p>
        </w:tc>
        <w:tc>
          <w:tcPr>
            <w:tcW w:w="619" w:type="pct"/>
            <w:vMerge w:val="restart"/>
            <w:tcBorders>
              <w:top w:val="single" w:color="000000" w:sz="4" w:space="0"/>
              <w:left w:val="single" w:color="000000" w:sz="4" w:space="0"/>
              <w:bottom w:val="single" w:color="000000" w:sz="4" w:space="0"/>
              <w:right w:val="single" w:color="000000" w:sz="4" w:space="0"/>
            </w:tcBorders>
            <w:noWrap/>
            <w:vAlign w:val="center"/>
          </w:tcPr>
          <w:p w14:paraId="2F2580CF">
            <w:pPr>
              <w:widowControl/>
              <w:jc w:val="center"/>
              <w:textAlignment w:val="center"/>
              <w:rPr>
                <w:szCs w:val="21"/>
              </w:rPr>
            </w:pPr>
            <w:r>
              <w:rPr>
                <w:kern w:val="0"/>
                <w:szCs w:val="21"/>
                <w:lang w:bidi="ar"/>
              </w:rPr>
              <w:t xml:space="preserve">44.73 </w:t>
            </w:r>
          </w:p>
        </w:tc>
      </w:tr>
      <w:tr w14:paraId="402824F3">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5C41C364">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3EFFC783">
            <w:pPr>
              <w:widowControl/>
              <w:jc w:val="center"/>
              <w:textAlignment w:val="center"/>
              <w:rPr>
                <w:szCs w:val="21"/>
              </w:rPr>
            </w:pPr>
            <w:r>
              <w:rPr>
                <w:kern w:val="0"/>
                <w:szCs w:val="21"/>
                <w:lang w:bidi="ar"/>
              </w:rPr>
              <w:t>鑫旺板块2号舍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06B3A02">
            <w:pPr>
              <w:widowControl/>
              <w:jc w:val="center"/>
              <w:textAlignment w:val="center"/>
              <w:rPr>
                <w:szCs w:val="21"/>
              </w:rPr>
            </w:pPr>
            <w:r>
              <w:rPr>
                <w:kern w:val="0"/>
                <w:szCs w:val="21"/>
                <w:lang w:bidi="ar"/>
              </w:rPr>
              <w:t>6.55</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6C06C742">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6211225C">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005E378">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31A52AC0">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1B32A3A8">
            <w:pPr>
              <w:jc w:val="center"/>
              <w:rPr>
                <w:szCs w:val="21"/>
              </w:rPr>
            </w:pPr>
          </w:p>
        </w:tc>
      </w:tr>
      <w:tr w14:paraId="1C60779E">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5525CB98">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058B9DB2">
            <w:pPr>
              <w:widowControl/>
              <w:jc w:val="center"/>
              <w:textAlignment w:val="center"/>
              <w:rPr>
                <w:szCs w:val="21"/>
              </w:rPr>
            </w:pPr>
            <w:r>
              <w:rPr>
                <w:kern w:val="0"/>
                <w:szCs w:val="21"/>
                <w:lang w:bidi="ar"/>
              </w:rPr>
              <w:t>鑫旺板块3号舍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B99EBCE">
            <w:pPr>
              <w:widowControl/>
              <w:jc w:val="center"/>
              <w:textAlignment w:val="center"/>
              <w:rPr>
                <w:szCs w:val="21"/>
              </w:rPr>
            </w:pPr>
            <w:r>
              <w:rPr>
                <w:kern w:val="0"/>
                <w:szCs w:val="21"/>
                <w:lang w:bidi="ar"/>
              </w:rPr>
              <w:t>6.02</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6BBC03F9">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740E0912">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1E469C31">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6E361B7E">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26107703">
            <w:pPr>
              <w:jc w:val="center"/>
              <w:rPr>
                <w:szCs w:val="21"/>
              </w:rPr>
            </w:pPr>
          </w:p>
        </w:tc>
      </w:tr>
      <w:tr w14:paraId="07788CA3">
        <w:tblPrEx>
          <w:tblCellMar>
            <w:top w:w="0" w:type="dxa"/>
            <w:left w:w="108" w:type="dxa"/>
            <w:bottom w:w="0" w:type="dxa"/>
            <w:right w:w="108" w:type="dxa"/>
          </w:tblCellMar>
        </w:tblPrEx>
        <w:trPr>
          <w:trHeight w:val="315" w:hRule="atLeast"/>
        </w:trPr>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14:paraId="5D92775B">
            <w:pPr>
              <w:widowControl/>
              <w:jc w:val="center"/>
              <w:textAlignment w:val="center"/>
              <w:rPr>
                <w:szCs w:val="21"/>
              </w:rPr>
            </w:pPr>
            <w:r>
              <w:rPr>
                <w:kern w:val="0"/>
                <w:szCs w:val="21"/>
                <w:lang w:bidi="ar"/>
              </w:rPr>
              <w:t>5号地</w:t>
            </w: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385AA089">
            <w:pPr>
              <w:widowControl/>
              <w:jc w:val="center"/>
              <w:textAlignment w:val="center"/>
              <w:rPr>
                <w:szCs w:val="21"/>
              </w:rPr>
            </w:pPr>
            <w:r>
              <w:rPr>
                <w:kern w:val="0"/>
                <w:szCs w:val="21"/>
                <w:lang w:bidi="ar"/>
              </w:rPr>
              <w:t>大河边篮球场位置猪舍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8BF57C0">
            <w:pPr>
              <w:widowControl/>
              <w:jc w:val="center"/>
              <w:textAlignment w:val="center"/>
              <w:rPr>
                <w:szCs w:val="21"/>
              </w:rPr>
            </w:pPr>
            <w:r>
              <w:rPr>
                <w:kern w:val="0"/>
                <w:szCs w:val="21"/>
                <w:lang w:bidi="ar"/>
              </w:rPr>
              <w:t>5.42</w:t>
            </w:r>
          </w:p>
        </w:tc>
        <w:tc>
          <w:tcPr>
            <w:tcW w:w="703" w:type="pct"/>
            <w:vMerge w:val="restart"/>
            <w:tcBorders>
              <w:top w:val="single" w:color="000000" w:sz="4" w:space="0"/>
              <w:left w:val="single" w:color="000000" w:sz="4" w:space="0"/>
              <w:bottom w:val="single" w:color="000000" w:sz="4" w:space="0"/>
              <w:right w:val="single" w:color="000000" w:sz="4" w:space="0"/>
            </w:tcBorders>
            <w:noWrap/>
            <w:vAlign w:val="center"/>
          </w:tcPr>
          <w:p w14:paraId="7ED16EC4">
            <w:pPr>
              <w:widowControl/>
              <w:jc w:val="center"/>
              <w:textAlignment w:val="center"/>
              <w:rPr>
                <w:szCs w:val="21"/>
              </w:rPr>
            </w:pPr>
            <w:r>
              <w:rPr>
                <w:kern w:val="0"/>
                <w:szCs w:val="21"/>
                <w:lang w:bidi="ar"/>
              </w:rPr>
              <w:t xml:space="preserve">14.97 </w:t>
            </w:r>
          </w:p>
        </w:tc>
        <w:tc>
          <w:tcPr>
            <w:tcW w:w="522" w:type="pct"/>
            <w:vMerge w:val="restart"/>
            <w:tcBorders>
              <w:top w:val="single" w:color="000000" w:sz="4" w:space="0"/>
              <w:left w:val="single" w:color="000000" w:sz="4" w:space="0"/>
              <w:bottom w:val="single" w:color="000000" w:sz="4" w:space="0"/>
              <w:right w:val="single" w:color="000000" w:sz="4" w:space="0"/>
            </w:tcBorders>
            <w:noWrap/>
            <w:vAlign w:val="center"/>
          </w:tcPr>
          <w:p w14:paraId="6339DD56">
            <w:pPr>
              <w:widowControl/>
              <w:jc w:val="center"/>
              <w:textAlignment w:val="center"/>
              <w:rPr>
                <w:szCs w:val="21"/>
              </w:rPr>
            </w:pPr>
            <w:r>
              <w:rPr>
                <w:kern w:val="0"/>
                <w:szCs w:val="21"/>
                <w:lang w:bidi="ar"/>
              </w:rPr>
              <w:t>2.6</w:t>
            </w:r>
          </w:p>
        </w:tc>
        <w:tc>
          <w:tcPr>
            <w:tcW w:w="618" w:type="pct"/>
            <w:vMerge w:val="restart"/>
            <w:tcBorders>
              <w:top w:val="single" w:color="000000" w:sz="4" w:space="0"/>
              <w:left w:val="single" w:color="000000" w:sz="4" w:space="0"/>
              <w:bottom w:val="single" w:color="000000" w:sz="4" w:space="0"/>
              <w:right w:val="single" w:color="000000" w:sz="4" w:space="0"/>
            </w:tcBorders>
            <w:noWrap/>
            <w:vAlign w:val="center"/>
          </w:tcPr>
          <w:p w14:paraId="1871B704">
            <w:pPr>
              <w:widowControl/>
              <w:jc w:val="center"/>
              <w:textAlignment w:val="center"/>
              <w:rPr>
                <w:szCs w:val="21"/>
              </w:rPr>
            </w:pPr>
            <w:r>
              <w:rPr>
                <w:kern w:val="0"/>
                <w:szCs w:val="21"/>
                <w:lang w:bidi="ar"/>
              </w:rPr>
              <w:t xml:space="preserve">38.93 </w:t>
            </w:r>
          </w:p>
        </w:tc>
        <w:tc>
          <w:tcPr>
            <w:tcW w:w="440" w:type="pct"/>
            <w:vMerge w:val="restart"/>
            <w:tcBorders>
              <w:top w:val="single" w:color="000000" w:sz="4" w:space="0"/>
              <w:left w:val="single" w:color="000000" w:sz="4" w:space="0"/>
              <w:bottom w:val="single" w:color="000000" w:sz="4" w:space="0"/>
              <w:right w:val="single" w:color="000000" w:sz="4" w:space="0"/>
            </w:tcBorders>
            <w:noWrap/>
            <w:vAlign w:val="center"/>
          </w:tcPr>
          <w:p w14:paraId="04A90F8A">
            <w:pPr>
              <w:widowControl/>
              <w:jc w:val="center"/>
              <w:textAlignment w:val="center"/>
              <w:rPr>
                <w:szCs w:val="21"/>
              </w:rPr>
            </w:pPr>
            <w:r>
              <w:rPr>
                <w:kern w:val="0"/>
                <w:szCs w:val="21"/>
                <w:lang w:bidi="ar"/>
              </w:rPr>
              <w:t xml:space="preserve">13.48 </w:t>
            </w:r>
          </w:p>
        </w:tc>
        <w:tc>
          <w:tcPr>
            <w:tcW w:w="619" w:type="pct"/>
            <w:vMerge w:val="restart"/>
            <w:tcBorders>
              <w:top w:val="single" w:color="000000" w:sz="4" w:space="0"/>
              <w:left w:val="single" w:color="000000" w:sz="4" w:space="0"/>
              <w:bottom w:val="single" w:color="000000" w:sz="4" w:space="0"/>
              <w:right w:val="single" w:color="000000" w:sz="4" w:space="0"/>
            </w:tcBorders>
            <w:noWrap/>
            <w:vAlign w:val="center"/>
          </w:tcPr>
          <w:p w14:paraId="7FB4B873">
            <w:pPr>
              <w:widowControl/>
              <w:jc w:val="center"/>
              <w:textAlignment w:val="center"/>
              <w:rPr>
                <w:szCs w:val="21"/>
              </w:rPr>
            </w:pPr>
            <w:r>
              <w:rPr>
                <w:kern w:val="0"/>
                <w:szCs w:val="21"/>
                <w:lang w:bidi="ar"/>
              </w:rPr>
              <w:t xml:space="preserve">35.04 </w:t>
            </w:r>
          </w:p>
        </w:tc>
      </w:tr>
      <w:tr w14:paraId="612D00DB">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26EFAA58">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2269FF25">
            <w:pPr>
              <w:widowControl/>
              <w:jc w:val="center"/>
              <w:textAlignment w:val="center"/>
              <w:rPr>
                <w:szCs w:val="21"/>
              </w:rPr>
            </w:pPr>
            <w:r>
              <w:rPr>
                <w:kern w:val="0"/>
                <w:szCs w:val="21"/>
                <w:lang w:bidi="ar"/>
              </w:rPr>
              <w:t>大河边上煤仓位置1号舍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D77C0A2">
            <w:pPr>
              <w:widowControl/>
              <w:jc w:val="center"/>
              <w:textAlignment w:val="center"/>
              <w:rPr>
                <w:szCs w:val="21"/>
              </w:rPr>
            </w:pPr>
            <w:r>
              <w:rPr>
                <w:kern w:val="0"/>
                <w:szCs w:val="21"/>
                <w:lang w:bidi="ar"/>
              </w:rPr>
              <w:t>2.23</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4540DE1D">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6DC1B4E6">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71DEE700">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79FF49CF">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5C238852">
            <w:pPr>
              <w:jc w:val="center"/>
              <w:rPr>
                <w:szCs w:val="21"/>
              </w:rPr>
            </w:pPr>
          </w:p>
        </w:tc>
      </w:tr>
      <w:tr w14:paraId="74F4ACED">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5A21C200">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783DFD76">
            <w:pPr>
              <w:widowControl/>
              <w:jc w:val="center"/>
              <w:textAlignment w:val="center"/>
              <w:rPr>
                <w:szCs w:val="21"/>
              </w:rPr>
            </w:pPr>
            <w:r>
              <w:rPr>
                <w:kern w:val="0"/>
                <w:szCs w:val="21"/>
                <w:lang w:bidi="ar"/>
              </w:rPr>
              <w:t>大河边上煤仓位置1号舍2</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2E489EF">
            <w:pPr>
              <w:widowControl/>
              <w:jc w:val="center"/>
              <w:textAlignment w:val="center"/>
              <w:rPr>
                <w:szCs w:val="21"/>
              </w:rPr>
            </w:pPr>
            <w:r>
              <w:rPr>
                <w:kern w:val="0"/>
                <w:szCs w:val="21"/>
                <w:lang w:bidi="ar"/>
              </w:rPr>
              <w:t>3.46</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774AF80D">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1C4D659D">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5CD5E87">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7D29DC17">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32B9DB9D">
            <w:pPr>
              <w:jc w:val="center"/>
              <w:rPr>
                <w:szCs w:val="21"/>
              </w:rPr>
            </w:pPr>
          </w:p>
        </w:tc>
      </w:tr>
      <w:tr w14:paraId="1E05912F">
        <w:tblPrEx>
          <w:tblCellMar>
            <w:top w:w="0" w:type="dxa"/>
            <w:left w:w="108" w:type="dxa"/>
            <w:bottom w:w="0" w:type="dxa"/>
            <w:right w:w="108" w:type="dxa"/>
          </w:tblCellMar>
        </w:tblPrEx>
        <w:trPr>
          <w:trHeight w:val="315" w:hRule="atLeast"/>
        </w:trPr>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14:paraId="7E72E5BD">
            <w:pPr>
              <w:jc w:val="center"/>
              <w:rPr>
                <w:szCs w:val="21"/>
              </w:rPr>
            </w:pPr>
          </w:p>
        </w:tc>
        <w:tc>
          <w:tcPr>
            <w:tcW w:w="1341" w:type="pct"/>
            <w:tcBorders>
              <w:top w:val="single" w:color="000000" w:sz="4" w:space="0"/>
              <w:left w:val="single" w:color="000000" w:sz="4" w:space="0"/>
              <w:bottom w:val="single" w:color="000000" w:sz="4" w:space="0"/>
              <w:right w:val="single" w:color="000000" w:sz="4" w:space="0"/>
            </w:tcBorders>
            <w:noWrap/>
            <w:vAlign w:val="center"/>
          </w:tcPr>
          <w:p w14:paraId="442909B2">
            <w:pPr>
              <w:widowControl/>
              <w:jc w:val="center"/>
              <w:textAlignment w:val="center"/>
              <w:rPr>
                <w:szCs w:val="21"/>
              </w:rPr>
            </w:pPr>
            <w:r>
              <w:rPr>
                <w:kern w:val="0"/>
                <w:szCs w:val="21"/>
                <w:lang w:bidi="ar"/>
              </w:rPr>
              <w:t>大河边下煤仓位置猪舍</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1EA33367">
            <w:pPr>
              <w:widowControl/>
              <w:jc w:val="center"/>
              <w:textAlignment w:val="center"/>
              <w:rPr>
                <w:szCs w:val="21"/>
              </w:rPr>
            </w:pPr>
            <w:r>
              <w:rPr>
                <w:kern w:val="0"/>
                <w:szCs w:val="21"/>
                <w:lang w:bidi="ar"/>
              </w:rPr>
              <w:t>3.86</w:t>
            </w:r>
          </w:p>
        </w:tc>
        <w:tc>
          <w:tcPr>
            <w:tcW w:w="703" w:type="pct"/>
            <w:vMerge w:val="continue"/>
            <w:tcBorders>
              <w:top w:val="single" w:color="000000" w:sz="4" w:space="0"/>
              <w:left w:val="single" w:color="000000" w:sz="4" w:space="0"/>
              <w:bottom w:val="single" w:color="000000" w:sz="4" w:space="0"/>
              <w:right w:val="single" w:color="000000" w:sz="4" w:space="0"/>
            </w:tcBorders>
            <w:noWrap/>
            <w:vAlign w:val="center"/>
          </w:tcPr>
          <w:p w14:paraId="75FE6E52">
            <w:pPr>
              <w:jc w:val="center"/>
              <w:rPr>
                <w:szCs w:val="21"/>
              </w:rPr>
            </w:pPr>
          </w:p>
        </w:tc>
        <w:tc>
          <w:tcPr>
            <w:tcW w:w="522" w:type="pct"/>
            <w:vMerge w:val="continue"/>
            <w:tcBorders>
              <w:top w:val="single" w:color="000000" w:sz="4" w:space="0"/>
              <w:left w:val="single" w:color="000000" w:sz="4" w:space="0"/>
              <w:bottom w:val="single" w:color="000000" w:sz="4" w:space="0"/>
              <w:right w:val="single" w:color="000000" w:sz="4" w:space="0"/>
            </w:tcBorders>
            <w:noWrap/>
            <w:vAlign w:val="center"/>
          </w:tcPr>
          <w:p w14:paraId="05F0E07F">
            <w:pPr>
              <w:jc w:val="center"/>
              <w:rPr>
                <w:szCs w:val="21"/>
              </w:rPr>
            </w:pPr>
          </w:p>
        </w:tc>
        <w:tc>
          <w:tcPr>
            <w:tcW w:w="618" w:type="pct"/>
            <w:vMerge w:val="continue"/>
            <w:tcBorders>
              <w:top w:val="single" w:color="000000" w:sz="4" w:space="0"/>
              <w:left w:val="single" w:color="000000" w:sz="4" w:space="0"/>
              <w:bottom w:val="single" w:color="000000" w:sz="4" w:space="0"/>
              <w:right w:val="single" w:color="000000" w:sz="4" w:space="0"/>
            </w:tcBorders>
            <w:noWrap/>
            <w:vAlign w:val="center"/>
          </w:tcPr>
          <w:p w14:paraId="0A33BF7D">
            <w:pPr>
              <w:jc w:val="center"/>
              <w:rPr>
                <w:szCs w:val="21"/>
              </w:rPr>
            </w:pPr>
          </w:p>
        </w:tc>
        <w:tc>
          <w:tcPr>
            <w:tcW w:w="440" w:type="pct"/>
            <w:vMerge w:val="continue"/>
            <w:tcBorders>
              <w:top w:val="single" w:color="000000" w:sz="4" w:space="0"/>
              <w:left w:val="single" w:color="000000" w:sz="4" w:space="0"/>
              <w:bottom w:val="single" w:color="000000" w:sz="4" w:space="0"/>
              <w:right w:val="single" w:color="000000" w:sz="4" w:space="0"/>
            </w:tcBorders>
            <w:noWrap/>
            <w:vAlign w:val="center"/>
          </w:tcPr>
          <w:p w14:paraId="24037229">
            <w:pPr>
              <w:jc w:val="center"/>
              <w:rPr>
                <w:szCs w:val="21"/>
              </w:rPr>
            </w:pPr>
          </w:p>
        </w:tc>
        <w:tc>
          <w:tcPr>
            <w:tcW w:w="619" w:type="pct"/>
            <w:vMerge w:val="continue"/>
            <w:tcBorders>
              <w:top w:val="single" w:color="000000" w:sz="4" w:space="0"/>
              <w:left w:val="single" w:color="000000" w:sz="4" w:space="0"/>
              <w:bottom w:val="single" w:color="000000" w:sz="4" w:space="0"/>
              <w:right w:val="single" w:color="000000" w:sz="4" w:space="0"/>
            </w:tcBorders>
            <w:noWrap/>
            <w:vAlign w:val="center"/>
          </w:tcPr>
          <w:p w14:paraId="0DBD5A43">
            <w:pPr>
              <w:jc w:val="center"/>
              <w:rPr>
                <w:szCs w:val="21"/>
              </w:rPr>
            </w:pPr>
          </w:p>
        </w:tc>
      </w:tr>
      <w:tr w14:paraId="3E52293F">
        <w:tblPrEx>
          <w:tblCellMar>
            <w:top w:w="0" w:type="dxa"/>
            <w:left w:w="108" w:type="dxa"/>
            <w:bottom w:w="0" w:type="dxa"/>
            <w:right w:w="108" w:type="dxa"/>
          </w:tblCellMar>
        </w:tblPrEx>
        <w:trPr>
          <w:trHeight w:val="315" w:hRule="atLeast"/>
        </w:trPr>
        <w:tc>
          <w:tcPr>
            <w:tcW w:w="1619" w:type="pct"/>
            <w:gridSpan w:val="2"/>
            <w:tcBorders>
              <w:top w:val="single" w:color="000000" w:sz="4" w:space="0"/>
              <w:left w:val="single" w:color="000000" w:sz="4" w:space="0"/>
              <w:bottom w:val="single" w:color="000000" w:sz="4" w:space="0"/>
              <w:right w:val="single" w:color="000000" w:sz="4" w:space="0"/>
            </w:tcBorders>
            <w:noWrap/>
            <w:vAlign w:val="center"/>
          </w:tcPr>
          <w:p w14:paraId="7DEC626C">
            <w:pPr>
              <w:widowControl/>
              <w:jc w:val="center"/>
              <w:textAlignment w:val="center"/>
              <w:rPr>
                <w:szCs w:val="21"/>
              </w:rPr>
            </w:pPr>
            <w:r>
              <w:rPr>
                <w:kern w:val="0"/>
                <w:szCs w:val="21"/>
                <w:lang w:bidi="ar"/>
              </w:rPr>
              <w:t>合计</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226136B">
            <w:pPr>
              <w:widowControl/>
              <w:jc w:val="center"/>
              <w:textAlignment w:val="center"/>
              <w:rPr>
                <w:szCs w:val="21"/>
              </w:rPr>
            </w:pPr>
            <w:r>
              <w:rPr>
                <w:kern w:val="0"/>
                <w:szCs w:val="21"/>
                <w:lang w:bidi="ar"/>
              </w:rPr>
              <w:t>67.98</w:t>
            </w:r>
          </w:p>
        </w:tc>
        <w:tc>
          <w:tcPr>
            <w:tcW w:w="703" w:type="pct"/>
            <w:tcBorders>
              <w:top w:val="single" w:color="000000" w:sz="4" w:space="0"/>
              <w:left w:val="single" w:color="000000" w:sz="4" w:space="0"/>
              <w:bottom w:val="single" w:color="000000" w:sz="4" w:space="0"/>
              <w:right w:val="single" w:color="000000" w:sz="4" w:space="0"/>
            </w:tcBorders>
            <w:noWrap/>
            <w:vAlign w:val="center"/>
          </w:tcPr>
          <w:p w14:paraId="04089310">
            <w:pPr>
              <w:widowControl/>
              <w:jc w:val="right"/>
              <w:textAlignment w:val="center"/>
              <w:rPr>
                <w:szCs w:val="21"/>
              </w:rPr>
            </w:pPr>
            <w:r>
              <w:rPr>
                <w:kern w:val="0"/>
                <w:szCs w:val="21"/>
                <w:lang w:bidi="ar"/>
              </w:rPr>
              <w:t xml:space="preserve">67.98 </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3E592DF9">
            <w:pPr>
              <w:widowControl/>
              <w:jc w:val="right"/>
              <w:textAlignment w:val="center"/>
              <w:rPr>
                <w:szCs w:val="21"/>
              </w:rPr>
            </w:pPr>
            <w:r>
              <w:rPr>
                <w:kern w:val="0"/>
                <w:szCs w:val="21"/>
                <w:lang w:bidi="ar"/>
              </w:rPr>
              <w:t xml:space="preserve">13.00 </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22695A9A">
            <w:pPr>
              <w:widowControl/>
              <w:jc w:val="right"/>
              <w:textAlignment w:val="center"/>
              <w:rPr>
                <w:szCs w:val="21"/>
              </w:rPr>
            </w:pPr>
            <w:r>
              <w:rPr>
                <w:kern w:val="0"/>
                <w:szCs w:val="21"/>
                <w:lang w:bidi="ar"/>
              </w:rPr>
              <w:t xml:space="preserve">176.75 </w:t>
            </w:r>
          </w:p>
        </w:tc>
        <w:tc>
          <w:tcPr>
            <w:tcW w:w="440" w:type="pct"/>
            <w:tcBorders>
              <w:top w:val="single" w:color="000000" w:sz="4" w:space="0"/>
              <w:left w:val="single" w:color="000000" w:sz="4" w:space="0"/>
              <w:bottom w:val="single" w:color="000000" w:sz="4" w:space="0"/>
              <w:right w:val="single" w:color="000000" w:sz="4" w:space="0"/>
            </w:tcBorders>
            <w:noWrap/>
            <w:vAlign w:val="center"/>
          </w:tcPr>
          <w:p w14:paraId="641E9282">
            <w:pPr>
              <w:widowControl/>
              <w:jc w:val="center"/>
              <w:textAlignment w:val="center"/>
              <w:rPr>
                <w:szCs w:val="21"/>
              </w:rPr>
            </w:pPr>
            <w:r>
              <w:rPr>
                <w:kern w:val="0"/>
                <w:szCs w:val="21"/>
                <w:lang w:bidi="ar"/>
              </w:rPr>
              <w:t xml:space="preserve">61.18 </w:t>
            </w:r>
          </w:p>
        </w:tc>
        <w:tc>
          <w:tcPr>
            <w:tcW w:w="619" w:type="pct"/>
            <w:tcBorders>
              <w:top w:val="single" w:color="000000" w:sz="4" w:space="0"/>
              <w:left w:val="single" w:color="000000" w:sz="4" w:space="0"/>
              <w:bottom w:val="single" w:color="000000" w:sz="4" w:space="0"/>
              <w:right w:val="single" w:color="000000" w:sz="4" w:space="0"/>
            </w:tcBorders>
            <w:noWrap/>
            <w:vAlign w:val="center"/>
          </w:tcPr>
          <w:p w14:paraId="3D424391">
            <w:pPr>
              <w:widowControl/>
              <w:jc w:val="center"/>
              <w:textAlignment w:val="center"/>
              <w:rPr>
                <w:szCs w:val="21"/>
              </w:rPr>
            </w:pPr>
            <w:r>
              <w:rPr>
                <w:kern w:val="0"/>
                <w:szCs w:val="21"/>
                <w:lang w:bidi="ar"/>
              </w:rPr>
              <w:t xml:space="preserve">159.07 </w:t>
            </w:r>
          </w:p>
        </w:tc>
      </w:tr>
    </w:tbl>
    <w:p w14:paraId="79665A61">
      <w:pPr>
        <w:pStyle w:val="10"/>
        <w:spacing w:line="360" w:lineRule="auto"/>
        <w:ind w:firstLine="480"/>
        <w:rPr>
          <w:sz w:val="24"/>
        </w:rPr>
      </w:pPr>
      <w:r>
        <w:rPr>
          <w:sz w:val="24"/>
        </w:rPr>
        <w:t>根据上表，猪舍冲洗废水产生量为159.07m</w:t>
      </w:r>
      <w:r>
        <w:rPr>
          <w:sz w:val="24"/>
          <w:vertAlign w:val="superscript"/>
        </w:rPr>
        <w:t>3</w:t>
      </w:r>
      <w:r>
        <w:rPr>
          <w:sz w:val="24"/>
        </w:rPr>
        <w:t>/a。冲洗废水排入各地块内污水处理站处理达标后回用不外排。</w:t>
      </w:r>
    </w:p>
    <w:p w14:paraId="36EBDA97">
      <w:pPr>
        <w:pStyle w:val="10"/>
        <w:spacing w:line="360" w:lineRule="auto"/>
        <w:ind w:firstLine="482"/>
        <w:rPr>
          <w:b/>
          <w:sz w:val="24"/>
        </w:rPr>
      </w:pPr>
      <w:r>
        <w:rPr>
          <w:b/>
          <w:sz w:val="24"/>
        </w:rPr>
        <w:t>4.生活污水（W4）</w:t>
      </w:r>
    </w:p>
    <w:p w14:paraId="2456BC54">
      <w:pPr>
        <w:pStyle w:val="10"/>
        <w:spacing w:line="360" w:lineRule="auto"/>
        <w:ind w:firstLine="480"/>
        <w:rPr>
          <w:sz w:val="24"/>
        </w:rPr>
      </w:pPr>
      <w:r>
        <w:rPr>
          <w:sz w:val="24"/>
        </w:rPr>
        <w:t>生活污水产生量按用水量的80%计算，则各地块生活污水产生量见下表：</w:t>
      </w:r>
    </w:p>
    <w:p w14:paraId="631C6A57">
      <w:pPr>
        <w:pStyle w:val="10"/>
        <w:spacing w:line="360" w:lineRule="auto"/>
        <w:ind w:firstLine="964" w:firstLineChars="400"/>
        <w:jc w:val="center"/>
        <w:rPr>
          <w:b/>
          <w:bCs/>
          <w:sz w:val="24"/>
        </w:rPr>
      </w:pPr>
      <w:r>
        <w:rPr>
          <w:b/>
          <w:bCs/>
          <w:sz w:val="24"/>
        </w:rPr>
        <w:t>表3.3-10生活污水产生量情况表</w:t>
      </w:r>
    </w:p>
    <w:tbl>
      <w:tblPr>
        <w:tblStyle w:val="87"/>
        <w:tblW w:w="5000" w:type="pct"/>
        <w:tblInd w:w="0" w:type="dxa"/>
        <w:tblLayout w:type="fixed"/>
        <w:tblCellMar>
          <w:top w:w="0" w:type="dxa"/>
          <w:left w:w="108" w:type="dxa"/>
          <w:bottom w:w="0" w:type="dxa"/>
          <w:right w:w="108" w:type="dxa"/>
        </w:tblCellMar>
      </w:tblPr>
      <w:tblGrid>
        <w:gridCol w:w="685"/>
        <w:gridCol w:w="1340"/>
        <w:gridCol w:w="801"/>
        <w:gridCol w:w="1300"/>
        <w:gridCol w:w="1173"/>
        <w:gridCol w:w="1165"/>
        <w:gridCol w:w="2064"/>
      </w:tblGrid>
      <w:tr w14:paraId="245A8B21">
        <w:tblPrEx>
          <w:tblCellMar>
            <w:top w:w="0" w:type="dxa"/>
            <w:left w:w="108" w:type="dxa"/>
            <w:bottom w:w="0" w:type="dxa"/>
            <w:right w:w="108" w:type="dxa"/>
          </w:tblCellMar>
        </w:tblPrEx>
        <w:trPr>
          <w:trHeight w:val="855" w:hRule="atLeast"/>
        </w:trPr>
        <w:tc>
          <w:tcPr>
            <w:tcW w:w="401" w:type="pct"/>
            <w:tcBorders>
              <w:top w:val="single" w:color="000000" w:sz="4" w:space="0"/>
              <w:left w:val="single" w:color="000000" w:sz="4" w:space="0"/>
              <w:bottom w:val="single" w:color="000000" w:sz="4" w:space="0"/>
              <w:right w:val="single" w:color="000000" w:sz="4" w:space="0"/>
            </w:tcBorders>
            <w:noWrap/>
            <w:vAlign w:val="center"/>
          </w:tcPr>
          <w:p w14:paraId="33A8F463">
            <w:pPr>
              <w:widowControl/>
              <w:jc w:val="center"/>
              <w:textAlignment w:val="center"/>
              <w:rPr>
                <w:szCs w:val="21"/>
              </w:rPr>
            </w:pPr>
            <w:r>
              <w:rPr>
                <w:kern w:val="0"/>
                <w:szCs w:val="21"/>
                <w:lang w:bidi="ar"/>
              </w:rPr>
              <w:t>编号</w:t>
            </w:r>
          </w:p>
        </w:tc>
        <w:tc>
          <w:tcPr>
            <w:tcW w:w="785" w:type="pct"/>
            <w:tcBorders>
              <w:top w:val="single" w:color="000000" w:sz="4" w:space="0"/>
              <w:left w:val="single" w:color="000000" w:sz="4" w:space="0"/>
              <w:bottom w:val="single" w:color="000000" w:sz="4" w:space="0"/>
              <w:right w:val="single" w:color="000000" w:sz="4" w:space="0"/>
            </w:tcBorders>
            <w:noWrap/>
            <w:vAlign w:val="center"/>
          </w:tcPr>
          <w:p w14:paraId="72782BD6">
            <w:pPr>
              <w:widowControl/>
              <w:jc w:val="center"/>
              <w:textAlignment w:val="center"/>
              <w:rPr>
                <w:szCs w:val="21"/>
              </w:rPr>
            </w:pPr>
            <w:r>
              <w:rPr>
                <w:kern w:val="0"/>
                <w:szCs w:val="21"/>
                <w:lang w:bidi="ar"/>
              </w:rPr>
              <w:t>办公生活区设置情况</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783CAA10">
            <w:pPr>
              <w:widowControl/>
              <w:jc w:val="center"/>
              <w:textAlignment w:val="center"/>
              <w:rPr>
                <w:szCs w:val="21"/>
              </w:rPr>
            </w:pPr>
            <w:r>
              <w:rPr>
                <w:kern w:val="0"/>
                <w:szCs w:val="21"/>
                <w:lang w:bidi="ar"/>
              </w:rPr>
              <w:t>人员配置</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09062D76">
            <w:pPr>
              <w:widowControl/>
              <w:jc w:val="center"/>
              <w:textAlignment w:val="center"/>
              <w:rPr>
                <w:szCs w:val="21"/>
              </w:rPr>
            </w:pPr>
            <w:r>
              <w:rPr>
                <w:kern w:val="0"/>
                <w:szCs w:val="21"/>
                <w:lang w:bidi="ar"/>
              </w:rPr>
              <w:t>用水定额（L/人·d）</w:t>
            </w:r>
          </w:p>
        </w:tc>
        <w:tc>
          <w:tcPr>
            <w:tcW w:w="688" w:type="pct"/>
            <w:tcBorders>
              <w:top w:val="single" w:color="000000" w:sz="4" w:space="0"/>
              <w:left w:val="single" w:color="000000" w:sz="4" w:space="0"/>
              <w:bottom w:val="single" w:color="000000" w:sz="4" w:space="0"/>
              <w:right w:val="single" w:color="000000" w:sz="4" w:space="0"/>
            </w:tcBorders>
            <w:noWrap w:val="0"/>
            <w:vAlign w:val="center"/>
          </w:tcPr>
          <w:p w14:paraId="2BCAED07">
            <w:pPr>
              <w:widowControl/>
              <w:jc w:val="center"/>
              <w:textAlignment w:val="center"/>
              <w:rPr>
                <w:szCs w:val="21"/>
              </w:rPr>
            </w:pPr>
            <w:r>
              <w:rPr>
                <w:kern w:val="0"/>
                <w:szCs w:val="21"/>
                <w:lang w:bidi="ar"/>
              </w:rPr>
              <w:t>年用水量（m</w:t>
            </w:r>
            <w:r>
              <w:rPr>
                <w:kern w:val="0"/>
                <w:szCs w:val="21"/>
                <w:vertAlign w:val="superscript"/>
                <w:lang w:bidi="ar"/>
              </w:rPr>
              <w:t>3</w:t>
            </w:r>
            <w:r>
              <w:rPr>
                <w:kern w:val="0"/>
                <w:szCs w:val="21"/>
                <w:lang w:bidi="ar"/>
              </w:rPr>
              <w:t>/a）</w:t>
            </w:r>
          </w:p>
        </w:tc>
        <w:tc>
          <w:tcPr>
            <w:tcW w:w="683" w:type="pct"/>
            <w:tcBorders>
              <w:top w:val="single" w:color="000000" w:sz="4" w:space="0"/>
              <w:left w:val="single" w:color="000000" w:sz="4" w:space="0"/>
              <w:bottom w:val="single" w:color="000000" w:sz="4" w:space="0"/>
              <w:right w:val="single" w:color="000000" w:sz="4" w:space="0"/>
            </w:tcBorders>
            <w:noWrap/>
            <w:vAlign w:val="center"/>
          </w:tcPr>
          <w:p w14:paraId="0CB91FA8">
            <w:pPr>
              <w:widowControl/>
              <w:jc w:val="center"/>
              <w:textAlignment w:val="center"/>
              <w:rPr>
                <w:szCs w:val="21"/>
              </w:rPr>
            </w:pPr>
            <w:r>
              <w:rPr>
                <w:kern w:val="0"/>
                <w:szCs w:val="21"/>
                <w:lang w:bidi="ar"/>
              </w:rPr>
              <w:t>生活污水产生量（m</w:t>
            </w:r>
            <w:r>
              <w:rPr>
                <w:kern w:val="0"/>
                <w:szCs w:val="21"/>
                <w:vertAlign w:val="superscript"/>
                <w:lang w:bidi="ar"/>
              </w:rPr>
              <w:t>3</w:t>
            </w:r>
            <w:r>
              <w:rPr>
                <w:kern w:val="0"/>
                <w:szCs w:val="21"/>
                <w:lang w:bidi="ar"/>
              </w:rPr>
              <w:t>/d）</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3FE712A6">
            <w:pPr>
              <w:widowControl/>
              <w:jc w:val="center"/>
              <w:textAlignment w:val="center"/>
              <w:rPr>
                <w:szCs w:val="21"/>
              </w:rPr>
            </w:pPr>
            <w:r>
              <w:rPr>
                <w:kern w:val="0"/>
                <w:szCs w:val="21"/>
                <w:lang w:bidi="ar"/>
              </w:rPr>
              <w:t>生活污水产生量（m</w:t>
            </w:r>
            <w:r>
              <w:rPr>
                <w:kern w:val="0"/>
                <w:szCs w:val="21"/>
                <w:vertAlign w:val="superscript"/>
                <w:lang w:bidi="ar"/>
              </w:rPr>
              <w:t>3</w:t>
            </w:r>
            <w:r>
              <w:rPr>
                <w:kern w:val="0"/>
                <w:szCs w:val="21"/>
                <w:lang w:bidi="ar"/>
              </w:rPr>
              <w:t>/a）</w:t>
            </w:r>
          </w:p>
        </w:tc>
      </w:tr>
      <w:tr w14:paraId="1F1D1FFA">
        <w:tblPrEx>
          <w:tblCellMar>
            <w:top w:w="0" w:type="dxa"/>
            <w:left w:w="108" w:type="dxa"/>
            <w:bottom w:w="0" w:type="dxa"/>
            <w:right w:w="108" w:type="dxa"/>
          </w:tblCellMar>
        </w:tblPrEx>
        <w:trPr>
          <w:trHeight w:val="285" w:hRule="atLeast"/>
        </w:trPr>
        <w:tc>
          <w:tcPr>
            <w:tcW w:w="401" w:type="pct"/>
            <w:vMerge w:val="restart"/>
            <w:tcBorders>
              <w:top w:val="single" w:color="000000" w:sz="4" w:space="0"/>
              <w:left w:val="single" w:color="000000" w:sz="4" w:space="0"/>
              <w:bottom w:val="single" w:color="000000" w:sz="4" w:space="0"/>
              <w:right w:val="single" w:color="000000" w:sz="4" w:space="0"/>
            </w:tcBorders>
            <w:noWrap/>
            <w:vAlign w:val="center"/>
          </w:tcPr>
          <w:p w14:paraId="3F19374C">
            <w:pPr>
              <w:widowControl/>
              <w:jc w:val="center"/>
              <w:textAlignment w:val="center"/>
              <w:rPr>
                <w:szCs w:val="21"/>
              </w:rPr>
            </w:pPr>
            <w:r>
              <w:rPr>
                <w:kern w:val="0"/>
                <w:szCs w:val="21"/>
                <w:lang w:bidi="ar"/>
              </w:rPr>
              <w:t>1号地</w:t>
            </w:r>
          </w:p>
        </w:tc>
        <w:tc>
          <w:tcPr>
            <w:tcW w:w="785" w:type="pct"/>
            <w:vMerge w:val="restart"/>
            <w:tcBorders>
              <w:top w:val="single" w:color="000000" w:sz="4" w:space="0"/>
              <w:left w:val="single" w:color="000000" w:sz="4" w:space="0"/>
              <w:bottom w:val="single" w:color="000000" w:sz="4" w:space="0"/>
              <w:right w:val="single" w:color="000000" w:sz="4" w:space="0"/>
            </w:tcBorders>
            <w:noWrap w:val="0"/>
            <w:vAlign w:val="center"/>
          </w:tcPr>
          <w:p w14:paraId="4CE733D1">
            <w:pPr>
              <w:widowControl/>
              <w:jc w:val="center"/>
              <w:textAlignment w:val="center"/>
              <w:rPr>
                <w:szCs w:val="21"/>
              </w:rPr>
            </w:pPr>
            <w:r>
              <w:rPr>
                <w:kern w:val="0"/>
                <w:szCs w:val="21"/>
                <w:lang w:bidi="ar"/>
              </w:rPr>
              <w:t>设置1个办公生活区</w:t>
            </w:r>
          </w:p>
        </w:tc>
        <w:tc>
          <w:tcPr>
            <w:tcW w:w="469" w:type="pct"/>
            <w:vMerge w:val="restart"/>
            <w:tcBorders>
              <w:top w:val="single" w:color="000000" w:sz="4" w:space="0"/>
              <w:left w:val="single" w:color="000000" w:sz="4" w:space="0"/>
              <w:bottom w:val="single" w:color="000000" w:sz="4" w:space="0"/>
              <w:right w:val="single" w:color="000000" w:sz="4" w:space="0"/>
            </w:tcBorders>
            <w:noWrap w:val="0"/>
            <w:vAlign w:val="center"/>
          </w:tcPr>
          <w:p w14:paraId="057C50E4">
            <w:pPr>
              <w:widowControl/>
              <w:jc w:val="center"/>
              <w:textAlignment w:val="center"/>
              <w:rPr>
                <w:szCs w:val="21"/>
              </w:rPr>
            </w:pPr>
            <w:r>
              <w:rPr>
                <w:kern w:val="0"/>
                <w:szCs w:val="21"/>
                <w:lang w:bidi="ar"/>
              </w:rPr>
              <w:t>4人</w:t>
            </w:r>
          </w:p>
        </w:tc>
        <w:tc>
          <w:tcPr>
            <w:tcW w:w="762" w:type="pct"/>
            <w:vMerge w:val="restart"/>
            <w:tcBorders>
              <w:top w:val="single" w:color="000000" w:sz="4" w:space="0"/>
              <w:left w:val="single" w:color="000000" w:sz="4" w:space="0"/>
              <w:bottom w:val="single" w:color="000000" w:sz="4" w:space="0"/>
              <w:right w:val="single" w:color="000000" w:sz="4" w:space="0"/>
            </w:tcBorders>
            <w:noWrap w:val="0"/>
            <w:vAlign w:val="center"/>
          </w:tcPr>
          <w:p w14:paraId="704971B9">
            <w:pPr>
              <w:widowControl/>
              <w:jc w:val="center"/>
              <w:textAlignment w:val="center"/>
              <w:rPr>
                <w:szCs w:val="21"/>
              </w:rPr>
            </w:pPr>
            <w:r>
              <w:rPr>
                <w:kern w:val="0"/>
                <w:szCs w:val="21"/>
                <w:lang w:bidi="ar"/>
              </w:rPr>
              <w:t>100.00</w:t>
            </w:r>
          </w:p>
        </w:tc>
        <w:tc>
          <w:tcPr>
            <w:tcW w:w="688" w:type="pct"/>
            <w:vMerge w:val="restart"/>
            <w:tcBorders>
              <w:top w:val="single" w:color="000000" w:sz="4" w:space="0"/>
              <w:left w:val="single" w:color="000000" w:sz="4" w:space="0"/>
              <w:bottom w:val="single" w:color="000000" w:sz="4" w:space="0"/>
              <w:right w:val="single" w:color="000000" w:sz="4" w:space="0"/>
            </w:tcBorders>
            <w:noWrap w:val="0"/>
            <w:vAlign w:val="center"/>
          </w:tcPr>
          <w:p w14:paraId="68D53DD7">
            <w:pPr>
              <w:widowControl/>
              <w:jc w:val="center"/>
              <w:textAlignment w:val="center"/>
              <w:rPr>
                <w:szCs w:val="21"/>
              </w:rPr>
            </w:pPr>
            <w:r>
              <w:rPr>
                <w:kern w:val="0"/>
                <w:szCs w:val="21"/>
                <w:lang w:bidi="ar"/>
              </w:rPr>
              <w:t>146.00</w:t>
            </w:r>
          </w:p>
        </w:tc>
        <w:tc>
          <w:tcPr>
            <w:tcW w:w="683" w:type="pct"/>
            <w:vMerge w:val="restart"/>
            <w:tcBorders>
              <w:top w:val="single" w:color="000000" w:sz="4" w:space="0"/>
              <w:left w:val="single" w:color="000000" w:sz="4" w:space="0"/>
              <w:bottom w:val="single" w:color="000000" w:sz="4" w:space="0"/>
              <w:right w:val="single" w:color="000000" w:sz="4" w:space="0"/>
            </w:tcBorders>
            <w:noWrap w:val="0"/>
            <w:vAlign w:val="center"/>
          </w:tcPr>
          <w:p w14:paraId="53F842C1">
            <w:pPr>
              <w:widowControl/>
              <w:jc w:val="center"/>
              <w:textAlignment w:val="center"/>
              <w:rPr>
                <w:szCs w:val="21"/>
              </w:rPr>
            </w:pPr>
            <w:r>
              <w:rPr>
                <w:kern w:val="0"/>
                <w:szCs w:val="21"/>
                <w:lang w:bidi="ar"/>
              </w:rPr>
              <w:t>0.32</w:t>
            </w:r>
          </w:p>
        </w:tc>
        <w:tc>
          <w:tcPr>
            <w:tcW w:w="1210" w:type="pct"/>
            <w:vMerge w:val="restart"/>
            <w:tcBorders>
              <w:top w:val="single" w:color="000000" w:sz="4" w:space="0"/>
              <w:left w:val="single" w:color="000000" w:sz="4" w:space="0"/>
              <w:bottom w:val="single" w:color="000000" w:sz="4" w:space="0"/>
              <w:right w:val="single" w:color="000000" w:sz="4" w:space="0"/>
            </w:tcBorders>
            <w:noWrap w:val="0"/>
            <w:vAlign w:val="center"/>
          </w:tcPr>
          <w:p w14:paraId="65309BCD">
            <w:pPr>
              <w:widowControl/>
              <w:jc w:val="center"/>
              <w:textAlignment w:val="center"/>
              <w:rPr>
                <w:szCs w:val="21"/>
              </w:rPr>
            </w:pPr>
            <w:r>
              <w:rPr>
                <w:kern w:val="0"/>
                <w:szCs w:val="21"/>
                <w:lang w:bidi="ar"/>
              </w:rPr>
              <w:t>116.80</w:t>
            </w:r>
          </w:p>
        </w:tc>
      </w:tr>
      <w:tr w14:paraId="1B5FF3D3">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7AD08C6D">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CCDD0D">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D0AB71">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286FD9">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D1D181">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6666A4">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FC54B1">
            <w:pPr>
              <w:jc w:val="center"/>
              <w:rPr>
                <w:szCs w:val="21"/>
              </w:rPr>
            </w:pPr>
          </w:p>
        </w:tc>
      </w:tr>
      <w:tr w14:paraId="724BD8AB">
        <w:tblPrEx>
          <w:tblCellMar>
            <w:top w:w="0" w:type="dxa"/>
            <w:left w:w="108" w:type="dxa"/>
            <w:bottom w:w="0" w:type="dxa"/>
            <w:right w:w="108" w:type="dxa"/>
          </w:tblCellMar>
        </w:tblPrEx>
        <w:trPr>
          <w:trHeight w:val="285" w:hRule="atLeast"/>
        </w:trPr>
        <w:tc>
          <w:tcPr>
            <w:tcW w:w="401" w:type="pct"/>
            <w:vMerge w:val="restart"/>
            <w:tcBorders>
              <w:top w:val="single" w:color="000000" w:sz="4" w:space="0"/>
              <w:left w:val="single" w:color="000000" w:sz="4" w:space="0"/>
              <w:bottom w:val="single" w:color="000000" w:sz="4" w:space="0"/>
              <w:right w:val="single" w:color="000000" w:sz="4" w:space="0"/>
            </w:tcBorders>
            <w:noWrap/>
            <w:vAlign w:val="center"/>
          </w:tcPr>
          <w:p w14:paraId="512A58C1">
            <w:pPr>
              <w:widowControl/>
              <w:jc w:val="center"/>
              <w:textAlignment w:val="center"/>
              <w:rPr>
                <w:szCs w:val="21"/>
              </w:rPr>
            </w:pPr>
            <w:r>
              <w:rPr>
                <w:kern w:val="0"/>
                <w:szCs w:val="21"/>
                <w:lang w:bidi="ar"/>
              </w:rPr>
              <w:t>2号地</w:t>
            </w:r>
          </w:p>
        </w:tc>
        <w:tc>
          <w:tcPr>
            <w:tcW w:w="785" w:type="pct"/>
            <w:vMerge w:val="restart"/>
            <w:tcBorders>
              <w:top w:val="single" w:color="000000" w:sz="4" w:space="0"/>
              <w:left w:val="single" w:color="000000" w:sz="4" w:space="0"/>
              <w:bottom w:val="single" w:color="000000" w:sz="4" w:space="0"/>
              <w:right w:val="single" w:color="000000" w:sz="4" w:space="0"/>
            </w:tcBorders>
            <w:noWrap w:val="0"/>
            <w:vAlign w:val="center"/>
          </w:tcPr>
          <w:p w14:paraId="7682D74A">
            <w:pPr>
              <w:widowControl/>
              <w:jc w:val="center"/>
              <w:textAlignment w:val="center"/>
              <w:rPr>
                <w:szCs w:val="21"/>
              </w:rPr>
            </w:pPr>
            <w:r>
              <w:rPr>
                <w:kern w:val="0"/>
                <w:szCs w:val="21"/>
                <w:lang w:bidi="ar"/>
              </w:rPr>
              <w:t>共同设置1个办公生活区</w:t>
            </w:r>
          </w:p>
        </w:tc>
        <w:tc>
          <w:tcPr>
            <w:tcW w:w="469" w:type="pct"/>
            <w:vMerge w:val="restart"/>
            <w:tcBorders>
              <w:top w:val="single" w:color="000000" w:sz="4" w:space="0"/>
              <w:left w:val="single" w:color="000000" w:sz="4" w:space="0"/>
              <w:bottom w:val="single" w:color="000000" w:sz="4" w:space="0"/>
              <w:right w:val="single" w:color="000000" w:sz="4" w:space="0"/>
            </w:tcBorders>
            <w:noWrap w:val="0"/>
            <w:vAlign w:val="center"/>
          </w:tcPr>
          <w:p w14:paraId="6FC78F2D">
            <w:pPr>
              <w:widowControl/>
              <w:jc w:val="center"/>
              <w:textAlignment w:val="center"/>
              <w:rPr>
                <w:szCs w:val="21"/>
              </w:rPr>
            </w:pPr>
            <w:r>
              <w:rPr>
                <w:kern w:val="0"/>
                <w:szCs w:val="21"/>
                <w:lang w:bidi="ar"/>
              </w:rPr>
              <w:t>14人</w:t>
            </w:r>
          </w:p>
        </w:tc>
        <w:tc>
          <w:tcPr>
            <w:tcW w:w="762" w:type="pct"/>
            <w:vMerge w:val="restart"/>
            <w:tcBorders>
              <w:top w:val="single" w:color="000000" w:sz="4" w:space="0"/>
              <w:left w:val="single" w:color="000000" w:sz="4" w:space="0"/>
              <w:bottom w:val="single" w:color="000000" w:sz="4" w:space="0"/>
              <w:right w:val="single" w:color="000000" w:sz="4" w:space="0"/>
            </w:tcBorders>
            <w:noWrap w:val="0"/>
            <w:vAlign w:val="center"/>
          </w:tcPr>
          <w:p w14:paraId="20D7A04F">
            <w:pPr>
              <w:widowControl/>
              <w:jc w:val="center"/>
              <w:textAlignment w:val="center"/>
              <w:rPr>
                <w:szCs w:val="21"/>
              </w:rPr>
            </w:pPr>
            <w:r>
              <w:rPr>
                <w:kern w:val="0"/>
                <w:szCs w:val="21"/>
                <w:lang w:bidi="ar"/>
              </w:rPr>
              <w:t>100.00</w:t>
            </w:r>
          </w:p>
        </w:tc>
        <w:tc>
          <w:tcPr>
            <w:tcW w:w="688" w:type="pct"/>
            <w:vMerge w:val="restart"/>
            <w:tcBorders>
              <w:top w:val="single" w:color="000000" w:sz="4" w:space="0"/>
              <w:left w:val="single" w:color="000000" w:sz="4" w:space="0"/>
              <w:bottom w:val="single" w:color="000000" w:sz="4" w:space="0"/>
              <w:right w:val="single" w:color="000000" w:sz="4" w:space="0"/>
            </w:tcBorders>
            <w:noWrap w:val="0"/>
            <w:vAlign w:val="center"/>
          </w:tcPr>
          <w:p w14:paraId="4ADDFF70">
            <w:pPr>
              <w:widowControl/>
              <w:jc w:val="center"/>
              <w:textAlignment w:val="center"/>
              <w:rPr>
                <w:szCs w:val="21"/>
              </w:rPr>
            </w:pPr>
            <w:r>
              <w:rPr>
                <w:kern w:val="0"/>
                <w:szCs w:val="21"/>
                <w:lang w:bidi="ar"/>
              </w:rPr>
              <w:t>511.00</w:t>
            </w:r>
          </w:p>
        </w:tc>
        <w:tc>
          <w:tcPr>
            <w:tcW w:w="683" w:type="pct"/>
            <w:vMerge w:val="restart"/>
            <w:tcBorders>
              <w:top w:val="single" w:color="000000" w:sz="4" w:space="0"/>
              <w:left w:val="single" w:color="000000" w:sz="4" w:space="0"/>
              <w:bottom w:val="single" w:color="000000" w:sz="4" w:space="0"/>
              <w:right w:val="single" w:color="000000" w:sz="4" w:space="0"/>
            </w:tcBorders>
            <w:noWrap w:val="0"/>
            <w:vAlign w:val="center"/>
          </w:tcPr>
          <w:p w14:paraId="10781FC2">
            <w:pPr>
              <w:widowControl/>
              <w:jc w:val="center"/>
              <w:textAlignment w:val="center"/>
              <w:rPr>
                <w:szCs w:val="21"/>
              </w:rPr>
            </w:pPr>
            <w:r>
              <w:rPr>
                <w:kern w:val="0"/>
                <w:szCs w:val="21"/>
                <w:lang w:bidi="ar"/>
              </w:rPr>
              <w:t>1.12</w:t>
            </w:r>
          </w:p>
        </w:tc>
        <w:tc>
          <w:tcPr>
            <w:tcW w:w="1210" w:type="pct"/>
            <w:vMerge w:val="restart"/>
            <w:tcBorders>
              <w:top w:val="single" w:color="000000" w:sz="4" w:space="0"/>
              <w:left w:val="single" w:color="000000" w:sz="4" w:space="0"/>
              <w:bottom w:val="single" w:color="000000" w:sz="4" w:space="0"/>
              <w:right w:val="single" w:color="000000" w:sz="4" w:space="0"/>
            </w:tcBorders>
            <w:noWrap w:val="0"/>
            <w:vAlign w:val="center"/>
          </w:tcPr>
          <w:p w14:paraId="4CF979C4">
            <w:pPr>
              <w:widowControl/>
              <w:jc w:val="center"/>
              <w:textAlignment w:val="center"/>
              <w:rPr>
                <w:szCs w:val="21"/>
              </w:rPr>
            </w:pPr>
            <w:r>
              <w:rPr>
                <w:kern w:val="0"/>
                <w:szCs w:val="21"/>
                <w:lang w:bidi="ar"/>
              </w:rPr>
              <w:t>408.80</w:t>
            </w:r>
          </w:p>
        </w:tc>
      </w:tr>
      <w:tr w14:paraId="7B83B570">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16A08C01">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122775">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045D67">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F4F75E">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F9548D">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94712B">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BF6A32">
            <w:pPr>
              <w:jc w:val="center"/>
              <w:rPr>
                <w:szCs w:val="21"/>
              </w:rPr>
            </w:pPr>
          </w:p>
        </w:tc>
      </w:tr>
      <w:tr w14:paraId="748D6615">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7E111432">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3373C0">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3049C2">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79CADE">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815659">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80F25B">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0884DE">
            <w:pPr>
              <w:jc w:val="center"/>
              <w:rPr>
                <w:szCs w:val="21"/>
              </w:rPr>
            </w:pPr>
          </w:p>
        </w:tc>
      </w:tr>
      <w:tr w14:paraId="194D1928">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4EA8BD0B">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A6C541">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BB8BA6">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5570E9">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382D0B">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22CCEB">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569AFF">
            <w:pPr>
              <w:jc w:val="center"/>
              <w:rPr>
                <w:szCs w:val="21"/>
              </w:rPr>
            </w:pPr>
          </w:p>
        </w:tc>
      </w:tr>
      <w:tr w14:paraId="1B35EF08">
        <w:tblPrEx>
          <w:tblCellMar>
            <w:top w:w="0" w:type="dxa"/>
            <w:left w:w="108" w:type="dxa"/>
            <w:bottom w:w="0" w:type="dxa"/>
            <w:right w:w="108" w:type="dxa"/>
          </w:tblCellMar>
        </w:tblPrEx>
        <w:trPr>
          <w:trHeight w:val="312"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231D47F4">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D35F1">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26967">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035614">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13A13D">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671A37">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F90E7C">
            <w:pPr>
              <w:jc w:val="center"/>
              <w:rPr>
                <w:szCs w:val="21"/>
              </w:rPr>
            </w:pPr>
          </w:p>
        </w:tc>
      </w:tr>
      <w:tr w14:paraId="0C75DC1B">
        <w:tblPrEx>
          <w:tblCellMar>
            <w:top w:w="0" w:type="dxa"/>
            <w:left w:w="108" w:type="dxa"/>
            <w:bottom w:w="0" w:type="dxa"/>
            <w:right w:w="108" w:type="dxa"/>
          </w:tblCellMar>
        </w:tblPrEx>
        <w:trPr>
          <w:trHeight w:val="285" w:hRule="atLeast"/>
        </w:trPr>
        <w:tc>
          <w:tcPr>
            <w:tcW w:w="401" w:type="pct"/>
            <w:vMerge w:val="restart"/>
            <w:tcBorders>
              <w:top w:val="single" w:color="000000" w:sz="4" w:space="0"/>
              <w:left w:val="single" w:color="000000" w:sz="4" w:space="0"/>
              <w:bottom w:val="single" w:color="000000" w:sz="4" w:space="0"/>
              <w:right w:val="single" w:color="000000" w:sz="4" w:space="0"/>
            </w:tcBorders>
            <w:noWrap/>
            <w:vAlign w:val="center"/>
          </w:tcPr>
          <w:p w14:paraId="1D2500CD">
            <w:pPr>
              <w:widowControl/>
              <w:jc w:val="center"/>
              <w:textAlignment w:val="center"/>
              <w:rPr>
                <w:szCs w:val="21"/>
              </w:rPr>
            </w:pPr>
            <w:r>
              <w:rPr>
                <w:kern w:val="0"/>
                <w:szCs w:val="21"/>
                <w:lang w:bidi="ar"/>
              </w:rPr>
              <w:t>3号地</w:t>
            </w: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3401FB">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A03C28">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2A2EB">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46ED12">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15B53C">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06F557">
            <w:pPr>
              <w:jc w:val="center"/>
              <w:rPr>
                <w:szCs w:val="21"/>
              </w:rPr>
            </w:pPr>
          </w:p>
        </w:tc>
      </w:tr>
      <w:tr w14:paraId="219BDA97">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4507C2D2">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6CC506">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3FD4D4">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845AD0">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2F4AF7">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DD8999">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FA7595">
            <w:pPr>
              <w:jc w:val="center"/>
              <w:rPr>
                <w:szCs w:val="21"/>
              </w:rPr>
            </w:pPr>
          </w:p>
        </w:tc>
      </w:tr>
      <w:tr w14:paraId="3C37CE32">
        <w:tblPrEx>
          <w:tblCellMar>
            <w:top w:w="0" w:type="dxa"/>
            <w:left w:w="108" w:type="dxa"/>
            <w:bottom w:w="0" w:type="dxa"/>
            <w:right w:w="108" w:type="dxa"/>
          </w:tblCellMar>
        </w:tblPrEx>
        <w:trPr>
          <w:trHeight w:val="285" w:hRule="atLeast"/>
        </w:trPr>
        <w:tc>
          <w:tcPr>
            <w:tcW w:w="401" w:type="pct"/>
            <w:vMerge w:val="restart"/>
            <w:tcBorders>
              <w:top w:val="single" w:color="000000" w:sz="4" w:space="0"/>
              <w:left w:val="single" w:color="000000" w:sz="4" w:space="0"/>
              <w:bottom w:val="single" w:color="000000" w:sz="4" w:space="0"/>
              <w:right w:val="single" w:color="000000" w:sz="4" w:space="0"/>
            </w:tcBorders>
            <w:noWrap/>
            <w:vAlign w:val="center"/>
          </w:tcPr>
          <w:p w14:paraId="3A7B6D82">
            <w:pPr>
              <w:widowControl/>
              <w:jc w:val="center"/>
              <w:textAlignment w:val="center"/>
              <w:rPr>
                <w:szCs w:val="21"/>
              </w:rPr>
            </w:pPr>
            <w:r>
              <w:rPr>
                <w:kern w:val="0"/>
                <w:szCs w:val="21"/>
                <w:lang w:bidi="ar"/>
              </w:rPr>
              <w:t>4号地</w:t>
            </w:r>
          </w:p>
        </w:tc>
        <w:tc>
          <w:tcPr>
            <w:tcW w:w="785" w:type="pct"/>
            <w:vMerge w:val="restart"/>
            <w:tcBorders>
              <w:top w:val="single" w:color="000000" w:sz="4" w:space="0"/>
              <w:left w:val="single" w:color="000000" w:sz="4" w:space="0"/>
              <w:bottom w:val="single" w:color="000000" w:sz="4" w:space="0"/>
              <w:right w:val="single" w:color="000000" w:sz="4" w:space="0"/>
            </w:tcBorders>
            <w:noWrap w:val="0"/>
            <w:vAlign w:val="center"/>
          </w:tcPr>
          <w:p w14:paraId="3AEE4EAC">
            <w:pPr>
              <w:widowControl/>
              <w:jc w:val="center"/>
              <w:textAlignment w:val="center"/>
              <w:rPr>
                <w:szCs w:val="21"/>
              </w:rPr>
            </w:pPr>
            <w:r>
              <w:rPr>
                <w:kern w:val="0"/>
                <w:szCs w:val="21"/>
                <w:lang w:bidi="ar"/>
              </w:rPr>
              <w:t>设置1个办公生活区</w:t>
            </w:r>
          </w:p>
        </w:tc>
        <w:tc>
          <w:tcPr>
            <w:tcW w:w="469" w:type="pct"/>
            <w:vMerge w:val="restart"/>
            <w:tcBorders>
              <w:top w:val="single" w:color="000000" w:sz="4" w:space="0"/>
              <w:left w:val="single" w:color="000000" w:sz="4" w:space="0"/>
              <w:bottom w:val="single" w:color="000000" w:sz="4" w:space="0"/>
              <w:right w:val="single" w:color="000000" w:sz="4" w:space="0"/>
            </w:tcBorders>
            <w:noWrap w:val="0"/>
            <w:vAlign w:val="center"/>
          </w:tcPr>
          <w:p w14:paraId="34C62560">
            <w:pPr>
              <w:widowControl/>
              <w:jc w:val="center"/>
              <w:textAlignment w:val="center"/>
              <w:rPr>
                <w:szCs w:val="21"/>
              </w:rPr>
            </w:pPr>
            <w:r>
              <w:rPr>
                <w:kern w:val="0"/>
                <w:szCs w:val="21"/>
                <w:lang w:bidi="ar"/>
              </w:rPr>
              <w:t>6人</w:t>
            </w:r>
          </w:p>
        </w:tc>
        <w:tc>
          <w:tcPr>
            <w:tcW w:w="762" w:type="pct"/>
            <w:vMerge w:val="restart"/>
            <w:tcBorders>
              <w:top w:val="single" w:color="000000" w:sz="4" w:space="0"/>
              <w:left w:val="single" w:color="000000" w:sz="4" w:space="0"/>
              <w:bottom w:val="single" w:color="000000" w:sz="4" w:space="0"/>
              <w:right w:val="single" w:color="000000" w:sz="4" w:space="0"/>
            </w:tcBorders>
            <w:noWrap w:val="0"/>
            <w:vAlign w:val="center"/>
          </w:tcPr>
          <w:p w14:paraId="4CDC3F17">
            <w:pPr>
              <w:widowControl/>
              <w:jc w:val="center"/>
              <w:textAlignment w:val="center"/>
              <w:rPr>
                <w:szCs w:val="21"/>
              </w:rPr>
            </w:pPr>
            <w:r>
              <w:rPr>
                <w:kern w:val="0"/>
                <w:szCs w:val="21"/>
                <w:lang w:bidi="ar"/>
              </w:rPr>
              <w:t>100.00</w:t>
            </w:r>
          </w:p>
        </w:tc>
        <w:tc>
          <w:tcPr>
            <w:tcW w:w="688" w:type="pct"/>
            <w:vMerge w:val="restart"/>
            <w:tcBorders>
              <w:top w:val="single" w:color="000000" w:sz="4" w:space="0"/>
              <w:left w:val="single" w:color="000000" w:sz="4" w:space="0"/>
              <w:bottom w:val="single" w:color="000000" w:sz="4" w:space="0"/>
              <w:right w:val="single" w:color="000000" w:sz="4" w:space="0"/>
            </w:tcBorders>
            <w:noWrap w:val="0"/>
            <w:vAlign w:val="center"/>
          </w:tcPr>
          <w:p w14:paraId="7ECFA5ED">
            <w:pPr>
              <w:widowControl/>
              <w:jc w:val="center"/>
              <w:textAlignment w:val="center"/>
              <w:rPr>
                <w:szCs w:val="21"/>
              </w:rPr>
            </w:pPr>
            <w:r>
              <w:rPr>
                <w:kern w:val="0"/>
                <w:szCs w:val="21"/>
                <w:lang w:bidi="ar"/>
              </w:rPr>
              <w:t>219.00</w:t>
            </w:r>
          </w:p>
        </w:tc>
        <w:tc>
          <w:tcPr>
            <w:tcW w:w="683" w:type="pct"/>
            <w:vMerge w:val="restart"/>
            <w:tcBorders>
              <w:top w:val="single" w:color="000000" w:sz="4" w:space="0"/>
              <w:left w:val="single" w:color="000000" w:sz="4" w:space="0"/>
              <w:bottom w:val="single" w:color="000000" w:sz="4" w:space="0"/>
              <w:right w:val="single" w:color="000000" w:sz="4" w:space="0"/>
            </w:tcBorders>
            <w:noWrap w:val="0"/>
            <w:vAlign w:val="center"/>
          </w:tcPr>
          <w:p w14:paraId="6FB390CD">
            <w:pPr>
              <w:widowControl/>
              <w:jc w:val="center"/>
              <w:textAlignment w:val="center"/>
              <w:rPr>
                <w:szCs w:val="21"/>
              </w:rPr>
            </w:pPr>
            <w:r>
              <w:rPr>
                <w:kern w:val="0"/>
                <w:szCs w:val="21"/>
                <w:lang w:bidi="ar"/>
              </w:rPr>
              <w:t>0.48</w:t>
            </w:r>
          </w:p>
        </w:tc>
        <w:tc>
          <w:tcPr>
            <w:tcW w:w="1210" w:type="pct"/>
            <w:vMerge w:val="restart"/>
            <w:tcBorders>
              <w:top w:val="single" w:color="000000" w:sz="4" w:space="0"/>
              <w:left w:val="single" w:color="000000" w:sz="4" w:space="0"/>
              <w:bottom w:val="single" w:color="000000" w:sz="4" w:space="0"/>
              <w:right w:val="single" w:color="000000" w:sz="4" w:space="0"/>
            </w:tcBorders>
            <w:noWrap w:val="0"/>
            <w:vAlign w:val="center"/>
          </w:tcPr>
          <w:p w14:paraId="50DF2A29">
            <w:pPr>
              <w:widowControl/>
              <w:jc w:val="center"/>
              <w:textAlignment w:val="center"/>
              <w:rPr>
                <w:szCs w:val="21"/>
              </w:rPr>
            </w:pPr>
            <w:r>
              <w:rPr>
                <w:kern w:val="0"/>
                <w:szCs w:val="21"/>
                <w:lang w:bidi="ar"/>
              </w:rPr>
              <w:t>175.20</w:t>
            </w:r>
          </w:p>
        </w:tc>
      </w:tr>
      <w:tr w14:paraId="5B742A7F">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79BF2E13">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9B458F">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6E9F55">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6459EE">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D72EDC">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9AC75B">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CF5DF3">
            <w:pPr>
              <w:jc w:val="center"/>
              <w:rPr>
                <w:szCs w:val="21"/>
              </w:rPr>
            </w:pPr>
          </w:p>
        </w:tc>
      </w:tr>
      <w:tr w14:paraId="446243CE">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08CF04AD">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331083">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132BAC">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552A28">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7E6501">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17E771">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9DAEF1">
            <w:pPr>
              <w:jc w:val="center"/>
              <w:rPr>
                <w:szCs w:val="21"/>
              </w:rPr>
            </w:pPr>
          </w:p>
        </w:tc>
      </w:tr>
      <w:tr w14:paraId="3B6EEFF6">
        <w:tblPrEx>
          <w:tblCellMar>
            <w:top w:w="0" w:type="dxa"/>
            <w:left w:w="108" w:type="dxa"/>
            <w:bottom w:w="0" w:type="dxa"/>
            <w:right w:w="108" w:type="dxa"/>
          </w:tblCellMar>
        </w:tblPrEx>
        <w:trPr>
          <w:trHeight w:val="285" w:hRule="atLeast"/>
        </w:trPr>
        <w:tc>
          <w:tcPr>
            <w:tcW w:w="401" w:type="pct"/>
            <w:vMerge w:val="restart"/>
            <w:tcBorders>
              <w:top w:val="single" w:color="000000" w:sz="4" w:space="0"/>
              <w:left w:val="single" w:color="000000" w:sz="4" w:space="0"/>
              <w:bottom w:val="single" w:color="000000" w:sz="4" w:space="0"/>
              <w:right w:val="single" w:color="000000" w:sz="4" w:space="0"/>
            </w:tcBorders>
            <w:noWrap/>
            <w:vAlign w:val="center"/>
          </w:tcPr>
          <w:p w14:paraId="353CB3DD">
            <w:pPr>
              <w:widowControl/>
              <w:jc w:val="center"/>
              <w:textAlignment w:val="center"/>
              <w:rPr>
                <w:szCs w:val="21"/>
              </w:rPr>
            </w:pPr>
            <w:r>
              <w:rPr>
                <w:kern w:val="0"/>
                <w:szCs w:val="21"/>
                <w:lang w:bidi="ar"/>
              </w:rPr>
              <w:t>5号地</w:t>
            </w:r>
          </w:p>
        </w:tc>
        <w:tc>
          <w:tcPr>
            <w:tcW w:w="785" w:type="pct"/>
            <w:vMerge w:val="restart"/>
            <w:tcBorders>
              <w:top w:val="single" w:color="000000" w:sz="4" w:space="0"/>
              <w:left w:val="single" w:color="000000" w:sz="4" w:space="0"/>
              <w:bottom w:val="single" w:color="000000" w:sz="4" w:space="0"/>
              <w:right w:val="single" w:color="000000" w:sz="4" w:space="0"/>
            </w:tcBorders>
            <w:noWrap w:val="0"/>
            <w:vAlign w:val="center"/>
          </w:tcPr>
          <w:p w14:paraId="1AE3727B">
            <w:pPr>
              <w:widowControl/>
              <w:jc w:val="center"/>
              <w:textAlignment w:val="center"/>
              <w:rPr>
                <w:szCs w:val="21"/>
              </w:rPr>
            </w:pPr>
            <w:r>
              <w:rPr>
                <w:kern w:val="0"/>
                <w:szCs w:val="21"/>
                <w:lang w:bidi="ar"/>
              </w:rPr>
              <w:t>设置1个办公生活区</w:t>
            </w:r>
          </w:p>
        </w:tc>
        <w:tc>
          <w:tcPr>
            <w:tcW w:w="469" w:type="pct"/>
            <w:vMerge w:val="restart"/>
            <w:tcBorders>
              <w:top w:val="single" w:color="000000" w:sz="4" w:space="0"/>
              <w:left w:val="single" w:color="000000" w:sz="4" w:space="0"/>
              <w:bottom w:val="single" w:color="000000" w:sz="4" w:space="0"/>
              <w:right w:val="single" w:color="000000" w:sz="4" w:space="0"/>
            </w:tcBorders>
            <w:noWrap w:val="0"/>
            <w:vAlign w:val="center"/>
          </w:tcPr>
          <w:p w14:paraId="66A20B89">
            <w:pPr>
              <w:widowControl/>
              <w:jc w:val="center"/>
              <w:textAlignment w:val="center"/>
              <w:rPr>
                <w:szCs w:val="21"/>
              </w:rPr>
            </w:pPr>
            <w:r>
              <w:rPr>
                <w:kern w:val="0"/>
                <w:szCs w:val="21"/>
                <w:lang w:bidi="ar"/>
              </w:rPr>
              <w:t>12人</w:t>
            </w:r>
          </w:p>
        </w:tc>
        <w:tc>
          <w:tcPr>
            <w:tcW w:w="762" w:type="pct"/>
            <w:vMerge w:val="restart"/>
            <w:tcBorders>
              <w:top w:val="single" w:color="000000" w:sz="4" w:space="0"/>
              <w:left w:val="single" w:color="000000" w:sz="4" w:space="0"/>
              <w:bottom w:val="single" w:color="000000" w:sz="4" w:space="0"/>
              <w:right w:val="single" w:color="000000" w:sz="4" w:space="0"/>
            </w:tcBorders>
            <w:noWrap w:val="0"/>
            <w:vAlign w:val="center"/>
          </w:tcPr>
          <w:p w14:paraId="78580E46">
            <w:pPr>
              <w:widowControl/>
              <w:jc w:val="center"/>
              <w:textAlignment w:val="center"/>
              <w:rPr>
                <w:szCs w:val="21"/>
              </w:rPr>
            </w:pPr>
            <w:r>
              <w:rPr>
                <w:kern w:val="0"/>
                <w:szCs w:val="21"/>
                <w:lang w:bidi="ar"/>
              </w:rPr>
              <w:t>100.00</w:t>
            </w:r>
          </w:p>
        </w:tc>
        <w:tc>
          <w:tcPr>
            <w:tcW w:w="688" w:type="pct"/>
            <w:vMerge w:val="restart"/>
            <w:tcBorders>
              <w:top w:val="single" w:color="000000" w:sz="4" w:space="0"/>
              <w:left w:val="single" w:color="000000" w:sz="4" w:space="0"/>
              <w:bottom w:val="single" w:color="000000" w:sz="4" w:space="0"/>
              <w:right w:val="single" w:color="000000" w:sz="4" w:space="0"/>
            </w:tcBorders>
            <w:noWrap w:val="0"/>
            <w:vAlign w:val="center"/>
          </w:tcPr>
          <w:p w14:paraId="26E6D21C">
            <w:pPr>
              <w:widowControl/>
              <w:jc w:val="center"/>
              <w:textAlignment w:val="center"/>
              <w:rPr>
                <w:szCs w:val="21"/>
              </w:rPr>
            </w:pPr>
            <w:r>
              <w:rPr>
                <w:kern w:val="0"/>
                <w:szCs w:val="21"/>
                <w:lang w:bidi="ar"/>
              </w:rPr>
              <w:t>438.00</w:t>
            </w:r>
          </w:p>
        </w:tc>
        <w:tc>
          <w:tcPr>
            <w:tcW w:w="683" w:type="pct"/>
            <w:vMerge w:val="restart"/>
            <w:tcBorders>
              <w:top w:val="single" w:color="000000" w:sz="4" w:space="0"/>
              <w:left w:val="single" w:color="000000" w:sz="4" w:space="0"/>
              <w:bottom w:val="single" w:color="000000" w:sz="4" w:space="0"/>
              <w:right w:val="single" w:color="000000" w:sz="4" w:space="0"/>
            </w:tcBorders>
            <w:noWrap w:val="0"/>
            <w:vAlign w:val="center"/>
          </w:tcPr>
          <w:p w14:paraId="0C1F0D19">
            <w:pPr>
              <w:widowControl/>
              <w:jc w:val="center"/>
              <w:textAlignment w:val="center"/>
              <w:rPr>
                <w:szCs w:val="21"/>
              </w:rPr>
            </w:pPr>
            <w:r>
              <w:rPr>
                <w:kern w:val="0"/>
                <w:szCs w:val="21"/>
                <w:lang w:bidi="ar"/>
              </w:rPr>
              <w:t>0.96</w:t>
            </w:r>
          </w:p>
        </w:tc>
        <w:tc>
          <w:tcPr>
            <w:tcW w:w="1210" w:type="pct"/>
            <w:vMerge w:val="restart"/>
            <w:tcBorders>
              <w:top w:val="single" w:color="000000" w:sz="4" w:space="0"/>
              <w:left w:val="single" w:color="000000" w:sz="4" w:space="0"/>
              <w:bottom w:val="single" w:color="000000" w:sz="4" w:space="0"/>
              <w:right w:val="single" w:color="000000" w:sz="4" w:space="0"/>
            </w:tcBorders>
            <w:noWrap w:val="0"/>
            <w:vAlign w:val="center"/>
          </w:tcPr>
          <w:p w14:paraId="3D6F4DF9">
            <w:pPr>
              <w:widowControl/>
              <w:jc w:val="center"/>
              <w:textAlignment w:val="center"/>
              <w:rPr>
                <w:szCs w:val="21"/>
              </w:rPr>
            </w:pPr>
            <w:r>
              <w:rPr>
                <w:kern w:val="0"/>
                <w:szCs w:val="21"/>
                <w:lang w:bidi="ar"/>
              </w:rPr>
              <w:t>350.40</w:t>
            </w:r>
          </w:p>
        </w:tc>
      </w:tr>
      <w:tr w14:paraId="41B8AE3D">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2E1BD233">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2CE481">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7E25E6">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8D5C4F">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7CDC77">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C3A1F5">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FED772">
            <w:pPr>
              <w:jc w:val="center"/>
              <w:rPr>
                <w:szCs w:val="21"/>
              </w:rPr>
            </w:pPr>
          </w:p>
        </w:tc>
      </w:tr>
      <w:tr w14:paraId="7F77614C">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79C1A996">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83667A">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8DB155">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42B060">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61C7AF">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F34FB9">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C4190E">
            <w:pPr>
              <w:jc w:val="center"/>
              <w:rPr>
                <w:szCs w:val="21"/>
              </w:rPr>
            </w:pPr>
          </w:p>
        </w:tc>
      </w:tr>
      <w:tr w14:paraId="7DCB0A2B">
        <w:tblPrEx>
          <w:tblCellMar>
            <w:top w:w="0" w:type="dxa"/>
            <w:left w:w="108" w:type="dxa"/>
            <w:bottom w:w="0" w:type="dxa"/>
            <w:right w:w="108" w:type="dxa"/>
          </w:tblCellMar>
        </w:tblPrEx>
        <w:trPr>
          <w:trHeight w:val="285" w:hRule="atLeast"/>
        </w:trPr>
        <w:tc>
          <w:tcPr>
            <w:tcW w:w="401" w:type="pct"/>
            <w:vMerge w:val="continue"/>
            <w:tcBorders>
              <w:top w:val="single" w:color="000000" w:sz="4" w:space="0"/>
              <w:left w:val="single" w:color="000000" w:sz="4" w:space="0"/>
              <w:bottom w:val="single" w:color="000000" w:sz="4" w:space="0"/>
              <w:right w:val="single" w:color="000000" w:sz="4" w:space="0"/>
            </w:tcBorders>
            <w:noWrap/>
            <w:vAlign w:val="center"/>
          </w:tcPr>
          <w:p w14:paraId="7D82CE7B">
            <w:pPr>
              <w:jc w:val="center"/>
              <w:rPr>
                <w:szCs w:val="21"/>
              </w:rPr>
            </w:pPr>
          </w:p>
        </w:tc>
        <w:tc>
          <w:tcPr>
            <w:tcW w:w="78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763EF6">
            <w:pPr>
              <w:jc w:val="center"/>
              <w:rPr>
                <w:szCs w:val="21"/>
              </w:rPr>
            </w:pPr>
          </w:p>
        </w:tc>
        <w:tc>
          <w:tcPr>
            <w:tcW w:w="46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10542B">
            <w:pPr>
              <w:jc w:val="center"/>
              <w:rPr>
                <w:szCs w:val="21"/>
              </w:rPr>
            </w:pPr>
          </w:p>
        </w:tc>
        <w:tc>
          <w:tcPr>
            <w:tcW w:w="76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F8DBEE">
            <w:pPr>
              <w:jc w:val="center"/>
              <w:rPr>
                <w:szCs w:val="21"/>
              </w:rPr>
            </w:pPr>
          </w:p>
        </w:tc>
        <w:tc>
          <w:tcPr>
            <w:tcW w:w="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1BCCEE">
            <w:pPr>
              <w:jc w:val="center"/>
              <w:rPr>
                <w:szCs w:val="21"/>
              </w:rPr>
            </w:pPr>
          </w:p>
        </w:tc>
        <w:tc>
          <w:tcPr>
            <w:tcW w:w="6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0C7AED">
            <w:pPr>
              <w:jc w:val="center"/>
              <w:rPr>
                <w:szCs w:val="21"/>
              </w:rPr>
            </w:pPr>
          </w:p>
        </w:tc>
        <w:tc>
          <w:tcPr>
            <w:tcW w:w="121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EB844C">
            <w:pPr>
              <w:jc w:val="center"/>
              <w:rPr>
                <w:szCs w:val="21"/>
              </w:rPr>
            </w:pPr>
          </w:p>
        </w:tc>
      </w:tr>
      <w:tr w14:paraId="2C1814DC">
        <w:tblPrEx>
          <w:tblCellMar>
            <w:top w:w="0" w:type="dxa"/>
            <w:left w:w="108" w:type="dxa"/>
            <w:bottom w:w="0" w:type="dxa"/>
            <w:right w:w="108" w:type="dxa"/>
          </w:tblCellMar>
        </w:tblPrEx>
        <w:trPr>
          <w:trHeight w:val="285" w:hRule="atLeast"/>
        </w:trPr>
        <w:tc>
          <w:tcPr>
            <w:tcW w:w="2417" w:type="pct"/>
            <w:gridSpan w:val="4"/>
            <w:tcBorders>
              <w:top w:val="single" w:color="000000" w:sz="4" w:space="0"/>
              <w:left w:val="single" w:color="000000" w:sz="4" w:space="0"/>
              <w:bottom w:val="single" w:color="000000" w:sz="4" w:space="0"/>
              <w:right w:val="single" w:color="000000" w:sz="4" w:space="0"/>
            </w:tcBorders>
            <w:noWrap/>
            <w:vAlign w:val="center"/>
          </w:tcPr>
          <w:p w14:paraId="26D72794">
            <w:pPr>
              <w:widowControl/>
              <w:jc w:val="center"/>
              <w:textAlignment w:val="center"/>
              <w:rPr>
                <w:szCs w:val="21"/>
              </w:rPr>
            </w:pPr>
            <w:r>
              <w:rPr>
                <w:kern w:val="0"/>
                <w:szCs w:val="21"/>
                <w:lang w:bidi="ar"/>
              </w:rPr>
              <w:t>合计</w:t>
            </w:r>
          </w:p>
        </w:tc>
        <w:tc>
          <w:tcPr>
            <w:tcW w:w="688" w:type="pct"/>
            <w:tcBorders>
              <w:top w:val="single" w:color="000000" w:sz="4" w:space="0"/>
              <w:left w:val="single" w:color="000000" w:sz="4" w:space="0"/>
              <w:bottom w:val="single" w:color="000000" w:sz="4" w:space="0"/>
              <w:right w:val="single" w:color="000000" w:sz="4" w:space="0"/>
            </w:tcBorders>
            <w:noWrap/>
            <w:vAlign w:val="center"/>
          </w:tcPr>
          <w:p w14:paraId="47B59509">
            <w:pPr>
              <w:widowControl/>
              <w:jc w:val="center"/>
              <w:textAlignment w:val="center"/>
              <w:rPr>
                <w:szCs w:val="21"/>
              </w:rPr>
            </w:pPr>
            <w:r>
              <w:rPr>
                <w:kern w:val="0"/>
                <w:szCs w:val="21"/>
                <w:lang w:bidi="ar"/>
              </w:rPr>
              <w:t>1314</w:t>
            </w:r>
          </w:p>
        </w:tc>
        <w:tc>
          <w:tcPr>
            <w:tcW w:w="683" w:type="pct"/>
            <w:tcBorders>
              <w:top w:val="single" w:color="000000" w:sz="4" w:space="0"/>
              <w:left w:val="single" w:color="000000" w:sz="4" w:space="0"/>
              <w:bottom w:val="single" w:color="000000" w:sz="4" w:space="0"/>
              <w:right w:val="single" w:color="000000" w:sz="4" w:space="0"/>
            </w:tcBorders>
            <w:noWrap/>
            <w:vAlign w:val="center"/>
          </w:tcPr>
          <w:p w14:paraId="1B96A307">
            <w:pPr>
              <w:widowControl/>
              <w:jc w:val="center"/>
              <w:textAlignment w:val="center"/>
              <w:rPr>
                <w:szCs w:val="21"/>
              </w:rPr>
            </w:pPr>
            <w:r>
              <w:rPr>
                <w:kern w:val="0"/>
                <w:szCs w:val="21"/>
                <w:lang w:bidi="ar"/>
              </w:rPr>
              <w:t>2.88</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77CF9A75">
            <w:pPr>
              <w:widowControl/>
              <w:jc w:val="center"/>
              <w:textAlignment w:val="center"/>
              <w:rPr>
                <w:szCs w:val="21"/>
              </w:rPr>
            </w:pPr>
            <w:r>
              <w:rPr>
                <w:kern w:val="0"/>
                <w:szCs w:val="21"/>
                <w:lang w:bidi="ar"/>
              </w:rPr>
              <w:t>1051.2</w:t>
            </w:r>
          </w:p>
        </w:tc>
      </w:tr>
    </w:tbl>
    <w:p w14:paraId="35D80F9C">
      <w:pPr>
        <w:pStyle w:val="10"/>
        <w:spacing w:line="360" w:lineRule="auto"/>
        <w:ind w:firstLine="480"/>
        <w:rPr>
          <w:sz w:val="24"/>
        </w:rPr>
      </w:pPr>
      <w:r>
        <w:rPr>
          <w:sz w:val="24"/>
        </w:rPr>
        <w:t>生活污水产生量为2.88m</w:t>
      </w:r>
      <w:r>
        <w:rPr>
          <w:sz w:val="24"/>
          <w:vertAlign w:val="superscript"/>
        </w:rPr>
        <w:t>3</w:t>
      </w:r>
      <w:r>
        <w:rPr>
          <w:sz w:val="24"/>
        </w:rPr>
        <w:t>/d，1051.2m</w:t>
      </w:r>
      <w:r>
        <w:rPr>
          <w:sz w:val="24"/>
          <w:vertAlign w:val="superscript"/>
        </w:rPr>
        <w:t>3</w:t>
      </w:r>
      <w:r>
        <w:rPr>
          <w:sz w:val="24"/>
        </w:rPr>
        <w:t>/a。由于生活用水统计已包含食堂用水，因此生活污水已包含食堂废水部分，食堂废水不单独核算。生活污水排入厂内污水处理站处理达标后回用于苹果园灌溉，不外排。</w:t>
      </w:r>
    </w:p>
    <w:p w14:paraId="6681AF35">
      <w:pPr>
        <w:spacing w:line="360" w:lineRule="auto"/>
        <w:ind w:firstLine="480" w:firstLineChars="200"/>
        <w:rPr>
          <w:sz w:val="24"/>
        </w:rPr>
      </w:pPr>
      <w:r>
        <w:rPr>
          <w:sz w:val="24"/>
        </w:rPr>
        <w:t>本项目排水情况见表3.3-11。</w:t>
      </w:r>
    </w:p>
    <w:p w14:paraId="579B69DF">
      <w:pPr>
        <w:tabs>
          <w:tab w:val="left" w:pos="840"/>
        </w:tabs>
        <w:spacing w:line="360" w:lineRule="auto"/>
        <w:jc w:val="center"/>
        <w:rPr>
          <w:b/>
          <w:sz w:val="24"/>
        </w:rPr>
      </w:pPr>
      <w:r>
        <w:rPr>
          <w:b/>
          <w:sz w:val="24"/>
        </w:rPr>
        <w:t>表3.2-11  项目用排水情况一览表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552"/>
        <w:gridCol w:w="1675"/>
        <w:gridCol w:w="1486"/>
        <w:gridCol w:w="1573"/>
      </w:tblGrid>
      <w:tr w14:paraId="0B09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pct"/>
            <w:noWrap w:val="0"/>
            <w:vAlign w:val="center"/>
          </w:tcPr>
          <w:p w14:paraId="6A9D32D3">
            <w:pPr>
              <w:pStyle w:val="74"/>
              <w:ind w:left="0"/>
              <w:jc w:val="center"/>
              <w:rPr>
                <w:sz w:val="21"/>
                <w:szCs w:val="21"/>
              </w:rPr>
            </w:pPr>
            <w:r>
              <w:rPr>
                <w:sz w:val="21"/>
                <w:szCs w:val="21"/>
              </w:rPr>
              <w:t>序号</w:t>
            </w:r>
          </w:p>
        </w:tc>
        <w:tc>
          <w:tcPr>
            <w:tcW w:w="1496" w:type="pct"/>
            <w:noWrap w:val="0"/>
            <w:vAlign w:val="center"/>
          </w:tcPr>
          <w:p w14:paraId="3F6962DF">
            <w:pPr>
              <w:pStyle w:val="74"/>
              <w:ind w:left="0"/>
              <w:jc w:val="center"/>
              <w:rPr>
                <w:sz w:val="21"/>
                <w:szCs w:val="21"/>
              </w:rPr>
            </w:pPr>
            <w:r>
              <w:rPr>
                <w:sz w:val="21"/>
                <w:szCs w:val="21"/>
              </w:rPr>
              <w:t>排水</w:t>
            </w:r>
            <w:r>
              <w:rPr>
                <w:sz w:val="21"/>
                <w:szCs w:val="21"/>
                <w:lang w:eastAsia="zh-CN"/>
              </w:rPr>
              <w:t>项目</w:t>
            </w:r>
          </w:p>
        </w:tc>
        <w:tc>
          <w:tcPr>
            <w:tcW w:w="982" w:type="pct"/>
            <w:noWrap w:val="0"/>
            <w:vAlign w:val="top"/>
          </w:tcPr>
          <w:p w14:paraId="538075A5">
            <w:pPr>
              <w:pStyle w:val="74"/>
              <w:ind w:left="0"/>
              <w:jc w:val="center"/>
              <w:rPr>
                <w:smallCaps w:val="0"/>
                <w:sz w:val="21"/>
                <w:szCs w:val="21"/>
                <w:lang w:eastAsia="zh-CN"/>
              </w:rPr>
            </w:pPr>
            <w:r>
              <w:rPr>
                <w:smallCaps w:val="0"/>
                <w:sz w:val="21"/>
                <w:szCs w:val="21"/>
              </w:rPr>
              <w:t>排水量t/</w:t>
            </w:r>
            <w:r>
              <w:rPr>
                <w:smallCaps w:val="0"/>
                <w:sz w:val="21"/>
                <w:szCs w:val="21"/>
                <w:lang w:eastAsia="zh-CN"/>
              </w:rPr>
              <w:t>d</w:t>
            </w:r>
          </w:p>
        </w:tc>
        <w:tc>
          <w:tcPr>
            <w:tcW w:w="871" w:type="pct"/>
            <w:noWrap w:val="0"/>
            <w:vAlign w:val="center"/>
          </w:tcPr>
          <w:p w14:paraId="476FBE29">
            <w:pPr>
              <w:pStyle w:val="74"/>
              <w:ind w:left="0"/>
              <w:jc w:val="center"/>
              <w:rPr>
                <w:smallCaps w:val="0"/>
                <w:sz w:val="21"/>
                <w:szCs w:val="21"/>
              </w:rPr>
            </w:pPr>
            <w:r>
              <w:rPr>
                <w:smallCaps w:val="0"/>
                <w:sz w:val="21"/>
                <w:szCs w:val="21"/>
              </w:rPr>
              <w:t>排水量t/a</w:t>
            </w:r>
          </w:p>
        </w:tc>
        <w:tc>
          <w:tcPr>
            <w:tcW w:w="922" w:type="pct"/>
            <w:noWrap w:val="0"/>
            <w:vAlign w:val="center"/>
          </w:tcPr>
          <w:p w14:paraId="0A7C390E">
            <w:pPr>
              <w:pStyle w:val="74"/>
              <w:ind w:left="0"/>
              <w:jc w:val="center"/>
              <w:rPr>
                <w:smallCaps w:val="0"/>
                <w:sz w:val="21"/>
                <w:szCs w:val="21"/>
              </w:rPr>
            </w:pPr>
            <w:r>
              <w:rPr>
                <w:smallCaps w:val="0"/>
                <w:sz w:val="21"/>
                <w:szCs w:val="21"/>
              </w:rPr>
              <w:t>去向</w:t>
            </w:r>
          </w:p>
        </w:tc>
      </w:tr>
      <w:tr w14:paraId="6090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noWrap w:val="0"/>
            <w:vAlign w:val="center"/>
          </w:tcPr>
          <w:p w14:paraId="4811A496">
            <w:pPr>
              <w:pStyle w:val="74"/>
              <w:ind w:left="0"/>
              <w:jc w:val="center"/>
              <w:rPr>
                <w:sz w:val="21"/>
                <w:szCs w:val="21"/>
              </w:rPr>
            </w:pPr>
            <w:r>
              <w:rPr>
                <w:sz w:val="21"/>
                <w:szCs w:val="21"/>
              </w:rPr>
              <w:t>1</w:t>
            </w:r>
          </w:p>
        </w:tc>
        <w:tc>
          <w:tcPr>
            <w:tcW w:w="1496" w:type="pct"/>
            <w:noWrap w:val="0"/>
            <w:vAlign w:val="center"/>
          </w:tcPr>
          <w:p w14:paraId="4658AA31">
            <w:pPr>
              <w:pStyle w:val="74"/>
              <w:ind w:left="0"/>
              <w:jc w:val="center"/>
              <w:rPr>
                <w:sz w:val="21"/>
                <w:szCs w:val="21"/>
              </w:rPr>
            </w:pPr>
            <w:r>
              <w:rPr>
                <w:sz w:val="21"/>
                <w:szCs w:val="21"/>
              </w:rPr>
              <w:t>猪尿液</w:t>
            </w:r>
          </w:p>
        </w:tc>
        <w:tc>
          <w:tcPr>
            <w:tcW w:w="982" w:type="pct"/>
            <w:noWrap w:val="0"/>
            <w:vAlign w:val="center"/>
          </w:tcPr>
          <w:p w14:paraId="4339645F">
            <w:pPr>
              <w:jc w:val="center"/>
              <w:rPr>
                <w:szCs w:val="21"/>
              </w:rPr>
            </w:pPr>
            <w:r>
              <w:rPr>
                <w:kern w:val="0"/>
                <w:szCs w:val="21"/>
                <w:lang w:bidi="ar"/>
              </w:rPr>
              <w:t>26.35</w:t>
            </w:r>
          </w:p>
        </w:tc>
        <w:tc>
          <w:tcPr>
            <w:tcW w:w="871" w:type="pct"/>
            <w:noWrap w:val="0"/>
            <w:vAlign w:val="center"/>
          </w:tcPr>
          <w:p w14:paraId="2B79A3C6">
            <w:pPr>
              <w:jc w:val="center"/>
              <w:rPr>
                <w:szCs w:val="21"/>
              </w:rPr>
            </w:pPr>
            <w:r>
              <w:rPr>
                <w:kern w:val="0"/>
                <w:szCs w:val="21"/>
                <w:lang w:bidi="ar"/>
              </w:rPr>
              <w:t>8743.00</w:t>
            </w:r>
          </w:p>
        </w:tc>
        <w:tc>
          <w:tcPr>
            <w:tcW w:w="922" w:type="pct"/>
            <w:vMerge w:val="restart"/>
            <w:noWrap w:val="0"/>
            <w:vAlign w:val="center"/>
          </w:tcPr>
          <w:p w14:paraId="14780402">
            <w:pPr>
              <w:pStyle w:val="74"/>
              <w:ind w:left="0"/>
              <w:jc w:val="center"/>
              <w:rPr>
                <w:sz w:val="21"/>
                <w:szCs w:val="21"/>
              </w:rPr>
            </w:pPr>
            <w:r>
              <w:rPr>
                <w:sz w:val="21"/>
                <w:szCs w:val="21"/>
              </w:rPr>
              <w:t>场内污水处理系统处理</w:t>
            </w:r>
          </w:p>
        </w:tc>
      </w:tr>
      <w:tr w14:paraId="2737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noWrap w:val="0"/>
            <w:vAlign w:val="center"/>
          </w:tcPr>
          <w:p w14:paraId="689139BF">
            <w:pPr>
              <w:pStyle w:val="74"/>
              <w:ind w:left="0"/>
              <w:jc w:val="center"/>
              <w:rPr>
                <w:sz w:val="21"/>
                <w:szCs w:val="21"/>
              </w:rPr>
            </w:pPr>
            <w:r>
              <w:rPr>
                <w:sz w:val="21"/>
                <w:szCs w:val="21"/>
              </w:rPr>
              <w:t>2</w:t>
            </w:r>
          </w:p>
        </w:tc>
        <w:tc>
          <w:tcPr>
            <w:tcW w:w="1496" w:type="pct"/>
            <w:noWrap w:val="0"/>
            <w:vAlign w:val="center"/>
          </w:tcPr>
          <w:p w14:paraId="36622F4D">
            <w:pPr>
              <w:pStyle w:val="74"/>
              <w:ind w:left="0"/>
              <w:jc w:val="center"/>
              <w:rPr>
                <w:rFonts w:hint="eastAsia"/>
                <w:sz w:val="21"/>
                <w:szCs w:val="21"/>
                <w:lang w:eastAsia="zh-CN"/>
              </w:rPr>
            </w:pPr>
            <w:r>
              <w:rPr>
                <w:rFonts w:hint="eastAsia"/>
                <w:sz w:val="21"/>
                <w:szCs w:val="21"/>
                <w:lang w:eastAsia="zh-CN"/>
              </w:rPr>
              <w:t>猪粪堆肥渗滤液</w:t>
            </w:r>
          </w:p>
        </w:tc>
        <w:tc>
          <w:tcPr>
            <w:tcW w:w="982" w:type="pct"/>
            <w:noWrap w:val="0"/>
            <w:vAlign w:val="top"/>
          </w:tcPr>
          <w:p w14:paraId="2EE7C5B9">
            <w:pPr>
              <w:pStyle w:val="74"/>
              <w:ind w:left="0"/>
              <w:jc w:val="center"/>
              <w:rPr>
                <w:bCs/>
                <w:sz w:val="21"/>
                <w:szCs w:val="21"/>
                <w:lang w:val="en-US" w:eastAsia="zh-CN"/>
              </w:rPr>
            </w:pPr>
            <w:r>
              <w:rPr>
                <w:rFonts w:hint="eastAsia"/>
                <w:kern w:val="0"/>
                <w:sz w:val="21"/>
                <w:szCs w:val="21"/>
                <w:lang w:val="en-US" w:eastAsia="zh-CN" w:bidi="ar"/>
              </w:rPr>
              <w:t>0.1153</w:t>
            </w:r>
          </w:p>
        </w:tc>
        <w:tc>
          <w:tcPr>
            <w:tcW w:w="871" w:type="pct"/>
            <w:noWrap w:val="0"/>
            <w:vAlign w:val="center"/>
          </w:tcPr>
          <w:p w14:paraId="3F5F4601">
            <w:pPr>
              <w:pStyle w:val="74"/>
              <w:ind w:left="0"/>
              <w:jc w:val="center"/>
              <w:rPr>
                <w:sz w:val="21"/>
                <w:szCs w:val="21"/>
                <w:lang w:eastAsia="zh-CN"/>
              </w:rPr>
            </w:pPr>
            <w:r>
              <w:rPr>
                <w:kern w:val="0"/>
                <w:sz w:val="21"/>
                <w:szCs w:val="21"/>
                <w:lang w:val="en-US" w:eastAsia="zh-CN" w:bidi="ar"/>
              </w:rPr>
              <w:t>42.09</w:t>
            </w:r>
          </w:p>
        </w:tc>
        <w:tc>
          <w:tcPr>
            <w:tcW w:w="922" w:type="pct"/>
            <w:vMerge w:val="continue"/>
            <w:noWrap w:val="0"/>
            <w:vAlign w:val="center"/>
          </w:tcPr>
          <w:p w14:paraId="248E7849">
            <w:pPr>
              <w:pStyle w:val="74"/>
              <w:ind w:left="0"/>
              <w:jc w:val="center"/>
              <w:rPr>
                <w:sz w:val="21"/>
                <w:szCs w:val="21"/>
              </w:rPr>
            </w:pPr>
          </w:p>
        </w:tc>
      </w:tr>
      <w:tr w14:paraId="330B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noWrap w:val="0"/>
            <w:vAlign w:val="center"/>
          </w:tcPr>
          <w:p w14:paraId="6B7823A3">
            <w:pPr>
              <w:pStyle w:val="74"/>
              <w:ind w:left="0"/>
              <w:jc w:val="center"/>
              <w:rPr>
                <w:sz w:val="21"/>
                <w:szCs w:val="21"/>
              </w:rPr>
            </w:pPr>
            <w:r>
              <w:rPr>
                <w:sz w:val="21"/>
                <w:szCs w:val="21"/>
              </w:rPr>
              <w:t>3</w:t>
            </w:r>
          </w:p>
        </w:tc>
        <w:tc>
          <w:tcPr>
            <w:tcW w:w="1496" w:type="pct"/>
            <w:noWrap w:val="0"/>
            <w:vAlign w:val="center"/>
          </w:tcPr>
          <w:p w14:paraId="5E76E60F">
            <w:pPr>
              <w:pStyle w:val="74"/>
              <w:ind w:left="0"/>
              <w:jc w:val="center"/>
              <w:rPr>
                <w:sz w:val="21"/>
                <w:szCs w:val="21"/>
              </w:rPr>
            </w:pPr>
            <w:r>
              <w:rPr>
                <w:sz w:val="21"/>
                <w:szCs w:val="21"/>
              </w:rPr>
              <w:t>猪舍冲洗废水</w:t>
            </w:r>
          </w:p>
        </w:tc>
        <w:tc>
          <w:tcPr>
            <w:tcW w:w="982" w:type="pct"/>
            <w:noWrap w:val="0"/>
            <w:vAlign w:val="top"/>
          </w:tcPr>
          <w:p w14:paraId="2F2BEF48">
            <w:pPr>
              <w:pStyle w:val="74"/>
              <w:ind w:left="0"/>
              <w:jc w:val="center"/>
              <w:rPr>
                <w:bCs/>
                <w:sz w:val="21"/>
                <w:szCs w:val="21"/>
                <w:lang w:eastAsia="zh-CN"/>
              </w:rPr>
            </w:pPr>
            <w:r>
              <w:rPr>
                <w:kern w:val="0"/>
                <w:sz w:val="21"/>
                <w:szCs w:val="21"/>
                <w:lang w:val="en-US" w:eastAsia="zh-CN" w:bidi="ar"/>
              </w:rPr>
              <w:t xml:space="preserve">61.18 </w:t>
            </w:r>
          </w:p>
        </w:tc>
        <w:tc>
          <w:tcPr>
            <w:tcW w:w="871" w:type="pct"/>
            <w:noWrap w:val="0"/>
            <w:vAlign w:val="center"/>
          </w:tcPr>
          <w:p w14:paraId="601856CA">
            <w:pPr>
              <w:pStyle w:val="74"/>
              <w:ind w:left="0"/>
              <w:jc w:val="center"/>
              <w:rPr>
                <w:sz w:val="21"/>
                <w:szCs w:val="21"/>
              </w:rPr>
            </w:pPr>
            <w:r>
              <w:rPr>
                <w:kern w:val="0"/>
                <w:sz w:val="21"/>
                <w:szCs w:val="21"/>
                <w:lang w:val="en-US" w:eastAsia="zh-CN" w:bidi="ar"/>
              </w:rPr>
              <w:t>159.07</w:t>
            </w:r>
          </w:p>
        </w:tc>
        <w:tc>
          <w:tcPr>
            <w:tcW w:w="922" w:type="pct"/>
            <w:vMerge w:val="continue"/>
            <w:noWrap w:val="0"/>
            <w:vAlign w:val="center"/>
          </w:tcPr>
          <w:p w14:paraId="05ED7134">
            <w:pPr>
              <w:pStyle w:val="74"/>
              <w:ind w:left="0"/>
              <w:jc w:val="center"/>
              <w:rPr>
                <w:sz w:val="21"/>
                <w:szCs w:val="21"/>
              </w:rPr>
            </w:pPr>
          </w:p>
        </w:tc>
      </w:tr>
      <w:tr w14:paraId="650B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noWrap w:val="0"/>
            <w:vAlign w:val="center"/>
          </w:tcPr>
          <w:p w14:paraId="592B1219">
            <w:pPr>
              <w:pStyle w:val="74"/>
              <w:ind w:left="0"/>
              <w:jc w:val="center"/>
              <w:rPr>
                <w:sz w:val="21"/>
                <w:szCs w:val="21"/>
              </w:rPr>
            </w:pPr>
            <w:r>
              <w:rPr>
                <w:sz w:val="21"/>
                <w:szCs w:val="21"/>
              </w:rPr>
              <w:t>4</w:t>
            </w:r>
          </w:p>
        </w:tc>
        <w:tc>
          <w:tcPr>
            <w:tcW w:w="1496" w:type="pct"/>
            <w:noWrap w:val="0"/>
            <w:vAlign w:val="center"/>
          </w:tcPr>
          <w:p w14:paraId="7296EA79">
            <w:pPr>
              <w:pStyle w:val="74"/>
              <w:ind w:left="0"/>
              <w:jc w:val="center"/>
              <w:rPr>
                <w:sz w:val="21"/>
                <w:szCs w:val="21"/>
              </w:rPr>
            </w:pPr>
            <w:r>
              <w:rPr>
                <w:sz w:val="21"/>
                <w:szCs w:val="21"/>
              </w:rPr>
              <w:t>养殖区职工生活污水</w:t>
            </w:r>
          </w:p>
        </w:tc>
        <w:tc>
          <w:tcPr>
            <w:tcW w:w="982" w:type="pct"/>
            <w:noWrap w:val="0"/>
            <w:vAlign w:val="top"/>
          </w:tcPr>
          <w:p w14:paraId="5A8EEF8D">
            <w:pPr>
              <w:pStyle w:val="74"/>
              <w:ind w:left="0"/>
              <w:jc w:val="center"/>
              <w:rPr>
                <w:bCs/>
                <w:sz w:val="21"/>
                <w:szCs w:val="21"/>
                <w:lang w:eastAsia="zh-CN"/>
              </w:rPr>
            </w:pPr>
            <w:r>
              <w:rPr>
                <w:kern w:val="0"/>
                <w:sz w:val="21"/>
                <w:szCs w:val="21"/>
                <w:lang w:val="en-US" w:eastAsia="zh-CN" w:bidi="ar"/>
              </w:rPr>
              <w:t>2.88</w:t>
            </w:r>
          </w:p>
        </w:tc>
        <w:tc>
          <w:tcPr>
            <w:tcW w:w="871" w:type="pct"/>
            <w:noWrap w:val="0"/>
            <w:vAlign w:val="center"/>
          </w:tcPr>
          <w:p w14:paraId="5148BD8D">
            <w:pPr>
              <w:pStyle w:val="74"/>
              <w:ind w:left="0"/>
              <w:jc w:val="center"/>
              <w:rPr>
                <w:sz w:val="21"/>
                <w:szCs w:val="21"/>
                <w:lang w:eastAsia="zh-CN"/>
              </w:rPr>
            </w:pPr>
            <w:r>
              <w:rPr>
                <w:kern w:val="0"/>
                <w:sz w:val="21"/>
                <w:szCs w:val="21"/>
                <w:lang w:val="en-US" w:eastAsia="zh-CN" w:bidi="ar"/>
              </w:rPr>
              <w:t>1051.2</w:t>
            </w:r>
          </w:p>
        </w:tc>
        <w:tc>
          <w:tcPr>
            <w:tcW w:w="922" w:type="pct"/>
            <w:vMerge w:val="continue"/>
            <w:noWrap w:val="0"/>
            <w:vAlign w:val="center"/>
          </w:tcPr>
          <w:p w14:paraId="369C2B7A">
            <w:pPr>
              <w:pStyle w:val="74"/>
              <w:ind w:left="0"/>
              <w:jc w:val="center"/>
              <w:rPr>
                <w:sz w:val="21"/>
                <w:szCs w:val="21"/>
              </w:rPr>
            </w:pPr>
          </w:p>
        </w:tc>
      </w:tr>
      <w:tr w14:paraId="4D80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noWrap w:val="0"/>
            <w:vAlign w:val="center"/>
          </w:tcPr>
          <w:p w14:paraId="4A6BB523">
            <w:pPr>
              <w:pStyle w:val="74"/>
              <w:ind w:left="0"/>
              <w:jc w:val="center"/>
              <w:rPr>
                <w:sz w:val="21"/>
                <w:szCs w:val="21"/>
              </w:rPr>
            </w:pPr>
            <w:r>
              <w:rPr>
                <w:sz w:val="21"/>
                <w:szCs w:val="21"/>
              </w:rPr>
              <w:t>/</w:t>
            </w:r>
          </w:p>
        </w:tc>
        <w:tc>
          <w:tcPr>
            <w:tcW w:w="1496" w:type="pct"/>
            <w:noWrap w:val="0"/>
            <w:vAlign w:val="center"/>
          </w:tcPr>
          <w:p w14:paraId="0EB06F15">
            <w:pPr>
              <w:pStyle w:val="74"/>
              <w:ind w:left="0"/>
              <w:jc w:val="center"/>
              <w:rPr>
                <w:sz w:val="21"/>
                <w:szCs w:val="21"/>
              </w:rPr>
            </w:pPr>
            <w:r>
              <w:rPr>
                <w:sz w:val="21"/>
                <w:szCs w:val="21"/>
              </w:rPr>
              <w:t>合计</w:t>
            </w:r>
          </w:p>
        </w:tc>
        <w:tc>
          <w:tcPr>
            <w:tcW w:w="982" w:type="pct"/>
            <w:noWrap w:val="0"/>
            <w:vAlign w:val="center"/>
          </w:tcPr>
          <w:p w14:paraId="2410F0C8">
            <w:pPr>
              <w:pStyle w:val="74"/>
              <w:ind w:left="0"/>
              <w:jc w:val="center"/>
              <w:rPr>
                <w:sz w:val="21"/>
                <w:szCs w:val="21"/>
                <w:lang w:val="en-US" w:eastAsia="zh-CN"/>
              </w:rPr>
            </w:pPr>
            <w:r>
              <w:rPr>
                <w:rFonts w:hint="eastAsia"/>
                <w:sz w:val="21"/>
                <w:szCs w:val="21"/>
                <w:lang w:val="en-US" w:eastAsia="zh-CN"/>
              </w:rPr>
              <w:t>90.5253</w:t>
            </w:r>
          </w:p>
        </w:tc>
        <w:tc>
          <w:tcPr>
            <w:tcW w:w="871" w:type="pct"/>
            <w:noWrap w:val="0"/>
            <w:vAlign w:val="center"/>
          </w:tcPr>
          <w:p w14:paraId="3641FF34">
            <w:pPr>
              <w:pStyle w:val="74"/>
              <w:ind w:left="0"/>
              <w:jc w:val="center"/>
              <w:rPr>
                <w:sz w:val="21"/>
                <w:szCs w:val="21"/>
                <w:lang w:val="en-US" w:eastAsia="zh-CN"/>
              </w:rPr>
            </w:pPr>
            <w:r>
              <w:rPr>
                <w:rFonts w:hint="eastAsia"/>
                <w:sz w:val="21"/>
                <w:szCs w:val="21"/>
                <w:lang w:val="en-US" w:eastAsia="zh-CN"/>
              </w:rPr>
              <w:t>9995.36</w:t>
            </w:r>
          </w:p>
        </w:tc>
        <w:tc>
          <w:tcPr>
            <w:tcW w:w="922" w:type="pct"/>
            <w:noWrap w:val="0"/>
            <w:vAlign w:val="center"/>
          </w:tcPr>
          <w:p w14:paraId="33C68AAD">
            <w:pPr>
              <w:pStyle w:val="74"/>
              <w:ind w:left="0"/>
              <w:jc w:val="center"/>
              <w:rPr>
                <w:sz w:val="21"/>
                <w:szCs w:val="21"/>
              </w:rPr>
            </w:pPr>
            <w:r>
              <w:rPr>
                <w:sz w:val="21"/>
                <w:szCs w:val="21"/>
              </w:rPr>
              <w:t>/</w:t>
            </w:r>
          </w:p>
        </w:tc>
      </w:tr>
    </w:tbl>
    <w:p w14:paraId="256DD633">
      <w:pPr>
        <w:pStyle w:val="7"/>
        <w:spacing w:before="0" w:after="0" w:line="360" w:lineRule="auto"/>
        <w:rPr>
          <w:rFonts w:ascii="Times New Roman" w:hAnsi="Times New Roman"/>
          <w:sz w:val="28"/>
          <w:szCs w:val="28"/>
        </w:rPr>
      </w:pPr>
      <w:bookmarkStart w:id="78" w:name="_Toc12955147"/>
      <w:r>
        <w:rPr>
          <w:rFonts w:ascii="Times New Roman" w:hAnsi="Times New Roman"/>
          <w:sz w:val="28"/>
          <w:szCs w:val="28"/>
        </w:rPr>
        <w:t>3.3.3水平衡图</w:t>
      </w:r>
      <w:bookmarkEnd w:id="78"/>
    </w:p>
    <w:p w14:paraId="63BF4F89">
      <w:pPr>
        <w:ind w:firstLine="480"/>
        <w:rPr>
          <w:sz w:val="24"/>
        </w:rPr>
      </w:pPr>
      <w:r>
        <w:rPr>
          <w:sz w:val="24"/>
        </w:rPr>
        <w:t>项目水平衡见图</w:t>
      </w:r>
      <w:r>
        <w:rPr>
          <w:rFonts w:hint="eastAsia"/>
          <w:sz w:val="24"/>
        </w:rPr>
        <w:t>3-8</w:t>
      </w:r>
      <w:r>
        <w:rPr>
          <w:sz w:val="24"/>
        </w:rPr>
        <w:t>。</w:t>
      </w:r>
    </w:p>
    <w:p w14:paraId="174DA831">
      <w:pPr>
        <w:ind w:firstLine="480"/>
        <w:rPr>
          <w:sz w:val="24"/>
        </w:rPr>
      </w:pPr>
    </w:p>
    <w:p w14:paraId="77B9449D">
      <w:pPr>
        <w:pStyle w:val="10"/>
        <w:spacing w:line="360" w:lineRule="auto"/>
        <w:ind w:firstLine="480"/>
        <w:rPr>
          <w:sz w:val="24"/>
        </w:rPr>
      </w:pPr>
      <w:r>
        <w:rPr>
          <w:sz w:val="24"/>
        </w:rPr>
        <w:object>
          <v:shape id="_x0000_i1029" o:spt="75" type="#_x0000_t75" style="height:204pt;width:376.5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6" r:id="rId21">
            <o:LockedField>false</o:LockedField>
          </o:OLEObject>
        </w:object>
      </w:r>
    </w:p>
    <w:p w14:paraId="552BB82E">
      <w:pPr>
        <w:pStyle w:val="10"/>
        <w:spacing w:line="360" w:lineRule="auto"/>
        <w:ind w:firstLine="482"/>
        <w:jc w:val="center"/>
        <w:rPr>
          <w:b/>
          <w:bCs/>
          <w:sz w:val="24"/>
        </w:rPr>
      </w:pPr>
      <w:r>
        <w:rPr>
          <w:b/>
          <w:bCs/>
          <w:sz w:val="24"/>
        </w:rPr>
        <w:t>图3</w:t>
      </w:r>
      <w:r>
        <w:rPr>
          <w:rFonts w:hint="eastAsia"/>
          <w:b/>
          <w:bCs/>
          <w:sz w:val="24"/>
        </w:rPr>
        <w:t>-9</w:t>
      </w:r>
      <w:r>
        <w:rPr>
          <w:b/>
          <w:bCs/>
          <w:sz w:val="24"/>
        </w:rPr>
        <w:t xml:space="preserve"> 养猪场水平衡图  m</w:t>
      </w:r>
      <w:r>
        <w:rPr>
          <w:b/>
          <w:bCs/>
          <w:sz w:val="24"/>
          <w:vertAlign w:val="superscript"/>
        </w:rPr>
        <w:t>3</w:t>
      </w:r>
      <w:r>
        <w:rPr>
          <w:b/>
          <w:bCs/>
          <w:sz w:val="24"/>
        </w:rPr>
        <w:t>/a</w:t>
      </w:r>
    </w:p>
    <w:p w14:paraId="0DA74FA8">
      <w:pPr>
        <w:pStyle w:val="6"/>
        <w:spacing w:before="0" w:after="0" w:line="360" w:lineRule="auto"/>
        <w:rPr>
          <w:rFonts w:ascii="Times New Roman" w:hAnsi="Times New Roman" w:eastAsia="宋体"/>
          <w:sz w:val="30"/>
          <w:szCs w:val="30"/>
        </w:rPr>
      </w:pPr>
      <w:bookmarkStart w:id="79" w:name="_Toc19237"/>
      <w:r>
        <w:rPr>
          <w:rFonts w:ascii="Times New Roman" w:hAnsi="Times New Roman" w:eastAsia="宋体"/>
          <w:sz w:val="30"/>
          <w:szCs w:val="30"/>
        </w:rPr>
        <w:t>3.4运营期污染源源强核算</w:t>
      </w:r>
      <w:bookmarkEnd w:id="79"/>
    </w:p>
    <w:p w14:paraId="6FC4672F">
      <w:pPr>
        <w:pStyle w:val="7"/>
        <w:spacing w:before="0" w:after="0" w:line="360" w:lineRule="auto"/>
        <w:rPr>
          <w:rFonts w:ascii="Times New Roman" w:hAnsi="Times New Roman"/>
          <w:sz w:val="28"/>
          <w:szCs w:val="28"/>
        </w:rPr>
      </w:pPr>
      <w:r>
        <w:rPr>
          <w:rFonts w:ascii="Times New Roman" w:hAnsi="Times New Roman"/>
          <w:sz w:val="28"/>
          <w:szCs w:val="28"/>
        </w:rPr>
        <w:t>3.4.1废气</w:t>
      </w:r>
    </w:p>
    <w:p w14:paraId="33D44523">
      <w:pPr>
        <w:snapToGrid w:val="0"/>
        <w:spacing w:line="360" w:lineRule="auto"/>
        <w:ind w:firstLine="480"/>
        <w:rPr>
          <w:sz w:val="24"/>
        </w:rPr>
      </w:pPr>
      <w:r>
        <w:rPr>
          <w:sz w:val="24"/>
        </w:rPr>
        <w:t>1、恶臭产生场所</w:t>
      </w:r>
    </w:p>
    <w:p w14:paraId="3EAAB105">
      <w:pPr>
        <w:snapToGrid w:val="0"/>
        <w:spacing w:line="360" w:lineRule="auto"/>
        <w:ind w:firstLine="480"/>
        <w:rPr>
          <w:sz w:val="24"/>
        </w:rPr>
      </w:pPr>
      <w:r>
        <w:rPr>
          <w:sz w:val="24"/>
        </w:rPr>
        <w:t>（1）猪舍</w:t>
      </w:r>
    </w:p>
    <w:p w14:paraId="07F25AF0">
      <w:pPr>
        <w:snapToGrid w:val="0"/>
        <w:spacing w:line="360" w:lineRule="auto"/>
        <w:ind w:firstLine="480"/>
        <w:rPr>
          <w:sz w:val="24"/>
        </w:rPr>
      </w:pPr>
      <w:r>
        <w:rPr>
          <w:sz w:val="24"/>
        </w:rPr>
        <w:t>参考中国环境科学学会学术年会论文集2010中天津市环境影响评价中心孙艳青等人《养猪场恶臭影响量化分析及控制对策研究》提供的数据，猪舍NH</w:t>
      </w:r>
      <w:r>
        <w:rPr>
          <w:sz w:val="24"/>
          <w:vertAlign w:val="subscript"/>
        </w:rPr>
        <w:t>3</w:t>
      </w:r>
      <w:r>
        <w:rPr>
          <w:sz w:val="24"/>
        </w:rPr>
        <w:t>和H</w:t>
      </w:r>
      <w:r>
        <w:rPr>
          <w:sz w:val="24"/>
          <w:vertAlign w:val="subscript"/>
        </w:rPr>
        <w:t>2</w:t>
      </w:r>
      <w:r>
        <w:rPr>
          <w:sz w:val="24"/>
        </w:rPr>
        <w:t>S的排放强度受到许多因素的影响，包括生产工艺、气温、湿度、猪群种类、室内排风情况以及粪便的堆积时间等，经对小猪仔和大猪的NH</w:t>
      </w:r>
      <w:r>
        <w:rPr>
          <w:sz w:val="24"/>
          <w:vertAlign w:val="subscript"/>
        </w:rPr>
        <w:t>3</w:t>
      </w:r>
      <w:r>
        <w:rPr>
          <w:sz w:val="24"/>
        </w:rPr>
        <w:t>排放量统计，保育猪NH</w:t>
      </w:r>
      <w:r>
        <w:rPr>
          <w:sz w:val="24"/>
          <w:vertAlign w:val="subscript"/>
        </w:rPr>
        <w:t>3</w:t>
      </w:r>
      <w:r>
        <w:rPr>
          <w:sz w:val="24"/>
        </w:rPr>
        <w:t>排放量为0.8～1.1g/头•d，育肥猪NH</w:t>
      </w:r>
      <w:r>
        <w:rPr>
          <w:sz w:val="24"/>
          <w:vertAlign w:val="subscript"/>
        </w:rPr>
        <w:t>3</w:t>
      </w:r>
      <w:r>
        <w:rPr>
          <w:sz w:val="24"/>
        </w:rPr>
        <w:t>排放量为5.6～5.7g/头•d，排放强度随气温增加而增加，受排风影响则较小。经对猪舍H</w:t>
      </w:r>
      <w:r>
        <w:rPr>
          <w:sz w:val="24"/>
          <w:vertAlign w:val="subscript"/>
        </w:rPr>
        <w:t>2</w:t>
      </w:r>
      <w:r>
        <w:rPr>
          <w:sz w:val="24"/>
        </w:rPr>
        <w:t>S气体排放强度统计，保育猪H</w:t>
      </w:r>
      <w:r>
        <w:rPr>
          <w:sz w:val="24"/>
          <w:vertAlign w:val="subscript"/>
        </w:rPr>
        <w:t>2</w:t>
      </w:r>
      <w:r>
        <w:rPr>
          <w:sz w:val="24"/>
        </w:rPr>
        <w:t>S排放量为0.25g/头•d，育肥猪猪H</w:t>
      </w:r>
      <w:r>
        <w:rPr>
          <w:sz w:val="24"/>
          <w:vertAlign w:val="subscript"/>
        </w:rPr>
        <w:t>2</w:t>
      </w:r>
      <w:r>
        <w:rPr>
          <w:sz w:val="24"/>
        </w:rPr>
        <w:t>S排放量为0.5g/头•d。</w:t>
      </w:r>
    </w:p>
    <w:p w14:paraId="2D38CABD">
      <w:pPr>
        <w:snapToGrid w:val="0"/>
        <w:spacing w:line="360" w:lineRule="auto"/>
        <w:ind w:firstLine="480"/>
        <w:rPr>
          <w:sz w:val="24"/>
        </w:rPr>
      </w:pPr>
      <w:r>
        <w:rPr>
          <w:sz w:val="24"/>
        </w:rPr>
        <w:t>本次环评根据上述数据进行本项目NH</w:t>
      </w:r>
      <w:r>
        <w:rPr>
          <w:sz w:val="24"/>
          <w:vertAlign w:val="subscript"/>
        </w:rPr>
        <w:t>3</w:t>
      </w:r>
      <w:r>
        <w:rPr>
          <w:sz w:val="24"/>
        </w:rPr>
        <w:t>、H</w:t>
      </w:r>
      <w:r>
        <w:rPr>
          <w:sz w:val="24"/>
          <w:vertAlign w:val="subscript"/>
        </w:rPr>
        <w:t>2</w:t>
      </w:r>
      <w:r>
        <w:rPr>
          <w:sz w:val="24"/>
        </w:rPr>
        <w:t>S排放量的预测，计算得日平均排放量。具体数据见表3.4-1、3.4-2。</w:t>
      </w:r>
    </w:p>
    <w:p w14:paraId="42B91B75">
      <w:pPr>
        <w:pStyle w:val="35"/>
        <w:rPr>
          <w:sz w:val="24"/>
        </w:rPr>
      </w:pPr>
    </w:p>
    <w:p w14:paraId="42F931EE">
      <w:pPr>
        <w:pStyle w:val="35"/>
        <w:rPr>
          <w:sz w:val="24"/>
        </w:rPr>
      </w:pPr>
    </w:p>
    <w:p w14:paraId="48E05FDF">
      <w:pPr>
        <w:ind w:firstLine="461"/>
        <w:jc w:val="center"/>
        <w:rPr>
          <w:b/>
          <w:kern w:val="0"/>
          <w:szCs w:val="21"/>
        </w:rPr>
        <w:sectPr>
          <w:pgSz w:w="11906" w:h="16838"/>
          <w:pgMar w:top="1440" w:right="1797" w:bottom="1361" w:left="1797" w:header="851" w:footer="992" w:gutter="0"/>
          <w:cols w:space="720" w:num="1"/>
          <w:docGrid w:linePitch="312" w:charSpace="0"/>
        </w:sectPr>
      </w:pPr>
    </w:p>
    <w:p w14:paraId="682CD7BF">
      <w:pPr>
        <w:ind w:firstLine="461"/>
        <w:jc w:val="center"/>
        <w:rPr>
          <w:b/>
          <w:kern w:val="0"/>
          <w:szCs w:val="21"/>
        </w:rPr>
      </w:pPr>
      <w:r>
        <w:rPr>
          <w:b/>
          <w:kern w:val="0"/>
          <w:szCs w:val="21"/>
        </w:rPr>
        <w:t>表3.4-1    猪舍NH</w:t>
      </w:r>
      <w:r>
        <w:rPr>
          <w:b/>
          <w:kern w:val="0"/>
          <w:szCs w:val="21"/>
          <w:vertAlign w:val="subscript"/>
        </w:rPr>
        <w:t>3</w:t>
      </w:r>
      <w:r>
        <w:rPr>
          <w:b/>
          <w:kern w:val="0"/>
          <w:szCs w:val="21"/>
        </w:rPr>
        <w:t>产生量预计</w:t>
      </w:r>
    </w:p>
    <w:tbl>
      <w:tblPr>
        <w:tblStyle w:val="87"/>
        <w:tblW w:w="4998" w:type="pct"/>
        <w:tblInd w:w="0" w:type="dxa"/>
        <w:tblLayout w:type="autofit"/>
        <w:tblCellMar>
          <w:top w:w="0" w:type="dxa"/>
          <w:left w:w="108" w:type="dxa"/>
          <w:bottom w:w="0" w:type="dxa"/>
          <w:right w:w="108" w:type="dxa"/>
        </w:tblCellMar>
      </w:tblPr>
      <w:tblGrid>
        <w:gridCol w:w="1266"/>
        <w:gridCol w:w="2968"/>
        <w:gridCol w:w="2235"/>
        <w:gridCol w:w="1252"/>
        <w:gridCol w:w="1252"/>
        <w:gridCol w:w="1753"/>
        <w:gridCol w:w="1753"/>
        <w:gridCol w:w="1768"/>
      </w:tblGrid>
      <w:tr w14:paraId="4F2069B4">
        <w:tblPrEx>
          <w:tblCellMar>
            <w:top w:w="0" w:type="dxa"/>
            <w:left w:w="108" w:type="dxa"/>
            <w:bottom w:w="0" w:type="dxa"/>
            <w:right w:w="108" w:type="dxa"/>
          </w:tblCellMar>
        </w:tblPrEx>
        <w:trPr>
          <w:trHeight w:val="765" w:hRule="atLeast"/>
        </w:trPr>
        <w:tc>
          <w:tcPr>
            <w:tcW w:w="444" w:type="pct"/>
            <w:tcBorders>
              <w:top w:val="single" w:color="000000" w:sz="4" w:space="0"/>
              <w:left w:val="single" w:color="000000" w:sz="4" w:space="0"/>
              <w:bottom w:val="single" w:color="000000" w:sz="4" w:space="0"/>
              <w:right w:val="single" w:color="000000" w:sz="4" w:space="0"/>
            </w:tcBorders>
            <w:noWrap/>
            <w:vAlign w:val="center"/>
          </w:tcPr>
          <w:p w14:paraId="2B707890">
            <w:pPr>
              <w:jc w:val="center"/>
              <w:rPr>
                <w:szCs w:val="21"/>
              </w:rPr>
            </w:pPr>
            <w:r>
              <w:rPr>
                <w:szCs w:val="21"/>
              </w:rPr>
              <w:t>地块</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B2ABB17">
            <w:pPr>
              <w:jc w:val="center"/>
              <w:rPr>
                <w:szCs w:val="21"/>
              </w:rPr>
            </w:pPr>
            <w:r>
              <w:rPr>
                <w:szCs w:val="21"/>
              </w:rPr>
              <w:t>猪舍位置</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50083A59">
            <w:pPr>
              <w:widowControl/>
              <w:jc w:val="center"/>
              <w:textAlignment w:val="center"/>
              <w:rPr>
                <w:szCs w:val="21"/>
              </w:rPr>
            </w:pPr>
            <w:r>
              <w:rPr>
                <w:kern w:val="0"/>
                <w:szCs w:val="21"/>
                <w:lang w:bidi="ar"/>
              </w:rPr>
              <w:t>存栏数量（头）</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072FE60">
            <w:pPr>
              <w:widowControl/>
              <w:jc w:val="center"/>
              <w:textAlignment w:val="center"/>
              <w:rPr>
                <w:szCs w:val="21"/>
              </w:rPr>
            </w:pPr>
            <w:r>
              <w:rPr>
                <w:kern w:val="0"/>
                <w:szCs w:val="21"/>
                <w:lang w:bidi="ar"/>
              </w:rPr>
              <w:t>保育猪排放系数g/头.d</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13DEF6D">
            <w:pPr>
              <w:widowControl/>
              <w:jc w:val="center"/>
              <w:textAlignment w:val="center"/>
              <w:rPr>
                <w:szCs w:val="21"/>
              </w:rPr>
            </w:pPr>
            <w:r>
              <w:rPr>
                <w:kern w:val="0"/>
                <w:szCs w:val="21"/>
                <w:lang w:bidi="ar"/>
              </w:rPr>
              <w:t>育肥猪排放系数g/头.d</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7F4BCE9">
            <w:pPr>
              <w:widowControl/>
              <w:jc w:val="center"/>
              <w:textAlignment w:val="center"/>
              <w:rPr>
                <w:szCs w:val="21"/>
              </w:rPr>
            </w:pPr>
            <w:r>
              <w:rPr>
                <w:kern w:val="0"/>
                <w:szCs w:val="21"/>
                <w:lang w:bidi="ar"/>
              </w:rPr>
              <w:t>保育猪舍日产生量kg/d</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5346613">
            <w:pPr>
              <w:widowControl/>
              <w:jc w:val="center"/>
              <w:textAlignment w:val="center"/>
              <w:rPr>
                <w:szCs w:val="21"/>
              </w:rPr>
            </w:pPr>
            <w:r>
              <w:rPr>
                <w:kern w:val="0"/>
                <w:szCs w:val="21"/>
                <w:lang w:bidi="ar"/>
              </w:rPr>
              <w:t>育肥猪舍日产生量kg/d</w:t>
            </w:r>
          </w:p>
        </w:tc>
        <w:tc>
          <w:tcPr>
            <w:tcW w:w="620" w:type="pct"/>
            <w:tcBorders>
              <w:top w:val="single" w:color="000000" w:sz="4" w:space="0"/>
              <w:left w:val="single" w:color="000000" w:sz="4" w:space="0"/>
              <w:bottom w:val="single" w:color="000000" w:sz="4" w:space="0"/>
              <w:right w:val="single" w:color="000000" w:sz="4" w:space="0"/>
            </w:tcBorders>
            <w:noWrap w:val="0"/>
            <w:vAlign w:val="center"/>
          </w:tcPr>
          <w:p w14:paraId="5A0C2BEE">
            <w:pPr>
              <w:widowControl/>
              <w:jc w:val="center"/>
              <w:textAlignment w:val="center"/>
              <w:rPr>
                <w:szCs w:val="21"/>
              </w:rPr>
            </w:pPr>
            <w:r>
              <w:rPr>
                <w:kern w:val="0"/>
                <w:szCs w:val="21"/>
                <w:lang w:bidi="ar"/>
              </w:rPr>
              <w:t>猪舍年产生量kg/a</w:t>
            </w:r>
          </w:p>
        </w:tc>
      </w:tr>
      <w:tr w14:paraId="3A5E326B">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34E9B63C">
            <w:pPr>
              <w:widowControl/>
              <w:jc w:val="center"/>
              <w:textAlignment w:val="center"/>
              <w:rPr>
                <w:szCs w:val="21"/>
              </w:rPr>
            </w:pPr>
            <w:r>
              <w:rPr>
                <w:kern w:val="0"/>
                <w:szCs w:val="21"/>
                <w:lang w:bidi="ar"/>
              </w:rPr>
              <w:t>1号地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ABCE0B6">
            <w:pPr>
              <w:widowControl/>
              <w:jc w:val="center"/>
              <w:textAlignment w:val="center"/>
              <w:rPr>
                <w:szCs w:val="21"/>
              </w:rPr>
            </w:pPr>
            <w:r>
              <w:rPr>
                <w:kern w:val="0"/>
                <w:szCs w:val="21"/>
                <w:lang w:bidi="ar"/>
              </w:rPr>
              <w:t>盛丰通风井位置1号舍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54B2A611">
            <w:pPr>
              <w:widowControl/>
              <w:jc w:val="center"/>
              <w:textAlignment w:val="center"/>
              <w:rPr>
                <w:szCs w:val="21"/>
              </w:rPr>
            </w:pPr>
            <w:r>
              <w:rPr>
                <w:kern w:val="0"/>
                <w:szCs w:val="21"/>
                <w:lang w:bidi="ar"/>
              </w:rPr>
              <w:t>828</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00AF316">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1CBBC58">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9AB488E">
            <w:pPr>
              <w:widowControl/>
              <w:jc w:val="center"/>
              <w:textAlignment w:val="center"/>
              <w:rPr>
                <w:szCs w:val="21"/>
              </w:rPr>
            </w:pPr>
            <w:r>
              <w:rPr>
                <w:kern w:val="0"/>
                <w:szCs w:val="21"/>
                <w:lang w:bidi="ar"/>
              </w:rPr>
              <w:t>0.91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85E7AC2">
            <w:pPr>
              <w:widowControl/>
              <w:jc w:val="center"/>
              <w:textAlignment w:val="center"/>
              <w:rPr>
                <w:szCs w:val="21"/>
              </w:rPr>
            </w:pPr>
            <w:r>
              <w:rPr>
                <w:kern w:val="0"/>
                <w:szCs w:val="21"/>
                <w:lang w:bidi="ar"/>
              </w:rPr>
              <w:t>4.72</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4FE1305">
            <w:pPr>
              <w:widowControl/>
              <w:jc w:val="center"/>
              <w:textAlignment w:val="center"/>
              <w:rPr>
                <w:szCs w:val="21"/>
              </w:rPr>
            </w:pPr>
            <w:r>
              <w:rPr>
                <w:kern w:val="0"/>
                <w:szCs w:val="21"/>
                <w:lang w:bidi="ar"/>
              </w:rPr>
              <w:t>1321.40</w:t>
            </w:r>
          </w:p>
        </w:tc>
      </w:tr>
      <w:tr w14:paraId="0EB7AA0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4561D64E">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7F98773C">
            <w:pPr>
              <w:widowControl/>
              <w:jc w:val="center"/>
              <w:textAlignment w:val="center"/>
              <w:rPr>
                <w:szCs w:val="21"/>
              </w:rPr>
            </w:pPr>
            <w:r>
              <w:rPr>
                <w:kern w:val="0"/>
                <w:szCs w:val="21"/>
                <w:lang w:bidi="ar"/>
              </w:rPr>
              <w:t>盛丰通风井位置2号舍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5C9576EB">
            <w:pPr>
              <w:widowControl/>
              <w:jc w:val="center"/>
              <w:textAlignment w:val="center"/>
              <w:rPr>
                <w:szCs w:val="21"/>
              </w:rPr>
            </w:pPr>
            <w:r>
              <w:rPr>
                <w:kern w:val="0"/>
                <w:szCs w:val="21"/>
                <w:lang w:bidi="ar"/>
              </w:rPr>
              <w:t>315</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CE49D8E">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D915F9D">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8A61D84">
            <w:pPr>
              <w:widowControl/>
              <w:jc w:val="center"/>
              <w:textAlignment w:val="center"/>
              <w:rPr>
                <w:szCs w:val="21"/>
              </w:rPr>
            </w:pPr>
            <w:r>
              <w:rPr>
                <w:kern w:val="0"/>
                <w:szCs w:val="21"/>
                <w:lang w:bidi="ar"/>
              </w:rPr>
              <w:t>0.35</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95ACD50">
            <w:pPr>
              <w:widowControl/>
              <w:jc w:val="center"/>
              <w:textAlignment w:val="center"/>
              <w:rPr>
                <w:szCs w:val="21"/>
              </w:rPr>
            </w:pPr>
            <w:r>
              <w:rPr>
                <w:kern w:val="0"/>
                <w:szCs w:val="21"/>
                <w:lang w:bidi="ar"/>
              </w:rPr>
              <w:t>1.79</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AE194ED">
            <w:pPr>
              <w:widowControl/>
              <w:jc w:val="center"/>
              <w:textAlignment w:val="center"/>
              <w:rPr>
                <w:szCs w:val="21"/>
              </w:rPr>
            </w:pPr>
            <w:r>
              <w:rPr>
                <w:kern w:val="0"/>
                <w:szCs w:val="21"/>
                <w:lang w:bidi="ar"/>
              </w:rPr>
              <w:t>502.51</w:t>
            </w:r>
          </w:p>
        </w:tc>
      </w:tr>
      <w:tr w14:paraId="089F3C9D">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2310EDF5">
            <w:pPr>
              <w:widowControl/>
              <w:jc w:val="center"/>
              <w:textAlignment w:val="center"/>
              <w:rPr>
                <w:szCs w:val="21"/>
              </w:rPr>
            </w:pPr>
            <w:r>
              <w:rPr>
                <w:kern w:val="0"/>
                <w:szCs w:val="21"/>
                <w:lang w:bidi="ar"/>
              </w:rPr>
              <w:t>2号地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6E403359">
            <w:pPr>
              <w:widowControl/>
              <w:jc w:val="center"/>
              <w:textAlignment w:val="center"/>
              <w:rPr>
                <w:szCs w:val="21"/>
              </w:rPr>
            </w:pPr>
            <w:r>
              <w:rPr>
                <w:kern w:val="0"/>
                <w:szCs w:val="21"/>
                <w:lang w:bidi="ar"/>
              </w:rPr>
              <w:t>盛丰焦化楼位置1号舍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3A4EA165">
            <w:pPr>
              <w:widowControl/>
              <w:jc w:val="center"/>
              <w:textAlignment w:val="center"/>
              <w:rPr>
                <w:szCs w:val="21"/>
              </w:rPr>
            </w:pPr>
            <w:r>
              <w:rPr>
                <w:kern w:val="0"/>
                <w:szCs w:val="21"/>
                <w:lang w:bidi="ar"/>
              </w:rPr>
              <w:t>643</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F29193F">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20908B3">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069E7BE5">
            <w:pPr>
              <w:widowControl/>
              <w:jc w:val="center"/>
              <w:textAlignment w:val="center"/>
              <w:rPr>
                <w:szCs w:val="21"/>
              </w:rPr>
            </w:pPr>
            <w:r>
              <w:rPr>
                <w:kern w:val="0"/>
                <w:szCs w:val="21"/>
                <w:lang w:bidi="ar"/>
              </w:rPr>
              <w:t>0.71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608F414C">
            <w:pPr>
              <w:widowControl/>
              <w:jc w:val="center"/>
              <w:textAlignment w:val="center"/>
              <w:rPr>
                <w:szCs w:val="21"/>
              </w:rPr>
            </w:pPr>
            <w:r>
              <w:rPr>
                <w:kern w:val="0"/>
                <w:szCs w:val="21"/>
                <w:lang w:bidi="ar"/>
              </w:rPr>
              <w:t>3.66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913A637">
            <w:pPr>
              <w:widowControl/>
              <w:jc w:val="center"/>
              <w:textAlignment w:val="center"/>
              <w:rPr>
                <w:szCs w:val="21"/>
              </w:rPr>
            </w:pPr>
            <w:r>
              <w:rPr>
                <w:kern w:val="0"/>
                <w:szCs w:val="21"/>
                <w:lang w:bidi="ar"/>
              </w:rPr>
              <w:t>1026.04</w:t>
            </w:r>
          </w:p>
        </w:tc>
      </w:tr>
      <w:tr w14:paraId="58532030">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37ADDC88">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C07BD43">
            <w:pPr>
              <w:widowControl/>
              <w:jc w:val="center"/>
              <w:textAlignment w:val="center"/>
              <w:rPr>
                <w:szCs w:val="21"/>
              </w:rPr>
            </w:pPr>
            <w:r>
              <w:rPr>
                <w:kern w:val="0"/>
                <w:szCs w:val="21"/>
                <w:lang w:bidi="ar"/>
              </w:rPr>
              <w:t>盛丰焦化楼位置2号舍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0C7B82AC">
            <w:pPr>
              <w:widowControl/>
              <w:jc w:val="center"/>
              <w:textAlignment w:val="center"/>
              <w:rPr>
                <w:szCs w:val="21"/>
              </w:rPr>
            </w:pPr>
            <w:r>
              <w:rPr>
                <w:kern w:val="0"/>
                <w:szCs w:val="21"/>
                <w:lang w:bidi="ar"/>
              </w:rPr>
              <w:t>896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5486131">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D22CE49">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F2F3B2E">
            <w:pPr>
              <w:widowControl/>
              <w:jc w:val="center"/>
              <w:textAlignment w:val="center"/>
              <w:rPr>
                <w:szCs w:val="21"/>
              </w:rPr>
            </w:pPr>
            <w:r>
              <w:rPr>
                <w:kern w:val="0"/>
                <w:szCs w:val="21"/>
                <w:lang w:bidi="ar"/>
              </w:rPr>
              <w:t>0.99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77371257">
            <w:pPr>
              <w:widowControl/>
              <w:jc w:val="center"/>
              <w:textAlignment w:val="center"/>
              <w:rPr>
                <w:szCs w:val="21"/>
              </w:rPr>
            </w:pPr>
            <w:r>
              <w:rPr>
                <w:kern w:val="0"/>
                <w:szCs w:val="21"/>
                <w:lang w:bidi="ar"/>
              </w:rPr>
              <w:t>5.10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01E1B34">
            <w:pPr>
              <w:widowControl/>
              <w:jc w:val="center"/>
              <w:textAlignment w:val="center"/>
              <w:rPr>
                <w:szCs w:val="21"/>
              </w:rPr>
            </w:pPr>
            <w:r>
              <w:rPr>
                <w:kern w:val="0"/>
                <w:szCs w:val="21"/>
                <w:lang w:bidi="ar"/>
              </w:rPr>
              <w:t>1429.63</w:t>
            </w:r>
          </w:p>
        </w:tc>
      </w:tr>
      <w:tr w14:paraId="40ED3856">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30E3297B">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0E0AFCC">
            <w:pPr>
              <w:widowControl/>
              <w:jc w:val="center"/>
              <w:textAlignment w:val="center"/>
              <w:rPr>
                <w:szCs w:val="21"/>
              </w:rPr>
            </w:pPr>
            <w:r>
              <w:rPr>
                <w:kern w:val="0"/>
                <w:szCs w:val="21"/>
                <w:lang w:bidi="ar"/>
              </w:rPr>
              <w:t>球场位置1单元</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5AD002B">
            <w:pPr>
              <w:widowControl/>
              <w:jc w:val="center"/>
              <w:textAlignment w:val="center"/>
              <w:rPr>
                <w:szCs w:val="21"/>
              </w:rPr>
            </w:pPr>
            <w:r>
              <w:rPr>
                <w:kern w:val="0"/>
                <w:szCs w:val="21"/>
                <w:lang w:bidi="ar"/>
              </w:rPr>
              <w:t>326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1A6827B">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46F57F3">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F45F046">
            <w:pPr>
              <w:widowControl/>
              <w:jc w:val="center"/>
              <w:textAlignment w:val="center"/>
              <w:rPr>
                <w:szCs w:val="21"/>
              </w:rPr>
            </w:pPr>
            <w:r>
              <w:rPr>
                <w:kern w:val="0"/>
                <w:szCs w:val="21"/>
                <w:lang w:bidi="ar"/>
              </w:rPr>
              <w:t>0.36</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3A0D449A">
            <w:pPr>
              <w:widowControl/>
              <w:jc w:val="center"/>
              <w:textAlignment w:val="center"/>
              <w:rPr>
                <w:szCs w:val="21"/>
              </w:rPr>
            </w:pPr>
            <w:r>
              <w:rPr>
                <w:kern w:val="0"/>
                <w:szCs w:val="21"/>
                <w:lang w:bidi="ar"/>
              </w:rPr>
              <w:t>1.86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365EFC3">
            <w:pPr>
              <w:widowControl/>
              <w:jc w:val="center"/>
              <w:textAlignment w:val="center"/>
              <w:rPr>
                <w:szCs w:val="21"/>
              </w:rPr>
            </w:pPr>
            <w:r>
              <w:rPr>
                <w:kern w:val="0"/>
                <w:szCs w:val="21"/>
                <w:lang w:bidi="ar"/>
              </w:rPr>
              <w:t>520.86</w:t>
            </w:r>
          </w:p>
        </w:tc>
      </w:tr>
      <w:tr w14:paraId="0CA8464C">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7928BE84">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34FC872">
            <w:pPr>
              <w:widowControl/>
              <w:jc w:val="center"/>
              <w:textAlignment w:val="center"/>
              <w:rPr>
                <w:szCs w:val="21"/>
              </w:rPr>
            </w:pPr>
            <w:r>
              <w:rPr>
                <w:kern w:val="0"/>
                <w:szCs w:val="21"/>
                <w:lang w:bidi="ar"/>
              </w:rPr>
              <w:t>球场位置2单元</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154E2291">
            <w:pPr>
              <w:widowControl/>
              <w:jc w:val="center"/>
              <w:textAlignment w:val="center"/>
              <w:rPr>
                <w:szCs w:val="21"/>
              </w:rPr>
            </w:pPr>
            <w:r>
              <w:rPr>
                <w:kern w:val="0"/>
                <w:szCs w:val="21"/>
                <w:lang w:bidi="ar"/>
              </w:rPr>
              <w:t>268</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56E4EF7">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D029DAD">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377F373">
            <w:pPr>
              <w:widowControl/>
              <w:jc w:val="center"/>
              <w:textAlignment w:val="center"/>
              <w:rPr>
                <w:szCs w:val="21"/>
              </w:rPr>
            </w:pPr>
            <w:r>
              <w:rPr>
                <w:kern w:val="0"/>
                <w:szCs w:val="21"/>
                <w:lang w:bidi="ar"/>
              </w:rPr>
              <w:t>0.30</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6181D9B">
            <w:pPr>
              <w:widowControl/>
              <w:jc w:val="center"/>
              <w:textAlignment w:val="center"/>
              <w:rPr>
                <w:szCs w:val="21"/>
              </w:rPr>
            </w:pPr>
            <w:r>
              <w:rPr>
                <w:kern w:val="0"/>
                <w:szCs w:val="21"/>
                <w:lang w:bidi="ar"/>
              </w:rPr>
              <w:t>1.53</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8092D6B">
            <w:pPr>
              <w:widowControl/>
              <w:jc w:val="center"/>
              <w:textAlignment w:val="center"/>
              <w:rPr>
                <w:szCs w:val="21"/>
              </w:rPr>
            </w:pPr>
            <w:r>
              <w:rPr>
                <w:kern w:val="0"/>
                <w:szCs w:val="21"/>
                <w:lang w:bidi="ar"/>
              </w:rPr>
              <w:t>428.46</w:t>
            </w:r>
          </w:p>
        </w:tc>
      </w:tr>
      <w:tr w14:paraId="3D653928">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6133CCDF">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82D09A0">
            <w:pPr>
              <w:widowControl/>
              <w:jc w:val="center"/>
              <w:textAlignment w:val="center"/>
              <w:rPr>
                <w:szCs w:val="21"/>
              </w:rPr>
            </w:pPr>
            <w:r>
              <w:rPr>
                <w:kern w:val="0"/>
                <w:szCs w:val="21"/>
                <w:lang w:bidi="ar"/>
              </w:rPr>
              <w:t>球场位置3单元</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1606C5B9">
            <w:pPr>
              <w:widowControl/>
              <w:jc w:val="center"/>
              <w:textAlignment w:val="center"/>
              <w:rPr>
                <w:szCs w:val="21"/>
              </w:rPr>
            </w:pPr>
            <w:r>
              <w:rPr>
                <w:kern w:val="0"/>
                <w:szCs w:val="21"/>
                <w:lang w:bidi="ar"/>
              </w:rPr>
              <w:t>287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CB38451">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011FE0E">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54CC27E">
            <w:pPr>
              <w:widowControl/>
              <w:jc w:val="center"/>
              <w:textAlignment w:val="center"/>
              <w:rPr>
                <w:szCs w:val="21"/>
              </w:rPr>
            </w:pPr>
            <w:r>
              <w:rPr>
                <w:kern w:val="0"/>
                <w:szCs w:val="21"/>
                <w:lang w:bidi="ar"/>
              </w:rPr>
              <w:t>0.32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291BECF">
            <w:pPr>
              <w:widowControl/>
              <w:jc w:val="center"/>
              <w:textAlignment w:val="center"/>
              <w:rPr>
                <w:szCs w:val="21"/>
              </w:rPr>
            </w:pPr>
            <w:r>
              <w:rPr>
                <w:kern w:val="0"/>
                <w:szCs w:val="21"/>
                <w:lang w:bidi="ar"/>
              </w:rPr>
              <w:t>1.63</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0664D0E4">
            <w:pPr>
              <w:widowControl/>
              <w:jc w:val="center"/>
              <w:textAlignment w:val="center"/>
              <w:rPr>
                <w:szCs w:val="21"/>
              </w:rPr>
            </w:pPr>
            <w:r>
              <w:rPr>
                <w:kern w:val="0"/>
                <w:szCs w:val="21"/>
                <w:lang w:bidi="ar"/>
              </w:rPr>
              <w:t>457.59</w:t>
            </w:r>
          </w:p>
        </w:tc>
      </w:tr>
      <w:tr w14:paraId="00A98770">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7CD168C7">
            <w:pPr>
              <w:widowControl/>
              <w:jc w:val="center"/>
              <w:textAlignment w:val="center"/>
              <w:rPr>
                <w:szCs w:val="21"/>
              </w:rPr>
            </w:pPr>
            <w:r>
              <w:rPr>
                <w:kern w:val="0"/>
                <w:szCs w:val="21"/>
                <w:lang w:bidi="ar"/>
              </w:rPr>
              <w:t>3号地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093BE98">
            <w:pPr>
              <w:widowControl/>
              <w:jc w:val="center"/>
              <w:textAlignment w:val="center"/>
              <w:rPr>
                <w:szCs w:val="21"/>
              </w:rPr>
            </w:pPr>
            <w:r>
              <w:rPr>
                <w:kern w:val="0"/>
                <w:szCs w:val="21"/>
                <w:lang w:bidi="ar"/>
              </w:rPr>
              <w:t>老井位置1号舍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CC870CA">
            <w:pPr>
              <w:widowControl/>
              <w:jc w:val="center"/>
              <w:textAlignment w:val="center"/>
              <w:rPr>
                <w:szCs w:val="21"/>
              </w:rPr>
            </w:pPr>
            <w:r>
              <w:rPr>
                <w:kern w:val="0"/>
                <w:szCs w:val="21"/>
                <w:lang w:bidi="ar"/>
              </w:rPr>
              <w:t>537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527A27E">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9C58836">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09563E2C">
            <w:pPr>
              <w:widowControl/>
              <w:jc w:val="center"/>
              <w:textAlignment w:val="center"/>
              <w:rPr>
                <w:szCs w:val="21"/>
              </w:rPr>
            </w:pPr>
            <w:r>
              <w:rPr>
                <w:kern w:val="0"/>
                <w:szCs w:val="21"/>
                <w:lang w:bidi="ar"/>
              </w:rPr>
              <w:t>0.59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3E9B725D">
            <w:pPr>
              <w:widowControl/>
              <w:jc w:val="center"/>
              <w:textAlignment w:val="center"/>
              <w:rPr>
                <w:szCs w:val="21"/>
              </w:rPr>
            </w:pPr>
            <w:r>
              <w:rPr>
                <w:kern w:val="0"/>
                <w:szCs w:val="21"/>
                <w:lang w:bidi="ar"/>
              </w:rPr>
              <w:t>3.06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3C68337F">
            <w:pPr>
              <w:widowControl/>
              <w:jc w:val="center"/>
              <w:textAlignment w:val="center"/>
              <w:rPr>
                <w:szCs w:val="21"/>
              </w:rPr>
            </w:pPr>
            <w:r>
              <w:rPr>
                <w:kern w:val="0"/>
                <w:szCs w:val="21"/>
                <w:lang w:bidi="ar"/>
              </w:rPr>
              <w:t>857.78</w:t>
            </w:r>
          </w:p>
        </w:tc>
      </w:tr>
      <w:tr w14:paraId="3F9FD58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0A9C8F47">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8CF45FD">
            <w:pPr>
              <w:widowControl/>
              <w:jc w:val="center"/>
              <w:textAlignment w:val="center"/>
              <w:rPr>
                <w:szCs w:val="21"/>
              </w:rPr>
            </w:pPr>
            <w:r>
              <w:rPr>
                <w:kern w:val="0"/>
                <w:szCs w:val="21"/>
                <w:lang w:bidi="ar"/>
              </w:rPr>
              <w:t>老井位置2号舍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047AD5A3">
            <w:pPr>
              <w:widowControl/>
              <w:jc w:val="center"/>
              <w:textAlignment w:val="center"/>
              <w:rPr>
                <w:szCs w:val="21"/>
              </w:rPr>
            </w:pPr>
            <w:r>
              <w:rPr>
                <w:kern w:val="0"/>
                <w:szCs w:val="21"/>
                <w:lang w:bidi="ar"/>
              </w:rPr>
              <w:t>537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8A1E21A">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E3AE3EA">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F567266">
            <w:pPr>
              <w:widowControl/>
              <w:jc w:val="center"/>
              <w:textAlignment w:val="center"/>
              <w:rPr>
                <w:szCs w:val="21"/>
              </w:rPr>
            </w:pPr>
            <w:r>
              <w:rPr>
                <w:kern w:val="0"/>
                <w:szCs w:val="21"/>
                <w:lang w:bidi="ar"/>
              </w:rPr>
              <w:t>0.59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54B2271">
            <w:pPr>
              <w:widowControl/>
              <w:jc w:val="center"/>
              <w:textAlignment w:val="center"/>
              <w:rPr>
                <w:szCs w:val="21"/>
              </w:rPr>
            </w:pPr>
            <w:r>
              <w:rPr>
                <w:kern w:val="0"/>
                <w:szCs w:val="21"/>
                <w:lang w:bidi="ar"/>
              </w:rPr>
              <w:t>3.06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3CA594F">
            <w:pPr>
              <w:widowControl/>
              <w:jc w:val="center"/>
              <w:textAlignment w:val="center"/>
              <w:rPr>
                <w:szCs w:val="21"/>
              </w:rPr>
            </w:pPr>
            <w:r>
              <w:rPr>
                <w:kern w:val="0"/>
                <w:szCs w:val="21"/>
                <w:lang w:bidi="ar"/>
              </w:rPr>
              <w:t>857.78</w:t>
            </w:r>
          </w:p>
        </w:tc>
      </w:tr>
      <w:tr w14:paraId="29FF32FC">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5B155FE2">
            <w:pPr>
              <w:widowControl/>
              <w:jc w:val="center"/>
              <w:textAlignment w:val="center"/>
              <w:rPr>
                <w:szCs w:val="21"/>
              </w:rPr>
            </w:pPr>
            <w:r>
              <w:rPr>
                <w:kern w:val="0"/>
                <w:szCs w:val="21"/>
                <w:lang w:bidi="ar"/>
              </w:rPr>
              <w:t>4号地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E06AE9A">
            <w:pPr>
              <w:widowControl/>
              <w:jc w:val="center"/>
              <w:textAlignment w:val="center"/>
              <w:rPr>
                <w:szCs w:val="21"/>
              </w:rPr>
            </w:pPr>
            <w:r>
              <w:rPr>
                <w:kern w:val="0"/>
                <w:szCs w:val="21"/>
                <w:lang w:bidi="ar"/>
              </w:rPr>
              <w:t>鑫旺板块1号舍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1740215F">
            <w:pPr>
              <w:widowControl/>
              <w:jc w:val="center"/>
              <w:textAlignment w:val="center"/>
              <w:rPr>
                <w:szCs w:val="21"/>
              </w:rPr>
            </w:pPr>
            <w:r>
              <w:rPr>
                <w:kern w:val="0"/>
                <w:szCs w:val="21"/>
                <w:lang w:bidi="ar"/>
              </w:rPr>
              <w:t>896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74AF3DE7">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43E05FC9">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291B608">
            <w:pPr>
              <w:widowControl/>
              <w:jc w:val="center"/>
              <w:textAlignment w:val="center"/>
              <w:rPr>
                <w:szCs w:val="21"/>
              </w:rPr>
            </w:pPr>
            <w:r>
              <w:rPr>
                <w:kern w:val="0"/>
                <w:szCs w:val="21"/>
                <w:lang w:bidi="ar"/>
              </w:rPr>
              <w:t>0.99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98F1159">
            <w:pPr>
              <w:widowControl/>
              <w:jc w:val="center"/>
              <w:textAlignment w:val="center"/>
              <w:rPr>
                <w:szCs w:val="21"/>
              </w:rPr>
            </w:pPr>
            <w:r>
              <w:rPr>
                <w:kern w:val="0"/>
                <w:szCs w:val="21"/>
                <w:lang w:bidi="ar"/>
              </w:rPr>
              <w:t>5.10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3F63D7DD">
            <w:pPr>
              <w:widowControl/>
              <w:jc w:val="center"/>
              <w:textAlignment w:val="center"/>
              <w:rPr>
                <w:szCs w:val="21"/>
              </w:rPr>
            </w:pPr>
            <w:r>
              <w:rPr>
                <w:kern w:val="0"/>
                <w:szCs w:val="21"/>
                <w:lang w:bidi="ar"/>
              </w:rPr>
              <w:t>1429.63</w:t>
            </w:r>
          </w:p>
        </w:tc>
      </w:tr>
      <w:tr w14:paraId="41A735D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74444988">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371FEEFC">
            <w:pPr>
              <w:widowControl/>
              <w:jc w:val="center"/>
              <w:textAlignment w:val="center"/>
              <w:rPr>
                <w:szCs w:val="21"/>
              </w:rPr>
            </w:pPr>
            <w:r>
              <w:rPr>
                <w:kern w:val="0"/>
                <w:szCs w:val="21"/>
                <w:lang w:bidi="ar"/>
              </w:rPr>
              <w:t>鑫旺板块2号舍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55729A6">
            <w:pPr>
              <w:widowControl/>
              <w:jc w:val="center"/>
              <w:textAlignment w:val="center"/>
              <w:rPr>
                <w:szCs w:val="21"/>
              </w:rPr>
            </w:pPr>
            <w:r>
              <w:rPr>
                <w:kern w:val="0"/>
                <w:szCs w:val="21"/>
                <w:lang w:bidi="ar"/>
              </w:rPr>
              <w:t>896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A4DA022">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DDAA33E">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6F4CB609">
            <w:pPr>
              <w:widowControl/>
              <w:jc w:val="center"/>
              <w:textAlignment w:val="center"/>
              <w:rPr>
                <w:szCs w:val="21"/>
              </w:rPr>
            </w:pPr>
            <w:r>
              <w:rPr>
                <w:kern w:val="0"/>
                <w:szCs w:val="21"/>
                <w:lang w:bidi="ar"/>
              </w:rPr>
              <w:t>0.99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6A055C85">
            <w:pPr>
              <w:widowControl/>
              <w:jc w:val="center"/>
              <w:textAlignment w:val="center"/>
              <w:rPr>
                <w:szCs w:val="21"/>
              </w:rPr>
            </w:pPr>
            <w:r>
              <w:rPr>
                <w:kern w:val="0"/>
                <w:szCs w:val="21"/>
                <w:lang w:bidi="ar"/>
              </w:rPr>
              <w:t>5.10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D20B008">
            <w:pPr>
              <w:widowControl/>
              <w:jc w:val="center"/>
              <w:textAlignment w:val="center"/>
              <w:rPr>
                <w:szCs w:val="21"/>
              </w:rPr>
            </w:pPr>
            <w:r>
              <w:rPr>
                <w:kern w:val="0"/>
                <w:szCs w:val="21"/>
                <w:lang w:bidi="ar"/>
              </w:rPr>
              <w:t>1429.63</w:t>
            </w:r>
          </w:p>
        </w:tc>
      </w:tr>
      <w:tr w14:paraId="1DC6376D">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5B1AC7D5">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85FBD52">
            <w:pPr>
              <w:widowControl/>
              <w:jc w:val="center"/>
              <w:textAlignment w:val="center"/>
              <w:rPr>
                <w:szCs w:val="21"/>
              </w:rPr>
            </w:pPr>
            <w:r>
              <w:rPr>
                <w:kern w:val="0"/>
                <w:szCs w:val="21"/>
                <w:lang w:bidi="ar"/>
              </w:rPr>
              <w:t>鑫旺板块3号舍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395AFB18">
            <w:pPr>
              <w:widowControl/>
              <w:jc w:val="center"/>
              <w:textAlignment w:val="center"/>
              <w:rPr>
                <w:szCs w:val="21"/>
              </w:rPr>
            </w:pPr>
            <w:r>
              <w:rPr>
                <w:kern w:val="0"/>
                <w:szCs w:val="21"/>
                <w:lang w:bidi="ar"/>
              </w:rPr>
              <w:t>824</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C7F424F">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8D8CCDA">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D40EFF6">
            <w:pPr>
              <w:widowControl/>
              <w:jc w:val="center"/>
              <w:textAlignment w:val="center"/>
              <w:rPr>
                <w:szCs w:val="21"/>
              </w:rPr>
            </w:pPr>
            <w:r>
              <w:rPr>
                <w:kern w:val="0"/>
                <w:szCs w:val="21"/>
                <w:lang w:bidi="ar"/>
              </w:rPr>
              <w:t>0.91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4A5054B">
            <w:pPr>
              <w:widowControl/>
              <w:jc w:val="center"/>
              <w:textAlignment w:val="center"/>
              <w:rPr>
                <w:szCs w:val="21"/>
              </w:rPr>
            </w:pPr>
            <w:r>
              <w:rPr>
                <w:kern w:val="0"/>
                <w:szCs w:val="21"/>
                <w:lang w:bidi="ar"/>
              </w:rPr>
              <w:t>4.70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85418D5">
            <w:pPr>
              <w:widowControl/>
              <w:jc w:val="center"/>
              <w:textAlignment w:val="center"/>
              <w:rPr>
                <w:szCs w:val="21"/>
              </w:rPr>
            </w:pPr>
            <w:r>
              <w:rPr>
                <w:kern w:val="0"/>
                <w:szCs w:val="21"/>
                <w:lang w:bidi="ar"/>
              </w:rPr>
              <w:t>1315.26</w:t>
            </w:r>
          </w:p>
        </w:tc>
      </w:tr>
      <w:tr w14:paraId="2F63C91A">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067BDB08">
            <w:pPr>
              <w:widowControl/>
              <w:jc w:val="center"/>
              <w:textAlignment w:val="center"/>
              <w:rPr>
                <w:szCs w:val="21"/>
              </w:rPr>
            </w:pPr>
            <w:r>
              <w:rPr>
                <w:kern w:val="0"/>
                <w:szCs w:val="21"/>
                <w:lang w:bidi="ar"/>
              </w:rPr>
              <w:t>5号地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7FBB79FA">
            <w:pPr>
              <w:widowControl/>
              <w:jc w:val="center"/>
              <w:textAlignment w:val="center"/>
              <w:rPr>
                <w:szCs w:val="21"/>
              </w:rPr>
            </w:pPr>
            <w:r>
              <w:rPr>
                <w:kern w:val="0"/>
                <w:szCs w:val="21"/>
                <w:lang w:bidi="ar"/>
              </w:rPr>
              <w:t>大河边篮球场位置猪舍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C3F7A38">
            <w:pPr>
              <w:widowControl/>
              <w:jc w:val="center"/>
              <w:textAlignment w:val="center"/>
              <w:rPr>
                <w:szCs w:val="21"/>
              </w:rPr>
            </w:pPr>
            <w:r>
              <w:rPr>
                <w:kern w:val="0"/>
                <w:szCs w:val="21"/>
                <w:lang w:bidi="ar"/>
              </w:rPr>
              <w:t>742</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12ED4D7">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499215C">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0E60DD7C">
            <w:pPr>
              <w:widowControl/>
              <w:jc w:val="center"/>
              <w:textAlignment w:val="center"/>
              <w:rPr>
                <w:szCs w:val="21"/>
              </w:rPr>
            </w:pPr>
            <w:r>
              <w:rPr>
                <w:kern w:val="0"/>
                <w:szCs w:val="21"/>
                <w:lang w:bidi="ar"/>
              </w:rPr>
              <w:t>0.82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5B192E3">
            <w:pPr>
              <w:widowControl/>
              <w:jc w:val="center"/>
              <w:textAlignment w:val="center"/>
              <w:rPr>
                <w:szCs w:val="21"/>
              </w:rPr>
            </w:pPr>
            <w:r>
              <w:rPr>
                <w:kern w:val="0"/>
                <w:szCs w:val="21"/>
                <w:lang w:bidi="ar"/>
              </w:rPr>
              <w:t>4.23</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29E4F998">
            <w:pPr>
              <w:widowControl/>
              <w:jc w:val="center"/>
              <w:textAlignment w:val="center"/>
              <w:rPr>
                <w:szCs w:val="21"/>
              </w:rPr>
            </w:pPr>
            <w:r>
              <w:rPr>
                <w:kern w:val="0"/>
                <w:szCs w:val="21"/>
                <w:lang w:bidi="ar"/>
              </w:rPr>
              <w:t>1183.83</w:t>
            </w:r>
          </w:p>
        </w:tc>
      </w:tr>
      <w:tr w14:paraId="33A36C5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05343F9B">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D1AD16F">
            <w:pPr>
              <w:widowControl/>
              <w:jc w:val="center"/>
              <w:textAlignment w:val="center"/>
              <w:rPr>
                <w:szCs w:val="21"/>
              </w:rPr>
            </w:pPr>
            <w:r>
              <w:rPr>
                <w:kern w:val="0"/>
                <w:szCs w:val="21"/>
                <w:lang w:bidi="ar"/>
              </w:rPr>
              <w:t>大河边上煤仓位置1号舍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5BF5C8C">
            <w:pPr>
              <w:widowControl/>
              <w:jc w:val="center"/>
              <w:textAlignment w:val="center"/>
              <w:rPr>
                <w:szCs w:val="21"/>
              </w:rPr>
            </w:pPr>
            <w:r>
              <w:rPr>
                <w:kern w:val="0"/>
                <w:szCs w:val="21"/>
                <w:lang w:bidi="ar"/>
              </w:rPr>
              <w:t>305</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7A47C75">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0C9236E">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16ECCF5">
            <w:pPr>
              <w:widowControl/>
              <w:jc w:val="center"/>
              <w:textAlignment w:val="center"/>
              <w:rPr>
                <w:szCs w:val="21"/>
              </w:rPr>
            </w:pPr>
            <w:r>
              <w:rPr>
                <w:kern w:val="0"/>
                <w:szCs w:val="21"/>
                <w:lang w:bidi="ar"/>
              </w:rPr>
              <w:t>0.34</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AE51789">
            <w:pPr>
              <w:widowControl/>
              <w:jc w:val="center"/>
              <w:textAlignment w:val="center"/>
              <w:rPr>
                <w:szCs w:val="21"/>
              </w:rPr>
            </w:pPr>
            <w:r>
              <w:rPr>
                <w:kern w:val="0"/>
                <w:szCs w:val="21"/>
                <w:lang w:bidi="ar"/>
              </w:rPr>
              <w:t>1.74</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2FE1C7AA">
            <w:pPr>
              <w:widowControl/>
              <w:jc w:val="center"/>
              <w:textAlignment w:val="center"/>
              <w:rPr>
                <w:szCs w:val="21"/>
              </w:rPr>
            </w:pPr>
            <w:r>
              <w:rPr>
                <w:kern w:val="0"/>
                <w:szCs w:val="21"/>
                <w:lang w:bidi="ar"/>
              </w:rPr>
              <w:t>487.46</w:t>
            </w:r>
          </w:p>
        </w:tc>
      </w:tr>
      <w:tr w14:paraId="02073BB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30946EC4">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294F9CB1">
            <w:pPr>
              <w:widowControl/>
              <w:jc w:val="center"/>
              <w:textAlignment w:val="center"/>
              <w:rPr>
                <w:szCs w:val="21"/>
              </w:rPr>
            </w:pPr>
            <w:r>
              <w:rPr>
                <w:kern w:val="0"/>
                <w:szCs w:val="21"/>
                <w:lang w:bidi="ar"/>
              </w:rPr>
              <w:t>大河边上煤仓位置2号舍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24A59836">
            <w:pPr>
              <w:widowControl/>
              <w:jc w:val="center"/>
              <w:textAlignment w:val="center"/>
              <w:rPr>
                <w:szCs w:val="21"/>
              </w:rPr>
            </w:pPr>
            <w:r>
              <w:rPr>
                <w:kern w:val="0"/>
                <w:szCs w:val="21"/>
                <w:lang w:bidi="ar"/>
              </w:rPr>
              <w:t>473</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D3999B1">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4D137302">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353C0C4">
            <w:pPr>
              <w:widowControl/>
              <w:jc w:val="center"/>
              <w:textAlignment w:val="center"/>
              <w:rPr>
                <w:szCs w:val="21"/>
              </w:rPr>
            </w:pPr>
            <w:r>
              <w:rPr>
                <w:kern w:val="0"/>
                <w:szCs w:val="21"/>
                <w:lang w:bidi="ar"/>
              </w:rPr>
              <w:t>0.52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C628356">
            <w:pPr>
              <w:widowControl/>
              <w:jc w:val="center"/>
              <w:textAlignment w:val="center"/>
              <w:rPr>
                <w:szCs w:val="21"/>
              </w:rPr>
            </w:pPr>
            <w:r>
              <w:rPr>
                <w:kern w:val="0"/>
                <w:szCs w:val="21"/>
                <w:lang w:bidi="ar"/>
              </w:rPr>
              <w:t>2.69</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2BCAA0A">
            <w:pPr>
              <w:widowControl/>
              <w:jc w:val="center"/>
              <w:textAlignment w:val="center"/>
              <w:rPr>
                <w:szCs w:val="21"/>
              </w:rPr>
            </w:pPr>
            <w:r>
              <w:rPr>
                <w:kern w:val="0"/>
                <w:szCs w:val="21"/>
                <w:lang w:bidi="ar"/>
              </w:rPr>
              <w:t>754.78</w:t>
            </w:r>
          </w:p>
        </w:tc>
      </w:tr>
      <w:tr w14:paraId="11365340">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4DF768EF">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6FFA5C9">
            <w:pPr>
              <w:widowControl/>
              <w:jc w:val="center"/>
              <w:textAlignment w:val="center"/>
              <w:rPr>
                <w:szCs w:val="21"/>
              </w:rPr>
            </w:pPr>
            <w:r>
              <w:rPr>
                <w:kern w:val="0"/>
                <w:szCs w:val="21"/>
                <w:lang w:bidi="ar"/>
              </w:rPr>
              <w:t>大河边下煤仓位置猪舍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0E100C21">
            <w:pPr>
              <w:widowControl/>
              <w:jc w:val="center"/>
              <w:textAlignment w:val="center"/>
              <w:rPr>
                <w:szCs w:val="21"/>
              </w:rPr>
            </w:pPr>
            <w:r>
              <w:rPr>
                <w:kern w:val="0"/>
                <w:szCs w:val="21"/>
                <w:lang w:bidi="ar"/>
              </w:rPr>
              <w:t>529</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EAB107B">
            <w:pPr>
              <w:widowControl/>
              <w:jc w:val="center"/>
              <w:textAlignment w:val="center"/>
              <w:rPr>
                <w:szCs w:val="21"/>
              </w:rPr>
            </w:pPr>
            <w:r>
              <w:rPr>
                <w:kern w:val="0"/>
                <w:szCs w:val="21"/>
                <w:lang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BB82753">
            <w:pPr>
              <w:widowControl/>
              <w:jc w:val="center"/>
              <w:textAlignment w:val="center"/>
              <w:rPr>
                <w:szCs w:val="21"/>
              </w:rPr>
            </w:pPr>
            <w:r>
              <w:rPr>
                <w:kern w:val="0"/>
                <w:szCs w:val="21"/>
                <w:lang w:bidi="ar"/>
              </w:rPr>
              <w:t>5.7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62201C7A">
            <w:pPr>
              <w:widowControl/>
              <w:jc w:val="center"/>
              <w:textAlignment w:val="center"/>
              <w:rPr>
                <w:szCs w:val="21"/>
              </w:rPr>
            </w:pPr>
            <w:r>
              <w:rPr>
                <w:kern w:val="0"/>
                <w:szCs w:val="21"/>
                <w:lang w:bidi="ar"/>
              </w:rPr>
              <w:t>0.58</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73F08970">
            <w:pPr>
              <w:widowControl/>
              <w:jc w:val="center"/>
              <w:textAlignment w:val="center"/>
              <w:rPr>
                <w:szCs w:val="21"/>
              </w:rPr>
            </w:pPr>
            <w:r>
              <w:rPr>
                <w:kern w:val="0"/>
                <w:szCs w:val="21"/>
                <w:lang w:bidi="ar"/>
              </w:rPr>
              <w:t>3.01</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90DEE25">
            <w:pPr>
              <w:widowControl/>
              <w:jc w:val="center"/>
              <w:textAlignment w:val="center"/>
              <w:rPr>
                <w:szCs w:val="21"/>
              </w:rPr>
            </w:pPr>
            <w:r>
              <w:rPr>
                <w:kern w:val="0"/>
                <w:szCs w:val="21"/>
                <w:lang w:bidi="ar"/>
              </w:rPr>
              <w:t>843.89</w:t>
            </w:r>
          </w:p>
        </w:tc>
      </w:tr>
      <w:tr w14:paraId="47F780B3">
        <w:tblPrEx>
          <w:tblCellMar>
            <w:top w:w="0" w:type="dxa"/>
            <w:left w:w="108" w:type="dxa"/>
            <w:bottom w:w="0" w:type="dxa"/>
            <w:right w:w="108" w:type="dxa"/>
          </w:tblCellMar>
        </w:tblPrEx>
        <w:trPr>
          <w:trHeight w:val="285" w:hRule="atLeast"/>
        </w:trPr>
        <w:tc>
          <w:tcPr>
            <w:tcW w:w="1485" w:type="pct"/>
            <w:gridSpan w:val="2"/>
            <w:tcBorders>
              <w:top w:val="single" w:color="000000" w:sz="4" w:space="0"/>
              <w:left w:val="single" w:color="000000" w:sz="4" w:space="0"/>
              <w:bottom w:val="single" w:color="000000" w:sz="4" w:space="0"/>
              <w:right w:val="single" w:color="000000" w:sz="4" w:space="0"/>
            </w:tcBorders>
            <w:noWrap/>
            <w:vAlign w:val="center"/>
          </w:tcPr>
          <w:p w14:paraId="21CD86F8">
            <w:pPr>
              <w:jc w:val="center"/>
              <w:rPr>
                <w:szCs w:val="21"/>
              </w:rPr>
            </w:pPr>
            <w:r>
              <w:rPr>
                <w:szCs w:val="21"/>
              </w:rPr>
              <w:t>合计</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2BA2A660">
            <w:pPr>
              <w:widowControl/>
              <w:jc w:val="center"/>
              <w:textAlignment w:val="center"/>
              <w:rPr>
                <w:szCs w:val="21"/>
              </w:rPr>
            </w:pPr>
            <w:r>
              <w:rPr>
                <w:kern w:val="0"/>
                <w:szCs w:val="21"/>
                <w:lang w:bidi="ar"/>
              </w:rPr>
              <w:t>9300</w:t>
            </w:r>
          </w:p>
        </w:tc>
        <w:tc>
          <w:tcPr>
            <w:tcW w:w="439" w:type="pct"/>
            <w:tcBorders>
              <w:top w:val="single" w:color="000000" w:sz="4" w:space="0"/>
              <w:left w:val="single" w:color="000000" w:sz="4" w:space="0"/>
              <w:bottom w:val="single" w:color="000000" w:sz="4" w:space="0"/>
              <w:right w:val="single" w:color="000000" w:sz="4" w:space="0"/>
            </w:tcBorders>
            <w:noWrap/>
            <w:vAlign w:val="center"/>
          </w:tcPr>
          <w:p w14:paraId="5DF683C7">
            <w:pPr>
              <w:jc w:val="center"/>
              <w:rPr>
                <w:szCs w:val="21"/>
              </w:rPr>
            </w:pPr>
            <w:r>
              <w:rPr>
                <w:szCs w:val="21"/>
              </w:rPr>
              <w:t>/</w:t>
            </w:r>
          </w:p>
        </w:tc>
        <w:tc>
          <w:tcPr>
            <w:tcW w:w="439" w:type="pct"/>
            <w:tcBorders>
              <w:top w:val="single" w:color="000000" w:sz="4" w:space="0"/>
              <w:left w:val="single" w:color="000000" w:sz="4" w:space="0"/>
              <w:bottom w:val="single" w:color="000000" w:sz="4" w:space="0"/>
              <w:right w:val="single" w:color="000000" w:sz="4" w:space="0"/>
            </w:tcBorders>
            <w:noWrap/>
            <w:vAlign w:val="center"/>
          </w:tcPr>
          <w:p w14:paraId="418FE546">
            <w:pPr>
              <w:jc w:val="center"/>
              <w:rPr>
                <w:szCs w:val="21"/>
              </w:rPr>
            </w:pPr>
            <w:r>
              <w:rPr>
                <w:szCs w:val="21"/>
              </w:rPr>
              <w:t>/</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1FB9C98">
            <w:pPr>
              <w:widowControl/>
              <w:jc w:val="center"/>
              <w:textAlignment w:val="center"/>
              <w:rPr>
                <w:szCs w:val="21"/>
              </w:rPr>
            </w:pPr>
            <w:r>
              <w:rPr>
                <w:kern w:val="0"/>
                <w:szCs w:val="21"/>
                <w:lang w:bidi="ar"/>
              </w:rPr>
              <w:t>10.23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8F48536">
            <w:pPr>
              <w:widowControl/>
              <w:jc w:val="center"/>
              <w:textAlignment w:val="center"/>
              <w:rPr>
                <w:szCs w:val="21"/>
              </w:rPr>
            </w:pPr>
            <w:r>
              <w:rPr>
                <w:kern w:val="0"/>
                <w:szCs w:val="21"/>
                <w:lang w:bidi="ar"/>
              </w:rPr>
              <w:t>53.01</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2C9AA85C">
            <w:pPr>
              <w:widowControl/>
              <w:jc w:val="center"/>
              <w:textAlignment w:val="center"/>
              <w:rPr>
                <w:szCs w:val="21"/>
              </w:rPr>
            </w:pPr>
            <w:r>
              <w:rPr>
                <w:kern w:val="0"/>
                <w:szCs w:val="21"/>
                <w:lang w:bidi="ar"/>
              </w:rPr>
              <w:t>14846.52</w:t>
            </w:r>
          </w:p>
        </w:tc>
      </w:tr>
    </w:tbl>
    <w:p w14:paraId="54EC9A7C">
      <w:pPr>
        <w:ind w:firstLine="461"/>
        <w:rPr>
          <w:b/>
          <w:kern w:val="0"/>
          <w:szCs w:val="21"/>
        </w:rPr>
        <w:sectPr>
          <w:pgSz w:w="16838" w:h="11906" w:orient="landscape"/>
          <w:pgMar w:top="1797" w:right="1440" w:bottom="1797" w:left="1361" w:header="851" w:footer="992" w:gutter="0"/>
          <w:cols w:space="720" w:num="1"/>
          <w:docGrid w:linePitch="312" w:charSpace="0"/>
        </w:sectPr>
      </w:pPr>
      <w:r>
        <w:rPr>
          <w:b/>
          <w:kern w:val="0"/>
          <w:szCs w:val="21"/>
        </w:rPr>
        <w:t>注：保育猪按每批次养殖40d计算；育肥猪按每批次养殖100d计算；全年按养殖2.6批次计算；</w:t>
      </w:r>
    </w:p>
    <w:p w14:paraId="20E4F198">
      <w:pPr>
        <w:ind w:firstLine="461"/>
        <w:jc w:val="center"/>
        <w:rPr>
          <w:b/>
          <w:kern w:val="0"/>
          <w:szCs w:val="21"/>
        </w:rPr>
      </w:pPr>
      <w:r>
        <w:rPr>
          <w:b/>
          <w:kern w:val="0"/>
          <w:szCs w:val="21"/>
        </w:rPr>
        <w:t>表3.4-2   猪舍H</w:t>
      </w:r>
      <w:r>
        <w:rPr>
          <w:b/>
          <w:kern w:val="0"/>
          <w:szCs w:val="21"/>
          <w:vertAlign w:val="subscript"/>
        </w:rPr>
        <w:t>2</w:t>
      </w:r>
      <w:r>
        <w:rPr>
          <w:b/>
          <w:kern w:val="0"/>
          <w:szCs w:val="21"/>
        </w:rPr>
        <w:t>S产生量预计</w:t>
      </w:r>
    </w:p>
    <w:tbl>
      <w:tblPr>
        <w:tblStyle w:val="87"/>
        <w:tblW w:w="4998" w:type="pct"/>
        <w:tblInd w:w="0" w:type="dxa"/>
        <w:tblLayout w:type="autofit"/>
        <w:tblCellMar>
          <w:top w:w="0" w:type="dxa"/>
          <w:left w:w="108" w:type="dxa"/>
          <w:bottom w:w="0" w:type="dxa"/>
          <w:right w:w="108" w:type="dxa"/>
        </w:tblCellMar>
      </w:tblPr>
      <w:tblGrid>
        <w:gridCol w:w="1266"/>
        <w:gridCol w:w="2968"/>
        <w:gridCol w:w="2235"/>
        <w:gridCol w:w="1252"/>
        <w:gridCol w:w="1255"/>
        <w:gridCol w:w="1756"/>
        <w:gridCol w:w="1753"/>
        <w:gridCol w:w="1762"/>
      </w:tblGrid>
      <w:tr w14:paraId="0193BC59">
        <w:trPr>
          <w:trHeight w:val="765" w:hRule="atLeast"/>
        </w:trPr>
        <w:tc>
          <w:tcPr>
            <w:tcW w:w="444" w:type="pct"/>
            <w:tcBorders>
              <w:top w:val="single" w:color="000000" w:sz="4" w:space="0"/>
              <w:left w:val="single" w:color="000000" w:sz="4" w:space="0"/>
              <w:bottom w:val="single" w:color="000000" w:sz="4" w:space="0"/>
              <w:right w:val="single" w:color="000000" w:sz="4" w:space="0"/>
            </w:tcBorders>
            <w:noWrap/>
            <w:vAlign w:val="center"/>
          </w:tcPr>
          <w:p w14:paraId="0661C9D2">
            <w:pPr>
              <w:jc w:val="center"/>
              <w:rPr>
                <w:szCs w:val="21"/>
              </w:rPr>
            </w:pPr>
            <w:r>
              <w:rPr>
                <w:szCs w:val="21"/>
              </w:rPr>
              <w:t>地块</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4118D121">
            <w:pPr>
              <w:jc w:val="center"/>
              <w:rPr>
                <w:szCs w:val="21"/>
              </w:rPr>
            </w:pPr>
            <w:r>
              <w:rPr>
                <w:szCs w:val="21"/>
              </w:rPr>
              <w:t>猪舍位置</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301D083C">
            <w:pPr>
              <w:widowControl/>
              <w:jc w:val="center"/>
              <w:textAlignment w:val="center"/>
              <w:rPr>
                <w:szCs w:val="21"/>
              </w:rPr>
            </w:pPr>
            <w:r>
              <w:rPr>
                <w:kern w:val="0"/>
                <w:szCs w:val="21"/>
                <w:lang w:bidi="ar"/>
              </w:rPr>
              <w:t>存栏数量（头）</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57561D2">
            <w:pPr>
              <w:widowControl/>
              <w:jc w:val="center"/>
              <w:textAlignment w:val="center"/>
              <w:rPr>
                <w:szCs w:val="21"/>
              </w:rPr>
            </w:pPr>
            <w:r>
              <w:rPr>
                <w:kern w:val="0"/>
                <w:szCs w:val="21"/>
                <w:lang w:bidi="ar"/>
              </w:rPr>
              <w:t>保育猪排放系数g/头.d</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308A19EB">
            <w:pPr>
              <w:widowControl/>
              <w:jc w:val="center"/>
              <w:textAlignment w:val="center"/>
              <w:rPr>
                <w:szCs w:val="21"/>
              </w:rPr>
            </w:pPr>
            <w:r>
              <w:rPr>
                <w:kern w:val="0"/>
                <w:szCs w:val="21"/>
                <w:lang w:bidi="ar"/>
              </w:rPr>
              <w:t>育肥猪排放系数g/头.d</w:t>
            </w:r>
          </w:p>
        </w:tc>
        <w:tc>
          <w:tcPr>
            <w:tcW w:w="616" w:type="pct"/>
            <w:tcBorders>
              <w:top w:val="single" w:color="000000" w:sz="4" w:space="0"/>
              <w:left w:val="single" w:color="000000" w:sz="4" w:space="0"/>
              <w:bottom w:val="single" w:color="000000" w:sz="4" w:space="0"/>
              <w:right w:val="single" w:color="000000" w:sz="4" w:space="0"/>
            </w:tcBorders>
            <w:noWrap w:val="0"/>
            <w:vAlign w:val="center"/>
          </w:tcPr>
          <w:p w14:paraId="252CB34B">
            <w:pPr>
              <w:widowControl/>
              <w:jc w:val="center"/>
              <w:textAlignment w:val="center"/>
              <w:rPr>
                <w:szCs w:val="21"/>
              </w:rPr>
            </w:pPr>
            <w:r>
              <w:rPr>
                <w:kern w:val="0"/>
                <w:szCs w:val="21"/>
                <w:lang w:bidi="ar"/>
              </w:rPr>
              <w:t>保育猪舍日产生量kg/d</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0156EBA">
            <w:pPr>
              <w:widowControl/>
              <w:jc w:val="center"/>
              <w:textAlignment w:val="center"/>
              <w:rPr>
                <w:szCs w:val="21"/>
              </w:rPr>
            </w:pPr>
            <w:r>
              <w:rPr>
                <w:kern w:val="0"/>
                <w:szCs w:val="21"/>
                <w:lang w:bidi="ar"/>
              </w:rPr>
              <w:t>育肥猪舍日产生量kg/d</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40E1AA40">
            <w:pPr>
              <w:widowControl/>
              <w:jc w:val="center"/>
              <w:textAlignment w:val="center"/>
              <w:rPr>
                <w:szCs w:val="21"/>
              </w:rPr>
            </w:pPr>
            <w:r>
              <w:rPr>
                <w:kern w:val="0"/>
                <w:szCs w:val="21"/>
                <w:lang w:bidi="ar"/>
              </w:rPr>
              <w:t>猪舍年产生量kg/a</w:t>
            </w:r>
          </w:p>
        </w:tc>
      </w:tr>
      <w:tr w14:paraId="6EF35824">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7F599BA2">
            <w:pPr>
              <w:widowControl/>
              <w:jc w:val="center"/>
              <w:textAlignment w:val="center"/>
              <w:rPr>
                <w:szCs w:val="21"/>
              </w:rPr>
            </w:pPr>
            <w:r>
              <w:rPr>
                <w:kern w:val="0"/>
                <w:szCs w:val="21"/>
                <w:lang w:bidi="ar"/>
              </w:rPr>
              <w:t>1号地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7D5C6095">
            <w:pPr>
              <w:widowControl/>
              <w:jc w:val="center"/>
              <w:textAlignment w:val="center"/>
              <w:rPr>
                <w:szCs w:val="21"/>
              </w:rPr>
            </w:pPr>
            <w:r>
              <w:rPr>
                <w:kern w:val="0"/>
                <w:szCs w:val="21"/>
                <w:lang w:bidi="ar"/>
              </w:rPr>
              <w:t>盛丰通风井位置1号舍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1DDAABCF">
            <w:pPr>
              <w:widowControl/>
              <w:jc w:val="center"/>
              <w:textAlignment w:val="center"/>
              <w:rPr>
                <w:szCs w:val="21"/>
              </w:rPr>
            </w:pPr>
            <w:r>
              <w:rPr>
                <w:kern w:val="0"/>
                <w:szCs w:val="21"/>
                <w:lang w:bidi="ar"/>
              </w:rPr>
              <w:t>828</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9D8A3DB">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05271B0B">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3EF0FA61">
            <w:pPr>
              <w:widowControl/>
              <w:jc w:val="center"/>
              <w:textAlignment w:val="center"/>
              <w:rPr>
                <w:szCs w:val="21"/>
              </w:rPr>
            </w:pPr>
            <w:r>
              <w:rPr>
                <w:kern w:val="0"/>
                <w:szCs w:val="21"/>
                <w:lang w:bidi="ar"/>
              </w:rPr>
              <w:t>0.21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E3D7DFF">
            <w:pPr>
              <w:widowControl/>
              <w:jc w:val="center"/>
              <w:textAlignment w:val="center"/>
              <w:rPr>
                <w:szCs w:val="21"/>
              </w:rPr>
            </w:pPr>
            <w:r>
              <w:rPr>
                <w:kern w:val="0"/>
                <w:szCs w:val="21"/>
                <w:lang w:bidi="ar"/>
              </w:rPr>
              <w:t>0.41</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7BAC71B3">
            <w:pPr>
              <w:widowControl/>
              <w:jc w:val="center"/>
              <w:textAlignment w:val="center"/>
              <w:rPr>
                <w:szCs w:val="21"/>
              </w:rPr>
            </w:pPr>
            <w:r>
              <w:rPr>
                <w:kern w:val="0"/>
                <w:szCs w:val="21"/>
                <w:lang w:bidi="ar"/>
              </w:rPr>
              <w:t>129.13</w:t>
            </w:r>
          </w:p>
        </w:tc>
      </w:tr>
      <w:tr w14:paraId="758939A2">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22ECB91D">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44135A03">
            <w:pPr>
              <w:widowControl/>
              <w:jc w:val="center"/>
              <w:textAlignment w:val="center"/>
              <w:rPr>
                <w:szCs w:val="21"/>
              </w:rPr>
            </w:pPr>
            <w:r>
              <w:rPr>
                <w:kern w:val="0"/>
                <w:szCs w:val="21"/>
                <w:lang w:bidi="ar"/>
              </w:rPr>
              <w:t>盛丰通风井位置2号舍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4BD0ABA7">
            <w:pPr>
              <w:widowControl/>
              <w:jc w:val="center"/>
              <w:textAlignment w:val="center"/>
              <w:rPr>
                <w:szCs w:val="21"/>
              </w:rPr>
            </w:pPr>
            <w:r>
              <w:rPr>
                <w:kern w:val="0"/>
                <w:szCs w:val="21"/>
                <w:lang w:bidi="ar"/>
              </w:rPr>
              <w:t>315</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47F1E98">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7147491A">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3A6A9628">
            <w:pPr>
              <w:widowControl/>
              <w:jc w:val="center"/>
              <w:textAlignment w:val="center"/>
              <w:rPr>
                <w:szCs w:val="21"/>
              </w:rPr>
            </w:pPr>
            <w:r>
              <w:rPr>
                <w:kern w:val="0"/>
                <w:szCs w:val="21"/>
                <w:lang w:bidi="ar"/>
              </w:rPr>
              <w:t>0.08</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B394DD6">
            <w:pPr>
              <w:widowControl/>
              <w:jc w:val="center"/>
              <w:textAlignment w:val="center"/>
              <w:rPr>
                <w:szCs w:val="21"/>
              </w:rPr>
            </w:pPr>
            <w:r>
              <w:rPr>
                <w:kern w:val="0"/>
                <w:szCs w:val="21"/>
                <w:lang w:bidi="ar"/>
              </w:rPr>
              <w:t>0.16</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765684F">
            <w:pPr>
              <w:widowControl/>
              <w:jc w:val="center"/>
              <w:textAlignment w:val="center"/>
              <w:rPr>
                <w:szCs w:val="21"/>
              </w:rPr>
            </w:pPr>
            <w:r>
              <w:rPr>
                <w:kern w:val="0"/>
                <w:szCs w:val="21"/>
                <w:lang w:bidi="ar"/>
              </w:rPr>
              <w:t>49.11</w:t>
            </w:r>
          </w:p>
        </w:tc>
      </w:tr>
      <w:tr w14:paraId="7B4A6D7F">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6518D055">
            <w:pPr>
              <w:widowControl/>
              <w:jc w:val="center"/>
              <w:textAlignment w:val="center"/>
              <w:rPr>
                <w:szCs w:val="21"/>
              </w:rPr>
            </w:pPr>
            <w:r>
              <w:rPr>
                <w:kern w:val="0"/>
                <w:szCs w:val="21"/>
                <w:lang w:bidi="ar"/>
              </w:rPr>
              <w:t>2号地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32EB9555">
            <w:pPr>
              <w:widowControl/>
              <w:jc w:val="center"/>
              <w:textAlignment w:val="center"/>
              <w:rPr>
                <w:szCs w:val="21"/>
              </w:rPr>
            </w:pPr>
            <w:r>
              <w:rPr>
                <w:kern w:val="0"/>
                <w:szCs w:val="21"/>
                <w:lang w:bidi="ar"/>
              </w:rPr>
              <w:t>盛丰焦化楼位置1号舍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2048EA5D">
            <w:pPr>
              <w:widowControl/>
              <w:jc w:val="center"/>
              <w:textAlignment w:val="center"/>
              <w:rPr>
                <w:szCs w:val="21"/>
              </w:rPr>
            </w:pPr>
            <w:r>
              <w:rPr>
                <w:kern w:val="0"/>
                <w:szCs w:val="21"/>
                <w:lang w:bidi="ar"/>
              </w:rPr>
              <w:t>643</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7FBF4BB">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675D2067">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39047E4E">
            <w:pPr>
              <w:widowControl/>
              <w:jc w:val="center"/>
              <w:textAlignment w:val="center"/>
              <w:rPr>
                <w:szCs w:val="21"/>
              </w:rPr>
            </w:pPr>
            <w:r>
              <w:rPr>
                <w:kern w:val="0"/>
                <w:szCs w:val="21"/>
                <w:lang w:bidi="ar"/>
              </w:rPr>
              <w:t>0.16</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0269FA1">
            <w:pPr>
              <w:widowControl/>
              <w:jc w:val="center"/>
              <w:textAlignment w:val="center"/>
              <w:rPr>
                <w:szCs w:val="21"/>
              </w:rPr>
            </w:pPr>
            <w:r>
              <w:rPr>
                <w:kern w:val="0"/>
                <w:szCs w:val="21"/>
                <w:lang w:bidi="ar"/>
              </w:rPr>
              <w:t>0.32</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2130C61">
            <w:pPr>
              <w:widowControl/>
              <w:jc w:val="center"/>
              <w:textAlignment w:val="center"/>
              <w:rPr>
                <w:szCs w:val="21"/>
              </w:rPr>
            </w:pPr>
            <w:r>
              <w:rPr>
                <w:kern w:val="0"/>
                <w:szCs w:val="21"/>
                <w:lang w:bidi="ar"/>
              </w:rPr>
              <w:t>100.26</w:t>
            </w:r>
          </w:p>
        </w:tc>
      </w:tr>
      <w:tr w14:paraId="0FB00089">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4BDD0050">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4D36EBF8">
            <w:pPr>
              <w:widowControl/>
              <w:jc w:val="center"/>
              <w:textAlignment w:val="center"/>
              <w:rPr>
                <w:szCs w:val="21"/>
              </w:rPr>
            </w:pPr>
            <w:r>
              <w:rPr>
                <w:kern w:val="0"/>
                <w:szCs w:val="21"/>
                <w:lang w:bidi="ar"/>
              </w:rPr>
              <w:t>盛丰焦化楼位置2号舍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7350F93C">
            <w:pPr>
              <w:widowControl/>
              <w:jc w:val="center"/>
              <w:textAlignment w:val="center"/>
              <w:rPr>
                <w:szCs w:val="21"/>
              </w:rPr>
            </w:pPr>
            <w:r>
              <w:rPr>
                <w:kern w:val="0"/>
                <w:szCs w:val="21"/>
                <w:lang w:bidi="ar"/>
              </w:rPr>
              <w:t>896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7AA6C12F">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6EFD3786">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0AFDB7EC">
            <w:pPr>
              <w:widowControl/>
              <w:jc w:val="center"/>
              <w:textAlignment w:val="center"/>
              <w:rPr>
                <w:szCs w:val="21"/>
              </w:rPr>
            </w:pPr>
            <w:r>
              <w:rPr>
                <w:kern w:val="0"/>
                <w:szCs w:val="21"/>
                <w:lang w:bidi="ar"/>
              </w:rPr>
              <w:t>0.22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63AA9476">
            <w:pPr>
              <w:widowControl/>
              <w:jc w:val="center"/>
              <w:textAlignment w:val="center"/>
              <w:rPr>
                <w:szCs w:val="21"/>
              </w:rPr>
            </w:pPr>
            <w:r>
              <w:rPr>
                <w:kern w:val="0"/>
                <w:szCs w:val="21"/>
                <w:lang w:bidi="ar"/>
              </w:rPr>
              <w:t>0.45</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DBD3C67">
            <w:pPr>
              <w:widowControl/>
              <w:jc w:val="center"/>
              <w:textAlignment w:val="center"/>
              <w:rPr>
                <w:szCs w:val="21"/>
              </w:rPr>
            </w:pPr>
            <w:r>
              <w:rPr>
                <w:kern w:val="0"/>
                <w:szCs w:val="21"/>
                <w:lang w:bidi="ar"/>
              </w:rPr>
              <w:t>139.70</w:t>
            </w:r>
          </w:p>
        </w:tc>
      </w:tr>
      <w:tr w14:paraId="34B6D652">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660B8FEE">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415F19EA">
            <w:pPr>
              <w:widowControl/>
              <w:jc w:val="center"/>
              <w:textAlignment w:val="center"/>
              <w:rPr>
                <w:szCs w:val="21"/>
              </w:rPr>
            </w:pPr>
            <w:r>
              <w:rPr>
                <w:kern w:val="0"/>
                <w:szCs w:val="21"/>
                <w:lang w:bidi="ar"/>
              </w:rPr>
              <w:t>球场位置1单元</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493F2FC2">
            <w:pPr>
              <w:widowControl/>
              <w:jc w:val="center"/>
              <w:textAlignment w:val="center"/>
              <w:rPr>
                <w:szCs w:val="21"/>
              </w:rPr>
            </w:pPr>
            <w:r>
              <w:rPr>
                <w:kern w:val="0"/>
                <w:szCs w:val="21"/>
                <w:lang w:bidi="ar"/>
              </w:rPr>
              <w:t>326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6633748">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521C4EC1">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72929B2B">
            <w:pPr>
              <w:widowControl/>
              <w:jc w:val="center"/>
              <w:textAlignment w:val="center"/>
              <w:rPr>
                <w:szCs w:val="21"/>
              </w:rPr>
            </w:pPr>
            <w:r>
              <w:rPr>
                <w:kern w:val="0"/>
                <w:szCs w:val="21"/>
                <w:lang w:bidi="ar"/>
              </w:rPr>
              <w:t>0.08</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6A25453">
            <w:pPr>
              <w:widowControl/>
              <w:jc w:val="center"/>
              <w:textAlignment w:val="center"/>
              <w:rPr>
                <w:szCs w:val="21"/>
              </w:rPr>
            </w:pPr>
            <w:r>
              <w:rPr>
                <w:kern w:val="0"/>
                <w:szCs w:val="21"/>
                <w:lang w:bidi="ar"/>
              </w:rPr>
              <w:t>0.16</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4482A673">
            <w:pPr>
              <w:widowControl/>
              <w:jc w:val="center"/>
              <w:textAlignment w:val="center"/>
              <w:rPr>
                <w:szCs w:val="21"/>
              </w:rPr>
            </w:pPr>
            <w:r>
              <w:rPr>
                <w:kern w:val="0"/>
                <w:szCs w:val="21"/>
                <w:lang w:bidi="ar"/>
              </w:rPr>
              <w:t>50.90</w:t>
            </w:r>
          </w:p>
        </w:tc>
      </w:tr>
      <w:tr w14:paraId="6F67BEDE">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501F9AC7">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22E74114">
            <w:pPr>
              <w:widowControl/>
              <w:jc w:val="center"/>
              <w:textAlignment w:val="center"/>
              <w:rPr>
                <w:szCs w:val="21"/>
              </w:rPr>
            </w:pPr>
            <w:r>
              <w:rPr>
                <w:kern w:val="0"/>
                <w:szCs w:val="21"/>
                <w:lang w:bidi="ar"/>
              </w:rPr>
              <w:t>球场位置2单元</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2712BE6A">
            <w:pPr>
              <w:widowControl/>
              <w:jc w:val="center"/>
              <w:textAlignment w:val="center"/>
              <w:rPr>
                <w:szCs w:val="21"/>
              </w:rPr>
            </w:pPr>
            <w:r>
              <w:rPr>
                <w:kern w:val="0"/>
                <w:szCs w:val="21"/>
                <w:lang w:bidi="ar"/>
              </w:rPr>
              <w:t>268</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7A59C69">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58096ECC">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06320BE7">
            <w:pPr>
              <w:widowControl/>
              <w:jc w:val="center"/>
              <w:textAlignment w:val="center"/>
              <w:rPr>
                <w:szCs w:val="21"/>
              </w:rPr>
            </w:pPr>
            <w:r>
              <w:rPr>
                <w:kern w:val="0"/>
                <w:szCs w:val="21"/>
                <w:lang w:bidi="ar"/>
              </w:rPr>
              <w:t>0.07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348B0579">
            <w:pPr>
              <w:widowControl/>
              <w:jc w:val="center"/>
              <w:textAlignment w:val="center"/>
              <w:rPr>
                <w:szCs w:val="21"/>
              </w:rPr>
            </w:pPr>
            <w:r>
              <w:rPr>
                <w:kern w:val="0"/>
                <w:szCs w:val="21"/>
                <w:lang w:bidi="ar"/>
              </w:rPr>
              <w:t>0.13</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7B746703">
            <w:pPr>
              <w:widowControl/>
              <w:jc w:val="center"/>
              <w:textAlignment w:val="center"/>
              <w:rPr>
                <w:szCs w:val="21"/>
              </w:rPr>
            </w:pPr>
            <w:r>
              <w:rPr>
                <w:kern w:val="0"/>
                <w:szCs w:val="21"/>
                <w:lang w:bidi="ar"/>
              </w:rPr>
              <w:t>41.87</w:t>
            </w:r>
          </w:p>
        </w:tc>
      </w:tr>
      <w:tr w14:paraId="4799DE64">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28EBABBD">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F345C02">
            <w:pPr>
              <w:widowControl/>
              <w:jc w:val="center"/>
              <w:textAlignment w:val="center"/>
              <w:rPr>
                <w:szCs w:val="21"/>
              </w:rPr>
            </w:pPr>
            <w:r>
              <w:rPr>
                <w:kern w:val="0"/>
                <w:szCs w:val="21"/>
                <w:lang w:bidi="ar"/>
              </w:rPr>
              <w:t>球场位置3单元</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13708055">
            <w:pPr>
              <w:widowControl/>
              <w:jc w:val="center"/>
              <w:textAlignment w:val="center"/>
              <w:rPr>
                <w:szCs w:val="21"/>
              </w:rPr>
            </w:pPr>
            <w:r>
              <w:rPr>
                <w:kern w:val="0"/>
                <w:szCs w:val="21"/>
                <w:lang w:bidi="ar"/>
              </w:rPr>
              <w:t>287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C649E6B">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31291DCC">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64FD2377">
            <w:pPr>
              <w:widowControl/>
              <w:jc w:val="center"/>
              <w:textAlignment w:val="center"/>
              <w:rPr>
                <w:szCs w:val="21"/>
              </w:rPr>
            </w:pPr>
            <w:r>
              <w:rPr>
                <w:kern w:val="0"/>
                <w:szCs w:val="21"/>
                <w:lang w:bidi="ar"/>
              </w:rPr>
              <w:t>0.07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2C454F5">
            <w:pPr>
              <w:widowControl/>
              <w:jc w:val="center"/>
              <w:textAlignment w:val="center"/>
              <w:rPr>
                <w:szCs w:val="21"/>
              </w:rPr>
            </w:pPr>
            <w:r>
              <w:rPr>
                <w:kern w:val="0"/>
                <w:szCs w:val="21"/>
                <w:lang w:bidi="ar"/>
              </w:rPr>
              <w:t>0.14</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298EBB16">
            <w:pPr>
              <w:widowControl/>
              <w:jc w:val="center"/>
              <w:textAlignment w:val="center"/>
              <w:rPr>
                <w:szCs w:val="21"/>
              </w:rPr>
            </w:pPr>
            <w:r>
              <w:rPr>
                <w:kern w:val="0"/>
                <w:szCs w:val="21"/>
                <w:lang w:bidi="ar"/>
              </w:rPr>
              <w:t>44.72</w:t>
            </w:r>
          </w:p>
        </w:tc>
      </w:tr>
      <w:tr w14:paraId="37C7DDAD">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4198270D">
            <w:pPr>
              <w:widowControl/>
              <w:jc w:val="center"/>
              <w:textAlignment w:val="center"/>
              <w:rPr>
                <w:szCs w:val="21"/>
              </w:rPr>
            </w:pPr>
            <w:r>
              <w:rPr>
                <w:kern w:val="0"/>
                <w:szCs w:val="21"/>
                <w:lang w:bidi="ar"/>
              </w:rPr>
              <w:t>3号地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8B2182E">
            <w:pPr>
              <w:widowControl/>
              <w:jc w:val="center"/>
              <w:textAlignment w:val="center"/>
              <w:rPr>
                <w:szCs w:val="21"/>
              </w:rPr>
            </w:pPr>
            <w:r>
              <w:rPr>
                <w:kern w:val="0"/>
                <w:szCs w:val="21"/>
                <w:lang w:bidi="ar"/>
              </w:rPr>
              <w:t>老井位置1号舍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5A22D531">
            <w:pPr>
              <w:widowControl/>
              <w:jc w:val="center"/>
              <w:textAlignment w:val="center"/>
              <w:rPr>
                <w:szCs w:val="21"/>
              </w:rPr>
            </w:pPr>
            <w:r>
              <w:rPr>
                <w:kern w:val="0"/>
                <w:szCs w:val="21"/>
                <w:lang w:bidi="ar"/>
              </w:rPr>
              <w:t>537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309456F">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70BA81B9">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6E012350">
            <w:pPr>
              <w:widowControl/>
              <w:jc w:val="center"/>
              <w:textAlignment w:val="center"/>
              <w:rPr>
                <w:szCs w:val="21"/>
              </w:rPr>
            </w:pPr>
            <w:r>
              <w:rPr>
                <w:kern w:val="0"/>
                <w:szCs w:val="21"/>
                <w:lang w:bidi="ar"/>
              </w:rPr>
              <w:t>0.13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0D53D4A">
            <w:pPr>
              <w:widowControl/>
              <w:jc w:val="center"/>
              <w:textAlignment w:val="center"/>
              <w:rPr>
                <w:szCs w:val="21"/>
              </w:rPr>
            </w:pPr>
            <w:r>
              <w:rPr>
                <w:kern w:val="0"/>
                <w:szCs w:val="21"/>
                <w:lang w:bidi="ar"/>
              </w:rPr>
              <w:t>0.27</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A4F4FDE">
            <w:pPr>
              <w:widowControl/>
              <w:jc w:val="center"/>
              <w:textAlignment w:val="center"/>
              <w:rPr>
                <w:szCs w:val="21"/>
              </w:rPr>
            </w:pPr>
            <w:r>
              <w:rPr>
                <w:kern w:val="0"/>
                <w:szCs w:val="21"/>
                <w:lang w:bidi="ar"/>
              </w:rPr>
              <w:t>83.82</w:t>
            </w:r>
          </w:p>
        </w:tc>
      </w:tr>
      <w:tr w14:paraId="5D66337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07289EE3">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A0A228A">
            <w:pPr>
              <w:widowControl/>
              <w:jc w:val="center"/>
              <w:textAlignment w:val="center"/>
              <w:rPr>
                <w:szCs w:val="21"/>
              </w:rPr>
            </w:pPr>
            <w:r>
              <w:rPr>
                <w:kern w:val="0"/>
                <w:szCs w:val="21"/>
                <w:lang w:bidi="ar"/>
              </w:rPr>
              <w:t>老井位置2号舍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41EF5D51">
            <w:pPr>
              <w:widowControl/>
              <w:jc w:val="center"/>
              <w:textAlignment w:val="center"/>
              <w:rPr>
                <w:szCs w:val="21"/>
              </w:rPr>
            </w:pPr>
            <w:r>
              <w:rPr>
                <w:kern w:val="0"/>
                <w:szCs w:val="21"/>
                <w:lang w:bidi="ar"/>
              </w:rPr>
              <w:t>537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FB989ED">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61571FEB">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40D07F0E">
            <w:pPr>
              <w:widowControl/>
              <w:jc w:val="center"/>
              <w:textAlignment w:val="center"/>
              <w:rPr>
                <w:szCs w:val="21"/>
              </w:rPr>
            </w:pPr>
            <w:r>
              <w:rPr>
                <w:kern w:val="0"/>
                <w:szCs w:val="21"/>
                <w:lang w:bidi="ar"/>
              </w:rPr>
              <w:t>0.13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5C703EC">
            <w:pPr>
              <w:widowControl/>
              <w:jc w:val="center"/>
              <w:textAlignment w:val="center"/>
              <w:rPr>
                <w:szCs w:val="21"/>
              </w:rPr>
            </w:pPr>
            <w:r>
              <w:rPr>
                <w:kern w:val="0"/>
                <w:szCs w:val="21"/>
                <w:lang w:bidi="ar"/>
              </w:rPr>
              <w:t>0.27</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4E12C239">
            <w:pPr>
              <w:widowControl/>
              <w:jc w:val="center"/>
              <w:textAlignment w:val="center"/>
              <w:rPr>
                <w:szCs w:val="21"/>
              </w:rPr>
            </w:pPr>
            <w:r>
              <w:rPr>
                <w:kern w:val="0"/>
                <w:szCs w:val="21"/>
                <w:lang w:bidi="ar"/>
              </w:rPr>
              <w:t>83.82</w:t>
            </w:r>
          </w:p>
        </w:tc>
      </w:tr>
      <w:tr w14:paraId="1DE7E0D4">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5A95ECD5">
            <w:pPr>
              <w:widowControl/>
              <w:jc w:val="center"/>
              <w:textAlignment w:val="center"/>
              <w:rPr>
                <w:szCs w:val="21"/>
              </w:rPr>
            </w:pPr>
            <w:r>
              <w:rPr>
                <w:kern w:val="0"/>
                <w:szCs w:val="21"/>
                <w:lang w:bidi="ar"/>
              </w:rPr>
              <w:t>4号地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2AFBF9ED">
            <w:pPr>
              <w:widowControl/>
              <w:jc w:val="center"/>
              <w:textAlignment w:val="center"/>
              <w:rPr>
                <w:szCs w:val="21"/>
              </w:rPr>
            </w:pPr>
            <w:r>
              <w:rPr>
                <w:kern w:val="0"/>
                <w:szCs w:val="21"/>
                <w:lang w:bidi="ar"/>
              </w:rPr>
              <w:t>鑫旺板块1号舍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3641B67A">
            <w:pPr>
              <w:widowControl/>
              <w:jc w:val="center"/>
              <w:textAlignment w:val="center"/>
              <w:rPr>
                <w:szCs w:val="21"/>
              </w:rPr>
            </w:pPr>
            <w:r>
              <w:rPr>
                <w:kern w:val="0"/>
                <w:szCs w:val="21"/>
                <w:lang w:bidi="ar"/>
              </w:rPr>
              <w:t>896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C72ED10">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4DF66FA4">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3F3D831F">
            <w:pPr>
              <w:widowControl/>
              <w:jc w:val="center"/>
              <w:textAlignment w:val="center"/>
              <w:rPr>
                <w:szCs w:val="21"/>
              </w:rPr>
            </w:pPr>
            <w:r>
              <w:rPr>
                <w:kern w:val="0"/>
                <w:szCs w:val="21"/>
                <w:lang w:bidi="ar"/>
              </w:rPr>
              <w:t>0.22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DA237E6">
            <w:pPr>
              <w:widowControl/>
              <w:jc w:val="center"/>
              <w:textAlignment w:val="center"/>
              <w:rPr>
                <w:szCs w:val="21"/>
              </w:rPr>
            </w:pPr>
            <w:r>
              <w:rPr>
                <w:kern w:val="0"/>
                <w:szCs w:val="21"/>
                <w:lang w:bidi="ar"/>
              </w:rPr>
              <w:t>0.45</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4BCDCFF9">
            <w:pPr>
              <w:widowControl/>
              <w:jc w:val="center"/>
              <w:textAlignment w:val="center"/>
              <w:rPr>
                <w:szCs w:val="21"/>
              </w:rPr>
            </w:pPr>
            <w:r>
              <w:rPr>
                <w:kern w:val="0"/>
                <w:szCs w:val="21"/>
                <w:lang w:bidi="ar"/>
              </w:rPr>
              <w:t>139.70</w:t>
            </w:r>
          </w:p>
        </w:tc>
      </w:tr>
      <w:tr w14:paraId="10CC45B5">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55B91218">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2F70B0F9">
            <w:pPr>
              <w:widowControl/>
              <w:jc w:val="center"/>
              <w:textAlignment w:val="center"/>
              <w:rPr>
                <w:szCs w:val="21"/>
              </w:rPr>
            </w:pPr>
            <w:r>
              <w:rPr>
                <w:kern w:val="0"/>
                <w:szCs w:val="21"/>
                <w:lang w:bidi="ar"/>
              </w:rPr>
              <w:t>鑫旺板块2号舍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088076F3">
            <w:pPr>
              <w:widowControl/>
              <w:jc w:val="center"/>
              <w:textAlignment w:val="center"/>
              <w:rPr>
                <w:szCs w:val="21"/>
              </w:rPr>
            </w:pPr>
            <w:r>
              <w:rPr>
                <w:kern w:val="0"/>
                <w:szCs w:val="21"/>
                <w:lang w:bidi="ar"/>
              </w:rPr>
              <w:t>896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71F78F7A">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77F37091">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7C5E770B">
            <w:pPr>
              <w:widowControl/>
              <w:jc w:val="center"/>
              <w:textAlignment w:val="center"/>
              <w:rPr>
                <w:szCs w:val="21"/>
              </w:rPr>
            </w:pPr>
            <w:r>
              <w:rPr>
                <w:kern w:val="0"/>
                <w:szCs w:val="21"/>
                <w:lang w:bidi="ar"/>
              </w:rPr>
              <w:t>0.22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8327F34">
            <w:pPr>
              <w:widowControl/>
              <w:jc w:val="center"/>
              <w:textAlignment w:val="center"/>
              <w:rPr>
                <w:szCs w:val="21"/>
              </w:rPr>
            </w:pPr>
            <w:r>
              <w:rPr>
                <w:kern w:val="0"/>
                <w:szCs w:val="21"/>
                <w:lang w:bidi="ar"/>
              </w:rPr>
              <w:t>0.45</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E964A09">
            <w:pPr>
              <w:widowControl/>
              <w:jc w:val="center"/>
              <w:textAlignment w:val="center"/>
              <w:rPr>
                <w:szCs w:val="21"/>
              </w:rPr>
            </w:pPr>
            <w:r>
              <w:rPr>
                <w:kern w:val="0"/>
                <w:szCs w:val="21"/>
                <w:lang w:bidi="ar"/>
              </w:rPr>
              <w:t>139.70</w:t>
            </w:r>
          </w:p>
        </w:tc>
      </w:tr>
      <w:tr w14:paraId="4BFFC347">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66D40D2D">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0333586">
            <w:pPr>
              <w:widowControl/>
              <w:jc w:val="center"/>
              <w:textAlignment w:val="center"/>
              <w:rPr>
                <w:szCs w:val="21"/>
              </w:rPr>
            </w:pPr>
            <w:r>
              <w:rPr>
                <w:kern w:val="0"/>
                <w:szCs w:val="21"/>
                <w:lang w:bidi="ar"/>
              </w:rPr>
              <w:t>鑫旺板块3号舍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9DE3107">
            <w:pPr>
              <w:widowControl/>
              <w:jc w:val="center"/>
              <w:textAlignment w:val="center"/>
              <w:rPr>
                <w:szCs w:val="21"/>
              </w:rPr>
            </w:pPr>
            <w:r>
              <w:rPr>
                <w:kern w:val="0"/>
                <w:szCs w:val="21"/>
                <w:lang w:bidi="ar"/>
              </w:rPr>
              <w:t>824</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3359D4A">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56709C24">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0E85DA86">
            <w:pPr>
              <w:widowControl/>
              <w:jc w:val="center"/>
              <w:textAlignment w:val="center"/>
              <w:rPr>
                <w:szCs w:val="21"/>
              </w:rPr>
            </w:pPr>
            <w:r>
              <w:rPr>
                <w:kern w:val="0"/>
                <w:szCs w:val="21"/>
                <w:lang w:bidi="ar"/>
              </w:rPr>
              <w:t>0.21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A3129B6">
            <w:pPr>
              <w:widowControl/>
              <w:jc w:val="center"/>
              <w:textAlignment w:val="center"/>
              <w:rPr>
                <w:szCs w:val="21"/>
              </w:rPr>
            </w:pPr>
            <w:r>
              <w:rPr>
                <w:kern w:val="0"/>
                <w:szCs w:val="21"/>
                <w:lang w:bidi="ar"/>
              </w:rPr>
              <w:t>0.41</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4CF4D651">
            <w:pPr>
              <w:widowControl/>
              <w:jc w:val="center"/>
              <w:textAlignment w:val="center"/>
              <w:rPr>
                <w:szCs w:val="21"/>
              </w:rPr>
            </w:pPr>
            <w:r>
              <w:rPr>
                <w:kern w:val="0"/>
                <w:szCs w:val="21"/>
                <w:lang w:bidi="ar"/>
              </w:rPr>
              <w:t>128.53</w:t>
            </w:r>
          </w:p>
        </w:tc>
      </w:tr>
      <w:tr w14:paraId="54F99004">
        <w:tblPrEx>
          <w:tblCellMar>
            <w:top w:w="0" w:type="dxa"/>
            <w:left w:w="108" w:type="dxa"/>
            <w:bottom w:w="0" w:type="dxa"/>
            <w:right w:w="108" w:type="dxa"/>
          </w:tblCellMar>
        </w:tblPrEx>
        <w:trPr>
          <w:trHeight w:val="285" w:hRule="atLeast"/>
        </w:trPr>
        <w:tc>
          <w:tcPr>
            <w:tcW w:w="444" w:type="pct"/>
            <w:vMerge w:val="restart"/>
            <w:tcBorders>
              <w:top w:val="single" w:color="000000" w:sz="4" w:space="0"/>
              <w:left w:val="single" w:color="000000" w:sz="4" w:space="0"/>
              <w:bottom w:val="single" w:color="000000" w:sz="4" w:space="0"/>
              <w:right w:val="single" w:color="000000" w:sz="4" w:space="0"/>
            </w:tcBorders>
            <w:noWrap/>
            <w:vAlign w:val="center"/>
          </w:tcPr>
          <w:p w14:paraId="5554C42E">
            <w:pPr>
              <w:widowControl/>
              <w:jc w:val="center"/>
              <w:textAlignment w:val="center"/>
              <w:rPr>
                <w:szCs w:val="21"/>
              </w:rPr>
            </w:pPr>
            <w:r>
              <w:rPr>
                <w:kern w:val="0"/>
                <w:szCs w:val="21"/>
                <w:lang w:bidi="ar"/>
              </w:rPr>
              <w:t>5号地</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923E194">
            <w:pPr>
              <w:widowControl/>
              <w:jc w:val="center"/>
              <w:textAlignment w:val="center"/>
              <w:rPr>
                <w:szCs w:val="21"/>
              </w:rPr>
            </w:pPr>
            <w:r>
              <w:rPr>
                <w:kern w:val="0"/>
                <w:szCs w:val="21"/>
                <w:lang w:bidi="ar"/>
              </w:rPr>
              <w:t>大河边篮球场位置猪舍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2AF71AF1">
            <w:pPr>
              <w:widowControl/>
              <w:jc w:val="center"/>
              <w:textAlignment w:val="center"/>
              <w:rPr>
                <w:szCs w:val="21"/>
              </w:rPr>
            </w:pPr>
            <w:r>
              <w:rPr>
                <w:kern w:val="0"/>
                <w:szCs w:val="21"/>
                <w:lang w:bidi="ar"/>
              </w:rPr>
              <w:t>742</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92CE637">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475EA32D">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3D8E5B39">
            <w:pPr>
              <w:widowControl/>
              <w:jc w:val="center"/>
              <w:textAlignment w:val="center"/>
              <w:rPr>
                <w:szCs w:val="21"/>
              </w:rPr>
            </w:pPr>
            <w:r>
              <w:rPr>
                <w:kern w:val="0"/>
                <w:szCs w:val="21"/>
                <w:lang w:bidi="ar"/>
              </w:rPr>
              <w:t>0.19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2BC6405">
            <w:pPr>
              <w:widowControl/>
              <w:jc w:val="center"/>
              <w:textAlignment w:val="center"/>
              <w:rPr>
                <w:szCs w:val="21"/>
              </w:rPr>
            </w:pPr>
            <w:r>
              <w:rPr>
                <w:kern w:val="0"/>
                <w:szCs w:val="21"/>
                <w:lang w:bidi="ar"/>
              </w:rPr>
              <w:t>0.37</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3233D5A">
            <w:pPr>
              <w:widowControl/>
              <w:jc w:val="center"/>
              <w:textAlignment w:val="center"/>
              <w:rPr>
                <w:szCs w:val="21"/>
              </w:rPr>
            </w:pPr>
            <w:r>
              <w:rPr>
                <w:kern w:val="0"/>
                <w:szCs w:val="21"/>
                <w:lang w:bidi="ar"/>
              </w:rPr>
              <w:t>115.68</w:t>
            </w:r>
          </w:p>
        </w:tc>
      </w:tr>
      <w:tr w14:paraId="1F36B3CD">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25E3F2E9">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EF903FA">
            <w:pPr>
              <w:widowControl/>
              <w:jc w:val="center"/>
              <w:textAlignment w:val="center"/>
              <w:rPr>
                <w:szCs w:val="21"/>
              </w:rPr>
            </w:pPr>
            <w:r>
              <w:rPr>
                <w:kern w:val="0"/>
                <w:szCs w:val="21"/>
                <w:lang w:bidi="ar"/>
              </w:rPr>
              <w:t>大河边上煤仓位置1号舍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454E6217">
            <w:pPr>
              <w:widowControl/>
              <w:jc w:val="center"/>
              <w:textAlignment w:val="center"/>
              <w:rPr>
                <w:szCs w:val="21"/>
              </w:rPr>
            </w:pPr>
            <w:r>
              <w:rPr>
                <w:kern w:val="0"/>
                <w:szCs w:val="21"/>
                <w:lang w:bidi="ar"/>
              </w:rPr>
              <w:t>305</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E23BE75">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15AABBC4">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4D16D744">
            <w:pPr>
              <w:widowControl/>
              <w:jc w:val="center"/>
              <w:textAlignment w:val="center"/>
              <w:rPr>
                <w:szCs w:val="21"/>
              </w:rPr>
            </w:pPr>
            <w:r>
              <w:rPr>
                <w:kern w:val="0"/>
                <w:szCs w:val="21"/>
                <w:lang w:bidi="ar"/>
              </w:rPr>
              <w:t>0.08</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00798FF2">
            <w:pPr>
              <w:widowControl/>
              <w:jc w:val="center"/>
              <w:textAlignment w:val="center"/>
              <w:rPr>
                <w:szCs w:val="21"/>
              </w:rPr>
            </w:pPr>
            <w:r>
              <w:rPr>
                <w:kern w:val="0"/>
                <w:szCs w:val="21"/>
                <w:lang w:bidi="ar"/>
              </w:rPr>
              <w:t>0.15</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A116E15">
            <w:pPr>
              <w:widowControl/>
              <w:jc w:val="center"/>
              <w:textAlignment w:val="center"/>
              <w:rPr>
                <w:szCs w:val="21"/>
              </w:rPr>
            </w:pPr>
            <w:r>
              <w:rPr>
                <w:kern w:val="0"/>
                <w:szCs w:val="21"/>
                <w:lang w:bidi="ar"/>
              </w:rPr>
              <w:t>47.63</w:t>
            </w:r>
          </w:p>
        </w:tc>
      </w:tr>
      <w:tr w14:paraId="26D83BD1">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210ED9FF">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147AF57">
            <w:pPr>
              <w:widowControl/>
              <w:jc w:val="center"/>
              <w:textAlignment w:val="center"/>
              <w:rPr>
                <w:szCs w:val="21"/>
              </w:rPr>
            </w:pPr>
            <w:r>
              <w:rPr>
                <w:kern w:val="0"/>
                <w:szCs w:val="21"/>
                <w:lang w:bidi="ar"/>
              </w:rPr>
              <w:t>大河边上煤仓位置2号舍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19233ECF">
            <w:pPr>
              <w:widowControl/>
              <w:jc w:val="center"/>
              <w:textAlignment w:val="center"/>
              <w:rPr>
                <w:szCs w:val="21"/>
              </w:rPr>
            </w:pPr>
            <w:r>
              <w:rPr>
                <w:kern w:val="0"/>
                <w:szCs w:val="21"/>
                <w:lang w:bidi="ar"/>
              </w:rPr>
              <w:t>473</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6E113DB6">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47ED6537">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7B175903">
            <w:pPr>
              <w:widowControl/>
              <w:jc w:val="center"/>
              <w:textAlignment w:val="center"/>
              <w:rPr>
                <w:szCs w:val="21"/>
              </w:rPr>
            </w:pPr>
            <w:r>
              <w:rPr>
                <w:kern w:val="0"/>
                <w:szCs w:val="21"/>
                <w:lang w:bidi="ar"/>
              </w:rPr>
              <w:t>0.12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550D588">
            <w:pPr>
              <w:widowControl/>
              <w:jc w:val="center"/>
              <w:textAlignment w:val="center"/>
              <w:rPr>
                <w:szCs w:val="21"/>
              </w:rPr>
            </w:pPr>
            <w:r>
              <w:rPr>
                <w:kern w:val="0"/>
                <w:szCs w:val="21"/>
                <w:lang w:bidi="ar"/>
              </w:rPr>
              <w:t>0.24</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155203D">
            <w:pPr>
              <w:widowControl/>
              <w:jc w:val="center"/>
              <w:textAlignment w:val="center"/>
              <w:rPr>
                <w:szCs w:val="21"/>
              </w:rPr>
            </w:pPr>
            <w:r>
              <w:rPr>
                <w:kern w:val="0"/>
                <w:szCs w:val="21"/>
                <w:lang w:bidi="ar"/>
              </w:rPr>
              <w:t>73.76</w:t>
            </w:r>
          </w:p>
        </w:tc>
      </w:tr>
      <w:tr w14:paraId="3D695E10">
        <w:tblPrEx>
          <w:tblCellMar>
            <w:top w:w="0" w:type="dxa"/>
            <w:left w:w="108" w:type="dxa"/>
            <w:bottom w:w="0" w:type="dxa"/>
            <w:right w:w="108" w:type="dxa"/>
          </w:tblCellMar>
        </w:tblPrEx>
        <w:trPr>
          <w:trHeight w:val="285" w:hRule="atLeast"/>
        </w:trPr>
        <w:tc>
          <w:tcPr>
            <w:tcW w:w="444" w:type="pct"/>
            <w:vMerge w:val="continue"/>
            <w:tcBorders>
              <w:top w:val="single" w:color="000000" w:sz="4" w:space="0"/>
              <w:left w:val="single" w:color="000000" w:sz="4" w:space="0"/>
              <w:bottom w:val="single" w:color="000000" w:sz="4" w:space="0"/>
              <w:right w:val="single" w:color="000000" w:sz="4" w:space="0"/>
            </w:tcBorders>
            <w:noWrap/>
            <w:vAlign w:val="center"/>
          </w:tcPr>
          <w:p w14:paraId="3785AEBE">
            <w:pPr>
              <w:jc w:val="center"/>
              <w:rPr>
                <w:szCs w:val="21"/>
              </w:rPr>
            </w:pP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5D5C7F0">
            <w:pPr>
              <w:widowControl/>
              <w:jc w:val="center"/>
              <w:textAlignment w:val="center"/>
              <w:rPr>
                <w:szCs w:val="21"/>
              </w:rPr>
            </w:pPr>
            <w:r>
              <w:rPr>
                <w:kern w:val="0"/>
                <w:szCs w:val="21"/>
                <w:lang w:bidi="ar"/>
              </w:rPr>
              <w:t>大河边下煤仓位置猪舍</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703837F1">
            <w:pPr>
              <w:widowControl/>
              <w:jc w:val="center"/>
              <w:textAlignment w:val="center"/>
              <w:rPr>
                <w:szCs w:val="21"/>
              </w:rPr>
            </w:pPr>
            <w:r>
              <w:rPr>
                <w:kern w:val="0"/>
                <w:szCs w:val="21"/>
                <w:lang w:bidi="ar"/>
              </w:rPr>
              <w:t>529</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D743B81">
            <w:pPr>
              <w:widowControl/>
              <w:jc w:val="center"/>
              <w:textAlignment w:val="center"/>
              <w:rPr>
                <w:szCs w:val="21"/>
              </w:rPr>
            </w:pPr>
            <w:r>
              <w:rPr>
                <w:kern w:val="0"/>
                <w:szCs w:val="21"/>
                <w:lang w:bidi="ar"/>
              </w:rPr>
              <w:t>0.25</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43DA9AE7">
            <w:pPr>
              <w:widowControl/>
              <w:jc w:val="center"/>
              <w:textAlignment w:val="center"/>
              <w:rPr>
                <w:szCs w:val="21"/>
              </w:rPr>
            </w:pPr>
            <w:r>
              <w:rPr>
                <w:kern w:val="0"/>
                <w:szCs w:val="21"/>
                <w:lang w:bidi="ar"/>
              </w:rPr>
              <w:t>0.5</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1B4D01BE">
            <w:pPr>
              <w:widowControl/>
              <w:jc w:val="center"/>
              <w:textAlignment w:val="center"/>
              <w:rPr>
                <w:szCs w:val="21"/>
              </w:rPr>
            </w:pPr>
            <w:r>
              <w:rPr>
                <w:kern w:val="0"/>
                <w:szCs w:val="21"/>
                <w:lang w:bidi="ar"/>
              </w:rPr>
              <w:t>0.13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7B9DF7B0">
            <w:pPr>
              <w:widowControl/>
              <w:jc w:val="center"/>
              <w:textAlignment w:val="center"/>
              <w:rPr>
                <w:szCs w:val="21"/>
              </w:rPr>
            </w:pPr>
            <w:r>
              <w:rPr>
                <w:kern w:val="0"/>
                <w:szCs w:val="21"/>
                <w:lang w:bidi="ar"/>
              </w:rPr>
              <w:t>0.26</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12D036D1">
            <w:pPr>
              <w:widowControl/>
              <w:jc w:val="center"/>
              <w:textAlignment w:val="center"/>
              <w:rPr>
                <w:szCs w:val="21"/>
              </w:rPr>
            </w:pPr>
            <w:r>
              <w:rPr>
                <w:kern w:val="0"/>
                <w:szCs w:val="21"/>
                <w:lang w:bidi="ar"/>
              </w:rPr>
              <w:t>82.46</w:t>
            </w:r>
          </w:p>
        </w:tc>
      </w:tr>
      <w:tr w14:paraId="5EFFEDB3">
        <w:tblPrEx>
          <w:tblCellMar>
            <w:top w:w="0" w:type="dxa"/>
            <w:left w:w="108" w:type="dxa"/>
            <w:bottom w:w="0" w:type="dxa"/>
            <w:right w:w="108" w:type="dxa"/>
          </w:tblCellMar>
        </w:tblPrEx>
        <w:trPr>
          <w:trHeight w:val="285" w:hRule="atLeast"/>
        </w:trPr>
        <w:tc>
          <w:tcPr>
            <w:tcW w:w="1485" w:type="pct"/>
            <w:gridSpan w:val="2"/>
            <w:tcBorders>
              <w:top w:val="single" w:color="000000" w:sz="4" w:space="0"/>
              <w:left w:val="single" w:color="000000" w:sz="4" w:space="0"/>
              <w:bottom w:val="single" w:color="000000" w:sz="4" w:space="0"/>
              <w:right w:val="single" w:color="000000" w:sz="4" w:space="0"/>
            </w:tcBorders>
            <w:noWrap/>
            <w:vAlign w:val="center"/>
          </w:tcPr>
          <w:p w14:paraId="345FFFA8">
            <w:pPr>
              <w:jc w:val="center"/>
              <w:rPr>
                <w:szCs w:val="21"/>
              </w:rPr>
            </w:pPr>
            <w:r>
              <w:rPr>
                <w:szCs w:val="21"/>
              </w:rPr>
              <w:t>合计</w:t>
            </w:r>
          </w:p>
        </w:tc>
        <w:tc>
          <w:tcPr>
            <w:tcW w:w="784" w:type="pct"/>
            <w:tcBorders>
              <w:top w:val="single" w:color="000000" w:sz="4" w:space="0"/>
              <w:left w:val="single" w:color="000000" w:sz="4" w:space="0"/>
              <w:bottom w:val="single" w:color="000000" w:sz="4" w:space="0"/>
              <w:right w:val="single" w:color="000000" w:sz="4" w:space="0"/>
            </w:tcBorders>
            <w:noWrap/>
            <w:vAlign w:val="center"/>
          </w:tcPr>
          <w:p w14:paraId="6BA467EA">
            <w:pPr>
              <w:widowControl/>
              <w:jc w:val="center"/>
              <w:textAlignment w:val="center"/>
              <w:rPr>
                <w:szCs w:val="21"/>
              </w:rPr>
            </w:pPr>
            <w:r>
              <w:rPr>
                <w:kern w:val="0"/>
                <w:szCs w:val="21"/>
                <w:lang w:bidi="ar"/>
              </w:rPr>
              <w:t>9300</w:t>
            </w:r>
          </w:p>
        </w:tc>
        <w:tc>
          <w:tcPr>
            <w:tcW w:w="439" w:type="pct"/>
            <w:tcBorders>
              <w:top w:val="single" w:color="000000" w:sz="4" w:space="0"/>
              <w:left w:val="single" w:color="000000" w:sz="4" w:space="0"/>
              <w:bottom w:val="single" w:color="000000" w:sz="4" w:space="0"/>
              <w:right w:val="single" w:color="000000" w:sz="4" w:space="0"/>
            </w:tcBorders>
            <w:noWrap/>
            <w:vAlign w:val="center"/>
          </w:tcPr>
          <w:p w14:paraId="3EE269E3">
            <w:pPr>
              <w:jc w:val="center"/>
              <w:rPr>
                <w:szCs w:val="21"/>
              </w:rPr>
            </w:pPr>
            <w:r>
              <w:rPr>
                <w:szCs w:val="21"/>
              </w:rPr>
              <w:t>/</w:t>
            </w:r>
          </w:p>
        </w:tc>
        <w:tc>
          <w:tcPr>
            <w:tcW w:w="440" w:type="pct"/>
            <w:tcBorders>
              <w:top w:val="single" w:color="000000" w:sz="4" w:space="0"/>
              <w:left w:val="single" w:color="000000" w:sz="4" w:space="0"/>
              <w:bottom w:val="single" w:color="000000" w:sz="4" w:space="0"/>
              <w:right w:val="single" w:color="000000" w:sz="4" w:space="0"/>
            </w:tcBorders>
            <w:noWrap/>
            <w:vAlign w:val="center"/>
          </w:tcPr>
          <w:p w14:paraId="1326BF32">
            <w:pPr>
              <w:jc w:val="center"/>
              <w:rPr>
                <w:szCs w:val="21"/>
              </w:rPr>
            </w:pPr>
            <w:r>
              <w:rPr>
                <w:szCs w:val="21"/>
              </w:rPr>
              <w:t>/</w:t>
            </w:r>
          </w:p>
        </w:tc>
        <w:tc>
          <w:tcPr>
            <w:tcW w:w="616" w:type="pct"/>
            <w:tcBorders>
              <w:top w:val="single" w:color="000000" w:sz="4" w:space="0"/>
              <w:left w:val="single" w:color="000000" w:sz="4" w:space="0"/>
              <w:bottom w:val="single" w:color="000000" w:sz="4" w:space="0"/>
              <w:right w:val="single" w:color="000000" w:sz="4" w:space="0"/>
            </w:tcBorders>
            <w:noWrap/>
            <w:vAlign w:val="center"/>
          </w:tcPr>
          <w:p w14:paraId="439700B1">
            <w:pPr>
              <w:widowControl/>
              <w:jc w:val="center"/>
              <w:textAlignment w:val="center"/>
              <w:rPr>
                <w:szCs w:val="21"/>
              </w:rPr>
            </w:pPr>
            <w:r>
              <w:rPr>
                <w:kern w:val="0"/>
                <w:szCs w:val="21"/>
                <w:lang w:bidi="ar"/>
              </w:rPr>
              <w:t>2.325</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D98EC0A">
            <w:pPr>
              <w:widowControl/>
              <w:jc w:val="center"/>
              <w:textAlignment w:val="center"/>
              <w:rPr>
                <w:szCs w:val="21"/>
              </w:rPr>
            </w:pPr>
            <w:r>
              <w:rPr>
                <w:kern w:val="0"/>
                <w:szCs w:val="21"/>
                <w:lang w:bidi="ar"/>
              </w:rPr>
              <w:t>4.65</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69B32CD4">
            <w:pPr>
              <w:widowControl/>
              <w:jc w:val="center"/>
              <w:textAlignment w:val="center"/>
              <w:rPr>
                <w:szCs w:val="21"/>
              </w:rPr>
            </w:pPr>
            <w:r>
              <w:rPr>
                <w:kern w:val="0"/>
                <w:szCs w:val="21"/>
                <w:lang w:bidi="ar"/>
              </w:rPr>
              <w:t>1450.80</w:t>
            </w:r>
          </w:p>
        </w:tc>
      </w:tr>
    </w:tbl>
    <w:p w14:paraId="67EDC626">
      <w:pPr>
        <w:spacing w:line="360" w:lineRule="auto"/>
        <w:jc w:val="left"/>
        <w:rPr>
          <w:kern w:val="0"/>
          <w:sz w:val="24"/>
        </w:rPr>
        <w:sectPr>
          <w:pgSz w:w="16838" w:h="11906" w:orient="landscape"/>
          <w:pgMar w:top="1797" w:right="1440" w:bottom="1797" w:left="1361" w:header="851" w:footer="992" w:gutter="0"/>
          <w:cols w:space="720" w:num="1"/>
          <w:docGrid w:linePitch="312" w:charSpace="0"/>
        </w:sectPr>
      </w:pPr>
      <w:r>
        <w:rPr>
          <w:b/>
          <w:kern w:val="0"/>
          <w:szCs w:val="21"/>
        </w:rPr>
        <w:t>注：保育猪按每批次养殖40d计算；育肥猪按每批次养殖100d计算；全年按养殖2.6批次计算；</w:t>
      </w:r>
    </w:p>
    <w:p w14:paraId="2BB9F359">
      <w:pPr>
        <w:spacing w:line="360" w:lineRule="auto"/>
        <w:ind w:firstLine="482"/>
        <w:jc w:val="left"/>
        <w:rPr>
          <w:kern w:val="0"/>
          <w:sz w:val="24"/>
        </w:rPr>
      </w:pPr>
      <w:r>
        <w:rPr>
          <w:kern w:val="0"/>
          <w:sz w:val="24"/>
        </w:rPr>
        <w:t>由上可知，猪舍NH</w:t>
      </w:r>
      <w:r>
        <w:rPr>
          <w:kern w:val="0"/>
          <w:sz w:val="24"/>
          <w:vertAlign w:val="subscript"/>
        </w:rPr>
        <w:t>3</w:t>
      </w:r>
      <w:r>
        <w:rPr>
          <w:kern w:val="0"/>
          <w:sz w:val="24"/>
        </w:rPr>
        <w:t>和H</w:t>
      </w:r>
      <w:r>
        <w:rPr>
          <w:kern w:val="0"/>
          <w:sz w:val="24"/>
          <w:vertAlign w:val="subscript"/>
        </w:rPr>
        <w:t>2</w:t>
      </w:r>
      <w:r>
        <w:rPr>
          <w:kern w:val="0"/>
          <w:sz w:val="24"/>
        </w:rPr>
        <w:t>S排放量分别为</w:t>
      </w:r>
      <w:r>
        <w:rPr>
          <w:kern w:val="0"/>
          <w:sz w:val="24"/>
          <w:lang w:bidi="ar"/>
        </w:rPr>
        <w:t>14846.52</w:t>
      </w:r>
      <w:r>
        <w:rPr>
          <w:kern w:val="0"/>
          <w:sz w:val="24"/>
        </w:rPr>
        <w:t>kg/a、</w:t>
      </w:r>
      <w:r>
        <w:rPr>
          <w:kern w:val="0"/>
          <w:sz w:val="24"/>
          <w:lang w:bidi="ar"/>
        </w:rPr>
        <w:t>1450.80</w:t>
      </w:r>
      <w:r>
        <w:rPr>
          <w:kern w:val="0"/>
          <w:sz w:val="24"/>
        </w:rPr>
        <w:t>kg/a。</w:t>
      </w:r>
    </w:p>
    <w:p w14:paraId="0F834654">
      <w:pPr>
        <w:snapToGrid w:val="0"/>
        <w:spacing w:line="360" w:lineRule="auto"/>
        <w:ind w:firstLine="482"/>
        <w:rPr>
          <w:sz w:val="24"/>
        </w:rPr>
      </w:pPr>
      <w:r>
        <w:rPr>
          <w:sz w:val="24"/>
        </w:rPr>
        <w:t>①本项目拟通过采取饲料中添加抑菌剂、并采用低氮饲料喂养猪只的方法从源头减少恶臭 产生量。根据《家畜环境卫生学》（安立龙，高等教育出版社）提供的资料，在畜禽日粮中投放抑菌剂等有益微生物复合制剂，能有效降解 NH</w:t>
      </w:r>
      <w:r>
        <w:rPr>
          <w:sz w:val="24"/>
          <w:vertAlign w:val="subscript"/>
        </w:rPr>
        <w:t>3</w:t>
      </w:r>
      <w:r>
        <w:rPr>
          <w:sz w:val="24"/>
        </w:rPr>
        <w:t>、H</w:t>
      </w:r>
      <w:r>
        <w:rPr>
          <w:sz w:val="24"/>
          <w:vertAlign w:val="subscript"/>
        </w:rPr>
        <w:t>2</w:t>
      </w:r>
      <w:r>
        <w:rPr>
          <w:sz w:val="24"/>
        </w:rPr>
        <w:t>S 等有害气体，NH</w:t>
      </w:r>
      <w:r>
        <w:rPr>
          <w:sz w:val="24"/>
          <w:vertAlign w:val="subscript"/>
        </w:rPr>
        <w:t>3</w:t>
      </w:r>
      <w:r>
        <w:rPr>
          <w:sz w:val="24"/>
        </w:rPr>
        <w:t>的降解率大于90%，H</w:t>
      </w:r>
      <w:r>
        <w:rPr>
          <w:sz w:val="24"/>
          <w:vertAlign w:val="subscript"/>
        </w:rPr>
        <w:t>2</w:t>
      </w:r>
      <w:r>
        <w:rPr>
          <w:sz w:val="24"/>
        </w:rPr>
        <w:t>S 的降解率大于90%。</w:t>
      </w:r>
    </w:p>
    <w:p w14:paraId="5EF8A0BF">
      <w:pPr>
        <w:snapToGrid w:val="0"/>
        <w:spacing w:line="360" w:lineRule="auto"/>
        <w:ind w:firstLine="482"/>
        <w:rPr>
          <w:sz w:val="24"/>
        </w:rPr>
      </w:pPr>
      <w:r>
        <w:rPr>
          <w:sz w:val="24"/>
        </w:rPr>
        <w:t>②为减少恶臭气体的产生，项目选用物理除臭、化学除臭方法，其中物理除臭措施选取《畜 禽养殖业污染治理工程技术规范》（HJ497-2009）中推荐的方法，向粪便、猪舍投放锯末吸 附剂，吸附剂为含纤维素、木质素较多的材料，具有吸附恶臭的作用；选取化学除臭法是向猪舍定期喷洒化学除臭剂消除或减少臭气的产生，项目选取次氯酸钠，次氯酸钠能削减恶臭产生、扩散途径等。在采取物理除臭、化学除臭方法后，能够有效抑制恶臭产生、扩散；另外项目采用干清粪工艺，粪污日产日清，减少粪污在猪舍内恶臭气体产生量；评价按恶臭去除率 95%计。具体项目猪舍恶臭产生、排放情况如下：</w:t>
      </w:r>
    </w:p>
    <w:p w14:paraId="57BF32C3">
      <w:pPr>
        <w:snapToGrid w:val="0"/>
        <w:spacing w:line="360" w:lineRule="auto"/>
        <w:ind w:firstLine="482"/>
        <w:rPr>
          <w:sz w:val="24"/>
        </w:rPr>
      </w:pPr>
      <w:r>
        <w:rPr>
          <w:sz w:val="24"/>
        </w:rPr>
        <w:t>恶臭气体由排风扇排出猪舍外，呈无组织排放。</w:t>
      </w:r>
    </w:p>
    <w:p w14:paraId="21EEA742">
      <w:pPr>
        <w:snapToGrid w:val="0"/>
        <w:spacing w:line="360" w:lineRule="auto"/>
        <w:ind w:firstLine="482"/>
        <w:rPr>
          <w:b/>
          <w:sz w:val="24"/>
        </w:rPr>
        <w:sectPr>
          <w:pgSz w:w="11906" w:h="16838"/>
          <w:pgMar w:top="1440" w:right="1797" w:bottom="1361" w:left="1797" w:header="851" w:footer="992" w:gutter="0"/>
          <w:cols w:space="720" w:num="1"/>
          <w:docGrid w:linePitch="312" w:charSpace="0"/>
        </w:sectPr>
      </w:pPr>
    </w:p>
    <w:p w14:paraId="297764F6">
      <w:pPr>
        <w:snapToGrid w:val="0"/>
        <w:spacing w:line="360" w:lineRule="auto"/>
        <w:ind w:firstLine="482"/>
        <w:jc w:val="center"/>
        <w:rPr>
          <w:b/>
          <w:sz w:val="24"/>
        </w:rPr>
      </w:pPr>
      <w:r>
        <w:rPr>
          <w:b/>
          <w:sz w:val="24"/>
        </w:rPr>
        <w:t>表3.4-3本项目养殖过程猪舍恶臭气体产排情况</w:t>
      </w:r>
    </w:p>
    <w:tbl>
      <w:tblPr>
        <w:tblStyle w:val="87"/>
        <w:tblW w:w="5000" w:type="pct"/>
        <w:tblInd w:w="0" w:type="dxa"/>
        <w:tblLayout w:type="fixed"/>
        <w:tblCellMar>
          <w:top w:w="0" w:type="dxa"/>
          <w:left w:w="108" w:type="dxa"/>
          <w:bottom w:w="0" w:type="dxa"/>
          <w:right w:w="108" w:type="dxa"/>
        </w:tblCellMar>
      </w:tblPr>
      <w:tblGrid>
        <w:gridCol w:w="577"/>
        <w:gridCol w:w="2350"/>
        <w:gridCol w:w="950"/>
        <w:gridCol w:w="1050"/>
        <w:gridCol w:w="736"/>
        <w:gridCol w:w="1039"/>
        <w:gridCol w:w="2125"/>
        <w:gridCol w:w="862"/>
        <w:gridCol w:w="965"/>
        <w:gridCol w:w="949"/>
        <w:gridCol w:w="812"/>
        <w:gridCol w:w="949"/>
        <w:gridCol w:w="889"/>
      </w:tblGrid>
      <w:tr w14:paraId="6288164D">
        <w:tblPrEx>
          <w:tblCellMar>
            <w:top w:w="0" w:type="dxa"/>
            <w:left w:w="108" w:type="dxa"/>
            <w:bottom w:w="0" w:type="dxa"/>
            <w:right w:w="108" w:type="dxa"/>
          </w:tblCellMar>
        </w:tblPrEx>
        <w:trPr>
          <w:trHeight w:val="285" w:hRule="atLeast"/>
        </w:trPr>
        <w:tc>
          <w:tcPr>
            <w:tcW w:w="202" w:type="pct"/>
            <w:vMerge w:val="restart"/>
            <w:tcBorders>
              <w:top w:val="single" w:color="000000" w:sz="4" w:space="0"/>
              <w:left w:val="single" w:color="000000" w:sz="4" w:space="0"/>
              <w:right w:val="single" w:color="000000" w:sz="4" w:space="0"/>
            </w:tcBorders>
            <w:noWrap/>
            <w:vAlign w:val="center"/>
          </w:tcPr>
          <w:p w14:paraId="01DBB1A9">
            <w:pPr>
              <w:jc w:val="center"/>
              <w:rPr>
                <w:szCs w:val="21"/>
              </w:rPr>
            </w:pPr>
            <w:r>
              <w:rPr>
                <w:szCs w:val="21"/>
              </w:rPr>
              <w:t>地块</w:t>
            </w:r>
          </w:p>
        </w:tc>
        <w:tc>
          <w:tcPr>
            <w:tcW w:w="824" w:type="pct"/>
            <w:vMerge w:val="restart"/>
            <w:tcBorders>
              <w:top w:val="single" w:color="000000" w:sz="4" w:space="0"/>
              <w:left w:val="single" w:color="000000" w:sz="4" w:space="0"/>
              <w:right w:val="single" w:color="000000" w:sz="4" w:space="0"/>
            </w:tcBorders>
            <w:noWrap/>
            <w:vAlign w:val="center"/>
          </w:tcPr>
          <w:p w14:paraId="1426618D">
            <w:pPr>
              <w:jc w:val="center"/>
              <w:rPr>
                <w:szCs w:val="21"/>
              </w:rPr>
            </w:pPr>
            <w:r>
              <w:rPr>
                <w:szCs w:val="21"/>
              </w:rPr>
              <w:t>猪舍</w:t>
            </w:r>
          </w:p>
        </w:tc>
        <w:tc>
          <w:tcPr>
            <w:tcW w:w="701" w:type="pct"/>
            <w:gridSpan w:val="2"/>
            <w:tcBorders>
              <w:top w:val="single" w:color="000000" w:sz="4" w:space="0"/>
              <w:left w:val="single" w:color="000000" w:sz="4" w:space="0"/>
              <w:bottom w:val="single" w:color="000000" w:sz="4" w:space="0"/>
              <w:right w:val="single" w:color="000000" w:sz="4" w:space="0"/>
            </w:tcBorders>
            <w:noWrap/>
            <w:vAlign w:val="center"/>
          </w:tcPr>
          <w:p w14:paraId="719C3DE1">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产生量（kg/d）</w:t>
            </w:r>
          </w:p>
        </w:tc>
        <w:tc>
          <w:tcPr>
            <w:tcW w:w="622" w:type="pct"/>
            <w:gridSpan w:val="2"/>
            <w:tcBorders>
              <w:top w:val="single" w:color="000000" w:sz="4" w:space="0"/>
              <w:left w:val="single" w:color="000000" w:sz="4" w:space="0"/>
              <w:bottom w:val="single" w:color="000000" w:sz="4" w:space="0"/>
              <w:right w:val="single" w:color="000000" w:sz="4" w:space="0"/>
            </w:tcBorders>
            <w:noWrap/>
            <w:vAlign w:val="center"/>
          </w:tcPr>
          <w:p w14:paraId="24869BDB">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S产生量（kg/d）</w:t>
            </w:r>
          </w:p>
        </w:tc>
        <w:tc>
          <w:tcPr>
            <w:tcW w:w="745" w:type="pct"/>
            <w:vMerge w:val="restart"/>
            <w:tcBorders>
              <w:top w:val="single" w:color="000000" w:sz="4" w:space="0"/>
              <w:left w:val="single" w:color="000000" w:sz="4" w:space="0"/>
              <w:right w:val="single" w:color="000000" w:sz="4" w:space="0"/>
            </w:tcBorders>
            <w:noWrap/>
            <w:vAlign w:val="center"/>
          </w:tcPr>
          <w:p w14:paraId="646384FE">
            <w:pPr>
              <w:widowControl/>
              <w:jc w:val="center"/>
              <w:textAlignment w:val="center"/>
              <w:rPr>
                <w:szCs w:val="21"/>
              </w:rPr>
            </w:pPr>
            <w:r>
              <w:rPr>
                <w:kern w:val="0"/>
                <w:szCs w:val="21"/>
                <w:lang w:bidi="ar"/>
              </w:rPr>
              <w:t>措施及效率</w:t>
            </w:r>
          </w:p>
        </w:tc>
        <w:tc>
          <w:tcPr>
            <w:tcW w:w="640" w:type="pct"/>
            <w:gridSpan w:val="2"/>
            <w:tcBorders>
              <w:top w:val="single" w:color="000000" w:sz="4" w:space="0"/>
              <w:left w:val="single" w:color="000000" w:sz="4" w:space="0"/>
              <w:bottom w:val="single" w:color="000000" w:sz="4" w:space="0"/>
              <w:right w:val="single" w:color="000000" w:sz="4" w:space="0"/>
            </w:tcBorders>
            <w:noWrap/>
            <w:vAlign w:val="center"/>
          </w:tcPr>
          <w:p w14:paraId="61EFFAA2">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排放量（kg/d）</w:t>
            </w:r>
          </w:p>
        </w:tc>
        <w:tc>
          <w:tcPr>
            <w:tcW w:w="618" w:type="pct"/>
            <w:gridSpan w:val="2"/>
            <w:tcBorders>
              <w:top w:val="single" w:color="000000" w:sz="4" w:space="0"/>
              <w:left w:val="single" w:color="000000" w:sz="4" w:space="0"/>
              <w:bottom w:val="single" w:color="000000" w:sz="4" w:space="0"/>
              <w:right w:val="single" w:color="000000" w:sz="4" w:space="0"/>
            </w:tcBorders>
            <w:noWrap/>
            <w:vAlign w:val="center"/>
          </w:tcPr>
          <w:p w14:paraId="577B76B2">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S排放量（kg/d）</w:t>
            </w:r>
          </w:p>
        </w:tc>
        <w:tc>
          <w:tcPr>
            <w:tcW w:w="645" w:type="pct"/>
            <w:gridSpan w:val="2"/>
            <w:tcBorders>
              <w:top w:val="single" w:color="000000" w:sz="4" w:space="0"/>
              <w:left w:val="single" w:color="000000" w:sz="4" w:space="0"/>
              <w:bottom w:val="single" w:color="000000" w:sz="4" w:space="0"/>
              <w:right w:val="single" w:color="000000" w:sz="4" w:space="0"/>
            </w:tcBorders>
            <w:noWrap/>
            <w:vAlign w:val="center"/>
          </w:tcPr>
          <w:p w14:paraId="6B44C75E">
            <w:pPr>
              <w:jc w:val="center"/>
              <w:rPr>
                <w:szCs w:val="21"/>
              </w:rPr>
            </w:pPr>
            <w:r>
              <w:rPr>
                <w:kern w:val="0"/>
                <w:szCs w:val="21"/>
                <w:lang w:bidi="ar"/>
              </w:rPr>
              <w:t>年排放量（kg/a）</w:t>
            </w:r>
          </w:p>
        </w:tc>
      </w:tr>
      <w:tr w14:paraId="5E603F51">
        <w:tblPrEx>
          <w:tblCellMar>
            <w:top w:w="0" w:type="dxa"/>
            <w:left w:w="108" w:type="dxa"/>
            <w:bottom w:w="0" w:type="dxa"/>
            <w:right w:w="108" w:type="dxa"/>
          </w:tblCellMar>
        </w:tblPrEx>
        <w:trPr>
          <w:trHeight w:val="285" w:hRule="atLeast"/>
        </w:trPr>
        <w:tc>
          <w:tcPr>
            <w:tcW w:w="202" w:type="pct"/>
            <w:vMerge w:val="continue"/>
            <w:tcBorders>
              <w:left w:val="single" w:color="000000" w:sz="4" w:space="0"/>
              <w:bottom w:val="single" w:color="000000" w:sz="4" w:space="0"/>
              <w:right w:val="single" w:color="000000" w:sz="4" w:space="0"/>
            </w:tcBorders>
            <w:noWrap/>
            <w:vAlign w:val="center"/>
          </w:tcPr>
          <w:p w14:paraId="3F52F94D">
            <w:pPr>
              <w:jc w:val="center"/>
              <w:rPr>
                <w:szCs w:val="21"/>
              </w:rPr>
            </w:pPr>
          </w:p>
        </w:tc>
        <w:tc>
          <w:tcPr>
            <w:tcW w:w="824" w:type="pct"/>
            <w:vMerge w:val="continue"/>
            <w:tcBorders>
              <w:left w:val="single" w:color="000000" w:sz="4" w:space="0"/>
              <w:bottom w:val="single" w:color="000000" w:sz="4" w:space="0"/>
              <w:right w:val="single" w:color="000000" w:sz="4" w:space="0"/>
            </w:tcBorders>
            <w:noWrap/>
            <w:vAlign w:val="center"/>
          </w:tcPr>
          <w:p w14:paraId="1E765B81">
            <w:pPr>
              <w:jc w:val="center"/>
              <w:rPr>
                <w:szCs w:val="21"/>
              </w:rPr>
            </w:pP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1B3764B2">
            <w:pPr>
              <w:widowControl/>
              <w:jc w:val="center"/>
              <w:textAlignment w:val="center"/>
              <w:rPr>
                <w:szCs w:val="21"/>
              </w:rPr>
            </w:pPr>
            <w:r>
              <w:rPr>
                <w:kern w:val="0"/>
                <w:szCs w:val="21"/>
                <w:lang w:bidi="ar"/>
              </w:rPr>
              <w:t>保育阶段</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45BCD9E0">
            <w:pPr>
              <w:widowControl/>
              <w:jc w:val="center"/>
              <w:textAlignment w:val="center"/>
              <w:rPr>
                <w:szCs w:val="21"/>
              </w:rPr>
            </w:pPr>
            <w:r>
              <w:rPr>
                <w:kern w:val="0"/>
                <w:szCs w:val="21"/>
                <w:lang w:bidi="ar"/>
              </w:rPr>
              <w:t>育肥阶段</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4B683862">
            <w:pPr>
              <w:widowControl/>
              <w:jc w:val="center"/>
              <w:textAlignment w:val="center"/>
              <w:rPr>
                <w:szCs w:val="21"/>
              </w:rPr>
            </w:pPr>
            <w:r>
              <w:rPr>
                <w:kern w:val="0"/>
                <w:szCs w:val="21"/>
                <w:lang w:bidi="ar"/>
              </w:rPr>
              <w:t>保育阶段</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C66AF33">
            <w:pPr>
              <w:widowControl/>
              <w:jc w:val="center"/>
              <w:textAlignment w:val="center"/>
              <w:rPr>
                <w:szCs w:val="21"/>
              </w:rPr>
            </w:pPr>
            <w:r>
              <w:rPr>
                <w:kern w:val="0"/>
                <w:szCs w:val="21"/>
                <w:lang w:bidi="ar"/>
              </w:rPr>
              <w:t>育肥阶段</w:t>
            </w:r>
          </w:p>
        </w:tc>
        <w:tc>
          <w:tcPr>
            <w:tcW w:w="745" w:type="pct"/>
            <w:vMerge w:val="continue"/>
            <w:tcBorders>
              <w:left w:val="single" w:color="000000" w:sz="4" w:space="0"/>
              <w:bottom w:val="single" w:color="000000" w:sz="4" w:space="0"/>
              <w:right w:val="single" w:color="000000" w:sz="4" w:space="0"/>
            </w:tcBorders>
            <w:noWrap/>
            <w:vAlign w:val="center"/>
          </w:tcPr>
          <w:p w14:paraId="0F9B115F">
            <w:pPr>
              <w:jc w:val="center"/>
              <w:rPr>
                <w:szCs w:val="21"/>
              </w:rPr>
            </w:pPr>
          </w:p>
        </w:tc>
        <w:tc>
          <w:tcPr>
            <w:tcW w:w="302" w:type="pct"/>
            <w:tcBorders>
              <w:top w:val="single" w:color="000000" w:sz="4" w:space="0"/>
              <w:left w:val="single" w:color="000000" w:sz="4" w:space="0"/>
              <w:bottom w:val="single" w:color="000000" w:sz="4" w:space="0"/>
              <w:right w:val="single" w:color="000000" w:sz="4" w:space="0"/>
            </w:tcBorders>
            <w:noWrap/>
            <w:vAlign w:val="center"/>
          </w:tcPr>
          <w:p w14:paraId="08E53BBC">
            <w:pPr>
              <w:widowControl/>
              <w:jc w:val="center"/>
              <w:textAlignment w:val="center"/>
              <w:rPr>
                <w:szCs w:val="21"/>
              </w:rPr>
            </w:pPr>
            <w:r>
              <w:rPr>
                <w:kern w:val="0"/>
                <w:szCs w:val="21"/>
                <w:lang w:bidi="ar"/>
              </w:rPr>
              <w:t>保育阶段</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7D580291">
            <w:pPr>
              <w:widowControl/>
              <w:jc w:val="center"/>
              <w:textAlignment w:val="center"/>
              <w:rPr>
                <w:szCs w:val="21"/>
              </w:rPr>
            </w:pPr>
            <w:r>
              <w:rPr>
                <w:kern w:val="0"/>
                <w:szCs w:val="21"/>
                <w:lang w:bidi="ar"/>
              </w:rPr>
              <w:t>育肥阶段</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16D18EB0">
            <w:pPr>
              <w:widowControl/>
              <w:jc w:val="center"/>
              <w:textAlignment w:val="center"/>
              <w:rPr>
                <w:szCs w:val="21"/>
              </w:rPr>
            </w:pPr>
            <w:r>
              <w:rPr>
                <w:kern w:val="0"/>
                <w:szCs w:val="21"/>
                <w:lang w:bidi="ar"/>
              </w:rPr>
              <w:t>保育阶段</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0668419">
            <w:pPr>
              <w:widowControl/>
              <w:jc w:val="center"/>
              <w:textAlignment w:val="center"/>
              <w:rPr>
                <w:szCs w:val="21"/>
              </w:rPr>
            </w:pPr>
            <w:r>
              <w:rPr>
                <w:kern w:val="0"/>
                <w:szCs w:val="21"/>
                <w:lang w:bidi="ar"/>
              </w:rPr>
              <w:t>育肥阶段</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18F28888">
            <w:pPr>
              <w:widowControl/>
              <w:jc w:val="center"/>
              <w:textAlignment w:val="center"/>
              <w:rPr>
                <w:szCs w:val="21"/>
              </w:rPr>
            </w:pPr>
            <w:r>
              <w:rPr>
                <w:kern w:val="0"/>
                <w:szCs w:val="21"/>
                <w:lang w:bidi="ar"/>
              </w:rPr>
              <w:t>NH</w:t>
            </w:r>
            <w:r>
              <w:rPr>
                <w:kern w:val="0"/>
                <w:szCs w:val="21"/>
                <w:vertAlign w:val="subscript"/>
                <w:lang w:bidi="ar"/>
              </w:rPr>
              <w:t>3</w:t>
            </w:r>
          </w:p>
        </w:tc>
        <w:tc>
          <w:tcPr>
            <w:tcW w:w="311" w:type="pct"/>
            <w:tcBorders>
              <w:top w:val="single" w:color="000000" w:sz="4" w:space="0"/>
              <w:left w:val="single" w:color="000000" w:sz="4" w:space="0"/>
              <w:bottom w:val="single" w:color="000000" w:sz="4" w:space="0"/>
              <w:right w:val="single" w:color="000000" w:sz="4" w:space="0"/>
            </w:tcBorders>
            <w:noWrap/>
            <w:vAlign w:val="center"/>
          </w:tcPr>
          <w:p w14:paraId="067E30B7">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r>
      <w:tr w14:paraId="3BFAA616">
        <w:tblPrEx>
          <w:tblCellMar>
            <w:top w:w="0" w:type="dxa"/>
            <w:left w:w="108" w:type="dxa"/>
            <w:bottom w:w="0" w:type="dxa"/>
            <w:right w:w="108" w:type="dxa"/>
          </w:tblCellMar>
        </w:tblPrEx>
        <w:trPr>
          <w:trHeight w:val="285" w:hRule="atLeast"/>
        </w:trPr>
        <w:tc>
          <w:tcPr>
            <w:tcW w:w="202" w:type="pct"/>
            <w:vMerge w:val="restart"/>
            <w:tcBorders>
              <w:top w:val="single" w:color="000000" w:sz="4" w:space="0"/>
              <w:left w:val="single" w:color="000000" w:sz="4" w:space="0"/>
              <w:bottom w:val="single" w:color="000000" w:sz="4" w:space="0"/>
              <w:right w:val="single" w:color="000000" w:sz="4" w:space="0"/>
            </w:tcBorders>
            <w:noWrap/>
            <w:vAlign w:val="center"/>
          </w:tcPr>
          <w:p w14:paraId="513805CD">
            <w:pPr>
              <w:widowControl/>
              <w:jc w:val="center"/>
              <w:textAlignment w:val="center"/>
              <w:rPr>
                <w:szCs w:val="21"/>
              </w:rPr>
            </w:pPr>
            <w:r>
              <w:rPr>
                <w:kern w:val="0"/>
                <w:szCs w:val="21"/>
                <w:lang w:bidi="ar"/>
              </w:rPr>
              <w:t>1号地</w:t>
            </w: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381E3D98">
            <w:pPr>
              <w:widowControl/>
              <w:jc w:val="center"/>
              <w:textAlignment w:val="center"/>
              <w:rPr>
                <w:szCs w:val="21"/>
              </w:rPr>
            </w:pPr>
            <w:r>
              <w:rPr>
                <w:kern w:val="0"/>
                <w:szCs w:val="21"/>
                <w:lang w:bidi="ar"/>
              </w:rPr>
              <w:t>盛丰通风井位置1号舍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4D4A455E">
            <w:pPr>
              <w:widowControl/>
              <w:jc w:val="center"/>
              <w:textAlignment w:val="center"/>
              <w:rPr>
                <w:szCs w:val="21"/>
              </w:rPr>
            </w:pPr>
            <w:r>
              <w:rPr>
                <w:kern w:val="0"/>
                <w:szCs w:val="21"/>
                <w:lang w:bidi="ar"/>
              </w:rPr>
              <w:t>0.91</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5BF9AC5">
            <w:pPr>
              <w:widowControl/>
              <w:jc w:val="center"/>
              <w:textAlignment w:val="center"/>
              <w:rPr>
                <w:szCs w:val="21"/>
              </w:rPr>
            </w:pPr>
            <w:r>
              <w:rPr>
                <w:kern w:val="0"/>
                <w:szCs w:val="21"/>
                <w:lang w:bidi="ar"/>
              </w:rPr>
              <w:t>4.72</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048F3B83">
            <w:pPr>
              <w:widowControl/>
              <w:jc w:val="center"/>
              <w:textAlignment w:val="center"/>
              <w:rPr>
                <w:szCs w:val="21"/>
              </w:rPr>
            </w:pPr>
            <w:r>
              <w:rPr>
                <w:kern w:val="0"/>
                <w:szCs w:val="21"/>
                <w:lang w:bidi="ar"/>
              </w:rPr>
              <w:t>0.21</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8CFC2AD">
            <w:pPr>
              <w:widowControl/>
              <w:jc w:val="center"/>
              <w:textAlignment w:val="center"/>
              <w:rPr>
                <w:szCs w:val="21"/>
              </w:rPr>
            </w:pPr>
            <w:r>
              <w:rPr>
                <w:kern w:val="0"/>
                <w:szCs w:val="21"/>
                <w:lang w:bidi="ar"/>
              </w:rPr>
              <w:t>0.41</w:t>
            </w:r>
          </w:p>
        </w:tc>
        <w:tc>
          <w:tcPr>
            <w:tcW w:w="745" w:type="pct"/>
            <w:vMerge w:val="restart"/>
            <w:tcBorders>
              <w:top w:val="single" w:color="000000" w:sz="4" w:space="0"/>
              <w:left w:val="single" w:color="000000" w:sz="4" w:space="0"/>
              <w:right w:val="single" w:color="000000" w:sz="4" w:space="0"/>
            </w:tcBorders>
            <w:noWrap/>
            <w:vAlign w:val="center"/>
          </w:tcPr>
          <w:p w14:paraId="26EDD81F">
            <w:pPr>
              <w:widowControl/>
              <w:textAlignment w:val="center"/>
              <w:rPr>
                <w:szCs w:val="21"/>
              </w:rPr>
            </w:pPr>
            <w:r>
              <w:rPr>
                <w:szCs w:val="21"/>
              </w:rPr>
              <w:t>①饲料中添加抑菌剂、并采用低氮饲料喂养猪只；</w:t>
            </w:r>
          </w:p>
          <w:p w14:paraId="6CA262E7">
            <w:pPr>
              <w:pStyle w:val="35"/>
              <w:rPr>
                <w:szCs w:val="21"/>
              </w:rPr>
            </w:pPr>
            <w:r>
              <w:rPr>
                <w:szCs w:val="21"/>
              </w:rPr>
              <w:t>②向粪便、猪舍投放锯末等含纤维素、木质素较多的吸附剂材料；</w:t>
            </w:r>
          </w:p>
          <w:p w14:paraId="0322DF12">
            <w:pPr>
              <w:widowControl/>
              <w:textAlignment w:val="center"/>
              <w:rPr>
                <w:szCs w:val="21"/>
              </w:rPr>
            </w:pPr>
            <w:r>
              <w:rPr>
                <w:szCs w:val="21"/>
              </w:rPr>
              <w:t>③向猪舍定期喷洒化学除臭剂；</w:t>
            </w:r>
          </w:p>
          <w:p w14:paraId="10B3CC16">
            <w:pPr>
              <w:widowControl/>
              <w:textAlignment w:val="center"/>
              <w:rPr>
                <w:szCs w:val="21"/>
              </w:rPr>
            </w:pPr>
            <w:r>
              <w:rPr>
                <w:szCs w:val="21"/>
              </w:rPr>
              <w:t>④采用干清粪工艺，粪污日产日清。</w:t>
            </w:r>
          </w:p>
          <w:p w14:paraId="79D076AE">
            <w:pPr>
              <w:widowControl/>
              <w:jc w:val="center"/>
              <w:textAlignment w:val="center"/>
              <w:rPr>
                <w:szCs w:val="21"/>
              </w:rPr>
            </w:pPr>
            <w:r>
              <w:rPr>
                <w:szCs w:val="21"/>
              </w:rPr>
              <w:t>综合去除效率：</w:t>
            </w:r>
            <w:r>
              <w:rPr>
                <w:kern w:val="0"/>
                <w:szCs w:val="21"/>
                <w:lang w:bidi="ar"/>
              </w:rPr>
              <w:t>NH</w:t>
            </w:r>
            <w:r>
              <w:rPr>
                <w:kern w:val="0"/>
                <w:szCs w:val="21"/>
                <w:vertAlign w:val="subscript"/>
                <w:lang w:bidi="ar"/>
              </w:rPr>
              <w:t>3</w:t>
            </w:r>
            <w:r>
              <w:rPr>
                <w:kern w:val="0"/>
                <w:szCs w:val="21"/>
                <w:lang w:bidi="ar"/>
              </w:rPr>
              <w:t>去除效率95%、H</w:t>
            </w:r>
            <w:r>
              <w:rPr>
                <w:kern w:val="0"/>
                <w:szCs w:val="21"/>
                <w:vertAlign w:val="subscript"/>
                <w:lang w:bidi="ar"/>
              </w:rPr>
              <w:t>2</w:t>
            </w:r>
            <w:r>
              <w:rPr>
                <w:kern w:val="0"/>
                <w:szCs w:val="21"/>
                <w:lang w:bidi="ar"/>
              </w:rPr>
              <w:t>S去除效率95%</w:t>
            </w: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03BC5750">
            <w:pPr>
              <w:widowControl/>
              <w:jc w:val="right"/>
              <w:textAlignment w:val="center"/>
              <w:rPr>
                <w:szCs w:val="21"/>
              </w:rPr>
            </w:pPr>
            <w:r>
              <w:rPr>
                <w:kern w:val="0"/>
                <w:szCs w:val="21"/>
                <w:lang w:bidi="ar"/>
              </w:rPr>
              <w:t xml:space="preserve">0.0455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3878A86B">
            <w:pPr>
              <w:widowControl/>
              <w:jc w:val="right"/>
              <w:textAlignment w:val="center"/>
              <w:rPr>
                <w:szCs w:val="21"/>
              </w:rPr>
            </w:pPr>
            <w:r>
              <w:rPr>
                <w:kern w:val="0"/>
                <w:szCs w:val="21"/>
                <w:lang w:bidi="ar"/>
              </w:rPr>
              <w:t xml:space="preserve">0.2359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08321D7">
            <w:pPr>
              <w:widowControl/>
              <w:jc w:val="right"/>
              <w:textAlignment w:val="center"/>
              <w:rPr>
                <w:szCs w:val="21"/>
              </w:rPr>
            </w:pPr>
            <w:r>
              <w:rPr>
                <w:kern w:val="0"/>
                <w:szCs w:val="21"/>
                <w:lang w:bidi="ar"/>
              </w:rPr>
              <w:t xml:space="preserve">0.0103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058F4F41">
            <w:pPr>
              <w:widowControl/>
              <w:jc w:val="right"/>
              <w:textAlignment w:val="center"/>
              <w:rPr>
                <w:szCs w:val="21"/>
              </w:rPr>
            </w:pPr>
            <w:r>
              <w:rPr>
                <w:kern w:val="0"/>
                <w:szCs w:val="21"/>
                <w:lang w:bidi="ar"/>
              </w:rPr>
              <w:t xml:space="preserve">0.0207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BF67AD6">
            <w:pPr>
              <w:widowControl/>
              <w:jc w:val="right"/>
              <w:textAlignment w:val="center"/>
              <w:rPr>
                <w:szCs w:val="21"/>
              </w:rPr>
            </w:pPr>
            <w:r>
              <w:rPr>
                <w:kern w:val="0"/>
                <w:szCs w:val="21"/>
                <w:lang w:bidi="ar"/>
              </w:rPr>
              <w:t xml:space="preserve">66.0702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45A23B21">
            <w:pPr>
              <w:widowControl/>
              <w:jc w:val="right"/>
              <w:textAlignment w:val="center"/>
              <w:rPr>
                <w:szCs w:val="21"/>
              </w:rPr>
            </w:pPr>
            <w:r>
              <w:rPr>
                <w:kern w:val="0"/>
                <w:szCs w:val="21"/>
                <w:lang w:bidi="ar"/>
              </w:rPr>
              <w:t xml:space="preserve">6.4564 </w:t>
            </w:r>
          </w:p>
        </w:tc>
      </w:tr>
      <w:tr w14:paraId="21667A75">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29B25071">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07615EBD">
            <w:pPr>
              <w:widowControl/>
              <w:jc w:val="center"/>
              <w:textAlignment w:val="center"/>
              <w:rPr>
                <w:szCs w:val="21"/>
              </w:rPr>
            </w:pPr>
            <w:r>
              <w:rPr>
                <w:kern w:val="0"/>
                <w:szCs w:val="21"/>
                <w:lang w:bidi="ar"/>
              </w:rPr>
              <w:t>盛丰通风井位置2号舍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2D989C6E">
            <w:pPr>
              <w:widowControl/>
              <w:jc w:val="center"/>
              <w:textAlignment w:val="center"/>
              <w:rPr>
                <w:szCs w:val="21"/>
              </w:rPr>
            </w:pPr>
            <w:r>
              <w:rPr>
                <w:kern w:val="0"/>
                <w:szCs w:val="21"/>
                <w:lang w:bidi="ar"/>
              </w:rPr>
              <w:t>0.35</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0F0DCD4A">
            <w:pPr>
              <w:widowControl/>
              <w:jc w:val="center"/>
              <w:textAlignment w:val="center"/>
              <w:rPr>
                <w:szCs w:val="21"/>
              </w:rPr>
            </w:pPr>
            <w:r>
              <w:rPr>
                <w:kern w:val="0"/>
                <w:szCs w:val="21"/>
                <w:lang w:bidi="ar"/>
              </w:rPr>
              <w:t>1.79</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75F7A6D3">
            <w:pPr>
              <w:widowControl/>
              <w:jc w:val="center"/>
              <w:textAlignment w:val="center"/>
              <w:rPr>
                <w:szCs w:val="21"/>
              </w:rPr>
            </w:pPr>
            <w:r>
              <w:rPr>
                <w:kern w:val="0"/>
                <w:szCs w:val="21"/>
                <w:lang w:bidi="ar"/>
              </w:rPr>
              <w:t>0.08</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4AA9DCA">
            <w:pPr>
              <w:widowControl/>
              <w:jc w:val="center"/>
              <w:textAlignment w:val="center"/>
              <w:rPr>
                <w:szCs w:val="21"/>
              </w:rPr>
            </w:pPr>
            <w:r>
              <w:rPr>
                <w:kern w:val="0"/>
                <w:szCs w:val="21"/>
                <w:lang w:bidi="ar"/>
              </w:rPr>
              <w:t>0.16</w:t>
            </w:r>
          </w:p>
        </w:tc>
        <w:tc>
          <w:tcPr>
            <w:tcW w:w="745" w:type="pct"/>
            <w:vMerge w:val="continue"/>
            <w:tcBorders>
              <w:left w:val="single" w:color="000000" w:sz="4" w:space="0"/>
              <w:right w:val="single" w:color="000000" w:sz="4" w:space="0"/>
            </w:tcBorders>
            <w:noWrap/>
            <w:vAlign w:val="center"/>
          </w:tcPr>
          <w:p w14:paraId="6AA1F0E9">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24A0C08B">
            <w:pPr>
              <w:widowControl/>
              <w:jc w:val="right"/>
              <w:textAlignment w:val="center"/>
              <w:rPr>
                <w:szCs w:val="21"/>
              </w:rPr>
            </w:pPr>
            <w:r>
              <w:rPr>
                <w:kern w:val="0"/>
                <w:szCs w:val="21"/>
                <w:lang w:bidi="ar"/>
              </w:rPr>
              <w:t xml:space="preserve">0.0173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0CC77FAE">
            <w:pPr>
              <w:widowControl/>
              <w:jc w:val="right"/>
              <w:textAlignment w:val="center"/>
              <w:rPr>
                <w:szCs w:val="21"/>
              </w:rPr>
            </w:pPr>
            <w:r>
              <w:rPr>
                <w:kern w:val="0"/>
                <w:szCs w:val="21"/>
                <w:lang w:bidi="ar"/>
              </w:rPr>
              <w:t xml:space="preserve">0.0897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8846D44">
            <w:pPr>
              <w:widowControl/>
              <w:jc w:val="right"/>
              <w:textAlignment w:val="center"/>
              <w:rPr>
                <w:szCs w:val="21"/>
              </w:rPr>
            </w:pPr>
            <w:r>
              <w:rPr>
                <w:kern w:val="0"/>
                <w:szCs w:val="21"/>
                <w:lang w:bidi="ar"/>
              </w:rPr>
              <w:t xml:space="preserve">0.0039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237C6408">
            <w:pPr>
              <w:widowControl/>
              <w:jc w:val="right"/>
              <w:textAlignment w:val="center"/>
              <w:rPr>
                <w:szCs w:val="21"/>
              </w:rPr>
            </w:pPr>
            <w:r>
              <w:rPr>
                <w:kern w:val="0"/>
                <w:szCs w:val="21"/>
                <w:lang w:bidi="ar"/>
              </w:rPr>
              <w:t xml:space="preserve">0.0079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E172B42">
            <w:pPr>
              <w:widowControl/>
              <w:jc w:val="right"/>
              <w:textAlignment w:val="center"/>
              <w:rPr>
                <w:szCs w:val="21"/>
              </w:rPr>
            </w:pPr>
            <w:r>
              <w:rPr>
                <w:kern w:val="0"/>
                <w:szCs w:val="21"/>
                <w:lang w:bidi="ar"/>
              </w:rPr>
              <w:t xml:space="preserve">25.1257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6F7F449C">
            <w:pPr>
              <w:widowControl/>
              <w:jc w:val="right"/>
              <w:textAlignment w:val="center"/>
              <w:rPr>
                <w:szCs w:val="21"/>
              </w:rPr>
            </w:pPr>
            <w:r>
              <w:rPr>
                <w:kern w:val="0"/>
                <w:szCs w:val="21"/>
                <w:lang w:bidi="ar"/>
              </w:rPr>
              <w:t xml:space="preserve">2.4553 </w:t>
            </w:r>
          </w:p>
        </w:tc>
      </w:tr>
      <w:tr w14:paraId="7E84D1D1">
        <w:tblPrEx>
          <w:tblCellMar>
            <w:top w:w="0" w:type="dxa"/>
            <w:left w:w="108" w:type="dxa"/>
            <w:bottom w:w="0" w:type="dxa"/>
            <w:right w:w="108" w:type="dxa"/>
          </w:tblCellMar>
        </w:tblPrEx>
        <w:trPr>
          <w:trHeight w:val="285" w:hRule="atLeast"/>
        </w:trPr>
        <w:tc>
          <w:tcPr>
            <w:tcW w:w="202" w:type="pct"/>
            <w:vMerge w:val="restart"/>
            <w:tcBorders>
              <w:top w:val="single" w:color="000000" w:sz="4" w:space="0"/>
              <w:left w:val="single" w:color="000000" w:sz="4" w:space="0"/>
              <w:bottom w:val="single" w:color="000000" w:sz="4" w:space="0"/>
              <w:right w:val="single" w:color="000000" w:sz="4" w:space="0"/>
            </w:tcBorders>
            <w:noWrap/>
            <w:vAlign w:val="center"/>
          </w:tcPr>
          <w:p w14:paraId="2BEC7BD4">
            <w:pPr>
              <w:widowControl/>
              <w:jc w:val="center"/>
              <w:textAlignment w:val="center"/>
              <w:rPr>
                <w:szCs w:val="21"/>
              </w:rPr>
            </w:pPr>
            <w:r>
              <w:rPr>
                <w:kern w:val="0"/>
                <w:szCs w:val="21"/>
                <w:lang w:bidi="ar"/>
              </w:rPr>
              <w:t>2号地</w:t>
            </w: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4D9888FF">
            <w:pPr>
              <w:widowControl/>
              <w:jc w:val="center"/>
              <w:textAlignment w:val="center"/>
              <w:rPr>
                <w:szCs w:val="21"/>
              </w:rPr>
            </w:pPr>
            <w:r>
              <w:rPr>
                <w:kern w:val="0"/>
                <w:szCs w:val="21"/>
                <w:lang w:bidi="ar"/>
              </w:rPr>
              <w:t>盛丰焦化楼位置1号舍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0D2DC50">
            <w:pPr>
              <w:widowControl/>
              <w:jc w:val="center"/>
              <w:textAlignment w:val="center"/>
              <w:rPr>
                <w:szCs w:val="21"/>
              </w:rPr>
            </w:pPr>
            <w:r>
              <w:rPr>
                <w:kern w:val="0"/>
                <w:szCs w:val="21"/>
                <w:lang w:bidi="ar"/>
              </w:rPr>
              <w:t>0.71</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55565EBD">
            <w:pPr>
              <w:widowControl/>
              <w:jc w:val="center"/>
              <w:textAlignment w:val="center"/>
              <w:rPr>
                <w:szCs w:val="21"/>
              </w:rPr>
            </w:pPr>
            <w:r>
              <w:rPr>
                <w:kern w:val="0"/>
                <w:szCs w:val="21"/>
                <w:lang w:bidi="ar"/>
              </w:rPr>
              <w:t>3.66</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65DEA454">
            <w:pPr>
              <w:widowControl/>
              <w:jc w:val="center"/>
              <w:textAlignment w:val="center"/>
              <w:rPr>
                <w:szCs w:val="21"/>
              </w:rPr>
            </w:pPr>
            <w:r>
              <w:rPr>
                <w:kern w:val="0"/>
                <w:szCs w:val="21"/>
                <w:lang w:bidi="ar"/>
              </w:rPr>
              <w:t>0.16</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55FC596">
            <w:pPr>
              <w:widowControl/>
              <w:jc w:val="center"/>
              <w:textAlignment w:val="center"/>
              <w:rPr>
                <w:szCs w:val="21"/>
              </w:rPr>
            </w:pPr>
            <w:r>
              <w:rPr>
                <w:kern w:val="0"/>
                <w:szCs w:val="21"/>
                <w:lang w:bidi="ar"/>
              </w:rPr>
              <w:t>0.32</w:t>
            </w:r>
          </w:p>
        </w:tc>
        <w:tc>
          <w:tcPr>
            <w:tcW w:w="745" w:type="pct"/>
            <w:vMerge w:val="continue"/>
            <w:tcBorders>
              <w:left w:val="single" w:color="000000" w:sz="4" w:space="0"/>
              <w:right w:val="single" w:color="000000" w:sz="4" w:space="0"/>
            </w:tcBorders>
            <w:noWrap/>
            <w:vAlign w:val="center"/>
          </w:tcPr>
          <w:p w14:paraId="4B6A3F3B">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284CC530">
            <w:pPr>
              <w:widowControl/>
              <w:jc w:val="right"/>
              <w:textAlignment w:val="center"/>
              <w:rPr>
                <w:szCs w:val="21"/>
              </w:rPr>
            </w:pPr>
            <w:r>
              <w:rPr>
                <w:kern w:val="0"/>
                <w:szCs w:val="21"/>
                <w:lang w:bidi="ar"/>
              </w:rPr>
              <w:t xml:space="preserve">0.0353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0A302754">
            <w:pPr>
              <w:widowControl/>
              <w:jc w:val="right"/>
              <w:textAlignment w:val="center"/>
              <w:rPr>
                <w:szCs w:val="21"/>
              </w:rPr>
            </w:pPr>
            <w:r>
              <w:rPr>
                <w:kern w:val="0"/>
                <w:szCs w:val="21"/>
                <w:lang w:bidi="ar"/>
              </w:rPr>
              <w:t xml:space="preserve">0.1832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1BE7D5C">
            <w:pPr>
              <w:widowControl/>
              <w:jc w:val="right"/>
              <w:textAlignment w:val="center"/>
              <w:rPr>
                <w:szCs w:val="21"/>
              </w:rPr>
            </w:pPr>
            <w:r>
              <w:rPr>
                <w:kern w:val="0"/>
                <w:szCs w:val="21"/>
                <w:lang w:bidi="ar"/>
              </w:rPr>
              <w:t xml:space="preserve">0.0080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247821A9">
            <w:pPr>
              <w:widowControl/>
              <w:jc w:val="right"/>
              <w:textAlignment w:val="center"/>
              <w:rPr>
                <w:szCs w:val="21"/>
              </w:rPr>
            </w:pPr>
            <w:r>
              <w:rPr>
                <w:kern w:val="0"/>
                <w:szCs w:val="21"/>
                <w:lang w:bidi="ar"/>
              </w:rPr>
              <w:t xml:space="preserve">0.0161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2B95245">
            <w:pPr>
              <w:widowControl/>
              <w:jc w:val="right"/>
              <w:textAlignment w:val="center"/>
              <w:rPr>
                <w:szCs w:val="21"/>
              </w:rPr>
            </w:pPr>
            <w:r>
              <w:rPr>
                <w:kern w:val="0"/>
                <w:szCs w:val="21"/>
                <w:lang w:bidi="ar"/>
              </w:rPr>
              <w:t xml:space="preserve">51.3022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6157DCA1">
            <w:pPr>
              <w:widowControl/>
              <w:jc w:val="right"/>
              <w:textAlignment w:val="center"/>
              <w:rPr>
                <w:szCs w:val="21"/>
              </w:rPr>
            </w:pPr>
            <w:r>
              <w:rPr>
                <w:kern w:val="0"/>
                <w:szCs w:val="21"/>
                <w:lang w:bidi="ar"/>
              </w:rPr>
              <w:t xml:space="preserve">5.0132 </w:t>
            </w:r>
          </w:p>
        </w:tc>
      </w:tr>
      <w:tr w14:paraId="1B99C118">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7183EF17">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64C7C4BC">
            <w:pPr>
              <w:widowControl/>
              <w:jc w:val="center"/>
              <w:textAlignment w:val="center"/>
              <w:rPr>
                <w:szCs w:val="21"/>
              </w:rPr>
            </w:pPr>
            <w:r>
              <w:rPr>
                <w:kern w:val="0"/>
                <w:szCs w:val="21"/>
                <w:lang w:bidi="ar"/>
              </w:rPr>
              <w:t>盛丰焦化楼位置2号舍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290401CF">
            <w:pPr>
              <w:widowControl/>
              <w:jc w:val="center"/>
              <w:textAlignment w:val="center"/>
              <w:rPr>
                <w:szCs w:val="21"/>
              </w:rPr>
            </w:pPr>
            <w:r>
              <w:rPr>
                <w:kern w:val="0"/>
                <w:szCs w:val="21"/>
                <w:lang w:bidi="ar"/>
              </w:rPr>
              <w:t>0.99</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6EEA3872">
            <w:pPr>
              <w:widowControl/>
              <w:jc w:val="center"/>
              <w:textAlignment w:val="center"/>
              <w:rPr>
                <w:szCs w:val="21"/>
              </w:rPr>
            </w:pPr>
            <w:r>
              <w:rPr>
                <w:kern w:val="0"/>
                <w:szCs w:val="21"/>
                <w:lang w:bidi="ar"/>
              </w:rPr>
              <w:t>5.10</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46AAF6E5">
            <w:pPr>
              <w:widowControl/>
              <w:jc w:val="center"/>
              <w:textAlignment w:val="center"/>
              <w:rPr>
                <w:szCs w:val="21"/>
              </w:rPr>
            </w:pPr>
            <w:r>
              <w:rPr>
                <w:kern w:val="0"/>
                <w:szCs w:val="21"/>
                <w:lang w:bidi="ar"/>
              </w:rPr>
              <w:t>0.22</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3385DEE">
            <w:pPr>
              <w:widowControl/>
              <w:jc w:val="center"/>
              <w:textAlignment w:val="center"/>
              <w:rPr>
                <w:szCs w:val="21"/>
              </w:rPr>
            </w:pPr>
            <w:r>
              <w:rPr>
                <w:kern w:val="0"/>
                <w:szCs w:val="21"/>
                <w:lang w:bidi="ar"/>
              </w:rPr>
              <w:t>0.45</w:t>
            </w:r>
          </w:p>
        </w:tc>
        <w:tc>
          <w:tcPr>
            <w:tcW w:w="745" w:type="pct"/>
            <w:vMerge w:val="continue"/>
            <w:tcBorders>
              <w:left w:val="single" w:color="000000" w:sz="4" w:space="0"/>
              <w:right w:val="single" w:color="000000" w:sz="4" w:space="0"/>
            </w:tcBorders>
            <w:noWrap/>
            <w:vAlign w:val="center"/>
          </w:tcPr>
          <w:p w14:paraId="0DBA5EB3">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7CF64A9">
            <w:pPr>
              <w:widowControl/>
              <w:jc w:val="right"/>
              <w:textAlignment w:val="center"/>
              <w:rPr>
                <w:szCs w:val="21"/>
              </w:rPr>
            </w:pPr>
            <w:r>
              <w:rPr>
                <w:kern w:val="0"/>
                <w:szCs w:val="21"/>
                <w:lang w:bidi="ar"/>
              </w:rPr>
              <w:t xml:space="preserve">0.0493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53751322">
            <w:pPr>
              <w:widowControl/>
              <w:jc w:val="right"/>
              <w:textAlignment w:val="center"/>
              <w:rPr>
                <w:szCs w:val="21"/>
              </w:rPr>
            </w:pPr>
            <w:r>
              <w:rPr>
                <w:kern w:val="0"/>
                <w:szCs w:val="21"/>
                <w:lang w:bidi="ar"/>
              </w:rPr>
              <w:t xml:space="preserve">0.2552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4640943">
            <w:pPr>
              <w:widowControl/>
              <w:jc w:val="right"/>
              <w:textAlignment w:val="center"/>
              <w:rPr>
                <w:szCs w:val="21"/>
              </w:rPr>
            </w:pPr>
            <w:r>
              <w:rPr>
                <w:kern w:val="0"/>
                <w:szCs w:val="21"/>
                <w:lang w:bidi="ar"/>
              </w:rPr>
              <w:t xml:space="preserve">0.0112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55AFC1B9">
            <w:pPr>
              <w:widowControl/>
              <w:jc w:val="right"/>
              <w:textAlignment w:val="center"/>
              <w:rPr>
                <w:szCs w:val="21"/>
              </w:rPr>
            </w:pPr>
            <w:r>
              <w:rPr>
                <w:kern w:val="0"/>
                <w:szCs w:val="21"/>
                <w:lang w:bidi="ar"/>
              </w:rPr>
              <w:t xml:space="preserve">0.0224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E8011D5">
            <w:pPr>
              <w:widowControl/>
              <w:jc w:val="right"/>
              <w:textAlignment w:val="center"/>
              <w:rPr>
                <w:szCs w:val="21"/>
              </w:rPr>
            </w:pPr>
            <w:r>
              <w:rPr>
                <w:kern w:val="0"/>
                <w:szCs w:val="21"/>
                <w:lang w:bidi="ar"/>
              </w:rPr>
              <w:t xml:space="preserve">71.4814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60F04BC5">
            <w:pPr>
              <w:widowControl/>
              <w:jc w:val="right"/>
              <w:textAlignment w:val="center"/>
              <w:rPr>
                <w:szCs w:val="21"/>
              </w:rPr>
            </w:pPr>
            <w:r>
              <w:rPr>
                <w:kern w:val="0"/>
                <w:szCs w:val="21"/>
                <w:lang w:bidi="ar"/>
              </w:rPr>
              <w:t xml:space="preserve">6.9852 </w:t>
            </w:r>
          </w:p>
        </w:tc>
      </w:tr>
      <w:tr w14:paraId="57900DAC">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437CCB6C">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42C1D542">
            <w:pPr>
              <w:widowControl/>
              <w:jc w:val="center"/>
              <w:textAlignment w:val="center"/>
              <w:rPr>
                <w:szCs w:val="21"/>
              </w:rPr>
            </w:pPr>
            <w:r>
              <w:rPr>
                <w:kern w:val="0"/>
                <w:szCs w:val="21"/>
                <w:lang w:bidi="ar"/>
              </w:rPr>
              <w:t>球场位置1单元</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229A0107">
            <w:pPr>
              <w:widowControl/>
              <w:jc w:val="center"/>
              <w:textAlignment w:val="center"/>
              <w:rPr>
                <w:szCs w:val="21"/>
              </w:rPr>
            </w:pPr>
            <w:r>
              <w:rPr>
                <w:kern w:val="0"/>
                <w:szCs w:val="21"/>
                <w:lang w:bidi="ar"/>
              </w:rPr>
              <w:t>0.36</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46DFF33F">
            <w:pPr>
              <w:widowControl/>
              <w:jc w:val="center"/>
              <w:textAlignment w:val="center"/>
              <w:rPr>
                <w:szCs w:val="21"/>
              </w:rPr>
            </w:pPr>
            <w:r>
              <w:rPr>
                <w:kern w:val="0"/>
                <w:szCs w:val="21"/>
                <w:lang w:bidi="ar"/>
              </w:rPr>
              <w:t>1.86</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55F980FA">
            <w:pPr>
              <w:widowControl/>
              <w:jc w:val="center"/>
              <w:textAlignment w:val="center"/>
              <w:rPr>
                <w:szCs w:val="21"/>
              </w:rPr>
            </w:pPr>
            <w:r>
              <w:rPr>
                <w:kern w:val="0"/>
                <w:szCs w:val="21"/>
                <w:lang w:bidi="ar"/>
              </w:rPr>
              <w:t>0.08</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BD2C937">
            <w:pPr>
              <w:widowControl/>
              <w:jc w:val="center"/>
              <w:textAlignment w:val="center"/>
              <w:rPr>
                <w:szCs w:val="21"/>
              </w:rPr>
            </w:pPr>
            <w:r>
              <w:rPr>
                <w:kern w:val="0"/>
                <w:szCs w:val="21"/>
                <w:lang w:bidi="ar"/>
              </w:rPr>
              <w:t>0.16</w:t>
            </w:r>
          </w:p>
        </w:tc>
        <w:tc>
          <w:tcPr>
            <w:tcW w:w="745" w:type="pct"/>
            <w:vMerge w:val="continue"/>
            <w:tcBorders>
              <w:left w:val="single" w:color="000000" w:sz="4" w:space="0"/>
              <w:right w:val="single" w:color="000000" w:sz="4" w:space="0"/>
            </w:tcBorders>
            <w:noWrap/>
            <w:vAlign w:val="center"/>
          </w:tcPr>
          <w:p w14:paraId="191E0870">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60C752F">
            <w:pPr>
              <w:widowControl/>
              <w:jc w:val="right"/>
              <w:textAlignment w:val="center"/>
              <w:rPr>
                <w:szCs w:val="21"/>
              </w:rPr>
            </w:pPr>
            <w:r>
              <w:rPr>
                <w:kern w:val="0"/>
                <w:szCs w:val="21"/>
                <w:lang w:bidi="ar"/>
              </w:rPr>
              <w:t xml:space="preserve">0.0179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13B5F450">
            <w:pPr>
              <w:widowControl/>
              <w:jc w:val="right"/>
              <w:textAlignment w:val="center"/>
              <w:rPr>
                <w:szCs w:val="21"/>
              </w:rPr>
            </w:pPr>
            <w:r>
              <w:rPr>
                <w:kern w:val="0"/>
                <w:szCs w:val="21"/>
                <w:lang w:bidi="ar"/>
              </w:rPr>
              <w:t xml:space="preserve">0.0930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B5AF8B4">
            <w:pPr>
              <w:widowControl/>
              <w:jc w:val="right"/>
              <w:textAlignment w:val="center"/>
              <w:rPr>
                <w:szCs w:val="21"/>
              </w:rPr>
            </w:pPr>
            <w:r>
              <w:rPr>
                <w:kern w:val="0"/>
                <w:szCs w:val="21"/>
                <w:lang w:bidi="ar"/>
              </w:rPr>
              <w:t xml:space="preserve">0.0041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60207460">
            <w:pPr>
              <w:widowControl/>
              <w:jc w:val="right"/>
              <w:textAlignment w:val="center"/>
              <w:rPr>
                <w:szCs w:val="21"/>
              </w:rPr>
            </w:pPr>
            <w:r>
              <w:rPr>
                <w:kern w:val="0"/>
                <w:szCs w:val="21"/>
                <w:lang w:bidi="ar"/>
              </w:rPr>
              <w:t xml:space="preserve">0.0082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44C77A1">
            <w:pPr>
              <w:widowControl/>
              <w:jc w:val="right"/>
              <w:textAlignment w:val="center"/>
              <w:rPr>
                <w:szCs w:val="21"/>
              </w:rPr>
            </w:pPr>
            <w:r>
              <w:rPr>
                <w:kern w:val="0"/>
                <w:szCs w:val="21"/>
                <w:lang w:bidi="ar"/>
              </w:rPr>
              <w:t xml:space="preserve">26.0429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384CC23E">
            <w:pPr>
              <w:widowControl/>
              <w:jc w:val="right"/>
              <w:textAlignment w:val="center"/>
              <w:rPr>
                <w:szCs w:val="21"/>
              </w:rPr>
            </w:pPr>
            <w:r>
              <w:rPr>
                <w:kern w:val="0"/>
                <w:szCs w:val="21"/>
                <w:lang w:bidi="ar"/>
              </w:rPr>
              <w:t xml:space="preserve">2.5449 </w:t>
            </w:r>
          </w:p>
        </w:tc>
      </w:tr>
      <w:tr w14:paraId="418E6018">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35A048AA">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685D7DF9">
            <w:pPr>
              <w:widowControl/>
              <w:jc w:val="center"/>
              <w:textAlignment w:val="center"/>
              <w:rPr>
                <w:szCs w:val="21"/>
              </w:rPr>
            </w:pPr>
            <w:r>
              <w:rPr>
                <w:kern w:val="0"/>
                <w:szCs w:val="21"/>
                <w:lang w:bidi="ar"/>
              </w:rPr>
              <w:t>球场位置2单元</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267F456E">
            <w:pPr>
              <w:widowControl/>
              <w:jc w:val="center"/>
              <w:textAlignment w:val="center"/>
              <w:rPr>
                <w:szCs w:val="21"/>
              </w:rPr>
            </w:pPr>
            <w:r>
              <w:rPr>
                <w:kern w:val="0"/>
                <w:szCs w:val="21"/>
                <w:lang w:bidi="ar"/>
              </w:rPr>
              <w:t>0.30</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DF8CB66">
            <w:pPr>
              <w:widowControl/>
              <w:jc w:val="center"/>
              <w:textAlignment w:val="center"/>
              <w:rPr>
                <w:szCs w:val="21"/>
              </w:rPr>
            </w:pPr>
            <w:r>
              <w:rPr>
                <w:kern w:val="0"/>
                <w:szCs w:val="21"/>
                <w:lang w:bidi="ar"/>
              </w:rPr>
              <w:t>1.53</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0EBBB948">
            <w:pPr>
              <w:widowControl/>
              <w:jc w:val="center"/>
              <w:textAlignment w:val="center"/>
              <w:rPr>
                <w:szCs w:val="21"/>
              </w:rPr>
            </w:pPr>
            <w:r>
              <w:rPr>
                <w:kern w:val="0"/>
                <w:szCs w:val="21"/>
                <w:lang w:bidi="ar"/>
              </w:rPr>
              <w:t>0.07</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1FC1063">
            <w:pPr>
              <w:widowControl/>
              <w:jc w:val="center"/>
              <w:textAlignment w:val="center"/>
              <w:rPr>
                <w:szCs w:val="21"/>
              </w:rPr>
            </w:pPr>
            <w:r>
              <w:rPr>
                <w:kern w:val="0"/>
                <w:szCs w:val="21"/>
                <w:lang w:bidi="ar"/>
              </w:rPr>
              <w:t>0.13</w:t>
            </w:r>
          </w:p>
        </w:tc>
        <w:tc>
          <w:tcPr>
            <w:tcW w:w="745" w:type="pct"/>
            <w:vMerge w:val="continue"/>
            <w:tcBorders>
              <w:left w:val="single" w:color="000000" w:sz="4" w:space="0"/>
              <w:right w:val="single" w:color="000000" w:sz="4" w:space="0"/>
            </w:tcBorders>
            <w:noWrap/>
            <w:vAlign w:val="center"/>
          </w:tcPr>
          <w:p w14:paraId="7DC644DF">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6A560FA">
            <w:pPr>
              <w:widowControl/>
              <w:jc w:val="right"/>
              <w:textAlignment w:val="center"/>
              <w:rPr>
                <w:szCs w:val="21"/>
              </w:rPr>
            </w:pPr>
            <w:r>
              <w:rPr>
                <w:kern w:val="0"/>
                <w:szCs w:val="21"/>
                <w:lang w:bidi="ar"/>
              </w:rPr>
              <w:t xml:space="preserve">0.0148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08AE6A85">
            <w:pPr>
              <w:widowControl/>
              <w:jc w:val="right"/>
              <w:textAlignment w:val="center"/>
              <w:rPr>
                <w:szCs w:val="21"/>
              </w:rPr>
            </w:pPr>
            <w:r>
              <w:rPr>
                <w:kern w:val="0"/>
                <w:szCs w:val="21"/>
                <w:lang w:bidi="ar"/>
              </w:rPr>
              <w:t xml:space="preserve">0.0765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A375231">
            <w:pPr>
              <w:widowControl/>
              <w:jc w:val="right"/>
              <w:textAlignment w:val="center"/>
              <w:rPr>
                <w:szCs w:val="21"/>
              </w:rPr>
            </w:pPr>
            <w:r>
              <w:rPr>
                <w:kern w:val="0"/>
                <w:szCs w:val="21"/>
                <w:lang w:bidi="ar"/>
              </w:rPr>
              <w:t xml:space="preserve">0.0034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7937F58F">
            <w:pPr>
              <w:widowControl/>
              <w:jc w:val="right"/>
              <w:textAlignment w:val="center"/>
              <w:rPr>
                <w:szCs w:val="21"/>
              </w:rPr>
            </w:pPr>
            <w:r>
              <w:rPr>
                <w:kern w:val="0"/>
                <w:szCs w:val="21"/>
                <w:lang w:bidi="ar"/>
              </w:rPr>
              <w:t xml:space="preserve">0.0067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04AF2F9">
            <w:pPr>
              <w:widowControl/>
              <w:jc w:val="right"/>
              <w:textAlignment w:val="center"/>
              <w:rPr>
                <w:szCs w:val="21"/>
              </w:rPr>
            </w:pPr>
            <w:r>
              <w:rPr>
                <w:kern w:val="0"/>
                <w:szCs w:val="21"/>
                <w:lang w:bidi="ar"/>
              </w:rPr>
              <w:t xml:space="preserve">21.4228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08FFF89A">
            <w:pPr>
              <w:widowControl/>
              <w:jc w:val="right"/>
              <w:textAlignment w:val="center"/>
              <w:rPr>
                <w:szCs w:val="21"/>
              </w:rPr>
            </w:pPr>
            <w:r>
              <w:rPr>
                <w:kern w:val="0"/>
                <w:szCs w:val="21"/>
                <w:lang w:bidi="ar"/>
              </w:rPr>
              <w:t xml:space="preserve">2.0934 </w:t>
            </w:r>
          </w:p>
        </w:tc>
      </w:tr>
      <w:tr w14:paraId="5673D3F7">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5E81AE87">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5E2DEF81">
            <w:pPr>
              <w:widowControl/>
              <w:jc w:val="center"/>
              <w:textAlignment w:val="center"/>
              <w:rPr>
                <w:szCs w:val="21"/>
              </w:rPr>
            </w:pPr>
            <w:r>
              <w:rPr>
                <w:kern w:val="0"/>
                <w:szCs w:val="21"/>
                <w:lang w:bidi="ar"/>
              </w:rPr>
              <w:t>球场位置3单元</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52034037">
            <w:pPr>
              <w:widowControl/>
              <w:jc w:val="center"/>
              <w:textAlignment w:val="center"/>
              <w:rPr>
                <w:szCs w:val="21"/>
              </w:rPr>
            </w:pPr>
            <w:r>
              <w:rPr>
                <w:kern w:val="0"/>
                <w:szCs w:val="21"/>
                <w:lang w:bidi="ar"/>
              </w:rPr>
              <w:t>0.32</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5E1AC59F">
            <w:pPr>
              <w:widowControl/>
              <w:jc w:val="center"/>
              <w:textAlignment w:val="center"/>
              <w:rPr>
                <w:szCs w:val="21"/>
              </w:rPr>
            </w:pPr>
            <w:r>
              <w:rPr>
                <w:kern w:val="0"/>
                <w:szCs w:val="21"/>
                <w:lang w:bidi="ar"/>
              </w:rPr>
              <w:t>1.63</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353E2068">
            <w:pPr>
              <w:widowControl/>
              <w:jc w:val="center"/>
              <w:textAlignment w:val="center"/>
              <w:rPr>
                <w:szCs w:val="21"/>
              </w:rPr>
            </w:pPr>
            <w:r>
              <w:rPr>
                <w:kern w:val="0"/>
                <w:szCs w:val="21"/>
                <w:lang w:bidi="ar"/>
              </w:rPr>
              <w:t>0.07</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813ABC4">
            <w:pPr>
              <w:widowControl/>
              <w:jc w:val="center"/>
              <w:textAlignment w:val="center"/>
              <w:rPr>
                <w:szCs w:val="21"/>
              </w:rPr>
            </w:pPr>
            <w:r>
              <w:rPr>
                <w:kern w:val="0"/>
                <w:szCs w:val="21"/>
                <w:lang w:bidi="ar"/>
              </w:rPr>
              <w:t>0.14</w:t>
            </w:r>
          </w:p>
        </w:tc>
        <w:tc>
          <w:tcPr>
            <w:tcW w:w="745" w:type="pct"/>
            <w:vMerge w:val="continue"/>
            <w:tcBorders>
              <w:left w:val="single" w:color="000000" w:sz="4" w:space="0"/>
              <w:right w:val="single" w:color="000000" w:sz="4" w:space="0"/>
            </w:tcBorders>
            <w:noWrap/>
            <w:vAlign w:val="center"/>
          </w:tcPr>
          <w:p w14:paraId="2B9AB51D">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14021388">
            <w:pPr>
              <w:widowControl/>
              <w:jc w:val="right"/>
              <w:textAlignment w:val="center"/>
              <w:rPr>
                <w:szCs w:val="21"/>
              </w:rPr>
            </w:pPr>
            <w:r>
              <w:rPr>
                <w:kern w:val="0"/>
                <w:szCs w:val="21"/>
                <w:lang w:bidi="ar"/>
              </w:rPr>
              <w:t xml:space="preserve">0.0158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3CE6146E">
            <w:pPr>
              <w:widowControl/>
              <w:jc w:val="right"/>
              <w:textAlignment w:val="center"/>
              <w:rPr>
                <w:szCs w:val="21"/>
              </w:rPr>
            </w:pPr>
            <w:r>
              <w:rPr>
                <w:kern w:val="0"/>
                <w:szCs w:val="21"/>
                <w:lang w:bidi="ar"/>
              </w:rPr>
              <w:t xml:space="preserve">0.0817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64BA276">
            <w:pPr>
              <w:widowControl/>
              <w:jc w:val="right"/>
              <w:textAlignment w:val="center"/>
              <w:rPr>
                <w:szCs w:val="21"/>
              </w:rPr>
            </w:pPr>
            <w:r>
              <w:rPr>
                <w:kern w:val="0"/>
                <w:szCs w:val="21"/>
                <w:lang w:bidi="ar"/>
              </w:rPr>
              <w:t xml:space="preserve">0.0036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01159463">
            <w:pPr>
              <w:widowControl/>
              <w:jc w:val="right"/>
              <w:textAlignment w:val="center"/>
              <w:rPr>
                <w:szCs w:val="21"/>
              </w:rPr>
            </w:pPr>
            <w:r>
              <w:rPr>
                <w:kern w:val="0"/>
                <w:szCs w:val="21"/>
                <w:lang w:bidi="ar"/>
              </w:rPr>
              <w:t xml:space="preserve">0.0072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33EE10C">
            <w:pPr>
              <w:widowControl/>
              <w:jc w:val="right"/>
              <w:textAlignment w:val="center"/>
              <w:rPr>
                <w:szCs w:val="21"/>
              </w:rPr>
            </w:pPr>
            <w:r>
              <w:rPr>
                <w:kern w:val="0"/>
                <w:szCs w:val="21"/>
                <w:lang w:bidi="ar"/>
              </w:rPr>
              <w:t xml:space="preserve">22.8797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14B1DBD9">
            <w:pPr>
              <w:widowControl/>
              <w:jc w:val="right"/>
              <w:textAlignment w:val="center"/>
              <w:rPr>
                <w:szCs w:val="21"/>
              </w:rPr>
            </w:pPr>
            <w:r>
              <w:rPr>
                <w:kern w:val="0"/>
                <w:szCs w:val="21"/>
                <w:lang w:bidi="ar"/>
              </w:rPr>
              <w:t xml:space="preserve">2.2358 </w:t>
            </w:r>
          </w:p>
        </w:tc>
      </w:tr>
      <w:tr w14:paraId="379E9F77">
        <w:tblPrEx>
          <w:tblCellMar>
            <w:top w:w="0" w:type="dxa"/>
            <w:left w:w="108" w:type="dxa"/>
            <w:bottom w:w="0" w:type="dxa"/>
            <w:right w:w="108" w:type="dxa"/>
          </w:tblCellMar>
        </w:tblPrEx>
        <w:trPr>
          <w:trHeight w:val="285" w:hRule="atLeast"/>
        </w:trPr>
        <w:tc>
          <w:tcPr>
            <w:tcW w:w="202" w:type="pct"/>
            <w:vMerge w:val="restart"/>
            <w:tcBorders>
              <w:top w:val="single" w:color="000000" w:sz="4" w:space="0"/>
              <w:left w:val="single" w:color="000000" w:sz="4" w:space="0"/>
              <w:bottom w:val="single" w:color="000000" w:sz="4" w:space="0"/>
              <w:right w:val="single" w:color="000000" w:sz="4" w:space="0"/>
            </w:tcBorders>
            <w:noWrap/>
            <w:vAlign w:val="center"/>
          </w:tcPr>
          <w:p w14:paraId="3710781B">
            <w:pPr>
              <w:widowControl/>
              <w:jc w:val="center"/>
              <w:textAlignment w:val="center"/>
              <w:rPr>
                <w:szCs w:val="21"/>
              </w:rPr>
            </w:pPr>
            <w:r>
              <w:rPr>
                <w:kern w:val="0"/>
                <w:szCs w:val="21"/>
                <w:lang w:bidi="ar"/>
              </w:rPr>
              <w:t>3号地</w:t>
            </w: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5E353F62">
            <w:pPr>
              <w:widowControl/>
              <w:jc w:val="center"/>
              <w:textAlignment w:val="center"/>
              <w:rPr>
                <w:szCs w:val="21"/>
              </w:rPr>
            </w:pPr>
            <w:r>
              <w:rPr>
                <w:kern w:val="0"/>
                <w:szCs w:val="21"/>
                <w:lang w:bidi="ar"/>
              </w:rPr>
              <w:t>老井位置1号舍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008B182">
            <w:pPr>
              <w:widowControl/>
              <w:jc w:val="center"/>
              <w:textAlignment w:val="center"/>
              <w:rPr>
                <w:szCs w:val="21"/>
              </w:rPr>
            </w:pPr>
            <w:r>
              <w:rPr>
                <w:kern w:val="0"/>
                <w:szCs w:val="21"/>
                <w:lang w:bidi="ar"/>
              </w:rPr>
              <w:t>0.59</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C350951">
            <w:pPr>
              <w:widowControl/>
              <w:jc w:val="center"/>
              <w:textAlignment w:val="center"/>
              <w:rPr>
                <w:szCs w:val="21"/>
              </w:rPr>
            </w:pPr>
            <w:r>
              <w:rPr>
                <w:kern w:val="0"/>
                <w:szCs w:val="21"/>
                <w:lang w:bidi="ar"/>
              </w:rPr>
              <w:t>3.06</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2255E982">
            <w:pPr>
              <w:widowControl/>
              <w:jc w:val="center"/>
              <w:textAlignment w:val="center"/>
              <w:rPr>
                <w:szCs w:val="21"/>
              </w:rPr>
            </w:pPr>
            <w:r>
              <w:rPr>
                <w:kern w:val="0"/>
                <w:szCs w:val="21"/>
                <w:lang w:bidi="ar"/>
              </w:rPr>
              <w:t>0.13</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59D0241">
            <w:pPr>
              <w:widowControl/>
              <w:jc w:val="center"/>
              <w:textAlignment w:val="center"/>
              <w:rPr>
                <w:szCs w:val="21"/>
              </w:rPr>
            </w:pPr>
            <w:r>
              <w:rPr>
                <w:kern w:val="0"/>
                <w:szCs w:val="21"/>
                <w:lang w:bidi="ar"/>
              </w:rPr>
              <w:t>0.27</w:t>
            </w:r>
          </w:p>
        </w:tc>
        <w:tc>
          <w:tcPr>
            <w:tcW w:w="745" w:type="pct"/>
            <w:vMerge w:val="continue"/>
            <w:tcBorders>
              <w:left w:val="single" w:color="000000" w:sz="4" w:space="0"/>
              <w:right w:val="single" w:color="000000" w:sz="4" w:space="0"/>
            </w:tcBorders>
            <w:noWrap/>
            <w:vAlign w:val="center"/>
          </w:tcPr>
          <w:p w14:paraId="6BB43C98">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69D7E27B">
            <w:pPr>
              <w:widowControl/>
              <w:jc w:val="right"/>
              <w:textAlignment w:val="center"/>
              <w:rPr>
                <w:szCs w:val="21"/>
              </w:rPr>
            </w:pPr>
            <w:r>
              <w:rPr>
                <w:kern w:val="0"/>
                <w:szCs w:val="21"/>
                <w:lang w:bidi="ar"/>
              </w:rPr>
              <w:t xml:space="preserve">0.0296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57308F29">
            <w:pPr>
              <w:widowControl/>
              <w:jc w:val="right"/>
              <w:textAlignment w:val="center"/>
              <w:rPr>
                <w:szCs w:val="21"/>
              </w:rPr>
            </w:pPr>
            <w:r>
              <w:rPr>
                <w:kern w:val="0"/>
                <w:szCs w:val="21"/>
                <w:lang w:bidi="ar"/>
              </w:rPr>
              <w:t xml:space="preserve">0.1531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8AC82A7">
            <w:pPr>
              <w:widowControl/>
              <w:jc w:val="right"/>
              <w:textAlignment w:val="center"/>
              <w:rPr>
                <w:szCs w:val="21"/>
              </w:rPr>
            </w:pPr>
            <w:r>
              <w:rPr>
                <w:kern w:val="0"/>
                <w:szCs w:val="21"/>
                <w:lang w:bidi="ar"/>
              </w:rPr>
              <w:t xml:space="preserve">0.0067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1A0E2611">
            <w:pPr>
              <w:widowControl/>
              <w:jc w:val="right"/>
              <w:textAlignment w:val="center"/>
              <w:rPr>
                <w:szCs w:val="21"/>
              </w:rPr>
            </w:pPr>
            <w:r>
              <w:rPr>
                <w:kern w:val="0"/>
                <w:szCs w:val="21"/>
                <w:lang w:bidi="ar"/>
              </w:rPr>
              <w:t xml:space="preserve">0.0134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1B9BDA0">
            <w:pPr>
              <w:widowControl/>
              <w:jc w:val="right"/>
              <w:textAlignment w:val="center"/>
              <w:rPr>
                <w:szCs w:val="21"/>
              </w:rPr>
            </w:pPr>
            <w:r>
              <w:rPr>
                <w:kern w:val="0"/>
                <w:szCs w:val="21"/>
                <w:lang w:bidi="ar"/>
              </w:rPr>
              <w:t xml:space="preserve">42.8888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1606FBB3">
            <w:pPr>
              <w:widowControl/>
              <w:jc w:val="right"/>
              <w:textAlignment w:val="center"/>
              <w:rPr>
                <w:szCs w:val="21"/>
              </w:rPr>
            </w:pPr>
            <w:r>
              <w:rPr>
                <w:kern w:val="0"/>
                <w:szCs w:val="21"/>
                <w:lang w:bidi="ar"/>
              </w:rPr>
              <w:t xml:space="preserve">4.1911 </w:t>
            </w:r>
          </w:p>
        </w:tc>
      </w:tr>
      <w:tr w14:paraId="646869EF">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7DCDAB0E">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75676530">
            <w:pPr>
              <w:widowControl/>
              <w:jc w:val="center"/>
              <w:textAlignment w:val="center"/>
              <w:rPr>
                <w:szCs w:val="21"/>
              </w:rPr>
            </w:pPr>
            <w:r>
              <w:rPr>
                <w:kern w:val="0"/>
                <w:szCs w:val="21"/>
                <w:lang w:bidi="ar"/>
              </w:rPr>
              <w:t>老井位置2号舍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4CB19A02">
            <w:pPr>
              <w:widowControl/>
              <w:jc w:val="center"/>
              <w:textAlignment w:val="center"/>
              <w:rPr>
                <w:szCs w:val="21"/>
              </w:rPr>
            </w:pPr>
            <w:r>
              <w:rPr>
                <w:kern w:val="0"/>
                <w:szCs w:val="21"/>
                <w:lang w:bidi="ar"/>
              </w:rPr>
              <w:t>0.59</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0A59FAD2">
            <w:pPr>
              <w:widowControl/>
              <w:jc w:val="center"/>
              <w:textAlignment w:val="center"/>
              <w:rPr>
                <w:szCs w:val="21"/>
              </w:rPr>
            </w:pPr>
            <w:r>
              <w:rPr>
                <w:kern w:val="0"/>
                <w:szCs w:val="21"/>
                <w:lang w:bidi="ar"/>
              </w:rPr>
              <w:t>3.06</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1C4B42AD">
            <w:pPr>
              <w:widowControl/>
              <w:jc w:val="center"/>
              <w:textAlignment w:val="center"/>
              <w:rPr>
                <w:szCs w:val="21"/>
              </w:rPr>
            </w:pPr>
            <w:r>
              <w:rPr>
                <w:kern w:val="0"/>
                <w:szCs w:val="21"/>
                <w:lang w:bidi="ar"/>
              </w:rPr>
              <w:t>0.13</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9B277AF">
            <w:pPr>
              <w:widowControl/>
              <w:jc w:val="center"/>
              <w:textAlignment w:val="center"/>
              <w:rPr>
                <w:szCs w:val="21"/>
              </w:rPr>
            </w:pPr>
            <w:r>
              <w:rPr>
                <w:kern w:val="0"/>
                <w:szCs w:val="21"/>
                <w:lang w:bidi="ar"/>
              </w:rPr>
              <w:t>0.27</w:t>
            </w:r>
          </w:p>
        </w:tc>
        <w:tc>
          <w:tcPr>
            <w:tcW w:w="745" w:type="pct"/>
            <w:vMerge w:val="continue"/>
            <w:tcBorders>
              <w:left w:val="single" w:color="000000" w:sz="4" w:space="0"/>
              <w:right w:val="single" w:color="000000" w:sz="4" w:space="0"/>
            </w:tcBorders>
            <w:noWrap/>
            <w:vAlign w:val="center"/>
          </w:tcPr>
          <w:p w14:paraId="6338F4DE">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7FDB6962">
            <w:pPr>
              <w:widowControl/>
              <w:jc w:val="right"/>
              <w:textAlignment w:val="center"/>
              <w:rPr>
                <w:szCs w:val="21"/>
              </w:rPr>
            </w:pPr>
            <w:r>
              <w:rPr>
                <w:kern w:val="0"/>
                <w:szCs w:val="21"/>
                <w:lang w:bidi="ar"/>
              </w:rPr>
              <w:t xml:space="preserve">0.0296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0895C235">
            <w:pPr>
              <w:widowControl/>
              <w:jc w:val="right"/>
              <w:textAlignment w:val="center"/>
              <w:rPr>
                <w:szCs w:val="21"/>
              </w:rPr>
            </w:pPr>
            <w:r>
              <w:rPr>
                <w:kern w:val="0"/>
                <w:szCs w:val="21"/>
                <w:lang w:bidi="ar"/>
              </w:rPr>
              <w:t xml:space="preserve">0.1531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7B2C446">
            <w:pPr>
              <w:widowControl/>
              <w:jc w:val="right"/>
              <w:textAlignment w:val="center"/>
              <w:rPr>
                <w:szCs w:val="21"/>
              </w:rPr>
            </w:pPr>
            <w:r>
              <w:rPr>
                <w:kern w:val="0"/>
                <w:szCs w:val="21"/>
                <w:lang w:bidi="ar"/>
              </w:rPr>
              <w:t xml:space="preserve">0.0067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5BE0D316">
            <w:pPr>
              <w:widowControl/>
              <w:jc w:val="right"/>
              <w:textAlignment w:val="center"/>
              <w:rPr>
                <w:szCs w:val="21"/>
              </w:rPr>
            </w:pPr>
            <w:r>
              <w:rPr>
                <w:kern w:val="0"/>
                <w:szCs w:val="21"/>
                <w:lang w:bidi="ar"/>
              </w:rPr>
              <w:t xml:space="preserve">0.0134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ACE28FF">
            <w:pPr>
              <w:widowControl/>
              <w:jc w:val="right"/>
              <w:textAlignment w:val="center"/>
              <w:rPr>
                <w:szCs w:val="21"/>
              </w:rPr>
            </w:pPr>
            <w:r>
              <w:rPr>
                <w:kern w:val="0"/>
                <w:szCs w:val="21"/>
                <w:lang w:bidi="ar"/>
              </w:rPr>
              <w:t xml:space="preserve">42.8888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2FDD9035">
            <w:pPr>
              <w:widowControl/>
              <w:jc w:val="right"/>
              <w:textAlignment w:val="center"/>
              <w:rPr>
                <w:szCs w:val="21"/>
              </w:rPr>
            </w:pPr>
            <w:r>
              <w:rPr>
                <w:kern w:val="0"/>
                <w:szCs w:val="21"/>
                <w:lang w:bidi="ar"/>
              </w:rPr>
              <w:t xml:space="preserve">4.1911 </w:t>
            </w:r>
          </w:p>
        </w:tc>
      </w:tr>
      <w:tr w14:paraId="3F785E88">
        <w:tblPrEx>
          <w:tblCellMar>
            <w:top w:w="0" w:type="dxa"/>
            <w:left w:w="108" w:type="dxa"/>
            <w:bottom w:w="0" w:type="dxa"/>
            <w:right w:w="108" w:type="dxa"/>
          </w:tblCellMar>
        </w:tblPrEx>
        <w:trPr>
          <w:trHeight w:val="285" w:hRule="atLeast"/>
        </w:trPr>
        <w:tc>
          <w:tcPr>
            <w:tcW w:w="202" w:type="pct"/>
            <w:vMerge w:val="restart"/>
            <w:tcBorders>
              <w:top w:val="single" w:color="000000" w:sz="4" w:space="0"/>
              <w:left w:val="single" w:color="000000" w:sz="4" w:space="0"/>
              <w:bottom w:val="single" w:color="000000" w:sz="4" w:space="0"/>
              <w:right w:val="single" w:color="000000" w:sz="4" w:space="0"/>
            </w:tcBorders>
            <w:noWrap/>
            <w:vAlign w:val="center"/>
          </w:tcPr>
          <w:p w14:paraId="364C39F9">
            <w:pPr>
              <w:widowControl/>
              <w:jc w:val="center"/>
              <w:textAlignment w:val="center"/>
              <w:rPr>
                <w:szCs w:val="21"/>
              </w:rPr>
            </w:pPr>
            <w:r>
              <w:rPr>
                <w:kern w:val="0"/>
                <w:szCs w:val="21"/>
                <w:lang w:bidi="ar"/>
              </w:rPr>
              <w:t>4号地</w:t>
            </w: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6F564536">
            <w:pPr>
              <w:widowControl/>
              <w:jc w:val="center"/>
              <w:textAlignment w:val="center"/>
              <w:rPr>
                <w:szCs w:val="21"/>
              </w:rPr>
            </w:pPr>
            <w:r>
              <w:rPr>
                <w:kern w:val="0"/>
                <w:szCs w:val="21"/>
                <w:lang w:bidi="ar"/>
              </w:rPr>
              <w:t>鑫旺板块1号舍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28D5D07">
            <w:pPr>
              <w:widowControl/>
              <w:jc w:val="center"/>
              <w:textAlignment w:val="center"/>
              <w:rPr>
                <w:szCs w:val="21"/>
              </w:rPr>
            </w:pPr>
            <w:r>
              <w:rPr>
                <w:kern w:val="0"/>
                <w:szCs w:val="21"/>
                <w:lang w:bidi="ar"/>
              </w:rPr>
              <w:t>0.99</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FAD1DCF">
            <w:pPr>
              <w:widowControl/>
              <w:jc w:val="center"/>
              <w:textAlignment w:val="center"/>
              <w:rPr>
                <w:szCs w:val="21"/>
              </w:rPr>
            </w:pPr>
            <w:r>
              <w:rPr>
                <w:kern w:val="0"/>
                <w:szCs w:val="21"/>
                <w:lang w:bidi="ar"/>
              </w:rPr>
              <w:t>5.10</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7D51472F">
            <w:pPr>
              <w:widowControl/>
              <w:jc w:val="center"/>
              <w:textAlignment w:val="center"/>
              <w:rPr>
                <w:szCs w:val="21"/>
              </w:rPr>
            </w:pPr>
            <w:r>
              <w:rPr>
                <w:kern w:val="0"/>
                <w:szCs w:val="21"/>
                <w:lang w:bidi="ar"/>
              </w:rPr>
              <w:t>0.22</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647E579">
            <w:pPr>
              <w:widowControl/>
              <w:jc w:val="center"/>
              <w:textAlignment w:val="center"/>
              <w:rPr>
                <w:szCs w:val="21"/>
              </w:rPr>
            </w:pPr>
            <w:r>
              <w:rPr>
                <w:kern w:val="0"/>
                <w:szCs w:val="21"/>
                <w:lang w:bidi="ar"/>
              </w:rPr>
              <w:t>0.45</w:t>
            </w:r>
          </w:p>
        </w:tc>
        <w:tc>
          <w:tcPr>
            <w:tcW w:w="745" w:type="pct"/>
            <w:vMerge w:val="continue"/>
            <w:tcBorders>
              <w:left w:val="single" w:color="000000" w:sz="4" w:space="0"/>
              <w:right w:val="single" w:color="000000" w:sz="4" w:space="0"/>
            </w:tcBorders>
            <w:noWrap/>
            <w:vAlign w:val="center"/>
          </w:tcPr>
          <w:p w14:paraId="71D7B64F">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11DEA6B">
            <w:pPr>
              <w:widowControl/>
              <w:jc w:val="right"/>
              <w:textAlignment w:val="center"/>
              <w:rPr>
                <w:szCs w:val="21"/>
              </w:rPr>
            </w:pPr>
            <w:r>
              <w:rPr>
                <w:kern w:val="0"/>
                <w:szCs w:val="21"/>
                <w:lang w:bidi="ar"/>
              </w:rPr>
              <w:t xml:space="preserve">0.0493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469D5C19">
            <w:pPr>
              <w:widowControl/>
              <w:jc w:val="right"/>
              <w:textAlignment w:val="center"/>
              <w:rPr>
                <w:szCs w:val="21"/>
              </w:rPr>
            </w:pPr>
            <w:r>
              <w:rPr>
                <w:kern w:val="0"/>
                <w:szCs w:val="21"/>
                <w:lang w:bidi="ar"/>
              </w:rPr>
              <w:t xml:space="preserve">0.2552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B3A0B7B">
            <w:pPr>
              <w:widowControl/>
              <w:jc w:val="right"/>
              <w:textAlignment w:val="center"/>
              <w:rPr>
                <w:szCs w:val="21"/>
              </w:rPr>
            </w:pPr>
            <w:r>
              <w:rPr>
                <w:kern w:val="0"/>
                <w:szCs w:val="21"/>
                <w:lang w:bidi="ar"/>
              </w:rPr>
              <w:t xml:space="preserve">0.0112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1128677F">
            <w:pPr>
              <w:widowControl/>
              <w:jc w:val="right"/>
              <w:textAlignment w:val="center"/>
              <w:rPr>
                <w:szCs w:val="21"/>
              </w:rPr>
            </w:pPr>
            <w:r>
              <w:rPr>
                <w:kern w:val="0"/>
                <w:szCs w:val="21"/>
                <w:lang w:bidi="ar"/>
              </w:rPr>
              <w:t xml:space="preserve">0.0224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F4460B5">
            <w:pPr>
              <w:widowControl/>
              <w:jc w:val="right"/>
              <w:textAlignment w:val="center"/>
              <w:rPr>
                <w:szCs w:val="21"/>
              </w:rPr>
            </w:pPr>
            <w:r>
              <w:rPr>
                <w:kern w:val="0"/>
                <w:szCs w:val="21"/>
                <w:lang w:bidi="ar"/>
              </w:rPr>
              <w:t xml:space="preserve">71.4814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636306FC">
            <w:pPr>
              <w:widowControl/>
              <w:jc w:val="right"/>
              <w:textAlignment w:val="center"/>
              <w:rPr>
                <w:szCs w:val="21"/>
              </w:rPr>
            </w:pPr>
            <w:r>
              <w:rPr>
                <w:kern w:val="0"/>
                <w:szCs w:val="21"/>
                <w:lang w:bidi="ar"/>
              </w:rPr>
              <w:t xml:space="preserve">6.9852 </w:t>
            </w:r>
          </w:p>
        </w:tc>
      </w:tr>
      <w:tr w14:paraId="7986AD6F">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051678B8">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07A71029">
            <w:pPr>
              <w:widowControl/>
              <w:jc w:val="center"/>
              <w:textAlignment w:val="center"/>
              <w:rPr>
                <w:szCs w:val="21"/>
              </w:rPr>
            </w:pPr>
            <w:r>
              <w:rPr>
                <w:kern w:val="0"/>
                <w:szCs w:val="21"/>
                <w:lang w:bidi="ar"/>
              </w:rPr>
              <w:t>鑫旺板块2号舍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03DFC77D">
            <w:pPr>
              <w:widowControl/>
              <w:jc w:val="center"/>
              <w:textAlignment w:val="center"/>
              <w:rPr>
                <w:szCs w:val="21"/>
              </w:rPr>
            </w:pPr>
            <w:r>
              <w:rPr>
                <w:kern w:val="0"/>
                <w:szCs w:val="21"/>
                <w:lang w:bidi="ar"/>
              </w:rPr>
              <w:t>0.99</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6614F446">
            <w:pPr>
              <w:widowControl/>
              <w:jc w:val="center"/>
              <w:textAlignment w:val="center"/>
              <w:rPr>
                <w:szCs w:val="21"/>
              </w:rPr>
            </w:pPr>
            <w:r>
              <w:rPr>
                <w:kern w:val="0"/>
                <w:szCs w:val="21"/>
                <w:lang w:bidi="ar"/>
              </w:rPr>
              <w:t>5.10</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5E1961BB">
            <w:pPr>
              <w:widowControl/>
              <w:jc w:val="center"/>
              <w:textAlignment w:val="center"/>
              <w:rPr>
                <w:szCs w:val="21"/>
              </w:rPr>
            </w:pPr>
            <w:r>
              <w:rPr>
                <w:kern w:val="0"/>
                <w:szCs w:val="21"/>
                <w:lang w:bidi="ar"/>
              </w:rPr>
              <w:t>0.22</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2862825">
            <w:pPr>
              <w:widowControl/>
              <w:jc w:val="center"/>
              <w:textAlignment w:val="center"/>
              <w:rPr>
                <w:szCs w:val="21"/>
              </w:rPr>
            </w:pPr>
            <w:r>
              <w:rPr>
                <w:kern w:val="0"/>
                <w:szCs w:val="21"/>
                <w:lang w:bidi="ar"/>
              </w:rPr>
              <w:t>0.45</w:t>
            </w:r>
          </w:p>
        </w:tc>
        <w:tc>
          <w:tcPr>
            <w:tcW w:w="745" w:type="pct"/>
            <w:vMerge w:val="continue"/>
            <w:tcBorders>
              <w:left w:val="single" w:color="000000" w:sz="4" w:space="0"/>
              <w:right w:val="single" w:color="000000" w:sz="4" w:space="0"/>
            </w:tcBorders>
            <w:noWrap/>
            <w:vAlign w:val="center"/>
          </w:tcPr>
          <w:p w14:paraId="3DBDDF71">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0B817135">
            <w:pPr>
              <w:widowControl/>
              <w:jc w:val="right"/>
              <w:textAlignment w:val="center"/>
              <w:rPr>
                <w:szCs w:val="21"/>
              </w:rPr>
            </w:pPr>
            <w:r>
              <w:rPr>
                <w:kern w:val="0"/>
                <w:szCs w:val="21"/>
                <w:lang w:bidi="ar"/>
              </w:rPr>
              <w:t xml:space="preserve">0.0493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70EEBA96">
            <w:pPr>
              <w:widowControl/>
              <w:jc w:val="right"/>
              <w:textAlignment w:val="center"/>
              <w:rPr>
                <w:szCs w:val="21"/>
              </w:rPr>
            </w:pPr>
            <w:r>
              <w:rPr>
                <w:kern w:val="0"/>
                <w:szCs w:val="21"/>
                <w:lang w:bidi="ar"/>
              </w:rPr>
              <w:t xml:space="preserve">0.2552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B68FBDE">
            <w:pPr>
              <w:widowControl/>
              <w:jc w:val="right"/>
              <w:textAlignment w:val="center"/>
              <w:rPr>
                <w:szCs w:val="21"/>
              </w:rPr>
            </w:pPr>
            <w:r>
              <w:rPr>
                <w:kern w:val="0"/>
                <w:szCs w:val="21"/>
                <w:lang w:bidi="ar"/>
              </w:rPr>
              <w:t xml:space="preserve">0.0112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1DDD0CCD">
            <w:pPr>
              <w:widowControl/>
              <w:jc w:val="right"/>
              <w:textAlignment w:val="center"/>
              <w:rPr>
                <w:szCs w:val="21"/>
              </w:rPr>
            </w:pPr>
            <w:r>
              <w:rPr>
                <w:kern w:val="0"/>
                <w:szCs w:val="21"/>
                <w:lang w:bidi="ar"/>
              </w:rPr>
              <w:t xml:space="preserve">0.0224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7996C4E">
            <w:pPr>
              <w:widowControl/>
              <w:jc w:val="right"/>
              <w:textAlignment w:val="center"/>
              <w:rPr>
                <w:szCs w:val="21"/>
              </w:rPr>
            </w:pPr>
            <w:r>
              <w:rPr>
                <w:kern w:val="0"/>
                <w:szCs w:val="21"/>
                <w:lang w:bidi="ar"/>
              </w:rPr>
              <w:t xml:space="preserve">71.4814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2CC50B8F">
            <w:pPr>
              <w:widowControl/>
              <w:jc w:val="right"/>
              <w:textAlignment w:val="center"/>
              <w:rPr>
                <w:szCs w:val="21"/>
              </w:rPr>
            </w:pPr>
            <w:r>
              <w:rPr>
                <w:kern w:val="0"/>
                <w:szCs w:val="21"/>
                <w:lang w:bidi="ar"/>
              </w:rPr>
              <w:t xml:space="preserve">6.9852 </w:t>
            </w:r>
          </w:p>
        </w:tc>
      </w:tr>
      <w:tr w14:paraId="0E9C1377">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1FCAADD2">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50D2A0DD">
            <w:pPr>
              <w:widowControl/>
              <w:jc w:val="center"/>
              <w:textAlignment w:val="center"/>
              <w:rPr>
                <w:szCs w:val="21"/>
              </w:rPr>
            </w:pPr>
            <w:r>
              <w:rPr>
                <w:kern w:val="0"/>
                <w:szCs w:val="21"/>
                <w:lang w:bidi="ar"/>
              </w:rPr>
              <w:t>鑫旺板块3号舍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3DD63F7C">
            <w:pPr>
              <w:widowControl/>
              <w:jc w:val="center"/>
              <w:textAlignment w:val="center"/>
              <w:rPr>
                <w:szCs w:val="21"/>
              </w:rPr>
            </w:pPr>
            <w:r>
              <w:rPr>
                <w:kern w:val="0"/>
                <w:szCs w:val="21"/>
                <w:lang w:bidi="ar"/>
              </w:rPr>
              <w:t>0.91</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03B0D710">
            <w:pPr>
              <w:widowControl/>
              <w:jc w:val="center"/>
              <w:textAlignment w:val="center"/>
              <w:rPr>
                <w:szCs w:val="21"/>
              </w:rPr>
            </w:pPr>
            <w:r>
              <w:rPr>
                <w:kern w:val="0"/>
                <w:szCs w:val="21"/>
                <w:lang w:bidi="ar"/>
              </w:rPr>
              <w:t>4.70</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1CBB1FAA">
            <w:pPr>
              <w:widowControl/>
              <w:jc w:val="center"/>
              <w:textAlignment w:val="center"/>
              <w:rPr>
                <w:szCs w:val="21"/>
              </w:rPr>
            </w:pPr>
            <w:r>
              <w:rPr>
                <w:kern w:val="0"/>
                <w:szCs w:val="21"/>
                <w:lang w:bidi="ar"/>
              </w:rPr>
              <w:t>0.21</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5C5EE30">
            <w:pPr>
              <w:widowControl/>
              <w:jc w:val="center"/>
              <w:textAlignment w:val="center"/>
              <w:rPr>
                <w:szCs w:val="21"/>
              </w:rPr>
            </w:pPr>
            <w:r>
              <w:rPr>
                <w:kern w:val="0"/>
                <w:szCs w:val="21"/>
                <w:lang w:bidi="ar"/>
              </w:rPr>
              <w:t>0.41</w:t>
            </w:r>
          </w:p>
        </w:tc>
        <w:tc>
          <w:tcPr>
            <w:tcW w:w="745" w:type="pct"/>
            <w:vMerge w:val="continue"/>
            <w:tcBorders>
              <w:left w:val="single" w:color="000000" w:sz="4" w:space="0"/>
              <w:right w:val="single" w:color="000000" w:sz="4" w:space="0"/>
            </w:tcBorders>
            <w:noWrap/>
            <w:vAlign w:val="center"/>
          </w:tcPr>
          <w:p w14:paraId="1035EC44">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02602D5">
            <w:pPr>
              <w:widowControl/>
              <w:jc w:val="right"/>
              <w:textAlignment w:val="center"/>
              <w:rPr>
                <w:szCs w:val="21"/>
              </w:rPr>
            </w:pPr>
            <w:r>
              <w:rPr>
                <w:kern w:val="0"/>
                <w:szCs w:val="21"/>
                <w:lang w:bidi="ar"/>
              </w:rPr>
              <w:t xml:space="preserve">0.0453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049B96C9">
            <w:pPr>
              <w:widowControl/>
              <w:jc w:val="right"/>
              <w:textAlignment w:val="center"/>
              <w:rPr>
                <w:szCs w:val="21"/>
              </w:rPr>
            </w:pPr>
            <w:r>
              <w:rPr>
                <w:kern w:val="0"/>
                <w:szCs w:val="21"/>
                <w:lang w:bidi="ar"/>
              </w:rPr>
              <w:t xml:space="preserve">0.2348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3B62224">
            <w:pPr>
              <w:widowControl/>
              <w:jc w:val="right"/>
              <w:textAlignment w:val="center"/>
              <w:rPr>
                <w:szCs w:val="21"/>
              </w:rPr>
            </w:pPr>
            <w:r>
              <w:rPr>
                <w:kern w:val="0"/>
                <w:szCs w:val="21"/>
                <w:lang w:bidi="ar"/>
              </w:rPr>
              <w:t xml:space="preserve">0.0103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6B27313E">
            <w:pPr>
              <w:widowControl/>
              <w:jc w:val="right"/>
              <w:textAlignment w:val="center"/>
              <w:rPr>
                <w:szCs w:val="21"/>
              </w:rPr>
            </w:pPr>
            <w:r>
              <w:rPr>
                <w:kern w:val="0"/>
                <w:szCs w:val="21"/>
                <w:lang w:bidi="ar"/>
              </w:rPr>
              <w:t xml:space="preserve">0.0206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4632E44">
            <w:pPr>
              <w:widowControl/>
              <w:jc w:val="right"/>
              <w:textAlignment w:val="center"/>
              <w:rPr>
                <w:szCs w:val="21"/>
              </w:rPr>
            </w:pPr>
            <w:r>
              <w:rPr>
                <w:kern w:val="0"/>
                <w:szCs w:val="21"/>
                <w:lang w:bidi="ar"/>
              </w:rPr>
              <w:t xml:space="preserve">65.7629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069E44B1">
            <w:pPr>
              <w:widowControl/>
              <w:jc w:val="right"/>
              <w:textAlignment w:val="center"/>
              <w:rPr>
                <w:szCs w:val="21"/>
              </w:rPr>
            </w:pPr>
            <w:r>
              <w:rPr>
                <w:kern w:val="0"/>
                <w:szCs w:val="21"/>
                <w:lang w:bidi="ar"/>
              </w:rPr>
              <w:t xml:space="preserve">6.4263 </w:t>
            </w:r>
          </w:p>
        </w:tc>
      </w:tr>
      <w:tr w14:paraId="46786582">
        <w:tblPrEx>
          <w:tblCellMar>
            <w:top w:w="0" w:type="dxa"/>
            <w:left w:w="108" w:type="dxa"/>
            <w:bottom w:w="0" w:type="dxa"/>
            <w:right w:w="108" w:type="dxa"/>
          </w:tblCellMar>
        </w:tblPrEx>
        <w:trPr>
          <w:trHeight w:val="285" w:hRule="atLeast"/>
        </w:trPr>
        <w:tc>
          <w:tcPr>
            <w:tcW w:w="202" w:type="pct"/>
            <w:vMerge w:val="restart"/>
            <w:tcBorders>
              <w:top w:val="single" w:color="000000" w:sz="4" w:space="0"/>
              <w:left w:val="single" w:color="000000" w:sz="4" w:space="0"/>
              <w:bottom w:val="single" w:color="000000" w:sz="4" w:space="0"/>
              <w:right w:val="single" w:color="000000" w:sz="4" w:space="0"/>
            </w:tcBorders>
            <w:noWrap/>
            <w:vAlign w:val="center"/>
          </w:tcPr>
          <w:p w14:paraId="0ED2AB21">
            <w:pPr>
              <w:widowControl/>
              <w:jc w:val="center"/>
              <w:textAlignment w:val="center"/>
              <w:rPr>
                <w:szCs w:val="21"/>
              </w:rPr>
            </w:pPr>
            <w:r>
              <w:rPr>
                <w:kern w:val="0"/>
                <w:szCs w:val="21"/>
                <w:lang w:bidi="ar"/>
              </w:rPr>
              <w:t>5号地</w:t>
            </w: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15CA490C">
            <w:pPr>
              <w:widowControl/>
              <w:jc w:val="center"/>
              <w:textAlignment w:val="center"/>
              <w:rPr>
                <w:szCs w:val="21"/>
              </w:rPr>
            </w:pPr>
            <w:r>
              <w:rPr>
                <w:kern w:val="0"/>
                <w:szCs w:val="21"/>
                <w:lang w:bidi="ar"/>
              </w:rPr>
              <w:t>大河边篮球场位置猪舍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B05ECC6">
            <w:pPr>
              <w:widowControl/>
              <w:jc w:val="center"/>
              <w:textAlignment w:val="center"/>
              <w:rPr>
                <w:szCs w:val="21"/>
              </w:rPr>
            </w:pPr>
            <w:r>
              <w:rPr>
                <w:kern w:val="0"/>
                <w:szCs w:val="21"/>
                <w:lang w:bidi="ar"/>
              </w:rPr>
              <w:t>0.82</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D8249EC">
            <w:pPr>
              <w:widowControl/>
              <w:jc w:val="center"/>
              <w:textAlignment w:val="center"/>
              <w:rPr>
                <w:szCs w:val="21"/>
              </w:rPr>
            </w:pPr>
            <w:r>
              <w:rPr>
                <w:kern w:val="0"/>
                <w:szCs w:val="21"/>
                <w:lang w:bidi="ar"/>
              </w:rPr>
              <w:t>4.23</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651679A4">
            <w:pPr>
              <w:widowControl/>
              <w:jc w:val="center"/>
              <w:textAlignment w:val="center"/>
              <w:rPr>
                <w:szCs w:val="21"/>
              </w:rPr>
            </w:pPr>
            <w:r>
              <w:rPr>
                <w:kern w:val="0"/>
                <w:szCs w:val="21"/>
                <w:lang w:bidi="ar"/>
              </w:rPr>
              <w:t>0.19</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3E75928">
            <w:pPr>
              <w:widowControl/>
              <w:jc w:val="center"/>
              <w:textAlignment w:val="center"/>
              <w:rPr>
                <w:szCs w:val="21"/>
              </w:rPr>
            </w:pPr>
            <w:r>
              <w:rPr>
                <w:kern w:val="0"/>
                <w:szCs w:val="21"/>
                <w:lang w:bidi="ar"/>
              </w:rPr>
              <w:t>0.37</w:t>
            </w:r>
          </w:p>
        </w:tc>
        <w:tc>
          <w:tcPr>
            <w:tcW w:w="745" w:type="pct"/>
            <w:vMerge w:val="continue"/>
            <w:tcBorders>
              <w:left w:val="single" w:color="000000" w:sz="4" w:space="0"/>
              <w:right w:val="single" w:color="000000" w:sz="4" w:space="0"/>
            </w:tcBorders>
            <w:noWrap/>
            <w:vAlign w:val="center"/>
          </w:tcPr>
          <w:p w14:paraId="7B78188D">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692414DD">
            <w:pPr>
              <w:widowControl/>
              <w:jc w:val="right"/>
              <w:textAlignment w:val="center"/>
              <w:rPr>
                <w:szCs w:val="21"/>
              </w:rPr>
            </w:pPr>
            <w:r>
              <w:rPr>
                <w:kern w:val="0"/>
                <w:szCs w:val="21"/>
                <w:lang w:bidi="ar"/>
              </w:rPr>
              <w:t xml:space="preserve">0.0408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7DDA360D">
            <w:pPr>
              <w:widowControl/>
              <w:jc w:val="right"/>
              <w:textAlignment w:val="center"/>
              <w:rPr>
                <w:szCs w:val="21"/>
              </w:rPr>
            </w:pPr>
            <w:r>
              <w:rPr>
                <w:kern w:val="0"/>
                <w:szCs w:val="21"/>
                <w:lang w:bidi="ar"/>
              </w:rPr>
              <w:t xml:space="preserve">0.2113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0220E32">
            <w:pPr>
              <w:widowControl/>
              <w:jc w:val="right"/>
              <w:textAlignment w:val="center"/>
              <w:rPr>
                <w:szCs w:val="21"/>
              </w:rPr>
            </w:pPr>
            <w:r>
              <w:rPr>
                <w:kern w:val="0"/>
                <w:szCs w:val="21"/>
                <w:lang w:bidi="ar"/>
              </w:rPr>
              <w:t xml:space="preserve">0.0093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393B084E">
            <w:pPr>
              <w:widowControl/>
              <w:jc w:val="right"/>
              <w:textAlignment w:val="center"/>
              <w:rPr>
                <w:szCs w:val="21"/>
              </w:rPr>
            </w:pPr>
            <w:r>
              <w:rPr>
                <w:kern w:val="0"/>
                <w:szCs w:val="21"/>
                <w:lang w:bidi="ar"/>
              </w:rPr>
              <w:t xml:space="preserve">0.0185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27B3A20">
            <w:pPr>
              <w:widowControl/>
              <w:jc w:val="right"/>
              <w:textAlignment w:val="center"/>
              <w:rPr>
                <w:szCs w:val="21"/>
              </w:rPr>
            </w:pPr>
            <w:r>
              <w:rPr>
                <w:kern w:val="0"/>
                <w:szCs w:val="21"/>
                <w:lang w:bidi="ar"/>
              </w:rPr>
              <w:t xml:space="preserve">59.1913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073FF7FB">
            <w:pPr>
              <w:widowControl/>
              <w:jc w:val="right"/>
              <w:textAlignment w:val="center"/>
              <w:rPr>
                <w:szCs w:val="21"/>
              </w:rPr>
            </w:pPr>
            <w:r>
              <w:rPr>
                <w:kern w:val="0"/>
                <w:szCs w:val="21"/>
                <w:lang w:bidi="ar"/>
              </w:rPr>
              <w:t xml:space="preserve">5.7842 </w:t>
            </w:r>
          </w:p>
        </w:tc>
      </w:tr>
      <w:tr w14:paraId="6ABBC63F">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003C5229">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2CF88046">
            <w:pPr>
              <w:widowControl/>
              <w:jc w:val="center"/>
              <w:textAlignment w:val="center"/>
              <w:rPr>
                <w:szCs w:val="21"/>
              </w:rPr>
            </w:pPr>
            <w:r>
              <w:rPr>
                <w:kern w:val="0"/>
                <w:szCs w:val="21"/>
                <w:lang w:bidi="ar"/>
              </w:rPr>
              <w:t>大河边上煤仓位置1号舍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00A523B0">
            <w:pPr>
              <w:widowControl/>
              <w:jc w:val="center"/>
              <w:textAlignment w:val="center"/>
              <w:rPr>
                <w:szCs w:val="21"/>
              </w:rPr>
            </w:pPr>
            <w:r>
              <w:rPr>
                <w:kern w:val="0"/>
                <w:szCs w:val="21"/>
                <w:lang w:bidi="ar"/>
              </w:rPr>
              <w:t>0.34</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5318F1AF">
            <w:pPr>
              <w:widowControl/>
              <w:jc w:val="center"/>
              <w:textAlignment w:val="center"/>
              <w:rPr>
                <w:szCs w:val="21"/>
              </w:rPr>
            </w:pPr>
            <w:r>
              <w:rPr>
                <w:kern w:val="0"/>
                <w:szCs w:val="21"/>
                <w:lang w:bidi="ar"/>
              </w:rPr>
              <w:t>1.74</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05DEEEF6">
            <w:pPr>
              <w:widowControl/>
              <w:jc w:val="center"/>
              <w:textAlignment w:val="center"/>
              <w:rPr>
                <w:szCs w:val="21"/>
              </w:rPr>
            </w:pPr>
            <w:r>
              <w:rPr>
                <w:kern w:val="0"/>
                <w:szCs w:val="21"/>
                <w:lang w:bidi="ar"/>
              </w:rPr>
              <w:t>0.08</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B0A5148">
            <w:pPr>
              <w:widowControl/>
              <w:jc w:val="center"/>
              <w:textAlignment w:val="center"/>
              <w:rPr>
                <w:szCs w:val="21"/>
              </w:rPr>
            </w:pPr>
            <w:r>
              <w:rPr>
                <w:kern w:val="0"/>
                <w:szCs w:val="21"/>
                <w:lang w:bidi="ar"/>
              </w:rPr>
              <w:t>0.15</w:t>
            </w:r>
          </w:p>
        </w:tc>
        <w:tc>
          <w:tcPr>
            <w:tcW w:w="745" w:type="pct"/>
            <w:vMerge w:val="continue"/>
            <w:tcBorders>
              <w:left w:val="single" w:color="000000" w:sz="4" w:space="0"/>
              <w:right w:val="single" w:color="000000" w:sz="4" w:space="0"/>
            </w:tcBorders>
            <w:noWrap/>
            <w:vAlign w:val="center"/>
          </w:tcPr>
          <w:p w14:paraId="13453F3A">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6C1F71B8">
            <w:pPr>
              <w:widowControl/>
              <w:jc w:val="right"/>
              <w:textAlignment w:val="center"/>
              <w:rPr>
                <w:szCs w:val="21"/>
              </w:rPr>
            </w:pPr>
            <w:r>
              <w:rPr>
                <w:kern w:val="0"/>
                <w:szCs w:val="21"/>
                <w:lang w:bidi="ar"/>
              </w:rPr>
              <w:t xml:space="preserve">0.0168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4F6EE580">
            <w:pPr>
              <w:widowControl/>
              <w:jc w:val="right"/>
              <w:textAlignment w:val="center"/>
              <w:rPr>
                <w:szCs w:val="21"/>
              </w:rPr>
            </w:pPr>
            <w:r>
              <w:rPr>
                <w:kern w:val="0"/>
                <w:szCs w:val="21"/>
                <w:lang w:bidi="ar"/>
              </w:rPr>
              <w:t xml:space="preserve">0.0870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5685694">
            <w:pPr>
              <w:widowControl/>
              <w:jc w:val="right"/>
              <w:textAlignment w:val="center"/>
              <w:rPr>
                <w:szCs w:val="21"/>
              </w:rPr>
            </w:pPr>
            <w:r>
              <w:rPr>
                <w:kern w:val="0"/>
                <w:szCs w:val="21"/>
                <w:lang w:bidi="ar"/>
              </w:rPr>
              <w:t xml:space="preserve">0.0038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6E149DA8">
            <w:pPr>
              <w:widowControl/>
              <w:jc w:val="right"/>
              <w:textAlignment w:val="center"/>
              <w:rPr>
                <w:szCs w:val="21"/>
              </w:rPr>
            </w:pPr>
            <w:r>
              <w:rPr>
                <w:kern w:val="0"/>
                <w:szCs w:val="21"/>
                <w:lang w:bidi="ar"/>
              </w:rPr>
              <w:t xml:space="preserve">0.0076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36A391D">
            <w:pPr>
              <w:widowControl/>
              <w:jc w:val="right"/>
              <w:textAlignment w:val="center"/>
              <w:rPr>
                <w:szCs w:val="21"/>
              </w:rPr>
            </w:pPr>
            <w:r>
              <w:rPr>
                <w:kern w:val="0"/>
                <w:szCs w:val="21"/>
                <w:lang w:bidi="ar"/>
              </w:rPr>
              <w:t xml:space="preserve">24.3731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0CC959FA">
            <w:pPr>
              <w:widowControl/>
              <w:jc w:val="right"/>
              <w:textAlignment w:val="center"/>
              <w:rPr>
                <w:szCs w:val="21"/>
              </w:rPr>
            </w:pPr>
            <w:r>
              <w:rPr>
                <w:kern w:val="0"/>
                <w:szCs w:val="21"/>
                <w:lang w:bidi="ar"/>
              </w:rPr>
              <w:t xml:space="preserve">2.3817 </w:t>
            </w:r>
          </w:p>
        </w:tc>
      </w:tr>
      <w:tr w14:paraId="3DB76E04">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58D198A4">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0185F8E5">
            <w:pPr>
              <w:widowControl/>
              <w:jc w:val="center"/>
              <w:textAlignment w:val="center"/>
              <w:rPr>
                <w:szCs w:val="21"/>
              </w:rPr>
            </w:pPr>
            <w:r>
              <w:rPr>
                <w:kern w:val="0"/>
                <w:szCs w:val="21"/>
                <w:lang w:bidi="ar"/>
              </w:rPr>
              <w:t>大河边上煤仓位置2号舍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3A26B0F4">
            <w:pPr>
              <w:widowControl/>
              <w:jc w:val="center"/>
              <w:textAlignment w:val="center"/>
              <w:rPr>
                <w:szCs w:val="21"/>
              </w:rPr>
            </w:pPr>
            <w:r>
              <w:rPr>
                <w:kern w:val="0"/>
                <w:szCs w:val="21"/>
                <w:lang w:bidi="ar"/>
              </w:rPr>
              <w:t>0.52</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11DED420">
            <w:pPr>
              <w:widowControl/>
              <w:jc w:val="center"/>
              <w:textAlignment w:val="center"/>
              <w:rPr>
                <w:szCs w:val="21"/>
              </w:rPr>
            </w:pPr>
            <w:r>
              <w:rPr>
                <w:kern w:val="0"/>
                <w:szCs w:val="21"/>
                <w:lang w:bidi="ar"/>
              </w:rPr>
              <w:t>2.69</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1CC46BC8">
            <w:pPr>
              <w:widowControl/>
              <w:jc w:val="center"/>
              <w:textAlignment w:val="center"/>
              <w:rPr>
                <w:szCs w:val="21"/>
              </w:rPr>
            </w:pPr>
            <w:r>
              <w:rPr>
                <w:kern w:val="0"/>
                <w:szCs w:val="21"/>
                <w:lang w:bidi="ar"/>
              </w:rPr>
              <w:t>0.12</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51E2220">
            <w:pPr>
              <w:widowControl/>
              <w:jc w:val="center"/>
              <w:textAlignment w:val="center"/>
              <w:rPr>
                <w:szCs w:val="21"/>
              </w:rPr>
            </w:pPr>
            <w:r>
              <w:rPr>
                <w:kern w:val="0"/>
                <w:szCs w:val="21"/>
                <w:lang w:bidi="ar"/>
              </w:rPr>
              <w:t>0.24</w:t>
            </w:r>
          </w:p>
        </w:tc>
        <w:tc>
          <w:tcPr>
            <w:tcW w:w="745" w:type="pct"/>
            <w:vMerge w:val="continue"/>
            <w:tcBorders>
              <w:left w:val="single" w:color="000000" w:sz="4" w:space="0"/>
              <w:right w:val="single" w:color="000000" w:sz="4" w:space="0"/>
            </w:tcBorders>
            <w:noWrap/>
            <w:vAlign w:val="center"/>
          </w:tcPr>
          <w:p w14:paraId="2D605B5D">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230A4FC2">
            <w:pPr>
              <w:widowControl/>
              <w:jc w:val="right"/>
              <w:textAlignment w:val="center"/>
              <w:rPr>
                <w:szCs w:val="21"/>
              </w:rPr>
            </w:pPr>
            <w:r>
              <w:rPr>
                <w:kern w:val="0"/>
                <w:szCs w:val="21"/>
                <w:lang w:bidi="ar"/>
              </w:rPr>
              <w:t xml:space="preserve">0.0260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24C76F0F">
            <w:pPr>
              <w:widowControl/>
              <w:jc w:val="right"/>
              <w:textAlignment w:val="center"/>
              <w:rPr>
                <w:szCs w:val="21"/>
              </w:rPr>
            </w:pPr>
            <w:r>
              <w:rPr>
                <w:kern w:val="0"/>
                <w:szCs w:val="21"/>
                <w:lang w:bidi="ar"/>
              </w:rPr>
              <w:t xml:space="preserve">0.1347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D8707F4">
            <w:pPr>
              <w:widowControl/>
              <w:jc w:val="right"/>
              <w:textAlignment w:val="center"/>
              <w:rPr>
                <w:szCs w:val="21"/>
              </w:rPr>
            </w:pPr>
            <w:r>
              <w:rPr>
                <w:kern w:val="0"/>
                <w:szCs w:val="21"/>
                <w:lang w:bidi="ar"/>
              </w:rPr>
              <w:t xml:space="preserve">0.0059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4B7C204F">
            <w:pPr>
              <w:widowControl/>
              <w:jc w:val="right"/>
              <w:textAlignment w:val="center"/>
              <w:rPr>
                <w:szCs w:val="21"/>
              </w:rPr>
            </w:pPr>
            <w:r>
              <w:rPr>
                <w:kern w:val="0"/>
                <w:szCs w:val="21"/>
                <w:lang w:bidi="ar"/>
              </w:rPr>
              <w:t xml:space="preserve">0.0118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66AB00A">
            <w:pPr>
              <w:widowControl/>
              <w:jc w:val="right"/>
              <w:textAlignment w:val="center"/>
              <w:rPr>
                <w:szCs w:val="21"/>
              </w:rPr>
            </w:pPr>
            <w:r>
              <w:rPr>
                <w:kern w:val="0"/>
                <w:szCs w:val="21"/>
                <w:lang w:bidi="ar"/>
              </w:rPr>
              <w:t xml:space="preserve">37.7390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421AE8F1">
            <w:pPr>
              <w:widowControl/>
              <w:jc w:val="right"/>
              <w:textAlignment w:val="center"/>
              <w:rPr>
                <w:szCs w:val="21"/>
              </w:rPr>
            </w:pPr>
            <w:r>
              <w:rPr>
                <w:kern w:val="0"/>
                <w:szCs w:val="21"/>
                <w:lang w:bidi="ar"/>
              </w:rPr>
              <w:t xml:space="preserve">3.6879 </w:t>
            </w:r>
          </w:p>
        </w:tc>
      </w:tr>
      <w:tr w14:paraId="2D3341DF">
        <w:tblPrEx>
          <w:tblCellMar>
            <w:top w:w="0" w:type="dxa"/>
            <w:left w:w="108" w:type="dxa"/>
            <w:bottom w:w="0" w:type="dxa"/>
            <w:right w:w="108" w:type="dxa"/>
          </w:tblCellMar>
        </w:tblPrEx>
        <w:trPr>
          <w:trHeight w:val="285" w:hRule="atLeast"/>
        </w:trPr>
        <w:tc>
          <w:tcPr>
            <w:tcW w:w="202" w:type="pct"/>
            <w:vMerge w:val="continue"/>
            <w:tcBorders>
              <w:top w:val="single" w:color="000000" w:sz="4" w:space="0"/>
              <w:left w:val="single" w:color="000000" w:sz="4" w:space="0"/>
              <w:bottom w:val="single" w:color="000000" w:sz="4" w:space="0"/>
              <w:right w:val="single" w:color="000000" w:sz="4" w:space="0"/>
            </w:tcBorders>
            <w:noWrap/>
            <w:vAlign w:val="center"/>
          </w:tcPr>
          <w:p w14:paraId="508E4AE9">
            <w:pPr>
              <w:jc w:val="center"/>
              <w:rPr>
                <w:szCs w:val="21"/>
              </w:rPr>
            </w:pPr>
          </w:p>
        </w:tc>
        <w:tc>
          <w:tcPr>
            <w:tcW w:w="824" w:type="pct"/>
            <w:tcBorders>
              <w:top w:val="single" w:color="000000" w:sz="4" w:space="0"/>
              <w:left w:val="single" w:color="000000" w:sz="4" w:space="0"/>
              <w:bottom w:val="single" w:color="000000" w:sz="4" w:space="0"/>
              <w:right w:val="single" w:color="000000" w:sz="4" w:space="0"/>
            </w:tcBorders>
            <w:noWrap/>
            <w:vAlign w:val="center"/>
          </w:tcPr>
          <w:p w14:paraId="13691BAD">
            <w:pPr>
              <w:widowControl/>
              <w:jc w:val="center"/>
              <w:textAlignment w:val="center"/>
              <w:rPr>
                <w:szCs w:val="21"/>
              </w:rPr>
            </w:pPr>
            <w:r>
              <w:rPr>
                <w:kern w:val="0"/>
                <w:szCs w:val="21"/>
                <w:lang w:bidi="ar"/>
              </w:rPr>
              <w:t>大河边下煤仓位置猪舍</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50678D50">
            <w:pPr>
              <w:widowControl/>
              <w:jc w:val="center"/>
              <w:textAlignment w:val="center"/>
              <w:rPr>
                <w:szCs w:val="21"/>
              </w:rPr>
            </w:pPr>
            <w:r>
              <w:rPr>
                <w:kern w:val="0"/>
                <w:szCs w:val="21"/>
                <w:lang w:bidi="ar"/>
              </w:rPr>
              <w:t>0.58</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6EEC8A53">
            <w:pPr>
              <w:widowControl/>
              <w:jc w:val="center"/>
              <w:textAlignment w:val="center"/>
              <w:rPr>
                <w:szCs w:val="21"/>
              </w:rPr>
            </w:pPr>
            <w:r>
              <w:rPr>
                <w:kern w:val="0"/>
                <w:szCs w:val="21"/>
                <w:lang w:bidi="ar"/>
              </w:rPr>
              <w:t>3.01</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12B9FE5C">
            <w:pPr>
              <w:widowControl/>
              <w:jc w:val="center"/>
              <w:textAlignment w:val="center"/>
              <w:rPr>
                <w:szCs w:val="21"/>
              </w:rPr>
            </w:pPr>
            <w:r>
              <w:rPr>
                <w:kern w:val="0"/>
                <w:szCs w:val="21"/>
                <w:lang w:bidi="ar"/>
              </w:rPr>
              <w:t>0.13</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8F7AC7D">
            <w:pPr>
              <w:widowControl/>
              <w:jc w:val="center"/>
              <w:textAlignment w:val="center"/>
              <w:rPr>
                <w:szCs w:val="21"/>
              </w:rPr>
            </w:pPr>
            <w:r>
              <w:rPr>
                <w:kern w:val="0"/>
                <w:szCs w:val="21"/>
                <w:lang w:bidi="ar"/>
              </w:rPr>
              <w:t>0.26</w:t>
            </w:r>
          </w:p>
        </w:tc>
        <w:tc>
          <w:tcPr>
            <w:tcW w:w="745" w:type="pct"/>
            <w:vMerge w:val="continue"/>
            <w:tcBorders>
              <w:left w:val="single" w:color="000000" w:sz="4" w:space="0"/>
              <w:right w:val="single" w:color="000000" w:sz="4" w:space="0"/>
            </w:tcBorders>
            <w:noWrap/>
            <w:vAlign w:val="center"/>
          </w:tcPr>
          <w:p w14:paraId="6651DA61">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C5AE5B8">
            <w:pPr>
              <w:widowControl/>
              <w:jc w:val="right"/>
              <w:textAlignment w:val="center"/>
              <w:rPr>
                <w:szCs w:val="21"/>
              </w:rPr>
            </w:pPr>
            <w:r>
              <w:rPr>
                <w:kern w:val="0"/>
                <w:szCs w:val="21"/>
                <w:lang w:bidi="ar"/>
              </w:rPr>
              <w:t xml:space="preserve">0.0291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70D03F94">
            <w:pPr>
              <w:widowControl/>
              <w:jc w:val="right"/>
              <w:textAlignment w:val="center"/>
              <w:rPr>
                <w:szCs w:val="21"/>
              </w:rPr>
            </w:pPr>
            <w:r>
              <w:rPr>
                <w:kern w:val="0"/>
                <w:szCs w:val="21"/>
                <w:lang w:bidi="ar"/>
              </w:rPr>
              <w:t xml:space="preserve">0.1507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A80E9DF">
            <w:pPr>
              <w:widowControl/>
              <w:jc w:val="right"/>
              <w:textAlignment w:val="center"/>
              <w:rPr>
                <w:szCs w:val="21"/>
              </w:rPr>
            </w:pPr>
            <w:r>
              <w:rPr>
                <w:kern w:val="0"/>
                <w:szCs w:val="21"/>
                <w:lang w:bidi="ar"/>
              </w:rPr>
              <w:t xml:space="preserve">0.0066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3F2F9454">
            <w:pPr>
              <w:widowControl/>
              <w:jc w:val="right"/>
              <w:textAlignment w:val="center"/>
              <w:rPr>
                <w:szCs w:val="21"/>
              </w:rPr>
            </w:pPr>
            <w:r>
              <w:rPr>
                <w:kern w:val="0"/>
                <w:szCs w:val="21"/>
                <w:lang w:bidi="ar"/>
              </w:rPr>
              <w:t xml:space="preserve">0.0132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0E003C0">
            <w:pPr>
              <w:widowControl/>
              <w:jc w:val="right"/>
              <w:textAlignment w:val="center"/>
              <w:rPr>
                <w:szCs w:val="21"/>
              </w:rPr>
            </w:pPr>
            <w:r>
              <w:rPr>
                <w:kern w:val="0"/>
                <w:szCs w:val="21"/>
                <w:lang w:bidi="ar"/>
              </w:rPr>
              <w:t xml:space="preserve">42.1943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0A60C5A4">
            <w:pPr>
              <w:widowControl/>
              <w:jc w:val="right"/>
              <w:textAlignment w:val="center"/>
              <w:rPr>
                <w:szCs w:val="21"/>
              </w:rPr>
            </w:pPr>
            <w:r>
              <w:rPr>
                <w:kern w:val="0"/>
                <w:szCs w:val="21"/>
                <w:lang w:bidi="ar"/>
              </w:rPr>
              <w:t xml:space="preserve">4.1232 </w:t>
            </w:r>
          </w:p>
        </w:tc>
      </w:tr>
      <w:tr w14:paraId="7FAA20B4">
        <w:tblPrEx>
          <w:tblCellMar>
            <w:top w:w="0" w:type="dxa"/>
            <w:left w:w="108" w:type="dxa"/>
            <w:bottom w:w="0" w:type="dxa"/>
            <w:right w:w="108" w:type="dxa"/>
          </w:tblCellMar>
        </w:tblPrEx>
        <w:trPr>
          <w:trHeight w:val="285" w:hRule="atLeast"/>
        </w:trPr>
        <w:tc>
          <w:tcPr>
            <w:tcW w:w="1026" w:type="pct"/>
            <w:gridSpan w:val="2"/>
            <w:tcBorders>
              <w:top w:val="single" w:color="000000" w:sz="4" w:space="0"/>
              <w:left w:val="single" w:color="000000" w:sz="4" w:space="0"/>
              <w:bottom w:val="single" w:color="000000" w:sz="4" w:space="0"/>
              <w:right w:val="single" w:color="000000" w:sz="4" w:space="0"/>
            </w:tcBorders>
            <w:noWrap/>
            <w:vAlign w:val="center"/>
          </w:tcPr>
          <w:p w14:paraId="4EA842A5">
            <w:pPr>
              <w:jc w:val="center"/>
              <w:rPr>
                <w:szCs w:val="21"/>
              </w:rPr>
            </w:pPr>
            <w:r>
              <w:rPr>
                <w:szCs w:val="21"/>
              </w:rPr>
              <w:t>合计</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4982D18B">
            <w:pPr>
              <w:widowControl/>
              <w:jc w:val="center"/>
              <w:textAlignment w:val="center"/>
              <w:rPr>
                <w:szCs w:val="21"/>
              </w:rPr>
            </w:pPr>
            <w:r>
              <w:rPr>
                <w:kern w:val="0"/>
                <w:szCs w:val="21"/>
                <w:lang w:bidi="ar"/>
              </w:rPr>
              <w:t>10.23</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5AC7012">
            <w:pPr>
              <w:widowControl/>
              <w:jc w:val="center"/>
              <w:textAlignment w:val="center"/>
              <w:rPr>
                <w:szCs w:val="21"/>
              </w:rPr>
            </w:pPr>
            <w:r>
              <w:rPr>
                <w:kern w:val="0"/>
                <w:szCs w:val="21"/>
                <w:lang w:bidi="ar"/>
              </w:rPr>
              <w:t>53.01</w:t>
            </w:r>
          </w:p>
        </w:tc>
        <w:tc>
          <w:tcPr>
            <w:tcW w:w="258" w:type="pct"/>
            <w:tcBorders>
              <w:top w:val="single" w:color="000000" w:sz="4" w:space="0"/>
              <w:left w:val="single" w:color="000000" w:sz="4" w:space="0"/>
              <w:bottom w:val="single" w:color="000000" w:sz="4" w:space="0"/>
              <w:right w:val="single" w:color="000000" w:sz="4" w:space="0"/>
            </w:tcBorders>
            <w:noWrap/>
            <w:vAlign w:val="center"/>
          </w:tcPr>
          <w:p w14:paraId="08EC765E">
            <w:pPr>
              <w:widowControl/>
              <w:jc w:val="center"/>
              <w:textAlignment w:val="center"/>
              <w:rPr>
                <w:szCs w:val="21"/>
              </w:rPr>
            </w:pPr>
            <w:r>
              <w:rPr>
                <w:kern w:val="0"/>
                <w:szCs w:val="21"/>
                <w:lang w:bidi="ar"/>
              </w:rPr>
              <w:t>2.325</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D01A511">
            <w:pPr>
              <w:widowControl/>
              <w:jc w:val="center"/>
              <w:textAlignment w:val="center"/>
              <w:rPr>
                <w:szCs w:val="21"/>
              </w:rPr>
            </w:pPr>
            <w:r>
              <w:rPr>
                <w:kern w:val="0"/>
                <w:szCs w:val="21"/>
                <w:lang w:bidi="ar"/>
              </w:rPr>
              <w:t>4.65</w:t>
            </w:r>
          </w:p>
        </w:tc>
        <w:tc>
          <w:tcPr>
            <w:tcW w:w="745" w:type="pct"/>
            <w:vMerge w:val="continue"/>
            <w:tcBorders>
              <w:left w:val="single" w:color="000000" w:sz="4" w:space="0"/>
              <w:bottom w:val="single" w:color="000000" w:sz="4" w:space="0"/>
              <w:right w:val="single" w:color="000000" w:sz="4" w:space="0"/>
            </w:tcBorders>
            <w:noWrap/>
            <w:vAlign w:val="center"/>
          </w:tcPr>
          <w:p w14:paraId="6349864B">
            <w:pPr>
              <w:jc w:val="center"/>
              <w:rPr>
                <w:szCs w:val="21"/>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71A54D62">
            <w:pPr>
              <w:widowControl/>
              <w:jc w:val="right"/>
              <w:textAlignment w:val="center"/>
              <w:rPr>
                <w:szCs w:val="21"/>
              </w:rPr>
            </w:pPr>
            <w:r>
              <w:rPr>
                <w:kern w:val="0"/>
                <w:szCs w:val="21"/>
                <w:lang w:bidi="ar"/>
              </w:rPr>
              <w:t xml:space="preserve">0.5115 </w:t>
            </w:r>
          </w:p>
        </w:tc>
        <w:tc>
          <w:tcPr>
            <w:tcW w:w="962" w:type="dxa"/>
            <w:tcBorders>
              <w:top w:val="single" w:color="000000" w:sz="4" w:space="0"/>
              <w:left w:val="single" w:color="000000" w:sz="4" w:space="0"/>
              <w:bottom w:val="single" w:color="000000" w:sz="4" w:space="0"/>
              <w:right w:val="single" w:color="000000" w:sz="4" w:space="0"/>
            </w:tcBorders>
            <w:noWrap/>
            <w:vAlign w:val="center"/>
          </w:tcPr>
          <w:p w14:paraId="47B68CB5">
            <w:pPr>
              <w:widowControl/>
              <w:jc w:val="right"/>
              <w:textAlignment w:val="center"/>
              <w:rPr>
                <w:szCs w:val="21"/>
              </w:rPr>
            </w:pPr>
            <w:r>
              <w:rPr>
                <w:kern w:val="0"/>
                <w:szCs w:val="21"/>
                <w:lang w:bidi="ar"/>
              </w:rPr>
              <w:t xml:space="preserve">2.6505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DF031A4">
            <w:pPr>
              <w:widowControl/>
              <w:jc w:val="right"/>
              <w:textAlignment w:val="center"/>
              <w:rPr>
                <w:szCs w:val="21"/>
              </w:rPr>
            </w:pPr>
            <w:r>
              <w:rPr>
                <w:kern w:val="0"/>
                <w:szCs w:val="21"/>
                <w:lang w:bidi="ar"/>
              </w:rPr>
              <w:t xml:space="preserve">0.1163 </w:t>
            </w:r>
          </w:p>
        </w:tc>
        <w:tc>
          <w:tcPr>
            <w:tcW w:w="813" w:type="dxa"/>
            <w:tcBorders>
              <w:top w:val="single" w:color="000000" w:sz="4" w:space="0"/>
              <w:left w:val="single" w:color="000000" w:sz="4" w:space="0"/>
              <w:bottom w:val="single" w:color="000000" w:sz="4" w:space="0"/>
              <w:right w:val="single" w:color="000000" w:sz="4" w:space="0"/>
            </w:tcBorders>
            <w:noWrap/>
            <w:vAlign w:val="center"/>
          </w:tcPr>
          <w:p w14:paraId="24CA40B9">
            <w:pPr>
              <w:widowControl/>
              <w:jc w:val="right"/>
              <w:textAlignment w:val="center"/>
              <w:rPr>
                <w:szCs w:val="21"/>
              </w:rPr>
            </w:pPr>
            <w:r>
              <w:rPr>
                <w:kern w:val="0"/>
                <w:szCs w:val="21"/>
                <w:lang w:bidi="ar"/>
              </w:rPr>
              <w:t xml:space="preserve">0.2325 </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D093D79">
            <w:pPr>
              <w:widowControl/>
              <w:jc w:val="right"/>
              <w:textAlignment w:val="center"/>
              <w:rPr>
                <w:szCs w:val="21"/>
              </w:rPr>
            </w:pPr>
            <w:r>
              <w:rPr>
                <w:kern w:val="0"/>
                <w:szCs w:val="21"/>
                <w:lang w:bidi="ar"/>
              </w:rPr>
              <w:t xml:space="preserve">742.3260 </w:t>
            </w:r>
          </w:p>
        </w:tc>
        <w:tc>
          <w:tcPr>
            <w:tcW w:w="889" w:type="dxa"/>
            <w:tcBorders>
              <w:top w:val="single" w:color="000000" w:sz="4" w:space="0"/>
              <w:left w:val="single" w:color="000000" w:sz="4" w:space="0"/>
              <w:bottom w:val="single" w:color="000000" w:sz="4" w:space="0"/>
              <w:right w:val="single" w:color="000000" w:sz="4" w:space="0"/>
            </w:tcBorders>
            <w:noWrap/>
            <w:vAlign w:val="center"/>
          </w:tcPr>
          <w:p w14:paraId="09B22A0A">
            <w:pPr>
              <w:widowControl/>
              <w:jc w:val="right"/>
              <w:textAlignment w:val="center"/>
              <w:rPr>
                <w:szCs w:val="21"/>
              </w:rPr>
            </w:pPr>
            <w:r>
              <w:rPr>
                <w:kern w:val="0"/>
                <w:szCs w:val="21"/>
                <w:lang w:bidi="ar"/>
              </w:rPr>
              <w:t xml:space="preserve">72.5400 </w:t>
            </w:r>
          </w:p>
        </w:tc>
      </w:tr>
    </w:tbl>
    <w:p w14:paraId="25AEE9F3">
      <w:pPr>
        <w:spacing w:line="360" w:lineRule="auto"/>
        <w:jc w:val="left"/>
        <w:rPr>
          <w:b/>
          <w:kern w:val="0"/>
          <w:sz w:val="24"/>
        </w:rPr>
        <w:sectPr>
          <w:pgSz w:w="16838" w:h="11906" w:orient="landscape"/>
          <w:pgMar w:top="1797" w:right="1440" w:bottom="1797" w:left="1361" w:header="851" w:footer="992" w:gutter="0"/>
          <w:cols w:space="720" w:num="1"/>
          <w:docGrid w:linePitch="312" w:charSpace="0"/>
        </w:sectPr>
      </w:pPr>
      <w:r>
        <w:rPr>
          <w:b/>
          <w:kern w:val="0"/>
          <w:szCs w:val="21"/>
        </w:rPr>
        <w:t>注：保育猪按每批次养殖40d计算；育肥猪按每批次养殖100d计算；全年按养殖2.6批次计算；</w:t>
      </w:r>
    </w:p>
    <w:p w14:paraId="1E8D59D5">
      <w:pPr>
        <w:spacing w:line="360" w:lineRule="auto"/>
        <w:ind w:firstLine="482" w:firstLineChars="200"/>
        <w:jc w:val="left"/>
        <w:rPr>
          <w:b/>
          <w:kern w:val="0"/>
          <w:sz w:val="24"/>
        </w:rPr>
      </w:pPr>
      <w:r>
        <w:rPr>
          <w:b/>
          <w:kern w:val="0"/>
          <w:sz w:val="24"/>
        </w:rPr>
        <w:t>（2）污水处理站恶臭</w:t>
      </w:r>
    </w:p>
    <w:p w14:paraId="65EB7E78">
      <w:pPr>
        <w:pStyle w:val="323"/>
        <w:spacing w:line="360" w:lineRule="auto"/>
        <w:ind w:left="-105" w:firstLine="461"/>
      </w:pPr>
      <w:r>
        <w:t>为了有效核定出臭气中NH</w:t>
      </w:r>
      <w:r>
        <w:rPr>
          <w:vertAlign w:val="subscript"/>
        </w:rPr>
        <w:t>3</w:t>
      </w:r>
      <w:r>
        <w:t>、H</w:t>
      </w:r>
      <w:r>
        <w:rPr>
          <w:vertAlign w:val="subscript"/>
        </w:rPr>
        <w:t>2</w:t>
      </w:r>
      <w:r>
        <w:t>S产生情况，采用经验系数，即每处理1gBOD</w:t>
      </w:r>
      <w:r>
        <w:rPr>
          <w:vertAlign w:val="subscript"/>
        </w:rPr>
        <w:t>5</w:t>
      </w:r>
      <w:r>
        <w:t>可产生0.0031gNH</w:t>
      </w:r>
      <w:r>
        <w:rPr>
          <w:vertAlign w:val="subscript"/>
        </w:rPr>
        <w:t>3</w:t>
      </w:r>
      <w:r>
        <w:t>和0.00012gH</w:t>
      </w:r>
      <w:r>
        <w:rPr>
          <w:vertAlign w:val="subscript"/>
        </w:rPr>
        <w:t>2</w:t>
      </w:r>
      <w:r>
        <w:t>S。为了减小项目污水处理过程恶臭气体对周边环境的影响，</w:t>
      </w:r>
      <w:r>
        <w:rPr>
          <w:bCs/>
        </w:rPr>
        <w:t>环评要求对收集池、调节池、污水处理设施及沼液储存池进行加盖封闭，同时喷洒除臭剂，并加强污水处理站周围绿化。采取以上措施后，恶臭可减少70%。</w:t>
      </w:r>
      <w:r>
        <w:t>污水处理站恶臭排放量见表3.4-4。</w:t>
      </w:r>
    </w:p>
    <w:p w14:paraId="7E9D53E6">
      <w:pPr>
        <w:pStyle w:val="1362"/>
        <w:snapToGrid/>
        <w:spacing w:line="276" w:lineRule="auto"/>
        <w:ind w:left="480" w:firstLine="422"/>
        <w:rPr>
          <w:rFonts w:ascii="Times New Roman" w:hAnsi="Times New Roman" w:cs="Times New Roman"/>
          <w:b/>
          <w:color w:val="auto"/>
          <w:sz w:val="21"/>
          <w:szCs w:val="21"/>
        </w:rPr>
        <w:sectPr>
          <w:pgSz w:w="11906" w:h="16838"/>
          <w:pgMar w:top="1440" w:right="1797" w:bottom="1361" w:left="1797" w:header="851" w:footer="992" w:gutter="0"/>
          <w:cols w:space="720" w:num="1"/>
          <w:docGrid w:linePitch="312" w:charSpace="0"/>
        </w:sectPr>
      </w:pPr>
    </w:p>
    <w:p w14:paraId="4C6D77ED">
      <w:pPr>
        <w:pStyle w:val="1362"/>
        <w:snapToGrid/>
        <w:spacing w:line="276" w:lineRule="auto"/>
        <w:ind w:left="480" w:firstLine="422"/>
        <w:rPr>
          <w:rFonts w:ascii="Times New Roman" w:hAnsi="Times New Roman" w:cs="Times New Roman"/>
          <w:b/>
          <w:color w:val="auto"/>
          <w:sz w:val="21"/>
          <w:szCs w:val="21"/>
        </w:rPr>
      </w:pPr>
      <w:r>
        <w:rPr>
          <w:rFonts w:ascii="Times New Roman" w:hAnsi="Times New Roman" w:cs="Times New Roman"/>
          <w:b/>
          <w:color w:val="auto"/>
          <w:sz w:val="21"/>
          <w:szCs w:val="21"/>
        </w:rPr>
        <w:t>表3.4-4 项目污水处理站恶臭产生量一览表</w:t>
      </w:r>
    </w:p>
    <w:tbl>
      <w:tblPr>
        <w:tblStyle w:val="87"/>
        <w:tblW w:w="5000" w:type="pct"/>
        <w:tblInd w:w="0" w:type="dxa"/>
        <w:tblLayout w:type="fixed"/>
        <w:tblCellMar>
          <w:top w:w="0" w:type="dxa"/>
          <w:left w:w="108" w:type="dxa"/>
          <w:bottom w:w="0" w:type="dxa"/>
          <w:right w:w="108" w:type="dxa"/>
        </w:tblCellMar>
      </w:tblPr>
      <w:tblGrid>
        <w:gridCol w:w="617"/>
        <w:gridCol w:w="2501"/>
        <w:gridCol w:w="1600"/>
        <w:gridCol w:w="1275"/>
        <w:gridCol w:w="1024"/>
        <w:gridCol w:w="925"/>
        <w:gridCol w:w="987"/>
        <w:gridCol w:w="1649"/>
        <w:gridCol w:w="850"/>
        <w:gridCol w:w="950"/>
        <w:gridCol w:w="949"/>
        <w:gridCol w:w="926"/>
      </w:tblGrid>
      <w:tr w14:paraId="3F73B96A">
        <w:tblPrEx>
          <w:tblCellMar>
            <w:top w:w="0" w:type="dxa"/>
            <w:left w:w="108" w:type="dxa"/>
            <w:bottom w:w="0" w:type="dxa"/>
            <w:right w:w="108" w:type="dxa"/>
          </w:tblCellMar>
        </w:tblPrEx>
        <w:trPr>
          <w:trHeight w:val="285" w:hRule="atLeast"/>
        </w:trPr>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14:paraId="4BEE45FA">
            <w:pPr>
              <w:widowControl/>
              <w:jc w:val="center"/>
              <w:textAlignment w:val="center"/>
              <w:rPr>
                <w:szCs w:val="21"/>
              </w:rPr>
            </w:pPr>
            <w:r>
              <w:rPr>
                <w:kern w:val="0"/>
                <w:szCs w:val="21"/>
                <w:lang w:bidi="ar"/>
              </w:rPr>
              <w:t>地块</w:t>
            </w:r>
          </w:p>
        </w:tc>
        <w:tc>
          <w:tcPr>
            <w:tcW w:w="876" w:type="pct"/>
            <w:vMerge w:val="restart"/>
            <w:tcBorders>
              <w:top w:val="single" w:color="000000" w:sz="4" w:space="0"/>
              <w:left w:val="single" w:color="000000" w:sz="4" w:space="0"/>
              <w:bottom w:val="single" w:color="000000" w:sz="4" w:space="0"/>
              <w:right w:val="single" w:color="000000" w:sz="4" w:space="0"/>
            </w:tcBorders>
            <w:noWrap/>
            <w:vAlign w:val="center"/>
          </w:tcPr>
          <w:p w14:paraId="6328DA2E">
            <w:pPr>
              <w:widowControl/>
              <w:jc w:val="center"/>
              <w:textAlignment w:val="center"/>
              <w:rPr>
                <w:szCs w:val="21"/>
              </w:rPr>
            </w:pPr>
            <w:r>
              <w:rPr>
                <w:kern w:val="0"/>
                <w:szCs w:val="21"/>
                <w:lang w:bidi="ar"/>
              </w:rPr>
              <w:t>位置</w:t>
            </w:r>
          </w:p>
        </w:tc>
        <w:tc>
          <w:tcPr>
            <w:tcW w:w="561" w:type="pct"/>
            <w:vMerge w:val="restart"/>
            <w:tcBorders>
              <w:top w:val="single" w:color="000000" w:sz="4" w:space="0"/>
              <w:left w:val="single" w:color="000000" w:sz="4" w:space="0"/>
              <w:bottom w:val="single" w:color="000000" w:sz="4" w:space="0"/>
              <w:right w:val="single" w:color="000000" w:sz="4" w:space="0"/>
            </w:tcBorders>
            <w:noWrap/>
            <w:vAlign w:val="center"/>
          </w:tcPr>
          <w:p w14:paraId="581A697C">
            <w:pPr>
              <w:widowControl/>
              <w:jc w:val="center"/>
              <w:textAlignment w:val="center"/>
              <w:rPr>
                <w:b/>
                <w:bCs/>
                <w:szCs w:val="21"/>
              </w:rPr>
            </w:pPr>
            <w:r>
              <w:rPr>
                <w:b/>
                <w:bCs/>
                <w:kern w:val="0"/>
                <w:szCs w:val="21"/>
                <w:lang w:bidi="ar"/>
              </w:rPr>
              <w:t>BOD削减量</w:t>
            </w:r>
          </w:p>
        </w:tc>
        <w:tc>
          <w:tcPr>
            <w:tcW w:w="447" w:type="pct"/>
            <w:vMerge w:val="restart"/>
            <w:tcBorders>
              <w:top w:val="single" w:color="000000" w:sz="4" w:space="0"/>
              <w:left w:val="single" w:color="000000" w:sz="4" w:space="0"/>
              <w:bottom w:val="single" w:color="000000" w:sz="4" w:space="0"/>
              <w:right w:val="single" w:color="000000" w:sz="4" w:space="0"/>
            </w:tcBorders>
            <w:noWrap/>
            <w:vAlign w:val="center"/>
          </w:tcPr>
          <w:p w14:paraId="7366CC4E">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产生系数（g/gBOD）</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14:paraId="614AA6FB">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S产生系数（g/gBOD）</w:t>
            </w:r>
          </w:p>
        </w:tc>
        <w:tc>
          <w:tcPr>
            <w:tcW w:w="324" w:type="pct"/>
            <w:vMerge w:val="restart"/>
            <w:tcBorders>
              <w:top w:val="single" w:color="000000" w:sz="4" w:space="0"/>
              <w:left w:val="single" w:color="000000" w:sz="4" w:space="0"/>
              <w:bottom w:val="single" w:color="000000" w:sz="4" w:space="0"/>
              <w:right w:val="single" w:color="000000" w:sz="4" w:space="0"/>
            </w:tcBorders>
            <w:noWrap/>
            <w:vAlign w:val="center"/>
          </w:tcPr>
          <w:p w14:paraId="0C0C68D5">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产生量（t/a）</w:t>
            </w:r>
          </w:p>
        </w:tc>
        <w:tc>
          <w:tcPr>
            <w:tcW w:w="346" w:type="pct"/>
            <w:vMerge w:val="restart"/>
            <w:tcBorders>
              <w:top w:val="single" w:color="000000" w:sz="4" w:space="0"/>
              <w:left w:val="single" w:color="000000" w:sz="4" w:space="0"/>
              <w:bottom w:val="single" w:color="000000" w:sz="4" w:space="0"/>
              <w:right w:val="single" w:color="000000" w:sz="4" w:space="0"/>
            </w:tcBorders>
            <w:noWrap/>
            <w:vAlign w:val="center"/>
          </w:tcPr>
          <w:p w14:paraId="4E16FED8">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S产生量（t/a）</w:t>
            </w:r>
          </w:p>
        </w:tc>
        <w:tc>
          <w:tcPr>
            <w:tcW w:w="578" w:type="pct"/>
            <w:vMerge w:val="restart"/>
            <w:tcBorders>
              <w:top w:val="single" w:color="000000" w:sz="4" w:space="0"/>
              <w:left w:val="single" w:color="000000" w:sz="4" w:space="0"/>
              <w:bottom w:val="single" w:color="000000" w:sz="4" w:space="0"/>
              <w:right w:val="single" w:color="000000" w:sz="4" w:space="0"/>
            </w:tcBorders>
            <w:noWrap/>
            <w:vAlign w:val="center"/>
          </w:tcPr>
          <w:p w14:paraId="4C9542EB">
            <w:pPr>
              <w:widowControl/>
              <w:jc w:val="center"/>
              <w:textAlignment w:val="center"/>
              <w:rPr>
                <w:szCs w:val="21"/>
              </w:rPr>
            </w:pPr>
            <w:r>
              <w:rPr>
                <w:kern w:val="0"/>
                <w:szCs w:val="21"/>
                <w:lang w:bidi="ar"/>
              </w:rPr>
              <w:t>措施及除臭效率</w:t>
            </w:r>
          </w:p>
        </w:tc>
        <w:tc>
          <w:tcPr>
            <w:tcW w:w="631" w:type="pct"/>
            <w:gridSpan w:val="2"/>
            <w:tcBorders>
              <w:top w:val="single" w:color="000000" w:sz="4" w:space="0"/>
              <w:left w:val="single" w:color="000000" w:sz="4" w:space="0"/>
              <w:bottom w:val="single" w:color="000000" w:sz="4" w:space="0"/>
              <w:right w:val="single" w:color="000000" w:sz="4" w:space="0"/>
            </w:tcBorders>
            <w:noWrap/>
            <w:vAlign w:val="center"/>
          </w:tcPr>
          <w:p w14:paraId="48370F34">
            <w:pPr>
              <w:widowControl/>
              <w:jc w:val="center"/>
              <w:textAlignment w:val="center"/>
              <w:rPr>
                <w:szCs w:val="21"/>
              </w:rPr>
            </w:pPr>
            <w:r>
              <w:rPr>
                <w:kern w:val="0"/>
                <w:szCs w:val="21"/>
                <w:lang w:bidi="ar"/>
              </w:rPr>
              <w:t>无组织日排放量kg/d</w:t>
            </w:r>
          </w:p>
        </w:tc>
        <w:tc>
          <w:tcPr>
            <w:tcW w:w="658" w:type="pct"/>
            <w:gridSpan w:val="2"/>
            <w:tcBorders>
              <w:top w:val="single" w:color="000000" w:sz="4" w:space="0"/>
              <w:left w:val="single" w:color="000000" w:sz="4" w:space="0"/>
              <w:bottom w:val="single" w:color="000000" w:sz="4" w:space="0"/>
              <w:right w:val="single" w:color="000000" w:sz="4" w:space="0"/>
            </w:tcBorders>
            <w:noWrap/>
            <w:vAlign w:val="center"/>
          </w:tcPr>
          <w:p w14:paraId="30075B0B">
            <w:pPr>
              <w:widowControl/>
              <w:jc w:val="center"/>
              <w:textAlignment w:val="center"/>
              <w:rPr>
                <w:szCs w:val="21"/>
              </w:rPr>
            </w:pPr>
            <w:r>
              <w:rPr>
                <w:kern w:val="0"/>
                <w:szCs w:val="21"/>
                <w:lang w:bidi="ar"/>
              </w:rPr>
              <w:t>无组织年排放量t/a</w:t>
            </w:r>
          </w:p>
        </w:tc>
      </w:tr>
      <w:tr w14:paraId="3A016390">
        <w:tblPrEx>
          <w:tblCellMar>
            <w:top w:w="0" w:type="dxa"/>
            <w:left w:w="108" w:type="dxa"/>
            <w:bottom w:w="0" w:type="dxa"/>
            <w:right w:w="108" w:type="dxa"/>
          </w:tblCellMar>
        </w:tblPrEx>
        <w:trPr>
          <w:trHeight w:val="34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342808F6">
            <w:pPr>
              <w:jc w:val="center"/>
              <w:rPr>
                <w:szCs w:val="21"/>
              </w:rPr>
            </w:pPr>
          </w:p>
        </w:tc>
        <w:tc>
          <w:tcPr>
            <w:tcW w:w="876" w:type="pct"/>
            <w:vMerge w:val="continue"/>
            <w:tcBorders>
              <w:top w:val="single" w:color="000000" w:sz="4" w:space="0"/>
              <w:left w:val="single" w:color="000000" w:sz="4" w:space="0"/>
              <w:bottom w:val="single" w:color="000000" w:sz="4" w:space="0"/>
              <w:right w:val="single" w:color="000000" w:sz="4" w:space="0"/>
            </w:tcBorders>
            <w:noWrap/>
            <w:vAlign w:val="center"/>
          </w:tcPr>
          <w:p w14:paraId="55D81875">
            <w:pPr>
              <w:jc w:val="center"/>
              <w:rPr>
                <w:szCs w:val="21"/>
              </w:rPr>
            </w:pP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46568A4A">
            <w:pPr>
              <w:jc w:val="center"/>
              <w:rPr>
                <w:b/>
                <w:bCs/>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40D98FAD">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3434568E">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4C754687">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3FBAA364">
            <w:pPr>
              <w:jc w:val="center"/>
              <w:rPr>
                <w:szCs w:val="21"/>
              </w:rPr>
            </w:pPr>
          </w:p>
        </w:tc>
        <w:tc>
          <w:tcPr>
            <w:tcW w:w="578" w:type="pct"/>
            <w:vMerge w:val="continue"/>
            <w:tcBorders>
              <w:top w:val="single" w:color="000000" w:sz="4" w:space="0"/>
              <w:left w:val="single" w:color="000000" w:sz="4" w:space="0"/>
              <w:bottom w:val="single" w:color="000000" w:sz="4" w:space="0"/>
              <w:right w:val="single" w:color="000000" w:sz="4" w:space="0"/>
            </w:tcBorders>
            <w:noWrap/>
            <w:vAlign w:val="center"/>
          </w:tcPr>
          <w:p w14:paraId="62FDFF93">
            <w:pPr>
              <w:jc w:val="center"/>
              <w:rPr>
                <w:szCs w:val="21"/>
              </w:rPr>
            </w:pP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F71D292">
            <w:pPr>
              <w:widowControl/>
              <w:jc w:val="center"/>
              <w:textAlignment w:val="center"/>
              <w:rPr>
                <w:szCs w:val="21"/>
              </w:rPr>
            </w:pPr>
            <w:r>
              <w:rPr>
                <w:kern w:val="0"/>
                <w:szCs w:val="21"/>
                <w:lang w:bidi="ar"/>
              </w:rPr>
              <w:t>NH</w:t>
            </w:r>
            <w:r>
              <w:rPr>
                <w:kern w:val="0"/>
                <w:szCs w:val="21"/>
                <w:vertAlign w:val="subscript"/>
                <w:lang w:bidi="ar"/>
              </w:rPr>
              <w:t>3</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38C4D406">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2DAE11B4">
            <w:pPr>
              <w:widowControl/>
              <w:jc w:val="center"/>
              <w:textAlignment w:val="center"/>
              <w:rPr>
                <w:szCs w:val="21"/>
              </w:rPr>
            </w:pPr>
            <w:r>
              <w:rPr>
                <w:kern w:val="0"/>
                <w:szCs w:val="21"/>
                <w:lang w:bidi="ar"/>
              </w:rPr>
              <w:t>NH</w:t>
            </w:r>
            <w:r>
              <w:rPr>
                <w:kern w:val="0"/>
                <w:szCs w:val="21"/>
                <w:vertAlign w:val="subscript"/>
                <w:lang w:bidi="ar"/>
              </w:rPr>
              <w:t>3</w:t>
            </w:r>
          </w:p>
        </w:tc>
        <w:tc>
          <w:tcPr>
            <w:tcW w:w="325" w:type="pct"/>
            <w:tcBorders>
              <w:top w:val="single" w:color="000000" w:sz="4" w:space="0"/>
              <w:left w:val="single" w:color="000000" w:sz="4" w:space="0"/>
              <w:bottom w:val="single" w:color="000000" w:sz="4" w:space="0"/>
              <w:right w:val="single" w:color="000000" w:sz="4" w:space="0"/>
            </w:tcBorders>
            <w:noWrap/>
            <w:vAlign w:val="center"/>
          </w:tcPr>
          <w:p w14:paraId="032EBD22">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r>
      <w:tr w14:paraId="568C0B6D">
        <w:tblPrEx>
          <w:tblCellMar>
            <w:top w:w="0" w:type="dxa"/>
            <w:left w:w="108" w:type="dxa"/>
            <w:bottom w:w="0" w:type="dxa"/>
            <w:right w:w="108" w:type="dxa"/>
          </w:tblCellMar>
        </w:tblPrEx>
        <w:trPr>
          <w:trHeight w:val="285" w:hRule="atLeast"/>
        </w:trPr>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14:paraId="3686DB24">
            <w:pPr>
              <w:widowControl/>
              <w:jc w:val="center"/>
              <w:textAlignment w:val="center"/>
              <w:rPr>
                <w:szCs w:val="21"/>
              </w:rPr>
            </w:pPr>
            <w:r>
              <w:rPr>
                <w:kern w:val="0"/>
                <w:szCs w:val="21"/>
                <w:lang w:bidi="ar"/>
              </w:rPr>
              <w:t>1号地</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59F9BD10">
            <w:pPr>
              <w:widowControl/>
              <w:jc w:val="center"/>
              <w:textAlignment w:val="center"/>
              <w:rPr>
                <w:szCs w:val="21"/>
              </w:rPr>
            </w:pPr>
            <w:r>
              <w:rPr>
                <w:kern w:val="0"/>
                <w:szCs w:val="21"/>
                <w:lang w:bidi="ar"/>
              </w:rPr>
              <w:t>盛丰通风井位置1号舍</w:t>
            </w:r>
          </w:p>
        </w:tc>
        <w:tc>
          <w:tcPr>
            <w:tcW w:w="561" w:type="pct"/>
            <w:vMerge w:val="restart"/>
            <w:tcBorders>
              <w:top w:val="single" w:color="000000" w:sz="4" w:space="0"/>
              <w:left w:val="single" w:color="000000" w:sz="4" w:space="0"/>
              <w:bottom w:val="single" w:color="000000" w:sz="4" w:space="0"/>
              <w:right w:val="single" w:color="000000" w:sz="4" w:space="0"/>
            </w:tcBorders>
            <w:noWrap/>
            <w:vAlign w:val="center"/>
          </w:tcPr>
          <w:p w14:paraId="102D94C5">
            <w:pPr>
              <w:widowControl/>
              <w:jc w:val="center"/>
              <w:textAlignment w:val="center"/>
              <w:rPr>
                <w:szCs w:val="21"/>
              </w:rPr>
            </w:pPr>
            <w:r>
              <w:rPr>
                <w:kern w:val="0"/>
                <w:szCs w:val="21"/>
                <w:lang w:bidi="ar"/>
              </w:rPr>
              <w:t xml:space="preserve">1.7213 </w:t>
            </w:r>
          </w:p>
        </w:tc>
        <w:tc>
          <w:tcPr>
            <w:tcW w:w="447" w:type="pct"/>
            <w:vMerge w:val="restart"/>
            <w:tcBorders>
              <w:top w:val="single" w:color="000000" w:sz="4" w:space="0"/>
              <w:left w:val="single" w:color="000000" w:sz="4" w:space="0"/>
              <w:bottom w:val="single" w:color="000000" w:sz="4" w:space="0"/>
              <w:right w:val="single" w:color="000000" w:sz="4" w:space="0"/>
            </w:tcBorders>
            <w:noWrap/>
            <w:vAlign w:val="center"/>
          </w:tcPr>
          <w:p w14:paraId="43FF4A70">
            <w:pPr>
              <w:widowControl/>
              <w:jc w:val="center"/>
              <w:textAlignment w:val="center"/>
              <w:rPr>
                <w:szCs w:val="21"/>
              </w:rPr>
            </w:pPr>
            <w:r>
              <w:rPr>
                <w:kern w:val="0"/>
                <w:szCs w:val="21"/>
                <w:lang w:bidi="ar"/>
              </w:rPr>
              <w:t>0.0031</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14:paraId="7C4AE5C3">
            <w:pPr>
              <w:widowControl/>
              <w:jc w:val="center"/>
              <w:textAlignment w:val="center"/>
              <w:rPr>
                <w:szCs w:val="21"/>
              </w:rPr>
            </w:pPr>
            <w:r>
              <w:rPr>
                <w:kern w:val="0"/>
                <w:szCs w:val="21"/>
                <w:lang w:bidi="ar"/>
              </w:rPr>
              <w:t>0.00012</w:t>
            </w:r>
          </w:p>
        </w:tc>
        <w:tc>
          <w:tcPr>
            <w:tcW w:w="324" w:type="pct"/>
            <w:vMerge w:val="restart"/>
            <w:tcBorders>
              <w:top w:val="single" w:color="000000" w:sz="4" w:space="0"/>
              <w:left w:val="single" w:color="000000" w:sz="4" w:space="0"/>
              <w:bottom w:val="single" w:color="000000" w:sz="4" w:space="0"/>
              <w:right w:val="single" w:color="000000" w:sz="4" w:space="0"/>
            </w:tcBorders>
            <w:noWrap/>
            <w:vAlign w:val="center"/>
          </w:tcPr>
          <w:p w14:paraId="2EB45918">
            <w:pPr>
              <w:widowControl/>
              <w:jc w:val="center"/>
              <w:textAlignment w:val="center"/>
              <w:rPr>
                <w:szCs w:val="21"/>
              </w:rPr>
            </w:pPr>
            <w:r>
              <w:rPr>
                <w:kern w:val="0"/>
                <w:szCs w:val="21"/>
                <w:lang w:bidi="ar"/>
              </w:rPr>
              <w:t xml:space="preserve">0.0053 </w:t>
            </w:r>
          </w:p>
        </w:tc>
        <w:tc>
          <w:tcPr>
            <w:tcW w:w="346" w:type="pct"/>
            <w:vMerge w:val="restart"/>
            <w:tcBorders>
              <w:top w:val="single" w:color="000000" w:sz="4" w:space="0"/>
              <w:left w:val="single" w:color="000000" w:sz="4" w:space="0"/>
              <w:bottom w:val="single" w:color="000000" w:sz="4" w:space="0"/>
              <w:right w:val="single" w:color="000000" w:sz="4" w:space="0"/>
            </w:tcBorders>
            <w:noWrap/>
            <w:vAlign w:val="center"/>
          </w:tcPr>
          <w:p w14:paraId="59DE5DC0">
            <w:pPr>
              <w:widowControl/>
              <w:jc w:val="center"/>
              <w:textAlignment w:val="center"/>
              <w:rPr>
                <w:szCs w:val="21"/>
              </w:rPr>
            </w:pPr>
            <w:r>
              <w:rPr>
                <w:kern w:val="0"/>
                <w:szCs w:val="21"/>
                <w:lang w:bidi="ar"/>
              </w:rPr>
              <w:t xml:space="preserve">0.0002 </w:t>
            </w:r>
          </w:p>
        </w:tc>
        <w:tc>
          <w:tcPr>
            <w:tcW w:w="578" w:type="pct"/>
            <w:vMerge w:val="restart"/>
            <w:tcBorders>
              <w:top w:val="single" w:color="000000" w:sz="4" w:space="0"/>
              <w:left w:val="single" w:color="000000" w:sz="4" w:space="0"/>
              <w:right w:val="single" w:color="000000" w:sz="4" w:space="0"/>
            </w:tcBorders>
            <w:noWrap/>
            <w:vAlign w:val="center"/>
          </w:tcPr>
          <w:p w14:paraId="7E4B8587">
            <w:pPr>
              <w:jc w:val="center"/>
              <w:rPr>
                <w:szCs w:val="21"/>
              </w:rPr>
            </w:pPr>
            <w:r>
              <w:rPr>
                <w:bCs/>
                <w:szCs w:val="21"/>
              </w:rPr>
              <w:t>收集池、调节池、污水处理设施及沼液储存池进行加盖封闭，同时喷洒除臭剂，并加强污水处理站周围绿化，恶臭处理效率70%</w:t>
            </w:r>
          </w:p>
        </w:tc>
        <w:tc>
          <w:tcPr>
            <w:tcW w:w="298" w:type="pct"/>
            <w:vMerge w:val="restart"/>
            <w:tcBorders>
              <w:top w:val="single" w:color="000000" w:sz="4" w:space="0"/>
              <w:left w:val="single" w:color="000000" w:sz="4" w:space="0"/>
              <w:bottom w:val="single" w:color="000000" w:sz="4" w:space="0"/>
              <w:right w:val="single" w:color="000000" w:sz="4" w:space="0"/>
            </w:tcBorders>
            <w:noWrap/>
            <w:vAlign w:val="center"/>
          </w:tcPr>
          <w:p w14:paraId="239E4F62">
            <w:pPr>
              <w:widowControl/>
              <w:jc w:val="center"/>
              <w:textAlignment w:val="center"/>
              <w:rPr>
                <w:szCs w:val="21"/>
              </w:rPr>
            </w:pPr>
            <w:r>
              <w:rPr>
                <w:kern w:val="0"/>
                <w:szCs w:val="21"/>
                <w:lang w:bidi="ar"/>
              </w:rPr>
              <w:t xml:space="preserve">0.0044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6013CA0A">
            <w:pPr>
              <w:widowControl/>
              <w:jc w:val="center"/>
              <w:textAlignment w:val="center"/>
              <w:rPr>
                <w:szCs w:val="21"/>
              </w:rPr>
            </w:pPr>
            <w:r>
              <w:rPr>
                <w:kern w:val="0"/>
                <w:szCs w:val="21"/>
                <w:lang w:bidi="ar"/>
              </w:rPr>
              <w:t xml:space="preserve">0.00017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7316E3B3">
            <w:pPr>
              <w:widowControl/>
              <w:jc w:val="center"/>
              <w:textAlignment w:val="center"/>
              <w:rPr>
                <w:szCs w:val="21"/>
              </w:rPr>
            </w:pPr>
            <w:r>
              <w:rPr>
                <w:kern w:val="0"/>
                <w:szCs w:val="21"/>
                <w:lang w:bidi="ar"/>
              </w:rPr>
              <w:t xml:space="preserve">0.0016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1E457B35">
            <w:pPr>
              <w:widowControl/>
              <w:jc w:val="center"/>
              <w:textAlignment w:val="center"/>
              <w:rPr>
                <w:szCs w:val="21"/>
              </w:rPr>
            </w:pPr>
            <w:r>
              <w:rPr>
                <w:kern w:val="0"/>
                <w:szCs w:val="21"/>
                <w:lang w:bidi="ar"/>
              </w:rPr>
              <w:t xml:space="preserve">0.00006 </w:t>
            </w:r>
          </w:p>
        </w:tc>
      </w:tr>
      <w:tr w14:paraId="51870E03">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0CDB4622">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69D83894">
            <w:pPr>
              <w:widowControl/>
              <w:jc w:val="center"/>
              <w:textAlignment w:val="center"/>
              <w:rPr>
                <w:szCs w:val="21"/>
              </w:rPr>
            </w:pPr>
            <w:r>
              <w:rPr>
                <w:kern w:val="0"/>
                <w:szCs w:val="21"/>
                <w:lang w:bidi="ar"/>
              </w:rPr>
              <w:t>盛丰通风井位置2号舍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7BEB8EC8">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09EF78FB">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744383F4">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4E4BF36A">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5B49CA3B">
            <w:pPr>
              <w:jc w:val="center"/>
              <w:rPr>
                <w:szCs w:val="21"/>
              </w:rPr>
            </w:pPr>
          </w:p>
        </w:tc>
        <w:tc>
          <w:tcPr>
            <w:tcW w:w="578" w:type="pct"/>
            <w:vMerge w:val="continue"/>
            <w:tcBorders>
              <w:left w:val="single" w:color="000000" w:sz="4" w:space="0"/>
              <w:right w:val="single" w:color="000000" w:sz="4" w:space="0"/>
            </w:tcBorders>
            <w:noWrap/>
            <w:vAlign w:val="center"/>
          </w:tcPr>
          <w:p w14:paraId="40174317">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2F8DF4EB">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29310490">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0E053D90">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5F4AE5E">
            <w:pPr>
              <w:jc w:val="center"/>
              <w:rPr>
                <w:szCs w:val="21"/>
              </w:rPr>
            </w:pPr>
          </w:p>
        </w:tc>
      </w:tr>
      <w:tr w14:paraId="70B9AB0B">
        <w:tblPrEx>
          <w:tblCellMar>
            <w:top w:w="0" w:type="dxa"/>
            <w:left w:w="108" w:type="dxa"/>
            <w:bottom w:w="0" w:type="dxa"/>
            <w:right w:w="108" w:type="dxa"/>
          </w:tblCellMar>
        </w:tblPrEx>
        <w:trPr>
          <w:trHeight w:val="285" w:hRule="atLeast"/>
        </w:trPr>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14:paraId="22565FD8">
            <w:pPr>
              <w:widowControl/>
              <w:jc w:val="center"/>
              <w:textAlignment w:val="center"/>
              <w:rPr>
                <w:szCs w:val="21"/>
              </w:rPr>
            </w:pPr>
            <w:r>
              <w:rPr>
                <w:kern w:val="0"/>
                <w:szCs w:val="21"/>
                <w:lang w:bidi="ar"/>
              </w:rPr>
              <w:t>2号地</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1334A317">
            <w:pPr>
              <w:widowControl/>
              <w:jc w:val="center"/>
              <w:textAlignment w:val="center"/>
              <w:rPr>
                <w:szCs w:val="21"/>
              </w:rPr>
            </w:pPr>
            <w:r>
              <w:rPr>
                <w:kern w:val="0"/>
                <w:szCs w:val="21"/>
                <w:lang w:bidi="ar"/>
              </w:rPr>
              <w:t>盛丰焦化楼位置1号舍</w:t>
            </w:r>
          </w:p>
        </w:tc>
        <w:tc>
          <w:tcPr>
            <w:tcW w:w="561" w:type="pct"/>
            <w:vMerge w:val="restart"/>
            <w:tcBorders>
              <w:top w:val="single" w:color="000000" w:sz="4" w:space="0"/>
              <w:left w:val="single" w:color="000000" w:sz="4" w:space="0"/>
              <w:bottom w:val="single" w:color="000000" w:sz="4" w:space="0"/>
              <w:right w:val="single" w:color="000000" w:sz="4" w:space="0"/>
            </w:tcBorders>
            <w:noWrap/>
            <w:vAlign w:val="center"/>
          </w:tcPr>
          <w:p w14:paraId="042588F7">
            <w:pPr>
              <w:widowControl/>
              <w:jc w:val="center"/>
              <w:textAlignment w:val="center"/>
              <w:rPr>
                <w:szCs w:val="21"/>
              </w:rPr>
            </w:pPr>
            <w:r>
              <w:rPr>
                <w:kern w:val="0"/>
                <w:szCs w:val="21"/>
                <w:lang w:bidi="ar"/>
              </w:rPr>
              <w:t xml:space="preserve">3.8739 </w:t>
            </w:r>
          </w:p>
        </w:tc>
        <w:tc>
          <w:tcPr>
            <w:tcW w:w="447" w:type="pct"/>
            <w:vMerge w:val="restart"/>
            <w:tcBorders>
              <w:top w:val="single" w:color="000000" w:sz="4" w:space="0"/>
              <w:left w:val="single" w:color="000000" w:sz="4" w:space="0"/>
              <w:bottom w:val="single" w:color="000000" w:sz="4" w:space="0"/>
              <w:right w:val="single" w:color="000000" w:sz="4" w:space="0"/>
            </w:tcBorders>
            <w:noWrap/>
            <w:vAlign w:val="center"/>
          </w:tcPr>
          <w:p w14:paraId="335158EA">
            <w:pPr>
              <w:widowControl/>
              <w:jc w:val="center"/>
              <w:textAlignment w:val="center"/>
              <w:rPr>
                <w:szCs w:val="21"/>
              </w:rPr>
            </w:pPr>
            <w:r>
              <w:rPr>
                <w:kern w:val="0"/>
                <w:szCs w:val="21"/>
                <w:lang w:bidi="ar"/>
              </w:rPr>
              <w:t>0.0031</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14:paraId="70765D9B">
            <w:pPr>
              <w:widowControl/>
              <w:jc w:val="center"/>
              <w:textAlignment w:val="center"/>
              <w:rPr>
                <w:szCs w:val="21"/>
              </w:rPr>
            </w:pPr>
            <w:r>
              <w:rPr>
                <w:kern w:val="0"/>
                <w:szCs w:val="21"/>
                <w:lang w:bidi="ar"/>
              </w:rPr>
              <w:t>0.00012</w:t>
            </w:r>
          </w:p>
        </w:tc>
        <w:tc>
          <w:tcPr>
            <w:tcW w:w="324" w:type="pct"/>
            <w:vMerge w:val="restart"/>
            <w:tcBorders>
              <w:top w:val="single" w:color="000000" w:sz="4" w:space="0"/>
              <w:left w:val="single" w:color="000000" w:sz="4" w:space="0"/>
              <w:bottom w:val="single" w:color="000000" w:sz="4" w:space="0"/>
              <w:right w:val="single" w:color="000000" w:sz="4" w:space="0"/>
            </w:tcBorders>
            <w:noWrap/>
            <w:vAlign w:val="center"/>
          </w:tcPr>
          <w:p w14:paraId="572E7C31">
            <w:pPr>
              <w:widowControl/>
              <w:jc w:val="center"/>
              <w:textAlignment w:val="center"/>
              <w:rPr>
                <w:szCs w:val="21"/>
              </w:rPr>
            </w:pPr>
            <w:r>
              <w:rPr>
                <w:kern w:val="0"/>
                <w:szCs w:val="21"/>
                <w:lang w:bidi="ar"/>
              </w:rPr>
              <w:t xml:space="preserve">0.0120 </w:t>
            </w:r>
          </w:p>
        </w:tc>
        <w:tc>
          <w:tcPr>
            <w:tcW w:w="346" w:type="pct"/>
            <w:vMerge w:val="restart"/>
            <w:tcBorders>
              <w:top w:val="single" w:color="000000" w:sz="4" w:space="0"/>
              <w:left w:val="single" w:color="000000" w:sz="4" w:space="0"/>
              <w:bottom w:val="single" w:color="000000" w:sz="4" w:space="0"/>
              <w:right w:val="single" w:color="000000" w:sz="4" w:space="0"/>
            </w:tcBorders>
            <w:noWrap/>
            <w:vAlign w:val="center"/>
          </w:tcPr>
          <w:p w14:paraId="5871BAC7">
            <w:pPr>
              <w:widowControl/>
              <w:jc w:val="center"/>
              <w:textAlignment w:val="center"/>
              <w:rPr>
                <w:szCs w:val="21"/>
              </w:rPr>
            </w:pPr>
            <w:r>
              <w:rPr>
                <w:kern w:val="0"/>
                <w:szCs w:val="21"/>
                <w:lang w:bidi="ar"/>
              </w:rPr>
              <w:t xml:space="preserve">0.0005 </w:t>
            </w:r>
          </w:p>
        </w:tc>
        <w:tc>
          <w:tcPr>
            <w:tcW w:w="578" w:type="pct"/>
            <w:vMerge w:val="continue"/>
            <w:tcBorders>
              <w:left w:val="single" w:color="000000" w:sz="4" w:space="0"/>
              <w:right w:val="single" w:color="000000" w:sz="4" w:space="0"/>
            </w:tcBorders>
            <w:noWrap/>
            <w:vAlign w:val="center"/>
          </w:tcPr>
          <w:p w14:paraId="23305765">
            <w:pPr>
              <w:jc w:val="center"/>
              <w:rPr>
                <w:szCs w:val="21"/>
              </w:rPr>
            </w:pPr>
          </w:p>
        </w:tc>
        <w:tc>
          <w:tcPr>
            <w:tcW w:w="298" w:type="pct"/>
            <w:vMerge w:val="restart"/>
            <w:tcBorders>
              <w:top w:val="single" w:color="000000" w:sz="4" w:space="0"/>
              <w:left w:val="single" w:color="000000" w:sz="4" w:space="0"/>
              <w:bottom w:val="single" w:color="000000" w:sz="4" w:space="0"/>
              <w:right w:val="single" w:color="000000" w:sz="4" w:space="0"/>
            </w:tcBorders>
            <w:noWrap/>
            <w:vAlign w:val="center"/>
          </w:tcPr>
          <w:p w14:paraId="4E214026">
            <w:pPr>
              <w:widowControl/>
              <w:jc w:val="center"/>
              <w:textAlignment w:val="center"/>
              <w:rPr>
                <w:szCs w:val="21"/>
              </w:rPr>
            </w:pPr>
            <w:r>
              <w:rPr>
                <w:kern w:val="0"/>
                <w:szCs w:val="21"/>
                <w:lang w:bidi="ar"/>
              </w:rPr>
              <w:t xml:space="preserve">0.0099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239F1DE1">
            <w:pPr>
              <w:widowControl/>
              <w:jc w:val="center"/>
              <w:textAlignment w:val="center"/>
              <w:rPr>
                <w:szCs w:val="21"/>
              </w:rPr>
            </w:pPr>
            <w:r>
              <w:rPr>
                <w:kern w:val="0"/>
                <w:szCs w:val="21"/>
                <w:lang w:bidi="ar"/>
              </w:rPr>
              <w:t xml:space="preserve">0.00038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29970688">
            <w:pPr>
              <w:widowControl/>
              <w:jc w:val="center"/>
              <w:textAlignment w:val="center"/>
              <w:rPr>
                <w:szCs w:val="21"/>
              </w:rPr>
            </w:pPr>
            <w:r>
              <w:rPr>
                <w:kern w:val="0"/>
                <w:szCs w:val="21"/>
                <w:lang w:bidi="ar"/>
              </w:rPr>
              <w:t xml:space="preserve">0.0036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232E0E58">
            <w:pPr>
              <w:widowControl/>
              <w:jc w:val="center"/>
              <w:textAlignment w:val="center"/>
              <w:rPr>
                <w:szCs w:val="21"/>
              </w:rPr>
            </w:pPr>
            <w:r>
              <w:rPr>
                <w:kern w:val="0"/>
                <w:szCs w:val="21"/>
                <w:lang w:bidi="ar"/>
              </w:rPr>
              <w:t xml:space="preserve">0.00014 </w:t>
            </w:r>
          </w:p>
        </w:tc>
      </w:tr>
      <w:tr w14:paraId="7EE79FC6">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357DA2A8">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0101BC51">
            <w:pPr>
              <w:widowControl/>
              <w:jc w:val="center"/>
              <w:textAlignment w:val="center"/>
              <w:rPr>
                <w:szCs w:val="21"/>
              </w:rPr>
            </w:pPr>
            <w:r>
              <w:rPr>
                <w:kern w:val="0"/>
                <w:szCs w:val="21"/>
                <w:lang w:bidi="ar"/>
              </w:rPr>
              <w:t>盛丰焦化楼位置2号舍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14CDFCE2">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4671C38E">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4331A298">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1BD92A7C">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58B0A0AD">
            <w:pPr>
              <w:jc w:val="center"/>
              <w:rPr>
                <w:szCs w:val="21"/>
              </w:rPr>
            </w:pPr>
          </w:p>
        </w:tc>
        <w:tc>
          <w:tcPr>
            <w:tcW w:w="578" w:type="pct"/>
            <w:vMerge w:val="continue"/>
            <w:tcBorders>
              <w:left w:val="single" w:color="000000" w:sz="4" w:space="0"/>
              <w:right w:val="single" w:color="000000" w:sz="4" w:space="0"/>
            </w:tcBorders>
            <w:noWrap/>
            <w:vAlign w:val="center"/>
          </w:tcPr>
          <w:p w14:paraId="3DAA98DE">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3D2877E3">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58673DC9">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48CE6EDF">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925E40D">
            <w:pPr>
              <w:jc w:val="center"/>
              <w:rPr>
                <w:szCs w:val="21"/>
              </w:rPr>
            </w:pPr>
          </w:p>
        </w:tc>
      </w:tr>
      <w:tr w14:paraId="7F752B2E">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3CEC1375">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5C572816">
            <w:pPr>
              <w:widowControl/>
              <w:jc w:val="center"/>
              <w:textAlignment w:val="center"/>
              <w:rPr>
                <w:szCs w:val="21"/>
              </w:rPr>
            </w:pPr>
            <w:r>
              <w:rPr>
                <w:kern w:val="0"/>
                <w:szCs w:val="21"/>
                <w:lang w:bidi="ar"/>
              </w:rPr>
              <w:t>球场位置1单元</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5FC070EE">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147AC05E">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05C3A9E9">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63A4D1EC">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4822AB18">
            <w:pPr>
              <w:jc w:val="center"/>
              <w:rPr>
                <w:szCs w:val="21"/>
              </w:rPr>
            </w:pPr>
          </w:p>
        </w:tc>
        <w:tc>
          <w:tcPr>
            <w:tcW w:w="578" w:type="pct"/>
            <w:vMerge w:val="continue"/>
            <w:tcBorders>
              <w:left w:val="single" w:color="000000" w:sz="4" w:space="0"/>
              <w:right w:val="single" w:color="000000" w:sz="4" w:space="0"/>
            </w:tcBorders>
            <w:noWrap/>
            <w:vAlign w:val="center"/>
          </w:tcPr>
          <w:p w14:paraId="417D5E62">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555F3AD8">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1A8BFE11">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3F6EAEAC">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23DFC1E">
            <w:pPr>
              <w:jc w:val="center"/>
              <w:rPr>
                <w:szCs w:val="21"/>
              </w:rPr>
            </w:pPr>
          </w:p>
        </w:tc>
      </w:tr>
      <w:tr w14:paraId="2BAD7EFA">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03E48886">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5822F6D4">
            <w:pPr>
              <w:widowControl/>
              <w:jc w:val="center"/>
              <w:textAlignment w:val="center"/>
              <w:rPr>
                <w:szCs w:val="21"/>
              </w:rPr>
            </w:pPr>
            <w:r>
              <w:rPr>
                <w:kern w:val="0"/>
                <w:szCs w:val="21"/>
                <w:lang w:bidi="ar"/>
              </w:rPr>
              <w:t>球场位置2单元</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697085D6">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1ECAF6B4">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2C377857">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1CB28EE1">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48A8A570">
            <w:pPr>
              <w:jc w:val="center"/>
              <w:rPr>
                <w:szCs w:val="21"/>
              </w:rPr>
            </w:pPr>
          </w:p>
        </w:tc>
        <w:tc>
          <w:tcPr>
            <w:tcW w:w="578" w:type="pct"/>
            <w:vMerge w:val="continue"/>
            <w:tcBorders>
              <w:left w:val="single" w:color="000000" w:sz="4" w:space="0"/>
              <w:right w:val="single" w:color="000000" w:sz="4" w:space="0"/>
            </w:tcBorders>
            <w:noWrap/>
            <w:vAlign w:val="center"/>
          </w:tcPr>
          <w:p w14:paraId="5F34C6CE">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213F22B5">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3AD04C6C">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148330CD">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B7A862D">
            <w:pPr>
              <w:jc w:val="center"/>
              <w:rPr>
                <w:szCs w:val="21"/>
              </w:rPr>
            </w:pPr>
          </w:p>
        </w:tc>
      </w:tr>
      <w:tr w14:paraId="1CA98680">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1225E8D8">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64016793">
            <w:pPr>
              <w:widowControl/>
              <w:jc w:val="center"/>
              <w:textAlignment w:val="center"/>
              <w:rPr>
                <w:szCs w:val="21"/>
              </w:rPr>
            </w:pPr>
            <w:r>
              <w:rPr>
                <w:kern w:val="0"/>
                <w:szCs w:val="21"/>
                <w:lang w:bidi="ar"/>
              </w:rPr>
              <w:t>球场位置3单元</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43E06EA1">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74FA2E81">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6CACA118">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772E87A7">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039542ED">
            <w:pPr>
              <w:jc w:val="center"/>
              <w:rPr>
                <w:szCs w:val="21"/>
              </w:rPr>
            </w:pPr>
          </w:p>
        </w:tc>
        <w:tc>
          <w:tcPr>
            <w:tcW w:w="578" w:type="pct"/>
            <w:vMerge w:val="continue"/>
            <w:tcBorders>
              <w:left w:val="single" w:color="000000" w:sz="4" w:space="0"/>
              <w:right w:val="single" w:color="000000" w:sz="4" w:space="0"/>
            </w:tcBorders>
            <w:noWrap/>
            <w:vAlign w:val="center"/>
          </w:tcPr>
          <w:p w14:paraId="7CEC7E7D">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1CFD388F">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06413770">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30A0A1C7">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84E848E">
            <w:pPr>
              <w:jc w:val="center"/>
              <w:rPr>
                <w:szCs w:val="21"/>
              </w:rPr>
            </w:pPr>
          </w:p>
        </w:tc>
      </w:tr>
      <w:tr w14:paraId="13E6893F">
        <w:tblPrEx>
          <w:tblCellMar>
            <w:top w:w="0" w:type="dxa"/>
            <w:left w:w="108" w:type="dxa"/>
            <w:bottom w:w="0" w:type="dxa"/>
            <w:right w:w="108" w:type="dxa"/>
          </w:tblCellMar>
        </w:tblPrEx>
        <w:trPr>
          <w:trHeight w:val="285" w:hRule="atLeast"/>
        </w:trPr>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14:paraId="263C0BD6">
            <w:pPr>
              <w:widowControl/>
              <w:jc w:val="center"/>
              <w:textAlignment w:val="center"/>
              <w:rPr>
                <w:szCs w:val="21"/>
              </w:rPr>
            </w:pPr>
            <w:r>
              <w:rPr>
                <w:kern w:val="0"/>
                <w:szCs w:val="21"/>
                <w:lang w:bidi="ar"/>
              </w:rPr>
              <w:t>3号地</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344DCC16">
            <w:pPr>
              <w:widowControl/>
              <w:jc w:val="center"/>
              <w:textAlignment w:val="center"/>
              <w:rPr>
                <w:szCs w:val="21"/>
              </w:rPr>
            </w:pPr>
            <w:r>
              <w:rPr>
                <w:kern w:val="0"/>
                <w:szCs w:val="21"/>
                <w:lang w:bidi="ar"/>
              </w:rPr>
              <w:t>老井位置1号舍</w:t>
            </w:r>
          </w:p>
        </w:tc>
        <w:tc>
          <w:tcPr>
            <w:tcW w:w="561" w:type="pct"/>
            <w:vMerge w:val="restart"/>
            <w:tcBorders>
              <w:top w:val="single" w:color="000000" w:sz="4" w:space="0"/>
              <w:left w:val="single" w:color="000000" w:sz="4" w:space="0"/>
              <w:bottom w:val="single" w:color="000000" w:sz="4" w:space="0"/>
              <w:right w:val="single" w:color="000000" w:sz="4" w:space="0"/>
            </w:tcBorders>
            <w:noWrap/>
            <w:vAlign w:val="center"/>
          </w:tcPr>
          <w:p w14:paraId="0E0640A4">
            <w:pPr>
              <w:widowControl/>
              <w:jc w:val="center"/>
              <w:textAlignment w:val="center"/>
              <w:rPr>
                <w:szCs w:val="21"/>
              </w:rPr>
            </w:pPr>
            <w:r>
              <w:rPr>
                <w:kern w:val="0"/>
                <w:szCs w:val="21"/>
                <w:lang w:bidi="ar"/>
              </w:rPr>
              <w:t xml:space="preserve">1.4635 </w:t>
            </w:r>
          </w:p>
        </w:tc>
        <w:tc>
          <w:tcPr>
            <w:tcW w:w="447" w:type="pct"/>
            <w:vMerge w:val="restart"/>
            <w:tcBorders>
              <w:top w:val="single" w:color="000000" w:sz="4" w:space="0"/>
              <w:left w:val="single" w:color="000000" w:sz="4" w:space="0"/>
              <w:bottom w:val="single" w:color="000000" w:sz="4" w:space="0"/>
              <w:right w:val="single" w:color="000000" w:sz="4" w:space="0"/>
            </w:tcBorders>
            <w:noWrap/>
            <w:vAlign w:val="center"/>
          </w:tcPr>
          <w:p w14:paraId="609ED34B">
            <w:pPr>
              <w:widowControl/>
              <w:jc w:val="center"/>
              <w:textAlignment w:val="center"/>
              <w:rPr>
                <w:szCs w:val="21"/>
              </w:rPr>
            </w:pPr>
            <w:r>
              <w:rPr>
                <w:kern w:val="0"/>
                <w:szCs w:val="21"/>
                <w:lang w:bidi="ar"/>
              </w:rPr>
              <w:t>0.0031</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14:paraId="3435178B">
            <w:pPr>
              <w:widowControl/>
              <w:jc w:val="center"/>
              <w:textAlignment w:val="center"/>
              <w:rPr>
                <w:szCs w:val="21"/>
              </w:rPr>
            </w:pPr>
            <w:r>
              <w:rPr>
                <w:kern w:val="0"/>
                <w:szCs w:val="21"/>
                <w:lang w:bidi="ar"/>
              </w:rPr>
              <w:t>0.00012</w:t>
            </w:r>
          </w:p>
        </w:tc>
        <w:tc>
          <w:tcPr>
            <w:tcW w:w="324" w:type="pct"/>
            <w:vMerge w:val="restart"/>
            <w:tcBorders>
              <w:top w:val="single" w:color="000000" w:sz="4" w:space="0"/>
              <w:left w:val="single" w:color="000000" w:sz="4" w:space="0"/>
              <w:bottom w:val="single" w:color="000000" w:sz="4" w:space="0"/>
              <w:right w:val="single" w:color="000000" w:sz="4" w:space="0"/>
            </w:tcBorders>
            <w:noWrap/>
            <w:vAlign w:val="center"/>
          </w:tcPr>
          <w:p w14:paraId="1EA2AABD">
            <w:pPr>
              <w:widowControl/>
              <w:jc w:val="center"/>
              <w:textAlignment w:val="center"/>
              <w:rPr>
                <w:szCs w:val="21"/>
              </w:rPr>
            </w:pPr>
            <w:r>
              <w:rPr>
                <w:kern w:val="0"/>
                <w:szCs w:val="21"/>
                <w:lang w:bidi="ar"/>
              </w:rPr>
              <w:t xml:space="preserve">0.0045 </w:t>
            </w:r>
          </w:p>
        </w:tc>
        <w:tc>
          <w:tcPr>
            <w:tcW w:w="346" w:type="pct"/>
            <w:vMerge w:val="restart"/>
            <w:tcBorders>
              <w:top w:val="single" w:color="000000" w:sz="4" w:space="0"/>
              <w:left w:val="single" w:color="000000" w:sz="4" w:space="0"/>
              <w:bottom w:val="single" w:color="000000" w:sz="4" w:space="0"/>
              <w:right w:val="single" w:color="000000" w:sz="4" w:space="0"/>
            </w:tcBorders>
            <w:noWrap/>
            <w:vAlign w:val="center"/>
          </w:tcPr>
          <w:p w14:paraId="1DE37593">
            <w:pPr>
              <w:widowControl/>
              <w:jc w:val="center"/>
              <w:textAlignment w:val="center"/>
              <w:rPr>
                <w:szCs w:val="21"/>
              </w:rPr>
            </w:pPr>
            <w:r>
              <w:rPr>
                <w:kern w:val="0"/>
                <w:szCs w:val="21"/>
                <w:lang w:bidi="ar"/>
              </w:rPr>
              <w:t xml:space="preserve">0.0002 </w:t>
            </w:r>
          </w:p>
        </w:tc>
        <w:tc>
          <w:tcPr>
            <w:tcW w:w="578" w:type="pct"/>
            <w:vMerge w:val="continue"/>
            <w:tcBorders>
              <w:left w:val="single" w:color="000000" w:sz="4" w:space="0"/>
              <w:right w:val="single" w:color="000000" w:sz="4" w:space="0"/>
            </w:tcBorders>
            <w:noWrap/>
            <w:vAlign w:val="center"/>
          </w:tcPr>
          <w:p w14:paraId="5396086C">
            <w:pPr>
              <w:jc w:val="center"/>
              <w:rPr>
                <w:szCs w:val="21"/>
              </w:rPr>
            </w:pPr>
          </w:p>
        </w:tc>
        <w:tc>
          <w:tcPr>
            <w:tcW w:w="298" w:type="pct"/>
            <w:vMerge w:val="restart"/>
            <w:tcBorders>
              <w:top w:val="single" w:color="000000" w:sz="4" w:space="0"/>
              <w:left w:val="single" w:color="000000" w:sz="4" w:space="0"/>
              <w:bottom w:val="single" w:color="000000" w:sz="4" w:space="0"/>
              <w:right w:val="single" w:color="000000" w:sz="4" w:space="0"/>
            </w:tcBorders>
            <w:noWrap/>
            <w:vAlign w:val="center"/>
          </w:tcPr>
          <w:p w14:paraId="1B7A82EC">
            <w:pPr>
              <w:widowControl/>
              <w:jc w:val="center"/>
              <w:textAlignment w:val="center"/>
              <w:rPr>
                <w:szCs w:val="21"/>
              </w:rPr>
            </w:pPr>
            <w:r>
              <w:rPr>
                <w:kern w:val="0"/>
                <w:szCs w:val="21"/>
                <w:lang w:bidi="ar"/>
              </w:rPr>
              <w:t xml:space="preserve">0.0037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58D6C4CE">
            <w:pPr>
              <w:widowControl/>
              <w:jc w:val="center"/>
              <w:textAlignment w:val="center"/>
              <w:rPr>
                <w:szCs w:val="21"/>
              </w:rPr>
            </w:pPr>
            <w:r>
              <w:rPr>
                <w:kern w:val="0"/>
                <w:szCs w:val="21"/>
                <w:lang w:bidi="ar"/>
              </w:rPr>
              <w:t xml:space="preserve">0.00014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4EE881E2">
            <w:pPr>
              <w:widowControl/>
              <w:jc w:val="center"/>
              <w:textAlignment w:val="center"/>
              <w:rPr>
                <w:szCs w:val="21"/>
              </w:rPr>
            </w:pPr>
            <w:r>
              <w:rPr>
                <w:kern w:val="0"/>
                <w:szCs w:val="21"/>
                <w:lang w:bidi="ar"/>
              </w:rPr>
              <w:t xml:space="preserve">0.0014 </w:t>
            </w:r>
          </w:p>
        </w:tc>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4645FAE6">
            <w:pPr>
              <w:widowControl/>
              <w:jc w:val="center"/>
              <w:textAlignment w:val="center"/>
              <w:rPr>
                <w:szCs w:val="21"/>
              </w:rPr>
            </w:pPr>
            <w:r>
              <w:rPr>
                <w:kern w:val="0"/>
                <w:szCs w:val="21"/>
                <w:lang w:bidi="ar"/>
              </w:rPr>
              <w:t xml:space="preserve">0.00005 </w:t>
            </w:r>
          </w:p>
        </w:tc>
      </w:tr>
      <w:tr w14:paraId="0A7B14C7">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023CA441">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144B548F">
            <w:pPr>
              <w:widowControl/>
              <w:jc w:val="center"/>
              <w:textAlignment w:val="center"/>
              <w:rPr>
                <w:szCs w:val="21"/>
              </w:rPr>
            </w:pPr>
            <w:r>
              <w:rPr>
                <w:kern w:val="0"/>
                <w:szCs w:val="21"/>
                <w:lang w:bidi="ar"/>
              </w:rPr>
              <w:t>老井位置2号舍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7E293EAF">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509775B4">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0F71F658">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045B4B9B">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6E28EA6F">
            <w:pPr>
              <w:jc w:val="center"/>
              <w:rPr>
                <w:szCs w:val="21"/>
              </w:rPr>
            </w:pPr>
          </w:p>
        </w:tc>
        <w:tc>
          <w:tcPr>
            <w:tcW w:w="578" w:type="pct"/>
            <w:vMerge w:val="continue"/>
            <w:tcBorders>
              <w:left w:val="single" w:color="000000" w:sz="4" w:space="0"/>
              <w:right w:val="single" w:color="000000" w:sz="4" w:space="0"/>
            </w:tcBorders>
            <w:noWrap/>
            <w:vAlign w:val="center"/>
          </w:tcPr>
          <w:p w14:paraId="2C29DEB7">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2AD9FF29">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22906624">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619AFF31">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48CAE5D">
            <w:pPr>
              <w:jc w:val="center"/>
              <w:rPr>
                <w:szCs w:val="21"/>
              </w:rPr>
            </w:pPr>
          </w:p>
        </w:tc>
      </w:tr>
      <w:tr w14:paraId="2C59B2CE">
        <w:tblPrEx>
          <w:tblCellMar>
            <w:top w:w="0" w:type="dxa"/>
            <w:left w:w="108" w:type="dxa"/>
            <w:bottom w:w="0" w:type="dxa"/>
            <w:right w:w="108" w:type="dxa"/>
          </w:tblCellMar>
        </w:tblPrEx>
        <w:trPr>
          <w:trHeight w:val="285" w:hRule="atLeast"/>
        </w:trPr>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14:paraId="066B2776">
            <w:pPr>
              <w:widowControl/>
              <w:jc w:val="center"/>
              <w:textAlignment w:val="center"/>
              <w:rPr>
                <w:szCs w:val="21"/>
              </w:rPr>
            </w:pPr>
            <w:r>
              <w:rPr>
                <w:kern w:val="0"/>
                <w:szCs w:val="21"/>
                <w:lang w:bidi="ar"/>
              </w:rPr>
              <w:t>4号地</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2C580BA8">
            <w:pPr>
              <w:widowControl/>
              <w:jc w:val="center"/>
              <w:textAlignment w:val="center"/>
              <w:rPr>
                <w:szCs w:val="21"/>
              </w:rPr>
            </w:pPr>
            <w:r>
              <w:rPr>
                <w:kern w:val="0"/>
                <w:szCs w:val="21"/>
                <w:lang w:bidi="ar"/>
              </w:rPr>
              <w:t>鑫旺板块1号舍</w:t>
            </w:r>
          </w:p>
        </w:tc>
        <w:tc>
          <w:tcPr>
            <w:tcW w:w="561" w:type="pct"/>
            <w:vMerge w:val="restart"/>
            <w:tcBorders>
              <w:top w:val="single" w:color="000000" w:sz="4" w:space="0"/>
              <w:left w:val="single" w:color="000000" w:sz="4" w:space="0"/>
              <w:bottom w:val="single" w:color="000000" w:sz="4" w:space="0"/>
              <w:right w:val="single" w:color="000000" w:sz="4" w:space="0"/>
            </w:tcBorders>
            <w:noWrap/>
            <w:vAlign w:val="center"/>
          </w:tcPr>
          <w:p w14:paraId="438650F9">
            <w:pPr>
              <w:widowControl/>
              <w:jc w:val="center"/>
              <w:textAlignment w:val="center"/>
              <w:rPr>
                <w:szCs w:val="21"/>
              </w:rPr>
            </w:pPr>
            <w:r>
              <w:rPr>
                <w:kern w:val="0"/>
                <w:szCs w:val="21"/>
                <w:lang w:bidi="ar"/>
              </w:rPr>
              <w:t xml:space="preserve">3.8092 </w:t>
            </w:r>
          </w:p>
        </w:tc>
        <w:tc>
          <w:tcPr>
            <w:tcW w:w="447" w:type="pct"/>
            <w:vMerge w:val="restart"/>
            <w:tcBorders>
              <w:top w:val="single" w:color="000000" w:sz="4" w:space="0"/>
              <w:left w:val="single" w:color="000000" w:sz="4" w:space="0"/>
              <w:bottom w:val="single" w:color="000000" w:sz="4" w:space="0"/>
              <w:right w:val="single" w:color="000000" w:sz="4" w:space="0"/>
            </w:tcBorders>
            <w:noWrap/>
            <w:vAlign w:val="center"/>
          </w:tcPr>
          <w:p w14:paraId="70D47A43">
            <w:pPr>
              <w:widowControl/>
              <w:jc w:val="center"/>
              <w:textAlignment w:val="center"/>
              <w:rPr>
                <w:szCs w:val="21"/>
              </w:rPr>
            </w:pPr>
            <w:r>
              <w:rPr>
                <w:kern w:val="0"/>
                <w:szCs w:val="21"/>
                <w:lang w:bidi="ar"/>
              </w:rPr>
              <w:t>0.0031</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14:paraId="3172CECD">
            <w:pPr>
              <w:widowControl/>
              <w:jc w:val="center"/>
              <w:textAlignment w:val="center"/>
              <w:rPr>
                <w:szCs w:val="21"/>
              </w:rPr>
            </w:pPr>
            <w:r>
              <w:rPr>
                <w:kern w:val="0"/>
                <w:szCs w:val="21"/>
                <w:lang w:bidi="ar"/>
              </w:rPr>
              <w:t>0.00012</w:t>
            </w:r>
          </w:p>
        </w:tc>
        <w:tc>
          <w:tcPr>
            <w:tcW w:w="324" w:type="pct"/>
            <w:vMerge w:val="restart"/>
            <w:tcBorders>
              <w:top w:val="single" w:color="000000" w:sz="4" w:space="0"/>
              <w:left w:val="single" w:color="000000" w:sz="4" w:space="0"/>
              <w:bottom w:val="single" w:color="000000" w:sz="4" w:space="0"/>
              <w:right w:val="single" w:color="000000" w:sz="4" w:space="0"/>
            </w:tcBorders>
            <w:noWrap/>
            <w:vAlign w:val="center"/>
          </w:tcPr>
          <w:p w14:paraId="669D0A66">
            <w:pPr>
              <w:widowControl/>
              <w:jc w:val="center"/>
              <w:textAlignment w:val="center"/>
              <w:rPr>
                <w:szCs w:val="21"/>
              </w:rPr>
            </w:pPr>
            <w:r>
              <w:rPr>
                <w:kern w:val="0"/>
                <w:szCs w:val="21"/>
                <w:lang w:bidi="ar"/>
              </w:rPr>
              <w:t xml:space="preserve">0.0118 </w:t>
            </w:r>
          </w:p>
        </w:tc>
        <w:tc>
          <w:tcPr>
            <w:tcW w:w="346" w:type="pct"/>
            <w:vMerge w:val="restart"/>
            <w:tcBorders>
              <w:top w:val="single" w:color="000000" w:sz="4" w:space="0"/>
              <w:left w:val="single" w:color="000000" w:sz="4" w:space="0"/>
              <w:bottom w:val="single" w:color="000000" w:sz="4" w:space="0"/>
              <w:right w:val="single" w:color="000000" w:sz="4" w:space="0"/>
            </w:tcBorders>
            <w:noWrap/>
            <w:vAlign w:val="center"/>
          </w:tcPr>
          <w:p w14:paraId="78CAA15C">
            <w:pPr>
              <w:widowControl/>
              <w:jc w:val="center"/>
              <w:textAlignment w:val="center"/>
              <w:rPr>
                <w:szCs w:val="21"/>
              </w:rPr>
            </w:pPr>
            <w:r>
              <w:rPr>
                <w:kern w:val="0"/>
                <w:szCs w:val="21"/>
                <w:lang w:bidi="ar"/>
              </w:rPr>
              <w:t xml:space="preserve">0.0450 </w:t>
            </w:r>
          </w:p>
        </w:tc>
        <w:tc>
          <w:tcPr>
            <w:tcW w:w="578" w:type="pct"/>
            <w:vMerge w:val="continue"/>
            <w:tcBorders>
              <w:left w:val="single" w:color="000000" w:sz="4" w:space="0"/>
              <w:right w:val="single" w:color="000000" w:sz="4" w:space="0"/>
            </w:tcBorders>
            <w:noWrap/>
            <w:vAlign w:val="center"/>
          </w:tcPr>
          <w:p w14:paraId="7C0162F4">
            <w:pPr>
              <w:jc w:val="center"/>
              <w:rPr>
                <w:szCs w:val="21"/>
              </w:rPr>
            </w:pPr>
          </w:p>
        </w:tc>
        <w:tc>
          <w:tcPr>
            <w:tcW w:w="298" w:type="pct"/>
            <w:vMerge w:val="restart"/>
            <w:tcBorders>
              <w:top w:val="single" w:color="000000" w:sz="4" w:space="0"/>
              <w:left w:val="single" w:color="000000" w:sz="4" w:space="0"/>
              <w:bottom w:val="single" w:color="000000" w:sz="4" w:space="0"/>
              <w:right w:val="single" w:color="000000" w:sz="4" w:space="0"/>
            </w:tcBorders>
            <w:noWrap/>
            <w:vAlign w:val="center"/>
          </w:tcPr>
          <w:p w14:paraId="10D61CC4">
            <w:pPr>
              <w:widowControl/>
              <w:jc w:val="center"/>
              <w:textAlignment w:val="center"/>
              <w:rPr>
                <w:szCs w:val="21"/>
              </w:rPr>
            </w:pPr>
            <w:r>
              <w:rPr>
                <w:kern w:val="0"/>
                <w:szCs w:val="21"/>
                <w:lang w:bidi="ar"/>
              </w:rPr>
              <w:t xml:space="preserve">0.0097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3D0EF3F6">
            <w:pPr>
              <w:widowControl/>
              <w:jc w:val="center"/>
              <w:textAlignment w:val="center"/>
              <w:rPr>
                <w:szCs w:val="21"/>
              </w:rPr>
            </w:pPr>
            <w:r>
              <w:rPr>
                <w:kern w:val="0"/>
                <w:szCs w:val="21"/>
                <w:lang w:bidi="ar"/>
              </w:rPr>
              <w:t xml:space="preserve">0.03707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470C3DB5">
            <w:pPr>
              <w:widowControl/>
              <w:jc w:val="center"/>
              <w:textAlignment w:val="center"/>
              <w:rPr>
                <w:szCs w:val="21"/>
              </w:rPr>
            </w:pPr>
            <w:r>
              <w:rPr>
                <w:kern w:val="0"/>
                <w:szCs w:val="21"/>
                <w:lang w:bidi="ar"/>
              </w:rPr>
              <w:t xml:space="preserve">0.0035 </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14:paraId="7DDD71EC">
            <w:pPr>
              <w:widowControl/>
              <w:jc w:val="center"/>
              <w:textAlignment w:val="center"/>
              <w:rPr>
                <w:szCs w:val="21"/>
              </w:rPr>
            </w:pPr>
            <w:r>
              <w:rPr>
                <w:kern w:val="0"/>
                <w:szCs w:val="21"/>
                <w:lang w:bidi="ar"/>
              </w:rPr>
              <w:t xml:space="preserve">0.00014 </w:t>
            </w:r>
          </w:p>
        </w:tc>
      </w:tr>
      <w:tr w14:paraId="16381394">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7CDCC47B">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5D9AD7FE">
            <w:pPr>
              <w:widowControl/>
              <w:jc w:val="center"/>
              <w:textAlignment w:val="center"/>
              <w:rPr>
                <w:szCs w:val="21"/>
              </w:rPr>
            </w:pPr>
            <w:r>
              <w:rPr>
                <w:kern w:val="0"/>
                <w:szCs w:val="21"/>
                <w:lang w:bidi="ar"/>
              </w:rPr>
              <w:t>鑫旺板块2号舍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5386540C">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2F975478">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06884E79">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1200D6F1">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1B0048E9">
            <w:pPr>
              <w:jc w:val="center"/>
              <w:rPr>
                <w:szCs w:val="21"/>
              </w:rPr>
            </w:pPr>
          </w:p>
        </w:tc>
        <w:tc>
          <w:tcPr>
            <w:tcW w:w="578" w:type="pct"/>
            <w:vMerge w:val="continue"/>
            <w:tcBorders>
              <w:left w:val="single" w:color="000000" w:sz="4" w:space="0"/>
              <w:right w:val="single" w:color="000000" w:sz="4" w:space="0"/>
            </w:tcBorders>
            <w:noWrap/>
            <w:vAlign w:val="center"/>
          </w:tcPr>
          <w:p w14:paraId="6C39D408">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2AA169DF">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475D6D6A">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7B0E84F2">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740B20A">
            <w:pPr>
              <w:jc w:val="center"/>
              <w:rPr>
                <w:szCs w:val="21"/>
              </w:rPr>
            </w:pPr>
          </w:p>
        </w:tc>
      </w:tr>
      <w:tr w14:paraId="42FC13E6">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62B03989">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3EFBD80A">
            <w:pPr>
              <w:widowControl/>
              <w:jc w:val="center"/>
              <w:textAlignment w:val="center"/>
              <w:rPr>
                <w:szCs w:val="21"/>
              </w:rPr>
            </w:pPr>
            <w:r>
              <w:rPr>
                <w:kern w:val="0"/>
                <w:szCs w:val="21"/>
                <w:lang w:bidi="ar"/>
              </w:rPr>
              <w:t>鑫旺板块3号舍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54634322">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39DE28BD">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1E42230D">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35D30CDC">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1B7E9BA2">
            <w:pPr>
              <w:jc w:val="center"/>
              <w:rPr>
                <w:szCs w:val="21"/>
              </w:rPr>
            </w:pPr>
          </w:p>
        </w:tc>
        <w:tc>
          <w:tcPr>
            <w:tcW w:w="578" w:type="pct"/>
            <w:vMerge w:val="continue"/>
            <w:tcBorders>
              <w:left w:val="single" w:color="000000" w:sz="4" w:space="0"/>
              <w:right w:val="single" w:color="000000" w:sz="4" w:space="0"/>
            </w:tcBorders>
            <w:noWrap/>
            <w:vAlign w:val="center"/>
          </w:tcPr>
          <w:p w14:paraId="14C9900C">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06310B5F">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683D9065">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2026E755">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4371489">
            <w:pPr>
              <w:jc w:val="center"/>
              <w:rPr>
                <w:szCs w:val="21"/>
              </w:rPr>
            </w:pPr>
          </w:p>
        </w:tc>
      </w:tr>
      <w:tr w14:paraId="3D6ED007">
        <w:tblPrEx>
          <w:tblCellMar>
            <w:top w:w="0" w:type="dxa"/>
            <w:left w:w="108" w:type="dxa"/>
            <w:bottom w:w="0" w:type="dxa"/>
            <w:right w:w="108" w:type="dxa"/>
          </w:tblCellMar>
        </w:tblPrEx>
        <w:trPr>
          <w:trHeight w:val="285" w:hRule="atLeast"/>
        </w:trPr>
        <w:tc>
          <w:tcPr>
            <w:tcW w:w="216" w:type="pct"/>
            <w:vMerge w:val="restart"/>
            <w:tcBorders>
              <w:top w:val="single" w:color="000000" w:sz="4" w:space="0"/>
              <w:left w:val="single" w:color="000000" w:sz="4" w:space="0"/>
              <w:bottom w:val="single" w:color="000000" w:sz="4" w:space="0"/>
              <w:right w:val="single" w:color="000000" w:sz="4" w:space="0"/>
            </w:tcBorders>
            <w:noWrap/>
            <w:vAlign w:val="center"/>
          </w:tcPr>
          <w:p w14:paraId="2FF9CA8A">
            <w:pPr>
              <w:widowControl/>
              <w:jc w:val="center"/>
              <w:textAlignment w:val="center"/>
              <w:rPr>
                <w:szCs w:val="21"/>
              </w:rPr>
            </w:pPr>
            <w:r>
              <w:rPr>
                <w:kern w:val="0"/>
                <w:szCs w:val="21"/>
                <w:lang w:bidi="ar"/>
              </w:rPr>
              <w:t>5号地</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7A76DE1D">
            <w:pPr>
              <w:widowControl/>
              <w:jc w:val="center"/>
              <w:textAlignment w:val="center"/>
              <w:rPr>
                <w:szCs w:val="21"/>
              </w:rPr>
            </w:pPr>
            <w:r>
              <w:rPr>
                <w:kern w:val="0"/>
                <w:szCs w:val="21"/>
                <w:lang w:bidi="ar"/>
              </w:rPr>
              <w:t>大河边篮球场位置猪舍</w:t>
            </w:r>
          </w:p>
        </w:tc>
        <w:tc>
          <w:tcPr>
            <w:tcW w:w="561" w:type="pct"/>
            <w:vMerge w:val="restart"/>
            <w:tcBorders>
              <w:top w:val="single" w:color="000000" w:sz="4" w:space="0"/>
              <w:left w:val="single" w:color="000000" w:sz="4" w:space="0"/>
              <w:bottom w:val="single" w:color="000000" w:sz="4" w:space="0"/>
              <w:right w:val="single" w:color="000000" w:sz="4" w:space="0"/>
            </w:tcBorders>
            <w:noWrap/>
            <w:vAlign w:val="center"/>
          </w:tcPr>
          <w:p w14:paraId="089B751C">
            <w:pPr>
              <w:widowControl/>
              <w:jc w:val="center"/>
              <w:textAlignment w:val="center"/>
              <w:rPr>
                <w:szCs w:val="21"/>
              </w:rPr>
            </w:pPr>
            <w:r>
              <w:rPr>
                <w:kern w:val="0"/>
                <w:szCs w:val="21"/>
                <w:lang w:bidi="ar"/>
              </w:rPr>
              <w:t xml:space="preserve">3.2856 </w:t>
            </w:r>
          </w:p>
        </w:tc>
        <w:tc>
          <w:tcPr>
            <w:tcW w:w="447" w:type="pct"/>
            <w:vMerge w:val="restart"/>
            <w:tcBorders>
              <w:top w:val="single" w:color="000000" w:sz="4" w:space="0"/>
              <w:left w:val="single" w:color="000000" w:sz="4" w:space="0"/>
              <w:bottom w:val="single" w:color="000000" w:sz="4" w:space="0"/>
              <w:right w:val="single" w:color="000000" w:sz="4" w:space="0"/>
            </w:tcBorders>
            <w:noWrap/>
            <w:vAlign w:val="center"/>
          </w:tcPr>
          <w:p w14:paraId="53B17242">
            <w:pPr>
              <w:widowControl/>
              <w:jc w:val="center"/>
              <w:textAlignment w:val="center"/>
              <w:rPr>
                <w:szCs w:val="21"/>
              </w:rPr>
            </w:pPr>
            <w:r>
              <w:rPr>
                <w:kern w:val="0"/>
                <w:szCs w:val="21"/>
                <w:lang w:bidi="ar"/>
              </w:rPr>
              <w:t>0.0031</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14:paraId="1CE5F90A">
            <w:pPr>
              <w:widowControl/>
              <w:jc w:val="center"/>
              <w:textAlignment w:val="center"/>
              <w:rPr>
                <w:szCs w:val="21"/>
              </w:rPr>
            </w:pPr>
            <w:r>
              <w:rPr>
                <w:kern w:val="0"/>
                <w:szCs w:val="21"/>
                <w:lang w:bidi="ar"/>
              </w:rPr>
              <w:t>0.00012</w:t>
            </w:r>
          </w:p>
        </w:tc>
        <w:tc>
          <w:tcPr>
            <w:tcW w:w="324" w:type="pct"/>
            <w:vMerge w:val="restart"/>
            <w:tcBorders>
              <w:top w:val="single" w:color="000000" w:sz="4" w:space="0"/>
              <w:left w:val="single" w:color="000000" w:sz="4" w:space="0"/>
              <w:bottom w:val="single" w:color="000000" w:sz="4" w:space="0"/>
              <w:right w:val="single" w:color="000000" w:sz="4" w:space="0"/>
            </w:tcBorders>
            <w:noWrap/>
            <w:vAlign w:val="center"/>
          </w:tcPr>
          <w:p w14:paraId="2DAC0B5E">
            <w:pPr>
              <w:widowControl/>
              <w:jc w:val="center"/>
              <w:textAlignment w:val="center"/>
              <w:rPr>
                <w:szCs w:val="21"/>
              </w:rPr>
            </w:pPr>
            <w:r>
              <w:rPr>
                <w:kern w:val="0"/>
                <w:szCs w:val="21"/>
                <w:lang w:bidi="ar"/>
              </w:rPr>
              <w:t xml:space="preserve">0.0102 </w:t>
            </w:r>
          </w:p>
        </w:tc>
        <w:tc>
          <w:tcPr>
            <w:tcW w:w="346" w:type="pct"/>
            <w:vMerge w:val="restart"/>
            <w:tcBorders>
              <w:top w:val="single" w:color="000000" w:sz="4" w:space="0"/>
              <w:left w:val="single" w:color="000000" w:sz="4" w:space="0"/>
              <w:bottom w:val="single" w:color="000000" w:sz="4" w:space="0"/>
              <w:right w:val="single" w:color="000000" w:sz="4" w:space="0"/>
            </w:tcBorders>
            <w:noWrap/>
            <w:vAlign w:val="center"/>
          </w:tcPr>
          <w:p w14:paraId="4B384933">
            <w:pPr>
              <w:widowControl/>
              <w:jc w:val="center"/>
              <w:textAlignment w:val="center"/>
              <w:rPr>
                <w:szCs w:val="21"/>
              </w:rPr>
            </w:pPr>
            <w:r>
              <w:rPr>
                <w:kern w:val="0"/>
                <w:szCs w:val="21"/>
                <w:lang w:bidi="ar"/>
              </w:rPr>
              <w:t xml:space="preserve">0.0335 </w:t>
            </w:r>
          </w:p>
        </w:tc>
        <w:tc>
          <w:tcPr>
            <w:tcW w:w="578" w:type="pct"/>
            <w:vMerge w:val="continue"/>
            <w:tcBorders>
              <w:left w:val="single" w:color="000000" w:sz="4" w:space="0"/>
              <w:right w:val="single" w:color="000000" w:sz="4" w:space="0"/>
            </w:tcBorders>
            <w:noWrap/>
            <w:vAlign w:val="center"/>
          </w:tcPr>
          <w:p w14:paraId="217B96ED">
            <w:pPr>
              <w:jc w:val="center"/>
              <w:rPr>
                <w:szCs w:val="21"/>
              </w:rPr>
            </w:pPr>
          </w:p>
        </w:tc>
        <w:tc>
          <w:tcPr>
            <w:tcW w:w="298" w:type="pct"/>
            <w:vMerge w:val="restart"/>
            <w:tcBorders>
              <w:top w:val="single" w:color="000000" w:sz="4" w:space="0"/>
              <w:left w:val="single" w:color="000000" w:sz="4" w:space="0"/>
              <w:bottom w:val="single" w:color="000000" w:sz="4" w:space="0"/>
              <w:right w:val="single" w:color="000000" w:sz="4" w:space="0"/>
            </w:tcBorders>
            <w:noWrap/>
            <w:vAlign w:val="center"/>
          </w:tcPr>
          <w:p w14:paraId="03887C7D">
            <w:pPr>
              <w:widowControl/>
              <w:jc w:val="center"/>
              <w:textAlignment w:val="center"/>
              <w:rPr>
                <w:szCs w:val="21"/>
              </w:rPr>
            </w:pPr>
            <w:r>
              <w:rPr>
                <w:kern w:val="0"/>
                <w:szCs w:val="21"/>
                <w:lang w:bidi="ar"/>
              </w:rPr>
              <w:t xml:space="preserve">0.0084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08921355">
            <w:pPr>
              <w:widowControl/>
              <w:jc w:val="center"/>
              <w:textAlignment w:val="center"/>
              <w:rPr>
                <w:szCs w:val="21"/>
              </w:rPr>
            </w:pPr>
            <w:r>
              <w:rPr>
                <w:kern w:val="0"/>
                <w:szCs w:val="21"/>
                <w:lang w:bidi="ar"/>
              </w:rPr>
              <w:t xml:space="preserve">0.02758 </w:t>
            </w:r>
          </w:p>
        </w:tc>
        <w:tc>
          <w:tcPr>
            <w:tcW w:w="333" w:type="pct"/>
            <w:vMerge w:val="restart"/>
            <w:tcBorders>
              <w:top w:val="single" w:color="000000" w:sz="4" w:space="0"/>
              <w:left w:val="single" w:color="000000" w:sz="4" w:space="0"/>
              <w:bottom w:val="single" w:color="000000" w:sz="4" w:space="0"/>
              <w:right w:val="single" w:color="000000" w:sz="4" w:space="0"/>
            </w:tcBorders>
            <w:noWrap/>
            <w:vAlign w:val="center"/>
          </w:tcPr>
          <w:p w14:paraId="73B598B2">
            <w:pPr>
              <w:widowControl/>
              <w:jc w:val="center"/>
              <w:textAlignment w:val="center"/>
              <w:rPr>
                <w:szCs w:val="21"/>
              </w:rPr>
            </w:pPr>
            <w:r>
              <w:rPr>
                <w:kern w:val="0"/>
                <w:szCs w:val="21"/>
                <w:lang w:bidi="ar"/>
              </w:rPr>
              <w:t xml:space="preserve">0.0031 </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14:paraId="3D56AB3B">
            <w:pPr>
              <w:widowControl/>
              <w:jc w:val="center"/>
              <w:textAlignment w:val="center"/>
              <w:rPr>
                <w:szCs w:val="21"/>
              </w:rPr>
            </w:pPr>
            <w:r>
              <w:rPr>
                <w:kern w:val="0"/>
                <w:szCs w:val="21"/>
                <w:lang w:bidi="ar"/>
              </w:rPr>
              <w:t xml:space="preserve">0.00012 </w:t>
            </w:r>
          </w:p>
        </w:tc>
      </w:tr>
      <w:tr w14:paraId="637BD2E6">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539F7A64">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2740458D">
            <w:pPr>
              <w:widowControl/>
              <w:jc w:val="center"/>
              <w:textAlignment w:val="center"/>
              <w:rPr>
                <w:szCs w:val="21"/>
              </w:rPr>
            </w:pPr>
            <w:r>
              <w:rPr>
                <w:kern w:val="0"/>
                <w:szCs w:val="21"/>
                <w:lang w:bidi="ar"/>
              </w:rPr>
              <w:t>大河边上煤仓位置1号舍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11F71190">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4F1292D7">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5AD9BE7D">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4B3C814D">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5F193909">
            <w:pPr>
              <w:jc w:val="center"/>
              <w:rPr>
                <w:szCs w:val="21"/>
              </w:rPr>
            </w:pPr>
          </w:p>
        </w:tc>
        <w:tc>
          <w:tcPr>
            <w:tcW w:w="578" w:type="pct"/>
            <w:vMerge w:val="continue"/>
            <w:tcBorders>
              <w:left w:val="single" w:color="000000" w:sz="4" w:space="0"/>
              <w:right w:val="single" w:color="000000" w:sz="4" w:space="0"/>
            </w:tcBorders>
            <w:noWrap/>
            <w:vAlign w:val="center"/>
          </w:tcPr>
          <w:p w14:paraId="78E9A7D3">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7580FAA9">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0CC5C939">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2C75F163">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57AF873">
            <w:pPr>
              <w:jc w:val="center"/>
              <w:rPr>
                <w:szCs w:val="21"/>
              </w:rPr>
            </w:pPr>
          </w:p>
        </w:tc>
      </w:tr>
      <w:tr w14:paraId="368C07F1">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2E000F92">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215ED40A">
            <w:pPr>
              <w:widowControl/>
              <w:jc w:val="center"/>
              <w:textAlignment w:val="center"/>
              <w:rPr>
                <w:szCs w:val="21"/>
              </w:rPr>
            </w:pPr>
            <w:r>
              <w:rPr>
                <w:kern w:val="0"/>
                <w:szCs w:val="21"/>
                <w:lang w:bidi="ar"/>
              </w:rPr>
              <w:t>大河边上煤仓位置2号舍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5F78FA75">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21289DE0">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09A63ABE">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47000390">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4ED29897">
            <w:pPr>
              <w:jc w:val="center"/>
              <w:rPr>
                <w:szCs w:val="21"/>
              </w:rPr>
            </w:pPr>
          </w:p>
        </w:tc>
        <w:tc>
          <w:tcPr>
            <w:tcW w:w="578" w:type="pct"/>
            <w:vMerge w:val="continue"/>
            <w:tcBorders>
              <w:left w:val="single" w:color="000000" w:sz="4" w:space="0"/>
              <w:right w:val="single" w:color="000000" w:sz="4" w:space="0"/>
            </w:tcBorders>
            <w:noWrap/>
            <w:vAlign w:val="center"/>
          </w:tcPr>
          <w:p w14:paraId="303DBE4D">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789DB598">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10C14FAD">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59A306CF">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A27AFFE">
            <w:pPr>
              <w:jc w:val="center"/>
              <w:rPr>
                <w:szCs w:val="21"/>
              </w:rPr>
            </w:pPr>
          </w:p>
        </w:tc>
      </w:tr>
      <w:tr w14:paraId="21702746">
        <w:tblPrEx>
          <w:tblCellMar>
            <w:top w:w="0" w:type="dxa"/>
            <w:left w:w="108" w:type="dxa"/>
            <w:bottom w:w="0" w:type="dxa"/>
            <w:right w:w="108" w:type="dxa"/>
          </w:tblCellMar>
        </w:tblPrEx>
        <w:trPr>
          <w:trHeight w:val="285" w:hRule="atLeast"/>
        </w:trPr>
        <w:tc>
          <w:tcPr>
            <w:tcW w:w="216" w:type="pct"/>
            <w:vMerge w:val="continue"/>
            <w:tcBorders>
              <w:top w:val="single" w:color="000000" w:sz="4" w:space="0"/>
              <w:left w:val="single" w:color="000000" w:sz="4" w:space="0"/>
              <w:bottom w:val="single" w:color="000000" w:sz="4" w:space="0"/>
              <w:right w:val="single" w:color="000000" w:sz="4" w:space="0"/>
            </w:tcBorders>
            <w:noWrap/>
            <w:vAlign w:val="center"/>
          </w:tcPr>
          <w:p w14:paraId="7979AF6A">
            <w:pPr>
              <w:jc w:val="center"/>
              <w:rPr>
                <w:szCs w:val="21"/>
              </w:rPr>
            </w:pP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7A2EEE9A">
            <w:pPr>
              <w:widowControl/>
              <w:jc w:val="center"/>
              <w:textAlignment w:val="center"/>
              <w:rPr>
                <w:szCs w:val="21"/>
              </w:rPr>
            </w:pPr>
            <w:r>
              <w:rPr>
                <w:kern w:val="0"/>
                <w:szCs w:val="21"/>
                <w:lang w:bidi="ar"/>
              </w:rPr>
              <w:t>大河边下煤仓位置猪舍</w:t>
            </w:r>
          </w:p>
        </w:tc>
        <w:tc>
          <w:tcPr>
            <w:tcW w:w="561" w:type="pct"/>
            <w:vMerge w:val="continue"/>
            <w:tcBorders>
              <w:top w:val="single" w:color="000000" w:sz="4" w:space="0"/>
              <w:left w:val="single" w:color="000000" w:sz="4" w:space="0"/>
              <w:bottom w:val="single" w:color="000000" w:sz="4" w:space="0"/>
              <w:right w:val="single" w:color="000000" w:sz="4" w:space="0"/>
            </w:tcBorders>
            <w:noWrap/>
            <w:vAlign w:val="center"/>
          </w:tcPr>
          <w:p w14:paraId="3060BFE3">
            <w:pPr>
              <w:jc w:val="center"/>
              <w:rPr>
                <w:szCs w:val="21"/>
              </w:rPr>
            </w:pPr>
          </w:p>
        </w:tc>
        <w:tc>
          <w:tcPr>
            <w:tcW w:w="447" w:type="pct"/>
            <w:vMerge w:val="continue"/>
            <w:tcBorders>
              <w:top w:val="single" w:color="000000" w:sz="4" w:space="0"/>
              <w:left w:val="single" w:color="000000" w:sz="4" w:space="0"/>
              <w:bottom w:val="single" w:color="000000" w:sz="4" w:space="0"/>
              <w:right w:val="single" w:color="000000" w:sz="4" w:space="0"/>
            </w:tcBorders>
            <w:noWrap/>
            <w:vAlign w:val="center"/>
          </w:tcPr>
          <w:p w14:paraId="1706A1AD">
            <w:pPr>
              <w:jc w:val="center"/>
              <w:rPr>
                <w:szCs w:val="21"/>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14:paraId="7924AE64">
            <w:pPr>
              <w:jc w:val="center"/>
              <w:rPr>
                <w:szCs w:val="21"/>
              </w:rPr>
            </w:pPr>
          </w:p>
        </w:tc>
        <w:tc>
          <w:tcPr>
            <w:tcW w:w="324" w:type="pct"/>
            <w:vMerge w:val="continue"/>
            <w:tcBorders>
              <w:top w:val="single" w:color="000000" w:sz="4" w:space="0"/>
              <w:left w:val="single" w:color="000000" w:sz="4" w:space="0"/>
              <w:bottom w:val="single" w:color="000000" w:sz="4" w:space="0"/>
              <w:right w:val="single" w:color="000000" w:sz="4" w:space="0"/>
            </w:tcBorders>
            <w:noWrap/>
            <w:vAlign w:val="center"/>
          </w:tcPr>
          <w:p w14:paraId="5B56FD8A">
            <w:pPr>
              <w:jc w:val="center"/>
              <w:rPr>
                <w:szCs w:val="21"/>
              </w:rPr>
            </w:pPr>
          </w:p>
        </w:tc>
        <w:tc>
          <w:tcPr>
            <w:tcW w:w="346" w:type="pct"/>
            <w:vMerge w:val="continue"/>
            <w:tcBorders>
              <w:top w:val="single" w:color="000000" w:sz="4" w:space="0"/>
              <w:left w:val="single" w:color="000000" w:sz="4" w:space="0"/>
              <w:bottom w:val="single" w:color="000000" w:sz="4" w:space="0"/>
              <w:right w:val="single" w:color="000000" w:sz="4" w:space="0"/>
            </w:tcBorders>
            <w:noWrap/>
            <w:vAlign w:val="center"/>
          </w:tcPr>
          <w:p w14:paraId="403795C7">
            <w:pPr>
              <w:jc w:val="center"/>
              <w:rPr>
                <w:szCs w:val="21"/>
              </w:rPr>
            </w:pPr>
          </w:p>
        </w:tc>
        <w:tc>
          <w:tcPr>
            <w:tcW w:w="578" w:type="pct"/>
            <w:vMerge w:val="continue"/>
            <w:tcBorders>
              <w:left w:val="single" w:color="000000" w:sz="4" w:space="0"/>
              <w:right w:val="single" w:color="000000" w:sz="4" w:space="0"/>
            </w:tcBorders>
            <w:noWrap/>
            <w:vAlign w:val="center"/>
          </w:tcPr>
          <w:p w14:paraId="49784B51">
            <w:pPr>
              <w:jc w:val="center"/>
              <w:rPr>
                <w:szCs w:val="21"/>
              </w:rPr>
            </w:pPr>
          </w:p>
        </w:tc>
        <w:tc>
          <w:tcPr>
            <w:tcW w:w="298" w:type="pct"/>
            <w:vMerge w:val="continue"/>
            <w:tcBorders>
              <w:top w:val="single" w:color="000000" w:sz="4" w:space="0"/>
              <w:left w:val="single" w:color="000000" w:sz="4" w:space="0"/>
              <w:bottom w:val="single" w:color="000000" w:sz="4" w:space="0"/>
              <w:right w:val="single" w:color="000000" w:sz="4" w:space="0"/>
            </w:tcBorders>
            <w:noWrap/>
            <w:vAlign w:val="center"/>
          </w:tcPr>
          <w:p w14:paraId="1B821281">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29F52CA2">
            <w:pPr>
              <w:jc w:val="center"/>
              <w:rPr>
                <w:szCs w:val="21"/>
              </w:rPr>
            </w:pPr>
          </w:p>
        </w:tc>
        <w:tc>
          <w:tcPr>
            <w:tcW w:w="333" w:type="pct"/>
            <w:vMerge w:val="continue"/>
            <w:tcBorders>
              <w:top w:val="single" w:color="000000" w:sz="4" w:space="0"/>
              <w:left w:val="single" w:color="000000" w:sz="4" w:space="0"/>
              <w:bottom w:val="single" w:color="000000" w:sz="4" w:space="0"/>
              <w:right w:val="single" w:color="000000" w:sz="4" w:space="0"/>
            </w:tcBorders>
            <w:noWrap/>
            <w:vAlign w:val="center"/>
          </w:tcPr>
          <w:p w14:paraId="32590045">
            <w:pPr>
              <w:jc w:val="center"/>
              <w:rPr>
                <w:szCs w:val="21"/>
              </w:rPr>
            </w:pPr>
          </w:p>
        </w:tc>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79B1B6B">
            <w:pPr>
              <w:jc w:val="center"/>
              <w:rPr>
                <w:szCs w:val="21"/>
              </w:rPr>
            </w:pPr>
          </w:p>
        </w:tc>
      </w:tr>
      <w:tr w14:paraId="317BCF92">
        <w:tblPrEx>
          <w:tblCellMar>
            <w:top w:w="0" w:type="dxa"/>
            <w:left w:w="108" w:type="dxa"/>
            <w:bottom w:w="0" w:type="dxa"/>
            <w:right w:w="108" w:type="dxa"/>
          </w:tblCellMar>
        </w:tblPrEx>
        <w:trPr>
          <w:trHeight w:val="285" w:hRule="atLeast"/>
        </w:trPr>
        <w:tc>
          <w:tcPr>
            <w:tcW w:w="1092" w:type="pct"/>
            <w:gridSpan w:val="2"/>
            <w:tcBorders>
              <w:top w:val="single" w:color="000000" w:sz="4" w:space="0"/>
              <w:left w:val="single" w:color="000000" w:sz="4" w:space="0"/>
              <w:bottom w:val="single" w:color="000000" w:sz="4" w:space="0"/>
              <w:right w:val="single" w:color="000000" w:sz="4" w:space="0"/>
            </w:tcBorders>
            <w:noWrap/>
            <w:vAlign w:val="center"/>
          </w:tcPr>
          <w:p w14:paraId="449CA253">
            <w:pPr>
              <w:widowControl/>
              <w:jc w:val="center"/>
              <w:textAlignment w:val="center"/>
              <w:rPr>
                <w:szCs w:val="21"/>
              </w:rPr>
            </w:pPr>
            <w:r>
              <w:rPr>
                <w:kern w:val="0"/>
                <w:szCs w:val="21"/>
                <w:lang w:bidi="ar"/>
              </w:rPr>
              <w:t>合计</w:t>
            </w:r>
          </w:p>
        </w:tc>
        <w:tc>
          <w:tcPr>
            <w:tcW w:w="561" w:type="pct"/>
            <w:tcBorders>
              <w:top w:val="single" w:color="000000" w:sz="4" w:space="0"/>
              <w:left w:val="single" w:color="000000" w:sz="4" w:space="0"/>
              <w:bottom w:val="single" w:color="000000" w:sz="4" w:space="0"/>
              <w:right w:val="single" w:color="000000" w:sz="4" w:space="0"/>
            </w:tcBorders>
            <w:noWrap/>
            <w:vAlign w:val="center"/>
          </w:tcPr>
          <w:p w14:paraId="16729457">
            <w:pPr>
              <w:widowControl/>
              <w:jc w:val="center"/>
              <w:textAlignment w:val="center"/>
              <w:rPr>
                <w:szCs w:val="21"/>
              </w:rPr>
            </w:pPr>
            <w:r>
              <w:rPr>
                <w:kern w:val="0"/>
                <w:szCs w:val="21"/>
                <w:lang w:bidi="ar"/>
              </w:rPr>
              <w:t xml:space="preserve">14.1534 </w:t>
            </w:r>
          </w:p>
        </w:tc>
        <w:tc>
          <w:tcPr>
            <w:tcW w:w="447" w:type="pct"/>
            <w:tcBorders>
              <w:top w:val="single" w:color="000000" w:sz="4" w:space="0"/>
              <w:left w:val="single" w:color="000000" w:sz="4" w:space="0"/>
              <w:bottom w:val="single" w:color="000000" w:sz="4" w:space="0"/>
              <w:right w:val="single" w:color="000000" w:sz="4" w:space="0"/>
            </w:tcBorders>
            <w:noWrap/>
            <w:vAlign w:val="center"/>
          </w:tcPr>
          <w:p w14:paraId="7A396426">
            <w:pPr>
              <w:widowControl/>
              <w:jc w:val="center"/>
              <w:textAlignment w:val="center"/>
              <w:rPr>
                <w:szCs w:val="21"/>
              </w:rPr>
            </w:pPr>
            <w:r>
              <w:rPr>
                <w:kern w:val="0"/>
                <w:szCs w:val="21"/>
                <w:lang w:bidi="ar"/>
              </w:rPr>
              <w:t>0.0155</w:t>
            </w:r>
          </w:p>
        </w:tc>
        <w:tc>
          <w:tcPr>
            <w:tcW w:w="359" w:type="pct"/>
            <w:tcBorders>
              <w:top w:val="single" w:color="000000" w:sz="4" w:space="0"/>
              <w:left w:val="single" w:color="000000" w:sz="4" w:space="0"/>
              <w:bottom w:val="single" w:color="000000" w:sz="4" w:space="0"/>
              <w:right w:val="single" w:color="000000" w:sz="4" w:space="0"/>
            </w:tcBorders>
            <w:noWrap/>
            <w:vAlign w:val="center"/>
          </w:tcPr>
          <w:p w14:paraId="5BEEBDA9">
            <w:pPr>
              <w:widowControl/>
              <w:jc w:val="center"/>
              <w:textAlignment w:val="center"/>
              <w:rPr>
                <w:szCs w:val="21"/>
              </w:rPr>
            </w:pPr>
            <w:r>
              <w:rPr>
                <w:kern w:val="0"/>
                <w:szCs w:val="21"/>
                <w:lang w:bidi="ar"/>
              </w:rPr>
              <w:t>0.0006</w:t>
            </w:r>
          </w:p>
        </w:tc>
        <w:tc>
          <w:tcPr>
            <w:tcW w:w="324" w:type="pct"/>
            <w:tcBorders>
              <w:top w:val="single" w:color="000000" w:sz="4" w:space="0"/>
              <w:left w:val="single" w:color="000000" w:sz="4" w:space="0"/>
              <w:bottom w:val="single" w:color="000000" w:sz="4" w:space="0"/>
              <w:right w:val="single" w:color="000000" w:sz="4" w:space="0"/>
            </w:tcBorders>
            <w:noWrap/>
            <w:vAlign w:val="center"/>
          </w:tcPr>
          <w:p w14:paraId="61056DCC">
            <w:pPr>
              <w:widowControl/>
              <w:jc w:val="center"/>
              <w:textAlignment w:val="center"/>
              <w:rPr>
                <w:szCs w:val="21"/>
              </w:rPr>
            </w:pPr>
            <w:r>
              <w:rPr>
                <w:kern w:val="0"/>
                <w:szCs w:val="21"/>
                <w:lang w:bidi="ar"/>
              </w:rPr>
              <w:t xml:space="preserve">0.0439 </w:t>
            </w:r>
          </w:p>
        </w:tc>
        <w:tc>
          <w:tcPr>
            <w:tcW w:w="346" w:type="pct"/>
            <w:tcBorders>
              <w:top w:val="single" w:color="000000" w:sz="4" w:space="0"/>
              <w:left w:val="single" w:color="000000" w:sz="4" w:space="0"/>
              <w:bottom w:val="single" w:color="000000" w:sz="4" w:space="0"/>
              <w:right w:val="single" w:color="000000" w:sz="4" w:space="0"/>
            </w:tcBorders>
            <w:noWrap/>
            <w:vAlign w:val="center"/>
          </w:tcPr>
          <w:p w14:paraId="211104B0">
            <w:pPr>
              <w:widowControl/>
              <w:jc w:val="center"/>
              <w:textAlignment w:val="center"/>
              <w:rPr>
                <w:szCs w:val="21"/>
              </w:rPr>
            </w:pPr>
            <w:r>
              <w:rPr>
                <w:kern w:val="0"/>
                <w:szCs w:val="21"/>
                <w:lang w:bidi="ar"/>
              </w:rPr>
              <w:t xml:space="preserve">0.0793 </w:t>
            </w:r>
          </w:p>
        </w:tc>
        <w:tc>
          <w:tcPr>
            <w:tcW w:w="578" w:type="pct"/>
            <w:vMerge w:val="continue"/>
            <w:tcBorders>
              <w:left w:val="single" w:color="000000" w:sz="4" w:space="0"/>
              <w:bottom w:val="single" w:color="000000" w:sz="4" w:space="0"/>
              <w:right w:val="single" w:color="000000" w:sz="4" w:space="0"/>
            </w:tcBorders>
            <w:noWrap/>
            <w:vAlign w:val="center"/>
          </w:tcPr>
          <w:p w14:paraId="2FCB4E54">
            <w:pPr>
              <w:jc w:val="center"/>
              <w:rPr>
                <w:szCs w:val="21"/>
              </w:rPr>
            </w:pP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DAD5908">
            <w:pPr>
              <w:widowControl/>
              <w:jc w:val="center"/>
              <w:textAlignment w:val="center"/>
              <w:rPr>
                <w:szCs w:val="21"/>
              </w:rPr>
            </w:pPr>
            <w:r>
              <w:rPr>
                <w:kern w:val="0"/>
                <w:szCs w:val="21"/>
                <w:lang w:bidi="ar"/>
              </w:rPr>
              <w:t xml:space="preserve">0.0362 </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D316E8F">
            <w:pPr>
              <w:widowControl/>
              <w:jc w:val="center"/>
              <w:textAlignment w:val="center"/>
              <w:rPr>
                <w:szCs w:val="21"/>
              </w:rPr>
            </w:pPr>
            <w:r>
              <w:rPr>
                <w:kern w:val="0"/>
                <w:szCs w:val="21"/>
                <w:lang w:bidi="ar"/>
              </w:rPr>
              <w:t xml:space="preserve">0.06535 </w:t>
            </w:r>
          </w:p>
        </w:tc>
        <w:tc>
          <w:tcPr>
            <w:tcW w:w="333" w:type="pct"/>
            <w:tcBorders>
              <w:top w:val="single" w:color="000000" w:sz="4" w:space="0"/>
              <w:left w:val="single" w:color="000000" w:sz="4" w:space="0"/>
              <w:bottom w:val="single" w:color="000000" w:sz="4" w:space="0"/>
              <w:right w:val="single" w:color="000000" w:sz="4" w:space="0"/>
            </w:tcBorders>
            <w:noWrap/>
            <w:vAlign w:val="center"/>
          </w:tcPr>
          <w:p w14:paraId="6BF3DB8B">
            <w:pPr>
              <w:widowControl/>
              <w:jc w:val="center"/>
              <w:textAlignment w:val="center"/>
              <w:rPr>
                <w:szCs w:val="21"/>
              </w:rPr>
            </w:pPr>
            <w:r>
              <w:rPr>
                <w:kern w:val="0"/>
                <w:szCs w:val="21"/>
                <w:lang w:bidi="ar"/>
              </w:rPr>
              <w:t xml:space="preserve">0.0132 </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36766A9E">
            <w:pPr>
              <w:widowControl/>
              <w:jc w:val="center"/>
              <w:textAlignment w:val="center"/>
              <w:rPr>
                <w:szCs w:val="21"/>
              </w:rPr>
            </w:pPr>
            <w:r>
              <w:rPr>
                <w:kern w:val="0"/>
                <w:szCs w:val="21"/>
                <w:lang w:bidi="ar"/>
              </w:rPr>
              <w:t xml:space="preserve">0.00051 </w:t>
            </w:r>
          </w:p>
        </w:tc>
      </w:tr>
    </w:tbl>
    <w:p w14:paraId="03EC5EFA">
      <w:pPr>
        <w:pStyle w:val="323"/>
        <w:spacing w:line="360" w:lineRule="auto"/>
        <w:ind w:left="-105" w:firstLine="461"/>
        <w:sectPr>
          <w:pgSz w:w="16838" w:h="11906" w:orient="landscape"/>
          <w:pgMar w:top="1797" w:right="1440" w:bottom="1797" w:left="1361" w:header="851" w:footer="992" w:gutter="0"/>
          <w:cols w:space="720" w:num="1"/>
          <w:docGrid w:linePitch="312" w:charSpace="0"/>
        </w:sectPr>
      </w:pPr>
    </w:p>
    <w:p w14:paraId="2F53FAB0">
      <w:pPr>
        <w:pStyle w:val="323"/>
        <w:spacing w:line="360" w:lineRule="auto"/>
        <w:ind w:left="-105" w:firstLine="461"/>
      </w:pPr>
    </w:p>
    <w:p w14:paraId="3FFC7BED">
      <w:pPr>
        <w:spacing w:line="360" w:lineRule="auto"/>
        <w:ind w:firstLine="482" w:firstLineChars="200"/>
        <w:jc w:val="left"/>
        <w:rPr>
          <w:b/>
          <w:kern w:val="0"/>
          <w:sz w:val="24"/>
        </w:rPr>
      </w:pPr>
      <w:r>
        <w:rPr>
          <w:b/>
          <w:kern w:val="0"/>
          <w:sz w:val="24"/>
        </w:rPr>
        <w:t>（3）固粪处理区恶臭气体</w:t>
      </w:r>
    </w:p>
    <w:p w14:paraId="7665FAED">
      <w:pPr>
        <w:pStyle w:val="593"/>
        <w:spacing w:after="0" w:line="360" w:lineRule="auto"/>
        <w:ind w:firstLine="480"/>
      </w:pPr>
      <w:r>
        <w:t>项目收集猪粪及污水处理产生的沼渣收集后运至有固粪处理区进行条垛堆肥处理，每个养殖地块设置1处固粪处理区，</w:t>
      </w:r>
      <w:r>
        <w:rPr>
          <w:kern w:val="0"/>
        </w:rPr>
        <w:t>本次评价引用《养猪场恶臭影响量化分析及控制对策研究》（天津市环境影响评价中心孙艳青、张潞、李万庆）对堆粪场的NH</w:t>
      </w:r>
      <w:r>
        <w:rPr>
          <w:kern w:val="0"/>
          <w:vertAlign w:val="subscript"/>
        </w:rPr>
        <w:t>3</w:t>
      </w:r>
      <w:r>
        <w:rPr>
          <w:kern w:val="0"/>
        </w:rPr>
        <w:t>及H</w:t>
      </w:r>
      <w:r>
        <w:rPr>
          <w:kern w:val="0"/>
          <w:vertAlign w:val="subscript"/>
        </w:rPr>
        <w:t>2</w:t>
      </w:r>
      <w:r>
        <w:rPr>
          <w:kern w:val="0"/>
        </w:rPr>
        <w:t>S的排放量统计情况进行污染物核算，在没有任何遮盖及猪粪没有结皮的情况下，NH</w:t>
      </w:r>
      <w:r>
        <w:rPr>
          <w:kern w:val="0"/>
          <w:vertAlign w:val="subscript"/>
        </w:rPr>
        <w:t>3</w:t>
      </w:r>
      <w:r>
        <w:rPr>
          <w:kern w:val="0"/>
        </w:rPr>
        <w:t>的排放强度为5.2g/（m</w:t>
      </w:r>
      <w:r>
        <w:rPr>
          <w:kern w:val="0"/>
          <w:vertAlign w:val="superscript"/>
        </w:rPr>
        <w:t>2</w:t>
      </w:r>
      <w:r>
        <w:rPr>
          <w:kern w:val="0"/>
        </w:rPr>
        <w:t>·d），H</w:t>
      </w:r>
      <w:r>
        <w:rPr>
          <w:kern w:val="0"/>
          <w:vertAlign w:val="subscript"/>
        </w:rPr>
        <w:t>2</w:t>
      </w:r>
      <w:r>
        <w:rPr>
          <w:kern w:val="0"/>
        </w:rPr>
        <w:t>S排放强度0.3g/（m</w:t>
      </w:r>
      <w:r>
        <w:rPr>
          <w:kern w:val="0"/>
          <w:vertAlign w:val="superscript"/>
        </w:rPr>
        <w:t>2</w:t>
      </w:r>
      <w:r>
        <w:rPr>
          <w:kern w:val="0"/>
        </w:rPr>
        <w:t>·d）。</w:t>
      </w:r>
      <w:r>
        <w:t>项目采用好氧堆肥进行处理，堆肥过程中采用喷洒除臭剂，将臭气抽至UV光解+生物除臭装置对堆肥过程恶臭气体进行处理，通过风机将固粪处理区的臭气抽至放置UV光解和生物除臭装置的车间内，通过装置顶部的UV灯管除臭，经过光解氧化处理过的气体通过生物水帘进一步水洗，确保恶臭气体得到充分反应，最终通过光解、氧化以及生物水洗的叠加效果，将恶臭气体降解程无害稳定的小分子物质，除臭效率为90%，处理后的废气经处理车间口无组织排放。恶臭产生及排放情况见表3.4-5。</w:t>
      </w:r>
    </w:p>
    <w:p w14:paraId="0A693BA2">
      <w:pPr>
        <w:tabs>
          <w:tab w:val="left" w:pos="840"/>
        </w:tabs>
        <w:spacing w:line="360" w:lineRule="auto"/>
        <w:jc w:val="center"/>
        <w:rPr>
          <w:b/>
          <w:sz w:val="24"/>
        </w:rPr>
        <w:sectPr>
          <w:pgSz w:w="11906" w:h="16838"/>
          <w:pgMar w:top="1440" w:right="1797" w:bottom="1361" w:left="1797" w:header="851" w:footer="992" w:gutter="0"/>
          <w:cols w:space="720" w:num="1"/>
          <w:docGrid w:linePitch="312" w:charSpace="0"/>
        </w:sectPr>
      </w:pPr>
    </w:p>
    <w:p w14:paraId="5224644C">
      <w:pPr>
        <w:tabs>
          <w:tab w:val="left" w:pos="840"/>
        </w:tabs>
        <w:spacing w:line="360" w:lineRule="auto"/>
        <w:jc w:val="center"/>
        <w:rPr>
          <w:b/>
          <w:sz w:val="24"/>
        </w:rPr>
      </w:pPr>
      <w:r>
        <w:rPr>
          <w:b/>
          <w:sz w:val="24"/>
        </w:rPr>
        <w:t>表3.4-5本项目固粪处理区恶臭产排情况</w:t>
      </w:r>
    </w:p>
    <w:tbl>
      <w:tblPr>
        <w:tblStyle w:val="87"/>
        <w:tblW w:w="5000" w:type="pct"/>
        <w:tblInd w:w="0" w:type="dxa"/>
        <w:tblLayout w:type="fixed"/>
        <w:tblCellMar>
          <w:top w:w="0" w:type="dxa"/>
          <w:left w:w="108" w:type="dxa"/>
          <w:bottom w:w="0" w:type="dxa"/>
          <w:right w:w="108" w:type="dxa"/>
        </w:tblCellMar>
      </w:tblPr>
      <w:tblGrid>
        <w:gridCol w:w="645"/>
        <w:gridCol w:w="2535"/>
        <w:gridCol w:w="939"/>
        <w:gridCol w:w="1076"/>
        <w:gridCol w:w="1076"/>
        <w:gridCol w:w="935"/>
        <w:gridCol w:w="998"/>
        <w:gridCol w:w="1787"/>
        <w:gridCol w:w="998"/>
        <w:gridCol w:w="912"/>
        <w:gridCol w:w="1049"/>
        <w:gridCol w:w="1303"/>
      </w:tblGrid>
      <w:tr w14:paraId="0237B427">
        <w:tblPrEx>
          <w:tblCellMar>
            <w:top w:w="0" w:type="dxa"/>
            <w:left w:w="108" w:type="dxa"/>
            <w:bottom w:w="0" w:type="dxa"/>
            <w:right w:w="108" w:type="dxa"/>
          </w:tblCellMar>
        </w:tblPrEx>
        <w:trPr>
          <w:trHeight w:val="235" w:hRule="atLeast"/>
        </w:trPr>
        <w:tc>
          <w:tcPr>
            <w:tcW w:w="226" w:type="pct"/>
            <w:vMerge w:val="restart"/>
            <w:tcBorders>
              <w:top w:val="single" w:color="000000" w:sz="4" w:space="0"/>
              <w:left w:val="single" w:color="000000" w:sz="4" w:space="0"/>
              <w:right w:val="single" w:color="000000" w:sz="4" w:space="0"/>
            </w:tcBorders>
            <w:noWrap/>
            <w:vAlign w:val="center"/>
          </w:tcPr>
          <w:p w14:paraId="7772A02F">
            <w:pPr>
              <w:jc w:val="center"/>
              <w:rPr>
                <w:szCs w:val="21"/>
              </w:rPr>
            </w:pPr>
            <w:r>
              <w:rPr>
                <w:szCs w:val="21"/>
              </w:rPr>
              <w:t>地块</w:t>
            </w:r>
          </w:p>
        </w:tc>
        <w:tc>
          <w:tcPr>
            <w:tcW w:w="887" w:type="pct"/>
            <w:vMerge w:val="restart"/>
            <w:tcBorders>
              <w:top w:val="single" w:color="000000" w:sz="4" w:space="0"/>
              <w:left w:val="single" w:color="000000" w:sz="4" w:space="0"/>
              <w:right w:val="single" w:color="000000" w:sz="4" w:space="0"/>
            </w:tcBorders>
            <w:noWrap/>
            <w:vAlign w:val="center"/>
          </w:tcPr>
          <w:p w14:paraId="23F42FDA">
            <w:pPr>
              <w:jc w:val="center"/>
              <w:rPr>
                <w:szCs w:val="21"/>
              </w:rPr>
            </w:pPr>
            <w:r>
              <w:rPr>
                <w:szCs w:val="21"/>
              </w:rPr>
              <w:t>位置</w:t>
            </w:r>
          </w:p>
        </w:tc>
        <w:tc>
          <w:tcPr>
            <w:tcW w:w="329" w:type="pct"/>
            <w:vMerge w:val="restart"/>
            <w:tcBorders>
              <w:top w:val="single" w:color="000000" w:sz="4" w:space="0"/>
              <w:left w:val="single" w:color="000000" w:sz="4" w:space="0"/>
              <w:right w:val="single" w:color="000000" w:sz="4" w:space="0"/>
            </w:tcBorders>
            <w:noWrap/>
            <w:vAlign w:val="center"/>
          </w:tcPr>
          <w:p w14:paraId="7EBDD57A">
            <w:pPr>
              <w:widowControl/>
              <w:jc w:val="center"/>
              <w:textAlignment w:val="center"/>
              <w:rPr>
                <w:szCs w:val="21"/>
              </w:rPr>
            </w:pPr>
            <w:r>
              <w:rPr>
                <w:b/>
                <w:szCs w:val="21"/>
              </w:rPr>
              <w:t>堆肥面积（m</w:t>
            </w:r>
            <w:r>
              <w:rPr>
                <w:b/>
                <w:szCs w:val="21"/>
                <w:vertAlign w:val="superscript"/>
              </w:rPr>
              <w:t>2</w:t>
            </w:r>
            <w:r>
              <w:rPr>
                <w:b/>
                <w:szCs w:val="21"/>
              </w:rPr>
              <w:t>）</w:t>
            </w:r>
          </w:p>
        </w:tc>
        <w:tc>
          <w:tcPr>
            <w:tcW w:w="377" w:type="pct"/>
            <w:vMerge w:val="restart"/>
            <w:tcBorders>
              <w:top w:val="single" w:color="000000" w:sz="4" w:space="0"/>
              <w:left w:val="single" w:color="000000" w:sz="4" w:space="0"/>
              <w:right w:val="single" w:color="000000" w:sz="4" w:space="0"/>
            </w:tcBorders>
            <w:noWrap/>
            <w:vAlign w:val="center"/>
          </w:tcPr>
          <w:p w14:paraId="6FAAAE6B">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产生系数（g/m</w:t>
            </w:r>
            <w:r>
              <w:rPr>
                <w:kern w:val="0"/>
                <w:szCs w:val="21"/>
                <w:vertAlign w:val="superscript"/>
                <w:lang w:bidi="ar"/>
              </w:rPr>
              <w:t>2</w:t>
            </w:r>
            <w:r>
              <w:rPr>
                <w:kern w:val="0"/>
                <w:szCs w:val="21"/>
                <w:lang w:bidi="ar"/>
              </w:rPr>
              <w:t>·d）</w:t>
            </w:r>
          </w:p>
        </w:tc>
        <w:tc>
          <w:tcPr>
            <w:tcW w:w="377" w:type="pct"/>
            <w:vMerge w:val="restart"/>
            <w:tcBorders>
              <w:top w:val="single" w:color="000000" w:sz="4" w:space="0"/>
              <w:left w:val="single" w:color="000000" w:sz="4" w:space="0"/>
              <w:right w:val="single" w:color="000000" w:sz="4" w:space="0"/>
            </w:tcBorders>
            <w:noWrap/>
            <w:vAlign w:val="center"/>
          </w:tcPr>
          <w:p w14:paraId="03FAC4E8">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S产生系数（g/m</w:t>
            </w:r>
            <w:r>
              <w:rPr>
                <w:kern w:val="0"/>
                <w:szCs w:val="21"/>
                <w:vertAlign w:val="superscript"/>
                <w:lang w:bidi="ar"/>
              </w:rPr>
              <w:t>2</w:t>
            </w:r>
            <w:r>
              <w:rPr>
                <w:kern w:val="0"/>
                <w:szCs w:val="21"/>
                <w:lang w:bidi="ar"/>
              </w:rPr>
              <w:t>·d）</w:t>
            </w:r>
          </w:p>
        </w:tc>
        <w:tc>
          <w:tcPr>
            <w:tcW w:w="328" w:type="pct"/>
            <w:vMerge w:val="restart"/>
            <w:tcBorders>
              <w:top w:val="single" w:color="000000" w:sz="4" w:space="0"/>
              <w:left w:val="single" w:color="000000" w:sz="4" w:space="0"/>
              <w:right w:val="single" w:color="000000" w:sz="4" w:space="0"/>
            </w:tcBorders>
            <w:noWrap/>
            <w:vAlign w:val="center"/>
          </w:tcPr>
          <w:p w14:paraId="73CDEE37">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产生量（kg·d）</w:t>
            </w:r>
          </w:p>
        </w:tc>
        <w:tc>
          <w:tcPr>
            <w:tcW w:w="350" w:type="pct"/>
            <w:vMerge w:val="restart"/>
            <w:tcBorders>
              <w:top w:val="single" w:color="000000" w:sz="4" w:space="0"/>
              <w:left w:val="single" w:color="000000" w:sz="4" w:space="0"/>
              <w:right w:val="single" w:color="000000" w:sz="4" w:space="0"/>
            </w:tcBorders>
            <w:noWrap/>
            <w:vAlign w:val="center"/>
          </w:tcPr>
          <w:p w14:paraId="6650BD2E">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S产生量（kg/d）</w:t>
            </w:r>
          </w:p>
        </w:tc>
        <w:tc>
          <w:tcPr>
            <w:tcW w:w="627" w:type="pct"/>
            <w:vMerge w:val="restart"/>
            <w:tcBorders>
              <w:top w:val="single" w:color="000000" w:sz="4" w:space="0"/>
              <w:left w:val="single" w:color="000000" w:sz="4" w:space="0"/>
              <w:right w:val="single" w:color="000000" w:sz="4" w:space="0"/>
            </w:tcBorders>
            <w:noWrap/>
            <w:vAlign w:val="center"/>
          </w:tcPr>
          <w:p w14:paraId="13113109">
            <w:pPr>
              <w:widowControl/>
              <w:jc w:val="center"/>
              <w:textAlignment w:val="center"/>
              <w:rPr>
                <w:szCs w:val="21"/>
              </w:rPr>
            </w:pPr>
            <w:r>
              <w:rPr>
                <w:kern w:val="0"/>
                <w:szCs w:val="21"/>
                <w:lang w:bidi="ar"/>
              </w:rPr>
              <w:t>措施及除臭效率</w:t>
            </w:r>
          </w:p>
        </w:tc>
        <w:tc>
          <w:tcPr>
            <w:tcW w:w="670" w:type="pct"/>
            <w:gridSpan w:val="2"/>
            <w:tcBorders>
              <w:top w:val="single" w:color="000000" w:sz="4" w:space="0"/>
              <w:left w:val="single" w:color="000000" w:sz="4" w:space="0"/>
              <w:bottom w:val="single" w:color="000000" w:sz="4" w:space="0"/>
              <w:right w:val="single" w:color="000000" w:sz="4" w:space="0"/>
            </w:tcBorders>
            <w:noWrap/>
            <w:vAlign w:val="center"/>
          </w:tcPr>
          <w:p w14:paraId="72023D74">
            <w:pPr>
              <w:jc w:val="center"/>
              <w:rPr>
                <w:szCs w:val="21"/>
              </w:rPr>
            </w:pPr>
            <w:r>
              <w:rPr>
                <w:kern w:val="0"/>
                <w:szCs w:val="21"/>
                <w:lang w:bidi="ar"/>
              </w:rPr>
              <w:t>日排放量kg/d</w:t>
            </w:r>
          </w:p>
        </w:tc>
        <w:tc>
          <w:tcPr>
            <w:tcW w:w="825" w:type="pct"/>
            <w:gridSpan w:val="2"/>
            <w:tcBorders>
              <w:top w:val="single" w:color="000000" w:sz="4" w:space="0"/>
              <w:left w:val="single" w:color="000000" w:sz="4" w:space="0"/>
              <w:bottom w:val="single" w:color="000000" w:sz="4" w:space="0"/>
              <w:right w:val="single" w:color="000000" w:sz="4" w:space="0"/>
            </w:tcBorders>
            <w:noWrap/>
            <w:vAlign w:val="center"/>
          </w:tcPr>
          <w:p w14:paraId="24D03A86">
            <w:pPr>
              <w:jc w:val="center"/>
              <w:rPr>
                <w:szCs w:val="21"/>
              </w:rPr>
            </w:pPr>
            <w:r>
              <w:rPr>
                <w:kern w:val="0"/>
                <w:szCs w:val="21"/>
                <w:lang w:bidi="ar"/>
              </w:rPr>
              <w:t>年排放量t/a</w:t>
            </w:r>
          </w:p>
        </w:tc>
      </w:tr>
      <w:tr w14:paraId="61B137CB">
        <w:tblPrEx>
          <w:tblCellMar>
            <w:top w:w="0" w:type="dxa"/>
            <w:left w:w="108" w:type="dxa"/>
            <w:bottom w:w="0" w:type="dxa"/>
            <w:right w:w="108" w:type="dxa"/>
          </w:tblCellMar>
        </w:tblPrEx>
        <w:trPr>
          <w:trHeight w:val="855" w:hRule="atLeast"/>
        </w:trPr>
        <w:tc>
          <w:tcPr>
            <w:tcW w:w="226" w:type="pct"/>
            <w:vMerge w:val="continue"/>
            <w:tcBorders>
              <w:left w:val="single" w:color="000000" w:sz="4" w:space="0"/>
              <w:bottom w:val="single" w:color="000000" w:sz="4" w:space="0"/>
              <w:right w:val="single" w:color="000000" w:sz="4" w:space="0"/>
            </w:tcBorders>
            <w:noWrap/>
            <w:vAlign w:val="center"/>
          </w:tcPr>
          <w:p w14:paraId="4842331E">
            <w:pPr>
              <w:jc w:val="center"/>
              <w:rPr>
                <w:szCs w:val="21"/>
              </w:rPr>
            </w:pPr>
          </w:p>
        </w:tc>
        <w:tc>
          <w:tcPr>
            <w:tcW w:w="887" w:type="pct"/>
            <w:vMerge w:val="continue"/>
            <w:tcBorders>
              <w:left w:val="single" w:color="000000" w:sz="4" w:space="0"/>
              <w:bottom w:val="single" w:color="000000" w:sz="4" w:space="0"/>
              <w:right w:val="single" w:color="000000" w:sz="4" w:space="0"/>
            </w:tcBorders>
            <w:noWrap/>
            <w:vAlign w:val="center"/>
          </w:tcPr>
          <w:p w14:paraId="17C5A9EB">
            <w:pPr>
              <w:jc w:val="center"/>
              <w:rPr>
                <w:szCs w:val="21"/>
              </w:rPr>
            </w:pPr>
          </w:p>
        </w:tc>
        <w:tc>
          <w:tcPr>
            <w:tcW w:w="329" w:type="pct"/>
            <w:vMerge w:val="continue"/>
            <w:tcBorders>
              <w:left w:val="single" w:color="000000" w:sz="4" w:space="0"/>
              <w:bottom w:val="single" w:color="000000" w:sz="4" w:space="0"/>
              <w:right w:val="single" w:color="000000" w:sz="4" w:space="0"/>
            </w:tcBorders>
            <w:noWrap/>
            <w:vAlign w:val="center"/>
          </w:tcPr>
          <w:p w14:paraId="1564F361">
            <w:pPr>
              <w:widowControl/>
              <w:jc w:val="center"/>
              <w:textAlignment w:val="center"/>
              <w:rPr>
                <w:szCs w:val="21"/>
              </w:rPr>
            </w:pPr>
          </w:p>
        </w:tc>
        <w:tc>
          <w:tcPr>
            <w:tcW w:w="377" w:type="pct"/>
            <w:vMerge w:val="continue"/>
            <w:tcBorders>
              <w:left w:val="single" w:color="000000" w:sz="4" w:space="0"/>
              <w:bottom w:val="single" w:color="000000" w:sz="4" w:space="0"/>
              <w:right w:val="single" w:color="000000" w:sz="4" w:space="0"/>
            </w:tcBorders>
            <w:noWrap w:val="0"/>
            <w:vAlign w:val="center"/>
          </w:tcPr>
          <w:p w14:paraId="1A2B98FF">
            <w:pPr>
              <w:widowControl/>
              <w:jc w:val="center"/>
              <w:textAlignment w:val="center"/>
              <w:rPr>
                <w:szCs w:val="21"/>
              </w:rPr>
            </w:pPr>
          </w:p>
        </w:tc>
        <w:tc>
          <w:tcPr>
            <w:tcW w:w="377" w:type="pct"/>
            <w:vMerge w:val="continue"/>
            <w:tcBorders>
              <w:left w:val="single" w:color="000000" w:sz="4" w:space="0"/>
              <w:bottom w:val="single" w:color="000000" w:sz="4" w:space="0"/>
              <w:right w:val="single" w:color="000000" w:sz="4" w:space="0"/>
            </w:tcBorders>
            <w:noWrap w:val="0"/>
            <w:vAlign w:val="center"/>
          </w:tcPr>
          <w:p w14:paraId="4D17FFD1">
            <w:pPr>
              <w:widowControl/>
              <w:jc w:val="center"/>
              <w:textAlignment w:val="center"/>
              <w:rPr>
                <w:szCs w:val="21"/>
              </w:rPr>
            </w:pPr>
          </w:p>
        </w:tc>
        <w:tc>
          <w:tcPr>
            <w:tcW w:w="328" w:type="pct"/>
            <w:vMerge w:val="continue"/>
            <w:tcBorders>
              <w:left w:val="single" w:color="000000" w:sz="4" w:space="0"/>
              <w:bottom w:val="single" w:color="000000" w:sz="4" w:space="0"/>
              <w:right w:val="single" w:color="000000" w:sz="4" w:space="0"/>
            </w:tcBorders>
            <w:noWrap w:val="0"/>
            <w:vAlign w:val="center"/>
          </w:tcPr>
          <w:p w14:paraId="3F5343A7">
            <w:pPr>
              <w:widowControl/>
              <w:jc w:val="center"/>
              <w:textAlignment w:val="center"/>
              <w:rPr>
                <w:szCs w:val="21"/>
              </w:rPr>
            </w:pPr>
          </w:p>
        </w:tc>
        <w:tc>
          <w:tcPr>
            <w:tcW w:w="350" w:type="pct"/>
            <w:vMerge w:val="continue"/>
            <w:tcBorders>
              <w:left w:val="single" w:color="000000" w:sz="4" w:space="0"/>
              <w:bottom w:val="single" w:color="000000" w:sz="4" w:space="0"/>
              <w:right w:val="single" w:color="000000" w:sz="4" w:space="0"/>
            </w:tcBorders>
            <w:noWrap w:val="0"/>
            <w:vAlign w:val="center"/>
          </w:tcPr>
          <w:p w14:paraId="06050206">
            <w:pPr>
              <w:widowControl/>
              <w:jc w:val="center"/>
              <w:textAlignment w:val="center"/>
              <w:rPr>
                <w:szCs w:val="21"/>
              </w:rPr>
            </w:pPr>
          </w:p>
        </w:tc>
        <w:tc>
          <w:tcPr>
            <w:tcW w:w="627" w:type="pct"/>
            <w:vMerge w:val="continue"/>
            <w:tcBorders>
              <w:left w:val="single" w:color="000000" w:sz="4" w:space="0"/>
              <w:bottom w:val="single" w:color="000000" w:sz="4" w:space="0"/>
              <w:right w:val="single" w:color="000000" w:sz="4" w:space="0"/>
            </w:tcBorders>
            <w:noWrap/>
            <w:vAlign w:val="center"/>
          </w:tcPr>
          <w:p w14:paraId="7BDE5842">
            <w:pPr>
              <w:widowControl/>
              <w:jc w:val="center"/>
              <w:textAlignment w:val="center"/>
              <w:rPr>
                <w:szCs w:val="21"/>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599133E">
            <w:pPr>
              <w:widowControl/>
              <w:jc w:val="center"/>
              <w:textAlignment w:val="center"/>
              <w:rPr>
                <w:szCs w:val="21"/>
              </w:rPr>
            </w:pPr>
            <w:r>
              <w:rPr>
                <w:kern w:val="0"/>
                <w:szCs w:val="21"/>
                <w:lang w:bidi="ar"/>
              </w:rPr>
              <w:t>NH</w:t>
            </w:r>
            <w:r>
              <w:rPr>
                <w:kern w:val="0"/>
                <w:szCs w:val="21"/>
                <w:vertAlign w:val="subscript"/>
                <w:lang w:bidi="ar"/>
              </w:rPr>
              <w:t>3</w:t>
            </w:r>
          </w:p>
        </w:tc>
        <w:tc>
          <w:tcPr>
            <w:tcW w:w="319" w:type="pct"/>
            <w:tcBorders>
              <w:top w:val="single" w:color="000000" w:sz="4" w:space="0"/>
              <w:left w:val="single" w:color="000000" w:sz="4" w:space="0"/>
              <w:bottom w:val="single" w:color="000000" w:sz="4" w:space="0"/>
              <w:right w:val="single" w:color="000000" w:sz="4" w:space="0"/>
            </w:tcBorders>
            <w:noWrap/>
            <w:vAlign w:val="center"/>
          </w:tcPr>
          <w:p w14:paraId="130D680F">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17402849">
            <w:pPr>
              <w:widowControl/>
              <w:jc w:val="center"/>
              <w:textAlignment w:val="center"/>
              <w:rPr>
                <w:szCs w:val="21"/>
              </w:rPr>
            </w:pPr>
            <w:r>
              <w:rPr>
                <w:kern w:val="0"/>
                <w:szCs w:val="21"/>
                <w:lang w:bidi="ar"/>
              </w:rPr>
              <w:t>NH</w:t>
            </w:r>
            <w:r>
              <w:rPr>
                <w:kern w:val="0"/>
                <w:szCs w:val="21"/>
                <w:vertAlign w:val="subscript"/>
                <w:lang w:bidi="ar"/>
              </w:rPr>
              <w:t>3</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4CC9B35">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r>
      <w:tr w14:paraId="1AB25DDE">
        <w:tblPrEx>
          <w:tblCellMar>
            <w:top w:w="0" w:type="dxa"/>
            <w:left w:w="108" w:type="dxa"/>
            <w:bottom w:w="0" w:type="dxa"/>
            <w:right w:w="108" w:type="dxa"/>
          </w:tblCellMar>
        </w:tblPrEx>
        <w:trPr>
          <w:trHeight w:val="285" w:hRule="atLeast"/>
        </w:trPr>
        <w:tc>
          <w:tcPr>
            <w:tcW w:w="226" w:type="pct"/>
            <w:vMerge w:val="restart"/>
            <w:tcBorders>
              <w:top w:val="single" w:color="000000" w:sz="4" w:space="0"/>
              <w:left w:val="single" w:color="000000" w:sz="4" w:space="0"/>
              <w:bottom w:val="single" w:color="000000" w:sz="4" w:space="0"/>
              <w:right w:val="single" w:color="000000" w:sz="4" w:space="0"/>
            </w:tcBorders>
            <w:noWrap/>
            <w:vAlign w:val="center"/>
          </w:tcPr>
          <w:p w14:paraId="4783EC95">
            <w:pPr>
              <w:widowControl/>
              <w:jc w:val="center"/>
              <w:textAlignment w:val="center"/>
              <w:rPr>
                <w:szCs w:val="21"/>
              </w:rPr>
            </w:pPr>
            <w:r>
              <w:rPr>
                <w:kern w:val="0"/>
                <w:szCs w:val="21"/>
                <w:lang w:bidi="ar"/>
              </w:rPr>
              <w:t>1号地</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1325A040">
            <w:pPr>
              <w:widowControl/>
              <w:jc w:val="center"/>
              <w:textAlignment w:val="center"/>
              <w:rPr>
                <w:szCs w:val="21"/>
              </w:rPr>
            </w:pPr>
            <w:r>
              <w:rPr>
                <w:kern w:val="0"/>
                <w:szCs w:val="21"/>
                <w:lang w:bidi="ar"/>
              </w:rPr>
              <w:t>盛丰通风井位置1号舍</w:t>
            </w:r>
          </w:p>
        </w:tc>
        <w:tc>
          <w:tcPr>
            <w:tcW w:w="329" w:type="pct"/>
            <w:vMerge w:val="restart"/>
            <w:tcBorders>
              <w:top w:val="single" w:color="000000" w:sz="4" w:space="0"/>
              <w:left w:val="single" w:color="000000" w:sz="4" w:space="0"/>
              <w:bottom w:val="single" w:color="000000" w:sz="4" w:space="0"/>
              <w:right w:val="single" w:color="000000" w:sz="4" w:space="0"/>
            </w:tcBorders>
            <w:noWrap/>
            <w:vAlign w:val="center"/>
          </w:tcPr>
          <w:p w14:paraId="3BC4D2EB">
            <w:pPr>
              <w:widowControl/>
              <w:jc w:val="center"/>
              <w:textAlignment w:val="center"/>
              <w:rPr>
                <w:kern w:val="0"/>
                <w:szCs w:val="21"/>
                <w:lang w:bidi="ar"/>
              </w:rPr>
            </w:pPr>
            <w:r>
              <w:rPr>
                <w:kern w:val="0"/>
                <w:szCs w:val="21"/>
                <w:lang w:bidi="ar"/>
              </w:rPr>
              <w:t xml:space="preserve">250 </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7D304DF6">
            <w:pPr>
              <w:widowControl/>
              <w:jc w:val="center"/>
              <w:textAlignment w:val="center"/>
              <w:rPr>
                <w:szCs w:val="21"/>
              </w:rPr>
            </w:pPr>
            <w:r>
              <w:rPr>
                <w:kern w:val="0"/>
                <w:szCs w:val="21"/>
                <w:lang w:bidi="ar"/>
              </w:rPr>
              <w:t>5.20</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10480EED">
            <w:pPr>
              <w:widowControl/>
              <w:jc w:val="center"/>
              <w:textAlignment w:val="center"/>
              <w:rPr>
                <w:szCs w:val="21"/>
              </w:rPr>
            </w:pPr>
            <w:r>
              <w:rPr>
                <w:kern w:val="0"/>
                <w:szCs w:val="21"/>
                <w:lang w:bidi="ar"/>
              </w:rPr>
              <w:t>0.30</w:t>
            </w:r>
          </w:p>
        </w:tc>
        <w:tc>
          <w:tcPr>
            <w:tcW w:w="328" w:type="pct"/>
            <w:vMerge w:val="restart"/>
            <w:tcBorders>
              <w:top w:val="single" w:color="000000" w:sz="4" w:space="0"/>
              <w:left w:val="single" w:color="000000" w:sz="4" w:space="0"/>
              <w:bottom w:val="single" w:color="000000" w:sz="4" w:space="0"/>
              <w:right w:val="single" w:color="000000" w:sz="4" w:space="0"/>
            </w:tcBorders>
            <w:noWrap/>
            <w:vAlign w:val="center"/>
          </w:tcPr>
          <w:p w14:paraId="14A34C78">
            <w:pPr>
              <w:widowControl/>
              <w:jc w:val="center"/>
              <w:textAlignment w:val="center"/>
              <w:rPr>
                <w:szCs w:val="21"/>
              </w:rPr>
            </w:pPr>
            <w:r>
              <w:rPr>
                <w:kern w:val="0"/>
                <w:szCs w:val="21"/>
                <w:lang w:bidi="ar"/>
              </w:rPr>
              <w:t xml:space="preserve">1.30 </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32242C11">
            <w:pPr>
              <w:widowControl/>
              <w:jc w:val="center"/>
              <w:textAlignment w:val="center"/>
              <w:rPr>
                <w:szCs w:val="21"/>
              </w:rPr>
            </w:pPr>
            <w:r>
              <w:rPr>
                <w:kern w:val="0"/>
                <w:szCs w:val="21"/>
                <w:lang w:bidi="ar"/>
              </w:rPr>
              <w:t xml:space="preserve">0.08 </w:t>
            </w:r>
          </w:p>
        </w:tc>
        <w:tc>
          <w:tcPr>
            <w:tcW w:w="627" w:type="pct"/>
            <w:vMerge w:val="restart"/>
            <w:tcBorders>
              <w:top w:val="single" w:color="000000" w:sz="4" w:space="0"/>
              <w:left w:val="single" w:color="000000" w:sz="4" w:space="0"/>
              <w:right w:val="single" w:color="000000" w:sz="4" w:space="0"/>
            </w:tcBorders>
            <w:noWrap/>
            <w:vAlign w:val="center"/>
          </w:tcPr>
          <w:p w14:paraId="0995D3A3">
            <w:pPr>
              <w:jc w:val="center"/>
              <w:rPr>
                <w:szCs w:val="21"/>
              </w:rPr>
            </w:pPr>
            <w:r>
              <w:rPr>
                <w:szCs w:val="21"/>
              </w:rPr>
              <w:t>好氧堆肥+喷洒除臭剂+负压收集+UV光解+水帘生物除臭装置去除效率为90%</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3F1A0DE7">
            <w:pPr>
              <w:widowControl/>
              <w:jc w:val="center"/>
              <w:textAlignment w:val="center"/>
              <w:rPr>
                <w:szCs w:val="21"/>
              </w:rPr>
            </w:pPr>
            <w:r>
              <w:rPr>
                <w:kern w:val="0"/>
                <w:szCs w:val="21"/>
                <w:lang w:bidi="ar"/>
              </w:rPr>
              <w:t xml:space="preserve">0.1300 </w:t>
            </w:r>
          </w:p>
        </w:tc>
        <w:tc>
          <w:tcPr>
            <w:tcW w:w="319" w:type="pct"/>
            <w:vMerge w:val="restart"/>
            <w:tcBorders>
              <w:top w:val="single" w:color="000000" w:sz="4" w:space="0"/>
              <w:left w:val="single" w:color="000000" w:sz="4" w:space="0"/>
              <w:bottom w:val="single" w:color="000000" w:sz="4" w:space="0"/>
              <w:right w:val="single" w:color="000000" w:sz="4" w:space="0"/>
            </w:tcBorders>
            <w:noWrap/>
            <w:vAlign w:val="center"/>
          </w:tcPr>
          <w:p w14:paraId="147BA760">
            <w:pPr>
              <w:widowControl/>
              <w:jc w:val="center"/>
              <w:textAlignment w:val="center"/>
              <w:rPr>
                <w:szCs w:val="21"/>
              </w:rPr>
            </w:pPr>
            <w:r>
              <w:rPr>
                <w:kern w:val="0"/>
                <w:szCs w:val="21"/>
                <w:lang w:bidi="ar"/>
              </w:rPr>
              <w:t xml:space="preserve">0.0075 </w:t>
            </w:r>
          </w:p>
        </w:tc>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178214E3">
            <w:pPr>
              <w:widowControl/>
              <w:jc w:val="center"/>
              <w:textAlignment w:val="center"/>
              <w:rPr>
                <w:szCs w:val="21"/>
              </w:rPr>
            </w:pPr>
            <w:r>
              <w:rPr>
                <w:kern w:val="0"/>
                <w:szCs w:val="21"/>
                <w:lang w:bidi="ar"/>
              </w:rPr>
              <w:t xml:space="preserve">0.0475 </w:t>
            </w:r>
          </w:p>
        </w:tc>
        <w:tc>
          <w:tcPr>
            <w:tcW w:w="456" w:type="pct"/>
            <w:vMerge w:val="restart"/>
            <w:tcBorders>
              <w:top w:val="single" w:color="000000" w:sz="4" w:space="0"/>
              <w:left w:val="single" w:color="000000" w:sz="4" w:space="0"/>
              <w:bottom w:val="single" w:color="000000" w:sz="4" w:space="0"/>
              <w:right w:val="single" w:color="000000" w:sz="4" w:space="0"/>
            </w:tcBorders>
            <w:noWrap/>
            <w:vAlign w:val="center"/>
          </w:tcPr>
          <w:p w14:paraId="1F63D1BF">
            <w:pPr>
              <w:widowControl/>
              <w:jc w:val="center"/>
              <w:textAlignment w:val="center"/>
              <w:rPr>
                <w:szCs w:val="21"/>
              </w:rPr>
            </w:pPr>
            <w:r>
              <w:rPr>
                <w:kern w:val="0"/>
                <w:szCs w:val="21"/>
                <w:lang w:bidi="ar"/>
              </w:rPr>
              <w:t xml:space="preserve">0.0027 </w:t>
            </w:r>
          </w:p>
        </w:tc>
      </w:tr>
      <w:tr w14:paraId="058C2FBC">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6846CB39">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5387F15C">
            <w:pPr>
              <w:widowControl/>
              <w:jc w:val="center"/>
              <w:textAlignment w:val="center"/>
              <w:rPr>
                <w:szCs w:val="21"/>
              </w:rPr>
            </w:pPr>
            <w:r>
              <w:rPr>
                <w:kern w:val="0"/>
                <w:szCs w:val="21"/>
                <w:lang w:bidi="ar"/>
              </w:rPr>
              <w:t>盛丰通风井位置2号舍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375A59B1">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20C5E4C">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6B863AAE">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79798B2E">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0900134D">
            <w:pPr>
              <w:jc w:val="center"/>
              <w:rPr>
                <w:szCs w:val="21"/>
              </w:rPr>
            </w:pPr>
          </w:p>
        </w:tc>
        <w:tc>
          <w:tcPr>
            <w:tcW w:w="627" w:type="pct"/>
            <w:vMerge w:val="continue"/>
            <w:tcBorders>
              <w:left w:val="single" w:color="000000" w:sz="4" w:space="0"/>
              <w:right w:val="single" w:color="000000" w:sz="4" w:space="0"/>
            </w:tcBorders>
            <w:noWrap/>
            <w:vAlign w:val="center"/>
          </w:tcPr>
          <w:p w14:paraId="66CB208A">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68B1D423">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409E7EC3">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3A24AF34">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1727F36B">
            <w:pPr>
              <w:jc w:val="center"/>
              <w:rPr>
                <w:szCs w:val="21"/>
              </w:rPr>
            </w:pPr>
          </w:p>
        </w:tc>
      </w:tr>
      <w:tr w14:paraId="515E9D15">
        <w:tblPrEx>
          <w:tblCellMar>
            <w:top w:w="0" w:type="dxa"/>
            <w:left w:w="108" w:type="dxa"/>
            <w:bottom w:w="0" w:type="dxa"/>
            <w:right w:w="108" w:type="dxa"/>
          </w:tblCellMar>
        </w:tblPrEx>
        <w:trPr>
          <w:trHeight w:val="285" w:hRule="atLeast"/>
        </w:trPr>
        <w:tc>
          <w:tcPr>
            <w:tcW w:w="226" w:type="pct"/>
            <w:vMerge w:val="restart"/>
            <w:tcBorders>
              <w:top w:val="single" w:color="000000" w:sz="4" w:space="0"/>
              <w:left w:val="single" w:color="000000" w:sz="4" w:space="0"/>
              <w:bottom w:val="single" w:color="000000" w:sz="4" w:space="0"/>
              <w:right w:val="single" w:color="000000" w:sz="4" w:space="0"/>
            </w:tcBorders>
            <w:noWrap/>
            <w:vAlign w:val="center"/>
          </w:tcPr>
          <w:p w14:paraId="3AD254C2">
            <w:pPr>
              <w:widowControl/>
              <w:jc w:val="center"/>
              <w:textAlignment w:val="center"/>
              <w:rPr>
                <w:szCs w:val="21"/>
              </w:rPr>
            </w:pPr>
            <w:r>
              <w:rPr>
                <w:kern w:val="0"/>
                <w:szCs w:val="21"/>
                <w:lang w:bidi="ar"/>
              </w:rPr>
              <w:t>2号地</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08AB05E9">
            <w:pPr>
              <w:widowControl/>
              <w:jc w:val="center"/>
              <w:textAlignment w:val="center"/>
              <w:rPr>
                <w:szCs w:val="21"/>
              </w:rPr>
            </w:pPr>
            <w:r>
              <w:rPr>
                <w:kern w:val="0"/>
                <w:szCs w:val="21"/>
                <w:lang w:bidi="ar"/>
              </w:rPr>
              <w:t>盛丰焦化楼位置1号舍</w:t>
            </w:r>
          </w:p>
        </w:tc>
        <w:tc>
          <w:tcPr>
            <w:tcW w:w="329" w:type="pct"/>
            <w:vMerge w:val="restart"/>
            <w:tcBorders>
              <w:top w:val="single" w:color="000000" w:sz="4" w:space="0"/>
              <w:left w:val="single" w:color="000000" w:sz="4" w:space="0"/>
              <w:bottom w:val="single" w:color="000000" w:sz="4" w:space="0"/>
              <w:right w:val="single" w:color="000000" w:sz="4" w:space="0"/>
            </w:tcBorders>
            <w:noWrap/>
            <w:vAlign w:val="center"/>
          </w:tcPr>
          <w:p w14:paraId="03D2A3C5">
            <w:pPr>
              <w:widowControl/>
              <w:jc w:val="center"/>
              <w:textAlignment w:val="center"/>
              <w:rPr>
                <w:kern w:val="0"/>
                <w:szCs w:val="21"/>
                <w:lang w:bidi="ar"/>
              </w:rPr>
            </w:pPr>
            <w:r>
              <w:rPr>
                <w:kern w:val="0"/>
                <w:szCs w:val="21"/>
                <w:lang w:bidi="ar"/>
              </w:rPr>
              <w:t xml:space="preserve">500 </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3D3D7239">
            <w:pPr>
              <w:widowControl/>
              <w:jc w:val="center"/>
              <w:textAlignment w:val="center"/>
              <w:rPr>
                <w:szCs w:val="21"/>
              </w:rPr>
            </w:pPr>
            <w:r>
              <w:rPr>
                <w:kern w:val="0"/>
                <w:szCs w:val="21"/>
                <w:lang w:bidi="ar"/>
              </w:rPr>
              <w:t>5.20</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3E1F2B54">
            <w:pPr>
              <w:widowControl/>
              <w:jc w:val="center"/>
              <w:textAlignment w:val="center"/>
              <w:rPr>
                <w:szCs w:val="21"/>
              </w:rPr>
            </w:pPr>
            <w:r>
              <w:rPr>
                <w:kern w:val="0"/>
                <w:szCs w:val="21"/>
                <w:lang w:bidi="ar"/>
              </w:rPr>
              <w:t>0.30</w:t>
            </w:r>
          </w:p>
        </w:tc>
        <w:tc>
          <w:tcPr>
            <w:tcW w:w="328" w:type="pct"/>
            <w:vMerge w:val="restart"/>
            <w:tcBorders>
              <w:top w:val="single" w:color="000000" w:sz="4" w:space="0"/>
              <w:left w:val="single" w:color="000000" w:sz="4" w:space="0"/>
              <w:bottom w:val="single" w:color="000000" w:sz="4" w:space="0"/>
              <w:right w:val="single" w:color="000000" w:sz="4" w:space="0"/>
            </w:tcBorders>
            <w:noWrap/>
            <w:vAlign w:val="center"/>
          </w:tcPr>
          <w:p w14:paraId="5A32C2AB">
            <w:pPr>
              <w:widowControl/>
              <w:jc w:val="center"/>
              <w:textAlignment w:val="center"/>
              <w:rPr>
                <w:szCs w:val="21"/>
              </w:rPr>
            </w:pPr>
            <w:r>
              <w:rPr>
                <w:kern w:val="0"/>
                <w:szCs w:val="21"/>
                <w:lang w:bidi="ar"/>
              </w:rPr>
              <w:t xml:space="preserve">2.60 </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347717CC">
            <w:pPr>
              <w:widowControl/>
              <w:jc w:val="center"/>
              <w:textAlignment w:val="center"/>
              <w:rPr>
                <w:szCs w:val="21"/>
              </w:rPr>
            </w:pPr>
            <w:r>
              <w:rPr>
                <w:kern w:val="0"/>
                <w:szCs w:val="21"/>
                <w:lang w:bidi="ar"/>
              </w:rPr>
              <w:t xml:space="preserve">0.15 </w:t>
            </w:r>
          </w:p>
        </w:tc>
        <w:tc>
          <w:tcPr>
            <w:tcW w:w="627" w:type="pct"/>
            <w:vMerge w:val="continue"/>
            <w:tcBorders>
              <w:left w:val="single" w:color="000000" w:sz="4" w:space="0"/>
              <w:right w:val="single" w:color="000000" w:sz="4" w:space="0"/>
            </w:tcBorders>
            <w:noWrap/>
            <w:vAlign w:val="center"/>
          </w:tcPr>
          <w:p w14:paraId="6C5B1E61">
            <w:pPr>
              <w:jc w:val="center"/>
              <w:rPr>
                <w:szCs w:val="21"/>
              </w:rPr>
            </w:pP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22C6E071">
            <w:pPr>
              <w:widowControl/>
              <w:jc w:val="center"/>
              <w:textAlignment w:val="center"/>
              <w:rPr>
                <w:szCs w:val="21"/>
              </w:rPr>
            </w:pPr>
            <w:r>
              <w:rPr>
                <w:kern w:val="0"/>
                <w:szCs w:val="21"/>
                <w:lang w:bidi="ar"/>
              </w:rPr>
              <w:t xml:space="preserve">0.2600 </w:t>
            </w:r>
          </w:p>
        </w:tc>
        <w:tc>
          <w:tcPr>
            <w:tcW w:w="319" w:type="pct"/>
            <w:vMerge w:val="restart"/>
            <w:tcBorders>
              <w:top w:val="single" w:color="000000" w:sz="4" w:space="0"/>
              <w:left w:val="single" w:color="000000" w:sz="4" w:space="0"/>
              <w:bottom w:val="single" w:color="000000" w:sz="4" w:space="0"/>
              <w:right w:val="single" w:color="000000" w:sz="4" w:space="0"/>
            </w:tcBorders>
            <w:noWrap/>
            <w:vAlign w:val="center"/>
          </w:tcPr>
          <w:p w14:paraId="7AA71455">
            <w:pPr>
              <w:widowControl/>
              <w:jc w:val="center"/>
              <w:textAlignment w:val="center"/>
              <w:rPr>
                <w:szCs w:val="21"/>
              </w:rPr>
            </w:pPr>
            <w:r>
              <w:rPr>
                <w:kern w:val="0"/>
                <w:szCs w:val="21"/>
                <w:lang w:bidi="ar"/>
              </w:rPr>
              <w:t xml:space="preserve">0.0150 </w:t>
            </w:r>
          </w:p>
        </w:tc>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10694E67">
            <w:pPr>
              <w:widowControl/>
              <w:jc w:val="center"/>
              <w:textAlignment w:val="center"/>
              <w:rPr>
                <w:szCs w:val="21"/>
              </w:rPr>
            </w:pPr>
            <w:r>
              <w:rPr>
                <w:kern w:val="0"/>
                <w:szCs w:val="21"/>
                <w:lang w:bidi="ar"/>
              </w:rPr>
              <w:t xml:space="preserve">0.0949 </w:t>
            </w:r>
          </w:p>
        </w:tc>
        <w:tc>
          <w:tcPr>
            <w:tcW w:w="456" w:type="pct"/>
            <w:vMerge w:val="restart"/>
            <w:tcBorders>
              <w:top w:val="single" w:color="000000" w:sz="4" w:space="0"/>
              <w:left w:val="single" w:color="000000" w:sz="4" w:space="0"/>
              <w:bottom w:val="single" w:color="000000" w:sz="4" w:space="0"/>
              <w:right w:val="single" w:color="000000" w:sz="4" w:space="0"/>
            </w:tcBorders>
            <w:noWrap/>
            <w:vAlign w:val="center"/>
          </w:tcPr>
          <w:p w14:paraId="4EBBCDE6">
            <w:pPr>
              <w:widowControl/>
              <w:jc w:val="center"/>
              <w:textAlignment w:val="center"/>
              <w:rPr>
                <w:szCs w:val="21"/>
              </w:rPr>
            </w:pPr>
            <w:r>
              <w:rPr>
                <w:kern w:val="0"/>
                <w:szCs w:val="21"/>
                <w:lang w:bidi="ar"/>
              </w:rPr>
              <w:t xml:space="preserve">0.0055 </w:t>
            </w:r>
          </w:p>
        </w:tc>
      </w:tr>
      <w:tr w14:paraId="0000CAEA">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3ED7166A">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3DD8605A">
            <w:pPr>
              <w:widowControl/>
              <w:jc w:val="center"/>
              <w:textAlignment w:val="center"/>
              <w:rPr>
                <w:szCs w:val="21"/>
              </w:rPr>
            </w:pPr>
            <w:r>
              <w:rPr>
                <w:kern w:val="0"/>
                <w:szCs w:val="21"/>
                <w:lang w:bidi="ar"/>
              </w:rPr>
              <w:t>盛丰焦化楼位置2号舍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31A28293">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2A2B37CE">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2B1CAD3B">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46C7F45F">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6C3A9740">
            <w:pPr>
              <w:jc w:val="center"/>
              <w:rPr>
                <w:szCs w:val="21"/>
              </w:rPr>
            </w:pPr>
          </w:p>
        </w:tc>
        <w:tc>
          <w:tcPr>
            <w:tcW w:w="627" w:type="pct"/>
            <w:vMerge w:val="continue"/>
            <w:tcBorders>
              <w:left w:val="single" w:color="000000" w:sz="4" w:space="0"/>
              <w:right w:val="single" w:color="000000" w:sz="4" w:space="0"/>
            </w:tcBorders>
            <w:noWrap/>
            <w:vAlign w:val="center"/>
          </w:tcPr>
          <w:p w14:paraId="20D82E7D">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1D289AFD">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31BAF36F">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785AB9A9">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562B8800">
            <w:pPr>
              <w:jc w:val="center"/>
              <w:rPr>
                <w:szCs w:val="21"/>
              </w:rPr>
            </w:pPr>
          </w:p>
        </w:tc>
      </w:tr>
      <w:tr w14:paraId="0F70180D">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3FB824F5">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274C192D">
            <w:pPr>
              <w:widowControl/>
              <w:jc w:val="center"/>
              <w:textAlignment w:val="center"/>
              <w:rPr>
                <w:szCs w:val="21"/>
              </w:rPr>
            </w:pPr>
            <w:r>
              <w:rPr>
                <w:kern w:val="0"/>
                <w:szCs w:val="21"/>
                <w:lang w:bidi="ar"/>
              </w:rPr>
              <w:t>球场位置1单元</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3DBD5E57">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12DA9AC8">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539F8013">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6712FC8F">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54B0E8F5">
            <w:pPr>
              <w:jc w:val="center"/>
              <w:rPr>
                <w:szCs w:val="21"/>
              </w:rPr>
            </w:pPr>
          </w:p>
        </w:tc>
        <w:tc>
          <w:tcPr>
            <w:tcW w:w="627" w:type="pct"/>
            <w:vMerge w:val="continue"/>
            <w:tcBorders>
              <w:left w:val="single" w:color="000000" w:sz="4" w:space="0"/>
              <w:right w:val="single" w:color="000000" w:sz="4" w:space="0"/>
            </w:tcBorders>
            <w:noWrap/>
            <w:vAlign w:val="center"/>
          </w:tcPr>
          <w:p w14:paraId="33689263">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2240B905">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68DF04E4">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1A3437D4">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5888CD94">
            <w:pPr>
              <w:jc w:val="center"/>
              <w:rPr>
                <w:szCs w:val="21"/>
              </w:rPr>
            </w:pPr>
          </w:p>
        </w:tc>
      </w:tr>
      <w:tr w14:paraId="0BAABAE0">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68E683F5">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52E71829">
            <w:pPr>
              <w:widowControl/>
              <w:jc w:val="center"/>
              <w:textAlignment w:val="center"/>
              <w:rPr>
                <w:szCs w:val="21"/>
              </w:rPr>
            </w:pPr>
            <w:r>
              <w:rPr>
                <w:kern w:val="0"/>
                <w:szCs w:val="21"/>
                <w:lang w:bidi="ar"/>
              </w:rPr>
              <w:t>球场位置2单元</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51088513">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538578F5">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7DF72265">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41E15237">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2A5A1D7D">
            <w:pPr>
              <w:jc w:val="center"/>
              <w:rPr>
                <w:szCs w:val="21"/>
              </w:rPr>
            </w:pPr>
          </w:p>
        </w:tc>
        <w:tc>
          <w:tcPr>
            <w:tcW w:w="627" w:type="pct"/>
            <w:vMerge w:val="continue"/>
            <w:tcBorders>
              <w:left w:val="single" w:color="000000" w:sz="4" w:space="0"/>
              <w:right w:val="single" w:color="000000" w:sz="4" w:space="0"/>
            </w:tcBorders>
            <w:noWrap/>
            <w:vAlign w:val="center"/>
          </w:tcPr>
          <w:p w14:paraId="3F8FC0D3">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0EAFDC78">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6F29747B">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432D24E0">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797B35CE">
            <w:pPr>
              <w:jc w:val="center"/>
              <w:rPr>
                <w:szCs w:val="21"/>
              </w:rPr>
            </w:pPr>
          </w:p>
        </w:tc>
      </w:tr>
      <w:tr w14:paraId="5569284E">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6590F9F8">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0A2E62E1">
            <w:pPr>
              <w:widowControl/>
              <w:jc w:val="center"/>
              <w:textAlignment w:val="center"/>
              <w:rPr>
                <w:szCs w:val="21"/>
              </w:rPr>
            </w:pPr>
            <w:r>
              <w:rPr>
                <w:kern w:val="0"/>
                <w:szCs w:val="21"/>
                <w:lang w:bidi="ar"/>
              </w:rPr>
              <w:t>球场位置3单元</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4525AE91">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5604ABB">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07E2C87">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01FFFCF3">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53BF96AC">
            <w:pPr>
              <w:jc w:val="center"/>
              <w:rPr>
                <w:szCs w:val="21"/>
              </w:rPr>
            </w:pPr>
          </w:p>
        </w:tc>
        <w:tc>
          <w:tcPr>
            <w:tcW w:w="627" w:type="pct"/>
            <w:vMerge w:val="continue"/>
            <w:tcBorders>
              <w:left w:val="single" w:color="000000" w:sz="4" w:space="0"/>
              <w:right w:val="single" w:color="000000" w:sz="4" w:space="0"/>
            </w:tcBorders>
            <w:noWrap/>
            <w:vAlign w:val="center"/>
          </w:tcPr>
          <w:p w14:paraId="5034CA3D">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2CDE53BB">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3FBF2339">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5514CAD2">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5C11DCE0">
            <w:pPr>
              <w:jc w:val="center"/>
              <w:rPr>
                <w:szCs w:val="21"/>
              </w:rPr>
            </w:pPr>
          </w:p>
        </w:tc>
      </w:tr>
      <w:tr w14:paraId="0B5B3929">
        <w:tblPrEx>
          <w:tblCellMar>
            <w:top w:w="0" w:type="dxa"/>
            <w:left w:w="108" w:type="dxa"/>
            <w:bottom w:w="0" w:type="dxa"/>
            <w:right w:w="108" w:type="dxa"/>
          </w:tblCellMar>
        </w:tblPrEx>
        <w:trPr>
          <w:trHeight w:val="285" w:hRule="atLeast"/>
        </w:trPr>
        <w:tc>
          <w:tcPr>
            <w:tcW w:w="226" w:type="pct"/>
            <w:vMerge w:val="restart"/>
            <w:tcBorders>
              <w:top w:val="single" w:color="000000" w:sz="4" w:space="0"/>
              <w:left w:val="single" w:color="000000" w:sz="4" w:space="0"/>
              <w:bottom w:val="single" w:color="000000" w:sz="4" w:space="0"/>
              <w:right w:val="single" w:color="000000" w:sz="4" w:space="0"/>
            </w:tcBorders>
            <w:noWrap/>
            <w:vAlign w:val="center"/>
          </w:tcPr>
          <w:p w14:paraId="20D01A6A">
            <w:pPr>
              <w:widowControl/>
              <w:jc w:val="center"/>
              <w:textAlignment w:val="center"/>
              <w:rPr>
                <w:szCs w:val="21"/>
              </w:rPr>
            </w:pPr>
            <w:r>
              <w:rPr>
                <w:kern w:val="0"/>
                <w:szCs w:val="21"/>
                <w:lang w:bidi="ar"/>
              </w:rPr>
              <w:t>3号地</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4A59BEB6">
            <w:pPr>
              <w:widowControl/>
              <w:jc w:val="center"/>
              <w:textAlignment w:val="center"/>
              <w:rPr>
                <w:szCs w:val="21"/>
              </w:rPr>
            </w:pPr>
            <w:r>
              <w:rPr>
                <w:kern w:val="0"/>
                <w:szCs w:val="21"/>
                <w:lang w:bidi="ar"/>
              </w:rPr>
              <w:t>老井位置1号舍</w:t>
            </w:r>
          </w:p>
        </w:tc>
        <w:tc>
          <w:tcPr>
            <w:tcW w:w="329" w:type="pct"/>
            <w:vMerge w:val="restart"/>
            <w:tcBorders>
              <w:top w:val="single" w:color="000000" w:sz="4" w:space="0"/>
              <w:left w:val="single" w:color="000000" w:sz="4" w:space="0"/>
              <w:bottom w:val="single" w:color="000000" w:sz="4" w:space="0"/>
              <w:right w:val="single" w:color="000000" w:sz="4" w:space="0"/>
            </w:tcBorders>
            <w:noWrap/>
            <w:vAlign w:val="center"/>
          </w:tcPr>
          <w:p w14:paraId="7846EE40">
            <w:pPr>
              <w:widowControl/>
              <w:jc w:val="center"/>
              <w:textAlignment w:val="center"/>
              <w:rPr>
                <w:kern w:val="0"/>
                <w:szCs w:val="21"/>
                <w:lang w:bidi="ar"/>
              </w:rPr>
            </w:pPr>
            <w:r>
              <w:rPr>
                <w:kern w:val="0"/>
                <w:szCs w:val="21"/>
                <w:lang w:bidi="ar"/>
              </w:rPr>
              <w:t xml:space="preserve">250 </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3175EA8C">
            <w:pPr>
              <w:widowControl/>
              <w:jc w:val="center"/>
              <w:textAlignment w:val="center"/>
              <w:rPr>
                <w:szCs w:val="21"/>
              </w:rPr>
            </w:pPr>
            <w:r>
              <w:rPr>
                <w:kern w:val="0"/>
                <w:szCs w:val="21"/>
                <w:lang w:bidi="ar"/>
              </w:rPr>
              <w:t>5.20</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5A3EC8A6">
            <w:pPr>
              <w:widowControl/>
              <w:jc w:val="center"/>
              <w:textAlignment w:val="center"/>
              <w:rPr>
                <w:szCs w:val="21"/>
              </w:rPr>
            </w:pPr>
            <w:r>
              <w:rPr>
                <w:kern w:val="0"/>
                <w:szCs w:val="21"/>
                <w:lang w:bidi="ar"/>
              </w:rPr>
              <w:t>0.30</w:t>
            </w:r>
          </w:p>
        </w:tc>
        <w:tc>
          <w:tcPr>
            <w:tcW w:w="328" w:type="pct"/>
            <w:vMerge w:val="restart"/>
            <w:tcBorders>
              <w:top w:val="single" w:color="000000" w:sz="4" w:space="0"/>
              <w:left w:val="single" w:color="000000" w:sz="4" w:space="0"/>
              <w:bottom w:val="single" w:color="000000" w:sz="4" w:space="0"/>
              <w:right w:val="single" w:color="000000" w:sz="4" w:space="0"/>
            </w:tcBorders>
            <w:noWrap/>
            <w:vAlign w:val="center"/>
          </w:tcPr>
          <w:p w14:paraId="06745BB4">
            <w:pPr>
              <w:widowControl/>
              <w:jc w:val="center"/>
              <w:textAlignment w:val="center"/>
              <w:rPr>
                <w:szCs w:val="21"/>
              </w:rPr>
            </w:pPr>
            <w:r>
              <w:rPr>
                <w:kern w:val="0"/>
                <w:szCs w:val="21"/>
                <w:lang w:bidi="ar"/>
              </w:rPr>
              <w:t xml:space="preserve">1.30 </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69F5AC45">
            <w:pPr>
              <w:widowControl/>
              <w:jc w:val="center"/>
              <w:textAlignment w:val="center"/>
              <w:rPr>
                <w:szCs w:val="21"/>
              </w:rPr>
            </w:pPr>
            <w:r>
              <w:rPr>
                <w:kern w:val="0"/>
                <w:szCs w:val="21"/>
                <w:lang w:bidi="ar"/>
              </w:rPr>
              <w:t xml:space="preserve">0.08 </w:t>
            </w:r>
          </w:p>
        </w:tc>
        <w:tc>
          <w:tcPr>
            <w:tcW w:w="627" w:type="pct"/>
            <w:vMerge w:val="continue"/>
            <w:tcBorders>
              <w:left w:val="single" w:color="000000" w:sz="4" w:space="0"/>
              <w:right w:val="single" w:color="000000" w:sz="4" w:space="0"/>
            </w:tcBorders>
            <w:noWrap/>
            <w:vAlign w:val="center"/>
          </w:tcPr>
          <w:p w14:paraId="7F06CDE2">
            <w:pPr>
              <w:jc w:val="center"/>
              <w:rPr>
                <w:szCs w:val="21"/>
              </w:rPr>
            </w:pP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26474CCD">
            <w:pPr>
              <w:widowControl/>
              <w:jc w:val="center"/>
              <w:textAlignment w:val="center"/>
              <w:rPr>
                <w:szCs w:val="21"/>
              </w:rPr>
            </w:pPr>
            <w:r>
              <w:rPr>
                <w:kern w:val="0"/>
                <w:szCs w:val="21"/>
                <w:lang w:bidi="ar"/>
              </w:rPr>
              <w:t xml:space="preserve">0.1300 </w:t>
            </w:r>
          </w:p>
        </w:tc>
        <w:tc>
          <w:tcPr>
            <w:tcW w:w="319" w:type="pct"/>
            <w:vMerge w:val="restart"/>
            <w:tcBorders>
              <w:top w:val="single" w:color="000000" w:sz="4" w:space="0"/>
              <w:left w:val="single" w:color="000000" w:sz="4" w:space="0"/>
              <w:bottom w:val="single" w:color="000000" w:sz="4" w:space="0"/>
              <w:right w:val="single" w:color="000000" w:sz="4" w:space="0"/>
            </w:tcBorders>
            <w:noWrap/>
            <w:vAlign w:val="center"/>
          </w:tcPr>
          <w:p w14:paraId="0D031764">
            <w:pPr>
              <w:widowControl/>
              <w:jc w:val="center"/>
              <w:textAlignment w:val="center"/>
              <w:rPr>
                <w:szCs w:val="21"/>
              </w:rPr>
            </w:pPr>
            <w:r>
              <w:rPr>
                <w:kern w:val="0"/>
                <w:szCs w:val="21"/>
                <w:lang w:bidi="ar"/>
              </w:rPr>
              <w:t xml:space="preserve">0.0075 </w:t>
            </w:r>
          </w:p>
        </w:tc>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4B4C6623">
            <w:pPr>
              <w:widowControl/>
              <w:jc w:val="center"/>
              <w:textAlignment w:val="center"/>
              <w:rPr>
                <w:szCs w:val="21"/>
              </w:rPr>
            </w:pPr>
            <w:r>
              <w:rPr>
                <w:kern w:val="0"/>
                <w:szCs w:val="21"/>
                <w:lang w:bidi="ar"/>
              </w:rPr>
              <w:t xml:space="preserve">0.0475 </w:t>
            </w:r>
          </w:p>
        </w:tc>
        <w:tc>
          <w:tcPr>
            <w:tcW w:w="456" w:type="pct"/>
            <w:vMerge w:val="restart"/>
            <w:tcBorders>
              <w:top w:val="single" w:color="000000" w:sz="4" w:space="0"/>
              <w:left w:val="single" w:color="000000" w:sz="4" w:space="0"/>
              <w:bottom w:val="single" w:color="000000" w:sz="4" w:space="0"/>
              <w:right w:val="single" w:color="000000" w:sz="4" w:space="0"/>
            </w:tcBorders>
            <w:noWrap/>
            <w:vAlign w:val="center"/>
          </w:tcPr>
          <w:p w14:paraId="4B4D47BD">
            <w:pPr>
              <w:widowControl/>
              <w:jc w:val="center"/>
              <w:textAlignment w:val="center"/>
              <w:rPr>
                <w:szCs w:val="21"/>
              </w:rPr>
            </w:pPr>
            <w:r>
              <w:rPr>
                <w:kern w:val="0"/>
                <w:szCs w:val="21"/>
                <w:lang w:bidi="ar"/>
              </w:rPr>
              <w:t xml:space="preserve">0.0027 </w:t>
            </w:r>
          </w:p>
        </w:tc>
      </w:tr>
      <w:tr w14:paraId="0C9249A1">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4D351D2A">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38B5F054">
            <w:pPr>
              <w:widowControl/>
              <w:jc w:val="center"/>
              <w:textAlignment w:val="center"/>
              <w:rPr>
                <w:szCs w:val="21"/>
              </w:rPr>
            </w:pPr>
            <w:r>
              <w:rPr>
                <w:kern w:val="0"/>
                <w:szCs w:val="21"/>
                <w:lang w:bidi="ar"/>
              </w:rPr>
              <w:t>老井位置2号舍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4EAE4E87">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A56CC1E">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5350B66D">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392E52E3">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01E6CF84">
            <w:pPr>
              <w:jc w:val="center"/>
              <w:rPr>
                <w:szCs w:val="21"/>
              </w:rPr>
            </w:pPr>
          </w:p>
        </w:tc>
        <w:tc>
          <w:tcPr>
            <w:tcW w:w="627" w:type="pct"/>
            <w:vMerge w:val="continue"/>
            <w:tcBorders>
              <w:left w:val="single" w:color="000000" w:sz="4" w:space="0"/>
              <w:right w:val="single" w:color="000000" w:sz="4" w:space="0"/>
            </w:tcBorders>
            <w:noWrap/>
            <w:vAlign w:val="center"/>
          </w:tcPr>
          <w:p w14:paraId="32F93ADB">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41FCAACE">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19B0F5CC">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24AC3AC4">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2D22D5E3">
            <w:pPr>
              <w:jc w:val="center"/>
              <w:rPr>
                <w:szCs w:val="21"/>
              </w:rPr>
            </w:pPr>
          </w:p>
        </w:tc>
      </w:tr>
      <w:tr w14:paraId="48540035">
        <w:tblPrEx>
          <w:tblCellMar>
            <w:top w:w="0" w:type="dxa"/>
            <w:left w:w="108" w:type="dxa"/>
            <w:bottom w:w="0" w:type="dxa"/>
            <w:right w:w="108" w:type="dxa"/>
          </w:tblCellMar>
        </w:tblPrEx>
        <w:trPr>
          <w:trHeight w:val="285" w:hRule="atLeast"/>
        </w:trPr>
        <w:tc>
          <w:tcPr>
            <w:tcW w:w="226" w:type="pct"/>
            <w:vMerge w:val="restart"/>
            <w:tcBorders>
              <w:top w:val="single" w:color="000000" w:sz="4" w:space="0"/>
              <w:left w:val="single" w:color="000000" w:sz="4" w:space="0"/>
              <w:bottom w:val="single" w:color="000000" w:sz="4" w:space="0"/>
              <w:right w:val="single" w:color="000000" w:sz="4" w:space="0"/>
            </w:tcBorders>
            <w:noWrap/>
            <w:vAlign w:val="center"/>
          </w:tcPr>
          <w:p w14:paraId="68DC1932">
            <w:pPr>
              <w:widowControl/>
              <w:jc w:val="center"/>
              <w:textAlignment w:val="center"/>
              <w:rPr>
                <w:szCs w:val="21"/>
              </w:rPr>
            </w:pPr>
            <w:r>
              <w:rPr>
                <w:kern w:val="0"/>
                <w:szCs w:val="21"/>
                <w:lang w:bidi="ar"/>
              </w:rPr>
              <w:t>4号地</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66B0FF76">
            <w:pPr>
              <w:widowControl/>
              <w:jc w:val="center"/>
              <w:textAlignment w:val="center"/>
              <w:rPr>
                <w:szCs w:val="21"/>
              </w:rPr>
            </w:pPr>
            <w:r>
              <w:rPr>
                <w:kern w:val="0"/>
                <w:szCs w:val="21"/>
                <w:lang w:bidi="ar"/>
              </w:rPr>
              <w:t>鑫旺板块1号舍</w:t>
            </w:r>
          </w:p>
        </w:tc>
        <w:tc>
          <w:tcPr>
            <w:tcW w:w="329" w:type="pct"/>
            <w:vMerge w:val="restart"/>
            <w:tcBorders>
              <w:top w:val="single" w:color="000000" w:sz="4" w:space="0"/>
              <w:left w:val="single" w:color="000000" w:sz="4" w:space="0"/>
              <w:bottom w:val="single" w:color="000000" w:sz="4" w:space="0"/>
              <w:right w:val="single" w:color="000000" w:sz="4" w:space="0"/>
            </w:tcBorders>
            <w:noWrap/>
            <w:vAlign w:val="center"/>
          </w:tcPr>
          <w:p w14:paraId="617AABA4">
            <w:pPr>
              <w:widowControl/>
              <w:jc w:val="center"/>
              <w:textAlignment w:val="center"/>
              <w:rPr>
                <w:kern w:val="0"/>
                <w:szCs w:val="21"/>
                <w:lang w:bidi="ar"/>
              </w:rPr>
            </w:pPr>
            <w:r>
              <w:rPr>
                <w:kern w:val="0"/>
                <w:szCs w:val="21"/>
                <w:lang w:bidi="ar"/>
              </w:rPr>
              <w:t xml:space="preserve">500 </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037BBD62">
            <w:pPr>
              <w:widowControl/>
              <w:jc w:val="center"/>
              <w:textAlignment w:val="center"/>
              <w:rPr>
                <w:szCs w:val="21"/>
              </w:rPr>
            </w:pPr>
            <w:r>
              <w:rPr>
                <w:kern w:val="0"/>
                <w:szCs w:val="21"/>
                <w:lang w:bidi="ar"/>
              </w:rPr>
              <w:t>5.20</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3F349F25">
            <w:pPr>
              <w:widowControl/>
              <w:jc w:val="center"/>
              <w:textAlignment w:val="center"/>
              <w:rPr>
                <w:szCs w:val="21"/>
              </w:rPr>
            </w:pPr>
            <w:r>
              <w:rPr>
                <w:kern w:val="0"/>
                <w:szCs w:val="21"/>
                <w:lang w:bidi="ar"/>
              </w:rPr>
              <w:t>0.30</w:t>
            </w:r>
          </w:p>
        </w:tc>
        <w:tc>
          <w:tcPr>
            <w:tcW w:w="328" w:type="pct"/>
            <w:vMerge w:val="restart"/>
            <w:tcBorders>
              <w:top w:val="single" w:color="000000" w:sz="4" w:space="0"/>
              <w:left w:val="single" w:color="000000" w:sz="4" w:space="0"/>
              <w:bottom w:val="single" w:color="000000" w:sz="4" w:space="0"/>
              <w:right w:val="single" w:color="000000" w:sz="4" w:space="0"/>
            </w:tcBorders>
            <w:noWrap/>
            <w:vAlign w:val="center"/>
          </w:tcPr>
          <w:p w14:paraId="2B8841B4">
            <w:pPr>
              <w:widowControl/>
              <w:jc w:val="center"/>
              <w:textAlignment w:val="center"/>
              <w:rPr>
                <w:szCs w:val="21"/>
              </w:rPr>
            </w:pPr>
            <w:r>
              <w:rPr>
                <w:kern w:val="0"/>
                <w:szCs w:val="21"/>
                <w:lang w:bidi="ar"/>
              </w:rPr>
              <w:t xml:space="preserve">2.60 </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37C4FBE5">
            <w:pPr>
              <w:widowControl/>
              <w:jc w:val="center"/>
              <w:textAlignment w:val="center"/>
              <w:rPr>
                <w:szCs w:val="21"/>
              </w:rPr>
            </w:pPr>
            <w:r>
              <w:rPr>
                <w:kern w:val="0"/>
                <w:szCs w:val="21"/>
                <w:lang w:bidi="ar"/>
              </w:rPr>
              <w:t xml:space="preserve">0.15 </w:t>
            </w:r>
          </w:p>
        </w:tc>
        <w:tc>
          <w:tcPr>
            <w:tcW w:w="627" w:type="pct"/>
            <w:vMerge w:val="continue"/>
            <w:tcBorders>
              <w:left w:val="single" w:color="000000" w:sz="4" w:space="0"/>
              <w:right w:val="single" w:color="000000" w:sz="4" w:space="0"/>
            </w:tcBorders>
            <w:noWrap/>
            <w:vAlign w:val="center"/>
          </w:tcPr>
          <w:p w14:paraId="0EA55229">
            <w:pPr>
              <w:jc w:val="center"/>
              <w:rPr>
                <w:szCs w:val="21"/>
              </w:rPr>
            </w:pP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352E44DC">
            <w:pPr>
              <w:widowControl/>
              <w:jc w:val="center"/>
              <w:textAlignment w:val="center"/>
              <w:rPr>
                <w:szCs w:val="21"/>
              </w:rPr>
            </w:pPr>
            <w:r>
              <w:rPr>
                <w:kern w:val="0"/>
                <w:szCs w:val="21"/>
                <w:lang w:bidi="ar"/>
              </w:rPr>
              <w:t xml:space="preserve">0.2600 </w:t>
            </w:r>
          </w:p>
        </w:tc>
        <w:tc>
          <w:tcPr>
            <w:tcW w:w="319" w:type="pct"/>
            <w:vMerge w:val="restart"/>
            <w:tcBorders>
              <w:top w:val="single" w:color="000000" w:sz="4" w:space="0"/>
              <w:left w:val="single" w:color="000000" w:sz="4" w:space="0"/>
              <w:bottom w:val="single" w:color="000000" w:sz="4" w:space="0"/>
              <w:right w:val="single" w:color="000000" w:sz="4" w:space="0"/>
            </w:tcBorders>
            <w:noWrap/>
            <w:vAlign w:val="center"/>
          </w:tcPr>
          <w:p w14:paraId="0AF8D802">
            <w:pPr>
              <w:widowControl/>
              <w:jc w:val="center"/>
              <w:textAlignment w:val="center"/>
              <w:rPr>
                <w:szCs w:val="21"/>
              </w:rPr>
            </w:pPr>
            <w:r>
              <w:rPr>
                <w:kern w:val="0"/>
                <w:szCs w:val="21"/>
                <w:lang w:bidi="ar"/>
              </w:rPr>
              <w:t xml:space="preserve">0.0150 </w:t>
            </w:r>
          </w:p>
        </w:tc>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3581D95C">
            <w:pPr>
              <w:widowControl/>
              <w:jc w:val="center"/>
              <w:textAlignment w:val="center"/>
              <w:rPr>
                <w:szCs w:val="21"/>
              </w:rPr>
            </w:pPr>
            <w:r>
              <w:rPr>
                <w:kern w:val="0"/>
                <w:szCs w:val="21"/>
                <w:lang w:bidi="ar"/>
              </w:rPr>
              <w:t xml:space="preserve">0.0949 </w:t>
            </w:r>
          </w:p>
        </w:tc>
        <w:tc>
          <w:tcPr>
            <w:tcW w:w="456" w:type="pct"/>
            <w:vMerge w:val="restart"/>
            <w:tcBorders>
              <w:top w:val="single" w:color="000000" w:sz="4" w:space="0"/>
              <w:left w:val="single" w:color="000000" w:sz="4" w:space="0"/>
              <w:bottom w:val="single" w:color="000000" w:sz="4" w:space="0"/>
              <w:right w:val="single" w:color="000000" w:sz="4" w:space="0"/>
            </w:tcBorders>
            <w:noWrap/>
            <w:vAlign w:val="center"/>
          </w:tcPr>
          <w:p w14:paraId="00E5A8DA">
            <w:pPr>
              <w:widowControl/>
              <w:jc w:val="center"/>
              <w:textAlignment w:val="center"/>
              <w:rPr>
                <w:szCs w:val="21"/>
              </w:rPr>
            </w:pPr>
            <w:r>
              <w:rPr>
                <w:kern w:val="0"/>
                <w:szCs w:val="21"/>
                <w:lang w:bidi="ar"/>
              </w:rPr>
              <w:t xml:space="preserve">0.0055 </w:t>
            </w:r>
          </w:p>
        </w:tc>
      </w:tr>
      <w:tr w14:paraId="37DCB2C8">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42CDF3D6">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7F971B4F">
            <w:pPr>
              <w:widowControl/>
              <w:jc w:val="center"/>
              <w:textAlignment w:val="center"/>
              <w:rPr>
                <w:szCs w:val="21"/>
              </w:rPr>
            </w:pPr>
            <w:r>
              <w:rPr>
                <w:kern w:val="0"/>
                <w:szCs w:val="21"/>
                <w:lang w:bidi="ar"/>
              </w:rPr>
              <w:t>鑫旺板块2号舍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4E9C62AC">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AEA11FE">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2FC46C90">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1E94C849">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5BB7678E">
            <w:pPr>
              <w:jc w:val="center"/>
              <w:rPr>
                <w:szCs w:val="21"/>
              </w:rPr>
            </w:pPr>
          </w:p>
        </w:tc>
        <w:tc>
          <w:tcPr>
            <w:tcW w:w="627" w:type="pct"/>
            <w:vMerge w:val="continue"/>
            <w:tcBorders>
              <w:left w:val="single" w:color="000000" w:sz="4" w:space="0"/>
              <w:right w:val="single" w:color="000000" w:sz="4" w:space="0"/>
            </w:tcBorders>
            <w:noWrap/>
            <w:vAlign w:val="center"/>
          </w:tcPr>
          <w:p w14:paraId="1CC92363">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761A2A6B">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4CA2FF7C">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79DF5968">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5393AB8B">
            <w:pPr>
              <w:jc w:val="center"/>
              <w:rPr>
                <w:szCs w:val="21"/>
              </w:rPr>
            </w:pPr>
          </w:p>
        </w:tc>
      </w:tr>
      <w:tr w14:paraId="722817AF">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14E78373">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0E550B32">
            <w:pPr>
              <w:widowControl/>
              <w:jc w:val="center"/>
              <w:textAlignment w:val="center"/>
              <w:rPr>
                <w:szCs w:val="21"/>
              </w:rPr>
            </w:pPr>
            <w:r>
              <w:rPr>
                <w:kern w:val="0"/>
                <w:szCs w:val="21"/>
                <w:lang w:bidi="ar"/>
              </w:rPr>
              <w:t>鑫旺板块3号舍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13768B90">
            <w:pPr>
              <w:widowControl/>
              <w:jc w:val="center"/>
              <w:textAlignment w:val="center"/>
              <w:rPr>
                <w:kern w:val="0"/>
                <w:szCs w:val="21"/>
                <w:lang w:bidi="ar"/>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B52DE7A">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2CD838BE">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7A7D4F2C">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0D74D90A">
            <w:pPr>
              <w:jc w:val="center"/>
              <w:rPr>
                <w:szCs w:val="21"/>
              </w:rPr>
            </w:pPr>
          </w:p>
        </w:tc>
        <w:tc>
          <w:tcPr>
            <w:tcW w:w="627" w:type="pct"/>
            <w:vMerge w:val="continue"/>
            <w:tcBorders>
              <w:left w:val="single" w:color="000000" w:sz="4" w:space="0"/>
              <w:right w:val="single" w:color="000000" w:sz="4" w:space="0"/>
            </w:tcBorders>
            <w:noWrap/>
            <w:vAlign w:val="center"/>
          </w:tcPr>
          <w:p w14:paraId="4D1125D2">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0F5E7B42">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74C66341">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6153B9D8">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045E71DF">
            <w:pPr>
              <w:jc w:val="center"/>
              <w:rPr>
                <w:szCs w:val="21"/>
              </w:rPr>
            </w:pPr>
          </w:p>
        </w:tc>
      </w:tr>
      <w:tr w14:paraId="105333CA">
        <w:tblPrEx>
          <w:tblCellMar>
            <w:top w:w="0" w:type="dxa"/>
            <w:left w:w="108" w:type="dxa"/>
            <w:bottom w:w="0" w:type="dxa"/>
            <w:right w:w="108" w:type="dxa"/>
          </w:tblCellMar>
        </w:tblPrEx>
        <w:trPr>
          <w:trHeight w:val="285" w:hRule="atLeast"/>
        </w:trPr>
        <w:tc>
          <w:tcPr>
            <w:tcW w:w="226" w:type="pct"/>
            <w:vMerge w:val="restart"/>
            <w:tcBorders>
              <w:top w:val="single" w:color="000000" w:sz="4" w:space="0"/>
              <w:left w:val="single" w:color="000000" w:sz="4" w:space="0"/>
              <w:bottom w:val="single" w:color="000000" w:sz="4" w:space="0"/>
              <w:right w:val="single" w:color="000000" w:sz="4" w:space="0"/>
            </w:tcBorders>
            <w:noWrap/>
            <w:vAlign w:val="center"/>
          </w:tcPr>
          <w:p w14:paraId="6D369018">
            <w:pPr>
              <w:widowControl/>
              <w:jc w:val="center"/>
              <w:textAlignment w:val="center"/>
              <w:rPr>
                <w:szCs w:val="21"/>
              </w:rPr>
            </w:pPr>
            <w:r>
              <w:rPr>
                <w:kern w:val="0"/>
                <w:szCs w:val="21"/>
                <w:lang w:bidi="ar"/>
              </w:rPr>
              <w:t>5号地</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50535ECA">
            <w:pPr>
              <w:widowControl/>
              <w:jc w:val="center"/>
              <w:textAlignment w:val="center"/>
              <w:rPr>
                <w:szCs w:val="21"/>
              </w:rPr>
            </w:pPr>
            <w:r>
              <w:rPr>
                <w:kern w:val="0"/>
                <w:szCs w:val="21"/>
                <w:lang w:bidi="ar"/>
              </w:rPr>
              <w:t>大河边篮球场位置猪舍</w:t>
            </w:r>
          </w:p>
        </w:tc>
        <w:tc>
          <w:tcPr>
            <w:tcW w:w="329" w:type="pct"/>
            <w:vMerge w:val="restart"/>
            <w:tcBorders>
              <w:top w:val="single" w:color="000000" w:sz="4" w:space="0"/>
              <w:left w:val="single" w:color="000000" w:sz="4" w:space="0"/>
              <w:bottom w:val="single" w:color="000000" w:sz="4" w:space="0"/>
              <w:right w:val="single" w:color="000000" w:sz="4" w:space="0"/>
            </w:tcBorders>
            <w:noWrap/>
            <w:vAlign w:val="center"/>
          </w:tcPr>
          <w:p w14:paraId="2404AB53">
            <w:pPr>
              <w:widowControl/>
              <w:jc w:val="center"/>
              <w:textAlignment w:val="center"/>
              <w:rPr>
                <w:kern w:val="0"/>
                <w:szCs w:val="21"/>
                <w:lang w:bidi="ar"/>
              </w:rPr>
            </w:pPr>
            <w:r>
              <w:rPr>
                <w:kern w:val="0"/>
                <w:szCs w:val="21"/>
                <w:lang w:bidi="ar"/>
              </w:rPr>
              <w:t xml:space="preserve">400 </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6C5F4F45">
            <w:pPr>
              <w:widowControl/>
              <w:jc w:val="center"/>
              <w:textAlignment w:val="center"/>
              <w:rPr>
                <w:szCs w:val="21"/>
              </w:rPr>
            </w:pPr>
            <w:r>
              <w:rPr>
                <w:kern w:val="0"/>
                <w:szCs w:val="21"/>
                <w:lang w:bidi="ar"/>
              </w:rPr>
              <w:t>5.20</w:t>
            </w:r>
          </w:p>
        </w:tc>
        <w:tc>
          <w:tcPr>
            <w:tcW w:w="377" w:type="pct"/>
            <w:vMerge w:val="restart"/>
            <w:tcBorders>
              <w:top w:val="single" w:color="000000" w:sz="4" w:space="0"/>
              <w:left w:val="single" w:color="000000" w:sz="4" w:space="0"/>
              <w:bottom w:val="single" w:color="000000" w:sz="4" w:space="0"/>
              <w:right w:val="single" w:color="000000" w:sz="4" w:space="0"/>
            </w:tcBorders>
            <w:noWrap/>
            <w:vAlign w:val="center"/>
          </w:tcPr>
          <w:p w14:paraId="5A230A75">
            <w:pPr>
              <w:widowControl/>
              <w:jc w:val="center"/>
              <w:textAlignment w:val="center"/>
              <w:rPr>
                <w:szCs w:val="21"/>
              </w:rPr>
            </w:pPr>
            <w:r>
              <w:rPr>
                <w:kern w:val="0"/>
                <w:szCs w:val="21"/>
                <w:lang w:bidi="ar"/>
              </w:rPr>
              <w:t>0.30</w:t>
            </w:r>
          </w:p>
        </w:tc>
        <w:tc>
          <w:tcPr>
            <w:tcW w:w="328" w:type="pct"/>
            <w:vMerge w:val="restart"/>
            <w:tcBorders>
              <w:top w:val="single" w:color="000000" w:sz="4" w:space="0"/>
              <w:left w:val="single" w:color="000000" w:sz="4" w:space="0"/>
              <w:bottom w:val="single" w:color="000000" w:sz="4" w:space="0"/>
              <w:right w:val="single" w:color="000000" w:sz="4" w:space="0"/>
            </w:tcBorders>
            <w:noWrap/>
            <w:vAlign w:val="center"/>
          </w:tcPr>
          <w:p w14:paraId="4A91B47C">
            <w:pPr>
              <w:widowControl/>
              <w:jc w:val="center"/>
              <w:textAlignment w:val="center"/>
              <w:rPr>
                <w:szCs w:val="21"/>
              </w:rPr>
            </w:pPr>
            <w:r>
              <w:rPr>
                <w:kern w:val="0"/>
                <w:szCs w:val="21"/>
                <w:lang w:bidi="ar"/>
              </w:rPr>
              <w:t xml:space="preserve">2.08 </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700592A3">
            <w:pPr>
              <w:widowControl/>
              <w:jc w:val="center"/>
              <w:textAlignment w:val="center"/>
              <w:rPr>
                <w:szCs w:val="21"/>
              </w:rPr>
            </w:pPr>
            <w:r>
              <w:rPr>
                <w:kern w:val="0"/>
                <w:szCs w:val="21"/>
                <w:lang w:bidi="ar"/>
              </w:rPr>
              <w:t xml:space="preserve">0.12 </w:t>
            </w:r>
          </w:p>
        </w:tc>
        <w:tc>
          <w:tcPr>
            <w:tcW w:w="627" w:type="pct"/>
            <w:vMerge w:val="continue"/>
            <w:tcBorders>
              <w:left w:val="single" w:color="000000" w:sz="4" w:space="0"/>
              <w:right w:val="single" w:color="000000" w:sz="4" w:space="0"/>
            </w:tcBorders>
            <w:noWrap/>
            <w:vAlign w:val="center"/>
          </w:tcPr>
          <w:p w14:paraId="07C8508E">
            <w:pPr>
              <w:jc w:val="center"/>
              <w:rPr>
                <w:szCs w:val="21"/>
              </w:rPr>
            </w:pP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14:paraId="3DF9FD5F">
            <w:pPr>
              <w:widowControl/>
              <w:jc w:val="center"/>
              <w:textAlignment w:val="center"/>
              <w:rPr>
                <w:szCs w:val="21"/>
              </w:rPr>
            </w:pPr>
            <w:r>
              <w:rPr>
                <w:kern w:val="0"/>
                <w:szCs w:val="21"/>
                <w:lang w:bidi="ar"/>
              </w:rPr>
              <w:t xml:space="preserve">0.2080 </w:t>
            </w:r>
          </w:p>
        </w:tc>
        <w:tc>
          <w:tcPr>
            <w:tcW w:w="319" w:type="pct"/>
            <w:vMerge w:val="restart"/>
            <w:tcBorders>
              <w:top w:val="single" w:color="000000" w:sz="4" w:space="0"/>
              <w:left w:val="single" w:color="000000" w:sz="4" w:space="0"/>
              <w:bottom w:val="single" w:color="000000" w:sz="4" w:space="0"/>
              <w:right w:val="single" w:color="000000" w:sz="4" w:space="0"/>
            </w:tcBorders>
            <w:noWrap/>
            <w:vAlign w:val="center"/>
          </w:tcPr>
          <w:p w14:paraId="4D5E1200">
            <w:pPr>
              <w:widowControl/>
              <w:jc w:val="center"/>
              <w:textAlignment w:val="center"/>
              <w:rPr>
                <w:szCs w:val="21"/>
              </w:rPr>
            </w:pPr>
            <w:r>
              <w:rPr>
                <w:kern w:val="0"/>
                <w:szCs w:val="21"/>
                <w:lang w:bidi="ar"/>
              </w:rPr>
              <w:t xml:space="preserve">0.0120 </w:t>
            </w:r>
          </w:p>
        </w:tc>
        <w:tc>
          <w:tcPr>
            <w:tcW w:w="368" w:type="pct"/>
            <w:vMerge w:val="restart"/>
            <w:tcBorders>
              <w:top w:val="single" w:color="000000" w:sz="4" w:space="0"/>
              <w:left w:val="single" w:color="000000" w:sz="4" w:space="0"/>
              <w:bottom w:val="single" w:color="000000" w:sz="4" w:space="0"/>
              <w:right w:val="single" w:color="000000" w:sz="4" w:space="0"/>
            </w:tcBorders>
            <w:noWrap/>
            <w:vAlign w:val="center"/>
          </w:tcPr>
          <w:p w14:paraId="168BF210">
            <w:pPr>
              <w:widowControl/>
              <w:jc w:val="center"/>
              <w:textAlignment w:val="center"/>
              <w:rPr>
                <w:szCs w:val="21"/>
              </w:rPr>
            </w:pPr>
            <w:r>
              <w:rPr>
                <w:kern w:val="0"/>
                <w:szCs w:val="21"/>
                <w:lang w:bidi="ar"/>
              </w:rPr>
              <w:t xml:space="preserve">0.0759 </w:t>
            </w:r>
          </w:p>
        </w:tc>
        <w:tc>
          <w:tcPr>
            <w:tcW w:w="456" w:type="pct"/>
            <w:vMerge w:val="restart"/>
            <w:tcBorders>
              <w:top w:val="single" w:color="000000" w:sz="4" w:space="0"/>
              <w:left w:val="single" w:color="000000" w:sz="4" w:space="0"/>
              <w:bottom w:val="single" w:color="000000" w:sz="4" w:space="0"/>
              <w:right w:val="single" w:color="000000" w:sz="4" w:space="0"/>
            </w:tcBorders>
            <w:noWrap/>
            <w:vAlign w:val="center"/>
          </w:tcPr>
          <w:p w14:paraId="650F4815">
            <w:pPr>
              <w:widowControl/>
              <w:jc w:val="center"/>
              <w:textAlignment w:val="center"/>
              <w:rPr>
                <w:szCs w:val="21"/>
              </w:rPr>
            </w:pPr>
            <w:r>
              <w:rPr>
                <w:kern w:val="0"/>
                <w:szCs w:val="21"/>
                <w:lang w:bidi="ar"/>
              </w:rPr>
              <w:t xml:space="preserve">0.0044 </w:t>
            </w:r>
          </w:p>
        </w:tc>
      </w:tr>
      <w:tr w14:paraId="4DBE9676">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01CF203D">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4289BA7C">
            <w:pPr>
              <w:widowControl/>
              <w:jc w:val="center"/>
              <w:textAlignment w:val="center"/>
              <w:rPr>
                <w:szCs w:val="21"/>
              </w:rPr>
            </w:pPr>
            <w:r>
              <w:rPr>
                <w:kern w:val="0"/>
                <w:szCs w:val="21"/>
                <w:lang w:bidi="ar"/>
              </w:rPr>
              <w:t>大河边上煤仓位置1号舍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37B19746">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0F4DF97A">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047B48CE">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5897CDBD">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2B30DD1A">
            <w:pPr>
              <w:jc w:val="center"/>
              <w:rPr>
                <w:szCs w:val="21"/>
              </w:rPr>
            </w:pPr>
          </w:p>
        </w:tc>
        <w:tc>
          <w:tcPr>
            <w:tcW w:w="627" w:type="pct"/>
            <w:vMerge w:val="continue"/>
            <w:tcBorders>
              <w:left w:val="single" w:color="000000" w:sz="4" w:space="0"/>
              <w:right w:val="single" w:color="000000" w:sz="4" w:space="0"/>
            </w:tcBorders>
            <w:noWrap/>
            <w:vAlign w:val="center"/>
          </w:tcPr>
          <w:p w14:paraId="1A92DD7E">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1E40F083">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57991577">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4E322087">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064CD375">
            <w:pPr>
              <w:jc w:val="center"/>
              <w:rPr>
                <w:szCs w:val="21"/>
              </w:rPr>
            </w:pPr>
          </w:p>
        </w:tc>
      </w:tr>
      <w:tr w14:paraId="0F24B3B2">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61EF250B">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361C61E0">
            <w:pPr>
              <w:widowControl/>
              <w:jc w:val="center"/>
              <w:textAlignment w:val="center"/>
              <w:rPr>
                <w:szCs w:val="21"/>
              </w:rPr>
            </w:pPr>
            <w:r>
              <w:rPr>
                <w:kern w:val="0"/>
                <w:szCs w:val="21"/>
                <w:lang w:bidi="ar"/>
              </w:rPr>
              <w:t>大河边上煤仓位置2号舍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321773CD">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08A449B8">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3DB57225">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3CB85C54">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7958CD8B">
            <w:pPr>
              <w:jc w:val="center"/>
              <w:rPr>
                <w:szCs w:val="21"/>
              </w:rPr>
            </w:pPr>
          </w:p>
        </w:tc>
        <w:tc>
          <w:tcPr>
            <w:tcW w:w="627" w:type="pct"/>
            <w:vMerge w:val="continue"/>
            <w:tcBorders>
              <w:left w:val="single" w:color="000000" w:sz="4" w:space="0"/>
              <w:right w:val="single" w:color="000000" w:sz="4" w:space="0"/>
            </w:tcBorders>
            <w:noWrap/>
            <w:vAlign w:val="center"/>
          </w:tcPr>
          <w:p w14:paraId="3A4DEA26">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297F3328">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436877F4">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35D5B3C8">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2E1AAAFC">
            <w:pPr>
              <w:jc w:val="center"/>
              <w:rPr>
                <w:szCs w:val="21"/>
              </w:rPr>
            </w:pPr>
          </w:p>
        </w:tc>
      </w:tr>
      <w:tr w14:paraId="730572D9">
        <w:tblPrEx>
          <w:tblCellMar>
            <w:top w:w="0" w:type="dxa"/>
            <w:left w:w="108" w:type="dxa"/>
            <w:bottom w:w="0" w:type="dxa"/>
            <w:right w:w="108" w:type="dxa"/>
          </w:tblCellMar>
        </w:tblPrEx>
        <w:trPr>
          <w:trHeight w:val="285" w:hRule="atLeast"/>
        </w:trPr>
        <w:tc>
          <w:tcPr>
            <w:tcW w:w="226" w:type="pct"/>
            <w:vMerge w:val="continue"/>
            <w:tcBorders>
              <w:top w:val="single" w:color="000000" w:sz="4" w:space="0"/>
              <w:left w:val="single" w:color="000000" w:sz="4" w:space="0"/>
              <w:bottom w:val="single" w:color="000000" w:sz="4" w:space="0"/>
              <w:right w:val="single" w:color="000000" w:sz="4" w:space="0"/>
            </w:tcBorders>
            <w:noWrap/>
            <w:vAlign w:val="center"/>
          </w:tcPr>
          <w:p w14:paraId="177841BD">
            <w:pPr>
              <w:jc w:val="center"/>
              <w:rPr>
                <w:szCs w:val="21"/>
              </w:rPr>
            </w:pP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6F13157B">
            <w:pPr>
              <w:widowControl/>
              <w:jc w:val="center"/>
              <w:textAlignment w:val="center"/>
              <w:rPr>
                <w:szCs w:val="21"/>
              </w:rPr>
            </w:pPr>
            <w:r>
              <w:rPr>
                <w:kern w:val="0"/>
                <w:szCs w:val="21"/>
                <w:lang w:bidi="ar"/>
              </w:rPr>
              <w:t>大河边下煤仓位置猪舍</w:t>
            </w:r>
          </w:p>
        </w:tc>
        <w:tc>
          <w:tcPr>
            <w:tcW w:w="329" w:type="pct"/>
            <w:vMerge w:val="continue"/>
            <w:tcBorders>
              <w:top w:val="single" w:color="000000" w:sz="4" w:space="0"/>
              <w:left w:val="single" w:color="000000" w:sz="4" w:space="0"/>
              <w:bottom w:val="single" w:color="000000" w:sz="4" w:space="0"/>
              <w:right w:val="single" w:color="000000" w:sz="4" w:space="0"/>
            </w:tcBorders>
            <w:noWrap/>
            <w:vAlign w:val="center"/>
          </w:tcPr>
          <w:p w14:paraId="38B37CDB">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6CA7782C">
            <w:pPr>
              <w:jc w:val="center"/>
              <w:rPr>
                <w:szCs w:val="21"/>
              </w:rPr>
            </w:pPr>
          </w:p>
        </w:tc>
        <w:tc>
          <w:tcPr>
            <w:tcW w:w="377" w:type="pct"/>
            <w:vMerge w:val="continue"/>
            <w:tcBorders>
              <w:top w:val="single" w:color="000000" w:sz="4" w:space="0"/>
              <w:left w:val="single" w:color="000000" w:sz="4" w:space="0"/>
              <w:bottom w:val="single" w:color="000000" w:sz="4" w:space="0"/>
              <w:right w:val="single" w:color="000000" w:sz="4" w:space="0"/>
            </w:tcBorders>
            <w:noWrap/>
            <w:vAlign w:val="center"/>
          </w:tcPr>
          <w:p w14:paraId="18C1F06A">
            <w:pPr>
              <w:jc w:val="center"/>
              <w:rPr>
                <w:szCs w:val="21"/>
              </w:rPr>
            </w:pPr>
          </w:p>
        </w:tc>
        <w:tc>
          <w:tcPr>
            <w:tcW w:w="328" w:type="pct"/>
            <w:vMerge w:val="continue"/>
            <w:tcBorders>
              <w:top w:val="single" w:color="000000" w:sz="4" w:space="0"/>
              <w:left w:val="single" w:color="000000" w:sz="4" w:space="0"/>
              <w:bottom w:val="single" w:color="000000" w:sz="4" w:space="0"/>
              <w:right w:val="single" w:color="000000" w:sz="4" w:space="0"/>
            </w:tcBorders>
            <w:noWrap/>
            <w:vAlign w:val="center"/>
          </w:tcPr>
          <w:p w14:paraId="72D87943">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511B7D36">
            <w:pPr>
              <w:jc w:val="center"/>
              <w:rPr>
                <w:szCs w:val="21"/>
              </w:rPr>
            </w:pPr>
          </w:p>
        </w:tc>
        <w:tc>
          <w:tcPr>
            <w:tcW w:w="627" w:type="pct"/>
            <w:vMerge w:val="continue"/>
            <w:tcBorders>
              <w:left w:val="single" w:color="000000" w:sz="4" w:space="0"/>
              <w:right w:val="single" w:color="000000" w:sz="4" w:space="0"/>
            </w:tcBorders>
            <w:noWrap/>
            <w:vAlign w:val="center"/>
          </w:tcPr>
          <w:p w14:paraId="2A963A91">
            <w:pPr>
              <w:jc w:val="center"/>
              <w:rPr>
                <w:szCs w:val="21"/>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14:paraId="7AA09ECD">
            <w:pPr>
              <w:jc w:val="center"/>
              <w:rPr>
                <w:szCs w:val="21"/>
              </w:rPr>
            </w:pPr>
          </w:p>
        </w:tc>
        <w:tc>
          <w:tcPr>
            <w:tcW w:w="319" w:type="pct"/>
            <w:vMerge w:val="continue"/>
            <w:tcBorders>
              <w:top w:val="single" w:color="000000" w:sz="4" w:space="0"/>
              <w:left w:val="single" w:color="000000" w:sz="4" w:space="0"/>
              <w:bottom w:val="single" w:color="000000" w:sz="4" w:space="0"/>
              <w:right w:val="single" w:color="000000" w:sz="4" w:space="0"/>
            </w:tcBorders>
            <w:noWrap/>
            <w:vAlign w:val="center"/>
          </w:tcPr>
          <w:p w14:paraId="52C6447B">
            <w:pPr>
              <w:jc w:val="center"/>
              <w:rPr>
                <w:szCs w:val="21"/>
              </w:rPr>
            </w:pPr>
          </w:p>
        </w:tc>
        <w:tc>
          <w:tcPr>
            <w:tcW w:w="368" w:type="pct"/>
            <w:vMerge w:val="continue"/>
            <w:tcBorders>
              <w:top w:val="single" w:color="000000" w:sz="4" w:space="0"/>
              <w:left w:val="single" w:color="000000" w:sz="4" w:space="0"/>
              <w:bottom w:val="single" w:color="000000" w:sz="4" w:space="0"/>
              <w:right w:val="single" w:color="000000" w:sz="4" w:space="0"/>
            </w:tcBorders>
            <w:noWrap/>
            <w:vAlign w:val="center"/>
          </w:tcPr>
          <w:p w14:paraId="704AE7E2">
            <w:pPr>
              <w:jc w:val="center"/>
              <w:rPr>
                <w:szCs w:val="21"/>
              </w:rPr>
            </w:pPr>
          </w:p>
        </w:tc>
        <w:tc>
          <w:tcPr>
            <w:tcW w:w="456" w:type="pct"/>
            <w:vMerge w:val="continue"/>
            <w:tcBorders>
              <w:top w:val="single" w:color="000000" w:sz="4" w:space="0"/>
              <w:left w:val="single" w:color="000000" w:sz="4" w:space="0"/>
              <w:bottom w:val="single" w:color="000000" w:sz="4" w:space="0"/>
              <w:right w:val="single" w:color="000000" w:sz="4" w:space="0"/>
            </w:tcBorders>
            <w:noWrap/>
            <w:vAlign w:val="center"/>
          </w:tcPr>
          <w:p w14:paraId="7D2A0192">
            <w:pPr>
              <w:jc w:val="center"/>
              <w:rPr>
                <w:szCs w:val="21"/>
              </w:rPr>
            </w:pPr>
          </w:p>
        </w:tc>
      </w:tr>
      <w:tr w14:paraId="01D39EA1">
        <w:tblPrEx>
          <w:tblCellMar>
            <w:top w:w="0" w:type="dxa"/>
            <w:left w:w="108" w:type="dxa"/>
            <w:bottom w:w="0" w:type="dxa"/>
            <w:right w:w="108" w:type="dxa"/>
          </w:tblCellMar>
        </w:tblPrEx>
        <w:trPr>
          <w:trHeight w:val="285" w:hRule="atLeast"/>
        </w:trPr>
        <w:tc>
          <w:tcPr>
            <w:tcW w:w="1114" w:type="pct"/>
            <w:gridSpan w:val="2"/>
            <w:tcBorders>
              <w:top w:val="single" w:color="000000" w:sz="4" w:space="0"/>
              <w:left w:val="single" w:color="000000" w:sz="4" w:space="0"/>
              <w:bottom w:val="single" w:color="000000" w:sz="4" w:space="0"/>
              <w:right w:val="single" w:color="000000" w:sz="4" w:space="0"/>
            </w:tcBorders>
            <w:noWrap/>
            <w:vAlign w:val="center"/>
          </w:tcPr>
          <w:p w14:paraId="03FD44AE">
            <w:pPr>
              <w:widowControl/>
              <w:jc w:val="center"/>
              <w:textAlignment w:val="center"/>
              <w:rPr>
                <w:kern w:val="0"/>
                <w:szCs w:val="21"/>
                <w:lang w:bidi="ar"/>
              </w:rPr>
            </w:pPr>
            <w:r>
              <w:rPr>
                <w:kern w:val="0"/>
                <w:szCs w:val="21"/>
                <w:lang w:bidi="ar"/>
              </w:rPr>
              <w:t>合计</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6AB429FD">
            <w:pPr>
              <w:widowControl/>
              <w:jc w:val="center"/>
              <w:textAlignment w:val="center"/>
              <w:rPr>
                <w:szCs w:val="21"/>
              </w:rPr>
            </w:pPr>
            <w:r>
              <w:rPr>
                <w:kern w:val="0"/>
                <w:szCs w:val="21"/>
                <w:lang w:bidi="ar"/>
              </w:rPr>
              <w:t>1900</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0F39F069">
            <w:pPr>
              <w:widowControl/>
              <w:jc w:val="center"/>
              <w:textAlignment w:val="center"/>
              <w:rPr>
                <w:szCs w:val="21"/>
              </w:rPr>
            </w:pPr>
            <w:r>
              <w:rPr>
                <w:kern w:val="0"/>
                <w:szCs w:val="21"/>
                <w:lang w:bidi="ar"/>
              </w:rPr>
              <w:t>26</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461B1324">
            <w:pPr>
              <w:widowControl/>
              <w:jc w:val="center"/>
              <w:textAlignment w:val="center"/>
              <w:rPr>
                <w:szCs w:val="21"/>
              </w:rPr>
            </w:pPr>
            <w:r>
              <w:rPr>
                <w:kern w:val="0"/>
                <w:szCs w:val="21"/>
                <w:lang w:bidi="ar"/>
              </w:rPr>
              <w:t>1.5</w:t>
            </w:r>
          </w:p>
        </w:tc>
        <w:tc>
          <w:tcPr>
            <w:tcW w:w="328" w:type="pct"/>
            <w:tcBorders>
              <w:top w:val="single" w:color="000000" w:sz="4" w:space="0"/>
              <w:left w:val="single" w:color="000000" w:sz="4" w:space="0"/>
              <w:bottom w:val="single" w:color="000000" w:sz="4" w:space="0"/>
              <w:right w:val="single" w:color="000000" w:sz="4" w:space="0"/>
            </w:tcBorders>
            <w:noWrap/>
            <w:vAlign w:val="center"/>
          </w:tcPr>
          <w:p w14:paraId="7D2292B6">
            <w:pPr>
              <w:widowControl/>
              <w:jc w:val="right"/>
              <w:textAlignment w:val="center"/>
              <w:rPr>
                <w:szCs w:val="21"/>
              </w:rPr>
            </w:pPr>
            <w:r>
              <w:rPr>
                <w:kern w:val="0"/>
                <w:szCs w:val="21"/>
                <w:lang w:bidi="ar"/>
              </w:rPr>
              <w:t>9.88</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0EC89A9">
            <w:pPr>
              <w:widowControl/>
              <w:jc w:val="right"/>
              <w:textAlignment w:val="center"/>
              <w:rPr>
                <w:szCs w:val="21"/>
              </w:rPr>
            </w:pPr>
            <w:r>
              <w:rPr>
                <w:kern w:val="0"/>
                <w:szCs w:val="21"/>
                <w:lang w:bidi="ar"/>
              </w:rPr>
              <w:t>0.57</w:t>
            </w:r>
          </w:p>
        </w:tc>
        <w:tc>
          <w:tcPr>
            <w:tcW w:w="627" w:type="pct"/>
            <w:vMerge w:val="continue"/>
            <w:tcBorders>
              <w:left w:val="single" w:color="000000" w:sz="4" w:space="0"/>
              <w:bottom w:val="single" w:color="000000" w:sz="4" w:space="0"/>
              <w:right w:val="single" w:color="000000" w:sz="4" w:space="0"/>
            </w:tcBorders>
            <w:noWrap/>
            <w:vAlign w:val="center"/>
          </w:tcPr>
          <w:p w14:paraId="014DAB5C">
            <w:pPr>
              <w:jc w:val="center"/>
              <w:rPr>
                <w:szCs w:val="21"/>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4F33B79">
            <w:pPr>
              <w:widowControl/>
              <w:jc w:val="right"/>
              <w:textAlignment w:val="center"/>
              <w:rPr>
                <w:szCs w:val="21"/>
              </w:rPr>
            </w:pPr>
            <w:r>
              <w:rPr>
                <w:kern w:val="0"/>
                <w:szCs w:val="21"/>
                <w:lang w:bidi="ar"/>
              </w:rPr>
              <w:t xml:space="preserve">0.9880 </w:t>
            </w:r>
          </w:p>
        </w:tc>
        <w:tc>
          <w:tcPr>
            <w:tcW w:w="319" w:type="pct"/>
            <w:tcBorders>
              <w:top w:val="single" w:color="000000" w:sz="4" w:space="0"/>
              <w:left w:val="single" w:color="000000" w:sz="4" w:space="0"/>
              <w:bottom w:val="single" w:color="000000" w:sz="4" w:space="0"/>
              <w:right w:val="single" w:color="000000" w:sz="4" w:space="0"/>
            </w:tcBorders>
            <w:noWrap/>
            <w:vAlign w:val="center"/>
          </w:tcPr>
          <w:p w14:paraId="08301941">
            <w:pPr>
              <w:widowControl/>
              <w:jc w:val="right"/>
              <w:textAlignment w:val="center"/>
              <w:rPr>
                <w:szCs w:val="21"/>
              </w:rPr>
            </w:pPr>
            <w:r>
              <w:rPr>
                <w:kern w:val="0"/>
                <w:szCs w:val="21"/>
                <w:lang w:bidi="ar"/>
              </w:rPr>
              <w:t xml:space="preserve">0.0570 </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45DDB455">
            <w:pPr>
              <w:widowControl/>
              <w:jc w:val="right"/>
              <w:textAlignment w:val="center"/>
              <w:rPr>
                <w:szCs w:val="21"/>
              </w:rPr>
            </w:pPr>
            <w:r>
              <w:rPr>
                <w:kern w:val="0"/>
                <w:szCs w:val="21"/>
                <w:lang w:bidi="ar"/>
              </w:rPr>
              <w:t xml:space="preserve">0.3606 </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F4B315F">
            <w:pPr>
              <w:widowControl/>
              <w:jc w:val="right"/>
              <w:textAlignment w:val="center"/>
              <w:rPr>
                <w:szCs w:val="21"/>
              </w:rPr>
            </w:pPr>
            <w:r>
              <w:rPr>
                <w:kern w:val="0"/>
                <w:szCs w:val="21"/>
                <w:lang w:bidi="ar"/>
              </w:rPr>
              <w:t xml:space="preserve">0.0208 </w:t>
            </w:r>
          </w:p>
        </w:tc>
      </w:tr>
    </w:tbl>
    <w:p w14:paraId="5B01B8A1">
      <w:pPr>
        <w:pStyle w:val="35"/>
        <w:rPr>
          <w:b/>
          <w:sz w:val="24"/>
        </w:rPr>
        <w:sectPr>
          <w:pgSz w:w="16838" w:h="11906" w:orient="landscape"/>
          <w:pgMar w:top="1797" w:right="1440" w:bottom="1797" w:left="1361" w:header="851" w:footer="992" w:gutter="0"/>
          <w:cols w:space="720" w:num="1"/>
          <w:docGrid w:linePitch="312" w:charSpace="0"/>
        </w:sectPr>
      </w:pPr>
    </w:p>
    <w:p w14:paraId="78BDFBA4">
      <w:pPr>
        <w:spacing w:line="360" w:lineRule="auto"/>
        <w:ind w:firstLine="480" w:firstLineChars="200"/>
        <w:rPr>
          <w:kern w:val="0"/>
          <w:sz w:val="24"/>
          <w:lang w:bidi="en-US"/>
        </w:rPr>
      </w:pPr>
      <w:r>
        <w:rPr>
          <w:kern w:val="0"/>
          <w:sz w:val="24"/>
          <w:lang w:bidi="en-US"/>
        </w:rPr>
        <w:t>（4）无害化处理废气</w:t>
      </w:r>
    </w:p>
    <w:p w14:paraId="407A4AD1">
      <w:pPr>
        <w:spacing w:line="480" w:lineRule="exact"/>
        <w:ind w:firstLine="464" w:firstLineChars="200"/>
        <w:rPr>
          <w:sz w:val="24"/>
        </w:rPr>
      </w:pPr>
      <w:r>
        <w:rPr>
          <w:spacing w:val="-4"/>
          <w:sz w:val="24"/>
        </w:rPr>
        <w:t>项目产生的病死猪采用广东益康生设备有限公司无害化处理装置进行无害化处理。在动物尸体在无害化降解处理过程中产生一定量的恶臭气体，臭气成分主要由硫化氢、氨气、胺类等气体组成，较为复杂。恶臭气体采用催化氧化+除臭液+高空排放除</w:t>
      </w:r>
      <w:r>
        <w:rPr>
          <w:sz w:val="24"/>
        </w:rPr>
        <w:t>臭设备处理后采用15m高排气筒外排。</w:t>
      </w:r>
    </w:p>
    <w:p w14:paraId="51999F0A">
      <w:pPr>
        <w:spacing w:line="480" w:lineRule="exact"/>
        <w:ind w:firstLine="464" w:firstLineChars="200"/>
        <w:rPr>
          <w:spacing w:val="-4"/>
          <w:sz w:val="24"/>
        </w:rPr>
      </w:pPr>
      <w:r>
        <w:rPr>
          <w:spacing w:val="-4"/>
          <w:sz w:val="24"/>
        </w:rPr>
        <w:t>类比中国广州分析测试中心对本项目使用的广东益康生设备有限公司无害化处理装置恶臭气体的监测结果（类比监测报告见附件6），项目病死猪无害化处理装置恶臭气体排污情况见表3.4-6。</w:t>
      </w:r>
    </w:p>
    <w:p w14:paraId="0AC5AD5D">
      <w:pPr>
        <w:spacing w:line="480" w:lineRule="exact"/>
        <w:jc w:val="center"/>
        <w:rPr>
          <w:b/>
          <w:spacing w:val="-4"/>
          <w:szCs w:val="21"/>
        </w:rPr>
      </w:pPr>
      <w:r>
        <w:rPr>
          <w:b/>
          <w:spacing w:val="-4"/>
          <w:szCs w:val="21"/>
        </w:rPr>
        <w:t>表3.4-6  病死猪无害化处理恶臭气体排污情况</w:t>
      </w:r>
    </w:p>
    <w:tbl>
      <w:tblPr>
        <w:tblStyle w:val="8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5"/>
        <w:gridCol w:w="672"/>
        <w:gridCol w:w="870"/>
        <w:gridCol w:w="1033"/>
        <w:gridCol w:w="367"/>
        <w:gridCol w:w="1033"/>
        <w:gridCol w:w="662"/>
        <w:gridCol w:w="849"/>
        <w:gridCol w:w="627"/>
        <w:gridCol w:w="849"/>
        <w:gridCol w:w="385"/>
        <w:gridCol w:w="685"/>
      </w:tblGrid>
      <w:tr w14:paraId="0EE43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248" w:type="pct"/>
            <w:shd w:val="clear" w:color="auto" w:fill="D7D7D7"/>
            <w:noWrap w:val="0"/>
            <w:tcMar>
              <w:top w:w="15" w:type="dxa"/>
              <w:left w:w="15" w:type="dxa"/>
              <w:right w:w="15" w:type="dxa"/>
            </w:tcMar>
            <w:vAlign w:val="center"/>
          </w:tcPr>
          <w:p w14:paraId="0DA01A34">
            <w:pPr>
              <w:widowControl/>
              <w:jc w:val="center"/>
              <w:textAlignment w:val="center"/>
              <w:rPr>
                <w:b/>
                <w:bCs/>
                <w:szCs w:val="21"/>
              </w:rPr>
            </w:pPr>
            <w:r>
              <w:rPr>
                <w:b/>
                <w:bCs/>
                <w:kern w:val="0"/>
                <w:szCs w:val="21"/>
                <w:lang w:bidi="ar"/>
              </w:rPr>
              <w:t>污染源</w:t>
            </w:r>
          </w:p>
        </w:tc>
        <w:tc>
          <w:tcPr>
            <w:tcW w:w="468" w:type="pct"/>
            <w:shd w:val="clear" w:color="auto" w:fill="D7D7D7"/>
            <w:noWrap w:val="0"/>
            <w:tcMar>
              <w:top w:w="15" w:type="dxa"/>
              <w:left w:w="15" w:type="dxa"/>
              <w:right w:w="15" w:type="dxa"/>
            </w:tcMar>
            <w:vAlign w:val="center"/>
          </w:tcPr>
          <w:p w14:paraId="77A67163">
            <w:pPr>
              <w:widowControl/>
              <w:jc w:val="center"/>
              <w:textAlignment w:val="center"/>
              <w:rPr>
                <w:b/>
                <w:bCs/>
                <w:szCs w:val="21"/>
              </w:rPr>
            </w:pPr>
            <w:r>
              <w:rPr>
                <w:b/>
                <w:bCs/>
                <w:kern w:val="0"/>
                <w:szCs w:val="21"/>
                <w:lang w:bidi="ar"/>
              </w:rPr>
              <w:t>污染物</w:t>
            </w:r>
          </w:p>
        </w:tc>
        <w:tc>
          <w:tcPr>
            <w:tcW w:w="310" w:type="pct"/>
            <w:shd w:val="clear" w:color="auto" w:fill="D7D7D7"/>
            <w:noWrap w:val="0"/>
            <w:tcMar>
              <w:top w:w="15" w:type="dxa"/>
              <w:left w:w="15" w:type="dxa"/>
              <w:right w:w="15" w:type="dxa"/>
            </w:tcMar>
            <w:vAlign w:val="center"/>
          </w:tcPr>
          <w:p w14:paraId="525D90B2">
            <w:pPr>
              <w:widowControl/>
              <w:jc w:val="center"/>
              <w:textAlignment w:val="center"/>
              <w:rPr>
                <w:b/>
                <w:bCs/>
                <w:szCs w:val="21"/>
              </w:rPr>
            </w:pPr>
            <w:r>
              <w:rPr>
                <w:b/>
                <w:bCs/>
                <w:kern w:val="0"/>
                <w:szCs w:val="21"/>
                <w:lang w:bidi="ar"/>
              </w:rPr>
              <w:t>废气量（m</w:t>
            </w:r>
            <w:r>
              <w:rPr>
                <w:b/>
                <w:bCs/>
                <w:kern w:val="0"/>
                <w:szCs w:val="21"/>
                <w:vertAlign w:val="superscript"/>
                <w:lang w:bidi="ar"/>
              </w:rPr>
              <w:t>3</w:t>
            </w:r>
            <w:r>
              <w:rPr>
                <w:b/>
                <w:bCs/>
                <w:kern w:val="0"/>
                <w:szCs w:val="21"/>
                <w:lang w:bidi="ar"/>
              </w:rPr>
              <w:t>/h）</w:t>
            </w:r>
          </w:p>
        </w:tc>
        <w:tc>
          <w:tcPr>
            <w:tcW w:w="610" w:type="pct"/>
            <w:shd w:val="clear" w:color="auto" w:fill="D7D7D7"/>
            <w:noWrap w:val="0"/>
            <w:tcMar>
              <w:top w:w="15" w:type="dxa"/>
              <w:left w:w="15" w:type="dxa"/>
              <w:right w:w="15" w:type="dxa"/>
            </w:tcMar>
            <w:vAlign w:val="center"/>
          </w:tcPr>
          <w:p w14:paraId="01015618">
            <w:pPr>
              <w:widowControl/>
              <w:jc w:val="center"/>
              <w:textAlignment w:val="center"/>
              <w:rPr>
                <w:b/>
                <w:bCs/>
                <w:szCs w:val="21"/>
              </w:rPr>
            </w:pPr>
            <w:r>
              <w:rPr>
                <w:b/>
                <w:bCs/>
                <w:szCs w:val="21"/>
              </w:rPr>
              <w:t>进口</w:t>
            </w:r>
            <w:r>
              <w:rPr>
                <w:b/>
                <w:bCs/>
                <w:kern w:val="0"/>
                <w:szCs w:val="21"/>
                <w:lang w:bidi="ar"/>
              </w:rPr>
              <w:t>污染物浓度（mg/m</w:t>
            </w:r>
            <w:r>
              <w:rPr>
                <w:b/>
                <w:bCs/>
                <w:kern w:val="0"/>
                <w:szCs w:val="21"/>
                <w:vertAlign w:val="superscript"/>
                <w:lang w:bidi="ar"/>
              </w:rPr>
              <w:t>3</w:t>
            </w:r>
            <w:r>
              <w:rPr>
                <w:b/>
                <w:bCs/>
                <w:kern w:val="0"/>
                <w:szCs w:val="21"/>
                <w:lang w:bidi="ar"/>
              </w:rPr>
              <w:t>）</w:t>
            </w:r>
          </w:p>
        </w:tc>
        <w:tc>
          <w:tcPr>
            <w:tcW w:w="285" w:type="pct"/>
            <w:shd w:val="clear" w:color="auto" w:fill="D7D7D7"/>
            <w:noWrap w:val="0"/>
            <w:tcMar>
              <w:top w:w="15" w:type="dxa"/>
              <w:left w:w="15" w:type="dxa"/>
              <w:right w:w="15" w:type="dxa"/>
            </w:tcMar>
            <w:vAlign w:val="center"/>
          </w:tcPr>
          <w:p w14:paraId="1A2DF853">
            <w:pPr>
              <w:widowControl/>
              <w:jc w:val="center"/>
              <w:textAlignment w:val="center"/>
              <w:rPr>
                <w:b/>
                <w:bCs/>
                <w:kern w:val="0"/>
                <w:szCs w:val="21"/>
                <w:lang w:bidi="ar"/>
              </w:rPr>
            </w:pPr>
            <w:r>
              <w:rPr>
                <w:b/>
                <w:bCs/>
                <w:kern w:val="0"/>
                <w:szCs w:val="21"/>
                <w:lang w:bidi="ar"/>
              </w:rPr>
              <w:t>措施</w:t>
            </w:r>
          </w:p>
        </w:tc>
        <w:tc>
          <w:tcPr>
            <w:tcW w:w="610" w:type="pct"/>
            <w:shd w:val="clear" w:color="auto" w:fill="D7D7D7"/>
            <w:noWrap w:val="0"/>
            <w:tcMar>
              <w:top w:w="15" w:type="dxa"/>
              <w:left w:w="15" w:type="dxa"/>
              <w:right w:w="15" w:type="dxa"/>
            </w:tcMar>
            <w:vAlign w:val="center"/>
          </w:tcPr>
          <w:p w14:paraId="6D57646A">
            <w:pPr>
              <w:widowControl/>
              <w:jc w:val="center"/>
              <w:textAlignment w:val="center"/>
              <w:rPr>
                <w:b/>
                <w:bCs/>
                <w:szCs w:val="21"/>
              </w:rPr>
            </w:pPr>
            <w:r>
              <w:rPr>
                <w:b/>
                <w:bCs/>
                <w:szCs w:val="21"/>
              </w:rPr>
              <w:t>出口</w:t>
            </w:r>
            <w:r>
              <w:rPr>
                <w:b/>
                <w:bCs/>
                <w:kern w:val="0"/>
                <w:szCs w:val="21"/>
                <w:lang w:bidi="ar"/>
              </w:rPr>
              <w:t>污染物浓度（mg/m</w:t>
            </w:r>
            <w:r>
              <w:rPr>
                <w:b/>
                <w:bCs/>
                <w:kern w:val="0"/>
                <w:szCs w:val="21"/>
                <w:vertAlign w:val="superscript"/>
                <w:lang w:bidi="ar"/>
              </w:rPr>
              <w:t>3</w:t>
            </w:r>
            <w:r>
              <w:rPr>
                <w:b/>
                <w:bCs/>
                <w:kern w:val="0"/>
                <w:szCs w:val="21"/>
                <w:lang w:bidi="ar"/>
              </w:rPr>
              <w:t>）</w:t>
            </w:r>
          </w:p>
        </w:tc>
        <w:tc>
          <w:tcPr>
            <w:tcW w:w="390" w:type="pct"/>
            <w:shd w:val="clear" w:color="auto" w:fill="D7D7D7"/>
            <w:noWrap w:val="0"/>
            <w:tcMar>
              <w:top w:w="15" w:type="dxa"/>
              <w:left w:w="15" w:type="dxa"/>
              <w:right w:w="15" w:type="dxa"/>
            </w:tcMar>
            <w:vAlign w:val="center"/>
          </w:tcPr>
          <w:p w14:paraId="737571BF">
            <w:pPr>
              <w:widowControl/>
              <w:jc w:val="center"/>
              <w:textAlignment w:val="center"/>
              <w:rPr>
                <w:b/>
                <w:bCs/>
                <w:szCs w:val="21"/>
              </w:rPr>
            </w:pPr>
            <w:r>
              <w:rPr>
                <w:b/>
                <w:bCs/>
                <w:szCs w:val="21"/>
              </w:rPr>
              <w:t>处理效率（%）</w:t>
            </w:r>
          </w:p>
        </w:tc>
        <w:tc>
          <w:tcPr>
            <w:tcW w:w="501" w:type="pct"/>
            <w:shd w:val="clear" w:color="auto" w:fill="D7D7D7"/>
            <w:noWrap w:val="0"/>
            <w:tcMar>
              <w:top w:w="15" w:type="dxa"/>
              <w:left w:w="15" w:type="dxa"/>
              <w:right w:w="15" w:type="dxa"/>
            </w:tcMar>
            <w:vAlign w:val="center"/>
          </w:tcPr>
          <w:p w14:paraId="2EE3C4CE">
            <w:pPr>
              <w:widowControl/>
              <w:jc w:val="center"/>
              <w:textAlignment w:val="center"/>
              <w:rPr>
                <w:b/>
                <w:bCs/>
                <w:szCs w:val="21"/>
              </w:rPr>
            </w:pPr>
            <w:r>
              <w:rPr>
                <w:b/>
                <w:bCs/>
                <w:szCs w:val="21"/>
              </w:rPr>
              <w:t>排放速率（kg/h）</w:t>
            </w:r>
          </w:p>
        </w:tc>
        <w:tc>
          <w:tcPr>
            <w:tcW w:w="370" w:type="pct"/>
            <w:shd w:val="clear" w:color="auto" w:fill="D7D7D7"/>
            <w:noWrap w:val="0"/>
            <w:tcMar>
              <w:top w:w="15" w:type="dxa"/>
              <w:left w:w="15" w:type="dxa"/>
              <w:right w:w="15" w:type="dxa"/>
            </w:tcMar>
            <w:vAlign w:val="center"/>
          </w:tcPr>
          <w:p w14:paraId="77563509">
            <w:pPr>
              <w:widowControl/>
              <w:jc w:val="center"/>
              <w:textAlignment w:val="center"/>
              <w:rPr>
                <w:b/>
                <w:bCs/>
                <w:szCs w:val="21"/>
              </w:rPr>
            </w:pPr>
            <w:r>
              <w:rPr>
                <w:b/>
                <w:bCs/>
                <w:kern w:val="0"/>
                <w:szCs w:val="21"/>
                <w:lang w:bidi="ar"/>
              </w:rPr>
              <w:t>排气筒高度（m）</w:t>
            </w:r>
          </w:p>
        </w:tc>
        <w:tc>
          <w:tcPr>
            <w:tcW w:w="501" w:type="pct"/>
            <w:shd w:val="clear" w:color="auto" w:fill="D7D7D7"/>
            <w:noWrap w:val="0"/>
            <w:tcMar>
              <w:top w:w="15" w:type="dxa"/>
              <w:left w:w="15" w:type="dxa"/>
              <w:right w:w="15" w:type="dxa"/>
            </w:tcMar>
            <w:vAlign w:val="center"/>
          </w:tcPr>
          <w:p w14:paraId="66C3387D">
            <w:pPr>
              <w:widowControl/>
              <w:jc w:val="center"/>
              <w:textAlignment w:val="center"/>
              <w:rPr>
                <w:b/>
                <w:bCs/>
                <w:szCs w:val="21"/>
              </w:rPr>
            </w:pPr>
            <w:r>
              <w:rPr>
                <w:b/>
                <w:bCs/>
                <w:szCs w:val="21"/>
              </w:rPr>
              <w:t>排放标准值（kg/h）</w:t>
            </w:r>
          </w:p>
        </w:tc>
        <w:tc>
          <w:tcPr>
            <w:tcW w:w="296" w:type="pct"/>
            <w:shd w:val="clear" w:color="auto" w:fill="D7D7D7"/>
            <w:noWrap w:val="0"/>
            <w:tcMar>
              <w:top w:w="15" w:type="dxa"/>
              <w:left w:w="15" w:type="dxa"/>
              <w:right w:w="15" w:type="dxa"/>
            </w:tcMar>
            <w:vAlign w:val="center"/>
          </w:tcPr>
          <w:p w14:paraId="65EE59E0">
            <w:pPr>
              <w:widowControl/>
              <w:jc w:val="center"/>
              <w:textAlignment w:val="center"/>
              <w:rPr>
                <w:b/>
                <w:bCs/>
                <w:szCs w:val="21"/>
              </w:rPr>
            </w:pPr>
            <w:r>
              <w:rPr>
                <w:b/>
                <w:bCs/>
                <w:szCs w:val="21"/>
              </w:rPr>
              <w:t>达标情况</w:t>
            </w:r>
          </w:p>
        </w:tc>
        <w:tc>
          <w:tcPr>
            <w:tcW w:w="405" w:type="pct"/>
            <w:shd w:val="clear" w:color="auto" w:fill="D7D7D7"/>
            <w:noWrap w:val="0"/>
            <w:tcMar>
              <w:top w:w="15" w:type="dxa"/>
              <w:left w:w="15" w:type="dxa"/>
              <w:right w:w="15" w:type="dxa"/>
            </w:tcMar>
            <w:vAlign w:val="center"/>
          </w:tcPr>
          <w:p w14:paraId="7D625CC8">
            <w:pPr>
              <w:widowControl/>
              <w:jc w:val="center"/>
              <w:textAlignment w:val="center"/>
              <w:rPr>
                <w:b/>
                <w:bCs/>
                <w:kern w:val="0"/>
                <w:szCs w:val="21"/>
                <w:lang w:bidi="ar"/>
              </w:rPr>
            </w:pPr>
            <w:r>
              <w:rPr>
                <w:b/>
                <w:bCs/>
                <w:kern w:val="0"/>
                <w:szCs w:val="21"/>
                <w:lang w:bidi="ar"/>
              </w:rPr>
              <w:t>年排放量（t/a）</w:t>
            </w:r>
          </w:p>
        </w:tc>
      </w:tr>
      <w:tr w14:paraId="23D21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248" w:type="pct"/>
            <w:vMerge w:val="restart"/>
            <w:noWrap w:val="0"/>
            <w:tcMar>
              <w:top w:w="15" w:type="dxa"/>
              <w:left w:w="15" w:type="dxa"/>
              <w:right w:w="15" w:type="dxa"/>
            </w:tcMar>
            <w:vAlign w:val="center"/>
          </w:tcPr>
          <w:p w14:paraId="46AB5060">
            <w:pPr>
              <w:widowControl/>
              <w:jc w:val="center"/>
              <w:textAlignment w:val="center"/>
              <w:rPr>
                <w:szCs w:val="21"/>
              </w:rPr>
            </w:pPr>
            <w:r>
              <w:rPr>
                <w:kern w:val="0"/>
                <w:szCs w:val="21"/>
                <w:lang w:bidi="ar"/>
              </w:rPr>
              <w:t>病死猪无害化处理</w:t>
            </w:r>
          </w:p>
        </w:tc>
        <w:tc>
          <w:tcPr>
            <w:tcW w:w="468" w:type="pct"/>
            <w:noWrap w:val="0"/>
            <w:tcMar>
              <w:top w:w="15" w:type="dxa"/>
              <w:left w:w="15" w:type="dxa"/>
              <w:right w:w="15" w:type="dxa"/>
            </w:tcMar>
            <w:vAlign w:val="center"/>
          </w:tcPr>
          <w:p w14:paraId="33AF2D63">
            <w:pPr>
              <w:widowControl/>
              <w:jc w:val="center"/>
              <w:textAlignment w:val="center"/>
              <w:rPr>
                <w:szCs w:val="21"/>
              </w:rPr>
            </w:pPr>
            <w:r>
              <w:rPr>
                <w:kern w:val="0"/>
                <w:szCs w:val="21"/>
                <w:lang w:bidi="ar"/>
              </w:rPr>
              <w:t>NH</w:t>
            </w:r>
            <w:r>
              <w:rPr>
                <w:rStyle w:val="848"/>
                <w:rFonts w:ascii="Times New Roman" w:hAnsi="Times New Roman" w:cs="Times New Roman"/>
                <w:color w:val="auto"/>
                <w:sz w:val="21"/>
                <w:szCs w:val="21"/>
                <w:vertAlign w:val="subscript"/>
                <w:lang w:bidi="ar"/>
              </w:rPr>
              <w:t>3</w:t>
            </w:r>
          </w:p>
        </w:tc>
        <w:tc>
          <w:tcPr>
            <w:tcW w:w="310" w:type="pct"/>
            <w:vMerge w:val="restart"/>
            <w:noWrap w:val="0"/>
            <w:tcMar>
              <w:top w:w="15" w:type="dxa"/>
              <w:left w:w="15" w:type="dxa"/>
              <w:right w:w="15" w:type="dxa"/>
            </w:tcMar>
            <w:vAlign w:val="center"/>
          </w:tcPr>
          <w:p w14:paraId="283A3BF8">
            <w:pPr>
              <w:widowControl/>
              <w:jc w:val="center"/>
              <w:textAlignment w:val="center"/>
              <w:rPr>
                <w:szCs w:val="21"/>
              </w:rPr>
            </w:pPr>
            <w:r>
              <w:rPr>
                <w:kern w:val="0"/>
                <w:szCs w:val="21"/>
                <w:lang w:bidi="ar"/>
              </w:rPr>
              <w:t>4000</w:t>
            </w:r>
          </w:p>
        </w:tc>
        <w:tc>
          <w:tcPr>
            <w:tcW w:w="610" w:type="pct"/>
            <w:noWrap w:val="0"/>
            <w:tcMar>
              <w:top w:w="15" w:type="dxa"/>
              <w:left w:w="15" w:type="dxa"/>
              <w:right w:w="15" w:type="dxa"/>
            </w:tcMar>
            <w:vAlign w:val="center"/>
          </w:tcPr>
          <w:p w14:paraId="7CB2F085">
            <w:pPr>
              <w:widowControl/>
              <w:jc w:val="center"/>
              <w:textAlignment w:val="center"/>
              <w:rPr>
                <w:kern w:val="0"/>
                <w:szCs w:val="21"/>
                <w:lang w:bidi="ar"/>
              </w:rPr>
            </w:pPr>
            <w:r>
              <w:rPr>
                <w:kern w:val="0"/>
                <w:szCs w:val="21"/>
                <w:lang w:bidi="ar"/>
              </w:rPr>
              <w:t>3.56</w:t>
            </w:r>
          </w:p>
        </w:tc>
        <w:tc>
          <w:tcPr>
            <w:tcW w:w="285" w:type="pct"/>
            <w:vMerge w:val="restart"/>
            <w:noWrap w:val="0"/>
            <w:tcMar>
              <w:top w:w="15" w:type="dxa"/>
              <w:left w:w="15" w:type="dxa"/>
              <w:right w:w="15" w:type="dxa"/>
            </w:tcMar>
            <w:vAlign w:val="center"/>
          </w:tcPr>
          <w:p w14:paraId="6D161041">
            <w:pPr>
              <w:widowControl/>
              <w:jc w:val="center"/>
              <w:textAlignment w:val="center"/>
              <w:rPr>
                <w:kern w:val="0"/>
                <w:szCs w:val="21"/>
                <w:lang w:bidi="ar"/>
              </w:rPr>
            </w:pPr>
            <w:r>
              <w:rPr>
                <w:spacing w:val="-4"/>
                <w:szCs w:val="21"/>
              </w:rPr>
              <w:t>催化氧化+除臭液</w:t>
            </w:r>
          </w:p>
        </w:tc>
        <w:tc>
          <w:tcPr>
            <w:tcW w:w="610" w:type="pct"/>
            <w:noWrap w:val="0"/>
            <w:tcMar>
              <w:top w:w="15" w:type="dxa"/>
              <w:left w:w="15" w:type="dxa"/>
              <w:right w:w="15" w:type="dxa"/>
            </w:tcMar>
            <w:vAlign w:val="center"/>
          </w:tcPr>
          <w:p w14:paraId="3F6C40C9">
            <w:pPr>
              <w:widowControl/>
              <w:jc w:val="center"/>
              <w:textAlignment w:val="center"/>
              <w:rPr>
                <w:kern w:val="0"/>
                <w:szCs w:val="21"/>
                <w:lang w:bidi="ar"/>
              </w:rPr>
            </w:pPr>
            <w:r>
              <w:rPr>
                <w:kern w:val="0"/>
                <w:szCs w:val="21"/>
                <w:lang w:bidi="ar"/>
              </w:rPr>
              <w:t>0.89</w:t>
            </w:r>
          </w:p>
        </w:tc>
        <w:tc>
          <w:tcPr>
            <w:tcW w:w="390" w:type="pct"/>
            <w:noWrap w:val="0"/>
            <w:tcMar>
              <w:top w:w="15" w:type="dxa"/>
              <w:left w:w="15" w:type="dxa"/>
              <w:right w:w="15" w:type="dxa"/>
            </w:tcMar>
            <w:vAlign w:val="center"/>
          </w:tcPr>
          <w:p w14:paraId="1246CE70">
            <w:pPr>
              <w:widowControl/>
              <w:jc w:val="center"/>
              <w:textAlignment w:val="center"/>
              <w:rPr>
                <w:kern w:val="0"/>
                <w:szCs w:val="21"/>
                <w:lang w:bidi="ar"/>
              </w:rPr>
            </w:pPr>
            <w:r>
              <w:rPr>
                <w:kern w:val="0"/>
                <w:szCs w:val="21"/>
                <w:lang w:bidi="ar"/>
              </w:rPr>
              <w:t>75</w:t>
            </w:r>
          </w:p>
        </w:tc>
        <w:tc>
          <w:tcPr>
            <w:tcW w:w="501" w:type="pct"/>
            <w:noWrap w:val="0"/>
            <w:tcMar>
              <w:top w:w="15" w:type="dxa"/>
              <w:left w:w="15" w:type="dxa"/>
              <w:right w:w="15" w:type="dxa"/>
            </w:tcMar>
            <w:vAlign w:val="center"/>
          </w:tcPr>
          <w:p w14:paraId="64437000">
            <w:pPr>
              <w:widowControl/>
              <w:jc w:val="center"/>
              <w:textAlignment w:val="center"/>
              <w:rPr>
                <w:kern w:val="0"/>
                <w:szCs w:val="21"/>
                <w:lang w:bidi="ar"/>
              </w:rPr>
            </w:pPr>
            <w:r>
              <w:rPr>
                <w:kern w:val="0"/>
                <w:szCs w:val="21"/>
                <w:lang w:bidi="ar"/>
              </w:rPr>
              <w:t xml:space="preserve">0.0036 </w:t>
            </w:r>
          </w:p>
        </w:tc>
        <w:tc>
          <w:tcPr>
            <w:tcW w:w="370" w:type="pct"/>
            <w:vMerge w:val="restart"/>
            <w:noWrap w:val="0"/>
            <w:tcMar>
              <w:top w:w="15" w:type="dxa"/>
              <w:left w:w="15" w:type="dxa"/>
              <w:right w:w="15" w:type="dxa"/>
            </w:tcMar>
            <w:vAlign w:val="center"/>
          </w:tcPr>
          <w:p w14:paraId="16A50CDB">
            <w:pPr>
              <w:widowControl/>
              <w:jc w:val="center"/>
              <w:textAlignment w:val="center"/>
              <w:rPr>
                <w:kern w:val="0"/>
                <w:szCs w:val="21"/>
                <w:lang w:bidi="ar"/>
              </w:rPr>
            </w:pPr>
            <w:r>
              <w:rPr>
                <w:kern w:val="0"/>
                <w:szCs w:val="21"/>
                <w:lang w:bidi="ar"/>
              </w:rPr>
              <w:t>15</w:t>
            </w:r>
          </w:p>
        </w:tc>
        <w:tc>
          <w:tcPr>
            <w:tcW w:w="501" w:type="pct"/>
            <w:noWrap w:val="0"/>
            <w:tcMar>
              <w:top w:w="15" w:type="dxa"/>
              <w:left w:w="15" w:type="dxa"/>
              <w:right w:w="15" w:type="dxa"/>
            </w:tcMar>
            <w:vAlign w:val="center"/>
          </w:tcPr>
          <w:p w14:paraId="3A7CCC33">
            <w:pPr>
              <w:widowControl/>
              <w:jc w:val="center"/>
              <w:textAlignment w:val="center"/>
              <w:rPr>
                <w:kern w:val="0"/>
                <w:szCs w:val="21"/>
                <w:lang w:bidi="ar"/>
              </w:rPr>
            </w:pPr>
            <w:r>
              <w:rPr>
                <w:kern w:val="0"/>
                <w:szCs w:val="21"/>
                <w:lang w:bidi="ar"/>
              </w:rPr>
              <w:t>4.9</w:t>
            </w:r>
          </w:p>
        </w:tc>
        <w:tc>
          <w:tcPr>
            <w:tcW w:w="296" w:type="pct"/>
            <w:noWrap w:val="0"/>
            <w:tcMar>
              <w:top w:w="15" w:type="dxa"/>
              <w:left w:w="15" w:type="dxa"/>
              <w:right w:w="15" w:type="dxa"/>
            </w:tcMar>
            <w:vAlign w:val="center"/>
          </w:tcPr>
          <w:p w14:paraId="0FE94AF0">
            <w:pPr>
              <w:widowControl/>
              <w:jc w:val="center"/>
              <w:textAlignment w:val="center"/>
              <w:rPr>
                <w:kern w:val="0"/>
                <w:szCs w:val="21"/>
                <w:lang w:bidi="ar"/>
              </w:rPr>
            </w:pPr>
            <w:r>
              <w:rPr>
                <w:b/>
                <w:bCs/>
                <w:szCs w:val="21"/>
              </w:rPr>
              <w:t>达标</w:t>
            </w:r>
          </w:p>
        </w:tc>
        <w:tc>
          <w:tcPr>
            <w:tcW w:w="405" w:type="pct"/>
            <w:noWrap w:val="0"/>
            <w:tcMar>
              <w:top w:w="15" w:type="dxa"/>
              <w:left w:w="15" w:type="dxa"/>
              <w:right w:w="15" w:type="dxa"/>
            </w:tcMar>
            <w:vAlign w:val="center"/>
          </w:tcPr>
          <w:p w14:paraId="3CD29479">
            <w:pPr>
              <w:widowControl/>
              <w:jc w:val="center"/>
              <w:textAlignment w:val="center"/>
              <w:rPr>
                <w:kern w:val="0"/>
                <w:szCs w:val="21"/>
                <w:lang w:bidi="ar"/>
              </w:rPr>
            </w:pPr>
            <w:r>
              <w:rPr>
                <w:kern w:val="0"/>
                <w:szCs w:val="21"/>
                <w:lang w:bidi="ar"/>
              </w:rPr>
              <w:t xml:space="preserve">0.0104 </w:t>
            </w:r>
          </w:p>
        </w:tc>
      </w:tr>
      <w:tr w14:paraId="138D9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8" w:type="pct"/>
            <w:vMerge w:val="continue"/>
            <w:noWrap w:val="0"/>
            <w:tcMar>
              <w:top w:w="15" w:type="dxa"/>
              <w:left w:w="15" w:type="dxa"/>
              <w:right w:w="15" w:type="dxa"/>
            </w:tcMar>
            <w:vAlign w:val="center"/>
          </w:tcPr>
          <w:p w14:paraId="3FA55441">
            <w:pPr>
              <w:jc w:val="center"/>
              <w:rPr>
                <w:szCs w:val="21"/>
              </w:rPr>
            </w:pPr>
          </w:p>
        </w:tc>
        <w:tc>
          <w:tcPr>
            <w:tcW w:w="468" w:type="pct"/>
            <w:noWrap w:val="0"/>
            <w:tcMar>
              <w:top w:w="15" w:type="dxa"/>
              <w:left w:w="15" w:type="dxa"/>
              <w:right w:w="15" w:type="dxa"/>
            </w:tcMar>
            <w:vAlign w:val="center"/>
          </w:tcPr>
          <w:p w14:paraId="090B2BF5">
            <w:pPr>
              <w:widowControl/>
              <w:jc w:val="center"/>
              <w:textAlignment w:val="center"/>
              <w:rPr>
                <w:szCs w:val="21"/>
              </w:rPr>
            </w:pPr>
            <w:r>
              <w:rPr>
                <w:kern w:val="0"/>
                <w:szCs w:val="21"/>
                <w:lang w:bidi="ar"/>
              </w:rPr>
              <w:t>甲硫醇</w:t>
            </w:r>
          </w:p>
        </w:tc>
        <w:tc>
          <w:tcPr>
            <w:tcW w:w="310" w:type="pct"/>
            <w:vMerge w:val="continue"/>
            <w:noWrap w:val="0"/>
            <w:tcMar>
              <w:top w:w="15" w:type="dxa"/>
              <w:left w:w="15" w:type="dxa"/>
              <w:right w:w="15" w:type="dxa"/>
            </w:tcMar>
            <w:vAlign w:val="center"/>
          </w:tcPr>
          <w:p w14:paraId="7B0D2071">
            <w:pPr>
              <w:jc w:val="center"/>
              <w:rPr>
                <w:szCs w:val="21"/>
              </w:rPr>
            </w:pPr>
          </w:p>
        </w:tc>
        <w:tc>
          <w:tcPr>
            <w:tcW w:w="610" w:type="pct"/>
            <w:noWrap w:val="0"/>
            <w:tcMar>
              <w:top w:w="15" w:type="dxa"/>
              <w:left w:w="15" w:type="dxa"/>
              <w:right w:w="15" w:type="dxa"/>
            </w:tcMar>
            <w:vAlign w:val="center"/>
          </w:tcPr>
          <w:p w14:paraId="5ACB30EA">
            <w:pPr>
              <w:widowControl/>
              <w:jc w:val="center"/>
              <w:textAlignment w:val="center"/>
              <w:rPr>
                <w:kern w:val="0"/>
                <w:szCs w:val="21"/>
                <w:lang w:bidi="ar"/>
              </w:rPr>
            </w:pPr>
            <w:r>
              <w:rPr>
                <w:kern w:val="0"/>
                <w:szCs w:val="21"/>
                <w:lang w:bidi="ar"/>
              </w:rPr>
              <w:t>0.68</w:t>
            </w:r>
          </w:p>
        </w:tc>
        <w:tc>
          <w:tcPr>
            <w:tcW w:w="285" w:type="pct"/>
            <w:vMerge w:val="continue"/>
            <w:noWrap w:val="0"/>
            <w:tcMar>
              <w:top w:w="15" w:type="dxa"/>
              <w:left w:w="15" w:type="dxa"/>
              <w:right w:w="15" w:type="dxa"/>
            </w:tcMar>
            <w:vAlign w:val="center"/>
          </w:tcPr>
          <w:p w14:paraId="59736558">
            <w:pPr>
              <w:widowControl/>
              <w:jc w:val="center"/>
              <w:textAlignment w:val="center"/>
              <w:rPr>
                <w:kern w:val="0"/>
                <w:szCs w:val="21"/>
                <w:lang w:bidi="ar"/>
              </w:rPr>
            </w:pPr>
          </w:p>
        </w:tc>
        <w:tc>
          <w:tcPr>
            <w:tcW w:w="610" w:type="pct"/>
            <w:noWrap w:val="0"/>
            <w:tcMar>
              <w:top w:w="15" w:type="dxa"/>
              <w:left w:w="15" w:type="dxa"/>
              <w:right w:w="15" w:type="dxa"/>
            </w:tcMar>
            <w:vAlign w:val="center"/>
          </w:tcPr>
          <w:p w14:paraId="51338740">
            <w:pPr>
              <w:widowControl/>
              <w:jc w:val="center"/>
              <w:textAlignment w:val="center"/>
              <w:rPr>
                <w:kern w:val="0"/>
                <w:szCs w:val="21"/>
                <w:lang w:bidi="ar"/>
              </w:rPr>
            </w:pPr>
            <w:r>
              <w:rPr>
                <w:kern w:val="0"/>
                <w:szCs w:val="21"/>
                <w:lang w:bidi="ar"/>
              </w:rPr>
              <w:t>0.170</w:t>
            </w:r>
          </w:p>
        </w:tc>
        <w:tc>
          <w:tcPr>
            <w:tcW w:w="390" w:type="pct"/>
            <w:noWrap w:val="0"/>
            <w:tcMar>
              <w:top w:w="15" w:type="dxa"/>
              <w:left w:w="15" w:type="dxa"/>
              <w:right w:w="15" w:type="dxa"/>
            </w:tcMar>
            <w:vAlign w:val="center"/>
          </w:tcPr>
          <w:p w14:paraId="79060BA5">
            <w:pPr>
              <w:widowControl/>
              <w:jc w:val="center"/>
              <w:textAlignment w:val="center"/>
              <w:rPr>
                <w:kern w:val="0"/>
                <w:szCs w:val="21"/>
                <w:lang w:bidi="ar"/>
              </w:rPr>
            </w:pPr>
            <w:r>
              <w:rPr>
                <w:kern w:val="0"/>
                <w:szCs w:val="21"/>
                <w:lang w:bidi="ar"/>
              </w:rPr>
              <w:t>75</w:t>
            </w:r>
          </w:p>
        </w:tc>
        <w:tc>
          <w:tcPr>
            <w:tcW w:w="501" w:type="pct"/>
            <w:noWrap w:val="0"/>
            <w:tcMar>
              <w:top w:w="15" w:type="dxa"/>
              <w:left w:w="15" w:type="dxa"/>
              <w:right w:w="15" w:type="dxa"/>
            </w:tcMar>
            <w:vAlign w:val="center"/>
          </w:tcPr>
          <w:p w14:paraId="24EEECF9">
            <w:pPr>
              <w:widowControl/>
              <w:jc w:val="center"/>
              <w:textAlignment w:val="center"/>
              <w:rPr>
                <w:kern w:val="0"/>
                <w:szCs w:val="21"/>
                <w:lang w:bidi="ar"/>
              </w:rPr>
            </w:pPr>
            <w:r>
              <w:rPr>
                <w:kern w:val="0"/>
                <w:szCs w:val="21"/>
                <w:lang w:bidi="ar"/>
              </w:rPr>
              <w:t xml:space="preserve">0.0007 </w:t>
            </w:r>
          </w:p>
        </w:tc>
        <w:tc>
          <w:tcPr>
            <w:tcW w:w="370" w:type="pct"/>
            <w:vMerge w:val="continue"/>
            <w:noWrap w:val="0"/>
            <w:tcMar>
              <w:top w:w="15" w:type="dxa"/>
              <w:left w:w="15" w:type="dxa"/>
              <w:right w:w="15" w:type="dxa"/>
            </w:tcMar>
            <w:vAlign w:val="center"/>
          </w:tcPr>
          <w:p w14:paraId="2F64F3AB">
            <w:pPr>
              <w:widowControl/>
              <w:jc w:val="center"/>
              <w:textAlignment w:val="center"/>
              <w:rPr>
                <w:kern w:val="0"/>
                <w:szCs w:val="21"/>
                <w:lang w:bidi="ar"/>
              </w:rPr>
            </w:pPr>
          </w:p>
        </w:tc>
        <w:tc>
          <w:tcPr>
            <w:tcW w:w="501" w:type="pct"/>
            <w:noWrap w:val="0"/>
            <w:tcMar>
              <w:top w:w="15" w:type="dxa"/>
              <w:left w:w="15" w:type="dxa"/>
              <w:right w:w="15" w:type="dxa"/>
            </w:tcMar>
            <w:vAlign w:val="center"/>
          </w:tcPr>
          <w:p w14:paraId="7BEBBA93">
            <w:pPr>
              <w:widowControl/>
              <w:jc w:val="center"/>
              <w:textAlignment w:val="center"/>
              <w:rPr>
                <w:kern w:val="0"/>
                <w:szCs w:val="21"/>
                <w:lang w:bidi="ar"/>
              </w:rPr>
            </w:pPr>
            <w:r>
              <w:rPr>
                <w:kern w:val="0"/>
                <w:szCs w:val="21"/>
                <w:lang w:bidi="ar"/>
              </w:rPr>
              <w:t>0.04</w:t>
            </w:r>
          </w:p>
        </w:tc>
        <w:tc>
          <w:tcPr>
            <w:tcW w:w="296" w:type="pct"/>
            <w:noWrap w:val="0"/>
            <w:tcMar>
              <w:top w:w="15" w:type="dxa"/>
              <w:left w:w="15" w:type="dxa"/>
              <w:right w:w="15" w:type="dxa"/>
            </w:tcMar>
            <w:vAlign w:val="center"/>
          </w:tcPr>
          <w:p w14:paraId="775E6D6B">
            <w:pPr>
              <w:widowControl/>
              <w:jc w:val="center"/>
              <w:textAlignment w:val="center"/>
              <w:rPr>
                <w:kern w:val="0"/>
                <w:szCs w:val="21"/>
                <w:lang w:bidi="ar"/>
              </w:rPr>
            </w:pPr>
            <w:r>
              <w:rPr>
                <w:b/>
                <w:bCs/>
                <w:szCs w:val="21"/>
              </w:rPr>
              <w:t>达标</w:t>
            </w:r>
          </w:p>
        </w:tc>
        <w:tc>
          <w:tcPr>
            <w:tcW w:w="405" w:type="pct"/>
            <w:noWrap w:val="0"/>
            <w:tcMar>
              <w:top w:w="15" w:type="dxa"/>
              <w:left w:w="15" w:type="dxa"/>
              <w:right w:w="15" w:type="dxa"/>
            </w:tcMar>
            <w:vAlign w:val="center"/>
          </w:tcPr>
          <w:p w14:paraId="46196E74">
            <w:pPr>
              <w:widowControl/>
              <w:jc w:val="center"/>
              <w:textAlignment w:val="center"/>
              <w:rPr>
                <w:kern w:val="0"/>
                <w:szCs w:val="21"/>
                <w:lang w:bidi="ar"/>
              </w:rPr>
            </w:pPr>
            <w:r>
              <w:rPr>
                <w:kern w:val="0"/>
                <w:szCs w:val="21"/>
                <w:lang w:bidi="ar"/>
              </w:rPr>
              <w:t xml:space="preserve">0.0020 </w:t>
            </w:r>
          </w:p>
        </w:tc>
      </w:tr>
      <w:tr w14:paraId="339AA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48" w:type="pct"/>
            <w:vMerge w:val="continue"/>
            <w:noWrap w:val="0"/>
            <w:tcMar>
              <w:top w:w="15" w:type="dxa"/>
              <w:left w:w="15" w:type="dxa"/>
              <w:right w:w="15" w:type="dxa"/>
            </w:tcMar>
            <w:vAlign w:val="center"/>
          </w:tcPr>
          <w:p w14:paraId="18954184">
            <w:pPr>
              <w:jc w:val="center"/>
              <w:rPr>
                <w:szCs w:val="21"/>
              </w:rPr>
            </w:pPr>
          </w:p>
        </w:tc>
        <w:tc>
          <w:tcPr>
            <w:tcW w:w="468" w:type="pct"/>
            <w:noWrap w:val="0"/>
            <w:tcMar>
              <w:top w:w="15" w:type="dxa"/>
              <w:left w:w="15" w:type="dxa"/>
              <w:right w:w="15" w:type="dxa"/>
            </w:tcMar>
            <w:vAlign w:val="center"/>
          </w:tcPr>
          <w:p w14:paraId="27DE5229">
            <w:pPr>
              <w:widowControl/>
              <w:jc w:val="center"/>
              <w:textAlignment w:val="center"/>
              <w:rPr>
                <w:kern w:val="0"/>
                <w:szCs w:val="21"/>
                <w:lang w:bidi="ar"/>
              </w:rPr>
            </w:pPr>
            <w:r>
              <w:rPr>
                <w:kern w:val="0"/>
                <w:szCs w:val="21"/>
                <w:lang w:bidi="ar"/>
              </w:rPr>
              <w:t>二甲二硫</w:t>
            </w:r>
          </w:p>
        </w:tc>
        <w:tc>
          <w:tcPr>
            <w:tcW w:w="310" w:type="pct"/>
            <w:vMerge w:val="continue"/>
            <w:noWrap w:val="0"/>
            <w:tcMar>
              <w:top w:w="15" w:type="dxa"/>
              <w:left w:w="15" w:type="dxa"/>
              <w:right w:w="15" w:type="dxa"/>
            </w:tcMar>
            <w:vAlign w:val="center"/>
          </w:tcPr>
          <w:p w14:paraId="5FFD6C59">
            <w:pPr>
              <w:jc w:val="center"/>
              <w:rPr>
                <w:szCs w:val="21"/>
              </w:rPr>
            </w:pPr>
          </w:p>
        </w:tc>
        <w:tc>
          <w:tcPr>
            <w:tcW w:w="610" w:type="pct"/>
            <w:noWrap w:val="0"/>
            <w:tcMar>
              <w:top w:w="15" w:type="dxa"/>
              <w:left w:w="15" w:type="dxa"/>
              <w:right w:w="15" w:type="dxa"/>
            </w:tcMar>
            <w:vAlign w:val="center"/>
          </w:tcPr>
          <w:p w14:paraId="1F518A52">
            <w:pPr>
              <w:widowControl/>
              <w:jc w:val="center"/>
              <w:textAlignment w:val="center"/>
              <w:rPr>
                <w:kern w:val="0"/>
                <w:szCs w:val="21"/>
                <w:lang w:bidi="ar"/>
              </w:rPr>
            </w:pPr>
            <w:r>
              <w:rPr>
                <w:kern w:val="0"/>
                <w:szCs w:val="21"/>
                <w:lang w:bidi="ar"/>
              </w:rPr>
              <w:t>0.252</w:t>
            </w:r>
          </w:p>
        </w:tc>
        <w:tc>
          <w:tcPr>
            <w:tcW w:w="285" w:type="pct"/>
            <w:vMerge w:val="continue"/>
            <w:noWrap w:val="0"/>
            <w:tcMar>
              <w:top w:w="15" w:type="dxa"/>
              <w:left w:w="15" w:type="dxa"/>
              <w:right w:w="15" w:type="dxa"/>
            </w:tcMar>
            <w:vAlign w:val="center"/>
          </w:tcPr>
          <w:p w14:paraId="7D874DF6">
            <w:pPr>
              <w:widowControl/>
              <w:jc w:val="center"/>
              <w:textAlignment w:val="center"/>
              <w:rPr>
                <w:kern w:val="0"/>
                <w:szCs w:val="21"/>
                <w:lang w:bidi="ar"/>
              </w:rPr>
            </w:pPr>
          </w:p>
        </w:tc>
        <w:tc>
          <w:tcPr>
            <w:tcW w:w="610" w:type="pct"/>
            <w:noWrap w:val="0"/>
            <w:tcMar>
              <w:top w:w="15" w:type="dxa"/>
              <w:left w:w="15" w:type="dxa"/>
              <w:right w:w="15" w:type="dxa"/>
            </w:tcMar>
            <w:vAlign w:val="center"/>
          </w:tcPr>
          <w:p w14:paraId="4DE43A01">
            <w:pPr>
              <w:widowControl/>
              <w:jc w:val="center"/>
              <w:textAlignment w:val="center"/>
              <w:rPr>
                <w:kern w:val="0"/>
                <w:szCs w:val="21"/>
                <w:lang w:bidi="ar"/>
              </w:rPr>
            </w:pPr>
            <w:r>
              <w:rPr>
                <w:kern w:val="0"/>
                <w:szCs w:val="21"/>
                <w:lang w:bidi="ar"/>
              </w:rPr>
              <w:t>0.063</w:t>
            </w:r>
          </w:p>
        </w:tc>
        <w:tc>
          <w:tcPr>
            <w:tcW w:w="390" w:type="pct"/>
            <w:noWrap w:val="0"/>
            <w:tcMar>
              <w:top w:w="15" w:type="dxa"/>
              <w:left w:w="15" w:type="dxa"/>
              <w:right w:w="15" w:type="dxa"/>
            </w:tcMar>
            <w:vAlign w:val="center"/>
          </w:tcPr>
          <w:p w14:paraId="5762D803">
            <w:pPr>
              <w:widowControl/>
              <w:jc w:val="center"/>
              <w:textAlignment w:val="center"/>
              <w:rPr>
                <w:kern w:val="0"/>
                <w:szCs w:val="21"/>
                <w:lang w:bidi="ar"/>
              </w:rPr>
            </w:pPr>
            <w:r>
              <w:rPr>
                <w:kern w:val="0"/>
                <w:szCs w:val="21"/>
                <w:lang w:bidi="ar"/>
              </w:rPr>
              <w:t>75</w:t>
            </w:r>
          </w:p>
        </w:tc>
        <w:tc>
          <w:tcPr>
            <w:tcW w:w="501" w:type="pct"/>
            <w:noWrap w:val="0"/>
            <w:tcMar>
              <w:top w:w="15" w:type="dxa"/>
              <w:left w:w="15" w:type="dxa"/>
              <w:right w:w="15" w:type="dxa"/>
            </w:tcMar>
            <w:vAlign w:val="center"/>
          </w:tcPr>
          <w:p w14:paraId="6AB60AF6">
            <w:pPr>
              <w:widowControl/>
              <w:jc w:val="center"/>
              <w:textAlignment w:val="center"/>
              <w:rPr>
                <w:kern w:val="0"/>
                <w:szCs w:val="21"/>
                <w:lang w:bidi="ar"/>
              </w:rPr>
            </w:pPr>
            <w:r>
              <w:rPr>
                <w:kern w:val="0"/>
                <w:szCs w:val="21"/>
                <w:lang w:bidi="ar"/>
              </w:rPr>
              <w:t xml:space="preserve">0.0003 </w:t>
            </w:r>
          </w:p>
        </w:tc>
        <w:tc>
          <w:tcPr>
            <w:tcW w:w="370" w:type="pct"/>
            <w:vMerge w:val="continue"/>
            <w:noWrap w:val="0"/>
            <w:tcMar>
              <w:top w:w="15" w:type="dxa"/>
              <w:left w:w="15" w:type="dxa"/>
              <w:right w:w="15" w:type="dxa"/>
            </w:tcMar>
            <w:vAlign w:val="center"/>
          </w:tcPr>
          <w:p w14:paraId="3D7E53EE">
            <w:pPr>
              <w:widowControl/>
              <w:jc w:val="center"/>
              <w:textAlignment w:val="center"/>
              <w:rPr>
                <w:kern w:val="0"/>
                <w:szCs w:val="21"/>
                <w:lang w:bidi="ar"/>
              </w:rPr>
            </w:pPr>
          </w:p>
        </w:tc>
        <w:tc>
          <w:tcPr>
            <w:tcW w:w="501" w:type="pct"/>
            <w:noWrap w:val="0"/>
            <w:tcMar>
              <w:top w:w="15" w:type="dxa"/>
              <w:left w:w="15" w:type="dxa"/>
              <w:right w:w="15" w:type="dxa"/>
            </w:tcMar>
            <w:vAlign w:val="center"/>
          </w:tcPr>
          <w:p w14:paraId="7DB10134">
            <w:pPr>
              <w:widowControl/>
              <w:jc w:val="center"/>
              <w:textAlignment w:val="center"/>
              <w:rPr>
                <w:kern w:val="0"/>
                <w:szCs w:val="21"/>
                <w:lang w:bidi="ar"/>
              </w:rPr>
            </w:pPr>
            <w:r>
              <w:rPr>
                <w:kern w:val="0"/>
                <w:szCs w:val="21"/>
                <w:lang w:bidi="ar"/>
              </w:rPr>
              <w:t>0.43</w:t>
            </w:r>
          </w:p>
        </w:tc>
        <w:tc>
          <w:tcPr>
            <w:tcW w:w="296" w:type="pct"/>
            <w:noWrap w:val="0"/>
            <w:tcMar>
              <w:top w:w="15" w:type="dxa"/>
              <w:left w:w="15" w:type="dxa"/>
              <w:right w:w="15" w:type="dxa"/>
            </w:tcMar>
            <w:vAlign w:val="center"/>
          </w:tcPr>
          <w:p w14:paraId="1339FA4F">
            <w:pPr>
              <w:widowControl/>
              <w:jc w:val="center"/>
              <w:textAlignment w:val="center"/>
              <w:rPr>
                <w:kern w:val="0"/>
                <w:szCs w:val="21"/>
                <w:lang w:bidi="ar"/>
              </w:rPr>
            </w:pPr>
            <w:r>
              <w:rPr>
                <w:b/>
                <w:bCs/>
                <w:szCs w:val="21"/>
              </w:rPr>
              <w:t>达标</w:t>
            </w:r>
          </w:p>
        </w:tc>
        <w:tc>
          <w:tcPr>
            <w:tcW w:w="405" w:type="pct"/>
            <w:noWrap w:val="0"/>
            <w:tcMar>
              <w:top w:w="15" w:type="dxa"/>
              <w:left w:w="15" w:type="dxa"/>
              <w:right w:w="15" w:type="dxa"/>
            </w:tcMar>
            <w:vAlign w:val="center"/>
          </w:tcPr>
          <w:p w14:paraId="51A25E1A">
            <w:pPr>
              <w:widowControl/>
              <w:jc w:val="center"/>
              <w:textAlignment w:val="center"/>
              <w:rPr>
                <w:kern w:val="0"/>
                <w:szCs w:val="21"/>
                <w:lang w:bidi="ar"/>
              </w:rPr>
            </w:pPr>
            <w:r>
              <w:rPr>
                <w:kern w:val="0"/>
                <w:szCs w:val="21"/>
                <w:lang w:bidi="ar"/>
              </w:rPr>
              <w:t xml:space="preserve">0.0007 </w:t>
            </w:r>
          </w:p>
        </w:tc>
      </w:tr>
      <w:tr w14:paraId="7C461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48" w:type="pct"/>
            <w:vMerge w:val="continue"/>
            <w:noWrap w:val="0"/>
            <w:tcMar>
              <w:top w:w="15" w:type="dxa"/>
              <w:left w:w="15" w:type="dxa"/>
              <w:right w:w="15" w:type="dxa"/>
            </w:tcMar>
            <w:vAlign w:val="center"/>
          </w:tcPr>
          <w:p w14:paraId="119B7AF5">
            <w:pPr>
              <w:jc w:val="center"/>
              <w:rPr>
                <w:szCs w:val="21"/>
              </w:rPr>
            </w:pPr>
          </w:p>
        </w:tc>
        <w:tc>
          <w:tcPr>
            <w:tcW w:w="468" w:type="pct"/>
            <w:noWrap w:val="0"/>
            <w:tcMar>
              <w:top w:w="15" w:type="dxa"/>
              <w:left w:w="15" w:type="dxa"/>
              <w:right w:w="15" w:type="dxa"/>
            </w:tcMar>
            <w:vAlign w:val="center"/>
          </w:tcPr>
          <w:p w14:paraId="753E8A5C">
            <w:pPr>
              <w:widowControl/>
              <w:jc w:val="center"/>
              <w:textAlignment w:val="center"/>
              <w:rPr>
                <w:kern w:val="0"/>
                <w:szCs w:val="21"/>
                <w:lang w:bidi="ar"/>
              </w:rPr>
            </w:pPr>
            <w:r>
              <w:rPr>
                <w:kern w:val="0"/>
                <w:szCs w:val="21"/>
                <w:lang w:bidi="ar"/>
              </w:rPr>
              <w:t>臭气浓度（无量纲）</w:t>
            </w:r>
          </w:p>
        </w:tc>
        <w:tc>
          <w:tcPr>
            <w:tcW w:w="310" w:type="pct"/>
            <w:vMerge w:val="continue"/>
            <w:noWrap w:val="0"/>
            <w:tcMar>
              <w:top w:w="15" w:type="dxa"/>
              <w:left w:w="15" w:type="dxa"/>
              <w:right w:w="15" w:type="dxa"/>
            </w:tcMar>
            <w:vAlign w:val="center"/>
          </w:tcPr>
          <w:p w14:paraId="7C49CFAE">
            <w:pPr>
              <w:jc w:val="center"/>
              <w:rPr>
                <w:szCs w:val="21"/>
              </w:rPr>
            </w:pPr>
          </w:p>
        </w:tc>
        <w:tc>
          <w:tcPr>
            <w:tcW w:w="610" w:type="pct"/>
            <w:noWrap w:val="0"/>
            <w:tcMar>
              <w:top w:w="15" w:type="dxa"/>
              <w:left w:w="15" w:type="dxa"/>
              <w:right w:w="15" w:type="dxa"/>
            </w:tcMar>
            <w:vAlign w:val="center"/>
          </w:tcPr>
          <w:p w14:paraId="6B28CB03">
            <w:pPr>
              <w:widowControl/>
              <w:jc w:val="center"/>
              <w:textAlignment w:val="center"/>
              <w:rPr>
                <w:kern w:val="0"/>
                <w:szCs w:val="21"/>
                <w:lang w:bidi="ar"/>
              </w:rPr>
            </w:pPr>
            <w:r>
              <w:rPr>
                <w:kern w:val="0"/>
                <w:szCs w:val="21"/>
                <w:lang w:bidi="ar"/>
              </w:rPr>
              <w:t>2920</w:t>
            </w:r>
          </w:p>
        </w:tc>
        <w:tc>
          <w:tcPr>
            <w:tcW w:w="285" w:type="pct"/>
            <w:vMerge w:val="continue"/>
            <w:noWrap w:val="0"/>
            <w:tcMar>
              <w:top w:w="15" w:type="dxa"/>
              <w:left w:w="15" w:type="dxa"/>
              <w:right w:w="15" w:type="dxa"/>
            </w:tcMar>
            <w:vAlign w:val="center"/>
          </w:tcPr>
          <w:p w14:paraId="4481E732">
            <w:pPr>
              <w:widowControl/>
              <w:jc w:val="center"/>
              <w:textAlignment w:val="center"/>
              <w:rPr>
                <w:kern w:val="0"/>
                <w:szCs w:val="21"/>
                <w:lang w:bidi="ar"/>
              </w:rPr>
            </w:pPr>
          </w:p>
        </w:tc>
        <w:tc>
          <w:tcPr>
            <w:tcW w:w="610" w:type="pct"/>
            <w:noWrap w:val="0"/>
            <w:tcMar>
              <w:top w:w="15" w:type="dxa"/>
              <w:left w:w="15" w:type="dxa"/>
              <w:right w:w="15" w:type="dxa"/>
            </w:tcMar>
            <w:vAlign w:val="center"/>
          </w:tcPr>
          <w:p w14:paraId="52D39364">
            <w:pPr>
              <w:widowControl/>
              <w:jc w:val="center"/>
              <w:textAlignment w:val="center"/>
              <w:rPr>
                <w:kern w:val="0"/>
                <w:szCs w:val="21"/>
                <w:lang w:bidi="ar"/>
              </w:rPr>
            </w:pPr>
            <w:r>
              <w:rPr>
                <w:kern w:val="0"/>
                <w:szCs w:val="21"/>
                <w:lang w:bidi="ar"/>
              </w:rPr>
              <w:t>730</w:t>
            </w:r>
          </w:p>
        </w:tc>
        <w:tc>
          <w:tcPr>
            <w:tcW w:w="390" w:type="pct"/>
            <w:noWrap w:val="0"/>
            <w:tcMar>
              <w:top w:w="15" w:type="dxa"/>
              <w:left w:w="15" w:type="dxa"/>
              <w:right w:w="15" w:type="dxa"/>
            </w:tcMar>
            <w:vAlign w:val="center"/>
          </w:tcPr>
          <w:p w14:paraId="365E390C">
            <w:pPr>
              <w:widowControl/>
              <w:jc w:val="center"/>
              <w:textAlignment w:val="center"/>
              <w:rPr>
                <w:kern w:val="0"/>
                <w:szCs w:val="21"/>
                <w:lang w:bidi="ar"/>
              </w:rPr>
            </w:pPr>
            <w:r>
              <w:rPr>
                <w:kern w:val="0"/>
                <w:szCs w:val="21"/>
                <w:lang w:bidi="ar"/>
              </w:rPr>
              <w:t>75</w:t>
            </w:r>
          </w:p>
        </w:tc>
        <w:tc>
          <w:tcPr>
            <w:tcW w:w="501" w:type="pct"/>
            <w:noWrap w:val="0"/>
            <w:tcMar>
              <w:top w:w="15" w:type="dxa"/>
              <w:left w:w="15" w:type="dxa"/>
              <w:right w:w="15" w:type="dxa"/>
            </w:tcMar>
            <w:vAlign w:val="center"/>
          </w:tcPr>
          <w:p w14:paraId="5A70C12B">
            <w:pPr>
              <w:widowControl/>
              <w:jc w:val="center"/>
              <w:textAlignment w:val="center"/>
              <w:rPr>
                <w:kern w:val="0"/>
                <w:szCs w:val="21"/>
                <w:lang w:bidi="ar"/>
              </w:rPr>
            </w:pPr>
            <w:r>
              <w:rPr>
                <w:kern w:val="0"/>
                <w:szCs w:val="21"/>
                <w:lang w:bidi="ar"/>
              </w:rPr>
              <w:t>/</w:t>
            </w:r>
          </w:p>
        </w:tc>
        <w:tc>
          <w:tcPr>
            <w:tcW w:w="370" w:type="pct"/>
            <w:vMerge w:val="continue"/>
            <w:noWrap w:val="0"/>
            <w:tcMar>
              <w:top w:w="15" w:type="dxa"/>
              <w:left w:w="15" w:type="dxa"/>
              <w:right w:w="15" w:type="dxa"/>
            </w:tcMar>
            <w:vAlign w:val="center"/>
          </w:tcPr>
          <w:p w14:paraId="7EFCCA8A">
            <w:pPr>
              <w:widowControl/>
              <w:jc w:val="center"/>
              <w:textAlignment w:val="center"/>
              <w:rPr>
                <w:kern w:val="0"/>
                <w:szCs w:val="21"/>
                <w:lang w:bidi="ar"/>
              </w:rPr>
            </w:pPr>
          </w:p>
        </w:tc>
        <w:tc>
          <w:tcPr>
            <w:tcW w:w="501" w:type="pct"/>
            <w:noWrap w:val="0"/>
            <w:tcMar>
              <w:top w:w="15" w:type="dxa"/>
              <w:left w:w="15" w:type="dxa"/>
              <w:right w:w="15" w:type="dxa"/>
            </w:tcMar>
            <w:vAlign w:val="center"/>
          </w:tcPr>
          <w:p w14:paraId="607FBCF4">
            <w:pPr>
              <w:widowControl/>
              <w:jc w:val="center"/>
              <w:textAlignment w:val="center"/>
              <w:rPr>
                <w:kern w:val="0"/>
                <w:szCs w:val="21"/>
                <w:lang w:bidi="ar"/>
              </w:rPr>
            </w:pPr>
            <w:r>
              <w:rPr>
                <w:kern w:val="0"/>
                <w:szCs w:val="21"/>
                <w:lang w:bidi="ar"/>
              </w:rPr>
              <w:t>2000</w:t>
            </w:r>
          </w:p>
        </w:tc>
        <w:tc>
          <w:tcPr>
            <w:tcW w:w="296" w:type="pct"/>
            <w:noWrap w:val="0"/>
            <w:tcMar>
              <w:top w:w="15" w:type="dxa"/>
              <w:left w:w="15" w:type="dxa"/>
              <w:right w:w="15" w:type="dxa"/>
            </w:tcMar>
            <w:vAlign w:val="center"/>
          </w:tcPr>
          <w:p w14:paraId="45962EBD">
            <w:pPr>
              <w:widowControl/>
              <w:jc w:val="center"/>
              <w:textAlignment w:val="center"/>
              <w:rPr>
                <w:kern w:val="0"/>
                <w:szCs w:val="21"/>
                <w:lang w:bidi="ar"/>
              </w:rPr>
            </w:pPr>
            <w:r>
              <w:rPr>
                <w:b/>
                <w:bCs/>
                <w:szCs w:val="21"/>
              </w:rPr>
              <w:t>达标</w:t>
            </w:r>
          </w:p>
        </w:tc>
        <w:tc>
          <w:tcPr>
            <w:tcW w:w="405" w:type="pct"/>
            <w:noWrap w:val="0"/>
            <w:tcMar>
              <w:top w:w="15" w:type="dxa"/>
              <w:left w:w="15" w:type="dxa"/>
              <w:right w:w="15" w:type="dxa"/>
            </w:tcMar>
            <w:vAlign w:val="center"/>
          </w:tcPr>
          <w:p w14:paraId="692DA939">
            <w:pPr>
              <w:widowControl/>
              <w:jc w:val="center"/>
              <w:textAlignment w:val="center"/>
              <w:rPr>
                <w:kern w:val="0"/>
                <w:szCs w:val="21"/>
                <w:lang w:bidi="ar"/>
              </w:rPr>
            </w:pPr>
            <w:r>
              <w:rPr>
                <w:kern w:val="0"/>
                <w:szCs w:val="21"/>
                <w:lang w:bidi="ar"/>
              </w:rPr>
              <w:t>/</w:t>
            </w:r>
          </w:p>
        </w:tc>
      </w:tr>
    </w:tbl>
    <w:p w14:paraId="51C6F4FF">
      <w:pPr>
        <w:spacing w:line="360" w:lineRule="auto"/>
        <w:ind w:firstLine="480" w:firstLineChars="200"/>
        <w:rPr>
          <w:sz w:val="24"/>
        </w:rPr>
      </w:pPr>
      <w:r>
        <w:rPr>
          <w:sz w:val="24"/>
        </w:rPr>
        <w:t>根据上表，项目病死猪无害化处理装置废气经处理后可达到</w:t>
      </w:r>
      <w:r>
        <w:rPr>
          <w:sz w:val="24"/>
          <w:lang w:bidi="ar"/>
        </w:rPr>
        <w:t>GB14554-93《恶臭污染物排放标准》二级标准。</w:t>
      </w:r>
    </w:p>
    <w:p w14:paraId="2CFC8E55">
      <w:pPr>
        <w:spacing w:line="360" w:lineRule="auto"/>
        <w:ind w:firstLine="480" w:firstLineChars="200"/>
        <w:rPr>
          <w:kern w:val="0"/>
          <w:sz w:val="24"/>
          <w:lang w:bidi="en-US"/>
        </w:rPr>
      </w:pPr>
      <w:r>
        <w:rPr>
          <w:kern w:val="0"/>
          <w:sz w:val="24"/>
          <w:lang w:bidi="en-US"/>
        </w:rPr>
        <w:t>2、污水处理站沼气</w:t>
      </w:r>
    </w:p>
    <w:p w14:paraId="2D16AF0D">
      <w:pPr>
        <w:spacing w:line="360" w:lineRule="auto"/>
        <w:ind w:firstLine="480" w:firstLineChars="200"/>
        <w:rPr>
          <w:kern w:val="0"/>
          <w:sz w:val="24"/>
          <w:lang w:bidi="en-US"/>
        </w:rPr>
      </w:pPr>
      <w:r>
        <w:rPr>
          <w:kern w:val="0"/>
          <w:sz w:val="24"/>
          <w:lang w:bidi="en-US"/>
        </w:rPr>
        <w:t>（1）沼气的产生</w:t>
      </w:r>
    </w:p>
    <w:p w14:paraId="253C30ED">
      <w:pPr>
        <w:spacing w:line="360" w:lineRule="auto"/>
        <w:ind w:firstLine="480" w:firstLineChars="200"/>
        <w:rPr>
          <w:kern w:val="0"/>
          <w:sz w:val="24"/>
          <w:lang w:bidi="en-US"/>
        </w:rPr>
      </w:pPr>
      <w:r>
        <w:rPr>
          <w:kern w:val="0"/>
          <w:sz w:val="24"/>
          <w:lang w:bidi="en-US"/>
        </w:rPr>
        <w:t>项目运营期猪舍冲洗废水、猪尿水、猪粪固液分离废水及生活污水经过UASB（厌氧反应器）处理，会产生沼气。根据资料，养殖废水经厌氧发酵处理工序COD</w:t>
      </w:r>
      <w:r>
        <w:rPr>
          <w:kern w:val="0"/>
          <w:sz w:val="24"/>
          <w:vertAlign w:val="subscript"/>
          <w:lang w:bidi="en-US"/>
        </w:rPr>
        <w:t>cr</w:t>
      </w:r>
      <w:r>
        <w:rPr>
          <w:kern w:val="0"/>
          <w:sz w:val="24"/>
          <w:lang w:bidi="en-US"/>
        </w:rPr>
        <w:t>去除率为75%，即项目废水在厌氧发酵处理工序（UASB）去除COD</w:t>
      </w:r>
      <w:r>
        <w:rPr>
          <w:kern w:val="0"/>
          <w:sz w:val="24"/>
          <w:vertAlign w:val="subscript"/>
          <w:lang w:bidi="en-US"/>
        </w:rPr>
        <w:t>cr</w:t>
      </w:r>
      <w:r>
        <w:rPr>
          <w:kern w:val="0"/>
          <w:sz w:val="24"/>
          <w:lang w:bidi="en-US"/>
        </w:rPr>
        <w:t xml:space="preserve"> 287.36t/a（0.788t/d），根据《规模化畜禽养殖场沼气设计规范》（NY/T1220-2006）“8.3.5厌氧消化器沼气量的计算”，理论上，每去除1kgCOD</w:t>
      </w:r>
      <w:r>
        <w:rPr>
          <w:kern w:val="0"/>
          <w:sz w:val="24"/>
          <w:vertAlign w:val="subscript"/>
          <w:lang w:bidi="en-US"/>
        </w:rPr>
        <w:t>cr</w:t>
      </w:r>
      <w:r>
        <w:rPr>
          <w:kern w:val="0"/>
          <w:sz w:val="24"/>
          <w:lang w:bidi="en-US"/>
        </w:rPr>
        <w:t>可产生0.35m</w:t>
      </w:r>
      <w:r>
        <w:rPr>
          <w:kern w:val="0"/>
          <w:sz w:val="24"/>
          <w:vertAlign w:val="superscript"/>
          <w:lang w:bidi="en-US"/>
        </w:rPr>
        <w:t>3</w:t>
      </w:r>
      <w:r>
        <w:rPr>
          <w:kern w:val="0"/>
          <w:sz w:val="24"/>
          <w:lang w:bidi="en-US"/>
        </w:rPr>
        <w:t>沼气，则本项目沼气产生量见下表：</w:t>
      </w:r>
    </w:p>
    <w:p w14:paraId="50919190">
      <w:pPr>
        <w:tabs>
          <w:tab w:val="left" w:pos="840"/>
        </w:tabs>
        <w:spacing w:line="360" w:lineRule="auto"/>
        <w:jc w:val="center"/>
        <w:rPr>
          <w:b/>
          <w:sz w:val="24"/>
        </w:rPr>
      </w:pPr>
      <w:r>
        <w:rPr>
          <w:b/>
          <w:sz w:val="24"/>
        </w:rPr>
        <w:t>表3.4-7本项目污水处理区沼气产排情况</w:t>
      </w:r>
    </w:p>
    <w:tbl>
      <w:tblPr>
        <w:tblStyle w:val="87"/>
        <w:tblW w:w="5000" w:type="pct"/>
        <w:tblInd w:w="0" w:type="dxa"/>
        <w:tblLayout w:type="fixed"/>
        <w:tblCellMar>
          <w:top w:w="0" w:type="dxa"/>
          <w:left w:w="108" w:type="dxa"/>
          <w:bottom w:w="0" w:type="dxa"/>
          <w:right w:w="108" w:type="dxa"/>
        </w:tblCellMar>
      </w:tblPr>
      <w:tblGrid>
        <w:gridCol w:w="644"/>
        <w:gridCol w:w="2494"/>
        <w:gridCol w:w="1545"/>
        <w:gridCol w:w="2221"/>
        <w:gridCol w:w="1624"/>
      </w:tblGrid>
      <w:tr w14:paraId="587DA3DE">
        <w:tblPrEx>
          <w:tblCellMar>
            <w:top w:w="0" w:type="dxa"/>
            <w:left w:w="108" w:type="dxa"/>
            <w:bottom w:w="0" w:type="dxa"/>
            <w:right w:w="108" w:type="dxa"/>
          </w:tblCellMar>
        </w:tblPrEx>
        <w:trPr>
          <w:trHeight w:val="285" w:hRule="atLeast"/>
        </w:trPr>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54C82668">
            <w:pPr>
              <w:widowControl/>
              <w:jc w:val="center"/>
              <w:textAlignment w:val="center"/>
              <w:rPr>
                <w:szCs w:val="21"/>
              </w:rPr>
            </w:pPr>
            <w:r>
              <w:rPr>
                <w:kern w:val="0"/>
                <w:szCs w:val="21"/>
                <w:lang w:bidi="ar"/>
              </w:rPr>
              <w:t>地块</w:t>
            </w:r>
          </w:p>
        </w:tc>
        <w:tc>
          <w:tcPr>
            <w:tcW w:w="1461" w:type="pct"/>
            <w:vMerge w:val="restart"/>
            <w:tcBorders>
              <w:top w:val="single" w:color="000000" w:sz="4" w:space="0"/>
              <w:left w:val="single" w:color="000000" w:sz="4" w:space="0"/>
              <w:bottom w:val="single" w:color="000000" w:sz="4" w:space="0"/>
              <w:right w:val="single" w:color="000000" w:sz="4" w:space="0"/>
            </w:tcBorders>
            <w:noWrap/>
            <w:vAlign w:val="center"/>
          </w:tcPr>
          <w:p w14:paraId="2AD260AD">
            <w:pPr>
              <w:widowControl/>
              <w:jc w:val="center"/>
              <w:textAlignment w:val="center"/>
              <w:rPr>
                <w:szCs w:val="21"/>
              </w:rPr>
            </w:pPr>
            <w:r>
              <w:rPr>
                <w:kern w:val="0"/>
                <w:szCs w:val="21"/>
                <w:lang w:bidi="ar"/>
              </w:rPr>
              <w:t>位置</w:t>
            </w:r>
          </w:p>
        </w:tc>
        <w:tc>
          <w:tcPr>
            <w:tcW w:w="906" w:type="pct"/>
            <w:vMerge w:val="restart"/>
            <w:tcBorders>
              <w:top w:val="single" w:color="000000" w:sz="4" w:space="0"/>
              <w:left w:val="single" w:color="000000" w:sz="4" w:space="0"/>
              <w:bottom w:val="single" w:color="000000" w:sz="4" w:space="0"/>
              <w:right w:val="single" w:color="000000" w:sz="4" w:space="0"/>
            </w:tcBorders>
            <w:noWrap/>
            <w:vAlign w:val="center"/>
          </w:tcPr>
          <w:p w14:paraId="646AE8B5">
            <w:pPr>
              <w:widowControl/>
              <w:jc w:val="center"/>
              <w:textAlignment w:val="center"/>
              <w:rPr>
                <w:b/>
                <w:bCs/>
                <w:szCs w:val="21"/>
              </w:rPr>
            </w:pPr>
            <w:r>
              <w:rPr>
                <w:b/>
                <w:bCs/>
                <w:kern w:val="0"/>
                <w:szCs w:val="21"/>
                <w:lang w:bidi="ar"/>
              </w:rPr>
              <w:t>厌氧反应器阶段COD削减量</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14:paraId="1D29BBA2">
            <w:pPr>
              <w:widowControl/>
              <w:jc w:val="center"/>
              <w:textAlignment w:val="center"/>
              <w:rPr>
                <w:szCs w:val="21"/>
              </w:rPr>
            </w:pPr>
            <w:r>
              <w:rPr>
                <w:kern w:val="0"/>
                <w:szCs w:val="21"/>
                <w:lang w:bidi="ar"/>
              </w:rPr>
              <w:t>甲烷产生系数（kg/m</w:t>
            </w:r>
            <w:r>
              <w:rPr>
                <w:kern w:val="0"/>
                <w:szCs w:val="21"/>
                <w:vertAlign w:val="superscript"/>
                <w:lang w:bidi="ar"/>
              </w:rPr>
              <w:t>3</w:t>
            </w:r>
            <w:r>
              <w:rPr>
                <w:kern w:val="0"/>
                <w:szCs w:val="21"/>
                <w:lang w:bidi="ar"/>
              </w:rPr>
              <w:t>甲烷）</w:t>
            </w:r>
          </w:p>
        </w:tc>
        <w:tc>
          <w:tcPr>
            <w:tcW w:w="952" w:type="pct"/>
            <w:vMerge w:val="restart"/>
            <w:tcBorders>
              <w:top w:val="single" w:color="000000" w:sz="4" w:space="0"/>
              <w:left w:val="single" w:color="000000" w:sz="4" w:space="0"/>
              <w:bottom w:val="single" w:color="000000" w:sz="4" w:space="0"/>
              <w:right w:val="single" w:color="000000" w:sz="4" w:space="0"/>
            </w:tcBorders>
            <w:noWrap/>
            <w:vAlign w:val="center"/>
          </w:tcPr>
          <w:p w14:paraId="581E9C6A">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/a）</w:t>
            </w:r>
          </w:p>
        </w:tc>
      </w:tr>
      <w:tr w14:paraId="3A0CE47D">
        <w:tblPrEx>
          <w:tblCellMar>
            <w:top w:w="0" w:type="dxa"/>
            <w:left w:w="108" w:type="dxa"/>
            <w:bottom w:w="0" w:type="dxa"/>
            <w:right w:w="108" w:type="dxa"/>
          </w:tblCellMar>
        </w:tblPrEx>
        <w:trPr>
          <w:trHeight w:val="34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6C864EE2">
            <w:pPr>
              <w:jc w:val="center"/>
              <w:rPr>
                <w:szCs w:val="21"/>
              </w:rPr>
            </w:pPr>
          </w:p>
        </w:tc>
        <w:tc>
          <w:tcPr>
            <w:tcW w:w="1461" w:type="pct"/>
            <w:vMerge w:val="continue"/>
            <w:tcBorders>
              <w:top w:val="single" w:color="000000" w:sz="4" w:space="0"/>
              <w:left w:val="single" w:color="000000" w:sz="4" w:space="0"/>
              <w:bottom w:val="single" w:color="000000" w:sz="4" w:space="0"/>
              <w:right w:val="single" w:color="000000" w:sz="4" w:space="0"/>
            </w:tcBorders>
            <w:noWrap/>
            <w:vAlign w:val="center"/>
          </w:tcPr>
          <w:p w14:paraId="53301455">
            <w:pPr>
              <w:jc w:val="center"/>
              <w:rPr>
                <w:szCs w:val="21"/>
              </w:rPr>
            </w:pP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378F0679">
            <w:pPr>
              <w:jc w:val="center"/>
              <w:rPr>
                <w:b/>
                <w:bCs/>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0308991F">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1018E49C">
            <w:pPr>
              <w:jc w:val="center"/>
              <w:rPr>
                <w:szCs w:val="21"/>
              </w:rPr>
            </w:pPr>
          </w:p>
        </w:tc>
      </w:tr>
      <w:tr w14:paraId="2E241755">
        <w:tblPrEx>
          <w:tblCellMar>
            <w:top w:w="0" w:type="dxa"/>
            <w:left w:w="108" w:type="dxa"/>
            <w:bottom w:w="0" w:type="dxa"/>
            <w:right w:w="108" w:type="dxa"/>
          </w:tblCellMar>
        </w:tblPrEx>
        <w:trPr>
          <w:trHeight w:val="285" w:hRule="atLeast"/>
        </w:trPr>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2F536354">
            <w:pPr>
              <w:widowControl/>
              <w:jc w:val="center"/>
              <w:textAlignment w:val="center"/>
              <w:rPr>
                <w:szCs w:val="21"/>
              </w:rPr>
            </w:pPr>
            <w:r>
              <w:rPr>
                <w:kern w:val="0"/>
                <w:szCs w:val="21"/>
                <w:lang w:bidi="ar"/>
              </w:rPr>
              <w:t>1号地</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9AD0AC1">
            <w:pPr>
              <w:widowControl/>
              <w:jc w:val="center"/>
              <w:textAlignment w:val="center"/>
              <w:rPr>
                <w:szCs w:val="21"/>
              </w:rPr>
            </w:pPr>
            <w:r>
              <w:rPr>
                <w:kern w:val="0"/>
                <w:szCs w:val="21"/>
                <w:lang w:bidi="ar"/>
              </w:rPr>
              <w:t>盛丰通风井位置1号舍</w:t>
            </w:r>
          </w:p>
        </w:tc>
        <w:tc>
          <w:tcPr>
            <w:tcW w:w="906" w:type="pct"/>
            <w:vMerge w:val="restart"/>
            <w:tcBorders>
              <w:top w:val="single" w:color="000000" w:sz="4" w:space="0"/>
              <w:left w:val="single" w:color="000000" w:sz="4" w:space="0"/>
              <w:bottom w:val="single" w:color="000000" w:sz="4" w:space="0"/>
              <w:right w:val="single" w:color="000000" w:sz="4" w:space="0"/>
            </w:tcBorders>
            <w:noWrap/>
            <w:vAlign w:val="center"/>
          </w:tcPr>
          <w:p w14:paraId="7404B298">
            <w:pPr>
              <w:widowControl/>
              <w:jc w:val="center"/>
              <w:textAlignment w:val="center"/>
              <w:rPr>
                <w:szCs w:val="21"/>
              </w:rPr>
            </w:pPr>
            <w:r>
              <w:rPr>
                <w:kern w:val="0"/>
                <w:szCs w:val="21"/>
                <w:lang w:bidi="ar"/>
              </w:rPr>
              <w:t xml:space="preserve">0.8424 </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14:paraId="45DB6158">
            <w:pPr>
              <w:widowControl/>
              <w:jc w:val="center"/>
              <w:textAlignment w:val="center"/>
              <w:rPr>
                <w:szCs w:val="21"/>
              </w:rPr>
            </w:pPr>
            <w:r>
              <w:rPr>
                <w:kern w:val="0"/>
                <w:szCs w:val="21"/>
                <w:lang w:bidi="ar"/>
              </w:rPr>
              <w:t>0.35</w:t>
            </w:r>
          </w:p>
        </w:tc>
        <w:tc>
          <w:tcPr>
            <w:tcW w:w="952" w:type="pct"/>
            <w:vMerge w:val="restart"/>
            <w:tcBorders>
              <w:top w:val="single" w:color="000000" w:sz="4" w:space="0"/>
              <w:left w:val="single" w:color="000000" w:sz="4" w:space="0"/>
              <w:bottom w:val="single" w:color="000000" w:sz="4" w:space="0"/>
              <w:right w:val="single" w:color="000000" w:sz="4" w:space="0"/>
            </w:tcBorders>
            <w:noWrap/>
            <w:vAlign w:val="center"/>
          </w:tcPr>
          <w:p w14:paraId="1D462F87">
            <w:pPr>
              <w:widowControl/>
              <w:jc w:val="center"/>
              <w:textAlignment w:val="center"/>
              <w:rPr>
                <w:szCs w:val="21"/>
              </w:rPr>
            </w:pPr>
            <w:r>
              <w:rPr>
                <w:kern w:val="0"/>
                <w:szCs w:val="21"/>
                <w:lang w:bidi="ar"/>
              </w:rPr>
              <w:t xml:space="preserve">294.8438 </w:t>
            </w:r>
          </w:p>
        </w:tc>
      </w:tr>
      <w:tr w14:paraId="1D7727CF">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42393559">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129F63B1">
            <w:pPr>
              <w:widowControl/>
              <w:jc w:val="center"/>
              <w:textAlignment w:val="center"/>
              <w:rPr>
                <w:szCs w:val="21"/>
              </w:rPr>
            </w:pPr>
            <w:r>
              <w:rPr>
                <w:kern w:val="0"/>
                <w:szCs w:val="21"/>
                <w:lang w:bidi="ar"/>
              </w:rPr>
              <w:t>盛丰通风井位置2号舍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26F81E32">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5B071883">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27C4D60D">
            <w:pPr>
              <w:jc w:val="center"/>
              <w:rPr>
                <w:szCs w:val="21"/>
              </w:rPr>
            </w:pPr>
          </w:p>
        </w:tc>
      </w:tr>
      <w:tr w14:paraId="79EAF105">
        <w:tblPrEx>
          <w:tblCellMar>
            <w:top w:w="0" w:type="dxa"/>
            <w:left w:w="108" w:type="dxa"/>
            <w:bottom w:w="0" w:type="dxa"/>
            <w:right w:w="108" w:type="dxa"/>
          </w:tblCellMar>
        </w:tblPrEx>
        <w:trPr>
          <w:trHeight w:val="285" w:hRule="atLeast"/>
        </w:trPr>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346633D7">
            <w:pPr>
              <w:widowControl/>
              <w:jc w:val="center"/>
              <w:textAlignment w:val="center"/>
              <w:rPr>
                <w:szCs w:val="21"/>
              </w:rPr>
            </w:pPr>
            <w:r>
              <w:rPr>
                <w:kern w:val="0"/>
                <w:szCs w:val="21"/>
                <w:lang w:bidi="ar"/>
              </w:rPr>
              <w:t>2号地</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E5BF7A5">
            <w:pPr>
              <w:widowControl/>
              <w:jc w:val="center"/>
              <w:textAlignment w:val="center"/>
              <w:rPr>
                <w:szCs w:val="21"/>
              </w:rPr>
            </w:pPr>
            <w:r>
              <w:rPr>
                <w:kern w:val="0"/>
                <w:szCs w:val="21"/>
                <w:lang w:bidi="ar"/>
              </w:rPr>
              <w:t>盛丰焦化楼位置1号舍</w:t>
            </w:r>
          </w:p>
        </w:tc>
        <w:tc>
          <w:tcPr>
            <w:tcW w:w="906" w:type="pct"/>
            <w:vMerge w:val="restart"/>
            <w:tcBorders>
              <w:top w:val="single" w:color="000000" w:sz="4" w:space="0"/>
              <w:left w:val="single" w:color="000000" w:sz="4" w:space="0"/>
              <w:bottom w:val="single" w:color="000000" w:sz="4" w:space="0"/>
              <w:right w:val="single" w:color="000000" w:sz="4" w:space="0"/>
            </w:tcBorders>
            <w:noWrap/>
            <w:vAlign w:val="center"/>
          </w:tcPr>
          <w:p w14:paraId="663E45FE">
            <w:pPr>
              <w:widowControl/>
              <w:jc w:val="center"/>
              <w:textAlignment w:val="center"/>
              <w:rPr>
                <w:szCs w:val="21"/>
              </w:rPr>
            </w:pPr>
            <w:r>
              <w:rPr>
                <w:kern w:val="0"/>
                <w:szCs w:val="21"/>
                <w:lang w:bidi="ar"/>
              </w:rPr>
              <w:t xml:space="preserve">1.8959 </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14:paraId="1FA8812B">
            <w:pPr>
              <w:widowControl/>
              <w:jc w:val="center"/>
              <w:textAlignment w:val="center"/>
              <w:rPr>
                <w:szCs w:val="21"/>
              </w:rPr>
            </w:pPr>
            <w:r>
              <w:rPr>
                <w:kern w:val="0"/>
                <w:szCs w:val="21"/>
                <w:lang w:bidi="ar"/>
              </w:rPr>
              <w:t>0.35</w:t>
            </w:r>
          </w:p>
        </w:tc>
        <w:tc>
          <w:tcPr>
            <w:tcW w:w="952" w:type="pct"/>
            <w:vMerge w:val="restart"/>
            <w:tcBorders>
              <w:top w:val="single" w:color="000000" w:sz="4" w:space="0"/>
              <w:left w:val="single" w:color="000000" w:sz="4" w:space="0"/>
              <w:bottom w:val="single" w:color="000000" w:sz="4" w:space="0"/>
              <w:right w:val="single" w:color="000000" w:sz="4" w:space="0"/>
            </w:tcBorders>
            <w:noWrap/>
            <w:vAlign w:val="center"/>
          </w:tcPr>
          <w:p w14:paraId="7CDB0202">
            <w:pPr>
              <w:widowControl/>
              <w:jc w:val="center"/>
              <w:textAlignment w:val="center"/>
              <w:rPr>
                <w:szCs w:val="21"/>
              </w:rPr>
            </w:pPr>
            <w:r>
              <w:rPr>
                <w:kern w:val="0"/>
                <w:szCs w:val="21"/>
                <w:lang w:bidi="ar"/>
              </w:rPr>
              <w:t xml:space="preserve">663.5634 </w:t>
            </w:r>
          </w:p>
        </w:tc>
      </w:tr>
      <w:tr w14:paraId="6A0494B7">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66153CFB">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F8F24F3">
            <w:pPr>
              <w:widowControl/>
              <w:jc w:val="center"/>
              <w:textAlignment w:val="center"/>
              <w:rPr>
                <w:szCs w:val="21"/>
              </w:rPr>
            </w:pPr>
            <w:r>
              <w:rPr>
                <w:kern w:val="0"/>
                <w:szCs w:val="21"/>
                <w:lang w:bidi="ar"/>
              </w:rPr>
              <w:t>盛丰焦化楼位置2号舍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3E87A5CC">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4E22806C">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4D2E124C">
            <w:pPr>
              <w:jc w:val="center"/>
              <w:rPr>
                <w:szCs w:val="21"/>
              </w:rPr>
            </w:pPr>
          </w:p>
        </w:tc>
      </w:tr>
      <w:tr w14:paraId="1E247522">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092FF4B6">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6590D2A">
            <w:pPr>
              <w:widowControl/>
              <w:jc w:val="center"/>
              <w:textAlignment w:val="center"/>
              <w:rPr>
                <w:szCs w:val="21"/>
              </w:rPr>
            </w:pPr>
            <w:r>
              <w:rPr>
                <w:kern w:val="0"/>
                <w:szCs w:val="21"/>
                <w:lang w:bidi="ar"/>
              </w:rPr>
              <w:t>球场位置1单元</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320EA09C">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5B5C50B9">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56F9B672">
            <w:pPr>
              <w:jc w:val="center"/>
              <w:rPr>
                <w:szCs w:val="21"/>
              </w:rPr>
            </w:pPr>
          </w:p>
        </w:tc>
      </w:tr>
      <w:tr w14:paraId="71F48155">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7528A02E">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11FEE5A">
            <w:pPr>
              <w:widowControl/>
              <w:jc w:val="center"/>
              <w:textAlignment w:val="center"/>
              <w:rPr>
                <w:szCs w:val="21"/>
              </w:rPr>
            </w:pPr>
            <w:r>
              <w:rPr>
                <w:kern w:val="0"/>
                <w:szCs w:val="21"/>
                <w:lang w:bidi="ar"/>
              </w:rPr>
              <w:t>球场位置2单元</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377C9736">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53FEBD9D">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5AB4DE76">
            <w:pPr>
              <w:jc w:val="center"/>
              <w:rPr>
                <w:szCs w:val="21"/>
              </w:rPr>
            </w:pPr>
          </w:p>
        </w:tc>
      </w:tr>
      <w:tr w14:paraId="37FAB8EB">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20F5D4F2">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2AD7C19">
            <w:pPr>
              <w:widowControl/>
              <w:jc w:val="center"/>
              <w:textAlignment w:val="center"/>
              <w:rPr>
                <w:szCs w:val="21"/>
              </w:rPr>
            </w:pPr>
            <w:r>
              <w:rPr>
                <w:kern w:val="0"/>
                <w:szCs w:val="21"/>
                <w:lang w:bidi="ar"/>
              </w:rPr>
              <w:t>球场位置3单元</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400ED4C8">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18C24634">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26D752FB">
            <w:pPr>
              <w:jc w:val="center"/>
              <w:rPr>
                <w:szCs w:val="21"/>
              </w:rPr>
            </w:pPr>
          </w:p>
        </w:tc>
      </w:tr>
      <w:tr w14:paraId="05CEC492">
        <w:tblPrEx>
          <w:tblCellMar>
            <w:top w:w="0" w:type="dxa"/>
            <w:left w:w="108" w:type="dxa"/>
            <w:bottom w:w="0" w:type="dxa"/>
            <w:right w:w="108" w:type="dxa"/>
          </w:tblCellMar>
        </w:tblPrEx>
        <w:trPr>
          <w:trHeight w:val="285" w:hRule="atLeast"/>
        </w:trPr>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087BD758">
            <w:pPr>
              <w:widowControl/>
              <w:jc w:val="center"/>
              <w:textAlignment w:val="center"/>
              <w:rPr>
                <w:szCs w:val="21"/>
              </w:rPr>
            </w:pPr>
            <w:r>
              <w:rPr>
                <w:kern w:val="0"/>
                <w:szCs w:val="21"/>
                <w:lang w:bidi="ar"/>
              </w:rPr>
              <w:t>3号地</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40B1CA1">
            <w:pPr>
              <w:widowControl/>
              <w:jc w:val="center"/>
              <w:textAlignment w:val="center"/>
              <w:rPr>
                <w:szCs w:val="21"/>
              </w:rPr>
            </w:pPr>
            <w:r>
              <w:rPr>
                <w:kern w:val="0"/>
                <w:szCs w:val="21"/>
                <w:lang w:bidi="ar"/>
              </w:rPr>
              <w:t>老井位置1号舍</w:t>
            </w:r>
          </w:p>
        </w:tc>
        <w:tc>
          <w:tcPr>
            <w:tcW w:w="906" w:type="pct"/>
            <w:vMerge w:val="restart"/>
            <w:tcBorders>
              <w:top w:val="single" w:color="000000" w:sz="4" w:space="0"/>
              <w:left w:val="single" w:color="000000" w:sz="4" w:space="0"/>
              <w:bottom w:val="single" w:color="000000" w:sz="4" w:space="0"/>
              <w:right w:val="single" w:color="000000" w:sz="4" w:space="0"/>
            </w:tcBorders>
            <w:noWrap/>
            <w:vAlign w:val="center"/>
          </w:tcPr>
          <w:p w14:paraId="2C6A7C38">
            <w:pPr>
              <w:widowControl/>
              <w:jc w:val="center"/>
              <w:textAlignment w:val="center"/>
              <w:rPr>
                <w:szCs w:val="21"/>
              </w:rPr>
            </w:pPr>
            <w:r>
              <w:rPr>
                <w:kern w:val="0"/>
                <w:szCs w:val="21"/>
                <w:lang w:bidi="ar"/>
              </w:rPr>
              <w:t xml:space="preserve">0.7162 </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14:paraId="6DC55808">
            <w:pPr>
              <w:widowControl/>
              <w:jc w:val="center"/>
              <w:textAlignment w:val="center"/>
              <w:rPr>
                <w:szCs w:val="21"/>
              </w:rPr>
            </w:pPr>
            <w:r>
              <w:rPr>
                <w:kern w:val="0"/>
                <w:szCs w:val="21"/>
                <w:lang w:bidi="ar"/>
              </w:rPr>
              <w:t>0.35</w:t>
            </w:r>
          </w:p>
        </w:tc>
        <w:tc>
          <w:tcPr>
            <w:tcW w:w="952" w:type="pct"/>
            <w:vMerge w:val="restart"/>
            <w:tcBorders>
              <w:top w:val="single" w:color="000000" w:sz="4" w:space="0"/>
              <w:left w:val="single" w:color="000000" w:sz="4" w:space="0"/>
              <w:bottom w:val="single" w:color="000000" w:sz="4" w:space="0"/>
              <w:right w:val="single" w:color="000000" w:sz="4" w:space="0"/>
            </w:tcBorders>
            <w:noWrap/>
            <w:vAlign w:val="center"/>
          </w:tcPr>
          <w:p w14:paraId="07857E34">
            <w:pPr>
              <w:widowControl/>
              <w:jc w:val="center"/>
              <w:textAlignment w:val="center"/>
              <w:rPr>
                <w:szCs w:val="21"/>
              </w:rPr>
            </w:pPr>
            <w:r>
              <w:rPr>
                <w:kern w:val="0"/>
                <w:szCs w:val="21"/>
                <w:lang w:bidi="ar"/>
              </w:rPr>
              <w:t xml:space="preserve">250.6803 </w:t>
            </w:r>
          </w:p>
        </w:tc>
      </w:tr>
      <w:tr w14:paraId="5AE43F82">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7DFB0567">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B2FFF1A">
            <w:pPr>
              <w:widowControl/>
              <w:jc w:val="center"/>
              <w:textAlignment w:val="center"/>
              <w:rPr>
                <w:szCs w:val="21"/>
              </w:rPr>
            </w:pPr>
            <w:r>
              <w:rPr>
                <w:kern w:val="0"/>
                <w:szCs w:val="21"/>
                <w:lang w:bidi="ar"/>
              </w:rPr>
              <w:t>老井位置2号舍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62C5F511">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2F61AD8E">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3D342D0A">
            <w:pPr>
              <w:jc w:val="center"/>
              <w:rPr>
                <w:szCs w:val="21"/>
              </w:rPr>
            </w:pPr>
          </w:p>
        </w:tc>
      </w:tr>
      <w:tr w14:paraId="24BB32A3">
        <w:tblPrEx>
          <w:tblCellMar>
            <w:top w:w="0" w:type="dxa"/>
            <w:left w:w="108" w:type="dxa"/>
            <w:bottom w:w="0" w:type="dxa"/>
            <w:right w:w="108" w:type="dxa"/>
          </w:tblCellMar>
        </w:tblPrEx>
        <w:trPr>
          <w:trHeight w:val="285" w:hRule="atLeast"/>
        </w:trPr>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32A340DB">
            <w:pPr>
              <w:widowControl/>
              <w:jc w:val="center"/>
              <w:textAlignment w:val="center"/>
              <w:rPr>
                <w:szCs w:val="21"/>
              </w:rPr>
            </w:pPr>
            <w:r>
              <w:rPr>
                <w:kern w:val="0"/>
                <w:szCs w:val="21"/>
                <w:lang w:bidi="ar"/>
              </w:rPr>
              <w:t>4号地</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9CC1493">
            <w:pPr>
              <w:widowControl/>
              <w:jc w:val="center"/>
              <w:textAlignment w:val="center"/>
              <w:rPr>
                <w:szCs w:val="21"/>
              </w:rPr>
            </w:pPr>
            <w:r>
              <w:rPr>
                <w:kern w:val="0"/>
                <w:szCs w:val="21"/>
                <w:lang w:bidi="ar"/>
              </w:rPr>
              <w:t>鑫旺板块1号舍</w:t>
            </w:r>
          </w:p>
        </w:tc>
        <w:tc>
          <w:tcPr>
            <w:tcW w:w="906" w:type="pct"/>
            <w:vMerge w:val="restart"/>
            <w:tcBorders>
              <w:top w:val="single" w:color="000000" w:sz="4" w:space="0"/>
              <w:left w:val="single" w:color="000000" w:sz="4" w:space="0"/>
              <w:bottom w:val="single" w:color="000000" w:sz="4" w:space="0"/>
              <w:right w:val="single" w:color="000000" w:sz="4" w:space="0"/>
            </w:tcBorders>
            <w:noWrap/>
            <w:vAlign w:val="center"/>
          </w:tcPr>
          <w:p w14:paraId="5B05FBD5">
            <w:pPr>
              <w:widowControl/>
              <w:jc w:val="center"/>
              <w:textAlignment w:val="center"/>
              <w:rPr>
                <w:szCs w:val="21"/>
              </w:rPr>
            </w:pPr>
            <w:r>
              <w:rPr>
                <w:kern w:val="0"/>
                <w:szCs w:val="21"/>
                <w:lang w:bidi="ar"/>
              </w:rPr>
              <w:t xml:space="preserve">1.8642 </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14:paraId="397A088E">
            <w:pPr>
              <w:widowControl/>
              <w:jc w:val="center"/>
              <w:textAlignment w:val="center"/>
              <w:rPr>
                <w:szCs w:val="21"/>
              </w:rPr>
            </w:pPr>
            <w:r>
              <w:rPr>
                <w:kern w:val="0"/>
                <w:szCs w:val="21"/>
                <w:lang w:bidi="ar"/>
              </w:rPr>
              <w:t>0.35</w:t>
            </w:r>
          </w:p>
        </w:tc>
        <w:tc>
          <w:tcPr>
            <w:tcW w:w="952" w:type="pct"/>
            <w:vMerge w:val="restart"/>
            <w:tcBorders>
              <w:top w:val="single" w:color="000000" w:sz="4" w:space="0"/>
              <w:left w:val="single" w:color="000000" w:sz="4" w:space="0"/>
              <w:bottom w:val="single" w:color="000000" w:sz="4" w:space="0"/>
              <w:right w:val="single" w:color="000000" w:sz="4" w:space="0"/>
            </w:tcBorders>
            <w:noWrap/>
            <w:vAlign w:val="center"/>
          </w:tcPr>
          <w:p w14:paraId="510E780D">
            <w:pPr>
              <w:widowControl/>
              <w:jc w:val="center"/>
              <w:textAlignment w:val="center"/>
              <w:rPr>
                <w:szCs w:val="21"/>
              </w:rPr>
            </w:pPr>
            <w:r>
              <w:rPr>
                <w:kern w:val="0"/>
                <w:szCs w:val="21"/>
                <w:lang w:bidi="ar"/>
              </w:rPr>
              <w:t xml:space="preserve">652.4862 </w:t>
            </w:r>
          </w:p>
        </w:tc>
      </w:tr>
      <w:tr w14:paraId="701E46A8">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5F0324A8">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18F516E0">
            <w:pPr>
              <w:widowControl/>
              <w:jc w:val="center"/>
              <w:textAlignment w:val="center"/>
              <w:rPr>
                <w:szCs w:val="21"/>
              </w:rPr>
            </w:pPr>
            <w:r>
              <w:rPr>
                <w:kern w:val="0"/>
                <w:szCs w:val="21"/>
                <w:lang w:bidi="ar"/>
              </w:rPr>
              <w:t>鑫旺板块2号舍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1DCD638E">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17EE6CA1">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2A67989B">
            <w:pPr>
              <w:jc w:val="center"/>
              <w:rPr>
                <w:szCs w:val="21"/>
              </w:rPr>
            </w:pPr>
          </w:p>
        </w:tc>
      </w:tr>
      <w:tr w14:paraId="28168003">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7FE8D6DC">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68C6C180">
            <w:pPr>
              <w:widowControl/>
              <w:jc w:val="center"/>
              <w:textAlignment w:val="center"/>
              <w:rPr>
                <w:szCs w:val="21"/>
              </w:rPr>
            </w:pPr>
            <w:r>
              <w:rPr>
                <w:kern w:val="0"/>
                <w:szCs w:val="21"/>
                <w:lang w:bidi="ar"/>
              </w:rPr>
              <w:t>鑫旺板块3号舍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6D886A56">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658A56D0">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6FAE4249">
            <w:pPr>
              <w:jc w:val="center"/>
              <w:rPr>
                <w:szCs w:val="21"/>
              </w:rPr>
            </w:pPr>
          </w:p>
        </w:tc>
      </w:tr>
      <w:tr w14:paraId="63E12185">
        <w:tblPrEx>
          <w:tblCellMar>
            <w:top w:w="0" w:type="dxa"/>
            <w:left w:w="108" w:type="dxa"/>
            <w:bottom w:w="0" w:type="dxa"/>
            <w:right w:w="108" w:type="dxa"/>
          </w:tblCellMar>
        </w:tblPrEx>
        <w:trPr>
          <w:trHeight w:val="285" w:hRule="atLeast"/>
        </w:trPr>
        <w:tc>
          <w:tcPr>
            <w:tcW w:w="378" w:type="pct"/>
            <w:vMerge w:val="restart"/>
            <w:tcBorders>
              <w:top w:val="single" w:color="000000" w:sz="4" w:space="0"/>
              <w:left w:val="single" w:color="000000" w:sz="4" w:space="0"/>
              <w:bottom w:val="single" w:color="000000" w:sz="4" w:space="0"/>
              <w:right w:val="single" w:color="000000" w:sz="4" w:space="0"/>
            </w:tcBorders>
            <w:noWrap/>
            <w:vAlign w:val="center"/>
          </w:tcPr>
          <w:p w14:paraId="23AE100F">
            <w:pPr>
              <w:widowControl/>
              <w:jc w:val="center"/>
              <w:textAlignment w:val="center"/>
              <w:rPr>
                <w:szCs w:val="21"/>
              </w:rPr>
            </w:pPr>
            <w:r>
              <w:rPr>
                <w:kern w:val="0"/>
                <w:szCs w:val="21"/>
                <w:lang w:bidi="ar"/>
              </w:rPr>
              <w:t>5号地</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7F465743">
            <w:pPr>
              <w:widowControl/>
              <w:jc w:val="center"/>
              <w:textAlignment w:val="center"/>
              <w:rPr>
                <w:szCs w:val="21"/>
              </w:rPr>
            </w:pPr>
            <w:r>
              <w:rPr>
                <w:kern w:val="0"/>
                <w:szCs w:val="21"/>
                <w:lang w:bidi="ar"/>
              </w:rPr>
              <w:t>大河边篮球场位置猪舍</w:t>
            </w:r>
          </w:p>
        </w:tc>
        <w:tc>
          <w:tcPr>
            <w:tcW w:w="906" w:type="pct"/>
            <w:vMerge w:val="restart"/>
            <w:tcBorders>
              <w:top w:val="single" w:color="000000" w:sz="4" w:space="0"/>
              <w:left w:val="single" w:color="000000" w:sz="4" w:space="0"/>
              <w:bottom w:val="single" w:color="000000" w:sz="4" w:space="0"/>
              <w:right w:val="single" w:color="000000" w:sz="4" w:space="0"/>
            </w:tcBorders>
            <w:noWrap/>
            <w:vAlign w:val="center"/>
          </w:tcPr>
          <w:p w14:paraId="1DB558E1">
            <w:pPr>
              <w:widowControl/>
              <w:jc w:val="center"/>
              <w:textAlignment w:val="center"/>
              <w:rPr>
                <w:szCs w:val="21"/>
              </w:rPr>
            </w:pPr>
            <w:r>
              <w:rPr>
                <w:kern w:val="0"/>
                <w:szCs w:val="21"/>
                <w:lang w:bidi="ar"/>
              </w:rPr>
              <w:t xml:space="preserve">1.6080 </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14:paraId="356F9159">
            <w:pPr>
              <w:widowControl/>
              <w:jc w:val="center"/>
              <w:textAlignment w:val="center"/>
              <w:rPr>
                <w:szCs w:val="21"/>
              </w:rPr>
            </w:pPr>
            <w:r>
              <w:rPr>
                <w:kern w:val="0"/>
                <w:szCs w:val="21"/>
                <w:lang w:bidi="ar"/>
              </w:rPr>
              <w:t>0.35</w:t>
            </w:r>
          </w:p>
        </w:tc>
        <w:tc>
          <w:tcPr>
            <w:tcW w:w="952" w:type="pct"/>
            <w:vMerge w:val="restart"/>
            <w:tcBorders>
              <w:top w:val="single" w:color="000000" w:sz="4" w:space="0"/>
              <w:left w:val="single" w:color="000000" w:sz="4" w:space="0"/>
              <w:bottom w:val="single" w:color="000000" w:sz="4" w:space="0"/>
              <w:right w:val="single" w:color="000000" w:sz="4" w:space="0"/>
            </w:tcBorders>
            <w:noWrap/>
            <w:vAlign w:val="center"/>
          </w:tcPr>
          <w:p w14:paraId="3C983182">
            <w:pPr>
              <w:widowControl/>
              <w:jc w:val="center"/>
              <w:textAlignment w:val="center"/>
              <w:rPr>
                <w:szCs w:val="21"/>
              </w:rPr>
            </w:pPr>
            <w:r>
              <w:rPr>
                <w:kern w:val="0"/>
                <w:szCs w:val="21"/>
                <w:lang w:bidi="ar"/>
              </w:rPr>
              <w:t xml:space="preserve">562.8033 </w:t>
            </w:r>
          </w:p>
        </w:tc>
      </w:tr>
      <w:tr w14:paraId="0559CAC8">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304CB57B">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5E99DC2B">
            <w:pPr>
              <w:widowControl/>
              <w:jc w:val="center"/>
              <w:textAlignment w:val="center"/>
              <w:rPr>
                <w:szCs w:val="21"/>
              </w:rPr>
            </w:pPr>
            <w:r>
              <w:rPr>
                <w:kern w:val="0"/>
                <w:szCs w:val="21"/>
                <w:lang w:bidi="ar"/>
              </w:rPr>
              <w:t>大河边上煤仓位置1号舍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588ECC1A">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7BE304AB">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725DD2AA">
            <w:pPr>
              <w:jc w:val="center"/>
              <w:rPr>
                <w:szCs w:val="21"/>
              </w:rPr>
            </w:pPr>
          </w:p>
        </w:tc>
      </w:tr>
      <w:tr w14:paraId="7903BD3E">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42BC2FDA">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199B0F0">
            <w:pPr>
              <w:widowControl/>
              <w:jc w:val="center"/>
              <w:textAlignment w:val="center"/>
              <w:rPr>
                <w:szCs w:val="21"/>
              </w:rPr>
            </w:pPr>
            <w:r>
              <w:rPr>
                <w:kern w:val="0"/>
                <w:szCs w:val="21"/>
                <w:lang w:bidi="ar"/>
              </w:rPr>
              <w:t>大河边上煤仓位置2号舍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6C76FCA8">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35ADF7B5">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4FAE652C">
            <w:pPr>
              <w:jc w:val="center"/>
              <w:rPr>
                <w:szCs w:val="21"/>
              </w:rPr>
            </w:pPr>
          </w:p>
        </w:tc>
      </w:tr>
      <w:tr w14:paraId="01E35BA3">
        <w:tblPrEx>
          <w:tblCellMar>
            <w:top w:w="0" w:type="dxa"/>
            <w:left w:w="108" w:type="dxa"/>
            <w:bottom w:w="0" w:type="dxa"/>
            <w:right w:w="108" w:type="dxa"/>
          </w:tblCellMar>
        </w:tblPrEx>
        <w:trPr>
          <w:trHeight w:val="285" w:hRule="atLeast"/>
        </w:trPr>
        <w:tc>
          <w:tcPr>
            <w:tcW w:w="378" w:type="pct"/>
            <w:vMerge w:val="continue"/>
            <w:tcBorders>
              <w:top w:val="single" w:color="000000" w:sz="4" w:space="0"/>
              <w:left w:val="single" w:color="000000" w:sz="4" w:space="0"/>
              <w:bottom w:val="single" w:color="000000" w:sz="4" w:space="0"/>
              <w:right w:val="single" w:color="000000" w:sz="4" w:space="0"/>
            </w:tcBorders>
            <w:noWrap/>
            <w:vAlign w:val="center"/>
          </w:tcPr>
          <w:p w14:paraId="157F3ECB">
            <w:pPr>
              <w:jc w:val="center"/>
              <w:rPr>
                <w:szCs w:val="21"/>
              </w:rPr>
            </w:pP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C826608">
            <w:pPr>
              <w:widowControl/>
              <w:jc w:val="center"/>
              <w:textAlignment w:val="center"/>
              <w:rPr>
                <w:szCs w:val="21"/>
              </w:rPr>
            </w:pPr>
            <w:r>
              <w:rPr>
                <w:kern w:val="0"/>
                <w:szCs w:val="21"/>
                <w:lang w:bidi="ar"/>
              </w:rPr>
              <w:t>大河边下煤仓位置猪舍</w:t>
            </w:r>
          </w:p>
        </w:tc>
        <w:tc>
          <w:tcPr>
            <w:tcW w:w="906" w:type="pct"/>
            <w:vMerge w:val="continue"/>
            <w:tcBorders>
              <w:top w:val="single" w:color="000000" w:sz="4" w:space="0"/>
              <w:left w:val="single" w:color="000000" w:sz="4" w:space="0"/>
              <w:bottom w:val="single" w:color="000000" w:sz="4" w:space="0"/>
              <w:right w:val="single" w:color="000000" w:sz="4" w:space="0"/>
            </w:tcBorders>
            <w:noWrap/>
            <w:vAlign w:val="center"/>
          </w:tcPr>
          <w:p w14:paraId="142A98B9">
            <w:pPr>
              <w:jc w:val="center"/>
              <w:rPr>
                <w:szCs w:val="21"/>
              </w:rPr>
            </w:pP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14:paraId="3B765B71">
            <w:pPr>
              <w:jc w:val="center"/>
              <w:rPr>
                <w:szCs w:val="21"/>
              </w:rPr>
            </w:pPr>
          </w:p>
        </w:tc>
        <w:tc>
          <w:tcPr>
            <w:tcW w:w="952" w:type="pct"/>
            <w:vMerge w:val="continue"/>
            <w:tcBorders>
              <w:top w:val="single" w:color="000000" w:sz="4" w:space="0"/>
              <w:left w:val="single" w:color="000000" w:sz="4" w:space="0"/>
              <w:bottom w:val="single" w:color="000000" w:sz="4" w:space="0"/>
              <w:right w:val="single" w:color="000000" w:sz="4" w:space="0"/>
            </w:tcBorders>
            <w:noWrap/>
            <w:vAlign w:val="center"/>
          </w:tcPr>
          <w:p w14:paraId="0F8C7D06">
            <w:pPr>
              <w:jc w:val="center"/>
              <w:rPr>
                <w:szCs w:val="21"/>
              </w:rPr>
            </w:pPr>
          </w:p>
        </w:tc>
      </w:tr>
      <w:tr w14:paraId="484C0585">
        <w:tblPrEx>
          <w:tblCellMar>
            <w:top w:w="0" w:type="dxa"/>
            <w:left w:w="108" w:type="dxa"/>
            <w:bottom w:w="0" w:type="dxa"/>
            <w:right w:w="108" w:type="dxa"/>
          </w:tblCellMar>
        </w:tblPrEx>
        <w:trPr>
          <w:trHeight w:val="285" w:hRule="atLeast"/>
        </w:trPr>
        <w:tc>
          <w:tcPr>
            <w:tcW w:w="1839" w:type="pct"/>
            <w:gridSpan w:val="2"/>
            <w:tcBorders>
              <w:top w:val="single" w:color="000000" w:sz="4" w:space="0"/>
              <w:left w:val="single" w:color="000000" w:sz="4" w:space="0"/>
              <w:bottom w:val="single" w:color="000000" w:sz="4" w:space="0"/>
              <w:right w:val="single" w:color="000000" w:sz="4" w:space="0"/>
            </w:tcBorders>
            <w:noWrap/>
            <w:vAlign w:val="center"/>
          </w:tcPr>
          <w:p w14:paraId="36351CBB">
            <w:pPr>
              <w:widowControl/>
              <w:jc w:val="center"/>
              <w:textAlignment w:val="center"/>
              <w:rPr>
                <w:szCs w:val="21"/>
              </w:rPr>
            </w:pPr>
            <w:r>
              <w:rPr>
                <w:kern w:val="0"/>
                <w:szCs w:val="21"/>
                <w:lang w:bidi="ar"/>
              </w:rPr>
              <w:t>合计</w:t>
            </w:r>
          </w:p>
        </w:tc>
        <w:tc>
          <w:tcPr>
            <w:tcW w:w="906" w:type="pct"/>
            <w:tcBorders>
              <w:top w:val="single" w:color="000000" w:sz="4" w:space="0"/>
              <w:left w:val="single" w:color="000000" w:sz="4" w:space="0"/>
              <w:bottom w:val="single" w:color="000000" w:sz="4" w:space="0"/>
              <w:right w:val="single" w:color="000000" w:sz="4" w:space="0"/>
            </w:tcBorders>
            <w:noWrap/>
            <w:vAlign w:val="center"/>
          </w:tcPr>
          <w:p w14:paraId="7700BB4D">
            <w:pPr>
              <w:widowControl/>
              <w:jc w:val="center"/>
              <w:textAlignment w:val="center"/>
              <w:rPr>
                <w:szCs w:val="21"/>
              </w:rPr>
            </w:pPr>
            <w:r>
              <w:rPr>
                <w:kern w:val="0"/>
                <w:szCs w:val="21"/>
                <w:lang w:bidi="ar"/>
              </w:rPr>
              <w:t xml:space="preserve">6.9268 </w:t>
            </w:r>
          </w:p>
        </w:tc>
        <w:tc>
          <w:tcPr>
            <w:tcW w:w="1301" w:type="pct"/>
            <w:tcBorders>
              <w:top w:val="single" w:color="000000" w:sz="4" w:space="0"/>
              <w:left w:val="single" w:color="000000" w:sz="4" w:space="0"/>
              <w:bottom w:val="single" w:color="000000" w:sz="4" w:space="0"/>
              <w:right w:val="single" w:color="000000" w:sz="4" w:space="0"/>
            </w:tcBorders>
            <w:noWrap/>
            <w:vAlign w:val="center"/>
          </w:tcPr>
          <w:p w14:paraId="0777D4C7">
            <w:pPr>
              <w:widowControl/>
              <w:jc w:val="center"/>
              <w:textAlignment w:val="center"/>
              <w:rPr>
                <w:szCs w:val="21"/>
              </w:rPr>
            </w:pPr>
            <w:r>
              <w:rPr>
                <w:kern w:val="0"/>
                <w:szCs w:val="21"/>
                <w:lang w:bidi="ar"/>
              </w:rPr>
              <w:t>/</w:t>
            </w:r>
          </w:p>
        </w:tc>
        <w:tc>
          <w:tcPr>
            <w:tcW w:w="952" w:type="pct"/>
            <w:tcBorders>
              <w:top w:val="single" w:color="000000" w:sz="4" w:space="0"/>
              <w:left w:val="single" w:color="000000" w:sz="4" w:space="0"/>
              <w:bottom w:val="single" w:color="000000" w:sz="4" w:space="0"/>
              <w:right w:val="single" w:color="000000" w:sz="4" w:space="0"/>
            </w:tcBorders>
            <w:noWrap/>
            <w:vAlign w:val="center"/>
          </w:tcPr>
          <w:p w14:paraId="4F5C029D">
            <w:pPr>
              <w:widowControl/>
              <w:jc w:val="center"/>
              <w:textAlignment w:val="center"/>
              <w:rPr>
                <w:szCs w:val="21"/>
              </w:rPr>
            </w:pPr>
            <w:r>
              <w:rPr>
                <w:kern w:val="0"/>
                <w:szCs w:val="21"/>
                <w:lang w:bidi="ar"/>
              </w:rPr>
              <w:t xml:space="preserve">2424.3770 </w:t>
            </w:r>
          </w:p>
        </w:tc>
      </w:tr>
    </w:tbl>
    <w:p w14:paraId="4BF7736D">
      <w:pPr>
        <w:spacing w:line="360" w:lineRule="auto"/>
        <w:ind w:firstLine="480" w:firstLineChars="200"/>
        <w:rPr>
          <w:kern w:val="0"/>
          <w:sz w:val="24"/>
          <w:lang w:bidi="en-US"/>
        </w:rPr>
      </w:pPr>
      <w:r>
        <w:rPr>
          <w:kern w:val="0"/>
          <w:sz w:val="24"/>
          <w:lang w:bidi="en-US"/>
        </w:rPr>
        <w:t>本项目产生的沼气成分见表3.4-8。</w:t>
      </w:r>
    </w:p>
    <w:p w14:paraId="46099794">
      <w:pPr>
        <w:spacing w:line="360" w:lineRule="auto"/>
        <w:ind w:firstLine="482" w:firstLineChars="200"/>
        <w:jc w:val="center"/>
        <w:rPr>
          <w:kern w:val="0"/>
          <w:sz w:val="24"/>
          <w:lang w:bidi="en-US"/>
        </w:rPr>
      </w:pPr>
      <w:r>
        <w:rPr>
          <w:b/>
          <w:bCs/>
          <w:kern w:val="0"/>
          <w:sz w:val="24"/>
          <w:lang w:bidi="en-US"/>
        </w:rPr>
        <w:t>表3.4-8</w:t>
      </w:r>
      <w:r>
        <w:rPr>
          <w:b/>
          <w:bCs/>
          <w:kern w:val="0"/>
          <w:sz w:val="24"/>
          <w:lang w:bidi="en-US"/>
        </w:rPr>
        <w:tab/>
      </w:r>
      <w:r>
        <w:rPr>
          <w:b/>
          <w:bCs/>
          <w:kern w:val="0"/>
          <w:sz w:val="24"/>
          <w:lang w:bidi="en-US"/>
        </w:rPr>
        <w:t>沼气成分一览表</w:t>
      </w:r>
    </w:p>
    <w:tbl>
      <w:tblPr>
        <w:tblStyle w:val="87"/>
        <w:tblW w:w="0" w:type="auto"/>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1"/>
        <w:gridCol w:w="1064"/>
        <w:gridCol w:w="1064"/>
        <w:gridCol w:w="585"/>
        <w:gridCol w:w="587"/>
        <w:gridCol w:w="735"/>
        <w:gridCol w:w="1318"/>
        <w:gridCol w:w="1308"/>
      </w:tblGrid>
      <w:tr w14:paraId="0678B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78" w:hRule="exact"/>
        </w:trPr>
        <w:tc>
          <w:tcPr>
            <w:tcW w:w="1651" w:type="dxa"/>
            <w:noWrap w:val="0"/>
            <w:vAlign w:val="center"/>
          </w:tcPr>
          <w:p w14:paraId="48940578">
            <w:pPr>
              <w:jc w:val="center"/>
              <w:rPr>
                <w:kern w:val="0"/>
                <w:szCs w:val="21"/>
                <w:lang w:bidi="en-US"/>
              </w:rPr>
            </w:pPr>
            <w:r>
              <w:rPr>
                <w:kern w:val="0"/>
                <w:szCs w:val="21"/>
                <w:lang w:bidi="en-US"/>
              </w:rPr>
              <w:t>成分</w:t>
            </w:r>
          </w:p>
        </w:tc>
        <w:tc>
          <w:tcPr>
            <w:tcW w:w="1064" w:type="dxa"/>
            <w:noWrap w:val="0"/>
            <w:vAlign w:val="center"/>
          </w:tcPr>
          <w:p w14:paraId="4A44C77B">
            <w:pPr>
              <w:jc w:val="center"/>
              <w:rPr>
                <w:kern w:val="0"/>
                <w:szCs w:val="21"/>
                <w:lang w:bidi="en-US"/>
              </w:rPr>
            </w:pPr>
            <w:r>
              <w:rPr>
                <w:kern w:val="0"/>
                <w:szCs w:val="21"/>
                <w:lang w:bidi="en-US"/>
              </w:rPr>
              <w:t>CH</w:t>
            </w:r>
            <w:r>
              <w:rPr>
                <w:kern w:val="0"/>
                <w:szCs w:val="21"/>
                <w:vertAlign w:val="subscript"/>
                <w:lang w:bidi="en-US"/>
              </w:rPr>
              <w:t>4</w:t>
            </w:r>
          </w:p>
        </w:tc>
        <w:tc>
          <w:tcPr>
            <w:tcW w:w="1064" w:type="dxa"/>
            <w:noWrap w:val="0"/>
            <w:vAlign w:val="center"/>
          </w:tcPr>
          <w:p w14:paraId="5EDAA7DE">
            <w:pPr>
              <w:jc w:val="center"/>
              <w:rPr>
                <w:kern w:val="0"/>
                <w:szCs w:val="21"/>
                <w:lang w:bidi="en-US"/>
              </w:rPr>
            </w:pPr>
            <w:r>
              <w:rPr>
                <w:kern w:val="0"/>
                <w:szCs w:val="21"/>
                <w:lang w:bidi="en-US"/>
              </w:rPr>
              <w:t>CO</w:t>
            </w:r>
            <w:r>
              <w:rPr>
                <w:kern w:val="0"/>
                <w:szCs w:val="21"/>
                <w:vertAlign w:val="subscript"/>
                <w:lang w:bidi="en-US"/>
              </w:rPr>
              <w:t>2</w:t>
            </w:r>
          </w:p>
        </w:tc>
        <w:tc>
          <w:tcPr>
            <w:tcW w:w="585" w:type="dxa"/>
            <w:noWrap w:val="0"/>
            <w:vAlign w:val="center"/>
          </w:tcPr>
          <w:p w14:paraId="3B8B3778">
            <w:pPr>
              <w:jc w:val="center"/>
              <w:rPr>
                <w:kern w:val="0"/>
                <w:szCs w:val="21"/>
                <w:lang w:bidi="en-US"/>
              </w:rPr>
            </w:pPr>
            <w:r>
              <w:rPr>
                <w:kern w:val="0"/>
                <w:szCs w:val="21"/>
                <w:lang w:bidi="en-US"/>
              </w:rPr>
              <w:t>N</w:t>
            </w:r>
            <w:r>
              <w:rPr>
                <w:kern w:val="0"/>
                <w:szCs w:val="21"/>
                <w:vertAlign w:val="subscript"/>
                <w:lang w:bidi="en-US"/>
              </w:rPr>
              <w:t>2</w:t>
            </w:r>
          </w:p>
        </w:tc>
        <w:tc>
          <w:tcPr>
            <w:tcW w:w="587" w:type="dxa"/>
            <w:noWrap w:val="0"/>
            <w:vAlign w:val="center"/>
          </w:tcPr>
          <w:p w14:paraId="7475BA03">
            <w:pPr>
              <w:jc w:val="center"/>
              <w:rPr>
                <w:kern w:val="0"/>
                <w:szCs w:val="21"/>
                <w:lang w:bidi="en-US"/>
              </w:rPr>
            </w:pPr>
            <w:r>
              <w:rPr>
                <w:kern w:val="0"/>
                <w:szCs w:val="21"/>
                <w:lang w:bidi="en-US"/>
              </w:rPr>
              <w:t>H</w:t>
            </w:r>
            <w:r>
              <w:rPr>
                <w:kern w:val="0"/>
                <w:szCs w:val="21"/>
                <w:vertAlign w:val="subscript"/>
                <w:lang w:bidi="en-US"/>
              </w:rPr>
              <w:t>2</w:t>
            </w:r>
          </w:p>
        </w:tc>
        <w:tc>
          <w:tcPr>
            <w:tcW w:w="735" w:type="dxa"/>
            <w:noWrap w:val="0"/>
            <w:vAlign w:val="center"/>
          </w:tcPr>
          <w:p w14:paraId="7DD56B9C">
            <w:pPr>
              <w:jc w:val="center"/>
              <w:rPr>
                <w:kern w:val="0"/>
                <w:szCs w:val="21"/>
                <w:lang w:bidi="en-US"/>
              </w:rPr>
            </w:pPr>
            <w:r>
              <w:rPr>
                <w:kern w:val="0"/>
                <w:szCs w:val="21"/>
                <w:lang w:bidi="en-US"/>
              </w:rPr>
              <w:t>O</w:t>
            </w:r>
            <w:r>
              <w:rPr>
                <w:kern w:val="0"/>
                <w:szCs w:val="21"/>
                <w:vertAlign w:val="subscript"/>
                <w:lang w:bidi="en-US"/>
              </w:rPr>
              <w:t>2</w:t>
            </w:r>
          </w:p>
        </w:tc>
        <w:tc>
          <w:tcPr>
            <w:tcW w:w="1318" w:type="dxa"/>
            <w:noWrap w:val="0"/>
            <w:vAlign w:val="center"/>
          </w:tcPr>
          <w:p w14:paraId="30DBE707">
            <w:pPr>
              <w:jc w:val="center"/>
              <w:rPr>
                <w:kern w:val="0"/>
                <w:szCs w:val="21"/>
                <w:lang w:bidi="en-US"/>
              </w:rPr>
            </w:pPr>
            <w:r>
              <w:rPr>
                <w:kern w:val="0"/>
                <w:szCs w:val="21"/>
                <w:lang w:bidi="en-US"/>
              </w:rPr>
              <w:t>H</w:t>
            </w:r>
            <w:r>
              <w:rPr>
                <w:kern w:val="0"/>
                <w:szCs w:val="21"/>
                <w:vertAlign w:val="subscript"/>
                <w:lang w:bidi="en-US"/>
              </w:rPr>
              <w:t>2</w:t>
            </w:r>
            <w:r>
              <w:rPr>
                <w:kern w:val="0"/>
                <w:szCs w:val="21"/>
                <w:lang w:bidi="en-US"/>
              </w:rPr>
              <w:t>S</w:t>
            </w:r>
          </w:p>
        </w:tc>
        <w:tc>
          <w:tcPr>
            <w:tcW w:w="1308" w:type="dxa"/>
            <w:noWrap w:val="0"/>
            <w:vAlign w:val="center"/>
          </w:tcPr>
          <w:p w14:paraId="632ABAD7">
            <w:pPr>
              <w:jc w:val="center"/>
              <w:rPr>
                <w:kern w:val="0"/>
                <w:szCs w:val="21"/>
                <w:lang w:bidi="en-US"/>
              </w:rPr>
            </w:pPr>
            <w:r>
              <w:rPr>
                <w:kern w:val="0"/>
                <w:szCs w:val="21"/>
                <w:lang w:bidi="en-US"/>
              </w:rPr>
              <w:t>H</w:t>
            </w:r>
            <w:r>
              <w:rPr>
                <w:kern w:val="0"/>
                <w:szCs w:val="21"/>
                <w:vertAlign w:val="subscript"/>
                <w:lang w:bidi="en-US"/>
              </w:rPr>
              <w:t>2</w:t>
            </w:r>
            <w:r>
              <w:rPr>
                <w:kern w:val="0"/>
                <w:szCs w:val="21"/>
                <w:lang w:bidi="en-US"/>
              </w:rPr>
              <w:t>O</w:t>
            </w:r>
          </w:p>
        </w:tc>
      </w:tr>
      <w:tr w14:paraId="6E701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77" w:hRule="exact"/>
        </w:trPr>
        <w:tc>
          <w:tcPr>
            <w:tcW w:w="1651" w:type="dxa"/>
            <w:noWrap w:val="0"/>
            <w:vAlign w:val="center"/>
          </w:tcPr>
          <w:p w14:paraId="0E8B87D6">
            <w:pPr>
              <w:jc w:val="center"/>
              <w:rPr>
                <w:kern w:val="0"/>
                <w:szCs w:val="21"/>
                <w:lang w:bidi="en-US"/>
              </w:rPr>
            </w:pPr>
            <w:r>
              <w:rPr>
                <w:kern w:val="0"/>
                <w:szCs w:val="21"/>
                <w:lang w:bidi="en-US"/>
              </w:rPr>
              <w:t>含量（体积分数）</w:t>
            </w:r>
          </w:p>
        </w:tc>
        <w:tc>
          <w:tcPr>
            <w:tcW w:w="1064" w:type="dxa"/>
            <w:noWrap w:val="0"/>
            <w:vAlign w:val="center"/>
          </w:tcPr>
          <w:p w14:paraId="396A1231">
            <w:pPr>
              <w:jc w:val="center"/>
              <w:rPr>
                <w:kern w:val="0"/>
                <w:szCs w:val="21"/>
                <w:lang w:bidi="en-US"/>
              </w:rPr>
            </w:pPr>
            <w:r>
              <w:rPr>
                <w:kern w:val="0"/>
                <w:szCs w:val="21"/>
                <w:lang w:bidi="en-US"/>
              </w:rPr>
              <w:t>50%~80%</w:t>
            </w:r>
          </w:p>
        </w:tc>
        <w:tc>
          <w:tcPr>
            <w:tcW w:w="1064" w:type="dxa"/>
            <w:noWrap w:val="0"/>
            <w:vAlign w:val="center"/>
          </w:tcPr>
          <w:p w14:paraId="783D1A83">
            <w:pPr>
              <w:jc w:val="center"/>
              <w:rPr>
                <w:kern w:val="0"/>
                <w:szCs w:val="21"/>
                <w:lang w:bidi="en-US"/>
              </w:rPr>
            </w:pPr>
            <w:r>
              <w:rPr>
                <w:kern w:val="0"/>
                <w:szCs w:val="21"/>
                <w:lang w:bidi="en-US"/>
              </w:rPr>
              <w:t>20%~40%</w:t>
            </w:r>
          </w:p>
        </w:tc>
        <w:tc>
          <w:tcPr>
            <w:tcW w:w="585" w:type="dxa"/>
            <w:noWrap w:val="0"/>
            <w:vAlign w:val="center"/>
          </w:tcPr>
          <w:p w14:paraId="37A6175E">
            <w:pPr>
              <w:jc w:val="center"/>
              <w:rPr>
                <w:kern w:val="0"/>
                <w:szCs w:val="21"/>
                <w:lang w:bidi="en-US"/>
              </w:rPr>
            </w:pPr>
            <w:r>
              <w:rPr>
                <w:kern w:val="0"/>
                <w:szCs w:val="21"/>
                <w:lang w:bidi="en-US"/>
              </w:rPr>
              <w:t>&lt;5%</w:t>
            </w:r>
          </w:p>
        </w:tc>
        <w:tc>
          <w:tcPr>
            <w:tcW w:w="587" w:type="dxa"/>
            <w:noWrap w:val="0"/>
            <w:vAlign w:val="center"/>
          </w:tcPr>
          <w:p w14:paraId="10F2A553">
            <w:pPr>
              <w:jc w:val="center"/>
              <w:rPr>
                <w:kern w:val="0"/>
                <w:szCs w:val="21"/>
                <w:lang w:bidi="en-US"/>
              </w:rPr>
            </w:pPr>
            <w:r>
              <w:rPr>
                <w:kern w:val="0"/>
                <w:szCs w:val="21"/>
                <w:lang w:bidi="en-US"/>
              </w:rPr>
              <w:t>&lt;1%</w:t>
            </w:r>
          </w:p>
        </w:tc>
        <w:tc>
          <w:tcPr>
            <w:tcW w:w="735" w:type="dxa"/>
            <w:noWrap w:val="0"/>
            <w:vAlign w:val="center"/>
          </w:tcPr>
          <w:p w14:paraId="3C465F38">
            <w:pPr>
              <w:jc w:val="center"/>
              <w:rPr>
                <w:kern w:val="0"/>
                <w:szCs w:val="21"/>
                <w:lang w:bidi="en-US"/>
              </w:rPr>
            </w:pPr>
            <w:r>
              <w:rPr>
                <w:kern w:val="0"/>
                <w:szCs w:val="21"/>
                <w:lang w:bidi="en-US"/>
              </w:rPr>
              <w:t>&lt;0.4%</w:t>
            </w:r>
          </w:p>
        </w:tc>
        <w:tc>
          <w:tcPr>
            <w:tcW w:w="1318" w:type="dxa"/>
            <w:noWrap w:val="0"/>
            <w:vAlign w:val="center"/>
          </w:tcPr>
          <w:p w14:paraId="19710557">
            <w:pPr>
              <w:jc w:val="center"/>
              <w:rPr>
                <w:kern w:val="0"/>
                <w:szCs w:val="21"/>
                <w:lang w:bidi="en-US"/>
              </w:rPr>
            </w:pPr>
            <w:r>
              <w:rPr>
                <w:kern w:val="0"/>
                <w:szCs w:val="21"/>
                <w:lang w:bidi="en-US"/>
              </w:rPr>
              <w:t>0.05%~0.1%</w:t>
            </w:r>
          </w:p>
        </w:tc>
        <w:tc>
          <w:tcPr>
            <w:tcW w:w="1308" w:type="dxa"/>
            <w:noWrap w:val="0"/>
            <w:vAlign w:val="center"/>
          </w:tcPr>
          <w:p w14:paraId="5D059FB8">
            <w:pPr>
              <w:jc w:val="center"/>
              <w:rPr>
                <w:kern w:val="0"/>
                <w:szCs w:val="21"/>
                <w:lang w:bidi="en-US"/>
              </w:rPr>
            </w:pPr>
            <w:r>
              <w:rPr>
                <w:kern w:val="0"/>
                <w:szCs w:val="21"/>
                <w:lang w:bidi="en-US"/>
              </w:rPr>
              <w:t>&lt;5%（35℃）</w:t>
            </w:r>
          </w:p>
        </w:tc>
      </w:tr>
    </w:tbl>
    <w:p w14:paraId="1738A7A3">
      <w:pPr>
        <w:spacing w:line="360" w:lineRule="auto"/>
        <w:ind w:firstLine="480" w:firstLineChars="200"/>
        <w:rPr>
          <w:kern w:val="0"/>
          <w:sz w:val="24"/>
          <w:lang w:bidi="en-US"/>
        </w:rPr>
      </w:pPr>
      <w:r>
        <w:rPr>
          <w:kern w:val="0"/>
          <w:sz w:val="24"/>
          <w:lang w:bidi="en-US"/>
        </w:rPr>
        <w:t>根据建设方提供的资料，本项目沼气主要用于员工生活能源使用，由于2号地及3号地共同设置生活区，2号地及3号地粪污处理产生的沼气均由设置在2号地的生活区消耗。项目各场区设双膜储气袋（当天产气当天使用），用于储存沼气，能够满足沼气存放要求。</w:t>
      </w:r>
    </w:p>
    <w:p w14:paraId="1575B10B">
      <w:pPr>
        <w:spacing w:line="360" w:lineRule="auto"/>
        <w:ind w:firstLine="482" w:firstLineChars="200"/>
        <w:rPr>
          <w:b/>
          <w:kern w:val="0"/>
          <w:sz w:val="24"/>
          <w:lang w:bidi="en-US"/>
        </w:rPr>
      </w:pPr>
      <w:r>
        <w:rPr>
          <w:b/>
          <w:kern w:val="0"/>
          <w:sz w:val="24"/>
          <w:lang w:bidi="en-US"/>
        </w:rPr>
        <w:t>（2）沼气脱硫</w:t>
      </w:r>
    </w:p>
    <w:p w14:paraId="7EDE26AD">
      <w:pPr>
        <w:spacing w:line="360" w:lineRule="auto"/>
        <w:ind w:firstLine="480" w:firstLineChars="200"/>
        <w:rPr>
          <w:kern w:val="0"/>
          <w:sz w:val="24"/>
          <w:lang w:bidi="en-US"/>
        </w:rPr>
      </w:pPr>
      <w:r>
        <w:rPr>
          <w:kern w:val="0"/>
          <w:sz w:val="24"/>
          <w:lang w:bidi="en-US"/>
        </w:rPr>
        <w:t>由于沼气所含水分为饱和蒸汽压，在遇温度变化时会重新凝结为液态水阻塞沼气输送管路；同时由于原沼气含硫化物量较大，且以H</w:t>
      </w:r>
      <w:r>
        <w:rPr>
          <w:kern w:val="0"/>
          <w:sz w:val="24"/>
          <w:vertAlign w:val="subscript"/>
          <w:lang w:bidi="en-US"/>
        </w:rPr>
        <w:t>2</w:t>
      </w:r>
      <w:r>
        <w:rPr>
          <w:kern w:val="0"/>
          <w:sz w:val="24"/>
          <w:lang w:bidi="en-US"/>
        </w:rPr>
        <w:t>S为主，易形成酸腐蚀管路。因此，《规模化畜禽养殖场沼气设计规范》要求（NY/T1222-2006），在进入沼气储罐前必须经脱水和脱硫。项目配套设置有沼气净化装置，采用脱水脱硫装置净化沼气，具体处理工艺为：厌氧池沼气→沉降脱水→干法脱硫→净化后的沼气→沼气储罐→生活能源。沼气干法脱硫最常用的方法为常温氧化铁脱硫，根据《常温氧化铁脱硫剂在沼气脱硫中的应用》（山西省汾阳催化剂厂  霍保根、田凤军），好的常温氧化铁脱硫剂硫容可达30%-40%以上，脱硫效率均在99%以上。根据沼气成分表，100m</w:t>
      </w:r>
      <w:r>
        <w:rPr>
          <w:kern w:val="0"/>
          <w:sz w:val="24"/>
          <w:vertAlign w:val="superscript"/>
          <w:lang w:bidi="en-US"/>
        </w:rPr>
        <w:t>3</w:t>
      </w:r>
      <w:r>
        <w:rPr>
          <w:kern w:val="0"/>
          <w:sz w:val="24"/>
          <w:lang w:bidi="en-US"/>
        </w:rPr>
        <w:t>沼气中，H</w:t>
      </w:r>
      <w:r>
        <w:rPr>
          <w:kern w:val="0"/>
          <w:sz w:val="24"/>
          <w:vertAlign w:val="subscript"/>
          <w:lang w:bidi="en-US"/>
        </w:rPr>
        <w:t>2</w:t>
      </w:r>
      <w:r>
        <w:rPr>
          <w:kern w:val="0"/>
          <w:sz w:val="24"/>
          <w:lang w:bidi="en-US"/>
        </w:rPr>
        <w:t>S约占0.05-0.1m</w:t>
      </w:r>
      <w:r>
        <w:rPr>
          <w:kern w:val="0"/>
          <w:sz w:val="24"/>
          <w:vertAlign w:val="superscript"/>
          <w:lang w:bidi="en-US"/>
        </w:rPr>
        <w:t>3</w:t>
      </w:r>
      <w:r>
        <w:rPr>
          <w:kern w:val="0"/>
          <w:sz w:val="24"/>
          <w:lang w:bidi="en-US"/>
        </w:rPr>
        <w:t>（75.9-151.8g），经过脱硫后为0.759-1.518g，浓度为7.59-15.18mg/m</w:t>
      </w:r>
      <w:r>
        <w:rPr>
          <w:kern w:val="0"/>
          <w:sz w:val="24"/>
          <w:vertAlign w:val="superscript"/>
          <w:lang w:bidi="en-US"/>
        </w:rPr>
        <w:t>3</w:t>
      </w:r>
      <w:r>
        <w:rPr>
          <w:kern w:val="0"/>
          <w:sz w:val="24"/>
          <w:lang w:bidi="en-US"/>
        </w:rPr>
        <w:t>。氧化铁脱硫剂可以与空气进行再生，多次利用，当脱硫剂活性下降无法再生利用时，需进行换料，由换料的生产厂家带走回收利用。</w:t>
      </w:r>
    </w:p>
    <w:p w14:paraId="33E60802">
      <w:pPr>
        <w:spacing w:line="360" w:lineRule="auto"/>
        <w:ind w:firstLine="482" w:firstLineChars="200"/>
        <w:rPr>
          <w:b/>
          <w:kern w:val="0"/>
          <w:sz w:val="24"/>
          <w:lang w:bidi="en-US"/>
        </w:rPr>
      </w:pPr>
      <w:r>
        <w:rPr>
          <w:b/>
          <w:kern w:val="0"/>
          <w:sz w:val="24"/>
          <w:lang w:bidi="en-US"/>
        </w:rPr>
        <w:t>4、食堂油烟</w:t>
      </w:r>
    </w:p>
    <w:p w14:paraId="4555C40F">
      <w:pPr>
        <w:spacing w:line="360" w:lineRule="auto"/>
        <w:ind w:firstLine="480" w:firstLineChars="200"/>
        <w:rPr>
          <w:kern w:val="0"/>
          <w:sz w:val="24"/>
          <w:lang w:bidi="en-US"/>
        </w:rPr>
      </w:pPr>
      <w:r>
        <w:rPr>
          <w:kern w:val="0"/>
          <w:sz w:val="24"/>
          <w:lang w:bidi="en-US"/>
        </w:rPr>
        <w:t>本项目在项目内食宿人员为36人，分别分布在4个生活区，食堂每天提供3餐，食堂产生的油烟经抽油烟机处理后由油烟排气管排出，油烟产生量较小，经抽油烟机处理后满足《饮食业油烟排放标准》（GB18483-2001）（小型）。</w:t>
      </w:r>
    </w:p>
    <w:p w14:paraId="546D6E4D">
      <w:pPr>
        <w:pStyle w:val="7"/>
        <w:spacing w:before="0" w:after="0" w:line="360" w:lineRule="auto"/>
        <w:rPr>
          <w:rFonts w:ascii="Times New Roman" w:hAnsi="Times New Roman"/>
          <w:sz w:val="28"/>
          <w:szCs w:val="28"/>
        </w:rPr>
      </w:pPr>
      <w:r>
        <w:rPr>
          <w:rFonts w:ascii="Times New Roman" w:hAnsi="Times New Roman"/>
          <w:sz w:val="28"/>
          <w:szCs w:val="28"/>
        </w:rPr>
        <w:t>3.4.2废水</w:t>
      </w:r>
    </w:p>
    <w:p w14:paraId="60C025D9">
      <w:pPr>
        <w:widowControl/>
        <w:tabs>
          <w:tab w:val="left" w:pos="2100"/>
        </w:tabs>
        <w:spacing w:line="360" w:lineRule="auto"/>
        <w:ind w:firstLine="480" w:firstLineChars="200"/>
        <w:jc w:val="left"/>
        <w:rPr>
          <w:sz w:val="24"/>
        </w:rPr>
      </w:pPr>
      <w:r>
        <w:rPr>
          <w:sz w:val="24"/>
        </w:rPr>
        <w:t>（1）废水量及处理工艺</w:t>
      </w:r>
    </w:p>
    <w:p w14:paraId="1BEB67A1">
      <w:pPr>
        <w:widowControl/>
        <w:tabs>
          <w:tab w:val="left" w:pos="2100"/>
        </w:tabs>
        <w:spacing w:line="360" w:lineRule="auto"/>
        <w:ind w:firstLine="480" w:firstLineChars="200"/>
        <w:jc w:val="left"/>
        <w:rPr>
          <w:sz w:val="24"/>
        </w:rPr>
      </w:pPr>
      <w:r>
        <w:rPr>
          <w:sz w:val="24"/>
        </w:rPr>
        <w:t>根据3.3.2排水章节分析，本项目排水环节主要为猪尿液、猪粪固液分离废水、猪舍冲洗废水、养殖区职工生活污水，根据建设单位提供资料，建设单位拟在每个养殖地块设置1个污水处理系统，生活污水及养殖废水经收集后统一进入各养殖地块污水处理站处理后进入暂存池暂存，定期采用罐车运至建设单位苹果园用于施肥。项目废水处理工艺为“集中收集+固液分离+平流气浮+调节池+沼气池（UASB反应器）+沼液储存池”工艺处理后沼液用于自有苹果园灌溉，不外排。本项目废水主要污染物产生情况见表3.4-8。</w:t>
      </w:r>
    </w:p>
    <w:p w14:paraId="6F52D799">
      <w:pPr>
        <w:pStyle w:val="323"/>
        <w:spacing w:line="360" w:lineRule="auto"/>
        <w:ind w:left="-105" w:firstLine="461"/>
      </w:pPr>
      <w:r>
        <w:t>根据《畜禽养殖业污染治理工程技术规范》（HJ497-2009）畜禽养殖场废水中的污染物浓度因畜种、饲养管理水平、气候、季节等情况会有很大差异，不同统计资料提供的数值不尽相同，本项目清粪方式属于干清粪工艺，养殖废水水质参照《畜禽养殖业污染治理工程技术规范》（HJ 497-2009）附录A 中表A.1 畜禽养殖场废水中的污染物中质量浓度“干清粪工艺”进行核算，废水中主要污染物产生浓度见下表：</w:t>
      </w:r>
    </w:p>
    <w:p w14:paraId="507D09DC">
      <w:pPr>
        <w:pStyle w:val="323"/>
        <w:spacing w:line="360" w:lineRule="auto"/>
        <w:ind w:left="-105" w:firstLine="463"/>
        <w:jc w:val="center"/>
        <w:rPr>
          <w:b/>
          <w:bCs/>
        </w:rPr>
      </w:pPr>
      <w:r>
        <w:rPr>
          <w:b/>
          <w:bCs/>
        </w:rPr>
        <w:t>表3.4-9养殖场废水中的污染物中质量浓度表</w:t>
      </w:r>
    </w:p>
    <w:tbl>
      <w:tblPr>
        <w:tblStyle w:val="87"/>
        <w:tblW w:w="4998" w:type="pct"/>
        <w:tblInd w:w="0" w:type="dxa"/>
        <w:tblLayout w:type="autofit"/>
        <w:tblCellMar>
          <w:top w:w="0" w:type="dxa"/>
          <w:left w:w="108" w:type="dxa"/>
          <w:bottom w:w="0" w:type="dxa"/>
          <w:right w:w="108" w:type="dxa"/>
        </w:tblCellMar>
      </w:tblPr>
      <w:tblGrid>
        <w:gridCol w:w="1561"/>
        <w:gridCol w:w="1385"/>
        <w:gridCol w:w="1358"/>
        <w:gridCol w:w="1422"/>
        <w:gridCol w:w="933"/>
        <w:gridCol w:w="933"/>
        <w:gridCol w:w="933"/>
      </w:tblGrid>
      <w:tr w14:paraId="33502C91">
        <w:tblPrEx>
          <w:tblCellMar>
            <w:top w:w="0" w:type="dxa"/>
            <w:left w:w="108" w:type="dxa"/>
            <w:bottom w:w="0" w:type="dxa"/>
            <w:right w:w="108" w:type="dxa"/>
          </w:tblCellMar>
        </w:tblPrEx>
        <w:trPr>
          <w:trHeight w:val="285" w:hRule="atLeast"/>
        </w:trPr>
        <w:tc>
          <w:tcPr>
            <w:tcW w:w="915" w:type="pct"/>
            <w:tcBorders>
              <w:top w:val="single" w:color="000000" w:sz="4" w:space="0"/>
              <w:left w:val="single" w:color="000000" w:sz="4" w:space="0"/>
              <w:bottom w:val="single" w:color="000000" w:sz="4" w:space="0"/>
              <w:right w:val="single" w:color="000000" w:sz="4" w:space="0"/>
            </w:tcBorders>
            <w:noWrap/>
            <w:vAlign w:val="center"/>
          </w:tcPr>
          <w:p w14:paraId="0384B681">
            <w:pPr>
              <w:jc w:val="center"/>
              <w:rPr>
                <w:szCs w:val="21"/>
              </w:rPr>
            </w:pPr>
            <w:r>
              <w:rPr>
                <w:szCs w:val="21"/>
              </w:rPr>
              <w:t>污染物</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26E64EA4">
            <w:pPr>
              <w:widowControl/>
              <w:jc w:val="center"/>
              <w:textAlignment w:val="center"/>
              <w:rPr>
                <w:szCs w:val="21"/>
              </w:rPr>
            </w:pPr>
            <w:r>
              <w:rPr>
                <w:kern w:val="0"/>
                <w:szCs w:val="21"/>
                <w:lang w:bidi="ar"/>
              </w:rPr>
              <w:t>CODcr</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4FAA9467">
            <w:pPr>
              <w:widowControl/>
              <w:jc w:val="center"/>
              <w:textAlignment w:val="center"/>
              <w:rPr>
                <w:szCs w:val="21"/>
              </w:rPr>
            </w:pPr>
            <w:r>
              <w:rPr>
                <w:kern w:val="0"/>
                <w:szCs w:val="21"/>
                <w:lang w:bidi="ar"/>
              </w:rPr>
              <w:t>BOD5</w:t>
            </w:r>
          </w:p>
        </w:tc>
        <w:tc>
          <w:tcPr>
            <w:tcW w:w="834" w:type="pct"/>
            <w:tcBorders>
              <w:top w:val="single" w:color="000000" w:sz="4" w:space="0"/>
              <w:left w:val="single" w:color="000000" w:sz="4" w:space="0"/>
              <w:bottom w:val="single" w:color="000000" w:sz="4" w:space="0"/>
              <w:right w:val="single" w:color="000000" w:sz="4" w:space="0"/>
            </w:tcBorders>
            <w:noWrap/>
            <w:vAlign w:val="center"/>
          </w:tcPr>
          <w:p w14:paraId="7A032498">
            <w:pPr>
              <w:widowControl/>
              <w:jc w:val="center"/>
              <w:textAlignment w:val="center"/>
              <w:rPr>
                <w:szCs w:val="21"/>
              </w:rPr>
            </w:pPr>
            <w:r>
              <w:rPr>
                <w:kern w:val="0"/>
                <w:szCs w:val="21"/>
                <w:lang w:bidi="ar"/>
              </w:rPr>
              <w:t>SS</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6487F2B6">
            <w:pPr>
              <w:widowControl/>
              <w:jc w:val="center"/>
              <w:textAlignment w:val="center"/>
              <w:rPr>
                <w:szCs w:val="21"/>
              </w:rPr>
            </w:pPr>
            <w:r>
              <w:rPr>
                <w:kern w:val="0"/>
                <w:szCs w:val="21"/>
                <w:lang w:bidi="ar"/>
              </w:rPr>
              <w:t>NH3-N</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0C4A11F3">
            <w:pPr>
              <w:widowControl/>
              <w:jc w:val="center"/>
              <w:textAlignment w:val="center"/>
              <w:rPr>
                <w:szCs w:val="21"/>
              </w:rPr>
            </w:pPr>
            <w:r>
              <w:rPr>
                <w:kern w:val="0"/>
                <w:szCs w:val="21"/>
                <w:lang w:bidi="ar"/>
              </w:rPr>
              <w:t>TN</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5401A7FC">
            <w:pPr>
              <w:widowControl/>
              <w:jc w:val="center"/>
              <w:textAlignment w:val="center"/>
              <w:rPr>
                <w:szCs w:val="21"/>
              </w:rPr>
            </w:pPr>
            <w:r>
              <w:rPr>
                <w:kern w:val="0"/>
                <w:szCs w:val="21"/>
                <w:lang w:bidi="ar"/>
              </w:rPr>
              <w:t>TP</w:t>
            </w:r>
          </w:p>
        </w:tc>
      </w:tr>
      <w:tr w14:paraId="26D77A45">
        <w:tblPrEx>
          <w:tblCellMar>
            <w:top w:w="0" w:type="dxa"/>
            <w:left w:w="108" w:type="dxa"/>
            <w:bottom w:w="0" w:type="dxa"/>
            <w:right w:w="108" w:type="dxa"/>
          </w:tblCellMar>
        </w:tblPrEx>
        <w:trPr>
          <w:trHeight w:val="285" w:hRule="atLeast"/>
        </w:trPr>
        <w:tc>
          <w:tcPr>
            <w:tcW w:w="915" w:type="pct"/>
            <w:tcBorders>
              <w:top w:val="single" w:color="000000" w:sz="4" w:space="0"/>
              <w:left w:val="single" w:color="000000" w:sz="4" w:space="0"/>
              <w:bottom w:val="single" w:color="000000" w:sz="4" w:space="0"/>
              <w:right w:val="single" w:color="000000" w:sz="4" w:space="0"/>
            </w:tcBorders>
            <w:noWrap/>
            <w:vAlign w:val="center"/>
          </w:tcPr>
          <w:p w14:paraId="68A2CCC6">
            <w:pPr>
              <w:jc w:val="center"/>
              <w:rPr>
                <w:szCs w:val="21"/>
              </w:rPr>
            </w:pPr>
            <w:r>
              <w:rPr>
                <w:szCs w:val="21"/>
              </w:rPr>
              <w:t>浓度（mg/L）</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0F062EB6">
            <w:pPr>
              <w:widowControl/>
              <w:jc w:val="center"/>
              <w:textAlignment w:val="center"/>
              <w:rPr>
                <w:szCs w:val="21"/>
              </w:rPr>
            </w:pPr>
            <w:r>
              <w:rPr>
                <w:kern w:val="0"/>
                <w:szCs w:val="21"/>
                <w:lang w:bidi="ar"/>
              </w:rPr>
              <w:t>2640</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6E5ACB40">
            <w:pPr>
              <w:widowControl/>
              <w:jc w:val="center"/>
              <w:textAlignment w:val="center"/>
              <w:rPr>
                <w:szCs w:val="21"/>
              </w:rPr>
            </w:pPr>
            <w:r>
              <w:rPr>
                <w:kern w:val="0"/>
                <w:szCs w:val="21"/>
                <w:lang w:bidi="ar"/>
              </w:rPr>
              <w:t>1500</w:t>
            </w:r>
          </w:p>
        </w:tc>
        <w:tc>
          <w:tcPr>
            <w:tcW w:w="834" w:type="pct"/>
            <w:tcBorders>
              <w:top w:val="single" w:color="000000" w:sz="4" w:space="0"/>
              <w:left w:val="single" w:color="000000" w:sz="4" w:space="0"/>
              <w:bottom w:val="single" w:color="000000" w:sz="4" w:space="0"/>
              <w:right w:val="single" w:color="000000" w:sz="4" w:space="0"/>
            </w:tcBorders>
            <w:noWrap/>
            <w:vAlign w:val="center"/>
          </w:tcPr>
          <w:p w14:paraId="65CFBEA2">
            <w:pPr>
              <w:widowControl/>
              <w:jc w:val="center"/>
              <w:textAlignment w:val="center"/>
              <w:rPr>
                <w:szCs w:val="21"/>
              </w:rPr>
            </w:pPr>
            <w:r>
              <w:rPr>
                <w:kern w:val="0"/>
                <w:szCs w:val="21"/>
                <w:lang w:bidi="ar"/>
              </w:rPr>
              <w:t>3300</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517FC4EE">
            <w:pPr>
              <w:widowControl/>
              <w:jc w:val="center"/>
              <w:textAlignment w:val="center"/>
              <w:rPr>
                <w:szCs w:val="21"/>
              </w:rPr>
            </w:pPr>
            <w:r>
              <w:rPr>
                <w:kern w:val="0"/>
                <w:szCs w:val="21"/>
                <w:lang w:bidi="ar"/>
              </w:rPr>
              <w:t>261</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29431EBE">
            <w:pPr>
              <w:widowControl/>
              <w:jc w:val="center"/>
              <w:textAlignment w:val="center"/>
              <w:rPr>
                <w:szCs w:val="21"/>
              </w:rPr>
            </w:pPr>
            <w:r>
              <w:rPr>
                <w:kern w:val="0"/>
                <w:szCs w:val="21"/>
                <w:lang w:bidi="ar"/>
              </w:rPr>
              <w:t>370</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6F801592">
            <w:pPr>
              <w:widowControl/>
              <w:jc w:val="center"/>
              <w:textAlignment w:val="center"/>
              <w:rPr>
                <w:szCs w:val="21"/>
              </w:rPr>
            </w:pPr>
            <w:r>
              <w:rPr>
                <w:kern w:val="0"/>
                <w:szCs w:val="21"/>
                <w:lang w:bidi="ar"/>
              </w:rPr>
              <w:t>127</w:t>
            </w:r>
          </w:p>
        </w:tc>
      </w:tr>
    </w:tbl>
    <w:p w14:paraId="35167861">
      <w:pPr>
        <w:tabs>
          <w:tab w:val="left" w:pos="840"/>
        </w:tabs>
        <w:spacing w:line="360" w:lineRule="auto"/>
        <w:jc w:val="center"/>
        <w:rPr>
          <w:b/>
          <w:sz w:val="24"/>
        </w:rPr>
      </w:pPr>
      <w:r>
        <w:rPr>
          <w:b/>
          <w:sz w:val="24"/>
        </w:rPr>
        <w:t>表3.4-10  项目各地块用排水情况一览表</w:t>
      </w:r>
    </w:p>
    <w:tbl>
      <w:tblPr>
        <w:tblStyle w:val="87"/>
        <w:tblW w:w="5000" w:type="pct"/>
        <w:tblInd w:w="0" w:type="dxa"/>
        <w:tblLayout w:type="fixed"/>
        <w:tblCellMar>
          <w:top w:w="0" w:type="dxa"/>
          <w:left w:w="108" w:type="dxa"/>
          <w:bottom w:w="0" w:type="dxa"/>
          <w:right w:w="108" w:type="dxa"/>
        </w:tblCellMar>
      </w:tblPr>
      <w:tblGrid>
        <w:gridCol w:w="762"/>
        <w:gridCol w:w="2616"/>
        <w:gridCol w:w="983"/>
        <w:gridCol w:w="1028"/>
        <w:gridCol w:w="899"/>
        <w:gridCol w:w="1172"/>
        <w:gridCol w:w="1068"/>
      </w:tblGrid>
      <w:tr w14:paraId="5C0E7789">
        <w:trPr>
          <w:trHeight w:val="810"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14:paraId="7BED4471">
            <w:pPr>
              <w:widowControl/>
              <w:jc w:val="center"/>
              <w:textAlignment w:val="center"/>
              <w:rPr>
                <w:szCs w:val="21"/>
              </w:rPr>
            </w:pPr>
            <w:r>
              <w:rPr>
                <w:kern w:val="0"/>
                <w:szCs w:val="21"/>
                <w:lang w:bidi="ar"/>
              </w:rPr>
              <w:t>地块编号</w:t>
            </w: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78F3237F">
            <w:pPr>
              <w:jc w:val="center"/>
              <w:rPr>
                <w:szCs w:val="21"/>
              </w:rPr>
            </w:pPr>
            <w:r>
              <w:rPr>
                <w:szCs w:val="21"/>
              </w:rPr>
              <w:t>猪舍</w:t>
            </w:r>
          </w:p>
        </w:tc>
        <w:tc>
          <w:tcPr>
            <w:tcW w:w="576" w:type="pct"/>
            <w:tcBorders>
              <w:top w:val="single" w:color="000000" w:sz="4" w:space="0"/>
              <w:left w:val="single" w:color="000000" w:sz="4" w:space="0"/>
              <w:bottom w:val="single" w:color="000000" w:sz="4" w:space="0"/>
              <w:right w:val="single" w:color="000000" w:sz="4" w:space="0"/>
            </w:tcBorders>
            <w:noWrap/>
            <w:vAlign w:val="center"/>
          </w:tcPr>
          <w:p w14:paraId="3937AE46">
            <w:pPr>
              <w:widowControl/>
              <w:jc w:val="center"/>
              <w:textAlignment w:val="center"/>
              <w:rPr>
                <w:szCs w:val="21"/>
              </w:rPr>
            </w:pPr>
            <w:r>
              <w:rPr>
                <w:kern w:val="0"/>
                <w:szCs w:val="21"/>
                <w:lang w:bidi="ar"/>
              </w:rPr>
              <w:t>猪尿产生量（m</w:t>
            </w:r>
            <w:r>
              <w:rPr>
                <w:kern w:val="0"/>
                <w:szCs w:val="21"/>
                <w:vertAlign w:val="superscript"/>
                <w:lang w:bidi="ar"/>
              </w:rPr>
              <w:t>3</w:t>
            </w:r>
            <w:r>
              <w:rPr>
                <w:kern w:val="0"/>
                <w:szCs w:val="21"/>
                <w:lang w:bidi="ar"/>
              </w:rPr>
              <w:t>/a）</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3D441D78">
            <w:pPr>
              <w:widowControl/>
              <w:jc w:val="center"/>
              <w:textAlignment w:val="center"/>
              <w:rPr>
                <w:szCs w:val="21"/>
              </w:rPr>
            </w:pPr>
            <w:r>
              <w:rPr>
                <w:kern w:val="0"/>
                <w:szCs w:val="21"/>
                <w:lang w:bidi="ar"/>
              </w:rPr>
              <w:t>渗率液年产生量（m</w:t>
            </w:r>
            <w:r>
              <w:rPr>
                <w:kern w:val="0"/>
                <w:szCs w:val="21"/>
                <w:vertAlign w:val="superscript"/>
                <w:lang w:bidi="ar"/>
              </w:rPr>
              <w:t>3</w:t>
            </w:r>
            <w:r>
              <w:rPr>
                <w:kern w:val="0"/>
                <w:szCs w:val="21"/>
                <w:lang w:bidi="ar"/>
              </w:rPr>
              <w:t>/a）</w:t>
            </w:r>
          </w:p>
        </w:tc>
        <w:tc>
          <w:tcPr>
            <w:tcW w:w="527" w:type="pct"/>
            <w:tcBorders>
              <w:top w:val="single" w:color="000000" w:sz="4" w:space="0"/>
              <w:left w:val="single" w:color="000000" w:sz="4" w:space="0"/>
              <w:bottom w:val="single" w:color="000000" w:sz="4" w:space="0"/>
              <w:right w:val="single" w:color="000000" w:sz="4" w:space="0"/>
            </w:tcBorders>
            <w:noWrap w:val="0"/>
            <w:vAlign w:val="center"/>
          </w:tcPr>
          <w:p w14:paraId="2548B951">
            <w:pPr>
              <w:widowControl/>
              <w:jc w:val="center"/>
              <w:textAlignment w:val="center"/>
              <w:rPr>
                <w:szCs w:val="21"/>
              </w:rPr>
            </w:pPr>
            <w:r>
              <w:rPr>
                <w:kern w:val="0"/>
                <w:szCs w:val="21"/>
                <w:lang w:bidi="ar"/>
              </w:rPr>
              <w:t>冲洗废水产生量（m</w:t>
            </w:r>
            <w:r>
              <w:rPr>
                <w:kern w:val="0"/>
                <w:szCs w:val="21"/>
                <w:vertAlign w:val="superscript"/>
                <w:lang w:bidi="ar"/>
              </w:rPr>
              <w:t>3</w:t>
            </w:r>
            <w:r>
              <w:rPr>
                <w:kern w:val="0"/>
                <w:szCs w:val="21"/>
                <w:lang w:bidi="ar"/>
              </w:rPr>
              <w:t>/a）</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51CF6983">
            <w:pPr>
              <w:widowControl/>
              <w:jc w:val="center"/>
              <w:textAlignment w:val="center"/>
              <w:rPr>
                <w:szCs w:val="21"/>
              </w:rPr>
            </w:pPr>
            <w:r>
              <w:rPr>
                <w:kern w:val="0"/>
                <w:szCs w:val="21"/>
                <w:lang w:bidi="ar"/>
              </w:rPr>
              <w:t>生活污水产生量（m</w:t>
            </w:r>
            <w:r>
              <w:rPr>
                <w:kern w:val="0"/>
                <w:szCs w:val="21"/>
                <w:vertAlign w:val="superscript"/>
                <w:lang w:bidi="ar"/>
              </w:rPr>
              <w:t>3</w:t>
            </w:r>
            <w:r>
              <w:rPr>
                <w:kern w:val="0"/>
                <w:szCs w:val="21"/>
                <w:lang w:bidi="ar"/>
              </w:rPr>
              <w:t>/a）</w:t>
            </w:r>
          </w:p>
        </w:tc>
        <w:tc>
          <w:tcPr>
            <w:tcW w:w="626" w:type="pct"/>
            <w:tcBorders>
              <w:top w:val="single" w:color="000000" w:sz="4" w:space="0"/>
              <w:left w:val="single" w:color="000000" w:sz="4" w:space="0"/>
              <w:bottom w:val="single" w:color="000000" w:sz="4" w:space="0"/>
              <w:right w:val="single" w:color="000000" w:sz="4" w:space="0"/>
            </w:tcBorders>
            <w:noWrap/>
            <w:vAlign w:val="center"/>
          </w:tcPr>
          <w:p w14:paraId="3BA9264B">
            <w:pPr>
              <w:widowControl/>
              <w:jc w:val="center"/>
              <w:textAlignment w:val="center"/>
              <w:rPr>
                <w:szCs w:val="21"/>
              </w:rPr>
            </w:pPr>
            <w:r>
              <w:rPr>
                <w:kern w:val="0"/>
                <w:szCs w:val="21"/>
                <w:lang w:bidi="ar"/>
              </w:rPr>
              <w:t>合计（m</w:t>
            </w:r>
            <w:r>
              <w:rPr>
                <w:kern w:val="0"/>
                <w:szCs w:val="21"/>
                <w:vertAlign w:val="superscript"/>
                <w:lang w:bidi="ar"/>
              </w:rPr>
              <w:t>3</w:t>
            </w:r>
            <w:r>
              <w:rPr>
                <w:kern w:val="0"/>
                <w:szCs w:val="21"/>
                <w:lang w:bidi="ar"/>
              </w:rPr>
              <w:t>/a）</w:t>
            </w:r>
          </w:p>
        </w:tc>
      </w:tr>
      <w:tr w14:paraId="744B9CDE">
        <w:tblPrEx>
          <w:tblCellMar>
            <w:top w:w="0" w:type="dxa"/>
            <w:left w:w="108" w:type="dxa"/>
            <w:bottom w:w="0" w:type="dxa"/>
            <w:right w:w="108" w:type="dxa"/>
          </w:tblCellMar>
        </w:tblPrEx>
        <w:trPr>
          <w:trHeight w:val="315" w:hRule="atLeast"/>
        </w:trPr>
        <w:tc>
          <w:tcPr>
            <w:tcW w:w="446" w:type="pct"/>
            <w:vMerge w:val="restart"/>
            <w:tcBorders>
              <w:top w:val="single" w:color="000000" w:sz="4" w:space="0"/>
              <w:left w:val="single" w:color="000000" w:sz="4" w:space="0"/>
              <w:bottom w:val="single" w:color="000000" w:sz="4" w:space="0"/>
              <w:right w:val="single" w:color="000000" w:sz="4" w:space="0"/>
            </w:tcBorders>
            <w:noWrap/>
            <w:vAlign w:val="center"/>
          </w:tcPr>
          <w:p w14:paraId="6E97B940">
            <w:pPr>
              <w:widowControl/>
              <w:jc w:val="center"/>
              <w:textAlignment w:val="center"/>
              <w:rPr>
                <w:szCs w:val="21"/>
              </w:rPr>
            </w:pPr>
            <w:r>
              <w:rPr>
                <w:kern w:val="0"/>
                <w:szCs w:val="21"/>
                <w:lang w:bidi="ar"/>
              </w:rPr>
              <w:t>1号地</w:t>
            </w: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12B663D0">
            <w:pPr>
              <w:widowControl/>
              <w:jc w:val="center"/>
              <w:textAlignment w:val="center"/>
              <w:rPr>
                <w:szCs w:val="21"/>
              </w:rPr>
            </w:pPr>
            <w:r>
              <w:rPr>
                <w:kern w:val="0"/>
                <w:szCs w:val="21"/>
                <w:lang w:bidi="ar"/>
              </w:rPr>
              <w:t>盛丰通风井位置1号舍</w:t>
            </w:r>
          </w:p>
        </w:tc>
        <w:tc>
          <w:tcPr>
            <w:tcW w:w="576" w:type="pct"/>
            <w:vMerge w:val="restart"/>
            <w:tcBorders>
              <w:top w:val="single" w:color="000000" w:sz="4" w:space="0"/>
              <w:left w:val="single" w:color="000000" w:sz="4" w:space="0"/>
              <w:bottom w:val="single" w:color="000000" w:sz="4" w:space="0"/>
              <w:right w:val="single" w:color="000000" w:sz="4" w:space="0"/>
            </w:tcBorders>
            <w:noWrap w:val="0"/>
            <w:vAlign w:val="center"/>
          </w:tcPr>
          <w:p w14:paraId="2A24646C">
            <w:pPr>
              <w:widowControl/>
              <w:jc w:val="center"/>
              <w:textAlignment w:val="center"/>
              <w:rPr>
                <w:szCs w:val="21"/>
              </w:rPr>
            </w:pPr>
            <w:r>
              <w:rPr>
                <w:kern w:val="0"/>
                <w:szCs w:val="21"/>
                <w:lang w:bidi="ar"/>
              </w:rPr>
              <w:t>1074.09</w:t>
            </w:r>
          </w:p>
        </w:tc>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14:paraId="5B45FD34">
            <w:pPr>
              <w:widowControl/>
              <w:jc w:val="center"/>
              <w:textAlignment w:val="center"/>
              <w:rPr>
                <w:szCs w:val="21"/>
              </w:rPr>
            </w:pPr>
            <w:r>
              <w:rPr>
                <w:kern w:val="0"/>
                <w:szCs w:val="21"/>
                <w:lang w:bidi="ar"/>
              </w:rPr>
              <w:t>5.17</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5D0E3B8F">
            <w:pPr>
              <w:widowControl/>
              <w:jc w:val="center"/>
              <w:textAlignment w:val="center"/>
              <w:rPr>
                <w:szCs w:val="21"/>
              </w:rPr>
            </w:pPr>
            <w:r>
              <w:rPr>
                <w:kern w:val="0"/>
                <w:szCs w:val="21"/>
                <w:lang w:bidi="ar"/>
              </w:rPr>
              <w:t>19.54</w:t>
            </w:r>
          </w:p>
        </w:tc>
        <w:tc>
          <w:tcPr>
            <w:tcW w:w="687" w:type="pct"/>
            <w:vMerge w:val="restart"/>
            <w:tcBorders>
              <w:top w:val="single" w:color="000000" w:sz="4" w:space="0"/>
              <w:left w:val="single" w:color="000000" w:sz="4" w:space="0"/>
              <w:bottom w:val="single" w:color="000000" w:sz="4" w:space="0"/>
              <w:right w:val="single" w:color="000000" w:sz="4" w:space="0"/>
            </w:tcBorders>
            <w:noWrap w:val="0"/>
            <w:vAlign w:val="center"/>
          </w:tcPr>
          <w:p w14:paraId="7C237AD4">
            <w:pPr>
              <w:widowControl/>
              <w:jc w:val="center"/>
              <w:textAlignment w:val="center"/>
              <w:rPr>
                <w:szCs w:val="21"/>
              </w:rPr>
            </w:pPr>
            <w:r>
              <w:rPr>
                <w:kern w:val="0"/>
                <w:szCs w:val="21"/>
                <w:lang w:bidi="ar"/>
              </w:rPr>
              <w:t>116.8</w:t>
            </w:r>
          </w:p>
        </w:tc>
        <w:tc>
          <w:tcPr>
            <w:tcW w:w="626" w:type="pct"/>
            <w:vMerge w:val="restart"/>
            <w:tcBorders>
              <w:top w:val="single" w:color="000000" w:sz="4" w:space="0"/>
              <w:left w:val="single" w:color="000000" w:sz="4" w:space="0"/>
              <w:bottom w:val="single" w:color="000000" w:sz="4" w:space="0"/>
              <w:right w:val="single" w:color="000000" w:sz="4" w:space="0"/>
            </w:tcBorders>
            <w:noWrap/>
            <w:vAlign w:val="center"/>
          </w:tcPr>
          <w:p w14:paraId="219D07CB">
            <w:pPr>
              <w:widowControl/>
              <w:jc w:val="center"/>
              <w:textAlignment w:val="center"/>
              <w:rPr>
                <w:szCs w:val="21"/>
              </w:rPr>
            </w:pPr>
            <w:r>
              <w:rPr>
                <w:kern w:val="0"/>
                <w:szCs w:val="21"/>
                <w:lang w:bidi="ar"/>
              </w:rPr>
              <w:t>1215.6</w:t>
            </w:r>
          </w:p>
        </w:tc>
      </w:tr>
      <w:tr w14:paraId="2CEDFA95">
        <w:tblPrEx>
          <w:tblCellMar>
            <w:top w:w="0" w:type="dxa"/>
            <w:left w:w="108" w:type="dxa"/>
            <w:bottom w:w="0" w:type="dxa"/>
            <w:right w:w="108" w:type="dxa"/>
          </w:tblCellMar>
        </w:tblPrEx>
        <w:trPr>
          <w:trHeight w:val="31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5BEE624E">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7F755CB4">
            <w:pPr>
              <w:widowControl/>
              <w:jc w:val="center"/>
              <w:textAlignment w:val="center"/>
              <w:rPr>
                <w:szCs w:val="21"/>
              </w:rPr>
            </w:pPr>
            <w:r>
              <w:rPr>
                <w:kern w:val="0"/>
                <w:szCs w:val="21"/>
                <w:lang w:bidi="ar"/>
              </w:rPr>
              <w:t>盛丰通风井位置2号舍</w:t>
            </w:r>
          </w:p>
        </w:tc>
        <w:tc>
          <w:tcPr>
            <w:tcW w:w="57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D576FB">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0852E8EB">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9755899">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B8D201">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75BF89D8">
            <w:pPr>
              <w:jc w:val="center"/>
              <w:rPr>
                <w:szCs w:val="21"/>
              </w:rPr>
            </w:pPr>
          </w:p>
        </w:tc>
      </w:tr>
      <w:tr w14:paraId="7010D795">
        <w:tblPrEx>
          <w:tblCellMar>
            <w:top w:w="0" w:type="dxa"/>
            <w:left w:w="108" w:type="dxa"/>
            <w:bottom w:w="0" w:type="dxa"/>
            <w:right w:w="108" w:type="dxa"/>
          </w:tblCellMar>
        </w:tblPrEx>
        <w:trPr>
          <w:trHeight w:val="315" w:hRule="atLeast"/>
        </w:trPr>
        <w:tc>
          <w:tcPr>
            <w:tcW w:w="446" w:type="pct"/>
            <w:vMerge w:val="restart"/>
            <w:tcBorders>
              <w:top w:val="single" w:color="000000" w:sz="4" w:space="0"/>
              <w:left w:val="single" w:color="000000" w:sz="4" w:space="0"/>
              <w:bottom w:val="single" w:color="000000" w:sz="4" w:space="0"/>
              <w:right w:val="single" w:color="000000" w:sz="4" w:space="0"/>
            </w:tcBorders>
            <w:noWrap/>
            <w:vAlign w:val="center"/>
          </w:tcPr>
          <w:p w14:paraId="0E4C6628">
            <w:pPr>
              <w:widowControl/>
              <w:jc w:val="center"/>
              <w:textAlignment w:val="center"/>
              <w:rPr>
                <w:szCs w:val="21"/>
              </w:rPr>
            </w:pPr>
            <w:r>
              <w:rPr>
                <w:kern w:val="0"/>
                <w:szCs w:val="21"/>
                <w:lang w:bidi="ar"/>
              </w:rPr>
              <w:t>2号地</w:t>
            </w: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4CFCB570">
            <w:pPr>
              <w:widowControl/>
              <w:jc w:val="center"/>
              <w:textAlignment w:val="center"/>
              <w:rPr>
                <w:szCs w:val="21"/>
              </w:rPr>
            </w:pPr>
            <w:r>
              <w:rPr>
                <w:kern w:val="0"/>
                <w:szCs w:val="21"/>
                <w:lang w:bidi="ar"/>
              </w:rPr>
              <w:t>盛丰焦化楼位置1号舍</w:t>
            </w:r>
          </w:p>
        </w:tc>
        <w:tc>
          <w:tcPr>
            <w:tcW w:w="576" w:type="pct"/>
            <w:vMerge w:val="restart"/>
            <w:tcBorders>
              <w:top w:val="single" w:color="000000" w:sz="4" w:space="0"/>
              <w:left w:val="single" w:color="000000" w:sz="4" w:space="0"/>
              <w:bottom w:val="single" w:color="000000" w:sz="4" w:space="0"/>
              <w:right w:val="single" w:color="000000" w:sz="4" w:space="0"/>
            </w:tcBorders>
            <w:noWrap/>
            <w:vAlign w:val="center"/>
          </w:tcPr>
          <w:p w14:paraId="618F5700">
            <w:pPr>
              <w:widowControl/>
              <w:jc w:val="center"/>
              <w:textAlignment w:val="center"/>
              <w:rPr>
                <w:szCs w:val="21"/>
              </w:rPr>
            </w:pPr>
            <w:r>
              <w:rPr>
                <w:kern w:val="0"/>
                <w:szCs w:val="21"/>
                <w:lang w:bidi="ar"/>
              </w:rPr>
              <w:t>2274.64</w:t>
            </w:r>
          </w:p>
        </w:tc>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14:paraId="7B709DAF">
            <w:pPr>
              <w:widowControl/>
              <w:jc w:val="center"/>
              <w:textAlignment w:val="center"/>
              <w:rPr>
                <w:szCs w:val="21"/>
              </w:rPr>
            </w:pPr>
            <w:r>
              <w:rPr>
                <w:kern w:val="0"/>
                <w:szCs w:val="21"/>
                <w:lang w:bidi="ar"/>
              </w:rPr>
              <w:t>10.95</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37BF6E23">
            <w:pPr>
              <w:widowControl/>
              <w:jc w:val="center"/>
              <w:textAlignment w:val="center"/>
              <w:rPr>
                <w:szCs w:val="21"/>
              </w:rPr>
            </w:pPr>
            <w:r>
              <w:rPr>
                <w:kern w:val="0"/>
                <w:szCs w:val="21"/>
                <w:lang w:bidi="ar"/>
              </w:rPr>
              <w:t>41.39</w:t>
            </w:r>
          </w:p>
        </w:tc>
        <w:tc>
          <w:tcPr>
            <w:tcW w:w="687" w:type="pct"/>
            <w:vMerge w:val="restart"/>
            <w:tcBorders>
              <w:top w:val="single" w:color="000000" w:sz="4" w:space="0"/>
              <w:left w:val="single" w:color="000000" w:sz="4" w:space="0"/>
              <w:bottom w:val="single" w:color="000000" w:sz="4" w:space="0"/>
              <w:right w:val="single" w:color="000000" w:sz="4" w:space="0"/>
            </w:tcBorders>
            <w:noWrap w:val="0"/>
            <w:vAlign w:val="center"/>
          </w:tcPr>
          <w:p w14:paraId="72BAB34C">
            <w:pPr>
              <w:widowControl/>
              <w:jc w:val="center"/>
              <w:textAlignment w:val="center"/>
              <w:rPr>
                <w:szCs w:val="21"/>
              </w:rPr>
            </w:pPr>
            <w:r>
              <w:rPr>
                <w:kern w:val="0"/>
                <w:szCs w:val="21"/>
                <w:lang w:bidi="ar"/>
              </w:rPr>
              <w:t>408.8</w:t>
            </w:r>
          </w:p>
        </w:tc>
        <w:tc>
          <w:tcPr>
            <w:tcW w:w="626" w:type="pct"/>
            <w:vMerge w:val="restart"/>
            <w:tcBorders>
              <w:top w:val="single" w:color="000000" w:sz="4" w:space="0"/>
              <w:left w:val="single" w:color="000000" w:sz="4" w:space="0"/>
              <w:bottom w:val="single" w:color="000000" w:sz="4" w:space="0"/>
              <w:right w:val="single" w:color="000000" w:sz="4" w:space="0"/>
            </w:tcBorders>
            <w:noWrap/>
            <w:vAlign w:val="center"/>
          </w:tcPr>
          <w:p w14:paraId="1466411D">
            <w:pPr>
              <w:widowControl/>
              <w:jc w:val="center"/>
              <w:textAlignment w:val="center"/>
              <w:rPr>
                <w:szCs w:val="21"/>
              </w:rPr>
            </w:pPr>
            <w:r>
              <w:rPr>
                <w:kern w:val="0"/>
                <w:szCs w:val="21"/>
                <w:lang w:bidi="ar"/>
              </w:rPr>
              <w:t>2735.78</w:t>
            </w:r>
          </w:p>
        </w:tc>
      </w:tr>
      <w:tr w14:paraId="2119B5B0">
        <w:tblPrEx>
          <w:tblCellMar>
            <w:top w:w="0" w:type="dxa"/>
            <w:left w:w="108" w:type="dxa"/>
            <w:bottom w:w="0" w:type="dxa"/>
            <w:right w:w="108" w:type="dxa"/>
          </w:tblCellMar>
        </w:tblPrEx>
        <w:trPr>
          <w:trHeight w:val="31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1045E8AA">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39F6143E">
            <w:pPr>
              <w:widowControl/>
              <w:jc w:val="center"/>
              <w:textAlignment w:val="center"/>
              <w:rPr>
                <w:szCs w:val="21"/>
              </w:rPr>
            </w:pPr>
            <w:r>
              <w:rPr>
                <w:kern w:val="0"/>
                <w:szCs w:val="21"/>
                <w:lang w:bidi="ar"/>
              </w:rPr>
              <w:t>盛丰焦化楼位置2号舍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11D5B8CC">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2311D0FF">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471810B7">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C4C065">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604C92B7">
            <w:pPr>
              <w:jc w:val="center"/>
              <w:rPr>
                <w:szCs w:val="21"/>
              </w:rPr>
            </w:pPr>
          </w:p>
        </w:tc>
      </w:tr>
      <w:tr w14:paraId="36ED3C07">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4C10AF71">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457F2B1F">
            <w:pPr>
              <w:widowControl/>
              <w:jc w:val="center"/>
              <w:textAlignment w:val="center"/>
              <w:rPr>
                <w:szCs w:val="21"/>
              </w:rPr>
            </w:pPr>
            <w:r>
              <w:rPr>
                <w:kern w:val="0"/>
                <w:szCs w:val="21"/>
                <w:lang w:bidi="ar"/>
              </w:rPr>
              <w:t>球场位置1单元</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36233A7D">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6D0B4632">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11BC3C69">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EC5D36">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2FB3CF48">
            <w:pPr>
              <w:jc w:val="center"/>
              <w:rPr>
                <w:szCs w:val="21"/>
              </w:rPr>
            </w:pPr>
          </w:p>
        </w:tc>
      </w:tr>
      <w:tr w14:paraId="6E0C4E29">
        <w:tblPrEx>
          <w:tblCellMar>
            <w:top w:w="0" w:type="dxa"/>
            <w:left w:w="108" w:type="dxa"/>
            <w:bottom w:w="0" w:type="dxa"/>
            <w:right w:w="108" w:type="dxa"/>
          </w:tblCellMar>
        </w:tblPrEx>
        <w:trPr>
          <w:trHeight w:val="330"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7715DA5B">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2314B669">
            <w:pPr>
              <w:widowControl/>
              <w:jc w:val="center"/>
              <w:textAlignment w:val="center"/>
              <w:rPr>
                <w:szCs w:val="21"/>
              </w:rPr>
            </w:pPr>
            <w:r>
              <w:rPr>
                <w:kern w:val="0"/>
                <w:szCs w:val="21"/>
                <w:lang w:bidi="ar"/>
              </w:rPr>
              <w:t>球场位置2单元</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613CB944">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1B239CDF">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4516611A">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EECD47">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60404E13">
            <w:pPr>
              <w:jc w:val="center"/>
              <w:rPr>
                <w:szCs w:val="21"/>
              </w:rPr>
            </w:pPr>
          </w:p>
        </w:tc>
      </w:tr>
      <w:tr w14:paraId="401369EA">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347A746B">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39243583">
            <w:pPr>
              <w:widowControl/>
              <w:jc w:val="center"/>
              <w:textAlignment w:val="center"/>
              <w:rPr>
                <w:szCs w:val="21"/>
              </w:rPr>
            </w:pPr>
            <w:r>
              <w:rPr>
                <w:kern w:val="0"/>
                <w:szCs w:val="21"/>
                <w:lang w:bidi="ar"/>
              </w:rPr>
              <w:t>球场位置3单元</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54EF410E">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16ADC51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4C239CDC">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AA17B9">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44244AE3">
            <w:pPr>
              <w:jc w:val="center"/>
              <w:rPr>
                <w:szCs w:val="21"/>
              </w:rPr>
            </w:pPr>
          </w:p>
        </w:tc>
      </w:tr>
      <w:tr w14:paraId="7EE77014">
        <w:tblPrEx>
          <w:tblCellMar>
            <w:top w:w="0" w:type="dxa"/>
            <w:left w:w="108" w:type="dxa"/>
            <w:bottom w:w="0" w:type="dxa"/>
            <w:right w:w="108" w:type="dxa"/>
          </w:tblCellMar>
        </w:tblPrEx>
        <w:trPr>
          <w:trHeight w:val="315" w:hRule="atLeast"/>
        </w:trPr>
        <w:tc>
          <w:tcPr>
            <w:tcW w:w="446" w:type="pct"/>
            <w:vMerge w:val="restart"/>
            <w:tcBorders>
              <w:top w:val="single" w:color="000000" w:sz="4" w:space="0"/>
              <w:left w:val="single" w:color="000000" w:sz="4" w:space="0"/>
              <w:bottom w:val="single" w:color="000000" w:sz="4" w:space="0"/>
              <w:right w:val="single" w:color="000000" w:sz="4" w:space="0"/>
            </w:tcBorders>
            <w:noWrap/>
            <w:vAlign w:val="center"/>
          </w:tcPr>
          <w:p w14:paraId="591BCC1C">
            <w:pPr>
              <w:widowControl/>
              <w:jc w:val="center"/>
              <w:textAlignment w:val="center"/>
              <w:rPr>
                <w:szCs w:val="21"/>
              </w:rPr>
            </w:pPr>
            <w:r>
              <w:rPr>
                <w:kern w:val="0"/>
                <w:szCs w:val="21"/>
                <w:lang w:bidi="ar"/>
              </w:rPr>
              <w:t>3号地</w:t>
            </w: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5CB35B8F">
            <w:pPr>
              <w:widowControl/>
              <w:jc w:val="center"/>
              <w:textAlignment w:val="center"/>
              <w:rPr>
                <w:szCs w:val="21"/>
              </w:rPr>
            </w:pPr>
            <w:r>
              <w:rPr>
                <w:kern w:val="0"/>
                <w:szCs w:val="21"/>
                <w:lang w:bidi="ar"/>
              </w:rPr>
              <w:t>老井位置1号舍</w:t>
            </w:r>
          </w:p>
        </w:tc>
        <w:tc>
          <w:tcPr>
            <w:tcW w:w="576" w:type="pct"/>
            <w:vMerge w:val="restart"/>
            <w:tcBorders>
              <w:top w:val="single" w:color="000000" w:sz="4" w:space="0"/>
              <w:left w:val="single" w:color="000000" w:sz="4" w:space="0"/>
              <w:bottom w:val="single" w:color="000000" w:sz="4" w:space="0"/>
              <w:right w:val="single" w:color="000000" w:sz="4" w:space="0"/>
            </w:tcBorders>
            <w:noWrap/>
            <w:vAlign w:val="center"/>
          </w:tcPr>
          <w:p w14:paraId="0158AB5C">
            <w:pPr>
              <w:widowControl/>
              <w:jc w:val="center"/>
              <w:textAlignment w:val="center"/>
              <w:rPr>
                <w:szCs w:val="21"/>
              </w:rPr>
            </w:pPr>
            <w:r>
              <w:rPr>
                <w:kern w:val="0"/>
                <w:szCs w:val="21"/>
                <w:lang w:bidi="ar"/>
              </w:rPr>
              <w:t>1010.28</w:t>
            </w:r>
          </w:p>
        </w:tc>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14:paraId="69141188">
            <w:pPr>
              <w:widowControl/>
              <w:jc w:val="center"/>
              <w:textAlignment w:val="center"/>
              <w:rPr>
                <w:szCs w:val="21"/>
              </w:rPr>
            </w:pPr>
            <w:r>
              <w:rPr>
                <w:kern w:val="0"/>
                <w:szCs w:val="21"/>
                <w:lang w:bidi="ar"/>
              </w:rPr>
              <w:t>4.86</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7ECD2FD8">
            <w:pPr>
              <w:widowControl/>
              <w:jc w:val="center"/>
              <w:textAlignment w:val="center"/>
              <w:rPr>
                <w:szCs w:val="21"/>
              </w:rPr>
            </w:pPr>
            <w:r>
              <w:rPr>
                <w:kern w:val="0"/>
                <w:szCs w:val="21"/>
                <w:lang w:bidi="ar"/>
              </w:rPr>
              <w:t>18.38</w:t>
            </w:r>
          </w:p>
        </w:tc>
        <w:tc>
          <w:tcPr>
            <w:tcW w:w="687" w:type="pct"/>
            <w:vMerge w:val="restart"/>
            <w:tcBorders>
              <w:top w:val="single" w:color="000000" w:sz="4" w:space="0"/>
              <w:left w:val="single" w:color="000000" w:sz="4" w:space="0"/>
              <w:bottom w:val="single" w:color="000000" w:sz="4" w:space="0"/>
              <w:right w:val="single" w:color="000000" w:sz="4" w:space="0"/>
            </w:tcBorders>
            <w:noWrap w:val="0"/>
            <w:vAlign w:val="center"/>
          </w:tcPr>
          <w:p w14:paraId="3FA94EF1">
            <w:pPr>
              <w:jc w:val="center"/>
              <w:rPr>
                <w:szCs w:val="21"/>
              </w:rPr>
            </w:pPr>
          </w:p>
        </w:tc>
        <w:tc>
          <w:tcPr>
            <w:tcW w:w="626" w:type="pct"/>
            <w:vMerge w:val="restart"/>
            <w:tcBorders>
              <w:top w:val="single" w:color="000000" w:sz="4" w:space="0"/>
              <w:left w:val="single" w:color="000000" w:sz="4" w:space="0"/>
              <w:bottom w:val="single" w:color="000000" w:sz="4" w:space="0"/>
              <w:right w:val="single" w:color="000000" w:sz="4" w:space="0"/>
            </w:tcBorders>
            <w:noWrap/>
            <w:vAlign w:val="center"/>
          </w:tcPr>
          <w:p w14:paraId="6523E896">
            <w:pPr>
              <w:widowControl/>
              <w:jc w:val="center"/>
              <w:textAlignment w:val="center"/>
              <w:rPr>
                <w:szCs w:val="21"/>
              </w:rPr>
            </w:pPr>
            <w:r>
              <w:rPr>
                <w:kern w:val="0"/>
                <w:szCs w:val="21"/>
                <w:lang w:bidi="ar"/>
              </w:rPr>
              <w:t>1033.52</w:t>
            </w:r>
          </w:p>
        </w:tc>
      </w:tr>
      <w:tr w14:paraId="17D7E7AB">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4B5553FC">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59480D8D">
            <w:pPr>
              <w:widowControl/>
              <w:jc w:val="center"/>
              <w:textAlignment w:val="center"/>
              <w:rPr>
                <w:szCs w:val="21"/>
              </w:rPr>
            </w:pPr>
            <w:r>
              <w:rPr>
                <w:kern w:val="0"/>
                <w:szCs w:val="21"/>
                <w:lang w:bidi="ar"/>
              </w:rPr>
              <w:t>老井位置2号舍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508F02D6">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4CD6284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380859BF">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46AC59">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3D2D5883">
            <w:pPr>
              <w:jc w:val="center"/>
              <w:rPr>
                <w:szCs w:val="21"/>
              </w:rPr>
            </w:pPr>
          </w:p>
        </w:tc>
      </w:tr>
      <w:tr w14:paraId="71F32BB4">
        <w:tblPrEx>
          <w:tblCellMar>
            <w:top w:w="0" w:type="dxa"/>
            <w:left w:w="108" w:type="dxa"/>
            <w:bottom w:w="0" w:type="dxa"/>
            <w:right w:w="108" w:type="dxa"/>
          </w:tblCellMar>
        </w:tblPrEx>
        <w:trPr>
          <w:trHeight w:val="315" w:hRule="atLeast"/>
        </w:trPr>
        <w:tc>
          <w:tcPr>
            <w:tcW w:w="446" w:type="pct"/>
            <w:vMerge w:val="restart"/>
            <w:tcBorders>
              <w:top w:val="single" w:color="000000" w:sz="4" w:space="0"/>
              <w:left w:val="single" w:color="000000" w:sz="4" w:space="0"/>
              <w:bottom w:val="single" w:color="000000" w:sz="4" w:space="0"/>
              <w:right w:val="single" w:color="000000" w:sz="4" w:space="0"/>
            </w:tcBorders>
            <w:noWrap/>
            <w:vAlign w:val="center"/>
          </w:tcPr>
          <w:p w14:paraId="2337E828">
            <w:pPr>
              <w:widowControl/>
              <w:jc w:val="center"/>
              <w:textAlignment w:val="center"/>
              <w:rPr>
                <w:szCs w:val="21"/>
              </w:rPr>
            </w:pPr>
            <w:r>
              <w:rPr>
                <w:kern w:val="0"/>
                <w:szCs w:val="21"/>
                <w:lang w:bidi="ar"/>
              </w:rPr>
              <w:t>4号地</w:t>
            </w: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60711F27">
            <w:pPr>
              <w:widowControl/>
              <w:jc w:val="center"/>
              <w:textAlignment w:val="center"/>
              <w:rPr>
                <w:szCs w:val="21"/>
              </w:rPr>
            </w:pPr>
            <w:r>
              <w:rPr>
                <w:kern w:val="0"/>
                <w:szCs w:val="21"/>
                <w:lang w:bidi="ar"/>
              </w:rPr>
              <w:t>鑫旺板块1号舍</w:t>
            </w:r>
          </w:p>
        </w:tc>
        <w:tc>
          <w:tcPr>
            <w:tcW w:w="576" w:type="pct"/>
            <w:vMerge w:val="restart"/>
            <w:tcBorders>
              <w:top w:val="single" w:color="000000" w:sz="4" w:space="0"/>
              <w:left w:val="single" w:color="000000" w:sz="4" w:space="0"/>
              <w:bottom w:val="single" w:color="000000" w:sz="4" w:space="0"/>
              <w:right w:val="single" w:color="000000" w:sz="4" w:space="0"/>
            </w:tcBorders>
            <w:noWrap/>
            <w:vAlign w:val="center"/>
          </w:tcPr>
          <w:p w14:paraId="4FC42C3B">
            <w:pPr>
              <w:widowControl/>
              <w:jc w:val="center"/>
              <w:textAlignment w:val="center"/>
              <w:rPr>
                <w:szCs w:val="21"/>
              </w:rPr>
            </w:pPr>
            <w:r>
              <w:rPr>
                <w:kern w:val="0"/>
                <w:szCs w:val="21"/>
                <w:lang w:bidi="ar"/>
              </w:rPr>
              <w:t>2458.34</w:t>
            </w:r>
          </w:p>
        </w:tc>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14:paraId="57EA4B6E">
            <w:pPr>
              <w:widowControl/>
              <w:jc w:val="center"/>
              <w:textAlignment w:val="center"/>
              <w:rPr>
                <w:szCs w:val="21"/>
              </w:rPr>
            </w:pPr>
            <w:r>
              <w:rPr>
                <w:kern w:val="0"/>
                <w:szCs w:val="21"/>
                <w:lang w:bidi="ar"/>
              </w:rPr>
              <w:t>11.84</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07C9D2D1">
            <w:pPr>
              <w:widowControl/>
              <w:jc w:val="center"/>
              <w:textAlignment w:val="center"/>
              <w:rPr>
                <w:szCs w:val="21"/>
              </w:rPr>
            </w:pPr>
            <w:r>
              <w:rPr>
                <w:kern w:val="0"/>
                <w:szCs w:val="21"/>
                <w:lang w:bidi="ar"/>
              </w:rPr>
              <w:t>44.73</w:t>
            </w:r>
          </w:p>
        </w:tc>
        <w:tc>
          <w:tcPr>
            <w:tcW w:w="687" w:type="pct"/>
            <w:vMerge w:val="restart"/>
            <w:tcBorders>
              <w:top w:val="single" w:color="000000" w:sz="4" w:space="0"/>
              <w:left w:val="single" w:color="000000" w:sz="4" w:space="0"/>
              <w:bottom w:val="single" w:color="000000" w:sz="4" w:space="0"/>
              <w:right w:val="single" w:color="000000" w:sz="4" w:space="0"/>
            </w:tcBorders>
            <w:noWrap w:val="0"/>
            <w:vAlign w:val="center"/>
          </w:tcPr>
          <w:p w14:paraId="31B0D7AB">
            <w:pPr>
              <w:widowControl/>
              <w:jc w:val="center"/>
              <w:textAlignment w:val="center"/>
              <w:rPr>
                <w:szCs w:val="21"/>
              </w:rPr>
            </w:pPr>
            <w:r>
              <w:rPr>
                <w:kern w:val="0"/>
                <w:szCs w:val="21"/>
                <w:lang w:bidi="ar"/>
              </w:rPr>
              <w:t>175.2</w:t>
            </w:r>
          </w:p>
        </w:tc>
        <w:tc>
          <w:tcPr>
            <w:tcW w:w="626" w:type="pct"/>
            <w:vMerge w:val="restart"/>
            <w:tcBorders>
              <w:top w:val="single" w:color="000000" w:sz="4" w:space="0"/>
              <w:left w:val="single" w:color="000000" w:sz="4" w:space="0"/>
              <w:bottom w:val="single" w:color="000000" w:sz="4" w:space="0"/>
              <w:right w:val="single" w:color="000000" w:sz="4" w:space="0"/>
            </w:tcBorders>
            <w:noWrap/>
            <w:vAlign w:val="center"/>
          </w:tcPr>
          <w:p w14:paraId="5AA0ADED">
            <w:pPr>
              <w:widowControl/>
              <w:jc w:val="center"/>
              <w:textAlignment w:val="center"/>
              <w:rPr>
                <w:szCs w:val="21"/>
              </w:rPr>
            </w:pPr>
            <w:r>
              <w:rPr>
                <w:kern w:val="0"/>
                <w:szCs w:val="21"/>
                <w:lang w:bidi="ar"/>
              </w:rPr>
              <w:t>2690.11</w:t>
            </w:r>
          </w:p>
        </w:tc>
      </w:tr>
      <w:tr w14:paraId="387E1439">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7BF2B166">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7ECC2D6C">
            <w:pPr>
              <w:widowControl/>
              <w:jc w:val="center"/>
              <w:textAlignment w:val="center"/>
              <w:rPr>
                <w:szCs w:val="21"/>
              </w:rPr>
            </w:pPr>
            <w:r>
              <w:rPr>
                <w:kern w:val="0"/>
                <w:szCs w:val="21"/>
                <w:lang w:bidi="ar"/>
              </w:rPr>
              <w:t>鑫旺板块2号舍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30BE5D28">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36C2ACA2">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D62E034">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9B7A8D">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7CF4158A">
            <w:pPr>
              <w:jc w:val="center"/>
              <w:rPr>
                <w:szCs w:val="21"/>
              </w:rPr>
            </w:pPr>
          </w:p>
        </w:tc>
      </w:tr>
      <w:tr w14:paraId="71C0A832">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0CC76F07">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6B91EEEA">
            <w:pPr>
              <w:widowControl/>
              <w:jc w:val="center"/>
              <w:textAlignment w:val="center"/>
              <w:rPr>
                <w:szCs w:val="21"/>
              </w:rPr>
            </w:pPr>
            <w:r>
              <w:rPr>
                <w:kern w:val="0"/>
                <w:szCs w:val="21"/>
                <w:lang w:bidi="ar"/>
              </w:rPr>
              <w:t>鑫旺板块3号舍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2AF2AB44">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2558CB41">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4A7C609B">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B4D86D">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6311B403">
            <w:pPr>
              <w:jc w:val="center"/>
              <w:rPr>
                <w:szCs w:val="21"/>
              </w:rPr>
            </w:pPr>
          </w:p>
        </w:tc>
      </w:tr>
      <w:tr w14:paraId="437B0F66">
        <w:tblPrEx>
          <w:tblCellMar>
            <w:top w:w="0" w:type="dxa"/>
            <w:left w:w="108" w:type="dxa"/>
            <w:bottom w:w="0" w:type="dxa"/>
            <w:right w:w="108" w:type="dxa"/>
          </w:tblCellMar>
        </w:tblPrEx>
        <w:trPr>
          <w:trHeight w:val="285" w:hRule="atLeast"/>
        </w:trPr>
        <w:tc>
          <w:tcPr>
            <w:tcW w:w="446" w:type="pct"/>
            <w:vMerge w:val="restart"/>
            <w:tcBorders>
              <w:top w:val="single" w:color="000000" w:sz="4" w:space="0"/>
              <w:left w:val="single" w:color="000000" w:sz="4" w:space="0"/>
              <w:bottom w:val="single" w:color="000000" w:sz="4" w:space="0"/>
              <w:right w:val="single" w:color="000000" w:sz="4" w:space="0"/>
            </w:tcBorders>
            <w:noWrap/>
            <w:vAlign w:val="center"/>
          </w:tcPr>
          <w:p w14:paraId="207BD3F8">
            <w:pPr>
              <w:widowControl/>
              <w:jc w:val="center"/>
              <w:textAlignment w:val="center"/>
              <w:rPr>
                <w:szCs w:val="21"/>
              </w:rPr>
            </w:pPr>
            <w:r>
              <w:rPr>
                <w:kern w:val="0"/>
                <w:szCs w:val="21"/>
                <w:lang w:bidi="ar"/>
              </w:rPr>
              <w:t>5号地</w:t>
            </w: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489AB4C5">
            <w:pPr>
              <w:widowControl/>
              <w:jc w:val="center"/>
              <w:textAlignment w:val="center"/>
              <w:rPr>
                <w:szCs w:val="21"/>
              </w:rPr>
            </w:pPr>
            <w:r>
              <w:rPr>
                <w:kern w:val="0"/>
                <w:szCs w:val="21"/>
                <w:lang w:bidi="ar"/>
              </w:rPr>
              <w:t>大河边篮球场位置猪舍</w:t>
            </w:r>
          </w:p>
        </w:tc>
        <w:tc>
          <w:tcPr>
            <w:tcW w:w="576" w:type="pct"/>
            <w:vMerge w:val="restart"/>
            <w:tcBorders>
              <w:top w:val="single" w:color="000000" w:sz="4" w:space="0"/>
              <w:left w:val="single" w:color="000000" w:sz="4" w:space="0"/>
              <w:bottom w:val="single" w:color="000000" w:sz="4" w:space="0"/>
              <w:right w:val="single" w:color="000000" w:sz="4" w:space="0"/>
            </w:tcBorders>
            <w:noWrap/>
            <w:vAlign w:val="center"/>
          </w:tcPr>
          <w:p w14:paraId="7F046C2F">
            <w:pPr>
              <w:widowControl/>
              <w:jc w:val="center"/>
              <w:textAlignment w:val="center"/>
              <w:rPr>
                <w:szCs w:val="21"/>
              </w:rPr>
            </w:pPr>
            <w:r>
              <w:rPr>
                <w:kern w:val="0"/>
                <w:szCs w:val="21"/>
                <w:lang w:bidi="ar"/>
              </w:rPr>
              <w:t>1925.65</w:t>
            </w:r>
          </w:p>
        </w:tc>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14:paraId="1A32B46A">
            <w:pPr>
              <w:widowControl/>
              <w:jc w:val="center"/>
              <w:textAlignment w:val="center"/>
              <w:rPr>
                <w:szCs w:val="21"/>
              </w:rPr>
            </w:pPr>
            <w:r>
              <w:rPr>
                <w:kern w:val="0"/>
                <w:szCs w:val="21"/>
                <w:lang w:bidi="ar"/>
              </w:rPr>
              <w:t>9.27</w:t>
            </w:r>
          </w:p>
        </w:tc>
        <w:tc>
          <w:tcPr>
            <w:tcW w:w="527" w:type="pct"/>
            <w:vMerge w:val="restart"/>
            <w:tcBorders>
              <w:top w:val="single" w:color="000000" w:sz="4" w:space="0"/>
              <w:left w:val="single" w:color="000000" w:sz="4" w:space="0"/>
              <w:bottom w:val="single" w:color="000000" w:sz="4" w:space="0"/>
              <w:right w:val="single" w:color="000000" w:sz="4" w:space="0"/>
            </w:tcBorders>
            <w:noWrap/>
            <w:vAlign w:val="center"/>
          </w:tcPr>
          <w:p w14:paraId="36CA59E0">
            <w:pPr>
              <w:widowControl/>
              <w:jc w:val="center"/>
              <w:textAlignment w:val="center"/>
              <w:rPr>
                <w:szCs w:val="21"/>
              </w:rPr>
            </w:pPr>
            <w:r>
              <w:rPr>
                <w:kern w:val="0"/>
                <w:szCs w:val="21"/>
                <w:lang w:bidi="ar"/>
              </w:rPr>
              <w:t>35.04</w:t>
            </w:r>
          </w:p>
        </w:tc>
        <w:tc>
          <w:tcPr>
            <w:tcW w:w="687" w:type="pct"/>
            <w:vMerge w:val="restart"/>
            <w:tcBorders>
              <w:top w:val="single" w:color="000000" w:sz="4" w:space="0"/>
              <w:left w:val="single" w:color="000000" w:sz="4" w:space="0"/>
              <w:bottom w:val="single" w:color="000000" w:sz="4" w:space="0"/>
              <w:right w:val="single" w:color="000000" w:sz="4" w:space="0"/>
            </w:tcBorders>
            <w:noWrap w:val="0"/>
            <w:vAlign w:val="center"/>
          </w:tcPr>
          <w:p w14:paraId="02F0D165">
            <w:pPr>
              <w:widowControl/>
              <w:jc w:val="center"/>
              <w:textAlignment w:val="center"/>
              <w:rPr>
                <w:szCs w:val="21"/>
              </w:rPr>
            </w:pPr>
            <w:r>
              <w:rPr>
                <w:kern w:val="0"/>
                <w:szCs w:val="21"/>
                <w:lang w:bidi="ar"/>
              </w:rPr>
              <w:t>350.4</w:t>
            </w:r>
          </w:p>
        </w:tc>
        <w:tc>
          <w:tcPr>
            <w:tcW w:w="626" w:type="pct"/>
            <w:vMerge w:val="restart"/>
            <w:tcBorders>
              <w:top w:val="single" w:color="000000" w:sz="4" w:space="0"/>
              <w:left w:val="single" w:color="000000" w:sz="4" w:space="0"/>
              <w:bottom w:val="single" w:color="000000" w:sz="4" w:space="0"/>
              <w:right w:val="single" w:color="000000" w:sz="4" w:space="0"/>
            </w:tcBorders>
            <w:noWrap/>
            <w:vAlign w:val="center"/>
          </w:tcPr>
          <w:p w14:paraId="66431E72">
            <w:pPr>
              <w:widowControl/>
              <w:jc w:val="center"/>
              <w:textAlignment w:val="center"/>
              <w:rPr>
                <w:szCs w:val="21"/>
              </w:rPr>
            </w:pPr>
            <w:r>
              <w:rPr>
                <w:kern w:val="0"/>
                <w:szCs w:val="21"/>
                <w:lang w:bidi="ar"/>
              </w:rPr>
              <w:t>2320.36</w:t>
            </w:r>
          </w:p>
        </w:tc>
      </w:tr>
      <w:tr w14:paraId="13CAF08E">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1DCA95B2">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5EF9A5C7">
            <w:pPr>
              <w:widowControl/>
              <w:jc w:val="center"/>
              <w:textAlignment w:val="center"/>
              <w:rPr>
                <w:szCs w:val="21"/>
              </w:rPr>
            </w:pPr>
            <w:r>
              <w:rPr>
                <w:kern w:val="0"/>
                <w:szCs w:val="21"/>
                <w:lang w:bidi="ar"/>
              </w:rPr>
              <w:t>大河边上煤仓位置1号舍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01E61C5F">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57519B95">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743A65F5">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41EB91">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2D205D17">
            <w:pPr>
              <w:jc w:val="center"/>
              <w:rPr>
                <w:szCs w:val="21"/>
              </w:rPr>
            </w:pPr>
          </w:p>
        </w:tc>
      </w:tr>
      <w:tr w14:paraId="3D9F6B8C">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69AF8040">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5D506265">
            <w:pPr>
              <w:widowControl/>
              <w:jc w:val="center"/>
              <w:textAlignment w:val="center"/>
              <w:rPr>
                <w:szCs w:val="21"/>
              </w:rPr>
            </w:pPr>
            <w:r>
              <w:rPr>
                <w:kern w:val="0"/>
                <w:szCs w:val="21"/>
                <w:lang w:bidi="ar"/>
              </w:rPr>
              <w:t>大河边上煤仓位置1号舍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1FB76275">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76FA271D">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1EE12DE0">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CB13EE">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1B1EB104">
            <w:pPr>
              <w:jc w:val="center"/>
              <w:rPr>
                <w:szCs w:val="21"/>
              </w:rPr>
            </w:pPr>
          </w:p>
        </w:tc>
      </w:tr>
      <w:tr w14:paraId="59A95AF1">
        <w:tblPrEx>
          <w:tblCellMar>
            <w:top w:w="0" w:type="dxa"/>
            <w:left w:w="108" w:type="dxa"/>
            <w:bottom w:w="0" w:type="dxa"/>
            <w:right w:w="108" w:type="dxa"/>
          </w:tblCellMar>
        </w:tblPrEx>
        <w:trPr>
          <w:trHeight w:val="285" w:hRule="atLeast"/>
        </w:trPr>
        <w:tc>
          <w:tcPr>
            <w:tcW w:w="446" w:type="pct"/>
            <w:vMerge w:val="continue"/>
            <w:tcBorders>
              <w:top w:val="single" w:color="000000" w:sz="4" w:space="0"/>
              <w:left w:val="single" w:color="000000" w:sz="4" w:space="0"/>
              <w:bottom w:val="single" w:color="000000" w:sz="4" w:space="0"/>
              <w:right w:val="single" w:color="000000" w:sz="4" w:space="0"/>
            </w:tcBorders>
            <w:noWrap/>
            <w:vAlign w:val="center"/>
          </w:tcPr>
          <w:p w14:paraId="441CEE94">
            <w:pPr>
              <w:jc w:val="center"/>
              <w:rPr>
                <w:szCs w:val="21"/>
              </w:rPr>
            </w:pPr>
          </w:p>
        </w:tc>
        <w:tc>
          <w:tcPr>
            <w:tcW w:w="1531" w:type="pct"/>
            <w:tcBorders>
              <w:top w:val="single" w:color="000000" w:sz="4" w:space="0"/>
              <w:left w:val="single" w:color="000000" w:sz="4" w:space="0"/>
              <w:bottom w:val="single" w:color="000000" w:sz="4" w:space="0"/>
              <w:right w:val="single" w:color="000000" w:sz="4" w:space="0"/>
            </w:tcBorders>
            <w:noWrap/>
            <w:vAlign w:val="center"/>
          </w:tcPr>
          <w:p w14:paraId="634CAD3F">
            <w:pPr>
              <w:widowControl/>
              <w:jc w:val="center"/>
              <w:textAlignment w:val="center"/>
              <w:rPr>
                <w:szCs w:val="21"/>
              </w:rPr>
            </w:pPr>
            <w:r>
              <w:rPr>
                <w:kern w:val="0"/>
                <w:szCs w:val="21"/>
                <w:lang w:bidi="ar"/>
              </w:rPr>
              <w:t>大河边下煤仓位置猪舍</w:t>
            </w:r>
          </w:p>
        </w:tc>
        <w:tc>
          <w:tcPr>
            <w:tcW w:w="576" w:type="pct"/>
            <w:vMerge w:val="continue"/>
            <w:tcBorders>
              <w:top w:val="single" w:color="000000" w:sz="4" w:space="0"/>
              <w:left w:val="single" w:color="000000" w:sz="4" w:space="0"/>
              <w:bottom w:val="single" w:color="000000" w:sz="4" w:space="0"/>
              <w:right w:val="single" w:color="000000" w:sz="4" w:space="0"/>
            </w:tcBorders>
            <w:noWrap/>
            <w:vAlign w:val="center"/>
          </w:tcPr>
          <w:p w14:paraId="0BFB8826">
            <w:pPr>
              <w:jc w:val="center"/>
              <w:rPr>
                <w:szCs w:val="21"/>
              </w:rPr>
            </w:pPr>
          </w:p>
        </w:tc>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14:paraId="2A696470">
            <w:pPr>
              <w:jc w:val="center"/>
              <w:rPr>
                <w:szCs w:val="21"/>
              </w:rPr>
            </w:pPr>
          </w:p>
        </w:tc>
        <w:tc>
          <w:tcPr>
            <w:tcW w:w="527" w:type="pct"/>
            <w:vMerge w:val="continue"/>
            <w:tcBorders>
              <w:top w:val="single" w:color="000000" w:sz="4" w:space="0"/>
              <w:left w:val="single" w:color="000000" w:sz="4" w:space="0"/>
              <w:bottom w:val="single" w:color="000000" w:sz="4" w:space="0"/>
              <w:right w:val="single" w:color="000000" w:sz="4" w:space="0"/>
            </w:tcBorders>
            <w:noWrap/>
            <w:vAlign w:val="center"/>
          </w:tcPr>
          <w:p w14:paraId="0BF4F377">
            <w:pPr>
              <w:jc w:val="center"/>
              <w:rPr>
                <w:szCs w:val="21"/>
              </w:rPr>
            </w:pPr>
          </w:p>
        </w:tc>
        <w:tc>
          <w:tcPr>
            <w:tcW w:w="6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E12110">
            <w:pPr>
              <w:jc w:val="center"/>
              <w:rPr>
                <w:szCs w:val="21"/>
              </w:rPr>
            </w:pPr>
          </w:p>
        </w:tc>
        <w:tc>
          <w:tcPr>
            <w:tcW w:w="626" w:type="pct"/>
            <w:vMerge w:val="continue"/>
            <w:tcBorders>
              <w:top w:val="single" w:color="000000" w:sz="4" w:space="0"/>
              <w:left w:val="single" w:color="000000" w:sz="4" w:space="0"/>
              <w:bottom w:val="single" w:color="000000" w:sz="4" w:space="0"/>
              <w:right w:val="single" w:color="000000" w:sz="4" w:space="0"/>
            </w:tcBorders>
            <w:noWrap/>
            <w:vAlign w:val="center"/>
          </w:tcPr>
          <w:p w14:paraId="5C9FFBB9">
            <w:pPr>
              <w:jc w:val="center"/>
              <w:rPr>
                <w:szCs w:val="21"/>
              </w:rPr>
            </w:pPr>
          </w:p>
        </w:tc>
      </w:tr>
      <w:tr w14:paraId="31FAFA9D">
        <w:tblPrEx>
          <w:tblCellMar>
            <w:top w:w="0" w:type="dxa"/>
            <w:left w:w="108" w:type="dxa"/>
            <w:bottom w:w="0" w:type="dxa"/>
            <w:right w:w="108" w:type="dxa"/>
          </w:tblCellMar>
        </w:tblPrEx>
        <w:trPr>
          <w:trHeight w:val="285" w:hRule="atLeast"/>
        </w:trPr>
        <w:tc>
          <w:tcPr>
            <w:tcW w:w="1978" w:type="pct"/>
            <w:gridSpan w:val="2"/>
            <w:tcBorders>
              <w:top w:val="single" w:color="000000" w:sz="4" w:space="0"/>
              <w:left w:val="single" w:color="000000" w:sz="4" w:space="0"/>
              <w:bottom w:val="single" w:color="000000" w:sz="4" w:space="0"/>
              <w:right w:val="single" w:color="000000" w:sz="4" w:space="0"/>
            </w:tcBorders>
            <w:noWrap/>
            <w:vAlign w:val="center"/>
          </w:tcPr>
          <w:p w14:paraId="0929EF64">
            <w:pPr>
              <w:rPr>
                <w:szCs w:val="21"/>
              </w:rPr>
            </w:pPr>
            <w:r>
              <w:rPr>
                <w:szCs w:val="21"/>
              </w:rPr>
              <w:t>合计</w:t>
            </w:r>
          </w:p>
        </w:tc>
        <w:tc>
          <w:tcPr>
            <w:tcW w:w="576" w:type="pct"/>
            <w:tcBorders>
              <w:top w:val="single" w:color="000000" w:sz="4" w:space="0"/>
              <w:left w:val="single" w:color="000000" w:sz="4" w:space="0"/>
              <w:bottom w:val="single" w:color="000000" w:sz="4" w:space="0"/>
              <w:right w:val="single" w:color="000000" w:sz="4" w:space="0"/>
            </w:tcBorders>
            <w:noWrap/>
            <w:vAlign w:val="center"/>
          </w:tcPr>
          <w:p w14:paraId="64AF1EA5">
            <w:pPr>
              <w:widowControl/>
              <w:jc w:val="right"/>
              <w:textAlignment w:val="center"/>
              <w:rPr>
                <w:szCs w:val="21"/>
              </w:rPr>
            </w:pPr>
            <w:r>
              <w:rPr>
                <w:kern w:val="0"/>
                <w:szCs w:val="21"/>
                <w:lang w:bidi="ar"/>
              </w:rPr>
              <w:t>8743</w:t>
            </w:r>
          </w:p>
        </w:tc>
        <w:tc>
          <w:tcPr>
            <w:tcW w:w="603" w:type="pct"/>
            <w:tcBorders>
              <w:top w:val="single" w:color="000000" w:sz="4" w:space="0"/>
              <w:left w:val="single" w:color="000000" w:sz="4" w:space="0"/>
              <w:bottom w:val="single" w:color="000000" w:sz="4" w:space="0"/>
              <w:right w:val="single" w:color="000000" w:sz="4" w:space="0"/>
            </w:tcBorders>
            <w:noWrap/>
            <w:vAlign w:val="center"/>
          </w:tcPr>
          <w:p w14:paraId="08C3FBCB">
            <w:pPr>
              <w:widowControl/>
              <w:jc w:val="center"/>
              <w:textAlignment w:val="center"/>
              <w:rPr>
                <w:szCs w:val="21"/>
              </w:rPr>
            </w:pPr>
            <w:r>
              <w:rPr>
                <w:kern w:val="0"/>
                <w:szCs w:val="21"/>
                <w:lang w:bidi="ar"/>
              </w:rPr>
              <w:t>42.09</w:t>
            </w: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661965B7">
            <w:pPr>
              <w:widowControl/>
              <w:jc w:val="center"/>
              <w:textAlignment w:val="center"/>
              <w:rPr>
                <w:szCs w:val="21"/>
              </w:rPr>
            </w:pPr>
            <w:r>
              <w:rPr>
                <w:kern w:val="0"/>
                <w:szCs w:val="21"/>
                <w:lang w:bidi="ar"/>
              </w:rPr>
              <w:t>159.07</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1CA0DBB6">
            <w:pPr>
              <w:widowControl/>
              <w:jc w:val="center"/>
              <w:textAlignment w:val="center"/>
              <w:rPr>
                <w:szCs w:val="21"/>
              </w:rPr>
            </w:pPr>
            <w:r>
              <w:rPr>
                <w:kern w:val="0"/>
                <w:szCs w:val="21"/>
                <w:lang w:bidi="ar"/>
              </w:rPr>
              <w:t>1051.2</w:t>
            </w:r>
          </w:p>
        </w:tc>
        <w:tc>
          <w:tcPr>
            <w:tcW w:w="626" w:type="pct"/>
            <w:tcBorders>
              <w:top w:val="single" w:color="000000" w:sz="4" w:space="0"/>
              <w:left w:val="single" w:color="000000" w:sz="4" w:space="0"/>
              <w:bottom w:val="single" w:color="000000" w:sz="4" w:space="0"/>
              <w:right w:val="single" w:color="000000" w:sz="4" w:space="0"/>
            </w:tcBorders>
            <w:noWrap/>
            <w:vAlign w:val="center"/>
          </w:tcPr>
          <w:p w14:paraId="748A7580">
            <w:pPr>
              <w:widowControl/>
              <w:jc w:val="right"/>
              <w:textAlignment w:val="center"/>
              <w:rPr>
                <w:szCs w:val="21"/>
              </w:rPr>
            </w:pPr>
            <w:r>
              <w:rPr>
                <w:kern w:val="0"/>
                <w:szCs w:val="21"/>
                <w:lang w:bidi="ar"/>
              </w:rPr>
              <w:t>9995.36</w:t>
            </w:r>
          </w:p>
        </w:tc>
      </w:tr>
    </w:tbl>
    <w:p w14:paraId="36FEF2F3">
      <w:pPr>
        <w:widowControl/>
        <w:tabs>
          <w:tab w:val="left" w:pos="2100"/>
        </w:tabs>
        <w:spacing w:line="360" w:lineRule="auto"/>
        <w:ind w:firstLine="480" w:firstLineChars="200"/>
        <w:rPr>
          <w:b/>
          <w:bCs/>
          <w:sz w:val="24"/>
        </w:rPr>
      </w:pPr>
      <w:r>
        <w:rPr>
          <w:sz w:val="24"/>
        </w:rPr>
        <w:t>项目在各养殖场地各建设一座污水处理站，共计5座污水处理站，生活污水及养殖废水收集后进入各自场地污水处理站处理，其中3号养殖场地及2号养殖场地的生活污水统一进入2号场地污水处理站处理；处理规模分别为1号地14m</w:t>
      </w:r>
      <w:r>
        <w:rPr>
          <w:sz w:val="24"/>
          <w:vertAlign w:val="superscript"/>
        </w:rPr>
        <w:t>3</w:t>
      </w:r>
      <w:r>
        <w:rPr>
          <w:sz w:val="24"/>
        </w:rPr>
        <w:t>/d，2号地28m</w:t>
      </w:r>
      <w:r>
        <w:rPr>
          <w:sz w:val="24"/>
          <w:vertAlign w:val="superscript"/>
        </w:rPr>
        <w:t>3</w:t>
      </w:r>
      <w:r>
        <w:rPr>
          <w:sz w:val="24"/>
        </w:rPr>
        <w:t>/d，3号地12m</w:t>
      </w:r>
      <w:r>
        <w:rPr>
          <w:sz w:val="24"/>
          <w:vertAlign w:val="superscript"/>
        </w:rPr>
        <w:t>3</w:t>
      </w:r>
      <w:r>
        <w:rPr>
          <w:sz w:val="24"/>
        </w:rPr>
        <w:t>/d，4号地31m</w:t>
      </w:r>
      <w:r>
        <w:rPr>
          <w:sz w:val="24"/>
          <w:vertAlign w:val="superscript"/>
        </w:rPr>
        <w:t>3</w:t>
      </w:r>
      <w:r>
        <w:rPr>
          <w:sz w:val="24"/>
        </w:rPr>
        <w:t>/d，5号地25m</w:t>
      </w:r>
      <w:r>
        <w:rPr>
          <w:sz w:val="24"/>
          <w:vertAlign w:val="superscript"/>
        </w:rPr>
        <w:t>3</w:t>
      </w:r>
      <w:r>
        <w:rPr>
          <w:sz w:val="24"/>
        </w:rPr>
        <w:t>/d。项目污水处理效率情况如下表：</w:t>
      </w:r>
    </w:p>
    <w:p w14:paraId="321AE053">
      <w:pPr>
        <w:widowControl/>
        <w:tabs>
          <w:tab w:val="left" w:pos="2100"/>
        </w:tabs>
        <w:spacing w:line="360" w:lineRule="auto"/>
        <w:ind w:firstLine="482" w:firstLineChars="200"/>
        <w:jc w:val="center"/>
        <w:rPr>
          <w:sz w:val="24"/>
        </w:rPr>
      </w:pPr>
      <w:r>
        <w:rPr>
          <w:b/>
          <w:bCs/>
          <w:sz w:val="24"/>
        </w:rPr>
        <w:t xml:space="preserve">表3.4-11 养猪场污水处理站各环节处理率一览表   </w:t>
      </w:r>
      <w:r>
        <w:rPr>
          <w:b/>
          <w:sz w:val="24"/>
        </w:rPr>
        <w:t>mg/L</w:t>
      </w:r>
    </w:p>
    <w:tbl>
      <w:tblPr>
        <w:tblStyle w:val="87"/>
        <w:tblW w:w="4997" w:type="pct"/>
        <w:tblInd w:w="0" w:type="dxa"/>
        <w:tblLayout w:type="autofit"/>
        <w:tblCellMar>
          <w:top w:w="0" w:type="dxa"/>
          <w:left w:w="108" w:type="dxa"/>
          <w:bottom w:w="0" w:type="dxa"/>
          <w:right w:w="108" w:type="dxa"/>
        </w:tblCellMar>
      </w:tblPr>
      <w:tblGrid>
        <w:gridCol w:w="1879"/>
        <w:gridCol w:w="1071"/>
        <w:gridCol w:w="921"/>
        <w:gridCol w:w="896"/>
        <w:gridCol w:w="952"/>
        <w:gridCol w:w="899"/>
        <w:gridCol w:w="1005"/>
        <w:gridCol w:w="900"/>
      </w:tblGrid>
      <w:tr w14:paraId="73AE4C1E">
        <w:tblPrEx>
          <w:tblCellMar>
            <w:top w:w="0" w:type="dxa"/>
            <w:left w:w="108" w:type="dxa"/>
            <w:bottom w:w="0" w:type="dxa"/>
            <w:right w:w="108" w:type="dxa"/>
          </w:tblCellMar>
        </w:tblPrEx>
        <w:trPr>
          <w:trHeight w:val="330" w:hRule="atLeast"/>
        </w:trPr>
        <w:tc>
          <w:tcPr>
            <w:tcW w:w="730" w:type="pct"/>
            <w:tcBorders>
              <w:top w:val="single" w:color="000000" w:sz="4" w:space="0"/>
              <w:left w:val="single" w:color="000000" w:sz="4" w:space="0"/>
              <w:bottom w:val="single" w:color="000000" w:sz="4" w:space="0"/>
              <w:right w:val="single" w:color="000000" w:sz="4" w:space="0"/>
            </w:tcBorders>
            <w:noWrap/>
            <w:vAlign w:val="center"/>
          </w:tcPr>
          <w:p w14:paraId="33061072">
            <w:pPr>
              <w:widowControl/>
              <w:jc w:val="center"/>
              <w:textAlignment w:val="center"/>
              <w:rPr>
                <w:szCs w:val="21"/>
              </w:rPr>
            </w:pPr>
            <w:r>
              <w:rPr>
                <w:kern w:val="0"/>
                <w:szCs w:val="21"/>
                <w:lang w:bidi="ar"/>
              </w:rPr>
              <w:t>单元名称</w:t>
            </w: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4D3576EF">
            <w:pPr>
              <w:widowControl/>
              <w:jc w:val="center"/>
              <w:textAlignment w:val="bottom"/>
              <w:rPr>
                <w:szCs w:val="21"/>
              </w:rPr>
            </w:pPr>
            <w:r>
              <w:rPr>
                <w:kern w:val="0"/>
                <w:szCs w:val="21"/>
                <w:lang w:bidi="ar"/>
              </w:rPr>
              <w:t>项目名称</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40209AA0">
            <w:pPr>
              <w:widowControl/>
              <w:jc w:val="center"/>
              <w:textAlignment w:val="center"/>
              <w:rPr>
                <w:szCs w:val="21"/>
              </w:rPr>
            </w:pPr>
            <w:r>
              <w:rPr>
                <w:kern w:val="0"/>
                <w:szCs w:val="21"/>
                <w:lang w:bidi="ar"/>
              </w:rPr>
              <w:t>CODcr</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2ABC30BD">
            <w:pPr>
              <w:widowControl/>
              <w:jc w:val="center"/>
              <w:textAlignment w:val="center"/>
              <w:rPr>
                <w:szCs w:val="21"/>
              </w:rPr>
            </w:pPr>
            <w:r>
              <w:rPr>
                <w:kern w:val="0"/>
                <w:szCs w:val="21"/>
                <w:lang w:bidi="ar"/>
              </w:rPr>
              <w:t>BOD</w:t>
            </w:r>
            <w:r>
              <w:rPr>
                <w:kern w:val="0"/>
                <w:szCs w:val="21"/>
                <w:vertAlign w:val="subscript"/>
                <w:lang w:bidi="ar"/>
              </w:rPr>
              <w:t>5</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5BCF988F">
            <w:pPr>
              <w:widowControl/>
              <w:jc w:val="center"/>
              <w:textAlignment w:val="center"/>
              <w:rPr>
                <w:szCs w:val="21"/>
              </w:rPr>
            </w:pPr>
            <w:r>
              <w:rPr>
                <w:kern w:val="0"/>
                <w:szCs w:val="21"/>
                <w:lang w:bidi="ar"/>
              </w:rPr>
              <w:t>SS</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C552E45">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7013AF8">
            <w:pPr>
              <w:widowControl/>
              <w:jc w:val="center"/>
              <w:textAlignment w:val="center"/>
              <w:rPr>
                <w:szCs w:val="21"/>
              </w:rPr>
            </w:pPr>
            <w:r>
              <w:rPr>
                <w:kern w:val="0"/>
                <w:szCs w:val="21"/>
                <w:lang w:bidi="ar"/>
              </w:rPr>
              <w:t>TN</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5549C69">
            <w:pPr>
              <w:widowControl/>
              <w:jc w:val="center"/>
              <w:textAlignment w:val="center"/>
              <w:rPr>
                <w:szCs w:val="21"/>
              </w:rPr>
            </w:pPr>
            <w:r>
              <w:rPr>
                <w:kern w:val="0"/>
                <w:szCs w:val="21"/>
                <w:lang w:bidi="ar"/>
              </w:rPr>
              <w:t>TP</w:t>
            </w:r>
          </w:p>
        </w:tc>
      </w:tr>
      <w:tr w14:paraId="5FD12715">
        <w:tblPrEx>
          <w:tblCellMar>
            <w:top w:w="0" w:type="dxa"/>
            <w:left w:w="108" w:type="dxa"/>
            <w:bottom w:w="0" w:type="dxa"/>
            <w:right w:w="108" w:type="dxa"/>
          </w:tblCellMar>
        </w:tblPrEx>
        <w:trPr>
          <w:trHeight w:val="285" w:hRule="atLeast"/>
        </w:trPr>
        <w:tc>
          <w:tcPr>
            <w:tcW w:w="730" w:type="pct"/>
            <w:vMerge w:val="restart"/>
            <w:tcBorders>
              <w:top w:val="single" w:color="000000" w:sz="4" w:space="0"/>
              <w:left w:val="single" w:color="000000" w:sz="4" w:space="0"/>
              <w:bottom w:val="single" w:color="000000" w:sz="4" w:space="0"/>
              <w:right w:val="single" w:color="000000" w:sz="4" w:space="0"/>
            </w:tcBorders>
            <w:noWrap/>
            <w:vAlign w:val="center"/>
          </w:tcPr>
          <w:p w14:paraId="3ECC11C1">
            <w:pPr>
              <w:widowControl/>
              <w:jc w:val="center"/>
              <w:textAlignment w:val="center"/>
              <w:rPr>
                <w:szCs w:val="21"/>
              </w:rPr>
            </w:pPr>
            <w:r>
              <w:rPr>
                <w:kern w:val="0"/>
                <w:szCs w:val="21"/>
                <w:lang w:bidi="ar"/>
              </w:rPr>
              <w:t>固液分离机</w:t>
            </w: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588A04AD">
            <w:pPr>
              <w:widowControl/>
              <w:jc w:val="center"/>
              <w:textAlignment w:val="bottom"/>
              <w:rPr>
                <w:szCs w:val="21"/>
              </w:rPr>
            </w:pPr>
            <w:r>
              <w:rPr>
                <w:kern w:val="0"/>
                <w:szCs w:val="21"/>
                <w:lang w:bidi="ar"/>
              </w:rPr>
              <w:t>进水</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08EB88D5">
            <w:pPr>
              <w:widowControl/>
              <w:jc w:val="center"/>
              <w:textAlignment w:val="center"/>
              <w:rPr>
                <w:szCs w:val="21"/>
              </w:rPr>
            </w:pPr>
            <w:r>
              <w:rPr>
                <w:kern w:val="0"/>
                <w:szCs w:val="21"/>
                <w:lang w:bidi="ar"/>
              </w:rPr>
              <w:t>2640</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61BE7F45">
            <w:pPr>
              <w:widowControl/>
              <w:jc w:val="center"/>
              <w:textAlignment w:val="center"/>
              <w:rPr>
                <w:szCs w:val="21"/>
              </w:rPr>
            </w:pPr>
            <w:r>
              <w:rPr>
                <w:kern w:val="0"/>
                <w:szCs w:val="21"/>
                <w:lang w:bidi="ar"/>
              </w:rPr>
              <w:t>1500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00FF2826">
            <w:pPr>
              <w:widowControl/>
              <w:jc w:val="center"/>
              <w:textAlignment w:val="center"/>
              <w:rPr>
                <w:szCs w:val="21"/>
              </w:rPr>
            </w:pPr>
            <w:r>
              <w:rPr>
                <w:kern w:val="0"/>
                <w:szCs w:val="21"/>
                <w:lang w:bidi="ar"/>
              </w:rPr>
              <w:t>3300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2E189C3">
            <w:pPr>
              <w:widowControl/>
              <w:jc w:val="center"/>
              <w:textAlignment w:val="center"/>
              <w:rPr>
                <w:szCs w:val="21"/>
              </w:rPr>
            </w:pPr>
            <w:r>
              <w:rPr>
                <w:kern w:val="0"/>
                <w:szCs w:val="21"/>
                <w:lang w:bidi="ar"/>
              </w:rPr>
              <w:t>261</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9D03D4F">
            <w:pPr>
              <w:widowControl/>
              <w:jc w:val="center"/>
              <w:textAlignment w:val="center"/>
              <w:rPr>
                <w:szCs w:val="21"/>
              </w:rPr>
            </w:pPr>
            <w:r>
              <w:rPr>
                <w:kern w:val="0"/>
                <w:szCs w:val="21"/>
                <w:lang w:bidi="ar"/>
              </w:rPr>
              <w:t>370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5B28A1B">
            <w:pPr>
              <w:widowControl/>
              <w:jc w:val="center"/>
              <w:textAlignment w:val="center"/>
              <w:rPr>
                <w:szCs w:val="21"/>
              </w:rPr>
            </w:pPr>
            <w:r>
              <w:rPr>
                <w:kern w:val="0"/>
                <w:szCs w:val="21"/>
                <w:lang w:bidi="ar"/>
              </w:rPr>
              <w:t>127</w:t>
            </w:r>
          </w:p>
        </w:tc>
      </w:tr>
      <w:tr w14:paraId="2148B372">
        <w:tblPrEx>
          <w:tblCellMar>
            <w:top w:w="0" w:type="dxa"/>
            <w:left w:w="108" w:type="dxa"/>
            <w:bottom w:w="0" w:type="dxa"/>
            <w:right w:w="108" w:type="dxa"/>
          </w:tblCellMar>
        </w:tblPrEx>
        <w:trPr>
          <w:trHeight w:val="285" w:hRule="atLeast"/>
        </w:trPr>
        <w:tc>
          <w:tcPr>
            <w:tcW w:w="730" w:type="pct"/>
            <w:vMerge w:val="continue"/>
            <w:tcBorders>
              <w:top w:val="single" w:color="000000" w:sz="4" w:space="0"/>
              <w:left w:val="single" w:color="000000" w:sz="4" w:space="0"/>
              <w:bottom w:val="single" w:color="000000" w:sz="4" w:space="0"/>
              <w:right w:val="single" w:color="000000" w:sz="4" w:space="0"/>
            </w:tcBorders>
            <w:noWrap/>
            <w:vAlign w:val="center"/>
          </w:tcPr>
          <w:p w14:paraId="246ABD14">
            <w:pPr>
              <w:jc w:val="center"/>
              <w:rPr>
                <w:szCs w:val="21"/>
              </w:rPr>
            </w:pP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51CB5F50">
            <w:pPr>
              <w:widowControl/>
              <w:jc w:val="center"/>
              <w:textAlignment w:val="bottom"/>
              <w:rPr>
                <w:szCs w:val="21"/>
              </w:rPr>
            </w:pPr>
            <w:r>
              <w:rPr>
                <w:kern w:val="0"/>
                <w:szCs w:val="21"/>
                <w:lang w:bidi="ar"/>
              </w:rPr>
              <w:t>去除率</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0CADA769">
            <w:pPr>
              <w:widowControl/>
              <w:jc w:val="center"/>
              <w:textAlignment w:val="center"/>
              <w:rPr>
                <w:szCs w:val="21"/>
              </w:rPr>
            </w:pPr>
            <w:r>
              <w:rPr>
                <w:kern w:val="0"/>
                <w:szCs w:val="21"/>
                <w:lang w:bidi="ar"/>
              </w:rPr>
              <w:t>30%</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2268FA67">
            <w:pPr>
              <w:widowControl/>
              <w:jc w:val="center"/>
              <w:textAlignment w:val="center"/>
              <w:rPr>
                <w:szCs w:val="21"/>
              </w:rPr>
            </w:pPr>
            <w:r>
              <w:rPr>
                <w:kern w:val="0"/>
                <w:szCs w:val="21"/>
                <w:lang w:bidi="ar"/>
              </w:rPr>
              <w:t>20%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233A0A1E">
            <w:pPr>
              <w:widowControl/>
              <w:jc w:val="center"/>
              <w:textAlignment w:val="center"/>
              <w:rPr>
                <w:szCs w:val="21"/>
              </w:rPr>
            </w:pPr>
            <w:r>
              <w:rPr>
                <w:kern w:val="0"/>
                <w:szCs w:val="21"/>
                <w:lang w:bidi="ar"/>
              </w:rPr>
              <w:t>50%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120B0CB3">
            <w:pPr>
              <w:widowControl/>
              <w:jc w:val="center"/>
              <w:textAlignment w:val="center"/>
              <w:rPr>
                <w:szCs w:val="21"/>
              </w:rPr>
            </w:pPr>
            <w:r>
              <w:rPr>
                <w:kern w:val="0"/>
                <w:szCs w:val="21"/>
                <w:lang w:bidi="ar"/>
              </w:rPr>
              <w:t>10%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1D26DF36">
            <w:pPr>
              <w:widowControl/>
              <w:jc w:val="center"/>
              <w:textAlignment w:val="center"/>
              <w:rPr>
                <w:szCs w:val="21"/>
              </w:rPr>
            </w:pPr>
            <w:r>
              <w:rPr>
                <w:kern w:val="0"/>
                <w:szCs w:val="21"/>
                <w:lang w:bidi="ar"/>
              </w:rPr>
              <w:t>8%</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FD21AA6">
            <w:pPr>
              <w:widowControl/>
              <w:jc w:val="center"/>
              <w:textAlignment w:val="center"/>
              <w:rPr>
                <w:szCs w:val="21"/>
              </w:rPr>
            </w:pPr>
            <w:r>
              <w:rPr>
                <w:kern w:val="0"/>
                <w:szCs w:val="21"/>
                <w:lang w:bidi="ar"/>
              </w:rPr>
              <w:t>30%</w:t>
            </w:r>
          </w:p>
        </w:tc>
      </w:tr>
      <w:tr w14:paraId="509F2768">
        <w:tblPrEx>
          <w:tblCellMar>
            <w:top w:w="0" w:type="dxa"/>
            <w:left w:w="108" w:type="dxa"/>
            <w:bottom w:w="0" w:type="dxa"/>
            <w:right w:w="108" w:type="dxa"/>
          </w:tblCellMar>
        </w:tblPrEx>
        <w:trPr>
          <w:trHeight w:val="285" w:hRule="atLeast"/>
        </w:trPr>
        <w:tc>
          <w:tcPr>
            <w:tcW w:w="730" w:type="pct"/>
            <w:vMerge w:val="continue"/>
            <w:tcBorders>
              <w:top w:val="single" w:color="000000" w:sz="4" w:space="0"/>
              <w:left w:val="single" w:color="000000" w:sz="4" w:space="0"/>
              <w:bottom w:val="single" w:color="000000" w:sz="4" w:space="0"/>
              <w:right w:val="single" w:color="000000" w:sz="4" w:space="0"/>
            </w:tcBorders>
            <w:noWrap/>
            <w:vAlign w:val="center"/>
          </w:tcPr>
          <w:p w14:paraId="7EE003A5">
            <w:pPr>
              <w:jc w:val="center"/>
              <w:rPr>
                <w:szCs w:val="21"/>
              </w:rPr>
            </w:pP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19EF4CA1">
            <w:pPr>
              <w:widowControl/>
              <w:jc w:val="center"/>
              <w:textAlignment w:val="bottom"/>
              <w:rPr>
                <w:szCs w:val="21"/>
              </w:rPr>
            </w:pPr>
            <w:r>
              <w:rPr>
                <w:kern w:val="0"/>
                <w:szCs w:val="21"/>
                <w:lang w:bidi="ar"/>
              </w:rPr>
              <w:t>出水</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7CA2A7C3">
            <w:pPr>
              <w:widowControl/>
              <w:jc w:val="center"/>
              <w:textAlignment w:val="center"/>
              <w:rPr>
                <w:szCs w:val="21"/>
              </w:rPr>
            </w:pPr>
            <w:r>
              <w:rPr>
                <w:kern w:val="0"/>
                <w:szCs w:val="21"/>
                <w:lang w:bidi="ar"/>
              </w:rPr>
              <w:t>1848</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6E88486E">
            <w:pPr>
              <w:widowControl/>
              <w:jc w:val="center"/>
              <w:textAlignment w:val="center"/>
              <w:rPr>
                <w:szCs w:val="21"/>
              </w:rPr>
            </w:pPr>
            <w:r>
              <w:rPr>
                <w:kern w:val="0"/>
                <w:szCs w:val="21"/>
                <w:lang w:bidi="ar"/>
              </w:rPr>
              <w:t>1200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65E74F79">
            <w:pPr>
              <w:widowControl/>
              <w:jc w:val="center"/>
              <w:textAlignment w:val="center"/>
              <w:rPr>
                <w:szCs w:val="21"/>
              </w:rPr>
            </w:pPr>
            <w:r>
              <w:rPr>
                <w:kern w:val="0"/>
                <w:szCs w:val="21"/>
                <w:lang w:bidi="ar"/>
              </w:rPr>
              <w:t>1650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62AC68D3">
            <w:pPr>
              <w:widowControl/>
              <w:jc w:val="center"/>
              <w:textAlignment w:val="center"/>
              <w:rPr>
                <w:szCs w:val="21"/>
              </w:rPr>
            </w:pPr>
            <w:r>
              <w:rPr>
                <w:kern w:val="0"/>
                <w:szCs w:val="21"/>
                <w:lang w:bidi="ar"/>
              </w:rPr>
              <w:t>234.9</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26F9BA7">
            <w:pPr>
              <w:widowControl/>
              <w:jc w:val="center"/>
              <w:textAlignment w:val="center"/>
              <w:rPr>
                <w:szCs w:val="21"/>
              </w:rPr>
            </w:pPr>
            <w:r>
              <w:rPr>
                <w:kern w:val="0"/>
                <w:szCs w:val="21"/>
                <w:lang w:bidi="ar"/>
              </w:rPr>
              <w:t>340.4</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3211AA5B">
            <w:pPr>
              <w:widowControl/>
              <w:jc w:val="center"/>
              <w:textAlignment w:val="center"/>
              <w:rPr>
                <w:szCs w:val="21"/>
              </w:rPr>
            </w:pPr>
            <w:r>
              <w:rPr>
                <w:kern w:val="0"/>
                <w:szCs w:val="21"/>
                <w:lang w:bidi="ar"/>
              </w:rPr>
              <w:t>88.9</w:t>
            </w:r>
          </w:p>
        </w:tc>
      </w:tr>
      <w:tr w14:paraId="16B999AB">
        <w:tblPrEx>
          <w:tblCellMar>
            <w:top w:w="0" w:type="dxa"/>
            <w:left w:w="108" w:type="dxa"/>
            <w:bottom w:w="0" w:type="dxa"/>
            <w:right w:w="108" w:type="dxa"/>
          </w:tblCellMar>
        </w:tblPrEx>
        <w:trPr>
          <w:trHeight w:val="285" w:hRule="atLeast"/>
        </w:trPr>
        <w:tc>
          <w:tcPr>
            <w:tcW w:w="730" w:type="pct"/>
            <w:vMerge w:val="restart"/>
            <w:tcBorders>
              <w:top w:val="single" w:color="000000" w:sz="4" w:space="0"/>
              <w:left w:val="single" w:color="000000" w:sz="4" w:space="0"/>
              <w:bottom w:val="single" w:color="000000" w:sz="4" w:space="0"/>
              <w:right w:val="single" w:color="000000" w:sz="4" w:space="0"/>
            </w:tcBorders>
            <w:noWrap/>
            <w:vAlign w:val="center"/>
          </w:tcPr>
          <w:p w14:paraId="58B19AC0">
            <w:pPr>
              <w:widowControl/>
              <w:jc w:val="center"/>
              <w:textAlignment w:val="center"/>
              <w:rPr>
                <w:szCs w:val="21"/>
              </w:rPr>
            </w:pPr>
            <w:r>
              <w:rPr>
                <w:kern w:val="0"/>
                <w:szCs w:val="21"/>
                <w:lang w:bidi="ar"/>
              </w:rPr>
              <w:t>平流气浮</w:t>
            </w: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3C936835">
            <w:pPr>
              <w:widowControl/>
              <w:jc w:val="center"/>
              <w:textAlignment w:val="bottom"/>
              <w:rPr>
                <w:szCs w:val="21"/>
              </w:rPr>
            </w:pPr>
            <w:r>
              <w:rPr>
                <w:kern w:val="0"/>
                <w:szCs w:val="21"/>
                <w:lang w:bidi="ar"/>
              </w:rPr>
              <w:t>去除率</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3BA00BD0">
            <w:pPr>
              <w:widowControl/>
              <w:jc w:val="center"/>
              <w:textAlignment w:val="center"/>
              <w:rPr>
                <w:szCs w:val="21"/>
              </w:rPr>
            </w:pPr>
            <w:r>
              <w:rPr>
                <w:kern w:val="0"/>
                <w:szCs w:val="21"/>
                <w:lang w:bidi="ar"/>
              </w:rPr>
              <w:t>50%</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61C8DC65">
            <w:pPr>
              <w:widowControl/>
              <w:jc w:val="center"/>
              <w:textAlignment w:val="center"/>
              <w:rPr>
                <w:szCs w:val="21"/>
              </w:rPr>
            </w:pPr>
            <w:r>
              <w:rPr>
                <w:kern w:val="0"/>
                <w:szCs w:val="21"/>
                <w:lang w:bidi="ar"/>
              </w:rPr>
              <w:t>30%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2B09E086">
            <w:pPr>
              <w:widowControl/>
              <w:jc w:val="center"/>
              <w:textAlignment w:val="center"/>
              <w:rPr>
                <w:szCs w:val="21"/>
              </w:rPr>
            </w:pPr>
            <w:r>
              <w:rPr>
                <w:kern w:val="0"/>
                <w:szCs w:val="21"/>
                <w:lang w:bidi="ar"/>
              </w:rPr>
              <w:t>60%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61E7571E">
            <w:pPr>
              <w:widowControl/>
              <w:jc w:val="center"/>
              <w:textAlignment w:val="center"/>
              <w:rPr>
                <w:szCs w:val="21"/>
              </w:rPr>
            </w:pPr>
            <w:r>
              <w:rPr>
                <w:kern w:val="0"/>
                <w:szCs w:val="21"/>
                <w:lang w:bidi="ar"/>
              </w:rPr>
              <w:t>20%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B0EE8EB">
            <w:pPr>
              <w:widowControl/>
              <w:jc w:val="center"/>
              <w:textAlignment w:val="center"/>
              <w:rPr>
                <w:szCs w:val="21"/>
              </w:rPr>
            </w:pPr>
            <w:r>
              <w:rPr>
                <w:kern w:val="0"/>
                <w:szCs w:val="21"/>
                <w:lang w:bidi="ar"/>
              </w:rPr>
              <w:t>16%</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A878FAB">
            <w:pPr>
              <w:widowControl/>
              <w:jc w:val="center"/>
              <w:textAlignment w:val="center"/>
              <w:rPr>
                <w:szCs w:val="21"/>
              </w:rPr>
            </w:pPr>
            <w:r>
              <w:rPr>
                <w:kern w:val="0"/>
                <w:szCs w:val="21"/>
                <w:lang w:bidi="ar"/>
              </w:rPr>
              <w:t>60%</w:t>
            </w:r>
          </w:p>
        </w:tc>
      </w:tr>
      <w:tr w14:paraId="51F075E8">
        <w:tblPrEx>
          <w:tblCellMar>
            <w:top w:w="0" w:type="dxa"/>
            <w:left w:w="108" w:type="dxa"/>
            <w:bottom w:w="0" w:type="dxa"/>
            <w:right w:w="108" w:type="dxa"/>
          </w:tblCellMar>
        </w:tblPrEx>
        <w:trPr>
          <w:trHeight w:val="285" w:hRule="atLeast"/>
        </w:trPr>
        <w:tc>
          <w:tcPr>
            <w:tcW w:w="730" w:type="pct"/>
            <w:vMerge w:val="continue"/>
            <w:tcBorders>
              <w:top w:val="single" w:color="000000" w:sz="4" w:space="0"/>
              <w:left w:val="single" w:color="000000" w:sz="4" w:space="0"/>
              <w:bottom w:val="single" w:color="000000" w:sz="4" w:space="0"/>
              <w:right w:val="single" w:color="000000" w:sz="4" w:space="0"/>
            </w:tcBorders>
            <w:noWrap/>
            <w:vAlign w:val="center"/>
          </w:tcPr>
          <w:p w14:paraId="16D79823">
            <w:pPr>
              <w:jc w:val="center"/>
              <w:rPr>
                <w:szCs w:val="21"/>
              </w:rPr>
            </w:pP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0EEEA93A">
            <w:pPr>
              <w:widowControl/>
              <w:jc w:val="center"/>
              <w:textAlignment w:val="bottom"/>
              <w:rPr>
                <w:szCs w:val="21"/>
              </w:rPr>
            </w:pPr>
            <w:r>
              <w:rPr>
                <w:kern w:val="0"/>
                <w:szCs w:val="21"/>
                <w:lang w:bidi="ar"/>
              </w:rPr>
              <w:t>出水</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192AA8AA">
            <w:pPr>
              <w:widowControl/>
              <w:jc w:val="center"/>
              <w:textAlignment w:val="center"/>
              <w:rPr>
                <w:szCs w:val="21"/>
              </w:rPr>
            </w:pPr>
            <w:r>
              <w:rPr>
                <w:kern w:val="0"/>
                <w:szCs w:val="21"/>
                <w:lang w:bidi="ar"/>
              </w:rPr>
              <w:t>924</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3DA1935E">
            <w:pPr>
              <w:widowControl/>
              <w:jc w:val="center"/>
              <w:textAlignment w:val="center"/>
              <w:rPr>
                <w:szCs w:val="21"/>
              </w:rPr>
            </w:pPr>
            <w:r>
              <w:rPr>
                <w:kern w:val="0"/>
                <w:szCs w:val="21"/>
                <w:lang w:bidi="ar"/>
              </w:rPr>
              <w:t>840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1D2C1B6B">
            <w:pPr>
              <w:widowControl/>
              <w:jc w:val="center"/>
              <w:textAlignment w:val="center"/>
              <w:rPr>
                <w:szCs w:val="21"/>
              </w:rPr>
            </w:pPr>
            <w:r>
              <w:rPr>
                <w:kern w:val="0"/>
                <w:szCs w:val="21"/>
                <w:lang w:bidi="ar"/>
              </w:rPr>
              <w:t>660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10B44FE0">
            <w:pPr>
              <w:widowControl/>
              <w:jc w:val="center"/>
              <w:textAlignment w:val="center"/>
              <w:rPr>
                <w:szCs w:val="21"/>
              </w:rPr>
            </w:pPr>
            <w:r>
              <w:rPr>
                <w:kern w:val="0"/>
                <w:szCs w:val="21"/>
                <w:lang w:bidi="ar"/>
              </w:rPr>
              <w:t>187.92</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AAB79B5">
            <w:pPr>
              <w:widowControl/>
              <w:jc w:val="center"/>
              <w:textAlignment w:val="center"/>
              <w:rPr>
                <w:szCs w:val="21"/>
              </w:rPr>
            </w:pPr>
            <w:r>
              <w:rPr>
                <w:kern w:val="0"/>
                <w:szCs w:val="21"/>
                <w:lang w:bidi="ar"/>
              </w:rPr>
              <w:t>285.936</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03F6411">
            <w:pPr>
              <w:widowControl/>
              <w:jc w:val="center"/>
              <w:textAlignment w:val="center"/>
              <w:rPr>
                <w:szCs w:val="21"/>
              </w:rPr>
            </w:pPr>
            <w:r>
              <w:rPr>
                <w:kern w:val="0"/>
                <w:szCs w:val="21"/>
                <w:lang w:bidi="ar"/>
              </w:rPr>
              <w:t>35.56</w:t>
            </w:r>
          </w:p>
        </w:tc>
      </w:tr>
      <w:tr w14:paraId="2F7AF784">
        <w:tblPrEx>
          <w:tblCellMar>
            <w:top w:w="0" w:type="dxa"/>
            <w:left w:w="108" w:type="dxa"/>
            <w:bottom w:w="0" w:type="dxa"/>
            <w:right w:w="108" w:type="dxa"/>
          </w:tblCellMar>
        </w:tblPrEx>
        <w:trPr>
          <w:trHeight w:val="285" w:hRule="atLeast"/>
        </w:trPr>
        <w:tc>
          <w:tcPr>
            <w:tcW w:w="730" w:type="pct"/>
            <w:vMerge w:val="restart"/>
            <w:tcBorders>
              <w:top w:val="single" w:color="000000" w:sz="4" w:space="0"/>
              <w:left w:val="single" w:color="000000" w:sz="4" w:space="0"/>
              <w:bottom w:val="single" w:color="000000" w:sz="4" w:space="0"/>
              <w:right w:val="single" w:color="000000" w:sz="4" w:space="0"/>
            </w:tcBorders>
            <w:noWrap/>
            <w:vAlign w:val="center"/>
          </w:tcPr>
          <w:p w14:paraId="33832B46">
            <w:pPr>
              <w:widowControl/>
              <w:jc w:val="center"/>
              <w:textAlignment w:val="center"/>
              <w:rPr>
                <w:szCs w:val="21"/>
              </w:rPr>
            </w:pPr>
            <w:r>
              <w:rPr>
                <w:kern w:val="0"/>
                <w:szCs w:val="21"/>
                <w:lang w:bidi="ar"/>
              </w:rPr>
              <w:t>调节池</w:t>
            </w: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48BE292B">
            <w:pPr>
              <w:widowControl/>
              <w:jc w:val="center"/>
              <w:textAlignment w:val="bottom"/>
              <w:rPr>
                <w:szCs w:val="21"/>
              </w:rPr>
            </w:pPr>
            <w:r>
              <w:rPr>
                <w:kern w:val="0"/>
                <w:szCs w:val="21"/>
                <w:lang w:bidi="ar"/>
              </w:rPr>
              <w:t>去除率</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3D56C0E1">
            <w:pPr>
              <w:widowControl/>
              <w:jc w:val="center"/>
              <w:textAlignment w:val="center"/>
              <w:rPr>
                <w:szCs w:val="21"/>
              </w:rPr>
            </w:pPr>
            <w:r>
              <w:rPr>
                <w:kern w:val="0"/>
                <w:szCs w:val="21"/>
                <w:lang w:bidi="ar"/>
              </w:rPr>
              <w:t>0%</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3705319E">
            <w:pPr>
              <w:widowControl/>
              <w:jc w:val="center"/>
              <w:textAlignment w:val="center"/>
              <w:rPr>
                <w:szCs w:val="21"/>
              </w:rPr>
            </w:pPr>
            <w:r>
              <w:rPr>
                <w:kern w:val="0"/>
                <w:szCs w:val="21"/>
                <w:lang w:bidi="ar"/>
              </w:rPr>
              <w:t>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5530282C">
            <w:pPr>
              <w:widowControl/>
              <w:jc w:val="center"/>
              <w:textAlignment w:val="center"/>
              <w:rPr>
                <w:szCs w:val="21"/>
              </w:rPr>
            </w:pPr>
            <w:r>
              <w:rPr>
                <w:kern w:val="0"/>
                <w:szCs w:val="21"/>
                <w:lang w:bidi="ar"/>
              </w:rPr>
              <w:t>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377FA8F4">
            <w:pPr>
              <w:widowControl/>
              <w:jc w:val="center"/>
              <w:textAlignment w:val="center"/>
              <w:rPr>
                <w:szCs w:val="21"/>
              </w:rPr>
            </w:pPr>
            <w:r>
              <w:rPr>
                <w:kern w:val="0"/>
                <w:szCs w:val="21"/>
                <w:lang w:bidi="ar"/>
              </w:rPr>
              <w:t>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2F0D772">
            <w:pPr>
              <w:widowControl/>
              <w:jc w:val="center"/>
              <w:textAlignment w:val="center"/>
              <w:rPr>
                <w:szCs w:val="21"/>
              </w:rPr>
            </w:pPr>
            <w:r>
              <w:rPr>
                <w:kern w:val="0"/>
                <w:szCs w:val="21"/>
                <w:lang w:bidi="ar"/>
              </w:rPr>
              <w:t>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5B5E0102">
            <w:pPr>
              <w:widowControl/>
              <w:jc w:val="center"/>
              <w:textAlignment w:val="center"/>
              <w:rPr>
                <w:szCs w:val="21"/>
              </w:rPr>
            </w:pPr>
            <w:r>
              <w:rPr>
                <w:kern w:val="0"/>
                <w:szCs w:val="21"/>
                <w:lang w:bidi="ar"/>
              </w:rPr>
              <w:t>0%</w:t>
            </w:r>
          </w:p>
        </w:tc>
      </w:tr>
      <w:tr w14:paraId="7DD3C5E5">
        <w:tblPrEx>
          <w:tblCellMar>
            <w:top w:w="0" w:type="dxa"/>
            <w:left w:w="108" w:type="dxa"/>
            <w:bottom w:w="0" w:type="dxa"/>
            <w:right w:w="108" w:type="dxa"/>
          </w:tblCellMar>
        </w:tblPrEx>
        <w:trPr>
          <w:trHeight w:val="285" w:hRule="atLeast"/>
        </w:trPr>
        <w:tc>
          <w:tcPr>
            <w:tcW w:w="730" w:type="pct"/>
            <w:vMerge w:val="continue"/>
            <w:tcBorders>
              <w:top w:val="single" w:color="000000" w:sz="4" w:space="0"/>
              <w:left w:val="single" w:color="000000" w:sz="4" w:space="0"/>
              <w:bottom w:val="single" w:color="000000" w:sz="4" w:space="0"/>
              <w:right w:val="single" w:color="000000" w:sz="4" w:space="0"/>
            </w:tcBorders>
            <w:noWrap/>
            <w:vAlign w:val="center"/>
          </w:tcPr>
          <w:p w14:paraId="0966DE6A">
            <w:pPr>
              <w:jc w:val="center"/>
              <w:rPr>
                <w:szCs w:val="21"/>
              </w:rPr>
            </w:pP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70F623E8">
            <w:pPr>
              <w:widowControl/>
              <w:jc w:val="center"/>
              <w:textAlignment w:val="bottom"/>
              <w:rPr>
                <w:szCs w:val="21"/>
              </w:rPr>
            </w:pPr>
            <w:r>
              <w:rPr>
                <w:kern w:val="0"/>
                <w:szCs w:val="21"/>
                <w:lang w:bidi="ar"/>
              </w:rPr>
              <w:t>出水</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415A69DC">
            <w:pPr>
              <w:widowControl/>
              <w:jc w:val="center"/>
              <w:textAlignment w:val="center"/>
              <w:rPr>
                <w:szCs w:val="21"/>
              </w:rPr>
            </w:pPr>
            <w:r>
              <w:rPr>
                <w:kern w:val="0"/>
                <w:szCs w:val="21"/>
                <w:lang w:bidi="ar"/>
              </w:rPr>
              <w:t>924</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08A52C36">
            <w:pPr>
              <w:widowControl/>
              <w:jc w:val="center"/>
              <w:textAlignment w:val="center"/>
              <w:rPr>
                <w:szCs w:val="21"/>
              </w:rPr>
            </w:pPr>
            <w:r>
              <w:rPr>
                <w:kern w:val="0"/>
                <w:szCs w:val="21"/>
                <w:lang w:bidi="ar"/>
              </w:rPr>
              <w:t>840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711936B2">
            <w:pPr>
              <w:widowControl/>
              <w:jc w:val="center"/>
              <w:textAlignment w:val="center"/>
              <w:rPr>
                <w:szCs w:val="21"/>
              </w:rPr>
            </w:pPr>
            <w:r>
              <w:rPr>
                <w:kern w:val="0"/>
                <w:szCs w:val="21"/>
                <w:lang w:bidi="ar"/>
              </w:rPr>
              <w:t>660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60E142BC">
            <w:pPr>
              <w:widowControl/>
              <w:jc w:val="center"/>
              <w:textAlignment w:val="center"/>
              <w:rPr>
                <w:szCs w:val="21"/>
              </w:rPr>
            </w:pPr>
            <w:r>
              <w:rPr>
                <w:kern w:val="0"/>
                <w:szCs w:val="21"/>
                <w:lang w:bidi="ar"/>
              </w:rPr>
              <w:t>187.92</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18F63F92">
            <w:pPr>
              <w:widowControl/>
              <w:jc w:val="center"/>
              <w:textAlignment w:val="center"/>
              <w:rPr>
                <w:szCs w:val="21"/>
              </w:rPr>
            </w:pPr>
            <w:r>
              <w:rPr>
                <w:kern w:val="0"/>
                <w:szCs w:val="21"/>
                <w:lang w:bidi="ar"/>
              </w:rPr>
              <w:t>285.936</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A6903FC">
            <w:pPr>
              <w:widowControl/>
              <w:jc w:val="center"/>
              <w:textAlignment w:val="center"/>
              <w:rPr>
                <w:szCs w:val="21"/>
              </w:rPr>
            </w:pPr>
            <w:r>
              <w:rPr>
                <w:kern w:val="0"/>
                <w:szCs w:val="21"/>
                <w:lang w:bidi="ar"/>
              </w:rPr>
              <w:t>35.56</w:t>
            </w:r>
          </w:p>
        </w:tc>
      </w:tr>
      <w:tr w14:paraId="6D1F7484">
        <w:tblPrEx>
          <w:tblCellMar>
            <w:top w:w="0" w:type="dxa"/>
            <w:left w:w="108" w:type="dxa"/>
            <w:bottom w:w="0" w:type="dxa"/>
            <w:right w:w="108" w:type="dxa"/>
          </w:tblCellMar>
        </w:tblPrEx>
        <w:trPr>
          <w:trHeight w:val="285" w:hRule="atLeast"/>
        </w:trPr>
        <w:tc>
          <w:tcPr>
            <w:tcW w:w="730" w:type="pct"/>
            <w:vMerge w:val="restart"/>
            <w:tcBorders>
              <w:top w:val="single" w:color="000000" w:sz="4" w:space="0"/>
              <w:left w:val="single" w:color="000000" w:sz="4" w:space="0"/>
              <w:bottom w:val="single" w:color="000000" w:sz="4" w:space="0"/>
              <w:right w:val="single" w:color="000000" w:sz="4" w:space="0"/>
            </w:tcBorders>
            <w:noWrap/>
            <w:vAlign w:val="center"/>
          </w:tcPr>
          <w:p w14:paraId="28DEC0EC">
            <w:pPr>
              <w:widowControl/>
              <w:jc w:val="center"/>
              <w:textAlignment w:val="center"/>
              <w:rPr>
                <w:szCs w:val="21"/>
              </w:rPr>
            </w:pPr>
            <w:r>
              <w:rPr>
                <w:kern w:val="0"/>
                <w:szCs w:val="21"/>
                <w:lang w:bidi="ar"/>
              </w:rPr>
              <w:t>UASB厌氧反应器</w:t>
            </w: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1C6A9D19">
            <w:pPr>
              <w:widowControl/>
              <w:jc w:val="center"/>
              <w:textAlignment w:val="bottom"/>
              <w:rPr>
                <w:szCs w:val="21"/>
              </w:rPr>
            </w:pPr>
            <w:r>
              <w:rPr>
                <w:kern w:val="0"/>
                <w:szCs w:val="21"/>
                <w:lang w:bidi="ar"/>
              </w:rPr>
              <w:t>去除率</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26306927">
            <w:pPr>
              <w:widowControl/>
              <w:jc w:val="center"/>
              <w:textAlignment w:val="center"/>
              <w:rPr>
                <w:szCs w:val="21"/>
              </w:rPr>
            </w:pPr>
            <w:r>
              <w:rPr>
                <w:kern w:val="0"/>
                <w:szCs w:val="21"/>
                <w:lang w:bidi="ar"/>
              </w:rPr>
              <w:t>75%</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54D8CF49">
            <w:pPr>
              <w:widowControl/>
              <w:jc w:val="center"/>
              <w:textAlignment w:val="center"/>
              <w:rPr>
                <w:szCs w:val="21"/>
              </w:rPr>
            </w:pPr>
            <w:r>
              <w:rPr>
                <w:kern w:val="0"/>
                <w:szCs w:val="21"/>
                <w:lang w:bidi="ar"/>
              </w:rPr>
              <w:t>80%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75FAA0BD">
            <w:pPr>
              <w:widowControl/>
              <w:jc w:val="center"/>
              <w:textAlignment w:val="center"/>
              <w:rPr>
                <w:szCs w:val="21"/>
              </w:rPr>
            </w:pPr>
            <w:r>
              <w:rPr>
                <w:kern w:val="0"/>
                <w:szCs w:val="21"/>
                <w:lang w:bidi="ar"/>
              </w:rPr>
              <w:t>70%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19FD2178">
            <w:pPr>
              <w:widowControl/>
              <w:jc w:val="center"/>
              <w:textAlignment w:val="center"/>
              <w:rPr>
                <w:szCs w:val="21"/>
              </w:rPr>
            </w:pPr>
            <w:r>
              <w:rPr>
                <w:kern w:val="0"/>
                <w:szCs w:val="21"/>
                <w:lang w:bidi="ar"/>
              </w:rPr>
              <w:t>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1BF32D7">
            <w:pPr>
              <w:widowControl/>
              <w:jc w:val="center"/>
              <w:textAlignment w:val="center"/>
              <w:rPr>
                <w:szCs w:val="21"/>
              </w:rPr>
            </w:pPr>
            <w:r>
              <w:rPr>
                <w:kern w:val="0"/>
                <w:szCs w:val="21"/>
                <w:lang w:bidi="ar"/>
              </w:rPr>
              <w:t>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A7FCEE8">
            <w:pPr>
              <w:widowControl/>
              <w:jc w:val="center"/>
              <w:textAlignment w:val="center"/>
              <w:rPr>
                <w:szCs w:val="21"/>
              </w:rPr>
            </w:pPr>
            <w:r>
              <w:rPr>
                <w:kern w:val="0"/>
                <w:szCs w:val="21"/>
                <w:lang w:bidi="ar"/>
              </w:rPr>
              <w:t>20%</w:t>
            </w:r>
          </w:p>
        </w:tc>
      </w:tr>
      <w:tr w14:paraId="3C05A5E5">
        <w:tblPrEx>
          <w:tblCellMar>
            <w:top w:w="0" w:type="dxa"/>
            <w:left w:w="108" w:type="dxa"/>
            <w:bottom w:w="0" w:type="dxa"/>
            <w:right w:w="108" w:type="dxa"/>
          </w:tblCellMar>
        </w:tblPrEx>
        <w:trPr>
          <w:trHeight w:val="285" w:hRule="atLeast"/>
        </w:trPr>
        <w:tc>
          <w:tcPr>
            <w:tcW w:w="730" w:type="pct"/>
            <w:vMerge w:val="continue"/>
            <w:tcBorders>
              <w:top w:val="single" w:color="000000" w:sz="4" w:space="0"/>
              <w:left w:val="single" w:color="000000" w:sz="4" w:space="0"/>
              <w:bottom w:val="single" w:color="000000" w:sz="4" w:space="0"/>
              <w:right w:val="single" w:color="000000" w:sz="4" w:space="0"/>
            </w:tcBorders>
            <w:noWrap/>
            <w:vAlign w:val="center"/>
          </w:tcPr>
          <w:p w14:paraId="4472E502">
            <w:pPr>
              <w:jc w:val="center"/>
              <w:rPr>
                <w:szCs w:val="21"/>
              </w:rPr>
            </w:pP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3F4AC7D4">
            <w:pPr>
              <w:widowControl/>
              <w:jc w:val="center"/>
              <w:textAlignment w:val="bottom"/>
              <w:rPr>
                <w:szCs w:val="21"/>
              </w:rPr>
            </w:pPr>
            <w:r>
              <w:rPr>
                <w:kern w:val="0"/>
                <w:szCs w:val="21"/>
                <w:lang w:bidi="ar"/>
              </w:rPr>
              <w:t>出水</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09DEE0F0">
            <w:pPr>
              <w:widowControl/>
              <w:jc w:val="center"/>
              <w:textAlignment w:val="center"/>
              <w:rPr>
                <w:szCs w:val="21"/>
              </w:rPr>
            </w:pPr>
            <w:r>
              <w:rPr>
                <w:kern w:val="0"/>
                <w:szCs w:val="21"/>
                <w:lang w:bidi="ar"/>
              </w:rPr>
              <w:t>231</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2F305098">
            <w:pPr>
              <w:widowControl/>
              <w:jc w:val="center"/>
              <w:textAlignment w:val="center"/>
              <w:rPr>
                <w:szCs w:val="21"/>
              </w:rPr>
            </w:pPr>
            <w:r>
              <w:rPr>
                <w:kern w:val="0"/>
                <w:szCs w:val="21"/>
                <w:lang w:bidi="ar"/>
              </w:rPr>
              <w:t>168</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21CF2107">
            <w:pPr>
              <w:widowControl/>
              <w:jc w:val="center"/>
              <w:textAlignment w:val="center"/>
              <w:rPr>
                <w:szCs w:val="21"/>
              </w:rPr>
            </w:pPr>
            <w:r>
              <w:rPr>
                <w:kern w:val="0"/>
                <w:szCs w:val="21"/>
                <w:lang w:bidi="ar"/>
              </w:rPr>
              <w:t>198</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5E92950E">
            <w:pPr>
              <w:widowControl/>
              <w:jc w:val="center"/>
              <w:textAlignment w:val="center"/>
              <w:rPr>
                <w:szCs w:val="21"/>
              </w:rPr>
            </w:pPr>
            <w:r>
              <w:rPr>
                <w:kern w:val="0"/>
                <w:szCs w:val="21"/>
                <w:lang w:bidi="ar"/>
              </w:rPr>
              <w:t>187.92</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5DD9E1CA">
            <w:pPr>
              <w:widowControl/>
              <w:jc w:val="center"/>
              <w:textAlignment w:val="center"/>
              <w:rPr>
                <w:szCs w:val="21"/>
              </w:rPr>
            </w:pPr>
            <w:r>
              <w:rPr>
                <w:kern w:val="0"/>
                <w:szCs w:val="21"/>
                <w:lang w:bidi="ar"/>
              </w:rPr>
              <w:t>285.936</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086775C">
            <w:pPr>
              <w:widowControl/>
              <w:jc w:val="center"/>
              <w:textAlignment w:val="center"/>
              <w:rPr>
                <w:szCs w:val="21"/>
              </w:rPr>
            </w:pPr>
            <w:r>
              <w:rPr>
                <w:kern w:val="0"/>
                <w:szCs w:val="21"/>
                <w:lang w:bidi="ar"/>
              </w:rPr>
              <w:t>28.448</w:t>
            </w:r>
          </w:p>
        </w:tc>
      </w:tr>
      <w:tr w14:paraId="7C677D60">
        <w:tblPrEx>
          <w:tblCellMar>
            <w:top w:w="0" w:type="dxa"/>
            <w:left w:w="108" w:type="dxa"/>
            <w:bottom w:w="0" w:type="dxa"/>
            <w:right w:w="108" w:type="dxa"/>
          </w:tblCellMar>
        </w:tblPrEx>
        <w:trPr>
          <w:trHeight w:val="285" w:hRule="atLeast"/>
        </w:trPr>
        <w:tc>
          <w:tcPr>
            <w:tcW w:w="730" w:type="pct"/>
            <w:vMerge w:val="restart"/>
            <w:tcBorders>
              <w:top w:val="single" w:color="000000" w:sz="4" w:space="0"/>
              <w:left w:val="single" w:color="000000" w:sz="4" w:space="0"/>
              <w:bottom w:val="single" w:color="000000" w:sz="4" w:space="0"/>
              <w:right w:val="single" w:color="000000" w:sz="4" w:space="0"/>
            </w:tcBorders>
            <w:noWrap/>
            <w:vAlign w:val="center"/>
          </w:tcPr>
          <w:p w14:paraId="20F948D6">
            <w:pPr>
              <w:widowControl/>
              <w:jc w:val="center"/>
              <w:textAlignment w:val="center"/>
              <w:rPr>
                <w:szCs w:val="21"/>
              </w:rPr>
            </w:pPr>
            <w:r>
              <w:rPr>
                <w:kern w:val="0"/>
                <w:szCs w:val="21"/>
                <w:lang w:bidi="ar"/>
              </w:rPr>
              <w:t>沼液储存池</w:t>
            </w: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0862966B">
            <w:pPr>
              <w:widowControl/>
              <w:jc w:val="center"/>
              <w:textAlignment w:val="bottom"/>
              <w:rPr>
                <w:szCs w:val="21"/>
              </w:rPr>
            </w:pPr>
            <w:r>
              <w:rPr>
                <w:kern w:val="0"/>
                <w:szCs w:val="21"/>
                <w:lang w:bidi="ar"/>
              </w:rPr>
              <w:t>去除率</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3BCAF87F">
            <w:pPr>
              <w:widowControl/>
              <w:jc w:val="center"/>
              <w:textAlignment w:val="center"/>
              <w:rPr>
                <w:szCs w:val="21"/>
              </w:rPr>
            </w:pPr>
            <w:r>
              <w:rPr>
                <w:kern w:val="0"/>
                <w:szCs w:val="21"/>
                <w:lang w:bidi="ar"/>
              </w:rPr>
              <w:t>30%</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34F0D14D">
            <w:pPr>
              <w:widowControl/>
              <w:jc w:val="center"/>
              <w:textAlignment w:val="center"/>
              <w:rPr>
                <w:szCs w:val="21"/>
              </w:rPr>
            </w:pPr>
            <w:r>
              <w:rPr>
                <w:kern w:val="0"/>
                <w:szCs w:val="21"/>
                <w:lang w:bidi="ar"/>
              </w:rPr>
              <w:t>50%</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591D7F3B">
            <w:pPr>
              <w:widowControl/>
              <w:jc w:val="center"/>
              <w:textAlignment w:val="center"/>
              <w:rPr>
                <w:szCs w:val="21"/>
              </w:rPr>
            </w:pPr>
            <w:r>
              <w:rPr>
                <w:kern w:val="0"/>
                <w:szCs w:val="21"/>
                <w:lang w:bidi="ar"/>
              </w:rPr>
              <w:t>40%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91289E8">
            <w:pPr>
              <w:widowControl/>
              <w:jc w:val="center"/>
              <w:textAlignment w:val="center"/>
              <w:rPr>
                <w:szCs w:val="21"/>
              </w:rPr>
            </w:pPr>
            <w:r>
              <w:rPr>
                <w:kern w:val="0"/>
                <w:szCs w:val="21"/>
                <w:lang w:bidi="ar"/>
              </w:rPr>
              <w:t>10%</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98A7F1A">
            <w:pPr>
              <w:widowControl/>
              <w:jc w:val="center"/>
              <w:textAlignment w:val="center"/>
              <w:rPr>
                <w:szCs w:val="21"/>
              </w:rPr>
            </w:pPr>
            <w:r>
              <w:rPr>
                <w:kern w:val="0"/>
                <w:szCs w:val="21"/>
                <w:lang w:bidi="ar"/>
              </w:rPr>
              <w:t>8%</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4268310D">
            <w:pPr>
              <w:widowControl/>
              <w:jc w:val="center"/>
              <w:textAlignment w:val="center"/>
              <w:rPr>
                <w:szCs w:val="21"/>
              </w:rPr>
            </w:pPr>
            <w:r>
              <w:rPr>
                <w:kern w:val="0"/>
                <w:szCs w:val="21"/>
                <w:lang w:bidi="ar"/>
              </w:rPr>
              <w:t>20%</w:t>
            </w:r>
          </w:p>
        </w:tc>
      </w:tr>
      <w:tr w14:paraId="5901B68B">
        <w:tblPrEx>
          <w:tblCellMar>
            <w:top w:w="0" w:type="dxa"/>
            <w:left w:w="108" w:type="dxa"/>
            <w:bottom w:w="0" w:type="dxa"/>
            <w:right w:w="108" w:type="dxa"/>
          </w:tblCellMar>
        </w:tblPrEx>
        <w:trPr>
          <w:trHeight w:val="285" w:hRule="atLeast"/>
        </w:trPr>
        <w:tc>
          <w:tcPr>
            <w:tcW w:w="730" w:type="pct"/>
            <w:vMerge w:val="continue"/>
            <w:tcBorders>
              <w:top w:val="single" w:color="000000" w:sz="4" w:space="0"/>
              <w:left w:val="single" w:color="000000" w:sz="4" w:space="0"/>
              <w:bottom w:val="single" w:color="000000" w:sz="4" w:space="0"/>
              <w:right w:val="single" w:color="000000" w:sz="4" w:space="0"/>
            </w:tcBorders>
            <w:noWrap/>
            <w:vAlign w:val="center"/>
          </w:tcPr>
          <w:p w14:paraId="24C703D8">
            <w:pPr>
              <w:jc w:val="center"/>
              <w:rPr>
                <w:szCs w:val="21"/>
              </w:rPr>
            </w:pPr>
          </w:p>
        </w:tc>
        <w:tc>
          <w:tcPr>
            <w:tcW w:w="782" w:type="pct"/>
            <w:tcBorders>
              <w:top w:val="single" w:color="000000" w:sz="4" w:space="0"/>
              <w:left w:val="single" w:color="000000" w:sz="4" w:space="0"/>
              <w:bottom w:val="single" w:color="000000" w:sz="4" w:space="0"/>
              <w:right w:val="single" w:color="000000" w:sz="4" w:space="0"/>
            </w:tcBorders>
            <w:noWrap/>
            <w:vAlign w:val="bottom"/>
          </w:tcPr>
          <w:p w14:paraId="6FC71BF8">
            <w:pPr>
              <w:widowControl/>
              <w:jc w:val="center"/>
              <w:textAlignment w:val="bottom"/>
              <w:rPr>
                <w:szCs w:val="21"/>
              </w:rPr>
            </w:pPr>
            <w:r>
              <w:rPr>
                <w:kern w:val="0"/>
                <w:szCs w:val="21"/>
                <w:lang w:bidi="ar"/>
              </w:rPr>
              <w:t>出水</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67B208E6">
            <w:pPr>
              <w:widowControl/>
              <w:jc w:val="center"/>
              <w:textAlignment w:val="center"/>
              <w:rPr>
                <w:szCs w:val="21"/>
              </w:rPr>
            </w:pPr>
            <w:r>
              <w:rPr>
                <w:kern w:val="0"/>
                <w:szCs w:val="21"/>
                <w:lang w:bidi="ar"/>
              </w:rPr>
              <w:t>161.7</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73BBCA10">
            <w:pPr>
              <w:widowControl/>
              <w:jc w:val="center"/>
              <w:textAlignment w:val="center"/>
              <w:rPr>
                <w:szCs w:val="21"/>
              </w:rPr>
            </w:pPr>
            <w:r>
              <w:rPr>
                <w:kern w:val="0"/>
                <w:szCs w:val="21"/>
                <w:lang w:bidi="ar"/>
              </w:rPr>
              <w:t>84</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292B2127">
            <w:pPr>
              <w:widowControl/>
              <w:jc w:val="center"/>
              <w:textAlignment w:val="center"/>
              <w:rPr>
                <w:szCs w:val="21"/>
              </w:rPr>
            </w:pPr>
            <w:r>
              <w:rPr>
                <w:kern w:val="0"/>
                <w:szCs w:val="21"/>
                <w:lang w:bidi="ar"/>
              </w:rPr>
              <w:t>118.8</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69538F3">
            <w:pPr>
              <w:widowControl/>
              <w:jc w:val="center"/>
              <w:textAlignment w:val="center"/>
              <w:rPr>
                <w:szCs w:val="21"/>
              </w:rPr>
            </w:pPr>
            <w:r>
              <w:rPr>
                <w:kern w:val="0"/>
                <w:szCs w:val="21"/>
                <w:lang w:bidi="ar"/>
              </w:rPr>
              <w:t>169.128</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D77C28D">
            <w:pPr>
              <w:widowControl/>
              <w:jc w:val="center"/>
              <w:textAlignment w:val="center"/>
              <w:rPr>
                <w:szCs w:val="21"/>
              </w:rPr>
            </w:pPr>
            <w:r>
              <w:rPr>
                <w:kern w:val="0"/>
                <w:szCs w:val="21"/>
                <w:lang w:bidi="ar"/>
              </w:rPr>
              <w:t>263.061</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5D7917E3">
            <w:pPr>
              <w:widowControl/>
              <w:jc w:val="center"/>
              <w:textAlignment w:val="center"/>
              <w:rPr>
                <w:szCs w:val="21"/>
              </w:rPr>
            </w:pPr>
            <w:r>
              <w:rPr>
                <w:kern w:val="0"/>
                <w:szCs w:val="21"/>
                <w:lang w:bidi="ar"/>
              </w:rPr>
              <w:t>22.7584</w:t>
            </w:r>
          </w:p>
        </w:tc>
      </w:tr>
      <w:tr w14:paraId="7BDF8C92">
        <w:tblPrEx>
          <w:tblCellMar>
            <w:top w:w="0" w:type="dxa"/>
            <w:left w:w="108" w:type="dxa"/>
            <w:bottom w:w="0" w:type="dxa"/>
            <w:right w:w="108" w:type="dxa"/>
          </w:tblCellMar>
        </w:tblPrEx>
        <w:trPr>
          <w:trHeight w:val="285" w:hRule="atLeast"/>
        </w:trPr>
        <w:tc>
          <w:tcPr>
            <w:tcW w:w="1512" w:type="pct"/>
            <w:gridSpan w:val="2"/>
            <w:tcBorders>
              <w:top w:val="single" w:color="000000" w:sz="4" w:space="0"/>
              <w:left w:val="single" w:color="000000" w:sz="4" w:space="0"/>
              <w:bottom w:val="single" w:color="000000" w:sz="4" w:space="0"/>
              <w:right w:val="single" w:color="000000" w:sz="4" w:space="0"/>
            </w:tcBorders>
            <w:noWrap/>
            <w:vAlign w:val="bottom"/>
          </w:tcPr>
          <w:p w14:paraId="4E730658">
            <w:pPr>
              <w:widowControl/>
              <w:jc w:val="center"/>
              <w:textAlignment w:val="bottom"/>
              <w:rPr>
                <w:szCs w:val="21"/>
              </w:rPr>
            </w:pPr>
            <w:r>
              <w:rPr>
                <w:kern w:val="0"/>
                <w:szCs w:val="21"/>
                <w:lang w:bidi="ar"/>
              </w:rPr>
              <w:t>综合去除效率</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5E601FB0">
            <w:pPr>
              <w:widowControl/>
              <w:jc w:val="center"/>
              <w:textAlignment w:val="center"/>
              <w:rPr>
                <w:szCs w:val="21"/>
              </w:rPr>
            </w:pPr>
            <w:r>
              <w:rPr>
                <w:kern w:val="0"/>
                <w:szCs w:val="21"/>
                <w:lang w:bidi="ar"/>
              </w:rPr>
              <w:t>0.93875</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3D074630">
            <w:pPr>
              <w:widowControl/>
              <w:jc w:val="center"/>
              <w:textAlignment w:val="center"/>
              <w:rPr>
                <w:szCs w:val="21"/>
              </w:rPr>
            </w:pPr>
            <w:r>
              <w:rPr>
                <w:kern w:val="0"/>
                <w:szCs w:val="21"/>
                <w:lang w:bidi="ar"/>
              </w:rPr>
              <w:t>0.944</w:t>
            </w:r>
          </w:p>
        </w:tc>
        <w:tc>
          <w:tcPr>
            <w:tcW w:w="712" w:type="pct"/>
            <w:tcBorders>
              <w:top w:val="single" w:color="000000" w:sz="4" w:space="0"/>
              <w:left w:val="single" w:color="000000" w:sz="4" w:space="0"/>
              <w:bottom w:val="single" w:color="000000" w:sz="4" w:space="0"/>
              <w:right w:val="single" w:color="000000" w:sz="4" w:space="0"/>
            </w:tcBorders>
            <w:noWrap/>
            <w:vAlign w:val="center"/>
          </w:tcPr>
          <w:p w14:paraId="3E849AB4">
            <w:pPr>
              <w:widowControl/>
              <w:jc w:val="center"/>
              <w:textAlignment w:val="center"/>
              <w:rPr>
                <w:szCs w:val="21"/>
              </w:rPr>
            </w:pPr>
            <w:r>
              <w:rPr>
                <w:kern w:val="0"/>
                <w:szCs w:val="21"/>
                <w:lang w:bidi="ar"/>
              </w:rPr>
              <w:t>0.964</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768BB156">
            <w:pPr>
              <w:widowControl/>
              <w:jc w:val="center"/>
              <w:textAlignment w:val="center"/>
              <w:rPr>
                <w:szCs w:val="21"/>
              </w:rPr>
            </w:pPr>
            <w:r>
              <w:rPr>
                <w:kern w:val="0"/>
                <w:szCs w:val="21"/>
                <w:lang w:bidi="ar"/>
              </w:rPr>
              <w:t>0.352</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56C0880B">
            <w:pPr>
              <w:widowControl/>
              <w:jc w:val="center"/>
              <w:textAlignment w:val="center"/>
              <w:rPr>
                <w:szCs w:val="21"/>
              </w:rPr>
            </w:pPr>
            <w:r>
              <w:rPr>
                <w:kern w:val="0"/>
                <w:szCs w:val="21"/>
                <w:lang w:bidi="ar"/>
              </w:rPr>
              <w:t>0.289024</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401A4D7">
            <w:pPr>
              <w:widowControl/>
              <w:jc w:val="center"/>
              <w:textAlignment w:val="center"/>
              <w:rPr>
                <w:szCs w:val="21"/>
              </w:rPr>
            </w:pPr>
            <w:r>
              <w:rPr>
                <w:kern w:val="0"/>
                <w:szCs w:val="21"/>
                <w:lang w:bidi="ar"/>
              </w:rPr>
              <w:t>0.8208</w:t>
            </w:r>
          </w:p>
        </w:tc>
      </w:tr>
    </w:tbl>
    <w:p w14:paraId="0C2F28EB">
      <w:pPr>
        <w:widowControl/>
        <w:tabs>
          <w:tab w:val="left" w:pos="2100"/>
        </w:tabs>
        <w:spacing w:line="360" w:lineRule="auto"/>
        <w:ind w:firstLine="480" w:firstLineChars="200"/>
        <w:jc w:val="left"/>
        <w:rPr>
          <w:sz w:val="24"/>
        </w:rPr>
      </w:pPr>
      <w:r>
        <w:rPr>
          <w:sz w:val="24"/>
        </w:rPr>
        <w:t>项目污水处理站设计污水处理能力为各地块，能够满足项目废水处理需要，废水经过污水处理站处理达标后，回用于项目自有苹果园灌溉，项目产生的废水能够得到有效的处置，废水不外排至地表水体。</w:t>
      </w:r>
    </w:p>
    <w:p w14:paraId="4380AE36">
      <w:pPr>
        <w:widowControl/>
        <w:tabs>
          <w:tab w:val="left" w:pos="2100"/>
        </w:tabs>
        <w:spacing w:line="360" w:lineRule="auto"/>
        <w:ind w:firstLine="480" w:firstLineChars="200"/>
        <w:jc w:val="left"/>
        <w:rPr>
          <w:sz w:val="24"/>
        </w:rPr>
      </w:pPr>
      <w:r>
        <w:rPr>
          <w:sz w:val="24"/>
        </w:rPr>
        <w:t>项目污染物产生及排放情况如下：</w:t>
      </w:r>
    </w:p>
    <w:p w14:paraId="152E7889">
      <w:pPr>
        <w:widowControl/>
        <w:tabs>
          <w:tab w:val="left" w:pos="2100"/>
        </w:tabs>
        <w:spacing w:line="360" w:lineRule="auto"/>
        <w:ind w:firstLine="482" w:firstLineChars="200"/>
        <w:jc w:val="center"/>
        <w:rPr>
          <w:sz w:val="24"/>
        </w:rPr>
      </w:pPr>
      <w:r>
        <w:rPr>
          <w:b/>
          <w:bCs/>
          <w:sz w:val="24"/>
        </w:rPr>
        <w:t xml:space="preserve">表3.4-12  养猪场污水处理站各环节处理率一览表   </w:t>
      </w:r>
      <w:r>
        <w:rPr>
          <w:b/>
          <w:sz w:val="24"/>
        </w:rPr>
        <w:t>mg/L</w:t>
      </w:r>
    </w:p>
    <w:tbl>
      <w:tblPr>
        <w:tblStyle w:val="87"/>
        <w:tblW w:w="5000" w:type="pct"/>
        <w:tblInd w:w="0" w:type="dxa"/>
        <w:tblLayout w:type="fixed"/>
        <w:tblCellMar>
          <w:top w:w="0" w:type="dxa"/>
          <w:left w:w="108" w:type="dxa"/>
          <w:bottom w:w="0" w:type="dxa"/>
          <w:right w:w="108" w:type="dxa"/>
        </w:tblCellMar>
      </w:tblPr>
      <w:tblGrid>
        <w:gridCol w:w="716"/>
        <w:gridCol w:w="1543"/>
        <w:gridCol w:w="912"/>
        <w:gridCol w:w="875"/>
        <w:gridCol w:w="948"/>
        <w:gridCol w:w="875"/>
        <w:gridCol w:w="812"/>
        <w:gridCol w:w="849"/>
        <w:gridCol w:w="998"/>
      </w:tblGrid>
      <w:tr w14:paraId="011B813B">
        <w:tblPrEx>
          <w:tblCellMar>
            <w:top w:w="0" w:type="dxa"/>
            <w:left w:w="108" w:type="dxa"/>
            <w:bottom w:w="0" w:type="dxa"/>
            <w:right w:w="108" w:type="dxa"/>
          </w:tblCellMar>
        </w:tblPrEx>
        <w:trPr>
          <w:trHeight w:val="699" w:hRule="atLeast"/>
        </w:trPr>
        <w:tc>
          <w:tcPr>
            <w:tcW w:w="419" w:type="pct"/>
            <w:vMerge w:val="restart"/>
            <w:tcBorders>
              <w:top w:val="single" w:color="000000" w:sz="4" w:space="0"/>
              <w:left w:val="single" w:color="000000" w:sz="4" w:space="0"/>
              <w:bottom w:val="single" w:color="000000" w:sz="4" w:space="0"/>
              <w:right w:val="single" w:color="000000" w:sz="4" w:space="0"/>
            </w:tcBorders>
            <w:noWrap/>
            <w:vAlign w:val="center"/>
          </w:tcPr>
          <w:p w14:paraId="318F87FB">
            <w:pPr>
              <w:widowControl/>
              <w:jc w:val="center"/>
              <w:textAlignment w:val="center"/>
              <w:rPr>
                <w:b/>
                <w:bCs/>
                <w:sz w:val="18"/>
                <w:szCs w:val="18"/>
              </w:rPr>
            </w:pPr>
            <w:r>
              <w:rPr>
                <w:b/>
                <w:bCs/>
                <w:kern w:val="0"/>
                <w:sz w:val="18"/>
                <w:szCs w:val="18"/>
                <w:lang w:bidi="ar"/>
              </w:rPr>
              <w:t>1号地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172A2A02">
            <w:pPr>
              <w:snapToGrid w:val="0"/>
              <w:jc w:val="center"/>
              <w:rPr>
                <w:b/>
                <w:bCs/>
                <w:sz w:val="18"/>
                <w:szCs w:val="18"/>
              </w:rPr>
            </w:pPr>
            <w:r>
              <w:rPr>
                <w:b/>
                <w:bCs/>
                <w:sz w:val="18"/>
                <w:szCs w:val="18"/>
              </w:rPr>
              <w:t>项目</w:t>
            </w:r>
          </w:p>
          <w:p w14:paraId="7EEBFA65">
            <w:pPr>
              <w:jc w:val="center"/>
              <w:rPr>
                <w:b/>
                <w:bCs/>
                <w:sz w:val="18"/>
                <w:szCs w:val="18"/>
              </w:rPr>
            </w:pPr>
            <w:r>
              <w:rPr>
                <w:b/>
                <w:bCs/>
                <w:sz w:val="18"/>
                <w:szCs w:val="18"/>
              </w:rPr>
              <w:t>污染物</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7BB425F2">
            <w:pPr>
              <w:widowControl/>
              <w:jc w:val="center"/>
              <w:textAlignment w:val="center"/>
              <w:rPr>
                <w:b/>
                <w:bCs/>
                <w:sz w:val="18"/>
                <w:szCs w:val="18"/>
              </w:rPr>
            </w:pPr>
            <w:r>
              <w:rPr>
                <w:b/>
                <w:bCs/>
                <w:kern w:val="0"/>
                <w:sz w:val="18"/>
                <w:szCs w:val="18"/>
                <w:lang w:bidi="ar"/>
              </w:rPr>
              <w:t>废水量</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3662014">
            <w:pPr>
              <w:widowControl/>
              <w:jc w:val="center"/>
              <w:textAlignment w:val="center"/>
              <w:rPr>
                <w:b/>
                <w:bCs/>
                <w:sz w:val="18"/>
                <w:szCs w:val="18"/>
              </w:rPr>
            </w:pPr>
            <w:r>
              <w:rPr>
                <w:b/>
                <w:bCs/>
                <w:kern w:val="0"/>
                <w:sz w:val="18"/>
                <w:szCs w:val="18"/>
                <w:lang w:bidi="ar"/>
              </w:rPr>
              <w:t>CODcr</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920B3AD">
            <w:pPr>
              <w:widowControl/>
              <w:jc w:val="center"/>
              <w:textAlignment w:val="center"/>
              <w:rPr>
                <w:b/>
                <w:bCs/>
                <w:sz w:val="18"/>
                <w:szCs w:val="18"/>
              </w:rPr>
            </w:pPr>
            <w:r>
              <w:rPr>
                <w:b/>
                <w:bCs/>
                <w:kern w:val="0"/>
                <w:sz w:val="18"/>
                <w:szCs w:val="18"/>
                <w:lang w:bidi="ar"/>
              </w:rPr>
              <w:t>BOD</w:t>
            </w:r>
            <w:r>
              <w:rPr>
                <w:b/>
                <w:bCs/>
                <w:kern w:val="0"/>
                <w:sz w:val="18"/>
                <w:szCs w:val="18"/>
                <w:vertAlign w:val="subscript"/>
                <w:lang w:bidi="ar"/>
              </w:rPr>
              <w:t>5</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11CF29BB">
            <w:pPr>
              <w:widowControl/>
              <w:jc w:val="center"/>
              <w:textAlignment w:val="center"/>
              <w:rPr>
                <w:b/>
                <w:bCs/>
                <w:sz w:val="18"/>
                <w:szCs w:val="18"/>
              </w:rPr>
            </w:pPr>
            <w:r>
              <w:rPr>
                <w:b/>
                <w:bCs/>
                <w:kern w:val="0"/>
                <w:sz w:val="18"/>
                <w:szCs w:val="18"/>
                <w:lang w:bidi="ar"/>
              </w:rPr>
              <w:t>SS</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C06832D">
            <w:pPr>
              <w:widowControl/>
              <w:jc w:val="center"/>
              <w:textAlignment w:val="center"/>
              <w:rPr>
                <w:b/>
                <w:bCs/>
                <w:sz w:val="18"/>
                <w:szCs w:val="18"/>
              </w:rPr>
            </w:pPr>
            <w:r>
              <w:rPr>
                <w:b/>
                <w:bCs/>
                <w:kern w:val="0"/>
                <w:sz w:val="18"/>
                <w:szCs w:val="18"/>
                <w:lang w:bidi="ar"/>
              </w:rPr>
              <w:t>NH</w:t>
            </w:r>
            <w:r>
              <w:rPr>
                <w:b/>
                <w:bCs/>
                <w:kern w:val="0"/>
                <w:sz w:val="18"/>
                <w:szCs w:val="18"/>
                <w:vertAlign w:val="subscript"/>
                <w:lang w:bidi="ar"/>
              </w:rPr>
              <w:t>3</w:t>
            </w:r>
            <w:r>
              <w:rPr>
                <w:b/>
                <w:bCs/>
                <w:kern w:val="0"/>
                <w:sz w:val="18"/>
                <w:szCs w:val="18"/>
                <w:lang w:bidi="ar"/>
              </w:rPr>
              <w:t>-N</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2A5EF9CB">
            <w:pPr>
              <w:widowControl/>
              <w:jc w:val="center"/>
              <w:textAlignment w:val="center"/>
              <w:rPr>
                <w:b/>
                <w:bCs/>
                <w:sz w:val="18"/>
                <w:szCs w:val="18"/>
              </w:rPr>
            </w:pPr>
            <w:r>
              <w:rPr>
                <w:b/>
                <w:bCs/>
                <w:kern w:val="0"/>
                <w:sz w:val="18"/>
                <w:szCs w:val="18"/>
                <w:lang w:bidi="ar"/>
              </w:rPr>
              <w:t>TN</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CA4C135">
            <w:pPr>
              <w:widowControl/>
              <w:jc w:val="center"/>
              <w:textAlignment w:val="center"/>
              <w:rPr>
                <w:b/>
                <w:bCs/>
                <w:sz w:val="18"/>
                <w:szCs w:val="18"/>
              </w:rPr>
            </w:pPr>
            <w:r>
              <w:rPr>
                <w:b/>
                <w:bCs/>
                <w:kern w:val="0"/>
                <w:sz w:val="18"/>
                <w:szCs w:val="18"/>
                <w:lang w:bidi="ar"/>
              </w:rPr>
              <w:t>TP</w:t>
            </w:r>
          </w:p>
        </w:tc>
      </w:tr>
      <w:tr w14:paraId="3190C37B">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68094324">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4AF6882E">
            <w:pPr>
              <w:widowControl/>
              <w:jc w:val="center"/>
              <w:textAlignment w:val="center"/>
              <w:rPr>
                <w:sz w:val="18"/>
                <w:szCs w:val="18"/>
              </w:rPr>
            </w:pPr>
            <w:r>
              <w:rPr>
                <w:kern w:val="0"/>
                <w:sz w:val="18"/>
                <w:szCs w:val="18"/>
                <w:lang w:bidi="ar"/>
              </w:rPr>
              <w:t>产生浓度</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43E945CE">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206E871">
            <w:pPr>
              <w:widowControl/>
              <w:jc w:val="center"/>
              <w:textAlignment w:val="center"/>
              <w:rPr>
                <w:sz w:val="18"/>
                <w:szCs w:val="18"/>
              </w:rPr>
            </w:pPr>
            <w:r>
              <w:rPr>
                <w:kern w:val="0"/>
                <w:sz w:val="18"/>
                <w:szCs w:val="18"/>
                <w:lang w:bidi="ar"/>
              </w:rPr>
              <w:t>2640</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CB998B8">
            <w:pPr>
              <w:widowControl/>
              <w:jc w:val="center"/>
              <w:textAlignment w:val="center"/>
              <w:rPr>
                <w:sz w:val="18"/>
                <w:szCs w:val="18"/>
              </w:rPr>
            </w:pPr>
            <w:r>
              <w:rPr>
                <w:kern w:val="0"/>
                <w:sz w:val="18"/>
                <w:szCs w:val="18"/>
                <w:lang w:bidi="ar"/>
              </w:rPr>
              <w:t>1500</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FB1B8B1">
            <w:pPr>
              <w:widowControl/>
              <w:jc w:val="center"/>
              <w:textAlignment w:val="center"/>
              <w:rPr>
                <w:sz w:val="18"/>
                <w:szCs w:val="18"/>
              </w:rPr>
            </w:pPr>
            <w:r>
              <w:rPr>
                <w:kern w:val="0"/>
                <w:sz w:val="18"/>
                <w:szCs w:val="18"/>
                <w:lang w:bidi="ar"/>
              </w:rPr>
              <w:t>3300</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5995533">
            <w:pPr>
              <w:widowControl/>
              <w:jc w:val="center"/>
              <w:textAlignment w:val="center"/>
              <w:rPr>
                <w:sz w:val="18"/>
                <w:szCs w:val="18"/>
              </w:rPr>
            </w:pPr>
            <w:r>
              <w:rPr>
                <w:kern w:val="0"/>
                <w:sz w:val="18"/>
                <w:szCs w:val="18"/>
                <w:lang w:bidi="ar"/>
              </w:rPr>
              <w:t>261</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5DB285D5">
            <w:pPr>
              <w:widowControl/>
              <w:jc w:val="center"/>
              <w:textAlignment w:val="center"/>
              <w:rPr>
                <w:sz w:val="18"/>
                <w:szCs w:val="18"/>
              </w:rPr>
            </w:pPr>
            <w:r>
              <w:rPr>
                <w:kern w:val="0"/>
                <w:sz w:val="18"/>
                <w:szCs w:val="18"/>
                <w:lang w:bidi="ar"/>
              </w:rPr>
              <w:t>370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9BB3EEA">
            <w:pPr>
              <w:widowControl/>
              <w:jc w:val="center"/>
              <w:textAlignment w:val="center"/>
              <w:rPr>
                <w:sz w:val="18"/>
                <w:szCs w:val="18"/>
              </w:rPr>
            </w:pPr>
            <w:r>
              <w:rPr>
                <w:kern w:val="0"/>
                <w:sz w:val="18"/>
                <w:szCs w:val="18"/>
                <w:lang w:bidi="ar"/>
              </w:rPr>
              <w:t>127</w:t>
            </w:r>
          </w:p>
        </w:tc>
      </w:tr>
      <w:tr w14:paraId="7FA84725">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1C3652F6">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72DF4D5E">
            <w:pPr>
              <w:widowControl/>
              <w:jc w:val="center"/>
              <w:textAlignment w:val="center"/>
              <w:rPr>
                <w:sz w:val="18"/>
                <w:szCs w:val="18"/>
              </w:rPr>
            </w:pPr>
            <w:r>
              <w:rPr>
                <w:kern w:val="0"/>
                <w:sz w:val="18"/>
                <w:szCs w:val="18"/>
                <w:lang w:bidi="ar"/>
              </w:rPr>
              <w:t>产生量</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33153AF0">
            <w:pPr>
              <w:widowControl/>
              <w:jc w:val="center"/>
              <w:textAlignment w:val="center"/>
              <w:rPr>
                <w:sz w:val="18"/>
                <w:szCs w:val="18"/>
              </w:rPr>
            </w:pPr>
            <w:r>
              <w:rPr>
                <w:kern w:val="0"/>
                <w:sz w:val="18"/>
                <w:szCs w:val="18"/>
                <w:lang w:bidi="ar"/>
              </w:rPr>
              <w:t>1215.6</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7E4DC0B8">
            <w:pPr>
              <w:widowControl/>
              <w:jc w:val="center"/>
              <w:textAlignment w:val="center"/>
              <w:rPr>
                <w:sz w:val="18"/>
                <w:szCs w:val="18"/>
              </w:rPr>
            </w:pPr>
            <w:r>
              <w:rPr>
                <w:kern w:val="0"/>
                <w:sz w:val="18"/>
                <w:szCs w:val="18"/>
                <w:lang w:bidi="ar"/>
              </w:rPr>
              <w:t xml:space="preserve">3.2092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06E37C6">
            <w:pPr>
              <w:widowControl/>
              <w:jc w:val="center"/>
              <w:textAlignment w:val="center"/>
              <w:rPr>
                <w:sz w:val="18"/>
                <w:szCs w:val="18"/>
              </w:rPr>
            </w:pPr>
            <w:r>
              <w:rPr>
                <w:kern w:val="0"/>
                <w:sz w:val="18"/>
                <w:szCs w:val="18"/>
                <w:lang w:bidi="ar"/>
              </w:rPr>
              <w:t xml:space="preserve">1.8234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3E8B1FFE">
            <w:pPr>
              <w:widowControl/>
              <w:jc w:val="center"/>
              <w:textAlignment w:val="center"/>
              <w:rPr>
                <w:sz w:val="18"/>
                <w:szCs w:val="18"/>
              </w:rPr>
            </w:pPr>
            <w:r>
              <w:rPr>
                <w:kern w:val="0"/>
                <w:sz w:val="18"/>
                <w:szCs w:val="18"/>
                <w:lang w:bidi="ar"/>
              </w:rPr>
              <w:t xml:space="preserve">4.0115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CB73D68">
            <w:pPr>
              <w:widowControl/>
              <w:jc w:val="center"/>
              <w:textAlignment w:val="center"/>
              <w:rPr>
                <w:sz w:val="18"/>
                <w:szCs w:val="18"/>
              </w:rPr>
            </w:pPr>
            <w:r>
              <w:rPr>
                <w:kern w:val="0"/>
                <w:sz w:val="18"/>
                <w:szCs w:val="18"/>
                <w:lang w:bidi="ar"/>
              </w:rPr>
              <w:t xml:space="preserve">0.3173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64B85AE">
            <w:pPr>
              <w:widowControl/>
              <w:jc w:val="center"/>
              <w:textAlignment w:val="center"/>
              <w:rPr>
                <w:sz w:val="18"/>
                <w:szCs w:val="18"/>
              </w:rPr>
            </w:pPr>
            <w:r>
              <w:rPr>
                <w:kern w:val="0"/>
                <w:sz w:val="18"/>
                <w:szCs w:val="18"/>
                <w:lang w:bidi="ar"/>
              </w:rPr>
              <w:t xml:space="preserve">0.4498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1EB02D2">
            <w:pPr>
              <w:widowControl/>
              <w:jc w:val="center"/>
              <w:textAlignment w:val="center"/>
              <w:rPr>
                <w:sz w:val="18"/>
                <w:szCs w:val="18"/>
              </w:rPr>
            </w:pPr>
            <w:r>
              <w:rPr>
                <w:kern w:val="0"/>
                <w:sz w:val="18"/>
                <w:szCs w:val="18"/>
                <w:lang w:bidi="ar"/>
              </w:rPr>
              <w:t xml:space="preserve">0.1544 </w:t>
            </w:r>
          </w:p>
        </w:tc>
      </w:tr>
      <w:tr w14:paraId="01DA8796">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5B0DE511">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6661C52A">
            <w:pPr>
              <w:widowControl/>
              <w:jc w:val="center"/>
              <w:textAlignment w:val="center"/>
              <w:rPr>
                <w:sz w:val="18"/>
                <w:szCs w:val="18"/>
              </w:rPr>
            </w:pPr>
            <w:r>
              <w:rPr>
                <w:kern w:val="0"/>
                <w:sz w:val="18"/>
                <w:szCs w:val="18"/>
                <w:lang w:bidi="ar"/>
              </w:rPr>
              <w:t>处理后浓度</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4AC43592">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D48D228">
            <w:pPr>
              <w:widowControl/>
              <w:jc w:val="center"/>
              <w:textAlignment w:val="center"/>
              <w:rPr>
                <w:sz w:val="18"/>
                <w:szCs w:val="18"/>
              </w:rPr>
            </w:pPr>
            <w:r>
              <w:rPr>
                <w:kern w:val="0"/>
                <w:sz w:val="18"/>
                <w:szCs w:val="18"/>
                <w:lang w:bidi="ar"/>
              </w:rPr>
              <w:t>161.7</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49D946C">
            <w:pPr>
              <w:widowControl/>
              <w:jc w:val="center"/>
              <w:textAlignment w:val="center"/>
              <w:rPr>
                <w:sz w:val="18"/>
                <w:szCs w:val="18"/>
              </w:rPr>
            </w:pPr>
            <w:r>
              <w:rPr>
                <w:kern w:val="0"/>
                <w:sz w:val="18"/>
                <w:szCs w:val="18"/>
                <w:lang w:bidi="ar"/>
              </w:rPr>
              <w:t>84</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5056879F">
            <w:pPr>
              <w:widowControl/>
              <w:jc w:val="center"/>
              <w:textAlignment w:val="center"/>
              <w:rPr>
                <w:sz w:val="18"/>
                <w:szCs w:val="18"/>
              </w:rPr>
            </w:pPr>
            <w:r>
              <w:rPr>
                <w:kern w:val="0"/>
                <w:sz w:val="18"/>
                <w:szCs w:val="18"/>
                <w:lang w:bidi="ar"/>
              </w:rPr>
              <w:t>118.8</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6BF9BD5">
            <w:pPr>
              <w:widowControl/>
              <w:jc w:val="center"/>
              <w:textAlignment w:val="center"/>
              <w:rPr>
                <w:sz w:val="18"/>
                <w:szCs w:val="18"/>
              </w:rPr>
            </w:pPr>
            <w:r>
              <w:rPr>
                <w:kern w:val="0"/>
                <w:sz w:val="18"/>
                <w:szCs w:val="18"/>
                <w:lang w:bidi="ar"/>
              </w:rPr>
              <w:t>169.13</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04FF706F">
            <w:pPr>
              <w:widowControl/>
              <w:jc w:val="center"/>
              <w:textAlignment w:val="center"/>
              <w:rPr>
                <w:sz w:val="18"/>
                <w:szCs w:val="18"/>
              </w:rPr>
            </w:pPr>
            <w:r>
              <w:rPr>
                <w:kern w:val="0"/>
                <w:sz w:val="18"/>
                <w:szCs w:val="18"/>
                <w:lang w:bidi="ar"/>
              </w:rPr>
              <w:t>263.06</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EB260D7">
            <w:pPr>
              <w:widowControl/>
              <w:jc w:val="center"/>
              <w:textAlignment w:val="center"/>
              <w:rPr>
                <w:sz w:val="18"/>
                <w:szCs w:val="18"/>
              </w:rPr>
            </w:pPr>
            <w:r>
              <w:rPr>
                <w:kern w:val="0"/>
                <w:sz w:val="18"/>
                <w:szCs w:val="18"/>
                <w:lang w:bidi="ar"/>
              </w:rPr>
              <w:t>22.75</w:t>
            </w:r>
          </w:p>
        </w:tc>
      </w:tr>
      <w:tr w14:paraId="2E4F6E6D">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60CD8731">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7C49338F">
            <w:pPr>
              <w:widowControl/>
              <w:jc w:val="center"/>
              <w:textAlignment w:val="center"/>
              <w:rPr>
                <w:sz w:val="18"/>
                <w:szCs w:val="18"/>
              </w:rPr>
            </w:pPr>
            <w:r>
              <w:rPr>
                <w:kern w:val="0"/>
                <w:sz w:val="18"/>
                <w:szCs w:val="18"/>
                <w:lang w:bidi="ar"/>
              </w:rPr>
              <w:t>处理后量</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4F7635AF">
            <w:pPr>
              <w:widowControl/>
              <w:jc w:val="center"/>
              <w:textAlignment w:val="center"/>
              <w:rPr>
                <w:sz w:val="18"/>
                <w:szCs w:val="18"/>
              </w:rPr>
            </w:pPr>
            <w:r>
              <w:rPr>
                <w:kern w:val="0"/>
                <w:sz w:val="18"/>
                <w:szCs w:val="18"/>
                <w:lang w:bidi="ar"/>
              </w:rPr>
              <w:t>1215.6</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7BCC70E4">
            <w:pPr>
              <w:widowControl/>
              <w:jc w:val="center"/>
              <w:textAlignment w:val="center"/>
              <w:rPr>
                <w:sz w:val="18"/>
                <w:szCs w:val="18"/>
              </w:rPr>
            </w:pPr>
            <w:r>
              <w:rPr>
                <w:kern w:val="0"/>
                <w:sz w:val="18"/>
                <w:szCs w:val="18"/>
                <w:lang w:bidi="ar"/>
              </w:rPr>
              <w:t xml:space="preserve">0.1777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30C102D4">
            <w:pPr>
              <w:widowControl/>
              <w:jc w:val="center"/>
              <w:textAlignment w:val="center"/>
              <w:rPr>
                <w:sz w:val="18"/>
                <w:szCs w:val="18"/>
              </w:rPr>
            </w:pPr>
            <w:r>
              <w:rPr>
                <w:kern w:val="0"/>
                <w:sz w:val="18"/>
                <w:szCs w:val="18"/>
                <w:lang w:bidi="ar"/>
              </w:rPr>
              <w:t xml:space="preserve">0.0923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652CC8A">
            <w:pPr>
              <w:widowControl/>
              <w:jc w:val="center"/>
              <w:textAlignment w:val="center"/>
              <w:rPr>
                <w:sz w:val="18"/>
                <w:szCs w:val="18"/>
              </w:rPr>
            </w:pPr>
            <w:r>
              <w:rPr>
                <w:kern w:val="0"/>
                <w:sz w:val="18"/>
                <w:szCs w:val="18"/>
                <w:lang w:bidi="ar"/>
              </w:rPr>
              <w:t xml:space="preserve">0.1305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4A2A921">
            <w:pPr>
              <w:widowControl/>
              <w:jc w:val="center"/>
              <w:textAlignment w:val="center"/>
              <w:rPr>
                <w:sz w:val="18"/>
                <w:szCs w:val="18"/>
              </w:rPr>
            </w:pPr>
            <w:r>
              <w:rPr>
                <w:kern w:val="0"/>
                <w:sz w:val="18"/>
                <w:szCs w:val="18"/>
                <w:lang w:bidi="ar"/>
              </w:rPr>
              <w:t xml:space="preserve">0.1858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4408ACB8">
            <w:pPr>
              <w:widowControl/>
              <w:jc w:val="center"/>
              <w:textAlignment w:val="center"/>
              <w:rPr>
                <w:sz w:val="18"/>
                <w:szCs w:val="18"/>
              </w:rPr>
            </w:pPr>
            <w:r>
              <w:rPr>
                <w:kern w:val="0"/>
                <w:sz w:val="18"/>
                <w:szCs w:val="18"/>
                <w:lang w:bidi="ar"/>
              </w:rPr>
              <w:t xml:space="preserve">0.2891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7F323870">
            <w:pPr>
              <w:widowControl/>
              <w:jc w:val="center"/>
              <w:textAlignment w:val="center"/>
              <w:rPr>
                <w:sz w:val="18"/>
                <w:szCs w:val="18"/>
              </w:rPr>
            </w:pPr>
            <w:r>
              <w:rPr>
                <w:kern w:val="0"/>
                <w:sz w:val="18"/>
                <w:szCs w:val="18"/>
                <w:lang w:bidi="ar"/>
              </w:rPr>
              <w:t xml:space="preserve">0.0250 </w:t>
            </w:r>
          </w:p>
        </w:tc>
      </w:tr>
      <w:tr w14:paraId="01629F61">
        <w:tblPrEx>
          <w:tblCellMar>
            <w:top w:w="0" w:type="dxa"/>
            <w:left w:w="108" w:type="dxa"/>
            <w:bottom w:w="0" w:type="dxa"/>
            <w:right w:w="108" w:type="dxa"/>
          </w:tblCellMar>
        </w:tblPrEx>
        <w:trPr>
          <w:trHeight w:val="661" w:hRule="atLeast"/>
        </w:trPr>
        <w:tc>
          <w:tcPr>
            <w:tcW w:w="419" w:type="pct"/>
            <w:vMerge w:val="restart"/>
            <w:tcBorders>
              <w:top w:val="single" w:color="000000" w:sz="4" w:space="0"/>
              <w:left w:val="single" w:color="000000" w:sz="4" w:space="0"/>
              <w:bottom w:val="single" w:color="000000" w:sz="4" w:space="0"/>
              <w:right w:val="single" w:color="000000" w:sz="4" w:space="0"/>
            </w:tcBorders>
            <w:noWrap/>
            <w:vAlign w:val="center"/>
          </w:tcPr>
          <w:p w14:paraId="7FA3D7EA">
            <w:pPr>
              <w:widowControl/>
              <w:jc w:val="center"/>
              <w:textAlignment w:val="center"/>
              <w:rPr>
                <w:sz w:val="18"/>
                <w:szCs w:val="18"/>
              </w:rPr>
            </w:pPr>
            <w:r>
              <w:rPr>
                <w:kern w:val="0"/>
                <w:sz w:val="18"/>
                <w:szCs w:val="18"/>
                <w:lang w:bidi="ar"/>
              </w:rPr>
              <w:t>2号地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5049D85C">
            <w:pPr>
              <w:snapToGrid w:val="0"/>
              <w:jc w:val="center"/>
              <w:rPr>
                <w:b/>
                <w:bCs/>
                <w:sz w:val="18"/>
                <w:szCs w:val="18"/>
              </w:rPr>
            </w:pPr>
            <w:r>
              <w:rPr>
                <w:b/>
                <w:bCs/>
                <w:sz w:val="18"/>
                <w:szCs w:val="18"/>
              </w:rPr>
              <w:t>项目</w:t>
            </w:r>
          </w:p>
          <w:p w14:paraId="549359ED">
            <w:pPr>
              <w:jc w:val="center"/>
              <w:rPr>
                <w:b/>
                <w:bCs/>
                <w:sz w:val="18"/>
                <w:szCs w:val="18"/>
              </w:rPr>
            </w:pPr>
            <w:r>
              <w:rPr>
                <w:b/>
                <w:bCs/>
                <w:sz w:val="18"/>
                <w:szCs w:val="18"/>
              </w:rPr>
              <w:t>污染物</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393220B">
            <w:pPr>
              <w:widowControl/>
              <w:jc w:val="center"/>
              <w:textAlignment w:val="center"/>
              <w:rPr>
                <w:b/>
                <w:bCs/>
                <w:sz w:val="18"/>
                <w:szCs w:val="18"/>
              </w:rPr>
            </w:pPr>
            <w:r>
              <w:rPr>
                <w:b/>
                <w:bCs/>
                <w:kern w:val="0"/>
                <w:sz w:val="18"/>
                <w:szCs w:val="18"/>
                <w:lang w:bidi="ar"/>
              </w:rPr>
              <w:t>废水量</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1A2DB2DD">
            <w:pPr>
              <w:widowControl/>
              <w:jc w:val="center"/>
              <w:textAlignment w:val="center"/>
              <w:rPr>
                <w:b/>
                <w:bCs/>
                <w:sz w:val="18"/>
                <w:szCs w:val="18"/>
              </w:rPr>
            </w:pPr>
            <w:r>
              <w:rPr>
                <w:b/>
                <w:bCs/>
                <w:kern w:val="0"/>
                <w:sz w:val="18"/>
                <w:szCs w:val="18"/>
                <w:lang w:bidi="ar"/>
              </w:rPr>
              <w:t>CODcr</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32536C99">
            <w:pPr>
              <w:widowControl/>
              <w:jc w:val="center"/>
              <w:textAlignment w:val="center"/>
              <w:rPr>
                <w:b/>
                <w:bCs/>
                <w:sz w:val="18"/>
                <w:szCs w:val="18"/>
              </w:rPr>
            </w:pPr>
            <w:r>
              <w:rPr>
                <w:b/>
                <w:bCs/>
                <w:kern w:val="0"/>
                <w:sz w:val="18"/>
                <w:szCs w:val="18"/>
                <w:lang w:bidi="ar"/>
              </w:rPr>
              <w:t>BOD</w:t>
            </w:r>
            <w:r>
              <w:rPr>
                <w:b/>
                <w:bCs/>
                <w:kern w:val="0"/>
                <w:sz w:val="18"/>
                <w:szCs w:val="18"/>
                <w:vertAlign w:val="subscript"/>
                <w:lang w:bidi="ar"/>
              </w:rPr>
              <w:t>5</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167823F">
            <w:pPr>
              <w:widowControl/>
              <w:jc w:val="center"/>
              <w:textAlignment w:val="center"/>
              <w:rPr>
                <w:b/>
                <w:bCs/>
                <w:sz w:val="18"/>
                <w:szCs w:val="18"/>
              </w:rPr>
            </w:pPr>
            <w:r>
              <w:rPr>
                <w:b/>
                <w:bCs/>
                <w:kern w:val="0"/>
                <w:sz w:val="18"/>
                <w:szCs w:val="18"/>
                <w:lang w:bidi="ar"/>
              </w:rPr>
              <w:t>SS</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36926E9">
            <w:pPr>
              <w:widowControl/>
              <w:jc w:val="center"/>
              <w:textAlignment w:val="center"/>
              <w:rPr>
                <w:b/>
                <w:bCs/>
                <w:sz w:val="18"/>
                <w:szCs w:val="18"/>
              </w:rPr>
            </w:pPr>
            <w:r>
              <w:rPr>
                <w:b/>
                <w:bCs/>
                <w:kern w:val="0"/>
                <w:sz w:val="18"/>
                <w:szCs w:val="18"/>
                <w:lang w:bidi="ar"/>
              </w:rPr>
              <w:t>NH</w:t>
            </w:r>
            <w:r>
              <w:rPr>
                <w:b/>
                <w:bCs/>
                <w:kern w:val="0"/>
                <w:sz w:val="18"/>
                <w:szCs w:val="18"/>
                <w:vertAlign w:val="subscript"/>
                <w:lang w:bidi="ar"/>
              </w:rPr>
              <w:t>3</w:t>
            </w:r>
            <w:r>
              <w:rPr>
                <w:b/>
                <w:bCs/>
                <w:kern w:val="0"/>
                <w:sz w:val="18"/>
                <w:szCs w:val="18"/>
                <w:lang w:bidi="ar"/>
              </w:rPr>
              <w:t>-N</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5CB8C3E">
            <w:pPr>
              <w:widowControl/>
              <w:jc w:val="center"/>
              <w:textAlignment w:val="center"/>
              <w:rPr>
                <w:b/>
                <w:bCs/>
                <w:sz w:val="18"/>
                <w:szCs w:val="18"/>
              </w:rPr>
            </w:pPr>
            <w:r>
              <w:rPr>
                <w:b/>
                <w:bCs/>
                <w:kern w:val="0"/>
                <w:sz w:val="18"/>
                <w:szCs w:val="18"/>
                <w:lang w:bidi="ar"/>
              </w:rPr>
              <w:t>TN</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C13223E">
            <w:pPr>
              <w:widowControl/>
              <w:jc w:val="center"/>
              <w:textAlignment w:val="center"/>
              <w:rPr>
                <w:b/>
                <w:bCs/>
                <w:sz w:val="18"/>
                <w:szCs w:val="18"/>
              </w:rPr>
            </w:pPr>
            <w:r>
              <w:rPr>
                <w:b/>
                <w:bCs/>
                <w:kern w:val="0"/>
                <w:sz w:val="18"/>
                <w:szCs w:val="18"/>
                <w:lang w:bidi="ar"/>
              </w:rPr>
              <w:t>TP</w:t>
            </w:r>
          </w:p>
        </w:tc>
      </w:tr>
      <w:tr w14:paraId="224A88D3">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40F1B2DA">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5E1C485F">
            <w:pPr>
              <w:widowControl/>
              <w:jc w:val="center"/>
              <w:textAlignment w:val="center"/>
              <w:rPr>
                <w:sz w:val="18"/>
                <w:szCs w:val="18"/>
              </w:rPr>
            </w:pPr>
            <w:r>
              <w:rPr>
                <w:kern w:val="0"/>
                <w:sz w:val="18"/>
                <w:szCs w:val="18"/>
                <w:lang w:bidi="ar"/>
              </w:rPr>
              <w:t>产生浓度</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37192F17">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A55D52C">
            <w:pPr>
              <w:widowControl/>
              <w:jc w:val="center"/>
              <w:textAlignment w:val="center"/>
              <w:rPr>
                <w:sz w:val="18"/>
                <w:szCs w:val="18"/>
              </w:rPr>
            </w:pPr>
            <w:r>
              <w:rPr>
                <w:kern w:val="0"/>
                <w:sz w:val="18"/>
                <w:szCs w:val="18"/>
                <w:lang w:bidi="ar"/>
              </w:rPr>
              <w:t>2640</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799800C">
            <w:pPr>
              <w:widowControl/>
              <w:jc w:val="center"/>
              <w:textAlignment w:val="center"/>
              <w:rPr>
                <w:sz w:val="18"/>
                <w:szCs w:val="18"/>
              </w:rPr>
            </w:pPr>
            <w:r>
              <w:rPr>
                <w:kern w:val="0"/>
                <w:sz w:val="18"/>
                <w:szCs w:val="18"/>
                <w:lang w:bidi="ar"/>
              </w:rPr>
              <w:t>1500</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E4F864F">
            <w:pPr>
              <w:widowControl/>
              <w:jc w:val="center"/>
              <w:textAlignment w:val="center"/>
              <w:rPr>
                <w:sz w:val="18"/>
                <w:szCs w:val="18"/>
              </w:rPr>
            </w:pPr>
            <w:r>
              <w:rPr>
                <w:kern w:val="0"/>
                <w:sz w:val="18"/>
                <w:szCs w:val="18"/>
                <w:lang w:bidi="ar"/>
              </w:rPr>
              <w:t>3300</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90AE164">
            <w:pPr>
              <w:widowControl/>
              <w:jc w:val="center"/>
              <w:textAlignment w:val="center"/>
              <w:rPr>
                <w:sz w:val="18"/>
                <w:szCs w:val="18"/>
              </w:rPr>
            </w:pPr>
            <w:r>
              <w:rPr>
                <w:kern w:val="0"/>
                <w:sz w:val="18"/>
                <w:szCs w:val="18"/>
                <w:lang w:bidi="ar"/>
              </w:rPr>
              <w:t>261</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C948F79">
            <w:pPr>
              <w:widowControl/>
              <w:jc w:val="center"/>
              <w:textAlignment w:val="center"/>
              <w:rPr>
                <w:sz w:val="18"/>
                <w:szCs w:val="18"/>
              </w:rPr>
            </w:pPr>
            <w:r>
              <w:rPr>
                <w:kern w:val="0"/>
                <w:sz w:val="18"/>
                <w:szCs w:val="18"/>
                <w:lang w:bidi="ar"/>
              </w:rPr>
              <w:t>370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80BD7E9">
            <w:pPr>
              <w:widowControl/>
              <w:jc w:val="center"/>
              <w:textAlignment w:val="center"/>
              <w:rPr>
                <w:sz w:val="18"/>
                <w:szCs w:val="18"/>
              </w:rPr>
            </w:pPr>
            <w:r>
              <w:rPr>
                <w:kern w:val="0"/>
                <w:sz w:val="18"/>
                <w:szCs w:val="18"/>
                <w:lang w:bidi="ar"/>
              </w:rPr>
              <w:t>127</w:t>
            </w:r>
          </w:p>
        </w:tc>
      </w:tr>
      <w:tr w14:paraId="3D38D06A">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2B865F2E">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4AFD5752">
            <w:pPr>
              <w:widowControl/>
              <w:jc w:val="center"/>
              <w:textAlignment w:val="center"/>
              <w:rPr>
                <w:sz w:val="18"/>
                <w:szCs w:val="18"/>
              </w:rPr>
            </w:pPr>
            <w:r>
              <w:rPr>
                <w:kern w:val="0"/>
                <w:sz w:val="18"/>
                <w:szCs w:val="18"/>
                <w:lang w:bidi="ar"/>
              </w:rPr>
              <w:t>产生量</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0C40ABA6">
            <w:pPr>
              <w:widowControl/>
              <w:jc w:val="center"/>
              <w:textAlignment w:val="center"/>
              <w:rPr>
                <w:sz w:val="18"/>
                <w:szCs w:val="18"/>
              </w:rPr>
            </w:pPr>
            <w:r>
              <w:rPr>
                <w:kern w:val="0"/>
                <w:sz w:val="18"/>
                <w:szCs w:val="18"/>
                <w:lang w:bidi="ar"/>
              </w:rPr>
              <w:t>2735.78</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9B2AC0F">
            <w:pPr>
              <w:widowControl/>
              <w:jc w:val="center"/>
              <w:textAlignment w:val="center"/>
              <w:rPr>
                <w:sz w:val="18"/>
                <w:szCs w:val="18"/>
              </w:rPr>
            </w:pPr>
            <w:r>
              <w:rPr>
                <w:kern w:val="0"/>
                <w:sz w:val="18"/>
                <w:szCs w:val="18"/>
                <w:lang w:bidi="ar"/>
              </w:rPr>
              <w:t xml:space="preserve">7.2225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EAA1E37">
            <w:pPr>
              <w:widowControl/>
              <w:jc w:val="center"/>
              <w:textAlignment w:val="center"/>
              <w:rPr>
                <w:sz w:val="18"/>
                <w:szCs w:val="18"/>
              </w:rPr>
            </w:pPr>
            <w:r>
              <w:rPr>
                <w:kern w:val="0"/>
                <w:sz w:val="18"/>
                <w:szCs w:val="18"/>
                <w:lang w:bidi="ar"/>
              </w:rPr>
              <w:t xml:space="preserve">4.1037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30ED6A10">
            <w:pPr>
              <w:widowControl/>
              <w:jc w:val="center"/>
              <w:textAlignment w:val="center"/>
              <w:rPr>
                <w:sz w:val="18"/>
                <w:szCs w:val="18"/>
              </w:rPr>
            </w:pPr>
            <w:r>
              <w:rPr>
                <w:kern w:val="0"/>
                <w:sz w:val="18"/>
                <w:szCs w:val="18"/>
                <w:lang w:bidi="ar"/>
              </w:rPr>
              <w:t xml:space="preserve">9.0281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8DBC074">
            <w:pPr>
              <w:widowControl/>
              <w:jc w:val="center"/>
              <w:textAlignment w:val="center"/>
              <w:rPr>
                <w:sz w:val="18"/>
                <w:szCs w:val="18"/>
              </w:rPr>
            </w:pPr>
            <w:r>
              <w:rPr>
                <w:kern w:val="0"/>
                <w:sz w:val="18"/>
                <w:szCs w:val="18"/>
                <w:lang w:bidi="ar"/>
              </w:rPr>
              <w:t xml:space="preserve">0.7140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3FCEF35">
            <w:pPr>
              <w:widowControl/>
              <w:jc w:val="center"/>
              <w:textAlignment w:val="center"/>
              <w:rPr>
                <w:sz w:val="18"/>
                <w:szCs w:val="18"/>
              </w:rPr>
            </w:pPr>
            <w:r>
              <w:rPr>
                <w:kern w:val="0"/>
                <w:sz w:val="18"/>
                <w:szCs w:val="18"/>
                <w:lang w:bidi="ar"/>
              </w:rPr>
              <w:t xml:space="preserve">1.0122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976BC53">
            <w:pPr>
              <w:widowControl/>
              <w:jc w:val="center"/>
              <w:textAlignment w:val="center"/>
              <w:rPr>
                <w:sz w:val="18"/>
                <w:szCs w:val="18"/>
              </w:rPr>
            </w:pPr>
            <w:r>
              <w:rPr>
                <w:kern w:val="0"/>
                <w:sz w:val="18"/>
                <w:szCs w:val="18"/>
                <w:lang w:bidi="ar"/>
              </w:rPr>
              <w:t xml:space="preserve">0.3474 </w:t>
            </w:r>
          </w:p>
        </w:tc>
      </w:tr>
      <w:tr w14:paraId="47E133E4">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19CBD7AC">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3C45CA73">
            <w:pPr>
              <w:widowControl/>
              <w:jc w:val="center"/>
              <w:textAlignment w:val="center"/>
              <w:rPr>
                <w:sz w:val="18"/>
                <w:szCs w:val="18"/>
              </w:rPr>
            </w:pPr>
            <w:r>
              <w:rPr>
                <w:kern w:val="0"/>
                <w:sz w:val="18"/>
                <w:szCs w:val="18"/>
                <w:lang w:bidi="ar"/>
              </w:rPr>
              <w:t>处理后浓度</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26549484">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1216983">
            <w:pPr>
              <w:widowControl/>
              <w:jc w:val="center"/>
              <w:textAlignment w:val="center"/>
              <w:rPr>
                <w:sz w:val="18"/>
                <w:szCs w:val="18"/>
              </w:rPr>
            </w:pPr>
            <w:r>
              <w:rPr>
                <w:kern w:val="0"/>
                <w:sz w:val="18"/>
                <w:szCs w:val="18"/>
                <w:lang w:bidi="ar"/>
              </w:rPr>
              <w:t>161.7</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34F4B185">
            <w:pPr>
              <w:widowControl/>
              <w:jc w:val="center"/>
              <w:textAlignment w:val="center"/>
              <w:rPr>
                <w:sz w:val="18"/>
                <w:szCs w:val="18"/>
              </w:rPr>
            </w:pPr>
            <w:r>
              <w:rPr>
                <w:kern w:val="0"/>
                <w:sz w:val="18"/>
                <w:szCs w:val="18"/>
                <w:lang w:bidi="ar"/>
              </w:rPr>
              <w:t>84</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11A1D7F3">
            <w:pPr>
              <w:widowControl/>
              <w:jc w:val="center"/>
              <w:textAlignment w:val="center"/>
              <w:rPr>
                <w:sz w:val="18"/>
                <w:szCs w:val="18"/>
              </w:rPr>
            </w:pPr>
            <w:r>
              <w:rPr>
                <w:kern w:val="0"/>
                <w:sz w:val="18"/>
                <w:szCs w:val="18"/>
                <w:lang w:bidi="ar"/>
              </w:rPr>
              <w:t>118.8</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46432F4">
            <w:pPr>
              <w:widowControl/>
              <w:jc w:val="center"/>
              <w:textAlignment w:val="center"/>
              <w:rPr>
                <w:sz w:val="18"/>
                <w:szCs w:val="18"/>
              </w:rPr>
            </w:pPr>
            <w:r>
              <w:rPr>
                <w:kern w:val="0"/>
                <w:sz w:val="18"/>
                <w:szCs w:val="18"/>
                <w:lang w:bidi="ar"/>
              </w:rPr>
              <w:t>169.13</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A0456A5">
            <w:pPr>
              <w:widowControl/>
              <w:jc w:val="center"/>
              <w:textAlignment w:val="center"/>
              <w:rPr>
                <w:sz w:val="18"/>
                <w:szCs w:val="18"/>
              </w:rPr>
            </w:pPr>
            <w:r>
              <w:rPr>
                <w:kern w:val="0"/>
                <w:sz w:val="18"/>
                <w:szCs w:val="18"/>
                <w:lang w:bidi="ar"/>
              </w:rPr>
              <w:t>263.06</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EAE93C0">
            <w:pPr>
              <w:widowControl/>
              <w:jc w:val="center"/>
              <w:textAlignment w:val="center"/>
              <w:rPr>
                <w:sz w:val="18"/>
                <w:szCs w:val="18"/>
              </w:rPr>
            </w:pPr>
            <w:r>
              <w:rPr>
                <w:kern w:val="0"/>
                <w:sz w:val="18"/>
                <w:szCs w:val="18"/>
                <w:lang w:bidi="ar"/>
              </w:rPr>
              <w:t>22.75</w:t>
            </w:r>
          </w:p>
        </w:tc>
      </w:tr>
      <w:tr w14:paraId="175C2234">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53DB49BC">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08324EFD">
            <w:pPr>
              <w:widowControl/>
              <w:jc w:val="center"/>
              <w:textAlignment w:val="center"/>
              <w:rPr>
                <w:sz w:val="18"/>
                <w:szCs w:val="18"/>
              </w:rPr>
            </w:pPr>
            <w:r>
              <w:rPr>
                <w:kern w:val="0"/>
                <w:sz w:val="18"/>
                <w:szCs w:val="18"/>
                <w:lang w:bidi="ar"/>
              </w:rPr>
              <w:t>处理后量</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9C96411">
            <w:pPr>
              <w:widowControl/>
              <w:jc w:val="center"/>
              <w:textAlignment w:val="center"/>
              <w:rPr>
                <w:sz w:val="18"/>
                <w:szCs w:val="18"/>
              </w:rPr>
            </w:pPr>
            <w:r>
              <w:rPr>
                <w:kern w:val="0"/>
                <w:sz w:val="18"/>
                <w:szCs w:val="18"/>
                <w:lang w:bidi="ar"/>
              </w:rPr>
              <w:t>2735.78</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ACC8DAB">
            <w:pPr>
              <w:widowControl/>
              <w:jc w:val="center"/>
              <w:textAlignment w:val="center"/>
              <w:rPr>
                <w:sz w:val="18"/>
                <w:szCs w:val="18"/>
              </w:rPr>
            </w:pPr>
            <w:r>
              <w:rPr>
                <w:kern w:val="0"/>
                <w:sz w:val="18"/>
                <w:szCs w:val="18"/>
                <w:lang w:bidi="ar"/>
              </w:rPr>
              <w:t xml:space="preserve">0.4424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03D440F">
            <w:pPr>
              <w:widowControl/>
              <w:jc w:val="center"/>
              <w:textAlignment w:val="center"/>
              <w:rPr>
                <w:sz w:val="18"/>
                <w:szCs w:val="18"/>
              </w:rPr>
            </w:pPr>
            <w:r>
              <w:rPr>
                <w:kern w:val="0"/>
                <w:sz w:val="18"/>
                <w:szCs w:val="18"/>
                <w:lang w:bidi="ar"/>
              </w:rPr>
              <w:t xml:space="preserve">0.2298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0BE55C4B">
            <w:pPr>
              <w:widowControl/>
              <w:jc w:val="center"/>
              <w:textAlignment w:val="center"/>
              <w:rPr>
                <w:sz w:val="18"/>
                <w:szCs w:val="18"/>
              </w:rPr>
            </w:pPr>
            <w:r>
              <w:rPr>
                <w:kern w:val="0"/>
                <w:sz w:val="18"/>
                <w:szCs w:val="18"/>
                <w:lang w:bidi="ar"/>
              </w:rPr>
              <w:t xml:space="preserve">0.3250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46440E6">
            <w:pPr>
              <w:widowControl/>
              <w:jc w:val="center"/>
              <w:textAlignment w:val="center"/>
              <w:rPr>
                <w:sz w:val="18"/>
                <w:szCs w:val="18"/>
              </w:rPr>
            </w:pPr>
            <w:r>
              <w:rPr>
                <w:kern w:val="0"/>
                <w:sz w:val="18"/>
                <w:szCs w:val="18"/>
                <w:lang w:bidi="ar"/>
              </w:rPr>
              <w:t xml:space="preserve">0.4627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39B3698">
            <w:pPr>
              <w:widowControl/>
              <w:jc w:val="center"/>
              <w:textAlignment w:val="center"/>
              <w:rPr>
                <w:sz w:val="18"/>
                <w:szCs w:val="18"/>
              </w:rPr>
            </w:pPr>
            <w:r>
              <w:rPr>
                <w:kern w:val="0"/>
                <w:sz w:val="18"/>
                <w:szCs w:val="18"/>
                <w:lang w:bidi="ar"/>
              </w:rPr>
              <w:t xml:space="preserve">0.7197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34A2AB0">
            <w:pPr>
              <w:widowControl/>
              <w:jc w:val="center"/>
              <w:textAlignment w:val="center"/>
              <w:rPr>
                <w:sz w:val="18"/>
                <w:szCs w:val="18"/>
              </w:rPr>
            </w:pPr>
            <w:r>
              <w:rPr>
                <w:kern w:val="0"/>
                <w:sz w:val="18"/>
                <w:szCs w:val="18"/>
                <w:lang w:bidi="ar"/>
              </w:rPr>
              <w:t xml:space="preserve">0.0622 </w:t>
            </w:r>
          </w:p>
        </w:tc>
      </w:tr>
      <w:tr w14:paraId="3B8B23DE">
        <w:tblPrEx>
          <w:tblCellMar>
            <w:top w:w="0" w:type="dxa"/>
            <w:left w:w="108" w:type="dxa"/>
            <w:bottom w:w="0" w:type="dxa"/>
            <w:right w:w="108" w:type="dxa"/>
          </w:tblCellMar>
        </w:tblPrEx>
        <w:trPr>
          <w:trHeight w:val="612" w:hRule="atLeast"/>
        </w:trPr>
        <w:tc>
          <w:tcPr>
            <w:tcW w:w="419" w:type="pct"/>
            <w:vMerge w:val="restart"/>
            <w:tcBorders>
              <w:top w:val="single" w:color="000000" w:sz="4" w:space="0"/>
              <w:left w:val="single" w:color="000000" w:sz="4" w:space="0"/>
              <w:bottom w:val="single" w:color="000000" w:sz="4" w:space="0"/>
              <w:right w:val="single" w:color="000000" w:sz="4" w:space="0"/>
            </w:tcBorders>
            <w:noWrap/>
            <w:vAlign w:val="center"/>
          </w:tcPr>
          <w:p w14:paraId="483C3FE0">
            <w:pPr>
              <w:widowControl/>
              <w:jc w:val="center"/>
              <w:textAlignment w:val="center"/>
              <w:rPr>
                <w:sz w:val="18"/>
                <w:szCs w:val="18"/>
              </w:rPr>
            </w:pPr>
            <w:r>
              <w:rPr>
                <w:kern w:val="0"/>
                <w:sz w:val="18"/>
                <w:szCs w:val="18"/>
                <w:lang w:bidi="ar"/>
              </w:rPr>
              <w:t>3号地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6D31ED34">
            <w:pPr>
              <w:snapToGrid w:val="0"/>
              <w:jc w:val="center"/>
              <w:rPr>
                <w:b/>
                <w:bCs/>
                <w:sz w:val="18"/>
                <w:szCs w:val="18"/>
              </w:rPr>
            </w:pPr>
            <w:r>
              <w:rPr>
                <w:b/>
                <w:bCs/>
                <w:sz w:val="18"/>
                <w:szCs w:val="18"/>
              </w:rPr>
              <w:t>项目</w:t>
            </w:r>
          </w:p>
          <w:p w14:paraId="0CAD249B">
            <w:pPr>
              <w:jc w:val="center"/>
              <w:rPr>
                <w:b/>
                <w:bCs/>
                <w:sz w:val="18"/>
                <w:szCs w:val="18"/>
              </w:rPr>
            </w:pPr>
            <w:r>
              <w:rPr>
                <w:b/>
                <w:bCs/>
                <w:sz w:val="18"/>
                <w:szCs w:val="18"/>
              </w:rPr>
              <w:t>污染物</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7DF1DE07">
            <w:pPr>
              <w:widowControl/>
              <w:jc w:val="center"/>
              <w:textAlignment w:val="center"/>
              <w:rPr>
                <w:b/>
                <w:bCs/>
                <w:sz w:val="18"/>
                <w:szCs w:val="18"/>
              </w:rPr>
            </w:pPr>
            <w:r>
              <w:rPr>
                <w:b/>
                <w:bCs/>
                <w:kern w:val="0"/>
                <w:sz w:val="18"/>
                <w:szCs w:val="18"/>
                <w:lang w:bidi="ar"/>
              </w:rPr>
              <w:t>废水量</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E24C14C">
            <w:pPr>
              <w:widowControl/>
              <w:jc w:val="center"/>
              <w:textAlignment w:val="center"/>
              <w:rPr>
                <w:b/>
                <w:bCs/>
                <w:sz w:val="18"/>
                <w:szCs w:val="18"/>
              </w:rPr>
            </w:pPr>
            <w:r>
              <w:rPr>
                <w:b/>
                <w:bCs/>
                <w:kern w:val="0"/>
                <w:sz w:val="18"/>
                <w:szCs w:val="18"/>
                <w:lang w:bidi="ar"/>
              </w:rPr>
              <w:t>CODcr</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FF6166E">
            <w:pPr>
              <w:widowControl/>
              <w:jc w:val="center"/>
              <w:textAlignment w:val="center"/>
              <w:rPr>
                <w:b/>
                <w:bCs/>
                <w:sz w:val="18"/>
                <w:szCs w:val="18"/>
              </w:rPr>
            </w:pPr>
            <w:r>
              <w:rPr>
                <w:b/>
                <w:bCs/>
                <w:kern w:val="0"/>
                <w:sz w:val="18"/>
                <w:szCs w:val="18"/>
                <w:lang w:bidi="ar"/>
              </w:rPr>
              <w:t>BOD</w:t>
            </w:r>
            <w:r>
              <w:rPr>
                <w:b/>
                <w:bCs/>
                <w:kern w:val="0"/>
                <w:sz w:val="18"/>
                <w:szCs w:val="18"/>
                <w:vertAlign w:val="subscript"/>
                <w:lang w:bidi="ar"/>
              </w:rPr>
              <w:t>5</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95259B5">
            <w:pPr>
              <w:widowControl/>
              <w:jc w:val="center"/>
              <w:textAlignment w:val="center"/>
              <w:rPr>
                <w:b/>
                <w:bCs/>
                <w:sz w:val="18"/>
                <w:szCs w:val="18"/>
              </w:rPr>
            </w:pPr>
            <w:r>
              <w:rPr>
                <w:b/>
                <w:bCs/>
                <w:kern w:val="0"/>
                <w:sz w:val="18"/>
                <w:szCs w:val="18"/>
                <w:lang w:bidi="ar"/>
              </w:rPr>
              <w:t>SS</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B562B4C">
            <w:pPr>
              <w:widowControl/>
              <w:jc w:val="center"/>
              <w:textAlignment w:val="center"/>
              <w:rPr>
                <w:b/>
                <w:bCs/>
                <w:sz w:val="18"/>
                <w:szCs w:val="18"/>
              </w:rPr>
            </w:pPr>
            <w:r>
              <w:rPr>
                <w:b/>
                <w:bCs/>
                <w:kern w:val="0"/>
                <w:sz w:val="18"/>
                <w:szCs w:val="18"/>
                <w:lang w:bidi="ar"/>
              </w:rPr>
              <w:t>NH</w:t>
            </w:r>
            <w:r>
              <w:rPr>
                <w:b/>
                <w:bCs/>
                <w:kern w:val="0"/>
                <w:sz w:val="18"/>
                <w:szCs w:val="18"/>
                <w:vertAlign w:val="subscript"/>
                <w:lang w:bidi="ar"/>
              </w:rPr>
              <w:t>3</w:t>
            </w:r>
            <w:r>
              <w:rPr>
                <w:b/>
                <w:bCs/>
                <w:kern w:val="0"/>
                <w:sz w:val="18"/>
                <w:szCs w:val="18"/>
                <w:lang w:bidi="ar"/>
              </w:rPr>
              <w:t>-N</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5A97383">
            <w:pPr>
              <w:widowControl/>
              <w:jc w:val="center"/>
              <w:textAlignment w:val="center"/>
              <w:rPr>
                <w:b/>
                <w:bCs/>
                <w:sz w:val="18"/>
                <w:szCs w:val="18"/>
              </w:rPr>
            </w:pPr>
            <w:r>
              <w:rPr>
                <w:b/>
                <w:bCs/>
                <w:kern w:val="0"/>
                <w:sz w:val="18"/>
                <w:szCs w:val="18"/>
                <w:lang w:bidi="ar"/>
              </w:rPr>
              <w:t>TN</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149A80D0">
            <w:pPr>
              <w:widowControl/>
              <w:jc w:val="center"/>
              <w:textAlignment w:val="center"/>
              <w:rPr>
                <w:b/>
                <w:bCs/>
                <w:sz w:val="18"/>
                <w:szCs w:val="18"/>
              </w:rPr>
            </w:pPr>
            <w:r>
              <w:rPr>
                <w:b/>
                <w:bCs/>
                <w:kern w:val="0"/>
                <w:sz w:val="18"/>
                <w:szCs w:val="18"/>
                <w:lang w:bidi="ar"/>
              </w:rPr>
              <w:t>TP</w:t>
            </w:r>
          </w:p>
        </w:tc>
      </w:tr>
      <w:tr w14:paraId="397EA85A">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34AB7E7E">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05499BF0">
            <w:pPr>
              <w:widowControl/>
              <w:jc w:val="center"/>
              <w:textAlignment w:val="center"/>
              <w:rPr>
                <w:sz w:val="18"/>
                <w:szCs w:val="18"/>
              </w:rPr>
            </w:pPr>
            <w:r>
              <w:rPr>
                <w:kern w:val="0"/>
                <w:sz w:val="18"/>
                <w:szCs w:val="18"/>
                <w:lang w:bidi="ar"/>
              </w:rPr>
              <w:t>产生浓度（mg/L）</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69C03E55">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13548B41">
            <w:pPr>
              <w:widowControl/>
              <w:jc w:val="center"/>
              <w:textAlignment w:val="center"/>
              <w:rPr>
                <w:sz w:val="18"/>
                <w:szCs w:val="18"/>
              </w:rPr>
            </w:pPr>
            <w:r>
              <w:rPr>
                <w:kern w:val="0"/>
                <w:sz w:val="18"/>
                <w:szCs w:val="18"/>
                <w:lang w:bidi="ar"/>
              </w:rPr>
              <w:t>2640</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43F4F9EC">
            <w:pPr>
              <w:widowControl/>
              <w:jc w:val="center"/>
              <w:textAlignment w:val="center"/>
              <w:rPr>
                <w:sz w:val="18"/>
                <w:szCs w:val="18"/>
              </w:rPr>
            </w:pPr>
            <w:r>
              <w:rPr>
                <w:kern w:val="0"/>
                <w:sz w:val="18"/>
                <w:szCs w:val="18"/>
                <w:lang w:bidi="ar"/>
              </w:rPr>
              <w:t>1500</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C1D3DFB">
            <w:pPr>
              <w:widowControl/>
              <w:jc w:val="center"/>
              <w:textAlignment w:val="center"/>
              <w:rPr>
                <w:sz w:val="18"/>
                <w:szCs w:val="18"/>
              </w:rPr>
            </w:pPr>
            <w:r>
              <w:rPr>
                <w:kern w:val="0"/>
                <w:sz w:val="18"/>
                <w:szCs w:val="18"/>
                <w:lang w:bidi="ar"/>
              </w:rPr>
              <w:t>3300</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D6EB991">
            <w:pPr>
              <w:widowControl/>
              <w:jc w:val="center"/>
              <w:textAlignment w:val="center"/>
              <w:rPr>
                <w:sz w:val="18"/>
                <w:szCs w:val="18"/>
              </w:rPr>
            </w:pPr>
            <w:r>
              <w:rPr>
                <w:kern w:val="0"/>
                <w:sz w:val="18"/>
                <w:szCs w:val="18"/>
                <w:lang w:bidi="ar"/>
              </w:rPr>
              <w:t>261</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2494130">
            <w:pPr>
              <w:widowControl/>
              <w:jc w:val="center"/>
              <w:textAlignment w:val="center"/>
              <w:rPr>
                <w:sz w:val="18"/>
                <w:szCs w:val="18"/>
              </w:rPr>
            </w:pPr>
            <w:r>
              <w:rPr>
                <w:kern w:val="0"/>
                <w:sz w:val="18"/>
                <w:szCs w:val="18"/>
                <w:lang w:bidi="ar"/>
              </w:rPr>
              <w:t>370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191B40E">
            <w:pPr>
              <w:widowControl/>
              <w:jc w:val="center"/>
              <w:textAlignment w:val="center"/>
              <w:rPr>
                <w:sz w:val="18"/>
                <w:szCs w:val="18"/>
              </w:rPr>
            </w:pPr>
            <w:r>
              <w:rPr>
                <w:kern w:val="0"/>
                <w:sz w:val="18"/>
                <w:szCs w:val="18"/>
                <w:lang w:bidi="ar"/>
              </w:rPr>
              <w:t>127</w:t>
            </w:r>
          </w:p>
        </w:tc>
      </w:tr>
      <w:tr w14:paraId="58632DA8">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11446934">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16B569DB">
            <w:pPr>
              <w:widowControl/>
              <w:jc w:val="center"/>
              <w:textAlignment w:val="center"/>
              <w:rPr>
                <w:sz w:val="18"/>
                <w:szCs w:val="18"/>
              </w:rPr>
            </w:pPr>
            <w:r>
              <w:rPr>
                <w:kern w:val="0"/>
                <w:sz w:val="18"/>
                <w:szCs w:val="18"/>
                <w:lang w:bidi="ar"/>
              </w:rPr>
              <w:t>产生量（t/a）</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2544A66F">
            <w:pPr>
              <w:widowControl/>
              <w:jc w:val="center"/>
              <w:textAlignment w:val="center"/>
              <w:rPr>
                <w:sz w:val="18"/>
                <w:szCs w:val="18"/>
              </w:rPr>
            </w:pPr>
            <w:r>
              <w:rPr>
                <w:kern w:val="0"/>
                <w:sz w:val="18"/>
                <w:szCs w:val="18"/>
                <w:lang w:bidi="ar"/>
              </w:rPr>
              <w:t>1033.52</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3D3EC17F">
            <w:pPr>
              <w:widowControl/>
              <w:jc w:val="center"/>
              <w:textAlignment w:val="center"/>
              <w:rPr>
                <w:sz w:val="18"/>
                <w:szCs w:val="18"/>
              </w:rPr>
            </w:pPr>
            <w:r>
              <w:rPr>
                <w:kern w:val="0"/>
                <w:sz w:val="18"/>
                <w:szCs w:val="18"/>
                <w:lang w:bidi="ar"/>
              </w:rPr>
              <w:t xml:space="preserve">2.7285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F279BE5">
            <w:pPr>
              <w:widowControl/>
              <w:jc w:val="center"/>
              <w:textAlignment w:val="center"/>
              <w:rPr>
                <w:sz w:val="18"/>
                <w:szCs w:val="18"/>
              </w:rPr>
            </w:pPr>
            <w:r>
              <w:rPr>
                <w:kern w:val="0"/>
                <w:sz w:val="18"/>
                <w:szCs w:val="18"/>
                <w:lang w:bidi="ar"/>
              </w:rPr>
              <w:t xml:space="preserve">1.5503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16457CA1">
            <w:pPr>
              <w:widowControl/>
              <w:jc w:val="center"/>
              <w:textAlignment w:val="center"/>
              <w:rPr>
                <w:sz w:val="18"/>
                <w:szCs w:val="18"/>
              </w:rPr>
            </w:pPr>
            <w:r>
              <w:rPr>
                <w:kern w:val="0"/>
                <w:sz w:val="18"/>
                <w:szCs w:val="18"/>
                <w:lang w:bidi="ar"/>
              </w:rPr>
              <w:t xml:space="preserve">3.4106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4BA14F5">
            <w:pPr>
              <w:widowControl/>
              <w:jc w:val="center"/>
              <w:textAlignment w:val="center"/>
              <w:rPr>
                <w:sz w:val="18"/>
                <w:szCs w:val="18"/>
              </w:rPr>
            </w:pPr>
            <w:r>
              <w:rPr>
                <w:kern w:val="0"/>
                <w:sz w:val="18"/>
                <w:szCs w:val="18"/>
                <w:lang w:bidi="ar"/>
              </w:rPr>
              <w:t xml:space="preserve">0.2697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50AD9E3E">
            <w:pPr>
              <w:widowControl/>
              <w:jc w:val="center"/>
              <w:textAlignment w:val="center"/>
              <w:rPr>
                <w:sz w:val="18"/>
                <w:szCs w:val="18"/>
              </w:rPr>
            </w:pPr>
            <w:r>
              <w:rPr>
                <w:kern w:val="0"/>
                <w:sz w:val="18"/>
                <w:szCs w:val="18"/>
                <w:lang w:bidi="ar"/>
              </w:rPr>
              <w:t xml:space="preserve">0.3824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1C679E2F">
            <w:pPr>
              <w:widowControl/>
              <w:jc w:val="center"/>
              <w:textAlignment w:val="center"/>
              <w:rPr>
                <w:sz w:val="18"/>
                <w:szCs w:val="18"/>
              </w:rPr>
            </w:pPr>
            <w:r>
              <w:rPr>
                <w:kern w:val="0"/>
                <w:sz w:val="18"/>
                <w:szCs w:val="18"/>
                <w:lang w:bidi="ar"/>
              </w:rPr>
              <w:t xml:space="preserve">0.1313 </w:t>
            </w:r>
          </w:p>
        </w:tc>
      </w:tr>
      <w:tr w14:paraId="59F2B300">
        <w:tblPrEx>
          <w:tblCellMar>
            <w:top w:w="0" w:type="dxa"/>
            <w:left w:w="108" w:type="dxa"/>
            <w:bottom w:w="0" w:type="dxa"/>
            <w:right w:w="108" w:type="dxa"/>
          </w:tblCellMar>
        </w:tblPrEx>
        <w:trPr>
          <w:trHeight w:val="330"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1733456C">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2C66AA22">
            <w:pPr>
              <w:widowControl/>
              <w:jc w:val="center"/>
              <w:textAlignment w:val="center"/>
              <w:rPr>
                <w:sz w:val="18"/>
                <w:szCs w:val="18"/>
              </w:rPr>
            </w:pPr>
            <w:r>
              <w:rPr>
                <w:kern w:val="0"/>
                <w:sz w:val="18"/>
                <w:szCs w:val="18"/>
                <w:lang w:bidi="ar"/>
              </w:rPr>
              <w:t>处理后浓度（mg/L）</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6EC42682">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184B344">
            <w:pPr>
              <w:widowControl/>
              <w:jc w:val="center"/>
              <w:textAlignment w:val="center"/>
              <w:rPr>
                <w:sz w:val="18"/>
                <w:szCs w:val="18"/>
              </w:rPr>
            </w:pPr>
            <w:r>
              <w:rPr>
                <w:kern w:val="0"/>
                <w:sz w:val="18"/>
                <w:szCs w:val="18"/>
                <w:lang w:bidi="ar"/>
              </w:rPr>
              <w:t>161.7</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7E827218">
            <w:pPr>
              <w:widowControl/>
              <w:jc w:val="center"/>
              <w:textAlignment w:val="center"/>
              <w:rPr>
                <w:sz w:val="18"/>
                <w:szCs w:val="18"/>
              </w:rPr>
            </w:pPr>
            <w:r>
              <w:rPr>
                <w:kern w:val="0"/>
                <w:sz w:val="18"/>
                <w:szCs w:val="18"/>
                <w:lang w:bidi="ar"/>
              </w:rPr>
              <w:t>84</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F68583D">
            <w:pPr>
              <w:widowControl/>
              <w:jc w:val="center"/>
              <w:textAlignment w:val="center"/>
              <w:rPr>
                <w:sz w:val="18"/>
                <w:szCs w:val="18"/>
              </w:rPr>
            </w:pPr>
            <w:r>
              <w:rPr>
                <w:kern w:val="0"/>
                <w:sz w:val="18"/>
                <w:szCs w:val="18"/>
                <w:lang w:bidi="ar"/>
              </w:rPr>
              <w:t>118.8</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ED75143">
            <w:pPr>
              <w:widowControl/>
              <w:jc w:val="center"/>
              <w:textAlignment w:val="center"/>
              <w:rPr>
                <w:sz w:val="18"/>
                <w:szCs w:val="18"/>
              </w:rPr>
            </w:pPr>
            <w:r>
              <w:rPr>
                <w:kern w:val="0"/>
                <w:sz w:val="18"/>
                <w:szCs w:val="18"/>
                <w:lang w:bidi="ar"/>
              </w:rPr>
              <w:t>169.13</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DC5F890">
            <w:pPr>
              <w:widowControl/>
              <w:jc w:val="center"/>
              <w:textAlignment w:val="center"/>
              <w:rPr>
                <w:sz w:val="18"/>
                <w:szCs w:val="18"/>
              </w:rPr>
            </w:pPr>
            <w:r>
              <w:rPr>
                <w:kern w:val="0"/>
                <w:sz w:val="18"/>
                <w:szCs w:val="18"/>
                <w:lang w:bidi="ar"/>
              </w:rPr>
              <w:t>263.06</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E1D4B50">
            <w:pPr>
              <w:widowControl/>
              <w:jc w:val="center"/>
              <w:textAlignment w:val="center"/>
              <w:rPr>
                <w:sz w:val="18"/>
                <w:szCs w:val="18"/>
              </w:rPr>
            </w:pPr>
            <w:r>
              <w:rPr>
                <w:kern w:val="0"/>
                <w:sz w:val="18"/>
                <w:szCs w:val="18"/>
                <w:lang w:bidi="ar"/>
              </w:rPr>
              <w:t>22.75</w:t>
            </w:r>
          </w:p>
        </w:tc>
      </w:tr>
      <w:tr w14:paraId="0E351166">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7735775A">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4EC3400F">
            <w:pPr>
              <w:widowControl/>
              <w:jc w:val="center"/>
              <w:textAlignment w:val="center"/>
              <w:rPr>
                <w:sz w:val="18"/>
                <w:szCs w:val="18"/>
              </w:rPr>
            </w:pPr>
            <w:r>
              <w:rPr>
                <w:kern w:val="0"/>
                <w:sz w:val="18"/>
                <w:szCs w:val="18"/>
                <w:lang w:bidi="ar"/>
              </w:rPr>
              <w:t>处理后量（t/a）</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C92FBB4">
            <w:pPr>
              <w:widowControl/>
              <w:jc w:val="center"/>
              <w:textAlignment w:val="center"/>
              <w:rPr>
                <w:sz w:val="18"/>
                <w:szCs w:val="18"/>
              </w:rPr>
            </w:pPr>
            <w:r>
              <w:rPr>
                <w:kern w:val="0"/>
                <w:sz w:val="18"/>
                <w:szCs w:val="18"/>
                <w:lang w:bidi="ar"/>
              </w:rPr>
              <w:t>1033.52</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319E2E42">
            <w:pPr>
              <w:widowControl/>
              <w:jc w:val="center"/>
              <w:textAlignment w:val="center"/>
              <w:rPr>
                <w:sz w:val="18"/>
                <w:szCs w:val="18"/>
              </w:rPr>
            </w:pPr>
            <w:r>
              <w:rPr>
                <w:kern w:val="0"/>
                <w:sz w:val="18"/>
                <w:szCs w:val="18"/>
                <w:lang w:bidi="ar"/>
              </w:rPr>
              <w:t xml:space="preserve">0.1671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4F3D8802">
            <w:pPr>
              <w:widowControl/>
              <w:jc w:val="center"/>
              <w:textAlignment w:val="center"/>
              <w:rPr>
                <w:sz w:val="18"/>
                <w:szCs w:val="18"/>
              </w:rPr>
            </w:pPr>
            <w:r>
              <w:rPr>
                <w:kern w:val="0"/>
                <w:sz w:val="18"/>
                <w:szCs w:val="18"/>
                <w:lang w:bidi="ar"/>
              </w:rPr>
              <w:t xml:space="preserve">0.0868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3397C4D">
            <w:pPr>
              <w:widowControl/>
              <w:jc w:val="center"/>
              <w:textAlignment w:val="center"/>
              <w:rPr>
                <w:sz w:val="18"/>
                <w:szCs w:val="18"/>
              </w:rPr>
            </w:pPr>
            <w:r>
              <w:rPr>
                <w:kern w:val="0"/>
                <w:sz w:val="18"/>
                <w:szCs w:val="18"/>
                <w:lang w:bidi="ar"/>
              </w:rPr>
              <w:t xml:space="preserve">0.1228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1F21341">
            <w:pPr>
              <w:widowControl/>
              <w:jc w:val="center"/>
              <w:textAlignment w:val="center"/>
              <w:rPr>
                <w:sz w:val="18"/>
                <w:szCs w:val="18"/>
              </w:rPr>
            </w:pPr>
            <w:r>
              <w:rPr>
                <w:kern w:val="0"/>
                <w:sz w:val="18"/>
                <w:szCs w:val="18"/>
                <w:lang w:bidi="ar"/>
              </w:rPr>
              <w:t xml:space="preserve">0.1748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C0872EC">
            <w:pPr>
              <w:widowControl/>
              <w:jc w:val="center"/>
              <w:textAlignment w:val="center"/>
              <w:rPr>
                <w:sz w:val="18"/>
                <w:szCs w:val="18"/>
              </w:rPr>
            </w:pPr>
            <w:r>
              <w:rPr>
                <w:kern w:val="0"/>
                <w:sz w:val="18"/>
                <w:szCs w:val="18"/>
                <w:lang w:bidi="ar"/>
              </w:rPr>
              <w:t xml:space="preserve">0.2719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4FBD154">
            <w:pPr>
              <w:widowControl/>
              <w:jc w:val="center"/>
              <w:textAlignment w:val="center"/>
              <w:rPr>
                <w:sz w:val="18"/>
                <w:szCs w:val="18"/>
              </w:rPr>
            </w:pPr>
            <w:r>
              <w:rPr>
                <w:kern w:val="0"/>
                <w:sz w:val="18"/>
                <w:szCs w:val="18"/>
                <w:lang w:bidi="ar"/>
              </w:rPr>
              <w:t xml:space="preserve">0.0235 </w:t>
            </w:r>
          </w:p>
        </w:tc>
      </w:tr>
      <w:tr w14:paraId="1A7ADB3A">
        <w:tblPrEx>
          <w:tblCellMar>
            <w:top w:w="0" w:type="dxa"/>
            <w:left w:w="108" w:type="dxa"/>
            <w:bottom w:w="0" w:type="dxa"/>
            <w:right w:w="108" w:type="dxa"/>
          </w:tblCellMar>
        </w:tblPrEx>
        <w:trPr>
          <w:trHeight w:val="691" w:hRule="atLeast"/>
        </w:trPr>
        <w:tc>
          <w:tcPr>
            <w:tcW w:w="419" w:type="pct"/>
            <w:vMerge w:val="restart"/>
            <w:tcBorders>
              <w:top w:val="single" w:color="000000" w:sz="4" w:space="0"/>
              <w:left w:val="single" w:color="000000" w:sz="4" w:space="0"/>
              <w:bottom w:val="single" w:color="000000" w:sz="4" w:space="0"/>
              <w:right w:val="single" w:color="000000" w:sz="4" w:space="0"/>
            </w:tcBorders>
            <w:noWrap/>
            <w:vAlign w:val="center"/>
          </w:tcPr>
          <w:p w14:paraId="25CF3B07">
            <w:pPr>
              <w:widowControl/>
              <w:jc w:val="center"/>
              <w:textAlignment w:val="center"/>
              <w:rPr>
                <w:sz w:val="18"/>
                <w:szCs w:val="18"/>
              </w:rPr>
            </w:pPr>
            <w:r>
              <w:rPr>
                <w:kern w:val="0"/>
                <w:sz w:val="18"/>
                <w:szCs w:val="18"/>
                <w:lang w:bidi="ar"/>
              </w:rPr>
              <w:t>4号地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68216A98">
            <w:pPr>
              <w:snapToGrid w:val="0"/>
              <w:jc w:val="center"/>
              <w:rPr>
                <w:b/>
                <w:bCs/>
                <w:sz w:val="18"/>
                <w:szCs w:val="18"/>
              </w:rPr>
            </w:pPr>
          </w:p>
          <w:p w14:paraId="5B2AE393">
            <w:pPr>
              <w:snapToGrid w:val="0"/>
              <w:jc w:val="center"/>
              <w:rPr>
                <w:b/>
                <w:bCs/>
                <w:sz w:val="18"/>
                <w:szCs w:val="18"/>
              </w:rPr>
            </w:pPr>
            <w:r>
              <w:rPr>
                <w:b/>
                <w:bCs/>
                <w:sz w:val="18"/>
                <w:szCs w:val="18"/>
              </w:rPr>
              <w:t>项目</w:t>
            </w:r>
          </w:p>
          <w:p w14:paraId="27466908">
            <w:pPr>
              <w:jc w:val="center"/>
              <w:rPr>
                <w:b/>
                <w:bCs/>
                <w:sz w:val="18"/>
                <w:szCs w:val="18"/>
              </w:rPr>
            </w:pPr>
            <w:r>
              <w:rPr>
                <w:b/>
                <w:bCs/>
                <w:sz w:val="18"/>
                <w:szCs w:val="18"/>
              </w:rPr>
              <w:t>污染物</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254EE0DF">
            <w:pPr>
              <w:widowControl/>
              <w:jc w:val="center"/>
              <w:textAlignment w:val="center"/>
              <w:rPr>
                <w:b/>
                <w:bCs/>
                <w:sz w:val="18"/>
                <w:szCs w:val="18"/>
              </w:rPr>
            </w:pPr>
            <w:r>
              <w:rPr>
                <w:b/>
                <w:bCs/>
                <w:kern w:val="0"/>
                <w:sz w:val="18"/>
                <w:szCs w:val="18"/>
                <w:lang w:bidi="ar"/>
              </w:rPr>
              <w:t>废水量</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FC5A192">
            <w:pPr>
              <w:widowControl/>
              <w:jc w:val="center"/>
              <w:textAlignment w:val="center"/>
              <w:rPr>
                <w:b/>
                <w:bCs/>
                <w:sz w:val="18"/>
                <w:szCs w:val="18"/>
              </w:rPr>
            </w:pPr>
            <w:r>
              <w:rPr>
                <w:b/>
                <w:bCs/>
                <w:kern w:val="0"/>
                <w:sz w:val="18"/>
                <w:szCs w:val="18"/>
                <w:lang w:bidi="ar"/>
              </w:rPr>
              <w:t>CODcr</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C717EFA">
            <w:pPr>
              <w:widowControl/>
              <w:jc w:val="center"/>
              <w:textAlignment w:val="center"/>
              <w:rPr>
                <w:b/>
                <w:bCs/>
                <w:sz w:val="18"/>
                <w:szCs w:val="18"/>
              </w:rPr>
            </w:pPr>
            <w:r>
              <w:rPr>
                <w:b/>
                <w:bCs/>
                <w:kern w:val="0"/>
                <w:sz w:val="18"/>
                <w:szCs w:val="18"/>
                <w:lang w:bidi="ar"/>
              </w:rPr>
              <w:t>BOD</w:t>
            </w:r>
            <w:r>
              <w:rPr>
                <w:b/>
                <w:bCs/>
                <w:kern w:val="0"/>
                <w:sz w:val="18"/>
                <w:szCs w:val="18"/>
                <w:vertAlign w:val="subscript"/>
                <w:lang w:bidi="ar"/>
              </w:rPr>
              <w:t>5</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7140C26">
            <w:pPr>
              <w:widowControl/>
              <w:jc w:val="center"/>
              <w:textAlignment w:val="center"/>
              <w:rPr>
                <w:b/>
                <w:bCs/>
                <w:sz w:val="18"/>
                <w:szCs w:val="18"/>
              </w:rPr>
            </w:pPr>
            <w:r>
              <w:rPr>
                <w:b/>
                <w:bCs/>
                <w:kern w:val="0"/>
                <w:sz w:val="18"/>
                <w:szCs w:val="18"/>
                <w:lang w:bidi="ar"/>
              </w:rPr>
              <w:t>SS</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E68EE46">
            <w:pPr>
              <w:widowControl/>
              <w:jc w:val="center"/>
              <w:textAlignment w:val="center"/>
              <w:rPr>
                <w:b/>
                <w:bCs/>
                <w:sz w:val="18"/>
                <w:szCs w:val="18"/>
              </w:rPr>
            </w:pPr>
            <w:r>
              <w:rPr>
                <w:b/>
                <w:bCs/>
                <w:kern w:val="0"/>
                <w:sz w:val="18"/>
                <w:szCs w:val="18"/>
                <w:lang w:bidi="ar"/>
              </w:rPr>
              <w:t>NH</w:t>
            </w:r>
            <w:r>
              <w:rPr>
                <w:b/>
                <w:bCs/>
                <w:kern w:val="0"/>
                <w:sz w:val="18"/>
                <w:szCs w:val="18"/>
                <w:vertAlign w:val="subscript"/>
                <w:lang w:bidi="ar"/>
              </w:rPr>
              <w:t>3</w:t>
            </w:r>
            <w:r>
              <w:rPr>
                <w:b/>
                <w:bCs/>
                <w:kern w:val="0"/>
                <w:sz w:val="18"/>
                <w:szCs w:val="18"/>
                <w:lang w:bidi="ar"/>
              </w:rPr>
              <w:t>-N</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FC39ECA">
            <w:pPr>
              <w:widowControl/>
              <w:jc w:val="center"/>
              <w:textAlignment w:val="center"/>
              <w:rPr>
                <w:b/>
                <w:bCs/>
                <w:sz w:val="18"/>
                <w:szCs w:val="18"/>
              </w:rPr>
            </w:pPr>
            <w:r>
              <w:rPr>
                <w:b/>
                <w:bCs/>
                <w:kern w:val="0"/>
                <w:sz w:val="18"/>
                <w:szCs w:val="18"/>
                <w:lang w:bidi="ar"/>
              </w:rPr>
              <w:t>TN</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58A73F9">
            <w:pPr>
              <w:widowControl/>
              <w:jc w:val="center"/>
              <w:textAlignment w:val="center"/>
              <w:rPr>
                <w:b/>
                <w:bCs/>
                <w:sz w:val="18"/>
                <w:szCs w:val="18"/>
              </w:rPr>
            </w:pPr>
            <w:r>
              <w:rPr>
                <w:b/>
                <w:bCs/>
                <w:kern w:val="0"/>
                <w:sz w:val="18"/>
                <w:szCs w:val="18"/>
                <w:lang w:bidi="ar"/>
              </w:rPr>
              <w:t>TP</w:t>
            </w:r>
          </w:p>
        </w:tc>
      </w:tr>
      <w:tr w14:paraId="708773CE">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4CE3B980">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3A0F9E3C">
            <w:pPr>
              <w:widowControl/>
              <w:jc w:val="center"/>
              <w:textAlignment w:val="center"/>
              <w:rPr>
                <w:sz w:val="18"/>
                <w:szCs w:val="18"/>
              </w:rPr>
            </w:pPr>
            <w:r>
              <w:rPr>
                <w:kern w:val="0"/>
                <w:sz w:val="18"/>
                <w:szCs w:val="18"/>
                <w:lang w:bidi="ar"/>
              </w:rPr>
              <w:t>产生浓度（mg/L）</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195E1B1A">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411AD38">
            <w:pPr>
              <w:widowControl/>
              <w:jc w:val="center"/>
              <w:textAlignment w:val="center"/>
              <w:rPr>
                <w:sz w:val="18"/>
                <w:szCs w:val="18"/>
              </w:rPr>
            </w:pPr>
            <w:r>
              <w:rPr>
                <w:kern w:val="0"/>
                <w:sz w:val="18"/>
                <w:szCs w:val="18"/>
                <w:lang w:bidi="ar"/>
              </w:rPr>
              <w:t>2640</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43452A4">
            <w:pPr>
              <w:widowControl/>
              <w:jc w:val="center"/>
              <w:textAlignment w:val="center"/>
              <w:rPr>
                <w:sz w:val="18"/>
                <w:szCs w:val="18"/>
              </w:rPr>
            </w:pPr>
            <w:r>
              <w:rPr>
                <w:kern w:val="0"/>
                <w:sz w:val="18"/>
                <w:szCs w:val="18"/>
                <w:lang w:bidi="ar"/>
              </w:rPr>
              <w:t>1500</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0E8ECEB">
            <w:pPr>
              <w:widowControl/>
              <w:jc w:val="center"/>
              <w:textAlignment w:val="center"/>
              <w:rPr>
                <w:sz w:val="18"/>
                <w:szCs w:val="18"/>
              </w:rPr>
            </w:pPr>
            <w:r>
              <w:rPr>
                <w:kern w:val="0"/>
                <w:sz w:val="18"/>
                <w:szCs w:val="18"/>
                <w:lang w:bidi="ar"/>
              </w:rPr>
              <w:t>3300</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C2A6601">
            <w:pPr>
              <w:widowControl/>
              <w:jc w:val="center"/>
              <w:textAlignment w:val="center"/>
              <w:rPr>
                <w:sz w:val="18"/>
                <w:szCs w:val="18"/>
              </w:rPr>
            </w:pPr>
            <w:r>
              <w:rPr>
                <w:kern w:val="0"/>
                <w:sz w:val="18"/>
                <w:szCs w:val="18"/>
                <w:lang w:bidi="ar"/>
              </w:rPr>
              <w:t>261</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2C75EBF6">
            <w:pPr>
              <w:widowControl/>
              <w:jc w:val="center"/>
              <w:textAlignment w:val="center"/>
              <w:rPr>
                <w:sz w:val="18"/>
                <w:szCs w:val="18"/>
              </w:rPr>
            </w:pPr>
            <w:r>
              <w:rPr>
                <w:kern w:val="0"/>
                <w:sz w:val="18"/>
                <w:szCs w:val="18"/>
                <w:lang w:bidi="ar"/>
              </w:rPr>
              <w:t>370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4ACC15F">
            <w:pPr>
              <w:widowControl/>
              <w:jc w:val="center"/>
              <w:textAlignment w:val="center"/>
              <w:rPr>
                <w:sz w:val="18"/>
                <w:szCs w:val="18"/>
              </w:rPr>
            </w:pPr>
            <w:r>
              <w:rPr>
                <w:kern w:val="0"/>
                <w:sz w:val="18"/>
                <w:szCs w:val="18"/>
                <w:lang w:bidi="ar"/>
              </w:rPr>
              <w:t>127</w:t>
            </w:r>
          </w:p>
        </w:tc>
      </w:tr>
      <w:tr w14:paraId="45DB96D5">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1FE1FC1A">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34219E86">
            <w:pPr>
              <w:widowControl/>
              <w:jc w:val="center"/>
              <w:textAlignment w:val="center"/>
              <w:rPr>
                <w:sz w:val="18"/>
                <w:szCs w:val="18"/>
              </w:rPr>
            </w:pPr>
            <w:r>
              <w:rPr>
                <w:kern w:val="0"/>
                <w:sz w:val="18"/>
                <w:szCs w:val="18"/>
                <w:lang w:bidi="ar"/>
              </w:rPr>
              <w:t>产生量（t/a）</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713A75EC">
            <w:pPr>
              <w:widowControl/>
              <w:jc w:val="center"/>
              <w:textAlignment w:val="center"/>
              <w:rPr>
                <w:sz w:val="18"/>
                <w:szCs w:val="18"/>
              </w:rPr>
            </w:pPr>
            <w:r>
              <w:rPr>
                <w:kern w:val="0"/>
                <w:sz w:val="18"/>
                <w:szCs w:val="18"/>
                <w:lang w:bidi="ar"/>
              </w:rPr>
              <w:t>2690.11</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BAF9A15">
            <w:pPr>
              <w:widowControl/>
              <w:jc w:val="center"/>
              <w:textAlignment w:val="center"/>
              <w:rPr>
                <w:sz w:val="18"/>
                <w:szCs w:val="18"/>
              </w:rPr>
            </w:pPr>
            <w:r>
              <w:rPr>
                <w:kern w:val="0"/>
                <w:sz w:val="18"/>
                <w:szCs w:val="18"/>
                <w:lang w:bidi="ar"/>
              </w:rPr>
              <w:t xml:space="preserve">7.1019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B344B80">
            <w:pPr>
              <w:widowControl/>
              <w:jc w:val="center"/>
              <w:textAlignment w:val="center"/>
              <w:rPr>
                <w:sz w:val="18"/>
                <w:szCs w:val="18"/>
              </w:rPr>
            </w:pPr>
            <w:r>
              <w:rPr>
                <w:kern w:val="0"/>
                <w:sz w:val="18"/>
                <w:szCs w:val="18"/>
                <w:lang w:bidi="ar"/>
              </w:rPr>
              <w:t xml:space="preserve">4.0352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3AF1D952">
            <w:pPr>
              <w:widowControl/>
              <w:jc w:val="center"/>
              <w:textAlignment w:val="center"/>
              <w:rPr>
                <w:sz w:val="18"/>
                <w:szCs w:val="18"/>
              </w:rPr>
            </w:pPr>
            <w:r>
              <w:rPr>
                <w:kern w:val="0"/>
                <w:sz w:val="18"/>
                <w:szCs w:val="18"/>
                <w:lang w:bidi="ar"/>
              </w:rPr>
              <w:t xml:space="preserve">8.8774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481A35E">
            <w:pPr>
              <w:widowControl/>
              <w:jc w:val="center"/>
              <w:textAlignment w:val="center"/>
              <w:rPr>
                <w:sz w:val="18"/>
                <w:szCs w:val="18"/>
              </w:rPr>
            </w:pPr>
            <w:r>
              <w:rPr>
                <w:kern w:val="0"/>
                <w:sz w:val="18"/>
                <w:szCs w:val="18"/>
                <w:lang w:bidi="ar"/>
              </w:rPr>
              <w:t xml:space="preserve">0.7021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500A5AF0">
            <w:pPr>
              <w:widowControl/>
              <w:jc w:val="center"/>
              <w:textAlignment w:val="center"/>
              <w:rPr>
                <w:sz w:val="18"/>
                <w:szCs w:val="18"/>
              </w:rPr>
            </w:pPr>
            <w:r>
              <w:rPr>
                <w:kern w:val="0"/>
                <w:sz w:val="18"/>
                <w:szCs w:val="18"/>
                <w:lang w:bidi="ar"/>
              </w:rPr>
              <w:t xml:space="preserve">0.9953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6245ADB">
            <w:pPr>
              <w:widowControl/>
              <w:jc w:val="center"/>
              <w:textAlignment w:val="center"/>
              <w:rPr>
                <w:sz w:val="18"/>
                <w:szCs w:val="18"/>
              </w:rPr>
            </w:pPr>
            <w:r>
              <w:rPr>
                <w:kern w:val="0"/>
                <w:sz w:val="18"/>
                <w:szCs w:val="18"/>
                <w:lang w:bidi="ar"/>
              </w:rPr>
              <w:t xml:space="preserve">0.3416 </w:t>
            </w:r>
          </w:p>
        </w:tc>
      </w:tr>
      <w:tr w14:paraId="4578A067">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070BDFB7">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7985FC42">
            <w:pPr>
              <w:widowControl/>
              <w:jc w:val="center"/>
              <w:textAlignment w:val="center"/>
              <w:rPr>
                <w:sz w:val="18"/>
                <w:szCs w:val="18"/>
              </w:rPr>
            </w:pPr>
            <w:r>
              <w:rPr>
                <w:kern w:val="0"/>
                <w:sz w:val="18"/>
                <w:szCs w:val="18"/>
                <w:lang w:bidi="ar"/>
              </w:rPr>
              <w:t>处理后浓度（mg/L）</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28A69786">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C9B0256">
            <w:pPr>
              <w:widowControl/>
              <w:jc w:val="center"/>
              <w:textAlignment w:val="center"/>
              <w:rPr>
                <w:sz w:val="18"/>
                <w:szCs w:val="18"/>
              </w:rPr>
            </w:pPr>
            <w:r>
              <w:rPr>
                <w:kern w:val="0"/>
                <w:sz w:val="18"/>
                <w:szCs w:val="18"/>
                <w:lang w:bidi="ar"/>
              </w:rPr>
              <w:t>161.7</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9AED841">
            <w:pPr>
              <w:widowControl/>
              <w:jc w:val="center"/>
              <w:textAlignment w:val="center"/>
              <w:rPr>
                <w:sz w:val="18"/>
                <w:szCs w:val="18"/>
              </w:rPr>
            </w:pPr>
            <w:r>
              <w:rPr>
                <w:kern w:val="0"/>
                <w:sz w:val="18"/>
                <w:szCs w:val="18"/>
                <w:lang w:bidi="ar"/>
              </w:rPr>
              <w:t>84</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12ACF16">
            <w:pPr>
              <w:widowControl/>
              <w:jc w:val="center"/>
              <w:textAlignment w:val="center"/>
              <w:rPr>
                <w:sz w:val="18"/>
                <w:szCs w:val="18"/>
              </w:rPr>
            </w:pPr>
            <w:r>
              <w:rPr>
                <w:kern w:val="0"/>
                <w:sz w:val="18"/>
                <w:szCs w:val="18"/>
                <w:lang w:bidi="ar"/>
              </w:rPr>
              <w:t>118.8</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A3211A9">
            <w:pPr>
              <w:widowControl/>
              <w:jc w:val="center"/>
              <w:textAlignment w:val="center"/>
              <w:rPr>
                <w:sz w:val="18"/>
                <w:szCs w:val="18"/>
              </w:rPr>
            </w:pPr>
            <w:r>
              <w:rPr>
                <w:kern w:val="0"/>
                <w:sz w:val="18"/>
                <w:szCs w:val="18"/>
                <w:lang w:bidi="ar"/>
              </w:rPr>
              <w:t>169.13</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2D667FD0">
            <w:pPr>
              <w:widowControl/>
              <w:jc w:val="center"/>
              <w:textAlignment w:val="center"/>
              <w:rPr>
                <w:sz w:val="18"/>
                <w:szCs w:val="18"/>
              </w:rPr>
            </w:pPr>
            <w:r>
              <w:rPr>
                <w:kern w:val="0"/>
                <w:sz w:val="18"/>
                <w:szCs w:val="18"/>
                <w:lang w:bidi="ar"/>
              </w:rPr>
              <w:t>263.06</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5B77BE1">
            <w:pPr>
              <w:widowControl/>
              <w:jc w:val="center"/>
              <w:textAlignment w:val="center"/>
              <w:rPr>
                <w:sz w:val="18"/>
                <w:szCs w:val="18"/>
              </w:rPr>
            </w:pPr>
            <w:r>
              <w:rPr>
                <w:kern w:val="0"/>
                <w:sz w:val="18"/>
                <w:szCs w:val="18"/>
                <w:lang w:bidi="ar"/>
              </w:rPr>
              <w:t>22.75</w:t>
            </w:r>
          </w:p>
        </w:tc>
      </w:tr>
      <w:tr w14:paraId="7549E4BF">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27ACE087">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7FA9AC87">
            <w:pPr>
              <w:widowControl/>
              <w:jc w:val="center"/>
              <w:textAlignment w:val="center"/>
              <w:rPr>
                <w:sz w:val="18"/>
                <w:szCs w:val="18"/>
              </w:rPr>
            </w:pPr>
            <w:r>
              <w:rPr>
                <w:kern w:val="0"/>
                <w:sz w:val="18"/>
                <w:szCs w:val="18"/>
                <w:lang w:bidi="ar"/>
              </w:rPr>
              <w:t>处理后量（t/a）</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4811CD9">
            <w:pPr>
              <w:widowControl/>
              <w:jc w:val="center"/>
              <w:textAlignment w:val="center"/>
              <w:rPr>
                <w:sz w:val="18"/>
                <w:szCs w:val="18"/>
              </w:rPr>
            </w:pPr>
            <w:r>
              <w:rPr>
                <w:kern w:val="0"/>
                <w:sz w:val="18"/>
                <w:szCs w:val="18"/>
                <w:lang w:bidi="ar"/>
              </w:rPr>
              <w:t>2690.11</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0B6EB7F6">
            <w:pPr>
              <w:widowControl/>
              <w:jc w:val="center"/>
              <w:textAlignment w:val="center"/>
              <w:rPr>
                <w:sz w:val="18"/>
                <w:szCs w:val="18"/>
              </w:rPr>
            </w:pPr>
            <w:r>
              <w:rPr>
                <w:kern w:val="0"/>
                <w:sz w:val="18"/>
                <w:szCs w:val="18"/>
                <w:lang w:bidi="ar"/>
              </w:rPr>
              <w:t xml:space="preserve">0.4350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47F106A8">
            <w:pPr>
              <w:widowControl/>
              <w:jc w:val="center"/>
              <w:textAlignment w:val="center"/>
              <w:rPr>
                <w:sz w:val="18"/>
                <w:szCs w:val="18"/>
              </w:rPr>
            </w:pPr>
            <w:r>
              <w:rPr>
                <w:kern w:val="0"/>
                <w:sz w:val="18"/>
                <w:szCs w:val="18"/>
                <w:lang w:bidi="ar"/>
              </w:rPr>
              <w:t xml:space="preserve">0.2260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575CA1B5">
            <w:pPr>
              <w:widowControl/>
              <w:jc w:val="center"/>
              <w:textAlignment w:val="center"/>
              <w:rPr>
                <w:sz w:val="18"/>
                <w:szCs w:val="18"/>
              </w:rPr>
            </w:pPr>
            <w:r>
              <w:rPr>
                <w:kern w:val="0"/>
                <w:sz w:val="18"/>
                <w:szCs w:val="18"/>
                <w:lang w:bidi="ar"/>
              </w:rPr>
              <w:t xml:space="preserve">0.3196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F31B25E">
            <w:pPr>
              <w:widowControl/>
              <w:jc w:val="center"/>
              <w:textAlignment w:val="center"/>
              <w:rPr>
                <w:sz w:val="18"/>
                <w:szCs w:val="18"/>
              </w:rPr>
            </w:pPr>
            <w:r>
              <w:rPr>
                <w:kern w:val="0"/>
                <w:sz w:val="18"/>
                <w:szCs w:val="18"/>
                <w:lang w:bidi="ar"/>
              </w:rPr>
              <w:t xml:space="preserve">0.4550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4098725B">
            <w:pPr>
              <w:widowControl/>
              <w:jc w:val="center"/>
              <w:textAlignment w:val="center"/>
              <w:rPr>
                <w:sz w:val="18"/>
                <w:szCs w:val="18"/>
              </w:rPr>
            </w:pPr>
            <w:r>
              <w:rPr>
                <w:kern w:val="0"/>
                <w:sz w:val="18"/>
                <w:szCs w:val="18"/>
                <w:lang w:bidi="ar"/>
              </w:rPr>
              <w:t xml:space="preserve">0.7077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2C65B07">
            <w:pPr>
              <w:widowControl/>
              <w:jc w:val="center"/>
              <w:textAlignment w:val="center"/>
              <w:rPr>
                <w:sz w:val="18"/>
                <w:szCs w:val="18"/>
              </w:rPr>
            </w:pPr>
            <w:r>
              <w:rPr>
                <w:kern w:val="0"/>
                <w:sz w:val="18"/>
                <w:szCs w:val="18"/>
                <w:lang w:bidi="ar"/>
              </w:rPr>
              <w:t xml:space="preserve">0.0612 </w:t>
            </w:r>
          </w:p>
        </w:tc>
      </w:tr>
      <w:tr w14:paraId="43A89E73">
        <w:tblPrEx>
          <w:tblCellMar>
            <w:top w:w="0" w:type="dxa"/>
            <w:left w:w="108" w:type="dxa"/>
            <w:bottom w:w="0" w:type="dxa"/>
            <w:right w:w="108" w:type="dxa"/>
          </w:tblCellMar>
        </w:tblPrEx>
        <w:trPr>
          <w:trHeight w:val="711" w:hRule="atLeast"/>
        </w:trPr>
        <w:tc>
          <w:tcPr>
            <w:tcW w:w="419" w:type="pct"/>
            <w:vMerge w:val="restart"/>
            <w:tcBorders>
              <w:top w:val="single" w:color="000000" w:sz="4" w:space="0"/>
              <w:left w:val="single" w:color="000000" w:sz="4" w:space="0"/>
              <w:bottom w:val="single" w:color="000000" w:sz="4" w:space="0"/>
              <w:right w:val="single" w:color="000000" w:sz="4" w:space="0"/>
            </w:tcBorders>
            <w:noWrap/>
            <w:vAlign w:val="center"/>
          </w:tcPr>
          <w:p w14:paraId="1DE81130">
            <w:pPr>
              <w:widowControl/>
              <w:jc w:val="center"/>
              <w:textAlignment w:val="center"/>
              <w:rPr>
                <w:sz w:val="18"/>
                <w:szCs w:val="18"/>
              </w:rPr>
            </w:pPr>
            <w:r>
              <w:rPr>
                <w:kern w:val="0"/>
                <w:sz w:val="18"/>
                <w:szCs w:val="18"/>
                <w:lang w:bidi="ar"/>
              </w:rPr>
              <w:t>5号地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083100B2">
            <w:pPr>
              <w:snapToGrid w:val="0"/>
              <w:jc w:val="center"/>
              <w:rPr>
                <w:b/>
                <w:bCs/>
                <w:sz w:val="18"/>
                <w:szCs w:val="18"/>
              </w:rPr>
            </w:pPr>
            <w:r>
              <w:rPr>
                <w:b/>
                <w:bCs/>
                <w:sz w:val="18"/>
                <w:szCs w:val="18"/>
              </w:rPr>
              <w:t>项目</w:t>
            </w:r>
          </w:p>
          <w:p w14:paraId="7884BDCC">
            <w:pPr>
              <w:jc w:val="center"/>
              <w:rPr>
                <w:b/>
                <w:bCs/>
                <w:sz w:val="18"/>
                <w:szCs w:val="18"/>
              </w:rPr>
            </w:pPr>
            <w:r>
              <w:rPr>
                <w:b/>
                <w:bCs/>
                <w:sz w:val="18"/>
                <w:szCs w:val="18"/>
              </w:rPr>
              <w:t>污染物</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397952DE">
            <w:pPr>
              <w:widowControl/>
              <w:jc w:val="center"/>
              <w:textAlignment w:val="center"/>
              <w:rPr>
                <w:b/>
                <w:bCs/>
                <w:sz w:val="18"/>
                <w:szCs w:val="18"/>
              </w:rPr>
            </w:pPr>
            <w:r>
              <w:rPr>
                <w:b/>
                <w:bCs/>
                <w:kern w:val="0"/>
                <w:sz w:val="18"/>
                <w:szCs w:val="18"/>
                <w:lang w:bidi="ar"/>
              </w:rPr>
              <w:t>废水量</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1140E8C6">
            <w:pPr>
              <w:widowControl/>
              <w:jc w:val="center"/>
              <w:textAlignment w:val="center"/>
              <w:rPr>
                <w:b/>
                <w:bCs/>
                <w:sz w:val="18"/>
                <w:szCs w:val="18"/>
              </w:rPr>
            </w:pPr>
            <w:r>
              <w:rPr>
                <w:b/>
                <w:bCs/>
                <w:kern w:val="0"/>
                <w:sz w:val="18"/>
                <w:szCs w:val="18"/>
                <w:lang w:bidi="ar"/>
              </w:rPr>
              <w:t>CODcr</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53C9A2C">
            <w:pPr>
              <w:widowControl/>
              <w:jc w:val="center"/>
              <w:textAlignment w:val="center"/>
              <w:rPr>
                <w:b/>
                <w:bCs/>
                <w:sz w:val="18"/>
                <w:szCs w:val="18"/>
              </w:rPr>
            </w:pPr>
            <w:r>
              <w:rPr>
                <w:b/>
                <w:bCs/>
                <w:kern w:val="0"/>
                <w:sz w:val="18"/>
                <w:szCs w:val="18"/>
                <w:lang w:bidi="ar"/>
              </w:rPr>
              <w:t>BOD</w:t>
            </w:r>
            <w:r>
              <w:rPr>
                <w:b/>
                <w:bCs/>
                <w:kern w:val="0"/>
                <w:sz w:val="18"/>
                <w:szCs w:val="18"/>
                <w:vertAlign w:val="subscript"/>
                <w:lang w:bidi="ar"/>
              </w:rPr>
              <w:t>5</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D472566">
            <w:pPr>
              <w:widowControl/>
              <w:jc w:val="center"/>
              <w:textAlignment w:val="center"/>
              <w:rPr>
                <w:b/>
                <w:bCs/>
                <w:sz w:val="18"/>
                <w:szCs w:val="18"/>
              </w:rPr>
            </w:pPr>
            <w:r>
              <w:rPr>
                <w:b/>
                <w:bCs/>
                <w:kern w:val="0"/>
                <w:sz w:val="18"/>
                <w:szCs w:val="18"/>
                <w:lang w:bidi="ar"/>
              </w:rPr>
              <w:t>SS</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384FA9B">
            <w:pPr>
              <w:widowControl/>
              <w:jc w:val="center"/>
              <w:textAlignment w:val="center"/>
              <w:rPr>
                <w:b/>
                <w:bCs/>
                <w:sz w:val="18"/>
                <w:szCs w:val="18"/>
              </w:rPr>
            </w:pPr>
            <w:r>
              <w:rPr>
                <w:b/>
                <w:bCs/>
                <w:kern w:val="0"/>
                <w:sz w:val="18"/>
                <w:szCs w:val="18"/>
                <w:lang w:bidi="ar"/>
              </w:rPr>
              <w:t>NH</w:t>
            </w:r>
            <w:r>
              <w:rPr>
                <w:b/>
                <w:bCs/>
                <w:kern w:val="0"/>
                <w:sz w:val="18"/>
                <w:szCs w:val="18"/>
                <w:vertAlign w:val="subscript"/>
                <w:lang w:bidi="ar"/>
              </w:rPr>
              <w:t>3</w:t>
            </w:r>
            <w:r>
              <w:rPr>
                <w:b/>
                <w:bCs/>
                <w:kern w:val="0"/>
                <w:sz w:val="18"/>
                <w:szCs w:val="18"/>
                <w:lang w:bidi="ar"/>
              </w:rPr>
              <w:t>-N</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28CDEA0F">
            <w:pPr>
              <w:widowControl/>
              <w:jc w:val="center"/>
              <w:textAlignment w:val="center"/>
              <w:rPr>
                <w:b/>
                <w:bCs/>
                <w:sz w:val="18"/>
                <w:szCs w:val="18"/>
              </w:rPr>
            </w:pPr>
            <w:r>
              <w:rPr>
                <w:b/>
                <w:bCs/>
                <w:kern w:val="0"/>
                <w:sz w:val="18"/>
                <w:szCs w:val="18"/>
                <w:lang w:bidi="ar"/>
              </w:rPr>
              <w:t>TN</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49C15D9">
            <w:pPr>
              <w:widowControl/>
              <w:jc w:val="center"/>
              <w:textAlignment w:val="center"/>
              <w:rPr>
                <w:b/>
                <w:bCs/>
                <w:sz w:val="18"/>
                <w:szCs w:val="18"/>
              </w:rPr>
            </w:pPr>
            <w:r>
              <w:rPr>
                <w:b/>
                <w:bCs/>
                <w:kern w:val="0"/>
                <w:sz w:val="18"/>
                <w:szCs w:val="18"/>
                <w:lang w:bidi="ar"/>
              </w:rPr>
              <w:t>TP</w:t>
            </w:r>
          </w:p>
        </w:tc>
      </w:tr>
      <w:tr w14:paraId="43EC2B5C">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2695D2DB">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2C39E6AB">
            <w:pPr>
              <w:widowControl/>
              <w:jc w:val="center"/>
              <w:textAlignment w:val="center"/>
              <w:rPr>
                <w:sz w:val="18"/>
                <w:szCs w:val="18"/>
              </w:rPr>
            </w:pPr>
            <w:r>
              <w:rPr>
                <w:kern w:val="0"/>
                <w:sz w:val="18"/>
                <w:szCs w:val="18"/>
                <w:lang w:bidi="ar"/>
              </w:rPr>
              <w:t>产生浓度（mg/L）</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AF02713">
            <w:pPr>
              <w:jc w:val="center"/>
              <w:rPr>
                <w:sz w:val="18"/>
                <w:szCs w:val="18"/>
              </w:rPr>
            </w:pP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71015C7A">
            <w:pPr>
              <w:widowControl/>
              <w:jc w:val="center"/>
              <w:textAlignment w:val="center"/>
              <w:rPr>
                <w:sz w:val="18"/>
                <w:szCs w:val="18"/>
              </w:rPr>
            </w:pPr>
            <w:r>
              <w:rPr>
                <w:kern w:val="0"/>
                <w:sz w:val="18"/>
                <w:szCs w:val="18"/>
                <w:lang w:bidi="ar"/>
              </w:rPr>
              <w:t>2640</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C2F58E3">
            <w:pPr>
              <w:widowControl/>
              <w:jc w:val="center"/>
              <w:textAlignment w:val="center"/>
              <w:rPr>
                <w:sz w:val="18"/>
                <w:szCs w:val="18"/>
              </w:rPr>
            </w:pPr>
            <w:r>
              <w:rPr>
                <w:kern w:val="0"/>
                <w:sz w:val="18"/>
                <w:szCs w:val="18"/>
                <w:lang w:bidi="ar"/>
              </w:rPr>
              <w:t>1500</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5CC55F4">
            <w:pPr>
              <w:widowControl/>
              <w:jc w:val="center"/>
              <w:textAlignment w:val="center"/>
              <w:rPr>
                <w:sz w:val="18"/>
                <w:szCs w:val="18"/>
              </w:rPr>
            </w:pPr>
            <w:r>
              <w:rPr>
                <w:kern w:val="0"/>
                <w:sz w:val="18"/>
                <w:szCs w:val="18"/>
                <w:lang w:bidi="ar"/>
              </w:rPr>
              <w:t>3300</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68A1EDCC">
            <w:pPr>
              <w:widowControl/>
              <w:jc w:val="center"/>
              <w:textAlignment w:val="center"/>
              <w:rPr>
                <w:sz w:val="18"/>
                <w:szCs w:val="18"/>
              </w:rPr>
            </w:pPr>
            <w:r>
              <w:rPr>
                <w:kern w:val="0"/>
                <w:sz w:val="18"/>
                <w:szCs w:val="18"/>
                <w:lang w:bidi="ar"/>
              </w:rPr>
              <w:t>261</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DB3729C">
            <w:pPr>
              <w:widowControl/>
              <w:jc w:val="center"/>
              <w:textAlignment w:val="center"/>
              <w:rPr>
                <w:sz w:val="18"/>
                <w:szCs w:val="18"/>
              </w:rPr>
            </w:pPr>
            <w:r>
              <w:rPr>
                <w:kern w:val="0"/>
                <w:sz w:val="18"/>
                <w:szCs w:val="18"/>
                <w:lang w:bidi="ar"/>
              </w:rPr>
              <w:t>370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6555717">
            <w:pPr>
              <w:widowControl/>
              <w:jc w:val="center"/>
              <w:textAlignment w:val="center"/>
              <w:rPr>
                <w:sz w:val="18"/>
                <w:szCs w:val="18"/>
              </w:rPr>
            </w:pPr>
            <w:r>
              <w:rPr>
                <w:kern w:val="0"/>
                <w:sz w:val="18"/>
                <w:szCs w:val="18"/>
                <w:lang w:bidi="ar"/>
              </w:rPr>
              <w:t>127</w:t>
            </w:r>
          </w:p>
        </w:tc>
      </w:tr>
      <w:tr w14:paraId="0FE7134B">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4087F67B">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5B904C13">
            <w:pPr>
              <w:widowControl/>
              <w:jc w:val="center"/>
              <w:textAlignment w:val="center"/>
              <w:rPr>
                <w:sz w:val="18"/>
                <w:szCs w:val="18"/>
              </w:rPr>
            </w:pPr>
            <w:r>
              <w:rPr>
                <w:kern w:val="0"/>
                <w:sz w:val="18"/>
                <w:szCs w:val="18"/>
                <w:lang w:bidi="ar"/>
              </w:rPr>
              <w:t>产生量（t/a）</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3892F83E">
            <w:pPr>
              <w:widowControl/>
              <w:jc w:val="center"/>
              <w:textAlignment w:val="center"/>
              <w:rPr>
                <w:sz w:val="18"/>
                <w:szCs w:val="18"/>
              </w:rPr>
            </w:pPr>
            <w:r>
              <w:rPr>
                <w:kern w:val="0"/>
                <w:sz w:val="18"/>
                <w:szCs w:val="18"/>
                <w:lang w:bidi="ar"/>
              </w:rPr>
              <w:t>2320.36</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4E432C6">
            <w:pPr>
              <w:widowControl/>
              <w:jc w:val="center"/>
              <w:textAlignment w:val="center"/>
              <w:rPr>
                <w:sz w:val="18"/>
                <w:szCs w:val="18"/>
              </w:rPr>
            </w:pPr>
            <w:r>
              <w:rPr>
                <w:kern w:val="0"/>
                <w:sz w:val="18"/>
                <w:szCs w:val="18"/>
                <w:lang w:bidi="ar"/>
              </w:rPr>
              <w:t>6.1258</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0F13441">
            <w:pPr>
              <w:widowControl/>
              <w:jc w:val="center"/>
              <w:textAlignment w:val="center"/>
              <w:rPr>
                <w:sz w:val="18"/>
                <w:szCs w:val="18"/>
              </w:rPr>
            </w:pPr>
            <w:r>
              <w:rPr>
                <w:kern w:val="0"/>
                <w:sz w:val="18"/>
                <w:szCs w:val="18"/>
                <w:lang w:bidi="ar"/>
              </w:rPr>
              <w:t xml:space="preserve">3.4805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F93E6E7">
            <w:pPr>
              <w:widowControl/>
              <w:jc w:val="center"/>
              <w:textAlignment w:val="center"/>
              <w:rPr>
                <w:sz w:val="18"/>
                <w:szCs w:val="18"/>
              </w:rPr>
            </w:pPr>
            <w:r>
              <w:rPr>
                <w:kern w:val="0"/>
                <w:sz w:val="18"/>
                <w:szCs w:val="18"/>
                <w:lang w:bidi="ar"/>
              </w:rPr>
              <w:t xml:space="preserve">7.6572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F0A6E48">
            <w:pPr>
              <w:widowControl/>
              <w:jc w:val="center"/>
              <w:textAlignment w:val="center"/>
              <w:rPr>
                <w:sz w:val="18"/>
                <w:szCs w:val="18"/>
              </w:rPr>
            </w:pPr>
            <w:r>
              <w:rPr>
                <w:kern w:val="0"/>
                <w:sz w:val="18"/>
                <w:szCs w:val="18"/>
                <w:lang w:bidi="ar"/>
              </w:rPr>
              <w:t xml:space="preserve">0.6056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04CDA587">
            <w:pPr>
              <w:widowControl/>
              <w:jc w:val="center"/>
              <w:textAlignment w:val="center"/>
              <w:rPr>
                <w:sz w:val="18"/>
                <w:szCs w:val="18"/>
              </w:rPr>
            </w:pPr>
            <w:r>
              <w:rPr>
                <w:kern w:val="0"/>
                <w:sz w:val="18"/>
                <w:szCs w:val="18"/>
                <w:lang w:bidi="ar"/>
              </w:rPr>
              <w:t xml:space="preserve">0.8585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AFAE7AC">
            <w:pPr>
              <w:widowControl/>
              <w:jc w:val="center"/>
              <w:textAlignment w:val="center"/>
              <w:rPr>
                <w:sz w:val="18"/>
                <w:szCs w:val="18"/>
              </w:rPr>
            </w:pPr>
            <w:r>
              <w:rPr>
                <w:kern w:val="0"/>
                <w:sz w:val="18"/>
                <w:szCs w:val="18"/>
                <w:lang w:bidi="ar"/>
              </w:rPr>
              <w:t xml:space="preserve">0.2947 </w:t>
            </w:r>
          </w:p>
        </w:tc>
      </w:tr>
      <w:tr w14:paraId="166ACB40">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6DB5707B">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55EA871D">
            <w:pPr>
              <w:widowControl/>
              <w:jc w:val="center"/>
              <w:textAlignment w:val="center"/>
              <w:rPr>
                <w:sz w:val="18"/>
                <w:szCs w:val="18"/>
              </w:rPr>
            </w:pPr>
            <w:r>
              <w:rPr>
                <w:kern w:val="0"/>
                <w:sz w:val="18"/>
                <w:szCs w:val="18"/>
                <w:lang w:bidi="ar"/>
              </w:rPr>
              <w:t>处理后浓度（mg/L）</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1BA83DEF">
            <w:pPr>
              <w:jc w:val="center"/>
              <w:rPr>
                <w:sz w:val="18"/>
                <w:szCs w:val="18"/>
              </w:rPr>
            </w:pPr>
            <w:r>
              <w:rPr>
                <w:sz w:val="18"/>
                <w:szCs w:val="18"/>
              </w:rPr>
              <w:t>/</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20F1F234">
            <w:pPr>
              <w:widowControl/>
              <w:jc w:val="center"/>
              <w:textAlignment w:val="center"/>
              <w:rPr>
                <w:sz w:val="18"/>
                <w:szCs w:val="18"/>
              </w:rPr>
            </w:pPr>
            <w:r>
              <w:rPr>
                <w:kern w:val="0"/>
                <w:sz w:val="18"/>
                <w:szCs w:val="18"/>
                <w:lang w:bidi="ar"/>
              </w:rPr>
              <w:t>161.7</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ACF12A1">
            <w:pPr>
              <w:widowControl/>
              <w:jc w:val="center"/>
              <w:textAlignment w:val="center"/>
              <w:rPr>
                <w:sz w:val="18"/>
                <w:szCs w:val="18"/>
              </w:rPr>
            </w:pPr>
            <w:r>
              <w:rPr>
                <w:kern w:val="0"/>
                <w:sz w:val="18"/>
                <w:szCs w:val="18"/>
                <w:lang w:bidi="ar"/>
              </w:rPr>
              <w:t>84</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7B58CCF3">
            <w:pPr>
              <w:widowControl/>
              <w:jc w:val="center"/>
              <w:textAlignment w:val="center"/>
              <w:rPr>
                <w:sz w:val="18"/>
                <w:szCs w:val="18"/>
              </w:rPr>
            </w:pPr>
            <w:r>
              <w:rPr>
                <w:kern w:val="0"/>
                <w:sz w:val="18"/>
                <w:szCs w:val="18"/>
                <w:lang w:bidi="ar"/>
              </w:rPr>
              <w:t>118.8</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4F54E00">
            <w:pPr>
              <w:widowControl/>
              <w:jc w:val="center"/>
              <w:textAlignment w:val="center"/>
              <w:rPr>
                <w:sz w:val="18"/>
                <w:szCs w:val="18"/>
              </w:rPr>
            </w:pPr>
            <w:r>
              <w:rPr>
                <w:kern w:val="0"/>
                <w:sz w:val="18"/>
                <w:szCs w:val="18"/>
                <w:lang w:bidi="ar"/>
              </w:rPr>
              <w:t>169.13</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5CFCDC8">
            <w:pPr>
              <w:widowControl/>
              <w:jc w:val="center"/>
              <w:textAlignment w:val="center"/>
              <w:rPr>
                <w:sz w:val="18"/>
                <w:szCs w:val="18"/>
              </w:rPr>
            </w:pPr>
            <w:r>
              <w:rPr>
                <w:kern w:val="0"/>
                <w:sz w:val="18"/>
                <w:szCs w:val="18"/>
                <w:lang w:bidi="ar"/>
              </w:rPr>
              <w:t>263.06</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6E9521D">
            <w:pPr>
              <w:widowControl/>
              <w:jc w:val="center"/>
              <w:textAlignment w:val="center"/>
              <w:rPr>
                <w:sz w:val="18"/>
                <w:szCs w:val="18"/>
              </w:rPr>
            </w:pPr>
            <w:r>
              <w:rPr>
                <w:kern w:val="0"/>
                <w:sz w:val="18"/>
                <w:szCs w:val="18"/>
                <w:lang w:bidi="ar"/>
              </w:rPr>
              <w:t>22.75</w:t>
            </w:r>
          </w:p>
        </w:tc>
      </w:tr>
      <w:tr w14:paraId="6B51E407">
        <w:tblPrEx>
          <w:tblCellMar>
            <w:top w:w="0" w:type="dxa"/>
            <w:left w:w="108" w:type="dxa"/>
            <w:bottom w:w="0" w:type="dxa"/>
            <w:right w:w="108" w:type="dxa"/>
          </w:tblCellMar>
        </w:tblPrEx>
        <w:trPr>
          <w:trHeight w:val="315" w:hRule="atLeast"/>
        </w:trPr>
        <w:tc>
          <w:tcPr>
            <w:tcW w:w="419" w:type="pct"/>
            <w:vMerge w:val="continue"/>
            <w:tcBorders>
              <w:top w:val="single" w:color="000000" w:sz="4" w:space="0"/>
              <w:left w:val="single" w:color="000000" w:sz="4" w:space="0"/>
              <w:bottom w:val="single" w:color="000000" w:sz="4" w:space="0"/>
              <w:right w:val="single" w:color="000000" w:sz="4" w:space="0"/>
            </w:tcBorders>
            <w:noWrap/>
            <w:vAlign w:val="center"/>
          </w:tcPr>
          <w:p w14:paraId="56E6CF76">
            <w:pPr>
              <w:jc w:val="center"/>
              <w:rPr>
                <w:sz w:val="18"/>
                <w:szCs w:val="18"/>
              </w:rPr>
            </w:pP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3BF032A3">
            <w:pPr>
              <w:widowControl/>
              <w:jc w:val="center"/>
              <w:textAlignment w:val="center"/>
              <w:rPr>
                <w:sz w:val="18"/>
                <w:szCs w:val="18"/>
              </w:rPr>
            </w:pPr>
            <w:r>
              <w:rPr>
                <w:kern w:val="0"/>
                <w:sz w:val="18"/>
                <w:szCs w:val="18"/>
                <w:lang w:bidi="ar"/>
              </w:rPr>
              <w:t>处理后量（t/a）</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7E4E5FB7">
            <w:pPr>
              <w:widowControl/>
              <w:jc w:val="center"/>
              <w:textAlignment w:val="center"/>
              <w:rPr>
                <w:sz w:val="18"/>
                <w:szCs w:val="18"/>
              </w:rPr>
            </w:pPr>
            <w:r>
              <w:rPr>
                <w:kern w:val="0"/>
                <w:sz w:val="18"/>
                <w:szCs w:val="18"/>
                <w:lang w:bidi="ar"/>
              </w:rPr>
              <w:t>2320.36</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347C3403">
            <w:pPr>
              <w:widowControl/>
              <w:jc w:val="center"/>
              <w:textAlignment w:val="center"/>
              <w:rPr>
                <w:sz w:val="18"/>
                <w:szCs w:val="18"/>
              </w:rPr>
            </w:pPr>
            <w:r>
              <w:rPr>
                <w:kern w:val="0"/>
                <w:sz w:val="18"/>
                <w:szCs w:val="18"/>
                <w:lang w:bidi="ar"/>
              </w:rPr>
              <w:t>0.3752</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747CCC37">
            <w:pPr>
              <w:widowControl/>
              <w:jc w:val="center"/>
              <w:textAlignment w:val="center"/>
              <w:rPr>
                <w:sz w:val="18"/>
                <w:szCs w:val="18"/>
              </w:rPr>
            </w:pPr>
            <w:r>
              <w:rPr>
                <w:kern w:val="0"/>
                <w:sz w:val="18"/>
                <w:szCs w:val="18"/>
                <w:lang w:bidi="ar"/>
              </w:rPr>
              <w:t xml:space="preserve">0.1949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5E8F9413">
            <w:pPr>
              <w:widowControl/>
              <w:jc w:val="center"/>
              <w:textAlignment w:val="center"/>
              <w:rPr>
                <w:sz w:val="18"/>
                <w:szCs w:val="18"/>
              </w:rPr>
            </w:pPr>
            <w:r>
              <w:rPr>
                <w:kern w:val="0"/>
                <w:sz w:val="18"/>
                <w:szCs w:val="18"/>
                <w:lang w:bidi="ar"/>
              </w:rPr>
              <w:t xml:space="preserve">0.2757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44AB58B">
            <w:pPr>
              <w:widowControl/>
              <w:jc w:val="center"/>
              <w:textAlignment w:val="center"/>
              <w:rPr>
                <w:sz w:val="18"/>
                <w:szCs w:val="18"/>
              </w:rPr>
            </w:pPr>
            <w:r>
              <w:rPr>
                <w:kern w:val="0"/>
                <w:sz w:val="18"/>
                <w:szCs w:val="18"/>
                <w:lang w:bidi="ar"/>
              </w:rPr>
              <w:t xml:space="preserve">0.3924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03F10B6">
            <w:pPr>
              <w:widowControl/>
              <w:jc w:val="center"/>
              <w:textAlignment w:val="center"/>
              <w:rPr>
                <w:sz w:val="18"/>
                <w:szCs w:val="18"/>
              </w:rPr>
            </w:pPr>
            <w:r>
              <w:rPr>
                <w:kern w:val="0"/>
                <w:sz w:val="18"/>
                <w:szCs w:val="18"/>
                <w:lang w:bidi="ar"/>
              </w:rPr>
              <w:t xml:space="preserve">0.6104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97A6786">
            <w:pPr>
              <w:widowControl/>
              <w:jc w:val="center"/>
              <w:textAlignment w:val="center"/>
              <w:rPr>
                <w:sz w:val="18"/>
                <w:szCs w:val="18"/>
              </w:rPr>
            </w:pPr>
            <w:r>
              <w:rPr>
                <w:kern w:val="0"/>
                <w:sz w:val="18"/>
                <w:szCs w:val="18"/>
                <w:lang w:bidi="ar"/>
              </w:rPr>
              <w:t xml:space="preserve">0.0528 </w:t>
            </w:r>
          </w:p>
        </w:tc>
      </w:tr>
      <w:tr w14:paraId="4BC5D83F">
        <w:tblPrEx>
          <w:tblCellMar>
            <w:top w:w="0" w:type="dxa"/>
            <w:left w:w="108" w:type="dxa"/>
            <w:bottom w:w="0" w:type="dxa"/>
            <w:right w:w="108" w:type="dxa"/>
          </w:tblCellMar>
        </w:tblPrEx>
        <w:trPr>
          <w:trHeight w:val="285" w:hRule="atLeast"/>
        </w:trPr>
        <w:tc>
          <w:tcPr>
            <w:tcW w:w="1322" w:type="pct"/>
            <w:gridSpan w:val="2"/>
            <w:tcBorders>
              <w:top w:val="single" w:color="000000" w:sz="4" w:space="0"/>
              <w:left w:val="single" w:color="000000" w:sz="4" w:space="0"/>
              <w:bottom w:val="single" w:color="000000" w:sz="4" w:space="0"/>
              <w:right w:val="single" w:color="000000" w:sz="4" w:space="0"/>
            </w:tcBorders>
            <w:noWrap/>
            <w:vAlign w:val="center"/>
          </w:tcPr>
          <w:p w14:paraId="7C21C4B0">
            <w:pPr>
              <w:widowControl/>
              <w:jc w:val="center"/>
              <w:textAlignment w:val="center"/>
              <w:rPr>
                <w:sz w:val="18"/>
                <w:szCs w:val="18"/>
              </w:rPr>
            </w:pPr>
            <w:r>
              <w:rPr>
                <w:kern w:val="0"/>
                <w:sz w:val="18"/>
                <w:szCs w:val="18"/>
                <w:lang w:bidi="ar"/>
              </w:rPr>
              <w:t>合计产生量</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50408727">
            <w:pPr>
              <w:widowControl/>
              <w:jc w:val="right"/>
              <w:textAlignment w:val="center"/>
              <w:rPr>
                <w:sz w:val="18"/>
                <w:szCs w:val="18"/>
              </w:rPr>
            </w:pPr>
            <w:r>
              <w:rPr>
                <w:kern w:val="0"/>
                <w:sz w:val="18"/>
                <w:szCs w:val="18"/>
                <w:lang w:bidi="ar"/>
              </w:rPr>
              <w:t xml:space="preserve">9995.3700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6653FB2">
            <w:pPr>
              <w:widowControl/>
              <w:textAlignment w:val="center"/>
              <w:rPr>
                <w:sz w:val="18"/>
                <w:szCs w:val="18"/>
              </w:rPr>
            </w:pPr>
            <w:r>
              <w:rPr>
                <w:kern w:val="0"/>
                <w:sz w:val="18"/>
                <w:szCs w:val="18"/>
                <w:lang w:bidi="ar"/>
              </w:rPr>
              <w:t xml:space="preserve">26.3878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44FA013">
            <w:pPr>
              <w:widowControl/>
              <w:jc w:val="right"/>
              <w:textAlignment w:val="center"/>
              <w:rPr>
                <w:sz w:val="18"/>
                <w:szCs w:val="18"/>
              </w:rPr>
            </w:pPr>
            <w:r>
              <w:rPr>
                <w:kern w:val="0"/>
                <w:sz w:val="18"/>
                <w:szCs w:val="18"/>
                <w:lang w:bidi="ar"/>
              </w:rPr>
              <w:t xml:space="preserve">14.9931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50856415">
            <w:pPr>
              <w:widowControl/>
              <w:textAlignment w:val="center"/>
              <w:rPr>
                <w:sz w:val="18"/>
                <w:szCs w:val="18"/>
              </w:rPr>
            </w:pPr>
            <w:r>
              <w:rPr>
                <w:kern w:val="0"/>
                <w:sz w:val="18"/>
                <w:szCs w:val="18"/>
                <w:lang w:bidi="ar"/>
              </w:rPr>
              <w:t xml:space="preserve">32.9847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FA5C98E">
            <w:pPr>
              <w:widowControl/>
              <w:jc w:val="right"/>
              <w:textAlignment w:val="center"/>
              <w:rPr>
                <w:sz w:val="18"/>
                <w:szCs w:val="18"/>
              </w:rPr>
            </w:pPr>
            <w:r>
              <w:rPr>
                <w:kern w:val="0"/>
                <w:sz w:val="18"/>
                <w:szCs w:val="18"/>
                <w:lang w:bidi="ar"/>
              </w:rPr>
              <w:t xml:space="preserve">2.6088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9C0D423">
            <w:pPr>
              <w:widowControl/>
              <w:jc w:val="right"/>
              <w:textAlignment w:val="center"/>
              <w:rPr>
                <w:sz w:val="18"/>
                <w:szCs w:val="18"/>
              </w:rPr>
            </w:pPr>
            <w:r>
              <w:rPr>
                <w:kern w:val="0"/>
                <w:sz w:val="18"/>
                <w:szCs w:val="18"/>
                <w:lang w:bidi="ar"/>
              </w:rPr>
              <w:t xml:space="preserve">3.6983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73797A96">
            <w:pPr>
              <w:widowControl/>
              <w:jc w:val="right"/>
              <w:textAlignment w:val="center"/>
              <w:rPr>
                <w:sz w:val="18"/>
                <w:szCs w:val="18"/>
              </w:rPr>
            </w:pPr>
            <w:r>
              <w:rPr>
                <w:kern w:val="0"/>
                <w:sz w:val="18"/>
                <w:szCs w:val="18"/>
                <w:lang w:bidi="ar"/>
              </w:rPr>
              <w:t xml:space="preserve">1.2694 </w:t>
            </w:r>
          </w:p>
        </w:tc>
      </w:tr>
      <w:tr w14:paraId="319AC475">
        <w:tblPrEx>
          <w:tblCellMar>
            <w:top w:w="0" w:type="dxa"/>
            <w:left w:w="108" w:type="dxa"/>
            <w:bottom w:w="0" w:type="dxa"/>
            <w:right w:w="108" w:type="dxa"/>
          </w:tblCellMar>
        </w:tblPrEx>
        <w:trPr>
          <w:trHeight w:val="285" w:hRule="atLeast"/>
        </w:trPr>
        <w:tc>
          <w:tcPr>
            <w:tcW w:w="1322" w:type="pct"/>
            <w:gridSpan w:val="2"/>
            <w:tcBorders>
              <w:top w:val="single" w:color="000000" w:sz="4" w:space="0"/>
              <w:left w:val="single" w:color="000000" w:sz="4" w:space="0"/>
              <w:bottom w:val="single" w:color="000000" w:sz="4" w:space="0"/>
              <w:right w:val="single" w:color="000000" w:sz="4" w:space="0"/>
            </w:tcBorders>
            <w:noWrap/>
            <w:vAlign w:val="center"/>
          </w:tcPr>
          <w:p w14:paraId="1E9F2BBA">
            <w:pPr>
              <w:widowControl/>
              <w:jc w:val="center"/>
              <w:textAlignment w:val="center"/>
              <w:rPr>
                <w:sz w:val="18"/>
                <w:szCs w:val="18"/>
              </w:rPr>
            </w:pPr>
            <w:r>
              <w:rPr>
                <w:kern w:val="0"/>
                <w:sz w:val="18"/>
                <w:szCs w:val="18"/>
                <w:lang w:bidi="ar"/>
              </w:rPr>
              <w:t>合计处理后量</w:t>
            </w:r>
          </w:p>
        </w:tc>
        <w:tc>
          <w:tcPr>
            <w:tcW w:w="534" w:type="pct"/>
            <w:tcBorders>
              <w:top w:val="single" w:color="000000" w:sz="4" w:space="0"/>
              <w:left w:val="single" w:color="000000" w:sz="4" w:space="0"/>
              <w:bottom w:val="single" w:color="000000" w:sz="4" w:space="0"/>
              <w:right w:val="single" w:color="000000" w:sz="4" w:space="0"/>
            </w:tcBorders>
            <w:noWrap/>
            <w:vAlign w:val="center"/>
          </w:tcPr>
          <w:p w14:paraId="17EAF59D">
            <w:pPr>
              <w:widowControl/>
              <w:jc w:val="right"/>
              <w:textAlignment w:val="center"/>
              <w:rPr>
                <w:sz w:val="18"/>
                <w:szCs w:val="18"/>
              </w:rPr>
            </w:pPr>
            <w:r>
              <w:rPr>
                <w:kern w:val="0"/>
                <w:sz w:val="18"/>
                <w:szCs w:val="18"/>
                <w:lang w:bidi="ar"/>
              </w:rPr>
              <w:t xml:space="preserve">9995.3700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434490D3">
            <w:pPr>
              <w:widowControl/>
              <w:jc w:val="center"/>
              <w:textAlignment w:val="center"/>
              <w:rPr>
                <w:sz w:val="18"/>
                <w:szCs w:val="18"/>
              </w:rPr>
            </w:pPr>
            <w:r>
              <w:rPr>
                <w:kern w:val="0"/>
                <w:sz w:val="18"/>
                <w:szCs w:val="18"/>
                <w:lang w:bidi="ar"/>
              </w:rPr>
              <w:t xml:space="preserve">1.5974 </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B80902A">
            <w:pPr>
              <w:widowControl/>
              <w:jc w:val="right"/>
              <w:textAlignment w:val="center"/>
              <w:rPr>
                <w:sz w:val="18"/>
                <w:szCs w:val="18"/>
              </w:rPr>
            </w:pPr>
            <w:r>
              <w:rPr>
                <w:kern w:val="0"/>
                <w:sz w:val="18"/>
                <w:szCs w:val="18"/>
                <w:lang w:bidi="ar"/>
              </w:rPr>
              <w:t xml:space="preserve">0.8298 </w:t>
            </w:r>
          </w:p>
        </w:tc>
        <w:tc>
          <w:tcPr>
            <w:tcW w:w="513" w:type="pct"/>
            <w:tcBorders>
              <w:top w:val="single" w:color="000000" w:sz="4" w:space="0"/>
              <w:left w:val="single" w:color="000000" w:sz="4" w:space="0"/>
              <w:bottom w:val="single" w:color="000000" w:sz="4" w:space="0"/>
              <w:right w:val="single" w:color="000000" w:sz="4" w:space="0"/>
            </w:tcBorders>
            <w:noWrap/>
            <w:vAlign w:val="center"/>
          </w:tcPr>
          <w:p w14:paraId="664C8216">
            <w:pPr>
              <w:widowControl/>
              <w:jc w:val="right"/>
              <w:textAlignment w:val="center"/>
              <w:rPr>
                <w:sz w:val="18"/>
                <w:szCs w:val="18"/>
              </w:rPr>
            </w:pPr>
            <w:r>
              <w:rPr>
                <w:kern w:val="0"/>
                <w:sz w:val="18"/>
                <w:szCs w:val="18"/>
                <w:lang w:bidi="ar"/>
              </w:rPr>
              <w:t xml:space="preserve">1.1736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5E62FA1">
            <w:pPr>
              <w:widowControl/>
              <w:jc w:val="right"/>
              <w:textAlignment w:val="center"/>
              <w:rPr>
                <w:sz w:val="18"/>
                <w:szCs w:val="18"/>
              </w:rPr>
            </w:pPr>
            <w:r>
              <w:rPr>
                <w:kern w:val="0"/>
                <w:sz w:val="18"/>
                <w:szCs w:val="18"/>
                <w:lang w:bidi="ar"/>
              </w:rPr>
              <w:t xml:space="preserve">1.6708 </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1D122546">
            <w:pPr>
              <w:widowControl/>
              <w:jc w:val="right"/>
              <w:textAlignment w:val="center"/>
              <w:rPr>
                <w:sz w:val="18"/>
                <w:szCs w:val="18"/>
              </w:rPr>
            </w:pPr>
            <w:r>
              <w:rPr>
                <w:kern w:val="0"/>
                <w:sz w:val="18"/>
                <w:szCs w:val="18"/>
                <w:lang w:bidi="ar"/>
              </w:rPr>
              <w:t xml:space="preserve">2.5987 </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9C6AE4D">
            <w:pPr>
              <w:widowControl/>
              <w:jc w:val="right"/>
              <w:textAlignment w:val="center"/>
              <w:rPr>
                <w:sz w:val="18"/>
                <w:szCs w:val="18"/>
              </w:rPr>
            </w:pPr>
            <w:r>
              <w:rPr>
                <w:kern w:val="0"/>
                <w:sz w:val="18"/>
                <w:szCs w:val="18"/>
                <w:lang w:bidi="ar"/>
              </w:rPr>
              <w:t xml:space="preserve">0.2247 </w:t>
            </w:r>
          </w:p>
        </w:tc>
      </w:tr>
    </w:tbl>
    <w:p w14:paraId="52421BA7">
      <w:pPr>
        <w:pStyle w:val="47"/>
        <w:rPr>
          <w:rFonts w:ascii="Times New Roman" w:hAnsi="Times New Roman" w:cs="Times New Roman"/>
        </w:rPr>
      </w:pPr>
    </w:p>
    <w:p w14:paraId="29DA5982">
      <w:pPr>
        <w:pStyle w:val="7"/>
        <w:spacing w:before="0" w:after="0" w:line="360" w:lineRule="auto"/>
        <w:rPr>
          <w:rFonts w:ascii="Times New Roman" w:hAnsi="Times New Roman"/>
          <w:sz w:val="28"/>
          <w:szCs w:val="28"/>
        </w:rPr>
      </w:pPr>
      <w:r>
        <w:rPr>
          <w:rFonts w:ascii="Times New Roman" w:hAnsi="Times New Roman"/>
          <w:sz w:val="28"/>
          <w:szCs w:val="28"/>
        </w:rPr>
        <w:t>3.4.3噪声</w:t>
      </w:r>
    </w:p>
    <w:p w14:paraId="1D11376F">
      <w:pPr>
        <w:spacing w:line="500" w:lineRule="exact"/>
        <w:ind w:firstLine="480" w:firstLineChars="200"/>
        <w:rPr>
          <w:bCs/>
          <w:sz w:val="24"/>
        </w:rPr>
      </w:pPr>
      <w:r>
        <w:rPr>
          <w:bCs/>
          <w:sz w:val="24"/>
        </w:rPr>
        <w:t>本项目营运期间噪声主要为猪叫声、猪舍通风风扇、污水处理站各类泵、堆肥车间废气处理区水泵及风机及猪粪固液分离机等设备运行时产生的噪声，根据类比调查，其源强为70～85dB(A)。工程主要噪声设施源强情况见表3.4-13。</w:t>
      </w:r>
    </w:p>
    <w:p w14:paraId="6805003D">
      <w:pPr>
        <w:tabs>
          <w:tab w:val="left" w:pos="840"/>
          <w:tab w:val="left" w:pos="900"/>
        </w:tabs>
        <w:spacing w:line="360" w:lineRule="auto"/>
        <w:jc w:val="center"/>
        <w:rPr>
          <w:b/>
          <w:sz w:val="24"/>
        </w:rPr>
      </w:pPr>
      <w:r>
        <w:rPr>
          <w:b/>
          <w:sz w:val="24"/>
        </w:rPr>
        <w:t>表3.4-13   本项目主要噪声源强</w:t>
      </w:r>
    </w:p>
    <w:tbl>
      <w:tblPr>
        <w:tblStyle w:val="87"/>
        <w:tblW w:w="8435" w:type="dxa"/>
        <w:tblInd w:w="93" w:type="dxa"/>
        <w:tblLayout w:type="fixed"/>
        <w:tblCellMar>
          <w:top w:w="0" w:type="dxa"/>
          <w:left w:w="108" w:type="dxa"/>
          <w:bottom w:w="0" w:type="dxa"/>
          <w:right w:w="108" w:type="dxa"/>
        </w:tblCellMar>
      </w:tblPr>
      <w:tblGrid>
        <w:gridCol w:w="681"/>
        <w:gridCol w:w="1350"/>
        <w:gridCol w:w="892"/>
        <w:gridCol w:w="1705"/>
        <w:gridCol w:w="2731"/>
        <w:gridCol w:w="1076"/>
      </w:tblGrid>
      <w:tr w14:paraId="56EF962C">
        <w:tblPrEx>
          <w:tblCellMar>
            <w:top w:w="0" w:type="dxa"/>
            <w:left w:w="108" w:type="dxa"/>
            <w:bottom w:w="0" w:type="dxa"/>
            <w:right w:w="108" w:type="dxa"/>
          </w:tblCellMar>
        </w:tblPrEx>
        <w:trPr>
          <w:trHeight w:val="780" w:hRule="atLeast"/>
        </w:trPr>
        <w:tc>
          <w:tcPr>
            <w:tcW w:w="681" w:type="dxa"/>
            <w:tcBorders>
              <w:top w:val="single" w:color="000000" w:sz="4" w:space="0"/>
              <w:left w:val="single" w:color="000000" w:sz="4" w:space="0"/>
              <w:bottom w:val="single" w:color="000000" w:sz="4" w:space="0"/>
              <w:right w:val="single" w:color="000000" w:sz="4" w:space="0"/>
            </w:tcBorders>
            <w:noWrap w:val="0"/>
            <w:vAlign w:val="center"/>
          </w:tcPr>
          <w:p w14:paraId="0E5F648C">
            <w:pPr>
              <w:widowControl/>
              <w:jc w:val="center"/>
              <w:textAlignment w:val="center"/>
              <w:rPr>
                <w:szCs w:val="21"/>
              </w:rPr>
            </w:pPr>
            <w:r>
              <w:rPr>
                <w:kern w:val="0"/>
                <w:szCs w:val="21"/>
                <w:lang w:bidi="ar"/>
              </w:rPr>
              <w:t>地块</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874CC16">
            <w:pPr>
              <w:widowControl/>
              <w:jc w:val="center"/>
              <w:textAlignment w:val="center"/>
              <w:rPr>
                <w:szCs w:val="21"/>
              </w:rPr>
            </w:pPr>
            <w:r>
              <w:rPr>
                <w:kern w:val="0"/>
                <w:szCs w:val="21"/>
                <w:lang w:bidi="ar"/>
              </w:rPr>
              <w:t>噪声来源</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3FD1B95">
            <w:pPr>
              <w:widowControl/>
              <w:jc w:val="center"/>
              <w:textAlignment w:val="center"/>
              <w:rPr>
                <w:szCs w:val="21"/>
              </w:rPr>
            </w:pPr>
            <w:r>
              <w:rPr>
                <w:kern w:val="0"/>
                <w:szCs w:val="21"/>
                <w:lang w:bidi="ar"/>
              </w:rPr>
              <w:t>噪声源强（dB）</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6DCD99C4">
            <w:pPr>
              <w:widowControl/>
              <w:jc w:val="center"/>
              <w:textAlignment w:val="center"/>
              <w:rPr>
                <w:szCs w:val="21"/>
              </w:rPr>
            </w:pPr>
            <w:r>
              <w:rPr>
                <w:kern w:val="0"/>
                <w:szCs w:val="21"/>
                <w:lang w:bidi="ar"/>
              </w:rPr>
              <w:t>数量（台/套）</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7447853F">
            <w:pPr>
              <w:widowControl/>
              <w:jc w:val="center"/>
              <w:textAlignment w:val="center"/>
              <w:rPr>
                <w:szCs w:val="21"/>
              </w:rPr>
            </w:pPr>
            <w:r>
              <w:rPr>
                <w:kern w:val="0"/>
                <w:szCs w:val="21"/>
                <w:lang w:bidi="ar"/>
              </w:rPr>
              <w:t>治理措施</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A71931C">
            <w:pPr>
              <w:widowControl/>
              <w:jc w:val="center"/>
              <w:textAlignment w:val="center"/>
              <w:rPr>
                <w:szCs w:val="21"/>
              </w:rPr>
            </w:pPr>
            <w:r>
              <w:rPr>
                <w:kern w:val="0"/>
                <w:szCs w:val="21"/>
                <w:lang w:bidi="ar"/>
              </w:rPr>
              <w:t>降噪效果（dB）</w:t>
            </w:r>
          </w:p>
        </w:tc>
      </w:tr>
      <w:tr w14:paraId="3F81F5FB">
        <w:tblPrEx>
          <w:tblCellMar>
            <w:top w:w="0" w:type="dxa"/>
            <w:left w:w="108" w:type="dxa"/>
            <w:bottom w:w="0" w:type="dxa"/>
            <w:right w:w="108" w:type="dxa"/>
          </w:tblCellMar>
        </w:tblPrEx>
        <w:trPr>
          <w:trHeight w:val="295" w:hRule="atLeast"/>
        </w:trPr>
        <w:tc>
          <w:tcPr>
            <w:tcW w:w="681" w:type="dxa"/>
            <w:vMerge w:val="restart"/>
            <w:tcBorders>
              <w:top w:val="single" w:color="000000" w:sz="4" w:space="0"/>
              <w:left w:val="single" w:color="000000" w:sz="4" w:space="0"/>
              <w:right w:val="single" w:color="000000" w:sz="4" w:space="0"/>
            </w:tcBorders>
            <w:noWrap/>
            <w:vAlign w:val="center"/>
          </w:tcPr>
          <w:p w14:paraId="337B50DB">
            <w:pPr>
              <w:widowControl/>
              <w:jc w:val="center"/>
              <w:textAlignment w:val="center"/>
              <w:rPr>
                <w:szCs w:val="21"/>
              </w:rPr>
            </w:pPr>
            <w:r>
              <w:rPr>
                <w:kern w:val="0"/>
                <w:szCs w:val="21"/>
                <w:lang w:bidi="ar"/>
              </w:rPr>
              <w:t>1号地</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D191272">
            <w:pPr>
              <w:widowControl/>
              <w:jc w:val="center"/>
              <w:textAlignment w:val="center"/>
              <w:rPr>
                <w:szCs w:val="21"/>
              </w:rPr>
            </w:pPr>
            <w:r>
              <w:rPr>
                <w:kern w:val="0"/>
                <w:szCs w:val="21"/>
                <w:lang w:bidi="ar"/>
              </w:rPr>
              <w:t>猪只叫声</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C86FF29">
            <w:pPr>
              <w:widowControl/>
              <w:jc w:val="center"/>
              <w:textAlignment w:val="center"/>
              <w:rPr>
                <w:szCs w:val="21"/>
              </w:rPr>
            </w:pPr>
            <w:r>
              <w:rPr>
                <w:kern w:val="0"/>
                <w:szCs w:val="21"/>
                <w:lang w:bidi="ar"/>
              </w:rPr>
              <w:t>80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7F913F28">
            <w:pPr>
              <w:widowControl/>
              <w:jc w:val="center"/>
              <w:textAlignment w:val="center"/>
              <w:rPr>
                <w:szCs w:val="21"/>
              </w:rPr>
            </w:pPr>
            <w:r>
              <w:rPr>
                <w:kern w:val="0"/>
                <w:szCs w:val="21"/>
                <w:lang w:bidi="ar"/>
              </w:rPr>
              <w:t>猪舍2间</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17DEC8F4">
            <w:pPr>
              <w:widowControl/>
              <w:jc w:val="center"/>
              <w:textAlignment w:val="center"/>
              <w:rPr>
                <w:szCs w:val="21"/>
              </w:rPr>
            </w:pPr>
            <w:r>
              <w:rPr>
                <w:kern w:val="0"/>
                <w:szCs w:val="21"/>
                <w:lang w:bidi="ar"/>
              </w:rPr>
              <w:t>建筑隔声</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7BA7D93D">
            <w:pPr>
              <w:widowControl/>
              <w:jc w:val="center"/>
              <w:textAlignment w:val="center"/>
              <w:rPr>
                <w:szCs w:val="21"/>
              </w:rPr>
            </w:pPr>
            <w:r>
              <w:rPr>
                <w:kern w:val="0"/>
                <w:szCs w:val="21"/>
                <w:lang w:bidi="ar"/>
              </w:rPr>
              <w:t>15</w:t>
            </w:r>
          </w:p>
        </w:tc>
      </w:tr>
      <w:tr w14:paraId="73B7F0BC">
        <w:tblPrEx>
          <w:tblCellMar>
            <w:top w:w="0" w:type="dxa"/>
            <w:left w:w="108" w:type="dxa"/>
            <w:bottom w:w="0" w:type="dxa"/>
            <w:right w:w="108" w:type="dxa"/>
          </w:tblCellMar>
        </w:tblPrEx>
        <w:trPr>
          <w:trHeight w:val="300" w:hRule="atLeast"/>
        </w:trPr>
        <w:tc>
          <w:tcPr>
            <w:tcW w:w="681" w:type="dxa"/>
            <w:vMerge w:val="continue"/>
            <w:tcBorders>
              <w:left w:val="single" w:color="000000" w:sz="4" w:space="0"/>
              <w:right w:val="single" w:color="000000" w:sz="4" w:space="0"/>
            </w:tcBorders>
            <w:noWrap/>
            <w:vAlign w:val="center"/>
          </w:tcPr>
          <w:p w14:paraId="77F9A75C">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18E4D06">
            <w:pPr>
              <w:widowControl/>
              <w:jc w:val="center"/>
              <w:textAlignment w:val="center"/>
              <w:rPr>
                <w:szCs w:val="21"/>
              </w:rPr>
            </w:pPr>
            <w:r>
              <w:rPr>
                <w:kern w:val="0"/>
                <w:szCs w:val="21"/>
                <w:lang w:bidi="ar"/>
              </w:rPr>
              <w:t>排风扇</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CFDF2A0">
            <w:pPr>
              <w:widowControl/>
              <w:jc w:val="center"/>
              <w:textAlignment w:val="center"/>
              <w:rPr>
                <w:szCs w:val="21"/>
              </w:rPr>
            </w:pPr>
            <w:r>
              <w:rPr>
                <w:kern w:val="0"/>
                <w:szCs w:val="21"/>
                <w:lang w:bidi="ar"/>
              </w:rPr>
              <w:t>70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7C0D7B93">
            <w:pPr>
              <w:widowControl/>
              <w:jc w:val="center"/>
              <w:textAlignment w:val="center"/>
              <w:rPr>
                <w:szCs w:val="21"/>
              </w:rPr>
            </w:pPr>
            <w:r>
              <w:rPr>
                <w:kern w:val="0"/>
                <w:szCs w:val="21"/>
                <w:lang w:bidi="ar"/>
              </w:rPr>
              <w:t>12</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17F558CE">
            <w:pPr>
              <w:widowControl/>
              <w:jc w:val="center"/>
              <w:textAlignment w:val="center"/>
              <w:rPr>
                <w:szCs w:val="21"/>
              </w:rPr>
            </w:pPr>
            <w:r>
              <w:rPr>
                <w:kern w:val="0"/>
                <w:szCs w:val="21"/>
                <w:lang w:bidi="ar"/>
              </w:rPr>
              <w:t>低噪声设备</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1BDE915C">
            <w:pPr>
              <w:widowControl/>
              <w:jc w:val="center"/>
              <w:textAlignment w:val="center"/>
              <w:rPr>
                <w:szCs w:val="21"/>
              </w:rPr>
            </w:pPr>
            <w:r>
              <w:rPr>
                <w:kern w:val="0"/>
                <w:szCs w:val="21"/>
                <w:lang w:bidi="ar"/>
              </w:rPr>
              <w:t>10</w:t>
            </w:r>
          </w:p>
        </w:tc>
      </w:tr>
      <w:tr w14:paraId="1E30F405">
        <w:tblPrEx>
          <w:tblCellMar>
            <w:top w:w="0" w:type="dxa"/>
            <w:left w:w="108" w:type="dxa"/>
            <w:bottom w:w="0" w:type="dxa"/>
            <w:right w:w="108" w:type="dxa"/>
          </w:tblCellMar>
        </w:tblPrEx>
        <w:trPr>
          <w:trHeight w:val="300" w:hRule="atLeast"/>
        </w:trPr>
        <w:tc>
          <w:tcPr>
            <w:tcW w:w="681" w:type="dxa"/>
            <w:vMerge w:val="continue"/>
            <w:tcBorders>
              <w:left w:val="single" w:color="000000" w:sz="4" w:space="0"/>
              <w:right w:val="single" w:color="000000" w:sz="4" w:space="0"/>
            </w:tcBorders>
            <w:noWrap/>
            <w:vAlign w:val="center"/>
          </w:tcPr>
          <w:p w14:paraId="2C9720E9">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47D7ABE">
            <w:pPr>
              <w:widowControl/>
              <w:jc w:val="center"/>
              <w:textAlignment w:val="center"/>
              <w:rPr>
                <w:szCs w:val="21"/>
              </w:rPr>
            </w:pPr>
            <w:r>
              <w:rPr>
                <w:kern w:val="0"/>
                <w:szCs w:val="21"/>
                <w:lang w:bidi="ar"/>
              </w:rPr>
              <w:t>猪舍排风扇</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31038A9">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437F90E0">
            <w:pPr>
              <w:widowControl/>
              <w:jc w:val="center"/>
              <w:textAlignment w:val="center"/>
              <w:rPr>
                <w:szCs w:val="21"/>
              </w:rPr>
            </w:pPr>
            <w:r>
              <w:rPr>
                <w:kern w:val="0"/>
                <w:szCs w:val="21"/>
                <w:lang w:bidi="ar"/>
              </w:rPr>
              <w:t>2</w:t>
            </w:r>
          </w:p>
        </w:tc>
        <w:tc>
          <w:tcPr>
            <w:tcW w:w="2731" w:type="dxa"/>
            <w:vMerge w:val="restart"/>
            <w:tcBorders>
              <w:top w:val="single" w:color="000000" w:sz="4" w:space="0"/>
              <w:left w:val="single" w:color="000000" w:sz="4" w:space="0"/>
              <w:bottom w:val="single" w:color="000000" w:sz="4" w:space="0"/>
              <w:right w:val="single" w:color="000000" w:sz="4" w:space="0"/>
            </w:tcBorders>
            <w:noWrap/>
            <w:vAlign w:val="center"/>
          </w:tcPr>
          <w:p w14:paraId="592CC8BE">
            <w:pPr>
              <w:widowControl/>
              <w:jc w:val="center"/>
              <w:textAlignment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75EF3271">
            <w:pPr>
              <w:widowControl/>
              <w:jc w:val="center"/>
              <w:textAlignment w:val="center"/>
              <w:rPr>
                <w:szCs w:val="21"/>
              </w:rPr>
            </w:pPr>
            <w:r>
              <w:rPr>
                <w:kern w:val="0"/>
                <w:szCs w:val="21"/>
                <w:lang w:bidi="ar"/>
              </w:rPr>
              <w:t>20</w:t>
            </w:r>
          </w:p>
        </w:tc>
      </w:tr>
      <w:tr w14:paraId="22ADD37D">
        <w:tblPrEx>
          <w:tblCellMar>
            <w:top w:w="0" w:type="dxa"/>
            <w:left w:w="108" w:type="dxa"/>
            <w:bottom w:w="0" w:type="dxa"/>
            <w:right w:w="108" w:type="dxa"/>
          </w:tblCellMar>
        </w:tblPrEx>
        <w:trPr>
          <w:trHeight w:val="300" w:hRule="atLeast"/>
        </w:trPr>
        <w:tc>
          <w:tcPr>
            <w:tcW w:w="681" w:type="dxa"/>
            <w:vMerge w:val="continue"/>
            <w:tcBorders>
              <w:left w:val="single" w:color="000000" w:sz="4" w:space="0"/>
              <w:right w:val="single" w:color="000000" w:sz="4" w:space="0"/>
            </w:tcBorders>
            <w:noWrap/>
            <w:vAlign w:val="center"/>
          </w:tcPr>
          <w:p w14:paraId="73C63C25">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7874F6A">
            <w:pPr>
              <w:widowControl/>
              <w:jc w:val="center"/>
              <w:textAlignment w:val="center"/>
              <w:rPr>
                <w:szCs w:val="21"/>
              </w:rPr>
            </w:pPr>
            <w:r>
              <w:rPr>
                <w:kern w:val="0"/>
                <w:szCs w:val="21"/>
                <w:lang w:bidi="ar"/>
              </w:rPr>
              <w:t>风机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561CBE7">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55BAE820">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2E45553A">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45139B89">
            <w:pPr>
              <w:widowControl/>
              <w:jc w:val="center"/>
              <w:textAlignment w:val="center"/>
              <w:rPr>
                <w:szCs w:val="21"/>
              </w:rPr>
            </w:pPr>
            <w:r>
              <w:rPr>
                <w:kern w:val="0"/>
                <w:szCs w:val="21"/>
                <w:lang w:bidi="ar"/>
              </w:rPr>
              <w:t>20</w:t>
            </w:r>
          </w:p>
        </w:tc>
      </w:tr>
      <w:tr w14:paraId="48B2AD78">
        <w:tblPrEx>
          <w:tblCellMar>
            <w:top w:w="0" w:type="dxa"/>
            <w:left w:w="108" w:type="dxa"/>
            <w:bottom w:w="0" w:type="dxa"/>
            <w:right w:w="108" w:type="dxa"/>
          </w:tblCellMar>
        </w:tblPrEx>
        <w:trPr>
          <w:trHeight w:val="300" w:hRule="atLeast"/>
        </w:trPr>
        <w:tc>
          <w:tcPr>
            <w:tcW w:w="681" w:type="dxa"/>
            <w:vMerge w:val="continue"/>
            <w:tcBorders>
              <w:left w:val="single" w:color="000000" w:sz="4" w:space="0"/>
              <w:right w:val="single" w:color="000000" w:sz="4" w:space="0"/>
            </w:tcBorders>
            <w:noWrap/>
            <w:vAlign w:val="center"/>
          </w:tcPr>
          <w:p w14:paraId="75361170">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2F332EE">
            <w:pPr>
              <w:widowControl/>
              <w:jc w:val="center"/>
              <w:textAlignment w:val="center"/>
              <w:rPr>
                <w:szCs w:val="21"/>
              </w:rPr>
            </w:pPr>
            <w:r>
              <w:rPr>
                <w:kern w:val="0"/>
                <w:szCs w:val="21"/>
                <w:lang w:bidi="ar"/>
              </w:rPr>
              <w:t>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5D23D9C">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2A220637">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0141B660">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78B220F2">
            <w:pPr>
              <w:widowControl/>
              <w:jc w:val="center"/>
              <w:textAlignment w:val="center"/>
              <w:rPr>
                <w:szCs w:val="21"/>
              </w:rPr>
            </w:pPr>
            <w:r>
              <w:rPr>
                <w:kern w:val="0"/>
                <w:szCs w:val="21"/>
                <w:lang w:bidi="ar"/>
              </w:rPr>
              <w:t>20</w:t>
            </w:r>
          </w:p>
        </w:tc>
      </w:tr>
      <w:tr w14:paraId="42E751BA">
        <w:tblPrEx>
          <w:tblCellMar>
            <w:top w:w="0" w:type="dxa"/>
            <w:left w:w="108" w:type="dxa"/>
            <w:bottom w:w="0" w:type="dxa"/>
            <w:right w:w="108" w:type="dxa"/>
          </w:tblCellMar>
        </w:tblPrEx>
        <w:trPr>
          <w:trHeight w:val="300" w:hRule="atLeast"/>
        </w:trPr>
        <w:tc>
          <w:tcPr>
            <w:tcW w:w="681" w:type="dxa"/>
            <w:vMerge w:val="continue"/>
            <w:tcBorders>
              <w:left w:val="single" w:color="000000" w:sz="4" w:space="0"/>
              <w:bottom w:val="single" w:color="000000" w:sz="4" w:space="0"/>
              <w:right w:val="single" w:color="000000" w:sz="4" w:space="0"/>
            </w:tcBorders>
            <w:noWrap/>
            <w:vAlign w:val="center"/>
          </w:tcPr>
          <w:p w14:paraId="5EBCC25D">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4C749F1">
            <w:pPr>
              <w:widowControl/>
              <w:jc w:val="center"/>
              <w:textAlignment w:val="center"/>
              <w:rPr>
                <w:kern w:val="0"/>
                <w:szCs w:val="21"/>
                <w:lang w:bidi="ar"/>
              </w:rPr>
            </w:pPr>
            <w:r>
              <w:rPr>
                <w:kern w:val="0"/>
                <w:szCs w:val="21"/>
                <w:lang w:bidi="ar"/>
              </w:rPr>
              <w:t>固液分离机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9D7C0FF">
            <w:pPr>
              <w:widowControl/>
              <w:jc w:val="center"/>
              <w:textAlignment w:val="center"/>
              <w:rPr>
                <w:kern w:val="0"/>
                <w:szCs w:val="21"/>
                <w:lang w:bidi="ar"/>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16575871">
            <w:pPr>
              <w:widowControl/>
              <w:jc w:val="center"/>
              <w:textAlignment w:val="center"/>
              <w:rPr>
                <w:kern w:val="0"/>
                <w:szCs w:val="21"/>
                <w:lang w:bidi="ar"/>
              </w:rPr>
            </w:pPr>
            <w:r>
              <w:rPr>
                <w:kern w:val="0"/>
                <w:szCs w:val="21"/>
                <w:lang w:bidi="ar"/>
              </w:rPr>
              <w:t>1</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1BB068DD">
            <w:pPr>
              <w:jc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0E271447">
            <w:pPr>
              <w:widowControl/>
              <w:jc w:val="center"/>
              <w:textAlignment w:val="center"/>
              <w:rPr>
                <w:kern w:val="0"/>
                <w:szCs w:val="21"/>
                <w:lang w:bidi="ar"/>
              </w:rPr>
            </w:pPr>
            <w:r>
              <w:rPr>
                <w:kern w:val="0"/>
                <w:szCs w:val="21"/>
                <w:lang w:bidi="ar"/>
              </w:rPr>
              <w:t>20</w:t>
            </w:r>
          </w:p>
        </w:tc>
      </w:tr>
      <w:tr w14:paraId="3CC19B13">
        <w:tblPrEx>
          <w:tblCellMar>
            <w:top w:w="0" w:type="dxa"/>
            <w:left w:w="108" w:type="dxa"/>
            <w:bottom w:w="0" w:type="dxa"/>
            <w:right w:w="108" w:type="dxa"/>
          </w:tblCellMar>
        </w:tblPrEx>
        <w:trPr>
          <w:trHeight w:val="245" w:hRule="atLeast"/>
        </w:trPr>
        <w:tc>
          <w:tcPr>
            <w:tcW w:w="681" w:type="dxa"/>
            <w:vMerge w:val="restart"/>
            <w:tcBorders>
              <w:top w:val="single" w:color="000000" w:sz="4" w:space="0"/>
              <w:left w:val="single" w:color="000000" w:sz="4" w:space="0"/>
              <w:right w:val="single" w:color="000000" w:sz="4" w:space="0"/>
            </w:tcBorders>
            <w:noWrap/>
            <w:vAlign w:val="center"/>
          </w:tcPr>
          <w:p w14:paraId="244BA292">
            <w:pPr>
              <w:widowControl/>
              <w:jc w:val="center"/>
              <w:textAlignment w:val="center"/>
              <w:rPr>
                <w:szCs w:val="21"/>
              </w:rPr>
            </w:pPr>
            <w:r>
              <w:rPr>
                <w:kern w:val="0"/>
                <w:szCs w:val="21"/>
                <w:lang w:bidi="ar"/>
              </w:rPr>
              <w:t>2号地</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E317BDA">
            <w:pPr>
              <w:widowControl/>
              <w:jc w:val="center"/>
              <w:textAlignment w:val="center"/>
              <w:rPr>
                <w:szCs w:val="21"/>
              </w:rPr>
            </w:pPr>
            <w:r>
              <w:rPr>
                <w:kern w:val="0"/>
                <w:szCs w:val="21"/>
                <w:lang w:bidi="ar"/>
              </w:rPr>
              <w:t>猪只叫声</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1ED1313">
            <w:pPr>
              <w:widowControl/>
              <w:jc w:val="center"/>
              <w:textAlignment w:val="center"/>
              <w:rPr>
                <w:szCs w:val="21"/>
              </w:rPr>
            </w:pPr>
            <w:r>
              <w:rPr>
                <w:kern w:val="0"/>
                <w:szCs w:val="21"/>
                <w:lang w:bidi="ar"/>
              </w:rPr>
              <w:t>80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2A885F02">
            <w:pPr>
              <w:widowControl/>
              <w:jc w:val="center"/>
              <w:textAlignment w:val="center"/>
              <w:rPr>
                <w:szCs w:val="21"/>
              </w:rPr>
            </w:pPr>
            <w:r>
              <w:rPr>
                <w:kern w:val="0"/>
                <w:szCs w:val="21"/>
                <w:lang w:bidi="ar"/>
              </w:rPr>
              <w:t>猪舍5间</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39F39ECA">
            <w:pPr>
              <w:widowControl/>
              <w:jc w:val="center"/>
              <w:textAlignment w:val="center"/>
              <w:rPr>
                <w:szCs w:val="21"/>
              </w:rPr>
            </w:pPr>
            <w:r>
              <w:rPr>
                <w:kern w:val="0"/>
                <w:szCs w:val="21"/>
                <w:lang w:bidi="ar"/>
              </w:rPr>
              <w:t>建筑隔声</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620543F5">
            <w:pPr>
              <w:widowControl/>
              <w:jc w:val="center"/>
              <w:textAlignment w:val="center"/>
              <w:rPr>
                <w:szCs w:val="21"/>
              </w:rPr>
            </w:pPr>
            <w:r>
              <w:rPr>
                <w:kern w:val="0"/>
                <w:szCs w:val="21"/>
                <w:lang w:bidi="ar"/>
              </w:rPr>
              <w:t>15</w:t>
            </w:r>
          </w:p>
        </w:tc>
      </w:tr>
      <w:tr w14:paraId="13D88174">
        <w:tblPrEx>
          <w:tblCellMar>
            <w:top w:w="0" w:type="dxa"/>
            <w:left w:w="108" w:type="dxa"/>
            <w:bottom w:w="0" w:type="dxa"/>
            <w:right w:w="108" w:type="dxa"/>
          </w:tblCellMar>
        </w:tblPrEx>
        <w:trPr>
          <w:trHeight w:val="95" w:hRule="atLeast"/>
        </w:trPr>
        <w:tc>
          <w:tcPr>
            <w:tcW w:w="681" w:type="dxa"/>
            <w:vMerge w:val="continue"/>
            <w:tcBorders>
              <w:left w:val="single" w:color="000000" w:sz="4" w:space="0"/>
              <w:right w:val="single" w:color="000000" w:sz="4" w:space="0"/>
            </w:tcBorders>
            <w:noWrap/>
            <w:vAlign w:val="center"/>
          </w:tcPr>
          <w:p w14:paraId="01E5219B">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EE424A3">
            <w:pPr>
              <w:widowControl/>
              <w:jc w:val="center"/>
              <w:textAlignment w:val="center"/>
              <w:rPr>
                <w:szCs w:val="21"/>
              </w:rPr>
            </w:pPr>
            <w:r>
              <w:rPr>
                <w:kern w:val="0"/>
                <w:szCs w:val="21"/>
                <w:lang w:bidi="ar"/>
              </w:rPr>
              <w:t>猪舍排风扇</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26C7B37">
            <w:pPr>
              <w:widowControl/>
              <w:jc w:val="center"/>
              <w:textAlignment w:val="center"/>
              <w:rPr>
                <w:szCs w:val="21"/>
              </w:rPr>
            </w:pPr>
            <w:r>
              <w:rPr>
                <w:kern w:val="0"/>
                <w:szCs w:val="21"/>
                <w:lang w:bidi="ar"/>
              </w:rPr>
              <w:t>70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1CEE6F15">
            <w:pPr>
              <w:widowControl/>
              <w:jc w:val="center"/>
              <w:textAlignment w:val="center"/>
              <w:rPr>
                <w:szCs w:val="21"/>
              </w:rPr>
            </w:pPr>
            <w:r>
              <w:rPr>
                <w:kern w:val="0"/>
                <w:szCs w:val="21"/>
                <w:lang w:bidi="ar"/>
              </w:rPr>
              <w:t>30</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7DD16E86">
            <w:pPr>
              <w:widowControl/>
              <w:jc w:val="center"/>
              <w:textAlignment w:val="center"/>
              <w:rPr>
                <w:szCs w:val="21"/>
              </w:rPr>
            </w:pPr>
            <w:r>
              <w:rPr>
                <w:kern w:val="0"/>
                <w:szCs w:val="21"/>
                <w:lang w:bidi="ar"/>
              </w:rPr>
              <w:t>低噪声设备</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02914D5B">
            <w:pPr>
              <w:widowControl/>
              <w:jc w:val="center"/>
              <w:textAlignment w:val="center"/>
              <w:rPr>
                <w:szCs w:val="21"/>
              </w:rPr>
            </w:pPr>
            <w:r>
              <w:rPr>
                <w:kern w:val="0"/>
                <w:szCs w:val="21"/>
                <w:lang w:bidi="ar"/>
              </w:rPr>
              <w:t>10</w:t>
            </w:r>
          </w:p>
        </w:tc>
      </w:tr>
      <w:tr w14:paraId="04CD5641">
        <w:tblPrEx>
          <w:tblCellMar>
            <w:top w:w="0" w:type="dxa"/>
            <w:left w:w="108" w:type="dxa"/>
            <w:bottom w:w="0" w:type="dxa"/>
            <w:right w:w="108" w:type="dxa"/>
          </w:tblCellMar>
        </w:tblPrEx>
        <w:trPr>
          <w:trHeight w:val="132" w:hRule="atLeast"/>
        </w:trPr>
        <w:tc>
          <w:tcPr>
            <w:tcW w:w="681" w:type="dxa"/>
            <w:vMerge w:val="continue"/>
            <w:tcBorders>
              <w:left w:val="single" w:color="000000" w:sz="4" w:space="0"/>
              <w:right w:val="single" w:color="000000" w:sz="4" w:space="0"/>
            </w:tcBorders>
            <w:noWrap/>
            <w:vAlign w:val="center"/>
          </w:tcPr>
          <w:p w14:paraId="4C4DF999">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C0484D8">
            <w:pPr>
              <w:widowControl/>
              <w:jc w:val="center"/>
              <w:textAlignment w:val="center"/>
              <w:rPr>
                <w:szCs w:val="21"/>
              </w:rPr>
            </w:pPr>
            <w:r>
              <w:rPr>
                <w:kern w:val="0"/>
                <w:szCs w:val="21"/>
                <w:lang w:bidi="ar"/>
              </w:rPr>
              <w:t>循环水泵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B2F1CDC">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1567D8C8">
            <w:pPr>
              <w:widowControl/>
              <w:jc w:val="center"/>
              <w:textAlignment w:val="center"/>
              <w:rPr>
                <w:szCs w:val="21"/>
              </w:rPr>
            </w:pPr>
            <w:r>
              <w:rPr>
                <w:kern w:val="0"/>
                <w:szCs w:val="21"/>
                <w:lang w:bidi="ar"/>
              </w:rPr>
              <w:t>2</w:t>
            </w:r>
          </w:p>
        </w:tc>
        <w:tc>
          <w:tcPr>
            <w:tcW w:w="2731" w:type="dxa"/>
            <w:vMerge w:val="restart"/>
            <w:tcBorders>
              <w:top w:val="single" w:color="000000" w:sz="4" w:space="0"/>
              <w:left w:val="single" w:color="000000" w:sz="4" w:space="0"/>
              <w:bottom w:val="single" w:color="000000" w:sz="4" w:space="0"/>
              <w:right w:val="single" w:color="000000" w:sz="4" w:space="0"/>
            </w:tcBorders>
            <w:noWrap/>
            <w:vAlign w:val="center"/>
          </w:tcPr>
          <w:p w14:paraId="1B28E3E4">
            <w:pPr>
              <w:widowControl/>
              <w:jc w:val="center"/>
              <w:textAlignment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4DE85528">
            <w:pPr>
              <w:widowControl/>
              <w:jc w:val="center"/>
              <w:textAlignment w:val="center"/>
              <w:rPr>
                <w:szCs w:val="21"/>
              </w:rPr>
            </w:pPr>
            <w:r>
              <w:rPr>
                <w:kern w:val="0"/>
                <w:szCs w:val="21"/>
                <w:lang w:bidi="ar"/>
              </w:rPr>
              <w:t>20</w:t>
            </w:r>
          </w:p>
        </w:tc>
      </w:tr>
      <w:tr w14:paraId="2382032D">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135A35EB">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87D19D2">
            <w:pPr>
              <w:widowControl/>
              <w:jc w:val="center"/>
              <w:textAlignment w:val="center"/>
              <w:rPr>
                <w:szCs w:val="21"/>
              </w:rPr>
            </w:pPr>
            <w:r>
              <w:rPr>
                <w:kern w:val="0"/>
                <w:szCs w:val="21"/>
                <w:lang w:bidi="ar"/>
              </w:rPr>
              <w:t>风机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E823FA9">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2321B3E7">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24E0BCA8">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0C4E913D">
            <w:pPr>
              <w:widowControl/>
              <w:jc w:val="center"/>
              <w:textAlignment w:val="center"/>
              <w:rPr>
                <w:szCs w:val="21"/>
              </w:rPr>
            </w:pPr>
            <w:r>
              <w:rPr>
                <w:kern w:val="0"/>
                <w:szCs w:val="21"/>
                <w:lang w:bidi="ar"/>
              </w:rPr>
              <w:t>20</w:t>
            </w:r>
          </w:p>
        </w:tc>
      </w:tr>
      <w:tr w14:paraId="39C49FE0">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22C61C84">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02876F3">
            <w:pPr>
              <w:widowControl/>
              <w:jc w:val="center"/>
              <w:textAlignment w:val="center"/>
              <w:rPr>
                <w:szCs w:val="21"/>
              </w:rPr>
            </w:pPr>
            <w:r>
              <w:rPr>
                <w:kern w:val="0"/>
                <w:szCs w:val="21"/>
                <w:lang w:bidi="ar"/>
              </w:rPr>
              <w:t>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271202E">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67A530B9">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053508D1">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E911D4B">
            <w:pPr>
              <w:widowControl/>
              <w:jc w:val="center"/>
              <w:textAlignment w:val="center"/>
              <w:rPr>
                <w:szCs w:val="21"/>
              </w:rPr>
            </w:pPr>
            <w:r>
              <w:rPr>
                <w:kern w:val="0"/>
                <w:szCs w:val="21"/>
                <w:lang w:bidi="ar"/>
              </w:rPr>
              <w:t>20</w:t>
            </w:r>
          </w:p>
        </w:tc>
      </w:tr>
      <w:tr w14:paraId="70AB3574">
        <w:tblPrEx>
          <w:tblCellMar>
            <w:top w:w="0" w:type="dxa"/>
            <w:left w:w="108" w:type="dxa"/>
            <w:bottom w:w="0" w:type="dxa"/>
            <w:right w:w="108" w:type="dxa"/>
          </w:tblCellMar>
        </w:tblPrEx>
        <w:trPr>
          <w:trHeight w:val="285" w:hRule="atLeast"/>
        </w:trPr>
        <w:tc>
          <w:tcPr>
            <w:tcW w:w="681" w:type="dxa"/>
            <w:vMerge w:val="continue"/>
            <w:tcBorders>
              <w:left w:val="single" w:color="000000" w:sz="4" w:space="0"/>
              <w:bottom w:val="single" w:color="000000" w:sz="4" w:space="0"/>
              <w:right w:val="single" w:color="000000" w:sz="4" w:space="0"/>
            </w:tcBorders>
            <w:noWrap/>
            <w:vAlign w:val="center"/>
          </w:tcPr>
          <w:p w14:paraId="38463DA1">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A63E5FA">
            <w:pPr>
              <w:widowControl/>
              <w:jc w:val="center"/>
              <w:textAlignment w:val="center"/>
              <w:rPr>
                <w:kern w:val="0"/>
                <w:szCs w:val="21"/>
                <w:lang w:bidi="ar"/>
              </w:rPr>
            </w:pPr>
            <w:r>
              <w:rPr>
                <w:kern w:val="0"/>
                <w:szCs w:val="21"/>
                <w:lang w:bidi="ar"/>
              </w:rPr>
              <w:t>固液分离机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299DF91">
            <w:pPr>
              <w:widowControl/>
              <w:jc w:val="center"/>
              <w:textAlignment w:val="center"/>
              <w:rPr>
                <w:kern w:val="0"/>
                <w:szCs w:val="21"/>
                <w:lang w:bidi="ar"/>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0C1FB60A">
            <w:pPr>
              <w:widowControl/>
              <w:jc w:val="center"/>
              <w:textAlignment w:val="center"/>
              <w:rPr>
                <w:kern w:val="0"/>
                <w:szCs w:val="21"/>
                <w:lang w:bidi="ar"/>
              </w:rPr>
            </w:pPr>
            <w:r>
              <w:rPr>
                <w:kern w:val="0"/>
                <w:szCs w:val="21"/>
                <w:lang w:bidi="ar"/>
              </w:rPr>
              <w:t>1</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74245AA9">
            <w:pPr>
              <w:jc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16583DB2">
            <w:pPr>
              <w:widowControl/>
              <w:jc w:val="center"/>
              <w:textAlignment w:val="center"/>
              <w:rPr>
                <w:kern w:val="0"/>
                <w:szCs w:val="21"/>
                <w:lang w:bidi="ar"/>
              </w:rPr>
            </w:pPr>
            <w:r>
              <w:rPr>
                <w:kern w:val="0"/>
                <w:szCs w:val="21"/>
                <w:lang w:bidi="ar"/>
              </w:rPr>
              <w:t>20</w:t>
            </w:r>
          </w:p>
        </w:tc>
      </w:tr>
      <w:tr w14:paraId="1B8FAB72">
        <w:tblPrEx>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right w:val="single" w:color="000000" w:sz="4" w:space="0"/>
            </w:tcBorders>
            <w:noWrap/>
            <w:vAlign w:val="center"/>
          </w:tcPr>
          <w:p w14:paraId="61B4B79D">
            <w:pPr>
              <w:widowControl/>
              <w:jc w:val="center"/>
              <w:textAlignment w:val="center"/>
              <w:rPr>
                <w:szCs w:val="21"/>
              </w:rPr>
            </w:pPr>
            <w:r>
              <w:rPr>
                <w:kern w:val="0"/>
                <w:szCs w:val="21"/>
                <w:lang w:bidi="ar"/>
              </w:rPr>
              <w:t>3号地</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02C312A">
            <w:pPr>
              <w:widowControl/>
              <w:jc w:val="center"/>
              <w:textAlignment w:val="center"/>
              <w:rPr>
                <w:szCs w:val="21"/>
              </w:rPr>
            </w:pPr>
            <w:r>
              <w:rPr>
                <w:kern w:val="0"/>
                <w:szCs w:val="21"/>
                <w:lang w:bidi="ar"/>
              </w:rPr>
              <w:t>猪只叫声</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2417DF1">
            <w:pPr>
              <w:widowControl/>
              <w:jc w:val="center"/>
              <w:textAlignment w:val="center"/>
              <w:rPr>
                <w:szCs w:val="21"/>
              </w:rPr>
            </w:pPr>
            <w:r>
              <w:rPr>
                <w:kern w:val="0"/>
                <w:szCs w:val="21"/>
                <w:lang w:bidi="ar"/>
              </w:rPr>
              <w:t>80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0DA272B8">
            <w:pPr>
              <w:widowControl/>
              <w:jc w:val="center"/>
              <w:textAlignment w:val="center"/>
              <w:rPr>
                <w:szCs w:val="21"/>
              </w:rPr>
            </w:pPr>
            <w:r>
              <w:rPr>
                <w:kern w:val="0"/>
                <w:szCs w:val="21"/>
                <w:lang w:bidi="ar"/>
              </w:rPr>
              <w:t>猪舍2间</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1E224A58">
            <w:pPr>
              <w:widowControl/>
              <w:jc w:val="center"/>
              <w:textAlignment w:val="center"/>
              <w:rPr>
                <w:szCs w:val="21"/>
              </w:rPr>
            </w:pPr>
            <w:r>
              <w:rPr>
                <w:kern w:val="0"/>
                <w:szCs w:val="21"/>
                <w:lang w:bidi="ar"/>
              </w:rPr>
              <w:t>建筑隔声</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404A5B4B">
            <w:pPr>
              <w:widowControl/>
              <w:jc w:val="center"/>
              <w:textAlignment w:val="center"/>
              <w:rPr>
                <w:szCs w:val="21"/>
              </w:rPr>
            </w:pPr>
            <w:r>
              <w:rPr>
                <w:kern w:val="0"/>
                <w:szCs w:val="21"/>
                <w:lang w:bidi="ar"/>
              </w:rPr>
              <w:t>15</w:t>
            </w:r>
          </w:p>
        </w:tc>
      </w:tr>
      <w:tr w14:paraId="0463B6F6">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593BC98C">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F511FAD">
            <w:pPr>
              <w:widowControl/>
              <w:jc w:val="center"/>
              <w:textAlignment w:val="center"/>
              <w:rPr>
                <w:szCs w:val="21"/>
              </w:rPr>
            </w:pPr>
            <w:r>
              <w:rPr>
                <w:kern w:val="0"/>
                <w:szCs w:val="21"/>
                <w:lang w:bidi="ar"/>
              </w:rPr>
              <w:t>猪舍排风扇</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304A0CD">
            <w:pPr>
              <w:widowControl/>
              <w:jc w:val="center"/>
              <w:textAlignment w:val="center"/>
              <w:rPr>
                <w:szCs w:val="21"/>
              </w:rPr>
            </w:pPr>
            <w:r>
              <w:rPr>
                <w:kern w:val="0"/>
                <w:szCs w:val="21"/>
                <w:lang w:bidi="ar"/>
              </w:rPr>
              <w:t>70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33710548">
            <w:pPr>
              <w:widowControl/>
              <w:jc w:val="center"/>
              <w:textAlignment w:val="center"/>
              <w:rPr>
                <w:szCs w:val="21"/>
              </w:rPr>
            </w:pPr>
            <w:r>
              <w:rPr>
                <w:kern w:val="0"/>
                <w:szCs w:val="21"/>
                <w:lang w:bidi="ar"/>
              </w:rPr>
              <w:t>12</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336D58E9">
            <w:pPr>
              <w:widowControl/>
              <w:jc w:val="center"/>
              <w:textAlignment w:val="center"/>
              <w:rPr>
                <w:szCs w:val="21"/>
              </w:rPr>
            </w:pPr>
            <w:r>
              <w:rPr>
                <w:kern w:val="0"/>
                <w:szCs w:val="21"/>
                <w:lang w:bidi="ar"/>
              </w:rPr>
              <w:t>低噪声设备</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3DDFA489">
            <w:pPr>
              <w:widowControl/>
              <w:jc w:val="center"/>
              <w:textAlignment w:val="center"/>
              <w:rPr>
                <w:szCs w:val="21"/>
              </w:rPr>
            </w:pPr>
            <w:r>
              <w:rPr>
                <w:kern w:val="0"/>
                <w:szCs w:val="21"/>
                <w:lang w:bidi="ar"/>
              </w:rPr>
              <w:t>10</w:t>
            </w:r>
          </w:p>
        </w:tc>
      </w:tr>
      <w:tr w14:paraId="63FED0E7">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1A948AA2">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92A755A">
            <w:pPr>
              <w:widowControl/>
              <w:jc w:val="center"/>
              <w:textAlignment w:val="center"/>
              <w:rPr>
                <w:szCs w:val="21"/>
              </w:rPr>
            </w:pPr>
            <w:r>
              <w:rPr>
                <w:kern w:val="0"/>
                <w:szCs w:val="21"/>
                <w:lang w:bidi="ar"/>
              </w:rPr>
              <w:t>循环水泵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308EE48">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333B0361">
            <w:pPr>
              <w:widowControl/>
              <w:jc w:val="center"/>
              <w:textAlignment w:val="center"/>
              <w:rPr>
                <w:szCs w:val="21"/>
              </w:rPr>
            </w:pPr>
            <w:r>
              <w:rPr>
                <w:kern w:val="0"/>
                <w:szCs w:val="21"/>
                <w:lang w:bidi="ar"/>
              </w:rPr>
              <w:t>2</w:t>
            </w:r>
          </w:p>
        </w:tc>
        <w:tc>
          <w:tcPr>
            <w:tcW w:w="2731" w:type="dxa"/>
            <w:vMerge w:val="restart"/>
            <w:tcBorders>
              <w:top w:val="single" w:color="000000" w:sz="4" w:space="0"/>
              <w:left w:val="single" w:color="000000" w:sz="4" w:space="0"/>
              <w:bottom w:val="single" w:color="000000" w:sz="4" w:space="0"/>
              <w:right w:val="single" w:color="000000" w:sz="4" w:space="0"/>
            </w:tcBorders>
            <w:noWrap/>
            <w:vAlign w:val="center"/>
          </w:tcPr>
          <w:p w14:paraId="7C49EDD6">
            <w:pPr>
              <w:widowControl/>
              <w:jc w:val="center"/>
              <w:textAlignment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70E39995">
            <w:pPr>
              <w:widowControl/>
              <w:jc w:val="center"/>
              <w:textAlignment w:val="center"/>
              <w:rPr>
                <w:szCs w:val="21"/>
              </w:rPr>
            </w:pPr>
            <w:r>
              <w:rPr>
                <w:kern w:val="0"/>
                <w:szCs w:val="21"/>
                <w:lang w:bidi="ar"/>
              </w:rPr>
              <w:t>20</w:t>
            </w:r>
          </w:p>
        </w:tc>
      </w:tr>
      <w:tr w14:paraId="48D2338F">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6639AB69">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5341507">
            <w:pPr>
              <w:widowControl/>
              <w:jc w:val="center"/>
              <w:textAlignment w:val="center"/>
              <w:rPr>
                <w:szCs w:val="21"/>
              </w:rPr>
            </w:pPr>
            <w:r>
              <w:rPr>
                <w:kern w:val="0"/>
                <w:szCs w:val="21"/>
                <w:lang w:bidi="ar"/>
              </w:rPr>
              <w:t>风机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CEB005C">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271937F7">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0660D548">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EB2AA66">
            <w:pPr>
              <w:widowControl/>
              <w:jc w:val="center"/>
              <w:textAlignment w:val="center"/>
              <w:rPr>
                <w:szCs w:val="21"/>
              </w:rPr>
            </w:pPr>
            <w:r>
              <w:rPr>
                <w:kern w:val="0"/>
                <w:szCs w:val="21"/>
                <w:lang w:bidi="ar"/>
              </w:rPr>
              <w:t>20</w:t>
            </w:r>
          </w:p>
        </w:tc>
      </w:tr>
      <w:tr w14:paraId="466F4AF4">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12119764">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BB38415">
            <w:pPr>
              <w:widowControl/>
              <w:jc w:val="center"/>
              <w:textAlignment w:val="center"/>
              <w:rPr>
                <w:szCs w:val="21"/>
              </w:rPr>
            </w:pPr>
            <w:r>
              <w:rPr>
                <w:kern w:val="0"/>
                <w:szCs w:val="21"/>
                <w:lang w:bidi="ar"/>
              </w:rPr>
              <w:t>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9B02278">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48734D92">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0F05251C">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4CEB3DF9">
            <w:pPr>
              <w:widowControl/>
              <w:jc w:val="center"/>
              <w:textAlignment w:val="center"/>
              <w:rPr>
                <w:szCs w:val="21"/>
              </w:rPr>
            </w:pPr>
            <w:r>
              <w:rPr>
                <w:kern w:val="0"/>
                <w:szCs w:val="21"/>
                <w:lang w:bidi="ar"/>
              </w:rPr>
              <w:t>20</w:t>
            </w:r>
          </w:p>
        </w:tc>
      </w:tr>
      <w:tr w14:paraId="133BACF3">
        <w:tblPrEx>
          <w:tblCellMar>
            <w:top w:w="0" w:type="dxa"/>
            <w:left w:w="108" w:type="dxa"/>
            <w:bottom w:w="0" w:type="dxa"/>
            <w:right w:w="108" w:type="dxa"/>
          </w:tblCellMar>
        </w:tblPrEx>
        <w:trPr>
          <w:trHeight w:val="285" w:hRule="atLeast"/>
        </w:trPr>
        <w:tc>
          <w:tcPr>
            <w:tcW w:w="681" w:type="dxa"/>
            <w:vMerge w:val="continue"/>
            <w:tcBorders>
              <w:left w:val="single" w:color="000000" w:sz="4" w:space="0"/>
              <w:bottom w:val="single" w:color="000000" w:sz="4" w:space="0"/>
              <w:right w:val="single" w:color="000000" w:sz="4" w:space="0"/>
            </w:tcBorders>
            <w:noWrap/>
            <w:vAlign w:val="center"/>
          </w:tcPr>
          <w:p w14:paraId="1A478162">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7DF7596">
            <w:pPr>
              <w:widowControl/>
              <w:jc w:val="center"/>
              <w:textAlignment w:val="center"/>
              <w:rPr>
                <w:kern w:val="0"/>
                <w:szCs w:val="21"/>
                <w:lang w:bidi="ar"/>
              </w:rPr>
            </w:pPr>
            <w:r>
              <w:rPr>
                <w:kern w:val="0"/>
                <w:szCs w:val="21"/>
                <w:lang w:bidi="ar"/>
              </w:rPr>
              <w:t>固液分离机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2CF7655">
            <w:pPr>
              <w:widowControl/>
              <w:jc w:val="center"/>
              <w:textAlignment w:val="center"/>
              <w:rPr>
                <w:kern w:val="0"/>
                <w:szCs w:val="21"/>
                <w:lang w:bidi="ar"/>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0C542E83">
            <w:pPr>
              <w:widowControl/>
              <w:jc w:val="center"/>
              <w:textAlignment w:val="center"/>
              <w:rPr>
                <w:kern w:val="0"/>
                <w:szCs w:val="21"/>
                <w:lang w:bidi="ar"/>
              </w:rPr>
            </w:pPr>
            <w:r>
              <w:rPr>
                <w:kern w:val="0"/>
                <w:szCs w:val="21"/>
                <w:lang w:bidi="ar"/>
              </w:rPr>
              <w:t>1</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191A2B5C">
            <w:pPr>
              <w:jc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13C30EB">
            <w:pPr>
              <w:widowControl/>
              <w:jc w:val="center"/>
              <w:textAlignment w:val="center"/>
              <w:rPr>
                <w:kern w:val="0"/>
                <w:szCs w:val="21"/>
                <w:lang w:bidi="ar"/>
              </w:rPr>
            </w:pPr>
            <w:r>
              <w:rPr>
                <w:kern w:val="0"/>
                <w:szCs w:val="21"/>
                <w:lang w:bidi="ar"/>
              </w:rPr>
              <w:t>20</w:t>
            </w:r>
          </w:p>
        </w:tc>
      </w:tr>
      <w:tr w14:paraId="32F21E68">
        <w:tblPrEx>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right w:val="single" w:color="000000" w:sz="4" w:space="0"/>
            </w:tcBorders>
            <w:noWrap/>
            <w:vAlign w:val="center"/>
          </w:tcPr>
          <w:p w14:paraId="08553AF6">
            <w:pPr>
              <w:widowControl/>
              <w:jc w:val="center"/>
              <w:textAlignment w:val="center"/>
              <w:rPr>
                <w:szCs w:val="21"/>
              </w:rPr>
            </w:pPr>
            <w:r>
              <w:rPr>
                <w:kern w:val="0"/>
                <w:szCs w:val="21"/>
                <w:lang w:bidi="ar"/>
              </w:rPr>
              <w:t>4号地</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686144B">
            <w:pPr>
              <w:widowControl/>
              <w:jc w:val="center"/>
              <w:textAlignment w:val="center"/>
              <w:rPr>
                <w:szCs w:val="21"/>
              </w:rPr>
            </w:pPr>
            <w:r>
              <w:rPr>
                <w:kern w:val="0"/>
                <w:szCs w:val="21"/>
                <w:lang w:bidi="ar"/>
              </w:rPr>
              <w:t>猪只叫声</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114B35E">
            <w:pPr>
              <w:widowControl/>
              <w:jc w:val="center"/>
              <w:textAlignment w:val="center"/>
              <w:rPr>
                <w:szCs w:val="21"/>
              </w:rPr>
            </w:pPr>
            <w:r>
              <w:rPr>
                <w:kern w:val="0"/>
                <w:szCs w:val="21"/>
                <w:lang w:bidi="ar"/>
              </w:rPr>
              <w:t>80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3AD712B2">
            <w:pPr>
              <w:widowControl/>
              <w:jc w:val="center"/>
              <w:textAlignment w:val="center"/>
              <w:rPr>
                <w:szCs w:val="21"/>
              </w:rPr>
            </w:pPr>
            <w:r>
              <w:rPr>
                <w:kern w:val="0"/>
                <w:szCs w:val="21"/>
                <w:lang w:bidi="ar"/>
              </w:rPr>
              <w:t>猪舍3间</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5B070FED">
            <w:pPr>
              <w:widowControl/>
              <w:jc w:val="center"/>
              <w:textAlignment w:val="center"/>
              <w:rPr>
                <w:szCs w:val="21"/>
              </w:rPr>
            </w:pPr>
            <w:r>
              <w:rPr>
                <w:kern w:val="0"/>
                <w:szCs w:val="21"/>
                <w:lang w:bidi="ar"/>
              </w:rPr>
              <w:t>建筑隔声</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48C92F4">
            <w:pPr>
              <w:widowControl/>
              <w:jc w:val="center"/>
              <w:textAlignment w:val="center"/>
              <w:rPr>
                <w:szCs w:val="21"/>
              </w:rPr>
            </w:pPr>
            <w:r>
              <w:rPr>
                <w:kern w:val="0"/>
                <w:szCs w:val="21"/>
                <w:lang w:bidi="ar"/>
              </w:rPr>
              <w:t>15</w:t>
            </w:r>
          </w:p>
        </w:tc>
      </w:tr>
      <w:tr w14:paraId="4685CF82">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2F07D1BB">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55C1881">
            <w:pPr>
              <w:widowControl/>
              <w:jc w:val="center"/>
              <w:textAlignment w:val="center"/>
              <w:rPr>
                <w:szCs w:val="21"/>
              </w:rPr>
            </w:pPr>
            <w:r>
              <w:rPr>
                <w:kern w:val="0"/>
                <w:szCs w:val="21"/>
                <w:lang w:bidi="ar"/>
              </w:rPr>
              <w:t>猪舍排风扇</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64D0BF9">
            <w:pPr>
              <w:widowControl/>
              <w:jc w:val="center"/>
              <w:textAlignment w:val="center"/>
              <w:rPr>
                <w:szCs w:val="21"/>
              </w:rPr>
            </w:pPr>
            <w:r>
              <w:rPr>
                <w:kern w:val="0"/>
                <w:szCs w:val="21"/>
                <w:lang w:bidi="ar"/>
              </w:rPr>
              <w:t>70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157C5626">
            <w:pPr>
              <w:widowControl/>
              <w:jc w:val="center"/>
              <w:textAlignment w:val="center"/>
              <w:rPr>
                <w:szCs w:val="21"/>
              </w:rPr>
            </w:pPr>
            <w:r>
              <w:rPr>
                <w:kern w:val="0"/>
                <w:szCs w:val="21"/>
                <w:lang w:bidi="ar"/>
              </w:rPr>
              <w:t>18</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658FC8BC">
            <w:pPr>
              <w:widowControl/>
              <w:jc w:val="center"/>
              <w:textAlignment w:val="center"/>
              <w:rPr>
                <w:szCs w:val="21"/>
              </w:rPr>
            </w:pPr>
            <w:r>
              <w:rPr>
                <w:kern w:val="0"/>
                <w:szCs w:val="21"/>
                <w:lang w:bidi="ar"/>
              </w:rPr>
              <w:t>低噪声设备</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258700F4">
            <w:pPr>
              <w:widowControl/>
              <w:jc w:val="center"/>
              <w:textAlignment w:val="center"/>
              <w:rPr>
                <w:szCs w:val="21"/>
              </w:rPr>
            </w:pPr>
            <w:r>
              <w:rPr>
                <w:kern w:val="0"/>
                <w:szCs w:val="21"/>
                <w:lang w:bidi="ar"/>
              </w:rPr>
              <w:t>10</w:t>
            </w:r>
          </w:p>
        </w:tc>
      </w:tr>
      <w:tr w14:paraId="0FD19D5C">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18B695AC">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F313925">
            <w:pPr>
              <w:widowControl/>
              <w:jc w:val="center"/>
              <w:textAlignment w:val="center"/>
              <w:rPr>
                <w:szCs w:val="21"/>
              </w:rPr>
            </w:pPr>
            <w:r>
              <w:rPr>
                <w:kern w:val="0"/>
                <w:szCs w:val="21"/>
                <w:lang w:bidi="ar"/>
              </w:rPr>
              <w:t>循环水泵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64CFB7B">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0FD41757">
            <w:pPr>
              <w:widowControl/>
              <w:jc w:val="center"/>
              <w:textAlignment w:val="center"/>
              <w:rPr>
                <w:szCs w:val="21"/>
              </w:rPr>
            </w:pPr>
            <w:r>
              <w:rPr>
                <w:kern w:val="0"/>
                <w:szCs w:val="21"/>
                <w:lang w:bidi="ar"/>
              </w:rPr>
              <w:t>2</w:t>
            </w:r>
          </w:p>
        </w:tc>
        <w:tc>
          <w:tcPr>
            <w:tcW w:w="2731" w:type="dxa"/>
            <w:vMerge w:val="restart"/>
            <w:tcBorders>
              <w:top w:val="single" w:color="000000" w:sz="4" w:space="0"/>
              <w:left w:val="single" w:color="000000" w:sz="4" w:space="0"/>
              <w:bottom w:val="single" w:color="000000" w:sz="4" w:space="0"/>
              <w:right w:val="single" w:color="000000" w:sz="4" w:space="0"/>
            </w:tcBorders>
            <w:noWrap/>
            <w:vAlign w:val="center"/>
          </w:tcPr>
          <w:p w14:paraId="0CEED05E">
            <w:pPr>
              <w:widowControl/>
              <w:jc w:val="center"/>
              <w:textAlignment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6147F120">
            <w:pPr>
              <w:widowControl/>
              <w:jc w:val="center"/>
              <w:textAlignment w:val="center"/>
              <w:rPr>
                <w:szCs w:val="21"/>
              </w:rPr>
            </w:pPr>
            <w:r>
              <w:rPr>
                <w:kern w:val="0"/>
                <w:szCs w:val="21"/>
                <w:lang w:bidi="ar"/>
              </w:rPr>
              <w:t>20</w:t>
            </w:r>
          </w:p>
        </w:tc>
      </w:tr>
      <w:tr w14:paraId="684198F0">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07E51640">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D96652E">
            <w:pPr>
              <w:widowControl/>
              <w:jc w:val="center"/>
              <w:textAlignment w:val="center"/>
              <w:rPr>
                <w:szCs w:val="21"/>
              </w:rPr>
            </w:pPr>
            <w:r>
              <w:rPr>
                <w:kern w:val="0"/>
                <w:szCs w:val="21"/>
                <w:lang w:bidi="ar"/>
              </w:rPr>
              <w:t>风机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6F4E8DE">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6BEE5DCE">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797EF586">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0740CB4">
            <w:pPr>
              <w:widowControl/>
              <w:jc w:val="center"/>
              <w:textAlignment w:val="center"/>
              <w:rPr>
                <w:szCs w:val="21"/>
              </w:rPr>
            </w:pPr>
            <w:r>
              <w:rPr>
                <w:kern w:val="0"/>
                <w:szCs w:val="21"/>
                <w:lang w:bidi="ar"/>
              </w:rPr>
              <w:t>20</w:t>
            </w:r>
          </w:p>
        </w:tc>
      </w:tr>
      <w:tr w14:paraId="5B15F1FB">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3BAADD9C">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2BCA38D">
            <w:pPr>
              <w:widowControl/>
              <w:jc w:val="center"/>
              <w:textAlignment w:val="center"/>
              <w:rPr>
                <w:szCs w:val="21"/>
              </w:rPr>
            </w:pPr>
            <w:r>
              <w:rPr>
                <w:kern w:val="0"/>
                <w:szCs w:val="21"/>
                <w:lang w:bidi="ar"/>
              </w:rPr>
              <w:t>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9CF0181">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6EF767C1">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0F530E42">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47793DAC">
            <w:pPr>
              <w:widowControl/>
              <w:jc w:val="center"/>
              <w:textAlignment w:val="center"/>
              <w:rPr>
                <w:szCs w:val="21"/>
              </w:rPr>
            </w:pPr>
            <w:r>
              <w:rPr>
                <w:kern w:val="0"/>
                <w:szCs w:val="21"/>
                <w:lang w:bidi="ar"/>
              </w:rPr>
              <w:t>20</w:t>
            </w:r>
          </w:p>
        </w:tc>
      </w:tr>
      <w:tr w14:paraId="7FA372BA">
        <w:tblPrEx>
          <w:tblCellMar>
            <w:top w:w="0" w:type="dxa"/>
            <w:left w:w="108" w:type="dxa"/>
            <w:bottom w:w="0" w:type="dxa"/>
            <w:right w:w="108" w:type="dxa"/>
          </w:tblCellMar>
        </w:tblPrEx>
        <w:trPr>
          <w:trHeight w:val="285" w:hRule="atLeast"/>
        </w:trPr>
        <w:tc>
          <w:tcPr>
            <w:tcW w:w="681" w:type="dxa"/>
            <w:vMerge w:val="continue"/>
            <w:tcBorders>
              <w:left w:val="single" w:color="000000" w:sz="4" w:space="0"/>
              <w:bottom w:val="single" w:color="000000" w:sz="4" w:space="0"/>
              <w:right w:val="single" w:color="000000" w:sz="4" w:space="0"/>
            </w:tcBorders>
            <w:noWrap/>
            <w:vAlign w:val="center"/>
          </w:tcPr>
          <w:p w14:paraId="689D449D">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9567FF2">
            <w:pPr>
              <w:widowControl/>
              <w:jc w:val="center"/>
              <w:textAlignment w:val="center"/>
              <w:rPr>
                <w:kern w:val="0"/>
                <w:szCs w:val="21"/>
                <w:lang w:bidi="ar"/>
              </w:rPr>
            </w:pPr>
            <w:r>
              <w:rPr>
                <w:kern w:val="0"/>
                <w:szCs w:val="21"/>
                <w:lang w:bidi="ar"/>
              </w:rPr>
              <w:t>固液分离机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E24A7D2">
            <w:pPr>
              <w:widowControl/>
              <w:jc w:val="center"/>
              <w:textAlignment w:val="center"/>
              <w:rPr>
                <w:kern w:val="0"/>
                <w:szCs w:val="21"/>
                <w:lang w:bidi="ar"/>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3BF91677">
            <w:pPr>
              <w:widowControl/>
              <w:jc w:val="center"/>
              <w:textAlignment w:val="center"/>
              <w:rPr>
                <w:kern w:val="0"/>
                <w:szCs w:val="21"/>
                <w:lang w:bidi="ar"/>
              </w:rPr>
            </w:pPr>
            <w:r>
              <w:rPr>
                <w:kern w:val="0"/>
                <w:szCs w:val="21"/>
                <w:lang w:bidi="ar"/>
              </w:rPr>
              <w:t>1</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4C4A41D5">
            <w:pPr>
              <w:jc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016E086A">
            <w:pPr>
              <w:widowControl/>
              <w:jc w:val="center"/>
              <w:textAlignment w:val="center"/>
              <w:rPr>
                <w:kern w:val="0"/>
                <w:szCs w:val="21"/>
                <w:lang w:bidi="ar"/>
              </w:rPr>
            </w:pPr>
            <w:r>
              <w:rPr>
                <w:kern w:val="0"/>
                <w:szCs w:val="21"/>
                <w:lang w:bidi="ar"/>
              </w:rPr>
              <w:t>20</w:t>
            </w:r>
          </w:p>
        </w:tc>
      </w:tr>
      <w:tr w14:paraId="01EB6FA9">
        <w:tblPrEx>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right w:val="single" w:color="000000" w:sz="4" w:space="0"/>
            </w:tcBorders>
            <w:noWrap/>
            <w:vAlign w:val="center"/>
          </w:tcPr>
          <w:p w14:paraId="7A7F3BA1">
            <w:pPr>
              <w:widowControl/>
              <w:jc w:val="center"/>
              <w:textAlignment w:val="center"/>
              <w:rPr>
                <w:szCs w:val="21"/>
              </w:rPr>
            </w:pPr>
            <w:r>
              <w:rPr>
                <w:kern w:val="0"/>
                <w:szCs w:val="21"/>
                <w:lang w:bidi="ar"/>
              </w:rPr>
              <w:t>5号地</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1F3FFA7">
            <w:pPr>
              <w:widowControl/>
              <w:jc w:val="center"/>
              <w:textAlignment w:val="center"/>
              <w:rPr>
                <w:szCs w:val="21"/>
              </w:rPr>
            </w:pPr>
            <w:r>
              <w:rPr>
                <w:kern w:val="0"/>
                <w:szCs w:val="21"/>
                <w:lang w:bidi="ar"/>
              </w:rPr>
              <w:t>猪只叫声</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834B29F">
            <w:pPr>
              <w:widowControl/>
              <w:jc w:val="center"/>
              <w:textAlignment w:val="center"/>
              <w:rPr>
                <w:szCs w:val="21"/>
              </w:rPr>
            </w:pPr>
            <w:r>
              <w:rPr>
                <w:kern w:val="0"/>
                <w:szCs w:val="21"/>
                <w:lang w:bidi="ar"/>
              </w:rPr>
              <w:t>80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4CBDED7B">
            <w:pPr>
              <w:widowControl/>
              <w:jc w:val="center"/>
              <w:textAlignment w:val="center"/>
              <w:rPr>
                <w:szCs w:val="21"/>
              </w:rPr>
            </w:pPr>
            <w:r>
              <w:rPr>
                <w:kern w:val="0"/>
                <w:szCs w:val="21"/>
                <w:lang w:bidi="ar"/>
              </w:rPr>
              <w:t>猪舍4间</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5888260D">
            <w:pPr>
              <w:widowControl/>
              <w:jc w:val="center"/>
              <w:textAlignment w:val="center"/>
              <w:rPr>
                <w:szCs w:val="21"/>
              </w:rPr>
            </w:pPr>
            <w:r>
              <w:rPr>
                <w:kern w:val="0"/>
                <w:szCs w:val="21"/>
                <w:lang w:bidi="ar"/>
              </w:rPr>
              <w:t>建筑隔声</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700424E4">
            <w:pPr>
              <w:widowControl/>
              <w:jc w:val="center"/>
              <w:textAlignment w:val="center"/>
              <w:rPr>
                <w:szCs w:val="21"/>
              </w:rPr>
            </w:pPr>
            <w:r>
              <w:rPr>
                <w:kern w:val="0"/>
                <w:szCs w:val="21"/>
                <w:lang w:bidi="ar"/>
              </w:rPr>
              <w:t>15</w:t>
            </w:r>
          </w:p>
        </w:tc>
      </w:tr>
      <w:tr w14:paraId="63C77F44">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4464DA43">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2DB73C5">
            <w:pPr>
              <w:widowControl/>
              <w:jc w:val="center"/>
              <w:textAlignment w:val="center"/>
              <w:rPr>
                <w:szCs w:val="21"/>
              </w:rPr>
            </w:pPr>
            <w:r>
              <w:rPr>
                <w:kern w:val="0"/>
                <w:szCs w:val="21"/>
                <w:lang w:bidi="ar"/>
              </w:rPr>
              <w:t>猪舍排风扇</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5529E0D">
            <w:pPr>
              <w:widowControl/>
              <w:jc w:val="center"/>
              <w:textAlignment w:val="center"/>
              <w:rPr>
                <w:szCs w:val="21"/>
              </w:rPr>
            </w:pPr>
            <w:r>
              <w:rPr>
                <w:kern w:val="0"/>
                <w:szCs w:val="21"/>
                <w:lang w:bidi="ar"/>
              </w:rPr>
              <w:t>70</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181FF909">
            <w:pPr>
              <w:widowControl/>
              <w:jc w:val="center"/>
              <w:textAlignment w:val="center"/>
              <w:rPr>
                <w:szCs w:val="21"/>
              </w:rPr>
            </w:pPr>
            <w:r>
              <w:rPr>
                <w:kern w:val="0"/>
                <w:szCs w:val="21"/>
                <w:lang w:bidi="ar"/>
              </w:rPr>
              <w:t>24</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1995CCA5">
            <w:pPr>
              <w:widowControl/>
              <w:jc w:val="center"/>
              <w:textAlignment w:val="center"/>
              <w:rPr>
                <w:szCs w:val="21"/>
              </w:rPr>
            </w:pPr>
            <w:r>
              <w:rPr>
                <w:kern w:val="0"/>
                <w:szCs w:val="21"/>
                <w:lang w:bidi="ar"/>
              </w:rPr>
              <w:t>低噪声设备</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23A269BE">
            <w:pPr>
              <w:widowControl/>
              <w:jc w:val="center"/>
              <w:textAlignment w:val="center"/>
              <w:rPr>
                <w:szCs w:val="21"/>
              </w:rPr>
            </w:pPr>
            <w:r>
              <w:rPr>
                <w:kern w:val="0"/>
                <w:szCs w:val="21"/>
                <w:lang w:bidi="ar"/>
              </w:rPr>
              <w:t>10</w:t>
            </w:r>
          </w:p>
        </w:tc>
      </w:tr>
      <w:tr w14:paraId="4C8DF530">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7E24BEA2">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52E2AE7">
            <w:pPr>
              <w:widowControl/>
              <w:jc w:val="center"/>
              <w:textAlignment w:val="center"/>
              <w:rPr>
                <w:szCs w:val="21"/>
              </w:rPr>
            </w:pPr>
            <w:r>
              <w:rPr>
                <w:kern w:val="0"/>
                <w:szCs w:val="21"/>
                <w:lang w:bidi="ar"/>
              </w:rPr>
              <w:t>循环水泵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BCF7C7A">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130D59B6">
            <w:pPr>
              <w:widowControl/>
              <w:jc w:val="center"/>
              <w:textAlignment w:val="center"/>
              <w:rPr>
                <w:szCs w:val="21"/>
              </w:rPr>
            </w:pPr>
            <w:r>
              <w:rPr>
                <w:kern w:val="0"/>
                <w:szCs w:val="21"/>
                <w:lang w:bidi="ar"/>
              </w:rPr>
              <w:t>2</w:t>
            </w:r>
          </w:p>
        </w:tc>
        <w:tc>
          <w:tcPr>
            <w:tcW w:w="2731" w:type="dxa"/>
            <w:vMerge w:val="restart"/>
            <w:tcBorders>
              <w:top w:val="single" w:color="000000" w:sz="4" w:space="0"/>
              <w:left w:val="single" w:color="000000" w:sz="4" w:space="0"/>
              <w:bottom w:val="single" w:color="000000" w:sz="4" w:space="0"/>
              <w:right w:val="single" w:color="000000" w:sz="4" w:space="0"/>
            </w:tcBorders>
            <w:noWrap/>
            <w:vAlign w:val="center"/>
          </w:tcPr>
          <w:p w14:paraId="208CA8DC">
            <w:pPr>
              <w:widowControl/>
              <w:jc w:val="center"/>
              <w:textAlignment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45BBCBF6">
            <w:pPr>
              <w:widowControl/>
              <w:jc w:val="center"/>
              <w:textAlignment w:val="center"/>
              <w:rPr>
                <w:szCs w:val="21"/>
              </w:rPr>
            </w:pPr>
            <w:r>
              <w:rPr>
                <w:kern w:val="0"/>
                <w:szCs w:val="21"/>
                <w:lang w:bidi="ar"/>
              </w:rPr>
              <w:t>20</w:t>
            </w:r>
          </w:p>
        </w:tc>
      </w:tr>
      <w:tr w14:paraId="7440A994">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67AB9C16">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236E4EF">
            <w:pPr>
              <w:widowControl/>
              <w:jc w:val="center"/>
              <w:textAlignment w:val="center"/>
              <w:rPr>
                <w:szCs w:val="21"/>
              </w:rPr>
            </w:pPr>
            <w:r>
              <w:rPr>
                <w:kern w:val="0"/>
                <w:szCs w:val="21"/>
                <w:lang w:bidi="ar"/>
              </w:rPr>
              <w:t>风机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CCFB2D0">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7AF26B46">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250B0EBE">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1754A5D7">
            <w:pPr>
              <w:widowControl/>
              <w:jc w:val="center"/>
              <w:textAlignment w:val="center"/>
              <w:rPr>
                <w:szCs w:val="21"/>
              </w:rPr>
            </w:pPr>
            <w:r>
              <w:rPr>
                <w:kern w:val="0"/>
                <w:szCs w:val="21"/>
                <w:lang w:bidi="ar"/>
              </w:rPr>
              <w:t>20</w:t>
            </w:r>
          </w:p>
        </w:tc>
      </w:tr>
      <w:tr w14:paraId="45C6CA49">
        <w:tblPrEx>
          <w:tblCellMar>
            <w:top w:w="0" w:type="dxa"/>
            <w:left w:w="108" w:type="dxa"/>
            <w:bottom w:w="0" w:type="dxa"/>
            <w:right w:w="108" w:type="dxa"/>
          </w:tblCellMar>
        </w:tblPrEx>
        <w:trPr>
          <w:trHeight w:val="285" w:hRule="atLeast"/>
        </w:trPr>
        <w:tc>
          <w:tcPr>
            <w:tcW w:w="681" w:type="dxa"/>
            <w:vMerge w:val="continue"/>
            <w:tcBorders>
              <w:left w:val="single" w:color="000000" w:sz="4" w:space="0"/>
              <w:right w:val="single" w:color="000000" w:sz="4" w:space="0"/>
            </w:tcBorders>
            <w:noWrap/>
            <w:vAlign w:val="center"/>
          </w:tcPr>
          <w:p w14:paraId="73DBD836">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C9497B5">
            <w:pPr>
              <w:widowControl/>
              <w:jc w:val="center"/>
              <w:textAlignment w:val="center"/>
              <w:rPr>
                <w:szCs w:val="21"/>
              </w:rPr>
            </w:pPr>
            <w:r>
              <w:rPr>
                <w:kern w:val="0"/>
                <w:szCs w:val="21"/>
                <w:lang w:bidi="ar"/>
              </w:rPr>
              <w:t>水泵</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11F6610">
            <w:pPr>
              <w:widowControl/>
              <w:jc w:val="center"/>
              <w:textAlignment w:val="center"/>
              <w:rPr>
                <w:szCs w:val="21"/>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75CE43BB">
            <w:pPr>
              <w:widowControl/>
              <w:jc w:val="center"/>
              <w:textAlignment w:val="center"/>
              <w:rPr>
                <w:szCs w:val="21"/>
              </w:rPr>
            </w:pPr>
            <w:r>
              <w:rPr>
                <w:kern w:val="0"/>
                <w:szCs w:val="21"/>
                <w:lang w:bidi="ar"/>
              </w:rPr>
              <w:t>2</w:t>
            </w:r>
          </w:p>
        </w:tc>
        <w:tc>
          <w:tcPr>
            <w:tcW w:w="2731" w:type="dxa"/>
            <w:vMerge w:val="continue"/>
            <w:tcBorders>
              <w:top w:val="single" w:color="000000" w:sz="4" w:space="0"/>
              <w:left w:val="single" w:color="000000" w:sz="4" w:space="0"/>
              <w:bottom w:val="single" w:color="000000" w:sz="4" w:space="0"/>
              <w:right w:val="single" w:color="000000" w:sz="4" w:space="0"/>
            </w:tcBorders>
            <w:noWrap/>
            <w:vAlign w:val="center"/>
          </w:tcPr>
          <w:p w14:paraId="5C26CBCB">
            <w:pPr>
              <w:jc w:val="center"/>
              <w:rPr>
                <w:szCs w:val="21"/>
              </w:rPr>
            </w:pP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73DA8716">
            <w:pPr>
              <w:widowControl/>
              <w:jc w:val="center"/>
              <w:textAlignment w:val="center"/>
              <w:rPr>
                <w:szCs w:val="21"/>
              </w:rPr>
            </w:pPr>
            <w:r>
              <w:rPr>
                <w:kern w:val="0"/>
                <w:szCs w:val="21"/>
                <w:lang w:bidi="ar"/>
              </w:rPr>
              <w:t>20</w:t>
            </w:r>
          </w:p>
        </w:tc>
      </w:tr>
      <w:tr w14:paraId="103FC58A">
        <w:tblPrEx>
          <w:tblCellMar>
            <w:top w:w="0" w:type="dxa"/>
            <w:left w:w="108" w:type="dxa"/>
            <w:bottom w:w="0" w:type="dxa"/>
            <w:right w:w="108" w:type="dxa"/>
          </w:tblCellMar>
        </w:tblPrEx>
        <w:trPr>
          <w:trHeight w:val="285" w:hRule="atLeast"/>
        </w:trPr>
        <w:tc>
          <w:tcPr>
            <w:tcW w:w="681" w:type="dxa"/>
            <w:vMerge w:val="continue"/>
            <w:tcBorders>
              <w:left w:val="single" w:color="000000" w:sz="4" w:space="0"/>
              <w:bottom w:val="single" w:color="000000" w:sz="4" w:space="0"/>
              <w:right w:val="single" w:color="000000" w:sz="4" w:space="0"/>
            </w:tcBorders>
            <w:noWrap/>
            <w:vAlign w:val="center"/>
          </w:tcPr>
          <w:p w14:paraId="5419950C">
            <w:pPr>
              <w:jc w:val="center"/>
              <w:rPr>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3F94D88">
            <w:pPr>
              <w:widowControl/>
              <w:jc w:val="center"/>
              <w:textAlignment w:val="center"/>
              <w:rPr>
                <w:kern w:val="0"/>
                <w:szCs w:val="21"/>
                <w:lang w:bidi="ar"/>
              </w:rPr>
            </w:pPr>
            <w:r>
              <w:rPr>
                <w:kern w:val="0"/>
                <w:szCs w:val="21"/>
                <w:lang w:bidi="ar"/>
              </w:rPr>
              <w:t>固液分离机</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F569776">
            <w:pPr>
              <w:widowControl/>
              <w:jc w:val="center"/>
              <w:textAlignment w:val="center"/>
              <w:rPr>
                <w:kern w:val="0"/>
                <w:szCs w:val="21"/>
                <w:lang w:bidi="ar"/>
              </w:rPr>
            </w:pPr>
            <w:r>
              <w:rPr>
                <w:kern w:val="0"/>
                <w:szCs w:val="21"/>
                <w:lang w:bidi="ar"/>
              </w:rPr>
              <w:t>85</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75633968">
            <w:pPr>
              <w:widowControl/>
              <w:jc w:val="center"/>
              <w:textAlignment w:val="center"/>
              <w:rPr>
                <w:kern w:val="0"/>
                <w:szCs w:val="21"/>
                <w:lang w:bidi="ar"/>
              </w:rPr>
            </w:pPr>
            <w:r>
              <w:rPr>
                <w:kern w:val="0"/>
                <w:szCs w:val="21"/>
                <w:lang w:bidi="ar"/>
              </w:rPr>
              <w:t>1</w:t>
            </w:r>
          </w:p>
        </w:tc>
        <w:tc>
          <w:tcPr>
            <w:tcW w:w="2731" w:type="dxa"/>
            <w:tcBorders>
              <w:top w:val="single" w:color="000000" w:sz="4" w:space="0"/>
              <w:left w:val="single" w:color="000000" w:sz="4" w:space="0"/>
              <w:bottom w:val="single" w:color="000000" w:sz="4" w:space="0"/>
              <w:right w:val="single" w:color="000000" w:sz="4" w:space="0"/>
            </w:tcBorders>
            <w:noWrap/>
            <w:vAlign w:val="center"/>
          </w:tcPr>
          <w:p w14:paraId="457820A7">
            <w:pPr>
              <w:jc w:val="center"/>
              <w:rPr>
                <w:szCs w:val="21"/>
              </w:rPr>
            </w:pPr>
            <w:r>
              <w:rPr>
                <w:kern w:val="0"/>
                <w:szCs w:val="21"/>
                <w:lang w:bidi="ar"/>
              </w:rPr>
              <w:t>选低噪声设备、隔声、减振</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0347F8AD">
            <w:pPr>
              <w:widowControl/>
              <w:jc w:val="center"/>
              <w:textAlignment w:val="center"/>
              <w:rPr>
                <w:kern w:val="0"/>
                <w:szCs w:val="21"/>
                <w:lang w:bidi="ar"/>
              </w:rPr>
            </w:pPr>
            <w:r>
              <w:rPr>
                <w:kern w:val="0"/>
                <w:szCs w:val="21"/>
                <w:lang w:bidi="ar"/>
              </w:rPr>
              <w:t>20</w:t>
            </w:r>
          </w:p>
        </w:tc>
      </w:tr>
    </w:tbl>
    <w:p w14:paraId="515A294C">
      <w:pPr>
        <w:pStyle w:val="7"/>
        <w:spacing w:before="0" w:after="0" w:line="360" w:lineRule="auto"/>
        <w:rPr>
          <w:rFonts w:ascii="Times New Roman" w:hAnsi="Times New Roman"/>
          <w:sz w:val="28"/>
          <w:szCs w:val="28"/>
        </w:rPr>
      </w:pPr>
      <w:r>
        <w:rPr>
          <w:rFonts w:ascii="Times New Roman" w:hAnsi="Times New Roman"/>
          <w:sz w:val="28"/>
          <w:szCs w:val="28"/>
        </w:rPr>
        <w:t>3.4.4固体废物</w:t>
      </w:r>
    </w:p>
    <w:p w14:paraId="44F23405">
      <w:pPr>
        <w:spacing w:line="360" w:lineRule="auto"/>
        <w:ind w:firstLine="480" w:firstLineChars="200"/>
        <w:rPr>
          <w:sz w:val="24"/>
        </w:rPr>
      </w:pPr>
      <w:r>
        <w:rPr>
          <w:sz w:val="24"/>
        </w:rPr>
        <w:t>营运期固体废物主要包括一般生产固废、危险固废及生活垃圾等。一般生产固废包括猪粪、饲料残渣、沼渣、废弃包装材料、废脱硫剂、病死猪只、食堂厨余垃圾等、动物防疫产生的医疗固废等。</w:t>
      </w:r>
    </w:p>
    <w:p w14:paraId="3DA5BB5F">
      <w:pPr>
        <w:pStyle w:val="1959"/>
        <w:spacing w:line="360" w:lineRule="auto"/>
        <w:ind w:firstLine="454" w:firstLineChars="200"/>
        <w:rPr>
          <w:b/>
          <w:spacing w:val="-7"/>
          <w:sz w:val="24"/>
        </w:rPr>
      </w:pPr>
      <w:r>
        <w:rPr>
          <w:b/>
          <w:spacing w:val="-7"/>
          <w:sz w:val="24"/>
        </w:rPr>
        <w:t>（1）固废产生情况</w:t>
      </w:r>
    </w:p>
    <w:p w14:paraId="574A77F2">
      <w:pPr>
        <w:pStyle w:val="1959"/>
        <w:spacing w:line="360" w:lineRule="auto"/>
        <w:ind w:firstLine="454" w:firstLineChars="200"/>
        <w:rPr>
          <w:b/>
          <w:spacing w:val="-7"/>
          <w:sz w:val="24"/>
        </w:rPr>
      </w:pPr>
      <w:r>
        <w:rPr>
          <w:b/>
          <w:spacing w:val="-7"/>
          <w:sz w:val="24"/>
        </w:rPr>
        <w:t>①猪粪</w:t>
      </w:r>
    </w:p>
    <w:p w14:paraId="3D6CC9AA">
      <w:pPr>
        <w:pStyle w:val="323"/>
        <w:spacing w:line="360" w:lineRule="auto"/>
        <w:ind w:firstLine="461"/>
      </w:pPr>
      <w:r>
        <w:t>根据《排污许可证申请与核发技术规范 畜禽养殖行业》(HJ 1029—2019)表9，生猪猪粪产生量按1.24kg/头•d 进行计算，粪便产生量见下表。</w:t>
      </w:r>
    </w:p>
    <w:p w14:paraId="3B6DCFF1">
      <w:pPr>
        <w:pStyle w:val="323"/>
        <w:spacing w:line="360" w:lineRule="auto"/>
        <w:ind w:firstLine="461"/>
      </w:pPr>
    </w:p>
    <w:p w14:paraId="7F1254E5">
      <w:pPr>
        <w:jc w:val="center"/>
      </w:pPr>
      <w:r>
        <w:rPr>
          <w:b/>
        </w:rPr>
        <w:t>3.4-14  本项目各类型猪粪便污染物排放参数及产排污表</w:t>
      </w:r>
    </w:p>
    <w:tbl>
      <w:tblPr>
        <w:tblStyle w:val="87"/>
        <w:tblW w:w="5000" w:type="pct"/>
        <w:tblInd w:w="0" w:type="dxa"/>
        <w:tblLayout w:type="fixed"/>
        <w:tblCellMar>
          <w:top w:w="0" w:type="dxa"/>
          <w:left w:w="108" w:type="dxa"/>
          <w:bottom w:w="0" w:type="dxa"/>
          <w:right w:w="108" w:type="dxa"/>
        </w:tblCellMar>
      </w:tblPr>
      <w:tblGrid>
        <w:gridCol w:w="574"/>
        <w:gridCol w:w="2703"/>
        <w:gridCol w:w="1109"/>
        <w:gridCol w:w="1238"/>
        <w:gridCol w:w="1540"/>
        <w:gridCol w:w="1364"/>
      </w:tblGrid>
      <w:tr w14:paraId="52B07FCC">
        <w:tblPrEx>
          <w:tblCellMar>
            <w:top w:w="0" w:type="dxa"/>
            <w:left w:w="108" w:type="dxa"/>
            <w:bottom w:w="0" w:type="dxa"/>
            <w:right w:w="108" w:type="dxa"/>
          </w:tblCellMar>
        </w:tblPrEx>
        <w:trPr>
          <w:trHeight w:val="510"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654836E4">
            <w:pPr>
              <w:rPr>
                <w:szCs w:val="21"/>
              </w:rPr>
            </w:pPr>
            <w:r>
              <w:rPr>
                <w:szCs w:val="21"/>
              </w:rPr>
              <w:t>地块</w:t>
            </w: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3A199255">
            <w:pPr>
              <w:rPr>
                <w:szCs w:val="21"/>
              </w:rPr>
            </w:pPr>
            <w:r>
              <w:rPr>
                <w:szCs w:val="21"/>
              </w:rPr>
              <w:t>养殖舍</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73D4F087">
            <w:pPr>
              <w:widowControl/>
              <w:jc w:val="left"/>
              <w:textAlignment w:val="center"/>
              <w:rPr>
                <w:szCs w:val="21"/>
              </w:rPr>
            </w:pPr>
            <w:r>
              <w:rPr>
                <w:kern w:val="0"/>
                <w:szCs w:val="21"/>
                <w:lang w:bidi="ar"/>
              </w:rPr>
              <w:t>存栏数量（头）</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7FB1227E">
            <w:pPr>
              <w:widowControl/>
              <w:jc w:val="left"/>
              <w:textAlignment w:val="center"/>
              <w:rPr>
                <w:szCs w:val="21"/>
              </w:rPr>
            </w:pPr>
            <w:r>
              <w:rPr>
                <w:kern w:val="0"/>
                <w:szCs w:val="21"/>
                <w:lang w:bidi="ar"/>
              </w:rPr>
              <w:t>排污系数（kg/头•天）</w:t>
            </w:r>
          </w:p>
        </w:tc>
        <w:tc>
          <w:tcPr>
            <w:tcW w:w="902" w:type="pct"/>
            <w:tcBorders>
              <w:top w:val="single" w:color="000000" w:sz="4" w:space="0"/>
              <w:left w:val="single" w:color="000000" w:sz="4" w:space="0"/>
              <w:bottom w:val="single" w:color="000000" w:sz="4" w:space="0"/>
              <w:right w:val="single" w:color="000000" w:sz="4" w:space="0"/>
            </w:tcBorders>
            <w:noWrap w:val="0"/>
            <w:vAlign w:val="center"/>
          </w:tcPr>
          <w:p w14:paraId="54F7DEEB">
            <w:pPr>
              <w:widowControl/>
              <w:jc w:val="center"/>
              <w:textAlignment w:val="center"/>
              <w:rPr>
                <w:b/>
                <w:bCs/>
                <w:szCs w:val="21"/>
              </w:rPr>
            </w:pPr>
            <w:r>
              <w:rPr>
                <w:b/>
                <w:bCs/>
                <w:kern w:val="0"/>
                <w:szCs w:val="21"/>
                <w:lang w:bidi="ar"/>
              </w:rPr>
              <w:t>天产生量（kg/d）</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14:paraId="43D21EEB">
            <w:pPr>
              <w:widowControl/>
              <w:jc w:val="center"/>
              <w:textAlignment w:val="center"/>
              <w:rPr>
                <w:b/>
                <w:bCs/>
                <w:szCs w:val="21"/>
              </w:rPr>
            </w:pPr>
            <w:r>
              <w:rPr>
                <w:b/>
                <w:bCs/>
                <w:kern w:val="0"/>
                <w:szCs w:val="21"/>
                <w:lang w:bidi="ar"/>
              </w:rPr>
              <w:t>年产生量（t/a）</w:t>
            </w:r>
          </w:p>
        </w:tc>
      </w:tr>
      <w:tr w14:paraId="3861213B">
        <w:tblPrEx>
          <w:tblCellMar>
            <w:top w:w="0" w:type="dxa"/>
            <w:left w:w="108" w:type="dxa"/>
            <w:bottom w:w="0" w:type="dxa"/>
            <w:right w:w="108" w:type="dxa"/>
          </w:tblCellMar>
        </w:tblPrEx>
        <w:trPr>
          <w:trHeight w:val="285" w:hRule="atLeast"/>
        </w:trPr>
        <w:tc>
          <w:tcPr>
            <w:tcW w:w="336" w:type="pct"/>
            <w:vMerge w:val="restart"/>
            <w:tcBorders>
              <w:top w:val="single" w:color="000000" w:sz="4" w:space="0"/>
              <w:left w:val="single" w:color="000000" w:sz="4" w:space="0"/>
              <w:bottom w:val="single" w:color="000000" w:sz="4" w:space="0"/>
              <w:right w:val="single" w:color="000000" w:sz="4" w:space="0"/>
            </w:tcBorders>
            <w:noWrap/>
            <w:vAlign w:val="center"/>
          </w:tcPr>
          <w:p w14:paraId="5B5215D2">
            <w:pPr>
              <w:widowControl/>
              <w:jc w:val="center"/>
              <w:textAlignment w:val="center"/>
              <w:rPr>
                <w:szCs w:val="21"/>
              </w:rPr>
            </w:pPr>
            <w:r>
              <w:rPr>
                <w:kern w:val="0"/>
                <w:szCs w:val="21"/>
                <w:lang w:bidi="ar"/>
              </w:rPr>
              <w:t>1号地</w:t>
            </w: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300B3C9D">
            <w:pPr>
              <w:widowControl/>
              <w:jc w:val="center"/>
              <w:textAlignment w:val="center"/>
              <w:rPr>
                <w:szCs w:val="21"/>
              </w:rPr>
            </w:pPr>
            <w:r>
              <w:rPr>
                <w:kern w:val="0"/>
                <w:szCs w:val="21"/>
                <w:lang w:bidi="ar"/>
              </w:rPr>
              <w:t>盛丰通风井位置1号舍</w:t>
            </w:r>
          </w:p>
        </w:tc>
        <w:tc>
          <w:tcPr>
            <w:tcW w:w="650" w:type="pct"/>
            <w:vMerge w:val="restart"/>
            <w:tcBorders>
              <w:top w:val="single" w:color="000000" w:sz="4" w:space="0"/>
              <w:left w:val="single" w:color="000000" w:sz="4" w:space="0"/>
              <w:bottom w:val="single" w:color="000000" w:sz="4" w:space="0"/>
              <w:right w:val="single" w:color="000000" w:sz="4" w:space="0"/>
            </w:tcBorders>
            <w:noWrap/>
            <w:vAlign w:val="center"/>
          </w:tcPr>
          <w:p w14:paraId="5AE3B08E">
            <w:pPr>
              <w:widowControl/>
              <w:jc w:val="center"/>
              <w:textAlignment w:val="center"/>
              <w:rPr>
                <w:szCs w:val="21"/>
              </w:rPr>
            </w:pPr>
            <w:r>
              <w:rPr>
                <w:kern w:val="0"/>
                <w:szCs w:val="21"/>
                <w:lang w:bidi="ar"/>
              </w:rPr>
              <w:t xml:space="preserve">1143 </w:t>
            </w:r>
          </w:p>
        </w:tc>
        <w:tc>
          <w:tcPr>
            <w:tcW w:w="726" w:type="pct"/>
            <w:vMerge w:val="restart"/>
            <w:tcBorders>
              <w:top w:val="single" w:color="000000" w:sz="4" w:space="0"/>
              <w:left w:val="single" w:color="000000" w:sz="4" w:space="0"/>
              <w:bottom w:val="single" w:color="000000" w:sz="4" w:space="0"/>
              <w:right w:val="single" w:color="000000" w:sz="4" w:space="0"/>
            </w:tcBorders>
            <w:noWrap/>
            <w:vAlign w:val="center"/>
          </w:tcPr>
          <w:p w14:paraId="266FE0FD">
            <w:pPr>
              <w:widowControl/>
              <w:jc w:val="center"/>
              <w:textAlignment w:val="center"/>
              <w:rPr>
                <w:szCs w:val="21"/>
              </w:rPr>
            </w:pPr>
            <w:r>
              <w:rPr>
                <w:kern w:val="0"/>
                <w:szCs w:val="21"/>
                <w:lang w:bidi="ar"/>
              </w:rPr>
              <w:t xml:space="preserve">1.24 </w:t>
            </w:r>
          </w:p>
        </w:tc>
        <w:tc>
          <w:tcPr>
            <w:tcW w:w="902" w:type="pct"/>
            <w:vMerge w:val="restart"/>
            <w:tcBorders>
              <w:top w:val="single" w:color="000000" w:sz="4" w:space="0"/>
              <w:left w:val="single" w:color="000000" w:sz="4" w:space="0"/>
              <w:bottom w:val="single" w:color="000000" w:sz="4" w:space="0"/>
              <w:right w:val="single" w:color="000000" w:sz="4" w:space="0"/>
            </w:tcBorders>
            <w:noWrap/>
            <w:vAlign w:val="center"/>
          </w:tcPr>
          <w:p w14:paraId="671844B2">
            <w:pPr>
              <w:widowControl/>
              <w:jc w:val="center"/>
              <w:textAlignment w:val="center"/>
              <w:rPr>
                <w:szCs w:val="21"/>
              </w:rPr>
            </w:pPr>
            <w:r>
              <w:rPr>
                <w:kern w:val="0"/>
                <w:szCs w:val="21"/>
                <w:lang w:bidi="ar"/>
              </w:rPr>
              <w:t xml:space="preserve">1417 </w:t>
            </w:r>
          </w:p>
        </w:tc>
        <w:tc>
          <w:tcPr>
            <w:tcW w:w="800" w:type="pct"/>
            <w:vMerge w:val="restart"/>
            <w:tcBorders>
              <w:top w:val="single" w:color="000000" w:sz="4" w:space="0"/>
              <w:left w:val="single" w:color="000000" w:sz="4" w:space="0"/>
              <w:bottom w:val="single" w:color="000000" w:sz="4" w:space="0"/>
              <w:right w:val="single" w:color="000000" w:sz="4" w:space="0"/>
            </w:tcBorders>
            <w:noWrap/>
            <w:vAlign w:val="center"/>
          </w:tcPr>
          <w:p w14:paraId="6BC9F71A">
            <w:pPr>
              <w:widowControl/>
              <w:jc w:val="center"/>
              <w:textAlignment w:val="center"/>
              <w:rPr>
                <w:szCs w:val="21"/>
              </w:rPr>
            </w:pPr>
            <w:r>
              <w:rPr>
                <w:kern w:val="0"/>
                <w:szCs w:val="21"/>
                <w:lang w:bidi="ar"/>
              </w:rPr>
              <w:t xml:space="preserve">517 </w:t>
            </w:r>
          </w:p>
        </w:tc>
      </w:tr>
      <w:tr w14:paraId="2C74D59A">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42AD9750">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4CA38971">
            <w:pPr>
              <w:widowControl/>
              <w:jc w:val="center"/>
              <w:textAlignment w:val="center"/>
              <w:rPr>
                <w:szCs w:val="21"/>
              </w:rPr>
            </w:pPr>
            <w:r>
              <w:rPr>
                <w:kern w:val="0"/>
                <w:szCs w:val="21"/>
                <w:lang w:bidi="ar"/>
              </w:rPr>
              <w:t>盛丰通风井位置2号舍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6084BDAA">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4DF0A12E">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156A99DB">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035E223D">
            <w:pPr>
              <w:jc w:val="center"/>
              <w:rPr>
                <w:szCs w:val="21"/>
              </w:rPr>
            </w:pPr>
          </w:p>
        </w:tc>
      </w:tr>
      <w:tr w14:paraId="42C371EC">
        <w:tblPrEx>
          <w:tblCellMar>
            <w:top w:w="0" w:type="dxa"/>
            <w:left w:w="108" w:type="dxa"/>
            <w:bottom w:w="0" w:type="dxa"/>
            <w:right w:w="108" w:type="dxa"/>
          </w:tblCellMar>
        </w:tblPrEx>
        <w:trPr>
          <w:trHeight w:val="285" w:hRule="atLeast"/>
        </w:trPr>
        <w:tc>
          <w:tcPr>
            <w:tcW w:w="336" w:type="pct"/>
            <w:vMerge w:val="restart"/>
            <w:tcBorders>
              <w:top w:val="single" w:color="000000" w:sz="4" w:space="0"/>
              <w:left w:val="single" w:color="000000" w:sz="4" w:space="0"/>
              <w:bottom w:val="single" w:color="000000" w:sz="4" w:space="0"/>
              <w:right w:val="single" w:color="000000" w:sz="4" w:space="0"/>
            </w:tcBorders>
            <w:noWrap/>
            <w:vAlign w:val="center"/>
          </w:tcPr>
          <w:p w14:paraId="2964FC74">
            <w:pPr>
              <w:widowControl/>
              <w:jc w:val="center"/>
              <w:textAlignment w:val="center"/>
              <w:rPr>
                <w:szCs w:val="21"/>
              </w:rPr>
            </w:pPr>
            <w:r>
              <w:rPr>
                <w:kern w:val="0"/>
                <w:szCs w:val="21"/>
                <w:lang w:bidi="ar"/>
              </w:rPr>
              <w:t>2号地</w:t>
            </w: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37281BAB">
            <w:pPr>
              <w:widowControl/>
              <w:jc w:val="center"/>
              <w:textAlignment w:val="center"/>
              <w:rPr>
                <w:szCs w:val="21"/>
              </w:rPr>
            </w:pPr>
            <w:r>
              <w:rPr>
                <w:kern w:val="0"/>
                <w:szCs w:val="21"/>
                <w:lang w:bidi="ar"/>
              </w:rPr>
              <w:t>盛丰焦化楼位置1号舍</w:t>
            </w:r>
          </w:p>
        </w:tc>
        <w:tc>
          <w:tcPr>
            <w:tcW w:w="650" w:type="pct"/>
            <w:vMerge w:val="restart"/>
            <w:tcBorders>
              <w:top w:val="single" w:color="000000" w:sz="4" w:space="0"/>
              <w:left w:val="single" w:color="000000" w:sz="4" w:space="0"/>
              <w:bottom w:val="single" w:color="000000" w:sz="4" w:space="0"/>
              <w:right w:val="single" w:color="000000" w:sz="4" w:space="0"/>
            </w:tcBorders>
            <w:noWrap/>
            <w:vAlign w:val="center"/>
          </w:tcPr>
          <w:p w14:paraId="3990A3F9">
            <w:pPr>
              <w:widowControl/>
              <w:jc w:val="center"/>
              <w:textAlignment w:val="center"/>
              <w:rPr>
                <w:szCs w:val="21"/>
              </w:rPr>
            </w:pPr>
            <w:r>
              <w:rPr>
                <w:kern w:val="0"/>
                <w:szCs w:val="21"/>
                <w:lang w:bidi="ar"/>
              </w:rPr>
              <w:t xml:space="preserve">2420 </w:t>
            </w: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0062CFB1">
            <w:pPr>
              <w:jc w:val="center"/>
              <w:rPr>
                <w:szCs w:val="21"/>
              </w:rPr>
            </w:pPr>
          </w:p>
        </w:tc>
        <w:tc>
          <w:tcPr>
            <w:tcW w:w="902" w:type="pct"/>
            <w:vMerge w:val="restart"/>
            <w:tcBorders>
              <w:top w:val="single" w:color="000000" w:sz="4" w:space="0"/>
              <w:left w:val="single" w:color="000000" w:sz="4" w:space="0"/>
              <w:bottom w:val="single" w:color="000000" w:sz="4" w:space="0"/>
              <w:right w:val="single" w:color="000000" w:sz="4" w:space="0"/>
            </w:tcBorders>
            <w:noWrap/>
            <w:vAlign w:val="center"/>
          </w:tcPr>
          <w:p w14:paraId="3E409488">
            <w:pPr>
              <w:widowControl/>
              <w:jc w:val="center"/>
              <w:textAlignment w:val="center"/>
              <w:rPr>
                <w:szCs w:val="21"/>
              </w:rPr>
            </w:pPr>
            <w:r>
              <w:rPr>
                <w:kern w:val="0"/>
                <w:szCs w:val="21"/>
                <w:lang w:bidi="ar"/>
              </w:rPr>
              <w:t xml:space="preserve">3000 </w:t>
            </w:r>
          </w:p>
        </w:tc>
        <w:tc>
          <w:tcPr>
            <w:tcW w:w="800" w:type="pct"/>
            <w:vMerge w:val="restart"/>
            <w:tcBorders>
              <w:top w:val="single" w:color="000000" w:sz="4" w:space="0"/>
              <w:left w:val="single" w:color="000000" w:sz="4" w:space="0"/>
              <w:bottom w:val="single" w:color="000000" w:sz="4" w:space="0"/>
              <w:right w:val="single" w:color="000000" w:sz="4" w:space="0"/>
            </w:tcBorders>
            <w:noWrap/>
            <w:vAlign w:val="center"/>
          </w:tcPr>
          <w:p w14:paraId="3055D833">
            <w:pPr>
              <w:widowControl/>
              <w:jc w:val="center"/>
              <w:textAlignment w:val="center"/>
              <w:rPr>
                <w:szCs w:val="21"/>
              </w:rPr>
            </w:pPr>
            <w:r>
              <w:rPr>
                <w:kern w:val="0"/>
                <w:szCs w:val="21"/>
                <w:lang w:bidi="ar"/>
              </w:rPr>
              <w:t xml:space="preserve">1095 </w:t>
            </w:r>
          </w:p>
        </w:tc>
      </w:tr>
      <w:tr w14:paraId="25F96276">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3F23A5AE">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6037BB43">
            <w:pPr>
              <w:widowControl/>
              <w:jc w:val="center"/>
              <w:textAlignment w:val="center"/>
              <w:rPr>
                <w:szCs w:val="21"/>
              </w:rPr>
            </w:pPr>
            <w:r>
              <w:rPr>
                <w:kern w:val="0"/>
                <w:szCs w:val="21"/>
                <w:lang w:bidi="ar"/>
              </w:rPr>
              <w:t>盛丰焦化楼位置2号舍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297D9FCD">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7BBFF6DF">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44CB7583">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7133A892">
            <w:pPr>
              <w:jc w:val="center"/>
              <w:rPr>
                <w:szCs w:val="21"/>
              </w:rPr>
            </w:pPr>
          </w:p>
        </w:tc>
      </w:tr>
      <w:tr w14:paraId="0C7F2B59">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498AACFD">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4E5ABD59">
            <w:pPr>
              <w:widowControl/>
              <w:jc w:val="center"/>
              <w:textAlignment w:val="center"/>
              <w:rPr>
                <w:szCs w:val="21"/>
              </w:rPr>
            </w:pPr>
            <w:r>
              <w:rPr>
                <w:kern w:val="0"/>
                <w:szCs w:val="21"/>
                <w:lang w:bidi="ar"/>
              </w:rPr>
              <w:t>球场位置1单元</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6003BC6D">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31DE959D">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11A6EDB2">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3178152C">
            <w:pPr>
              <w:jc w:val="center"/>
              <w:rPr>
                <w:szCs w:val="21"/>
              </w:rPr>
            </w:pPr>
          </w:p>
        </w:tc>
      </w:tr>
      <w:tr w14:paraId="1649559F">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0C2691C0">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5CA2B41E">
            <w:pPr>
              <w:widowControl/>
              <w:jc w:val="center"/>
              <w:textAlignment w:val="center"/>
              <w:rPr>
                <w:szCs w:val="21"/>
              </w:rPr>
            </w:pPr>
            <w:r>
              <w:rPr>
                <w:kern w:val="0"/>
                <w:szCs w:val="21"/>
                <w:lang w:bidi="ar"/>
              </w:rPr>
              <w:t>球场位置2单元</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0BA03F0C">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45095F5C">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5653A4FD">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63AD7A56">
            <w:pPr>
              <w:jc w:val="center"/>
              <w:rPr>
                <w:szCs w:val="21"/>
              </w:rPr>
            </w:pPr>
          </w:p>
        </w:tc>
      </w:tr>
      <w:tr w14:paraId="16EFD395">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17790137">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4F0DBADF">
            <w:pPr>
              <w:widowControl/>
              <w:jc w:val="center"/>
              <w:textAlignment w:val="center"/>
              <w:rPr>
                <w:szCs w:val="21"/>
              </w:rPr>
            </w:pPr>
            <w:r>
              <w:rPr>
                <w:kern w:val="0"/>
                <w:szCs w:val="21"/>
                <w:lang w:bidi="ar"/>
              </w:rPr>
              <w:t>球场位置3单元</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258B87AB">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02E7ACDE">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5BCF4604">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52FF3E38">
            <w:pPr>
              <w:jc w:val="center"/>
              <w:rPr>
                <w:szCs w:val="21"/>
              </w:rPr>
            </w:pPr>
          </w:p>
        </w:tc>
      </w:tr>
      <w:tr w14:paraId="7395E4DE">
        <w:tblPrEx>
          <w:tblCellMar>
            <w:top w:w="0" w:type="dxa"/>
            <w:left w:w="108" w:type="dxa"/>
            <w:bottom w:w="0" w:type="dxa"/>
            <w:right w:w="108" w:type="dxa"/>
          </w:tblCellMar>
        </w:tblPrEx>
        <w:trPr>
          <w:trHeight w:val="285" w:hRule="atLeast"/>
        </w:trPr>
        <w:tc>
          <w:tcPr>
            <w:tcW w:w="336" w:type="pct"/>
            <w:vMerge w:val="restart"/>
            <w:tcBorders>
              <w:top w:val="single" w:color="000000" w:sz="4" w:space="0"/>
              <w:left w:val="single" w:color="000000" w:sz="4" w:space="0"/>
              <w:bottom w:val="single" w:color="000000" w:sz="4" w:space="0"/>
              <w:right w:val="single" w:color="000000" w:sz="4" w:space="0"/>
            </w:tcBorders>
            <w:noWrap/>
            <w:vAlign w:val="center"/>
          </w:tcPr>
          <w:p w14:paraId="14AA6F9B">
            <w:pPr>
              <w:widowControl/>
              <w:jc w:val="center"/>
              <w:textAlignment w:val="center"/>
              <w:rPr>
                <w:szCs w:val="21"/>
              </w:rPr>
            </w:pPr>
            <w:r>
              <w:rPr>
                <w:kern w:val="0"/>
                <w:szCs w:val="21"/>
                <w:lang w:bidi="ar"/>
              </w:rPr>
              <w:t>3号地</w:t>
            </w: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1E353B5B">
            <w:pPr>
              <w:widowControl/>
              <w:jc w:val="center"/>
              <w:textAlignment w:val="center"/>
              <w:rPr>
                <w:szCs w:val="21"/>
              </w:rPr>
            </w:pPr>
            <w:r>
              <w:rPr>
                <w:kern w:val="0"/>
                <w:szCs w:val="21"/>
                <w:lang w:bidi="ar"/>
              </w:rPr>
              <w:t>老井位置1号舍</w:t>
            </w:r>
          </w:p>
        </w:tc>
        <w:tc>
          <w:tcPr>
            <w:tcW w:w="650" w:type="pct"/>
            <w:vMerge w:val="restart"/>
            <w:tcBorders>
              <w:top w:val="single" w:color="000000" w:sz="4" w:space="0"/>
              <w:left w:val="single" w:color="000000" w:sz="4" w:space="0"/>
              <w:bottom w:val="single" w:color="000000" w:sz="4" w:space="0"/>
              <w:right w:val="single" w:color="000000" w:sz="4" w:space="0"/>
            </w:tcBorders>
            <w:noWrap/>
            <w:vAlign w:val="center"/>
          </w:tcPr>
          <w:p w14:paraId="67B45338">
            <w:pPr>
              <w:widowControl/>
              <w:jc w:val="center"/>
              <w:textAlignment w:val="center"/>
              <w:rPr>
                <w:szCs w:val="21"/>
              </w:rPr>
            </w:pPr>
            <w:r>
              <w:rPr>
                <w:kern w:val="0"/>
                <w:szCs w:val="21"/>
                <w:lang w:bidi="ar"/>
              </w:rPr>
              <w:t xml:space="preserve">1075 </w:t>
            </w: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3C74AA31">
            <w:pPr>
              <w:jc w:val="center"/>
              <w:rPr>
                <w:szCs w:val="21"/>
              </w:rPr>
            </w:pPr>
          </w:p>
        </w:tc>
        <w:tc>
          <w:tcPr>
            <w:tcW w:w="902" w:type="pct"/>
            <w:vMerge w:val="restart"/>
            <w:tcBorders>
              <w:top w:val="single" w:color="000000" w:sz="4" w:space="0"/>
              <w:left w:val="single" w:color="000000" w:sz="4" w:space="0"/>
              <w:bottom w:val="single" w:color="000000" w:sz="4" w:space="0"/>
              <w:right w:val="single" w:color="000000" w:sz="4" w:space="0"/>
            </w:tcBorders>
            <w:noWrap/>
            <w:vAlign w:val="center"/>
          </w:tcPr>
          <w:p w14:paraId="057D8F36">
            <w:pPr>
              <w:widowControl/>
              <w:jc w:val="center"/>
              <w:textAlignment w:val="center"/>
              <w:rPr>
                <w:szCs w:val="21"/>
              </w:rPr>
            </w:pPr>
            <w:r>
              <w:rPr>
                <w:kern w:val="0"/>
                <w:szCs w:val="21"/>
                <w:lang w:bidi="ar"/>
              </w:rPr>
              <w:t xml:space="preserve">1333 </w:t>
            </w:r>
          </w:p>
        </w:tc>
        <w:tc>
          <w:tcPr>
            <w:tcW w:w="800" w:type="pct"/>
            <w:vMerge w:val="restart"/>
            <w:tcBorders>
              <w:top w:val="single" w:color="000000" w:sz="4" w:space="0"/>
              <w:left w:val="single" w:color="000000" w:sz="4" w:space="0"/>
              <w:bottom w:val="single" w:color="000000" w:sz="4" w:space="0"/>
              <w:right w:val="single" w:color="000000" w:sz="4" w:space="0"/>
            </w:tcBorders>
            <w:noWrap/>
            <w:vAlign w:val="center"/>
          </w:tcPr>
          <w:p w14:paraId="2B3BA51D">
            <w:pPr>
              <w:widowControl/>
              <w:jc w:val="center"/>
              <w:textAlignment w:val="center"/>
              <w:rPr>
                <w:szCs w:val="21"/>
              </w:rPr>
            </w:pPr>
            <w:r>
              <w:rPr>
                <w:kern w:val="0"/>
                <w:szCs w:val="21"/>
                <w:lang w:bidi="ar"/>
              </w:rPr>
              <w:t xml:space="preserve">486 </w:t>
            </w:r>
          </w:p>
        </w:tc>
      </w:tr>
      <w:tr w14:paraId="604F6806">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6840CF51">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0D287AE5">
            <w:pPr>
              <w:widowControl/>
              <w:jc w:val="center"/>
              <w:textAlignment w:val="center"/>
              <w:rPr>
                <w:szCs w:val="21"/>
              </w:rPr>
            </w:pPr>
            <w:r>
              <w:rPr>
                <w:kern w:val="0"/>
                <w:szCs w:val="21"/>
                <w:lang w:bidi="ar"/>
              </w:rPr>
              <w:t>老井位置2号舍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5CBF13B1">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4B123E37">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775C45BC">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01873CF0">
            <w:pPr>
              <w:jc w:val="center"/>
              <w:rPr>
                <w:szCs w:val="21"/>
              </w:rPr>
            </w:pPr>
          </w:p>
        </w:tc>
      </w:tr>
      <w:tr w14:paraId="5ABEF917">
        <w:tblPrEx>
          <w:tblCellMar>
            <w:top w:w="0" w:type="dxa"/>
            <w:left w:w="108" w:type="dxa"/>
            <w:bottom w:w="0" w:type="dxa"/>
            <w:right w:w="108" w:type="dxa"/>
          </w:tblCellMar>
        </w:tblPrEx>
        <w:trPr>
          <w:trHeight w:val="285" w:hRule="atLeast"/>
        </w:trPr>
        <w:tc>
          <w:tcPr>
            <w:tcW w:w="336" w:type="pct"/>
            <w:vMerge w:val="restart"/>
            <w:tcBorders>
              <w:top w:val="single" w:color="000000" w:sz="4" w:space="0"/>
              <w:left w:val="single" w:color="000000" w:sz="4" w:space="0"/>
              <w:bottom w:val="single" w:color="000000" w:sz="4" w:space="0"/>
              <w:right w:val="single" w:color="000000" w:sz="4" w:space="0"/>
            </w:tcBorders>
            <w:noWrap/>
            <w:vAlign w:val="center"/>
          </w:tcPr>
          <w:p w14:paraId="1FCAFDFC">
            <w:pPr>
              <w:widowControl/>
              <w:jc w:val="center"/>
              <w:textAlignment w:val="center"/>
              <w:rPr>
                <w:szCs w:val="21"/>
              </w:rPr>
            </w:pPr>
            <w:r>
              <w:rPr>
                <w:kern w:val="0"/>
                <w:szCs w:val="21"/>
                <w:lang w:bidi="ar"/>
              </w:rPr>
              <w:t>4号地</w:t>
            </w: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17D5C92B">
            <w:pPr>
              <w:widowControl/>
              <w:jc w:val="center"/>
              <w:textAlignment w:val="center"/>
              <w:rPr>
                <w:szCs w:val="21"/>
              </w:rPr>
            </w:pPr>
            <w:r>
              <w:rPr>
                <w:kern w:val="0"/>
                <w:szCs w:val="21"/>
                <w:lang w:bidi="ar"/>
              </w:rPr>
              <w:t>鑫旺板块1号舍</w:t>
            </w:r>
          </w:p>
        </w:tc>
        <w:tc>
          <w:tcPr>
            <w:tcW w:w="650" w:type="pct"/>
            <w:vMerge w:val="restart"/>
            <w:tcBorders>
              <w:top w:val="single" w:color="000000" w:sz="4" w:space="0"/>
              <w:left w:val="single" w:color="000000" w:sz="4" w:space="0"/>
              <w:bottom w:val="single" w:color="000000" w:sz="4" w:space="0"/>
              <w:right w:val="single" w:color="000000" w:sz="4" w:space="0"/>
            </w:tcBorders>
            <w:noWrap/>
            <w:vAlign w:val="center"/>
          </w:tcPr>
          <w:p w14:paraId="593A897A">
            <w:pPr>
              <w:widowControl/>
              <w:jc w:val="center"/>
              <w:textAlignment w:val="center"/>
              <w:rPr>
                <w:szCs w:val="21"/>
              </w:rPr>
            </w:pPr>
            <w:r>
              <w:rPr>
                <w:kern w:val="0"/>
                <w:szCs w:val="21"/>
                <w:lang w:bidi="ar"/>
              </w:rPr>
              <w:t xml:space="preserve">2615 </w:t>
            </w: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73EA2126">
            <w:pPr>
              <w:jc w:val="center"/>
              <w:rPr>
                <w:szCs w:val="21"/>
              </w:rPr>
            </w:pPr>
          </w:p>
        </w:tc>
        <w:tc>
          <w:tcPr>
            <w:tcW w:w="902" w:type="pct"/>
            <w:vMerge w:val="restart"/>
            <w:tcBorders>
              <w:top w:val="single" w:color="000000" w:sz="4" w:space="0"/>
              <w:left w:val="single" w:color="000000" w:sz="4" w:space="0"/>
              <w:bottom w:val="single" w:color="000000" w:sz="4" w:space="0"/>
              <w:right w:val="single" w:color="000000" w:sz="4" w:space="0"/>
            </w:tcBorders>
            <w:noWrap/>
            <w:vAlign w:val="center"/>
          </w:tcPr>
          <w:p w14:paraId="16A23171">
            <w:pPr>
              <w:widowControl/>
              <w:jc w:val="center"/>
              <w:textAlignment w:val="center"/>
              <w:rPr>
                <w:szCs w:val="21"/>
              </w:rPr>
            </w:pPr>
            <w:r>
              <w:rPr>
                <w:kern w:val="0"/>
                <w:szCs w:val="21"/>
                <w:lang w:bidi="ar"/>
              </w:rPr>
              <w:t xml:space="preserve">3243 </w:t>
            </w:r>
          </w:p>
        </w:tc>
        <w:tc>
          <w:tcPr>
            <w:tcW w:w="800" w:type="pct"/>
            <w:vMerge w:val="restart"/>
            <w:tcBorders>
              <w:top w:val="single" w:color="000000" w:sz="4" w:space="0"/>
              <w:left w:val="single" w:color="000000" w:sz="4" w:space="0"/>
              <w:bottom w:val="single" w:color="000000" w:sz="4" w:space="0"/>
              <w:right w:val="single" w:color="000000" w:sz="4" w:space="0"/>
            </w:tcBorders>
            <w:noWrap/>
            <w:vAlign w:val="center"/>
          </w:tcPr>
          <w:p w14:paraId="32150CD6">
            <w:pPr>
              <w:widowControl/>
              <w:jc w:val="center"/>
              <w:textAlignment w:val="center"/>
              <w:rPr>
                <w:szCs w:val="21"/>
              </w:rPr>
            </w:pPr>
            <w:r>
              <w:rPr>
                <w:kern w:val="0"/>
                <w:szCs w:val="21"/>
                <w:lang w:bidi="ar"/>
              </w:rPr>
              <w:t xml:space="preserve">1184 </w:t>
            </w:r>
          </w:p>
        </w:tc>
      </w:tr>
      <w:tr w14:paraId="30011191">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0948D282">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48AE565B">
            <w:pPr>
              <w:widowControl/>
              <w:jc w:val="center"/>
              <w:textAlignment w:val="center"/>
              <w:rPr>
                <w:szCs w:val="21"/>
              </w:rPr>
            </w:pPr>
            <w:r>
              <w:rPr>
                <w:kern w:val="0"/>
                <w:szCs w:val="21"/>
                <w:lang w:bidi="ar"/>
              </w:rPr>
              <w:t>鑫旺板块2号舍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50959370">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2A39BD8A">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77647F88">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2787EE2B">
            <w:pPr>
              <w:jc w:val="center"/>
              <w:rPr>
                <w:szCs w:val="21"/>
              </w:rPr>
            </w:pPr>
          </w:p>
        </w:tc>
      </w:tr>
      <w:tr w14:paraId="4D75FDA6">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08B9BFE6">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108873B1">
            <w:pPr>
              <w:widowControl/>
              <w:jc w:val="center"/>
              <w:textAlignment w:val="center"/>
              <w:rPr>
                <w:szCs w:val="21"/>
              </w:rPr>
            </w:pPr>
            <w:r>
              <w:rPr>
                <w:kern w:val="0"/>
                <w:szCs w:val="21"/>
                <w:lang w:bidi="ar"/>
              </w:rPr>
              <w:t>鑫旺板块3号舍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7CBD88E9">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7625B6C3">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7806F2CD">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60104AB6">
            <w:pPr>
              <w:jc w:val="center"/>
              <w:rPr>
                <w:szCs w:val="21"/>
              </w:rPr>
            </w:pPr>
          </w:p>
        </w:tc>
      </w:tr>
      <w:tr w14:paraId="1B3D26AF">
        <w:tblPrEx>
          <w:tblCellMar>
            <w:top w:w="0" w:type="dxa"/>
            <w:left w:w="108" w:type="dxa"/>
            <w:bottom w:w="0" w:type="dxa"/>
            <w:right w:w="108" w:type="dxa"/>
          </w:tblCellMar>
        </w:tblPrEx>
        <w:trPr>
          <w:trHeight w:val="285" w:hRule="atLeast"/>
        </w:trPr>
        <w:tc>
          <w:tcPr>
            <w:tcW w:w="336" w:type="pct"/>
            <w:vMerge w:val="restart"/>
            <w:tcBorders>
              <w:top w:val="single" w:color="000000" w:sz="4" w:space="0"/>
              <w:left w:val="single" w:color="000000" w:sz="4" w:space="0"/>
              <w:bottom w:val="single" w:color="000000" w:sz="4" w:space="0"/>
              <w:right w:val="single" w:color="000000" w:sz="4" w:space="0"/>
            </w:tcBorders>
            <w:noWrap/>
            <w:vAlign w:val="center"/>
          </w:tcPr>
          <w:p w14:paraId="326C3157">
            <w:pPr>
              <w:widowControl/>
              <w:jc w:val="center"/>
              <w:textAlignment w:val="center"/>
              <w:rPr>
                <w:szCs w:val="21"/>
              </w:rPr>
            </w:pPr>
            <w:r>
              <w:rPr>
                <w:kern w:val="0"/>
                <w:szCs w:val="21"/>
                <w:lang w:bidi="ar"/>
              </w:rPr>
              <w:t>5号地</w:t>
            </w: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419670C1">
            <w:pPr>
              <w:widowControl/>
              <w:jc w:val="center"/>
              <w:textAlignment w:val="center"/>
              <w:rPr>
                <w:szCs w:val="21"/>
              </w:rPr>
            </w:pPr>
            <w:r>
              <w:rPr>
                <w:kern w:val="0"/>
                <w:szCs w:val="21"/>
                <w:lang w:bidi="ar"/>
              </w:rPr>
              <w:t>大河边篮球场位置猪舍</w:t>
            </w:r>
          </w:p>
        </w:tc>
        <w:tc>
          <w:tcPr>
            <w:tcW w:w="650" w:type="pct"/>
            <w:vMerge w:val="restart"/>
            <w:tcBorders>
              <w:top w:val="single" w:color="000000" w:sz="4" w:space="0"/>
              <w:left w:val="single" w:color="000000" w:sz="4" w:space="0"/>
              <w:bottom w:val="single" w:color="000000" w:sz="4" w:space="0"/>
              <w:right w:val="single" w:color="000000" w:sz="4" w:space="0"/>
            </w:tcBorders>
            <w:noWrap/>
            <w:vAlign w:val="center"/>
          </w:tcPr>
          <w:p w14:paraId="701F8F95">
            <w:pPr>
              <w:widowControl/>
              <w:jc w:val="center"/>
              <w:textAlignment w:val="center"/>
              <w:rPr>
                <w:szCs w:val="21"/>
              </w:rPr>
            </w:pPr>
            <w:r>
              <w:rPr>
                <w:kern w:val="0"/>
                <w:szCs w:val="21"/>
                <w:lang w:bidi="ar"/>
              </w:rPr>
              <w:t xml:space="preserve">2048 </w:t>
            </w: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2A00E4AC">
            <w:pPr>
              <w:jc w:val="center"/>
              <w:rPr>
                <w:szCs w:val="21"/>
              </w:rPr>
            </w:pPr>
          </w:p>
        </w:tc>
        <w:tc>
          <w:tcPr>
            <w:tcW w:w="902" w:type="pct"/>
            <w:vMerge w:val="restart"/>
            <w:tcBorders>
              <w:top w:val="single" w:color="000000" w:sz="4" w:space="0"/>
              <w:left w:val="single" w:color="000000" w:sz="4" w:space="0"/>
              <w:bottom w:val="single" w:color="000000" w:sz="4" w:space="0"/>
              <w:right w:val="single" w:color="000000" w:sz="4" w:space="0"/>
            </w:tcBorders>
            <w:noWrap/>
            <w:vAlign w:val="center"/>
          </w:tcPr>
          <w:p w14:paraId="7746CD52">
            <w:pPr>
              <w:widowControl/>
              <w:jc w:val="center"/>
              <w:textAlignment w:val="center"/>
              <w:rPr>
                <w:szCs w:val="21"/>
              </w:rPr>
            </w:pPr>
            <w:r>
              <w:rPr>
                <w:kern w:val="0"/>
                <w:szCs w:val="21"/>
                <w:lang w:bidi="ar"/>
              </w:rPr>
              <w:t xml:space="preserve">2540 </w:t>
            </w:r>
          </w:p>
        </w:tc>
        <w:tc>
          <w:tcPr>
            <w:tcW w:w="800" w:type="pct"/>
            <w:vMerge w:val="restart"/>
            <w:tcBorders>
              <w:top w:val="single" w:color="000000" w:sz="4" w:space="0"/>
              <w:left w:val="single" w:color="000000" w:sz="4" w:space="0"/>
              <w:bottom w:val="single" w:color="000000" w:sz="4" w:space="0"/>
              <w:right w:val="single" w:color="000000" w:sz="4" w:space="0"/>
            </w:tcBorders>
            <w:noWrap/>
            <w:vAlign w:val="center"/>
          </w:tcPr>
          <w:p w14:paraId="19E91891">
            <w:pPr>
              <w:widowControl/>
              <w:jc w:val="center"/>
              <w:textAlignment w:val="center"/>
              <w:rPr>
                <w:szCs w:val="21"/>
              </w:rPr>
            </w:pPr>
            <w:r>
              <w:rPr>
                <w:kern w:val="0"/>
                <w:szCs w:val="21"/>
                <w:lang w:bidi="ar"/>
              </w:rPr>
              <w:t xml:space="preserve">927 </w:t>
            </w:r>
          </w:p>
        </w:tc>
      </w:tr>
      <w:tr w14:paraId="2FFFDBEB">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6AA650A9">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49D57A90">
            <w:pPr>
              <w:widowControl/>
              <w:jc w:val="center"/>
              <w:textAlignment w:val="center"/>
              <w:rPr>
                <w:szCs w:val="21"/>
              </w:rPr>
            </w:pPr>
            <w:r>
              <w:rPr>
                <w:kern w:val="0"/>
                <w:szCs w:val="21"/>
                <w:lang w:bidi="ar"/>
              </w:rPr>
              <w:t>大河边上煤仓位置1号舍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40A4B807">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1DA36969">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0F913B24">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191386F1">
            <w:pPr>
              <w:jc w:val="center"/>
              <w:rPr>
                <w:szCs w:val="21"/>
              </w:rPr>
            </w:pPr>
          </w:p>
        </w:tc>
      </w:tr>
      <w:tr w14:paraId="06A3361A">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440F1DB6">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24D1C138">
            <w:pPr>
              <w:widowControl/>
              <w:jc w:val="center"/>
              <w:textAlignment w:val="center"/>
              <w:rPr>
                <w:szCs w:val="21"/>
              </w:rPr>
            </w:pPr>
            <w:r>
              <w:rPr>
                <w:kern w:val="0"/>
                <w:szCs w:val="21"/>
                <w:lang w:bidi="ar"/>
              </w:rPr>
              <w:t>大河边上煤仓位置2号舍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32FC2192">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0F7103AE">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68698777">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14660530">
            <w:pPr>
              <w:jc w:val="center"/>
              <w:rPr>
                <w:szCs w:val="21"/>
              </w:rPr>
            </w:pPr>
          </w:p>
        </w:tc>
      </w:tr>
      <w:tr w14:paraId="50B3C4B4">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noWrap/>
            <w:vAlign w:val="center"/>
          </w:tcPr>
          <w:p w14:paraId="60ABFD68">
            <w:pPr>
              <w:jc w:val="center"/>
              <w:rPr>
                <w:szCs w:val="21"/>
              </w:rPr>
            </w:pPr>
          </w:p>
        </w:tc>
        <w:tc>
          <w:tcPr>
            <w:tcW w:w="1583" w:type="pct"/>
            <w:tcBorders>
              <w:top w:val="single" w:color="000000" w:sz="4" w:space="0"/>
              <w:left w:val="single" w:color="000000" w:sz="4" w:space="0"/>
              <w:bottom w:val="single" w:color="000000" w:sz="4" w:space="0"/>
              <w:right w:val="single" w:color="000000" w:sz="4" w:space="0"/>
            </w:tcBorders>
            <w:noWrap/>
            <w:vAlign w:val="center"/>
          </w:tcPr>
          <w:p w14:paraId="29284EB7">
            <w:pPr>
              <w:widowControl/>
              <w:jc w:val="center"/>
              <w:textAlignment w:val="center"/>
              <w:rPr>
                <w:szCs w:val="21"/>
              </w:rPr>
            </w:pPr>
            <w:r>
              <w:rPr>
                <w:kern w:val="0"/>
                <w:szCs w:val="21"/>
                <w:lang w:bidi="ar"/>
              </w:rPr>
              <w:t>大河边下煤仓位置猪舍</w:t>
            </w:r>
          </w:p>
        </w:tc>
        <w:tc>
          <w:tcPr>
            <w:tcW w:w="650" w:type="pct"/>
            <w:vMerge w:val="continue"/>
            <w:tcBorders>
              <w:top w:val="single" w:color="000000" w:sz="4" w:space="0"/>
              <w:left w:val="single" w:color="000000" w:sz="4" w:space="0"/>
              <w:bottom w:val="single" w:color="000000" w:sz="4" w:space="0"/>
              <w:right w:val="single" w:color="000000" w:sz="4" w:space="0"/>
            </w:tcBorders>
            <w:noWrap/>
            <w:vAlign w:val="center"/>
          </w:tcPr>
          <w:p w14:paraId="151C43B5">
            <w:pPr>
              <w:jc w:val="center"/>
              <w:rPr>
                <w:szCs w:val="21"/>
              </w:rPr>
            </w:pPr>
          </w:p>
        </w:tc>
        <w:tc>
          <w:tcPr>
            <w:tcW w:w="726" w:type="pct"/>
            <w:vMerge w:val="continue"/>
            <w:tcBorders>
              <w:top w:val="single" w:color="000000" w:sz="4" w:space="0"/>
              <w:left w:val="single" w:color="000000" w:sz="4" w:space="0"/>
              <w:bottom w:val="single" w:color="000000" w:sz="4" w:space="0"/>
              <w:right w:val="single" w:color="000000" w:sz="4" w:space="0"/>
            </w:tcBorders>
            <w:noWrap/>
            <w:vAlign w:val="center"/>
          </w:tcPr>
          <w:p w14:paraId="3AE4ADE4">
            <w:pPr>
              <w:jc w:val="center"/>
              <w:rPr>
                <w:szCs w:val="21"/>
              </w:rPr>
            </w:pPr>
          </w:p>
        </w:tc>
        <w:tc>
          <w:tcPr>
            <w:tcW w:w="902" w:type="pct"/>
            <w:vMerge w:val="continue"/>
            <w:tcBorders>
              <w:top w:val="single" w:color="000000" w:sz="4" w:space="0"/>
              <w:left w:val="single" w:color="000000" w:sz="4" w:space="0"/>
              <w:bottom w:val="single" w:color="000000" w:sz="4" w:space="0"/>
              <w:right w:val="single" w:color="000000" w:sz="4" w:space="0"/>
            </w:tcBorders>
            <w:noWrap/>
            <w:vAlign w:val="center"/>
          </w:tcPr>
          <w:p w14:paraId="2D73EC67">
            <w:pPr>
              <w:jc w:val="center"/>
              <w:rPr>
                <w:szCs w:val="21"/>
              </w:rPr>
            </w:pPr>
          </w:p>
        </w:tc>
        <w:tc>
          <w:tcPr>
            <w:tcW w:w="800" w:type="pct"/>
            <w:vMerge w:val="continue"/>
            <w:tcBorders>
              <w:top w:val="single" w:color="000000" w:sz="4" w:space="0"/>
              <w:left w:val="single" w:color="000000" w:sz="4" w:space="0"/>
              <w:bottom w:val="single" w:color="000000" w:sz="4" w:space="0"/>
              <w:right w:val="single" w:color="000000" w:sz="4" w:space="0"/>
            </w:tcBorders>
            <w:noWrap/>
            <w:vAlign w:val="center"/>
          </w:tcPr>
          <w:p w14:paraId="37FBF1C3">
            <w:pPr>
              <w:jc w:val="center"/>
              <w:rPr>
                <w:szCs w:val="21"/>
              </w:rPr>
            </w:pPr>
          </w:p>
        </w:tc>
      </w:tr>
      <w:tr w14:paraId="101E3B91">
        <w:tblPrEx>
          <w:tblCellMar>
            <w:top w:w="0" w:type="dxa"/>
            <w:left w:w="108" w:type="dxa"/>
            <w:bottom w:w="0" w:type="dxa"/>
            <w:right w:w="108" w:type="dxa"/>
          </w:tblCellMar>
        </w:tblPrEx>
        <w:trPr>
          <w:trHeight w:val="285" w:hRule="atLeast"/>
        </w:trPr>
        <w:tc>
          <w:tcPr>
            <w:tcW w:w="1919" w:type="pct"/>
            <w:gridSpan w:val="2"/>
            <w:tcBorders>
              <w:top w:val="single" w:color="000000" w:sz="4" w:space="0"/>
              <w:left w:val="single" w:color="000000" w:sz="4" w:space="0"/>
              <w:bottom w:val="single" w:color="000000" w:sz="4" w:space="0"/>
              <w:right w:val="single" w:color="000000" w:sz="4" w:space="0"/>
            </w:tcBorders>
            <w:noWrap/>
            <w:vAlign w:val="center"/>
          </w:tcPr>
          <w:p w14:paraId="7C1CC913">
            <w:pPr>
              <w:widowControl/>
              <w:jc w:val="center"/>
              <w:textAlignment w:val="center"/>
              <w:rPr>
                <w:kern w:val="0"/>
                <w:szCs w:val="21"/>
                <w:lang w:bidi="ar"/>
              </w:rPr>
            </w:pPr>
            <w:r>
              <w:rPr>
                <w:kern w:val="0"/>
                <w:szCs w:val="21"/>
                <w:lang w:bidi="ar"/>
              </w:rPr>
              <w:t>合计</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332E8F9">
            <w:pPr>
              <w:jc w:val="center"/>
              <w:rPr>
                <w:szCs w:val="21"/>
              </w:rPr>
            </w:pPr>
            <w:r>
              <w:rPr>
                <w:szCs w:val="21"/>
              </w:rPr>
              <w:t>9300</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19D96D16">
            <w:pPr>
              <w:jc w:val="center"/>
              <w:rPr>
                <w:szCs w:val="21"/>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7E8E9625">
            <w:pPr>
              <w:widowControl/>
              <w:jc w:val="center"/>
              <w:textAlignment w:val="center"/>
              <w:rPr>
                <w:kern w:val="0"/>
                <w:szCs w:val="21"/>
                <w:lang w:bidi="ar"/>
              </w:rPr>
            </w:pPr>
            <w:r>
              <w:rPr>
                <w:kern w:val="0"/>
                <w:szCs w:val="21"/>
                <w:lang w:bidi="ar"/>
              </w:rPr>
              <w:t>11532</w:t>
            </w: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1F87CE43">
            <w:pPr>
              <w:widowControl/>
              <w:jc w:val="center"/>
              <w:textAlignment w:val="center"/>
              <w:rPr>
                <w:kern w:val="0"/>
                <w:szCs w:val="21"/>
                <w:lang w:bidi="ar"/>
              </w:rPr>
            </w:pPr>
            <w:r>
              <w:rPr>
                <w:kern w:val="0"/>
                <w:szCs w:val="21"/>
                <w:lang w:bidi="ar"/>
              </w:rPr>
              <w:t>4209.18</w:t>
            </w:r>
          </w:p>
        </w:tc>
      </w:tr>
    </w:tbl>
    <w:p w14:paraId="5F502A16">
      <w:pPr>
        <w:spacing w:line="360" w:lineRule="auto"/>
        <w:ind w:firstLine="540"/>
        <w:rPr>
          <w:sz w:val="24"/>
        </w:rPr>
      </w:pPr>
      <w:r>
        <w:rPr>
          <w:sz w:val="24"/>
        </w:rPr>
        <w:t>项目采用干清粪工艺，粪尿通过漏缝地板直接进入猪舍下方的粪沟排入粪污收集池，粪尿混合在一起，故猪粪污含水量较高，储存在储粪池中的粪污分配经固液分离设备固液分离后，固体份进入固粪处理区进行好氧堆肥后用于企业自有苹果园施肥；猪粪便含水率为70%~80%左右，</w:t>
      </w:r>
      <w:r>
        <w:rPr>
          <w:bCs/>
          <w:sz w:val="24"/>
        </w:rPr>
        <w:t>堆肥过程中会产生猪粪渗滤液，渗滤液按猪粪的1%计算，则年产量约为42.9t/a（约合0.12t/d）的猪粪渗滤液通过管道进入厂内污水处理站处理。</w:t>
      </w:r>
    </w:p>
    <w:p w14:paraId="6E00B0A3">
      <w:pPr>
        <w:pStyle w:val="1959"/>
        <w:spacing w:line="360" w:lineRule="auto"/>
        <w:ind w:firstLine="443" w:firstLineChars="195"/>
        <w:rPr>
          <w:b/>
          <w:spacing w:val="-7"/>
          <w:sz w:val="24"/>
        </w:rPr>
      </w:pPr>
      <w:r>
        <w:rPr>
          <w:b/>
          <w:spacing w:val="-7"/>
          <w:sz w:val="24"/>
        </w:rPr>
        <w:t>②饲料残渣</w:t>
      </w:r>
    </w:p>
    <w:p w14:paraId="0F7DBBE0">
      <w:pPr>
        <w:spacing w:line="360" w:lineRule="auto"/>
        <w:ind w:firstLine="540"/>
        <w:rPr>
          <w:sz w:val="24"/>
        </w:rPr>
      </w:pPr>
      <w:r>
        <w:rPr>
          <w:sz w:val="24"/>
        </w:rPr>
        <w:t>根据统计，饲料损耗量一般为饲料量的0.5%。项目饲料消耗量约为</w:t>
      </w:r>
      <w:r>
        <w:rPr>
          <w:kern w:val="0"/>
          <w:sz w:val="24"/>
          <w:lang w:bidi="ar"/>
        </w:rPr>
        <w:t>5609.76</w:t>
      </w:r>
      <w:r>
        <w:rPr>
          <w:sz w:val="24"/>
        </w:rPr>
        <w:t>t/a。则饲料残渣量为28.05t/a，运至固粪处理区堆肥处置，处置后作为有机肥用于自有苹果园施肥。</w:t>
      </w:r>
    </w:p>
    <w:p w14:paraId="21BD857D">
      <w:pPr>
        <w:pStyle w:val="1959"/>
        <w:spacing w:line="360" w:lineRule="auto"/>
        <w:ind w:firstLine="443" w:firstLineChars="195"/>
        <w:rPr>
          <w:b/>
          <w:spacing w:val="-7"/>
          <w:sz w:val="24"/>
        </w:rPr>
      </w:pPr>
      <w:r>
        <w:rPr>
          <w:b/>
          <w:spacing w:val="-7"/>
          <w:sz w:val="24"/>
        </w:rPr>
        <w:t>③沼渣</w:t>
      </w:r>
    </w:p>
    <w:p w14:paraId="7F34AB53">
      <w:pPr>
        <w:spacing w:line="360" w:lineRule="auto"/>
        <w:ind w:firstLine="540"/>
        <w:rPr>
          <w:sz w:val="24"/>
        </w:rPr>
      </w:pPr>
      <w:r>
        <w:rPr>
          <w:sz w:val="24"/>
        </w:rPr>
        <w:t>项目进入沼气池的含少量猪粪的液体部分为9995.36t/a，厌氧反应处理后的沼渣约占10%，产生量为99.95t/a。沼渣收集后，运至固粪处理区进行初步条垛式发酵，处置后作为有机肥用于自有苹果园施肥。</w:t>
      </w:r>
    </w:p>
    <w:p w14:paraId="315F4E0E">
      <w:pPr>
        <w:spacing w:line="360" w:lineRule="auto"/>
        <w:ind w:firstLine="540"/>
        <w:rPr>
          <w:b/>
          <w:sz w:val="24"/>
        </w:rPr>
      </w:pPr>
      <w:r>
        <w:rPr>
          <w:b/>
          <w:sz w:val="24"/>
        </w:rPr>
        <w:t>④废弃包装材料</w:t>
      </w:r>
    </w:p>
    <w:p w14:paraId="191FC5EA">
      <w:pPr>
        <w:spacing w:line="360" w:lineRule="auto"/>
        <w:ind w:firstLine="540"/>
        <w:rPr>
          <w:sz w:val="24"/>
        </w:rPr>
      </w:pPr>
      <w:r>
        <w:rPr>
          <w:sz w:val="24"/>
        </w:rPr>
        <w:t>主要来自于塑料包装材料，包括废塑料袋、废纸箱、废蛇皮袋，每年产生的废弃包装袋约2t，统一收集后定期外卖给废品收购商。</w:t>
      </w:r>
    </w:p>
    <w:p w14:paraId="3C85174B">
      <w:pPr>
        <w:spacing w:line="360" w:lineRule="auto"/>
        <w:ind w:firstLine="540"/>
        <w:rPr>
          <w:b/>
          <w:sz w:val="24"/>
        </w:rPr>
      </w:pPr>
      <w:r>
        <w:rPr>
          <w:b/>
          <w:sz w:val="24"/>
        </w:rPr>
        <w:t>⑤废脱硫剂</w:t>
      </w:r>
    </w:p>
    <w:p w14:paraId="2EB0EB2C">
      <w:pPr>
        <w:spacing w:line="360" w:lineRule="auto"/>
        <w:ind w:firstLine="540"/>
        <w:rPr>
          <w:sz w:val="24"/>
        </w:rPr>
      </w:pPr>
      <w:r>
        <w:rPr>
          <w:sz w:val="24"/>
        </w:rPr>
        <w:t>项目沼气干法脱硫采用常温氧化铁脱硫剂，氧化铁脱硫剂可以与空气进行再生，多次利用，当脱硫剂活性下降无法再生利用时，需进行换料，项目废氧化铁脱硫剂产生量约为0.3t/a，属于一般性固体废物，由换料的生产厂家带走回收利用。</w:t>
      </w:r>
    </w:p>
    <w:p w14:paraId="4D43EA8F">
      <w:pPr>
        <w:spacing w:line="360" w:lineRule="auto"/>
        <w:ind w:firstLine="540"/>
        <w:rPr>
          <w:b/>
          <w:sz w:val="24"/>
        </w:rPr>
      </w:pPr>
      <w:r>
        <w:rPr>
          <w:b/>
          <w:sz w:val="24"/>
        </w:rPr>
        <w:t>⑥职工生活垃圾</w:t>
      </w:r>
    </w:p>
    <w:p w14:paraId="34B27AE1">
      <w:pPr>
        <w:spacing w:line="360" w:lineRule="auto"/>
        <w:ind w:firstLine="540"/>
        <w:rPr>
          <w:sz w:val="24"/>
        </w:rPr>
      </w:pPr>
      <w:r>
        <w:rPr>
          <w:sz w:val="24"/>
        </w:rPr>
        <w:t>本项目劳动定员</w:t>
      </w:r>
      <w:r>
        <w:rPr>
          <w:rFonts w:hint="eastAsia"/>
          <w:sz w:val="24"/>
        </w:rPr>
        <w:t>36</w:t>
      </w:r>
      <w:r>
        <w:rPr>
          <w:sz w:val="24"/>
        </w:rPr>
        <w:t>人，依照生活污染物排放系数，生活垃圾产生量为K=1.0kg/人·d，则本项目生活垃圾产生量为</w:t>
      </w:r>
      <w:r>
        <w:rPr>
          <w:rFonts w:hint="eastAsia"/>
          <w:sz w:val="24"/>
        </w:rPr>
        <w:t>36</w:t>
      </w:r>
      <w:r>
        <w:rPr>
          <w:sz w:val="24"/>
        </w:rPr>
        <w:t>kg/d（</w:t>
      </w:r>
      <w:r>
        <w:rPr>
          <w:rFonts w:hint="eastAsia"/>
          <w:sz w:val="24"/>
        </w:rPr>
        <w:t>13.14</w:t>
      </w:r>
      <w:r>
        <w:rPr>
          <w:sz w:val="24"/>
        </w:rPr>
        <w:t>t/a），分类收集至厂区设置的生活垃圾收集点，临时定点存放，由环卫部门统一处理。</w:t>
      </w:r>
    </w:p>
    <w:p w14:paraId="76CA849E">
      <w:pPr>
        <w:spacing w:line="360" w:lineRule="auto"/>
        <w:ind w:firstLine="540"/>
        <w:rPr>
          <w:b/>
          <w:sz w:val="24"/>
        </w:rPr>
      </w:pPr>
      <w:r>
        <w:rPr>
          <w:b/>
          <w:sz w:val="24"/>
        </w:rPr>
        <w:t>⑦病死猪</w:t>
      </w:r>
    </w:p>
    <w:p w14:paraId="359A2E56">
      <w:pPr>
        <w:widowControl/>
        <w:spacing w:line="360" w:lineRule="auto"/>
        <w:ind w:firstLine="480" w:firstLineChars="200"/>
        <w:rPr>
          <w:bCs/>
          <w:sz w:val="24"/>
        </w:rPr>
      </w:pPr>
      <w:r>
        <w:rPr>
          <w:bCs/>
          <w:sz w:val="24"/>
        </w:rPr>
        <w:t>根据环保部办公厅《关于病害动物无害化处理有关意见的复函》（环办函【2014】789号）中的有关意见：“‘为防治动物传染病而需要收集和处置的废物’被列入《国家危险废物名录》中，编号为900-001-01。但是，根据法律位阶高于部门规章的法律适用规则，病害动物的无害化处理应执行《动物防疫法》。”根据以上内容，病死猪不属于危险废物。按照《关于进一步加强病死动物无害化处理监管工作的通知》（农医发【2012】12号）的要求，由动物卫生监督机构承担病死动物及动物产品无害化处理的监管责任，病死猪按照《病死动物无害化处理技术规范》（农医发【2013】34号）的有关要求在有关部门的监管下进行无害化处理，本项目病死猪情况见表3.4-15。</w:t>
      </w:r>
    </w:p>
    <w:p w14:paraId="7B7CAFEE">
      <w:pPr>
        <w:tabs>
          <w:tab w:val="left" w:pos="840"/>
        </w:tabs>
        <w:spacing w:line="360" w:lineRule="auto"/>
        <w:jc w:val="center"/>
        <w:rPr>
          <w:b/>
          <w:sz w:val="24"/>
        </w:rPr>
      </w:pPr>
      <w:r>
        <w:rPr>
          <w:b/>
          <w:sz w:val="24"/>
        </w:rPr>
        <w:t>表3.4-15   各种类猪死亡率及平均重量</w:t>
      </w:r>
    </w:p>
    <w:tbl>
      <w:tblPr>
        <w:tblStyle w:val="8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003"/>
        <w:gridCol w:w="876"/>
        <w:gridCol w:w="880"/>
        <w:gridCol w:w="1081"/>
        <w:gridCol w:w="1079"/>
        <w:gridCol w:w="1701"/>
      </w:tblGrid>
      <w:tr w14:paraId="2365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6" w:type="pct"/>
            <w:noWrap w:val="0"/>
            <w:vAlign w:val="center"/>
          </w:tcPr>
          <w:p w14:paraId="21616986">
            <w:pPr>
              <w:widowControl/>
              <w:jc w:val="center"/>
              <w:textAlignment w:val="bottom"/>
              <w:rPr>
                <w:kern w:val="0"/>
                <w:szCs w:val="21"/>
                <w:lang w:bidi="ar"/>
              </w:rPr>
            </w:pPr>
            <w:r>
              <w:rPr>
                <w:kern w:val="0"/>
                <w:szCs w:val="21"/>
                <w:lang w:bidi="ar"/>
              </w:rPr>
              <w:t>种类</w:t>
            </w:r>
          </w:p>
        </w:tc>
        <w:tc>
          <w:tcPr>
            <w:tcW w:w="588" w:type="pct"/>
            <w:noWrap w:val="0"/>
            <w:vAlign w:val="center"/>
          </w:tcPr>
          <w:p w14:paraId="3693266A">
            <w:pPr>
              <w:widowControl/>
              <w:jc w:val="center"/>
              <w:textAlignment w:val="bottom"/>
              <w:rPr>
                <w:kern w:val="0"/>
                <w:szCs w:val="21"/>
                <w:lang w:bidi="ar"/>
              </w:rPr>
            </w:pPr>
            <w:r>
              <w:rPr>
                <w:kern w:val="0"/>
                <w:szCs w:val="21"/>
                <w:lang w:bidi="ar"/>
              </w:rPr>
              <w:t>存栏量</w:t>
            </w:r>
          </w:p>
          <w:p w14:paraId="2DBC6D0A">
            <w:pPr>
              <w:widowControl/>
              <w:jc w:val="center"/>
              <w:textAlignment w:val="bottom"/>
              <w:rPr>
                <w:kern w:val="0"/>
                <w:szCs w:val="21"/>
                <w:lang w:bidi="ar"/>
              </w:rPr>
            </w:pPr>
            <w:r>
              <w:rPr>
                <w:kern w:val="0"/>
                <w:szCs w:val="21"/>
                <w:lang w:bidi="ar"/>
              </w:rPr>
              <w:t>（头）</w:t>
            </w:r>
          </w:p>
        </w:tc>
        <w:tc>
          <w:tcPr>
            <w:tcW w:w="514" w:type="pct"/>
            <w:noWrap w:val="0"/>
            <w:vAlign w:val="center"/>
          </w:tcPr>
          <w:p w14:paraId="456A6A58">
            <w:pPr>
              <w:widowControl/>
              <w:jc w:val="center"/>
              <w:textAlignment w:val="bottom"/>
              <w:rPr>
                <w:kern w:val="0"/>
                <w:szCs w:val="21"/>
                <w:lang w:bidi="ar"/>
              </w:rPr>
            </w:pPr>
            <w:r>
              <w:rPr>
                <w:kern w:val="0"/>
                <w:szCs w:val="21"/>
                <w:lang w:bidi="ar"/>
              </w:rPr>
              <w:t>年养殖批次</w:t>
            </w:r>
          </w:p>
        </w:tc>
        <w:tc>
          <w:tcPr>
            <w:tcW w:w="514" w:type="pct"/>
            <w:noWrap w:val="0"/>
            <w:vAlign w:val="center"/>
          </w:tcPr>
          <w:p w14:paraId="22436102">
            <w:pPr>
              <w:widowControl/>
              <w:jc w:val="center"/>
              <w:textAlignment w:val="bottom"/>
              <w:rPr>
                <w:kern w:val="0"/>
                <w:szCs w:val="21"/>
                <w:lang w:bidi="ar"/>
              </w:rPr>
            </w:pPr>
            <w:r>
              <w:rPr>
                <w:kern w:val="0"/>
                <w:szCs w:val="21"/>
                <w:lang w:bidi="ar"/>
              </w:rPr>
              <w:t>死亡率（%）</w:t>
            </w:r>
          </w:p>
        </w:tc>
        <w:tc>
          <w:tcPr>
            <w:tcW w:w="634" w:type="pct"/>
            <w:noWrap w:val="0"/>
            <w:vAlign w:val="center"/>
          </w:tcPr>
          <w:p w14:paraId="65F1BE70">
            <w:pPr>
              <w:widowControl/>
              <w:jc w:val="center"/>
              <w:textAlignment w:val="bottom"/>
              <w:rPr>
                <w:kern w:val="0"/>
                <w:szCs w:val="21"/>
                <w:lang w:bidi="ar"/>
              </w:rPr>
            </w:pPr>
            <w:r>
              <w:rPr>
                <w:kern w:val="0"/>
                <w:szCs w:val="21"/>
                <w:lang w:bidi="ar"/>
              </w:rPr>
              <w:t>死亡数</w:t>
            </w:r>
          </w:p>
          <w:p w14:paraId="77FB40BB">
            <w:pPr>
              <w:widowControl/>
              <w:jc w:val="center"/>
              <w:textAlignment w:val="bottom"/>
              <w:rPr>
                <w:kern w:val="0"/>
                <w:szCs w:val="21"/>
                <w:lang w:bidi="ar"/>
              </w:rPr>
            </w:pPr>
            <w:r>
              <w:rPr>
                <w:kern w:val="0"/>
                <w:szCs w:val="21"/>
                <w:lang w:bidi="ar"/>
              </w:rPr>
              <w:t>（头）</w:t>
            </w:r>
          </w:p>
        </w:tc>
        <w:tc>
          <w:tcPr>
            <w:tcW w:w="633" w:type="pct"/>
            <w:noWrap w:val="0"/>
            <w:vAlign w:val="center"/>
          </w:tcPr>
          <w:p w14:paraId="015A9168">
            <w:pPr>
              <w:widowControl/>
              <w:jc w:val="center"/>
              <w:textAlignment w:val="bottom"/>
              <w:rPr>
                <w:kern w:val="0"/>
                <w:szCs w:val="21"/>
                <w:lang w:bidi="ar"/>
              </w:rPr>
            </w:pPr>
            <w:r>
              <w:rPr>
                <w:kern w:val="0"/>
                <w:szCs w:val="21"/>
                <w:lang w:bidi="ar"/>
              </w:rPr>
              <w:t>平均重量</w:t>
            </w:r>
          </w:p>
          <w:p w14:paraId="305052DC">
            <w:pPr>
              <w:widowControl/>
              <w:jc w:val="center"/>
              <w:textAlignment w:val="bottom"/>
              <w:rPr>
                <w:kern w:val="0"/>
                <w:szCs w:val="21"/>
                <w:lang w:bidi="ar"/>
              </w:rPr>
            </w:pPr>
            <w:r>
              <w:rPr>
                <w:kern w:val="0"/>
                <w:szCs w:val="21"/>
                <w:lang w:bidi="ar"/>
              </w:rPr>
              <w:t>（kg/头）</w:t>
            </w:r>
          </w:p>
        </w:tc>
        <w:tc>
          <w:tcPr>
            <w:tcW w:w="997" w:type="pct"/>
            <w:noWrap w:val="0"/>
            <w:vAlign w:val="center"/>
          </w:tcPr>
          <w:p w14:paraId="7BA232F7">
            <w:pPr>
              <w:widowControl/>
              <w:jc w:val="center"/>
              <w:textAlignment w:val="bottom"/>
              <w:rPr>
                <w:kern w:val="0"/>
                <w:szCs w:val="21"/>
                <w:lang w:bidi="ar"/>
              </w:rPr>
            </w:pPr>
            <w:r>
              <w:rPr>
                <w:kern w:val="0"/>
                <w:szCs w:val="21"/>
                <w:lang w:bidi="ar"/>
              </w:rPr>
              <w:t>病死猪重量（t/a）</w:t>
            </w:r>
          </w:p>
        </w:tc>
      </w:tr>
      <w:tr w14:paraId="545A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6" w:type="pct"/>
            <w:noWrap w:val="0"/>
            <w:vAlign w:val="bottom"/>
          </w:tcPr>
          <w:p w14:paraId="5F1610AB">
            <w:pPr>
              <w:widowControl/>
              <w:jc w:val="center"/>
              <w:textAlignment w:val="bottom"/>
              <w:rPr>
                <w:kern w:val="0"/>
                <w:szCs w:val="21"/>
                <w:lang w:bidi="ar"/>
              </w:rPr>
            </w:pPr>
            <w:r>
              <w:rPr>
                <w:kern w:val="0"/>
                <w:szCs w:val="21"/>
                <w:lang w:bidi="ar"/>
              </w:rPr>
              <w:t>保育猪</w:t>
            </w:r>
          </w:p>
        </w:tc>
        <w:tc>
          <w:tcPr>
            <w:tcW w:w="588" w:type="pct"/>
            <w:noWrap w:val="0"/>
            <w:vAlign w:val="center"/>
          </w:tcPr>
          <w:p w14:paraId="2DC24650">
            <w:pPr>
              <w:widowControl/>
              <w:jc w:val="center"/>
              <w:textAlignment w:val="bottom"/>
              <w:rPr>
                <w:kern w:val="0"/>
                <w:szCs w:val="21"/>
                <w:lang w:bidi="ar"/>
              </w:rPr>
            </w:pPr>
            <w:r>
              <w:rPr>
                <w:kern w:val="0"/>
                <w:szCs w:val="21"/>
                <w:lang w:bidi="ar"/>
              </w:rPr>
              <w:t>9800</w:t>
            </w:r>
          </w:p>
        </w:tc>
        <w:tc>
          <w:tcPr>
            <w:tcW w:w="514" w:type="pct"/>
            <w:noWrap w:val="0"/>
            <w:vAlign w:val="center"/>
          </w:tcPr>
          <w:p w14:paraId="4C543677">
            <w:pPr>
              <w:widowControl/>
              <w:jc w:val="center"/>
              <w:textAlignment w:val="bottom"/>
              <w:rPr>
                <w:kern w:val="0"/>
                <w:szCs w:val="21"/>
                <w:lang w:bidi="ar"/>
              </w:rPr>
            </w:pPr>
            <w:r>
              <w:rPr>
                <w:kern w:val="0"/>
                <w:szCs w:val="21"/>
                <w:lang w:bidi="ar"/>
              </w:rPr>
              <w:t>2.6</w:t>
            </w:r>
          </w:p>
        </w:tc>
        <w:tc>
          <w:tcPr>
            <w:tcW w:w="514" w:type="pct"/>
            <w:noWrap w:val="0"/>
            <w:vAlign w:val="center"/>
          </w:tcPr>
          <w:p w14:paraId="616CA102">
            <w:pPr>
              <w:widowControl/>
              <w:jc w:val="center"/>
              <w:textAlignment w:val="bottom"/>
              <w:rPr>
                <w:kern w:val="0"/>
                <w:szCs w:val="21"/>
                <w:lang w:bidi="ar"/>
              </w:rPr>
            </w:pPr>
            <w:r>
              <w:rPr>
                <w:kern w:val="0"/>
                <w:szCs w:val="21"/>
                <w:lang w:bidi="ar"/>
              </w:rPr>
              <w:t>3</w:t>
            </w:r>
          </w:p>
        </w:tc>
        <w:tc>
          <w:tcPr>
            <w:tcW w:w="1081" w:type="dxa"/>
            <w:noWrap w:val="0"/>
            <w:vAlign w:val="center"/>
          </w:tcPr>
          <w:p w14:paraId="02BB8A43">
            <w:pPr>
              <w:widowControl/>
              <w:jc w:val="center"/>
              <w:textAlignment w:val="center"/>
              <w:rPr>
                <w:kern w:val="0"/>
                <w:szCs w:val="21"/>
                <w:lang w:bidi="ar"/>
              </w:rPr>
            </w:pPr>
            <w:r>
              <w:rPr>
                <w:kern w:val="0"/>
                <w:szCs w:val="21"/>
                <w:lang w:bidi="ar"/>
              </w:rPr>
              <w:t>764.4</w:t>
            </w:r>
          </w:p>
        </w:tc>
        <w:tc>
          <w:tcPr>
            <w:tcW w:w="1079" w:type="dxa"/>
            <w:noWrap w:val="0"/>
            <w:vAlign w:val="center"/>
          </w:tcPr>
          <w:p w14:paraId="7B6708A1">
            <w:pPr>
              <w:widowControl/>
              <w:jc w:val="center"/>
              <w:textAlignment w:val="bottom"/>
              <w:rPr>
                <w:kern w:val="0"/>
                <w:szCs w:val="21"/>
                <w:lang w:bidi="ar"/>
              </w:rPr>
            </w:pPr>
            <w:r>
              <w:rPr>
                <w:kern w:val="0"/>
                <w:szCs w:val="21"/>
                <w:lang w:bidi="ar"/>
              </w:rPr>
              <w:t>10</w:t>
            </w:r>
          </w:p>
        </w:tc>
        <w:tc>
          <w:tcPr>
            <w:tcW w:w="1701" w:type="dxa"/>
            <w:noWrap w:val="0"/>
            <w:vAlign w:val="center"/>
          </w:tcPr>
          <w:p w14:paraId="0A9FF626">
            <w:pPr>
              <w:widowControl/>
              <w:jc w:val="center"/>
              <w:textAlignment w:val="bottom"/>
              <w:rPr>
                <w:kern w:val="0"/>
                <w:szCs w:val="21"/>
                <w:lang w:bidi="ar"/>
              </w:rPr>
            </w:pPr>
            <w:r>
              <w:rPr>
                <w:kern w:val="0"/>
                <w:szCs w:val="21"/>
                <w:lang w:bidi="ar"/>
              </w:rPr>
              <w:t>7.644</w:t>
            </w:r>
          </w:p>
        </w:tc>
      </w:tr>
      <w:tr w14:paraId="6674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6" w:type="pct"/>
            <w:noWrap w:val="0"/>
            <w:vAlign w:val="bottom"/>
          </w:tcPr>
          <w:p w14:paraId="5C081008">
            <w:pPr>
              <w:widowControl/>
              <w:jc w:val="center"/>
              <w:textAlignment w:val="bottom"/>
              <w:rPr>
                <w:kern w:val="0"/>
                <w:szCs w:val="21"/>
                <w:lang w:bidi="ar"/>
              </w:rPr>
            </w:pPr>
            <w:r>
              <w:rPr>
                <w:kern w:val="0"/>
                <w:szCs w:val="21"/>
                <w:lang w:bidi="ar"/>
              </w:rPr>
              <w:t>育肥猪</w:t>
            </w:r>
          </w:p>
        </w:tc>
        <w:tc>
          <w:tcPr>
            <w:tcW w:w="588" w:type="pct"/>
            <w:noWrap w:val="0"/>
            <w:vAlign w:val="center"/>
          </w:tcPr>
          <w:p w14:paraId="3607A7E6">
            <w:pPr>
              <w:widowControl/>
              <w:jc w:val="center"/>
              <w:textAlignment w:val="bottom"/>
              <w:rPr>
                <w:kern w:val="0"/>
                <w:szCs w:val="21"/>
                <w:lang w:bidi="ar"/>
              </w:rPr>
            </w:pPr>
            <w:r>
              <w:rPr>
                <w:kern w:val="0"/>
                <w:szCs w:val="21"/>
                <w:lang w:bidi="ar"/>
              </w:rPr>
              <w:t>9800</w:t>
            </w:r>
          </w:p>
        </w:tc>
        <w:tc>
          <w:tcPr>
            <w:tcW w:w="514" w:type="pct"/>
            <w:noWrap w:val="0"/>
            <w:vAlign w:val="center"/>
          </w:tcPr>
          <w:p w14:paraId="09AED8E7">
            <w:pPr>
              <w:widowControl/>
              <w:jc w:val="center"/>
              <w:textAlignment w:val="bottom"/>
              <w:rPr>
                <w:kern w:val="0"/>
                <w:szCs w:val="21"/>
                <w:lang w:bidi="ar"/>
              </w:rPr>
            </w:pPr>
            <w:r>
              <w:rPr>
                <w:kern w:val="0"/>
                <w:szCs w:val="21"/>
                <w:lang w:bidi="ar"/>
              </w:rPr>
              <w:t>2.6</w:t>
            </w:r>
          </w:p>
        </w:tc>
        <w:tc>
          <w:tcPr>
            <w:tcW w:w="514" w:type="pct"/>
            <w:noWrap w:val="0"/>
            <w:vAlign w:val="center"/>
          </w:tcPr>
          <w:p w14:paraId="626F5B7B">
            <w:pPr>
              <w:widowControl/>
              <w:jc w:val="center"/>
              <w:textAlignment w:val="bottom"/>
              <w:rPr>
                <w:kern w:val="0"/>
                <w:szCs w:val="21"/>
                <w:lang w:bidi="ar"/>
              </w:rPr>
            </w:pPr>
            <w:r>
              <w:rPr>
                <w:kern w:val="0"/>
                <w:szCs w:val="21"/>
                <w:lang w:bidi="ar"/>
              </w:rPr>
              <w:t>1</w:t>
            </w:r>
          </w:p>
        </w:tc>
        <w:tc>
          <w:tcPr>
            <w:tcW w:w="1081" w:type="dxa"/>
            <w:noWrap w:val="0"/>
            <w:vAlign w:val="center"/>
          </w:tcPr>
          <w:p w14:paraId="5F0E98F4">
            <w:pPr>
              <w:widowControl/>
              <w:jc w:val="center"/>
              <w:textAlignment w:val="center"/>
              <w:rPr>
                <w:kern w:val="0"/>
                <w:szCs w:val="21"/>
                <w:lang w:bidi="ar"/>
              </w:rPr>
            </w:pPr>
            <w:r>
              <w:rPr>
                <w:kern w:val="0"/>
                <w:szCs w:val="21"/>
                <w:lang w:bidi="ar"/>
              </w:rPr>
              <w:t>254.8</w:t>
            </w:r>
          </w:p>
        </w:tc>
        <w:tc>
          <w:tcPr>
            <w:tcW w:w="1079" w:type="dxa"/>
            <w:noWrap w:val="0"/>
            <w:vAlign w:val="center"/>
          </w:tcPr>
          <w:p w14:paraId="11583842">
            <w:pPr>
              <w:widowControl/>
              <w:jc w:val="center"/>
              <w:textAlignment w:val="bottom"/>
              <w:rPr>
                <w:kern w:val="0"/>
                <w:szCs w:val="21"/>
                <w:lang w:bidi="ar"/>
              </w:rPr>
            </w:pPr>
            <w:r>
              <w:rPr>
                <w:kern w:val="0"/>
                <w:szCs w:val="21"/>
                <w:lang w:bidi="ar"/>
              </w:rPr>
              <w:t>50</w:t>
            </w:r>
          </w:p>
        </w:tc>
        <w:tc>
          <w:tcPr>
            <w:tcW w:w="1701" w:type="dxa"/>
            <w:noWrap w:val="0"/>
            <w:vAlign w:val="center"/>
          </w:tcPr>
          <w:p w14:paraId="227EDA81">
            <w:pPr>
              <w:widowControl/>
              <w:jc w:val="center"/>
              <w:textAlignment w:val="bottom"/>
              <w:rPr>
                <w:kern w:val="0"/>
                <w:szCs w:val="21"/>
                <w:lang w:bidi="ar"/>
              </w:rPr>
            </w:pPr>
            <w:r>
              <w:rPr>
                <w:kern w:val="0"/>
                <w:szCs w:val="21"/>
                <w:lang w:bidi="ar"/>
              </w:rPr>
              <w:t>12.74</w:t>
            </w:r>
          </w:p>
        </w:tc>
      </w:tr>
      <w:tr w14:paraId="7439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4" w:type="pct"/>
            <w:gridSpan w:val="4"/>
            <w:noWrap w:val="0"/>
            <w:vAlign w:val="bottom"/>
          </w:tcPr>
          <w:p w14:paraId="54C07F15">
            <w:pPr>
              <w:widowControl/>
              <w:jc w:val="center"/>
              <w:textAlignment w:val="bottom"/>
              <w:rPr>
                <w:kern w:val="0"/>
                <w:szCs w:val="21"/>
                <w:lang w:bidi="ar"/>
              </w:rPr>
            </w:pPr>
            <w:r>
              <w:rPr>
                <w:kern w:val="0"/>
                <w:szCs w:val="21"/>
                <w:lang w:bidi="ar"/>
              </w:rPr>
              <w:t>合计</w:t>
            </w:r>
          </w:p>
        </w:tc>
        <w:tc>
          <w:tcPr>
            <w:tcW w:w="634" w:type="pct"/>
            <w:noWrap w:val="0"/>
            <w:vAlign w:val="center"/>
          </w:tcPr>
          <w:p w14:paraId="74348BF9">
            <w:pPr>
              <w:widowControl/>
              <w:jc w:val="center"/>
              <w:textAlignment w:val="bottom"/>
              <w:rPr>
                <w:kern w:val="0"/>
                <w:szCs w:val="21"/>
                <w:lang w:bidi="ar"/>
              </w:rPr>
            </w:pPr>
            <w:r>
              <w:rPr>
                <w:kern w:val="0"/>
                <w:szCs w:val="21"/>
                <w:lang w:bidi="ar"/>
              </w:rPr>
              <w:t>1019.2</w:t>
            </w:r>
          </w:p>
        </w:tc>
        <w:tc>
          <w:tcPr>
            <w:tcW w:w="633" w:type="pct"/>
            <w:noWrap w:val="0"/>
            <w:vAlign w:val="center"/>
          </w:tcPr>
          <w:p w14:paraId="6DBBCBFA">
            <w:pPr>
              <w:widowControl/>
              <w:jc w:val="center"/>
              <w:textAlignment w:val="bottom"/>
              <w:rPr>
                <w:kern w:val="0"/>
                <w:szCs w:val="21"/>
                <w:lang w:bidi="ar"/>
              </w:rPr>
            </w:pPr>
            <w:r>
              <w:rPr>
                <w:kern w:val="0"/>
                <w:szCs w:val="21"/>
                <w:lang w:bidi="ar"/>
              </w:rPr>
              <w:t>/</w:t>
            </w:r>
          </w:p>
        </w:tc>
        <w:tc>
          <w:tcPr>
            <w:tcW w:w="1701" w:type="dxa"/>
            <w:noWrap w:val="0"/>
            <w:vAlign w:val="center"/>
          </w:tcPr>
          <w:p w14:paraId="6F2026B5">
            <w:pPr>
              <w:widowControl/>
              <w:jc w:val="center"/>
              <w:textAlignment w:val="bottom"/>
              <w:rPr>
                <w:kern w:val="0"/>
                <w:szCs w:val="21"/>
                <w:lang w:bidi="ar"/>
              </w:rPr>
            </w:pPr>
            <w:r>
              <w:rPr>
                <w:kern w:val="0"/>
                <w:szCs w:val="21"/>
                <w:lang w:bidi="ar"/>
              </w:rPr>
              <w:t>20.384</w:t>
            </w:r>
          </w:p>
        </w:tc>
      </w:tr>
    </w:tbl>
    <w:p w14:paraId="7C3F735A">
      <w:pPr>
        <w:spacing w:line="360" w:lineRule="auto"/>
        <w:ind w:firstLine="540"/>
        <w:rPr>
          <w:sz w:val="24"/>
        </w:rPr>
      </w:pPr>
      <w:r>
        <w:rPr>
          <w:sz w:val="24"/>
        </w:rPr>
        <w:t>本项目病死猪近期在盛丰焦化养殖地块处设置无害化处理区，购置1台广东益康生环保设备有限公司生产的无害化降解处理机对病死猪进行无害化处理，病死猪经过分切、绞碎、发酵、杀菌、干燥等多重工艺，把畜禽尸体等有机物快速降解，最终与添加的垫料经过混合、搅拌、分装等程序，无害化处理后与发酵后猪粪一同作为有机肥利用。远期待石林县病死畜禽无害化处理项目建成后，委托石林县病死畜禽无害化处理项目处理</w:t>
      </w:r>
    </w:p>
    <w:p w14:paraId="4C074B09">
      <w:pPr>
        <w:spacing w:line="360" w:lineRule="auto"/>
        <w:ind w:firstLine="540"/>
        <w:rPr>
          <w:b/>
          <w:bCs/>
          <w:sz w:val="24"/>
        </w:rPr>
      </w:pPr>
      <w:r>
        <w:rPr>
          <w:b/>
          <w:bCs/>
          <w:sz w:val="24"/>
        </w:rPr>
        <w:t>⑧食堂厨余垃圾</w:t>
      </w:r>
    </w:p>
    <w:p w14:paraId="403F0ACC">
      <w:pPr>
        <w:spacing w:line="360" w:lineRule="auto"/>
        <w:ind w:firstLine="540"/>
        <w:rPr>
          <w:bCs/>
          <w:sz w:val="24"/>
        </w:rPr>
      </w:pPr>
      <w:r>
        <w:rPr>
          <w:sz w:val="24"/>
        </w:rPr>
        <w:t>食堂厨余垃圾主要是剩汤、剩饭菜、过期食品等，产生量按0.2kg/（人·d）计，则项目每天产生泔水6.2kg/d，2.263 t/a。使用泔水桶收集后，用做养猪饲料使用。</w:t>
      </w:r>
    </w:p>
    <w:p w14:paraId="6E32AB09">
      <w:pPr>
        <w:tabs>
          <w:tab w:val="right" w:leader="dot" w:pos="8647"/>
        </w:tabs>
        <w:spacing w:line="360" w:lineRule="auto"/>
        <w:ind w:firstLine="454" w:firstLineChars="200"/>
        <w:jc w:val="left"/>
        <w:rPr>
          <w:b/>
          <w:sz w:val="24"/>
        </w:rPr>
      </w:pPr>
      <w:r>
        <w:rPr>
          <w:b/>
          <w:spacing w:val="-7"/>
          <w:sz w:val="24"/>
        </w:rPr>
        <w:t>⑨</w:t>
      </w:r>
      <w:r>
        <w:rPr>
          <w:b/>
          <w:sz w:val="24"/>
        </w:rPr>
        <w:t>疾病防疫产生的医疗废物</w:t>
      </w:r>
    </w:p>
    <w:p w14:paraId="25511A94">
      <w:pPr>
        <w:spacing w:line="360" w:lineRule="auto"/>
        <w:ind w:firstLine="480" w:firstLineChars="200"/>
        <w:rPr>
          <w:bCs/>
          <w:sz w:val="24"/>
        </w:rPr>
      </w:pPr>
      <w:r>
        <w:rPr>
          <w:bCs/>
          <w:sz w:val="24"/>
        </w:rPr>
        <w:t>每年春、秋季各检查整蹄一次，对患有猪蹄病的猪只要及时治疗，平时还要做好畜禽养殖疾病防治工作。因此项目运营时期，医务室产生废弃疫苗瓶、少量针头、针管及棉纱等医疗固废也属于危险废物，根据调查，每头存栏生猪养殖过程产生量约0.05kg，则产生量约1.247t/a，项目产生的医疗废物禁止乱丢弃，在各养殖地块分别设置1间医疗废物储存间，内置惰性桶3个，用于医疗废物的暂存，定期交由有医疗废物处置资质的单位处置。</w:t>
      </w:r>
    </w:p>
    <w:p w14:paraId="24FE07DD">
      <w:pPr>
        <w:adjustRightInd w:val="0"/>
        <w:spacing w:line="360" w:lineRule="auto"/>
        <w:ind w:firstLine="480" w:firstLineChars="200"/>
        <w:textAlignment w:val="baseline"/>
        <w:rPr>
          <w:rFonts w:hint="eastAsia"/>
          <w:bCs/>
          <w:sz w:val="24"/>
        </w:rPr>
      </w:pPr>
      <w:r>
        <w:rPr>
          <w:rFonts w:hint="eastAsia"/>
          <w:bCs/>
          <w:sz w:val="24"/>
        </w:rPr>
        <w:t>⑩废紫外灯管</w:t>
      </w:r>
    </w:p>
    <w:p w14:paraId="6625E52A">
      <w:pPr>
        <w:adjustRightInd w:val="0"/>
        <w:spacing w:line="360" w:lineRule="auto"/>
        <w:ind w:firstLine="480" w:firstLineChars="200"/>
        <w:textAlignment w:val="baseline"/>
        <w:rPr>
          <w:kern w:val="0"/>
          <w:sz w:val="24"/>
        </w:rPr>
      </w:pPr>
      <w:r>
        <w:rPr>
          <w:kern w:val="0"/>
          <w:sz w:val="24"/>
        </w:rPr>
        <w:t>项目</w:t>
      </w:r>
      <w:r>
        <w:rPr>
          <w:rFonts w:hint="eastAsia"/>
          <w:kern w:val="0"/>
          <w:sz w:val="24"/>
        </w:rPr>
        <w:t>堆肥臭气</w:t>
      </w:r>
      <w:r>
        <w:rPr>
          <w:kern w:val="0"/>
          <w:sz w:val="24"/>
        </w:rPr>
        <w:t>通过UV光解处理过程会产生废弃的紫外灯管，每年约产生4</w:t>
      </w:r>
      <w:r>
        <w:rPr>
          <w:rFonts w:hint="eastAsia"/>
          <w:kern w:val="0"/>
          <w:sz w:val="24"/>
        </w:rPr>
        <w:t>0</w:t>
      </w:r>
      <w:r>
        <w:rPr>
          <w:kern w:val="0"/>
          <w:sz w:val="24"/>
        </w:rPr>
        <w:t>支，每支以0.2kg计，则废UV灯管产生量为</w:t>
      </w:r>
      <w:r>
        <w:rPr>
          <w:rFonts w:hint="eastAsia"/>
          <w:kern w:val="0"/>
          <w:sz w:val="24"/>
        </w:rPr>
        <w:t>8</w:t>
      </w:r>
      <w:r>
        <w:rPr>
          <w:kern w:val="0"/>
          <w:sz w:val="24"/>
        </w:rPr>
        <w:t>kg/a。废紫外灯管属于《国家危险废物名录》（2021版）中所列的“HW29 含汞废物  900-023-29”，产生的废紫外灯管集中收集后，暂存于危废暂存间，定期交由有危废处置资质的单位进行清运处理。</w:t>
      </w:r>
    </w:p>
    <w:p w14:paraId="4FE27A5C">
      <w:pPr>
        <w:pStyle w:val="47"/>
        <w:rPr>
          <w:rFonts w:hint="eastAsia"/>
        </w:rPr>
      </w:pPr>
    </w:p>
    <w:p w14:paraId="7BF692A1">
      <w:pPr>
        <w:spacing w:line="360" w:lineRule="auto"/>
        <w:ind w:firstLine="482" w:firstLineChars="200"/>
        <w:rPr>
          <w:b/>
          <w:sz w:val="24"/>
        </w:rPr>
      </w:pPr>
      <w:r>
        <w:rPr>
          <w:b/>
          <w:sz w:val="24"/>
        </w:rPr>
        <w:t xml:space="preserve">（2）固体废物属性判断 </w:t>
      </w:r>
    </w:p>
    <w:p w14:paraId="26988B73">
      <w:pPr>
        <w:spacing w:line="360" w:lineRule="auto"/>
        <w:ind w:firstLine="480" w:firstLineChars="200"/>
        <w:rPr>
          <w:bCs/>
          <w:sz w:val="24"/>
        </w:rPr>
      </w:pPr>
      <w:r>
        <w:rPr>
          <w:bCs/>
          <w:sz w:val="24"/>
        </w:rPr>
        <w:t xml:space="preserve">①固体废物属性判定 </w:t>
      </w:r>
    </w:p>
    <w:p w14:paraId="056E1AE9">
      <w:pPr>
        <w:spacing w:line="360" w:lineRule="auto"/>
        <w:ind w:firstLine="480" w:firstLineChars="200"/>
        <w:rPr>
          <w:bCs/>
          <w:sz w:val="24"/>
        </w:rPr>
      </w:pPr>
      <w:r>
        <w:rPr>
          <w:bCs/>
          <w:sz w:val="24"/>
        </w:rPr>
        <w:t>根据《固体废物鉴别标准 通则》（GB34330-2017）的规定，判断建设项目生产过程中产 生的副产物是否属于固体废物，具体判定结果见表 3.6-16。</w:t>
      </w:r>
    </w:p>
    <w:p w14:paraId="7B91F0CE">
      <w:pPr>
        <w:pStyle w:val="47"/>
        <w:jc w:val="center"/>
        <w:rPr>
          <w:rFonts w:ascii="Times New Roman" w:hAnsi="Times New Roman" w:cs="Times New Roman"/>
          <w:b/>
        </w:rPr>
      </w:pPr>
      <w:r>
        <w:rPr>
          <w:rFonts w:ascii="Times New Roman" w:hAnsi="Times New Roman" w:cs="Times New Roman"/>
          <w:b/>
          <w:sz w:val="24"/>
        </w:rPr>
        <w:t>3.4-16  固废属性判定表</w:t>
      </w:r>
    </w:p>
    <w:tbl>
      <w:tblPr>
        <w:tblStyle w:val="87"/>
        <w:tblW w:w="5000" w:type="pct"/>
        <w:jc w:val="center"/>
        <w:tblLayout w:type="fixed"/>
        <w:tblCellMar>
          <w:top w:w="0" w:type="dxa"/>
          <w:left w:w="108" w:type="dxa"/>
          <w:bottom w:w="0" w:type="dxa"/>
          <w:right w:w="108" w:type="dxa"/>
        </w:tblCellMar>
      </w:tblPr>
      <w:tblGrid>
        <w:gridCol w:w="332"/>
        <w:gridCol w:w="1514"/>
        <w:gridCol w:w="571"/>
        <w:gridCol w:w="1041"/>
        <w:gridCol w:w="1417"/>
        <w:gridCol w:w="837"/>
        <w:gridCol w:w="998"/>
        <w:gridCol w:w="1818"/>
      </w:tblGrid>
      <w:tr w14:paraId="0DB9B52E">
        <w:tblPrEx>
          <w:tblCellMar>
            <w:top w:w="0" w:type="dxa"/>
            <w:left w:w="108" w:type="dxa"/>
            <w:bottom w:w="0" w:type="dxa"/>
            <w:right w:w="108" w:type="dxa"/>
          </w:tblCellMar>
        </w:tblPrEx>
        <w:trPr>
          <w:trHeight w:val="285"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noWrap w:val="0"/>
            <w:vAlign w:val="center"/>
          </w:tcPr>
          <w:p w14:paraId="4A7115F0">
            <w:pPr>
              <w:widowControl/>
              <w:jc w:val="center"/>
              <w:textAlignment w:val="center"/>
              <w:rPr>
                <w:szCs w:val="21"/>
              </w:rPr>
            </w:pPr>
            <w:r>
              <w:rPr>
                <w:kern w:val="0"/>
                <w:szCs w:val="21"/>
                <w:lang w:bidi="ar"/>
              </w:rPr>
              <w:t>序号</w:t>
            </w:r>
          </w:p>
        </w:tc>
        <w:tc>
          <w:tcPr>
            <w:tcW w:w="887" w:type="pct"/>
            <w:vMerge w:val="restart"/>
            <w:tcBorders>
              <w:top w:val="single" w:color="000000" w:sz="4" w:space="0"/>
              <w:left w:val="single" w:color="000000" w:sz="4" w:space="0"/>
              <w:bottom w:val="single" w:color="000000" w:sz="4" w:space="0"/>
              <w:right w:val="single" w:color="000000" w:sz="4" w:space="0"/>
            </w:tcBorders>
            <w:noWrap/>
            <w:vAlign w:val="center"/>
          </w:tcPr>
          <w:p w14:paraId="5C63FB1E">
            <w:pPr>
              <w:widowControl/>
              <w:jc w:val="center"/>
              <w:textAlignment w:val="center"/>
              <w:rPr>
                <w:szCs w:val="21"/>
              </w:rPr>
            </w:pPr>
            <w:r>
              <w:rPr>
                <w:kern w:val="0"/>
                <w:szCs w:val="21"/>
                <w:lang w:bidi="ar"/>
              </w:rPr>
              <w:t>固体废物名称</w:t>
            </w:r>
          </w:p>
        </w:tc>
        <w:tc>
          <w:tcPr>
            <w:tcW w:w="334" w:type="pct"/>
            <w:vMerge w:val="restart"/>
            <w:tcBorders>
              <w:top w:val="single" w:color="000000" w:sz="4" w:space="0"/>
              <w:left w:val="single" w:color="000000" w:sz="4" w:space="0"/>
              <w:bottom w:val="single" w:color="000000" w:sz="4" w:space="0"/>
              <w:right w:val="single" w:color="000000" w:sz="4" w:space="0"/>
            </w:tcBorders>
            <w:noWrap/>
            <w:vAlign w:val="center"/>
          </w:tcPr>
          <w:p w14:paraId="418E6AF8">
            <w:pPr>
              <w:widowControl/>
              <w:jc w:val="center"/>
              <w:textAlignment w:val="center"/>
              <w:rPr>
                <w:szCs w:val="21"/>
              </w:rPr>
            </w:pPr>
            <w:r>
              <w:rPr>
                <w:kern w:val="0"/>
                <w:szCs w:val="21"/>
                <w:lang w:bidi="ar"/>
              </w:rPr>
              <w:t>形态</w:t>
            </w:r>
          </w:p>
        </w:tc>
        <w:tc>
          <w:tcPr>
            <w:tcW w:w="610" w:type="pct"/>
            <w:vMerge w:val="restart"/>
            <w:tcBorders>
              <w:top w:val="single" w:color="000000" w:sz="4" w:space="0"/>
              <w:left w:val="single" w:color="000000" w:sz="4" w:space="0"/>
              <w:bottom w:val="single" w:color="000000" w:sz="4" w:space="0"/>
              <w:right w:val="single" w:color="000000" w:sz="4" w:space="0"/>
            </w:tcBorders>
            <w:noWrap/>
            <w:vAlign w:val="center"/>
          </w:tcPr>
          <w:p w14:paraId="32E24312">
            <w:pPr>
              <w:widowControl/>
              <w:jc w:val="center"/>
              <w:textAlignment w:val="center"/>
              <w:rPr>
                <w:szCs w:val="21"/>
              </w:rPr>
            </w:pPr>
            <w:r>
              <w:rPr>
                <w:kern w:val="0"/>
                <w:szCs w:val="21"/>
                <w:lang w:bidi="ar"/>
              </w:rPr>
              <w:t>主要成分</w:t>
            </w:r>
          </w:p>
        </w:tc>
        <w:tc>
          <w:tcPr>
            <w:tcW w:w="831" w:type="pct"/>
            <w:vMerge w:val="restart"/>
            <w:tcBorders>
              <w:top w:val="single" w:color="000000" w:sz="4" w:space="0"/>
              <w:left w:val="single" w:color="000000" w:sz="4" w:space="0"/>
              <w:bottom w:val="single" w:color="000000" w:sz="4" w:space="0"/>
              <w:right w:val="single" w:color="000000" w:sz="4" w:space="0"/>
            </w:tcBorders>
            <w:noWrap/>
            <w:vAlign w:val="center"/>
          </w:tcPr>
          <w:p w14:paraId="4351CE7D">
            <w:pPr>
              <w:widowControl/>
              <w:jc w:val="center"/>
              <w:textAlignment w:val="center"/>
              <w:rPr>
                <w:szCs w:val="21"/>
              </w:rPr>
            </w:pPr>
            <w:r>
              <w:rPr>
                <w:kern w:val="0"/>
                <w:szCs w:val="21"/>
                <w:lang w:bidi="ar"/>
              </w:rPr>
              <w:t>预测产生量（t/a）</w:t>
            </w:r>
          </w:p>
        </w:tc>
        <w:tc>
          <w:tcPr>
            <w:tcW w:w="2142" w:type="pct"/>
            <w:gridSpan w:val="3"/>
            <w:tcBorders>
              <w:top w:val="single" w:color="000000" w:sz="4" w:space="0"/>
              <w:left w:val="single" w:color="000000" w:sz="4" w:space="0"/>
              <w:bottom w:val="single" w:color="000000" w:sz="4" w:space="0"/>
              <w:right w:val="single" w:color="000000" w:sz="4" w:space="0"/>
            </w:tcBorders>
            <w:noWrap/>
            <w:vAlign w:val="center"/>
          </w:tcPr>
          <w:p w14:paraId="77F60E79">
            <w:pPr>
              <w:widowControl/>
              <w:jc w:val="center"/>
              <w:textAlignment w:val="center"/>
              <w:rPr>
                <w:szCs w:val="21"/>
              </w:rPr>
            </w:pPr>
            <w:r>
              <w:rPr>
                <w:kern w:val="0"/>
                <w:szCs w:val="21"/>
                <w:lang w:bidi="ar"/>
              </w:rPr>
              <w:t>种类判断</w:t>
            </w:r>
          </w:p>
        </w:tc>
      </w:tr>
      <w:tr w14:paraId="56339994">
        <w:tblPrEx>
          <w:tblCellMar>
            <w:top w:w="0" w:type="dxa"/>
            <w:left w:w="108" w:type="dxa"/>
            <w:bottom w:w="0" w:type="dxa"/>
            <w:right w:w="108" w:type="dxa"/>
          </w:tblCellMar>
        </w:tblPrEx>
        <w:trPr>
          <w:trHeight w:val="285"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C73D58">
            <w:pPr>
              <w:jc w:val="center"/>
              <w:rPr>
                <w:szCs w:val="21"/>
              </w:rPr>
            </w:pPr>
          </w:p>
        </w:tc>
        <w:tc>
          <w:tcPr>
            <w:tcW w:w="887" w:type="pct"/>
            <w:vMerge w:val="continue"/>
            <w:tcBorders>
              <w:top w:val="single" w:color="000000" w:sz="4" w:space="0"/>
              <w:left w:val="single" w:color="000000" w:sz="4" w:space="0"/>
              <w:bottom w:val="single" w:color="000000" w:sz="4" w:space="0"/>
              <w:right w:val="single" w:color="000000" w:sz="4" w:space="0"/>
            </w:tcBorders>
            <w:noWrap/>
            <w:vAlign w:val="center"/>
          </w:tcPr>
          <w:p w14:paraId="7A514055">
            <w:pPr>
              <w:jc w:val="center"/>
              <w:rPr>
                <w:szCs w:val="21"/>
              </w:rPr>
            </w:pPr>
          </w:p>
        </w:tc>
        <w:tc>
          <w:tcPr>
            <w:tcW w:w="334" w:type="pct"/>
            <w:vMerge w:val="continue"/>
            <w:tcBorders>
              <w:top w:val="single" w:color="000000" w:sz="4" w:space="0"/>
              <w:left w:val="single" w:color="000000" w:sz="4" w:space="0"/>
              <w:bottom w:val="single" w:color="000000" w:sz="4" w:space="0"/>
              <w:right w:val="single" w:color="000000" w:sz="4" w:space="0"/>
            </w:tcBorders>
            <w:noWrap/>
            <w:vAlign w:val="center"/>
          </w:tcPr>
          <w:p w14:paraId="3B4296AB">
            <w:pPr>
              <w:jc w:val="center"/>
              <w:rPr>
                <w:szCs w:val="21"/>
              </w:rPr>
            </w:pPr>
          </w:p>
        </w:tc>
        <w:tc>
          <w:tcPr>
            <w:tcW w:w="610" w:type="pct"/>
            <w:vMerge w:val="continue"/>
            <w:tcBorders>
              <w:top w:val="single" w:color="000000" w:sz="4" w:space="0"/>
              <w:left w:val="single" w:color="000000" w:sz="4" w:space="0"/>
              <w:bottom w:val="single" w:color="000000" w:sz="4" w:space="0"/>
              <w:right w:val="single" w:color="000000" w:sz="4" w:space="0"/>
            </w:tcBorders>
            <w:noWrap/>
            <w:vAlign w:val="center"/>
          </w:tcPr>
          <w:p w14:paraId="3165F110">
            <w:pPr>
              <w:jc w:val="center"/>
              <w:rPr>
                <w:szCs w:val="21"/>
              </w:rPr>
            </w:pPr>
          </w:p>
        </w:tc>
        <w:tc>
          <w:tcPr>
            <w:tcW w:w="831" w:type="pct"/>
            <w:vMerge w:val="continue"/>
            <w:tcBorders>
              <w:top w:val="single" w:color="000000" w:sz="4" w:space="0"/>
              <w:left w:val="single" w:color="000000" w:sz="4" w:space="0"/>
              <w:bottom w:val="single" w:color="000000" w:sz="4" w:space="0"/>
              <w:right w:val="single" w:color="000000" w:sz="4" w:space="0"/>
            </w:tcBorders>
            <w:noWrap/>
            <w:vAlign w:val="center"/>
          </w:tcPr>
          <w:p w14:paraId="0A00030A">
            <w:pPr>
              <w:jc w:val="center"/>
              <w:rPr>
                <w:szCs w:val="21"/>
              </w:rPr>
            </w:pP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1E4D661D">
            <w:pPr>
              <w:widowControl/>
              <w:jc w:val="center"/>
              <w:textAlignment w:val="center"/>
              <w:rPr>
                <w:szCs w:val="21"/>
              </w:rPr>
            </w:pPr>
            <w:r>
              <w:rPr>
                <w:kern w:val="0"/>
                <w:szCs w:val="21"/>
                <w:lang w:bidi="ar"/>
              </w:rPr>
              <w:t>固体废物</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5CB40A3">
            <w:pPr>
              <w:widowControl/>
              <w:jc w:val="center"/>
              <w:textAlignment w:val="center"/>
              <w:rPr>
                <w:szCs w:val="21"/>
              </w:rPr>
            </w:pPr>
            <w:r>
              <w:rPr>
                <w:kern w:val="0"/>
                <w:szCs w:val="21"/>
                <w:lang w:bidi="ar"/>
              </w:rPr>
              <w:t>副产品</w:t>
            </w:r>
          </w:p>
        </w:tc>
        <w:tc>
          <w:tcPr>
            <w:tcW w:w="1065" w:type="pct"/>
            <w:tcBorders>
              <w:top w:val="single" w:color="000000" w:sz="4" w:space="0"/>
              <w:left w:val="single" w:color="000000" w:sz="4" w:space="0"/>
              <w:bottom w:val="single" w:color="000000" w:sz="4" w:space="0"/>
              <w:right w:val="single" w:color="000000" w:sz="4" w:space="0"/>
            </w:tcBorders>
            <w:noWrap/>
            <w:vAlign w:val="center"/>
          </w:tcPr>
          <w:p w14:paraId="66F740A2">
            <w:pPr>
              <w:widowControl/>
              <w:jc w:val="center"/>
              <w:textAlignment w:val="center"/>
              <w:rPr>
                <w:szCs w:val="21"/>
              </w:rPr>
            </w:pPr>
            <w:r>
              <w:rPr>
                <w:kern w:val="0"/>
                <w:szCs w:val="21"/>
                <w:lang w:bidi="ar"/>
              </w:rPr>
              <w:t>判断依据</w:t>
            </w:r>
          </w:p>
        </w:tc>
      </w:tr>
      <w:tr w14:paraId="247FD4D4">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0F203E51">
            <w:pPr>
              <w:widowControl/>
              <w:jc w:val="center"/>
              <w:textAlignment w:val="center"/>
              <w:rPr>
                <w:szCs w:val="21"/>
              </w:rPr>
            </w:pPr>
            <w:r>
              <w:rPr>
                <w:kern w:val="0"/>
                <w:szCs w:val="21"/>
                <w:lang w:bidi="ar"/>
              </w:rPr>
              <w:t>1</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2B715B55">
            <w:pPr>
              <w:widowControl/>
              <w:jc w:val="center"/>
              <w:textAlignment w:val="center"/>
              <w:rPr>
                <w:szCs w:val="21"/>
              </w:rPr>
            </w:pPr>
            <w:r>
              <w:rPr>
                <w:kern w:val="0"/>
                <w:szCs w:val="21"/>
                <w:lang w:bidi="ar"/>
              </w:rPr>
              <w:t>猪粪</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060286C">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3F1E9F1D">
            <w:pPr>
              <w:widowControl/>
              <w:jc w:val="center"/>
              <w:textAlignment w:val="center"/>
              <w:rPr>
                <w:szCs w:val="21"/>
              </w:rPr>
            </w:pPr>
            <w:r>
              <w:rPr>
                <w:kern w:val="0"/>
                <w:szCs w:val="21"/>
                <w:lang w:bidi="ar"/>
              </w:rPr>
              <w:t>有机质</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5612C238">
            <w:pPr>
              <w:widowControl/>
              <w:jc w:val="center"/>
              <w:textAlignment w:val="center"/>
              <w:rPr>
                <w:szCs w:val="21"/>
              </w:rPr>
            </w:pPr>
            <w:r>
              <w:rPr>
                <w:kern w:val="0"/>
                <w:szCs w:val="21"/>
                <w:lang w:bidi="ar"/>
              </w:rPr>
              <w:t>4209.18</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6D44C5D8">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5CDC584">
            <w:pPr>
              <w:widowControl/>
              <w:jc w:val="center"/>
              <w:textAlignment w:val="center"/>
              <w:rPr>
                <w:szCs w:val="21"/>
              </w:rPr>
            </w:pPr>
            <w:r>
              <w:rPr>
                <w:kern w:val="0"/>
                <w:szCs w:val="21"/>
                <w:lang w:bidi="ar"/>
              </w:rPr>
              <w:t>否</w:t>
            </w:r>
          </w:p>
        </w:tc>
        <w:tc>
          <w:tcPr>
            <w:tcW w:w="1065" w:type="pct"/>
            <w:vMerge w:val="restart"/>
            <w:tcBorders>
              <w:top w:val="single" w:color="000000" w:sz="4" w:space="0"/>
              <w:left w:val="single" w:color="000000" w:sz="4" w:space="0"/>
              <w:right w:val="single" w:color="000000" w:sz="4" w:space="0"/>
            </w:tcBorders>
            <w:noWrap/>
            <w:vAlign w:val="center"/>
          </w:tcPr>
          <w:p w14:paraId="2D592CC2">
            <w:pPr>
              <w:jc w:val="center"/>
              <w:rPr>
                <w:szCs w:val="21"/>
              </w:rPr>
            </w:pPr>
            <w:r>
              <w:rPr>
                <w:bCs/>
                <w:szCs w:val="21"/>
              </w:rPr>
              <w:t>《固体废物鉴别标准 通则》（GB34330-2017）</w:t>
            </w:r>
          </w:p>
        </w:tc>
      </w:tr>
      <w:tr w14:paraId="2CFD7CEE">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1BBD7DA9">
            <w:pPr>
              <w:widowControl/>
              <w:jc w:val="center"/>
              <w:textAlignment w:val="center"/>
              <w:rPr>
                <w:szCs w:val="21"/>
              </w:rPr>
            </w:pPr>
            <w:r>
              <w:rPr>
                <w:kern w:val="0"/>
                <w:szCs w:val="21"/>
                <w:lang w:bidi="ar"/>
              </w:rPr>
              <w:t>2</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4619EAC2">
            <w:pPr>
              <w:widowControl/>
              <w:jc w:val="center"/>
              <w:textAlignment w:val="center"/>
              <w:rPr>
                <w:szCs w:val="21"/>
              </w:rPr>
            </w:pPr>
            <w:r>
              <w:rPr>
                <w:kern w:val="0"/>
                <w:szCs w:val="21"/>
                <w:lang w:bidi="ar"/>
              </w:rPr>
              <w:t>饲料残渣</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1D3C94DC">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41CA3493">
            <w:pPr>
              <w:widowControl/>
              <w:jc w:val="center"/>
              <w:textAlignment w:val="center"/>
              <w:rPr>
                <w:szCs w:val="21"/>
              </w:rPr>
            </w:pPr>
            <w:r>
              <w:rPr>
                <w:kern w:val="0"/>
                <w:szCs w:val="21"/>
                <w:lang w:bidi="ar"/>
              </w:rPr>
              <w:t>饲料</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20EF36DD">
            <w:pPr>
              <w:widowControl/>
              <w:jc w:val="center"/>
              <w:textAlignment w:val="center"/>
              <w:rPr>
                <w:szCs w:val="21"/>
              </w:rPr>
            </w:pPr>
            <w:r>
              <w:rPr>
                <w:kern w:val="0"/>
                <w:szCs w:val="21"/>
                <w:lang w:bidi="ar"/>
              </w:rPr>
              <w:t>28.05</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20EAC8CC">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5AE9D53">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6D54F0D6">
            <w:pPr>
              <w:rPr>
                <w:szCs w:val="21"/>
              </w:rPr>
            </w:pPr>
          </w:p>
        </w:tc>
      </w:tr>
      <w:tr w14:paraId="1D0E9149">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6D80BAEF">
            <w:pPr>
              <w:widowControl/>
              <w:jc w:val="center"/>
              <w:textAlignment w:val="center"/>
              <w:rPr>
                <w:szCs w:val="21"/>
              </w:rPr>
            </w:pPr>
            <w:r>
              <w:rPr>
                <w:kern w:val="0"/>
                <w:szCs w:val="21"/>
                <w:lang w:bidi="ar"/>
              </w:rPr>
              <w:t>3</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193DAC69">
            <w:pPr>
              <w:widowControl/>
              <w:jc w:val="center"/>
              <w:textAlignment w:val="center"/>
              <w:rPr>
                <w:szCs w:val="21"/>
              </w:rPr>
            </w:pPr>
            <w:r>
              <w:rPr>
                <w:kern w:val="0"/>
                <w:szCs w:val="21"/>
                <w:lang w:bidi="ar"/>
              </w:rPr>
              <w:t>沼渣</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59C17243">
            <w:pPr>
              <w:widowControl/>
              <w:jc w:val="center"/>
              <w:textAlignment w:val="center"/>
              <w:rPr>
                <w:szCs w:val="21"/>
              </w:rPr>
            </w:pPr>
            <w:r>
              <w:rPr>
                <w:kern w:val="0"/>
                <w:szCs w:val="21"/>
                <w:lang w:bidi="ar"/>
              </w:rPr>
              <w:t>半固态</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00B2C884">
            <w:pPr>
              <w:widowControl/>
              <w:jc w:val="center"/>
              <w:textAlignment w:val="center"/>
              <w:rPr>
                <w:szCs w:val="21"/>
              </w:rPr>
            </w:pPr>
            <w:r>
              <w:rPr>
                <w:kern w:val="0"/>
                <w:szCs w:val="21"/>
                <w:lang w:bidi="ar"/>
              </w:rPr>
              <w:t>有机质</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295AB121">
            <w:pPr>
              <w:widowControl/>
              <w:jc w:val="center"/>
              <w:textAlignment w:val="center"/>
              <w:rPr>
                <w:szCs w:val="21"/>
              </w:rPr>
            </w:pPr>
            <w:r>
              <w:rPr>
                <w:kern w:val="0"/>
                <w:szCs w:val="21"/>
                <w:lang w:bidi="ar"/>
              </w:rPr>
              <w:t>99.95</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56EF2F10">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A4F089A">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4B5B3527">
            <w:pPr>
              <w:rPr>
                <w:szCs w:val="21"/>
              </w:rPr>
            </w:pPr>
          </w:p>
        </w:tc>
      </w:tr>
      <w:tr w14:paraId="06D02923">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45002A02">
            <w:pPr>
              <w:widowControl/>
              <w:jc w:val="center"/>
              <w:textAlignment w:val="center"/>
              <w:rPr>
                <w:szCs w:val="21"/>
              </w:rPr>
            </w:pPr>
            <w:r>
              <w:rPr>
                <w:kern w:val="0"/>
                <w:szCs w:val="21"/>
                <w:lang w:bidi="ar"/>
              </w:rPr>
              <w:t>4</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1DF9FF8B">
            <w:pPr>
              <w:widowControl/>
              <w:jc w:val="center"/>
              <w:textAlignment w:val="center"/>
              <w:rPr>
                <w:szCs w:val="21"/>
              </w:rPr>
            </w:pPr>
            <w:r>
              <w:rPr>
                <w:kern w:val="0"/>
                <w:szCs w:val="21"/>
                <w:lang w:bidi="ar"/>
              </w:rPr>
              <w:t>废弃包装材料</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F457822">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07F93970">
            <w:pPr>
              <w:widowControl/>
              <w:jc w:val="center"/>
              <w:textAlignment w:val="center"/>
              <w:rPr>
                <w:szCs w:val="21"/>
              </w:rPr>
            </w:pPr>
            <w:r>
              <w:rPr>
                <w:kern w:val="0"/>
                <w:szCs w:val="21"/>
                <w:lang w:bidi="ar"/>
              </w:rPr>
              <w:t>塑料、纸</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02FE210D">
            <w:pPr>
              <w:widowControl/>
              <w:jc w:val="center"/>
              <w:textAlignment w:val="center"/>
              <w:rPr>
                <w:szCs w:val="21"/>
              </w:rPr>
            </w:pPr>
            <w:r>
              <w:rPr>
                <w:kern w:val="0"/>
                <w:szCs w:val="21"/>
                <w:lang w:bidi="ar"/>
              </w:rPr>
              <w:t>2</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31BE6070">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5FB9974">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2B4BD7F9">
            <w:pPr>
              <w:rPr>
                <w:szCs w:val="21"/>
              </w:rPr>
            </w:pPr>
          </w:p>
        </w:tc>
      </w:tr>
      <w:tr w14:paraId="1CC42C38">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6455EB1B">
            <w:pPr>
              <w:widowControl/>
              <w:jc w:val="center"/>
              <w:textAlignment w:val="center"/>
              <w:rPr>
                <w:szCs w:val="21"/>
              </w:rPr>
            </w:pPr>
            <w:r>
              <w:rPr>
                <w:kern w:val="0"/>
                <w:szCs w:val="21"/>
                <w:lang w:bidi="ar"/>
              </w:rPr>
              <w:t>5</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7785E7FB">
            <w:pPr>
              <w:widowControl/>
              <w:jc w:val="center"/>
              <w:textAlignment w:val="center"/>
              <w:rPr>
                <w:szCs w:val="21"/>
              </w:rPr>
            </w:pPr>
            <w:r>
              <w:rPr>
                <w:kern w:val="0"/>
                <w:szCs w:val="21"/>
                <w:lang w:bidi="ar"/>
              </w:rPr>
              <w:t>废脱硫剂</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59C00928">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3EEC5D94">
            <w:pPr>
              <w:widowControl/>
              <w:jc w:val="center"/>
              <w:textAlignment w:val="center"/>
              <w:rPr>
                <w:szCs w:val="21"/>
              </w:rPr>
            </w:pPr>
            <w:r>
              <w:rPr>
                <w:kern w:val="0"/>
                <w:szCs w:val="21"/>
                <w:lang w:bidi="ar"/>
              </w:rPr>
              <w:t>氧化铁</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149135B3">
            <w:pPr>
              <w:widowControl/>
              <w:jc w:val="center"/>
              <w:textAlignment w:val="center"/>
              <w:rPr>
                <w:szCs w:val="21"/>
              </w:rPr>
            </w:pPr>
            <w:r>
              <w:rPr>
                <w:kern w:val="0"/>
                <w:szCs w:val="21"/>
                <w:lang w:bidi="ar"/>
              </w:rPr>
              <w:t>0.3</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219423E1">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21536D2">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355212D3">
            <w:pPr>
              <w:rPr>
                <w:szCs w:val="21"/>
              </w:rPr>
            </w:pPr>
          </w:p>
        </w:tc>
      </w:tr>
      <w:tr w14:paraId="57552D6A">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05D2E01E">
            <w:pPr>
              <w:widowControl/>
              <w:jc w:val="center"/>
              <w:textAlignment w:val="center"/>
              <w:rPr>
                <w:szCs w:val="21"/>
              </w:rPr>
            </w:pPr>
            <w:r>
              <w:rPr>
                <w:kern w:val="0"/>
                <w:szCs w:val="21"/>
                <w:lang w:bidi="ar"/>
              </w:rPr>
              <w:t>6</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73352D42">
            <w:pPr>
              <w:widowControl/>
              <w:jc w:val="center"/>
              <w:textAlignment w:val="center"/>
              <w:rPr>
                <w:szCs w:val="21"/>
              </w:rPr>
            </w:pPr>
            <w:r>
              <w:rPr>
                <w:kern w:val="0"/>
                <w:szCs w:val="21"/>
                <w:lang w:bidi="ar"/>
              </w:rPr>
              <w:t>职工生活垃圾</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87C3B8E">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72D3EF52">
            <w:pPr>
              <w:widowControl/>
              <w:jc w:val="center"/>
              <w:textAlignment w:val="center"/>
              <w:rPr>
                <w:szCs w:val="21"/>
              </w:rPr>
            </w:pPr>
            <w:r>
              <w:rPr>
                <w:kern w:val="0"/>
                <w:szCs w:val="21"/>
                <w:lang w:bidi="ar"/>
              </w:rPr>
              <w:t>塑料、纸</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3B810432">
            <w:pPr>
              <w:widowControl/>
              <w:jc w:val="center"/>
              <w:textAlignment w:val="center"/>
              <w:rPr>
                <w:szCs w:val="21"/>
              </w:rPr>
            </w:pPr>
            <w:r>
              <w:rPr>
                <w:rFonts w:hint="eastAsia"/>
                <w:kern w:val="0"/>
                <w:szCs w:val="21"/>
                <w:lang w:bidi="ar"/>
              </w:rPr>
              <w:t>13.14</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4B46B1FF">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6706754">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5B6C351C">
            <w:pPr>
              <w:rPr>
                <w:szCs w:val="21"/>
              </w:rPr>
            </w:pPr>
          </w:p>
        </w:tc>
      </w:tr>
      <w:tr w14:paraId="6822C6F8">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19E80A59">
            <w:pPr>
              <w:widowControl/>
              <w:jc w:val="center"/>
              <w:textAlignment w:val="center"/>
              <w:rPr>
                <w:szCs w:val="21"/>
              </w:rPr>
            </w:pPr>
            <w:r>
              <w:rPr>
                <w:kern w:val="0"/>
                <w:szCs w:val="21"/>
                <w:lang w:bidi="ar"/>
              </w:rPr>
              <w:t>7</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0285B42B">
            <w:pPr>
              <w:widowControl/>
              <w:jc w:val="center"/>
              <w:textAlignment w:val="center"/>
              <w:rPr>
                <w:szCs w:val="21"/>
              </w:rPr>
            </w:pPr>
            <w:r>
              <w:rPr>
                <w:kern w:val="0"/>
                <w:szCs w:val="21"/>
                <w:lang w:bidi="ar"/>
              </w:rPr>
              <w:t>病死猪</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58388A2">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19A6149E">
            <w:pPr>
              <w:widowControl/>
              <w:jc w:val="center"/>
              <w:textAlignment w:val="center"/>
              <w:rPr>
                <w:szCs w:val="21"/>
              </w:rPr>
            </w:pPr>
            <w:r>
              <w:rPr>
                <w:kern w:val="0"/>
                <w:szCs w:val="21"/>
                <w:lang w:bidi="ar"/>
              </w:rPr>
              <w:t>蛋白质、脂肪</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0DD1AB40">
            <w:pPr>
              <w:widowControl/>
              <w:jc w:val="center"/>
              <w:textAlignment w:val="center"/>
              <w:rPr>
                <w:szCs w:val="21"/>
              </w:rPr>
            </w:pPr>
            <w:r>
              <w:rPr>
                <w:kern w:val="0"/>
                <w:szCs w:val="21"/>
                <w:lang w:bidi="ar"/>
              </w:rPr>
              <w:t>20.384</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5DE885CD">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4E97416">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3D422AD4">
            <w:pPr>
              <w:rPr>
                <w:szCs w:val="21"/>
              </w:rPr>
            </w:pPr>
          </w:p>
        </w:tc>
      </w:tr>
      <w:tr w14:paraId="76DB1D41">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5E2B9C4B">
            <w:pPr>
              <w:widowControl/>
              <w:jc w:val="center"/>
              <w:textAlignment w:val="center"/>
              <w:rPr>
                <w:szCs w:val="21"/>
              </w:rPr>
            </w:pPr>
            <w:r>
              <w:rPr>
                <w:kern w:val="0"/>
                <w:szCs w:val="21"/>
                <w:lang w:bidi="ar"/>
              </w:rPr>
              <w:t>8</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415AC58B">
            <w:pPr>
              <w:widowControl/>
              <w:jc w:val="center"/>
              <w:textAlignment w:val="center"/>
              <w:rPr>
                <w:szCs w:val="21"/>
              </w:rPr>
            </w:pPr>
            <w:r>
              <w:rPr>
                <w:kern w:val="0"/>
                <w:szCs w:val="21"/>
                <w:lang w:bidi="ar"/>
              </w:rPr>
              <w:t>食堂厨余垃圾</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702F7B1">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03FC69BB">
            <w:pPr>
              <w:widowControl/>
              <w:jc w:val="center"/>
              <w:textAlignment w:val="center"/>
              <w:rPr>
                <w:szCs w:val="21"/>
              </w:rPr>
            </w:pPr>
            <w:r>
              <w:rPr>
                <w:kern w:val="0"/>
                <w:szCs w:val="21"/>
                <w:lang w:bidi="ar"/>
              </w:rPr>
              <w:t>有机质</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72D6FF6A">
            <w:pPr>
              <w:widowControl/>
              <w:jc w:val="center"/>
              <w:textAlignment w:val="center"/>
              <w:rPr>
                <w:szCs w:val="21"/>
              </w:rPr>
            </w:pPr>
            <w:r>
              <w:rPr>
                <w:kern w:val="0"/>
                <w:szCs w:val="21"/>
                <w:lang w:bidi="ar"/>
              </w:rPr>
              <w:t>2.263</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210569AE">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5A7664B">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1DFED0B2">
            <w:pPr>
              <w:rPr>
                <w:szCs w:val="21"/>
              </w:rPr>
            </w:pPr>
          </w:p>
        </w:tc>
      </w:tr>
      <w:tr w14:paraId="13D66E07">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33A11474">
            <w:pPr>
              <w:widowControl/>
              <w:jc w:val="center"/>
              <w:textAlignment w:val="center"/>
              <w:rPr>
                <w:szCs w:val="21"/>
              </w:rPr>
            </w:pPr>
            <w:r>
              <w:rPr>
                <w:kern w:val="0"/>
                <w:szCs w:val="21"/>
                <w:lang w:bidi="ar"/>
              </w:rPr>
              <w:t>9</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156864F3">
            <w:pPr>
              <w:widowControl/>
              <w:jc w:val="center"/>
              <w:textAlignment w:val="center"/>
              <w:rPr>
                <w:szCs w:val="21"/>
              </w:rPr>
            </w:pPr>
            <w:r>
              <w:rPr>
                <w:kern w:val="0"/>
                <w:szCs w:val="21"/>
                <w:lang w:bidi="ar"/>
              </w:rPr>
              <w:t>疾病防疫产生的医疗废物</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168D08AD">
            <w:pPr>
              <w:widowControl/>
              <w:jc w:val="center"/>
              <w:textAlignment w:val="center"/>
              <w:rPr>
                <w:szCs w:val="21"/>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01AC69CC">
            <w:pPr>
              <w:widowControl/>
              <w:jc w:val="center"/>
              <w:textAlignment w:val="center"/>
              <w:rPr>
                <w:szCs w:val="21"/>
              </w:rPr>
            </w:pPr>
            <w:r>
              <w:rPr>
                <w:kern w:val="0"/>
                <w:szCs w:val="21"/>
                <w:lang w:bidi="ar"/>
              </w:rPr>
              <w:t>一次性医疗器具</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32D97C0A">
            <w:pPr>
              <w:widowControl/>
              <w:jc w:val="center"/>
              <w:textAlignment w:val="center"/>
              <w:rPr>
                <w:szCs w:val="21"/>
              </w:rPr>
            </w:pPr>
            <w:r>
              <w:rPr>
                <w:kern w:val="0"/>
                <w:szCs w:val="21"/>
                <w:lang w:bidi="ar"/>
              </w:rPr>
              <w:t>1.247</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072BD5A8">
            <w:pPr>
              <w:widowControl/>
              <w:jc w:val="center"/>
              <w:textAlignment w:val="center"/>
              <w:rPr>
                <w:szCs w:val="21"/>
              </w:rPr>
            </w:pPr>
            <w:r>
              <w:rPr>
                <w:kern w:val="0"/>
                <w:szCs w:val="21"/>
                <w:lang w:bidi="ar"/>
              </w:rPr>
              <w:t>是</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6981B1D">
            <w:pPr>
              <w:widowControl/>
              <w:jc w:val="center"/>
              <w:textAlignment w:val="center"/>
              <w:rPr>
                <w:szCs w:val="21"/>
              </w:rPr>
            </w:pPr>
            <w:r>
              <w:rPr>
                <w:kern w:val="0"/>
                <w:szCs w:val="21"/>
                <w:lang w:bidi="ar"/>
              </w:rPr>
              <w:t>否</w:t>
            </w:r>
          </w:p>
        </w:tc>
        <w:tc>
          <w:tcPr>
            <w:tcW w:w="1065" w:type="pct"/>
            <w:vMerge w:val="continue"/>
            <w:tcBorders>
              <w:left w:val="single" w:color="000000" w:sz="4" w:space="0"/>
              <w:right w:val="single" w:color="000000" w:sz="4" w:space="0"/>
            </w:tcBorders>
            <w:noWrap/>
            <w:vAlign w:val="center"/>
          </w:tcPr>
          <w:p w14:paraId="332F98E8">
            <w:pPr>
              <w:rPr>
                <w:szCs w:val="21"/>
              </w:rPr>
            </w:pPr>
          </w:p>
        </w:tc>
      </w:tr>
      <w:tr w14:paraId="6404258E">
        <w:tblPrEx>
          <w:tblCellMar>
            <w:top w:w="0" w:type="dxa"/>
            <w:left w:w="108" w:type="dxa"/>
            <w:bottom w:w="0" w:type="dxa"/>
            <w:right w:w="108" w:type="dxa"/>
          </w:tblCellMar>
        </w:tblPrEx>
        <w:trPr>
          <w:trHeight w:val="285" w:hRule="atLeast"/>
          <w:jc w:val="center"/>
        </w:trPr>
        <w:tc>
          <w:tcPr>
            <w:tcW w:w="194" w:type="pct"/>
            <w:tcBorders>
              <w:top w:val="single" w:color="000000" w:sz="4" w:space="0"/>
              <w:left w:val="single" w:color="000000" w:sz="4" w:space="0"/>
              <w:bottom w:val="single" w:color="000000" w:sz="4" w:space="0"/>
              <w:right w:val="single" w:color="000000" w:sz="4" w:space="0"/>
            </w:tcBorders>
            <w:noWrap/>
            <w:vAlign w:val="center"/>
          </w:tcPr>
          <w:p w14:paraId="747C70A7">
            <w:pPr>
              <w:widowControl/>
              <w:jc w:val="center"/>
              <w:textAlignment w:val="center"/>
              <w:rPr>
                <w:kern w:val="0"/>
                <w:szCs w:val="21"/>
                <w:lang w:bidi="ar"/>
              </w:rPr>
            </w:pPr>
            <w:r>
              <w:rPr>
                <w:rFonts w:hint="eastAsia"/>
                <w:kern w:val="0"/>
                <w:szCs w:val="21"/>
                <w:lang w:bidi="ar"/>
              </w:rPr>
              <w:t>10</w:t>
            </w:r>
          </w:p>
        </w:tc>
        <w:tc>
          <w:tcPr>
            <w:tcW w:w="887" w:type="pct"/>
            <w:tcBorders>
              <w:top w:val="single" w:color="000000" w:sz="4" w:space="0"/>
              <w:left w:val="single" w:color="000000" w:sz="4" w:space="0"/>
              <w:bottom w:val="single" w:color="000000" w:sz="4" w:space="0"/>
              <w:right w:val="single" w:color="000000" w:sz="4" w:space="0"/>
            </w:tcBorders>
            <w:noWrap/>
            <w:vAlign w:val="center"/>
          </w:tcPr>
          <w:p w14:paraId="6F92BD3C">
            <w:pPr>
              <w:widowControl/>
              <w:jc w:val="center"/>
              <w:textAlignment w:val="center"/>
              <w:rPr>
                <w:kern w:val="0"/>
                <w:szCs w:val="21"/>
                <w:lang w:bidi="ar"/>
              </w:rPr>
            </w:pPr>
            <w:r>
              <w:rPr>
                <w:rFonts w:hint="eastAsia"/>
                <w:kern w:val="0"/>
                <w:szCs w:val="21"/>
                <w:lang w:bidi="ar"/>
              </w:rPr>
              <w:t>废紫外灯</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6587F44">
            <w:pPr>
              <w:widowControl/>
              <w:jc w:val="center"/>
              <w:textAlignment w:val="center"/>
              <w:rPr>
                <w:kern w:val="0"/>
                <w:szCs w:val="21"/>
                <w:lang w:bidi="ar"/>
              </w:rPr>
            </w:pPr>
            <w:r>
              <w:rPr>
                <w:kern w:val="0"/>
                <w:szCs w:val="21"/>
                <w:lang w:bidi="ar"/>
              </w:rPr>
              <w:t>固</w:t>
            </w:r>
          </w:p>
        </w:tc>
        <w:tc>
          <w:tcPr>
            <w:tcW w:w="610" w:type="pct"/>
            <w:tcBorders>
              <w:top w:val="single" w:color="000000" w:sz="4" w:space="0"/>
              <w:left w:val="single" w:color="000000" w:sz="4" w:space="0"/>
              <w:bottom w:val="single" w:color="000000" w:sz="4" w:space="0"/>
              <w:right w:val="single" w:color="000000" w:sz="4" w:space="0"/>
            </w:tcBorders>
            <w:noWrap/>
            <w:vAlign w:val="center"/>
          </w:tcPr>
          <w:p w14:paraId="329C4608">
            <w:pPr>
              <w:widowControl/>
              <w:jc w:val="center"/>
              <w:textAlignment w:val="center"/>
              <w:rPr>
                <w:kern w:val="0"/>
                <w:szCs w:val="21"/>
                <w:lang w:bidi="ar"/>
              </w:rPr>
            </w:pPr>
            <w:r>
              <w:rPr>
                <w:rFonts w:hint="eastAsia"/>
                <w:kern w:val="0"/>
                <w:szCs w:val="21"/>
                <w:lang w:bidi="ar"/>
              </w:rPr>
              <w:t>玻璃及含汞物质</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33B42374">
            <w:pPr>
              <w:widowControl/>
              <w:jc w:val="center"/>
              <w:textAlignment w:val="center"/>
              <w:rPr>
                <w:kern w:val="0"/>
                <w:szCs w:val="21"/>
                <w:lang w:bidi="ar"/>
              </w:rPr>
            </w:pPr>
            <w:r>
              <w:rPr>
                <w:rFonts w:hint="eastAsia"/>
                <w:kern w:val="0"/>
                <w:szCs w:val="21"/>
                <w:lang w:bidi="ar"/>
              </w:rPr>
              <w:t>0.008</w:t>
            </w:r>
          </w:p>
        </w:tc>
        <w:tc>
          <w:tcPr>
            <w:tcW w:w="838" w:type="dxa"/>
            <w:tcBorders>
              <w:top w:val="single" w:color="000000" w:sz="4" w:space="0"/>
              <w:left w:val="single" w:color="000000" w:sz="4" w:space="0"/>
              <w:bottom w:val="single" w:color="000000" w:sz="4" w:space="0"/>
              <w:right w:val="single" w:color="000000" w:sz="4" w:space="0"/>
            </w:tcBorders>
            <w:noWrap/>
            <w:vAlign w:val="center"/>
          </w:tcPr>
          <w:p w14:paraId="10A62FAD">
            <w:pPr>
              <w:widowControl/>
              <w:jc w:val="center"/>
              <w:textAlignment w:val="center"/>
              <w:rPr>
                <w:kern w:val="0"/>
                <w:szCs w:val="21"/>
                <w:lang w:bidi="ar"/>
              </w:rPr>
            </w:pPr>
            <w:r>
              <w:rPr>
                <w:kern w:val="0"/>
                <w:szCs w:val="21"/>
                <w:lang w:bidi="ar"/>
              </w:rPr>
              <w:t>是</w:t>
            </w:r>
          </w:p>
        </w:tc>
        <w:tc>
          <w:tcPr>
            <w:tcW w:w="999" w:type="dxa"/>
            <w:tcBorders>
              <w:top w:val="single" w:color="000000" w:sz="4" w:space="0"/>
              <w:left w:val="single" w:color="000000" w:sz="4" w:space="0"/>
              <w:bottom w:val="single" w:color="000000" w:sz="4" w:space="0"/>
              <w:right w:val="single" w:color="000000" w:sz="4" w:space="0"/>
            </w:tcBorders>
            <w:noWrap/>
            <w:vAlign w:val="center"/>
          </w:tcPr>
          <w:p w14:paraId="4559A6DE">
            <w:pPr>
              <w:widowControl/>
              <w:jc w:val="center"/>
              <w:textAlignment w:val="center"/>
              <w:rPr>
                <w:kern w:val="0"/>
                <w:szCs w:val="21"/>
                <w:lang w:bidi="ar"/>
              </w:rPr>
            </w:pPr>
            <w:r>
              <w:rPr>
                <w:kern w:val="0"/>
                <w:szCs w:val="21"/>
                <w:lang w:bidi="ar"/>
              </w:rPr>
              <w:t>否</w:t>
            </w:r>
          </w:p>
        </w:tc>
        <w:tc>
          <w:tcPr>
            <w:tcW w:w="1065" w:type="pct"/>
            <w:tcBorders>
              <w:left w:val="single" w:color="000000" w:sz="4" w:space="0"/>
              <w:bottom w:val="single" w:color="000000" w:sz="4" w:space="0"/>
              <w:right w:val="single" w:color="000000" w:sz="4" w:space="0"/>
            </w:tcBorders>
            <w:noWrap/>
            <w:vAlign w:val="center"/>
          </w:tcPr>
          <w:p w14:paraId="3C486EA9">
            <w:pPr>
              <w:rPr>
                <w:szCs w:val="21"/>
              </w:rPr>
            </w:pPr>
          </w:p>
        </w:tc>
      </w:tr>
    </w:tbl>
    <w:p w14:paraId="5B067AB0">
      <w:pPr>
        <w:spacing w:line="360" w:lineRule="auto"/>
        <w:ind w:firstLine="480" w:firstLineChars="200"/>
        <w:rPr>
          <w:bCs/>
          <w:sz w:val="24"/>
        </w:rPr>
      </w:pPr>
      <w:r>
        <w:rPr>
          <w:bCs/>
          <w:sz w:val="24"/>
        </w:rPr>
        <w:t xml:space="preserve">②危险废物属性判定 </w:t>
      </w:r>
    </w:p>
    <w:p w14:paraId="64FB8B2D">
      <w:pPr>
        <w:spacing w:line="360" w:lineRule="auto"/>
        <w:ind w:firstLine="480" w:firstLineChars="200"/>
        <w:rPr>
          <w:bCs/>
          <w:sz w:val="24"/>
        </w:rPr>
      </w:pPr>
      <w:r>
        <w:rPr>
          <w:bCs/>
          <w:sz w:val="24"/>
        </w:rPr>
        <w:t>根据《国家危险废物名录》（2021版）和《危险废物鉴别标准 通则》（GB5085.7-2019），判定建设项目的固体废物是否属于危险废物，具体判定结果见表 3.4-17。</w:t>
      </w:r>
    </w:p>
    <w:p w14:paraId="5FD18033">
      <w:pPr>
        <w:pStyle w:val="47"/>
        <w:jc w:val="center"/>
        <w:rPr>
          <w:rFonts w:ascii="Times New Roman" w:hAnsi="Times New Roman" w:cs="Times New Roman"/>
          <w:b/>
        </w:rPr>
      </w:pPr>
      <w:r>
        <w:rPr>
          <w:rFonts w:ascii="Times New Roman" w:hAnsi="Times New Roman" w:cs="Times New Roman"/>
          <w:b/>
          <w:sz w:val="24"/>
        </w:rPr>
        <w:t>3.4-17 危废判定情况表</w:t>
      </w:r>
    </w:p>
    <w:tbl>
      <w:tblPr>
        <w:tblStyle w:val="87"/>
        <w:tblW w:w="5000" w:type="pct"/>
        <w:jc w:val="center"/>
        <w:tblLayout w:type="fixed"/>
        <w:tblCellMar>
          <w:top w:w="0" w:type="dxa"/>
          <w:left w:w="108" w:type="dxa"/>
          <w:bottom w:w="0" w:type="dxa"/>
          <w:right w:w="108" w:type="dxa"/>
        </w:tblCellMar>
      </w:tblPr>
      <w:tblGrid>
        <w:gridCol w:w="402"/>
        <w:gridCol w:w="2279"/>
        <w:gridCol w:w="778"/>
        <w:gridCol w:w="1528"/>
        <w:gridCol w:w="1237"/>
        <w:gridCol w:w="2304"/>
      </w:tblGrid>
      <w:tr w14:paraId="74CF6265">
        <w:tblPrEx>
          <w:tblCellMar>
            <w:top w:w="0" w:type="dxa"/>
            <w:left w:w="108" w:type="dxa"/>
            <w:bottom w:w="0" w:type="dxa"/>
            <w:right w:w="108" w:type="dxa"/>
          </w:tblCellMar>
        </w:tblPrEx>
        <w:trPr>
          <w:trHeight w:val="604" w:hRule="atLeast"/>
          <w:jc w:val="center"/>
        </w:trPr>
        <w:tc>
          <w:tcPr>
            <w:tcW w:w="236" w:type="pct"/>
            <w:tcBorders>
              <w:top w:val="single" w:color="000000" w:sz="4" w:space="0"/>
              <w:left w:val="single" w:color="000000" w:sz="4" w:space="0"/>
              <w:bottom w:val="single" w:color="000000" w:sz="4" w:space="0"/>
              <w:right w:val="single" w:color="000000" w:sz="4" w:space="0"/>
            </w:tcBorders>
            <w:noWrap w:val="0"/>
            <w:vAlign w:val="center"/>
          </w:tcPr>
          <w:p w14:paraId="2779183A">
            <w:pPr>
              <w:widowControl/>
              <w:jc w:val="center"/>
              <w:textAlignment w:val="center"/>
              <w:rPr>
                <w:szCs w:val="21"/>
              </w:rPr>
            </w:pPr>
            <w:r>
              <w:rPr>
                <w:kern w:val="0"/>
                <w:szCs w:val="21"/>
                <w:lang w:bidi="ar"/>
              </w:rPr>
              <w:t>序号</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492EB541">
            <w:pPr>
              <w:widowControl/>
              <w:jc w:val="center"/>
              <w:textAlignment w:val="center"/>
              <w:rPr>
                <w:szCs w:val="21"/>
              </w:rPr>
            </w:pPr>
            <w:r>
              <w:rPr>
                <w:kern w:val="0"/>
                <w:szCs w:val="21"/>
                <w:lang w:bidi="ar"/>
              </w:rPr>
              <w:t>固体废物名称</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DCC329B">
            <w:pPr>
              <w:widowControl/>
              <w:jc w:val="center"/>
              <w:textAlignment w:val="center"/>
              <w:rPr>
                <w:szCs w:val="21"/>
              </w:rPr>
            </w:pPr>
            <w:r>
              <w:rPr>
                <w:kern w:val="0"/>
                <w:szCs w:val="21"/>
                <w:lang w:bidi="ar"/>
              </w:rPr>
              <w:t>形态</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436E02C6">
            <w:pPr>
              <w:widowControl/>
              <w:jc w:val="center"/>
              <w:textAlignment w:val="center"/>
              <w:rPr>
                <w:szCs w:val="21"/>
              </w:rPr>
            </w:pPr>
            <w:r>
              <w:rPr>
                <w:kern w:val="0"/>
                <w:szCs w:val="21"/>
                <w:lang w:bidi="ar"/>
              </w:rPr>
              <w:t>主要成分</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56A72A7">
            <w:pPr>
              <w:widowControl/>
              <w:jc w:val="center"/>
              <w:textAlignment w:val="center"/>
              <w:rPr>
                <w:szCs w:val="21"/>
              </w:rPr>
            </w:pPr>
            <w:r>
              <w:rPr>
                <w:kern w:val="0"/>
                <w:szCs w:val="21"/>
                <w:lang w:bidi="ar"/>
              </w:rPr>
              <w:t>是否属于危险废物</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76A7C92C">
            <w:pPr>
              <w:widowControl/>
              <w:jc w:val="center"/>
              <w:textAlignment w:val="center"/>
              <w:rPr>
                <w:kern w:val="0"/>
                <w:szCs w:val="21"/>
                <w:lang w:bidi="ar"/>
              </w:rPr>
            </w:pPr>
            <w:r>
              <w:rPr>
                <w:kern w:val="0"/>
                <w:szCs w:val="21"/>
                <w:lang w:bidi="ar"/>
              </w:rPr>
              <w:t>危废代码</w:t>
            </w:r>
          </w:p>
        </w:tc>
      </w:tr>
      <w:tr w14:paraId="55F6F049">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3ADA76BD">
            <w:pPr>
              <w:widowControl/>
              <w:jc w:val="center"/>
              <w:textAlignment w:val="center"/>
              <w:rPr>
                <w:szCs w:val="21"/>
              </w:rPr>
            </w:pPr>
            <w:r>
              <w:rPr>
                <w:kern w:val="0"/>
                <w:szCs w:val="21"/>
                <w:lang w:bidi="ar"/>
              </w:rPr>
              <w:t>1</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20F83FE9">
            <w:pPr>
              <w:widowControl/>
              <w:jc w:val="center"/>
              <w:textAlignment w:val="center"/>
              <w:rPr>
                <w:szCs w:val="21"/>
              </w:rPr>
            </w:pPr>
            <w:r>
              <w:rPr>
                <w:kern w:val="0"/>
                <w:szCs w:val="21"/>
                <w:lang w:bidi="ar"/>
              </w:rPr>
              <w:t>猪粪</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9B7AC27">
            <w:pPr>
              <w:widowControl/>
              <w:jc w:val="center"/>
              <w:textAlignment w:val="center"/>
              <w:rPr>
                <w:szCs w:val="21"/>
              </w:rPr>
            </w:pPr>
            <w:r>
              <w:rPr>
                <w:kern w:val="0"/>
                <w:szCs w:val="21"/>
                <w:lang w:bidi="ar"/>
              </w:rPr>
              <w:t>固</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5D0D52EF">
            <w:pPr>
              <w:widowControl/>
              <w:jc w:val="center"/>
              <w:textAlignment w:val="center"/>
              <w:rPr>
                <w:szCs w:val="21"/>
              </w:rPr>
            </w:pPr>
            <w:r>
              <w:rPr>
                <w:kern w:val="0"/>
                <w:szCs w:val="21"/>
                <w:lang w:bidi="ar"/>
              </w:rPr>
              <w:t>有机质</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2B1D8C5">
            <w:pPr>
              <w:widowControl/>
              <w:jc w:val="center"/>
              <w:textAlignment w:val="center"/>
              <w:rPr>
                <w:szCs w:val="21"/>
              </w:rPr>
            </w:pPr>
            <w:r>
              <w:rPr>
                <w:szCs w:val="21"/>
              </w:rPr>
              <w:t>否</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28542C79">
            <w:pPr>
              <w:widowControl/>
              <w:jc w:val="center"/>
              <w:textAlignment w:val="center"/>
              <w:rPr>
                <w:kern w:val="0"/>
                <w:szCs w:val="21"/>
                <w:lang w:bidi="ar"/>
              </w:rPr>
            </w:pPr>
            <w:r>
              <w:rPr>
                <w:kern w:val="0"/>
                <w:szCs w:val="21"/>
                <w:lang w:bidi="ar"/>
              </w:rPr>
              <w:t>/</w:t>
            </w:r>
          </w:p>
        </w:tc>
      </w:tr>
      <w:tr w14:paraId="7312F2BF">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6394F36C">
            <w:pPr>
              <w:widowControl/>
              <w:jc w:val="center"/>
              <w:textAlignment w:val="center"/>
              <w:rPr>
                <w:szCs w:val="21"/>
              </w:rPr>
            </w:pPr>
            <w:r>
              <w:rPr>
                <w:kern w:val="0"/>
                <w:szCs w:val="21"/>
                <w:lang w:bidi="ar"/>
              </w:rPr>
              <w:t>2</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5116D846">
            <w:pPr>
              <w:widowControl/>
              <w:jc w:val="center"/>
              <w:textAlignment w:val="center"/>
              <w:rPr>
                <w:szCs w:val="21"/>
              </w:rPr>
            </w:pPr>
            <w:r>
              <w:rPr>
                <w:kern w:val="0"/>
                <w:szCs w:val="21"/>
                <w:lang w:bidi="ar"/>
              </w:rPr>
              <w:t>饲料残渣</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F952E8A">
            <w:pPr>
              <w:widowControl/>
              <w:jc w:val="center"/>
              <w:textAlignment w:val="center"/>
              <w:rPr>
                <w:szCs w:val="21"/>
              </w:rPr>
            </w:pPr>
            <w:r>
              <w:rPr>
                <w:kern w:val="0"/>
                <w:szCs w:val="21"/>
                <w:lang w:bidi="ar"/>
              </w:rPr>
              <w:t>固</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20C51215">
            <w:pPr>
              <w:widowControl/>
              <w:jc w:val="center"/>
              <w:textAlignment w:val="center"/>
              <w:rPr>
                <w:szCs w:val="21"/>
              </w:rPr>
            </w:pPr>
            <w:r>
              <w:rPr>
                <w:kern w:val="0"/>
                <w:szCs w:val="21"/>
                <w:lang w:bidi="ar"/>
              </w:rPr>
              <w:t>饲料</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AA5A482">
            <w:pPr>
              <w:widowControl/>
              <w:jc w:val="center"/>
              <w:textAlignment w:val="center"/>
              <w:rPr>
                <w:szCs w:val="21"/>
              </w:rPr>
            </w:pPr>
            <w:r>
              <w:rPr>
                <w:szCs w:val="21"/>
              </w:rPr>
              <w:t>否</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3E397110">
            <w:pPr>
              <w:widowControl/>
              <w:jc w:val="center"/>
              <w:textAlignment w:val="center"/>
              <w:rPr>
                <w:kern w:val="0"/>
                <w:szCs w:val="21"/>
                <w:lang w:bidi="ar"/>
              </w:rPr>
            </w:pPr>
            <w:r>
              <w:rPr>
                <w:kern w:val="0"/>
                <w:szCs w:val="21"/>
                <w:lang w:bidi="ar"/>
              </w:rPr>
              <w:t>/</w:t>
            </w:r>
          </w:p>
        </w:tc>
      </w:tr>
      <w:tr w14:paraId="61E9869F">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7A5A7474">
            <w:pPr>
              <w:widowControl/>
              <w:jc w:val="center"/>
              <w:textAlignment w:val="center"/>
              <w:rPr>
                <w:szCs w:val="21"/>
              </w:rPr>
            </w:pPr>
            <w:r>
              <w:rPr>
                <w:kern w:val="0"/>
                <w:szCs w:val="21"/>
                <w:lang w:bidi="ar"/>
              </w:rPr>
              <w:t>3</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3037C46E">
            <w:pPr>
              <w:widowControl/>
              <w:jc w:val="center"/>
              <w:textAlignment w:val="center"/>
              <w:rPr>
                <w:szCs w:val="21"/>
              </w:rPr>
            </w:pPr>
            <w:r>
              <w:rPr>
                <w:kern w:val="0"/>
                <w:szCs w:val="21"/>
                <w:lang w:bidi="ar"/>
              </w:rPr>
              <w:t>沼渣</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CD8A7AD">
            <w:pPr>
              <w:widowControl/>
              <w:jc w:val="center"/>
              <w:textAlignment w:val="center"/>
              <w:rPr>
                <w:szCs w:val="21"/>
              </w:rPr>
            </w:pPr>
            <w:r>
              <w:rPr>
                <w:kern w:val="0"/>
                <w:szCs w:val="21"/>
                <w:lang w:bidi="ar"/>
              </w:rPr>
              <w:t>半固态</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46979D38">
            <w:pPr>
              <w:widowControl/>
              <w:jc w:val="center"/>
              <w:textAlignment w:val="center"/>
              <w:rPr>
                <w:szCs w:val="21"/>
              </w:rPr>
            </w:pPr>
            <w:r>
              <w:rPr>
                <w:kern w:val="0"/>
                <w:szCs w:val="21"/>
                <w:lang w:bidi="ar"/>
              </w:rPr>
              <w:t>有机质</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009D62E">
            <w:pPr>
              <w:widowControl/>
              <w:jc w:val="center"/>
              <w:textAlignment w:val="center"/>
              <w:rPr>
                <w:szCs w:val="21"/>
              </w:rPr>
            </w:pPr>
            <w:r>
              <w:rPr>
                <w:szCs w:val="21"/>
              </w:rPr>
              <w:t>否</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1F370A6E">
            <w:pPr>
              <w:widowControl/>
              <w:jc w:val="center"/>
              <w:textAlignment w:val="center"/>
              <w:rPr>
                <w:kern w:val="0"/>
                <w:szCs w:val="21"/>
                <w:lang w:bidi="ar"/>
              </w:rPr>
            </w:pPr>
            <w:r>
              <w:rPr>
                <w:kern w:val="0"/>
                <w:szCs w:val="21"/>
                <w:lang w:bidi="ar"/>
              </w:rPr>
              <w:t>/</w:t>
            </w:r>
          </w:p>
        </w:tc>
      </w:tr>
      <w:tr w14:paraId="32F2429D">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7B837175">
            <w:pPr>
              <w:widowControl/>
              <w:jc w:val="center"/>
              <w:textAlignment w:val="center"/>
              <w:rPr>
                <w:szCs w:val="21"/>
              </w:rPr>
            </w:pPr>
            <w:r>
              <w:rPr>
                <w:kern w:val="0"/>
                <w:szCs w:val="21"/>
                <w:lang w:bidi="ar"/>
              </w:rPr>
              <w:t>4</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6A74F20F">
            <w:pPr>
              <w:widowControl/>
              <w:jc w:val="center"/>
              <w:textAlignment w:val="center"/>
              <w:rPr>
                <w:szCs w:val="21"/>
              </w:rPr>
            </w:pPr>
            <w:r>
              <w:rPr>
                <w:kern w:val="0"/>
                <w:szCs w:val="21"/>
                <w:lang w:bidi="ar"/>
              </w:rPr>
              <w:t>废弃包装材料</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AB1215E">
            <w:pPr>
              <w:widowControl/>
              <w:jc w:val="center"/>
              <w:textAlignment w:val="center"/>
              <w:rPr>
                <w:szCs w:val="21"/>
              </w:rPr>
            </w:pPr>
            <w:r>
              <w:rPr>
                <w:kern w:val="0"/>
                <w:szCs w:val="21"/>
                <w:lang w:bidi="ar"/>
              </w:rPr>
              <w:t>固</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509C204B">
            <w:pPr>
              <w:widowControl/>
              <w:jc w:val="center"/>
              <w:textAlignment w:val="center"/>
              <w:rPr>
                <w:szCs w:val="21"/>
              </w:rPr>
            </w:pPr>
            <w:r>
              <w:rPr>
                <w:kern w:val="0"/>
                <w:szCs w:val="21"/>
                <w:lang w:bidi="ar"/>
              </w:rPr>
              <w:t>塑料、纸</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7C4EBD5">
            <w:pPr>
              <w:widowControl/>
              <w:jc w:val="center"/>
              <w:textAlignment w:val="center"/>
              <w:rPr>
                <w:szCs w:val="21"/>
              </w:rPr>
            </w:pPr>
            <w:r>
              <w:rPr>
                <w:szCs w:val="21"/>
              </w:rPr>
              <w:t>否</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744502A9">
            <w:pPr>
              <w:widowControl/>
              <w:jc w:val="center"/>
              <w:textAlignment w:val="center"/>
              <w:rPr>
                <w:kern w:val="0"/>
                <w:szCs w:val="21"/>
                <w:lang w:bidi="ar"/>
              </w:rPr>
            </w:pPr>
            <w:r>
              <w:rPr>
                <w:kern w:val="0"/>
                <w:szCs w:val="21"/>
                <w:lang w:bidi="ar"/>
              </w:rPr>
              <w:t>/</w:t>
            </w:r>
          </w:p>
        </w:tc>
      </w:tr>
      <w:tr w14:paraId="2F54C0AD">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78971F7A">
            <w:pPr>
              <w:widowControl/>
              <w:jc w:val="center"/>
              <w:textAlignment w:val="center"/>
              <w:rPr>
                <w:szCs w:val="21"/>
              </w:rPr>
            </w:pPr>
            <w:r>
              <w:rPr>
                <w:kern w:val="0"/>
                <w:szCs w:val="21"/>
                <w:lang w:bidi="ar"/>
              </w:rPr>
              <w:t>5</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5FF9622E">
            <w:pPr>
              <w:widowControl/>
              <w:jc w:val="center"/>
              <w:textAlignment w:val="center"/>
              <w:rPr>
                <w:szCs w:val="21"/>
              </w:rPr>
            </w:pPr>
            <w:r>
              <w:rPr>
                <w:kern w:val="0"/>
                <w:szCs w:val="21"/>
                <w:lang w:bidi="ar"/>
              </w:rPr>
              <w:t>废脱硫剂</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43AF0C3">
            <w:pPr>
              <w:widowControl/>
              <w:jc w:val="center"/>
              <w:textAlignment w:val="center"/>
              <w:rPr>
                <w:szCs w:val="21"/>
              </w:rPr>
            </w:pPr>
            <w:r>
              <w:rPr>
                <w:kern w:val="0"/>
                <w:szCs w:val="21"/>
                <w:lang w:bidi="ar"/>
              </w:rPr>
              <w:t>固</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6D3590E3">
            <w:pPr>
              <w:widowControl/>
              <w:jc w:val="center"/>
              <w:textAlignment w:val="center"/>
              <w:rPr>
                <w:szCs w:val="21"/>
              </w:rPr>
            </w:pPr>
            <w:r>
              <w:rPr>
                <w:kern w:val="0"/>
                <w:szCs w:val="21"/>
                <w:lang w:bidi="ar"/>
              </w:rPr>
              <w:t>氧化铁</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B88EF2E">
            <w:pPr>
              <w:widowControl/>
              <w:jc w:val="center"/>
              <w:textAlignment w:val="center"/>
              <w:rPr>
                <w:szCs w:val="21"/>
              </w:rPr>
            </w:pPr>
            <w:r>
              <w:rPr>
                <w:szCs w:val="21"/>
              </w:rPr>
              <w:t>否</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1055216E">
            <w:pPr>
              <w:widowControl/>
              <w:jc w:val="center"/>
              <w:textAlignment w:val="center"/>
              <w:rPr>
                <w:kern w:val="0"/>
                <w:szCs w:val="21"/>
                <w:lang w:bidi="ar"/>
              </w:rPr>
            </w:pPr>
            <w:r>
              <w:rPr>
                <w:kern w:val="0"/>
                <w:szCs w:val="21"/>
                <w:lang w:bidi="ar"/>
              </w:rPr>
              <w:t>/</w:t>
            </w:r>
          </w:p>
        </w:tc>
      </w:tr>
      <w:tr w14:paraId="7A936EFF">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6B896E95">
            <w:pPr>
              <w:widowControl/>
              <w:jc w:val="center"/>
              <w:textAlignment w:val="center"/>
              <w:rPr>
                <w:szCs w:val="21"/>
              </w:rPr>
            </w:pPr>
            <w:r>
              <w:rPr>
                <w:kern w:val="0"/>
                <w:szCs w:val="21"/>
                <w:lang w:bidi="ar"/>
              </w:rPr>
              <w:t>7</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3BBDA007">
            <w:pPr>
              <w:widowControl/>
              <w:jc w:val="center"/>
              <w:textAlignment w:val="center"/>
              <w:rPr>
                <w:szCs w:val="21"/>
              </w:rPr>
            </w:pPr>
            <w:r>
              <w:rPr>
                <w:kern w:val="0"/>
                <w:szCs w:val="21"/>
                <w:lang w:bidi="ar"/>
              </w:rPr>
              <w:t>病死猪</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5D83349">
            <w:pPr>
              <w:widowControl/>
              <w:jc w:val="center"/>
              <w:textAlignment w:val="center"/>
              <w:rPr>
                <w:szCs w:val="21"/>
              </w:rPr>
            </w:pPr>
            <w:r>
              <w:rPr>
                <w:kern w:val="0"/>
                <w:szCs w:val="21"/>
                <w:lang w:bidi="ar"/>
              </w:rPr>
              <w:t>固</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47657E95">
            <w:pPr>
              <w:widowControl/>
              <w:jc w:val="center"/>
              <w:textAlignment w:val="center"/>
              <w:rPr>
                <w:szCs w:val="21"/>
              </w:rPr>
            </w:pPr>
            <w:r>
              <w:rPr>
                <w:kern w:val="0"/>
                <w:szCs w:val="21"/>
                <w:lang w:bidi="ar"/>
              </w:rPr>
              <w:t>蛋白质、脂肪</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29E53DF">
            <w:pPr>
              <w:widowControl/>
              <w:jc w:val="center"/>
              <w:textAlignment w:val="center"/>
              <w:rPr>
                <w:szCs w:val="21"/>
              </w:rPr>
            </w:pPr>
            <w:r>
              <w:rPr>
                <w:szCs w:val="21"/>
              </w:rPr>
              <w:t>否</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08628066">
            <w:pPr>
              <w:widowControl/>
              <w:jc w:val="center"/>
              <w:textAlignment w:val="center"/>
              <w:rPr>
                <w:kern w:val="0"/>
                <w:szCs w:val="21"/>
                <w:lang w:bidi="ar"/>
              </w:rPr>
            </w:pPr>
            <w:r>
              <w:rPr>
                <w:kern w:val="0"/>
                <w:szCs w:val="21"/>
                <w:lang w:bidi="ar"/>
              </w:rPr>
              <w:t>/</w:t>
            </w:r>
          </w:p>
        </w:tc>
      </w:tr>
      <w:tr w14:paraId="21B1EFE8">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00FE1FD0">
            <w:pPr>
              <w:widowControl/>
              <w:jc w:val="center"/>
              <w:textAlignment w:val="center"/>
              <w:rPr>
                <w:szCs w:val="21"/>
              </w:rPr>
            </w:pPr>
            <w:r>
              <w:rPr>
                <w:kern w:val="0"/>
                <w:szCs w:val="21"/>
                <w:lang w:bidi="ar"/>
              </w:rPr>
              <w:t>9</w:t>
            </w:r>
          </w:p>
        </w:tc>
        <w:tc>
          <w:tcPr>
            <w:tcW w:w="1335" w:type="pct"/>
            <w:tcBorders>
              <w:top w:val="single" w:color="000000" w:sz="4" w:space="0"/>
              <w:left w:val="single" w:color="000000" w:sz="4" w:space="0"/>
              <w:bottom w:val="single" w:color="000000" w:sz="4" w:space="0"/>
              <w:right w:val="single" w:color="000000" w:sz="4" w:space="0"/>
            </w:tcBorders>
            <w:noWrap/>
            <w:vAlign w:val="center"/>
          </w:tcPr>
          <w:p w14:paraId="0B9A5DDC">
            <w:pPr>
              <w:widowControl/>
              <w:jc w:val="center"/>
              <w:textAlignment w:val="center"/>
              <w:rPr>
                <w:szCs w:val="21"/>
              </w:rPr>
            </w:pPr>
            <w:r>
              <w:rPr>
                <w:kern w:val="0"/>
                <w:szCs w:val="21"/>
                <w:lang w:bidi="ar"/>
              </w:rPr>
              <w:t>疾病防疫产生的医疗废物</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11523CF">
            <w:pPr>
              <w:widowControl/>
              <w:jc w:val="center"/>
              <w:textAlignment w:val="center"/>
              <w:rPr>
                <w:szCs w:val="21"/>
              </w:rPr>
            </w:pPr>
            <w:r>
              <w:rPr>
                <w:kern w:val="0"/>
                <w:szCs w:val="21"/>
                <w:lang w:bidi="ar"/>
              </w:rPr>
              <w:t>固</w:t>
            </w:r>
          </w:p>
        </w:tc>
        <w:tc>
          <w:tcPr>
            <w:tcW w:w="895" w:type="pct"/>
            <w:tcBorders>
              <w:top w:val="single" w:color="000000" w:sz="4" w:space="0"/>
              <w:left w:val="single" w:color="000000" w:sz="4" w:space="0"/>
              <w:bottom w:val="single" w:color="000000" w:sz="4" w:space="0"/>
              <w:right w:val="single" w:color="000000" w:sz="4" w:space="0"/>
            </w:tcBorders>
            <w:noWrap/>
            <w:vAlign w:val="center"/>
          </w:tcPr>
          <w:p w14:paraId="7CC7FE72">
            <w:pPr>
              <w:widowControl/>
              <w:jc w:val="center"/>
              <w:textAlignment w:val="center"/>
              <w:rPr>
                <w:szCs w:val="21"/>
              </w:rPr>
            </w:pPr>
            <w:r>
              <w:rPr>
                <w:kern w:val="0"/>
                <w:szCs w:val="21"/>
                <w:lang w:bidi="ar"/>
              </w:rPr>
              <w:t>一次性医疗器具</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92E0991">
            <w:pPr>
              <w:widowControl/>
              <w:jc w:val="center"/>
              <w:textAlignment w:val="center"/>
              <w:rPr>
                <w:szCs w:val="21"/>
              </w:rPr>
            </w:pPr>
            <w:r>
              <w:rPr>
                <w:szCs w:val="21"/>
              </w:rPr>
              <w:t>是</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5D88574A">
            <w:pPr>
              <w:widowControl/>
              <w:jc w:val="center"/>
              <w:textAlignment w:val="center"/>
              <w:rPr>
                <w:kern w:val="0"/>
                <w:szCs w:val="21"/>
                <w:lang w:bidi="ar"/>
              </w:rPr>
            </w:pPr>
            <w:r>
              <w:rPr>
                <w:szCs w:val="21"/>
              </w:rPr>
              <w:t>HW01 841-002-01</w:t>
            </w:r>
          </w:p>
        </w:tc>
      </w:tr>
      <w:tr w14:paraId="54BDAF98">
        <w:tblPrEx>
          <w:tblCellMar>
            <w:top w:w="0" w:type="dxa"/>
            <w:left w:w="108" w:type="dxa"/>
            <w:bottom w:w="0" w:type="dxa"/>
            <w:right w:w="108" w:type="dxa"/>
          </w:tblCellMar>
        </w:tblPrEx>
        <w:trPr>
          <w:trHeight w:val="285" w:hRule="atLeast"/>
          <w:jc w:val="center"/>
        </w:trPr>
        <w:tc>
          <w:tcPr>
            <w:tcW w:w="236" w:type="pct"/>
            <w:tcBorders>
              <w:top w:val="single" w:color="000000" w:sz="4" w:space="0"/>
              <w:left w:val="single" w:color="000000" w:sz="4" w:space="0"/>
              <w:bottom w:val="single" w:color="000000" w:sz="4" w:space="0"/>
              <w:right w:val="single" w:color="000000" w:sz="4" w:space="0"/>
            </w:tcBorders>
            <w:noWrap/>
            <w:vAlign w:val="center"/>
          </w:tcPr>
          <w:p w14:paraId="42762777">
            <w:pPr>
              <w:widowControl/>
              <w:jc w:val="center"/>
              <w:textAlignment w:val="center"/>
              <w:rPr>
                <w:kern w:val="0"/>
                <w:szCs w:val="21"/>
                <w:lang w:bidi="ar"/>
              </w:rPr>
            </w:pPr>
            <w:r>
              <w:rPr>
                <w:rFonts w:hint="eastAsia"/>
                <w:kern w:val="0"/>
                <w:szCs w:val="21"/>
                <w:lang w:bidi="ar"/>
              </w:rPr>
              <w:t>10</w:t>
            </w:r>
          </w:p>
        </w:tc>
        <w:tc>
          <w:tcPr>
            <w:tcW w:w="2278" w:type="dxa"/>
            <w:tcBorders>
              <w:top w:val="single" w:color="000000" w:sz="4" w:space="0"/>
              <w:left w:val="single" w:color="000000" w:sz="4" w:space="0"/>
              <w:bottom w:val="single" w:color="000000" w:sz="4" w:space="0"/>
              <w:right w:val="single" w:color="000000" w:sz="4" w:space="0"/>
            </w:tcBorders>
            <w:noWrap/>
            <w:vAlign w:val="center"/>
          </w:tcPr>
          <w:p w14:paraId="119AF691">
            <w:pPr>
              <w:widowControl/>
              <w:jc w:val="center"/>
              <w:textAlignment w:val="center"/>
              <w:rPr>
                <w:kern w:val="0"/>
                <w:szCs w:val="21"/>
                <w:lang w:bidi="ar"/>
              </w:rPr>
            </w:pPr>
            <w:r>
              <w:rPr>
                <w:rFonts w:hint="eastAsia"/>
                <w:kern w:val="0"/>
                <w:szCs w:val="21"/>
                <w:lang w:bidi="ar"/>
              </w:rPr>
              <w:t>废紫外灯</w:t>
            </w:r>
          </w:p>
        </w:tc>
        <w:tc>
          <w:tcPr>
            <w:tcW w:w="778" w:type="dxa"/>
            <w:tcBorders>
              <w:top w:val="single" w:color="000000" w:sz="4" w:space="0"/>
              <w:left w:val="single" w:color="000000" w:sz="4" w:space="0"/>
              <w:bottom w:val="single" w:color="000000" w:sz="4" w:space="0"/>
              <w:right w:val="single" w:color="000000" w:sz="4" w:space="0"/>
            </w:tcBorders>
            <w:noWrap/>
            <w:vAlign w:val="center"/>
          </w:tcPr>
          <w:p w14:paraId="39A0F393">
            <w:pPr>
              <w:widowControl/>
              <w:jc w:val="center"/>
              <w:textAlignment w:val="center"/>
              <w:rPr>
                <w:kern w:val="0"/>
                <w:szCs w:val="21"/>
                <w:lang w:bidi="ar"/>
              </w:rPr>
            </w:pPr>
            <w:r>
              <w:rPr>
                <w:kern w:val="0"/>
                <w:szCs w:val="21"/>
                <w:lang w:bidi="ar"/>
              </w:rPr>
              <w:t>固</w:t>
            </w:r>
          </w:p>
        </w:tc>
        <w:tc>
          <w:tcPr>
            <w:tcW w:w="1527" w:type="dxa"/>
            <w:tcBorders>
              <w:top w:val="single" w:color="000000" w:sz="4" w:space="0"/>
              <w:left w:val="single" w:color="000000" w:sz="4" w:space="0"/>
              <w:bottom w:val="single" w:color="000000" w:sz="4" w:space="0"/>
              <w:right w:val="single" w:color="000000" w:sz="4" w:space="0"/>
            </w:tcBorders>
            <w:noWrap/>
            <w:vAlign w:val="center"/>
          </w:tcPr>
          <w:p w14:paraId="35CF654C">
            <w:pPr>
              <w:widowControl/>
              <w:jc w:val="center"/>
              <w:textAlignment w:val="center"/>
              <w:rPr>
                <w:kern w:val="0"/>
                <w:szCs w:val="21"/>
                <w:lang w:bidi="ar"/>
              </w:rPr>
            </w:pPr>
            <w:r>
              <w:rPr>
                <w:rFonts w:hint="eastAsia"/>
                <w:kern w:val="0"/>
                <w:szCs w:val="21"/>
                <w:lang w:bidi="ar"/>
              </w:rPr>
              <w:t>玻璃及含汞物质</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6AC43B7">
            <w:pPr>
              <w:widowControl/>
              <w:jc w:val="center"/>
              <w:textAlignment w:val="center"/>
              <w:rPr>
                <w:szCs w:val="21"/>
              </w:rPr>
            </w:pPr>
            <w:r>
              <w:rPr>
                <w:szCs w:val="21"/>
              </w:rPr>
              <w:t>是</w:t>
            </w:r>
          </w:p>
        </w:tc>
        <w:tc>
          <w:tcPr>
            <w:tcW w:w="1350" w:type="pct"/>
            <w:tcBorders>
              <w:top w:val="single" w:color="000000" w:sz="4" w:space="0"/>
              <w:left w:val="single" w:color="000000" w:sz="4" w:space="0"/>
              <w:bottom w:val="single" w:color="000000" w:sz="4" w:space="0"/>
              <w:right w:val="single" w:color="000000" w:sz="4" w:space="0"/>
            </w:tcBorders>
            <w:noWrap/>
            <w:vAlign w:val="center"/>
          </w:tcPr>
          <w:p w14:paraId="1468BC14">
            <w:pPr>
              <w:widowControl/>
              <w:jc w:val="center"/>
              <w:textAlignment w:val="center"/>
              <w:rPr>
                <w:szCs w:val="21"/>
              </w:rPr>
            </w:pPr>
            <w:r>
              <w:rPr>
                <w:szCs w:val="21"/>
              </w:rPr>
              <w:t>HW29 900-023-29</w:t>
            </w:r>
          </w:p>
        </w:tc>
      </w:tr>
    </w:tbl>
    <w:p w14:paraId="0F7A2BC1">
      <w:pPr>
        <w:spacing w:line="360" w:lineRule="auto"/>
        <w:ind w:firstLine="480" w:firstLineChars="200"/>
        <w:rPr>
          <w:bCs/>
          <w:sz w:val="24"/>
        </w:rPr>
      </w:pPr>
      <w:r>
        <w:rPr>
          <w:bCs/>
          <w:sz w:val="24"/>
        </w:rPr>
        <w:t>本项目固体废物产排情况见表3.4-18。</w:t>
      </w:r>
    </w:p>
    <w:p w14:paraId="66849EAC">
      <w:pPr>
        <w:spacing w:line="360" w:lineRule="auto"/>
        <w:ind w:firstLine="482" w:firstLineChars="200"/>
        <w:jc w:val="center"/>
        <w:rPr>
          <w:b/>
          <w:bCs/>
          <w:sz w:val="24"/>
        </w:rPr>
        <w:sectPr>
          <w:pgSz w:w="11906" w:h="16838"/>
          <w:pgMar w:top="1440" w:right="1797" w:bottom="1361" w:left="1797" w:header="851" w:footer="992" w:gutter="0"/>
          <w:cols w:space="720" w:num="1"/>
          <w:docGrid w:linePitch="312" w:charSpace="0"/>
        </w:sectPr>
      </w:pPr>
    </w:p>
    <w:p w14:paraId="27201F7C">
      <w:pPr>
        <w:spacing w:line="360" w:lineRule="auto"/>
        <w:ind w:firstLine="482" w:firstLineChars="200"/>
        <w:jc w:val="center"/>
        <w:rPr>
          <w:b/>
          <w:bCs/>
          <w:sz w:val="24"/>
        </w:rPr>
      </w:pPr>
      <w:r>
        <w:rPr>
          <w:b/>
          <w:bCs/>
          <w:sz w:val="24"/>
        </w:rPr>
        <w:t>表3.4-18  项目固废产生及处置情况一览表</w:t>
      </w:r>
    </w:p>
    <w:tbl>
      <w:tblPr>
        <w:tblStyle w:val="87"/>
        <w:tblW w:w="5000" w:type="pct"/>
        <w:jc w:val="center"/>
        <w:tblLayout w:type="fixed"/>
        <w:tblCellMar>
          <w:top w:w="0" w:type="dxa"/>
          <w:left w:w="108" w:type="dxa"/>
          <w:bottom w:w="0" w:type="dxa"/>
          <w:right w:w="108" w:type="dxa"/>
        </w:tblCellMar>
      </w:tblPr>
      <w:tblGrid>
        <w:gridCol w:w="616"/>
        <w:gridCol w:w="1639"/>
        <w:gridCol w:w="1360"/>
        <w:gridCol w:w="624"/>
        <w:gridCol w:w="1214"/>
        <w:gridCol w:w="1733"/>
        <w:gridCol w:w="1001"/>
        <w:gridCol w:w="1112"/>
        <w:gridCol w:w="1402"/>
        <w:gridCol w:w="1006"/>
        <w:gridCol w:w="2546"/>
      </w:tblGrid>
      <w:tr w14:paraId="66309068">
        <w:tblPrEx>
          <w:tblCellMar>
            <w:top w:w="0" w:type="dxa"/>
            <w:left w:w="108" w:type="dxa"/>
            <w:bottom w:w="0" w:type="dxa"/>
            <w:right w:w="108" w:type="dxa"/>
          </w:tblCellMar>
        </w:tblPrEx>
        <w:trPr>
          <w:trHeight w:val="570"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0F881DE7">
            <w:pPr>
              <w:widowControl/>
              <w:jc w:val="center"/>
              <w:textAlignment w:val="center"/>
              <w:rPr>
                <w:szCs w:val="21"/>
              </w:rPr>
            </w:pPr>
            <w:r>
              <w:rPr>
                <w:kern w:val="0"/>
                <w:szCs w:val="21"/>
                <w:lang w:bidi="ar"/>
              </w:rPr>
              <w:t>序号</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12062C67">
            <w:pPr>
              <w:widowControl/>
              <w:jc w:val="center"/>
              <w:textAlignment w:val="center"/>
              <w:rPr>
                <w:szCs w:val="21"/>
              </w:rPr>
            </w:pPr>
            <w:r>
              <w:rPr>
                <w:kern w:val="0"/>
                <w:szCs w:val="21"/>
                <w:lang w:bidi="ar"/>
              </w:rPr>
              <w:t>名称</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3968E5BC">
            <w:pPr>
              <w:widowControl/>
              <w:jc w:val="center"/>
              <w:textAlignment w:val="center"/>
              <w:rPr>
                <w:szCs w:val="21"/>
              </w:rPr>
            </w:pPr>
            <w:r>
              <w:rPr>
                <w:kern w:val="0"/>
                <w:szCs w:val="21"/>
                <w:lang w:bidi="ar"/>
              </w:rPr>
              <w:t>废物类别</w:t>
            </w: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2EBBAB0E">
            <w:pPr>
              <w:widowControl/>
              <w:jc w:val="center"/>
              <w:textAlignment w:val="center"/>
              <w:rPr>
                <w:szCs w:val="21"/>
              </w:rPr>
            </w:pPr>
            <w:r>
              <w:rPr>
                <w:kern w:val="0"/>
                <w:szCs w:val="21"/>
                <w:lang w:bidi="ar"/>
              </w:rPr>
              <w:t>性状</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11159277">
            <w:pPr>
              <w:widowControl/>
              <w:jc w:val="center"/>
              <w:textAlignment w:val="center"/>
              <w:rPr>
                <w:szCs w:val="21"/>
              </w:rPr>
            </w:pPr>
            <w:r>
              <w:rPr>
                <w:kern w:val="0"/>
                <w:szCs w:val="21"/>
                <w:lang w:bidi="ar"/>
              </w:rPr>
              <w:t>主要成分</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425A4140">
            <w:pPr>
              <w:widowControl/>
              <w:jc w:val="center"/>
              <w:textAlignment w:val="center"/>
              <w:rPr>
                <w:szCs w:val="21"/>
              </w:rPr>
            </w:pPr>
            <w:r>
              <w:rPr>
                <w:kern w:val="0"/>
                <w:szCs w:val="21"/>
                <w:lang w:bidi="ar"/>
              </w:rPr>
              <w:t>危废鉴别方法</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660009E6">
            <w:pPr>
              <w:widowControl/>
              <w:jc w:val="center"/>
              <w:textAlignment w:val="center"/>
              <w:rPr>
                <w:szCs w:val="21"/>
              </w:rPr>
            </w:pPr>
            <w:r>
              <w:rPr>
                <w:kern w:val="0"/>
                <w:szCs w:val="21"/>
                <w:lang w:bidi="ar"/>
              </w:rPr>
              <w:t>危险特性</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162189E6">
            <w:pPr>
              <w:widowControl/>
              <w:jc w:val="center"/>
              <w:textAlignment w:val="center"/>
              <w:rPr>
                <w:szCs w:val="21"/>
              </w:rPr>
            </w:pPr>
            <w:r>
              <w:rPr>
                <w:kern w:val="0"/>
                <w:szCs w:val="21"/>
                <w:lang w:bidi="ar"/>
              </w:rPr>
              <w:t>废物类别</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6288F24D">
            <w:pPr>
              <w:widowControl/>
              <w:jc w:val="center"/>
              <w:textAlignment w:val="center"/>
              <w:rPr>
                <w:szCs w:val="21"/>
              </w:rPr>
            </w:pPr>
            <w:r>
              <w:rPr>
                <w:kern w:val="0"/>
                <w:szCs w:val="21"/>
                <w:lang w:bidi="ar"/>
              </w:rPr>
              <w:t>废物代码</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14:paraId="661C0A9D">
            <w:pPr>
              <w:widowControl/>
              <w:jc w:val="center"/>
              <w:textAlignment w:val="center"/>
              <w:rPr>
                <w:szCs w:val="21"/>
              </w:rPr>
            </w:pPr>
            <w:r>
              <w:rPr>
                <w:kern w:val="0"/>
                <w:szCs w:val="21"/>
                <w:lang w:bidi="ar"/>
              </w:rPr>
              <w:t>产生数量（t/a）</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12B78DCE">
            <w:pPr>
              <w:widowControl/>
              <w:jc w:val="center"/>
              <w:textAlignment w:val="center"/>
              <w:rPr>
                <w:szCs w:val="21"/>
              </w:rPr>
            </w:pPr>
            <w:r>
              <w:rPr>
                <w:kern w:val="0"/>
                <w:szCs w:val="21"/>
                <w:lang w:bidi="ar"/>
              </w:rPr>
              <w:t>拟采取的处理方式</w:t>
            </w:r>
          </w:p>
        </w:tc>
      </w:tr>
      <w:tr w14:paraId="341AD0F4">
        <w:tblPrEx>
          <w:tblCellMar>
            <w:top w:w="0" w:type="dxa"/>
            <w:left w:w="108" w:type="dxa"/>
            <w:bottom w:w="0" w:type="dxa"/>
            <w:right w:w="108" w:type="dxa"/>
          </w:tblCellMar>
        </w:tblPrEx>
        <w:trPr>
          <w:trHeight w:val="707"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5719384B">
            <w:pPr>
              <w:widowControl/>
              <w:jc w:val="center"/>
              <w:textAlignment w:val="center"/>
              <w:rPr>
                <w:szCs w:val="21"/>
              </w:rPr>
            </w:pPr>
            <w:r>
              <w:rPr>
                <w:kern w:val="0"/>
                <w:szCs w:val="21"/>
                <w:lang w:bidi="ar"/>
              </w:rPr>
              <w:t>1</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7CCA2984">
            <w:pPr>
              <w:widowControl/>
              <w:jc w:val="center"/>
              <w:textAlignment w:val="center"/>
              <w:rPr>
                <w:szCs w:val="21"/>
              </w:rPr>
            </w:pPr>
            <w:r>
              <w:rPr>
                <w:kern w:val="0"/>
                <w:szCs w:val="21"/>
                <w:lang w:bidi="ar"/>
              </w:rPr>
              <w:t>疾病防疫产生的医疗废物</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60AE7F4A">
            <w:pPr>
              <w:widowControl/>
              <w:jc w:val="center"/>
              <w:textAlignment w:val="center"/>
              <w:rPr>
                <w:szCs w:val="21"/>
              </w:rPr>
            </w:pPr>
            <w:r>
              <w:rPr>
                <w:kern w:val="0"/>
                <w:szCs w:val="21"/>
                <w:lang w:bidi="ar"/>
              </w:rPr>
              <w:t>危险废物</w:t>
            </w: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2BF73F8C">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71E13D8A">
            <w:pPr>
              <w:widowControl/>
              <w:jc w:val="center"/>
              <w:textAlignment w:val="center"/>
              <w:rPr>
                <w:szCs w:val="21"/>
              </w:rPr>
            </w:pPr>
            <w:r>
              <w:rPr>
                <w:kern w:val="0"/>
                <w:szCs w:val="21"/>
                <w:lang w:bidi="ar"/>
              </w:rPr>
              <w:t>一次性医疗器具</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277FBCB2">
            <w:pPr>
              <w:widowControl/>
              <w:jc w:val="center"/>
              <w:textAlignment w:val="center"/>
              <w:rPr>
                <w:szCs w:val="21"/>
              </w:rPr>
            </w:pPr>
            <w:r>
              <w:rPr>
                <w:kern w:val="0"/>
                <w:szCs w:val="21"/>
                <w:lang w:bidi="ar"/>
              </w:rPr>
              <w:t>根据《国家危险废物名录》（2021版）鉴别</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711C7BB9">
            <w:pPr>
              <w:widowControl/>
              <w:jc w:val="center"/>
              <w:textAlignment w:val="center"/>
              <w:rPr>
                <w:szCs w:val="21"/>
              </w:rPr>
            </w:pPr>
            <w:r>
              <w:rPr>
                <w:kern w:val="0"/>
                <w:szCs w:val="21"/>
                <w:lang w:bidi="ar"/>
              </w:rPr>
              <w:t>In</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770A5F4C">
            <w:pPr>
              <w:widowControl/>
              <w:jc w:val="center"/>
              <w:textAlignment w:val="center"/>
              <w:rPr>
                <w:szCs w:val="21"/>
              </w:rPr>
            </w:pPr>
            <w:r>
              <w:rPr>
                <w:kern w:val="0"/>
                <w:szCs w:val="21"/>
                <w:lang w:bidi="ar"/>
              </w:rPr>
              <w:t>HW01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40667787">
            <w:pPr>
              <w:widowControl/>
              <w:jc w:val="center"/>
              <w:textAlignment w:val="center"/>
              <w:rPr>
                <w:szCs w:val="21"/>
              </w:rPr>
            </w:pPr>
            <w:r>
              <w:rPr>
                <w:kern w:val="0"/>
                <w:szCs w:val="21"/>
                <w:lang w:bidi="ar"/>
              </w:rPr>
              <w:t>841-002-01</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14:paraId="17EDE64D">
            <w:pPr>
              <w:widowControl/>
              <w:jc w:val="center"/>
              <w:textAlignment w:val="center"/>
              <w:rPr>
                <w:szCs w:val="21"/>
              </w:rPr>
            </w:pPr>
            <w:r>
              <w:rPr>
                <w:kern w:val="0"/>
                <w:szCs w:val="21"/>
                <w:lang w:bidi="ar"/>
              </w:rPr>
              <w:t>1.247</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3C0B8EC7">
            <w:pPr>
              <w:widowControl/>
              <w:jc w:val="center"/>
              <w:textAlignment w:val="center"/>
              <w:rPr>
                <w:szCs w:val="21"/>
              </w:rPr>
            </w:pPr>
            <w:r>
              <w:rPr>
                <w:kern w:val="0"/>
                <w:szCs w:val="21"/>
                <w:lang w:bidi="ar"/>
              </w:rPr>
              <w:t>厂内危废库暂存，委托第三方有资质公司处理</w:t>
            </w:r>
          </w:p>
        </w:tc>
      </w:tr>
      <w:tr w14:paraId="690D1D6C">
        <w:tblPrEx>
          <w:tblCellMar>
            <w:top w:w="0" w:type="dxa"/>
            <w:left w:w="108" w:type="dxa"/>
            <w:bottom w:w="0" w:type="dxa"/>
            <w:right w:w="108" w:type="dxa"/>
          </w:tblCellMar>
        </w:tblPrEx>
        <w:trPr>
          <w:trHeight w:val="707" w:hRule="atLeast"/>
          <w:jc w:val="center"/>
        </w:trPr>
        <w:tc>
          <w:tcPr>
            <w:tcW w:w="617" w:type="dxa"/>
            <w:tcBorders>
              <w:top w:val="single" w:color="000000" w:sz="4" w:space="0"/>
              <w:left w:val="single" w:color="000000" w:sz="4" w:space="0"/>
              <w:bottom w:val="single" w:color="000000" w:sz="4" w:space="0"/>
              <w:right w:val="single" w:color="000000" w:sz="4" w:space="0"/>
            </w:tcBorders>
            <w:noWrap w:val="0"/>
            <w:vAlign w:val="center"/>
          </w:tcPr>
          <w:p w14:paraId="73A85AC7">
            <w:pPr>
              <w:widowControl/>
              <w:jc w:val="center"/>
              <w:textAlignment w:val="center"/>
              <w:rPr>
                <w:kern w:val="0"/>
                <w:szCs w:val="21"/>
                <w:lang w:bidi="ar"/>
              </w:rPr>
            </w:pPr>
            <w:r>
              <w:rPr>
                <w:rFonts w:hint="eastAsia"/>
                <w:kern w:val="0"/>
                <w:szCs w:val="21"/>
                <w:lang w:bidi="ar"/>
              </w:rPr>
              <w:t>2</w:t>
            </w:r>
          </w:p>
        </w:tc>
        <w:tc>
          <w:tcPr>
            <w:tcW w:w="1638" w:type="dxa"/>
            <w:tcBorders>
              <w:top w:val="single" w:color="000000" w:sz="4" w:space="0"/>
              <w:left w:val="single" w:color="000000" w:sz="4" w:space="0"/>
              <w:bottom w:val="single" w:color="000000" w:sz="4" w:space="0"/>
              <w:right w:val="single" w:color="000000" w:sz="4" w:space="0"/>
            </w:tcBorders>
            <w:noWrap w:val="0"/>
            <w:vAlign w:val="center"/>
          </w:tcPr>
          <w:p w14:paraId="7C71D43C">
            <w:pPr>
              <w:widowControl/>
              <w:jc w:val="center"/>
              <w:textAlignment w:val="center"/>
              <w:rPr>
                <w:kern w:val="0"/>
                <w:szCs w:val="21"/>
                <w:lang w:bidi="ar"/>
              </w:rPr>
            </w:pPr>
            <w:r>
              <w:rPr>
                <w:rFonts w:hint="eastAsia"/>
                <w:kern w:val="0"/>
                <w:szCs w:val="21"/>
                <w:lang w:bidi="ar"/>
              </w:rPr>
              <w:t>废紫外灯</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14:paraId="2E3064D7">
            <w:pPr>
              <w:widowControl/>
              <w:jc w:val="center"/>
              <w:textAlignment w:val="center"/>
              <w:rPr>
                <w:kern w:val="0"/>
                <w:szCs w:val="21"/>
                <w:lang w:bidi="ar"/>
              </w:rPr>
            </w:pPr>
            <w:r>
              <w:rPr>
                <w:kern w:val="0"/>
                <w:szCs w:val="21"/>
                <w:lang w:bidi="ar"/>
              </w:rPr>
              <w:t>危险废物</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933E3A2">
            <w:pPr>
              <w:widowControl/>
              <w:jc w:val="center"/>
              <w:textAlignment w:val="center"/>
              <w:rPr>
                <w:kern w:val="0"/>
                <w:szCs w:val="21"/>
                <w:lang w:bidi="ar"/>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5E57F9FA">
            <w:pPr>
              <w:widowControl/>
              <w:jc w:val="center"/>
              <w:textAlignment w:val="center"/>
              <w:rPr>
                <w:kern w:val="0"/>
                <w:szCs w:val="21"/>
                <w:lang w:bidi="ar"/>
              </w:rPr>
            </w:pPr>
            <w:r>
              <w:rPr>
                <w:rFonts w:hint="eastAsia"/>
                <w:kern w:val="0"/>
                <w:szCs w:val="21"/>
                <w:lang w:bidi="ar"/>
              </w:rPr>
              <w:t>玻璃及含汞物质</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0D9A0E0B">
            <w:pPr>
              <w:widowControl/>
              <w:jc w:val="center"/>
              <w:textAlignment w:val="center"/>
              <w:rPr>
                <w:kern w:val="0"/>
                <w:szCs w:val="21"/>
                <w:lang w:bidi="ar"/>
              </w:rPr>
            </w:pPr>
            <w:r>
              <w:rPr>
                <w:kern w:val="0"/>
                <w:szCs w:val="21"/>
                <w:lang w:bidi="ar"/>
              </w:rPr>
              <w:t>根据《国家危险废物名录》（2021版）鉴别</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0B7E14E8">
            <w:pPr>
              <w:widowControl/>
              <w:jc w:val="center"/>
              <w:textAlignment w:val="center"/>
              <w:rPr>
                <w:kern w:val="0"/>
                <w:szCs w:val="21"/>
                <w:lang w:bidi="ar"/>
              </w:rPr>
            </w:pPr>
            <w:r>
              <w:rPr>
                <w:kern w:val="0"/>
                <w:szCs w:val="21"/>
              </w:rPr>
              <w:t>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2C9A3C6A">
            <w:pPr>
              <w:widowControl/>
              <w:jc w:val="center"/>
              <w:textAlignment w:val="center"/>
              <w:rPr>
                <w:kern w:val="0"/>
                <w:szCs w:val="21"/>
                <w:lang w:bidi="ar"/>
              </w:rPr>
            </w:pPr>
            <w:r>
              <w:rPr>
                <w:szCs w:val="21"/>
              </w:rPr>
              <w:t>HW29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1A7E18AD">
            <w:pPr>
              <w:widowControl/>
              <w:jc w:val="center"/>
              <w:textAlignment w:val="center"/>
              <w:rPr>
                <w:kern w:val="0"/>
                <w:szCs w:val="21"/>
                <w:lang w:bidi="ar"/>
              </w:rPr>
            </w:pPr>
            <w:r>
              <w:rPr>
                <w:szCs w:val="21"/>
              </w:rPr>
              <w:t>900-023-29</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14:paraId="2C918A0F">
            <w:pPr>
              <w:widowControl/>
              <w:jc w:val="center"/>
              <w:textAlignment w:val="center"/>
              <w:rPr>
                <w:kern w:val="0"/>
                <w:szCs w:val="21"/>
                <w:lang w:bidi="ar"/>
              </w:rPr>
            </w:pPr>
            <w:r>
              <w:rPr>
                <w:rFonts w:hint="eastAsia"/>
                <w:kern w:val="0"/>
                <w:szCs w:val="21"/>
                <w:lang w:bidi="ar"/>
              </w:rPr>
              <w:t>0.008</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3E0BB0FF">
            <w:pPr>
              <w:widowControl/>
              <w:jc w:val="center"/>
              <w:textAlignment w:val="center"/>
              <w:rPr>
                <w:kern w:val="0"/>
                <w:szCs w:val="21"/>
                <w:lang w:bidi="ar"/>
              </w:rPr>
            </w:pPr>
            <w:r>
              <w:rPr>
                <w:kern w:val="0"/>
                <w:szCs w:val="21"/>
                <w:lang w:bidi="ar"/>
              </w:rPr>
              <w:t>厂内危废库暂存，委托第三方有资质公司处理</w:t>
            </w:r>
          </w:p>
        </w:tc>
      </w:tr>
      <w:tr w14:paraId="23A517F4">
        <w:tblPrEx>
          <w:tblCellMar>
            <w:top w:w="0" w:type="dxa"/>
            <w:left w:w="108" w:type="dxa"/>
            <w:bottom w:w="0" w:type="dxa"/>
            <w:right w:w="108" w:type="dxa"/>
          </w:tblCellMar>
        </w:tblPrEx>
        <w:trPr>
          <w:trHeight w:val="463"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386F295C">
            <w:pPr>
              <w:widowControl/>
              <w:jc w:val="center"/>
              <w:textAlignment w:val="center"/>
              <w:rPr>
                <w:szCs w:val="21"/>
              </w:rPr>
            </w:pPr>
            <w:r>
              <w:rPr>
                <w:kern w:val="0"/>
                <w:szCs w:val="21"/>
                <w:lang w:bidi="ar"/>
              </w:rPr>
              <w:t>2</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102E8E7B">
            <w:pPr>
              <w:widowControl/>
              <w:jc w:val="center"/>
              <w:textAlignment w:val="center"/>
              <w:rPr>
                <w:szCs w:val="21"/>
              </w:rPr>
            </w:pPr>
            <w:r>
              <w:rPr>
                <w:kern w:val="0"/>
                <w:szCs w:val="21"/>
                <w:lang w:bidi="ar"/>
              </w:rPr>
              <w:t>猪粪</w:t>
            </w:r>
          </w:p>
        </w:tc>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14:paraId="65F23177">
            <w:pPr>
              <w:widowControl/>
              <w:jc w:val="center"/>
              <w:textAlignment w:val="center"/>
              <w:rPr>
                <w:szCs w:val="21"/>
              </w:rPr>
            </w:pPr>
            <w:r>
              <w:rPr>
                <w:kern w:val="0"/>
                <w:szCs w:val="21"/>
                <w:lang w:bidi="ar"/>
              </w:rPr>
              <w:t>一般固废</w:t>
            </w: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6E9B2924">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515ADC95">
            <w:pPr>
              <w:widowControl/>
              <w:jc w:val="center"/>
              <w:textAlignment w:val="center"/>
              <w:rPr>
                <w:szCs w:val="21"/>
              </w:rPr>
            </w:pPr>
            <w:r>
              <w:rPr>
                <w:kern w:val="0"/>
                <w:szCs w:val="21"/>
                <w:lang w:bidi="ar"/>
              </w:rPr>
              <w:t>有机质</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00260487">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55CB18BB">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449BD37D">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99C71CB">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197DBE28">
            <w:pPr>
              <w:widowControl/>
              <w:jc w:val="center"/>
              <w:textAlignment w:val="center"/>
              <w:rPr>
                <w:szCs w:val="21"/>
              </w:rPr>
            </w:pPr>
            <w:r>
              <w:rPr>
                <w:kern w:val="0"/>
                <w:szCs w:val="21"/>
                <w:lang w:bidi="ar"/>
              </w:rPr>
              <w:t>4209.18</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72334432">
            <w:pPr>
              <w:widowControl/>
              <w:jc w:val="center"/>
              <w:textAlignment w:val="center"/>
              <w:rPr>
                <w:szCs w:val="21"/>
              </w:rPr>
            </w:pPr>
            <w:r>
              <w:rPr>
                <w:kern w:val="0"/>
                <w:szCs w:val="21"/>
                <w:lang w:bidi="ar"/>
              </w:rPr>
              <w:t>固粪处理区进行好氧堆肥后用于企业自有苹果园施肥</w:t>
            </w:r>
          </w:p>
        </w:tc>
      </w:tr>
      <w:tr w14:paraId="525FAEDA">
        <w:tblPrEx>
          <w:tblCellMar>
            <w:top w:w="0" w:type="dxa"/>
            <w:left w:w="108" w:type="dxa"/>
            <w:bottom w:w="0" w:type="dxa"/>
            <w:right w:w="108" w:type="dxa"/>
          </w:tblCellMar>
        </w:tblPrEx>
        <w:trPr>
          <w:trHeight w:val="540"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774E88F2">
            <w:pPr>
              <w:widowControl/>
              <w:jc w:val="center"/>
              <w:textAlignment w:val="center"/>
              <w:rPr>
                <w:szCs w:val="21"/>
              </w:rPr>
            </w:pPr>
            <w:r>
              <w:rPr>
                <w:kern w:val="0"/>
                <w:szCs w:val="21"/>
                <w:lang w:bidi="ar"/>
              </w:rPr>
              <w:t>3</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491DBBDF">
            <w:pPr>
              <w:widowControl/>
              <w:jc w:val="center"/>
              <w:textAlignment w:val="center"/>
              <w:rPr>
                <w:szCs w:val="21"/>
              </w:rPr>
            </w:pPr>
            <w:r>
              <w:rPr>
                <w:kern w:val="0"/>
                <w:szCs w:val="21"/>
                <w:lang w:bidi="ar"/>
              </w:rPr>
              <w:t>饲料残渣</w:t>
            </w:r>
          </w:p>
        </w:tc>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14:paraId="5F4BD864">
            <w:pPr>
              <w:widowControl/>
              <w:jc w:val="center"/>
              <w:rPr>
                <w:szCs w:val="21"/>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526C46C3">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113DA5F1">
            <w:pPr>
              <w:widowControl/>
              <w:jc w:val="center"/>
              <w:textAlignment w:val="center"/>
              <w:rPr>
                <w:szCs w:val="21"/>
              </w:rPr>
            </w:pPr>
            <w:r>
              <w:rPr>
                <w:kern w:val="0"/>
                <w:szCs w:val="21"/>
                <w:lang w:bidi="ar"/>
              </w:rPr>
              <w:t>饲料</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106C4C46">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5ED6B6BA">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36621FDE">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20BDAAD">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6BC8630">
            <w:pPr>
              <w:widowControl/>
              <w:jc w:val="center"/>
              <w:textAlignment w:val="center"/>
              <w:rPr>
                <w:szCs w:val="21"/>
              </w:rPr>
            </w:pPr>
            <w:r>
              <w:rPr>
                <w:kern w:val="0"/>
                <w:szCs w:val="21"/>
                <w:lang w:bidi="ar"/>
              </w:rPr>
              <w:t>28.05</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2F63822B">
            <w:pPr>
              <w:widowControl/>
              <w:jc w:val="center"/>
              <w:textAlignment w:val="center"/>
              <w:rPr>
                <w:szCs w:val="21"/>
              </w:rPr>
            </w:pPr>
            <w:r>
              <w:rPr>
                <w:kern w:val="0"/>
                <w:szCs w:val="21"/>
                <w:lang w:bidi="ar"/>
              </w:rPr>
              <w:t>进行好氧堆肥后用于企业自有苹果园施肥</w:t>
            </w:r>
          </w:p>
        </w:tc>
      </w:tr>
      <w:tr w14:paraId="4D383EE5">
        <w:tblPrEx>
          <w:tblCellMar>
            <w:top w:w="0" w:type="dxa"/>
            <w:left w:w="108" w:type="dxa"/>
            <w:bottom w:w="0" w:type="dxa"/>
            <w:right w:w="108" w:type="dxa"/>
          </w:tblCellMar>
        </w:tblPrEx>
        <w:trPr>
          <w:trHeight w:val="727"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7A5BC738">
            <w:pPr>
              <w:widowControl/>
              <w:jc w:val="center"/>
              <w:textAlignment w:val="center"/>
              <w:rPr>
                <w:szCs w:val="21"/>
              </w:rPr>
            </w:pPr>
            <w:r>
              <w:rPr>
                <w:kern w:val="0"/>
                <w:szCs w:val="21"/>
                <w:lang w:bidi="ar"/>
              </w:rPr>
              <w:t>4</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75760F9">
            <w:pPr>
              <w:widowControl/>
              <w:jc w:val="center"/>
              <w:textAlignment w:val="center"/>
              <w:rPr>
                <w:szCs w:val="21"/>
              </w:rPr>
            </w:pPr>
            <w:r>
              <w:rPr>
                <w:kern w:val="0"/>
                <w:szCs w:val="21"/>
                <w:lang w:bidi="ar"/>
              </w:rPr>
              <w:t>沼渣</w:t>
            </w:r>
          </w:p>
        </w:tc>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14:paraId="6AB9E2E1">
            <w:pPr>
              <w:widowControl/>
              <w:jc w:val="center"/>
              <w:rPr>
                <w:szCs w:val="21"/>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38252F11">
            <w:pPr>
              <w:widowControl/>
              <w:jc w:val="center"/>
              <w:textAlignment w:val="center"/>
              <w:rPr>
                <w:szCs w:val="21"/>
              </w:rPr>
            </w:pPr>
            <w:r>
              <w:rPr>
                <w:kern w:val="0"/>
                <w:szCs w:val="21"/>
                <w:lang w:bidi="ar"/>
              </w:rPr>
              <w:t>半固态</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5FA9B37E">
            <w:pPr>
              <w:widowControl/>
              <w:jc w:val="center"/>
              <w:textAlignment w:val="center"/>
              <w:rPr>
                <w:szCs w:val="21"/>
              </w:rPr>
            </w:pPr>
            <w:r>
              <w:rPr>
                <w:kern w:val="0"/>
                <w:szCs w:val="21"/>
                <w:lang w:bidi="ar"/>
              </w:rPr>
              <w:t>有机质</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CB11CA4">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4191DC84">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3401D775">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55F4A141">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553380E0">
            <w:pPr>
              <w:widowControl/>
              <w:jc w:val="center"/>
              <w:textAlignment w:val="center"/>
              <w:rPr>
                <w:szCs w:val="21"/>
              </w:rPr>
            </w:pPr>
            <w:r>
              <w:rPr>
                <w:kern w:val="0"/>
                <w:szCs w:val="21"/>
                <w:lang w:bidi="ar"/>
              </w:rPr>
              <w:t>99.95</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2D4D19B8">
            <w:pPr>
              <w:widowControl/>
              <w:jc w:val="center"/>
              <w:textAlignment w:val="center"/>
              <w:rPr>
                <w:szCs w:val="21"/>
              </w:rPr>
            </w:pPr>
            <w:r>
              <w:rPr>
                <w:kern w:val="0"/>
                <w:szCs w:val="21"/>
                <w:lang w:bidi="ar"/>
              </w:rPr>
              <w:t>进行好氧堆肥后用于企业自有苹果园施肥</w:t>
            </w:r>
          </w:p>
        </w:tc>
      </w:tr>
      <w:tr w14:paraId="2A89AF32">
        <w:tblPrEx>
          <w:tblCellMar>
            <w:top w:w="0" w:type="dxa"/>
            <w:left w:w="108" w:type="dxa"/>
            <w:bottom w:w="0" w:type="dxa"/>
            <w:right w:w="108" w:type="dxa"/>
          </w:tblCellMar>
        </w:tblPrEx>
        <w:trPr>
          <w:trHeight w:val="570"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22203340">
            <w:pPr>
              <w:widowControl/>
              <w:jc w:val="center"/>
              <w:textAlignment w:val="center"/>
              <w:rPr>
                <w:szCs w:val="21"/>
              </w:rPr>
            </w:pPr>
            <w:r>
              <w:rPr>
                <w:kern w:val="0"/>
                <w:szCs w:val="21"/>
                <w:lang w:bidi="ar"/>
              </w:rPr>
              <w:t>5</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1994EB80">
            <w:pPr>
              <w:widowControl/>
              <w:jc w:val="center"/>
              <w:textAlignment w:val="center"/>
              <w:rPr>
                <w:szCs w:val="21"/>
              </w:rPr>
            </w:pPr>
            <w:r>
              <w:rPr>
                <w:kern w:val="0"/>
                <w:szCs w:val="21"/>
                <w:lang w:bidi="ar"/>
              </w:rPr>
              <w:t>废弃包装材料</w:t>
            </w:r>
          </w:p>
        </w:tc>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14:paraId="5FB2CB0A">
            <w:pPr>
              <w:widowControl/>
              <w:jc w:val="center"/>
              <w:rPr>
                <w:szCs w:val="21"/>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5CBD9E19">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051CCB6F">
            <w:pPr>
              <w:widowControl/>
              <w:jc w:val="center"/>
              <w:textAlignment w:val="center"/>
              <w:rPr>
                <w:szCs w:val="21"/>
              </w:rPr>
            </w:pPr>
            <w:r>
              <w:rPr>
                <w:kern w:val="0"/>
                <w:szCs w:val="21"/>
                <w:lang w:bidi="ar"/>
              </w:rPr>
              <w:t>塑料、纸</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D86ED80">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5A80E75F">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6DC9379F">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52A21E8">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1787D87">
            <w:pPr>
              <w:widowControl/>
              <w:jc w:val="center"/>
              <w:textAlignment w:val="center"/>
              <w:rPr>
                <w:szCs w:val="21"/>
              </w:rPr>
            </w:pPr>
            <w:r>
              <w:rPr>
                <w:kern w:val="0"/>
                <w:szCs w:val="21"/>
                <w:lang w:bidi="ar"/>
              </w:rPr>
              <w:t>2</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77F65E74">
            <w:pPr>
              <w:widowControl/>
              <w:jc w:val="center"/>
              <w:textAlignment w:val="center"/>
              <w:rPr>
                <w:szCs w:val="21"/>
              </w:rPr>
            </w:pPr>
            <w:r>
              <w:rPr>
                <w:kern w:val="0"/>
                <w:szCs w:val="21"/>
                <w:lang w:bidi="ar"/>
              </w:rPr>
              <w:t>统一收集外售</w:t>
            </w:r>
          </w:p>
        </w:tc>
      </w:tr>
      <w:tr w14:paraId="0669C931">
        <w:tblPrEx>
          <w:tblCellMar>
            <w:top w:w="0" w:type="dxa"/>
            <w:left w:w="108" w:type="dxa"/>
            <w:bottom w:w="0" w:type="dxa"/>
            <w:right w:w="108" w:type="dxa"/>
          </w:tblCellMar>
        </w:tblPrEx>
        <w:trPr>
          <w:trHeight w:val="370"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37DF3B7A">
            <w:pPr>
              <w:widowControl/>
              <w:jc w:val="center"/>
              <w:textAlignment w:val="center"/>
              <w:rPr>
                <w:szCs w:val="21"/>
              </w:rPr>
            </w:pPr>
            <w:r>
              <w:rPr>
                <w:kern w:val="0"/>
                <w:szCs w:val="21"/>
                <w:lang w:bidi="ar"/>
              </w:rPr>
              <w:t>6</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36BD465E">
            <w:pPr>
              <w:widowControl/>
              <w:jc w:val="center"/>
              <w:textAlignment w:val="center"/>
              <w:rPr>
                <w:szCs w:val="21"/>
              </w:rPr>
            </w:pPr>
            <w:r>
              <w:rPr>
                <w:kern w:val="0"/>
                <w:szCs w:val="21"/>
                <w:lang w:bidi="ar"/>
              </w:rPr>
              <w:t>废脱硫剂</w:t>
            </w:r>
          </w:p>
        </w:tc>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14:paraId="23200F2C">
            <w:pPr>
              <w:widowControl/>
              <w:jc w:val="center"/>
              <w:rPr>
                <w:szCs w:val="21"/>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32C5708A">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3A449703">
            <w:pPr>
              <w:widowControl/>
              <w:jc w:val="center"/>
              <w:textAlignment w:val="center"/>
              <w:rPr>
                <w:szCs w:val="21"/>
              </w:rPr>
            </w:pPr>
            <w:r>
              <w:rPr>
                <w:kern w:val="0"/>
                <w:szCs w:val="21"/>
                <w:lang w:bidi="ar"/>
              </w:rPr>
              <w:t>氧化铁</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BF2AAFA">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62722AA5">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28A85D61">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03CE8C7B">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DD107AE">
            <w:pPr>
              <w:widowControl/>
              <w:jc w:val="center"/>
              <w:textAlignment w:val="center"/>
              <w:rPr>
                <w:szCs w:val="21"/>
              </w:rPr>
            </w:pPr>
            <w:r>
              <w:rPr>
                <w:kern w:val="0"/>
                <w:szCs w:val="21"/>
                <w:lang w:bidi="ar"/>
              </w:rPr>
              <w:t>0.3</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493C42ED">
            <w:pPr>
              <w:widowControl/>
              <w:jc w:val="center"/>
              <w:textAlignment w:val="center"/>
              <w:rPr>
                <w:szCs w:val="21"/>
              </w:rPr>
            </w:pPr>
            <w:r>
              <w:rPr>
                <w:kern w:val="0"/>
                <w:szCs w:val="21"/>
                <w:lang w:bidi="ar"/>
              </w:rPr>
              <w:t>统一收集由厂家回收</w:t>
            </w:r>
          </w:p>
        </w:tc>
      </w:tr>
      <w:tr w14:paraId="479D0EEE">
        <w:tblPrEx>
          <w:tblCellMar>
            <w:top w:w="0" w:type="dxa"/>
            <w:left w:w="108" w:type="dxa"/>
            <w:bottom w:w="0" w:type="dxa"/>
            <w:right w:w="108" w:type="dxa"/>
          </w:tblCellMar>
        </w:tblPrEx>
        <w:trPr>
          <w:trHeight w:val="1110"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52A2133F">
            <w:pPr>
              <w:widowControl/>
              <w:jc w:val="center"/>
              <w:textAlignment w:val="center"/>
              <w:rPr>
                <w:szCs w:val="21"/>
              </w:rPr>
            </w:pPr>
            <w:r>
              <w:rPr>
                <w:kern w:val="0"/>
                <w:szCs w:val="21"/>
                <w:lang w:bidi="ar"/>
              </w:rPr>
              <w:t>7</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44CF3E7D">
            <w:pPr>
              <w:widowControl/>
              <w:jc w:val="center"/>
              <w:textAlignment w:val="center"/>
              <w:rPr>
                <w:szCs w:val="21"/>
              </w:rPr>
            </w:pPr>
            <w:r>
              <w:rPr>
                <w:kern w:val="0"/>
                <w:szCs w:val="21"/>
                <w:lang w:bidi="ar"/>
              </w:rPr>
              <w:t>病死猪</w:t>
            </w:r>
          </w:p>
        </w:tc>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14:paraId="18423404">
            <w:pPr>
              <w:widowControl/>
              <w:jc w:val="center"/>
              <w:rPr>
                <w:szCs w:val="21"/>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47E0126E">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5220DAB1">
            <w:pPr>
              <w:widowControl/>
              <w:jc w:val="center"/>
              <w:textAlignment w:val="center"/>
              <w:rPr>
                <w:szCs w:val="21"/>
              </w:rPr>
            </w:pPr>
            <w:r>
              <w:rPr>
                <w:kern w:val="0"/>
                <w:szCs w:val="21"/>
                <w:lang w:bidi="ar"/>
              </w:rPr>
              <w:t>蛋白质、脂肪</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41E4A9C9">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367E9F47">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45D360F8">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A3CDAAC">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7EDA026">
            <w:pPr>
              <w:widowControl/>
              <w:jc w:val="center"/>
              <w:textAlignment w:val="center"/>
              <w:rPr>
                <w:szCs w:val="21"/>
              </w:rPr>
            </w:pPr>
            <w:r>
              <w:rPr>
                <w:kern w:val="0"/>
                <w:szCs w:val="21"/>
                <w:lang w:bidi="ar"/>
              </w:rPr>
              <w:t>20.384</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3478A7CD">
            <w:pPr>
              <w:widowControl/>
              <w:jc w:val="center"/>
              <w:textAlignment w:val="center"/>
              <w:rPr>
                <w:szCs w:val="21"/>
              </w:rPr>
            </w:pPr>
            <w:r>
              <w:rPr>
                <w:kern w:val="0"/>
                <w:szCs w:val="21"/>
                <w:lang w:bidi="ar"/>
              </w:rPr>
              <w:t>无害化处理后与猪粪一同进行好氧堆肥后用于企业自有苹果园施肥</w:t>
            </w:r>
          </w:p>
        </w:tc>
      </w:tr>
      <w:tr w14:paraId="1B67EE4F">
        <w:tblPrEx>
          <w:tblCellMar>
            <w:top w:w="0" w:type="dxa"/>
            <w:left w:w="108" w:type="dxa"/>
            <w:bottom w:w="0" w:type="dxa"/>
            <w:right w:w="108" w:type="dxa"/>
          </w:tblCellMar>
        </w:tblPrEx>
        <w:trPr>
          <w:trHeight w:val="478"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5D025D17">
            <w:pPr>
              <w:widowControl/>
              <w:jc w:val="center"/>
              <w:textAlignment w:val="center"/>
              <w:rPr>
                <w:szCs w:val="21"/>
              </w:rPr>
            </w:pPr>
            <w:r>
              <w:rPr>
                <w:kern w:val="0"/>
                <w:szCs w:val="21"/>
                <w:lang w:bidi="ar"/>
              </w:rPr>
              <w:t>8</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3E62C5AE">
            <w:pPr>
              <w:widowControl/>
              <w:jc w:val="center"/>
              <w:textAlignment w:val="center"/>
              <w:rPr>
                <w:szCs w:val="21"/>
              </w:rPr>
            </w:pPr>
            <w:r>
              <w:rPr>
                <w:kern w:val="0"/>
                <w:szCs w:val="21"/>
                <w:lang w:bidi="ar"/>
              </w:rPr>
              <w:t>职工生活垃圾</w:t>
            </w:r>
          </w:p>
        </w:tc>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14:paraId="6DA0B2C6">
            <w:pPr>
              <w:widowControl/>
              <w:jc w:val="center"/>
              <w:textAlignment w:val="center"/>
              <w:rPr>
                <w:szCs w:val="21"/>
              </w:rPr>
            </w:pPr>
            <w:r>
              <w:rPr>
                <w:kern w:val="0"/>
                <w:szCs w:val="21"/>
                <w:lang w:bidi="ar"/>
              </w:rPr>
              <w:t>生活垃圾</w:t>
            </w: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0F06CAEA">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24EB0945">
            <w:pPr>
              <w:widowControl/>
              <w:jc w:val="center"/>
              <w:textAlignment w:val="center"/>
              <w:rPr>
                <w:szCs w:val="21"/>
              </w:rPr>
            </w:pPr>
            <w:r>
              <w:rPr>
                <w:kern w:val="0"/>
                <w:szCs w:val="21"/>
                <w:lang w:bidi="ar"/>
              </w:rPr>
              <w:t>塑料、纸</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042F1EF4">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191B506A">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4DBCBEC3">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778DE321">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190AEC7D">
            <w:pPr>
              <w:widowControl/>
              <w:jc w:val="center"/>
              <w:textAlignment w:val="center"/>
              <w:rPr>
                <w:szCs w:val="21"/>
              </w:rPr>
            </w:pPr>
            <w:r>
              <w:rPr>
                <w:rFonts w:hint="eastAsia"/>
                <w:kern w:val="0"/>
                <w:szCs w:val="21"/>
                <w:lang w:bidi="ar"/>
              </w:rPr>
              <w:t>13.14</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187C0393">
            <w:pPr>
              <w:widowControl/>
              <w:jc w:val="center"/>
              <w:textAlignment w:val="center"/>
              <w:rPr>
                <w:szCs w:val="21"/>
              </w:rPr>
            </w:pPr>
            <w:r>
              <w:rPr>
                <w:kern w:val="0"/>
                <w:szCs w:val="21"/>
                <w:lang w:bidi="ar"/>
              </w:rPr>
              <w:t>统一收集，按当地环卫部门要求处置</w:t>
            </w:r>
          </w:p>
        </w:tc>
      </w:tr>
      <w:tr w14:paraId="4348C62B">
        <w:tblPrEx>
          <w:tblCellMar>
            <w:top w:w="0" w:type="dxa"/>
            <w:left w:w="108" w:type="dxa"/>
            <w:bottom w:w="0" w:type="dxa"/>
            <w:right w:w="108" w:type="dxa"/>
          </w:tblCellMar>
        </w:tblPrEx>
        <w:trPr>
          <w:trHeight w:val="570" w:hRule="atLeast"/>
          <w:jc w:val="center"/>
        </w:trPr>
        <w:tc>
          <w:tcPr>
            <w:tcW w:w="216" w:type="pct"/>
            <w:tcBorders>
              <w:top w:val="single" w:color="000000" w:sz="4" w:space="0"/>
              <w:left w:val="single" w:color="000000" w:sz="4" w:space="0"/>
              <w:bottom w:val="single" w:color="000000" w:sz="4" w:space="0"/>
              <w:right w:val="single" w:color="000000" w:sz="4" w:space="0"/>
            </w:tcBorders>
            <w:noWrap w:val="0"/>
            <w:vAlign w:val="center"/>
          </w:tcPr>
          <w:p w14:paraId="605AD5E8">
            <w:pPr>
              <w:widowControl/>
              <w:jc w:val="center"/>
              <w:textAlignment w:val="center"/>
              <w:rPr>
                <w:szCs w:val="21"/>
              </w:rPr>
            </w:pPr>
            <w:r>
              <w:rPr>
                <w:kern w:val="0"/>
                <w:szCs w:val="21"/>
                <w:lang w:bidi="ar"/>
              </w:rPr>
              <w:t>9</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5B0ACBB2">
            <w:pPr>
              <w:widowControl/>
              <w:jc w:val="center"/>
              <w:textAlignment w:val="center"/>
              <w:rPr>
                <w:szCs w:val="21"/>
              </w:rPr>
            </w:pPr>
            <w:r>
              <w:rPr>
                <w:kern w:val="0"/>
                <w:szCs w:val="21"/>
                <w:lang w:bidi="ar"/>
              </w:rPr>
              <w:t>食堂厨余垃圾</w:t>
            </w:r>
          </w:p>
        </w:tc>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14:paraId="570D058E">
            <w:pPr>
              <w:widowControl/>
              <w:jc w:val="center"/>
              <w:rPr>
                <w:szCs w:val="21"/>
              </w:rPr>
            </w:pPr>
          </w:p>
        </w:tc>
        <w:tc>
          <w:tcPr>
            <w:tcW w:w="219" w:type="pct"/>
            <w:tcBorders>
              <w:top w:val="single" w:color="000000" w:sz="4" w:space="0"/>
              <w:left w:val="single" w:color="000000" w:sz="4" w:space="0"/>
              <w:bottom w:val="single" w:color="000000" w:sz="4" w:space="0"/>
              <w:right w:val="single" w:color="000000" w:sz="4" w:space="0"/>
            </w:tcBorders>
            <w:noWrap/>
            <w:vAlign w:val="center"/>
          </w:tcPr>
          <w:p w14:paraId="45C0091F">
            <w:pPr>
              <w:widowControl/>
              <w:jc w:val="center"/>
              <w:textAlignment w:val="center"/>
              <w:rPr>
                <w:szCs w:val="21"/>
              </w:rPr>
            </w:pPr>
            <w:r>
              <w:rPr>
                <w:kern w:val="0"/>
                <w:szCs w:val="21"/>
                <w:lang w:bidi="ar"/>
              </w:rPr>
              <w:t>固</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45EA7BB2">
            <w:pPr>
              <w:widowControl/>
              <w:jc w:val="center"/>
              <w:textAlignment w:val="center"/>
              <w:rPr>
                <w:szCs w:val="21"/>
              </w:rPr>
            </w:pPr>
            <w:r>
              <w:rPr>
                <w:kern w:val="0"/>
                <w:szCs w:val="21"/>
                <w:lang w:bidi="ar"/>
              </w:rPr>
              <w:t>有机质</w:t>
            </w:r>
          </w:p>
        </w:tc>
        <w:tc>
          <w:tcPr>
            <w:tcW w:w="607" w:type="pct"/>
            <w:tcBorders>
              <w:top w:val="single" w:color="000000" w:sz="4" w:space="0"/>
              <w:left w:val="single" w:color="000000" w:sz="4" w:space="0"/>
              <w:bottom w:val="single" w:color="000000" w:sz="4" w:space="0"/>
              <w:right w:val="single" w:color="000000" w:sz="4" w:space="0"/>
            </w:tcBorders>
            <w:noWrap/>
            <w:vAlign w:val="center"/>
          </w:tcPr>
          <w:p w14:paraId="55CD6386">
            <w:pPr>
              <w:widowControl/>
              <w:jc w:val="center"/>
              <w:rPr>
                <w:szCs w:val="21"/>
              </w:rPr>
            </w:pPr>
            <w:r>
              <w:rPr>
                <w:szCs w:val="21"/>
              </w:rPr>
              <w:t>/</w:t>
            </w:r>
          </w:p>
        </w:tc>
        <w:tc>
          <w:tcPr>
            <w:tcW w:w="351" w:type="pct"/>
            <w:tcBorders>
              <w:top w:val="single" w:color="000000" w:sz="4" w:space="0"/>
              <w:left w:val="single" w:color="000000" w:sz="4" w:space="0"/>
              <w:bottom w:val="single" w:color="000000" w:sz="4" w:space="0"/>
              <w:right w:val="single" w:color="000000" w:sz="4" w:space="0"/>
            </w:tcBorders>
            <w:noWrap w:val="0"/>
            <w:vAlign w:val="center"/>
          </w:tcPr>
          <w:p w14:paraId="40D711B3">
            <w:pPr>
              <w:widowControl/>
              <w:jc w:val="center"/>
              <w:rPr>
                <w:szCs w:val="21"/>
              </w:rPr>
            </w:pPr>
            <w:r>
              <w:rPr>
                <w:szCs w:val="21"/>
              </w:rPr>
              <w:t>/</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1C9252F3">
            <w:pPr>
              <w:widowControl/>
              <w:jc w:val="center"/>
              <w:rPr>
                <w:szCs w:val="21"/>
              </w:rPr>
            </w:pPr>
            <w:r>
              <w:rPr>
                <w:szCs w:val="21"/>
              </w:rPr>
              <w:t>/</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14:paraId="34C4D008">
            <w:pPr>
              <w:widowControl/>
              <w:jc w:val="center"/>
              <w:rPr>
                <w:szCs w:val="21"/>
              </w:rPr>
            </w:pPr>
            <w:r>
              <w:rPr>
                <w:szCs w:val="21"/>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98142EE">
            <w:pPr>
              <w:widowControl/>
              <w:jc w:val="center"/>
              <w:textAlignment w:val="center"/>
              <w:rPr>
                <w:szCs w:val="21"/>
              </w:rPr>
            </w:pPr>
            <w:r>
              <w:rPr>
                <w:kern w:val="0"/>
                <w:szCs w:val="21"/>
                <w:lang w:bidi="ar"/>
              </w:rPr>
              <w:t>2.263</w:t>
            </w:r>
          </w:p>
        </w:tc>
        <w:tc>
          <w:tcPr>
            <w:tcW w:w="892" w:type="pct"/>
            <w:tcBorders>
              <w:top w:val="single" w:color="000000" w:sz="4" w:space="0"/>
              <w:left w:val="single" w:color="000000" w:sz="4" w:space="0"/>
              <w:bottom w:val="single" w:color="000000" w:sz="4" w:space="0"/>
              <w:right w:val="single" w:color="000000" w:sz="4" w:space="0"/>
            </w:tcBorders>
            <w:noWrap w:val="0"/>
            <w:vAlign w:val="center"/>
          </w:tcPr>
          <w:p w14:paraId="09A963FE">
            <w:pPr>
              <w:widowControl/>
              <w:jc w:val="center"/>
              <w:textAlignment w:val="center"/>
              <w:rPr>
                <w:szCs w:val="21"/>
              </w:rPr>
            </w:pPr>
            <w:r>
              <w:rPr>
                <w:kern w:val="0"/>
                <w:szCs w:val="21"/>
                <w:lang w:bidi="ar"/>
              </w:rPr>
              <w:t>作为生猪养殖饲料</w:t>
            </w:r>
          </w:p>
        </w:tc>
      </w:tr>
    </w:tbl>
    <w:p w14:paraId="769E3E39">
      <w:pPr>
        <w:spacing w:line="500" w:lineRule="exact"/>
        <w:ind w:firstLine="480" w:firstLineChars="200"/>
        <w:rPr>
          <w:bCs/>
          <w:sz w:val="24"/>
        </w:rPr>
        <w:sectPr>
          <w:pgSz w:w="16838" w:h="11906" w:orient="landscape"/>
          <w:pgMar w:top="1797" w:right="1440" w:bottom="1797" w:left="1361" w:header="851" w:footer="992" w:gutter="0"/>
          <w:cols w:space="720" w:num="1"/>
          <w:docGrid w:linePitch="312" w:charSpace="0"/>
        </w:sectPr>
      </w:pPr>
    </w:p>
    <w:p w14:paraId="2198293E">
      <w:pPr>
        <w:pStyle w:val="6"/>
        <w:spacing w:before="0" w:after="0" w:line="360" w:lineRule="auto"/>
        <w:rPr>
          <w:rFonts w:ascii="Times New Roman" w:hAnsi="Times New Roman" w:eastAsia="宋体"/>
          <w:sz w:val="30"/>
          <w:szCs w:val="30"/>
        </w:rPr>
      </w:pPr>
      <w:bookmarkStart w:id="80" w:name="_Toc12955154"/>
      <w:bookmarkStart w:id="81" w:name="_Toc12679"/>
      <w:r>
        <w:rPr>
          <w:rFonts w:ascii="Times New Roman" w:hAnsi="Times New Roman" w:eastAsia="宋体"/>
          <w:sz w:val="30"/>
          <w:szCs w:val="30"/>
        </w:rPr>
        <w:t>3.5非正常情况分析</w:t>
      </w:r>
      <w:bookmarkEnd w:id="80"/>
      <w:bookmarkEnd w:id="81"/>
    </w:p>
    <w:p w14:paraId="1FA9BA86">
      <w:pPr>
        <w:spacing w:line="360" w:lineRule="auto"/>
        <w:ind w:firstLine="480" w:firstLineChars="200"/>
        <w:jc w:val="left"/>
        <w:rPr>
          <w:bCs/>
          <w:kern w:val="0"/>
          <w:sz w:val="24"/>
        </w:rPr>
      </w:pPr>
      <w:r>
        <w:rPr>
          <w:kern w:val="0"/>
          <w:sz w:val="24"/>
        </w:rPr>
        <w:t>本次评价对最不利的情况进行分析，即污水处理站非正常运行情况下，厂区的全部污废水未经处理直接排入外环境，进入周边水体，项目产生废水未经处理情况下为高浓度有机废水，若直接排放将对项目区周边水体造成严重的污染。因此，必须保证废水的有效收集，确保污水处理站的正常运行，严禁污废水的事故排放</w:t>
      </w:r>
      <w:r>
        <w:rPr>
          <w:bCs/>
          <w:kern w:val="0"/>
          <w:sz w:val="24"/>
        </w:rPr>
        <w:t>。</w:t>
      </w:r>
    </w:p>
    <w:p w14:paraId="02B75814">
      <w:pPr>
        <w:spacing w:line="360" w:lineRule="auto"/>
        <w:ind w:firstLine="480" w:firstLineChars="200"/>
        <w:rPr>
          <w:bCs/>
          <w:sz w:val="24"/>
        </w:rPr>
      </w:pPr>
      <w:r>
        <w:rPr>
          <w:sz w:val="24"/>
        </w:rPr>
        <w:t>本项目总废水量</w:t>
      </w:r>
      <w:r>
        <w:rPr>
          <w:rFonts w:hint="eastAsia"/>
          <w:szCs w:val="21"/>
        </w:rPr>
        <w:t>90.5253</w:t>
      </w:r>
      <w:r>
        <w:rPr>
          <w:sz w:val="24"/>
        </w:rPr>
        <w:t>m</w:t>
      </w:r>
      <w:r>
        <w:rPr>
          <w:sz w:val="24"/>
          <w:vertAlign w:val="superscript"/>
        </w:rPr>
        <w:t>3</w:t>
      </w:r>
      <w:r>
        <w:rPr>
          <w:sz w:val="24"/>
        </w:rPr>
        <w:t>/d，</w:t>
      </w:r>
      <w:r>
        <w:rPr>
          <w:rFonts w:hint="eastAsia"/>
          <w:kern w:val="0"/>
          <w:sz w:val="24"/>
          <w:lang w:bidi="ar"/>
        </w:rPr>
        <w:t>9995.36</w:t>
      </w:r>
      <w:r>
        <w:rPr>
          <w:sz w:val="24"/>
        </w:rPr>
        <w:t>m</w:t>
      </w:r>
      <w:r>
        <w:rPr>
          <w:sz w:val="24"/>
          <w:vertAlign w:val="superscript"/>
        </w:rPr>
        <w:t>3</w:t>
      </w:r>
      <w:r>
        <w:rPr>
          <w:sz w:val="24"/>
        </w:rPr>
        <w:t>/a；</w:t>
      </w:r>
      <w:r>
        <w:rPr>
          <w:bCs/>
          <w:sz w:val="24"/>
        </w:rPr>
        <w:t>养殖舍粪尿暂存于猪舍下方的粪污池内，粪污池与猪舍相同长宽，深为1.2m，在距离池底0.8m处有底窗，最大可收集0.8m深的粪尿和冲洗废水，猪舍共面积总面积为44268.7m</w:t>
      </w:r>
      <w:r>
        <w:rPr>
          <w:bCs/>
          <w:sz w:val="24"/>
          <w:vertAlign w:val="superscript"/>
        </w:rPr>
        <w:t>2</w:t>
      </w:r>
      <w:r>
        <w:rPr>
          <w:bCs/>
          <w:sz w:val="24"/>
        </w:rPr>
        <w:t>，粪污池的容积为35414.96m</w:t>
      </w:r>
      <w:r>
        <w:rPr>
          <w:bCs/>
          <w:sz w:val="24"/>
          <w:vertAlign w:val="superscript"/>
        </w:rPr>
        <w:t>3</w:t>
      </w:r>
      <w:r>
        <w:rPr>
          <w:bCs/>
          <w:sz w:val="24"/>
        </w:rPr>
        <w:t>。当污水处理系统发生故障，废水可暂存在粪污池内</w:t>
      </w:r>
      <w:r>
        <w:rPr>
          <w:bCs/>
          <w:kern w:val="0"/>
          <w:sz w:val="24"/>
        </w:rPr>
        <w:t>，保证事故污水不会对周边地表水体产生污染影响</w:t>
      </w:r>
      <w:r>
        <w:rPr>
          <w:bCs/>
          <w:sz w:val="24"/>
        </w:rPr>
        <w:t>；另外，污水处理站前端的收集池、调节池均可存储一定时间的废水。因此，本项目不单独设置事故水池。</w:t>
      </w:r>
    </w:p>
    <w:p w14:paraId="14725AC4">
      <w:pPr>
        <w:spacing w:line="360" w:lineRule="auto"/>
        <w:ind w:firstLine="480" w:firstLineChars="200"/>
        <w:rPr>
          <w:sz w:val="24"/>
        </w:rPr>
      </w:pPr>
    </w:p>
    <w:p w14:paraId="382DFF6C">
      <w:pPr>
        <w:pStyle w:val="81"/>
        <w:adjustRightInd w:val="0"/>
        <w:spacing w:before="0" w:beforeAutospacing="0" w:after="0" w:afterAutospacing="0" w:line="360" w:lineRule="auto"/>
        <w:ind w:firstLine="480" w:firstLineChars="200"/>
        <w:rPr>
          <w:rFonts w:ascii="Times New Roman" w:hAnsi="Times New Roman" w:eastAsia="宋体"/>
          <w:color w:val="auto"/>
          <w:kern w:val="2"/>
        </w:rPr>
      </w:pPr>
    </w:p>
    <w:p w14:paraId="305235D8">
      <w:pPr>
        <w:pStyle w:val="81"/>
        <w:adjustRightInd w:val="0"/>
        <w:spacing w:before="0" w:beforeAutospacing="0" w:after="0" w:afterAutospacing="0" w:line="360" w:lineRule="auto"/>
        <w:ind w:firstLine="480" w:firstLineChars="200"/>
        <w:rPr>
          <w:rFonts w:ascii="Times New Roman" w:hAnsi="Times New Roman" w:eastAsia="宋体"/>
          <w:color w:val="auto"/>
          <w:kern w:val="2"/>
        </w:rPr>
        <w:sectPr>
          <w:pgSz w:w="11906" w:h="16838"/>
          <w:pgMar w:top="1361" w:right="1797" w:bottom="1440" w:left="1797" w:header="851" w:footer="992" w:gutter="0"/>
          <w:cols w:space="720" w:num="1"/>
          <w:docGrid w:linePitch="312" w:charSpace="0"/>
        </w:sectPr>
      </w:pPr>
    </w:p>
    <w:bookmarkEnd w:id="44"/>
    <w:p w14:paraId="5E2EF7E7">
      <w:pPr>
        <w:pStyle w:val="5"/>
        <w:spacing w:before="0" w:after="0" w:line="360" w:lineRule="auto"/>
        <w:rPr>
          <w:sz w:val="32"/>
          <w:szCs w:val="32"/>
        </w:rPr>
      </w:pPr>
      <w:bookmarkStart w:id="82" w:name="_Toc23893"/>
      <w:r>
        <w:rPr>
          <w:sz w:val="32"/>
          <w:szCs w:val="32"/>
        </w:rPr>
        <w:t>4环境现状调查与评价</w:t>
      </w:r>
      <w:bookmarkEnd w:id="82"/>
    </w:p>
    <w:p w14:paraId="3C755C3B">
      <w:pPr>
        <w:pStyle w:val="6"/>
        <w:spacing w:before="0" w:after="0" w:line="360" w:lineRule="auto"/>
        <w:rPr>
          <w:rFonts w:ascii="Times New Roman" w:hAnsi="Times New Roman" w:eastAsia="宋体"/>
          <w:sz w:val="30"/>
          <w:szCs w:val="30"/>
        </w:rPr>
      </w:pPr>
      <w:bookmarkStart w:id="83" w:name="_Toc30779"/>
      <w:bookmarkStart w:id="84" w:name="_Toc339009582"/>
      <w:r>
        <w:rPr>
          <w:rFonts w:ascii="Times New Roman" w:hAnsi="Times New Roman" w:eastAsia="宋体"/>
          <w:sz w:val="30"/>
          <w:szCs w:val="30"/>
        </w:rPr>
        <w:t>4.1自然环境概况</w:t>
      </w:r>
      <w:bookmarkEnd w:id="83"/>
      <w:bookmarkEnd w:id="84"/>
    </w:p>
    <w:p w14:paraId="16EF047B">
      <w:pPr>
        <w:pStyle w:val="7"/>
        <w:spacing w:before="0" w:after="0" w:line="360" w:lineRule="auto"/>
        <w:rPr>
          <w:rFonts w:ascii="Times New Roman" w:hAnsi="Times New Roman"/>
          <w:sz w:val="28"/>
          <w:szCs w:val="28"/>
        </w:rPr>
      </w:pPr>
      <w:r>
        <w:rPr>
          <w:rFonts w:ascii="Times New Roman" w:hAnsi="Times New Roman"/>
          <w:sz w:val="28"/>
          <w:szCs w:val="28"/>
        </w:rPr>
        <w:t>4.1.1地理位置</w:t>
      </w:r>
    </w:p>
    <w:p w14:paraId="1F8503D8">
      <w:pPr>
        <w:pStyle w:val="10"/>
        <w:spacing w:line="360" w:lineRule="auto"/>
        <w:ind w:firstLine="480"/>
        <w:rPr>
          <w:sz w:val="24"/>
        </w:rPr>
      </w:pPr>
      <w:r>
        <w:rPr>
          <w:sz w:val="24"/>
        </w:rPr>
        <w:t>石林彝族自治县位于云南省东部，昆明市东南部。其坐标为北纬24°30′～25°03′东经103°10′～103°41′。属昆明市管辖。东部和南部与红河哈尼族彝族自治州泸西县、弥勒县接壤，北部与曲靖市陆良县相邻，西部和西南部与宜良县毗连。距省会昆明78km，县城鹿阜镇海拔1679.8m。境内交通便捷，昆河高等级公路、南昆铁路从县境内通过。</w:t>
      </w:r>
    </w:p>
    <w:p w14:paraId="660C4C53">
      <w:pPr>
        <w:pStyle w:val="10"/>
        <w:spacing w:line="360" w:lineRule="auto"/>
        <w:ind w:firstLine="480"/>
        <w:rPr>
          <w:sz w:val="24"/>
        </w:rPr>
      </w:pPr>
      <w:r>
        <w:rPr>
          <w:sz w:val="24"/>
        </w:rPr>
        <w:t>石林源美养殖场项目位于石林彝族自治县圭山镇法块村委会法块村、普拉河村委会上寨村。项目具体地理位置见附图</w:t>
      </w:r>
      <w:r>
        <w:rPr>
          <w:rFonts w:hint="eastAsia"/>
          <w:sz w:val="24"/>
        </w:rPr>
        <w:t>3</w:t>
      </w:r>
      <w:r>
        <w:rPr>
          <w:sz w:val="24"/>
        </w:rPr>
        <w:t>。</w:t>
      </w:r>
    </w:p>
    <w:p w14:paraId="21E3BE91">
      <w:pPr>
        <w:pStyle w:val="7"/>
        <w:spacing w:before="0" w:after="0" w:line="360" w:lineRule="auto"/>
        <w:rPr>
          <w:rFonts w:ascii="Times New Roman" w:hAnsi="Times New Roman"/>
          <w:sz w:val="28"/>
          <w:szCs w:val="28"/>
        </w:rPr>
      </w:pPr>
      <w:r>
        <w:rPr>
          <w:rFonts w:ascii="Times New Roman" w:hAnsi="Times New Roman"/>
          <w:sz w:val="28"/>
          <w:szCs w:val="28"/>
        </w:rPr>
        <w:t>4.1.2 地形、地貌及地质</w:t>
      </w:r>
    </w:p>
    <w:p w14:paraId="10D33549">
      <w:pPr>
        <w:adjustRightInd w:val="0"/>
        <w:snapToGrid w:val="0"/>
        <w:spacing w:line="360" w:lineRule="auto"/>
        <w:ind w:firstLine="480" w:firstLineChars="200"/>
        <w:rPr>
          <w:sz w:val="24"/>
        </w:rPr>
      </w:pPr>
      <w:r>
        <w:rPr>
          <w:sz w:val="24"/>
        </w:rPr>
        <w:t>石林县境内大部分地区为滇东北高原的核心部分，高原面起伏和缓，切割轻微，石林、板桥、螺蛳塘等较大的坝子，夹在起伏不大的高原面上，东部老圭山海拔2601m为县内最高峰，巴江河谷最低海拔1500m。除了几座山脉主恬海拔较高，局部峡谷海拔较低外，80%的地区海拔在1000～2150m之间，相差500m，石林县大部分地区被石灰岩所覆盖，由于地下水的溶蚀，形成比较典型的岩溶地貌，其中以溶蚀洼地、石芽、高石芽及峰林孤峰较为普遍。</w:t>
      </w:r>
    </w:p>
    <w:p w14:paraId="2A7C5A84">
      <w:pPr>
        <w:pStyle w:val="10"/>
        <w:spacing w:line="360" w:lineRule="auto"/>
        <w:ind w:firstLine="480"/>
        <w:rPr>
          <w:sz w:val="24"/>
        </w:rPr>
      </w:pPr>
      <w:r>
        <w:rPr>
          <w:sz w:val="24"/>
        </w:rPr>
        <w:t>石林县位于滇东岩溶高原的核心部位，地质发育较为典型，构造复杂，断层节理发育。全县面积按地表地质分为：地表起伏平缓的岩溶地形带和以东部的杨梅山、圭山的中低山山地。其中出露上古生界碳酸盐岩及灰岩的地层约1427.5km</w:t>
      </w:r>
      <w:r>
        <w:rPr>
          <w:sz w:val="24"/>
          <w:vertAlign w:val="superscript"/>
        </w:rPr>
        <w:t>2</w:t>
      </w:r>
      <w:r>
        <w:rPr>
          <w:sz w:val="24"/>
        </w:rPr>
        <w:t>，占总面积的84.2%，其次是老三系紫砂岩，约249.3km</w:t>
      </w:r>
      <w:r>
        <w:rPr>
          <w:sz w:val="24"/>
          <w:vertAlign w:val="superscript"/>
        </w:rPr>
        <w:t>2</w:t>
      </w:r>
      <w:r>
        <w:rPr>
          <w:sz w:val="24"/>
        </w:rPr>
        <w:t>，占总面积的14.7%。</w:t>
      </w:r>
    </w:p>
    <w:p w14:paraId="765228D0">
      <w:pPr>
        <w:pStyle w:val="7"/>
        <w:spacing w:before="0" w:after="0" w:line="360" w:lineRule="auto"/>
        <w:rPr>
          <w:rFonts w:ascii="Times New Roman" w:hAnsi="Times New Roman"/>
          <w:sz w:val="28"/>
          <w:szCs w:val="28"/>
        </w:rPr>
      </w:pPr>
      <w:r>
        <w:rPr>
          <w:rFonts w:ascii="Times New Roman" w:hAnsi="Times New Roman"/>
          <w:sz w:val="28"/>
          <w:szCs w:val="28"/>
        </w:rPr>
        <w:t>4.1.3 气候、气象</w:t>
      </w:r>
    </w:p>
    <w:p w14:paraId="61B67E7D">
      <w:pPr>
        <w:spacing w:line="360" w:lineRule="auto"/>
        <w:ind w:firstLine="496" w:firstLineChars="200"/>
        <w:rPr>
          <w:spacing w:val="4"/>
          <w:sz w:val="24"/>
        </w:rPr>
      </w:pPr>
      <w:r>
        <w:rPr>
          <w:spacing w:val="4"/>
          <w:sz w:val="24"/>
        </w:rPr>
        <w:t>石林县地处低纬度、高海拔地区，属亚热带季风气候。夏季受来自孟加拉湾的西南暖湿气流和北部湾东南暖湿气流的影响，水汽充沛，降水充足；冬季受来自印巴大陆干暖气流和西北利亚寒流的影响，空气干燥，降水较少。石林县气候总体呈现出“夏无酷暑，冬无严寒，四季如春，干湿分明，立体气候显著”的特点。每年5月至10月为雨季，降水量约占全年降水总量的85%，11月至次年4月为旱季，降水量约占全年降水量的15%。由于全县境内地势东高西低，气温随地形的变化明显，气温的分布自东向西逐渐增高。</w:t>
      </w:r>
    </w:p>
    <w:p w14:paraId="7B8EA3CD">
      <w:pPr>
        <w:pStyle w:val="10"/>
        <w:spacing w:line="360" w:lineRule="auto"/>
        <w:ind w:firstLine="496"/>
        <w:rPr>
          <w:sz w:val="24"/>
        </w:rPr>
      </w:pPr>
      <w:r>
        <w:rPr>
          <w:spacing w:val="4"/>
          <w:sz w:val="24"/>
        </w:rPr>
        <w:t>根据石林气象站观测资料统计，多年平均气温17</w:t>
      </w:r>
      <w:r>
        <w:rPr>
          <w:spacing w:val="4"/>
          <w:kern w:val="0"/>
          <w:sz w:val="24"/>
        </w:rPr>
        <w:t>℃（2009年~2019年）</w:t>
      </w:r>
      <w:r>
        <w:rPr>
          <w:spacing w:val="4"/>
          <w:sz w:val="24"/>
        </w:rPr>
        <w:t>，多年平均降水量91.4mm</w:t>
      </w:r>
      <w:r>
        <w:rPr>
          <w:spacing w:val="4"/>
          <w:kern w:val="0"/>
          <w:sz w:val="24"/>
        </w:rPr>
        <w:t>（2009年~2019年）</w:t>
      </w:r>
      <w:r>
        <w:rPr>
          <w:spacing w:val="4"/>
          <w:sz w:val="24"/>
        </w:rPr>
        <w:t>。</w:t>
      </w:r>
    </w:p>
    <w:p w14:paraId="3C28F5D4">
      <w:pPr>
        <w:pStyle w:val="7"/>
        <w:spacing w:before="0" w:after="0" w:line="360" w:lineRule="auto"/>
        <w:rPr>
          <w:rFonts w:ascii="Times New Roman" w:hAnsi="Times New Roman"/>
          <w:sz w:val="28"/>
          <w:szCs w:val="28"/>
        </w:rPr>
      </w:pPr>
      <w:r>
        <w:rPr>
          <w:rFonts w:ascii="Times New Roman" w:hAnsi="Times New Roman"/>
          <w:sz w:val="28"/>
          <w:szCs w:val="28"/>
        </w:rPr>
        <w:t>4.1.4 水文</w:t>
      </w:r>
    </w:p>
    <w:p w14:paraId="306A350C">
      <w:pPr>
        <w:adjustRightInd w:val="0"/>
        <w:snapToGrid w:val="0"/>
        <w:spacing w:line="360" w:lineRule="auto"/>
        <w:ind w:firstLine="480" w:firstLineChars="200"/>
        <w:rPr>
          <w:sz w:val="24"/>
        </w:rPr>
      </w:pPr>
      <w:r>
        <w:rPr>
          <w:sz w:val="24"/>
        </w:rPr>
        <w:t>石林地区水体可分为地表水体和地下水。石林境内属珠江上游的南盘江流域，主要河流有南盘江、巴江、普拉河、大可河等。石林地区的主要河流是巴江，大可河为其下游支流。南盘江、普拉河是石林地区边缘河流。石林地区还有长湖、月湖、圆湖等80多个天然湖泊；有黑龙潭、白龙潭、疯龙潭等大小龙潭、泉点50多个，已探明的地下暗河9条；团结水库、黑龙潭水库等大小水库80多座，其他坝塘近百个。</w:t>
      </w:r>
    </w:p>
    <w:p w14:paraId="4F46C06D">
      <w:pPr>
        <w:spacing w:line="360" w:lineRule="auto"/>
        <w:ind w:left="-2" w:leftChars="-1" w:firstLine="460" w:firstLineChars="192"/>
        <w:rPr>
          <w:sz w:val="24"/>
        </w:rPr>
      </w:pPr>
      <w:r>
        <w:rPr>
          <w:sz w:val="24"/>
        </w:rPr>
        <w:t>（1）河流</w:t>
      </w:r>
    </w:p>
    <w:p w14:paraId="53C74B77">
      <w:pPr>
        <w:spacing w:line="360" w:lineRule="auto"/>
        <w:ind w:left="-2" w:leftChars="-1" w:firstLine="460" w:firstLineChars="192"/>
        <w:rPr>
          <w:sz w:val="24"/>
        </w:rPr>
      </w:pPr>
      <w:r>
        <w:rPr>
          <w:sz w:val="24"/>
        </w:rPr>
        <w:t>石林县境内主要河流有南盘江、巴江和甸溪河，其中，巴江和甸溪河均为南盘江一级支流。</w:t>
      </w:r>
    </w:p>
    <w:p w14:paraId="39CF5573">
      <w:pPr>
        <w:spacing w:line="360" w:lineRule="auto"/>
        <w:ind w:left="-2" w:leftChars="-1" w:firstLine="460" w:firstLineChars="192"/>
        <w:rPr>
          <w:sz w:val="24"/>
        </w:rPr>
      </w:pPr>
      <w:r>
        <w:rPr>
          <w:sz w:val="24"/>
        </w:rPr>
        <w:t>南盘江：发源于曲靖市沾益马雄山，流经曲靖、陆良在县境北部磨古入境至小圭山大箐口出境，县内河长15.5km，全系峡谷地段。县内尚有老木凹、芭茅、西街口、大哨桃树凹河及水尾河等小支流分别通过陆良、宜良及弥勒县境再汇入南盘江。</w:t>
      </w:r>
    </w:p>
    <w:p w14:paraId="792324A3">
      <w:pPr>
        <w:spacing w:line="360" w:lineRule="auto"/>
        <w:ind w:left="-2" w:leftChars="-1" w:firstLine="460" w:firstLineChars="192"/>
        <w:rPr>
          <w:sz w:val="24"/>
        </w:rPr>
      </w:pPr>
      <w:r>
        <w:rPr>
          <w:sz w:val="24"/>
        </w:rPr>
        <w:t>巴江：属南盘江流域一级支流。发源于北大村山头上对角山山神庙峰。自北向南流经石林街道办事处、鹿阜镇、板桥镇，在天生桥有西坝龙潭汇入，至鹿阜镇与黑龙潭河相汇。因黑龙潭两泉眼出处水流呈巴字型转出山凹，故得名。主要支流有黑龙潭河、西河、几湾河、马料河、大可河，从大叠水流出县境至禄丰村汇入南盘江。县境内河长48.2km，上游河道弯曲狭窄，中游为巴江盆地，下段河谷窄深流急，形成落差87.8m大叠水瀑布。大可河是巴江最大支流，位于县境南部，发源于弥勒县基洛山，在平田村入境，自南向北流经南大村、大可、矣马伴，到小叠水汇入巴江。县内河长27.7km。</w:t>
      </w:r>
    </w:p>
    <w:p w14:paraId="63B0D2A7">
      <w:pPr>
        <w:spacing w:line="360" w:lineRule="auto"/>
        <w:ind w:firstLine="480" w:firstLineChars="200"/>
        <w:rPr>
          <w:spacing w:val="6"/>
          <w:kern w:val="0"/>
          <w:sz w:val="24"/>
        </w:rPr>
      </w:pPr>
      <w:r>
        <w:rPr>
          <w:sz w:val="24"/>
        </w:rPr>
        <w:t>甸溪河：属南盘江一级支流，位于县境东部圭山东麓，发源于师宗县雄壁。自汪家河入境，在弥勒县汇入南盘江。在县境内上段称汪家河，下段称普拉河，出境后在弥勒县境内称甸溪河，县境河长28.0km，均系峡谷地段。</w:t>
      </w:r>
    </w:p>
    <w:p w14:paraId="34772166">
      <w:pPr>
        <w:spacing w:line="360" w:lineRule="auto"/>
        <w:ind w:left="-2" w:leftChars="-1" w:firstLine="460" w:firstLineChars="192"/>
        <w:rPr>
          <w:sz w:val="24"/>
        </w:rPr>
      </w:pPr>
      <w:r>
        <w:rPr>
          <w:sz w:val="24"/>
        </w:rPr>
        <w:t>项目区位于石林县东部，所在位置属于普拉河流域，项目区距离普拉河最近距离约50m，区域地表水系由北向南汇集，最终进入普拉河。</w:t>
      </w:r>
    </w:p>
    <w:p w14:paraId="32364FE6">
      <w:pPr>
        <w:pStyle w:val="2191"/>
        <w:snapToGrid w:val="0"/>
        <w:spacing w:line="360" w:lineRule="auto"/>
        <w:ind w:firstLine="480" w:firstLineChars="200"/>
        <w:rPr>
          <w:sz w:val="24"/>
        </w:rPr>
      </w:pPr>
      <w:r>
        <w:rPr>
          <w:sz w:val="24"/>
          <w:szCs w:val="24"/>
        </w:rPr>
        <w:t>项目区域水系图详见附图</w:t>
      </w:r>
      <w:r>
        <w:rPr>
          <w:rFonts w:hint="eastAsia"/>
          <w:sz w:val="24"/>
          <w:szCs w:val="24"/>
        </w:rPr>
        <w:t>4</w:t>
      </w:r>
      <w:r>
        <w:rPr>
          <w:sz w:val="24"/>
          <w:szCs w:val="24"/>
        </w:rPr>
        <w:t>。</w:t>
      </w:r>
    </w:p>
    <w:p w14:paraId="5947A9A2">
      <w:pPr>
        <w:pStyle w:val="7"/>
        <w:spacing w:before="0" w:after="0" w:line="360" w:lineRule="auto"/>
        <w:rPr>
          <w:rFonts w:ascii="Times New Roman" w:hAnsi="Times New Roman"/>
          <w:sz w:val="28"/>
          <w:szCs w:val="28"/>
        </w:rPr>
      </w:pPr>
      <w:r>
        <w:rPr>
          <w:rFonts w:ascii="Times New Roman" w:hAnsi="Times New Roman"/>
          <w:sz w:val="28"/>
          <w:szCs w:val="28"/>
        </w:rPr>
        <w:t>4.1.5水文地质</w:t>
      </w:r>
    </w:p>
    <w:p w14:paraId="24212DB7">
      <w:pPr>
        <w:spacing w:line="360" w:lineRule="auto"/>
        <w:ind w:left="-2" w:leftChars="-1" w:firstLine="460" w:firstLineChars="192"/>
        <w:rPr>
          <w:kern w:val="10"/>
          <w:sz w:val="24"/>
        </w:rPr>
      </w:pPr>
      <w:r>
        <w:rPr>
          <w:kern w:val="10"/>
          <w:sz w:val="24"/>
        </w:rPr>
        <w:t>石林县属云贵高原的一部分，大体上呈北高南低，东高西低之势，一般海拔在1900m～2000m，山脉多呈北东及北北东方向延伸，南盘江水系为本区主要水系，区内有规模不等的山间盆地、河谷平原镶嵌其间。</w:t>
      </w:r>
    </w:p>
    <w:p w14:paraId="604B23E4">
      <w:pPr>
        <w:spacing w:line="360" w:lineRule="auto"/>
        <w:ind w:left="-2" w:leftChars="-1" w:firstLine="460" w:firstLineChars="192"/>
        <w:rPr>
          <w:kern w:val="10"/>
          <w:sz w:val="24"/>
        </w:rPr>
      </w:pPr>
      <w:r>
        <w:rPr>
          <w:kern w:val="10"/>
          <w:sz w:val="24"/>
        </w:rPr>
        <w:t>（一）地层</w:t>
      </w:r>
    </w:p>
    <w:p w14:paraId="1DC1D880">
      <w:pPr>
        <w:spacing w:line="360" w:lineRule="auto"/>
        <w:ind w:left="-2" w:leftChars="-1" w:firstLine="460" w:firstLineChars="192"/>
        <w:rPr>
          <w:kern w:val="10"/>
          <w:sz w:val="24"/>
        </w:rPr>
      </w:pPr>
      <w:r>
        <w:rPr>
          <w:kern w:val="10"/>
          <w:sz w:val="24"/>
        </w:rPr>
        <w:t>区内地层出露较齐全，从元古界昆阳群至新生界第三系、第四系均有出露，各类岩石地层出露齐全，各组灰岩溶蚀强烈，各种典型的岩溶地貌均有较强的发育，该岩石含水丰富，于盆地部位易形成承压水或自流水；以泥岩为主的岩层、岩性软弱，易风化破碎，含水微弱，为区内相对隔水边界，其它以砂质岩为主的岩层，岩性坚硬，含中等及较弱的裂隙水，测区内出露的地层从老至新分述如下：</w:t>
      </w:r>
    </w:p>
    <w:p w14:paraId="2D4942BD">
      <w:pPr>
        <w:spacing w:line="360" w:lineRule="auto"/>
        <w:ind w:left="-2" w:leftChars="-1" w:firstLine="460" w:firstLineChars="192"/>
        <w:rPr>
          <w:kern w:val="10"/>
          <w:sz w:val="24"/>
        </w:rPr>
      </w:pPr>
      <w:r>
        <w:rPr>
          <w:kern w:val="10"/>
          <w:sz w:val="24"/>
        </w:rPr>
        <w:t>①昆阳群：主要出露黑头山组（Pt</w:t>
      </w:r>
      <w:r>
        <w:rPr>
          <w:kern w:val="10"/>
          <w:sz w:val="24"/>
          <w:vertAlign w:val="subscript"/>
        </w:rPr>
        <w:t>1</w:t>
      </w:r>
      <w:r>
        <w:rPr>
          <w:kern w:val="10"/>
          <w:sz w:val="24"/>
          <w:vertAlign w:val="superscript"/>
        </w:rPr>
        <w:t>hs</w:t>
      </w:r>
      <w:r>
        <w:rPr>
          <w:kern w:val="10"/>
          <w:sz w:val="24"/>
        </w:rPr>
        <w:t>）、牛头山组下段（Ptn</w:t>
      </w:r>
      <w:r>
        <w:rPr>
          <w:kern w:val="10"/>
          <w:sz w:val="24"/>
          <w:vertAlign w:val="superscript"/>
        </w:rPr>
        <w:t>a</w:t>
      </w:r>
      <w:r>
        <w:rPr>
          <w:kern w:val="10"/>
          <w:sz w:val="24"/>
        </w:rPr>
        <w:t>）、牛头山组中段（Ptn</w:t>
      </w:r>
      <w:r>
        <w:rPr>
          <w:kern w:val="10"/>
          <w:sz w:val="24"/>
          <w:vertAlign w:val="superscript"/>
        </w:rPr>
        <w:t>b</w:t>
      </w:r>
      <w:r>
        <w:rPr>
          <w:kern w:val="10"/>
          <w:sz w:val="24"/>
        </w:rPr>
        <w:t>），分布于北东部、东部。</w:t>
      </w:r>
    </w:p>
    <w:p w14:paraId="63BFAF8A">
      <w:pPr>
        <w:spacing w:line="360" w:lineRule="auto"/>
        <w:ind w:left="-2" w:leftChars="-1" w:firstLine="460" w:firstLineChars="192"/>
        <w:rPr>
          <w:kern w:val="10"/>
          <w:sz w:val="24"/>
        </w:rPr>
      </w:pPr>
      <w:r>
        <w:rPr>
          <w:kern w:val="10"/>
          <w:sz w:val="24"/>
        </w:rPr>
        <w:t>黑头山组（Pt</w:t>
      </w:r>
      <w:r>
        <w:rPr>
          <w:kern w:val="10"/>
          <w:sz w:val="24"/>
          <w:vertAlign w:val="subscript"/>
        </w:rPr>
        <w:t>1</w:t>
      </w:r>
      <w:r>
        <w:rPr>
          <w:kern w:val="10"/>
          <w:sz w:val="24"/>
          <w:vertAlign w:val="superscript"/>
        </w:rPr>
        <w:t>hs</w:t>
      </w:r>
      <w:r>
        <w:rPr>
          <w:kern w:val="10"/>
          <w:sz w:val="24"/>
        </w:rPr>
        <w:t>）岩性为黄、灰绿色绢云板岩，粉砂岩夹炭质板岩、细砂岩，具类复理式韵律，厚度&gt;685m。</w:t>
      </w:r>
    </w:p>
    <w:p w14:paraId="0C9A050D">
      <w:pPr>
        <w:spacing w:line="360" w:lineRule="auto"/>
        <w:ind w:left="-2" w:leftChars="-1" w:firstLine="460" w:firstLineChars="192"/>
        <w:rPr>
          <w:kern w:val="10"/>
          <w:sz w:val="24"/>
        </w:rPr>
      </w:pPr>
      <w:r>
        <w:rPr>
          <w:kern w:val="10"/>
          <w:sz w:val="24"/>
        </w:rPr>
        <w:t>牛头山组下段（Ptn</w:t>
      </w:r>
      <w:r>
        <w:rPr>
          <w:kern w:val="10"/>
          <w:sz w:val="24"/>
          <w:vertAlign w:val="superscript"/>
        </w:rPr>
        <w:t>a</w:t>
      </w:r>
      <w:r>
        <w:rPr>
          <w:kern w:val="10"/>
          <w:sz w:val="24"/>
        </w:rPr>
        <w:t>）岩性为深灰、灰紫色绢云板岩，粉砂岩夹细砂岩，流纹质凝灰岩，具类复理式韵律，厚度265m～&gt;520m。</w:t>
      </w:r>
    </w:p>
    <w:p w14:paraId="02FCDC1A">
      <w:pPr>
        <w:spacing w:line="360" w:lineRule="auto"/>
        <w:ind w:left="-2" w:leftChars="-1" w:firstLine="460" w:firstLineChars="192"/>
        <w:rPr>
          <w:kern w:val="10"/>
          <w:sz w:val="24"/>
        </w:rPr>
      </w:pPr>
      <w:r>
        <w:rPr>
          <w:kern w:val="10"/>
          <w:sz w:val="24"/>
        </w:rPr>
        <w:t>牛头山组中段（Ptn</w:t>
      </w:r>
      <w:r>
        <w:rPr>
          <w:kern w:val="10"/>
          <w:sz w:val="24"/>
          <w:vertAlign w:val="superscript"/>
        </w:rPr>
        <w:t>b</w:t>
      </w:r>
      <w:r>
        <w:rPr>
          <w:kern w:val="10"/>
          <w:sz w:val="24"/>
        </w:rPr>
        <w:t>）岩性为灰红、淡黄、紫灰色细和中粒长石石英砂岩、石英砂岩夹粉砂岩、绢云板岩、局部夹酸性凝灰岩，厚度580m。</w:t>
      </w:r>
    </w:p>
    <w:p w14:paraId="4648C798">
      <w:pPr>
        <w:spacing w:line="360" w:lineRule="auto"/>
        <w:ind w:left="-2" w:leftChars="-1" w:firstLine="460" w:firstLineChars="192"/>
        <w:rPr>
          <w:kern w:val="10"/>
          <w:sz w:val="24"/>
        </w:rPr>
      </w:pPr>
      <w:r>
        <w:rPr>
          <w:kern w:val="10"/>
          <w:sz w:val="24"/>
        </w:rPr>
        <w:t>②震旦系：主要出露震旦系上统南陀组（Zbn）、陡山陀组（Zbd）及灯影组（Zbdn），分布于北部；</w:t>
      </w:r>
    </w:p>
    <w:p w14:paraId="284D5855">
      <w:pPr>
        <w:spacing w:line="360" w:lineRule="auto"/>
        <w:ind w:left="-2" w:leftChars="-1" w:firstLine="460" w:firstLineChars="192"/>
        <w:rPr>
          <w:kern w:val="10"/>
          <w:sz w:val="24"/>
        </w:rPr>
      </w:pPr>
      <w:r>
        <w:rPr>
          <w:kern w:val="10"/>
          <w:sz w:val="24"/>
        </w:rPr>
        <w:t>南陀组（Zbn）岩性为上为紫红色粉砂质页岩夹细、粉砂岩；下为紫红色冰碛砾岩，厚度16m～252m。</w:t>
      </w:r>
    </w:p>
    <w:p w14:paraId="582F297E">
      <w:pPr>
        <w:spacing w:line="360" w:lineRule="auto"/>
        <w:ind w:left="-2" w:leftChars="-1" w:firstLine="460" w:firstLineChars="192"/>
        <w:rPr>
          <w:kern w:val="10"/>
          <w:sz w:val="24"/>
        </w:rPr>
      </w:pPr>
      <w:r>
        <w:rPr>
          <w:kern w:val="10"/>
          <w:sz w:val="24"/>
        </w:rPr>
        <w:t>陡山陀组（Zbd）岩性为白、灰白色石英砂岩夹石英细砾岩，厚度111m。</w:t>
      </w:r>
    </w:p>
    <w:p w14:paraId="73B6E4E6">
      <w:pPr>
        <w:spacing w:line="360" w:lineRule="auto"/>
        <w:ind w:left="-2" w:leftChars="-1" w:firstLine="460" w:firstLineChars="192"/>
        <w:rPr>
          <w:kern w:val="10"/>
          <w:sz w:val="24"/>
        </w:rPr>
      </w:pPr>
      <w:r>
        <w:rPr>
          <w:kern w:val="10"/>
          <w:sz w:val="24"/>
        </w:rPr>
        <w:t>灯影组（Zbdn）岩性为灰白、深灰色白云岩夹灰岩和硅质条带，厚度396m。</w:t>
      </w:r>
    </w:p>
    <w:p w14:paraId="6BE8C396">
      <w:pPr>
        <w:spacing w:line="360" w:lineRule="auto"/>
        <w:ind w:left="-2" w:leftChars="-1" w:firstLine="460" w:firstLineChars="192"/>
        <w:rPr>
          <w:kern w:val="10"/>
          <w:sz w:val="24"/>
        </w:rPr>
      </w:pPr>
      <w:r>
        <w:rPr>
          <w:bCs/>
          <w:kern w:val="10"/>
          <w:sz w:val="24"/>
        </w:rPr>
        <w:t>③寒武系：</w:t>
      </w:r>
      <w:r>
        <w:rPr>
          <w:kern w:val="10"/>
          <w:sz w:val="24"/>
        </w:rPr>
        <w:t>主要出露有寒武系下统渔户村组、筇竹寺组、沧浪铺组、龙王庙组，</w:t>
      </w:r>
      <w:r>
        <w:rPr>
          <w:bCs/>
          <w:kern w:val="10"/>
          <w:sz w:val="24"/>
        </w:rPr>
        <w:t>分布于西、北西部。</w:t>
      </w:r>
    </w:p>
    <w:p w14:paraId="20B9715B">
      <w:pPr>
        <w:spacing w:line="360" w:lineRule="auto"/>
        <w:ind w:left="-2" w:leftChars="-1" w:firstLine="460" w:firstLineChars="192"/>
        <w:rPr>
          <w:kern w:val="10"/>
          <w:sz w:val="24"/>
        </w:rPr>
      </w:pPr>
      <w:r>
        <w:rPr>
          <w:kern w:val="10"/>
          <w:sz w:val="24"/>
        </w:rPr>
        <w:t>渔户村组(∈</w:t>
      </w:r>
      <w:r>
        <w:rPr>
          <w:kern w:val="10"/>
          <w:sz w:val="24"/>
          <w:vertAlign w:val="subscript"/>
        </w:rPr>
        <w:t>l</w:t>
      </w:r>
      <w:r>
        <w:rPr>
          <w:kern w:val="10"/>
          <w:sz w:val="24"/>
        </w:rPr>
        <w:t>y)岩性为灰、灰黑色粉砂岩、（含磷）钙质粉砂岩、粉砂质页岩、白云岩夹磷块岩，厚度49m～142m。</w:t>
      </w:r>
    </w:p>
    <w:p w14:paraId="5064AFC9">
      <w:pPr>
        <w:spacing w:line="360" w:lineRule="auto"/>
        <w:ind w:left="-2" w:leftChars="-1" w:firstLine="460" w:firstLineChars="192"/>
        <w:rPr>
          <w:kern w:val="10"/>
          <w:sz w:val="24"/>
        </w:rPr>
      </w:pPr>
      <w:r>
        <w:rPr>
          <w:kern w:val="10"/>
          <w:sz w:val="24"/>
        </w:rPr>
        <w:t>筇竹寺组(∈</w:t>
      </w:r>
      <w:r>
        <w:rPr>
          <w:kern w:val="10"/>
          <w:sz w:val="24"/>
          <w:vertAlign w:val="subscript"/>
        </w:rPr>
        <w:t>l</w:t>
      </w:r>
      <w:r>
        <w:rPr>
          <w:kern w:val="10"/>
          <w:sz w:val="24"/>
        </w:rPr>
        <w:t>q)岩性为黑色、钢灰色页岩夹中层状细砂岩，厚度0～272m。</w:t>
      </w:r>
    </w:p>
    <w:p w14:paraId="69DDE1E3">
      <w:pPr>
        <w:spacing w:line="360" w:lineRule="auto"/>
        <w:ind w:left="-2" w:leftChars="-1" w:firstLine="460" w:firstLineChars="192"/>
        <w:rPr>
          <w:kern w:val="10"/>
          <w:sz w:val="24"/>
        </w:rPr>
      </w:pPr>
      <w:r>
        <w:rPr>
          <w:kern w:val="10"/>
          <w:sz w:val="24"/>
        </w:rPr>
        <w:t>沧浪铺组(∈</w:t>
      </w:r>
      <w:r>
        <w:rPr>
          <w:kern w:val="10"/>
          <w:sz w:val="24"/>
          <w:vertAlign w:val="subscript"/>
        </w:rPr>
        <w:t>l</w:t>
      </w:r>
      <w:r>
        <w:rPr>
          <w:kern w:val="10"/>
          <w:sz w:val="24"/>
        </w:rPr>
        <w:t>c)岩性上部为石英砂岩，中部以砂质页岩为主，下部为石英砂岩夹砂质页岩，厚度0～250m。</w:t>
      </w:r>
    </w:p>
    <w:p w14:paraId="264AFE26">
      <w:pPr>
        <w:spacing w:line="360" w:lineRule="auto"/>
        <w:ind w:left="-2" w:leftChars="-1" w:firstLine="460" w:firstLineChars="192"/>
        <w:rPr>
          <w:bCs/>
          <w:kern w:val="10"/>
          <w:sz w:val="24"/>
        </w:rPr>
      </w:pPr>
      <w:r>
        <w:rPr>
          <w:kern w:val="10"/>
          <w:sz w:val="24"/>
        </w:rPr>
        <w:t>龙王庙组(∈</w:t>
      </w:r>
      <w:r>
        <w:rPr>
          <w:kern w:val="10"/>
          <w:sz w:val="24"/>
          <w:vertAlign w:val="subscript"/>
        </w:rPr>
        <w:t>1</w:t>
      </w:r>
      <w:r>
        <w:rPr>
          <w:i/>
          <w:iCs/>
          <w:kern w:val="10"/>
          <w:sz w:val="24"/>
        </w:rPr>
        <w:t>l</w:t>
      </w:r>
      <w:r>
        <w:rPr>
          <w:kern w:val="10"/>
          <w:sz w:val="24"/>
        </w:rPr>
        <w:t>)岩性为灰色中厚层白云岩、泥质白云岩夹粉砂岩、页岩，厚度71m～16lm。与上覆志留系地层断层接触。</w:t>
      </w:r>
    </w:p>
    <w:p w14:paraId="62D653EC">
      <w:pPr>
        <w:spacing w:line="360" w:lineRule="auto"/>
        <w:ind w:left="-2" w:leftChars="-1" w:firstLine="460" w:firstLineChars="192"/>
        <w:rPr>
          <w:kern w:val="10"/>
          <w:sz w:val="24"/>
        </w:rPr>
      </w:pPr>
      <w:r>
        <w:rPr>
          <w:bCs/>
          <w:kern w:val="10"/>
          <w:sz w:val="24"/>
        </w:rPr>
        <w:t>④志留系：分布于路南盆地北东、东部。</w:t>
      </w:r>
      <w:r>
        <w:rPr>
          <w:kern w:val="10"/>
          <w:sz w:val="24"/>
        </w:rPr>
        <w:t>仅出露中统马龙群、上统玉龙寺组地层。</w:t>
      </w:r>
    </w:p>
    <w:p w14:paraId="70880480">
      <w:pPr>
        <w:spacing w:line="360" w:lineRule="auto"/>
        <w:ind w:left="-2" w:leftChars="-1" w:firstLine="460" w:firstLineChars="192"/>
        <w:rPr>
          <w:kern w:val="10"/>
          <w:sz w:val="24"/>
        </w:rPr>
      </w:pPr>
      <w:r>
        <w:rPr>
          <w:kern w:val="10"/>
          <w:sz w:val="24"/>
        </w:rPr>
        <w:t>马龙群(S</w:t>
      </w:r>
      <w:r>
        <w:rPr>
          <w:kern w:val="10"/>
          <w:sz w:val="24"/>
          <w:vertAlign w:val="subscript"/>
        </w:rPr>
        <w:t>2</w:t>
      </w:r>
      <w:r>
        <w:rPr>
          <w:kern w:val="10"/>
          <w:sz w:val="24"/>
        </w:rPr>
        <w:t>m)岩性为中厚层灰岩、白云岩、瘤状灰岩夹页岩、钙质砂岩、泥灰岩，厚度149m～724m。</w:t>
      </w:r>
    </w:p>
    <w:p w14:paraId="6261C3C5">
      <w:pPr>
        <w:spacing w:line="360" w:lineRule="auto"/>
        <w:ind w:left="-2" w:leftChars="-1" w:firstLine="460" w:firstLineChars="192"/>
        <w:rPr>
          <w:kern w:val="10"/>
          <w:sz w:val="24"/>
        </w:rPr>
      </w:pPr>
      <w:r>
        <w:rPr>
          <w:kern w:val="10"/>
          <w:sz w:val="24"/>
        </w:rPr>
        <w:t>玉龙寺组(S</w:t>
      </w:r>
      <w:r>
        <w:rPr>
          <w:kern w:val="10"/>
          <w:sz w:val="24"/>
          <w:vertAlign w:val="subscript"/>
        </w:rPr>
        <w:t>2</w:t>
      </w:r>
      <w:r>
        <w:rPr>
          <w:kern w:val="10"/>
          <w:sz w:val="24"/>
        </w:rPr>
        <w:t>y)岩性为黑色页岩夹粉砂岩，出露厚度92m。与上覆中泥盆统曲靖组地层呈不整合接触，与下伏地层为断层接触。</w:t>
      </w:r>
    </w:p>
    <w:p w14:paraId="19D6229D">
      <w:pPr>
        <w:spacing w:line="360" w:lineRule="auto"/>
        <w:ind w:left="-2" w:leftChars="-1" w:firstLine="460" w:firstLineChars="192"/>
        <w:rPr>
          <w:kern w:val="10"/>
          <w:sz w:val="24"/>
        </w:rPr>
      </w:pPr>
      <w:r>
        <w:rPr>
          <w:kern w:val="10"/>
          <w:sz w:val="24"/>
        </w:rPr>
        <w:t>⑤泥盆系：主要出露泥盆系中统海口组（D</w:t>
      </w:r>
      <w:r>
        <w:rPr>
          <w:kern w:val="10"/>
          <w:sz w:val="24"/>
          <w:vertAlign w:val="subscript"/>
        </w:rPr>
        <w:t>2</w:t>
      </w:r>
      <w:r>
        <w:rPr>
          <w:kern w:val="10"/>
          <w:sz w:val="24"/>
        </w:rPr>
        <w:t>h）、曲靖组（D</w:t>
      </w:r>
      <w:r>
        <w:rPr>
          <w:kern w:val="10"/>
          <w:sz w:val="24"/>
          <w:vertAlign w:val="subscript"/>
        </w:rPr>
        <w:t>2</w:t>
      </w:r>
      <w:r>
        <w:rPr>
          <w:kern w:val="10"/>
          <w:sz w:val="24"/>
        </w:rPr>
        <w:t>q）、上统一打得群（D</w:t>
      </w:r>
      <w:r>
        <w:rPr>
          <w:kern w:val="10"/>
          <w:sz w:val="24"/>
          <w:vertAlign w:val="subscript"/>
        </w:rPr>
        <w:t>3</w:t>
      </w:r>
      <w:r>
        <w:rPr>
          <w:i/>
          <w:iCs/>
          <w:kern w:val="10"/>
          <w:sz w:val="24"/>
        </w:rPr>
        <w:t>i</w:t>
      </w:r>
      <w:r>
        <w:rPr>
          <w:kern w:val="10"/>
          <w:sz w:val="24"/>
        </w:rPr>
        <w:t>），分布于东北、东南部，即豆黑村—维则—窝子山，大老挖—绿水塘—万家坟塘子一带。</w:t>
      </w:r>
    </w:p>
    <w:p w14:paraId="7688F995">
      <w:pPr>
        <w:spacing w:line="360" w:lineRule="auto"/>
        <w:ind w:left="-2" w:leftChars="-1" w:firstLine="460" w:firstLineChars="192"/>
        <w:rPr>
          <w:kern w:val="10"/>
          <w:sz w:val="24"/>
        </w:rPr>
      </w:pPr>
      <w:r>
        <w:rPr>
          <w:kern w:val="10"/>
          <w:sz w:val="24"/>
        </w:rPr>
        <w:t>海口组（D</w:t>
      </w:r>
      <w:r>
        <w:rPr>
          <w:kern w:val="10"/>
          <w:sz w:val="24"/>
          <w:vertAlign w:val="subscript"/>
        </w:rPr>
        <w:t>2</w:t>
      </w:r>
      <w:r>
        <w:rPr>
          <w:kern w:val="10"/>
          <w:sz w:val="24"/>
        </w:rPr>
        <w:t>q）岩性为中~厚层砂岩、页岩、砂质页岩夹生物碎屑灰岩、含沥青质灰岩，厚度0～89m。</w:t>
      </w:r>
    </w:p>
    <w:p w14:paraId="24D2A8E4">
      <w:pPr>
        <w:spacing w:line="360" w:lineRule="auto"/>
        <w:ind w:left="-2" w:leftChars="-1" w:firstLine="460" w:firstLineChars="192"/>
        <w:rPr>
          <w:kern w:val="10"/>
          <w:sz w:val="24"/>
        </w:rPr>
      </w:pPr>
      <w:r>
        <w:rPr>
          <w:kern w:val="10"/>
          <w:sz w:val="24"/>
        </w:rPr>
        <w:t>曲靖组（D</w:t>
      </w:r>
      <w:r>
        <w:rPr>
          <w:kern w:val="10"/>
          <w:sz w:val="24"/>
          <w:vertAlign w:val="subscript"/>
        </w:rPr>
        <w:t>2</w:t>
      </w:r>
      <w:r>
        <w:rPr>
          <w:kern w:val="10"/>
          <w:sz w:val="24"/>
        </w:rPr>
        <w:t>q）岩性为海相碳酸盐类沉积的白云岩、灰岩夹页岩，厚度＞350m。</w:t>
      </w:r>
    </w:p>
    <w:p w14:paraId="2DEC6AAA">
      <w:pPr>
        <w:spacing w:line="360" w:lineRule="auto"/>
        <w:ind w:left="-2" w:leftChars="-1" w:firstLine="460" w:firstLineChars="192"/>
        <w:rPr>
          <w:kern w:val="10"/>
          <w:sz w:val="24"/>
        </w:rPr>
      </w:pPr>
      <w:r>
        <w:rPr>
          <w:kern w:val="10"/>
          <w:sz w:val="24"/>
        </w:rPr>
        <w:t>一打得群（D</w:t>
      </w:r>
      <w:r>
        <w:rPr>
          <w:kern w:val="10"/>
          <w:sz w:val="24"/>
          <w:vertAlign w:val="subscript"/>
        </w:rPr>
        <w:t>3</w:t>
      </w:r>
      <w:r>
        <w:rPr>
          <w:i/>
          <w:iCs/>
          <w:kern w:val="10"/>
          <w:sz w:val="24"/>
        </w:rPr>
        <w:t>i</w:t>
      </w:r>
      <w:r>
        <w:rPr>
          <w:kern w:val="10"/>
          <w:sz w:val="24"/>
        </w:rPr>
        <w:t>）岩性为滨海~浅海相的泥质碳酸盐类沉积，厚度220m～506m。</w:t>
      </w:r>
    </w:p>
    <w:p w14:paraId="1198D1AC">
      <w:pPr>
        <w:spacing w:line="360" w:lineRule="auto"/>
        <w:ind w:left="-2" w:leftChars="-1" w:firstLine="460" w:firstLineChars="192"/>
        <w:rPr>
          <w:kern w:val="10"/>
          <w:sz w:val="24"/>
        </w:rPr>
      </w:pPr>
      <w:r>
        <w:rPr>
          <w:kern w:val="10"/>
          <w:sz w:val="24"/>
        </w:rPr>
        <w:t>⑥石炭系：主要出露石炭系下统大唐介万寿山段（C</w:t>
      </w:r>
      <w:r>
        <w:rPr>
          <w:kern w:val="10"/>
          <w:sz w:val="24"/>
          <w:vertAlign w:val="subscript"/>
        </w:rPr>
        <w:t>1</w:t>
      </w:r>
      <w:r>
        <w:rPr>
          <w:kern w:val="10"/>
          <w:sz w:val="24"/>
        </w:rPr>
        <w:t>dw）、上司段（C</w:t>
      </w:r>
      <w:r>
        <w:rPr>
          <w:kern w:val="10"/>
          <w:sz w:val="24"/>
          <w:vertAlign w:val="subscript"/>
        </w:rPr>
        <w:t>1</w:t>
      </w:r>
      <w:r>
        <w:rPr>
          <w:kern w:val="10"/>
          <w:sz w:val="24"/>
        </w:rPr>
        <w:t>ds）、中统威宁群（C</w:t>
      </w:r>
      <w:r>
        <w:rPr>
          <w:kern w:val="10"/>
          <w:sz w:val="24"/>
          <w:vertAlign w:val="subscript"/>
        </w:rPr>
        <w:t>2</w:t>
      </w:r>
      <w:r>
        <w:rPr>
          <w:kern w:val="10"/>
          <w:sz w:val="24"/>
        </w:rPr>
        <w:t>w）、上统马平群（C</w:t>
      </w:r>
      <w:r>
        <w:rPr>
          <w:kern w:val="10"/>
          <w:sz w:val="24"/>
          <w:vertAlign w:val="subscript"/>
        </w:rPr>
        <w:t>3</w:t>
      </w:r>
      <w:r>
        <w:rPr>
          <w:kern w:val="10"/>
          <w:sz w:val="24"/>
        </w:rPr>
        <w:t>m），分布于北、东部即大尖山至豆黑村一线以东，维则断裂—所各邑；</w:t>
      </w:r>
    </w:p>
    <w:p w14:paraId="6C30E4C8">
      <w:pPr>
        <w:spacing w:line="360" w:lineRule="auto"/>
        <w:ind w:left="-2" w:leftChars="-1" w:firstLine="460" w:firstLineChars="192"/>
        <w:rPr>
          <w:kern w:val="10"/>
          <w:sz w:val="24"/>
        </w:rPr>
      </w:pPr>
      <w:r>
        <w:rPr>
          <w:kern w:val="10"/>
          <w:sz w:val="24"/>
        </w:rPr>
        <w:t>万寿山段（C</w:t>
      </w:r>
      <w:r>
        <w:rPr>
          <w:kern w:val="10"/>
          <w:sz w:val="24"/>
          <w:vertAlign w:val="subscript"/>
        </w:rPr>
        <w:t>1</w:t>
      </w:r>
      <w:r>
        <w:rPr>
          <w:kern w:val="10"/>
          <w:sz w:val="24"/>
        </w:rPr>
        <w:t>dw）滨海沼泽相砂页岩、煤和浅海相灰岩，厚度6m～115m。</w:t>
      </w:r>
    </w:p>
    <w:p w14:paraId="3D58D6DA">
      <w:pPr>
        <w:spacing w:line="360" w:lineRule="auto"/>
        <w:ind w:left="-2" w:leftChars="-1" w:firstLine="460" w:firstLineChars="192"/>
        <w:rPr>
          <w:kern w:val="10"/>
          <w:sz w:val="24"/>
        </w:rPr>
      </w:pPr>
      <w:r>
        <w:rPr>
          <w:kern w:val="10"/>
          <w:sz w:val="24"/>
        </w:rPr>
        <w:t>上司段（C</w:t>
      </w:r>
      <w:r>
        <w:rPr>
          <w:kern w:val="10"/>
          <w:sz w:val="24"/>
          <w:vertAlign w:val="subscript"/>
        </w:rPr>
        <w:t>1</w:t>
      </w:r>
      <w:r>
        <w:rPr>
          <w:kern w:val="10"/>
          <w:sz w:val="24"/>
        </w:rPr>
        <w:t>ds）浅海相灰岩、白云岩，偶有砂页岩，厚度100m～316m。</w:t>
      </w:r>
    </w:p>
    <w:p w14:paraId="50274178">
      <w:pPr>
        <w:spacing w:line="360" w:lineRule="auto"/>
        <w:ind w:left="-2" w:leftChars="-1" w:firstLine="460" w:firstLineChars="192"/>
        <w:rPr>
          <w:kern w:val="10"/>
          <w:sz w:val="24"/>
        </w:rPr>
      </w:pPr>
      <w:r>
        <w:rPr>
          <w:kern w:val="10"/>
          <w:sz w:val="24"/>
        </w:rPr>
        <w:t>威宁群（C</w:t>
      </w:r>
      <w:r>
        <w:rPr>
          <w:kern w:val="10"/>
          <w:sz w:val="24"/>
          <w:vertAlign w:val="subscript"/>
        </w:rPr>
        <w:t>2</w:t>
      </w:r>
      <w:r>
        <w:rPr>
          <w:kern w:val="10"/>
          <w:sz w:val="24"/>
        </w:rPr>
        <w:t>w）假鲕状灰岩，局部有角砾状灰岩，厚度25m～60m。</w:t>
      </w:r>
    </w:p>
    <w:p w14:paraId="3911D5D5">
      <w:pPr>
        <w:spacing w:line="360" w:lineRule="auto"/>
        <w:ind w:left="-2" w:leftChars="-1" w:firstLine="460" w:firstLineChars="192"/>
        <w:rPr>
          <w:kern w:val="10"/>
          <w:sz w:val="24"/>
        </w:rPr>
      </w:pPr>
      <w:r>
        <w:rPr>
          <w:kern w:val="10"/>
          <w:sz w:val="24"/>
        </w:rPr>
        <w:t>上统马平群（C</w:t>
      </w:r>
      <w:r>
        <w:rPr>
          <w:kern w:val="10"/>
          <w:sz w:val="24"/>
          <w:vertAlign w:val="subscript"/>
        </w:rPr>
        <w:t>3</w:t>
      </w:r>
      <w:r>
        <w:rPr>
          <w:kern w:val="10"/>
          <w:sz w:val="24"/>
        </w:rPr>
        <w:t>m）灰岩、假鲕状灰岩夹白云岩，厚度0～48m。</w:t>
      </w:r>
    </w:p>
    <w:p w14:paraId="62E8E0DE">
      <w:pPr>
        <w:spacing w:line="360" w:lineRule="auto"/>
        <w:ind w:left="-2" w:leftChars="-1" w:firstLine="460" w:firstLineChars="192"/>
        <w:rPr>
          <w:kern w:val="10"/>
          <w:sz w:val="24"/>
        </w:rPr>
      </w:pPr>
      <w:r>
        <w:rPr>
          <w:kern w:val="10"/>
          <w:sz w:val="24"/>
        </w:rPr>
        <w:t>⑦二叠系：出露二叠系下统阳新组，上统峨嵋山组地层，区内出露最广，主要分布于东部、北东部。</w:t>
      </w:r>
    </w:p>
    <w:p w14:paraId="60B6BDCE">
      <w:pPr>
        <w:spacing w:line="360" w:lineRule="auto"/>
        <w:ind w:left="-2" w:leftChars="-1" w:firstLine="460" w:firstLineChars="192"/>
        <w:rPr>
          <w:kern w:val="10"/>
          <w:sz w:val="24"/>
        </w:rPr>
      </w:pPr>
      <w:r>
        <w:rPr>
          <w:kern w:val="10"/>
          <w:sz w:val="24"/>
        </w:rPr>
        <w:t>阳新组(P</w:t>
      </w:r>
      <w:r>
        <w:rPr>
          <w:kern w:val="10"/>
          <w:sz w:val="24"/>
          <w:vertAlign w:val="subscript"/>
        </w:rPr>
        <w:t>1</w:t>
      </w:r>
      <w:r>
        <w:rPr>
          <w:kern w:val="10"/>
          <w:sz w:val="24"/>
        </w:rPr>
        <w:t>y)岩性上部为灰、浅灰色隐～微晶块状白云质灰岩、虎斑状灰岩，下部灰、深灰色隐晶～微晶自云岩、虎班状白云岩、白云质灰岩，厚度366m～54lm。</w:t>
      </w:r>
    </w:p>
    <w:p w14:paraId="696C5441">
      <w:pPr>
        <w:spacing w:line="360" w:lineRule="auto"/>
        <w:ind w:left="-2" w:leftChars="-1" w:firstLine="460" w:firstLineChars="192"/>
        <w:rPr>
          <w:bCs/>
          <w:kern w:val="10"/>
          <w:sz w:val="24"/>
        </w:rPr>
      </w:pPr>
      <w:r>
        <w:rPr>
          <w:kern w:val="10"/>
          <w:sz w:val="24"/>
        </w:rPr>
        <w:t>峨嵋山玄武岩组(P</w:t>
      </w:r>
      <w:r>
        <w:rPr>
          <w:kern w:val="10"/>
          <w:sz w:val="24"/>
          <w:vertAlign w:val="subscript"/>
        </w:rPr>
        <w:t>2</w:t>
      </w:r>
      <w:r>
        <w:rPr>
          <w:kern w:val="10"/>
          <w:sz w:val="24"/>
        </w:rPr>
        <w:t>β)岩性为褐黄、灰黑色杏仁状、致密状玄武岩夹凝灰岩，厚度小于100m。与上覆下第三系呈不整合接触。</w:t>
      </w:r>
    </w:p>
    <w:p w14:paraId="4953D741">
      <w:pPr>
        <w:spacing w:line="360" w:lineRule="auto"/>
        <w:ind w:left="-2" w:leftChars="-1" w:firstLine="460" w:firstLineChars="192"/>
        <w:rPr>
          <w:bCs/>
          <w:kern w:val="10"/>
          <w:sz w:val="24"/>
        </w:rPr>
      </w:pPr>
      <w:r>
        <w:rPr>
          <w:bCs/>
          <w:kern w:val="10"/>
          <w:sz w:val="24"/>
        </w:rPr>
        <w:t>⑧下第三系：主要分布于路南盆地内。</w:t>
      </w:r>
      <w:r>
        <w:rPr>
          <w:kern w:val="10"/>
          <w:sz w:val="24"/>
        </w:rPr>
        <w:t>根据岩性特征及接触关系，分为路美邑组、小屯组地层。</w:t>
      </w:r>
    </w:p>
    <w:p w14:paraId="259316EF">
      <w:pPr>
        <w:spacing w:line="360" w:lineRule="auto"/>
        <w:ind w:left="-2" w:leftChars="-1" w:firstLine="460" w:firstLineChars="192"/>
        <w:rPr>
          <w:kern w:val="10"/>
          <w:sz w:val="24"/>
        </w:rPr>
      </w:pPr>
      <w:r>
        <w:rPr>
          <w:kern w:val="10"/>
          <w:sz w:val="24"/>
        </w:rPr>
        <w:t>路美邑组(EL)岩性为紫红、砖红色粉砂质泥岩、泥岩夹砂岩、砾岩扁豆体及钙质团块，含少量灰绿色斑点及条带，顶部为泥灰岩、含泥白云岩，厚度25.17m～287.l0m。</w:t>
      </w:r>
    </w:p>
    <w:p w14:paraId="7A88351F">
      <w:pPr>
        <w:spacing w:line="360" w:lineRule="auto"/>
        <w:ind w:left="-2" w:leftChars="-1" w:firstLine="460" w:firstLineChars="192"/>
        <w:rPr>
          <w:bCs/>
          <w:kern w:val="10"/>
          <w:sz w:val="24"/>
        </w:rPr>
      </w:pPr>
      <w:r>
        <w:rPr>
          <w:kern w:val="10"/>
          <w:sz w:val="24"/>
        </w:rPr>
        <w:t>小屯组(Ex)岩性为棕红色中厚层状含砾砂岩、粉砂质泥岩及泥质砂岩。厚度小于l00m。</w:t>
      </w:r>
    </w:p>
    <w:p w14:paraId="301316C0">
      <w:pPr>
        <w:spacing w:line="360" w:lineRule="auto"/>
        <w:ind w:left="-2" w:leftChars="-1" w:firstLine="460" w:firstLineChars="192"/>
        <w:rPr>
          <w:bCs/>
          <w:kern w:val="10"/>
          <w:sz w:val="24"/>
        </w:rPr>
      </w:pPr>
      <w:r>
        <w:rPr>
          <w:bCs/>
          <w:kern w:val="10"/>
          <w:sz w:val="24"/>
        </w:rPr>
        <w:t>⑨第四系：第四系地层包括残坡积层（Q</w:t>
      </w:r>
      <w:r>
        <w:rPr>
          <w:bCs/>
          <w:kern w:val="10"/>
          <w:sz w:val="24"/>
          <w:vertAlign w:val="superscript"/>
        </w:rPr>
        <w:t>edl</w:t>
      </w:r>
      <w:r>
        <w:rPr>
          <w:bCs/>
          <w:kern w:val="10"/>
          <w:sz w:val="24"/>
        </w:rPr>
        <w:t>）、冲洪积层（Q</w:t>
      </w:r>
      <w:r>
        <w:rPr>
          <w:bCs/>
          <w:kern w:val="10"/>
          <w:sz w:val="24"/>
          <w:vertAlign w:val="superscript"/>
        </w:rPr>
        <w:t>apl</w:t>
      </w:r>
      <w:r>
        <w:rPr>
          <w:bCs/>
          <w:kern w:val="10"/>
          <w:sz w:val="24"/>
        </w:rPr>
        <w:t>），</w:t>
      </w:r>
      <w:r>
        <w:rPr>
          <w:kern w:val="10"/>
          <w:sz w:val="24"/>
        </w:rPr>
        <w:t>岩性为粘土、含砾粘土、砂砾石等，呈红褐、棕红、黄褐、灰褐色。多分布于山间洼地、坡麓地带及河流两岸，分布不均匀，厚度lm～l0m。</w:t>
      </w:r>
    </w:p>
    <w:p w14:paraId="484B2244">
      <w:pPr>
        <w:spacing w:line="360" w:lineRule="auto"/>
        <w:ind w:left="-2" w:leftChars="-1" w:firstLine="460" w:firstLineChars="192"/>
        <w:rPr>
          <w:kern w:val="10"/>
          <w:sz w:val="24"/>
        </w:rPr>
      </w:pPr>
      <w:r>
        <w:rPr>
          <w:kern w:val="10"/>
          <w:sz w:val="24"/>
        </w:rPr>
        <w:t xml:space="preserve"> （二）构造</w:t>
      </w:r>
    </w:p>
    <w:p w14:paraId="4F2DE206">
      <w:pPr>
        <w:spacing w:line="360" w:lineRule="auto"/>
        <w:ind w:left="-2" w:leftChars="-1" w:firstLine="460" w:firstLineChars="192"/>
        <w:rPr>
          <w:kern w:val="10"/>
          <w:sz w:val="24"/>
        </w:rPr>
      </w:pPr>
      <w:r>
        <w:rPr>
          <w:kern w:val="10"/>
          <w:sz w:val="24"/>
        </w:rPr>
        <w:t>石林县挟持于师宗—弥勒断裂与小江断裂之间，东侧为华南褶皱系，西侧为川滇台背斜。经多次构造运动，导致不同地区构造形迹特征的差异，全县可划分三个构造区，各构造区特征如下：</w:t>
      </w:r>
    </w:p>
    <w:p w14:paraId="011A4A7F">
      <w:pPr>
        <w:spacing w:line="360" w:lineRule="auto"/>
        <w:ind w:left="-2" w:leftChars="-1" w:firstLine="460" w:firstLineChars="192"/>
        <w:rPr>
          <w:kern w:val="10"/>
          <w:sz w:val="24"/>
        </w:rPr>
      </w:pPr>
      <w:r>
        <w:rPr>
          <w:kern w:val="10"/>
          <w:sz w:val="24"/>
        </w:rPr>
        <w:t>维则构造区：该构造区位于关羊洞—维则—豆黑村以南。构造区内由中上泥盆统碳酸盐岩组成，区内地层走向北东30°～40°，倾向北西，倾角10°～20°，局部可达40°～60°。断裂极为发育，以北东向断裂为主。</w:t>
      </w:r>
    </w:p>
    <w:p w14:paraId="6B976853">
      <w:pPr>
        <w:spacing w:line="360" w:lineRule="auto"/>
        <w:ind w:left="-2" w:leftChars="-1" w:firstLine="460" w:firstLineChars="192"/>
        <w:rPr>
          <w:kern w:val="10"/>
          <w:sz w:val="24"/>
        </w:rPr>
      </w:pPr>
      <w:r>
        <w:rPr>
          <w:kern w:val="10"/>
          <w:sz w:val="24"/>
        </w:rPr>
        <w:t>石林—寨黑构造区：该构造区的范围包括维则断裂以北，石林—上蒲草村—上冒水洞以东地区，系测区内占据面积最广的构造区。由中泥盆统曲靖组—上二叠统峨嵋山组地层组成。地层走向北北东，倾向西，倾角2°～6°，局部可达10°～20°以上，断裂不发育。</w:t>
      </w:r>
    </w:p>
    <w:p w14:paraId="6B3D872A">
      <w:pPr>
        <w:spacing w:line="360" w:lineRule="auto"/>
        <w:ind w:left="-2" w:leftChars="-1" w:firstLine="460" w:firstLineChars="192"/>
        <w:rPr>
          <w:kern w:val="10"/>
          <w:sz w:val="24"/>
        </w:rPr>
      </w:pPr>
      <w:r>
        <w:rPr>
          <w:kern w:val="10"/>
          <w:sz w:val="24"/>
        </w:rPr>
        <w:t>路南盆地构造区：该构造区位于石林—上蒲草村—上冒水洞以西地区，属喜马拉雅第二、三构造亚层，地层走向近南北向，总体向西倾斜，倾角5°～8°，结合测区外围第三系地层产状分析，为一被断层破坏由北向南倾斜，两翼不对称的向斜盆地。</w:t>
      </w:r>
    </w:p>
    <w:p w14:paraId="28E22A53">
      <w:pPr>
        <w:spacing w:line="360" w:lineRule="auto"/>
        <w:ind w:left="-2" w:leftChars="-1" w:firstLine="460" w:firstLineChars="192"/>
        <w:rPr>
          <w:kern w:val="10"/>
          <w:sz w:val="24"/>
        </w:rPr>
      </w:pPr>
      <w:r>
        <w:rPr>
          <w:kern w:val="10"/>
          <w:sz w:val="24"/>
        </w:rPr>
        <w:t>该区构造运动历史悠久，规模较大，行迹复杂，以南北向及北东向的构造行迹发育，扭动构造亦有广泛面积的分布，多为压性，东西向张性断裂次之。断层通过之处，常形成宽度达十米至数百米的破碎带及角砾带，两侧岩石受构造强烈挤压，其岩体结构一般较差，强度较低，透水性较好，地下水常沿此带活动，常伴随滑坡、崩塌等不良地质作用的发生，节理裂隙与区域构造关系密切，多为张性，主要以N10°～45°W或N65°～85°E方向发育，与南北向及北东向压性构造面垂直或斜交。</w:t>
      </w:r>
    </w:p>
    <w:p w14:paraId="29C535A2">
      <w:pPr>
        <w:spacing w:line="360" w:lineRule="auto"/>
        <w:ind w:left="-2" w:leftChars="-1" w:firstLine="463" w:firstLineChars="192"/>
        <w:rPr>
          <w:b/>
          <w:bCs/>
          <w:kern w:val="10"/>
          <w:sz w:val="24"/>
        </w:rPr>
      </w:pPr>
      <w:r>
        <w:rPr>
          <w:b/>
          <w:bCs/>
          <w:kern w:val="10"/>
          <w:sz w:val="24"/>
        </w:rPr>
        <w:t>A、区域地下水类型和含水层</w:t>
      </w:r>
    </w:p>
    <w:p w14:paraId="3DF46AD2">
      <w:pPr>
        <w:spacing w:line="360" w:lineRule="auto"/>
        <w:ind w:left="-2" w:leftChars="-1" w:firstLine="460" w:firstLineChars="192"/>
        <w:rPr>
          <w:kern w:val="10"/>
          <w:sz w:val="24"/>
        </w:rPr>
      </w:pPr>
      <w:r>
        <w:rPr>
          <w:kern w:val="10"/>
          <w:sz w:val="24"/>
        </w:rPr>
        <w:t>区域水文地质条件较复杂，根据含水介质系统的性质、特征，水文地质建造特征，水动力动态特征，地形地貌特征及埋藏条件等因素，石林地区地下水可划分为：孔隙水、裂隙水、岩溶水三大类。</w:t>
      </w:r>
    </w:p>
    <w:p w14:paraId="39819CBB">
      <w:pPr>
        <w:spacing w:line="360" w:lineRule="auto"/>
        <w:ind w:left="-2" w:leftChars="-1" w:firstLine="460" w:firstLineChars="192"/>
        <w:rPr>
          <w:kern w:val="10"/>
          <w:sz w:val="24"/>
        </w:rPr>
      </w:pPr>
      <w:r>
        <w:rPr>
          <w:kern w:val="10"/>
          <w:sz w:val="24"/>
        </w:rPr>
        <w:t>①孔隙水</w:t>
      </w:r>
    </w:p>
    <w:p w14:paraId="1EA6F29E">
      <w:pPr>
        <w:spacing w:line="360" w:lineRule="auto"/>
        <w:ind w:left="-2" w:leftChars="-1" w:firstLine="460" w:firstLineChars="192"/>
        <w:rPr>
          <w:kern w:val="10"/>
          <w:sz w:val="24"/>
        </w:rPr>
      </w:pPr>
      <w:r>
        <w:rPr>
          <w:kern w:val="10"/>
          <w:sz w:val="24"/>
        </w:rPr>
        <w:t>孔隙水主要赋存于山间盆地的第四系残坡积层中，由于在地貌、构造诸因素的控制下，造成岩性组合的差异性，含水层主要分布在沿河谷分布的第四系冲洪积层（Q</w:t>
      </w:r>
      <w:r>
        <w:rPr>
          <w:kern w:val="10"/>
          <w:sz w:val="24"/>
          <w:vertAlign w:val="superscript"/>
        </w:rPr>
        <w:t>apl</w:t>
      </w:r>
      <w:r>
        <w:rPr>
          <w:kern w:val="10"/>
          <w:sz w:val="24"/>
        </w:rPr>
        <w:t>）的砂砾石、粉细砂、含砾粉质粘土中及第四系残坡积层（Q</w:t>
      </w:r>
      <w:r>
        <w:rPr>
          <w:kern w:val="10"/>
          <w:sz w:val="24"/>
          <w:vertAlign w:val="superscript"/>
        </w:rPr>
        <w:t>edl</w:t>
      </w:r>
      <w:r>
        <w:rPr>
          <w:kern w:val="10"/>
          <w:sz w:val="24"/>
        </w:rPr>
        <w:t>）的沿山体表层和溶蚀洼地分布的碎砾石质粘土、粉质粘土中，其由大气降水补给，其动态变化与大气降水密切相关，在本区根据赋存介质差异可划分为钙华、砂砾石及粘土、粉质粘土三类。</w:t>
      </w:r>
    </w:p>
    <w:p w14:paraId="155CE27C">
      <w:pPr>
        <w:spacing w:line="360" w:lineRule="auto"/>
        <w:ind w:left="-2" w:leftChars="-1" w:firstLine="460" w:firstLineChars="192"/>
        <w:rPr>
          <w:bCs/>
          <w:kern w:val="10"/>
          <w:sz w:val="24"/>
        </w:rPr>
      </w:pPr>
      <w:r>
        <w:rPr>
          <w:bCs/>
          <w:kern w:val="10"/>
          <w:sz w:val="24"/>
        </w:rPr>
        <w:t>②</w:t>
      </w:r>
      <w:r>
        <w:rPr>
          <w:kern w:val="10"/>
          <w:sz w:val="24"/>
        </w:rPr>
        <w:t>裂隙水</w:t>
      </w:r>
    </w:p>
    <w:p w14:paraId="6F5FC964">
      <w:pPr>
        <w:spacing w:line="360" w:lineRule="auto"/>
        <w:ind w:left="-2" w:leftChars="-1" w:firstLine="460" w:firstLineChars="192"/>
        <w:rPr>
          <w:kern w:val="10"/>
          <w:sz w:val="24"/>
        </w:rPr>
      </w:pPr>
      <w:r>
        <w:rPr>
          <w:kern w:val="10"/>
          <w:sz w:val="24"/>
        </w:rPr>
        <w:t>根据本区岩石中地下水赋存特点，可分为层状型裂隙水和风化型裂隙水。</w:t>
      </w:r>
    </w:p>
    <w:p w14:paraId="0C6D8BA7">
      <w:pPr>
        <w:spacing w:line="360" w:lineRule="auto"/>
        <w:ind w:left="-2" w:leftChars="-1" w:firstLine="460" w:firstLineChars="192"/>
        <w:rPr>
          <w:kern w:val="10"/>
          <w:sz w:val="24"/>
        </w:rPr>
      </w:pPr>
      <w:r>
        <w:rPr>
          <w:kern w:val="10"/>
          <w:sz w:val="24"/>
        </w:rPr>
        <w:t>包括Pt</w:t>
      </w:r>
      <w:r>
        <w:rPr>
          <w:kern w:val="10"/>
          <w:sz w:val="24"/>
          <w:vertAlign w:val="subscript"/>
        </w:rPr>
        <w:t>1</w:t>
      </w:r>
      <w:r>
        <w:rPr>
          <w:i/>
          <w:iCs/>
          <w:kern w:val="10"/>
          <w:sz w:val="24"/>
        </w:rPr>
        <w:t>hs</w:t>
      </w:r>
      <w:r>
        <w:rPr>
          <w:kern w:val="10"/>
          <w:sz w:val="24"/>
        </w:rPr>
        <w:t>（黑山头组）、Pt</w:t>
      </w:r>
      <w:r>
        <w:rPr>
          <w:i/>
          <w:iCs/>
          <w:kern w:val="10"/>
          <w:sz w:val="24"/>
        </w:rPr>
        <w:t>n</w:t>
      </w:r>
      <w:r>
        <w:rPr>
          <w:kern w:val="10"/>
          <w:sz w:val="24"/>
        </w:rPr>
        <w:t>（牛头山组）、Zb</w:t>
      </w:r>
      <w:r>
        <w:rPr>
          <w:i/>
          <w:iCs/>
          <w:kern w:val="10"/>
          <w:sz w:val="24"/>
        </w:rPr>
        <w:t>n</w:t>
      </w:r>
      <w:r>
        <w:rPr>
          <w:kern w:val="10"/>
          <w:sz w:val="24"/>
        </w:rPr>
        <w:t>（南沱组）、Zb</w:t>
      </w:r>
      <w:r>
        <w:rPr>
          <w:i/>
          <w:iCs/>
          <w:kern w:val="10"/>
          <w:sz w:val="24"/>
        </w:rPr>
        <w:t>d</w:t>
      </w:r>
      <w:r>
        <w:rPr>
          <w:kern w:val="10"/>
          <w:sz w:val="24"/>
        </w:rPr>
        <w:t>（陡山沱组）、∈</w:t>
      </w:r>
      <w:r>
        <w:rPr>
          <w:kern w:val="10"/>
          <w:sz w:val="24"/>
          <w:vertAlign w:val="subscript"/>
        </w:rPr>
        <w:t>1</w:t>
      </w:r>
      <w:r>
        <w:rPr>
          <w:i/>
          <w:iCs/>
          <w:kern w:val="10"/>
          <w:sz w:val="24"/>
        </w:rPr>
        <w:t>y</w:t>
      </w:r>
      <w:r>
        <w:rPr>
          <w:kern w:val="10"/>
          <w:sz w:val="24"/>
        </w:rPr>
        <w:t>（渔户村组）、∈</w:t>
      </w:r>
      <w:r>
        <w:rPr>
          <w:kern w:val="10"/>
          <w:sz w:val="24"/>
          <w:vertAlign w:val="subscript"/>
        </w:rPr>
        <w:t>1</w:t>
      </w:r>
      <w:r>
        <w:rPr>
          <w:i/>
          <w:iCs/>
          <w:kern w:val="10"/>
          <w:sz w:val="24"/>
        </w:rPr>
        <w:t>q</w:t>
      </w:r>
      <w:r>
        <w:rPr>
          <w:kern w:val="10"/>
          <w:sz w:val="24"/>
        </w:rPr>
        <w:t>（筇竹寺组）、∈</w:t>
      </w:r>
      <w:r>
        <w:rPr>
          <w:kern w:val="10"/>
          <w:sz w:val="24"/>
          <w:vertAlign w:val="subscript"/>
        </w:rPr>
        <w:t>1</w:t>
      </w:r>
      <w:r>
        <w:rPr>
          <w:i/>
          <w:iCs/>
          <w:kern w:val="10"/>
          <w:sz w:val="24"/>
        </w:rPr>
        <w:t>c</w:t>
      </w:r>
      <w:r>
        <w:rPr>
          <w:kern w:val="10"/>
          <w:sz w:val="24"/>
        </w:rPr>
        <w:t>（沧浪铺组）、S</w:t>
      </w:r>
      <w:r>
        <w:rPr>
          <w:kern w:val="10"/>
          <w:sz w:val="24"/>
          <w:vertAlign w:val="subscript"/>
        </w:rPr>
        <w:t>2</w:t>
      </w:r>
      <w:r>
        <w:rPr>
          <w:i/>
          <w:iCs/>
          <w:kern w:val="10"/>
          <w:sz w:val="24"/>
        </w:rPr>
        <w:t>y</w:t>
      </w:r>
      <w:r>
        <w:rPr>
          <w:kern w:val="10"/>
          <w:sz w:val="24"/>
        </w:rPr>
        <w:t>（玉龙寺组）、C</w:t>
      </w:r>
      <w:r>
        <w:rPr>
          <w:kern w:val="10"/>
          <w:sz w:val="24"/>
          <w:vertAlign w:val="subscript"/>
        </w:rPr>
        <w:t>1</w:t>
      </w:r>
      <w:r>
        <w:rPr>
          <w:i/>
          <w:iCs/>
          <w:kern w:val="10"/>
          <w:sz w:val="24"/>
        </w:rPr>
        <w:t>dw</w:t>
      </w:r>
      <w:r>
        <w:rPr>
          <w:kern w:val="10"/>
          <w:sz w:val="24"/>
        </w:rPr>
        <w:t>（万寿山段）、P</w:t>
      </w:r>
      <w:r>
        <w:rPr>
          <w:kern w:val="10"/>
          <w:sz w:val="24"/>
          <w:vertAlign w:val="subscript"/>
        </w:rPr>
        <w:t>1</w:t>
      </w:r>
      <w:r>
        <w:rPr>
          <w:i/>
          <w:iCs/>
          <w:kern w:val="10"/>
          <w:sz w:val="24"/>
        </w:rPr>
        <w:t>d</w:t>
      </w:r>
      <w:r>
        <w:rPr>
          <w:kern w:val="10"/>
          <w:sz w:val="24"/>
        </w:rPr>
        <w:t>（倒石头组）、P</w:t>
      </w:r>
      <w:r>
        <w:rPr>
          <w:kern w:val="10"/>
          <w:sz w:val="24"/>
          <w:vertAlign w:val="subscript"/>
        </w:rPr>
        <w:t>2</w:t>
      </w:r>
      <w:r>
        <w:rPr>
          <w:i/>
          <w:iCs/>
          <w:kern w:val="10"/>
          <w:sz w:val="24"/>
        </w:rPr>
        <w:t>β</w:t>
      </w:r>
      <w:r>
        <w:rPr>
          <w:kern w:val="10"/>
          <w:sz w:val="24"/>
        </w:rPr>
        <w:t>（峨嵋山玄武岩组）、E</w:t>
      </w:r>
      <w:r>
        <w:rPr>
          <w:i/>
          <w:iCs/>
          <w:kern w:val="10"/>
          <w:sz w:val="24"/>
        </w:rPr>
        <w:t>l</w:t>
      </w:r>
      <w:r>
        <w:rPr>
          <w:kern w:val="10"/>
          <w:sz w:val="24"/>
        </w:rPr>
        <w:t>（路美邑组）、E</w:t>
      </w:r>
      <w:r>
        <w:rPr>
          <w:i/>
          <w:iCs/>
          <w:kern w:val="10"/>
          <w:sz w:val="24"/>
        </w:rPr>
        <w:t>x</w:t>
      </w:r>
      <w:r>
        <w:rPr>
          <w:kern w:val="10"/>
          <w:sz w:val="24"/>
        </w:rPr>
        <w:t>（小屯组）等含水层组。岩性主要为强—弱风化板岩、粉细砂岩、砾岩、页岩、粉砂质页岩、长石石英砂岩、石英砂岩、玄武岩、凝灰岩、泥岩、含砾砂岩等，节理裂隙较发育，属风化裂隙水。</w:t>
      </w:r>
    </w:p>
    <w:p w14:paraId="47D4D892">
      <w:pPr>
        <w:spacing w:line="360" w:lineRule="auto"/>
        <w:ind w:left="-2" w:leftChars="-1" w:firstLine="460" w:firstLineChars="192"/>
        <w:rPr>
          <w:bCs/>
          <w:kern w:val="10"/>
          <w:sz w:val="24"/>
        </w:rPr>
      </w:pPr>
      <w:r>
        <w:rPr>
          <w:kern w:val="10"/>
          <w:sz w:val="24"/>
        </w:rPr>
        <w:t>③岩溶含水层：包括Zb</w:t>
      </w:r>
      <w:r>
        <w:rPr>
          <w:i/>
          <w:iCs/>
          <w:kern w:val="10"/>
          <w:sz w:val="24"/>
        </w:rPr>
        <w:t>dn</w:t>
      </w:r>
      <w:r>
        <w:rPr>
          <w:kern w:val="10"/>
          <w:sz w:val="24"/>
        </w:rPr>
        <w:t>（灯影组）、∈</w:t>
      </w:r>
      <w:r>
        <w:rPr>
          <w:kern w:val="10"/>
          <w:sz w:val="24"/>
          <w:vertAlign w:val="subscript"/>
        </w:rPr>
        <w:t>1</w:t>
      </w:r>
      <w:r>
        <w:rPr>
          <w:i/>
          <w:iCs/>
          <w:kern w:val="10"/>
          <w:sz w:val="24"/>
        </w:rPr>
        <w:t>l</w:t>
      </w:r>
      <w:r>
        <w:rPr>
          <w:kern w:val="10"/>
          <w:sz w:val="24"/>
        </w:rPr>
        <w:t>（龙王庙组）、S</w:t>
      </w:r>
      <w:r>
        <w:rPr>
          <w:kern w:val="10"/>
          <w:sz w:val="24"/>
          <w:vertAlign w:val="subscript"/>
        </w:rPr>
        <w:t>2</w:t>
      </w:r>
      <w:r>
        <w:rPr>
          <w:i/>
          <w:iCs/>
          <w:kern w:val="10"/>
          <w:sz w:val="24"/>
        </w:rPr>
        <w:t>m</w:t>
      </w:r>
      <w:r>
        <w:rPr>
          <w:kern w:val="10"/>
          <w:sz w:val="24"/>
        </w:rPr>
        <w:t>（马龙群）、D</w:t>
      </w:r>
      <w:r>
        <w:rPr>
          <w:kern w:val="10"/>
          <w:sz w:val="24"/>
          <w:vertAlign w:val="subscript"/>
        </w:rPr>
        <w:t>2</w:t>
      </w:r>
      <w:r>
        <w:rPr>
          <w:i/>
          <w:iCs/>
          <w:kern w:val="10"/>
          <w:sz w:val="24"/>
        </w:rPr>
        <w:t>q</w:t>
      </w:r>
      <w:r>
        <w:rPr>
          <w:kern w:val="10"/>
          <w:sz w:val="24"/>
        </w:rPr>
        <w:t>（曲靖组）、D</w:t>
      </w:r>
      <w:r>
        <w:rPr>
          <w:kern w:val="10"/>
          <w:sz w:val="24"/>
          <w:vertAlign w:val="subscript"/>
        </w:rPr>
        <w:t>3</w:t>
      </w:r>
      <w:r>
        <w:rPr>
          <w:i/>
          <w:iCs/>
          <w:kern w:val="10"/>
          <w:sz w:val="24"/>
        </w:rPr>
        <w:t>i</w:t>
      </w:r>
      <w:r>
        <w:rPr>
          <w:kern w:val="10"/>
          <w:sz w:val="24"/>
        </w:rPr>
        <w:t>（一打得组）、C</w:t>
      </w:r>
      <w:r>
        <w:rPr>
          <w:kern w:val="10"/>
          <w:sz w:val="24"/>
          <w:vertAlign w:val="subscript"/>
        </w:rPr>
        <w:t>1</w:t>
      </w:r>
      <w:r>
        <w:rPr>
          <w:i/>
          <w:iCs/>
          <w:kern w:val="10"/>
          <w:sz w:val="24"/>
        </w:rPr>
        <w:t>ds</w:t>
      </w:r>
      <w:r>
        <w:rPr>
          <w:kern w:val="10"/>
          <w:sz w:val="24"/>
        </w:rPr>
        <w:t>（上司段）、C</w:t>
      </w:r>
      <w:r>
        <w:rPr>
          <w:kern w:val="10"/>
          <w:sz w:val="24"/>
          <w:vertAlign w:val="subscript"/>
        </w:rPr>
        <w:t>2</w:t>
      </w:r>
      <w:r>
        <w:rPr>
          <w:i/>
          <w:iCs/>
          <w:kern w:val="10"/>
          <w:sz w:val="24"/>
        </w:rPr>
        <w:t>w</w:t>
      </w:r>
      <w:r>
        <w:rPr>
          <w:kern w:val="10"/>
          <w:sz w:val="24"/>
        </w:rPr>
        <w:t>（威宁群）、C</w:t>
      </w:r>
      <w:r>
        <w:rPr>
          <w:kern w:val="10"/>
          <w:sz w:val="24"/>
          <w:vertAlign w:val="subscript"/>
        </w:rPr>
        <w:t>3</w:t>
      </w:r>
      <w:r>
        <w:rPr>
          <w:i/>
          <w:iCs/>
          <w:kern w:val="10"/>
          <w:sz w:val="24"/>
        </w:rPr>
        <w:t>m</w:t>
      </w:r>
      <w:r>
        <w:rPr>
          <w:kern w:val="10"/>
          <w:sz w:val="24"/>
        </w:rPr>
        <w:t>（马平组）、P</w:t>
      </w:r>
      <w:r>
        <w:rPr>
          <w:kern w:val="10"/>
          <w:sz w:val="24"/>
          <w:vertAlign w:val="subscript"/>
        </w:rPr>
        <w:t>1</w:t>
      </w:r>
      <w:r>
        <w:rPr>
          <w:i/>
          <w:iCs/>
          <w:kern w:val="10"/>
          <w:sz w:val="24"/>
        </w:rPr>
        <w:t>y</w:t>
      </w:r>
      <w:r>
        <w:rPr>
          <w:kern w:val="10"/>
          <w:sz w:val="24"/>
        </w:rPr>
        <w:t>（阳新组）等含水层组。岩性主要为白云岩、泥质白云岩、灰岩、白云质灰岩、泥灰岩、角砾状灰岩、瘤状灰岩、鲕状灰岩、虎斑状灰岩，虎斑状白云岩等。裂隙、溶隙发育，溶洞较发育，</w:t>
      </w:r>
      <w:r>
        <w:rPr>
          <w:bCs/>
          <w:kern w:val="10"/>
          <w:sz w:val="24"/>
        </w:rPr>
        <w:t>基岩管、脉状岩溶水则赋存于岩溶化溶蚀管道或溶蚀裂隙中，其补给关系除大气降水外，还有沿岩溶管道或溶蚀裂隙从场区外围地区补给的地下水，运移条件极为复杂，其分布与赋存主要受地质构造和可溶岩的岩性制约。</w:t>
      </w:r>
    </w:p>
    <w:p w14:paraId="33123950">
      <w:pPr>
        <w:spacing w:line="360" w:lineRule="auto"/>
        <w:ind w:left="-2" w:leftChars="-1" w:firstLine="463" w:firstLineChars="192"/>
        <w:rPr>
          <w:b/>
          <w:bCs/>
          <w:kern w:val="10"/>
          <w:sz w:val="24"/>
        </w:rPr>
      </w:pPr>
      <w:r>
        <w:rPr>
          <w:b/>
          <w:bCs/>
          <w:kern w:val="10"/>
          <w:sz w:val="24"/>
        </w:rPr>
        <w:t>B、地下水补排关系</w:t>
      </w:r>
    </w:p>
    <w:p w14:paraId="2CE9FB52">
      <w:pPr>
        <w:spacing w:line="360" w:lineRule="auto"/>
        <w:ind w:left="-2" w:leftChars="-1" w:firstLine="460" w:firstLineChars="192"/>
        <w:rPr>
          <w:kern w:val="10"/>
          <w:sz w:val="24"/>
        </w:rPr>
      </w:pPr>
      <w:r>
        <w:rPr>
          <w:kern w:val="10"/>
          <w:sz w:val="24"/>
        </w:rPr>
        <w:t>石林县地界内地下水运动主要受地层岩性、构造及地形等因素制约，地下水主要接受大气降水的补给。</w:t>
      </w:r>
    </w:p>
    <w:p w14:paraId="56CC8D61">
      <w:pPr>
        <w:spacing w:line="360" w:lineRule="auto"/>
        <w:ind w:left="-2" w:leftChars="-1" w:firstLine="460" w:firstLineChars="192"/>
        <w:rPr>
          <w:kern w:val="10"/>
          <w:sz w:val="24"/>
        </w:rPr>
      </w:pPr>
      <w:r>
        <w:rPr>
          <w:kern w:val="10"/>
          <w:sz w:val="24"/>
        </w:rPr>
        <w:t>分布于北东部与路南盆地及其西侧的Pt</w:t>
      </w:r>
      <w:r>
        <w:rPr>
          <w:kern w:val="10"/>
          <w:sz w:val="24"/>
          <w:vertAlign w:val="subscript"/>
        </w:rPr>
        <w:t>1</w:t>
      </w:r>
      <w:r>
        <w:rPr>
          <w:i/>
          <w:iCs/>
          <w:kern w:val="10"/>
          <w:sz w:val="24"/>
        </w:rPr>
        <w:t>hs</w:t>
      </w:r>
      <w:r>
        <w:rPr>
          <w:kern w:val="10"/>
          <w:sz w:val="24"/>
        </w:rPr>
        <w:t>（黑山头组）、Pt</w:t>
      </w:r>
      <w:r>
        <w:rPr>
          <w:i/>
          <w:iCs/>
          <w:kern w:val="10"/>
          <w:sz w:val="24"/>
        </w:rPr>
        <w:t>n</w:t>
      </w:r>
      <w:r>
        <w:rPr>
          <w:kern w:val="10"/>
          <w:sz w:val="24"/>
        </w:rPr>
        <w:t>（牛头山组）、Zb</w:t>
      </w:r>
      <w:r>
        <w:rPr>
          <w:i/>
          <w:iCs/>
          <w:kern w:val="10"/>
          <w:sz w:val="24"/>
        </w:rPr>
        <w:t>n</w:t>
      </w:r>
      <w:r>
        <w:rPr>
          <w:kern w:val="10"/>
          <w:sz w:val="24"/>
        </w:rPr>
        <w:t>（南沱组）、Zb</w:t>
      </w:r>
      <w:r>
        <w:rPr>
          <w:i/>
          <w:iCs/>
          <w:kern w:val="10"/>
          <w:sz w:val="24"/>
        </w:rPr>
        <w:t>d</w:t>
      </w:r>
      <w:r>
        <w:rPr>
          <w:kern w:val="10"/>
          <w:sz w:val="24"/>
        </w:rPr>
        <w:t>（陡山沱组）、∈</w:t>
      </w:r>
      <w:r>
        <w:rPr>
          <w:kern w:val="10"/>
          <w:sz w:val="24"/>
          <w:vertAlign w:val="subscript"/>
        </w:rPr>
        <w:t>1</w:t>
      </w:r>
      <w:r>
        <w:rPr>
          <w:i/>
          <w:iCs/>
          <w:kern w:val="10"/>
          <w:sz w:val="24"/>
        </w:rPr>
        <w:t>y</w:t>
      </w:r>
      <w:r>
        <w:rPr>
          <w:kern w:val="10"/>
          <w:sz w:val="24"/>
        </w:rPr>
        <w:t>（渔户村组）、∈</w:t>
      </w:r>
      <w:r>
        <w:rPr>
          <w:kern w:val="10"/>
          <w:sz w:val="24"/>
          <w:vertAlign w:val="subscript"/>
        </w:rPr>
        <w:t>1</w:t>
      </w:r>
      <w:r>
        <w:rPr>
          <w:i/>
          <w:iCs/>
          <w:kern w:val="10"/>
          <w:sz w:val="24"/>
        </w:rPr>
        <w:t>q</w:t>
      </w:r>
      <w:r>
        <w:rPr>
          <w:kern w:val="10"/>
          <w:sz w:val="24"/>
        </w:rPr>
        <w:t>（筇竹寺组）、∈</w:t>
      </w:r>
      <w:r>
        <w:rPr>
          <w:kern w:val="10"/>
          <w:sz w:val="24"/>
          <w:vertAlign w:val="subscript"/>
        </w:rPr>
        <w:t>1</w:t>
      </w:r>
      <w:r>
        <w:rPr>
          <w:i/>
          <w:iCs/>
          <w:kern w:val="10"/>
          <w:sz w:val="24"/>
        </w:rPr>
        <w:t>c</w:t>
      </w:r>
      <w:r>
        <w:rPr>
          <w:kern w:val="10"/>
          <w:sz w:val="24"/>
        </w:rPr>
        <w:t>（沧浪铺组）、S</w:t>
      </w:r>
      <w:r>
        <w:rPr>
          <w:kern w:val="10"/>
          <w:sz w:val="24"/>
          <w:vertAlign w:val="subscript"/>
        </w:rPr>
        <w:t>2</w:t>
      </w:r>
      <w:r>
        <w:rPr>
          <w:i/>
          <w:iCs/>
          <w:kern w:val="10"/>
          <w:sz w:val="24"/>
        </w:rPr>
        <w:t>y</w:t>
      </w:r>
      <w:r>
        <w:rPr>
          <w:kern w:val="10"/>
          <w:sz w:val="24"/>
        </w:rPr>
        <w:t>（玉龙寺组）、C</w:t>
      </w:r>
      <w:r>
        <w:rPr>
          <w:kern w:val="10"/>
          <w:sz w:val="24"/>
          <w:vertAlign w:val="subscript"/>
        </w:rPr>
        <w:t>1</w:t>
      </w:r>
      <w:r>
        <w:rPr>
          <w:i/>
          <w:iCs/>
          <w:kern w:val="10"/>
          <w:sz w:val="24"/>
        </w:rPr>
        <w:t>dw</w:t>
      </w:r>
      <w:r>
        <w:rPr>
          <w:kern w:val="10"/>
          <w:sz w:val="24"/>
        </w:rPr>
        <w:t>（万寿山段）、P</w:t>
      </w:r>
      <w:r>
        <w:rPr>
          <w:kern w:val="10"/>
          <w:sz w:val="24"/>
          <w:vertAlign w:val="subscript"/>
        </w:rPr>
        <w:t>1</w:t>
      </w:r>
      <w:r>
        <w:rPr>
          <w:i/>
          <w:iCs/>
          <w:kern w:val="10"/>
          <w:sz w:val="24"/>
        </w:rPr>
        <w:t>d</w:t>
      </w:r>
      <w:r>
        <w:rPr>
          <w:kern w:val="10"/>
          <w:sz w:val="24"/>
        </w:rPr>
        <w:t>（倒石头组）、P</w:t>
      </w:r>
      <w:r>
        <w:rPr>
          <w:kern w:val="10"/>
          <w:sz w:val="24"/>
          <w:vertAlign w:val="subscript"/>
        </w:rPr>
        <w:t>2</w:t>
      </w:r>
      <w:r>
        <w:rPr>
          <w:i/>
          <w:iCs/>
          <w:kern w:val="10"/>
          <w:sz w:val="24"/>
        </w:rPr>
        <w:t>β</w:t>
      </w:r>
      <w:r>
        <w:rPr>
          <w:kern w:val="10"/>
          <w:sz w:val="24"/>
        </w:rPr>
        <w:t>（峨嵋山玄武岩组）、E</w:t>
      </w:r>
      <w:r>
        <w:rPr>
          <w:i/>
          <w:iCs/>
          <w:kern w:val="10"/>
          <w:sz w:val="24"/>
        </w:rPr>
        <w:t>l</w:t>
      </w:r>
      <w:r>
        <w:rPr>
          <w:kern w:val="10"/>
          <w:sz w:val="24"/>
        </w:rPr>
        <w:t>（路美邑组）、E</w:t>
      </w:r>
      <w:r>
        <w:rPr>
          <w:i/>
          <w:iCs/>
          <w:kern w:val="10"/>
          <w:sz w:val="24"/>
        </w:rPr>
        <w:t>x</w:t>
      </w:r>
      <w:r>
        <w:rPr>
          <w:kern w:val="10"/>
          <w:sz w:val="24"/>
        </w:rPr>
        <w:t>（小屯组）等地层。岩性主要为板岩、粉细砂岩、砾岩、页岩、粉砂质页岩、长石石英砂岩、石英砂岩、玄武岩、凝灰岩、泥岩、含砾砂岩等，地下水分水岭和地表水分水岭基本一致，其运移方向也与地形坡向等基本一致，在接收大气降水补给后，自高处向低处运移至相对隔水层后，于沟谷或低洼处沿薄弱部位呈泉水或散浸等形式溢出地表，最终流入本区最低侵蚀基准面——南盘江。</w:t>
      </w:r>
    </w:p>
    <w:p w14:paraId="121A258C">
      <w:pPr>
        <w:pStyle w:val="10"/>
        <w:spacing w:line="360" w:lineRule="auto"/>
        <w:ind w:firstLine="480"/>
        <w:rPr>
          <w:kern w:val="0"/>
          <w:sz w:val="24"/>
        </w:rPr>
      </w:pPr>
      <w:r>
        <w:rPr>
          <w:kern w:val="10"/>
          <w:sz w:val="24"/>
        </w:rPr>
        <w:t>分布于石林—上蒲草村—上冒水洞与站屯村—水塘铺—子代诗玛挟持地区的P</w:t>
      </w:r>
      <w:r>
        <w:rPr>
          <w:kern w:val="10"/>
          <w:sz w:val="24"/>
          <w:vertAlign w:val="subscript"/>
        </w:rPr>
        <w:t>1</w:t>
      </w:r>
      <w:r>
        <w:rPr>
          <w:i/>
          <w:iCs/>
          <w:kern w:val="10"/>
          <w:sz w:val="24"/>
        </w:rPr>
        <w:t>y</w:t>
      </w:r>
      <w:r>
        <w:rPr>
          <w:kern w:val="10"/>
          <w:sz w:val="24"/>
        </w:rPr>
        <w:t>（阳新组）地层，岩性为白云质灰岩、灰岩、白云岩，岩溶极为发育而且典型，峰丛、洼地、落洞、漏斗星罗棋布，地表水系极不发育，大部分降雨渗入地下，闻名于世的石林及规模宏大的暗河系统就发育在该地层中，具有良好的储水空间条件，造成这一区域以地下水为主。分布于水塘铺—子代诗玛—豆黑村以东地区的D</w:t>
      </w:r>
      <w:r>
        <w:rPr>
          <w:kern w:val="10"/>
          <w:sz w:val="24"/>
          <w:vertAlign w:val="subscript"/>
        </w:rPr>
        <w:t>2</w:t>
      </w:r>
      <w:r>
        <w:rPr>
          <w:i/>
          <w:iCs/>
          <w:kern w:val="10"/>
          <w:sz w:val="24"/>
        </w:rPr>
        <w:t>q</w:t>
      </w:r>
      <w:r>
        <w:rPr>
          <w:kern w:val="10"/>
          <w:sz w:val="24"/>
        </w:rPr>
        <w:t>（曲靖组）、D</w:t>
      </w:r>
      <w:r>
        <w:rPr>
          <w:kern w:val="10"/>
          <w:sz w:val="24"/>
          <w:vertAlign w:val="subscript"/>
        </w:rPr>
        <w:t>3</w:t>
      </w:r>
      <w:r>
        <w:rPr>
          <w:i/>
          <w:iCs/>
          <w:kern w:val="10"/>
          <w:sz w:val="24"/>
        </w:rPr>
        <w:t>i</w:t>
      </w:r>
      <w:r>
        <w:rPr>
          <w:kern w:val="10"/>
          <w:sz w:val="24"/>
        </w:rPr>
        <w:t>（一打得组）、C</w:t>
      </w:r>
      <w:r>
        <w:rPr>
          <w:kern w:val="10"/>
          <w:sz w:val="24"/>
          <w:vertAlign w:val="subscript"/>
        </w:rPr>
        <w:t>1</w:t>
      </w:r>
      <w:r>
        <w:rPr>
          <w:i/>
          <w:iCs/>
          <w:kern w:val="10"/>
          <w:sz w:val="24"/>
        </w:rPr>
        <w:t>ds</w:t>
      </w:r>
      <w:r>
        <w:rPr>
          <w:kern w:val="10"/>
          <w:sz w:val="24"/>
        </w:rPr>
        <w:t>（上司段）、C</w:t>
      </w:r>
      <w:r>
        <w:rPr>
          <w:kern w:val="10"/>
          <w:sz w:val="24"/>
          <w:vertAlign w:val="subscript"/>
        </w:rPr>
        <w:t>2</w:t>
      </w:r>
      <w:r>
        <w:rPr>
          <w:i/>
          <w:iCs/>
          <w:kern w:val="10"/>
          <w:sz w:val="24"/>
        </w:rPr>
        <w:t>w</w:t>
      </w:r>
      <w:r>
        <w:rPr>
          <w:kern w:val="10"/>
          <w:sz w:val="24"/>
        </w:rPr>
        <w:t>（威宁群）、C</w:t>
      </w:r>
      <w:r>
        <w:rPr>
          <w:kern w:val="10"/>
          <w:sz w:val="24"/>
          <w:vertAlign w:val="subscript"/>
        </w:rPr>
        <w:t>3</w:t>
      </w:r>
      <w:r>
        <w:rPr>
          <w:i/>
          <w:iCs/>
          <w:kern w:val="10"/>
          <w:sz w:val="24"/>
        </w:rPr>
        <w:t>m</w:t>
      </w:r>
      <w:r>
        <w:rPr>
          <w:kern w:val="10"/>
          <w:sz w:val="24"/>
        </w:rPr>
        <w:t>（马平组）等地层，岩性主要为白云岩、泥质白云岩、灰岩、白云质灰岩、泥灰岩、角砾状灰岩、瘤状灰岩、鲕状灰岩，岩溶发育，地表水系不发育，大部分降雨渗入地下，仍以地下水为主，在这一区域的北部地下水由东北向西南径流，中部地下水由北西向南东径流，南部地下水由北北东向南南西径流，沿地形低凹处溢出地表。</w:t>
      </w:r>
    </w:p>
    <w:p w14:paraId="55971E1F">
      <w:pPr>
        <w:pStyle w:val="6"/>
        <w:spacing w:before="0" w:after="0" w:line="360" w:lineRule="auto"/>
        <w:rPr>
          <w:rFonts w:ascii="Times New Roman" w:hAnsi="Times New Roman" w:eastAsia="宋体"/>
          <w:sz w:val="30"/>
          <w:szCs w:val="30"/>
        </w:rPr>
      </w:pPr>
      <w:bookmarkStart w:id="85" w:name="_Toc23302"/>
      <w:bookmarkStart w:id="86" w:name="_Toc252917924"/>
      <w:bookmarkStart w:id="87" w:name="_Toc348972690"/>
      <w:r>
        <w:rPr>
          <w:rFonts w:ascii="Times New Roman" w:hAnsi="Times New Roman" w:eastAsia="宋体"/>
          <w:sz w:val="30"/>
          <w:szCs w:val="30"/>
        </w:rPr>
        <w:t>4.2环境质量现状监测与评价</w:t>
      </w:r>
      <w:bookmarkEnd w:id="85"/>
      <w:bookmarkEnd w:id="86"/>
      <w:bookmarkEnd w:id="87"/>
    </w:p>
    <w:p w14:paraId="2412647A">
      <w:pPr>
        <w:pStyle w:val="7"/>
        <w:spacing w:before="0" w:after="0" w:line="360" w:lineRule="auto"/>
        <w:rPr>
          <w:rFonts w:ascii="Times New Roman" w:hAnsi="Times New Roman"/>
          <w:sz w:val="28"/>
          <w:szCs w:val="28"/>
        </w:rPr>
      </w:pPr>
      <w:r>
        <w:rPr>
          <w:rFonts w:ascii="Times New Roman" w:hAnsi="Times New Roman"/>
          <w:sz w:val="28"/>
          <w:szCs w:val="28"/>
        </w:rPr>
        <w:t>4.2.1空气环境质量现状调查与评价</w:t>
      </w:r>
    </w:p>
    <w:p w14:paraId="60F16227">
      <w:pPr>
        <w:spacing w:line="360" w:lineRule="auto"/>
        <w:ind w:firstLine="480" w:firstLineChars="200"/>
        <w:jc w:val="left"/>
      </w:pPr>
      <w:r>
        <w:rPr>
          <w:sz w:val="24"/>
          <w:lang w:bidi="ar"/>
        </w:rPr>
        <w:t>项目位于石林彝族自治县</w:t>
      </w:r>
      <w:r>
        <w:rPr>
          <w:sz w:val="24"/>
        </w:rPr>
        <w:t>圭山镇法块村委会法块村、普拉河村委会上寨村</w:t>
      </w:r>
      <w:r>
        <w:rPr>
          <w:sz w:val="24"/>
          <w:lang w:bidi="ar"/>
        </w:rPr>
        <w:t>，所在区域属环境空气功能二类区，执行GB3095-2012《环境空气质量标准》中二级标准。</w:t>
      </w:r>
    </w:p>
    <w:p w14:paraId="7B62A718">
      <w:pPr>
        <w:autoSpaceDE w:val="0"/>
        <w:autoSpaceDN w:val="0"/>
        <w:adjustRightInd w:val="0"/>
        <w:spacing w:line="360" w:lineRule="auto"/>
        <w:ind w:firstLine="472" w:firstLineChars="196"/>
        <w:rPr>
          <w:b/>
          <w:bCs/>
          <w:kern w:val="0"/>
          <w:sz w:val="24"/>
        </w:rPr>
      </w:pPr>
      <w:r>
        <w:rPr>
          <w:b/>
          <w:bCs/>
          <w:kern w:val="0"/>
          <w:sz w:val="24"/>
        </w:rPr>
        <w:t>（1）项目所在区域环境质量达标情况</w:t>
      </w:r>
    </w:p>
    <w:p w14:paraId="772D5FDF">
      <w:pPr>
        <w:autoSpaceDE w:val="0"/>
        <w:autoSpaceDN w:val="0"/>
        <w:adjustRightInd w:val="0"/>
        <w:spacing w:line="360" w:lineRule="auto"/>
        <w:ind w:firstLine="470" w:firstLineChars="196"/>
        <w:rPr>
          <w:sz w:val="24"/>
        </w:rPr>
      </w:pPr>
      <w:r>
        <w:rPr>
          <w:kern w:val="0"/>
          <w:sz w:val="24"/>
        </w:rPr>
        <w:t>根据昆明市环境保护局发布的《2020年昆明市生态环境状况公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判定</w:t>
      </w:r>
      <w:r>
        <w:rPr>
          <w:sz w:val="24"/>
        </w:rPr>
        <w:t>项目所在区域属于达标区。</w:t>
      </w:r>
    </w:p>
    <w:p w14:paraId="4858DB32">
      <w:pPr>
        <w:autoSpaceDE w:val="0"/>
        <w:autoSpaceDN w:val="0"/>
        <w:adjustRightInd w:val="0"/>
        <w:spacing w:line="360" w:lineRule="auto"/>
        <w:ind w:firstLine="472" w:firstLineChars="196"/>
        <w:rPr>
          <w:b/>
          <w:bCs/>
          <w:kern w:val="0"/>
          <w:sz w:val="24"/>
        </w:rPr>
      </w:pPr>
      <w:r>
        <w:rPr>
          <w:b/>
          <w:bCs/>
          <w:kern w:val="0"/>
          <w:sz w:val="24"/>
        </w:rPr>
        <w:t>（2）项目所在区域污染物环境质量现状</w:t>
      </w:r>
    </w:p>
    <w:p w14:paraId="22D5A0A2">
      <w:pPr>
        <w:spacing w:line="360" w:lineRule="auto"/>
        <w:ind w:firstLine="480"/>
        <w:rPr>
          <w:sz w:val="24"/>
          <w:lang w:bidi="ar"/>
        </w:rPr>
      </w:pPr>
      <w:r>
        <w:rPr>
          <w:kern w:val="10"/>
          <w:sz w:val="24"/>
        </w:rPr>
        <w:t>项目废气特征因子主要为NH</w:t>
      </w:r>
      <w:r>
        <w:rPr>
          <w:kern w:val="10"/>
          <w:sz w:val="24"/>
          <w:vertAlign w:val="subscript"/>
        </w:rPr>
        <w:t>3</w:t>
      </w:r>
      <w:r>
        <w:rPr>
          <w:kern w:val="10"/>
          <w:sz w:val="24"/>
        </w:rPr>
        <w:t>、H</w:t>
      </w:r>
      <w:r>
        <w:rPr>
          <w:kern w:val="10"/>
          <w:sz w:val="24"/>
          <w:vertAlign w:val="subscript"/>
        </w:rPr>
        <w:t>2</w:t>
      </w:r>
      <w:r>
        <w:rPr>
          <w:kern w:val="10"/>
          <w:sz w:val="24"/>
        </w:rPr>
        <w:t>S，为了解项目区特征因子环境质量现状，建设单位</w:t>
      </w:r>
      <w:r>
        <w:rPr>
          <w:bCs/>
          <w:sz w:val="24"/>
        </w:rPr>
        <w:t>2021/3/28</w:t>
      </w:r>
      <w:r>
        <w:rPr>
          <w:sz w:val="24"/>
          <w:lang w:bidi="ar"/>
        </w:rPr>
        <w:t>~</w:t>
      </w:r>
      <w:r>
        <w:rPr>
          <w:bCs/>
          <w:sz w:val="24"/>
        </w:rPr>
        <w:t>2021/4/3</w:t>
      </w:r>
      <w:r>
        <w:rPr>
          <w:sz w:val="24"/>
          <w:lang w:bidi="ar"/>
        </w:rPr>
        <w:t>日委托云南环绿环境检测技术有限公司对项目区进行了大气环境质量现状进行了监测。</w:t>
      </w:r>
    </w:p>
    <w:p w14:paraId="14D9C271">
      <w:pPr>
        <w:spacing w:line="360" w:lineRule="auto"/>
        <w:ind w:firstLine="480"/>
        <w:rPr>
          <w:kern w:val="10"/>
          <w:sz w:val="24"/>
        </w:rPr>
      </w:pPr>
      <w:r>
        <w:rPr>
          <w:kern w:val="10"/>
          <w:sz w:val="24"/>
        </w:rPr>
        <w:t>①监测时间</w:t>
      </w:r>
    </w:p>
    <w:p w14:paraId="6A05F0E0">
      <w:pPr>
        <w:spacing w:line="360" w:lineRule="auto"/>
        <w:ind w:firstLine="480"/>
        <w:rPr>
          <w:sz w:val="24"/>
          <w:lang w:bidi="ar"/>
        </w:rPr>
      </w:pPr>
      <w:r>
        <w:rPr>
          <w:sz w:val="24"/>
          <w:lang w:bidi="ar"/>
        </w:rPr>
        <w:t>建设单位于</w:t>
      </w:r>
      <w:r>
        <w:rPr>
          <w:bCs/>
          <w:sz w:val="24"/>
        </w:rPr>
        <w:t>2021/3/28</w:t>
      </w:r>
      <w:r>
        <w:rPr>
          <w:sz w:val="24"/>
          <w:lang w:bidi="ar"/>
        </w:rPr>
        <w:t>~</w:t>
      </w:r>
      <w:r>
        <w:rPr>
          <w:bCs/>
          <w:sz w:val="24"/>
        </w:rPr>
        <w:t>2021/4/3</w:t>
      </w:r>
      <w:r>
        <w:rPr>
          <w:sz w:val="24"/>
          <w:lang w:bidi="ar"/>
        </w:rPr>
        <w:t>日委托云南环绿环境检测技术有限公司对项目区进行了大气环境质量现状进行了监测。</w:t>
      </w:r>
    </w:p>
    <w:p w14:paraId="67D05AFE">
      <w:pPr>
        <w:pStyle w:val="2"/>
        <w:spacing w:line="360" w:lineRule="auto"/>
        <w:ind w:firstLine="480" w:firstLineChars="200"/>
        <w:rPr>
          <w:rFonts w:ascii="Times New Roman" w:hAnsi="Times New Roman"/>
          <w:color w:val="auto"/>
          <w:lang w:bidi="ar"/>
        </w:rPr>
      </w:pPr>
      <w:r>
        <w:rPr>
          <w:rFonts w:ascii="Times New Roman" w:hAnsi="Times New Roman"/>
          <w:color w:val="auto"/>
          <w:lang w:bidi="ar"/>
        </w:rPr>
        <w:t>②监测因子</w:t>
      </w:r>
    </w:p>
    <w:p w14:paraId="5F4791BF">
      <w:pPr>
        <w:spacing w:line="360" w:lineRule="auto"/>
        <w:ind w:left="-105" w:leftChars="-50" w:right="-105" w:rightChars="-50" w:firstLine="720" w:firstLineChars="300"/>
        <w:rPr>
          <w:sz w:val="24"/>
          <w:lang w:bidi="ar"/>
        </w:rPr>
      </w:pPr>
      <w:r>
        <w:rPr>
          <w:kern w:val="10"/>
          <w:sz w:val="24"/>
        </w:rPr>
        <w:t>H</w:t>
      </w:r>
      <w:r>
        <w:rPr>
          <w:kern w:val="10"/>
          <w:sz w:val="24"/>
          <w:vertAlign w:val="subscript"/>
        </w:rPr>
        <w:t>2</w:t>
      </w:r>
      <w:r>
        <w:rPr>
          <w:kern w:val="10"/>
          <w:sz w:val="24"/>
        </w:rPr>
        <w:t>S、NH</w:t>
      </w:r>
      <w:r>
        <w:rPr>
          <w:kern w:val="10"/>
          <w:sz w:val="24"/>
          <w:vertAlign w:val="subscript"/>
        </w:rPr>
        <w:t>3</w:t>
      </w:r>
    </w:p>
    <w:p w14:paraId="37057100">
      <w:pPr>
        <w:spacing w:line="360" w:lineRule="auto"/>
        <w:ind w:firstLine="480"/>
        <w:rPr>
          <w:kern w:val="10"/>
          <w:sz w:val="24"/>
        </w:rPr>
      </w:pPr>
      <w:r>
        <w:rPr>
          <w:kern w:val="10"/>
          <w:sz w:val="24"/>
        </w:rPr>
        <w:t>③监测点基本信息</w:t>
      </w:r>
    </w:p>
    <w:p w14:paraId="4A5D507B">
      <w:pPr>
        <w:jc w:val="center"/>
        <w:rPr>
          <w:b/>
          <w:kern w:val="0"/>
          <w:sz w:val="24"/>
        </w:rPr>
      </w:pPr>
      <w:r>
        <w:rPr>
          <w:b/>
          <w:kern w:val="0"/>
          <w:sz w:val="24"/>
        </w:rPr>
        <w:t>表4.2-1 污染源补充监测点位基本信息</w:t>
      </w:r>
    </w:p>
    <w:tbl>
      <w:tblPr>
        <w:tblStyle w:val="8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84"/>
        <w:gridCol w:w="736"/>
        <w:gridCol w:w="702"/>
        <w:gridCol w:w="4048"/>
        <w:gridCol w:w="1111"/>
        <w:gridCol w:w="1126"/>
      </w:tblGrid>
      <w:tr w14:paraId="6BA6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8" w:type="pct"/>
            <w:vMerge w:val="restart"/>
            <w:shd w:val="pct10" w:color="auto" w:fill="auto"/>
            <w:noWrap w:val="0"/>
            <w:vAlign w:val="center"/>
          </w:tcPr>
          <w:p w14:paraId="639658EA">
            <w:pPr>
              <w:ind w:left="-105" w:leftChars="-50" w:right="-105" w:rightChars="-50"/>
              <w:jc w:val="center"/>
              <w:rPr>
                <w:b/>
                <w:bCs/>
                <w:szCs w:val="21"/>
              </w:rPr>
            </w:pPr>
            <w:r>
              <w:rPr>
                <w:b/>
                <w:bCs/>
                <w:szCs w:val="21"/>
              </w:rPr>
              <w:t>监测点</w:t>
            </w:r>
          </w:p>
          <w:p w14:paraId="60361443">
            <w:pPr>
              <w:ind w:left="-105" w:leftChars="-50" w:right="-105" w:rightChars="-50"/>
              <w:jc w:val="center"/>
              <w:rPr>
                <w:szCs w:val="21"/>
              </w:rPr>
            </w:pPr>
            <w:r>
              <w:rPr>
                <w:b/>
                <w:bCs/>
                <w:szCs w:val="21"/>
              </w:rPr>
              <w:t>名称</w:t>
            </w:r>
          </w:p>
        </w:tc>
        <w:tc>
          <w:tcPr>
            <w:tcW w:w="818" w:type="pct"/>
            <w:gridSpan w:val="2"/>
            <w:shd w:val="pct10" w:color="auto" w:fill="auto"/>
            <w:noWrap w:val="0"/>
            <w:vAlign w:val="center"/>
          </w:tcPr>
          <w:p w14:paraId="195C7A8F">
            <w:pPr>
              <w:ind w:left="-105" w:leftChars="-50" w:right="-105" w:rightChars="-50"/>
              <w:jc w:val="center"/>
              <w:rPr>
                <w:b/>
                <w:bCs/>
                <w:szCs w:val="21"/>
              </w:rPr>
            </w:pPr>
            <w:r>
              <w:rPr>
                <w:b/>
                <w:bCs/>
                <w:szCs w:val="21"/>
              </w:rPr>
              <w:t>监测点坐标/m</w:t>
            </w:r>
          </w:p>
        </w:tc>
        <w:tc>
          <w:tcPr>
            <w:tcW w:w="378" w:type="pct"/>
            <w:vMerge w:val="restart"/>
            <w:shd w:val="pct10" w:color="auto" w:fill="auto"/>
            <w:noWrap w:val="0"/>
            <w:vAlign w:val="center"/>
          </w:tcPr>
          <w:p w14:paraId="5A831F18">
            <w:pPr>
              <w:ind w:left="-105" w:leftChars="-50" w:right="-105" w:rightChars="-50"/>
              <w:jc w:val="center"/>
              <w:rPr>
                <w:b/>
                <w:bCs/>
                <w:szCs w:val="21"/>
              </w:rPr>
            </w:pPr>
            <w:r>
              <w:rPr>
                <w:b/>
                <w:bCs/>
                <w:szCs w:val="21"/>
              </w:rPr>
              <w:t>监测</w:t>
            </w:r>
          </w:p>
          <w:p w14:paraId="79AB7AAE">
            <w:pPr>
              <w:ind w:left="-105" w:leftChars="-50" w:right="-105" w:rightChars="-50"/>
              <w:jc w:val="center"/>
              <w:rPr>
                <w:b/>
                <w:bCs/>
                <w:szCs w:val="21"/>
              </w:rPr>
            </w:pPr>
            <w:r>
              <w:rPr>
                <w:b/>
                <w:bCs/>
                <w:szCs w:val="21"/>
              </w:rPr>
              <w:t>因子</w:t>
            </w:r>
          </w:p>
        </w:tc>
        <w:tc>
          <w:tcPr>
            <w:tcW w:w="2179" w:type="pct"/>
            <w:vMerge w:val="restart"/>
            <w:shd w:val="pct10" w:color="auto" w:fill="auto"/>
            <w:noWrap w:val="0"/>
            <w:vAlign w:val="center"/>
          </w:tcPr>
          <w:p w14:paraId="01B6252B">
            <w:pPr>
              <w:ind w:left="-105" w:leftChars="-50" w:right="-105" w:rightChars="-50"/>
              <w:jc w:val="center"/>
              <w:rPr>
                <w:b/>
                <w:bCs/>
                <w:szCs w:val="21"/>
              </w:rPr>
            </w:pPr>
            <w:r>
              <w:rPr>
                <w:b/>
                <w:bCs/>
                <w:szCs w:val="21"/>
              </w:rPr>
              <w:t>监测时段</w:t>
            </w:r>
          </w:p>
        </w:tc>
        <w:tc>
          <w:tcPr>
            <w:tcW w:w="598" w:type="pct"/>
            <w:vMerge w:val="restart"/>
            <w:shd w:val="pct10" w:color="auto" w:fill="auto"/>
            <w:noWrap w:val="0"/>
            <w:vAlign w:val="center"/>
          </w:tcPr>
          <w:p w14:paraId="000E4006">
            <w:pPr>
              <w:ind w:left="-105" w:leftChars="-50" w:right="-105" w:rightChars="-50"/>
              <w:jc w:val="center"/>
              <w:rPr>
                <w:b/>
                <w:bCs/>
                <w:szCs w:val="21"/>
              </w:rPr>
            </w:pPr>
            <w:r>
              <w:rPr>
                <w:b/>
                <w:bCs/>
                <w:szCs w:val="21"/>
              </w:rPr>
              <w:t>相对厂址</w:t>
            </w:r>
          </w:p>
          <w:p w14:paraId="1FB39DAE">
            <w:pPr>
              <w:ind w:left="-105" w:leftChars="-50" w:right="-105" w:rightChars="-50"/>
              <w:jc w:val="center"/>
              <w:rPr>
                <w:b/>
                <w:bCs/>
                <w:szCs w:val="21"/>
              </w:rPr>
            </w:pPr>
            <w:r>
              <w:rPr>
                <w:b/>
                <w:bCs/>
                <w:szCs w:val="21"/>
              </w:rPr>
              <w:t>方位</w:t>
            </w:r>
          </w:p>
        </w:tc>
        <w:tc>
          <w:tcPr>
            <w:tcW w:w="606" w:type="pct"/>
            <w:vMerge w:val="restart"/>
            <w:shd w:val="pct10" w:color="auto" w:fill="auto"/>
            <w:noWrap w:val="0"/>
            <w:vAlign w:val="center"/>
          </w:tcPr>
          <w:p w14:paraId="1D9C057C">
            <w:pPr>
              <w:ind w:left="-105" w:leftChars="-50" w:right="-105" w:rightChars="-50"/>
              <w:jc w:val="center"/>
              <w:rPr>
                <w:b/>
                <w:bCs/>
                <w:szCs w:val="21"/>
              </w:rPr>
            </w:pPr>
            <w:r>
              <w:rPr>
                <w:b/>
                <w:bCs/>
                <w:szCs w:val="21"/>
              </w:rPr>
              <w:t>相对厂界</w:t>
            </w:r>
          </w:p>
          <w:p w14:paraId="4706A108">
            <w:pPr>
              <w:ind w:left="-105" w:leftChars="-50" w:right="-105" w:rightChars="-50"/>
              <w:jc w:val="center"/>
              <w:rPr>
                <w:b/>
                <w:bCs/>
                <w:szCs w:val="21"/>
              </w:rPr>
            </w:pPr>
            <w:r>
              <w:rPr>
                <w:b/>
                <w:bCs/>
                <w:szCs w:val="21"/>
              </w:rPr>
              <w:t>距离/m</w:t>
            </w:r>
          </w:p>
        </w:tc>
      </w:tr>
      <w:tr w14:paraId="3BDB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8" w:type="pct"/>
            <w:vMerge w:val="continue"/>
            <w:shd w:val="pct10" w:color="auto" w:fill="auto"/>
            <w:noWrap w:val="0"/>
            <w:vAlign w:val="center"/>
          </w:tcPr>
          <w:p w14:paraId="460734ED">
            <w:pPr>
              <w:ind w:left="-105" w:leftChars="-50" w:right="-105" w:rightChars="-50"/>
              <w:jc w:val="center"/>
              <w:rPr>
                <w:szCs w:val="21"/>
              </w:rPr>
            </w:pPr>
          </w:p>
        </w:tc>
        <w:tc>
          <w:tcPr>
            <w:tcW w:w="422" w:type="pct"/>
            <w:shd w:val="pct10" w:color="auto" w:fill="auto"/>
            <w:noWrap w:val="0"/>
            <w:vAlign w:val="center"/>
          </w:tcPr>
          <w:p w14:paraId="507AE348">
            <w:pPr>
              <w:ind w:left="-105" w:leftChars="-50" w:right="-105" w:rightChars="-50"/>
              <w:jc w:val="center"/>
              <w:rPr>
                <w:b/>
                <w:bCs/>
                <w:szCs w:val="21"/>
              </w:rPr>
            </w:pPr>
            <w:r>
              <w:rPr>
                <w:b/>
                <w:bCs/>
                <w:szCs w:val="21"/>
              </w:rPr>
              <w:t>X</w:t>
            </w:r>
          </w:p>
        </w:tc>
        <w:tc>
          <w:tcPr>
            <w:tcW w:w="396" w:type="pct"/>
            <w:shd w:val="pct10" w:color="auto" w:fill="auto"/>
            <w:noWrap w:val="0"/>
            <w:vAlign w:val="center"/>
          </w:tcPr>
          <w:p w14:paraId="18998BC8">
            <w:pPr>
              <w:ind w:left="-105" w:leftChars="-50" w:right="-105" w:rightChars="-50"/>
              <w:jc w:val="center"/>
              <w:rPr>
                <w:b/>
                <w:bCs/>
                <w:szCs w:val="21"/>
              </w:rPr>
            </w:pPr>
            <w:r>
              <w:rPr>
                <w:b/>
                <w:bCs/>
                <w:szCs w:val="21"/>
              </w:rPr>
              <w:t>Y</w:t>
            </w:r>
          </w:p>
        </w:tc>
        <w:tc>
          <w:tcPr>
            <w:tcW w:w="378" w:type="pct"/>
            <w:vMerge w:val="continue"/>
            <w:shd w:val="pct10" w:color="auto" w:fill="auto"/>
            <w:noWrap w:val="0"/>
            <w:vAlign w:val="center"/>
          </w:tcPr>
          <w:p w14:paraId="503AB7B5">
            <w:pPr>
              <w:ind w:left="-105" w:leftChars="-50" w:right="-105" w:rightChars="-50"/>
              <w:jc w:val="center"/>
              <w:rPr>
                <w:b/>
                <w:bCs/>
                <w:szCs w:val="21"/>
              </w:rPr>
            </w:pPr>
          </w:p>
        </w:tc>
        <w:tc>
          <w:tcPr>
            <w:tcW w:w="2179" w:type="pct"/>
            <w:vMerge w:val="continue"/>
            <w:shd w:val="pct10" w:color="auto" w:fill="auto"/>
            <w:noWrap w:val="0"/>
            <w:vAlign w:val="center"/>
          </w:tcPr>
          <w:p w14:paraId="08F6E599">
            <w:pPr>
              <w:ind w:left="-105" w:leftChars="-50" w:right="-105" w:rightChars="-50"/>
              <w:jc w:val="center"/>
              <w:rPr>
                <w:b/>
                <w:bCs/>
                <w:szCs w:val="21"/>
              </w:rPr>
            </w:pPr>
          </w:p>
        </w:tc>
        <w:tc>
          <w:tcPr>
            <w:tcW w:w="598" w:type="pct"/>
            <w:vMerge w:val="continue"/>
            <w:shd w:val="pct10" w:color="auto" w:fill="auto"/>
            <w:noWrap w:val="0"/>
            <w:vAlign w:val="center"/>
          </w:tcPr>
          <w:p w14:paraId="6CBF1F36">
            <w:pPr>
              <w:ind w:left="-105" w:leftChars="-50" w:right="-105" w:rightChars="-50"/>
              <w:jc w:val="center"/>
              <w:rPr>
                <w:b/>
                <w:bCs/>
                <w:szCs w:val="21"/>
              </w:rPr>
            </w:pPr>
          </w:p>
        </w:tc>
        <w:tc>
          <w:tcPr>
            <w:tcW w:w="606" w:type="pct"/>
            <w:vMerge w:val="continue"/>
            <w:shd w:val="pct10" w:color="auto" w:fill="auto"/>
            <w:noWrap w:val="0"/>
            <w:vAlign w:val="center"/>
          </w:tcPr>
          <w:p w14:paraId="0867C57C">
            <w:pPr>
              <w:ind w:left="-105" w:leftChars="-50" w:right="-105" w:rightChars="-50"/>
              <w:jc w:val="center"/>
              <w:rPr>
                <w:b/>
                <w:bCs/>
                <w:szCs w:val="21"/>
              </w:rPr>
            </w:pPr>
          </w:p>
        </w:tc>
      </w:tr>
      <w:tr w14:paraId="047F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8" w:type="pct"/>
            <w:noWrap w:val="0"/>
            <w:vAlign w:val="center"/>
          </w:tcPr>
          <w:p w14:paraId="0829BC8D">
            <w:pPr>
              <w:ind w:left="-105" w:leftChars="-50" w:right="-105" w:rightChars="-50"/>
              <w:jc w:val="center"/>
              <w:rPr>
                <w:szCs w:val="21"/>
              </w:rPr>
            </w:pPr>
            <w:r>
              <w:rPr>
                <w:bCs/>
                <w:szCs w:val="21"/>
              </w:rPr>
              <w:t>G1法块村</w:t>
            </w:r>
          </w:p>
        </w:tc>
        <w:tc>
          <w:tcPr>
            <w:tcW w:w="422" w:type="pct"/>
            <w:noWrap w:val="0"/>
            <w:vAlign w:val="center"/>
          </w:tcPr>
          <w:p w14:paraId="4EFADE79">
            <w:pPr>
              <w:jc w:val="center"/>
              <w:rPr>
                <w:szCs w:val="21"/>
              </w:rPr>
            </w:pPr>
          </w:p>
        </w:tc>
        <w:tc>
          <w:tcPr>
            <w:tcW w:w="396" w:type="pct"/>
            <w:noWrap w:val="0"/>
            <w:vAlign w:val="center"/>
          </w:tcPr>
          <w:p w14:paraId="242451E0">
            <w:pPr>
              <w:jc w:val="center"/>
              <w:rPr>
                <w:szCs w:val="21"/>
              </w:rPr>
            </w:pPr>
          </w:p>
        </w:tc>
        <w:tc>
          <w:tcPr>
            <w:tcW w:w="378" w:type="pct"/>
            <w:noWrap w:val="0"/>
            <w:vAlign w:val="center"/>
          </w:tcPr>
          <w:p w14:paraId="4EAC23A8">
            <w:pPr>
              <w:ind w:left="-105" w:leftChars="-50" w:right="-105" w:rightChars="-50"/>
              <w:jc w:val="center"/>
              <w:rPr>
                <w:kern w:val="10"/>
                <w:szCs w:val="21"/>
              </w:rPr>
            </w:pPr>
            <w:r>
              <w:rPr>
                <w:kern w:val="10"/>
                <w:szCs w:val="21"/>
              </w:rPr>
              <w:t>H</w:t>
            </w:r>
            <w:r>
              <w:rPr>
                <w:kern w:val="10"/>
                <w:szCs w:val="21"/>
                <w:vertAlign w:val="subscript"/>
              </w:rPr>
              <w:t>2</w:t>
            </w:r>
            <w:r>
              <w:rPr>
                <w:kern w:val="10"/>
                <w:szCs w:val="21"/>
              </w:rPr>
              <w:t>S</w:t>
            </w:r>
          </w:p>
          <w:p w14:paraId="614AC0CA">
            <w:pPr>
              <w:ind w:left="-105" w:leftChars="-50" w:right="-105" w:rightChars="-50"/>
              <w:jc w:val="center"/>
              <w:rPr>
                <w:szCs w:val="21"/>
              </w:rPr>
            </w:pPr>
            <w:r>
              <w:rPr>
                <w:kern w:val="10"/>
                <w:szCs w:val="21"/>
              </w:rPr>
              <w:t>NH</w:t>
            </w:r>
            <w:r>
              <w:rPr>
                <w:kern w:val="10"/>
                <w:szCs w:val="21"/>
                <w:vertAlign w:val="subscript"/>
              </w:rPr>
              <w:t>3</w:t>
            </w:r>
          </w:p>
        </w:tc>
        <w:tc>
          <w:tcPr>
            <w:tcW w:w="2179" w:type="pct"/>
            <w:vMerge w:val="restart"/>
            <w:noWrap w:val="0"/>
            <w:vAlign w:val="center"/>
          </w:tcPr>
          <w:p w14:paraId="3064990F">
            <w:pPr>
              <w:ind w:left="-105" w:leftChars="-50" w:right="-105" w:rightChars="-50"/>
              <w:jc w:val="center"/>
              <w:rPr>
                <w:szCs w:val="21"/>
              </w:rPr>
            </w:pPr>
            <w:r>
              <w:t>连续采样7天。NH</w:t>
            </w:r>
            <w:r>
              <w:rPr>
                <w:vertAlign w:val="subscript"/>
              </w:rPr>
              <w:t>3</w:t>
            </w:r>
            <w:r>
              <w:t>、H</w:t>
            </w:r>
            <w:r>
              <w:rPr>
                <w:vertAlign w:val="subscript"/>
              </w:rPr>
              <w:t>2</w:t>
            </w:r>
            <w:r>
              <w:t>S1小时浓度每天监测4个时段，每次45～60min，即每日02:00，08:00，14:00，20:00</w:t>
            </w:r>
          </w:p>
        </w:tc>
        <w:tc>
          <w:tcPr>
            <w:tcW w:w="598" w:type="pct"/>
            <w:noWrap w:val="0"/>
            <w:vAlign w:val="center"/>
          </w:tcPr>
          <w:p w14:paraId="61224F96">
            <w:pPr>
              <w:ind w:left="-105" w:leftChars="-50" w:right="-105" w:rightChars="-50"/>
              <w:jc w:val="center"/>
              <w:rPr>
                <w:szCs w:val="21"/>
              </w:rPr>
            </w:pPr>
            <w:r>
              <w:rPr>
                <w:szCs w:val="21"/>
              </w:rPr>
              <w:t>东北</w:t>
            </w:r>
          </w:p>
        </w:tc>
        <w:tc>
          <w:tcPr>
            <w:tcW w:w="606" w:type="pct"/>
            <w:noWrap w:val="0"/>
            <w:vAlign w:val="center"/>
          </w:tcPr>
          <w:p w14:paraId="4E93F976">
            <w:pPr>
              <w:ind w:left="-105" w:leftChars="-50" w:right="-105" w:rightChars="-50"/>
              <w:jc w:val="center"/>
              <w:rPr>
                <w:szCs w:val="21"/>
              </w:rPr>
            </w:pPr>
            <w:r>
              <w:rPr>
                <w:szCs w:val="21"/>
              </w:rPr>
              <w:t>440</w:t>
            </w:r>
          </w:p>
        </w:tc>
      </w:tr>
      <w:tr w14:paraId="0A12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8" w:type="pct"/>
            <w:noWrap w:val="0"/>
            <w:vAlign w:val="center"/>
          </w:tcPr>
          <w:p w14:paraId="5D492028">
            <w:pPr>
              <w:ind w:left="-105" w:leftChars="-50" w:right="-105" w:rightChars="-50"/>
              <w:jc w:val="center"/>
              <w:rPr>
                <w:spacing w:val="8"/>
                <w:szCs w:val="21"/>
              </w:rPr>
            </w:pPr>
            <w:r>
              <w:rPr>
                <w:bCs/>
                <w:szCs w:val="21"/>
              </w:rPr>
              <w:t>G2项目养殖地块二厂址处</w:t>
            </w:r>
          </w:p>
        </w:tc>
        <w:tc>
          <w:tcPr>
            <w:tcW w:w="422" w:type="pct"/>
            <w:noWrap w:val="0"/>
            <w:vAlign w:val="center"/>
          </w:tcPr>
          <w:p w14:paraId="411EE858">
            <w:pPr>
              <w:jc w:val="center"/>
              <w:rPr>
                <w:szCs w:val="21"/>
              </w:rPr>
            </w:pPr>
          </w:p>
        </w:tc>
        <w:tc>
          <w:tcPr>
            <w:tcW w:w="396" w:type="pct"/>
            <w:noWrap w:val="0"/>
            <w:vAlign w:val="center"/>
          </w:tcPr>
          <w:p w14:paraId="4CBAC74C">
            <w:pPr>
              <w:jc w:val="center"/>
              <w:rPr>
                <w:szCs w:val="21"/>
              </w:rPr>
            </w:pPr>
          </w:p>
        </w:tc>
        <w:tc>
          <w:tcPr>
            <w:tcW w:w="378" w:type="pct"/>
            <w:noWrap w:val="0"/>
            <w:vAlign w:val="center"/>
          </w:tcPr>
          <w:p w14:paraId="42309F3D">
            <w:pPr>
              <w:ind w:left="-105" w:leftChars="-50" w:right="-105" w:rightChars="-50"/>
              <w:jc w:val="center"/>
              <w:rPr>
                <w:kern w:val="10"/>
                <w:szCs w:val="21"/>
              </w:rPr>
            </w:pPr>
            <w:r>
              <w:rPr>
                <w:kern w:val="10"/>
                <w:szCs w:val="21"/>
              </w:rPr>
              <w:t>H</w:t>
            </w:r>
            <w:r>
              <w:rPr>
                <w:kern w:val="10"/>
                <w:szCs w:val="21"/>
                <w:vertAlign w:val="subscript"/>
              </w:rPr>
              <w:t>2</w:t>
            </w:r>
            <w:r>
              <w:rPr>
                <w:kern w:val="10"/>
                <w:szCs w:val="21"/>
              </w:rPr>
              <w:t>S</w:t>
            </w:r>
          </w:p>
          <w:p w14:paraId="1BEE159A">
            <w:pPr>
              <w:ind w:left="-105" w:leftChars="-50" w:right="-105" w:rightChars="-50"/>
              <w:jc w:val="center"/>
              <w:rPr>
                <w:kern w:val="10"/>
                <w:szCs w:val="21"/>
              </w:rPr>
            </w:pPr>
            <w:r>
              <w:rPr>
                <w:kern w:val="10"/>
                <w:szCs w:val="21"/>
              </w:rPr>
              <w:t>NH</w:t>
            </w:r>
            <w:r>
              <w:rPr>
                <w:kern w:val="10"/>
                <w:szCs w:val="21"/>
                <w:vertAlign w:val="subscript"/>
              </w:rPr>
              <w:t>3</w:t>
            </w:r>
          </w:p>
        </w:tc>
        <w:tc>
          <w:tcPr>
            <w:tcW w:w="2179" w:type="pct"/>
            <w:vMerge w:val="continue"/>
            <w:noWrap w:val="0"/>
            <w:vAlign w:val="center"/>
          </w:tcPr>
          <w:p w14:paraId="55B46BAD">
            <w:pPr>
              <w:ind w:left="-105" w:leftChars="-50" w:right="-105" w:rightChars="-50"/>
              <w:jc w:val="center"/>
            </w:pPr>
          </w:p>
        </w:tc>
        <w:tc>
          <w:tcPr>
            <w:tcW w:w="598" w:type="pct"/>
            <w:noWrap w:val="0"/>
            <w:vAlign w:val="center"/>
          </w:tcPr>
          <w:p w14:paraId="2EE59DFE">
            <w:pPr>
              <w:ind w:left="-105" w:leftChars="-50" w:right="-105" w:rightChars="-50"/>
              <w:jc w:val="center"/>
              <w:rPr>
                <w:szCs w:val="21"/>
              </w:rPr>
            </w:pPr>
            <w:r>
              <w:rPr>
                <w:szCs w:val="21"/>
              </w:rPr>
              <w:t>内部</w:t>
            </w:r>
          </w:p>
        </w:tc>
        <w:tc>
          <w:tcPr>
            <w:tcW w:w="606" w:type="pct"/>
            <w:noWrap w:val="0"/>
            <w:vAlign w:val="center"/>
          </w:tcPr>
          <w:p w14:paraId="5790AE58">
            <w:pPr>
              <w:ind w:left="-105" w:leftChars="-50" w:right="-105" w:rightChars="-50"/>
              <w:jc w:val="center"/>
              <w:rPr>
                <w:szCs w:val="21"/>
              </w:rPr>
            </w:pPr>
            <w:r>
              <w:rPr>
                <w:szCs w:val="21"/>
              </w:rPr>
              <w:t>0</w:t>
            </w:r>
          </w:p>
        </w:tc>
      </w:tr>
    </w:tbl>
    <w:p w14:paraId="11B43A8F">
      <w:pPr>
        <w:spacing w:line="360" w:lineRule="auto"/>
        <w:ind w:firstLine="480"/>
        <w:rPr>
          <w:kern w:val="10"/>
          <w:sz w:val="24"/>
        </w:rPr>
      </w:pPr>
      <w:r>
        <w:rPr>
          <w:kern w:val="10"/>
          <w:sz w:val="24"/>
        </w:rPr>
        <w:t>④监测结果及评价</w:t>
      </w:r>
    </w:p>
    <w:p w14:paraId="414758D2">
      <w:pPr>
        <w:spacing w:line="360" w:lineRule="auto"/>
        <w:ind w:firstLine="480"/>
        <w:rPr>
          <w:kern w:val="10"/>
          <w:sz w:val="24"/>
        </w:rPr>
      </w:pPr>
      <w:r>
        <w:rPr>
          <w:kern w:val="10"/>
          <w:sz w:val="24"/>
        </w:rPr>
        <w:t>本次采用单因子污染指数法评价大气污染物在评价区域内的环境质量现状。</w:t>
      </w:r>
    </w:p>
    <w:p w14:paraId="07656722">
      <w:pPr>
        <w:adjustRightInd w:val="0"/>
        <w:snapToGrid w:val="0"/>
        <w:spacing w:line="360" w:lineRule="auto"/>
        <w:jc w:val="center"/>
        <w:rPr>
          <w:sz w:val="24"/>
        </w:rPr>
      </w:pPr>
      <w:r>
        <w:rPr>
          <w:sz w:val="24"/>
        </w:rPr>
        <w:object>
          <v:shape id="_x0000_i1030" o:spt="75" type="#_x0000_t75" style="height:30.75pt;width:56.25pt;" o:ole="t" filled="f" o:preferrelative="t" stroked="f" coordsize="21600,21600">
            <v:path/>
            <v:fill on="f" focussize="0,0"/>
            <v:stroke on="f"/>
            <v:imagedata r:id="rId24" o:title=""/>
            <o:lock v:ext="edit" aspectratio="t"/>
            <w10:wrap type="none"/>
            <w10:anchorlock/>
          </v:shape>
          <o:OLEObject Type="Embed" ProgID="Equation.3" ShapeID="_x0000_i1030" DrawAspect="Content" ObjectID="_1468075727" r:id="rId23">
            <o:LockedField>false</o:LockedField>
          </o:OLEObject>
        </w:object>
      </w:r>
    </w:p>
    <w:p w14:paraId="0337E073">
      <w:pPr>
        <w:pStyle w:val="10"/>
        <w:spacing w:line="360" w:lineRule="auto"/>
        <w:ind w:firstLine="480"/>
        <w:rPr>
          <w:sz w:val="24"/>
        </w:rPr>
      </w:pPr>
      <w:r>
        <w:rPr>
          <w:sz w:val="24"/>
        </w:rPr>
        <w:t>式中：</w:t>
      </w:r>
      <w:r>
        <w:rPr>
          <w:sz w:val="24"/>
        </w:rPr>
        <w:tab/>
      </w:r>
      <w:r>
        <w:rPr>
          <w:sz w:val="24"/>
        </w:rPr>
        <w:object>
          <v:shape id="_x0000_i1031" o:spt="75" type="#_x0000_t75" style="height:18.75pt;width:12.75pt;" o:ole="t" filled="f" o:preferrelative="t" stroked="f" coordsize="21600,21600">
            <v:path/>
            <v:fill on="f" focussize="0,0"/>
            <v:stroke on="f"/>
            <v:imagedata r:id="rId26" o:title=""/>
            <o:lock v:ext="edit" aspectratio="t"/>
            <w10:wrap type="none"/>
            <w10:anchorlock/>
          </v:shape>
          <o:OLEObject Type="Embed" ProgID="Equation.3" ShapeID="_x0000_i1031" DrawAspect="Content" ObjectID="_1468075728" r:id="rId25">
            <o:LockedField>false</o:LockedField>
          </o:OLEObject>
        </w:object>
      </w:r>
      <w:r>
        <w:rPr>
          <w:sz w:val="24"/>
        </w:rPr>
        <w:t>——i指标j测点指数；</w:t>
      </w:r>
    </w:p>
    <w:p w14:paraId="195BAAA9">
      <w:pPr>
        <w:pStyle w:val="10"/>
        <w:spacing w:line="360" w:lineRule="auto"/>
        <w:ind w:firstLine="1200" w:firstLineChars="500"/>
        <w:rPr>
          <w:sz w:val="24"/>
        </w:rPr>
      </w:pPr>
      <w:r>
        <w:rPr>
          <w:sz w:val="24"/>
        </w:rPr>
        <w:object>
          <v:shape id="_x0000_i1032" o:spt="75" type="#_x0000_t75" style="height:18.75pt;width:15.75pt;" o:ole="t" filled="f" o:preferrelative="t" stroked="f" coordsize="21600,21600">
            <v:path/>
            <v:fill on="f" focussize="0,0"/>
            <v:stroke on="f"/>
            <v:imagedata r:id="rId28" o:title=""/>
            <o:lock v:ext="edit" aspectratio="t"/>
            <w10:wrap type="none"/>
            <w10:anchorlock/>
          </v:shape>
          <o:OLEObject Type="Embed" ProgID="Equation.3" ShapeID="_x0000_i1032" DrawAspect="Content" ObjectID="_1468075729" r:id="rId27">
            <o:LockedField>false</o:LockedField>
          </o:OLEObject>
        </w:object>
      </w:r>
      <w:r>
        <w:rPr>
          <w:sz w:val="24"/>
        </w:rPr>
        <w:t>——i指标j测点监测值（mg/m</w:t>
      </w:r>
      <w:r>
        <w:rPr>
          <w:sz w:val="24"/>
          <w:vertAlign w:val="superscript"/>
        </w:rPr>
        <w:t>3</w:t>
      </w:r>
      <w:r>
        <w:rPr>
          <w:sz w:val="24"/>
        </w:rPr>
        <w:t>）；</w:t>
      </w:r>
    </w:p>
    <w:p w14:paraId="3B15F0F6">
      <w:pPr>
        <w:adjustRightInd w:val="0"/>
        <w:snapToGrid w:val="0"/>
        <w:spacing w:line="360" w:lineRule="auto"/>
        <w:ind w:firstLine="1200" w:firstLineChars="500"/>
        <w:rPr>
          <w:sz w:val="24"/>
        </w:rPr>
      </w:pPr>
      <w:r>
        <w:rPr>
          <w:sz w:val="24"/>
        </w:rPr>
        <w:object>
          <v:shape id="_x0000_i1033" o:spt="75" type="#_x0000_t75" style="height:18pt;width:17.25pt;" o:ole="t" filled="f" o:preferrelative="t" stroked="f" coordsize="21600,21600">
            <v:path/>
            <v:fill on="f" focussize="0,0"/>
            <v:stroke on="f"/>
            <v:imagedata r:id="rId30" o:title=""/>
            <o:lock v:ext="edit" aspectratio="t"/>
            <w10:wrap type="none"/>
            <w10:anchorlock/>
          </v:shape>
          <o:OLEObject Type="Embed" ProgID="Equation.3" ShapeID="_x0000_i1033" DrawAspect="Content" ObjectID="_1468075730" r:id="rId29">
            <o:LockedField>false</o:LockedField>
          </o:OLEObject>
        </w:object>
      </w:r>
      <w:r>
        <w:rPr>
          <w:sz w:val="24"/>
        </w:rPr>
        <w:t>——i指标二级标准值（mg/m</w:t>
      </w:r>
      <w:r>
        <w:rPr>
          <w:sz w:val="24"/>
          <w:vertAlign w:val="superscript"/>
        </w:rPr>
        <w:t>3</w:t>
      </w:r>
      <w:r>
        <w:rPr>
          <w:sz w:val="24"/>
        </w:rPr>
        <w:t>）。</w:t>
      </w:r>
    </w:p>
    <w:p w14:paraId="3662BDFF">
      <w:pPr>
        <w:spacing w:line="360" w:lineRule="auto"/>
        <w:ind w:firstLine="480" w:firstLineChars="200"/>
        <w:rPr>
          <w:kern w:val="10"/>
          <w:sz w:val="24"/>
        </w:rPr>
      </w:pPr>
      <w:r>
        <w:rPr>
          <w:kern w:val="10"/>
          <w:sz w:val="24"/>
        </w:rPr>
        <w:t>监测结果如下：</w:t>
      </w:r>
    </w:p>
    <w:p w14:paraId="0A0C312E">
      <w:pPr>
        <w:jc w:val="center"/>
        <w:rPr>
          <w:b/>
          <w:bCs/>
          <w:sz w:val="24"/>
        </w:rPr>
      </w:pPr>
      <w:r>
        <w:rPr>
          <w:b/>
          <w:sz w:val="24"/>
        </w:rPr>
        <w:t xml:space="preserve">表4.2-2   </w:t>
      </w:r>
      <w:r>
        <w:rPr>
          <w:b/>
          <w:bCs/>
          <w:sz w:val="24"/>
        </w:rPr>
        <w:t xml:space="preserve">环境空气质量现状监测结果表  </w:t>
      </w:r>
    </w:p>
    <w:tbl>
      <w:tblPr>
        <w:tblStyle w:val="87"/>
        <w:tblW w:w="4997" w:type="pct"/>
        <w:tblInd w:w="0" w:type="dxa"/>
        <w:tblLayout w:type="autofit"/>
        <w:tblCellMar>
          <w:top w:w="0" w:type="dxa"/>
          <w:left w:w="108" w:type="dxa"/>
          <w:bottom w:w="0" w:type="dxa"/>
          <w:right w:w="108" w:type="dxa"/>
        </w:tblCellMar>
      </w:tblPr>
      <w:tblGrid>
        <w:gridCol w:w="1173"/>
        <w:gridCol w:w="2070"/>
        <w:gridCol w:w="1219"/>
        <w:gridCol w:w="1796"/>
        <w:gridCol w:w="1655"/>
        <w:gridCol w:w="1369"/>
      </w:tblGrid>
      <w:tr w14:paraId="247D4F0A">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5707C47">
            <w:pPr>
              <w:widowControl/>
              <w:jc w:val="center"/>
              <w:textAlignment w:val="center"/>
              <w:rPr>
                <w:b/>
                <w:bCs/>
                <w:szCs w:val="21"/>
              </w:rPr>
            </w:pPr>
            <w:r>
              <w:rPr>
                <w:b/>
                <w:bCs/>
                <w:kern w:val="0"/>
                <w:szCs w:val="21"/>
                <w:lang w:bidi="ar"/>
              </w:rPr>
              <w:t>日期</w:t>
            </w: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CCBA89C">
            <w:pPr>
              <w:widowControl/>
              <w:jc w:val="center"/>
              <w:textAlignment w:val="center"/>
              <w:rPr>
                <w:b/>
                <w:bCs/>
                <w:szCs w:val="21"/>
              </w:rPr>
            </w:pPr>
            <w:r>
              <w:rPr>
                <w:b/>
                <w:bCs/>
                <w:kern w:val="0"/>
                <w:szCs w:val="21"/>
                <w:lang w:bidi="ar"/>
              </w:rPr>
              <w:t>时间</w:t>
            </w:r>
          </w:p>
        </w:tc>
        <w:tc>
          <w:tcPr>
            <w:tcW w:w="1623"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5B8F580">
            <w:pPr>
              <w:widowControl/>
              <w:jc w:val="center"/>
              <w:textAlignment w:val="center"/>
              <w:rPr>
                <w:b/>
                <w:bCs/>
                <w:szCs w:val="21"/>
              </w:rPr>
            </w:pPr>
            <w:r>
              <w:rPr>
                <w:b/>
                <w:bCs/>
                <w:kern w:val="0"/>
                <w:szCs w:val="21"/>
                <w:lang w:bidi="ar"/>
              </w:rPr>
              <w:t>G1法块村</w:t>
            </w:r>
          </w:p>
        </w:tc>
        <w:tc>
          <w:tcPr>
            <w:tcW w:w="162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99AA86E">
            <w:pPr>
              <w:widowControl/>
              <w:jc w:val="center"/>
              <w:textAlignment w:val="center"/>
              <w:rPr>
                <w:b/>
                <w:bCs/>
                <w:szCs w:val="21"/>
              </w:rPr>
            </w:pPr>
            <w:r>
              <w:rPr>
                <w:b/>
                <w:bCs/>
                <w:kern w:val="0"/>
                <w:szCs w:val="21"/>
                <w:lang w:bidi="ar"/>
              </w:rPr>
              <w:t>G2项目养殖地块二厂址处</w:t>
            </w:r>
          </w:p>
        </w:tc>
      </w:tr>
      <w:tr w14:paraId="714C1C6D">
        <w:tblPrEx>
          <w:tblCellMar>
            <w:top w:w="0" w:type="dxa"/>
            <w:left w:w="108" w:type="dxa"/>
            <w:bottom w:w="0" w:type="dxa"/>
            <w:right w:w="108" w:type="dxa"/>
          </w:tblCellMar>
        </w:tblPrEx>
        <w:trPr>
          <w:trHeight w:val="600" w:hRule="atLeast"/>
        </w:trPr>
        <w:tc>
          <w:tcPr>
            <w:tcW w:w="632" w:type="pct"/>
            <w:vMerge w:val="continue"/>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DC84EAC">
            <w:pPr>
              <w:jc w:val="center"/>
              <w:rPr>
                <w:b/>
                <w:bCs/>
                <w:szCs w:val="21"/>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EDAF533">
            <w:pPr>
              <w:jc w:val="center"/>
              <w:rPr>
                <w:b/>
                <w:bCs/>
                <w:szCs w:val="21"/>
              </w:rPr>
            </w:pPr>
          </w:p>
        </w:tc>
        <w:tc>
          <w:tcPr>
            <w:tcW w:w="656"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B8668DA">
            <w:pPr>
              <w:widowControl/>
              <w:jc w:val="center"/>
              <w:textAlignment w:val="center"/>
              <w:rPr>
                <w:b/>
                <w:bCs/>
                <w:szCs w:val="21"/>
              </w:rPr>
            </w:pPr>
            <w:r>
              <w:rPr>
                <w:b/>
                <w:bCs/>
                <w:kern w:val="0"/>
                <w:szCs w:val="21"/>
                <w:lang w:bidi="ar"/>
              </w:rPr>
              <w:t>氨（mg/m</w:t>
            </w:r>
            <w:r>
              <w:rPr>
                <w:b/>
                <w:bCs/>
                <w:kern w:val="0"/>
                <w:szCs w:val="21"/>
                <w:vertAlign w:val="superscript"/>
                <w:lang w:bidi="ar"/>
              </w:rPr>
              <w:t>3</w:t>
            </w:r>
            <w:r>
              <w:rPr>
                <w:b/>
                <w:bCs/>
                <w:kern w:val="0"/>
                <w:szCs w:val="21"/>
                <w:lang w:bidi="ar"/>
              </w:rPr>
              <w:t>）</w:t>
            </w:r>
          </w:p>
        </w:tc>
        <w:tc>
          <w:tcPr>
            <w:tcW w:w="966"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5436B26">
            <w:pPr>
              <w:widowControl/>
              <w:jc w:val="center"/>
              <w:textAlignment w:val="center"/>
              <w:rPr>
                <w:b/>
                <w:bCs/>
                <w:szCs w:val="21"/>
              </w:rPr>
            </w:pPr>
            <w:r>
              <w:rPr>
                <w:b/>
                <w:bCs/>
                <w:kern w:val="0"/>
                <w:szCs w:val="21"/>
                <w:lang w:bidi="ar"/>
              </w:rPr>
              <w:t>硫化氢（μg/m</w:t>
            </w:r>
            <w:r>
              <w:rPr>
                <w:b/>
                <w:bCs/>
                <w:kern w:val="0"/>
                <w:szCs w:val="21"/>
                <w:vertAlign w:val="superscript"/>
                <w:lang w:bidi="ar"/>
              </w:rPr>
              <w:t>3</w:t>
            </w:r>
            <w:r>
              <w:rPr>
                <w:b/>
                <w:bCs/>
                <w:kern w:val="0"/>
                <w:szCs w:val="21"/>
                <w:lang w:bidi="ar"/>
              </w:rPr>
              <w:t>）</w:t>
            </w:r>
          </w:p>
        </w:tc>
        <w:tc>
          <w:tcPr>
            <w:tcW w:w="891"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A19E3DD">
            <w:pPr>
              <w:widowControl/>
              <w:jc w:val="center"/>
              <w:textAlignment w:val="center"/>
              <w:rPr>
                <w:b/>
                <w:bCs/>
                <w:szCs w:val="21"/>
              </w:rPr>
            </w:pPr>
            <w:r>
              <w:rPr>
                <w:b/>
                <w:bCs/>
                <w:kern w:val="0"/>
                <w:szCs w:val="21"/>
                <w:lang w:bidi="ar"/>
              </w:rPr>
              <w:t>氨（mg/m</w:t>
            </w:r>
            <w:r>
              <w:rPr>
                <w:b/>
                <w:bCs/>
                <w:kern w:val="0"/>
                <w:szCs w:val="21"/>
                <w:vertAlign w:val="superscript"/>
                <w:lang w:bidi="ar"/>
              </w:rPr>
              <w:t>3</w:t>
            </w:r>
            <w:r>
              <w:rPr>
                <w:b/>
                <w:bCs/>
                <w:kern w:val="0"/>
                <w:szCs w:val="21"/>
                <w:lang w:bidi="ar"/>
              </w:rPr>
              <w:t>）</w:t>
            </w:r>
          </w:p>
        </w:tc>
        <w:tc>
          <w:tcPr>
            <w:tcW w:w="736"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79F7727">
            <w:pPr>
              <w:widowControl/>
              <w:jc w:val="center"/>
              <w:textAlignment w:val="center"/>
              <w:rPr>
                <w:b/>
                <w:bCs/>
                <w:szCs w:val="21"/>
              </w:rPr>
            </w:pPr>
            <w:r>
              <w:rPr>
                <w:b/>
                <w:bCs/>
                <w:kern w:val="0"/>
                <w:szCs w:val="21"/>
                <w:lang w:bidi="ar"/>
              </w:rPr>
              <w:t>硫化氢（μg/m</w:t>
            </w:r>
            <w:r>
              <w:rPr>
                <w:b/>
                <w:bCs/>
                <w:kern w:val="0"/>
                <w:szCs w:val="21"/>
                <w:vertAlign w:val="superscript"/>
                <w:lang w:bidi="ar"/>
              </w:rPr>
              <w:t>3</w:t>
            </w:r>
            <w:r>
              <w:rPr>
                <w:b/>
                <w:bCs/>
                <w:kern w:val="0"/>
                <w:szCs w:val="21"/>
                <w:lang w:bidi="ar"/>
              </w:rPr>
              <w:t>）</w:t>
            </w:r>
          </w:p>
        </w:tc>
      </w:tr>
      <w:tr w14:paraId="05BCE2B3">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4F6056B5">
            <w:pPr>
              <w:widowControl/>
              <w:jc w:val="center"/>
              <w:textAlignment w:val="center"/>
              <w:rPr>
                <w:szCs w:val="21"/>
              </w:rPr>
            </w:pPr>
            <w:r>
              <w:rPr>
                <w:kern w:val="0"/>
                <w:szCs w:val="21"/>
                <w:lang w:bidi="ar"/>
              </w:rPr>
              <w:t>2021/3/28</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6E664558">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77DFF457">
            <w:pPr>
              <w:widowControl/>
              <w:jc w:val="center"/>
              <w:textAlignment w:val="center"/>
              <w:rPr>
                <w:szCs w:val="21"/>
              </w:rPr>
            </w:pPr>
            <w:r>
              <w:rPr>
                <w:kern w:val="0"/>
                <w:szCs w:val="21"/>
                <w:lang w:bidi="ar"/>
              </w:rPr>
              <w:t>0.01</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5F5B66A8">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5461F654">
            <w:pPr>
              <w:widowControl/>
              <w:jc w:val="center"/>
              <w:textAlignment w:val="center"/>
              <w:rPr>
                <w:szCs w:val="21"/>
              </w:rPr>
            </w:pPr>
            <w:r>
              <w:rPr>
                <w:kern w:val="0"/>
                <w:szCs w:val="21"/>
                <w:lang w:bidi="ar"/>
              </w:rPr>
              <w:t>0.04</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673F186C">
            <w:pPr>
              <w:widowControl/>
              <w:jc w:val="center"/>
              <w:textAlignment w:val="center"/>
              <w:rPr>
                <w:szCs w:val="21"/>
              </w:rPr>
            </w:pPr>
            <w:r>
              <w:rPr>
                <w:kern w:val="0"/>
                <w:szCs w:val="21"/>
                <w:lang w:bidi="ar"/>
              </w:rPr>
              <w:t>1</w:t>
            </w:r>
          </w:p>
        </w:tc>
      </w:tr>
      <w:tr w14:paraId="58C42BD5">
        <w:tblPrEx>
          <w:tblCellMar>
            <w:top w:w="0" w:type="dxa"/>
            <w:left w:w="108" w:type="dxa"/>
            <w:bottom w:w="0" w:type="dxa"/>
            <w:right w:w="108" w:type="dxa"/>
          </w:tblCellMar>
        </w:tblPrEx>
        <w:trPr>
          <w:trHeight w:val="273"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921168">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5155EF45">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0CCBBF3C">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031F58C0">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54C1C1DB">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ADE5230">
            <w:pPr>
              <w:widowControl/>
              <w:jc w:val="center"/>
              <w:textAlignment w:val="center"/>
              <w:rPr>
                <w:szCs w:val="21"/>
              </w:rPr>
            </w:pPr>
            <w:r>
              <w:rPr>
                <w:kern w:val="0"/>
                <w:szCs w:val="21"/>
                <w:lang w:bidi="ar"/>
              </w:rPr>
              <w:t>2</w:t>
            </w:r>
          </w:p>
        </w:tc>
      </w:tr>
      <w:tr w14:paraId="5AA019B4">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C749FF">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12EB973E">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6ED83BA7">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07AEB33D">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651A8228">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3F2FB31D">
            <w:pPr>
              <w:widowControl/>
              <w:jc w:val="center"/>
              <w:textAlignment w:val="center"/>
              <w:rPr>
                <w:szCs w:val="21"/>
              </w:rPr>
            </w:pPr>
            <w:r>
              <w:rPr>
                <w:kern w:val="0"/>
                <w:szCs w:val="21"/>
                <w:lang w:bidi="ar"/>
              </w:rPr>
              <w:t>3</w:t>
            </w:r>
          </w:p>
        </w:tc>
      </w:tr>
      <w:tr w14:paraId="69AAF252">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DC9CB5">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64C7D36F">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1233EE3A">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7FEC6E86">
            <w:pPr>
              <w:widowControl/>
              <w:jc w:val="center"/>
              <w:textAlignment w:val="center"/>
              <w:rPr>
                <w:szCs w:val="21"/>
              </w:rPr>
            </w:pPr>
            <w:r>
              <w:rPr>
                <w:kern w:val="0"/>
                <w:szCs w:val="21"/>
                <w:lang w:bidi="ar"/>
              </w:rPr>
              <w:t>1</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27A88B81">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1A5F3A38">
            <w:pPr>
              <w:widowControl/>
              <w:jc w:val="center"/>
              <w:textAlignment w:val="center"/>
              <w:rPr>
                <w:szCs w:val="21"/>
              </w:rPr>
            </w:pPr>
            <w:r>
              <w:rPr>
                <w:kern w:val="0"/>
                <w:szCs w:val="21"/>
                <w:lang w:bidi="ar"/>
              </w:rPr>
              <w:t>2</w:t>
            </w:r>
          </w:p>
        </w:tc>
      </w:tr>
      <w:tr w14:paraId="1518D1C6">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4E52CA0">
            <w:pPr>
              <w:widowControl/>
              <w:jc w:val="center"/>
              <w:textAlignment w:val="center"/>
              <w:rPr>
                <w:szCs w:val="21"/>
              </w:rPr>
            </w:pPr>
            <w:r>
              <w:rPr>
                <w:kern w:val="0"/>
                <w:szCs w:val="21"/>
                <w:lang w:bidi="ar"/>
              </w:rPr>
              <w:t>2021/3/29</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5EB4B465">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01CEA645">
            <w:pPr>
              <w:widowControl/>
              <w:jc w:val="center"/>
              <w:textAlignment w:val="center"/>
              <w:rPr>
                <w:szCs w:val="21"/>
              </w:rPr>
            </w:pPr>
            <w:r>
              <w:rPr>
                <w:kern w:val="0"/>
                <w:szCs w:val="21"/>
                <w:lang w:bidi="ar"/>
              </w:rPr>
              <w:t>0.04</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6120A00F">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61F61602">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74A71FB9">
            <w:pPr>
              <w:widowControl/>
              <w:jc w:val="center"/>
              <w:textAlignment w:val="center"/>
              <w:rPr>
                <w:szCs w:val="21"/>
              </w:rPr>
            </w:pPr>
            <w:r>
              <w:rPr>
                <w:kern w:val="0"/>
                <w:szCs w:val="21"/>
                <w:lang w:bidi="ar"/>
              </w:rPr>
              <w:t>2</w:t>
            </w:r>
          </w:p>
        </w:tc>
      </w:tr>
      <w:tr w14:paraId="219A6B6E">
        <w:tblPrEx>
          <w:tblCellMar>
            <w:top w:w="0" w:type="dxa"/>
            <w:left w:w="108" w:type="dxa"/>
            <w:bottom w:w="0" w:type="dxa"/>
            <w:right w:w="108" w:type="dxa"/>
          </w:tblCellMar>
        </w:tblPrEx>
        <w:trPr>
          <w:trHeight w:val="42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F32274">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DE47152">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4049FE0C">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D9006B3">
            <w:pPr>
              <w:widowControl/>
              <w:jc w:val="center"/>
              <w:textAlignment w:val="center"/>
              <w:rPr>
                <w:szCs w:val="21"/>
              </w:rPr>
            </w:pPr>
            <w:r>
              <w:rPr>
                <w:kern w:val="0"/>
                <w:szCs w:val="21"/>
                <w:lang w:bidi="ar"/>
              </w:rPr>
              <w:t>1</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21D5B8DE">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2C2EAFA8">
            <w:pPr>
              <w:widowControl/>
              <w:jc w:val="center"/>
              <w:textAlignment w:val="center"/>
              <w:rPr>
                <w:szCs w:val="21"/>
              </w:rPr>
            </w:pPr>
            <w:r>
              <w:rPr>
                <w:kern w:val="0"/>
                <w:szCs w:val="21"/>
                <w:lang w:bidi="ar"/>
              </w:rPr>
              <w:t>3</w:t>
            </w:r>
          </w:p>
        </w:tc>
      </w:tr>
      <w:tr w14:paraId="3556E4EC">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616EA4">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AAA22AA">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0C611E86">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05C8DE68">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11CBF6EE">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036E68D5">
            <w:pPr>
              <w:widowControl/>
              <w:jc w:val="center"/>
              <w:textAlignment w:val="center"/>
              <w:rPr>
                <w:szCs w:val="21"/>
              </w:rPr>
            </w:pPr>
            <w:r>
              <w:rPr>
                <w:kern w:val="0"/>
                <w:szCs w:val="21"/>
                <w:lang w:bidi="ar"/>
              </w:rPr>
              <w:t>1</w:t>
            </w:r>
          </w:p>
        </w:tc>
      </w:tr>
      <w:tr w14:paraId="01342ABF">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0D4BB5">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0C28F61B">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4AB239CB">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1A1A1B6D">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44DA8D6B">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79288612">
            <w:pPr>
              <w:widowControl/>
              <w:jc w:val="center"/>
              <w:textAlignment w:val="center"/>
              <w:rPr>
                <w:szCs w:val="21"/>
              </w:rPr>
            </w:pPr>
            <w:r>
              <w:rPr>
                <w:kern w:val="0"/>
                <w:szCs w:val="21"/>
                <w:lang w:bidi="ar"/>
              </w:rPr>
              <w:t>2</w:t>
            </w:r>
          </w:p>
        </w:tc>
      </w:tr>
      <w:tr w14:paraId="40241E71">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9478ABF">
            <w:pPr>
              <w:widowControl/>
              <w:jc w:val="center"/>
              <w:textAlignment w:val="center"/>
              <w:rPr>
                <w:szCs w:val="21"/>
              </w:rPr>
            </w:pPr>
            <w:r>
              <w:rPr>
                <w:kern w:val="0"/>
                <w:szCs w:val="21"/>
                <w:lang w:bidi="ar"/>
              </w:rPr>
              <w:t>2021/3/30</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F5EF973">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0AE2DA52">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7EF28403">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6CCE88F6">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648A37D8">
            <w:pPr>
              <w:widowControl/>
              <w:jc w:val="center"/>
              <w:textAlignment w:val="center"/>
              <w:rPr>
                <w:szCs w:val="21"/>
              </w:rPr>
            </w:pPr>
            <w:r>
              <w:rPr>
                <w:kern w:val="0"/>
                <w:szCs w:val="21"/>
                <w:lang w:bidi="ar"/>
              </w:rPr>
              <w:t>3</w:t>
            </w:r>
          </w:p>
        </w:tc>
      </w:tr>
      <w:tr w14:paraId="224CB508">
        <w:tblPrEx>
          <w:tblCellMar>
            <w:top w:w="0" w:type="dxa"/>
            <w:left w:w="108" w:type="dxa"/>
            <w:bottom w:w="0" w:type="dxa"/>
            <w:right w:w="108" w:type="dxa"/>
          </w:tblCellMar>
        </w:tblPrEx>
        <w:trPr>
          <w:trHeight w:val="285"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D01D94">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73705467">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14385647">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3DFE7781">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441460D2">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EE1862F">
            <w:pPr>
              <w:widowControl/>
              <w:jc w:val="center"/>
              <w:textAlignment w:val="center"/>
              <w:rPr>
                <w:szCs w:val="21"/>
              </w:rPr>
            </w:pPr>
            <w:r>
              <w:rPr>
                <w:kern w:val="0"/>
                <w:szCs w:val="21"/>
                <w:lang w:bidi="ar"/>
              </w:rPr>
              <w:t>1</w:t>
            </w:r>
          </w:p>
        </w:tc>
      </w:tr>
      <w:tr w14:paraId="763B4F34">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6E19B7">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00633B4E">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5FFBBC6A">
            <w:pPr>
              <w:widowControl/>
              <w:jc w:val="center"/>
              <w:textAlignment w:val="center"/>
              <w:rPr>
                <w:szCs w:val="21"/>
              </w:rPr>
            </w:pPr>
            <w:r>
              <w:rPr>
                <w:kern w:val="0"/>
                <w:szCs w:val="21"/>
                <w:lang w:bidi="ar"/>
              </w:rPr>
              <w:t>0.01</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302C7F5E">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3D6B7932">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1EDD2F51">
            <w:pPr>
              <w:widowControl/>
              <w:jc w:val="center"/>
              <w:textAlignment w:val="center"/>
              <w:rPr>
                <w:szCs w:val="21"/>
              </w:rPr>
            </w:pPr>
            <w:r>
              <w:rPr>
                <w:kern w:val="0"/>
                <w:szCs w:val="21"/>
                <w:lang w:bidi="ar"/>
              </w:rPr>
              <w:t>2</w:t>
            </w:r>
          </w:p>
        </w:tc>
      </w:tr>
      <w:tr w14:paraId="5F78928B">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878DB0">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79A6FD81">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28A075BF">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24D403B5">
            <w:pPr>
              <w:widowControl/>
              <w:jc w:val="center"/>
              <w:textAlignment w:val="center"/>
              <w:rPr>
                <w:szCs w:val="21"/>
              </w:rPr>
            </w:pPr>
            <w:r>
              <w:rPr>
                <w:kern w:val="0"/>
                <w:szCs w:val="21"/>
                <w:lang w:bidi="ar"/>
              </w:rPr>
              <w:t>4</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1997BD10">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71060142">
            <w:pPr>
              <w:widowControl/>
              <w:jc w:val="center"/>
              <w:textAlignment w:val="center"/>
              <w:rPr>
                <w:szCs w:val="21"/>
              </w:rPr>
            </w:pPr>
            <w:r>
              <w:rPr>
                <w:kern w:val="0"/>
                <w:szCs w:val="21"/>
                <w:lang w:bidi="ar"/>
              </w:rPr>
              <w:t>2</w:t>
            </w:r>
          </w:p>
        </w:tc>
      </w:tr>
      <w:tr w14:paraId="22CC3E0A">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1566CE7F">
            <w:pPr>
              <w:widowControl/>
              <w:jc w:val="center"/>
              <w:textAlignment w:val="center"/>
              <w:rPr>
                <w:szCs w:val="21"/>
              </w:rPr>
            </w:pPr>
            <w:r>
              <w:rPr>
                <w:kern w:val="0"/>
                <w:szCs w:val="21"/>
                <w:lang w:bidi="ar"/>
              </w:rPr>
              <w:t>2021/3/31</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47BC7F44">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3FC39741">
            <w:pPr>
              <w:widowControl/>
              <w:jc w:val="center"/>
              <w:textAlignment w:val="center"/>
              <w:rPr>
                <w:szCs w:val="21"/>
              </w:rPr>
            </w:pPr>
            <w:r>
              <w:rPr>
                <w:kern w:val="0"/>
                <w:szCs w:val="21"/>
                <w:lang w:bidi="ar"/>
              </w:rPr>
              <w:t>0.01</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3751C85B">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6E018969">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298B82C">
            <w:pPr>
              <w:widowControl/>
              <w:jc w:val="center"/>
              <w:textAlignment w:val="center"/>
              <w:rPr>
                <w:szCs w:val="21"/>
              </w:rPr>
            </w:pPr>
            <w:r>
              <w:rPr>
                <w:kern w:val="0"/>
                <w:szCs w:val="21"/>
                <w:lang w:bidi="ar"/>
              </w:rPr>
              <w:t>2</w:t>
            </w:r>
          </w:p>
        </w:tc>
      </w:tr>
      <w:tr w14:paraId="0BC4AF1A">
        <w:tblPrEx>
          <w:tblCellMar>
            <w:top w:w="0" w:type="dxa"/>
            <w:left w:w="108" w:type="dxa"/>
            <w:bottom w:w="0" w:type="dxa"/>
            <w:right w:w="108" w:type="dxa"/>
          </w:tblCellMar>
        </w:tblPrEx>
        <w:trPr>
          <w:trHeight w:val="285"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6E59C5">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45743E3">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2E26F6BC">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24367BC4">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7797AFA9">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4EEF8ED5">
            <w:pPr>
              <w:widowControl/>
              <w:jc w:val="center"/>
              <w:textAlignment w:val="center"/>
              <w:rPr>
                <w:szCs w:val="21"/>
              </w:rPr>
            </w:pPr>
            <w:r>
              <w:rPr>
                <w:kern w:val="0"/>
                <w:szCs w:val="21"/>
                <w:lang w:bidi="ar"/>
              </w:rPr>
              <w:t>3</w:t>
            </w:r>
          </w:p>
        </w:tc>
      </w:tr>
      <w:tr w14:paraId="169663F4">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988A04">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7A5A9A76">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13AC132D">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5D521D3C">
            <w:pPr>
              <w:widowControl/>
              <w:jc w:val="center"/>
              <w:textAlignment w:val="center"/>
              <w:rPr>
                <w:szCs w:val="21"/>
              </w:rPr>
            </w:pPr>
            <w:r>
              <w:rPr>
                <w:kern w:val="0"/>
                <w:szCs w:val="21"/>
                <w:lang w:bidi="ar"/>
              </w:rPr>
              <w:t>1</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79D6E5F2">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6B354A7F">
            <w:pPr>
              <w:widowControl/>
              <w:jc w:val="center"/>
              <w:textAlignment w:val="center"/>
              <w:rPr>
                <w:szCs w:val="21"/>
              </w:rPr>
            </w:pPr>
            <w:r>
              <w:rPr>
                <w:kern w:val="0"/>
                <w:szCs w:val="21"/>
                <w:lang w:bidi="ar"/>
              </w:rPr>
              <w:t>2</w:t>
            </w:r>
          </w:p>
        </w:tc>
      </w:tr>
      <w:tr w14:paraId="552473C5">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A493FB">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50FF671C">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435CDE58">
            <w:pPr>
              <w:widowControl/>
              <w:jc w:val="center"/>
              <w:textAlignment w:val="center"/>
              <w:rPr>
                <w:szCs w:val="21"/>
              </w:rPr>
            </w:pPr>
            <w:r>
              <w:rPr>
                <w:kern w:val="0"/>
                <w:szCs w:val="21"/>
                <w:lang w:bidi="ar"/>
              </w:rPr>
              <w:t>0.01</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AF87E45">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77B33D42">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44D5680C">
            <w:pPr>
              <w:widowControl/>
              <w:jc w:val="center"/>
              <w:textAlignment w:val="center"/>
              <w:rPr>
                <w:szCs w:val="21"/>
              </w:rPr>
            </w:pPr>
            <w:r>
              <w:rPr>
                <w:kern w:val="0"/>
                <w:szCs w:val="21"/>
                <w:lang w:bidi="ar"/>
              </w:rPr>
              <w:t>4</w:t>
            </w:r>
          </w:p>
        </w:tc>
      </w:tr>
      <w:tr w14:paraId="5C55BB1B">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641DF18">
            <w:pPr>
              <w:widowControl/>
              <w:jc w:val="center"/>
              <w:textAlignment w:val="center"/>
              <w:rPr>
                <w:szCs w:val="21"/>
              </w:rPr>
            </w:pPr>
            <w:r>
              <w:rPr>
                <w:kern w:val="0"/>
                <w:szCs w:val="21"/>
                <w:lang w:bidi="ar"/>
              </w:rPr>
              <w:t>2021/4/1</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48BB29F3">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2245E649">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57A25F30">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1648AFA9">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1FA96AAC">
            <w:pPr>
              <w:widowControl/>
              <w:jc w:val="center"/>
              <w:textAlignment w:val="center"/>
              <w:rPr>
                <w:szCs w:val="21"/>
              </w:rPr>
            </w:pPr>
            <w:r>
              <w:rPr>
                <w:kern w:val="0"/>
                <w:szCs w:val="21"/>
                <w:lang w:bidi="ar"/>
              </w:rPr>
              <w:t>2</w:t>
            </w:r>
          </w:p>
        </w:tc>
      </w:tr>
      <w:tr w14:paraId="196E9929">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84F4BF">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0C033F28">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3ABFEF93">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359EAE98">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0C9C96E5">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612C863">
            <w:pPr>
              <w:widowControl/>
              <w:jc w:val="center"/>
              <w:textAlignment w:val="center"/>
              <w:rPr>
                <w:szCs w:val="21"/>
              </w:rPr>
            </w:pPr>
            <w:r>
              <w:rPr>
                <w:kern w:val="0"/>
                <w:szCs w:val="21"/>
                <w:lang w:bidi="ar"/>
              </w:rPr>
              <w:t>1</w:t>
            </w:r>
          </w:p>
        </w:tc>
      </w:tr>
      <w:tr w14:paraId="3027FC1B">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D004BA">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514A199C">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1582C739">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63061CF6">
            <w:pPr>
              <w:widowControl/>
              <w:jc w:val="center"/>
              <w:textAlignment w:val="center"/>
              <w:rPr>
                <w:szCs w:val="21"/>
              </w:rPr>
            </w:pPr>
            <w:r>
              <w:rPr>
                <w:kern w:val="0"/>
                <w:szCs w:val="21"/>
                <w:lang w:bidi="ar"/>
              </w:rPr>
              <w:t>4</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20C46078">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2962A4BB">
            <w:pPr>
              <w:widowControl/>
              <w:jc w:val="center"/>
              <w:textAlignment w:val="center"/>
              <w:rPr>
                <w:szCs w:val="21"/>
              </w:rPr>
            </w:pPr>
            <w:r>
              <w:rPr>
                <w:kern w:val="0"/>
                <w:szCs w:val="21"/>
                <w:lang w:bidi="ar"/>
              </w:rPr>
              <w:t>3</w:t>
            </w:r>
          </w:p>
        </w:tc>
      </w:tr>
      <w:tr w14:paraId="5FCFFC69">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E3A939">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38D6639A">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00E4C769">
            <w:pPr>
              <w:widowControl/>
              <w:jc w:val="center"/>
              <w:textAlignment w:val="center"/>
              <w:rPr>
                <w:szCs w:val="21"/>
              </w:rPr>
            </w:pPr>
            <w:r>
              <w:rPr>
                <w:kern w:val="0"/>
                <w:szCs w:val="21"/>
                <w:lang w:bidi="ar"/>
              </w:rPr>
              <w:t>0.04</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2B992A3">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5B937E1E">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6E843808">
            <w:pPr>
              <w:widowControl/>
              <w:jc w:val="center"/>
              <w:textAlignment w:val="center"/>
              <w:rPr>
                <w:szCs w:val="21"/>
              </w:rPr>
            </w:pPr>
            <w:r>
              <w:rPr>
                <w:kern w:val="0"/>
                <w:szCs w:val="21"/>
                <w:lang w:bidi="ar"/>
              </w:rPr>
              <w:t>2</w:t>
            </w:r>
          </w:p>
        </w:tc>
      </w:tr>
      <w:tr w14:paraId="01013394">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B2410D1">
            <w:pPr>
              <w:widowControl/>
              <w:jc w:val="center"/>
              <w:textAlignment w:val="center"/>
              <w:rPr>
                <w:szCs w:val="21"/>
              </w:rPr>
            </w:pPr>
            <w:r>
              <w:rPr>
                <w:kern w:val="0"/>
                <w:szCs w:val="21"/>
                <w:lang w:bidi="ar"/>
              </w:rPr>
              <w:t>2021/4/2</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53CAC7F8">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7550A44C">
            <w:pPr>
              <w:widowControl/>
              <w:jc w:val="center"/>
              <w:textAlignment w:val="center"/>
              <w:rPr>
                <w:szCs w:val="21"/>
              </w:rPr>
            </w:pPr>
            <w:r>
              <w:rPr>
                <w:kern w:val="0"/>
                <w:szCs w:val="21"/>
                <w:lang w:bidi="ar"/>
              </w:rPr>
              <w:t>0.01</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3C59A73">
            <w:pPr>
              <w:widowControl/>
              <w:jc w:val="center"/>
              <w:textAlignment w:val="center"/>
              <w:rPr>
                <w:szCs w:val="21"/>
              </w:rPr>
            </w:pPr>
            <w:r>
              <w:rPr>
                <w:kern w:val="0"/>
                <w:szCs w:val="21"/>
                <w:lang w:bidi="ar"/>
              </w:rPr>
              <w:t>1</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7B4FE319">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D095EAC">
            <w:pPr>
              <w:widowControl/>
              <w:jc w:val="center"/>
              <w:textAlignment w:val="center"/>
              <w:rPr>
                <w:szCs w:val="21"/>
              </w:rPr>
            </w:pPr>
            <w:r>
              <w:rPr>
                <w:kern w:val="0"/>
                <w:szCs w:val="21"/>
                <w:lang w:bidi="ar"/>
              </w:rPr>
              <w:t>3</w:t>
            </w:r>
          </w:p>
        </w:tc>
      </w:tr>
      <w:tr w14:paraId="22B3EF98">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BC935D">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16864C3E">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2E28ACA3">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6E25A078">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6BA378D4">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20847629">
            <w:pPr>
              <w:widowControl/>
              <w:jc w:val="center"/>
              <w:textAlignment w:val="center"/>
              <w:rPr>
                <w:szCs w:val="21"/>
              </w:rPr>
            </w:pPr>
            <w:r>
              <w:rPr>
                <w:kern w:val="0"/>
                <w:szCs w:val="21"/>
                <w:lang w:bidi="ar"/>
              </w:rPr>
              <w:t>4</w:t>
            </w:r>
          </w:p>
        </w:tc>
      </w:tr>
      <w:tr w14:paraId="6BE22D71">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7BC831">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02238755">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0A63109B">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1B22AF5D">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351D7A0C">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29AA68A1">
            <w:pPr>
              <w:widowControl/>
              <w:jc w:val="center"/>
              <w:textAlignment w:val="center"/>
              <w:rPr>
                <w:szCs w:val="21"/>
              </w:rPr>
            </w:pPr>
            <w:r>
              <w:rPr>
                <w:kern w:val="0"/>
                <w:szCs w:val="21"/>
                <w:lang w:bidi="ar"/>
              </w:rPr>
              <w:t>2</w:t>
            </w:r>
          </w:p>
        </w:tc>
      </w:tr>
      <w:tr w14:paraId="0265A104">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9B7619">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FE808AA">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78C60AFF">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2ACC4F6">
            <w:pPr>
              <w:widowControl/>
              <w:jc w:val="center"/>
              <w:textAlignment w:val="center"/>
              <w:rPr>
                <w:szCs w:val="21"/>
              </w:rPr>
            </w:pPr>
            <w:r>
              <w:rPr>
                <w:kern w:val="0"/>
                <w:szCs w:val="21"/>
                <w:lang w:bidi="ar"/>
              </w:rPr>
              <w:t>3</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7E92B47C">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391A696B">
            <w:pPr>
              <w:widowControl/>
              <w:jc w:val="center"/>
              <w:textAlignment w:val="center"/>
              <w:rPr>
                <w:szCs w:val="21"/>
              </w:rPr>
            </w:pPr>
            <w:r>
              <w:rPr>
                <w:kern w:val="0"/>
                <w:szCs w:val="21"/>
                <w:lang w:bidi="ar"/>
              </w:rPr>
              <w:t>2</w:t>
            </w:r>
          </w:p>
        </w:tc>
      </w:tr>
      <w:tr w14:paraId="44A730CE">
        <w:tblPrEx>
          <w:tblCellMar>
            <w:top w:w="0" w:type="dxa"/>
            <w:left w:w="108" w:type="dxa"/>
            <w:bottom w:w="0" w:type="dxa"/>
            <w:right w:w="108" w:type="dxa"/>
          </w:tblCellMar>
        </w:tblPrEx>
        <w:trPr>
          <w:trHeight w:val="300" w:hRule="atLeast"/>
        </w:trPr>
        <w:tc>
          <w:tcPr>
            <w:tcW w:w="6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DEBDD62">
            <w:pPr>
              <w:widowControl/>
              <w:jc w:val="center"/>
              <w:textAlignment w:val="center"/>
              <w:rPr>
                <w:szCs w:val="21"/>
              </w:rPr>
            </w:pPr>
            <w:r>
              <w:rPr>
                <w:kern w:val="0"/>
                <w:szCs w:val="21"/>
                <w:lang w:bidi="ar"/>
              </w:rPr>
              <w:t>2021/4/3</w:t>
            </w: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19811390">
            <w:pPr>
              <w:widowControl/>
              <w:jc w:val="center"/>
              <w:textAlignment w:val="center"/>
              <w:rPr>
                <w:szCs w:val="21"/>
              </w:rPr>
            </w:pPr>
            <w:r>
              <w:rPr>
                <w:kern w:val="0"/>
                <w:szCs w:val="21"/>
                <w:lang w:bidi="ar"/>
              </w:rPr>
              <w:t>02:00-03:00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41D431C0">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61D5D0A">
            <w:pPr>
              <w:widowControl/>
              <w:jc w:val="center"/>
              <w:textAlignment w:val="center"/>
              <w:rPr>
                <w:szCs w:val="21"/>
              </w:rPr>
            </w:pPr>
            <w:r>
              <w:rPr>
                <w:kern w:val="0"/>
                <w:szCs w:val="21"/>
                <w:lang w:bidi="ar"/>
              </w:rPr>
              <w:t>1</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4C5129F7">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0041CB9F">
            <w:pPr>
              <w:widowControl/>
              <w:jc w:val="center"/>
              <w:textAlignment w:val="center"/>
              <w:rPr>
                <w:szCs w:val="21"/>
              </w:rPr>
            </w:pPr>
            <w:r>
              <w:rPr>
                <w:kern w:val="0"/>
                <w:szCs w:val="21"/>
                <w:lang w:bidi="ar"/>
              </w:rPr>
              <w:t>4</w:t>
            </w:r>
          </w:p>
        </w:tc>
      </w:tr>
      <w:tr w14:paraId="74C1B6F6">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22D211">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664533CD">
            <w:pPr>
              <w:widowControl/>
              <w:jc w:val="center"/>
              <w:textAlignment w:val="center"/>
              <w:rPr>
                <w:szCs w:val="21"/>
              </w:rPr>
            </w:pPr>
            <w:r>
              <w:rPr>
                <w:kern w:val="0"/>
                <w:szCs w:val="21"/>
                <w:lang w:bidi="ar"/>
              </w:rPr>
              <w:t>08:00-09:00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4BC09E02">
            <w:pPr>
              <w:widowControl/>
              <w:jc w:val="center"/>
              <w:textAlignment w:val="center"/>
              <w:rPr>
                <w:szCs w:val="21"/>
              </w:rPr>
            </w:pPr>
            <w:r>
              <w:rPr>
                <w:kern w:val="0"/>
                <w:szCs w:val="21"/>
                <w:lang w:bidi="ar"/>
              </w:rPr>
              <w:t>0.03</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7EF60F57">
            <w:pPr>
              <w:widowControl/>
              <w:jc w:val="center"/>
              <w:textAlignment w:val="center"/>
              <w:rPr>
                <w:szCs w:val="21"/>
              </w:rPr>
            </w:pPr>
            <w:r>
              <w:rPr>
                <w:kern w:val="0"/>
                <w:szCs w:val="21"/>
                <w:lang w:bidi="ar"/>
              </w:rPr>
              <w:t>4</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6E07BF7A">
            <w:pPr>
              <w:widowControl/>
              <w:jc w:val="center"/>
              <w:textAlignment w:val="center"/>
              <w:rPr>
                <w:szCs w:val="21"/>
              </w:rPr>
            </w:pPr>
            <w:r>
              <w:rPr>
                <w:kern w:val="0"/>
                <w:szCs w:val="21"/>
                <w:lang w:bidi="ar"/>
              </w:rPr>
              <w:t>0.03</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396E08E2">
            <w:pPr>
              <w:widowControl/>
              <w:jc w:val="center"/>
              <w:textAlignment w:val="center"/>
              <w:rPr>
                <w:szCs w:val="21"/>
              </w:rPr>
            </w:pPr>
            <w:r>
              <w:rPr>
                <w:kern w:val="0"/>
                <w:szCs w:val="21"/>
                <w:lang w:bidi="ar"/>
              </w:rPr>
              <w:t>3</w:t>
            </w:r>
          </w:p>
        </w:tc>
      </w:tr>
      <w:tr w14:paraId="4FB8BAB3">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23B397">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2F3BE04E">
            <w:pPr>
              <w:widowControl/>
              <w:jc w:val="center"/>
              <w:textAlignment w:val="center"/>
              <w:rPr>
                <w:szCs w:val="21"/>
              </w:rPr>
            </w:pPr>
            <w:r>
              <w:rPr>
                <w:kern w:val="0"/>
                <w:szCs w:val="21"/>
                <w:lang w:bidi="ar"/>
              </w:rPr>
              <w:t>14:00-15:00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293AAA07">
            <w:pPr>
              <w:widowControl/>
              <w:jc w:val="center"/>
              <w:textAlignment w:val="center"/>
              <w:rPr>
                <w:szCs w:val="21"/>
              </w:rPr>
            </w:pPr>
            <w:r>
              <w:rPr>
                <w:kern w:val="0"/>
                <w:szCs w:val="21"/>
                <w:lang w:bidi="ar"/>
              </w:rPr>
              <w:t>0.04</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1CAFE173">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262A5B2D">
            <w:pPr>
              <w:widowControl/>
              <w:jc w:val="center"/>
              <w:textAlignment w:val="center"/>
              <w:rPr>
                <w:szCs w:val="21"/>
              </w:rPr>
            </w:pPr>
            <w:r>
              <w:rPr>
                <w:kern w:val="0"/>
                <w:szCs w:val="21"/>
                <w:lang w:bidi="ar"/>
              </w:rPr>
              <w:t>0.02</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716F0A87">
            <w:pPr>
              <w:widowControl/>
              <w:jc w:val="center"/>
              <w:textAlignment w:val="center"/>
              <w:rPr>
                <w:szCs w:val="21"/>
              </w:rPr>
            </w:pPr>
            <w:r>
              <w:rPr>
                <w:kern w:val="0"/>
                <w:szCs w:val="21"/>
                <w:lang w:bidi="ar"/>
              </w:rPr>
              <w:t>2</w:t>
            </w:r>
          </w:p>
        </w:tc>
      </w:tr>
      <w:tr w14:paraId="7B7B4DE7">
        <w:tblPrEx>
          <w:tblCellMar>
            <w:top w:w="0" w:type="dxa"/>
            <w:left w:w="108" w:type="dxa"/>
            <w:bottom w:w="0" w:type="dxa"/>
            <w:right w:w="108" w:type="dxa"/>
          </w:tblCellMar>
        </w:tblPrEx>
        <w:trPr>
          <w:trHeight w:val="300" w:hRule="atLeast"/>
        </w:trPr>
        <w:tc>
          <w:tcPr>
            <w:tcW w:w="6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88C202">
            <w:pPr>
              <w:jc w:val="center"/>
              <w:rPr>
                <w:szCs w:val="21"/>
              </w:rPr>
            </w:pPr>
          </w:p>
        </w:tc>
        <w:tc>
          <w:tcPr>
            <w:tcW w:w="1115" w:type="pct"/>
            <w:tcBorders>
              <w:top w:val="single" w:color="000000" w:sz="4" w:space="0"/>
              <w:left w:val="single" w:color="000000" w:sz="4" w:space="0"/>
              <w:bottom w:val="single" w:color="000000" w:sz="4" w:space="0"/>
              <w:right w:val="single" w:color="000000" w:sz="4" w:space="0"/>
            </w:tcBorders>
            <w:noWrap w:val="0"/>
            <w:vAlign w:val="center"/>
          </w:tcPr>
          <w:p w14:paraId="7C49893C">
            <w:pPr>
              <w:widowControl/>
              <w:jc w:val="center"/>
              <w:textAlignment w:val="center"/>
              <w:rPr>
                <w:szCs w:val="21"/>
              </w:rPr>
            </w:pPr>
            <w:r>
              <w:rPr>
                <w:kern w:val="0"/>
                <w:szCs w:val="21"/>
                <w:lang w:bidi="ar"/>
              </w:rPr>
              <w:t>20:00-21:00</w:t>
            </w:r>
          </w:p>
        </w:tc>
        <w:tc>
          <w:tcPr>
            <w:tcW w:w="656" w:type="pct"/>
            <w:tcBorders>
              <w:top w:val="single" w:color="000000" w:sz="4" w:space="0"/>
              <w:left w:val="single" w:color="000000" w:sz="4" w:space="0"/>
              <w:bottom w:val="single" w:color="000000" w:sz="4" w:space="0"/>
              <w:right w:val="single" w:color="000000" w:sz="4" w:space="0"/>
            </w:tcBorders>
            <w:noWrap w:val="0"/>
            <w:vAlign w:val="center"/>
          </w:tcPr>
          <w:p w14:paraId="47A9A159">
            <w:pPr>
              <w:widowControl/>
              <w:jc w:val="center"/>
              <w:textAlignment w:val="center"/>
              <w:rPr>
                <w:szCs w:val="21"/>
              </w:rPr>
            </w:pPr>
            <w:r>
              <w:rPr>
                <w:kern w:val="0"/>
                <w:szCs w:val="21"/>
                <w:lang w:bidi="ar"/>
              </w:rPr>
              <w:t>0.02</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14:paraId="47F84213">
            <w:pPr>
              <w:widowControl/>
              <w:jc w:val="center"/>
              <w:textAlignment w:val="center"/>
              <w:rPr>
                <w:szCs w:val="21"/>
              </w:rPr>
            </w:pPr>
            <w:r>
              <w:rPr>
                <w:kern w:val="0"/>
                <w:szCs w:val="21"/>
                <w:lang w:bidi="ar"/>
              </w:rPr>
              <w:t>2</w:t>
            </w:r>
          </w:p>
        </w:tc>
        <w:tc>
          <w:tcPr>
            <w:tcW w:w="891" w:type="pct"/>
            <w:tcBorders>
              <w:top w:val="single" w:color="000000" w:sz="4" w:space="0"/>
              <w:left w:val="single" w:color="000000" w:sz="4" w:space="0"/>
              <w:bottom w:val="single" w:color="000000" w:sz="4" w:space="0"/>
              <w:right w:val="single" w:color="000000" w:sz="4" w:space="0"/>
            </w:tcBorders>
            <w:noWrap w:val="0"/>
            <w:vAlign w:val="center"/>
          </w:tcPr>
          <w:p w14:paraId="094972F2">
            <w:pPr>
              <w:widowControl/>
              <w:jc w:val="center"/>
              <w:textAlignment w:val="center"/>
              <w:rPr>
                <w:szCs w:val="21"/>
              </w:rPr>
            </w:pPr>
            <w:r>
              <w:rPr>
                <w:kern w:val="0"/>
                <w:szCs w:val="21"/>
                <w:lang w:bidi="ar"/>
              </w:rPr>
              <w:t>0.01</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F4C6242">
            <w:pPr>
              <w:widowControl/>
              <w:jc w:val="center"/>
              <w:textAlignment w:val="center"/>
              <w:rPr>
                <w:szCs w:val="21"/>
              </w:rPr>
            </w:pPr>
            <w:r>
              <w:rPr>
                <w:kern w:val="0"/>
                <w:szCs w:val="21"/>
                <w:lang w:bidi="ar"/>
              </w:rPr>
              <w:t>1</w:t>
            </w:r>
          </w:p>
        </w:tc>
      </w:tr>
    </w:tbl>
    <w:p w14:paraId="5317B3CC">
      <w:pPr>
        <w:spacing w:line="360" w:lineRule="auto"/>
        <w:ind w:firstLine="480" w:firstLineChars="200"/>
        <w:rPr>
          <w:rFonts w:eastAsia="Calibri"/>
          <w:b/>
          <w:sz w:val="24"/>
        </w:rPr>
      </w:pPr>
      <w:r>
        <w:rPr>
          <w:kern w:val="10"/>
          <w:sz w:val="24"/>
        </w:rPr>
        <w:t>监测结果统计及评价见表4.2-3.</w:t>
      </w:r>
    </w:p>
    <w:p w14:paraId="0746A2ED">
      <w:pPr>
        <w:jc w:val="center"/>
        <w:rPr>
          <w:b/>
          <w:bCs/>
          <w:sz w:val="24"/>
        </w:rPr>
      </w:pPr>
      <w:r>
        <w:rPr>
          <w:b/>
          <w:sz w:val="24"/>
        </w:rPr>
        <w:t xml:space="preserve">表4.2-3   </w:t>
      </w:r>
      <w:r>
        <w:rPr>
          <w:b/>
          <w:bCs/>
          <w:sz w:val="24"/>
        </w:rPr>
        <w:t>环境空气质量现状评价结果表  单位：μg/m</w:t>
      </w:r>
      <w:r>
        <w:rPr>
          <w:b/>
          <w:bCs/>
          <w:sz w:val="24"/>
          <w:vertAlign w:val="superscript"/>
        </w:rPr>
        <w:t>3</w:t>
      </w:r>
    </w:p>
    <w:tbl>
      <w:tblPr>
        <w:tblStyle w:val="87"/>
        <w:tblW w:w="91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6"/>
        <w:gridCol w:w="659"/>
        <w:gridCol w:w="843"/>
        <w:gridCol w:w="745"/>
        <w:gridCol w:w="648"/>
        <w:gridCol w:w="1020"/>
        <w:gridCol w:w="1700"/>
        <w:gridCol w:w="1053"/>
        <w:gridCol w:w="859"/>
        <w:gridCol w:w="872"/>
      </w:tblGrid>
      <w:tr w14:paraId="480CE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796" w:type="dxa"/>
            <w:vMerge w:val="restart"/>
            <w:shd w:val="pct10" w:color="auto" w:fill="auto"/>
            <w:noWrap w:val="0"/>
            <w:tcMar>
              <w:top w:w="15" w:type="dxa"/>
              <w:left w:w="15" w:type="dxa"/>
              <w:bottom w:w="15" w:type="dxa"/>
              <w:right w:w="15" w:type="dxa"/>
            </w:tcMar>
            <w:vAlign w:val="center"/>
          </w:tcPr>
          <w:p w14:paraId="6165AC9C">
            <w:pPr>
              <w:jc w:val="center"/>
              <w:rPr>
                <w:b/>
                <w:bCs/>
                <w:spacing w:val="8"/>
                <w:sz w:val="18"/>
                <w:szCs w:val="18"/>
              </w:rPr>
            </w:pPr>
            <w:r>
              <w:rPr>
                <w:b/>
                <w:bCs/>
                <w:spacing w:val="8"/>
                <w:sz w:val="18"/>
                <w:szCs w:val="18"/>
              </w:rPr>
              <w:t>监测</w:t>
            </w:r>
          </w:p>
          <w:p w14:paraId="7F602974">
            <w:pPr>
              <w:jc w:val="center"/>
              <w:rPr>
                <w:b/>
                <w:bCs/>
                <w:spacing w:val="8"/>
                <w:sz w:val="18"/>
                <w:szCs w:val="18"/>
              </w:rPr>
            </w:pPr>
            <w:r>
              <w:rPr>
                <w:b/>
                <w:bCs/>
                <w:spacing w:val="8"/>
                <w:sz w:val="18"/>
                <w:szCs w:val="18"/>
              </w:rPr>
              <w:t>点位</w:t>
            </w:r>
          </w:p>
        </w:tc>
        <w:tc>
          <w:tcPr>
            <w:tcW w:w="1502" w:type="dxa"/>
            <w:gridSpan w:val="2"/>
            <w:tcBorders>
              <w:bottom w:val="single" w:color="auto" w:sz="4" w:space="0"/>
            </w:tcBorders>
            <w:shd w:val="pct10" w:color="auto" w:fill="auto"/>
            <w:noWrap w:val="0"/>
            <w:tcMar>
              <w:top w:w="15" w:type="dxa"/>
              <w:left w:w="15" w:type="dxa"/>
              <w:bottom w:w="15" w:type="dxa"/>
              <w:right w:w="15" w:type="dxa"/>
            </w:tcMar>
            <w:vAlign w:val="center"/>
          </w:tcPr>
          <w:p w14:paraId="2BF410AD">
            <w:pPr>
              <w:jc w:val="center"/>
              <w:rPr>
                <w:b/>
                <w:bCs/>
                <w:spacing w:val="8"/>
                <w:sz w:val="18"/>
                <w:szCs w:val="18"/>
              </w:rPr>
            </w:pPr>
            <w:r>
              <w:rPr>
                <w:b/>
                <w:bCs/>
                <w:spacing w:val="8"/>
                <w:sz w:val="18"/>
                <w:szCs w:val="18"/>
              </w:rPr>
              <w:t>监测点坐标/m</w:t>
            </w:r>
          </w:p>
        </w:tc>
        <w:tc>
          <w:tcPr>
            <w:tcW w:w="745" w:type="dxa"/>
            <w:vMerge w:val="restart"/>
            <w:shd w:val="pct10" w:color="auto" w:fill="auto"/>
            <w:noWrap w:val="0"/>
            <w:tcMar>
              <w:top w:w="15" w:type="dxa"/>
              <w:left w:w="15" w:type="dxa"/>
              <w:bottom w:w="15" w:type="dxa"/>
              <w:right w:w="15" w:type="dxa"/>
            </w:tcMar>
            <w:vAlign w:val="center"/>
          </w:tcPr>
          <w:p w14:paraId="3C30C90D">
            <w:pPr>
              <w:jc w:val="center"/>
              <w:rPr>
                <w:b/>
                <w:bCs/>
                <w:spacing w:val="8"/>
                <w:sz w:val="18"/>
                <w:szCs w:val="18"/>
              </w:rPr>
            </w:pPr>
            <w:r>
              <w:rPr>
                <w:b/>
                <w:bCs/>
                <w:spacing w:val="8"/>
                <w:sz w:val="18"/>
                <w:szCs w:val="18"/>
              </w:rPr>
              <w:t>污染物</w:t>
            </w:r>
          </w:p>
        </w:tc>
        <w:tc>
          <w:tcPr>
            <w:tcW w:w="648" w:type="dxa"/>
            <w:vMerge w:val="restart"/>
            <w:shd w:val="pct10" w:color="auto" w:fill="auto"/>
            <w:noWrap w:val="0"/>
            <w:vAlign w:val="center"/>
          </w:tcPr>
          <w:p w14:paraId="08F714B3">
            <w:pPr>
              <w:jc w:val="center"/>
              <w:rPr>
                <w:b/>
                <w:bCs/>
                <w:spacing w:val="8"/>
                <w:sz w:val="18"/>
                <w:szCs w:val="18"/>
              </w:rPr>
            </w:pPr>
            <w:r>
              <w:rPr>
                <w:b/>
                <w:bCs/>
                <w:spacing w:val="8"/>
                <w:sz w:val="18"/>
                <w:szCs w:val="18"/>
              </w:rPr>
              <w:t>平均时间</w:t>
            </w:r>
          </w:p>
        </w:tc>
        <w:tc>
          <w:tcPr>
            <w:tcW w:w="1020" w:type="dxa"/>
            <w:vMerge w:val="restart"/>
            <w:tcBorders>
              <w:right w:val="single" w:color="auto" w:sz="4" w:space="0"/>
            </w:tcBorders>
            <w:shd w:val="pct10" w:color="auto" w:fill="auto"/>
            <w:noWrap w:val="0"/>
            <w:vAlign w:val="center"/>
          </w:tcPr>
          <w:p w14:paraId="7BDAE34C">
            <w:pPr>
              <w:jc w:val="center"/>
              <w:rPr>
                <w:b/>
                <w:bCs/>
                <w:spacing w:val="8"/>
                <w:sz w:val="18"/>
                <w:szCs w:val="18"/>
              </w:rPr>
            </w:pPr>
            <w:r>
              <w:rPr>
                <w:b/>
                <w:bCs/>
                <w:spacing w:val="8"/>
                <w:sz w:val="18"/>
                <w:szCs w:val="18"/>
              </w:rPr>
              <w:t>评价标准/μg/m</w:t>
            </w:r>
            <w:r>
              <w:rPr>
                <w:b/>
                <w:bCs/>
                <w:spacing w:val="8"/>
                <w:sz w:val="18"/>
                <w:szCs w:val="18"/>
                <w:vertAlign w:val="superscript"/>
              </w:rPr>
              <w:t>3</w:t>
            </w:r>
          </w:p>
        </w:tc>
        <w:tc>
          <w:tcPr>
            <w:tcW w:w="1700" w:type="dxa"/>
            <w:vMerge w:val="restart"/>
            <w:tcBorders>
              <w:left w:val="single" w:color="auto" w:sz="4" w:space="0"/>
              <w:right w:val="single" w:color="auto" w:sz="4" w:space="0"/>
            </w:tcBorders>
            <w:shd w:val="pct10" w:color="auto" w:fill="auto"/>
            <w:noWrap w:val="0"/>
            <w:vAlign w:val="center"/>
          </w:tcPr>
          <w:p w14:paraId="53159572">
            <w:pPr>
              <w:jc w:val="center"/>
              <w:rPr>
                <w:b/>
                <w:bCs/>
                <w:spacing w:val="8"/>
                <w:sz w:val="18"/>
                <w:szCs w:val="18"/>
              </w:rPr>
            </w:pPr>
            <w:r>
              <w:rPr>
                <w:b/>
                <w:bCs/>
                <w:spacing w:val="8"/>
                <w:sz w:val="18"/>
                <w:szCs w:val="18"/>
              </w:rPr>
              <w:t>监测浓度范围/μg/m</w:t>
            </w:r>
            <w:r>
              <w:rPr>
                <w:b/>
                <w:bCs/>
                <w:spacing w:val="8"/>
                <w:sz w:val="18"/>
                <w:szCs w:val="18"/>
                <w:vertAlign w:val="superscript"/>
              </w:rPr>
              <w:t>3</w:t>
            </w:r>
          </w:p>
        </w:tc>
        <w:tc>
          <w:tcPr>
            <w:tcW w:w="1053" w:type="dxa"/>
            <w:vMerge w:val="restart"/>
            <w:tcBorders>
              <w:left w:val="single" w:color="auto" w:sz="4" w:space="0"/>
              <w:right w:val="single" w:color="auto" w:sz="4" w:space="0"/>
            </w:tcBorders>
            <w:shd w:val="pct10" w:color="auto" w:fill="auto"/>
            <w:noWrap w:val="0"/>
            <w:vAlign w:val="center"/>
          </w:tcPr>
          <w:p w14:paraId="0C8657E1">
            <w:pPr>
              <w:jc w:val="center"/>
              <w:rPr>
                <w:b/>
                <w:bCs/>
                <w:spacing w:val="8"/>
                <w:sz w:val="18"/>
                <w:szCs w:val="18"/>
              </w:rPr>
            </w:pPr>
            <w:r>
              <w:rPr>
                <w:b/>
                <w:bCs/>
                <w:spacing w:val="8"/>
                <w:sz w:val="18"/>
                <w:szCs w:val="18"/>
              </w:rPr>
              <w:t>最大浓度占标率/%</w:t>
            </w:r>
          </w:p>
        </w:tc>
        <w:tc>
          <w:tcPr>
            <w:tcW w:w="859" w:type="dxa"/>
            <w:vMerge w:val="restart"/>
            <w:tcBorders>
              <w:left w:val="single" w:color="auto" w:sz="4" w:space="0"/>
            </w:tcBorders>
            <w:shd w:val="pct10" w:color="auto" w:fill="auto"/>
            <w:noWrap w:val="0"/>
            <w:vAlign w:val="center"/>
          </w:tcPr>
          <w:p w14:paraId="4D7878A6">
            <w:pPr>
              <w:jc w:val="center"/>
              <w:rPr>
                <w:b/>
                <w:bCs/>
                <w:spacing w:val="8"/>
                <w:sz w:val="18"/>
                <w:szCs w:val="18"/>
              </w:rPr>
            </w:pPr>
            <w:r>
              <w:rPr>
                <w:b/>
                <w:bCs/>
                <w:spacing w:val="8"/>
                <w:sz w:val="18"/>
                <w:szCs w:val="18"/>
              </w:rPr>
              <w:t>超标率/%</w:t>
            </w:r>
          </w:p>
        </w:tc>
        <w:tc>
          <w:tcPr>
            <w:tcW w:w="872" w:type="dxa"/>
            <w:vMerge w:val="restart"/>
            <w:tcBorders>
              <w:left w:val="single" w:color="auto" w:sz="4" w:space="0"/>
            </w:tcBorders>
            <w:shd w:val="pct10" w:color="auto" w:fill="auto"/>
            <w:noWrap w:val="0"/>
            <w:vAlign w:val="center"/>
          </w:tcPr>
          <w:p w14:paraId="59732714">
            <w:pPr>
              <w:jc w:val="center"/>
              <w:rPr>
                <w:b/>
                <w:bCs/>
                <w:spacing w:val="8"/>
                <w:sz w:val="18"/>
                <w:szCs w:val="18"/>
              </w:rPr>
            </w:pPr>
            <w:r>
              <w:rPr>
                <w:b/>
                <w:bCs/>
                <w:spacing w:val="8"/>
                <w:sz w:val="18"/>
                <w:szCs w:val="18"/>
              </w:rPr>
              <w:t>达标</w:t>
            </w:r>
          </w:p>
          <w:p w14:paraId="5437EA6A">
            <w:pPr>
              <w:jc w:val="center"/>
              <w:rPr>
                <w:b/>
                <w:bCs/>
                <w:spacing w:val="8"/>
                <w:sz w:val="18"/>
                <w:szCs w:val="18"/>
              </w:rPr>
            </w:pPr>
            <w:r>
              <w:rPr>
                <w:b/>
                <w:bCs/>
                <w:spacing w:val="8"/>
                <w:sz w:val="18"/>
                <w:szCs w:val="18"/>
              </w:rPr>
              <w:t>情况</w:t>
            </w:r>
          </w:p>
        </w:tc>
      </w:tr>
      <w:tr w14:paraId="22D3A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6" w:type="dxa"/>
            <w:vMerge w:val="continue"/>
            <w:shd w:val="clear" w:color="auto" w:fill="auto"/>
            <w:noWrap w:val="0"/>
            <w:tcMar>
              <w:top w:w="15" w:type="dxa"/>
              <w:left w:w="15" w:type="dxa"/>
              <w:bottom w:w="15" w:type="dxa"/>
              <w:right w:w="15" w:type="dxa"/>
            </w:tcMar>
            <w:vAlign w:val="center"/>
          </w:tcPr>
          <w:p w14:paraId="558AF309">
            <w:pPr>
              <w:jc w:val="center"/>
              <w:rPr>
                <w:spacing w:val="8"/>
                <w:sz w:val="18"/>
                <w:szCs w:val="18"/>
              </w:rPr>
            </w:pPr>
          </w:p>
        </w:tc>
        <w:tc>
          <w:tcPr>
            <w:tcW w:w="659" w:type="dxa"/>
            <w:tcBorders>
              <w:top w:val="single" w:color="auto" w:sz="4" w:space="0"/>
              <w:right w:val="single" w:color="auto" w:sz="4" w:space="0"/>
            </w:tcBorders>
            <w:shd w:val="pct10" w:color="auto" w:fill="auto"/>
            <w:noWrap w:val="0"/>
            <w:tcMar>
              <w:top w:w="15" w:type="dxa"/>
              <w:left w:w="15" w:type="dxa"/>
              <w:bottom w:w="15" w:type="dxa"/>
              <w:right w:w="15" w:type="dxa"/>
            </w:tcMar>
            <w:vAlign w:val="center"/>
          </w:tcPr>
          <w:p w14:paraId="3640C48E">
            <w:pPr>
              <w:jc w:val="center"/>
              <w:rPr>
                <w:b/>
                <w:bCs/>
                <w:spacing w:val="8"/>
                <w:sz w:val="18"/>
                <w:szCs w:val="18"/>
              </w:rPr>
            </w:pPr>
            <w:r>
              <w:rPr>
                <w:b/>
                <w:bCs/>
                <w:spacing w:val="8"/>
                <w:sz w:val="18"/>
                <w:szCs w:val="18"/>
              </w:rPr>
              <w:t>X</w:t>
            </w:r>
          </w:p>
        </w:tc>
        <w:tc>
          <w:tcPr>
            <w:tcW w:w="843" w:type="dxa"/>
            <w:tcBorders>
              <w:top w:val="single" w:color="auto" w:sz="4" w:space="0"/>
              <w:left w:val="single" w:color="auto" w:sz="4" w:space="0"/>
            </w:tcBorders>
            <w:shd w:val="pct10" w:color="auto" w:fill="auto"/>
            <w:noWrap w:val="0"/>
            <w:tcMar>
              <w:top w:w="15" w:type="dxa"/>
              <w:left w:w="15" w:type="dxa"/>
              <w:bottom w:w="15" w:type="dxa"/>
              <w:right w:w="15" w:type="dxa"/>
            </w:tcMar>
            <w:vAlign w:val="center"/>
          </w:tcPr>
          <w:p w14:paraId="4D09BE1E">
            <w:pPr>
              <w:jc w:val="center"/>
              <w:rPr>
                <w:b/>
                <w:bCs/>
                <w:spacing w:val="8"/>
                <w:sz w:val="18"/>
                <w:szCs w:val="18"/>
              </w:rPr>
            </w:pPr>
            <w:r>
              <w:rPr>
                <w:b/>
                <w:bCs/>
                <w:spacing w:val="8"/>
                <w:sz w:val="18"/>
                <w:szCs w:val="18"/>
              </w:rPr>
              <w:t>Y</w:t>
            </w:r>
          </w:p>
        </w:tc>
        <w:tc>
          <w:tcPr>
            <w:tcW w:w="745" w:type="dxa"/>
            <w:vMerge w:val="continue"/>
            <w:noWrap w:val="0"/>
            <w:tcMar>
              <w:top w:w="15" w:type="dxa"/>
              <w:left w:w="15" w:type="dxa"/>
              <w:bottom w:w="15" w:type="dxa"/>
              <w:right w:w="15" w:type="dxa"/>
            </w:tcMar>
            <w:vAlign w:val="center"/>
          </w:tcPr>
          <w:p w14:paraId="6D74BED4">
            <w:pPr>
              <w:jc w:val="center"/>
              <w:rPr>
                <w:spacing w:val="8"/>
                <w:sz w:val="18"/>
                <w:szCs w:val="18"/>
              </w:rPr>
            </w:pPr>
          </w:p>
        </w:tc>
        <w:tc>
          <w:tcPr>
            <w:tcW w:w="648" w:type="dxa"/>
            <w:vMerge w:val="continue"/>
            <w:noWrap w:val="0"/>
            <w:vAlign w:val="top"/>
          </w:tcPr>
          <w:p w14:paraId="2382E748">
            <w:pPr>
              <w:jc w:val="center"/>
              <w:rPr>
                <w:spacing w:val="8"/>
                <w:sz w:val="18"/>
                <w:szCs w:val="18"/>
              </w:rPr>
            </w:pPr>
          </w:p>
        </w:tc>
        <w:tc>
          <w:tcPr>
            <w:tcW w:w="1020" w:type="dxa"/>
            <w:vMerge w:val="continue"/>
            <w:tcBorders>
              <w:right w:val="single" w:color="auto" w:sz="4" w:space="0"/>
            </w:tcBorders>
            <w:noWrap w:val="0"/>
            <w:vAlign w:val="center"/>
          </w:tcPr>
          <w:p w14:paraId="3018782B">
            <w:pPr>
              <w:jc w:val="center"/>
              <w:rPr>
                <w:spacing w:val="8"/>
                <w:sz w:val="18"/>
                <w:szCs w:val="18"/>
              </w:rPr>
            </w:pPr>
          </w:p>
        </w:tc>
        <w:tc>
          <w:tcPr>
            <w:tcW w:w="1700" w:type="dxa"/>
            <w:vMerge w:val="continue"/>
            <w:tcBorders>
              <w:left w:val="single" w:color="auto" w:sz="4" w:space="0"/>
              <w:right w:val="single" w:color="auto" w:sz="4" w:space="0"/>
            </w:tcBorders>
            <w:noWrap w:val="0"/>
            <w:vAlign w:val="center"/>
          </w:tcPr>
          <w:p w14:paraId="209AAC50">
            <w:pPr>
              <w:jc w:val="center"/>
              <w:rPr>
                <w:spacing w:val="8"/>
                <w:sz w:val="18"/>
                <w:szCs w:val="18"/>
              </w:rPr>
            </w:pPr>
          </w:p>
        </w:tc>
        <w:tc>
          <w:tcPr>
            <w:tcW w:w="1053" w:type="dxa"/>
            <w:vMerge w:val="continue"/>
            <w:tcBorders>
              <w:left w:val="single" w:color="auto" w:sz="4" w:space="0"/>
              <w:right w:val="single" w:color="auto" w:sz="4" w:space="0"/>
            </w:tcBorders>
            <w:noWrap w:val="0"/>
            <w:vAlign w:val="center"/>
          </w:tcPr>
          <w:p w14:paraId="48A90338">
            <w:pPr>
              <w:jc w:val="center"/>
              <w:rPr>
                <w:spacing w:val="8"/>
                <w:sz w:val="18"/>
                <w:szCs w:val="18"/>
              </w:rPr>
            </w:pPr>
          </w:p>
        </w:tc>
        <w:tc>
          <w:tcPr>
            <w:tcW w:w="859" w:type="dxa"/>
            <w:vMerge w:val="continue"/>
            <w:tcBorders>
              <w:left w:val="single" w:color="auto" w:sz="4" w:space="0"/>
            </w:tcBorders>
            <w:noWrap w:val="0"/>
            <w:vAlign w:val="center"/>
          </w:tcPr>
          <w:p w14:paraId="286D72F0">
            <w:pPr>
              <w:jc w:val="center"/>
              <w:rPr>
                <w:spacing w:val="8"/>
                <w:sz w:val="18"/>
                <w:szCs w:val="18"/>
              </w:rPr>
            </w:pPr>
          </w:p>
        </w:tc>
        <w:tc>
          <w:tcPr>
            <w:tcW w:w="872" w:type="dxa"/>
            <w:vMerge w:val="continue"/>
            <w:tcBorders>
              <w:left w:val="single" w:color="auto" w:sz="4" w:space="0"/>
            </w:tcBorders>
            <w:noWrap w:val="0"/>
            <w:vAlign w:val="center"/>
          </w:tcPr>
          <w:p w14:paraId="12962686">
            <w:pPr>
              <w:jc w:val="center"/>
              <w:rPr>
                <w:spacing w:val="8"/>
                <w:sz w:val="18"/>
                <w:szCs w:val="18"/>
              </w:rPr>
            </w:pPr>
          </w:p>
        </w:tc>
      </w:tr>
      <w:tr w14:paraId="36A95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96" w:type="dxa"/>
            <w:vMerge w:val="restart"/>
            <w:noWrap w:val="0"/>
            <w:tcMar>
              <w:top w:w="15" w:type="dxa"/>
              <w:left w:w="15" w:type="dxa"/>
              <w:bottom w:w="15" w:type="dxa"/>
              <w:right w:w="15" w:type="dxa"/>
            </w:tcMar>
            <w:vAlign w:val="center"/>
          </w:tcPr>
          <w:p w14:paraId="010FBA87">
            <w:pPr>
              <w:jc w:val="center"/>
              <w:rPr>
                <w:spacing w:val="8"/>
                <w:sz w:val="18"/>
                <w:szCs w:val="18"/>
              </w:rPr>
            </w:pPr>
            <w:r>
              <w:rPr>
                <w:bCs/>
                <w:sz w:val="18"/>
                <w:szCs w:val="18"/>
              </w:rPr>
              <w:t>G1法块村</w:t>
            </w:r>
          </w:p>
        </w:tc>
        <w:tc>
          <w:tcPr>
            <w:tcW w:w="659" w:type="dxa"/>
            <w:vMerge w:val="restart"/>
            <w:tcBorders>
              <w:right w:val="single" w:color="auto" w:sz="4" w:space="0"/>
            </w:tcBorders>
            <w:noWrap w:val="0"/>
            <w:tcMar>
              <w:top w:w="15" w:type="dxa"/>
              <w:left w:w="15" w:type="dxa"/>
              <w:bottom w:w="15" w:type="dxa"/>
              <w:right w:w="15" w:type="dxa"/>
            </w:tcMar>
            <w:vAlign w:val="center"/>
          </w:tcPr>
          <w:p w14:paraId="0A7209BC">
            <w:pPr>
              <w:jc w:val="center"/>
              <w:rPr>
                <w:sz w:val="18"/>
                <w:szCs w:val="18"/>
              </w:rPr>
            </w:pPr>
            <w:r>
              <w:rPr>
                <w:rFonts w:hint="eastAsia"/>
                <w:sz w:val="18"/>
                <w:szCs w:val="18"/>
              </w:rPr>
              <w:t>466</w:t>
            </w:r>
          </w:p>
        </w:tc>
        <w:tc>
          <w:tcPr>
            <w:tcW w:w="843" w:type="dxa"/>
            <w:vMerge w:val="restart"/>
            <w:tcBorders>
              <w:left w:val="single" w:color="auto" w:sz="4" w:space="0"/>
            </w:tcBorders>
            <w:noWrap w:val="0"/>
            <w:tcMar>
              <w:top w:w="15" w:type="dxa"/>
              <w:left w:w="15" w:type="dxa"/>
              <w:bottom w:w="15" w:type="dxa"/>
              <w:right w:w="15" w:type="dxa"/>
            </w:tcMar>
            <w:vAlign w:val="center"/>
          </w:tcPr>
          <w:p w14:paraId="1713F96D">
            <w:pPr>
              <w:jc w:val="center"/>
              <w:rPr>
                <w:sz w:val="18"/>
                <w:szCs w:val="18"/>
              </w:rPr>
            </w:pPr>
            <w:r>
              <w:rPr>
                <w:rFonts w:hint="eastAsia"/>
                <w:sz w:val="18"/>
                <w:szCs w:val="18"/>
              </w:rPr>
              <w:t>491</w:t>
            </w:r>
          </w:p>
        </w:tc>
        <w:tc>
          <w:tcPr>
            <w:tcW w:w="745" w:type="dxa"/>
            <w:noWrap w:val="0"/>
            <w:tcMar>
              <w:top w:w="15" w:type="dxa"/>
              <w:left w:w="15" w:type="dxa"/>
              <w:bottom w:w="15" w:type="dxa"/>
              <w:right w:w="15" w:type="dxa"/>
            </w:tcMar>
            <w:vAlign w:val="center"/>
          </w:tcPr>
          <w:p w14:paraId="481A3470">
            <w:pPr>
              <w:jc w:val="center"/>
              <w:rPr>
                <w:kern w:val="10"/>
                <w:sz w:val="18"/>
                <w:szCs w:val="18"/>
              </w:rPr>
            </w:pPr>
            <w:r>
              <w:rPr>
                <w:kern w:val="10"/>
                <w:sz w:val="18"/>
                <w:szCs w:val="18"/>
              </w:rPr>
              <w:t>H</w:t>
            </w:r>
            <w:r>
              <w:rPr>
                <w:kern w:val="10"/>
                <w:sz w:val="18"/>
                <w:szCs w:val="18"/>
                <w:vertAlign w:val="subscript"/>
              </w:rPr>
              <w:t>2</w:t>
            </w:r>
            <w:r>
              <w:rPr>
                <w:kern w:val="10"/>
                <w:sz w:val="18"/>
                <w:szCs w:val="18"/>
              </w:rPr>
              <w:t>S</w:t>
            </w:r>
          </w:p>
        </w:tc>
        <w:tc>
          <w:tcPr>
            <w:tcW w:w="648" w:type="dxa"/>
            <w:vMerge w:val="restart"/>
            <w:noWrap w:val="0"/>
            <w:vAlign w:val="center"/>
          </w:tcPr>
          <w:p w14:paraId="108A3009">
            <w:pPr>
              <w:jc w:val="center"/>
              <w:rPr>
                <w:spacing w:val="8"/>
                <w:sz w:val="18"/>
                <w:szCs w:val="18"/>
              </w:rPr>
            </w:pPr>
            <w:r>
              <w:rPr>
                <w:spacing w:val="8"/>
                <w:sz w:val="18"/>
                <w:szCs w:val="18"/>
              </w:rPr>
              <w:t>小时平均</w:t>
            </w:r>
          </w:p>
        </w:tc>
        <w:tc>
          <w:tcPr>
            <w:tcW w:w="1020" w:type="dxa"/>
            <w:tcBorders>
              <w:right w:val="single" w:color="auto" w:sz="4" w:space="0"/>
            </w:tcBorders>
            <w:noWrap w:val="0"/>
            <w:vAlign w:val="center"/>
          </w:tcPr>
          <w:p w14:paraId="67F9F088">
            <w:pPr>
              <w:jc w:val="center"/>
              <w:rPr>
                <w:spacing w:val="8"/>
                <w:sz w:val="18"/>
                <w:szCs w:val="18"/>
              </w:rPr>
            </w:pPr>
            <w:r>
              <w:rPr>
                <w:spacing w:val="8"/>
                <w:sz w:val="18"/>
                <w:szCs w:val="18"/>
              </w:rPr>
              <w:t>10</w:t>
            </w:r>
          </w:p>
        </w:tc>
        <w:tc>
          <w:tcPr>
            <w:tcW w:w="1700" w:type="dxa"/>
            <w:tcBorders>
              <w:left w:val="single" w:color="auto" w:sz="4" w:space="0"/>
              <w:right w:val="single" w:color="auto" w:sz="4" w:space="0"/>
            </w:tcBorders>
            <w:noWrap w:val="0"/>
            <w:vAlign w:val="center"/>
          </w:tcPr>
          <w:p w14:paraId="7C24645B">
            <w:pPr>
              <w:jc w:val="center"/>
              <w:rPr>
                <w:spacing w:val="8"/>
                <w:sz w:val="18"/>
                <w:szCs w:val="18"/>
              </w:rPr>
            </w:pPr>
            <w:r>
              <w:rPr>
                <w:spacing w:val="8"/>
                <w:sz w:val="18"/>
                <w:szCs w:val="18"/>
              </w:rPr>
              <w:t>1~4</w:t>
            </w:r>
          </w:p>
        </w:tc>
        <w:tc>
          <w:tcPr>
            <w:tcW w:w="1053" w:type="dxa"/>
            <w:tcBorders>
              <w:left w:val="single" w:color="auto" w:sz="4" w:space="0"/>
              <w:right w:val="single" w:color="auto" w:sz="4" w:space="0"/>
            </w:tcBorders>
            <w:noWrap w:val="0"/>
            <w:vAlign w:val="center"/>
          </w:tcPr>
          <w:p w14:paraId="1818A82F">
            <w:pPr>
              <w:jc w:val="center"/>
              <w:rPr>
                <w:spacing w:val="8"/>
                <w:sz w:val="18"/>
                <w:szCs w:val="18"/>
              </w:rPr>
            </w:pPr>
            <w:r>
              <w:rPr>
                <w:spacing w:val="8"/>
                <w:sz w:val="18"/>
                <w:szCs w:val="18"/>
              </w:rPr>
              <w:t>40%</w:t>
            </w:r>
          </w:p>
        </w:tc>
        <w:tc>
          <w:tcPr>
            <w:tcW w:w="859" w:type="dxa"/>
            <w:tcBorders>
              <w:left w:val="single" w:color="auto" w:sz="4" w:space="0"/>
            </w:tcBorders>
            <w:noWrap w:val="0"/>
            <w:vAlign w:val="center"/>
          </w:tcPr>
          <w:p w14:paraId="755B9232">
            <w:pPr>
              <w:jc w:val="center"/>
              <w:rPr>
                <w:spacing w:val="8"/>
                <w:sz w:val="18"/>
                <w:szCs w:val="18"/>
              </w:rPr>
            </w:pPr>
            <w:r>
              <w:rPr>
                <w:spacing w:val="8"/>
                <w:sz w:val="18"/>
                <w:szCs w:val="18"/>
              </w:rPr>
              <w:t>0</w:t>
            </w:r>
          </w:p>
        </w:tc>
        <w:tc>
          <w:tcPr>
            <w:tcW w:w="872" w:type="dxa"/>
            <w:tcBorders>
              <w:left w:val="single" w:color="auto" w:sz="4" w:space="0"/>
            </w:tcBorders>
            <w:noWrap w:val="0"/>
            <w:vAlign w:val="center"/>
          </w:tcPr>
          <w:p w14:paraId="0272026B">
            <w:pPr>
              <w:jc w:val="center"/>
              <w:rPr>
                <w:spacing w:val="8"/>
                <w:sz w:val="18"/>
                <w:szCs w:val="18"/>
              </w:rPr>
            </w:pPr>
            <w:r>
              <w:rPr>
                <w:spacing w:val="8"/>
                <w:sz w:val="18"/>
                <w:szCs w:val="18"/>
              </w:rPr>
              <w:t>达标</w:t>
            </w:r>
          </w:p>
        </w:tc>
      </w:tr>
      <w:tr w14:paraId="4F3DB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6" w:type="dxa"/>
            <w:vMerge w:val="continue"/>
            <w:noWrap w:val="0"/>
            <w:tcMar>
              <w:top w:w="15" w:type="dxa"/>
              <w:left w:w="15" w:type="dxa"/>
              <w:bottom w:w="15" w:type="dxa"/>
              <w:right w:w="15" w:type="dxa"/>
            </w:tcMar>
            <w:vAlign w:val="center"/>
          </w:tcPr>
          <w:p w14:paraId="183AAFC1">
            <w:pPr>
              <w:jc w:val="center"/>
              <w:rPr>
                <w:spacing w:val="8"/>
                <w:sz w:val="18"/>
                <w:szCs w:val="18"/>
              </w:rPr>
            </w:pPr>
          </w:p>
        </w:tc>
        <w:tc>
          <w:tcPr>
            <w:tcW w:w="659" w:type="dxa"/>
            <w:vMerge w:val="continue"/>
            <w:tcBorders>
              <w:right w:val="single" w:color="auto" w:sz="4" w:space="0"/>
            </w:tcBorders>
            <w:noWrap w:val="0"/>
            <w:tcMar>
              <w:top w:w="15" w:type="dxa"/>
              <w:left w:w="15" w:type="dxa"/>
              <w:bottom w:w="15" w:type="dxa"/>
              <w:right w:w="15" w:type="dxa"/>
            </w:tcMar>
            <w:vAlign w:val="center"/>
          </w:tcPr>
          <w:p w14:paraId="69267691">
            <w:pPr>
              <w:jc w:val="center"/>
              <w:rPr>
                <w:sz w:val="18"/>
                <w:szCs w:val="18"/>
              </w:rPr>
            </w:pPr>
          </w:p>
        </w:tc>
        <w:tc>
          <w:tcPr>
            <w:tcW w:w="843" w:type="dxa"/>
            <w:vMerge w:val="continue"/>
            <w:tcBorders>
              <w:left w:val="single" w:color="auto" w:sz="4" w:space="0"/>
            </w:tcBorders>
            <w:noWrap w:val="0"/>
            <w:tcMar>
              <w:top w:w="15" w:type="dxa"/>
              <w:left w:w="15" w:type="dxa"/>
              <w:bottom w:w="15" w:type="dxa"/>
              <w:right w:w="15" w:type="dxa"/>
            </w:tcMar>
            <w:vAlign w:val="center"/>
          </w:tcPr>
          <w:p w14:paraId="49630D58">
            <w:pPr>
              <w:jc w:val="center"/>
              <w:rPr>
                <w:sz w:val="18"/>
                <w:szCs w:val="18"/>
              </w:rPr>
            </w:pPr>
          </w:p>
        </w:tc>
        <w:tc>
          <w:tcPr>
            <w:tcW w:w="745" w:type="dxa"/>
            <w:noWrap w:val="0"/>
            <w:tcMar>
              <w:top w:w="15" w:type="dxa"/>
              <w:left w:w="15" w:type="dxa"/>
              <w:bottom w:w="15" w:type="dxa"/>
              <w:right w:w="15" w:type="dxa"/>
            </w:tcMar>
            <w:vAlign w:val="center"/>
          </w:tcPr>
          <w:p w14:paraId="586CC1A5">
            <w:pPr>
              <w:jc w:val="center"/>
              <w:rPr>
                <w:kern w:val="10"/>
                <w:sz w:val="18"/>
                <w:szCs w:val="18"/>
              </w:rPr>
            </w:pPr>
            <w:r>
              <w:rPr>
                <w:kern w:val="10"/>
                <w:sz w:val="18"/>
                <w:szCs w:val="18"/>
              </w:rPr>
              <w:t>NH</w:t>
            </w:r>
            <w:r>
              <w:rPr>
                <w:kern w:val="10"/>
                <w:sz w:val="18"/>
                <w:szCs w:val="18"/>
                <w:vertAlign w:val="subscript"/>
              </w:rPr>
              <w:t>3</w:t>
            </w:r>
          </w:p>
        </w:tc>
        <w:tc>
          <w:tcPr>
            <w:tcW w:w="648" w:type="dxa"/>
            <w:vMerge w:val="continue"/>
            <w:noWrap w:val="0"/>
            <w:vAlign w:val="center"/>
          </w:tcPr>
          <w:p w14:paraId="0640F40C">
            <w:pPr>
              <w:jc w:val="center"/>
              <w:rPr>
                <w:spacing w:val="8"/>
                <w:sz w:val="18"/>
                <w:szCs w:val="18"/>
              </w:rPr>
            </w:pPr>
          </w:p>
        </w:tc>
        <w:tc>
          <w:tcPr>
            <w:tcW w:w="1020" w:type="dxa"/>
            <w:tcBorders>
              <w:right w:val="single" w:color="auto" w:sz="4" w:space="0"/>
            </w:tcBorders>
            <w:noWrap w:val="0"/>
            <w:vAlign w:val="center"/>
          </w:tcPr>
          <w:p w14:paraId="236218DD">
            <w:pPr>
              <w:jc w:val="center"/>
              <w:rPr>
                <w:spacing w:val="8"/>
                <w:sz w:val="18"/>
                <w:szCs w:val="18"/>
              </w:rPr>
            </w:pPr>
            <w:r>
              <w:rPr>
                <w:spacing w:val="8"/>
                <w:sz w:val="18"/>
                <w:szCs w:val="18"/>
              </w:rPr>
              <w:t>200</w:t>
            </w:r>
          </w:p>
        </w:tc>
        <w:tc>
          <w:tcPr>
            <w:tcW w:w="1700" w:type="dxa"/>
            <w:tcBorders>
              <w:left w:val="single" w:color="auto" w:sz="4" w:space="0"/>
              <w:right w:val="single" w:color="auto" w:sz="4" w:space="0"/>
            </w:tcBorders>
            <w:noWrap w:val="0"/>
            <w:vAlign w:val="center"/>
          </w:tcPr>
          <w:p w14:paraId="5AB48AF1">
            <w:pPr>
              <w:jc w:val="center"/>
              <w:rPr>
                <w:spacing w:val="8"/>
                <w:sz w:val="18"/>
                <w:szCs w:val="18"/>
              </w:rPr>
            </w:pPr>
            <w:r>
              <w:rPr>
                <w:spacing w:val="8"/>
                <w:sz w:val="18"/>
                <w:szCs w:val="18"/>
              </w:rPr>
              <w:t>10~40</w:t>
            </w:r>
          </w:p>
        </w:tc>
        <w:tc>
          <w:tcPr>
            <w:tcW w:w="1053" w:type="dxa"/>
            <w:tcBorders>
              <w:left w:val="single" w:color="auto" w:sz="4" w:space="0"/>
              <w:right w:val="single" w:color="auto" w:sz="4" w:space="0"/>
            </w:tcBorders>
            <w:noWrap w:val="0"/>
            <w:vAlign w:val="center"/>
          </w:tcPr>
          <w:p w14:paraId="25BB9C19">
            <w:pPr>
              <w:jc w:val="center"/>
              <w:rPr>
                <w:spacing w:val="8"/>
                <w:sz w:val="18"/>
                <w:szCs w:val="18"/>
              </w:rPr>
            </w:pPr>
            <w:r>
              <w:rPr>
                <w:spacing w:val="8"/>
                <w:sz w:val="18"/>
                <w:szCs w:val="18"/>
              </w:rPr>
              <w:t>20%</w:t>
            </w:r>
          </w:p>
        </w:tc>
        <w:tc>
          <w:tcPr>
            <w:tcW w:w="859" w:type="dxa"/>
            <w:tcBorders>
              <w:left w:val="single" w:color="auto" w:sz="4" w:space="0"/>
            </w:tcBorders>
            <w:noWrap w:val="0"/>
            <w:vAlign w:val="center"/>
          </w:tcPr>
          <w:p w14:paraId="01F5D4AD">
            <w:pPr>
              <w:jc w:val="center"/>
              <w:rPr>
                <w:spacing w:val="8"/>
                <w:sz w:val="18"/>
                <w:szCs w:val="18"/>
              </w:rPr>
            </w:pPr>
            <w:r>
              <w:rPr>
                <w:spacing w:val="8"/>
                <w:sz w:val="18"/>
                <w:szCs w:val="18"/>
              </w:rPr>
              <w:t>0</w:t>
            </w:r>
          </w:p>
        </w:tc>
        <w:tc>
          <w:tcPr>
            <w:tcW w:w="872" w:type="dxa"/>
            <w:tcBorders>
              <w:left w:val="single" w:color="auto" w:sz="4" w:space="0"/>
            </w:tcBorders>
            <w:noWrap w:val="0"/>
            <w:vAlign w:val="center"/>
          </w:tcPr>
          <w:p w14:paraId="677DDBC2">
            <w:pPr>
              <w:jc w:val="center"/>
              <w:rPr>
                <w:spacing w:val="8"/>
                <w:sz w:val="18"/>
                <w:szCs w:val="18"/>
              </w:rPr>
            </w:pPr>
            <w:r>
              <w:rPr>
                <w:spacing w:val="8"/>
                <w:sz w:val="18"/>
                <w:szCs w:val="18"/>
              </w:rPr>
              <w:t>达标</w:t>
            </w:r>
          </w:p>
        </w:tc>
      </w:tr>
      <w:tr w14:paraId="53A22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6" w:type="dxa"/>
            <w:vMerge w:val="restart"/>
            <w:noWrap w:val="0"/>
            <w:tcMar>
              <w:top w:w="15" w:type="dxa"/>
              <w:left w:w="15" w:type="dxa"/>
              <w:bottom w:w="15" w:type="dxa"/>
              <w:right w:w="15" w:type="dxa"/>
            </w:tcMar>
            <w:vAlign w:val="center"/>
          </w:tcPr>
          <w:p w14:paraId="3D31E0F0">
            <w:pPr>
              <w:jc w:val="center"/>
              <w:rPr>
                <w:spacing w:val="8"/>
                <w:sz w:val="18"/>
                <w:szCs w:val="18"/>
              </w:rPr>
            </w:pPr>
            <w:r>
              <w:rPr>
                <w:bCs/>
                <w:sz w:val="18"/>
                <w:szCs w:val="18"/>
              </w:rPr>
              <w:t>G2项目养殖地块二厂址处</w:t>
            </w:r>
          </w:p>
        </w:tc>
        <w:tc>
          <w:tcPr>
            <w:tcW w:w="659" w:type="dxa"/>
            <w:vMerge w:val="restart"/>
            <w:tcBorders>
              <w:right w:val="single" w:color="auto" w:sz="4" w:space="0"/>
            </w:tcBorders>
            <w:noWrap w:val="0"/>
            <w:tcMar>
              <w:top w:w="15" w:type="dxa"/>
              <w:left w:w="15" w:type="dxa"/>
              <w:bottom w:w="15" w:type="dxa"/>
              <w:right w:w="15" w:type="dxa"/>
            </w:tcMar>
            <w:vAlign w:val="center"/>
          </w:tcPr>
          <w:p w14:paraId="109169C7">
            <w:pPr>
              <w:jc w:val="center"/>
              <w:rPr>
                <w:spacing w:val="8"/>
                <w:sz w:val="18"/>
                <w:szCs w:val="18"/>
              </w:rPr>
            </w:pPr>
            <w:r>
              <w:rPr>
                <w:rFonts w:hint="eastAsia"/>
                <w:spacing w:val="8"/>
                <w:sz w:val="18"/>
                <w:szCs w:val="18"/>
              </w:rPr>
              <w:t>-1267</w:t>
            </w:r>
          </w:p>
        </w:tc>
        <w:tc>
          <w:tcPr>
            <w:tcW w:w="843" w:type="dxa"/>
            <w:vMerge w:val="restart"/>
            <w:tcBorders>
              <w:left w:val="single" w:color="auto" w:sz="4" w:space="0"/>
            </w:tcBorders>
            <w:noWrap w:val="0"/>
            <w:tcMar>
              <w:top w:w="15" w:type="dxa"/>
              <w:left w:w="15" w:type="dxa"/>
              <w:bottom w:w="15" w:type="dxa"/>
              <w:right w:w="15" w:type="dxa"/>
            </w:tcMar>
            <w:vAlign w:val="center"/>
          </w:tcPr>
          <w:p w14:paraId="075E19CD">
            <w:pPr>
              <w:jc w:val="center"/>
              <w:rPr>
                <w:spacing w:val="8"/>
                <w:sz w:val="18"/>
                <w:szCs w:val="18"/>
              </w:rPr>
            </w:pPr>
            <w:r>
              <w:rPr>
                <w:rFonts w:hint="eastAsia"/>
                <w:spacing w:val="8"/>
                <w:sz w:val="18"/>
                <w:szCs w:val="18"/>
              </w:rPr>
              <w:t>-2212</w:t>
            </w:r>
          </w:p>
        </w:tc>
        <w:tc>
          <w:tcPr>
            <w:tcW w:w="745" w:type="dxa"/>
            <w:noWrap w:val="0"/>
            <w:tcMar>
              <w:top w:w="15" w:type="dxa"/>
              <w:left w:w="15" w:type="dxa"/>
              <w:bottom w:w="15" w:type="dxa"/>
              <w:right w:w="15" w:type="dxa"/>
            </w:tcMar>
            <w:vAlign w:val="center"/>
          </w:tcPr>
          <w:p w14:paraId="0DED4D3E">
            <w:pPr>
              <w:jc w:val="center"/>
              <w:rPr>
                <w:spacing w:val="8"/>
                <w:sz w:val="18"/>
                <w:szCs w:val="18"/>
              </w:rPr>
            </w:pPr>
            <w:r>
              <w:rPr>
                <w:kern w:val="10"/>
                <w:sz w:val="18"/>
                <w:szCs w:val="18"/>
              </w:rPr>
              <w:t>H</w:t>
            </w:r>
            <w:r>
              <w:rPr>
                <w:kern w:val="10"/>
                <w:sz w:val="18"/>
                <w:szCs w:val="18"/>
                <w:vertAlign w:val="subscript"/>
              </w:rPr>
              <w:t>2</w:t>
            </w:r>
            <w:r>
              <w:rPr>
                <w:kern w:val="10"/>
                <w:sz w:val="18"/>
                <w:szCs w:val="18"/>
              </w:rPr>
              <w:t>S</w:t>
            </w:r>
          </w:p>
        </w:tc>
        <w:tc>
          <w:tcPr>
            <w:tcW w:w="648" w:type="dxa"/>
            <w:vMerge w:val="continue"/>
            <w:noWrap w:val="0"/>
            <w:vAlign w:val="center"/>
          </w:tcPr>
          <w:p w14:paraId="420A2C23">
            <w:pPr>
              <w:jc w:val="center"/>
              <w:rPr>
                <w:spacing w:val="8"/>
                <w:sz w:val="18"/>
                <w:szCs w:val="18"/>
              </w:rPr>
            </w:pPr>
          </w:p>
        </w:tc>
        <w:tc>
          <w:tcPr>
            <w:tcW w:w="1020" w:type="dxa"/>
            <w:tcBorders>
              <w:right w:val="single" w:color="auto" w:sz="4" w:space="0"/>
            </w:tcBorders>
            <w:noWrap w:val="0"/>
            <w:vAlign w:val="center"/>
          </w:tcPr>
          <w:p w14:paraId="036992BC">
            <w:pPr>
              <w:jc w:val="center"/>
              <w:rPr>
                <w:spacing w:val="8"/>
                <w:sz w:val="18"/>
                <w:szCs w:val="18"/>
              </w:rPr>
            </w:pPr>
            <w:r>
              <w:rPr>
                <w:spacing w:val="8"/>
                <w:sz w:val="18"/>
                <w:szCs w:val="18"/>
              </w:rPr>
              <w:t>10</w:t>
            </w:r>
          </w:p>
        </w:tc>
        <w:tc>
          <w:tcPr>
            <w:tcW w:w="1700" w:type="dxa"/>
            <w:tcBorders>
              <w:left w:val="single" w:color="auto" w:sz="4" w:space="0"/>
              <w:right w:val="single" w:color="auto" w:sz="4" w:space="0"/>
            </w:tcBorders>
            <w:noWrap w:val="0"/>
            <w:vAlign w:val="center"/>
          </w:tcPr>
          <w:p w14:paraId="059BF3DD">
            <w:pPr>
              <w:jc w:val="center"/>
              <w:rPr>
                <w:spacing w:val="8"/>
                <w:sz w:val="18"/>
                <w:szCs w:val="18"/>
              </w:rPr>
            </w:pPr>
            <w:r>
              <w:rPr>
                <w:spacing w:val="8"/>
                <w:sz w:val="18"/>
                <w:szCs w:val="18"/>
              </w:rPr>
              <w:t>1~4</w:t>
            </w:r>
          </w:p>
        </w:tc>
        <w:tc>
          <w:tcPr>
            <w:tcW w:w="1053" w:type="dxa"/>
            <w:tcBorders>
              <w:left w:val="single" w:color="auto" w:sz="4" w:space="0"/>
              <w:right w:val="single" w:color="auto" w:sz="4" w:space="0"/>
            </w:tcBorders>
            <w:noWrap w:val="0"/>
            <w:vAlign w:val="center"/>
          </w:tcPr>
          <w:p w14:paraId="5A3F95C6">
            <w:pPr>
              <w:jc w:val="center"/>
              <w:rPr>
                <w:spacing w:val="8"/>
                <w:sz w:val="18"/>
                <w:szCs w:val="18"/>
              </w:rPr>
            </w:pPr>
            <w:r>
              <w:rPr>
                <w:spacing w:val="8"/>
                <w:sz w:val="18"/>
                <w:szCs w:val="18"/>
              </w:rPr>
              <w:t>40%</w:t>
            </w:r>
          </w:p>
        </w:tc>
        <w:tc>
          <w:tcPr>
            <w:tcW w:w="859" w:type="dxa"/>
            <w:tcBorders>
              <w:left w:val="single" w:color="auto" w:sz="4" w:space="0"/>
            </w:tcBorders>
            <w:noWrap w:val="0"/>
            <w:vAlign w:val="center"/>
          </w:tcPr>
          <w:p w14:paraId="0D38A1E5">
            <w:pPr>
              <w:jc w:val="center"/>
              <w:rPr>
                <w:spacing w:val="8"/>
                <w:sz w:val="18"/>
                <w:szCs w:val="18"/>
              </w:rPr>
            </w:pPr>
            <w:r>
              <w:rPr>
                <w:spacing w:val="8"/>
                <w:sz w:val="18"/>
                <w:szCs w:val="18"/>
              </w:rPr>
              <w:t>0</w:t>
            </w:r>
          </w:p>
        </w:tc>
        <w:tc>
          <w:tcPr>
            <w:tcW w:w="872" w:type="dxa"/>
            <w:tcBorders>
              <w:left w:val="single" w:color="auto" w:sz="4" w:space="0"/>
            </w:tcBorders>
            <w:noWrap w:val="0"/>
            <w:vAlign w:val="center"/>
          </w:tcPr>
          <w:p w14:paraId="78E5743D">
            <w:pPr>
              <w:jc w:val="center"/>
              <w:rPr>
                <w:spacing w:val="8"/>
                <w:sz w:val="18"/>
                <w:szCs w:val="18"/>
              </w:rPr>
            </w:pPr>
            <w:r>
              <w:rPr>
                <w:spacing w:val="8"/>
                <w:sz w:val="18"/>
                <w:szCs w:val="18"/>
              </w:rPr>
              <w:t>达标</w:t>
            </w:r>
          </w:p>
        </w:tc>
      </w:tr>
      <w:tr w14:paraId="2C307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6" w:type="dxa"/>
            <w:vMerge w:val="continue"/>
            <w:noWrap w:val="0"/>
            <w:tcMar>
              <w:top w:w="15" w:type="dxa"/>
              <w:left w:w="15" w:type="dxa"/>
              <w:bottom w:w="15" w:type="dxa"/>
              <w:right w:w="15" w:type="dxa"/>
            </w:tcMar>
            <w:vAlign w:val="center"/>
          </w:tcPr>
          <w:p w14:paraId="7FEA11E6">
            <w:pPr>
              <w:jc w:val="center"/>
              <w:rPr>
                <w:spacing w:val="8"/>
                <w:sz w:val="18"/>
                <w:szCs w:val="18"/>
              </w:rPr>
            </w:pPr>
          </w:p>
        </w:tc>
        <w:tc>
          <w:tcPr>
            <w:tcW w:w="659" w:type="dxa"/>
            <w:vMerge w:val="continue"/>
            <w:tcBorders>
              <w:right w:val="single" w:color="auto" w:sz="4" w:space="0"/>
            </w:tcBorders>
            <w:noWrap w:val="0"/>
            <w:tcMar>
              <w:top w:w="15" w:type="dxa"/>
              <w:left w:w="15" w:type="dxa"/>
              <w:bottom w:w="15" w:type="dxa"/>
              <w:right w:w="15" w:type="dxa"/>
            </w:tcMar>
            <w:vAlign w:val="center"/>
          </w:tcPr>
          <w:p w14:paraId="6F4D6BCC">
            <w:pPr>
              <w:jc w:val="center"/>
              <w:rPr>
                <w:spacing w:val="8"/>
                <w:sz w:val="18"/>
                <w:szCs w:val="18"/>
              </w:rPr>
            </w:pPr>
          </w:p>
        </w:tc>
        <w:tc>
          <w:tcPr>
            <w:tcW w:w="843" w:type="dxa"/>
            <w:vMerge w:val="continue"/>
            <w:tcBorders>
              <w:left w:val="single" w:color="auto" w:sz="4" w:space="0"/>
            </w:tcBorders>
            <w:noWrap w:val="0"/>
            <w:tcMar>
              <w:top w:w="15" w:type="dxa"/>
              <w:left w:w="15" w:type="dxa"/>
              <w:bottom w:w="15" w:type="dxa"/>
              <w:right w:w="15" w:type="dxa"/>
            </w:tcMar>
            <w:vAlign w:val="center"/>
          </w:tcPr>
          <w:p w14:paraId="6BAF8433">
            <w:pPr>
              <w:jc w:val="center"/>
              <w:rPr>
                <w:spacing w:val="8"/>
                <w:sz w:val="18"/>
                <w:szCs w:val="18"/>
              </w:rPr>
            </w:pPr>
          </w:p>
        </w:tc>
        <w:tc>
          <w:tcPr>
            <w:tcW w:w="745" w:type="dxa"/>
            <w:noWrap w:val="0"/>
            <w:tcMar>
              <w:top w:w="15" w:type="dxa"/>
              <w:left w:w="15" w:type="dxa"/>
              <w:bottom w:w="15" w:type="dxa"/>
              <w:right w:w="15" w:type="dxa"/>
            </w:tcMar>
            <w:vAlign w:val="center"/>
          </w:tcPr>
          <w:p w14:paraId="0468F784">
            <w:pPr>
              <w:jc w:val="center"/>
              <w:rPr>
                <w:spacing w:val="8"/>
                <w:sz w:val="18"/>
                <w:szCs w:val="18"/>
              </w:rPr>
            </w:pPr>
            <w:r>
              <w:rPr>
                <w:kern w:val="10"/>
                <w:sz w:val="18"/>
                <w:szCs w:val="18"/>
              </w:rPr>
              <w:t>NH</w:t>
            </w:r>
            <w:r>
              <w:rPr>
                <w:kern w:val="10"/>
                <w:sz w:val="18"/>
                <w:szCs w:val="18"/>
                <w:vertAlign w:val="subscript"/>
              </w:rPr>
              <w:t>3</w:t>
            </w:r>
          </w:p>
        </w:tc>
        <w:tc>
          <w:tcPr>
            <w:tcW w:w="648" w:type="dxa"/>
            <w:vMerge w:val="continue"/>
            <w:noWrap w:val="0"/>
            <w:vAlign w:val="center"/>
          </w:tcPr>
          <w:p w14:paraId="6FF1AD7B">
            <w:pPr>
              <w:jc w:val="center"/>
              <w:rPr>
                <w:spacing w:val="8"/>
                <w:sz w:val="18"/>
                <w:szCs w:val="18"/>
              </w:rPr>
            </w:pPr>
          </w:p>
        </w:tc>
        <w:tc>
          <w:tcPr>
            <w:tcW w:w="1020" w:type="dxa"/>
            <w:tcBorders>
              <w:right w:val="single" w:color="auto" w:sz="4" w:space="0"/>
            </w:tcBorders>
            <w:noWrap w:val="0"/>
            <w:vAlign w:val="center"/>
          </w:tcPr>
          <w:p w14:paraId="69A1E79E">
            <w:pPr>
              <w:jc w:val="center"/>
              <w:rPr>
                <w:spacing w:val="8"/>
                <w:sz w:val="18"/>
                <w:szCs w:val="18"/>
              </w:rPr>
            </w:pPr>
            <w:r>
              <w:rPr>
                <w:spacing w:val="8"/>
                <w:sz w:val="18"/>
                <w:szCs w:val="18"/>
              </w:rPr>
              <w:t>200</w:t>
            </w:r>
          </w:p>
        </w:tc>
        <w:tc>
          <w:tcPr>
            <w:tcW w:w="1700" w:type="dxa"/>
            <w:tcBorders>
              <w:left w:val="single" w:color="auto" w:sz="4" w:space="0"/>
              <w:right w:val="single" w:color="auto" w:sz="4" w:space="0"/>
            </w:tcBorders>
            <w:noWrap w:val="0"/>
            <w:vAlign w:val="center"/>
          </w:tcPr>
          <w:p w14:paraId="3ABD956A">
            <w:pPr>
              <w:jc w:val="center"/>
              <w:rPr>
                <w:spacing w:val="8"/>
                <w:sz w:val="18"/>
                <w:szCs w:val="18"/>
              </w:rPr>
            </w:pPr>
            <w:r>
              <w:rPr>
                <w:spacing w:val="8"/>
                <w:sz w:val="18"/>
                <w:szCs w:val="18"/>
              </w:rPr>
              <w:t>10~40</w:t>
            </w:r>
          </w:p>
        </w:tc>
        <w:tc>
          <w:tcPr>
            <w:tcW w:w="1053" w:type="dxa"/>
            <w:tcBorders>
              <w:left w:val="single" w:color="auto" w:sz="4" w:space="0"/>
              <w:right w:val="single" w:color="auto" w:sz="4" w:space="0"/>
            </w:tcBorders>
            <w:noWrap w:val="0"/>
            <w:vAlign w:val="center"/>
          </w:tcPr>
          <w:p w14:paraId="7E65A50A">
            <w:pPr>
              <w:jc w:val="center"/>
              <w:rPr>
                <w:spacing w:val="8"/>
                <w:sz w:val="18"/>
                <w:szCs w:val="18"/>
              </w:rPr>
            </w:pPr>
            <w:r>
              <w:rPr>
                <w:spacing w:val="8"/>
                <w:sz w:val="18"/>
                <w:szCs w:val="18"/>
              </w:rPr>
              <w:t>20%</w:t>
            </w:r>
          </w:p>
        </w:tc>
        <w:tc>
          <w:tcPr>
            <w:tcW w:w="859" w:type="dxa"/>
            <w:tcBorders>
              <w:left w:val="single" w:color="auto" w:sz="4" w:space="0"/>
            </w:tcBorders>
            <w:noWrap w:val="0"/>
            <w:vAlign w:val="center"/>
          </w:tcPr>
          <w:p w14:paraId="43E15874">
            <w:pPr>
              <w:jc w:val="center"/>
              <w:rPr>
                <w:spacing w:val="8"/>
                <w:sz w:val="18"/>
                <w:szCs w:val="18"/>
              </w:rPr>
            </w:pPr>
            <w:r>
              <w:rPr>
                <w:spacing w:val="8"/>
                <w:sz w:val="18"/>
                <w:szCs w:val="18"/>
              </w:rPr>
              <w:t>0</w:t>
            </w:r>
          </w:p>
        </w:tc>
        <w:tc>
          <w:tcPr>
            <w:tcW w:w="872" w:type="dxa"/>
            <w:tcBorders>
              <w:left w:val="single" w:color="auto" w:sz="4" w:space="0"/>
            </w:tcBorders>
            <w:noWrap w:val="0"/>
            <w:vAlign w:val="center"/>
          </w:tcPr>
          <w:p w14:paraId="25C97A21">
            <w:pPr>
              <w:jc w:val="center"/>
              <w:rPr>
                <w:spacing w:val="8"/>
                <w:sz w:val="18"/>
                <w:szCs w:val="18"/>
              </w:rPr>
            </w:pPr>
            <w:r>
              <w:rPr>
                <w:spacing w:val="8"/>
                <w:sz w:val="18"/>
                <w:szCs w:val="18"/>
              </w:rPr>
              <w:t>达标</w:t>
            </w:r>
          </w:p>
        </w:tc>
      </w:tr>
      <w:tr w14:paraId="250D4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195" w:type="dxa"/>
            <w:gridSpan w:val="10"/>
            <w:noWrap w:val="0"/>
            <w:tcMar>
              <w:top w:w="15" w:type="dxa"/>
              <w:left w:w="15" w:type="dxa"/>
              <w:bottom w:w="15" w:type="dxa"/>
              <w:right w:w="15" w:type="dxa"/>
            </w:tcMar>
            <w:vAlign w:val="center"/>
          </w:tcPr>
          <w:p w14:paraId="52D9E832">
            <w:pPr>
              <w:jc w:val="left"/>
              <w:rPr>
                <w:spacing w:val="8"/>
                <w:sz w:val="18"/>
                <w:szCs w:val="18"/>
              </w:rPr>
            </w:pPr>
            <w:r>
              <w:rPr>
                <w:spacing w:val="8"/>
                <w:sz w:val="18"/>
                <w:szCs w:val="18"/>
              </w:rPr>
              <w:t>备注：“最低检出限+L”表示监测结果低于分析方法检出限</w:t>
            </w:r>
          </w:p>
        </w:tc>
      </w:tr>
    </w:tbl>
    <w:p w14:paraId="54CCE2B6">
      <w:pPr>
        <w:spacing w:line="360" w:lineRule="auto"/>
        <w:ind w:firstLine="480" w:firstLineChars="200"/>
        <w:rPr>
          <w:kern w:val="10"/>
          <w:sz w:val="24"/>
        </w:rPr>
      </w:pPr>
      <w:r>
        <w:rPr>
          <w:kern w:val="10"/>
          <w:sz w:val="24"/>
        </w:rPr>
        <w:t>根据监测结果，项目所在区域污染物环境质量中H</w:t>
      </w:r>
      <w:r>
        <w:rPr>
          <w:kern w:val="10"/>
          <w:sz w:val="24"/>
          <w:vertAlign w:val="subscript"/>
        </w:rPr>
        <w:t>2</w:t>
      </w:r>
      <w:r>
        <w:rPr>
          <w:kern w:val="10"/>
          <w:sz w:val="24"/>
        </w:rPr>
        <w:t>S、NH</w:t>
      </w:r>
      <w:r>
        <w:rPr>
          <w:kern w:val="10"/>
          <w:sz w:val="24"/>
          <w:vertAlign w:val="subscript"/>
        </w:rPr>
        <w:t>3</w:t>
      </w:r>
      <w:r>
        <w:rPr>
          <w:kern w:val="10"/>
          <w:sz w:val="24"/>
        </w:rPr>
        <w:t>指标满足</w:t>
      </w:r>
      <w:r>
        <w:rPr>
          <w:sz w:val="24"/>
        </w:rPr>
        <w:t>HJ2.2-2018《环境影响评价技术导则 大气环境》附录D中表D.1其他污染物空气质量浓度参考限值。</w:t>
      </w:r>
      <w:r>
        <w:rPr>
          <w:sz w:val="24"/>
          <w:lang w:bidi="ar"/>
        </w:rPr>
        <w:t>项目所在区域污染物环境质量现状良好。</w:t>
      </w:r>
    </w:p>
    <w:p w14:paraId="2AB36D3A">
      <w:pPr>
        <w:widowControl/>
        <w:spacing w:line="360" w:lineRule="auto"/>
        <w:ind w:firstLine="436" w:firstLineChars="182"/>
        <w:rPr>
          <w:kern w:val="0"/>
          <w:sz w:val="24"/>
        </w:rPr>
      </w:pPr>
      <w:r>
        <w:rPr>
          <w:kern w:val="0"/>
          <w:sz w:val="24"/>
        </w:rPr>
        <w:t>总体来看，评价区域环境空气质量均可达到《环境空气质量标准》（GB3095-2012）二级标准，NH</w:t>
      </w:r>
      <w:r>
        <w:rPr>
          <w:kern w:val="0"/>
          <w:sz w:val="24"/>
          <w:vertAlign w:val="subscript"/>
        </w:rPr>
        <w:t>3</w:t>
      </w:r>
      <w:r>
        <w:rPr>
          <w:kern w:val="0"/>
          <w:sz w:val="24"/>
        </w:rPr>
        <w:t>和H</w:t>
      </w:r>
      <w:r>
        <w:rPr>
          <w:kern w:val="0"/>
          <w:sz w:val="24"/>
          <w:vertAlign w:val="subscript"/>
        </w:rPr>
        <w:t>2</w:t>
      </w:r>
      <w:r>
        <w:rPr>
          <w:kern w:val="0"/>
          <w:sz w:val="24"/>
        </w:rPr>
        <w:t>S满足</w:t>
      </w:r>
      <w:r>
        <w:rPr>
          <w:sz w:val="24"/>
        </w:rPr>
        <w:t>《环境影响评价技术导则 大气环境》（HJ2.2-2018）中附录D中其他污染物空气质量浓度参考限值，</w:t>
      </w:r>
      <w:r>
        <w:rPr>
          <w:kern w:val="0"/>
          <w:sz w:val="24"/>
        </w:rPr>
        <w:t>环境空气质量良好。</w:t>
      </w:r>
    </w:p>
    <w:p w14:paraId="0C4ED6AB">
      <w:pPr>
        <w:pStyle w:val="7"/>
        <w:spacing w:before="0" w:after="0" w:line="360" w:lineRule="auto"/>
        <w:rPr>
          <w:rFonts w:ascii="Times New Roman" w:hAnsi="Times New Roman"/>
          <w:sz w:val="28"/>
          <w:szCs w:val="28"/>
        </w:rPr>
      </w:pPr>
      <w:r>
        <w:rPr>
          <w:rFonts w:ascii="Times New Roman" w:hAnsi="Times New Roman"/>
          <w:sz w:val="28"/>
          <w:szCs w:val="28"/>
        </w:rPr>
        <w:t>4.2.2水环境质量现状调查与评价</w:t>
      </w:r>
    </w:p>
    <w:p w14:paraId="728A00DA">
      <w:pPr>
        <w:snapToGrid w:val="0"/>
        <w:spacing w:line="360" w:lineRule="auto"/>
        <w:outlineLvl w:val="3"/>
        <w:rPr>
          <w:b/>
          <w:sz w:val="24"/>
        </w:rPr>
      </w:pPr>
      <w:r>
        <w:rPr>
          <w:b/>
          <w:sz w:val="24"/>
        </w:rPr>
        <w:t>4.2.2.1 地表水环境质量现状与评价</w:t>
      </w:r>
    </w:p>
    <w:p w14:paraId="298EACC5">
      <w:pPr>
        <w:pStyle w:val="36"/>
        <w:spacing w:line="360" w:lineRule="auto"/>
        <w:rPr>
          <w:rFonts w:ascii="Times New Roman" w:hAnsi="Times New Roman"/>
        </w:rPr>
      </w:pPr>
      <w:r>
        <w:rPr>
          <w:rFonts w:ascii="Times New Roman" w:hAnsi="Times New Roman"/>
        </w:rPr>
        <w:t>（一）水环境现状调查</w:t>
      </w:r>
    </w:p>
    <w:p w14:paraId="52000E9C">
      <w:pPr>
        <w:pStyle w:val="36"/>
        <w:spacing w:line="360" w:lineRule="auto"/>
        <w:rPr>
          <w:rFonts w:ascii="Times New Roman" w:hAnsi="Times New Roman"/>
        </w:rPr>
      </w:pPr>
      <w:r>
        <w:rPr>
          <w:rFonts w:ascii="Times New Roman" w:hAnsi="Times New Roman"/>
        </w:rPr>
        <w:t>通过对项目现场勘查和环境调查，项目区位于石林县东部，所在位置属于普拉河流域，普拉河为白马河上游在石林境内名称，项目区养殖场地一距离普拉河（白马河）约50m，场地二距普拉河（白马河）约1600m，场地二养殖场之间有一季节性溪流，由东北向西南汇集，最终进入普拉河（白马河）。</w:t>
      </w:r>
    </w:p>
    <w:p w14:paraId="71B3B542">
      <w:pPr>
        <w:pStyle w:val="36"/>
        <w:spacing w:line="360" w:lineRule="auto"/>
        <w:rPr>
          <w:rFonts w:ascii="Times New Roman" w:hAnsi="Times New Roman"/>
        </w:rPr>
      </w:pPr>
      <w:r>
        <w:rPr>
          <w:rFonts w:ascii="Times New Roman" w:hAnsi="Times New Roman"/>
        </w:rPr>
        <w:t>（二）地表水环境质量现状调查</w:t>
      </w:r>
    </w:p>
    <w:p w14:paraId="7FF60338">
      <w:pPr>
        <w:pStyle w:val="36"/>
        <w:spacing w:line="360" w:lineRule="auto"/>
        <w:rPr>
          <w:rFonts w:ascii="Times New Roman" w:hAnsi="Times New Roman"/>
        </w:rPr>
      </w:pPr>
      <w:r>
        <w:rPr>
          <w:rFonts w:ascii="Times New Roman" w:hAnsi="Times New Roman"/>
        </w:rPr>
        <w:t>根据《云南省水功能区划》（2014年修订），白马河从源头至雨补水库库区起始为白马河师宗-弥勒源头水保护区，水环境目标为II类水；项目区地表水执行《地表水环境质量标准》（GB3838-2002）中的II类标准。</w:t>
      </w:r>
    </w:p>
    <w:p w14:paraId="10B89958">
      <w:pPr>
        <w:pStyle w:val="36"/>
        <w:spacing w:line="360" w:lineRule="auto"/>
        <w:rPr>
          <w:rFonts w:ascii="Times New Roman" w:hAnsi="Times New Roman"/>
        </w:rPr>
      </w:pPr>
      <w:r>
        <w:rPr>
          <w:rFonts w:ascii="Times New Roman" w:hAnsi="Times New Roman"/>
        </w:rPr>
        <w:t>本次环评期间在</w:t>
      </w:r>
      <w:r>
        <w:rPr>
          <w:rFonts w:ascii="Times New Roman" w:hAnsi="Times New Roman"/>
          <w:bCs/>
        </w:rPr>
        <w:t>W1普拉河项目养殖地块一上游500m、W2普拉河项目养殖地块一下游1500m、W3项目养殖地块二旁溪沟上游500m、W4项目养殖地块二旁溪沟下游1500m，</w:t>
      </w:r>
      <w:r>
        <w:rPr>
          <w:rFonts w:ascii="Times New Roman" w:hAnsi="Times New Roman"/>
        </w:rPr>
        <w:t>共设置4个检测点对地表水质进行了监测，监测情况如下：</w:t>
      </w:r>
    </w:p>
    <w:p w14:paraId="32F42234">
      <w:pPr>
        <w:pStyle w:val="36"/>
        <w:spacing w:line="360" w:lineRule="auto"/>
        <w:rPr>
          <w:rFonts w:ascii="Times New Roman" w:hAnsi="Times New Roman"/>
          <w:bCs/>
        </w:rPr>
      </w:pPr>
      <w:r>
        <w:rPr>
          <w:rFonts w:ascii="Times New Roman" w:hAnsi="Times New Roman"/>
        </w:rPr>
        <w:t>①监测点位：</w:t>
      </w:r>
      <w:r>
        <w:rPr>
          <w:rFonts w:ascii="Times New Roman" w:hAnsi="Times New Roman"/>
          <w:bCs/>
        </w:rPr>
        <w:t>W1普拉河项目养殖地块一上游500m、W2普拉河项目养殖地块一下游1500m、W3项目养殖地块二旁溪沟上游500m、W4项目养殖地块二旁溪沟下游1500m</w:t>
      </w:r>
    </w:p>
    <w:p w14:paraId="3ECCB7B1">
      <w:pPr>
        <w:pStyle w:val="36"/>
        <w:spacing w:line="360" w:lineRule="auto"/>
        <w:rPr>
          <w:rFonts w:ascii="Times New Roman" w:hAnsi="Times New Roman"/>
          <w:bCs/>
        </w:rPr>
      </w:pPr>
      <w:r>
        <w:rPr>
          <w:rFonts w:ascii="Times New Roman" w:hAnsi="Times New Roman"/>
          <w:bCs/>
        </w:rPr>
        <w:t>②监测因子</w:t>
      </w:r>
    </w:p>
    <w:p w14:paraId="270F874F">
      <w:pPr>
        <w:pStyle w:val="36"/>
        <w:spacing w:line="360" w:lineRule="auto"/>
        <w:rPr>
          <w:rFonts w:ascii="Times New Roman" w:hAnsi="Times New Roman"/>
        </w:rPr>
      </w:pPr>
      <w:r>
        <w:rPr>
          <w:rFonts w:ascii="Times New Roman" w:hAnsi="Times New Roman"/>
        </w:rPr>
        <w:t>pH值、溶解氧、化学需氧量、高锰酸盐指数、五日生化需氧量、氨氮、总氮、总磷、石油类、氟化物、硫化物、粪大肠菌群；</w:t>
      </w:r>
    </w:p>
    <w:p w14:paraId="17DF31D6">
      <w:pPr>
        <w:pStyle w:val="36"/>
        <w:spacing w:line="360" w:lineRule="auto"/>
        <w:rPr>
          <w:rFonts w:ascii="Times New Roman" w:hAnsi="Times New Roman"/>
        </w:rPr>
      </w:pPr>
      <w:r>
        <w:rPr>
          <w:rFonts w:ascii="Times New Roman" w:hAnsi="Times New Roman"/>
        </w:rPr>
        <w:t>③监测时间：</w:t>
      </w:r>
      <w:r>
        <w:rPr>
          <w:rFonts w:ascii="Times New Roman" w:hAnsi="Times New Roman"/>
          <w:spacing w:val="-6"/>
        </w:rPr>
        <w:t>2021年3月28日至4月3日</w:t>
      </w:r>
    </w:p>
    <w:p w14:paraId="58555194">
      <w:pPr>
        <w:pStyle w:val="36"/>
        <w:spacing w:line="360" w:lineRule="auto"/>
        <w:rPr>
          <w:rFonts w:ascii="Times New Roman" w:hAnsi="Times New Roman"/>
        </w:rPr>
      </w:pPr>
      <w:r>
        <w:rPr>
          <w:rFonts w:ascii="Times New Roman" w:hAnsi="Times New Roman"/>
        </w:rPr>
        <w:t>④评价方法</w:t>
      </w:r>
    </w:p>
    <w:p w14:paraId="5E8A7941">
      <w:pPr>
        <w:spacing w:line="360" w:lineRule="auto"/>
        <w:ind w:firstLine="480"/>
        <w:rPr>
          <w:kern w:val="10"/>
          <w:sz w:val="24"/>
        </w:rPr>
      </w:pPr>
      <w:r>
        <w:rPr>
          <w:kern w:val="10"/>
          <w:sz w:val="24"/>
        </w:rPr>
        <w:t>采用单因子指数评价法，分项进行评价：</w:t>
      </w:r>
    </w:p>
    <w:p w14:paraId="78E2E960">
      <w:pPr>
        <w:spacing w:line="360" w:lineRule="auto"/>
        <w:ind w:firstLine="1024" w:firstLineChars="427"/>
        <w:rPr>
          <w:kern w:val="10"/>
          <w:sz w:val="24"/>
        </w:rPr>
      </w:pPr>
      <w:r>
        <w:rPr>
          <w:kern w:val="10"/>
          <w:sz w:val="24"/>
        </w:rPr>
        <w:t>a、第i 项评价指数</w:t>
      </w:r>
    </w:p>
    <w:p w14:paraId="1D61B796">
      <w:pPr>
        <w:adjustRightInd w:val="0"/>
        <w:snapToGrid w:val="0"/>
        <w:spacing w:line="360" w:lineRule="auto"/>
        <w:ind w:firstLine="480" w:firstLineChars="200"/>
        <w:jc w:val="center"/>
        <w:rPr>
          <w:sz w:val="24"/>
        </w:rPr>
      </w:pPr>
      <w:r>
        <w:rPr>
          <w:sz w:val="24"/>
        </w:rPr>
        <w:object>
          <v:shape id="_x0000_i1034" o:spt="75" type="#_x0000_t75" style="height:36pt;width:45pt;" o:ole="t" filled="f" o:preferrelative="t" stroked="f" coordsize="21600,21600">
            <v:path/>
            <v:fill on="f" focussize="0,0"/>
            <v:stroke on="f"/>
            <v:imagedata r:id="rId32" o:title=""/>
            <o:lock v:ext="edit" aspectratio="t"/>
            <w10:wrap type="none"/>
            <w10:anchorlock/>
          </v:shape>
          <o:OLEObject Type="Embed" ProgID="Equation.3" ShapeID="_x0000_i1034" DrawAspect="Content" ObjectID="_1468075731" r:id="rId31">
            <o:LockedField>false</o:LockedField>
          </o:OLEObject>
        </w:object>
      </w:r>
    </w:p>
    <w:p w14:paraId="2A9F3B65">
      <w:pPr>
        <w:spacing w:line="360" w:lineRule="auto"/>
        <w:ind w:firstLine="420"/>
        <w:rPr>
          <w:kern w:val="10"/>
          <w:sz w:val="24"/>
        </w:rPr>
      </w:pPr>
      <w:r>
        <w:rPr>
          <w:kern w:val="10"/>
          <w:sz w:val="24"/>
        </w:rPr>
        <w:t>式中：S</w:t>
      </w:r>
      <w:r>
        <w:rPr>
          <w:kern w:val="10"/>
          <w:sz w:val="24"/>
          <w:vertAlign w:val="subscript"/>
        </w:rPr>
        <w:t>i</w:t>
      </w:r>
      <w:r>
        <w:rPr>
          <w:kern w:val="10"/>
          <w:sz w:val="24"/>
        </w:rPr>
        <w:t>——第i 项监测值；</w:t>
      </w:r>
    </w:p>
    <w:p w14:paraId="1B2428CE">
      <w:pPr>
        <w:spacing w:line="360" w:lineRule="auto"/>
        <w:ind w:firstLine="1260"/>
        <w:rPr>
          <w:kern w:val="10"/>
          <w:sz w:val="24"/>
        </w:rPr>
      </w:pPr>
      <w:r>
        <w:rPr>
          <w:kern w:val="10"/>
          <w:sz w:val="24"/>
        </w:rPr>
        <w:t>C</w:t>
      </w:r>
      <w:r>
        <w:rPr>
          <w:kern w:val="10"/>
          <w:sz w:val="24"/>
          <w:vertAlign w:val="subscript"/>
        </w:rPr>
        <w:t>i</w:t>
      </w:r>
      <w:r>
        <w:rPr>
          <w:kern w:val="10"/>
          <w:sz w:val="24"/>
        </w:rPr>
        <w:t>——第i 种污染物的实测平均值(mg/L)；</w:t>
      </w:r>
    </w:p>
    <w:p w14:paraId="46B51FB1">
      <w:pPr>
        <w:spacing w:line="360" w:lineRule="auto"/>
        <w:ind w:firstLine="1260"/>
        <w:rPr>
          <w:kern w:val="10"/>
          <w:sz w:val="24"/>
        </w:rPr>
      </w:pPr>
      <w:r>
        <w:rPr>
          <w:kern w:val="10"/>
          <w:sz w:val="24"/>
        </w:rPr>
        <w:t>C</w:t>
      </w:r>
      <w:r>
        <w:rPr>
          <w:kern w:val="10"/>
          <w:sz w:val="24"/>
          <w:vertAlign w:val="subscript"/>
        </w:rPr>
        <w:t>s</w:t>
      </w:r>
      <w:r>
        <w:rPr>
          <w:kern w:val="10"/>
          <w:sz w:val="24"/>
        </w:rPr>
        <w:t>——第i 项污染物的标准值(mg/L)；</w:t>
      </w:r>
    </w:p>
    <w:p w14:paraId="04DBED3D">
      <w:pPr>
        <w:spacing w:line="360" w:lineRule="auto"/>
        <w:ind w:firstLine="1024" w:firstLineChars="427"/>
        <w:rPr>
          <w:kern w:val="10"/>
          <w:sz w:val="24"/>
        </w:rPr>
      </w:pPr>
      <w:r>
        <w:rPr>
          <w:kern w:val="10"/>
          <w:sz w:val="24"/>
        </w:rPr>
        <w:t>pH 的评价指数为：</w:t>
      </w:r>
    </w:p>
    <w:p w14:paraId="613AC215">
      <w:pPr>
        <w:adjustRightInd w:val="0"/>
        <w:snapToGrid w:val="0"/>
        <w:spacing w:line="360" w:lineRule="auto"/>
        <w:ind w:firstLine="480" w:firstLineChars="200"/>
        <w:rPr>
          <w:kern w:val="10"/>
          <w:sz w:val="24"/>
        </w:rPr>
      </w:pPr>
    </w:p>
    <w:p w14:paraId="297B02FE">
      <w:pPr>
        <w:adjustRightInd w:val="0"/>
        <w:snapToGrid w:val="0"/>
        <w:spacing w:line="360" w:lineRule="auto"/>
        <w:ind w:firstLine="480" w:firstLineChars="200"/>
        <w:jc w:val="center"/>
        <w:rPr>
          <w:sz w:val="24"/>
        </w:rPr>
      </w:pPr>
      <w:r>
        <w:rPr>
          <w:sz w:val="24"/>
        </w:rPr>
        <w:object>
          <v:shape id="_x0000_i1035" o:spt="75" type="#_x0000_t75" style="height:36pt;width:92.3pt;" o:ole="t" filled="f" o:preferrelative="t" stroked="f" coordsize="21600,21600">
            <v:path/>
            <v:fill on="f" focussize="0,0"/>
            <v:stroke on="f"/>
            <v:imagedata r:id="rId34" o:title=""/>
            <o:lock v:ext="edit" aspectratio="t"/>
            <w10:wrap type="none"/>
            <w10:anchorlock/>
          </v:shape>
          <o:OLEObject Type="Embed" ProgID="Equation.3" ShapeID="_x0000_i1035" DrawAspect="Content" ObjectID="_1468075732" r:id="rId33">
            <o:LockedField>false</o:LockedField>
          </o:OLEObject>
        </w:object>
      </w:r>
      <w:r>
        <w:rPr>
          <w:sz w:val="24"/>
        </w:rPr>
        <w:t xml:space="preserve">   (</w:t>
      </w:r>
      <w:r>
        <w:rPr>
          <w:position w:val="-10"/>
          <w:sz w:val="24"/>
        </w:rPr>
        <w:object>
          <v:shape id="_x0000_i1036" o:spt="75" type="#_x0000_t75" style="height:15.75pt;width:21.75pt;" o:ole="t" filled="f" o:preferrelative="t" stroked="f" coordsize="21600,21600">
            <v:path/>
            <v:fill on="f" focussize="0,0"/>
            <v:stroke on="f"/>
            <v:imagedata r:id="rId36" o:title=""/>
            <o:lock v:ext="edit" aspectratio="t"/>
            <w10:wrap type="none"/>
            <w10:anchorlock/>
          </v:shape>
          <o:OLEObject Type="Embed" ProgID="Equation.3" ShapeID="_x0000_i1036" DrawAspect="Content" ObjectID="_1468075733" r:id="rId35">
            <o:LockedField>false</o:LockedField>
          </o:OLEObject>
        </w:object>
      </w:r>
      <w:r>
        <w:rPr>
          <w:sz w:val="24"/>
        </w:rPr>
        <w:t>≤7.0时)；</w:t>
      </w:r>
    </w:p>
    <w:p w14:paraId="17109CBE">
      <w:pPr>
        <w:adjustRightInd w:val="0"/>
        <w:snapToGrid w:val="0"/>
        <w:spacing w:line="360" w:lineRule="auto"/>
        <w:ind w:firstLine="480" w:firstLineChars="200"/>
        <w:jc w:val="center"/>
        <w:rPr>
          <w:sz w:val="24"/>
        </w:rPr>
      </w:pPr>
      <w:r>
        <w:rPr>
          <w:sz w:val="24"/>
        </w:rPr>
        <w:object>
          <v:shape id="_x0000_i1037" o:spt="75" type="#_x0000_t75" style="height:36pt;width:92.3pt;" o:ole="t" filled="f" o:preferrelative="t" stroked="f" coordsize="21600,21600">
            <v:path/>
            <v:fill on="f" focussize="0,0"/>
            <v:stroke on="f"/>
            <v:imagedata r:id="rId38" o:title=""/>
            <o:lock v:ext="edit" aspectratio="t"/>
            <w10:wrap type="none"/>
            <w10:anchorlock/>
          </v:shape>
          <o:OLEObject Type="Embed" ProgID="Equation.3" ShapeID="_x0000_i1037" DrawAspect="Content" ObjectID="_1468075734" r:id="rId37">
            <o:LockedField>false</o:LockedField>
          </o:OLEObject>
        </w:object>
      </w:r>
      <w:r>
        <w:rPr>
          <w:sz w:val="24"/>
        </w:rPr>
        <w:t xml:space="preserve"> (</w:t>
      </w:r>
      <w:r>
        <w:rPr>
          <w:position w:val="-10"/>
          <w:sz w:val="24"/>
        </w:rPr>
        <w:object>
          <v:shape id="_x0000_i1038" o:spt="75" type="#_x0000_t75" style="height:15.75pt;width:21.75pt;" o:ole="t" filled="f" o:preferrelative="t" stroked="f" coordsize="21600,21600">
            <v:path/>
            <v:fill on="f" focussize="0,0"/>
            <v:stroke on="f"/>
            <v:imagedata r:id="rId40" o:title=""/>
            <o:lock v:ext="edit" aspectratio="t"/>
            <w10:wrap type="none"/>
            <w10:anchorlock/>
          </v:shape>
          <o:OLEObject Type="Embed" ProgID="Equation.3" ShapeID="_x0000_i1038" DrawAspect="Content" ObjectID="_1468075735" r:id="rId39">
            <o:LockedField>false</o:LockedField>
          </o:OLEObject>
        </w:object>
      </w:r>
      <w:r>
        <w:rPr>
          <w:sz w:val="24"/>
        </w:rPr>
        <w:t>＞7.0时)</w:t>
      </w:r>
    </w:p>
    <w:p w14:paraId="520F52AA">
      <w:pPr>
        <w:spacing w:line="360" w:lineRule="auto"/>
        <w:ind w:firstLine="480"/>
        <w:rPr>
          <w:kern w:val="10"/>
          <w:sz w:val="24"/>
        </w:rPr>
      </w:pPr>
      <w:r>
        <w:rPr>
          <w:kern w:val="10"/>
          <w:sz w:val="24"/>
        </w:rPr>
        <w:t>式中：S</w:t>
      </w:r>
      <w:r>
        <w:rPr>
          <w:i/>
          <w:iCs/>
          <w:kern w:val="10"/>
          <w:sz w:val="24"/>
          <w:vertAlign w:val="subscript"/>
        </w:rPr>
        <w:t xml:space="preserve">pHj </w:t>
      </w:r>
      <w:r>
        <w:rPr>
          <w:kern w:val="10"/>
          <w:sz w:val="24"/>
        </w:rPr>
        <w:t>—— pH在j点的标准指数；</w:t>
      </w:r>
    </w:p>
    <w:p w14:paraId="248CE146">
      <w:pPr>
        <w:spacing w:line="360" w:lineRule="auto"/>
        <w:ind w:firstLine="1260"/>
        <w:rPr>
          <w:kern w:val="10"/>
          <w:sz w:val="24"/>
        </w:rPr>
      </w:pPr>
      <w:r>
        <w:rPr>
          <w:kern w:val="10"/>
          <w:sz w:val="24"/>
        </w:rPr>
        <w:t>pH</w:t>
      </w:r>
      <w:r>
        <w:rPr>
          <w:i/>
          <w:iCs/>
          <w:kern w:val="10"/>
          <w:sz w:val="24"/>
        </w:rPr>
        <w:t>j</w:t>
      </w:r>
      <w:r>
        <w:rPr>
          <w:kern w:val="10"/>
          <w:sz w:val="24"/>
        </w:rPr>
        <w:t xml:space="preserve"> —— 在j点的pH值；</w:t>
      </w:r>
    </w:p>
    <w:p w14:paraId="159E0F38">
      <w:pPr>
        <w:spacing w:line="360" w:lineRule="auto"/>
        <w:ind w:firstLine="1260"/>
        <w:rPr>
          <w:kern w:val="10"/>
          <w:sz w:val="24"/>
        </w:rPr>
      </w:pPr>
      <w:r>
        <w:rPr>
          <w:kern w:val="10"/>
          <w:sz w:val="24"/>
        </w:rPr>
        <w:t>pH</w:t>
      </w:r>
      <w:r>
        <w:rPr>
          <w:i/>
          <w:iCs/>
          <w:kern w:val="10"/>
          <w:sz w:val="24"/>
          <w:vertAlign w:val="subscript"/>
        </w:rPr>
        <w:t>sd</w:t>
      </w:r>
      <w:r>
        <w:rPr>
          <w:i/>
          <w:iCs/>
          <w:kern w:val="10"/>
          <w:sz w:val="24"/>
        </w:rPr>
        <w:t xml:space="preserve"> </w:t>
      </w:r>
      <w:r>
        <w:rPr>
          <w:kern w:val="10"/>
          <w:sz w:val="24"/>
        </w:rPr>
        <w:t>——pH的评价标准下限值；</w:t>
      </w:r>
    </w:p>
    <w:p w14:paraId="16A95439">
      <w:pPr>
        <w:spacing w:line="360" w:lineRule="auto"/>
        <w:ind w:firstLine="1260"/>
        <w:rPr>
          <w:kern w:val="10"/>
          <w:sz w:val="24"/>
        </w:rPr>
      </w:pPr>
      <w:r>
        <w:rPr>
          <w:kern w:val="10"/>
          <w:sz w:val="24"/>
        </w:rPr>
        <w:t>pH</w:t>
      </w:r>
      <w:r>
        <w:rPr>
          <w:i/>
          <w:iCs/>
          <w:kern w:val="10"/>
          <w:sz w:val="24"/>
          <w:vertAlign w:val="subscript"/>
        </w:rPr>
        <w:t>su</w:t>
      </w:r>
      <w:r>
        <w:rPr>
          <w:kern w:val="10"/>
          <w:sz w:val="24"/>
        </w:rPr>
        <w:t xml:space="preserve"> ——pH的评价标准上限值。</w:t>
      </w:r>
    </w:p>
    <w:p w14:paraId="7305F6AA">
      <w:pPr>
        <w:pStyle w:val="10"/>
        <w:snapToGrid w:val="0"/>
        <w:spacing w:line="360" w:lineRule="auto"/>
        <w:ind w:firstLine="960" w:firstLineChars="400"/>
        <w:rPr>
          <w:sz w:val="24"/>
        </w:rPr>
      </w:pPr>
      <w:r>
        <w:rPr>
          <w:sz w:val="24"/>
        </w:rPr>
        <w:t>c、DO</w:t>
      </w:r>
    </w:p>
    <w:p w14:paraId="136A135E">
      <w:pPr>
        <w:pStyle w:val="10"/>
        <w:snapToGrid w:val="0"/>
        <w:spacing w:line="360" w:lineRule="auto"/>
        <w:ind w:firstLine="0" w:firstLineChars="0"/>
        <w:jc w:val="center"/>
        <w:rPr>
          <w:i/>
          <w:iCs/>
          <w:sz w:val="24"/>
        </w:rPr>
      </w:pPr>
      <w:r>
        <w:rPr>
          <w:i/>
          <w:iCs/>
          <w:sz w:val="24"/>
        </w:rPr>
        <w:t>S</w:t>
      </w:r>
      <w:r>
        <w:rPr>
          <w:i/>
          <w:iCs/>
          <w:sz w:val="24"/>
          <w:vertAlign w:val="subscript"/>
        </w:rPr>
        <w:t>DO</w:t>
      </w:r>
      <w:r>
        <w:rPr>
          <w:i/>
          <w:iCs/>
          <w:sz w:val="24"/>
        </w:rPr>
        <w:t>.j=DOs/DOj                   DOj≤DOf</w:t>
      </w:r>
    </w:p>
    <w:p w14:paraId="3A93887A">
      <w:pPr>
        <w:pStyle w:val="10"/>
        <w:snapToGrid w:val="0"/>
        <w:spacing w:line="360" w:lineRule="auto"/>
        <w:ind w:firstLine="0" w:firstLineChars="0"/>
        <w:jc w:val="center"/>
        <w:rPr>
          <w:i/>
          <w:iCs/>
          <w:sz w:val="24"/>
        </w:rPr>
      </w:pPr>
      <w:r>
        <w:rPr>
          <w:i/>
          <w:iCs/>
          <w:sz w:val="24"/>
        </w:rPr>
        <w:t>S</w:t>
      </w:r>
      <w:r>
        <w:rPr>
          <w:i/>
          <w:iCs/>
          <w:sz w:val="24"/>
          <w:vertAlign w:val="subscript"/>
        </w:rPr>
        <w:t>DO</w:t>
      </w:r>
      <w:r>
        <w:rPr>
          <w:i/>
          <w:iCs/>
          <w:sz w:val="24"/>
        </w:rPr>
        <w:t>.j=|DOf-DOj|/（DOf-DOs）     DOj＞DOf</w:t>
      </w:r>
    </w:p>
    <w:p w14:paraId="118528E1">
      <w:pPr>
        <w:pStyle w:val="10"/>
        <w:snapToGrid w:val="0"/>
        <w:spacing w:line="360" w:lineRule="auto"/>
        <w:ind w:firstLine="480"/>
        <w:rPr>
          <w:sz w:val="24"/>
        </w:rPr>
      </w:pPr>
      <w:r>
        <w:rPr>
          <w:sz w:val="24"/>
        </w:rPr>
        <w:t>式中：S</w:t>
      </w:r>
      <w:r>
        <w:rPr>
          <w:sz w:val="24"/>
          <w:vertAlign w:val="subscript"/>
        </w:rPr>
        <w:t>DO</w:t>
      </w:r>
      <w:r>
        <w:rPr>
          <w:sz w:val="24"/>
        </w:rPr>
        <w:t>.j—溶解氧的指标指数，大于1时表明该水质因子超标；</w:t>
      </w:r>
    </w:p>
    <w:p w14:paraId="0DB32BB7">
      <w:pPr>
        <w:pStyle w:val="10"/>
        <w:snapToGrid w:val="0"/>
        <w:spacing w:line="360" w:lineRule="auto"/>
        <w:ind w:firstLine="1200" w:firstLineChars="500"/>
        <w:rPr>
          <w:sz w:val="24"/>
        </w:rPr>
      </w:pPr>
      <w:r>
        <w:rPr>
          <w:sz w:val="24"/>
        </w:rPr>
        <w:t>DOj—溶解氧在f点的实测统计代表值，mg/L（本次取最大值）；</w:t>
      </w:r>
    </w:p>
    <w:p w14:paraId="7DCE3745">
      <w:pPr>
        <w:pStyle w:val="10"/>
        <w:snapToGrid w:val="0"/>
        <w:spacing w:line="360" w:lineRule="auto"/>
        <w:ind w:firstLine="1200" w:firstLineChars="500"/>
        <w:rPr>
          <w:sz w:val="24"/>
        </w:rPr>
      </w:pPr>
      <w:r>
        <w:rPr>
          <w:sz w:val="24"/>
        </w:rPr>
        <w:t>DOs—溶解氧的水质评价标准限值，mg/L；</w:t>
      </w:r>
    </w:p>
    <w:p w14:paraId="23769A31">
      <w:pPr>
        <w:pStyle w:val="10"/>
        <w:snapToGrid w:val="0"/>
        <w:spacing w:line="360" w:lineRule="auto"/>
        <w:ind w:firstLine="1200" w:firstLineChars="500"/>
        <w:rPr>
          <w:sz w:val="24"/>
        </w:rPr>
      </w:pPr>
      <w:r>
        <w:rPr>
          <w:sz w:val="24"/>
        </w:rPr>
        <w:t>DO</w:t>
      </w:r>
      <w:r>
        <w:rPr>
          <w:sz w:val="24"/>
          <w:vertAlign w:val="subscript"/>
        </w:rPr>
        <w:t>f</w:t>
      </w:r>
      <w:r>
        <w:rPr>
          <w:sz w:val="24"/>
        </w:rPr>
        <w:t>—饱和溶解氧浓度，mg/L，对于河流，DO</w:t>
      </w:r>
      <w:r>
        <w:rPr>
          <w:sz w:val="24"/>
          <w:vertAlign w:val="subscript"/>
        </w:rPr>
        <w:t>f</w:t>
      </w:r>
      <w:r>
        <w:rPr>
          <w:sz w:val="24"/>
        </w:rPr>
        <w:t>=468/（31.6+T）；</w:t>
      </w:r>
    </w:p>
    <w:p w14:paraId="16B0EBED">
      <w:pPr>
        <w:pStyle w:val="10"/>
        <w:snapToGrid w:val="0"/>
        <w:spacing w:line="360" w:lineRule="auto"/>
        <w:ind w:firstLine="1200" w:firstLineChars="500"/>
        <w:rPr>
          <w:sz w:val="24"/>
        </w:rPr>
      </w:pPr>
      <w:r>
        <w:rPr>
          <w:sz w:val="24"/>
        </w:rPr>
        <w:t>S—实用盐度符号，量纲为1；</w:t>
      </w:r>
    </w:p>
    <w:p w14:paraId="2AE47C85">
      <w:pPr>
        <w:pStyle w:val="10"/>
        <w:snapToGrid w:val="0"/>
        <w:spacing w:line="360" w:lineRule="auto"/>
        <w:ind w:firstLine="1200" w:firstLineChars="500"/>
        <w:rPr>
          <w:sz w:val="24"/>
        </w:rPr>
      </w:pPr>
      <w:r>
        <w:rPr>
          <w:sz w:val="24"/>
        </w:rPr>
        <w:t>T—水温，℃</w:t>
      </w:r>
    </w:p>
    <w:p w14:paraId="2D37B10F">
      <w:pPr>
        <w:spacing w:line="360" w:lineRule="auto"/>
        <w:ind w:firstLine="480" w:firstLineChars="200"/>
        <w:rPr>
          <w:b/>
          <w:sz w:val="24"/>
        </w:rPr>
        <w:sectPr>
          <w:pgSz w:w="11906" w:h="16838"/>
          <w:pgMar w:top="1417" w:right="1417" w:bottom="1417" w:left="1417" w:header="851" w:footer="992" w:gutter="0"/>
          <w:cols w:space="720" w:num="1"/>
          <w:docGrid w:type="lines" w:linePitch="312" w:charSpace="0"/>
        </w:sectPr>
      </w:pPr>
      <w:r>
        <w:rPr>
          <w:kern w:val="52"/>
          <w:sz w:val="24"/>
        </w:rPr>
        <w:t>根据以上计算公式，地表水环境质量现状监测结果评价如下表4.2-4所示：</w:t>
      </w:r>
    </w:p>
    <w:p w14:paraId="43431F4A">
      <w:pPr>
        <w:jc w:val="center"/>
        <w:rPr>
          <w:b/>
          <w:bCs/>
          <w:sz w:val="24"/>
        </w:rPr>
      </w:pPr>
      <w:r>
        <w:rPr>
          <w:b/>
          <w:sz w:val="24"/>
        </w:rPr>
        <w:t xml:space="preserve">表4.2-4   </w:t>
      </w:r>
      <w:r>
        <w:rPr>
          <w:b/>
          <w:bCs/>
          <w:sz w:val="24"/>
        </w:rPr>
        <w:t>地表水现状监测及评价结果表  单位：μg/m</w:t>
      </w:r>
      <w:r>
        <w:rPr>
          <w:b/>
          <w:bCs/>
          <w:sz w:val="24"/>
          <w:vertAlign w:val="superscript"/>
        </w:rPr>
        <w:t>3</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7"/>
        <w:gridCol w:w="10"/>
        <w:gridCol w:w="1094"/>
        <w:gridCol w:w="1125"/>
        <w:gridCol w:w="955"/>
        <w:gridCol w:w="1115"/>
        <w:gridCol w:w="1300"/>
        <w:gridCol w:w="1209"/>
        <w:gridCol w:w="1314"/>
        <w:gridCol w:w="636"/>
        <w:gridCol w:w="624"/>
        <w:gridCol w:w="761"/>
        <w:gridCol w:w="924"/>
        <w:gridCol w:w="1063"/>
        <w:gridCol w:w="1437"/>
        <w:gridCol w:w="29"/>
      </w:tblGrid>
      <w:tr w14:paraId="767A5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1134" w:hRule="atLeast"/>
        </w:trPr>
        <w:tc>
          <w:tcPr>
            <w:tcW w:w="231" w:type="pct"/>
            <w:noWrap w:val="0"/>
            <w:vAlign w:val="center"/>
          </w:tcPr>
          <w:p w14:paraId="26DA812A">
            <w:pPr>
              <w:jc w:val="center"/>
              <w:rPr>
                <w:szCs w:val="21"/>
              </w:rPr>
            </w:pPr>
            <w:r>
              <w:rPr>
                <w:szCs w:val="21"/>
              </w:rPr>
              <w:t>监测断面</w:t>
            </w:r>
          </w:p>
        </w:tc>
        <w:tc>
          <w:tcPr>
            <w:tcW w:w="386" w:type="pct"/>
            <w:gridSpan w:val="2"/>
            <w:noWrap w:val="0"/>
            <w:vAlign w:val="center"/>
          </w:tcPr>
          <w:p w14:paraId="631C1632">
            <w:pPr>
              <w:snapToGrid w:val="0"/>
              <w:jc w:val="center"/>
              <w:rPr>
                <w:szCs w:val="21"/>
              </w:rPr>
            </w:pPr>
            <w:r>
              <w:rPr>
                <w:szCs w:val="21"/>
              </w:rPr>
              <w:t>采样日期</w:t>
            </w:r>
          </w:p>
          <w:p w14:paraId="314A898E">
            <w:pPr>
              <w:jc w:val="center"/>
              <w:rPr>
                <w:szCs w:val="21"/>
              </w:rPr>
            </w:pPr>
            <w:r>
              <w:rPr>
                <w:szCs w:val="21"/>
              </w:rPr>
              <w:t>项目</w:t>
            </w:r>
          </w:p>
        </w:tc>
        <w:tc>
          <w:tcPr>
            <w:tcW w:w="394" w:type="pct"/>
            <w:noWrap w:val="0"/>
            <w:vAlign w:val="center"/>
          </w:tcPr>
          <w:p w14:paraId="2578F4EE">
            <w:pPr>
              <w:widowControl/>
              <w:jc w:val="center"/>
              <w:textAlignment w:val="center"/>
              <w:rPr>
                <w:szCs w:val="21"/>
              </w:rPr>
            </w:pPr>
            <w:r>
              <w:rPr>
                <w:kern w:val="0"/>
                <w:szCs w:val="21"/>
                <w:lang w:bidi="ar"/>
              </w:rPr>
              <w:t>pH值（无量纲）</w:t>
            </w:r>
          </w:p>
        </w:tc>
        <w:tc>
          <w:tcPr>
            <w:tcW w:w="335" w:type="pct"/>
            <w:noWrap w:val="0"/>
            <w:vAlign w:val="center"/>
          </w:tcPr>
          <w:p w14:paraId="51A164AF">
            <w:pPr>
              <w:widowControl/>
              <w:jc w:val="center"/>
              <w:textAlignment w:val="center"/>
              <w:rPr>
                <w:szCs w:val="21"/>
              </w:rPr>
            </w:pPr>
            <w:r>
              <w:rPr>
                <w:kern w:val="0"/>
                <w:szCs w:val="21"/>
                <w:lang w:bidi="ar"/>
              </w:rPr>
              <w:t>溶解氧</w:t>
            </w:r>
          </w:p>
        </w:tc>
        <w:tc>
          <w:tcPr>
            <w:tcW w:w="390" w:type="pct"/>
            <w:noWrap w:val="0"/>
            <w:vAlign w:val="center"/>
          </w:tcPr>
          <w:p w14:paraId="7A517ECD">
            <w:pPr>
              <w:widowControl/>
              <w:jc w:val="center"/>
              <w:textAlignment w:val="center"/>
              <w:rPr>
                <w:szCs w:val="21"/>
              </w:rPr>
            </w:pPr>
            <w:r>
              <w:rPr>
                <w:kern w:val="0"/>
                <w:szCs w:val="21"/>
                <w:lang w:bidi="ar"/>
              </w:rPr>
              <w:t>化学需氧量</w:t>
            </w:r>
          </w:p>
        </w:tc>
        <w:tc>
          <w:tcPr>
            <w:tcW w:w="455" w:type="pct"/>
            <w:noWrap w:val="0"/>
            <w:vAlign w:val="center"/>
          </w:tcPr>
          <w:p w14:paraId="3F601ADD">
            <w:pPr>
              <w:widowControl/>
              <w:jc w:val="center"/>
              <w:textAlignment w:val="center"/>
              <w:rPr>
                <w:szCs w:val="21"/>
              </w:rPr>
            </w:pPr>
            <w:r>
              <w:rPr>
                <w:kern w:val="0"/>
                <w:szCs w:val="21"/>
                <w:lang w:bidi="ar"/>
              </w:rPr>
              <w:t>高锰酸盐指数</w:t>
            </w:r>
          </w:p>
        </w:tc>
        <w:tc>
          <w:tcPr>
            <w:tcW w:w="423" w:type="pct"/>
            <w:noWrap w:val="0"/>
            <w:vAlign w:val="center"/>
          </w:tcPr>
          <w:p w14:paraId="64BC8806">
            <w:pPr>
              <w:widowControl/>
              <w:jc w:val="center"/>
              <w:textAlignment w:val="center"/>
              <w:rPr>
                <w:szCs w:val="21"/>
              </w:rPr>
            </w:pPr>
            <w:r>
              <w:rPr>
                <w:kern w:val="0"/>
                <w:szCs w:val="21"/>
                <w:lang w:bidi="ar"/>
              </w:rPr>
              <w:t>五日生化需氧量</w:t>
            </w:r>
          </w:p>
        </w:tc>
        <w:tc>
          <w:tcPr>
            <w:tcW w:w="460" w:type="pct"/>
            <w:noWrap w:val="0"/>
            <w:vAlign w:val="center"/>
          </w:tcPr>
          <w:p w14:paraId="3E60CAC2">
            <w:pPr>
              <w:widowControl/>
              <w:jc w:val="center"/>
              <w:textAlignment w:val="center"/>
              <w:rPr>
                <w:szCs w:val="21"/>
              </w:rPr>
            </w:pPr>
            <w:r>
              <w:rPr>
                <w:kern w:val="0"/>
                <w:szCs w:val="21"/>
                <w:lang w:bidi="ar"/>
              </w:rPr>
              <w:t>氨氮</w:t>
            </w:r>
          </w:p>
        </w:tc>
        <w:tc>
          <w:tcPr>
            <w:tcW w:w="223" w:type="pct"/>
            <w:noWrap w:val="0"/>
            <w:vAlign w:val="center"/>
          </w:tcPr>
          <w:p w14:paraId="584023AB">
            <w:pPr>
              <w:widowControl/>
              <w:jc w:val="center"/>
              <w:textAlignment w:val="center"/>
              <w:rPr>
                <w:szCs w:val="21"/>
              </w:rPr>
            </w:pPr>
            <w:r>
              <w:rPr>
                <w:kern w:val="0"/>
                <w:szCs w:val="21"/>
                <w:lang w:bidi="ar"/>
              </w:rPr>
              <w:t>总氮</w:t>
            </w:r>
          </w:p>
        </w:tc>
        <w:tc>
          <w:tcPr>
            <w:tcW w:w="219" w:type="pct"/>
            <w:noWrap w:val="0"/>
            <w:vAlign w:val="center"/>
          </w:tcPr>
          <w:p w14:paraId="535E9AAF">
            <w:pPr>
              <w:widowControl/>
              <w:jc w:val="center"/>
              <w:textAlignment w:val="center"/>
              <w:rPr>
                <w:szCs w:val="21"/>
              </w:rPr>
            </w:pPr>
            <w:r>
              <w:rPr>
                <w:kern w:val="0"/>
                <w:szCs w:val="21"/>
                <w:lang w:bidi="ar"/>
              </w:rPr>
              <w:t>总磷</w:t>
            </w:r>
          </w:p>
        </w:tc>
        <w:tc>
          <w:tcPr>
            <w:tcW w:w="267" w:type="pct"/>
            <w:noWrap w:val="0"/>
            <w:vAlign w:val="center"/>
          </w:tcPr>
          <w:p w14:paraId="7D292855">
            <w:pPr>
              <w:widowControl/>
              <w:jc w:val="center"/>
              <w:textAlignment w:val="center"/>
              <w:rPr>
                <w:szCs w:val="21"/>
              </w:rPr>
            </w:pPr>
            <w:r>
              <w:rPr>
                <w:kern w:val="0"/>
                <w:szCs w:val="21"/>
                <w:lang w:bidi="ar"/>
              </w:rPr>
              <w:t>石油类</w:t>
            </w:r>
          </w:p>
        </w:tc>
        <w:tc>
          <w:tcPr>
            <w:tcW w:w="324" w:type="pct"/>
            <w:noWrap w:val="0"/>
            <w:vAlign w:val="center"/>
          </w:tcPr>
          <w:p w14:paraId="5199D953">
            <w:pPr>
              <w:widowControl/>
              <w:jc w:val="center"/>
              <w:textAlignment w:val="center"/>
              <w:rPr>
                <w:szCs w:val="21"/>
              </w:rPr>
            </w:pPr>
            <w:r>
              <w:rPr>
                <w:kern w:val="0"/>
                <w:szCs w:val="21"/>
                <w:lang w:bidi="ar"/>
              </w:rPr>
              <w:t>氟化物</w:t>
            </w:r>
          </w:p>
        </w:tc>
        <w:tc>
          <w:tcPr>
            <w:tcW w:w="372" w:type="pct"/>
            <w:noWrap w:val="0"/>
            <w:vAlign w:val="center"/>
          </w:tcPr>
          <w:p w14:paraId="33CA4446">
            <w:pPr>
              <w:widowControl/>
              <w:jc w:val="center"/>
              <w:textAlignment w:val="center"/>
              <w:rPr>
                <w:szCs w:val="21"/>
              </w:rPr>
            </w:pPr>
            <w:r>
              <w:rPr>
                <w:kern w:val="0"/>
                <w:szCs w:val="21"/>
                <w:lang w:bidi="ar"/>
              </w:rPr>
              <w:t>硫化物</w:t>
            </w:r>
          </w:p>
        </w:tc>
        <w:tc>
          <w:tcPr>
            <w:tcW w:w="503" w:type="pct"/>
            <w:noWrap w:val="0"/>
            <w:vAlign w:val="center"/>
          </w:tcPr>
          <w:p w14:paraId="03154F94">
            <w:pPr>
              <w:widowControl/>
              <w:jc w:val="center"/>
              <w:textAlignment w:val="center"/>
              <w:rPr>
                <w:szCs w:val="21"/>
              </w:rPr>
            </w:pPr>
            <w:r>
              <w:rPr>
                <w:kern w:val="0"/>
                <w:szCs w:val="21"/>
                <w:lang w:bidi="ar"/>
              </w:rPr>
              <w:t>粪大肠菌群（MPN/L)</w:t>
            </w:r>
          </w:p>
        </w:tc>
      </w:tr>
      <w:tr w14:paraId="7AB35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328" w:hRule="atLeast"/>
        </w:trPr>
        <w:tc>
          <w:tcPr>
            <w:tcW w:w="231" w:type="pct"/>
            <w:vMerge w:val="restart"/>
            <w:noWrap w:val="0"/>
            <w:vAlign w:val="center"/>
          </w:tcPr>
          <w:p w14:paraId="2459BB0D">
            <w:pPr>
              <w:widowControl/>
              <w:jc w:val="center"/>
              <w:textAlignment w:val="center"/>
              <w:rPr>
                <w:szCs w:val="21"/>
              </w:rPr>
            </w:pPr>
            <w:r>
              <w:rPr>
                <w:kern w:val="0"/>
                <w:szCs w:val="21"/>
                <w:lang w:bidi="ar"/>
              </w:rPr>
              <w:t>W1普拉河项目养殖地块一上游500m</w:t>
            </w:r>
          </w:p>
        </w:tc>
        <w:tc>
          <w:tcPr>
            <w:tcW w:w="386" w:type="pct"/>
            <w:gridSpan w:val="2"/>
            <w:noWrap w:val="0"/>
            <w:vAlign w:val="center"/>
          </w:tcPr>
          <w:p w14:paraId="3DC99378">
            <w:pPr>
              <w:widowControl/>
              <w:jc w:val="center"/>
              <w:textAlignment w:val="center"/>
              <w:rPr>
                <w:szCs w:val="21"/>
              </w:rPr>
            </w:pPr>
            <w:r>
              <w:rPr>
                <w:kern w:val="0"/>
                <w:szCs w:val="21"/>
                <w:lang w:bidi="ar"/>
              </w:rPr>
              <w:t>2021/3/28</w:t>
            </w:r>
          </w:p>
        </w:tc>
        <w:tc>
          <w:tcPr>
            <w:tcW w:w="394" w:type="pct"/>
            <w:noWrap w:val="0"/>
            <w:vAlign w:val="center"/>
          </w:tcPr>
          <w:p w14:paraId="7FC6CA7A">
            <w:pPr>
              <w:widowControl/>
              <w:jc w:val="center"/>
              <w:textAlignment w:val="center"/>
              <w:rPr>
                <w:szCs w:val="21"/>
              </w:rPr>
            </w:pPr>
            <w:r>
              <w:rPr>
                <w:kern w:val="0"/>
                <w:szCs w:val="21"/>
                <w:lang w:bidi="ar"/>
              </w:rPr>
              <w:t>7.23</w:t>
            </w:r>
          </w:p>
        </w:tc>
        <w:tc>
          <w:tcPr>
            <w:tcW w:w="335" w:type="pct"/>
            <w:noWrap w:val="0"/>
            <w:vAlign w:val="center"/>
          </w:tcPr>
          <w:p w14:paraId="542AF78D">
            <w:pPr>
              <w:widowControl/>
              <w:jc w:val="center"/>
              <w:textAlignment w:val="center"/>
              <w:rPr>
                <w:szCs w:val="21"/>
              </w:rPr>
            </w:pPr>
            <w:r>
              <w:rPr>
                <w:kern w:val="0"/>
                <w:szCs w:val="21"/>
                <w:lang w:bidi="ar"/>
              </w:rPr>
              <w:t>7.7</w:t>
            </w:r>
          </w:p>
        </w:tc>
        <w:tc>
          <w:tcPr>
            <w:tcW w:w="390" w:type="pct"/>
            <w:noWrap w:val="0"/>
            <w:vAlign w:val="center"/>
          </w:tcPr>
          <w:p w14:paraId="4B7F62E2">
            <w:pPr>
              <w:widowControl/>
              <w:jc w:val="center"/>
              <w:textAlignment w:val="center"/>
              <w:rPr>
                <w:szCs w:val="21"/>
              </w:rPr>
            </w:pPr>
            <w:r>
              <w:rPr>
                <w:kern w:val="0"/>
                <w:szCs w:val="21"/>
                <w:lang w:bidi="ar"/>
              </w:rPr>
              <w:t>4L</w:t>
            </w:r>
          </w:p>
        </w:tc>
        <w:tc>
          <w:tcPr>
            <w:tcW w:w="455" w:type="pct"/>
            <w:noWrap w:val="0"/>
            <w:vAlign w:val="center"/>
          </w:tcPr>
          <w:p w14:paraId="2E5C11C2">
            <w:pPr>
              <w:widowControl/>
              <w:jc w:val="center"/>
              <w:textAlignment w:val="center"/>
              <w:rPr>
                <w:szCs w:val="21"/>
              </w:rPr>
            </w:pPr>
            <w:r>
              <w:rPr>
                <w:kern w:val="0"/>
                <w:szCs w:val="21"/>
                <w:lang w:bidi="ar"/>
              </w:rPr>
              <w:t>0.5L</w:t>
            </w:r>
          </w:p>
        </w:tc>
        <w:tc>
          <w:tcPr>
            <w:tcW w:w="423" w:type="pct"/>
            <w:noWrap w:val="0"/>
            <w:vAlign w:val="center"/>
          </w:tcPr>
          <w:p w14:paraId="653C5733">
            <w:pPr>
              <w:widowControl/>
              <w:jc w:val="center"/>
              <w:textAlignment w:val="center"/>
              <w:rPr>
                <w:szCs w:val="21"/>
              </w:rPr>
            </w:pPr>
            <w:r>
              <w:rPr>
                <w:kern w:val="0"/>
                <w:szCs w:val="21"/>
                <w:lang w:bidi="ar"/>
              </w:rPr>
              <w:t>0.5L</w:t>
            </w:r>
          </w:p>
        </w:tc>
        <w:tc>
          <w:tcPr>
            <w:tcW w:w="460" w:type="pct"/>
            <w:noWrap w:val="0"/>
            <w:vAlign w:val="center"/>
          </w:tcPr>
          <w:p w14:paraId="2C0B683B">
            <w:pPr>
              <w:widowControl/>
              <w:jc w:val="center"/>
              <w:textAlignment w:val="center"/>
              <w:rPr>
                <w:szCs w:val="21"/>
              </w:rPr>
            </w:pPr>
            <w:r>
              <w:rPr>
                <w:kern w:val="0"/>
                <w:szCs w:val="21"/>
                <w:lang w:bidi="ar"/>
              </w:rPr>
              <w:t>0.062</w:t>
            </w:r>
          </w:p>
        </w:tc>
        <w:tc>
          <w:tcPr>
            <w:tcW w:w="223" w:type="pct"/>
            <w:noWrap w:val="0"/>
            <w:vAlign w:val="center"/>
          </w:tcPr>
          <w:p w14:paraId="10F36890">
            <w:pPr>
              <w:widowControl/>
              <w:jc w:val="center"/>
              <w:textAlignment w:val="center"/>
              <w:rPr>
                <w:szCs w:val="21"/>
              </w:rPr>
            </w:pPr>
            <w:r>
              <w:rPr>
                <w:kern w:val="0"/>
                <w:szCs w:val="21"/>
                <w:lang w:bidi="ar"/>
              </w:rPr>
              <w:t>0.76</w:t>
            </w:r>
          </w:p>
        </w:tc>
        <w:tc>
          <w:tcPr>
            <w:tcW w:w="219" w:type="pct"/>
            <w:noWrap w:val="0"/>
            <w:vAlign w:val="center"/>
          </w:tcPr>
          <w:p w14:paraId="0C0CAF16">
            <w:pPr>
              <w:widowControl/>
              <w:jc w:val="center"/>
              <w:textAlignment w:val="center"/>
              <w:rPr>
                <w:szCs w:val="21"/>
              </w:rPr>
            </w:pPr>
            <w:r>
              <w:rPr>
                <w:kern w:val="0"/>
                <w:szCs w:val="21"/>
                <w:lang w:bidi="ar"/>
              </w:rPr>
              <w:t>0.02</w:t>
            </w:r>
          </w:p>
        </w:tc>
        <w:tc>
          <w:tcPr>
            <w:tcW w:w="267" w:type="pct"/>
            <w:noWrap w:val="0"/>
            <w:vAlign w:val="center"/>
          </w:tcPr>
          <w:p w14:paraId="461D4933">
            <w:pPr>
              <w:widowControl/>
              <w:jc w:val="center"/>
              <w:textAlignment w:val="center"/>
              <w:rPr>
                <w:szCs w:val="21"/>
              </w:rPr>
            </w:pPr>
            <w:r>
              <w:rPr>
                <w:kern w:val="0"/>
                <w:szCs w:val="21"/>
                <w:lang w:bidi="ar"/>
              </w:rPr>
              <w:t>0.01L</w:t>
            </w:r>
          </w:p>
        </w:tc>
        <w:tc>
          <w:tcPr>
            <w:tcW w:w="324" w:type="pct"/>
            <w:noWrap w:val="0"/>
            <w:vAlign w:val="center"/>
          </w:tcPr>
          <w:p w14:paraId="007E602C">
            <w:pPr>
              <w:widowControl/>
              <w:jc w:val="center"/>
              <w:textAlignment w:val="center"/>
              <w:rPr>
                <w:szCs w:val="21"/>
              </w:rPr>
            </w:pPr>
            <w:r>
              <w:rPr>
                <w:kern w:val="0"/>
                <w:szCs w:val="21"/>
                <w:lang w:bidi="ar"/>
              </w:rPr>
              <w:t>0.05L</w:t>
            </w:r>
          </w:p>
        </w:tc>
        <w:tc>
          <w:tcPr>
            <w:tcW w:w="372" w:type="pct"/>
            <w:noWrap w:val="0"/>
            <w:vAlign w:val="center"/>
          </w:tcPr>
          <w:p w14:paraId="4BCC89C1">
            <w:pPr>
              <w:widowControl/>
              <w:jc w:val="center"/>
              <w:textAlignment w:val="center"/>
              <w:rPr>
                <w:szCs w:val="21"/>
              </w:rPr>
            </w:pPr>
            <w:r>
              <w:rPr>
                <w:kern w:val="0"/>
                <w:szCs w:val="21"/>
                <w:lang w:bidi="ar"/>
              </w:rPr>
              <w:t>0.005L</w:t>
            </w:r>
          </w:p>
        </w:tc>
        <w:tc>
          <w:tcPr>
            <w:tcW w:w="503" w:type="pct"/>
            <w:noWrap w:val="0"/>
            <w:vAlign w:val="center"/>
          </w:tcPr>
          <w:p w14:paraId="10E3F43E">
            <w:pPr>
              <w:widowControl/>
              <w:jc w:val="center"/>
              <w:textAlignment w:val="center"/>
              <w:rPr>
                <w:szCs w:val="21"/>
              </w:rPr>
            </w:pPr>
            <w:r>
              <w:rPr>
                <w:kern w:val="0"/>
                <w:szCs w:val="21"/>
                <w:lang w:bidi="ar"/>
              </w:rPr>
              <w:t>140</w:t>
            </w:r>
          </w:p>
        </w:tc>
      </w:tr>
      <w:tr w14:paraId="4D63C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177" w:hRule="atLeast"/>
        </w:trPr>
        <w:tc>
          <w:tcPr>
            <w:tcW w:w="231" w:type="pct"/>
            <w:vMerge w:val="continue"/>
            <w:noWrap w:val="0"/>
            <w:vAlign w:val="center"/>
          </w:tcPr>
          <w:p w14:paraId="50ACAE3D">
            <w:pPr>
              <w:jc w:val="center"/>
              <w:rPr>
                <w:szCs w:val="21"/>
              </w:rPr>
            </w:pPr>
          </w:p>
        </w:tc>
        <w:tc>
          <w:tcPr>
            <w:tcW w:w="386" w:type="pct"/>
            <w:gridSpan w:val="2"/>
            <w:noWrap w:val="0"/>
            <w:vAlign w:val="center"/>
          </w:tcPr>
          <w:p w14:paraId="1D2A1E6B">
            <w:pPr>
              <w:widowControl/>
              <w:jc w:val="center"/>
              <w:textAlignment w:val="center"/>
              <w:rPr>
                <w:szCs w:val="21"/>
              </w:rPr>
            </w:pPr>
            <w:r>
              <w:rPr>
                <w:kern w:val="0"/>
                <w:szCs w:val="21"/>
                <w:lang w:bidi="ar"/>
              </w:rPr>
              <w:t>2021/3/29</w:t>
            </w:r>
          </w:p>
        </w:tc>
        <w:tc>
          <w:tcPr>
            <w:tcW w:w="394" w:type="pct"/>
            <w:noWrap w:val="0"/>
            <w:vAlign w:val="center"/>
          </w:tcPr>
          <w:p w14:paraId="6C7143F1">
            <w:pPr>
              <w:widowControl/>
              <w:jc w:val="center"/>
              <w:textAlignment w:val="center"/>
              <w:rPr>
                <w:szCs w:val="21"/>
              </w:rPr>
            </w:pPr>
            <w:r>
              <w:rPr>
                <w:kern w:val="0"/>
                <w:szCs w:val="21"/>
                <w:lang w:bidi="ar"/>
              </w:rPr>
              <w:t>7.31</w:t>
            </w:r>
          </w:p>
        </w:tc>
        <w:tc>
          <w:tcPr>
            <w:tcW w:w="335" w:type="pct"/>
            <w:noWrap w:val="0"/>
            <w:vAlign w:val="center"/>
          </w:tcPr>
          <w:p w14:paraId="018D86CD">
            <w:pPr>
              <w:widowControl/>
              <w:jc w:val="center"/>
              <w:textAlignment w:val="center"/>
              <w:rPr>
                <w:szCs w:val="21"/>
              </w:rPr>
            </w:pPr>
            <w:r>
              <w:rPr>
                <w:kern w:val="0"/>
                <w:szCs w:val="21"/>
                <w:lang w:bidi="ar"/>
              </w:rPr>
              <w:t>7.9</w:t>
            </w:r>
          </w:p>
        </w:tc>
        <w:tc>
          <w:tcPr>
            <w:tcW w:w="390" w:type="pct"/>
            <w:noWrap w:val="0"/>
            <w:vAlign w:val="center"/>
          </w:tcPr>
          <w:p w14:paraId="65A71083">
            <w:pPr>
              <w:widowControl/>
              <w:jc w:val="center"/>
              <w:textAlignment w:val="center"/>
              <w:rPr>
                <w:szCs w:val="21"/>
              </w:rPr>
            </w:pPr>
            <w:r>
              <w:rPr>
                <w:kern w:val="0"/>
                <w:szCs w:val="21"/>
                <w:lang w:bidi="ar"/>
              </w:rPr>
              <w:t>4L</w:t>
            </w:r>
          </w:p>
        </w:tc>
        <w:tc>
          <w:tcPr>
            <w:tcW w:w="455" w:type="pct"/>
            <w:noWrap w:val="0"/>
            <w:vAlign w:val="center"/>
          </w:tcPr>
          <w:p w14:paraId="33ED0AE5">
            <w:pPr>
              <w:widowControl/>
              <w:jc w:val="center"/>
              <w:textAlignment w:val="center"/>
              <w:rPr>
                <w:szCs w:val="21"/>
              </w:rPr>
            </w:pPr>
            <w:r>
              <w:rPr>
                <w:kern w:val="0"/>
                <w:szCs w:val="21"/>
                <w:lang w:bidi="ar"/>
              </w:rPr>
              <w:t>0.5L</w:t>
            </w:r>
          </w:p>
        </w:tc>
        <w:tc>
          <w:tcPr>
            <w:tcW w:w="423" w:type="pct"/>
            <w:noWrap w:val="0"/>
            <w:vAlign w:val="center"/>
          </w:tcPr>
          <w:p w14:paraId="38E2619D">
            <w:pPr>
              <w:widowControl/>
              <w:jc w:val="center"/>
              <w:textAlignment w:val="center"/>
              <w:rPr>
                <w:szCs w:val="21"/>
              </w:rPr>
            </w:pPr>
            <w:r>
              <w:rPr>
                <w:kern w:val="0"/>
                <w:szCs w:val="21"/>
                <w:lang w:bidi="ar"/>
              </w:rPr>
              <w:t>0.5L</w:t>
            </w:r>
          </w:p>
        </w:tc>
        <w:tc>
          <w:tcPr>
            <w:tcW w:w="460" w:type="pct"/>
            <w:noWrap w:val="0"/>
            <w:vAlign w:val="center"/>
          </w:tcPr>
          <w:p w14:paraId="6E5A3AE7">
            <w:pPr>
              <w:widowControl/>
              <w:jc w:val="center"/>
              <w:textAlignment w:val="center"/>
              <w:rPr>
                <w:szCs w:val="21"/>
              </w:rPr>
            </w:pPr>
            <w:r>
              <w:rPr>
                <w:kern w:val="0"/>
                <w:szCs w:val="21"/>
                <w:lang w:bidi="ar"/>
              </w:rPr>
              <w:t>0.058</w:t>
            </w:r>
          </w:p>
        </w:tc>
        <w:tc>
          <w:tcPr>
            <w:tcW w:w="223" w:type="pct"/>
            <w:noWrap w:val="0"/>
            <w:vAlign w:val="center"/>
          </w:tcPr>
          <w:p w14:paraId="4D72911C">
            <w:pPr>
              <w:widowControl/>
              <w:jc w:val="center"/>
              <w:textAlignment w:val="center"/>
              <w:rPr>
                <w:szCs w:val="21"/>
              </w:rPr>
            </w:pPr>
            <w:r>
              <w:rPr>
                <w:kern w:val="0"/>
                <w:szCs w:val="21"/>
                <w:lang w:bidi="ar"/>
              </w:rPr>
              <w:t>0.71</w:t>
            </w:r>
          </w:p>
        </w:tc>
        <w:tc>
          <w:tcPr>
            <w:tcW w:w="219" w:type="pct"/>
            <w:noWrap w:val="0"/>
            <w:vAlign w:val="center"/>
          </w:tcPr>
          <w:p w14:paraId="03485E40">
            <w:pPr>
              <w:widowControl/>
              <w:jc w:val="center"/>
              <w:textAlignment w:val="center"/>
              <w:rPr>
                <w:szCs w:val="21"/>
              </w:rPr>
            </w:pPr>
            <w:r>
              <w:rPr>
                <w:kern w:val="0"/>
                <w:szCs w:val="21"/>
                <w:lang w:bidi="ar"/>
              </w:rPr>
              <w:t>0.02</w:t>
            </w:r>
          </w:p>
        </w:tc>
        <w:tc>
          <w:tcPr>
            <w:tcW w:w="267" w:type="pct"/>
            <w:noWrap w:val="0"/>
            <w:vAlign w:val="center"/>
          </w:tcPr>
          <w:p w14:paraId="05214D23">
            <w:pPr>
              <w:widowControl/>
              <w:jc w:val="center"/>
              <w:textAlignment w:val="center"/>
              <w:rPr>
                <w:szCs w:val="21"/>
              </w:rPr>
            </w:pPr>
            <w:r>
              <w:rPr>
                <w:kern w:val="0"/>
                <w:szCs w:val="21"/>
                <w:lang w:bidi="ar"/>
              </w:rPr>
              <w:t>0.01L</w:t>
            </w:r>
          </w:p>
        </w:tc>
        <w:tc>
          <w:tcPr>
            <w:tcW w:w="324" w:type="pct"/>
            <w:noWrap w:val="0"/>
            <w:vAlign w:val="center"/>
          </w:tcPr>
          <w:p w14:paraId="52A8816D">
            <w:pPr>
              <w:widowControl/>
              <w:jc w:val="center"/>
              <w:textAlignment w:val="center"/>
              <w:rPr>
                <w:szCs w:val="21"/>
              </w:rPr>
            </w:pPr>
            <w:r>
              <w:rPr>
                <w:kern w:val="0"/>
                <w:szCs w:val="21"/>
                <w:lang w:bidi="ar"/>
              </w:rPr>
              <w:t>0.05L</w:t>
            </w:r>
          </w:p>
        </w:tc>
        <w:tc>
          <w:tcPr>
            <w:tcW w:w="372" w:type="pct"/>
            <w:noWrap w:val="0"/>
            <w:vAlign w:val="center"/>
          </w:tcPr>
          <w:p w14:paraId="3761ECCA">
            <w:pPr>
              <w:widowControl/>
              <w:jc w:val="center"/>
              <w:textAlignment w:val="center"/>
              <w:rPr>
                <w:szCs w:val="21"/>
              </w:rPr>
            </w:pPr>
            <w:r>
              <w:rPr>
                <w:kern w:val="0"/>
                <w:szCs w:val="21"/>
                <w:lang w:bidi="ar"/>
              </w:rPr>
              <w:t>0.005L</w:t>
            </w:r>
          </w:p>
        </w:tc>
        <w:tc>
          <w:tcPr>
            <w:tcW w:w="503" w:type="pct"/>
            <w:noWrap w:val="0"/>
            <w:vAlign w:val="center"/>
          </w:tcPr>
          <w:p w14:paraId="432FF9CB">
            <w:pPr>
              <w:widowControl/>
              <w:jc w:val="center"/>
              <w:textAlignment w:val="center"/>
              <w:rPr>
                <w:szCs w:val="21"/>
              </w:rPr>
            </w:pPr>
            <w:r>
              <w:rPr>
                <w:kern w:val="0"/>
                <w:szCs w:val="21"/>
                <w:lang w:bidi="ar"/>
              </w:rPr>
              <w:t>120</w:t>
            </w:r>
          </w:p>
        </w:tc>
      </w:tr>
      <w:tr w14:paraId="1BA1D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225" w:hRule="atLeast"/>
        </w:trPr>
        <w:tc>
          <w:tcPr>
            <w:tcW w:w="231" w:type="pct"/>
            <w:vMerge w:val="continue"/>
            <w:noWrap w:val="0"/>
            <w:vAlign w:val="center"/>
          </w:tcPr>
          <w:p w14:paraId="0E0E7070">
            <w:pPr>
              <w:jc w:val="center"/>
              <w:rPr>
                <w:szCs w:val="21"/>
              </w:rPr>
            </w:pPr>
          </w:p>
        </w:tc>
        <w:tc>
          <w:tcPr>
            <w:tcW w:w="386" w:type="pct"/>
            <w:gridSpan w:val="2"/>
            <w:noWrap w:val="0"/>
            <w:vAlign w:val="center"/>
          </w:tcPr>
          <w:p w14:paraId="2DE00F64">
            <w:pPr>
              <w:widowControl/>
              <w:jc w:val="center"/>
              <w:textAlignment w:val="center"/>
              <w:rPr>
                <w:szCs w:val="21"/>
              </w:rPr>
            </w:pPr>
            <w:r>
              <w:rPr>
                <w:kern w:val="0"/>
                <w:szCs w:val="21"/>
                <w:lang w:bidi="ar"/>
              </w:rPr>
              <w:t>2021/3/30</w:t>
            </w:r>
          </w:p>
        </w:tc>
        <w:tc>
          <w:tcPr>
            <w:tcW w:w="394" w:type="pct"/>
            <w:noWrap w:val="0"/>
            <w:vAlign w:val="center"/>
          </w:tcPr>
          <w:p w14:paraId="58B955C8">
            <w:pPr>
              <w:widowControl/>
              <w:jc w:val="center"/>
              <w:textAlignment w:val="center"/>
              <w:rPr>
                <w:szCs w:val="21"/>
              </w:rPr>
            </w:pPr>
            <w:r>
              <w:rPr>
                <w:kern w:val="0"/>
                <w:szCs w:val="21"/>
                <w:lang w:bidi="ar"/>
              </w:rPr>
              <w:t>7.12</w:t>
            </w:r>
          </w:p>
        </w:tc>
        <w:tc>
          <w:tcPr>
            <w:tcW w:w="335" w:type="pct"/>
            <w:noWrap w:val="0"/>
            <w:vAlign w:val="center"/>
          </w:tcPr>
          <w:p w14:paraId="2A2B1E8A">
            <w:pPr>
              <w:widowControl/>
              <w:jc w:val="center"/>
              <w:textAlignment w:val="center"/>
              <w:rPr>
                <w:szCs w:val="21"/>
              </w:rPr>
            </w:pPr>
            <w:r>
              <w:rPr>
                <w:kern w:val="0"/>
                <w:szCs w:val="21"/>
                <w:lang w:bidi="ar"/>
              </w:rPr>
              <w:t>7.4</w:t>
            </w:r>
          </w:p>
        </w:tc>
        <w:tc>
          <w:tcPr>
            <w:tcW w:w="390" w:type="pct"/>
            <w:noWrap w:val="0"/>
            <w:vAlign w:val="center"/>
          </w:tcPr>
          <w:p w14:paraId="74704EB7">
            <w:pPr>
              <w:widowControl/>
              <w:jc w:val="center"/>
              <w:textAlignment w:val="center"/>
              <w:rPr>
                <w:szCs w:val="21"/>
              </w:rPr>
            </w:pPr>
            <w:r>
              <w:rPr>
                <w:kern w:val="0"/>
                <w:szCs w:val="21"/>
                <w:lang w:bidi="ar"/>
              </w:rPr>
              <w:t>4L</w:t>
            </w:r>
          </w:p>
        </w:tc>
        <w:tc>
          <w:tcPr>
            <w:tcW w:w="455" w:type="pct"/>
            <w:noWrap w:val="0"/>
            <w:vAlign w:val="center"/>
          </w:tcPr>
          <w:p w14:paraId="76010F85">
            <w:pPr>
              <w:widowControl/>
              <w:jc w:val="center"/>
              <w:textAlignment w:val="center"/>
              <w:rPr>
                <w:szCs w:val="21"/>
              </w:rPr>
            </w:pPr>
            <w:r>
              <w:rPr>
                <w:kern w:val="0"/>
                <w:szCs w:val="21"/>
                <w:lang w:bidi="ar"/>
              </w:rPr>
              <w:t>0.5L</w:t>
            </w:r>
          </w:p>
        </w:tc>
        <w:tc>
          <w:tcPr>
            <w:tcW w:w="423" w:type="pct"/>
            <w:noWrap w:val="0"/>
            <w:vAlign w:val="center"/>
          </w:tcPr>
          <w:p w14:paraId="7AA92320">
            <w:pPr>
              <w:widowControl/>
              <w:jc w:val="center"/>
              <w:textAlignment w:val="center"/>
              <w:rPr>
                <w:szCs w:val="21"/>
              </w:rPr>
            </w:pPr>
            <w:r>
              <w:rPr>
                <w:kern w:val="0"/>
                <w:szCs w:val="21"/>
                <w:lang w:bidi="ar"/>
              </w:rPr>
              <w:t>0.5L</w:t>
            </w:r>
          </w:p>
        </w:tc>
        <w:tc>
          <w:tcPr>
            <w:tcW w:w="460" w:type="pct"/>
            <w:noWrap w:val="0"/>
            <w:vAlign w:val="center"/>
          </w:tcPr>
          <w:p w14:paraId="54711A93">
            <w:pPr>
              <w:widowControl/>
              <w:jc w:val="center"/>
              <w:textAlignment w:val="center"/>
              <w:rPr>
                <w:szCs w:val="21"/>
              </w:rPr>
            </w:pPr>
            <w:r>
              <w:rPr>
                <w:kern w:val="0"/>
                <w:szCs w:val="21"/>
                <w:lang w:bidi="ar"/>
              </w:rPr>
              <w:t>0.067</w:t>
            </w:r>
          </w:p>
        </w:tc>
        <w:tc>
          <w:tcPr>
            <w:tcW w:w="223" w:type="pct"/>
            <w:noWrap w:val="0"/>
            <w:vAlign w:val="center"/>
          </w:tcPr>
          <w:p w14:paraId="62DD5E86">
            <w:pPr>
              <w:widowControl/>
              <w:jc w:val="center"/>
              <w:textAlignment w:val="center"/>
              <w:rPr>
                <w:szCs w:val="21"/>
              </w:rPr>
            </w:pPr>
            <w:r>
              <w:rPr>
                <w:kern w:val="0"/>
                <w:szCs w:val="21"/>
                <w:lang w:bidi="ar"/>
              </w:rPr>
              <w:t>0.84</w:t>
            </w:r>
          </w:p>
        </w:tc>
        <w:tc>
          <w:tcPr>
            <w:tcW w:w="219" w:type="pct"/>
            <w:noWrap w:val="0"/>
            <w:vAlign w:val="center"/>
          </w:tcPr>
          <w:p w14:paraId="6CD58327">
            <w:pPr>
              <w:widowControl/>
              <w:jc w:val="center"/>
              <w:textAlignment w:val="center"/>
              <w:rPr>
                <w:szCs w:val="21"/>
              </w:rPr>
            </w:pPr>
            <w:r>
              <w:rPr>
                <w:kern w:val="0"/>
                <w:szCs w:val="21"/>
                <w:lang w:bidi="ar"/>
              </w:rPr>
              <w:t>0.03</w:t>
            </w:r>
          </w:p>
        </w:tc>
        <w:tc>
          <w:tcPr>
            <w:tcW w:w="267" w:type="pct"/>
            <w:noWrap w:val="0"/>
            <w:vAlign w:val="center"/>
          </w:tcPr>
          <w:p w14:paraId="794DCD5C">
            <w:pPr>
              <w:widowControl/>
              <w:jc w:val="center"/>
              <w:textAlignment w:val="center"/>
              <w:rPr>
                <w:szCs w:val="21"/>
              </w:rPr>
            </w:pPr>
            <w:r>
              <w:rPr>
                <w:kern w:val="0"/>
                <w:szCs w:val="21"/>
                <w:lang w:bidi="ar"/>
              </w:rPr>
              <w:t>0.01L</w:t>
            </w:r>
          </w:p>
        </w:tc>
        <w:tc>
          <w:tcPr>
            <w:tcW w:w="324" w:type="pct"/>
            <w:noWrap w:val="0"/>
            <w:vAlign w:val="center"/>
          </w:tcPr>
          <w:p w14:paraId="7D179520">
            <w:pPr>
              <w:widowControl/>
              <w:jc w:val="center"/>
              <w:textAlignment w:val="center"/>
              <w:rPr>
                <w:szCs w:val="21"/>
              </w:rPr>
            </w:pPr>
            <w:r>
              <w:rPr>
                <w:kern w:val="0"/>
                <w:szCs w:val="21"/>
                <w:lang w:bidi="ar"/>
              </w:rPr>
              <w:t>0.05L</w:t>
            </w:r>
          </w:p>
        </w:tc>
        <w:tc>
          <w:tcPr>
            <w:tcW w:w="372" w:type="pct"/>
            <w:noWrap w:val="0"/>
            <w:vAlign w:val="center"/>
          </w:tcPr>
          <w:p w14:paraId="6C3E744E">
            <w:pPr>
              <w:widowControl/>
              <w:jc w:val="center"/>
              <w:textAlignment w:val="center"/>
              <w:rPr>
                <w:szCs w:val="21"/>
              </w:rPr>
            </w:pPr>
            <w:r>
              <w:rPr>
                <w:kern w:val="0"/>
                <w:szCs w:val="21"/>
                <w:lang w:bidi="ar"/>
              </w:rPr>
              <w:t>0.005L</w:t>
            </w:r>
          </w:p>
        </w:tc>
        <w:tc>
          <w:tcPr>
            <w:tcW w:w="503" w:type="pct"/>
            <w:noWrap w:val="0"/>
            <w:vAlign w:val="center"/>
          </w:tcPr>
          <w:p w14:paraId="7C3F37E0">
            <w:pPr>
              <w:widowControl/>
              <w:jc w:val="center"/>
              <w:textAlignment w:val="center"/>
              <w:rPr>
                <w:szCs w:val="21"/>
              </w:rPr>
            </w:pPr>
            <w:r>
              <w:rPr>
                <w:kern w:val="0"/>
                <w:szCs w:val="21"/>
                <w:lang w:bidi="ar"/>
              </w:rPr>
              <w:t>130</w:t>
            </w:r>
          </w:p>
        </w:tc>
      </w:tr>
      <w:tr w14:paraId="077A6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200" w:hRule="atLeast"/>
        </w:trPr>
        <w:tc>
          <w:tcPr>
            <w:tcW w:w="231" w:type="pct"/>
            <w:vMerge w:val="continue"/>
            <w:noWrap w:val="0"/>
            <w:vAlign w:val="center"/>
          </w:tcPr>
          <w:p w14:paraId="5039ACD0">
            <w:pPr>
              <w:jc w:val="center"/>
              <w:rPr>
                <w:szCs w:val="21"/>
              </w:rPr>
            </w:pPr>
          </w:p>
        </w:tc>
        <w:tc>
          <w:tcPr>
            <w:tcW w:w="386" w:type="pct"/>
            <w:gridSpan w:val="2"/>
            <w:noWrap w:val="0"/>
            <w:vAlign w:val="center"/>
          </w:tcPr>
          <w:p w14:paraId="0BA7982E">
            <w:pPr>
              <w:widowControl/>
              <w:jc w:val="center"/>
              <w:textAlignment w:val="center"/>
              <w:rPr>
                <w:szCs w:val="21"/>
              </w:rPr>
            </w:pPr>
            <w:r>
              <w:rPr>
                <w:kern w:val="0"/>
                <w:szCs w:val="21"/>
                <w:lang w:bidi="ar"/>
              </w:rPr>
              <w:t>最大值</w:t>
            </w:r>
          </w:p>
        </w:tc>
        <w:tc>
          <w:tcPr>
            <w:tcW w:w="394" w:type="pct"/>
            <w:noWrap w:val="0"/>
            <w:vAlign w:val="center"/>
          </w:tcPr>
          <w:p w14:paraId="3CEE9685">
            <w:pPr>
              <w:widowControl/>
              <w:jc w:val="center"/>
              <w:textAlignment w:val="center"/>
              <w:rPr>
                <w:szCs w:val="21"/>
              </w:rPr>
            </w:pPr>
            <w:r>
              <w:rPr>
                <w:kern w:val="0"/>
                <w:szCs w:val="21"/>
                <w:lang w:bidi="ar"/>
              </w:rPr>
              <w:t>7.31</w:t>
            </w:r>
          </w:p>
        </w:tc>
        <w:tc>
          <w:tcPr>
            <w:tcW w:w="335" w:type="pct"/>
            <w:noWrap w:val="0"/>
            <w:vAlign w:val="center"/>
          </w:tcPr>
          <w:p w14:paraId="218462AA">
            <w:pPr>
              <w:widowControl/>
              <w:jc w:val="center"/>
              <w:textAlignment w:val="center"/>
              <w:rPr>
                <w:szCs w:val="21"/>
              </w:rPr>
            </w:pPr>
            <w:r>
              <w:rPr>
                <w:kern w:val="0"/>
                <w:szCs w:val="21"/>
                <w:lang w:bidi="ar"/>
              </w:rPr>
              <w:t>7.9</w:t>
            </w:r>
          </w:p>
        </w:tc>
        <w:tc>
          <w:tcPr>
            <w:tcW w:w="390" w:type="pct"/>
            <w:noWrap w:val="0"/>
            <w:vAlign w:val="center"/>
          </w:tcPr>
          <w:p w14:paraId="7300F5EC">
            <w:pPr>
              <w:widowControl/>
              <w:jc w:val="center"/>
              <w:textAlignment w:val="center"/>
              <w:rPr>
                <w:szCs w:val="21"/>
              </w:rPr>
            </w:pPr>
            <w:r>
              <w:rPr>
                <w:kern w:val="0"/>
                <w:szCs w:val="21"/>
                <w:lang w:bidi="ar"/>
              </w:rPr>
              <w:t>0</w:t>
            </w:r>
          </w:p>
        </w:tc>
        <w:tc>
          <w:tcPr>
            <w:tcW w:w="455" w:type="pct"/>
            <w:noWrap w:val="0"/>
            <w:vAlign w:val="center"/>
          </w:tcPr>
          <w:p w14:paraId="439EB268">
            <w:pPr>
              <w:widowControl/>
              <w:jc w:val="center"/>
              <w:textAlignment w:val="center"/>
              <w:rPr>
                <w:szCs w:val="21"/>
              </w:rPr>
            </w:pPr>
            <w:r>
              <w:rPr>
                <w:kern w:val="0"/>
                <w:szCs w:val="21"/>
                <w:lang w:bidi="ar"/>
              </w:rPr>
              <w:t>0</w:t>
            </w:r>
          </w:p>
        </w:tc>
        <w:tc>
          <w:tcPr>
            <w:tcW w:w="423" w:type="pct"/>
            <w:noWrap w:val="0"/>
            <w:vAlign w:val="center"/>
          </w:tcPr>
          <w:p w14:paraId="3BDDBB5B">
            <w:pPr>
              <w:widowControl/>
              <w:jc w:val="center"/>
              <w:textAlignment w:val="center"/>
              <w:rPr>
                <w:szCs w:val="21"/>
              </w:rPr>
            </w:pPr>
            <w:r>
              <w:rPr>
                <w:kern w:val="0"/>
                <w:szCs w:val="21"/>
                <w:lang w:bidi="ar"/>
              </w:rPr>
              <w:t>0</w:t>
            </w:r>
          </w:p>
        </w:tc>
        <w:tc>
          <w:tcPr>
            <w:tcW w:w="460" w:type="pct"/>
            <w:noWrap w:val="0"/>
            <w:vAlign w:val="center"/>
          </w:tcPr>
          <w:p w14:paraId="749729D5">
            <w:pPr>
              <w:widowControl/>
              <w:jc w:val="center"/>
              <w:textAlignment w:val="center"/>
              <w:rPr>
                <w:szCs w:val="21"/>
              </w:rPr>
            </w:pPr>
            <w:r>
              <w:rPr>
                <w:kern w:val="0"/>
                <w:szCs w:val="21"/>
                <w:lang w:bidi="ar"/>
              </w:rPr>
              <w:t>0.067</w:t>
            </w:r>
          </w:p>
        </w:tc>
        <w:tc>
          <w:tcPr>
            <w:tcW w:w="223" w:type="pct"/>
            <w:noWrap w:val="0"/>
            <w:vAlign w:val="center"/>
          </w:tcPr>
          <w:p w14:paraId="0E5888F2">
            <w:pPr>
              <w:widowControl/>
              <w:jc w:val="center"/>
              <w:textAlignment w:val="center"/>
              <w:rPr>
                <w:szCs w:val="21"/>
              </w:rPr>
            </w:pPr>
            <w:r>
              <w:rPr>
                <w:kern w:val="0"/>
                <w:szCs w:val="21"/>
                <w:lang w:bidi="ar"/>
              </w:rPr>
              <w:t>0.84</w:t>
            </w:r>
          </w:p>
        </w:tc>
        <w:tc>
          <w:tcPr>
            <w:tcW w:w="219" w:type="pct"/>
            <w:noWrap w:val="0"/>
            <w:vAlign w:val="center"/>
          </w:tcPr>
          <w:p w14:paraId="5E7A3CC5">
            <w:pPr>
              <w:widowControl/>
              <w:jc w:val="center"/>
              <w:textAlignment w:val="center"/>
              <w:rPr>
                <w:szCs w:val="21"/>
              </w:rPr>
            </w:pPr>
            <w:r>
              <w:rPr>
                <w:kern w:val="0"/>
                <w:szCs w:val="21"/>
                <w:lang w:bidi="ar"/>
              </w:rPr>
              <w:t>0.03</w:t>
            </w:r>
          </w:p>
        </w:tc>
        <w:tc>
          <w:tcPr>
            <w:tcW w:w="267" w:type="pct"/>
            <w:noWrap w:val="0"/>
            <w:vAlign w:val="center"/>
          </w:tcPr>
          <w:p w14:paraId="31492AE9">
            <w:pPr>
              <w:widowControl/>
              <w:jc w:val="center"/>
              <w:textAlignment w:val="center"/>
              <w:rPr>
                <w:szCs w:val="21"/>
              </w:rPr>
            </w:pPr>
            <w:r>
              <w:rPr>
                <w:kern w:val="0"/>
                <w:szCs w:val="21"/>
                <w:lang w:bidi="ar"/>
              </w:rPr>
              <w:t>0</w:t>
            </w:r>
          </w:p>
        </w:tc>
        <w:tc>
          <w:tcPr>
            <w:tcW w:w="324" w:type="pct"/>
            <w:noWrap w:val="0"/>
            <w:vAlign w:val="center"/>
          </w:tcPr>
          <w:p w14:paraId="35A11813">
            <w:pPr>
              <w:widowControl/>
              <w:jc w:val="center"/>
              <w:textAlignment w:val="center"/>
              <w:rPr>
                <w:szCs w:val="21"/>
              </w:rPr>
            </w:pPr>
            <w:r>
              <w:rPr>
                <w:kern w:val="0"/>
                <w:szCs w:val="21"/>
                <w:lang w:bidi="ar"/>
              </w:rPr>
              <w:t>0</w:t>
            </w:r>
          </w:p>
        </w:tc>
        <w:tc>
          <w:tcPr>
            <w:tcW w:w="372" w:type="pct"/>
            <w:noWrap w:val="0"/>
            <w:vAlign w:val="center"/>
          </w:tcPr>
          <w:p w14:paraId="7187D87C">
            <w:pPr>
              <w:widowControl/>
              <w:jc w:val="center"/>
              <w:textAlignment w:val="center"/>
              <w:rPr>
                <w:szCs w:val="21"/>
              </w:rPr>
            </w:pPr>
            <w:r>
              <w:rPr>
                <w:kern w:val="0"/>
                <w:szCs w:val="21"/>
                <w:lang w:bidi="ar"/>
              </w:rPr>
              <w:t>0</w:t>
            </w:r>
          </w:p>
        </w:tc>
        <w:tc>
          <w:tcPr>
            <w:tcW w:w="503" w:type="pct"/>
            <w:noWrap w:val="0"/>
            <w:vAlign w:val="center"/>
          </w:tcPr>
          <w:p w14:paraId="1434AD4B">
            <w:pPr>
              <w:widowControl/>
              <w:jc w:val="center"/>
              <w:textAlignment w:val="center"/>
              <w:rPr>
                <w:szCs w:val="21"/>
              </w:rPr>
            </w:pPr>
            <w:r>
              <w:rPr>
                <w:kern w:val="0"/>
                <w:szCs w:val="21"/>
                <w:lang w:bidi="ar"/>
              </w:rPr>
              <w:t>140</w:t>
            </w:r>
          </w:p>
        </w:tc>
      </w:tr>
      <w:tr w14:paraId="3B62F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90" w:hRule="atLeast"/>
        </w:trPr>
        <w:tc>
          <w:tcPr>
            <w:tcW w:w="231" w:type="pct"/>
            <w:vMerge w:val="continue"/>
            <w:noWrap w:val="0"/>
            <w:vAlign w:val="center"/>
          </w:tcPr>
          <w:p w14:paraId="65F38BC1">
            <w:pPr>
              <w:jc w:val="center"/>
              <w:rPr>
                <w:szCs w:val="21"/>
              </w:rPr>
            </w:pPr>
          </w:p>
        </w:tc>
        <w:tc>
          <w:tcPr>
            <w:tcW w:w="386" w:type="pct"/>
            <w:gridSpan w:val="2"/>
            <w:noWrap w:val="0"/>
            <w:vAlign w:val="center"/>
          </w:tcPr>
          <w:p w14:paraId="6319CBC2">
            <w:pPr>
              <w:widowControl/>
              <w:jc w:val="center"/>
              <w:textAlignment w:val="center"/>
              <w:rPr>
                <w:szCs w:val="21"/>
              </w:rPr>
            </w:pPr>
            <w:r>
              <w:rPr>
                <w:kern w:val="0"/>
                <w:szCs w:val="21"/>
                <w:lang w:bidi="ar"/>
              </w:rPr>
              <w:t>标准</w:t>
            </w:r>
          </w:p>
        </w:tc>
        <w:tc>
          <w:tcPr>
            <w:tcW w:w="394" w:type="pct"/>
            <w:noWrap w:val="0"/>
            <w:vAlign w:val="center"/>
          </w:tcPr>
          <w:p w14:paraId="2AB129CA">
            <w:pPr>
              <w:widowControl/>
              <w:jc w:val="center"/>
              <w:textAlignment w:val="center"/>
              <w:rPr>
                <w:szCs w:val="21"/>
              </w:rPr>
            </w:pPr>
            <w:r>
              <w:rPr>
                <w:kern w:val="0"/>
                <w:szCs w:val="21"/>
                <w:lang w:bidi="ar"/>
              </w:rPr>
              <w:t>6-9</w:t>
            </w:r>
          </w:p>
        </w:tc>
        <w:tc>
          <w:tcPr>
            <w:tcW w:w="335" w:type="pct"/>
            <w:noWrap w:val="0"/>
            <w:vAlign w:val="center"/>
          </w:tcPr>
          <w:p w14:paraId="57FADCEE">
            <w:pPr>
              <w:widowControl/>
              <w:jc w:val="center"/>
              <w:textAlignment w:val="center"/>
              <w:rPr>
                <w:szCs w:val="21"/>
              </w:rPr>
            </w:pPr>
            <w:r>
              <w:rPr>
                <w:kern w:val="0"/>
                <w:szCs w:val="21"/>
                <w:lang w:bidi="ar"/>
              </w:rPr>
              <w:t>6</w:t>
            </w:r>
          </w:p>
        </w:tc>
        <w:tc>
          <w:tcPr>
            <w:tcW w:w="390" w:type="pct"/>
            <w:noWrap w:val="0"/>
            <w:vAlign w:val="center"/>
          </w:tcPr>
          <w:p w14:paraId="026A1D4C">
            <w:pPr>
              <w:widowControl/>
              <w:jc w:val="center"/>
              <w:textAlignment w:val="center"/>
              <w:rPr>
                <w:szCs w:val="21"/>
              </w:rPr>
            </w:pPr>
            <w:r>
              <w:rPr>
                <w:kern w:val="0"/>
                <w:szCs w:val="21"/>
                <w:lang w:bidi="ar"/>
              </w:rPr>
              <w:t>15</w:t>
            </w:r>
          </w:p>
        </w:tc>
        <w:tc>
          <w:tcPr>
            <w:tcW w:w="455" w:type="pct"/>
            <w:noWrap w:val="0"/>
            <w:vAlign w:val="center"/>
          </w:tcPr>
          <w:p w14:paraId="3FDD7332">
            <w:pPr>
              <w:widowControl/>
              <w:jc w:val="center"/>
              <w:textAlignment w:val="center"/>
              <w:rPr>
                <w:szCs w:val="21"/>
              </w:rPr>
            </w:pPr>
            <w:r>
              <w:rPr>
                <w:kern w:val="0"/>
                <w:szCs w:val="21"/>
                <w:lang w:bidi="ar"/>
              </w:rPr>
              <w:t>4</w:t>
            </w:r>
          </w:p>
        </w:tc>
        <w:tc>
          <w:tcPr>
            <w:tcW w:w="423" w:type="pct"/>
            <w:noWrap w:val="0"/>
            <w:vAlign w:val="center"/>
          </w:tcPr>
          <w:p w14:paraId="103A8B3C">
            <w:pPr>
              <w:widowControl/>
              <w:jc w:val="center"/>
              <w:textAlignment w:val="center"/>
              <w:rPr>
                <w:szCs w:val="21"/>
              </w:rPr>
            </w:pPr>
            <w:r>
              <w:rPr>
                <w:kern w:val="0"/>
                <w:szCs w:val="21"/>
                <w:lang w:bidi="ar"/>
              </w:rPr>
              <w:t>3</w:t>
            </w:r>
          </w:p>
        </w:tc>
        <w:tc>
          <w:tcPr>
            <w:tcW w:w="460" w:type="pct"/>
            <w:noWrap w:val="0"/>
            <w:vAlign w:val="center"/>
          </w:tcPr>
          <w:p w14:paraId="34E32356">
            <w:pPr>
              <w:widowControl/>
              <w:jc w:val="center"/>
              <w:textAlignment w:val="center"/>
              <w:rPr>
                <w:szCs w:val="21"/>
              </w:rPr>
            </w:pPr>
            <w:r>
              <w:rPr>
                <w:kern w:val="0"/>
                <w:szCs w:val="21"/>
                <w:lang w:bidi="ar"/>
              </w:rPr>
              <w:t>0.5</w:t>
            </w:r>
          </w:p>
        </w:tc>
        <w:tc>
          <w:tcPr>
            <w:tcW w:w="223" w:type="pct"/>
            <w:noWrap w:val="0"/>
            <w:vAlign w:val="center"/>
          </w:tcPr>
          <w:p w14:paraId="4D0F1910">
            <w:pPr>
              <w:widowControl/>
              <w:jc w:val="center"/>
              <w:textAlignment w:val="center"/>
              <w:rPr>
                <w:szCs w:val="21"/>
              </w:rPr>
            </w:pPr>
            <w:r>
              <w:rPr>
                <w:kern w:val="0"/>
                <w:szCs w:val="21"/>
                <w:lang w:bidi="ar"/>
              </w:rPr>
              <w:t>0.5</w:t>
            </w:r>
          </w:p>
        </w:tc>
        <w:tc>
          <w:tcPr>
            <w:tcW w:w="219" w:type="pct"/>
            <w:noWrap w:val="0"/>
            <w:vAlign w:val="center"/>
          </w:tcPr>
          <w:p w14:paraId="7C0F5AF4">
            <w:pPr>
              <w:widowControl/>
              <w:jc w:val="center"/>
              <w:textAlignment w:val="center"/>
              <w:rPr>
                <w:szCs w:val="21"/>
              </w:rPr>
            </w:pPr>
            <w:r>
              <w:rPr>
                <w:kern w:val="0"/>
                <w:szCs w:val="21"/>
                <w:lang w:bidi="ar"/>
              </w:rPr>
              <w:t>0.1</w:t>
            </w:r>
          </w:p>
        </w:tc>
        <w:tc>
          <w:tcPr>
            <w:tcW w:w="267" w:type="pct"/>
            <w:noWrap w:val="0"/>
            <w:vAlign w:val="center"/>
          </w:tcPr>
          <w:p w14:paraId="067AC5AD">
            <w:pPr>
              <w:widowControl/>
              <w:jc w:val="center"/>
              <w:textAlignment w:val="center"/>
              <w:rPr>
                <w:szCs w:val="21"/>
              </w:rPr>
            </w:pPr>
            <w:r>
              <w:rPr>
                <w:kern w:val="0"/>
                <w:szCs w:val="21"/>
                <w:lang w:bidi="ar"/>
              </w:rPr>
              <w:t>0.05</w:t>
            </w:r>
          </w:p>
        </w:tc>
        <w:tc>
          <w:tcPr>
            <w:tcW w:w="324" w:type="pct"/>
            <w:noWrap w:val="0"/>
            <w:vAlign w:val="center"/>
          </w:tcPr>
          <w:p w14:paraId="2F8B74BF">
            <w:pPr>
              <w:widowControl/>
              <w:jc w:val="center"/>
              <w:textAlignment w:val="center"/>
              <w:rPr>
                <w:szCs w:val="21"/>
              </w:rPr>
            </w:pPr>
            <w:r>
              <w:rPr>
                <w:kern w:val="0"/>
                <w:szCs w:val="21"/>
                <w:lang w:bidi="ar"/>
              </w:rPr>
              <w:t>1</w:t>
            </w:r>
          </w:p>
        </w:tc>
        <w:tc>
          <w:tcPr>
            <w:tcW w:w="372" w:type="pct"/>
            <w:noWrap w:val="0"/>
            <w:vAlign w:val="center"/>
          </w:tcPr>
          <w:p w14:paraId="1FA89032">
            <w:pPr>
              <w:widowControl/>
              <w:jc w:val="center"/>
              <w:textAlignment w:val="center"/>
              <w:rPr>
                <w:szCs w:val="21"/>
              </w:rPr>
            </w:pPr>
            <w:r>
              <w:rPr>
                <w:kern w:val="0"/>
                <w:szCs w:val="21"/>
                <w:lang w:bidi="ar"/>
              </w:rPr>
              <w:t>0.1</w:t>
            </w:r>
          </w:p>
        </w:tc>
        <w:tc>
          <w:tcPr>
            <w:tcW w:w="503" w:type="pct"/>
            <w:noWrap w:val="0"/>
            <w:vAlign w:val="center"/>
          </w:tcPr>
          <w:p w14:paraId="392AFAAC">
            <w:pPr>
              <w:widowControl/>
              <w:jc w:val="center"/>
              <w:textAlignment w:val="center"/>
              <w:rPr>
                <w:szCs w:val="21"/>
              </w:rPr>
            </w:pPr>
            <w:r>
              <w:rPr>
                <w:kern w:val="0"/>
                <w:szCs w:val="21"/>
                <w:lang w:bidi="ar"/>
              </w:rPr>
              <w:t>2000</w:t>
            </w:r>
          </w:p>
        </w:tc>
      </w:tr>
      <w:tr w14:paraId="22DED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275" w:hRule="atLeast"/>
        </w:trPr>
        <w:tc>
          <w:tcPr>
            <w:tcW w:w="231" w:type="pct"/>
            <w:vMerge w:val="continue"/>
            <w:noWrap w:val="0"/>
            <w:vAlign w:val="center"/>
          </w:tcPr>
          <w:p w14:paraId="0B5A8F76">
            <w:pPr>
              <w:jc w:val="center"/>
              <w:rPr>
                <w:szCs w:val="21"/>
              </w:rPr>
            </w:pPr>
          </w:p>
        </w:tc>
        <w:tc>
          <w:tcPr>
            <w:tcW w:w="386" w:type="pct"/>
            <w:gridSpan w:val="2"/>
            <w:noWrap w:val="0"/>
            <w:vAlign w:val="center"/>
          </w:tcPr>
          <w:p w14:paraId="2F6AEB65">
            <w:pPr>
              <w:widowControl/>
              <w:jc w:val="center"/>
              <w:textAlignment w:val="center"/>
              <w:rPr>
                <w:szCs w:val="21"/>
              </w:rPr>
            </w:pPr>
            <w:r>
              <w:rPr>
                <w:kern w:val="0"/>
                <w:szCs w:val="21"/>
                <w:lang w:bidi="ar"/>
              </w:rPr>
              <w:t>最大标准指数</w:t>
            </w:r>
          </w:p>
        </w:tc>
        <w:tc>
          <w:tcPr>
            <w:tcW w:w="394" w:type="pct"/>
            <w:noWrap w:val="0"/>
            <w:vAlign w:val="center"/>
          </w:tcPr>
          <w:p w14:paraId="5FCEEA69">
            <w:pPr>
              <w:widowControl/>
              <w:jc w:val="center"/>
              <w:textAlignment w:val="center"/>
              <w:rPr>
                <w:szCs w:val="21"/>
              </w:rPr>
            </w:pPr>
            <w:r>
              <w:rPr>
                <w:kern w:val="0"/>
                <w:szCs w:val="21"/>
                <w:lang w:bidi="ar"/>
              </w:rPr>
              <w:t>0.155</w:t>
            </w:r>
          </w:p>
        </w:tc>
        <w:tc>
          <w:tcPr>
            <w:tcW w:w="335" w:type="pct"/>
            <w:noWrap w:val="0"/>
            <w:vAlign w:val="center"/>
          </w:tcPr>
          <w:p w14:paraId="26976026">
            <w:pPr>
              <w:widowControl/>
              <w:jc w:val="center"/>
              <w:textAlignment w:val="center"/>
              <w:rPr>
                <w:szCs w:val="21"/>
              </w:rPr>
            </w:pPr>
            <w:r>
              <w:rPr>
                <w:kern w:val="0"/>
                <w:szCs w:val="21"/>
                <w:lang w:bidi="ar"/>
              </w:rPr>
              <w:t>0.76</w:t>
            </w:r>
          </w:p>
        </w:tc>
        <w:tc>
          <w:tcPr>
            <w:tcW w:w="390" w:type="pct"/>
            <w:noWrap w:val="0"/>
            <w:vAlign w:val="center"/>
          </w:tcPr>
          <w:p w14:paraId="761F7FF0">
            <w:pPr>
              <w:widowControl/>
              <w:jc w:val="center"/>
              <w:textAlignment w:val="center"/>
              <w:rPr>
                <w:szCs w:val="21"/>
              </w:rPr>
            </w:pPr>
            <w:r>
              <w:rPr>
                <w:kern w:val="0"/>
                <w:szCs w:val="21"/>
                <w:lang w:bidi="ar"/>
              </w:rPr>
              <w:t>0</w:t>
            </w:r>
          </w:p>
        </w:tc>
        <w:tc>
          <w:tcPr>
            <w:tcW w:w="455" w:type="pct"/>
            <w:noWrap w:val="0"/>
            <w:vAlign w:val="center"/>
          </w:tcPr>
          <w:p w14:paraId="3E405FF4">
            <w:pPr>
              <w:widowControl/>
              <w:jc w:val="center"/>
              <w:textAlignment w:val="center"/>
              <w:rPr>
                <w:szCs w:val="21"/>
              </w:rPr>
            </w:pPr>
            <w:r>
              <w:rPr>
                <w:kern w:val="0"/>
                <w:szCs w:val="21"/>
                <w:lang w:bidi="ar"/>
              </w:rPr>
              <w:t>0</w:t>
            </w:r>
          </w:p>
        </w:tc>
        <w:tc>
          <w:tcPr>
            <w:tcW w:w="423" w:type="pct"/>
            <w:noWrap w:val="0"/>
            <w:vAlign w:val="center"/>
          </w:tcPr>
          <w:p w14:paraId="21CC1B53">
            <w:pPr>
              <w:widowControl/>
              <w:jc w:val="center"/>
              <w:textAlignment w:val="center"/>
              <w:rPr>
                <w:szCs w:val="21"/>
              </w:rPr>
            </w:pPr>
            <w:r>
              <w:rPr>
                <w:kern w:val="0"/>
                <w:szCs w:val="21"/>
                <w:lang w:bidi="ar"/>
              </w:rPr>
              <w:t>0</w:t>
            </w:r>
          </w:p>
        </w:tc>
        <w:tc>
          <w:tcPr>
            <w:tcW w:w="460" w:type="pct"/>
            <w:noWrap w:val="0"/>
            <w:vAlign w:val="center"/>
          </w:tcPr>
          <w:p w14:paraId="1629EC4A">
            <w:pPr>
              <w:widowControl/>
              <w:jc w:val="center"/>
              <w:textAlignment w:val="center"/>
              <w:rPr>
                <w:szCs w:val="21"/>
              </w:rPr>
            </w:pPr>
            <w:r>
              <w:rPr>
                <w:kern w:val="0"/>
                <w:szCs w:val="21"/>
                <w:lang w:bidi="ar"/>
              </w:rPr>
              <w:t>0.134</w:t>
            </w:r>
          </w:p>
        </w:tc>
        <w:tc>
          <w:tcPr>
            <w:tcW w:w="223" w:type="pct"/>
            <w:noWrap w:val="0"/>
            <w:vAlign w:val="center"/>
          </w:tcPr>
          <w:p w14:paraId="001F43E3">
            <w:pPr>
              <w:widowControl/>
              <w:jc w:val="center"/>
              <w:textAlignment w:val="center"/>
              <w:rPr>
                <w:szCs w:val="21"/>
              </w:rPr>
            </w:pPr>
            <w:r>
              <w:rPr>
                <w:kern w:val="0"/>
                <w:szCs w:val="21"/>
                <w:lang w:bidi="ar"/>
              </w:rPr>
              <w:t>1.68</w:t>
            </w:r>
          </w:p>
        </w:tc>
        <w:tc>
          <w:tcPr>
            <w:tcW w:w="219" w:type="pct"/>
            <w:noWrap w:val="0"/>
            <w:vAlign w:val="center"/>
          </w:tcPr>
          <w:p w14:paraId="463AD932">
            <w:pPr>
              <w:widowControl/>
              <w:jc w:val="center"/>
              <w:textAlignment w:val="center"/>
              <w:rPr>
                <w:szCs w:val="21"/>
              </w:rPr>
            </w:pPr>
            <w:r>
              <w:rPr>
                <w:kern w:val="0"/>
                <w:szCs w:val="21"/>
                <w:lang w:bidi="ar"/>
              </w:rPr>
              <w:t>0.3</w:t>
            </w:r>
          </w:p>
        </w:tc>
        <w:tc>
          <w:tcPr>
            <w:tcW w:w="267" w:type="pct"/>
            <w:noWrap w:val="0"/>
            <w:vAlign w:val="center"/>
          </w:tcPr>
          <w:p w14:paraId="7590A62F">
            <w:pPr>
              <w:widowControl/>
              <w:jc w:val="center"/>
              <w:textAlignment w:val="center"/>
              <w:rPr>
                <w:szCs w:val="21"/>
              </w:rPr>
            </w:pPr>
            <w:r>
              <w:rPr>
                <w:kern w:val="0"/>
                <w:szCs w:val="21"/>
                <w:lang w:bidi="ar"/>
              </w:rPr>
              <w:t>0</w:t>
            </w:r>
          </w:p>
        </w:tc>
        <w:tc>
          <w:tcPr>
            <w:tcW w:w="324" w:type="pct"/>
            <w:noWrap w:val="0"/>
            <w:vAlign w:val="center"/>
          </w:tcPr>
          <w:p w14:paraId="3B23AF59">
            <w:pPr>
              <w:widowControl/>
              <w:jc w:val="center"/>
              <w:textAlignment w:val="center"/>
              <w:rPr>
                <w:szCs w:val="21"/>
              </w:rPr>
            </w:pPr>
            <w:r>
              <w:rPr>
                <w:kern w:val="0"/>
                <w:szCs w:val="21"/>
                <w:lang w:bidi="ar"/>
              </w:rPr>
              <w:t>0</w:t>
            </w:r>
          </w:p>
        </w:tc>
        <w:tc>
          <w:tcPr>
            <w:tcW w:w="372" w:type="pct"/>
            <w:noWrap w:val="0"/>
            <w:vAlign w:val="center"/>
          </w:tcPr>
          <w:p w14:paraId="1551D625">
            <w:pPr>
              <w:widowControl/>
              <w:jc w:val="center"/>
              <w:textAlignment w:val="center"/>
              <w:rPr>
                <w:szCs w:val="21"/>
              </w:rPr>
            </w:pPr>
            <w:r>
              <w:rPr>
                <w:kern w:val="0"/>
                <w:szCs w:val="21"/>
                <w:lang w:bidi="ar"/>
              </w:rPr>
              <w:t>0</w:t>
            </w:r>
          </w:p>
        </w:tc>
        <w:tc>
          <w:tcPr>
            <w:tcW w:w="503" w:type="pct"/>
            <w:noWrap w:val="0"/>
            <w:vAlign w:val="center"/>
          </w:tcPr>
          <w:p w14:paraId="5F5989D3">
            <w:pPr>
              <w:widowControl/>
              <w:jc w:val="center"/>
              <w:textAlignment w:val="center"/>
              <w:rPr>
                <w:szCs w:val="21"/>
              </w:rPr>
            </w:pPr>
            <w:r>
              <w:rPr>
                <w:kern w:val="0"/>
                <w:szCs w:val="21"/>
                <w:lang w:bidi="ar"/>
              </w:rPr>
              <w:t>0.07</w:t>
            </w:r>
          </w:p>
        </w:tc>
      </w:tr>
      <w:tr w14:paraId="076CB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238" w:hRule="atLeast"/>
        </w:trPr>
        <w:tc>
          <w:tcPr>
            <w:tcW w:w="231" w:type="pct"/>
            <w:vMerge w:val="continue"/>
            <w:noWrap w:val="0"/>
            <w:vAlign w:val="center"/>
          </w:tcPr>
          <w:p w14:paraId="27F9CA69">
            <w:pPr>
              <w:jc w:val="center"/>
              <w:rPr>
                <w:szCs w:val="21"/>
              </w:rPr>
            </w:pPr>
          </w:p>
        </w:tc>
        <w:tc>
          <w:tcPr>
            <w:tcW w:w="386" w:type="pct"/>
            <w:gridSpan w:val="2"/>
            <w:noWrap w:val="0"/>
            <w:vAlign w:val="center"/>
          </w:tcPr>
          <w:p w14:paraId="04A5F40C">
            <w:pPr>
              <w:widowControl/>
              <w:jc w:val="center"/>
              <w:textAlignment w:val="center"/>
              <w:rPr>
                <w:szCs w:val="21"/>
              </w:rPr>
            </w:pPr>
            <w:r>
              <w:rPr>
                <w:kern w:val="0"/>
                <w:szCs w:val="21"/>
                <w:lang w:bidi="ar"/>
              </w:rPr>
              <w:t>达标情况</w:t>
            </w:r>
          </w:p>
        </w:tc>
        <w:tc>
          <w:tcPr>
            <w:tcW w:w="394" w:type="pct"/>
            <w:noWrap w:val="0"/>
            <w:vAlign w:val="center"/>
          </w:tcPr>
          <w:p w14:paraId="58B0C457">
            <w:pPr>
              <w:widowControl/>
              <w:jc w:val="center"/>
              <w:textAlignment w:val="center"/>
              <w:rPr>
                <w:szCs w:val="21"/>
              </w:rPr>
            </w:pPr>
            <w:r>
              <w:rPr>
                <w:kern w:val="0"/>
                <w:szCs w:val="21"/>
                <w:lang w:bidi="ar"/>
              </w:rPr>
              <w:t>达标</w:t>
            </w:r>
          </w:p>
        </w:tc>
        <w:tc>
          <w:tcPr>
            <w:tcW w:w="335" w:type="pct"/>
            <w:noWrap w:val="0"/>
            <w:vAlign w:val="center"/>
          </w:tcPr>
          <w:p w14:paraId="435656D8">
            <w:pPr>
              <w:widowControl/>
              <w:jc w:val="center"/>
              <w:textAlignment w:val="center"/>
              <w:rPr>
                <w:szCs w:val="21"/>
              </w:rPr>
            </w:pPr>
            <w:r>
              <w:rPr>
                <w:kern w:val="0"/>
                <w:szCs w:val="21"/>
                <w:lang w:bidi="ar"/>
              </w:rPr>
              <w:t>达标</w:t>
            </w:r>
          </w:p>
        </w:tc>
        <w:tc>
          <w:tcPr>
            <w:tcW w:w="390" w:type="pct"/>
            <w:noWrap w:val="0"/>
            <w:vAlign w:val="center"/>
          </w:tcPr>
          <w:p w14:paraId="49CE5793">
            <w:pPr>
              <w:widowControl/>
              <w:jc w:val="center"/>
              <w:textAlignment w:val="center"/>
              <w:rPr>
                <w:szCs w:val="21"/>
              </w:rPr>
            </w:pPr>
            <w:r>
              <w:rPr>
                <w:kern w:val="0"/>
                <w:szCs w:val="21"/>
                <w:lang w:bidi="ar"/>
              </w:rPr>
              <w:t>达标</w:t>
            </w:r>
          </w:p>
        </w:tc>
        <w:tc>
          <w:tcPr>
            <w:tcW w:w="455" w:type="pct"/>
            <w:noWrap w:val="0"/>
            <w:vAlign w:val="center"/>
          </w:tcPr>
          <w:p w14:paraId="6113BFC5">
            <w:pPr>
              <w:widowControl/>
              <w:jc w:val="center"/>
              <w:textAlignment w:val="center"/>
              <w:rPr>
                <w:szCs w:val="21"/>
              </w:rPr>
            </w:pPr>
            <w:r>
              <w:rPr>
                <w:kern w:val="0"/>
                <w:szCs w:val="21"/>
                <w:lang w:bidi="ar"/>
              </w:rPr>
              <w:t>达标</w:t>
            </w:r>
          </w:p>
        </w:tc>
        <w:tc>
          <w:tcPr>
            <w:tcW w:w="423" w:type="pct"/>
            <w:noWrap w:val="0"/>
            <w:vAlign w:val="center"/>
          </w:tcPr>
          <w:p w14:paraId="572FFBC1">
            <w:pPr>
              <w:widowControl/>
              <w:jc w:val="center"/>
              <w:textAlignment w:val="center"/>
              <w:rPr>
                <w:szCs w:val="21"/>
              </w:rPr>
            </w:pPr>
            <w:r>
              <w:rPr>
                <w:kern w:val="0"/>
                <w:szCs w:val="21"/>
                <w:lang w:bidi="ar"/>
              </w:rPr>
              <w:t>达标</w:t>
            </w:r>
          </w:p>
        </w:tc>
        <w:tc>
          <w:tcPr>
            <w:tcW w:w="460" w:type="pct"/>
            <w:noWrap w:val="0"/>
            <w:vAlign w:val="center"/>
          </w:tcPr>
          <w:p w14:paraId="5973C501">
            <w:pPr>
              <w:widowControl/>
              <w:jc w:val="center"/>
              <w:textAlignment w:val="center"/>
              <w:rPr>
                <w:szCs w:val="21"/>
              </w:rPr>
            </w:pPr>
            <w:r>
              <w:rPr>
                <w:kern w:val="0"/>
                <w:szCs w:val="21"/>
                <w:lang w:bidi="ar"/>
              </w:rPr>
              <w:t>达标</w:t>
            </w:r>
          </w:p>
        </w:tc>
        <w:tc>
          <w:tcPr>
            <w:tcW w:w="223" w:type="pct"/>
            <w:noWrap w:val="0"/>
            <w:vAlign w:val="center"/>
          </w:tcPr>
          <w:p w14:paraId="4BC9860C">
            <w:pPr>
              <w:widowControl/>
              <w:jc w:val="center"/>
              <w:textAlignment w:val="center"/>
              <w:rPr>
                <w:szCs w:val="21"/>
              </w:rPr>
            </w:pPr>
            <w:r>
              <w:rPr>
                <w:kern w:val="0"/>
                <w:szCs w:val="21"/>
                <w:lang w:bidi="ar"/>
              </w:rPr>
              <w:t>/</w:t>
            </w:r>
          </w:p>
        </w:tc>
        <w:tc>
          <w:tcPr>
            <w:tcW w:w="219" w:type="pct"/>
            <w:noWrap w:val="0"/>
            <w:vAlign w:val="center"/>
          </w:tcPr>
          <w:p w14:paraId="28D2B522">
            <w:pPr>
              <w:widowControl/>
              <w:jc w:val="center"/>
              <w:textAlignment w:val="center"/>
              <w:rPr>
                <w:szCs w:val="21"/>
              </w:rPr>
            </w:pPr>
            <w:r>
              <w:rPr>
                <w:kern w:val="0"/>
                <w:szCs w:val="21"/>
                <w:lang w:bidi="ar"/>
              </w:rPr>
              <w:t>达标</w:t>
            </w:r>
          </w:p>
        </w:tc>
        <w:tc>
          <w:tcPr>
            <w:tcW w:w="267" w:type="pct"/>
            <w:noWrap w:val="0"/>
            <w:vAlign w:val="center"/>
          </w:tcPr>
          <w:p w14:paraId="16DD4E7C">
            <w:pPr>
              <w:widowControl/>
              <w:jc w:val="center"/>
              <w:textAlignment w:val="center"/>
              <w:rPr>
                <w:szCs w:val="21"/>
              </w:rPr>
            </w:pPr>
            <w:r>
              <w:rPr>
                <w:kern w:val="0"/>
                <w:szCs w:val="21"/>
                <w:lang w:bidi="ar"/>
              </w:rPr>
              <w:t>达标</w:t>
            </w:r>
          </w:p>
        </w:tc>
        <w:tc>
          <w:tcPr>
            <w:tcW w:w="324" w:type="pct"/>
            <w:noWrap w:val="0"/>
            <w:vAlign w:val="center"/>
          </w:tcPr>
          <w:p w14:paraId="74112D7E">
            <w:pPr>
              <w:widowControl/>
              <w:jc w:val="center"/>
              <w:textAlignment w:val="center"/>
              <w:rPr>
                <w:szCs w:val="21"/>
              </w:rPr>
            </w:pPr>
            <w:r>
              <w:rPr>
                <w:kern w:val="0"/>
                <w:szCs w:val="21"/>
                <w:lang w:bidi="ar"/>
              </w:rPr>
              <w:t>达标</w:t>
            </w:r>
          </w:p>
        </w:tc>
        <w:tc>
          <w:tcPr>
            <w:tcW w:w="372" w:type="pct"/>
            <w:noWrap w:val="0"/>
            <w:vAlign w:val="center"/>
          </w:tcPr>
          <w:p w14:paraId="49779EDA">
            <w:pPr>
              <w:widowControl/>
              <w:jc w:val="center"/>
              <w:textAlignment w:val="center"/>
              <w:rPr>
                <w:szCs w:val="21"/>
              </w:rPr>
            </w:pPr>
            <w:r>
              <w:rPr>
                <w:kern w:val="0"/>
                <w:szCs w:val="21"/>
                <w:lang w:bidi="ar"/>
              </w:rPr>
              <w:t>达标</w:t>
            </w:r>
          </w:p>
        </w:tc>
        <w:tc>
          <w:tcPr>
            <w:tcW w:w="503" w:type="pct"/>
            <w:noWrap w:val="0"/>
            <w:vAlign w:val="center"/>
          </w:tcPr>
          <w:p w14:paraId="6FC5B759">
            <w:pPr>
              <w:widowControl/>
              <w:jc w:val="center"/>
              <w:textAlignment w:val="center"/>
              <w:rPr>
                <w:szCs w:val="21"/>
              </w:rPr>
            </w:pPr>
            <w:r>
              <w:rPr>
                <w:kern w:val="0"/>
                <w:szCs w:val="21"/>
                <w:lang w:bidi="ar"/>
              </w:rPr>
              <w:t>达标</w:t>
            </w:r>
          </w:p>
        </w:tc>
      </w:tr>
      <w:tr w14:paraId="77A98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35" w:type="pct"/>
            <w:gridSpan w:val="2"/>
            <w:noWrap w:val="0"/>
            <w:vAlign w:val="center"/>
          </w:tcPr>
          <w:p w14:paraId="705AA0C0">
            <w:pPr>
              <w:jc w:val="center"/>
              <w:rPr>
                <w:szCs w:val="21"/>
              </w:rPr>
            </w:pPr>
            <w:r>
              <w:rPr>
                <w:szCs w:val="21"/>
              </w:rPr>
              <w:t>监测断面</w:t>
            </w:r>
          </w:p>
        </w:tc>
        <w:tc>
          <w:tcPr>
            <w:tcW w:w="383" w:type="pct"/>
            <w:noWrap/>
            <w:vAlign w:val="center"/>
          </w:tcPr>
          <w:p w14:paraId="2BF45420">
            <w:pPr>
              <w:snapToGrid w:val="0"/>
              <w:jc w:val="center"/>
              <w:rPr>
                <w:szCs w:val="21"/>
              </w:rPr>
            </w:pPr>
            <w:r>
              <w:rPr>
                <w:szCs w:val="21"/>
              </w:rPr>
              <w:t>采样日期</w:t>
            </w:r>
          </w:p>
          <w:p w14:paraId="09508B7E">
            <w:pPr>
              <w:jc w:val="center"/>
              <w:rPr>
                <w:szCs w:val="21"/>
              </w:rPr>
            </w:pPr>
            <w:r>
              <w:rPr>
                <w:szCs w:val="21"/>
              </w:rPr>
              <w:t>项目</w:t>
            </w:r>
          </w:p>
        </w:tc>
        <w:tc>
          <w:tcPr>
            <w:tcW w:w="394" w:type="pct"/>
            <w:noWrap w:val="0"/>
            <w:vAlign w:val="center"/>
          </w:tcPr>
          <w:p w14:paraId="2AC98AEE">
            <w:pPr>
              <w:widowControl/>
              <w:jc w:val="center"/>
              <w:textAlignment w:val="center"/>
              <w:rPr>
                <w:szCs w:val="21"/>
              </w:rPr>
            </w:pPr>
            <w:r>
              <w:rPr>
                <w:kern w:val="0"/>
                <w:szCs w:val="21"/>
                <w:lang w:bidi="ar"/>
              </w:rPr>
              <w:t>pH值（无量纲）</w:t>
            </w:r>
          </w:p>
        </w:tc>
        <w:tc>
          <w:tcPr>
            <w:tcW w:w="335" w:type="pct"/>
            <w:noWrap/>
            <w:vAlign w:val="center"/>
          </w:tcPr>
          <w:p w14:paraId="296606D2">
            <w:pPr>
              <w:widowControl/>
              <w:jc w:val="center"/>
              <w:textAlignment w:val="center"/>
              <w:rPr>
                <w:szCs w:val="21"/>
              </w:rPr>
            </w:pPr>
            <w:r>
              <w:rPr>
                <w:kern w:val="0"/>
                <w:szCs w:val="21"/>
                <w:lang w:bidi="ar"/>
              </w:rPr>
              <w:t>溶解氧</w:t>
            </w:r>
          </w:p>
        </w:tc>
        <w:tc>
          <w:tcPr>
            <w:tcW w:w="390" w:type="pct"/>
            <w:noWrap/>
            <w:vAlign w:val="center"/>
          </w:tcPr>
          <w:p w14:paraId="702F970C">
            <w:pPr>
              <w:widowControl/>
              <w:jc w:val="center"/>
              <w:textAlignment w:val="center"/>
              <w:rPr>
                <w:szCs w:val="21"/>
              </w:rPr>
            </w:pPr>
            <w:r>
              <w:rPr>
                <w:kern w:val="0"/>
                <w:szCs w:val="21"/>
                <w:lang w:bidi="ar"/>
              </w:rPr>
              <w:t>化学需氧量</w:t>
            </w:r>
          </w:p>
        </w:tc>
        <w:tc>
          <w:tcPr>
            <w:tcW w:w="455" w:type="pct"/>
            <w:noWrap/>
            <w:vAlign w:val="center"/>
          </w:tcPr>
          <w:p w14:paraId="04D9A211">
            <w:pPr>
              <w:widowControl/>
              <w:jc w:val="center"/>
              <w:textAlignment w:val="center"/>
              <w:rPr>
                <w:szCs w:val="21"/>
              </w:rPr>
            </w:pPr>
            <w:r>
              <w:rPr>
                <w:kern w:val="0"/>
                <w:szCs w:val="21"/>
                <w:lang w:bidi="ar"/>
              </w:rPr>
              <w:t>高锰酸盐指数</w:t>
            </w:r>
          </w:p>
        </w:tc>
        <w:tc>
          <w:tcPr>
            <w:tcW w:w="423" w:type="pct"/>
            <w:noWrap/>
            <w:vAlign w:val="center"/>
          </w:tcPr>
          <w:p w14:paraId="5FA60A9A">
            <w:pPr>
              <w:widowControl/>
              <w:jc w:val="center"/>
              <w:textAlignment w:val="center"/>
              <w:rPr>
                <w:szCs w:val="21"/>
              </w:rPr>
            </w:pPr>
            <w:r>
              <w:rPr>
                <w:kern w:val="0"/>
                <w:szCs w:val="21"/>
                <w:lang w:bidi="ar"/>
              </w:rPr>
              <w:t>五日生化需氧量</w:t>
            </w:r>
          </w:p>
        </w:tc>
        <w:tc>
          <w:tcPr>
            <w:tcW w:w="460" w:type="pct"/>
            <w:noWrap/>
            <w:vAlign w:val="center"/>
          </w:tcPr>
          <w:p w14:paraId="0EC574CE">
            <w:pPr>
              <w:widowControl/>
              <w:jc w:val="center"/>
              <w:textAlignment w:val="center"/>
              <w:rPr>
                <w:szCs w:val="21"/>
              </w:rPr>
            </w:pPr>
            <w:r>
              <w:rPr>
                <w:kern w:val="0"/>
                <w:szCs w:val="21"/>
                <w:lang w:bidi="ar"/>
              </w:rPr>
              <w:t>氨氮</w:t>
            </w:r>
          </w:p>
        </w:tc>
        <w:tc>
          <w:tcPr>
            <w:tcW w:w="223" w:type="pct"/>
            <w:noWrap/>
            <w:vAlign w:val="center"/>
          </w:tcPr>
          <w:p w14:paraId="3D3EFCF8">
            <w:pPr>
              <w:widowControl/>
              <w:jc w:val="center"/>
              <w:textAlignment w:val="center"/>
              <w:rPr>
                <w:szCs w:val="21"/>
              </w:rPr>
            </w:pPr>
            <w:r>
              <w:rPr>
                <w:kern w:val="0"/>
                <w:szCs w:val="21"/>
                <w:lang w:bidi="ar"/>
              </w:rPr>
              <w:t>总氮</w:t>
            </w:r>
          </w:p>
        </w:tc>
        <w:tc>
          <w:tcPr>
            <w:tcW w:w="219" w:type="pct"/>
            <w:noWrap/>
            <w:vAlign w:val="center"/>
          </w:tcPr>
          <w:p w14:paraId="45E6D0A2">
            <w:pPr>
              <w:widowControl/>
              <w:jc w:val="center"/>
              <w:textAlignment w:val="center"/>
              <w:rPr>
                <w:szCs w:val="21"/>
              </w:rPr>
            </w:pPr>
            <w:r>
              <w:rPr>
                <w:kern w:val="0"/>
                <w:szCs w:val="21"/>
                <w:lang w:bidi="ar"/>
              </w:rPr>
              <w:t>总磷</w:t>
            </w:r>
          </w:p>
        </w:tc>
        <w:tc>
          <w:tcPr>
            <w:tcW w:w="267" w:type="pct"/>
            <w:noWrap/>
            <w:vAlign w:val="center"/>
          </w:tcPr>
          <w:p w14:paraId="6507BF6A">
            <w:pPr>
              <w:widowControl/>
              <w:jc w:val="center"/>
              <w:textAlignment w:val="center"/>
              <w:rPr>
                <w:szCs w:val="21"/>
              </w:rPr>
            </w:pPr>
            <w:r>
              <w:rPr>
                <w:kern w:val="0"/>
                <w:szCs w:val="21"/>
                <w:lang w:bidi="ar"/>
              </w:rPr>
              <w:t>石油类</w:t>
            </w:r>
          </w:p>
        </w:tc>
        <w:tc>
          <w:tcPr>
            <w:tcW w:w="324" w:type="pct"/>
            <w:noWrap/>
            <w:vAlign w:val="center"/>
          </w:tcPr>
          <w:p w14:paraId="3C66BF22">
            <w:pPr>
              <w:widowControl/>
              <w:jc w:val="center"/>
              <w:textAlignment w:val="center"/>
              <w:rPr>
                <w:szCs w:val="21"/>
              </w:rPr>
            </w:pPr>
            <w:r>
              <w:rPr>
                <w:kern w:val="0"/>
                <w:szCs w:val="21"/>
                <w:lang w:bidi="ar"/>
              </w:rPr>
              <w:t>氟化物</w:t>
            </w:r>
          </w:p>
        </w:tc>
        <w:tc>
          <w:tcPr>
            <w:tcW w:w="372" w:type="pct"/>
            <w:noWrap/>
            <w:vAlign w:val="center"/>
          </w:tcPr>
          <w:p w14:paraId="7CE1452D">
            <w:pPr>
              <w:widowControl/>
              <w:jc w:val="center"/>
              <w:textAlignment w:val="center"/>
              <w:rPr>
                <w:szCs w:val="21"/>
              </w:rPr>
            </w:pPr>
            <w:r>
              <w:rPr>
                <w:kern w:val="0"/>
                <w:szCs w:val="21"/>
                <w:lang w:bidi="ar"/>
              </w:rPr>
              <w:t>硫化物</w:t>
            </w:r>
          </w:p>
        </w:tc>
        <w:tc>
          <w:tcPr>
            <w:tcW w:w="513" w:type="pct"/>
            <w:gridSpan w:val="2"/>
            <w:noWrap/>
            <w:vAlign w:val="center"/>
          </w:tcPr>
          <w:p w14:paraId="77059ECF">
            <w:pPr>
              <w:widowControl/>
              <w:jc w:val="center"/>
              <w:textAlignment w:val="center"/>
              <w:rPr>
                <w:szCs w:val="21"/>
              </w:rPr>
            </w:pPr>
            <w:r>
              <w:rPr>
                <w:kern w:val="0"/>
                <w:szCs w:val="21"/>
                <w:lang w:bidi="ar"/>
              </w:rPr>
              <w:t>粪大肠菌群（MPN/L)</w:t>
            </w:r>
          </w:p>
        </w:tc>
      </w:tr>
      <w:tr w14:paraId="293F2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 w:hRule="atLeast"/>
        </w:trPr>
        <w:tc>
          <w:tcPr>
            <w:tcW w:w="235" w:type="pct"/>
            <w:gridSpan w:val="2"/>
            <w:vMerge w:val="restart"/>
            <w:noWrap w:val="0"/>
            <w:vAlign w:val="center"/>
          </w:tcPr>
          <w:p w14:paraId="7120EA51">
            <w:pPr>
              <w:widowControl/>
              <w:jc w:val="center"/>
              <w:textAlignment w:val="center"/>
              <w:rPr>
                <w:szCs w:val="21"/>
              </w:rPr>
            </w:pPr>
            <w:r>
              <w:rPr>
                <w:kern w:val="0"/>
                <w:szCs w:val="21"/>
                <w:lang w:bidi="ar"/>
              </w:rPr>
              <w:t>W2普拉河项目养殖地块一下游1500m</w:t>
            </w:r>
          </w:p>
        </w:tc>
        <w:tc>
          <w:tcPr>
            <w:tcW w:w="383" w:type="pct"/>
            <w:noWrap w:val="0"/>
            <w:vAlign w:val="center"/>
          </w:tcPr>
          <w:p w14:paraId="2EDC7022">
            <w:pPr>
              <w:widowControl/>
              <w:jc w:val="center"/>
              <w:textAlignment w:val="center"/>
              <w:rPr>
                <w:szCs w:val="21"/>
              </w:rPr>
            </w:pPr>
            <w:r>
              <w:rPr>
                <w:kern w:val="0"/>
                <w:szCs w:val="21"/>
                <w:lang w:bidi="ar"/>
              </w:rPr>
              <w:t>2021/3/28</w:t>
            </w:r>
          </w:p>
        </w:tc>
        <w:tc>
          <w:tcPr>
            <w:tcW w:w="394" w:type="pct"/>
            <w:noWrap w:val="0"/>
            <w:vAlign w:val="center"/>
          </w:tcPr>
          <w:p w14:paraId="7A6B8AA8">
            <w:pPr>
              <w:widowControl/>
              <w:jc w:val="center"/>
              <w:textAlignment w:val="center"/>
              <w:rPr>
                <w:szCs w:val="21"/>
              </w:rPr>
            </w:pPr>
            <w:r>
              <w:rPr>
                <w:kern w:val="0"/>
                <w:szCs w:val="21"/>
                <w:lang w:bidi="ar"/>
              </w:rPr>
              <w:t>7.3</w:t>
            </w:r>
          </w:p>
        </w:tc>
        <w:tc>
          <w:tcPr>
            <w:tcW w:w="335" w:type="pct"/>
            <w:noWrap w:val="0"/>
            <w:vAlign w:val="center"/>
          </w:tcPr>
          <w:p w14:paraId="626AAD34">
            <w:pPr>
              <w:widowControl/>
              <w:jc w:val="center"/>
              <w:textAlignment w:val="center"/>
              <w:rPr>
                <w:szCs w:val="21"/>
              </w:rPr>
            </w:pPr>
            <w:r>
              <w:rPr>
                <w:kern w:val="0"/>
                <w:szCs w:val="21"/>
                <w:lang w:bidi="ar"/>
              </w:rPr>
              <w:t>7.2</w:t>
            </w:r>
          </w:p>
        </w:tc>
        <w:tc>
          <w:tcPr>
            <w:tcW w:w="390" w:type="pct"/>
            <w:noWrap w:val="0"/>
            <w:vAlign w:val="center"/>
          </w:tcPr>
          <w:p w14:paraId="7D1DB037">
            <w:pPr>
              <w:widowControl/>
              <w:jc w:val="center"/>
              <w:textAlignment w:val="center"/>
              <w:rPr>
                <w:szCs w:val="21"/>
              </w:rPr>
            </w:pPr>
            <w:r>
              <w:rPr>
                <w:kern w:val="0"/>
                <w:szCs w:val="21"/>
                <w:lang w:bidi="ar"/>
              </w:rPr>
              <w:t>4L</w:t>
            </w:r>
          </w:p>
        </w:tc>
        <w:tc>
          <w:tcPr>
            <w:tcW w:w="455" w:type="pct"/>
            <w:noWrap w:val="0"/>
            <w:vAlign w:val="center"/>
          </w:tcPr>
          <w:p w14:paraId="7779A11C">
            <w:pPr>
              <w:widowControl/>
              <w:jc w:val="center"/>
              <w:textAlignment w:val="center"/>
              <w:rPr>
                <w:szCs w:val="21"/>
              </w:rPr>
            </w:pPr>
            <w:r>
              <w:rPr>
                <w:kern w:val="0"/>
                <w:szCs w:val="21"/>
                <w:lang w:bidi="ar"/>
              </w:rPr>
              <w:t>0.5L</w:t>
            </w:r>
          </w:p>
        </w:tc>
        <w:tc>
          <w:tcPr>
            <w:tcW w:w="423" w:type="pct"/>
            <w:noWrap w:val="0"/>
            <w:vAlign w:val="center"/>
          </w:tcPr>
          <w:p w14:paraId="66C91675">
            <w:pPr>
              <w:widowControl/>
              <w:jc w:val="center"/>
              <w:textAlignment w:val="center"/>
              <w:rPr>
                <w:szCs w:val="21"/>
              </w:rPr>
            </w:pPr>
            <w:r>
              <w:rPr>
                <w:kern w:val="0"/>
                <w:szCs w:val="21"/>
                <w:lang w:bidi="ar"/>
              </w:rPr>
              <w:t>0.5L</w:t>
            </w:r>
          </w:p>
        </w:tc>
        <w:tc>
          <w:tcPr>
            <w:tcW w:w="460" w:type="pct"/>
            <w:noWrap w:val="0"/>
            <w:vAlign w:val="center"/>
          </w:tcPr>
          <w:p w14:paraId="2FDC5A7E">
            <w:pPr>
              <w:widowControl/>
              <w:jc w:val="center"/>
              <w:textAlignment w:val="center"/>
              <w:rPr>
                <w:szCs w:val="21"/>
              </w:rPr>
            </w:pPr>
            <w:r>
              <w:rPr>
                <w:kern w:val="0"/>
                <w:szCs w:val="21"/>
                <w:lang w:bidi="ar"/>
              </w:rPr>
              <w:t>0.071</w:t>
            </w:r>
          </w:p>
        </w:tc>
        <w:tc>
          <w:tcPr>
            <w:tcW w:w="223" w:type="pct"/>
            <w:noWrap w:val="0"/>
            <w:vAlign w:val="center"/>
          </w:tcPr>
          <w:p w14:paraId="5D5F82A3">
            <w:pPr>
              <w:widowControl/>
              <w:jc w:val="center"/>
              <w:textAlignment w:val="center"/>
              <w:rPr>
                <w:szCs w:val="21"/>
              </w:rPr>
            </w:pPr>
            <w:r>
              <w:rPr>
                <w:kern w:val="0"/>
                <w:szCs w:val="21"/>
                <w:lang w:bidi="ar"/>
              </w:rPr>
              <w:t>0.85</w:t>
            </w:r>
          </w:p>
        </w:tc>
        <w:tc>
          <w:tcPr>
            <w:tcW w:w="219" w:type="pct"/>
            <w:noWrap w:val="0"/>
            <w:vAlign w:val="center"/>
          </w:tcPr>
          <w:p w14:paraId="5488D785">
            <w:pPr>
              <w:widowControl/>
              <w:jc w:val="center"/>
              <w:textAlignment w:val="center"/>
              <w:rPr>
                <w:szCs w:val="21"/>
              </w:rPr>
            </w:pPr>
            <w:r>
              <w:rPr>
                <w:kern w:val="0"/>
                <w:szCs w:val="21"/>
                <w:lang w:bidi="ar"/>
              </w:rPr>
              <w:t>0.04</w:t>
            </w:r>
          </w:p>
        </w:tc>
        <w:tc>
          <w:tcPr>
            <w:tcW w:w="267" w:type="pct"/>
            <w:noWrap w:val="0"/>
            <w:vAlign w:val="center"/>
          </w:tcPr>
          <w:p w14:paraId="6E8F271E">
            <w:pPr>
              <w:widowControl/>
              <w:jc w:val="center"/>
              <w:textAlignment w:val="center"/>
              <w:rPr>
                <w:szCs w:val="21"/>
              </w:rPr>
            </w:pPr>
            <w:r>
              <w:rPr>
                <w:kern w:val="0"/>
                <w:szCs w:val="21"/>
                <w:lang w:bidi="ar"/>
              </w:rPr>
              <w:t>0.01</w:t>
            </w:r>
          </w:p>
        </w:tc>
        <w:tc>
          <w:tcPr>
            <w:tcW w:w="324" w:type="pct"/>
            <w:noWrap w:val="0"/>
            <w:vAlign w:val="center"/>
          </w:tcPr>
          <w:p w14:paraId="751D3FD4">
            <w:pPr>
              <w:widowControl/>
              <w:jc w:val="center"/>
              <w:textAlignment w:val="center"/>
              <w:rPr>
                <w:szCs w:val="21"/>
              </w:rPr>
            </w:pPr>
            <w:r>
              <w:rPr>
                <w:kern w:val="0"/>
                <w:szCs w:val="21"/>
                <w:lang w:bidi="ar"/>
              </w:rPr>
              <w:t>0.08</w:t>
            </w:r>
          </w:p>
        </w:tc>
        <w:tc>
          <w:tcPr>
            <w:tcW w:w="372" w:type="pct"/>
            <w:noWrap w:val="0"/>
            <w:vAlign w:val="center"/>
          </w:tcPr>
          <w:p w14:paraId="020A2B90">
            <w:pPr>
              <w:widowControl/>
              <w:jc w:val="center"/>
              <w:textAlignment w:val="center"/>
              <w:rPr>
                <w:szCs w:val="21"/>
              </w:rPr>
            </w:pPr>
            <w:r>
              <w:rPr>
                <w:kern w:val="0"/>
                <w:szCs w:val="21"/>
                <w:lang w:bidi="ar"/>
              </w:rPr>
              <w:t>0.005L</w:t>
            </w:r>
          </w:p>
        </w:tc>
        <w:tc>
          <w:tcPr>
            <w:tcW w:w="513" w:type="pct"/>
            <w:gridSpan w:val="2"/>
            <w:noWrap w:val="0"/>
            <w:vAlign w:val="center"/>
          </w:tcPr>
          <w:p w14:paraId="1B0D0709">
            <w:pPr>
              <w:widowControl/>
              <w:jc w:val="center"/>
              <w:textAlignment w:val="center"/>
              <w:rPr>
                <w:szCs w:val="21"/>
              </w:rPr>
            </w:pPr>
            <w:r>
              <w:rPr>
                <w:kern w:val="0"/>
                <w:szCs w:val="21"/>
                <w:lang w:bidi="ar"/>
              </w:rPr>
              <w:t>230</w:t>
            </w:r>
          </w:p>
        </w:tc>
      </w:tr>
      <w:tr w14:paraId="71D3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trPr>
        <w:tc>
          <w:tcPr>
            <w:tcW w:w="235" w:type="pct"/>
            <w:gridSpan w:val="2"/>
            <w:vMerge w:val="continue"/>
            <w:noWrap w:val="0"/>
            <w:vAlign w:val="center"/>
          </w:tcPr>
          <w:p w14:paraId="4C4EBAA6">
            <w:pPr>
              <w:jc w:val="center"/>
              <w:rPr>
                <w:szCs w:val="21"/>
              </w:rPr>
            </w:pPr>
          </w:p>
        </w:tc>
        <w:tc>
          <w:tcPr>
            <w:tcW w:w="383" w:type="pct"/>
            <w:noWrap w:val="0"/>
            <w:vAlign w:val="center"/>
          </w:tcPr>
          <w:p w14:paraId="4A94979E">
            <w:pPr>
              <w:widowControl/>
              <w:jc w:val="center"/>
              <w:textAlignment w:val="center"/>
              <w:rPr>
                <w:szCs w:val="21"/>
              </w:rPr>
            </w:pPr>
            <w:r>
              <w:rPr>
                <w:kern w:val="0"/>
                <w:szCs w:val="21"/>
                <w:lang w:bidi="ar"/>
              </w:rPr>
              <w:t>2021/3/29</w:t>
            </w:r>
          </w:p>
        </w:tc>
        <w:tc>
          <w:tcPr>
            <w:tcW w:w="394" w:type="pct"/>
            <w:noWrap w:val="0"/>
            <w:vAlign w:val="center"/>
          </w:tcPr>
          <w:p w14:paraId="3F2AE247">
            <w:pPr>
              <w:widowControl/>
              <w:jc w:val="center"/>
              <w:textAlignment w:val="center"/>
              <w:rPr>
                <w:szCs w:val="21"/>
              </w:rPr>
            </w:pPr>
            <w:r>
              <w:rPr>
                <w:kern w:val="0"/>
                <w:szCs w:val="21"/>
                <w:lang w:bidi="ar"/>
              </w:rPr>
              <w:t>7.31</w:t>
            </w:r>
          </w:p>
        </w:tc>
        <w:tc>
          <w:tcPr>
            <w:tcW w:w="335" w:type="pct"/>
            <w:noWrap w:val="0"/>
            <w:vAlign w:val="center"/>
          </w:tcPr>
          <w:p w14:paraId="21DBE820">
            <w:pPr>
              <w:widowControl/>
              <w:jc w:val="center"/>
              <w:textAlignment w:val="center"/>
              <w:rPr>
                <w:szCs w:val="21"/>
              </w:rPr>
            </w:pPr>
            <w:r>
              <w:rPr>
                <w:kern w:val="0"/>
                <w:szCs w:val="21"/>
                <w:lang w:bidi="ar"/>
              </w:rPr>
              <w:t>7.4</w:t>
            </w:r>
          </w:p>
        </w:tc>
        <w:tc>
          <w:tcPr>
            <w:tcW w:w="390" w:type="pct"/>
            <w:noWrap w:val="0"/>
            <w:vAlign w:val="center"/>
          </w:tcPr>
          <w:p w14:paraId="5D72312E">
            <w:pPr>
              <w:widowControl/>
              <w:jc w:val="center"/>
              <w:textAlignment w:val="center"/>
              <w:rPr>
                <w:szCs w:val="21"/>
              </w:rPr>
            </w:pPr>
            <w:r>
              <w:rPr>
                <w:kern w:val="0"/>
                <w:szCs w:val="21"/>
                <w:lang w:bidi="ar"/>
              </w:rPr>
              <w:t>4L</w:t>
            </w:r>
          </w:p>
        </w:tc>
        <w:tc>
          <w:tcPr>
            <w:tcW w:w="455" w:type="pct"/>
            <w:noWrap w:val="0"/>
            <w:vAlign w:val="center"/>
          </w:tcPr>
          <w:p w14:paraId="62781399">
            <w:pPr>
              <w:widowControl/>
              <w:jc w:val="center"/>
              <w:textAlignment w:val="center"/>
              <w:rPr>
                <w:szCs w:val="21"/>
              </w:rPr>
            </w:pPr>
            <w:r>
              <w:rPr>
                <w:kern w:val="0"/>
                <w:szCs w:val="21"/>
                <w:lang w:bidi="ar"/>
              </w:rPr>
              <w:t>0.5L</w:t>
            </w:r>
          </w:p>
        </w:tc>
        <w:tc>
          <w:tcPr>
            <w:tcW w:w="423" w:type="pct"/>
            <w:noWrap w:val="0"/>
            <w:vAlign w:val="center"/>
          </w:tcPr>
          <w:p w14:paraId="3DED5E4E">
            <w:pPr>
              <w:widowControl/>
              <w:jc w:val="center"/>
              <w:textAlignment w:val="center"/>
              <w:rPr>
                <w:szCs w:val="21"/>
              </w:rPr>
            </w:pPr>
            <w:r>
              <w:rPr>
                <w:kern w:val="0"/>
                <w:szCs w:val="21"/>
                <w:lang w:bidi="ar"/>
              </w:rPr>
              <w:t>0.5L</w:t>
            </w:r>
          </w:p>
        </w:tc>
        <w:tc>
          <w:tcPr>
            <w:tcW w:w="460" w:type="pct"/>
            <w:noWrap w:val="0"/>
            <w:vAlign w:val="center"/>
          </w:tcPr>
          <w:p w14:paraId="68DAAFC7">
            <w:pPr>
              <w:widowControl/>
              <w:jc w:val="center"/>
              <w:textAlignment w:val="center"/>
              <w:rPr>
                <w:szCs w:val="21"/>
              </w:rPr>
            </w:pPr>
            <w:r>
              <w:rPr>
                <w:kern w:val="0"/>
                <w:szCs w:val="21"/>
                <w:lang w:bidi="ar"/>
              </w:rPr>
              <w:t>0.068</w:t>
            </w:r>
          </w:p>
        </w:tc>
        <w:tc>
          <w:tcPr>
            <w:tcW w:w="223" w:type="pct"/>
            <w:noWrap w:val="0"/>
            <w:vAlign w:val="center"/>
          </w:tcPr>
          <w:p w14:paraId="57C25F58">
            <w:pPr>
              <w:widowControl/>
              <w:jc w:val="center"/>
              <w:textAlignment w:val="center"/>
              <w:rPr>
                <w:szCs w:val="21"/>
              </w:rPr>
            </w:pPr>
            <w:r>
              <w:rPr>
                <w:kern w:val="0"/>
                <w:szCs w:val="21"/>
                <w:lang w:bidi="ar"/>
              </w:rPr>
              <w:t>0.8</w:t>
            </w:r>
          </w:p>
        </w:tc>
        <w:tc>
          <w:tcPr>
            <w:tcW w:w="219" w:type="pct"/>
            <w:noWrap w:val="0"/>
            <w:vAlign w:val="center"/>
          </w:tcPr>
          <w:p w14:paraId="6E271B76">
            <w:pPr>
              <w:widowControl/>
              <w:jc w:val="center"/>
              <w:textAlignment w:val="center"/>
              <w:rPr>
                <w:szCs w:val="21"/>
              </w:rPr>
            </w:pPr>
            <w:r>
              <w:rPr>
                <w:kern w:val="0"/>
                <w:szCs w:val="21"/>
                <w:lang w:bidi="ar"/>
              </w:rPr>
              <w:t>0.05</w:t>
            </w:r>
          </w:p>
        </w:tc>
        <w:tc>
          <w:tcPr>
            <w:tcW w:w="267" w:type="pct"/>
            <w:noWrap w:val="0"/>
            <w:vAlign w:val="center"/>
          </w:tcPr>
          <w:p w14:paraId="6DF6F25D">
            <w:pPr>
              <w:widowControl/>
              <w:jc w:val="center"/>
              <w:textAlignment w:val="center"/>
              <w:rPr>
                <w:szCs w:val="21"/>
              </w:rPr>
            </w:pPr>
            <w:r>
              <w:rPr>
                <w:kern w:val="0"/>
                <w:szCs w:val="21"/>
                <w:lang w:bidi="ar"/>
              </w:rPr>
              <w:t>0.01</w:t>
            </w:r>
          </w:p>
        </w:tc>
        <w:tc>
          <w:tcPr>
            <w:tcW w:w="324" w:type="pct"/>
            <w:noWrap w:val="0"/>
            <w:vAlign w:val="center"/>
          </w:tcPr>
          <w:p w14:paraId="00BEFDC6">
            <w:pPr>
              <w:widowControl/>
              <w:jc w:val="center"/>
              <w:textAlignment w:val="center"/>
              <w:rPr>
                <w:szCs w:val="21"/>
              </w:rPr>
            </w:pPr>
            <w:r>
              <w:rPr>
                <w:kern w:val="0"/>
                <w:szCs w:val="21"/>
                <w:lang w:bidi="ar"/>
              </w:rPr>
              <w:t>0.09</w:t>
            </w:r>
          </w:p>
        </w:tc>
        <w:tc>
          <w:tcPr>
            <w:tcW w:w="372" w:type="pct"/>
            <w:noWrap w:val="0"/>
            <w:vAlign w:val="center"/>
          </w:tcPr>
          <w:p w14:paraId="7E2E82C3">
            <w:pPr>
              <w:widowControl/>
              <w:jc w:val="center"/>
              <w:textAlignment w:val="center"/>
              <w:rPr>
                <w:szCs w:val="21"/>
              </w:rPr>
            </w:pPr>
            <w:r>
              <w:rPr>
                <w:kern w:val="0"/>
                <w:szCs w:val="21"/>
                <w:lang w:bidi="ar"/>
              </w:rPr>
              <w:t>0.005L</w:t>
            </w:r>
          </w:p>
        </w:tc>
        <w:tc>
          <w:tcPr>
            <w:tcW w:w="513" w:type="pct"/>
            <w:gridSpan w:val="2"/>
            <w:noWrap w:val="0"/>
            <w:vAlign w:val="center"/>
          </w:tcPr>
          <w:p w14:paraId="422F726E">
            <w:pPr>
              <w:widowControl/>
              <w:jc w:val="center"/>
              <w:textAlignment w:val="center"/>
              <w:rPr>
                <w:szCs w:val="21"/>
              </w:rPr>
            </w:pPr>
            <w:r>
              <w:rPr>
                <w:kern w:val="0"/>
                <w:szCs w:val="21"/>
                <w:lang w:bidi="ar"/>
              </w:rPr>
              <w:t>200</w:t>
            </w:r>
          </w:p>
        </w:tc>
      </w:tr>
      <w:tr w14:paraId="38948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235" w:type="pct"/>
            <w:gridSpan w:val="2"/>
            <w:vMerge w:val="continue"/>
            <w:noWrap w:val="0"/>
            <w:vAlign w:val="center"/>
          </w:tcPr>
          <w:p w14:paraId="71EF01F4">
            <w:pPr>
              <w:jc w:val="center"/>
              <w:rPr>
                <w:szCs w:val="21"/>
              </w:rPr>
            </w:pPr>
          </w:p>
        </w:tc>
        <w:tc>
          <w:tcPr>
            <w:tcW w:w="383" w:type="pct"/>
            <w:noWrap w:val="0"/>
            <w:vAlign w:val="center"/>
          </w:tcPr>
          <w:p w14:paraId="7B98A059">
            <w:pPr>
              <w:widowControl/>
              <w:jc w:val="center"/>
              <w:textAlignment w:val="center"/>
              <w:rPr>
                <w:szCs w:val="21"/>
              </w:rPr>
            </w:pPr>
            <w:r>
              <w:rPr>
                <w:kern w:val="0"/>
                <w:szCs w:val="21"/>
                <w:lang w:bidi="ar"/>
              </w:rPr>
              <w:t>2021/3/30</w:t>
            </w:r>
          </w:p>
        </w:tc>
        <w:tc>
          <w:tcPr>
            <w:tcW w:w="394" w:type="pct"/>
            <w:noWrap w:val="0"/>
            <w:vAlign w:val="center"/>
          </w:tcPr>
          <w:p w14:paraId="3BE472DA">
            <w:pPr>
              <w:widowControl/>
              <w:jc w:val="center"/>
              <w:textAlignment w:val="center"/>
              <w:rPr>
                <w:szCs w:val="21"/>
              </w:rPr>
            </w:pPr>
            <w:r>
              <w:rPr>
                <w:kern w:val="0"/>
                <w:szCs w:val="21"/>
                <w:lang w:bidi="ar"/>
              </w:rPr>
              <w:t>7.42</w:t>
            </w:r>
          </w:p>
        </w:tc>
        <w:tc>
          <w:tcPr>
            <w:tcW w:w="335" w:type="pct"/>
            <w:noWrap w:val="0"/>
            <w:vAlign w:val="center"/>
          </w:tcPr>
          <w:p w14:paraId="60EBD7CB">
            <w:pPr>
              <w:widowControl/>
              <w:jc w:val="center"/>
              <w:textAlignment w:val="center"/>
              <w:rPr>
                <w:szCs w:val="21"/>
              </w:rPr>
            </w:pPr>
            <w:r>
              <w:rPr>
                <w:kern w:val="0"/>
                <w:szCs w:val="21"/>
                <w:lang w:bidi="ar"/>
              </w:rPr>
              <w:t>7.6</w:t>
            </w:r>
          </w:p>
        </w:tc>
        <w:tc>
          <w:tcPr>
            <w:tcW w:w="390" w:type="pct"/>
            <w:noWrap w:val="0"/>
            <w:vAlign w:val="center"/>
          </w:tcPr>
          <w:p w14:paraId="28879570">
            <w:pPr>
              <w:widowControl/>
              <w:jc w:val="center"/>
              <w:textAlignment w:val="center"/>
              <w:rPr>
                <w:szCs w:val="21"/>
              </w:rPr>
            </w:pPr>
            <w:r>
              <w:rPr>
                <w:kern w:val="0"/>
                <w:szCs w:val="21"/>
                <w:lang w:bidi="ar"/>
              </w:rPr>
              <w:t>4L</w:t>
            </w:r>
          </w:p>
        </w:tc>
        <w:tc>
          <w:tcPr>
            <w:tcW w:w="455" w:type="pct"/>
            <w:noWrap w:val="0"/>
            <w:vAlign w:val="center"/>
          </w:tcPr>
          <w:p w14:paraId="63AB418F">
            <w:pPr>
              <w:widowControl/>
              <w:jc w:val="center"/>
              <w:textAlignment w:val="center"/>
              <w:rPr>
                <w:szCs w:val="21"/>
              </w:rPr>
            </w:pPr>
            <w:r>
              <w:rPr>
                <w:kern w:val="0"/>
                <w:szCs w:val="21"/>
                <w:lang w:bidi="ar"/>
              </w:rPr>
              <w:t>0.5L</w:t>
            </w:r>
          </w:p>
        </w:tc>
        <w:tc>
          <w:tcPr>
            <w:tcW w:w="423" w:type="pct"/>
            <w:noWrap w:val="0"/>
            <w:vAlign w:val="center"/>
          </w:tcPr>
          <w:p w14:paraId="41FC1F85">
            <w:pPr>
              <w:widowControl/>
              <w:jc w:val="center"/>
              <w:textAlignment w:val="center"/>
              <w:rPr>
                <w:szCs w:val="21"/>
              </w:rPr>
            </w:pPr>
            <w:r>
              <w:rPr>
                <w:kern w:val="0"/>
                <w:szCs w:val="21"/>
                <w:lang w:bidi="ar"/>
              </w:rPr>
              <w:t>0.5L</w:t>
            </w:r>
          </w:p>
        </w:tc>
        <w:tc>
          <w:tcPr>
            <w:tcW w:w="460" w:type="pct"/>
            <w:noWrap w:val="0"/>
            <w:vAlign w:val="center"/>
          </w:tcPr>
          <w:p w14:paraId="7532E1FB">
            <w:pPr>
              <w:widowControl/>
              <w:jc w:val="center"/>
              <w:textAlignment w:val="center"/>
              <w:rPr>
                <w:szCs w:val="21"/>
              </w:rPr>
            </w:pPr>
            <w:r>
              <w:rPr>
                <w:kern w:val="0"/>
                <w:szCs w:val="21"/>
                <w:lang w:bidi="ar"/>
              </w:rPr>
              <w:t>0.075</w:t>
            </w:r>
          </w:p>
        </w:tc>
        <w:tc>
          <w:tcPr>
            <w:tcW w:w="223" w:type="pct"/>
            <w:noWrap w:val="0"/>
            <w:vAlign w:val="center"/>
          </w:tcPr>
          <w:p w14:paraId="65CF4361">
            <w:pPr>
              <w:widowControl/>
              <w:jc w:val="center"/>
              <w:textAlignment w:val="center"/>
              <w:rPr>
                <w:szCs w:val="21"/>
              </w:rPr>
            </w:pPr>
            <w:r>
              <w:rPr>
                <w:kern w:val="0"/>
                <w:szCs w:val="21"/>
                <w:lang w:bidi="ar"/>
              </w:rPr>
              <w:t>0.91</w:t>
            </w:r>
          </w:p>
        </w:tc>
        <w:tc>
          <w:tcPr>
            <w:tcW w:w="219" w:type="pct"/>
            <w:noWrap w:val="0"/>
            <w:vAlign w:val="center"/>
          </w:tcPr>
          <w:p w14:paraId="3FB324E9">
            <w:pPr>
              <w:widowControl/>
              <w:jc w:val="center"/>
              <w:textAlignment w:val="center"/>
              <w:rPr>
                <w:szCs w:val="21"/>
              </w:rPr>
            </w:pPr>
            <w:r>
              <w:rPr>
                <w:kern w:val="0"/>
                <w:szCs w:val="21"/>
                <w:lang w:bidi="ar"/>
              </w:rPr>
              <w:t>0.04</w:t>
            </w:r>
          </w:p>
        </w:tc>
        <w:tc>
          <w:tcPr>
            <w:tcW w:w="267" w:type="pct"/>
            <w:noWrap w:val="0"/>
            <w:vAlign w:val="center"/>
          </w:tcPr>
          <w:p w14:paraId="555D065E">
            <w:pPr>
              <w:widowControl/>
              <w:jc w:val="center"/>
              <w:textAlignment w:val="center"/>
              <w:rPr>
                <w:szCs w:val="21"/>
              </w:rPr>
            </w:pPr>
            <w:r>
              <w:rPr>
                <w:kern w:val="0"/>
                <w:szCs w:val="21"/>
                <w:lang w:bidi="ar"/>
              </w:rPr>
              <w:t>0.01</w:t>
            </w:r>
          </w:p>
        </w:tc>
        <w:tc>
          <w:tcPr>
            <w:tcW w:w="324" w:type="pct"/>
            <w:noWrap w:val="0"/>
            <w:vAlign w:val="center"/>
          </w:tcPr>
          <w:p w14:paraId="65A427E1">
            <w:pPr>
              <w:widowControl/>
              <w:jc w:val="center"/>
              <w:textAlignment w:val="center"/>
              <w:rPr>
                <w:szCs w:val="21"/>
              </w:rPr>
            </w:pPr>
            <w:r>
              <w:rPr>
                <w:kern w:val="0"/>
                <w:szCs w:val="21"/>
                <w:lang w:bidi="ar"/>
              </w:rPr>
              <w:t>0.1</w:t>
            </w:r>
          </w:p>
        </w:tc>
        <w:tc>
          <w:tcPr>
            <w:tcW w:w="372" w:type="pct"/>
            <w:noWrap w:val="0"/>
            <w:vAlign w:val="center"/>
          </w:tcPr>
          <w:p w14:paraId="560CF617">
            <w:pPr>
              <w:widowControl/>
              <w:jc w:val="center"/>
              <w:textAlignment w:val="center"/>
              <w:rPr>
                <w:szCs w:val="21"/>
              </w:rPr>
            </w:pPr>
            <w:r>
              <w:rPr>
                <w:kern w:val="0"/>
                <w:szCs w:val="21"/>
                <w:lang w:bidi="ar"/>
              </w:rPr>
              <w:t>0.005L</w:t>
            </w:r>
          </w:p>
        </w:tc>
        <w:tc>
          <w:tcPr>
            <w:tcW w:w="513" w:type="pct"/>
            <w:gridSpan w:val="2"/>
            <w:noWrap w:val="0"/>
            <w:vAlign w:val="center"/>
          </w:tcPr>
          <w:p w14:paraId="3847980A">
            <w:pPr>
              <w:widowControl/>
              <w:jc w:val="center"/>
              <w:textAlignment w:val="center"/>
              <w:rPr>
                <w:szCs w:val="21"/>
              </w:rPr>
            </w:pPr>
            <w:r>
              <w:rPr>
                <w:kern w:val="0"/>
                <w:szCs w:val="21"/>
                <w:lang w:bidi="ar"/>
              </w:rPr>
              <w:t>220</w:t>
            </w:r>
          </w:p>
        </w:tc>
      </w:tr>
      <w:tr w14:paraId="016DF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235" w:type="pct"/>
            <w:gridSpan w:val="2"/>
            <w:vMerge w:val="continue"/>
            <w:noWrap w:val="0"/>
            <w:vAlign w:val="center"/>
          </w:tcPr>
          <w:p w14:paraId="5AD3602E">
            <w:pPr>
              <w:jc w:val="center"/>
              <w:rPr>
                <w:szCs w:val="21"/>
              </w:rPr>
            </w:pPr>
          </w:p>
        </w:tc>
        <w:tc>
          <w:tcPr>
            <w:tcW w:w="383" w:type="pct"/>
            <w:noWrap w:val="0"/>
            <w:vAlign w:val="center"/>
          </w:tcPr>
          <w:p w14:paraId="544F8C0B">
            <w:pPr>
              <w:widowControl/>
              <w:jc w:val="center"/>
              <w:textAlignment w:val="center"/>
              <w:rPr>
                <w:szCs w:val="21"/>
              </w:rPr>
            </w:pPr>
            <w:r>
              <w:rPr>
                <w:kern w:val="0"/>
                <w:szCs w:val="21"/>
                <w:lang w:bidi="ar"/>
              </w:rPr>
              <w:t>最大值</w:t>
            </w:r>
          </w:p>
        </w:tc>
        <w:tc>
          <w:tcPr>
            <w:tcW w:w="394" w:type="pct"/>
            <w:noWrap/>
            <w:vAlign w:val="center"/>
          </w:tcPr>
          <w:p w14:paraId="625BBD88">
            <w:pPr>
              <w:widowControl/>
              <w:jc w:val="center"/>
              <w:textAlignment w:val="center"/>
              <w:rPr>
                <w:szCs w:val="21"/>
              </w:rPr>
            </w:pPr>
            <w:r>
              <w:rPr>
                <w:kern w:val="0"/>
                <w:szCs w:val="21"/>
                <w:lang w:bidi="ar"/>
              </w:rPr>
              <w:t>7.42</w:t>
            </w:r>
          </w:p>
        </w:tc>
        <w:tc>
          <w:tcPr>
            <w:tcW w:w="335" w:type="pct"/>
            <w:noWrap/>
            <w:vAlign w:val="center"/>
          </w:tcPr>
          <w:p w14:paraId="7BE3101D">
            <w:pPr>
              <w:widowControl/>
              <w:jc w:val="center"/>
              <w:textAlignment w:val="center"/>
              <w:rPr>
                <w:szCs w:val="21"/>
              </w:rPr>
            </w:pPr>
            <w:r>
              <w:rPr>
                <w:kern w:val="0"/>
                <w:szCs w:val="21"/>
                <w:lang w:bidi="ar"/>
              </w:rPr>
              <w:t>7.6</w:t>
            </w:r>
          </w:p>
        </w:tc>
        <w:tc>
          <w:tcPr>
            <w:tcW w:w="390" w:type="pct"/>
            <w:noWrap/>
            <w:vAlign w:val="center"/>
          </w:tcPr>
          <w:p w14:paraId="22287CA1">
            <w:pPr>
              <w:widowControl/>
              <w:jc w:val="center"/>
              <w:textAlignment w:val="center"/>
              <w:rPr>
                <w:szCs w:val="21"/>
              </w:rPr>
            </w:pPr>
            <w:r>
              <w:rPr>
                <w:kern w:val="0"/>
                <w:szCs w:val="21"/>
                <w:lang w:bidi="ar"/>
              </w:rPr>
              <w:t>0</w:t>
            </w:r>
          </w:p>
        </w:tc>
        <w:tc>
          <w:tcPr>
            <w:tcW w:w="455" w:type="pct"/>
            <w:noWrap/>
            <w:vAlign w:val="center"/>
          </w:tcPr>
          <w:p w14:paraId="5DF5B5E5">
            <w:pPr>
              <w:widowControl/>
              <w:jc w:val="center"/>
              <w:textAlignment w:val="center"/>
              <w:rPr>
                <w:szCs w:val="21"/>
              </w:rPr>
            </w:pPr>
            <w:r>
              <w:rPr>
                <w:kern w:val="0"/>
                <w:szCs w:val="21"/>
                <w:lang w:bidi="ar"/>
              </w:rPr>
              <w:t>0</w:t>
            </w:r>
          </w:p>
        </w:tc>
        <w:tc>
          <w:tcPr>
            <w:tcW w:w="423" w:type="pct"/>
            <w:noWrap/>
            <w:vAlign w:val="center"/>
          </w:tcPr>
          <w:p w14:paraId="1A790C4A">
            <w:pPr>
              <w:widowControl/>
              <w:jc w:val="center"/>
              <w:textAlignment w:val="center"/>
              <w:rPr>
                <w:szCs w:val="21"/>
              </w:rPr>
            </w:pPr>
            <w:r>
              <w:rPr>
                <w:kern w:val="0"/>
                <w:szCs w:val="21"/>
                <w:lang w:bidi="ar"/>
              </w:rPr>
              <w:t>0</w:t>
            </w:r>
          </w:p>
        </w:tc>
        <w:tc>
          <w:tcPr>
            <w:tcW w:w="460" w:type="pct"/>
            <w:noWrap/>
            <w:vAlign w:val="center"/>
          </w:tcPr>
          <w:p w14:paraId="26144060">
            <w:pPr>
              <w:widowControl/>
              <w:jc w:val="center"/>
              <w:textAlignment w:val="center"/>
              <w:rPr>
                <w:szCs w:val="21"/>
              </w:rPr>
            </w:pPr>
            <w:r>
              <w:rPr>
                <w:kern w:val="0"/>
                <w:szCs w:val="21"/>
                <w:lang w:bidi="ar"/>
              </w:rPr>
              <w:t>0.075</w:t>
            </w:r>
          </w:p>
        </w:tc>
        <w:tc>
          <w:tcPr>
            <w:tcW w:w="223" w:type="pct"/>
            <w:noWrap/>
            <w:vAlign w:val="center"/>
          </w:tcPr>
          <w:p w14:paraId="0936009C">
            <w:pPr>
              <w:widowControl/>
              <w:jc w:val="center"/>
              <w:textAlignment w:val="center"/>
              <w:rPr>
                <w:szCs w:val="21"/>
              </w:rPr>
            </w:pPr>
            <w:r>
              <w:rPr>
                <w:kern w:val="0"/>
                <w:szCs w:val="21"/>
                <w:lang w:bidi="ar"/>
              </w:rPr>
              <w:t>0.91</w:t>
            </w:r>
          </w:p>
        </w:tc>
        <w:tc>
          <w:tcPr>
            <w:tcW w:w="219" w:type="pct"/>
            <w:noWrap/>
            <w:vAlign w:val="center"/>
          </w:tcPr>
          <w:p w14:paraId="48FE2B07">
            <w:pPr>
              <w:widowControl/>
              <w:jc w:val="center"/>
              <w:textAlignment w:val="center"/>
              <w:rPr>
                <w:szCs w:val="21"/>
              </w:rPr>
            </w:pPr>
            <w:r>
              <w:rPr>
                <w:kern w:val="0"/>
                <w:szCs w:val="21"/>
                <w:lang w:bidi="ar"/>
              </w:rPr>
              <w:t>0.05</w:t>
            </w:r>
          </w:p>
        </w:tc>
        <w:tc>
          <w:tcPr>
            <w:tcW w:w="267" w:type="pct"/>
            <w:noWrap/>
            <w:vAlign w:val="center"/>
          </w:tcPr>
          <w:p w14:paraId="53ECAF27">
            <w:pPr>
              <w:widowControl/>
              <w:jc w:val="center"/>
              <w:textAlignment w:val="center"/>
              <w:rPr>
                <w:szCs w:val="21"/>
              </w:rPr>
            </w:pPr>
            <w:r>
              <w:rPr>
                <w:kern w:val="0"/>
                <w:szCs w:val="21"/>
                <w:lang w:bidi="ar"/>
              </w:rPr>
              <w:t>0.01</w:t>
            </w:r>
          </w:p>
        </w:tc>
        <w:tc>
          <w:tcPr>
            <w:tcW w:w="324" w:type="pct"/>
            <w:noWrap/>
            <w:vAlign w:val="center"/>
          </w:tcPr>
          <w:p w14:paraId="4E23C1A8">
            <w:pPr>
              <w:widowControl/>
              <w:jc w:val="center"/>
              <w:textAlignment w:val="center"/>
              <w:rPr>
                <w:szCs w:val="21"/>
              </w:rPr>
            </w:pPr>
            <w:r>
              <w:rPr>
                <w:kern w:val="0"/>
                <w:szCs w:val="21"/>
                <w:lang w:bidi="ar"/>
              </w:rPr>
              <w:t>0.1</w:t>
            </w:r>
          </w:p>
        </w:tc>
        <w:tc>
          <w:tcPr>
            <w:tcW w:w="372" w:type="pct"/>
            <w:noWrap/>
            <w:vAlign w:val="center"/>
          </w:tcPr>
          <w:p w14:paraId="54C484ED">
            <w:pPr>
              <w:widowControl/>
              <w:jc w:val="center"/>
              <w:textAlignment w:val="center"/>
              <w:rPr>
                <w:szCs w:val="21"/>
              </w:rPr>
            </w:pPr>
            <w:r>
              <w:rPr>
                <w:kern w:val="0"/>
                <w:szCs w:val="21"/>
                <w:lang w:bidi="ar"/>
              </w:rPr>
              <w:t>0</w:t>
            </w:r>
          </w:p>
        </w:tc>
        <w:tc>
          <w:tcPr>
            <w:tcW w:w="513" w:type="pct"/>
            <w:gridSpan w:val="2"/>
            <w:noWrap/>
            <w:vAlign w:val="center"/>
          </w:tcPr>
          <w:p w14:paraId="58C056AB">
            <w:pPr>
              <w:widowControl/>
              <w:jc w:val="center"/>
              <w:textAlignment w:val="center"/>
              <w:rPr>
                <w:szCs w:val="21"/>
              </w:rPr>
            </w:pPr>
            <w:r>
              <w:rPr>
                <w:kern w:val="0"/>
                <w:szCs w:val="21"/>
                <w:lang w:bidi="ar"/>
              </w:rPr>
              <w:t>230</w:t>
            </w:r>
          </w:p>
        </w:tc>
      </w:tr>
      <w:tr w14:paraId="1CA1D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35" w:type="pct"/>
            <w:gridSpan w:val="2"/>
            <w:vMerge w:val="continue"/>
            <w:noWrap w:val="0"/>
            <w:vAlign w:val="center"/>
          </w:tcPr>
          <w:p w14:paraId="73450CAA">
            <w:pPr>
              <w:jc w:val="center"/>
              <w:rPr>
                <w:szCs w:val="21"/>
              </w:rPr>
            </w:pPr>
          </w:p>
        </w:tc>
        <w:tc>
          <w:tcPr>
            <w:tcW w:w="383" w:type="pct"/>
            <w:noWrap w:val="0"/>
            <w:vAlign w:val="center"/>
          </w:tcPr>
          <w:p w14:paraId="4400E517">
            <w:pPr>
              <w:widowControl/>
              <w:jc w:val="center"/>
              <w:textAlignment w:val="center"/>
              <w:rPr>
                <w:szCs w:val="21"/>
              </w:rPr>
            </w:pPr>
            <w:r>
              <w:rPr>
                <w:kern w:val="0"/>
                <w:szCs w:val="21"/>
                <w:lang w:bidi="ar"/>
              </w:rPr>
              <w:t>标准</w:t>
            </w:r>
          </w:p>
        </w:tc>
        <w:tc>
          <w:tcPr>
            <w:tcW w:w="394" w:type="pct"/>
            <w:noWrap/>
            <w:vAlign w:val="center"/>
          </w:tcPr>
          <w:p w14:paraId="31833FC5">
            <w:pPr>
              <w:widowControl/>
              <w:jc w:val="center"/>
              <w:textAlignment w:val="center"/>
              <w:rPr>
                <w:szCs w:val="21"/>
              </w:rPr>
            </w:pPr>
            <w:r>
              <w:rPr>
                <w:kern w:val="0"/>
                <w:szCs w:val="21"/>
                <w:lang w:bidi="ar"/>
              </w:rPr>
              <w:t>6-9</w:t>
            </w:r>
          </w:p>
        </w:tc>
        <w:tc>
          <w:tcPr>
            <w:tcW w:w="335" w:type="pct"/>
            <w:noWrap/>
            <w:vAlign w:val="center"/>
          </w:tcPr>
          <w:p w14:paraId="6D830768">
            <w:pPr>
              <w:widowControl/>
              <w:jc w:val="center"/>
              <w:textAlignment w:val="center"/>
              <w:rPr>
                <w:szCs w:val="21"/>
              </w:rPr>
            </w:pPr>
            <w:r>
              <w:rPr>
                <w:kern w:val="0"/>
                <w:szCs w:val="21"/>
                <w:lang w:bidi="ar"/>
              </w:rPr>
              <w:t>6</w:t>
            </w:r>
          </w:p>
        </w:tc>
        <w:tc>
          <w:tcPr>
            <w:tcW w:w="390" w:type="pct"/>
            <w:noWrap/>
            <w:vAlign w:val="center"/>
          </w:tcPr>
          <w:p w14:paraId="04844836">
            <w:pPr>
              <w:widowControl/>
              <w:jc w:val="center"/>
              <w:textAlignment w:val="center"/>
              <w:rPr>
                <w:szCs w:val="21"/>
              </w:rPr>
            </w:pPr>
            <w:r>
              <w:rPr>
                <w:kern w:val="0"/>
                <w:szCs w:val="21"/>
                <w:lang w:bidi="ar"/>
              </w:rPr>
              <w:t>15</w:t>
            </w:r>
          </w:p>
        </w:tc>
        <w:tc>
          <w:tcPr>
            <w:tcW w:w="455" w:type="pct"/>
            <w:noWrap/>
            <w:vAlign w:val="center"/>
          </w:tcPr>
          <w:p w14:paraId="5E51F087">
            <w:pPr>
              <w:widowControl/>
              <w:jc w:val="center"/>
              <w:textAlignment w:val="center"/>
              <w:rPr>
                <w:szCs w:val="21"/>
              </w:rPr>
            </w:pPr>
            <w:r>
              <w:rPr>
                <w:kern w:val="0"/>
                <w:szCs w:val="21"/>
                <w:lang w:bidi="ar"/>
              </w:rPr>
              <w:t>4</w:t>
            </w:r>
          </w:p>
        </w:tc>
        <w:tc>
          <w:tcPr>
            <w:tcW w:w="423" w:type="pct"/>
            <w:noWrap/>
            <w:vAlign w:val="center"/>
          </w:tcPr>
          <w:p w14:paraId="52E5796F">
            <w:pPr>
              <w:widowControl/>
              <w:jc w:val="center"/>
              <w:textAlignment w:val="center"/>
              <w:rPr>
                <w:szCs w:val="21"/>
              </w:rPr>
            </w:pPr>
            <w:r>
              <w:rPr>
                <w:kern w:val="0"/>
                <w:szCs w:val="21"/>
                <w:lang w:bidi="ar"/>
              </w:rPr>
              <w:t>3</w:t>
            </w:r>
          </w:p>
        </w:tc>
        <w:tc>
          <w:tcPr>
            <w:tcW w:w="460" w:type="pct"/>
            <w:noWrap/>
            <w:vAlign w:val="center"/>
          </w:tcPr>
          <w:p w14:paraId="42318FC1">
            <w:pPr>
              <w:widowControl/>
              <w:jc w:val="center"/>
              <w:textAlignment w:val="center"/>
              <w:rPr>
                <w:szCs w:val="21"/>
              </w:rPr>
            </w:pPr>
            <w:r>
              <w:rPr>
                <w:kern w:val="0"/>
                <w:szCs w:val="21"/>
                <w:lang w:bidi="ar"/>
              </w:rPr>
              <w:t>0.5</w:t>
            </w:r>
          </w:p>
        </w:tc>
        <w:tc>
          <w:tcPr>
            <w:tcW w:w="223" w:type="pct"/>
            <w:noWrap/>
            <w:vAlign w:val="center"/>
          </w:tcPr>
          <w:p w14:paraId="48D0ED02">
            <w:pPr>
              <w:widowControl/>
              <w:jc w:val="center"/>
              <w:textAlignment w:val="center"/>
              <w:rPr>
                <w:szCs w:val="21"/>
              </w:rPr>
            </w:pPr>
            <w:r>
              <w:rPr>
                <w:kern w:val="0"/>
                <w:szCs w:val="21"/>
                <w:lang w:bidi="ar"/>
              </w:rPr>
              <w:t>0.5</w:t>
            </w:r>
          </w:p>
        </w:tc>
        <w:tc>
          <w:tcPr>
            <w:tcW w:w="219" w:type="pct"/>
            <w:noWrap/>
            <w:vAlign w:val="center"/>
          </w:tcPr>
          <w:p w14:paraId="77B5B09D">
            <w:pPr>
              <w:widowControl/>
              <w:jc w:val="center"/>
              <w:textAlignment w:val="center"/>
              <w:rPr>
                <w:szCs w:val="21"/>
              </w:rPr>
            </w:pPr>
            <w:r>
              <w:rPr>
                <w:kern w:val="0"/>
                <w:szCs w:val="21"/>
                <w:lang w:bidi="ar"/>
              </w:rPr>
              <w:t>0.1</w:t>
            </w:r>
          </w:p>
        </w:tc>
        <w:tc>
          <w:tcPr>
            <w:tcW w:w="267" w:type="pct"/>
            <w:noWrap/>
            <w:vAlign w:val="center"/>
          </w:tcPr>
          <w:p w14:paraId="37B6DC45">
            <w:pPr>
              <w:widowControl/>
              <w:jc w:val="center"/>
              <w:textAlignment w:val="center"/>
              <w:rPr>
                <w:szCs w:val="21"/>
              </w:rPr>
            </w:pPr>
            <w:r>
              <w:rPr>
                <w:kern w:val="0"/>
                <w:szCs w:val="21"/>
                <w:lang w:bidi="ar"/>
              </w:rPr>
              <w:t>0.05</w:t>
            </w:r>
          </w:p>
        </w:tc>
        <w:tc>
          <w:tcPr>
            <w:tcW w:w="324" w:type="pct"/>
            <w:noWrap/>
            <w:vAlign w:val="center"/>
          </w:tcPr>
          <w:p w14:paraId="47431097">
            <w:pPr>
              <w:widowControl/>
              <w:jc w:val="center"/>
              <w:textAlignment w:val="center"/>
              <w:rPr>
                <w:szCs w:val="21"/>
              </w:rPr>
            </w:pPr>
            <w:r>
              <w:rPr>
                <w:kern w:val="0"/>
                <w:szCs w:val="21"/>
                <w:lang w:bidi="ar"/>
              </w:rPr>
              <w:t>1</w:t>
            </w:r>
          </w:p>
        </w:tc>
        <w:tc>
          <w:tcPr>
            <w:tcW w:w="372" w:type="pct"/>
            <w:noWrap/>
            <w:vAlign w:val="center"/>
          </w:tcPr>
          <w:p w14:paraId="394F6433">
            <w:pPr>
              <w:widowControl/>
              <w:jc w:val="center"/>
              <w:textAlignment w:val="center"/>
              <w:rPr>
                <w:szCs w:val="21"/>
              </w:rPr>
            </w:pPr>
            <w:r>
              <w:rPr>
                <w:kern w:val="0"/>
                <w:szCs w:val="21"/>
                <w:lang w:bidi="ar"/>
              </w:rPr>
              <w:t>0.1</w:t>
            </w:r>
          </w:p>
        </w:tc>
        <w:tc>
          <w:tcPr>
            <w:tcW w:w="513" w:type="pct"/>
            <w:gridSpan w:val="2"/>
            <w:noWrap/>
            <w:vAlign w:val="center"/>
          </w:tcPr>
          <w:p w14:paraId="76E6FDCB">
            <w:pPr>
              <w:widowControl/>
              <w:jc w:val="center"/>
              <w:textAlignment w:val="center"/>
              <w:rPr>
                <w:szCs w:val="21"/>
              </w:rPr>
            </w:pPr>
            <w:r>
              <w:rPr>
                <w:kern w:val="0"/>
                <w:szCs w:val="21"/>
                <w:lang w:bidi="ar"/>
              </w:rPr>
              <w:t>2000</w:t>
            </w:r>
          </w:p>
        </w:tc>
      </w:tr>
      <w:tr w14:paraId="79D06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trPr>
        <w:tc>
          <w:tcPr>
            <w:tcW w:w="235" w:type="pct"/>
            <w:gridSpan w:val="2"/>
            <w:vMerge w:val="continue"/>
            <w:noWrap w:val="0"/>
            <w:vAlign w:val="center"/>
          </w:tcPr>
          <w:p w14:paraId="031134DC">
            <w:pPr>
              <w:jc w:val="center"/>
              <w:rPr>
                <w:szCs w:val="21"/>
              </w:rPr>
            </w:pPr>
          </w:p>
        </w:tc>
        <w:tc>
          <w:tcPr>
            <w:tcW w:w="383" w:type="pct"/>
            <w:noWrap w:val="0"/>
            <w:vAlign w:val="center"/>
          </w:tcPr>
          <w:p w14:paraId="7BEC34F0">
            <w:pPr>
              <w:widowControl/>
              <w:jc w:val="center"/>
              <w:textAlignment w:val="center"/>
              <w:rPr>
                <w:szCs w:val="21"/>
              </w:rPr>
            </w:pPr>
            <w:r>
              <w:rPr>
                <w:kern w:val="0"/>
                <w:szCs w:val="21"/>
                <w:lang w:bidi="ar"/>
              </w:rPr>
              <w:t>最大标准指数</w:t>
            </w:r>
          </w:p>
        </w:tc>
        <w:tc>
          <w:tcPr>
            <w:tcW w:w="394" w:type="pct"/>
            <w:noWrap/>
            <w:vAlign w:val="center"/>
          </w:tcPr>
          <w:p w14:paraId="5488EF5F">
            <w:pPr>
              <w:widowControl/>
              <w:jc w:val="center"/>
              <w:textAlignment w:val="center"/>
              <w:rPr>
                <w:szCs w:val="21"/>
              </w:rPr>
            </w:pPr>
            <w:r>
              <w:rPr>
                <w:kern w:val="0"/>
                <w:szCs w:val="21"/>
                <w:lang w:bidi="ar"/>
              </w:rPr>
              <w:t>0.21</w:t>
            </w:r>
          </w:p>
        </w:tc>
        <w:tc>
          <w:tcPr>
            <w:tcW w:w="335" w:type="pct"/>
            <w:noWrap/>
            <w:vAlign w:val="center"/>
          </w:tcPr>
          <w:p w14:paraId="71BD3A86">
            <w:pPr>
              <w:widowControl/>
              <w:jc w:val="center"/>
              <w:textAlignment w:val="center"/>
              <w:rPr>
                <w:szCs w:val="21"/>
              </w:rPr>
            </w:pPr>
            <w:r>
              <w:rPr>
                <w:kern w:val="0"/>
                <w:szCs w:val="21"/>
                <w:lang w:bidi="ar"/>
              </w:rPr>
              <w:t>0.79</w:t>
            </w:r>
          </w:p>
        </w:tc>
        <w:tc>
          <w:tcPr>
            <w:tcW w:w="390" w:type="pct"/>
            <w:noWrap/>
            <w:vAlign w:val="center"/>
          </w:tcPr>
          <w:p w14:paraId="53F322B9">
            <w:pPr>
              <w:widowControl/>
              <w:jc w:val="center"/>
              <w:textAlignment w:val="center"/>
              <w:rPr>
                <w:szCs w:val="21"/>
              </w:rPr>
            </w:pPr>
            <w:r>
              <w:rPr>
                <w:kern w:val="0"/>
                <w:szCs w:val="21"/>
                <w:lang w:bidi="ar"/>
              </w:rPr>
              <w:t>0</w:t>
            </w:r>
          </w:p>
        </w:tc>
        <w:tc>
          <w:tcPr>
            <w:tcW w:w="455" w:type="pct"/>
            <w:noWrap/>
            <w:vAlign w:val="center"/>
          </w:tcPr>
          <w:p w14:paraId="473C40C6">
            <w:pPr>
              <w:widowControl/>
              <w:jc w:val="center"/>
              <w:textAlignment w:val="center"/>
              <w:rPr>
                <w:szCs w:val="21"/>
              </w:rPr>
            </w:pPr>
            <w:r>
              <w:rPr>
                <w:kern w:val="0"/>
                <w:szCs w:val="21"/>
                <w:lang w:bidi="ar"/>
              </w:rPr>
              <w:t>0</w:t>
            </w:r>
          </w:p>
        </w:tc>
        <w:tc>
          <w:tcPr>
            <w:tcW w:w="423" w:type="pct"/>
            <w:noWrap/>
            <w:vAlign w:val="center"/>
          </w:tcPr>
          <w:p w14:paraId="654325F5">
            <w:pPr>
              <w:widowControl/>
              <w:jc w:val="center"/>
              <w:textAlignment w:val="center"/>
              <w:rPr>
                <w:szCs w:val="21"/>
              </w:rPr>
            </w:pPr>
            <w:r>
              <w:rPr>
                <w:kern w:val="0"/>
                <w:szCs w:val="21"/>
                <w:lang w:bidi="ar"/>
              </w:rPr>
              <w:t>0</w:t>
            </w:r>
          </w:p>
        </w:tc>
        <w:tc>
          <w:tcPr>
            <w:tcW w:w="460" w:type="pct"/>
            <w:noWrap/>
            <w:vAlign w:val="center"/>
          </w:tcPr>
          <w:p w14:paraId="73E68CBF">
            <w:pPr>
              <w:widowControl/>
              <w:jc w:val="center"/>
              <w:textAlignment w:val="center"/>
              <w:rPr>
                <w:szCs w:val="21"/>
              </w:rPr>
            </w:pPr>
            <w:r>
              <w:rPr>
                <w:kern w:val="0"/>
                <w:szCs w:val="21"/>
                <w:lang w:bidi="ar"/>
              </w:rPr>
              <w:t>0.15</w:t>
            </w:r>
          </w:p>
        </w:tc>
        <w:tc>
          <w:tcPr>
            <w:tcW w:w="223" w:type="pct"/>
            <w:noWrap/>
            <w:vAlign w:val="center"/>
          </w:tcPr>
          <w:p w14:paraId="119126EB">
            <w:pPr>
              <w:widowControl/>
              <w:jc w:val="center"/>
              <w:textAlignment w:val="center"/>
              <w:rPr>
                <w:szCs w:val="21"/>
              </w:rPr>
            </w:pPr>
            <w:r>
              <w:rPr>
                <w:kern w:val="0"/>
                <w:szCs w:val="21"/>
                <w:lang w:bidi="ar"/>
              </w:rPr>
              <w:t>1.82</w:t>
            </w:r>
          </w:p>
        </w:tc>
        <w:tc>
          <w:tcPr>
            <w:tcW w:w="219" w:type="pct"/>
            <w:noWrap/>
            <w:vAlign w:val="center"/>
          </w:tcPr>
          <w:p w14:paraId="5CA84CD8">
            <w:pPr>
              <w:widowControl/>
              <w:jc w:val="center"/>
              <w:textAlignment w:val="center"/>
              <w:rPr>
                <w:szCs w:val="21"/>
              </w:rPr>
            </w:pPr>
            <w:r>
              <w:rPr>
                <w:kern w:val="0"/>
                <w:szCs w:val="21"/>
                <w:lang w:bidi="ar"/>
              </w:rPr>
              <w:t>0.5</w:t>
            </w:r>
          </w:p>
        </w:tc>
        <w:tc>
          <w:tcPr>
            <w:tcW w:w="267" w:type="pct"/>
            <w:noWrap/>
            <w:vAlign w:val="center"/>
          </w:tcPr>
          <w:p w14:paraId="65D6CE05">
            <w:pPr>
              <w:widowControl/>
              <w:jc w:val="center"/>
              <w:textAlignment w:val="center"/>
              <w:rPr>
                <w:szCs w:val="21"/>
              </w:rPr>
            </w:pPr>
            <w:r>
              <w:rPr>
                <w:kern w:val="0"/>
                <w:szCs w:val="21"/>
                <w:lang w:bidi="ar"/>
              </w:rPr>
              <w:t>0.2</w:t>
            </w:r>
          </w:p>
        </w:tc>
        <w:tc>
          <w:tcPr>
            <w:tcW w:w="324" w:type="pct"/>
            <w:noWrap/>
            <w:vAlign w:val="center"/>
          </w:tcPr>
          <w:p w14:paraId="4496BDB5">
            <w:pPr>
              <w:widowControl/>
              <w:jc w:val="center"/>
              <w:textAlignment w:val="center"/>
              <w:rPr>
                <w:szCs w:val="21"/>
              </w:rPr>
            </w:pPr>
            <w:r>
              <w:rPr>
                <w:kern w:val="0"/>
                <w:szCs w:val="21"/>
                <w:lang w:bidi="ar"/>
              </w:rPr>
              <w:t>0.1</w:t>
            </w:r>
          </w:p>
        </w:tc>
        <w:tc>
          <w:tcPr>
            <w:tcW w:w="372" w:type="pct"/>
            <w:noWrap/>
            <w:vAlign w:val="center"/>
          </w:tcPr>
          <w:p w14:paraId="250C45A4">
            <w:pPr>
              <w:widowControl/>
              <w:jc w:val="center"/>
              <w:textAlignment w:val="center"/>
              <w:rPr>
                <w:szCs w:val="21"/>
              </w:rPr>
            </w:pPr>
            <w:r>
              <w:rPr>
                <w:kern w:val="0"/>
                <w:szCs w:val="21"/>
                <w:lang w:bidi="ar"/>
              </w:rPr>
              <w:t>0</w:t>
            </w:r>
          </w:p>
        </w:tc>
        <w:tc>
          <w:tcPr>
            <w:tcW w:w="513" w:type="pct"/>
            <w:gridSpan w:val="2"/>
            <w:noWrap/>
            <w:vAlign w:val="center"/>
          </w:tcPr>
          <w:p w14:paraId="42775C9F">
            <w:pPr>
              <w:widowControl/>
              <w:jc w:val="center"/>
              <w:textAlignment w:val="center"/>
              <w:rPr>
                <w:szCs w:val="21"/>
              </w:rPr>
            </w:pPr>
            <w:r>
              <w:rPr>
                <w:kern w:val="0"/>
                <w:szCs w:val="21"/>
                <w:lang w:bidi="ar"/>
              </w:rPr>
              <w:t>0.115</w:t>
            </w:r>
          </w:p>
        </w:tc>
      </w:tr>
      <w:tr w14:paraId="2D9A7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5" w:type="pct"/>
            <w:gridSpan w:val="2"/>
            <w:vMerge w:val="continue"/>
            <w:noWrap w:val="0"/>
            <w:vAlign w:val="center"/>
          </w:tcPr>
          <w:p w14:paraId="56BADADB">
            <w:pPr>
              <w:jc w:val="center"/>
              <w:rPr>
                <w:szCs w:val="21"/>
              </w:rPr>
            </w:pPr>
          </w:p>
        </w:tc>
        <w:tc>
          <w:tcPr>
            <w:tcW w:w="383" w:type="pct"/>
            <w:noWrap w:val="0"/>
            <w:vAlign w:val="center"/>
          </w:tcPr>
          <w:p w14:paraId="7E00A4C3">
            <w:pPr>
              <w:widowControl/>
              <w:jc w:val="center"/>
              <w:textAlignment w:val="center"/>
              <w:rPr>
                <w:szCs w:val="21"/>
              </w:rPr>
            </w:pPr>
            <w:r>
              <w:rPr>
                <w:kern w:val="0"/>
                <w:szCs w:val="21"/>
                <w:lang w:bidi="ar"/>
              </w:rPr>
              <w:t>达标情况</w:t>
            </w:r>
          </w:p>
        </w:tc>
        <w:tc>
          <w:tcPr>
            <w:tcW w:w="394" w:type="pct"/>
            <w:noWrap/>
            <w:vAlign w:val="center"/>
          </w:tcPr>
          <w:p w14:paraId="6DFA0F19">
            <w:pPr>
              <w:widowControl/>
              <w:jc w:val="center"/>
              <w:textAlignment w:val="center"/>
              <w:rPr>
                <w:szCs w:val="21"/>
              </w:rPr>
            </w:pPr>
            <w:r>
              <w:rPr>
                <w:kern w:val="0"/>
                <w:szCs w:val="21"/>
                <w:lang w:bidi="ar"/>
              </w:rPr>
              <w:t>达标</w:t>
            </w:r>
          </w:p>
        </w:tc>
        <w:tc>
          <w:tcPr>
            <w:tcW w:w="335" w:type="pct"/>
            <w:noWrap/>
            <w:vAlign w:val="center"/>
          </w:tcPr>
          <w:p w14:paraId="14EC44BC">
            <w:pPr>
              <w:widowControl/>
              <w:jc w:val="center"/>
              <w:textAlignment w:val="center"/>
              <w:rPr>
                <w:szCs w:val="21"/>
              </w:rPr>
            </w:pPr>
            <w:r>
              <w:rPr>
                <w:kern w:val="0"/>
                <w:szCs w:val="21"/>
                <w:lang w:bidi="ar"/>
              </w:rPr>
              <w:t>达标</w:t>
            </w:r>
          </w:p>
        </w:tc>
        <w:tc>
          <w:tcPr>
            <w:tcW w:w="390" w:type="pct"/>
            <w:noWrap/>
            <w:vAlign w:val="center"/>
          </w:tcPr>
          <w:p w14:paraId="3BE3FC59">
            <w:pPr>
              <w:widowControl/>
              <w:jc w:val="center"/>
              <w:textAlignment w:val="center"/>
              <w:rPr>
                <w:szCs w:val="21"/>
              </w:rPr>
            </w:pPr>
            <w:r>
              <w:rPr>
                <w:kern w:val="0"/>
                <w:szCs w:val="21"/>
                <w:lang w:bidi="ar"/>
              </w:rPr>
              <w:t>达标</w:t>
            </w:r>
          </w:p>
        </w:tc>
        <w:tc>
          <w:tcPr>
            <w:tcW w:w="455" w:type="pct"/>
            <w:noWrap/>
            <w:vAlign w:val="center"/>
          </w:tcPr>
          <w:p w14:paraId="28644B8C">
            <w:pPr>
              <w:widowControl/>
              <w:jc w:val="center"/>
              <w:textAlignment w:val="center"/>
              <w:rPr>
                <w:szCs w:val="21"/>
              </w:rPr>
            </w:pPr>
            <w:r>
              <w:rPr>
                <w:kern w:val="0"/>
                <w:szCs w:val="21"/>
                <w:lang w:bidi="ar"/>
              </w:rPr>
              <w:t>达标</w:t>
            </w:r>
          </w:p>
        </w:tc>
        <w:tc>
          <w:tcPr>
            <w:tcW w:w="423" w:type="pct"/>
            <w:noWrap/>
            <w:vAlign w:val="center"/>
          </w:tcPr>
          <w:p w14:paraId="65E091C0">
            <w:pPr>
              <w:widowControl/>
              <w:jc w:val="center"/>
              <w:textAlignment w:val="center"/>
              <w:rPr>
                <w:szCs w:val="21"/>
              </w:rPr>
            </w:pPr>
            <w:r>
              <w:rPr>
                <w:kern w:val="0"/>
                <w:szCs w:val="21"/>
                <w:lang w:bidi="ar"/>
              </w:rPr>
              <w:t>达标</w:t>
            </w:r>
          </w:p>
        </w:tc>
        <w:tc>
          <w:tcPr>
            <w:tcW w:w="460" w:type="pct"/>
            <w:noWrap/>
            <w:vAlign w:val="center"/>
          </w:tcPr>
          <w:p w14:paraId="7EFFE8E1">
            <w:pPr>
              <w:widowControl/>
              <w:jc w:val="center"/>
              <w:textAlignment w:val="center"/>
              <w:rPr>
                <w:szCs w:val="21"/>
              </w:rPr>
            </w:pPr>
            <w:r>
              <w:rPr>
                <w:kern w:val="0"/>
                <w:szCs w:val="21"/>
                <w:lang w:bidi="ar"/>
              </w:rPr>
              <w:t>达标</w:t>
            </w:r>
          </w:p>
        </w:tc>
        <w:tc>
          <w:tcPr>
            <w:tcW w:w="223" w:type="pct"/>
            <w:noWrap/>
            <w:vAlign w:val="center"/>
          </w:tcPr>
          <w:p w14:paraId="0303FED9">
            <w:pPr>
              <w:widowControl/>
              <w:jc w:val="center"/>
              <w:textAlignment w:val="center"/>
              <w:rPr>
                <w:szCs w:val="21"/>
              </w:rPr>
            </w:pPr>
            <w:r>
              <w:rPr>
                <w:kern w:val="0"/>
                <w:szCs w:val="21"/>
                <w:lang w:bidi="ar"/>
              </w:rPr>
              <w:t>/</w:t>
            </w:r>
          </w:p>
        </w:tc>
        <w:tc>
          <w:tcPr>
            <w:tcW w:w="219" w:type="pct"/>
            <w:noWrap/>
            <w:vAlign w:val="center"/>
          </w:tcPr>
          <w:p w14:paraId="18CB4C2D">
            <w:pPr>
              <w:widowControl/>
              <w:jc w:val="center"/>
              <w:textAlignment w:val="center"/>
              <w:rPr>
                <w:szCs w:val="21"/>
              </w:rPr>
            </w:pPr>
            <w:r>
              <w:rPr>
                <w:kern w:val="0"/>
                <w:szCs w:val="21"/>
                <w:lang w:bidi="ar"/>
              </w:rPr>
              <w:t>达标</w:t>
            </w:r>
          </w:p>
        </w:tc>
        <w:tc>
          <w:tcPr>
            <w:tcW w:w="267" w:type="pct"/>
            <w:noWrap/>
            <w:vAlign w:val="center"/>
          </w:tcPr>
          <w:p w14:paraId="05685B9E">
            <w:pPr>
              <w:widowControl/>
              <w:jc w:val="center"/>
              <w:textAlignment w:val="center"/>
              <w:rPr>
                <w:szCs w:val="21"/>
              </w:rPr>
            </w:pPr>
            <w:r>
              <w:rPr>
                <w:kern w:val="0"/>
                <w:szCs w:val="21"/>
                <w:lang w:bidi="ar"/>
              </w:rPr>
              <w:t>达标</w:t>
            </w:r>
          </w:p>
        </w:tc>
        <w:tc>
          <w:tcPr>
            <w:tcW w:w="324" w:type="pct"/>
            <w:noWrap/>
            <w:vAlign w:val="center"/>
          </w:tcPr>
          <w:p w14:paraId="4BE77CB0">
            <w:pPr>
              <w:widowControl/>
              <w:jc w:val="center"/>
              <w:textAlignment w:val="center"/>
              <w:rPr>
                <w:szCs w:val="21"/>
              </w:rPr>
            </w:pPr>
            <w:r>
              <w:rPr>
                <w:kern w:val="0"/>
                <w:szCs w:val="21"/>
                <w:lang w:bidi="ar"/>
              </w:rPr>
              <w:t>达标</w:t>
            </w:r>
          </w:p>
        </w:tc>
        <w:tc>
          <w:tcPr>
            <w:tcW w:w="372" w:type="pct"/>
            <w:noWrap/>
            <w:vAlign w:val="center"/>
          </w:tcPr>
          <w:p w14:paraId="5AACB6CE">
            <w:pPr>
              <w:widowControl/>
              <w:jc w:val="center"/>
              <w:textAlignment w:val="center"/>
              <w:rPr>
                <w:szCs w:val="21"/>
              </w:rPr>
            </w:pPr>
            <w:r>
              <w:rPr>
                <w:kern w:val="0"/>
                <w:szCs w:val="21"/>
                <w:lang w:bidi="ar"/>
              </w:rPr>
              <w:t>达标</w:t>
            </w:r>
          </w:p>
        </w:tc>
        <w:tc>
          <w:tcPr>
            <w:tcW w:w="513" w:type="pct"/>
            <w:gridSpan w:val="2"/>
            <w:noWrap/>
            <w:vAlign w:val="center"/>
          </w:tcPr>
          <w:p w14:paraId="5F956843">
            <w:pPr>
              <w:widowControl/>
              <w:jc w:val="center"/>
              <w:textAlignment w:val="center"/>
              <w:rPr>
                <w:szCs w:val="21"/>
              </w:rPr>
            </w:pPr>
            <w:r>
              <w:rPr>
                <w:kern w:val="0"/>
                <w:szCs w:val="21"/>
                <w:lang w:bidi="ar"/>
              </w:rPr>
              <w:t>达标</w:t>
            </w:r>
          </w:p>
        </w:tc>
      </w:tr>
      <w:tr w14:paraId="437C1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35" w:type="pct"/>
            <w:gridSpan w:val="2"/>
            <w:noWrap w:val="0"/>
            <w:vAlign w:val="center"/>
          </w:tcPr>
          <w:p w14:paraId="20C1EC3D">
            <w:pPr>
              <w:jc w:val="center"/>
              <w:rPr>
                <w:szCs w:val="21"/>
              </w:rPr>
            </w:pPr>
            <w:r>
              <w:rPr>
                <w:szCs w:val="21"/>
              </w:rPr>
              <w:t>监测断面</w:t>
            </w:r>
          </w:p>
        </w:tc>
        <w:tc>
          <w:tcPr>
            <w:tcW w:w="383" w:type="pct"/>
            <w:noWrap/>
            <w:vAlign w:val="center"/>
          </w:tcPr>
          <w:p w14:paraId="77245107">
            <w:pPr>
              <w:snapToGrid w:val="0"/>
              <w:jc w:val="center"/>
              <w:rPr>
                <w:szCs w:val="21"/>
              </w:rPr>
            </w:pPr>
            <w:r>
              <w:rPr>
                <w:szCs w:val="21"/>
              </w:rPr>
              <w:t>采样日期</w:t>
            </w:r>
          </w:p>
          <w:p w14:paraId="0D8A8FF8">
            <w:pPr>
              <w:jc w:val="center"/>
              <w:rPr>
                <w:szCs w:val="21"/>
              </w:rPr>
            </w:pPr>
            <w:r>
              <w:rPr>
                <w:szCs w:val="21"/>
              </w:rPr>
              <w:t>项目</w:t>
            </w:r>
          </w:p>
        </w:tc>
        <w:tc>
          <w:tcPr>
            <w:tcW w:w="394" w:type="pct"/>
            <w:noWrap w:val="0"/>
            <w:vAlign w:val="center"/>
          </w:tcPr>
          <w:p w14:paraId="1A0045C5">
            <w:pPr>
              <w:widowControl/>
              <w:jc w:val="center"/>
              <w:textAlignment w:val="center"/>
              <w:rPr>
                <w:szCs w:val="21"/>
              </w:rPr>
            </w:pPr>
            <w:r>
              <w:rPr>
                <w:kern w:val="0"/>
                <w:szCs w:val="21"/>
                <w:lang w:bidi="ar"/>
              </w:rPr>
              <w:t>pH值（无量纲）</w:t>
            </w:r>
          </w:p>
        </w:tc>
        <w:tc>
          <w:tcPr>
            <w:tcW w:w="335" w:type="pct"/>
            <w:noWrap/>
            <w:vAlign w:val="center"/>
          </w:tcPr>
          <w:p w14:paraId="7703A6AE">
            <w:pPr>
              <w:widowControl/>
              <w:jc w:val="center"/>
              <w:textAlignment w:val="center"/>
              <w:rPr>
                <w:szCs w:val="21"/>
              </w:rPr>
            </w:pPr>
            <w:r>
              <w:rPr>
                <w:kern w:val="0"/>
                <w:szCs w:val="21"/>
                <w:lang w:bidi="ar"/>
              </w:rPr>
              <w:t>溶解氧</w:t>
            </w:r>
          </w:p>
        </w:tc>
        <w:tc>
          <w:tcPr>
            <w:tcW w:w="390" w:type="pct"/>
            <w:noWrap/>
            <w:vAlign w:val="center"/>
          </w:tcPr>
          <w:p w14:paraId="083B7BC8">
            <w:pPr>
              <w:widowControl/>
              <w:jc w:val="center"/>
              <w:textAlignment w:val="center"/>
              <w:rPr>
                <w:szCs w:val="21"/>
              </w:rPr>
            </w:pPr>
            <w:r>
              <w:rPr>
                <w:kern w:val="0"/>
                <w:szCs w:val="21"/>
                <w:lang w:bidi="ar"/>
              </w:rPr>
              <w:t>化学需氧量</w:t>
            </w:r>
          </w:p>
        </w:tc>
        <w:tc>
          <w:tcPr>
            <w:tcW w:w="455" w:type="pct"/>
            <w:noWrap/>
            <w:vAlign w:val="center"/>
          </w:tcPr>
          <w:p w14:paraId="485663FE">
            <w:pPr>
              <w:widowControl/>
              <w:jc w:val="center"/>
              <w:textAlignment w:val="center"/>
              <w:rPr>
                <w:szCs w:val="21"/>
              </w:rPr>
            </w:pPr>
            <w:r>
              <w:rPr>
                <w:kern w:val="0"/>
                <w:szCs w:val="21"/>
                <w:lang w:bidi="ar"/>
              </w:rPr>
              <w:t>高锰酸盐指数</w:t>
            </w:r>
          </w:p>
        </w:tc>
        <w:tc>
          <w:tcPr>
            <w:tcW w:w="423" w:type="pct"/>
            <w:noWrap/>
            <w:vAlign w:val="center"/>
          </w:tcPr>
          <w:p w14:paraId="52943808">
            <w:pPr>
              <w:widowControl/>
              <w:jc w:val="center"/>
              <w:textAlignment w:val="center"/>
              <w:rPr>
                <w:szCs w:val="21"/>
              </w:rPr>
            </w:pPr>
            <w:r>
              <w:rPr>
                <w:kern w:val="0"/>
                <w:szCs w:val="21"/>
                <w:lang w:bidi="ar"/>
              </w:rPr>
              <w:t>五日生化需氧量</w:t>
            </w:r>
          </w:p>
        </w:tc>
        <w:tc>
          <w:tcPr>
            <w:tcW w:w="460" w:type="pct"/>
            <w:noWrap/>
            <w:vAlign w:val="center"/>
          </w:tcPr>
          <w:p w14:paraId="1CF44EAE">
            <w:pPr>
              <w:widowControl/>
              <w:jc w:val="center"/>
              <w:textAlignment w:val="center"/>
              <w:rPr>
                <w:szCs w:val="21"/>
              </w:rPr>
            </w:pPr>
            <w:r>
              <w:rPr>
                <w:kern w:val="0"/>
                <w:szCs w:val="21"/>
                <w:lang w:bidi="ar"/>
              </w:rPr>
              <w:t>氨氮</w:t>
            </w:r>
          </w:p>
        </w:tc>
        <w:tc>
          <w:tcPr>
            <w:tcW w:w="223" w:type="pct"/>
            <w:noWrap/>
            <w:vAlign w:val="center"/>
          </w:tcPr>
          <w:p w14:paraId="71DCD939">
            <w:pPr>
              <w:widowControl/>
              <w:jc w:val="center"/>
              <w:textAlignment w:val="center"/>
              <w:rPr>
                <w:szCs w:val="21"/>
              </w:rPr>
            </w:pPr>
            <w:r>
              <w:rPr>
                <w:kern w:val="0"/>
                <w:szCs w:val="21"/>
                <w:lang w:bidi="ar"/>
              </w:rPr>
              <w:t>总氮</w:t>
            </w:r>
          </w:p>
        </w:tc>
        <w:tc>
          <w:tcPr>
            <w:tcW w:w="219" w:type="pct"/>
            <w:noWrap/>
            <w:vAlign w:val="center"/>
          </w:tcPr>
          <w:p w14:paraId="7F802ABF">
            <w:pPr>
              <w:widowControl/>
              <w:jc w:val="center"/>
              <w:textAlignment w:val="center"/>
              <w:rPr>
                <w:szCs w:val="21"/>
              </w:rPr>
            </w:pPr>
            <w:r>
              <w:rPr>
                <w:kern w:val="0"/>
                <w:szCs w:val="21"/>
                <w:lang w:bidi="ar"/>
              </w:rPr>
              <w:t>总磷</w:t>
            </w:r>
          </w:p>
        </w:tc>
        <w:tc>
          <w:tcPr>
            <w:tcW w:w="267" w:type="pct"/>
            <w:noWrap/>
            <w:vAlign w:val="center"/>
          </w:tcPr>
          <w:p w14:paraId="347D8CBE">
            <w:pPr>
              <w:widowControl/>
              <w:jc w:val="center"/>
              <w:textAlignment w:val="center"/>
              <w:rPr>
                <w:szCs w:val="21"/>
              </w:rPr>
            </w:pPr>
            <w:r>
              <w:rPr>
                <w:kern w:val="0"/>
                <w:szCs w:val="21"/>
                <w:lang w:bidi="ar"/>
              </w:rPr>
              <w:t>石油类</w:t>
            </w:r>
          </w:p>
        </w:tc>
        <w:tc>
          <w:tcPr>
            <w:tcW w:w="324" w:type="pct"/>
            <w:noWrap/>
            <w:vAlign w:val="center"/>
          </w:tcPr>
          <w:p w14:paraId="1EA4B212">
            <w:pPr>
              <w:widowControl/>
              <w:jc w:val="center"/>
              <w:textAlignment w:val="center"/>
              <w:rPr>
                <w:szCs w:val="21"/>
              </w:rPr>
            </w:pPr>
            <w:r>
              <w:rPr>
                <w:kern w:val="0"/>
                <w:szCs w:val="21"/>
                <w:lang w:bidi="ar"/>
              </w:rPr>
              <w:t>氟化物</w:t>
            </w:r>
          </w:p>
        </w:tc>
        <w:tc>
          <w:tcPr>
            <w:tcW w:w="372" w:type="pct"/>
            <w:noWrap/>
            <w:vAlign w:val="center"/>
          </w:tcPr>
          <w:p w14:paraId="1DFEB270">
            <w:pPr>
              <w:widowControl/>
              <w:jc w:val="center"/>
              <w:textAlignment w:val="center"/>
              <w:rPr>
                <w:szCs w:val="21"/>
              </w:rPr>
            </w:pPr>
            <w:r>
              <w:rPr>
                <w:kern w:val="0"/>
                <w:szCs w:val="21"/>
                <w:lang w:bidi="ar"/>
              </w:rPr>
              <w:t>硫化物</w:t>
            </w:r>
          </w:p>
        </w:tc>
        <w:tc>
          <w:tcPr>
            <w:tcW w:w="513" w:type="pct"/>
            <w:gridSpan w:val="2"/>
            <w:noWrap/>
            <w:vAlign w:val="center"/>
          </w:tcPr>
          <w:p w14:paraId="08D1A62C">
            <w:pPr>
              <w:widowControl/>
              <w:jc w:val="center"/>
              <w:textAlignment w:val="center"/>
              <w:rPr>
                <w:szCs w:val="21"/>
              </w:rPr>
            </w:pPr>
            <w:r>
              <w:rPr>
                <w:kern w:val="0"/>
                <w:szCs w:val="21"/>
                <w:lang w:bidi="ar"/>
              </w:rPr>
              <w:t>粪大肠菌群（MPN/L)</w:t>
            </w:r>
          </w:p>
        </w:tc>
      </w:tr>
      <w:tr w14:paraId="75955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235" w:type="pct"/>
            <w:gridSpan w:val="2"/>
            <w:vMerge w:val="restart"/>
            <w:noWrap w:val="0"/>
            <w:vAlign w:val="center"/>
          </w:tcPr>
          <w:p w14:paraId="063EB4AF">
            <w:pPr>
              <w:widowControl/>
              <w:jc w:val="center"/>
              <w:textAlignment w:val="center"/>
              <w:rPr>
                <w:szCs w:val="21"/>
              </w:rPr>
            </w:pPr>
            <w:r>
              <w:rPr>
                <w:kern w:val="0"/>
                <w:szCs w:val="21"/>
                <w:lang w:bidi="ar"/>
              </w:rPr>
              <w:t>W3项目养殖地块二旁溪沟上游500m</w:t>
            </w:r>
          </w:p>
        </w:tc>
        <w:tc>
          <w:tcPr>
            <w:tcW w:w="383" w:type="pct"/>
            <w:noWrap w:val="0"/>
            <w:vAlign w:val="center"/>
          </w:tcPr>
          <w:p w14:paraId="6682E503">
            <w:pPr>
              <w:widowControl/>
              <w:jc w:val="center"/>
              <w:textAlignment w:val="center"/>
              <w:rPr>
                <w:szCs w:val="21"/>
              </w:rPr>
            </w:pPr>
            <w:r>
              <w:rPr>
                <w:kern w:val="0"/>
                <w:szCs w:val="21"/>
                <w:lang w:bidi="ar"/>
              </w:rPr>
              <w:t>2021/3/28</w:t>
            </w:r>
          </w:p>
        </w:tc>
        <w:tc>
          <w:tcPr>
            <w:tcW w:w="394" w:type="pct"/>
            <w:noWrap w:val="0"/>
            <w:vAlign w:val="center"/>
          </w:tcPr>
          <w:p w14:paraId="6D67F2ED">
            <w:pPr>
              <w:widowControl/>
              <w:jc w:val="center"/>
              <w:textAlignment w:val="center"/>
              <w:rPr>
                <w:szCs w:val="21"/>
              </w:rPr>
            </w:pPr>
            <w:r>
              <w:rPr>
                <w:kern w:val="0"/>
                <w:szCs w:val="21"/>
                <w:lang w:bidi="ar"/>
              </w:rPr>
              <w:t>7.26</w:t>
            </w:r>
          </w:p>
        </w:tc>
        <w:tc>
          <w:tcPr>
            <w:tcW w:w="335" w:type="pct"/>
            <w:noWrap w:val="0"/>
            <w:vAlign w:val="center"/>
          </w:tcPr>
          <w:p w14:paraId="33B2D51F">
            <w:pPr>
              <w:widowControl/>
              <w:jc w:val="center"/>
              <w:textAlignment w:val="center"/>
              <w:rPr>
                <w:szCs w:val="21"/>
              </w:rPr>
            </w:pPr>
            <w:r>
              <w:rPr>
                <w:kern w:val="0"/>
                <w:szCs w:val="21"/>
                <w:lang w:bidi="ar"/>
              </w:rPr>
              <w:t>6.7</w:t>
            </w:r>
          </w:p>
        </w:tc>
        <w:tc>
          <w:tcPr>
            <w:tcW w:w="390" w:type="pct"/>
            <w:noWrap w:val="0"/>
            <w:vAlign w:val="center"/>
          </w:tcPr>
          <w:p w14:paraId="310DF37F">
            <w:pPr>
              <w:widowControl/>
              <w:jc w:val="center"/>
              <w:textAlignment w:val="center"/>
              <w:rPr>
                <w:szCs w:val="21"/>
              </w:rPr>
            </w:pPr>
            <w:r>
              <w:rPr>
                <w:kern w:val="0"/>
                <w:szCs w:val="21"/>
                <w:lang w:bidi="ar"/>
              </w:rPr>
              <w:t>4L</w:t>
            </w:r>
          </w:p>
        </w:tc>
        <w:tc>
          <w:tcPr>
            <w:tcW w:w="455" w:type="pct"/>
            <w:noWrap w:val="0"/>
            <w:vAlign w:val="center"/>
          </w:tcPr>
          <w:p w14:paraId="5ABA65A3">
            <w:pPr>
              <w:widowControl/>
              <w:jc w:val="center"/>
              <w:textAlignment w:val="center"/>
              <w:rPr>
                <w:szCs w:val="21"/>
              </w:rPr>
            </w:pPr>
            <w:r>
              <w:rPr>
                <w:kern w:val="0"/>
                <w:szCs w:val="21"/>
                <w:lang w:bidi="ar"/>
              </w:rPr>
              <w:t>0.5L</w:t>
            </w:r>
          </w:p>
        </w:tc>
        <w:tc>
          <w:tcPr>
            <w:tcW w:w="423" w:type="pct"/>
            <w:noWrap w:val="0"/>
            <w:vAlign w:val="center"/>
          </w:tcPr>
          <w:p w14:paraId="2B62B711">
            <w:pPr>
              <w:widowControl/>
              <w:jc w:val="center"/>
              <w:textAlignment w:val="center"/>
              <w:rPr>
                <w:szCs w:val="21"/>
              </w:rPr>
            </w:pPr>
            <w:r>
              <w:rPr>
                <w:kern w:val="0"/>
                <w:szCs w:val="21"/>
                <w:lang w:bidi="ar"/>
              </w:rPr>
              <w:t>0.5L</w:t>
            </w:r>
          </w:p>
        </w:tc>
        <w:tc>
          <w:tcPr>
            <w:tcW w:w="460" w:type="pct"/>
            <w:noWrap w:val="0"/>
            <w:vAlign w:val="center"/>
          </w:tcPr>
          <w:p w14:paraId="13CE5228">
            <w:pPr>
              <w:widowControl/>
              <w:jc w:val="center"/>
              <w:textAlignment w:val="center"/>
              <w:rPr>
                <w:szCs w:val="21"/>
              </w:rPr>
            </w:pPr>
            <w:r>
              <w:rPr>
                <w:kern w:val="0"/>
                <w:szCs w:val="21"/>
                <w:lang w:bidi="ar"/>
              </w:rPr>
              <w:t>0.034</w:t>
            </w:r>
          </w:p>
        </w:tc>
        <w:tc>
          <w:tcPr>
            <w:tcW w:w="223" w:type="pct"/>
            <w:noWrap w:val="0"/>
            <w:vAlign w:val="center"/>
          </w:tcPr>
          <w:p w14:paraId="75B76C10">
            <w:pPr>
              <w:widowControl/>
              <w:jc w:val="center"/>
              <w:textAlignment w:val="center"/>
              <w:rPr>
                <w:szCs w:val="21"/>
              </w:rPr>
            </w:pPr>
            <w:r>
              <w:rPr>
                <w:kern w:val="0"/>
                <w:szCs w:val="21"/>
                <w:lang w:bidi="ar"/>
              </w:rPr>
              <w:t>0.84</w:t>
            </w:r>
          </w:p>
        </w:tc>
        <w:tc>
          <w:tcPr>
            <w:tcW w:w="219" w:type="pct"/>
            <w:noWrap w:val="0"/>
            <w:vAlign w:val="center"/>
          </w:tcPr>
          <w:p w14:paraId="75D67772">
            <w:pPr>
              <w:widowControl/>
              <w:jc w:val="center"/>
              <w:textAlignment w:val="center"/>
              <w:rPr>
                <w:szCs w:val="21"/>
              </w:rPr>
            </w:pPr>
            <w:r>
              <w:rPr>
                <w:kern w:val="0"/>
                <w:szCs w:val="21"/>
                <w:lang w:bidi="ar"/>
              </w:rPr>
              <w:t>0.01</w:t>
            </w:r>
          </w:p>
        </w:tc>
        <w:tc>
          <w:tcPr>
            <w:tcW w:w="267" w:type="pct"/>
            <w:noWrap w:val="0"/>
            <w:vAlign w:val="center"/>
          </w:tcPr>
          <w:p w14:paraId="5349F02F">
            <w:pPr>
              <w:widowControl/>
              <w:jc w:val="center"/>
              <w:textAlignment w:val="center"/>
              <w:rPr>
                <w:szCs w:val="21"/>
              </w:rPr>
            </w:pPr>
            <w:r>
              <w:rPr>
                <w:kern w:val="0"/>
                <w:szCs w:val="21"/>
                <w:lang w:bidi="ar"/>
              </w:rPr>
              <w:t>0.01L</w:t>
            </w:r>
          </w:p>
        </w:tc>
        <w:tc>
          <w:tcPr>
            <w:tcW w:w="324" w:type="pct"/>
            <w:noWrap w:val="0"/>
            <w:vAlign w:val="center"/>
          </w:tcPr>
          <w:p w14:paraId="465E0878">
            <w:pPr>
              <w:widowControl/>
              <w:jc w:val="center"/>
              <w:textAlignment w:val="center"/>
              <w:rPr>
                <w:szCs w:val="21"/>
              </w:rPr>
            </w:pPr>
            <w:r>
              <w:rPr>
                <w:kern w:val="0"/>
                <w:szCs w:val="21"/>
                <w:lang w:bidi="ar"/>
              </w:rPr>
              <w:t>0.21</w:t>
            </w:r>
          </w:p>
        </w:tc>
        <w:tc>
          <w:tcPr>
            <w:tcW w:w="372" w:type="pct"/>
            <w:noWrap w:val="0"/>
            <w:vAlign w:val="center"/>
          </w:tcPr>
          <w:p w14:paraId="173045AF">
            <w:pPr>
              <w:widowControl/>
              <w:jc w:val="center"/>
              <w:textAlignment w:val="center"/>
              <w:rPr>
                <w:szCs w:val="21"/>
              </w:rPr>
            </w:pPr>
            <w:r>
              <w:rPr>
                <w:kern w:val="0"/>
                <w:szCs w:val="21"/>
                <w:lang w:bidi="ar"/>
              </w:rPr>
              <w:t>0.005L</w:t>
            </w:r>
          </w:p>
        </w:tc>
        <w:tc>
          <w:tcPr>
            <w:tcW w:w="513" w:type="pct"/>
            <w:gridSpan w:val="2"/>
            <w:noWrap w:val="0"/>
            <w:vAlign w:val="center"/>
          </w:tcPr>
          <w:p w14:paraId="37C9C19E">
            <w:pPr>
              <w:widowControl/>
              <w:jc w:val="center"/>
              <w:textAlignment w:val="center"/>
              <w:rPr>
                <w:szCs w:val="21"/>
              </w:rPr>
            </w:pPr>
            <w:r>
              <w:rPr>
                <w:kern w:val="0"/>
                <w:szCs w:val="21"/>
                <w:lang w:bidi="ar"/>
              </w:rPr>
              <w:t>170</w:t>
            </w:r>
          </w:p>
        </w:tc>
      </w:tr>
      <w:tr w14:paraId="7213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trPr>
        <w:tc>
          <w:tcPr>
            <w:tcW w:w="235" w:type="pct"/>
            <w:gridSpan w:val="2"/>
            <w:vMerge w:val="continue"/>
            <w:noWrap w:val="0"/>
            <w:vAlign w:val="center"/>
          </w:tcPr>
          <w:p w14:paraId="043398AE">
            <w:pPr>
              <w:jc w:val="center"/>
              <w:rPr>
                <w:szCs w:val="21"/>
              </w:rPr>
            </w:pPr>
          </w:p>
        </w:tc>
        <w:tc>
          <w:tcPr>
            <w:tcW w:w="383" w:type="pct"/>
            <w:noWrap w:val="0"/>
            <w:vAlign w:val="center"/>
          </w:tcPr>
          <w:p w14:paraId="62371561">
            <w:pPr>
              <w:widowControl/>
              <w:jc w:val="center"/>
              <w:textAlignment w:val="center"/>
              <w:rPr>
                <w:szCs w:val="21"/>
              </w:rPr>
            </w:pPr>
            <w:r>
              <w:rPr>
                <w:kern w:val="0"/>
                <w:szCs w:val="21"/>
                <w:lang w:bidi="ar"/>
              </w:rPr>
              <w:t>2021/3/29</w:t>
            </w:r>
          </w:p>
        </w:tc>
        <w:tc>
          <w:tcPr>
            <w:tcW w:w="394" w:type="pct"/>
            <w:noWrap w:val="0"/>
            <w:vAlign w:val="center"/>
          </w:tcPr>
          <w:p w14:paraId="28C2CE51">
            <w:pPr>
              <w:widowControl/>
              <w:jc w:val="center"/>
              <w:textAlignment w:val="center"/>
              <w:rPr>
                <w:szCs w:val="21"/>
              </w:rPr>
            </w:pPr>
            <w:r>
              <w:rPr>
                <w:kern w:val="0"/>
                <w:szCs w:val="21"/>
                <w:lang w:bidi="ar"/>
              </w:rPr>
              <w:t>7.24</w:t>
            </w:r>
          </w:p>
        </w:tc>
        <w:tc>
          <w:tcPr>
            <w:tcW w:w="335" w:type="pct"/>
            <w:noWrap w:val="0"/>
            <w:vAlign w:val="center"/>
          </w:tcPr>
          <w:p w14:paraId="76ADDDB9">
            <w:pPr>
              <w:widowControl/>
              <w:jc w:val="center"/>
              <w:textAlignment w:val="center"/>
              <w:rPr>
                <w:szCs w:val="21"/>
              </w:rPr>
            </w:pPr>
            <w:r>
              <w:rPr>
                <w:kern w:val="0"/>
                <w:szCs w:val="21"/>
                <w:lang w:bidi="ar"/>
              </w:rPr>
              <w:t>6.4</w:t>
            </w:r>
          </w:p>
        </w:tc>
        <w:tc>
          <w:tcPr>
            <w:tcW w:w="390" w:type="pct"/>
            <w:noWrap w:val="0"/>
            <w:vAlign w:val="center"/>
          </w:tcPr>
          <w:p w14:paraId="1DAB93BD">
            <w:pPr>
              <w:widowControl/>
              <w:jc w:val="center"/>
              <w:textAlignment w:val="center"/>
              <w:rPr>
                <w:szCs w:val="21"/>
              </w:rPr>
            </w:pPr>
            <w:r>
              <w:rPr>
                <w:kern w:val="0"/>
                <w:szCs w:val="21"/>
                <w:lang w:bidi="ar"/>
              </w:rPr>
              <w:t>4L</w:t>
            </w:r>
          </w:p>
        </w:tc>
        <w:tc>
          <w:tcPr>
            <w:tcW w:w="455" w:type="pct"/>
            <w:noWrap w:val="0"/>
            <w:vAlign w:val="center"/>
          </w:tcPr>
          <w:p w14:paraId="1FE27D7C">
            <w:pPr>
              <w:widowControl/>
              <w:jc w:val="center"/>
              <w:textAlignment w:val="center"/>
              <w:rPr>
                <w:szCs w:val="21"/>
              </w:rPr>
            </w:pPr>
            <w:r>
              <w:rPr>
                <w:kern w:val="0"/>
                <w:szCs w:val="21"/>
                <w:lang w:bidi="ar"/>
              </w:rPr>
              <w:t>0.5L</w:t>
            </w:r>
          </w:p>
        </w:tc>
        <w:tc>
          <w:tcPr>
            <w:tcW w:w="423" w:type="pct"/>
            <w:noWrap w:val="0"/>
            <w:vAlign w:val="center"/>
          </w:tcPr>
          <w:p w14:paraId="5EDCAD16">
            <w:pPr>
              <w:widowControl/>
              <w:jc w:val="center"/>
              <w:textAlignment w:val="center"/>
              <w:rPr>
                <w:szCs w:val="21"/>
              </w:rPr>
            </w:pPr>
            <w:r>
              <w:rPr>
                <w:kern w:val="0"/>
                <w:szCs w:val="21"/>
                <w:lang w:bidi="ar"/>
              </w:rPr>
              <w:t>0.5L</w:t>
            </w:r>
          </w:p>
        </w:tc>
        <w:tc>
          <w:tcPr>
            <w:tcW w:w="460" w:type="pct"/>
            <w:noWrap w:val="0"/>
            <w:vAlign w:val="center"/>
          </w:tcPr>
          <w:p w14:paraId="02C93A30">
            <w:pPr>
              <w:widowControl/>
              <w:jc w:val="center"/>
              <w:textAlignment w:val="center"/>
              <w:rPr>
                <w:szCs w:val="21"/>
              </w:rPr>
            </w:pPr>
            <w:r>
              <w:rPr>
                <w:kern w:val="0"/>
                <w:szCs w:val="21"/>
                <w:lang w:bidi="ar"/>
              </w:rPr>
              <w:t>0.031</w:t>
            </w:r>
          </w:p>
        </w:tc>
        <w:tc>
          <w:tcPr>
            <w:tcW w:w="223" w:type="pct"/>
            <w:noWrap w:val="0"/>
            <w:vAlign w:val="center"/>
          </w:tcPr>
          <w:p w14:paraId="3A386F4C">
            <w:pPr>
              <w:widowControl/>
              <w:jc w:val="center"/>
              <w:textAlignment w:val="center"/>
              <w:rPr>
                <w:szCs w:val="21"/>
              </w:rPr>
            </w:pPr>
            <w:r>
              <w:rPr>
                <w:kern w:val="0"/>
                <w:szCs w:val="21"/>
                <w:lang w:bidi="ar"/>
              </w:rPr>
              <w:t>0.81</w:t>
            </w:r>
          </w:p>
        </w:tc>
        <w:tc>
          <w:tcPr>
            <w:tcW w:w="219" w:type="pct"/>
            <w:noWrap w:val="0"/>
            <w:vAlign w:val="center"/>
          </w:tcPr>
          <w:p w14:paraId="4658DB2F">
            <w:pPr>
              <w:widowControl/>
              <w:jc w:val="center"/>
              <w:textAlignment w:val="center"/>
              <w:rPr>
                <w:szCs w:val="21"/>
              </w:rPr>
            </w:pPr>
            <w:r>
              <w:rPr>
                <w:kern w:val="0"/>
                <w:szCs w:val="21"/>
                <w:lang w:bidi="ar"/>
              </w:rPr>
              <w:t>0.02</w:t>
            </w:r>
          </w:p>
        </w:tc>
        <w:tc>
          <w:tcPr>
            <w:tcW w:w="267" w:type="pct"/>
            <w:noWrap w:val="0"/>
            <w:vAlign w:val="center"/>
          </w:tcPr>
          <w:p w14:paraId="7A2BA92E">
            <w:pPr>
              <w:widowControl/>
              <w:jc w:val="center"/>
              <w:textAlignment w:val="center"/>
              <w:rPr>
                <w:szCs w:val="21"/>
              </w:rPr>
            </w:pPr>
            <w:r>
              <w:rPr>
                <w:kern w:val="0"/>
                <w:szCs w:val="21"/>
                <w:lang w:bidi="ar"/>
              </w:rPr>
              <w:t>0.01L</w:t>
            </w:r>
          </w:p>
        </w:tc>
        <w:tc>
          <w:tcPr>
            <w:tcW w:w="324" w:type="pct"/>
            <w:noWrap w:val="0"/>
            <w:vAlign w:val="center"/>
          </w:tcPr>
          <w:p w14:paraId="77734C1F">
            <w:pPr>
              <w:widowControl/>
              <w:jc w:val="center"/>
              <w:textAlignment w:val="center"/>
              <w:rPr>
                <w:szCs w:val="21"/>
              </w:rPr>
            </w:pPr>
            <w:r>
              <w:rPr>
                <w:kern w:val="0"/>
                <w:szCs w:val="21"/>
                <w:lang w:bidi="ar"/>
              </w:rPr>
              <w:t>0.23</w:t>
            </w:r>
          </w:p>
        </w:tc>
        <w:tc>
          <w:tcPr>
            <w:tcW w:w="372" w:type="pct"/>
            <w:noWrap w:val="0"/>
            <w:vAlign w:val="center"/>
          </w:tcPr>
          <w:p w14:paraId="17B01C74">
            <w:pPr>
              <w:widowControl/>
              <w:jc w:val="center"/>
              <w:textAlignment w:val="center"/>
              <w:rPr>
                <w:szCs w:val="21"/>
              </w:rPr>
            </w:pPr>
            <w:r>
              <w:rPr>
                <w:kern w:val="0"/>
                <w:szCs w:val="21"/>
                <w:lang w:bidi="ar"/>
              </w:rPr>
              <w:t>0.005L</w:t>
            </w:r>
          </w:p>
        </w:tc>
        <w:tc>
          <w:tcPr>
            <w:tcW w:w="513" w:type="pct"/>
            <w:gridSpan w:val="2"/>
            <w:noWrap w:val="0"/>
            <w:vAlign w:val="center"/>
          </w:tcPr>
          <w:p w14:paraId="3326FABE">
            <w:pPr>
              <w:widowControl/>
              <w:jc w:val="center"/>
              <w:textAlignment w:val="center"/>
              <w:rPr>
                <w:szCs w:val="21"/>
              </w:rPr>
            </w:pPr>
            <w:r>
              <w:rPr>
                <w:kern w:val="0"/>
                <w:szCs w:val="21"/>
                <w:lang w:bidi="ar"/>
              </w:rPr>
              <w:t>150</w:t>
            </w:r>
          </w:p>
        </w:tc>
      </w:tr>
      <w:tr w14:paraId="63F7D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235" w:type="pct"/>
            <w:gridSpan w:val="2"/>
            <w:vMerge w:val="continue"/>
            <w:noWrap w:val="0"/>
            <w:vAlign w:val="center"/>
          </w:tcPr>
          <w:p w14:paraId="38853580">
            <w:pPr>
              <w:jc w:val="center"/>
              <w:rPr>
                <w:szCs w:val="21"/>
              </w:rPr>
            </w:pPr>
          </w:p>
        </w:tc>
        <w:tc>
          <w:tcPr>
            <w:tcW w:w="383" w:type="pct"/>
            <w:noWrap w:val="0"/>
            <w:vAlign w:val="center"/>
          </w:tcPr>
          <w:p w14:paraId="45CFCBD4">
            <w:pPr>
              <w:widowControl/>
              <w:jc w:val="center"/>
              <w:textAlignment w:val="center"/>
              <w:rPr>
                <w:szCs w:val="21"/>
              </w:rPr>
            </w:pPr>
            <w:r>
              <w:rPr>
                <w:kern w:val="0"/>
                <w:szCs w:val="21"/>
                <w:lang w:bidi="ar"/>
              </w:rPr>
              <w:t>2021/3/30</w:t>
            </w:r>
          </w:p>
        </w:tc>
        <w:tc>
          <w:tcPr>
            <w:tcW w:w="394" w:type="pct"/>
            <w:noWrap w:val="0"/>
            <w:vAlign w:val="center"/>
          </w:tcPr>
          <w:p w14:paraId="5D01A66D">
            <w:pPr>
              <w:widowControl/>
              <w:jc w:val="center"/>
              <w:textAlignment w:val="center"/>
              <w:rPr>
                <w:szCs w:val="21"/>
              </w:rPr>
            </w:pPr>
            <w:r>
              <w:rPr>
                <w:kern w:val="0"/>
                <w:szCs w:val="21"/>
                <w:lang w:bidi="ar"/>
              </w:rPr>
              <w:t>7.18</w:t>
            </w:r>
          </w:p>
        </w:tc>
        <w:tc>
          <w:tcPr>
            <w:tcW w:w="335" w:type="pct"/>
            <w:noWrap w:val="0"/>
            <w:vAlign w:val="center"/>
          </w:tcPr>
          <w:p w14:paraId="23C1847A">
            <w:pPr>
              <w:widowControl/>
              <w:jc w:val="center"/>
              <w:textAlignment w:val="center"/>
              <w:rPr>
                <w:szCs w:val="21"/>
              </w:rPr>
            </w:pPr>
            <w:r>
              <w:rPr>
                <w:kern w:val="0"/>
                <w:szCs w:val="21"/>
                <w:lang w:bidi="ar"/>
              </w:rPr>
              <w:t>6.6</w:t>
            </w:r>
          </w:p>
        </w:tc>
        <w:tc>
          <w:tcPr>
            <w:tcW w:w="390" w:type="pct"/>
            <w:noWrap w:val="0"/>
            <w:vAlign w:val="center"/>
          </w:tcPr>
          <w:p w14:paraId="0E6965B3">
            <w:pPr>
              <w:widowControl/>
              <w:jc w:val="center"/>
              <w:textAlignment w:val="center"/>
              <w:rPr>
                <w:szCs w:val="21"/>
              </w:rPr>
            </w:pPr>
            <w:r>
              <w:rPr>
                <w:kern w:val="0"/>
                <w:szCs w:val="21"/>
                <w:lang w:bidi="ar"/>
              </w:rPr>
              <w:t>4L</w:t>
            </w:r>
          </w:p>
        </w:tc>
        <w:tc>
          <w:tcPr>
            <w:tcW w:w="455" w:type="pct"/>
            <w:noWrap w:val="0"/>
            <w:vAlign w:val="center"/>
          </w:tcPr>
          <w:p w14:paraId="0AD00185">
            <w:pPr>
              <w:widowControl/>
              <w:jc w:val="center"/>
              <w:textAlignment w:val="center"/>
              <w:rPr>
                <w:szCs w:val="21"/>
              </w:rPr>
            </w:pPr>
            <w:r>
              <w:rPr>
                <w:kern w:val="0"/>
                <w:szCs w:val="21"/>
                <w:lang w:bidi="ar"/>
              </w:rPr>
              <w:t>0.5L</w:t>
            </w:r>
          </w:p>
        </w:tc>
        <w:tc>
          <w:tcPr>
            <w:tcW w:w="423" w:type="pct"/>
            <w:noWrap w:val="0"/>
            <w:vAlign w:val="center"/>
          </w:tcPr>
          <w:p w14:paraId="193DC907">
            <w:pPr>
              <w:widowControl/>
              <w:jc w:val="center"/>
              <w:textAlignment w:val="center"/>
              <w:rPr>
                <w:szCs w:val="21"/>
              </w:rPr>
            </w:pPr>
            <w:r>
              <w:rPr>
                <w:kern w:val="0"/>
                <w:szCs w:val="21"/>
                <w:lang w:bidi="ar"/>
              </w:rPr>
              <w:t>0.5L</w:t>
            </w:r>
          </w:p>
        </w:tc>
        <w:tc>
          <w:tcPr>
            <w:tcW w:w="460" w:type="pct"/>
            <w:noWrap w:val="0"/>
            <w:vAlign w:val="center"/>
          </w:tcPr>
          <w:p w14:paraId="53436A29">
            <w:pPr>
              <w:widowControl/>
              <w:jc w:val="center"/>
              <w:textAlignment w:val="center"/>
              <w:rPr>
                <w:szCs w:val="21"/>
              </w:rPr>
            </w:pPr>
            <w:r>
              <w:rPr>
                <w:kern w:val="0"/>
                <w:szCs w:val="21"/>
                <w:lang w:bidi="ar"/>
              </w:rPr>
              <w:t>0.037</w:t>
            </w:r>
          </w:p>
        </w:tc>
        <w:tc>
          <w:tcPr>
            <w:tcW w:w="223" w:type="pct"/>
            <w:noWrap w:val="0"/>
            <w:vAlign w:val="center"/>
          </w:tcPr>
          <w:p w14:paraId="529C35CE">
            <w:pPr>
              <w:widowControl/>
              <w:jc w:val="center"/>
              <w:textAlignment w:val="center"/>
              <w:rPr>
                <w:szCs w:val="21"/>
              </w:rPr>
            </w:pPr>
            <w:r>
              <w:rPr>
                <w:kern w:val="0"/>
                <w:szCs w:val="21"/>
                <w:lang w:bidi="ar"/>
              </w:rPr>
              <w:t>0.87</w:t>
            </w:r>
          </w:p>
        </w:tc>
        <w:tc>
          <w:tcPr>
            <w:tcW w:w="219" w:type="pct"/>
            <w:noWrap w:val="0"/>
            <w:vAlign w:val="center"/>
          </w:tcPr>
          <w:p w14:paraId="09A44669">
            <w:pPr>
              <w:widowControl/>
              <w:jc w:val="center"/>
              <w:textAlignment w:val="center"/>
              <w:rPr>
                <w:szCs w:val="21"/>
              </w:rPr>
            </w:pPr>
            <w:r>
              <w:rPr>
                <w:kern w:val="0"/>
                <w:szCs w:val="21"/>
                <w:lang w:bidi="ar"/>
              </w:rPr>
              <w:t>0.01</w:t>
            </w:r>
          </w:p>
        </w:tc>
        <w:tc>
          <w:tcPr>
            <w:tcW w:w="267" w:type="pct"/>
            <w:noWrap w:val="0"/>
            <w:vAlign w:val="center"/>
          </w:tcPr>
          <w:p w14:paraId="7028F102">
            <w:pPr>
              <w:widowControl/>
              <w:jc w:val="center"/>
              <w:textAlignment w:val="center"/>
              <w:rPr>
                <w:szCs w:val="21"/>
              </w:rPr>
            </w:pPr>
            <w:r>
              <w:rPr>
                <w:kern w:val="0"/>
                <w:szCs w:val="21"/>
                <w:lang w:bidi="ar"/>
              </w:rPr>
              <w:t>0.01L</w:t>
            </w:r>
          </w:p>
        </w:tc>
        <w:tc>
          <w:tcPr>
            <w:tcW w:w="324" w:type="pct"/>
            <w:noWrap w:val="0"/>
            <w:vAlign w:val="center"/>
          </w:tcPr>
          <w:p w14:paraId="353F1CB1">
            <w:pPr>
              <w:widowControl/>
              <w:jc w:val="center"/>
              <w:textAlignment w:val="center"/>
              <w:rPr>
                <w:szCs w:val="21"/>
              </w:rPr>
            </w:pPr>
            <w:r>
              <w:rPr>
                <w:kern w:val="0"/>
                <w:szCs w:val="21"/>
                <w:lang w:bidi="ar"/>
              </w:rPr>
              <w:t>0.2</w:t>
            </w:r>
          </w:p>
        </w:tc>
        <w:tc>
          <w:tcPr>
            <w:tcW w:w="372" w:type="pct"/>
            <w:noWrap w:val="0"/>
            <w:vAlign w:val="center"/>
          </w:tcPr>
          <w:p w14:paraId="712ED1B9">
            <w:pPr>
              <w:widowControl/>
              <w:jc w:val="center"/>
              <w:textAlignment w:val="center"/>
              <w:rPr>
                <w:szCs w:val="21"/>
              </w:rPr>
            </w:pPr>
            <w:r>
              <w:rPr>
                <w:kern w:val="0"/>
                <w:szCs w:val="21"/>
                <w:lang w:bidi="ar"/>
              </w:rPr>
              <w:t>0.005L</w:t>
            </w:r>
          </w:p>
        </w:tc>
        <w:tc>
          <w:tcPr>
            <w:tcW w:w="513" w:type="pct"/>
            <w:gridSpan w:val="2"/>
            <w:noWrap w:val="0"/>
            <w:vAlign w:val="center"/>
          </w:tcPr>
          <w:p w14:paraId="51267ECC">
            <w:pPr>
              <w:widowControl/>
              <w:jc w:val="center"/>
              <w:textAlignment w:val="center"/>
              <w:rPr>
                <w:szCs w:val="21"/>
              </w:rPr>
            </w:pPr>
            <w:r>
              <w:rPr>
                <w:kern w:val="0"/>
                <w:szCs w:val="21"/>
                <w:lang w:bidi="ar"/>
              </w:rPr>
              <w:t>160</w:t>
            </w:r>
          </w:p>
        </w:tc>
      </w:tr>
      <w:tr w14:paraId="11378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235" w:type="pct"/>
            <w:gridSpan w:val="2"/>
            <w:vMerge w:val="continue"/>
            <w:noWrap w:val="0"/>
            <w:vAlign w:val="center"/>
          </w:tcPr>
          <w:p w14:paraId="0EC92213">
            <w:pPr>
              <w:jc w:val="center"/>
              <w:rPr>
                <w:szCs w:val="21"/>
              </w:rPr>
            </w:pPr>
          </w:p>
        </w:tc>
        <w:tc>
          <w:tcPr>
            <w:tcW w:w="383" w:type="pct"/>
            <w:noWrap w:val="0"/>
            <w:vAlign w:val="center"/>
          </w:tcPr>
          <w:p w14:paraId="0FE7A617">
            <w:pPr>
              <w:widowControl/>
              <w:jc w:val="center"/>
              <w:textAlignment w:val="center"/>
              <w:rPr>
                <w:szCs w:val="21"/>
              </w:rPr>
            </w:pPr>
            <w:r>
              <w:rPr>
                <w:kern w:val="0"/>
                <w:szCs w:val="21"/>
                <w:lang w:bidi="ar"/>
              </w:rPr>
              <w:t>最大值</w:t>
            </w:r>
          </w:p>
        </w:tc>
        <w:tc>
          <w:tcPr>
            <w:tcW w:w="394" w:type="pct"/>
            <w:noWrap/>
            <w:vAlign w:val="center"/>
          </w:tcPr>
          <w:p w14:paraId="150BD7AE">
            <w:pPr>
              <w:widowControl/>
              <w:jc w:val="center"/>
              <w:textAlignment w:val="center"/>
              <w:rPr>
                <w:szCs w:val="21"/>
              </w:rPr>
            </w:pPr>
            <w:r>
              <w:rPr>
                <w:kern w:val="0"/>
                <w:szCs w:val="21"/>
                <w:lang w:bidi="ar"/>
              </w:rPr>
              <w:t>7.26</w:t>
            </w:r>
          </w:p>
        </w:tc>
        <w:tc>
          <w:tcPr>
            <w:tcW w:w="335" w:type="pct"/>
            <w:noWrap/>
            <w:vAlign w:val="center"/>
          </w:tcPr>
          <w:p w14:paraId="6A6CF70C">
            <w:pPr>
              <w:widowControl/>
              <w:jc w:val="center"/>
              <w:textAlignment w:val="center"/>
              <w:rPr>
                <w:szCs w:val="21"/>
              </w:rPr>
            </w:pPr>
            <w:r>
              <w:rPr>
                <w:kern w:val="0"/>
                <w:szCs w:val="21"/>
                <w:lang w:bidi="ar"/>
              </w:rPr>
              <w:t>6.7</w:t>
            </w:r>
          </w:p>
        </w:tc>
        <w:tc>
          <w:tcPr>
            <w:tcW w:w="390" w:type="pct"/>
            <w:noWrap/>
            <w:vAlign w:val="center"/>
          </w:tcPr>
          <w:p w14:paraId="073E4848">
            <w:pPr>
              <w:widowControl/>
              <w:jc w:val="center"/>
              <w:textAlignment w:val="center"/>
              <w:rPr>
                <w:szCs w:val="21"/>
              </w:rPr>
            </w:pPr>
            <w:r>
              <w:rPr>
                <w:kern w:val="0"/>
                <w:szCs w:val="21"/>
                <w:lang w:bidi="ar"/>
              </w:rPr>
              <w:t>0</w:t>
            </w:r>
          </w:p>
        </w:tc>
        <w:tc>
          <w:tcPr>
            <w:tcW w:w="455" w:type="pct"/>
            <w:noWrap/>
            <w:vAlign w:val="center"/>
          </w:tcPr>
          <w:p w14:paraId="0714A623">
            <w:pPr>
              <w:widowControl/>
              <w:jc w:val="center"/>
              <w:textAlignment w:val="center"/>
              <w:rPr>
                <w:szCs w:val="21"/>
              </w:rPr>
            </w:pPr>
            <w:r>
              <w:rPr>
                <w:kern w:val="0"/>
                <w:szCs w:val="21"/>
                <w:lang w:bidi="ar"/>
              </w:rPr>
              <w:t>0</w:t>
            </w:r>
          </w:p>
        </w:tc>
        <w:tc>
          <w:tcPr>
            <w:tcW w:w="423" w:type="pct"/>
            <w:noWrap/>
            <w:vAlign w:val="center"/>
          </w:tcPr>
          <w:p w14:paraId="3EF6BD2D">
            <w:pPr>
              <w:widowControl/>
              <w:jc w:val="center"/>
              <w:textAlignment w:val="center"/>
              <w:rPr>
                <w:szCs w:val="21"/>
              </w:rPr>
            </w:pPr>
            <w:r>
              <w:rPr>
                <w:kern w:val="0"/>
                <w:szCs w:val="21"/>
                <w:lang w:bidi="ar"/>
              </w:rPr>
              <w:t>0</w:t>
            </w:r>
          </w:p>
        </w:tc>
        <w:tc>
          <w:tcPr>
            <w:tcW w:w="460" w:type="pct"/>
            <w:noWrap/>
            <w:vAlign w:val="center"/>
          </w:tcPr>
          <w:p w14:paraId="6A135006">
            <w:pPr>
              <w:widowControl/>
              <w:jc w:val="center"/>
              <w:textAlignment w:val="center"/>
              <w:rPr>
                <w:szCs w:val="21"/>
              </w:rPr>
            </w:pPr>
            <w:r>
              <w:rPr>
                <w:kern w:val="0"/>
                <w:szCs w:val="21"/>
                <w:lang w:bidi="ar"/>
              </w:rPr>
              <w:t>0.037</w:t>
            </w:r>
          </w:p>
        </w:tc>
        <w:tc>
          <w:tcPr>
            <w:tcW w:w="223" w:type="pct"/>
            <w:noWrap/>
            <w:vAlign w:val="center"/>
          </w:tcPr>
          <w:p w14:paraId="199DAC06">
            <w:pPr>
              <w:widowControl/>
              <w:jc w:val="center"/>
              <w:textAlignment w:val="center"/>
              <w:rPr>
                <w:szCs w:val="21"/>
              </w:rPr>
            </w:pPr>
            <w:r>
              <w:rPr>
                <w:kern w:val="0"/>
                <w:szCs w:val="21"/>
                <w:lang w:bidi="ar"/>
              </w:rPr>
              <w:t>0.87</w:t>
            </w:r>
          </w:p>
        </w:tc>
        <w:tc>
          <w:tcPr>
            <w:tcW w:w="219" w:type="pct"/>
            <w:noWrap/>
            <w:vAlign w:val="center"/>
          </w:tcPr>
          <w:p w14:paraId="29C4F730">
            <w:pPr>
              <w:widowControl/>
              <w:jc w:val="center"/>
              <w:textAlignment w:val="center"/>
              <w:rPr>
                <w:szCs w:val="21"/>
              </w:rPr>
            </w:pPr>
            <w:r>
              <w:rPr>
                <w:kern w:val="0"/>
                <w:szCs w:val="21"/>
                <w:lang w:bidi="ar"/>
              </w:rPr>
              <w:t>0.02</w:t>
            </w:r>
          </w:p>
        </w:tc>
        <w:tc>
          <w:tcPr>
            <w:tcW w:w="267" w:type="pct"/>
            <w:noWrap/>
            <w:vAlign w:val="center"/>
          </w:tcPr>
          <w:p w14:paraId="1F14E32D">
            <w:pPr>
              <w:widowControl/>
              <w:jc w:val="center"/>
              <w:textAlignment w:val="center"/>
              <w:rPr>
                <w:szCs w:val="21"/>
              </w:rPr>
            </w:pPr>
            <w:r>
              <w:rPr>
                <w:kern w:val="0"/>
                <w:szCs w:val="21"/>
                <w:lang w:bidi="ar"/>
              </w:rPr>
              <w:t>0</w:t>
            </w:r>
          </w:p>
        </w:tc>
        <w:tc>
          <w:tcPr>
            <w:tcW w:w="324" w:type="pct"/>
            <w:noWrap/>
            <w:vAlign w:val="center"/>
          </w:tcPr>
          <w:p w14:paraId="16F91314">
            <w:pPr>
              <w:widowControl/>
              <w:jc w:val="center"/>
              <w:textAlignment w:val="center"/>
              <w:rPr>
                <w:szCs w:val="21"/>
              </w:rPr>
            </w:pPr>
            <w:r>
              <w:rPr>
                <w:kern w:val="0"/>
                <w:szCs w:val="21"/>
                <w:lang w:bidi="ar"/>
              </w:rPr>
              <w:t>0.23</w:t>
            </w:r>
          </w:p>
        </w:tc>
        <w:tc>
          <w:tcPr>
            <w:tcW w:w="372" w:type="pct"/>
            <w:noWrap/>
            <w:vAlign w:val="center"/>
          </w:tcPr>
          <w:p w14:paraId="3230FB81">
            <w:pPr>
              <w:widowControl/>
              <w:jc w:val="center"/>
              <w:textAlignment w:val="center"/>
              <w:rPr>
                <w:szCs w:val="21"/>
              </w:rPr>
            </w:pPr>
            <w:r>
              <w:rPr>
                <w:kern w:val="0"/>
                <w:szCs w:val="21"/>
                <w:lang w:bidi="ar"/>
              </w:rPr>
              <w:t>0</w:t>
            </w:r>
          </w:p>
        </w:tc>
        <w:tc>
          <w:tcPr>
            <w:tcW w:w="513" w:type="pct"/>
            <w:gridSpan w:val="2"/>
            <w:noWrap/>
            <w:vAlign w:val="center"/>
          </w:tcPr>
          <w:p w14:paraId="105EEB30">
            <w:pPr>
              <w:widowControl/>
              <w:jc w:val="center"/>
              <w:textAlignment w:val="center"/>
              <w:rPr>
                <w:szCs w:val="21"/>
              </w:rPr>
            </w:pPr>
            <w:r>
              <w:rPr>
                <w:kern w:val="0"/>
                <w:szCs w:val="21"/>
                <w:lang w:bidi="ar"/>
              </w:rPr>
              <w:t>170</w:t>
            </w:r>
          </w:p>
        </w:tc>
      </w:tr>
      <w:tr w14:paraId="09869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35" w:type="pct"/>
            <w:gridSpan w:val="2"/>
            <w:vMerge w:val="continue"/>
            <w:noWrap w:val="0"/>
            <w:vAlign w:val="center"/>
          </w:tcPr>
          <w:p w14:paraId="190FE74A">
            <w:pPr>
              <w:jc w:val="center"/>
              <w:rPr>
                <w:szCs w:val="21"/>
              </w:rPr>
            </w:pPr>
          </w:p>
        </w:tc>
        <w:tc>
          <w:tcPr>
            <w:tcW w:w="383" w:type="pct"/>
            <w:noWrap w:val="0"/>
            <w:vAlign w:val="center"/>
          </w:tcPr>
          <w:p w14:paraId="270E6DBB">
            <w:pPr>
              <w:widowControl/>
              <w:jc w:val="center"/>
              <w:textAlignment w:val="center"/>
              <w:rPr>
                <w:szCs w:val="21"/>
              </w:rPr>
            </w:pPr>
            <w:r>
              <w:rPr>
                <w:kern w:val="0"/>
                <w:szCs w:val="21"/>
                <w:lang w:bidi="ar"/>
              </w:rPr>
              <w:t>标准</w:t>
            </w:r>
          </w:p>
        </w:tc>
        <w:tc>
          <w:tcPr>
            <w:tcW w:w="394" w:type="pct"/>
            <w:noWrap/>
            <w:vAlign w:val="center"/>
          </w:tcPr>
          <w:p w14:paraId="1799AD0C">
            <w:pPr>
              <w:widowControl/>
              <w:jc w:val="center"/>
              <w:textAlignment w:val="center"/>
              <w:rPr>
                <w:szCs w:val="21"/>
              </w:rPr>
            </w:pPr>
            <w:r>
              <w:rPr>
                <w:kern w:val="0"/>
                <w:szCs w:val="21"/>
                <w:lang w:bidi="ar"/>
              </w:rPr>
              <w:t>6-9</w:t>
            </w:r>
          </w:p>
        </w:tc>
        <w:tc>
          <w:tcPr>
            <w:tcW w:w="335" w:type="pct"/>
            <w:noWrap/>
            <w:vAlign w:val="center"/>
          </w:tcPr>
          <w:p w14:paraId="228F0FA5">
            <w:pPr>
              <w:widowControl/>
              <w:jc w:val="center"/>
              <w:textAlignment w:val="center"/>
              <w:rPr>
                <w:szCs w:val="21"/>
              </w:rPr>
            </w:pPr>
            <w:r>
              <w:rPr>
                <w:kern w:val="0"/>
                <w:szCs w:val="21"/>
                <w:lang w:bidi="ar"/>
              </w:rPr>
              <w:t>6</w:t>
            </w:r>
          </w:p>
        </w:tc>
        <w:tc>
          <w:tcPr>
            <w:tcW w:w="390" w:type="pct"/>
            <w:noWrap/>
            <w:vAlign w:val="center"/>
          </w:tcPr>
          <w:p w14:paraId="643FDAFD">
            <w:pPr>
              <w:widowControl/>
              <w:jc w:val="center"/>
              <w:textAlignment w:val="center"/>
              <w:rPr>
                <w:szCs w:val="21"/>
              </w:rPr>
            </w:pPr>
            <w:r>
              <w:rPr>
                <w:kern w:val="0"/>
                <w:szCs w:val="21"/>
                <w:lang w:bidi="ar"/>
              </w:rPr>
              <w:t>15</w:t>
            </w:r>
          </w:p>
        </w:tc>
        <w:tc>
          <w:tcPr>
            <w:tcW w:w="455" w:type="pct"/>
            <w:noWrap/>
            <w:vAlign w:val="center"/>
          </w:tcPr>
          <w:p w14:paraId="53DEF8C4">
            <w:pPr>
              <w:widowControl/>
              <w:jc w:val="center"/>
              <w:textAlignment w:val="center"/>
              <w:rPr>
                <w:szCs w:val="21"/>
              </w:rPr>
            </w:pPr>
            <w:r>
              <w:rPr>
                <w:kern w:val="0"/>
                <w:szCs w:val="21"/>
                <w:lang w:bidi="ar"/>
              </w:rPr>
              <w:t>4</w:t>
            </w:r>
          </w:p>
        </w:tc>
        <w:tc>
          <w:tcPr>
            <w:tcW w:w="423" w:type="pct"/>
            <w:noWrap/>
            <w:vAlign w:val="center"/>
          </w:tcPr>
          <w:p w14:paraId="3328B91B">
            <w:pPr>
              <w:widowControl/>
              <w:jc w:val="center"/>
              <w:textAlignment w:val="center"/>
              <w:rPr>
                <w:szCs w:val="21"/>
              </w:rPr>
            </w:pPr>
            <w:r>
              <w:rPr>
                <w:kern w:val="0"/>
                <w:szCs w:val="21"/>
                <w:lang w:bidi="ar"/>
              </w:rPr>
              <w:t>3</w:t>
            </w:r>
          </w:p>
        </w:tc>
        <w:tc>
          <w:tcPr>
            <w:tcW w:w="460" w:type="pct"/>
            <w:noWrap/>
            <w:vAlign w:val="center"/>
          </w:tcPr>
          <w:p w14:paraId="72CEE8D5">
            <w:pPr>
              <w:widowControl/>
              <w:jc w:val="center"/>
              <w:textAlignment w:val="center"/>
              <w:rPr>
                <w:szCs w:val="21"/>
              </w:rPr>
            </w:pPr>
            <w:r>
              <w:rPr>
                <w:kern w:val="0"/>
                <w:szCs w:val="21"/>
                <w:lang w:bidi="ar"/>
              </w:rPr>
              <w:t>0.5</w:t>
            </w:r>
          </w:p>
        </w:tc>
        <w:tc>
          <w:tcPr>
            <w:tcW w:w="223" w:type="pct"/>
            <w:noWrap/>
            <w:vAlign w:val="center"/>
          </w:tcPr>
          <w:p w14:paraId="42F47DFA">
            <w:pPr>
              <w:widowControl/>
              <w:jc w:val="center"/>
              <w:textAlignment w:val="center"/>
              <w:rPr>
                <w:szCs w:val="21"/>
              </w:rPr>
            </w:pPr>
            <w:r>
              <w:rPr>
                <w:kern w:val="0"/>
                <w:szCs w:val="21"/>
                <w:lang w:bidi="ar"/>
              </w:rPr>
              <w:t>0.5</w:t>
            </w:r>
          </w:p>
        </w:tc>
        <w:tc>
          <w:tcPr>
            <w:tcW w:w="219" w:type="pct"/>
            <w:noWrap/>
            <w:vAlign w:val="center"/>
          </w:tcPr>
          <w:p w14:paraId="5B4C32E0">
            <w:pPr>
              <w:widowControl/>
              <w:jc w:val="center"/>
              <w:textAlignment w:val="center"/>
              <w:rPr>
                <w:szCs w:val="21"/>
              </w:rPr>
            </w:pPr>
            <w:r>
              <w:rPr>
                <w:kern w:val="0"/>
                <w:szCs w:val="21"/>
                <w:lang w:bidi="ar"/>
              </w:rPr>
              <w:t>0.1</w:t>
            </w:r>
          </w:p>
        </w:tc>
        <w:tc>
          <w:tcPr>
            <w:tcW w:w="267" w:type="pct"/>
            <w:noWrap/>
            <w:vAlign w:val="center"/>
          </w:tcPr>
          <w:p w14:paraId="24A4791E">
            <w:pPr>
              <w:widowControl/>
              <w:jc w:val="center"/>
              <w:textAlignment w:val="center"/>
              <w:rPr>
                <w:szCs w:val="21"/>
              </w:rPr>
            </w:pPr>
            <w:r>
              <w:rPr>
                <w:kern w:val="0"/>
                <w:szCs w:val="21"/>
                <w:lang w:bidi="ar"/>
              </w:rPr>
              <w:t>0.05</w:t>
            </w:r>
          </w:p>
        </w:tc>
        <w:tc>
          <w:tcPr>
            <w:tcW w:w="324" w:type="pct"/>
            <w:noWrap/>
            <w:vAlign w:val="center"/>
          </w:tcPr>
          <w:p w14:paraId="2B9BCCDE">
            <w:pPr>
              <w:widowControl/>
              <w:jc w:val="center"/>
              <w:textAlignment w:val="center"/>
              <w:rPr>
                <w:szCs w:val="21"/>
              </w:rPr>
            </w:pPr>
            <w:r>
              <w:rPr>
                <w:kern w:val="0"/>
                <w:szCs w:val="21"/>
                <w:lang w:bidi="ar"/>
              </w:rPr>
              <w:t>1</w:t>
            </w:r>
          </w:p>
        </w:tc>
        <w:tc>
          <w:tcPr>
            <w:tcW w:w="372" w:type="pct"/>
            <w:noWrap/>
            <w:vAlign w:val="center"/>
          </w:tcPr>
          <w:p w14:paraId="559808FD">
            <w:pPr>
              <w:widowControl/>
              <w:jc w:val="center"/>
              <w:textAlignment w:val="center"/>
              <w:rPr>
                <w:szCs w:val="21"/>
              </w:rPr>
            </w:pPr>
            <w:r>
              <w:rPr>
                <w:kern w:val="0"/>
                <w:szCs w:val="21"/>
                <w:lang w:bidi="ar"/>
              </w:rPr>
              <w:t>0.1</w:t>
            </w:r>
          </w:p>
        </w:tc>
        <w:tc>
          <w:tcPr>
            <w:tcW w:w="513" w:type="pct"/>
            <w:gridSpan w:val="2"/>
            <w:noWrap/>
            <w:vAlign w:val="center"/>
          </w:tcPr>
          <w:p w14:paraId="748BD30D">
            <w:pPr>
              <w:widowControl/>
              <w:jc w:val="center"/>
              <w:textAlignment w:val="center"/>
              <w:rPr>
                <w:szCs w:val="21"/>
              </w:rPr>
            </w:pPr>
            <w:r>
              <w:rPr>
                <w:kern w:val="0"/>
                <w:szCs w:val="21"/>
                <w:lang w:bidi="ar"/>
              </w:rPr>
              <w:t>2000</w:t>
            </w:r>
          </w:p>
        </w:tc>
      </w:tr>
      <w:tr w14:paraId="73D1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235" w:type="pct"/>
            <w:gridSpan w:val="2"/>
            <w:vMerge w:val="continue"/>
            <w:noWrap w:val="0"/>
            <w:vAlign w:val="center"/>
          </w:tcPr>
          <w:p w14:paraId="1CB69CCE">
            <w:pPr>
              <w:jc w:val="center"/>
              <w:rPr>
                <w:szCs w:val="21"/>
              </w:rPr>
            </w:pPr>
          </w:p>
        </w:tc>
        <w:tc>
          <w:tcPr>
            <w:tcW w:w="383" w:type="pct"/>
            <w:noWrap w:val="0"/>
            <w:vAlign w:val="center"/>
          </w:tcPr>
          <w:p w14:paraId="584F2637">
            <w:pPr>
              <w:widowControl/>
              <w:jc w:val="center"/>
              <w:textAlignment w:val="center"/>
              <w:rPr>
                <w:szCs w:val="21"/>
              </w:rPr>
            </w:pPr>
            <w:r>
              <w:rPr>
                <w:kern w:val="0"/>
                <w:szCs w:val="21"/>
                <w:lang w:bidi="ar"/>
              </w:rPr>
              <w:t>最大标准指数</w:t>
            </w:r>
          </w:p>
        </w:tc>
        <w:tc>
          <w:tcPr>
            <w:tcW w:w="394" w:type="pct"/>
            <w:noWrap/>
            <w:vAlign w:val="center"/>
          </w:tcPr>
          <w:p w14:paraId="3B66B876">
            <w:pPr>
              <w:widowControl/>
              <w:jc w:val="center"/>
              <w:textAlignment w:val="center"/>
              <w:rPr>
                <w:szCs w:val="21"/>
              </w:rPr>
            </w:pPr>
            <w:r>
              <w:rPr>
                <w:kern w:val="0"/>
                <w:szCs w:val="21"/>
                <w:lang w:bidi="ar"/>
              </w:rPr>
              <w:t>0.13</w:t>
            </w:r>
          </w:p>
        </w:tc>
        <w:tc>
          <w:tcPr>
            <w:tcW w:w="335" w:type="pct"/>
            <w:noWrap/>
            <w:vAlign w:val="center"/>
          </w:tcPr>
          <w:p w14:paraId="388B62AC">
            <w:pPr>
              <w:widowControl/>
              <w:jc w:val="center"/>
              <w:textAlignment w:val="center"/>
              <w:rPr>
                <w:szCs w:val="21"/>
              </w:rPr>
            </w:pPr>
            <w:r>
              <w:rPr>
                <w:kern w:val="0"/>
                <w:szCs w:val="21"/>
                <w:lang w:bidi="ar"/>
              </w:rPr>
              <w:t>0.90</w:t>
            </w:r>
          </w:p>
        </w:tc>
        <w:tc>
          <w:tcPr>
            <w:tcW w:w="390" w:type="pct"/>
            <w:noWrap/>
            <w:vAlign w:val="center"/>
          </w:tcPr>
          <w:p w14:paraId="59FDB40B">
            <w:pPr>
              <w:widowControl/>
              <w:jc w:val="center"/>
              <w:textAlignment w:val="center"/>
              <w:rPr>
                <w:szCs w:val="21"/>
              </w:rPr>
            </w:pPr>
            <w:r>
              <w:rPr>
                <w:kern w:val="0"/>
                <w:szCs w:val="21"/>
                <w:lang w:bidi="ar"/>
              </w:rPr>
              <w:t>0</w:t>
            </w:r>
          </w:p>
        </w:tc>
        <w:tc>
          <w:tcPr>
            <w:tcW w:w="455" w:type="pct"/>
            <w:noWrap/>
            <w:vAlign w:val="center"/>
          </w:tcPr>
          <w:p w14:paraId="799524DB">
            <w:pPr>
              <w:widowControl/>
              <w:jc w:val="center"/>
              <w:textAlignment w:val="center"/>
              <w:rPr>
                <w:szCs w:val="21"/>
              </w:rPr>
            </w:pPr>
            <w:r>
              <w:rPr>
                <w:kern w:val="0"/>
                <w:szCs w:val="21"/>
                <w:lang w:bidi="ar"/>
              </w:rPr>
              <w:t>0</w:t>
            </w:r>
          </w:p>
        </w:tc>
        <w:tc>
          <w:tcPr>
            <w:tcW w:w="423" w:type="pct"/>
            <w:noWrap/>
            <w:vAlign w:val="center"/>
          </w:tcPr>
          <w:p w14:paraId="59BFA068">
            <w:pPr>
              <w:widowControl/>
              <w:jc w:val="center"/>
              <w:textAlignment w:val="center"/>
              <w:rPr>
                <w:szCs w:val="21"/>
              </w:rPr>
            </w:pPr>
            <w:r>
              <w:rPr>
                <w:kern w:val="0"/>
                <w:szCs w:val="21"/>
                <w:lang w:bidi="ar"/>
              </w:rPr>
              <w:t>0</w:t>
            </w:r>
          </w:p>
        </w:tc>
        <w:tc>
          <w:tcPr>
            <w:tcW w:w="460" w:type="pct"/>
            <w:noWrap/>
            <w:vAlign w:val="center"/>
          </w:tcPr>
          <w:p w14:paraId="32951DD7">
            <w:pPr>
              <w:widowControl/>
              <w:jc w:val="center"/>
              <w:textAlignment w:val="center"/>
              <w:rPr>
                <w:szCs w:val="21"/>
              </w:rPr>
            </w:pPr>
            <w:r>
              <w:rPr>
                <w:kern w:val="0"/>
                <w:szCs w:val="21"/>
                <w:lang w:bidi="ar"/>
              </w:rPr>
              <w:t>0.074</w:t>
            </w:r>
          </w:p>
        </w:tc>
        <w:tc>
          <w:tcPr>
            <w:tcW w:w="223" w:type="pct"/>
            <w:noWrap/>
            <w:vAlign w:val="center"/>
          </w:tcPr>
          <w:p w14:paraId="7A83CAD2">
            <w:pPr>
              <w:widowControl/>
              <w:jc w:val="center"/>
              <w:textAlignment w:val="center"/>
              <w:rPr>
                <w:szCs w:val="21"/>
              </w:rPr>
            </w:pPr>
            <w:r>
              <w:rPr>
                <w:kern w:val="0"/>
                <w:szCs w:val="21"/>
                <w:lang w:bidi="ar"/>
              </w:rPr>
              <w:t>1.74</w:t>
            </w:r>
          </w:p>
        </w:tc>
        <w:tc>
          <w:tcPr>
            <w:tcW w:w="219" w:type="pct"/>
            <w:noWrap/>
            <w:vAlign w:val="center"/>
          </w:tcPr>
          <w:p w14:paraId="46192CD0">
            <w:pPr>
              <w:widowControl/>
              <w:jc w:val="center"/>
              <w:textAlignment w:val="center"/>
              <w:rPr>
                <w:szCs w:val="21"/>
              </w:rPr>
            </w:pPr>
            <w:r>
              <w:rPr>
                <w:kern w:val="0"/>
                <w:szCs w:val="21"/>
                <w:lang w:bidi="ar"/>
              </w:rPr>
              <w:t>0.2</w:t>
            </w:r>
          </w:p>
        </w:tc>
        <w:tc>
          <w:tcPr>
            <w:tcW w:w="267" w:type="pct"/>
            <w:noWrap/>
            <w:vAlign w:val="center"/>
          </w:tcPr>
          <w:p w14:paraId="6D13D5C6">
            <w:pPr>
              <w:widowControl/>
              <w:jc w:val="center"/>
              <w:textAlignment w:val="center"/>
              <w:rPr>
                <w:szCs w:val="21"/>
              </w:rPr>
            </w:pPr>
            <w:r>
              <w:rPr>
                <w:kern w:val="0"/>
                <w:szCs w:val="21"/>
                <w:lang w:bidi="ar"/>
              </w:rPr>
              <w:t>0</w:t>
            </w:r>
          </w:p>
        </w:tc>
        <w:tc>
          <w:tcPr>
            <w:tcW w:w="324" w:type="pct"/>
            <w:noWrap/>
            <w:vAlign w:val="center"/>
          </w:tcPr>
          <w:p w14:paraId="2E841BFB">
            <w:pPr>
              <w:widowControl/>
              <w:jc w:val="center"/>
              <w:textAlignment w:val="center"/>
              <w:rPr>
                <w:szCs w:val="21"/>
              </w:rPr>
            </w:pPr>
            <w:r>
              <w:rPr>
                <w:kern w:val="0"/>
                <w:szCs w:val="21"/>
                <w:lang w:bidi="ar"/>
              </w:rPr>
              <w:t>0.23</w:t>
            </w:r>
          </w:p>
        </w:tc>
        <w:tc>
          <w:tcPr>
            <w:tcW w:w="372" w:type="pct"/>
            <w:noWrap/>
            <w:vAlign w:val="center"/>
          </w:tcPr>
          <w:p w14:paraId="705025E4">
            <w:pPr>
              <w:widowControl/>
              <w:jc w:val="center"/>
              <w:textAlignment w:val="center"/>
              <w:rPr>
                <w:szCs w:val="21"/>
              </w:rPr>
            </w:pPr>
            <w:r>
              <w:rPr>
                <w:kern w:val="0"/>
                <w:szCs w:val="21"/>
                <w:lang w:bidi="ar"/>
              </w:rPr>
              <w:t>0</w:t>
            </w:r>
          </w:p>
        </w:tc>
        <w:tc>
          <w:tcPr>
            <w:tcW w:w="513" w:type="pct"/>
            <w:gridSpan w:val="2"/>
            <w:noWrap/>
            <w:vAlign w:val="center"/>
          </w:tcPr>
          <w:p w14:paraId="76418CB0">
            <w:pPr>
              <w:widowControl/>
              <w:jc w:val="center"/>
              <w:textAlignment w:val="center"/>
              <w:rPr>
                <w:szCs w:val="21"/>
              </w:rPr>
            </w:pPr>
            <w:r>
              <w:rPr>
                <w:kern w:val="0"/>
                <w:szCs w:val="21"/>
                <w:lang w:bidi="ar"/>
              </w:rPr>
              <w:t>0.085</w:t>
            </w:r>
          </w:p>
        </w:tc>
      </w:tr>
      <w:tr w14:paraId="1A2FA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trPr>
        <w:tc>
          <w:tcPr>
            <w:tcW w:w="235" w:type="pct"/>
            <w:gridSpan w:val="2"/>
            <w:vMerge w:val="continue"/>
            <w:noWrap w:val="0"/>
            <w:vAlign w:val="center"/>
          </w:tcPr>
          <w:p w14:paraId="3509FC6E">
            <w:pPr>
              <w:jc w:val="center"/>
              <w:rPr>
                <w:szCs w:val="21"/>
              </w:rPr>
            </w:pPr>
          </w:p>
        </w:tc>
        <w:tc>
          <w:tcPr>
            <w:tcW w:w="383" w:type="pct"/>
            <w:noWrap w:val="0"/>
            <w:vAlign w:val="center"/>
          </w:tcPr>
          <w:p w14:paraId="7CFDCB81">
            <w:pPr>
              <w:widowControl/>
              <w:jc w:val="center"/>
              <w:textAlignment w:val="center"/>
              <w:rPr>
                <w:szCs w:val="21"/>
              </w:rPr>
            </w:pPr>
            <w:r>
              <w:rPr>
                <w:kern w:val="0"/>
                <w:szCs w:val="21"/>
                <w:lang w:bidi="ar"/>
              </w:rPr>
              <w:t>达标情况</w:t>
            </w:r>
          </w:p>
        </w:tc>
        <w:tc>
          <w:tcPr>
            <w:tcW w:w="394" w:type="pct"/>
            <w:noWrap/>
            <w:vAlign w:val="center"/>
          </w:tcPr>
          <w:p w14:paraId="41BC1BB8">
            <w:pPr>
              <w:widowControl/>
              <w:jc w:val="center"/>
              <w:textAlignment w:val="center"/>
              <w:rPr>
                <w:szCs w:val="21"/>
              </w:rPr>
            </w:pPr>
            <w:r>
              <w:rPr>
                <w:kern w:val="0"/>
                <w:szCs w:val="21"/>
                <w:lang w:bidi="ar"/>
              </w:rPr>
              <w:t>达标</w:t>
            </w:r>
          </w:p>
        </w:tc>
        <w:tc>
          <w:tcPr>
            <w:tcW w:w="335" w:type="pct"/>
            <w:noWrap/>
            <w:vAlign w:val="center"/>
          </w:tcPr>
          <w:p w14:paraId="16503FD2">
            <w:pPr>
              <w:widowControl/>
              <w:jc w:val="center"/>
              <w:textAlignment w:val="center"/>
              <w:rPr>
                <w:szCs w:val="21"/>
              </w:rPr>
            </w:pPr>
            <w:r>
              <w:rPr>
                <w:kern w:val="0"/>
                <w:szCs w:val="21"/>
                <w:lang w:bidi="ar"/>
              </w:rPr>
              <w:t>达标</w:t>
            </w:r>
          </w:p>
        </w:tc>
        <w:tc>
          <w:tcPr>
            <w:tcW w:w="390" w:type="pct"/>
            <w:noWrap/>
            <w:vAlign w:val="center"/>
          </w:tcPr>
          <w:p w14:paraId="7300B610">
            <w:pPr>
              <w:widowControl/>
              <w:jc w:val="center"/>
              <w:textAlignment w:val="center"/>
              <w:rPr>
                <w:szCs w:val="21"/>
              </w:rPr>
            </w:pPr>
            <w:r>
              <w:rPr>
                <w:kern w:val="0"/>
                <w:szCs w:val="21"/>
                <w:lang w:bidi="ar"/>
              </w:rPr>
              <w:t>达标</w:t>
            </w:r>
          </w:p>
        </w:tc>
        <w:tc>
          <w:tcPr>
            <w:tcW w:w="455" w:type="pct"/>
            <w:noWrap/>
            <w:vAlign w:val="center"/>
          </w:tcPr>
          <w:p w14:paraId="4A77ADAE">
            <w:pPr>
              <w:widowControl/>
              <w:jc w:val="center"/>
              <w:textAlignment w:val="center"/>
              <w:rPr>
                <w:szCs w:val="21"/>
              </w:rPr>
            </w:pPr>
            <w:r>
              <w:rPr>
                <w:kern w:val="0"/>
                <w:szCs w:val="21"/>
                <w:lang w:bidi="ar"/>
              </w:rPr>
              <w:t>达标</w:t>
            </w:r>
          </w:p>
        </w:tc>
        <w:tc>
          <w:tcPr>
            <w:tcW w:w="423" w:type="pct"/>
            <w:noWrap/>
            <w:vAlign w:val="center"/>
          </w:tcPr>
          <w:p w14:paraId="247519F9">
            <w:pPr>
              <w:widowControl/>
              <w:jc w:val="center"/>
              <w:textAlignment w:val="center"/>
              <w:rPr>
                <w:szCs w:val="21"/>
              </w:rPr>
            </w:pPr>
            <w:r>
              <w:rPr>
                <w:kern w:val="0"/>
                <w:szCs w:val="21"/>
                <w:lang w:bidi="ar"/>
              </w:rPr>
              <w:t>达标</w:t>
            </w:r>
          </w:p>
        </w:tc>
        <w:tc>
          <w:tcPr>
            <w:tcW w:w="460" w:type="pct"/>
            <w:noWrap/>
            <w:vAlign w:val="center"/>
          </w:tcPr>
          <w:p w14:paraId="58FB1EA6">
            <w:pPr>
              <w:widowControl/>
              <w:jc w:val="center"/>
              <w:textAlignment w:val="center"/>
              <w:rPr>
                <w:szCs w:val="21"/>
              </w:rPr>
            </w:pPr>
            <w:r>
              <w:rPr>
                <w:kern w:val="0"/>
                <w:szCs w:val="21"/>
                <w:lang w:bidi="ar"/>
              </w:rPr>
              <w:t>达标</w:t>
            </w:r>
          </w:p>
        </w:tc>
        <w:tc>
          <w:tcPr>
            <w:tcW w:w="223" w:type="pct"/>
            <w:noWrap/>
            <w:vAlign w:val="center"/>
          </w:tcPr>
          <w:p w14:paraId="774DC9E2">
            <w:pPr>
              <w:widowControl/>
              <w:jc w:val="center"/>
              <w:textAlignment w:val="center"/>
              <w:rPr>
                <w:szCs w:val="21"/>
              </w:rPr>
            </w:pPr>
            <w:r>
              <w:rPr>
                <w:kern w:val="0"/>
                <w:szCs w:val="21"/>
                <w:lang w:bidi="ar"/>
              </w:rPr>
              <w:t>/</w:t>
            </w:r>
          </w:p>
        </w:tc>
        <w:tc>
          <w:tcPr>
            <w:tcW w:w="219" w:type="pct"/>
            <w:noWrap/>
            <w:vAlign w:val="center"/>
          </w:tcPr>
          <w:p w14:paraId="0B59FFBD">
            <w:pPr>
              <w:widowControl/>
              <w:jc w:val="center"/>
              <w:textAlignment w:val="center"/>
              <w:rPr>
                <w:szCs w:val="21"/>
              </w:rPr>
            </w:pPr>
            <w:r>
              <w:rPr>
                <w:kern w:val="0"/>
                <w:szCs w:val="21"/>
                <w:lang w:bidi="ar"/>
              </w:rPr>
              <w:t>达标</w:t>
            </w:r>
          </w:p>
        </w:tc>
        <w:tc>
          <w:tcPr>
            <w:tcW w:w="267" w:type="pct"/>
            <w:noWrap/>
            <w:vAlign w:val="center"/>
          </w:tcPr>
          <w:p w14:paraId="01A0C0D2">
            <w:pPr>
              <w:widowControl/>
              <w:jc w:val="center"/>
              <w:textAlignment w:val="center"/>
              <w:rPr>
                <w:szCs w:val="21"/>
              </w:rPr>
            </w:pPr>
            <w:r>
              <w:rPr>
                <w:kern w:val="0"/>
                <w:szCs w:val="21"/>
                <w:lang w:bidi="ar"/>
              </w:rPr>
              <w:t>达标</w:t>
            </w:r>
          </w:p>
        </w:tc>
        <w:tc>
          <w:tcPr>
            <w:tcW w:w="324" w:type="pct"/>
            <w:noWrap/>
            <w:vAlign w:val="center"/>
          </w:tcPr>
          <w:p w14:paraId="711278A6">
            <w:pPr>
              <w:widowControl/>
              <w:jc w:val="center"/>
              <w:textAlignment w:val="center"/>
              <w:rPr>
                <w:szCs w:val="21"/>
              </w:rPr>
            </w:pPr>
            <w:r>
              <w:rPr>
                <w:kern w:val="0"/>
                <w:szCs w:val="21"/>
                <w:lang w:bidi="ar"/>
              </w:rPr>
              <w:t>达标</w:t>
            </w:r>
          </w:p>
        </w:tc>
        <w:tc>
          <w:tcPr>
            <w:tcW w:w="372" w:type="pct"/>
            <w:noWrap/>
            <w:vAlign w:val="center"/>
          </w:tcPr>
          <w:p w14:paraId="598CDC79">
            <w:pPr>
              <w:widowControl/>
              <w:jc w:val="center"/>
              <w:textAlignment w:val="center"/>
              <w:rPr>
                <w:szCs w:val="21"/>
              </w:rPr>
            </w:pPr>
            <w:r>
              <w:rPr>
                <w:kern w:val="0"/>
                <w:szCs w:val="21"/>
                <w:lang w:bidi="ar"/>
              </w:rPr>
              <w:t>达标</w:t>
            </w:r>
          </w:p>
        </w:tc>
        <w:tc>
          <w:tcPr>
            <w:tcW w:w="513" w:type="pct"/>
            <w:gridSpan w:val="2"/>
            <w:noWrap/>
            <w:vAlign w:val="center"/>
          </w:tcPr>
          <w:p w14:paraId="5A99586E">
            <w:pPr>
              <w:widowControl/>
              <w:jc w:val="center"/>
              <w:textAlignment w:val="center"/>
              <w:rPr>
                <w:szCs w:val="21"/>
              </w:rPr>
            </w:pPr>
            <w:r>
              <w:rPr>
                <w:kern w:val="0"/>
                <w:szCs w:val="21"/>
                <w:lang w:bidi="ar"/>
              </w:rPr>
              <w:t>达标</w:t>
            </w:r>
          </w:p>
        </w:tc>
      </w:tr>
      <w:tr w14:paraId="26C4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35" w:type="pct"/>
            <w:gridSpan w:val="2"/>
            <w:noWrap w:val="0"/>
            <w:vAlign w:val="center"/>
          </w:tcPr>
          <w:p w14:paraId="0AB2E58D">
            <w:pPr>
              <w:jc w:val="center"/>
              <w:rPr>
                <w:szCs w:val="21"/>
              </w:rPr>
            </w:pPr>
            <w:r>
              <w:rPr>
                <w:szCs w:val="21"/>
              </w:rPr>
              <w:t>监测断面</w:t>
            </w:r>
          </w:p>
        </w:tc>
        <w:tc>
          <w:tcPr>
            <w:tcW w:w="383" w:type="pct"/>
            <w:noWrap/>
            <w:vAlign w:val="center"/>
          </w:tcPr>
          <w:p w14:paraId="58FDC13D">
            <w:pPr>
              <w:snapToGrid w:val="0"/>
              <w:jc w:val="center"/>
              <w:rPr>
                <w:szCs w:val="21"/>
              </w:rPr>
            </w:pPr>
            <w:r>
              <w:rPr>
                <w:szCs w:val="21"/>
              </w:rPr>
              <w:t>采样日期</w:t>
            </w:r>
          </w:p>
          <w:p w14:paraId="4FE2930E">
            <w:pPr>
              <w:jc w:val="center"/>
              <w:rPr>
                <w:szCs w:val="21"/>
              </w:rPr>
            </w:pPr>
            <w:r>
              <w:rPr>
                <w:szCs w:val="21"/>
              </w:rPr>
              <w:t>项目</w:t>
            </w:r>
          </w:p>
        </w:tc>
        <w:tc>
          <w:tcPr>
            <w:tcW w:w="394" w:type="pct"/>
            <w:noWrap w:val="0"/>
            <w:vAlign w:val="center"/>
          </w:tcPr>
          <w:p w14:paraId="6682E36F">
            <w:pPr>
              <w:widowControl/>
              <w:jc w:val="center"/>
              <w:textAlignment w:val="center"/>
              <w:rPr>
                <w:szCs w:val="21"/>
              </w:rPr>
            </w:pPr>
            <w:r>
              <w:rPr>
                <w:kern w:val="0"/>
                <w:szCs w:val="21"/>
                <w:lang w:bidi="ar"/>
              </w:rPr>
              <w:t>pH值（无量纲）</w:t>
            </w:r>
          </w:p>
        </w:tc>
        <w:tc>
          <w:tcPr>
            <w:tcW w:w="335" w:type="pct"/>
            <w:noWrap/>
            <w:vAlign w:val="center"/>
          </w:tcPr>
          <w:p w14:paraId="36157800">
            <w:pPr>
              <w:widowControl/>
              <w:jc w:val="center"/>
              <w:textAlignment w:val="center"/>
              <w:rPr>
                <w:szCs w:val="21"/>
              </w:rPr>
            </w:pPr>
            <w:r>
              <w:rPr>
                <w:kern w:val="0"/>
                <w:szCs w:val="21"/>
                <w:lang w:bidi="ar"/>
              </w:rPr>
              <w:t>溶解氧</w:t>
            </w:r>
          </w:p>
        </w:tc>
        <w:tc>
          <w:tcPr>
            <w:tcW w:w="390" w:type="pct"/>
            <w:noWrap/>
            <w:vAlign w:val="center"/>
          </w:tcPr>
          <w:p w14:paraId="014DE58D">
            <w:pPr>
              <w:widowControl/>
              <w:jc w:val="center"/>
              <w:textAlignment w:val="center"/>
              <w:rPr>
                <w:szCs w:val="21"/>
              </w:rPr>
            </w:pPr>
            <w:r>
              <w:rPr>
                <w:kern w:val="0"/>
                <w:szCs w:val="21"/>
                <w:lang w:bidi="ar"/>
              </w:rPr>
              <w:t>化学需氧量</w:t>
            </w:r>
          </w:p>
        </w:tc>
        <w:tc>
          <w:tcPr>
            <w:tcW w:w="455" w:type="pct"/>
            <w:noWrap/>
            <w:vAlign w:val="center"/>
          </w:tcPr>
          <w:p w14:paraId="04971531">
            <w:pPr>
              <w:widowControl/>
              <w:jc w:val="center"/>
              <w:textAlignment w:val="center"/>
              <w:rPr>
                <w:szCs w:val="21"/>
              </w:rPr>
            </w:pPr>
            <w:r>
              <w:rPr>
                <w:kern w:val="0"/>
                <w:szCs w:val="21"/>
                <w:lang w:bidi="ar"/>
              </w:rPr>
              <w:t>高锰酸盐指数</w:t>
            </w:r>
          </w:p>
        </w:tc>
        <w:tc>
          <w:tcPr>
            <w:tcW w:w="423" w:type="pct"/>
            <w:noWrap/>
            <w:vAlign w:val="center"/>
          </w:tcPr>
          <w:p w14:paraId="10670F0B">
            <w:pPr>
              <w:widowControl/>
              <w:jc w:val="center"/>
              <w:textAlignment w:val="center"/>
              <w:rPr>
                <w:szCs w:val="21"/>
              </w:rPr>
            </w:pPr>
            <w:r>
              <w:rPr>
                <w:kern w:val="0"/>
                <w:szCs w:val="21"/>
                <w:lang w:bidi="ar"/>
              </w:rPr>
              <w:t>五日生化需氧量</w:t>
            </w:r>
          </w:p>
        </w:tc>
        <w:tc>
          <w:tcPr>
            <w:tcW w:w="460" w:type="pct"/>
            <w:noWrap/>
            <w:vAlign w:val="center"/>
          </w:tcPr>
          <w:p w14:paraId="250A2A66">
            <w:pPr>
              <w:widowControl/>
              <w:jc w:val="center"/>
              <w:textAlignment w:val="center"/>
              <w:rPr>
                <w:szCs w:val="21"/>
              </w:rPr>
            </w:pPr>
            <w:r>
              <w:rPr>
                <w:kern w:val="0"/>
                <w:szCs w:val="21"/>
                <w:lang w:bidi="ar"/>
              </w:rPr>
              <w:t>氨氮</w:t>
            </w:r>
          </w:p>
        </w:tc>
        <w:tc>
          <w:tcPr>
            <w:tcW w:w="223" w:type="pct"/>
            <w:noWrap/>
            <w:vAlign w:val="center"/>
          </w:tcPr>
          <w:p w14:paraId="53AB5D6D">
            <w:pPr>
              <w:widowControl/>
              <w:jc w:val="center"/>
              <w:textAlignment w:val="center"/>
              <w:rPr>
                <w:szCs w:val="21"/>
              </w:rPr>
            </w:pPr>
            <w:r>
              <w:rPr>
                <w:kern w:val="0"/>
                <w:szCs w:val="21"/>
                <w:lang w:bidi="ar"/>
              </w:rPr>
              <w:t>总氮</w:t>
            </w:r>
          </w:p>
        </w:tc>
        <w:tc>
          <w:tcPr>
            <w:tcW w:w="219" w:type="pct"/>
            <w:noWrap/>
            <w:vAlign w:val="center"/>
          </w:tcPr>
          <w:p w14:paraId="55F21E86">
            <w:pPr>
              <w:widowControl/>
              <w:jc w:val="center"/>
              <w:textAlignment w:val="center"/>
              <w:rPr>
                <w:szCs w:val="21"/>
              </w:rPr>
            </w:pPr>
            <w:r>
              <w:rPr>
                <w:kern w:val="0"/>
                <w:szCs w:val="21"/>
                <w:lang w:bidi="ar"/>
              </w:rPr>
              <w:t>总磷</w:t>
            </w:r>
          </w:p>
        </w:tc>
        <w:tc>
          <w:tcPr>
            <w:tcW w:w="267" w:type="pct"/>
            <w:noWrap/>
            <w:vAlign w:val="center"/>
          </w:tcPr>
          <w:p w14:paraId="5818D115">
            <w:pPr>
              <w:widowControl/>
              <w:jc w:val="center"/>
              <w:textAlignment w:val="center"/>
              <w:rPr>
                <w:szCs w:val="21"/>
              </w:rPr>
            </w:pPr>
            <w:r>
              <w:rPr>
                <w:kern w:val="0"/>
                <w:szCs w:val="21"/>
                <w:lang w:bidi="ar"/>
              </w:rPr>
              <w:t>石油类</w:t>
            </w:r>
          </w:p>
        </w:tc>
        <w:tc>
          <w:tcPr>
            <w:tcW w:w="324" w:type="pct"/>
            <w:noWrap/>
            <w:vAlign w:val="center"/>
          </w:tcPr>
          <w:p w14:paraId="265E3444">
            <w:pPr>
              <w:widowControl/>
              <w:jc w:val="center"/>
              <w:textAlignment w:val="center"/>
              <w:rPr>
                <w:szCs w:val="21"/>
              </w:rPr>
            </w:pPr>
            <w:r>
              <w:rPr>
                <w:kern w:val="0"/>
                <w:szCs w:val="21"/>
                <w:lang w:bidi="ar"/>
              </w:rPr>
              <w:t>氟化物</w:t>
            </w:r>
          </w:p>
        </w:tc>
        <w:tc>
          <w:tcPr>
            <w:tcW w:w="372" w:type="pct"/>
            <w:noWrap/>
            <w:vAlign w:val="center"/>
          </w:tcPr>
          <w:p w14:paraId="0B1E4E3E">
            <w:pPr>
              <w:widowControl/>
              <w:jc w:val="center"/>
              <w:textAlignment w:val="center"/>
              <w:rPr>
                <w:szCs w:val="21"/>
              </w:rPr>
            </w:pPr>
            <w:r>
              <w:rPr>
                <w:kern w:val="0"/>
                <w:szCs w:val="21"/>
                <w:lang w:bidi="ar"/>
              </w:rPr>
              <w:t>硫化物</w:t>
            </w:r>
          </w:p>
        </w:tc>
        <w:tc>
          <w:tcPr>
            <w:tcW w:w="513" w:type="pct"/>
            <w:gridSpan w:val="2"/>
            <w:noWrap/>
            <w:vAlign w:val="center"/>
          </w:tcPr>
          <w:p w14:paraId="0FEADA9F">
            <w:pPr>
              <w:widowControl/>
              <w:jc w:val="center"/>
              <w:textAlignment w:val="center"/>
              <w:rPr>
                <w:szCs w:val="21"/>
              </w:rPr>
            </w:pPr>
            <w:r>
              <w:rPr>
                <w:kern w:val="0"/>
                <w:szCs w:val="21"/>
                <w:lang w:bidi="ar"/>
              </w:rPr>
              <w:t>粪大肠菌群（MPN/L)</w:t>
            </w:r>
          </w:p>
        </w:tc>
      </w:tr>
      <w:tr w14:paraId="75F7A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35" w:type="pct"/>
            <w:gridSpan w:val="2"/>
            <w:vMerge w:val="restart"/>
            <w:noWrap w:val="0"/>
            <w:vAlign w:val="center"/>
          </w:tcPr>
          <w:p w14:paraId="332787CA">
            <w:pPr>
              <w:widowControl/>
              <w:jc w:val="center"/>
              <w:textAlignment w:val="center"/>
              <w:rPr>
                <w:szCs w:val="21"/>
              </w:rPr>
            </w:pPr>
            <w:r>
              <w:rPr>
                <w:kern w:val="0"/>
                <w:szCs w:val="21"/>
                <w:lang w:bidi="ar"/>
              </w:rPr>
              <w:t>W4项目养殖地块二旁溪沟下游1500m</w:t>
            </w:r>
          </w:p>
        </w:tc>
        <w:tc>
          <w:tcPr>
            <w:tcW w:w="383" w:type="pct"/>
            <w:noWrap w:val="0"/>
            <w:vAlign w:val="center"/>
          </w:tcPr>
          <w:p w14:paraId="7591B6C1">
            <w:pPr>
              <w:widowControl/>
              <w:jc w:val="center"/>
              <w:textAlignment w:val="center"/>
              <w:rPr>
                <w:szCs w:val="21"/>
              </w:rPr>
            </w:pPr>
            <w:r>
              <w:rPr>
                <w:kern w:val="0"/>
                <w:szCs w:val="21"/>
                <w:lang w:bidi="ar"/>
              </w:rPr>
              <w:t>2021/3/28</w:t>
            </w:r>
          </w:p>
        </w:tc>
        <w:tc>
          <w:tcPr>
            <w:tcW w:w="394" w:type="pct"/>
            <w:noWrap w:val="0"/>
            <w:vAlign w:val="center"/>
          </w:tcPr>
          <w:p w14:paraId="38F88DE9">
            <w:pPr>
              <w:widowControl/>
              <w:jc w:val="center"/>
              <w:textAlignment w:val="center"/>
              <w:rPr>
                <w:szCs w:val="21"/>
              </w:rPr>
            </w:pPr>
            <w:r>
              <w:rPr>
                <w:kern w:val="0"/>
                <w:szCs w:val="21"/>
                <w:lang w:bidi="ar"/>
              </w:rPr>
              <w:t>7.34</w:t>
            </w:r>
          </w:p>
        </w:tc>
        <w:tc>
          <w:tcPr>
            <w:tcW w:w="335" w:type="pct"/>
            <w:noWrap w:val="0"/>
            <w:vAlign w:val="center"/>
          </w:tcPr>
          <w:p w14:paraId="07098432">
            <w:pPr>
              <w:widowControl/>
              <w:jc w:val="center"/>
              <w:textAlignment w:val="center"/>
              <w:rPr>
                <w:szCs w:val="21"/>
              </w:rPr>
            </w:pPr>
            <w:r>
              <w:rPr>
                <w:kern w:val="0"/>
                <w:szCs w:val="21"/>
                <w:lang w:bidi="ar"/>
              </w:rPr>
              <w:t>7.1</w:t>
            </w:r>
          </w:p>
        </w:tc>
        <w:tc>
          <w:tcPr>
            <w:tcW w:w="390" w:type="pct"/>
            <w:noWrap w:val="0"/>
            <w:vAlign w:val="center"/>
          </w:tcPr>
          <w:p w14:paraId="6F62E498">
            <w:pPr>
              <w:widowControl/>
              <w:jc w:val="center"/>
              <w:textAlignment w:val="center"/>
              <w:rPr>
                <w:szCs w:val="21"/>
              </w:rPr>
            </w:pPr>
            <w:r>
              <w:rPr>
                <w:kern w:val="0"/>
                <w:szCs w:val="21"/>
                <w:lang w:bidi="ar"/>
              </w:rPr>
              <w:t>4L</w:t>
            </w:r>
          </w:p>
        </w:tc>
        <w:tc>
          <w:tcPr>
            <w:tcW w:w="455" w:type="pct"/>
            <w:noWrap w:val="0"/>
            <w:vAlign w:val="center"/>
          </w:tcPr>
          <w:p w14:paraId="5F7CA4E7">
            <w:pPr>
              <w:widowControl/>
              <w:jc w:val="center"/>
              <w:textAlignment w:val="center"/>
              <w:rPr>
                <w:szCs w:val="21"/>
              </w:rPr>
            </w:pPr>
            <w:r>
              <w:rPr>
                <w:kern w:val="0"/>
                <w:szCs w:val="21"/>
                <w:lang w:bidi="ar"/>
              </w:rPr>
              <w:t>0.5L</w:t>
            </w:r>
          </w:p>
        </w:tc>
        <w:tc>
          <w:tcPr>
            <w:tcW w:w="423" w:type="pct"/>
            <w:noWrap w:val="0"/>
            <w:vAlign w:val="center"/>
          </w:tcPr>
          <w:p w14:paraId="181EF704">
            <w:pPr>
              <w:widowControl/>
              <w:jc w:val="center"/>
              <w:textAlignment w:val="center"/>
              <w:rPr>
                <w:szCs w:val="21"/>
              </w:rPr>
            </w:pPr>
            <w:r>
              <w:rPr>
                <w:kern w:val="0"/>
                <w:szCs w:val="21"/>
                <w:lang w:bidi="ar"/>
              </w:rPr>
              <w:t>0.5L</w:t>
            </w:r>
          </w:p>
        </w:tc>
        <w:tc>
          <w:tcPr>
            <w:tcW w:w="460" w:type="pct"/>
            <w:noWrap w:val="0"/>
            <w:vAlign w:val="center"/>
          </w:tcPr>
          <w:p w14:paraId="3279897F">
            <w:pPr>
              <w:widowControl/>
              <w:jc w:val="center"/>
              <w:textAlignment w:val="center"/>
              <w:rPr>
                <w:szCs w:val="21"/>
              </w:rPr>
            </w:pPr>
            <w:r>
              <w:rPr>
                <w:kern w:val="0"/>
                <w:szCs w:val="21"/>
                <w:lang w:bidi="ar"/>
              </w:rPr>
              <w:t>0.04</w:t>
            </w:r>
          </w:p>
        </w:tc>
        <w:tc>
          <w:tcPr>
            <w:tcW w:w="223" w:type="pct"/>
            <w:noWrap w:val="0"/>
            <w:vAlign w:val="center"/>
          </w:tcPr>
          <w:p w14:paraId="1B12A0B8">
            <w:pPr>
              <w:widowControl/>
              <w:jc w:val="center"/>
              <w:textAlignment w:val="center"/>
              <w:rPr>
                <w:szCs w:val="21"/>
              </w:rPr>
            </w:pPr>
            <w:r>
              <w:rPr>
                <w:kern w:val="0"/>
                <w:szCs w:val="21"/>
                <w:lang w:bidi="ar"/>
              </w:rPr>
              <w:t>0.62</w:t>
            </w:r>
          </w:p>
        </w:tc>
        <w:tc>
          <w:tcPr>
            <w:tcW w:w="219" w:type="pct"/>
            <w:noWrap w:val="0"/>
            <w:vAlign w:val="center"/>
          </w:tcPr>
          <w:p w14:paraId="2824D2A8">
            <w:pPr>
              <w:widowControl/>
              <w:jc w:val="center"/>
              <w:textAlignment w:val="center"/>
              <w:rPr>
                <w:szCs w:val="21"/>
              </w:rPr>
            </w:pPr>
            <w:r>
              <w:rPr>
                <w:kern w:val="0"/>
                <w:szCs w:val="21"/>
                <w:lang w:bidi="ar"/>
              </w:rPr>
              <w:t>0.02</w:t>
            </w:r>
          </w:p>
        </w:tc>
        <w:tc>
          <w:tcPr>
            <w:tcW w:w="267" w:type="pct"/>
            <w:noWrap w:val="0"/>
            <w:vAlign w:val="center"/>
          </w:tcPr>
          <w:p w14:paraId="3E728D09">
            <w:pPr>
              <w:widowControl/>
              <w:jc w:val="center"/>
              <w:textAlignment w:val="center"/>
              <w:rPr>
                <w:szCs w:val="21"/>
              </w:rPr>
            </w:pPr>
            <w:r>
              <w:rPr>
                <w:kern w:val="0"/>
                <w:szCs w:val="21"/>
                <w:lang w:bidi="ar"/>
              </w:rPr>
              <w:t>0.01L</w:t>
            </w:r>
          </w:p>
        </w:tc>
        <w:tc>
          <w:tcPr>
            <w:tcW w:w="324" w:type="pct"/>
            <w:noWrap w:val="0"/>
            <w:vAlign w:val="center"/>
          </w:tcPr>
          <w:p w14:paraId="4E2F1F77">
            <w:pPr>
              <w:widowControl/>
              <w:jc w:val="center"/>
              <w:textAlignment w:val="center"/>
              <w:rPr>
                <w:szCs w:val="21"/>
              </w:rPr>
            </w:pPr>
            <w:r>
              <w:rPr>
                <w:kern w:val="0"/>
                <w:szCs w:val="21"/>
                <w:lang w:bidi="ar"/>
              </w:rPr>
              <w:t>0.06</w:t>
            </w:r>
          </w:p>
        </w:tc>
        <w:tc>
          <w:tcPr>
            <w:tcW w:w="372" w:type="pct"/>
            <w:noWrap w:val="0"/>
            <w:vAlign w:val="center"/>
          </w:tcPr>
          <w:p w14:paraId="69C54085">
            <w:pPr>
              <w:widowControl/>
              <w:jc w:val="center"/>
              <w:textAlignment w:val="center"/>
              <w:rPr>
                <w:szCs w:val="21"/>
              </w:rPr>
            </w:pPr>
            <w:r>
              <w:rPr>
                <w:kern w:val="0"/>
                <w:szCs w:val="21"/>
                <w:lang w:bidi="ar"/>
              </w:rPr>
              <w:t>0.005L</w:t>
            </w:r>
          </w:p>
        </w:tc>
        <w:tc>
          <w:tcPr>
            <w:tcW w:w="513" w:type="pct"/>
            <w:gridSpan w:val="2"/>
            <w:noWrap w:val="0"/>
            <w:vAlign w:val="center"/>
          </w:tcPr>
          <w:p w14:paraId="3E98CF4F">
            <w:pPr>
              <w:widowControl/>
              <w:jc w:val="center"/>
              <w:textAlignment w:val="center"/>
              <w:rPr>
                <w:szCs w:val="21"/>
              </w:rPr>
            </w:pPr>
            <w:r>
              <w:rPr>
                <w:kern w:val="0"/>
                <w:szCs w:val="21"/>
                <w:lang w:bidi="ar"/>
              </w:rPr>
              <w:t>320</w:t>
            </w:r>
          </w:p>
        </w:tc>
      </w:tr>
      <w:tr w14:paraId="5F2F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5" w:type="pct"/>
            <w:gridSpan w:val="2"/>
            <w:vMerge w:val="continue"/>
            <w:noWrap w:val="0"/>
            <w:vAlign w:val="center"/>
          </w:tcPr>
          <w:p w14:paraId="49149C9D">
            <w:pPr>
              <w:jc w:val="center"/>
              <w:rPr>
                <w:szCs w:val="21"/>
              </w:rPr>
            </w:pPr>
          </w:p>
        </w:tc>
        <w:tc>
          <w:tcPr>
            <w:tcW w:w="383" w:type="pct"/>
            <w:noWrap w:val="0"/>
            <w:vAlign w:val="center"/>
          </w:tcPr>
          <w:p w14:paraId="5874ADE3">
            <w:pPr>
              <w:widowControl/>
              <w:jc w:val="center"/>
              <w:textAlignment w:val="center"/>
              <w:rPr>
                <w:szCs w:val="21"/>
              </w:rPr>
            </w:pPr>
            <w:r>
              <w:rPr>
                <w:kern w:val="0"/>
                <w:szCs w:val="21"/>
                <w:lang w:bidi="ar"/>
              </w:rPr>
              <w:t>2021/3/29</w:t>
            </w:r>
          </w:p>
        </w:tc>
        <w:tc>
          <w:tcPr>
            <w:tcW w:w="394" w:type="pct"/>
            <w:noWrap w:val="0"/>
            <w:vAlign w:val="center"/>
          </w:tcPr>
          <w:p w14:paraId="35DB8A37">
            <w:pPr>
              <w:widowControl/>
              <w:jc w:val="center"/>
              <w:textAlignment w:val="center"/>
              <w:rPr>
                <w:szCs w:val="21"/>
              </w:rPr>
            </w:pPr>
            <w:r>
              <w:rPr>
                <w:kern w:val="0"/>
                <w:szCs w:val="21"/>
                <w:lang w:bidi="ar"/>
              </w:rPr>
              <w:t>7.36</w:t>
            </w:r>
          </w:p>
        </w:tc>
        <w:tc>
          <w:tcPr>
            <w:tcW w:w="335" w:type="pct"/>
            <w:noWrap w:val="0"/>
            <w:vAlign w:val="center"/>
          </w:tcPr>
          <w:p w14:paraId="5CE6569E">
            <w:pPr>
              <w:widowControl/>
              <w:jc w:val="center"/>
              <w:textAlignment w:val="center"/>
              <w:rPr>
                <w:szCs w:val="21"/>
              </w:rPr>
            </w:pPr>
            <w:r>
              <w:rPr>
                <w:kern w:val="0"/>
                <w:szCs w:val="21"/>
                <w:lang w:bidi="ar"/>
              </w:rPr>
              <w:t>7.4</w:t>
            </w:r>
          </w:p>
        </w:tc>
        <w:tc>
          <w:tcPr>
            <w:tcW w:w="390" w:type="pct"/>
            <w:noWrap w:val="0"/>
            <w:vAlign w:val="center"/>
          </w:tcPr>
          <w:p w14:paraId="30595331">
            <w:pPr>
              <w:widowControl/>
              <w:jc w:val="center"/>
              <w:textAlignment w:val="center"/>
              <w:rPr>
                <w:szCs w:val="21"/>
              </w:rPr>
            </w:pPr>
            <w:r>
              <w:rPr>
                <w:kern w:val="0"/>
                <w:szCs w:val="21"/>
                <w:lang w:bidi="ar"/>
              </w:rPr>
              <w:t>4L</w:t>
            </w:r>
          </w:p>
        </w:tc>
        <w:tc>
          <w:tcPr>
            <w:tcW w:w="455" w:type="pct"/>
            <w:noWrap w:val="0"/>
            <w:vAlign w:val="center"/>
          </w:tcPr>
          <w:p w14:paraId="27B12ACC">
            <w:pPr>
              <w:widowControl/>
              <w:jc w:val="center"/>
              <w:textAlignment w:val="center"/>
              <w:rPr>
                <w:szCs w:val="21"/>
              </w:rPr>
            </w:pPr>
            <w:r>
              <w:rPr>
                <w:kern w:val="0"/>
                <w:szCs w:val="21"/>
                <w:lang w:bidi="ar"/>
              </w:rPr>
              <w:t>0.5L</w:t>
            </w:r>
          </w:p>
        </w:tc>
        <w:tc>
          <w:tcPr>
            <w:tcW w:w="423" w:type="pct"/>
            <w:noWrap w:val="0"/>
            <w:vAlign w:val="center"/>
          </w:tcPr>
          <w:p w14:paraId="568F5BBF">
            <w:pPr>
              <w:widowControl/>
              <w:jc w:val="center"/>
              <w:textAlignment w:val="center"/>
              <w:rPr>
                <w:szCs w:val="21"/>
              </w:rPr>
            </w:pPr>
            <w:r>
              <w:rPr>
                <w:kern w:val="0"/>
                <w:szCs w:val="21"/>
                <w:lang w:bidi="ar"/>
              </w:rPr>
              <w:t>0.5L</w:t>
            </w:r>
          </w:p>
        </w:tc>
        <w:tc>
          <w:tcPr>
            <w:tcW w:w="460" w:type="pct"/>
            <w:noWrap w:val="0"/>
            <w:vAlign w:val="center"/>
          </w:tcPr>
          <w:p w14:paraId="0EA1B862">
            <w:pPr>
              <w:widowControl/>
              <w:jc w:val="center"/>
              <w:textAlignment w:val="center"/>
              <w:rPr>
                <w:szCs w:val="21"/>
              </w:rPr>
            </w:pPr>
            <w:r>
              <w:rPr>
                <w:kern w:val="0"/>
                <w:szCs w:val="21"/>
                <w:lang w:bidi="ar"/>
              </w:rPr>
              <w:t>0.038</w:t>
            </w:r>
          </w:p>
        </w:tc>
        <w:tc>
          <w:tcPr>
            <w:tcW w:w="223" w:type="pct"/>
            <w:noWrap w:val="0"/>
            <w:vAlign w:val="center"/>
          </w:tcPr>
          <w:p w14:paraId="3E37DDB5">
            <w:pPr>
              <w:widowControl/>
              <w:jc w:val="center"/>
              <w:textAlignment w:val="center"/>
              <w:rPr>
                <w:szCs w:val="21"/>
              </w:rPr>
            </w:pPr>
            <w:r>
              <w:rPr>
                <w:kern w:val="0"/>
                <w:szCs w:val="21"/>
                <w:lang w:bidi="ar"/>
              </w:rPr>
              <w:t>0.57</w:t>
            </w:r>
          </w:p>
        </w:tc>
        <w:tc>
          <w:tcPr>
            <w:tcW w:w="219" w:type="pct"/>
            <w:noWrap w:val="0"/>
            <w:vAlign w:val="center"/>
          </w:tcPr>
          <w:p w14:paraId="20C91F2F">
            <w:pPr>
              <w:widowControl/>
              <w:jc w:val="center"/>
              <w:textAlignment w:val="center"/>
              <w:rPr>
                <w:szCs w:val="21"/>
              </w:rPr>
            </w:pPr>
            <w:r>
              <w:rPr>
                <w:kern w:val="0"/>
                <w:szCs w:val="21"/>
                <w:lang w:bidi="ar"/>
              </w:rPr>
              <w:t>0.02</w:t>
            </w:r>
          </w:p>
        </w:tc>
        <w:tc>
          <w:tcPr>
            <w:tcW w:w="267" w:type="pct"/>
            <w:noWrap w:val="0"/>
            <w:vAlign w:val="center"/>
          </w:tcPr>
          <w:p w14:paraId="162D7FE1">
            <w:pPr>
              <w:widowControl/>
              <w:jc w:val="center"/>
              <w:textAlignment w:val="center"/>
              <w:rPr>
                <w:szCs w:val="21"/>
              </w:rPr>
            </w:pPr>
            <w:r>
              <w:rPr>
                <w:kern w:val="0"/>
                <w:szCs w:val="21"/>
                <w:lang w:bidi="ar"/>
              </w:rPr>
              <w:t>0.01L</w:t>
            </w:r>
          </w:p>
        </w:tc>
        <w:tc>
          <w:tcPr>
            <w:tcW w:w="324" w:type="pct"/>
            <w:noWrap w:val="0"/>
            <w:vAlign w:val="center"/>
          </w:tcPr>
          <w:p w14:paraId="4D8DF34A">
            <w:pPr>
              <w:widowControl/>
              <w:jc w:val="center"/>
              <w:textAlignment w:val="center"/>
              <w:rPr>
                <w:szCs w:val="21"/>
              </w:rPr>
            </w:pPr>
            <w:r>
              <w:rPr>
                <w:kern w:val="0"/>
                <w:szCs w:val="21"/>
                <w:lang w:bidi="ar"/>
              </w:rPr>
              <w:t>0.07</w:t>
            </w:r>
          </w:p>
        </w:tc>
        <w:tc>
          <w:tcPr>
            <w:tcW w:w="372" w:type="pct"/>
            <w:noWrap w:val="0"/>
            <w:vAlign w:val="center"/>
          </w:tcPr>
          <w:p w14:paraId="2109518B">
            <w:pPr>
              <w:widowControl/>
              <w:jc w:val="center"/>
              <w:textAlignment w:val="center"/>
              <w:rPr>
                <w:szCs w:val="21"/>
              </w:rPr>
            </w:pPr>
            <w:r>
              <w:rPr>
                <w:kern w:val="0"/>
                <w:szCs w:val="21"/>
                <w:lang w:bidi="ar"/>
              </w:rPr>
              <w:t>0.005L</w:t>
            </w:r>
          </w:p>
        </w:tc>
        <w:tc>
          <w:tcPr>
            <w:tcW w:w="513" w:type="pct"/>
            <w:gridSpan w:val="2"/>
            <w:noWrap w:val="0"/>
            <w:vAlign w:val="center"/>
          </w:tcPr>
          <w:p w14:paraId="1F4C2118">
            <w:pPr>
              <w:widowControl/>
              <w:jc w:val="center"/>
              <w:textAlignment w:val="center"/>
              <w:rPr>
                <w:szCs w:val="21"/>
              </w:rPr>
            </w:pPr>
            <w:r>
              <w:rPr>
                <w:kern w:val="0"/>
                <w:szCs w:val="21"/>
                <w:lang w:bidi="ar"/>
              </w:rPr>
              <w:t>310</w:t>
            </w:r>
          </w:p>
        </w:tc>
      </w:tr>
      <w:tr w14:paraId="172F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235" w:type="pct"/>
            <w:gridSpan w:val="2"/>
            <w:vMerge w:val="continue"/>
            <w:noWrap w:val="0"/>
            <w:vAlign w:val="center"/>
          </w:tcPr>
          <w:p w14:paraId="01E6307B">
            <w:pPr>
              <w:jc w:val="center"/>
              <w:rPr>
                <w:szCs w:val="21"/>
              </w:rPr>
            </w:pPr>
          </w:p>
        </w:tc>
        <w:tc>
          <w:tcPr>
            <w:tcW w:w="383" w:type="pct"/>
            <w:noWrap w:val="0"/>
            <w:vAlign w:val="center"/>
          </w:tcPr>
          <w:p w14:paraId="59CE14FF">
            <w:pPr>
              <w:widowControl/>
              <w:jc w:val="center"/>
              <w:textAlignment w:val="center"/>
              <w:rPr>
                <w:szCs w:val="21"/>
              </w:rPr>
            </w:pPr>
            <w:r>
              <w:rPr>
                <w:kern w:val="0"/>
                <w:szCs w:val="21"/>
                <w:lang w:bidi="ar"/>
              </w:rPr>
              <w:t>2021/3/30</w:t>
            </w:r>
          </w:p>
        </w:tc>
        <w:tc>
          <w:tcPr>
            <w:tcW w:w="394" w:type="pct"/>
            <w:noWrap w:val="0"/>
            <w:vAlign w:val="center"/>
          </w:tcPr>
          <w:p w14:paraId="15B6B2F9">
            <w:pPr>
              <w:widowControl/>
              <w:jc w:val="center"/>
              <w:textAlignment w:val="center"/>
              <w:rPr>
                <w:szCs w:val="21"/>
              </w:rPr>
            </w:pPr>
            <w:r>
              <w:rPr>
                <w:kern w:val="0"/>
                <w:szCs w:val="21"/>
                <w:lang w:bidi="ar"/>
              </w:rPr>
              <w:t>7.4</w:t>
            </w:r>
          </w:p>
        </w:tc>
        <w:tc>
          <w:tcPr>
            <w:tcW w:w="335" w:type="pct"/>
            <w:noWrap w:val="0"/>
            <w:vAlign w:val="center"/>
          </w:tcPr>
          <w:p w14:paraId="34159EB5">
            <w:pPr>
              <w:widowControl/>
              <w:jc w:val="center"/>
              <w:textAlignment w:val="center"/>
              <w:rPr>
                <w:szCs w:val="21"/>
              </w:rPr>
            </w:pPr>
            <w:r>
              <w:rPr>
                <w:kern w:val="0"/>
                <w:szCs w:val="21"/>
                <w:lang w:bidi="ar"/>
              </w:rPr>
              <w:t>7.3</w:t>
            </w:r>
          </w:p>
        </w:tc>
        <w:tc>
          <w:tcPr>
            <w:tcW w:w="390" w:type="pct"/>
            <w:noWrap w:val="0"/>
            <w:vAlign w:val="center"/>
          </w:tcPr>
          <w:p w14:paraId="4752D592">
            <w:pPr>
              <w:widowControl/>
              <w:jc w:val="center"/>
              <w:textAlignment w:val="center"/>
              <w:rPr>
                <w:szCs w:val="21"/>
              </w:rPr>
            </w:pPr>
            <w:r>
              <w:rPr>
                <w:kern w:val="0"/>
                <w:szCs w:val="21"/>
                <w:lang w:bidi="ar"/>
              </w:rPr>
              <w:t>4L</w:t>
            </w:r>
          </w:p>
        </w:tc>
        <w:tc>
          <w:tcPr>
            <w:tcW w:w="455" w:type="pct"/>
            <w:noWrap w:val="0"/>
            <w:vAlign w:val="center"/>
          </w:tcPr>
          <w:p w14:paraId="6252F35D">
            <w:pPr>
              <w:widowControl/>
              <w:jc w:val="center"/>
              <w:textAlignment w:val="center"/>
              <w:rPr>
                <w:szCs w:val="21"/>
              </w:rPr>
            </w:pPr>
            <w:r>
              <w:rPr>
                <w:kern w:val="0"/>
                <w:szCs w:val="21"/>
                <w:lang w:bidi="ar"/>
              </w:rPr>
              <w:t>0.5L</w:t>
            </w:r>
          </w:p>
        </w:tc>
        <w:tc>
          <w:tcPr>
            <w:tcW w:w="423" w:type="pct"/>
            <w:noWrap w:val="0"/>
            <w:vAlign w:val="center"/>
          </w:tcPr>
          <w:p w14:paraId="325D9A9F">
            <w:pPr>
              <w:widowControl/>
              <w:jc w:val="center"/>
              <w:textAlignment w:val="center"/>
              <w:rPr>
                <w:szCs w:val="21"/>
              </w:rPr>
            </w:pPr>
            <w:r>
              <w:rPr>
                <w:kern w:val="0"/>
                <w:szCs w:val="21"/>
                <w:lang w:bidi="ar"/>
              </w:rPr>
              <w:t>0.5L</w:t>
            </w:r>
          </w:p>
        </w:tc>
        <w:tc>
          <w:tcPr>
            <w:tcW w:w="460" w:type="pct"/>
            <w:noWrap w:val="0"/>
            <w:vAlign w:val="center"/>
          </w:tcPr>
          <w:p w14:paraId="291A8EAB">
            <w:pPr>
              <w:widowControl/>
              <w:jc w:val="center"/>
              <w:textAlignment w:val="center"/>
              <w:rPr>
                <w:szCs w:val="21"/>
              </w:rPr>
            </w:pPr>
            <w:r>
              <w:rPr>
                <w:kern w:val="0"/>
                <w:szCs w:val="21"/>
                <w:lang w:bidi="ar"/>
              </w:rPr>
              <w:t>0.044</w:t>
            </w:r>
          </w:p>
        </w:tc>
        <w:tc>
          <w:tcPr>
            <w:tcW w:w="223" w:type="pct"/>
            <w:noWrap w:val="0"/>
            <w:vAlign w:val="center"/>
          </w:tcPr>
          <w:p w14:paraId="3B0B35E5">
            <w:pPr>
              <w:widowControl/>
              <w:jc w:val="center"/>
              <w:textAlignment w:val="center"/>
              <w:rPr>
                <w:szCs w:val="21"/>
              </w:rPr>
            </w:pPr>
            <w:r>
              <w:rPr>
                <w:kern w:val="0"/>
                <w:szCs w:val="21"/>
                <w:lang w:bidi="ar"/>
              </w:rPr>
              <w:t>0.68</w:t>
            </w:r>
          </w:p>
        </w:tc>
        <w:tc>
          <w:tcPr>
            <w:tcW w:w="219" w:type="pct"/>
            <w:noWrap w:val="0"/>
            <w:vAlign w:val="center"/>
          </w:tcPr>
          <w:p w14:paraId="47BE8E79">
            <w:pPr>
              <w:widowControl/>
              <w:jc w:val="center"/>
              <w:textAlignment w:val="center"/>
              <w:rPr>
                <w:szCs w:val="21"/>
              </w:rPr>
            </w:pPr>
            <w:r>
              <w:rPr>
                <w:kern w:val="0"/>
                <w:szCs w:val="21"/>
                <w:lang w:bidi="ar"/>
              </w:rPr>
              <w:t>0.03</w:t>
            </w:r>
          </w:p>
        </w:tc>
        <w:tc>
          <w:tcPr>
            <w:tcW w:w="267" w:type="pct"/>
            <w:noWrap w:val="0"/>
            <w:vAlign w:val="center"/>
          </w:tcPr>
          <w:p w14:paraId="557DC5A5">
            <w:pPr>
              <w:widowControl/>
              <w:jc w:val="center"/>
              <w:textAlignment w:val="center"/>
              <w:rPr>
                <w:szCs w:val="21"/>
              </w:rPr>
            </w:pPr>
            <w:r>
              <w:rPr>
                <w:kern w:val="0"/>
                <w:szCs w:val="21"/>
                <w:lang w:bidi="ar"/>
              </w:rPr>
              <w:t>0.01L</w:t>
            </w:r>
          </w:p>
        </w:tc>
        <w:tc>
          <w:tcPr>
            <w:tcW w:w="324" w:type="pct"/>
            <w:noWrap w:val="0"/>
            <w:vAlign w:val="center"/>
          </w:tcPr>
          <w:p w14:paraId="7F5F681F">
            <w:pPr>
              <w:widowControl/>
              <w:jc w:val="center"/>
              <w:textAlignment w:val="center"/>
              <w:rPr>
                <w:szCs w:val="21"/>
              </w:rPr>
            </w:pPr>
            <w:r>
              <w:rPr>
                <w:kern w:val="0"/>
                <w:szCs w:val="21"/>
                <w:lang w:bidi="ar"/>
              </w:rPr>
              <w:t>0.05</w:t>
            </w:r>
          </w:p>
        </w:tc>
        <w:tc>
          <w:tcPr>
            <w:tcW w:w="372" w:type="pct"/>
            <w:noWrap w:val="0"/>
            <w:vAlign w:val="center"/>
          </w:tcPr>
          <w:p w14:paraId="0ACF2158">
            <w:pPr>
              <w:widowControl/>
              <w:jc w:val="center"/>
              <w:textAlignment w:val="center"/>
              <w:rPr>
                <w:szCs w:val="21"/>
              </w:rPr>
            </w:pPr>
            <w:r>
              <w:rPr>
                <w:kern w:val="0"/>
                <w:szCs w:val="21"/>
                <w:lang w:bidi="ar"/>
              </w:rPr>
              <w:t>0.005L</w:t>
            </w:r>
          </w:p>
        </w:tc>
        <w:tc>
          <w:tcPr>
            <w:tcW w:w="513" w:type="pct"/>
            <w:gridSpan w:val="2"/>
            <w:noWrap w:val="0"/>
            <w:vAlign w:val="center"/>
          </w:tcPr>
          <w:p w14:paraId="63E9CC7D">
            <w:pPr>
              <w:widowControl/>
              <w:jc w:val="center"/>
              <w:textAlignment w:val="center"/>
              <w:rPr>
                <w:szCs w:val="21"/>
              </w:rPr>
            </w:pPr>
            <w:r>
              <w:rPr>
                <w:kern w:val="0"/>
                <w:szCs w:val="21"/>
                <w:lang w:bidi="ar"/>
              </w:rPr>
              <w:t>330</w:t>
            </w:r>
          </w:p>
        </w:tc>
      </w:tr>
      <w:tr w14:paraId="2B478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trPr>
        <w:tc>
          <w:tcPr>
            <w:tcW w:w="235" w:type="pct"/>
            <w:gridSpan w:val="2"/>
            <w:vMerge w:val="continue"/>
            <w:noWrap w:val="0"/>
            <w:vAlign w:val="center"/>
          </w:tcPr>
          <w:p w14:paraId="651500D6">
            <w:pPr>
              <w:jc w:val="center"/>
              <w:rPr>
                <w:szCs w:val="21"/>
              </w:rPr>
            </w:pPr>
          </w:p>
        </w:tc>
        <w:tc>
          <w:tcPr>
            <w:tcW w:w="383" w:type="pct"/>
            <w:noWrap w:val="0"/>
            <w:vAlign w:val="center"/>
          </w:tcPr>
          <w:p w14:paraId="6AF56A83">
            <w:pPr>
              <w:widowControl/>
              <w:jc w:val="center"/>
              <w:textAlignment w:val="center"/>
              <w:rPr>
                <w:szCs w:val="21"/>
              </w:rPr>
            </w:pPr>
            <w:r>
              <w:rPr>
                <w:kern w:val="0"/>
                <w:szCs w:val="21"/>
                <w:lang w:bidi="ar"/>
              </w:rPr>
              <w:t>最大值</w:t>
            </w:r>
          </w:p>
        </w:tc>
        <w:tc>
          <w:tcPr>
            <w:tcW w:w="394" w:type="pct"/>
            <w:noWrap/>
            <w:vAlign w:val="center"/>
          </w:tcPr>
          <w:p w14:paraId="3CA6F789">
            <w:pPr>
              <w:widowControl/>
              <w:jc w:val="center"/>
              <w:textAlignment w:val="center"/>
              <w:rPr>
                <w:szCs w:val="21"/>
              </w:rPr>
            </w:pPr>
            <w:r>
              <w:rPr>
                <w:kern w:val="0"/>
                <w:szCs w:val="21"/>
                <w:lang w:bidi="ar"/>
              </w:rPr>
              <w:t>7.4</w:t>
            </w:r>
          </w:p>
        </w:tc>
        <w:tc>
          <w:tcPr>
            <w:tcW w:w="335" w:type="pct"/>
            <w:noWrap/>
            <w:vAlign w:val="center"/>
          </w:tcPr>
          <w:p w14:paraId="6C23DF92">
            <w:pPr>
              <w:widowControl/>
              <w:jc w:val="center"/>
              <w:textAlignment w:val="center"/>
              <w:rPr>
                <w:szCs w:val="21"/>
              </w:rPr>
            </w:pPr>
            <w:r>
              <w:rPr>
                <w:kern w:val="0"/>
                <w:szCs w:val="21"/>
                <w:lang w:bidi="ar"/>
              </w:rPr>
              <w:t>7.4</w:t>
            </w:r>
          </w:p>
        </w:tc>
        <w:tc>
          <w:tcPr>
            <w:tcW w:w="390" w:type="pct"/>
            <w:noWrap/>
            <w:vAlign w:val="center"/>
          </w:tcPr>
          <w:p w14:paraId="5CAEAF4F">
            <w:pPr>
              <w:widowControl/>
              <w:jc w:val="center"/>
              <w:textAlignment w:val="center"/>
              <w:rPr>
                <w:szCs w:val="21"/>
              </w:rPr>
            </w:pPr>
            <w:r>
              <w:rPr>
                <w:kern w:val="0"/>
                <w:szCs w:val="21"/>
                <w:lang w:bidi="ar"/>
              </w:rPr>
              <w:t>0</w:t>
            </w:r>
          </w:p>
        </w:tc>
        <w:tc>
          <w:tcPr>
            <w:tcW w:w="455" w:type="pct"/>
            <w:noWrap/>
            <w:vAlign w:val="center"/>
          </w:tcPr>
          <w:p w14:paraId="2A665BD9">
            <w:pPr>
              <w:widowControl/>
              <w:jc w:val="center"/>
              <w:textAlignment w:val="center"/>
              <w:rPr>
                <w:szCs w:val="21"/>
              </w:rPr>
            </w:pPr>
            <w:r>
              <w:rPr>
                <w:kern w:val="0"/>
                <w:szCs w:val="21"/>
                <w:lang w:bidi="ar"/>
              </w:rPr>
              <w:t>0</w:t>
            </w:r>
          </w:p>
        </w:tc>
        <w:tc>
          <w:tcPr>
            <w:tcW w:w="423" w:type="pct"/>
            <w:noWrap/>
            <w:vAlign w:val="center"/>
          </w:tcPr>
          <w:p w14:paraId="782F5C82">
            <w:pPr>
              <w:widowControl/>
              <w:jc w:val="center"/>
              <w:textAlignment w:val="center"/>
              <w:rPr>
                <w:szCs w:val="21"/>
              </w:rPr>
            </w:pPr>
            <w:r>
              <w:rPr>
                <w:kern w:val="0"/>
                <w:szCs w:val="21"/>
                <w:lang w:bidi="ar"/>
              </w:rPr>
              <w:t>0</w:t>
            </w:r>
          </w:p>
        </w:tc>
        <w:tc>
          <w:tcPr>
            <w:tcW w:w="460" w:type="pct"/>
            <w:noWrap/>
            <w:vAlign w:val="center"/>
          </w:tcPr>
          <w:p w14:paraId="76FA8257">
            <w:pPr>
              <w:widowControl/>
              <w:jc w:val="center"/>
              <w:textAlignment w:val="center"/>
              <w:rPr>
                <w:szCs w:val="21"/>
              </w:rPr>
            </w:pPr>
            <w:r>
              <w:rPr>
                <w:kern w:val="0"/>
                <w:szCs w:val="21"/>
                <w:lang w:bidi="ar"/>
              </w:rPr>
              <w:t>0.044</w:t>
            </w:r>
          </w:p>
        </w:tc>
        <w:tc>
          <w:tcPr>
            <w:tcW w:w="223" w:type="pct"/>
            <w:noWrap/>
            <w:vAlign w:val="center"/>
          </w:tcPr>
          <w:p w14:paraId="20CA721C">
            <w:pPr>
              <w:widowControl/>
              <w:jc w:val="center"/>
              <w:textAlignment w:val="center"/>
              <w:rPr>
                <w:szCs w:val="21"/>
              </w:rPr>
            </w:pPr>
            <w:r>
              <w:rPr>
                <w:kern w:val="0"/>
                <w:szCs w:val="21"/>
                <w:lang w:bidi="ar"/>
              </w:rPr>
              <w:t>0.68</w:t>
            </w:r>
          </w:p>
        </w:tc>
        <w:tc>
          <w:tcPr>
            <w:tcW w:w="219" w:type="pct"/>
            <w:noWrap/>
            <w:vAlign w:val="center"/>
          </w:tcPr>
          <w:p w14:paraId="2F86A851">
            <w:pPr>
              <w:widowControl/>
              <w:jc w:val="center"/>
              <w:textAlignment w:val="center"/>
              <w:rPr>
                <w:szCs w:val="21"/>
              </w:rPr>
            </w:pPr>
            <w:r>
              <w:rPr>
                <w:kern w:val="0"/>
                <w:szCs w:val="21"/>
                <w:lang w:bidi="ar"/>
              </w:rPr>
              <w:t>0.03</w:t>
            </w:r>
          </w:p>
        </w:tc>
        <w:tc>
          <w:tcPr>
            <w:tcW w:w="267" w:type="pct"/>
            <w:noWrap/>
            <w:vAlign w:val="center"/>
          </w:tcPr>
          <w:p w14:paraId="7C796563">
            <w:pPr>
              <w:widowControl/>
              <w:jc w:val="center"/>
              <w:textAlignment w:val="center"/>
              <w:rPr>
                <w:szCs w:val="21"/>
              </w:rPr>
            </w:pPr>
            <w:r>
              <w:rPr>
                <w:kern w:val="0"/>
                <w:szCs w:val="21"/>
                <w:lang w:bidi="ar"/>
              </w:rPr>
              <w:t>0</w:t>
            </w:r>
          </w:p>
        </w:tc>
        <w:tc>
          <w:tcPr>
            <w:tcW w:w="324" w:type="pct"/>
            <w:noWrap/>
            <w:vAlign w:val="center"/>
          </w:tcPr>
          <w:p w14:paraId="3585C924">
            <w:pPr>
              <w:widowControl/>
              <w:jc w:val="center"/>
              <w:textAlignment w:val="center"/>
              <w:rPr>
                <w:szCs w:val="21"/>
              </w:rPr>
            </w:pPr>
            <w:r>
              <w:rPr>
                <w:kern w:val="0"/>
                <w:szCs w:val="21"/>
                <w:lang w:bidi="ar"/>
              </w:rPr>
              <w:t>0.07</w:t>
            </w:r>
          </w:p>
        </w:tc>
        <w:tc>
          <w:tcPr>
            <w:tcW w:w="372" w:type="pct"/>
            <w:noWrap/>
            <w:vAlign w:val="center"/>
          </w:tcPr>
          <w:p w14:paraId="40461A7C">
            <w:pPr>
              <w:widowControl/>
              <w:jc w:val="center"/>
              <w:textAlignment w:val="center"/>
              <w:rPr>
                <w:szCs w:val="21"/>
              </w:rPr>
            </w:pPr>
            <w:r>
              <w:rPr>
                <w:kern w:val="0"/>
                <w:szCs w:val="21"/>
                <w:lang w:bidi="ar"/>
              </w:rPr>
              <w:t>0</w:t>
            </w:r>
          </w:p>
        </w:tc>
        <w:tc>
          <w:tcPr>
            <w:tcW w:w="513" w:type="pct"/>
            <w:gridSpan w:val="2"/>
            <w:noWrap/>
            <w:vAlign w:val="center"/>
          </w:tcPr>
          <w:p w14:paraId="669C0122">
            <w:pPr>
              <w:widowControl/>
              <w:jc w:val="center"/>
              <w:textAlignment w:val="center"/>
              <w:rPr>
                <w:szCs w:val="21"/>
              </w:rPr>
            </w:pPr>
            <w:r>
              <w:rPr>
                <w:kern w:val="0"/>
                <w:szCs w:val="21"/>
                <w:lang w:bidi="ar"/>
              </w:rPr>
              <w:t>330</w:t>
            </w:r>
          </w:p>
        </w:tc>
      </w:tr>
      <w:tr w14:paraId="00DAE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235" w:type="pct"/>
            <w:gridSpan w:val="2"/>
            <w:vMerge w:val="continue"/>
            <w:noWrap w:val="0"/>
            <w:vAlign w:val="center"/>
          </w:tcPr>
          <w:p w14:paraId="6FDD0296">
            <w:pPr>
              <w:jc w:val="center"/>
              <w:rPr>
                <w:szCs w:val="21"/>
              </w:rPr>
            </w:pPr>
          </w:p>
        </w:tc>
        <w:tc>
          <w:tcPr>
            <w:tcW w:w="383" w:type="pct"/>
            <w:noWrap w:val="0"/>
            <w:vAlign w:val="center"/>
          </w:tcPr>
          <w:p w14:paraId="5628A545">
            <w:pPr>
              <w:widowControl/>
              <w:jc w:val="center"/>
              <w:textAlignment w:val="center"/>
              <w:rPr>
                <w:szCs w:val="21"/>
              </w:rPr>
            </w:pPr>
            <w:r>
              <w:rPr>
                <w:kern w:val="0"/>
                <w:szCs w:val="21"/>
                <w:lang w:bidi="ar"/>
              </w:rPr>
              <w:t>标准</w:t>
            </w:r>
          </w:p>
        </w:tc>
        <w:tc>
          <w:tcPr>
            <w:tcW w:w="394" w:type="pct"/>
            <w:noWrap/>
            <w:vAlign w:val="center"/>
          </w:tcPr>
          <w:p w14:paraId="248E94A4">
            <w:pPr>
              <w:widowControl/>
              <w:jc w:val="center"/>
              <w:textAlignment w:val="center"/>
              <w:rPr>
                <w:szCs w:val="21"/>
              </w:rPr>
            </w:pPr>
            <w:r>
              <w:rPr>
                <w:kern w:val="0"/>
                <w:szCs w:val="21"/>
                <w:lang w:bidi="ar"/>
              </w:rPr>
              <w:t>6-9</w:t>
            </w:r>
          </w:p>
        </w:tc>
        <w:tc>
          <w:tcPr>
            <w:tcW w:w="335" w:type="pct"/>
            <w:noWrap/>
            <w:vAlign w:val="center"/>
          </w:tcPr>
          <w:p w14:paraId="1DF9308A">
            <w:pPr>
              <w:widowControl/>
              <w:jc w:val="center"/>
              <w:textAlignment w:val="center"/>
              <w:rPr>
                <w:szCs w:val="21"/>
              </w:rPr>
            </w:pPr>
            <w:r>
              <w:rPr>
                <w:kern w:val="0"/>
                <w:szCs w:val="21"/>
                <w:lang w:bidi="ar"/>
              </w:rPr>
              <w:t>6</w:t>
            </w:r>
          </w:p>
        </w:tc>
        <w:tc>
          <w:tcPr>
            <w:tcW w:w="390" w:type="pct"/>
            <w:noWrap/>
            <w:vAlign w:val="center"/>
          </w:tcPr>
          <w:p w14:paraId="40B0217E">
            <w:pPr>
              <w:widowControl/>
              <w:jc w:val="center"/>
              <w:textAlignment w:val="center"/>
              <w:rPr>
                <w:szCs w:val="21"/>
              </w:rPr>
            </w:pPr>
            <w:r>
              <w:rPr>
                <w:kern w:val="0"/>
                <w:szCs w:val="21"/>
                <w:lang w:bidi="ar"/>
              </w:rPr>
              <w:t>15</w:t>
            </w:r>
          </w:p>
        </w:tc>
        <w:tc>
          <w:tcPr>
            <w:tcW w:w="455" w:type="pct"/>
            <w:noWrap/>
            <w:vAlign w:val="center"/>
          </w:tcPr>
          <w:p w14:paraId="1A660148">
            <w:pPr>
              <w:widowControl/>
              <w:jc w:val="center"/>
              <w:textAlignment w:val="center"/>
              <w:rPr>
                <w:szCs w:val="21"/>
              </w:rPr>
            </w:pPr>
            <w:r>
              <w:rPr>
                <w:kern w:val="0"/>
                <w:szCs w:val="21"/>
                <w:lang w:bidi="ar"/>
              </w:rPr>
              <w:t>4</w:t>
            </w:r>
          </w:p>
        </w:tc>
        <w:tc>
          <w:tcPr>
            <w:tcW w:w="423" w:type="pct"/>
            <w:noWrap/>
            <w:vAlign w:val="center"/>
          </w:tcPr>
          <w:p w14:paraId="1DF3B029">
            <w:pPr>
              <w:widowControl/>
              <w:jc w:val="center"/>
              <w:textAlignment w:val="center"/>
              <w:rPr>
                <w:szCs w:val="21"/>
              </w:rPr>
            </w:pPr>
            <w:r>
              <w:rPr>
                <w:kern w:val="0"/>
                <w:szCs w:val="21"/>
                <w:lang w:bidi="ar"/>
              </w:rPr>
              <w:t>3</w:t>
            </w:r>
          </w:p>
        </w:tc>
        <w:tc>
          <w:tcPr>
            <w:tcW w:w="460" w:type="pct"/>
            <w:noWrap/>
            <w:vAlign w:val="center"/>
          </w:tcPr>
          <w:p w14:paraId="50718BC8">
            <w:pPr>
              <w:widowControl/>
              <w:jc w:val="center"/>
              <w:textAlignment w:val="center"/>
              <w:rPr>
                <w:szCs w:val="21"/>
              </w:rPr>
            </w:pPr>
            <w:r>
              <w:rPr>
                <w:kern w:val="0"/>
                <w:szCs w:val="21"/>
                <w:lang w:bidi="ar"/>
              </w:rPr>
              <w:t>0.5</w:t>
            </w:r>
          </w:p>
        </w:tc>
        <w:tc>
          <w:tcPr>
            <w:tcW w:w="223" w:type="pct"/>
            <w:noWrap/>
            <w:vAlign w:val="center"/>
          </w:tcPr>
          <w:p w14:paraId="06D9A076">
            <w:pPr>
              <w:widowControl/>
              <w:jc w:val="center"/>
              <w:textAlignment w:val="center"/>
              <w:rPr>
                <w:szCs w:val="21"/>
              </w:rPr>
            </w:pPr>
            <w:r>
              <w:rPr>
                <w:kern w:val="0"/>
                <w:szCs w:val="21"/>
                <w:lang w:bidi="ar"/>
              </w:rPr>
              <w:t>0.5</w:t>
            </w:r>
          </w:p>
        </w:tc>
        <w:tc>
          <w:tcPr>
            <w:tcW w:w="219" w:type="pct"/>
            <w:noWrap/>
            <w:vAlign w:val="center"/>
          </w:tcPr>
          <w:p w14:paraId="4C9BD501">
            <w:pPr>
              <w:widowControl/>
              <w:jc w:val="center"/>
              <w:textAlignment w:val="center"/>
              <w:rPr>
                <w:szCs w:val="21"/>
              </w:rPr>
            </w:pPr>
            <w:r>
              <w:rPr>
                <w:kern w:val="0"/>
                <w:szCs w:val="21"/>
                <w:lang w:bidi="ar"/>
              </w:rPr>
              <w:t>0.1</w:t>
            </w:r>
          </w:p>
        </w:tc>
        <w:tc>
          <w:tcPr>
            <w:tcW w:w="267" w:type="pct"/>
            <w:noWrap/>
            <w:vAlign w:val="center"/>
          </w:tcPr>
          <w:p w14:paraId="36D3B1A2">
            <w:pPr>
              <w:widowControl/>
              <w:jc w:val="center"/>
              <w:textAlignment w:val="center"/>
              <w:rPr>
                <w:szCs w:val="21"/>
              </w:rPr>
            </w:pPr>
            <w:r>
              <w:rPr>
                <w:kern w:val="0"/>
                <w:szCs w:val="21"/>
                <w:lang w:bidi="ar"/>
              </w:rPr>
              <w:t>0.05</w:t>
            </w:r>
          </w:p>
        </w:tc>
        <w:tc>
          <w:tcPr>
            <w:tcW w:w="324" w:type="pct"/>
            <w:noWrap/>
            <w:vAlign w:val="center"/>
          </w:tcPr>
          <w:p w14:paraId="5A0A47AD">
            <w:pPr>
              <w:widowControl/>
              <w:jc w:val="center"/>
              <w:textAlignment w:val="center"/>
              <w:rPr>
                <w:szCs w:val="21"/>
              </w:rPr>
            </w:pPr>
            <w:r>
              <w:rPr>
                <w:kern w:val="0"/>
                <w:szCs w:val="21"/>
                <w:lang w:bidi="ar"/>
              </w:rPr>
              <w:t>1</w:t>
            </w:r>
          </w:p>
        </w:tc>
        <w:tc>
          <w:tcPr>
            <w:tcW w:w="372" w:type="pct"/>
            <w:noWrap/>
            <w:vAlign w:val="center"/>
          </w:tcPr>
          <w:p w14:paraId="1E073CA5">
            <w:pPr>
              <w:widowControl/>
              <w:jc w:val="center"/>
              <w:textAlignment w:val="center"/>
              <w:rPr>
                <w:szCs w:val="21"/>
              </w:rPr>
            </w:pPr>
            <w:r>
              <w:rPr>
                <w:kern w:val="0"/>
                <w:szCs w:val="21"/>
                <w:lang w:bidi="ar"/>
              </w:rPr>
              <w:t>0.1</w:t>
            </w:r>
          </w:p>
        </w:tc>
        <w:tc>
          <w:tcPr>
            <w:tcW w:w="513" w:type="pct"/>
            <w:gridSpan w:val="2"/>
            <w:noWrap/>
            <w:vAlign w:val="center"/>
          </w:tcPr>
          <w:p w14:paraId="62A4B5F9">
            <w:pPr>
              <w:widowControl/>
              <w:jc w:val="center"/>
              <w:textAlignment w:val="center"/>
              <w:rPr>
                <w:szCs w:val="21"/>
              </w:rPr>
            </w:pPr>
            <w:r>
              <w:rPr>
                <w:kern w:val="0"/>
                <w:szCs w:val="21"/>
                <w:lang w:bidi="ar"/>
              </w:rPr>
              <w:t>2000</w:t>
            </w:r>
          </w:p>
        </w:tc>
      </w:tr>
      <w:tr w14:paraId="7AED9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trPr>
        <w:tc>
          <w:tcPr>
            <w:tcW w:w="235" w:type="pct"/>
            <w:gridSpan w:val="2"/>
            <w:vMerge w:val="continue"/>
            <w:noWrap w:val="0"/>
            <w:vAlign w:val="center"/>
          </w:tcPr>
          <w:p w14:paraId="188D839A">
            <w:pPr>
              <w:jc w:val="center"/>
              <w:rPr>
                <w:szCs w:val="21"/>
              </w:rPr>
            </w:pPr>
          </w:p>
        </w:tc>
        <w:tc>
          <w:tcPr>
            <w:tcW w:w="383" w:type="pct"/>
            <w:noWrap w:val="0"/>
            <w:vAlign w:val="center"/>
          </w:tcPr>
          <w:p w14:paraId="47CD6B00">
            <w:pPr>
              <w:widowControl/>
              <w:jc w:val="center"/>
              <w:textAlignment w:val="center"/>
              <w:rPr>
                <w:szCs w:val="21"/>
              </w:rPr>
            </w:pPr>
            <w:r>
              <w:rPr>
                <w:kern w:val="0"/>
                <w:szCs w:val="21"/>
                <w:lang w:bidi="ar"/>
              </w:rPr>
              <w:t>最大标准指数</w:t>
            </w:r>
          </w:p>
        </w:tc>
        <w:tc>
          <w:tcPr>
            <w:tcW w:w="394" w:type="pct"/>
            <w:noWrap/>
            <w:vAlign w:val="center"/>
          </w:tcPr>
          <w:p w14:paraId="751D2A9E">
            <w:pPr>
              <w:widowControl/>
              <w:jc w:val="center"/>
              <w:textAlignment w:val="center"/>
              <w:rPr>
                <w:szCs w:val="21"/>
              </w:rPr>
            </w:pPr>
            <w:r>
              <w:rPr>
                <w:kern w:val="0"/>
                <w:szCs w:val="21"/>
                <w:lang w:bidi="ar"/>
              </w:rPr>
              <w:t>0.2</w:t>
            </w:r>
          </w:p>
        </w:tc>
        <w:tc>
          <w:tcPr>
            <w:tcW w:w="335" w:type="pct"/>
            <w:noWrap/>
            <w:vAlign w:val="center"/>
          </w:tcPr>
          <w:p w14:paraId="08D53036">
            <w:pPr>
              <w:widowControl/>
              <w:jc w:val="center"/>
              <w:textAlignment w:val="center"/>
              <w:rPr>
                <w:szCs w:val="21"/>
              </w:rPr>
            </w:pPr>
            <w:r>
              <w:rPr>
                <w:kern w:val="0"/>
                <w:szCs w:val="21"/>
                <w:lang w:bidi="ar"/>
              </w:rPr>
              <w:t>0.81</w:t>
            </w:r>
          </w:p>
        </w:tc>
        <w:tc>
          <w:tcPr>
            <w:tcW w:w="390" w:type="pct"/>
            <w:noWrap/>
            <w:vAlign w:val="center"/>
          </w:tcPr>
          <w:p w14:paraId="7A2F8B67">
            <w:pPr>
              <w:widowControl/>
              <w:jc w:val="center"/>
              <w:textAlignment w:val="center"/>
              <w:rPr>
                <w:szCs w:val="21"/>
              </w:rPr>
            </w:pPr>
            <w:r>
              <w:rPr>
                <w:kern w:val="0"/>
                <w:szCs w:val="21"/>
                <w:lang w:bidi="ar"/>
              </w:rPr>
              <w:t>0</w:t>
            </w:r>
          </w:p>
        </w:tc>
        <w:tc>
          <w:tcPr>
            <w:tcW w:w="455" w:type="pct"/>
            <w:noWrap/>
            <w:vAlign w:val="center"/>
          </w:tcPr>
          <w:p w14:paraId="2570C9FF">
            <w:pPr>
              <w:widowControl/>
              <w:jc w:val="center"/>
              <w:textAlignment w:val="center"/>
              <w:rPr>
                <w:szCs w:val="21"/>
              </w:rPr>
            </w:pPr>
            <w:r>
              <w:rPr>
                <w:kern w:val="0"/>
                <w:szCs w:val="21"/>
                <w:lang w:bidi="ar"/>
              </w:rPr>
              <w:t>0</w:t>
            </w:r>
          </w:p>
        </w:tc>
        <w:tc>
          <w:tcPr>
            <w:tcW w:w="423" w:type="pct"/>
            <w:noWrap/>
            <w:vAlign w:val="center"/>
          </w:tcPr>
          <w:p w14:paraId="54992CE0">
            <w:pPr>
              <w:widowControl/>
              <w:jc w:val="center"/>
              <w:textAlignment w:val="center"/>
              <w:rPr>
                <w:szCs w:val="21"/>
              </w:rPr>
            </w:pPr>
            <w:r>
              <w:rPr>
                <w:kern w:val="0"/>
                <w:szCs w:val="21"/>
                <w:lang w:bidi="ar"/>
              </w:rPr>
              <w:t>0</w:t>
            </w:r>
          </w:p>
        </w:tc>
        <w:tc>
          <w:tcPr>
            <w:tcW w:w="460" w:type="pct"/>
            <w:noWrap/>
            <w:vAlign w:val="center"/>
          </w:tcPr>
          <w:p w14:paraId="64167927">
            <w:pPr>
              <w:widowControl/>
              <w:jc w:val="center"/>
              <w:textAlignment w:val="center"/>
              <w:rPr>
                <w:szCs w:val="21"/>
              </w:rPr>
            </w:pPr>
            <w:r>
              <w:rPr>
                <w:kern w:val="0"/>
                <w:szCs w:val="21"/>
                <w:lang w:bidi="ar"/>
              </w:rPr>
              <w:t>0.088</w:t>
            </w:r>
          </w:p>
        </w:tc>
        <w:tc>
          <w:tcPr>
            <w:tcW w:w="223" w:type="pct"/>
            <w:noWrap/>
            <w:vAlign w:val="center"/>
          </w:tcPr>
          <w:p w14:paraId="22B22BD8">
            <w:pPr>
              <w:widowControl/>
              <w:jc w:val="center"/>
              <w:textAlignment w:val="center"/>
              <w:rPr>
                <w:szCs w:val="21"/>
              </w:rPr>
            </w:pPr>
            <w:r>
              <w:rPr>
                <w:kern w:val="0"/>
                <w:szCs w:val="21"/>
                <w:lang w:bidi="ar"/>
              </w:rPr>
              <w:t>1.36</w:t>
            </w:r>
          </w:p>
        </w:tc>
        <w:tc>
          <w:tcPr>
            <w:tcW w:w="219" w:type="pct"/>
            <w:noWrap/>
            <w:vAlign w:val="center"/>
          </w:tcPr>
          <w:p w14:paraId="699E2F84">
            <w:pPr>
              <w:widowControl/>
              <w:jc w:val="center"/>
              <w:textAlignment w:val="center"/>
              <w:rPr>
                <w:szCs w:val="21"/>
              </w:rPr>
            </w:pPr>
            <w:r>
              <w:rPr>
                <w:kern w:val="0"/>
                <w:szCs w:val="21"/>
                <w:lang w:bidi="ar"/>
              </w:rPr>
              <w:t>0.3</w:t>
            </w:r>
          </w:p>
        </w:tc>
        <w:tc>
          <w:tcPr>
            <w:tcW w:w="267" w:type="pct"/>
            <w:noWrap/>
            <w:vAlign w:val="center"/>
          </w:tcPr>
          <w:p w14:paraId="256CC915">
            <w:pPr>
              <w:widowControl/>
              <w:jc w:val="center"/>
              <w:textAlignment w:val="center"/>
              <w:rPr>
                <w:szCs w:val="21"/>
              </w:rPr>
            </w:pPr>
            <w:r>
              <w:rPr>
                <w:kern w:val="0"/>
                <w:szCs w:val="21"/>
                <w:lang w:bidi="ar"/>
              </w:rPr>
              <w:t>0</w:t>
            </w:r>
          </w:p>
        </w:tc>
        <w:tc>
          <w:tcPr>
            <w:tcW w:w="324" w:type="pct"/>
            <w:noWrap/>
            <w:vAlign w:val="center"/>
          </w:tcPr>
          <w:p w14:paraId="0C79A0DF">
            <w:pPr>
              <w:widowControl/>
              <w:jc w:val="center"/>
              <w:textAlignment w:val="center"/>
              <w:rPr>
                <w:szCs w:val="21"/>
              </w:rPr>
            </w:pPr>
            <w:r>
              <w:rPr>
                <w:kern w:val="0"/>
                <w:szCs w:val="21"/>
                <w:lang w:bidi="ar"/>
              </w:rPr>
              <w:t>0.07</w:t>
            </w:r>
          </w:p>
        </w:tc>
        <w:tc>
          <w:tcPr>
            <w:tcW w:w="372" w:type="pct"/>
            <w:noWrap/>
            <w:vAlign w:val="center"/>
          </w:tcPr>
          <w:p w14:paraId="42A090C3">
            <w:pPr>
              <w:widowControl/>
              <w:jc w:val="center"/>
              <w:textAlignment w:val="center"/>
              <w:rPr>
                <w:szCs w:val="21"/>
              </w:rPr>
            </w:pPr>
            <w:r>
              <w:rPr>
                <w:kern w:val="0"/>
                <w:szCs w:val="21"/>
                <w:lang w:bidi="ar"/>
              </w:rPr>
              <w:t>0</w:t>
            </w:r>
          </w:p>
        </w:tc>
        <w:tc>
          <w:tcPr>
            <w:tcW w:w="513" w:type="pct"/>
            <w:gridSpan w:val="2"/>
            <w:noWrap/>
            <w:vAlign w:val="center"/>
          </w:tcPr>
          <w:p w14:paraId="6F3BC8AD">
            <w:pPr>
              <w:widowControl/>
              <w:jc w:val="center"/>
              <w:textAlignment w:val="center"/>
              <w:rPr>
                <w:szCs w:val="21"/>
              </w:rPr>
            </w:pPr>
            <w:r>
              <w:rPr>
                <w:kern w:val="0"/>
                <w:szCs w:val="21"/>
                <w:lang w:bidi="ar"/>
              </w:rPr>
              <w:t>0.165</w:t>
            </w:r>
          </w:p>
        </w:tc>
      </w:tr>
      <w:tr w14:paraId="08863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35" w:type="pct"/>
            <w:gridSpan w:val="2"/>
            <w:vMerge w:val="continue"/>
            <w:noWrap w:val="0"/>
            <w:vAlign w:val="center"/>
          </w:tcPr>
          <w:p w14:paraId="264F7AD8">
            <w:pPr>
              <w:jc w:val="center"/>
              <w:rPr>
                <w:szCs w:val="21"/>
              </w:rPr>
            </w:pPr>
          </w:p>
        </w:tc>
        <w:tc>
          <w:tcPr>
            <w:tcW w:w="383" w:type="pct"/>
            <w:noWrap w:val="0"/>
            <w:vAlign w:val="center"/>
          </w:tcPr>
          <w:p w14:paraId="5E59DC2F">
            <w:pPr>
              <w:widowControl/>
              <w:jc w:val="center"/>
              <w:textAlignment w:val="center"/>
              <w:rPr>
                <w:szCs w:val="21"/>
              </w:rPr>
            </w:pPr>
            <w:r>
              <w:rPr>
                <w:kern w:val="0"/>
                <w:szCs w:val="21"/>
                <w:lang w:bidi="ar"/>
              </w:rPr>
              <w:t>达标情况</w:t>
            </w:r>
          </w:p>
        </w:tc>
        <w:tc>
          <w:tcPr>
            <w:tcW w:w="394" w:type="pct"/>
            <w:noWrap/>
            <w:vAlign w:val="center"/>
          </w:tcPr>
          <w:p w14:paraId="676EB657">
            <w:pPr>
              <w:widowControl/>
              <w:jc w:val="center"/>
              <w:textAlignment w:val="center"/>
              <w:rPr>
                <w:szCs w:val="21"/>
              </w:rPr>
            </w:pPr>
            <w:r>
              <w:rPr>
                <w:kern w:val="0"/>
                <w:szCs w:val="21"/>
                <w:lang w:bidi="ar"/>
              </w:rPr>
              <w:t>达标</w:t>
            </w:r>
          </w:p>
        </w:tc>
        <w:tc>
          <w:tcPr>
            <w:tcW w:w="335" w:type="pct"/>
            <w:noWrap/>
            <w:vAlign w:val="center"/>
          </w:tcPr>
          <w:p w14:paraId="4B84A6D5">
            <w:pPr>
              <w:widowControl/>
              <w:jc w:val="center"/>
              <w:textAlignment w:val="center"/>
              <w:rPr>
                <w:szCs w:val="21"/>
              </w:rPr>
            </w:pPr>
            <w:r>
              <w:rPr>
                <w:kern w:val="0"/>
                <w:szCs w:val="21"/>
                <w:lang w:bidi="ar"/>
              </w:rPr>
              <w:t>达标</w:t>
            </w:r>
          </w:p>
        </w:tc>
        <w:tc>
          <w:tcPr>
            <w:tcW w:w="390" w:type="pct"/>
            <w:noWrap/>
            <w:vAlign w:val="center"/>
          </w:tcPr>
          <w:p w14:paraId="26B23A82">
            <w:pPr>
              <w:widowControl/>
              <w:jc w:val="center"/>
              <w:textAlignment w:val="center"/>
              <w:rPr>
                <w:szCs w:val="21"/>
              </w:rPr>
            </w:pPr>
            <w:r>
              <w:rPr>
                <w:kern w:val="0"/>
                <w:szCs w:val="21"/>
                <w:lang w:bidi="ar"/>
              </w:rPr>
              <w:t>达标</w:t>
            </w:r>
          </w:p>
        </w:tc>
        <w:tc>
          <w:tcPr>
            <w:tcW w:w="455" w:type="pct"/>
            <w:noWrap/>
            <w:vAlign w:val="center"/>
          </w:tcPr>
          <w:p w14:paraId="41975CDC">
            <w:pPr>
              <w:widowControl/>
              <w:jc w:val="center"/>
              <w:textAlignment w:val="center"/>
              <w:rPr>
                <w:szCs w:val="21"/>
              </w:rPr>
            </w:pPr>
            <w:r>
              <w:rPr>
                <w:kern w:val="0"/>
                <w:szCs w:val="21"/>
                <w:lang w:bidi="ar"/>
              </w:rPr>
              <w:t>达标</w:t>
            </w:r>
          </w:p>
        </w:tc>
        <w:tc>
          <w:tcPr>
            <w:tcW w:w="423" w:type="pct"/>
            <w:noWrap/>
            <w:vAlign w:val="center"/>
          </w:tcPr>
          <w:p w14:paraId="6579BA62">
            <w:pPr>
              <w:widowControl/>
              <w:jc w:val="center"/>
              <w:textAlignment w:val="center"/>
              <w:rPr>
                <w:szCs w:val="21"/>
              </w:rPr>
            </w:pPr>
            <w:r>
              <w:rPr>
                <w:kern w:val="0"/>
                <w:szCs w:val="21"/>
                <w:lang w:bidi="ar"/>
              </w:rPr>
              <w:t>达标</w:t>
            </w:r>
          </w:p>
        </w:tc>
        <w:tc>
          <w:tcPr>
            <w:tcW w:w="460" w:type="pct"/>
            <w:noWrap/>
            <w:vAlign w:val="center"/>
          </w:tcPr>
          <w:p w14:paraId="51A1F4A1">
            <w:pPr>
              <w:widowControl/>
              <w:jc w:val="center"/>
              <w:textAlignment w:val="center"/>
              <w:rPr>
                <w:szCs w:val="21"/>
              </w:rPr>
            </w:pPr>
            <w:r>
              <w:rPr>
                <w:kern w:val="0"/>
                <w:szCs w:val="21"/>
                <w:lang w:bidi="ar"/>
              </w:rPr>
              <w:t>达标</w:t>
            </w:r>
          </w:p>
        </w:tc>
        <w:tc>
          <w:tcPr>
            <w:tcW w:w="223" w:type="pct"/>
            <w:noWrap/>
            <w:vAlign w:val="center"/>
          </w:tcPr>
          <w:p w14:paraId="7B3A9392">
            <w:pPr>
              <w:widowControl/>
              <w:jc w:val="center"/>
              <w:textAlignment w:val="center"/>
              <w:rPr>
                <w:szCs w:val="21"/>
              </w:rPr>
            </w:pPr>
            <w:r>
              <w:rPr>
                <w:kern w:val="0"/>
                <w:szCs w:val="21"/>
                <w:lang w:bidi="ar"/>
              </w:rPr>
              <w:t>/</w:t>
            </w:r>
          </w:p>
        </w:tc>
        <w:tc>
          <w:tcPr>
            <w:tcW w:w="219" w:type="pct"/>
            <w:noWrap/>
            <w:vAlign w:val="center"/>
          </w:tcPr>
          <w:p w14:paraId="49BB02E8">
            <w:pPr>
              <w:widowControl/>
              <w:jc w:val="center"/>
              <w:textAlignment w:val="center"/>
              <w:rPr>
                <w:szCs w:val="21"/>
              </w:rPr>
            </w:pPr>
            <w:r>
              <w:rPr>
                <w:kern w:val="0"/>
                <w:szCs w:val="21"/>
                <w:lang w:bidi="ar"/>
              </w:rPr>
              <w:t>达标</w:t>
            </w:r>
          </w:p>
        </w:tc>
        <w:tc>
          <w:tcPr>
            <w:tcW w:w="267" w:type="pct"/>
            <w:noWrap/>
            <w:vAlign w:val="center"/>
          </w:tcPr>
          <w:p w14:paraId="31145DB1">
            <w:pPr>
              <w:widowControl/>
              <w:jc w:val="center"/>
              <w:textAlignment w:val="center"/>
              <w:rPr>
                <w:szCs w:val="21"/>
              </w:rPr>
            </w:pPr>
            <w:r>
              <w:rPr>
                <w:kern w:val="0"/>
                <w:szCs w:val="21"/>
                <w:lang w:bidi="ar"/>
              </w:rPr>
              <w:t>达标</w:t>
            </w:r>
          </w:p>
        </w:tc>
        <w:tc>
          <w:tcPr>
            <w:tcW w:w="324" w:type="pct"/>
            <w:noWrap/>
            <w:vAlign w:val="center"/>
          </w:tcPr>
          <w:p w14:paraId="41949741">
            <w:pPr>
              <w:widowControl/>
              <w:jc w:val="center"/>
              <w:textAlignment w:val="center"/>
              <w:rPr>
                <w:szCs w:val="21"/>
              </w:rPr>
            </w:pPr>
            <w:r>
              <w:rPr>
                <w:kern w:val="0"/>
                <w:szCs w:val="21"/>
                <w:lang w:bidi="ar"/>
              </w:rPr>
              <w:t>达标</w:t>
            </w:r>
          </w:p>
        </w:tc>
        <w:tc>
          <w:tcPr>
            <w:tcW w:w="372" w:type="pct"/>
            <w:noWrap/>
            <w:vAlign w:val="center"/>
          </w:tcPr>
          <w:p w14:paraId="39EEEAB6">
            <w:pPr>
              <w:widowControl/>
              <w:jc w:val="center"/>
              <w:textAlignment w:val="center"/>
              <w:rPr>
                <w:szCs w:val="21"/>
              </w:rPr>
            </w:pPr>
            <w:r>
              <w:rPr>
                <w:kern w:val="0"/>
                <w:szCs w:val="21"/>
                <w:lang w:bidi="ar"/>
              </w:rPr>
              <w:t>达标</w:t>
            </w:r>
          </w:p>
        </w:tc>
        <w:tc>
          <w:tcPr>
            <w:tcW w:w="513" w:type="pct"/>
            <w:gridSpan w:val="2"/>
            <w:noWrap/>
            <w:vAlign w:val="center"/>
          </w:tcPr>
          <w:p w14:paraId="3E1492D4">
            <w:pPr>
              <w:widowControl/>
              <w:jc w:val="center"/>
              <w:textAlignment w:val="center"/>
              <w:rPr>
                <w:szCs w:val="21"/>
              </w:rPr>
            </w:pPr>
            <w:r>
              <w:rPr>
                <w:kern w:val="0"/>
                <w:szCs w:val="21"/>
                <w:lang w:bidi="ar"/>
              </w:rPr>
              <w:t>达标</w:t>
            </w:r>
          </w:p>
        </w:tc>
      </w:tr>
    </w:tbl>
    <w:p w14:paraId="01F2E540">
      <w:pPr>
        <w:pStyle w:val="36"/>
        <w:spacing w:line="360" w:lineRule="auto"/>
        <w:ind w:firstLine="422"/>
        <w:rPr>
          <w:rFonts w:ascii="Times New Roman" w:hAnsi="Times New Roman"/>
          <w:b/>
          <w:bCs/>
          <w:sz w:val="21"/>
          <w:szCs w:val="21"/>
        </w:rPr>
        <w:sectPr>
          <w:pgSz w:w="16838" w:h="11906" w:orient="landscape"/>
          <w:pgMar w:top="1797" w:right="1440" w:bottom="1797" w:left="1361" w:header="851" w:footer="992" w:gutter="0"/>
          <w:cols w:space="720" w:num="1"/>
          <w:docGrid w:linePitch="312" w:charSpace="0"/>
        </w:sectPr>
      </w:pPr>
      <w:r>
        <w:rPr>
          <w:rFonts w:ascii="Times New Roman" w:hAnsi="Times New Roman"/>
          <w:b/>
          <w:bCs/>
          <w:sz w:val="21"/>
          <w:szCs w:val="21"/>
        </w:rPr>
        <w:t>注：总氮不参与地表水评价</w:t>
      </w:r>
    </w:p>
    <w:p w14:paraId="3ED6448C">
      <w:pPr>
        <w:pStyle w:val="36"/>
        <w:spacing w:line="360" w:lineRule="auto"/>
        <w:rPr>
          <w:rFonts w:ascii="Times New Roman" w:hAnsi="Times New Roman"/>
        </w:rPr>
      </w:pPr>
      <w:r>
        <w:rPr>
          <w:rFonts w:ascii="Times New Roman" w:hAnsi="Times New Roman"/>
        </w:rPr>
        <w:t>根据检测结果，项目区地表水断面监测数据均符合《地表水环境质量标准》(GB3838—2002)中II类水质要求，项目区水环境质量现状较好。</w:t>
      </w:r>
    </w:p>
    <w:p w14:paraId="37709085">
      <w:pPr>
        <w:snapToGrid w:val="0"/>
        <w:spacing w:line="360" w:lineRule="auto"/>
        <w:outlineLvl w:val="3"/>
        <w:rPr>
          <w:b/>
          <w:sz w:val="24"/>
        </w:rPr>
      </w:pPr>
      <w:r>
        <w:rPr>
          <w:b/>
          <w:sz w:val="24"/>
        </w:rPr>
        <w:t>4.2.2.2地下水环境质量现状与评价</w:t>
      </w:r>
      <w:bookmarkStart w:id="88" w:name="_Toc402803417"/>
    </w:p>
    <w:p w14:paraId="48BF365F">
      <w:pPr>
        <w:widowControl/>
        <w:spacing w:line="360" w:lineRule="auto"/>
        <w:ind w:firstLine="480" w:firstLineChars="200"/>
        <w:jc w:val="left"/>
        <w:rPr>
          <w:sz w:val="24"/>
        </w:rPr>
      </w:pPr>
      <w:r>
        <w:rPr>
          <w:sz w:val="24"/>
        </w:rPr>
        <w:t>建设单位委托云南环绿环境检测技术有限公司对项目周边泉点及水井进行了地下水监测，监测日期为2021年3月28日至3月30日，连续监测3天，监测指标为K</w:t>
      </w:r>
      <w:r>
        <w:rPr>
          <w:sz w:val="24"/>
          <w:vertAlign w:val="superscript"/>
        </w:rPr>
        <w:t>+</w:t>
      </w:r>
      <w:r>
        <w:rPr>
          <w:sz w:val="24"/>
        </w:rPr>
        <w:t>、Na</w:t>
      </w:r>
      <w:r>
        <w:rPr>
          <w:sz w:val="24"/>
          <w:vertAlign w:val="superscript"/>
        </w:rPr>
        <w:t>+</w:t>
      </w:r>
      <w:r>
        <w:rPr>
          <w:sz w:val="24"/>
        </w:rPr>
        <w:t>、Ca</w:t>
      </w:r>
      <w:r>
        <w:rPr>
          <w:sz w:val="24"/>
          <w:vertAlign w:val="superscript"/>
        </w:rPr>
        <w:t>2+</w:t>
      </w:r>
      <w:r>
        <w:rPr>
          <w:sz w:val="24"/>
        </w:rPr>
        <w:t>、Mg</w:t>
      </w:r>
      <w:r>
        <w:rPr>
          <w:sz w:val="24"/>
          <w:vertAlign w:val="superscript"/>
        </w:rPr>
        <w:t>2+</w:t>
      </w:r>
      <w:r>
        <w:rPr>
          <w:sz w:val="24"/>
        </w:rPr>
        <w:t>、CO</w:t>
      </w:r>
      <w:r>
        <w:rPr>
          <w:sz w:val="24"/>
          <w:vertAlign w:val="subscript"/>
        </w:rPr>
        <w:t>3</w:t>
      </w:r>
      <w:r>
        <w:rPr>
          <w:sz w:val="24"/>
          <w:vertAlign w:val="superscript"/>
        </w:rPr>
        <w:t>2-</w:t>
      </w:r>
      <w:r>
        <w:rPr>
          <w:sz w:val="24"/>
        </w:rPr>
        <w:t>、HCO</w:t>
      </w:r>
      <w:r>
        <w:rPr>
          <w:sz w:val="24"/>
          <w:vertAlign w:val="subscript"/>
        </w:rPr>
        <w:t>3</w:t>
      </w:r>
      <w:r>
        <w:rPr>
          <w:sz w:val="24"/>
          <w:vertAlign w:val="superscript"/>
        </w:rPr>
        <w:t>-</w:t>
      </w:r>
      <w:r>
        <w:rPr>
          <w:sz w:val="24"/>
        </w:rPr>
        <w:t>、Cl</w:t>
      </w:r>
      <w:r>
        <w:rPr>
          <w:sz w:val="24"/>
          <w:vertAlign w:val="superscript"/>
        </w:rPr>
        <w:t>-</w:t>
      </w:r>
      <w:r>
        <w:rPr>
          <w:sz w:val="24"/>
        </w:rPr>
        <w:t>、SO</w:t>
      </w:r>
      <w:r>
        <w:rPr>
          <w:sz w:val="24"/>
          <w:vertAlign w:val="subscript"/>
        </w:rPr>
        <w:t>4</w:t>
      </w:r>
      <w:r>
        <w:rPr>
          <w:sz w:val="24"/>
          <w:vertAlign w:val="superscript"/>
        </w:rPr>
        <w:t>2-</w:t>
      </w:r>
      <w:r>
        <w:rPr>
          <w:sz w:val="24"/>
        </w:rPr>
        <w:t>、pH、氨氮、亚硝酸盐、总硬度、耗氧量、硫酸盐、氯化物、总大肠菌群、细菌总数共17项。监测结果如下：</w:t>
      </w:r>
    </w:p>
    <w:p w14:paraId="3D58AD33">
      <w:pPr>
        <w:spacing w:line="360" w:lineRule="auto"/>
        <w:ind w:firstLine="422" w:firstLineChars="200"/>
        <w:jc w:val="center"/>
        <w:rPr>
          <w:b/>
          <w:bCs/>
          <w:szCs w:val="21"/>
        </w:rPr>
        <w:sectPr>
          <w:pgSz w:w="11906" w:h="16838"/>
          <w:pgMar w:top="1440" w:right="1797" w:bottom="1361" w:left="1797" w:header="851" w:footer="992" w:gutter="0"/>
          <w:cols w:space="720" w:num="1"/>
          <w:docGrid w:linePitch="312" w:charSpace="0"/>
        </w:sectPr>
      </w:pPr>
    </w:p>
    <w:p w14:paraId="3A1B6280">
      <w:pPr>
        <w:ind w:firstLine="482" w:firstLineChars="200"/>
        <w:jc w:val="center"/>
        <w:rPr>
          <w:sz w:val="24"/>
        </w:rPr>
      </w:pPr>
      <w:r>
        <w:rPr>
          <w:b/>
          <w:bCs/>
          <w:sz w:val="24"/>
        </w:rPr>
        <w:t>表4.2-5   地下水监测结果    单位：mg/L</w:t>
      </w:r>
    </w:p>
    <w:tbl>
      <w:tblPr>
        <w:tblStyle w:val="8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26"/>
        <w:gridCol w:w="1093"/>
        <w:gridCol w:w="793"/>
        <w:gridCol w:w="622"/>
        <w:gridCol w:w="622"/>
        <w:gridCol w:w="950"/>
        <w:gridCol w:w="1027"/>
        <w:gridCol w:w="1013"/>
        <w:gridCol w:w="811"/>
        <w:gridCol w:w="1027"/>
        <w:gridCol w:w="899"/>
        <w:gridCol w:w="862"/>
        <w:gridCol w:w="787"/>
        <w:gridCol w:w="761"/>
        <w:gridCol w:w="835"/>
        <w:gridCol w:w="861"/>
        <w:gridCol w:w="864"/>
      </w:tblGrid>
      <w:tr w14:paraId="265C4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shd w:val="clear" w:color="auto" w:fill="auto"/>
            <w:noWrap w:val="0"/>
            <w:vAlign w:val="center"/>
          </w:tcPr>
          <w:p w14:paraId="140C7837">
            <w:pPr>
              <w:widowControl/>
              <w:jc w:val="center"/>
              <w:textAlignment w:val="center"/>
              <w:rPr>
                <w:b/>
                <w:bCs/>
                <w:sz w:val="18"/>
                <w:szCs w:val="18"/>
              </w:rPr>
            </w:pPr>
            <w:r>
              <w:rPr>
                <w:b/>
                <w:bCs/>
                <w:kern w:val="0"/>
                <w:sz w:val="18"/>
                <w:szCs w:val="18"/>
                <w:lang w:bidi="ar"/>
              </w:rPr>
              <w:t>采样地点</w:t>
            </w:r>
          </w:p>
        </w:tc>
        <w:tc>
          <w:tcPr>
            <w:tcW w:w="382" w:type="pct"/>
            <w:shd w:val="clear" w:color="auto" w:fill="D7D7D7"/>
            <w:noWrap w:val="0"/>
            <w:vAlign w:val="center"/>
          </w:tcPr>
          <w:p w14:paraId="08F85E1D">
            <w:pPr>
              <w:widowControl/>
              <w:snapToGrid w:val="0"/>
              <w:jc w:val="center"/>
              <w:textAlignment w:val="center"/>
              <w:rPr>
                <w:sz w:val="18"/>
                <w:szCs w:val="18"/>
              </w:rPr>
            </w:pPr>
            <w:r>
              <w:rPr>
                <w:kern w:val="0"/>
                <w:sz w:val="18"/>
                <w:szCs w:val="18"/>
                <w:lang w:bidi="ar"/>
              </w:rPr>
              <w:t>日期</w:t>
            </w:r>
          </w:p>
          <w:p w14:paraId="345F92C6">
            <w:pPr>
              <w:widowControl/>
              <w:jc w:val="center"/>
              <w:textAlignment w:val="center"/>
              <w:rPr>
                <w:sz w:val="18"/>
                <w:szCs w:val="18"/>
              </w:rPr>
            </w:pPr>
            <w:r>
              <w:rPr>
                <w:sz w:val="18"/>
                <w:szCs w:val="18"/>
              </w:rPr>
              <w:t>项目</w:t>
            </w:r>
          </w:p>
        </w:tc>
        <w:tc>
          <w:tcPr>
            <w:tcW w:w="277" w:type="pct"/>
            <w:noWrap w:val="0"/>
            <w:vAlign w:val="center"/>
          </w:tcPr>
          <w:p w14:paraId="03F8EC4A">
            <w:pPr>
              <w:widowControl/>
              <w:jc w:val="center"/>
              <w:textAlignment w:val="center"/>
              <w:rPr>
                <w:b/>
                <w:bCs/>
                <w:sz w:val="18"/>
                <w:szCs w:val="18"/>
              </w:rPr>
            </w:pPr>
            <w:r>
              <w:rPr>
                <w:kern w:val="0"/>
                <w:sz w:val="18"/>
                <w:szCs w:val="18"/>
                <w:lang w:bidi="ar"/>
              </w:rPr>
              <w:t>pH值（无量纲）</w:t>
            </w:r>
          </w:p>
        </w:tc>
        <w:tc>
          <w:tcPr>
            <w:tcW w:w="218" w:type="pct"/>
            <w:noWrap w:val="0"/>
            <w:vAlign w:val="center"/>
          </w:tcPr>
          <w:p w14:paraId="162B3D5A">
            <w:pPr>
              <w:widowControl/>
              <w:jc w:val="center"/>
              <w:textAlignment w:val="center"/>
              <w:rPr>
                <w:sz w:val="18"/>
                <w:szCs w:val="18"/>
              </w:rPr>
            </w:pPr>
            <w:r>
              <w:rPr>
                <w:kern w:val="0"/>
                <w:sz w:val="18"/>
                <w:szCs w:val="18"/>
                <w:lang w:bidi="ar"/>
              </w:rPr>
              <w:t>氨氮</w:t>
            </w:r>
          </w:p>
        </w:tc>
        <w:tc>
          <w:tcPr>
            <w:tcW w:w="218" w:type="pct"/>
            <w:noWrap w:val="0"/>
            <w:vAlign w:val="center"/>
          </w:tcPr>
          <w:p w14:paraId="5D197F4B">
            <w:pPr>
              <w:widowControl/>
              <w:jc w:val="center"/>
              <w:textAlignment w:val="center"/>
              <w:rPr>
                <w:sz w:val="18"/>
                <w:szCs w:val="18"/>
              </w:rPr>
            </w:pPr>
            <w:r>
              <w:rPr>
                <w:kern w:val="0"/>
                <w:sz w:val="18"/>
                <w:szCs w:val="18"/>
                <w:lang w:bidi="ar"/>
              </w:rPr>
              <w:t>硝酸盐氮</w:t>
            </w:r>
          </w:p>
        </w:tc>
        <w:tc>
          <w:tcPr>
            <w:tcW w:w="333" w:type="pct"/>
            <w:noWrap w:val="0"/>
            <w:vAlign w:val="center"/>
          </w:tcPr>
          <w:p w14:paraId="5B934624">
            <w:pPr>
              <w:widowControl/>
              <w:jc w:val="center"/>
              <w:textAlignment w:val="center"/>
              <w:rPr>
                <w:sz w:val="18"/>
                <w:szCs w:val="18"/>
              </w:rPr>
            </w:pPr>
            <w:r>
              <w:rPr>
                <w:kern w:val="0"/>
                <w:sz w:val="18"/>
                <w:szCs w:val="18"/>
                <w:lang w:bidi="ar"/>
              </w:rPr>
              <w:t>亚硝酸盐氮</w:t>
            </w:r>
          </w:p>
        </w:tc>
        <w:tc>
          <w:tcPr>
            <w:tcW w:w="359" w:type="pct"/>
            <w:noWrap w:val="0"/>
            <w:vAlign w:val="center"/>
          </w:tcPr>
          <w:p w14:paraId="431072EE">
            <w:pPr>
              <w:widowControl/>
              <w:jc w:val="center"/>
              <w:textAlignment w:val="center"/>
              <w:rPr>
                <w:sz w:val="18"/>
                <w:szCs w:val="18"/>
              </w:rPr>
            </w:pPr>
            <w:r>
              <w:rPr>
                <w:kern w:val="0"/>
                <w:sz w:val="18"/>
                <w:szCs w:val="18"/>
                <w:lang w:bidi="ar"/>
              </w:rPr>
              <w:t>挥发酚</w:t>
            </w:r>
          </w:p>
        </w:tc>
        <w:tc>
          <w:tcPr>
            <w:tcW w:w="355" w:type="pct"/>
            <w:noWrap w:val="0"/>
            <w:vAlign w:val="center"/>
          </w:tcPr>
          <w:p w14:paraId="6BBD4C5C">
            <w:pPr>
              <w:widowControl/>
              <w:jc w:val="center"/>
              <w:textAlignment w:val="center"/>
              <w:rPr>
                <w:sz w:val="18"/>
                <w:szCs w:val="18"/>
              </w:rPr>
            </w:pPr>
            <w:r>
              <w:rPr>
                <w:kern w:val="0"/>
                <w:sz w:val="18"/>
                <w:szCs w:val="18"/>
                <w:lang w:bidi="ar"/>
              </w:rPr>
              <w:t>氰化物</w:t>
            </w:r>
          </w:p>
        </w:tc>
        <w:tc>
          <w:tcPr>
            <w:tcW w:w="284" w:type="pct"/>
            <w:noWrap w:val="0"/>
            <w:vAlign w:val="center"/>
          </w:tcPr>
          <w:p w14:paraId="1EFE579D">
            <w:pPr>
              <w:widowControl/>
              <w:jc w:val="center"/>
              <w:textAlignment w:val="center"/>
              <w:rPr>
                <w:sz w:val="18"/>
                <w:szCs w:val="18"/>
              </w:rPr>
            </w:pPr>
            <w:r>
              <w:rPr>
                <w:kern w:val="0"/>
                <w:sz w:val="18"/>
                <w:szCs w:val="18"/>
                <w:lang w:bidi="ar"/>
              </w:rPr>
              <w:t>总砷</w:t>
            </w:r>
          </w:p>
        </w:tc>
        <w:tc>
          <w:tcPr>
            <w:tcW w:w="359" w:type="pct"/>
            <w:noWrap w:val="0"/>
            <w:vAlign w:val="center"/>
          </w:tcPr>
          <w:p w14:paraId="473F67BD">
            <w:pPr>
              <w:widowControl/>
              <w:jc w:val="center"/>
              <w:textAlignment w:val="center"/>
              <w:rPr>
                <w:sz w:val="18"/>
                <w:szCs w:val="18"/>
              </w:rPr>
            </w:pPr>
            <w:r>
              <w:rPr>
                <w:kern w:val="0"/>
                <w:sz w:val="18"/>
                <w:szCs w:val="18"/>
                <w:lang w:bidi="ar"/>
              </w:rPr>
              <w:t>总汞</w:t>
            </w:r>
          </w:p>
        </w:tc>
        <w:tc>
          <w:tcPr>
            <w:tcW w:w="315" w:type="pct"/>
            <w:noWrap w:val="0"/>
            <w:vAlign w:val="center"/>
          </w:tcPr>
          <w:p w14:paraId="0C1BB838">
            <w:pPr>
              <w:widowControl/>
              <w:jc w:val="center"/>
              <w:textAlignment w:val="center"/>
              <w:rPr>
                <w:sz w:val="18"/>
                <w:szCs w:val="18"/>
              </w:rPr>
            </w:pPr>
            <w:r>
              <w:rPr>
                <w:kern w:val="0"/>
                <w:sz w:val="18"/>
                <w:szCs w:val="18"/>
                <w:lang w:bidi="ar"/>
              </w:rPr>
              <w:t>六价铬</w:t>
            </w:r>
          </w:p>
        </w:tc>
        <w:tc>
          <w:tcPr>
            <w:tcW w:w="302" w:type="pct"/>
            <w:noWrap w:val="0"/>
            <w:vAlign w:val="center"/>
          </w:tcPr>
          <w:p w14:paraId="1A0A4191">
            <w:pPr>
              <w:widowControl/>
              <w:jc w:val="center"/>
              <w:textAlignment w:val="center"/>
              <w:rPr>
                <w:sz w:val="18"/>
                <w:szCs w:val="18"/>
              </w:rPr>
            </w:pPr>
            <w:r>
              <w:rPr>
                <w:kern w:val="0"/>
                <w:sz w:val="18"/>
                <w:szCs w:val="18"/>
                <w:lang w:bidi="ar"/>
              </w:rPr>
              <w:t>总硬度</w:t>
            </w:r>
          </w:p>
        </w:tc>
        <w:tc>
          <w:tcPr>
            <w:tcW w:w="276" w:type="pct"/>
            <w:noWrap w:val="0"/>
            <w:vAlign w:val="center"/>
          </w:tcPr>
          <w:p w14:paraId="56FCCD1A">
            <w:pPr>
              <w:widowControl/>
              <w:jc w:val="center"/>
              <w:textAlignment w:val="center"/>
              <w:rPr>
                <w:sz w:val="18"/>
                <w:szCs w:val="18"/>
              </w:rPr>
            </w:pPr>
            <w:r>
              <w:rPr>
                <w:kern w:val="0"/>
                <w:sz w:val="18"/>
                <w:szCs w:val="18"/>
                <w:lang w:bidi="ar"/>
              </w:rPr>
              <w:t>铅</w:t>
            </w:r>
          </w:p>
        </w:tc>
        <w:tc>
          <w:tcPr>
            <w:tcW w:w="267" w:type="pct"/>
            <w:noWrap w:val="0"/>
            <w:vAlign w:val="center"/>
          </w:tcPr>
          <w:p w14:paraId="1E6FCD0C">
            <w:pPr>
              <w:widowControl/>
              <w:jc w:val="center"/>
              <w:textAlignment w:val="center"/>
              <w:rPr>
                <w:sz w:val="18"/>
                <w:szCs w:val="18"/>
              </w:rPr>
            </w:pPr>
            <w:r>
              <w:rPr>
                <w:kern w:val="0"/>
                <w:sz w:val="18"/>
                <w:szCs w:val="18"/>
                <w:lang w:bidi="ar"/>
              </w:rPr>
              <w:t>氟化物</w:t>
            </w:r>
          </w:p>
        </w:tc>
        <w:tc>
          <w:tcPr>
            <w:tcW w:w="293" w:type="pct"/>
            <w:noWrap w:val="0"/>
            <w:vAlign w:val="center"/>
          </w:tcPr>
          <w:p w14:paraId="59349533">
            <w:pPr>
              <w:widowControl/>
              <w:jc w:val="center"/>
              <w:textAlignment w:val="center"/>
              <w:rPr>
                <w:sz w:val="18"/>
                <w:szCs w:val="18"/>
              </w:rPr>
            </w:pPr>
            <w:r>
              <w:rPr>
                <w:kern w:val="0"/>
                <w:sz w:val="18"/>
                <w:szCs w:val="18"/>
                <w:lang w:bidi="ar"/>
              </w:rPr>
              <w:t>镉</w:t>
            </w:r>
          </w:p>
        </w:tc>
        <w:tc>
          <w:tcPr>
            <w:tcW w:w="302" w:type="pct"/>
            <w:noWrap w:val="0"/>
            <w:vAlign w:val="center"/>
          </w:tcPr>
          <w:p w14:paraId="514F6194">
            <w:pPr>
              <w:widowControl/>
              <w:jc w:val="center"/>
              <w:textAlignment w:val="center"/>
              <w:rPr>
                <w:sz w:val="18"/>
                <w:szCs w:val="18"/>
              </w:rPr>
            </w:pPr>
            <w:r>
              <w:rPr>
                <w:kern w:val="0"/>
                <w:sz w:val="18"/>
                <w:szCs w:val="18"/>
                <w:lang w:bidi="ar"/>
              </w:rPr>
              <w:t>铁</w:t>
            </w:r>
          </w:p>
        </w:tc>
        <w:tc>
          <w:tcPr>
            <w:tcW w:w="303" w:type="pct"/>
            <w:noWrap w:val="0"/>
            <w:vAlign w:val="center"/>
          </w:tcPr>
          <w:p w14:paraId="28679DC7">
            <w:pPr>
              <w:widowControl/>
              <w:jc w:val="center"/>
              <w:textAlignment w:val="center"/>
              <w:rPr>
                <w:sz w:val="18"/>
                <w:szCs w:val="18"/>
              </w:rPr>
            </w:pPr>
            <w:r>
              <w:rPr>
                <w:kern w:val="0"/>
                <w:sz w:val="18"/>
                <w:szCs w:val="18"/>
                <w:lang w:bidi="ar"/>
              </w:rPr>
              <w:t>锰</w:t>
            </w:r>
          </w:p>
        </w:tc>
      </w:tr>
      <w:tr w14:paraId="5A9BF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restart"/>
            <w:shd w:val="clear" w:color="auto" w:fill="auto"/>
            <w:noWrap w:val="0"/>
            <w:vAlign w:val="center"/>
          </w:tcPr>
          <w:p w14:paraId="31441B72">
            <w:pPr>
              <w:widowControl/>
              <w:jc w:val="center"/>
              <w:textAlignment w:val="center"/>
              <w:rPr>
                <w:sz w:val="18"/>
                <w:szCs w:val="18"/>
              </w:rPr>
            </w:pPr>
            <w:r>
              <w:rPr>
                <w:kern w:val="0"/>
                <w:sz w:val="18"/>
                <w:szCs w:val="18"/>
                <w:lang w:bidi="ar"/>
              </w:rPr>
              <w:t>拟建项目地块一内水井DW1</w:t>
            </w:r>
          </w:p>
        </w:tc>
        <w:tc>
          <w:tcPr>
            <w:tcW w:w="382" w:type="pct"/>
            <w:shd w:val="clear" w:color="auto" w:fill="D7D7D7"/>
            <w:noWrap w:val="0"/>
            <w:vAlign w:val="center"/>
          </w:tcPr>
          <w:p w14:paraId="68F91C10">
            <w:pPr>
              <w:widowControl/>
              <w:jc w:val="center"/>
              <w:textAlignment w:val="center"/>
              <w:rPr>
                <w:sz w:val="18"/>
                <w:szCs w:val="18"/>
              </w:rPr>
            </w:pPr>
            <w:r>
              <w:rPr>
                <w:kern w:val="0"/>
                <w:sz w:val="18"/>
                <w:szCs w:val="18"/>
                <w:lang w:bidi="ar"/>
              </w:rPr>
              <w:t>2021/3/28</w:t>
            </w:r>
          </w:p>
        </w:tc>
        <w:tc>
          <w:tcPr>
            <w:tcW w:w="277" w:type="pct"/>
            <w:noWrap w:val="0"/>
            <w:vAlign w:val="center"/>
          </w:tcPr>
          <w:p w14:paraId="386C9374">
            <w:pPr>
              <w:widowControl/>
              <w:jc w:val="center"/>
              <w:textAlignment w:val="center"/>
              <w:rPr>
                <w:sz w:val="18"/>
                <w:szCs w:val="18"/>
              </w:rPr>
            </w:pPr>
            <w:r>
              <w:rPr>
                <w:kern w:val="0"/>
                <w:sz w:val="18"/>
                <w:szCs w:val="18"/>
                <w:lang w:bidi="ar"/>
              </w:rPr>
              <w:t>7.32</w:t>
            </w:r>
          </w:p>
        </w:tc>
        <w:tc>
          <w:tcPr>
            <w:tcW w:w="218" w:type="pct"/>
            <w:noWrap w:val="0"/>
            <w:vAlign w:val="center"/>
          </w:tcPr>
          <w:p w14:paraId="474C0D73">
            <w:pPr>
              <w:widowControl/>
              <w:jc w:val="center"/>
              <w:textAlignment w:val="center"/>
              <w:rPr>
                <w:sz w:val="18"/>
                <w:szCs w:val="18"/>
              </w:rPr>
            </w:pPr>
            <w:r>
              <w:rPr>
                <w:kern w:val="0"/>
                <w:sz w:val="18"/>
                <w:szCs w:val="18"/>
                <w:lang w:bidi="ar"/>
              </w:rPr>
              <w:t>0.047</w:t>
            </w:r>
          </w:p>
        </w:tc>
        <w:tc>
          <w:tcPr>
            <w:tcW w:w="218" w:type="pct"/>
            <w:noWrap w:val="0"/>
            <w:vAlign w:val="center"/>
          </w:tcPr>
          <w:p w14:paraId="71DECB28">
            <w:pPr>
              <w:widowControl/>
              <w:jc w:val="center"/>
              <w:textAlignment w:val="center"/>
              <w:rPr>
                <w:sz w:val="18"/>
                <w:szCs w:val="18"/>
              </w:rPr>
            </w:pPr>
            <w:r>
              <w:rPr>
                <w:kern w:val="0"/>
                <w:sz w:val="18"/>
                <w:szCs w:val="18"/>
                <w:lang w:bidi="ar"/>
              </w:rPr>
              <w:t>1.81</w:t>
            </w:r>
          </w:p>
        </w:tc>
        <w:tc>
          <w:tcPr>
            <w:tcW w:w="333" w:type="pct"/>
            <w:noWrap w:val="0"/>
            <w:vAlign w:val="center"/>
          </w:tcPr>
          <w:p w14:paraId="7B463377">
            <w:pPr>
              <w:widowControl/>
              <w:jc w:val="center"/>
              <w:textAlignment w:val="center"/>
              <w:rPr>
                <w:sz w:val="18"/>
                <w:szCs w:val="18"/>
              </w:rPr>
            </w:pPr>
            <w:r>
              <w:rPr>
                <w:kern w:val="0"/>
                <w:sz w:val="18"/>
                <w:szCs w:val="18"/>
                <w:lang w:bidi="ar"/>
              </w:rPr>
              <w:t>0.003L</w:t>
            </w:r>
          </w:p>
        </w:tc>
        <w:tc>
          <w:tcPr>
            <w:tcW w:w="359" w:type="pct"/>
            <w:noWrap w:val="0"/>
            <w:vAlign w:val="center"/>
          </w:tcPr>
          <w:p w14:paraId="540698A2">
            <w:pPr>
              <w:widowControl/>
              <w:jc w:val="center"/>
              <w:textAlignment w:val="center"/>
              <w:rPr>
                <w:sz w:val="18"/>
                <w:szCs w:val="18"/>
              </w:rPr>
            </w:pPr>
            <w:r>
              <w:rPr>
                <w:kern w:val="0"/>
                <w:sz w:val="18"/>
                <w:szCs w:val="18"/>
                <w:lang w:bidi="ar"/>
              </w:rPr>
              <w:t>0.0003L</w:t>
            </w:r>
          </w:p>
        </w:tc>
        <w:tc>
          <w:tcPr>
            <w:tcW w:w="355" w:type="pct"/>
            <w:noWrap w:val="0"/>
            <w:vAlign w:val="center"/>
          </w:tcPr>
          <w:p w14:paraId="705EF1EE">
            <w:pPr>
              <w:widowControl/>
              <w:jc w:val="center"/>
              <w:textAlignment w:val="center"/>
              <w:rPr>
                <w:sz w:val="18"/>
                <w:szCs w:val="18"/>
              </w:rPr>
            </w:pPr>
            <w:r>
              <w:rPr>
                <w:kern w:val="0"/>
                <w:sz w:val="18"/>
                <w:szCs w:val="18"/>
                <w:lang w:bidi="ar"/>
              </w:rPr>
              <w:t>0.004L</w:t>
            </w:r>
          </w:p>
        </w:tc>
        <w:tc>
          <w:tcPr>
            <w:tcW w:w="284" w:type="pct"/>
            <w:noWrap w:val="0"/>
            <w:vAlign w:val="center"/>
          </w:tcPr>
          <w:p w14:paraId="4B46AB6B">
            <w:pPr>
              <w:widowControl/>
              <w:jc w:val="center"/>
              <w:textAlignment w:val="center"/>
              <w:rPr>
                <w:sz w:val="18"/>
                <w:szCs w:val="18"/>
              </w:rPr>
            </w:pPr>
            <w:r>
              <w:rPr>
                <w:kern w:val="0"/>
                <w:sz w:val="18"/>
                <w:szCs w:val="18"/>
                <w:lang w:bidi="ar"/>
              </w:rPr>
              <w:t>0.0052</w:t>
            </w:r>
          </w:p>
        </w:tc>
        <w:tc>
          <w:tcPr>
            <w:tcW w:w="359" w:type="pct"/>
            <w:noWrap w:val="0"/>
            <w:vAlign w:val="center"/>
          </w:tcPr>
          <w:p w14:paraId="043933EE">
            <w:pPr>
              <w:widowControl/>
              <w:jc w:val="center"/>
              <w:textAlignment w:val="center"/>
              <w:rPr>
                <w:sz w:val="18"/>
                <w:szCs w:val="18"/>
              </w:rPr>
            </w:pPr>
            <w:r>
              <w:rPr>
                <w:kern w:val="0"/>
                <w:sz w:val="18"/>
                <w:szCs w:val="18"/>
                <w:lang w:bidi="ar"/>
              </w:rPr>
              <w:t>0.00004L</w:t>
            </w:r>
          </w:p>
        </w:tc>
        <w:tc>
          <w:tcPr>
            <w:tcW w:w="315" w:type="pct"/>
            <w:noWrap w:val="0"/>
            <w:vAlign w:val="center"/>
          </w:tcPr>
          <w:p w14:paraId="12161ADD">
            <w:pPr>
              <w:widowControl/>
              <w:jc w:val="center"/>
              <w:textAlignment w:val="center"/>
              <w:rPr>
                <w:sz w:val="18"/>
                <w:szCs w:val="18"/>
              </w:rPr>
            </w:pPr>
            <w:r>
              <w:rPr>
                <w:kern w:val="0"/>
                <w:sz w:val="18"/>
                <w:szCs w:val="18"/>
                <w:lang w:bidi="ar"/>
              </w:rPr>
              <w:t>0.004L</w:t>
            </w:r>
          </w:p>
        </w:tc>
        <w:tc>
          <w:tcPr>
            <w:tcW w:w="302" w:type="pct"/>
            <w:noWrap w:val="0"/>
            <w:vAlign w:val="center"/>
          </w:tcPr>
          <w:p w14:paraId="73A8600C">
            <w:pPr>
              <w:widowControl/>
              <w:jc w:val="center"/>
              <w:textAlignment w:val="center"/>
              <w:rPr>
                <w:sz w:val="18"/>
                <w:szCs w:val="18"/>
              </w:rPr>
            </w:pPr>
            <w:r>
              <w:rPr>
                <w:kern w:val="0"/>
                <w:sz w:val="18"/>
                <w:szCs w:val="18"/>
                <w:lang w:bidi="ar"/>
              </w:rPr>
              <w:t>228</w:t>
            </w:r>
          </w:p>
        </w:tc>
        <w:tc>
          <w:tcPr>
            <w:tcW w:w="276" w:type="pct"/>
            <w:noWrap w:val="0"/>
            <w:vAlign w:val="center"/>
          </w:tcPr>
          <w:p w14:paraId="0729B262">
            <w:pPr>
              <w:widowControl/>
              <w:jc w:val="center"/>
              <w:textAlignment w:val="center"/>
              <w:rPr>
                <w:sz w:val="18"/>
                <w:szCs w:val="18"/>
              </w:rPr>
            </w:pPr>
            <w:r>
              <w:rPr>
                <w:kern w:val="0"/>
                <w:sz w:val="18"/>
                <w:szCs w:val="18"/>
                <w:lang w:bidi="ar"/>
              </w:rPr>
              <w:t>0.01L</w:t>
            </w:r>
          </w:p>
        </w:tc>
        <w:tc>
          <w:tcPr>
            <w:tcW w:w="267" w:type="pct"/>
            <w:noWrap w:val="0"/>
            <w:vAlign w:val="center"/>
          </w:tcPr>
          <w:p w14:paraId="14B91AC8">
            <w:pPr>
              <w:widowControl/>
              <w:jc w:val="center"/>
              <w:textAlignment w:val="center"/>
              <w:rPr>
                <w:sz w:val="18"/>
                <w:szCs w:val="18"/>
              </w:rPr>
            </w:pPr>
            <w:r>
              <w:rPr>
                <w:kern w:val="0"/>
                <w:sz w:val="18"/>
                <w:szCs w:val="18"/>
                <w:lang w:bidi="ar"/>
              </w:rPr>
              <w:t>0.12</w:t>
            </w:r>
          </w:p>
        </w:tc>
        <w:tc>
          <w:tcPr>
            <w:tcW w:w="293" w:type="pct"/>
            <w:noWrap w:val="0"/>
            <w:vAlign w:val="center"/>
          </w:tcPr>
          <w:p w14:paraId="2B5572FA">
            <w:pPr>
              <w:widowControl/>
              <w:jc w:val="center"/>
              <w:textAlignment w:val="center"/>
              <w:rPr>
                <w:sz w:val="18"/>
                <w:szCs w:val="18"/>
              </w:rPr>
            </w:pPr>
            <w:r>
              <w:rPr>
                <w:kern w:val="0"/>
                <w:sz w:val="18"/>
                <w:szCs w:val="18"/>
                <w:lang w:bidi="ar"/>
              </w:rPr>
              <w:t>0.001L</w:t>
            </w:r>
          </w:p>
        </w:tc>
        <w:tc>
          <w:tcPr>
            <w:tcW w:w="302" w:type="pct"/>
            <w:noWrap w:val="0"/>
            <w:vAlign w:val="center"/>
          </w:tcPr>
          <w:p w14:paraId="33EB8285">
            <w:pPr>
              <w:widowControl/>
              <w:jc w:val="center"/>
              <w:textAlignment w:val="center"/>
              <w:rPr>
                <w:sz w:val="18"/>
                <w:szCs w:val="18"/>
              </w:rPr>
            </w:pPr>
            <w:r>
              <w:rPr>
                <w:kern w:val="0"/>
                <w:sz w:val="18"/>
                <w:szCs w:val="18"/>
                <w:lang w:bidi="ar"/>
              </w:rPr>
              <w:t>0.01L</w:t>
            </w:r>
          </w:p>
        </w:tc>
        <w:tc>
          <w:tcPr>
            <w:tcW w:w="303" w:type="pct"/>
            <w:noWrap w:val="0"/>
            <w:vAlign w:val="center"/>
          </w:tcPr>
          <w:p w14:paraId="68206310">
            <w:pPr>
              <w:widowControl/>
              <w:jc w:val="center"/>
              <w:textAlignment w:val="center"/>
              <w:rPr>
                <w:sz w:val="18"/>
                <w:szCs w:val="18"/>
              </w:rPr>
            </w:pPr>
            <w:r>
              <w:rPr>
                <w:kern w:val="0"/>
                <w:sz w:val="18"/>
                <w:szCs w:val="18"/>
                <w:lang w:bidi="ar"/>
              </w:rPr>
              <w:t>0.01L</w:t>
            </w:r>
          </w:p>
        </w:tc>
      </w:tr>
      <w:tr w14:paraId="42B9CF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149" w:type="pct"/>
            <w:vMerge w:val="continue"/>
            <w:shd w:val="clear" w:color="auto" w:fill="auto"/>
            <w:noWrap w:val="0"/>
            <w:vAlign w:val="center"/>
          </w:tcPr>
          <w:p w14:paraId="10E70F33">
            <w:pPr>
              <w:jc w:val="center"/>
              <w:rPr>
                <w:sz w:val="18"/>
                <w:szCs w:val="18"/>
              </w:rPr>
            </w:pPr>
          </w:p>
        </w:tc>
        <w:tc>
          <w:tcPr>
            <w:tcW w:w="382" w:type="pct"/>
            <w:shd w:val="clear" w:color="auto" w:fill="D7D7D7"/>
            <w:noWrap w:val="0"/>
            <w:vAlign w:val="center"/>
          </w:tcPr>
          <w:p w14:paraId="0466537F">
            <w:pPr>
              <w:widowControl/>
              <w:jc w:val="center"/>
              <w:textAlignment w:val="center"/>
              <w:rPr>
                <w:sz w:val="18"/>
                <w:szCs w:val="18"/>
              </w:rPr>
            </w:pPr>
            <w:r>
              <w:rPr>
                <w:kern w:val="0"/>
                <w:sz w:val="18"/>
                <w:szCs w:val="18"/>
                <w:lang w:bidi="ar"/>
              </w:rPr>
              <w:t>2021/3/29</w:t>
            </w:r>
          </w:p>
        </w:tc>
        <w:tc>
          <w:tcPr>
            <w:tcW w:w="277" w:type="pct"/>
            <w:noWrap w:val="0"/>
            <w:vAlign w:val="center"/>
          </w:tcPr>
          <w:p w14:paraId="432EE57A">
            <w:pPr>
              <w:widowControl/>
              <w:jc w:val="center"/>
              <w:textAlignment w:val="center"/>
              <w:rPr>
                <w:sz w:val="18"/>
                <w:szCs w:val="18"/>
              </w:rPr>
            </w:pPr>
            <w:r>
              <w:rPr>
                <w:kern w:val="0"/>
                <w:sz w:val="18"/>
                <w:szCs w:val="18"/>
                <w:lang w:bidi="ar"/>
              </w:rPr>
              <w:t>7.26</w:t>
            </w:r>
          </w:p>
        </w:tc>
        <w:tc>
          <w:tcPr>
            <w:tcW w:w="218" w:type="pct"/>
            <w:noWrap w:val="0"/>
            <w:vAlign w:val="center"/>
          </w:tcPr>
          <w:p w14:paraId="0FCE2C2F">
            <w:pPr>
              <w:widowControl/>
              <w:jc w:val="center"/>
              <w:textAlignment w:val="center"/>
              <w:rPr>
                <w:sz w:val="18"/>
                <w:szCs w:val="18"/>
              </w:rPr>
            </w:pPr>
            <w:r>
              <w:rPr>
                <w:kern w:val="0"/>
                <w:sz w:val="18"/>
                <w:szCs w:val="18"/>
                <w:lang w:bidi="ar"/>
              </w:rPr>
              <w:t>0.044</w:t>
            </w:r>
          </w:p>
        </w:tc>
        <w:tc>
          <w:tcPr>
            <w:tcW w:w="218" w:type="pct"/>
            <w:noWrap w:val="0"/>
            <w:vAlign w:val="center"/>
          </w:tcPr>
          <w:p w14:paraId="7F0D5806">
            <w:pPr>
              <w:widowControl/>
              <w:jc w:val="center"/>
              <w:textAlignment w:val="center"/>
              <w:rPr>
                <w:sz w:val="18"/>
                <w:szCs w:val="18"/>
              </w:rPr>
            </w:pPr>
            <w:r>
              <w:rPr>
                <w:kern w:val="0"/>
                <w:sz w:val="18"/>
                <w:szCs w:val="18"/>
                <w:lang w:bidi="ar"/>
              </w:rPr>
              <w:t>1.77</w:t>
            </w:r>
          </w:p>
        </w:tc>
        <w:tc>
          <w:tcPr>
            <w:tcW w:w="333" w:type="pct"/>
            <w:noWrap w:val="0"/>
            <w:vAlign w:val="center"/>
          </w:tcPr>
          <w:p w14:paraId="6955CFCA">
            <w:pPr>
              <w:widowControl/>
              <w:jc w:val="center"/>
              <w:textAlignment w:val="center"/>
              <w:rPr>
                <w:sz w:val="18"/>
                <w:szCs w:val="18"/>
              </w:rPr>
            </w:pPr>
            <w:r>
              <w:rPr>
                <w:kern w:val="0"/>
                <w:sz w:val="18"/>
                <w:szCs w:val="18"/>
                <w:lang w:bidi="ar"/>
              </w:rPr>
              <w:t>0.003L</w:t>
            </w:r>
          </w:p>
        </w:tc>
        <w:tc>
          <w:tcPr>
            <w:tcW w:w="359" w:type="pct"/>
            <w:noWrap w:val="0"/>
            <w:vAlign w:val="center"/>
          </w:tcPr>
          <w:p w14:paraId="12865CE4">
            <w:pPr>
              <w:widowControl/>
              <w:jc w:val="center"/>
              <w:textAlignment w:val="center"/>
              <w:rPr>
                <w:sz w:val="18"/>
                <w:szCs w:val="18"/>
              </w:rPr>
            </w:pPr>
            <w:r>
              <w:rPr>
                <w:kern w:val="0"/>
                <w:sz w:val="18"/>
                <w:szCs w:val="18"/>
                <w:lang w:bidi="ar"/>
              </w:rPr>
              <w:t>0.0003L</w:t>
            </w:r>
          </w:p>
        </w:tc>
        <w:tc>
          <w:tcPr>
            <w:tcW w:w="355" w:type="pct"/>
            <w:noWrap w:val="0"/>
            <w:vAlign w:val="center"/>
          </w:tcPr>
          <w:p w14:paraId="510FF22F">
            <w:pPr>
              <w:widowControl/>
              <w:jc w:val="center"/>
              <w:textAlignment w:val="center"/>
              <w:rPr>
                <w:sz w:val="18"/>
                <w:szCs w:val="18"/>
              </w:rPr>
            </w:pPr>
            <w:r>
              <w:rPr>
                <w:kern w:val="0"/>
                <w:sz w:val="18"/>
                <w:szCs w:val="18"/>
                <w:lang w:bidi="ar"/>
              </w:rPr>
              <w:t>0.004L</w:t>
            </w:r>
          </w:p>
        </w:tc>
        <w:tc>
          <w:tcPr>
            <w:tcW w:w="284" w:type="pct"/>
            <w:noWrap w:val="0"/>
            <w:vAlign w:val="center"/>
          </w:tcPr>
          <w:p w14:paraId="6380A27E">
            <w:pPr>
              <w:widowControl/>
              <w:jc w:val="center"/>
              <w:textAlignment w:val="center"/>
              <w:rPr>
                <w:sz w:val="18"/>
                <w:szCs w:val="18"/>
              </w:rPr>
            </w:pPr>
            <w:r>
              <w:rPr>
                <w:kern w:val="0"/>
                <w:sz w:val="18"/>
                <w:szCs w:val="18"/>
                <w:lang w:bidi="ar"/>
              </w:rPr>
              <w:t>0.0049</w:t>
            </w:r>
          </w:p>
        </w:tc>
        <w:tc>
          <w:tcPr>
            <w:tcW w:w="359" w:type="pct"/>
            <w:noWrap w:val="0"/>
            <w:vAlign w:val="center"/>
          </w:tcPr>
          <w:p w14:paraId="12CDF823">
            <w:pPr>
              <w:widowControl/>
              <w:jc w:val="center"/>
              <w:textAlignment w:val="center"/>
              <w:rPr>
                <w:sz w:val="18"/>
                <w:szCs w:val="18"/>
              </w:rPr>
            </w:pPr>
            <w:r>
              <w:rPr>
                <w:kern w:val="0"/>
                <w:sz w:val="18"/>
                <w:szCs w:val="18"/>
                <w:lang w:bidi="ar"/>
              </w:rPr>
              <w:t>0.00004L</w:t>
            </w:r>
          </w:p>
        </w:tc>
        <w:tc>
          <w:tcPr>
            <w:tcW w:w="315" w:type="pct"/>
            <w:noWrap w:val="0"/>
            <w:vAlign w:val="center"/>
          </w:tcPr>
          <w:p w14:paraId="18AB1435">
            <w:pPr>
              <w:widowControl/>
              <w:jc w:val="center"/>
              <w:textAlignment w:val="center"/>
              <w:rPr>
                <w:sz w:val="18"/>
                <w:szCs w:val="18"/>
              </w:rPr>
            </w:pPr>
            <w:r>
              <w:rPr>
                <w:kern w:val="0"/>
                <w:sz w:val="18"/>
                <w:szCs w:val="18"/>
                <w:lang w:bidi="ar"/>
              </w:rPr>
              <w:t>0.004L</w:t>
            </w:r>
          </w:p>
        </w:tc>
        <w:tc>
          <w:tcPr>
            <w:tcW w:w="302" w:type="pct"/>
            <w:noWrap w:val="0"/>
            <w:vAlign w:val="center"/>
          </w:tcPr>
          <w:p w14:paraId="3C1B2322">
            <w:pPr>
              <w:widowControl/>
              <w:jc w:val="center"/>
              <w:textAlignment w:val="center"/>
              <w:rPr>
                <w:sz w:val="18"/>
                <w:szCs w:val="18"/>
              </w:rPr>
            </w:pPr>
            <w:r>
              <w:rPr>
                <w:kern w:val="0"/>
                <w:sz w:val="18"/>
                <w:szCs w:val="18"/>
                <w:lang w:bidi="ar"/>
              </w:rPr>
              <w:t>235</w:t>
            </w:r>
          </w:p>
        </w:tc>
        <w:tc>
          <w:tcPr>
            <w:tcW w:w="276" w:type="pct"/>
            <w:noWrap w:val="0"/>
            <w:vAlign w:val="center"/>
          </w:tcPr>
          <w:p w14:paraId="6D3541F1">
            <w:pPr>
              <w:widowControl/>
              <w:jc w:val="center"/>
              <w:textAlignment w:val="center"/>
              <w:rPr>
                <w:sz w:val="18"/>
                <w:szCs w:val="18"/>
              </w:rPr>
            </w:pPr>
            <w:r>
              <w:rPr>
                <w:kern w:val="0"/>
                <w:sz w:val="18"/>
                <w:szCs w:val="18"/>
                <w:lang w:bidi="ar"/>
              </w:rPr>
              <w:t>0.01L</w:t>
            </w:r>
          </w:p>
        </w:tc>
        <w:tc>
          <w:tcPr>
            <w:tcW w:w="267" w:type="pct"/>
            <w:noWrap w:val="0"/>
            <w:vAlign w:val="center"/>
          </w:tcPr>
          <w:p w14:paraId="5A5BF274">
            <w:pPr>
              <w:widowControl/>
              <w:jc w:val="center"/>
              <w:textAlignment w:val="center"/>
              <w:rPr>
                <w:sz w:val="18"/>
                <w:szCs w:val="18"/>
              </w:rPr>
            </w:pPr>
            <w:r>
              <w:rPr>
                <w:kern w:val="0"/>
                <w:sz w:val="18"/>
                <w:szCs w:val="18"/>
                <w:lang w:bidi="ar"/>
              </w:rPr>
              <w:t>0.14</w:t>
            </w:r>
          </w:p>
        </w:tc>
        <w:tc>
          <w:tcPr>
            <w:tcW w:w="293" w:type="pct"/>
            <w:noWrap w:val="0"/>
            <w:vAlign w:val="center"/>
          </w:tcPr>
          <w:p w14:paraId="5ED15D01">
            <w:pPr>
              <w:widowControl/>
              <w:jc w:val="center"/>
              <w:textAlignment w:val="center"/>
              <w:rPr>
                <w:sz w:val="18"/>
                <w:szCs w:val="18"/>
              </w:rPr>
            </w:pPr>
            <w:r>
              <w:rPr>
                <w:kern w:val="0"/>
                <w:sz w:val="18"/>
                <w:szCs w:val="18"/>
                <w:lang w:bidi="ar"/>
              </w:rPr>
              <w:t>0.001L</w:t>
            </w:r>
          </w:p>
        </w:tc>
        <w:tc>
          <w:tcPr>
            <w:tcW w:w="302" w:type="pct"/>
            <w:noWrap w:val="0"/>
            <w:vAlign w:val="center"/>
          </w:tcPr>
          <w:p w14:paraId="7199FC26">
            <w:pPr>
              <w:widowControl/>
              <w:jc w:val="center"/>
              <w:textAlignment w:val="center"/>
              <w:rPr>
                <w:sz w:val="18"/>
                <w:szCs w:val="18"/>
              </w:rPr>
            </w:pPr>
            <w:r>
              <w:rPr>
                <w:kern w:val="0"/>
                <w:sz w:val="18"/>
                <w:szCs w:val="18"/>
                <w:lang w:bidi="ar"/>
              </w:rPr>
              <w:t>0.01L</w:t>
            </w:r>
          </w:p>
        </w:tc>
        <w:tc>
          <w:tcPr>
            <w:tcW w:w="303" w:type="pct"/>
            <w:noWrap w:val="0"/>
            <w:vAlign w:val="center"/>
          </w:tcPr>
          <w:p w14:paraId="0B48D174">
            <w:pPr>
              <w:widowControl/>
              <w:jc w:val="center"/>
              <w:textAlignment w:val="center"/>
              <w:rPr>
                <w:sz w:val="18"/>
                <w:szCs w:val="18"/>
              </w:rPr>
            </w:pPr>
            <w:r>
              <w:rPr>
                <w:kern w:val="0"/>
                <w:sz w:val="18"/>
                <w:szCs w:val="18"/>
                <w:lang w:bidi="ar"/>
              </w:rPr>
              <w:t>0.01L</w:t>
            </w:r>
          </w:p>
        </w:tc>
      </w:tr>
      <w:tr w14:paraId="72312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4B1522F6">
            <w:pPr>
              <w:jc w:val="center"/>
              <w:rPr>
                <w:sz w:val="18"/>
                <w:szCs w:val="18"/>
              </w:rPr>
            </w:pPr>
          </w:p>
        </w:tc>
        <w:tc>
          <w:tcPr>
            <w:tcW w:w="382" w:type="pct"/>
            <w:shd w:val="clear" w:color="auto" w:fill="D7D7D7"/>
            <w:noWrap w:val="0"/>
            <w:vAlign w:val="center"/>
          </w:tcPr>
          <w:p w14:paraId="0BBD200C">
            <w:pPr>
              <w:widowControl/>
              <w:jc w:val="center"/>
              <w:textAlignment w:val="center"/>
              <w:rPr>
                <w:sz w:val="18"/>
                <w:szCs w:val="18"/>
              </w:rPr>
            </w:pPr>
            <w:r>
              <w:rPr>
                <w:kern w:val="0"/>
                <w:sz w:val="18"/>
                <w:szCs w:val="18"/>
                <w:lang w:bidi="ar"/>
              </w:rPr>
              <w:t>2021/3/30</w:t>
            </w:r>
          </w:p>
        </w:tc>
        <w:tc>
          <w:tcPr>
            <w:tcW w:w="277" w:type="pct"/>
            <w:noWrap w:val="0"/>
            <w:vAlign w:val="center"/>
          </w:tcPr>
          <w:p w14:paraId="3B38B295">
            <w:pPr>
              <w:widowControl/>
              <w:jc w:val="center"/>
              <w:textAlignment w:val="center"/>
              <w:rPr>
                <w:sz w:val="18"/>
                <w:szCs w:val="18"/>
              </w:rPr>
            </w:pPr>
            <w:r>
              <w:rPr>
                <w:kern w:val="0"/>
                <w:sz w:val="18"/>
                <w:szCs w:val="18"/>
                <w:lang w:bidi="ar"/>
              </w:rPr>
              <w:t>7.39</w:t>
            </w:r>
          </w:p>
        </w:tc>
        <w:tc>
          <w:tcPr>
            <w:tcW w:w="218" w:type="pct"/>
            <w:noWrap w:val="0"/>
            <w:vAlign w:val="center"/>
          </w:tcPr>
          <w:p w14:paraId="7C9DCAAE">
            <w:pPr>
              <w:widowControl/>
              <w:jc w:val="center"/>
              <w:textAlignment w:val="center"/>
              <w:rPr>
                <w:sz w:val="18"/>
                <w:szCs w:val="18"/>
              </w:rPr>
            </w:pPr>
            <w:r>
              <w:rPr>
                <w:kern w:val="0"/>
                <w:sz w:val="18"/>
                <w:szCs w:val="18"/>
                <w:lang w:bidi="ar"/>
              </w:rPr>
              <w:t>0.051</w:t>
            </w:r>
          </w:p>
        </w:tc>
        <w:tc>
          <w:tcPr>
            <w:tcW w:w="218" w:type="pct"/>
            <w:noWrap w:val="0"/>
            <w:vAlign w:val="center"/>
          </w:tcPr>
          <w:p w14:paraId="0F36E6C3">
            <w:pPr>
              <w:widowControl/>
              <w:jc w:val="center"/>
              <w:textAlignment w:val="center"/>
              <w:rPr>
                <w:sz w:val="18"/>
                <w:szCs w:val="18"/>
              </w:rPr>
            </w:pPr>
            <w:r>
              <w:rPr>
                <w:kern w:val="0"/>
                <w:sz w:val="18"/>
                <w:szCs w:val="18"/>
                <w:lang w:bidi="ar"/>
              </w:rPr>
              <w:t>1.75</w:t>
            </w:r>
          </w:p>
        </w:tc>
        <w:tc>
          <w:tcPr>
            <w:tcW w:w="333" w:type="pct"/>
            <w:noWrap w:val="0"/>
            <w:vAlign w:val="center"/>
          </w:tcPr>
          <w:p w14:paraId="13AEB69D">
            <w:pPr>
              <w:widowControl/>
              <w:jc w:val="center"/>
              <w:textAlignment w:val="center"/>
              <w:rPr>
                <w:sz w:val="18"/>
                <w:szCs w:val="18"/>
              </w:rPr>
            </w:pPr>
            <w:r>
              <w:rPr>
                <w:kern w:val="0"/>
                <w:sz w:val="18"/>
                <w:szCs w:val="18"/>
                <w:lang w:bidi="ar"/>
              </w:rPr>
              <w:t>0.003L</w:t>
            </w:r>
          </w:p>
        </w:tc>
        <w:tc>
          <w:tcPr>
            <w:tcW w:w="359" w:type="pct"/>
            <w:noWrap w:val="0"/>
            <w:vAlign w:val="center"/>
          </w:tcPr>
          <w:p w14:paraId="718E5E2E">
            <w:pPr>
              <w:widowControl/>
              <w:jc w:val="center"/>
              <w:textAlignment w:val="center"/>
              <w:rPr>
                <w:sz w:val="18"/>
                <w:szCs w:val="18"/>
              </w:rPr>
            </w:pPr>
            <w:r>
              <w:rPr>
                <w:kern w:val="0"/>
                <w:sz w:val="18"/>
                <w:szCs w:val="18"/>
                <w:lang w:bidi="ar"/>
              </w:rPr>
              <w:t>0.0003L</w:t>
            </w:r>
          </w:p>
        </w:tc>
        <w:tc>
          <w:tcPr>
            <w:tcW w:w="355" w:type="pct"/>
            <w:noWrap w:val="0"/>
            <w:vAlign w:val="center"/>
          </w:tcPr>
          <w:p w14:paraId="1F7B17F2">
            <w:pPr>
              <w:widowControl/>
              <w:jc w:val="center"/>
              <w:textAlignment w:val="center"/>
              <w:rPr>
                <w:sz w:val="18"/>
                <w:szCs w:val="18"/>
              </w:rPr>
            </w:pPr>
            <w:r>
              <w:rPr>
                <w:kern w:val="0"/>
                <w:sz w:val="18"/>
                <w:szCs w:val="18"/>
                <w:lang w:bidi="ar"/>
              </w:rPr>
              <w:t>0.004L</w:t>
            </w:r>
          </w:p>
        </w:tc>
        <w:tc>
          <w:tcPr>
            <w:tcW w:w="284" w:type="pct"/>
            <w:noWrap w:val="0"/>
            <w:vAlign w:val="center"/>
          </w:tcPr>
          <w:p w14:paraId="7206D347">
            <w:pPr>
              <w:widowControl/>
              <w:jc w:val="center"/>
              <w:textAlignment w:val="center"/>
              <w:rPr>
                <w:sz w:val="18"/>
                <w:szCs w:val="18"/>
              </w:rPr>
            </w:pPr>
            <w:r>
              <w:rPr>
                <w:kern w:val="0"/>
                <w:sz w:val="18"/>
                <w:szCs w:val="18"/>
                <w:lang w:bidi="ar"/>
              </w:rPr>
              <w:t>0.0055</w:t>
            </w:r>
          </w:p>
        </w:tc>
        <w:tc>
          <w:tcPr>
            <w:tcW w:w="359" w:type="pct"/>
            <w:noWrap w:val="0"/>
            <w:vAlign w:val="center"/>
          </w:tcPr>
          <w:p w14:paraId="22323D00">
            <w:pPr>
              <w:widowControl/>
              <w:jc w:val="center"/>
              <w:textAlignment w:val="center"/>
              <w:rPr>
                <w:sz w:val="18"/>
                <w:szCs w:val="18"/>
              </w:rPr>
            </w:pPr>
            <w:r>
              <w:rPr>
                <w:kern w:val="0"/>
                <w:sz w:val="18"/>
                <w:szCs w:val="18"/>
                <w:lang w:bidi="ar"/>
              </w:rPr>
              <w:t>0.00004L</w:t>
            </w:r>
          </w:p>
        </w:tc>
        <w:tc>
          <w:tcPr>
            <w:tcW w:w="315" w:type="pct"/>
            <w:noWrap w:val="0"/>
            <w:vAlign w:val="center"/>
          </w:tcPr>
          <w:p w14:paraId="6A8A0211">
            <w:pPr>
              <w:widowControl/>
              <w:jc w:val="center"/>
              <w:textAlignment w:val="center"/>
              <w:rPr>
                <w:sz w:val="18"/>
                <w:szCs w:val="18"/>
              </w:rPr>
            </w:pPr>
            <w:r>
              <w:rPr>
                <w:kern w:val="0"/>
                <w:sz w:val="18"/>
                <w:szCs w:val="18"/>
                <w:lang w:bidi="ar"/>
              </w:rPr>
              <w:t>0.004L</w:t>
            </w:r>
          </w:p>
        </w:tc>
        <w:tc>
          <w:tcPr>
            <w:tcW w:w="302" w:type="pct"/>
            <w:noWrap w:val="0"/>
            <w:vAlign w:val="center"/>
          </w:tcPr>
          <w:p w14:paraId="09113B8D">
            <w:pPr>
              <w:widowControl/>
              <w:jc w:val="center"/>
              <w:textAlignment w:val="center"/>
              <w:rPr>
                <w:sz w:val="18"/>
                <w:szCs w:val="18"/>
              </w:rPr>
            </w:pPr>
            <w:r>
              <w:rPr>
                <w:kern w:val="0"/>
                <w:sz w:val="18"/>
                <w:szCs w:val="18"/>
                <w:lang w:bidi="ar"/>
              </w:rPr>
              <w:t>220</w:t>
            </w:r>
          </w:p>
        </w:tc>
        <w:tc>
          <w:tcPr>
            <w:tcW w:w="276" w:type="pct"/>
            <w:noWrap w:val="0"/>
            <w:vAlign w:val="center"/>
          </w:tcPr>
          <w:p w14:paraId="50F13CC1">
            <w:pPr>
              <w:widowControl/>
              <w:jc w:val="center"/>
              <w:textAlignment w:val="center"/>
              <w:rPr>
                <w:sz w:val="18"/>
                <w:szCs w:val="18"/>
              </w:rPr>
            </w:pPr>
            <w:r>
              <w:rPr>
                <w:kern w:val="0"/>
                <w:sz w:val="18"/>
                <w:szCs w:val="18"/>
                <w:lang w:bidi="ar"/>
              </w:rPr>
              <w:t>0.01L</w:t>
            </w:r>
          </w:p>
        </w:tc>
        <w:tc>
          <w:tcPr>
            <w:tcW w:w="267" w:type="pct"/>
            <w:noWrap w:val="0"/>
            <w:vAlign w:val="center"/>
          </w:tcPr>
          <w:p w14:paraId="24868A27">
            <w:pPr>
              <w:widowControl/>
              <w:jc w:val="center"/>
              <w:textAlignment w:val="center"/>
              <w:rPr>
                <w:sz w:val="18"/>
                <w:szCs w:val="18"/>
              </w:rPr>
            </w:pPr>
            <w:r>
              <w:rPr>
                <w:kern w:val="0"/>
                <w:sz w:val="18"/>
                <w:szCs w:val="18"/>
                <w:lang w:bidi="ar"/>
              </w:rPr>
              <w:t>0.11</w:t>
            </w:r>
          </w:p>
        </w:tc>
        <w:tc>
          <w:tcPr>
            <w:tcW w:w="293" w:type="pct"/>
            <w:noWrap w:val="0"/>
            <w:vAlign w:val="center"/>
          </w:tcPr>
          <w:p w14:paraId="1067599E">
            <w:pPr>
              <w:widowControl/>
              <w:jc w:val="center"/>
              <w:textAlignment w:val="center"/>
              <w:rPr>
                <w:sz w:val="18"/>
                <w:szCs w:val="18"/>
              </w:rPr>
            </w:pPr>
            <w:r>
              <w:rPr>
                <w:kern w:val="0"/>
                <w:sz w:val="18"/>
                <w:szCs w:val="18"/>
                <w:lang w:bidi="ar"/>
              </w:rPr>
              <w:t>0.001L</w:t>
            </w:r>
          </w:p>
        </w:tc>
        <w:tc>
          <w:tcPr>
            <w:tcW w:w="302" w:type="pct"/>
            <w:noWrap w:val="0"/>
            <w:vAlign w:val="center"/>
          </w:tcPr>
          <w:p w14:paraId="26B47C51">
            <w:pPr>
              <w:widowControl/>
              <w:jc w:val="center"/>
              <w:textAlignment w:val="center"/>
              <w:rPr>
                <w:sz w:val="18"/>
                <w:szCs w:val="18"/>
              </w:rPr>
            </w:pPr>
            <w:r>
              <w:rPr>
                <w:kern w:val="0"/>
                <w:sz w:val="18"/>
                <w:szCs w:val="18"/>
                <w:lang w:bidi="ar"/>
              </w:rPr>
              <w:t>0.01L</w:t>
            </w:r>
          </w:p>
        </w:tc>
        <w:tc>
          <w:tcPr>
            <w:tcW w:w="303" w:type="pct"/>
            <w:noWrap w:val="0"/>
            <w:vAlign w:val="center"/>
          </w:tcPr>
          <w:p w14:paraId="52F3D139">
            <w:pPr>
              <w:widowControl/>
              <w:jc w:val="center"/>
              <w:textAlignment w:val="center"/>
              <w:rPr>
                <w:sz w:val="18"/>
                <w:szCs w:val="18"/>
              </w:rPr>
            </w:pPr>
            <w:r>
              <w:rPr>
                <w:kern w:val="0"/>
                <w:sz w:val="18"/>
                <w:szCs w:val="18"/>
                <w:lang w:bidi="ar"/>
              </w:rPr>
              <w:t>0.01L</w:t>
            </w:r>
          </w:p>
        </w:tc>
      </w:tr>
      <w:tr w14:paraId="38C1B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3D6A8FB4">
            <w:pPr>
              <w:jc w:val="center"/>
              <w:rPr>
                <w:sz w:val="18"/>
                <w:szCs w:val="18"/>
              </w:rPr>
            </w:pPr>
          </w:p>
        </w:tc>
        <w:tc>
          <w:tcPr>
            <w:tcW w:w="382" w:type="pct"/>
            <w:shd w:val="clear" w:color="auto" w:fill="D7D7D7"/>
            <w:noWrap w:val="0"/>
            <w:vAlign w:val="center"/>
          </w:tcPr>
          <w:p w14:paraId="427AC255">
            <w:pPr>
              <w:widowControl/>
              <w:jc w:val="center"/>
              <w:textAlignment w:val="center"/>
              <w:rPr>
                <w:sz w:val="18"/>
                <w:szCs w:val="18"/>
              </w:rPr>
            </w:pPr>
            <w:r>
              <w:rPr>
                <w:kern w:val="0"/>
                <w:sz w:val="18"/>
                <w:szCs w:val="18"/>
                <w:lang w:bidi="ar"/>
              </w:rPr>
              <w:t>最大值</w:t>
            </w:r>
          </w:p>
        </w:tc>
        <w:tc>
          <w:tcPr>
            <w:tcW w:w="277" w:type="pct"/>
            <w:noWrap w:val="0"/>
            <w:vAlign w:val="center"/>
          </w:tcPr>
          <w:p w14:paraId="1C63F090">
            <w:pPr>
              <w:widowControl/>
              <w:jc w:val="center"/>
              <w:textAlignment w:val="center"/>
              <w:rPr>
                <w:sz w:val="18"/>
                <w:szCs w:val="18"/>
              </w:rPr>
            </w:pPr>
            <w:r>
              <w:rPr>
                <w:kern w:val="0"/>
                <w:sz w:val="18"/>
                <w:szCs w:val="18"/>
                <w:lang w:bidi="ar"/>
              </w:rPr>
              <w:t>7.39</w:t>
            </w:r>
          </w:p>
        </w:tc>
        <w:tc>
          <w:tcPr>
            <w:tcW w:w="218" w:type="pct"/>
            <w:noWrap w:val="0"/>
            <w:vAlign w:val="center"/>
          </w:tcPr>
          <w:p w14:paraId="45505AAD">
            <w:pPr>
              <w:widowControl/>
              <w:jc w:val="center"/>
              <w:textAlignment w:val="center"/>
              <w:rPr>
                <w:sz w:val="18"/>
                <w:szCs w:val="18"/>
              </w:rPr>
            </w:pPr>
            <w:r>
              <w:rPr>
                <w:kern w:val="0"/>
                <w:sz w:val="18"/>
                <w:szCs w:val="18"/>
                <w:lang w:bidi="ar"/>
              </w:rPr>
              <w:t>0.051</w:t>
            </w:r>
          </w:p>
        </w:tc>
        <w:tc>
          <w:tcPr>
            <w:tcW w:w="218" w:type="pct"/>
            <w:noWrap w:val="0"/>
            <w:vAlign w:val="center"/>
          </w:tcPr>
          <w:p w14:paraId="35A91B71">
            <w:pPr>
              <w:widowControl/>
              <w:jc w:val="center"/>
              <w:textAlignment w:val="center"/>
              <w:rPr>
                <w:sz w:val="18"/>
                <w:szCs w:val="18"/>
              </w:rPr>
            </w:pPr>
            <w:r>
              <w:rPr>
                <w:kern w:val="0"/>
                <w:sz w:val="18"/>
                <w:szCs w:val="18"/>
                <w:lang w:bidi="ar"/>
              </w:rPr>
              <w:t>1.81</w:t>
            </w:r>
          </w:p>
        </w:tc>
        <w:tc>
          <w:tcPr>
            <w:tcW w:w="333" w:type="pct"/>
            <w:noWrap w:val="0"/>
            <w:vAlign w:val="center"/>
          </w:tcPr>
          <w:p w14:paraId="5253BB5D">
            <w:pPr>
              <w:widowControl/>
              <w:jc w:val="center"/>
              <w:textAlignment w:val="center"/>
              <w:rPr>
                <w:sz w:val="18"/>
                <w:szCs w:val="18"/>
              </w:rPr>
            </w:pPr>
            <w:r>
              <w:rPr>
                <w:sz w:val="18"/>
                <w:szCs w:val="18"/>
              </w:rPr>
              <w:t>/</w:t>
            </w:r>
          </w:p>
        </w:tc>
        <w:tc>
          <w:tcPr>
            <w:tcW w:w="359" w:type="pct"/>
            <w:noWrap w:val="0"/>
            <w:vAlign w:val="center"/>
          </w:tcPr>
          <w:p w14:paraId="7943DE0A">
            <w:pPr>
              <w:widowControl/>
              <w:jc w:val="center"/>
              <w:textAlignment w:val="center"/>
              <w:rPr>
                <w:sz w:val="18"/>
                <w:szCs w:val="18"/>
              </w:rPr>
            </w:pPr>
            <w:r>
              <w:rPr>
                <w:sz w:val="18"/>
                <w:szCs w:val="18"/>
              </w:rPr>
              <w:t>/</w:t>
            </w:r>
          </w:p>
        </w:tc>
        <w:tc>
          <w:tcPr>
            <w:tcW w:w="355" w:type="pct"/>
            <w:noWrap w:val="0"/>
            <w:vAlign w:val="center"/>
          </w:tcPr>
          <w:p w14:paraId="5AF65186">
            <w:pPr>
              <w:widowControl/>
              <w:jc w:val="center"/>
              <w:textAlignment w:val="center"/>
              <w:rPr>
                <w:sz w:val="18"/>
                <w:szCs w:val="18"/>
              </w:rPr>
            </w:pPr>
            <w:r>
              <w:rPr>
                <w:sz w:val="18"/>
                <w:szCs w:val="18"/>
              </w:rPr>
              <w:t>/</w:t>
            </w:r>
          </w:p>
        </w:tc>
        <w:tc>
          <w:tcPr>
            <w:tcW w:w="284" w:type="pct"/>
            <w:noWrap w:val="0"/>
            <w:vAlign w:val="center"/>
          </w:tcPr>
          <w:p w14:paraId="4EFF357B">
            <w:pPr>
              <w:widowControl/>
              <w:jc w:val="center"/>
              <w:textAlignment w:val="center"/>
              <w:rPr>
                <w:sz w:val="18"/>
                <w:szCs w:val="18"/>
              </w:rPr>
            </w:pPr>
            <w:r>
              <w:rPr>
                <w:kern w:val="0"/>
                <w:sz w:val="18"/>
                <w:szCs w:val="18"/>
                <w:lang w:bidi="ar"/>
              </w:rPr>
              <w:t>0.0055</w:t>
            </w:r>
          </w:p>
        </w:tc>
        <w:tc>
          <w:tcPr>
            <w:tcW w:w="359" w:type="pct"/>
            <w:noWrap w:val="0"/>
            <w:vAlign w:val="center"/>
          </w:tcPr>
          <w:p w14:paraId="114D4973">
            <w:pPr>
              <w:widowControl/>
              <w:jc w:val="center"/>
              <w:textAlignment w:val="center"/>
              <w:rPr>
                <w:sz w:val="18"/>
                <w:szCs w:val="18"/>
              </w:rPr>
            </w:pPr>
            <w:r>
              <w:rPr>
                <w:sz w:val="18"/>
                <w:szCs w:val="18"/>
              </w:rPr>
              <w:t>/</w:t>
            </w:r>
          </w:p>
        </w:tc>
        <w:tc>
          <w:tcPr>
            <w:tcW w:w="315" w:type="pct"/>
            <w:noWrap w:val="0"/>
            <w:vAlign w:val="center"/>
          </w:tcPr>
          <w:p w14:paraId="0EE6BE78">
            <w:pPr>
              <w:widowControl/>
              <w:jc w:val="center"/>
              <w:textAlignment w:val="center"/>
              <w:rPr>
                <w:sz w:val="18"/>
                <w:szCs w:val="18"/>
              </w:rPr>
            </w:pPr>
            <w:r>
              <w:rPr>
                <w:sz w:val="18"/>
                <w:szCs w:val="18"/>
              </w:rPr>
              <w:t>/</w:t>
            </w:r>
          </w:p>
        </w:tc>
        <w:tc>
          <w:tcPr>
            <w:tcW w:w="302" w:type="pct"/>
            <w:noWrap w:val="0"/>
            <w:vAlign w:val="center"/>
          </w:tcPr>
          <w:p w14:paraId="34D739E4">
            <w:pPr>
              <w:widowControl/>
              <w:jc w:val="center"/>
              <w:textAlignment w:val="center"/>
              <w:rPr>
                <w:sz w:val="18"/>
                <w:szCs w:val="18"/>
              </w:rPr>
            </w:pPr>
            <w:r>
              <w:rPr>
                <w:kern w:val="0"/>
                <w:sz w:val="18"/>
                <w:szCs w:val="18"/>
                <w:lang w:bidi="ar"/>
              </w:rPr>
              <w:t>235</w:t>
            </w:r>
          </w:p>
        </w:tc>
        <w:tc>
          <w:tcPr>
            <w:tcW w:w="276" w:type="pct"/>
            <w:noWrap w:val="0"/>
            <w:vAlign w:val="center"/>
          </w:tcPr>
          <w:p w14:paraId="7CD19F32">
            <w:pPr>
              <w:widowControl/>
              <w:jc w:val="center"/>
              <w:textAlignment w:val="center"/>
              <w:rPr>
                <w:sz w:val="18"/>
                <w:szCs w:val="18"/>
              </w:rPr>
            </w:pPr>
            <w:r>
              <w:rPr>
                <w:sz w:val="18"/>
                <w:szCs w:val="18"/>
              </w:rPr>
              <w:t>/</w:t>
            </w:r>
          </w:p>
        </w:tc>
        <w:tc>
          <w:tcPr>
            <w:tcW w:w="267" w:type="pct"/>
            <w:noWrap w:val="0"/>
            <w:vAlign w:val="center"/>
          </w:tcPr>
          <w:p w14:paraId="2F6BA7A2">
            <w:pPr>
              <w:widowControl/>
              <w:jc w:val="center"/>
              <w:textAlignment w:val="center"/>
              <w:rPr>
                <w:sz w:val="18"/>
                <w:szCs w:val="18"/>
              </w:rPr>
            </w:pPr>
            <w:r>
              <w:rPr>
                <w:kern w:val="0"/>
                <w:sz w:val="18"/>
                <w:szCs w:val="18"/>
                <w:lang w:bidi="ar"/>
              </w:rPr>
              <w:t>0.14</w:t>
            </w:r>
          </w:p>
        </w:tc>
        <w:tc>
          <w:tcPr>
            <w:tcW w:w="293" w:type="pct"/>
            <w:noWrap w:val="0"/>
            <w:vAlign w:val="center"/>
          </w:tcPr>
          <w:p w14:paraId="1C0EB961">
            <w:pPr>
              <w:widowControl/>
              <w:jc w:val="center"/>
              <w:textAlignment w:val="center"/>
              <w:rPr>
                <w:sz w:val="18"/>
                <w:szCs w:val="18"/>
              </w:rPr>
            </w:pPr>
            <w:r>
              <w:rPr>
                <w:sz w:val="18"/>
                <w:szCs w:val="18"/>
              </w:rPr>
              <w:t>/</w:t>
            </w:r>
          </w:p>
        </w:tc>
        <w:tc>
          <w:tcPr>
            <w:tcW w:w="302" w:type="pct"/>
            <w:noWrap w:val="0"/>
            <w:vAlign w:val="center"/>
          </w:tcPr>
          <w:p w14:paraId="7AB206B8">
            <w:pPr>
              <w:widowControl/>
              <w:jc w:val="center"/>
              <w:textAlignment w:val="center"/>
              <w:rPr>
                <w:sz w:val="18"/>
                <w:szCs w:val="18"/>
              </w:rPr>
            </w:pPr>
            <w:r>
              <w:rPr>
                <w:sz w:val="18"/>
                <w:szCs w:val="18"/>
              </w:rPr>
              <w:t>/</w:t>
            </w:r>
          </w:p>
        </w:tc>
        <w:tc>
          <w:tcPr>
            <w:tcW w:w="303" w:type="pct"/>
            <w:noWrap w:val="0"/>
            <w:vAlign w:val="center"/>
          </w:tcPr>
          <w:p w14:paraId="586DCF3A">
            <w:pPr>
              <w:widowControl/>
              <w:jc w:val="center"/>
              <w:textAlignment w:val="center"/>
              <w:rPr>
                <w:sz w:val="18"/>
                <w:szCs w:val="18"/>
              </w:rPr>
            </w:pPr>
            <w:r>
              <w:rPr>
                <w:sz w:val="18"/>
                <w:szCs w:val="18"/>
              </w:rPr>
              <w:t>/</w:t>
            </w:r>
          </w:p>
        </w:tc>
      </w:tr>
      <w:tr w14:paraId="34153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3564D4D">
            <w:pPr>
              <w:jc w:val="center"/>
              <w:rPr>
                <w:sz w:val="18"/>
                <w:szCs w:val="18"/>
              </w:rPr>
            </w:pPr>
          </w:p>
        </w:tc>
        <w:tc>
          <w:tcPr>
            <w:tcW w:w="382" w:type="pct"/>
            <w:shd w:val="clear" w:color="auto" w:fill="D7D7D7"/>
            <w:noWrap w:val="0"/>
            <w:vAlign w:val="center"/>
          </w:tcPr>
          <w:p w14:paraId="0AD410D5">
            <w:pPr>
              <w:widowControl/>
              <w:jc w:val="center"/>
              <w:textAlignment w:val="center"/>
              <w:rPr>
                <w:sz w:val="18"/>
                <w:szCs w:val="18"/>
              </w:rPr>
            </w:pPr>
            <w:r>
              <w:rPr>
                <w:kern w:val="0"/>
                <w:sz w:val="18"/>
                <w:szCs w:val="18"/>
                <w:lang w:bidi="ar"/>
              </w:rPr>
              <w:t>标准</w:t>
            </w:r>
          </w:p>
        </w:tc>
        <w:tc>
          <w:tcPr>
            <w:tcW w:w="277" w:type="pct"/>
            <w:noWrap/>
            <w:vAlign w:val="center"/>
          </w:tcPr>
          <w:p w14:paraId="15009C69">
            <w:pPr>
              <w:widowControl/>
              <w:jc w:val="center"/>
              <w:textAlignment w:val="center"/>
              <w:rPr>
                <w:sz w:val="18"/>
                <w:szCs w:val="18"/>
              </w:rPr>
            </w:pPr>
            <w:r>
              <w:rPr>
                <w:kern w:val="0"/>
                <w:sz w:val="18"/>
                <w:szCs w:val="18"/>
                <w:lang w:bidi="ar"/>
              </w:rPr>
              <w:t>6.5-8.5</w:t>
            </w:r>
          </w:p>
        </w:tc>
        <w:tc>
          <w:tcPr>
            <w:tcW w:w="218" w:type="pct"/>
            <w:noWrap/>
            <w:vAlign w:val="center"/>
          </w:tcPr>
          <w:p w14:paraId="690DC030">
            <w:pPr>
              <w:widowControl/>
              <w:jc w:val="center"/>
              <w:textAlignment w:val="center"/>
              <w:rPr>
                <w:sz w:val="18"/>
                <w:szCs w:val="18"/>
              </w:rPr>
            </w:pPr>
            <w:r>
              <w:rPr>
                <w:kern w:val="0"/>
                <w:sz w:val="18"/>
                <w:szCs w:val="18"/>
                <w:lang w:bidi="ar"/>
              </w:rPr>
              <w:t>0.5</w:t>
            </w:r>
          </w:p>
        </w:tc>
        <w:tc>
          <w:tcPr>
            <w:tcW w:w="218" w:type="pct"/>
            <w:noWrap/>
            <w:vAlign w:val="center"/>
          </w:tcPr>
          <w:p w14:paraId="477BC8BE">
            <w:pPr>
              <w:widowControl/>
              <w:jc w:val="center"/>
              <w:textAlignment w:val="center"/>
              <w:rPr>
                <w:sz w:val="18"/>
                <w:szCs w:val="18"/>
              </w:rPr>
            </w:pPr>
            <w:r>
              <w:rPr>
                <w:kern w:val="0"/>
                <w:sz w:val="18"/>
                <w:szCs w:val="18"/>
                <w:lang w:bidi="ar"/>
              </w:rPr>
              <w:t>20</w:t>
            </w:r>
          </w:p>
        </w:tc>
        <w:tc>
          <w:tcPr>
            <w:tcW w:w="333" w:type="pct"/>
            <w:noWrap w:val="0"/>
            <w:vAlign w:val="center"/>
          </w:tcPr>
          <w:p w14:paraId="4D21793C">
            <w:pPr>
              <w:widowControl/>
              <w:jc w:val="center"/>
              <w:textAlignment w:val="center"/>
              <w:rPr>
                <w:sz w:val="18"/>
                <w:szCs w:val="18"/>
              </w:rPr>
            </w:pPr>
            <w:r>
              <w:rPr>
                <w:kern w:val="0"/>
                <w:sz w:val="18"/>
                <w:szCs w:val="18"/>
                <w:lang w:bidi="ar"/>
              </w:rPr>
              <w:t>1</w:t>
            </w:r>
          </w:p>
        </w:tc>
        <w:tc>
          <w:tcPr>
            <w:tcW w:w="359" w:type="pct"/>
            <w:noWrap/>
            <w:vAlign w:val="center"/>
          </w:tcPr>
          <w:p w14:paraId="0AA548EB">
            <w:pPr>
              <w:widowControl/>
              <w:jc w:val="center"/>
              <w:textAlignment w:val="center"/>
              <w:rPr>
                <w:sz w:val="18"/>
                <w:szCs w:val="18"/>
              </w:rPr>
            </w:pPr>
            <w:r>
              <w:rPr>
                <w:kern w:val="0"/>
                <w:sz w:val="18"/>
                <w:szCs w:val="18"/>
                <w:lang w:bidi="ar"/>
              </w:rPr>
              <w:t>0.002</w:t>
            </w:r>
          </w:p>
        </w:tc>
        <w:tc>
          <w:tcPr>
            <w:tcW w:w="355" w:type="pct"/>
            <w:noWrap/>
            <w:vAlign w:val="center"/>
          </w:tcPr>
          <w:p w14:paraId="04586906">
            <w:pPr>
              <w:widowControl/>
              <w:jc w:val="center"/>
              <w:textAlignment w:val="center"/>
              <w:rPr>
                <w:sz w:val="18"/>
                <w:szCs w:val="18"/>
              </w:rPr>
            </w:pPr>
            <w:r>
              <w:rPr>
                <w:kern w:val="0"/>
                <w:sz w:val="18"/>
                <w:szCs w:val="18"/>
                <w:lang w:bidi="ar"/>
              </w:rPr>
              <w:t>0.05</w:t>
            </w:r>
          </w:p>
        </w:tc>
        <w:tc>
          <w:tcPr>
            <w:tcW w:w="284" w:type="pct"/>
            <w:noWrap/>
            <w:vAlign w:val="center"/>
          </w:tcPr>
          <w:p w14:paraId="2B246EC9">
            <w:pPr>
              <w:widowControl/>
              <w:jc w:val="center"/>
              <w:textAlignment w:val="center"/>
              <w:rPr>
                <w:sz w:val="18"/>
                <w:szCs w:val="18"/>
              </w:rPr>
            </w:pPr>
            <w:r>
              <w:rPr>
                <w:kern w:val="0"/>
                <w:sz w:val="18"/>
                <w:szCs w:val="18"/>
                <w:lang w:bidi="ar"/>
              </w:rPr>
              <w:t>0.01</w:t>
            </w:r>
          </w:p>
        </w:tc>
        <w:tc>
          <w:tcPr>
            <w:tcW w:w="359" w:type="pct"/>
            <w:noWrap/>
            <w:vAlign w:val="center"/>
          </w:tcPr>
          <w:p w14:paraId="3F2E88C5">
            <w:pPr>
              <w:widowControl/>
              <w:jc w:val="center"/>
              <w:textAlignment w:val="center"/>
              <w:rPr>
                <w:sz w:val="18"/>
                <w:szCs w:val="18"/>
              </w:rPr>
            </w:pPr>
            <w:r>
              <w:rPr>
                <w:kern w:val="0"/>
                <w:sz w:val="18"/>
                <w:szCs w:val="18"/>
                <w:lang w:bidi="ar"/>
              </w:rPr>
              <w:t>0.001</w:t>
            </w:r>
          </w:p>
        </w:tc>
        <w:tc>
          <w:tcPr>
            <w:tcW w:w="315" w:type="pct"/>
            <w:noWrap/>
            <w:vAlign w:val="center"/>
          </w:tcPr>
          <w:p w14:paraId="74C92C81">
            <w:pPr>
              <w:widowControl/>
              <w:jc w:val="center"/>
              <w:textAlignment w:val="center"/>
              <w:rPr>
                <w:sz w:val="18"/>
                <w:szCs w:val="18"/>
              </w:rPr>
            </w:pPr>
            <w:r>
              <w:rPr>
                <w:kern w:val="0"/>
                <w:sz w:val="18"/>
                <w:szCs w:val="18"/>
                <w:lang w:bidi="ar"/>
              </w:rPr>
              <w:t>0.05</w:t>
            </w:r>
          </w:p>
        </w:tc>
        <w:tc>
          <w:tcPr>
            <w:tcW w:w="302" w:type="pct"/>
            <w:noWrap/>
            <w:vAlign w:val="center"/>
          </w:tcPr>
          <w:p w14:paraId="51FD04C8">
            <w:pPr>
              <w:widowControl/>
              <w:jc w:val="center"/>
              <w:textAlignment w:val="center"/>
              <w:rPr>
                <w:sz w:val="18"/>
                <w:szCs w:val="18"/>
              </w:rPr>
            </w:pPr>
            <w:r>
              <w:rPr>
                <w:kern w:val="0"/>
                <w:sz w:val="18"/>
                <w:szCs w:val="18"/>
                <w:lang w:bidi="ar"/>
              </w:rPr>
              <w:t>450</w:t>
            </w:r>
          </w:p>
        </w:tc>
        <w:tc>
          <w:tcPr>
            <w:tcW w:w="276" w:type="pct"/>
            <w:noWrap/>
            <w:vAlign w:val="center"/>
          </w:tcPr>
          <w:p w14:paraId="0CE2FF90">
            <w:pPr>
              <w:widowControl/>
              <w:jc w:val="center"/>
              <w:textAlignment w:val="center"/>
              <w:rPr>
                <w:sz w:val="18"/>
                <w:szCs w:val="18"/>
              </w:rPr>
            </w:pPr>
            <w:r>
              <w:rPr>
                <w:kern w:val="0"/>
                <w:sz w:val="18"/>
                <w:szCs w:val="18"/>
                <w:lang w:bidi="ar"/>
              </w:rPr>
              <w:t>0.01</w:t>
            </w:r>
          </w:p>
        </w:tc>
        <w:tc>
          <w:tcPr>
            <w:tcW w:w="267" w:type="pct"/>
            <w:noWrap/>
            <w:vAlign w:val="center"/>
          </w:tcPr>
          <w:p w14:paraId="476EABAF">
            <w:pPr>
              <w:widowControl/>
              <w:jc w:val="center"/>
              <w:textAlignment w:val="center"/>
              <w:rPr>
                <w:sz w:val="18"/>
                <w:szCs w:val="18"/>
              </w:rPr>
            </w:pPr>
            <w:r>
              <w:rPr>
                <w:kern w:val="0"/>
                <w:sz w:val="18"/>
                <w:szCs w:val="18"/>
                <w:lang w:bidi="ar"/>
              </w:rPr>
              <w:t>1</w:t>
            </w:r>
          </w:p>
        </w:tc>
        <w:tc>
          <w:tcPr>
            <w:tcW w:w="293" w:type="pct"/>
            <w:noWrap/>
            <w:vAlign w:val="center"/>
          </w:tcPr>
          <w:p w14:paraId="37AAAED8">
            <w:pPr>
              <w:widowControl/>
              <w:jc w:val="center"/>
              <w:textAlignment w:val="center"/>
              <w:rPr>
                <w:sz w:val="18"/>
                <w:szCs w:val="18"/>
              </w:rPr>
            </w:pPr>
            <w:r>
              <w:rPr>
                <w:kern w:val="0"/>
                <w:sz w:val="18"/>
                <w:szCs w:val="18"/>
                <w:lang w:bidi="ar"/>
              </w:rPr>
              <w:t>0.005</w:t>
            </w:r>
          </w:p>
        </w:tc>
        <w:tc>
          <w:tcPr>
            <w:tcW w:w="302" w:type="pct"/>
            <w:noWrap/>
            <w:vAlign w:val="center"/>
          </w:tcPr>
          <w:p w14:paraId="3A829D6E">
            <w:pPr>
              <w:widowControl/>
              <w:jc w:val="center"/>
              <w:textAlignment w:val="center"/>
              <w:rPr>
                <w:sz w:val="18"/>
                <w:szCs w:val="18"/>
              </w:rPr>
            </w:pPr>
            <w:r>
              <w:rPr>
                <w:kern w:val="0"/>
                <w:sz w:val="18"/>
                <w:szCs w:val="18"/>
                <w:lang w:bidi="ar"/>
              </w:rPr>
              <w:t>0.3</w:t>
            </w:r>
          </w:p>
        </w:tc>
        <w:tc>
          <w:tcPr>
            <w:tcW w:w="303" w:type="pct"/>
            <w:noWrap/>
            <w:vAlign w:val="center"/>
          </w:tcPr>
          <w:p w14:paraId="2138AA67">
            <w:pPr>
              <w:widowControl/>
              <w:jc w:val="center"/>
              <w:textAlignment w:val="center"/>
              <w:rPr>
                <w:sz w:val="18"/>
                <w:szCs w:val="18"/>
              </w:rPr>
            </w:pPr>
            <w:r>
              <w:rPr>
                <w:kern w:val="0"/>
                <w:sz w:val="18"/>
                <w:szCs w:val="18"/>
                <w:lang w:bidi="ar"/>
              </w:rPr>
              <w:t>0.1</w:t>
            </w:r>
          </w:p>
        </w:tc>
      </w:tr>
      <w:tr w14:paraId="00153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49" w:type="pct"/>
            <w:vMerge w:val="continue"/>
            <w:shd w:val="clear" w:color="auto" w:fill="auto"/>
            <w:noWrap w:val="0"/>
            <w:vAlign w:val="center"/>
          </w:tcPr>
          <w:p w14:paraId="6DADDFF8">
            <w:pPr>
              <w:jc w:val="center"/>
              <w:rPr>
                <w:sz w:val="18"/>
                <w:szCs w:val="18"/>
              </w:rPr>
            </w:pPr>
          </w:p>
        </w:tc>
        <w:tc>
          <w:tcPr>
            <w:tcW w:w="382" w:type="pct"/>
            <w:shd w:val="clear" w:color="auto" w:fill="D7D7D7"/>
            <w:noWrap w:val="0"/>
            <w:vAlign w:val="center"/>
          </w:tcPr>
          <w:p w14:paraId="4B1FAF81">
            <w:pPr>
              <w:widowControl/>
              <w:jc w:val="center"/>
              <w:textAlignment w:val="center"/>
              <w:rPr>
                <w:sz w:val="18"/>
                <w:szCs w:val="18"/>
              </w:rPr>
            </w:pPr>
            <w:r>
              <w:rPr>
                <w:kern w:val="0"/>
                <w:sz w:val="18"/>
                <w:szCs w:val="18"/>
                <w:lang w:bidi="ar"/>
              </w:rPr>
              <w:t>最大标准指数</w:t>
            </w:r>
          </w:p>
        </w:tc>
        <w:tc>
          <w:tcPr>
            <w:tcW w:w="277" w:type="pct"/>
            <w:noWrap/>
            <w:vAlign w:val="center"/>
          </w:tcPr>
          <w:p w14:paraId="3D2EBF0F">
            <w:pPr>
              <w:widowControl/>
              <w:jc w:val="center"/>
              <w:textAlignment w:val="center"/>
              <w:rPr>
                <w:sz w:val="18"/>
                <w:szCs w:val="18"/>
              </w:rPr>
            </w:pPr>
            <w:r>
              <w:rPr>
                <w:kern w:val="0"/>
                <w:sz w:val="18"/>
                <w:szCs w:val="18"/>
                <w:lang w:bidi="ar"/>
              </w:rPr>
              <w:t>0.26</w:t>
            </w:r>
          </w:p>
        </w:tc>
        <w:tc>
          <w:tcPr>
            <w:tcW w:w="218" w:type="pct"/>
            <w:noWrap/>
            <w:vAlign w:val="center"/>
          </w:tcPr>
          <w:p w14:paraId="3ED64466">
            <w:pPr>
              <w:widowControl/>
              <w:jc w:val="center"/>
              <w:textAlignment w:val="center"/>
              <w:rPr>
                <w:sz w:val="18"/>
                <w:szCs w:val="18"/>
              </w:rPr>
            </w:pPr>
            <w:r>
              <w:rPr>
                <w:kern w:val="0"/>
                <w:sz w:val="18"/>
                <w:szCs w:val="18"/>
                <w:lang w:bidi="ar"/>
              </w:rPr>
              <w:t>0.10</w:t>
            </w:r>
          </w:p>
        </w:tc>
        <w:tc>
          <w:tcPr>
            <w:tcW w:w="218" w:type="pct"/>
            <w:noWrap/>
            <w:vAlign w:val="center"/>
          </w:tcPr>
          <w:p w14:paraId="5CC9E54C">
            <w:pPr>
              <w:widowControl/>
              <w:jc w:val="center"/>
              <w:textAlignment w:val="center"/>
              <w:rPr>
                <w:sz w:val="18"/>
                <w:szCs w:val="18"/>
              </w:rPr>
            </w:pPr>
            <w:r>
              <w:rPr>
                <w:kern w:val="0"/>
                <w:sz w:val="18"/>
                <w:szCs w:val="18"/>
                <w:lang w:bidi="ar"/>
              </w:rPr>
              <w:t>0.09</w:t>
            </w:r>
          </w:p>
        </w:tc>
        <w:tc>
          <w:tcPr>
            <w:tcW w:w="333" w:type="pct"/>
            <w:noWrap/>
            <w:vAlign w:val="center"/>
          </w:tcPr>
          <w:p w14:paraId="6E45D4A9">
            <w:pPr>
              <w:widowControl/>
              <w:jc w:val="center"/>
              <w:textAlignment w:val="center"/>
              <w:rPr>
                <w:sz w:val="18"/>
                <w:szCs w:val="18"/>
              </w:rPr>
            </w:pPr>
            <w:r>
              <w:rPr>
                <w:kern w:val="0"/>
                <w:sz w:val="18"/>
                <w:szCs w:val="18"/>
                <w:lang w:bidi="ar"/>
              </w:rPr>
              <w:t>0.00</w:t>
            </w:r>
          </w:p>
        </w:tc>
        <w:tc>
          <w:tcPr>
            <w:tcW w:w="359" w:type="pct"/>
            <w:noWrap/>
            <w:vAlign w:val="center"/>
          </w:tcPr>
          <w:p w14:paraId="618DACA4">
            <w:pPr>
              <w:widowControl/>
              <w:jc w:val="center"/>
              <w:textAlignment w:val="center"/>
              <w:rPr>
                <w:sz w:val="18"/>
                <w:szCs w:val="18"/>
              </w:rPr>
            </w:pPr>
            <w:r>
              <w:rPr>
                <w:kern w:val="0"/>
                <w:sz w:val="18"/>
                <w:szCs w:val="18"/>
                <w:lang w:bidi="ar"/>
              </w:rPr>
              <w:t>0.00</w:t>
            </w:r>
          </w:p>
        </w:tc>
        <w:tc>
          <w:tcPr>
            <w:tcW w:w="355" w:type="pct"/>
            <w:noWrap/>
            <w:vAlign w:val="center"/>
          </w:tcPr>
          <w:p w14:paraId="6D5F9E01">
            <w:pPr>
              <w:widowControl/>
              <w:jc w:val="center"/>
              <w:textAlignment w:val="center"/>
              <w:rPr>
                <w:sz w:val="18"/>
                <w:szCs w:val="18"/>
              </w:rPr>
            </w:pPr>
            <w:r>
              <w:rPr>
                <w:kern w:val="0"/>
                <w:sz w:val="18"/>
                <w:szCs w:val="18"/>
                <w:lang w:bidi="ar"/>
              </w:rPr>
              <w:t>0.00</w:t>
            </w:r>
          </w:p>
        </w:tc>
        <w:tc>
          <w:tcPr>
            <w:tcW w:w="284" w:type="pct"/>
            <w:noWrap/>
            <w:vAlign w:val="center"/>
          </w:tcPr>
          <w:p w14:paraId="7D13B843">
            <w:pPr>
              <w:widowControl/>
              <w:jc w:val="center"/>
              <w:textAlignment w:val="center"/>
              <w:rPr>
                <w:sz w:val="18"/>
                <w:szCs w:val="18"/>
              </w:rPr>
            </w:pPr>
            <w:r>
              <w:rPr>
                <w:kern w:val="0"/>
                <w:sz w:val="18"/>
                <w:szCs w:val="18"/>
                <w:lang w:bidi="ar"/>
              </w:rPr>
              <w:t>0.55</w:t>
            </w:r>
          </w:p>
        </w:tc>
        <w:tc>
          <w:tcPr>
            <w:tcW w:w="359" w:type="pct"/>
            <w:noWrap/>
            <w:vAlign w:val="center"/>
          </w:tcPr>
          <w:p w14:paraId="76CFFFB9">
            <w:pPr>
              <w:widowControl/>
              <w:jc w:val="center"/>
              <w:textAlignment w:val="center"/>
              <w:rPr>
                <w:sz w:val="18"/>
                <w:szCs w:val="18"/>
              </w:rPr>
            </w:pPr>
            <w:r>
              <w:rPr>
                <w:kern w:val="0"/>
                <w:sz w:val="18"/>
                <w:szCs w:val="18"/>
                <w:lang w:bidi="ar"/>
              </w:rPr>
              <w:t>0.00</w:t>
            </w:r>
          </w:p>
        </w:tc>
        <w:tc>
          <w:tcPr>
            <w:tcW w:w="315" w:type="pct"/>
            <w:noWrap/>
            <w:vAlign w:val="center"/>
          </w:tcPr>
          <w:p w14:paraId="430731C1">
            <w:pPr>
              <w:widowControl/>
              <w:jc w:val="center"/>
              <w:textAlignment w:val="center"/>
              <w:rPr>
                <w:sz w:val="18"/>
                <w:szCs w:val="18"/>
              </w:rPr>
            </w:pPr>
            <w:r>
              <w:rPr>
                <w:kern w:val="0"/>
                <w:sz w:val="18"/>
                <w:szCs w:val="18"/>
                <w:lang w:bidi="ar"/>
              </w:rPr>
              <w:t>0.00</w:t>
            </w:r>
          </w:p>
        </w:tc>
        <w:tc>
          <w:tcPr>
            <w:tcW w:w="302" w:type="pct"/>
            <w:noWrap/>
            <w:vAlign w:val="center"/>
          </w:tcPr>
          <w:p w14:paraId="6C662CE4">
            <w:pPr>
              <w:widowControl/>
              <w:jc w:val="center"/>
              <w:textAlignment w:val="center"/>
              <w:rPr>
                <w:sz w:val="18"/>
                <w:szCs w:val="18"/>
              </w:rPr>
            </w:pPr>
            <w:r>
              <w:rPr>
                <w:kern w:val="0"/>
                <w:sz w:val="18"/>
                <w:szCs w:val="18"/>
                <w:lang w:bidi="ar"/>
              </w:rPr>
              <w:t>0.52</w:t>
            </w:r>
          </w:p>
        </w:tc>
        <w:tc>
          <w:tcPr>
            <w:tcW w:w="276" w:type="pct"/>
            <w:noWrap/>
            <w:vAlign w:val="center"/>
          </w:tcPr>
          <w:p w14:paraId="1B3E0059">
            <w:pPr>
              <w:widowControl/>
              <w:jc w:val="center"/>
              <w:textAlignment w:val="center"/>
              <w:rPr>
                <w:sz w:val="18"/>
                <w:szCs w:val="18"/>
              </w:rPr>
            </w:pPr>
            <w:r>
              <w:rPr>
                <w:kern w:val="0"/>
                <w:sz w:val="18"/>
                <w:szCs w:val="18"/>
                <w:lang w:bidi="ar"/>
              </w:rPr>
              <w:t>0.00</w:t>
            </w:r>
          </w:p>
        </w:tc>
        <w:tc>
          <w:tcPr>
            <w:tcW w:w="267" w:type="pct"/>
            <w:noWrap/>
            <w:vAlign w:val="center"/>
          </w:tcPr>
          <w:p w14:paraId="6A6A6DD4">
            <w:pPr>
              <w:widowControl/>
              <w:jc w:val="center"/>
              <w:textAlignment w:val="center"/>
              <w:rPr>
                <w:sz w:val="18"/>
                <w:szCs w:val="18"/>
              </w:rPr>
            </w:pPr>
            <w:r>
              <w:rPr>
                <w:kern w:val="0"/>
                <w:sz w:val="18"/>
                <w:szCs w:val="18"/>
                <w:lang w:bidi="ar"/>
              </w:rPr>
              <w:t>0.14</w:t>
            </w:r>
          </w:p>
        </w:tc>
        <w:tc>
          <w:tcPr>
            <w:tcW w:w="293" w:type="pct"/>
            <w:noWrap/>
            <w:vAlign w:val="center"/>
          </w:tcPr>
          <w:p w14:paraId="1FE6EF36">
            <w:pPr>
              <w:widowControl/>
              <w:jc w:val="center"/>
              <w:textAlignment w:val="center"/>
              <w:rPr>
                <w:sz w:val="18"/>
                <w:szCs w:val="18"/>
              </w:rPr>
            </w:pPr>
            <w:r>
              <w:rPr>
                <w:kern w:val="0"/>
                <w:sz w:val="18"/>
                <w:szCs w:val="18"/>
                <w:lang w:bidi="ar"/>
              </w:rPr>
              <w:t>0.00</w:t>
            </w:r>
          </w:p>
        </w:tc>
        <w:tc>
          <w:tcPr>
            <w:tcW w:w="302" w:type="pct"/>
            <w:noWrap/>
            <w:vAlign w:val="center"/>
          </w:tcPr>
          <w:p w14:paraId="6BB3D131">
            <w:pPr>
              <w:widowControl/>
              <w:jc w:val="center"/>
              <w:textAlignment w:val="center"/>
              <w:rPr>
                <w:sz w:val="18"/>
                <w:szCs w:val="18"/>
              </w:rPr>
            </w:pPr>
            <w:r>
              <w:rPr>
                <w:kern w:val="0"/>
                <w:sz w:val="18"/>
                <w:szCs w:val="18"/>
                <w:lang w:bidi="ar"/>
              </w:rPr>
              <w:t>0.00</w:t>
            </w:r>
          </w:p>
        </w:tc>
        <w:tc>
          <w:tcPr>
            <w:tcW w:w="303" w:type="pct"/>
            <w:noWrap/>
            <w:vAlign w:val="center"/>
          </w:tcPr>
          <w:p w14:paraId="158C5957">
            <w:pPr>
              <w:widowControl/>
              <w:jc w:val="center"/>
              <w:textAlignment w:val="center"/>
              <w:rPr>
                <w:sz w:val="18"/>
                <w:szCs w:val="18"/>
              </w:rPr>
            </w:pPr>
            <w:r>
              <w:rPr>
                <w:kern w:val="0"/>
                <w:sz w:val="18"/>
                <w:szCs w:val="18"/>
                <w:lang w:bidi="ar"/>
              </w:rPr>
              <w:t>0.00</w:t>
            </w:r>
          </w:p>
        </w:tc>
      </w:tr>
      <w:tr w14:paraId="3518D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7CFA74AE">
            <w:pPr>
              <w:jc w:val="center"/>
              <w:rPr>
                <w:sz w:val="18"/>
                <w:szCs w:val="18"/>
              </w:rPr>
            </w:pPr>
          </w:p>
        </w:tc>
        <w:tc>
          <w:tcPr>
            <w:tcW w:w="382" w:type="pct"/>
            <w:shd w:val="clear" w:color="auto" w:fill="D7D7D7"/>
            <w:noWrap w:val="0"/>
            <w:vAlign w:val="center"/>
          </w:tcPr>
          <w:p w14:paraId="2351BAAC">
            <w:pPr>
              <w:widowControl/>
              <w:jc w:val="center"/>
              <w:textAlignment w:val="center"/>
              <w:rPr>
                <w:sz w:val="18"/>
                <w:szCs w:val="18"/>
              </w:rPr>
            </w:pPr>
            <w:r>
              <w:rPr>
                <w:kern w:val="0"/>
                <w:sz w:val="18"/>
                <w:szCs w:val="18"/>
                <w:lang w:bidi="ar"/>
              </w:rPr>
              <w:t>达标情况</w:t>
            </w:r>
          </w:p>
        </w:tc>
        <w:tc>
          <w:tcPr>
            <w:tcW w:w="277" w:type="pct"/>
            <w:noWrap/>
            <w:vAlign w:val="center"/>
          </w:tcPr>
          <w:p w14:paraId="793E315C">
            <w:pPr>
              <w:widowControl/>
              <w:jc w:val="center"/>
              <w:textAlignment w:val="center"/>
              <w:rPr>
                <w:sz w:val="18"/>
                <w:szCs w:val="18"/>
              </w:rPr>
            </w:pPr>
            <w:r>
              <w:rPr>
                <w:kern w:val="0"/>
                <w:sz w:val="18"/>
                <w:szCs w:val="18"/>
                <w:lang w:bidi="ar"/>
              </w:rPr>
              <w:t>达标</w:t>
            </w:r>
          </w:p>
        </w:tc>
        <w:tc>
          <w:tcPr>
            <w:tcW w:w="218" w:type="pct"/>
            <w:noWrap/>
            <w:vAlign w:val="center"/>
          </w:tcPr>
          <w:p w14:paraId="1216DBB5">
            <w:pPr>
              <w:widowControl/>
              <w:jc w:val="center"/>
              <w:textAlignment w:val="center"/>
              <w:rPr>
                <w:sz w:val="18"/>
                <w:szCs w:val="18"/>
              </w:rPr>
            </w:pPr>
            <w:r>
              <w:rPr>
                <w:kern w:val="0"/>
                <w:sz w:val="18"/>
                <w:szCs w:val="18"/>
                <w:lang w:bidi="ar"/>
              </w:rPr>
              <w:t>达标</w:t>
            </w:r>
          </w:p>
        </w:tc>
        <w:tc>
          <w:tcPr>
            <w:tcW w:w="218" w:type="pct"/>
            <w:noWrap/>
            <w:vAlign w:val="center"/>
          </w:tcPr>
          <w:p w14:paraId="3B924068">
            <w:pPr>
              <w:widowControl/>
              <w:jc w:val="center"/>
              <w:textAlignment w:val="center"/>
              <w:rPr>
                <w:sz w:val="18"/>
                <w:szCs w:val="18"/>
              </w:rPr>
            </w:pPr>
            <w:r>
              <w:rPr>
                <w:kern w:val="0"/>
                <w:sz w:val="18"/>
                <w:szCs w:val="18"/>
                <w:lang w:bidi="ar"/>
              </w:rPr>
              <w:t>达标</w:t>
            </w:r>
          </w:p>
        </w:tc>
        <w:tc>
          <w:tcPr>
            <w:tcW w:w="333" w:type="pct"/>
            <w:noWrap/>
            <w:vAlign w:val="center"/>
          </w:tcPr>
          <w:p w14:paraId="3FE4B95F">
            <w:pPr>
              <w:widowControl/>
              <w:jc w:val="center"/>
              <w:textAlignment w:val="center"/>
              <w:rPr>
                <w:sz w:val="18"/>
                <w:szCs w:val="18"/>
              </w:rPr>
            </w:pPr>
            <w:r>
              <w:rPr>
                <w:kern w:val="0"/>
                <w:sz w:val="18"/>
                <w:szCs w:val="18"/>
                <w:lang w:bidi="ar"/>
              </w:rPr>
              <w:t>达标</w:t>
            </w:r>
          </w:p>
        </w:tc>
        <w:tc>
          <w:tcPr>
            <w:tcW w:w="359" w:type="pct"/>
            <w:noWrap/>
            <w:vAlign w:val="center"/>
          </w:tcPr>
          <w:p w14:paraId="56CAFE55">
            <w:pPr>
              <w:widowControl/>
              <w:jc w:val="center"/>
              <w:textAlignment w:val="center"/>
              <w:rPr>
                <w:sz w:val="18"/>
                <w:szCs w:val="18"/>
              </w:rPr>
            </w:pPr>
            <w:r>
              <w:rPr>
                <w:kern w:val="0"/>
                <w:sz w:val="18"/>
                <w:szCs w:val="18"/>
                <w:lang w:bidi="ar"/>
              </w:rPr>
              <w:t>达标</w:t>
            </w:r>
          </w:p>
        </w:tc>
        <w:tc>
          <w:tcPr>
            <w:tcW w:w="355" w:type="pct"/>
            <w:noWrap/>
            <w:vAlign w:val="center"/>
          </w:tcPr>
          <w:p w14:paraId="7938D106">
            <w:pPr>
              <w:widowControl/>
              <w:jc w:val="center"/>
              <w:textAlignment w:val="center"/>
              <w:rPr>
                <w:sz w:val="18"/>
                <w:szCs w:val="18"/>
              </w:rPr>
            </w:pPr>
            <w:r>
              <w:rPr>
                <w:kern w:val="0"/>
                <w:sz w:val="18"/>
                <w:szCs w:val="18"/>
                <w:lang w:bidi="ar"/>
              </w:rPr>
              <w:t>达标</w:t>
            </w:r>
          </w:p>
        </w:tc>
        <w:tc>
          <w:tcPr>
            <w:tcW w:w="284" w:type="pct"/>
            <w:noWrap/>
            <w:vAlign w:val="center"/>
          </w:tcPr>
          <w:p w14:paraId="639713BC">
            <w:pPr>
              <w:widowControl/>
              <w:jc w:val="center"/>
              <w:textAlignment w:val="center"/>
              <w:rPr>
                <w:sz w:val="18"/>
                <w:szCs w:val="18"/>
              </w:rPr>
            </w:pPr>
            <w:r>
              <w:rPr>
                <w:kern w:val="0"/>
                <w:sz w:val="18"/>
                <w:szCs w:val="18"/>
                <w:lang w:bidi="ar"/>
              </w:rPr>
              <w:t>达标</w:t>
            </w:r>
          </w:p>
        </w:tc>
        <w:tc>
          <w:tcPr>
            <w:tcW w:w="359" w:type="pct"/>
            <w:noWrap/>
            <w:vAlign w:val="center"/>
          </w:tcPr>
          <w:p w14:paraId="05FD6AC8">
            <w:pPr>
              <w:widowControl/>
              <w:jc w:val="center"/>
              <w:textAlignment w:val="center"/>
              <w:rPr>
                <w:sz w:val="18"/>
                <w:szCs w:val="18"/>
              </w:rPr>
            </w:pPr>
            <w:r>
              <w:rPr>
                <w:kern w:val="0"/>
                <w:sz w:val="18"/>
                <w:szCs w:val="18"/>
                <w:lang w:bidi="ar"/>
              </w:rPr>
              <w:t>达标</w:t>
            </w:r>
          </w:p>
        </w:tc>
        <w:tc>
          <w:tcPr>
            <w:tcW w:w="315" w:type="pct"/>
            <w:noWrap/>
            <w:vAlign w:val="center"/>
          </w:tcPr>
          <w:p w14:paraId="0EEDFF48">
            <w:pPr>
              <w:widowControl/>
              <w:jc w:val="center"/>
              <w:textAlignment w:val="center"/>
              <w:rPr>
                <w:sz w:val="18"/>
                <w:szCs w:val="18"/>
              </w:rPr>
            </w:pPr>
            <w:r>
              <w:rPr>
                <w:kern w:val="0"/>
                <w:sz w:val="18"/>
                <w:szCs w:val="18"/>
                <w:lang w:bidi="ar"/>
              </w:rPr>
              <w:t>达标</w:t>
            </w:r>
          </w:p>
        </w:tc>
        <w:tc>
          <w:tcPr>
            <w:tcW w:w="302" w:type="pct"/>
            <w:noWrap/>
            <w:vAlign w:val="center"/>
          </w:tcPr>
          <w:p w14:paraId="23509FFA">
            <w:pPr>
              <w:widowControl/>
              <w:jc w:val="center"/>
              <w:textAlignment w:val="center"/>
              <w:rPr>
                <w:sz w:val="18"/>
                <w:szCs w:val="18"/>
              </w:rPr>
            </w:pPr>
            <w:r>
              <w:rPr>
                <w:kern w:val="0"/>
                <w:sz w:val="18"/>
                <w:szCs w:val="18"/>
                <w:lang w:bidi="ar"/>
              </w:rPr>
              <w:t>达标</w:t>
            </w:r>
          </w:p>
        </w:tc>
        <w:tc>
          <w:tcPr>
            <w:tcW w:w="276" w:type="pct"/>
            <w:noWrap/>
            <w:vAlign w:val="center"/>
          </w:tcPr>
          <w:p w14:paraId="26784C2C">
            <w:pPr>
              <w:widowControl/>
              <w:jc w:val="center"/>
              <w:textAlignment w:val="center"/>
              <w:rPr>
                <w:sz w:val="18"/>
                <w:szCs w:val="18"/>
              </w:rPr>
            </w:pPr>
            <w:r>
              <w:rPr>
                <w:kern w:val="0"/>
                <w:sz w:val="18"/>
                <w:szCs w:val="18"/>
                <w:lang w:bidi="ar"/>
              </w:rPr>
              <w:t>达标</w:t>
            </w:r>
          </w:p>
        </w:tc>
        <w:tc>
          <w:tcPr>
            <w:tcW w:w="267" w:type="pct"/>
            <w:noWrap/>
            <w:vAlign w:val="center"/>
          </w:tcPr>
          <w:p w14:paraId="6317F3EF">
            <w:pPr>
              <w:widowControl/>
              <w:jc w:val="center"/>
              <w:textAlignment w:val="center"/>
              <w:rPr>
                <w:sz w:val="18"/>
                <w:szCs w:val="18"/>
              </w:rPr>
            </w:pPr>
            <w:r>
              <w:rPr>
                <w:kern w:val="0"/>
                <w:sz w:val="18"/>
                <w:szCs w:val="18"/>
                <w:lang w:bidi="ar"/>
              </w:rPr>
              <w:t>达标</w:t>
            </w:r>
          </w:p>
        </w:tc>
        <w:tc>
          <w:tcPr>
            <w:tcW w:w="293" w:type="pct"/>
            <w:noWrap/>
            <w:vAlign w:val="center"/>
          </w:tcPr>
          <w:p w14:paraId="181FA7DC">
            <w:pPr>
              <w:widowControl/>
              <w:jc w:val="center"/>
              <w:textAlignment w:val="center"/>
              <w:rPr>
                <w:sz w:val="18"/>
                <w:szCs w:val="18"/>
              </w:rPr>
            </w:pPr>
            <w:r>
              <w:rPr>
                <w:kern w:val="0"/>
                <w:sz w:val="18"/>
                <w:szCs w:val="18"/>
                <w:lang w:bidi="ar"/>
              </w:rPr>
              <w:t>达标</w:t>
            </w:r>
          </w:p>
        </w:tc>
        <w:tc>
          <w:tcPr>
            <w:tcW w:w="302" w:type="pct"/>
            <w:noWrap/>
            <w:vAlign w:val="center"/>
          </w:tcPr>
          <w:p w14:paraId="1BEDA0EF">
            <w:pPr>
              <w:widowControl/>
              <w:jc w:val="center"/>
              <w:textAlignment w:val="center"/>
              <w:rPr>
                <w:sz w:val="18"/>
                <w:szCs w:val="18"/>
              </w:rPr>
            </w:pPr>
            <w:r>
              <w:rPr>
                <w:kern w:val="0"/>
                <w:sz w:val="18"/>
                <w:szCs w:val="18"/>
                <w:lang w:bidi="ar"/>
              </w:rPr>
              <w:t>达标</w:t>
            </w:r>
          </w:p>
        </w:tc>
        <w:tc>
          <w:tcPr>
            <w:tcW w:w="303" w:type="pct"/>
            <w:noWrap/>
            <w:vAlign w:val="center"/>
          </w:tcPr>
          <w:p w14:paraId="530ABA18">
            <w:pPr>
              <w:widowControl/>
              <w:jc w:val="center"/>
              <w:textAlignment w:val="center"/>
              <w:rPr>
                <w:sz w:val="18"/>
                <w:szCs w:val="18"/>
              </w:rPr>
            </w:pPr>
            <w:r>
              <w:rPr>
                <w:kern w:val="0"/>
                <w:sz w:val="18"/>
                <w:szCs w:val="18"/>
                <w:lang w:bidi="ar"/>
              </w:rPr>
              <w:t>达标</w:t>
            </w:r>
          </w:p>
        </w:tc>
      </w:tr>
      <w:tr w14:paraId="1ADABE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vMerge w:val="continue"/>
            <w:shd w:val="clear" w:color="auto" w:fill="auto"/>
            <w:noWrap w:val="0"/>
            <w:vAlign w:val="center"/>
          </w:tcPr>
          <w:p w14:paraId="026318CC">
            <w:pPr>
              <w:jc w:val="center"/>
              <w:rPr>
                <w:sz w:val="18"/>
                <w:szCs w:val="18"/>
              </w:rPr>
            </w:pPr>
          </w:p>
        </w:tc>
        <w:tc>
          <w:tcPr>
            <w:tcW w:w="382" w:type="pct"/>
            <w:shd w:val="clear" w:color="auto" w:fill="D7D7D7"/>
            <w:noWrap w:val="0"/>
            <w:vAlign w:val="center"/>
          </w:tcPr>
          <w:p w14:paraId="7911C3C7">
            <w:pPr>
              <w:widowControl/>
              <w:snapToGrid w:val="0"/>
              <w:jc w:val="center"/>
              <w:textAlignment w:val="center"/>
              <w:rPr>
                <w:sz w:val="18"/>
                <w:szCs w:val="18"/>
              </w:rPr>
            </w:pPr>
            <w:r>
              <w:rPr>
                <w:kern w:val="0"/>
                <w:sz w:val="18"/>
                <w:szCs w:val="18"/>
                <w:lang w:bidi="ar"/>
              </w:rPr>
              <w:t>日期</w:t>
            </w:r>
          </w:p>
          <w:p w14:paraId="4ED37EEB">
            <w:pPr>
              <w:widowControl/>
              <w:jc w:val="center"/>
              <w:textAlignment w:val="center"/>
              <w:rPr>
                <w:sz w:val="18"/>
                <w:szCs w:val="18"/>
              </w:rPr>
            </w:pPr>
            <w:r>
              <w:rPr>
                <w:sz w:val="18"/>
                <w:szCs w:val="18"/>
              </w:rPr>
              <w:t>项目</w:t>
            </w:r>
          </w:p>
        </w:tc>
        <w:tc>
          <w:tcPr>
            <w:tcW w:w="277" w:type="pct"/>
            <w:noWrap w:val="0"/>
            <w:vAlign w:val="center"/>
          </w:tcPr>
          <w:p w14:paraId="77967C9D">
            <w:pPr>
              <w:widowControl/>
              <w:jc w:val="center"/>
              <w:textAlignment w:val="center"/>
              <w:rPr>
                <w:sz w:val="18"/>
                <w:szCs w:val="18"/>
              </w:rPr>
            </w:pPr>
            <w:r>
              <w:rPr>
                <w:kern w:val="0"/>
                <w:sz w:val="18"/>
                <w:szCs w:val="18"/>
                <w:lang w:bidi="ar"/>
              </w:rPr>
              <w:t>溶解性总固体</w:t>
            </w:r>
          </w:p>
        </w:tc>
        <w:tc>
          <w:tcPr>
            <w:tcW w:w="218" w:type="pct"/>
            <w:noWrap w:val="0"/>
            <w:vAlign w:val="center"/>
          </w:tcPr>
          <w:p w14:paraId="0C5F20A9">
            <w:pPr>
              <w:widowControl/>
              <w:jc w:val="center"/>
              <w:textAlignment w:val="center"/>
              <w:rPr>
                <w:sz w:val="18"/>
                <w:szCs w:val="18"/>
              </w:rPr>
            </w:pPr>
            <w:r>
              <w:rPr>
                <w:kern w:val="0"/>
                <w:sz w:val="18"/>
                <w:szCs w:val="18"/>
                <w:lang w:bidi="ar"/>
              </w:rPr>
              <w:t>耗氧量</w:t>
            </w:r>
          </w:p>
        </w:tc>
        <w:tc>
          <w:tcPr>
            <w:tcW w:w="218" w:type="pct"/>
            <w:noWrap w:val="0"/>
            <w:vAlign w:val="center"/>
          </w:tcPr>
          <w:p w14:paraId="5FD5E811">
            <w:pPr>
              <w:widowControl/>
              <w:jc w:val="center"/>
              <w:textAlignment w:val="center"/>
              <w:rPr>
                <w:sz w:val="18"/>
                <w:szCs w:val="18"/>
              </w:rPr>
            </w:pPr>
            <w:r>
              <w:rPr>
                <w:kern w:val="0"/>
                <w:sz w:val="18"/>
                <w:szCs w:val="18"/>
                <w:lang w:bidi="ar"/>
              </w:rPr>
              <w:t>氯化物</w:t>
            </w:r>
          </w:p>
        </w:tc>
        <w:tc>
          <w:tcPr>
            <w:tcW w:w="333" w:type="pct"/>
            <w:noWrap w:val="0"/>
            <w:vAlign w:val="center"/>
          </w:tcPr>
          <w:p w14:paraId="3C4F0E4C">
            <w:pPr>
              <w:widowControl/>
              <w:jc w:val="center"/>
              <w:textAlignment w:val="center"/>
              <w:rPr>
                <w:sz w:val="18"/>
                <w:szCs w:val="18"/>
              </w:rPr>
            </w:pPr>
            <w:r>
              <w:rPr>
                <w:kern w:val="0"/>
                <w:sz w:val="18"/>
                <w:szCs w:val="18"/>
                <w:lang w:bidi="ar"/>
              </w:rPr>
              <w:t>总大肠菌群（MPN/100mL）</w:t>
            </w:r>
          </w:p>
        </w:tc>
        <w:tc>
          <w:tcPr>
            <w:tcW w:w="359" w:type="pct"/>
            <w:noWrap w:val="0"/>
            <w:vAlign w:val="center"/>
          </w:tcPr>
          <w:p w14:paraId="4F93468D">
            <w:pPr>
              <w:widowControl/>
              <w:jc w:val="center"/>
              <w:textAlignment w:val="center"/>
              <w:rPr>
                <w:sz w:val="18"/>
                <w:szCs w:val="18"/>
              </w:rPr>
            </w:pPr>
            <w:r>
              <w:rPr>
                <w:kern w:val="0"/>
                <w:sz w:val="18"/>
                <w:szCs w:val="18"/>
                <w:lang w:bidi="ar"/>
              </w:rPr>
              <w:t>菌落总数（CFU/mL）</w:t>
            </w:r>
          </w:p>
        </w:tc>
        <w:tc>
          <w:tcPr>
            <w:tcW w:w="355" w:type="pct"/>
            <w:noWrap w:val="0"/>
            <w:vAlign w:val="center"/>
          </w:tcPr>
          <w:p w14:paraId="2462A3FC">
            <w:pPr>
              <w:widowControl/>
              <w:jc w:val="center"/>
              <w:textAlignment w:val="center"/>
              <w:rPr>
                <w:sz w:val="18"/>
                <w:szCs w:val="18"/>
              </w:rPr>
            </w:pPr>
            <w:r>
              <w:rPr>
                <w:kern w:val="0"/>
                <w:sz w:val="18"/>
                <w:szCs w:val="18"/>
                <w:lang w:bidi="ar"/>
              </w:rPr>
              <w:t>锌</w:t>
            </w:r>
          </w:p>
        </w:tc>
        <w:tc>
          <w:tcPr>
            <w:tcW w:w="284" w:type="pct"/>
            <w:noWrap w:val="0"/>
            <w:vAlign w:val="center"/>
          </w:tcPr>
          <w:p w14:paraId="700BD4A3">
            <w:pPr>
              <w:widowControl/>
              <w:jc w:val="center"/>
              <w:textAlignment w:val="center"/>
              <w:rPr>
                <w:sz w:val="18"/>
                <w:szCs w:val="18"/>
              </w:rPr>
            </w:pPr>
            <w:r>
              <w:rPr>
                <w:kern w:val="0"/>
                <w:sz w:val="18"/>
                <w:szCs w:val="18"/>
                <w:lang w:bidi="ar"/>
              </w:rPr>
              <w:t>钾离子（K+）</w:t>
            </w:r>
          </w:p>
        </w:tc>
        <w:tc>
          <w:tcPr>
            <w:tcW w:w="359" w:type="pct"/>
            <w:noWrap w:val="0"/>
            <w:vAlign w:val="center"/>
          </w:tcPr>
          <w:p w14:paraId="6EF75B13">
            <w:pPr>
              <w:widowControl/>
              <w:jc w:val="center"/>
              <w:textAlignment w:val="center"/>
              <w:rPr>
                <w:sz w:val="18"/>
                <w:szCs w:val="18"/>
              </w:rPr>
            </w:pPr>
            <w:r>
              <w:rPr>
                <w:kern w:val="0"/>
                <w:sz w:val="18"/>
                <w:szCs w:val="18"/>
                <w:lang w:bidi="ar"/>
              </w:rPr>
              <w:t>钠离子（Na+）</w:t>
            </w:r>
          </w:p>
        </w:tc>
        <w:tc>
          <w:tcPr>
            <w:tcW w:w="315" w:type="pct"/>
            <w:noWrap w:val="0"/>
            <w:vAlign w:val="center"/>
          </w:tcPr>
          <w:p w14:paraId="1D8C3848">
            <w:pPr>
              <w:widowControl/>
              <w:jc w:val="center"/>
              <w:textAlignment w:val="center"/>
              <w:rPr>
                <w:sz w:val="18"/>
                <w:szCs w:val="18"/>
              </w:rPr>
            </w:pPr>
            <w:r>
              <w:rPr>
                <w:kern w:val="0"/>
                <w:sz w:val="18"/>
                <w:szCs w:val="18"/>
                <w:lang w:bidi="ar"/>
              </w:rPr>
              <w:t>钙离子（Ca2+）</w:t>
            </w:r>
          </w:p>
        </w:tc>
        <w:tc>
          <w:tcPr>
            <w:tcW w:w="302" w:type="pct"/>
            <w:noWrap w:val="0"/>
            <w:vAlign w:val="center"/>
          </w:tcPr>
          <w:p w14:paraId="222CD4C2">
            <w:pPr>
              <w:widowControl/>
              <w:jc w:val="center"/>
              <w:textAlignment w:val="center"/>
              <w:rPr>
                <w:sz w:val="18"/>
                <w:szCs w:val="18"/>
              </w:rPr>
            </w:pPr>
            <w:r>
              <w:rPr>
                <w:kern w:val="0"/>
                <w:sz w:val="18"/>
                <w:szCs w:val="18"/>
                <w:lang w:bidi="ar"/>
              </w:rPr>
              <w:t>镁离子（Mg2+）</w:t>
            </w:r>
          </w:p>
        </w:tc>
        <w:tc>
          <w:tcPr>
            <w:tcW w:w="276" w:type="pct"/>
            <w:noWrap w:val="0"/>
            <w:vAlign w:val="center"/>
          </w:tcPr>
          <w:p w14:paraId="6547F323">
            <w:pPr>
              <w:widowControl/>
              <w:jc w:val="center"/>
              <w:textAlignment w:val="center"/>
              <w:rPr>
                <w:sz w:val="18"/>
                <w:szCs w:val="18"/>
              </w:rPr>
            </w:pPr>
            <w:r>
              <w:rPr>
                <w:kern w:val="0"/>
                <w:sz w:val="18"/>
                <w:szCs w:val="18"/>
                <w:lang w:bidi="ar"/>
              </w:rPr>
              <w:t>碳酸根</w:t>
            </w:r>
          </w:p>
        </w:tc>
        <w:tc>
          <w:tcPr>
            <w:tcW w:w="267" w:type="pct"/>
            <w:noWrap w:val="0"/>
            <w:vAlign w:val="center"/>
          </w:tcPr>
          <w:p w14:paraId="04B18906">
            <w:pPr>
              <w:widowControl/>
              <w:jc w:val="center"/>
              <w:textAlignment w:val="center"/>
              <w:rPr>
                <w:sz w:val="18"/>
                <w:szCs w:val="18"/>
              </w:rPr>
            </w:pPr>
            <w:r>
              <w:rPr>
                <w:kern w:val="0"/>
                <w:sz w:val="18"/>
                <w:szCs w:val="18"/>
                <w:lang w:bidi="ar"/>
              </w:rPr>
              <w:t>重碳酸根</w:t>
            </w:r>
          </w:p>
        </w:tc>
        <w:tc>
          <w:tcPr>
            <w:tcW w:w="293" w:type="pct"/>
            <w:noWrap w:val="0"/>
            <w:vAlign w:val="center"/>
          </w:tcPr>
          <w:p w14:paraId="5888B3AD">
            <w:pPr>
              <w:widowControl/>
              <w:jc w:val="center"/>
              <w:textAlignment w:val="center"/>
              <w:rPr>
                <w:sz w:val="18"/>
                <w:szCs w:val="18"/>
              </w:rPr>
            </w:pPr>
            <w:r>
              <w:rPr>
                <w:kern w:val="0"/>
                <w:sz w:val="18"/>
                <w:szCs w:val="18"/>
                <w:lang w:bidi="ar"/>
              </w:rPr>
              <w:t>氯离子（Cl-）</w:t>
            </w:r>
          </w:p>
        </w:tc>
        <w:tc>
          <w:tcPr>
            <w:tcW w:w="302" w:type="pct"/>
            <w:noWrap w:val="0"/>
            <w:vAlign w:val="center"/>
          </w:tcPr>
          <w:p w14:paraId="7035B8C4">
            <w:pPr>
              <w:widowControl/>
              <w:jc w:val="center"/>
              <w:textAlignment w:val="center"/>
              <w:rPr>
                <w:sz w:val="18"/>
                <w:szCs w:val="18"/>
              </w:rPr>
            </w:pPr>
            <w:r>
              <w:rPr>
                <w:kern w:val="0"/>
                <w:sz w:val="18"/>
                <w:szCs w:val="18"/>
                <w:lang w:bidi="ar"/>
              </w:rPr>
              <w:t>硫酸根（SO42-）</w:t>
            </w:r>
          </w:p>
        </w:tc>
        <w:tc>
          <w:tcPr>
            <w:tcW w:w="303" w:type="pct"/>
            <w:noWrap/>
            <w:vAlign w:val="center"/>
          </w:tcPr>
          <w:p w14:paraId="66DD5ED8">
            <w:pPr>
              <w:jc w:val="center"/>
              <w:rPr>
                <w:sz w:val="18"/>
                <w:szCs w:val="18"/>
              </w:rPr>
            </w:pPr>
            <w:r>
              <w:rPr>
                <w:sz w:val="18"/>
                <w:szCs w:val="18"/>
              </w:rPr>
              <w:t>/</w:t>
            </w:r>
          </w:p>
        </w:tc>
      </w:tr>
      <w:tr w14:paraId="5F5CA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4765CD2F">
            <w:pPr>
              <w:jc w:val="center"/>
              <w:rPr>
                <w:sz w:val="18"/>
                <w:szCs w:val="18"/>
              </w:rPr>
            </w:pPr>
          </w:p>
        </w:tc>
        <w:tc>
          <w:tcPr>
            <w:tcW w:w="382" w:type="pct"/>
            <w:shd w:val="clear" w:color="auto" w:fill="D7D7D7"/>
            <w:noWrap w:val="0"/>
            <w:vAlign w:val="center"/>
          </w:tcPr>
          <w:p w14:paraId="01E9C72E">
            <w:pPr>
              <w:widowControl/>
              <w:jc w:val="center"/>
              <w:textAlignment w:val="center"/>
              <w:rPr>
                <w:sz w:val="18"/>
                <w:szCs w:val="18"/>
              </w:rPr>
            </w:pPr>
            <w:r>
              <w:rPr>
                <w:kern w:val="0"/>
                <w:sz w:val="18"/>
                <w:szCs w:val="18"/>
                <w:lang w:bidi="ar"/>
              </w:rPr>
              <w:t>2021/3/28</w:t>
            </w:r>
          </w:p>
        </w:tc>
        <w:tc>
          <w:tcPr>
            <w:tcW w:w="277" w:type="pct"/>
            <w:noWrap w:val="0"/>
            <w:vAlign w:val="center"/>
          </w:tcPr>
          <w:p w14:paraId="21205E33">
            <w:pPr>
              <w:widowControl/>
              <w:jc w:val="center"/>
              <w:textAlignment w:val="center"/>
              <w:rPr>
                <w:sz w:val="18"/>
                <w:szCs w:val="18"/>
              </w:rPr>
            </w:pPr>
            <w:r>
              <w:rPr>
                <w:kern w:val="0"/>
                <w:sz w:val="18"/>
                <w:szCs w:val="18"/>
                <w:lang w:bidi="ar"/>
              </w:rPr>
              <w:t>284</w:t>
            </w:r>
          </w:p>
        </w:tc>
        <w:tc>
          <w:tcPr>
            <w:tcW w:w="218" w:type="pct"/>
            <w:noWrap w:val="0"/>
            <w:vAlign w:val="center"/>
          </w:tcPr>
          <w:p w14:paraId="6E421BA7">
            <w:pPr>
              <w:widowControl/>
              <w:jc w:val="center"/>
              <w:textAlignment w:val="center"/>
              <w:rPr>
                <w:sz w:val="18"/>
                <w:szCs w:val="18"/>
              </w:rPr>
            </w:pPr>
            <w:r>
              <w:rPr>
                <w:kern w:val="0"/>
                <w:sz w:val="18"/>
                <w:szCs w:val="18"/>
                <w:lang w:bidi="ar"/>
              </w:rPr>
              <w:t>0.16</w:t>
            </w:r>
          </w:p>
        </w:tc>
        <w:tc>
          <w:tcPr>
            <w:tcW w:w="218" w:type="pct"/>
            <w:noWrap w:val="0"/>
            <w:vAlign w:val="center"/>
          </w:tcPr>
          <w:p w14:paraId="54967ED8">
            <w:pPr>
              <w:widowControl/>
              <w:jc w:val="center"/>
              <w:textAlignment w:val="center"/>
              <w:rPr>
                <w:sz w:val="18"/>
                <w:szCs w:val="18"/>
              </w:rPr>
            </w:pPr>
            <w:r>
              <w:rPr>
                <w:kern w:val="0"/>
                <w:sz w:val="18"/>
                <w:szCs w:val="18"/>
                <w:lang w:bidi="ar"/>
              </w:rPr>
              <w:t>10L</w:t>
            </w:r>
          </w:p>
        </w:tc>
        <w:tc>
          <w:tcPr>
            <w:tcW w:w="333" w:type="pct"/>
            <w:noWrap w:val="0"/>
            <w:vAlign w:val="center"/>
          </w:tcPr>
          <w:p w14:paraId="43CE4B94">
            <w:pPr>
              <w:widowControl/>
              <w:jc w:val="center"/>
              <w:textAlignment w:val="center"/>
              <w:rPr>
                <w:sz w:val="18"/>
                <w:szCs w:val="18"/>
              </w:rPr>
            </w:pPr>
            <w:r>
              <w:rPr>
                <w:kern w:val="0"/>
                <w:sz w:val="18"/>
                <w:szCs w:val="18"/>
                <w:lang w:bidi="ar"/>
              </w:rPr>
              <w:t>2</w:t>
            </w:r>
          </w:p>
        </w:tc>
        <w:tc>
          <w:tcPr>
            <w:tcW w:w="359" w:type="pct"/>
            <w:noWrap w:val="0"/>
            <w:vAlign w:val="center"/>
          </w:tcPr>
          <w:p w14:paraId="2D99A07C">
            <w:pPr>
              <w:widowControl/>
              <w:jc w:val="center"/>
              <w:textAlignment w:val="center"/>
              <w:rPr>
                <w:sz w:val="18"/>
                <w:szCs w:val="18"/>
              </w:rPr>
            </w:pPr>
            <w:r>
              <w:rPr>
                <w:kern w:val="0"/>
                <w:sz w:val="18"/>
                <w:szCs w:val="18"/>
                <w:lang w:bidi="ar"/>
              </w:rPr>
              <w:t>90</w:t>
            </w:r>
          </w:p>
        </w:tc>
        <w:tc>
          <w:tcPr>
            <w:tcW w:w="355" w:type="pct"/>
            <w:noWrap w:val="0"/>
            <w:vAlign w:val="center"/>
          </w:tcPr>
          <w:p w14:paraId="7908CB11">
            <w:pPr>
              <w:widowControl/>
              <w:jc w:val="center"/>
              <w:textAlignment w:val="center"/>
              <w:rPr>
                <w:sz w:val="18"/>
                <w:szCs w:val="18"/>
              </w:rPr>
            </w:pPr>
            <w:r>
              <w:rPr>
                <w:kern w:val="0"/>
                <w:sz w:val="18"/>
                <w:szCs w:val="18"/>
                <w:lang w:bidi="ar"/>
              </w:rPr>
              <w:t>0.126</w:t>
            </w:r>
          </w:p>
        </w:tc>
        <w:tc>
          <w:tcPr>
            <w:tcW w:w="284" w:type="pct"/>
            <w:noWrap w:val="0"/>
            <w:vAlign w:val="center"/>
          </w:tcPr>
          <w:p w14:paraId="7517D0A8">
            <w:pPr>
              <w:widowControl/>
              <w:jc w:val="center"/>
              <w:textAlignment w:val="center"/>
              <w:rPr>
                <w:sz w:val="18"/>
                <w:szCs w:val="18"/>
              </w:rPr>
            </w:pPr>
            <w:r>
              <w:rPr>
                <w:kern w:val="0"/>
                <w:sz w:val="18"/>
                <w:szCs w:val="18"/>
                <w:lang w:bidi="ar"/>
              </w:rPr>
              <w:t>4.66</w:t>
            </w:r>
          </w:p>
        </w:tc>
        <w:tc>
          <w:tcPr>
            <w:tcW w:w="359" w:type="pct"/>
            <w:noWrap w:val="0"/>
            <w:vAlign w:val="center"/>
          </w:tcPr>
          <w:p w14:paraId="1F3A7488">
            <w:pPr>
              <w:widowControl/>
              <w:jc w:val="center"/>
              <w:textAlignment w:val="center"/>
              <w:rPr>
                <w:sz w:val="18"/>
                <w:szCs w:val="18"/>
              </w:rPr>
            </w:pPr>
            <w:r>
              <w:rPr>
                <w:kern w:val="0"/>
                <w:sz w:val="18"/>
                <w:szCs w:val="18"/>
                <w:lang w:bidi="ar"/>
              </w:rPr>
              <w:t>8.34</w:t>
            </w:r>
          </w:p>
        </w:tc>
        <w:tc>
          <w:tcPr>
            <w:tcW w:w="315" w:type="pct"/>
            <w:noWrap w:val="0"/>
            <w:vAlign w:val="center"/>
          </w:tcPr>
          <w:p w14:paraId="7EE7C261">
            <w:pPr>
              <w:widowControl/>
              <w:jc w:val="center"/>
              <w:textAlignment w:val="center"/>
              <w:rPr>
                <w:sz w:val="18"/>
                <w:szCs w:val="18"/>
              </w:rPr>
            </w:pPr>
            <w:r>
              <w:rPr>
                <w:kern w:val="0"/>
                <w:sz w:val="18"/>
                <w:szCs w:val="18"/>
                <w:lang w:bidi="ar"/>
              </w:rPr>
              <w:t>44</w:t>
            </w:r>
          </w:p>
        </w:tc>
        <w:tc>
          <w:tcPr>
            <w:tcW w:w="302" w:type="pct"/>
            <w:noWrap w:val="0"/>
            <w:vAlign w:val="center"/>
          </w:tcPr>
          <w:p w14:paraId="0F20BEF4">
            <w:pPr>
              <w:widowControl/>
              <w:jc w:val="center"/>
              <w:textAlignment w:val="center"/>
              <w:rPr>
                <w:sz w:val="18"/>
                <w:szCs w:val="18"/>
              </w:rPr>
            </w:pPr>
            <w:r>
              <w:rPr>
                <w:kern w:val="0"/>
                <w:sz w:val="18"/>
                <w:szCs w:val="18"/>
                <w:lang w:bidi="ar"/>
              </w:rPr>
              <w:t>3.82</w:t>
            </w:r>
          </w:p>
        </w:tc>
        <w:tc>
          <w:tcPr>
            <w:tcW w:w="276" w:type="pct"/>
            <w:noWrap w:val="0"/>
            <w:vAlign w:val="center"/>
          </w:tcPr>
          <w:p w14:paraId="1AEC120F">
            <w:pPr>
              <w:widowControl/>
              <w:jc w:val="center"/>
              <w:textAlignment w:val="center"/>
              <w:rPr>
                <w:sz w:val="18"/>
                <w:szCs w:val="18"/>
              </w:rPr>
            </w:pPr>
            <w:r>
              <w:rPr>
                <w:kern w:val="0"/>
                <w:sz w:val="18"/>
                <w:szCs w:val="18"/>
                <w:lang w:bidi="ar"/>
              </w:rPr>
              <w:t>18</w:t>
            </w:r>
          </w:p>
        </w:tc>
        <w:tc>
          <w:tcPr>
            <w:tcW w:w="267" w:type="pct"/>
            <w:noWrap w:val="0"/>
            <w:vAlign w:val="center"/>
          </w:tcPr>
          <w:p w14:paraId="5E91D951">
            <w:pPr>
              <w:widowControl/>
              <w:jc w:val="center"/>
              <w:textAlignment w:val="center"/>
              <w:rPr>
                <w:sz w:val="18"/>
                <w:szCs w:val="18"/>
              </w:rPr>
            </w:pPr>
            <w:r>
              <w:rPr>
                <w:kern w:val="0"/>
                <w:sz w:val="18"/>
                <w:szCs w:val="18"/>
                <w:lang w:bidi="ar"/>
              </w:rPr>
              <w:t>226</w:t>
            </w:r>
          </w:p>
        </w:tc>
        <w:tc>
          <w:tcPr>
            <w:tcW w:w="293" w:type="pct"/>
            <w:noWrap w:val="0"/>
            <w:vAlign w:val="center"/>
          </w:tcPr>
          <w:p w14:paraId="060A42DA">
            <w:pPr>
              <w:widowControl/>
              <w:jc w:val="center"/>
              <w:textAlignment w:val="center"/>
              <w:rPr>
                <w:sz w:val="18"/>
                <w:szCs w:val="18"/>
              </w:rPr>
            </w:pPr>
            <w:r>
              <w:rPr>
                <w:kern w:val="0"/>
                <w:sz w:val="18"/>
                <w:szCs w:val="18"/>
                <w:lang w:bidi="ar"/>
              </w:rPr>
              <w:t>3.31</w:t>
            </w:r>
          </w:p>
        </w:tc>
        <w:tc>
          <w:tcPr>
            <w:tcW w:w="302" w:type="pct"/>
            <w:noWrap w:val="0"/>
            <w:vAlign w:val="center"/>
          </w:tcPr>
          <w:p w14:paraId="4AED1A38">
            <w:pPr>
              <w:widowControl/>
              <w:jc w:val="center"/>
              <w:textAlignment w:val="center"/>
              <w:rPr>
                <w:sz w:val="18"/>
                <w:szCs w:val="18"/>
              </w:rPr>
            </w:pPr>
            <w:r>
              <w:rPr>
                <w:kern w:val="0"/>
                <w:sz w:val="18"/>
                <w:szCs w:val="18"/>
                <w:lang w:bidi="ar"/>
              </w:rPr>
              <w:t>20.6</w:t>
            </w:r>
          </w:p>
        </w:tc>
        <w:tc>
          <w:tcPr>
            <w:tcW w:w="303" w:type="pct"/>
            <w:noWrap/>
            <w:vAlign w:val="center"/>
          </w:tcPr>
          <w:p w14:paraId="29AF2170">
            <w:pPr>
              <w:jc w:val="center"/>
              <w:rPr>
                <w:sz w:val="18"/>
                <w:szCs w:val="18"/>
              </w:rPr>
            </w:pPr>
            <w:r>
              <w:rPr>
                <w:sz w:val="18"/>
                <w:szCs w:val="18"/>
              </w:rPr>
              <w:t>/</w:t>
            </w:r>
          </w:p>
        </w:tc>
      </w:tr>
      <w:tr w14:paraId="11F27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04BF9B36">
            <w:pPr>
              <w:jc w:val="center"/>
              <w:rPr>
                <w:sz w:val="18"/>
                <w:szCs w:val="18"/>
              </w:rPr>
            </w:pPr>
          </w:p>
        </w:tc>
        <w:tc>
          <w:tcPr>
            <w:tcW w:w="382" w:type="pct"/>
            <w:shd w:val="clear" w:color="auto" w:fill="D7D7D7"/>
            <w:noWrap w:val="0"/>
            <w:vAlign w:val="center"/>
          </w:tcPr>
          <w:p w14:paraId="3D38D883">
            <w:pPr>
              <w:widowControl/>
              <w:jc w:val="center"/>
              <w:textAlignment w:val="center"/>
              <w:rPr>
                <w:sz w:val="18"/>
                <w:szCs w:val="18"/>
              </w:rPr>
            </w:pPr>
            <w:r>
              <w:rPr>
                <w:kern w:val="0"/>
                <w:sz w:val="18"/>
                <w:szCs w:val="18"/>
                <w:lang w:bidi="ar"/>
              </w:rPr>
              <w:t>2021/3/29</w:t>
            </w:r>
          </w:p>
        </w:tc>
        <w:tc>
          <w:tcPr>
            <w:tcW w:w="277" w:type="pct"/>
            <w:noWrap w:val="0"/>
            <w:vAlign w:val="center"/>
          </w:tcPr>
          <w:p w14:paraId="41AA9648">
            <w:pPr>
              <w:widowControl/>
              <w:jc w:val="center"/>
              <w:textAlignment w:val="center"/>
              <w:rPr>
                <w:sz w:val="18"/>
                <w:szCs w:val="18"/>
              </w:rPr>
            </w:pPr>
            <w:r>
              <w:rPr>
                <w:kern w:val="0"/>
                <w:sz w:val="18"/>
                <w:szCs w:val="18"/>
                <w:lang w:bidi="ar"/>
              </w:rPr>
              <w:t>301</w:t>
            </w:r>
          </w:p>
        </w:tc>
        <w:tc>
          <w:tcPr>
            <w:tcW w:w="218" w:type="pct"/>
            <w:noWrap w:val="0"/>
            <w:vAlign w:val="center"/>
          </w:tcPr>
          <w:p w14:paraId="0E041F73">
            <w:pPr>
              <w:widowControl/>
              <w:jc w:val="center"/>
              <w:textAlignment w:val="center"/>
              <w:rPr>
                <w:sz w:val="18"/>
                <w:szCs w:val="18"/>
              </w:rPr>
            </w:pPr>
            <w:r>
              <w:rPr>
                <w:kern w:val="0"/>
                <w:sz w:val="18"/>
                <w:szCs w:val="18"/>
                <w:lang w:bidi="ar"/>
              </w:rPr>
              <w:t>0.14</w:t>
            </w:r>
          </w:p>
        </w:tc>
        <w:tc>
          <w:tcPr>
            <w:tcW w:w="218" w:type="pct"/>
            <w:noWrap w:val="0"/>
            <w:vAlign w:val="center"/>
          </w:tcPr>
          <w:p w14:paraId="49D3A10E">
            <w:pPr>
              <w:widowControl/>
              <w:jc w:val="center"/>
              <w:textAlignment w:val="center"/>
              <w:rPr>
                <w:sz w:val="18"/>
                <w:szCs w:val="18"/>
              </w:rPr>
            </w:pPr>
            <w:r>
              <w:rPr>
                <w:kern w:val="0"/>
                <w:sz w:val="18"/>
                <w:szCs w:val="18"/>
                <w:lang w:bidi="ar"/>
              </w:rPr>
              <w:t>10L</w:t>
            </w:r>
          </w:p>
        </w:tc>
        <w:tc>
          <w:tcPr>
            <w:tcW w:w="333" w:type="pct"/>
            <w:noWrap w:val="0"/>
            <w:vAlign w:val="center"/>
          </w:tcPr>
          <w:p w14:paraId="68D59E68">
            <w:pPr>
              <w:widowControl/>
              <w:jc w:val="center"/>
              <w:textAlignment w:val="center"/>
              <w:rPr>
                <w:sz w:val="18"/>
                <w:szCs w:val="18"/>
              </w:rPr>
            </w:pPr>
            <w:r>
              <w:rPr>
                <w:kern w:val="0"/>
                <w:sz w:val="18"/>
                <w:szCs w:val="18"/>
                <w:lang w:bidi="ar"/>
              </w:rPr>
              <w:t>2</w:t>
            </w:r>
          </w:p>
        </w:tc>
        <w:tc>
          <w:tcPr>
            <w:tcW w:w="359" w:type="pct"/>
            <w:noWrap w:val="0"/>
            <w:vAlign w:val="center"/>
          </w:tcPr>
          <w:p w14:paraId="7FF040E3">
            <w:pPr>
              <w:widowControl/>
              <w:jc w:val="center"/>
              <w:textAlignment w:val="center"/>
              <w:rPr>
                <w:sz w:val="18"/>
                <w:szCs w:val="18"/>
              </w:rPr>
            </w:pPr>
            <w:r>
              <w:rPr>
                <w:kern w:val="0"/>
                <w:sz w:val="18"/>
                <w:szCs w:val="18"/>
                <w:lang w:bidi="ar"/>
              </w:rPr>
              <w:t>70</w:t>
            </w:r>
          </w:p>
        </w:tc>
        <w:tc>
          <w:tcPr>
            <w:tcW w:w="355" w:type="pct"/>
            <w:noWrap w:val="0"/>
            <w:vAlign w:val="center"/>
          </w:tcPr>
          <w:p w14:paraId="71D9E5F1">
            <w:pPr>
              <w:widowControl/>
              <w:jc w:val="center"/>
              <w:textAlignment w:val="center"/>
              <w:rPr>
                <w:sz w:val="18"/>
                <w:szCs w:val="18"/>
              </w:rPr>
            </w:pPr>
            <w:r>
              <w:rPr>
                <w:kern w:val="0"/>
                <w:sz w:val="18"/>
                <w:szCs w:val="18"/>
                <w:lang w:bidi="ar"/>
              </w:rPr>
              <w:t>0.126</w:t>
            </w:r>
          </w:p>
        </w:tc>
        <w:tc>
          <w:tcPr>
            <w:tcW w:w="284" w:type="pct"/>
            <w:noWrap w:val="0"/>
            <w:vAlign w:val="center"/>
          </w:tcPr>
          <w:p w14:paraId="7A0B3879">
            <w:pPr>
              <w:widowControl/>
              <w:jc w:val="center"/>
              <w:textAlignment w:val="center"/>
              <w:rPr>
                <w:sz w:val="18"/>
                <w:szCs w:val="18"/>
              </w:rPr>
            </w:pPr>
            <w:r>
              <w:rPr>
                <w:kern w:val="0"/>
                <w:sz w:val="18"/>
                <w:szCs w:val="18"/>
                <w:lang w:bidi="ar"/>
              </w:rPr>
              <w:t>4.61</w:t>
            </w:r>
          </w:p>
        </w:tc>
        <w:tc>
          <w:tcPr>
            <w:tcW w:w="359" w:type="pct"/>
            <w:noWrap w:val="0"/>
            <w:vAlign w:val="center"/>
          </w:tcPr>
          <w:p w14:paraId="49398224">
            <w:pPr>
              <w:widowControl/>
              <w:jc w:val="center"/>
              <w:textAlignment w:val="center"/>
              <w:rPr>
                <w:sz w:val="18"/>
                <w:szCs w:val="18"/>
              </w:rPr>
            </w:pPr>
            <w:r>
              <w:rPr>
                <w:kern w:val="0"/>
                <w:sz w:val="18"/>
                <w:szCs w:val="18"/>
                <w:lang w:bidi="ar"/>
              </w:rPr>
              <w:t>8.26</w:t>
            </w:r>
          </w:p>
        </w:tc>
        <w:tc>
          <w:tcPr>
            <w:tcW w:w="315" w:type="pct"/>
            <w:noWrap w:val="0"/>
            <w:vAlign w:val="center"/>
          </w:tcPr>
          <w:p w14:paraId="4CDCB392">
            <w:pPr>
              <w:widowControl/>
              <w:jc w:val="center"/>
              <w:textAlignment w:val="center"/>
              <w:rPr>
                <w:sz w:val="18"/>
                <w:szCs w:val="18"/>
              </w:rPr>
            </w:pPr>
            <w:r>
              <w:rPr>
                <w:kern w:val="0"/>
                <w:sz w:val="18"/>
                <w:szCs w:val="18"/>
                <w:lang w:bidi="ar"/>
              </w:rPr>
              <w:t>43.3</w:t>
            </w:r>
          </w:p>
        </w:tc>
        <w:tc>
          <w:tcPr>
            <w:tcW w:w="302" w:type="pct"/>
            <w:noWrap w:val="0"/>
            <w:vAlign w:val="center"/>
          </w:tcPr>
          <w:p w14:paraId="652C0477">
            <w:pPr>
              <w:widowControl/>
              <w:jc w:val="center"/>
              <w:textAlignment w:val="center"/>
              <w:rPr>
                <w:sz w:val="18"/>
                <w:szCs w:val="18"/>
              </w:rPr>
            </w:pPr>
            <w:r>
              <w:rPr>
                <w:kern w:val="0"/>
                <w:sz w:val="18"/>
                <w:szCs w:val="18"/>
                <w:lang w:bidi="ar"/>
              </w:rPr>
              <w:t>3.83</w:t>
            </w:r>
          </w:p>
        </w:tc>
        <w:tc>
          <w:tcPr>
            <w:tcW w:w="276" w:type="pct"/>
            <w:noWrap w:val="0"/>
            <w:vAlign w:val="center"/>
          </w:tcPr>
          <w:p w14:paraId="314F91CB">
            <w:pPr>
              <w:widowControl/>
              <w:jc w:val="center"/>
              <w:textAlignment w:val="center"/>
              <w:rPr>
                <w:sz w:val="18"/>
                <w:szCs w:val="18"/>
              </w:rPr>
            </w:pPr>
            <w:r>
              <w:rPr>
                <w:kern w:val="0"/>
                <w:sz w:val="18"/>
                <w:szCs w:val="18"/>
                <w:lang w:bidi="ar"/>
              </w:rPr>
              <w:t>17</w:t>
            </w:r>
          </w:p>
        </w:tc>
        <w:tc>
          <w:tcPr>
            <w:tcW w:w="267" w:type="pct"/>
            <w:noWrap w:val="0"/>
            <w:vAlign w:val="center"/>
          </w:tcPr>
          <w:p w14:paraId="2890FD85">
            <w:pPr>
              <w:widowControl/>
              <w:jc w:val="center"/>
              <w:textAlignment w:val="center"/>
              <w:rPr>
                <w:sz w:val="18"/>
                <w:szCs w:val="18"/>
              </w:rPr>
            </w:pPr>
            <w:r>
              <w:rPr>
                <w:kern w:val="0"/>
                <w:sz w:val="18"/>
                <w:szCs w:val="18"/>
                <w:lang w:bidi="ar"/>
              </w:rPr>
              <w:t>221</w:t>
            </w:r>
          </w:p>
        </w:tc>
        <w:tc>
          <w:tcPr>
            <w:tcW w:w="293" w:type="pct"/>
            <w:noWrap w:val="0"/>
            <w:vAlign w:val="center"/>
          </w:tcPr>
          <w:p w14:paraId="006EBF2C">
            <w:pPr>
              <w:widowControl/>
              <w:jc w:val="center"/>
              <w:textAlignment w:val="center"/>
              <w:rPr>
                <w:sz w:val="18"/>
                <w:szCs w:val="18"/>
              </w:rPr>
            </w:pPr>
            <w:r>
              <w:rPr>
                <w:kern w:val="0"/>
                <w:sz w:val="18"/>
                <w:szCs w:val="18"/>
                <w:lang w:bidi="ar"/>
              </w:rPr>
              <w:t>3.41</w:t>
            </w:r>
          </w:p>
        </w:tc>
        <w:tc>
          <w:tcPr>
            <w:tcW w:w="302" w:type="pct"/>
            <w:noWrap w:val="0"/>
            <w:vAlign w:val="center"/>
          </w:tcPr>
          <w:p w14:paraId="3E7302B5">
            <w:pPr>
              <w:widowControl/>
              <w:jc w:val="center"/>
              <w:textAlignment w:val="center"/>
              <w:rPr>
                <w:sz w:val="18"/>
                <w:szCs w:val="18"/>
              </w:rPr>
            </w:pPr>
            <w:r>
              <w:rPr>
                <w:kern w:val="0"/>
                <w:sz w:val="18"/>
                <w:szCs w:val="18"/>
                <w:lang w:bidi="ar"/>
              </w:rPr>
              <w:t>21.6</w:t>
            </w:r>
          </w:p>
        </w:tc>
        <w:tc>
          <w:tcPr>
            <w:tcW w:w="303" w:type="pct"/>
            <w:noWrap/>
            <w:vAlign w:val="center"/>
          </w:tcPr>
          <w:p w14:paraId="02CF6647">
            <w:pPr>
              <w:jc w:val="center"/>
              <w:rPr>
                <w:sz w:val="18"/>
                <w:szCs w:val="18"/>
              </w:rPr>
            </w:pPr>
            <w:r>
              <w:rPr>
                <w:sz w:val="18"/>
                <w:szCs w:val="18"/>
              </w:rPr>
              <w:t>/</w:t>
            </w:r>
          </w:p>
        </w:tc>
      </w:tr>
      <w:tr w14:paraId="75E8D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149" w:type="pct"/>
            <w:vMerge w:val="continue"/>
            <w:shd w:val="clear" w:color="auto" w:fill="auto"/>
            <w:noWrap w:val="0"/>
            <w:vAlign w:val="center"/>
          </w:tcPr>
          <w:p w14:paraId="7AA5913C">
            <w:pPr>
              <w:jc w:val="center"/>
              <w:rPr>
                <w:sz w:val="18"/>
                <w:szCs w:val="18"/>
              </w:rPr>
            </w:pPr>
          </w:p>
        </w:tc>
        <w:tc>
          <w:tcPr>
            <w:tcW w:w="382" w:type="pct"/>
            <w:shd w:val="clear" w:color="auto" w:fill="D7D7D7"/>
            <w:noWrap w:val="0"/>
            <w:vAlign w:val="center"/>
          </w:tcPr>
          <w:p w14:paraId="319D41A1">
            <w:pPr>
              <w:widowControl/>
              <w:jc w:val="center"/>
              <w:textAlignment w:val="center"/>
              <w:rPr>
                <w:sz w:val="18"/>
                <w:szCs w:val="18"/>
              </w:rPr>
            </w:pPr>
            <w:r>
              <w:rPr>
                <w:kern w:val="0"/>
                <w:sz w:val="18"/>
                <w:szCs w:val="18"/>
                <w:lang w:bidi="ar"/>
              </w:rPr>
              <w:t>2021/3/30</w:t>
            </w:r>
          </w:p>
        </w:tc>
        <w:tc>
          <w:tcPr>
            <w:tcW w:w="277" w:type="pct"/>
            <w:noWrap w:val="0"/>
            <w:vAlign w:val="center"/>
          </w:tcPr>
          <w:p w14:paraId="13C2E545">
            <w:pPr>
              <w:widowControl/>
              <w:jc w:val="center"/>
              <w:textAlignment w:val="center"/>
              <w:rPr>
                <w:sz w:val="18"/>
                <w:szCs w:val="18"/>
              </w:rPr>
            </w:pPr>
            <w:r>
              <w:rPr>
                <w:kern w:val="0"/>
                <w:sz w:val="18"/>
                <w:szCs w:val="18"/>
                <w:lang w:bidi="ar"/>
              </w:rPr>
              <w:t>295</w:t>
            </w:r>
          </w:p>
        </w:tc>
        <w:tc>
          <w:tcPr>
            <w:tcW w:w="218" w:type="pct"/>
            <w:noWrap w:val="0"/>
            <w:vAlign w:val="center"/>
          </w:tcPr>
          <w:p w14:paraId="7460FC58">
            <w:pPr>
              <w:widowControl/>
              <w:jc w:val="center"/>
              <w:textAlignment w:val="center"/>
              <w:rPr>
                <w:sz w:val="18"/>
                <w:szCs w:val="18"/>
              </w:rPr>
            </w:pPr>
            <w:r>
              <w:rPr>
                <w:kern w:val="0"/>
                <w:sz w:val="18"/>
                <w:szCs w:val="18"/>
                <w:lang w:bidi="ar"/>
              </w:rPr>
              <w:t>0.17</w:t>
            </w:r>
          </w:p>
        </w:tc>
        <w:tc>
          <w:tcPr>
            <w:tcW w:w="218" w:type="pct"/>
            <w:noWrap w:val="0"/>
            <w:vAlign w:val="center"/>
          </w:tcPr>
          <w:p w14:paraId="4B36F4DC">
            <w:pPr>
              <w:widowControl/>
              <w:jc w:val="center"/>
              <w:textAlignment w:val="center"/>
              <w:rPr>
                <w:sz w:val="18"/>
                <w:szCs w:val="18"/>
              </w:rPr>
            </w:pPr>
            <w:r>
              <w:rPr>
                <w:kern w:val="0"/>
                <w:sz w:val="18"/>
                <w:szCs w:val="18"/>
                <w:lang w:bidi="ar"/>
              </w:rPr>
              <w:t>10L</w:t>
            </w:r>
          </w:p>
        </w:tc>
        <w:tc>
          <w:tcPr>
            <w:tcW w:w="333" w:type="pct"/>
            <w:noWrap w:val="0"/>
            <w:vAlign w:val="center"/>
          </w:tcPr>
          <w:p w14:paraId="384A1A51">
            <w:pPr>
              <w:widowControl/>
              <w:jc w:val="center"/>
              <w:textAlignment w:val="center"/>
              <w:rPr>
                <w:sz w:val="18"/>
                <w:szCs w:val="18"/>
              </w:rPr>
            </w:pPr>
            <w:r>
              <w:rPr>
                <w:kern w:val="0"/>
                <w:sz w:val="18"/>
                <w:szCs w:val="18"/>
                <w:lang w:bidi="ar"/>
              </w:rPr>
              <w:t>2</w:t>
            </w:r>
          </w:p>
        </w:tc>
        <w:tc>
          <w:tcPr>
            <w:tcW w:w="359" w:type="pct"/>
            <w:noWrap w:val="0"/>
            <w:vAlign w:val="center"/>
          </w:tcPr>
          <w:p w14:paraId="46257D50">
            <w:pPr>
              <w:widowControl/>
              <w:jc w:val="center"/>
              <w:textAlignment w:val="center"/>
              <w:rPr>
                <w:sz w:val="18"/>
                <w:szCs w:val="18"/>
              </w:rPr>
            </w:pPr>
            <w:r>
              <w:rPr>
                <w:kern w:val="0"/>
                <w:sz w:val="18"/>
                <w:szCs w:val="18"/>
                <w:lang w:bidi="ar"/>
              </w:rPr>
              <w:t>80</w:t>
            </w:r>
          </w:p>
        </w:tc>
        <w:tc>
          <w:tcPr>
            <w:tcW w:w="355" w:type="pct"/>
            <w:noWrap w:val="0"/>
            <w:vAlign w:val="center"/>
          </w:tcPr>
          <w:p w14:paraId="3053E38B">
            <w:pPr>
              <w:widowControl/>
              <w:jc w:val="center"/>
              <w:textAlignment w:val="center"/>
              <w:rPr>
                <w:sz w:val="18"/>
                <w:szCs w:val="18"/>
              </w:rPr>
            </w:pPr>
            <w:r>
              <w:rPr>
                <w:kern w:val="0"/>
                <w:sz w:val="18"/>
                <w:szCs w:val="18"/>
                <w:lang w:bidi="ar"/>
              </w:rPr>
              <w:t>0.125</w:t>
            </w:r>
          </w:p>
        </w:tc>
        <w:tc>
          <w:tcPr>
            <w:tcW w:w="284" w:type="pct"/>
            <w:noWrap w:val="0"/>
            <w:vAlign w:val="center"/>
          </w:tcPr>
          <w:p w14:paraId="384C0774">
            <w:pPr>
              <w:widowControl/>
              <w:jc w:val="center"/>
              <w:textAlignment w:val="center"/>
              <w:rPr>
                <w:sz w:val="18"/>
                <w:szCs w:val="18"/>
              </w:rPr>
            </w:pPr>
            <w:r>
              <w:rPr>
                <w:kern w:val="0"/>
                <w:sz w:val="18"/>
                <w:szCs w:val="18"/>
                <w:lang w:bidi="ar"/>
              </w:rPr>
              <w:t>4.62</w:t>
            </w:r>
          </w:p>
        </w:tc>
        <w:tc>
          <w:tcPr>
            <w:tcW w:w="359" w:type="pct"/>
            <w:noWrap w:val="0"/>
            <w:vAlign w:val="center"/>
          </w:tcPr>
          <w:p w14:paraId="01257984">
            <w:pPr>
              <w:widowControl/>
              <w:jc w:val="center"/>
              <w:textAlignment w:val="center"/>
              <w:rPr>
                <w:sz w:val="18"/>
                <w:szCs w:val="18"/>
              </w:rPr>
            </w:pPr>
            <w:r>
              <w:rPr>
                <w:kern w:val="0"/>
                <w:sz w:val="18"/>
                <w:szCs w:val="18"/>
                <w:lang w:bidi="ar"/>
              </w:rPr>
              <w:t>8.33</w:t>
            </w:r>
          </w:p>
        </w:tc>
        <w:tc>
          <w:tcPr>
            <w:tcW w:w="315" w:type="pct"/>
            <w:noWrap w:val="0"/>
            <w:vAlign w:val="center"/>
          </w:tcPr>
          <w:p w14:paraId="422F5750">
            <w:pPr>
              <w:widowControl/>
              <w:jc w:val="center"/>
              <w:textAlignment w:val="center"/>
              <w:rPr>
                <w:sz w:val="18"/>
                <w:szCs w:val="18"/>
              </w:rPr>
            </w:pPr>
            <w:r>
              <w:rPr>
                <w:kern w:val="0"/>
                <w:sz w:val="18"/>
                <w:szCs w:val="18"/>
                <w:lang w:bidi="ar"/>
              </w:rPr>
              <w:t>42.4</w:t>
            </w:r>
          </w:p>
        </w:tc>
        <w:tc>
          <w:tcPr>
            <w:tcW w:w="302" w:type="pct"/>
            <w:noWrap w:val="0"/>
            <w:vAlign w:val="center"/>
          </w:tcPr>
          <w:p w14:paraId="1C9E98BB">
            <w:pPr>
              <w:widowControl/>
              <w:jc w:val="center"/>
              <w:textAlignment w:val="center"/>
              <w:rPr>
                <w:sz w:val="18"/>
                <w:szCs w:val="18"/>
              </w:rPr>
            </w:pPr>
            <w:r>
              <w:rPr>
                <w:kern w:val="0"/>
                <w:sz w:val="18"/>
                <w:szCs w:val="18"/>
                <w:lang w:bidi="ar"/>
              </w:rPr>
              <w:t>3.96</w:t>
            </w:r>
          </w:p>
        </w:tc>
        <w:tc>
          <w:tcPr>
            <w:tcW w:w="276" w:type="pct"/>
            <w:noWrap w:val="0"/>
            <w:vAlign w:val="center"/>
          </w:tcPr>
          <w:p w14:paraId="51591AC8">
            <w:pPr>
              <w:widowControl/>
              <w:jc w:val="center"/>
              <w:textAlignment w:val="center"/>
              <w:rPr>
                <w:sz w:val="18"/>
                <w:szCs w:val="18"/>
              </w:rPr>
            </w:pPr>
            <w:r>
              <w:rPr>
                <w:kern w:val="0"/>
                <w:sz w:val="18"/>
                <w:szCs w:val="18"/>
                <w:lang w:bidi="ar"/>
              </w:rPr>
              <w:t>16</w:t>
            </w:r>
          </w:p>
        </w:tc>
        <w:tc>
          <w:tcPr>
            <w:tcW w:w="267" w:type="pct"/>
            <w:noWrap w:val="0"/>
            <w:vAlign w:val="center"/>
          </w:tcPr>
          <w:p w14:paraId="3052C757">
            <w:pPr>
              <w:widowControl/>
              <w:jc w:val="center"/>
              <w:textAlignment w:val="center"/>
              <w:rPr>
                <w:sz w:val="18"/>
                <w:szCs w:val="18"/>
              </w:rPr>
            </w:pPr>
            <w:r>
              <w:rPr>
                <w:kern w:val="0"/>
                <w:sz w:val="18"/>
                <w:szCs w:val="18"/>
                <w:lang w:bidi="ar"/>
              </w:rPr>
              <w:t>230</w:t>
            </w:r>
          </w:p>
        </w:tc>
        <w:tc>
          <w:tcPr>
            <w:tcW w:w="293" w:type="pct"/>
            <w:noWrap w:val="0"/>
            <w:vAlign w:val="center"/>
          </w:tcPr>
          <w:p w14:paraId="382C2121">
            <w:pPr>
              <w:widowControl/>
              <w:jc w:val="center"/>
              <w:textAlignment w:val="center"/>
              <w:rPr>
                <w:sz w:val="18"/>
                <w:szCs w:val="18"/>
              </w:rPr>
            </w:pPr>
            <w:r>
              <w:rPr>
                <w:kern w:val="0"/>
                <w:sz w:val="18"/>
                <w:szCs w:val="18"/>
                <w:lang w:bidi="ar"/>
              </w:rPr>
              <w:t>3.42</w:t>
            </w:r>
          </w:p>
        </w:tc>
        <w:tc>
          <w:tcPr>
            <w:tcW w:w="302" w:type="pct"/>
            <w:noWrap w:val="0"/>
            <w:vAlign w:val="center"/>
          </w:tcPr>
          <w:p w14:paraId="7DBF7D05">
            <w:pPr>
              <w:widowControl/>
              <w:jc w:val="center"/>
              <w:textAlignment w:val="center"/>
              <w:rPr>
                <w:sz w:val="18"/>
                <w:szCs w:val="18"/>
              </w:rPr>
            </w:pPr>
            <w:r>
              <w:rPr>
                <w:kern w:val="0"/>
                <w:sz w:val="18"/>
                <w:szCs w:val="18"/>
                <w:lang w:bidi="ar"/>
              </w:rPr>
              <w:t>21.8</w:t>
            </w:r>
          </w:p>
        </w:tc>
        <w:tc>
          <w:tcPr>
            <w:tcW w:w="303" w:type="pct"/>
            <w:noWrap/>
            <w:vAlign w:val="center"/>
          </w:tcPr>
          <w:p w14:paraId="03FC9927">
            <w:pPr>
              <w:jc w:val="center"/>
              <w:rPr>
                <w:sz w:val="18"/>
                <w:szCs w:val="18"/>
              </w:rPr>
            </w:pPr>
            <w:r>
              <w:rPr>
                <w:sz w:val="18"/>
                <w:szCs w:val="18"/>
              </w:rPr>
              <w:t>/</w:t>
            </w:r>
          </w:p>
        </w:tc>
      </w:tr>
      <w:tr w14:paraId="27384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149" w:type="pct"/>
            <w:vMerge w:val="continue"/>
            <w:shd w:val="clear" w:color="auto" w:fill="auto"/>
            <w:noWrap w:val="0"/>
            <w:vAlign w:val="center"/>
          </w:tcPr>
          <w:p w14:paraId="39642036">
            <w:pPr>
              <w:jc w:val="center"/>
              <w:rPr>
                <w:sz w:val="18"/>
                <w:szCs w:val="18"/>
              </w:rPr>
            </w:pPr>
          </w:p>
        </w:tc>
        <w:tc>
          <w:tcPr>
            <w:tcW w:w="382" w:type="pct"/>
            <w:shd w:val="clear" w:color="auto" w:fill="D7D7D7"/>
            <w:noWrap w:val="0"/>
            <w:vAlign w:val="center"/>
          </w:tcPr>
          <w:p w14:paraId="47E02922">
            <w:pPr>
              <w:widowControl/>
              <w:jc w:val="center"/>
              <w:textAlignment w:val="center"/>
              <w:rPr>
                <w:sz w:val="18"/>
                <w:szCs w:val="18"/>
              </w:rPr>
            </w:pPr>
            <w:r>
              <w:rPr>
                <w:kern w:val="0"/>
                <w:sz w:val="18"/>
                <w:szCs w:val="18"/>
                <w:lang w:bidi="ar"/>
              </w:rPr>
              <w:t>最大值</w:t>
            </w:r>
          </w:p>
        </w:tc>
        <w:tc>
          <w:tcPr>
            <w:tcW w:w="277" w:type="pct"/>
            <w:noWrap w:val="0"/>
            <w:vAlign w:val="center"/>
          </w:tcPr>
          <w:p w14:paraId="2C94B396">
            <w:pPr>
              <w:widowControl/>
              <w:jc w:val="center"/>
              <w:textAlignment w:val="center"/>
              <w:rPr>
                <w:sz w:val="18"/>
                <w:szCs w:val="18"/>
              </w:rPr>
            </w:pPr>
            <w:r>
              <w:rPr>
                <w:kern w:val="0"/>
                <w:sz w:val="18"/>
                <w:szCs w:val="18"/>
                <w:lang w:bidi="ar"/>
              </w:rPr>
              <w:t>301</w:t>
            </w:r>
          </w:p>
        </w:tc>
        <w:tc>
          <w:tcPr>
            <w:tcW w:w="218" w:type="pct"/>
            <w:noWrap w:val="0"/>
            <w:vAlign w:val="center"/>
          </w:tcPr>
          <w:p w14:paraId="37AE5814">
            <w:pPr>
              <w:widowControl/>
              <w:jc w:val="center"/>
              <w:textAlignment w:val="center"/>
              <w:rPr>
                <w:sz w:val="18"/>
                <w:szCs w:val="18"/>
              </w:rPr>
            </w:pPr>
            <w:r>
              <w:rPr>
                <w:kern w:val="0"/>
                <w:sz w:val="18"/>
                <w:szCs w:val="18"/>
                <w:lang w:bidi="ar"/>
              </w:rPr>
              <w:t>0.17</w:t>
            </w:r>
          </w:p>
        </w:tc>
        <w:tc>
          <w:tcPr>
            <w:tcW w:w="218" w:type="pct"/>
            <w:noWrap w:val="0"/>
            <w:vAlign w:val="center"/>
          </w:tcPr>
          <w:p w14:paraId="443AC7D2">
            <w:pPr>
              <w:widowControl/>
              <w:jc w:val="center"/>
              <w:textAlignment w:val="center"/>
              <w:rPr>
                <w:sz w:val="18"/>
                <w:szCs w:val="18"/>
              </w:rPr>
            </w:pPr>
            <w:r>
              <w:rPr>
                <w:kern w:val="0"/>
                <w:sz w:val="18"/>
                <w:szCs w:val="18"/>
                <w:lang w:bidi="ar"/>
              </w:rPr>
              <w:t>0</w:t>
            </w:r>
          </w:p>
        </w:tc>
        <w:tc>
          <w:tcPr>
            <w:tcW w:w="333" w:type="pct"/>
            <w:noWrap w:val="0"/>
            <w:vAlign w:val="center"/>
          </w:tcPr>
          <w:p w14:paraId="00BA082A">
            <w:pPr>
              <w:widowControl/>
              <w:jc w:val="center"/>
              <w:textAlignment w:val="center"/>
              <w:rPr>
                <w:sz w:val="18"/>
                <w:szCs w:val="18"/>
              </w:rPr>
            </w:pPr>
            <w:r>
              <w:rPr>
                <w:kern w:val="0"/>
                <w:sz w:val="18"/>
                <w:szCs w:val="18"/>
                <w:lang w:bidi="ar"/>
              </w:rPr>
              <w:t>2</w:t>
            </w:r>
          </w:p>
        </w:tc>
        <w:tc>
          <w:tcPr>
            <w:tcW w:w="359" w:type="pct"/>
            <w:noWrap w:val="0"/>
            <w:vAlign w:val="center"/>
          </w:tcPr>
          <w:p w14:paraId="4D60118F">
            <w:pPr>
              <w:widowControl/>
              <w:jc w:val="center"/>
              <w:textAlignment w:val="center"/>
              <w:rPr>
                <w:sz w:val="18"/>
                <w:szCs w:val="18"/>
              </w:rPr>
            </w:pPr>
            <w:r>
              <w:rPr>
                <w:kern w:val="0"/>
                <w:sz w:val="18"/>
                <w:szCs w:val="18"/>
                <w:lang w:bidi="ar"/>
              </w:rPr>
              <w:t>90</w:t>
            </w:r>
          </w:p>
        </w:tc>
        <w:tc>
          <w:tcPr>
            <w:tcW w:w="355" w:type="pct"/>
            <w:noWrap w:val="0"/>
            <w:vAlign w:val="center"/>
          </w:tcPr>
          <w:p w14:paraId="0A91B850">
            <w:pPr>
              <w:widowControl/>
              <w:jc w:val="center"/>
              <w:textAlignment w:val="center"/>
              <w:rPr>
                <w:sz w:val="18"/>
                <w:szCs w:val="18"/>
              </w:rPr>
            </w:pPr>
            <w:r>
              <w:rPr>
                <w:kern w:val="0"/>
                <w:sz w:val="18"/>
                <w:szCs w:val="18"/>
                <w:lang w:bidi="ar"/>
              </w:rPr>
              <w:t>0.126</w:t>
            </w:r>
          </w:p>
        </w:tc>
        <w:tc>
          <w:tcPr>
            <w:tcW w:w="284" w:type="pct"/>
            <w:noWrap w:val="0"/>
            <w:vAlign w:val="center"/>
          </w:tcPr>
          <w:p w14:paraId="6C2E8D7C">
            <w:pPr>
              <w:widowControl/>
              <w:jc w:val="center"/>
              <w:textAlignment w:val="center"/>
              <w:rPr>
                <w:sz w:val="18"/>
                <w:szCs w:val="18"/>
              </w:rPr>
            </w:pPr>
            <w:r>
              <w:rPr>
                <w:kern w:val="0"/>
                <w:sz w:val="18"/>
                <w:szCs w:val="18"/>
                <w:lang w:bidi="ar"/>
              </w:rPr>
              <w:t>4.66</w:t>
            </w:r>
          </w:p>
        </w:tc>
        <w:tc>
          <w:tcPr>
            <w:tcW w:w="359" w:type="pct"/>
            <w:noWrap w:val="0"/>
            <w:vAlign w:val="center"/>
          </w:tcPr>
          <w:p w14:paraId="4E922C85">
            <w:pPr>
              <w:widowControl/>
              <w:jc w:val="center"/>
              <w:textAlignment w:val="center"/>
              <w:rPr>
                <w:sz w:val="18"/>
                <w:szCs w:val="18"/>
              </w:rPr>
            </w:pPr>
            <w:r>
              <w:rPr>
                <w:kern w:val="0"/>
                <w:sz w:val="18"/>
                <w:szCs w:val="18"/>
                <w:lang w:bidi="ar"/>
              </w:rPr>
              <w:t>8.34</w:t>
            </w:r>
          </w:p>
        </w:tc>
        <w:tc>
          <w:tcPr>
            <w:tcW w:w="315" w:type="pct"/>
            <w:noWrap w:val="0"/>
            <w:vAlign w:val="center"/>
          </w:tcPr>
          <w:p w14:paraId="6785D168">
            <w:pPr>
              <w:widowControl/>
              <w:jc w:val="center"/>
              <w:textAlignment w:val="center"/>
              <w:rPr>
                <w:sz w:val="18"/>
                <w:szCs w:val="18"/>
              </w:rPr>
            </w:pPr>
            <w:r>
              <w:rPr>
                <w:kern w:val="0"/>
                <w:sz w:val="18"/>
                <w:szCs w:val="18"/>
                <w:lang w:bidi="ar"/>
              </w:rPr>
              <w:t>44</w:t>
            </w:r>
          </w:p>
        </w:tc>
        <w:tc>
          <w:tcPr>
            <w:tcW w:w="302" w:type="pct"/>
            <w:noWrap w:val="0"/>
            <w:vAlign w:val="center"/>
          </w:tcPr>
          <w:p w14:paraId="347A471F">
            <w:pPr>
              <w:widowControl/>
              <w:jc w:val="center"/>
              <w:textAlignment w:val="center"/>
              <w:rPr>
                <w:sz w:val="18"/>
                <w:szCs w:val="18"/>
              </w:rPr>
            </w:pPr>
            <w:r>
              <w:rPr>
                <w:kern w:val="0"/>
                <w:sz w:val="18"/>
                <w:szCs w:val="18"/>
                <w:lang w:bidi="ar"/>
              </w:rPr>
              <w:t>3.96</w:t>
            </w:r>
          </w:p>
        </w:tc>
        <w:tc>
          <w:tcPr>
            <w:tcW w:w="276" w:type="pct"/>
            <w:noWrap w:val="0"/>
            <w:vAlign w:val="center"/>
          </w:tcPr>
          <w:p w14:paraId="1289C55A">
            <w:pPr>
              <w:widowControl/>
              <w:jc w:val="center"/>
              <w:textAlignment w:val="center"/>
              <w:rPr>
                <w:sz w:val="18"/>
                <w:szCs w:val="18"/>
              </w:rPr>
            </w:pPr>
            <w:r>
              <w:rPr>
                <w:kern w:val="0"/>
                <w:sz w:val="18"/>
                <w:szCs w:val="18"/>
                <w:lang w:bidi="ar"/>
              </w:rPr>
              <w:t>18</w:t>
            </w:r>
          </w:p>
        </w:tc>
        <w:tc>
          <w:tcPr>
            <w:tcW w:w="267" w:type="pct"/>
            <w:noWrap w:val="0"/>
            <w:vAlign w:val="center"/>
          </w:tcPr>
          <w:p w14:paraId="4004D796">
            <w:pPr>
              <w:widowControl/>
              <w:jc w:val="center"/>
              <w:textAlignment w:val="center"/>
              <w:rPr>
                <w:sz w:val="18"/>
                <w:szCs w:val="18"/>
              </w:rPr>
            </w:pPr>
            <w:r>
              <w:rPr>
                <w:kern w:val="0"/>
                <w:sz w:val="18"/>
                <w:szCs w:val="18"/>
                <w:lang w:bidi="ar"/>
              </w:rPr>
              <w:t>230</w:t>
            </w:r>
          </w:p>
        </w:tc>
        <w:tc>
          <w:tcPr>
            <w:tcW w:w="293" w:type="pct"/>
            <w:noWrap w:val="0"/>
            <w:vAlign w:val="center"/>
          </w:tcPr>
          <w:p w14:paraId="2B49B0D1">
            <w:pPr>
              <w:widowControl/>
              <w:jc w:val="center"/>
              <w:textAlignment w:val="center"/>
              <w:rPr>
                <w:sz w:val="18"/>
                <w:szCs w:val="18"/>
              </w:rPr>
            </w:pPr>
            <w:r>
              <w:rPr>
                <w:kern w:val="0"/>
                <w:sz w:val="18"/>
                <w:szCs w:val="18"/>
                <w:lang w:bidi="ar"/>
              </w:rPr>
              <w:t>3.42</w:t>
            </w:r>
          </w:p>
        </w:tc>
        <w:tc>
          <w:tcPr>
            <w:tcW w:w="302" w:type="pct"/>
            <w:noWrap w:val="0"/>
            <w:vAlign w:val="center"/>
          </w:tcPr>
          <w:p w14:paraId="147860CA">
            <w:pPr>
              <w:widowControl/>
              <w:jc w:val="center"/>
              <w:textAlignment w:val="center"/>
              <w:rPr>
                <w:sz w:val="18"/>
                <w:szCs w:val="18"/>
              </w:rPr>
            </w:pPr>
            <w:r>
              <w:rPr>
                <w:kern w:val="0"/>
                <w:sz w:val="18"/>
                <w:szCs w:val="18"/>
                <w:lang w:bidi="ar"/>
              </w:rPr>
              <w:t>21.8</w:t>
            </w:r>
          </w:p>
        </w:tc>
        <w:tc>
          <w:tcPr>
            <w:tcW w:w="303" w:type="pct"/>
            <w:noWrap/>
            <w:vAlign w:val="center"/>
          </w:tcPr>
          <w:p w14:paraId="12E6BD1F">
            <w:pPr>
              <w:jc w:val="center"/>
              <w:rPr>
                <w:sz w:val="18"/>
                <w:szCs w:val="18"/>
              </w:rPr>
            </w:pPr>
            <w:r>
              <w:rPr>
                <w:sz w:val="18"/>
                <w:szCs w:val="18"/>
              </w:rPr>
              <w:t>/</w:t>
            </w:r>
          </w:p>
        </w:tc>
      </w:tr>
      <w:tr w14:paraId="6DFDC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70E3CD63">
            <w:pPr>
              <w:jc w:val="center"/>
              <w:rPr>
                <w:sz w:val="18"/>
                <w:szCs w:val="18"/>
              </w:rPr>
            </w:pPr>
          </w:p>
        </w:tc>
        <w:tc>
          <w:tcPr>
            <w:tcW w:w="382" w:type="pct"/>
            <w:shd w:val="clear" w:color="auto" w:fill="D7D7D7"/>
            <w:noWrap w:val="0"/>
            <w:vAlign w:val="center"/>
          </w:tcPr>
          <w:p w14:paraId="34B7D62D">
            <w:pPr>
              <w:widowControl/>
              <w:jc w:val="center"/>
              <w:textAlignment w:val="center"/>
              <w:rPr>
                <w:sz w:val="18"/>
                <w:szCs w:val="18"/>
              </w:rPr>
            </w:pPr>
            <w:r>
              <w:rPr>
                <w:kern w:val="0"/>
                <w:sz w:val="18"/>
                <w:szCs w:val="18"/>
                <w:lang w:bidi="ar"/>
              </w:rPr>
              <w:t>标准</w:t>
            </w:r>
          </w:p>
        </w:tc>
        <w:tc>
          <w:tcPr>
            <w:tcW w:w="277" w:type="pct"/>
            <w:noWrap/>
            <w:vAlign w:val="center"/>
          </w:tcPr>
          <w:p w14:paraId="218E09AB">
            <w:pPr>
              <w:widowControl/>
              <w:jc w:val="center"/>
              <w:textAlignment w:val="center"/>
              <w:rPr>
                <w:sz w:val="18"/>
                <w:szCs w:val="18"/>
              </w:rPr>
            </w:pPr>
            <w:r>
              <w:rPr>
                <w:kern w:val="0"/>
                <w:sz w:val="18"/>
                <w:szCs w:val="18"/>
                <w:lang w:bidi="ar"/>
              </w:rPr>
              <w:t>1000</w:t>
            </w:r>
          </w:p>
        </w:tc>
        <w:tc>
          <w:tcPr>
            <w:tcW w:w="218" w:type="pct"/>
            <w:noWrap/>
            <w:vAlign w:val="center"/>
          </w:tcPr>
          <w:p w14:paraId="2DD5A451">
            <w:pPr>
              <w:widowControl/>
              <w:jc w:val="center"/>
              <w:textAlignment w:val="center"/>
              <w:rPr>
                <w:sz w:val="18"/>
                <w:szCs w:val="18"/>
              </w:rPr>
            </w:pPr>
            <w:r>
              <w:rPr>
                <w:kern w:val="0"/>
                <w:sz w:val="18"/>
                <w:szCs w:val="18"/>
                <w:lang w:bidi="ar"/>
              </w:rPr>
              <w:t>3</w:t>
            </w:r>
          </w:p>
        </w:tc>
        <w:tc>
          <w:tcPr>
            <w:tcW w:w="218" w:type="pct"/>
            <w:noWrap/>
            <w:vAlign w:val="center"/>
          </w:tcPr>
          <w:p w14:paraId="1E89BF8C">
            <w:pPr>
              <w:widowControl/>
              <w:jc w:val="center"/>
              <w:textAlignment w:val="center"/>
              <w:rPr>
                <w:sz w:val="18"/>
                <w:szCs w:val="18"/>
              </w:rPr>
            </w:pPr>
            <w:r>
              <w:rPr>
                <w:kern w:val="0"/>
                <w:sz w:val="18"/>
                <w:szCs w:val="18"/>
                <w:lang w:bidi="ar"/>
              </w:rPr>
              <w:t>250</w:t>
            </w:r>
          </w:p>
        </w:tc>
        <w:tc>
          <w:tcPr>
            <w:tcW w:w="333" w:type="pct"/>
            <w:noWrap/>
            <w:vAlign w:val="center"/>
          </w:tcPr>
          <w:p w14:paraId="2E888C86">
            <w:pPr>
              <w:widowControl/>
              <w:jc w:val="center"/>
              <w:textAlignment w:val="center"/>
              <w:rPr>
                <w:sz w:val="18"/>
                <w:szCs w:val="18"/>
              </w:rPr>
            </w:pPr>
            <w:r>
              <w:rPr>
                <w:kern w:val="0"/>
                <w:sz w:val="18"/>
                <w:szCs w:val="18"/>
                <w:lang w:bidi="ar"/>
              </w:rPr>
              <w:t>3</w:t>
            </w:r>
          </w:p>
        </w:tc>
        <w:tc>
          <w:tcPr>
            <w:tcW w:w="359" w:type="pct"/>
            <w:noWrap/>
            <w:vAlign w:val="center"/>
          </w:tcPr>
          <w:p w14:paraId="06EFD59A">
            <w:pPr>
              <w:widowControl/>
              <w:jc w:val="center"/>
              <w:textAlignment w:val="center"/>
              <w:rPr>
                <w:sz w:val="18"/>
                <w:szCs w:val="18"/>
              </w:rPr>
            </w:pPr>
            <w:r>
              <w:rPr>
                <w:kern w:val="0"/>
                <w:sz w:val="18"/>
                <w:szCs w:val="18"/>
                <w:lang w:bidi="ar"/>
              </w:rPr>
              <w:t>100</w:t>
            </w:r>
          </w:p>
        </w:tc>
        <w:tc>
          <w:tcPr>
            <w:tcW w:w="355" w:type="pct"/>
            <w:noWrap/>
            <w:vAlign w:val="center"/>
          </w:tcPr>
          <w:p w14:paraId="29A48BB1">
            <w:pPr>
              <w:widowControl/>
              <w:jc w:val="center"/>
              <w:textAlignment w:val="center"/>
              <w:rPr>
                <w:sz w:val="18"/>
                <w:szCs w:val="18"/>
              </w:rPr>
            </w:pPr>
            <w:r>
              <w:rPr>
                <w:kern w:val="0"/>
                <w:sz w:val="18"/>
                <w:szCs w:val="18"/>
                <w:lang w:bidi="ar"/>
              </w:rPr>
              <w:t>1</w:t>
            </w:r>
          </w:p>
        </w:tc>
        <w:tc>
          <w:tcPr>
            <w:tcW w:w="284" w:type="pct"/>
            <w:noWrap/>
            <w:vAlign w:val="center"/>
          </w:tcPr>
          <w:p w14:paraId="6EDFFF0D">
            <w:pPr>
              <w:jc w:val="center"/>
              <w:rPr>
                <w:sz w:val="18"/>
                <w:szCs w:val="18"/>
              </w:rPr>
            </w:pPr>
            <w:r>
              <w:rPr>
                <w:sz w:val="18"/>
                <w:szCs w:val="18"/>
              </w:rPr>
              <w:t>/</w:t>
            </w:r>
          </w:p>
        </w:tc>
        <w:tc>
          <w:tcPr>
            <w:tcW w:w="359" w:type="pct"/>
            <w:noWrap/>
            <w:vAlign w:val="center"/>
          </w:tcPr>
          <w:p w14:paraId="265DA9DA">
            <w:pPr>
              <w:widowControl/>
              <w:jc w:val="center"/>
              <w:textAlignment w:val="center"/>
              <w:rPr>
                <w:sz w:val="18"/>
                <w:szCs w:val="18"/>
              </w:rPr>
            </w:pPr>
            <w:r>
              <w:rPr>
                <w:sz w:val="18"/>
                <w:szCs w:val="18"/>
              </w:rPr>
              <w:t>/</w:t>
            </w:r>
          </w:p>
        </w:tc>
        <w:tc>
          <w:tcPr>
            <w:tcW w:w="315" w:type="pct"/>
            <w:noWrap/>
            <w:vAlign w:val="center"/>
          </w:tcPr>
          <w:p w14:paraId="2F4B8787">
            <w:pPr>
              <w:jc w:val="center"/>
              <w:rPr>
                <w:sz w:val="18"/>
                <w:szCs w:val="18"/>
              </w:rPr>
            </w:pPr>
            <w:r>
              <w:rPr>
                <w:sz w:val="18"/>
                <w:szCs w:val="18"/>
              </w:rPr>
              <w:t>/</w:t>
            </w:r>
          </w:p>
        </w:tc>
        <w:tc>
          <w:tcPr>
            <w:tcW w:w="302" w:type="pct"/>
            <w:noWrap/>
            <w:vAlign w:val="center"/>
          </w:tcPr>
          <w:p w14:paraId="581F0D76">
            <w:pPr>
              <w:jc w:val="center"/>
              <w:rPr>
                <w:sz w:val="18"/>
                <w:szCs w:val="18"/>
              </w:rPr>
            </w:pPr>
            <w:r>
              <w:rPr>
                <w:sz w:val="18"/>
                <w:szCs w:val="18"/>
              </w:rPr>
              <w:t>/</w:t>
            </w:r>
          </w:p>
        </w:tc>
        <w:tc>
          <w:tcPr>
            <w:tcW w:w="276" w:type="pct"/>
            <w:noWrap/>
            <w:vAlign w:val="center"/>
          </w:tcPr>
          <w:p w14:paraId="0E2816B2">
            <w:pPr>
              <w:jc w:val="center"/>
              <w:rPr>
                <w:sz w:val="18"/>
                <w:szCs w:val="18"/>
              </w:rPr>
            </w:pPr>
            <w:r>
              <w:rPr>
                <w:sz w:val="18"/>
                <w:szCs w:val="18"/>
              </w:rPr>
              <w:t>/</w:t>
            </w:r>
          </w:p>
        </w:tc>
        <w:tc>
          <w:tcPr>
            <w:tcW w:w="267" w:type="pct"/>
            <w:noWrap/>
            <w:vAlign w:val="center"/>
          </w:tcPr>
          <w:p w14:paraId="28987C68">
            <w:pPr>
              <w:jc w:val="center"/>
              <w:rPr>
                <w:sz w:val="18"/>
                <w:szCs w:val="18"/>
              </w:rPr>
            </w:pPr>
            <w:r>
              <w:rPr>
                <w:sz w:val="18"/>
                <w:szCs w:val="18"/>
              </w:rPr>
              <w:t>/</w:t>
            </w:r>
          </w:p>
        </w:tc>
        <w:tc>
          <w:tcPr>
            <w:tcW w:w="293" w:type="pct"/>
            <w:noWrap/>
            <w:vAlign w:val="center"/>
          </w:tcPr>
          <w:p w14:paraId="1303B58D">
            <w:pPr>
              <w:widowControl/>
              <w:jc w:val="center"/>
              <w:textAlignment w:val="center"/>
              <w:rPr>
                <w:sz w:val="18"/>
                <w:szCs w:val="18"/>
              </w:rPr>
            </w:pPr>
            <w:r>
              <w:rPr>
                <w:sz w:val="18"/>
                <w:szCs w:val="18"/>
              </w:rPr>
              <w:t>/</w:t>
            </w:r>
          </w:p>
        </w:tc>
        <w:tc>
          <w:tcPr>
            <w:tcW w:w="302" w:type="pct"/>
            <w:noWrap/>
            <w:vAlign w:val="center"/>
          </w:tcPr>
          <w:p w14:paraId="6221E9D5">
            <w:pPr>
              <w:widowControl/>
              <w:jc w:val="center"/>
              <w:textAlignment w:val="center"/>
              <w:rPr>
                <w:sz w:val="18"/>
                <w:szCs w:val="18"/>
              </w:rPr>
            </w:pPr>
            <w:r>
              <w:rPr>
                <w:sz w:val="18"/>
                <w:szCs w:val="18"/>
              </w:rPr>
              <w:t>/</w:t>
            </w:r>
          </w:p>
        </w:tc>
        <w:tc>
          <w:tcPr>
            <w:tcW w:w="303" w:type="pct"/>
            <w:noWrap/>
            <w:vAlign w:val="center"/>
          </w:tcPr>
          <w:p w14:paraId="54790B47">
            <w:pPr>
              <w:jc w:val="center"/>
              <w:rPr>
                <w:sz w:val="18"/>
                <w:szCs w:val="18"/>
              </w:rPr>
            </w:pPr>
            <w:r>
              <w:rPr>
                <w:sz w:val="18"/>
                <w:szCs w:val="18"/>
              </w:rPr>
              <w:t>/</w:t>
            </w:r>
          </w:p>
        </w:tc>
      </w:tr>
      <w:tr w14:paraId="06DB87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 w:hRule="atLeast"/>
        </w:trPr>
        <w:tc>
          <w:tcPr>
            <w:tcW w:w="149" w:type="pct"/>
            <w:vMerge w:val="continue"/>
            <w:shd w:val="clear" w:color="auto" w:fill="auto"/>
            <w:noWrap w:val="0"/>
            <w:vAlign w:val="center"/>
          </w:tcPr>
          <w:p w14:paraId="687CBF45">
            <w:pPr>
              <w:jc w:val="center"/>
              <w:rPr>
                <w:sz w:val="18"/>
                <w:szCs w:val="18"/>
              </w:rPr>
            </w:pPr>
          </w:p>
        </w:tc>
        <w:tc>
          <w:tcPr>
            <w:tcW w:w="382" w:type="pct"/>
            <w:shd w:val="clear" w:color="auto" w:fill="D7D7D7"/>
            <w:noWrap w:val="0"/>
            <w:vAlign w:val="center"/>
          </w:tcPr>
          <w:p w14:paraId="08CA8073">
            <w:pPr>
              <w:widowControl/>
              <w:jc w:val="center"/>
              <w:textAlignment w:val="center"/>
              <w:rPr>
                <w:sz w:val="18"/>
                <w:szCs w:val="18"/>
              </w:rPr>
            </w:pPr>
            <w:r>
              <w:rPr>
                <w:kern w:val="0"/>
                <w:sz w:val="18"/>
                <w:szCs w:val="18"/>
                <w:lang w:bidi="ar"/>
              </w:rPr>
              <w:t>最大标准指数</w:t>
            </w:r>
          </w:p>
        </w:tc>
        <w:tc>
          <w:tcPr>
            <w:tcW w:w="277" w:type="pct"/>
            <w:noWrap/>
            <w:vAlign w:val="center"/>
          </w:tcPr>
          <w:p w14:paraId="678DBE23">
            <w:pPr>
              <w:widowControl/>
              <w:jc w:val="center"/>
              <w:textAlignment w:val="center"/>
              <w:rPr>
                <w:sz w:val="18"/>
                <w:szCs w:val="18"/>
              </w:rPr>
            </w:pPr>
            <w:r>
              <w:rPr>
                <w:kern w:val="0"/>
                <w:sz w:val="18"/>
                <w:szCs w:val="18"/>
                <w:lang w:bidi="ar"/>
              </w:rPr>
              <w:t>0.30</w:t>
            </w:r>
          </w:p>
        </w:tc>
        <w:tc>
          <w:tcPr>
            <w:tcW w:w="218" w:type="pct"/>
            <w:noWrap/>
            <w:vAlign w:val="center"/>
          </w:tcPr>
          <w:p w14:paraId="5D54333A">
            <w:pPr>
              <w:widowControl/>
              <w:jc w:val="center"/>
              <w:textAlignment w:val="center"/>
              <w:rPr>
                <w:sz w:val="18"/>
                <w:szCs w:val="18"/>
              </w:rPr>
            </w:pPr>
            <w:r>
              <w:rPr>
                <w:kern w:val="0"/>
                <w:sz w:val="18"/>
                <w:szCs w:val="18"/>
                <w:lang w:bidi="ar"/>
              </w:rPr>
              <w:t>0.06</w:t>
            </w:r>
          </w:p>
        </w:tc>
        <w:tc>
          <w:tcPr>
            <w:tcW w:w="218" w:type="pct"/>
            <w:noWrap/>
            <w:vAlign w:val="center"/>
          </w:tcPr>
          <w:p w14:paraId="50FAE3FC">
            <w:pPr>
              <w:widowControl/>
              <w:jc w:val="center"/>
              <w:textAlignment w:val="center"/>
              <w:rPr>
                <w:sz w:val="18"/>
                <w:szCs w:val="18"/>
              </w:rPr>
            </w:pPr>
            <w:r>
              <w:rPr>
                <w:kern w:val="0"/>
                <w:sz w:val="18"/>
                <w:szCs w:val="18"/>
                <w:lang w:bidi="ar"/>
              </w:rPr>
              <w:t>0.00</w:t>
            </w:r>
          </w:p>
        </w:tc>
        <w:tc>
          <w:tcPr>
            <w:tcW w:w="333" w:type="pct"/>
            <w:noWrap/>
            <w:vAlign w:val="center"/>
          </w:tcPr>
          <w:p w14:paraId="521DC5E2">
            <w:pPr>
              <w:widowControl/>
              <w:jc w:val="center"/>
              <w:textAlignment w:val="center"/>
              <w:rPr>
                <w:sz w:val="18"/>
                <w:szCs w:val="18"/>
              </w:rPr>
            </w:pPr>
            <w:r>
              <w:rPr>
                <w:kern w:val="0"/>
                <w:sz w:val="18"/>
                <w:szCs w:val="18"/>
                <w:lang w:bidi="ar"/>
              </w:rPr>
              <w:t>0.67</w:t>
            </w:r>
          </w:p>
        </w:tc>
        <w:tc>
          <w:tcPr>
            <w:tcW w:w="359" w:type="pct"/>
            <w:noWrap/>
            <w:vAlign w:val="center"/>
          </w:tcPr>
          <w:p w14:paraId="106D6269">
            <w:pPr>
              <w:widowControl/>
              <w:jc w:val="center"/>
              <w:textAlignment w:val="center"/>
              <w:rPr>
                <w:sz w:val="18"/>
                <w:szCs w:val="18"/>
              </w:rPr>
            </w:pPr>
            <w:r>
              <w:rPr>
                <w:kern w:val="0"/>
                <w:sz w:val="18"/>
                <w:szCs w:val="18"/>
                <w:lang w:bidi="ar"/>
              </w:rPr>
              <w:t>0.90</w:t>
            </w:r>
          </w:p>
        </w:tc>
        <w:tc>
          <w:tcPr>
            <w:tcW w:w="355" w:type="pct"/>
            <w:noWrap/>
            <w:vAlign w:val="center"/>
          </w:tcPr>
          <w:p w14:paraId="3F51D7B8">
            <w:pPr>
              <w:widowControl/>
              <w:jc w:val="center"/>
              <w:textAlignment w:val="center"/>
              <w:rPr>
                <w:sz w:val="18"/>
                <w:szCs w:val="18"/>
              </w:rPr>
            </w:pPr>
            <w:r>
              <w:rPr>
                <w:kern w:val="0"/>
                <w:sz w:val="18"/>
                <w:szCs w:val="18"/>
                <w:lang w:bidi="ar"/>
              </w:rPr>
              <w:t>0.13</w:t>
            </w:r>
          </w:p>
        </w:tc>
        <w:tc>
          <w:tcPr>
            <w:tcW w:w="284" w:type="pct"/>
            <w:noWrap/>
            <w:vAlign w:val="center"/>
          </w:tcPr>
          <w:p w14:paraId="628E644D">
            <w:pPr>
              <w:jc w:val="center"/>
              <w:rPr>
                <w:sz w:val="18"/>
                <w:szCs w:val="18"/>
              </w:rPr>
            </w:pPr>
            <w:r>
              <w:rPr>
                <w:sz w:val="18"/>
                <w:szCs w:val="18"/>
              </w:rPr>
              <w:t>/</w:t>
            </w:r>
          </w:p>
        </w:tc>
        <w:tc>
          <w:tcPr>
            <w:tcW w:w="359" w:type="pct"/>
            <w:noWrap/>
            <w:vAlign w:val="center"/>
          </w:tcPr>
          <w:p w14:paraId="45C6FEF0">
            <w:pPr>
              <w:jc w:val="center"/>
              <w:rPr>
                <w:sz w:val="18"/>
                <w:szCs w:val="18"/>
              </w:rPr>
            </w:pPr>
            <w:r>
              <w:rPr>
                <w:sz w:val="18"/>
                <w:szCs w:val="18"/>
              </w:rPr>
              <w:t>/</w:t>
            </w:r>
          </w:p>
        </w:tc>
        <w:tc>
          <w:tcPr>
            <w:tcW w:w="315" w:type="pct"/>
            <w:noWrap/>
            <w:vAlign w:val="center"/>
          </w:tcPr>
          <w:p w14:paraId="1DB02139">
            <w:pPr>
              <w:jc w:val="center"/>
              <w:rPr>
                <w:sz w:val="18"/>
                <w:szCs w:val="18"/>
              </w:rPr>
            </w:pPr>
            <w:r>
              <w:rPr>
                <w:sz w:val="18"/>
                <w:szCs w:val="18"/>
              </w:rPr>
              <w:t>/</w:t>
            </w:r>
          </w:p>
        </w:tc>
        <w:tc>
          <w:tcPr>
            <w:tcW w:w="302" w:type="pct"/>
            <w:noWrap/>
            <w:vAlign w:val="center"/>
          </w:tcPr>
          <w:p w14:paraId="7701E49C">
            <w:pPr>
              <w:jc w:val="center"/>
              <w:rPr>
                <w:sz w:val="18"/>
                <w:szCs w:val="18"/>
              </w:rPr>
            </w:pPr>
            <w:r>
              <w:rPr>
                <w:sz w:val="18"/>
                <w:szCs w:val="18"/>
              </w:rPr>
              <w:t>/</w:t>
            </w:r>
          </w:p>
        </w:tc>
        <w:tc>
          <w:tcPr>
            <w:tcW w:w="276" w:type="pct"/>
            <w:noWrap/>
            <w:vAlign w:val="center"/>
          </w:tcPr>
          <w:p w14:paraId="71CD8F46">
            <w:pPr>
              <w:jc w:val="center"/>
              <w:rPr>
                <w:sz w:val="18"/>
                <w:szCs w:val="18"/>
              </w:rPr>
            </w:pPr>
            <w:r>
              <w:rPr>
                <w:sz w:val="18"/>
                <w:szCs w:val="18"/>
              </w:rPr>
              <w:t>/</w:t>
            </w:r>
          </w:p>
        </w:tc>
        <w:tc>
          <w:tcPr>
            <w:tcW w:w="267" w:type="pct"/>
            <w:noWrap/>
            <w:vAlign w:val="center"/>
          </w:tcPr>
          <w:p w14:paraId="45B31178">
            <w:pPr>
              <w:jc w:val="center"/>
              <w:rPr>
                <w:sz w:val="18"/>
                <w:szCs w:val="18"/>
              </w:rPr>
            </w:pPr>
            <w:r>
              <w:rPr>
                <w:sz w:val="18"/>
                <w:szCs w:val="18"/>
              </w:rPr>
              <w:t>/</w:t>
            </w:r>
          </w:p>
        </w:tc>
        <w:tc>
          <w:tcPr>
            <w:tcW w:w="293" w:type="pct"/>
            <w:noWrap/>
            <w:vAlign w:val="center"/>
          </w:tcPr>
          <w:p w14:paraId="68760942">
            <w:pPr>
              <w:jc w:val="center"/>
              <w:rPr>
                <w:sz w:val="18"/>
                <w:szCs w:val="18"/>
              </w:rPr>
            </w:pPr>
            <w:r>
              <w:rPr>
                <w:sz w:val="18"/>
                <w:szCs w:val="18"/>
              </w:rPr>
              <w:t>/</w:t>
            </w:r>
          </w:p>
        </w:tc>
        <w:tc>
          <w:tcPr>
            <w:tcW w:w="302" w:type="pct"/>
            <w:noWrap/>
            <w:vAlign w:val="center"/>
          </w:tcPr>
          <w:p w14:paraId="1C8F3FEE">
            <w:pPr>
              <w:jc w:val="center"/>
              <w:rPr>
                <w:sz w:val="18"/>
                <w:szCs w:val="18"/>
              </w:rPr>
            </w:pPr>
            <w:r>
              <w:rPr>
                <w:sz w:val="18"/>
                <w:szCs w:val="18"/>
              </w:rPr>
              <w:t>/</w:t>
            </w:r>
          </w:p>
        </w:tc>
        <w:tc>
          <w:tcPr>
            <w:tcW w:w="303" w:type="pct"/>
            <w:noWrap/>
            <w:vAlign w:val="center"/>
          </w:tcPr>
          <w:p w14:paraId="4A074438">
            <w:pPr>
              <w:jc w:val="center"/>
              <w:rPr>
                <w:sz w:val="18"/>
                <w:szCs w:val="18"/>
              </w:rPr>
            </w:pPr>
            <w:r>
              <w:rPr>
                <w:sz w:val="18"/>
                <w:szCs w:val="18"/>
              </w:rPr>
              <w:t>/</w:t>
            </w:r>
          </w:p>
        </w:tc>
      </w:tr>
      <w:tr w14:paraId="177F6F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3" w:hRule="atLeast"/>
        </w:trPr>
        <w:tc>
          <w:tcPr>
            <w:tcW w:w="149" w:type="pct"/>
            <w:vMerge w:val="continue"/>
            <w:shd w:val="clear" w:color="auto" w:fill="auto"/>
            <w:noWrap w:val="0"/>
            <w:vAlign w:val="center"/>
          </w:tcPr>
          <w:p w14:paraId="391335F7">
            <w:pPr>
              <w:jc w:val="center"/>
              <w:rPr>
                <w:sz w:val="18"/>
                <w:szCs w:val="18"/>
              </w:rPr>
            </w:pPr>
          </w:p>
        </w:tc>
        <w:tc>
          <w:tcPr>
            <w:tcW w:w="382" w:type="pct"/>
            <w:shd w:val="clear" w:color="auto" w:fill="D7D7D7"/>
            <w:noWrap w:val="0"/>
            <w:vAlign w:val="center"/>
          </w:tcPr>
          <w:p w14:paraId="650E6B00">
            <w:pPr>
              <w:widowControl/>
              <w:jc w:val="center"/>
              <w:textAlignment w:val="center"/>
              <w:rPr>
                <w:sz w:val="18"/>
                <w:szCs w:val="18"/>
              </w:rPr>
            </w:pPr>
            <w:r>
              <w:rPr>
                <w:kern w:val="0"/>
                <w:sz w:val="18"/>
                <w:szCs w:val="18"/>
                <w:lang w:bidi="ar"/>
              </w:rPr>
              <w:t>达标情况</w:t>
            </w:r>
          </w:p>
        </w:tc>
        <w:tc>
          <w:tcPr>
            <w:tcW w:w="277" w:type="pct"/>
            <w:noWrap/>
            <w:vAlign w:val="center"/>
          </w:tcPr>
          <w:p w14:paraId="793330BE">
            <w:pPr>
              <w:widowControl/>
              <w:jc w:val="center"/>
              <w:textAlignment w:val="center"/>
              <w:rPr>
                <w:sz w:val="18"/>
                <w:szCs w:val="18"/>
              </w:rPr>
            </w:pPr>
            <w:r>
              <w:rPr>
                <w:kern w:val="0"/>
                <w:sz w:val="18"/>
                <w:szCs w:val="18"/>
                <w:lang w:bidi="ar"/>
              </w:rPr>
              <w:t>达标</w:t>
            </w:r>
          </w:p>
        </w:tc>
        <w:tc>
          <w:tcPr>
            <w:tcW w:w="218" w:type="pct"/>
            <w:noWrap/>
            <w:vAlign w:val="center"/>
          </w:tcPr>
          <w:p w14:paraId="3102D0AF">
            <w:pPr>
              <w:widowControl/>
              <w:jc w:val="center"/>
              <w:textAlignment w:val="center"/>
              <w:rPr>
                <w:sz w:val="18"/>
                <w:szCs w:val="18"/>
              </w:rPr>
            </w:pPr>
            <w:r>
              <w:rPr>
                <w:kern w:val="0"/>
                <w:sz w:val="18"/>
                <w:szCs w:val="18"/>
                <w:lang w:bidi="ar"/>
              </w:rPr>
              <w:t>达标</w:t>
            </w:r>
          </w:p>
        </w:tc>
        <w:tc>
          <w:tcPr>
            <w:tcW w:w="218" w:type="pct"/>
            <w:noWrap/>
            <w:vAlign w:val="center"/>
          </w:tcPr>
          <w:p w14:paraId="30ED6957">
            <w:pPr>
              <w:widowControl/>
              <w:jc w:val="center"/>
              <w:textAlignment w:val="center"/>
              <w:rPr>
                <w:sz w:val="18"/>
                <w:szCs w:val="18"/>
              </w:rPr>
            </w:pPr>
            <w:r>
              <w:rPr>
                <w:kern w:val="0"/>
                <w:sz w:val="18"/>
                <w:szCs w:val="18"/>
                <w:lang w:bidi="ar"/>
              </w:rPr>
              <w:t>达标</w:t>
            </w:r>
          </w:p>
        </w:tc>
        <w:tc>
          <w:tcPr>
            <w:tcW w:w="333" w:type="pct"/>
            <w:noWrap/>
            <w:vAlign w:val="center"/>
          </w:tcPr>
          <w:p w14:paraId="64A0714F">
            <w:pPr>
              <w:widowControl/>
              <w:jc w:val="center"/>
              <w:textAlignment w:val="center"/>
              <w:rPr>
                <w:sz w:val="18"/>
                <w:szCs w:val="18"/>
              </w:rPr>
            </w:pPr>
            <w:r>
              <w:rPr>
                <w:kern w:val="0"/>
                <w:sz w:val="18"/>
                <w:szCs w:val="18"/>
                <w:lang w:bidi="ar"/>
              </w:rPr>
              <w:t>达标</w:t>
            </w:r>
          </w:p>
        </w:tc>
        <w:tc>
          <w:tcPr>
            <w:tcW w:w="359" w:type="pct"/>
            <w:noWrap/>
            <w:vAlign w:val="center"/>
          </w:tcPr>
          <w:p w14:paraId="201B5308">
            <w:pPr>
              <w:widowControl/>
              <w:jc w:val="center"/>
              <w:textAlignment w:val="center"/>
              <w:rPr>
                <w:sz w:val="18"/>
                <w:szCs w:val="18"/>
              </w:rPr>
            </w:pPr>
            <w:r>
              <w:rPr>
                <w:kern w:val="0"/>
                <w:sz w:val="18"/>
                <w:szCs w:val="18"/>
                <w:lang w:bidi="ar"/>
              </w:rPr>
              <w:t>达标</w:t>
            </w:r>
          </w:p>
        </w:tc>
        <w:tc>
          <w:tcPr>
            <w:tcW w:w="355" w:type="pct"/>
            <w:noWrap/>
            <w:vAlign w:val="center"/>
          </w:tcPr>
          <w:p w14:paraId="1FB06853">
            <w:pPr>
              <w:widowControl/>
              <w:jc w:val="center"/>
              <w:textAlignment w:val="center"/>
              <w:rPr>
                <w:sz w:val="18"/>
                <w:szCs w:val="18"/>
              </w:rPr>
            </w:pPr>
            <w:r>
              <w:rPr>
                <w:kern w:val="0"/>
                <w:sz w:val="18"/>
                <w:szCs w:val="18"/>
                <w:lang w:bidi="ar"/>
              </w:rPr>
              <w:t>达标</w:t>
            </w:r>
          </w:p>
        </w:tc>
        <w:tc>
          <w:tcPr>
            <w:tcW w:w="284" w:type="pct"/>
            <w:noWrap/>
            <w:vAlign w:val="center"/>
          </w:tcPr>
          <w:p w14:paraId="03215FE7">
            <w:pPr>
              <w:jc w:val="center"/>
              <w:rPr>
                <w:sz w:val="18"/>
                <w:szCs w:val="18"/>
              </w:rPr>
            </w:pPr>
            <w:r>
              <w:rPr>
                <w:sz w:val="18"/>
                <w:szCs w:val="18"/>
              </w:rPr>
              <w:t>/</w:t>
            </w:r>
          </w:p>
        </w:tc>
        <w:tc>
          <w:tcPr>
            <w:tcW w:w="359" w:type="pct"/>
            <w:noWrap/>
            <w:vAlign w:val="center"/>
          </w:tcPr>
          <w:p w14:paraId="0DB40D58">
            <w:pPr>
              <w:jc w:val="center"/>
              <w:rPr>
                <w:sz w:val="18"/>
                <w:szCs w:val="18"/>
              </w:rPr>
            </w:pPr>
            <w:r>
              <w:rPr>
                <w:sz w:val="18"/>
                <w:szCs w:val="18"/>
              </w:rPr>
              <w:t>/</w:t>
            </w:r>
          </w:p>
        </w:tc>
        <w:tc>
          <w:tcPr>
            <w:tcW w:w="315" w:type="pct"/>
            <w:noWrap/>
            <w:vAlign w:val="center"/>
          </w:tcPr>
          <w:p w14:paraId="34027AAE">
            <w:pPr>
              <w:jc w:val="center"/>
              <w:rPr>
                <w:sz w:val="18"/>
                <w:szCs w:val="18"/>
              </w:rPr>
            </w:pPr>
            <w:r>
              <w:rPr>
                <w:sz w:val="18"/>
                <w:szCs w:val="18"/>
              </w:rPr>
              <w:t>/</w:t>
            </w:r>
          </w:p>
        </w:tc>
        <w:tc>
          <w:tcPr>
            <w:tcW w:w="302" w:type="pct"/>
            <w:noWrap/>
            <w:vAlign w:val="center"/>
          </w:tcPr>
          <w:p w14:paraId="27EC637B">
            <w:pPr>
              <w:jc w:val="center"/>
              <w:rPr>
                <w:sz w:val="18"/>
                <w:szCs w:val="18"/>
              </w:rPr>
            </w:pPr>
            <w:r>
              <w:rPr>
                <w:sz w:val="18"/>
                <w:szCs w:val="18"/>
              </w:rPr>
              <w:t>/</w:t>
            </w:r>
          </w:p>
        </w:tc>
        <w:tc>
          <w:tcPr>
            <w:tcW w:w="276" w:type="pct"/>
            <w:noWrap/>
            <w:vAlign w:val="center"/>
          </w:tcPr>
          <w:p w14:paraId="7AB947B1">
            <w:pPr>
              <w:jc w:val="center"/>
              <w:rPr>
                <w:sz w:val="18"/>
                <w:szCs w:val="18"/>
              </w:rPr>
            </w:pPr>
            <w:r>
              <w:rPr>
                <w:sz w:val="18"/>
                <w:szCs w:val="18"/>
              </w:rPr>
              <w:t>/</w:t>
            </w:r>
          </w:p>
        </w:tc>
        <w:tc>
          <w:tcPr>
            <w:tcW w:w="267" w:type="pct"/>
            <w:noWrap/>
            <w:vAlign w:val="center"/>
          </w:tcPr>
          <w:p w14:paraId="01505B61">
            <w:pPr>
              <w:jc w:val="center"/>
              <w:rPr>
                <w:sz w:val="18"/>
                <w:szCs w:val="18"/>
              </w:rPr>
            </w:pPr>
            <w:r>
              <w:rPr>
                <w:sz w:val="18"/>
                <w:szCs w:val="18"/>
              </w:rPr>
              <w:t>/</w:t>
            </w:r>
          </w:p>
        </w:tc>
        <w:tc>
          <w:tcPr>
            <w:tcW w:w="293" w:type="pct"/>
            <w:noWrap/>
            <w:vAlign w:val="center"/>
          </w:tcPr>
          <w:p w14:paraId="1543F10D">
            <w:pPr>
              <w:jc w:val="center"/>
              <w:rPr>
                <w:sz w:val="18"/>
                <w:szCs w:val="18"/>
              </w:rPr>
            </w:pPr>
            <w:r>
              <w:rPr>
                <w:sz w:val="18"/>
                <w:szCs w:val="18"/>
              </w:rPr>
              <w:t>/</w:t>
            </w:r>
          </w:p>
        </w:tc>
        <w:tc>
          <w:tcPr>
            <w:tcW w:w="302" w:type="pct"/>
            <w:noWrap/>
            <w:vAlign w:val="center"/>
          </w:tcPr>
          <w:p w14:paraId="438D7C5E">
            <w:pPr>
              <w:jc w:val="center"/>
              <w:rPr>
                <w:sz w:val="18"/>
                <w:szCs w:val="18"/>
              </w:rPr>
            </w:pPr>
            <w:r>
              <w:rPr>
                <w:sz w:val="18"/>
                <w:szCs w:val="18"/>
              </w:rPr>
              <w:t>/</w:t>
            </w:r>
          </w:p>
        </w:tc>
        <w:tc>
          <w:tcPr>
            <w:tcW w:w="303" w:type="pct"/>
            <w:noWrap/>
            <w:vAlign w:val="center"/>
          </w:tcPr>
          <w:p w14:paraId="1FBE67FA">
            <w:pPr>
              <w:jc w:val="center"/>
              <w:rPr>
                <w:sz w:val="18"/>
                <w:szCs w:val="18"/>
              </w:rPr>
            </w:pPr>
            <w:r>
              <w:rPr>
                <w:sz w:val="18"/>
                <w:szCs w:val="18"/>
              </w:rPr>
              <w:t>/</w:t>
            </w:r>
          </w:p>
        </w:tc>
      </w:tr>
      <w:tr w14:paraId="06F98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shd w:val="clear" w:color="auto" w:fill="auto"/>
            <w:noWrap w:val="0"/>
            <w:vAlign w:val="center"/>
          </w:tcPr>
          <w:p w14:paraId="7EEBCFA3">
            <w:pPr>
              <w:widowControl/>
              <w:jc w:val="center"/>
              <w:textAlignment w:val="center"/>
              <w:rPr>
                <w:b/>
                <w:bCs/>
                <w:sz w:val="18"/>
                <w:szCs w:val="18"/>
              </w:rPr>
            </w:pPr>
            <w:r>
              <w:rPr>
                <w:b/>
                <w:bCs/>
                <w:kern w:val="0"/>
                <w:sz w:val="18"/>
                <w:szCs w:val="18"/>
                <w:lang w:bidi="ar"/>
              </w:rPr>
              <w:t>采样地点</w:t>
            </w:r>
          </w:p>
        </w:tc>
        <w:tc>
          <w:tcPr>
            <w:tcW w:w="381" w:type="pct"/>
            <w:shd w:val="clear" w:color="auto" w:fill="D7D7D7"/>
            <w:noWrap w:val="0"/>
            <w:vAlign w:val="center"/>
          </w:tcPr>
          <w:p w14:paraId="111750B2">
            <w:pPr>
              <w:widowControl/>
              <w:snapToGrid w:val="0"/>
              <w:jc w:val="center"/>
              <w:textAlignment w:val="center"/>
              <w:rPr>
                <w:sz w:val="18"/>
                <w:szCs w:val="18"/>
              </w:rPr>
            </w:pPr>
            <w:r>
              <w:rPr>
                <w:kern w:val="0"/>
                <w:sz w:val="18"/>
                <w:szCs w:val="18"/>
                <w:lang w:bidi="ar"/>
              </w:rPr>
              <w:t>日期</w:t>
            </w:r>
          </w:p>
          <w:p w14:paraId="4F215765">
            <w:pPr>
              <w:widowControl/>
              <w:jc w:val="center"/>
              <w:textAlignment w:val="center"/>
              <w:rPr>
                <w:sz w:val="18"/>
                <w:szCs w:val="18"/>
              </w:rPr>
            </w:pPr>
            <w:r>
              <w:rPr>
                <w:sz w:val="18"/>
                <w:szCs w:val="18"/>
              </w:rPr>
              <w:t>项目</w:t>
            </w:r>
          </w:p>
        </w:tc>
        <w:tc>
          <w:tcPr>
            <w:tcW w:w="278" w:type="pct"/>
            <w:noWrap w:val="0"/>
            <w:vAlign w:val="center"/>
          </w:tcPr>
          <w:p w14:paraId="43F10DC3">
            <w:pPr>
              <w:widowControl/>
              <w:jc w:val="center"/>
              <w:textAlignment w:val="center"/>
              <w:rPr>
                <w:b/>
                <w:bCs/>
                <w:sz w:val="18"/>
                <w:szCs w:val="18"/>
              </w:rPr>
            </w:pPr>
            <w:r>
              <w:rPr>
                <w:kern w:val="0"/>
                <w:sz w:val="18"/>
                <w:szCs w:val="18"/>
                <w:lang w:bidi="ar"/>
              </w:rPr>
              <w:t>pH值（无量纲）</w:t>
            </w:r>
          </w:p>
        </w:tc>
        <w:tc>
          <w:tcPr>
            <w:tcW w:w="218" w:type="pct"/>
            <w:noWrap w:val="0"/>
            <w:vAlign w:val="center"/>
          </w:tcPr>
          <w:p w14:paraId="74E74515">
            <w:pPr>
              <w:widowControl/>
              <w:jc w:val="center"/>
              <w:textAlignment w:val="center"/>
              <w:rPr>
                <w:sz w:val="18"/>
                <w:szCs w:val="18"/>
              </w:rPr>
            </w:pPr>
            <w:r>
              <w:rPr>
                <w:kern w:val="0"/>
                <w:sz w:val="18"/>
                <w:szCs w:val="18"/>
                <w:lang w:bidi="ar"/>
              </w:rPr>
              <w:t>氨氮</w:t>
            </w:r>
          </w:p>
        </w:tc>
        <w:tc>
          <w:tcPr>
            <w:tcW w:w="218" w:type="pct"/>
            <w:noWrap w:val="0"/>
            <w:vAlign w:val="center"/>
          </w:tcPr>
          <w:p w14:paraId="29478ACB">
            <w:pPr>
              <w:widowControl/>
              <w:jc w:val="center"/>
              <w:textAlignment w:val="center"/>
              <w:rPr>
                <w:sz w:val="18"/>
                <w:szCs w:val="18"/>
              </w:rPr>
            </w:pPr>
            <w:r>
              <w:rPr>
                <w:kern w:val="0"/>
                <w:sz w:val="18"/>
                <w:szCs w:val="18"/>
                <w:lang w:bidi="ar"/>
              </w:rPr>
              <w:t>硝酸盐氮</w:t>
            </w:r>
          </w:p>
        </w:tc>
        <w:tc>
          <w:tcPr>
            <w:tcW w:w="333" w:type="pct"/>
            <w:noWrap w:val="0"/>
            <w:vAlign w:val="center"/>
          </w:tcPr>
          <w:p w14:paraId="435A3AC1">
            <w:pPr>
              <w:widowControl/>
              <w:jc w:val="center"/>
              <w:textAlignment w:val="center"/>
              <w:rPr>
                <w:sz w:val="18"/>
                <w:szCs w:val="18"/>
              </w:rPr>
            </w:pPr>
            <w:r>
              <w:rPr>
                <w:kern w:val="0"/>
                <w:sz w:val="18"/>
                <w:szCs w:val="18"/>
                <w:lang w:bidi="ar"/>
              </w:rPr>
              <w:t>亚硝酸盐氮</w:t>
            </w:r>
          </w:p>
        </w:tc>
        <w:tc>
          <w:tcPr>
            <w:tcW w:w="359" w:type="pct"/>
            <w:noWrap w:val="0"/>
            <w:vAlign w:val="center"/>
          </w:tcPr>
          <w:p w14:paraId="4ADB47F8">
            <w:pPr>
              <w:widowControl/>
              <w:jc w:val="center"/>
              <w:textAlignment w:val="center"/>
              <w:rPr>
                <w:sz w:val="18"/>
                <w:szCs w:val="18"/>
              </w:rPr>
            </w:pPr>
            <w:r>
              <w:rPr>
                <w:kern w:val="0"/>
                <w:sz w:val="18"/>
                <w:szCs w:val="18"/>
                <w:lang w:bidi="ar"/>
              </w:rPr>
              <w:t>挥发酚</w:t>
            </w:r>
          </w:p>
        </w:tc>
        <w:tc>
          <w:tcPr>
            <w:tcW w:w="355" w:type="pct"/>
            <w:noWrap w:val="0"/>
            <w:vAlign w:val="center"/>
          </w:tcPr>
          <w:p w14:paraId="424459D2">
            <w:pPr>
              <w:widowControl/>
              <w:jc w:val="center"/>
              <w:textAlignment w:val="center"/>
              <w:rPr>
                <w:sz w:val="18"/>
                <w:szCs w:val="18"/>
              </w:rPr>
            </w:pPr>
            <w:r>
              <w:rPr>
                <w:kern w:val="0"/>
                <w:sz w:val="18"/>
                <w:szCs w:val="18"/>
                <w:lang w:bidi="ar"/>
              </w:rPr>
              <w:t>氰化物</w:t>
            </w:r>
          </w:p>
        </w:tc>
        <w:tc>
          <w:tcPr>
            <w:tcW w:w="284" w:type="pct"/>
            <w:noWrap w:val="0"/>
            <w:vAlign w:val="center"/>
          </w:tcPr>
          <w:p w14:paraId="0AC46B57">
            <w:pPr>
              <w:widowControl/>
              <w:jc w:val="center"/>
              <w:textAlignment w:val="center"/>
              <w:rPr>
                <w:sz w:val="18"/>
                <w:szCs w:val="18"/>
              </w:rPr>
            </w:pPr>
            <w:r>
              <w:rPr>
                <w:kern w:val="0"/>
                <w:sz w:val="18"/>
                <w:szCs w:val="18"/>
                <w:lang w:bidi="ar"/>
              </w:rPr>
              <w:t>总砷</w:t>
            </w:r>
          </w:p>
        </w:tc>
        <w:tc>
          <w:tcPr>
            <w:tcW w:w="359" w:type="pct"/>
            <w:noWrap w:val="0"/>
            <w:vAlign w:val="center"/>
          </w:tcPr>
          <w:p w14:paraId="7F2904DE">
            <w:pPr>
              <w:widowControl/>
              <w:jc w:val="center"/>
              <w:textAlignment w:val="center"/>
              <w:rPr>
                <w:sz w:val="18"/>
                <w:szCs w:val="18"/>
              </w:rPr>
            </w:pPr>
            <w:r>
              <w:rPr>
                <w:kern w:val="0"/>
                <w:sz w:val="18"/>
                <w:szCs w:val="18"/>
                <w:lang w:bidi="ar"/>
              </w:rPr>
              <w:t>总汞</w:t>
            </w:r>
          </w:p>
        </w:tc>
        <w:tc>
          <w:tcPr>
            <w:tcW w:w="315" w:type="pct"/>
            <w:noWrap w:val="0"/>
            <w:vAlign w:val="center"/>
          </w:tcPr>
          <w:p w14:paraId="2C8C602E">
            <w:pPr>
              <w:widowControl/>
              <w:jc w:val="center"/>
              <w:textAlignment w:val="center"/>
              <w:rPr>
                <w:sz w:val="18"/>
                <w:szCs w:val="18"/>
              </w:rPr>
            </w:pPr>
            <w:r>
              <w:rPr>
                <w:kern w:val="0"/>
                <w:sz w:val="18"/>
                <w:szCs w:val="18"/>
                <w:lang w:bidi="ar"/>
              </w:rPr>
              <w:t>六价铬</w:t>
            </w:r>
          </w:p>
        </w:tc>
        <w:tc>
          <w:tcPr>
            <w:tcW w:w="302" w:type="pct"/>
            <w:noWrap w:val="0"/>
            <w:vAlign w:val="center"/>
          </w:tcPr>
          <w:p w14:paraId="235038CF">
            <w:pPr>
              <w:widowControl/>
              <w:jc w:val="center"/>
              <w:textAlignment w:val="center"/>
              <w:rPr>
                <w:sz w:val="18"/>
                <w:szCs w:val="18"/>
              </w:rPr>
            </w:pPr>
            <w:r>
              <w:rPr>
                <w:kern w:val="0"/>
                <w:sz w:val="18"/>
                <w:szCs w:val="18"/>
                <w:lang w:bidi="ar"/>
              </w:rPr>
              <w:t>总硬度</w:t>
            </w:r>
          </w:p>
        </w:tc>
        <w:tc>
          <w:tcPr>
            <w:tcW w:w="276" w:type="pct"/>
            <w:noWrap w:val="0"/>
            <w:vAlign w:val="center"/>
          </w:tcPr>
          <w:p w14:paraId="47819936">
            <w:pPr>
              <w:widowControl/>
              <w:jc w:val="center"/>
              <w:textAlignment w:val="center"/>
              <w:rPr>
                <w:sz w:val="18"/>
                <w:szCs w:val="18"/>
              </w:rPr>
            </w:pPr>
            <w:r>
              <w:rPr>
                <w:kern w:val="0"/>
                <w:sz w:val="18"/>
                <w:szCs w:val="18"/>
                <w:lang w:bidi="ar"/>
              </w:rPr>
              <w:t>铅</w:t>
            </w:r>
          </w:p>
        </w:tc>
        <w:tc>
          <w:tcPr>
            <w:tcW w:w="267" w:type="pct"/>
            <w:noWrap w:val="0"/>
            <w:vAlign w:val="center"/>
          </w:tcPr>
          <w:p w14:paraId="0CA18F6C">
            <w:pPr>
              <w:widowControl/>
              <w:jc w:val="center"/>
              <w:textAlignment w:val="center"/>
              <w:rPr>
                <w:sz w:val="18"/>
                <w:szCs w:val="18"/>
              </w:rPr>
            </w:pPr>
            <w:r>
              <w:rPr>
                <w:kern w:val="0"/>
                <w:sz w:val="18"/>
                <w:szCs w:val="18"/>
                <w:lang w:bidi="ar"/>
              </w:rPr>
              <w:t>氟化物</w:t>
            </w:r>
          </w:p>
        </w:tc>
        <w:tc>
          <w:tcPr>
            <w:tcW w:w="293" w:type="pct"/>
            <w:noWrap w:val="0"/>
            <w:vAlign w:val="center"/>
          </w:tcPr>
          <w:p w14:paraId="47AD5982">
            <w:pPr>
              <w:widowControl/>
              <w:jc w:val="center"/>
              <w:textAlignment w:val="center"/>
              <w:rPr>
                <w:sz w:val="18"/>
                <w:szCs w:val="18"/>
              </w:rPr>
            </w:pPr>
            <w:r>
              <w:rPr>
                <w:kern w:val="0"/>
                <w:sz w:val="18"/>
                <w:szCs w:val="18"/>
                <w:lang w:bidi="ar"/>
              </w:rPr>
              <w:t>镉</w:t>
            </w:r>
          </w:p>
        </w:tc>
        <w:tc>
          <w:tcPr>
            <w:tcW w:w="302" w:type="pct"/>
            <w:noWrap w:val="0"/>
            <w:vAlign w:val="center"/>
          </w:tcPr>
          <w:p w14:paraId="29694C29">
            <w:pPr>
              <w:widowControl/>
              <w:jc w:val="center"/>
              <w:textAlignment w:val="center"/>
              <w:rPr>
                <w:sz w:val="18"/>
                <w:szCs w:val="18"/>
              </w:rPr>
            </w:pPr>
            <w:r>
              <w:rPr>
                <w:kern w:val="0"/>
                <w:sz w:val="18"/>
                <w:szCs w:val="18"/>
                <w:lang w:bidi="ar"/>
              </w:rPr>
              <w:t>铁</w:t>
            </w:r>
          </w:p>
        </w:tc>
        <w:tc>
          <w:tcPr>
            <w:tcW w:w="303" w:type="pct"/>
            <w:noWrap w:val="0"/>
            <w:vAlign w:val="center"/>
          </w:tcPr>
          <w:p w14:paraId="6F2461AC">
            <w:pPr>
              <w:widowControl/>
              <w:jc w:val="center"/>
              <w:textAlignment w:val="center"/>
              <w:rPr>
                <w:sz w:val="18"/>
                <w:szCs w:val="18"/>
              </w:rPr>
            </w:pPr>
            <w:r>
              <w:rPr>
                <w:kern w:val="0"/>
                <w:sz w:val="18"/>
                <w:szCs w:val="18"/>
                <w:lang w:bidi="ar"/>
              </w:rPr>
              <w:t>锰</w:t>
            </w:r>
          </w:p>
        </w:tc>
      </w:tr>
      <w:tr w14:paraId="5CDE2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restart"/>
            <w:shd w:val="clear" w:color="auto" w:fill="auto"/>
            <w:noWrap w:val="0"/>
            <w:vAlign w:val="center"/>
          </w:tcPr>
          <w:p w14:paraId="6AFA073D">
            <w:pPr>
              <w:widowControl/>
              <w:jc w:val="center"/>
              <w:textAlignment w:val="center"/>
              <w:rPr>
                <w:sz w:val="18"/>
                <w:szCs w:val="18"/>
              </w:rPr>
            </w:pPr>
            <w:r>
              <w:rPr>
                <w:kern w:val="0"/>
                <w:sz w:val="18"/>
                <w:szCs w:val="18"/>
                <w:lang w:bidi="ar"/>
              </w:rPr>
              <w:t>拟建项目地块一下游泉点DW2</w:t>
            </w:r>
          </w:p>
        </w:tc>
        <w:tc>
          <w:tcPr>
            <w:tcW w:w="381" w:type="pct"/>
            <w:shd w:val="clear" w:color="auto" w:fill="D7D7D7"/>
            <w:noWrap w:val="0"/>
            <w:vAlign w:val="center"/>
          </w:tcPr>
          <w:p w14:paraId="61B5F33C">
            <w:pPr>
              <w:widowControl/>
              <w:jc w:val="center"/>
              <w:textAlignment w:val="center"/>
              <w:rPr>
                <w:sz w:val="18"/>
                <w:szCs w:val="18"/>
              </w:rPr>
            </w:pPr>
            <w:r>
              <w:rPr>
                <w:kern w:val="0"/>
                <w:sz w:val="18"/>
                <w:szCs w:val="18"/>
                <w:lang w:bidi="ar"/>
              </w:rPr>
              <w:t>2021/3/28</w:t>
            </w:r>
          </w:p>
        </w:tc>
        <w:tc>
          <w:tcPr>
            <w:tcW w:w="278" w:type="pct"/>
            <w:noWrap w:val="0"/>
            <w:vAlign w:val="center"/>
          </w:tcPr>
          <w:p w14:paraId="1979EB77">
            <w:pPr>
              <w:widowControl/>
              <w:jc w:val="center"/>
              <w:textAlignment w:val="center"/>
              <w:rPr>
                <w:sz w:val="18"/>
                <w:szCs w:val="18"/>
              </w:rPr>
            </w:pPr>
            <w:r>
              <w:rPr>
                <w:kern w:val="0"/>
                <w:sz w:val="18"/>
                <w:szCs w:val="18"/>
                <w:lang w:bidi="ar"/>
              </w:rPr>
              <w:t>7.21</w:t>
            </w:r>
          </w:p>
        </w:tc>
        <w:tc>
          <w:tcPr>
            <w:tcW w:w="218" w:type="pct"/>
            <w:noWrap w:val="0"/>
            <w:vAlign w:val="center"/>
          </w:tcPr>
          <w:p w14:paraId="1B4D33BD">
            <w:pPr>
              <w:widowControl/>
              <w:jc w:val="center"/>
              <w:textAlignment w:val="center"/>
              <w:rPr>
                <w:sz w:val="18"/>
                <w:szCs w:val="18"/>
              </w:rPr>
            </w:pPr>
            <w:r>
              <w:rPr>
                <w:kern w:val="0"/>
                <w:sz w:val="18"/>
                <w:szCs w:val="18"/>
                <w:lang w:bidi="ar"/>
              </w:rPr>
              <w:t>0.058</w:t>
            </w:r>
          </w:p>
        </w:tc>
        <w:tc>
          <w:tcPr>
            <w:tcW w:w="218" w:type="pct"/>
            <w:noWrap w:val="0"/>
            <w:vAlign w:val="center"/>
          </w:tcPr>
          <w:p w14:paraId="0822EF8B">
            <w:pPr>
              <w:widowControl/>
              <w:jc w:val="center"/>
              <w:textAlignment w:val="center"/>
              <w:rPr>
                <w:sz w:val="18"/>
                <w:szCs w:val="18"/>
              </w:rPr>
            </w:pPr>
            <w:r>
              <w:rPr>
                <w:kern w:val="0"/>
                <w:sz w:val="18"/>
                <w:szCs w:val="18"/>
                <w:lang w:bidi="ar"/>
              </w:rPr>
              <w:t>1.97</w:t>
            </w:r>
          </w:p>
        </w:tc>
        <w:tc>
          <w:tcPr>
            <w:tcW w:w="333" w:type="pct"/>
            <w:noWrap w:val="0"/>
            <w:vAlign w:val="center"/>
          </w:tcPr>
          <w:p w14:paraId="7EE42C6B">
            <w:pPr>
              <w:widowControl/>
              <w:jc w:val="center"/>
              <w:textAlignment w:val="center"/>
              <w:rPr>
                <w:sz w:val="18"/>
                <w:szCs w:val="18"/>
              </w:rPr>
            </w:pPr>
            <w:r>
              <w:rPr>
                <w:kern w:val="0"/>
                <w:sz w:val="18"/>
                <w:szCs w:val="18"/>
                <w:lang w:bidi="ar"/>
              </w:rPr>
              <w:t>0.003L</w:t>
            </w:r>
          </w:p>
        </w:tc>
        <w:tc>
          <w:tcPr>
            <w:tcW w:w="359" w:type="pct"/>
            <w:noWrap w:val="0"/>
            <w:vAlign w:val="center"/>
          </w:tcPr>
          <w:p w14:paraId="13A8FF17">
            <w:pPr>
              <w:widowControl/>
              <w:jc w:val="center"/>
              <w:textAlignment w:val="center"/>
              <w:rPr>
                <w:sz w:val="18"/>
                <w:szCs w:val="18"/>
              </w:rPr>
            </w:pPr>
            <w:r>
              <w:rPr>
                <w:kern w:val="0"/>
                <w:sz w:val="18"/>
                <w:szCs w:val="18"/>
                <w:lang w:bidi="ar"/>
              </w:rPr>
              <w:t>0.0003L</w:t>
            </w:r>
          </w:p>
        </w:tc>
        <w:tc>
          <w:tcPr>
            <w:tcW w:w="355" w:type="pct"/>
            <w:noWrap w:val="0"/>
            <w:vAlign w:val="center"/>
          </w:tcPr>
          <w:p w14:paraId="7C6E7B65">
            <w:pPr>
              <w:widowControl/>
              <w:jc w:val="center"/>
              <w:textAlignment w:val="center"/>
              <w:rPr>
                <w:sz w:val="18"/>
                <w:szCs w:val="18"/>
              </w:rPr>
            </w:pPr>
            <w:r>
              <w:rPr>
                <w:kern w:val="0"/>
                <w:sz w:val="18"/>
                <w:szCs w:val="18"/>
                <w:lang w:bidi="ar"/>
              </w:rPr>
              <w:t>0.004L</w:t>
            </w:r>
          </w:p>
        </w:tc>
        <w:tc>
          <w:tcPr>
            <w:tcW w:w="284" w:type="pct"/>
            <w:noWrap w:val="0"/>
            <w:vAlign w:val="center"/>
          </w:tcPr>
          <w:p w14:paraId="1239F7CE">
            <w:pPr>
              <w:widowControl/>
              <w:jc w:val="center"/>
              <w:textAlignment w:val="center"/>
              <w:rPr>
                <w:sz w:val="18"/>
                <w:szCs w:val="18"/>
              </w:rPr>
            </w:pPr>
            <w:r>
              <w:rPr>
                <w:kern w:val="0"/>
                <w:sz w:val="18"/>
                <w:szCs w:val="18"/>
                <w:lang w:bidi="ar"/>
              </w:rPr>
              <w:t>0.005</w:t>
            </w:r>
          </w:p>
        </w:tc>
        <w:tc>
          <w:tcPr>
            <w:tcW w:w="359" w:type="pct"/>
            <w:noWrap w:val="0"/>
            <w:vAlign w:val="center"/>
          </w:tcPr>
          <w:p w14:paraId="478C4C36">
            <w:pPr>
              <w:widowControl/>
              <w:jc w:val="center"/>
              <w:textAlignment w:val="center"/>
              <w:rPr>
                <w:sz w:val="18"/>
                <w:szCs w:val="18"/>
              </w:rPr>
            </w:pPr>
            <w:r>
              <w:rPr>
                <w:kern w:val="0"/>
                <w:sz w:val="18"/>
                <w:szCs w:val="18"/>
                <w:lang w:bidi="ar"/>
              </w:rPr>
              <w:t>0.00004L</w:t>
            </w:r>
          </w:p>
        </w:tc>
        <w:tc>
          <w:tcPr>
            <w:tcW w:w="315" w:type="pct"/>
            <w:noWrap w:val="0"/>
            <w:vAlign w:val="center"/>
          </w:tcPr>
          <w:p w14:paraId="6D192820">
            <w:pPr>
              <w:widowControl/>
              <w:jc w:val="center"/>
              <w:textAlignment w:val="center"/>
              <w:rPr>
                <w:sz w:val="18"/>
                <w:szCs w:val="18"/>
              </w:rPr>
            </w:pPr>
            <w:r>
              <w:rPr>
                <w:kern w:val="0"/>
                <w:sz w:val="18"/>
                <w:szCs w:val="18"/>
                <w:lang w:bidi="ar"/>
              </w:rPr>
              <w:t>0.004L</w:t>
            </w:r>
          </w:p>
        </w:tc>
        <w:tc>
          <w:tcPr>
            <w:tcW w:w="302" w:type="pct"/>
            <w:noWrap w:val="0"/>
            <w:vAlign w:val="center"/>
          </w:tcPr>
          <w:p w14:paraId="32D6DAC3">
            <w:pPr>
              <w:widowControl/>
              <w:jc w:val="center"/>
              <w:textAlignment w:val="center"/>
              <w:rPr>
                <w:sz w:val="18"/>
                <w:szCs w:val="18"/>
              </w:rPr>
            </w:pPr>
            <w:r>
              <w:rPr>
                <w:kern w:val="0"/>
                <w:sz w:val="18"/>
                <w:szCs w:val="18"/>
                <w:lang w:bidi="ar"/>
              </w:rPr>
              <w:t>238</w:t>
            </w:r>
          </w:p>
        </w:tc>
        <w:tc>
          <w:tcPr>
            <w:tcW w:w="276" w:type="pct"/>
            <w:noWrap w:val="0"/>
            <w:vAlign w:val="center"/>
          </w:tcPr>
          <w:p w14:paraId="29D4B522">
            <w:pPr>
              <w:widowControl/>
              <w:jc w:val="center"/>
              <w:textAlignment w:val="center"/>
              <w:rPr>
                <w:sz w:val="18"/>
                <w:szCs w:val="18"/>
              </w:rPr>
            </w:pPr>
            <w:r>
              <w:rPr>
                <w:kern w:val="0"/>
                <w:sz w:val="18"/>
                <w:szCs w:val="18"/>
                <w:lang w:bidi="ar"/>
              </w:rPr>
              <w:t>0.01L</w:t>
            </w:r>
          </w:p>
        </w:tc>
        <w:tc>
          <w:tcPr>
            <w:tcW w:w="267" w:type="pct"/>
            <w:noWrap w:val="0"/>
            <w:vAlign w:val="center"/>
          </w:tcPr>
          <w:p w14:paraId="5E84A161">
            <w:pPr>
              <w:widowControl/>
              <w:jc w:val="center"/>
              <w:textAlignment w:val="center"/>
              <w:rPr>
                <w:sz w:val="18"/>
                <w:szCs w:val="18"/>
              </w:rPr>
            </w:pPr>
            <w:r>
              <w:rPr>
                <w:kern w:val="0"/>
                <w:sz w:val="18"/>
                <w:szCs w:val="18"/>
                <w:lang w:bidi="ar"/>
              </w:rPr>
              <w:t>0.21</w:t>
            </w:r>
          </w:p>
        </w:tc>
        <w:tc>
          <w:tcPr>
            <w:tcW w:w="293" w:type="pct"/>
            <w:noWrap w:val="0"/>
            <w:vAlign w:val="center"/>
          </w:tcPr>
          <w:p w14:paraId="22693730">
            <w:pPr>
              <w:widowControl/>
              <w:jc w:val="center"/>
              <w:textAlignment w:val="center"/>
              <w:rPr>
                <w:sz w:val="18"/>
                <w:szCs w:val="18"/>
              </w:rPr>
            </w:pPr>
            <w:r>
              <w:rPr>
                <w:kern w:val="0"/>
                <w:sz w:val="18"/>
                <w:szCs w:val="18"/>
                <w:lang w:bidi="ar"/>
              </w:rPr>
              <w:t>0.001L</w:t>
            </w:r>
          </w:p>
        </w:tc>
        <w:tc>
          <w:tcPr>
            <w:tcW w:w="302" w:type="pct"/>
            <w:noWrap w:val="0"/>
            <w:vAlign w:val="center"/>
          </w:tcPr>
          <w:p w14:paraId="2482590A">
            <w:pPr>
              <w:widowControl/>
              <w:jc w:val="center"/>
              <w:textAlignment w:val="center"/>
              <w:rPr>
                <w:sz w:val="18"/>
                <w:szCs w:val="18"/>
              </w:rPr>
            </w:pPr>
            <w:r>
              <w:rPr>
                <w:kern w:val="0"/>
                <w:sz w:val="18"/>
                <w:szCs w:val="18"/>
                <w:lang w:bidi="ar"/>
              </w:rPr>
              <w:t>0.01L</w:t>
            </w:r>
          </w:p>
        </w:tc>
        <w:tc>
          <w:tcPr>
            <w:tcW w:w="303" w:type="pct"/>
            <w:noWrap w:val="0"/>
            <w:vAlign w:val="center"/>
          </w:tcPr>
          <w:p w14:paraId="6304D30C">
            <w:pPr>
              <w:widowControl/>
              <w:jc w:val="center"/>
              <w:textAlignment w:val="center"/>
              <w:rPr>
                <w:sz w:val="18"/>
                <w:szCs w:val="18"/>
              </w:rPr>
            </w:pPr>
            <w:r>
              <w:rPr>
                <w:kern w:val="0"/>
                <w:sz w:val="18"/>
                <w:szCs w:val="18"/>
                <w:lang w:bidi="ar"/>
              </w:rPr>
              <w:t>0.01L</w:t>
            </w:r>
          </w:p>
        </w:tc>
      </w:tr>
      <w:tr w14:paraId="4A517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149" w:type="pct"/>
            <w:vMerge w:val="continue"/>
            <w:shd w:val="clear" w:color="auto" w:fill="auto"/>
            <w:noWrap w:val="0"/>
            <w:vAlign w:val="center"/>
          </w:tcPr>
          <w:p w14:paraId="4EE94C09">
            <w:pPr>
              <w:jc w:val="center"/>
              <w:rPr>
                <w:sz w:val="18"/>
                <w:szCs w:val="18"/>
              </w:rPr>
            </w:pPr>
          </w:p>
        </w:tc>
        <w:tc>
          <w:tcPr>
            <w:tcW w:w="381" w:type="pct"/>
            <w:shd w:val="clear" w:color="auto" w:fill="D7D7D7"/>
            <w:noWrap w:val="0"/>
            <w:vAlign w:val="center"/>
          </w:tcPr>
          <w:p w14:paraId="26D1A7AD">
            <w:pPr>
              <w:widowControl/>
              <w:jc w:val="center"/>
              <w:textAlignment w:val="center"/>
              <w:rPr>
                <w:sz w:val="18"/>
                <w:szCs w:val="18"/>
              </w:rPr>
            </w:pPr>
            <w:r>
              <w:rPr>
                <w:kern w:val="0"/>
                <w:sz w:val="18"/>
                <w:szCs w:val="18"/>
                <w:lang w:bidi="ar"/>
              </w:rPr>
              <w:t>2021/3/29</w:t>
            </w:r>
          </w:p>
        </w:tc>
        <w:tc>
          <w:tcPr>
            <w:tcW w:w="278" w:type="pct"/>
            <w:noWrap w:val="0"/>
            <w:vAlign w:val="center"/>
          </w:tcPr>
          <w:p w14:paraId="3F65C046">
            <w:pPr>
              <w:widowControl/>
              <w:jc w:val="center"/>
              <w:textAlignment w:val="center"/>
              <w:rPr>
                <w:sz w:val="18"/>
                <w:szCs w:val="18"/>
              </w:rPr>
            </w:pPr>
            <w:r>
              <w:rPr>
                <w:kern w:val="0"/>
                <w:sz w:val="18"/>
                <w:szCs w:val="18"/>
                <w:lang w:bidi="ar"/>
              </w:rPr>
              <w:t>7.24</w:t>
            </w:r>
          </w:p>
        </w:tc>
        <w:tc>
          <w:tcPr>
            <w:tcW w:w="218" w:type="pct"/>
            <w:noWrap w:val="0"/>
            <w:vAlign w:val="center"/>
          </w:tcPr>
          <w:p w14:paraId="13CBA93A">
            <w:pPr>
              <w:widowControl/>
              <w:jc w:val="center"/>
              <w:textAlignment w:val="center"/>
              <w:rPr>
                <w:sz w:val="18"/>
                <w:szCs w:val="18"/>
              </w:rPr>
            </w:pPr>
            <w:r>
              <w:rPr>
                <w:kern w:val="0"/>
                <w:sz w:val="18"/>
                <w:szCs w:val="18"/>
                <w:lang w:bidi="ar"/>
              </w:rPr>
              <w:t>0.055</w:t>
            </w:r>
          </w:p>
        </w:tc>
        <w:tc>
          <w:tcPr>
            <w:tcW w:w="218" w:type="pct"/>
            <w:noWrap w:val="0"/>
            <w:vAlign w:val="center"/>
          </w:tcPr>
          <w:p w14:paraId="49FC645D">
            <w:pPr>
              <w:widowControl/>
              <w:jc w:val="center"/>
              <w:textAlignment w:val="center"/>
              <w:rPr>
                <w:sz w:val="18"/>
                <w:szCs w:val="18"/>
              </w:rPr>
            </w:pPr>
            <w:r>
              <w:rPr>
                <w:kern w:val="0"/>
                <w:sz w:val="18"/>
                <w:szCs w:val="18"/>
                <w:lang w:bidi="ar"/>
              </w:rPr>
              <w:t>1.95</w:t>
            </w:r>
          </w:p>
        </w:tc>
        <w:tc>
          <w:tcPr>
            <w:tcW w:w="333" w:type="pct"/>
            <w:noWrap w:val="0"/>
            <w:vAlign w:val="center"/>
          </w:tcPr>
          <w:p w14:paraId="0D6A9B26">
            <w:pPr>
              <w:widowControl/>
              <w:jc w:val="center"/>
              <w:textAlignment w:val="center"/>
              <w:rPr>
                <w:sz w:val="18"/>
                <w:szCs w:val="18"/>
              </w:rPr>
            </w:pPr>
            <w:r>
              <w:rPr>
                <w:kern w:val="0"/>
                <w:sz w:val="18"/>
                <w:szCs w:val="18"/>
                <w:lang w:bidi="ar"/>
              </w:rPr>
              <w:t>0.003L</w:t>
            </w:r>
          </w:p>
        </w:tc>
        <w:tc>
          <w:tcPr>
            <w:tcW w:w="359" w:type="pct"/>
            <w:noWrap w:val="0"/>
            <w:vAlign w:val="center"/>
          </w:tcPr>
          <w:p w14:paraId="7752AFD5">
            <w:pPr>
              <w:widowControl/>
              <w:jc w:val="center"/>
              <w:textAlignment w:val="center"/>
              <w:rPr>
                <w:sz w:val="18"/>
                <w:szCs w:val="18"/>
              </w:rPr>
            </w:pPr>
            <w:r>
              <w:rPr>
                <w:kern w:val="0"/>
                <w:sz w:val="18"/>
                <w:szCs w:val="18"/>
                <w:lang w:bidi="ar"/>
              </w:rPr>
              <w:t>0.0003L</w:t>
            </w:r>
          </w:p>
        </w:tc>
        <w:tc>
          <w:tcPr>
            <w:tcW w:w="355" w:type="pct"/>
            <w:noWrap w:val="0"/>
            <w:vAlign w:val="center"/>
          </w:tcPr>
          <w:p w14:paraId="32F5DC80">
            <w:pPr>
              <w:widowControl/>
              <w:jc w:val="center"/>
              <w:textAlignment w:val="center"/>
              <w:rPr>
                <w:sz w:val="18"/>
                <w:szCs w:val="18"/>
              </w:rPr>
            </w:pPr>
            <w:r>
              <w:rPr>
                <w:kern w:val="0"/>
                <w:sz w:val="18"/>
                <w:szCs w:val="18"/>
                <w:lang w:bidi="ar"/>
              </w:rPr>
              <w:t>0.004L</w:t>
            </w:r>
          </w:p>
        </w:tc>
        <w:tc>
          <w:tcPr>
            <w:tcW w:w="284" w:type="pct"/>
            <w:noWrap w:val="0"/>
            <w:vAlign w:val="center"/>
          </w:tcPr>
          <w:p w14:paraId="675357CC">
            <w:pPr>
              <w:widowControl/>
              <w:jc w:val="center"/>
              <w:textAlignment w:val="center"/>
              <w:rPr>
                <w:sz w:val="18"/>
                <w:szCs w:val="18"/>
              </w:rPr>
            </w:pPr>
            <w:r>
              <w:rPr>
                <w:kern w:val="0"/>
                <w:sz w:val="18"/>
                <w:szCs w:val="18"/>
                <w:lang w:bidi="ar"/>
              </w:rPr>
              <w:t>0.0054</w:t>
            </w:r>
          </w:p>
        </w:tc>
        <w:tc>
          <w:tcPr>
            <w:tcW w:w="359" w:type="pct"/>
            <w:noWrap w:val="0"/>
            <w:vAlign w:val="center"/>
          </w:tcPr>
          <w:p w14:paraId="369F78EB">
            <w:pPr>
              <w:widowControl/>
              <w:jc w:val="center"/>
              <w:textAlignment w:val="center"/>
              <w:rPr>
                <w:sz w:val="18"/>
                <w:szCs w:val="18"/>
              </w:rPr>
            </w:pPr>
            <w:r>
              <w:rPr>
                <w:kern w:val="0"/>
                <w:sz w:val="18"/>
                <w:szCs w:val="18"/>
                <w:lang w:bidi="ar"/>
              </w:rPr>
              <w:t>0.00004L</w:t>
            </w:r>
          </w:p>
        </w:tc>
        <w:tc>
          <w:tcPr>
            <w:tcW w:w="315" w:type="pct"/>
            <w:noWrap w:val="0"/>
            <w:vAlign w:val="center"/>
          </w:tcPr>
          <w:p w14:paraId="11CADCBD">
            <w:pPr>
              <w:widowControl/>
              <w:jc w:val="center"/>
              <w:textAlignment w:val="center"/>
              <w:rPr>
                <w:sz w:val="18"/>
                <w:szCs w:val="18"/>
              </w:rPr>
            </w:pPr>
            <w:r>
              <w:rPr>
                <w:kern w:val="0"/>
                <w:sz w:val="18"/>
                <w:szCs w:val="18"/>
                <w:lang w:bidi="ar"/>
              </w:rPr>
              <w:t>0.004L</w:t>
            </w:r>
          </w:p>
        </w:tc>
        <w:tc>
          <w:tcPr>
            <w:tcW w:w="302" w:type="pct"/>
            <w:noWrap w:val="0"/>
            <w:vAlign w:val="center"/>
          </w:tcPr>
          <w:p w14:paraId="4E921455">
            <w:pPr>
              <w:widowControl/>
              <w:jc w:val="center"/>
              <w:textAlignment w:val="center"/>
              <w:rPr>
                <w:sz w:val="18"/>
                <w:szCs w:val="18"/>
              </w:rPr>
            </w:pPr>
            <w:r>
              <w:rPr>
                <w:kern w:val="0"/>
                <w:sz w:val="18"/>
                <w:szCs w:val="18"/>
                <w:lang w:bidi="ar"/>
              </w:rPr>
              <w:t>224</w:t>
            </w:r>
          </w:p>
        </w:tc>
        <w:tc>
          <w:tcPr>
            <w:tcW w:w="276" w:type="pct"/>
            <w:noWrap w:val="0"/>
            <w:vAlign w:val="center"/>
          </w:tcPr>
          <w:p w14:paraId="76FFA474">
            <w:pPr>
              <w:widowControl/>
              <w:jc w:val="center"/>
              <w:textAlignment w:val="center"/>
              <w:rPr>
                <w:sz w:val="18"/>
                <w:szCs w:val="18"/>
              </w:rPr>
            </w:pPr>
            <w:r>
              <w:rPr>
                <w:kern w:val="0"/>
                <w:sz w:val="18"/>
                <w:szCs w:val="18"/>
                <w:lang w:bidi="ar"/>
              </w:rPr>
              <w:t>0.01L</w:t>
            </w:r>
          </w:p>
        </w:tc>
        <w:tc>
          <w:tcPr>
            <w:tcW w:w="267" w:type="pct"/>
            <w:noWrap w:val="0"/>
            <w:vAlign w:val="center"/>
          </w:tcPr>
          <w:p w14:paraId="46B9FD9F">
            <w:pPr>
              <w:widowControl/>
              <w:jc w:val="center"/>
              <w:textAlignment w:val="center"/>
              <w:rPr>
                <w:sz w:val="18"/>
                <w:szCs w:val="18"/>
              </w:rPr>
            </w:pPr>
            <w:r>
              <w:rPr>
                <w:kern w:val="0"/>
                <w:sz w:val="18"/>
                <w:szCs w:val="18"/>
                <w:lang w:bidi="ar"/>
              </w:rPr>
              <w:t>0.24</w:t>
            </w:r>
          </w:p>
        </w:tc>
        <w:tc>
          <w:tcPr>
            <w:tcW w:w="293" w:type="pct"/>
            <w:noWrap w:val="0"/>
            <w:vAlign w:val="center"/>
          </w:tcPr>
          <w:p w14:paraId="41BC182D">
            <w:pPr>
              <w:widowControl/>
              <w:jc w:val="center"/>
              <w:textAlignment w:val="center"/>
              <w:rPr>
                <w:sz w:val="18"/>
                <w:szCs w:val="18"/>
              </w:rPr>
            </w:pPr>
            <w:r>
              <w:rPr>
                <w:kern w:val="0"/>
                <w:sz w:val="18"/>
                <w:szCs w:val="18"/>
                <w:lang w:bidi="ar"/>
              </w:rPr>
              <w:t>0.001L</w:t>
            </w:r>
          </w:p>
        </w:tc>
        <w:tc>
          <w:tcPr>
            <w:tcW w:w="302" w:type="pct"/>
            <w:noWrap w:val="0"/>
            <w:vAlign w:val="center"/>
          </w:tcPr>
          <w:p w14:paraId="5A6D377C">
            <w:pPr>
              <w:widowControl/>
              <w:jc w:val="center"/>
              <w:textAlignment w:val="center"/>
              <w:rPr>
                <w:sz w:val="18"/>
                <w:szCs w:val="18"/>
              </w:rPr>
            </w:pPr>
            <w:r>
              <w:rPr>
                <w:kern w:val="0"/>
                <w:sz w:val="18"/>
                <w:szCs w:val="18"/>
                <w:lang w:bidi="ar"/>
              </w:rPr>
              <w:t>0.01L</w:t>
            </w:r>
          </w:p>
        </w:tc>
        <w:tc>
          <w:tcPr>
            <w:tcW w:w="303" w:type="pct"/>
            <w:noWrap w:val="0"/>
            <w:vAlign w:val="center"/>
          </w:tcPr>
          <w:p w14:paraId="6A7B1FAC">
            <w:pPr>
              <w:widowControl/>
              <w:jc w:val="center"/>
              <w:textAlignment w:val="center"/>
              <w:rPr>
                <w:sz w:val="18"/>
                <w:szCs w:val="18"/>
              </w:rPr>
            </w:pPr>
            <w:r>
              <w:rPr>
                <w:kern w:val="0"/>
                <w:sz w:val="18"/>
                <w:szCs w:val="18"/>
                <w:lang w:bidi="ar"/>
              </w:rPr>
              <w:t>0.01L</w:t>
            </w:r>
          </w:p>
        </w:tc>
      </w:tr>
      <w:tr w14:paraId="370EA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47917FFC">
            <w:pPr>
              <w:jc w:val="center"/>
              <w:rPr>
                <w:sz w:val="18"/>
                <w:szCs w:val="18"/>
              </w:rPr>
            </w:pPr>
          </w:p>
        </w:tc>
        <w:tc>
          <w:tcPr>
            <w:tcW w:w="381" w:type="pct"/>
            <w:shd w:val="clear" w:color="auto" w:fill="D7D7D7"/>
            <w:noWrap w:val="0"/>
            <w:vAlign w:val="center"/>
          </w:tcPr>
          <w:p w14:paraId="18445ABD">
            <w:pPr>
              <w:widowControl/>
              <w:jc w:val="center"/>
              <w:textAlignment w:val="center"/>
              <w:rPr>
                <w:sz w:val="18"/>
                <w:szCs w:val="18"/>
              </w:rPr>
            </w:pPr>
            <w:r>
              <w:rPr>
                <w:kern w:val="0"/>
                <w:sz w:val="18"/>
                <w:szCs w:val="18"/>
                <w:lang w:bidi="ar"/>
              </w:rPr>
              <w:t>2021/3/30</w:t>
            </w:r>
          </w:p>
        </w:tc>
        <w:tc>
          <w:tcPr>
            <w:tcW w:w="278" w:type="pct"/>
            <w:noWrap w:val="0"/>
            <w:vAlign w:val="center"/>
          </w:tcPr>
          <w:p w14:paraId="25E8D3A9">
            <w:pPr>
              <w:widowControl/>
              <w:jc w:val="center"/>
              <w:textAlignment w:val="center"/>
              <w:rPr>
                <w:sz w:val="18"/>
                <w:szCs w:val="18"/>
              </w:rPr>
            </w:pPr>
            <w:r>
              <w:rPr>
                <w:kern w:val="0"/>
                <w:sz w:val="18"/>
                <w:szCs w:val="18"/>
                <w:lang w:bidi="ar"/>
              </w:rPr>
              <w:t>7.36</w:t>
            </w:r>
          </w:p>
        </w:tc>
        <w:tc>
          <w:tcPr>
            <w:tcW w:w="218" w:type="pct"/>
            <w:noWrap w:val="0"/>
            <w:vAlign w:val="center"/>
          </w:tcPr>
          <w:p w14:paraId="0694C15F">
            <w:pPr>
              <w:widowControl/>
              <w:jc w:val="center"/>
              <w:textAlignment w:val="center"/>
              <w:rPr>
                <w:sz w:val="18"/>
                <w:szCs w:val="18"/>
              </w:rPr>
            </w:pPr>
            <w:r>
              <w:rPr>
                <w:kern w:val="0"/>
                <w:sz w:val="18"/>
                <w:szCs w:val="18"/>
                <w:lang w:bidi="ar"/>
              </w:rPr>
              <w:t>0.062</w:t>
            </w:r>
          </w:p>
        </w:tc>
        <w:tc>
          <w:tcPr>
            <w:tcW w:w="218" w:type="pct"/>
            <w:noWrap w:val="0"/>
            <w:vAlign w:val="center"/>
          </w:tcPr>
          <w:p w14:paraId="1CB6E719">
            <w:pPr>
              <w:widowControl/>
              <w:jc w:val="center"/>
              <w:textAlignment w:val="center"/>
              <w:rPr>
                <w:sz w:val="18"/>
                <w:szCs w:val="18"/>
              </w:rPr>
            </w:pPr>
            <w:r>
              <w:rPr>
                <w:kern w:val="0"/>
                <w:sz w:val="18"/>
                <w:szCs w:val="18"/>
                <w:lang w:bidi="ar"/>
              </w:rPr>
              <w:t>1.91</w:t>
            </w:r>
          </w:p>
        </w:tc>
        <w:tc>
          <w:tcPr>
            <w:tcW w:w="333" w:type="pct"/>
            <w:noWrap w:val="0"/>
            <w:vAlign w:val="center"/>
          </w:tcPr>
          <w:p w14:paraId="7D428FE8">
            <w:pPr>
              <w:widowControl/>
              <w:jc w:val="center"/>
              <w:textAlignment w:val="center"/>
              <w:rPr>
                <w:sz w:val="18"/>
                <w:szCs w:val="18"/>
              </w:rPr>
            </w:pPr>
            <w:r>
              <w:rPr>
                <w:kern w:val="0"/>
                <w:sz w:val="18"/>
                <w:szCs w:val="18"/>
                <w:lang w:bidi="ar"/>
              </w:rPr>
              <w:t>0.003L</w:t>
            </w:r>
          </w:p>
        </w:tc>
        <w:tc>
          <w:tcPr>
            <w:tcW w:w="359" w:type="pct"/>
            <w:noWrap w:val="0"/>
            <w:vAlign w:val="center"/>
          </w:tcPr>
          <w:p w14:paraId="190046F9">
            <w:pPr>
              <w:widowControl/>
              <w:jc w:val="center"/>
              <w:textAlignment w:val="center"/>
              <w:rPr>
                <w:sz w:val="18"/>
                <w:szCs w:val="18"/>
              </w:rPr>
            </w:pPr>
            <w:r>
              <w:rPr>
                <w:kern w:val="0"/>
                <w:sz w:val="18"/>
                <w:szCs w:val="18"/>
                <w:lang w:bidi="ar"/>
              </w:rPr>
              <w:t>0.0003L</w:t>
            </w:r>
          </w:p>
        </w:tc>
        <w:tc>
          <w:tcPr>
            <w:tcW w:w="355" w:type="pct"/>
            <w:noWrap w:val="0"/>
            <w:vAlign w:val="center"/>
          </w:tcPr>
          <w:p w14:paraId="05F437BC">
            <w:pPr>
              <w:widowControl/>
              <w:jc w:val="center"/>
              <w:textAlignment w:val="center"/>
              <w:rPr>
                <w:sz w:val="18"/>
                <w:szCs w:val="18"/>
              </w:rPr>
            </w:pPr>
            <w:r>
              <w:rPr>
                <w:kern w:val="0"/>
                <w:sz w:val="18"/>
                <w:szCs w:val="18"/>
                <w:lang w:bidi="ar"/>
              </w:rPr>
              <w:t>0.004L</w:t>
            </w:r>
          </w:p>
        </w:tc>
        <w:tc>
          <w:tcPr>
            <w:tcW w:w="284" w:type="pct"/>
            <w:noWrap w:val="0"/>
            <w:vAlign w:val="center"/>
          </w:tcPr>
          <w:p w14:paraId="3A0F4415">
            <w:pPr>
              <w:widowControl/>
              <w:jc w:val="center"/>
              <w:textAlignment w:val="center"/>
              <w:rPr>
                <w:sz w:val="18"/>
                <w:szCs w:val="18"/>
              </w:rPr>
            </w:pPr>
            <w:r>
              <w:rPr>
                <w:kern w:val="0"/>
                <w:sz w:val="18"/>
                <w:szCs w:val="18"/>
                <w:lang w:bidi="ar"/>
              </w:rPr>
              <w:t>0.0051</w:t>
            </w:r>
          </w:p>
        </w:tc>
        <w:tc>
          <w:tcPr>
            <w:tcW w:w="359" w:type="pct"/>
            <w:noWrap w:val="0"/>
            <w:vAlign w:val="center"/>
          </w:tcPr>
          <w:p w14:paraId="7EF8CB92">
            <w:pPr>
              <w:widowControl/>
              <w:jc w:val="center"/>
              <w:textAlignment w:val="center"/>
              <w:rPr>
                <w:sz w:val="18"/>
                <w:szCs w:val="18"/>
              </w:rPr>
            </w:pPr>
            <w:r>
              <w:rPr>
                <w:kern w:val="0"/>
                <w:sz w:val="18"/>
                <w:szCs w:val="18"/>
                <w:lang w:bidi="ar"/>
              </w:rPr>
              <w:t>0.00004L</w:t>
            </w:r>
          </w:p>
        </w:tc>
        <w:tc>
          <w:tcPr>
            <w:tcW w:w="315" w:type="pct"/>
            <w:noWrap w:val="0"/>
            <w:vAlign w:val="center"/>
          </w:tcPr>
          <w:p w14:paraId="2D6418B6">
            <w:pPr>
              <w:widowControl/>
              <w:jc w:val="center"/>
              <w:textAlignment w:val="center"/>
              <w:rPr>
                <w:sz w:val="18"/>
                <w:szCs w:val="18"/>
              </w:rPr>
            </w:pPr>
            <w:r>
              <w:rPr>
                <w:kern w:val="0"/>
                <w:sz w:val="18"/>
                <w:szCs w:val="18"/>
                <w:lang w:bidi="ar"/>
              </w:rPr>
              <w:t>0.004L</w:t>
            </w:r>
          </w:p>
        </w:tc>
        <w:tc>
          <w:tcPr>
            <w:tcW w:w="302" w:type="pct"/>
            <w:noWrap w:val="0"/>
            <w:vAlign w:val="center"/>
          </w:tcPr>
          <w:p w14:paraId="6FEFD899">
            <w:pPr>
              <w:widowControl/>
              <w:jc w:val="center"/>
              <w:textAlignment w:val="center"/>
              <w:rPr>
                <w:sz w:val="18"/>
                <w:szCs w:val="18"/>
              </w:rPr>
            </w:pPr>
            <w:r>
              <w:rPr>
                <w:kern w:val="0"/>
                <w:sz w:val="18"/>
                <w:szCs w:val="18"/>
                <w:lang w:bidi="ar"/>
              </w:rPr>
              <w:t>229</w:t>
            </w:r>
          </w:p>
        </w:tc>
        <w:tc>
          <w:tcPr>
            <w:tcW w:w="276" w:type="pct"/>
            <w:noWrap w:val="0"/>
            <w:vAlign w:val="center"/>
          </w:tcPr>
          <w:p w14:paraId="19E1AC55">
            <w:pPr>
              <w:widowControl/>
              <w:jc w:val="center"/>
              <w:textAlignment w:val="center"/>
              <w:rPr>
                <w:sz w:val="18"/>
                <w:szCs w:val="18"/>
              </w:rPr>
            </w:pPr>
            <w:r>
              <w:rPr>
                <w:kern w:val="0"/>
                <w:sz w:val="18"/>
                <w:szCs w:val="18"/>
                <w:lang w:bidi="ar"/>
              </w:rPr>
              <w:t>0.01L</w:t>
            </w:r>
          </w:p>
        </w:tc>
        <w:tc>
          <w:tcPr>
            <w:tcW w:w="267" w:type="pct"/>
            <w:noWrap w:val="0"/>
            <w:vAlign w:val="center"/>
          </w:tcPr>
          <w:p w14:paraId="5895F6C2">
            <w:pPr>
              <w:widowControl/>
              <w:jc w:val="center"/>
              <w:textAlignment w:val="center"/>
              <w:rPr>
                <w:sz w:val="18"/>
                <w:szCs w:val="18"/>
              </w:rPr>
            </w:pPr>
            <w:r>
              <w:rPr>
                <w:kern w:val="0"/>
                <w:sz w:val="18"/>
                <w:szCs w:val="18"/>
                <w:lang w:bidi="ar"/>
              </w:rPr>
              <w:t>0.23</w:t>
            </w:r>
          </w:p>
        </w:tc>
        <w:tc>
          <w:tcPr>
            <w:tcW w:w="293" w:type="pct"/>
            <w:noWrap w:val="0"/>
            <w:vAlign w:val="center"/>
          </w:tcPr>
          <w:p w14:paraId="0A7695D2">
            <w:pPr>
              <w:widowControl/>
              <w:jc w:val="center"/>
              <w:textAlignment w:val="center"/>
              <w:rPr>
                <w:sz w:val="18"/>
                <w:szCs w:val="18"/>
              </w:rPr>
            </w:pPr>
            <w:r>
              <w:rPr>
                <w:kern w:val="0"/>
                <w:sz w:val="18"/>
                <w:szCs w:val="18"/>
                <w:lang w:bidi="ar"/>
              </w:rPr>
              <w:t>0.001L</w:t>
            </w:r>
          </w:p>
        </w:tc>
        <w:tc>
          <w:tcPr>
            <w:tcW w:w="302" w:type="pct"/>
            <w:noWrap w:val="0"/>
            <w:vAlign w:val="center"/>
          </w:tcPr>
          <w:p w14:paraId="6B06A667">
            <w:pPr>
              <w:widowControl/>
              <w:jc w:val="center"/>
              <w:textAlignment w:val="center"/>
              <w:rPr>
                <w:sz w:val="18"/>
                <w:szCs w:val="18"/>
              </w:rPr>
            </w:pPr>
            <w:r>
              <w:rPr>
                <w:kern w:val="0"/>
                <w:sz w:val="18"/>
                <w:szCs w:val="18"/>
                <w:lang w:bidi="ar"/>
              </w:rPr>
              <w:t>0.01L</w:t>
            </w:r>
          </w:p>
        </w:tc>
        <w:tc>
          <w:tcPr>
            <w:tcW w:w="303" w:type="pct"/>
            <w:noWrap w:val="0"/>
            <w:vAlign w:val="center"/>
          </w:tcPr>
          <w:p w14:paraId="47675620">
            <w:pPr>
              <w:widowControl/>
              <w:jc w:val="center"/>
              <w:textAlignment w:val="center"/>
              <w:rPr>
                <w:sz w:val="18"/>
                <w:szCs w:val="18"/>
              </w:rPr>
            </w:pPr>
            <w:r>
              <w:rPr>
                <w:kern w:val="0"/>
                <w:sz w:val="18"/>
                <w:szCs w:val="18"/>
                <w:lang w:bidi="ar"/>
              </w:rPr>
              <w:t>0.01L</w:t>
            </w:r>
          </w:p>
        </w:tc>
      </w:tr>
      <w:tr w14:paraId="47FC7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FFBD25E">
            <w:pPr>
              <w:jc w:val="center"/>
              <w:rPr>
                <w:sz w:val="18"/>
                <w:szCs w:val="18"/>
              </w:rPr>
            </w:pPr>
          </w:p>
        </w:tc>
        <w:tc>
          <w:tcPr>
            <w:tcW w:w="381" w:type="pct"/>
            <w:shd w:val="clear" w:color="auto" w:fill="D7D7D7"/>
            <w:noWrap w:val="0"/>
            <w:vAlign w:val="center"/>
          </w:tcPr>
          <w:p w14:paraId="0B01946D">
            <w:pPr>
              <w:widowControl/>
              <w:jc w:val="center"/>
              <w:textAlignment w:val="center"/>
              <w:rPr>
                <w:sz w:val="18"/>
                <w:szCs w:val="18"/>
              </w:rPr>
            </w:pPr>
            <w:r>
              <w:rPr>
                <w:kern w:val="0"/>
                <w:sz w:val="18"/>
                <w:szCs w:val="18"/>
                <w:lang w:bidi="ar"/>
              </w:rPr>
              <w:t>最大值</w:t>
            </w:r>
          </w:p>
        </w:tc>
        <w:tc>
          <w:tcPr>
            <w:tcW w:w="278" w:type="pct"/>
            <w:noWrap w:val="0"/>
            <w:vAlign w:val="center"/>
          </w:tcPr>
          <w:p w14:paraId="166EEF37">
            <w:pPr>
              <w:widowControl/>
              <w:jc w:val="center"/>
              <w:textAlignment w:val="center"/>
              <w:rPr>
                <w:sz w:val="18"/>
                <w:szCs w:val="18"/>
              </w:rPr>
            </w:pPr>
            <w:r>
              <w:rPr>
                <w:kern w:val="0"/>
                <w:sz w:val="18"/>
                <w:szCs w:val="18"/>
                <w:lang w:bidi="ar"/>
              </w:rPr>
              <w:t>7.39</w:t>
            </w:r>
          </w:p>
        </w:tc>
        <w:tc>
          <w:tcPr>
            <w:tcW w:w="218" w:type="pct"/>
            <w:noWrap w:val="0"/>
            <w:vAlign w:val="center"/>
          </w:tcPr>
          <w:p w14:paraId="38058BC2">
            <w:pPr>
              <w:widowControl/>
              <w:jc w:val="center"/>
              <w:textAlignment w:val="center"/>
              <w:rPr>
                <w:sz w:val="18"/>
                <w:szCs w:val="18"/>
              </w:rPr>
            </w:pPr>
            <w:r>
              <w:rPr>
                <w:kern w:val="0"/>
                <w:sz w:val="18"/>
                <w:szCs w:val="18"/>
                <w:lang w:bidi="ar"/>
              </w:rPr>
              <w:t>0.062</w:t>
            </w:r>
          </w:p>
        </w:tc>
        <w:tc>
          <w:tcPr>
            <w:tcW w:w="218" w:type="pct"/>
            <w:noWrap w:val="0"/>
            <w:vAlign w:val="center"/>
          </w:tcPr>
          <w:p w14:paraId="5D8EFEB8">
            <w:pPr>
              <w:widowControl/>
              <w:jc w:val="center"/>
              <w:textAlignment w:val="center"/>
              <w:rPr>
                <w:sz w:val="18"/>
                <w:szCs w:val="18"/>
              </w:rPr>
            </w:pPr>
            <w:r>
              <w:rPr>
                <w:kern w:val="0"/>
                <w:sz w:val="18"/>
                <w:szCs w:val="18"/>
                <w:lang w:bidi="ar"/>
              </w:rPr>
              <w:t>1.97</w:t>
            </w:r>
          </w:p>
        </w:tc>
        <w:tc>
          <w:tcPr>
            <w:tcW w:w="333" w:type="pct"/>
            <w:noWrap w:val="0"/>
            <w:vAlign w:val="center"/>
          </w:tcPr>
          <w:p w14:paraId="1C7EC834">
            <w:pPr>
              <w:widowControl/>
              <w:jc w:val="center"/>
              <w:textAlignment w:val="center"/>
              <w:rPr>
                <w:sz w:val="18"/>
                <w:szCs w:val="18"/>
              </w:rPr>
            </w:pPr>
            <w:r>
              <w:rPr>
                <w:sz w:val="18"/>
                <w:szCs w:val="18"/>
              </w:rPr>
              <w:t>/</w:t>
            </w:r>
          </w:p>
        </w:tc>
        <w:tc>
          <w:tcPr>
            <w:tcW w:w="359" w:type="pct"/>
            <w:noWrap w:val="0"/>
            <w:vAlign w:val="center"/>
          </w:tcPr>
          <w:p w14:paraId="63B69CAF">
            <w:pPr>
              <w:widowControl/>
              <w:jc w:val="center"/>
              <w:textAlignment w:val="center"/>
              <w:rPr>
                <w:sz w:val="18"/>
                <w:szCs w:val="18"/>
              </w:rPr>
            </w:pPr>
            <w:r>
              <w:rPr>
                <w:sz w:val="18"/>
                <w:szCs w:val="18"/>
              </w:rPr>
              <w:t>/</w:t>
            </w:r>
          </w:p>
        </w:tc>
        <w:tc>
          <w:tcPr>
            <w:tcW w:w="355" w:type="pct"/>
            <w:noWrap w:val="0"/>
            <w:vAlign w:val="center"/>
          </w:tcPr>
          <w:p w14:paraId="4FF4C242">
            <w:pPr>
              <w:widowControl/>
              <w:jc w:val="center"/>
              <w:textAlignment w:val="center"/>
              <w:rPr>
                <w:sz w:val="18"/>
                <w:szCs w:val="18"/>
              </w:rPr>
            </w:pPr>
            <w:r>
              <w:rPr>
                <w:sz w:val="18"/>
                <w:szCs w:val="18"/>
              </w:rPr>
              <w:t>/</w:t>
            </w:r>
          </w:p>
        </w:tc>
        <w:tc>
          <w:tcPr>
            <w:tcW w:w="284" w:type="pct"/>
            <w:noWrap w:val="0"/>
            <w:vAlign w:val="center"/>
          </w:tcPr>
          <w:p w14:paraId="3C20F834">
            <w:pPr>
              <w:widowControl/>
              <w:jc w:val="center"/>
              <w:textAlignment w:val="center"/>
              <w:rPr>
                <w:sz w:val="18"/>
                <w:szCs w:val="18"/>
              </w:rPr>
            </w:pPr>
            <w:r>
              <w:rPr>
                <w:kern w:val="0"/>
                <w:sz w:val="18"/>
                <w:szCs w:val="18"/>
                <w:lang w:bidi="ar"/>
              </w:rPr>
              <w:t>0.0054</w:t>
            </w:r>
          </w:p>
        </w:tc>
        <w:tc>
          <w:tcPr>
            <w:tcW w:w="359" w:type="pct"/>
            <w:noWrap w:val="0"/>
            <w:vAlign w:val="center"/>
          </w:tcPr>
          <w:p w14:paraId="2491871E">
            <w:pPr>
              <w:widowControl/>
              <w:jc w:val="center"/>
              <w:textAlignment w:val="center"/>
              <w:rPr>
                <w:sz w:val="18"/>
                <w:szCs w:val="18"/>
              </w:rPr>
            </w:pPr>
            <w:r>
              <w:rPr>
                <w:sz w:val="18"/>
                <w:szCs w:val="18"/>
              </w:rPr>
              <w:t>/</w:t>
            </w:r>
          </w:p>
        </w:tc>
        <w:tc>
          <w:tcPr>
            <w:tcW w:w="315" w:type="pct"/>
            <w:noWrap w:val="0"/>
            <w:vAlign w:val="center"/>
          </w:tcPr>
          <w:p w14:paraId="101E2088">
            <w:pPr>
              <w:widowControl/>
              <w:jc w:val="center"/>
              <w:textAlignment w:val="center"/>
              <w:rPr>
                <w:sz w:val="18"/>
                <w:szCs w:val="18"/>
              </w:rPr>
            </w:pPr>
            <w:r>
              <w:rPr>
                <w:sz w:val="18"/>
                <w:szCs w:val="18"/>
              </w:rPr>
              <w:t>/</w:t>
            </w:r>
          </w:p>
        </w:tc>
        <w:tc>
          <w:tcPr>
            <w:tcW w:w="302" w:type="pct"/>
            <w:noWrap w:val="0"/>
            <w:vAlign w:val="center"/>
          </w:tcPr>
          <w:p w14:paraId="47DD3BC5">
            <w:pPr>
              <w:widowControl/>
              <w:jc w:val="center"/>
              <w:textAlignment w:val="center"/>
              <w:rPr>
                <w:sz w:val="18"/>
                <w:szCs w:val="18"/>
              </w:rPr>
            </w:pPr>
            <w:r>
              <w:rPr>
                <w:kern w:val="0"/>
                <w:sz w:val="18"/>
                <w:szCs w:val="18"/>
                <w:lang w:bidi="ar"/>
              </w:rPr>
              <w:t>238</w:t>
            </w:r>
          </w:p>
        </w:tc>
        <w:tc>
          <w:tcPr>
            <w:tcW w:w="276" w:type="pct"/>
            <w:noWrap w:val="0"/>
            <w:vAlign w:val="center"/>
          </w:tcPr>
          <w:p w14:paraId="247E59AE">
            <w:pPr>
              <w:widowControl/>
              <w:jc w:val="center"/>
              <w:textAlignment w:val="center"/>
              <w:rPr>
                <w:sz w:val="18"/>
                <w:szCs w:val="18"/>
              </w:rPr>
            </w:pPr>
            <w:r>
              <w:rPr>
                <w:kern w:val="0"/>
                <w:sz w:val="18"/>
                <w:szCs w:val="18"/>
                <w:lang w:bidi="ar"/>
              </w:rPr>
              <w:t>0</w:t>
            </w:r>
          </w:p>
        </w:tc>
        <w:tc>
          <w:tcPr>
            <w:tcW w:w="267" w:type="pct"/>
            <w:noWrap w:val="0"/>
            <w:vAlign w:val="center"/>
          </w:tcPr>
          <w:p w14:paraId="5E5B96A8">
            <w:pPr>
              <w:widowControl/>
              <w:jc w:val="center"/>
              <w:textAlignment w:val="center"/>
              <w:rPr>
                <w:sz w:val="18"/>
                <w:szCs w:val="18"/>
              </w:rPr>
            </w:pPr>
            <w:r>
              <w:rPr>
                <w:kern w:val="0"/>
                <w:sz w:val="18"/>
                <w:szCs w:val="18"/>
                <w:lang w:bidi="ar"/>
              </w:rPr>
              <w:t>0.24</w:t>
            </w:r>
          </w:p>
        </w:tc>
        <w:tc>
          <w:tcPr>
            <w:tcW w:w="293" w:type="pct"/>
            <w:noWrap w:val="0"/>
            <w:vAlign w:val="center"/>
          </w:tcPr>
          <w:p w14:paraId="292CB0B0">
            <w:pPr>
              <w:widowControl/>
              <w:jc w:val="center"/>
              <w:textAlignment w:val="center"/>
              <w:rPr>
                <w:sz w:val="18"/>
                <w:szCs w:val="18"/>
              </w:rPr>
            </w:pPr>
            <w:r>
              <w:rPr>
                <w:sz w:val="18"/>
                <w:szCs w:val="18"/>
              </w:rPr>
              <w:t>/</w:t>
            </w:r>
          </w:p>
        </w:tc>
        <w:tc>
          <w:tcPr>
            <w:tcW w:w="302" w:type="pct"/>
            <w:noWrap w:val="0"/>
            <w:vAlign w:val="center"/>
          </w:tcPr>
          <w:p w14:paraId="44B41FC1">
            <w:pPr>
              <w:widowControl/>
              <w:jc w:val="center"/>
              <w:textAlignment w:val="center"/>
              <w:rPr>
                <w:sz w:val="18"/>
                <w:szCs w:val="18"/>
              </w:rPr>
            </w:pPr>
            <w:r>
              <w:rPr>
                <w:sz w:val="18"/>
                <w:szCs w:val="18"/>
              </w:rPr>
              <w:t>/</w:t>
            </w:r>
          </w:p>
        </w:tc>
        <w:tc>
          <w:tcPr>
            <w:tcW w:w="303" w:type="pct"/>
            <w:noWrap w:val="0"/>
            <w:vAlign w:val="center"/>
          </w:tcPr>
          <w:p w14:paraId="3D20A71A">
            <w:pPr>
              <w:widowControl/>
              <w:jc w:val="center"/>
              <w:textAlignment w:val="center"/>
              <w:rPr>
                <w:sz w:val="18"/>
                <w:szCs w:val="18"/>
              </w:rPr>
            </w:pPr>
            <w:r>
              <w:rPr>
                <w:sz w:val="18"/>
                <w:szCs w:val="18"/>
              </w:rPr>
              <w:t>/</w:t>
            </w:r>
          </w:p>
        </w:tc>
      </w:tr>
      <w:tr w14:paraId="711CEC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246EAE1">
            <w:pPr>
              <w:jc w:val="center"/>
              <w:rPr>
                <w:sz w:val="18"/>
                <w:szCs w:val="18"/>
              </w:rPr>
            </w:pPr>
          </w:p>
        </w:tc>
        <w:tc>
          <w:tcPr>
            <w:tcW w:w="381" w:type="pct"/>
            <w:shd w:val="clear" w:color="auto" w:fill="D7D7D7"/>
            <w:noWrap w:val="0"/>
            <w:vAlign w:val="center"/>
          </w:tcPr>
          <w:p w14:paraId="0494EF27">
            <w:pPr>
              <w:widowControl/>
              <w:jc w:val="center"/>
              <w:textAlignment w:val="center"/>
              <w:rPr>
                <w:sz w:val="18"/>
                <w:szCs w:val="18"/>
              </w:rPr>
            </w:pPr>
            <w:r>
              <w:rPr>
                <w:kern w:val="0"/>
                <w:sz w:val="18"/>
                <w:szCs w:val="18"/>
                <w:lang w:bidi="ar"/>
              </w:rPr>
              <w:t>标准</w:t>
            </w:r>
          </w:p>
        </w:tc>
        <w:tc>
          <w:tcPr>
            <w:tcW w:w="278" w:type="pct"/>
            <w:noWrap/>
            <w:vAlign w:val="center"/>
          </w:tcPr>
          <w:p w14:paraId="73568068">
            <w:pPr>
              <w:widowControl/>
              <w:jc w:val="center"/>
              <w:textAlignment w:val="center"/>
              <w:rPr>
                <w:sz w:val="18"/>
                <w:szCs w:val="18"/>
              </w:rPr>
            </w:pPr>
            <w:r>
              <w:rPr>
                <w:kern w:val="0"/>
                <w:sz w:val="18"/>
                <w:szCs w:val="18"/>
                <w:lang w:bidi="ar"/>
              </w:rPr>
              <w:t>6.5-8.5</w:t>
            </w:r>
          </w:p>
        </w:tc>
        <w:tc>
          <w:tcPr>
            <w:tcW w:w="218" w:type="pct"/>
            <w:noWrap/>
            <w:vAlign w:val="center"/>
          </w:tcPr>
          <w:p w14:paraId="488349F7">
            <w:pPr>
              <w:widowControl/>
              <w:jc w:val="center"/>
              <w:textAlignment w:val="center"/>
              <w:rPr>
                <w:sz w:val="18"/>
                <w:szCs w:val="18"/>
              </w:rPr>
            </w:pPr>
            <w:r>
              <w:rPr>
                <w:kern w:val="0"/>
                <w:sz w:val="18"/>
                <w:szCs w:val="18"/>
                <w:lang w:bidi="ar"/>
              </w:rPr>
              <w:t>0.5</w:t>
            </w:r>
          </w:p>
        </w:tc>
        <w:tc>
          <w:tcPr>
            <w:tcW w:w="218" w:type="pct"/>
            <w:noWrap/>
            <w:vAlign w:val="center"/>
          </w:tcPr>
          <w:p w14:paraId="44D9073C">
            <w:pPr>
              <w:widowControl/>
              <w:jc w:val="center"/>
              <w:textAlignment w:val="center"/>
              <w:rPr>
                <w:sz w:val="18"/>
                <w:szCs w:val="18"/>
              </w:rPr>
            </w:pPr>
            <w:r>
              <w:rPr>
                <w:kern w:val="0"/>
                <w:sz w:val="18"/>
                <w:szCs w:val="18"/>
                <w:lang w:bidi="ar"/>
              </w:rPr>
              <w:t>20</w:t>
            </w:r>
          </w:p>
        </w:tc>
        <w:tc>
          <w:tcPr>
            <w:tcW w:w="333" w:type="pct"/>
            <w:noWrap w:val="0"/>
            <w:vAlign w:val="center"/>
          </w:tcPr>
          <w:p w14:paraId="7AF4B698">
            <w:pPr>
              <w:widowControl/>
              <w:jc w:val="center"/>
              <w:textAlignment w:val="center"/>
              <w:rPr>
                <w:sz w:val="18"/>
                <w:szCs w:val="18"/>
              </w:rPr>
            </w:pPr>
            <w:r>
              <w:rPr>
                <w:kern w:val="0"/>
                <w:sz w:val="18"/>
                <w:szCs w:val="18"/>
                <w:lang w:bidi="ar"/>
              </w:rPr>
              <w:t>1</w:t>
            </w:r>
          </w:p>
        </w:tc>
        <w:tc>
          <w:tcPr>
            <w:tcW w:w="359" w:type="pct"/>
            <w:noWrap/>
            <w:vAlign w:val="center"/>
          </w:tcPr>
          <w:p w14:paraId="540E266C">
            <w:pPr>
              <w:widowControl/>
              <w:jc w:val="center"/>
              <w:textAlignment w:val="center"/>
              <w:rPr>
                <w:sz w:val="18"/>
                <w:szCs w:val="18"/>
              </w:rPr>
            </w:pPr>
            <w:r>
              <w:rPr>
                <w:kern w:val="0"/>
                <w:sz w:val="18"/>
                <w:szCs w:val="18"/>
                <w:lang w:bidi="ar"/>
              </w:rPr>
              <w:t>0.002</w:t>
            </w:r>
          </w:p>
        </w:tc>
        <w:tc>
          <w:tcPr>
            <w:tcW w:w="355" w:type="pct"/>
            <w:noWrap/>
            <w:vAlign w:val="center"/>
          </w:tcPr>
          <w:p w14:paraId="3C729942">
            <w:pPr>
              <w:widowControl/>
              <w:jc w:val="center"/>
              <w:textAlignment w:val="center"/>
              <w:rPr>
                <w:sz w:val="18"/>
                <w:szCs w:val="18"/>
              </w:rPr>
            </w:pPr>
            <w:r>
              <w:rPr>
                <w:kern w:val="0"/>
                <w:sz w:val="18"/>
                <w:szCs w:val="18"/>
                <w:lang w:bidi="ar"/>
              </w:rPr>
              <w:t>0.05</w:t>
            </w:r>
          </w:p>
        </w:tc>
        <w:tc>
          <w:tcPr>
            <w:tcW w:w="284" w:type="pct"/>
            <w:noWrap/>
            <w:vAlign w:val="center"/>
          </w:tcPr>
          <w:p w14:paraId="36B62D16">
            <w:pPr>
              <w:widowControl/>
              <w:jc w:val="center"/>
              <w:textAlignment w:val="center"/>
              <w:rPr>
                <w:sz w:val="18"/>
                <w:szCs w:val="18"/>
              </w:rPr>
            </w:pPr>
            <w:r>
              <w:rPr>
                <w:kern w:val="0"/>
                <w:sz w:val="18"/>
                <w:szCs w:val="18"/>
                <w:lang w:bidi="ar"/>
              </w:rPr>
              <w:t>0.01</w:t>
            </w:r>
          </w:p>
        </w:tc>
        <w:tc>
          <w:tcPr>
            <w:tcW w:w="359" w:type="pct"/>
            <w:noWrap/>
            <w:vAlign w:val="center"/>
          </w:tcPr>
          <w:p w14:paraId="593FD39A">
            <w:pPr>
              <w:widowControl/>
              <w:jc w:val="center"/>
              <w:textAlignment w:val="center"/>
              <w:rPr>
                <w:sz w:val="18"/>
                <w:szCs w:val="18"/>
              </w:rPr>
            </w:pPr>
            <w:r>
              <w:rPr>
                <w:kern w:val="0"/>
                <w:sz w:val="18"/>
                <w:szCs w:val="18"/>
                <w:lang w:bidi="ar"/>
              </w:rPr>
              <w:t>0.001</w:t>
            </w:r>
          </w:p>
        </w:tc>
        <w:tc>
          <w:tcPr>
            <w:tcW w:w="315" w:type="pct"/>
            <w:noWrap/>
            <w:vAlign w:val="center"/>
          </w:tcPr>
          <w:p w14:paraId="7CA5A86F">
            <w:pPr>
              <w:widowControl/>
              <w:jc w:val="center"/>
              <w:textAlignment w:val="center"/>
              <w:rPr>
                <w:sz w:val="18"/>
                <w:szCs w:val="18"/>
              </w:rPr>
            </w:pPr>
            <w:r>
              <w:rPr>
                <w:kern w:val="0"/>
                <w:sz w:val="18"/>
                <w:szCs w:val="18"/>
                <w:lang w:bidi="ar"/>
              </w:rPr>
              <w:t>0.05</w:t>
            </w:r>
          </w:p>
        </w:tc>
        <w:tc>
          <w:tcPr>
            <w:tcW w:w="302" w:type="pct"/>
            <w:noWrap/>
            <w:vAlign w:val="center"/>
          </w:tcPr>
          <w:p w14:paraId="007166C7">
            <w:pPr>
              <w:widowControl/>
              <w:jc w:val="center"/>
              <w:textAlignment w:val="center"/>
              <w:rPr>
                <w:sz w:val="18"/>
                <w:szCs w:val="18"/>
              </w:rPr>
            </w:pPr>
            <w:r>
              <w:rPr>
                <w:kern w:val="0"/>
                <w:sz w:val="18"/>
                <w:szCs w:val="18"/>
                <w:lang w:bidi="ar"/>
              </w:rPr>
              <w:t>450</w:t>
            </w:r>
          </w:p>
        </w:tc>
        <w:tc>
          <w:tcPr>
            <w:tcW w:w="276" w:type="pct"/>
            <w:noWrap/>
            <w:vAlign w:val="center"/>
          </w:tcPr>
          <w:p w14:paraId="41AE811E">
            <w:pPr>
              <w:widowControl/>
              <w:jc w:val="center"/>
              <w:textAlignment w:val="center"/>
              <w:rPr>
                <w:sz w:val="18"/>
                <w:szCs w:val="18"/>
              </w:rPr>
            </w:pPr>
            <w:r>
              <w:rPr>
                <w:kern w:val="0"/>
                <w:sz w:val="18"/>
                <w:szCs w:val="18"/>
                <w:lang w:bidi="ar"/>
              </w:rPr>
              <w:t>0.01</w:t>
            </w:r>
          </w:p>
        </w:tc>
        <w:tc>
          <w:tcPr>
            <w:tcW w:w="267" w:type="pct"/>
            <w:noWrap/>
            <w:vAlign w:val="center"/>
          </w:tcPr>
          <w:p w14:paraId="34659F35">
            <w:pPr>
              <w:widowControl/>
              <w:jc w:val="center"/>
              <w:textAlignment w:val="center"/>
              <w:rPr>
                <w:sz w:val="18"/>
                <w:szCs w:val="18"/>
              </w:rPr>
            </w:pPr>
            <w:r>
              <w:rPr>
                <w:kern w:val="0"/>
                <w:sz w:val="18"/>
                <w:szCs w:val="18"/>
                <w:lang w:bidi="ar"/>
              </w:rPr>
              <w:t>1</w:t>
            </w:r>
          </w:p>
        </w:tc>
        <w:tc>
          <w:tcPr>
            <w:tcW w:w="293" w:type="pct"/>
            <w:noWrap/>
            <w:vAlign w:val="center"/>
          </w:tcPr>
          <w:p w14:paraId="0B34CF36">
            <w:pPr>
              <w:widowControl/>
              <w:jc w:val="center"/>
              <w:textAlignment w:val="center"/>
              <w:rPr>
                <w:sz w:val="18"/>
                <w:szCs w:val="18"/>
              </w:rPr>
            </w:pPr>
            <w:r>
              <w:rPr>
                <w:kern w:val="0"/>
                <w:sz w:val="18"/>
                <w:szCs w:val="18"/>
                <w:lang w:bidi="ar"/>
              </w:rPr>
              <w:t>0.005</w:t>
            </w:r>
          </w:p>
        </w:tc>
        <w:tc>
          <w:tcPr>
            <w:tcW w:w="302" w:type="pct"/>
            <w:noWrap/>
            <w:vAlign w:val="center"/>
          </w:tcPr>
          <w:p w14:paraId="4D9A433B">
            <w:pPr>
              <w:widowControl/>
              <w:jc w:val="center"/>
              <w:textAlignment w:val="center"/>
              <w:rPr>
                <w:sz w:val="18"/>
                <w:szCs w:val="18"/>
              </w:rPr>
            </w:pPr>
            <w:r>
              <w:rPr>
                <w:kern w:val="0"/>
                <w:sz w:val="18"/>
                <w:szCs w:val="18"/>
                <w:lang w:bidi="ar"/>
              </w:rPr>
              <w:t>0.3</w:t>
            </w:r>
          </w:p>
        </w:tc>
        <w:tc>
          <w:tcPr>
            <w:tcW w:w="303" w:type="pct"/>
            <w:noWrap/>
            <w:vAlign w:val="center"/>
          </w:tcPr>
          <w:p w14:paraId="16ACB14E">
            <w:pPr>
              <w:widowControl/>
              <w:jc w:val="center"/>
              <w:textAlignment w:val="center"/>
              <w:rPr>
                <w:sz w:val="18"/>
                <w:szCs w:val="18"/>
              </w:rPr>
            </w:pPr>
            <w:r>
              <w:rPr>
                <w:kern w:val="0"/>
                <w:sz w:val="18"/>
                <w:szCs w:val="18"/>
                <w:lang w:bidi="ar"/>
              </w:rPr>
              <w:t>0.1</w:t>
            </w:r>
          </w:p>
        </w:tc>
      </w:tr>
      <w:tr w14:paraId="67768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49" w:type="pct"/>
            <w:vMerge w:val="continue"/>
            <w:shd w:val="clear" w:color="auto" w:fill="auto"/>
            <w:noWrap w:val="0"/>
            <w:vAlign w:val="center"/>
          </w:tcPr>
          <w:p w14:paraId="720D7E74">
            <w:pPr>
              <w:jc w:val="center"/>
              <w:rPr>
                <w:sz w:val="18"/>
                <w:szCs w:val="18"/>
              </w:rPr>
            </w:pPr>
          </w:p>
        </w:tc>
        <w:tc>
          <w:tcPr>
            <w:tcW w:w="381" w:type="pct"/>
            <w:shd w:val="clear" w:color="auto" w:fill="D7D7D7"/>
            <w:noWrap w:val="0"/>
            <w:vAlign w:val="center"/>
          </w:tcPr>
          <w:p w14:paraId="616BA6C5">
            <w:pPr>
              <w:widowControl/>
              <w:jc w:val="center"/>
              <w:textAlignment w:val="center"/>
              <w:rPr>
                <w:sz w:val="18"/>
                <w:szCs w:val="18"/>
              </w:rPr>
            </w:pPr>
            <w:r>
              <w:rPr>
                <w:kern w:val="0"/>
                <w:sz w:val="18"/>
                <w:szCs w:val="18"/>
                <w:lang w:bidi="ar"/>
              </w:rPr>
              <w:t>最大标准指数</w:t>
            </w:r>
          </w:p>
        </w:tc>
        <w:tc>
          <w:tcPr>
            <w:tcW w:w="278" w:type="pct"/>
            <w:noWrap/>
            <w:vAlign w:val="center"/>
          </w:tcPr>
          <w:p w14:paraId="39935C5D">
            <w:pPr>
              <w:widowControl/>
              <w:jc w:val="center"/>
              <w:textAlignment w:val="center"/>
              <w:rPr>
                <w:sz w:val="18"/>
                <w:szCs w:val="18"/>
              </w:rPr>
            </w:pPr>
            <w:r>
              <w:rPr>
                <w:kern w:val="0"/>
                <w:sz w:val="18"/>
                <w:szCs w:val="18"/>
                <w:lang w:bidi="ar"/>
              </w:rPr>
              <w:t>0.26</w:t>
            </w:r>
          </w:p>
        </w:tc>
        <w:tc>
          <w:tcPr>
            <w:tcW w:w="218" w:type="pct"/>
            <w:noWrap/>
            <w:vAlign w:val="center"/>
          </w:tcPr>
          <w:p w14:paraId="75BDCBB3">
            <w:pPr>
              <w:widowControl/>
              <w:jc w:val="center"/>
              <w:textAlignment w:val="center"/>
              <w:rPr>
                <w:sz w:val="18"/>
                <w:szCs w:val="18"/>
              </w:rPr>
            </w:pPr>
            <w:r>
              <w:rPr>
                <w:kern w:val="0"/>
                <w:sz w:val="18"/>
                <w:szCs w:val="18"/>
                <w:lang w:bidi="ar"/>
              </w:rPr>
              <w:t>0.12</w:t>
            </w:r>
          </w:p>
        </w:tc>
        <w:tc>
          <w:tcPr>
            <w:tcW w:w="218" w:type="pct"/>
            <w:noWrap/>
            <w:vAlign w:val="center"/>
          </w:tcPr>
          <w:p w14:paraId="39E868B6">
            <w:pPr>
              <w:widowControl/>
              <w:jc w:val="center"/>
              <w:textAlignment w:val="center"/>
              <w:rPr>
                <w:sz w:val="18"/>
                <w:szCs w:val="18"/>
              </w:rPr>
            </w:pPr>
            <w:r>
              <w:rPr>
                <w:kern w:val="0"/>
                <w:sz w:val="18"/>
                <w:szCs w:val="18"/>
                <w:lang w:bidi="ar"/>
              </w:rPr>
              <w:t>0.10</w:t>
            </w:r>
          </w:p>
        </w:tc>
        <w:tc>
          <w:tcPr>
            <w:tcW w:w="333" w:type="pct"/>
            <w:noWrap/>
            <w:vAlign w:val="center"/>
          </w:tcPr>
          <w:p w14:paraId="78CB93ED">
            <w:pPr>
              <w:widowControl/>
              <w:jc w:val="center"/>
              <w:textAlignment w:val="center"/>
              <w:rPr>
                <w:sz w:val="18"/>
                <w:szCs w:val="18"/>
              </w:rPr>
            </w:pPr>
            <w:r>
              <w:rPr>
                <w:sz w:val="18"/>
                <w:szCs w:val="18"/>
              </w:rPr>
              <w:t>/</w:t>
            </w:r>
          </w:p>
        </w:tc>
        <w:tc>
          <w:tcPr>
            <w:tcW w:w="359" w:type="pct"/>
            <w:noWrap/>
            <w:vAlign w:val="center"/>
          </w:tcPr>
          <w:p w14:paraId="20DACDA0">
            <w:pPr>
              <w:widowControl/>
              <w:jc w:val="center"/>
              <w:textAlignment w:val="center"/>
              <w:rPr>
                <w:sz w:val="18"/>
                <w:szCs w:val="18"/>
              </w:rPr>
            </w:pPr>
            <w:r>
              <w:rPr>
                <w:sz w:val="18"/>
                <w:szCs w:val="18"/>
              </w:rPr>
              <w:t>/</w:t>
            </w:r>
          </w:p>
        </w:tc>
        <w:tc>
          <w:tcPr>
            <w:tcW w:w="355" w:type="pct"/>
            <w:noWrap/>
            <w:vAlign w:val="center"/>
          </w:tcPr>
          <w:p w14:paraId="408B2E5F">
            <w:pPr>
              <w:widowControl/>
              <w:jc w:val="center"/>
              <w:textAlignment w:val="center"/>
              <w:rPr>
                <w:sz w:val="18"/>
                <w:szCs w:val="18"/>
              </w:rPr>
            </w:pPr>
            <w:r>
              <w:rPr>
                <w:sz w:val="18"/>
                <w:szCs w:val="18"/>
              </w:rPr>
              <w:t>/</w:t>
            </w:r>
          </w:p>
        </w:tc>
        <w:tc>
          <w:tcPr>
            <w:tcW w:w="284" w:type="pct"/>
            <w:noWrap/>
            <w:vAlign w:val="center"/>
          </w:tcPr>
          <w:p w14:paraId="5B934101">
            <w:pPr>
              <w:widowControl/>
              <w:jc w:val="center"/>
              <w:textAlignment w:val="center"/>
              <w:rPr>
                <w:sz w:val="18"/>
                <w:szCs w:val="18"/>
              </w:rPr>
            </w:pPr>
            <w:r>
              <w:rPr>
                <w:kern w:val="0"/>
                <w:sz w:val="18"/>
                <w:szCs w:val="18"/>
                <w:lang w:bidi="ar"/>
              </w:rPr>
              <w:t>0.54</w:t>
            </w:r>
          </w:p>
        </w:tc>
        <w:tc>
          <w:tcPr>
            <w:tcW w:w="359" w:type="pct"/>
            <w:noWrap/>
            <w:vAlign w:val="center"/>
          </w:tcPr>
          <w:p w14:paraId="61526EE0">
            <w:pPr>
              <w:widowControl/>
              <w:jc w:val="center"/>
              <w:textAlignment w:val="center"/>
              <w:rPr>
                <w:sz w:val="18"/>
                <w:szCs w:val="18"/>
              </w:rPr>
            </w:pPr>
            <w:r>
              <w:rPr>
                <w:sz w:val="18"/>
                <w:szCs w:val="18"/>
              </w:rPr>
              <w:t>/</w:t>
            </w:r>
          </w:p>
        </w:tc>
        <w:tc>
          <w:tcPr>
            <w:tcW w:w="315" w:type="pct"/>
            <w:noWrap/>
            <w:vAlign w:val="center"/>
          </w:tcPr>
          <w:p w14:paraId="61EA8674">
            <w:pPr>
              <w:widowControl/>
              <w:jc w:val="center"/>
              <w:textAlignment w:val="center"/>
              <w:rPr>
                <w:sz w:val="18"/>
                <w:szCs w:val="18"/>
              </w:rPr>
            </w:pPr>
            <w:r>
              <w:rPr>
                <w:sz w:val="18"/>
                <w:szCs w:val="18"/>
              </w:rPr>
              <w:t>/</w:t>
            </w:r>
          </w:p>
        </w:tc>
        <w:tc>
          <w:tcPr>
            <w:tcW w:w="302" w:type="pct"/>
            <w:noWrap/>
            <w:vAlign w:val="center"/>
          </w:tcPr>
          <w:p w14:paraId="0BA03ADA">
            <w:pPr>
              <w:widowControl/>
              <w:jc w:val="center"/>
              <w:textAlignment w:val="center"/>
              <w:rPr>
                <w:sz w:val="18"/>
                <w:szCs w:val="18"/>
              </w:rPr>
            </w:pPr>
            <w:r>
              <w:rPr>
                <w:kern w:val="0"/>
                <w:sz w:val="18"/>
                <w:szCs w:val="18"/>
                <w:lang w:bidi="ar"/>
              </w:rPr>
              <w:t>0.53</w:t>
            </w:r>
          </w:p>
        </w:tc>
        <w:tc>
          <w:tcPr>
            <w:tcW w:w="276" w:type="pct"/>
            <w:noWrap/>
            <w:vAlign w:val="center"/>
          </w:tcPr>
          <w:p w14:paraId="0FA93420">
            <w:pPr>
              <w:widowControl/>
              <w:jc w:val="center"/>
              <w:textAlignment w:val="center"/>
              <w:rPr>
                <w:sz w:val="18"/>
                <w:szCs w:val="18"/>
              </w:rPr>
            </w:pPr>
            <w:r>
              <w:rPr>
                <w:kern w:val="0"/>
                <w:sz w:val="18"/>
                <w:szCs w:val="18"/>
                <w:lang w:bidi="ar"/>
              </w:rPr>
              <w:t>0.00</w:t>
            </w:r>
          </w:p>
        </w:tc>
        <w:tc>
          <w:tcPr>
            <w:tcW w:w="267" w:type="pct"/>
            <w:noWrap/>
            <w:vAlign w:val="center"/>
          </w:tcPr>
          <w:p w14:paraId="0EF2E8D5">
            <w:pPr>
              <w:widowControl/>
              <w:jc w:val="center"/>
              <w:textAlignment w:val="center"/>
              <w:rPr>
                <w:sz w:val="18"/>
                <w:szCs w:val="18"/>
              </w:rPr>
            </w:pPr>
            <w:r>
              <w:rPr>
                <w:kern w:val="0"/>
                <w:sz w:val="18"/>
                <w:szCs w:val="18"/>
                <w:lang w:bidi="ar"/>
              </w:rPr>
              <w:t>0.24</w:t>
            </w:r>
          </w:p>
        </w:tc>
        <w:tc>
          <w:tcPr>
            <w:tcW w:w="293" w:type="pct"/>
            <w:noWrap/>
            <w:vAlign w:val="center"/>
          </w:tcPr>
          <w:p w14:paraId="1456D6F8">
            <w:pPr>
              <w:widowControl/>
              <w:jc w:val="center"/>
              <w:textAlignment w:val="center"/>
              <w:rPr>
                <w:sz w:val="18"/>
                <w:szCs w:val="18"/>
              </w:rPr>
            </w:pPr>
            <w:r>
              <w:rPr>
                <w:sz w:val="18"/>
                <w:szCs w:val="18"/>
              </w:rPr>
              <w:t>/</w:t>
            </w:r>
          </w:p>
        </w:tc>
        <w:tc>
          <w:tcPr>
            <w:tcW w:w="302" w:type="pct"/>
            <w:noWrap/>
            <w:vAlign w:val="center"/>
          </w:tcPr>
          <w:p w14:paraId="2057A98A">
            <w:pPr>
              <w:widowControl/>
              <w:jc w:val="center"/>
              <w:textAlignment w:val="center"/>
              <w:rPr>
                <w:sz w:val="18"/>
                <w:szCs w:val="18"/>
              </w:rPr>
            </w:pPr>
            <w:r>
              <w:rPr>
                <w:sz w:val="18"/>
                <w:szCs w:val="18"/>
              </w:rPr>
              <w:t>/</w:t>
            </w:r>
          </w:p>
        </w:tc>
        <w:tc>
          <w:tcPr>
            <w:tcW w:w="303" w:type="pct"/>
            <w:noWrap/>
            <w:vAlign w:val="center"/>
          </w:tcPr>
          <w:p w14:paraId="6D94BCAD">
            <w:pPr>
              <w:widowControl/>
              <w:jc w:val="center"/>
              <w:textAlignment w:val="center"/>
              <w:rPr>
                <w:sz w:val="18"/>
                <w:szCs w:val="18"/>
              </w:rPr>
            </w:pPr>
            <w:r>
              <w:rPr>
                <w:sz w:val="18"/>
                <w:szCs w:val="18"/>
              </w:rPr>
              <w:t>/</w:t>
            </w:r>
          </w:p>
        </w:tc>
      </w:tr>
      <w:tr w14:paraId="6A4ED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2CB5F70">
            <w:pPr>
              <w:jc w:val="center"/>
              <w:rPr>
                <w:sz w:val="18"/>
                <w:szCs w:val="18"/>
              </w:rPr>
            </w:pPr>
          </w:p>
        </w:tc>
        <w:tc>
          <w:tcPr>
            <w:tcW w:w="381" w:type="pct"/>
            <w:shd w:val="clear" w:color="auto" w:fill="D7D7D7"/>
            <w:noWrap w:val="0"/>
            <w:vAlign w:val="center"/>
          </w:tcPr>
          <w:p w14:paraId="1D2212CA">
            <w:pPr>
              <w:widowControl/>
              <w:jc w:val="center"/>
              <w:textAlignment w:val="center"/>
              <w:rPr>
                <w:sz w:val="18"/>
                <w:szCs w:val="18"/>
              </w:rPr>
            </w:pPr>
            <w:r>
              <w:rPr>
                <w:kern w:val="0"/>
                <w:sz w:val="18"/>
                <w:szCs w:val="18"/>
                <w:lang w:bidi="ar"/>
              </w:rPr>
              <w:t>达标情况</w:t>
            </w:r>
          </w:p>
        </w:tc>
        <w:tc>
          <w:tcPr>
            <w:tcW w:w="278" w:type="pct"/>
            <w:noWrap/>
            <w:vAlign w:val="center"/>
          </w:tcPr>
          <w:p w14:paraId="7D28B5D6">
            <w:pPr>
              <w:widowControl/>
              <w:jc w:val="center"/>
              <w:textAlignment w:val="center"/>
              <w:rPr>
                <w:sz w:val="18"/>
                <w:szCs w:val="18"/>
              </w:rPr>
            </w:pPr>
            <w:r>
              <w:rPr>
                <w:kern w:val="0"/>
                <w:sz w:val="18"/>
                <w:szCs w:val="18"/>
                <w:lang w:bidi="ar"/>
              </w:rPr>
              <w:t>达标</w:t>
            </w:r>
          </w:p>
        </w:tc>
        <w:tc>
          <w:tcPr>
            <w:tcW w:w="218" w:type="pct"/>
            <w:noWrap/>
            <w:vAlign w:val="center"/>
          </w:tcPr>
          <w:p w14:paraId="7D358608">
            <w:pPr>
              <w:widowControl/>
              <w:jc w:val="center"/>
              <w:textAlignment w:val="center"/>
              <w:rPr>
                <w:sz w:val="18"/>
                <w:szCs w:val="18"/>
              </w:rPr>
            </w:pPr>
            <w:r>
              <w:rPr>
                <w:kern w:val="0"/>
                <w:sz w:val="18"/>
                <w:szCs w:val="18"/>
                <w:lang w:bidi="ar"/>
              </w:rPr>
              <w:t>达标</w:t>
            </w:r>
          </w:p>
        </w:tc>
        <w:tc>
          <w:tcPr>
            <w:tcW w:w="218" w:type="pct"/>
            <w:noWrap/>
            <w:vAlign w:val="center"/>
          </w:tcPr>
          <w:p w14:paraId="00DD0C9C">
            <w:pPr>
              <w:widowControl/>
              <w:jc w:val="center"/>
              <w:textAlignment w:val="center"/>
              <w:rPr>
                <w:sz w:val="18"/>
                <w:szCs w:val="18"/>
              </w:rPr>
            </w:pPr>
            <w:r>
              <w:rPr>
                <w:kern w:val="0"/>
                <w:sz w:val="18"/>
                <w:szCs w:val="18"/>
                <w:lang w:bidi="ar"/>
              </w:rPr>
              <w:t>达标</w:t>
            </w:r>
          </w:p>
        </w:tc>
        <w:tc>
          <w:tcPr>
            <w:tcW w:w="333" w:type="pct"/>
            <w:noWrap/>
            <w:vAlign w:val="center"/>
          </w:tcPr>
          <w:p w14:paraId="63892F90">
            <w:pPr>
              <w:widowControl/>
              <w:jc w:val="center"/>
              <w:textAlignment w:val="center"/>
              <w:rPr>
                <w:sz w:val="18"/>
                <w:szCs w:val="18"/>
              </w:rPr>
            </w:pPr>
            <w:r>
              <w:rPr>
                <w:kern w:val="0"/>
                <w:sz w:val="18"/>
                <w:szCs w:val="18"/>
                <w:lang w:bidi="ar"/>
              </w:rPr>
              <w:t>达标</w:t>
            </w:r>
          </w:p>
        </w:tc>
        <w:tc>
          <w:tcPr>
            <w:tcW w:w="359" w:type="pct"/>
            <w:noWrap/>
            <w:vAlign w:val="center"/>
          </w:tcPr>
          <w:p w14:paraId="41979F1B">
            <w:pPr>
              <w:widowControl/>
              <w:jc w:val="center"/>
              <w:textAlignment w:val="center"/>
              <w:rPr>
                <w:sz w:val="18"/>
                <w:szCs w:val="18"/>
              </w:rPr>
            </w:pPr>
            <w:r>
              <w:rPr>
                <w:kern w:val="0"/>
                <w:sz w:val="18"/>
                <w:szCs w:val="18"/>
                <w:lang w:bidi="ar"/>
              </w:rPr>
              <w:t>达标</w:t>
            </w:r>
          </w:p>
        </w:tc>
        <w:tc>
          <w:tcPr>
            <w:tcW w:w="355" w:type="pct"/>
            <w:noWrap/>
            <w:vAlign w:val="center"/>
          </w:tcPr>
          <w:p w14:paraId="5730ACE5">
            <w:pPr>
              <w:widowControl/>
              <w:jc w:val="center"/>
              <w:textAlignment w:val="center"/>
              <w:rPr>
                <w:sz w:val="18"/>
                <w:szCs w:val="18"/>
              </w:rPr>
            </w:pPr>
            <w:r>
              <w:rPr>
                <w:kern w:val="0"/>
                <w:sz w:val="18"/>
                <w:szCs w:val="18"/>
                <w:lang w:bidi="ar"/>
              </w:rPr>
              <w:t>达标</w:t>
            </w:r>
          </w:p>
        </w:tc>
        <w:tc>
          <w:tcPr>
            <w:tcW w:w="284" w:type="pct"/>
            <w:noWrap/>
            <w:vAlign w:val="center"/>
          </w:tcPr>
          <w:p w14:paraId="75A1A794">
            <w:pPr>
              <w:widowControl/>
              <w:jc w:val="center"/>
              <w:textAlignment w:val="center"/>
              <w:rPr>
                <w:sz w:val="18"/>
                <w:szCs w:val="18"/>
              </w:rPr>
            </w:pPr>
            <w:r>
              <w:rPr>
                <w:kern w:val="0"/>
                <w:sz w:val="18"/>
                <w:szCs w:val="18"/>
                <w:lang w:bidi="ar"/>
              </w:rPr>
              <w:t>达标</w:t>
            </w:r>
          </w:p>
        </w:tc>
        <w:tc>
          <w:tcPr>
            <w:tcW w:w="359" w:type="pct"/>
            <w:noWrap/>
            <w:vAlign w:val="center"/>
          </w:tcPr>
          <w:p w14:paraId="2612621D">
            <w:pPr>
              <w:widowControl/>
              <w:jc w:val="center"/>
              <w:textAlignment w:val="center"/>
              <w:rPr>
                <w:sz w:val="18"/>
                <w:szCs w:val="18"/>
              </w:rPr>
            </w:pPr>
            <w:r>
              <w:rPr>
                <w:kern w:val="0"/>
                <w:sz w:val="18"/>
                <w:szCs w:val="18"/>
                <w:lang w:bidi="ar"/>
              </w:rPr>
              <w:t>达标</w:t>
            </w:r>
          </w:p>
        </w:tc>
        <w:tc>
          <w:tcPr>
            <w:tcW w:w="315" w:type="pct"/>
            <w:noWrap/>
            <w:vAlign w:val="center"/>
          </w:tcPr>
          <w:p w14:paraId="68282AF0">
            <w:pPr>
              <w:widowControl/>
              <w:jc w:val="center"/>
              <w:textAlignment w:val="center"/>
              <w:rPr>
                <w:sz w:val="18"/>
                <w:szCs w:val="18"/>
              </w:rPr>
            </w:pPr>
            <w:r>
              <w:rPr>
                <w:kern w:val="0"/>
                <w:sz w:val="18"/>
                <w:szCs w:val="18"/>
                <w:lang w:bidi="ar"/>
              </w:rPr>
              <w:t>达标</w:t>
            </w:r>
          </w:p>
        </w:tc>
        <w:tc>
          <w:tcPr>
            <w:tcW w:w="302" w:type="pct"/>
            <w:noWrap/>
            <w:vAlign w:val="center"/>
          </w:tcPr>
          <w:p w14:paraId="67F5FFA1">
            <w:pPr>
              <w:widowControl/>
              <w:jc w:val="center"/>
              <w:textAlignment w:val="center"/>
              <w:rPr>
                <w:sz w:val="18"/>
                <w:szCs w:val="18"/>
              </w:rPr>
            </w:pPr>
            <w:r>
              <w:rPr>
                <w:kern w:val="0"/>
                <w:sz w:val="18"/>
                <w:szCs w:val="18"/>
                <w:lang w:bidi="ar"/>
              </w:rPr>
              <w:t>达标</w:t>
            </w:r>
          </w:p>
        </w:tc>
        <w:tc>
          <w:tcPr>
            <w:tcW w:w="276" w:type="pct"/>
            <w:noWrap/>
            <w:vAlign w:val="center"/>
          </w:tcPr>
          <w:p w14:paraId="1C7831FC">
            <w:pPr>
              <w:widowControl/>
              <w:jc w:val="center"/>
              <w:textAlignment w:val="center"/>
              <w:rPr>
                <w:sz w:val="18"/>
                <w:szCs w:val="18"/>
              </w:rPr>
            </w:pPr>
            <w:r>
              <w:rPr>
                <w:kern w:val="0"/>
                <w:sz w:val="18"/>
                <w:szCs w:val="18"/>
                <w:lang w:bidi="ar"/>
              </w:rPr>
              <w:t>达标</w:t>
            </w:r>
          </w:p>
        </w:tc>
        <w:tc>
          <w:tcPr>
            <w:tcW w:w="267" w:type="pct"/>
            <w:noWrap/>
            <w:vAlign w:val="center"/>
          </w:tcPr>
          <w:p w14:paraId="515A274B">
            <w:pPr>
              <w:widowControl/>
              <w:jc w:val="center"/>
              <w:textAlignment w:val="center"/>
              <w:rPr>
                <w:sz w:val="18"/>
                <w:szCs w:val="18"/>
              </w:rPr>
            </w:pPr>
            <w:r>
              <w:rPr>
                <w:kern w:val="0"/>
                <w:sz w:val="18"/>
                <w:szCs w:val="18"/>
                <w:lang w:bidi="ar"/>
              </w:rPr>
              <w:t>达标</w:t>
            </w:r>
          </w:p>
        </w:tc>
        <w:tc>
          <w:tcPr>
            <w:tcW w:w="293" w:type="pct"/>
            <w:noWrap/>
            <w:vAlign w:val="center"/>
          </w:tcPr>
          <w:p w14:paraId="04BF0C67">
            <w:pPr>
              <w:widowControl/>
              <w:jc w:val="center"/>
              <w:textAlignment w:val="center"/>
              <w:rPr>
                <w:sz w:val="18"/>
                <w:szCs w:val="18"/>
              </w:rPr>
            </w:pPr>
            <w:r>
              <w:rPr>
                <w:kern w:val="0"/>
                <w:sz w:val="18"/>
                <w:szCs w:val="18"/>
                <w:lang w:bidi="ar"/>
              </w:rPr>
              <w:t>达标</w:t>
            </w:r>
          </w:p>
        </w:tc>
        <w:tc>
          <w:tcPr>
            <w:tcW w:w="302" w:type="pct"/>
            <w:noWrap/>
            <w:vAlign w:val="center"/>
          </w:tcPr>
          <w:p w14:paraId="0D22C0BE">
            <w:pPr>
              <w:widowControl/>
              <w:jc w:val="center"/>
              <w:textAlignment w:val="center"/>
              <w:rPr>
                <w:sz w:val="18"/>
                <w:szCs w:val="18"/>
              </w:rPr>
            </w:pPr>
            <w:r>
              <w:rPr>
                <w:kern w:val="0"/>
                <w:sz w:val="18"/>
                <w:szCs w:val="18"/>
                <w:lang w:bidi="ar"/>
              </w:rPr>
              <w:t>达标</w:t>
            </w:r>
          </w:p>
        </w:tc>
        <w:tc>
          <w:tcPr>
            <w:tcW w:w="303" w:type="pct"/>
            <w:noWrap/>
            <w:vAlign w:val="center"/>
          </w:tcPr>
          <w:p w14:paraId="46ED9919">
            <w:pPr>
              <w:widowControl/>
              <w:jc w:val="center"/>
              <w:textAlignment w:val="center"/>
              <w:rPr>
                <w:sz w:val="18"/>
                <w:szCs w:val="18"/>
              </w:rPr>
            </w:pPr>
            <w:r>
              <w:rPr>
                <w:kern w:val="0"/>
                <w:sz w:val="18"/>
                <w:szCs w:val="18"/>
                <w:lang w:bidi="ar"/>
              </w:rPr>
              <w:t>达标</w:t>
            </w:r>
          </w:p>
        </w:tc>
      </w:tr>
      <w:tr w14:paraId="40DA88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vMerge w:val="continue"/>
            <w:shd w:val="clear" w:color="auto" w:fill="auto"/>
            <w:noWrap w:val="0"/>
            <w:vAlign w:val="center"/>
          </w:tcPr>
          <w:p w14:paraId="7B7FFA0A">
            <w:pPr>
              <w:jc w:val="center"/>
              <w:rPr>
                <w:sz w:val="18"/>
                <w:szCs w:val="18"/>
              </w:rPr>
            </w:pPr>
          </w:p>
        </w:tc>
        <w:tc>
          <w:tcPr>
            <w:tcW w:w="381" w:type="pct"/>
            <w:shd w:val="clear" w:color="auto" w:fill="D7D7D7"/>
            <w:noWrap w:val="0"/>
            <w:vAlign w:val="center"/>
          </w:tcPr>
          <w:p w14:paraId="3457FB6B">
            <w:pPr>
              <w:widowControl/>
              <w:snapToGrid w:val="0"/>
              <w:jc w:val="center"/>
              <w:textAlignment w:val="center"/>
              <w:rPr>
                <w:sz w:val="18"/>
                <w:szCs w:val="18"/>
              </w:rPr>
            </w:pPr>
            <w:r>
              <w:rPr>
                <w:kern w:val="0"/>
                <w:sz w:val="18"/>
                <w:szCs w:val="18"/>
                <w:lang w:bidi="ar"/>
              </w:rPr>
              <w:t>日期</w:t>
            </w:r>
          </w:p>
          <w:p w14:paraId="5FA87EE4">
            <w:pPr>
              <w:widowControl/>
              <w:jc w:val="center"/>
              <w:textAlignment w:val="center"/>
              <w:rPr>
                <w:sz w:val="18"/>
                <w:szCs w:val="18"/>
              </w:rPr>
            </w:pPr>
            <w:r>
              <w:rPr>
                <w:sz w:val="18"/>
                <w:szCs w:val="18"/>
              </w:rPr>
              <w:t>项目</w:t>
            </w:r>
          </w:p>
        </w:tc>
        <w:tc>
          <w:tcPr>
            <w:tcW w:w="278" w:type="pct"/>
            <w:noWrap w:val="0"/>
            <w:vAlign w:val="center"/>
          </w:tcPr>
          <w:p w14:paraId="1DCBBBBC">
            <w:pPr>
              <w:widowControl/>
              <w:jc w:val="center"/>
              <w:textAlignment w:val="center"/>
              <w:rPr>
                <w:sz w:val="18"/>
                <w:szCs w:val="18"/>
              </w:rPr>
            </w:pPr>
            <w:r>
              <w:rPr>
                <w:kern w:val="0"/>
                <w:sz w:val="18"/>
                <w:szCs w:val="18"/>
                <w:lang w:bidi="ar"/>
              </w:rPr>
              <w:t>溶解性总固体</w:t>
            </w:r>
          </w:p>
        </w:tc>
        <w:tc>
          <w:tcPr>
            <w:tcW w:w="218" w:type="pct"/>
            <w:noWrap w:val="0"/>
            <w:vAlign w:val="center"/>
          </w:tcPr>
          <w:p w14:paraId="68BA7AE2">
            <w:pPr>
              <w:widowControl/>
              <w:jc w:val="center"/>
              <w:textAlignment w:val="center"/>
              <w:rPr>
                <w:sz w:val="18"/>
                <w:szCs w:val="18"/>
              </w:rPr>
            </w:pPr>
            <w:r>
              <w:rPr>
                <w:kern w:val="0"/>
                <w:sz w:val="18"/>
                <w:szCs w:val="18"/>
                <w:lang w:bidi="ar"/>
              </w:rPr>
              <w:t>耗氧量</w:t>
            </w:r>
          </w:p>
        </w:tc>
        <w:tc>
          <w:tcPr>
            <w:tcW w:w="218" w:type="pct"/>
            <w:noWrap w:val="0"/>
            <w:vAlign w:val="center"/>
          </w:tcPr>
          <w:p w14:paraId="682EFDAE">
            <w:pPr>
              <w:widowControl/>
              <w:jc w:val="center"/>
              <w:textAlignment w:val="center"/>
              <w:rPr>
                <w:sz w:val="18"/>
                <w:szCs w:val="18"/>
              </w:rPr>
            </w:pPr>
            <w:r>
              <w:rPr>
                <w:kern w:val="0"/>
                <w:sz w:val="18"/>
                <w:szCs w:val="18"/>
                <w:lang w:bidi="ar"/>
              </w:rPr>
              <w:t>氯化物</w:t>
            </w:r>
          </w:p>
        </w:tc>
        <w:tc>
          <w:tcPr>
            <w:tcW w:w="333" w:type="pct"/>
            <w:noWrap w:val="0"/>
            <w:vAlign w:val="center"/>
          </w:tcPr>
          <w:p w14:paraId="7D0182F4">
            <w:pPr>
              <w:widowControl/>
              <w:jc w:val="center"/>
              <w:textAlignment w:val="center"/>
              <w:rPr>
                <w:sz w:val="18"/>
                <w:szCs w:val="18"/>
              </w:rPr>
            </w:pPr>
            <w:r>
              <w:rPr>
                <w:kern w:val="0"/>
                <w:sz w:val="18"/>
                <w:szCs w:val="18"/>
                <w:lang w:bidi="ar"/>
              </w:rPr>
              <w:t>总大肠菌群（MPN/100mL）</w:t>
            </w:r>
          </w:p>
        </w:tc>
        <w:tc>
          <w:tcPr>
            <w:tcW w:w="359" w:type="pct"/>
            <w:noWrap w:val="0"/>
            <w:vAlign w:val="center"/>
          </w:tcPr>
          <w:p w14:paraId="0099B6E5">
            <w:pPr>
              <w:widowControl/>
              <w:jc w:val="center"/>
              <w:textAlignment w:val="center"/>
              <w:rPr>
                <w:sz w:val="18"/>
                <w:szCs w:val="18"/>
              </w:rPr>
            </w:pPr>
            <w:r>
              <w:rPr>
                <w:kern w:val="0"/>
                <w:sz w:val="18"/>
                <w:szCs w:val="18"/>
                <w:lang w:bidi="ar"/>
              </w:rPr>
              <w:t>菌落总数（CFU/mL）</w:t>
            </w:r>
          </w:p>
        </w:tc>
        <w:tc>
          <w:tcPr>
            <w:tcW w:w="355" w:type="pct"/>
            <w:noWrap w:val="0"/>
            <w:vAlign w:val="center"/>
          </w:tcPr>
          <w:p w14:paraId="1C50CF81">
            <w:pPr>
              <w:widowControl/>
              <w:jc w:val="center"/>
              <w:textAlignment w:val="center"/>
              <w:rPr>
                <w:sz w:val="18"/>
                <w:szCs w:val="18"/>
              </w:rPr>
            </w:pPr>
            <w:r>
              <w:rPr>
                <w:kern w:val="0"/>
                <w:sz w:val="18"/>
                <w:szCs w:val="18"/>
                <w:lang w:bidi="ar"/>
              </w:rPr>
              <w:t>锌</w:t>
            </w:r>
          </w:p>
        </w:tc>
        <w:tc>
          <w:tcPr>
            <w:tcW w:w="284" w:type="pct"/>
            <w:noWrap w:val="0"/>
            <w:vAlign w:val="center"/>
          </w:tcPr>
          <w:p w14:paraId="25E5D77C">
            <w:pPr>
              <w:widowControl/>
              <w:jc w:val="center"/>
              <w:textAlignment w:val="center"/>
              <w:rPr>
                <w:sz w:val="18"/>
                <w:szCs w:val="18"/>
              </w:rPr>
            </w:pPr>
            <w:r>
              <w:rPr>
                <w:kern w:val="0"/>
                <w:sz w:val="18"/>
                <w:szCs w:val="18"/>
                <w:lang w:bidi="ar"/>
              </w:rPr>
              <w:t>钾离子（K</w:t>
            </w:r>
            <w:r>
              <w:rPr>
                <w:kern w:val="0"/>
                <w:sz w:val="18"/>
                <w:szCs w:val="18"/>
                <w:vertAlign w:val="superscript"/>
                <w:lang w:bidi="ar"/>
              </w:rPr>
              <w:t>+</w:t>
            </w:r>
            <w:r>
              <w:rPr>
                <w:kern w:val="0"/>
                <w:sz w:val="18"/>
                <w:szCs w:val="18"/>
                <w:lang w:bidi="ar"/>
              </w:rPr>
              <w:t>）</w:t>
            </w:r>
          </w:p>
        </w:tc>
        <w:tc>
          <w:tcPr>
            <w:tcW w:w="359" w:type="pct"/>
            <w:noWrap w:val="0"/>
            <w:vAlign w:val="center"/>
          </w:tcPr>
          <w:p w14:paraId="03257D01">
            <w:pPr>
              <w:widowControl/>
              <w:jc w:val="center"/>
              <w:textAlignment w:val="center"/>
              <w:rPr>
                <w:sz w:val="18"/>
                <w:szCs w:val="18"/>
              </w:rPr>
            </w:pPr>
            <w:r>
              <w:rPr>
                <w:kern w:val="0"/>
                <w:sz w:val="18"/>
                <w:szCs w:val="18"/>
                <w:lang w:bidi="ar"/>
              </w:rPr>
              <w:t>钠离子（Na</w:t>
            </w:r>
            <w:r>
              <w:rPr>
                <w:kern w:val="0"/>
                <w:sz w:val="18"/>
                <w:szCs w:val="18"/>
                <w:vertAlign w:val="superscript"/>
                <w:lang w:bidi="ar"/>
              </w:rPr>
              <w:t>+</w:t>
            </w:r>
            <w:r>
              <w:rPr>
                <w:kern w:val="0"/>
                <w:sz w:val="18"/>
                <w:szCs w:val="18"/>
                <w:lang w:bidi="ar"/>
              </w:rPr>
              <w:t>）</w:t>
            </w:r>
          </w:p>
        </w:tc>
        <w:tc>
          <w:tcPr>
            <w:tcW w:w="315" w:type="pct"/>
            <w:noWrap w:val="0"/>
            <w:vAlign w:val="center"/>
          </w:tcPr>
          <w:p w14:paraId="4AAE71A5">
            <w:pPr>
              <w:widowControl/>
              <w:jc w:val="center"/>
              <w:textAlignment w:val="center"/>
              <w:rPr>
                <w:sz w:val="18"/>
                <w:szCs w:val="18"/>
              </w:rPr>
            </w:pPr>
            <w:r>
              <w:rPr>
                <w:kern w:val="0"/>
                <w:sz w:val="18"/>
                <w:szCs w:val="18"/>
                <w:lang w:bidi="ar"/>
              </w:rPr>
              <w:t>钙离子（Ca</w:t>
            </w:r>
            <w:r>
              <w:rPr>
                <w:kern w:val="0"/>
                <w:sz w:val="18"/>
                <w:szCs w:val="18"/>
                <w:vertAlign w:val="superscript"/>
                <w:lang w:bidi="ar"/>
              </w:rPr>
              <w:t>2+</w:t>
            </w:r>
            <w:r>
              <w:rPr>
                <w:kern w:val="0"/>
                <w:sz w:val="18"/>
                <w:szCs w:val="18"/>
                <w:lang w:bidi="ar"/>
              </w:rPr>
              <w:t>）</w:t>
            </w:r>
          </w:p>
        </w:tc>
        <w:tc>
          <w:tcPr>
            <w:tcW w:w="302" w:type="pct"/>
            <w:noWrap w:val="0"/>
            <w:vAlign w:val="center"/>
          </w:tcPr>
          <w:p w14:paraId="292B490D">
            <w:pPr>
              <w:widowControl/>
              <w:jc w:val="center"/>
              <w:textAlignment w:val="center"/>
              <w:rPr>
                <w:sz w:val="18"/>
                <w:szCs w:val="18"/>
              </w:rPr>
            </w:pPr>
            <w:r>
              <w:rPr>
                <w:kern w:val="0"/>
                <w:sz w:val="18"/>
                <w:szCs w:val="18"/>
                <w:lang w:bidi="ar"/>
              </w:rPr>
              <w:t>镁离子（Mg</w:t>
            </w:r>
            <w:r>
              <w:rPr>
                <w:kern w:val="0"/>
                <w:sz w:val="18"/>
                <w:szCs w:val="18"/>
                <w:vertAlign w:val="superscript"/>
                <w:lang w:bidi="ar"/>
              </w:rPr>
              <w:t>2+</w:t>
            </w:r>
            <w:r>
              <w:rPr>
                <w:kern w:val="0"/>
                <w:sz w:val="18"/>
                <w:szCs w:val="18"/>
                <w:lang w:bidi="ar"/>
              </w:rPr>
              <w:t>）</w:t>
            </w:r>
          </w:p>
        </w:tc>
        <w:tc>
          <w:tcPr>
            <w:tcW w:w="276" w:type="pct"/>
            <w:noWrap w:val="0"/>
            <w:vAlign w:val="center"/>
          </w:tcPr>
          <w:p w14:paraId="6C6D44BD">
            <w:pPr>
              <w:widowControl/>
              <w:jc w:val="center"/>
              <w:textAlignment w:val="center"/>
              <w:rPr>
                <w:sz w:val="18"/>
                <w:szCs w:val="18"/>
              </w:rPr>
            </w:pPr>
            <w:r>
              <w:rPr>
                <w:kern w:val="0"/>
                <w:sz w:val="18"/>
                <w:szCs w:val="18"/>
                <w:lang w:bidi="ar"/>
              </w:rPr>
              <w:t>碳酸根</w:t>
            </w:r>
          </w:p>
        </w:tc>
        <w:tc>
          <w:tcPr>
            <w:tcW w:w="267" w:type="pct"/>
            <w:noWrap w:val="0"/>
            <w:vAlign w:val="center"/>
          </w:tcPr>
          <w:p w14:paraId="28A0A6ED">
            <w:pPr>
              <w:widowControl/>
              <w:jc w:val="center"/>
              <w:textAlignment w:val="center"/>
              <w:rPr>
                <w:sz w:val="18"/>
                <w:szCs w:val="18"/>
              </w:rPr>
            </w:pPr>
            <w:r>
              <w:rPr>
                <w:kern w:val="0"/>
                <w:sz w:val="18"/>
                <w:szCs w:val="18"/>
                <w:lang w:bidi="ar"/>
              </w:rPr>
              <w:t>重碳酸根</w:t>
            </w:r>
          </w:p>
        </w:tc>
        <w:tc>
          <w:tcPr>
            <w:tcW w:w="293" w:type="pct"/>
            <w:noWrap w:val="0"/>
            <w:vAlign w:val="center"/>
          </w:tcPr>
          <w:p w14:paraId="39471BF4">
            <w:pPr>
              <w:widowControl/>
              <w:jc w:val="center"/>
              <w:textAlignment w:val="center"/>
              <w:rPr>
                <w:sz w:val="18"/>
                <w:szCs w:val="18"/>
              </w:rPr>
            </w:pPr>
            <w:r>
              <w:rPr>
                <w:kern w:val="0"/>
                <w:sz w:val="18"/>
                <w:szCs w:val="18"/>
                <w:lang w:bidi="ar"/>
              </w:rPr>
              <w:t>氯离子（Cl</w:t>
            </w:r>
            <w:r>
              <w:rPr>
                <w:kern w:val="0"/>
                <w:sz w:val="18"/>
                <w:szCs w:val="18"/>
                <w:vertAlign w:val="superscript"/>
                <w:lang w:bidi="ar"/>
              </w:rPr>
              <w:t>-</w:t>
            </w:r>
            <w:r>
              <w:rPr>
                <w:kern w:val="0"/>
                <w:sz w:val="18"/>
                <w:szCs w:val="18"/>
                <w:lang w:bidi="ar"/>
              </w:rPr>
              <w:t>）</w:t>
            </w:r>
          </w:p>
        </w:tc>
        <w:tc>
          <w:tcPr>
            <w:tcW w:w="302" w:type="pct"/>
            <w:noWrap w:val="0"/>
            <w:vAlign w:val="center"/>
          </w:tcPr>
          <w:p w14:paraId="266B8B73">
            <w:pPr>
              <w:widowControl/>
              <w:jc w:val="center"/>
              <w:textAlignment w:val="center"/>
              <w:rPr>
                <w:sz w:val="18"/>
                <w:szCs w:val="18"/>
              </w:rPr>
            </w:pPr>
            <w:r>
              <w:rPr>
                <w:kern w:val="0"/>
                <w:sz w:val="18"/>
                <w:szCs w:val="18"/>
                <w:lang w:bidi="ar"/>
              </w:rPr>
              <w:t>硫酸根（SO</w:t>
            </w:r>
            <w:r>
              <w:rPr>
                <w:kern w:val="0"/>
                <w:sz w:val="18"/>
                <w:szCs w:val="18"/>
                <w:vertAlign w:val="subscript"/>
                <w:lang w:bidi="ar"/>
              </w:rPr>
              <w:t>4</w:t>
            </w:r>
            <w:r>
              <w:rPr>
                <w:kern w:val="0"/>
                <w:sz w:val="18"/>
                <w:szCs w:val="18"/>
                <w:vertAlign w:val="superscript"/>
                <w:lang w:bidi="ar"/>
              </w:rPr>
              <w:t>2-</w:t>
            </w:r>
            <w:r>
              <w:rPr>
                <w:kern w:val="0"/>
                <w:sz w:val="18"/>
                <w:szCs w:val="18"/>
                <w:lang w:bidi="ar"/>
              </w:rPr>
              <w:t>）</w:t>
            </w:r>
          </w:p>
        </w:tc>
        <w:tc>
          <w:tcPr>
            <w:tcW w:w="303" w:type="pct"/>
            <w:noWrap/>
            <w:vAlign w:val="center"/>
          </w:tcPr>
          <w:p w14:paraId="03F743E4">
            <w:pPr>
              <w:jc w:val="center"/>
              <w:rPr>
                <w:sz w:val="18"/>
                <w:szCs w:val="18"/>
              </w:rPr>
            </w:pPr>
            <w:r>
              <w:rPr>
                <w:sz w:val="18"/>
                <w:szCs w:val="18"/>
              </w:rPr>
              <w:t>/</w:t>
            </w:r>
          </w:p>
        </w:tc>
      </w:tr>
      <w:tr w14:paraId="721B8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35B492A9">
            <w:pPr>
              <w:jc w:val="center"/>
              <w:rPr>
                <w:sz w:val="18"/>
                <w:szCs w:val="18"/>
              </w:rPr>
            </w:pPr>
          </w:p>
        </w:tc>
        <w:tc>
          <w:tcPr>
            <w:tcW w:w="381" w:type="pct"/>
            <w:shd w:val="clear" w:color="auto" w:fill="D7D7D7"/>
            <w:noWrap w:val="0"/>
            <w:vAlign w:val="center"/>
          </w:tcPr>
          <w:p w14:paraId="1954D298">
            <w:pPr>
              <w:widowControl/>
              <w:jc w:val="center"/>
              <w:textAlignment w:val="center"/>
              <w:rPr>
                <w:sz w:val="18"/>
                <w:szCs w:val="18"/>
              </w:rPr>
            </w:pPr>
            <w:r>
              <w:rPr>
                <w:kern w:val="0"/>
                <w:sz w:val="18"/>
                <w:szCs w:val="18"/>
                <w:lang w:bidi="ar"/>
              </w:rPr>
              <w:t>2021/3/28</w:t>
            </w:r>
          </w:p>
        </w:tc>
        <w:tc>
          <w:tcPr>
            <w:tcW w:w="278" w:type="pct"/>
            <w:noWrap w:val="0"/>
            <w:vAlign w:val="center"/>
          </w:tcPr>
          <w:p w14:paraId="5C26CA08">
            <w:pPr>
              <w:widowControl/>
              <w:jc w:val="center"/>
              <w:textAlignment w:val="center"/>
              <w:rPr>
                <w:sz w:val="18"/>
                <w:szCs w:val="18"/>
              </w:rPr>
            </w:pPr>
            <w:r>
              <w:rPr>
                <w:kern w:val="0"/>
                <w:sz w:val="18"/>
                <w:szCs w:val="18"/>
                <w:lang w:bidi="ar"/>
              </w:rPr>
              <w:t>283</w:t>
            </w:r>
          </w:p>
        </w:tc>
        <w:tc>
          <w:tcPr>
            <w:tcW w:w="218" w:type="pct"/>
            <w:noWrap w:val="0"/>
            <w:vAlign w:val="center"/>
          </w:tcPr>
          <w:p w14:paraId="56F454B3">
            <w:pPr>
              <w:widowControl/>
              <w:jc w:val="center"/>
              <w:textAlignment w:val="center"/>
              <w:rPr>
                <w:sz w:val="18"/>
                <w:szCs w:val="18"/>
              </w:rPr>
            </w:pPr>
            <w:r>
              <w:rPr>
                <w:kern w:val="0"/>
                <w:sz w:val="18"/>
                <w:szCs w:val="18"/>
                <w:lang w:bidi="ar"/>
              </w:rPr>
              <w:t>0.24</w:t>
            </w:r>
          </w:p>
        </w:tc>
        <w:tc>
          <w:tcPr>
            <w:tcW w:w="218" w:type="pct"/>
            <w:noWrap w:val="0"/>
            <w:vAlign w:val="center"/>
          </w:tcPr>
          <w:p w14:paraId="08FA7461">
            <w:pPr>
              <w:widowControl/>
              <w:jc w:val="center"/>
              <w:textAlignment w:val="center"/>
              <w:rPr>
                <w:sz w:val="18"/>
                <w:szCs w:val="18"/>
              </w:rPr>
            </w:pPr>
            <w:r>
              <w:rPr>
                <w:kern w:val="0"/>
                <w:sz w:val="18"/>
                <w:szCs w:val="18"/>
                <w:lang w:bidi="ar"/>
              </w:rPr>
              <w:t>10L</w:t>
            </w:r>
          </w:p>
        </w:tc>
        <w:tc>
          <w:tcPr>
            <w:tcW w:w="333" w:type="pct"/>
            <w:noWrap w:val="0"/>
            <w:vAlign w:val="center"/>
          </w:tcPr>
          <w:p w14:paraId="737C774B">
            <w:pPr>
              <w:widowControl/>
              <w:jc w:val="center"/>
              <w:textAlignment w:val="center"/>
              <w:rPr>
                <w:sz w:val="18"/>
                <w:szCs w:val="18"/>
              </w:rPr>
            </w:pPr>
            <w:r>
              <w:rPr>
                <w:kern w:val="0"/>
                <w:sz w:val="18"/>
                <w:szCs w:val="18"/>
                <w:lang w:bidi="ar"/>
              </w:rPr>
              <w:t>未检出</w:t>
            </w:r>
          </w:p>
        </w:tc>
        <w:tc>
          <w:tcPr>
            <w:tcW w:w="359" w:type="pct"/>
            <w:noWrap w:val="0"/>
            <w:vAlign w:val="center"/>
          </w:tcPr>
          <w:p w14:paraId="02CCD4C4">
            <w:pPr>
              <w:widowControl/>
              <w:jc w:val="center"/>
              <w:textAlignment w:val="center"/>
              <w:rPr>
                <w:sz w:val="18"/>
                <w:szCs w:val="18"/>
              </w:rPr>
            </w:pPr>
            <w:r>
              <w:rPr>
                <w:kern w:val="0"/>
                <w:sz w:val="18"/>
                <w:szCs w:val="18"/>
                <w:lang w:bidi="ar"/>
              </w:rPr>
              <w:t>80</w:t>
            </w:r>
          </w:p>
        </w:tc>
        <w:tc>
          <w:tcPr>
            <w:tcW w:w="355" w:type="pct"/>
            <w:noWrap w:val="0"/>
            <w:vAlign w:val="center"/>
          </w:tcPr>
          <w:p w14:paraId="19051365">
            <w:pPr>
              <w:widowControl/>
              <w:jc w:val="center"/>
              <w:textAlignment w:val="center"/>
              <w:rPr>
                <w:sz w:val="18"/>
                <w:szCs w:val="18"/>
              </w:rPr>
            </w:pPr>
            <w:r>
              <w:rPr>
                <w:kern w:val="0"/>
                <w:sz w:val="18"/>
                <w:szCs w:val="18"/>
                <w:lang w:bidi="ar"/>
              </w:rPr>
              <w:t>0.088</w:t>
            </w:r>
          </w:p>
        </w:tc>
        <w:tc>
          <w:tcPr>
            <w:tcW w:w="284" w:type="pct"/>
            <w:noWrap w:val="0"/>
            <w:vAlign w:val="center"/>
          </w:tcPr>
          <w:p w14:paraId="3C52973B">
            <w:pPr>
              <w:widowControl/>
              <w:jc w:val="center"/>
              <w:textAlignment w:val="center"/>
              <w:rPr>
                <w:sz w:val="18"/>
                <w:szCs w:val="18"/>
              </w:rPr>
            </w:pPr>
            <w:r>
              <w:rPr>
                <w:kern w:val="0"/>
                <w:sz w:val="18"/>
                <w:szCs w:val="18"/>
                <w:lang w:bidi="ar"/>
              </w:rPr>
              <w:t>4.84</w:t>
            </w:r>
          </w:p>
        </w:tc>
        <w:tc>
          <w:tcPr>
            <w:tcW w:w="359" w:type="pct"/>
            <w:noWrap w:val="0"/>
            <w:vAlign w:val="center"/>
          </w:tcPr>
          <w:p w14:paraId="481C7541">
            <w:pPr>
              <w:widowControl/>
              <w:jc w:val="center"/>
              <w:textAlignment w:val="center"/>
              <w:rPr>
                <w:sz w:val="18"/>
                <w:szCs w:val="18"/>
              </w:rPr>
            </w:pPr>
            <w:r>
              <w:rPr>
                <w:kern w:val="0"/>
                <w:sz w:val="18"/>
                <w:szCs w:val="18"/>
                <w:lang w:bidi="ar"/>
              </w:rPr>
              <w:t>5.37</w:t>
            </w:r>
          </w:p>
        </w:tc>
        <w:tc>
          <w:tcPr>
            <w:tcW w:w="315" w:type="pct"/>
            <w:noWrap w:val="0"/>
            <w:vAlign w:val="center"/>
          </w:tcPr>
          <w:p w14:paraId="173D2636">
            <w:pPr>
              <w:widowControl/>
              <w:jc w:val="center"/>
              <w:textAlignment w:val="center"/>
              <w:rPr>
                <w:sz w:val="18"/>
                <w:szCs w:val="18"/>
              </w:rPr>
            </w:pPr>
            <w:r>
              <w:rPr>
                <w:kern w:val="0"/>
                <w:sz w:val="18"/>
                <w:szCs w:val="18"/>
                <w:lang w:bidi="ar"/>
              </w:rPr>
              <w:t>35.8</w:t>
            </w:r>
          </w:p>
        </w:tc>
        <w:tc>
          <w:tcPr>
            <w:tcW w:w="302" w:type="pct"/>
            <w:noWrap w:val="0"/>
            <w:vAlign w:val="center"/>
          </w:tcPr>
          <w:p w14:paraId="02D3330C">
            <w:pPr>
              <w:widowControl/>
              <w:jc w:val="center"/>
              <w:textAlignment w:val="center"/>
              <w:rPr>
                <w:sz w:val="18"/>
                <w:szCs w:val="18"/>
              </w:rPr>
            </w:pPr>
            <w:r>
              <w:rPr>
                <w:kern w:val="0"/>
                <w:sz w:val="18"/>
                <w:szCs w:val="18"/>
                <w:lang w:bidi="ar"/>
              </w:rPr>
              <w:t>4.15</w:t>
            </w:r>
          </w:p>
        </w:tc>
        <w:tc>
          <w:tcPr>
            <w:tcW w:w="276" w:type="pct"/>
            <w:noWrap w:val="0"/>
            <w:vAlign w:val="center"/>
          </w:tcPr>
          <w:p w14:paraId="1201FB94">
            <w:pPr>
              <w:widowControl/>
              <w:jc w:val="center"/>
              <w:textAlignment w:val="center"/>
              <w:rPr>
                <w:sz w:val="18"/>
                <w:szCs w:val="18"/>
              </w:rPr>
            </w:pPr>
            <w:r>
              <w:rPr>
                <w:kern w:val="0"/>
                <w:sz w:val="18"/>
                <w:szCs w:val="18"/>
                <w:lang w:bidi="ar"/>
              </w:rPr>
              <w:t>18</w:t>
            </w:r>
          </w:p>
        </w:tc>
        <w:tc>
          <w:tcPr>
            <w:tcW w:w="267" w:type="pct"/>
            <w:noWrap w:val="0"/>
            <w:vAlign w:val="center"/>
          </w:tcPr>
          <w:p w14:paraId="461EAF8B">
            <w:pPr>
              <w:widowControl/>
              <w:jc w:val="center"/>
              <w:textAlignment w:val="center"/>
              <w:rPr>
                <w:sz w:val="18"/>
                <w:szCs w:val="18"/>
              </w:rPr>
            </w:pPr>
            <w:r>
              <w:rPr>
                <w:kern w:val="0"/>
                <w:sz w:val="18"/>
                <w:szCs w:val="18"/>
                <w:lang w:bidi="ar"/>
              </w:rPr>
              <w:t>232</w:t>
            </w:r>
          </w:p>
        </w:tc>
        <w:tc>
          <w:tcPr>
            <w:tcW w:w="293" w:type="pct"/>
            <w:noWrap w:val="0"/>
            <w:vAlign w:val="center"/>
          </w:tcPr>
          <w:p w14:paraId="58F83909">
            <w:pPr>
              <w:widowControl/>
              <w:jc w:val="center"/>
              <w:textAlignment w:val="center"/>
              <w:rPr>
                <w:sz w:val="18"/>
                <w:szCs w:val="18"/>
              </w:rPr>
            </w:pPr>
            <w:r>
              <w:rPr>
                <w:kern w:val="0"/>
                <w:sz w:val="18"/>
                <w:szCs w:val="18"/>
                <w:lang w:bidi="ar"/>
              </w:rPr>
              <w:t>3.41</w:t>
            </w:r>
          </w:p>
        </w:tc>
        <w:tc>
          <w:tcPr>
            <w:tcW w:w="302" w:type="pct"/>
            <w:noWrap w:val="0"/>
            <w:vAlign w:val="center"/>
          </w:tcPr>
          <w:p w14:paraId="7B2B1F4A">
            <w:pPr>
              <w:widowControl/>
              <w:jc w:val="center"/>
              <w:textAlignment w:val="center"/>
              <w:rPr>
                <w:sz w:val="18"/>
                <w:szCs w:val="18"/>
              </w:rPr>
            </w:pPr>
            <w:r>
              <w:rPr>
                <w:kern w:val="0"/>
                <w:sz w:val="18"/>
                <w:szCs w:val="18"/>
                <w:lang w:bidi="ar"/>
              </w:rPr>
              <w:t>15.7</w:t>
            </w:r>
          </w:p>
        </w:tc>
        <w:tc>
          <w:tcPr>
            <w:tcW w:w="303" w:type="pct"/>
            <w:noWrap/>
            <w:vAlign w:val="center"/>
          </w:tcPr>
          <w:p w14:paraId="29F3910B">
            <w:pPr>
              <w:jc w:val="center"/>
              <w:rPr>
                <w:sz w:val="18"/>
                <w:szCs w:val="18"/>
              </w:rPr>
            </w:pPr>
            <w:r>
              <w:rPr>
                <w:sz w:val="18"/>
                <w:szCs w:val="18"/>
              </w:rPr>
              <w:t>/</w:t>
            </w:r>
          </w:p>
        </w:tc>
      </w:tr>
      <w:tr w14:paraId="6A7048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430A513">
            <w:pPr>
              <w:jc w:val="center"/>
              <w:rPr>
                <w:sz w:val="18"/>
                <w:szCs w:val="18"/>
              </w:rPr>
            </w:pPr>
          </w:p>
        </w:tc>
        <w:tc>
          <w:tcPr>
            <w:tcW w:w="381" w:type="pct"/>
            <w:shd w:val="clear" w:color="auto" w:fill="D7D7D7"/>
            <w:noWrap w:val="0"/>
            <w:vAlign w:val="center"/>
          </w:tcPr>
          <w:p w14:paraId="03335500">
            <w:pPr>
              <w:widowControl/>
              <w:jc w:val="center"/>
              <w:textAlignment w:val="center"/>
              <w:rPr>
                <w:sz w:val="18"/>
                <w:szCs w:val="18"/>
              </w:rPr>
            </w:pPr>
            <w:r>
              <w:rPr>
                <w:kern w:val="0"/>
                <w:sz w:val="18"/>
                <w:szCs w:val="18"/>
                <w:lang w:bidi="ar"/>
              </w:rPr>
              <w:t>2021/3/29</w:t>
            </w:r>
          </w:p>
        </w:tc>
        <w:tc>
          <w:tcPr>
            <w:tcW w:w="278" w:type="pct"/>
            <w:noWrap w:val="0"/>
            <w:vAlign w:val="center"/>
          </w:tcPr>
          <w:p w14:paraId="0320506E">
            <w:pPr>
              <w:widowControl/>
              <w:jc w:val="center"/>
              <w:textAlignment w:val="center"/>
              <w:rPr>
                <w:sz w:val="18"/>
                <w:szCs w:val="18"/>
              </w:rPr>
            </w:pPr>
            <w:r>
              <w:rPr>
                <w:kern w:val="0"/>
                <w:sz w:val="18"/>
                <w:szCs w:val="18"/>
                <w:lang w:bidi="ar"/>
              </w:rPr>
              <w:t>292</w:t>
            </w:r>
          </w:p>
        </w:tc>
        <w:tc>
          <w:tcPr>
            <w:tcW w:w="218" w:type="pct"/>
            <w:noWrap w:val="0"/>
            <w:vAlign w:val="center"/>
          </w:tcPr>
          <w:p w14:paraId="6BC29B31">
            <w:pPr>
              <w:widowControl/>
              <w:jc w:val="center"/>
              <w:textAlignment w:val="center"/>
              <w:rPr>
                <w:sz w:val="18"/>
                <w:szCs w:val="18"/>
              </w:rPr>
            </w:pPr>
            <w:r>
              <w:rPr>
                <w:kern w:val="0"/>
                <w:sz w:val="18"/>
                <w:szCs w:val="18"/>
                <w:lang w:bidi="ar"/>
              </w:rPr>
              <w:t>0.22</w:t>
            </w:r>
          </w:p>
        </w:tc>
        <w:tc>
          <w:tcPr>
            <w:tcW w:w="218" w:type="pct"/>
            <w:noWrap w:val="0"/>
            <w:vAlign w:val="center"/>
          </w:tcPr>
          <w:p w14:paraId="2053D2AD">
            <w:pPr>
              <w:widowControl/>
              <w:jc w:val="center"/>
              <w:textAlignment w:val="center"/>
              <w:rPr>
                <w:sz w:val="18"/>
                <w:szCs w:val="18"/>
              </w:rPr>
            </w:pPr>
            <w:r>
              <w:rPr>
                <w:kern w:val="0"/>
                <w:sz w:val="18"/>
                <w:szCs w:val="18"/>
                <w:lang w:bidi="ar"/>
              </w:rPr>
              <w:t>10L</w:t>
            </w:r>
          </w:p>
        </w:tc>
        <w:tc>
          <w:tcPr>
            <w:tcW w:w="333" w:type="pct"/>
            <w:noWrap w:val="0"/>
            <w:vAlign w:val="center"/>
          </w:tcPr>
          <w:p w14:paraId="711F504B">
            <w:pPr>
              <w:widowControl/>
              <w:jc w:val="center"/>
              <w:textAlignment w:val="center"/>
              <w:rPr>
                <w:sz w:val="18"/>
                <w:szCs w:val="18"/>
              </w:rPr>
            </w:pPr>
            <w:r>
              <w:rPr>
                <w:kern w:val="0"/>
                <w:sz w:val="18"/>
                <w:szCs w:val="18"/>
                <w:lang w:bidi="ar"/>
              </w:rPr>
              <w:t>未检出</w:t>
            </w:r>
          </w:p>
        </w:tc>
        <w:tc>
          <w:tcPr>
            <w:tcW w:w="359" w:type="pct"/>
            <w:noWrap w:val="0"/>
            <w:vAlign w:val="center"/>
          </w:tcPr>
          <w:p w14:paraId="122E26EF">
            <w:pPr>
              <w:widowControl/>
              <w:jc w:val="center"/>
              <w:textAlignment w:val="center"/>
              <w:rPr>
                <w:sz w:val="18"/>
                <w:szCs w:val="18"/>
              </w:rPr>
            </w:pPr>
            <w:r>
              <w:rPr>
                <w:kern w:val="0"/>
                <w:sz w:val="18"/>
                <w:szCs w:val="18"/>
                <w:lang w:bidi="ar"/>
              </w:rPr>
              <w:t>60</w:t>
            </w:r>
          </w:p>
        </w:tc>
        <w:tc>
          <w:tcPr>
            <w:tcW w:w="355" w:type="pct"/>
            <w:noWrap w:val="0"/>
            <w:vAlign w:val="center"/>
          </w:tcPr>
          <w:p w14:paraId="7F31DB00">
            <w:pPr>
              <w:widowControl/>
              <w:jc w:val="center"/>
              <w:textAlignment w:val="center"/>
              <w:rPr>
                <w:sz w:val="18"/>
                <w:szCs w:val="18"/>
              </w:rPr>
            </w:pPr>
            <w:r>
              <w:rPr>
                <w:kern w:val="0"/>
                <w:sz w:val="18"/>
                <w:szCs w:val="18"/>
                <w:lang w:bidi="ar"/>
              </w:rPr>
              <w:t>0.088</w:t>
            </w:r>
          </w:p>
        </w:tc>
        <w:tc>
          <w:tcPr>
            <w:tcW w:w="284" w:type="pct"/>
            <w:noWrap w:val="0"/>
            <w:vAlign w:val="center"/>
          </w:tcPr>
          <w:p w14:paraId="466F7F57">
            <w:pPr>
              <w:widowControl/>
              <w:jc w:val="center"/>
              <w:textAlignment w:val="center"/>
              <w:rPr>
                <w:sz w:val="18"/>
                <w:szCs w:val="18"/>
              </w:rPr>
            </w:pPr>
            <w:r>
              <w:rPr>
                <w:kern w:val="0"/>
                <w:sz w:val="18"/>
                <w:szCs w:val="18"/>
                <w:lang w:bidi="ar"/>
              </w:rPr>
              <w:t>4.78</w:t>
            </w:r>
          </w:p>
        </w:tc>
        <w:tc>
          <w:tcPr>
            <w:tcW w:w="359" w:type="pct"/>
            <w:noWrap w:val="0"/>
            <w:vAlign w:val="center"/>
          </w:tcPr>
          <w:p w14:paraId="7D6FFA67">
            <w:pPr>
              <w:widowControl/>
              <w:jc w:val="center"/>
              <w:textAlignment w:val="center"/>
              <w:rPr>
                <w:sz w:val="18"/>
                <w:szCs w:val="18"/>
              </w:rPr>
            </w:pPr>
            <w:r>
              <w:rPr>
                <w:kern w:val="0"/>
                <w:sz w:val="18"/>
                <w:szCs w:val="18"/>
                <w:lang w:bidi="ar"/>
              </w:rPr>
              <w:t>5.36</w:t>
            </w:r>
          </w:p>
        </w:tc>
        <w:tc>
          <w:tcPr>
            <w:tcW w:w="315" w:type="pct"/>
            <w:noWrap w:val="0"/>
            <w:vAlign w:val="center"/>
          </w:tcPr>
          <w:p w14:paraId="15278B78">
            <w:pPr>
              <w:widowControl/>
              <w:jc w:val="center"/>
              <w:textAlignment w:val="center"/>
              <w:rPr>
                <w:sz w:val="18"/>
                <w:szCs w:val="18"/>
              </w:rPr>
            </w:pPr>
            <w:r>
              <w:rPr>
                <w:kern w:val="0"/>
                <w:sz w:val="18"/>
                <w:szCs w:val="18"/>
                <w:lang w:bidi="ar"/>
              </w:rPr>
              <w:t>35.1</w:t>
            </w:r>
          </w:p>
        </w:tc>
        <w:tc>
          <w:tcPr>
            <w:tcW w:w="302" w:type="pct"/>
            <w:noWrap w:val="0"/>
            <w:vAlign w:val="center"/>
          </w:tcPr>
          <w:p w14:paraId="7C901C99">
            <w:pPr>
              <w:widowControl/>
              <w:jc w:val="center"/>
              <w:textAlignment w:val="center"/>
              <w:rPr>
                <w:sz w:val="18"/>
                <w:szCs w:val="18"/>
              </w:rPr>
            </w:pPr>
            <w:r>
              <w:rPr>
                <w:kern w:val="0"/>
                <w:sz w:val="18"/>
                <w:szCs w:val="18"/>
                <w:lang w:bidi="ar"/>
              </w:rPr>
              <w:t>4.13</w:t>
            </w:r>
          </w:p>
        </w:tc>
        <w:tc>
          <w:tcPr>
            <w:tcW w:w="276" w:type="pct"/>
            <w:noWrap w:val="0"/>
            <w:vAlign w:val="center"/>
          </w:tcPr>
          <w:p w14:paraId="6469B245">
            <w:pPr>
              <w:widowControl/>
              <w:jc w:val="center"/>
              <w:textAlignment w:val="center"/>
              <w:rPr>
                <w:sz w:val="18"/>
                <w:szCs w:val="18"/>
              </w:rPr>
            </w:pPr>
            <w:r>
              <w:rPr>
                <w:kern w:val="0"/>
                <w:sz w:val="18"/>
                <w:szCs w:val="18"/>
                <w:lang w:bidi="ar"/>
              </w:rPr>
              <w:t>15</w:t>
            </w:r>
          </w:p>
        </w:tc>
        <w:tc>
          <w:tcPr>
            <w:tcW w:w="267" w:type="pct"/>
            <w:noWrap w:val="0"/>
            <w:vAlign w:val="center"/>
          </w:tcPr>
          <w:p w14:paraId="5B52C701">
            <w:pPr>
              <w:widowControl/>
              <w:jc w:val="center"/>
              <w:textAlignment w:val="center"/>
              <w:rPr>
                <w:sz w:val="18"/>
                <w:szCs w:val="18"/>
              </w:rPr>
            </w:pPr>
            <w:r>
              <w:rPr>
                <w:kern w:val="0"/>
                <w:sz w:val="18"/>
                <w:szCs w:val="18"/>
                <w:lang w:bidi="ar"/>
              </w:rPr>
              <w:t>226</w:t>
            </w:r>
          </w:p>
        </w:tc>
        <w:tc>
          <w:tcPr>
            <w:tcW w:w="293" w:type="pct"/>
            <w:noWrap w:val="0"/>
            <w:vAlign w:val="center"/>
          </w:tcPr>
          <w:p w14:paraId="473B761B">
            <w:pPr>
              <w:widowControl/>
              <w:jc w:val="center"/>
              <w:textAlignment w:val="center"/>
              <w:rPr>
                <w:sz w:val="18"/>
                <w:szCs w:val="18"/>
              </w:rPr>
            </w:pPr>
            <w:r>
              <w:rPr>
                <w:kern w:val="0"/>
                <w:sz w:val="18"/>
                <w:szCs w:val="18"/>
                <w:lang w:bidi="ar"/>
              </w:rPr>
              <w:t>3.4</w:t>
            </w:r>
          </w:p>
        </w:tc>
        <w:tc>
          <w:tcPr>
            <w:tcW w:w="302" w:type="pct"/>
            <w:noWrap w:val="0"/>
            <w:vAlign w:val="center"/>
          </w:tcPr>
          <w:p w14:paraId="0F8B795C">
            <w:pPr>
              <w:widowControl/>
              <w:jc w:val="center"/>
              <w:textAlignment w:val="center"/>
              <w:rPr>
                <w:sz w:val="18"/>
                <w:szCs w:val="18"/>
              </w:rPr>
            </w:pPr>
            <w:r>
              <w:rPr>
                <w:kern w:val="0"/>
                <w:sz w:val="18"/>
                <w:szCs w:val="18"/>
                <w:lang w:bidi="ar"/>
              </w:rPr>
              <w:t>15.6</w:t>
            </w:r>
          </w:p>
        </w:tc>
        <w:tc>
          <w:tcPr>
            <w:tcW w:w="303" w:type="pct"/>
            <w:noWrap/>
            <w:vAlign w:val="center"/>
          </w:tcPr>
          <w:p w14:paraId="341D5DD6">
            <w:pPr>
              <w:jc w:val="center"/>
              <w:rPr>
                <w:sz w:val="18"/>
                <w:szCs w:val="18"/>
              </w:rPr>
            </w:pPr>
            <w:r>
              <w:rPr>
                <w:sz w:val="18"/>
                <w:szCs w:val="18"/>
              </w:rPr>
              <w:t>/</w:t>
            </w:r>
          </w:p>
        </w:tc>
      </w:tr>
      <w:tr w14:paraId="772E2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149" w:type="pct"/>
            <w:vMerge w:val="continue"/>
            <w:shd w:val="clear" w:color="auto" w:fill="auto"/>
            <w:noWrap w:val="0"/>
            <w:vAlign w:val="center"/>
          </w:tcPr>
          <w:p w14:paraId="49944905">
            <w:pPr>
              <w:jc w:val="center"/>
              <w:rPr>
                <w:sz w:val="18"/>
                <w:szCs w:val="18"/>
              </w:rPr>
            </w:pPr>
          </w:p>
        </w:tc>
        <w:tc>
          <w:tcPr>
            <w:tcW w:w="381" w:type="pct"/>
            <w:shd w:val="clear" w:color="auto" w:fill="D7D7D7"/>
            <w:noWrap w:val="0"/>
            <w:vAlign w:val="center"/>
          </w:tcPr>
          <w:p w14:paraId="0B8EE05F">
            <w:pPr>
              <w:widowControl/>
              <w:jc w:val="center"/>
              <w:textAlignment w:val="center"/>
              <w:rPr>
                <w:sz w:val="18"/>
                <w:szCs w:val="18"/>
              </w:rPr>
            </w:pPr>
            <w:r>
              <w:rPr>
                <w:kern w:val="0"/>
                <w:sz w:val="18"/>
                <w:szCs w:val="18"/>
                <w:lang w:bidi="ar"/>
              </w:rPr>
              <w:t>2021/3/30</w:t>
            </w:r>
          </w:p>
        </w:tc>
        <w:tc>
          <w:tcPr>
            <w:tcW w:w="278" w:type="pct"/>
            <w:noWrap w:val="0"/>
            <w:vAlign w:val="center"/>
          </w:tcPr>
          <w:p w14:paraId="7303C404">
            <w:pPr>
              <w:widowControl/>
              <w:jc w:val="center"/>
              <w:textAlignment w:val="center"/>
              <w:rPr>
                <w:sz w:val="18"/>
                <w:szCs w:val="18"/>
              </w:rPr>
            </w:pPr>
            <w:r>
              <w:rPr>
                <w:kern w:val="0"/>
                <w:sz w:val="18"/>
                <w:szCs w:val="18"/>
                <w:lang w:bidi="ar"/>
              </w:rPr>
              <w:t>288</w:t>
            </w:r>
          </w:p>
        </w:tc>
        <w:tc>
          <w:tcPr>
            <w:tcW w:w="218" w:type="pct"/>
            <w:noWrap w:val="0"/>
            <w:vAlign w:val="center"/>
          </w:tcPr>
          <w:p w14:paraId="57141E5E">
            <w:pPr>
              <w:widowControl/>
              <w:jc w:val="center"/>
              <w:textAlignment w:val="center"/>
              <w:rPr>
                <w:sz w:val="18"/>
                <w:szCs w:val="18"/>
              </w:rPr>
            </w:pPr>
            <w:r>
              <w:rPr>
                <w:kern w:val="0"/>
                <w:sz w:val="18"/>
                <w:szCs w:val="18"/>
                <w:lang w:bidi="ar"/>
              </w:rPr>
              <w:t>0.26</w:t>
            </w:r>
          </w:p>
        </w:tc>
        <w:tc>
          <w:tcPr>
            <w:tcW w:w="218" w:type="pct"/>
            <w:noWrap w:val="0"/>
            <w:vAlign w:val="center"/>
          </w:tcPr>
          <w:p w14:paraId="2B323969">
            <w:pPr>
              <w:widowControl/>
              <w:jc w:val="center"/>
              <w:textAlignment w:val="center"/>
              <w:rPr>
                <w:sz w:val="18"/>
                <w:szCs w:val="18"/>
              </w:rPr>
            </w:pPr>
            <w:r>
              <w:rPr>
                <w:kern w:val="0"/>
                <w:sz w:val="18"/>
                <w:szCs w:val="18"/>
                <w:lang w:bidi="ar"/>
              </w:rPr>
              <w:t>10L</w:t>
            </w:r>
          </w:p>
        </w:tc>
        <w:tc>
          <w:tcPr>
            <w:tcW w:w="333" w:type="pct"/>
            <w:noWrap w:val="0"/>
            <w:vAlign w:val="center"/>
          </w:tcPr>
          <w:p w14:paraId="1FE871C1">
            <w:pPr>
              <w:widowControl/>
              <w:jc w:val="center"/>
              <w:textAlignment w:val="center"/>
              <w:rPr>
                <w:sz w:val="18"/>
                <w:szCs w:val="18"/>
              </w:rPr>
            </w:pPr>
            <w:r>
              <w:rPr>
                <w:kern w:val="0"/>
                <w:sz w:val="18"/>
                <w:szCs w:val="18"/>
                <w:lang w:bidi="ar"/>
              </w:rPr>
              <w:t>未检出</w:t>
            </w:r>
          </w:p>
        </w:tc>
        <w:tc>
          <w:tcPr>
            <w:tcW w:w="359" w:type="pct"/>
            <w:noWrap w:val="0"/>
            <w:vAlign w:val="center"/>
          </w:tcPr>
          <w:p w14:paraId="2CD6C5A9">
            <w:pPr>
              <w:widowControl/>
              <w:jc w:val="center"/>
              <w:textAlignment w:val="center"/>
              <w:rPr>
                <w:sz w:val="18"/>
                <w:szCs w:val="18"/>
              </w:rPr>
            </w:pPr>
            <w:r>
              <w:rPr>
                <w:kern w:val="0"/>
                <w:sz w:val="18"/>
                <w:szCs w:val="18"/>
                <w:lang w:bidi="ar"/>
              </w:rPr>
              <w:t>70</w:t>
            </w:r>
          </w:p>
        </w:tc>
        <w:tc>
          <w:tcPr>
            <w:tcW w:w="355" w:type="pct"/>
            <w:noWrap w:val="0"/>
            <w:vAlign w:val="center"/>
          </w:tcPr>
          <w:p w14:paraId="267A15D2">
            <w:pPr>
              <w:widowControl/>
              <w:jc w:val="center"/>
              <w:textAlignment w:val="center"/>
              <w:rPr>
                <w:sz w:val="18"/>
                <w:szCs w:val="18"/>
              </w:rPr>
            </w:pPr>
            <w:r>
              <w:rPr>
                <w:kern w:val="0"/>
                <w:sz w:val="18"/>
                <w:szCs w:val="18"/>
                <w:lang w:bidi="ar"/>
              </w:rPr>
              <w:t>0.088</w:t>
            </w:r>
          </w:p>
        </w:tc>
        <w:tc>
          <w:tcPr>
            <w:tcW w:w="284" w:type="pct"/>
            <w:noWrap w:val="0"/>
            <w:vAlign w:val="center"/>
          </w:tcPr>
          <w:p w14:paraId="7FF6F04C">
            <w:pPr>
              <w:widowControl/>
              <w:jc w:val="center"/>
              <w:textAlignment w:val="center"/>
              <w:rPr>
                <w:sz w:val="18"/>
                <w:szCs w:val="18"/>
              </w:rPr>
            </w:pPr>
            <w:r>
              <w:rPr>
                <w:kern w:val="0"/>
                <w:sz w:val="18"/>
                <w:szCs w:val="18"/>
                <w:lang w:bidi="ar"/>
              </w:rPr>
              <w:t>4.87</w:t>
            </w:r>
          </w:p>
        </w:tc>
        <w:tc>
          <w:tcPr>
            <w:tcW w:w="359" w:type="pct"/>
            <w:noWrap w:val="0"/>
            <w:vAlign w:val="center"/>
          </w:tcPr>
          <w:p w14:paraId="2A4215B5">
            <w:pPr>
              <w:widowControl/>
              <w:jc w:val="center"/>
              <w:textAlignment w:val="center"/>
              <w:rPr>
                <w:sz w:val="18"/>
                <w:szCs w:val="18"/>
              </w:rPr>
            </w:pPr>
            <w:r>
              <w:rPr>
                <w:kern w:val="0"/>
                <w:sz w:val="18"/>
                <w:szCs w:val="18"/>
                <w:lang w:bidi="ar"/>
              </w:rPr>
              <w:t>5.34</w:t>
            </w:r>
          </w:p>
        </w:tc>
        <w:tc>
          <w:tcPr>
            <w:tcW w:w="315" w:type="pct"/>
            <w:noWrap w:val="0"/>
            <w:vAlign w:val="center"/>
          </w:tcPr>
          <w:p w14:paraId="0655C019">
            <w:pPr>
              <w:widowControl/>
              <w:jc w:val="center"/>
              <w:textAlignment w:val="center"/>
              <w:rPr>
                <w:sz w:val="18"/>
                <w:szCs w:val="18"/>
              </w:rPr>
            </w:pPr>
            <w:r>
              <w:rPr>
                <w:kern w:val="0"/>
                <w:sz w:val="18"/>
                <w:szCs w:val="18"/>
                <w:lang w:bidi="ar"/>
              </w:rPr>
              <w:t>34.8</w:t>
            </w:r>
          </w:p>
        </w:tc>
        <w:tc>
          <w:tcPr>
            <w:tcW w:w="302" w:type="pct"/>
            <w:noWrap w:val="0"/>
            <w:vAlign w:val="center"/>
          </w:tcPr>
          <w:p w14:paraId="1F3A7DDC">
            <w:pPr>
              <w:widowControl/>
              <w:jc w:val="center"/>
              <w:textAlignment w:val="center"/>
              <w:rPr>
                <w:sz w:val="18"/>
                <w:szCs w:val="18"/>
              </w:rPr>
            </w:pPr>
            <w:r>
              <w:rPr>
                <w:kern w:val="0"/>
                <w:sz w:val="18"/>
                <w:szCs w:val="18"/>
                <w:lang w:bidi="ar"/>
              </w:rPr>
              <w:t>4.12</w:t>
            </w:r>
          </w:p>
        </w:tc>
        <w:tc>
          <w:tcPr>
            <w:tcW w:w="276" w:type="pct"/>
            <w:noWrap w:val="0"/>
            <w:vAlign w:val="center"/>
          </w:tcPr>
          <w:p w14:paraId="554D892F">
            <w:pPr>
              <w:widowControl/>
              <w:jc w:val="center"/>
              <w:textAlignment w:val="center"/>
              <w:rPr>
                <w:sz w:val="18"/>
                <w:szCs w:val="18"/>
              </w:rPr>
            </w:pPr>
            <w:r>
              <w:rPr>
                <w:kern w:val="0"/>
                <w:sz w:val="18"/>
                <w:szCs w:val="18"/>
                <w:lang w:bidi="ar"/>
              </w:rPr>
              <w:t>17</w:t>
            </w:r>
          </w:p>
        </w:tc>
        <w:tc>
          <w:tcPr>
            <w:tcW w:w="267" w:type="pct"/>
            <w:noWrap w:val="0"/>
            <w:vAlign w:val="center"/>
          </w:tcPr>
          <w:p w14:paraId="0B8D7539">
            <w:pPr>
              <w:widowControl/>
              <w:jc w:val="center"/>
              <w:textAlignment w:val="center"/>
              <w:rPr>
                <w:sz w:val="18"/>
                <w:szCs w:val="18"/>
              </w:rPr>
            </w:pPr>
            <w:r>
              <w:rPr>
                <w:kern w:val="0"/>
                <w:sz w:val="18"/>
                <w:szCs w:val="18"/>
                <w:lang w:bidi="ar"/>
              </w:rPr>
              <w:t>237</w:t>
            </w:r>
          </w:p>
        </w:tc>
        <w:tc>
          <w:tcPr>
            <w:tcW w:w="293" w:type="pct"/>
            <w:noWrap w:val="0"/>
            <w:vAlign w:val="center"/>
          </w:tcPr>
          <w:p w14:paraId="5171B419">
            <w:pPr>
              <w:widowControl/>
              <w:jc w:val="center"/>
              <w:textAlignment w:val="center"/>
              <w:rPr>
                <w:sz w:val="18"/>
                <w:szCs w:val="18"/>
              </w:rPr>
            </w:pPr>
            <w:r>
              <w:rPr>
                <w:kern w:val="0"/>
                <w:sz w:val="18"/>
                <w:szCs w:val="18"/>
                <w:lang w:bidi="ar"/>
              </w:rPr>
              <w:t>3.38</w:t>
            </w:r>
          </w:p>
        </w:tc>
        <w:tc>
          <w:tcPr>
            <w:tcW w:w="302" w:type="pct"/>
            <w:noWrap w:val="0"/>
            <w:vAlign w:val="center"/>
          </w:tcPr>
          <w:p w14:paraId="732E8524">
            <w:pPr>
              <w:widowControl/>
              <w:jc w:val="center"/>
              <w:textAlignment w:val="center"/>
              <w:rPr>
                <w:sz w:val="18"/>
                <w:szCs w:val="18"/>
              </w:rPr>
            </w:pPr>
            <w:r>
              <w:rPr>
                <w:kern w:val="0"/>
                <w:sz w:val="18"/>
                <w:szCs w:val="18"/>
                <w:lang w:bidi="ar"/>
              </w:rPr>
              <w:t>15.5</w:t>
            </w:r>
          </w:p>
        </w:tc>
        <w:tc>
          <w:tcPr>
            <w:tcW w:w="303" w:type="pct"/>
            <w:noWrap/>
            <w:vAlign w:val="center"/>
          </w:tcPr>
          <w:p w14:paraId="684F02DE">
            <w:pPr>
              <w:jc w:val="center"/>
              <w:rPr>
                <w:sz w:val="18"/>
                <w:szCs w:val="18"/>
              </w:rPr>
            </w:pPr>
            <w:r>
              <w:rPr>
                <w:sz w:val="18"/>
                <w:szCs w:val="18"/>
              </w:rPr>
              <w:t>/</w:t>
            </w:r>
          </w:p>
        </w:tc>
      </w:tr>
      <w:tr w14:paraId="6F1D8A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149" w:type="pct"/>
            <w:vMerge w:val="continue"/>
            <w:shd w:val="clear" w:color="auto" w:fill="auto"/>
            <w:noWrap w:val="0"/>
            <w:vAlign w:val="center"/>
          </w:tcPr>
          <w:p w14:paraId="269A35BB">
            <w:pPr>
              <w:jc w:val="center"/>
              <w:rPr>
                <w:sz w:val="18"/>
                <w:szCs w:val="18"/>
              </w:rPr>
            </w:pPr>
          </w:p>
        </w:tc>
        <w:tc>
          <w:tcPr>
            <w:tcW w:w="381" w:type="pct"/>
            <w:shd w:val="clear" w:color="auto" w:fill="D7D7D7"/>
            <w:noWrap w:val="0"/>
            <w:vAlign w:val="center"/>
          </w:tcPr>
          <w:p w14:paraId="69B13713">
            <w:pPr>
              <w:widowControl/>
              <w:jc w:val="center"/>
              <w:textAlignment w:val="center"/>
              <w:rPr>
                <w:sz w:val="18"/>
                <w:szCs w:val="18"/>
              </w:rPr>
            </w:pPr>
            <w:r>
              <w:rPr>
                <w:kern w:val="0"/>
                <w:sz w:val="18"/>
                <w:szCs w:val="18"/>
                <w:lang w:bidi="ar"/>
              </w:rPr>
              <w:t>最大值</w:t>
            </w:r>
          </w:p>
        </w:tc>
        <w:tc>
          <w:tcPr>
            <w:tcW w:w="278" w:type="pct"/>
            <w:noWrap w:val="0"/>
            <w:vAlign w:val="center"/>
          </w:tcPr>
          <w:p w14:paraId="549B0C4C">
            <w:pPr>
              <w:widowControl/>
              <w:jc w:val="center"/>
              <w:textAlignment w:val="center"/>
              <w:rPr>
                <w:sz w:val="18"/>
                <w:szCs w:val="18"/>
              </w:rPr>
            </w:pPr>
            <w:r>
              <w:rPr>
                <w:kern w:val="0"/>
                <w:sz w:val="18"/>
                <w:szCs w:val="18"/>
                <w:lang w:bidi="ar"/>
              </w:rPr>
              <w:t>292</w:t>
            </w:r>
          </w:p>
        </w:tc>
        <w:tc>
          <w:tcPr>
            <w:tcW w:w="218" w:type="pct"/>
            <w:noWrap w:val="0"/>
            <w:vAlign w:val="center"/>
          </w:tcPr>
          <w:p w14:paraId="35E83DE3">
            <w:pPr>
              <w:widowControl/>
              <w:jc w:val="center"/>
              <w:textAlignment w:val="center"/>
              <w:rPr>
                <w:sz w:val="18"/>
                <w:szCs w:val="18"/>
              </w:rPr>
            </w:pPr>
            <w:r>
              <w:rPr>
                <w:kern w:val="0"/>
                <w:sz w:val="18"/>
                <w:szCs w:val="18"/>
                <w:lang w:bidi="ar"/>
              </w:rPr>
              <w:t>0.26</w:t>
            </w:r>
          </w:p>
        </w:tc>
        <w:tc>
          <w:tcPr>
            <w:tcW w:w="218" w:type="pct"/>
            <w:noWrap w:val="0"/>
            <w:vAlign w:val="center"/>
          </w:tcPr>
          <w:p w14:paraId="2FF10BA2">
            <w:pPr>
              <w:widowControl/>
              <w:jc w:val="center"/>
              <w:textAlignment w:val="center"/>
              <w:rPr>
                <w:sz w:val="18"/>
                <w:szCs w:val="18"/>
              </w:rPr>
            </w:pPr>
            <w:r>
              <w:rPr>
                <w:sz w:val="18"/>
                <w:szCs w:val="18"/>
              </w:rPr>
              <w:t>/</w:t>
            </w:r>
          </w:p>
        </w:tc>
        <w:tc>
          <w:tcPr>
            <w:tcW w:w="333" w:type="pct"/>
            <w:noWrap w:val="0"/>
            <w:vAlign w:val="center"/>
          </w:tcPr>
          <w:p w14:paraId="5289807A">
            <w:pPr>
              <w:widowControl/>
              <w:jc w:val="center"/>
              <w:textAlignment w:val="center"/>
              <w:rPr>
                <w:sz w:val="18"/>
                <w:szCs w:val="18"/>
              </w:rPr>
            </w:pPr>
            <w:r>
              <w:rPr>
                <w:sz w:val="18"/>
                <w:szCs w:val="18"/>
              </w:rPr>
              <w:t>/</w:t>
            </w:r>
          </w:p>
        </w:tc>
        <w:tc>
          <w:tcPr>
            <w:tcW w:w="359" w:type="pct"/>
            <w:noWrap w:val="0"/>
            <w:vAlign w:val="center"/>
          </w:tcPr>
          <w:p w14:paraId="6FBAF5DF">
            <w:pPr>
              <w:widowControl/>
              <w:jc w:val="center"/>
              <w:textAlignment w:val="center"/>
              <w:rPr>
                <w:sz w:val="18"/>
                <w:szCs w:val="18"/>
              </w:rPr>
            </w:pPr>
            <w:r>
              <w:rPr>
                <w:kern w:val="0"/>
                <w:sz w:val="18"/>
                <w:szCs w:val="18"/>
                <w:lang w:bidi="ar"/>
              </w:rPr>
              <w:t>80</w:t>
            </w:r>
          </w:p>
        </w:tc>
        <w:tc>
          <w:tcPr>
            <w:tcW w:w="355" w:type="pct"/>
            <w:noWrap w:val="0"/>
            <w:vAlign w:val="center"/>
          </w:tcPr>
          <w:p w14:paraId="4461D184">
            <w:pPr>
              <w:widowControl/>
              <w:jc w:val="center"/>
              <w:textAlignment w:val="center"/>
              <w:rPr>
                <w:sz w:val="18"/>
                <w:szCs w:val="18"/>
              </w:rPr>
            </w:pPr>
            <w:r>
              <w:rPr>
                <w:kern w:val="0"/>
                <w:sz w:val="18"/>
                <w:szCs w:val="18"/>
                <w:lang w:bidi="ar"/>
              </w:rPr>
              <w:t>0.088</w:t>
            </w:r>
          </w:p>
        </w:tc>
        <w:tc>
          <w:tcPr>
            <w:tcW w:w="284" w:type="pct"/>
            <w:noWrap w:val="0"/>
            <w:vAlign w:val="center"/>
          </w:tcPr>
          <w:p w14:paraId="7C7D3410">
            <w:pPr>
              <w:widowControl/>
              <w:jc w:val="center"/>
              <w:textAlignment w:val="center"/>
              <w:rPr>
                <w:sz w:val="18"/>
                <w:szCs w:val="18"/>
              </w:rPr>
            </w:pPr>
            <w:r>
              <w:rPr>
                <w:kern w:val="0"/>
                <w:sz w:val="18"/>
                <w:szCs w:val="18"/>
                <w:lang w:bidi="ar"/>
              </w:rPr>
              <w:t>4.87</w:t>
            </w:r>
          </w:p>
        </w:tc>
        <w:tc>
          <w:tcPr>
            <w:tcW w:w="359" w:type="pct"/>
            <w:noWrap w:val="0"/>
            <w:vAlign w:val="center"/>
          </w:tcPr>
          <w:p w14:paraId="792A80BC">
            <w:pPr>
              <w:widowControl/>
              <w:jc w:val="center"/>
              <w:textAlignment w:val="center"/>
              <w:rPr>
                <w:sz w:val="18"/>
                <w:szCs w:val="18"/>
              </w:rPr>
            </w:pPr>
            <w:r>
              <w:rPr>
                <w:kern w:val="0"/>
                <w:sz w:val="18"/>
                <w:szCs w:val="18"/>
                <w:lang w:bidi="ar"/>
              </w:rPr>
              <w:t>5.37</w:t>
            </w:r>
          </w:p>
        </w:tc>
        <w:tc>
          <w:tcPr>
            <w:tcW w:w="315" w:type="pct"/>
            <w:noWrap w:val="0"/>
            <w:vAlign w:val="center"/>
          </w:tcPr>
          <w:p w14:paraId="2291988A">
            <w:pPr>
              <w:widowControl/>
              <w:jc w:val="center"/>
              <w:textAlignment w:val="center"/>
              <w:rPr>
                <w:sz w:val="18"/>
                <w:szCs w:val="18"/>
              </w:rPr>
            </w:pPr>
            <w:r>
              <w:rPr>
                <w:kern w:val="0"/>
                <w:sz w:val="18"/>
                <w:szCs w:val="18"/>
                <w:lang w:bidi="ar"/>
              </w:rPr>
              <w:t>35.8</w:t>
            </w:r>
          </w:p>
        </w:tc>
        <w:tc>
          <w:tcPr>
            <w:tcW w:w="302" w:type="pct"/>
            <w:noWrap w:val="0"/>
            <w:vAlign w:val="center"/>
          </w:tcPr>
          <w:p w14:paraId="644D3A28">
            <w:pPr>
              <w:widowControl/>
              <w:jc w:val="center"/>
              <w:textAlignment w:val="center"/>
              <w:rPr>
                <w:sz w:val="18"/>
                <w:szCs w:val="18"/>
              </w:rPr>
            </w:pPr>
            <w:r>
              <w:rPr>
                <w:kern w:val="0"/>
                <w:sz w:val="18"/>
                <w:szCs w:val="18"/>
                <w:lang w:bidi="ar"/>
              </w:rPr>
              <w:t>4.15</w:t>
            </w:r>
          </w:p>
        </w:tc>
        <w:tc>
          <w:tcPr>
            <w:tcW w:w="276" w:type="pct"/>
            <w:noWrap w:val="0"/>
            <w:vAlign w:val="center"/>
          </w:tcPr>
          <w:p w14:paraId="6F46DE67">
            <w:pPr>
              <w:widowControl/>
              <w:jc w:val="center"/>
              <w:textAlignment w:val="center"/>
              <w:rPr>
                <w:sz w:val="18"/>
                <w:szCs w:val="18"/>
              </w:rPr>
            </w:pPr>
            <w:r>
              <w:rPr>
                <w:kern w:val="0"/>
                <w:sz w:val="18"/>
                <w:szCs w:val="18"/>
                <w:lang w:bidi="ar"/>
              </w:rPr>
              <w:t>18</w:t>
            </w:r>
          </w:p>
        </w:tc>
        <w:tc>
          <w:tcPr>
            <w:tcW w:w="267" w:type="pct"/>
            <w:noWrap w:val="0"/>
            <w:vAlign w:val="center"/>
          </w:tcPr>
          <w:p w14:paraId="7A972995">
            <w:pPr>
              <w:widowControl/>
              <w:jc w:val="center"/>
              <w:textAlignment w:val="center"/>
              <w:rPr>
                <w:sz w:val="18"/>
                <w:szCs w:val="18"/>
              </w:rPr>
            </w:pPr>
            <w:r>
              <w:rPr>
                <w:kern w:val="0"/>
                <w:sz w:val="18"/>
                <w:szCs w:val="18"/>
                <w:lang w:bidi="ar"/>
              </w:rPr>
              <w:t>237</w:t>
            </w:r>
          </w:p>
        </w:tc>
        <w:tc>
          <w:tcPr>
            <w:tcW w:w="293" w:type="pct"/>
            <w:noWrap w:val="0"/>
            <w:vAlign w:val="center"/>
          </w:tcPr>
          <w:p w14:paraId="70D4DEE1">
            <w:pPr>
              <w:widowControl/>
              <w:jc w:val="center"/>
              <w:textAlignment w:val="center"/>
              <w:rPr>
                <w:sz w:val="18"/>
                <w:szCs w:val="18"/>
              </w:rPr>
            </w:pPr>
            <w:r>
              <w:rPr>
                <w:kern w:val="0"/>
                <w:sz w:val="18"/>
                <w:szCs w:val="18"/>
                <w:lang w:bidi="ar"/>
              </w:rPr>
              <w:t>3.41</w:t>
            </w:r>
          </w:p>
        </w:tc>
        <w:tc>
          <w:tcPr>
            <w:tcW w:w="302" w:type="pct"/>
            <w:noWrap w:val="0"/>
            <w:vAlign w:val="center"/>
          </w:tcPr>
          <w:p w14:paraId="1119A49C">
            <w:pPr>
              <w:widowControl/>
              <w:jc w:val="center"/>
              <w:textAlignment w:val="center"/>
              <w:rPr>
                <w:sz w:val="18"/>
                <w:szCs w:val="18"/>
              </w:rPr>
            </w:pPr>
            <w:r>
              <w:rPr>
                <w:kern w:val="0"/>
                <w:sz w:val="18"/>
                <w:szCs w:val="18"/>
                <w:lang w:bidi="ar"/>
              </w:rPr>
              <w:t>15.7</w:t>
            </w:r>
          </w:p>
        </w:tc>
        <w:tc>
          <w:tcPr>
            <w:tcW w:w="303" w:type="pct"/>
            <w:noWrap/>
            <w:vAlign w:val="center"/>
          </w:tcPr>
          <w:p w14:paraId="7EF4E093">
            <w:pPr>
              <w:jc w:val="center"/>
              <w:rPr>
                <w:sz w:val="18"/>
                <w:szCs w:val="18"/>
              </w:rPr>
            </w:pPr>
            <w:r>
              <w:rPr>
                <w:sz w:val="18"/>
                <w:szCs w:val="18"/>
              </w:rPr>
              <w:t>/</w:t>
            </w:r>
          </w:p>
        </w:tc>
      </w:tr>
      <w:tr w14:paraId="31F1C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2D753BAA">
            <w:pPr>
              <w:jc w:val="center"/>
              <w:rPr>
                <w:sz w:val="18"/>
                <w:szCs w:val="18"/>
              </w:rPr>
            </w:pPr>
          </w:p>
        </w:tc>
        <w:tc>
          <w:tcPr>
            <w:tcW w:w="381" w:type="pct"/>
            <w:shd w:val="clear" w:color="auto" w:fill="D7D7D7"/>
            <w:noWrap w:val="0"/>
            <w:vAlign w:val="center"/>
          </w:tcPr>
          <w:p w14:paraId="1DC7C90C">
            <w:pPr>
              <w:widowControl/>
              <w:jc w:val="center"/>
              <w:textAlignment w:val="center"/>
              <w:rPr>
                <w:sz w:val="18"/>
                <w:szCs w:val="18"/>
              </w:rPr>
            </w:pPr>
            <w:r>
              <w:rPr>
                <w:kern w:val="0"/>
                <w:sz w:val="18"/>
                <w:szCs w:val="18"/>
                <w:lang w:bidi="ar"/>
              </w:rPr>
              <w:t>标准</w:t>
            </w:r>
          </w:p>
        </w:tc>
        <w:tc>
          <w:tcPr>
            <w:tcW w:w="278" w:type="pct"/>
            <w:noWrap/>
            <w:vAlign w:val="center"/>
          </w:tcPr>
          <w:p w14:paraId="2EFD5B3A">
            <w:pPr>
              <w:widowControl/>
              <w:jc w:val="center"/>
              <w:textAlignment w:val="center"/>
              <w:rPr>
                <w:sz w:val="18"/>
                <w:szCs w:val="18"/>
              </w:rPr>
            </w:pPr>
            <w:r>
              <w:rPr>
                <w:kern w:val="0"/>
                <w:sz w:val="18"/>
                <w:szCs w:val="18"/>
                <w:lang w:bidi="ar"/>
              </w:rPr>
              <w:t>1000</w:t>
            </w:r>
          </w:p>
        </w:tc>
        <w:tc>
          <w:tcPr>
            <w:tcW w:w="218" w:type="pct"/>
            <w:noWrap/>
            <w:vAlign w:val="center"/>
          </w:tcPr>
          <w:p w14:paraId="0CD319FB">
            <w:pPr>
              <w:widowControl/>
              <w:jc w:val="center"/>
              <w:textAlignment w:val="center"/>
              <w:rPr>
                <w:sz w:val="18"/>
                <w:szCs w:val="18"/>
              </w:rPr>
            </w:pPr>
            <w:r>
              <w:rPr>
                <w:kern w:val="0"/>
                <w:sz w:val="18"/>
                <w:szCs w:val="18"/>
                <w:lang w:bidi="ar"/>
              </w:rPr>
              <w:t>3</w:t>
            </w:r>
          </w:p>
        </w:tc>
        <w:tc>
          <w:tcPr>
            <w:tcW w:w="218" w:type="pct"/>
            <w:noWrap/>
            <w:vAlign w:val="center"/>
          </w:tcPr>
          <w:p w14:paraId="0E36CC7F">
            <w:pPr>
              <w:widowControl/>
              <w:jc w:val="center"/>
              <w:textAlignment w:val="center"/>
              <w:rPr>
                <w:sz w:val="18"/>
                <w:szCs w:val="18"/>
              </w:rPr>
            </w:pPr>
            <w:r>
              <w:rPr>
                <w:kern w:val="0"/>
                <w:sz w:val="18"/>
                <w:szCs w:val="18"/>
                <w:lang w:bidi="ar"/>
              </w:rPr>
              <w:t>250</w:t>
            </w:r>
          </w:p>
        </w:tc>
        <w:tc>
          <w:tcPr>
            <w:tcW w:w="333" w:type="pct"/>
            <w:noWrap/>
            <w:vAlign w:val="center"/>
          </w:tcPr>
          <w:p w14:paraId="4252DEE7">
            <w:pPr>
              <w:widowControl/>
              <w:jc w:val="center"/>
              <w:textAlignment w:val="center"/>
              <w:rPr>
                <w:sz w:val="18"/>
                <w:szCs w:val="18"/>
              </w:rPr>
            </w:pPr>
            <w:r>
              <w:rPr>
                <w:kern w:val="0"/>
                <w:sz w:val="18"/>
                <w:szCs w:val="18"/>
                <w:lang w:bidi="ar"/>
              </w:rPr>
              <w:t>3</w:t>
            </w:r>
          </w:p>
        </w:tc>
        <w:tc>
          <w:tcPr>
            <w:tcW w:w="359" w:type="pct"/>
            <w:noWrap/>
            <w:vAlign w:val="center"/>
          </w:tcPr>
          <w:p w14:paraId="5799FAD8">
            <w:pPr>
              <w:widowControl/>
              <w:jc w:val="center"/>
              <w:textAlignment w:val="center"/>
              <w:rPr>
                <w:sz w:val="18"/>
                <w:szCs w:val="18"/>
              </w:rPr>
            </w:pPr>
            <w:r>
              <w:rPr>
                <w:kern w:val="0"/>
                <w:sz w:val="18"/>
                <w:szCs w:val="18"/>
                <w:lang w:bidi="ar"/>
              </w:rPr>
              <w:t>100</w:t>
            </w:r>
          </w:p>
        </w:tc>
        <w:tc>
          <w:tcPr>
            <w:tcW w:w="355" w:type="pct"/>
            <w:noWrap/>
            <w:vAlign w:val="center"/>
          </w:tcPr>
          <w:p w14:paraId="4590C793">
            <w:pPr>
              <w:widowControl/>
              <w:jc w:val="center"/>
              <w:textAlignment w:val="center"/>
              <w:rPr>
                <w:sz w:val="18"/>
                <w:szCs w:val="18"/>
              </w:rPr>
            </w:pPr>
            <w:r>
              <w:rPr>
                <w:kern w:val="0"/>
                <w:sz w:val="18"/>
                <w:szCs w:val="18"/>
                <w:lang w:bidi="ar"/>
              </w:rPr>
              <w:t>1</w:t>
            </w:r>
          </w:p>
        </w:tc>
        <w:tc>
          <w:tcPr>
            <w:tcW w:w="284" w:type="pct"/>
            <w:noWrap/>
            <w:vAlign w:val="center"/>
          </w:tcPr>
          <w:p w14:paraId="360BADA2">
            <w:pPr>
              <w:jc w:val="center"/>
              <w:rPr>
                <w:sz w:val="18"/>
                <w:szCs w:val="18"/>
              </w:rPr>
            </w:pPr>
            <w:r>
              <w:rPr>
                <w:sz w:val="18"/>
                <w:szCs w:val="18"/>
              </w:rPr>
              <w:t>/</w:t>
            </w:r>
          </w:p>
        </w:tc>
        <w:tc>
          <w:tcPr>
            <w:tcW w:w="359" w:type="pct"/>
            <w:noWrap/>
            <w:vAlign w:val="center"/>
          </w:tcPr>
          <w:p w14:paraId="09C2AE74">
            <w:pPr>
              <w:widowControl/>
              <w:jc w:val="center"/>
              <w:textAlignment w:val="center"/>
              <w:rPr>
                <w:sz w:val="18"/>
                <w:szCs w:val="18"/>
              </w:rPr>
            </w:pPr>
            <w:r>
              <w:rPr>
                <w:kern w:val="0"/>
                <w:sz w:val="18"/>
                <w:szCs w:val="18"/>
                <w:lang w:bidi="ar"/>
              </w:rPr>
              <w:t>200</w:t>
            </w:r>
          </w:p>
        </w:tc>
        <w:tc>
          <w:tcPr>
            <w:tcW w:w="315" w:type="pct"/>
            <w:noWrap/>
            <w:vAlign w:val="center"/>
          </w:tcPr>
          <w:p w14:paraId="1C5FF500">
            <w:pPr>
              <w:jc w:val="center"/>
              <w:rPr>
                <w:sz w:val="18"/>
                <w:szCs w:val="18"/>
              </w:rPr>
            </w:pPr>
            <w:r>
              <w:rPr>
                <w:sz w:val="18"/>
                <w:szCs w:val="18"/>
              </w:rPr>
              <w:t>/</w:t>
            </w:r>
          </w:p>
        </w:tc>
        <w:tc>
          <w:tcPr>
            <w:tcW w:w="302" w:type="pct"/>
            <w:noWrap/>
            <w:vAlign w:val="center"/>
          </w:tcPr>
          <w:p w14:paraId="03574AA8">
            <w:pPr>
              <w:jc w:val="center"/>
              <w:rPr>
                <w:sz w:val="18"/>
                <w:szCs w:val="18"/>
              </w:rPr>
            </w:pPr>
            <w:r>
              <w:rPr>
                <w:sz w:val="18"/>
                <w:szCs w:val="18"/>
              </w:rPr>
              <w:t>/</w:t>
            </w:r>
          </w:p>
        </w:tc>
        <w:tc>
          <w:tcPr>
            <w:tcW w:w="276" w:type="pct"/>
            <w:noWrap/>
            <w:vAlign w:val="center"/>
          </w:tcPr>
          <w:p w14:paraId="612A594A">
            <w:pPr>
              <w:jc w:val="center"/>
              <w:rPr>
                <w:sz w:val="18"/>
                <w:szCs w:val="18"/>
              </w:rPr>
            </w:pPr>
            <w:r>
              <w:rPr>
                <w:sz w:val="18"/>
                <w:szCs w:val="18"/>
              </w:rPr>
              <w:t>/</w:t>
            </w:r>
          </w:p>
        </w:tc>
        <w:tc>
          <w:tcPr>
            <w:tcW w:w="267" w:type="pct"/>
            <w:noWrap/>
            <w:vAlign w:val="center"/>
          </w:tcPr>
          <w:p w14:paraId="7BFE5774">
            <w:pPr>
              <w:jc w:val="center"/>
              <w:rPr>
                <w:sz w:val="18"/>
                <w:szCs w:val="18"/>
              </w:rPr>
            </w:pPr>
            <w:r>
              <w:rPr>
                <w:sz w:val="18"/>
                <w:szCs w:val="18"/>
              </w:rPr>
              <w:t>/</w:t>
            </w:r>
          </w:p>
        </w:tc>
        <w:tc>
          <w:tcPr>
            <w:tcW w:w="293" w:type="pct"/>
            <w:noWrap/>
            <w:vAlign w:val="center"/>
          </w:tcPr>
          <w:p w14:paraId="1418ED02">
            <w:pPr>
              <w:widowControl/>
              <w:jc w:val="center"/>
              <w:textAlignment w:val="center"/>
              <w:rPr>
                <w:sz w:val="18"/>
                <w:szCs w:val="18"/>
              </w:rPr>
            </w:pPr>
            <w:r>
              <w:rPr>
                <w:kern w:val="0"/>
                <w:sz w:val="18"/>
                <w:szCs w:val="18"/>
                <w:lang w:bidi="ar"/>
              </w:rPr>
              <w:t>250</w:t>
            </w:r>
          </w:p>
        </w:tc>
        <w:tc>
          <w:tcPr>
            <w:tcW w:w="302" w:type="pct"/>
            <w:noWrap/>
            <w:vAlign w:val="center"/>
          </w:tcPr>
          <w:p w14:paraId="1D4F1E51">
            <w:pPr>
              <w:widowControl/>
              <w:jc w:val="center"/>
              <w:textAlignment w:val="center"/>
              <w:rPr>
                <w:sz w:val="18"/>
                <w:szCs w:val="18"/>
              </w:rPr>
            </w:pPr>
            <w:r>
              <w:rPr>
                <w:kern w:val="0"/>
                <w:sz w:val="18"/>
                <w:szCs w:val="18"/>
                <w:lang w:bidi="ar"/>
              </w:rPr>
              <w:t>250</w:t>
            </w:r>
          </w:p>
        </w:tc>
        <w:tc>
          <w:tcPr>
            <w:tcW w:w="303" w:type="pct"/>
            <w:noWrap/>
            <w:vAlign w:val="center"/>
          </w:tcPr>
          <w:p w14:paraId="065134A9">
            <w:pPr>
              <w:jc w:val="center"/>
              <w:rPr>
                <w:sz w:val="18"/>
                <w:szCs w:val="18"/>
              </w:rPr>
            </w:pPr>
            <w:r>
              <w:rPr>
                <w:sz w:val="18"/>
                <w:szCs w:val="18"/>
              </w:rPr>
              <w:t>/</w:t>
            </w:r>
          </w:p>
        </w:tc>
      </w:tr>
      <w:tr w14:paraId="1603CC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 w:hRule="atLeast"/>
        </w:trPr>
        <w:tc>
          <w:tcPr>
            <w:tcW w:w="149" w:type="pct"/>
            <w:vMerge w:val="continue"/>
            <w:shd w:val="clear" w:color="auto" w:fill="auto"/>
            <w:noWrap w:val="0"/>
            <w:vAlign w:val="center"/>
          </w:tcPr>
          <w:p w14:paraId="5729BAE5">
            <w:pPr>
              <w:jc w:val="center"/>
              <w:rPr>
                <w:sz w:val="18"/>
                <w:szCs w:val="18"/>
              </w:rPr>
            </w:pPr>
          </w:p>
        </w:tc>
        <w:tc>
          <w:tcPr>
            <w:tcW w:w="381" w:type="pct"/>
            <w:shd w:val="clear" w:color="auto" w:fill="D7D7D7"/>
            <w:noWrap w:val="0"/>
            <w:vAlign w:val="center"/>
          </w:tcPr>
          <w:p w14:paraId="479B80E3">
            <w:pPr>
              <w:widowControl/>
              <w:jc w:val="center"/>
              <w:textAlignment w:val="center"/>
              <w:rPr>
                <w:sz w:val="18"/>
                <w:szCs w:val="18"/>
              </w:rPr>
            </w:pPr>
            <w:r>
              <w:rPr>
                <w:kern w:val="0"/>
                <w:sz w:val="18"/>
                <w:szCs w:val="18"/>
                <w:lang w:bidi="ar"/>
              </w:rPr>
              <w:t>最大标准指数</w:t>
            </w:r>
          </w:p>
        </w:tc>
        <w:tc>
          <w:tcPr>
            <w:tcW w:w="278" w:type="pct"/>
            <w:noWrap/>
            <w:vAlign w:val="center"/>
          </w:tcPr>
          <w:p w14:paraId="368C6CCD">
            <w:pPr>
              <w:widowControl/>
              <w:jc w:val="center"/>
              <w:textAlignment w:val="center"/>
              <w:rPr>
                <w:sz w:val="18"/>
                <w:szCs w:val="18"/>
              </w:rPr>
            </w:pPr>
            <w:r>
              <w:rPr>
                <w:kern w:val="0"/>
                <w:sz w:val="18"/>
                <w:szCs w:val="18"/>
                <w:lang w:bidi="ar"/>
              </w:rPr>
              <w:t>0.29</w:t>
            </w:r>
          </w:p>
        </w:tc>
        <w:tc>
          <w:tcPr>
            <w:tcW w:w="218" w:type="pct"/>
            <w:noWrap/>
            <w:vAlign w:val="center"/>
          </w:tcPr>
          <w:p w14:paraId="2409FBE9">
            <w:pPr>
              <w:widowControl/>
              <w:jc w:val="center"/>
              <w:textAlignment w:val="center"/>
              <w:rPr>
                <w:sz w:val="18"/>
                <w:szCs w:val="18"/>
              </w:rPr>
            </w:pPr>
            <w:r>
              <w:rPr>
                <w:kern w:val="0"/>
                <w:sz w:val="18"/>
                <w:szCs w:val="18"/>
                <w:lang w:bidi="ar"/>
              </w:rPr>
              <w:t>0.09</w:t>
            </w:r>
          </w:p>
        </w:tc>
        <w:tc>
          <w:tcPr>
            <w:tcW w:w="218" w:type="pct"/>
            <w:noWrap/>
            <w:vAlign w:val="center"/>
          </w:tcPr>
          <w:p w14:paraId="30BD2D02">
            <w:pPr>
              <w:widowControl/>
              <w:jc w:val="center"/>
              <w:textAlignment w:val="center"/>
              <w:rPr>
                <w:sz w:val="18"/>
                <w:szCs w:val="18"/>
              </w:rPr>
            </w:pPr>
            <w:r>
              <w:rPr>
                <w:kern w:val="0"/>
                <w:sz w:val="18"/>
                <w:szCs w:val="18"/>
                <w:lang w:bidi="ar"/>
              </w:rPr>
              <w:t>0.00</w:t>
            </w:r>
          </w:p>
        </w:tc>
        <w:tc>
          <w:tcPr>
            <w:tcW w:w="333" w:type="pct"/>
            <w:noWrap/>
            <w:vAlign w:val="center"/>
          </w:tcPr>
          <w:p w14:paraId="14E3AD00">
            <w:pPr>
              <w:widowControl/>
              <w:jc w:val="center"/>
              <w:textAlignment w:val="center"/>
              <w:rPr>
                <w:sz w:val="18"/>
                <w:szCs w:val="18"/>
              </w:rPr>
            </w:pPr>
            <w:r>
              <w:rPr>
                <w:kern w:val="0"/>
                <w:sz w:val="18"/>
                <w:szCs w:val="18"/>
                <w:lang w:bidi="ar"/>
              </w:rPr>
              <w:t>0.00</w:t>
            </w:r>
          </w:p>
        </w:tc>
        <w:tc>
          <w:tcPr>
            <w:tcW w:w="359" w:type="pct"/>
            <w:noWrap/>
            <w:vAlign w:val="center"/>
          </w:tcPr>
          <w:p w14:paraId="747DA97A">
            <w:pPr>
              <w:widowControl/>
              <w:jc w:val="center"/>
              <w:textAlignment w:val="center"/>
              <w:rPr>
                <w:sz w:val="18"/>
                <w:szCs w:val="18"/>
              </w:rPr>
            </w:pPr>
            <w:r>
              <w:rPr>
                <w:kern w:val="0"/>
                <w:sz w:val="18"/>
                <w:szCs w:val="18"/>
                <w:lang w:bidi="ar"/>
              </w:rPr>
              <w:t>0.80</w:t>
            </w:r>
          </w:p>
        </w:tc>
        <w:tc>
          <w:tcPr>
            <w:tcW w:w="355" w:type="pct"/>
            <w:noWrap/>
            <w:vAlign w:val="center"/>
          </w:tcPr>
          <w:p w14:paraId="035098C7">
            <w:pPr>
              <w:widowControl/>
              <w:jc w:val="center"/>
              <w:textAlignment w:val="center"/>
              <w:rPr>
                <w:sz w:val="18"/>
                <w:szCs w:val="18"/>
              </w:rPr>
            </w:pPr>
            <w:r>
              <w:rPr>
                <w:kern w:val="0"/>
                <w:sz w:val="18"/>
                <w:szCs w:val="18"/>
                <w:lang w:bidi="ar"/>
              </w:rPr>
              <w:t>0.09</w:t>
            </w:r>
          </w:p>
        </w:tc>
        <w:tc>
          <w:tcPr>
            <w:tcW w:w="284" w:type="pct"/>
            <w:noWrap/>
            <w:vAlign w:val="center"/>
          </w:tcPr>
          <w:p w14:paraId="6AFEBBA2">
            <w:pPr>
              <w:jc w:val="center"/>
              <w:rPr>
                <w:sz w:val="18"/>
                <w:szCs w:val="18"/>
              </w:rPr>
            </w:pPr>
            <w:r>
              <w:rPr>
                <w:sz w:val="18"/>
                <w:szCs w:val="18"/>
              </w:rPr>
              <w:t>/</w:t>
            </w:r>
          </w:p>
        </w:tc>
        <w:tc>
          <w:tcPr>
            <w:tcW w:w="359" w:type="pct"/>
            <w:noWrap/>
            <w:vAlign w:val="center"/>
          </w:tcPr>
          <w:p w14:paraId="6E5EA680">
            <w:pPr>
              <w:jc w:val="center"/>
              <w:rPr>
                <w:sz w:val="18"/>
                <w:szCs w:val="18"/>
              </w:rPr>
            </w:pPr>
            <w:r>
              <w:rPr>
                <w:sz w:val="18"/>
                <w:szCs w:val="18"/>
              </w:rPr>
              <w:t>/</w:t>
            </w:r>
          </w:p>
        </w:tc>
        <w:tc>
          <w:tcPr>
            <w:tcW w:w="315" w:type="pct"/>
            <w:noWrap/>
            <w:vAlign w:val="center"/>
          </w:tcPr>
          <w:p w14:paraId="39CCC794">
            <w:pPr>
              <w:jc w:val="center"/>
              <w:rPr>
                <w:sz w:val="18"/>
                <w:szCs w:val="18"/>
              </w:rPr>
            </w:pPr>
            <w:r>
              <w:rPr>
                <w:sz w:val="18"/>
                <w:szCs w:val="18"/>
              </w:rPr>
              <w:t>/</w:t>
            </w:r>
          </w:p>
        </w:tc>
        <w:tc>
          <w:tcPr>
            <w:tcW w:w="302" w:type="pct"/>
            <w:noWrap/>
            <w:vAlign w:val="center"/>
          </w:tcPr>
          <w:p w14:paraId="6675E2E3">
            <w:pPr>
              <w:jc w:val="center"/>
              <w:rPr>
                <w:sz w:val="18"/>
                <w:szCs w:val="18"/>
              </w:rPr>
            </w:pPr>
            <w:r>
              <w:rPr>
                <w:sz w:val="18"/>
                <w:szCs w:val="18"/>
              </w:rPr>
              <w:t>/</w:t>
            </w:r>
          </w:p>
        </w:tc>
        <w:tc>
          <w:tcPr>
            <w:tcW w:w="276" w:type="pct"/>
            <w:noWrap/>
            <w:vAlign w:val="center"/>
          </w:tcPr>
          <w:p w14:paraId="540FE16E">
            <w:pPr>
              <w:jc w:val="center"/>
              <w:rPr>
                <w:sz w:val="18"/>
                <w:szCs w:val="18"/>
              </w:rPr>
            </w:pPr>
            <w:r>
              <w:rPr>
                <w:sz w:val="18"/>
                <w:szCs w:val="18"/>
              </w:rPr>
              <w:t>/</w:t>
            </w:r>
          </w:p>
        </w:tc>
        <w:tc>
          <w:tcPr>
            <w:tcW w:w="267" w:type="pct"/>
            <w:noWrap/>
            <w:vAlign w:val="center"/>
          </w:tcPr>
          <w:p w14:paraId="0CFEA7FD">
            <w:pPr>
              <w:jc w:val="center"/>
              <w:rPr>
                <w:sz w:val="18"/>
                <w:szCs w:val="18"/>
              </w:rPr>
            </w:pPr>
            <w:r>
              <w:rPr>
                <w:sz w:val="18"/>
                <w:szCs w:val="18"/>
              </w:rPr>
              <w:t>/</w:t>
            </w:r>
          </w:p>
        </w:tc>
        <w:tc>
          <w:tcPr>
            <w:tcW w:w="293" w:type="pct"/>
            <w:noWrap/>
            <w:vAlign w:val="center"/>
          </w:tcPr>
          <w:p w14:paraId="71A96480">
            <w:pPr>
              <w:jc w:val="center"/>
              <w:rPr>
                <w:sz w:val="18"/>
                <w:szCs w:val="18"/>
              </w:rPr>
            </w:pPr>
            <w:r>
              <w:rPr>
                <w:sz w:val="18"/>
                <w:szCs w:val="18"/>
              </w:rPr>
              <w:t>/</w:t>
            </w:r>
          </w:p>
        </w:tc>
        <w:tc>
          <w:tcPr>
            <w:tcW w:w="302" w:type="pct"/>
            <w:noWrap/>
            <w:vAlign w:val="center"/>
          </w:tcPr>
          <w:p w14:paraId="22A9A87B">
            <w:pPr>
              <w:jc w:val="center"/>
              <w:rPr>
                <w:sz w:val="18"/>
                <w:szCs w:val="18"/>
              </w:rPr>
            </w:pPr>
            <w:r>
              <w:rPr>
                <w:sz w:val="18"/>
                <w:szCs w:val="18"/>
              </w:rPr>
              <w:t>/</w:t>
            </w:r>
          </w:p>
        </w:tc>
        <w:tc>
          <w:tcPr>
            <w:tcW w:w="303" w:type="pct"/>
            <w:noWrap/>
            <w:vAlign w:val="center"/>
          </w:tcPr>
          <w:p w14:paraId="6A5FBF58">
            <w:pPr>
              <w:jc w:val="center"/>
              <w:rPr>
                <w:sz w:val="18"/>
                <w:szCs w:val="18"/>
              </w:rPr>
            </w:pPr>
            <w:r>
              <w:rPr>
                <w:sz w:val="18"/>
                <w:szCs w:val="18"/>
              </w:rPr>
              <w:t>/</w:t>
            </w:r>
          </w:p>
        </w:tc>
      </w:tr>
      <w:tr w14:paraId="2FEFF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5" w:hRule="atLeast"/>
        </w:trPr>
        <w:tc>
          <w:tcPr>
            <w:tcW w:w="149" w:type="pct"/>
            <w:vMerge w:val="continue"/>
            <w:shd w:val="clear" w:color="auto" w:fill="auto"/>
            <w:noWrap w:val="0"/>
            <w:vAlign w:val="center"/>
          </w:tcPr>
          <w:p w14:paraId="68D895E8">
            <w:pPr>
              <w:jc w:val="center"/>
              <w:rPr>
                <w:sz w:val="18"/>
                <w:szCs w:val="18"/>
              </w:rPr>
            </w:pPr>
          </w:p>
        </w:tc>
        <w:tc>
          <w:tcPr>
            <w:tcW w:w="381" w:type="pct"/>
            <w:shd w:val="clear" w:color="auto" w:fill="D7D7D7"/>
            <w:noWrap w:val="0"/>
            <w:vAlign w:val="center"/>
          </w:tcPr>
          <w:p w14:paraId="61702776">
            <w:pPr>
              <w:widowControl/>
              <w:jc w:val="center"/>
              <w:textAlignment w:val="center"/>
              <w:rPr>
                <w:sz w:val="18"/>
                <w:szCs w:val="18"/>
              </w:rPr>
            </w:pPr>
            <w:r>
              <w:rPr>
                <w:kern w:val="0"/>
                <w:sz w:val="18"/>
                <w:szCs w:val="18"/>
                <w:lang w:bidi="ar"/>
              </w:rPr>
              <w:t>达标情况</w:t>
            </w:r>
          </w:p>
        </w:tc>
        <w:tc>
          <w:tcPr>
            <w:tcW w:w="278" w:type="pct"/>
            <w:noWrap/>
            <w:vAlign w:val="center"/>
          </w:tcPr>
          <w:p w14:paraId="2B7D99D4">
            <w:pPr>
              <w:widowControl/>
              <w:jc w:val="center"/>
              <w:textAlignment w:val="center"/>
              <w:rPr>
                <w:sz w:val="18"/>
                <w:szCs w:val="18"/>
              </w:rPr>
            </w:pPr>
            <w:r>
              <w:rPr>
                <w:kern w:val="0"/>
                <w:sz w:val="18"/>
                <w:szCs w:val="18"/>
                <w:lang w:bidi="ar"/>
              </w:rPr>
              <w:t>达标</w:t>
            </w:r>
          </w:p>
        </w:tc>
        <w:tc>
          <w:tcPr>
            <w:tcW w:w="218" w:type="pct"/>
            <w:noWrap/>
            <w:vAlign w:val="center"/>
          </w:tcPr>
          <w:p w14:paraId="35977C11">
            <w:pPr>
              <w:widowControl/>
              <w:jc w:val="center"/>
              <w:textAlignment w:val="center"/>
              <w:rPr>
                <w:sz w:val="18"/>
                <w:szCs w:val="18"/>
              </w:rPr>
            </w:pPr>
            <w:r>
              <w:rPr>
                <w:kern w:val="0"/>
                <w:sz w:val="18"/>
                <w:szCs w:val="18"/>
                <w:lang w:bidi="ar"/>
              </w:rPr>
              <w:t>达标</w:t>
            </w:r>
          </w:p>
        </w:tc>
        <w:tc>
          <w:tcPr>
            <w:tcW w:w="218" w:type="pct"/>
            <w:noWrap/>
            <w:vAlign w:val="center"/>
          </w:tcPr>
          <w:p w14:paraId="574B1501">
            <w:pPr>
              <w:widowControl/>
              <w:jc w:val="center"/>
              <w:textAlignment w:val="center"/>
              <w:rPr>
                <w:sz w:val="18"/>
                <w:szCs w:val="18"/>
              </w:rPr>
            </w:pPr>
            <w:r>
              <w:rPr>
                <w:kern w:val="0"/>
                <w:sz w:val="18"/>
                <w:szCs w:val="18"/>
                <w:lang w:bidi="ar"/>
              </w:rPr>
              <w:t>达标</w:t>
            </w:r>
          </w:p>
        </w:tc>
        <w:tc>
          <w:tcPr>
            <w:tcW w:w="333" w:type="pct"/>
            <w:noWrap/>
            <w:vAlign w:val="center"/>
          </w:tcPr>
          <w:p w14:paraId="4578BDC1">
            <w:pPr>
              <w:widowControl/>
              <w:jc w:val="center"/>
              <w:textAlignment w:val="center"/>
              <w:rPr>
                <w:sz w:val="18"/>
                <w:szCs w:val="18"/>
              </w:rPr>
            </w:pPr>
            <w:r>
              <w:rPr>
                <w:kern w:val="0"/>
                <w:sz w:val="18"/>
                <w:szCs w:val="18"/>
                <w:lang w:bidi="ar"/>
              </w:rPr>
              <w:t>达标</w:t>
            </w:r>
          </w:p>
        </w:tc>
        <w:tc>
          <w:tcPr>
            <w:tcW w:w="359" w:type="pct"/>
            <w:noWrap/>
            <w:vAlign w:val="center"/>
          </w:tcPr>
          <w:p w14:paraId="40212733">
            <w:pPr>
              <w:widowControl/>
              <w:jc w:val="center"/>
              <w:textAlignment w:val="center"/>
              <w:rPr>
                <w:sz w:val="18"/>
                <w:szCs w:val="18"/>
              </w:rPr>
            </w:pPr>
            <w:r>
              <w:rPr>
                <w:kern w:val="0"/>
                <w:sz w:val="18"/>
                <w:szCs w:val="18"/>
                <w:lang w:bidi="ar"/>
              </w:rPr>
              <w:t>达标</w:t>
            </w:r>
          </w:p>
        </w:tc>
        <w:tc>
          <w:tcPr>
            <w:tcW w:w="355" w:type="pct"/>
            <w:noWrap/>
            <w:vAlign w:val="center"/>
          </w:tcPr>
          <w:p w14:paraId="26BCCD85">
            <w:pPr>
              <w:widowControl/>
              <w:jc w:val="center"/>
              <w:textAlignment w:val="center"/>
              <w:rPr>
                <w:sz w:val="18"/>
                <w:szCs w:val="18"/>
              </w:rPr>
            </w:pPr>
            <w:r>
              <w:rPr>
                <w:kern w:val="0"/>
                <w:sz w:val="18"/>
                <w:szCs w:val="18"/>
                <w:lang w:bidi="ar"/>
              </w:rPr>
              <w:t>达标</w:t>
            </w:r>
          </w:p>
        </w:tc>
        <w:tc>
          <w:tcPr>
            <w:tcW w:w="284" w:type="pct"/>
            <w:noWrap/>
            <w:vAlign w:val="center"/>
          </w:tcPr>
          <w:p w14:paraId="239492FD">
            <w:pPr>
              <w:jc w:val="center"/>
              <w:rPr>
                <w:sz w:val="18"/>
                <w:szCs w:val="18"/>
              </w:rPr>
            </w:pPr>
            <w:r>
              <w:rPr>
                <w:sz w:val="18"/>
                <w:szCs w:val="18"/>
              </w:rPr>
              <w:t>/</w:t>
            </w:r>
          </w:p>
        </w:tc>
        <w:tc>
          <w:tcPr>
            <w:tcW w:w="359" w:type="pct"/>
            <w:noWrap/>
            <w:vAlign w:val="center"/>
          </w:tcPr>
          <w:p w14:paraId="40CA93EC">
            <w:pPr>
              <w:jc w:val="center"/>
              <w:rPr>
                <w:sz w:val="18"/>
                <w:szCs w:val="18"/>
              </w:rPr>
            </w:pPr>
            <w:r>
              <w:rPr>
                <w:sz w:val="18"/>
                <w:szCs w:val="18"/>
              </w:rPr>
              <w:t>/</w:t>
            </w:r>
          </w:p>
        </w:tc>
        <w:tc>
          <w:tcPr>
            <w:tcW w:w="315" w:type="pct"/>
            <w:noWrap/>
            <w:vAlign w:val="center"/>
          </w:tcPr>
          <w:p w14:paraId="74E1F748">
            <w:pPr>
              <w:jc w:val="center"/>
              <w:rPr>
                <w:sz w:val="18"/>
                <w:szCs w:val="18"/>
              </w:rPr>
            </w:pPr>
            <w:r>
              <w:rPr>
                <w:sz w:val="18"/>
                <w:szCs w:val="18"/>
              </w:rPr>
              <w:t>/</w:t>
            </w:r>
          </w:p>
        </w:tc>
        <w:tc>
          <w:tcPr>
            <w:tcW w:w="302" w:type="pct"/>
            <w:noWrap/>
            <w:vAlign w:val="center"/>
          </w:tcPr>
          <w:p w14:paraId="32F9B894">
            <w:pPr>
              <w:jc w:val="center"/>
              <w:rPr>
                <w:sz w:val="18"/>
                <w:szCs w:val="18"/>
              </w:rPr>
            </w:pPr>
            <w:r>
              <w:rPr>
                <w:sz w:val="18"/>
                <w:szCs w:val="18"/>
              </w:rPr>
              <w:t>/</w:t>
            </w:r>
          </w:p>
        </w:tc>
        <w:tc>
          <w:tcPr>
            <w:tcW w:w="276" w:type="pct"/>
            <w:noWrap/>
            <w:vAlign w:val="center"/>
          </w:tcPr>
          <w:p w14:paraId="34BC7EF7">
            <w:pPr>
              <w:jc w:val="center"/>
              <w:rPr>
                <w:sz w:val="18"/>
                <w:szCs w:val="18"/>
              </w:rPr>
            </w:pPr>
            <w:r>
              <w:rPr>
                <w:sz w:val="18"/>
                <w:szCs w:val="18"/>
              </w:rPr>
              <w:t>/</w:t>
            </w:r>
          </w:p>
        </w:tc>
        <w:tc>
          <w:tcPr>
            <w:tcW w:w="267" w:type="pct"/>
            <w:noWrap/>
            <w:vAlign w:val="center"/>
          </w:tcPr>
          <w:p w14:paraId="16050279">
            <w:pPr>
              <w:jc w:val="center"/>
              <w:rPr>
                <w:sz w:val="18"/>
                <w:szCs w:val="18"/>
              </w:rPr>
            </w:pPr>
            <w:r>
              <w:rPr>
                <w:sz w:val="18"/>
                <w:szCs w:val="18"/>
              </w:rPr>
              <w:t>/</w:t>
            </w:r>
          </w:p>
        </w:tc>
        <w:tc>
          <w:tcPr>
            <w:tcW w:w="293" w:type="pct"/>
            <w:noWrap/>
            <w:vAlign w:val="center"/>
          </w:tcPr>
          <w:p w14:paraId="47C3F322">
            <w:pPr>
              <w:jc w:val="center"/>
              <w:rPr>
                <w:sz w:val="18"/>
                <w:szCs w:val="18"/>
              </w:rPr>
            </w:pPr>
            <w:r>
              <w:rPr>
                <w:sz w:val="18"/>
                <w:szCs w:val="18"/>
              </w:rPr>
              <w:t>/</w:t>
            </w:r>
          </w:p>
        </w:tc>
        <w:tc>
          <w:tcPr>
            <w:tcW w:w="302" w:type="pct"/>
            <w:noWrap/>
            <w:vAlign w:val="center"/>
          </w:tcPr>
          <w:p w14:paraId="7E36AEF6">
            <w:pPr>
              <w:jc w:val="center"/>
              <w:rPr>
                <w:sz w:val="18"/>
                <w:szCs w:val="18"/>
              </w:rPr>
            </w:pPr>
            <w:r>
              <w:rPr>
                <w:sz w:val="18"/>
                <w:szCs w:val="18"/>
              </w:rPr>
              <w:t>/</w:t>
            </w:r>
          </w:p>
        </w:tc>
        <w:tc>
          <w:tcPr>
            <w:tcW w:w="303" w:type="pct"/>
            <w:noWrap/>
            <w:vAlign w:val="center"/>
          </w:tcPr>
          <w:p w14:paraId="71101C92">
            <w:pPr>
              <w:jc w:val="center"/>
              <w:rPr>
                <w:sz w:val="18"/>
                <w:szCs w:val="18"/>
              </w:rPr>
            </w:pPr>
            <w:r>
              <w:rPr>
                <w:sz w:val="18"/>
                <w:szCs w:val="18"/>
              </w:rPr>
              <w:t>/</w:t>
            </w:r>
          </w:p>
        </w:tc>
      </w:tr>
      <w:tr w14:paraId="51B7F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shd w:val="clear" w:color="auto" w:fill="auto"/>
            <w:noWrap w:val="0"/>
            <w:vAlign w:val="center"/>
          </w:tcPr>
          <w:p w14:paraId="21D339DE">
            <w:pPr>
              <w:widowControl/>
              <w:jc w:val="center"/>
              <w:textAlignment w:val="center"/>
              <w:rPr>
                <w:b/>
                <w:bCs/>
                <w:sz w:val="18"/>
                <w:szCs w:val="18"/>
              </w:rPr>
            </w:pPr>
            <w:r>
              <w:rPr>
                <w:b/>
                <w:bCs/>
                <w:kern w:val="0"/>
                <w:sz w:val="18"/>
                <w:szCs w:val="18"/>
                <w:lang w:bidi="ar"/>
              </w:rPr>
              <w:t>采样地点</w:t>
            </w:r>
          </w:p>
        </w:tc>
        <w:tc>
          <w:tcPr>
            <w:tcW w:w="381" w:type="pct"/>
            <w:shd w:val="clear" w:color="auto" w:fill="D7D7D7"/>
            <w:noWrap w:val="0"/>
            <w:vAlign w:val="center"/>
          </w:tcPr>
          <w:p w14:paraId="063C4949">
            <w:pPr>
              <w:widowControl/>
              <w:snapToGrid w:val="0"/>
              <w:jc w:val="center"/>
              <w:textAlignment w:val="center"/>
              <w:rPr>
                <w:sz w:val="18"/>
                <w:szCs w:val="18"/>
              </w:rPr>
            </w:pPr>
            <w:r>
              <w:rPr>
                <w:kern w:val="0"/>
                <w:sz w:val="18"/>
                <w:szCs w:val="18"/>
                <w:lang w:bidi="ar"/>
              </w:rPr>
              <w:t>日期</w:t>
            </w:r>
          </w:p>
          <w:p w14:paraId="7EEC4FE0">
            <w:pPr>
              <w:widowControl/>
              <w:jc w:val="center"/>
              <w:textAlignment w:val="center"/>
              <w:rPr>
                <w:sz w:val="18"/>
                <w:szCs w:val="18"/>
              </w:rPr>
            </w:pPr>
            <w:r>
              <w:rPr>
                <w:sz w:val="18"/>
                <w:szCs w:val="18"/>
              </w:rPr>
              <w:t>项目</w:t>
            </w:r>
          </w:p>
        </w:tc>
        <w:tc>
          <w:tcPr>
            <w:tcW w:w="278" w:type="pct"/>
            <w:noWrap w:val="0"/>
            <w:vAlign w:val="center"/>
          </w:tcPr>
          <w:p w14:paraId="3087E858">
            <w:pPr>
              <w:widowControl/>
              <w:jc w:val="center"/>
              <w:textAlignment w:val="center"/>
              <w:rPr>
                <w:b/>
                <w:bCs/>
                <w:sz w:val="18"/>
                <w:szCs w:val="18"/>
              </w:rPr>
            </w:pPr>
            <w:r>
              <w:rPr>
                <w:kern w:val="0"/>
                <w:sz w:val="18"/>
                <w:szCs w:val="18"/>
                <w:lang w:bidi="ar"/>
              </w:rPr>
              <w:t>pH值（无量纲）</w:t>
            </w:r>
          </w:p>
        </w:tc>
        <w:tc>
          <w:tcPr>
            <w:tcW w:w="218" w:type="pct"/>
            <w:noWrap w:val="0"/>
            <w:vAlign w:val="center"/>
          </w:tcPr>
          <w:p w14:paraId="2FE80D70">
            <w:pPr>
              <w:widowControl/>
              <w:jc w:val="center"/>
              <w:textAlignment w:val="center"/>
              <w:rPr>
                <w:sz w:val="18"/>
                <w:szCs w:val="18"/>
              </w:rPr>
            </w:pPr>
            <w:r>
              <w:rPr>
                <w:kern w:val="0"/>
                <w:sz w:val="18"/>
                <w:szCs w:val="18"/>
                <w:lang w:bidi="ar"/>
              </w:rPr>
              <w:t>氨氮</w:t>
            </w:r>
          </w:p>
        </w:tc>
        <w:tc>
          <w:tcPr>
            <w:tcW w:w="218" w:type="pct"/>
            <w:noWrap w:val="0"/>
            <w:vAlign w:val="center"/>
          </w:tcPr>
          <w:p w14:paraId="133B5138">
            <w:pPr>
              <w:widowControl/>
              <w:jc w:val="center"/>
              <w:textAlignment w:val="center"/>
              <w:rPr>
                <w:sz w:val="18"/>
                <w:szCs w:val="18"/>
              </w:rPr>
            </w:pPr>
            <w:r>
              <w:rPr>
                <w:kern w:val="0"/>
                <w:sz w:val="18"/>
                <w:szCs w:val="18"/>
                <w:lang w:bidi="ar"/>
              </w:rPr>
              <w:t>硝酸盐氮</w:t>
            </w:r>
          </w:p>
        </w:tc>
        <w:tc>
          <w:tcPr>
            <w:tcW w:w="333" w:type="pct"/>
            <w:noWrap w:val="0"/>
            <w:vAlign w:val="center"/>
          </w:tcPr>
          <w:p w14:paraId="6D8113BC">
            <w:pPr>
              <w:widowControl/>
              <w:jc w:val="center"/>
              <w:textAlignment w:val="center"/>
              <w:rPr>
                <w:sz w:val="18"/>
                <w:szCs w:val="18"/>
              </w:rPr>
            </w:pPr>
            <w:r>
              <w:rPr>
                <w:kern w:val="0"/>
                <w:sz w:val="18"/>
                <w:szCs w:val="18"/>
                <w:lang w:bidi="ar"/>
              </w:rPr>
              <w:t>亚硝酸盐氮</w:t>
            </w:r>
          </w:p>
        </w:tc>
        <w:tc>
          <w:tcPr>
            <w:tcW w:w="359" w:type="pct"/>
            <w:noWrap w:val="0"/>
            <w:vAlign w:val="center"/>
          </w:tcPr>
          <w:p w14:paraId="556C1CAC">
            <w:pPr>
              <w:widowControl/>
              <w:jc w:val="center"/>
              <w:textAlignment w:val="center"/>
              <w:rPr>
                <w:sz w:val="18"/>
                <w:szCs w:val="18"/>
              </w:rPr>
            </w:pPr>
            <w:r>
              <w:rPr>
                <w:kern w:val="0"/>
                <w:sz w:val="18"/>
                <w:szCs w:val="18"/>
                <w:lang w:bidi="ar"/>
              </w:rPr>
              <w:t>挥发酚</w:t>
            </w:r>
          </w:p>
        </w:tc>
        <w:tc>
          <w:tcPr>
            <w:tcW w:w="355" w:type="pct"/>
            <w:noWrap w:val="0"/>
            <w:vAlign w:val="center"/>
          </w:tcPr>
          <w:p w14:paraId="5952F2C0">
            <w:pPr>
              <w:widowControl/>
              <w:jc w:val="center"/>
              <w:textAlignment w:val="center"/>
              <w:rPr>
                <w:sz w:val="18"/>
                <w:szCs w:val="18"/>
              </w:rPr>
            </w:pPr>
            <w:r>
              <w:rPr>
                <w:kern w:val="0"/>
                <w:sz w:val="18"/>
                <w:szCs w:val="18"/>
                <w:lang w:bidi="ar"/>
              </w:rPr>
              <w:t>氰化物</w:t>
            </w:r>
          </w:p>
        </w:tc>
        <w:tc>
          <w:tcPr>
            <w:tcW w:w="284" w:type="pct"/>
            <w:noWrap w:val="0"/>
            <w:vAlign w:val="center"/>
          </w:tcPr>
          <w:p w14:paraId="3083BBAC">
            <w:pPr>
              <w:widowControl/>
              <w:jc w:val="center"/>
              <w:textAlignment w:val="center"/>
              <w:rPr>
                <w:sz w:val="18"/>
                <w:szCs w:val="18"/>
              </w:rPr>
            </w:pPr>
            <w:r>
              <w:rPr>
                <w:kern w:val="0"/>
                <w:sz w:val="18"/>
                <w:szCs w:val="18"/>
                <w:lang w:bidi="ar"/>
              </w:rPr>
              <w:t>总砷</w:t>
            </w:r>
          </w:p>
        </w:tc>
        <w:tc>
          <w:tcPr>
            <w:tcW w:w="359" w:type="pct"/>
            <w:noWrap w:val="0"/>
            <w:vAlign w:val="center"/>
          </w:tcPr>
          <w:p w14:paraId="501F78D7">
            <w:pPr>
              <w:widowControl/>
              <w:jc w:val="center"/>
              <w:textAlignment w:val="center"/>
              <w:rPr>
                <w:sz w:val="18"/>
                <w:szCs w:val="18"/>
              </w:rPr>
            </w:pPr>
            <w:r>
              <w:rPr>
                <w:kern w:val="0"/>
                <w:sz w:val="18"/>
                <w:szCs w:val="18"/>
                <w:lang w:bidi="ar"/>
              </w:rPr>
              <w:t>总汞</w:t>
            </w:r>
          </w:p>
        </w:tc>
        <w:tc>
          <w:tcPr>
            <w:tcW w:w="315" w:type="pct"/>
            <w:noWrap w:val="0"/>
            <w:vAlign w:val="center"/>
          </w:tcPr>
          <w:p w14:paraId="3BDA21BD">
            <w:pPr>
              <w:widowControl/>
              <w:jc w:val="center"/>
              <w:textAlignment w:val="center"/>
              <w:rPr>
                <w:sz w:val="18"/>
                <w:szCs w:val="18"/>
              </w:rPr>
            </w:pPr>
            <w:r>
              <w:rPr>
                <w:kern w:val="0"/>
                <w:sz w:val="18"/>
                <w:szCs w:val="18"/>
                <w:lang w:bidi="ar"/>
              </w:rPr>
              <w:t>六价铬</w:t>
            </w:r>
          </w:p>
        </w:tc>
        <w:tc>
          <w:tcPr>
            <w:tcW w:w="302" w:type="pct"/>
            <w:noWrap w:val="0"/>
            <w:vAlign w:val="center"/>
          </w:tcPr>
          <w:p w14:paraId="28BFCC55">
            <w:pPr>
              <w:widowControl/>
              <w:jc w:val="center"/>
              <w:textAlignment w:val="center"/>
              <w:rPr>
                <w:sz w:val="18"/>
                <w:szCs w:val="18"/>
              </w:rPr>
            </w:pPr>
            <w:r>
              <w:rPr>
                <w:kern w:val="0"/>
                <w:sz w:val="18"/>
                <w:szCs w:val="18"/>
                <w:lang w:bidi="ar"/>
              </w:rPr>
              <w:t>总硬度</w:t>
            </w:r>
          </w:p>
        </w:tc>
        <w:tc>
          <w:tcPr>
            <w:tcW w:w="276" w:type="pct"/>
            <w:noWrap w:val="0"/>
            <w:vAlign w:val="center"/>
          </w:tcPr>
          <w:p w14:paraId="407AAB01">
            <w:pPr>
              <w:widowControl/>
              <w:jc w:val="center"/>
              <w:textAlignment w:val="center"/>
              <w:rPr>
                <w:sz w:val="18"/>
                <w:szCs w:val="18"/>
              </w:rPr>
            </w:pPr>
            <w:r>
              <w:rPr>
                <w:kern w:val="0"/>
                <w:sz w:val="18"/>
                <w:szCs w:val="18"/>
                <w:lang w:bidi="ar"/>
              </w:rPr>
              <w:t>铅</w:t>
            </w:r>
          </w:p>
        </w:tc>
        <w:tc>
          <w:tcPr>
            <w:tcW w:w="267" w:type="pct"/>
            <w:noWrap w:val="0"/>
            <w:vAlign w:val="center"/>
          </w:tcPr>
          <w:p w14:paraId="510F66F8">
            <w:pPr>
              <w:widowControl/>
              <w:jc w:val="center"/>
              <w:textAlignment w:val="center"/>
              <w:rPr>
                <w:sz w:val="18"/>
                <w:szCs w:val="18"/>
              </w:rPr>
            </w:pPr>
            <w:r>
              <w:rPr>
                <w:kern w:val="0"/>
                <w:sz w:val="18"/>
                <w:szCs w:val="18"/>
                <w:lang w:bidi="ar"/>
              </w:rPr>
              <w:t>氟化物</w:t>
            </w:r>
          </w:p>
        </w:tc>
        <w:tc>
          <w:tcPr>
            <w:tcW w:w="293" w:type="pct"/>
            <w:noWrap w:val="0"/>
            <w:vAlign w:val="center"/>
          </w:tcPr>
          <w:p w14:paraId="52339F21">
            <w:pPr>
              <w:widowControl/>
              <w:jc w:val="center"/>
              <w:textAlignment w:val="center"/>
              <w:rPr>
                <w:sz w:val="18"/>
                <w:szCs w:val="18"/>
              </w:rPr>
            </w:pPr>
            <w:r>
              <w:rPr>
                <w:kern w:val="0"/>
                <w:sz w:val="18"/>
                <w:szCs w:val="18"/>
                <w:lang w:bidi="ar"/>
              </w:rPr>
              <w:t>镉</w:t>
            </w:r>
          </w:p>
        </w:tc>
        <w:tc>
          <w:tcPr>
            <w:tcW w:w="302" w:type="pct"/>
            <w:noWrap w:val="0"/>
            <w:vAlign w:val="center"/>
          </w:tcPr>
          <w:p w14:paraId="0F67AD77">
            <w:pPr>
              <w:widowControl/>
              <w:jc w:val="center"/>
              <w:textAlignment w:val="center"/>
              <w:rPr>
                <w:sz w:val="18"/>
                <w:szCs w:val="18"/>
              </w:rPr>
            </w:pPr>
            <w:r>
              <w:rPr>
                <w:kern w:val="0"/>
                <w:sz w:val="18"/>
                <w:szCs w:val="18"/>
                <w:lang w:bidi="ar"/>
              </w:rPr>
              <w:t>铁</w:t>
            </w:r>
          </w:p>
        </w:tc>
        <w:tc>
          <w:tcPr>
            <w:tcW w:w="303" w:type="pct"/>
            <w:noWrap w:val="0"/>
            <w:vAlign w:val="center"/>
          </w:tcPr>
          <w:p w14:paraId="1BFE42D5">
            <w:pPr>
              <w:widowControl/>
              <w:jc w:val="center"/>
              <w:textAlignment w:val="center"/>
              <w:rPr>
                <w:sz w:val="18"/>
                <w:szCs w:val="18"/>
              </w:rPr>
            </w:pPr>
            <w:r>
              <w:rPr>
                <w:kern w:val="0"/>
                <w:sz w:val="18"/>
                <w:szCs w:val="18"/>
                <w:lang w:bidi="ar"/>
              </w:rPr>
              <w:t>锰</w:t>
            </w:r>
          </w:p>
        </w:tc>
      </w:tr>
      <w:tr w14:paraId="40455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restart"/>
            <w:shd w:val="clear" w:color="auto" w:fill="auto"/>
            <w:noWrap w:val="0"/>
            <w:vAlign w:val="center"/>
          </w:tcPr>
          <w:p w14:paraId="3C3A9553">
            <w:pPr>
              <w:widowControl/>
              <w:jc w:val="center"/>
              <w:textAlignment w:val="center"/>
              <w:rPr>
                <w:sz w:val="18"/>
                <w:szCs w:val="18"/>
              </w:rPr>
            </w:pPr>
            <w:r>
              <w:rPr>
                <w:kern w:val="0"/>
                <w:sz w:val="18"/>
                <w:szCs w:val="18"/>
                <w:lang w:bidi="ar"/>
              </w:rPr>
              <w:t>芋头得村水井DW3</w:t>
            </w:r>
          </w:p>
        </w:tc>
        <w:tc>
          <w:tcPr>
            <w:tcW w:w="381" w:type="pct"/>
            <w:shd w:val="clear" w:color="auto" w:fill="D7D7D7"/>
            <w:noWrap w:val="0"/>
            <w:vAlign w:val="center"/>
          </w:tcPr>
          <w:p w14:paraId="225A7C93">
            <w:pPr>
              <w:widowControl/>
              <w:jc w:val="center"/>
              <w:textAlignment w:val="center"/>
              <w:rPr>
                <w:sz w:val="18"/>
                <w:szCs w:val="18"/>
              </w:rPr>
            </w:pPr>
            <w:r>
              <w:rPr>
                <w:kern w:val="0"/>
                <w:sz w:val="18"/>
                <w:szCs w:val="18"/>
                <w:lang w:bidi="ar"/>
              </w:rPr>
              <w:t>2021/3/28</w:t>
            </w:r>
          </w:p>
        </w:tc>
        <w:tc>
          <w:tcPr>
            <w:tcW w:w="278" w:type="pct"/>
            <w:noWrap w:val="0"/>
            <w:vAlign w:val="center"/>
          </w:tcPr>
          <w:p w14:paraId="719D5ACC">
            <w:pPr>
              <w:widowControl/>
              <w:jc w:val="center"/>
              <w:textAlignment w:val="center"/>
              <w:rPr>
                <w:sz w:val="18"/>
                <w:szCs w:val="18"/>
              </w:rPr>
            </w:pPr>
            <w:r>
              <w:rPr>
                <w:kern w:val="0"/>
                <w:sz w:val="18"/>
                <w:szCs w:val="18"/>
                <w:lang w:bidi="ar"/>
              </w:rPr>
              <w:t>7.04</w:t>
            </w:r>
          </w:p>
        </w:tc>
        <w:tc>
          <w:tcPr>
            <w:tcW w:w="218" w:type="pct"/>
            <w:noWrap w:val="0"/>
            <w:vAlign w:val="center"/>
          </w:tcPr>
          <w:p w14:paraId="73D5D985">
            <w:pPr>
              <w:widowControl/>
              <w:jc w:val="center"/>
              <w:textAlignment w:val="center"/>
              <w:rPr>
                <w:sz w:val="18"/>
                <w:szCs w:val="18"/>
              </w:rPr>
            </w:pPr>
            <w:r>
              <w:rPr>
                <w:kern w:val="0"/>
                <w:sz w:val="18"/>
                <w:szCs w:val="18"/>
                <w:lang w:bidi="ar"/>
              </w:rPr>
              <w:t>0.324</w:t>
            </w:r>
          </w:p>
        </w:tc>
        <w:tc>
          <w:tcPr>
            <w:tcW w:w="218" w:type="pct"/>
            <w:noWrap w:val="0"/>
            <w:vAlign w:val="center"/>
          </w:tcPr>
          <w:p w14:paraId="684A45B1">
            <w:pPr>
              <w:widowControl/>
              <w:jc w:val="center"/>
              <w:textAlignment w:val="center"/>
              <w:rPr>
                <w:sz w:val="18"/>
                <w:szCs w:val="18"/>
              </w:rPr>
            </w:pPr>
            <w:r>
              <w:rPr>
                <w:kern w:val="0"/>
                <w:sz w:val="18"/>
                <w:szCs w:val="18"/>
                <w:lang w:bidi="ar"/>
              </w:rPr>
              <w:t>0.04</w:t>
            </w:r>
          </w:p>
        </w:tc>
        <w:tc>
          <w:tcPr>
            <w:tcW w:w="333" w:type="pct"/>
            <w:noWrap w:val="0"/>
            <w:vAlign w:val="center"/>
          </w:tcPr>
          <w:p w14:paraId="6DC18681">
            <w:pPr>
              <w:widowControl/>
              <w:jc w:val="center"/>
              <w:textAlignment w:val="center"/>
              <w:rPr>
                <w:sz w:val="18"/>
                <w:szCs w:val="18"/>
              </w:rPr>
            </w:pPr>
            <w:r>
              <w:rPr>
                <w:kern w:val="0"/>
                <w:sz w:val="18"/>
                <w:szCs w:val="18"/>
                <w:lang w:bidi="ar"/>
              </w:rPr>
              <w:t>0.009</w:t>
            </w:r>
          </w:p>
        </w:tc>
        <w:tc>
          <w:tcPr>
            <w:tcW w:w="359" w:type="pct"/>
            <w:noWrap w:val="0"/>
            <w:vAlign w:val="center"/>
          </w:tcPr>
          <w:p w14:paraId="1E84BD32">
            <w:pPr>
              <w:widowControl/>
              <w:jc w:val="center"/>
              <w:textAlignment w:val="center"/>
              <w:rPr>
                <w:sz w:val="18"/>
                <w:szCs w:val="18"/>
              </w:rPr>
            </w:pPr>
            <w:r>
              <w:rPr>
                <w:kern w:val="0"/>
                <w:sz w:val="18"/>
                <w:szCs w:val="18"/>
                <w:lang w:bidi="ar"/>
              </w:rPr>
              <w:t>0.0003L</w:t>
            </w:r>
          </w:p>
        </w:tc>
        <w:tc>
          <w:tcPr>
            <w:tcW w:w="355" w:type="pct"/>
            <w:noWrap w:val="0"/>
            <w:vAlign w:val="center"/>
          </w:tcPr>
          <w:p w14:paraId="08F6D5AB">
            <w:pPr>
              <w:widowControl/>
              <w:jc w:val="center"/>
              <w:textAlignment w:val="center"/>
              <w:rPr>
                <w:sz w:val="18"/>
                <w:szCs w:val="18"/>
              </w:rPr>
            </w:pPr>
            <w:r>
              <w:rPr>
                <w:kern w:val="0"/>
                <w:sz w:val="18"/>
                <w:szCs w:val="18"/>
                <w:lang w:bidi="ar"/>
              </w:rPr>
              <w:t>0.004L</w:t>
            </w:r>
          </w:p>
        </w:tc>
        <w:tc>
          <w:tcPr>
            <w:tcW w:w="284" w:type="pct"/>
            <w:noWrap w:val="0"/>
            <w:vAlign w:val="center"/>
          </w:tcPr>
          <w:p w14:paraId="2958E796">
            <w:pPr>
              <w:widowControl/>
              <w:jc w:val="center"/>
              <w:textAlignment w:val="center"/>
              <w:rPr>
                <w:sz w:val="18"/>
                <w:szCs w:val="18"/>
              </w:rPr>
            </w:pPr>
            <w:r>
              <w:rPr>
                <w:kern w:val="0"/>
                <w:sz w:val="18"/>
                <w:szCs w:val="18"/>
                <w:lang w:bidi="ar"/>
              </w:rPr>
              <w:t>0.006</w:t>
            </w:r>
          </w:p>
        </w:tc>
        <w:tc>
          <w:tcPr>
            <w:tcW w:w="359" w:type="pct"/>
            <w:noWrap w:val="0"/>
            <w:vAlign w:val="center"/>
          </w:tcPr>
          <w:p w14:paraId="68168D22">
            <w:pPr>
              <w:widowControl/>
              <w:jc w:val="center"/>
              <w:textAlignment w:val="center"/>
              <w:rPr>
                <w:sz w:val="18"/>
                <w:szCs w:val="18"/>
              </w:rPr>
            </w:pPr>
            <w:r>
              <w:rPr>
                <w:kern w:val="0"/>
                <w:sz w:val="18"/>
                <w:szCs w:val="18"/>
                <w:lang w:bidi="ar"/>
              </w:rPr>
              <w:t>0.00004L</w:t>
            </w:r>
          </w:p>
        </w:tc>
        <w:tc>
          <w:tcPr>
            <w:tcW w:w="315" w:type="pct"/>
            <w:noWrap w:val="0"/>
            <w:vAlign w:val="center"/>
          </w:tcPr>
          <w:p w14:paraId="2A246D8C">
            <w:pPr>
              <w:widowControl/>
              <w:jc w:val="center"/>
              <w:textAlignment w:val="center"/>
              <w:rPr>
                <w:sz w:val="18"/>
                <w:szCs w:val="18"/>
              </w:rPr>
            </w:pPr>
            <w:r>
              <w:rPr>
                <w:kern w:val="0"/>
                <w:sz w:val="18"/>
                <w:szCs w:val="18"/>
                <w:lang w:bidi="ar"/>
              </w:rPr>
              <w:t>0.004L</w:t>
            </w:r>
          </w:p>
        </w:tc>
        <w:tc>
          <w:tcPr>
            <w:tcW w:w="302" w:type="pct"/>
            <w:noWrap w:val="0"/>
            <w:vAlign w:val="center"/>
          </w:tcPr>
          <w:p w14:paraId="1B3BC0FF">
            <w:pPr>
              <w:widowControl/>
              <w:jc w:val="center"/>
              <w:textAlignment w:val="center"/>
              <w:rPr>
                <w:sz w:val="18"/>
                <w:szCs w:val="18"/>
              </w:rPr>
            </w:pPr>
            <w:r>
              <w:rPr>
                <w:kern w:val="0"/>
                <w:sz w:val="18"/>
                <w:szCs w:val="18"/>
                <w:lang w:bidi="ar"/>
              </w:rPr>
              <w:t>216</w:t>
            </w:r>
          </w:p>
        </w:tc>
        <w:tc>
          <w:tcPr>
            <w:tcW w:w="276" w:type="pct"/>
            <w:noWrap w:val="0"/>
            <w:vAlign w:val="center"/>
          </w:tcPr>
          <w:p w14:paraId="798F1A49">
            <w:pPr>
              <w:widowControl/>
              <w:jc w:val="center"/>
              <w:textAlignment w:val="center"/>
              <w:rPr>
                <w:sz w:val="18"/>
                <w:szCs w:val="18"/>
              </w:rPr>
            </w:pPr>
            <w:r>
              <w:rPr>
                <w:kern w:val="0"/>
                <w:sz w:val="18"/>
                <w:szCs w:val="18"/>
                <w:lang w:bidi="ar"/>
              </w:rPr>
              <w:t>0.01L</w:t>
            </w:r>
          </w:p>
        </w:tc>
        <w:tc>
          <w:tcPr>
            <w:tcW w:w="267" w:type="pct"/>
            <w:noWrap w:val="0"/>
            <w:vAlign w:val="center"/>
          </w:tcPr>
          <w:p w14:paraId="4B4B20A3">
            <w:pPr>
              <w:widowControl/>
              <w:jc w:val="center"/>
              <w:textAlignment w:val="center"/>
              <w:rPr>
                <w:sz w:val="18"/>
                <w:szCs w:val="18"/>
              </w:rPr>
            </w:pPr>
            <w:r>
              <w:rPr>
                <w:kern w:val="0"/>
                <w:sz w:val="18"/>
                <w:szCs w:val="18"/>
                <w:lang w:bidi="ar"/>
              </w:rPr>
              <w:t>0.05L</w:t>
            </w:r>
          </w:p>
        </w:tc>
        <w:tc>
          <w:tcPr>
            <w:tcW w:w="293" w:type="pct"/>
            <w:noWrap w:val="0"/>
            <w:vAlign w:val="center"/>
          </w:tcPr>
          <w:p w14:paraId="713B6228">
            <w:pPr>
              <w:widowControl/>
              <w:jc w:val="center"/>
              <w:textAlignment w:val="center"/>
              <w:rPr>
                <w:sz w:val="18"/>
                <w:szCs w:val="18"/>
              </w:rPr>
            </w:pPr>
            <w:r>
              <w:rPr>
                <w:kern w:val="0"/>
                <w:sz w:val="18"/>
                <w:szCs w:val="18"/>
                <w:lang w:bidi="ar"/>
              </w:rPr>
              <w:t>0.001L</w:t>
            </w:r>
          </w:p>
        </w:tc>
        <w:tc>
          <w:tcPr>
            <w:tcW w:w="302" w:type="pct"/>
            <w:noWrap w:val="0"/>
            <w:vAlign w:val="center"/>
          </w:tcPr>
          <w:p w14:paraId="4A6A9D8D">
            <w:pPr>
              <w:widowControl/>
              <w:jc w:val="center"/>
              <w:textAlignment w:val="center"/>
              <w:rPr>
                <w:sz w:val="18"/>
                <w:szCs w:val="18"/>
              </w:rPr>
            </w:pPr>
            <w:r>
              <w:rPr>
                <w:kern w:val="0"/>
                <w:sz w:val="18"/>
                <w:szCs w:val="18"/>
                <w:lang w:bidi="ar"/>
              </w:rPr>
              <w:t>0.01L</w:t>
            </w:r>
          </w:p>
        </w:tc>
        <w:tc>
          <w:tcPr>
            <w:tcW w:w="303" w:type="pct"/>
            <w:noWrap w:val="0"/>
            <w:vAlign w:val="center"/>
          </w:tcPr>
          <w:p w14:paraId="577389B1">
            <w:pPr>
              <w:widowControl/>
              <w:jc w:val="center"/>
              <w:textAlignment w:val="center"/>
              <w:rPr>
                <w:sz w:val="18"/>
                <w:szCs w:val="18"/>
              </w:rPr>
            </w:pPr>
            <w:r>
              <w:rPr>
                <w:kern w:val="0"/>
                <w:sz w:val="18"/>
                <w:szCs w:val="18"/>
                <w:lang w:bidi="ar"/>
              </w:rPr>
              <w:t>0.01L</w:t>
            </w:r>
          </w:p>
        </w:tc>
      </w:tr>
      <w:tr w14:paraId="6AD31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149" w:type="pct"/>
            <w:vMerge w:val="continue"/>
            <w:shd w:val="clear" w:color="auto" w:fill="auto"/>
            <w:noWrap w:val="0"/>
            <w:vAlign w:val="center"/>
          </w:tcPr>
          <w:p w14:paraId="1FB8D4D1">
            <w:pPr>
              <w:jc w:val="center"/>
              <w:rPr>
                <w:sz w:val="18"/>
                <w:szCs w:val="18"/>
              </w:rPr>
            </w:pPr>
          </w:p>
        </w:tc>
        <w:tc>
          <w:tcPr>
            <w:tcW w:w="381" w:type="pct"/>
            <w:shd w:val="clear" w:color="auto" w:fill="D7D7D7"/>
            <w:noWrap w:val="0"/>
            <w:vAlign w:val="center"/>
          </w:tcPr>
          <w:p w14:paraId="6A810E1F">
            <w:pPr>
              <w:widowControl/>
              <w:jc w:val="center"/>
              <w:textAlignment w:val="center"/>
              <w:rPr>
                <w:sz w:val="18"/>
                <w:szCs w:val="18"/>
              </w:rPr>
            </w:pPr>
            <w:r>
              <w:rPr>
                <w:kern w:val="0"/>
                <w:sz w:val="18"/>
                <w:szCs w:val="18"/>
                <w:lang w:bidi="ar"/>
              </w:rPr>
              <w:t>2021/3/29</w:t>
            </w:r>
          </w:p>
        </w:tc>
        <w:tc>
          <w:tcPr>
            <w:tcW w:w="278" w:type="pct"/>
            <w:noWrap w:val="0"/>
            <w:vAlign w:val="center"/>
          </w:tcPr>
          <w:p w14:paraId="6682A015">
            <w:pPr>
              <w:widowControl/>
              <w:jc w:val="center"/>
              <w:textAlignment w:val="center"/>
              <w:rPr>
                <w:sz w:val="18"/>
                <w:szCs w:val="18"/>
              </w:rPr>
            </w:pPr>
            <w:r>
              <w:rPr>
                <w:kern w:val="0"/>
                <w:sz w:val="18"/>
                <w:szCs w:val="18"/>
                <w:lang w:bidi="ar"/>
              </w:rPr>
              <w:t>7.12</w:t>
            </w:r>
          </w:p>
        </w:tc>
        <w:tc>
          <w:tcPr>
            <w:tcW w:w="218" w:type="pct"/>
            <w:noWrap w:val="0"/>
            <w:vAlign w:val="center"/>
          </w:tcPr>
          <w:p w14:paraId="7F36C93F">
            <w:pPr>
              <w:widowControl/>
              <w:jc w:val="center"/>
              <w:textAlignment w:val="center"/>
              <w:rPr>
                <w:sz w:val="18"/>
                <w:szCs w:val="18"/>
              </w:rPr>
            </w:pPr>
            <w:r>
              <w:rPr>
                <w:kern w:val="0"/>
                <w:sz w:val="18"/>
                <w:szCs w:val="18"/>
                <w:lang w:bidi="ar"/>
              </w:rPr>
              <w:t>0.317</w:t>
            </w:r>
          </w:p>
        </w:tc>
        <w:tc>
          <w:tcPr>
            <w:tcW w:w="218" w:type="pct"/>
            <w:noWrap w:val="0"/>
            <w:vAlign w:val="center"/>
          </w:tcPr>
          <w:p w14:paraId="21A9F3F0">
            <w:pPr>
              <w:widowControl/>
              <w:jc w:val="center"/>
              <w:textAlignment w:val="center"/>
              <w:rPr>
                <w:sz w:val="18"/>
                <w:szCs w:val="18"/>
              </w:rPr>
            </w:pPr>
            <w:r>
              <w:rPr>
                <w:kern w:val="0"/>
                <w:sz w:val="18"/>
                <w:szCs w:val="18"/>
                <w:lang w:bidi="ar"/>
              </w:rPr>
              <w:t>0.03</w:t>
            </w:r>
          </w:p>
        </w:tc>
        <w:tc>
          <w:tcPr>
            <w:tcW w:w="333" w:type="pct"/>
            <w:noWrap w:val="0"/>
            <w:vAlign w:val="center"/>
          </w:tcPr>
          <w:p w14:paraId="1CB89882">
            <w:pPr>
              <w:widowControl/>
              <w:jc w:val="center"/>
              <w:textAlignment w:val="center"/>
              <w:rPr>
                <w:sz w:val="18"/>
                <w:szCs w:val="18"/>
              </w:rPr>
            </w:pPr>
            <w:r>
              <w:rPr>
                <w:kern w:val="0"/>
                <w:sz w:val="18"/>
                <w:szCs w:val="18"/>
                <w:lang w:bidi="ar"/>
              </w:rPr>
              <w:t>0.008</w:t>
            </w:r>
          </w:p>
        </w:tc>
        <w:tc>
          <w:tcPr>
            <w:tcW w:w="359" w:type="pct"/>
            <w:noWrap w:val="0"/>
            <w:vAlign w:val="center"/>
          </w:tcPr>
          <w:p w14:paraId="2CD51DD9">
            <w:pPr>
              <w:widowControl/>
              <w:jc w:val="center"/>
              <w:textAlignment w:val="center"/>
              <w:rPr>
                <w:sz w:val="18"/>
                <w:szCs w:val="18"/>
              </w:rPr>
            </w:pPr>
            <w:r>
              <w:rPr>
                <w:kern w:val="0"/>
                <w:sz w:val="18"/>
                <w:szCs w:val="18"/>
                <w:lang w:bidi="ar"/>
              </w:rPr>
              <w:t>0.0003L</w:t>
            </w:r>
          </w:p>
        </w:tc>
        <w:tc>
          <w:tcPr>
            <w:tcW w:w="355" w:type="pct"/>
            <w:noWrap w:val="0"/>
            <w:vAlign w:val="center"/>
          </w:tcPr>
          <w:p w14:paraId="67DE09B3">
            <w:pPr>
              <w:widowControl/>
              <w:jc w:val="center"/>
              <w:textAlignment w:val="center"/>
              <w:rPr>
                <w:sz w:val="18"/>
                <w:szCs w:val="18"/>
              </w:rPr>
            </w:pPr>
            <w:r>
              <w:rPr>
                <w:kern w:val="0"/>
                <w:sz w:val="18"/>
                <w:szCs w:val="18"/>
                <w:lang w:bidi="ar"/>
              </w:rPr>
              <w:t>0.004L</w:t>
            </w:r>
          </w:p>
        </w:tc>
        <w:tc>
          <w:tcPr>
            <w:tcW w:w="284" w:type="pct"/>
            <w:noWrap w:val="0"/>
            <w:vAlign w:val="center"/>
          </w:tcPr>
          <w:p w14:paraId="0F123CB2">
            <w:pPr>
              <w:widowControl/>
              <w:jc w:val="center"/>
              <w:textAlignment w:val="center"/>
              <w:rPr>
                <w:sz w:val="18"/>
                <w:szCs w:val="18"/>
              </w:rPr>
            </w:pPr>
            <w:r>
              <w:rPr>
                <w:kern w:val="0"/>
                <w:sz w:val="18"/>
                <w:szCs w:val="18"/>
                <w:lang w:bidi="ar"/>
              </w:rPr>
              <w:t>0.0056</w:t>
            </w:r>
          </w:p>
        </w:tc>
        <w:tc>
          <w:tcPr>
            <w:tcW w:w="359" w:type="pct"/>
            <w:noWrap w:val="0"/>
            <w:vAlign w:val="center"/>
          </w:tcPr>
          <w:p w14:paraId="7AC82DD6">
            <w:pPr>
              <w:widowControl/>
              <w:jc w:val="center"/>
              <w:textAlignment w:val="center"/>
              <w:rPr>
                <w:sz w:val="18"/>
                <w:szCs w:val="18"/>
              </w:rPr>
            </w:pPr>
            <w:r>
              <w:rPr>
                <w:kern w:val="0"/>
                <w:sz w:val="18"/>
                <w:szCs w:val="18"/>
                <w:lang w:bidi="ar"/>
              </w:rPr>
              <w:t>0.00004L</w:t>
            </w:r>
          </w:p>
        </w:tc>
        <w:tc>
          <w:tcPr>
            <w:tcW w:w="315" w:type="pct"/>
            <w:noWrap w:val="0"/>
            <w:vAlign w:val="center"/>
          </w:tcPr>
          <w:p w14:paraId="0B98DD07">
            <w:pPr>
              <w:widowControl/>
              <w:jc w:val="center"/>
              <w:textAlignment w:val="center"/>
              <w:rPr>
                <w:sz w:val="18"/>
                <w:szCs w:val="18"/>
              </w:rPr>
            </w:pPr>
            <w:r>
              <w:rPr>
                <w:kern w:val="0"/>
                <w:sz w:val="18"/>
                <w:szCs w:val="18"/>
                <w:lang w:bidi="ar"/>
              </w:rPr>
              <w:t>0.004L</w:t>
            </w:r>
          </w:p>
        </w:tc>
        <w:tc>
          <w:tcPr>
            <w:tcW w:w="302" w:type="pct"/>
            <w:noWrap w:val="0"/>
            <w:vAlign w:val="center"/>
          </w:tcPr>
          <w:p w14:paraId="3364E78E">
            <w:pPr>
              <w:widowControl/>
              <w:jc w:val="center"/>
              <w:textAlignment w:val="center"/>
              <w:rPr>
                <w:sz w:val="18"/>
                <w:szCs w:val="18"/>
              </w:rPr>
            </w:pPr>
            <w:r>
              <w:rPr>
                <w:kern w:val="0"/>
                <w:sz w:val="18"/>
                <w:szCs w:val="18"/>
                <w:lang w:bidi="ar"/>
              </w:rPr>
              <w:t>223</w:t>
            </w:r>
          </w:p>
        </w:tc>
        <w:tc>
          <w:tcPr>
            <w:tcW w:w="276" w:type="pct"/>
            <w:noWrap w:val="0"/>
            <w:vAlign w:val="center"/>
          </w:tcPr>
          <w:p w14:paraId="61833279">
            <w:pPr>
              <w:widowControl/>
              <w:jc w:val="center"/>
              <w:textAlignment w:val="center"/>
              <w:rPr>
                <w:sz w:val="18"/>
                <w:szCs w:val="18"/>
              </w:rPr>
            </w:pPr>
            <w:r>
              <w:rPr>
                <w:kern w:val="0"/>
                <w:sz w:val="18"/>
                <w:szCs w:val="18"/>
                <w:lang w:bidi="ar"/>
              </w:rPr>
              <w:t>0.01L</w:t>
            </w:r>
          </w:p>
        </w:tc>
        <w:tc>
          <w:tcPr>
            <w:tcW w:w="267" w:type="pct"/>
            <w:noWrap w:val="0"/>
            <w:vAlign w:val="center"/>
          </w:tcPr>
          <w:p w14:paraId="0F150450">
            <w:pPr>
              <w:widowControl/>
              <w:jc w:val="center"/>
              <w:textAlignment w:val="center"/>
              <w:rPr>
                <w:sz w:val="18"/>
                <w:szCs w:val="18"/>
              </w:rPr>
            </w:pPr>
            <w:r>
              <w:rPr>
                <w:kern w:val="0"/>
                <w:sz w:val="18"/>
                <w:szCs w:val="18"/>
                <w:lang w:bidi="ar"/>
              </w:rPr>
              <w:t>0.05L</w:t>
            </w:r>
          </w:p>
        </w:tc>
        <w:tc>
          <w:tcPr>
            <w:tcW w:w="293" w:type="pct"/>
            <w:noWrap w:val="0"/>
            <w:vAlign w:val="center"/>
          </w:tcPr>
          <w:p w14:paraId="57A6200B">
            <w:pPr>
              <w:widowControl/>
              <w:jc w:val="center"/>
              <w:textAlignment w:val="center"/>
              <w:rPr>
                <w:sz w:val="18"/>
                <w:szCs w:val="18"/>
              </w:rPr>
            </w:pPr>
            <w:r>
              <w:rPr>
                <w:kern w:val="0"/>
                <w:sz w:val="18"/>
                <w:szCs w:val="18"/>
                <w:lang w:bidi="ar"/>
              </w:rPr>
              <w:t>0.001L</w:t>
            </w:r>
          </w:p>
        </w:tc>
        <w:tc>
          <w:tcPr>
            <w:tcW w:w="302" w:type="pct"/>
            <w:noWrap w:val="0"/>
            <w:vAlign w:val="center"/>
          </w:tcPr>
          <w:p w14:paraId="0E29218E">
            <w:pPr>
              <w:widowControl/>
              <w:jc w:val="center"/>
              <w:textAlignment w:val="center"/>
              <w:rPr>
                <w:sz w:val="18"/>
                <w:szCs w:val="18"/>
              </w:rPr>
            </w:pPr>
            <w:r>
              <w:rPr>
                <w:kern w:val="0"/>
                <w:sz w:val="18"/>
                <w:szCs w:val="18"/>
                <w:lang w:bidi="ar"/>
              </w:rPr>
              <w:t>0.01L</w:t>
            </w:r>
          </w:p>
        </w:tc>
        <w:tc>
          <w:tcPr>
            <w:tcW w:w="303" w:type="pct"/>
            <w:noWrap w:val="0"/>
            <w:vAlign w:val="center"/>
          </w:tcPr>
          <w:p w14:paraId="12FD4AE3">
            <w:pPr>
              <w:widowControl/>
              <w:jc w:val="center"/>
              <w:textAlignment w:val="center"/>
              <w:rPr>
                <w:sz w:val="18"/>
                <w:szCs w:val="18"/>
              </w:rPr>
            </w:pPr>
            <w:r>
              <w:rPr>
                <w:kern w:val="0"/>
                <w:sz w:val="18"/>
                <w:szCs w:val="18"/>
                <w:lang w:bidi="ar"/>
              </w:rPr>
              <w:t>0.01L</w:t>
            </w:r>
          </w:p>
        </w:tc>
      </w:tr>
      <w:tr w14:paraId="1B74FA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3C5D9399">
            <w:pPr>
              <w:jc w:val="center"/>
              <w:rPr>
                <w:sz w:val="18"/>
                <w:szCs w:val="18"/>
              </w:rPr>
            </w:pPr>
          </w:p>
        </w:tc>
        <w:tc>
          <w:tcPr>
            <w:tcW w:w="381" w:type="pct"/>
            <w:shd w:val="clear" w:color="auto" w:fill="D7D7D7"/>
            <w:noWrap w:val="0"/>
            <w:vAlign w:val="center"/>
          </w:tcPr>
          <w:p w14:paraId="07D4E9AE">
            <w:pPr>
              <w:widowControl/>
              <w:jc w:val="center"/>
              <w:textAlignment w:val="center"/>
              <w:rPr>
                <w:sz w:val="18"/>
                <w:szCs w:val="18"/>
              </w:rPr>
            </w:pPr>
            <w:r>
              <w:rPr>
                <w:kern w:val="0"/>
                <w:sz w:val="18"/>
                <w:szCs w:val="18"/>
                <w:lang w:bidi="ar"/>
              </w:rPr>
              <w:t>2021/3/30</w:t>
            </w:r>
          </w:p>
        </w:tc>
        <w:tc>
          <w:tcPr>
            <w:tcW w:w="278" w:type="pct"/>
            <w:noWrap w:val="0"/>
            <w:vAlign w:val="center"/>
          </w:tcPr>
          <w:p w14:paraId="75501D08">
            <w:pPr>
              <w:widowControl/>
              <w:jc w:val="center"/>
              <w:textAlignment w:val="center"/>
              <w:rPr>
                <w:sz w:val="18"/>
                <w:szCs w:val="18"/>
              </w:rPr>
            </w:pPr>
            <w:r>
              <w:rPr>
                <w:kern w:val="0"/>
                <w:sz w:val="18"/>
                <w:szCs w:val="18"/>
                <w:lang w:bidi="ar"/>
              </w:rPr>
              <w:t>7.07</w:t>
            </w:r>
          </w:p>
        </w:tc>
        <w:tc>
          <w:tcPr>
            <w:tcW w:w="218" w:type="pct"/>
            <w:noWrap w:val="0"/>
            <w:vAlign w:val="center"/>
          </w:tcPr>
          <w:p w14:paraId="1DD1A812">
            <w:pPr>
              <w:widowControl/>
              <w:jc w:val="center"/>
              <w:textAlignment w:val="center"/>
              <w:rPr>
                <w:sz w:val="18"/>
                <w:szCs w:val="18"/>
              </w:rPr>
            </w:pPr>
            <w:r>
              <w:rPr>
                <w:kern w:val="0"/>
                <w:sz w:val="18"/>
                <w:szCs w:val="18"/>
                <w:lang w:bidi="ar"/>
              </w:rPr>
              <w:t>0.329</w:t>
            </w:r>
          </w:p>
        </w:tc>
        <w:tc>
          <w:tcPr>
            <w:tcW w:w="218" w:type="pct"/>
            <w:noWrap w:val="0"/>
            <w:vAlign w:val="center"/>
          </w:tcPr>
          <w:p w14:paraId="5442B262">
            <w:pPr>
              <w:widowControl/>
              <w:jc w:val="center"/>
              <w:textAlignment w:val="center"/>
              <w:rPr>
                <w:sz w:val="18"/>
                <w:szCs w:val="18"/>
              </w:rPr>
            </w:pPr>
            <w:r>
              <w:rPr>
                <w:kern w:val="0"/>
                <w:sz w:val="18"/>
                <w:szCs w:val="18"/>
                <w:lang w:bidi="ar"/>
              </w:rPr>
              <w:t>0.04</w:t>
            </w:r>
          </w:p>
        </w:tc>
        <w:tc>
          <w:tcPr>
            <w:tcW w:w="333" w:type="pct"/>
            <w:noWrap w:val="0"/>
            <w:vAlign w:val="center"/>
          </w:tcPr>
          <w:p w14:paraId="33564DFB">
            <w:pPr>
              <w:widowControl/>
              <w:jc w:val="center"/>
              <w:textAlignment w:val="center"/>
              <w:rPr>
                <w:sz w:val="18"/>
                <w:szCs w:val="18"/>
              </w:rPr>
            </w:pPr>
            <w:r>
              <w:rPr>
                <w:kern w:val="0"/>
                <w:sz w:val="18"/>
                <w:szCs w:val="18"/>
                <w:lang w:bidi="ar"/>
              </w:rPr>
              <w:t>0.009</w:t>
            </w:r>
          </w:p>
        </w:tc>
        <w:tc>
          <w:tcPr>
            <w:tcW w:w="359" w:type="pct"/>
            <w:noWrap w:val="0"/>
            <w:vAlign w:val="center"/>
          </w:tcPr>
          <w:p w14:paraId="001CC389">
            <w:pPr>
              <w:widowControl/>
              <w:jc w:val="center"/>
              <w:textAlignment w:val="center"/>
              <w:rPr>
                <w:sz w:val="18"/>
                <w:szCs w:val="18"/>
              </w:rPr>
            </w:pPr>
            <w:r>
              <w:rPr>
                <w:kern w:val="0"/>
                <w:sz w:val="18"/>
                <w:szCs w:val="18"/>
                <w:lang w:bidi="ar"/>
              </w:rPr>
              <w:t>0.0003L</w:t>
            </w:r>
          </w:p>
        </w:tc>
        <w:tc>
          <w:tcPr>
            <w:tcW w:w="355" w:type="pct"/>
            <w:noWrap w:val="0"/>
            <w:vAlign w:val="center"/>
          </w:tcPr>
          <w:p w14:paraId="7943AA9B">
            <w:pPr>
              <w:widowControl/>
              <w:jc w:val="center"/>
              <w:textAlignment w:val="center"/>
              <w:rPr>
                <w:sz w:val="18"/>
                <w:szCs w:val="18"/>
              </w:rPr>
            </w:pPr>
            <w:r>
              <w:rPr>
                <w:kern w:val="0"/>
                <w:sz w:val="18"/>
                <w:szCs w:val="18"/>
                <w:lang w:bidi="ar"/>
              </w:rPr>
              <w:t>0.004L</w:t>
            </w:r>
          </w:p>
        </w:tc>
        <w:tc>
          <w:tcPr>
            <w:tcW w:w="284" w:type="pct"/>
            <w:noWrap w:val="0"/>
            <w:vAlign w:val="center"/>
          </w:tcPr>
          <w:p w14:paraId="237136FC">
            <w:pPr>
              <w:widowControl/>
              <w:jc w:val="center"/>
              <w:textAlignment w:val="center"/>
              <w:rPr>
                <w:sz w:val="18"/>
                <w:szCs w:val="18"/>
              </w:rPr>
            </w:pPr>
            <w:r>
              <w:rPr>
                <w:kern w:val="0"/>
                <w:sz w:val="18"/>
                <w:szCs w:val="18"/>
                <w:lang w:bidi="ar"/>
              </w:rPr>
              <w:t>0.0052</w:t>
            </w:r>
          </w:p>
        </w:tc>
        <w:tc>
          <w:tcPr>
            <w:tcW w:w="359" w:type="pct"/>
            <w:noWrap w:val="0"/>
            <w:vAlign w:val="center"/>
          </w:tcPr>
          <w:p w14:paraId="6423C0A4">
            <w:pPr>
              <w:widowControl/>
              <w:jc w:val="center"/>
              <w:textAlignment w:val="center"/>
              <w:rPr>
                <w:sz w:val="18"/>
                <w:szCs w:val="18"/>
              </w:rPr>
            </w:pPr>
            <w:r>
              <w:rPr>
                <w:kern w:val="0"/>
                <w:sz w:val="18"/>
                <w:szCs w:val="18"/>
                <w:lang w:bidi="ar"/>
              </w:rPr>
              <w:t>0.00004L</w:t>
            </w:r>
          </w:p>
        </w:tc>
        <w:tc>
          <w:tcPr>
            <w:tcW w:w="315" w:type="pct"/>
            <w:noWrap w:val="0"/>
            <w:vAlign w:val="center"/>
          </w:tcPr>
          <w:p w14:paraId="35CB89AF">
            <w:pPr>
              <w:widowControl/>
              <w:jc w:val="center"/>
              <w:textAlignment w:val="center"/>
              <w:rPr>
                <w:sz w:val="18"/>
                <w:szCs w:val="18"/>
              </w:rPr>
            </w:pPr>
            <w:r>
              <w:rPr>
                <w:kern w:val="0"/>
                <w:sz w:val="18"/>
                <w:szCs w:val="18"/>
                <w:lang w:bidi="ar"/>
              </w:rPr>
              <w:t>0.004L</w:t>
            </w:r>
          </w:p>
        </w:tc>
        <w:tc>
          <w:tcPr>
            <w:tcW w:w="302" w:type="pct"/>
            <w:noWrap w:val="0"/>
            <w:vAlign w:val="center"/>
          </w:tcPr>
          <w:p w14:paraId="4CA923B7">
            <w:pPr>
              <w:widowControl/>
              <w:jc w:val="center"/>
              <w:textAlignment w:val="center"/>
              <w:rPr>
                <w:sz w:val="18"/>
                <w:szCs w:val="18"/>
              </w:rPr>
            </w:pPr>
            <w:r>
              <w:rPr>
                <w:kern w:val="0"/>
                <w:sz w:val="18"/>
                <w:szCs w:val="18"/>
                <w:lang w:bidi="ar"/>
              </w:rPr>
              <w:t>219</w:t>
            </w:r>
          </w:p>
        </w:tc>
        <w:tc>
          <w:tcPr>
            <w:tcW w:w="276" w:type="pct"/>
            <w:noWrap w:val="0"/>
            <w:vAlign w:val="center"/>
          </w:tcPr>
          <w:p w14:paraId="48425EAD">
            <w:pPr>
              <w:widowControl/>
              <w:jc w:val="center"/>
              <w:textAlignment w:val="center"/>
              <w:rPr>
                <w:sz w:val="18"/>
                <w:szCs w:val="18"/>
              </w:rPr>
            </w:pPr>
            <w:r>
              <w:rPr>
                <w:kern w:val="0"/>
                <w:sz w:val="18"/>
                <w:szCs w:val="18"/>
                <w:lang w:bidi="ar"/>
              </w:rPr>
              <w:t>0.01L</w:t>
            </w:r>
          </w:p>
        </w:tc>
        <w:tc>
          <w:tcPr>
            <w:tcW w:w="267" w:type="pct"/>
            <w:noWrap w:val="0"/>
            <w:vAlign w:val="center"/>
          </w:tcPr>
          <w:p w14:paraId="23B4C747">
            <w:pPr>
              <w:widowControl/>
              <w:jc w:val="center"/>
              <w:textAlignment w:val="center"/>
              <w:rPr>
                <w:sz w:val="18"/>
                <w:szCs w:val="18"/>
              </w:rPr>
            </w:pPr>
            <w:r>
              <w:rPr>
                <w:kern w:val="0"/>
                <w:sz w:val="18"/>
                <w:szCs w:val="18"/>
                <w:lang w:bidi="ar"/>
              </w:rPr>
              <w:t>0.05L</w:t>
            </w:r>
          </w:p>
        </w:tc>
        <w:tc>
          <w:tcPr>
            <w:tcW w:w="293" w:type="pct"/>
            <w:noWrap w:val="0"/>
            <w:vAlign w:val="center"/>
          </w:tcPr>
          <w:p w14:paraId="1F6AAF39">
            <w:pPr>
              <w:widowControl/>
              <w:jc w:val="center"/>
              <w:textAlignment w:val="center"/>
              <w:rPr>
                <w:sz w:val="18"/>
                <w:szCs w:val="18"/>
              </w:rPr>
            </w:pPr>
            <w:r>
              <w:rPr>
                <w:kern w:val="0"/>
                <w:sz w:val="18"/>
                <w:szCs w:val="18"/>
                <w:lang w:bidi="ar"/>
              </w:rPr>
              <w:t>0.001L</w:t>
            </w:r>
          </w:p>
        </w:tc>
        <w:tc>
          <w:tcPr>
            <w:tcW w:w="302" w:type="pct"/>
            <w:noWrap w:val="0"/>
            <w:vAlign w:val="center"/>
          </w:tcPr>
          <w:p w14:paraId="13866920">
            <w:pPr>
              <w:widowControl/>
              <w:jc w:val="center"/>
              <w:textAlignment w:val="center"/>
              <w:rPr>
                <w:sz w:val="18"/>
                <w:szCs w:val="18"/>
              </w:rPr>
            </w:pPr>
            <w:r>
              <w:rPr>
                <w:kern w:val="0"/>
                <w:sz w:val="18"/>
                <w:szCs w:val="18"/>
                <w:lang w:bidi="ar"/>
              </w:rPr>
              <w:t>0.01L</w:t>
            </w:r>
          </w:p>
        </w:tc>
        <w:tc>
          <w:tcPr>
            <w:tcW w:w="303" w:type="pct"/>
            <w:noWrap w:val="0"/>
            <w:vAlign w:val="center"/>
          </w:tcPr>
          <w:p w14:paraId="18003BA5">
            <w:pPr>
              <w:widowControl/>
              <w:jc w:val="center"/>
              <w:textAlignment w:val="center"/>
              <w:rPr>
                <w:sz w:val="18"/>
                <w:szCs w:val="18"/>
              </w:rPr>
            </w:pPr>
            <w:r>
              <w:rPr>
                <w:kern w:val="0"/>
                <w:sz w:val="18"/>
                <w:szCs w:val="18"/>
                <w:lang w:bidi="ar"/>
              </w:rPr>
              <w:t>0.01L</w:t>
            </w:r>
          </w:p>
        </w:tc>
      </w:tr>
      <w:tr w14:paraId="6C2485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B0FCE8F">
            <w:pPr>
              <w:jc w:val="center"/>
              <w:rPr>
                <w:sz w:val="18"/>
                <w:szCs w:val="18"/>
              </w:rPr>
            </w:pPr>
          </w:p>
        </w:tc>
        <w:tc>
          <w:tcPr>
            <w:tcW w:w="381" w:type="pct"/>
            <w:shd w:val="clear" w:color="auto" w:fill="D7D7D7"/>
            <w:noWrap w:val="0"/>
            <w:vAlign w:val="center"/>
          </w:tcPr>
          <w:p w14:paraId="37B9E86E">
            <w:pPr>
              <w:widowControl/>
              <w:jc w:val="center"/>
              <w:textAlignment w:val="center"/>
              <w:rPr>
                <w:sz w:val="18"/>
                <w:szCs w:val="18"/>
              </w:rPr>
            </w:pPr>
            <w:r>
              <w:rPr>
                <w:kern w:val="0"/>
                <w:sz w:val="18"/>
                <w:szCs w:val="18"/>
                <w:lang w:bidi="ar"/>
              </w:rPr>
              <w:t>最大值</w:t>
            </w:r>
          </w:p>
        </w:tc>
        <w:tc>
          <w:tcPr>
            <w:tcW w:w="278" w:type="pct"/>
            <w:noWrap w:val="0"/>
            <w:vAlign w:val="center"/>
          </w:tcPr>
          <w:p w14:paraId="4C02E9D6">
            <w:pPr>
              <w:widowControl/>
              <w:jc w:val="center"/>
              <w:textAlignment w:val="center"/>
              <w:rPr>
                <w:sz w:val="18"/>
                <w:szCs w:val="18"/>
              </w:rPr>
            </w:pPr>
            <w:r>
              <w:rPr>
                <w:kern w:val="0"/>
                <w:sz w:val="18"/>
                <w:szCs w:val="18"/>
                <w:lang w:bidi="ar"/>
              </w:rPr>
              <w:t>7.39</w:t>
            </w:r>
          </w:p>
        </w:tc>
        <w:tc>
          <w:tcPr>
            <w:tcW w:w="218" w:type="pct"/>
            <w:noWrap w:val="0"/>
            <w:vAlign w:val="center"/>
          </w:tcPr>
          <w:p w14:paraId="440E77EB">
            <w:pPr>
              <w:widowControl/>
              <w:jc w:val="center"/>
              <w:textAlignment w:val="center"/>
              <w:rPr>
                <w:sz w:val="18"/>
                <w:szCs w:val="18"/>
              </w:rPr>
            </w:pPr>
            <w:r>
              <w:rPr>
                <w:kern w:val="0"/>
                <w:sz w:val="18"/>
                <w:szCs w:val="18"/>
                <w:lang w:bidi="ar"/>
              </w:rPr>
              <w:t>0.329</w:t>
            </w:r>
          </w:p>
        </w:tc>
        <w:tc>
          <w:tcPr>
            <w:tcW w:w="218" w:type="pct"/>
            <w:noWrap w:val="0"/>
            <w:vAlign w:val="center"/>
          </w:tcPr>
          <w:p w14:paraId="125A620E">
            <w:pPr>
              <w:widowControl/>
              <w:jc w:val="center"/>
              <w:textAlignment w:val="center"/>
              <w:rPr>
                <w:sz w:val="18"/>
                <w:szCs w:val="18"/>
              </w:rPr>
            </w:pPr>
            <w:r>
              <w:rPr>
                <w:kern w:val="0"/>
                <w:sz w:val="18"/>
                <w:szCs w:val="18"/>
                <w:lang w:bidi="ar"/>
              </w:rPr>
              <w:t>0.04</w:t>
            </w:r>
          </w:p>
        </w:tc>
        <w:tc>
          <w:tcPr>
            <w:tcW w:w="333" w:type="pct"/>
            <w:noWrap w:val="0"/>
            <w:vAlign w:val="center"/>
          </w:tcPr>
          <w:p w14:paraId="535D70FE">
            <w:pPr>
              <w:widowControl/>
              <w:jc w:val="center"/>
              <w:textAlignment w:val="center"/>
              <w:rPr>
                <w:sz w:val="18"/>
                <w:szCs w:val="18"/>
              </w:rPr>
            </w:pPr>
            <w:r>
              <w:rPr>
                <w:kern w:val="0"/>
                <w:sz w:val="18"/>
                <w:szCs w:val="18"/>
                <w:lang w:bidi="ar"/>
              </w:rPr>
              <w:t>0.009</w:t>
            </w:r>
          </w:p>
        </w:tc>
        <w:tc>
          <w:tcPr>
            <w:tcW w:w="359" w:type="pct"/>
            <w:noWrap w:val="0"/>
            <w:vAlign w:val="center"/>
          </w:tcPr>
          <w:p w14:paraId="654B9264">
            <w:pPr>
              <w:widowControl/>
              <w:jc w:val="center"/>
              <w:textAlignment w:val="center"/>
              <w:rPr>
                <w:sz w:val="18"/>
                <w:szCs w:val="18"/>
              </w:rPr>
            </w:pPr>
            <w:r>
              <w:rPr>
                <w:sz w:val="18"/>
                <w:szCs w:val="18"/>
              </w:rPr>
              <w:t>/</w:t>
            </w:r>
          </w:p>
        </w:tc>
        <w:tc>
          <w:tcPr>
            <w:tcW w:w="355" w:type="pct"/>
            <w:noWrap w:val="0"/>
            <w:vAlign w:val="center"/>
          </w:tcPr>
          <w:p w14:paraId="79F8041A">
            <w:pPr>
              <w:widowControl/>
              <w:jc w:val="center"/>
              <w:textAlignment w:val="center"/>
              <w:rPr>
                <w:sz w:val="18"/>
                <w:szCs w:val="18"/>
              </w:rPr>
            </w:pPr>
            <w:r>
              <w:rPr>
                <w:sz w:val="18"/>
                <w:szCs w:val="18"/>
              </w:rPr>
              <w:t>/</w:t>
            </w:r>
          </w:p>
        </w:tc>
        <w:tc>
          <w:tcPr>
            <w:tcW w:w="284" w:type="pct"/>
            <w:noWrap w:val="0"/>
            <w:vAlign w:val="center"/>
          </w:tcPr>
          <w:p w14:paraId="1255C142">
            <w:pPr>
              <w:widowControl/>
              <w:jc w:val="center"/>
              <w:textAlignment w:val="center"/>
              <w:rPr>
                <w:sz w:val="18"/>
                <w:szCs w:val="18"/>
              </w:rPr>
            </w:pPr>
            <w:r>
              <w:rPr>
                <w:kern w:val="0"/>
                <w:sz w:val="18"/>
                <w:szCs w:val="18"/>
                <w:lang w:bidi="ar"/>
              </w:rPr>
              <w:t>0.006</w:t>
            </w:r>
          </w:p>
        </w:tc>
        <w:tc>
          <w:tcPr>
            <w:tcW w:w="359" w:type="pct"/>
            <w:noWrap w:val="0"/>
            <w:vAlign w:val="center"/>
          </w:tcPr>
          <w:p w14:paraId="729E4076">
            <w:pPr>
              <w:widowControl/>
              <w:jc w:val="center"/>
              <w:textAlignment w:val="center"/>
              <w:rPr>
                <w:sz w:val="18"/>
                <w:szCs w:val="18"/>
              </w:rPr>
            </w:pPr>
            <w:r>
              <w:rPr>
                <w:sz w:val="18"/>
                <w:szCs w:val="18"/>
              </w:rPr>
              <w:t>/</w:t>
            </w:r>
          </w:p>
        </w:tc>
        <w:tc>
          <w:tcPr>
            <w:tcW w:w="315" w:type="pct"/>
            <w:noWrap w:val="0"/>
            <w:vAlign w:val="center"/>
          </w:tcPr>
          <w:p w14:paraId="1C48113E">
            <w:pPr>
              <w:widowControl/>
              <w:jc w:val="center"/>
              <w:textAlignment w:val="center"/>
              <w:rPr>
                <w:sz w:val="18"/>
                <w:szCs w:val="18"/>
              </w:rPr>
            </w:pPr>
            <w:r>
              <w:rPr>
                <w:sz w:val="18"/>
                <w:szCs w:val="18"/>
              </w:rPr>
              <w:t>/</w:t>
            </w:r>
          </w:p>
        </w:tc>
        <w:tc>
          <w:tcPr>
            <w:tcW w:w="302" w:type="pct"/>
            <w:noWrap w:val="0"/>
            <w:vAlign w:val="center"/>
          </w:tcPr>
          <w:p w14:paraId="3821B638">
            <w:pPr>
              <w:widowControl/>
              <w:jc w:val="center"/>
              <w:textAlignment w:val="center"/>
              <w:rPr>
                <w:sz w:val="18"/>
                <w:szCs w:val="18"/>
              </w:rPr>
            </w:pPr>
            <w:r>
              <w:rPr>
                <w:kern w:val="0"/>
                <w:sz w:val="18"/>
                <w:szCs w:val="18"/>
                <w:lang w:bidi="ar"/>
              </w:rPr>
              <w:t>223</w:t>
            </w:r>
          </w:p>
        </w:tc>
        <w:tc>
          <w:tcPr>
            <w:tcW w:w="276" w:type="pct"/>
            <w:noWrap w:val="0"/>
            <w:vAlign w:val="center"/>
          </w:tcPr>
          <w:p w14:paraId="25276596">
            <w:pPr>
              <w:widowControl/>
              <w:jc w:val="center"/>
              <w:textAlignment w:val="center"/>
              <w:rPr>
                <w:sz w:val="18"/>
                <w:szCs w:val="18"/>
              </w:rPr>
            </w:pPr>
            <w:r>
              <w:rPr>
                <w:sz w:val="18"/>
                <w:szCs w:val="18"/>
              </w:rPr>
              <w:t>/</w:t>
            </w:r>
          </w:p>
        </w:tc>
        <w:tc>
          <w:tcPr>
            <w:tcW w:w="267" w:type="pct"/>
            <w:noWrap w:val="0"/>
            <w:vAlign w:val="center"/>
          </w:tcPr>
          <w:p w14:paraId="79A48E93">
            <w:pPr>
              <w:widowControl/>
              <w:jc w:val="center"/>
              <w:textAlignment w:val="center"/>
              <w:rPr>
                <w:sz w:val="18"/>
                <w:szCs w:val="18"/>
              </w:rPr>
            </w:pPr>
            <w:r>
              <w:rPr>
                <w:sz w:val="18"/>
                <w:szCs w:val="18"/>
              </w:rPr>
              <w:t>/</w:t>
            </w:r>
          </w:p>
        </w:tc>
        <w:tc>
          <w:tcPr>
            <w:tcW w:w="293" w:type="pct"/>
            <w:noWrap w:val="0"/>
            <w:vAlign w:val="center"/>
          </w:tcPr>
          <w:p w14:paraId="6241AC84">
            <w:pPr>
              <w:widowControl/>
              <w:jc w:val="center"/>
              <w:textAlignment w:val="center"/>
              <w:rPr>
                <w:sz w:val="18"/>
                <w:szCs w:val="18"/>
              </w:rPr>
            </w:pPr>
            <w:r>
              <w:rPr>
                <w:sz w:val="18"/>
                <w:szCs w:val="18"/>
              </w:rPr>
              <w:t>/</w:t>
            </w:r>
          </w:p>
        </w:tc>
        <w:tc>
          <w:tcPr>
            <w:tcW w:w="302" w:type="pct"/>
            <w:noWrap w:val="0"/>
            <w:vAlign w:val="center"/>
          </w:tcPr>
          <w:p w14:paraId="06F7A27D">
            <w:pPr>
              <w:widowControl/>
              <w:jc w:val="center"/>
              <w:textAlignment w:val="center"/>
              <w:rPr>
                <w:sz w:val="18"/>
                <w:szCs w:val="18"/>
              </w:rPr>
            </w:pPr>
            <w:r>
              <w:rPr>
                <w:sz w:val="18"/>
                <w:szCs w:val="18"/>
              </w:rPr>
              <w:t>/</w:t>
            </w:r>
          </w:p>
        </w:tc>
        <w:tc>
          <w:tcPr>
            <w:tcW w:w="303" w:type="pct"/>
            <w:noWrap w:val="0"/>
            <w:vAlign w:val="center"/>
          </w:tcPr>
          <w:p w14:paraId="75C4FAED">
            <w:pPr>
              <w:widowControl/>
              <w:jc w:val="center"/>
              <w:textAlignment w:val="center"/>
              <w:rPr>
                <w:sz w:val="18"/>
                <w:szCs w:val="18"/>
              </w:rPr>
            </w:pPr>
            <w:r>
              <w:rPr>
                <w:sz w:val="18"/>
                <w:szCs w:val="18"/>
              </w:rPr>
              <w:t>/</w:t>
            </w:r>
          </w:p>
        </w:tc>
      </w:tr>
      <w:tr w14:paraId="7CD33D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5E03CB1F">
            <w:pPr>
              <w:jc w:val="center"/>
              <w:rPr>
                <w:sz w:val="18"/>
                <w:szCs w:val="18"/>
              </w:rPr>
            </w:pPr>
          </w:p>
        </w:tc>
        <w:tc>
          <w:tcPr>
            <w:tcW w:w="381" w:type="pct"/>
            <w:shd w:val="clear" w:color="auto" w:fill="D7D7D7"/>
            <w:noWrap w:val="0"/>
            <w:vAlign w:val="center"/>
          </w:tcPr>
          <w:p w14:paraId="273AD997">
            <w:pPr>
              <w:widowControl/>
              <w:jc w:val="center"/>
              <w:textAlignment w:val="center"/>
              <w:rPr>
                <w:sz w:val="18"/>
                <w:szCs w:val="18"/>
              </w:rPr>
            </w:pPr>
            <w:r>
              <w:rPr>
                <w:kern w:val="0"/>
                <w:sz w:val="18"/>
                <w:szCs w:val="18"/>
                <w:lang w:bidi="ar"/>
              </w:rPr>
              <w:t>标准</w:t>
            </w:r>
          </w:p>
        </w:tc>
        <w:tc>
          <w:tcPr>
            <w:tcW w:w="278" w:type="pct"/>
            <w:noWrap/>
            <w:vAlign w:val="center"/>
          </w:tcPr>
          <w:p w14:paraId="6B20DC24">
            <w:pPr>
              <w:widowControl/>
              <w:jc w:val="center"/>
              <w:textAlignment w:val="center"/>
              <w:rPr>
                <w:sz w:val="18"/>
                <w:szCs w:val="18"/>
              </w:rPr>
            </w:pPr>
            <w:r>
              <w:rPr>
                <w:kern w:val="0"/>
                <w:sz w:val="18"/>
                <w:szCs w:val="18"/>
                <w:lang w:bidi="ar"/>
              </w:rPr>
              <w:t>6.5-8.5</w:t>
            </w:r>
          </w:p>
        </w:tc>
        <w:tc>
          <w:tcPr>
            <w:tcW w:w="218" w:type="pct"/>
            <w:noWrap/>
            <w:vAlign w:val="center"/>
          </w:tcPr>
          <w:p w14:paraId="27A70951">
            <w:pPr>
              <w:widowControl/>
              <w:jc w:val="center"/>
              <w:textAlignment w:val="center"/>
              <w:rPr>
                <w:sz w:val="18"/>
                <w:szCs w:val="18"/>
              </w:rPr>
            </w:pPr>
            <w:r>
              <w:rPr>
                <w:kern w:val="0"/>
                <w:sz w:val="18"/>
                <w:szCs w:val="18"/>
                <w:lang w:bidi="ar"/>
              </w:rPr>
              <w:t>0.5</w:t>
            </w:r>
          </w:p>
        </w:tc>
        <w:tc>
          <w:tcPr>
            <w:tcW w:w="218" w:type="pct"/>
            <w:noWrap/>
            <w:vAlign w:val="center"/>
          </w:tcPr>
          <w:p w14:paraId="73A42AB5">
            <w:pPr>
              <w:widowControl/>
              <w:jc w:val="center"/>
              <w:textAlignment w:val="center"/>
              <w:rPr>
                <w:sz w:val="18"/>
                <w:szCs w:val="18"/>
              </w:rPr>
            </w:pPr>
            <w:r>
              <w:rPr>
                <w:kern w:val="0"/>
                <w:sz w:val="18"/>
                <w:szCs w:val="18"/>
                <w:lang w:bidi="ar"/>
              </w:rPr>
              <w:t>20</w:t>
            </w:r>
          </w:p>
        </w:tc>
        <w:tc>
          <w:tcPr>
            <w:tcW w:w="333" w:type="pct"/>
            <w:noWrap w:val="0"/>
            <w:vAlign w:val="center"/>
          </w:tcPr>
          <w:p w14:paraId="155B4599">
            <w:pPr>
              <w:widowControl/>
              <w:jc w:val="center"/>
              <w:textAlignment w:val="center"/>
              <w:rPr>
                <w:sz w:val="18"/>
                <w:szCs w:val="18"/>
              </w:rPr>
            </w:pPr>
            <w:r>
              <w:rPr>
                <w:kern w:val="0"/>
                <w:sz w:val="18"/>
                <w:szCs w:val="18"/>
                <w:lang w:bidi="ar"/>
              </w:rPr>
              <w:t>1</w:t>
            </w:r>
          </w:p>
        </w:tc>
        <w:tc>
          <w:tcPr>
            <w:tcW w:w="359" w:type="pct"/>
            <w:noWrap/>
            <w:vAlign w:val="center"/>
          </w:tcPr>
          <w:p w14:paraId="48D91DE9">
            <w:pPr>
              <w:widowControl/>
              <w:jc w:val="center"/>
              <w:textAlignment w:val="center"/>
              <w:rPr>
                <w:sz w:val="18"/>
                <w:szCs w:val="18"/>
              </w:rPr>
            </w:pPr>
            <w:r>
              <w:rPr>
                <w:kern w:val="0"/>
                <w:sz w:val="18"/>
                <w:szCs w:val="18"/>
                <w:lang w:bidi="ar"/>
              </w:rPr>
              <w:t>0.002</w:t>
            </w:r>
          </w:p>
        </w:tc>
        <w:tc>
          <w:tcPr>
            <w:tcW w:w="355" w:type="pct"/>
            <w:noWrap/>
            <w:vAlign w:val="center"/>
          </w:tcPr>
          <w:p w14:paraId="10F63BB6">
            <w:pPr>
              <w:widowControl/>
              <w:jc w:val="center"/>
              <w:textAlignment w:val="center"/>
              <w:rPr>
                <w:sz w:val="18"/>
                <w:szCs w:val="18"/>
              </w:rPr>
            </w:pPr>
            <w:r>
              <w:rPr>
                <w:kern w:val="0"/>
                <w:sz w:val="18"/>
                <w:szCs w:val="18"/>
                <w:lang w:bidi="ar"/>
              </w:rPr>
              <w:t>0.05</w:t>
            </w:r>
          </w:p>
        </w:tc>
        <w:tc>
          <w:tcPr>
            <w:tcW w:w="284" w:type="pct"/>
            <w:noWrap/>
            <w:vAlign w:val="center"/>
          </w:tcPr>
          <w:p w14:paraId="5DDB127D">
            <w:pPr>
              <w:widowControl/>
              <w:jc w:val="center"/>
              <w:textAlignment w:val="center"/>
              <w:rPr>
                <w:sz w:val="18"/>
                <w:szCs w:val="18"/>
              </w:rPr>
            </w:pPr>
            <w:r>
              <w:rPr>
                <w:kern w:val="0"/>
                <w:sz w:val="18"/>
                <w:szCs w:val="18"/>
                <w:lang w:bidi="ar"/>
              </w:rPr>
              <w:t>0.01</w:t>
            </w:r>
          </w:p>
        </w:tc>
        <w:tc>
          <w:tcPr>
            <w:tcW w:w="359" w:type="pct"/>
            <w:noWrap/>
            <w:vAlign w:val="center"/>
          </w:tcPr>
          <w:p w14:paraId="0EF6AE7F">
            <w:pPr>
              <w:widowControl/>
              <w:jc w:val="center"/>
              <w:textAlignment w:val="center"/>
              <w:rPr>
                <w:sz w:val="18"/>
                <w:szCs w:val="18"/>
              </w:rPr>
            </w:pPr>
            <w:r>
              <w:rPr>
                <w:kern w:val="0"/>
                <w:sz w:val="18"/>
                <w:szCs w:val="18"/>
                <w:lang w:bidi="ar"/>
              </w:rPr>
              <w:t>0.001</w:t>
            </w:r>
          </w:p>
        </w:tc>
        <w:tc>
          <w:tcPr>
            <w:tcW w:w="315" w:type="pct"/>
            <w:noWrap/>
            <w:vAlign w:val="center"/>
          </w:tcPr>
          <w:p w14:paraId="3DA0318B">
            <w:pPr>
              <w:widowControl/>
              <w:jc w:val="center"/>
              <w:textAlignment w:val="center"/>
              <w:rPr>
                <w:sz w:val="18"/>
                <w:szCs w:val="18"/>
              </w:rPr>
            </w:pPr>
            <w:r>
              <w:rPr>
                <w:kern w:val="0"/>
                <w:sz w:val="18"/>
                <w:szCs w:val="18"/>
                <w:lang w:bidi="ar"/>
              </w:rPr>
              <w:t>0.05</w:t>
            </w:r>
          </w:p>
        </w:tc>
        <w:tc>
          <w:tcPr>
            <w:tcW w:w="302" w:type="pct"/>
            <w:noWrap/>
            <w:vAlign w:val="center"/>
          </w:tcPr>
          <w:p w14:paraId="0DE4FAF8">
            <w:pPr>
              <w:widowControl/>
              <w:jc w:val="center"/>
              <w:textAlignment w:val="center"/>
              <w:rPr>
                <w:sz w:val="18"/>
                <w:szCs w:val="18"/>
              </w:rPr>
            </w:pPr>
            <w:r>
              <w:rPr>
                <w:kern w:val="0"/>
                <w:sz w:val="18"/>
                <w:szCs w:val="18"/>
                <w:lang w:bidi="ar"/>
              </w:rPr>
              <w:t>450</w:t>
            </w:r>
          </w:p>
        </w:tc>
        <w:tc>
          <w:tcPr>
            <w:tcW w:w="276" w:type="pct"/>
            <w:noWrap/>
            <w:vAlign w:val="center"/>
          </w:tcPr>
          <w:p w14:paraId="78E37578">
            <w:pPr>
              <w:widowControl/>
              <w:jc w:val="center"/>
              <w:textAlignment w:val="center"/>
              <w:rPr>
                <w:sz w:val="18"/>
                <w:szCs w:val="18"/>
              </w:rPr>
            </w:pPr>
            <w:r>
              <w:rPr>
                <w:kern w:val="0"/>
                <w:sz w:val="18"/>
                <w:szCs w:val="18"/>
                <w:lang w:bidi="ar"/>
              </w:rPr>
              <w:t>0.01</w:t>
            </w:r>
          </w:p>
        </w:tc>
        <w:tc>
          <w:tcPr>
            <w:tcW w:w="267" w:type="pct"/>
            <w:noWrap/>
            <w:vAlign w:val="center"/>
          </w:tcPr>
          <w:p w14:paraId="784D2F41">
            <w:pPr>
              <w:widowControl/>
              <w:jc w:val="center"/>
              <w:textAlignment w:val="center"/>
              <w:rPr>
                <w:sz w:val="18"/>
                <w:szCs w:val="18"/>
              </w:rPr>
            </w:pPr>
            <w:r>
              <w:rPr>
                <w:kern w:val="0"/>
                <w:sz w:val="18"/>
                <w:szCs w:val="18"/>
                <w:lang w:bidi="ar"/>
              </w:rPr>
              <w:t>1</w:t>
            </w:r>
          </w:p>
        </w:tc>
        <w:tc>
          <w:tcPr>
            <w:tcW w:w="293" w:type="pct"/>
            <w:noWrap/>
            <w:vAlign w:val="center"/>
          </w:tcPr>
          <w:p w14:paraId="012ECE3E">
            <w:pPr>
              <w:widowControl/>
              <w:jc w:val="center"/>
              <w:textAlignment w:val="center"/>
              <w:rPr>
                <w:sz w:val="18"/>
                <w:szCs w:val="18"/>
              </w:rPr>
            </w:pPr>
            <w:r>
              <w:rPr>
                <w:kern w:val="0"/>
                <w:sz w:val="18"/>
                <w:szCs w:val="18"/>
                <w:lang w:bidi="ar"/>
              </w:rPr>
              <w:t>0.005</w:t>
            </w:r>
          </w:p>
        </w:tc>
        <w:tc>
          <w:tcPr>
            <w:tcW w:w="302" w:type="pct"/>
            <w:noWrap/>
            <w:vAlign w:val="center"/>
          </w:tcPr>
          <w:p w14:paraId="24F03DA4">
            <w:pPr>
              <w:widowControl/>
              <w:jc w:val="center"/>
              <w:textAlignment w:val="center"/>
              <w:rPr>
                <w:sz w:val="18"/>
                <w:szCs w:val="18"/>
              </w:rPr>
            </w:pPr>
            <w:r>
              <w:rPr>
                <w:kern w:val="0"/>
                <w:sz w:val="18"/>
                <w:szCs w:val="18"/>
                <w:lang w:bidi="ar"/>
              </w:rPr>
              <w:t>0.3</w:t>
            </w:r>
          </w:p>
        </w:tc>
        <w:tc>
          <w:tcPr>
            <w:tcW w:w="303" w:type="pct"/>
            <w:noWrap/>
            <w:vAlign w:val="center"/>
          </w:tcPr>
          <w:p w14:paraId="19702753">
            <w:pPr>
              <w:widowControl/>
              <w:jc w:val="center"/>
              <w:textAlignment w:val="center"/>
              <w:rPr>
                <w:sz w:val="18"/>
                <w:szCs w:val="18"/>
              </w:rPr>
            </w:pPr>
            <w:r>
              <w:rPr>
                <w:kern w:val="0"/>
                <w:sz w:val="18"/>
                <w:szCs w:val="18"/>
                <w:lang w:bidi="ar"/>
              </w:rPr>
              <w:t>0.1</w:t>
            </w:r>
          </w:p>
        </w:tc>
      </w:tr>
      <w:tr w14:paraId="18ED7C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49" w:type="pct"/>
            <w:vMerge w:val="continue"/>
            <w:shd w:val="clear" w:color="auto" w:fill="auto"/>
            <w:noWrap w:val="0"/>
            <w:vAlign w:val="center"/>
          </w:tcPr>
          <w:p w14:paraId="5ED46663">
            <w:pPr>
              <w:jc w:val="center"/>
              <w:rPr>
                <w:sz w:val="18"/>
                <w:szCs w:val="18"/>
              </w:rPr>
            </w:pPr>
          </w:p>
        </w:tc>
        <w:tc>
          <w:tcPr>
            <w:tcW w:w="381" w:type="pct"/>
            <w:shd w:val="clear" w:color="auto" w:fill="D7D7D7"/>
            <w:noWrap w:val="0"/>
            <w:vAlign w:val="center"/>
          </w:tcPr>
          <w:p w14:paraId="1B0BFE2B">
            <w:pPr>
              <w:widowControl/>
              <w:jc w:val="center"/>
              <w:textAlignment w:val="center"/>
              <w:rPr>
                <w:sz w:val="18"/>
                <w:szCs w:val="18"/>
              </w:rPr>
            </w:pPr>
            <w:r>
              <w:rPr>
                <w:kern w:val="0"/>
                <w:sz w:val="18"/>
                <w:szCs w:val="18"/>
                <w:lang w:bidi="ar"/>
              </w:rPr>
              <w:t>最大标准指数</w:t>
            </w:r>
          </w:p>
        </w:tc>
        <w:tc>
          <w:tcPr>
            <w:tcW w:w="278" w:type="pct"/>
            <w:noWrap/>
            <w:vAlign w:val="center"/>
          </w:tcPr>
          <w:p w14:paraId="11B259F9">
            <w:pPr>
              <w:widowControl/>
              <w:jc w:val="center"/>
              <w:textAlignment w:val="center"/>
              <w:rPr>
                <w:sz w:val="18"/>
                <w:szCs w:val="18"/>
              </w:rPr>
            </w:pPr>
            <w:r>
              <w:rPr>
                <w:kern w:val="0"/>
                <w:sz w:val="18"/>
                <w:szCs w:val="18"/>
                <w:lang w:bidi="ar"/>
              </w:rPr>
              <w:t>0.26</w:t>
            </w:r>
          </w:p>
        </w:tc>
        <w:tc>
          <w:tcPr>
            <w:tcW w:w="218" w:type="pct"/>
            <w:noWrap/>
            <w:vAlign w:val="center"/>
          </w:tcPr>
          <w:p w14:paraId="44DCE566">
            <w:pPr>
              <w:widowControl/>
              <w:jc w:val="center"/>
              <w:textAlignment w:val="center"/>
              <w:rPr>
                <w:sz w:val="18"/>
                <w:szCs w:val="18"/>
              </w:rPr>
            </w:pPr>
            <w:r>
              <w:rPr>
                <w:kern w:val="0"/>
                <w:sz w:val="18"/>
                <w:szCs w:val="18"/>
                <w:lang w:bidi="ar"/>
              </w:rPr>
              <w:t>0.66</w:t>
            </w:r>
          </w:p>
        </w:tc>
        <w:tc>
          <w:tcPr>
            <w:tcW w:w="218" w:type="pct"/>
            <w:noWrap/>
            <w:vAlign w:val="center"/>
          </w:tcPr>
          <w:p w14:paraId="3CB997ED">
            <w:pPr>
              <w:widowControl/>
              <w:jc w:val="center"/>
              <w:textAlignment w:val="center"/>
              <w:rPr>
                <w:sz w:val="18"/>
                <w:szCs w:val="18"/>
              </w:rPr>
            </w:pPr>
            <w:r>
              <w:rPr>
                <w:kern w:val="0"/>
                <w:sz w:val="18"/>
                <w:szCs w:val="18"/>
                <w:lang w:bidi="ar"/>
              </w:rPr>
              <w:t>0.00</w:t>
            </w:r>
          </w:p>
        </w:tc>
        <w:tc>
          <w:tcPr>
            <w:tcW w:w="333" w:type="pct"/>
            <w:noWrap/>
            <w:vAlign w:val="center"/>
          </w:tcPr>
          <w:p w14:paraId="6B557A9A">
            <w:pPr>
              <w:widowControl/>
              <w:jc w:val="center"/>
              <w:textAlignment w:val="center"/>
              <w:rPr>
                <w:sz w:val="18"/>
                <w:szCs w:val="18"/>
              </w:rPr>
            </w:pPr>
            <w:r>
              <w:rPr>
                <w:kern w:val="0"/>
                <w:sz w:val="18"/>
                <w:szCs w:val="18"/>
                <w:lang w:bidi="ar"/>
              </w:rPr>
              <w:t>0.01</w:t>
            </w:r>
          </w:p>
        </w:tc>
        <w:tc>
          <w:tcPr>
            <w:tcW w:w="359" w:type="pct"/>
            <w:noWrap/>
            <w:vAlign w:val="center"/>
          </w:tcPr>
          <w:p w14:paraId="7CD195CF">
            <w:pPr>
              <w:widowControl/>
              <w:jc w:val="center"/>
              <w:textAlignment w:val="center"/>
              <w:rPr>
                <w:sz w:val="18"/>
                <w:szCs w:val="18"/>
              </w:rPr>
            </w:pPr>
            <w:r>
              <w:rPr>
                <w:sz w:val="18"/>
                <w:szCs w:val="18"/>
              </w:rPr>
              <w:t>/</w:t>
            </w:r>
          </w:p>
        </w:tc>
        <w:tc>
          <w:tcPr>
            <w:tcW w:w="355" w:type="pct"/>
            <w:noWrap/>
            <w:vAlign w:val="center"/>
          </w:tcPr>
          <w:p w14:paraId="00924222">
            <w:pPr>
              <w:widowControl/>
              <w:jc w:val="center"/>
              <w:textAlignment w:val="center"/>
              <w:rPr>
                <w:sz w:val="18"/>
                <w:szCs w:val="18"/>
              </w:rPr>
            </w:pPr>
            <w:r>
              <w:rPr>
                <w:sz w:val="18"/>
                <w:szCs w:val="18"/>
              </w:rPr>
              <w:t>/</w:t>
            </w:r>
          </w:p>
        </w:tc>
        <w:tc>
          <w:tcPr>
            <w:tcW w:w="284" w:type="pct"/>
            <w:noWrap/>
            <w:vAlign w:val="center"/>
          </w:tcPr>
          <w:p w14:paraId="042323C2">
            <w:pPr>
              <w:widowControl/>
              <w:jc w:val="center"/>
              <w:textAlignment w:val="center"/>
              <w:rPr>
                <w:sz w:val="18"/>
                <w:szCs w:val="18"/>
              </w:rPr>
            </w:pPr>
            <w:r>
              <w:rPr>
                <w:kern w:val="0"/>
                <w:sz w:val="18"/>
                <w:szCs w:val="18"/>
                <w:lang w:bidi="ar"/>
              </w:rPr>
              <w:t>0.60</w:t>
            </w:r>
          </w:p>
        </w:tc>
        <w:tc>
          <w:tcPr>
            <w:tcW w:w="359" w:type="pct"/>
            <w:noWrap/>
            <w:vAlign w:val="center"/>
          </w:tcPr>
          <w:p w14:paraId="6A5DD3F7">
            <w:pPr>
              <w:widowControl/>
              <w:jc w:val="center"/>
              <w:textAlignment w:val="center"/>
              <w:rPr>
                <w:sz w:val="18"/>
                <w:szCs w:val="18"/>
              </w:rPr>
            </w:pPr>
            <w:r>
              <w:rPr>
                <w:sz w:val="18"/>
                <w:szCs w:val="18"/>
              </w:rPr>
              <w:t>/</w:t>
            </w:r>
          </w:p>
        </w:tc>
        <w:tc>
          <w:tcPr>
            <w:tcW w:w="315" w:type="pct"/>
            <w:noWrap/>
            <w:vAlign w:val="center"/>
          </w:tcPr>
          <w:p w14:paraId="50679853">
            <w:pPr>
              <w:widowControl/>
              <w:jc w:val="center"/>
              <w:textAlignment w:val="center"/>
              <w:rPr>
                <w:sz w:val="18"/>
                <w:szCs w:val="18"/>
              </w:rPr>
            </w:pPr>
            <w:r>
              <w:rPr>
                <w:sz w:val="18"/>
                <w:szCs w:val="18"/>
              </w:rPr>
              <w:t>/</w:t>
            </w:r>
          </w:p>
        </w:tc>
        <w:tc>
          <w:tcPr>
            <w:tcW w:w="302" w:type="pct"/>
            <w:noWrap/>
            <w:vAlign w:val="center"/>
          </w:tcPr>
          <w:p w14:paraId="045B6073">
            <w:pPr>
              <w:widowControl/>
              <w:jc w:val="center"/>
              <w:textAlignment w:val="center"/>
              <w:rPr>
                <w:sz w:val="18"/>
                <w:szCs w:val="18"/>
              </w:rPr>
            </w:pPr>
            <w:r>
              <w:rPr>
                <w:kern w:val="0"/>
                <w:sz w:val="18"/>
                <w:szCs w:val="18"/>
                <w:lang w:bidi="ar"/>
              </w:rPr>
              <w:t>0.50</w:t>
            </w:r>
          </w:p>
        </w:tc>
        <w:tc>
          <w:tcPr>
            <w:tcW w:w="276" w:type="pct"/>
            <w:noWrap/>
            <w:vAlign w:val="center"/>
          </w:tcPr>
          <w:p w14:paraId="43A75876">
            <w:pPr>
              <w:widowControl/>
              <w:jc w:val="center"/>
              <w:textAlignment w:val="center"/>
              <w:rPr>
                <w:sz w:val="18"/>
                <w:szCs w:val="18"/>
              </w:rPr>
            </w:pPr>
            <w:r>
              <w:rPr>
                <w:sz w:val="18"/>
                <w:szCs w:val="18"/>
              </w:rPr>
              <w:t>/</w:t>
            </w:r>
          </w:p>
        </w:tc>
        <w:tc>
          <w:tcPr>
            <w:tcW w:w="267" w:type="pct"/>
            <w:noWrap/>
            <w:vAlign w:val="center"/>
          </w:tcPr>
          <w:p w14:paraId="7E612C27">
            <w:pPr>
              <w:widowControl/>
              <w:jc w:val="center"/>
              <w:textAlignment w:val="center"/>
              <w:rPr>
                <w:sz w:val="18"/>
                <w:szCs w:val="18"/>
              </w:rPr>
            </w:pPr>
            <w:r>
              <w:rPr>
                <w:sz w:val="18"/>
                <w:szCs w:val="18"/>
              </w:rPr>
              <w:t>/</w:t>
            </w:r>
          </w:p>
        </w:tc>
        <w:tc>
          <w:tcPr>
            <w:tcW w:w="293" w:type="pct"/>
            <w:noWrap/>
            <w:vAlign w:val="center"/>
          </w:tcPr>
          <w:p w14:paraId="79990B34">
            <w:pPr>
              <w:widowControl/>
              <w:jc w:val="center"/>
              <w:textAlignment w:val="center"/>
              <w:rPr>
                <w:sz w:val="18"/>
                <w:szCs w:val="18"/>
              </w:rPr>
            </w:pPr>
            <w:r>
              <w:rPr>
                <w:sz w:val="18"/>
                <w:szCs w:val="18"/>
              </w:rPr>
              <w:t>/</w:t>
            </w:r>
          </w:p>
        </w:tc>
        <w:tc>
          <w:tcPr>
            <w:tcW w:w="302" w:type="pct"/>
            <w:noWrap/>
            <w:vAlign w:val="center"/>
          </w:tcPr>
          <w:p w14:paraId="160050E6">
            <w:pPr>
              <w:widowControl/>
              <w:jc w:val="center"/>
              <w:textAlignment w:val="center"/>
              <w:rPr>
                <w:sz w:val="18"/>
                <w:szCs w:val="18"/>
              </w:rPr>
            </w:pPr>
            <w:r>
              <w:rPr>
                <w:sz w:val="18"/>
                <w:szCs w:val="18"/>
              </w:rPr>
              <w:t>/</w:t>
            </w:r>
          </w:p>
        </w:tc>
        <w:tc>
          <w:tcPr>
            <w:tcW w:w="303" w:type="pct"/>
            <w:noWrap/>
            <w:vAlign w:val="center"/>
          </w:tcPr>
          <w:p w14:paraId="0AD3EBB5">
            <w:pPr>
              <w:widowControl/>
              <w:jc w:val="center"/>
              <w:textAlignment w:val="center"/>
              <w:rPr>
                <w:sz w:val="18"/>
                <w:szCs w:val="18"/>
              </w:rPr>
            </w:pPr>
            <w:r>
              <w:rPr>
                <w:sz w:val="18"/>
                <w:szCs w:val="18"/>
              </w:rPr>
              <w:t>/</w:t>
            </w:r>
          </w:p>
        </w:tc>
      </w:tr>
      <w:tr w14:paraId="7BB8D8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04C29AFF">
            <w:pPr>
              <w:jc w:val="center"/>
              <w:rPr>
                <w:sz w:val="18"/>
                <w:szCs w:val="18"/>
              </w:rPr>
            </w:pPr>
          </w:p>
        </w:tc>
        <w:tc>
          <w:tcPr>
            <w:tcW w:w="381" w:type="pct"/>
            <w:shd w:val="clear" w:color="auto" w:fill="D7D7D7"/>
            <w:noWrap w:val="0"/>
            <w:vAlign w:val="center"/>
          </w:tcPr>
          <w:p w14:paraId="1E1786E1">
            <w:pPr>
              <w:widowControl/>
              <w:jc w:val="center"/>
              <w:textAlignment w:val="center"/>
              <w:rPr>
                <w:sz w:val="18"/>
                <w:szCs w:val="18"/>
              </w:rPr>
            </w:pPr>
            <w:r>
              <w:rPr>
                <w:kern w:val="0"/>
                <w:sz w:val="18"/>
                <w:szCs w:val="18"/>
                <w:lang w:bidi="ar"/>
              </w:rPr>
              <w:t>达标情况</w:t>
            </w:r>
          </w:p>
        </w:tc>
        <w:tc>
          <w:tcPr>
            <w:tcW w:w="278" w:type="pct"/>
            <w:noWrap/>
            <w:vAlign w:val="center"/>
          </w:tcPr>
          <w:p w14:paraId="0984542B">
            <w:pPr>
              <w:widowControl/>
              <w:jc w:val="center"/>
              <w:textAlignment w:val="center"/>
              <w:rPr>
                <w:sz w:val="18"/>
                <w:szCs w:val="18"/>
              </w:rPr>
            </w:pPr>
            <w:r>
              <w:rPr>
                <w:kern w:val="0"/>
                <w:sz w:val="18"/>
                <w:szCs w:val="18"/>
                <w:lang w:bidi="ar"/>
              </w:rPr>
              <w:t>达标</w:t>
            </w:r>
          </w:p>
        </w:tc>
        <w:tc>
          <w:tcPr>
            <w:tcW w:w="218" w:type="pct"/>
            <w:noWrap/>
            <w:vAlign w:val="center"/>
          </w:tcPr>
          <w:p w14:paraId="042E40D9">
            <w:pPr>
              <w:widowControl/>
              <w:jc w:val="center"/>
              <w:textAlignment w:val="center"/>
              <w:rPr>
                <w:sz w:val="18"/>
                <w:szCs w:val="18"/>
              </w:rPr>
            </w:pPr>
            <w:r>
              <w:rPr>
                <w:kern w:val="0"/>
                <w:sz w:val="18"/>
                <w:szCs w:val="18"/>
                <w:lang w:bidi="ar"/>
              </w:rPr>
              <w:t>达标</w:t>
            </w:r>
          </w:p>
        </w:tc>
        <w:tc>
          <w:tcPr>
            <w:tcW w:w="218" w:type="pct"/>
            <w:noWrap/>
            <w:vAlign w:val="center"/>
          </w:tcPr>
          <w:p w14:paraId="285AC4CC">
            <w:pPr>
              <w:widowControl/>
              <w:jc w:val="center"/>
              <w:textAlignment w:val="center"/>
              <w:rPr>
                <w:sz w:val="18"/>
                <w:szCs w:val="18"/>
              </w:rPr>
            </w:pPr>
            <w:r>
              <w:rPr>
                <w:kern w:val="0"/>
                <w:sz w:val="18"/>
                <w:szCs w:val="18"/>
                <w:lang w:bidi="ar"/>
              </w:rPr>
              <w:t>达标</w:t>
            </w:r>
          </w:p>
        </w:tc>
        <w:tc>
          <w:tcPr>
            <w:tcW w:w="333" w:type="pct"/>
            <w:noWrap/>
            <w:vAlign w:val="center"/>
          </w:tcPr>
          <w:p w14:paraId="4211AB45">
            <w:pPr>
              <w:widowControl/>
              <w:jc w:val="center"/>
              <w:textAlignment w:val="center"/>
              <w:rPr>
                <w:sz w:val="18"/>
                <w:szCs w:val="18"/>
              </w:rPr>
            </w:pPr>
            <w:r>
              <w:rPr>
                <w:kern w:val="0"/>
                <w:sz w:val="18"/>
                <w:szCs w:val="18"/>
                <w:lang w:bidi="ar"/>
              </w:rPr>
              <w:t>达标</w:t>
            </w:r>
          </w:p>
        </w:tc>
        <w:tc>
          <w:tcPr>
            <w:tcW w:w="359" w:type="pct"/>
            <w:noWrap/>
            <w:vAlign w:val="center"/>
          </w:tcPr>
          <w:p w14:paraId="120B694D">
            <w:pPr>
              <w:widowControl/>
              <w:jc w:val="center"/>
              <w:textAlignment w:val="center"/>
              <w:rPr>
                <w:sz w:val="18"/>
                <w:szCs w:val="18"/>
              </w:rPr>
            </w:pPr>
            <w:r>
              <w:rPr>
                <w:kern w:val="0"/>
                <w:sz w:val="18"/>
                <w:szCs w:val="18"/>
                <w:lang w:bidi="ar"/>
              </w:rPr>
              <w:t>达标</w:t>
            </w:r>
          </w:p>
        </w:tc>
        <w:tc>
          <w:tcPr>
            <w:tcW w:w="355" w:type="pct"/>
            <w:noWrap/>
            <w:vAlign w:val="center"/>
          </w:tcPr>
          <w:p w14:paraId="5E714BB3">
            <w:pPr>
              <w:widowControl/>
              <w:jc w:val="center"/>
              <w:textAlignment w:val="center"/>
              <w:rPr>
                <w:sz w:val="18"/>
                <w:szCs w:val="18"/>
              </w:rPr>
            </w:pPr>
            <w:r>
              <w:rPr>
                <w:kern w:val="0"/>
                <w:sz w:val="18"/>
                <w:szCs w:val="18"/>
                <w:lang w:bidi="ar"/>
              </w:rPr>
              <w:t>达标</w:t>
            </w:r>
          </w:p>
        </w:tc>
        <w:tc>
          <w:tcPr>
            <w:tcW w:w="284" w:type="pct"/>
            <w:noWrap/>
            <w:vAlign w:val="center"/>
          </w:tcPr>
          <w:p w14:paraId="27245D83">
            <w:pPr>
              <w:widowControl/>
              <w:jc w:val="center"/>
              <w:textAlignment w:val="center"/>
              <w:rPr>
                <w:sz w:val="18"/>
                <w:szCs w:val="18"/>
              </w:rPr>
            </w:pPr>
            <w:r>
              <w:rPr>
                <w:kern w:val="0"/>
                <w:sz w:val="18"/>
                <w:szCs w:val="18"/>
                <w:lang w:bidi="ar"/>
              </w:rPr>
              <w:t>达标</w:t>
            </w:r>
          </w:p>
        </w:tc>
        <w:tc>
          <w:tcPr>
            <w:tcW w:w="359" w:type="pct"/>
            <w:noWrap/>
            <w:vAlign w:val="center"/>
          </w:tcPr>
          <w:p w14:paraId="2E4492B1">
            <w:pPr>
              <w:widowControl/>
              <w:jc w:val="center"/>
              <w:textAlignment w:val="center"/>
              <w:rPr>
                <w:sz w:val="18"/>
                <w:szCs w:val="18"/>
              </w:rPr>
            </w:pPr>
            <w:r>
              <w:rPr>
                <w:kern w:val="0"/>
                <w:sz w:val="18"/>
                <w:szCs w:val="18"/>
                <w:lang w:bidi="ar"/>
              </w:rPr>
              <w:t>达标</w:t>
            </w:r>
          </w:p>
        </w:tc>
        <w:tc>
          <w:tcPr>
            <w:tcW w:w="315" w:type="pct"/>
            <w:noWrap/>
            <w:vAlign w:val="center"/>
          </w:tcPr>
          <w:p w14:paraId="7D8D896A">
            <w:pPr>
              <w:widowControl/>
              <w:jc w:val="center"/>
              <w:textAlignment w:val="center"/>
              <w:rPr>
                <w:sz w:val="18"/>
                <w:szCs w:val="18"/>
              </w:rPr>
            </w:pPr>
            <w:r>
              <w:rPr>
                <w:kern w:val="0"/>
                <w:sz w:val="18"/>
                <w:szCs w:val="18"/>
                <w:lang w:bidi="ar"/>
              </w:rPr>
              <w:t>达标</w:t>
            </w:r>
          </w:p>
        </w:tc>
        <w:tc>
          <w:tcPr>
            <w:tcW w:w="302" w:type="pct"/>
            <w:noWrap/>
            <w:vAlign w:val="center"/>
          </w:tcPr>
          <w:p w14:paraId="7CAEFC56">
            <w:pPr>
              <w:widowControl/>
              <w:jc w:val="center"/>
              <w:textAlignment w:val="center"/>
              <w:rPr>
                <w:sz w:val="18"/>
                <w:szCs w:val="18"/>
              </w:rPr>
            </w:pPr>
            <w:r>
              <w:rPr>
                <w:kern w:val="0"/>
                <w:sz w:val="18"/>
                <w:szCs w:val="18"/>
                <w:lang w:bidi="ar"/>
              </w:rPr>
              <w:t>达标</w:t>
            </w:r>
          </w:p>
        </w:tc>
        <w:tc>
          <w:tcPr>
            <w:tcW w:w="276" w:type="pct"/>
            <w:noWrap/>
            <w:vAlign w:val="center"/>
          </w:tcPr>
          <w:p w14:paraId="773E688F">
            <w:pPr>
              <w:widowControl/>
              <w:jc w:val="center"/>
              <w:textAlignment w:val="center"/>
              <w:rPr>
                <w:sz w:val="18"/>
                <w:szCs w:val="18"/>
              </w:rPr>
            </w:pPr>
            <w:r>
              <w:rPr>
                <w:kern w:val="0"/>
                <w:sz w:val="18"/>
                <w:szCs w:val="18"/>
                <w:lang w:bidi="ar"/>
              </w:rPr>
              <w:t>达标</w:t>
            </w:r>
          </w:p>
        </w:tc>
        <w:tc>
          <w:tcPr>
            <w:tcW w:w="267" w:type="pct"/>
            <w:noWrap/>
            <w:vAlign w:val="center"/>
          </w:tcPr>
          <w:p w14:paraId="295435CB">
            <w:pPr>
              <w:widowControl/>
              <w:jc w:val="center"/>
              <w:textAlignment w:val="center"/>
              <w:rPr>
                <w:sz w:val="18"/>
                <w:szCs w:val="18"/>
              </w:rPr>
            </w:pPr>
            <w:r>
              <w:rPr>
                <w:kern w:val="0"/>
                <w:sz w:val="18"/>
                <w:szCs w:val="18"/>
                <w:lang w:bidi="ar"/>
              </w:rPr>
              <w:t>达标</w:t>
            </w:r>
          </w:p>
        </w:tc>
        <w:tc>
          <w:tcPr>
            <w:tcW w:w="293" w:type="pct"/>
            <w:noWrap/>
            <w:vAlign w:val="center"/>
          </w:tcPr>
          <w:p w14:paraId="1E355AE9">
            <w:pPr>
              <w:widowControl/>
              <w:jc w:val="center"/>
              <w:textAlignment w:val="center"/>
              <w:rPr>
                <w:sz w:val="18"/>
                <w:szCs w:val="18"/>
              </w:rPr>
            </w:pPr>
            <w:r>
              <w:rPr>
                <w:kern w:val="0"/>
                <w:sz w:val="18"/>
                <w:szCs w:val="18"/>
                <w:lang w:bidi="ar"/>
              </w:rPr>
              <w:t>达标</w:t>
            </w:r>
          </w:p>
        </w:tc>
        <w:tc>
          <w:tcPr>
            <w:tcW w:w="302" w:type="pct"/>
            <w:noWrap/>
            <w:vAlign w:val="center"/>
          </w:tcPr>
          <w:p w14:paraId="64778B66">
            <w:pPr>
              <w:widowControl/>
              <w:jc w:val="center"/>
              <w:textAlignment w:val="center"/>
              <w:rPr>
                <w:sz w:val="18"/>
                <w:szCs w:val="18"/>
              </w:rPr>
            </w:pPr>
            <w:r>
              <w:rPr>
                <w:kern w:val="0"/>
                <w:sz w:val="18"/>
                <w:szCs w:val="18"/>
                <w:lang w:bidi="ar"/>
              </w:rPr>
              <w:t>达标</w:t>
            </w:r>
          </w:p>
        </w:tc>
        <w:tc>
          <w:tcPr>
            <w:tcW w:w="303" w:type="pct"/>
            <w:noWrap/>
            <w:vAlign w:val="center"/>
          </w:tcPr>
          <w:p w14:paraId="178DB71C">
            <w:pPr>
              <w:widowControl/>
              <w:jc w:val="center"/>
              <w:textAlignment w:val="center"/>
              <w:rPr>
                <w:sz w:val="18"/>
                <w:szCs w:val="18"/>
              </w:rPr>
            </w:pPr>
            <w:r>
              <w:rPr>
                <w:kern w:val="0"/>
                <w:sz w:val="18"/>
                <w:szCs w:val="18"/>
                <w:lang w:bidi="ar"/>
              </w:rPr>
              <w:t>达标</w:t>
            </w:r>
          </w:p>
        </w:tc>
      </w:tr>
      <w:tr w14:paraId="30934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vMerge w:val="continue"/>
            <w:shd w:val="clear" w:color="auto" w:fill="auto"/>
            <w:noWrap w:val="0"/>
            <w:vAlign w:val="center"/>
          </w:tcPr>
          <w:p w14:paraId="18BCC4DE">
            <w:pPr>
              <w:jc w:val="center"/>
              <w:rPr>
                <w:sz w:val="18"/>
                <w:szCs w:val="18"/>
              </w:rPr>
            </w:pPr>
          </w:p>
        </w:tc>
        <w:tc>
          <w:tcPr>
            <w:tcW w:w="381" w:type="pct"/>
            <w:shd w:val="clear" w:color="auto" w:fill="D7D7D7"/>
            <w:noWrap w:val="0"/>
            <w:vAlign w:val="center"/>
          </w:tcPr>
          <w:p w14:paraId="76A811A7">
            <w:pPr>
              <w:widowControl/>
              <w:snapToGrid w:val="0"/>
              <w:jc w:val="center"/>
              <w:textAlignment w:val="center"/>
              <w:rPr>
                <w:sz w:val="18"/>
                <w:szCs w:val="18"/>
              </w:rPr>
            </w:pPr>
            <w:r>
              <w:rPr>
                <w:kern w:val="0"/>
                <w:sz w:val="18"/>
                <w:szCs w:val="18"/>
                <w:lang w:bidi="ar"/>
              </w:rPr>
              <w:t>日期</w:t>
            </w:r>
          </w:p>
          <w:p w14:paraId="3000B8AE">
            <w:pPr>
              <w:widowControl/>
              <w:jc w:val="center"/>
              <w:textAlignment w:val="center"/>
              <w:rPr>
                <w:sz w:val="18"/>
                <w:szCs w:val="18"/>
              </w:rPr>
            </w:pPr>
            <w:r>
              <w:rPr>
                <w:sz w:val="18"/>
                <w:szCs w:val="18"/>
              </w:rPr>
              <w:t>项目</w:t>
            </w:r>
          </w:p>
        </w:tc>
        <w:tc>
          <w:tcPr>
            <w:tcW w:w="278" w:type="pct"/>
            <w:noWrap w:val="0"/>
            <w:vAlign w:val="center"/>
          </w:tcPr>
          <w:p w14:paraId="31E48BCB">
            <w:pPr>
              <w:widowControl/>
              <w:jc w:val="center"/>
              <w:textAlignment w:val="center"/>
              <w:rPr>
                <w:sz w:val="18"/>
                <w:szCs w:val="18"/>
              </w:rPr>
            </w:pPr>
            <w:r>
              <w:rPr>
                <w:kern w:val="0"/>
                <w:sz w:val="18"/>
                <w:szCs w:val="18"/>
                <w:lang w:bidi="ar"/>
              </w:rPr>
              <w:t>溶解性总固体</w:t>
            </w:r>
          </w:p>
        </w:tc>
        <w:tc>
          <w:tcPr>
            <w:tcW w:w="218" w:type="pct"/>
            <w:noWrap w:val="0"/>
            <w:vAlign w:val="center"/>
          </w:tcPr>
          <w:p w14:paraId="01368C56">
            <w:pPr>
              <w:widowControl/>
              <w:jc w:val="center"/>
              <w:textAlignment w:val="center"/>
              <w:rPr>
                <w:sz w:val="18"/>
                <w:szCs w:val="18"/>
              </w:rPr>
            </w:pPr>
            <w:r>
              <w:rPr>
                <w:kern w:val="0"/>
                <w:sz w:val="18"/>
                <w:szCs w:val="18"/>
                <w:lang w:bidi="ar"/>
              </w:rPr>
              <w:t>耗氧量</w:t>
            </w:r>
          </w:p>
        </w:tc>
        <w:tc>
          <w:tcPr>
            <w:tcW w:w="218" w:type="pct"/>
            <w:noWrap w:val="0"/>
            <w:vAlign w:val="center"/>
          </w:tcPr>
          <w:p w14:paraId="6D842027">
            <w:pPr>
              <w:widowControl/>
              <w:jc w:val="center"/>
              <w:textAlignment w:val="center"/>
              <w:rPr>
                <w:sz w:val="18"/>
                <w:szCs w:val="18"/>
              </w:rPr>
            </w:pPr>
            <w:r>
              <w:rPr>
                <w:kern w:val="0"/>
                <w:sz w:val="18"/>
                <w:szCs w:val="18"/>
                <w:lang w:bidi="ar"/>
              </w:rPr>
              <w:t>氯化物</w:t>
            </w:r>
          </w:p>
        </w:tc>
        <w:tc>
          <w:tcPr>
            <w:tcW w:w="333" w:type="pct"/>
            <w:noWrap w:val="0"/>
            <w:vAlign w:val="center"/>
          </w:tcPr>
          <w:p w14:paraId="65E8625B">
            <w:pPr>
              <w:widowControl/>
              <w:jc w:val="center"/>
              <w:textAlignment w:val="center"/>
              <w:rPr>
                <w:sz w:val="18"/>
                <w:szCs w:val="18"/>
              </w:rPr>
            </w:pPr>
            <w:r>
              <w:rPr>
                <w:kern w:val="0"/>
                <w:sz w:val="18"/>
                <w:szCs w:val="18"/>
                <w:lang w:bidi="ar"/>
              </w:rPr>
              <w:t>总大肠菌群（MPN/100mL）</w:t>
            </w:r>
          </w:p>
        </w:tc>
        <w:tc>
          <w:tcPr>
            <w:tcW w:w="359" w:type="pct"/>
            <w:noWrap w:val="0"/>
            <w:vAlign w:val="center"/>
          </w:tcPr>
          <w:p w14:paraId="69C6086E">
            <w:pPr>
              <w:widowControl/>
              <w:jc w:val="center"/>
              <w:textAlignment w:val="center"/>
              <w:rPr>
                <w:sz w:val="18"/>
                <w:szCs w:val="18"/>
              </w:rPr>
            </w:pPr>
            <w:r>
              <w:rPr>
                <w:kern w:val="0"/>
                <w:sz w:val="18"/>
                <w:szCs w:val="18"/>
                <w:lang w:bidi="ar"/>
              </w:rPr>
              <w:t>菌落总数（CFU/mL）</w:t>
            </w:r>
          </w:p>
        </w:tc>
        <w:tc>
          <w:tcPr>
            <w:tcW w:w="355" w:type="pct"/>
            <w:noWrap w:val="0"/>
            <w:vAlign w:val="center"/>
          </w:tcPr>
          <w:p w14:paraId="4FED079B">
            <w:pPr>
              <w:widowControl/>
              <w:jc w:val="center"/>
              <w:textAlignment w:val="center"/>
              <w:rPr>
                <w:sz w:val="18"/>
                <w:szCs w:val="18"/>
              </w:rPr>
            </w:pPr>
            <w:r>
              <w:rPr>
                <w:kern w:val="0"/>
                <w:sz w:val="18"/>
                <w:szCs w:val="18"/>
                <w:lang w:bidi="ar"/>
              </w:rPr>
              <w:t>锌</w:t>
            </w:r>
          </w:p>
        </w:tc>
        <w:tc>
          <w:tcPr>
            <w:tcW w:w="284" w:type="pct"/>
            <w:noWrap w:val="0"/>
            <w:vAlign w:val="center"/>
          </w:tcPr>
          <w:p w14:paraId="0471DBEC">
            <w:pPr>
              <w:widowControl/>
              <w:jc w:val="center"/>
              <w:textAlignment w:val="center"/>
              <w:rPr>
                <w:sz w:val="18"/>
                <w:szCs w:val="18"/>
              </w:rPr>
            </w:pPr>
            <w:r>
              <w:rPr>
                <w:kern w:val="0"/>
                <w:sz w:val="18"/>
                <w:szCs w:val="18"/>
                <w:lang w:bidi="ar"/>
              </w:rPr>
              <w:t>钾离子（K+）</w:t>
            </w:r>
          </w:p>
        </w:tc>
        <w:tc>
          <w:tcPr>
            <w:tcW w:w="359" w:type="pct"/>
            <w:noWrap w:val="0"/>
            <w:vAlign w:val="center"/>
          </w:tcPr>
          <w:p w14:paraId="39C1A554">
            <w:pPr>
              <w:widowControl/>
              <w:jc w:val="center"/>
              <w:textAlignment w:val="center"/>
              <w:rPr>
                <w:sz w:val="18"/>
                <w:szCs w:val="18"/>
              </w:rPr>
            </w:pPr>
            <w:r>
              <w:rPr>
                <w:kern w:val="0"/>
                <w:sz w:val="18"/>
                <w:szCs w:val="18"/>
                <w:lang w:bidi="ar"/>
              </w:rPr>
              <w:t>钠离子（Na+）</w:t>
            </w:r>
          </w:p>
        </w:tc>
        <w:tc>
          <w:tcPr>
            <w:tcW w:w="315" w:type="pct"/>
            <w:noWrap w:val="0"/>
            <w:vAlign w:val="center"/>
          </w:tcPr>
          <w:p w14:paraId="5267B1FD">
            <w:pPr>
              <w:widowControl/>
              <w:jc w:val="center"/>
              <w:textAlignment w:val="center"/>
              <w:rPr>
                <w:sz w:val="18"/>
                <w:szCs w:val="18"/>
              </w:rPr>
            </w:pPr>
            <w:r>
              <w:rPr>
                <w:kern w:val="0"/>
                <w:sz w:val="18"/>
                <w:szCs w:val="18"/>
                <w:lang w:bidi="ar"/>
              </w:rPr>
              <w:t>钙离子（Ca2+）</w:t>
            </w:r>
          </w:p>
        </w:tc>
        <w:tc>
          <w:tcPr>
            <w:tcW w:w="302" w:type="pct"/>
            <w:noWrap w:val="0"/>
            <w:vAlign w:val="center"/>
          </w:tcPr>
          <w:p w14:paraId="0826D843">
            <w:pPr>
              <w:widowControl/>
              <w:jc w:val="center"/>
              <w:textAlignment w:val="center"/>
              <w:rPr>
                <w:sz w:val="18"/>
                <w:szCs w:val="18"/>
              </w:rPr>
            </w:pPr>
            <w:r>
              <w:rPr>
                <w:kern w:val="0"/>
                <w:sz w:val="18"/>
                <w:szCs w:val="18"/>
                <w:lang w:bidi="ar"/>
              </w:rPr>
              <w:t>镁离子（Mg2+）</w:t>
            </w:r>
          </w:p>
        </w:tc>
        <w:tc>
          <w:tcPr>
            <w:tcW w:w="276" w:type="pct"/>
            <w:noWrap w:val="0"/>
            <w:vAlign w:val="center"/>
          </w:tcPr>
          <w:p w14:paraId="2A7AEE8E">
            <w:pPr>
              <w:widowControl/>
              <w:jc w:val="center"/>
              <w:textAlignment w:val="center"/>
              <w:rPr>
                <w:sz w:val="18"/>
                <w:szCs w:val="18"/>
              </w:rPr>
            </w:pPr>
            <w:r>
              <w:rPr>
                <w:kern w:val="0"/>
                <w:sz w:val="18"/>
                <w:szCs w:val="18"/>
                <w:lang w:bidi="ar"/>
              </w:rPr>
              <w:t>碳酸根</w:t>
            </w:r>
          </w:p>
        </w:tc>
        <w:tc>
          <w:tcPr>
            <w:tcW w:w="267" w:type="pct"/>
            <w:noWrap w:val="0"/>
            <w:vAlign w:val="center"/>
          </w:tcPr>
          <w:p w14:paraId="7A38AA24">
            <w:pPr>
              <w:widowControl/>
              <w:jc w:val="center"/>
              <w:textAlignment w:val="center"/>
              <w:rPr>
                <w:sz w:val="18"/>
                <w:szCs w:val="18"/>
              </w:rPr>
            </w:pPr>
            <w:r>
              <w:rPr>
                <w:kern w:val="0"/>
                <w:sz w:val="18"/>
                <w:szCs w:val="18"/>
                <w:lang w:bidi="ar"/>
              </w:rPr>
              <w:t>重碳酸根</w:t>
            </w:r>
          </w:p>
        </w:tc>
        <w:tc>
          <w:tcPr>
            <w:tcW w:w="293" w:type="pct"/>
            <w:noWrap w:val="0"/>
            <w:vAlign w:val="center"/>
          </w:tcPr>
          <w:p w14:paraId="3A00C0A5">
            <w:pPr>
              <w:widowControl/>
              <w:jc w:val="center"/>
              <w:textAlignment w:val="center"/>
              <w:rPr>
                <w:sz w:val="18"/>
                <w:szCs w:val="18"/>
              </w:rPr>
            </w:pPr>
            <w:r>
              <w:rPr>
                <w:kern w:val="0"/>
                <w:sz w:val="18"/>
                <w:szCs w:val="18"/>
                <w:lang w:bidi="ar"/>
              </w:rPr>
              <w:t>氯离子（Cl-）</w:t>
            </w:r>
          </w:p>
        </w:tc>
        <w:tc>
          <w:tcPr>
            <w:tcW w:w="302" w:type="pct"/>
            <w:noWrap w:val="0"/>
            <w:vAlign w:val="center"/>
          </w:tcPr>
          <w:p w14:paraId="104BA3C3">
            <w:pPr>
              <w:widowControl/>
              <w:jc w:val="center"/>
              <w:textAlignment w:val="center"/>
              <w:rPr>
                <w:sz w:val="18"/>
                <w:szCs w:val="18"/>
              </w:rPr>
            </w:pPr>
            <w:r>
              <w:rPr>
                <w:kern w:val="0"/>
                <w:sz w:val="18"/>
                <w:szCs w:val="18"/>
                <w:lang w:bidi="ar"/>
              </w:rPr>
              <w:t>硫酸根（SO42-）</w:t>
            </w:r>
          </w:p>
        </w:tc>
        <w:tc>
          <w:tcPr>
            <w:tcW w:w="303" w:type="pct"/>
            <w:noWrap/>
            <w:vAlign w:val="center"/>
          </w:tcPr>
          <w:p w14:paraId="680C586E">
            <w:pPr>
              <w:jc w:val="center"/>
              <w:rPr>
                <w:sz w:val="18"/>
                <w:szCs w:val="18"/>
              </w:rPr>
            </w:pPr>
            <w:r>
              <w:rPr>
                <w:sz w:val="18"/>
                <w:szCs w:val="18"/>
              </w:rPr>
              <w:t>/</w:t>
            </w:r>
          </w:p>
        </w:tc>
      </w:tr>
      <w:tr w14:paraId="255FC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63870355">
            <w:pPr>
              <w:jc w:val="center"/>
              <w:rPr>
                <w:sz w:val="18"/>
                <w:szCs w:val="18"/>
              </w:rPr>
            </w:pPr>
          </w:p>
        </w:tc>
        <w:tc>
          <w:tcPr>
            <w:tcW w:w="381" w:type="pct"/>
            <w:shd w:val="clear" w:color="auto" w:fill="D7D7D7"/>
            <w:noWrap w:val="0"/>
            <w:vAlign w:val="center"/>
          </w:tcPr>
          <w:p w14:paraId="1048C4BE">
            <w:pPr>
              <w:widowControl/>
              <w:jc w:val="center"/>
              <w:textAlignment w:val="center"/>
              <w:rPr>
                <w:sz w:val="18"/>
                <w:szCs w:val="18"/>
              </w:rPr>
            </w:pPr>
            <w:r>
              <w:rPr>
                <w:kern w:val="0"/>
                <w:sz w:val="18"/>
                <w:szCs w:val="18"/>
                <w:lang w:bidi="ar"/>
              </w:rPr>
              <w:t>2021/3/28</w:t>
            </w:r>
          </w:p>
        </w:tc>
        <w:tc>
          <w:tcPr>
            <w:tcW w:w="278" w:type="pct"/>
            <w:noWrap w:val="0"/>
            <w:vAlign w:val="center"/>
          </w:tcPr>
          <w:p w14:paraId="7C0D1A8E">
            <w:pPr>
              <w:widowControl/>
              <w:jc w:val="center"/>
              <w:textAlignment w:val="center"/>
              <w:rPr>
                <w:sz w:val="18"/>
                <w:szCs w:val="18"/>
              </w:rPr>
            </w:pPr>
            <w:r>
              <w:rPr>
                <w:kern w:val="0"/>
                <w:sz w:val="18"/>
                <w:szCs w:val="18"/>
                <w:lang w:bidi="ar"/>
              </w:rPr>
              <w:t>287</w:t>
            </w:r>
          </w:p>
        </w:tc>
        <w:tc>
          <w:tcPr>
            <w:tcW w:w="218" w:type="pct"/>
            <w:noWrap w:val="0"/>
            <w:vAlign w:val="center"/>
          </w:tcPr>
          <w:p w14:paraId="73E99934">
            <w:pPr>
              <w:widowControl/>
              <w:jc w:val="center"/>
              <w:textAlignment w:val="center"/>
              <w:rPr>
                <w:sz w:val="18"/>
                <w:szCs w:val="18"/>
              </w:rPr>
            </w:pPr>
            <w:r>
              <w:rPr>
                <w:kern w:val="0"/>
                <w:sz w:val="18"/>
                <w:szCs w:val="18"/>
                <w:lang w:bidi="ar"/>
              </w:rPr>
              <w:t>0.96</w:t>
            </w:r>
          </w:p>
        </w:tc>
        <w:tc>
          <w:tcPr>
            <w:tcW w:w="218" w:type="pct"/>
            <w:noWrap w:val="0"/>
            <w:vAlign w:val="center"/>
          </w:tcPr>
          <w:p w14:paraId="7F526A49">
            <w:pPr>
              <w:widowControl/>
              <w:jc w:val="center"/>
              <w:textAlignment w:val="center"/>
              <w:rPr>
                <w:sz w:val="18"/>
                <w:szCs w:val="18"/>
              </w:rPr>
            </w:pPr>
            <w:r>
              <w:rPr>
                <w:kern w:val="0"/>
                <w:sz w:val="18"/>
                <w:szCs w:val="18"/>
                <w:lang w:bidi="ar"/>
              </w:rPr>
              <w:t>10L</w:t>
            </w:r>
          </w:p>
        </w:tc>
        <w:tc>
          <w:tcPr>
            <w:tcW w:w="333" w:type="pct"/>
            <w:noWrap w:val="0"/>
            <w:vAlign w:val="center"/>
          </w:tcPr>
          <w:p w14:paraId="3AA2A3E9">
            <w:pPr>
              <w:widowControl/>
              <w:jc w:val="center"/>
              <w:textAlignment w:val="center"/>
              <w:rPr>
                <w:sz w:val="18"/>
                <w:szCs w:val="18"/>
              </w:rPr>
            </w:pPr>
            <w:r>
              <w:rPr>
                <w:kern w:val="0"/>
                <w:sz w:val="18"/>
                <w:szCs w:val="18"/>
                <w:lang w:bidi="ar"/>
              </w:rPr>
              <w:t>2</w:t>
            </w:r>
          </w:p>
        </w:tc>
        <w:tc>
          <w:tcPr>
            <w:tcW w:w="359" w:type="pct"/>
            <w:noWrap w:val="0"/>
            <w:vAlign w:val="center"/>
          </w:tcPr>
          <w:p w14:paraId="512EAFED">
            <w:pPr>
              <w:widowControl/>
              <w:jc w:val="center"/>
              <w:textAlignment w:val="center"/>
              <w:rPr>
                <w:sz w:val="18"/>
                <w:szCs w:val="18"/>
              </w:rPr>
            </w:pPr>
            <w:r>
              <w:rPr>
                <w:kern w:val="0"/>
                <w:sz w:val="18"/>
                <w:szCs w:val="18"/>
                <w:lang w:bidi="ar"/>
              </w:rPr>
              <w:t>80</w:t>
            </w:r>
          </w:p>
        </w:tc>
        <w:tc>
          <w:tcPr>
            <w:tcW w:w="355" w:type="pct"/>
            <w:noWrap w:val="0"/>
            <w:vAlign w:val="center"/>
          </w:tcPr>
          <w:p w14:paraId="5E28595E">
            <w:pPr>
              <w:widowControl/>
              <w:jc w:val="center"/>
              <w:textAlignment w:val="center"/>
              <w:rPr>
                <w:sz w:val="18"/>
                <w:szCs w:val="18"/>
              </w:rPr>
            </w:pPr>
            <w:r>
              <w:rPr>
                <w:kern w:val="0"/>
                <w:sz w:val="18"/>
                <w:szCs w:val="18"/>
                <w:lang w:bidi="ar"/>
              </w:rPr>
              <w:t>0.009L</w:t>
            </w:r>
          </w:p>
        </w:tc>
        <w:tc>
          <w:tcPr>
            <w:tcW w:w="284" w:type="pct"/>
            <w:noWrap w:val="0"/>
            <w:vAlign w:val="center"/>
          </w:tcPr>
          <w:p w14:paraId="29AE8E7E">
            <w:pPr>
              <w:widowControl/>
              <w:jc w:val="center"/>
              <w:textAlignment w:val="center"/>
              <w:rPr>
                <w:sz w:val="18"/>
                <w:szCs w:val="18"/>
              </w:rPr>
            </w:pPr>
            <w:r>
              <w:rPr>
                <w:kern w:val="0"/>
                <w:sz w:val="18"/>
                <w:szCs w:val="18"/>
                <w:lang w:bidi="ar"/>
              </w:rPr>
              <w:t>2.2</w:t>
            </w:r>
          </w:p>
        </w:tc>
        <w:tc>
          <w:tcPr>
            <w:tcW w:w="359" w:type="pct"/>
            <w:noWrap w:val="0"/>
            <w:vAlign w:val="center"/>
          </w:tcPr>
          <w:p w14:paraId="292491AA">
            <w:pPr>
              <w:widowControl/>
              <w:jc w:val="center"/>
              <w:textAlignment w:val="center"/>
              <w:rPr>
                <w:sz w:val="18"/>
                <w:szCs w:val="18"/>
              </w:rPr>
            </w:pPr>
            <w:r>
              <w:rPr>
                <w:kern w:val="0"/>
                <w:sz w:val="18"/>
                <w:szCs w:val="18"/>
                <w:lang w:bidi="ar"/>
              </w:rPr>
              <w:t>1.5</w:t>
            </w:r>
          </w:p>
        </w:tc>
        <w:tc>
          <w:tcPr>
            <w:tcW w:w="315" w:type="pct"/>
            <w:noWrap w:val="0"/>
            <w:vAlign w:val="center"/>
          </w:tcPr>
          <w:p w14:paraId="1C4B29E3">
            <w:pPr>
              <w:widowControl/>
              <w:jc w:val="center"/>
              <w:textAlignment w:val="center"/>
              <w:rPr>
                <w:sz w:val="18"/>
                <w:szCs w:val="18"/>
              </w:rPr>
            </w:pPr>
            <w:r>
              <w:rPr>
                <w:kern w:val="0"/>
                <w:sz w:val="18"/>
                <w:szCs w:val="18"/>
                <w:lang w:bidi="ar"/>
              </w:rPr>
              <w:t>27.9</w:t>
            </w:r>
          </w:p>
        </w:tc>
        <w:tc>
          <w:tcPr>
            <w:tcW w:w="302" w:type="pct"/>
            <w:noWrap w:val="0"/>
            <w:vAlign w:val="center"/>
          </w:tcPr>
          <w:p w14:paraId="17C86674">
            <w:pPr>
              <w:widowControl/>
              <w:jc w:val="center"/>
              <w:textAlignment w:val="center"/>
              <w:rPr>
                <w:sz w:val="18"/>
                <w:szCs w:val="18"/>
              </w:rPr>
            </w:pPr>
            <w:r>
              <w:rPr>
                <w:kern w:val="0"/>
                <w:sz w:val="18"/>
                <w:szCs w:val="18"/>
                <w:lang w:bidi="ar"/>
              </w:rPr>
              <w:t>18.3</w:t>
            </w:r>
          </w:p>
        </w:tc>
        <w:tc>
          <w:tcPr>
            <w:tcW w:w="276" w:type="pct"/>
            <w:noWrap w:val="0"/>
            <w:vAlign w:val="center"/>
          </w:tcPr>
          <w:p w14:paraId="03CC277F">
            <w:pPr>
              <w:widowControl/>
              <w:jc w:val="center"/>
              <w:textAlignment w:val="center"/>
              <w:rPr>
                <w:sz w:val="18"/>
                <w:szCs w:val="18"/>
              </w:rPr>
            </w:pPr>
            <w:r>
              <w:rPr>
                <w:kern w:val="0"/>
                <w:sz w:val="18"/>
                <w:szCs w:val="18"/>
                <w:lang w:bidi="ar"/>
              </w:rPr>
              <w:t>19</w:t>
            </w:r>
          </w:p>
        </w:tc>
        <w:tc>
          <w:tcPr>
            <w:tcW w:w="267" w:type="pct"/>
            <w:noWrap w:val="0"/>
            <w:vAlign w:val="center"/>
          </w:tcPr>
          <w:p w14:paraId="0250EF27">
            <w:pPr>
              <w:widowControl/>
              <w:jc w:val="center"/>
              <w:textAlignment w:val="center"/>
              <w:rPr>
                <w:sz w:val="18"/>
                <w:szCs w:val="18"/>
              </w:rPr>
            </w:pPr>
            <w:r>
              <w:rPr>
                <w:kern w:val="0"/>
                <w:sz w:val="18"/>
                <w:szCs w:val="18"/>
                <w:lang w:bidi="ar"/>
              </w:rPr>
              <w:t>225</w:t>
            </w:r>
          </w:p>
        </w:tc>
        <w:tc>
          <w:tcPr>
            <w:tcW w:w="293" w:type="pct"/>
            <w:noWrap w:val="0"/>
            <w:vAlign w:val="center"/>
          </w:tcPr>
          <w:p w14:paraId="0220C7C0">
            <w:pPr>
              <w:widowControl/>
              <w:jc w:val="center"/>
              <w:textAlignment w:val="center"/>
              <w:rPr>
                <w:sz w:val="18"/>
                <w:szCs w:val="18"/>
              </w:rPr>
            </w:pPr>
            <w:r>
              <w:rPr>
                <w:kern w:val="0"/>
                <w:sz w:val="18"/>
                <w:szCs w:val="18"/>
                <w:lang w:bidi="ar"/>
              </w:rPr>
              <w:t>0.634</w:t>
            </w:r>
          </w:p>
        </w:tc>
        <w:tc>
          <w:tcPr>
            <w:tcW w:w="302" w:type="pct"/>
            <w:noWrap w:val="0"/>
            <w:vAlign w:val="center"/>
          </w:tcPr>
          <w:p w14:paraId="50A23ACA">
            <w:pPr>
              <w:widowControl/>
              <w:jc w:val="center"/>
              <w:textAlignment w:val="center"/>
              <w:rPr>
                <w:sz w:val="18"/>
                <w:szCs w:val="18"/>
              </w:rPr>
            </w:pPr>
            <w:r>
              <w:rPr>
                <w:kern w:val="0"/>
                <w:sz w:val="18"/>
                <w:szCs w:val="18"/>
                <w:lang w:bidi="ar"/>
              </w:rPr>
              <w:t>2.78</w:t>
            </w:r>
          </w:p>
        </w:tc>
        <w:tc>
          <w:tcPr>
            <w:tcW w:w="303" w:type="pct"/>
            <w:noWrap/>
            <w:vAlign w:val="center"/>
          </w:tcPr>
          <w:p w14:paraId="3D665096">
            <w:pPr>
              <w:jc w:val="center"/>
              <w:rPr>
                <w:sz w:val="18"/>
                <w:szCs w:val="18"/>
              </w:rPr>
            </w:pPr>
            <w:r>
              <w:rPr>
                <w:sz w:val="18"/>
                <w:szCs w:val="18"/>
              </w:rPr>
              <w:t>/</w:t>
            </w:r>
          </w:p>
        </w:tc>
      </w:tr>
      <w:tr w14:paraId="35062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3E516CE5">
            <w:pPr>
              <w:jc w:val="center"/>
              <w:rPr>
                <w:sz w:val="18"/>
                <w:szCs w:val="18"/>
              </w:rPr>
            </w:pPr>
          </w:p>
        </w:tc>
        <w:tc>
          <w:tcPr>
            <w:tcW w:w="381" w:type="pct"/>
            <w:shd w:val="clear" w:color="auto" w:fill="D7D7D7"/>
            <w:noWrap w:val="0"/>
            <w:vAlign w:val="center"/>
          </w:tcPr>
          <w:p w14:paraId="6F4B7753">
            <w:pPr>
              <w:widowControl/>
              <w:jc w:val="center"/>
              <w:textAlignment w:val="center"/>
              <w:rPr>
                <w:sz w:val="18"/>
                <w:szCs w:val="18"/>
              </w:rPr>
            </w:pPr>
            <w:r>
              <w:rPr>
                <w:kern w:val="0"/>
                <w:sz w:val="18"/>
                <w:szCs w:val="18"/>
                <w:lang w:bidi="ar"/>
              </w:rPr>
              <w:t>2021/3/29</w:t>
            </w:r>
          </w:p>
        </w:tc>
        <w:tc>
          <w:tcPr>
            <w:tcW w:w="278" w:type="pct"/>
            <w:noWrap w:val="0"/>
            <w:vAlign w:val="center"/>
          </w:tcPr>
          <w:p w14:paraId="5C1E3B03">
            <w:pPr>
              <w:widowControl/>
              <w:jc w:val="center"/>
              <w:textAlignment w:val="center"/>
              <w:rPr>
                <w:sz w:val="18"/>
                <w:szCs w:val="18"/>
              </w:rPr>
            </w:pPr>
            <w:r>
              <w:rPr>
                <w:kern w:val="0"/>
                <w:sz w:val="18"/>
                <w:szCs w:val="18"/>
                <w:lang w:bidi="ar"/>
              </w:rPr>
              <w:t>295</w:t>
            </w:r>
          </w:p>
        </w:tc>
        <w:tc>
          <w:tcPr>
            <w:tcW w:w="218" w:type="pct"/>
            <w:noWrap w:val="0"/>
            <w:vAlign w:val="center"/>
          </w:tcPr>
          <w:p w14:paraId="1EA9C41C">
            <w:pPr>
              <w:widowControl/>
              <w:jc w:val="center"/>
              <w:textAlignment w:val="center"/>
              <w:rPr>
                <w:sz w:val="18"/>
                <w:szCs w:val="18"/>
              </w:rPr>
            </w:pPr>
            <w:r>
              <w:rPr>
                <w:kern w:val="0"/>
                <w:sz w:val="18"/>
                <w:szCs w:val="18"/>
                <w:lang w:bidi="ar"/>
              </w:rPr>
              <w:t>0.92</w:t>
            </w:r>
          </w:p>
        </w:tc>
        <w:tc>
          <w:tcPr>
            <w:tcW w:w="218" w:type="pct"/>
            <w:noWrap w:val="0"/>
            <w:vAlign w:val="center"/>
          </w:tcPr>
          <w:p w14:paraId="6DF65CA1">
            <w:pPr>
              <w:widowControl/>
              <w:jc w:val="center"/>
              <w:textAlignment w:val="center"/>
              <w:rPr>
                <w:sz w:val="18"/>
                <w:szCs w:val="18"/>
              </w:rPr>
            </w:pPr>
            <w:r>
              <w:rPr>
                <w:kern w:val="0"/>
                <w:sz w:val="18"/>
                <w:szCs w:val="18"/>
                <w:lang w:bidi="ar"/>
              </w:rPr>
              <w:t>10L</w:t>
            </w:r>
          </w:p>
        </w:tc>
        <w:tc>
          <w:tcPr>
            <w:tcW w:w="333" w:type="pct"/>
            <w:noWrap w:val="0"/>
            <w:vAlign w:val="center"/>
          </w:tcPr>
          <w:p w14:paraId="026F00D7">
            <w:pPr>
              <w:widowControl/>
              <w:jc w:val="center"/>
              <w:textAlignment w:val="center"/>
              <w:rPr>
                <w:sz w:val="18"/>
                <w:szCs w:val="18"/>
              </w:rPr>
            </w:pPr>
            <w:r>
              <w:rPr>
                <w:kern w:val="0"/>
                <w:sz w:val="18"/>
                <w:szCs w:val="18"/>
                <w:lang w:bidi="ar"/>
              </w:rPr>
              <w:t>2</w:t>
            </w:r>
          </w:p>
        </w:tc>
        <w:tc>
          <w:tcPr>
            <w:tcW w:w="359" w:type="pct"/>
            <w:noWrap w:val="0"/>
            <w:vAlign w:val="center"/>
          </w:tcPr>
          <w:p w14:paraId="3B2B3C1A">
            <w:pPr>
              <w:widowControl/>
              <w:jc w:val="center"/>
              <w:textAlignment w:val="center"/>
              <w:rPr>
                <w:sz w:val="18"/>
                <w:szCs w:val="18"/>
              </w:rPr>
            </w:pPr>
            <w:r>
              <w:rPr>
                <w:kern w:val="0"/>
                <w:sz w:val="18"/>
                <w:szCs w:val="18"/>
                <w:lang w:bidi="ar"/>
              </w:rPr>
              <w:t>60</w:t>
            </w:r>
          </w:p>
        </w:tc>
        <w:tc>
          <w:tcPr>
            <w:tcW w:w="355" w:type="pct"/>
            <w:noWrap w:val="0"/>
            <w:vAlign w:val="center"/>
          </w:tcPr>
          <w:p w14:paraId="67750EAD">
            <w:pPr>
              <w:widowControl/>
              <w:jc w:val="center"/>
              <w:textAlignment w:val="center"/>
              <w:rPr>
                <w:sz w:val="18"/>
                <w:szCs w:val="18"/>
              </w:rPr>
            </w:pPr>
            <w:r>
              <w:rPr>
                <w:kern w:val="0"/>
                <w:sz w:val="18"/>
                <w:szCs w:val="18"/>
                <w:lang w:bidi="ar"/>
              </w:rPr>
              <w:t>0.009L</w:t>
            </w:r>
          </w:p>
        </w:tc>
        <w:tc>
          <w:tcPr>
            <w:tcW w:w="284" w:type="pct"/>
            <w:noWrap w:val="0"/>
            <w:vAlign w:val="center"/>
          </w:tcPr>
          <w:p w14:paraId="30E01066">
            <w:pPr>
              <w:widowControl/>
              <w:jc w:val="center"/>
              <w:textAlignment w:val="center"/>
              <w:rPr>
                <w:sz w:val="18"/>
                <w:szCs w:val="18"/>
              </w:rPr>
            </w:pPr>
            <w:r>
              <w:rPr>
                <w:kern w:val="0"/>
                <w:sz w:val="18"/>
                <w:szCs w:val="18"/>
                <w:lang w:bidi="ar"/>
              </w:rPr>
              <w:t>2.21</w:t>
            </w:r>
          </w:p>
        </w:tc>
        <w:tc>
          <w:tcPr>
            <w:tcW w:w="359" w:type="pct"/>
            <w:noWrap w:val="0"/>
            <w:vAlign w:val="center"/>
          </w:tcPr>
          <w:p w14:paraId="6EAE00B4">
            <w:pPr>
              <w:widowControl/>
              <w:jc w:val="center"/>
              <w:textAlignment w:val="center"/>
              <w:rPr>
                <w:sz w:val="18"/>
                <w:szCs w:val="18"/>
              </w:rPr>
            </w:pPr>
            <w:r>
              <w:rPr>
                <w:kern w:val="0"/>
                <w:sz w:val="18"/>
                <w:szCs w:val="18"/>
                <w:lang w:bidi="ar"/>
              </w:rPr>
              <w:t>1.44</w:t>
            </w:r>
          </w:p>
        </w:tc>
        <w:tc>
          <w:tcPr>
            <w:tcW w:w="315" w:type="pct"/>
            <w:noWrap w:val="0"/>
            <w:vAlign w:val="center"/>
          </w:tcPr>
          <w:p w14:paraId="2222F75B">
            <w:pPr>
              <w:widowControl/>
              <w:jc w:val="center"/>
              <w:textAlignment w:val="center"/>
              <w:rPr>
                <w:sz w:val="18"/>
                <w:szCs w:val="18"/>
              </w:rPr>
            </w:pPr>
            <w:r>
              <w:rPr>
                <w:kern w:val="0"/>
                <w:sz w:val="18"/>
                <w:szCs w:val="18"/>
                <w:lang w:bidi="ar"/>
              </w:rPr>
              <w:t>27.4</w:t>
            </w:r>
          </w:p>
        </w:tc>
        <w:tc>
          <w:tcPr>
            <w:tcW w:w="302" w:type="pct"/>
            <w:noWrap w:val="0"/>
            <w:vAlign w:val="center"/>
          </w:tcPr>
          <w:p w14:paraId="1F2EBE81">
            <w:pPr>
              <w:widowControl/>
              <w:jc w:val="center"/>
              <w:textAlignment w:val="center"/>
              <w:rPr>
                <w:sz w:val="18"/>
                <w:szCs w:val="18"/>
              </w:rPr>
            </w:pPr>
            <w:r>
              <w:rPr>
                <w:kern w:val="0"/>
                <w:sz w:val="18"/>
                <w:szCs w:val="18"/>
                <w:lang w:bidi="ar"/>
              </w:rPr>
              <w:t>18.5</w:t>
            </w:r>
          </w:p>
        </w:tc>
        <w:tc>
          <w:tcPr>
            <w:tcW w:w="276" w:type="pct"/>
            <w:noWrap w:val="0"/>
            <w:vAlign w:val="center"/>
          </w:tcPr>
          <w:p w14:paraId="3FB35DD4">
            <w:pPr>
              <w:widowControl/>
              <w:jc w:val="center"/>
              <w:textAlignment w:val="center"/>
              <w:rPr>
                <w:sz w:val="18"/>
                <w:szCs w:val="18"/>
              </w:rPr>
            </w:pPr>
            <w:r>
              <w:rPr>
                <w:kern w:val="0"/>
                <w:sz w:val="18"/>
                <w:szCs w:val="18"/>
                <w:lang w:bidi="ar"/>
              </w:rPr>
              <w:t>20</w:t>
            </w:r>
          </w:p>
        </w:tc>
        <w:tc>
          <w:tcPr>
            <w:tcW w:w="267" w:type="pct"/>
            <w:noWrap w:val="0"/>
            <w:vAlign w:val="center"/>
          </w:tcPr>
          <w:p w14:paraId="2D0891E5">
            <w:pPr>
              <w:widowControl/>
              <w:jc w:val="center"/>
              <w:textAlignment w:val="center"/>
              <w:rPr>
                <w:sz w:val="18"/>
                <w:szCs w:val="18"/>
              </w:rPr>
            </w:pPr>
            <w:r>
              <w:rPr>
                <w:kern w:val="0"/>
                <w:sz w:val="18"/>
                <w:szCs w:val="18"/>
                <w:lang w:bidi="ar"/>
              </w:rPr>
              <w:t>221</w:t>
            </w:r>
          </w:p>
        </w:tc>
        <w:tc>
          <w:tcPr>
            <w:tcW w:w="293" w:type="pct"/>
            <w:noWrap w:val="0"/>
            <w:vAlign w:val="center"/>
          </w:tcPr>
          <w:p w14:paraId="3D13980E">
            <w:pPr>
              <w:widowControl/>
              <w:jc w:val="center"/>
              <w:textAlignment w:val="center"/>
              <w:rPr>
                <w:sz w:val="18"/>
                <w:szCs w:val="18"/>
              </w:rPr>
            </w:pPr>
            <w:r>
              <w:rPr>
                <w:kern w:val="0"/>
                <w:sz w:val="18"/>
                <w:szCs w:val="18"/>
                <w:lang w:bidi="ar"/>
              </w:rPr>
              <w:t>0.65</w:t>
            </w:r>
          </w:p>
        </w:tc>
        <w:tc>
          <w:tcPr>
            <w:tcW w:w="302" w:type="pct"/>
            <w:noWrap w:val="0"/>
            <w:vAlign w:val="center"/>
          </w:tcPr>
          <w:p w14:paraId="5D354B95">
            <w:pPr>
              <w:widowControl/>
              <w:jc w:val="center"/>
              <w:textAlignment w:val="center"/>
              <w:rPr>
                <w:sz w:val="18"/>
                <w:szCs w:val="18"/>
              </w:rPr>
            </w:pPr>
            <w:r>
              <w:rPr>
                <w:kern w:val="0"/>
                <w:sz w:val="18"/>
                <w:szCs w:val="18"/>
                <w:lang w:bidi="ar"/>
              </w:rPr>
              <w:t>2.82</w:t>
            </w:r>
          </w:p>
        </w:tc>
        <w:tc>
          <w:tcPr>
            <w:tcW w:w="303" w:type="pct"/>
            <w:noWrap/>
            <w:vAlign w:val="center"/>
          </w:tcPr>
          <w:p w14:paraId="38560D2B">
            <w:pPr>
              <w:jc w:val="center"/>
              <w:rPr>
                <w:sz w:val="18"/>
                <w:szCs w:val="18"/>
              </w:rPr>
            </w:pPr>
            <w:r>
              <w:rPr>
                <w:sz w:val="18"/>
                <w:szCs w:val="18"/>
              </w:rPr>
              <w:t>/</w:t>
            </w:r>
          </w:p>
        </w:tc>
      </w:tr>
      <w:tr w14:paraId="58816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149" w:type="pct"/>
            <w:vMerge w:val="continue"/>
            <w:shd w:val="clear" w:color="auto" w:fill="auto"/>
            <w:noWrap w:val="0"/>
            <w:vAlign w:val="center"/>
          </w:tcPr>
          <w:p w14:paraId="4A299159">
            <w:pPr>
              <w:jc w:val="center"/>
              <w:rPr>
                <w:sz w:val="18"/>
                <w:szCs w:val="18"/>
              </w:rPr>
            </w:pPr>
          </w:p>
        </w:tc>
        <w:tc>
          <w:tcPr>
            <w:tcW w:w="381" w:type="pct"/>
            <w:shd w:val="clear" w:color="auto" w:fill="D7D7D7"/>
            <w:noWrap w:val="0"/>
            <w:vAlign w:val="center"/>
          </w:tcPr>
          <w:p w14:paraId="7B8B6A10">
            <w:pPr>
              <w:widowControl/>
              <w:jc w:val="center"/>
              <w:textAlignment w:val="center"/>
              <w:rPr>
                <w:sz w:val="18"/>
                <w:szCs w:val="18"/>
              </w:rPr>
            </w:pPr>
            <w:r>
              <w:rPr>
                <w:kern w:val="0"/>
                <w:sz w:val="18"/>
                <w:szCs w:val="18"/>
                <w:lang w:bidi="ar"/>
              </w:rPr>
              <w:t>2021/3/30</w:t>
            </w:r>
          </w:p>
        </w:tc>
        <w:tc>
          <w:tcPr>
            <w:tcW w:w="278" w:type="pct"/>
            <w:noWrap w:val="0"/>
            <w:vAlign w:val="center"/>
          </w:tcPr>
          <w:p w14:paraId="74C11540">
            <w:pPr>
              <w:widowControl/>
              <w:jc w:val="center"/>
              <w:textAlignment w:val="center"/>
              <w:rPr>
                <w:sz w:val="18"/>
                <w:szCs w:val="18"/>
              </w:rPr>
            </w:pPr>
            <w:r>
              <w:rPr>
                <w:kern w:val="0"/>
                <w:sz w:val="18"/>
                <w:szCs w:val="18"/>
                <w:lang w:bidi="ar"/>
              </w:rPr>
              <w:t>279</w:t>
            </w:r>
          </w:p>
        </w:tc>
        <w:tc>
          <w:tcPr>
            <w:tcW w:w="218" w:type="pct"/>
            <w:noWrap w:val="0"/>
            <w:vAlign w:val="center"/>
          </w:tcPr>
          <w:p w14:paraId="362CEE6F">
            <w:pPr>
              <w:widowControl/>
              <w:jc w:val="center"/>
              <w:textAlignment w:val="center"/>
              <w:rPr>
                <w:sz w:val="18"/>
                <w:szCs w:val="18"/>
              </w:rPr>
            </w:pPr>
            <w:r>
              <w:rPr>
                <w:kern w:val="0"/>
                <w:sz w:val="18"/>
                <w:szCs w:val="18"/>
                <w:lang w:bidi="ar"/>
              </w:rPr>
              <w:t>0.94</w:t>
            </w:r>
          </w:p>
        </w:tc>
        <w:tc>
          <w:tcPr>
            <w:tcW w:w="218" w:type="pct"/>
            <w:noWrap w:val="0"/>
            <w:vAlign w:val="center"/>
          </w:tcPr>
          <w:p w14:paraId="2F35E80E">
            <w:pPr>
              <w:widowControl/>
              <w:jc w:val="center"/>
              <w:textAlignment w:val="center"/>
              <w:rPr>
                <w:sz w:val="18"/>
                <w:szCs w:val="18"/>
              </w:rPr>
            </w:pPr>
            <w:r>
              <w:rPr>
                <w:kern w:val="0"/>
                <w:sz w:val="18"/>
                <w:szCs w:val="18"/>
                <w:lang w:bidi="ar"/>
              </w:rPr>
              <w:t>10L</w:t>
            </w:r>
          </w:p>
        </w:tc>
        <w:tc>
          <w:tcPr>
            <w:tcW w:w="333" w:type="pct"/>
            <w:noWrap w:val="0"/>
            <w:vAlign w:val="center"/>
          </w:tcPr>
          <w:p w14:paraId="74E0196D">
            <w:pPr>
              <w:widowControl/>
              <w:jc w:val="center"/>
              <w:textAlignment w:val="center"/>
              <w:rPr>
                <w:sz w:val="18"/>
                <w:szCs w:val="18"/>
              </w:rPr>
            </w:pPr>
            <w:r>
              <w:rPr>
                <w:kern w:val="0"/>
                <w:sz w:val="18"/>
                <w:szCs w:val="18"/>
                <w:lang w:bidi="ar"/>
              </w:rPr>
              <w:t>2</w:t>
            </w:r>
          </w:p>
        </w:tc>
        <w:tc>
          <w:tcPr>
            <w:tcW w:w="359" w:type="pct"/>
            <w:noWrap w:val="0"/>
            <w:vAlign w:val="center"/>
          </w:tcPr>
          <w:p w14:paraId="2E1C8610">
            <w:pPr>
              <w:widowControl/>
              <w:jc w:val="center"/>
              <w:textAlignment w:val="center"/>
              <w:rPr>
                <w:sz w:val="18"/>
                <w:szCs w:val="18"/>
              </w:rPr>
            </w:pPr>
            <w:r>
              <w:rPr>
                <w:kern w:val="0"/>
                <w:sz w:val="18"/>
                <w:szCs w:val="18"/>
                <w:lang w:bidi="ar"/>
              </w:rPr>
              <w:t>90</w:t>
            </w:r>
          </w:p>
        </w:tc>
        <w:tc>
          <w:tcPr>
            <w:tcW w:w="355" w:type="pct"/>
            <w:noWrap w:val="0"/>
            <w:vAlign w:val="center"/>
          </w:tcPr>
          <w:p w14:paraId="02CD1668">
            <w:pPr>
              <w:widowControl/>
              <w:jc w:val="center"/>
              <w:textAlignment w:val="center"/>
              <w:rPr>
                <w:sz w:val="18"/>
                <w:szCs w:val="18"/>
              </w:rPr>
            </w:pPr>
            <w:r>
              <w:rPr>
                <w:kern w:val="0"/>
                <w:sz w:val="18"/>
                <w:szCs w:val="18"/>
                <w:lang w:bidi="ar"/>
              </w:rPr>
              <w:t>0.009L</w:t>
            </w:r>
          </w:p>
        </w:tc>
        <w:tc>
          <w:tcPr>
            <w:tcW w:w="284" w:type="pct"/>
            <w:noWrap w:val="0"/>
            <w:vAlign w:val="center"/>
          </w:tcPr>
          <w:p w14:paraId="2C925774">
            <w:pPr>
              <w:widowControl/>
              <w:jc w:val="center"/>
              <w:textAlignment w:val="center"/>
              <w:rPr>
                <w:sz w:val="18"/>
                <w:szCs w:val="18"/>
              </w:rPr>
            </w:pPr>
            <w:r>
              <w:rPr>
                <w:kern w:val="0"/>
                <w:sz w:val="18"/>
                <w:szCs w:val="18"/>
                <w:lang w:bidi="ar"/>
              </w:rPr>
              <w:t>2.21</w:t>
            </w:r>
          </w:p>
        </w:tc>
        <w:tc>
          <w:tcPr>
            <w:tcW w:w="359" w:type="pct"/>
            <w:noWrap w:val="0"/>
            <w:vAlign w:val="center"/>
          </w:tcPr>
          <w:p w14:paraId="6602ADFB">
            <w:pPr>
              <w:widowControl/>
              <w:jc w:val="center"/>
              <w:textAlignment w:val="center"/>
              <w:rPr>
                <w:sz w:val="18"/>
                <w:szCs w:val="18"/>
              </w:rPr>
            </w:pPr>
            <w:r>
              <w:rPr>
                <w:kern w:val="0"/>
                <w:sz w:val="18"/>
                <w:szCs w:val="18"/>
                <w:lang w:bidi="ar"/>
              </w:rPr>
              <w:t>1.44</w:t>
            </w:r>
          </w:p>
        </w:tc>
        <w:tc>
          <w:tcPr>
            <w:tcW w:w="315" w:type="pct"/>
            <w:noWrap w:val="0"/>
            <w:vAlign w:val="center"/>
          </w:tcPr>
          <w:p w14:paraId="075AD3C7">
            <w:pPr>
              <w:widowControl/>
              <w:jc w:val="center"/>
              <w:textAlignment w:val="center"/>
              <w:rPr>
                <w:sz w:val="18"/>
                <w:szCs w:val="18"/>
              </w:rPr>
            </w:pPr>
            <w:r>
              <w:rPr>
                <w:kern w:val="0"/>
                <w:sz w:val="18"/>
                <w:szCs w:val="18"/>
                <w:lang w:bidi="ar"/>
              </w:rPr>
              <w:t>27</w:t>
            </w:r>
          </w:p>
        </w:tc>
        <w:tc>
          <w:tcPr>
            <w:tcW w:w="302" w:type="pct"/>
            <w:noWrap w:val="0"/>
            <w:vAlign w:val="center"/>
          </w:tcPr>
          <w:p w14:paraId="780132D7">
            <w:pPr>
              <w:widowControl/>
              <w:jc w:val="center"/>
              <w:textAlignment w:val="center"/>
              <w:rPr>
                <w:sz w:val="18"/>
                <w:szCs w:val="18"/>
              </w:rPr>
            </w:pPr>
            <w:r>
              <w:rPr>
                <w:kern w:val="0"/>
                <w:sz w:val="18"/>
                <w:szCs w:val="18"/>
                <w:lang w:bidi="ar"/>
              </w:rPr>
              <w:t>17.8</w:t>
            </w:r>
          </w:p>
        </w:tc>
        <w:tc>
          <w:tcPr>
            <w:tcW w:w="276" w:type="pct"/>
            <w:noWrap w:val="0"/>
            <w:vAlign w:val="center"/>
          </w:tcPr>
          <w:p w14:paraId="125ABDBA">
            <w:pPr>
              <w:widowControl/>
              <w:jc w:val="center"/>
              <w:textAlignment w:val="center"/>
              <w:rPr>
                <w:sz w:val="18"/>
                <w:szCs w:val="18"/>
              </w:rPr>
            </w:pPr>
            <w:r>
              <w:rPr>
                <w:kern w:val="0"/>
                <w:sz w:val="18"/>
                <w:szCs w:val="18"/>
                <w:lang w:bidi="ar"/>
              </w:rPr>
              <w:t>18</w:t>
            </w:r>
          </w:p>
        </w:tc>
        <w:tc>
          <w:tcPr>
            <w:tcW w:w="267" w:type="pct"/>
            <w:noWrap w:val="0"/>
            <w:vAlign w:val="center"/>
          </w:tcPr>
          <w:p w14:paraId="1AD77FE3">
            <w:pPr>
              <w:widowControl/>
              <w:jc w:val="center"/>
              <w:textAlignment w:val="center"/>
              <w:rPr>
                <w:sz w:val="18"/>
                <w:szCs w:val="18"/>
              </w:rPr>
            </w:pPr>
            <w:r>
              <w:rPr>
                <w:kern w:val="0"/>
                <w:sz w:val="18"/>
                <w:szCs w:val="18"/>
                <w:lang w:bidi="ar"/>
              </w:rPr>
              <w:t>230</w:t>
            </w:r>
          </w:p>
        </w:tc>
        <w:tc>
          <w:tcPr>
            <w:tcW w:w="293" w:type="pct"/>
            <w:noWrap w:val="0"/>
            <w:vAlign w:val="center"/>
          </w:tcPr>
          <w:p w14:paraId="62323006">
            <w:pPr>
              <w:widowControl/>
              <w:jc w:val="center"/>
              <w:textAlignment w:val="center"/>
              <w:rPr>
                <w:sz w:val="18"/>
                <w:szCs w:val="18"/>
              </w:rPr>
            </w:pPr>
            <w:r>
              <w:rPr>
                <w:kern w:val="0"/>
                <w:sz w:val="18"/>
                <w:szCs w:val="18"/>
                <w:lang w:bidi="ar"/>
              </w:rPr>
              <w:t>0.666</w:t>
            </w:r>
          </w:p>
        </w:tc>
        <w:tc>
          <w:tcPr>
            <w:tcW w:w="302" w:type="pct"/>
            <w:noWrap w:val="0"/>
            <w:vAlign w:val="center"/>
          </w:tcPr>
          <w:p w14:paraId="21ABFCB0">
            <w:pPr>
              <w:widowControl/>
              <w:jc w:val="center"/>
              <w:textAlignment w:val="center"/>
              <w:rPr>
                <w:sz w:val="18"/>
                <w:szCs w:val="18"/>
              </w:rPr>
            </w:pPr>
            <w:r>
              <w:rPr>
                <w:kern w:val="0"/>
                <w:sz w:val="18"/>
                <w:szCs w:val="18"/>
                <w:lang w:bidi="ar"/>
              </w:rPr>
              <w:t>2.86</w:t>
            </w:r>
          </w:p>
        </w:tc>
        <w:tc>
          <w:tcPr>
            <w:tcW w:w="303" w:type="pct"/>
            <w:noWrap/>
            <w:vAlign w:val="center"/>
          </w:tcPr>
          <w:p w14:paraId="554F2F1D">
            <w:pPr>
              <w:jc w:val="center"/>
              <w:rPr>
                <w:sz w:val="18"/>
                <w:szCs w:val="18"/>
              </w:rPr>
            </w:pPr>
            <w:r>
              <w:rPr>
                <w:sz w:val="18"/>
                <w:szCs w:val="18"/>
              </w:rPr>
              <w:t>/</w:t>
            </w:r>
          </w:p>
        </w:tc>
      </w:tr>
      <w:tr w14:paraId="05FFB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149" w:type="pct"/>
            <w:vMerge w:val="continue"/>
            <w:shd w:val="clear" w:color="auto" w:fill="auto"/>
            <w:noWrap w:val="0"/>
            <w:vAlign w:val="center"/>
          </w:tcPr>
          <w:p w14:paraId="20C325CC">
            <w:pPr>
              <w:jc w:val="center"/>
              <w:rPr>
                <w:sz w:val="18"/>
                <w:szCs w:val="18"/>
              </w:rPr>
            </w:pPr>
          </w:p>
        </w:tc>
        <w:tc>
          <w:tcPr>
            <w:tcW w:w="381" w:type="pct"/>
            <w:shd w:val="clear" w:color="auto" w:fill="D7D7D7"/>
            <w:noWrap w:val="0"/>
            <w:vAlign w:val="center"/>
          </w:tcPr>
          <w:p w14:paraId="23B02A86">
            <w:pPr>
              <w:widowControl/>
              <w:jc w:val="center"/>
              <w:textAlignment w:val="center"/>
              <w:rPr>
                <w:sz w:val="18"/>
                <w:szCs w:val="18"/>
              </w:rPr>
            </w:pPr>
            <w:r>
              <w:rPr>
                <w:kern w:val="0"/>
                <w:sz w:val="18"/>
                <w:szCs w:val="18"/>
                <w:lang w:bidi="ar"/>
              </w:rPr>
              <w:t>最大值</w:t>
            </w:r>
          </w:p>
        </w:tc>
        <w:tc>
          <w:tcPr>
            <w:tcW w:w="278" w:type="pct"/>
            <w:noWrap w:val="0"/>
            <w:vAlign w:val="center"/>
          </w:tcPr>
          <w:p w14:paraId="5658DFA3">
            <w:pPr>
              <w:widowControl/>
              <w:jc w:val="center"/>
              <w:textAlignment w:val="center"/>
              <w:rPr>
                <w:sz w:val="18"/>
                <w:szCs w:val="18"/>
              </w:rPr>
            </w:pPr>
            <w:r>
              <w:rPr>
                <w:kern w:val="0"/>
                <w:sz w:val="18"/>
                <w:szCs w:val="18"/>
                <w:lang w:bidi="ar"/>
              </w:rPr>
              <w:t>295</w:t>
            </w:r>
          </w:p>
        </w:tc>
        <w:tc>
          <w:tcPr>
            <w:tcW w:w="218" w:type="pct"/>
            <w:noWrap w:val="0"/>
            <w:vAlign w:val="center"/>
          </w:tcPr>
          <w:p w14:paraId="34543FB8">
            <w:pPr>
              <w:widowControl/>
              <w:jc w:val="center"/>
              <w:textAlignment w:val="center"/>
              <w:rPr>
                <w:sz w:val="18"/>
                <w:szCs w:val="18"/>
              </w:rPr>
            </w:pPr>
            <w:r>
              <w:rPr>
                <w:kern w:val="0"/>
                <w:sz w:val="18"/>
                <w:szCs w:val="18"/>
                <w:lang w:bidi="ar"/>
              </w:rPr>
              <w:t>0.96</w:t>
            </w:r>
          </w:p>
        </w:tc>
        <w:tc>
          <w:tcPr>
            <w:tcW w:w="218" w:type="pct"/>
            <w:noWrap w:val="0"/>
            <w:vAlign w:val="center"/>
          </w:tcPr>
          <w:p w14:paraId="2E1278BF">
            <w:pPr>
              <w:widowControl/>
              <w:jc w:val="center"/>
              <w:textAlignment w:val="center"/>
              <w:rPr>
                <w:sz w:val="18"/>
                <w:szCs w:val="18"/>
              </w:rPr>
            </w:pPr>
            <w:r>
              <w:rPr>
                <w:kern w:val="0"/>
                <w:sz w:val="18"/>
                <w:szCs w:val="18"/>
                <w:lang w:bidi="ar"/>
              </w:rPr>
              <w:t>0</w:t>
            </w:r>
          </w:p>
        </w:tc>
        <w:tc>
          <w:tcPr>
            <w:tcW w:w="333" w:type="pct"/>
            <w:noWrap w:val="0"/>
            <w:vAlign w:val="center"/>
          </w:tcPr>
          <w:p w14:paraId="32F81E43">
            <w:pPr>
              <w:widowControl/>
              <w:jc w:val="center"/>
              <w:textAlignment w:val="center"/>
              <w:rPr>
                <w:sz w:val="18"/>
                <w:szCs w:val="18"/>
              </w:rPr>
            </w:pPr>
            <w:r>
              <w:rPr>
                <w:kern w:val="0"/>
                <w:sz w:val="18"/>
                <w:szCs w:val="18"/>
                <w:lang w:bidi="ar"/>
              </w:rPr>
              <w:t>2</w:t>
            </w:r>
          </w:p>
        </w:tc>
        <w:tc>
          <w:tcPr>
            <w:tcW w:w="359" w:type="pct"/>
            <w:noWrap w:val="0"/>
            <w:vAlign w:val="center"/>
          </w:tcPr>
          <w:p w14:paraId="3CFCBE5E">
            <w:pPr>
              <w:widowControl/>
              <w:jc w:val="center"/>
              <w:textAlignment w:val="center"/>
              <w:rPr>
                <w:sz w:val="18"/>
                <w:szCs w:val="18"/>
              </w:rPr>
            </w:pPr>
            <w:r>
              <w:rPr>
                <w:kern w:val="0"/>
                <w:sz w:val="18"/>
                <w:szCs w:val="18"/>
                <w:lang w:bidi="ar"/>
              </w:rPr>
              <w:t>90</w:t>
            </w:r>
          </w:p>
        </w:tc>
        <w:tc>
          <w:tcPr>
            <w:tcW w:w="355" w:type="pct"/>
            <w:noWrap w:val="0"/>
            <w:vAlign w:val="center"/>
          </w:tcPr>
          <w:p w14:paraId="2006E15D">
            <w:pPr>
              <w:widowControl/>
              <w:jc w:val="center"/>
              <w:textAlignment w:val="center"/>
              <w:rPr>
                <w:sz w:val="18"/>
                <w:szCs w:val="18"/>
              </w:rPr>
            </w:pPr>
            <w:r>
              <w:rPr>
                <w:kern w:val="0"/>
                <w:sz w:val="18"/>
                <w:szCs w:val="18"/>
                <w:lang w:bidi="ar"/>
              </w:rPr>
              <w:t>0</w:t>
            </w:r>
          </w:p>
        </w:tc>
        <w:tc>
          <w:tcPr>
            <w:tcW w:w="284" w:type="pct"/>
            <w:noWrap w:val="0"/>
            <w:vAlign w:val="center"/>
          </w:tcPr>
          <w:p w14:paraId="7B176EC3">
            <w:pPr>
              <w:widowControl/>
              <w:jc w:val="center"/>
              <w:textAlignment w:val="center"/>
              <w:rPr>
                <w:sz w:val="18"/>
                <w:szCs w:val="18"/>
              </w:rPr>
            </w:pPr>
            <w:r>
              <w:rPr>
                <w:kern w:val="0"/>
                <w:sz w:val="18"/>
                <w:szCs w:val="18"/>
                <w:lang w:bidi="ar"/>
              </w:rPr>
              <w:t>2.21</w:t>
            </w:r>
          </w:p>
        </w:tc>
        <w:tc>
          <w:tcPr>
            <w:tcW w:w="359" w:type="pct"/>
            <w:noWrap w:val="0"/>
            <w:vAlign w:val="center"/>
          </w:tcPr>
          <w:p w14:paraId="188FFCCD">
            <w:pPr>
              <w:widowControl/>
              <w:jc w:val="center"/>
              <w:textAlignment w:val="center"/>
              <w:rPr>
                <w:sz w:val="18"/>
                <w:szCs w:val="18"/>
              </w:rPr>
            </w:pPr>
            <w:r>
              <w:rPr>
                <w:kern w:val="0"/>
                <w:sz w:val="18"/>
                <w:szCs w:val="18"/>
                <w:lang w:bidi="ar"/>
              </w:rPr>
              <w:t>1.5</w:t>
            </w:r>
          </w:p>
        </w:tc>
        <w:tc>
          <w:tcPr>
            <w:tcW w:w="315" w:type="pct"/>
            <w:noWrap w:val="0"/>
            <w:vAlign w:val="center"/>
          </w:tcPr>
          <w:p w14:paraId="4AA213A3">
            <w:pPr>
              <w:widowControl/>
              <w:jc w:val="center"/>
              <w:textAlignment w:val="center"/>
              <w:rPr>
                <w:sz w:val="18"/>
                <w:szCs w:val="18"/>
              </w:rPr>
            </w:pPr>
            <w:r>
              <w:rPr>
                <w:kern w:val="0"/>
                <w:sz w:val="18"/>
                <w:szCs w:val="18"/>
                <w:lang w:bidi="ar"/>
              </w:rPr>
              <w:t>27.9</w:t>
            </w:r>
          </w:p>
        </w:tc>
        <w:tc>
          <w:tcPr>
            <w:tcW w:w="302" w:type="pct"/>
            <w:noWrap w:val="0"/>
            <w:vAlign w:val="center"/>
          </w:tcPr>
          <w:p w14:paraId="7919B801">
            <w:pPr>
              <w:widowControl/>
              <w:jc w:val="center"/>
              <w:textAlignment w:val="center"/>
              <w:rPr>
                <w:sz w:val="18"/>
                <w:szCs w:val="18"/>
              </w:rPr>
            </w:pPr>
            <w:r>
              <w:rPr>
                <w:kern w:val="0"/>
                <w:sz w:val="18"/>
                <w:szCs w:val="18"/>
                <w:lang w:bidi="ar"/>
              </w:rPr>
              <w:t>18.5</w:t>
            </w:r>
          </w:p>
        </w:tc>
        <w:tc>
          <w:tcPr>
            <w:tcW w:w="276" w:type="pct"/>
            <w:noWrap w:val="0"/>
            <w:vAlign w:val="center"/>
          </w:tcPr>
          <w:p w14:paraId="6C5A3EA0">
            <w:pPr>
              <w:widowControl/>
              <w:jc w:val="center"/>
              <w:textAlignment w:val="center"/>
              <w:rPr>
                <w:sz w:val="18"/>
                <w:szCs w:val="18"/>
              </w:rPr>
            </w:pPr>
            <w:r>
              <w:rPr>
                <w:kern w:val="0"/>
                <w:sz w:val="18"/>
                <w:szCs w:val="18"/>
                <w:lang w:bidi="ar"/>
              </w:rPr>
              <w:t>20</w:t>
            </w:r>
          </w:p>
        </w:tc>
        <w:tc>
          <w:tcPr>
            <w:tcW w:w="267" w:type="pct"/>
            <w:noWrap w:val="0"/>
            <w:vAlign w:val="center"/>
          </w:tcPr>
          <w:p w14:paraId="4056F89A">
            <w:pPr>
              <w:widowControl/>
              <w:jc w:val="center"/>
              <w:textAlignment w:val="center"/>
              <w:rPr>
                <w:sz w:val="18"/>
                <w:szCs w:val="18"/>
              </w:rPr>
            </w:pPr>
            <w:r>
              <w:rPr>
                <w:kern w:val="0"/>
                <w:sz w:val="18"/>
                <w:szCs w:val="18"/>
                <w:lang w:bidi="ar"/>
              </w:rPr>
              <w:t>230</w:t>
            </w:r>
          </w:p>
        </w:tc>
        <w:tc>
          <w:tcPr>
            <w:tcW w:w="293" w:type="pct"/>
            <w:noWrap w:val="0"/>
            <w:vAlign w:val="center"/>
          </w:tcPr>
          <w:p w14:paraId="5ABB6A33">
            <w:pPr>
              <w:widowControl/>
              <w:jc w:val="center"/>
              <w:textAlignment w:val="center"/>
              <w:rPr>
                <w:sz w:val="18"/>
                <w:szCs w:val="18"/>
              </w:rPr>
            </w:pPr>
            <w:r>
              <w:rPr>
                <w:kern w:val="0"/>
                <w:sz w:val="18"/>
                <w:szCs w:val="18"/>
                <w:lang w:bidi="ar"/>
              </w:rPr>
              <w:t>0.666</w:t>
            </w:r>
          </w:p>
        </w:tc>
        <w:tc>
          <w:tcPr>
            <w:tcW w:w="302" w:type="pct"/>
            <w:noWrap w:val="0"/>
            <w:vAlign w:val="center"/>
          </w:tcPr>
          <w:p w14:paraId="5B9F570A">
            <w:pPr>
              <w:widowControl/>
              <w:jc w:val="center"/>
              <w:textAlignment w:val="center"/>
              <w:rPr>
                <w:sz w:val="18"/>
                <w:szCs w:val="18"/>
              </w:rPr>
            </w:pPr>
            <w:r>
              <w:rPr>
                <w:kern w:val="0"/>
                <w:sz w:val="18"/>
                <w:szCs w:val="18"/>
                <w:lang w:bidi="ar"/>
              </w:rPr>
              <w:t>2.86</w:t>
            </w:r>
          </w:p>
        </w:tc>
        <w:tc>
          <w:tcPr>
            <w:tcW w:w="303" w:type="pct"/>
            <w:noWrap/>
            <w:vAlign w:val="center"/>
          </w:tcPr>
          <w:p w14:paraId="6A055FDE">
            <w:pPr>
              <w:jc w:val="center"/>
              <w:rPr>
                <w:sz w:val="18"/>
                <w:szCs w:val="18"/>
              </w:rPr>
            </w:pPr>
            <w:r>
              <w:rPr>
                <w:sz w:val="18"/>
                <w:szCs w:val="18"/>
              </w:rPr>
              <w:t>/</w:t>
            </w:r>
          </w:p>
        </w:tc>
      </w:tr>
      <w:tr w14:paraId="2B9B5D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0797EA95">
            <w:pPr>
              <w:jc w:val="center"/>
              <w:rPr>
                <w:sz w:val="18"/>
                <w:szCs w:val="18"/>
              </w:rPr>
            </w:pPr>
          </w:p>
        </w:tc>
        <w:tc>
          <w:tcPr>
            <w:tcW w:w="381" w:type="pct"/>
            <w:shd w:val="clear" w:color="auto" w:fill="D7D7D7"/>
            <w:noWrap w:val="0"/>
            <w:vAlign w:val="center"/>
          </w:tcPr>
          <w:p w14:paraId="421B63F2">
            <w:pPr>
              <w:widowControl/>
              <w:jc w:val="center"/>
              <w:textAlignment w:val="center"/>
              <w:rPr>
                <w:sz w:val="18"/>
                <w:szCs w:val="18"/>
              </w:rPr>
            </w:pPr>
            <w:r>
              <w:rPr>
                <w:kern w:val="0"/>
                <w:sz w:val="18"/>
                <w:szCs w:val="18"/>
                <w:lang w:bidi="ar"/>
              </w:rPr>
              <w:t>标准</w:t>
            </w:r>
          </w:p>
        </w:tc>
        <w:tc>
          <w:tcPr>
            <w:tcW w:w="278" w:type="pct"/>
            <w:noWrap/>
            <w:vAlign w:val="center"/>
          </w:tcPr>
          <w:p w14:paraId="5DA77F26">
            <w:pPr>
              <w:widowControl/>
              <w:jc w:val="center"/>
              <w:textAlignment w:val="center"/>
              <w:rPr>
                <w:sz w:val="18"/>
                <w:szCs w:val="18"/>
              </w:rPr>
            </w:pPr>
            <w:r>
              <w:rPr>
                <w:kern w:val="0"/>
                <w:sz w:val="18"/>
                <w:szCs w:val="18"/>
                <w:lang w:bidi="ar"/>
              </w:rPr>
              <w:t>1000</w:t>
            </w:r>
          </w:p>
        </w:tc>
        <w:tc>
          <w:tcPr>
            <w:tcW w:w="218" w:type="pct"/>
            <w:noWrap/>
            <w:vAlign w:val="center"/>
          </w:tcPr>
          <w:p w14:paraId="20993B1C">
            <w:pPr>
              <w:widowControl/>
              <w:jc w:val="center"/>
              <w:textAlignment w:val="center"/>
              <w:rPr>
                <w:sz w:val="18"/>
                <w:szCs w:val="18"/>
              </w:rPr>
            </w:pPr>
            <w:r>
              <w:rPr>
                <w:kern w:val="0"/>
                <w:sz w:val="18"/>
                <w:szCs w:val="18"/>
                <w:lang w:bidi="ar"/>
              </w:rPr>
              <w:t>3</w:t>
            </w:r>
          </w:p>
        </w:tc>
        <w:tc>
          <w:tcPr>
            <w:tcW w:w="218" w:type="pct"/>
            <w:noWrap/>
            <w:vAlign w:val="center"/>
          </w:tcPr>
          <w:p w14:paraId="05763219">
            <w:pPr>
              <w:widowControl/>
              <w:jc w:val="center"/>
              <w:textAlignment w:val="center"/>
              <w:rPr>
                <w:sz w:val="18"/>
                <w:szCs w:val="18"/>
              </w:rPr>
            </w:pPr>
            <w:r>
              <w:rPr>
                <w:kern w:val="0"/>
                <w:sz w:val="18"/>
                <w:szCs w:val="18"/>
                <w:lang w:bidi="ar"/>
              </w:rPr>
              <w:t>250</w:t>
            </w:r>
          </w:p>
        </w:tc>
        <w:tc>
          <w:tcPr>
            <w:tcW w:w="333" w:type="pct"/>
            <w:noWrap/>
            <w:vAlign w:val="center"/>
          </w:tcPr>
          <w:p w14:paraId="418DCCD1">
            <w:pPr>
              <w:widowControl/>
              <w:jc w:val="center"/>
              <w:textAlignment w:val="center"/>
              <w:rPr>
                <w:sz w:val="18"/>
                <w:szCs w:val="18"/>
              </w:rPr>
            </w:pPr>
            <w:r>
              <w:rPr>
                <w:kern w:val="0"/>
                <w:sz w:val="18"/>
                <w:szCs w:val="18"/>
                <w:lang w:bidi="ar"/>
              </w:rPr>
              <w:t>3</w:t>
            </w:r>
          </w:p>
        </w:tc>
        <w:tc>
          <w:tcPr>
            <w:tcW w:w="359" w:type="pct"/>
            <w:noWrap/>
            <w:vAlign w:val="center"/>
          </w:tcPr>
          <w:p w14:paraId="143E8021">
            <w:pPr>
              <w:widowControl/>
              <w:jc w:val="center"/>
              <w:textAlignment w:val="center"/>
              <w:rPr>
                <w:sz w:val="18"/>
                <w:szCs w:val="18"/>
              </w:rPr>
            </w:pPr>
            <w:r>
              <w:rPr>
                <w:kern w:val="0"/>
                <w:sz w:val="18"/>
                <w:szCs w:val="18"/>
                <w:lang w:bidi="ar"/>
              </w:rPr>
              <w:t>100</w:t>
            </w:r>
          </w:p>
        </w:tc>
        <w:tc>
          <w:tcPr>
            <w:tcW w:w="355" w:type="pct"/>
            <w:noWrap/>
            <w:vAlign w:val="center"/>
          </w:tcPr>
          <w:p w14:paraId="480738DD">
            <w:pPr>
              <w:widowControl/>
              <w:jc w:val="center"/>
              <w:textAlignment w:val="center"/>
              <w:rPr>
                <w:sz w:val="18"/>
                <w:szCs w:val="18"/>
              </w:rPr>
            </w:pPr>
            <w:r>
              <w:rPr>
                <w:kern w:val="0"/>
                <w:sz w:val="18"/>
                <w:szCs w:val="18"/>
                <w:lang w:bidi="ar"/>
              </w:rPr>
              <w:t>1</w:t>
            </w:r>
          </w:p>
        </w:tc>
        <w:tc>
          <w:tcPr>
            <w:tcW w:w="284" w:type="pct"/>
            <w:noWrap/>
            <w:vAlign w:val="center"/>
          </w:tcPr>
          <w:p w14:paraId="0772ECF8">
            <w:pPr>
              <w:jc w:val="center"/>
              <w:rPr>
                <w:sz w:val="18"/>
                <w:szCs w:val="18"/>
              </w:rPr>
            </w:pPr>
            <w:r>
              <w:rPr>
                <w:sz w:val="18"/>
                <w:szCs w:val="18"/>
              </w:rPr>
              <w:t>/</w:t>
            </w:r>
          </w:p>
        </w:tc>
        <w:tc>
          <w:tcPr>
            <w:tcW w:w="359" w:type="pct"/>
            <w:noWrap/>
            <w:vAlign w:val="center"/>
          </w:tcPr>
          <w:p w14:paraId="0B475630">
            <w:pPr>
              <w:widowControl/>
              <w:jc w:val="center"/>
              <w:textAlignment w:val="center"/>
              <w:rPr>
                <w:sz w:val="18"/>
                <w:szCs w:val="18"/>
              </w:rPr>
            </w:pPr>
            <w:r>
              <w:rPr>
                <w:kern w:val="0"/>
                <w:sz w:val="18"/>
                <w:szCs w:val="18"/>
                <w:lang w:bidi="ar"/>
              </w:rPr>
              <w:t>200</w:t>
            </w:r>
          </w:p>
        </w:tc>
        <w:tc>
          <w:tcPr>
            <w:tcW w:w="315" w:type="pct"/>
            <w:noWrap/>
            <w:vAlign w:val="center"/>
          </w:tcPr>
          <w:p w14:paraId="376FA9E9">
            <w:pPr>
              <w:jc w:val="center"/>
              <w:rPr>
                <w:sz w:val="18"/>
                <w:szCs w:val="18"/>
              </w:rPr>
            </w:pPr>
            <w:r>
              <w:rPr>
                <w:sz w:val="18"/>
                <w:szCs w:val="18"/>
              </w:rPr>
              <w:t>/</w:t>
            </w:r>
          </w:p>
        </w:tc>
        <w:tc>
          <w:tcPr>
            <w:tcW w:w="302" w:type="pct"/>
            <w:noWrap/>
            <w:vAlign w:val="center"/>
          </w:tcPr>
          <w:p w14:paraId="0F0BBF25">
            <w:pPr>
              <w:jc w:val="center"/>
              <w:rPr>
                <w:sz w:val="18"/>
                <w:szCs w:val="18"/>
              </w:rPr>
            </w:pPr>
            <w:r>
              <w:rPr>
                <w:sz w:val="18"/>
                <w:szCs w:val="18"/>
              </w:rPr>
              <w:t>/</w:t>
            </w:r>
          </w:p>
        </w:tc>
        <w:tc>
          <w:tcPr>
            <w:tcW w:w="276" w:type="pct"/>
            <w:noWrap/>
            <w:vAlign w:val="center"/>
          </w:tcPr>
          <w:p w14:paraId="748BC7A4">
            <w:pPr>
              <w:jc w:val="center"/>
              <w:rPr>
                <w:sz w:val="18"/>
                <w:szCs w:val="18"/>
              </w:rPr>
            </w:pPr>
            <w:r>
              <w:rPr>
                <w:sz w:val="18"/>
                <w:szCs w:val="18"/>
              </w:rPr>
              <w:t>/</w:t>
            </w:r>
          </w:p>
        </w:tc>
        <w:tc>
          <w:tcPr>
            <w:tcW w:w="267" w:type="pct"/>
            <w:noWrap/>
            <w:vAlign w:val="center"/>
          </w:tcPr>
          <w:p w14:paraId="42FF1A0D">
            <w:pPr>
              <w:jc w:val="center"/>
              <w:rPr>
                <w:sz w:val="18"/>
                <w:szCs w:val="18"/>
              </w:rPr>
            </w:pPr>
            <w:r>
              <w:rPr>
                <w:sz w:val="18"/>
                <w:szCs w:val="18"/>
              </w:rPr>
              <w:t>/</w:t>
            </w:r>
          </w:p>
        </w:tc>
        <w:tc>
          <w:tcPr>
            <w:tcW w:w="293" w:type="pct"/>
            <w:noWrap/>
            <w:vAlign w:val="center"/>
          </w:tcPr>
          <w:p w14:paraId="55691E8D">
            <w:pPr>
              <w:widowControl/>
              <w:jc w:val="center"/>
              <w:textAlignment w:val="center"/>
              <w:rPr>
                <w:sz w:val="18"/>
                <w:szCs w:val="18"/>
              </w:rPr>
            </w:pPr>
            <w:r>
              <w:rPr>
                <w:kern w:val="0"/>
                <w:sz w:val="18"/>
                <w:szCs w:val="18"/>
                <w:lang w:bidi="ar"/>
              </w:rPr>
              <w:t>250</w:t>
            </w:r>
          </w:p>
        </w:tc>
        <w:tc>
          <w:tcPr>
            <w:tcW w:w="302" w:type="pct"/>
            <w:noWrap/>
            <w:vAlign w:val="center"/>
          </w:tcPr>
          <w:p w14:paraId="29730726">
            <w:pPr>
              <w:widowControl/>
              <w:jc w:val="center"/>
              <w:textAlignment w:val="center"/>
              <w:rPr>
                <w:sz w:val="18"/>
                <w:szCs w:val="18"/>
              </w:rPr>
            </w:pPr>
            <w:r>
              <w:rPr>
                <w:kern w:val="0"/>
                <w:sz w:val="18"/>
                <w:szCs w:val="18"/>
                <w:lang w:bidi="ar"/>
              </w:rPr>
              <w:t>250</w:t>
            </w:r>
          </w:p>
        </w:tc>
        <w:tc>
          <w:tcPr>
            <w:tcW w:w="303" w:type="pct"/>
            <w:noWrap/>
            <w:vAlign w:val="center"/>
          </w:tcPr>
          <w:p w14:paraId="7E0E4BCA">
            <w:pPr>
              <w:jc w:val="center"/>
              <w:rPr>
                <w:sz w:val="18"/>
                <w:szCs w:val="18"/>
              </w:rPr>
            </w:pPr>
            <w:r>
              <w:rPr>
                <w:sz w:val="18"/>
                <w:szCs w:val="18"/>
              </w:rPr>
              <w:t>/</w:t>
            </w:r>
          </w:p>
        </w:tc>
      </w:tr>
      <w:tr w14:paraId="44D584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 w:hRule="atLeast"/>
        </w:trPr>
        <w:tc>
          <w:tcPr>
            <w:tcW w:w="149" w:type="pct"/>
            <w:vMerge w:val="continue"/>
            <w:shd w:val="clear" w:color="auto" w:fill="auto"/>
            <w:noWrap w:val="0"/>
            <w:vAlign w:val="center"/>
          </w:tcPr>
          <w:p w14:paraId="02C8986C">
            <w:pPr>
              <w:jc w:val="center"/>
              <w:rPr>
                <w:sz w:val="18"/>
                <w:szCs w:val="18"/>
              </w:rPr>
            </w:pPr>
          </w:p>
        </w:tc>
        <w:tc>
          <w:tcPr>
            <w:tcW w:w="381" w:type="pct"/>
            <w:shd w:val="clear" w:color="auto" w:fill="D7D7D7"/>
            <w:noWrap w:val="0"/>
            <w:vAlign w:val="center"/>
          </w:tcPr>
          <w:p w14:paraId="2BB152C6">
            <w:pPr>
              <w:widowControl/>
              <w:jc w:val="center"/>
              <w:textAlignment w:val="center"/>
              <w:rPr>
                <w:sz w:val="18"/>
                <w:szCs w:val="18"/>
              </w:rPr>
            </w:pPr>
            <w:r>
              <w:rPr>
                <w:kern w:val="0"/>
                <w:sz w:val="18"/>
                <w:szCs w:val="18"/>
                <w:lang w:bidi="ar"/>
              </w:rPr>
              <w:t>最大标准指数</w:t>
            </w:r>
          </w:p>
        </w:tc>
        <w:tc>
          <w:tcPr>
            <w:tcW w:w="278" w:type="pct"/>
            <w:noWrap/>
            <w:vAlign w:val="center"/>
          </w:tcPr>
          <w:p w14:paraId="2A5AB50F">
            <w:pPr>
              <w:widowControl/>
              <w:jc w:val="center"/>
              <w:textAlignment w:val="center"/>
              <w:rPr>
                <w:sz w:val="18"/>
                <w:szCs w:val="18"/>
              </w:rPr>
            </w:pPr>
            <w:r>
              <w:rPr>
                <w:kern w:val="0"/>
                <w:sz w:val="18"/>
                <w:szCs w:val="18"/>
                <w:lang w:bidi="ar"/>
              </w:rPr>
              <w:t>0.30</w:t>
            </w:r>
          </w:p>
        </w:tc>
        <w:tc>
          <w:tcPr>
            <w:tcW w:w="218" w:type="pct"/>
            <w:noWrap/>
            <w:vAlign w:val="center"/>
          </w:tcPr>
          <w:p w14:paraId="024F8EE8">
            <w:pPr>
              <w:widowControl/>
              <w:jc w:val="center"/>
              <w:textAlignment w:val="center"/>
              <w:rPr>
                <w:sz w:val="18"/>
                <w:szCs w:val="18"/>
              </w:rPr>
            </w:pPr>
            <w:r>
              <w:rPr>
                <w:kern w:val="0"/>
                <w:sz w:val="18"/>
                <w:szCs w:val="18"/>
                <w:lang w:bidi="ar"/>
              </w:rPr>
              <w:t>0.32</w:t>
            </w:r>
          </w:p>
        </w:tc>
        <w:tc>
          <w:tcPr>
            <w:tcW w:w="218" w:type="pct"/>
            <w:noWrap/>
            <w:vAlign w:val="center"/>
          </w:tcPr>
          <w:p w14:paraId="2E65A822">
            <w:pPr>
              <w:widowControl/>
              <w:jc w:val="center"/>
              <w:textAlignment w:val="center"/>
              <w:rPr>
                <w:sz w:val="18"/>
                <w:szCs w:val="18"/>
              </w:rPr>
            </w:pPr>
            <w:r>
              <w:rPr>
                <w:kern w:val="0"/>
                <w:sz w:val="18"/>
                <w:szCs w:val="18"/>
                <w:lang w:bidi="ar"/>
              </w:rPr>
              <w:t>0.00</w:t>
            </w:r>
          </w:p>
        </w:tc>
        <w:tc>
          <w:tcPr>
            <w:tcW w:w="333" w:type="pct"/>
            <w:noWrap/>
            <w:vAlign w:val="center"/>
          </w:tcPr>
          <w:p w14:paraId="56014ABC">
            <w:pPr>
              <w:widowControl/>
              <w:jc w:val="center"/>
              <w:textAlignment w:val="center"/>
              <w:rPr>
                <w:sz w:val="18"/>
                <w:szCs w:val="18"/>
              </w:rPr>
            </w:pPr>
            <w:r>
              <w:rPr>
                <w:kern w:val="0"/>
                <w:sz w:val="18"/>
                <w:szCs w:val="18"/>
                <w:lang w:bidi="ar"/>
              </w:rPr>
              <w:t>0.67</w:t>
            </w:r>
          </w:p>
        </w:tc>
        <w:tc>
          <w:tcPr>
            <w:tcW w:w="359" w:type="pct"/>
            <w:noWrap/>
            <w:vAlign w:val="center"/>
          </w:tcPr>
          <w:p w14:paraId="3B1641E9">
            <w:pPr>
              <w:widowControl/>
              <w:jc w:val="center"/>
              <w:textAlignment w:val="center"/>
              <w:rPr>
                <w:sz w:val="18"/>
                <w:szCs w:val="18"/>
              </w:rPr>
            </w:pPr>
            <w:r>
              <w:rPr>
                <w:kern w:val="0"/>
                <w:sz w:val="18"/>
                <w:szCs w:val="18"/>
                <w:lang w:bidi="ar"/>
              </w:rPr>
              <w:t>0.90</w:t>
            </w:r>
          </w:p>
        </w:tc>
        <w:tc>
          <w:tcPr>
            <w:tcW w:w="355" w:type="pct"/>
            <w:noWrap/>
            <w:vAlign w:val="center"/>
          </w:tcPr>
          <w:p w14:paraId="44B4A5CA">
            <w:pPr>
              <w:widowControl/>
              <w:jc w:val="center"/>
              <w:textAlignment w:val="center"/>
              <w:rPr>
                <w:sz w:val="18"/>
                <w:szCs w:val="18"/>
              </w:rPr>
            </w:pPr>
            <w:r>
              <w:rPr>
                <w:sz w:val="18"/>
                <w:szCs w:val="18"/>
              </w:rPr>
              <w:t>/</w:t>
            </w:r>
          </w:p>
        </w:tc>
        <w:tc>
          <w:tcPr>
            <w:tcW w:w="284" w:type="pct"/>
            <w:noWrap/>
            <w:vAlign w:val="center"/>
          </w:tcPr>
          <w:p w14:paraId="14184C3D">
            <w:pPr>
              <w:jc w:val="center"/>
              <w:rPr>
                <w:sz w:val="18"/>
                <w:szCs w:val="18"/>
              </w:rPr>
            </w:pPr>
            <w:r>
              <w:rPr>
                <w:sz w:val="18"/>
                <w:szCs w:val="18"/>
              </w:rPr>
              <w:t>/</w:t>
            </w:r>
          </w:p>
        </w:tc>
        <w:tc>
          <w:tcPr>
            <w:tcW w:w="359" w:type="pct"/>
            <w:noWrap/>
            <w:vAlign w:val="center"/>
          </w:tcPr>
          <w:p w14:paraId="03C8E96A">
            <w:pPr>
              <w:jc w:val="center"/>
              <w:rPr>
                <w:sz w:val="18"/>
                <w:szCs w:val="18"/>
              </w:rPr>
            </w:pPr>
            <w:r>
              <w:rPr>
                <w:sz w:val="18"/>
                <w:szCs w:val="18"/>
              </w:rPr>
              <w:t>/</w:t>
            </w:r>
          </w:p>
        </w:tc>
        <w:tc>
          <w:tcPr>
            <w:tcW w:w="315" w:type="pct"/>
            <w:noWrap/>
            <w:vAlign w:val="center"/>
          </w:tcPr>
          <w:p w14:paraId="71151B8D">
            <w:pPr>
              <w:jc w:val="center"/>
              <w:rPr>
                <w:sz w:val="18"/>
                <w:szCs w:val="18"/>
              </w:rPr>
            </w:pPr>
            <w:r>
              <w:rPr>
                <w:sz w:val="18"/>
                <w:szCs w:val="18"/>
              </w:rPr>
              <w:t>/</w:t>
            </w:r>
          </w:p>
        </w:tc>
        <w:tc>
          <w:tcPr>
            <w:tcW w:w="302" w:type="pct"/>
            <w:noWrap/>
            <w:vAlign w:val="center"/>
          </w:tcPr>
          <w:p w14:paraId="05128A37">
            <w:pPr>
              <w:jc w:val="center"/>
              <w:rPr>
                <w:sz w:val="18"/>
                <w:szCs w:val="18"/>
              </w:rPr>
            </w:pPr>
            <w:r>
              <w:rPr>
                <w:sz w:val="18"/>
                <w:szCs w:val="18"/>
              </w:rPr>
              <w:t>/</w:t>
            </w:r>
          </w:p>
        </w:tc>
        <w:tc>
          <w:tcPr>
            <w:tcW w:w="276" w:type="pct"/>
            <w:noWrap/>
            <w:vAlign w:val="center"/>
          </w:tcPr>
          <w:p w14:paraId="6141AE8D">
            <w:pPr>
              <w:jc w:val="center"/>
              <w:rPr>
                <w:sz w:val="18"/>
                <w:szCs w:val="18"/>
              </w:rPr>
            </w:pPr>
            <w:r>
              <w:rPr>
                <w:sz w:val="18"/>
                <w:szCs w:val="18"/>
              </w:rPr>
              <w:t>/</w:t>
            </w:r>
          </w:p>
        </w:tc>
        <w:tc>
          <w:tcPr>
            <w:tcW w:w="267" w:type="pct"/>
            <w:noWrap/>
            <w:vAlign w:val="center"/>
          </w:tcPr>
          <w:p w14:paraId="530AF0B2">
            <w:pPr>
              <w:jc w:val="center"/>
              <w:rPr>
                <w:sz w:val="18"/>
                <w:szCs w:val="18"/>
              </w:rPr>
            </w:pPr>
            <w:r>
              <w:rPr>
                <w:sz w:val="18"/>
                <w:szCs w:val="18"/>
              </w:rPr>
              <w:t>/</w:t>
            </w:r>
          </w:p>
        </w:tc>
        <w:tc>
          <w:tcPr>
            <w:tcW w:w="293" w:type="pct"/>
            <w:noWrap/>
            <w:vAlign w:val="center"/>
          </w:tcPr>
          <w:p w14:paraId="76A81321">
            <w:pPr>
              <w:jc w:val="center"/>
              <w:rPr>
                <w:sz w:val="18"/>
                <w:szCs w:val="18"/>
              </w:rPr>
            </w:pPr>
            <w:r>
              <w:rPr>
                <w:sz w:val="18"/>
                <w:szCs w:val="18"/>
              </w:rPr>
              <w:t>/</w:t>
            </w:r>
          </w:p>
        </w:tc>
        <w:tc>
          <w:tcPr>
            <w:tcW w:w="302" w:type="pct"/>
            <w:noWrap/>
            <w:vAlign w:val="center"/>
          </w:tcPr>
          <w:p w14:paraId="5C2F8D08">
            <w:pPr>
              <w:jc w:val="center"/>
              <w:rPr>
                <w:sz w:val="18"/>
                <w:szCs w:val="18"/>
              </w:rPr>
            </w:pPr>
            <w:r>
              <w:rPr>
                <w:sz w:val="18"/>
                <w:szCs w:val="18"/>
              </w:rPr>
              <w:t>/</w:t>
            </w:r>
          </w:p>
        </w:tc>
        <w:tc>
          <w:tcPr>
            <w:tcW w:w="303" w:type="pct"/>
            <w:noWrap/>
            <w:vAlign w:val="center"/>
          </w:tcPr>
          <w:p w14:paraId="356C8ACA">
            <w:pPr>
              <w:jc w:val="center"/>
              <w:rPr>
                <w:sz w:val="18"/>
                <w:szCs w:val="18"/>
              </w:rPr>
            </w:pPr>
            <w:r>
              <w:rPr>
                <w:sz w:val="18"/>
                <w:szCs w:val="18"/>
              </w:rPr>
              <w:t>/</w:t>
            </w:r>
          </w:p>
        </w:tc>
      </w:tr>
      <w:tr w14:paraId="06D300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5" w:hRule="atLeast"/>
        </w:trPr>
        <w:tc>
          <w:tcPr>
            <w:tcW w:w="149" w:type="pct"/>
            <w:vMerge w:val="continue"/>
            <w:shd w:val="clear" w:color="auto" w:fill="auto"/>
            <w:noWrap w:val="0"/>
            <w:vAlign w:val="center"/>
          </w:tcPr>
          <w:p w14:paraId="74B77A00">
            <w:pPr>
              <w:jc w:val="center"/>
              <w:rPr>
                <w:sz w:val="18"/>
                <w:szCs w:val="18"/>
              </w:rPr>
            </w:pPr>
          </w:p>
        </w:tc>
        <w:tc>
          <w:tcPr>
            <w:tcW w:w="381" w:type="pct"/>
            <w:shd w:val="clear" w:color="auto" w:fill="D7D7D7"/>
            <w:noWrap w:val="0"/>
            <w:vAlign w:val="center"/>
          </w:tcPr>
          <w:p w14:paraId="73F0E003">
            <w:pPr>
              <w:widowControl/>
              <w:jc w:val="center"/>
              <w:textAlignment w:val="center"/>
              <w:rPr>
                <w:sz w:val="18"/>
                <w:szCs w:val="18"/>
              </w:rPr>
            </w:pPr>
            <w:r>
              <w:rPr>
                <w:kern w:val="0"/>
                <w:sz w:val="18"/>
                <w:szCs w:val="18"/>
                <w:lang w:bidi="ar"/>
              </w:rPr>
              <w:t>达标情况</w:t>
            </w:r>
          </w:p>
        </w:tc>
        <w:tc>
          <w:tcPr>
            <w:tcW w:w="278" w:type="pct"/>
            <w:noWrap/>
            <w:vAlign w:val="center"/>
          </w:tcPr>
          <w:p w14:paraId="1276A0A9">
            <w:pPr>
              <w:widowControl/>
              <w:jc w:val="center"/>
              <w:textAlignment w:val="center"/>
              <w:rPr>
                <w:sz w:val="18"/>
                <w:szCs w:val="18"/>
              </w:rPr>
            </w:pPr>
            <w:r>
              <w:rPr>
                <w:kern w:val="0"/>
                <w:sz w:val="18"/>
                <w:szCs w:val="18"/>
                <w:lang w:bidi="ar"/>
              </w:rPr>
              <w:t>达标</w:t>
            </w:r>
          </w:p>
        </w:tc>
        <w:tc>
          <w:tcPr>
            <w:tcW w:w="218" w:type="pct"/>
            <w:noWrap/>
            <w:vAlign w:val="center"/>
          </w:tcPr>
          <w:p w14:paraId="07180E67">
            <w:pPr>
              <w:widowControl/>
              <w:jc w:val="center"/>
              <w:textAlignment w:val="center"/>
              <w:rPr>
                <w:sz w:val="18"/>
                <w:szCs w:val="18"/>
              </w:rPr>
            </w:pPr>
            <w:r>
              <w:rPr>
                <w:kern w:val="0"/>
                <w:sz w:val="18"/>
                <w:szCs w:val="18"/>
                <w:lang w:bidi="ar"/>
              </w:rPr>
              <w:t>达标</w:t>
            </w:r>
          </w:p>
        </w:tc>
        <w:tc>
          <w:tcPr>
            <w:tcW w:w="218" w:type="pct"/>
            <w:noWrap/>
            <w:vAlign w:val="center"/>
          </w:tcPr>
          <w:p w14:paraId="6AC75AB2">
            <w:pPr>
              <w:widowControl/>
              <w:jc w:val="center"/>
              <w:textAlignment w:val="center"/>
              <w:rPr>
                <w:sz w:val="18"/>
                <w:szCs w:val="18"/>
              </w:rPr>
            </w:pPr>
            <w:r>
              <w:rPr>
                <w:kern w:val="0"/>
                <w:sz w:val="18"/>
                <w:szCs w:val="18"/>
                <w:lang w:bidi="ar"/>
              </w:rPr>
              <w:t>达标</w:t>
            </w:r>
          </w:p>
        </w:tc>
        <w:tc>
          <w:tcPr>
            <w:tcW w:w="333" w:type="pct"/>
            <w:noWrap/>
            <w:vAlign w:val="center"/>
          </w:tcPr>
          <w:p w14:paraId="7BF34E8D">
            <w:pPr>
              <w:widowControl/>
              <w:jc w:val="center"/>
              <w:textAlignment w:val="center"/>
              <w:rPr>
                <w:sz w:val="18"/>
                <w:szCs w:val="18"/>
              </w:rPr>
            </w:pPr>
            <w:r>
              <w:rPr>
                <w:kern w:val="0"/>
                <w:sz w:val="18"/>
                <w:szCs w:val="18"/>
                <w:lang w:bidi="ar"/>
              </w:rPr>
              <w:t>达标</w:t>
            </w:r>
          </w:p>
        </w:tc>
        <w:tc>
          <w:tcPr>
            <w:tcW w:w="359" w:type="pct"/>
            <w:noWrap/>
            <w:vAlign w:val="center"/>
          </w:tcPr>
          <w:p w14:paraId="45D3DA61">
            <w:pPr>
              <w:widowControl/>
              <w:jc w:val="center"/>
              <w:textAlignment w:val="center"/>
              <w:rPr>
                <w:sz w:val="18"/>
                <w:szCs w:val="18"/>
              </w:rPr>
            </w:pPr>
            <w:r>
              <w:rPr>
                <w:kern w:val="0"/>
                <w:sz w:val="18"/>
                <w:szCs w:val="18"/>
                <w:lang w:bidi="ar"/>
              </w:rPr>
              <w:t>达标</w:t>
            </w:r>
          </w:p>
        </w:tc>
        <w:tc>
          <w:tcPr>
            <w:tcW w:w="355" w:type="pct"/>
            <w:noWrap/>
            <w:vAlign w:val="center"/>
          </w:tcPr>
          <w:p w14:paraId="55543860">
            <w:pPr>
              <w:widowControl/>
              <w:jc w:val="center"/>
              <w:textAlignment w:val="center"/>
              <w:rPr>
                <w:sz w:val="18"/>
                <w:szCs w:val="18"/>
              </w:rPr>
            </w:pPr>
            <w:r>
              <w:rPr>
                <w:kern w:val="0"/>
                <w:sz w:val="18"/>
                <w:szCs w:val="18"/>
                <w:lang w:bidi="ar"/>
              </w:rPr>
              <w:t>达标</w:t>
            </w:r>
          </w:p>
        </w:tc>
        <w:tc>
          <w:tcPr>
            <w:tcW w:w="284" w:type="pct"/>
            <w:noWrap/>
            <w:vAlign w:val="center"/>
          </w:tcPr>
          <w:p w14:paraId="1C1B7582">
            <w:pPr>
              <w:jc w:val="center"/>
              <w:rPr>
                <w:sz w:val="18"/>
                <w:szCs w:val="18"/>
              </w:rPr>
            </w:pPr>
            <w:r>
              <w:rPr>
                <w:sz w:val="18"/>
                <w:szCs w:val="18"/>
              </w:rPr>
              <w:t>/</w:t>
            </w:r>
          </w:p>
        </w:tc>
        <w:tc>
          <w:tcPr>
            <w:tcW w:w="359" w:type="pct"/>
            <w:noWrap/>
            <w:vAlign w:val="center"/>
          </w:tcPr>
          <w:p w14:paraId="0F73649A">
            <w:pPr>
              <w:jc w:val="center"/>
              <w:rPr>
                <w:sz w:val="18"/>
                <w:szCs w:val="18"/>
              </w:rPr>
            </w:pPr>
            <w:r>
              <w:rPr>
                <w:sz w:val="18"/>
                <w:szCs w:val="18"/>
              </w:rPr>
              <w:t>/</w:t>
            </w:r>
          </w:p>
        </w:tc>
        <w:tc>
          <w:tcPr>
            <w:tcW w:w="315" w:type="pct"/>
            <w:noWrap/>
            <w:vAlign w:val="center"/>
          </w:tcPr>
          <w:p w14:paraId="699CB0C4">
            <w:pPr>
              <w:jc w:val="center"/>
              <w:rPr>
                <w:sz w:val="18"/>
                <w:szCs w:val="18"/>
              </w:rPr>
            </w:pPr>
            <w:r>
              <w:rPr>
                <w:sz w:val="18"/>
                <w:szCs w:val="18"/>
              </w:rPr>
              <w:t>/</w:t>
            </w:r>
          </w:p>
        </w:tc>
        <w:tc>
          <w:tcPr>
            <w:tcW w:w="302" w:type="pct"/>
            <w:noWrap/>
            <w:vAlign w:val="center"/>
          </w:tcPr>
          <w:p w14:paraId="329DD731">
            <w:pPr>
              <w:jc w:val="center"/>
              <w:rPr>
                <w:sz w:val="18"/>
                <w:szCs w:val="18"/>
              </w:rPr>
            </w:pPr>
            <w:r>
              <w:rPr>
                <w:sz w:val="18"/>
                <w:szCs w:val="18"/>
              </w:rPr>
              <w:t>/</w:t>
            </w:r>
          </w:p>
        </w:tc>
        <w:tc>
          <w:tcPr>
            <w:tcW w:w="276" w:type="pct"/>
            <w:noWrap/>
            <w:vAlign w:val="center"/>
          </w:tcPr>
          <w:p w14:paraId="1B499DC7">
            <w:pPr>
              <w:jc w:val="center"/>
              <w:rPr>
                <w:sz w:val="18"/>
                <w:szCs w:val="18"/>
              </w:rPr>
            </w:pPr>
            <w:r>
              <w:rPr>
                <w:sz w:val="18"/>
                <w:szCs w:val="18"/>
              </w:rPr>
              <w:t>/</w:t>
            </w:r>
          </w:p>
        </w:tc>
        <w:tc>
          <w:tcPr>
            <w:tcW w:w="267" w:type="pct"/>
            <w:noWrap/>
            <w:vAlign w:val="center"/>
          </w:tcPr>
          <w:p w14:paraId="1219F1A9">
            <w:pPr>
              <w:jc w:val="center"/>
              <w:rPr>
                <w:sz w:val="18"/>
                <w:szCs w:val="18"/>
              </w:rPr>
            </w:pPr>
            <w:r>
              <w:rPr>
                <w:sz w:val="18"/>
                <w:szCs w:val="18"/>
              </w:rPr>
              <w:t>/</w:t>
            </w:r>
          </w:p>
        </w:tc>
        <w:tc>
          <w:tcPr>
            <w:tcW w:w="293" w:type="pct"/>
            <w:noWrap/>
            <w:vAlign w:val="center"/>
          </w:tcPr>
          <w:p w14:paraId="5D3AABF0">
            <w:pPr>
              <w:jc w:val="center"/>
              <w:rPr>
                <w:sz w:val="18"/>
                <w:szCs w:val="18"/>
              </w:rPr>
            </w:pPr>
            <w:r>
              <w:rPr>
                <w:sz w:val="18"/>
                <w:szCs w:val="18"/>
              </w:rPr>
              <w:t>/</w:t>
            </w:r>
          </w:p>
        </w:tc>
        <w:tc>
          <w:tcPr>
            <w:tcW w:w="302" w:type="pct"/>
            <w:noWrap/>
            <w:vAlign w:val="center"/>
          </w:tcPr>
          <w:p w14:paraId="77FAC04A">
            <w:pPr>
              <w:jc w:val="center"/>
              <w:rPr>
                <w:sz w:val="18"/>
                <w:szCs w:val="18"/>
              </w:rPr>
            </w:pPr>
            <w:r>
              <w:rPr>
                <w:sz w:val="18"/>
                <w:szCs w:val="18"/>
              </w:rPr>
              <w:t>/</w:t>
            </w:r>
          </w:p>
        </w:tc>
        <w:tc>
          <w:tcPr>
            <w:tcW w:w="303" w:type="pct"/>
            <w:noWrap/>
            <w:vAlign w:val="center"/>
          </w:tcPr>
          <w:p w14:paraId="6AF72CEE">
            <w:pPr>
              <w:jc w:val="center"/>
              <w:rPr>
                <w:sz w:val="18"/>
                <w:szCs w:val="18"/>
              </w:rPr>
            </w:pPr>
            <w:r>
              <w:rPr>
                <w:sz w:val="18"/>
                <w:szCs w:val="18"/>
              </w:rPr>
              <w:t>/</w:t>
            </w:r>
          </w:p>
        </w:tc>
      </w:tr>
      <w:tr w14:paraId="185A76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shd w:val="clear" w:color="auto" w:fill="auto"/>
            <w:noWrap w:val="0"/>
            <w:vAlign w:val="center"/>
          </w:tcPr>
          <w:p w14:paraId="2BDBAE29">
            <w:pPr>
              <w:widowControl/>
              <w:jc w:val="center"/>
              <w:textAlignment w:val="center"/>
              <w:rPr>
                <w:b/>
                <w:bCs/>
                <w:sz w:val="18"/>
                <w:szCs w:val="18"/>
              </w:rPr>
            </w:pPr>
            <w:r>
              <w:rPr>
                <w:b/>
                <w:bCs/>
                <w:kern w:val="0"/>
                <w:sz w:val="18"/>
                <w:szCs w:val="18"/>
                <w:lang w:bidi="ar"/>
              </w:rPr>
              <w:t>采样地点</w:t>
            </w:r>
          </w:p>
        </w:tc>
        <w:tc>
          <w:tcPr>
            <w:tcW w:w="381" w:type="pct"/>
            <w:shd w:val="clear" w:color="auto" w:fill="D7D7D7"/>
            <w:noWrap w:val="0"/>
            <w:vAlign w:val="center"/>
          </w:tcPr>
          <w:p w14:paraId="07C1C1E9">
            <w:pPr>
              <w:widowControl/>
              <w:snapToGrid w:val="0"/>
              <w:jc w:val="center"/>
              <w:textAlignment w:val="center"/>
              <w:rPr>
                <w:sz w:val="18"/>
                <w:szCs w:val="18"/>
              </w:rPr>
            </w:pPr>
            <w:r>
              <w:rPr>
                <w:kern w:val="0"/>
                <w:sz w:val="18"/>
                <w:szCs w:val="18"/>
                <w:lang w:bidi="ar"/>
              </w:rPr>
              <w:t>日期</w:t>
            </w:r>
          </w:p>
          <w:p w14:paraId="2B7E1842">
            <w:pPr>
              <w:widowControl/>
              <w:jc w:val="center"/>
              <w:textAlignment w:val="center"/>
              <w:rPr>
                <w:sz w:val="18"/>
                <w:szCs w:val="18"/>
              </w:rPr>
            </w:pPr>
            <w:r>
              <w:rPr>
                <w:sz w:val="18"/>
                <w:szCs w:val="18"/>
              </w:rPr>
              <w:t>项目</w:t>
            </w:r>
          </w:p>
        </w:tc>
        <w:tc>
          <w:tcPr>
            <w:tcW w:w="278" w:type="pct"/>
            <w:noWrap w:val="0"/>
            <w:vAlign w:val="center"/>
          </w:tcPr>
          <w:p w14:paraId="2354B0B5">
            <w:pPr>
              <w:widowControl/>
              <w:jc w:val="center"/>
              <w:textAlignment w:val="center"/>
              <w:rPr>
                <w:b/>
                <w:bCs/>
                <w:sz w:val="18"/>
                <w:szCs w:val="18"/>
              </w:rPr>
            </w:pPr>
            <w:r>
              <w:rPr>
                <w:kern w:val="0"/>
                <w:sz w:val="18"/>
                <w:szCs w:val="18"/>
                <w:lang w:bidi="ar"/>
              </w:rPr>
              <w:t>pH值（无量纲）</w:t>
            </w:r>
          </w:p>
        </w:tc>
        <w:tc>
          <w:tcPr>
            <w:tcW w:w="218" w:type="pct"/>
            <w:noWrap w:val="0"/>
            <w:vAlign w:val="center"/>
          </w:tcPr>
          <w:p w14:paraId="5D4E8982">
            <w:pPr>
              <w:widowControl/>
              <w:jc w:val="center"/>
              <w:textAlignment w:val="center"/>
              <w:rPr>
                <w:sz w:val="18"/>
                <w:szCs w:val="18"/>
              </w:rPr>
            </w:pPr>
            <w:r>
              <w:rPr>
                <w:kern w:val="0"/>
                <w:sz w:val="18"/>
                <w:szCs w:val="18"/>
                <w:lang w:bidi="ar"/>
              </w:rPr>
              <w:t>氨氮</w:t>
            </w:r>
          </w:p>
        </w:tc>
        <w:tc>
          <w:tcPr>
            <w:tcW w:w="218" w:type="pct"/>
            <w:noWrap w:val="0"/>
            <w:vAlign w:val="center"/>
          </w:tcPr>
          <w:p w14:paraId="5004F657">
            <w:pPr>
              <w:widowControl/>
              <w:jc w:val="center"/>
              <w:textAlignment w:val="center"/>
              <w:rPr>
                <w:sz w:val="18"/>
                <w:szCs w:val="18"/>
              </w:rPr>
            </w:pPr>
            <w:r>
              <w:rPr>
                <w:kern w:val="0"/>
                <w:sz w:val="18"/>
                <w:szCs w:val="18"/>
                <w:lang w:bidi="ar"/>
              </w:rPr>
              <w:t>硝酸盐氮</w:t>
            </w:r>
          </w:p>
        </w:tc>
        <w:tc>
          <w:tcPr>
            <w:tcW w:w="333" w:type="pct"/>
            <w:noWrap w:val="0"/>
            <w:vAlign w:val="center"/>
          </w:tcPr>
          <w:p w14:paraId="24F26BE6">
            <w:pPr>
              <w:widowControl/>
              <w:jc w:val="center"/>
              <w:textAlignment w:val="center"/>
              <w:rPr>
                <w:sz w:val="18"/>
                <w:szCs w:val="18"/>
              </w:rPr>
            </w:pPr>
            <w:r>
              <w:rPr>
                <w:kern w:val="0"/>
                <w:sz w:val="18"/>
                <w:szCs w:val="18"/>
                <w:lang w:bidi="ar"/>
              </w:rPr>
              <w:t>亚硝酸盐氮</w:t>
            </w:r>
          </w:p>
        </w:tc>
        <w:tc>
          <w:tcPr>
            <w:tcW w:w="359" w:type="pct"/>
            <w:noWrap w:val="0"/>
            <w:vAlign w:val="center"/>
          </w:tcPr>
          <w:p w14:paraId="2A716134">
            <w:pPr>
              <w:widowControl/>
              <w:jc w:val="center"/>
              <w:textAlignment w:val="center"/>
              <w:rPr>
                <w:sz w:val="18"/>
                <w:szCs w:val="18"/>
              </w:rPr>
            </w:pPr>
            <w:r>
              <w:rPr>
                <w:kern w:val="0"/>
                <w:sz w:val="18"/>
                <w:szCs w:val="18"/>
                <w:lang w:bidi="ar"/>
              </w:rPr>
              <w:t>挥发酚</w:t>
            </w:r>
          </w:p>
        </w:tc>
        <w:tc>
          <w:tcPr>
            <w:tcW w:w="355" w:type="pct"/>
            <w:noWrap w:val="0"/>
            <w:vAlign w:val="center"/>
          </w:tcPr>
          <w:p w14:paraId="08E17AFC">
            <w:pPr>
              <w:widowControl/>
              <w:jc w:val="center"/>
              <w:textAlignment w:val="center"/>
              <w:rPr>
                <w:sz w:val="18"/>
                <w:szCs w:val="18"/>
              </w:rPr>
            </w:pPr>
            <w:r>
              <w:rPr>
                <w:kern w:val="0"/>
                <w:sz w:val="18"/>
                <w:szCs w:val="18"/>
                <w:lang w:bidi="ar"/>
              </w:rPr>
              <w:t>氰化物</w:t>
            </w:r>
          </w:p>
        </w:tc>
        <w:tc>
          <w:tcPr>
            <w:tcW w:w="284" w:type="pct"/>
            <w:noWrap w:val="0"/>
            <w:vAlign w:val="center"/>
          </w:tcPr>
          <w:p w14:paraId="424EE51A">
            <w:pPr>
              <w:widowControl/>
              <w:jc w:val="center"/>
              <w:textAlignment w:val="center"/>
              <w:rPr>
                <w:sz w:val="18"/>
                <w:szCs w:val="18"/>
              </w:rPr>
            </w:pPr>
            <w:r>
              <w:rPr>
                <w:kern w:val="0"/>
                <w:sz w:val="18"/>
                <w:szCs w:val="18"/>
                <w:lang w:bidi="ar"/>
              </w:rPr>
              <w:t>总砷</w:t>
            </w:r>
          </w:p>
        </w:tc>
        <w:tc>
          <w:tcPr>
            <w:tcW w:w="359" w:type="pct"/>
            <w:noWrap w:val="0"/>
            <w:vAlign w:val="center"/>
          </w:tcPr>
          <w:p w14:paraId="0AB4D344">
            <w:pPr>
              <w:widowControl/>
              <w:jc w:val="center"/>
              <w:textAlignment w:val="center"/>
              <w:rPr>
                <w:sz w:val="18"/>
                <w:szCs w:val="18"/>
              </w:rPr>
            </w:pPr>
            <w:r>
              <w:rPr>
                <w:kern w:val="0"/>
                <w:sz w:val="18"/>
                <w:szCs w:val="18"/>
                <w:lang w:bidi="ar"/>
              </w:rPr>
              <w:t>总汞</w:t>
            </w:r>
          </w:p>
        </w:tc>
        <w:tc>
          <w:tcPr>
            <w:tcW w:w="315" w:type="pct"/>
            <w:noWrap w:val="0"/>
            <w:vAlign w:val="center"/>
          </w:tcPr>
          <w:p w14:paraId="6A61B5F4">
            <w:pPr>
              <w:widowControl/>
              <w:jc w:val="center"/>
              <w:textAlignment w:val="center"/>
              <w:rPr>
                <w:sz w:val="18"/>
                <w:szCs w:val="18"/>
              </w:rPr>
            </w:pPr>
            <w:r>
              <w:rPr>
                <w:kern w:val="0"/>
                <w:sz w:val="18"/>
                <w:szCs w:val="18"/>
                <w:lang w:bidi="ar"/>
              </w:rPr>
              <w:t>六价铬</w:t>
            </w:r>
          </w:p>
        </w:tc>
        <w:tc>
          <w:tcPr>
            <w:tcW w:w="302" w:type="pct"/>
            <w:noWrap w:val="0"/>
            <w:vAlign w:val="center"/>
          </w:tcPr>
          <w:p w14:paraId="0D59D59D">
            <w:pPr>
              <w:widowControl/>
              <w:jc w:val="center"/>
              <w:textAlignment w:val="center"/>
              <w:rPr>
                <w:sz w:val="18"/>
                <w:szCs w:val="18"/>
              </w:rPr>
            </w:pPr>
            <w:r>
              <w:rPr>
                <w:kern w:val="0"/>
                <w:sz w:val="18"/>
                <w:szCs w:val="18"/>
                <w:lang w:bidi="ar"/>
              </w:rPr>
              <w:t>总硬度</w:t>
            </w:r>
          </w:p>
        </w:tc>
        <w:tc>
          <w:tcPr>
            <w:tcW w:w="276" w:type="pct"/>
            <w:noWrap w:val="0"/>
            <w:vAlign w:val="center"/>
          </w:tcPr>
          <w:p w14:paraId="0666E57E">
            <w:pPr>
              <w:widowControl/>
              <w:jc w:val="center"/>
              <w:textAlignment w:val="center"/>
              <w:rPr>
                <w:sz w:val="18"/>
                <w:szCs w:val="18"/>
              </w:rPr>
            </w:pPr>
            <w:r>
              <w:rPr>
                <w:kern w:val="0"/>
                <w:sz w:val="18"/>
                <w:szCs w:val="18"/>
                <w:lang w:bidi="ar"/>
              </w:rPr>
              <w:t>铅</w:t>
            </w:r>
          </w:p>
        </w:tc>
        <w:tc>
          <w:tcPr>
            <w:tcW w:w="267" w:type="pct"/>
            <w:noWrap w:val="0"/>
            <w:vAlign w:val="center"/>
          </w:tcPr>
          <w:p w14:paraId="0F187CB0">
            <w:pPr>
              <w:widowControl/>
              <w:jc w:val="center"/>
              <w:textAlignment w:val="center"/>
              <w:rPr>
                <w:sz w:val="18"/>
                <w:szCs w:val="18"/>
              </w:rPr>
            </w:pPr>
            <w:r>
              <w:rPr>
                <w:kern w:val="0"/>
                <w:sz w:val="18"/>
                <w:szCs w:val="18"/>
                <w:lang w:bidi="ar"/>
              </w:rPr>
              <w:t>氟化物</w:t>
            </w:r>
          </w:p>
        </w:tc>
        <w:tc>
          <w:tcPr>
            <w:tcW w:w="293" w:type="pct"/>
            <w:noWrap w:val="0"/>
            <w:vAlign w:val="center"/>
          </w:tcPr>
          <w:p w14:paraId="45BF08AA">
            <w:pPr>
              <w:widowControl/>
              <w:jc w:val="center"/>
              <w:textAlignment w:val="center"/>
              <w:rPr>
                <w:sz w:val="18"/>
                <w:szCs w:val="18"/>
              </w:rPr>
            </w:pPr>
            <w:r>
              <w:rPr>
                <w:kern w:val="0"/>
                <w:sz w:val="18"/>
                <w:szCs w:val="18"/>
                <w:lang w:bidi="ar"/>
              </w:rPr>
              <w:t>镉</w:t>
            </w:r>
          </w:p>
        </w:tc>
        <w:tc>
          <w:tcPr>
            <w:tcW w:w="302" w:type="pct"/>
            <w:noWrap w:val="0"/>
            <w:vAlign w:val="center"/>
          </w:tcPr>
          <w:p w14:paraId="66E36381">
            <w:pPr>
              <w:widowControl/>
              <w:jc w:val="center"/>
              <w:textAlignment w:val="center"/>
              <w:rPr>
                <w:sz w:val="18"/>
                <w:szCs w:val="18"/>
              </w:rPr>
            </w:pPr>
            <w:r>
              <w:rPr>
                <w:kern w:val="0"/>
                <w:sz w:val="18"/>
                <w:szCs w:val="18"/>
                <w:lang w:bidi="ar"/>
              </w:rPr>
              <w:t>铁</w:t>
            </w:r>
          </w:p>
        </w:tc>
        <w:tc>
          <w:tcPr>
            <w:tcW w:w="303" w:type="pct"/>
            <w:noWrap w:val="0"/>
            <w:vAlign w:val="center"/>
          </w:tcPr>
          <w:p w14:paraId="0B990B8F">
            <w:pPr>
              <w:widowControl/>
              <w:jc w:val="center"/>
              <w:textAlignment w:val="center"/>
              <w:rPr>
                <w:sz w:val="18"/>
                <w:szCs w:val="18"/>
              </w:rPr>
            </w:pPr>
            <w:r>
              <w:rPr>
                <w:kern w:val="0"/>
                <w:sz w:val="18"/>
                <w:szCs w:val="18"/>
                <w:lang w:bidi="ar"/>
              </w:rPr>
              <w:t>锰</w:t>
            </w:r>
          </w:p>
        </w:tc>
      </w:tr>
      <w:tr w14:paraId="3ABA4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restart"/>
            <w:shd w:val="clear" w:color="auto" w:fill="auto"/>
            <w:noWrap w:val="0"/>
            <w:vAlign w:val="center"/>
          </w:tcPr>
          <w:p w14:paraId="28E162E2">
            <w:pPr>
              <w:widowControl/>
              <w:jc w:val="center"/>
              <w:textAlignment w:val="center"/>
              <w:rPr>
                <w:sz w:val="18"/>
                <w:szCs w:val="18"/>
              </w:rPr>
            </w:pPr>
            <w:r>
              <w:rPr>
                <w:kern w:val="0"/>
                <w:sz w:val="18"/>
                <w:szCs w:val="18"/>
                <w:lang w:bidi="ar"/>
              </w:rPr>
              <w:t>拟建项目地块二南侧养殖区内泉点DW4</w:t>
            </w:r>
          </w:p>
        </w:tc>
        <w:tc>
          <w:tcPr>
            <w:tcW w:w="381" w:type="pct"/>
            <w:shd w:val="clear" w:color="auto" w:fill="D7D7D7"/>
            <w:noWrap w:val="0"/>
            <w:vAlign w:val="center"/>
          </w:tcPr>
          <w:p w14:paraId="1B249FF8">
            <w:pPr>
              <w:widowControl/>
              <w:jc w:val="center"/>
              <w:textAlignment w:val="center"/>
              <w:rPr>
                <w:sz w:val="18"/>
                <w:szCs w:val="18"/>
              </w:rPr>
            </w:pPr>
            <w:r>
              <w:rPr>
                <w:kern w:val="0"/>
                <w:sz w:val="18"/>
                <w:szCs w:val="18"/>
                <w:lang w:bidi="ar"/>
              </w:rPr>
              <w:t>2021/3/28</w:t>
            </w:r>
          </w:p>
        </w:tc>
        <w:tc>
          <w:tcPr>
            <w:tcW w:w="278" w:type="pct"/>
            <w:noWrap w:val="0"/>
            <w:vAlign w:val="center"/>
          </w:tcPr>
          <w:p w14:paraId="1C3E6FA5">
            <w:pPr>
              <w:widowControl/>
              <w:jc w:val="center"/>
              <w:textAlignment w:val="center"/>
              <w:rPr>
                <w:sz w:val="18"/>
                <w:szCs w:val="18"/>
              </w:rPr>
            </w:pPr>
            <w:r>
              <w:rPr>
                <w:kern w:val="0"/>
                <w:sz w:val="18"/>
                <w:szCs w:val="18"/>
                <w:lang w:bidi="ar"/>
              </w:rPr>
              <w:t>7.41</w:t>
            </w:r>
          </w:p>
        </w:tc>
        <w:tc>
          <w:tcPr>
            <w:tcW w:w="218" w:type="pct"/>
            <w:noWrap w:val="0"/>
            <w:vAlign w:val="center"/>
          </w:tcPr>
          <w:p w14:paraId="39F24691">
            <w:pPr>
              <w:widowControl/>
              <w:jc w:val="center"/>
              <w:textAlignment w:val="center"/>
              <w:rPr>
                <w:sz w:val="18"/>
                <w:szCs w:val="18"/>
              </w:rPr>
            </w:pPr>
            <w:r>
              <w:rPr>
                <w:kern w:val="0"/>
                <w:sz w:val="18"/>
                <w:szCs w:val="18"/>
                <w:lang w:bidi="ar"/>
              </w:rPr>
              <w:t>0.091</w:t>
            </w:r>
          </w:p>
        </w:tc>
        <w:tc>
          <w:tcPr>
            <w:tcW w:w="218" w:type="pct"/>
            <w:noWrap w:val="0"/>
            <w:vAlign w:val="center"/>
          </w:tcPr>
          <w:p w14:paraId="0A643EA7">
            <w:pPr>
              <w:widowControl/>
              <w:jc w:val="center"/>
              <w:textAlignment w:val="center"/>
              <w:rPr>
                <w:sz w:val="18"/>
                <w:szCs w:val="18"/>
              </w:rPr>
            </w:pPr>
            <w:r>
              <w:rPr>
                <w:kern w:val="0"/>
                <w:sz w:val="18"/>
                <w:szCs w:val="18"/>
                <w:lang w:bidi="ar"/>
              </w:rPr>
              <w:t>0.78</w:t>
            </w:r>
          </w:p>
        </w:tc>
        <w:tc>
          <w:tcPr>
            <w:tcW w:w="333" w:type="pct"/>
            <w:noWrap w:val="0"/>
            <w:vAlign w:val="center"/>
          </w:tcPr>
          <w:p w14:paraId="3782C2F9">
            <w:pPr>
              <w:widowControl/>
              <w:jc w:val="center"/>
              <w:textAlignment w:val="center"/>
              <w:rPr>
                <w:sz w:val="18"/>
                <w:szCs w:val="18"/>
              </w:rPr>
            </w:pPr>
            <w:r>
              <w:rPr>
                <w:kern w:val="0"/>
                <w:sz w:val="18"/>
                <w:szCs w:val="18"/>
                <w:lang w:bidi="ar"/>
              </w:rPr>
              <w:t>0.004</w:t>
            </w:r>
          </w:p>
        </w:tc>
        <w:tc>
          <w:tcPr>
            <w:tcW w:w="359" w:type="pct"/>
            <w:noWrap w:val="0"/>
            <w:vAlign w:val="center"/>
          </w:tcPr>
          <w:p w14:paraId="217503E5">
            <w:pPr>
              <w:widowControl/>
              <w:jc w:val="center"/>
              <w:textAlignment w:val="center"/>
              <w:rPr>
                <w:sz w:val="18"/>
                <w:szCs w:val="18"/>
              </w:rPr>
            </w:pPr>
            <w:r>
              <w:rPr>
                <w:kern w:val="0"/>
                <w:sz w:val="18"/>
                <w:szCs w:val="18"/>
                <w:lang w:bidi="ar"/>
              </w:rPr>
              <w:t>0.0003L</w:t>
            </w:r>
          </w:p>
        </w:tc>
        <w:tc>
          <w:tcPr>
            <w:tcW w:w="355" w:type="pct"/>
            <w:noWrap w:val="0"/>
            <w:vAlign w:val="center"/>
          </w:tcPr>
          <w:p w14:paraId="5E7CA9BD">
            <w:pPr>
              <w:widowControl/>
              <w:jc w:val="center"/>
              <w:textAlignment w:val="center"/>
              <w:rPr>
                <w:sz w:val="18"/>
                <w:szCs w:val="18"/>
              </w:rPr>
            </w:pPr>
            <w:r>
              <w:rPr>
                <w:kern w:val="0"/>
                <w:sz w:val="18"/>
                <w:szCs w:val="18"/>
                <w:lang w:bidi="ar"/>
              </w:rPr>
              <w:t>0.004L</w:t>
            </w:r>
          </w:p>
        </w:tc>
        <w:tc>
          <w:tcPr>
            <w:tcW w:w="284" w:type="pct"/>
            <w:noWrap w:val="0"/>
            <w:vAlign w:val="center"/>
          </w:tcPr>
          <w:p w14:paraId="469594A1">
            <w:pPr>
              <w:widowControl/>
              <w:jc w:val="center"/>
              <w:textAlignment w:val="center"/>
              <w:rPr>
                <w:sz w:val="18"/>
                <w:szCs w:val="18"/>
              </w:rPr>
            </w:pPr>
            <w:r>
              <w:rPr>
                <w:kern w:val="0"/>
                <w:sz w:val="18"/>
                <w:szCs w:val="18"/>
                <w:lang w:bidi="ar"/>
              </w:rPr>
              <w:t>0.0059</w:t>
            </w:r>
          </w:p>
        </w:tc>
        <w:tc>
          <w:tcPr>
            <w:tcW w:w="359" w:type="pct"/>
            <w:noWrap w:val="0"/>
            <w:vAlign w:val="center"/>
          </w:tcPr>
          <w:p w14:paraId="141C5C27">
            <w:pPr>
              <w:widowControl/>
              <w:jc w:val="center"/>
              <w:textAlignment w:val="center"/>
              <w:rPr>
                <w:sz w:val="18"/>
                <w:szCs w:val="18"/>
              </w:rPr>
            </w:pPr>
            <w:r>
              <w:rPr>
                <w:kern w:val="0"/>
                <w:sz w:val="18"/>
                <w:szCs w:val="18"/>
                <w:lang w:bidi="ar"/>
              </w:rPr>
              <w:t>0.00004L</w:t>
            </w:r>
          </w:p>
        </w:tc>
        <w:tc>
          <w:tcPr>
            <w:tcW w:w="315" w:type="pct"/>
            <w:noWrap w:val="0"/>
            <w:vAlign w:val="center"/>
          </w:tcPr>
          <w:p w14:paraId="6752EB1E">
            <w:pPr>
              <w:widowControl/>
              <w:jc w:val="center"/>
              <w:textAlignment w:val="center"/>
              <w:rPr>
                <w:sz w:val="18"/>
                <w:szCs w:val="18"/>
              </w:rPr>
            </w:pPr>
            <w:r>
              <w:rPr>
                <w:kern w:val="0"/>
                <w:sz w:val="18"/>
                <w:szCs w:val="18"/>
                <w:lang w:bidi="ar"/>
              </w:rPr>
              <w:t>0.004L</w:t>
            </w:r>
          </w:p>
        </w:tc>
        <w:tc>
          <w:tcPr>
            <w:tcW w:w="302" w:type="pct"/>
            <w:noWrap w:val="0"/>
            <w:vAlign w:val="center"/>
          </w:tcPr>
          <w:p w14:paraId="14C3F0F6">
            <w:pPr>
              <w:widowControl/>
              <w:jc w:val="center"/>
              <w:textAlignment w:val="center"/>
              <w:rPr>
                <w:sz w:val="18"/>
                <w:szCs w:val="18"/>
              </w:rPr>
            </w:pPr>
            <w:r>
              <w:rPr>
                <w:kern w:val="0"/>
                <w:sz w:val="18"/>
                <w:szCs w:val="18"/>
                <w:lang w:bidi="ar"/>
              </w:rPr>
              <w:t>254</w:t>
            </w:r>
          </w:p>
        </w:tc>
        <w:tc>
          <w:tcPr>
            <w:tcW w:w="276" w:type="pct"/>
            <w:noWrap w:val="0"/>
            <w:vAlign w:val="center"/>
          </w:tcPr>
          <w:p w14:paraId="62ED3F37">
            <w:pPr>
              <w:widowControl/>
              <w:jc w:val="center"/>
              <w:textAlignment w:val="center"/>
              <w:rPr>
                <w:sz w:val="18"/>
                <w:szCs w:val="18"/>
              </w:rPr>
            </w:pPr>
            <w:r>
              <w:rPr>
                <w:kern w:val="0"/>
                <w:sz w:val="18"/>
                <w:szCs w:val="18"/>
                <w:lang w:bidi="ar"/>
              </w:rPr>
              <w:t>0.01L</w:t>
            </w:r>
          </w:p>
        </w:tc>
        <w:tc>
          <w:tcPr>
            <w:tcW w:w="267" w:type="pct"/>
            <w:noWrap w:val="0"/>
            <w:vAlign w:val="center"/>
          </w:tcPr>
          <w:p w14:paraId="1832CB9F">
            <w:pPr>
              <w:widowControl/>
              <w:jc w:val="center"/>
              <w:textAlignment w:val="center"/>
              <w:rPr>
                <w:sz w:val="18"/>
                <w:szCs w:val="18"/>
              </w:rPr>
            </w:pPr>
            <w:r>
              <w:rPr>
                <w:kern w:val="0"/>
                <w:sz w:val="18"/>
                <w:szCs w:val="18"/>
                <w:lang w:bidi="ar"/>
              </w:rPr>
              <w:t>0.23</w:t>
            </w:r>
          </w:p>
        </w:tc>
        <w:tc>
          <w:tcPr>
            <w:tcW w:w="293" w:type="pct"/>
            <w:noWrap w:val="0"/>
            <w:vAlign w:val="center"/>
          </w:tcPr>
          <w:p w14:paraId="1EBB024B">
            <w:pPr>
              <w:widowControl/>
              <w:jc w:val="center"/>
              <w:textAlignment w:val="center"/>
              <w:rPr>
                <w:sz w:val="18"/>
                <w:szCs w:val="18"/>
              </w:rPr>
            </w:pPr>
            <w:r>
              <w:rPr>
                <w:kern w:val="0"/>
                <w:sz w:val="18"/>
                <w:szCs w:val="18"/>
                <w:lang w:bidi="ar"/>
              </w:rPr>
              <w:t>0.001L</w:t>
            </w:r>
          </w:p>
        </w:tc>
        <w:tc>
          <w:tcPr>
            <w:tcW w:w="302" w:type="pct"/>
            <w:noWrap w:val="0"/>
            <w:vAlign w:val="center"/>
          </w:tcPr>
          <w:p w14:paraId="0A4CCF2F">
            <w:pPr>
              <w:widowControl/>
              <w:jc w:val="center"/>
              <w:textAlignment w:val="center"/>
              <w:rPr>
                <w:sz w:val="18"/>
                <w:szCs w:val="18"/>
              </w:rPr>
            </w:pPr>
            <w:r>
              <w:rPr>
                <w:kern w:val="0"/>
                <w:sz w:val="18"/>
                <w:szCs w:val="18"/>
                <w:lang w:bidi="ar"/>
              </w:rPr>
              <w:t>0.01L</w:t>
            </w:r>
          </w:p>
        </w:tc>
        <w:tc>
          <w:tcPr>
            <w:tcW w:w="303" w:type="pct"/>
            <w:noWrap w:val="0"/>
            <w:vAlign w:val="center"/>
          </w:tcPr>
          <w:p w14:paraId="0F07E3CA">
            <w:pPr>
              <w:widowControl/>
              <w:jc w:val="center"/>
              <w:textAlignment w:val="center"/>
              <w:rPr>
                <w:sz w:val="18"/>
                <w:szCs w:val="18"/>
              </w:rPr>
            </w:pPr>
            <w:r>
              <w:rPr>
                <w:kern w:val="0"/>
                <w:sz w:val="18"/>
                <w:szCs w:val="18"/>
                <w:lang w:bidi="ar"/>
              </w:rPr>
              <w:t>0.01L</w:t>
            </w:r>
          </w:p>
        </w:tc>
      </w:tr>
      <w:tr w14:paraId="2B4532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149" w:type="pct"/>
            <w:vMerge w:val="continue"/>
            <w:shd w:val="clear" w:color="auto" w:fill="auto"/>
            <w:noWrap w:val="0"/>
            <w:vAlign w:val="center"/>
          </w:tcPr>
          <w:p w14:paraId="6E377116">
            <w:pPr>
              <w:jc w:val="center"/>
              <w:rPr>
                <w:sz w:val="18"/>
                <w:szCs w:val="18"/>
              </w:rPr>
            </w:pPr>
          </w:p>
        </w:tc>
        <w:tc>
          <w:tcPr>
            <w:tcW w:w="381" w:type="pct"/>
            <w:shd w:val="clear" w:color="auto" w:fill="D7D7D7"/>
            <w:noWrap w:val="0"/>
            <w:vAlign w:val="center"/>
          </w:tcPr>
          <w:p w14:paraId="71B2F1B2">
            <w:pPr>
              <w:widowControl/>
              <w:jc w:val="center"/>
              <w:textAlignment w:val="center"/>
              <w:rPr>
                <w:sz w:val="18"/>
                <w:szCs w:val="18"/>
              </w:rPr>
            </w:pPr>
            <w:r>
              <w:rPr>
                <w:kern w:val="0"/>
                <w:sz w:val="18"/>
                <w:szCs w:val="18"/>
                <w:lang w:bidi="ar"/>
              </w:rPr>
              <w:t>2021/3/29</w:t>
            </w:r>
          </w:p>
        </w:tc>
        <w:tc>
          <w:tcPr>
            <w:tcW w:w="278" w:type="pct"/>
            <w:noWrap w:val="0"/>
            <w:vAlign w:val="center"/>
          </w:tcPr>
          <w:p w14:paraId="0DEF37A0">
            <w:pPr>
              <w:widowControl/>
              <w:jc w:val="center"/>
              <w:textAlignment w:val="center"/>
              <w:rPr>
                <w:sz w:val="18"/>
                <w:szCs w:val="18"/>
              </w:rPr>
            </w:pPr>
            <w:r>
              <w:rPr>
                <w:kern w:val="0"/>
                <w:sz w:val="18"/>
                <w:szCs w:val="18"/>
                <w:lang w:bidi="ar"/>
              </w:rPr>
              <w:t>7.42</w:t>
            </w:r>
          </w:p>
        </w:tc>
        <w:tc>
          <w:tcPr>
            <w:tcW w:w="218" w:type="pct"/>
            <w:noWrap w:val="0"/>
            <w:vAlign w:val="center"/>
          </w:tcPr>
          <w:p w14:paraId="3687E179">
            <w:pPr>
              <w:widowControl/>
              <w:jc w:val="center"/>
              <w:textAlignment w:val="center"/>
              <w:rPr>
                <w:sz w:val="18"/>
                <w:szCs w:val="18"/>
              </w:rPr>
            </w:pPr>
            <w:r>
              <w:rPr>
                <w:kern w:val="0"/>
                <w:sz w:val="18"/>
                <w:szCs w:val="18"/>
                <w:lang w:bidi="ar"/>
              </w:rPr>
              <w:t>0.087</w:t>
            </w:r>
          </w:p>
        </w:tc>
        <w:tc>
          <w:tcPr>
            <w:tcW w:w="218" w:type="pct"/>
            <w:noWrap w:val="0"/>
            <w:vAlign w:val="center"/>
          </w:tcPr>
          <w:p w14:paraId="015E06BB">
            <w:pPr>
              <w:widowControl/>
              <w:jc w:val="center"/>
              <w:textAlignment w:val="center"/>
              <w:rPr>
                <w:sz w:val="18"/>
                <w:szCs w:val="18"/>
              </w:rPr>
            </w:pPr>
            <w:r>
              <w:rPr>
                <w:kern w:val="0"/>
                <w:sz w:val="18"/>
                <w:szCs w:val="18"/>
                <w:lang w:bidi="ar"/>
              </w:rPr>
              <w:t>0.74</w:t>
            </w:r>
          </w:p>
        </w:tc>
        <w:tc>
          <w:tcPr>
            <w:tcW w:w="333" w:type="pct"/>
            <w:noWrap w:val="0"/>
            <w:vAlign w:val="center"/>
          </w:tcPr>
          <w:p w14:paraId="63DC047D">
            <w:pPr>
              <w:widowControl/>
              <w:jc w:val="center"/>
              <w:textAlignment w:val="center"/>
              <w:rPr>
                <w:sz w:val="18"/>
                <w:szCs w:val="18"/>
              </w:rPr>
            </w:pPr>
            <w:r>
              <w:rPr>
                <w:kern w:val="0"/>
                <w:sz w:val="18"/>
                <w:szCs w:val="18"/>
                <w:lang w:bidi="ar"/>
              </w:rPr>
              <w:t>0.003</w:t>
            </w:r>
          </w:p>
        </w:tc>
        <w:tc>
          <w:tcPr>
            <w:tcW w:w="359" w:type="pct"/>
            <w:noWrap w:val="0"/>
            <w:vAlign w:val="center"/>
          </w:tcPr>
          <w:p w14:paraId="1D99BA40">
            <w:pPr>
              <w:widowControl/>
              <w:jc w:val="center"/>
              <w:textAlignment w:val="center"/>
              <w:rPr>
                <w:sz w:val="18"/>
                <w:szCs w:val="18"/>
              </w:rPr>
            </w:pPr>
            <w:r>
              <w:rPr>
                <w:kern w:val="0"/>
                <w:sz w:val="18"/>
                <w:szCs w:val="18"/>
                <w:lang w:bidi="ar"/>
              </w:rPr>
              <w:t>0.0003L</w:t>
            </w:r>
          </w:p>
        </w:tc>
        <w:tc>
          <w:tcPr>
            <w:tcW w:w="355" w:type="pct"/>
            <w:noWrap w:val="0"/>
            <w:vAlign w:val="center"/>
          </w:tcPr>
          <w:p w14:paraId="5823CFAE">
            <w:pPr>
              <w:widowControl/>
              <w:jc w:val="center"/>
              <w:textAlignment w:val="center"/>
              <w:rPr>
                <w:sz w:val="18"/>
                <w:szCs w:val="18"/>
              </w:rPr>
            </w:pPr>
            <w:r>
              <w:rPr>
                <w:kern w:val="0"/>
                <w:sz w:val="18"/>
                <w:szCs w:val="18"/>
                <w:lang w:bidi="ar"/>
              </w:rPr>
              <w:t>0.004L</w:t>
            </w:r>
          </w:p>
        </w:tc>
        <w:tc>
          <w:tcPr>
            <w:tcW w:w="284" w:type="pct"/>
            <w:noWrap w:val="0"/>
            <w:vAlign w:val="center"/>
          </w:tcPr>
          <w:p w14:paraId="3D43D10F">
            <w:pPr>
              <w:widowControl/>
              <w:jc w:val="center"/>
              <w:textAlignment w:val="center"/>
              <w:rPr>
                <w:sz w:val="18"/>
                <w:szCs w:val="18"/>
              </w:rPr>
            </w:pPr>
            <w:r>
              <w:rPr>
                <w:kern w:val="0"/>
                <w:sz w:val="18"/>
                <w:szCs w:val="18"/>
                <w:lang w:bidi="ar"/>
              </w:rPr>
              <w:t>0.0057</w:t>
            </w:r>
          </w:p>
        </w:tc>
        <w:tc>
          <w:tcPr>
            <w:tcW w:w="359" w:type="pct"/>
            <w:noWrap w:val="0"/>
            <w:vAlign w:val="center"/>
          </w:tcPr>
          <w:p w14:paraId="6EF335AE">
            <w:pPr>
              <w:widowControl/>
              <w:jc w:val="center"/>
              <w:textAlignment w:val="center"/>
              <w:rPr>
                <w:sz w:val="18"/>
                <w:szCs w:val="18"/>
              </w:rPr>
            </w:pPr>
            <w:r>
              <w:rPr>
                <w:kern w:val="0"/>
                <w:sz w:val="18"/>
                <w:szCs w:val="18"/>
                <w:lang w:bidi="ar"/>
              </w:rPr>
              <w:t>0.00004L</w:t>
            </w:r>
          </w:p>
        </w:tc>
        <w:tc>
          <w:tcPr>
            <w:tcW w:w="315" w:type="pct"/>
            <w:noWrap w:val="0"/>
            <w:vAlign w:val="center"/>
          </w:tcPr>
          <w:p w14:paraId="78041BED">
            <w:pPr>
              <w:widowControl/>
              <w:jc w:val="center"/>
              <w:textAlignment w:val="center"/>
              <w:rPr>
                <w:sz w:val="18"/>
                <w:szCs w:val="18"/>
              </w:rPr>
            </w:pPr>
            <w:r>
              <w:rPr>
                <w:kern w:val="0"/>
                <w:sz w:val="18"/>
                <w:szCs w:val="18"/>
                <w:lang w:bidi="ar"/>
              </w:rPr>
              <w:t>0.004L</w:t>
            </w:r>
          </w:p>
        </w:tc>
        <w:tc>
          <w:tcPr>
            <w:tcW w:w="302" w:type="pct"/>
            <w:noWrap w:val="0"/>
            <w:vAlign w:val="center"/>
          </w:tcPr>
          <w:p w14:paraId="528A3352">
            <w:pPr>
              <w:widowControl/>
              <w:jc w:val="center"/>
              <w:textAlignment w:val="center"/>
              <w:rPr>
                <w:sz w:val="18"/>
                <w:szCs w:val="18"/>
              </w:rPr>
            </w:pPr>
            <w:r>
              <w:rPr>
                <w:kern w:val="0"/>
                <w:sz w:val="18"/>
                <w:szCs w:val="18"/>
                <w:lang w:bidi="ar"/>
              </w:rPr>
              <w:t>262</w:t>
            </w:r>
          </w:p>
        </w:tc>
        <w:tc>
          <w:tcPr>
            <w:tcW w:w="276" w:type="pct"/>
            <w:noWrap w:val="0"/>
            <w:vAlign w:val="center"/>
          </w:tcPr>
          <w:p w14:paraId="1A2C4CDF">
            <w:pPr>
              <w:widowControl/>
              <w:jc w:val="center"/>
              <w:textAlignment w:val="center"/>
              <w:rPr>
                <w:sz w:val="18"/>
                <w:szCs w:val="18"/>
              </w:rPr>
            </w:pPr>
            <w:r>
              <w:rPr>
                <w:kern w:val="0"/>
                <w:sz w:val="18"/>
                <w:szCs w:val="18"/>
                <w:lang w:bidi="ar"/>
              </w:rPr>
              <w:t>0.01L</w:t>
            </w:r>
          </w:p>
        </w:tc>
        <w:tc>
          <w:tcPr>
            <w:tcW w:w="267" w:type="pct"/>
            <w:noWrap w:val="0"/>
            <w:vAlign w:val="center"/>
          </w:tcPr>
          <w:p w14:paraId="0FFCFDF6">
            <w:pPr>
              <w:widowControl/>
              <w:jc w:val="center"/>
              <w:textAlignment w:val="center"/>
              <w:rPr>
                <w:sz w:val="18"/>
                <w:szCs w:val="18"/>
              </w:rPr>
            </w:pPr>
            <w:r>
              <w:rPr>
                <w:kern w:val="0"/>
                <w:sz w:val="18"/>
                <w:szCs w:val="18"/>
                <w:lang w:bidi="ar"/>
              </w:rPr>
              <w:t>0.25</w:t>
            </w:r>
          </w:p>
        </w:tc>
        <w:tc>
          <w:tcPr>
            <w:tcW w:w="293" w:type="pct"/>
            <w:noWrap w:val="0"/>
            <w:vAlign w:val="center"/>
          </w:tcPr>
          <w:p w14:paraId="51B93A57">
            <w:pPr>
              <w:widowControl/>
              <w:jc w:val="center"/>
              <w:textAlignment w:val="center"/>
              <w:rPr>
                <w:sz w:val="18"/>
                <w:szCs w:val="18"/>
              </w:rPr>
            </w:pPr>
            <w:r>
              <w:rPr>
                <w:kern w:val="0"/>
                <w:sz w:val="18"/>
                <w:szCs w:val="18"/>
                <w:lang w:bidi="ar"/>
              </w:rPr>
              <w:t>0.001L</w:t>
            </w:r>
          </w:p>
        </w:tc>
        <w:tc>
          <w:tcPr>
            <w:tcW w:w="302" w:type="pct"/>
            <w:noWrap w:val="0"/>
            <w:vAlign w:val="center"/>
          </w:tcPr>
          <w:p w14:paraId="5FD6736E">
            <w:pPr>
              <w:widowControl/>
              <w:jc w:val="center"/>
              <w:textAlignment w:val="center"/>
              <w:rPr>
                <w:sz w:val="18"/>
                <w:szCs w:val="18"/>
              </w:rPr>
            </w:pPr>
            <w:r>
              <w:rPr>
                <w:kern w:val="0"/>
                <w:sz w:val="18"/>
                <w:szCs w:val="18"/>
                <w:lang w:bidi="ar"/>
              </w:rPr>
              <w:t>0.01L</w:t>
            </w:r>
          </w:p>
        </w:tc>
        <w:tc>
          <w:tcPr>
            <w:tcW w:w="303" w:type="pct"/>
            <w:noWrap w:val="0"/>
            <w:vAlign w:val="center"/>
          </w:tcPr>
          <w:p w14:paraId="347E94EE">
            <w:pPr>
              <w:widowControl/>
              <w:jc w:val="center"/>
              <w:textAlignment w:val="center"/>
              <w:rPr>
                <w:sz w:val="18"/>
                <w:szCs w:val="18"/>
              </w:rPr>
            </w:pPr>
            <w:r>
              <w:rPr>
                <w:kern w:val="0"/>
                <w:sz w:val="18"/>
                <w:szCs w:val="18"/>
                <w:lang w:bidi="ar"/>
              </w:rPr>
              <w:t>0.01L</w:t>
            </w:r>
          </w:p>
        </w:tc>
      </w:tr>
      <w:tr w14:paraId="0525A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0FA985C3">
            <w:pPr>
              <w:jc w:val="center"/>
              <w:rPr>
                <w:sz w:val="18"/>
                <w:szCs w:val="18"/>
              </w:rPr>
            </w:pPr>
          </w:p>
        </w:tc>
        <w:tc>
          <w:tcPr>
            <w:tcW w:w="381" w:type="pct"/>
            <w:shd w:val="clear" w:color="auto" w:fill="D7D7D7"/>
            <w:noWrap w:val="0"/>
            <w:vAlign w:val="center"/>
          </w:tcPr>
          <w:p w14:paraId="1D63B5F0">
            <w:pPr>
              <w:widowControl/>
              <w:jc w:val="center"/>
              <w:textAlignment w:val="center"/>
              <w:rPr>
                <w:sz w:val="18"/>
                <w:szCs w:val="18"/>
              </w:rPr>
            </w:pPr>
            <w:r>
              <w:rPr>
                <w:kern w:val="0"/>
                <w:sz w:val="18"/>
                <w:szCs w:val="18"/>
                <w:lang w:bidi="ar"/>
              </w:rPr>
              <w:t>2021/3/30</w:t>
            </w:r>
          </w:p>
        </w:tc>
        <w:tc>
          <w:tcPr>
            <w:tcW w:w="278" w:type="pct"/>
            <w:noWrap w:val="0"/>
            <w:vAlign w:val="center"/>
          </w:tcPr>
          <w:p w14:paraId="13A73A72">
            <w:pPr>
              <w:widowControl/>
              <w:jc w:val="center"/>
              <w:textAlignment w:val="center"/>
              <w:rPr>
                <w:sz w:val="18"/>
                <w:szCs w:val="18"/>
              </w:rPr>
            </w:pPr>
            <w:r>
              <w:rPr>
                <w:kern w:val="0"/>
                <w:sz w:val="18"/>
                <w:szCs w:val="18"/>
                <w:lang w:bidi="ar"/>
              </w:rPr>
              <w:t>7.5</w:t>
            </w:r>
          </w:p>
        </w:tc>
        <w:tc>
          <w:tcPr>
            <w:tcW w:w="218" w:type="pct"/>
            <w:noWrap w:val="0"/>
            <w:vAlign w:val="center"/>
          </w:tcPr>
          <w:p w14:paraId="26267DF2">
            <w:pPr>
              <w:widowControl/>
              <w:jc w:val="center"/>
              <w:textAlignment w:val="center"/>
              <w:rPr>
                <w:sz w:val="18"/>
                <w:szCs w:val="18"/>
              </w:rPr>
            </w:pPr>
            <w:r>
              <w:rPr>
                <w:kern w:val="0"/>
                <w:sz w:val="18"/>
                <w:szCs w:val="18"/>
                <w:lang w:bidi="ar"/>
              </w:rPr>
              <w:t>0.096</w:t>
            </w:r>
          </w:p>
        </w:tc>
        <w:tc>
          <w:tcPr>
            <w:tcW w:w="218" w:type="pct"/>
            <w:noWrap w:val="0"/>
            <w:vAlign w:val="center"/>
          </w:tcPr>
          <w:p w14:paraId="0A83DE17">
            <w:pPr>
              <w:widowControl/>
              <w:jc w:val="center"/>
              <w:textAlignment w:val="center"/>
              <w:rPr>
                <w:sz w:val="18"/>
                <w:szCs w:val="18"/>
              </w:rPr>
            </w:pPr>
            <w:r>
              <w:rPr>
                <w:kern w:val="0"/>
                <w:sz w:val="18"/>
                <w:szCs w:val="18"/>
                <w:lang w:bidi="ar"/>
              </w:rPr>
              <w:t>0.76</w:t>
            </w:r>
          </w:p>
        </w:tc>
        <w:tc>
          <w:tcPr>
            <w:tcW w:w="333" w:type="pct"/>
            <w:noWrap w:val="0"/>
            <w:vAlign w:val="center"/>
          </w:tcPr>
          <w:p w14:paraId="1CD652CD">
            <w:pPr>
              <w:widowControl/>
              <w:jc w:val="center"/>
              <w:textAlignment w:val="center"/>
              <w:rPr>
                <w:sz w:val="18"/>
                <w:szCs w:val="18"/>
              </w:rPr>
            </w:pPr>
            <w:r>
              <w:rPr>
                <w:kern w:val="0"/>
                <w:sz w:val="18"/>
                <w:szCs w:val="18"/>
                <w:lang w:bidi="ar"/>
              </w:rPr>
              <w:t>0.004</w:t>
            </w:r>
          </w:p>
        </w:tc>
        <w:tc>
          <w:tcPr>
            <w:tcW w:w="359" w:type="pct"/>
            <w:noWrap w:val="0"/>
            <w:vAlign w:val="center"/>
          </w:tcPr>
          <w:p w14:paraId="61C577CF">
            <w:pPr>
              <w:widowControl/>
              <w:jc w:val="center"/>
              <w:textAlignment w:val="center"/>
              <w:rPr>
                <w:sz w:val="18"/>
                <w:szCs w:val="18"/>
              </w:rPr>
            </w:pPr>
            <w:r>
              <w:rPr>
                <w:kern w:val="0"/>
                <w:sz w:val="18"/>
                <w:szCs w:val="18"/>
                <w:lang w:bidi="ar"/>
              </w:rPr>
              <w:t>0.0003L</w:t>
            </w:r>
          </w:p>
        </w:tc>
        <w:tc>
          <w:tcPr>
            <w:tcW w:w="355" w:type="pct"/>
            <w:noWrap w:val="0"/>
            <w:vAlign w:val="center"/>
          </w:tcPr>
          <w:p w14:paraId="2348AEF9">
            <w:pPr>
              <w:widowControl/>
              <w:jc w:val="center"/>
              <w:textAlignment w:val="center"/>
              <w:rPr>
                <w:sz w:val="18"/>
                <w:szCs w:val="18"/>
              </w:rPr>
            </w:pPr>
            <w:r>
              <w:rPr>
                <w:kern w:val="0"/>
                <w:sz w:val="18"/>
                <w:szCs w:val="18"/>
                <w:lang w:bidi="ar"/>
              </w:rPr>
              <w:t>0.004L</w:t>
            </w:r>
          </w:p>
        </w:tc>
        <w:tc>
          <w:tcPr>
            <w:tcW w:w="284" w:type="pct"/>
            <w:noWrap w:val="0"/>
            <w:vAlign w:val="center"/>
          </w:tcPr>
          <w:p w14:paraId="1A6FDD0D">
            <w:pPr>
              <w:widowControl/>
              <w:jc w:val="center"/>
              <w:textAlignment w:val="center"/>
              <w:rPr>
                <w:sz w:val="18"/>
                <w:szCs w:val="18"/>
              </w:rPr>
            </w:pPr>
            <w:r>
              <w:rPr>
                <w:kern w:val="0"/>
                <w:sz w:val="18"/>
                <w:szCs w:val="18"/>
                <w:lang w:bidi="ar"/>
              </w:rPr>
              <w:t>0.0061</w:t>
            </w:r>
          </w:p>
        </w:tc>
        <w:tc>
          <w:tcPr>
            <w:tcW w:w="359" w:type="pct"/>
            <w:noWrap w:val="0"/>
            <w:vAlign w:val="center"/>
          </w:tcPr>
          <w:p w14:paraId="3DE2B420">
            <w:pPr>
              <w:widowControl/>
              <w:jc w:val="center"/>
              <w:textAlignment w:val="center"/>
              <w:rPr>
                <w:sz w:val="18"/>
                <w:szCs w:val="18"/>
              </w:rPr>
            </w:pPr>
            <w:r>
              <w:rPr>
                <w:kern w:val="0"/>
                <w:sz w:val="18"/>
                <w:szCs w:val="18"/>
                <w:lang w:bidi="ar"/>
              </w:rPr>
              <w:t>0.00004L</w:t>
            </w:r>
          </w:p>
        </w:tc>
        <w:tc>
          <w:tcPr>
            <w:tcW w:w="315" w:type="pct"/>
            <w:noWrap w:val="0"/>
            <w:vAlign w:val="center"/>
          </w:tcPr>
          <w:p w14:paraId="30B8DA1E">
            <w:pPr>
              <w:widowControl/>
              <w:jc w:val="center"/>
              <w:textAlignment w:val="center"/>
              <w:rPr>
                <w:sz w:val="18"/>
                <w:szCs w:val="18"/>
              </w:rPr>
            </w:pPr>
            <w:r>
              <w:rPr>
                <w:kern w:val="0"/>
                <w:sz w:val="18"/>
                <w:szCs w:val="18"/>
                <w:lang w:bidi="ar"/>
              </w:rPr>
              <w:t>0.004L</w:t>
            </w:r>
          </w:p>
        </w:tc>
        <w:tc>
          <w:tcPr>
            <w:tcW w:w="302" w:type="pct"/>
            <w:noWrap w:val="0"/>
            <w:vAlign w:val="center"/>
          </w:tcPr>
          <w:p w14:paraId="0262412A">
            <w:pPr>
              <w:widowControl/>
              <w:jc w:val="center"/>
              <w:textAlignment w:val="center"/>
              <w:rPr>
                <w:sz w:val="18"/>
                <w:szCs w:val="18"/>
              </w:rPr>
            </w:pPr>
            <w:r>
              <w:rPr>
                <w:kern w:val="0"/>
                <w:sz w:val="18"/>
                <w:szCs w:val="18"/>
                <w:lang w:bidi="ar"/>
              </w:rPr>
              <w:t>258</w:t>
            </w:r>
          </w:p>
        </w:tc>
        <w:tc>
          <w:tcPr>
            <w:tcW w:w="276" w:type="pct"/>
            <w:noWrap w:val="0"/>
            <w:vAlign w:val="center"/>
          </w:tcPr>
          <w:p w14:paraId="5E22AC27">
            <w:pPr>
              <w:widowControl/>
              <w:jc w:val="center"/>
              <w:textAlignment w:val="center"/>
              <w:rPr>
                <w:sz w:val="18"/>
                <w:szCs w:val="18"/>
              </w:rPr>
            </w:pPr>
            <w:r>
              <w:rPr>
                <w:kern w:val="0"/>
                <w:sz w:val="18"/>
                <w:szCs w:val="18"/>
                <w:lang w:bidi="ar"/>
              </w:rPr>
              <w:t>0.01L</w:t>
            </w:r>
          </w:p>
        </w:tc>
        <w:tc>
          <w:tcPr>
            <w:tcW w:w="267" w:type="pct"/>
            <w:noWrap w:val="0"/>
            <w:vAlign w:val="center"/>
          </w:tcPr>
          <w:p w14:paraId="4C37AD04">
            <w:pPr>
              <w:widowControl/>
              <w:jc w:val="center"/>
              <w:textAlignment w:val="center"/>
              <w:rPr>
                <w:sz w:val="18"/>
                <w:szCs w:val="18"/>
              </w:rPr>
            </w:pPr>
            <w:r>
              <w:rPr>
                <w:kern w:val="0"/>
                <w:sz w:val="18"/>
                <w:szCs w:val="18"/>
                <w:lang w:bidi="ar"/>
              </w:rPr>
              <w:t>0.21</w:t>
            </w:r>
          </w:p>
        </w:tc>
        <w:tc>
          <w:tcPr>
            <w:tcW w:w="293" w:type="pct"/>
            <w:noWrap w:val="0"/>
            <w:vAlign w:val="center"/>
          </w:tcPr>
          <w:p w14:paraId="70873B73">
            <w:pPr>
              <w:widowControl/>
              <w:jc w:val="center"/>
              <w:textAlignment w:val="center"/>
              <w:rPr>
                <w:sz w:val="18"/>
                <w:szCs w:val="18"/>
              </w:rPr>
            </w:pPr>
            <w:r>
              <w:rPr>
                <w:kern w:val="0"/>
                <w:sz w:val="18"/>
                <w:szCs w:val="18"/>
                <w:lang w:bidi="ar"/>
              </w:rPr>
              <w:t>0.001L</w:t>
            </w:r>
          </w:p>
        </w:tc>
        <w:tc>
          <w:tcPr>
            <w:tcW w:w="302" w:type="pct"/>
            <w:noWrap w:val="0"/>
            <w:vAlign w:val="center"/>
          </w:tcPr>
          <w:p w14:paraId="35FAE1DF">
            <w:pPr>
              <w:widowControl/>
              <w:jc w:val="center"/>
              <w:textAlignment w:val="center"/>
              <w:rPr>
                <w:sz w:val="18"/>
                <w:szCs w:val="18"/>
              </w:rPr>
            </w:pPr>
            <w:r>
              <w:rPr>
                <w:kern w:val="0"/>
                <w:sz w:val="18"/>
                <w:szCs w:val="18"/>
                <w:lang w:bidi="ar"/>
              </w:rPr>
              <w:t>0.01L</w:t>
            </w:r>
          </w:p>
        </w:tc>
        <w:tc>
          <w:tcPr>
            <w:tcW w:w="303" w:type="pct"/>
            <w:noWrap w:val="0"/>
            <w:vAlign w:val="center"/>
          </w:tcPr>
          <w:p w14:paraId="4B72AE23">
            <w:pPr>
              <w:widowControl/>
              <w:jc w:val="center"/>
              <w:textAlignment w:val="center"/>
              <w:rPr>
                <w:sz w:val="18"/>
                <w:szCs w:val="18"/>
              </w:rPr>
            </w:pPr>
            <w:r>
              <w:rPr>
                <w:kern w:val="0"/>
                <w:sz w:val="18"/>
                <w:szCs w:val="18"/>
                <w:lang w:bidi="ar"/>
              </w:rPr>
              <w:t>0.01L</w:t>
            </w:r>
          </w:p>
        </w:tc>
      </w:tr>
      <w:tr w14:paraId="10556A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4ACEE99B">
            <w:pPr>
              <w:jc w:val="center"/>
              <w:rPr>
                <w:sz w:val="18"/>
                <w:szCs w:val="18"/>
              </w:rPr>
            </w:pPr>
          </w:p>
        </w:tc>
        <w:tc>
          <w:tcPr>
            <w:tcW w:w="381" w:type="pct"/>
            <w:shd w:val="clear" w:color="auto" w:fill="D7D7D7"/>
            <w:noWrap w:val="0"/>
            <w:vAlign w:val="center"/>
          </w:tcPr>
          <w:p w14:paraId="3429E4F0">
            <w:pPr>
              <w:widowControl/>
              <w:jc w:val="center"/>
              <w:textAlignment w:val="center"/>
              <w:rPr>
                <w:sz w:val="18"/>
                <w:szCs w:val="18"/>
              </w:rPr>
            </w:pPr>
            <w:r>
              <w:rPr>
                <w:kern w:val="0"/>
                <w:sz w:val="18"/>
                <w:szCs w:val="18"/>
                <w:lang w:bidi="ar"/>
              </w:rPr>
              <w:t>最大值</w:t>
            </w:r>
          </w:p>
        </w:tc>
        <w:tc>
          <w:tcPr>
            <w:tcW w:w="278" w:type="pct"/>
            <w:noWrap w:val="0"/>
            <w:vAlign w:val="center"/>
          </w:tcPr>
          <w:p w14:paraId="6780948D">
            <w:pPr>
              <w:widowControl/>
              <w:jc w:val="center"/>
              <w:textAlignment w:val="center"/>
              <w:rPr>
                <w:sz w:val="18"/>
                <w:szCs w:val="18"/>
              </w:rPr>
            </w:pPr>
            <w:r>
              <w:rPr>
                <w:kern w:val="0"/>
                <w:sz w:val="18"/>
                <w:szCs w:val="18"/>
                <w:lang w:bidi="ar"/>
              </w:rPr>
              <w:t>7.39</w:t>
            </w:r>
          </w:p>
        </w:tc>
        <w:tc>
          <w:tcPr>
            <w:tcW w:w="218" w:type="pct"/>
            <w:noWrap w:val="0"/>
            <w:vAlign w:val="center"/>
          </w:tcPr>
          <w:p w14:paraId="4B6BFF69">
            <w:pPr>
              <w:widowControl/>
              <w:jc w:val="center"/>
              <w:textAlignment w:val="center"/>
              <w:rPr>
                <w:sz w:val="18"/>
                <w:szCs w:val="18"/>
              </w:rPr>
            </w:pPr>
            <w:r>
              <w:rPr>
                <w:kern w:val="0"/>
                <w:sz w:val="18"/>
                <w:szCs w:val="18"/>
                <w:lang w:bidi="ar"/>
              </w:rPr>
              <w:t>0.096</w:t>
            </w:r>
          </w:p>
        </w:tc>
        <w:tc>
          <w:tcPr>
            <w:tcW w:w="218" w:type="pct"/>
            <w:noWrap w:val="0"/>
            <w:vAlign w:val="center"/>
          </w:tcPr>
          <w:p w14:paraId="5353FA3F">
            <w:pPr>
              <w:widowControl/>
              <w:jc w:val="center"/>
              <w:textAlignment w:val="center"/>
              <w:rPr>
                <w:sz w:val="18"/>
                <w:szCs w:val="18"/>
              </w:rPr>
            </w:pPr>
            <w:r>
              <w:rPr>
                <w:kern w:val="0"/>
                <w:sz w:val="18"/>
                <w:szCs w:val="18"/>
                <w:lang w:bidi="ar"/>
              </w:rPr>
              <w:t>0.78</w:t>
            </w:r>
          </w:p>
        </w:tc>
        <w:tc>
          <w:tcPr>
            <w:tcW w:w="333" w:type="pct"/>
            <w:noWrap w:val="0"/>
            <w:vAlign w:val="center"/>
          </w:tcPr>
          <w:p w14:paraId="0E18324B">
            <w:pPr>
              <w:widowControl/>
              <w:jc w:val="center"/>
              <w:textAlignment w:val="center"/>
              <w:rPr>
                <w:sz w:val="18"/>
                <w:szCs w:val="18"/>
              </w:rPr>
            </w:pPr>
            <w:r>
              <w:rPr>
                <w:kern w:val="0"/>
                <w:sz w:val="18"/>
                <w:szCs w:val="18"/>
                <w:lang w:bidi="ar"/>
              </w:rPr>
              <w:t>0.004</w:t>
            </w:r>
          </w:p>
        </w:tc>
        <w:tc>
          <w:tcPr>
            <w:tcW w:w="359" w:type="pct"/>
            <w:noWrap w:val="0"/>
            <w:vAlign w:val="center"/>
          </w:tcPr>
          <w:p w14:paraId="51CE3D3E">
            <w:pPr>
              <w:widowControl/>
              <w:jc w:val="center"/>
              <w:textAlignment w:val="center"/>
              <w:rPr>
                <w:sz w:val="18"/>
                <w:szCs w:val="18"/>
              </w:rPr>
            </w:pPr>
            <w:r>
              <w:rPr>
                <w:sz w:val="18"/>
                <w:szCs w:val="18"/>
              </w:rPr>
              <w:t>/</w:t>
            </w:r>
          </w:p>
        </w:tc>
        <w:tc>
          <w:tcPr>
            <w:tcW w:w="355" w:type="pct"/>
            <w:noWrap w:val="0"/>
            <w:vAlign w:val="center"/>
          </w:tcPr>
          <w:p w14:paraId="619FB1DF">
            <w:pPr>
              <w:widowControl/>
              <w:jc w:val="center"/>
              <w:textAlignment w:val="center"/>
              <w:rPr>
                <w:sz w:val="18"/>
                <w:szCs w:val="18"/>
              </w:rPr>
            </w:pPr>
            <w:r>
              <w:rPr>
                <w:sz w:val="18"/>
                <w:szCs w:val="18"/>
              </w:rPr>
              <w:t>/</w:t>
            </w:r>
          </w:p>
        </w:tc>
        <w:tc>
          <w:tcPr>
            <w:tcW w:w="284" w:type="pct"/>
            <w:noWrap w:val="0"/>
            <w:vAlign w:val="center"/>
          </w:tcPr>
          <w:p w14:paraId="7DAD58F4">
            <w:pPr>
              <w:widowControl/>
              <w:jc w:val="center"/>
              <w:textAlignment w:val="center"/>
              <w:rPr>
                <w:sz w:val="18"/>
                <w:szCs w:val="18"/>
              </w:rPr>
            </w:pPr>
            <w:r>
              <w:rPr>
                <w:kern w:val="0"/>
                <w:sz w:val="18"/>
                <w:szCs w:val="18"/>
                <w:lang w:bidi="ar"/>
              </w:rPr>
              <w:t>0.0061</w:t>
            </w:r>
          </w:p>
        </w:tc>
        <w:tc>
          <w:tcPr>
            <w:tcW w:w="359" w:type="pct"/>
            <w:noWrap w:val="0"/>
            <w:vAlign w:val="center"/>
          </w:tcPr>
          <w:p w14:paraId="547273FA">
            <w:pPr>
              <w:widowControl/>
              <w:jc w:val="center"/>
              <w:textAlignment w:val="center"/>
              <w:rPr>
                <w:sz w:val="18"/>
                <w:szCs w:val="18"/>
              </w:rPr>
            </w:pPr>
            <w:r>
              <w:rPr>
                <w:sz w:val="18"/>
                <w:szCs w:val="18"/>
              </w:rPr>
              <w:t>/</w:t>
            </w:r>
          </w:p>
        </w:tc>
        <w:tc>
          <w:tcPr>
            <w:tcW w:w="315" w:type="pct"/>
            <w:noWrap w:val="0"/>
            <w:vAlign w:val="center"/>
          </w:tcPr>
          <w:p w14:paraId="50861654">
            <w:pPr>
              <w:widowControl/>
              <w:jc w:val="center"/>
              <w:textAlignment w:val="center"/>
              <w:rPr>
                <w:sz w:val="18"/>
                <w:szCs w:val="18"/>
              </w:rPr>
            </w:pPr>
            <w:r>
              <w:rPr>
                <w:sz w:val="18"/>
                <w:szCs w:val="18"/>
              </w:rPr>
              <w:t>/</w:t>
            </w:r>
          </w:p>
        </w:tc>
        <w:tc>
          <w:tcPr>
            <w:tcW w:w="302" w:type="pct"/>
            <w:noWrap w:val="0"/>
            <w:vAlign w:val="center"/>
          </w:tcPr>
          <w:p w14:paraId="3028FB09">
            <w:pPr>
              <w:widowControl/>
              <w:jc w:val="center"/>
              <w:textAlignment w:val="center"/>
              <w:rPr>
                <w:sz w:val="18"/>
                <w:szCs w:val="18"/>
              </w:rPr>
            </w:pPr>
            <w:r>
              <w:rPr>
                <w:kern w:val="0"/>
                <w:sz w:val="18"/>
                <w:szCs w:val="18"/>
                <w:lang w:bidi="ar"/>
              </w:rPr>
              <w:t>262</w:t>
            </w:r>
          </w:p>
        </w:tc>
        <w:tc>
          <w:tcPr>
            <w:tcW w:w="276" w:type="pct"/>
            <w:noWrap w:val="0"/>
            <w:vAlign w:val="center"/>
          </w:tcPr>
          <w:p w14:paraId="0198039F">
            <w:pPr>
              <w:widowControl/>
              <w:jc w:val="center"/>
              <w:textAlignment w:val="center"/>
              <w:rPr>
                <w:sz w:val="18"/>
                <w:szCs w:val="18"/>
              </w:rPr>
            </w:pPr>
            <w:r>
              <w:rPr>
                <w:sz w:val="18"/>
                <w:szCs w:val="18"/>
              </w:rPr>
              <w:t>/</w:t>
            </w:r>
          </w:p>
        </w:tc>
        <w:tc>
          <w:tcPr>
            <w:tcW w:w="267" w:type="pct"/>
            <w:noWrap w:val="0"/>
            <w:vAlign w:val="center"/>
          </w:tcPr>
          <w:p w14:paraId="30F13653">
            <w:pPr>
              <w:widowControl/>
              <w:jc w:val="center"/>
              <w:textAlignment w:val="center"/>
              <w:rPr>
                <w:sz w:val="18"/>
                <w:szCs w:val="18"/>
              </w:rPr>
            </w:pPr>
            <w:r>
              <w:rPr>
                <w:kern w:val="0"/>
                <w:sz w:val="18"/>
                <w:szCs w:val="18"/>
                <w:lang w:bidi="ar"/>
              </w:rPr>
              <w:t>0.25</w:t>
            </w:r>
          </w:p>
        </w:tc>
        <w:tc>
          <w:tcPr>
            <w:tcW w:w="293" w:type="pct"/>
            <w:noWrap w:val="0"/>
            <w:vAlign w:val="center"/>
          </w:tcPr>
          <w:p w14:paraId="54676E22">
            <w:pPr>
              <w:widowControl/>
              <w:jc w:val="center"/>
              <w:textAlignment w:val="center"/>
              <w:rPr>
                <w:sz w:val="18"/>
                <w:szCs w:val="18"/>
              </w:rPr>
            </w:pPr>
            <w:r>
              <w:rPr>
                <w:sz w:val="18"/>
                <w:szCs w:val="18"/>
              </w:rPr>
              <w:t>/</w:t>
            </w:r>
          </w:p>
        </w:tc>
        <w:tc>
          <w:tcPr>
            <w:tcW w:w="302" w:type="pct"/>
            <w:noWrap w:val="0"/>
            <w:vAlign w:val="center"/>
          </w:tcPr>
          <w:p w14:paraId="1800F988">
            <w:pPr>
              <w:widowControl/>
              <w:jc w:val="center"/>
              <w:textAlignment w:val="center"/>
              <w:rPr>
                <w:sz w:val="18"/>
                <w:szCs w:val="18"/>
              </w:rPr>
            </w:pPr>
            <w:r>
              <w:rPr>
                <w:sz w:val="18"/>
                <w:szCs w:val="18"/>
              </w:rPr>
              <w:t>/</w:t>
            </w:r>
          </w:p>
        </w:tc>
        <w:tc>
          <w:tcPr>
            <w:tcW w:w="303" w:type="pct"/>
            <w:noWrap w:val="0"/>
            <w:vAlign w:val="center"/>
          </w:tcPr>
          <w:p w14:paraId="4760DFD7">
            <w:pPr>
              <w:widowControl/>
              <w:jc w:val="center"/>
              <w:textAlignment w:val="center"/>
              <w:rPr>
                <w:sz w:val="18"/>
                <w:szCs w:val="18"/>
              </w:rPr>
            </w:pPr>
            <w:r>
              <w:rPr>
                <w:sz w:val="18"/>
                <w:szCs w:val="18"/>
              </w:rPr>
              <w:t>/</w:t>
            </w:r>
          </w:p>
        </w:tc>
      </w:tr>
      <w:tr w14:paraId="3F8A9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69662FA0">
            <w:pPr>
              <w:jc w:val="center"/>
              <w:rPr>
                <w:sz w:val="18"/>
                <w:szCs w:val="18"/>
              </w:rPr>
            </w:pPr>
          </w:p>
        </w:tc>
        <w:tc>
          <w:tcPr>
            <w:tcW w:w="381" w:type="pct"/>
            <w:shd w:val="clear" w:color="auto" w:fill="D7D7D7"/>
            <w:noWrap w:val="0"/>
            <w:vAlign w:val="center"/>
          </w:tcPr>
          <w:p w14:paraId="2454C904">
            <w:pPr>
              <w:widowControl/>
              <w:jc w:val="center"/>
              <w:textAlignment w:val="center"/>
              <w:rPr>
                <w:sz w:val="18"/>
                <w:szCs w:val="18"/>
              </w:rPr>
            </w:pPr>
            <w:r>
              <w:rPr>
                <w:kern w:val="0"/>
                <w:sz w:val="18"/>
                <w:szCs w:val="18"/>
                <w:lang w:bidi="ar"/>
              </w:rPr>
              <w:t>标准</w:t>
            </w:r>
          </w:p>
        </w:tc>
        <w:tc>
          <w:tcPr>
            <w:tcW w:w="278" w:type="pct"/>
            <w:noWrap/>
            <w:vAlign w:val="center"/>
          </w:tcPr>
          <w:p w14:paraId="3A65E354">
            <w:pPr>
              <w:widowControl/>
              <w:jc w:val="center"/>
              <w:textAlignment w:val="center"/>
              <w:rPr>
                <w:sz w:val="18"/>
                <w:szCs w:val="18"/>
              </w:rPr>
            </w:pPr>
            <w:r>
              <w:rPr>
                <w:kern w:val="0"/>
                <w:sz w:val="18"/>
                <w:szCs w:val="18"/>
                <w:lang w:bidi="ar"/>
              </w:rPr>
              <w:t>6.5-8.5</w:t>
            </w:r>
          </w:p>
        </w:tc>
        <w:tc>
          <w:tcPr>
            <w:tcW w:w="218" w:type="pct"/>
            <w:noWrap/>
            <w:vAlign w:val="center"/>
          </w:tcPr>
          <w:p w14:paraId="1D72B3EC">
            <w:pPr>
              <w:widowControl/>
              <w:jc w:val="center"/>
              <w:textAlignment w:val="center"/>
              <w:rPr>
                <w:sz w:val="18"/>
                <w:szCs w:val="18"/>
              </w:rPr>
            </w:pPr>
            <w:r>
              <w:rPr>
                <w:kern w:val="0"/>
                <w:sz w:val="18"/>
                <w:szCs w:val="18"/>
                <w:lang w:bidi="ar"/>
              </w:rPr>
              <w:t>0.5</w:t>
            </w:r>
          </w:p>
        </w:tc>
        <w:tc>
          <w:tcPr>
            <w:tcW w:w="218" w:type="pct"/>
            <w:noWrap/>
            <w:vAlign w:val="center"/>
          </w:tcPr>
          <w:p w14:paraId="4C5D8910">
            <w:pPr>
              <w:widowControl/>
              <w:jc w:val="center"/>
              <w:textAlignment w:val="center"/>
              <w:rPr>
                <w:sz w:val="18"/>
                <w:szCs w:val="18"/>
              </w:rPr>
            </w:pPr>
            <w:r>
              <w:rPr>
                <w:kern w:val="0"/>
                <w:sz w:val="18"/>
                <w:szCs w:val="18"/>
                <w:lang w:bidi="ar"/>
              </w:rPr>
              <w:t>20</w:t>
            </w:r>
          </w:p>
        </w:tc>
        <w:tc>
          <w:tcPr>
            <w:tcW w:w="333" w:type="pct"/>
            <w:noWrap w:val="0"/>
            <w:vAlign w:val="center"/>
          </w:tcPr>
          <w:p w14:paraId="229F844B">
            <w:pPr>
              <w:widowControl/>
              <w:jc w:val="center"/>
              <w:textAlignment w:val="center"/>
              <w:rPr>
                <w:sz w:val="18"/>
                <w:szCs w:val="18"/>
              </w:rPr>
            </w:pPr>
            <w:r>
              <w:rPr>
                <w:kern w:val="0"/>
                <w:sz w:val="18"/>
                <w:szCs w:val="18"/>
                <w:lang w:bidi="ar"/>
              </w:rPr>
              <w:t>1</w:t>
            </w:r>
          </w:p>
        </w:tc>
        <w:tc>
          <w:tcPr>
            <w:tcW w:w="359" w:type="pct"/>
            <w:noWrap/>
            <w:vAlign w:val="center"/>
          </w:tcPr>
          <w:p w14:paraId="220F1E9B">
            <w:pPr>
              <w:widowControl/>
              <w:jc w:val="center"/>
              <w:textAlignment w:val="center"/>
              <w:rPr>
                <w:sz w:val="18"/>
                <w:szCs w:val="18"/>
              </w:rPr>
            </w:pPr>
            <w:r>
              <w:rPr>
                <w:kern w:val="0"/>
                <w:sz w:val="18"/>
                <w:szCs w:val="18"/>
                <w:lang w:bidi="ar"/>
              </w:rPr>
              <w:t>0.002</w:t>
            </w:r>
          </w:p>
        </w:tc>
        <w:tc>
          <w:tcPr>
            <w:tcW w:w="355" w:type="pct"/>
            <w:noWrap/>
            <w:vAlign w:val="center"/>
          </w:tcPr>
          <w:p w14:paraId="5996F7B5">
            <w:pPr>
              <w:widowControl/>
              <w:jc w:val="center"/>
              <w:textAlignment w:val="center"/>
              <w:rPr>
                <w:sz w:val="18"/>
                <w:szCs w:val="18"/>
              </w:rPr>
            </w:pPr>
            <w:r>
              <w:rPr>
                <w:kern w:val="0"/>
                <w:sz w:val="18"/>
                <w:szCs w:val="18"/>
                <w:lang w:bidi="ar"/>
              </w:rPr>
              <w:t>0.05</w:t>
            </w:r>
          </w:p>
        </w:tc>
        <w:tc>
          <w:tcPr>
            <w:tcW w:w="284" w:type="pct"/>
            <w:noWrap/>
            <w:vAlign w:val="center"/>
          </w:tcPr>
          <w:p w14:paraId="4070F98C">
            <w:pPr>
              <w:widowControl/>
              <w:jc w:val="center"/>
              <w:textAlignment w:val="center"/>
              <w:rPr>
                <w:sz w:val="18"/>
                <w:szCs w:val="18"/>
              </w:rPr>
            </w:pPr>
            <w:r>
              <w:rPr>
                <w:kern w:val="0"/>
                <w:sz w:val="18"/>
                <w:szCs w:val="18"/>
                <w:lang w:bidi="ar"/>
              </w:rPr>
              <w:t>0.01</w:t>
            </w:r>
          </w:p>
        </w:tc>
        <w:tc>
          <w:tcPr>
            <w:tcW w:w="359" w:type="pct"/>
            <w:noWrap/>
            <w:vAlign w:val="center"/>
          </w:tcPr>
          <w:p w14:paraId="1D5620E0">
            <w:pPr>
              <w:widowControl/>
              <w:jc w:val="center"/>
              <w:textAlignment w:val="center"/>
              <w:rPr>
                <w:sz w:val="18"/>
                <w:szCs w:val="18"/>
              </w:rPr>
            </w:pPr>
            <w:r>
              <w:rPr>
                <w:kern w:val="0"/>
                <w:sz w:val="18"/>
                <w:szCs w:val="18"/>
                <w:lang w:bidi="ar"/>
              </w:rPr>
              <w:t>0.001</w:t>
            </w:r>
          </w:p>
        </w:tc>
        <w:tc>
          <w:tcPr>
            <w:tcW w:w="315" w:type="pct"/>
            <w:noWrap/>
            <w:vAlign w:val="center"/>
          </w:tcPr>
          <w:p w14:paraId="553FF6D5">
            <w:pPr>
              <w:widowControl/>
              <w:jc w:val="center"/>
              <w:textAlignment w:val="center"/>
              <w:rPr>
                <w:sz w:val="18"/>
                <w:szCs w:val="18"/>
              </w:rPr>
            </w:pPr>
            <w:r>
              <w:rPr>
                <w:kern w:val="0"/>
                <w:sz w:val="18"/>
                <w:szCs w:val="18"/>
                <w:lang w:bidi="ar"/>
              </w:rPr>
              <w:t>0.05</w:t>
            </w:r>
          </w:p>
        </w:tc>
        <w:tc>
          <w:tcPr>
            <w:tcW w:w="302" w:type="pct"/>
            <w:noWrap/>
            <w:vAlign w:val="center"/>
          </w:tcPr>
          <w:p w14:paraId="2F4C944A">
            <w:pPr>
              <w:widowControl/>
              <w:jc w:val="center"/>
              <w:textAlignment w:val="center"/>
              <w:rPr>
                <w:sz w:val="18"/>
                <w:szCs w:val="18"/>
              </w:rPr>
            </w:pPr>
            <w:r>
              <w:rPr>
                <w:kern w:val="0"/>
                <w:sz w:val="18"/>
                <w:szCs w:val="18"/>
                <w:lang w:bidi="ar"/>
              </w:rPr>
              <w:t>450</w:t>
            </w:r>
          </w:p>
        </w:tc>
        <w:tc>
          <w:tcPr>
            <w:tcW w:w="276" w:type="pct"/>
            <w:noWrap/>
            <w:vAlign w:val="center"/>
          </w:tcPr>
          <w:p w14:paraId="489BA5F9">
            <w:pPr>
              <w:widowControl/>
              <w:jc w:val="center"/>
              <w:textAlignment w:val="center"/>
              <w:rPr>
                <w:sz w:val="18"/>
                <w:szCs w:val="18"/>
              </w:rPr>
            </w:pPr>
            <w:r>
              <w:rPr>
                <w:kern w:val="0"/>
                <w:sz w:val="18"/>
                <w:szCs w:val="18"/>
                <w:lang w:bidi="ar"/>
              </w:rPr>
              <w:t>0.01</w:t>
            </w:r>
          </w:p>
        </w:tc>
        <w:tc>
          <w:tcPr>
            <w:tcW w:w="267" w:type="pct"/>
            <w:noWrap/>
            <w:vAlign w:val="center"/>
          </w:tcPr>
          <w:p w14:paraId="0A7C8729">
            <w:pPr>
              <w:widowControl/>
              <w:jc w:val="center"/>
              <w:textAlignment w:val="center"/>
              <w:rPr>
                <w:sz w:val="18"/>
                <w:szCs w:val="18"/>
              </w:rPr>
            </w:pPr>
            <w:r>
              <w:rPr>
                <w:kern w:val="0"/>
                <w:sz w:val="18"/>
                <w:szCs w:val="18"/>
                <w:lang w:bidi="ar"/>
              </w:rPr>
              <w:t>1</w:t>
            </w:r>
          </w:p>
        </w:tc>
        <w:tc>
          <w:tcPr>
            <w:tcW w:w="293" w:type="pct"/>
            <w:noWrap/>
            <w:vAlign w:val="center"/>
          </w:tcPr>
          <w:p w14:paraId="66FE76AA">
            <w:pPr>
              <w:widowControl/>
              <w:jc w:val="center"/>
              <w:textAlignment w:val="center"/>
              <w:rPr>
                <w:sz w:val="18"/>
                <w:szCs w:val="18"/>
              </w:rPr>
            </w:pPr>
            <w:r>
              <w:rPr>
                <w:kern w:val="0"/>
                <w:sz w:val="18"/>
                <w:szCs w:val="18"/>
                <w:lang w:bidi="ar"/>
              </w:rPr>
              <w:t>0.005</w:t>
            </w:r>
          </w:p>
        </w:tc>
        <w:tc>
          <w:tcPr>
            <w:tcW w:w="302" w:type="pct"/>
            <w:noWrap/>
            <w:vAlign w:val="center"/>
          </w:tcPr>
          <w:p w14:paraId="6C490FAE">
            <w:pPr>
              <w:widowControl/>
              <w:jc w:val="center"/>
              <w:textAlignment w:val="center"/>
              <w:rPr>
                <w:sz w:val="18"/>
                <w:szCs w:val="18"/>
              </w:rPr>
            </w:pPr>
            <w:r>
              <w:rPr>
                <w:kern w:val="0"/>
                <w:sz w:val="18"/>
                <w:szCs w:val="18"/>
                <w:lang w:bidi="ar"/>
              </w:rPr>
              <w:t>0.3</w:t>
            </w:r>
          </w:p>
        </w:tc>
        <w:tc>
          <w:tcPr>
            <w:tcW w:w="303" w:type="pct"/>
            <w:noWrap/>
            <w:vAlign w:val="center"/>
          </w:tcPr>
          <w:p w14:paraId="165536DD">
            <w:pPr>
              <w:widowControl/>
              <w:jc w:val="center"/>
              <w:textAlignment w:val="center"/>
              <w:rPr>
                <w:sz w:val="18"/>
                <w:szCs w:val="18"/>
              </w:rPr>
            </w:pPr>
            <w:r>
              <w:rPr>
                <w:kern w:val="0"/>
                <w:sz w:val="18"/>
                <w:szCs w:val="18"/>
                <w:lang w:bidi="ar"/>
              </w:rPr>
              <w:t>0.1</w:t>
            </w:r>
          </w:p>
        </w:tc>
      </w:tr>
      <w:tr w14:paraId="0638B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49" w:type="pct"/>
            <w:vMerge w:val="continue"/>
            <w:shd w:val="clear" w:color="auto" w:fill="auto"/>
            <w:noWrap w:val="0"/>
            <w:vAlign w:val="center"/>
          </w:tcPr>
          <w:p w14:paraId="4AC85299">
            <w:pPr>
              <w:jc w:val="center"/>
              <w:rPr>
                <w:sz w:val="18"/>
                <w:szCs w:val="18"/>
              </w:rPr>
            </w:pPr>
          </w:p>
        </w:tc>
        <w:tc>
          <w:tcPr>
            <w:tcW w:w="381" w:type="pct"/>
            <w:shd w:val="clear" w:color="auto" w:fill="D7D7D7"/>
            <w:noWrap w:val="0"/>
            <w:vAlign w:val="center"/>
          </w:tcPr>
          <w:p w14:paraId="2B00DFD2">
            <w:pPr>
              <w:widowControl/>
              <w:jc w:val="center"/>
              <w:textAlignment w:val="center"/>
              <w:rPr>
                <w:sz w:val="18"/>
                <w:szCs w:val="18"/>
              </w:rPr>
            </w:pPr>
            <w:r>
              <w:rPr>
                <w:kern w:val="0"/>
                <w:sz w:val="18"/>
                <w:szCs w:val="18"/>
                <w:lang w:bidi="ar"/>
              </w:rPr>
              <w:t>最大标准指数</w:t>
            </w:r>
          </w:p>
        </w:tc>
        <w:tc>
          <w:tcPr>
            <w:tcW w:w="278" w:type="pct"/>
            <w:noWrap/>
            <w:vAlign w:val="center"/>
          </w:tcPr>
          <w:p w14:paraId="5B203EF9">
            <w:pPr>
              <w:widowControl/>
              <w:jc w:val="center"/>
              <w:textAlignment w:val="center"/>
              <w:rPr>
                <w:sz w:val="18"/>
                <w:szCs w:val="18"/>
              </w:rPr>
            </w:pPr>
            <w:r>
              <w:rPr>
                <w:kern w:val="0"/>
                <w:sz w:val="18"/>
                <w:szCs w:val="18"/>
                <w:lang w:bidi="ar"/>
              </w:rPr>
              <w:t>0.26</w:t>
            </w:r>
          </w:p>
        </w:tc>
        <w:tc>
          <w:tcPr>
            <w:tcW w:w="218" w:type="pct"/>
            <w:noWrap/>
            <w:vAlign w:val="center"/>
          </w:tcPr>
          <w:p w14:paraId="648D5888">
            <w:pPr>
              <w:widowControl/>
              <w:jc w:val="center"/>
              <w:textAlignment w:val="center"/>
              <w:rPr>
                <w:sz w:val="18"/>
                <w:szCs w:val="18"/>
              </w:rPr>
            </w:pPr>
            <w:r>
              <w:rPr>
                <w:kern w:val="0"/>
                <w:sz w:val="18"/>
                <w:szCs w:val="18"/>
                <w:lang w:bidi="ar"/>
              </w:rPr>
              <w:t>0.19</w:t>
            </w:r>
          </w:p>
        </w:tc>
        <w:tc>
          <w:tcPr>
            <w:tcW w:w="218" w:type="pct"/>
            <w:noWrap/>
            <w:vAlign w:val="center"/>
          </w:tcPr>
          <w:p w14:paraId="4843E747">
            <w:pPr>
              <w:widowControl/>
              <w:jc w:val="center"/>
              <w:textAlignment w:val="center"/>
              <w:rPr>
                <w:sz w:val="18"/>
                <w:szCs w:val="18"/>
              </w:rPr>
            </w:pPr>
            <w:r>
              <w:rPr>
                <w:kern w:val="0"/>
                <w:sz w:val="18"/>
                <w:szCs w:val="18"/>
                <w:lang w:bidi="ar"/>
              </w:rPr>
              <w:t>0.04</w:t>
            </w:r>
          </w:p>
        </w:tc>
        <w:tc>
          <w:tcPr>
            <w:tcW w:w="333" w:type="pct"/>
            <w:noWrap/>
            <w:vAlign w:val="center"/>
          </w:tcPr>
          <w:p w14:paraId="489FC212">
            <w:pPr>
              <w:widowControl/>
              <w:jc w:val="center"/>
              <w:textAlignment w:val="center"/>
              <w:rPr>
                <w:sz w:val="18"/>
                <w:szCs w:val="18"/>
              </w:rPr>
            </w:pPr>
            <w:r>
              <w:rPr>
                <w:sz w:val="18"/>
                <w:szCs w:val="18"/>
              </w:rPr>
              <w:t>/</w:t>
            </w:r>
          </w:p>
        </w:tc>
        <w:tc>
          <w:tcPr>
            <w:tcW w:w="359" w:type="pct"/>
            <w:noWrap/>
            <w:vAlign w:val="center"/>
          </w:tcPr>
          <w:p w14:paraId="63C7E47A">
            <w:pPr>
              <w:widowControl/>
              <w:jc w:val="center"/>
              <w:textAlignment w:val="center"/>
              <w:rPr>
                <w:sz w:val="18"/>
                <w:szCs w:val="18"/>
              </w:rPr>
            </w:pPr>
            <w:r>
              <w:rPr>
                <w:sz w:val="18"/>
                <w:szCs w:val="18"/>
              </w:rPr>
              <w:t>/</w:t>
            </w:r>
          </w:p>
        </w:tc>
        <w:tc>
          <w:tcPr>
            <w:tcW w:w="355" w:type="pct"/>
            <w:noWrap/>
            <w:vAlign w:val="center"/>
          </w:tcPr>
          <w:p w14:paraId="0DAC7DD6">
            <w:pPr>
              <w:widowControl/>
              <w:jc w:val="center"/>
              <w:textAlignment w:val="center"/>
              <w:rPr>
                <w:sz w:val="18"/>
                <w:szCs w:val="18"/>
              </w:rPr>
            </w:pPr>
            <w:r>
              <w:rPr>
                <w:sz w:val="18"/>
                <w:szCs w:val="18"/>
              </w:rPr>
              <w:t>/</w:t>
            </w:r>
          </w:p>
        </w:tc>
        <w:tc>
          <w:tcPr>
            <w:tcW w:w="284" w:type="pct"/>
            <w:noWrap/>
            <w:vAlign w:val="center"/>
          </w:tcPr>
          <w:p w14:paraId="1CD6EFA9">
            <w:pPr>
              <w:widowControl/>
              <w:jc w:val="center"/>
              <w:textAlignment w:val="center"/>
              <w:rPr>
                <w:sz w:val="18"/>
                <w:szCs w:val="18"/>
              </w:rPr>
            </w:pPr>
            <w:r>
              <w:rPr>
                <w:kern w:val="0"/>
                <w:sz w:val="18"/>
                <w:szCs w:val="18"/>
                <w:lang w:bidi="ar"/>
              </w:rPr>
              <w:t>0.61</w:t>
            </w:r>
          </w:p>
        </w:tc>
        <w:tc>
          <w:tcPr>
            <w:tcW w:w="359" w:type="pct"/>
            <w:noWrap/>
            <w:vAlign w:val="center"/>
          </w:tcPr>
          <w:p w14:paraId="508BECC5">
            <w:pPr>
              <w:widowControl/>
              <w:jc w:val="center"/>
              <w:textAlignment w:val="center"/>
              <w:rPr>
                <w:sz w:val="18"/>
                <w:szCs w:val="18"/>
              </w:rPr>
            </w:pPr>
            <w:r>
              <w:rPr>
                <w:sz w:val="18"/>
                <w:szCs w:val="18"/>
              </w:rPr>
              <w:t>/</w:t>
            </w:r>
          </w:p>
        </w:tc>
        <w:tc>
          <w:tcPr>
            <w:tcW w:w="315" w:type="pct"/>
            <w:noWrap/>
            <w:vAlign w:val="center"/>
          </w:tcPr>
          <w:p w14:paraId="61B6FF26">
            <w:pPr>
              <w:widowControl/>
              <w:jc w:val="center"/>
              <w:textAlignment w:val="center"/>
              <w:rPr>
                <w:sz w:val="18"/>
                <w:szCs w:val="18"/>
              </w:rPr>
            </w:pPr>
            <w:r>
              <w:rPr>
                <w:sz w:val="18"/>
                <w:szCs w:val="18"/>
              </w:rPr>
              <w:t>/</w:t>
            </w:r>
          </w:p>
        </w:tc>
        <w:tc>
          <w:tcPr>
            <w:tcW w:w="302" w:type="pct"/>
            <w:noWrap/>
            <w:vAlign w:val="center"/>
          </w:tcPr>
          <w:p w14:paraId="10611836">
            <w:pPr>
              <w:widowControl/>
              <w:jc w:val="center"/>
              <w:textAlignment w:val="center"/>
              <w:rPr>
                <w:sz w:val="18"/>
                <w:szCs w:val="18"/>
              </w:rPr>
            </w:pPr>
            <w:r>
              <w:rPr>
                <w:kern w:val="0"/>
                <w:sz w:val="18"/>
                <w:szCs w:val="18"/>
                <w:lang w:bidi="ar"/>
              </w:rPr>
              <w:t>0.58</w:t>
            </w:r>
          </w:p>
        </w:tc>
        <w:tc>
          <w:tcPr>
            <w:tcW w:w="276" w:type="pct"/>
            <w:noWrap/>
            <w:vAlign w:val="center"/>
          </w:tcPr>
          <w:p w14:paraId="0391DC52">
            <w:pPr>
              <w:widowControl/>
              <w:jc w:val="center"/>
              <w:textAlignment w:val="center"/>
              <w:rPr>
                <w:sz w:val="18"/>
                <w:szCs w:val="18"/>
              </w:rPr>
            </w:pPr>
            <w:r>
              <w:rPr>
                <w:sz w:val="18"/>
                <w:szCs w:val="18"/>
              </w:rPr>
              <w:t>/</w:t>
            </w:r>
          </w:p>
        </w:tc>
        <w:tc>
          <w:tcPr>
            <w:tcW w:w="267" w:type="pct"/>
            <w:noWrap/>
            <w:vAlign w:val="center"/>
          </w:tcPr>
          <w:p w14:paraId="672E89AE">
            <w:pPr>
              <w:widowControl/>
              <w:jc w:val="center"/>
              <w:textAlignment w:val="center"/>
              <w:rPr>
                <w:sz w:val="18"/>
                <w:szCs w:val="18"/>
              </w:rPr>
            </w:pPr>
            <w:r>
              <w:rPr>
                <w:kern w:val="0"/>
                <w:sz w:val="18"/>
                <w:szCs w:val="18"/>
                <w:lang w:bidi="ar"/>
              </w:rPr>
              <w:t>0.25</w:t>
            </w:r>
          </w:p>
        </w:tc>
        <w:tc>
          <w:tcPr>
            <w:tcW w:w="293" w:type="pct"/>
            <w:noWrap/>
            <w:vAlign w:val="center"/>
          </w:tcPr>
          <w:p w14:paraId="3DD84DAC">
            <w:pPr>
              <w:widowControl/>
              <w:jc w:val="center"/>
              <w:textAlignment w:val="center"/>
              <w:rPr>
                <w:sz w:val="18"/>
                <w:szCs w:val="18"/>
              </w:rPr>
            </w:pPr>
            <w:r>
              <w:rPr>
                <w:sz w:val="18"/>
                <w:szCs w:val="18"/>
              </w:rPr>
              <w:t>/</w:t>
            </w:r>
          </w:p>
        </w:tc>
        <w:tc>
          <w:tcPr>
            <w:tcW w:w="302" w:type="pct"/>
            <w:noWrap/>
            <w:vAlign w:val="center"/>
          </w:tcPr>
          <w:p w14:paraId="6548C33E">
            <w:pPr>
              <w:widowControl/>
              <w:jc w:val="center"/>
              <w:textAlignment w:val="center"/>
              <w:rPr>
                <w:sz w:val="18"/>
                <w:szCs w:val="18"/>
              </w:rPr>
            </w:pPr>
            <w:r>
              <w:rPr>
                <w:sz w:val="18"/>
                <w:szCs w:val="18"/>
              </w:rPr>
              <w:t>/</w:t>
            </w:r>
          </w:p>
        </w:tc>
        <w:tc>
          <w:tcPr>
            <w:tcW w:w="303" w:type="pct"/>
            <w:noWrap/>
            <w:vAlign w:val="center"/>
          </w:tcPr>
          <w:p w14:paraId="69E7C3A2">
            <w:pPr>
              <w:widowControl/>
              <w:jc w:val="center"/>
              <w:textAlignment w:val="center"/>
              <w:rPr>
                <w:sz w:val="18"/>
                <w:szCs w:val="18"/>
              </w:rPr>
            </w:pPr>
            <w:r>
              <w:rPr>
                <w:sz w:val="18"/>
                <w:szCs w:val="18"/>
              </w:rPr>
              <w:t>/</w:t>
            </w:r>
          </w:p>
        </w:tc>
      </w:tr>
      <w:tr w14:paraId="50B462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70EC1EFA">
            <w:pPr>
              <w:jc w:val="center"/>
              <w:rPr>
                <w:sz w:val="18"/>
                <w:szCs w:val="18"/>
              </w:rPr>
            </w:pPr>
          </w:p>
        </w:tc>
        <w:tc>
          <w:tcPr>
            <w:tcW w:w="381" w:type="pct"/>
            <w:shd w:val="clear" w:color="auto" w:fill="D7D7D7"/>
            <w:noWrap w:val="0"/>
            <w:vAlign w:val="center"/>
          </w:tcPr>
          <w:p w14:paraId="45D68E58">
            <w:pPr>
              <w:widowControl/>
              <w:jc w:val="center"/>
              <w:textAlignment w:val="center"/>
              <w:rPr>
                <w:sz w:val="18"/>
                <w:szCs w:val="18"/>
              </w:rPr>
            </w:pPr>
            <w:r>
              <w:rPr>
                <w:kern w:val="0"/>
                <w:sz w:val="18"/>
                <w:szCs w:val="18"/>
                <w:lang w:bidi="ar"/>
              </w:rPr>
              <w:t>达标情况</w:t>
            </w:r>
          </w:p>
        </w:tc>
        <w:tc>
          <w:tcPr>
            <w:tcW w:w="278" w:type="pct"/>
            <w:noWrap/>
            <w:vAlign w:val="center"/>
          </w:tcPr>
          <w:p w14:paraId="33C0A2DC">
            <w:pPr>
              <w:widowControl/>
              <w:jc w:val="center"/>
              <w:textAlignment w:val="center"/>
              <w:rPr>
                <w:sz w:val="18"/>
                <w:szCs w:val="18"/>
              </w:rPr>
            </w:pPr>
            <w:r>
              <w:rPr>
                <w:kern w:val="0"/>
                <w:sz w:val="18"/>
                <w:szCs w:val="18"/>
                <w:lang w:bidi="ar"/>
              </w:rPr>
              <w:t>达标</w:t>
            </w:r>
          </w:p>
        </w:tc>
        <w:tc>
          <w:tcPr>
            <w:tcW w:w="218" w:type="pct"/>
            <w:noWrap/>
            <w:vAlign w:val="center"/>
          </w:tcPr>
          <w:p w14:paraId="6A0619CE">
            <w:pPr>
              <w:widowControl/>
              <w:jc w:val="center"/>
              <w:textAlignment w:val="center"/>
              <w:rPr>
                <w:sz w:val="18"/>
                <w:szCs w:val="18"/>
              </w:rPr>
            </w:pPr>
            <w:r>
              <w:rPr>
                <w:kern w:val="0"/>
                <w:sz w:val="18"/>
                <w:szCs w:val="18"/>
                <w:lang w:bidi="ar"/>
              </w:rPr>
              <w:t>达标</w:t>
            </w:r>
          </w:p>
        </w:tc>
        <w:tc>
          <w:tcPr>
            <w:tcW w:w="218" w:type="pct"/>
            <w:noWrap/>
            <w:vAlign w:val="center"/>
          </w:tcPr>
          <w:p w14:paraId="30B1385F">
            <w:pPr>
              <w:widowControl/>
              <w:jc w:val="center"/>
              <w:textAlignment w:val="center"/>
              <w:rPr>
                <w:sz w:val="18"/>
                <w:szCs w:val="18"/>
              </w:rPr>
            </w:pPr>
            <w:r>
              <w:rPr>
                <w:kern w:val="0"/>
                <w:sz w:val="18"/>
                <w:szCs w:val="18"/>
                <w:lang w:bidi="ar"/>
              </w:rPr>
              <w:t>达标</w:t>
            </w:r>
          </w:p>
        </w:tc>
        <w:tc>
          <w:tcPr>
            <w:tcW w:w="333" w:type="pct"/>
            <w:noWrap/>
            <w:vAlign w:val="center"/>
          </w:tcPr>
          <w:p w14:paraId="21601875">
            <w:pPr>
              <w:widowControl/>
              <w:jc w:val="center"/>
              <w:textAlignment w:val="center"/>
              <w:rPr>
                <w:sz w:val="18"/>
                <w:szCs w:val="18"/>
              </w:rPr>
            </w:pPr>
            <w:r>
              <w:rPr>
                <w:kern w:val="0"/>
                <w:sz w:val="18"/>
                <w:szCs w:val="18"/>
                <w:lang w:bidi="ar"/>
              </w:rPr>
              <w:t>达标</w:t>
            </w:r>
          </w:p>
        </w:tc>
        <w:tc>
          <w:tcPr>
            <w:tcW w:w="359" w:type="pct"/>
            <w:noWrap/>
            <w:vAlign w:val="center"/>
          </w:tcPr>
          <w:p w14:paraId="5EC3CFD4">
            <w:pPr>
              <w:widowControl/>
              <w:jc w:val="center"/>
              <w:textAlignment w:val="center"/>
              <w:rPr>
                <w:sz w:val="18"/>
                <w:szCs w:val="18"/>
              </w:rPr>
            </w:pPr>
            <w:r>
              <w:rPr>
                <w:kern w:val="0"/>
                <w:sz w:val="18"/>
                <w:szCs w:val="18"/>
                <w:lang w:bidi="ar"/>
              </w:rPr>
              <w:t>达标</w:t>
            </w:r>
          </w:p>
        </w:tc>
        <w:tc>
          <w:tcPr>
            <w:tcW w:w="355" w:type="pct"/>
            <w:noWrap/>
            <w:vAlign w:val="center"/>
          </w:tcPr>
          <w:p w14:paraId="44C170E7">
            <w:pPr>
              <w:widowControl/>
              <w:jc w:val="center"/>
              <w:textAlignment w:val="center"/>
              <w:rPr>
                <w:sz w:val="18"/>
                <w:szCs w:val="18"/>
              </w:rPr>
            </w:pPr>
            <w:r>
              <w:rPr>
                <w:kern w:val="0"/>
                <w:sz w:val="18"/>
                <w:szCs w:val="18"/>
                <w:lang w:bidi="ar"/>
              </w:rPr>
              <w:t>达标</w:t>
            </w:r>
          </w:p>
        </w:tc>
        <w:tc>
          <w:tcPr>
            <w:tcW w:w="284" w:type="pct"/>
            <w:noWrap/>
            <w:vAlign w:val="center"/>
          </w:tcPr>
          <w:p w14:paraId="67EAC8A9">
            <w:pPr>
              <w:widowControl/>
              <w:jc w:val="center"/>
              <w:textAlignment w:val="center"/>
              <w:rPr>
                <w:sz w:val="18"/>
                <w:szCs w:val="18"/>
              </w:rPr>
            </w:pPr>
            <w:r>
              <w:rPr>
                <w:kern w:val="0"/>
                <w:sz w:val="18"/>
                <w:szCs w:val="18"/>
                <w:lang w:bidi="ar"/>
              </w:rPr>
              <w:t>达标</w:t>
            </w:r>
          </w:p>
        </w:tc>
        <w:tc>
          <w:tcPr>
            <w:tcW w:w="359" w:type="pct"/>
            <w:noWrap/>
            <w:vAlign w:val="center"/>
          </w:tcPr>
          <w:p w14:paraId="0DA050DA">
            <w:pPr>
              <w:widowControl/>
              <w:jc w:val="center"/>
              <w:textAlignment w:val="center"/>
              <w:rPr>
                <w:sz w:val="18"/>
                <w:szCs w:val="18"/>
              </w:rPr>
            </w:pPr>
            <w:r>
              <w:rPr>
                <w:kern w:val="0"/>
                <w:sz w:val="18"/>
                <w:szCs w:val="18"/>
                <w:lang w:bidi="ar"/>
              </w:rPr>
              <w:t>达标</w:t>
            </w:r>
          </w:p>
        </w:tc>
        <w:tc>
          <w:tcPr>
            <w:tcW w:w="315" w:type="pct"/>
            <w:noWrap/>
            <w:vAlign w:val="center"/>
          </w:tcPr>
          <w:p w14:paraId="12C05EF3">
            <w:pPr>
              <w:widowControl/>
              <w:jc w:val="center"/>
              <w:textAlignment w:val="center"/>
              <w:rPr>
                <w:sz w:val="18"/>
                <w:szCs w:val="18"/>
              </w:rPr>
            </w:pPr>
            <w:r>
              <w:rPr>
                <w:kern w:val="0"/>
                <w:sz w:val="18"/>
                <w:szCs w:val="18"/>
                <w:lang w:bidi="ar"/>
              </w:rPr>
              <w:t>达标</w:t>
            </w:r>
          </w:p>
        </w:tc>
        <w:tc>
          <w:tcPr>
            <w:tcW w:w="302" w:type="pct"/>
            <w:noWrap/>
            <w:vAlign w:val="center"/>
          </w:tcPr>
          <w:p w14:paraId="38F0FEC1">
            <w:pPr>
              <w:widowControl/>
              <w:jc w:val="center"/>
              <w:textAlignment w:val="center"/>
              <w:rPr>
                <w:sz w:val="18"/>
                <w:szCs w:val="18"/>
              </w:rPr>
            </w:pPr>
            <w:r>
              <w:rPr>
                <w:kern w:val="0"/>
                <w:sz w:val="18"/>
                <w:szCs w:val="18"/>
                <w:lang w:bidi="ar"/>
              </w:rPr>
              <w:t>达标</w:t>
            </w:r>
          </w:p>
        </w:tc>
        <w:tc>
          <w:tcPr>
            <w:tcW w:w="276" w:type="pct"/>
            <w:noWrap/>
            <w:vAlign w:val="center"/>
          </w:tcPr>
          <w:p w14:paraId="1CCB7929">
            <w:pPr>
              <w:widowControl/>
              <w:jc w:val="center"/>
              <w:textAlignment w:val="center"/>
              <w:rPr>
                <w:sz w:val="18"/>
                <w:szCs w:val="18"/>
              </w:rPr>
            </w:pPr>
            <w:r>
              <w:rPr>
                <w:kern w:val="0"/>
                <w:sz w:val="18"/>
                <w:szCs w:val="18"/>
                <w:lang w:bidi="ar"/>
              </w:rPr>
              <w:t>达标</w:t>
            </w:r>
          </w:p>
        </w:tc>
        <w:tc>
          <w:tcPr>
            <w:tcW w:w="267" w:type="pct"/>
            <w:noWrap/>
            <w:vAlign w:val="center"/>
          </w:tcPr>
          <w:p w14:paraId="2E708768">
            <w:pPr>
              <w:widowControl/>
              <w:jc w:val="center"/>
              <w:textAlignment w:val="center"/>
              <w:rPr>
                <w:sz w:val="18"/>
                <w:szCs w:val="18"/>
              </w:rPr>
            </w:pPr>
            <w:r>
              <w:rPr>
                <w:kern w:val="0"/>
                <w:sz w:val="18"/>
                <w:szCs w:val="18"/>
                <w:lang w:bidi="ar"/>
              </w:rPr>
              <w:t>达标</w:t>
            </w:r>
          </w:p>
        </w:tc>
        <w:tc>
          <w:tcPr>
            <w:tcW w:w="293" w:type="pct"/>
            <w:noWrap/>
            <w:vAlign w:val="center"/>
          </w:tcPr>
          <w:p w14:paraId="0431D1B8">
            <w:pPr>
              <w:widowControl/>
              <w:jc w:val="center"/>
              <w:textAlignment w:val="center"/>
              <w:rPr>
                <w:sz w:val="18"/>
                <w:szCs w:val="18"/>
              </w:rPr>
            </w:pPr>
            <w:r>
              <w:rPr>
                <w:kern w:val="0"/>
                <w:sz w:val="18"/>
                <w:szCs w:val="18"/>
                <w:lang w:bidi="ar"/>
              </w:rPr>
              <w:t>达标</w:t>
            </w:r>
          </w:p>
        </w:tc>
        <w:tc>
          <w:tcPr>
            <w:tcW w:w="302" w:type="pct"/>
            <w:noWrap/>
            <w:vAlign w:val="center"/>
          </w:tcPr>
          <w:p w14:paraId="0E6BCF76">
            <w:pPr>
              <w:widowControl/>
              <w:jc w:val="center"/>
              <w:textAlignment w:val="center"/>
              <w:rPr>
                <w:sz w:val="18"/>
                <w:szCs w:val="18"/>
              </w:rPr>
            </w:pPr>
            <w:r>
              <w:rPr>
                <w:kern w:val="0"/>
                <w:sz w:val="18"/>
                <w:szCs w:val="18"/>
                <w:lang w:bidi="ar"/>
              </w:rPr>
              <w:t>达标</w:t>
            </w:r>
          </w:p>
        </w:tc>
        <w:tc>
          <w:tcPr>
            <w:tcW w:w="303" w:type="pct"/>
            <w:noWrap/>
            <w:vAlign w:val="center"/>
          </w:tcPr>
          <w:p w14:paraId="042191C5">
            <w:pPr>
              <w:widowControl/>
              <w:jc w:val="center"/>
              <w:textAlignment w:val="center"/>
              <w:rPr>
                <w:sz w:val="18"/>
                <w:szCs w:val="18"/>
              </w:rPr>
            </w:pPr>
            <w:r>
              <w:rPr>
                <w:kern w:val="0"/>
                <w:sz w:val="18"/>
                <w:szCs w:val="18"/>
                <w:lang w:bidi="ar"/>
              </w:rPr>
              <w:t>达标</w:t>
            </w:r>
          </w:p>
        </w:tc>
      </w:tr>
      <w:tr w14:paraId="324B6A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vMerge w:val="continue"/>
            <w:shd w:val="clear" w:color="auto" w:fill="auto"/>
            <w:noWrap w:val="0"/>
            <w:vAlign w:val="center"/>
          </w:tcPr>
          <w:p w14:paraId="2A4FF77F">
            <w:pPr>
              <w:jc w:val="center"/>
              <w:rPr>
                <w:sz w:val="18"/>
                <w:szCs w:val="18"/>
              </w:rPr>
            </w:pPr>
          </w:p>
        </w:tc>
        <w:tc>
          <w:tcPr>
            <w:tcW w:w="381" w:type="pct"/>
            <w:shd w:val="clear" w:color="auto" w:fill="D7D7D7"/>
            <w:noWrap w:val="0"/>
            <w:vAlign w:val="center"/>
          </w:tcPr>
          <w:p w14:paraId="0B3A51D8">
            <w:pPr>
              <w:widowControl/>
              <w:snapToGrid w:val="0"/>
              <w:jc w:val="center"/>
              <w:textAlignment w:val="center"/>
              <w:rPr>
                <w:sz w:val="18"/>
                <w:szCs w:val="18"/>
              </w:rPr>
            </w:pPr>
            <w:r>
              <w:rPr>
                <w:kern w:val="0"/>
                <w:sz w:val="18"/>
                <w:szCs w:val="18"/>
                <w:lang w:bidi="ar"/>
              </w:rPr>
              <w:t>日期</w:t>
            </w:r>
          </w:p>
          <w:p w14:paraId="277321D5">
            <w:pPr>
              <w:widowControl/>
              <w:jc w:val="center"/>
              <w:textAlignment w:val="center"/>
              <w:rPr>
                <w:sz w:val="18"/>
                <w:szCs w:val="18"/>
              </w:rPr>
            </w:pPr>
            <w:r>
              <w:rPr>
                <w:sz w:val="18"/>
                <w:szCs w:val="18"/>
              </w:rPr>
              <w:t>项目</w:t>
            </w:r>
          </w:p>
        </w:tc>
        <w:tc>
          <w:tcPr>
            <w:tcW w:w="278" w:type="pct"/>
            <w:noWrap w:val="0"/>
            <w:vAlign w:val="center"/>
          </w:tcPr>
          <w:p w14:paraId="78054579">
            <w:pPr>
              <w:widowControl/>
              <w:jc w:val="center"/>
              <w:textAlignment w:val="center"/>
              <w:rPr>
                <w:sz w:val="18"/>
                <w:szCs w:val="18"/>
              </w:rPr>
            </w:pPr>
            <w:r>
              <w:rPr>
                <w:kern w:val="0"/>
                <w:sz w:val="18"/>
                <w:szCs w:val="18"/>
                <w:lang w:bidi="ar"/>
              </w:rPr>
              <w:t>溶解性总固体</w:t>
            </w:r>
          </w:p>
        </w:tc>
        <w:tc>
          <w:tcPr>
            <w:tcW w:w="218" w:type="pct"/>
            <w:noWrap w:val="0"/>
            <w:vAlign w:val="center"/>
          </w:tcPr>
          <w:p w14:paraId="6729FBC9">
            <w:pPr>
              <w:widowControl/>
              <w:jc w:val="center"/>
              <w:textAlignment w:val="center"/>
              <w:rPr>
                <w:sz w:val="18"/>
                <w:szCs w:val="18"/>
              </w:rPr>
            </w:pPr>
            <w:r>
              <w:rPr>
                <w:kern w:val="0"/>
                <w:sz w:val="18"/>
                <w:szCs w:val="18"/>
                <w:lang w:bidi="ar"/>
              </w:rPr>
              <w:t>耗氧量</w:t>
            </w:r>
          </w:p>
        </w:tc>
        <w:tc>
          <w:tcPr>
            <w:tcW w:w="218" w:type="pct"/>
            <w:noWrap w:val="0"/>
            <w:vAlign w:val="center"/>
          </w:tcPr>
          <w:p w14:paraId="681DD837">
            <w:pPr>
              <w:widowControl/>
              <w:jc w:val="center"/>
              <w:textAlignment w:val="center"/>
              <w:rPr>
                <w:sz w:val="18"/>
                <w:szCs w:val="18"/>
              </w:rPr>
            </w:pPr>
            <w:r>
              <w:rPr>
                <w:kern w:val="0"/>
                <w:sz w:val="18"/>
                <w:szCs w:val="18"/>
                <w:lang w:bidi="ar"/>
              </w:rPr>
              <w:t>氯化物</w:t>
            </w:r>
          </w:p>
        </w:tc>
        <w:tc>
          <w:tcPr>
            <w:tcW w:w="333" w:type="pct"/>
            <w:noWrap w:val="0"/>
            <w:vAlign w:val="center"/>
          </w:tcPr>
          <w:p w14:paraId="62F31C25">
            <w:pPr>
              <w:widowControl/>
              <w:jc w:val="center"/>
              <w:textAlignment w:val="center"/>
              <w:rPr>
                <w:sz w:val="18"/>
                <w:szCs w:val="18"/>
              </w:rPr>
            </w:pPr>
            <w:r>
              <w:rPr>
                <w:kern w:val="0"/>
                <w:sz w:val="18"/>
                <w:szCs w:val="18"/>
                <w:lang w:bidi="ar"/>
              </w:rPr>
              <w:t>总大肠菌群（MPN/100mL）</w:t>
            </w:r>
          </w:p>
        </w:tc>
        <w:tc>
          <w:tcPr>
            <w:tcW w:w="359" w:type="pct"/>
            <w:noWrap w:val="0"/>
            <w:vAlign w:val="center"/>
          </w:tcPr>
          <w:p w14:paraId="4F7591FE">
            <w:pPr>
              <w:widowControl/>
              <w:jc w:val="center"/>
              <w:textAlignment w:val="center"/>
              <w:rPr>
                <w:sz w:val="18"/>
                <w:szCs w:val="18"/>
              </w:rPr>
            </w:pPr>
            <w:r>
              <w:rPr>
                <w:kern w:val="0"/>
                <w:sz w:val="18"/>
                <w:szCs w:val="18"/>
                <w:lang w:bidi="ar"/>
              </w:rPr>
              <w:t>菌落总数（CFU/mL）</w:t>
            </w:r>
          </w:p>
        </w:tc>
        <w:tc>
          <w:tcPr>
            <w:tcW w:w="355" w:type="pct"/>
            <w:noWrap w:val="0"/>
            <w:vAlign w:val="center"/>
          </w:tcPr>
          <w:p w14:paraId="6B0306BA">
            <w:pPr>
              <w:widowControl/>
              <w:jc w:val="center"/>
              <w:textAlignment w:val="center"/>
              <w:rPr>
                <w:sz w:val="18"/>
                <w:szCs w:val="18"/>
              </w:rPr>
            </w:pPr>
            <w:r>
              <w:rPr>
                <w:kern w:val="0"/>
                <w:sz w:val="18"/>
                <w:szCs w:val="18"/>
                <w:lang w:bidi="ar"/>
              </w:rPr>
              <w:t>锌</w:t>
            </w:r>
          </w:p>
        </w:tc>
        <w:tc>
          <w:tcPr>
            <w:tcW w:w="284" w:type="pct"/>
            <w:noWrap w:val="0"/>
            <w:vAlign w:val="center"/>
          </w:tcPr>
          <w:p w14:paraId="0317F417">
            <w:pPr>
              <w:widowControl/>
              <w:jc w:val="center"/>
              <w:textAlignment w:val="center"/>
              <w:rPr>
                <w:sz w:val="18"/>
                <w:szCs w:val="18"/>
              </w:rPr>
            </w:pPr>
            <w:r>
              <w:rPr>
                <w:kern w:val="0"/>
                <w:sz w:val="18"/>
                <w:szCs w:val="18"/>
                <w:lang w:bidi="ar"/>
              </w:rPr>
              <w:t>钾离子（K+）</w:t>
            </w:r>
          </w:p>
        </w:tc>
        <w:tc>
          <w:tcPr>
            <w:tcW w:w="359" w:type="pct"/>
            <w:noWrap w:val="0"/>
            <w:vAlign w:val="center"/>
          </w:tcPr>
          <w:p w14:paraId="4FC870EB">
            <w:pPr>
              <w:widowControl/>
              <w:jc w:val="center"/>
              <w:textAlignment w:val="center"/>
              <w:rPr>
                <w:sz w:val="18"/>
                <w:szCs w:val="18"/>
              </w:rPr>
            </w:pPr>
            <w:r>
              <w:rPr>
                <w:kern w:val="0"/>
                <w:sz w:val="18"/>
                <w:szCs w:val="18"/>
                <w:lang w:bidi="ar"/>
              </w:rPr>
              <w:t>钠离子（Na+）</w:t>
            </w:r>
          </w:p>
        </w:tc>
        <w:tc>
          <w:tcPr>
            <w:tcW w:w="315" w:type="pct"/>
            <w:noWrap w:val="0"/>
            <w:vAlign w:val="center"/>
          </w:tcPr>
          <w:p w14:paraId="21B4094C">
            <w:pPr>
              <w:widowControl/>
              <w:jc w:val="center"/>
              <w:textAlignment w:val="center"/>
              <w:rPr>
                <w:sz w:val="18"/>
                <w:szCs w:val="18"/>
              </w:rPr>
            </w:pPr>
            <w:r>
              <w:rPr>
                <w:kern w:val="0"/>
                <w:sz w:val="18"/>
                <w:szCs w:val="18"/>
                <w:lang w:bidi="ar"/>
              </w:rPr>
              <w:t>钙离子（Ca2+）</w:t>
            </w:r>
          </w:p>
        </w:tc>
        <w:tc>
          <w:tcPr>
            <w:tcW w:w="302" w:type="pct"/>
            <w:noWrap w:val="0"/>
            <w:vAlign w:val="center"/>
          </w:tcPr>
          <w:p w14:paraId="0B6670DC">
            <w:pPr>
              <w:widowControl/>
              <w:jc w:val="center"/>
              <w:textAlignment w:val="center"/>
              <w:rPr>
                <w:sz w:val="18"/>
                <w:szCs w:val="18"/>
              </w:rPr>
            </w:pPr>
            <w:r>
              <w:rPr>
                <w:kern w:val="0"/>
                <w:sz w:val="18"/>
                <w:szCs w:val="18"/>
                <w:lang w:bidi="ar"/>
              </w:rPr>
              <w:t>镁离子（Mg2+）</w:t>
            </w:r>
          </w:p>
        </w:tc>
        <w:tc>
          <w:tcPr>
            <w:tcW w:w="276" w:type="pct"/>
            <w:noWrap w:val="0"/>
            <w:vAlign w:val="center"/>
          </w:tcPr>
          <w:p w14:paraId="70B45210">
            <w:pPr>
              <w:widowControl/>
              <w:jc w:val="center"/>
              <w:textAlignment w:val="center"/>
              <w:rPr>
                <w:sz w:val="18"/>
                <w:szCs w:val="18"/>
              </w:rPr>
            </w:pPr>
            <w:r>
              <w:rPr>
                <w:kern w:val="0"/>
                <w:sz w:val="18"/>
                <w:szCs w:val="18"/>
                <w:lang w:bidi="ar"/>
              </w:rPr>
              <w:t>碳酸根</w:t>
            </w:r>
          </w:p>
        </w:tc>
        <w:tc>
          <w:tcPr>
            <w:tcW w:w="267" w:type="pct"/>
            <w:noWrap w:val="0"/>
            <w:vAlign w:val="center"/>
          </w:tcPr>
          <w:p w14:paraId="35401901">
            <w:pPr>
              <w:widowControl/>
              <w:jc w:val="center"/>
              <w:textAlignment w:val="center"/>
              <w:rPr>
                <w:sz w:val="18"/>
                <w:szCs w:val="18"/>
              </w:rPr>
            </w:pPr>
            <w:r>
              <w:rPr>
                <w:kern w:val="0"/>
                <w:sz w:val="18"/>
                <w:szCs w:val="18"/>
                <w:lang w:bidi="ar"/>
              </w:rPr>
              <w:t>重碳酸根</w:t>
            </w:r>
          </w:p>
        </w:tc>
        <w:tc>
          <w:tcPr>
            <w:tcW w:w="293" w:type="pct"/>
            <w:noWrap w:val="0"/>
            <w:vAlign w:val="center"/>
          </w:tcPr>
          <w:p w14:paraId="5A0D2455">
            <w:pPr>
              <w:widowControl/>
              <w:jc w:val="center"/>
              <w:textAlignment w:val="center"/>
              <w:rPr>
                <w:sz w:val="18"/>
                <w:szCs w:val="18"/>
              </w:rPr>
            </w:pPr>
            <w:r>
              <w:rPr>
                <w:kern w:val="0"/>
                <w:sz w:val="18"/>
                <w:szCs w:val="18"/>
                <w:lang w:bidi="ar"/>
              </w:rPr>
              <w:t>氯离子（Cl-）</w:t>
            </w:r>
          </w:p>
        </w:tc>
        <w:tc>
          <w:tcPr>
            <w:tcW w:w="302" w:type="pct"/>
            <w:noWrap w:val="0"/>
            <w:vAlign w:val="center"/>
          </w:tcPr>
          <w:p w14:paraId="4612C10E">
            <w:pPr>
              <w:widowControl/>
              <w:jc w:val="center"/>
              <w:textAlignment w:val="center"/>
              <w:rPr>
                <w:sz w:val="18"/>
                <w:szCs w:val="18"/>
              </w:rPr>
            </w:pPr>
            <w:r>
              <w:rPr>
                <w:kern w:val="0"/>
                <w:sz w:val="18"/>
                <w:szCs w:val="18"/>
                <w:lang w:bidi="ar"/>
              </w:rPr>
              <w:t>硫酸根（SO42-）</w:t>
            </w:r>
          </w:p>
        </w:tc>
        <w:tc>
          <w:tcPr>
            <w:tcW w:w="303" w:type="pct"/>
            <w:noWrap/>
            <w:vAlign w:val="center"/>
          </w:tcPr>
          <w:p w14:paraId="2E1B0BFF">
            <w:pPr>
              <w:jc w:val="center"/>
              <w:rPr>
                <w:sz w:val="18"/>
                <w:szCs w:val="18"/>
              </w:rPr>
            </w:pPr>
            <w:r>
              <w:rPr>
                <w:sz w:val="18"/>
                <w:szCs w:val="18"/>
              </w:rPr>
              <w:t>/</w:t>
            </w:r>
          </w:p>
        </w:tc>
      </w:tr>
      <w:tr w14:paraId="3307E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3D93832C">
            <w:pPr>
              <w:jc w:val="center"/>
              <w:rPr>
                <w:sz w:val="18"/>
                <w:szCs w:val="18"/>
              </w:rPr>
            </w:pPr>
          </w:p>
        </w:tc>
        <w:tc>
          <w:tcPr>
            <w:tcW w:w="381" w:type="pct"/>
            <w:shd w:val="clear" w:color="auto" w:fill="D7D7D7"/>
            <w:noWrap w:val="0"/>
            <w:vAlign w:val="center"/>
          </w:tcPr>
          <w:p w14:paraId="15A98735">
            <w:pPr>
              <w:widowControl/>
              <w:jc w:val="center"/>
              <w:textAlignment w:val="center"/>
              <w:rPr>
                <w:sz w:val="18"/>
                <w:szCs w:val="18"/>
              </w:rPr>
            </w:pPr>
            <w:r>
              <w:rPr>
                <w:kern w:val="0"/>
                <w:sz w:val="18"/>
                <w:szCs w:val="18"/>
                <w:lang w:bidi="ar"/>
              </w:rPr>
              <w:t>2021/3/28</w:t>
            </w:r>
          </w:p>
        </w:tc>
        <w:tc>
          <w:tcPr>
            <w:tcW w:w="278" w:type="pct"/>
            <w:noWrap w:val="0"/>
            <w:vAlign w:val="center"/>
          </w:tcPr>
          <w:p w14:paraId="1DF4743F">
            <w:pPr>
              <w:widowControl/>
              <w:jc w:val="center"/>
              <w:textAlignment w:val="center"/>
              <w:rPr>
                <w:sz w:val="18"/>
                <w:szCs w:val="18"/>
              </w:rPr>
            </w:pPr>
            <w:r>
              <w:rPr>
                <w:kern w:val="0"/>
                <w:sz w:val="18"/>
                <w:szCs w:val="18"/>
                <w:lang w:bidi="ar"/>
              </w:rPr>
              <w:t>369</w:t>
            </w:r>
          </w:p>
        </w:tc>
        <w:tc>
          <w:tcPr>
            <w:tcW w:w="218" w:type="pct"/>
            <w:noWrap w:val="0"/>
            <w:vAlign w:val="center"/>
          </w:tcPr>
          <w:p w14:paraId="4F370434">
            <w:pPr>
              <w:widowControl/>
              <w:jc w:val="center"/>
              <w:textAlignment w:val="center"/>
              <w:rPr>
                <w:sz w:val="18"/>
                <w:szCs w:val="18"/>
              </w:rPr>
            </w:pPr>
            <w:r>
              <w:rPr>
                <w:kern w:val="0"/>
                <w:sz w:val="18"/>
                <w:szCs w:val="18"/>
                <w:lang w:bidi="ar"/>
              </w:rPr>
              <w:t>0.24</w:t>
            </w:r>
          </w:p>
        </w:tc>
        <w:tc>
          <w:tcPr>
            <w:tcW w:w="218" w:type="pct"/>
            <w:noWrap w:val="0"/>
            <w:vAlign w:val="center"/>
          </w:tcPr>
          <w:p w14:paraId="6BC208E9">
            <w:pPr>
              <w:widowControl/>
              <w:jc w:val="center"/>
              <w:textAlignment w:val="center"/>
              <w:rPr>
                <w:sz w:val="18"/>
                <w:szCs w:val="18"/>
              </w:rPr>
            </w:pPr>
            <w:r>
              <w:rPr>
                <w:kern w:val="0"/>
                <w:sz w:val="18"/>
                <w:szCs w:val="18"/>
                <w:lang w:bidi="ar"/>
              </w:rPr>
              <w:t>10L</w:t>
            </w:r>
          </w:p>
        </w:tc>
        <w:tc>
          <w:tcPr>
            <w:tcW w:w="333" w:type="pct"/>
            <w:noWrap w:val="0"/>
            <w:vAlign w:val="center"/>
          </w:tcPr>
          <w:p w14:paraId="11FA1B3D">
            <w:pPr>
              <w:widowControl/>
              <w:jc w:val="center"/>
              <w:textAlignment w:val="center"/>
              <w:rPr>
                <w:sz w:val="18"/>
                <w:szCs w:val="18"/>
              </w:rPr>
            </w:pPr>
            <w:r>
              <w:rPr>
                <w:kern w:val="0"/>
                <w:sz w:val="18"/>
                <w:szCs w:val="18"/>
                <w:lang w:bidi="ar"/>
              </w:rPr>
              <w:t>未检出</w:t>
            </w:r>
          </w:p>
        </w:tc>
        <w:tc>
          <w:tcPr>
            <w:tcW w:w="359" w:type="pct"/>
            <w:noWrap w:val="0"/>
            <w:vAlign w:val="center"/>
          </w:tcPr>
          <w:p w14:paraId="74C6EE2A">
            <w:pPr>
              <w:widowControl/>
              <w:jc w:val="center"/>
              <w:textAlignment w:val="center"/>
              <w:rPr>
                <w:sz w:val="18"/>
                <w:szCs w:val="18"/>
              </w:rPr>
            </w:pPr>
            <w:r>
              <w:rPr>
                <w:kern w:val="0"/>
                <w:sz w:val="18"/>
                <w:szCs w:val="18"/>
                <w:lang w:bidi="ar"/>
              </w:rPr>
              <w:t>90</w:t>
            </w:r>
          </w:p>
        </w:tc>
        <w:tc>
          <w:tcPr>
            <w:tcW w:w="355" w:type="pct"/>
            <w:noWrap w:val="0"/>
            <w:vAlign w:val="center"/>
          </w:tcPr>
          <w:p w14:paraId="738DACBA">
            <w:pPr>
              <w:widowControl/>
              <w:jc w:val="center"/>
              <w:textAlignment w:val="center"/>
              <w:rPr>
                <w:sz w:val="18"/>
                <w:szCs w:val="18"/>
              </w:rPr>
            </w:pPr>
            <w:r>
              <w:rPr>
                <w:kern w:val="0"/>
                <w:sz w:val="18"/>
                <w:szCs w:val="18"/>
                <w:lang w:bidi="ar"/>
              </w:rPr>
              <w:t>0.009L</w:t>
            </w:r>
          </w:p>
        </w:tc>
        <w:tc>
          <w:tcPr>
            <w:tcW w:w="284" w:type="pct"/>
            <w:noWrap w:val="0"/>
            <w:vAlign w:val="center"/>
          </w:tcPr>
          <w:p w14:paraId="0EDC4556">
            <w:pPr>
              <w:widowControl/>
              <w:jc w:val="center"/>
              <w:textAlignment w:val="center"/>
              <w:rPr>
                <w:sz w:val="18"/>
                <w:szCs w:val="18"/>
              </w:rPr>
            </w:pPr>
            <w:r>
              <w:rPr>
                <w:kern w:val="0"/>
                <w:sz w:val="18"/>
                <w:szCs w:val="18"/>
                <w:lang w:bidi="ar"/>
              </w:rPr>
              <w:t>0.79</w:t>
            </w:r>
          </w:p>
        </w:tc>
        <w:tc>
          <w:tcPr>
            <w:tcW w:w="359" w:type="pct"/>
            <w:noWrap w:val="0"/>
            <w:vAlign w:val="center"/>
          </w:tcPr>
          <w:p w14:paraId="004AEB13">
            <w:pPr>
              <w:widowControl/>
              <w:jc w:val="center"/>
              <w:textAlignment w:val="center"/>
              <w:rPr>
                <w:sz w:val="18"/>
                <w:szCs w:val="18"/>
              </w:rPr>
            </w:pPr>
            <w:r>
              <w:rPr>
                <w:kern w:val="0"/>
                <w:sz w:val="18"/>
                <w:szCs w:val="18"/>
                <w:lang w:bidi="ar"/>
              </w:rPr>
              <w:t>12.9</w:t>
            </w:r>
          </w:p>
        </w:tc>
        <w:tc>
          <w:tcPr>
            <w:tcW w:w="315" w:type="pct"/>
            <w:noWrap w:val="0"/>
            <w:vAlign w:val="center"/>
          </w:tcPr>
          <w:p w14:paraId="667C6AB1">
            <w:pPr>
              <w:widowControl/>
              <w:jc w:val="center"/>
              <w:textAlignment w:val="center"/>
              <w:rPr>
                <w:sz w:val="18"/>
                <w:szCs w:val="18"/>
              </w:rPr>
            </w:pPr>
            <w:r>
              <w:rPr>
                <w:kern w:val="0"/>
                <w:sz w:val="18"/>
                <w:szCs w:val="18"/>
                <w:lang w:bidi="ar"/>
              </w:rPr>
              <w:t>31.7</w:t>
            </w:r>
          </w:p>
        </w:tc>
        <w:tc>
          <w:tcPr>
            <w:tcW w:w="302" w:type="pct"/>
            <w:noWrap w:val="0"/>
            <w:vAlign w:val="center"/>
          </w:tcPr>
          <w:p w14:paraId="48A80443">
            <w:pPr>
              <w:widowControl/>
              <w:jc w:val="center"/>
              <w:textAlignment w:val="center"/>
              <w:rPr>
                <w:sz w:val="18"/>
                <w:szCs w:val="18"/>
              </w:rPr>
            </w:pPr>
            <w:r>
              <w:rPr>
                <w:kern w:val="0"/>
                <w:sz w:val="18"/>
                <w:szCs w:val="18"/>
                <w:lang w:bidi="ar"/>
              </w:rPr>
              <w:t>11.4</w:t>
            </w:r>
          </w:p>
        </w:tc>
        <w:tc>
          <w:tcPr>
            <w:tcW w:w="276" w:type="pct"/>
            <w:noWrap w:val="0"/>
            <w:vAlign w:val="center"/>
          </w:tcPr>
          <w:p w14:paraId="62ED498E">
            <w:pPr>
              <w:widowControl/>
              <w:jc w:val="center"/>
              <w:textAlignment w:val="center"/>
              <w:rPr>
                <w:sz w:val="18"/>
                <w:szCs w:val="18"/>
              </w:rPr>
            </w:pPr>
            <w:r>
              <w:rPr>
                <w:kern w:val="0"/>
                <w:sz w:val="18"/>
                <w:szCs w:val="18"/>
                <w:lang w:bidi="ar"/>
              </w:rPr>
              <w:t>12</w:t>
            </w:r>
          </w:p>
        </w:tc>
        <w:tc>
          <w:tcPr>
            <w:tcW w:w="267" w:type="pct"/>
            <w:noWrap w:val="0"/>
            <w:vAlign w:val="center"/>
          </w:tcPr>
          <w:p w14:paraId="2EAA6F60">
            <w:pPr>
              <w:widowControl/>
              <w:jc w:val="center"/>
              <w:textAlignment w:val="center"/>
              <w:rPr>
                <w:sz w:val="18"/>
                <w:szCs w:val="18"/>
              </w:rPr>
            </w:pPr>
            <w:r>
              <w:rPr>
                <w:kern w:val="0"/>
                <w:sz w:val="18"/>
                <w:szCs w:val="18"/>
                <w:lang w:bidi="ar"/>
              </w:rPr>
              <w:t>256</w:t>
            </w:r>
          </w:p>
        </w:tc>
        <w:tc>
          <w:tcPr>
            <w:tcW w:w="293" w:type="pct"/>
            <w:noWrap w:val="0"/>
            <w:vAlign w:val="center"/>
          </w:tcPr>
          <w:p w14:paraId="59F103E5">
            <w:pPr>
              <w:widowControl/>
              <w:jc w:val="center"/>
              <w:textAlignment w:val="center"/>
              <w:rPr>
                <w:sz w:val="18"/>
                <w:szCs w:val="18"/>
              </w:rPr>
            </w:pPr>
            <w:r>
              <w:rPr>
                <w:kern w:val="0"/>
                <w:sz w:val="18"/>
                <w:szCs w:val="18"/>
                <w:lang w:bidi="ar"/>
              </w:rPr>
              <w:t>2.28</w:t>
            </w:r>
          </w:p>
        </w:tc>
        <w:tc>
          <w:tcPr>
            <w:tcW w:w="302" w:type="pct"/>
            <w:noWrap w:val="0"/>
            <w:vAlign w:val="center"/>
          </w:tcPr>
          <w:p w14:paraId="53C493CE">
            <w:pPr>
              <w:widowControl/>
              <w:jc w:val="center"/>
              <w:textAlignment w:val="center"/>
              <w:rPr>
                <w:sz w:val="18"/>
                <w:szCs w:val="18"/>
              </w:rPr>
            </w:pPr>
            <w:r>
              <w:rPr>
                <w:kern w:val="0"/>
                <w:sz w:val="18"/>
                <w:szCs w:val="18"/>
                <w:lang w:bidi="ar"/>
              </w:rPr>
              <w:t>36</w:t>
            </w:r>
          </w:p>
        </w:tc>
        <w:tc>
          <w:tcPr>
            <w:tcW w:w="303" w:type="pct"/>
            <w:noWrap/>
            <w:vAlign w:val="center"/>
          </w:tcPr>
          <w:p w14:paraId="05B25A69">
            <w:pPr>
              <w:jc w:val="center"/>
              <w:rPr>
                <w:sz w:val="18"/>
                <w:szCs w:val="18"/>
              </w:rPr>
            </w:pPr>
            <w:r>
              <w:rPr>
                <w:sz w:val="18"/>
                <w:szCs w:val="18"/>
              </w:rPr>
              <w:t>/</w:t>
            </w:r>
          </w:p>
        </w:tc>
      </w:tr>
      <w:tr w14:paraId="45446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7723FD2F">
            <w:pPr>
              <w:jc w:val="center"/>
              <w:rPr>
                <w:sz w:val="18"/>
                <w:szCs w:val="18"/>
              </w:rPr>
            </w:pPr>
          </w:p>
        </w:tc>
        <w:tc>
          <w:tcPr>
            <w:tcW w:w="381" w:type="pct"/>
            <w:shd w:val="clear" w:color="auto" w:fill="D7D7D7"/>
            <w:noWrap w:val="0"/>
            <w:vAlign w:val="center"/>
          </w:tcPr>
          <w:p w14:paraId="0FAB8F39">
            <w:pPr>
              <w:widowControl/>
              <w:jc w:val="center"/>
              <w:textAlignment w:val="center"/>
              <w:rPr>
                <w:sz w:val="18"/>
                <w:szCs w:val="18"/>
              </w:rPr>
            </w:pPr>
            <w:r>
              <w:rPr>
                <w:kern w:val="0"/>
                <w:sz w:val="18"/>
                <w:szCs w:val="18"/>
                <w:lang w:bidi="ar"/>
              </w:rPr>
              <w:t>2021/3/29</w:t>
            </w:r>
          </w:p>
        </w:tc>
        <w:tc>
          <w:tcPr>
            <w:tcW w:w="278" w:type="pct"/>
            <w:noWrap w:val="0"/>
            <w:vAlign w:val="center"/>
          </w:tcPr>
          <w:p w14:paraId="46839636">
            <w:pPr>
              <w:widowControl/>
              <w:jc w:val="center"/>
              <w:textAlignment w:val="center"/>
              <w:rPr>
                <w:sz w:val="18"/>
                <w:szCs w:val="18"/>
              </w:rPr>
            </w:pPr>
            <w:r>
              <w:rPr>
                <w:kern w:val="0"/>
                <w:sz w:val="18"/>
                <w:szCs w:val="18"/>
                <w:lang w:bidi="ar"/>
              </w:rPr>
              <w:t>373</w:t>
            </w:r>
          </w:p>
        </w:tc>
        <w:tc>
          <w:tcPr>
            <w:tcW w:w="218" w:type="pct"/>
            <w:noWrap w:val="0"/>
            <w:vAlign w:val="center"/>
          </w:tcPr>
          <w:p w14:paraId="3A2AD13B">
            <w:pPr>
              <w:widowControl/>
              <w:jc w:val="center"/>
              <w:textAlignment w:val="center"/>
              <w:rPr>
                <w:sz w:val="18"/>
                <w:szCs w:val="18"/>
              </w:rPr>
            </w:pPr>
            <w:r>
              <w:rPr>
                <w:kern w:val="0"/>
                <w:sz w:val="18"/>
                <w:szCs w:val="18"/>
                <w:lang w:bidi="ar"/>
              </w:rPr>
              <w:t>0.26</w:t>
            </w:r>
          </w:p>
        </w:tc>
        <w:tc>
          <w:tcPr>
            <w:tcW w:w="218" w:type="pct"/>
            <w:noWrap w:val="0"/>
            <w:vAlign w:val="center"/>
          </w:tcPr>
          <w:p w14:paraId="3FC9C8BC">
            <w:pPr>
              <w:widowControl/>
              <w:jc w:val="center"/>
              <w:textAlignment w:val="center"/>
              <w:rPr>
                <w:sz w:val="18"/>
                <w:szCs w:val="18"/>
              </w:rPr>
            </w:pPr>
            <w:r>
              <w:rPr>
                <w:kern w:val="0"/>
                <w:sz w:val="18"/>
                <w:szCs w:val="18"/>
                <w:lang w:bidi="ar"/>
              </w:rPr>
              <w:t>10L</w:t>
            </w:r>
          </w:p>
        </w:tc>
        <w:tc>
          <w:tcPr>
            <w:tcW w:w="333" w:type="pct"/>
            <w:noWrap w:val="0"/>
            <w:vAlign w:val="center"/>
          </w:tcPr>
          <w:p w14:paraId="1FD30DFF">
            <w:pPr>
              <w:widowControl/>
              <w:jc w:val="center"/>
              <w:textAlignment w:val="center"/>
              <w:rPr>
                <w:sz w:val="18"/>
                <w:szCs w:val="18"/>
              </w:rPr>
            </w:pPr>
            <w:r>
              <w:rPr>
                <w:kern w:val="0"/>
                <w:sz w:val="18"/>
                <w:szCs w:val="18"/>
                <w:lang w:bidi="ar"/>
              </w:rPr>
              <w:t>未检出</w:t>
            </w:r>
          </w:p>
        </w:tc>
        <w:tc>
          <w:tcPr>
            <w:tcW w:w="359" w:type="pct"/>
            <w:noWrap w:val="0"/>
            <w:vAlign w:val="center"/>
          </w:tcPr>
          <w:p w14:paraId="542831FF">
            <w:pPr>
              <w:widowControl/>
              <w:jc w:val="center"/>
              <w:textAlignment w:val="center"/>
              <w:rPr>
                <w:sz w:val="18"/>
                <w:szCs w:val="18"/>
              </w:rPr>
            </w:pPr>
            <w:r>
              <w:rPr>
                <w:kern w:val="0"/>
                <w:sz w:val="18"/>
                <w:szCs w:val="18"/>
                <w:lang w:bidi="ar"/>
              </w:rPr>
              <w:t>70</w:t>
            </w:r>
          </w:p>
        </w:tc>
        <w:tc>
          <w:tcPr>
            <w:tcW w:w="355" w:type="pct"/>
            <w:noWrap w:val="0"/>
            <w:vAlign w:val="center"/>
          </w:tcPr>
          <w:p w14:paraId="731ACD0A">
            <w:pPr>
              <w:widowControl/>
              <w:jc w:val="center"/>
              <w:textAlignment w:val="center"/>
              <w:rPr>
                <w:sz w:val="18"/>
                <w:szCs w:val="18"/>
              </w:rPr>
            </w:pPr>
            <w:r>
              <w:rPr>
                <w:kern w:val="0"/>
                <w:sz w:val="18"/>
                <w:szCs w:val="18"/>
                <w:lang w:bidi="ar"/>
              </w:rPr>
              <w:t>0.009L</w:t>
            </w:r>
          </w:p>
        </w:tc>
        <w:tc>
          <w:tcPr>
            <w:tcW w:w="284" w:type="pct"/>
            <w:noWrap w:val="0"/>
            <w:vAlign w:val="center"/>
          </w:tcPr>
          <w:p w14:paraId="00604FD7">
            <w:pPr>
              <w:widowControl/>
              <w:jc w:val="center"/>
              <w:textAlignment w:val="center"/>
              <w:rPr>
                <w:sz w:val="18"/>
                <w:szCs w:val="18"/>
              </w:rPr>
            </w:pPr>
            <w:r>
              <w:rPr>
                <w:kern w:val="0"/>
                <w:sz w:val="18"/>
                <w:szCs w:val="18"/>
                <w:lang w:bidi="ar"/>
              </w:rPr>
              <w:t>0.78</w:t>
            </w:r>
          </w:p>
        </w:tc>
        <w:tc>
          <w:tcPr>
            <w:tcW w:w="359" w:type="pct"/>
            <w:noWrap w:val="0"/>
            <w:vAlign w:val="center"/>
          </w:tcPr>
          <w:p w14:paraId="0F513545">
            <w:pPr>
              <w:widowControl/>
              <w:jc w:val="center"/>
              <w:textAlignment w:val="center"/>
              <w:rPr>
                <w:sz w:val="18"/>
                <w:szCs w:val="18"/>
              </w:rPr>
            </w:pPr>
            <w:r>
              <w:rPr>
                <w:kern w:val="0"/>
                <w:sz w:val="18"/>
                <w:szCs w:val="18"/>
                <w:lang w:bidi="ar"/>
              </w:rPr>
              <w:t>12.9</w:t>
            </w:r>
          </w:p>
        </w:tc>
        <w:tc>
          <w:tcPr>
            <w:tcW w:w="315" w:type="pct"/>
            <w:noWrap w:val="0"/>
            <w:vAlign w:val="center"/>
          </w:tcPr>
          <w:p w14:paraId="575B50A4">
            <w:pPr>
              <w:widowControl/>
              <w:jc w:val="center"/>
              <w:textAlignment w:val="center"/>
              <w:rPr>
                <w:sz w:val="18"/>
                <w:szCs w:val="18"/>
              </w:rPr>
            </w:pPr>
            <w:r>
              <w:rPr>
                <w:kern w:val="0"/>
                <w:sz w:val="18"/>
                <w:szCs w:val="18"/>
                <w:lang w:bidi="ar"/>
              </w:rPr>
              <w:t>31.2</w:t>
            </w:r>
          </w:p>
        </w:tc>
        <w:tc>
          <w:tcPr>
            <w:tcW w:w="302" w:type="pct"/>
            <w:noWrap w:val="0"/>
            <w:vAlign w:val="center"/>
          </w:tcPr>
          <w:p w14:paraId="32EA204D">
            <w:pPr>
              <w:widowControl/>
              <w:jc w:val="center"/>
              <w:textAlignment w:val="center"/>
              <w:rPr>
                <w:sz w:val="18"/>
                <w:szCs w:val="18"/>
              </w:rPr>
            </w:pPr>
            <w:r>
              <w:rPr>
                <w:kern w:val="0"/>
                <w:sz w:val="18"/>
                <w:szCs w:val="18"/>
                <w:lang w:bidi="ar"/>
              </w:rPr>
              <w:t>11.3</w:t>
            </w:r>
          </w:p>
        </w:tc>
        <w:tc>
          <w:tcPr>
            <w:tcW w:w="276" w:type="pct"/>
            <w:noWrap w:val="0"/>
            <w:vAlign w:val="center"/>
          </w:tcPr>
          <w:p w14:paraId="457C2B75">
            <w:pPr>
              <w:widowControl/>
              <w:jc w:val="center"/>
              <w:textAlignment w:val="center"/>
              <w:rPr>
                <w:sz w:val="18"/>
                <w:szCs w:val="18"/>
              </w:rPr>
            </w:pPr>
            <w:r>
              <w:rPr>
                <w:kern w:val="0"/>
                <w:sz w:val="18"/>
                <w:szCs w:val="18"/>
                <w:lang w:bidi="ar"/>
              </w:rPr>
              <w:t>11</w:t>
            </w:r>
          </w:p>
        </w:tc>
        <w:tc>
          <w:tcPr>
            <w:tcW w:w="267" w:type="pct"/>
            <w:noWrap w:val="0"/>
            <w:vAlign w:val="center"/>
          </w:tcPr>
          <w:p w14:paraId="563CAABE">
            <w:pPr>
              <w:widowControl/>
              <w:jc w:val="center"/>
              <w:textAlignment w:val="center"/>
              <w:rPr>
                <w:sz w:val="18"/>
                <w:szCs w:val="18"/>
              </w:rPr>
            </w:pPr>
            <w:r>
              <w:rPr>
                <w:kern w:val="0"/>
                <w:sz w:val="18"/>
                <w:szCs w:val="18"/>
                <w:lang w:bidi="ar"/>
              </w:rPr>
              <w:t>251</w:t>
            </w:r>
          </w:p>
        </w:tc>
        <w:tc>
          <w:tcPr>
            <w:tcW w:w="293" w:type="pct"/>
            <w:noWrap w:val="0"/>
            <w:vAlign w:val="center"/>
          </w:tcPr>
          <w:p w14:paraId="0457F91A">
            <w:pPr>
              <w:widowControl/>
              <w:jc w:val="center"/>
              <w:textAlignment w:val="center"/>
              <w:rPr>
                <w:sz w:val="18"/>
                <w:szCs w:val="18"/>
              </w:rPr>
            </w:pPr>
            <w:r>
              <w:rPr>
                <w:kern w:val="0"/>
                <w:sz w:val="18"/>
                <w:szCs w:val="18"/>
                <w:lang w:bidi="ar"/>
              </w:rPr>
              <w:t>2.28</w:t>
            </w:r>
          </w:p>
        </w:tc>
        <w:tc>
          <w:tcPr>
            <w:tcW w:w="302" w:type="pct"/>
            <w:noWrap w:val="0"/>
            <w:vAlign w:val="center"/>
          </w:tcPr>
          <w:p w14:paraId="3DC4FCD2">
            <w:pPr>
              <w:widowControl/>
              <w:jc w:val="center"/>
              <w:textAlignment w:val="center"/>
              <w:rPr>
                <w:sz w:val="18"/>
                <w:szCs w:val="18"/>
              </w:rPr>
            </w:pPr>
            <w:r>
              <w:rPr>
                <w:kern w:val="0"/>
                <w:sz w:val="18"/>
                <w:szCs w:val="18"/>
                <w:lang w:bidi="ar"/>
              </w:rPr>
              <w:t>35.8</w:t>
            </w:r>
          </w:p>
        </w:tc>
        <w:tc>
          <w:tcPr>
            <w:tcW w:w="303" w:type="pct"/>
            <w:noWrap/>
            <w:vAlign w:val="center"/>
          </w:tcPr>
          <w:p w14:paraId="02ED502D">
            <w:pPr>
              <w:jc w:val="center"/>
              <w:rPr>
                <w:sz w:val="18"/>
                <w:szCs w:val="18"/>
              </w:rPr>
            </w:pPr>
            <w:r>
              <w:rPr>
                <w:sz w:val="18"/>
                <w:szCs w:val="18"/>
              </w:rPr>
              <w:t>/</w:t>
            </w:r>
          </w:p>
        </w:tc>
      </w:tr>
      <w:tr w14:paraId="31E07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149" w:type="pct"/>
            <w:vMerge w:val="continue"/>
            <w:shd w:val="clear" w:color="auto" w:fill="auto"/>
            <w:noWrap w:val="0"/>
            <w:vAlign w:val="center"/>
          </w:tcPr>
          <w:p w14:paraId="201A4B71">
            <w:pPr>
              <w:jc w:val="center"/>
              <w:rPr>
                <w:sz w:val="18"/>
                <w:szCs w:val="18"/>
              </w:rPr>
            </w:pPr>
          </w:p>
        </w:tc>
        <w:tc>
          <w:tcPr>
            <w:tcW w:w="381" w:type="pct"/>
            <w:shd w:val="clear" w:color="auto" w:fill="D7D7D7"/>
            <w:noWrap w:val="0"/>
            <w:vAlign w:val="center"/>
          </w:tcPr>
          <w:p w14:paraId="6307D417">
            <w:pPr>
              <w:widowControl/>
              <w:jc w:val="center"/>
              <w:textAlignment w:val="center"/>
              <w:rPr>
                <w:sz w:val="18"/>
                <w:szCs w:val="18"/>
              </w:rPr>
            </w:pPr>
            <w:r>
              <w:rPr>
                <w:kern w:val="0"/>
                <w:sz w:val="18"/>
                <w:szCs w:val="18"/>
                <w:lang w:bidi="ar"/>
              </w:rPr>
              <w:t>2021/3/30</w:t>
            </w:r>
          </w:p>
        </w:tc>
        <w:tc>
          <w:tcPr>
            <w:tcW w:w="278" w:type="pct"/>
            <w:noWrap w:val="0"/>
            <w:vAlign w:val="center"/>
          </w:tcPr>
          <w:p w14:paraId="0734A103">
            <w:pPr>
              <w:widowControl/>
              <w:jc w:val="center"/>
              <w:textAlignment w:val="center"/>
              <w:rPr>
                <w:sz w:val="18"/>
                <w:szCs w:val="18"/>
              </w:rPr>
            </w:pPr>
            <w:r>
              <w:rPr>
                <w:kern w:val="0"/>
                <w:sz w:val="18"/>
                <w:szCs w:val="18"/>
                <w:lang w:bidi="ar"/>
              </w:rPr>
              <w:t>364</w:t>
            </w:r>
          </w:p>
        </w:tc>
        <w:tc>
          <w:tcPr>
            <w:tcW w:w="218" w:type="pct"/>
            <w:noWrap w:val="0"/>
            <w:vAlign w:val="center"/>
          </w:tcPr>
          <w:p w14:paraId="5AC82EAB">
            <w:pPr>
              <w:widowControl/>
              <w:jc w:val="center"/>
              <w:textAlignment w:val="center"/>
              <w:rPr>
                <w:sz w:val="18"/>
                <w:szCs w:val="18"/>
              </w:rPr>
            </w:pPr>
            <w:r>
              <w:rPr>
                <w:kern w:val="0"/>
                <w:sz w:val="18"/>
                <w:szCs w:val="18"/>
                <w:lang w:bidi="ar"/>
              </w:rPr>
              <w:t>0.22</w:t>
            </w:r>
          </w:p>
        </w:tc>
        <w:tc>
          <w:tcPr>
            <w:tcW w:w="218" w:type="pct"/>
            <w:noWrap w:val="0"/>
            <w:vAlign w:val="center"/>
          </w:tcPr>
          <w:p w14:paraId="280A6A87">
            <w:pPr>
              <w:widowControl/>
              <w:jc w:val="center"/>
              <w:textAlignment w:val="center"/>
              <w:rPr>
                <w:sz w:val="18"/>
                <w:szCs w:val="18"/>
              </w:rPr>
            </w:pPr>
            <w:r>
              <w:rPr>
                <w:kern w:val="0"/>
                <w:sz w:val="18"/>
                <w:szCs w:val="18"/>
                <w:lang w:bidi="ar"/>
              </w:rPr>
              <w:t>10L</w:t>
            </w:r>
          </w:p>
        </w:tc>
        <w:tc>
          <w:tcPr>
            <w:tcW w:w="333" w:type="pct"/>
            <w:noWrap w:val="0"/>
            <w:vAlign w:val="center"/>
          </w:tcPr>
          <w:p w14:paraId="1BA00B06">
            <w:pPr>
              <w:widowControl/>
              <w:jc w:val="center"/>
              <w:textAlignment w:val="center"/>
              <w:rPr>
                <w:sz w:val="18"/>
                <w:szCs w:val="18"/>
              </w:rPr>
            </w:pPr>
            <w:r>
              <w:rPr>
                <w:kern w:val="0"/>
                <w:sz w:val="18"/>
                <w:szCs w:val="18"/>
                <w:lang w:bidi="ar"/>
              </w:rPr>
              <w:t>未检出</w:t>
            </w:r>
          </w:p>
        </w:tc>
        <w:tc>
          <w:tcPr>
            <w:tcW w:w="359" w:type="pct"/>
            <w:noWrap w:val="0"/>
            <w:vAlign w:val="center"/>
          </w:tcPr>
          <w:p w14:paraId="37F94BD2">
            <w:pPr>
              <w:widowControl/>
              <w:jc w:val="center"/>
              <w:textAlignment w:val="center"/>
              <w:rPr>
                <w:sz w:val="18"/>
                <w:szCs w:val="18"/>
              </w:rPr>
            </w:pPr>
            <w:r>
              <w:rPr>
                <w:kern w:val="0"/>
                <w:sz w:val="18"/>
                <w:szCs w:val="18"/>
                <w:lang w:bidi="ar"/>
              </w:rPr>
              <w:t>90</w:t>
            </w:r>
          </w:p>
        </w:tc>
        <w:tc>
          <w:tcPr>
            <w:tcW w:w="355" w:type="pct"/>
            <w:noWrap w:val="0"/>
            <w:vAlign w:val="center"/>
          </w:tcPr>
          <w:p w14:paraId="752BA8E5">
            <w:pPr>
              <w:widowControl/>
              <w:jc w:val="center"/>
              <w:textAlignment w:val="center"/>
              <w:rPr>
                <w:sz w:val="18"/>
                <w:szCs w:val="18"/>
              </w:rPr>
            </w:pPr>
            <w:r>
              <w:rPr>
                <w:kern w:val="0"/>
                <w:sz w:val="18"/>
                <w:szCs w:val="18"/>
                <w:lang w:bidi="ar"/>
              </w:rPr>
              <w:t>0.009L</w:t>
            </w:r>
          </w:p>
        </w:tc>
        <w:tc>
          <w:tcPr>
            <w:tcW w:w="284" w:type="pct"/>
            <w:noWrap w:val="0"/>
            <w:vAlign w:val="center"/>
          </w:tcPr>
          <w:p w14:paraId="4722DC87">
            <w:pPr>
              <w:widowControl/>
              <w:jc w:val="center"/>
              <w:textAlignment w:val="center"/>
              <w:rPr>
                <w:sz w:val="18"/>
                <w:szCs w:val="18"/>
              </w:rPr>
            </w:pPr>
            <w:r>
              <w:rPr>
                <w:kern w:val="0"/>
                <w:sz w:val="18"/>
                <w:szCs w:val="18"/>
                <w:lang w:bidi="ar"/>
              </w:rPr>
              <w:t>0.78</w:t>
            </w:r>
          </w:p>
        </w:tc>
        <w:tc>
          <w:tcPr>
            <w:tcW w:w="359" w:type="pct"/>
            <w:noWrap w:val="0"/>
            <w:vAlign w:val="center"/>
          </w:tcPr>
          <w:p w14:paraId="7269EC80">
            <w:pPr>
              <w:widowControl/>
              <w:jc w:val="center"/>
              <w:textAlignment w:val="center"/>
              <w:rPr>
                <w:sz w:val="18"/>
                <w:szCs w:val="18"/>
              </w:rPr>
            </w:pPr>
            <w:r>
              <w:rPr>
                <w:kern w:val="0"/>
                <w:sz w:val="18"/>
                <w:szCs w:val="18"/>
                <w:lang w:bidi="ar"/>
              </w:rPr>
              <w:t>12.9</w:t>
            </w:r>
          </w:p>
        </w:tc>
        <w:tc>
          <w:tcPr>
            <w:tcW w:w="315" w:type="pct"/>
            <w:noWrap w:val="0"/>
            <w:vAlign w:val="center"/>
          </w:tcPr>
          <w:p w14:paraId="4B5B2FCB">
            <w:pPr>
              <w:widowControl/>
              <w:jc w:val="center"/>
              <w:textAlignment w:val="center"/>
              <w:rPr>
                <w:sz w:val="18"/>
                <w:szCs w:val="18"/>
              </w:rPr>
            </w:pPr>
            <w:r>
              <w:rPr>
                <w:kern w:val="0"/>
                <w:sz w:val="18"/>
                <w:szCs w:val="18"/>
                <w:lang w:bidi="ar"/>
              </w:rPr>
              <w:t>30.8</w:t>
            </w:r>
          </w:p>
        </w:tc>
        <w:tc>
          <w:tcPr>
            <w:tcW w:w="302" w:type="pct"/>
            <w:noWrap w:val="0"/>
            <w:vAlign w:val="center"/>
          </w:tcPr>
          <w:p w14:paraId="18220342">
            <w:pPr>
              <w:widowControl/>
              <w:jc w:val="center"/>
              <w:textAlignment w:val="center"/>
              <w:rPr>
                <w:sz w:val="18"/>
                <w:szCs w:val="18"/>
              </w:rPr>
            </w:pPr>
            <w:r>
              <w:rPr>
                <w:kern w:val="0"/>
                <w:sz w:val="18"/>
                <w:szCs w:val="18"/>
                <w:lang w:bidi="ar"/>
              </w:rPr>
              <w:t>11.3</w:t>
            </w:r>
          </w:p>
        </w:tc>
        <w:tc>
          <w:tcPr>
            <w:tcW w:w="276" w:type="pct"/>
            <w:noWrap w:val="0"/>
            <w:vAlign w:val="center"/>
          </w:tcPr>
          <w:p w14:paraId="41481CCA">
            <w:pPr>
              <w:widowControl/>
              <w:jc w:val="center"/>
              <w:textAlignment w:val="center"/>
              <w:rPr>
                <w:sz w:val="18"/>
                <w:szCs w:val="18"/>
              </w:rPr>
            </w:pPr>
            <w:r>
              <w:rPr>
                <w:kern w:val="0"/>
                <w:sz w:val="18"/>
                <w:szCs w:val="18"/>
                <w:lang w:bidi="ar"/>
              </w:rPr>
              <w:t>10</w:t>
            </w:r>
          </w:p>
        </w:tc>
        <w:tc>
          <w:tcPr>
            <w:tcW w:w="267" w:type="pct"/>
            <w:noWrap w:val="0"/>
            <w:vAlign w:val="center"/>
          </w:tcPr>
          <w:p w14:paraId="1584C3AF">
            <w:pPr>
              <w:widowControl/>
              <w:jc w:val="center"/>
              <w:textAlignment w:val="center"/>
              <w:rPr>
                <w:sz w:val="18"/>
                <w:szCs w:val="18"/>
              </w:rPr>
            </w:pPr>
            <w:r>
              <w:rPr>
                <w:kern w:val="0"/>
                <w:sz w:val="18"/>
                <w:szCs w:val="18"/>
                <w:lang w:bidi="ar"/>
              </w:rPr>
              <w:t>260</w:t>
            </w:r>
          </w:p>
        </w:tc>
        <w:tc>
          <w:tcPr>
            <w:tcW w:w="293" w:type="pct"/>
            <w:noWrap w:val="0"/>
            <w:vAlign w:val="center"/>
          </w:tcPr>
          <w:p w14:paraId="3A4BA4BA">
            <w:pPr>
              <w:widowControl/>
              <w:jc w:val="center"/>
              <w:textAlignment w:val="center"/>
              <w:rPr>
                <w:sz w:val="18"/>
                <w:szCs w:val="18"/>
              </w:rPr>
            </w:pPr>
            <w:r>
              <w:rPr>
                <w:kern w:val="0"/>
                <w:sz w:val="18"/>
                <w:szCs w:val="18"/>
                <w:lang w:bidi="ar"/>
              </w:rPr>
              <w:t>2.28</w:t>
            </w:r>
          </w:p>
        </w:tc>
        <w:tc>
          <w:tcPr>
            <w:tcW w:w="302" w:type="pct"/>
            <w:noWrap w:val="0"/>
            <w:vAlign w:val="center"/>
          </w:tcPr>
          <w:p w14:paraId="5999B01A">
            <w:pPr>
              <w:widowControl/>
              <w:jc w:val="center"/>
              <w:textAlignment w:val="center"/>
              <w:rPr>
                <w:sz w:val="18"/>
                <w:szCs w:val="18"/>
              </w:rPr>
            </w:pPr>
            <w:r>
              <w:rPr>
                <w:kern w:val="0"/>
                <w:sz w:val="18"/>
                <w:szCs w:val="18"/>
                <w:lang w:bidi="ar"/>
              </w:rPr>
              <w:t>35.8</w:t>
            </w:r>
          </w:p>
        </w:tc>
        <w:tc>
          <w:tcPr>
            <w:tcW w:w="303" w:type="pct"/>
            <w:noWrap/>
            <w:vAlign w:val="center"/>
          </w:tcPr>
          <w:p w14:paraId="69D7D873">
            <w:pPr>
              <w:jc w:val="center"/>
              <w:rPr>
                <w:sz w:val="18"/>
                <w:szCs w:val="18"/>
              </w:rPr>
            </w:pPr>
            <w:r>
              <w:rPr>
                <w:sz w:val="18"/>
                <w:szCs w:val="18"/>
              </w:rPr>
              <w:t>/</w:t>
            </w:r>
          </w:p>
        </w:tc>
      </w:tr>
      <w:tr w14:paraId="33BD4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149" w:type="pct"/>
            <w:vMerge w:val="continue"/>
            <w:shd w:val="clear" w:color="auto" w:fill="auto"/>
            <w:noWrap w:val="0"/>
            <w:vAlign w:val="center"/>
          </w:tcPr>
          <w:p w14:paraId="61762189">
            <w:pPr>
              <w:jc w:val="center"/>
              <w:rPr>
                <w:sz w:val="18"/>
                <w:szCs w:val="18"/>
              </w:rPr>
            </w:pPr>
          </w:p>
        </w:tc>
        <w:tc>
          <w:tcPr>
            <w:tcW w:w="381" w:type="pct"/>
            <w:shd w:val="clear" w:color="auto" w:fill="D7D7D7"/>
            <w:noWrap w:val="0"/>
            <w:vAlign w:val="center"/>
          </w:tcPr>
          <w:p w14:paraId="00331D07">
            <w:pPr>
              <w:widowControl/>
              <w:jc w:val="center"/>
              <w:textAlignment w:val="center"/>
              <w:rPr>
                <w:sz w:val="18"/>
                <w:szCs w:val="18"/>
              </w:rPr>
            </w:pPr>
            <w:r>
              <w:rPr>
                <w:kern w:val="0"/>
                <w:sz w:val="18"/>
                <w:szCs w:val="18"/>
                <w:lang w:bidi="ar"/>
              </w:rPr>
              <w:t>最大值</w:t>
            </w:r>
          </w:p>
        </w:tc>
        <w:tc>
          <w:tcPr>
            <w:tcW w:w="278" w:type="pct"/>
            <w:noWrap w:val="0"/>
            <w:vAlign w:val="center"/>
          </w:tcPr>
          <w:p w14:paraId="08B19551">
            <w:pPr>
              <w:widowControl/>
              <w:jc w:val="center"/>
              <w:textAlignment w:val="center"/>
              <w:rPr>
                <w:sz w:val="18"/>
                <w:szCs w:val="18"/>
              </w:rPr>
            </w:pPr>
            <w:r>
              <w:rPr>
                <w:kern w:val="0"/>
                <w:sz w:val="18"/>
                <w:szCs w:val="18"/>
                <w:lang w:bidi="ar"/>
              </w:rPr>
              <w:t>373</w:t>
            </w:r>
          </w:p>
        </w:tc>
        <w:tc>
          <w:tcPr>
            <w:tcW w:w="218" w:type="pct"/>
            <w:noWrap w:val="0"/>
            <w:vAlign w:val="center"/>
          </w:tcPr>
          <w:p w14:paraId="3CB34D5B">
            <w:pPr>
              <w:widowControl/>
              <w:jc w:val="center"/>
              <w:textAlignment w:val="center"/>
              <w:rPr>
                <w:sz w:val="18"/>
                <w:szCs w:val="18"/>
              </w:rPr>
            </w:pPr>
            <w:r>
              <w:rPr>
                <w:kern w:val="0"/>
                <w:sz w:val="18"/>
                <w:szCs w:val="18"/>
                <w:lang w:bidi="ar"/>
              </w:rPr>
              <w:t>0.26</w:t>
            </w:r>
          </w:p>
        </w:tc>
        <w:tc>
          <w:tcPr>
            <w:tcW w:w="218" w:type="pct"/>
            <w:noWrap w:val="0"/>
            <w:vAlign w:val="center"/>
          </w:tcPr>
          <w:p w14:paraId="70BD0A13">
            <w:pPr>
              <w:widowControl/>
              <w:jc w:val="center"/>
              <w:textAlignment w:val="center"/>
              <w:rPr>
                <w:sz w:val="18"/>
                <w:szCs w:val="18"/>
              </w:rPr>
            </w:pPr>
            <w:r>
              <w:rPr>
                <w:sz w:val="18"/>
                <w:szCs w:val="18"/>
              </w:rPr>
              <w:t>/</w:t>
            </w:r>
          </w:p>
        </w:tc>
        <w:tc>
          <w:tcPr>
            <w:tcW w:w="333" w:type="pct"/>
            <w:noWrap w:val="0"/>
            <w:vAlign w:val="center"/>
          </w:tcPr>
          <w:p w14:paraId="571CE568">
            <w:pPr>
              <w:widowControl/>
              <w:jc w:val="center"/>
              <w:textAlignment w:val="center"/>
              <w:rPr>
                <w:sz w:val="18"/>
                <w:szCs w:val="18"/>
              </w:rPr>
            </w:pPr>
            <w:r>
              <w:rPr>
                <w:sz w:val="18"/>
                <w:szCs w:val="18"/>
              </w:rPr>
              <w:t>/</w:t>
            </w:r>
          </w:p>
        </w:tc>
        <w:tc>
          <w:tcPr>
            <w:tcW w:w="359" w:type="pct"/>
            <w:noWrap w:val="0"/>
            <w:vAlign w:val="center"/>
          </w:tcPr>
          <w:p w14:paraId="08F2090F">
            <w:pPr>
              <w:widowControl/>
              <w:jc w:val="center"/>
              <w:textAlignment w:val="center"/>
              <w:rPr>
                <w:sz w:val="18"/>
                <w:szCs w:val="18"/>
              </w:rPr>
            </w:pPr>
            <w:r>
              <w:rPr>
                <w:kern w:val="0"/>
                <w:sz w:val="18"/>
                <w:szCs w:val="18"/>
                <w:lang w:bidi="ar"/>
              </w:rPr>
              <w:t>90</w:t>
            </w:r>
          </w:p>
        </w:tc>
        <w:tc>
          <w:tcPr>
            <w:tcW w:w="355" w:type="pct"/>
            <w:noWrap w:val="0"/>
            <w:vAlign w:val="center"/>
          </w:tcPr>
          <w:p w14:paraId="067F305D">
            <w:pPr>
              <w:widowControl/>
              <w:jc w:val="center"/>
              <w:textAlignment w:val="center"/>
              <w:rPr>
                <w:sz w:val="18"/>
                <w:szCs w:val="18"/>
              </w:rPr>
            </w:pPr>
            <w:r>
              <w:rPr>
                <w:sz w:val="18"/>
                <w:szCs w:val="18"/>
              </w:rPr>
              <w:t>/</w:t>
            </w:r>
          </w:p>
        </w:tc>
        <w:tc>
          <w:tcPr>
            <w:tcW w:w="284" w:type="pct"/>
            <w:noWrap w:val="0"/>
            <w:vAlign w:val="center"/>
          </w:tcPr>
          <w:p w14:paraId="4A931A2A">
            <w:pPr>
              <w:widowControl/>
              <w:jc w:val="center"/>
              <w:textAlignment w:val="center"/>
              <w:rPr>
                <w:sz w:val="18"/>
                <w:szCs w:val="18"/>
              </w:rPr>
            </w:pPr>
            <w:r>
              <w:rPr>
                <w:kern w:val="0"/>
                <w:sz w:val="18"/>
                <w:szCs w:val="18"/>
                <w:lang w:bidi="ar"/>
              </w:rPr>
              <w:t>0.79</w:t>
            </w:r>
          </w:p>
        </w:tc>
        <w:tc>
          <w:tcPr>
            <w:tcW w:w="359" w:type="pct"/>
            <w:noWrap w:val="0"/>
            <w:vAlign w:val="center"/>
          </w:tcPr>
          <w:p w14:paraId="15A2AC6C">
            <w:pPr>
              <w:widowControl/>
              <w:jc w:val="center"/>
              <w:textAlignment w:val="center"/>
              <w:rPr>
                <w:sz w:val="18"/>
                <w:szCs w:val="18"/>
              </w:rPr>
            </w:pPr>
            <w:r>
              <w:rPr>
                <w:kern w:val="0"/>
                <w:sz w:val="18"/>
                <w:szCs w:val="18"/>
                <w:lang w:bidi="ar"/>
              </w:rPr>
              <w:t>12.9</w:t>
            </w:r>
          </w:p>
        </w:tc>
        <w:tc>
          <w:tcPr>
            <w:tcW w:w="315" w:type="pct"/>
            <w:noWrap w:val="0"/>
            <w:vAlign w:val="center"/>
          </w:tcPr>
          <w:p w14:paraId="1B9B4E9C">
            <w:pPr>
              <w:widowControl/>
              <w:jc w:val="center"/>
              <w:textAlignment w:val="center"/>
              <w:rPr>
                <w:sz w:val="18"/>
                <w:szCs w:val="18"/>
              </w:rPr>
            </w:pPr>
            <w:r>
              <w:rPr>
                <w:kern w:val="0"/>
                <w:sz w:val="18"/>
                <w:szCs w:val="18"/>
                <w:lang w:bidi="ar"/>
              </w:rPr>
              <w:t>31.7</w:t>
            </w:r>
          </w:p>
        </w:tc>
        <w:tc>
          <w:tcPr>
            <w:tcW w:w="302" w:type="pct"/>
            <w:noWrap w:val="0"/>
            <w:vAlign w:val="center"/>
          </w:tcPr>
          <w:p w14:paraId="5810B562">
            <w:pPr>
              <w:widowControl/>
              <w:jc w:val="center"/>
              <w:textAlignment w:val="center"/>
              <w:rPr>
                <w:sz w:val="18"/>
                <w:szCs w:val="18"/>
              </w:rPr>
            </w:pPr>
            <w:r>
              <w:rPr>
                <w:kern w:val="0"/>
                <w:sz w:val="18"/>
                <w:szCs w:val="18"/>
                <w:lang w:bidi="ar"/>
              </w:rPr>
              <w:t>11.4</w:t>
            </w:r>
          </w:p>
        </w:tc>
        <w:tc>
          <w:tcPr>
            <w:tcW w:w="276" w:type="pct"/>
            <w:noWrap w:val="0"/>
            <w:vAlign w:val="center"/>
          </w:tcPr>
          <w:p w14:paraId="242AF3E5">
            <w:pPr>
              <w:widowControl/>
              <w:jc w:val="center"/>
              <w:textAlignment w:val="center"/>
              <w:rPr>
                <w:sz w:val="18"/>
                <w:szCs w:val="18"/>
              </w:rPr>
            </w:pPr>
            <w:r>
              <w:rPr>
                <w:kern w:val="0"/>
                <w:sz w:val="18"/>
                <w:szCs w:val="18"/>
                <w:lang w:bidi="ar"/>
              </w:rPr>
              <w:t>12</w:t>
            </w:r>
          </w:p>
        </w:tc>
        <w:tc>
          <w:tcPr>
            <w:tcW w:w="267" w:type="pct"/>
            <w:noWrap w:val="0"/>
            <w:vAlign w:val="center"/>
          </w:tcPr>
          <w:p w14:paraId="0BD2F629">
            <w:pPr>
              <w:widowControl/>
              <w:jc w:val="center"/>
              <w:textAlignment w:val="center"/>
              <w:rPr>
                <w:sz w:val="18"/>
                <w:szCs w:val="18"/>
              </w:rPr>
            </w:pPr>
            <w:r>
              <w:rPr>
                <w:kern w:val="0"/>
                <w:sz w:val="18"/>
                <w:szCs w:val="18"/>
                <w:lang w:bidi="ar"/>
              </w:rPr>
              <w:t>260</w:t>
            </w:r>
          </w:p>
        </w:tc>
        <w:tc>
          <w:tcPr>
            <w:tcW w:w="293" w:type="pct"/>
            <w:noWrap w:val="0"/>
            <w:vAlign w:val="center"/>
          </w:tcPr>
          <w:p w14:paraId="666BC5D0">
            <w:pPr>
              <w:widowControl/>
              <w:jc w:val="center"/>
              <w:textAlignment w:val="center"/>
              <w:rPr>
                <w:sz w:val="18"/>
                <w:szCs w:val="18"/>
              </w:rPr>
            </w:pPr>
            <w:r>
              <w:rPr>
                <w:kern w:val="0"/>
                <w:sz w:val="18"/>
                <w:szCs w:val="18"/>
                <w:lang w:bidi="ar"/>
              </w:rPr>
              <w:t>2.28</w:t>
            </w:r>
          </w:p>
        </w:tc>
        <w:tc>
          <w:tcPr>
            <w:tcW w:w="302" w:type="pct"/>
            <w:noWrap w:val="0"/>
            <w:vAlign w:val="center"/>
          </w:tcPr>
          <w:p w14:paraId="4E561012">
            <w:pPr>
              <w:widowControl/>
              <w:jc w:val="center"/>
              <w:textAlignment w:val="center"/>
              <w:rPr>
                <w:sz w:val="18"/>
                <w:szCs w:val="18"/>
              </w:rPr>
            </w:pPr>
            <w:r>
              <w:rPr>
                <w:kern w:val="0"/>
                <w:sz w:val="18"/>
                <w:szCs w:val="18"/>
                <w:lang w:bidi="ar"/>
              </w:rPr>
              <w:t>36</w:t>
            </w:r>
          </w:p>
        </w:tc>
        <w:tc>
          <w:tcPr>
            <w:tcW w:w="303" w:type="pct"/>
            <w:noWrap/>
            <w:vAlign w:val="center"/>
          </w:tcPr>
          <w:p w14:paraId="482E41D2">
            <w:pPr>
              <w:jc w:val="center"/>
              <w:rPr>
                <w:sz w:val="18"/>
                <w:szCs w:val="18"/>
              </w:rPr>
            </w:pPr>
            <w:r>
              <w:rPr>
                <w:sz w:val="18"/>
                <w:szCs w:val="18"/>
              </w:rPr>
              <w:t>/</w:t>
            </w:r>
          </w:p>
        </w:tc>
      </w:tr>
      <w:tr w14:paraId="2BD8F5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1B1A7612">
            <w:pPr>
              <w:jc w:val="center"/>
              <w:rPr>
                <w:sz w:val="18"/>
                <w:szCs w:val="18"/>
              </w:rPr>
            </w:pPr>
          </w:p>
        </w:tc>
        <w:tc>
          <w:tcPr>
            <w:tcW w:w="381" w:type="pct"/>
            <w:shd w:val="clear" w:color="auto" w:fill="D7D7D7"/>
            <w:noWrap w:val="0"/>
            <w:vAlign w:val="center"/>
          </w:tcPr>
          <w:p w14:paraId="48F469C2">
            <w:pPr>
              <w:widowControl/>
              <w:jc w:val="center"/>
              <w:textAlignment w:val="center"/>
              <w:rPr>
                <w:sz w:val="18"/>
                <w:szCs w:val="18"/>
              </w:rPr>
            </w:pPr>
            <w:r>
              <w:rPr>
                <w:kern w:val="0"/>
                <w:sz w:val="18"/>
                <w:szCs w:val="18"/>
                <w:lang w:bidi="ar"/>
              </w:rPr>
              <w:t>标准</w:t>
            </w:r>
          </w:p>
        </w:tc>
        <w:tc>
          <w:tcPr>
            <w:tcW w:w="278" w:type="pct"/>
            <w:noWrap/>
            <w:vAlign w:val="center"/>
          </w:tcPr>
          <w:p w14:paraId="045F1A69">
            <w:pPr>
              <w:widowControl/>
              <w:jc w:val="center"/>
              <w:textAlignment w:val="center"/>
              <w:rPr>
                <w:sz w:val="18"/>
                <w:szCs w:val="18"/>
              </w:rPr>
            </w:pPr>
            <w:r>
              <w:rPr>
                <w:kern w:val="0"/>
                <w:sz w:val="18"/>
                <w:szCs w:val="18"/>
                <w:lang w:bidi="ar"/>
              </w:rPr>
              <w:t>1000</w:t>
            </w:r>
          </w:p>
        </w:tc>
        <w:tc>
          <w:tcPr>
            <w:tcW w:w="218" w:type="pct"/>
            <w:noWrap/>
            <w:vAlign w:val="center"/>
          </w:tcPr>
          <w:p w14:paraId="56D53AC8">
            <w:pPr>
              <w:widowControl/>
              <w:jc w:val="center"/>
              <w:textAlignment w:val="center"/>
              <w:rPr>
                <w:sz w:val="18"/>
                <w:szCs w:val="18"/>
              </w:rPr>
            </w:pPr>
            <w:r>
              <w:rPr>
                <w:kern w:val="0"/>
                <w:sz w:val="18"/>
                <w:szCs w:val="18"/>
                <w:lang w:bidi="ar"/>
              </w:rPr>
              <w:t>3</w:t>
            </w:r>
          </w:p>
        </w:tc>
        <w:tc>
          <w:tcPr>
            <w:tcW w:w="218" w:type="pct"/>
            <w:noWrap/>
            <w:vAlign w:val="center"/>
          </w:tcPr>
          <w:p w14:paraId="1714FC44">
            <w:pPr>
              <w:widowControl/>
              <w:jc w:val="center"/>
              <w:textAlignment w:val="center"/>
              <w:rPr>
                <w:sz w:val="18"/>
                <w:szCs w:val="18"/>
              </w:rPr>
            </w:pPr>
            <w:r>
              <w:rPr>
                <w:kern w:val="0"/>
                <w:sz w:val="18"/>
                <w:szCs w:val="18"/>
                <w:lang w:bidi="ar"/>
              </w:rPr>
              <w:t>250</w:t>
            </w:r>
          </w:p>
        </w:tc>
        <w:tc>
          <w:tcPr>
            <w:tcW w:w="333" w:type="pct"/>
            <w:noWrap/>
            <w:vAlign w:val="center"/>
          </w:tcPr>
          <w:p w14:paraId="309BA499">
            <w:pPr>
              <w:widowControl/>
              <w:jc w:val="center"/>
              <w:textAlignment w:val="center"/>
              <w:rPr>
                <w:sz w:val="18"/>
                <w:szCs w:val="18"/>
              </w:rPr>
            </w:pPr>
            <w:r>
              <w:rPr>
                <w:kern w:val="0"/>
                <w:sz w:val="18"/>
                <w:szCs w:val="18"/>
                <w:lang w:bidi="ar"/>
              </w:rPr>
              <w:t>3</w:t>
            </w:r>
          </w:p>
        </w:tc>
        <w:tc>
          <w:tcPr>
            <w:tcW w:w="359" w:type="pct"/>
            <w:noWrap/>
            <w:vAlign w:val="center"/>
          </w:tcPr>
          <w:p w14:paraId="12F7B0B4">
            <w:pPr>
              <w:widowControl/>
              <w:jc w:val="center"/>
              <w:textAlignment w:val="center"/>
              <w:rPr>
                <w:sz w:val="18"/>
                <w:szCs w:val="18"/>
              </w:rPr>
            </w:pPr>
            <w:r>
              <w:rPr>
                <w:kern w:val="0"/>
                <w:sz w:val="18"/>
                <w:szCs w:val="18"/>
                <w:lang w:bidi="ar"/>
              </w:rPr>
              <w:t>100</w:t>
            </w:r>
          </w:p>
        </w:tc>
        <w:tc>
          <w:tcPr>
            <w:tcW w:w="355" w:type="pct"/>
            <w:noWrap/>
            <w:vAlign w:val="center"/>
          </w:tcPr>
          <w:p w14:paraId="78835061">
            <w:pPr>
              <w:widowControl/>
              <w:jc w:val="center"/>
              <w:textAlignment w:val="center"/>
              <w:rPr>
                <w:sz w:val="18"/>
                <w:szCs w:val="18"/>
              </w:rPr>
            </w:pPr>
            <w:r>
              <w:rPr>
                <w:kern w:val="0"/>
                <w:sz w:val="18"/>
                <w:szCs w:val="18"/>
                <w:lang w:bidi="ar"/>
              </w:rPr>
              <w:t>1</w:t>
            </w:r>
          </w:p>
        </w:tc>
        <w:tc>
          <w:tcPr>
            <w:tcW w:w="284" w:type="pct"/>
            <w:noWrap/>
            <w:vAlign w:val="center"/>
          </w:tcPr>
          <w:p w14:paraId="272C6B71">
            <w:pPr>
              <w:jc w:val="center"/>
              <w:rPr>
                <w:sz w:val="18"/>
                <w:szCs w:val="18"/>
              </w:rPr>
            </w:pPr>
            <w:r>
              <w:rPr>
                <w:sz w:val="18"/>
                <w:szCs w:val="18"/>
              </w:rPr>
              <w:t>/</w:t>
            </w:r>
          </w:p>
        </w:tc>
        <w:tc>
          <w:tcPr>
            <w:tcW w:w="359" w:type="pct"/>
            <w:noWrap/>
            <w:vAlign w:val="center"/>
          </w:tcPr>
          <w:p w14:paraId="25947D8A">
            <w:pPr>
              <w:widowControl/>
              <w:jc w:val="center"/>
              <w:textAlignment w:val="center"/>
              <w:rPr>
                <w:sz w:val="18"/>
                <w:szCs w:val="18"/>
              </w:rPr>
            </w:pPr>
            <w:r>
              <w:rPr>
                <w:kern w:val="0"/>
                <w:sz w:val="18"/>
                <w:szCs w:val="18"/>
                <w:lang w:bidi="ar"/>
              </w:rPr>
              <w:t>200</w:t>
            </w:r>
          </w:p>
        </w:tc>
        <w:tc>
          <w:tcPr>
            <w:tcW w:w="315" w:type="pct"/>
            <w:noWrap/>
            <w:vAlign w:val="center"/>
          </w:tcPr>
          <w:p w14:paraId="08C45FCA">
            <w:pPr>
              <w:jc w:val="center"/>
              <w:rPr>
                <w:sz w:val="18"/>
                <w:szCs w:val="18"/>
              </w:rPr>
            </w:pPr>
            <w:r>
              <w:rPr>
                <w:sz w:val="18"/>
                <w:szCs w:val="18"/>
              </w:rPr>
              <w:t>/</w:t>
            </w:r>
          </w:p>
        </w:tc>
        <w:tc>
          <w:tcPr>
            <w:tcW w:w="302" w:type="pct"/>
            <w:noWrap/>
            <w:vAlign w:val="center"/>
          </w:tcPr>
          <w:p w14:paraId="4EF82500">
            <w:pPr>
              <w:jc w:val="center"/>
              <w:rPr>
                <w:sz w:val="18"/>
                <w:szCs w:val="18"/>
              </w:rPr>
            </w:pPr>
            <w:r>
              <w:rPr>
                <w:sz w:val="18"/>
                <w:szCs w:val="18"/>
              </w:rPr>
              <w:t>/</w:t>
            </w:r>
          </w:p>
        </w:tc>
        <w:tc>
          <w:tcPr>
            <w:tcW w:w="276" w:type="pct"/>
            <w:noWrap/>
            <w:vAlign w:val="center"/>
          </w:tcPr>
          <w:p w14:paraId="270A34AC">
            <w:pPr>
              <w:jc w:val="center"/>
              <w:rPr>
                <w:sz w:val="18"/>
                <w:szCs w:val="18"/>
              </w:rPr>
            </w:pPr>
            <w:r>
              <w:rPr>
                <w:sz w:val="18"/>
                <w:szCs w:val="18"/>
              </w:rPr>
              <w:t>/</w:t>
            </w:r>
          </w:p>
        </w:tc>
        <w:tc>
          <w:tcPr>
            <w:tcW w:w="267" w:type="pct"/>
            <w:noWrap/>
            <w:vAlign w:val="center"/>
          </w:tcPr>
          <w:p w14:paraId="32EEEAD3">
            <w:pPr>
              <w:jc w:val="center"/>
              <w:rPr>
                <w:sz w:val="18"/>
                <w:szCs w:val="18"/>
              </w:rPr>
            </w:pPr>
            <w:r>
              <w:rPr>
                <w:sz w:val="18"/>
                <w:szCs w:val="18"/>
              </w:rPr>
              <w:t>/</w:t>
            </w:r>
          </w:p>
        </w:tc>
        <w:tc>
          <w:tcPr>
            <w:tcW w:w="293" w:type="pct"/>
            <w:noWrap/>
            <w:vAlign w:val="center"/>
          </w:tcPr>
          <w:p w14:paraId="0B8D97D7">
            <w:pPr>
              <w:widowControl/>
              <w:jc w:val="center"/>
              <w:textAlignment w:val="center"/>
              <w:rPr>
                <w:sz w:val="18"/>
                <w:szCs w:val="18"/>
              </w:rPr>
            </w:pPr>
            <w:r>
              <w:rPr>
                <w:kern w:val="0"/>
                <w:sz w:val="18"/>
                <w:szCs w:val="18"/>
                <w:lang w:bidi="ar"/>
              </w:rPr>
              <w:t>250</w:t>
            </w:r>
          </w:p>
        </w:tc>
        <w:tc>
          <w:tcPr>
            <w:tcW w:w="302" w:type="pct"/>
            <w:noWrap/>
            <w:vAlign w:val="center"/>
          </w:tcPr>
          <w:p w14:paraId="76937F58">
            <w:pPr>
              <w:widowControl/>
              <w:jc w:val="center"/>
              <w:textAlignment w:val="center"/>
              <w:rPr>
                <w:sz w:val="18"/>
                <w:szCs w:val="18"/>
              </w:rPr>
            </w:pPr>
            <w:r>
              <w:rPr>
                <w:kern w:val="0"/>
                <w:sz w:val="18"/>
                <w:szCs w:val="18"/>
                <w:lang w:bidi="ar"/>
              </w:rPr>
              <w:t>250</w:t>
            </w:r>
          </w:p>
        </w:tc>
        <w:tc>
          <w:tcPr>
            <w:tcW w:w="303" w:type="pct"/>
            <w:noWrap/>
            <w:vAlign w:val="center"/>
          </w:tcPr>
          <w:p w14:paraId="372AF164">
            <w:pPr>
              <w:jc w:val="center"/>
              <w:rPr>
                <w:sz w:val="18"/>
                <w:szCs w:val="18"/>
              </w:rPr>
            </w:pPr>
            <w:r>
              <w:rPr>
                <w:sz w:val="18"/>
                <w:szCs w:val="18"/>
              </w:rPr>
              <w:t>/</w:t>
            </w:r>
          </w:p>
        </w:tc>
      </w:tr>
      <w:tr w14:paraId="748B1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 w:hRule="atLeast"/>
        </w:trPr>
        <w:tc>
          <w:tcPr>
            <w:tcW w:w="149" w:type="pct"/>
            <w:vMerge w:val="continue"/>
            <w:shd w:val="clear" w:color="auto" w:fill="auto"/>
            <w:noWrap w:val="0"/>
            <w:vAlign w:val="center"/>
          </w:tcPr>
          <w:p w14:paraId="39E76186">
            <w:pPr>
              <w:jc w:val="center"/>
              <w:rPr>
                <w:sz w:val="18"/>
                <w:szCs w:val="18"/>
              </w:rPr>
            </w:pPr>
          </w:p>
        </w:tc>
        <w:tc>
          <w:tcPr>
            <w:tcW w:w="381" w:type="pct"/>
            <w:shd w:val="clear" w:color="auto" w:fill="D7D7D7"/>
            <w:noWrap w:val="0"/>
            <w:vAlign w:val="center"/>
          </w:tcPr>
          <w:p w14:paraId="3C16F8D1">
            <w:pPr>
              <w:widowControl/>
              <w:jc w:val="center"/>
              <w:textAlignment w:val="center"/>
              <w:rPr>
                <w:sz w:val="18"/>
                <w:szCs w:val="18"/>
              </w:rPr>
            </w:pPr>
            <w:r>
              <w:rPr>
                <w:kern w:val="0"/>
                <w:sz w:val="18"/>
                <w:szCs w:val="18"/>
                <w:lang w:bidi="ar"/>
              </w:rPr>
              <w:t>最大标准指数</w:t>
            </w:r>
          </w:p>
        </w:tc>
        <w:tc>
          <w:tcPr>
            <w:tcW w:w="278" w:type="pct"/>
            <w:noWrap/>
            <w:vAlign w:val="center"/>
          </w:tcPr>
          <w:p w14:paraId="13EBFDF1">
            <w:pPr>
              <w:widowControl/>
              <w:jc w:val="center"/>
              <w:textAlignment w:val="center"/>
              <w:rPr>
                <w:sz w:val="18"/>
                <w:szCs w:val="18"/>
              </w:rPr>
            </w:pPr>
            <w:r>
              <w:rPr>
                <w:kern w:val="0"/>
                <w:sz w:val="18"/>
                <w:szCs w:val="18"/>
                <w:lang w:bidi="ar"/>
              </w:rPr>
              <w:t>0.37</w:t>
            </w:r>
          </w:p>
        </w:tc>
        <w:tc>
          <w:tcPr>
            <w:tcW w:w="218" w:type="pct"/>
            <w:noWrap/>
            <w:vAlign w:val="center"/>
          </w:tcPr>
          <w:p w14:paraId="69C0BF8F">
            <w:pPr>
              <w:widowControl/>
              <w:jc w:val="center"/>
              <w:textAlignment w:val="center"/>
              <w:rPr>
                <w:sz w:val="18"/>
                <w:szCs w:val="18"/>
              </w:rPr>
            </w:pPr>
            <w:r>
              <w:rPr>
                <w:kern w:val="0"/>
                <w:sz w:val="18"/>
                <w:szCs w:val="18"/>
                <w:lang w:bidi="ar"/>
              </w:rPr>
              <w:t>0.09</w:t>
            </w:r>
          </w:p>
        </w:tc>
        <w:tc>
          <w:tcPr>
            <w:tcW w:w="218" w:type="pct"/>
            <w:noWrap/>
            <w:vAlign w:val="center"/>
          </w:tcPr>
          <w:p w14:paraId="16598B63">
            <w:pPr>
              <w:widowControl/>
              <w:jc w:val="center"/>
              <w:textAlignment w:val="center"/>
              <w:rPr>
                <w:sz w:val="18"/>
                <w:szCs w:val="18"/>
              </w:rPr>
            </w:pPr>
            <w:r>
              <w:rPr>
                <w:sz w:val="18"/>
                <w:szCs w:val="18"/>
              </w:rPr>
              <w:t>/</w:t>
            </w:r>
          </w:p>
        </w:tc>
        <w:tc>
          <w:tcPr>
            <w:tcW w:w="333" w:type="pct"/>
            <w:noWrap/>
            <w:vAlign w:val="center"/>
          </w:tcPr>
          <w:p w14:paraId="239F5ADD">
            <w:pPr>
              <w:widowControl/>
              <w:jc w:val="center"/>
              <w:textAlignment w:val="center"/>
              <w:rPr>
                <w:sz w:val="18"/>
                <w:szCs w:val="18"/>
              </w:rPr>
            </w:pPr>
            <w:r>
              <w:rPr>
                <w:sz w:val="18"/>
                <w:szCs w:val="18"/>
              </w:rPr>
              <w:t>/</w:t>
            </w:r>
          </w:p>
        </w:tc>
        <w:tc>
          <w:tcPr>
            <w:tcW w:w="359" w:type="pct"/>
            <w:noWrap/>
            <w:vAlign w:val="center"/>
          </w:tcPr>
          <w:p w14:paraId="49D05B40">
            <w:pPr>
              <w:widowControl/>
              <w:jc w:val="center"/>
              <w:textAlignment w:val="center"/>
              <w:rPr>
                <w:sz w:val="18"/>
                <w:szCs w:val="18"/>
              </w:rPr>
            </w:pPr>
            <w:r>
              <w:rPr>
                <w:kern w:val="0"/>
                <w:sz w:val="18"/>
                <w:szCs w:val="18"/>
                <w:lang w:bidi="ar"/>
              </w:rPr>
              <w:t>0.90</w:t>
            </w:r>
          </w:p>
        </w:tc>
        <w:tc>
          <w:tcPr>
            <w:tcW w:w="355" w:type="pct"/>
            <w:noWrap/>
            <w:vAlign w:val="center"/>
          </w:tcPr>
          <w:p w14:paraId="3CE44B3E">
            <w:pPr>
              <w:widowControl/>
              <w:jc w:val="center"/>
              <w:textAlignment w:val="center"/>
              <w:rPr>
                <w:sz w:val="18"/>
                <w:szCs w:val="18"/>
              </w:rPr>
            </w:pPr>
            <w:r>
              <w:rPr>
                <w:sz w:val="18"/>
                <w:szCs w:val="18"/>
              </w:rPr>
              <w:t>/</w:t>
            </w:r>
          </w:p>
        </w:tc>
        <w:tc>
          <w:tcPr>
            <w:tcW w:w="284" w:type="pct"/>
            <w:noWrap/>
            <w:vAlign w:val="center"/>
          </w:tcPr>
          <w:p w14:paraId="3F31BCA2">
            <w:pPr>
              <w:jc w:val="center"/>
              <w:rPr>
                <w:sz w:val="18"/>
                <w:szCs w:val="18"/>
              </w:rPr>
            </w:pPr>
            <w:r>
              <w:rPr>
                <w:sz w:val="18"/>
                <w:szCs w:val="18"/>
              </w:rPr>
              <w:t>/</w:t>
            </w:r>
          </w:p>
        </w:tc>
        <w:tc>
          <w:tcPr>
            <w:tcW w:w="359" w:type="pct"/>
            <w:noWrap/>
            <w:vAlign w:val="center"/>
          </w:tcPr>
          <w:p w14:paraId="2FEDAC75">
            <w:pPr>
              <w:jc w:val="center"/>
              <w:rPr>
                <w:sz w:val="18"/>
                <w:szCs w:val="18"/>
              </w:rPr>
            </w:pPr>
            <w:r>
              <w:rPr>
                <w:sz w:val="18"/>
                <w:szCs w:val="18"/>
              </w:rPr>
              <w:t>/</w:t>
            </w:r>
          </w:p>
        </w:tc>
        <w:tc>
          <w:tcPr>
            <w:tcW w:w="315" w:type="pct"/>
            <w:noWrap/>
            <w:vAlign w:val="center"/>
          </w:tcPr>
          <w:p w14:paraId="53967DCE">
            <w:pPr>
              <w:jc w:val="center"/>
              <w:rPr>
                <w:sz w:val="18"/>
                <w:szCs w:val="18"/>
              </w:rPr>
            </w:pPr>
            <w:r>
              <w:rPr>
                <w:sz w:val="18"/>
                <w:szCs w:val="18"/>
              </w:rPr>
              <w:t>/</w:t>
            </w:r>
          </w:p>
        </w:tc>
        <w:tc>
          <w:tcPr>
            <w:tcW w:w="302" w:type="pct"/>
            <w:noWrap/>
            <w:vAlign w:val="center"/>
          </w:tcPr>
          <w:p w14:paraId="17FCABE3">
            <w:pPr>
              <w:jc w:val="center"/>
              <w:rPr>
                <w:sz w:val="18"/>
                <w:szCs w:val="18"/>
              </w:rPr>
            </w:pPr>
            <w:r>
              <w:rPr>
                <w:sz w:val="18"/>
                <w:szCs w:val="18"/>
              </w:rPr>
              <w:t>/</w:t>
            </w:r>
          </w:p>
        </w:tc>
        <w:tc>
          <w:tcPr>
            <w:tcW w:w="276" w:type="pct"/>
            <w:noWrap/>
            <w:vAlign w:val="center"/>
          </w:tcPr>
          <w:p w14:paraId="408198A1">
            <w:pPr>
              <w:jc w:val="center"/>
              <w:rPr>
                <w:sz w:val="18"/>
                <w:szCs w:val="18"/>
              </w:rPr>
            </w:pPr>
            <w:r>
              <w:rPr>
                <w:sz w:val="18"/>
                <w:szCs w:val="18"/>
              </w:rPr>
              <w:t>/</w:t>
            </w:r>
          </w:p>
        </w:tc>
        <w:tc>
          <w:tcPr>
            <w:tcW w:w="267" w:type="pct"/>
            <w:noWrap/>
            <w:vAlign w:val="center"/>
          </w:tcPr>
          <w:p w14:paraId="3288D447">
            <w:pPr>
              <w:jc w:val="center"/>
              <w:rPr>
                <w:sz w:val="18"/>
                <w:szCs w:val="18"/>
              </w:rPr>
            </w:pPr>
            <w:r>
              <w:rPr>
                <w:sz w:val="18"/>
                <w:szCs w:val="18"/>
              </w:rPr>
              <w:t>/</w:t>
            </w:r>
          </w:p>
        </w:tc>
        <w:tc>
          <w:tcPr>
            <w:tcW w:w="293" w:type="pct"/>
            <w:noWrap/>
            <w:vAlign w:val="center"/>
          </w:tcPr>
          <w:p w14:paraId="5172E7F7">
            <w:pPr>
              <w:jc w:val="center"/>
              <w:rPr>
                <w:sz w:val="18"/>
                <w:szCs w:val="18"/>
              </w:rPr>
            </w:pPr>
            <w:r>
              <w:rPr>
                <w:sz w:val="18"/>
                <w:szCs w:val="18"/>
              </w:rPr>
              <w:t>/</w:t>
            </w:r>
          </w:p>
        </w:tc>
        <w:tc>
          <w:tcPr>
            <w:tcW w:w="302" w:type="pct"/>
            <w:noWrap/>
            <w:vAlign w:val="center"/>
          </w:tcPr>
          <w:p w14:paraId="50D800EF">
            <w:pPr>
              <w:jc w:val="center"/>
              <w:rPr>
                <w:sz w:val="18"/>
                <w:szCs w:val="18"/>
              </w:rPr>
            </w:pPr>
            <w:r>
              <w:rPr>
                <w:sz w:val="18"/>
                <w:szCs w:val="18"/>
              </w:rPr>
              <w:t>/</w:t>
            </w:r>
          </w:p>
        </w:tc>
        <w:tc>
          <w:tcPr>
            <w:tcW w:w="303" w:type="pct"/>
            <w:noWrap/>
            <w:vAlign w:val="center"/>
          </w:tcPr>
          <w:p w14:paraId="03C8F50D">
            <w:pPr>
              <w:jc w:val="center"/>
              <w:rPr>
                <w:sz w:val="18"/>
                <w:szCs w:val="18"/>
              </w:rPr>
            </w:pPr>
            <w:r>
              <w:rPr>
                <w:sz w:val="18"/>
                <w:szCs w:val="18"/>
              </w:rPr>
              <w:t>/</w:t>
            </w:r>
          </w:p>
        </w:tc>
      </w:tr>
      <w:tr w14:paraId="7EB341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5" w:hRule="atLeast"/>
        </w:trPr>
        <w:tc>
          <w:tcPr>
            <w:tcW w:w="149" w:type="pct"/>
            <w:vMerge w:val="continue"/>
            <w:shd w:val="clear" w:color="auto" w:fill="auto"/>
            <w:noWrap w:val="0"/>
            <w:vAlign w:val="center"/>
          </w:tcPr>
          <w:p w14:paraId="36555E12">
            <w:pPr>
              <w:jc w:val="center"/>
              <w:rPr>
                <w:sz w:val="18"/>
                <w:szCs w:val="18"/>
              </w:rPr>
            </w:pPr>
          </w:p>
        </w:tc>
        <w:tc>
          <w:tcPr>
            <w:tcW w:w="381" w:type="pct"/>
            <w:shd w:val="clear" w:color="auto" w:fill="D7D7D7"/>
            <w:noWrap w:val="0"/>
            <w:vAlign w:val="center"/>
          </w:tcPr>
          <w:p w14:paraId="029C244D">
            <w:pPr>
              <w:widowControl/>
              <w:jc w:val="center"/>
              <w:textAlignment w:val="center"/>
              <w:rPr>
                <w:sz w:val="18"/>
                <w:szCs w:val="18"/>
              </w:rPr>
            </w:pPr>
            <w:r>
              <w:rPr>
                <w:kern w:val="0"/>
                <w:sz w:val="18"/>
                <w:szCs w:val="18"/>
                <w:lang w:bidi="ar"/>
              </w:rPr>
              <w:t>达标情况</w:t>
            </w:r>
          </w:p>
        </w:tc>
        <w:tc>
          <w:tcPr>
            <w:tcW w:w="278" w:type="pct"/>
            <w:noWrap/>
            <w:vAlign w:val="center"/>
          </w:tcPr>
          <w:p w14:paraId="296F2C74">
            <w:pPr>
              <w:widowControl/>
              <w:jc w:val="center"/>
              <w:textAlignment w:val="center"/>
              <w:rPr>
                <w:sz w:val="18"/>
                <w:szCs w:val="18"/>
              </w:rPr>
            </w:pPr>
            <w:r>
              <w:rPr>
                <w:kern w:val="0"/>
                <w:sz w:val="18"/>
                <w:szCs w:val="18"/>
                <w:lang w:bidi="ar"/>
              </w:rPr>
              <w:t>达标</w:t>
            </w:r>
          </w:p>
        </w:tc>
        <w:tc>
          <w:tcPr>
            <w:tcW w:w="218" w:type="pct"/>
            <w:noWrap/>
            <w:vAlign w:val="center"/>
          </w:tcPr>
          <w:p w14:paraId="0DD7C8D4">
            <w:pPr>
              <w:widowControl/>
              <w:jc w:val="center"/>
              <w:textAlignment w:val="center"/>
              <w:rPr>
                <w:sz w:val="18"/>
                <w:szCs w:val="18"/>
              </w:rPr>
            </w:pPr>
            <w:r>
              <w:rPr>
                <w:kern w:val="0"/>
                <w:sz w:val="18"/>
                <w:szCs w:val="18"/>
                <w:lang w:bidi="ar"/>
              </w:rPr>
              <w:t>达标</w:t>
            </w:r>
          </w:p>
        </w:tc>
        <w:tc>
          <w:tcPr>
            <w:tcW w:w="218" w:type="pct"/>
            <w:noWrap/>
            <w:vAlign w:val="center"/>
          </w:tcPr>
          <w:p w14:paraId="57BFD124">
            <w:pPr>
              <w:widowControl/>
              <w:jc w:val="center"/>
              <w:textAlignment w:val="center"/>
              <w:rPr>
                <w:sz w:val="18"/>
                <w:szCs w:val="18"/>
              </w:rPr>
            </w:pPr>
            <w:r>
              <w:rPr>
                <w:kern w:val="0"/>
                <w:sz w:val="18"/>
                <w:szCs w:val="18"/>
                <w:lang w:bidi="ar"/>
              </w:rPr>
              <w:t>达标</w:t>
            </w:r>
          </w:p>
        </w:tc>
        <w:tc>
          <w:tcPr>
            <w:tcW w:w="333" w:type="pct"/>
            <w:noWrap/>
            <w:vAlign w:val="center"/>
          </w:tcPr>
          <w:p w14:paraId="1962066D">
            <w:pPr>
              <w:widowControl/>
              <w:jc w:val="center"/>
              <w:textAlignment w:val="center"/>
              <w:rPr>
                <w:sz w:val="18"/>
                <w:szCs w:val="18"/>
              </w:rPr>
            </w:pPr>
            <w:r>
              <w:rPr>
                <w:kern w:val="0"/>
                <w:sz w:val="18"/>
                <w:szCs w:val="18"/>
                <w:lang w:bidi="ar"/>
              </w:rPr>
              <w:t>达标</w:t>
            </w:r>
          </w:p>
        </w:tc>
        <w:tc>
          <w:tcPr>
            <w:tcW w:w="359" w:type="pct"/>
            <w:noWrap/>
            <w:vAlign w:val="center"/>
          </w:tcPr>
          <w:p w14:paraId="19D1B0A2">
            <w:pPr>
              <w:widowControl/>
              <w:jc w:val="center"/>
              <w:textAlignment w:val="center"/>
              <w:rPr>
                <w:sz w:val="18"/>
                <w:szCs w:val="18"/>
              </w:rPr>
            </w:pPr>
            <w:r>
              <w:rPr>
                <w:kern w:val="0"/>
                <w:sz w:val="18"/>
                <w:szCs w:val="18"/>
                <w:lang w:bidi="ar"/>
              </w:rPr>
              <w:t>达标</w:t>
            </w:r>
          </w:p>
        </w:tc>
        <w:tc>
          <w:tcPr>
            <w:tcW w:w="355" w:type="pct"/>
            <w:noWrap/>
            <w:vAlign w:val="center"/>
          </w:tcPr>
          <w:p w14:paraId="1F66ACE3">
            <w:pPr>
              <w:widowControl/>
              <w:jc w:val="center"/>
              <w:textAlignment w:val="center"/>
              <w:rPr>
                <w:sz w:val="18"/>
                <w:szCs w:val="18"/>
              </w:rPr>
            </w:pPr>
            <w:r>
              <w:rPr>
                <w:kern w:val="0"/>
                <w:sz w:val="18"/>
                <w:szCs w:val="18"/>
                <w:lang w:bidi="ar"/>
              </w:rPr>
              <w:t>达标</w:t>
            </w:r>
          </w:p>
        </w:tc>
        <w:tc>
          <w:tcPr>
            <w:tcW w:w="284" w:type="pct"/>
            <w:noWrap/>
            <w:vAlign w:val="center"/>
          </w:tcPr>
          <w:p w14:paraId="617BC278">
            <w:pPr>
              <w:jc w:val="center"/>
              <w:rPr>
                <w:sz w:val="18"/>
                <w:szCs w:val="18"/>
              </w:rPr>
            </w:pPr>
            <w:r>
              <w:rPr>
                <w:sz w:val="18"/>
                <w:szCs w:val="18"/>
              </w:rPr>
              <w:t>/</w:t>
            </w:r>
          </w:p>
        </w:tc>
        <w:tc>
          <w:tcPr>
            <w:tcW w:w="359" w:type="pct"/>
            <w:noWrap/>
            <w:vAlign w:val="center"/>
          </w:tcPr>
          <w:p w14:paraId="7AA2BD92">
            <w:pPr>
              <w:jc w:val="center"/>
              <w:rPr>
                <w:sz w:val="18"/>
                <w:szCs w:val="18"/>
              </w:rPr>
            </w:pPr>
            <w:r>
              <w:rPr>
                <w:sz w:val="18"/>
                <w:szCs w:val="18"/>
              </w:rPr>
              <w:t>/</w:t>
            </w:r>
          </w:p>
        </w:tc>
        <w:tc>
          <w:tcPr>
            <w:tcW w:w="315" w:type="pct"/>
            <w:noWrap/>
            <w:vAlign w:val="center"/>
          </w:tcPr>
          <w:p w14:paraId="43C85F41">
            <w:pPr>
              <w:jc w:val="center"/>
              <w:rPr>
                <w:sz w:val="18"/>
                <w:szCs w:val="18"/>
              </w:rPr>
            </w:pPr>
            <w:r>
              <w:rPr>
                <w:sz w:val="18"/>
                <w:szCs w:val="18"/>
              </w:rPr>
              <w:t>/</w:t>
            </w:r>
          </w:p>
        </w:tc>
        <w:tc>
          <w:tcPr>
            <w:tcW w:w="302" w:type="pct"/>
            <w:noWrap/>
            <w:vAlign w:val="center"/>
          </w:tcPr>
          <w:p w14:paraId="1A0D536E">
            <w:pPr>
              <w:jc w:val="center"/>
              <w:rPr>
                <w:sz w:val="18"/>
                <w:szCs w:val="18"/>
              </w:rPr>
            </w:pPr>
            <w:r>
              <w:rPr>
                <w:sz w:val="18"/>
                <w:szCs w:val="18"/>
              </w:rPr>
              <w:t>/</w:t>
            </w:r>
          </w:p>
        </w:tc>
        <w:tc>
          <w:tcPr>
            <w:tcW w:w="276" w:type="pct"/>
            <w:noWrap/>
            <w:vAlign w:val="center"/>
          </w:tcPr>
          <w:p w14:paraId="6ACBDC74">
            <w:pPr>
              <w:jc w:val="center"/>
              <w:rPr>
                <w:sz w:val="18"/>
                <w:szCs w:val="18"/>
              </w:rPr>
            </w:pPr>
            <w:r>
              <w:rPr>
                <w:sz w:val="18"/>
                <w:szCs w:val="18"/>
              </w:rPr>
              <w:t>/</w:t>
            </w:r>
          </w:p>
        </w:tc>
        <w:tc>
          <w:tcPr>
            <w:tcW w:w="267" w:type="pct"/>
            <w:noWrap/>
            <w:vAlign w:val="center"/>
          </w:tcPr>
          <w:p w14:paraId="34BF09A1">
            <w:pPr>
              <w:jc w:val="center"/>
              <w:rPr>
                <w:sz w:val="18"/>
                <w:szCs w:val="18"/>
              </w:rPr>
            </w:pPr>
            <w:r>
              <w:rPr>
                <w:sz w:val="18"/>
                <w:szCs w:val="18"/>
              </w:rPr>
              <w:t>/</w:t>
            </w:r>
          </w:p>
        </w:tc>
        <w:tc>
          <w:tcPr>
            <w:tcW w:w="293" w:type="pct"/>
            <w:noWrap/>
            <w:vAlign w:val="center"/>
          </w:tcPr>
          <w:p w14:paraId="0F9ADF2D">
            <w:pPr>
              <w:jc w:val="center"/>
              <w:rPr>
                <w:sz w:val="18"/>
                <w:szCs w:val="18"/>
              </w:rPr>
            </w:pPr>
            <w:r>
              <w:rPr>
                <w:sz w:val="18"/>
                <w:szCs w:val="18"/>
              </w:rPr>
              <w:t>/</w:t>
            </w:r>
          </w:p>
        </w:tc>
        <w:tc>
          <w:tcPr>
            <w:tcW w:w="302" w:type="pct"/>
            <w:noWrap/>
            <w:vAlign w:val="center"/>
          </w:tcPr>
          <w:p w14:paraId="04DE3974">
            <w:pPr>
              <w:jc w:val="center"/>
              <w:rPr>
                <w:sz w:val="18"/>
                <w:szCs w:val="18"/>
              </w:rPr>
            </w:pPr>
            <w:r>
              <w:rPr>
                <w:sz w:val="18"/>
                <w:szCs w:val="18"/>
              </w:rPr>
              <w:t>/</w:t>
            </w:r>
          </w:p>
        </w:tc>
        <w:tc>
          <w:tcPr>
            <w:tcW w:w="303" w:type="pct"/>
            <w:noWrap/>
            <w:vAlign w:val="center"/>
          </w:tcPr>
          <w:p w14:paraId="78AD81E6">
            <w:pPr>
              <w:jc w:val="center"/>
              <w:rPr>
                <w:sz w:val="18"/>
                <w:szCs w:val="18"/>
              </w:rPr>
            </w:pPr>
            <w:r>
              <w:rPr>
                <w:sz w:val="18"/>
                <w:szCs w:val="18"/>
              </w:rPr>
              <w:t>/</w:t>
            </w:r>
          </w:p>
        </w:tc>
      </w:tr>
      <w:tr w14:paraId="7BE2E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shd w:val="clear" w:color="auto" w:fill="auto"/>
            <w:noWrap w:val="0"/>
            <w:vAlign w:val="center"/>
          </w:tcPr>
          <w:p w14:paraId="472B680B">
            <w:pPr>
              <w:widowControl/>
              <w:jc w:val="center"/>
              <w:textAlignment w:val="center"/>
              <w:rPr>
                <w:b/>
                <w:bCs/>
                <w:sz w:val="18"/>
                <w:szCs w:val="18"/>
              </w:rPr>
            </w:pPr>
            <w:r>
              <w:rPr>
                <w:b/>
                <w:bCs/>
                <w:kern w:val="0"/>
                <w:sz w:val="18"/>
                <w:szCs w:val="18"/>
                <w:lang w:bidi="ar"/>
              </w:rPr>
              <w:t>采样地点</w:t>
            </w:r>
          </w:p>
        </w:tc>
        <w:tc>
          <w:tcPr>
            <w:tcW w:w="381" w:type="pct"/>
            <w:shd w:val="clear" w:color="auto" w:fill="D7D7D7"/>
            <w:noWrap w:val="0"/>
            <w:vAlign w:val="center"/>
          </w:tcPr>
          <w:p w14:paraId="17E50D4E">
            <w:pPr>
              <w:widowControl/>
              <w:snapToGrid w:val="0"/>
              <w:jc w:val="center"/>
              <w:textAlignment w:val="center"/>
              <w:rPr>
                <w:sz w:val="18"/>
                <w:szCs w:val="18"/>
              </w:rPr>
            </w:pPr>
            <w:r>
              <w:rPr>
                <w:kern w:val="0"/>
                <w:sz w:val="18"/>
                <w:szCs w:val="18"/>
                <w:lang w:bidi="ar"/>
              </w:rPr>
              <w:t>日期</w:t>
            </w:r>
          </w:p>
          <w:p w14:paraId="27690C5D">
            <w:pPr>
              <w:widowControl/>
              <w:jc w:val="center"/>
              <w:textAlignment w:val="center"/>
              <w:rPr>
                <w:sz w:val="18"/>
                <w:szCs w:val="18"/>
              </w:rPr>
            </w:pPr>
            <w:r>
              <w:rPr>
                <w:sz w:val="18"/>
                <w:szCs w:val="18"/>
              </w:rPr>
              <w:t>项目</w:t>
            </w:r>
          </w:p>
        </w:tc>
        <w:tc>
          <w:tcPr>
            <w:tcW w:w="278" w:type="pct"/>
            <w:noWrap w:val="0"/>
            <w:vAlign w:val="center"/>
          </w:tcPr>
          <w:p w14:paraId="53F7F8C7">
            <w:pPr>
              <w:widowControl/>
              <w:jc w:val="center"/>
              <w:textAlignment w:val="center"/>
              <w:rPr>
                <w:b/>
                <w:bCs/>
                <w:sz w:val="18"/>
                <w:szCs w:val="18"/>
              </w:rPr>
            </w:pPr>
            <w:r>
              <w:rPr>
                <w:kern w:val="0"/>
                <w:sz w:val="18"/>
                <w:szCs w:val="18"/>
                <w:lang w:bidi="ar"/>
              </w:rPr>
              <w:t>pH值（无量纲）</w:t>
            </w:r>
          </w:p>
        </w:tc>
        <w:tc>
          <w:tcPr>
            <w:tcW w:w="218" w:type="pct"/>
            <w:noWrap w:val="0"/>
            <w:vAlign w:val="center"/>
          </w:tcPr>
          <w:p w14:paraId="50978E83">
            <w:pPr>
              <w:widowControl/>
              <w:jc w:val="center"/>
              <w:textAlignment w:val="center"/>
              <w:rPr>
                <w:sz w:val="18"/>
                <w:szCs w:val="18"/>
              </w:rPr>
            </w:pPr>
            <w:r>
              <w:rPr>
                <w:kern w:val="0"/>
                <w:sz w:val="18"/>
                <w:szCs w:val="18"/>
                <w:lang w:bidi="ar"/>
              </w:rPr>
              <w:t>氨氮</w:t>
            </w:r>
          </w:p>
        </w:tc>
        <w:tc>
          <w:tcPr>
            <w:tcW w:w="218" w:type="pct"/>
            <w:noWrap w:val="0"/>
            <w:vAlign w:val="center"/>
          </w:tcPr>
          <w:p w14:paraId="55890D7B">
            <w:pPr>
              <w:widowControl/>
              <w:jc w:val="center"/>
              <w:textAlignment w:val="center"/>
              <w:rPr>
                <w:sz w:val="18"/>
                <w:szCs w:val="18"/>
              </w:rPr>
            </w:pPr>
            <w:r>
              <w:rPr>
                <w:kern w:val="0"/>
                <w:sz w:val="18"/>
                <w:szCs w:val="18"/>
                <w:lang w:bidi="ar"/>
              </w:rPr>
              <w:t>硝酸盐氮</w:t>
            </w:r>
          </w:p>
        </w:tc>
        <w:tc>
          <w:tcPr>
            <w:tcW w:w="333" w:type="pct"/>
            <w:noWrap w:val="0"/>
            <w:vAlign w:val="center"/>
          </w:tcPr>
          <w:p w14:paraId="18613E4E">
            <w:pPr>
              <w:widowControl/>
              <w:jc w:val="center"/>
              <w:textAlignment w:val="center"/>
              <w:rPr>
                <w:sz w:val="18"/>
                <w:szCs w:val="18"/>
              </w:rPr>
            </w:pPr>
            <w:r>
              <w:rPr>
                <w:kern w:val="0"/>
                <w:sz w:val="18"/>
                <w:szCs w:val="18"/>
                <w:lang w:bidi="ar"/>
              </w:rPr>
              <w:t>亚硝酸盐氮</w:t>
            </w:r>
          </w:p>
        </w:tc>
        <w:tc>
          <w:tcPr>
            <w:tcW w:w="359" w:type="pct"/>
            <w:noWrap w:val="0"/>
            <w:vAlign w:val="center"/>
          </w:tcPr>
          <w:p w14:paraId="5159DA54">
            <w:pPr>
              <w:widowControl/>
              <w:jc w:val="center"/>
              <w:textAlignment w:val="center"/>
              <w:rPr>
                <w:sz w:val="18"/>
                <w:szCs w:val="18"/>
              </w:rPr>
            </w:pPr>
            <w:r>
              <w:rPr>
                <w:kern w:val="0"/>
                <w:sz w:val="18"/>
                <w:szCs w:val="18"/>
                <w:lang w:bidi="ar"/>
              </w:rPr>
              <w:t>挥发酚</w:t>
            </w:r>
          </w:p>
        </w:tc>
        <w:tc>
          <w:tcPr>
            <w:tcW w:w="355" w:type="pct"/>
            <w:noWrap w:val="0"/>
            <w:vAlign w:val="center"/>
          </w:tcPr>
          <w:p w14:paraId="1F21746F">
            <w:pPr>
              <w:widowControl/>
              <w:jc w:val="center"/>
              <w:textAlignment w:val="center"/>
              <w:rPr>
                <w:sz w:val="18"/>
                <w:szCs w:val="18"/>
              </w:rPr>
            </w:pPr>
            <w:r>
              <w:rPr>
                <w:kern w:val="0"/>
                <w:sz w:val="18"/>
                <w:szCs w:val="18"/>
                <w:lang w:bidi="ar"/>
              </w:rPr>
              <w:t>氰化物</w:t>
            </w:r>
          </w:p>
        </w:tc>
        <w:tc>
          <w:tcPr>
            <w:tcW w:w="284" w:type="pct"/>
            <w:noWrap w:val="0"/>
            <w:vAlign w:val="center"/>
          </w:tcPr>
          <w:p w14:paraId="3D8297CE">
            <w:pPr>
              <w:widowControl/>
              <w:jc w:val="center"/>
              <w:textAlignment w:val="center"/>
              <w:rPr>
                <w:sz w:val="18"/>
                <w:szCs w:val="18"/>
              </w:rPr>
            </w:pPr>
            <w:r>
              <w:rPr>
                <w:kern w:val="0"/>
                <w:sz w:val="18"/>
                <w:szCs w:val="18"/>
                <w:lang w:bidi="ar"/>
              </w:rPr>
              <w:t>总砷</w:t>
            </w:r>
          </w:p>
        </w:tc>
        <w:tc>
          <w:tcPr>
            <w:tcW w:w="359" w:type="pct"/>
            <w:noWrap w:val="0"/>
            <w:vAlign w:val="center"/>
          </w:tcPr>
          <w:p w14:paraId="2BE66C4E">
            <w:pPr>
              <w:widowControl/>
              <w:jc w:val="center"/>
              <w:textAlignment w:val="center"/>
              <w:rPr>
                <w:sz w:val="18"/>
                <w:szCs w:val="18"/>
              </w:rPr>
            </w:pPr>
            <w:r>
              <w:rPr>
                <w:kern w:val="0"/>
                <w:sz w:val="18"/>
                <w:szCs w:val="18"/>
                <w:lang w:bidi="ar"/>
              </w:rPr>
              <w:t>总汞</w:t>
            </w:r>
          </w:p>
        </w:tc>
        <w:tc>
          <w:tcPr>
            <w:tcW w:w="315" w:type="pct"/>
            <w:noWrap w:val="0"/>
            <w:vAlign w:val="center"/>
          </w:tcPr>
          <w:p w14:paraId="131BD121">
            <w:pPr>
              <w:widowControl/>
              <w:jc w:val="center"/>
              <w:textAlignment w:val="center"/>
              <w:rPr>
                <w:sz w:val="18"/>
                <w:szCs w:val="18"/>
              </w:rPr>
            </w:pPr>
            <w:r>
              <w:rPr>
                <w:kern w:val="0"/>
                <w:sz w:val="18"/>
                <w:szCs w:val="18"/>
                <w:lang w:bidi="ar"/>
              </w:rPr>
              <w:t>六价铬</w:t>
            </w:r>
          </w:p>
        </w:tc>
        <w:tc>
          <w:tcPr>
            <w:tcW w:w="302" w:type="pct"/>
            <w:noWrap w:val="0"/>
            <w:vAlign w:val="center"/>
          </w:tcPr>
          <w:p w14:paraId="16C9D600">
            <w:pPr>
              <w:widowControl/>
              <w:jc w:val="center"/>
              <w:textAlignment w:val="center"/>
              <w:rPr>
                <w:sz w:val="18"/>
                <w:szCs w:val="18"/>
              </w:rPr>
            </w:pPr>
            <w:r>
              <w:rPr>
                <w:kern w:val="0"/>
                <w:sz w:val="18"/>
                <w:szCs w:val="18"/>
                <w:lang w:bidi="ar"/>
              </w:rPr>
              <w:t>总硬度</w:t>
            </w:r>
          </w:p>
        </w:tc>
        <w:tc>
          <w:tcPr>
            <w:tcW w:w="276" w:type="pct"/>
            <w:noWrap w:val="0"/>
            <w:vAlign w:val="center"/>
          </w:tcPr>
          <w:p w14:paraId="0DF91F54">
            <w:pPr>
              <w:widowControl/>
              <w:jc w:val="center"/>
              <w:textAlignment w:val="center"/>
              <w:rPr>
                <w:sz w:val="18"/>
                <w:szCs w:val="18"/>
              </w:rPr>
            </w:pPr>
            <w:r>
              <w:rPr>
                <w:kern w:val="0"/>
                <w:sz w:val="18"/>
                <w:szCs w:val="18"/>
                <w:lang w:bidi="ar"/>
              </w:rPr>
              <w:t>铅</w:t>
            </w:r>
          </w:p>
        </w:tc>
        <w:tc>
          <w:tcPr>
            <w:tcW w:w="267" w:type="pct"/>
            <w:noWrap w:val="0"/>
            <w:vAlign w:val="center"/>
          </w:tcPr>
          <w:p w14:paraId="1B2CA211">
            <w:pPr>
              <w:widowControl/>
              <w:jc w:val="center"/>
              <w:textAlignment w:val="center"/>
              <w:rPr>
                <w:sz w:val="18"/>
                <w:szCs w:val="18"/>
              </w:rPr>
            </w:pPr>
            <w:r>
              <w:rPr>
                <w:kern w:val="0"/>
                <w:sz w:val="18"/>
                <w:szCs w:val="18"/>
                <w:lang w:bidi="ar"/>
              </w:rPr>
              <w:t>氟化物</w:t>
            </w:r>
          </w:p>
        </w:tc>
        <w:tc>
          <w:tcPr>
            <w:tcW w:w="293" w:type="pct"/>
            <w:noWrap w:val="0"/>
            <w:vAlign w:val="center"/>
          </w:tcPr>
          <w:p w14:paraId="79461448">
            <w:pPr>
              <w:widowControl/>
              <w:jc w:val="center"/>
              <w:textAlignment w:val="center"/>
              <w:rPr>
                <w:sz w:val="18"/>
                <w:szCs w:val="18"/>
              </w:rPr>
            </w:pPr>
            <w:r>
              <w:rPr>
                <w:kern w:val="0"/>
                <w:sz w:val="18"/>
                <w:szCs w:val="18"/>
                <w:lang w:bidi="ar"/>
              </w:rPr>
              <w:t>镉</w:t>
            </w:r>
          </w:p>
        </w:tc>
        <w:tc>
          <w:tcPr>
            <w:tcW w:w="302" w:type="pct"/>
            <w:noWrap w:val="0"/>
            <w:vAlign w:val="center"/>
          </w:tcPr>
          <w:p w14:paraId="68023E18">
            <w:pPr>
              <w:widowControl/>
              <w:jc w:val="center"/>
              <w:textAlignment w:val="center"/>
              <w:rPr>
                <w:sz w:val="18"/>
                <w:szCs w:val="18"/>
              </w:rPr>
            </w:pPr>
            <w:r>
              <w:rPr>
                <w:kern w:val="0"/>
                <w:sz w:val="18"/>
                <w:szCs w:val="18"/>
                <w:lang w:bidi="ar"/>
              </w:rPr>
              <w:t>铁</w:t>
            </w:r>
          </w:p>
        </w:tc>
        <w:tc>
          <w:tcPr>
            <w:tcW w:w="303" w:type="pct"/>
            <w:noWrap w:val="0"/>
            <w:vAlign w:val="center"/>
          </w:tcPr>
          <w:p w14:paraId="778295F2">
            <w:pPr>
              <w:widowControl/>
              <w:jc w:val="center"/>
              <w:textAlignment w:val="center"/>
              <w:rPr>
                <w:sz w:val="18"/>
                <w:szCs w:val="18"/>
              </w:rPr>
            </w:pPr>
            <w:r>
              <w:rPr>
                <w:kern w:val="0"/>
                <w:sz w:val="18"/>
                <w:szCs w:val="18"/>
                <w:lang w:bidi="ar"/>
              </w:rPr>
              <w:t>锰</w:t>
            </w:r>
          </w:p>
        </w:tc>
      </w:tr>
      <w:tr w14:paraId="10675A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restart"/>
            <w:shd w:val="clear" w:color="auto" w:fill="auto"/>
            <w:noWrap w:val="0"/>
            <w:vAlign w:val="center"/>
          </w:tcPr>
          <w:p w14:paraId="1301013D">
            <w:pPr>
              <w:widowControl/>
              <w:jc w:val="center"/>
              <w:textAlignment w:val="center"/>
              <w:rPr>
                <w:sz w:val="18"/>
                <w:szCs w:val="18"/>
              </w:rPr>
            </w:pPr>
            <w:r>
              <w:rPr>
                <w:kern w:val="0"/>
                <w:sz w:val="18"/>
                <w:szCs w:val="18"/>
                <w:lang w:bidi="ar"/>
              </w:rPr>
              <w:t>拟建项目地块二北侧养殖区上游泉点DW5</w:t>
            </w:r>
          </w:p>
        </w:tc>
        <w:tc>
          <w:tcPr>
            <w:tcW w:w="381" w:type="pct"/>
            <w:shd w:val="clear" w:color="auto" w:fill="D7D7D7"/>
            <w:noWrap w:val="0"/>
            <w:vAlign w:val="center"/>
          </w:tcPr>
          <w:p w14:paraId="527043A6">
            <w:pPr>
              <w:widowControl/>
              <w:jc w:val="center"/>
              <w:textAlignment w:val="center"/>
              <w:rPr>
                <w:sz w:val="18"/>
                <w:szCs w:val="18"/>
              </w:rPr>
            </w:pPr>
            <w:r>
              <w:rPr>
                <w:kern w:val="0"/>
                <w:sz w:val="18"/>
                <w:szCs w:val="18"/>
                <w:lang w:bidi="ar"/>
              </w:rPr>
              <w:t>2021/3/28</w:t>
            </w:r>
          </w:p>
        </w:tc>
        <w:tc>
          <w:tcPr>
            <w:tcW w:w="278" w:type="pct"/>
            <w:noWrap w:val="0"/>
            <w:vAlign w:val="center"/>
          </w:tcPr>
          <w:p w14:paraId="69FC1BA1">
            <w:pPr>
              <w:widowControl/>
              <w:jc w:val="center"/>
              <w:textAlignment w:val="center"/>
              <w:rPr>
                <w:sz w:val="18"/>
                <w:szCs w:val="18"/>
              </w:rPr>
            </w:pPr>
            <w:r>
              <w:rPr>
                <w:kern w:val="0"/>
                <w:sz w:val="18"/>
                <w:szCs w:val="18"/>
                <w:lang w:bidi="ar"/>
              </w:rPr>
              <w:t>7.37</w:t>
            </w:r>
          </w:p>
        </w:tc>
        <w:tc>
          <w:tcPr>
            <w:tcW w:w="218" w:type="pct"/>
            <w:noWrap w:val="0"/>
            <w:vAlign w:val="center"/>
          </w:tcPr>
          <w:p w14:paraId="6CA0BBF8">
            <w:pPr>
              <w:widowControl/>
              <w:jc w:val="center"/>
              <w:textAlignment w:val="center"/>
              <w:rPr>
                <w:sz w:val="18"/>
                <w:szCs w:val="18"/>
              </w:rPr>
            </w:pPr>
            <w:r>
              <w:rPr>
                <w:kern w:val="0"/>
                <w:sz w:val="18"/>
                <w:szCs w:val="18"/>
                <w:lang w:bidi="ar"/>
              </w:rPr>
              <w:t>0.028</w:t>
            </w:r>
          </w:p>
        </w:tc>
        <w:tc>
          <w:tcPr>
            <w:tcW w:w="218" w:type="pct"/>
            <w:noWrap w:val="0"/>
            <w:vAlign w:val="center"/>
          </w:tcPr>
          <w:p w14:paraId="3173D774">
            <w:pPr>
              <w:widowControl/>
              <w:jc w:val="center"/>
              <w:textAlignment w:val="center"/>
              <w:rPr>
                <w:sz w:val="18"/>
                <w:szCs w:val="18"/>
              </w:rPr>
            </w:pPr>
            <w:r>
              <w:rPr>
                <w:kern w:val="0"/>
                <w:sz w:val="18"/>
                <w:szCs w:val="18"/>
                <w:lang w:bidi="ar"/>
              </w:rPr>
              <w:t>2.68</w:t>
            </w:r>
          </w:p>
        </w:tc>
        <w:tc>
          <w:tcPr>
            <w:tcW w:w="333" w:type="pct"/>
            <w:noWrap w:val="0"/>
            <w:vAlign w:val="center"/>
          </w:tcPr>
          <w:p w14:paraId="34BB8986">
            <w:pPr>
              <w:widowControl/>
              <w:jc w:val="center"/>
              <w:textAlignment w:val="center"/>
              <w:rPr>
                <w:sz w:val="18"/>
                <w:szCs w:val="18"/>
              </w:rPr>
            </w:pPr>
            <w:r>
              <w:rPr>
                <w:kern w:val="0"/>
                <w:sz w:val="18"/>
                <w:szCs w:val="18"/>
                <w:lang w:bidi="ar"/>
              </w:rPr>
              <w:t>0.003L</w:t>
            </w:r>
          </w:p>
        </w:tc>
        <w:tc>
          <w:tcPr>
            <w:tcW w:w="359" w:type="pct"/>
            <w:noWrap w:val="0"/>
            <w:vAlign w:val="center"/>
          </w:tcPr>
          <w:p w14:paraId="2F31E9BE">
            <w:pPr>
              <w:widowControl/>
              <w:jc w:val="center"/>
              <w:textAlignment w:val="center"/>
              <w:rPr>
                <w:sz w:val="18"/>
                <w:szCs w:val="18"/>
              </w:rPr>
            </w:pPr>
            <w:r>
              <w:rPr>
                <w:kern w:val="0"/>
                <w:sz w:val="18"/>
                <w:szCs w:val="18"/>
                <w:lang w:bidi="ar"/>
              </w:rPr>
              <w:t>0.0003L</w:t>
            </w:r>
          </w:p>
        </w:tc>
        <w:tc>
          <w:tcPr>
            <w:tcW w:w="355" w:type="pct"/>
            <w:noWrap w:val="0"/>
            <w:vAlign w:val="center"/>
          </w:tcPr>
          <w:p w14:paraId="24B44591">
            <w:pPr>
              <w:widowControl/>
              <w:jc w:val="center"/>
              <w:textAlignment w:val="center"/>
              <w:rPr>
                <w:sz w:val="18"/>
                <w:szCs w:val="18"/>
              </w:rPr>
            </w:pPr>
            <w:r>
              <w:rPr>
                <w:kern w:val="0"/>
                <w:sz w:val="18"/>
                <w:szCs w:val="18"/>
                <w:lang w:bidi="ar"/>
              </w:rPr>
              <w:t>0.004L</w:t>
            </w:r>
          </w:p>
        </w:tc>
        <w:tc>
          <w:tcPr>
            <w:tcW w:w="284" w:type="pct"/>
            <w:noWrap w:val="0"/>
            <w:vAlign w:val="center"/>
          </w:tcPr>
          <w:p w14:paraId="0961D329">
            <w:pPr>
              <w:widowControl/>
              <w:jc w:val="center"/>
              <w:textAlignment w:val="center"/>
              <w:rPr>
                <w:sz w:val="18"/>
                <w:szCs w:val="18"/>
              </w:rPr>
            </w:pPr>
            <w:r>
              <w:rPr>
                <w:kern w:val="0"/>
                <w:sz w:val="18"/>
                <w:szCs w:val="18"/>
                <w:lang w:bidi="ar"/>
              </w:rPr>
              <w:t>0.0049</w:t>
            </w:r>
          </w:p>
        </w:tc>
        <w:tc>
          <w:tcPr>
            <w:tcW w:w="359" w:type="pct"/>
            <w:noWrap w:val="0"/>
            <w:vAlign w:val="center"/>
          </w:tcPr>
          <w:p w14:paraId="3D8364D4">
            <w:pPr>
              <w:widowControl/>
              <w:jc w:val="center"/>
              <w:textAlignment w:val="center"/>
              <w:rPr>
                <w:sz w:val="18"/>
                <w:szCs w:val="18"/>
              </w:rPr>
            </w:pPr>
            <w:r>
              <w:rPr>
                <w:kern w:val="0"/>
                <w:sz w:val="18"/>
                <w:szCs w:val="18"/>
                <w:lang w:bidi="ar"/>
              </w:rPr>
              <w:t>0.00004L</w:t>
            </w:r>
          </w:p>
        </w:tc>
        <w:tc>
          <w:tcPr>
            <w:tcW w:w="315" w:type="pct"/>
            <w:noWrap w:val="0"/>
            <w:vAlign w:val="center"/>
          </w:tcPr>
          <w:p w14:paraId="7170729E">
            <w:pPr>
              <w:widowControl/>
              <w:jc w:val="center"/>
              <w:textAlignment w:val="center"/>
              <w:rPr>
                <w:sz w:val="18"/>
                <w:szCs w:val="18"/>
              </w:rPr>
            </w:pPr>
            <w:r>
              <w:rPr>
                <w:kern w:val="0"/>
                <w:sz w:val="18"/>
                <w:szCs w:val="18"/>
                <w:lang w:bidi="ar"/>
              </w:rPr>
              <w:t>0.004L</w:t>
            </w:r>
          </w:p>
        </w:tc>
        <w:tc>
          <w:tcPr>
            <w:tcW w:w="302" w:type="pct"/>
            <w:noWrap w:val="0"/>
            <w:vAlign w:val="center"/>
          </w:tcPr>
          <w:p w14:paraId="140096D1">
            <w:pPr>
              <w:widowControl/>
              <w:jc w:val="center"/>
              <w:textAlignment w:val="center"/>
              <w:rPr>
                <w:sz w:val="18"/>
                <w:szCs w:val="18"/>
              </w:rPr>
            </w:pPr>
            <w:r>
              <w:rPr>
                <w:kern w:val="0"/>
                <w:sz w:val="18"/>
                <w:szCs w:val="18"/>
                <w:lang w:bidi="ar"/>
              </w:rPr>
              <w:t>292</w:t>
            </w:r>
          </w:p>
        </w:tc>
        <w:tc>
          <w:tcPr>
            <w:tcW w:w="276" w:type="pct"/>
            <w:noWrap w:val="0"/>
            <w:vAlign w:val="center"/>
          </w:tcPr>
          <w:p w14:paraId="781A8CE9">
            <w:pPr>
              <w:widowControl/>
              <w:jc w:val="center"/>
              <w:textAlignment w:val="center"/>
              <w:rPr>
                <w:sz w:val="18"/>
                <w:szCs w:val="18"/>
              </w:rPr>
            </w:pPr>
            <w:r>
              <w:rPr>
                <w:kern w:val="0"/>
                <w:sz w:val="18"/>
                <w:szCs w:val="18"/>
                <w:lang w:bidi="ar"/>
              </w:rPr>
              <w:t>0.01L</w:t>
            </w:r>
          </w:p>
        </w:tc>
        <w:tc>
          <w:tcPr>
            <w:tcW w:w="267" w:type="pct"/>
            <w:noWrap w:val="0"/>
            <w:vAlign w:val="center"/>
          </w:tcPr>
          <w:p w14:paraId="211B9580">
            <w:pPr>
              <w:widowControl/>
              <w:jc w:val="center"/>
              <w:textAlignment w:val="center"/>
              <w:rPr>
                <w:sz w:val="18"/>
                <w:szCs w:val="18"/>
              </w:rPr>
            </w:pPr>
            <w:r>
              <w:rPr>
                <w:kern w:val="0"/>
                <w:sz w:val="18"/>
                <w:szCs w:val="18"/>
                <w:lang w:bidi="ar"/>
              </w:rPr>
              <w:t>0.14</w:t>
            </w:r>
          </w:p>
        </w:tc>
        <w:tc>
          <w:tcPr>
            <w:tcW w:w="293" w:type="pct"/>
            <w:noWrap w:val="0"/>
            <w:vAlign w:val="center"/>
          </w:tcPr>
          <w:p w14:paraId="7C660609">
            <w:pPr>
              <w:widowControl/>
              <w:jc w:val="center"/>
              <w:textAlignment w:val="center"/>
              <w:rPr>
                <w:sz w:val="18"/>
                <w:szCs w:val="18"/>
              </w:rPr>
            </w:pPr>
            <w:r>
              <w:rPr>
                <w:kern w:val="0"/>
                <w:sz w:val="18"/>
                <w:szCs w:val="18"/>
                <w:lang w:bidi="ar"/>
              </w:rPr>
              <w:t>0.001L</w:t>
            </w:r>
          </w:p>
        </w:tc>
        <w:tc>
          <w:tcPr>
            <w:tcW w:w="302" w:type="pct"/>
            <w:noWrap w:val="0"/>
            <w:vAlign w:val="center"/>
          </w:tcPr>
          <w:p w14:paraId="3EB3E8BA">
            <w:pPr>
              <w:widowControl/>
              <w:jc w:val="center"/>
              <w:textAlignment w:val="center"/>
              <w:rPr>
                <w:sz w:val="18"/>
                <w:szCs w:val="18"/>
              </w:rPr>
            </w:pPr>
            <w:r>
              <w:rPr>
                <w:kern w:val="0"/>
                <w:sz w:val="18"/>
                <w:szCs w:val="18"/>
                <w:lang w:bidi="ar"/>
              </w:rPr>
              <w:t>0.01L</w:t>
            </w:r>
          </w:p>
        </w:tc>
        <w:tc>
          <w:tcPr>
            <w:tcW w:w="303" w:type="pct"/>
            <w:noWrap w:val="0"/>
            <w:vAlign w:val="center"/>
          </w:tcPr>
          <w:p w14:paraId="2DA38CFE">
            <w:pPr>
              <w:widowControl/>
              <w:jc w:val="center"/>
              <w:textAlignment w:val="center"/>
              <w:rPr>
                <w:sz w:val="18"/>
                <w:szCs w:val="18"/>
              </w:rPr>
            </w:pPr>
            <w:r>
              <w:rPr>
                <w:kern w:val="0"/>
                <w:sz w:val="18"/>
                <w:szCs w:val="18"/>
                <w:lang w:bidi="ar"/>
              </w:rPr>
              <w:t>0.01L</w:t>
            </w:r>
          </w:p>
        </w:tc>
      </w:tr>
      <w:tr w14:paraId="0305B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 w:hRule="atLeast"/>
        </w:trPr>
        <w:tc>
          <w:tcPr>
            <w:tcW w:w="149" w:type="pct"/>
            <w:vMerge w:val="continue"/>
            <w:shd w:val="clear" w:color="auto" w:fill="auto"/>
            <w:noWrap w:val="0"/>
            <w:vAlign w:val="center"/>
          </w:tcPr>
          <w:p w14:paraId="019528DF">
            <w:pPr>
              <w:jc w:val="center"/>
              <w:rPr>
                <w:sz w:val="18"/>
                <w:szCs w:val="18"/>
              </w:rPr>
            </w:pPr>
          </w:p>
        </w:tc>
        <w:tc>
          <w:tcPr>
            <w:tcW w:w="381" w:type="pct"/>
            <w:shd w:val="clear" w:color="auto" w:fill="D7D7D7"/>
            <w:noWrap w:val="0"/>
            <w:vAlign w:val="center"/>
          </w:tcPr>
          <w:p w14:paraId="38CA96F5">
            <w:pPr>
              <w:widowControl/>
              <w:jc w:val="center"/>
              <w:textAlignment w:val="center"/>
              <w:rPr>
                <w:sz w:val="18"/>
                <w:szCs w:val="18"/>
              </w:rPr>
            </w:pPr>
            <w:r>
              <w:rPr>
                <w:kern w:val="0"/>
                <w:sz w:val="18"/>
                <w:szCs w:val="18"/>
                <w:lang w:bidi="ar"/>
              </w:rPr>
              <w:t>2021/3/29</w:t>
            </w:r>
          </w:p>
        </w:tc>
        <w:tc>
          <w:tcPr>
            <w:tcW w:w="278" w:type="pct"/>
            <w:noWrap w:val="0"/>
            <w:vAlign w:val="center"/>
          </w:tcPr>
          <w:p w14:paraId="760E10E3">
            <w:pPr>
              <w:widowControl/>
              <w:jc w:val="center"/>
              <w:textAlignment w:val="center"/>
              <w:rPr>
                <w:sz w:val="18"/>
                <w:szCs w:val="18"/>
              </w:rPr>
            </w:pPr>
            <w:r>
              <w:rPr>
                <w:kern w:val="0"/>
                <w:sz w:val="18"/>
                <w:szCs w:val="18"/>
                <w:lang w:bidi="ar"/>
              </w:rPr>
              <w:t>7.29</w:t>
            </w:r>
          </w:p>
        </w:tc>
        <w:tc>
          <w:tcPr>
            <w:tcW w:w="218" w:type="pct"/>
            <w:noWrap w:val="0"/>
            <w:vAlign w:val="center"/>
          </w:tcPr>
          <w:p w14:paraId="58FD6926">
            <w:pPr>
              <w:widowControl/>
              <w:jc w:val="center"/>
              <w:textAlignment w:val="center"/>
              <w:rPr>
                <w:sz w:val="18"/>
                <w:szCs w:val="18"/>
              </w:rPr>
            </w:pPr>
            <w:r>
              <w:rPr>
                <w:kern w:val="0"/>
                <w:sz w:val="18"/>
                <w:szCs w:val="18"/>
                <w:lang w:bidi="ar"/>
              </w:rPr>
              <w:t>0.026</w:t>
            </w:r>
          </w:p>
        </w:tc>
        <w:tc>
          <w:tcPr>
            <w:tcW w:w="218" w:type="pct"/>
            <w:noWrap w:val="0"/>
            <w:vAlign w:val="center"/>
          </w:tcPr>
          <w:p w14:paraId="49095E78">
            <w:pPr>
              <w:widowControl/>
              <w:jc w:val="center"/>
              <w:textAlignment w:val="center"/>
              <w:rPr>
                <w:sz w:val="18"/>
                <w:szCs w:val="18"/>
              </w:rPr>
            </w:pPr>
            <w:r>
              <w:rPr>
                <w:kern w:val="0"/>
                <w:sz w:val="18"/>
                <w:szCs w:val="18"/>
                <w:lang w:bidi="ar"/>
              </w:rPr>
              <w:t>2.64</w:t>
            </w:r>
          </w:p>
        </w:tc>
        <w:tc>
          <w:tcPr>
            <w:tcW w:w="333" w:type="pct"/>
            <w:noWrap w:val="0"/>
            <w:vAlign w:val="center"/>
          </w:tcPr>
          <w:p w14:paraId="7F06ADE8">
            <w:pPr>
              <w:widowControl/>
              <w:jc w:val="center"/>
              <w:textAlignment w:val="center"/>
              <w:rPr>
                <w:sz w:val="18"/>
                <w:szCs w:val="18"/>
              </w:rPr>
            </w:pPr>
            <w:r>
              <w:rPr>
                <w:kern w:val="0"/>
                <w:sz w:val="18"/>
                <w:szCs w:val="18"/>
                <w:lang w:bidi="ar"/>
              </w:rPr>
              <w:t>0.003L</w:t>
            </w:r>
          </w:p>
        </w:tc>
        <w:tc>
          <w:tcPr>
            <w:tcW w:w="359" w:type="pct"/>
            <w:noWrap w:val="0"/>
            <w:vAlign w:val="center"/>
          </w:tcPr>
          <w:p w14:paraId="560A82FE">
            <w:pPr>
              <w:widowControl/>
              <w:jc w:val="center"/>
              <w:textAlignment w:val="center"/>
              <w:rPr>
                <w:sz w:val="18"/>
                <w:szCs w:val="18"/>
              </w:rPr>
            </w:pPr>
            <w:r>
              <w:rPr>
                <w:kern w:val="0"/>
                <w:sz w:val="18"/>
                <w:szCs w:val="18"/>
                <w:lang w:bidi="ar"/>
              </w:rPr>
              <w:t>0.0003L</w:t>
            </w:r>
          </w:p>
        </w:tc>
        <w:tc>
          <w:tcPr>
            <w:tcW w:w="355" w:type="pct"/>
            <w:noWrap w:val="0"/>
            <w:vAlign w:val="center"/>
          </w:tcPr>
          <w:p w14:paraId="65FB415A">
            <w:pPr>
              <w:widowControl/>
              <w:jc w:val="center"/>
              <w:textAlignment w:val="center"/>
              <w:rPr>
                <w:sz w:val="18"/>
                <w:szCs w:val="18"/>
              </w:rPr>
            </w:pPr>
            <w:r>
              <w:rPr>
                <w:kern w:val="0"/>
                <w:sz w:val="18"/>
                <w:szCs w:val="18"/>
                <w:lang w:bidi="ar"/>
              </w:rPr>
              <w:t>0.004L</w:t>
            </w:r>
          </w:p>
        </w:tc>
        <w:tc>
          <w:tcPr>
            <w:tcW w:w="284" w:type="pct"/>
            <w:noWrap w:val="0"/>
            <w:vAlign w:val="center"/>
          </w:tcPr>
          <w:p w14:paraId="5C816F19">
            <w:pPr>
              <w:widowControl/>
              <w:jc w:val="center"/>
              <w:textAlignment w:val="center"/>
              <w:rPr>
                <w:sz w:val="18"/>
                <w:szCs w:val="18"/>
              </w:rPr>
            </w:pPr>
            <w:r>
              <w:rPr>
                <w:kern w:val="0"/>
                <w:sz w:val="18"/>
                <w:szCs w:val="18"/>
                <w:lang w:bidi="ar"/>
              </w:rPr>
              <w:t>0.005</w:t>
            </w:r>
          </w:p>
        </w:tc>
        <w:tc>
          <w:tcPr>
            <w:tcW w:w="359" w:type="pct"/>
            <w:noWrap w:val="0"/>
            <w:vAlign w:val="center"/>
          </w:tcPr>
          <w:p w14:paraId="67CB490F">
            <w:pPr>
              <w:widowControl/>
              <w:jc w:val="center"/>
              <w:textAlignment w:val="center"/>
              <w:rPr>
                <w:sz w:val="18"/>
                <w:szCs w:val="18"/>
              </w:rPr>
            </w:pPr>
            <w:r>
              <w:rPr>
                <w:kern w:val="0"/>
                <w:sz w:val="18"/>
                <w:szCs w:val="18"/>
                <w:lang w:bidi="ar"/>
              </w:rPr>
              <w:t>0.00004L</w:t>
            </w:r>
          </w:p>
        </w:tc>
        <w:tc>
          <w:tcPr>
            <w:tcW w:w="315" w:type="pct"/>
            <w:noWrap w:val="0"/>
            <w:vAlign w:val="center"/>
          </w:tcPr>
          <w:p w14:paraId="351C8136">
            <w:pPr>
              <w:widowControl/>
              <w:jc w:val="center"/>
              <w:textAlignment w:val="center"/>
              <w:rPr>
                <w:sz w:val="18"/>
                <w:szCs w:val="18"/>
              </w:rPr>
            </w:pPr>
            <w:r>
              <w:rPr>
                <w:kern w:val="0"/>
                <w:sz w:val="18"/>
                <w:szCs w:val="18"/>
                <w:lang w:bidi="ar"/>
              </w:rPr>
              <w:t>0.004L</w:t>
            </w:r>
          </w:p>
        </w:tc>
        <w:tc>
          <w:tcPr>
            <w:tcW w:w="302" w:type="pct"/>
            <w:noWrap w:val="0"/>
            <w:vAlign w:val="center"/>
          </w:tcPr>
          <w:p w14:paraId="4C33A174">
            <w:pPr>
              <w:widowControl/>
              <w:jc w:val="center"/>
              <w:textAlignment w:val="center"/>
              <w:rPr>
                <w:sz w:val="18"/>
                <w:szCs w:val="18"/>
              </w:rPr>
            </w:pPr>
            <w:r>
              <w:rPr>
                <w:kern w:val="0"/>
                <w:sz w:val="18"/>
                <w:szCs w:val="18"/>
                <w:lang w:bidi="ar"/>
              </w:rPr>
              <w:t>285</w:t>
            </w:r>
          </w:p>
        </w:tc>
        <w:tc>
          <w:tcPr>
            <w:tcW w:w="276" w:type="pct"/>
            <w:noWrap w:val="0"/>
            <w:vAlign w:val="center"/>
          </w:tcPr>
          <w:p w14:paraId="7596E774">
            <w:pPr>
              <w:widowControl/>
              <w:jc w:val="center"/>
              <w:textAlignment w:val="center"/>
              <w:rPr>
                <w:sz w:val="18"/>
                <w:szCs w:val="18"/>
              </w:rPr>
            </w:pPr>
            <w:r>
              <w:rPr>
                <w:kern w:val="0"/>
                <w:sz w:val="18"/>
                <w:szCs w:val="18"/>
                <w:lang w:bidi="ar"/>
              </w:rPr>
              <w:t>0.01L</w:t>
            </w:r>
          </w:p>
        </w:tc>
        <w:tc>
          <w:tcPr>
            <w:tcW w:w="267" w:type="pct"/>
            <w:noWrap w:val="0"/>
            <w:vAlign w:val="center"/>
          </w:tcPr>
          <w:p w14:paraId="09098425">
            <w:pPr>
              <w:widowControl/>
              <w:jc w:val="center"/>
              <w:textAlignment w:val="center"/>
              <w:rPr>
                <w:sz w:val="18"/>
                <w:szCs w:val="18"/>
              </w:rPr>
            </w:pPr>
            <w:r>
              <w:rPr>
                <w:kern w:val="0"/>
                <w:sz w:val="18"/>
                <w:szCs w:val="18"/>
                <w:lang w:bidi="ar"/>
              </w:rPr>
              <w:t>0.16</w:t>
            </w:r>
          </w:p>
        </w:tc>
        <w:tc>
          <w:tcPr>
            <w:tcW w:w="293" w:type="pct"/>
            <w:noWrap w:val="0"/>
            <w:vAlign w:val="center"/>
          </w:tcPr>
          <w:p w14:paraId="01AD7D06">
            <w:pPr>
              <w:widowControl/>
              <w:jc w:val="center"/>
              <w:textAlignment w:val="center"/>
              <w:rPr>
                <w:sz w:val="18"/>
                <w:szCs w:val="18"/>
              </w:rPr>
            </w:pPr>
            <w:r>
              <w:rPr>
                <w:kern w:val="0"/>
                <w:sz w:val="18"/>
                <w:szCs w:val="18"/>
                <w:lang w:bidi="ar"/>
              </w:rPr>
              <w:t>0.001L</w:t>
            </w:r>
          </w:p>
        </w:tc>
        <w:tc>
          <w:tcPr>
            <w:tcW w:w="302" w:type="pct"/>
            <w:noWrap w:val="0"/>
            <w:vAlign w:val="center"/>
          </w:tcPr>
          <w:p w14:paraId="6AAD54E3">
            <w:pPr>
              <w:widowControl/>
              <w:jc w:val="center"/>
              <w:textAlignment w:val="center"/>
              <w:rPr>
                <w:sz w:val="18"/>
                <w:szCs w:val="18"/>
              </w:rPr>
            </w:pPr>
            <w:r>
              <w:rPr>
                <w:kern w:val="0"/>
                <w:sz w:val="18"/>
                <w:szCs w:val="18"/>
                <w:lang w:bidi="ar"/>
              </w:rPr>
              <w:t>0.01L</w:t>
            </w:r>
          </w:p>
        </w:tc>
        <w:tc>
          <w:tcPr>
            <w:tcW w:w="303" w:type="pct"/>
            <w:noWrap w:val="0"/>
            <w:vAlign w:val="center"/>
          </w:tcPr>
          <w:p w14:paraId="6686B290">
            <w:pPr>
              <w:widowControl/>
              <w:jc w:val="center"/>
              <w:textAlignment w:val="center"/>
              <w:rPr>
                <w:sz w:val="18"/>
                <w:szCs w:val="18"/>
              </w:rPr>
            </w:pPr>
            <w:r>
              <w:rPr>
                <w:kern w:val="0"/>
                <w:sz w:val="18"/>
                <w:szCs w:val="18"/>
                <w:lang w:bidi="ar"/>
              </w:rPr>
              <w:t>0.01L</w:t>
            </w:r>
          </w:p>
        </w:tc>
      </w:tr>
      <w:tr w14:paraId="7D27B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00C382D9">
            <w:pPr>
              <w:jc w:val="center"/>
              <w:rPr>
                <w:sz w:val="18"/>
                <w:szCs w:val="18"/>
              </w:rPr>
            </w:pPr>
          </w:p>
        </w:tc>
        <w:tc>
          <w:tcPr>
            <w:tcW w:w="381" w:type="pct"/>
            <w:shd w:val="clear" w:color="auto" w:fill="D7D7D7"/>
            <w:noWrap w:val="0"/>
            <w:vAlign w:val="center"/>
          </w:tcPr>
          <w:p w14:paraId="39ABDEDC">
            <w:pPr>
              <w:widowControl/>
              <w:jc w:val="center"/>
              <w:textAlignment w:val="center"/>
              <w:rPr>
                <w:sz w:val="18"/>
                <w:szCs w:val="18"/>
              </w:rPr>
            </w:pPr>
            <w:r>
              <w:rPr>
                <w:kern w:val="0"/>
                <w:sz w:val="18"/>
                <w:szCs w:val="18"/>
                <w:lang w:bidi="ar"/>
              </w:rPr>
              <w:t>2021/3/30</w:t>
            </w:r>
          </w:p>
        </w:tc>
        <w:tc>
          <w:tcPr>
            <w:tcW w:w="278" w:type="pct"/>
            <w:noWrap w:val="0"/>
            <w:vAlign w:val="center"/>
          </w:tcPr>
          <w:p w14:paraId="4C2DAA9D">
            <w:pPr>
              <w:widowControl/>
              <w:jc w:val="center"/>
              <w:textAlignment w:val="center"/>
              <w:rPr>
                <w:sz w:val="18"/>
                <w:szCs w:val="18"/>
              </w:rPr>
            </w:pPr>
            <w:r>
              <w:rPr>
                <w:kern w:val="0"/>
                <w:sz w:val="18"/>
                <w:szCs w:val="18"/>
                <w:lang w:bidi="ar"/>
              </w:rPr>
              <w:t>7.27</w:t>
            </w:r>
          </w:p>
        </w:tc>
        <w:tc>
          <w:tcPr>
            <w:tcW w:w="218" w:type="pct"/>
            <w:noWrap w:val="0"/>
            <w:vAlign w:val="center"/>
          </w:tcPr>
          <w:p w14:paraId="5D45D935">
            <w:pPr>
              <w:widowControl/>
              <w:jc w:val="center"/>
              <w:textAlignment w:val="center"/>
              <w:rPr>
                <w:sz w:val="18"/>
                <w:szCs w:val="18"/>
              </w:rPr>
            </w:pPr>
            <w:r>
              <w:rPr>
                <w:kern w:val="0"/>
                <w:sz w:val="18"/>
                <w:szCs w:val="18"/>
                <w:lang w:bidi="ar"/>
              </w:rPr>
              <w:t>0.031</w:t>
            </w:r>
          </w:p>
        </w:tc>
        <w:tc>
          <w:tcPr>
            <w:tcW w:w="218" w:type="pct"/>
            <w:noWrap w:val="0"/>
            <w:vAlign w:val="center"/>
          </w:tcPr>
          <w:p w14:paraId="18EB8983">
            <w:pPr>
              <w:widowControl/>
              <w:jc w:val="center"/>
              <w:textAlignment w:val="center"/>
              <w:rPr>
                <w:sz w:val="18"/>
                <w:szCs w:val="18"/>
              </w:rPr>
            </w:pPr>
            <w:r>
              <w:rPr>
                <w:kern w:val="0"/>
                <w:sz w:val="18"/>
                <w:szCs w:val="18"/>
                <w:lang w:bidi="ar"/>
              </w:rPr>
              <w:t>2.66</w:t>
            </w:r>
          </w:p>
        </w:tc>
        <w:tc>
          <w:tcPr>
            <w:tcW w:w="333" w:type="pct"/>
            <w:noWrap w:val="0"/>
            <w:vAlign w:val="center"/>
          </w:tcPr>
          <w:p w14:paraId="4602FF25">
            <w:pPr>
              <w:widowControl/>
              <w:jc w:val="center"/>
              <w:textAlignment w:val="center"/>
              <w:rPr>
                <w:sz w:val="18"/>
                <w:szCs w:val="18"/>
              </w:rPr>
            </w:pPr>
            <w:r>
              <w:rPr>
                <w:kern w:val="0"/>
                <w:sz w:val="18"/>
                <w:szCs w:val="18"/>
                <w:lang w:bidi="ar"/>
              </w:rPr>
              <w:t>0.003L</w:t>
            </w:r>
          </w:p>
        </w:tc>
        <w:tc>
          <w:tcPr>
            <w:tcW w:w="359" w:type="pct"/>
            <w:noWrap w:val="0"/>
            <w:vAlign w:val="center"/>
          </w:tcPr>
          <w:p w14:paraId="58E8B811">
            <w:pPr>
              <w:widowControl/>
              <w:jc w:val="center"/>
              <w:textAlignment w:val="center"/>
              <w:rPr>
                <w:sz w:val="18"/>
                <w:szCs w:val="18"/>
              </w:rPr>
            </w:pPr>
            <w:r>
              <w:rPr>
                <w:kern w:val="0"/>
                <w:sz w:val="18"/>
                <w:szCs w:val="18"/>
                <w:lang w:bidi="ar"/>
              </w:rPr>
              <w:t>0.0003L</w:t>
            </w:r>
          </w:p>
        </w:tc>
        <w:tc>
          <w:tcPr>
            <w:tcW w:w="355" w:type="pct"/>
            <w:noWrap w:val="0"/>
            <w:vAlign w:val="center"/>
          </w:tcPr>
          <w:p w14:paraId="1BF2F1E9">
            <w:pPr>
              <w:widowControl/>
              <w:jc w:val="center"/>
              <w:textAlignment w:val="center"/>
              <w:rPr>
                <w:sz w:val="18"/>
                <w:szCs w:val="18"/>
              </w:rPr>
            </w:pPr>
            <w:r>
              <w:rPr>
                <w:kern w:val="0"/>
                <w:sz w:val="18"/>
                <w:szCs w:val="18"/>
                <w:lang w:bidi="ar"/>
              </w:rPr>
              <w:t>0.004L</w:t>
            </w:r>
          </w:p>
        </w:tc>
        <w:tc>
          <w:tcPr>
            <w:tcW w:w="284" w:type="pct"/>
            <w:noWrap w:val="0"/>
            <w:vAlign w:val="center"/>
          </w:tcPr>
          <w:p w14:paraId="10C7540D">
            <w:pPr>
              <w:widowControl/>
              <w:jc w:val="center"/>
              <w:textAlignment w:val="center"/>
              <w:rPr>
                <w:sz w:val="18"/>
                <w:szCs w:val="18"/>
              </w:rPr>
            </w:pPr>
            <w:r>
              <w:rPr>
                <w:kern w:val="0"/>
                <w:sz w:val="18"/>
                <w:szCs w:val="18"/>
                <w:lang w:bidi="ar"/>
              </w:rPr>
              <w:t>0.0048</w:t>
            </w:r>
          </w:p>
        </w:tc>
        <w:tc>
          <w:tcPr>
            <w:tcW w:w="359" w:type="pct"/>
            <w:noWrap w:val="0"/>
            <w:vAlign w:val="center"/>
          </w:tcPr>
          <w:p w14:paraId="4E0709DE">
            <w:pPr>
              <w:widowControl/>
              <w:jc w:val="center"/>
              <w:textAlignment w:val="center"/>
              <w:rPr>
                <w:sz w:val="18"/>
                <w:szCs w:val="18"/>
              </w:rPr>
            </w:pPr>
            <w:r>
              <w:rPr>
                <w:kern w:val="0"/>
                <w:sz w:val="18"/>
                <w:szCs w:val="18"/>
                <w:lang w:bidi="ar"/>
              </w:rPr>
              <w:t>0.00004L</w:t>
            </w:r>
          </w:p>
        </w:tc>
        <w:tc>
          <w:tcPr>
            <w:tcW w:w="315" w:type="pct"/>
            <w:noWrap w:val="0"/>
            <w:vAlign w:val="center"/>
          </w:tcPr>
          <w:p w14:paraId="77D0DEE0">
            <w:pPr>
              <w:widowControl/>
              <w:jc w:val="center"/>
              <w:textAlignment w:val="center"/>
              <w:rPr>
                <w:sz w:val="18"/>
                <w:szCs w:val="18"/>
              </w:rPr>
            </w:pPr>
            <w:r>
              <w:rPr>
                <w:kern w:val="0"/>
                <w:sz w:val="18"/>
                <w:szCs w:val="18"/>
                <w:lang w:bidi="ar"/>
              </w:rPr>
              <w:t>0.004L</w:t>
            </w:r>
          </w:p>
        </w:tc>
        <w:tc>
          <w:tcPr>
            <w:tcW w:w="302" w:type="pct"/>
            <w:noWrap w:val="0"/>
            <w:vAlign w:val="center"/>
          </w:tcPr>
          <w:p w14:paraId="6083B125">
            <w:pPr>
              <w:widowControl/>
              <w:jc w:val="center"/>
              <w:textAlignment w:val="center"/>
              <w:rPr>
                <w:sz w:val="18"/>
                <w:szCs w:val="18"/>
              </w:rPr>
            </w:pPr>
            <w:r>
              <w:rPr>
                <w:kern w:val="0"/>
                <w:sz w:val="18"/>
                <w:szCs w:val="18"/>
                <w:lang w:bidi="ar"/>
              </w:rPr>
              <w:t>300</w:t>
            </w:r>
          </w:p>
        </w:tc>
        <w:tc>
          <w:tcPr>
            <w:tcW w:w="276" w:type="pct"/>
            <w:noWrap w:val="0"/>
            <w:vAlign w:val="center"/>
          </w:tcPr>
          <w:p w14:paraId="26BCE802">
            <w:pPr>
              <w:widowControl/>
              <w:jc w:val="center"/>
              <w:textAlignment w:val="center"/>
              <w:rPr>
                <w:sz w:val="18"/>
                <w:szCs w:val="18"/>
              </w:rPr>
            </w:pPr>
            <w:r>
              <w:rPr>
                <w:kern w:val="0"/>
                <w:sz w:val="18"/>
                <w:szCs w:val="18"/>
                <w:lang w:bidi="ar"/>
              </w:rPr>
              <w:t>0.01L</w:t>
            </w:r>
          </w:p>
        </w:tc>
        <w:tc>
          <w:tcPr>
            <w:tcW w:w="267" w:type="pct"/>
            <w:noWrap w:val="0"/>
            <w:vAlign w:val="center"/>
          </w:tcPr>
          <w:p w14:paraId="3B899B64">
            <w:pPr>
              <w:widowControl/>
              <w:jc w:val="center"/>
              <w:textAlignment w:val="center"/>
              <w:rPr>
                <w:sz w:val="18"/>
                <w:szCs w:val="18"/>
              </w:rPr>
            </w:pPr>
            <w:r>
              <w:rPr>
                <w:kern w:val="0"/>
                <w:sz w:val="18"/>
                <w:szCs w:val="18"/>
                <w:lang w:bidi="ar"/>
              </w:rPr>
              <w:t>0.12</w:t>
            </w:r>
          </w:p>
        </w:tc>
        <w:tc>
          <w:tcPr>
            <w:tcW w:w="293" w:type="pct"/>
            <w:noWrap w:val="0"/>
            <w:vAlign w:val="center"/>
          </w:tcPr>
          <w:p w14:paraId="237C3132">
            <w:pPr>
              <w:widowControl/>
              <w:jc w:val="center"/>
              <w:textAlignment w:val="center"/>
              <w:rPr>
                <w:sz w:val="18"/>
                <w:szCs w:val="18"/>
              </w:rPr>
            </w:pPr>
            <w:r>
              <w:rPr>
                <w:kern w:val="0"/>
                <w:sz w:val="18"/>
                <w:szCs w:val="18"/>
                <w:lang w:bidi="ar"/>
              </w:rPr>
              <w:t>0.001L</w:t>
            </w:r>
          </w:p>
        </w:tc>
        <w:tc>
          <w:tcPr>
            <w:tcW w:w="302" w:type="pct"/>
            <w:noWrap w:val="0"/>
            <w:vAlign w:val="center"/>
          </w:tcPr>
          <w:p w14:paraId="7204087E">
            <w:pPr>
              <w:widowControl/>
              <w:jc w:val="center"/>
              <w:textAlignment w:val="center"/>
              <w:rPr>
                <w:sz w:val="18"/>
                <w:szCs w:val="18"/>
              </w:rPr>
            </w:pPr>
            <w:r>
              <w:rPr>
                <w:kern w:val="0"/>
                <w:sz w:val="18"/>
                <w:szCs w:val="18"/>
                <w:lang w:bidi="ar"/>
              </w:rPr>
              <w:t>0.01L</w:t>
            </w:r>
          </w:p>
        </w:tc>
        <w:tc>
          <w:tcPr>
            <w:tcW w:w="303" w:type="pct"/>
            <w:noWrap w:val="0"/>
            <w:vAlign w:val="center"/>
          </w:tcPr>
          <w:p w14:paraId="0D9EEA5A">
            <w:pPr>
              <w:widowControl/>
              <w:jc w:val="center"/>
              <w:textAlignment w:val="center"/>
              <w:rPr>
                <w:sz w:val="18"/>
                <w:szCs w:val="18"/>
              </w:rPr>
            </w:pPr>
            <w:r>
              <w:rPr>
                <w:kern w:val="0"/>
                <w:sz w:val="18"/>
                <w:szCs w:val="18"/>
                <w:lang w:bidi="ar"/>
              </w:rPr>
              <w:t>0.01L</w:t>
            </w:r>
          </w:p>
        </w:tc>
      </w:tr>
      <w:tr w14:paraId="4BBC8E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682449F3">
            <w:pPr>
              <w:jc w:val="center"/>
              <w:rPr>
                <w:sz w:val="18"/>
                <w:szCs w:val="18"/>
              </w:rPr>
            </w:pPr>
          </w:p>
        </w:tc>
        <w:tc>
          <w:tcPr>
            <w:tcW w:w="381" w:type="pct"/>
            <w:shd w:val="clear" w:color="auto" w:fill="D7D7D7"/>
            <w:noWrap w:val="0"/>
            <w:vAlign w:val="center"/>
          </w:tcPr>
          <w:p w14:paraId="2D487324">
            <w:pPr>
              <w:widowControl/>
              <w:jc w:val="center"/>
              <w:textAlignment w:val="center"/>
              <w:rPr>
                <w:sz w:val="18"/>
                <w:szCs w:val="18"/>
              </w:rPr>
            </w:pPr>
            <w:r>
              <w:rPr>
                <w:kern w:val="0"/>
                <w:sz w:val="18"/>
                <w:szCs w:val="18"/>
                <w:lang w:bidi="ar"/>
              </w:rPr>
              <w:t>最大值</w:t>
            </w:r>
          </w:p>
        </w:tc>
        <w:tc>
          <w:tcPr>
            <w:tcW w:w="278" w:type="pct"/>
            <w:noWrap w:val="0"/>
            <w:vAlign w:val="center"/>
          </w:tcPr>
          <w:p w14:paraId="2748DA06">
            <w:pPr>
              <w:widowControl/>
              <w:jc w:val="center"/>
              <w:textAlignment w:val="center"/>
              <w:rPr>
                <w:sz w:val="18"/>
                <w:szCs w:val="18"/>
              </w:rPr>
            </w:pPr>
            <w:r>
              <w:rPr>
                <w:kern w:val="0"/>
                <w:sz w:val="18"/>
                <w:szCs w:val="18"/>
                <w:lang w:bidi="ar"/>
              </w:rPr>
              <w:t>7.39</w:t>
            </w:r>
          </w:p>
        </w:tc>
        <w:tc>
          <w:tcPr>
            <w:tcW w:w="218" w:type="pct"/>
            <w:noWrap w:val="0"/>
            <w:vAlign w:val="center"/>
          </w:tcPr>
          <w:p w14:paraId="5DA209F3">
            <w:pPr>
              <w:widowControl/>
              <w:jc w:val="center"/>
              <w:textAlignment w:val="center"/>
              <w:rPr>
                <w:sz w:val="18"/>
                <w:szCs w:val="18"/>
              </w:rPr>
            </w:pPr>
            <w:r>
              <w:rPr>
                <w:kern w:val="0"/>
                <w:sz w:val="18"/>
                <w:szCs w:val="18"/>
                <w:lang w:bidi="ar"/>
              </w:rPr>
              <w:t>0.031</w:t>
            </w:r>
          </w:p>
        </w:tc>
        <w:tc>
          <w:tcPr>
            <w:tcW w:w="218" w:type="pct"/>
            <w:noWrap w:val="0"/>
            <w:vAlign w:val="center"/>
          </w:tcPr>
          <w:p w14:paraId="233CB8DB">
            <w:pPr>
              <w:widowControl/>
              <w:jc w:val="center"/>
              <w:textAlignment w:val="center"/>
              <w:rPr>
                <w:sz w:val="18"/>
                <w:szCs w:val="18"/>
              </w:rPr>
            </w:pPr>
            <w:r>
              <w:rPr>
                <w:kern w:val="0"/>
                <w:sz w:val="18"/>
                <w:szCs w:val="18"/>
                <w:lang w:bidi="ar"/>
              </w:rPr>
              <w:t>2.68</w:t>
            </w:r>
          </w:p>
        </w:tc>
        <w:tc>
          <w:tcPr>
            <w:tcW w:w="333" w:type="pct"/>
            <w:noWrap w:val="0"/>
            <w:vAlign w:val="center"/>
          </w:tcPr>
          <w:p w14:paraId="67EE5525">
            <w:pPr>
              <w:widowControl/>
              <w:jc w:val="center"/>
              <w:textAlignment w:val="center"/>
              <w:rPr>
                <w:sz w:val="18"/>
                <w:szCs w:val="18"/>
              </w:rPr>
            </w:pPr>
            <w:r>
              <w:rPr>
                <w:sz w:val="18"/>
                <w:szCs w:val="18"/>
              </w:rPr>
              <w:t>/</w:t>
            </w:r>
          </w:p>
        </w:tc>
        <w:tc>
          <w:tcPr>
            <w:tcW w:w="359" w:type="pct"/>
            <w:noWrap w:val="0"/>
            <w:vAlign w:val="center"/>
          </w:tcPr>
          <w:p w14:paraId="59A813C6">
            <w:pPr>
              <w:widowControl/>
              <w:jc w:val="center"/>
              <w:textAlignment w:val="center"/>
              <w:rPr>
                <w:sz w:val="18"/>
                <w:szCs w:val="18"/>
              </w:rPr>
            </w:pPr>
            <w:r>
              <w:rPr>
                <w:sz w:val="18"/>
                <w:szCs w:val="18"/>
              </w:rPr>
              <w:t>/</w:t>
            </w:r>
          </w:p>
        </w:tc>
        <w:tc>
          <w:tcPr>
            <w:tcW w:w="355" w:type="pct"/>
            <w:noWrap w:val="0"/>
            <w:vAlign w:val="center"/>
          </w:tcPr>
          <w:p w14:paraId="5A6E60CA">
            <w:pPr>
              <w:widowControl/>
              <w:jc w:val="center"/>
              <w:textAlignment w:val="center"/>
              <w:rPr>
                <w:sz w:val="18"/>
                <w:szCs w:val="18"/>
              </w:rPr>
            </w:pPr>
            <w:r>
              <w:rPr>
                <w:sz w:val="18"/>
                <w:szCs w:val="18"/>
              </w:rPr>
              <w:t>/</w:t>
            </w:r>
          </w:p>
        </w:tc>
        <w:tc>
          <w:tcPr>
            <w:tcW w:w="284" w:type="pct"/>
            <w:noWrap w:val="0"/>
            <w:vAlign w:val="center"/>
          </w:tcPr>
          <w:p w14:paraId="08D147BD">
            <w:pPr>
              <w:widowControl/>
              <w:jc w:val="center"/>
              <w:textAlignment w:val="center"/>
              <w:rPr>
                <w:sz w:val="18"/>
                <w:szCs w:val="18"/>
              </w:rPr>
            </w:pPr>
            <w:r>
              <w:rPr>
                <w:kern w:val="0"/>
                <w:sz w:val="18"/>
                <w:szCs w:val="18"/>
                <w:lang w:bidi="ar"/>
              </w:rPr>
              <w:t>0.005</w:t>
            </w:r>
          </w:p>
        </w:tc>
        <w:tc>
          <w:tcPr>
            <w:tcW w:w="359" w:type="pct"/>
            <w:noWrap w:val="0"/>
            <w:vAlign w:val="center"/>
          </w:tcPr>
          <w:p w14:paraId="52379A7B">
            <w:pPr>
              <w:widowControl/>
              <w:jc w:val="center"/>
              <w:textAlignment w:val="center"/>
              <w:rPr>
                <w:sz w:val="18"/>
                <w:szCs w:val="18"/>
              </w:rPr>
            </w:pPr>
            <w:r>
              <w:rPr>
                <w:sz w:val="18"/>
                <w:szCs w:val="18"/>
              </w:rPr>
              <w:t>/</w:t>
            </w:r>
          </w:p>
        </w:tc>
        <w:tc>
          <w:tcPr>
            <w:tcW w:w="315" w:type="pct"/>
            <w:noWrap w:val="0"/>
            <w:vAlign w:val="center"/>
          </w:tcPr>
          <w:p w14:paraId="22A57824">
            <w:pPr>
              <w:widowControl/>
              <w:jc w:val="center"/>
              <w:textAlignment w:val="center"/>
              <w:rPr>
                <w:sz w:val="18"/>
                <w:szCs w:val="18"/>
              </w:rPr>
            </w:pPr>
            <w:r>
              <w:rPr>
                <w:sz w:val="18"/>
                <w:szCs w:val="18"/>
              </w:rPr>
              <w:t>/</w:t>
            </w:r>
          </w:p>
        </w:tc>
        <w:tc>
          <w:tcPr>
            <w:tcW w:w="302" w:type="pct"/>
            <w:noWrap w:val="0"/>
            <w:vAlign w:val="center"/>
          </w:tcPr>
          <w:p w14:paraId="7F9D518F">
            <w:pPr>
              <w:widowControl/>
              <w:jc w:val="center"/>
              <w:textAlignment w:val="center"/>
              <w:rPr>
                <w:sz w:val="18"/>
                <w:szCs w:val="18"/>
              </w:rPr>
            </w:pPr>
            <w:r>
              <w:rPr>
                <w:kern w:val="0"/>
                <w:sz w:val="18"/>
                <w:szCs w:val="18"/>
                <w:lang w:bidi="ar"/>
              </w:rPr>
              <w:t>300</w:t>
            </w:r>
          </w:p>
        </w:tc>
        <w:tc>
          <w:tcPr>
            <w:tcW w:w="276" w:type="pct"/>
            <w:noWrap w:val="0"/>
            <w:vAlign w:val="center"/>
          </w:tcPr>
          <w:p w14:paraId="75B4CE3A">
            <w:pPr>
              <w:widowControl/>
              <w:jc w:val="center"/>
              <w:textAlignment w:val="center"/>
              <w:rPr>
                <w:sz w:val="18"/>
                <w:szCs w:val="18"/>
              </w:rPr>
            </w:pPr>
            <w:r>
              <w:rPr>
                <w:sz w:val="18"/>
                <w:szCs w:val="18"/>
              </w:rPr>
              <w:t>/</w:t>
            </w:r>
          </w:p>
        </w:tc>
        <w:tc>
          <w:tcPr>
            <w:tcW w:w="267" w:type="pct"/>
            <w:noWrap w:val="0"/>
            <w:vAlign w:val="center"/>
          </w:tcPr>
          <w:p w14:paraId="083A45A4">
            <w:pPr>
              <w:widowControl/>
              <w:jc w:val="center"/>
              <w:textAlignment w:val="center"/>
              <w:rPr>
                <w:sz w:val="18"/>
                <w:szCs w:val="18"/>
              </w:rPr>
            </w:pPr>
            <w:r>
              <w:rPr>
                <w:kern w:val="0"/>
                <w:sz w:val="18"/>
                <w:szCs w:val="18"/>
                <w:lang w:bidi="ar"/>
              </w:rPr>
              <w:t>0.16</w:t>
            </w:r>
          </w:p>
        </w:tc>
        <w:tc>
          <w:tcPr>
            <w:tcW w:w="293" w:type="pct"/>
            <w:noWrap w:val="0"/>
            <w:vAlign w:val="center"/>
          </w:tcPr>
          <w:p w14:paraId="449BD385">
            <w:pPr>
              <w:widowControl/>
              <w:jc w:val="center"/>
              <w:textAlignment w:val="center"/>
              <w:rPr>
                <w:sz w:val="18"/>
                <w:szCs w:val="18"/>
              </w:rPr>
            </w:pPr>
            <w:r>
              <w:rPr>
                <w:sz w:val="18"/>
                <w:szCs w:val="18"/>
              </w:rPr>
              <w:t>/</w:t>
            </w:r>
          </w:p>
        </w:tc>
        <w:tc>
          <w:tcPr>
            <w:tcW w:w="302" w:type="pct"/>
            <w:noWrap w:val="0"/>
            <w:vAlign w:val="center"/>
          </w:tcPr>
          <w:p w14:paraId="08D6D550">
            <w:pPr>
              <w:widowControl/>
              <w:jc w:val="center"/>
              <w:textAlignment w:val="center"/>
              <w:rPr>
                <w:sz w:val="18"/>
                <w:szCs w:val="18"/>
              </w:rPr>
            </w:pPr>
            <w:r>
              <w:rPr>
                <w:sz w:val="18"/>
                <w:szCs w:val="18"/>
              </w:rPr>
              <w:t>/</w:t>
            </w:r>
          </w:p>
        </w:tc>
        <w:tc>
          <w:tcPr>
            <w:tcW w:w="303" w:type="pct"/>
            <w:noWrap w:val="0"/>
            <w:vAlign w:val="center"/>
          </w:tcPr>
          <w:p w14:paraId="3E1CA9E4">
            <w:pPr>
              <w:widowControl/>
              <w:jc w:val="center"/>
              <w:textAlignment w:val="center"/>
              <w:rPr>
                <w:sz w:val="18"/>
                <w:szCs w:val="18"/>
              </w:rPr>
            </w:pPr>
            <w:r>
              <w:rPr>
                <w:sz w:val="18"/>
                <w:szCs w:val="18"/>
              </w:rPr>
              <w:t>/</w:t>
            </w:r>
          </w:p>
        </w:tc>
      </w:tr>
      <w:tr w14:paraId="495EA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0112D14A">
            <w:pPr>
              <w:jc w:val="center"/>
              <w:rPr>
                <w:sz w:val="18"/>
                <w:szCs w:val="18"/>
              </w:rPr>
            </w:pPr>
          </w:p>
        </w:tc>
        <w:tc>
          <w:tcPr>
            <w:tcW w:w="381" w:type="pct"/>
            <w:shd w:val="clear" w:color="auto" w:fill="D7D7D7"/>
            <w:noWrap w:val="0"/>
            <w:vAlign w:val="center"/>
          </w:tcPr>
          <w:p w14:paraId="5B3582A9">
            <w:pPr>
              <w:widowControl/>
              <w:jc w:val="center"/>
              <w:textAlignment w:val="center"/>
              <w:rPr>
                <w:sz w:val="18"/>
                <w:szCs w:val="18"/>
              </w:rPr>
            </w:pPr>
            <w:r>
              <w:rPr>
                <w:kern w:val="0"/>
                <w:sz w:val="18"/>
                <w:szCs w:val="18"/>
                <w:lang w:bidi="ar"/>
              </w:rPr>
              <w:t>标准</w:t>
            </w:r>
          </w:p>
        </w:tc>
        <w:tc>
          <w:tcPr>
            <w:tcW w:w="278" w:type="pct"/>
            <w:noWrap/>
            <w:vAlign w:val="center"/>
          </w:tcPr>
          <w:p w14:paraId="606F78F0">
            <w:pPr>
              <w:widowControl/>
              <w:jc w:val="center"/>
              <w:textAlignment w:val="center"/>
              <w:rPr>
                <w:sz w:val="18"/>
                <w:szCs w:val="18"/>
              </w:rPr>
            </w:pPr>
            <w:r>
              <w:rPr>
                <w:kern w:val="0"/>
                <w:sz w:val="18"/>
                <w:szCs w:val="18"/>
                <w:lang w:bidi="ar"/>
              </w:rPr>
              <w:t>6.5-8.5</w:t>
            </w:r>
          </w:p>
        </w:tc>
        <w:tc>
          <w:tcPr>
            <w:tcW w:w="218" w:type="pct"/>
            <w:noWrap/>
            <w:vAlign w:val="center"/>
          </w:tcPr>
          <w:p w14:paraId="4B4D0009">
            <w:pPr>
              <w:widowControl/>
              <w:jc w:val="center"/>
              <w:textAlignment w:val="center"/>
              <w:rPr>
                <w:sz w:val="18"/>
                <w:szCs w:val="18"/>
              </w:rPr>
            </w:pPr>
            <w:r>
              <w:rPr>
                <w:kern w:val="0"/>
                <w:sz w:val="18"/>
                <w:szCs w:val="18"/>
                <w:lang w:bidi="ar"/>
              </w:rPr>
              <w:t>0.5</w:t>
            </w:r>
          </w:p>
        </w:tc>
        <w:tc>
          <w:tcPr>
            <w:tcW w:w="218" w:type="pct"/>
            <w:noWrap/>
            <w:vAlign w:val="center"/>
          </w:tcPr>
          <w:p w14:paraId="113C78E4">
            <w:pPr>
              <w:widowControl/>
              <w:jc w:val="center"/>
              <w:textAlignment w:val="center"/>
              <w:rPr>
                <w:sz w:val="18"/>
                <w:szCs w:val="18"/>
              </w:rPr>
            </w:pPr>
            <w:r>
              <w:rPr>
                <w:kern w:val="0"/>
                <w:sz w:val="18"/>
                <w:szCs w:val="18"/>
                <w:lang w:bidi="ar"/>
              </w:rPr>
              <w:t>20</w:t>
            </w:r>
          </w:p>
        </w:tc>
        <w:tc>
          <w:tcPr>
            <w:tcW w:w="333" w:type="pct"/>
            <w:noWrap w:val="0"/>
            <w:vAlign w:val="center"/>
          </w:tcPr>
          <w:p w14:paraId="7AFEC69B">
            <w:pPr>
              <w:widowControl/>
              <w:jc w:val="center"/>
              <w:textAlignment w:val="center"/>
              <w:rPr>
                <w:sz w:val="18"/>
                <w:szCs w:val="18"/>
              </w:rPr>
            </w:pPr>
            <w:r>
              <w:rPr>
                <w:kern w:val="0"/>
                <w:sz w:val="18"/>
                <w:szCs w:val="18"/>
                <w:lang w:bidi="ar"/>
              </w:rPr>
              <w:t>1</w:t>
            </w:r>
          </w:p>
        </w:tc>
        <w:tc>
          <w:tcPr>
            <w:tcW w:w="359" w:type="pct"/>
            <w:noWrap/>
            <w:vAlign w:val="center"/>
          </w:tcPr>
          <w:p w14:paraId="722A63F1">
            <w:pPr>
              <w:widowControl/>
              <w:jc w:val="center"/>
              <w:textAlignment w:val="center"/>
              <w:rPr>
                <w:sz w:val="18"/>
                <w:szCs w:val="18"/>
              </w:rPr>
            </w:pPr>
            <w:r>
              <w:rPr>
                <w:kern w:val="0"/>
                <w:sz w:val="18"/>
                <w:szCs w:val="18"/>
                <w:lang w:bidi="ar"/>
              </w:rPr>
              <w:t>0.002</w:t>
            </w:r>
          </w:p>
        </w:tc>
        <w:tc>
          <w:tcPr>
            <w:tcW w:w="355" w:type="pct"/>
            <w:noWrap/>
            <w:vAlign w:val="center"/>
          </w:tcPr>
          <w:p w14:paraId="4F3B8434">
            <w:pPr>
              <w:widowControl/>
              <w:jc w:val="center"/>
              <w:textAlignment w:val="center"/>
              <w:rPr>
                <w:sz w:val="18"/>
                <w:szCs w:val="18"/>
              </w:rPr>
            </w:pPr>
            <w:r>
              <w:rPr>
                <w:kern w:val="0"/>
                <w:sz w:val="18"/>
                <w:szCs w:val="18"/>
                <w:lang w:bidi="ar"/>
              </w:rPr>
              <w:t>0.05</w:t>
            </w:r>
          </w:p>
        </w:tc>
        <w:tc>
          <w:tcPr>
            <w:tcW w:w="284" w:type="pct"/>
            <w:noWrap/>
            <w:vAlign w:val="center"/>
          </w:tcPr>
          <w:p w14:paraId="2342C490">
            <w:pPr>
              <w:widowControl/>
              <w:jc w:val="center"/>
              <w:textAlignment w:val="center"/>
              <w:rPr>
                <w:sz w:val="18"/>
                <w:szCs w:val="18"/>
              </w:rPr>
            </w:pPr>
            <w:r>
              <w:rPr>
                <w:kern w:val="0"/>
                <w:sz w:val="18"/>
                <w:szCs w:val="18"/>
                <w:lang w:bidi="ar"/>
              </w:rPr>
              <w:t>0.01</w:t>
            </w:r>
          </w:p>
        </w:tc>
        <w:tc>
          <w:tcPr>
            <w:tcW w:w="359" w:type="pct"/>
            <w:noWrap/>
            <w:vAlign w:val="center"/>
          </w:tcPr>
          <w:p w14:paraId="47380E7B">
            <w:pPr>
              <w:widowControl/>
              <w:jc w:val="center"/>
              <w:textAlignment w:val="center"/>
              <w:rPr>
                <w:sz w:val="18"/>
                <w:szCs w:val="18"/>
              </w:rPr>
            </w:pPr>
            <w:r>
              <w:rPr>
                <w:kern w:val="0"/>
                <w:sz w:val="18"/>
                <w:szCs w:val="18"/>
                <w:lang w:bidi="ar"/>
              </w:rPr>
              <w:t>0.001</w:t>
            </w:r>
          </w:p>
        </w:tc>
        <w:tc>
          <w:tcPr>
            <w:tcW w:w="315" w:type="pct"/>
            <w:noWrap/>
            <w:vAlign w:val="center"/>
          </w:tcPr>
          <w:p w14:paraId="34C88362">
            <w:pPr>
              <w:widowControl/>
              <w:jc w:val="center"/>
              <w:textAlignment w:val="center"/>
              <w:rPr>
                <w:sz w:val="18"/>
                <w:szCs w:val="18"/>
              </w:rPr>
            </w:pPr>
            <w:r>
              <w:rPr>
                <w:kern w:val="0"/>
                <w:sz w:val="18"/>
                <w:szCs w:val="18"/>
                <w:lang w:bidi="ar"/>
              </w:rPr>
              <w:t>0.05</w:t>
            </w:r>
          </w:p>
        </w:tc>
        <w:tc>
          <w:tcPr>
            <w:tcW w:w="302" w:type="pct"/>
            <w:noWrap/>
            <w:vAlign w:val="center"/>
          </w:tcPr>
          <w:p w14:paraId="35BEA9CE">
            <w:pPr>
              <w:widowControl/>
              <w:jc w:val="center"/>
              <w:textAlignment w:val="center"/>
              <w:rPr>
                <w:sz w:val="18"/>
                <w:szCs w:val="18"/>
              </w:rPr>
            </w:pPr>
            <w:r>
              <w:rPr>
                <w:kern w:val="0"/>
                <w:sz w:val="18"/>
                <w:szCs w:val="18"/>
                <w:lang w:bidi="ar"/>
              </w:rPr>
              <w:t>450</w:t>
            </w:r>
          </w:p>
        </w:tc>
        <w:tc>
          <w:tcPr>
            <w:tcW w:w="276" w:type="pct"/>
            <w:noWrap/>
            <w:vAlign w:val="center"/>
          </w:tcPr>
          <w:p w14:paraId="02DAC88D">
            <w:pPr>
              <w:widowControl/>
              <w:jc w:val="center"/>
              <w:textAlignment w:val="center"/>
              <w:rPr>
                <w:sz w:val="18"/>
                <w:szCs w:val="18"/>
              </w:rPr>
            </w:pPr>
            <w:r>
              <w:rPr>
                <w:kern w:val="0"/>
                <w:sz w:val="18"/>
                <w:szCs w:val="18"/>
                <w:lang w:bidi="ar"/>
              </w:rPr>
              <w:t>0.01</w:t>
            </w:r>
          </w:p>
        </w:tc>
        <w:tc>
          <w:tcPr>
            <w:tcW w:w="267" w:type="pct"/>
            <w:noWrap/>
            <w:vAlign w:val="center"/>
          </w:tcPr>
          <w:p w14:paraId="3F01D44C">
            <w:pPr>
              <w:widowControl/>
              <w:jc w:val="center"/>
              <w:textAlignment w:val="center"/>
              <w:rPr>
                <w:sz w:val="18"/>
                <w:szCs w:val="18"/>
              </w:rPr>
            </w:pPr>
            <w:r>
              <w:rPr>
                <w:kern w:val="0"/>
                <w:sz w:val="18"/>
                <w:szCs w:val="18"/>
                <w:lang w:bidi="ar"/>
              </w:rPr>
              <w:t>1</w:t>
            </w:r>
          </w:p>
        </w:tc>
        <w:tc>
          <w:tcPr>
            <w:tcW w:w="293" w:type="pct"/>
            <w:noWrap/>
            <w:vAlign w:val="center"/>
          </w:tcPr>
          <w:p w14:paraId="3F5B715D">
            <w:pPr>
              <w:widowControl/>
              <w:jc w:val="center"/>
              <w:textAlignment w:val="center"/>
              <w:rPr>
                <w:sz w:val="18"/>
                <w:szCs w:val="18"/>
              </w:rPr>
            </w:pPr>
            <w:r>
              <w:rPr>
                <w:kern w:val="0"/>
                <w:sz w:val="18"/>
                <w:szCs w:val="18"/>
                <w:lang w:bidi="ar"/>
              </w:rPr>
              <w:t>0.005</w:t>
            </w:r>
          </w:p>
        </w:tc>
        <w:tc>
          <w:tcPr>
            <w:tcW w:w="302" w:type="pct"/>
            <w:noWrap/>
            <w:vAlign w:val="center"/>
          </w:tcPr>
          <w:p w14:paraId="4F6C844E">
            <w:pPr>
              <w:widowControl/>
              <w:jc w:val="center"/>
              <w:textAlignment w:val="center"/>
              <w:rPr>
                <w:sz w:val="18"/>
                <w:szCs w:val="18"/>
              </w:rPr>
            </w:pPr>
            <w:r>
              <w:rPr>
                <w:kern w:val="0"/>
                <w:sz w:val="18"/>
                <w:szCs w:val="18"/>
                <w:lang w:bidi="ar"/>
              </w:rPr>
              <w:t>0.3</w:t>
            </w:r>
          </w:p>
        </w:tc>
        <w:tc>
          <w:tcPr>
            <w:tcW w:w="303" w:type="pct"/>
            <w:noWrap/>
            <w:vAlign w:val="center"/>
          </w:tcPr>
          <w:p w14:paraId="16F7215E">
            <w:pPr>
              <w:widowControl/>
              <w:jc w:val="center"/>
              <w:textAlignment w:val="center"/>
              <w:rPr>
                <w:sz w:val="18"/>
                <w:szCs w:val="18"/>
              </w:rPr>
            </w:pPr>
            <w:r>
              <w:rPr>
                <w:kern w:val="0"/>
                <w:sz w:val="18"/>
                <w:szCs w:val="18"/>
                <w:lang w:bidi="ar"/>
              </w:rPr>
              <w:t>0.1</w:t>
            </w:r>
          </w:p>
        </w:tc>
      </w:tr>
      <w:tr w14:paraId="712FE7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49" w:type="pct"/>
            <w:vMerge w:val="continue"/>
            <w:shd w:val="clear" w:color="auto" w:fill="auto"/>
            <w:noWrap w:val="0"/>
            <w:vAlign w:val="center"/>
          </w:tcPr>
          <w:p w14:paraId="18554AE2">
            <w:pPr>
              <w:jc w:val="center"/>
              <w:rPr>
                <w:sz w:val="18"/>
                <w:szCs w:val="18"/>
              </w:rPr>
            </w:pPr>
          </w:p>
        </w:tc>
        <w:tc>
          <w:tcPr>
            <w:tcW w:w="381" w:type="pct"/>
            <w:shd w:val="clear" w:color="auto" w:fill="D7D7D7"/>
            <w:noWrap w:val="0"/>
            <w:vAlign w:val="center"/>
          </w:tcPr>
          <w:p w14:paraId="76A823B0">
            <w:pPr>
              <w:widowControl/>
              <w:jc w:val="center"/>
              <w:textAlignment w:val="center"/>
              <w:rPr>
                <w:sz w:val="18"/>
                <w:szCs w:val="18"/>
              </w:rPr>
            </w:pPr>
            <w:r>
              <w:rPr>
                <w:kern w:val="0"/>
                <w:sz w:val="18"/>
                <w:szCs w:val="18"/>
                <w:lang w:bidi="ar"/>
              </w:rPr>
              <w:t>最大标准指数</w:t>
            </w:r>
          </w:p>
        </w:tc>
        <w:tc>
          <w:tcPr>
            <w:tcW w:w="278" w:type="pct"/>
            <w:noWrap/>
            <w:vAlign w:val="center"/>
          </w:tcPr>
          <w:p w14:paraId="305A6555">
            <w:pPr>
              <w:widowControl/>
              <w:jc w:val="center"/>
              <w:textAlignment w:val="center"/>
              <w:rPr>
                <w:sz w:val="18"/>
                <w:szCs w:val="18"/>
              </w:rPr>
            </w:pPr>
            <w:r>
              <w:rPr>
                <w:kern w:val="0"/>
                <w:sz w:val="18"/>
                <w:szCs w:val="18"/>
                <w:lang w:bidi="ar"/>
              </w:rPr>
              <w:t>0.26</w:t>
            </w:r>
          </w:p>
        </w:tc>
        <w:tc>
          <w:tcPr>
            <w:tcW w:w="218" w:type="pct"/>
            <w:noWrap/>
            <w:vAlign w:val="center"/>
          </w:tcPr>
          <w:p w14:paraId="5F07F4FA">
            <w:pPr>
              <w:widowControl/>
              <w:jc w:val="center"/>
              <w:textAlignment w:val="center"/>
              <w:rPr>
                <w:sz w:val="18"/>
                <w:szCs w:val="18"/>
              </w:rPr>
            </w:pPr>
            <w:r>
              <w:rPr>
                <w:kern w:val="0"/>
                <w:sz w:val="18"/>
                <w:szCs w:val="18"/>
                <w:lang w:bidi="ar"/>
              </w:rPr>
              <w:t>0.06</w:t>
            </w:r>
          </w:p>
        </w:tc>
        <w:tc>
          <w:tcPr>
            <w:tcW w:w="218" w:type="pct"/>
            <w:noWrap/>
            <w:vAlign w:val="center"/>
          </w:tcPr>
          <w:p w14:paraId="0CB81A36">
            <w:pPr>
              <w:widowControl/>
              <w:jc w:val="center"/>
              <w:textAlignment w:val="center"/>
              <w:rPr>
                <w:sz w:val="18"/>
                <w:szCs w:val="18"/>
              </w:rPr>
            </w:pPr>
            <w:r>
              <w:rPr>
                <w:kern w:val="0"/>
                <w:sz w:val="18"/>
                <w:szCs w:val="18"/>
                <w:lang w:bidi="ar"/>
              </w:rPr>
              <w:t>0.13</w:t>
            </w:r>
          </w:p>
        </w:tc>
        <w:tc>
          <w:tcPr>
            <w:tcW w:w="333" w:type="pct"/>
            <w:noWrap/>
            <w:vAlign w:val="center"/>
          </w:tcPr>
          <w:p w14:paraId="45156706">
            <w:pPr>
              <w:widowControl/>
              <w:jc w:val="center"/>
              <w:textAlignment w:val="center"/>
              <w:rPr>
                <w:sz w:val="18"/>
                <w:szCs w:val="18"/>
              </w:rPr>
            </w:pPr>
            <w:r>
              <w:rPr>
                <w:sz w:val="18"/>
                <w:szCs w:val="18"/>
              </w:rPr>
              <w:t>/</w:t>
            </w:r>
          </w:p>
        </w:tc>
        <w:tc>
          <w:tcPr>
            <w:tcW w:w="359" w:type="pct"/>
            <w:noWrap/>
            <w:vAlign w:val="center"/>
          </w:tcPr>
          <w:p w14:paraId="1ACF6B6C">
            <w:pPr>
              <w:widowControl/>
              <w:jc w:val="center"/>
              <w:textAlignment w:val="center"/>
              <w:rPr>
                <w:sz w:val="18"/>
                <w:szCs w:val="18"/>
              </w:rPr>
            </w:pPr>
            <w:r>
              <w:rPr>
                <w:sz w:val="18"/>
                <w:szCs w:val="18"/>
              </w:rPr>
              <w:t>/</w:t>
            </w:r>
          </w:p>
        </w:tc>
        <w:tc>
          <w:tcPr>
            <w:tcW w:w="355" w:type="pct"/>
            <w:noWrap/>
            <w:vAlign w:val="center"/>
          </w:tcPr>
          <w:p w14:paraId="406D22B6">
            <w:pPr>
              <w:widowControl/>
              <w:jc w:val="center"/>
              <w:textAlignment w:val="center"/>
              <w:rPr>
                <w:sz w:val="18"/>
                <w:szCs w:val="18"/>
              </w:rPr>
            </w:pPr>
            <w:r>
              <w:rPr>
                <w:sz w:val="18"/>
                <w:szCs w:val="18"/>
              </w:rPr>
              <w:t>/</w:t>
            </w:r>
          </w:p>
        </w:tc>
        <w:tc>
          <w:tcPr>
            <w:tcW w:w="284" w:type="pct"/>
            <w:noWrap/>
            <w:vAlign w:val="center"/>
          </w:tcPr>
          <w:p w14:paraId="5F95A0C5">
            <w:pPr>
              <w:widowControl/>
              <w:jc w:val="center"/>
              <w:textAlignment w:val="center"/>
              <w:rPr>
                <w:sz w:val="18"/>
                <w:szCs w:val="18"/>
              </w:rPr>
            </w:pPr>
            <w:r>
              <w:rPr>
                <w:kern w:val="0"/>
                <w:sz w:val="18"/>
                <w:szCs w:val="18"/>
                <w:lang w:bidi="ar"/>
              </w:rPr>
              <w:t>0.50</w:t>
            </w:r>
          </w:p>
        </w:tc>
        <w:tc>
          <w:tcPr>
            <w:tcW w:w="359" w:type="pct"/>
            <w:noWrap/>
            <w:vAlign w:val="center"/>
          </w:tcPr>
          <w:p w14:paraId="744A42BC">
            <w:pPr>
              <w:widowControl/>
              <w:jc w:val="center"/>
              <w:textAlignment w:val="center"/>
              <w:rPr>
                <w:sz w:val="18"/>
                <w:szCs w:val="18"/>
              </w:rPr>
            </w:pPr>
            <w:r>
              <w:rPr>
                <w:sz w:val="18"/>
                <w:szCs w:val="18"/>
              </w:rPr>
              <w:t>/</w:t>
            </w:r>
          </w:p>
        </w:tc>
        <w:tc>
          <w:tcPr>
            <w:tcW w:w="315" w:type="pct"/>
            <w:noWrap/>
            <w:vAlign w:val="center"/>
          </w:tcPr>
          <w:p w14:paraId="14D694EE">
            <w:pPr>
              <w:widowControl/>
              <w:jc w:val="center"/>
              <w:textAlignment w:val="center"/>
              <w:rPr>
                <w:sz w:val="18"/>
                <w:szCs w:val="18"/>
              </w:rPr>
            </w:pPr>
            <w:r>
              <w:rPr>
                <w:sz w:val="18"/>
                <w:szCs w:val="18"/>
              </w:rPr>
              <w:t>/</w:t>
            </w:r>
          </w:p>
        </w:tc>
        <w:tc>
          <w:tcPr>
            <w:tcW w:w="302" w:type="pct"/>
            <w:noWrap/>
            <w:vAlign w:val="center"/>
          </w:tcPr>
          <w:p w14:paraId="694BF3CB">
            <w:pPr>
              <w:widowControl/>
              <w:jc w:val="center"/>
              <w:textAlignment w:val="center"/>
              <w:rPr>
                <w:sz w:val="18"/>
                <w:szCs w:val="18"/>
              </w:rPr>
            </w:pPr>
            <w:r>
              <w:rPr>
                <w:kern w:val="0"/>
                <w:sz w:val="18"/>
                <w:szCs w:val="18"/>
                <w:lang w:bidi="ar"/>
              </w:rPr>
              <w:t>0.67</w:t>
            </w:r>
          </w:p>
        </w:tc>
        <w:tc>
          <w:tcPr>
            <w:tcW w:w="276" w:type="pct"/>
            <w:noWrap/>
            <w:vAlign w:val="center"/>
          </w:tcPr>
          <w:p w14:paraId="77FBEDFF">
            <w:pPr>
              <w:widowControl/>
              <w:jc w:val="center"/>
              <w:textAlignment w:val="center"/>
              <w:rPr>
                <w:sz w:val="18"/>
                <w:szCs w:val="18"/>
              </w:rPr>
            </w:pPr>
            <w:r>
              <w:rPr>
                <w:kern w:val="0"/>
                <w:sz w:val="18"/>
                <w:szCs w:val="18"/>
                <w:lang w:bidi="ar"/>
              </w:rPr>
              <w:t>0.00</w:t>
            </w:r>
          </w:p>
        </w:tc>
        <w:tc>
          <w:tcPr>
            <w:tcW w:w="267" w:type="pct"/>
            <w:noWrap/>
            <w:vAlign w:val="center"/>
          </w:tcPr>
          <w:p w14:paraId="501E542B">
            <w:pPr>
              <w:widowControl/>
              <w:jc w:val="center"/>
              <w:textAlignment w:val="center"/>
              <w:rPr>
                <w:sz w:val="18"/>
                <w:szCs w:val="18"/>
              </w:rPr>
            </w:pPr>
            <w:r>
              <w:rPr>
                <w:kern w:val="0"/>
                <w:sz w:val="18"/>
                <w:szCs w:val="18"/>
                <w:lang w:bidi="ar"/>
              </w:rPr>
              <w:t>0.16</w:t>
            </w:r>
          </w:p>
        </w:tc>
        <w:tc>
          <w:tcPr>
            <w:tcW w:w="293" w:type="pct"/>
            <w:noWrap/>
            <w:vAlign w:val="center"/>
          </w:tcPr>
          <w:p w14:paraId="7A3AC467">
            <w:pPr>
              <w:widowControl/>
              <w:jc w:val="center"/>
              <w:textAlignment w:val="center"/>
              <w:rPr>
                <w:sz w:val="18"/>
                <w:szCs w:val="18"/>
              </w:rPr>
            </w:pPr>
            <w:r>
              <w:rPr>
                <w:sz w:val="18"/>
                <w:szCs w:val="18"/>
              </w:rPr>
              <w:t>/</w:t>
            </w:r>
          </w:p>
        </w:tc>
        <w:tc>
          <w:tcPr>
            <w:tcW w:w="302" w:type="pct"/>
            <w:noWrap/>
            <w:vAlign w:val="center"/>
          </w:tcPr>
          <w:p w14:paraId="1A12730E">
            <w:pPr>
              <w:widowControl/>
              <w:jc w:val="center"/>
              <w:textAlignment w:val="center"/>
              <w:rPr>
                <w:sz w:val="18"/>
                <w:szCs w:val="18"/>
              </w:rPr>
            </w:pPr>
            <w:r>
              <w:rPr>
                <w:sz w:val="18"/>
                <w:szCs w:val="18"/>
              </w:rPr>
              <w:t>/</w:t>
            </w:r>
          </w:p>
        </w:tc>
        <w:tc>
          <w:tcPr>
            <w:tcW w:w="303" w:type="pct"/>
            <w:noWrap/>
            <w:vAlign w:val="center"/>
          </w:tcPr>
          <w:p w14:paraId="044114AB">
            <w:pPr>
              <w:widowControl/>
              <w:jc w:val="center"/>
              <w:textAlignment w:val="center"/>
              <w:rPr>
                <w:sz w:val="18"/>
                <w:szCs w:val="18"/>
              </w:rPr>
            </w:pPr>
            <w:r>
              <w:rPr>
                <w:sz w:val="18"/>
                <w:szCs w:val="18"/>
              </w:rPr>
              <w:t>/</w:t>
            </w:r>
          </w:p>
        </w:tc>
      </w:tr>
      <w:tr w14:paraId="546D5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30CBB30A">
            <w:pPr>
              <w:jc w:val="center"/>
              <w:rPr>
                <w:sz w:val="18"/>
                <w:szCs w:val="18"/>
              </w:rPr>
            </w:pPr>
          </w:p>
        </w:tc>
        <w:tc>
          <w:tcPr>
            <w:tcW w:w="381" w:type="pct"/>
            <w:shd w:val="clear" w:color="auto" w:fill="D7D7D7"/>
            <w:noWrap w:val="0"/>
            <w:vAlign w:val="center"/>
          </w:tcPr>
          <w:p w14:paraId="195D8CDE">
            <w:pPr>
              <w:widowControl/>
              <w:jc w:val="center"/>
              <w:textAlignment w:val="center"/>
              <w:rPr>
                <w:sz w:val="18"/>
                <w:szCs w:val="18"/>
              </w:rPr>
            </w:pPr>
            <w:r>
              <w:rPr>
                <w:kern w:val="0"/>
                <w:sz w:val="18"/>
                <w:szCs w:val="18"/>
                <w:lang w:bidi="ar"/>
              </w:rPr>
              <w:t>达标情况</w:t>
            </w:r>
          </w:p>
        </w:tc>
        <w:tc>
          <w:tcPr>
            <w:tcW w:w="278" w:type="pct"/>
            <w:noWrap/>
            <w:vAlign w:val="center"/>
          </w:tcPr>
          <w:p w14:paraId="0A4C36DA">
            <w:pPr>
              <w:widowControl/>
              <w:jc w:val="center"/>
              <w:textAlignment w:val="center"/>
              <w:rPr>
                <w:sz w:val="18"/>
                <w:szCs w:val="18"/>
              </w:rPr>
            </w:pPr>
            <w:r>
              <w:rPr>
                <w:kern w:val="0"/>
                <w:sz w:val="18"/>
                <w:szCs w:val="18"/>
                <w:lang w:bidi="ar"/>
              </w:rPr>
              <w:t>达标</w:t>
            </w:r>
          </w:p>
        </w:tc>
        <w:tc>
          <w:tcPr>
            <w:tcW w:w="218" w:type="pct"/>
            <w:noWrap/>
            <w:vAlign w:val="center"/>
          </w:tcPr>
          <w:p w14:paraId="3866B9EB">
            <w:pPr>
              <w:widowControl/>
              <w:jc w:val="center"/>
              <w:textAlignment w:val="center"/>
              <w:rPr>
                <w:sz w:val="18"/>
                <w:szCs w:val="18"/>
              </w:rPr>
            </w:pPr>
            <w:r>
              <w:rPr>
                <w:kern w:val="0"/>
                <w:sz w:val="18"/>
                <w:szCs w:val="18"/>
                <w:lang w:bidi="ar"/>
              </w:rPr>
              <w:t>达标</w:t>
            </w:r>
          </w:p>
        </w:tc>
        <w:tc>
          <w:tcPr>
            <w:tcW w:w="218" w:type="pct"/>
            <w:noWrap/>
            <w:vAlign w:val="center"/>
          </w:tcPr>
          <w:p w14:paraId="39BEBE4C">
            <w:pPr>
              <w:widowControl/>
              <w:jc w:val="center"/>
              <w:textAlignment w:val="center"/>
              <w:rPr>
                <w:sz w:val="18"/>
                <w:szCs w:val="18"/>
              </w:rPr>
            </w:pPr>
            <w:r>
              <w:rPr>
                <w:kern w:val="0"/>
                <w:sz w:val="18"/>
                <w:szCs w:val="18"/>
                <w:lang w:bidi="ar"/>
              </w:rPr>
              <w:t>达标</w:t>
            </w:r>
          </w:p>
        </w:tc>
        <w:tc>
          <w:tcPr>
            <w:tcW w:w="333" w:type="pct"/>
            <w:noWrap/>
            <w:vAlign w:val="center"/>
          </w:tcPr>
          <w:p w14:paraId="56F39C90">
            <w:pPr>
              <w:widowControl/>
              <w:jc w:val="center"/>
              <w:textAlignment w:val="center"/>
              <w:rPr>
                <w:sz w:val="18"/>
                <w:szCs w:val="18"/>
              </w:rPr>
            </w:pPr>
            <w:r>
              <w:rPr>
                <w:kern w:val="0"/>
                <w:sz w:val="18"/>
                <w:szCs w:val="18"/>
                <w:lang w:bidi="ar"/>
              </w:rPr>
              <w:t>达标</w:t>
            </w:r>
          </w:p>
        </w:tc>
        <w:tc>
          <w:tcPr>
            <w:tcW w:w="359" w:type="pct"/>
            <w:noWrap/>
            <w:vAlign w:val="center"/>
          </w:tcPr>
          <w:p w14:paraId="0EEEE292">
            <w:pPr>
              <w:widowControl/>
              <w:jc w:val="center"/>
              <w:textAlignment w:val="center"/>
              <w:rPr>
                <w:sz w:val="18"/>
                <w:szCs w:val="18"/>
              </w:rPr>
            </w:pPr>
            <w:r>
              <w:rPr>
                <w:kern w:val="0"/>
                <w:sz w:val="18"/>
                <w:szCs w:val="18"/>
                <w:lang w:bidi="ar"/>
              </w:rPr>
              <w:t>达标</w:t>
            </w:r>
          </w:p>
        </w:tc>
        <w:tc>
          <w:tcPr>
            <w:tcW w:w="355" w:type="pct"/>
            <w:noWrap/>
            <w:vAlign w:val="center"/>
          </w:tcPr>
          <w:p w14:paraId="19F33743">
            <w:pPr>
              <w:widowControl/>
              <w:jc w:val="center"/>
              <w:textAlignment w:val="center"/>
              <w:rPr>
                <w:sz w:val="18"/>
                <w:szCs w:val="18"/>
              </w:rPr>
            </w:pPr>
            <w:r>
              <w:rPr>
                <w:kern w:val="0"/>
                <w:sz w:val="18"/>
                <w:szCs w:val="18"/>
                <w:lang w:bidi="ar"/>
              </w:rPr>
              <w:t>达标</w:t>
            </w:r>
          </w:p>
        </w:tc>
        <w:tc>
          <w:tcPr>
            <w:tcW w:w="284" w:type="pct"/>
            <w:noWrap/>
            <w:vAlign w:val="center"/>
          </w:tcPr>
          <w:p w14:paraId="6FC41489">
            <w:pPr>
              <w:widowControl/>
              <w:jc w:val="center"/>
              <w:textAlignment w:val="center"/>
              <w:rPr>
                <w:sz w:val="18"/>
                <w:szCs w:val="18"/>
              </w:rPr>
            </w:pPr>
            <w:r>
              <w:rPr>
                <w:kern w:val="0"/>
                <w:sz w:val="18"/>
                <w:szCs w:val="18"/>
                <w:lang w:bidi="ar"/>
              </w:rPr>
              <w:t>达标</w:t>
            </w:r>
          </w:p>
        </w:tc>
        <w:tc>
          <w:tcPr>
            <w:tcW w:w="359" w:type="pct"/>
            <w:noWrap/>
            <w:vAlign w:val="center"/>
          </w:tcPr>
          <w:p w14:paraId="3AC933C3">
            <w:pPr>
              <w:widowControl/>
              <w:jc w:val="center"/>
              <w:textAlignment w:val="center"/>
              <w:rPr>
                <w:sz w:val="18"/>
                <w:szCs w:val="18"/>
              </w:rPr>
            </w:pPr>
            <w:r>
              <w:rPr>
                <w:kern w:val="0"/>
                <w:sz w:val="18"/>
                <w:szCs w:val="18"/>
                <w:lang w:bidi="ar"/>
              </w:rPr>
              <w:t>达标</w:t>
            </w:r>
          </w:p>
        </w:tc>
        <w:tc>
          <w:tcPr>
            <w:tcW w:w="315" w:type="pct"/>
            <w:noWrap/>
            <w:vAlign w:val="center"/>
          </w:tcPr>
          <w:p w14:paraId="73B5B0A9">
            <w:pPr>
              <w:widowControl/>
              <w:jc w:val="center"/>
              <w:textAlignment w:val="center"/>
              <w:rPr>
                <w:sz w:val="18"/>
                <w:szCs w:val="18"/>
              </w:rPr>
            </w:pPr>
            <w:r>
              <w:rPr>
                <w:kern w:val="0"/>
                <w:sz w:val="18"/>
                <w:szCs w:val="18"/>
                <w:lang w:bidi="ar"/>
              </w:rPr>
              <w:t>达标</w:t>
            </w:r>
          </w:p>
        </w:tc>
        <w:tc>
          <w:tcPr>
            <w:tcW w:w="302" w:type="pct"/>
            <w:noWrap/>
            <w:vAlign w:val="center"/>
          </w:tcPr>
          <w:p w14:paraId="0CF29684">
            <w:pPr>
              <w:widowControl/>
              <w:jc w:val="center"/>
              <w:textAlignment w:val="center"/>
              <w:rPr>
                <w:sz w:val="18"/>
                <w:szCs w:val="18"/>
              </w:rPr>
            </w:pPr>
            <w:r>
              <w:rPr>
                <w:kern w:val="0"/>
                <w:sz w:val="18"/>
                <w:szCs w:val="18"/>
                <w:lang w:bidi="ar"/>
              </w:rPr>
              <w:t>达标</w:t>
            </w:r>
          </w:p>
        </w:tc>
        <w:tc>
          <w:tcPr>
            <w:tcW w:w="276" w:type="pct"/>
            <w:noWrap/>
            <w:vAlign w:val="center"/>
          </w:tcPr>
          <w:p w14:paraId="631BA56E">
            <w:pPr>
              <w:widowControl/>
              <w:jc w:val="center"/>
              <w:textAlignment w:val="center"/>
              <w:rPr>
                <w:sz w:val="18"/>
                <w:szCs w:val="18"/>
              </w:rPr>
            </w:pPr>
            <w:r>
              <w:rPr>
                <w:kern w:val="0"/>
                <w:sz w:val="18"/>
                <w:szCs w:val="18"/>
                <w:lang w:bidi="ar"/>
              </w:rPr>
              <w:t>达标</w:t>
            </w:r>
          </w:p>
        </w:tc>
        <w:tc>
          <w:tcPr>
            <w:tcW w:w="267" w:type="pct"/>
            <w:noWrap/>
            <w:vAlign w:val="center"/>
          </w:tcPr>
          <w:p w14:paraId="12CB0ADA">
            <w:pPr>
              <w:widowControl/>
              <w:jc w:val="center"/>
              <w:textAlignment w:val="center"/>
              <w:rPr>
                <w:sz w:val="18"/>
                <w:szCs w:val="18"/>
              </w:rPr>
            </w:pPr>
            <w:r>
              <w:rPr>
                <w:kern w:val="0"/>
                <w:sz w:val="18"/>
                <w:szCs w:val="18"/>
                <w:lang w:bidi="ar"/>
              </w:rPr>
              <w:t>达标</w:t>
            </w:r>
          </w:p>
        </w:tc>
        <w:tc>
          <w:tcPr>
            <w:tcW w:w="293" w:type="pct"/>
            <w:noWrap/>
            <w:vAlign w:val="center"/>
          </w:tcPr>
          <w:p w14:paraId="02AFAFAF">
            <w:pPr>
              <w:widowControl/>
              <w:jc w:val="center"/>
              <w:textAlignment w:val="center"/>
              <w:rPr>
                <w:sz w:val="18"/>
                <w:szCs w:val="18"/>
              </w:rPr>
            </w:pPr>
            <w:r>
              <w:rPr>
                <w:kern w:val="0"/>
                <w:sz w:val="18"/>
                <w:szCs w:val="18"/>
                <w:lang w:bidi="ar"/>
              </w:rPr>
              <w:t>达标</w:t>
            </w:r>
          </w:p>
        </w:tc>
        <w:tc>
          <w:tcPr>
            <w:tcW w:w="302" w:type="pct"/>
            <w:noWrap/>
            <w:vAlign w:val="center"/>
          </w:tcPr>
          <w:p w14:paraId="7698D84C">
            <w:pPr>
              <w:widowControl/>
              <w:jc w:val="center"/>
              <w:textAlignment w:val="center"/>
              <w:rPr>
                <w:sz w:val="18"/>
                <w:szCs w:val="18"/>
              </w:rPr>
            </w:pPr>
            <w:r>
              <w:rPr>
                <w:kern w:val="0"/>
                <w:sz w:val="18"/>
                <w:szCs w:val="18"/>
                <w:lang w:bidi="ar"/>
              </w:rPr>
              <w:t>达标</w:t>
            </w:r>
          </w:p>
        </w:tc>
        <w:tc>
          <w:tcPr>
            <w:tcW w:w="303" w:type="pct"/>
            <w:noWrap/>
            <w:vAlign w:val="center"/>
          </w:tcPr>
          <w:p w14:paraId="651F413A">
            <w:pPr>
              <w:widowControl/>
              <w:jc w:val="center"/>
              <w:textAlignment w:val="center"/>
              <w:rPr>
                <w:sz w:val="18"/>
                <w:szCs w:val="18"/>
              </w:rPr>
            </w:pPr>
            <w:r>
              <w:rPr>
                <w:kern w:val="0"/>
                <w:sz w:val="18"/>
                <w:szCs w:val="18"/>
                <w:lang w:bidi="ar"/>
              </w:rPr>
              <w:t>达标</w:t>
            </w:r>
          </w:p>
        </w:tc>
      </w:tr>
      <w:tr w14:paraId="7A02A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149" w:type="pct"/>
            <w:vMerge w:val="continue"/>
            <w:shd w:val="clear" w:color="auto" w:fill="auto"/>
            <w:noWrap w:val="0"/>
            <w:vAlign w:val="center"/>
          </w:tcPr>
          <w:p w14:paraId="001CEAFB">
            <w:pPr>
              <w:jc w:val="center"/>
              <w:rPr>
                <w:sz w:val="18"/>
                <w:szCs w:val="18"/>
              </w:rPr>
            </w:pPr>
          </w:p>
        </w:tc>
        <w:tc>
          <w:tcPr>
            <w:tcW w:w="381" w:type="pct"/>
            <w:shd w:val="clear" w:color="auto" w:fill="D7D7D7"/>
            <w:noWrap w:val="0"/>
            <w:vAlign w:val="center"/>
          </w:tcPr>
          <w:p w14:paraId="505D9BC6">
            <w:pPr>
              <w:widowControl/>
              <w:snapToGrid w:val="0"/>
              <w:jc w:val="center"/>
              <w:textAlignment w:val="center"/>
              <w:rPr>
                <w:sz w:val="18"/>
                <w:szCs w:val="18"/>
              </w:rPr>
            </w:pPr>
            <w:r>
              <w:rPr>
                <w:kern w:val="0"/>
                <w:sz w:val="18"/>
                <w:szCs w:val="18"/>
                <w:lang w:bidi="ar"/>
              </w:rPr>
              <w:t>日期</w:t>
            </w:r>
          </w:p>
          <w:p w14:paraId="16414BE6">
            <w:pPr>
              <w:widowControl/>
              <w:jc w:val="center"/>
              <w:textAlignment w:val="center"/>
              <w:rPr>
                <w:sz w:val="18"/>
                <w:szCs w:val="18"/>
              </w:rPr>
            </w:pPr>
            <w:r>
              <w:rPr>
                <w:sz w:val="18"/>
                <w:szCs w:val="18"/>
              </w:rPr>
              <w:t>项目</w:t>
            </w:r>
          </w:p>
        </w:tc>
        <w:tc>
          <w:tcPr>
            <w:tcW w:w="278" w:type="pct"/>
            <w:noWrap w:val="0"/>
            <w:vAlign w:val="center"/>
          </w:tcPr>
          <w:p w14:paraId="294AA4FE">
            <w:pPr>
              <w:widowControl/>
              <w:jc w:val="center"/>
              <w:textAlignment w:val="center"/>
              <w:rPr>
                <w:sz w:val="18"/>
                <w:szCs w:val="18"/>
              </w:rPr>
            </w:pPr>
            <w:r>
              <w:rPr>
                <w:kern w:val="0"/>
                <w:sz w:val="18"/>
                <w:szCs w:val="18"/>
                <w:lang w:bidi="ar"/>
              </w:rPr>
              <w:t>溶解性总固体</w:t>
            </w:r>
          </w:p>
        </w:tc>
        <w:tc>
          <w:tcPr>
            <w:tcW w:w="218" w:type="pct"/>
            <w:noWrap w:val="0"/>
            <w:vAlign w:val="center"/>
          </w:tcPr>
          <w:p w14:paraId="3D4A0B25">
            <w:pPr>
              <w:widowControl/>
              <w:jc w:val="center"/>
              <w:textAlignment w:val="center"/>
              <w:rPr>
                <w:sz w:val="18"/>
                <w:szCs w:val="18"/>
              </w:rPr>
            </w:pPr>
            <w:r>
              <w:rPr>
                <w:kern w:val="0"/>
                <w:sz w:val="18"/>
                <w:szCs w:val="18"/>
                <w:lang w:bidi="ar"/>
              </w:rPr>
              <w:t>耗氧量</w:t>
            </w:r>
          </w:p>
        </w:tc>
        <w:tc>
          <w:tcPr>
            <w:tcW w:w="218" w:type="pct"/>
            <w:noWrap w:val="0"/>
            <w:vAlign w:val="center"/>
          </w:tcPr>
          <w:p w14:paraId="22FDACA0">
            <w:pPr>
              <w:widowControl/>
              <w:jc w:val="center"/>
              <w:textAlignment w:val="center"/>
              <w:rPr>
                <w:sz w:val="18"/>
                <w:szCs w:val="18"/>
              </w:rPr>
            </w:pPr>
            <w:r>
              <w:rPr>
                <w:kern w:val="0"/>
                <w:sz w:val="18"/>
                <w:szCs w:val="18"/>
                <w:lang w:bidi="ar"/>
              </w:rPr>
              <w:t>氯化物</w:t>
            </w:r>
          </w:p>
        </w:tc>
        <w:tc>
          <w:tcPr>
            <w:tcW w:w="333" w:type="pct"/>
            <w:noWrap w:val="0"/>
            <w:vAlign w:val="center"/>
          </w:tcPr>
          <w:p w14:paraId="59A24E08">
            <w:pPr>
              <w:widowControl/>
              <w:jc w:val="center"/>
              <w:textAlignment w:val="center"/>
              <w:rPr>
                <w:sz w:val="18"/>
                <w:szCs w:val="18"/>
              </w:rPr>
            </w:pPr>
            <w:r>
              <w:rPr>
                <w:kern w:val="0"/>
                <w:sz w:val="18"/>
                <w:szCs w:val="18"/>
                <w:lang w:bidi="ar"/>
              </w:rPr>
              <w:t>总大肠菌群（MPN/100mL）</w:t>
            </w:r>
          </w:p>
        </w:tc>
        <w:tc>
          <w:tcPr>
            <w:tcW w:w="359" w:type="pct"/>
            <w:noWrap w:val="0"/>
            <w:vAlign w:val="center"/>
          </w:tcPr>
          <w:p w14:paraId="523B2DBD">
            <w:pPr>
              <w:widowControl/>
              <w:jc w:val="center"/>
              <w:textAlignment w:val="center"/>
              <w:rPr>
                <w:sz w:val="18"/>
                <w:szCs w:val="18"/>
              </w:rPr>
            </w:pPr>
            <w:r>
              <w:rPr>
                <w:kern w:val="0"/>
                <w:sz w:val="18"/>
                <w:szCs w:val="18"/>
                <w:lang w:bidi="ar"/>
              </w:rPr>
              <w:t>菌落总数（CFU/mL）</w:t>
            </w:r>
          </w:p>
        </w:tc>
        <w:tc>
          <w:tcPr>
            <w:tcW w:w="355" w:type="pct"/>
            <w:noWrap w:val="0"/>
            <w:vAlign w:val="center"/>
          </w:tcPr>
          <w:p w14:paraId="0C6DA342">
            <w:pPr>
              <w:widowControl/>
              <w:jc w:val="center"/>
              <w:textAlignment w:val="center"/>
              <w:rPr>
                <w:sz w:val="18"/>
                <w:szCs w:val="18"/>
              </w:rPr>
            </w:pPr>
            <w:r>
              <w:rPr>
                <w:kern w:val="0"/>
                <w:sz w:val="18"/>
                <w:szCs w:val="18"/>
                <w:lang w:bidi="ar"/>
              </w:rPr>
              <w:t>锌</w:t>
            </w:r>
          </w:p>
        </w:tc>
        <w:tc>
          <w:tcPr>
            <w:tcW w:w="284" w:type="pct"/>
            <w:noWrap w:val="0"/>
            <w:vAlign w:val="center"/>
          </w:tcPr>
          <w:p w14:paraId="1A09134F">
            <w:pPr>
              <w:widowControl/>
              <w:jc w:val="center"/>
              <w:textAlignment w:val="center"/>
              <w:rPr>
                <w:sz w:val="18"/>
                <w:szCs w:val="18"/>
              </w:rPr>
            </w:pPr>
            <w:r>
              <w:rPr>
                <w:kern w:val="0"/>
                <w:sz w:val="18"/>
                <w:szCs w:val="18"/>
                <w:lang w:bidi="ar"/>
              </w:rPr>
              <w:t>钾离子（K+）</w:t>
            </w:r>
          </w:p>
        </w:tc>
        <w:tc>
          <w:tcPr>
            <w:tcW w:w="359" w:type="pct"/>
            <w:noWrap w:val="0"/>
            <w:vAlign w:val="center"/>
          </w:tcPr>
          <w:p w14:paraId="211E34CC">
            <w:pPr>
              <w:widowControl/>
              <w:jc w:val="center"/>
              <w:textAlignment w:val="center"/>
              <w:rPr>
                <w:sz w:val="18"/>
                <w:szCs w:val="18"/>
              </w:rPr>
            </w:pPr>
            <w:r>
              <w:rPr>
                <w:kern w:val="0"/>
                <w:sz w:val="18"/>
                <w:szCs w:val="18"/>
                <w:lang w:bidi="ar"/>
              </w:rPr>
              <w:t>钠离子（Na+）</w:t>
            </w:r>
          </w:p>
        </w:tc>
        <w:tc>
          <w:tcPr>
            <w:tcW w:w="315" w:type="pct"/>
            <w:noWrap w:val="0"/>
            <w:vAlign w:val="center"/>
          </w:tcPr>
          <w:p w14:paraId="17CB3E85">
            <w:pPr>
              <w:widowControl/>
              <w:jc w:val="center"/>
              <w:textAlignment w:val="center"/>
              <w:rPr>
                <w:sz w:val="18"/>
                <w:szCs w:val="18"/>
              </w:rPr>
            </w:pPr>
            <w:r>
              <w:rPr>
                <w:kern w:val="0"/>
                <w:sz w:val="18"/>
                <w:szCs w:val="18"/>
                <w:lang w:bidi="ar"/>
              </w:rPr>
              <w:t>钙离子（Ca2+）</w:t>
            </w:r>
          </w:p>
        </w:tc>
        <w:tc>
          <w:tcPr>
            <w:tcW w:w="302" w:type="pct"/>
            <w:noWrap w:val="0"/>
            <w:vAlign w:val="center"/>
          </w:tcPr>
          <w:p w14:paraId="3A01C83C">
            <w:pPr>
              <w:widowControl/>
              <w:jc w:val="center"/>
              <w:textAlignment w:val="center"/>
              <w:rPr>
                <w:sz w:val="18"/>
                <w:szCs w:val="18"/>
              </w:rPr>
            </w:pPr>
            <w:r>
              <w:rPr>
                <w:kern w:val="0"/>
                <w:sz w:val="18"/>
                <w:szCs w:val="18"/>
                <w:lang w:bidi="ar"/>
              </w:rPr>
              <w:t>镁离子（Mg2+）</w:t>
            </w:r>
          </w:p>
        </w:tc>
        <w:tc>
          <w:tcPr>
            <w:tcW w:w="276" w:type="pct"/>
            <w:noWrap w:val="0"/>
            <w:vAlign w:val="center"/>
          </w:tcPr>
          <w:p w14:paraId="256FF5AE">
            <w:pPr>
              <w:widowControl/>
              <w:jc w:val="center"/>
              <w:textAlignment w:val="center"/>
              <w:rPr>
                <w:sz w:val="18"/>
                <w:szCs w:val="18"/>
              </w:rPr>
            </w:pPr>
            <w:r>
              <w:rPr>
                <w:kern w:val="0"/>
                <w:sz w:val="18"/>
                <w:szCs w:val="18"/>
                <w:lang w:bidi="ar"/>
              </w:rPr>
              <w:t>碳酸根</w:t>
            </w:r>
          </w:p>
        </w:tc>
        <w:tc>
          <w:tcPr>
            <w:tcW w:w="267" w:type="pct"/>
            <w:noWrap w:val="0"/>
            <w:vAlign w:val="center"/>
          </w:tcPr>
          <w:p w14:paraId="7749B201">
            <w:pPr>
              <w:widowControl/>
              <w:jc w:val="center"/>
              <w:textAlignment w:val="center"/>
              <w:rPr>
                <w:sz w:val="18"/>
                <w:szCs w:val="18"/>
              </w:rPr>
            </w:pPr>
            <w:r>
              <w:rPr>
                <w:kern w:val="0"/>
                <w:sz w:val="18"/>
                <w:szCs w:val="18"/>
                <w:lang w:bidi="ar"/>
              </w:rPr>
              <w:t>重碳酸根</w:t>
            </w:r>
          </w:p>
        </w:tc>
        <w:tc>
          <w:tcPr>
            <w:tcW w:w="293" w:type="pct"/>
            <w:noWrap w:val="0"/>
            <w:vAlign w:val="center"/>
          </w:tcPr>
          <w:p w14:paraId="005EC0DE">
            <w:pPr>
              <w:widowControl/>
              <w:jc w:val="center"/>
              <w:textAlignment w:val="center"/>
              <w:rPr>
                <w:sz w:val="18"/>
                <w:szCs w:val="18"/>
              </w:rPr>
            </w:pPr>
            <w:r>
              <w:rPr>
                <w:kern w:val="0"/>
                <w:sz w:val="18"/>
                <w:szCs w:val="18"/>
                <w:lang w:bidi="ar"/>
              </w:rPr>
              <w:t>氯离子（Cl-）</w:t>
            </w:r>
          </w:p>
        </w:tc>
        <w:tc>
          <w:tcPr>
            <w:tcW w:w="302" w:type="pct"/>
            <w:noWrap w:val="0"/>
            <w:vAlign w:val="center"/>
          </w:tcPr>
          <w:p w14:paraId="326E0D6A">
            <w:pPr>
              <w:widowControl/>
              <w:jc w:val="center"/>
              <w:textAlignment w:val="center"/>
              <w:rPr>
                <w:sz w:val="18"/>
                <w:szCs w:val="18"/>
              </w:rPr>
            </w:pPr>
            <w:r>
              <w:rPr>
                <w:kern w:val="0"/>
                <w:sz w:val="18"/>
                <w:szCs w:val="18"/>
                <w:lang w:bidi="ar"/>
              </w:rPr>
              <w:t>硫酸根（SO42-）</w:t>
            </w:r>
          </w:p>
        </w:tc>
        <w:tc>
          <w:tcPr>
            <w:tcW w:w="303" w:type="pct"/>
            <w:noWrap/>
            <w:vAlign w:val="center"/>
          </w:tcPr>
          <w:p w14:paraId="316D9FF2">
            <w:pPr>
              <w:jc w:val="center"/>
              <w:rPr>
                <w:sz w:val="18"/>
                <w:szCs w:val="18"/>
              </w:rPr>
            </w:pPr>
            <w:r>
              <w:rPr>
                <w:sz w:val="18"/>
                <w:szCs w:val="18"/>
              </w:rPr>
              <w:t>/</w:t>
            </w:r>
          </w:p>
        </w:tc>
      </w:tr>
      <w:tr w14:paraId="78A58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7EA89DD3">
            <w:pPr>
              <w:jc w:val="center"/>
              <w:rPr>
                <w:sz w:val="18"/>
                <w:szCs w:val="18"/>
              </w:rPr>
            </w:pPr>
          </w:p>
        </w:tc>
        <w:tc>
          <w:tcPr>
            <w:tcW w:w="381" w:type="pct"/>
            <w:shd w:val="clear" w:color="auto" w:fill="D7D7D7"/>
            <w:noWrap w:val="0"/>
            <w:vAlign w:val="center"/>
          </w:tcPr>
          <w:p w14:paraId="3129A360">
            <w:pPr>
              <w:widowControl/>
              <w:jc w:val="center"/>
              <w:textAlignment w:val="center"/>
              <w:rPr>
                <w:sz w:val="18"/>
                <w:szCs w:val="18"/>
              </w:rPr>
            </w:pPr>
            <w:r>
              <w:rPr>
                <w:kern w:val="0"/>
                <w:sz w:val="18"/>
                <w:szCs w:val="18"/>
                <w:lang w:bidi="ar"/>
              </w:rPr>
              <w:t>2021/3/28</w:t>
            </w:r>
          </w:p>
        </w:tc>
        <w:tc>
          <w:tcPr>
            <w:tcW w:w="278" w:type="pct"/>
            <w:noWrap w:val="0"/>
            <w:vAlign w:val="center"/>
          </w:tcPr>
          <w:p w14:paraId="45DBA518">
            <w:pPr>
              <w:widowControl/>
              <w:jc w:val="center"/>
              <w:textAlignment w:val="center"/>
              <w:rPr>
                <w:sz w:val="18"/>
                <w:szCs w:val="18"/>
              </w:rPr>
            </w:pPr>
            <w:r>
              <w:rPr>
                <w:kern w:val="0"/>
                <w:sz w:val="18"/>
                <w:szCs w:val="18"/>
                <w:lang w:bidi="ar"/>
              </w:rPr>
              <w:t>389</w:t>
            </w:r>
          </w:p>
        </w:tc>
        <w:tc>
          <w:tcPr>
            <w:tcW w:w="218" w:type="pct"/>
            <w:noWrap w:val="0"/>
            <w:vAlign w:val="center"/>
          </w:tcPr>
          <w:p w14:paraId="317C3A2D">
            <w:pPr>
              <w:widowControl/>
              <w:jc w:val="center"/>
              <w:textAlignment w:val="center"/>
              <w:rPr>
                <w:sz w:val="18"/>
                <w:szCs w:val="18"/>
              </w:rPr>
            </w:pPr>
            <w:r>
              <w:rPr>
                <w:kern w:val="0"/>
                <w:sz w:val="18"/>
                <w:szCs w:val="18"/>
                <w:lang w:bidi="ar"/>
              </w:rPr>
              <w:t>0.08</w:t>
            </w:r>
          </w:p>
        </w:tc>
        <w:tc>
          <w:tcPr>
            <w:tcW w:w="218" w:type="pct"/>
            <w:noWrap w:val="0"/>
            <w:vAlign w:val="center"/>
          </w:tcPr>
          <w:p w14:paraId="5A117A68">
            <w:pPr>
              <w:widowControl/>
              <w:jc w:val="center"/>
              <w:textAlignment w:val="center"/>
              <w:rPr>
                <w:sz w:val="18"/>
                <w:szCs w:val="18"/>
              </w:rPr>
            </w:pPr>
            <w:r>
              <w:rPr>
                <w:kern w:val="0"/>
                <w:sz w:val="18"/>
                <w:szCs w:val="18"/>
                <w:lang w:bidi="ar"/>
              </w:rPr>
              <w:t>10L</w:t>
            </w:r>
          </w:p>
        </w:tc>
        <w:tc>
          <w:tcPr>
            <w:tcW w:w="333" w:type="pct"/>
            <w:noWrap w:val="0"/>
            <w:vAlign w:val="center"/>
          </w:tcPr>
          <w:p w14:paraId="491D27D5">
            <w:pPr>
              <w:widowControl/>
              <w:jc w:val="center"/>
              <w:textAlignment w:val="center"/>
              <w:rPr>
                <w:sz w:val="18"/>
                <w:szCs w:val="18"/>
              </w:rPr>
            </w:pPr>
            <w:r>
              <w:rPr>
                <w:kern w:val="0"/>
                <w:sz w:val="18"/>
                <w:szCs w:val="18"/>
                <w:lang w:bidi="ar"/>
              </w:rPr>
              <w:t>2</w:t>
            </w:r>
          </w:p>
        </w:tc>
        <w:tc>
          <w:tcPr>
            <w:tcW w:w="359" w:type="pct"/>
            <w:noWrap w:val="0"/>
            <w:vAlign w:val="center"/>
          </w:tcPr>
          <w:p w14:paraId="6789D961">
            <w:pPr>
              <w:widowControl/>
              <w:jc w:val="center"/>
              <w:textAlignment w:val="center"/>
              <w:rPr>
                <w:sz w:val="18"/>
                <w:szCs w:val="18"/>
              </w:rPr>
            </w:pPr>
            <w:r>
              <w:rPr>
                <w:kern w:val="0"/>
                <w:sz w:val="18"/>
                <w:szCs w:val="18"/>
                <w:lang w:bidi="ar"/>
              </w:rPr>
              <w:t>50</w:t>
            </w:r>
          </w:p>
        </w:tc>
        <w:tc>
          <w:tcPr>
            <w:tcW w:w="355" w:type="pct"/>
            <w:noWrap w:val="0"/>
            <w:vAlign w:val="center"/>
          </w:tcPr>
          <w:p w14:paraId="77A28F4B">
            <w:pPr>
              <w:widowControl/>
              <w:jc w:val="center"/>
              <w:textAlignment w:val="center"/>
              <w:rPr>
                <w:sz w:val="18"/>
                <w:szCs w:val="18"/>
              </w:rPr>
            </w:pPr>
            <w:r>
              <w:rPr>
                <w:kern w:val="0"/>
                <w:sz w:val="18"/>
                <w:szCs w:val="18"/>
                <w:lang w:bidi="ar"/>
              </w:rPr>
              <w:t>0.009L</w:t>
            </w:r>
          </w:p>
        </w:tc>
        <w:tc>
          <w:tcPr>
            <w:tcW w:w="284" w:type="pct"/>
            <w:noWrap w:val="0"/>
            <w:vAlign w:val="center"/>
          </w:tcPr>
          <w:p w14:paraId="3593E3C1">
            <w:pPr>
              <w:widowControl/>
              <w:jc w:val="center"/>
              <w:textAlignment w:val="center"/>
              <w:rPr>
                <w:sz w:val="18"/>
                <w:szCs w:val="18"/>
              </w:rPr>
            </w:pPr>
            <w:r>
              <w:rPr>
                <w:kern w:val="0"/>
                <w:sz w:val="18"/>
                <w:szCs w:val="18"/>
                <w:lang w:bidi="ar"/>
              </w:rPr>
              <w:t>1.1</w:t>
            </w:r>
          </w:p>
        </w:tc>
        <w:tc>
          <w:tcPr>
            <w:tcW w:w="359" w:type="pct"/>
            <w:noWrap w:val="0"/>
            <w:vAlign w:val="center"/>
          </w:tcPr>
          <w:p w14:paraId="0E2B842A">
            <w:pPr>
              <w:widowControl/>
              <w:jc w:val="center"/>
              <w:textAlignment w:val="center"/>
              <w:rPr>
                <w:sz w:val="18"/>
                <w:szCs w:val="18"/>
              </w:rPr>
            </w:pPr>
            <w:r>
              <w:rPr>
                <w:kern w:val="0"/>
                <w:sz w:val="18"/>
                <w:szCs w:val="18"/>
                <w:lang w:bidi="ar"/>
              </w:rPr>
              <w:t>9.19</w:t>
            </w:r>
          </w:p>
        </w:tc>
        <w:tc>
          <w:tcPr>
            <w:tcW w:w="315" w:type="pct"/>
            <w:noWrap w:val="0"/>
            <w:vAlign w:val="center"/>
          </w:tcPr>
          <w:p w14:paraId="13630F0C">
            <w:pPr>
              <w:widowControl/>
              <w:jc w:val="center"/>
              <w:textAlignment w:val="center"/>
              <w:rPr>
                <w:sz w:val="18"/>
                <w:szCs w:val="18"/>
              </w:rPr>
            </w:pPr>
            <w:r>
              <w:rPr>
                <w:kern w:val="0"/>
                <w:sz w:val="18"/>
                <w:szCs w:val="18"/>
                <w:lang w:bidi="ar"/>
              </w:rPr>
              <w:t>28.9</w:t>
            </w:r>
          </w:p>
        </w:tc>
        <w:tc>
          <w:tcPr>
            <w:tcW w:w="302" w:type="pct"/>
            <w:noWrap w:val="0"/>
            <w:vAlign w:val="center"/>
          </w:tcPr>
          <w:p w14:paraId="19EA435F">
            <w:pPr>
              <w:widowControl/>
              <w:jc w:val="center"/>
              <w:textAlignment w:val="center"/>
              <w:rPr>
                <w:sz w:val="18"/>
                <w:szCs w:val="18"/>
              </w:rPr>
            </w:pPr>
            <w:r>
              <w:rPr>
                <w:kern w:val="0"/>
                <w:sz w:val="18"/>
                <w:szCs w:val="18"/>
                <w:lang w:bidi="ar"/>
              </w:rPr>
              <w:t>14.9</w:t>
            </w:r>
          </w:p>
        </w:tc>
        <w:tc>
          <w:tcPr>
            <w:tcW w:w="276" w:type="pct"/>
            <w:noWrap w:val="0"/>
            <w:vAlign w:val="center"/>
          </w:tcPr>
          <w:p w14:paraId="6BCD8787">
            <w:pPr>
              <w:widowControl/>
              <w:jc w:val="center"/>
              <w:textAlignment w:val="center"/>
              <w:rPr>
                <w:sz w:val="18"/>
                <w:szCs w:val="18"/>
              </w:rPr>
            </w:pPr>
            <w:r>
              <w:rPr>
                <w:kern w:val="0"/>
                <w:sz w:val="18"/>
                <w:szCs w:val="18"/>
                <w:lang w:bidi="ar"/>
              </w:rPr>
              <w:t>12</w:t>
            </w:r>
          </w:p>
        </w:tc>
        <w:tc>
          <w:tcPr>
            <w:tcW w:w="267" w:type="pct"/>
            <w:noWrap w:val="0"/>
            <w:vAlign w:val="center"/>
          </w:tcPr>
          <w:p w14:paraId="180347FA">
            <w:pPr>
              <w:widowControl/>
              <w:jc w:val="center"/>
              <w:textAlignment w:val="center"/>
              <w:rPr>
                <w:sz w:val="18"/>
                <w:szCs w:val="18"/>
              </w:rPr>
            </w:pPr>
            <w:r>
              <w:rPr>
                <w:kern w:val="0"/>
                <w:sz w:val="18"/>
                <w:szCs w:val="18"/>
                <w:lang w:bidi="ar"/>
              </w:rPr>
              <w:t>317</w:t>
            </w:r>
          </w:p>
        </w:tc>
        <w:tc>
          <w:tcPr>
            <w:tcW w:w="293" w:type="pct"/>
            <w:noWrap w:val="0"/>
            <w:vAlign w:val="center"/>
          </w:tcPr>
          <w:p w14:paraId="0A4C634A">
            <w:pPr>
              <w:widowControl/>
              <w:jc w:val="center"/>
              <w:textAlignment w:val="center"/>
              <w:rPr>
                <w:sz w:val="18"/>
                <w:szCs w:val="18"/>
              </w:rPr>
            </w:pPr>
            <w:r>
              <w:rPr>
                <w:kern w:val="0"/>
                <w:sz w:val="18"/>
                <w:szCs w:val="18"/>
                <w:lang w:bidi="ar"/>
              </w:rPr>
              <w:t>2.3</w:t>
            </w:r>
          </w:p>
        </w:tc>
        <w:tc>
          <w:tcPr>
            <w:tcW w:w="302" w:type="pct"/>
            <w:noWrap w:val="0"/>
            <w:vAlign w:val="center"/>
          </w:tcPr>
          <w:p w14:paraId="51562127">
            <w:pPr>
              <w:widowControl/>
              <w:jc w:val="center"/>
              <w:textAlignment w:val="center"/>
              <w:rPr>
                <w:sz w:val="18"/>
                <w:szCs w:val="18"/>
              </w:rPr>
            </w:pPr>
            <w:r>
              <w:rPr>
                <w:kern w:val="0"/>
                <w:sz w:val="18"/>
                <w:szCs w:val="18"/>
                <w:lang w:bidi="ar"/>
              </w:rPr>
              <w:t>26.9</w:t>
            </w:r>
          </w:p>
        </w:tc>
        <w:tc>
          <w:tcPr>
            <w:tcW w:w="303" w:type="pct"/>
            <w:noWrap/>
            <w:vAlign w:val="center"/>
          </w:tcPr>
          <w:p w14:paraId="20A3803B">
            <w:pPr>
              <w:jc w:val="center"/>
              <w:rPr>
                <w:sz w:val="18"/>
                <w:szCs w:val="18"/>
              </w:rPr>
            </w:pPr>
            <w:r>
              <w:rPr>
                <w:sz w:val="18"/>
                <w:szCs w:val="18"/>
              </w:rPr>
              <w:t>/</w:t>
            </w:r>
          </w:p>
        </w:tc>
      </w:tr>
      <w:tr w14:paraId="6EA6A2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42B078DA">
            <w:pPr>
              <w:jc w:val="center"/>
              <w:rPr>
                <w:sz w:val="18"/>
                <w:szCs w:val="18"/>
              </w:rPr>
            </w:pPr>
          </w:p>
        </w:tc>
        <w:tc>
          <w:tcPr>
            <w:tcW w:w="381" w:type="pct"/>
            <w:shd w:val="clear" w:color="auto" w:fill="D7D7D7"/>
            <w:noWrap w:val="0"/>
            <w:vAlign w:val="center"/>
          </w:tcPr>
          <w:p w14:paraId="6260728E">
            <w:pPr>
              <w:widowControl/>
              <w:jc w:val="center"/>
              <w:textAlignment w:val="center"/>
              <w:rPr>
                <w:sz w:val="18"/>
                <w:szCs w:val="18"/>
              </w:rPr>
            </w:pPr>
            <w:r>
              <w:rPr>
                <w:kern w:val="0"/>
                <w:sz w:val="18"/>
                <w:szCs w:val="18"/>
                <w:lang w:bidi="ar"/>
              </w:rPr>
              <w:t>2021/3/29</w:t>
            </w:r>
          </w:p>
        </w:tc>
        <w:tc>
          <w:tcPr>
            <w:tcW w:w="278" w:type="pct"/>
            <w:noWrap w:val="0"/>
            <w:vAlign w:val="center"/>
          </w:tcPr>
          <w:p w14:paraId="05741244">
            <w:pPr>
              <w:widowControl/>
              <w:jc w:val="center"/>
              <w:textAlignment w:val="center"/>
              <w:rPr>
                <w:sz w:val="18"/>
                <w:szCs w:val="18"/>
              </w:rPr>
            </w:pPr>
            <w:r>
              <w:rPr>
                <w:kern w:val="0"/>
                <w:sz w:val="18"/>
                <w:szCs w:val="18"/>
                <w:lang w:bidi="ar"/>
              </w:rPr>
              <w:t>401</w:t>
            </w:r>
          </w:p>
        </w:tc>
        <w:tc>
          <w:tcPr>
            <w:tcW w:w="218" w:type="pct"/>
            <w:noWrap w:val="0"/>
            <w:vAlign w:val="center"/>
          </w:tcPr>
          <w:p w14:paraId="602C6EE4">
            <w:pPr>
              <w:widowControl/>
              <w:jc w:val="center"/>
              <w:textAlignment w:val="center"/>
              <w:rPr>
                <w:sz w:val="18"/>
                <w:szCs w:val="18"/>
              </w:rPr>
            </w:pPr>
            <w:r>
              <w:rPr>
                <w:kern w:val="0"/>
                <w:sz w:val="18"/>
                <w:szCs w:val="18"/>
                <w:lang w:bidi="ar"/>
              </w:rPr>
              <w:t>0.09</w:t>
            </w:r>
          </w:p>
        </w:tc>
        <w:tc>
          <w:tcPr>
            <w:tcW w:w="218" w:type="pct"/>
            <w:noWrap w:val="0"/>
            <w:vAlign w:val="center"/>
          </w:tcPr>
          <w:p w14:paraId="5DE8884E">
            <w:pPr>
              <w:widowControl/>
              <w:jc w:val="center"/>
              <w:textAlignment w:val="center"/>
              <w:rPr>
                <w:sz w:val="18"/>
                <w:szCs w:val="18"/>
              </w:rPr>
            </w:pPr>
            <w:r>
              <w:rPr>
                <w:kern w:val="0"/>
                <w:sz w:val="18"/>
                <w:szCs w:val="18"/>
                <w:lang w:bidi="ar"/>
              </w:rPr>
              <w:t>10L</w:t>
            </w:r>
          </w:p>
        </w:tc>
        <w:tc>
          <w:tcPr>
            <w:tcW w:w="333" w:type="pct"/>
            <w:noWrap w:val="0"/>
            <w:vAlign w:val="center"/>
          </w:tcPr>
          <w:p w14:paraId="0C22A4DC">
            <w:pPr>
              <w:widowControl/>
              <w:jc w:val="center"/>
              <w:textAlignment w:val="center"/>
              <w:rPr>
                <w:sz w:val="18"/>
                <w:szCs w:val="18"/>
              </w:rPr>
            </w:pPr>
            <w:r>
              <w:rPr>
                <w:kern w:val="0"/>
                <w:sz w:val="18"/>
                <w:szCs w:val="18"/>
                <w:lang w:bidi="ar"/>
              </w:rPr>
              <w:t>2</w:t>
            </w:r>
          </w:p>
        </w:tc>
        <w:tc>
          <w:tcPr>
            <w:tcW w:w="359" w:type="pct"/>
            <w:noWrap w:val="0"/>
            <w:vAlign w:val="center"/>
          </w:tcPr>
          <w:p w14:paraId="416606A3">
            <w:pPr>
              <w:widowControl/>
              <w:jc w:val="center"/>
              <w:textAlignment w:val="center"/>
              <w:rPr>
                <w:sz w:val="18"/>
                <w:szCs w:val="18"/>
              </w:rPr>
            </w:pPr>
            <w:r>
              <w:rPr>
                <w:kern w:val="0"/>
                <w:sz w:val="18"/>
                <w:szCs w:val="18"/>
                <w:lang w:bidi="ar"/>
              </w:rPr>
              <w:t>70</w:t>
            </w:r>
          </w:p>
        </w:tc>
        <w:tc>
          <w:tcPr>
            <w:tcW w:w="355" w:type="pct"/>
            <w:noWrap w:val="0"/>
            <w:vAlign w:val="center"/>
          </w:tcPr>
          <w:p w14:paraId="3B6CB53C">
            <w:pPr>
              <w:widowControl/>
              <w:jc w:val="center"/>
              <w:textAlignment w:val="center"/>
              <w:rPr>
                <w:sz w:val="18"/>
                <w:szCs w:val="18"/>
              </w:rPr>
            </w:pPr>
            <w:r>
              <w:rPr>
                <w:kern w:val="0"/>
                <w:sz w:val="18"/>
                <w:szCs w:val="18"/>
                <w:lang w:bidi="ar"/>
              </w:rPr>
              <w:t>0.009L</w:t>
            </w:r>
          </w:p>
        </w:tc>
        <w:tc>
          <w:tcPr>
            <w:tcW w:w="284" w:type="pct"/>
            <w:noWrap w:val="0"/>
            <w:vAlign w:val="center"/>
          </w:tcPr>
          <w:p w14:paraId="4A9A62EE">
            <w:pPr>
              <w:widowControl/>
              <w:jc w:val="center"/>
              <w:textAlignment w:val="center"/>
              <w:rPr>
                <w:sz w:val="18"/>
                <w:szCs w:val="18"/>
              </w:rPr>
            </w:pPr>
            <w:r>
              <w:rPr>
                <w:kern w:val="0"/>
                <w:sz w:val="18"/>
                <w:szCs w:val="18"/>
                <w:lang w:bidi="ar"/>
              </w:rPr>
              <w:t>1.1</w:t>
            </w:r>
          </w:p>
        </w:tc>
        <w:tc>
          <w:tcPr>
            <w:tcW w:w="359" w:type="pct"/>
            <w:noWrap w:val="0"/>
            <w:vAlign w:val="center"/>
          </w:tcPr>
          <w:p w14:paraId="6769CE2E">
            <w:pPr>
              <w:widowControl/>
              <w:jc w:val="center"/>
              <w:textAlignment w:val="center"/>
              <w:rPr>
                <w:sz w:val="18"/>
                <w:szCs w:val="18"/>
              </w:rPr>
            </w:pPr>
            <w:r>
              <w:rPr>
                <w:kern w:val="0"/>
                <w:sz w:val="18"/>
                <w:szCs w:val="18"/>
                <w:lang w:bidi="ar"/>
              </w:rPr>
              <w:t>9.19</w:t>
            </w:r>
          </w:p>
        </w:tc>
        <w:tc>
          <w:tcPr>
            <w:tcW w:w="315" w:type="pct"/>
            <w:noWrap w:val="0"/>
            <w:vAlign w:val="center"/>
          </w:tcPr>
          <w:p w14:paraId="6E23CD1B">
            <w:pPr>
              <w:widowControl/>
              <w:jc w:val="center"/>
              <w:textAlignment w:val="center"/>
              <w:rPr>
                <w:sz w:val="18"/>
                <w:szCs w:val="18"/>
              </w:rPr>
            </w:pPr>
            <w:r>
              <w:rPr>
                <w:kern w:val="0"/>
                <w:sz w:val="18"/>
                <w:szCs w:val="18"/>
                <w:lang w:bidi="ar"/>
              </w:rPr>
              <w:t>28.4</w:t>
            </w:r>
          </w:p>
        </w:tc>
        <w:tc>
          <w:tcPr>
            <w:tcW w:w="302" w:type="pct"/>
            <w:noWrap w:val="0"/>
            <w:vAlign w:val="center"/>
          </w:tcPr>
          <w:p w14:paraId="2DE43A2E">
            <w:pPr>
              <w:widowControl/>
              <w:jc w:val="center"/>
              <w:textAlignment w:val="center"/>
              <w:rPr>
                <w:sz w:val="18"/>
                <w:szCs w:val="18"/>
              </w:rPr>
            </w:pPr>
            <w:r>
              <w:rPr>
                <w:kern w:val="0"/>
                <w:sz w:val="18"/>
                <w:szCs w:val="18"/>
                <w:lang w:bidi="ar"/>
              </w:rPr>
              <w:t>14.8</w:t>
            </w:r>
          </w:p>
        </w:tc>
        <w:tc>
          <w:tcPr>
            <w:tcW w:w="276" w:type="pct"/>
            <w:noWrap w:val="0"/>
            <w:vAlign w:val="center"/>
          </w:tcPr>
          <w:p w14:paraId="0983D08E">
            <w:pPr>
              <w:widowControl/>
              <w:jc w:val="center"/>
              <w:textAlignment w:val="center"/>
              <w:rPr>
                <w:sz w:val="18"/>
                <w:szCs w:val="18"/>
              </w:rPr>
            </w:pPr>
            <w:r>
              <w:rPr>
                <w:kern w:val="0"/>
                <w:sz w:val="18"/>
                <w:szCs w:val="18"/>
                <w:lang w:bidi="ar"/>
              </w:rPr>
              <w:t>13</w:t>
            </w:r>
          </w:p>
        </w:tc>
        <w:tc>
          <w:tcPr>
            <w:tcW w:w="267" w:type="pct"/>
            <w:noWrap w:val="0"/>
            <w:vAlign w:val="center"/>
          </w:tcPr>
          <w:p w14:paraId="7B03D157">
            <w:pPr>
              <w:widowControl/>
              <w:jc w:val="center"/>
              <w:textAlignment w:val="center"/>
              <w:rPr>
                <w:sz w:val="18"/>
                <w:szCs w:val="18"/>
              </w:rPr>
            </w:pPr>
            <w:r>
              <w:rPr>
                <w:kern w:val="0"/>
                <w:sz w:val="18"/>
                <w:szCs w:val="18"/>
                <w:lang w:bidi="ar"/>
              </w:rPr>
              <w:t>314</w:t>
            </w:r>
          </w:p>
        </w:tc>
        <w:tc>
          <w:tcPr>
            <w:tcW w:w="293" w:type="pct"/>
            <w:noWrap w:val="0"/>
            <w:vAlign w:val="center"/>
          </w:tcPr>
          <w:p w14:paraId="0A570DAD">
            <w:pPr>
              <w:widowControl/>
              <w:jc w:val="center"/>
              <w:textAlignment w:val="center"/>
              <w:rPr>
                <w:sz w:val="18"/>
                <w:szCs w:val="18"/>
              </w:rPr>
            </w:pPr>
            <w:r>
              <w:rPr>
                <w:kern w:val="0"/>
                <w:sz w:val="18"/>
                <w:szCs w:val="18"/>
                <w:lang w:bidi="ar"/>
              </w:rPr>
              <w:t>2.31</w:t>
            </w:r>
          </w:p>
        </w:tc>
        <w:tc>
          <w:tcPr>
            <w:tcW w:w="302" w:type="pct"/>
            <w:noWrap w:val="0"/>
            <w:vAlign w:val="center"/>
          </w:tcPr>
          <w:p w14:paraId="301E8D76">
            <w:pPr>
              <w:widowControl/>
              <w:jc w:val="center"/>
              <w:textAlignment w:val="center"/>
              <w:rPr>
                <w:sz w:val="18"/>
                <w:szCs w:val="18"/>
              </w:rPr>
            </w:pPr>
            <w:r>
              <w:rPr>
                <w:kern w:val="0"/>
                <w:sz w:val="18"/>
                <w:szCs w:val="18"/>
                <w:lang w:bidi="ar"/>
              </w:rPr>
              <w:t>26.7</w:t>
            </w:r>
          </w:p>
        </w:tc>
        <w:tc>
          <w:tcPr>
            <w:tcW w:w="303" w:type="pct"/>
            <w:noWrap/>
            <w:vAlign w:val="center"/>
          </w:tcPr>
          <w:p w14:paraId="03F6A152">
            <w:pPr>
              <w:jc w:val="center"/>
              <w:rPr>
                <w:sz w:val="18"/>
                <w:szCs w:val="18"/>
              </w:rPr>
            </w:pPr>
            <w:r>
              <w:rPr>
                <w:sz w:val="18"/>
                <w:szCs w:val="18"/>
              </w:rPr>
              <w:t>/</w:t>
            </w:r>
          </w:p>
        </w:tc>
      </w:tr>
      <w:tr w14:paraId="0D941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149" w:type="pct"/>
            <w:vMerge w:val="continue"/>
            <w:shd w:val="clear" w:color="auto" w:fill="auto"/>
            <w:noWrap w:val="0"/>
            <w:vAlign w:val="center"/>
          </w:tcPr>
          <w:p w14:paraId="2309DD75">
            <w:pPr>
              <w:jc w:val="center"/>
              <w:rPr>
                <w:sz w:val="18"/>
                <w:szCs w:val="18"/>
              </w:rPr>
            </w:pPr>
          </w:p>
        </w:tc>
        <w:tc>
          <w:tcPr>
            <w:tcW w:w="381" w:type="pct"/>
            <w:shd w:val="clear" w:color="auto" w:fill="D7D7D7"/>
            <w:noWrap w:val="0"/>
            <w:vAlign w:val="center"/>
          </w:tcPr>
          <w:p w14:paraId="0F5EBBFA">
            <w:pPr>
              <w:widowControl/>
              <w:jc w:val="center"/>
              <w:textAlignment w:val="center"/>
              <w:rPr>
                <w:sz w:val="18"/>
                <w:szCs w:val="18"/>
              </w:rPr>
            </w:pPr>
            <w:r>
              <w:rPr>
                <w:kern w:val="0"/>
                <w:sz w:val="18"/>
                <w:szCs w:val="18"/>
                <w:lang w:bidi="ar"/>
              </w:rPr>
              <w:t>2021/3/30</w:t>
            </w:r>
          </w:p>
        </w:tc>
        <w:tc>
          <w:tcPr>
            <w:tcW w:w="278" w:type="pct"/>
            <w:noWrap w:val="0"/>
            <w:vAlign w:val="center"/>
          </w:tcPr>
          <w:p w14:paraId="10034DF1">
            <w:pPr>
              <w:widowControl/>
              <w:jc w:val="center"/>
              <w:textAlignment w:val="center"/>
              <w:rPr>
                <w:sz w:val="18"/>
                <w:szCs w:val="18"/>
              </w:rPr>
            </w:pPr>
            <w:r>
              <w:rPr>
                <w:kern w:val="0"/>
                <w:sz w:val="18"/>
                <w:szCs w:val="18"/>
                <w:lang w:bidi="ar"/>
              </w:rPr>
              <w:t>395</w:t>
            </w:r>
          </w:p>
        </w:tc>
        <w:tc>
          <w:tcPr>
            <w:tcW w:w="218" w:type="pct"/>
            <w:noWrap w:val="0"/>
            <w:vAlign w:val="center"/>
          </w:tcPr>
          <w:p w14:paraId="0320EC58">
            <w:pPr>
              <w:widowControl/>
              <w:jc w:val="center"/>
              <w:textAlignment w:val="center"/>
              <w:rPr>
                <w:sz w:val="18"/>
                <w:szCs w:val="18"/>
              </w:rPr>
            </w:pPr>
            <w:r>
              <w:rPr>
                <w:kern w:val="0"/>
                <w:sz w:val="18"/>
                <w:szCs w:val="18"/>
                <w:lang w:bidi="ar"/>
              </w:rPr>
              <w:t>0.06</w:t>
            </w:r>
          </w:p>
        </w:tc>
        <w:tc>
          <w:tcPr>
            <w:tcW w:w="218" w:type="pct"/>
            <w:noWrap w:val="0"/>
            <w:vAlign w:val="center"/>
          </w:tcPr>
          <w:p w14:paraId="0944724A">
            <w:pPr>
              <w:widowControl/>
              <w:jc w:val="center"/>
              <w:textAlignment w:val="center"/>
              <w:rPr>
                <w:sz w:val="18"/>
                <w:szCs w:val="18"/>
              </w:rPr>
            </w:pPr>
            <w:r>
              <w:rPr>
                <w:kern w:val="0"/>
                <w:sz w:val="18"/>
                <w:szCs w:val="18"/>
                <w:lang w:bidi="ar"/>
              </w:rPr>
              <w:t>10L</w:t>
            </w:r>
          </w:p>
        </w:tc>
        <w:tc>
          <w:tcPr>
            <w:tcW w:w="333" w:type="pct"/>
            <w:noWrap w:val="0"/>
            <w:vAlign w:val="center"/>
          </w:tcPr>
          <w:p w14:paraId="2E30F3C0">
            <w:pPr>
              <w:widowControl/>
              <w:jc w:val="center"/>
              <w:textAlignment w:val="center"/>
              <w:rPr>
                <w:sz w:val="18"/>
                <w:szCs w:val="18"/>
              </w:rPr>
            </w:pPr>
            <w:r>
              <w:rPr>
                <w:kern w:val="0"/>
                <w:sz w:val="18"/>
                <w:szCs w:val="18"/>
                <w:lang w:bidi="ar"/>
              </w:rPr>
              <w:t>2</w:t>
            </w:r>
          </w:p>
        </w:tc>
        <w:tc>
          <w:tcPr>
            <w:tcW w:w="359" w:type="pct"/>
            <w:noWrap w:val="0"/>
            <w:vAlign w:val="center"/>
          </w:tcPr>
          <w:p w14:paraId="28A4F929">
            <w:pPr>
              <w:widowControl/>
              <w:jc w:val="center"/>
              <w:textAlignment w:val="center"/>
              <w:rPr>
                <w:sz w:val="18"/>
                <w:szCs w:val="18"/>
              </w:rPr>
            </w:pPr>
            <w:r>
              <w:rPr>
                <w:kern w:val="0"/>
                <w:sz w:val="18"/>
                <w:szCs w:val="18"/>
                <w:lang w:bidi="ar"/>
              </w:rPr>
              <w:t>50</w:t>
            </w:r>
          </w:p>
        </w:tc>
        <w:tc>
          <w:tcPr>
            <w:tcW w:w="355" w:type="pct"/>
            <w:noWrap w:val="0"/>
            <w:vAlign w:val="center"/>
          </w:tcPr>
          <w:p w14:paraId="681DCF81">
            <w:pPr>
              <w:widowControl/>
              <w:jc w:val="center"/>
              <w:textAlignment w:val="center"/>
              <w:rPr>
                <w:sz w:val="18"/>
                <w:szCs w:val="18"/>
              </w:rPr>
            </w:pPr>
            <w:r>
              <w:rPr>
                <w:kern w:val="0"/>
                <w:sz w:val="18"/>
                <w:szCs w:val="18"/>
                <w:lang w:bidi="ar"/>
              </w:rPr>
              <w:t>0.009L</w:t>
            </w:r>
          </w:p>
        </w:tc>
        <w:tc>
          <w:tcPr>
            <w:tcW w:w="284" w:type="pct"/>
            <w:noWrap w:val="0"/>
            <w:vAlign w:val="center"/>
          </w:tcPr>
          <w:p w14:paraId="19DA5BC3">
            <w:pPr>
              <w:widowControl/>
              <w:jc w:val="center"/>
              <w:textAlignment w:val="center"/>
              <w:rPr>
                <w:sz w:val="18"/>
                <w:szCs w:val="18"/>
              </w:rPr>
            </w:pPr>
            <w:r>
              <w:rPr>
                <w:kern w:val="0"/>
                <w:sz w:val="18"/>
                <w:szCs w:val="18"/>
                <w:lang w:bidi="ar"/>
              </w:rPr>
              <w:t>1.08</w:t>
            </w:r>
          </w:p>
        </w:tc>
        <w:tc>
          <w:tcPr>
            <w:tcW w:w="359" w:type="pct"/>
            <w:noWrap w:val="0"/>
            <w:vAlign w:val="center"/>
          </w:tcPr>
          <w:p w14:paraId="3EEA91B0">
            <w:pPr>
              <w:widowControl/>
              <w:jc w:val="center"/>
              <w:textAlignment w:val="center"/>
              <w:rPr>
                <w:sz w:val="18"/>
                <w:szCs w:val="18"/>
              </w:rPr>
            </w:pPr>
            <w:r>
              <w:rPr>
                <w:kern w:val="0"/>
                <w:sz w:val="18"/>
                <w:szCs w:val="18"/>
                <w:lang w:bidi="ar"/>
              </w:rPr>
              <w:t>9.14</w:t>
            </w:r>
          </w:p>
        </w:tc>
        <w:tc>
          <w:tcPr>
            <w:tcW w:w="315" w:type="pct"/>
            <w:noWrap w:val="0"/>
            <w:vAlign w:val="center"/>
          </w:tcPr>
          <w:p w14:paraId="395EFD3D">
            <w:pPr>
              <w:widowControl/>
              <w:jc w:val="center"/>
              <w:textAlignment w:val="center"/>
              <w:rPr>
                <w:sz w:val="18"/>
                <w:szCs w:val="18"/>
              </w:rPr>
            </w:pPr>
            <w:r>
              <w:rPr>
                <w:kern w:val="0"/>
                <w:sz w:val="18"/>
                <w:szCs w:val="18"/>
                <w:lang w:bidi="ar"/>
              </w:rPr>
              <w:t>28.2</w:t>
            </w:r>
          </w:p>
        </w:tc>
        <w:tc>
          <w:tcPr>
            <w:tcW w:w="302" w:type="pct"/>
            <w:noWrap w:val="0"/>
            <w:vAlign w:val="center"/>
          </w:tcPr>
          <w:p w14:paraId="3F59E410">
            <w:pPr>
              <w:widowControl/>
              <w:jc w:val="center"/>
              <w:textAlignment w:val="center"/>
              <w:rPr>
                <w:sz w:val="18"/>
                <w:szCs w:val="18"/>
              </w:rPr>
            </w:pPr>
            <w:r>
              <w:rPr>
                <w:kern w:val="0"/>
                <w:sz w:val="18"/>
                <w:szCs w:val="18"/>
                <w:lang w:bidi="ar"/>
              </w:rPr>
              <w:t>14.8</w:t>
            </w:r>
          </w:p>
        </w:tc>
        <w:tc>
          <w:tcPr>
            <w:tcW w:w="276" w:type="pct"/>
            <w:noWrap w:val="0"/>
            <w:vAlign w:val="center"/>
          </w:tcPr>
          <w:p w14:paraId="05643482">
            <w:pPr>
              <w:widowControl/>
              <w:jc w:val="center"/>
              <w:textAlignment w:val="center"/>
              <w:rPr>
                <w:sz w:val="18"/>
                <w:szCs w:val="18"/>
              </w:rPr>
            </w:pPr>
            <w:r>
              <w:rPr>
                <w:kern w:val="0"/>
                <w:sz w:val="18"/>
                <w:szCs w:val="18"/>
                <w:lang w:bidi="ar"/>
              </w:rPr>
              <w:t>14</w:t>
            </w:r>
          </w:p>
        </w:tc>
        <w:tc>
          <w:tcPr>
            <w:tcW w:w="267" w:type="pct"/>
            <w:noWrap w:val="0"/>
            <w:vAlign w:val="center"/>
          </w:tcPr>
          <w:p w14:paraId="18F9C38F">
            <w:pPr>
              <w:widowControl/>
              <w:jc w:val="center"/>
              <w:textAlignment w:val="center"/>
              <w:rPr>
                <w:sz w:val="18"/>
                <w:szCs w:val="18"/>
              </w:rPr>
            </w:pPr>
            <w:r>
              <w:rPr>
                <w:kern w:val="0"/>
                <w:sz w:val="18"/>
                <w:szCs w:val="18"/>
                <w:lang w:bidi="ar"/>
              </w:rPr>
              <w:t>322</w:t>
            </w:r>
          </w:p>
        </w:tc>
        <w:tc>
          <w:tcPr>
            <w:tcW w:w="293" w:type="pct"/>
            <w:noWrap w:val="0"/>
            <w:vAlign w:val="center"/>
          </w:tcPr>
          <w:p w14:paraId="74C8E1EA">
            <w:pPr>
              <w:widowControl/>
              <w:jc w:val="center"/>
              <w:textAlignment w:val="center"/>
              <w:rPr>
                <w:sz w:val="18"/>
                <w:szCs w:val="18"/>
              </w:rPr>
            </w:pPr>
            <w:r>
              <w:rPr>
                <w:kern w:val="0"/>
                <w:sz w:val="18"/>
                <w:szCs w:val="18"/>
                <w:lang w:bidi="ar"/>
              </w:rPr>
              <w:t>2.28</w:t>
            </w:r>
          </w:p>
        </w:tc>
        <w:tc>
          <w:tcPr>
            <w:tcW w:w="302" w:type="pct"/>
            <w:noWrap w:val="0"/>
            <w:vAlign w:val="center"/>
          </w:tcPr>
          <w:p w14:paraId="7369CD4A">
            <w:pPr>
              <w:widowControl/>
              <w:jc w:val="center"/>
              <w:textAlignment w:val="center"/>
              <w:rPr>
                <w:sz w:val="18"/>
                <w:szCs w:val="18"/>
              </w:rPr>
            </w:pPr>
            <w:r>
              <w:rPr>
                <w:kern w:val="0"/>
                <w:sz w:val="18"/>
                <w:szCs w:val="18"/>
                <w:lang w:bidi="ar"/>
              </w:rPr>
              <w:t>26.8</w:t>
            </w:r>
          </w:p>
        </w:tc>
        <w:tc>
          <w:tcPr>
            <w:tcW w:w="303" w:type="pct"/>
            <w:noWrap/>
            <w:vAlign w:val="center"/>
          </w:tcPr>
          <w:p w14:paraId="48FA07E6">
            <w:pPr>
              <w:jc w:val="center"/>
              <w:rPr>
                <w:sz w:val="18"/>
                <w:szCs w:val="18"/>
              </w:rPr>
            </w:pPr>
            <w:r>
              <w:rPr>
                <w:sz w:val="18"/>
                <w:szCs w:val="18"/>
              </w:rPr>
              <w:t>/</w:t>
            </w:r>
          </w:p>
        </w:tc>
      </w:tr>
      <w:tr w14:paraId="43437E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149" w:type="pct"/>
            <w:vMerge w:val="continue"/>
            <w:shd w:val="clear" w:color="auto" w:fill="auto"/>
            <w:noWrap w:val="0"/>
            <w:vAlign w:val="center"/>
          </w:tcPr>
          <w:p w14:paraId="3E312CE1">
            <w:pPr>
              <w:jc w:val="center"/>
              <w:rPr>
                <w:sz w:val="18"/>
                <w:szCs w:val="18"/>
              </w:rPr>
            </w:pPr>
          </w:p>
        </w:tc>
        <w:tc>
          <w:tcPr>
            <w:tcW w:w="381" w:type="pct"/>
            <w:shd w:val="clear" w:color="auto" w:fill="D7D7D7"/>
            <w:noWrap w:val="0"/>
            <w:vAlign w:val="center"/>
          </w:tcPr>
          <w:p w14:paraId="69C1D94C">
            <w:pPr>
              <w:widowControl/>
              <w:jc w:val="center"/>
              <w:textAlignment w:val="center"/>
              <w:rPr>
                <w:sz w:val="18"/>
                <w:szCs w:val="18"/>
              </w:rPr>
            </w:pPr>
            <w:r>
              <w:rPr>
                <w:kern w:val="0"/>
                <w:sz w:val="18"/>
                <w:szCs w:val="18"/>
                <w:lang w:bidi="ar"/>
              </w:rPr>
              <w:t>最大值</w:t>
            </w:r>
          </w:p>
        </w:tc>
        <w:tc>
          <w:tcPr>
            <w:tcW w:w="278" w:type="pct"/>
            <w:noWrap w:val="0"/>
            <w:vAlign w:val="center"/>
          </w:tcPr>
          <w:p w14:paraId="2B80846F">
            <w:pPr>
              <w:widowControl/>
              <w:jc w:val="center"/>
              <w:textAlignment w:val="center"/>
              <w:rPr>
                <w:sz w:val="18"/>
                <w:szCs w:val="18"/>
              </w:rPr>
            </w:pPr>
            <w:r>
              <w:rPr>
                <w:kern w:val="0"/>
                <w:sz w:val="18"/>
                <w:szCs w:val="18"/>
                <w:lang w:bidi="ar"/>
              </w:rPr>
              <w:t>401</w:t>
            </w:r>
          </w:p>
        </w:tc>
        <w:tc>
          <w:tcPr>
            <w:tcW w:w="218" w:type="pct"/>
            <w:noWrap w:val="0"/>
            <w:vAlign w:val="center"/>
          </w:tcPr>
          <w:p w14:paraId="34D4DC53">
            <w:pPr>
              <w:widowControl/>
              <w:jc w:val="center"/>
              <w:textAlignment w:val="center"/>
              <w:rPr>
                <w:sz w:val="18"/>
                <w:szCs w:val="18"/>
              </w:rPr>
            </w:pPr>
            <w:r>
              <w:rPr>
                <w:kern w:val="0"/>
                <w:sz w:val="18"/>
                <w:szCs w:val="18"/>
                <w:lang w:bidi="ar"/>
              </w:rPr>
              <w:t>0.09</w:t>
            </w:r>
          </w:p>
        </w:tc>
        <w:tc>
          <w:tcPr>
            <w:tcW w:w="218" w:type="pct"/>
            <w:noWrap w:val="0"/>
            <w:vAlign w:val="center"/>
          </w:tcPr>
          <w:p w14:paraId="2F9643DE">
            <w:pPr>
              <w:widowControl/>
              <w:jc w:val="center"/>
              <w:textAlignment w:val="center"/>
              <w:rPr>
                <w:sz w:val="18"/>
                <w:szCs w:val="18"/>
              </w:rPr>
            </w:pPr>
            <w:r>
              <w:rPr>
                <w:sz w:val="18"/>
                <w:szCs w:val="18"/>
              </w:rPr>
              <w:t>/</w:t>
            </w:r>
          </w:p>
        </w:tc>
        <w:tc>
          <w:tcPr>
            <w:tcW w:w="333" w:type="pct"/>
            <w:noWrap w:val="0"/>
            <w:vAlign w:val="center"/>
          </w:tcPr>
          <w:p w14:paraId="4E09FC42">
            <w:pPr>
              <w:widowControl/>
              <w:jc w:val="center"/>
              <w:textAlignment w:val="center"/>
              <w:rPr>
                <w:sz w:val="18"/>
                <w:szCs w:val="18"/>
              </w:rPr>
            </w:pPr>
            <w:r>
              <w:rPr>
                <w:kern w:val="0"/>
                <w:sz w:val="18"/>
                <w:szCs w:val="18"/>
                <w:lang w:bidi="ar"/>
              </w:rPr>
              <w:t>2</w:t>
            </w:r>
          </w:p>
        </w:tc>
        <w:tc>
          <w:tcPr>
            <w:tcW w:w="359" w:type="pct"/>
            <w:noWrap w:val="0"/>
            <w:vAlign w:val="center"/>
          </w:tcPr>
          <w:p w14:paraId="0A552CD7">
            <w:pPr>
              <w:widowControl/>
              <w:jc w:val="center"/>
              <w:textAlignment w:val="center"/>
              <w:rPr>
                <w:sz w:val="18"/>
                <w:szCs w:val="18"/>
              </w:rPr>
            </w:pPr>
            <w:r>
              <w:rPr>
                <w:kern w:val="0"/>
                <w:sz w:val="18"/>
                <w:szCs w:val="18"/>
                <w:lang w:bidi="ar"/>
              </w:rPr>
              <w:t>70</w:t>
            </w:r>
          </w:p>
        </w:tc>
        <w:tc>
          <w:tcPr>
            <w:tcW w:w="355" w:type="pct"/>
            <w:noWrap w:val="0"/>
            <w:vAlign w:val="center"/>
          </w:tcPr>
          <w:p w14:paraId="7AFE85D2">
            <w:pPr>
              <w:widowControl/>
              <w:jc w:val="center"/>
              <w:textAlignment w:val="center"/>
              <w:rPr>
                <w:sz w:val="18"/>
                <w:szCs w:val="18"/>
              </w:rPr>
            </w:pPr>
            <w:r>
              <w:rPr>
                <w:sz w:val="18"/>
                <w:szCs w:val="18"/>
              </w:rPr>
              <w:t>/</w:t>
            </w:r>
          </w:p>
        </w:tc>
        <w:tc>
          <w:tcPr>
            <w:tcW w:w="284" w:type="pct"/>
            <w:noWrap w:val="0"/>
            <w:vAlign w:val="center"/>
          </w:tcPr>
          <w:p w14:paraId="22BF1DD6">
            <w:pPr>
              <w:widowControl/>
              <w:jc w:val="center"/>
              <w:textAlignment w:val="center"/>
              <w:rPr>
                <w:sz w:val="18"/>
                <w:szCs w:val="18"/>
              </w:rPr>
            </w:pPr>
            <w:r>
              <w:rPr>
                <w:kern w:val="0"/>
                <w:sz w:val="18"/>
                <w:szCs w:val="18"/>
                <w:lang w:bidi="ar"/>
              </w:rPr>
              <w:t>1.1</w:t>
            </w:r>
          </w:p>
        </w:tc>
        <w:tc>
          <w:tcPr>
            <w:tcW w:w="359" w:type="pct"/>
            <w:noWrap w:val="0"/>
            <w:vAlign w:val="center"/>
          </w:tcPr>
          <w:p w14:paraId="30B45423">
            <w:pPr>
              <w:widowControl/>
              <w:jc w:val="center"/>
              <w:textAlignment w:val="center"/>
              <w:rPr>
                <w:sz w:val="18"/>
                <w:szCs w:val="18"/>
              </w:rPr>
            </w:pPr>
            <w:r>
              <w:rPr>
                <w:kern w:val="0"/>
                <w:sz w:val="18"/>
                <w:szCs w:val="18"/>
                <w:lang w:bidi="ar"/>
              </w:rPr>
              <w:t>9.19</w:t>
            </w:r>
          </w:p>
        </w:tc>
        <w:tc>
          <w:tcPr>
            <w:tcW w:w="315" w:type="pct"/>
            <w:noWrap w:val="0"/>
            <w:vAlign w:val="center"/>
          </w:tcPr>
          <w:p w14:paraId="2AC03FF1">
            <w:pPr>
              <w:widowControl/>
              <w:jc w:val="center"/>
              <w:textAlignment w:val="center"/>
              <w:rPr>
                <w:sz w:val="18"/>
                <w:szCs w:val="18"/>
              </w:rPr>
            </w:pPr>
            <w:r>
              <w:rPr>
                <w:kern w:val="0"/>
                <w:sz w:val="18"/>
                <w:szCs w:val="18"/>
                <w:lang w:bidi="ar"/>
              </w:rPr>
              <w:t>28.9</w:t>
            </w:r>
          </w:p>
        </w:tc>
        <w:tc>
          <w:tcPr>
            <w:tcW w:w="302" w:type="pct"/>
            <w:noWrap w:val="0"/>
            <w:vAlign w:val="center"/>
          </w:tcPr>
          <w:p w14:paraId="27FE3D78">
            <w:pPr>
              <w:widowControl/>
              <w:jc w:val="center"/>
              <w:textAlignment w:val="center"/>
              <w:rPr>
                <w:sz w:val="18"/>
                <w:szCs w:val="18"/>
              </w:rPr>
            </w:pPr>
            <w:r>
              <w:rPr>
                <w:kern w:val="0"/>
                <w:sz w:val="18"/>
                <w:szCs w:val="18"/>
                <w:lang w:bidi="ar"/>
              </w:rPr>
              <w:t>14.9</w:t>
            </w:r>
          </w:p>
        </w:tc>
        <w:tc>
          <w:tcPr>
            <w:tcW w:w="276" w:type="pct"/>
            <w:noWrap w:val="0"/>
            <w:vAlign w:val="center"/>
          </w:tcPr>
          <w:p w14:paraId="7B3F835D">
            <w:pPr>
              <w:widowControl/>
              <w:jc w:val="center"/>
              <w:textAlignment w:val="center"/>
              <w:rPr>
                <w:sz w:val="18"/>
                <w:szCs w:val="18"/>
              </w:rPr>
            </w:pPr>
            <w:r>
              <w:rPr>
                <w:kern w:val="0"/>
                <w:sz w:val="18"/>
                <w:szCs w:val="18"/>
                <w:lang w:bidi="ar"/>
              </w:rPr>
              <w:t>14</w:t>
            </w:r>
          </w:p>
        </w:tc>
        <w:tc>
          <w:tcPr>
            <w:tcW w:w="267" w:type="pct"/>
            <w:noWrap w:val="0"/>
            <w:vAlign w:val="center"/>
          </w:tcPr>
          <w:p w14:paraId="3CB144B3">
            <w:pPr>
              <w:widowControl/>
              <w:jc w:val="center"/>
              <w:textAlignment w:val="center"/>
              <w:rPr>
                <w:sz w:val="18"/>
                <w:szCs w:val="18"/>
              </w:rPr>
            </w:pPr>
            <w:r>
              <w:rPr>
                <w:kern w:val="0"/>
                <w:sz w:val="18"/>
                <w:szCs w:val="18"/>
                <w:lang w:bidi="ar"/>
              </w:rPr>
              <w:t>322</w:t>
            </w:r>
          </w:p>
        </w:tc>
        <w:tc>
          <w:tcPr>
            <w:tcW w:w="293" w:type="pct"/>
            <w:noWrap w:val="0"/>
            <w:vAlign w:val="center"/>
          </w:tcPr>
          <w:p w14:paraId="1BF5619F">
            <w:pPr>
              <w:widowControl/>
              <w:jc w:val="center"/>
              <w:textAlignment w:val="center"/>
              <w:rPr>
                <w:sz w:val="18"/>
                <w:szCs w:val="18"/>
              </w:rPr>
            </w:pPr>
            <w:r>
              <w:rPr>
                <w:kern w:val="0"/>
                <w:sz w:val="18"/>
                <w:szCs w:val="18"/>
                <w:lang w:bidi="ar"/>
              </w:rPr>
              <w:t>2.31</w:t>
            </w:r>
          </w:p>
        </w:tc>
        <w:tc>
          <w:tcPr>
            <w:tcW w:w="302" w:type="pct"/>
            <w:noWrap w:val="0"/>
            <w:vAlign w:val="center"/>
          </w:tcPr>
          <w:p w14:paraId="157A7387">
            <w:pPr>
              <w:widowControl/>
              <w:jc w:val="center"/>
              <w:textAlignment w:val="center"/>
              <w:rPr>
                <w:sz w:val="18"/>
                <w:szCs w:val="18"/>
              </w:rPr>
            </w:pPr>
            <w:r>
              <w:rPr>
                <w:kern w:val="0"/>
                <w:sz w:val="18"/>
                <w:szCs w:val="18"/>
                <w:lang w:bidi="ar"/>
              </w:rPr>
              <w:t>26.9</w:t>
            </w:r>
          </w:p>
        </w:tc>
        <w:tc>
          <w:tcPr>
            <w:tcW w:w="303" w:type="pct"/>
            <w:noWrap/>
            <w:vAlign w:val="center"/>
          </w:tcPr>
          <w:p w14:paraId="6B27EB7B">
            <w:pPr>
              <w:jc w:val="center"/>
              <w:rPr>
                <w:sz w:val="18"/>
                <w:szCs w:val="18"/>
              </w:rPr>
            </w:pPr>
            <w:r>
              <w:rPr>
                <w:sz w:val="18"/>
                <w:szCs w:val="18"/>
              </w:rPr>
              <w:t>/</w:t>
            </w:r>
          </w:p>
        </w:tc>
      </w:tr>
      <w:tr w14:paraId="0655A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49" w:type="pct"/>
            <w:vMerge w:val="continue"/>
            <w:shd w:val="clear" w:color="auto" w:fill="auto"/>
            <w:noWrap w:val="0"/>
            <w:vAlign w:val="center"/>
          </w:tcPr>
          <w:p w14:paraId="746B75B1">
            <w:pPr>
              <w:jc w:val="center"/>
              <w:rPr>
                <w:sz w:val="18"/>
                <w:szCs w:val="18"/>
              </w:rPr>
            </w:pPr>
          </w:p>
        </w:tc>
        <w:tc>
          <w:tcPr>
            <w:tcW w:w="381" w:type="pct"/>
            <w:shd w:val="clear" w:color="auto" w:fill="D7D7D7"/>
            <w:noWrap w:val="0"/>
            <w:vAlign w:val="center"/>
          </w:tcPr>
          <w:p w14:paraId="5ABF35DF">
            <w:pPr>
              <w:widowControl/>
              <w:jc w:val="center"/>
              <w:textAlignment w:val="center"/>
              <w:rPr>
                <w:sz w:val="18"/>
                <w:szCs w:val="18"/>
              </w:rPr>
            </w:pPr>
            <w:r>
              <w:rPr>
                <w:kern w:val="0"/>
                <w:sz w:val="18"/>
                <w:szCs w:val="18"/>
                <w:lang w:bidi="ar"/>
              </w:rPr>
              <w:t>标准</w:t>
            </w:r>
          </w:p>
        </w:tc>
        <w:tc>
          <w:tcPr>
            <w:tcW w:w="278" w:type="pct"/>
            <w:noWrap/>
            <w:vAlign w:val="center"/>
          </w:tcPr>
          <w:p w14:paraId="57879782">
            <w:pPr>
              <w:widowControl/>
              <w:jc w:val="center"/>
              <w:textAlignment w:val="center"/>
              <w:rPr>
                <w:sz w:val="18"/>
                <w:szCs w:val="18"/>
              </w:rPr>
            </w:pPr>
            <w:r>
              <w:rPr>
                <w:kern w:val="0"/>
                <w:sz w:val="18"/>
                <w:szCs w:val="18"/>
                <w:lang w:bidi="ar"/>
              </w:rPr>
              <w:t>1000</w:t>
            </w:r>
          </w:p>
        </w:tc>
        <w:tc>
          <w:tcPr>
            <w:tcW w:w="218" w:type="pct"/>
            <w:noWrap/>
            <w:vAlign w:val="center"/>
          </w:tcPr>
          <w:p w14:paraId="2A4755E5">
            <w:pPr>
              <w:widowControl/>
              <w:jc w:val="center"/>
              <w:textAlignment w:val="center"/>
              <w:rPr>
                <w:sz w:val="18"/>
                <w:szCs w:val="18"/>
              </w:rPr>
            </w:pPr>
            <w:r>
              <w:rPr>
                <w:kern w:val="0"/>
                <w:sz w:val="18"/>
                <w:szCs w:val="18"/>
                <w:lang w:bidi="ar"/>
              </w:rPr>
              <w:t>3</w:t>
            </w:r>
          </w:p>
        </w:tc>
        <w:tc>
          <w:tcPr>
            <w:tcW w:w="218" w:type="pct"/>
            <w:noWrap/>
            <w:vAlign w:val="center"/>
          </w:tcPr>
          <w:p w14:paraId="1CC97AF9">
            <w:pPr>
              <w:widowControl/>
              <w:jc w:val="center"/>
              <w:textAlignment w:val="center"/>
              <w:rPr>
                <w:sz w:val="18"/>
                <w:szCs w:val="18"/>
              </w:rPr>
            </w:pPr>
            <w:r>
              <w:rPr>
                <w:kern w:val="0"/>
                <w:sz w:val="18"/>
                <w:szCs w:val="18"/>
                <w:lang w:bidi="ar"/>
              </w:rPr>
              <w:t>250</w:t>
            </w:r>
          </w:p>
        </w:tc>
        <w:tc>
          <w:tcPr>
            <w:tcW w:w="333" w:type="pct"/>
            <w:noWrap/>
            <w:vAlign w:val="center"/>
          </w:tcPr>
          <w:p w14:paraId="08685107">
            <w:pPr>
              <w:widowControl/>
              <w:jc w:val="center"/>
              <w:textAlignment w:val="center"/>
              <w:rPr>
                <w:sz w:val="18"/>
                <w:szCs w:val="18"/>
              </w:rPr>
            </w:pPr>
            <w:r>
              <w:rPr>
                <w:kern w:val="0"/>
                <w:sz w:val="18"/>
                <w:szCs w:val="18"/>
                <w:lang w:bidi="ar"/>
              </w:rPr>
              <w:t>3</w:t>
            </w:r>
          </w:p>
        </w:tc>
        <w:tc>
          <w:tcPr>
            <w:tcW w:w="359" w:type="pct"/>
            <w:noWrap/>
            <w:vAlign w:val="center"/>
          </w:tcPr>
          <w:p w14:paraId="375841FB">
            <w:pPr>
              <w:widowControl/>
              <w:jc w:val="center"/>
              <w:textAlignment w:val="center"/>
              <w:rPr>
                <w:sz w:val="18"/>
                <w:szCs w:val="18"/>
              </w:rPr>
            </w:pPr>
            <w:r>
              <w:rPr>
                <w:kern w:val="0"/>
                <w:sz w:val="18"/>
                <w:szCs w:val="18"/>
                <w:lang w:bidi="ar"/>
              </w:rPr>
              <w:t>100</w:t>
            </w:r>
          </w:p>
        </w:tc>
        <w:tc>
          <w:tcPr>
            <w:tcW w:w="355" w:type="pct"/>
            <w:noWrap/>
            <w:vAlign w:val="center"/>
          </w:tcPr>
          <w:p w14:paraId="01EA65C9">
            <w:pPr>
              <w:widowControl/>
              <w:jc w:val="center"/>
              <w:textAlignment w:val="center"/>
              <w:rPr>
                <w:sz w:val="18"/>
                <w:szCs w:val="18"/>
              </w:rPr>
            </w:pPr>
            <w:r>
              <w:rPr>
                <w:kern w:val="0"/>
                <w:sz w:val="18"/>
                <w:szCs w:val="18"/>
                <w:lang w:bidi="ar"/>
              </w:rPr>
              <w:t>1</w:t>
            </w:r>
          </w:p>
        </w:tc>
        <w:tc>
          <w:tcPr>
            <w:tcW w:w="284" w:type="pct"/>
            <w:noWrap/>
            <w:vAlign w:val="center"/>
          </w:tcPr>
          <w:p w14:paraId="7AEA0F43">
            <w:pPr>
              <w:jc w:val="center"/>
              <w:rPr>
                <w:sz w:val="18"/>
                <w:szCs w:val="18"/>
              </w:rPr>
            </w:pPr>
            <w:r>
              <w:rPr>
                <w:sz w:val="18"/>
                <w:szCs w:val="18"/>
              </w:rPr>
              <w:t>/</w:t>
            </w:r>
          </w:p>
        </w:tc>
        <w:tc>
          <w:tcPr>
            <w:tcW w:w="359" w:type="pct"/>
            <w:noWrap/>
            <w:vAlign w:val="center"/>
          </w:tcPr>
          <w:p w14:paraId="7D7E0336">
            <w:pPr>
              <w:widowControl/>
              <w:jc w:val="center"/>
              <w:textAlignment w:val="center"/>
              <w:rPr>
                <w:sz w:val="18"/>
                <w:szCs w:val="18"/>
              </w:rPr>
            </w:pPr>
            <w:r>
              <w:rPr>
                <w:kern w:val="0"/>
                <w:sz w:val="18"/>
                <w:szCs w:val="18"/>
                <w:lang w:bidi="ar"/>
              </w:rPr>
              <w:t>200</w:t>
            </w:r>
          </w:p>
        </w:tc>
        <w:tc>
          <w:tcPr>
            <w:tcW w:w="315" w:type="pct"/>
            <w:noWrap/>
            <w:vAlign w:val="center"/>
          </w:tcPr>
          <w:p w14:paraId="6E2131C0">
            <w:pPr>
              <w:jc w:val="center"/>
              <w:rPr>
                <w:sz w:val="18"/>
                <w:szCs w:val="18"/>
              </w:rPr>
            </w:pPr>
            <w:r>
              <w:rPr>
                <w:sz w:val="18"/>
                <w:szCs w:val="18"/>
              </w:rPr>
              <w:t>/</w:t>
            </w:r>
          </w:p>
        </w:tc>
        <w:tc>
          <w:tcPr>
            <w:tcW w:w="302" w:type="pct"/>
            <w:noWrap/>
            <w:vAlign w:val="center"/>
          </w:tcPr>
          <w:p w14:paraId="2A0BA298">
            <w:pPr>
              <w:jc w:val="center"/>
              <w:rPr>
                <w:sz w:val="18"/>
                <w:szCs w:val="18"/>
              </w:rPr>
            </w:pPr>
            <w:r>
              <w:rPr>
                <w:sz w:val="18"/>
                <w:szCs w:val="18"/>
              </w:rPr>
              <w:t>/</w:t>
            </w:r>
          </w:p>
        </w:tc>
        <w:tc>
          <w:tcPr>
            <w:tcW w:w="276" w:type="pct"/>
            <w:noWrap/>
            <w:vAlign w:val="center"/>
          </w:tcPr>
          <w:p w14:paraId="63D46D3F">
            <w:pPr>
              <w:jc w:val="center"/>
              <w:rPr>
                <w:sz w:val="18"/>
                <w:szCs w:val="18"/>
              </w:rPr>
            </w:pPr>
            <w:r>
              <w:rPr>
                <w:sz w:val="18"/>
                <w:szCs w:val="18"/>
              </w:rPr>
              <w:t>/</w:t>
            </w:r>
          </w:p>
        </w:tc>
        <w:tc>
          <w:tcPr>
            <w:tcW w:w="267" w:type="pct"/>
            <w:noWrap/>
            <w:vAlign w:val="center"/>
          </w:tcPr>
          <w:p w14:paraId="0B1C83FA">
            <w:pPr>
              <w:jc w:val="center"/>
              <w:rPr>
                <w:sz w:val="18"/>
                <w:szCs w:val="18"/>
              </w:rPr>
            </w:pPr>
            <w:r>
              <w:rPr>
                <w:sz w:val="18"/>
                <w:szCs w:val="18"/>
              </w:rPr>
              <w:t>/</w:t>
            </w:r>
          </w:p>
        </w:tc>
        <w:tc>
          <w:tcPr>
            <w:tcW w:w="293" w:type="pct"/>
            <w:noWrap/>
            <w:vAlign w:val="center"/>
          </w:tcPr>
          <w:p w14:paraId="6F6A6605">
            <w:pPr>
              <w:widowControl/>
              <w:jc w:val="center"/>
              <w:textAlignment w:val="center"/>
              <w:rPr>
                <w:sz w:val="18"/>
                <w:szCs w:val="18"/>
              </w:rPr>
            </w:pPr>
            <w:r>
              <w:rPr>
                <w:kern w:val="0"/>
                <w:sz w:val="18"/>
                <w:szCs w:val="18"/>
                <w:lang w:bidi="ar"/>
              </w:rPr>
              <w:t>250</w:t>
            </w:r>
          </w:p>
        </w:tc>
        <w:tc>
          <w:tcPr>
            <w:tcW w:w="302" w:type="pct"/>
            <w:noWrap/>
            <w:vAlign w:val="center"/>
          </w:tcPr>
          <w:p w14:paraId="751EBB65">
            <w:pPr>
              <w:widowControl/>
              <w:jc w:val="center"/>
              <w:textAlignment w:val="center"/>
              <w:rPr>
                <w:sz w:val="18"/>
                <w:szCs w:val="18"/>
              </w:rPr>
            </w:pPr>
            <w:r>
              <w:rPr>
                <w:kern w:val="0"/>
                <w:sz w:val="18"/>
                <w:szCs w:val="18"/>
                <w:lang w:bidi="ar"/>
              </w:rPr>
              <w:t>250</w:t>
            </w:r>
          </w:p>
        </w:tc>
        <w:tc>
          <w:tcPr>
            <w:tcW w:w="303" w:type="pct"/>
            <w:noWrap/>
            <w:vAlign w:val="center"/>
          </w:tcPr>
          <w:p w14:paraId="326A6F1E">
            <w:pPr>
              <w:jc w:val="center"/>
              <w:rPr>
                <w:sz w:val="18"/>
                <w:szCs w:val="18"/>
              </w:rPr>
            </w:pPr>
            <w:r>
              <w:rPr>
                <w:sz w:val="18"/>
                <w:szCs w:val="18"/>
              </w:rPr>
              <w:t>/</w:t>
            </w:r>
          </w:p>
        </w:tc>
      </w:tr>
      <w:tr w14:paraId="1BCAF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 w:hRule="atLeast"/>
        </w:trPr>
        <w:tc>
          <w:tcPr>
            <w:tcW w:w="149" w:type="pct"/>
            <w:vMerge w:val="continue"/>
            <w:shd w:val="clear" w:color="auto" w:fill="auto"/>
            <w:noWrap w:val="0"/>
            <w:vAlign w:val="center"/>
          </w:tcPr>
          <w:p w14:paraId="20A6FD8C">
            <w:pPr>
              <w:jc w:val="center"/>
              <w:rPr>
                <w:sz w:val="18"/>
                <w:szCs w:val="18"/>
              </w:rPr>
            </w:pPr>
          </w:p>
        </w:tc>
        <w:tc>
          <w:tcPr>
            <w:tcW w:w="381" w:type="pct"/>
            <w:shd w:val="clear" w:color="auto" w:fill="D7D7D7"/>
            <w:noWrap w:val="0"/>
            <w:vAlign w:val="center"/>
          </w:tcPr>
          <w:p w14:paraId="50B0BA31">
            <w:pPr>
              <w:widowControl/>
              <w:jc w:val="center"/>
              <w:textAlignment w:val="center"/>
              <w:rPr>
                <w:sz w:val="18"/>
                <w:szCs w:val="18"/>
              </w:rPr>
            </w:pPr>
            <w:r>
              <w:rPr>
                <w:kern w:val="0"/>
                <w:sz w:val="18"/>
                <w:szCs w:val="18"/>
                <w:lang w:bidi="ar"/>
              </w:rPr>
              <w:t>最大标准指数</w:t>
            </w:r>
          </w:p>
        </w:tc>
        <w:tc>
          <w:tcPr>
            <w:tcW w:w="278" w:type="pct"/>
            <w:noWrap/>
            <w:vAlign w:val="center"/>
          </w:tcPr>
          <w:p w14:paraId="2B0222AF">
            <w:pPr>
              <w:widowControl/>
              <w:jc w:val="center"/>
              <w:textAlignment w:val="center"/>
              <w:rPr>
                <w:sz w:val="18"/>
                <w:szCs w:val="18"/>
              </w:rPr>
            </w:pPr>
            <w:r>
              <w:rPr>
                <w:kern w:val="0"/>
                <w:sz w:val="18"/>
                <w:szCs w:val="18"/>
                <w:lang w:bidi="ar"/>
              </w:rPr>
              <w:t>0.40</w:t>
            </w:r>
          </w:p>
        </w:tc>
        <w:tc>
          <w:tcPr>
            <w:tcW w:w="218" w:type="pct"/>
            <w:noWrap/>
            <w:vAlign w:val="center"/>
          </w:tcPr>
          <w:p w14:paraId="0C222F82">
            <w:pPr>
              <w:widowControl/>
              <w:jc w:val="center"/>
              <w:textAlignment w:val="center"/>
              <w:rPr>
                <w:sz w:val="18"/>
                <w:szCs w:val="18"/>
              </w:rPr>
            </w:pPr>
            <w:r>
              <w:rPr>
                <w:kern w:val="0"/>
                <w:sz w:val="18"/>
                <w:szCs w:val="18"/>
                <w:lang w:bidi="ar"/>
              </w:rPr>
              <w:t>0.03</w:t>
            </w:r>
          </w:p>
        </w:tc>
        <w:tc>
          <w:tcPr>
            <w:tcW w:w="218" w:type="pct"/>
            <w:noWrap/>
            <w:vAlign w:val="center"/>
          </w:tcPr>
          <w:p w14:paraId="5AB77C32">
            <w:pPr>
              <w:widowControl/>
              <w:jc w:val="center"/>
              <w:textAlignment w:val="center"/>
              <w:rPr>
                <w:sz w:val="18"/>
                <w:szCs w:val="18"/>
              </w:rPr>
            </w:pPr>
            <w:r>
              <w:rPr>
                <w:sz w:val="18"/>
                <w:szCs w:val="18"/>
              </w:rPr>
              <w:t>/</w:t>
            </w:r>
          </w:p>
        </w:tc>
        <w:tc>
          <w:tcPr>
            <w:tcW w:w="333" w:type="pct"/>
            <w:noWrap/>
            <w:vAlign w:val="center"/>
          </w:tcPr>
          <w:p w14:paraId="5FA2ACA5">
            <w:pPr>
              <w:widowControl/>
              <w:jc w:val="center"/>
              <w:textAlignment w:val="center"/>
              <w:rPr>
                <w:sz w:val="18"/>
                <w:szCs w:val="18"/>
              </w:rPr>
            </w:pPr>
            <w:r>
              <w:rPr>
                <w:kern w:val="0"/>
                <w:sz w:val="18"/>
                <w:szCs w:val="18"/>
                <w:lang w:bidi="ar"/>
              </w:rPr>
              <w:t>0.67</w:t>
            </w:r>
          </w:p>
        </w:tc>
        <w:tc>
          <w:tcPr>
            <w:tcW w:w="359" w:type="pct"/>
            <w:noWrap/>
            <w:vAlign w:val="center"/>
          </w:tcPr>
          <w:p w14:paraId="63C30EA6">
            <w:pPr>
              <w:widowControl/>
              <w:jc w:val="center"/>
              <w:textAlignment w:val="center"/>
              <w:rPr>
                <w:sz w:val="18"/>
                <w:szCs w:val="18"/>
              </w:rPr>
            </w:pPr>
            <w:r>
              <w:rPr>
                <w:kern w:val="0"/>
                <w:sz w:val="18"/>
                <w:szCs w:val="18"/>
                <w:lang w:bidi="ar"/>
              </w:rPr>
              <w:t>0.70</w:t>
            </w:r>
          </w:p>
        </w:tc>
        <w:tc>
          <w:tcPr>
            <w:tcW w:w="355" w:type="pct"/>
            <w:noWrap/>
            <w:vAlign w:val="center"/>
          </w:tcPr>
          <w:p w14:paraId="1C631C25">
            <w:pPr>
              <w:widowControl/>
              <w:jc w:val="center"/>
              <w:textAlignment w:val="center"/>
              <w:rPr>
                <w:sz w:val="18"/>
                <w:szCs w:val="18"/>
              </w:rPr>
            </w:pPr>
            <w:r>
              <w:rPr>
                <w:sz w:val="18"/>
                <w:szCs w:val="18"/>
              </w:rPr>
              <w:t>/</w:t>
            </w:r>
          </w:p>
        </w:tc>
        <w:tc>
          <w:tcPr>
            <w:tcW w:w="284" w:type="pct"/>
            <w:noWrap/>
            <w:vAlign w:val="center"/>
          </w:tcPr>
          <w:p w14:paraId="561C69E8">
            <w:pPr>
              <w:jc w:val="center"/>
              <w:rPr>
                <w:sz w:val="18"/>
                <w:szCs w:val="18"/>
              </w:rPr>
            </w:pPr>
            <w:r>
              <w:rPr>
                <w:sz w:val="18"/>
                <w:szCs w:val="18"/>
              </w:rPr>
              <w:t>/</w:t>
            </w:r>
          </w:p>
        </w:tc>
        <w:tc>
          <w:tcPr>
            <w:tcW w:w="359" w:type="pct"/>
            <w:noWrap/>
            <w:vAlign w:val="center"/>
          </w:tcPr>
          <w:p w14:paraId="65618212">
            <w:pPr>
              <w:jc w:val="center"/>
              <w:rPr>
                <w:sz w:val="18"/>
                <w:szCs w:val="18"/>
              </w:rPr>
            </w:pPr>
            <w:r>
              <w:rPr>
                <w:sz w:val="18"/>
                <w:szCs w:val="18"/>
              </w:rPr>
              <w:t>/</w:t>
            </w:r>
          </w:p>
        </w:tc>
        <w:tc>
          <w:tcPr>
            <w:tcW w:w="315" w:type="pct"/>
            <w:noWrap/>
            <w:vAlign w:val="center"/>
          </w:tcPr>
          <w:p w14:paraId="3BB7E67F">
            <w:pPr>
              <w:jc w:val="center"/>
              <w:rPr>
                <w:sz w:val="18"/>
                <w:szCs w:val="18"/>
              </w:rPr>
            </w:pPr>
            <w:r>
              <w:rPr>
                <w:sz w:val="18"/>
                <w:szCs w:val="18"/>
              </w:rPr>
              <w:t>/</w:t>
            </w:r>
          </w:p>
        </w:tc>
        <w:tc>
          <w:tcPr>
            <w:tcW w:w="302" w:type="pct"/>
            <w:noWrap/>
            <w:vAlign w:val="center"/>
          </w:tcPr>
          <w:p w14:paraId="507F1A5A">
            <w:pPr>
              <w:jc w:val="center"/>
              <w:rPr>
                <w:sz w:val="18"/>
                <w:szCs w:val="18"/>
              </w:rPr>
            </w:pPr>
            <w:r>
              <w:rPr>
                <w:sz w:val="18"/>
                <w:szCs w:val="18"/>
              </w:rPr>
              <w:t>/</w:t>
            </w:r>
          </w:p>
        </w:tc>
        <w:tc>
          <w:tcPr>
            <w:tcW w:w="276" w:type="pct"/>
            <w:noWrap/>
            <w:vAlign w:val="center"/>
          </w:tcPr>
          <w:p w14:paraId="09A8C587">
            <w:pPr>
              <w:jc w:val="center"/>
              <w:rPr>
                <w:sz w:val="18"/>
                <w:szCs w:val="18"/>
              </w:rPr>
            </w:pPr>
            <w:r>
              <w:rPr>
                <w:sz w:val="18"/>
                <w:szCs w:val="18"/>
              </w:rPr>
              <w:t>/</w:t>
            </w:r>
          </w:p>
        </w:tc>
        <w:tc>
          <w:tcPr>
            <w:tcW w:w="267" w:type="pct"/>
            <w:noWrap/>
            <w:vAlign w:val="center"/>
          </w:tcPr>
          <w:p w14:paraId="074A009F">
            <w:pPr>
              <w:jc w:val="center"/>
              <w:rPr>
                <w:sz w:val="18"/>
                <w:szCs w:val="18"/>
              </w:rPr>
            </w:pPr>
            <w:r>
              <w:rPr>
                <w:sz w:val="18"/>
                <w:szCs w:val="18"/>
              </w:rPr>
              <w:t>/</w:t>
            </w:r>
          </w:p>
        </w:tc>
        <w:tc>
          <w:tcPr>
            <w:tcW w:w="293" w:type="pct"/>
            <w:noWrap/>
            <w:vAlign w:val="center"/>
          </w:tcPr>
          <w:p w14:paraId="4321B1E8">
            <w:pPr>
              <w:jc w:val="center"/>
              <w:rPr>
                <w:sz w:val="18"/>
                <w:szCs w:val="18"/>
              </w:rPr>
            </w:pPr>
            <w:r>
              <w:rPr>
                <w:sz w:val="18"/>
                <w:szCs w:val="18"/>
              </w:rPr>
              <w:t>/</w:t>
            </w:r>
          </w:p>
        </w:tc>
        <w:tc>
          <w:tcPr>
            <w:tcW w:w="302" w:type="pct"/>
            <w:noWrap/>
            <w:vAlign w:val="center"/>
          </w:tcPr>
          <w:p w14:paraId="4955E4F5">
            <w:pPr>
              <w:jc w:val="center"/>
              <w:rPr>
                <w:sz w:val="18"/>
                <w:szCs w:val="18"/>
              </w:rPr>
            </w:pPr>
            <w:r>
              <w:rPr>
                <w:sz w:val="18"/>
                <w:szCs w:val="18"/>
              </w:rPr>
              <w:t>/</w:t>
            </w:r>
          </w:p>
        </w:tc>
        <w:tc>
          <w:tcPr>
            <w:tcW w:w="303" w:type="pct"/>
            <w:noWrap/>
            <w:vAlign w:val="center"/>
          </w:tcPr>
          <w:p w14:paraId="6DDE7BDE">
            <w:pPr>
              <w:jc w:val="center"/>
              <w:rPr>
                <w:sz w:val="18"/>
                <w:szCs w:val="18"/>
              </w:rPr>
            </w:pPr>
            <w:r>
              <w:rPr>
                <w:sz w:val="18"/>
                <w:szCs w:val="18"/>
              </w:rPr>
              <w:t>/</w:t>
            </w:r>
          </w:p>
        </w:tc>
      </w:tr>
      <w:tr w14:paraId="33BB64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5" w:hRule="atLeast"/>
        </w:trPr>
        <w:tc>
          <w:tcPr>
            <w:tcW w:w="149" w:type="pct"/>
            <w:vMerge w:val="continue"/>
            <w:shd w:val="clear" w:color="auto" w:fill="auto"/>
            <w:noWrap w:val="0"/>
            <w:vAlign w:val="center"/>
          </w:tcPr>
          <w:p w14:paraId="7A42A3AC">
            <w:pPr>
              <w:jc w:val="center"/>
              <w:rPr>
                <w:sz w:val="18"/>
                <w:szCs w:val="18"/>
              </w:rPr>
            </w:pPr>
          </w:p>
        </w:tc>
        <w:tc>
          <w:tcPr>
            <w:tcW w:w="381" w:type="pct"/>
            <w:shd w:val="clear" w:color="auto" w:fill="D7D7D7"/>
            <w:noWrap w:val="0"/>
            <w:vAlign w:val="center"/>
          </w:tcPr>
          <w:p w14:paraId="4048C9D2">
            <w:pPr>
              <w:widowControl/>
              <w:jc w:val="center"/>
              <w:textAlignment w:val="center"/>
              <w:rPr>
                <w:sz w:val="18"/>
                <w:szCs w:val="18"/>
              </w:rPr>
            </w:pPr>
            <w:r>
              <w:rPr>
                <w:kern w:val="0"/>
                <w:sz w:val="18"/>
                <w:szCs w:val="18"/>
                <w:lang w:bidi="ar"/>
              </w:rPr>
              <w:t>达标情况</w:t>
            </w:r>
          </w:p>
        </w:tc>
        <w:tc>
          <w:tcPr>
            <w:tcW w:w="278" w:type="pct"/>
            <w:noWrap/>
            <w:vAlign w:val="center"/>
          </w:tcPr>
          <w:p w14:paraId="43D93118">
            <w:pPr>
              <w:widowControl/>
              <w:jc w:val="center"/>
              <w:textAlignment w:val="center"/>
              <w:rPr>
                <w:sz w:val="18"/>
                <w:szCs w:val="18"/>
              </w:rPr>
            </w:pPr>
            <w:r>
              <w:rPr>
                <w:kern w:val="0"/>
                <w:sz w:val="18"/>
                <w:szCs w:val="18"/>
                <w:lang w:bidi="ar"/>
              </w:rPr>
              <w:t>达标</w:t>
            </w:r>
          </w:p>
        </w:tc>
        <w:tc>
          <w:tcPr>
            <w:tcW w:w="218" w:type="pct"/>
            <w:noWrap/>
            <w:vAlign w:val="center"/>
          </w:tcPr>
          <w:p w14:paraId="7181289C">
            <w:pPr>
              <w:widowControl/>
              <w:jc w:val="center"/>
              <w:textAlignment w:val="center"/>
              <w:rPr>
                <w:sz w:val="18"/>
                <w:szCs w:val="18"/>
              </w:rPr>
            </w:pPr>
            <w:r>
              <w:rPr>
                <w:kern w:val="0"/>
                <w:sz w:val="18"/>
                <w:szCs w:val="18"/>
                <w:lang w:bidi="ar"/>
              </w:rPr>
              <w:t>达标</w:t>
            </w:r>
          </w:p>
        </w:tc>
        <w:tc>
          <w:tcPr>
            <w:tcW w:w="218" w:type="pct"/>
            <w:noWrap/>
            <w:vAlign w:val="center"/>
          </w:tcPr>
          <w:p w14:paraId="538AD5D7">
            <w:pPr>
              <w:widowControl/>
              <w:jc w:val="center"/>
              <w:textAlignment w:val="center"/>
              <w:rPr>
                <w:sz w:val="18"/>
                <w:szCs w:val="18"/>
              </w:rPr>
            </w:pPr>
            <w:r>
              <w:rPr>
                <w:kern w:val="0"/>
                <w:sz w:val="18"/>
                <w:szCs w:val="18"/>
                <w:lang w:bidi="ar"/>
              </w:rPr>
              <w:t>达标</w:t>
            </w:r>
          </w:p>
        </w:tc>
        <w:tc>
          <w:tcPr>
            <w:tcW w:w="333" w:type="pct"/>
            <w:noWrap/>
            <w:vAlign w:val="center"/>
          </w:tcPr>
          <w:p w14:paraId="0E191D48">
            <w:pPr>
              <w:widowControl/>
              <w:jc w:val="center"/>
              <w:textAlignment w:val="center"/>
              <w:rPr>
                <w:sz w:val="18"/>
                <w:szCs w:val="18"/>
              </w:rPr>
            </w:pPr>
            <w:r>
              <w:rPr>
                <w:kern w:val="0"/>
                <w:sz w:val="18"/>
                <w:szCs w:val="18"/>
                <w:lang w:bidi="ar"/>
              </w:rPr>
              <w:t>达标</w:t>
            </w:r>
          </w:p>
        </w:tc>
        <w:tc>
          <w:tcPr>
            <w:tcW w:w="359" w:type="pct"/>
            <w:noWrap/>
            <w:vAlign w:val="center"/>
          </w:tcPr>
          <w:p w14:paraId="1893233A">
            <w:pPr>
              <w:widowControl/>
              <w:jc w:val="center"/>
              <w:textAlignment w:val="center"/>
              <w:rPr>
                <w:sz w:val="18"/>
                <w:szCs w:val="18"/>
              </w:rPr>
            </w:pPr>
            <w:r>
              <w:rPr>
                <w:kern w:val="0"/>
                <w:sz w:val="18"/>
                <w:szCs w:val="18"/>
                <w:lang w:bidi="ar"/>
              </w:rPr>
              <w:t>达标</w:t>
            </w:r>
          </w:p>
        </w:tc>
        <w:tc>
          <w:tcPr>
            <w:tcW w:w="355" w:type="pct"/>
            <w:noWrap/>
            <w:vAlign w:val="center"/>
          </w:tcPr>
          <w:p w14:paraId="436BE83C">
            <w:pPr>
              <w:widowControl/>
              <w:jc w:val="center"/>
              <w:textAlignment w:val="center"/>
              <w:rPr>
                <w:sz w:val="18"/>
                <w:szCs w:val="18"/>
              </w:rPr>
            </w:pPr>
            <w:r>
              <w:rPr>
                <w:kern w:val="0"/>
                <w:sz w:val="18"/>
                <w:szCs w:val="18"/>
                <w:lang w:bidi="ar"/>
              </w:rPr>
              <w:t>达标</w:t>
            </w:r>
          </w:p>
        </w:tc>
        <w:tc>
          <w:tcPr>
            <w:tcW w:w="284" w:type="pct"/>
            <w:noWrap/>
            <w:vAlign w:val="center"/>
          </w:tcPr>
          <w:p w14:paraId="3E906AD9">
            <w:pPr>
              <w:jc w:val="center"/>
              <w:rPr>
                <w:sz w:val="18"/>
                <w:szCs w:val="18"/>
              </w:rPr>
            </w:pPr>
            <w:r>
              <w:rPr>
                <w:sz w:val="18"/>
                <w:szCs w:val="18"/>
              </w:rPr>
              <w:t>/</w:t>
            </w:r>
          </w:p>
        </w:tc>
        <w:tc>
          <w:tcPr>
            <w:tcW w:w="359" w:type="pct"/>
            <w:noWrap/>
            <w:vAlign w:val="center"/>
          </w:tcPr>
          <w:p w14:paraId="429E5039">
            <w:pPr>
              <w:jc w:val="center"/>
              <w:rPr>
                <w:sz w:val="18"/>
                <w:szCs w:val="18"/>
              </w:rPr>
            </w:pPr>
            <w:r>
              <w:rPr>
                <w:sz w:val="18"/>
                <w:szCs w:val="18"/>
              </w:rPr>
              <w:t>/</w:t>
            </w:r>
          </w:p>
        </w:tc>
        <w:tc>
          <w:tcPr>
            <w:tcW w:w="315" w:type="pct"/>
            <w:noWrap/>
            <w:vAlign w:val="center"/>
          </w:tcPr>
          <w:p w14:paraId="01609A21">
            <w:pPr>
              <w:jc w:val="center"/>
              <w:rPr>
                <w:sz w:val="18"/>
                <w:szCs w:val="18"/>
              </w:rPr>
            </w:pPr>
            <w:r>
              <w:rPr>
                <w:sz w:val="18"/>
                <w:szCs w:val="18"/>
              </w:rPr>
              <w:t>/</w:t>
            </w:r>
          </w:p>
        </w:tc>
        <w:tc>
          <w:tcPr>
            <w:tcW w:w="302" w:type="pct"/>
            <w:noWrap/>
            <w:vAlign w:val="center"/>
          </w:tcPr>
          <w:p w14:paraId="56B1DC26">
            <w:pPr>
              <w:jc w:val="center"/>
              <w:rPr>
                <w:sz w:val="18"/>
                <w:szCs w:val="18"/>
              </w:rPr>
            </w:pPr>
            <w:r>
              <w:rPr>
                <w:sz w:val="18"/>
                <w:szCs w:val="18"/>
              </w:rPr>
              <w:t>/</w:t>
            </w:r>
          </w:p>
        </w:tc>
        <w:tc>
          <w:tcPr>
            <w:tcW w:w="276" w:type="pct"/>
            <w:noWrap/>
            <w:vAlign w:val="center"/>
          </w:tcPr>
          <w:p w14:paraId="7714C9C2">
            <w:pPr>
              <w:jc w:val="center"/>
              <w:rPr>
                <w:sz w:val="18"/>
                <w:szCs w:val="18"/>
              </w:rPr>
            </w:pPr>
            <w:r>
              <w:rPr>
                <w:sz w:val="18"/>
                <w:szCs w:val="18"/>
              </w:rPr>
              <w:t>/</w:t>
            </w:r>
          </w:p>
        </w:tc>
        <w:tc>
          <w:tcPr>
            <w:tcW w:w="267" w:type="pct"/>
            <w:noWrap/>
            <w:vAlign w:val="center"/>
          </w:tcPr>
          <w:p w14:paraId="0E4DC527">
            <w:pPr>
              <w:jc w:val="center"/>
              <w:rPr>
                <w:sz w:val="18"/>
                <w:szCs w:val="18"/>
              </w:rPr>
            </w:pPr>
            <w:r>
              <w:rPr>
                <w:sz w:val="18"/>
                <w:szCs w:val="18"/>
              </w:rPr>
              <w:t>/</w:t>
            </w:r>
          </w:p>
        </w:tc>
        <w:tc>
          <w:tcPr>
            <w:tcW w:w="293" w:type="pct"/>
            <w:noWrap/>
            <w:vAlign w:val="center"/>
          </w:tcPr>
          <w:p w14:paraId="604E4FA5">
            <w:pPr>
              <w:jc w:val="center"/>
              <w:rPr>
                <w:sz w:val="18"/>
                <w:szCs w:val="18"/>
              </w:rPr>
            </w:pPr>
            <w:r>
              <w:rPr>
                <w:sz w:val="18"/>
                <w:szCs w:val="18"/>
              </w:rPr>
              <w:t>/</w:t>
            </w:r>
          </w:p>
        </w:tc>
        <w:tc>
          <w:tcPr>
            <w:tcW w:w="302" w:type="pct"/>
            <w:noWrap/>
            <w:vAlign w:val="center"/>
          </w:tcPr>
          <w:p w14:paraId="1F2F5D86">
            <w:pPr>
              <w:jc w:val="center"/>
              <w:rPr>
                <w:sz w:val="18"/>
                <w:szCs w:val="18"/>
              </w:rPr>
            </w:pPr>
            <w:r>
              <w:rPr>
                <w:sz w:val="18"/>
                <w:szCs w:val="18"/>
              </w:rPr>
              <w:t>/</w:t>
            </w:r>
          </w:p>
        </w:tc>
        <w:tc>
          <w:tcPr>
            <w:tcW w:w="303" w:type="pct"/>
            <w:noWrap/>
            <w:vAlign w:val="center"/>
          </w:tcPr>
          <w:p w14:paraId="7CBF323F">
            <w:pPr>
              <w:jc w:val="center"/>
              <w:rPr>
                <w:sz w:val="18"/>
                <w:szCs w:val="18"/>
              </w:rPr>
            </w:pPr>
            <w:r>
              <w:rPr>
                <w:sz w:val="18"/>
                <w:szCs w:val="18"/>
              </w:rPr>
              <w:t>/</w:t>
            </w:r>
          </w:p>
        </w:tc>
      </w:tr>
    </w:tbl>
    <w:p w14:paraId="5D9E88C7">
      <w:pPr>
        <w:widowControl/>
        <w:spacing w:line="360" w:lineRule="auto"/>
        <w:ind w:firstLine="480" w:firstLineChars="200"/>
        <w:jc w:val="left"/>
        <w:rPr>
          <w:sz w:val="24"/>
        </w:rPr>
      </w:pPr>
      <w:r>
        <w:rPr>
          <w:sz w:val="24"/>
        </w:rPr>
        <w:t>根据监测结果，项目区域地下水水质现状满足《地下水质量标准》（GB/T14848－2017）表1中Ⅲ类水质标准。</w:t>
      </w:r>
    </w:p>
    <w:p w14:paraId="2AB0AF5C">
      <w:pPr>
        <w:pStyle w:val="2"/>
        <w:rPr>
          <w:rFonts w:ascii="Times New Roman" w:hAnsi="Times New Roman"/>
          <w:color w:val="auto"/>
        </w:rPr>
        <w:sectPr>
          <w:pgSz w:w="16838" w:h="11906" w:orient="landscape"/>
          <w:pgMar w:top="1797" w:right="1440" w:bottom="1797" w:left="1361" w:header="851" w:footer="992" w:gutter="0"/>
          <w:cols w:space="720" w:num="1"/>
          <w:docGrid w:linePitch="312" w:charSpace="0"/>
        </w:sectPr>
      </w:pPr>
    </w:p>
    <w:p w14:paraId="18EEB84E">
      <w:pPr>
        <w:pStyle w:val="7"/>
        <w:spacing w:before="0" w:after="0" w:line="360" w:lineRule="auto"/>
        <w:rPr>
          <w:rFonts w:ascii="Times New Roman" w:hAnsi="Times New Roman"/>
          <w:sz w:val="28"/>
          <w:szCs w:val="28"/>
        </w:rPr>
      </w:pPr>
      <w:r>
        <w:rPr>
          <w:rFonts w:ascii="Times New Roman" w:hAnsi="Times New Roman"/>
          <w:sz w:val="28"/>
          <w:szCs w:val="28"/>
        </w:rPr>
        <w:t>4.2.3声环境质量现状及评价</w:t>
      </w:r>
      <w:bookmarkEnd w:id="88"/>
    </w:p>
    <w:p w14:paraId="7BAAFC1E">
      <w:pPr>
        <w:widowControl/>
        <w:spacing w:line="360" w:lineRule="auto"/>
        <w:ind w:firstLine="482"/>
        <w:jc w:val="left"/>
        <w:rPr>
          <w:kern w:val="0"/>
          <w:sz w:val="24"/>
        </w:rPr>
      </w:pPr>
      <w:r>
        <w:rPr>
          <w:kern w:val="0"/>
          <w:sz w:val="24"/>
        </w:rPr>
        <w:t>（一）声环境现状调查</w:t>
      </w:r>
    </w:p>
    <w:p w14:paraId="5FB6F4C6">
      <w:pPr>
        <w:spacing w:line="360" w:lineRule="auto"/>
        <w:ind w:firstLine="480"/>
        <w:rPr>
          <w:sz w:val="24"/>
          <w:lang w:bidi="ar"/>
        </w:rPr>
      </w:pPr>
      <w:r>
        <w:rPr>
          <w:kern w:val="0"/>
          <w:sz w:val="24"/>
        </w:rPr>
        <w:t>为了解项目区声环境质</w:t>
      </w:r>
      <w:r>
        <w:rPr>
          <w:sz w:val="24"/>
          <w:lang w:bidi="ar"/>
        </w:rPr>
        <w:t>量现状，建设单位于2021/3/28~30日委托云南环绿环境检测技术有限公司对项目区域声环境质量进行了现状监测。</w:t>
      </w:r>
    </w:p>
    <w:p w14:paraId="0A0C5F94">
      <w:pPr>
        <w:spacing w:line="360" w:lineRule="auto"/>
        <w:ind w:firstLine="480" w:firstLineChars="200"/>
        <w:rPr>
          <w:sz w:val="24"/>
        </w:rPr>
      </w:pPr>
      <w:r>
        <w:rPr>
          <w:kern w:val="0"/>
          <w:sz w:val="24"/>
        </w:rPr>
        <w:t>（二）声环境现状监测</w:t>
      </w:r>
    </w:p>
    <w:p w14:paraId="75BE0DE1">
      <w:pPr>
        <w:spacing w:line="360" w:lineRule="auto"/>
        <w:ind w:firstLine="480" w:firstLineChars="200"/>
        <w:rPr>
          <w:sz w:val="24"/>
        </w:rPr>
      </w:pPr>
      <w:r>
        <w:rPr>
          <w:sz w:val="24"/>
        </w:rPr>
        <w:t>1、监测点布设</w:t>
      </w:r>
    </w:p>
    <w:p w14:paraId="5D0B49E1">
      <w:pPr>
        <w:spacing w:line="360" w:lineRule="auto"/>
        <w:ind w:firstLine="480" w:firstLineChars="200"/>
        <w:rPr>
          <w:sz w:val="24"/>
        </w:rPr>
      </w:pPr>
      <w:r>
        <w:rPr>
          <w:bCs/>
          <w:sz w:val="24"/>
        </w:rPr>
        <w:t>地块一北侧养殖区厂界东、南、西、北（N1~N4）；地块一南侧养殖区厂界东、南、西、北（N5~N8）;地块一东侧养殖区厂界东、南、西、北（N9~12）;地块二北侧养殖区厂界东、南、西、北（N13~N16）;地块二南侧养殖区厂界东（N17~20）,</w:t>
      </w:r>
      <w:r>
        <w:rPr>
          <w:sz w:val="24"/>
        </w:rPr>
        <w:t>共设置20个噪声监测点，分别位于厂界外1m处，监测点情况详见附图</w:t>
      </w:r>
      <w:r>
        <w:rPr>
          <w:rFonts w:hint="eastAsia"/>
          <w:sz w:val="24"/>
        </w:rPr>
        <w:t>1</w:t>
      </w:r>
      <w:r>
        <w:rPr>
          <w:sz w:val="24"/>
        </w:rPr>
        <w:t>。</w:t>
      </w:r>
    </w:p>
    <w:p w14:paraId="459DFD87">
      <w:pPr>
        <w:spacing w:line="360" w:lineRule="auto"/>
        <w:ind w:firstLine="480" w:firstLineChars="200"/>
        <w:rPr>
          <w:sz w:val="24"/>
        </w:rPr>
      </w:pPr>
      <w:r>
        <w:rPr>
          <w:sz w:val="24"/>
        </w:rPr>
        <w:t>2、监测时间和频率</w:t>
      </w:r>
    </w:p>
    <w:p w14:paraId="5D1E514C">
      <w:pPr>
        <w:spacing w:line="360" w:lineRule="auto"/>
        <w:ind w:firstLine="480" w:firstLineChars="200"/>
        <w:rPr>
          <w:sz w:val="24"/>
        </w:rPr>
      </w:pPr>
      <w:r>
        <w:rPr>
          <w:sz w:val="24"/>
        </w:rPr>
        <w:t>声环境监测由云南升环检测技术有限公司进行监测，于2019年8月30日至8月31日，连续监测2天，每天昼间和夜间各测量一次。</w:t>
      </w:r>
    </w:p>
    <w:p w14:paraId="32B4961F">
      <w:pPr>
        <w:spacing w:line="360" w:lineRule="auto"/>
        <w:ind w:firstLine="480" w:firstLineChars="200"/>
        <w:rPr>
          <w:sz w:val="24"/>
        </w:rPr>
      </w:pPr>
      <w:r>
        <w:rPr>
          <w:sz w:val="24"/>
        </w:rPr>
        <w:t>3、监测方法</w:t>
      </w:r>
    </w:p>
    <w:p w14:paraId="2FBDFBAA">
      <w:pPr>
        <w:spacing w:line="360" w:lineRule="auto"/>
        <w:ind w:firstLine="480" w:firstLineChars="200"/>
        <w:rPr>
          <w:sz w:val="24"/>
        </w:rPr>
      </w:pPr>
      <w:r>
        <w:rPr>
          <w:sz w:val="24"/>
        </w:rPr>
        <w:t>监测方法按《声环境质量标准》（GB3096-2008）中噪声测量方法进行监测。</w:t>
      </w:r>
    </w:p>
    <w:p w14:paraId="3091FE93">
      <w:pPr>
        <w:spacing w:line="360" w:lineRule="auto"/>
        <w:ind w:firstLine="480" w:firstLineChars="200"/>
        <w:rPr>
          <w:sz w:val="24"/>
        </w:rPr>
      </w:pPr>
      <w:r>
        <w:rPr>
          <w:sz w:val="24"/>
        </w:rPr>
        <w:t>4、监测因子</w:t>
      </w:r>
    </w:p>
    <w:p w14:paraId="732326A1">
      <w:pPr>
        <w:spacing w:line="360" w:lineRule="auto"/>
        <w:ind w:firstLine="480" w:firstLineChars="200"/>
        <w:rPr>
          <w:sz w:val="24"/>
        </w:rPr>
      </w:pPr>
      <w:r>
        <w:rPr>
          <w:sz w:val="24"/>
        </w:rPr>
        <w:t>等效连续A声级（LeqA）。</w:t>
      </w:r>
    </w:p>
    <w:p w14:paraId="69A0132D">
      <w:pPr>
        <w:spacing w:line="360" w:lineRule="auto"/>
        <w:ind w:firstLine="480" w:firstLineChars="200"/>
        <w:rPr>
          <w:sz w:val="24"/>
        </w:rPr>
      </w:pPr>
      <w:r>
        <w:rPr>
          <w:sz w:val="24"/>
        </w:rPr>
        <w:t>5、评价标准</w:t>
      </w:r>
    </w:p>
    <w:p w14:paraId="3F9D1F57">
      <w:pPr>
        <w:spacing w:line="360" w:lineRule="auto"/>
        <w:ind w:firstLine="480" w:firstLineChars="200"/>
        <w:rPr>
          <w:sz w:val="24"/>
        </w:rPr>
      </w:pPr>
      <w:r>
        <w:rPr>
          <w:sz w:val="24"/>
        </w:rPr>
        <w:t>声环境质量执行《声环境质量标准》（GB3096-2008）2类区限值。</w:t>
      </w:r>
    </w:p>
    <w:p w14:paraId="70C716E5">
      <w:pPr>
        <w:spacing w:line="360" w:lineRule="auto"/>
        <w:ind w:firstLine="480" w:firstLineChars="200"/>
        <w:rPr>
          <w:sz w:val="24"/>
        </w:rPr>
      </w:pPr>
      <w:r>
        <w:rPr>
          <w:sz w:val="24"/>
        </w:rPr>
        <w:t>6、监测结果</w:t>
      </w:r>
    </w:p>
    <w:p w14:paraId="69B94977">
      <w:pPr>
        <w:spacing w:line="360" w:lineRule="auto"/>
        <w:ind w:firstLine="480" w:firstLineChars="200"/>
        <w:rPr>
          <w:sz w:val="24"/>
        </w:rPr>
      </w:pPr>
      <w:r>
        <w:rPr>
          <w:sz w:val="24"/>
        </w:rPr>
        <w:t>声环境质量现状监测结果详见表4.2-6。</w:t>
      </w:r>
    </w:p>
    <w:p w14:paraId="4A596386">
      <w:pPr>
        <w:spacing w:line="360" w:lineRule="auto"/>
        <w:ind w:firstLine="422" w:firstLineChars="200"/>
        <w:jc w:val="center"/>
        <w:rPr>
          <w:b/>
          <w:bCs/>
          <w:szCs w:val="21"/>
        </w:rPr>
        <w:sectPr>
          <w:pgSz w:w="11906" w:h="16838"/>
          <w:pgMar w:top="1440" w:right="1797" w:bottom="1361" w:left="1797" w:header="851" w:footer="992" w:gutter="0"/>
          <w:cols w:space="720" w:num="1"/>
          <w:docGrid w:linePitch="312" w:charSpace="0"/>
        </w:sectPr>
      </w:pPr>
    </w:p>
    <w:p w14:paraId="143DE0B6">
      <w:pPr>
        <w:spacing w:line="360" w:lineRule="auto"/>
        <w:ind w:firstLine="482" w:firstLineChars="200"/>
        <w:jc w:val="center"/>
        <w:rPr>
          <w:sz w:val="24"/>
        </w:rPr>
      </w:pPr>
      <w:r>
        <w:rPr>
          <w:b/>
          <w:bCs/>
          <w:sz w:val="24"/>
        </w:rPr>
        <w:t xml:space="preserve">表4.2-6   噪声环境现状监测结果 </w:t>
      </w:r>
      <w:r>
        <w:rPr>
          <w:b/>
          <w:sz w:val="24"/>
        </w:rPr>
        <w:t>单位：dB（A）</w:t>
      </w:r>
    </w:p>
    <w:tbl>
      <w:tblPr>
        <w:tblStyle w:val="87"/>
        <w:tblW w:w="4996" w:type="pct"/>
        <w:tblInd w:w="0" w:type="dxa"/>
        <w:tblLayout w:type="fixed"/>
        <w:tblCellMar>
          <w:top w:w="0" w:type="dxa"/>
          <w:left w:w="108" w:type="dxa"/>
          <w:bottom w:w="0" w:type="dxa"/>
          <w:right w:w="108" w:type="dxa"/>
        </w:tblCellMar>
      </w:tblPr>
      <w:tblGrid>
        <w:gridCol w:w="1115"/>
        <w:gridCol w:w="1377"/>
        <w:gridCol w:w="2280"/>
        <w:gridCol w:w="804"/>
        <w:gridCol w:w="779"/>
        <w:gridCol w:w="1175"/>
        <w:gridCol w:w="997"/>
        <w:gridCol w:w="1185"/>
        <w:gridCol w:w="1957"/>
        <w:gridCol w:w="835"/>
        <w:gridCol w:w="761"/>
        <w:gridCol w:w="977"/>
      </w:tblGrid>
      <w:tr w14:paraId="2B5B06B5">
        <w:tblPrEx>
          <w:tblCellMar>
            <w:top w:w="0" w:type="dxa"/>
            <w:left w:w="108" w:type="dxa"/>
            <w:bottom w:w="0" w:type="dxa"/>
            <w:right w:w="108" w:type="dxa"/>
          </w:tblCellMar>
        </w:tblPrEx>
        <w:trPr>
          <w:trHeight w:val="570" w:hRule="atLeast"/>
        </w:trPr>
        <w:tc>
          <w:tcPr>
            <w:tcW w:w="391" w:type="pct"/>
            <w:tcBorders>
              <w:top w:val="single" w:color="000000" w:sz="4" w:space="0"/>
              <w:left w:val="single" w:color="000000" w:sz="4" w:space="0"/>
              <w:bottom w:val="single" w:color="000000" w:sz="4" w:space="0"/>
              <w:right w:val="single" w:color="000000" w:sz="4" w:space="0"/>
            </w:tcBorders>
            <w:noWrap w:val="0"/>
            <w:vAlign w:val="center"/>
          </w:tcPr>
          <w:p w14:paraId="0856AF58">
            <w:pPr>
              <w:widowControl/>
              <w:jc w:val="center"/>
              <w:textAlignment w:val="center"/>
              <w:rPr>
                <w:szCs w:val="21"/>
              </w:rPr>
            </w:pPr>
            <w:r>
              <w:rPr>
                <w:kern w:val="0"/>
                <w:szCs w:val="21"/>
                <w:lang w:bidi="ar"/>
              </w:rPr>
              <w:t>检测点位</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15CA0B3">
            <w:pPr>
              <w:widowControl/>
              <w:jc w:val="center"/>
              <w:textAlignment w:val="center"/>
              <w:rPr>
                <w:szCs w:val="21"/>
              </w:rPr>
            </w:pPr>
            <w:r>
              <w:rPr>
                <w:kern w:val="0"/>
                <w:szCs w:val="21"/>
                <w:lang w:bidi="ar"/>
              </w:rPr>
              <w:t>检测日期</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7FC1044E">
            <w:pPr>
              <w:widowControl/>
              <w:jc w:val="center"/>
              <w:textAlignment w:val="center"/>
              <w:rPr>
                <w:szCs w:val="21"/>
              </w:rPr>
            </w:pPr>
            <w:r>
              <w:rPr>
                <w:kern w:val="0"/>
                <w:szCs w:val="21"/>
                <w:lang w:bidi="ar"/>
              </w:rPr>
              <w:t>时间</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00F185ED">
            <w:pPr>
              <w:widowControl/>
              <w:jc w:val="center"/>
              <w:textAlignment w:val="center"/>
              <w:rPr>
                <w:szCs w:val="21"/>
              </w:rPr>
            </w:pPr>
            <w:r>
              <w:rPr>
                <w:kern w:val="0"/>
                <w:szCs w:val="21"/>
                <w:lang w:bidi="ar"/>
              </w:rPr>
              <w:t>噪声值Leq</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3E5CCE8">
            <w:pPr>
              <w:widowControl/>
              <w:jc w:val="center"/>
              <w:textAlignment w:val="center"/>
              <w:rPr>
                <w:szCs w:val="21"/>
              </w:rPr>
            </w:pPr>
            <w:r>
              <w:rPr>
                <w:kern w:val="0"/>
                <w:szCs w:val="21"/>
                <w:lang w:bidi="ar"/>
              </w:rPr>
              <w:t>标准值</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0E59487">
            <w:pPr>
              <w:widowControl/>
              <w:jc w:val="center"/>
              <w:textAlignment w:val="center"/>
              <w:rPr>
                <w:szCs w:val="21"/>
              </w:rPr>
            </w:pPr>
            <w:r>
              <w:rPr>
                <w:kern w:val="0"/>
                <w:szCs w:val="21"/>
                <w:lang w:bidi="ar"/>
              </w:rPr>
              <w:t>达标情况</w:t>
            </w: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0DF9A201">
            <w:pPr>
              <w:widowControl/>
              <w:jc w:val="center"/>
              <w:textAlignment w:val="center"/>
              <w:rPr>
                <w:szCs w:val="21"/>
              </w:rPr>
            </w:pPr>
            <w:r>
              <w:rPr>
                <w:kern w:val="0"/>
                <w:szCs w:val="21"/>
                <w:lang w:bidi="ar"/>
              </w:rPr>
              <w:t>检测点位</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5318B12">
            <w:pPr>
              <w:widowControl/>
              <w:jc w:val="center"/>
              <w:textAlignment w:val="center"/>
              <w:rPr>
                <w:szCs w:val="21"/>
              </w:rPr>
            </w:pPr>
            <w:r>
              <w:rPr>
                <w:kern w:val="0"/>
                <w:szCs w:val="21"/>
                <w:lang w:bidi="ar"/>
              </w:rPr>
              <w:t>检测日期</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791D19D">
            <w:pPr>
              <w:widowControl/>
              <w:jc w:val="center"/>
              <w:textAlignment w:val="center"/>
              <w:rPr>
                <w:szCs w:val="21"/>
              </w:rPr>
            </w:pPr>
            <w:r>
              <w:rPr>
                <w:kern w:val="0"/>
                <w:szCs w:val="21"/>
                <w:lang w:bidi="ar"/>
              </w:rPr>
              <w:t>时间</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DAB6A3D">
            <w:pPr>
              <w:widowControl/>
              <w:jc w:val="center"/>
              <w:textAlignment w:val="center"/>
              <w:rPr>
                <w:szCs w:val="21"/>
              </w:rPr>
            </w:pPr>
            <w:r>
              <w:rPr>
                <w:kern w:val="0"/>
                <w:szCs w:val="21"/>
                <w:lang w:bidi="ar"/>
              </w:rPr>
              <w:t>噪声值Leq</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0F6E78A">
            <w:pPr>
              <w:widowControl/>
              <w:jc w:val="center"/>
              <w:textAlignment w:val="center"/>
              <w:rPr>
                <w:szCs w:val="21"/>
              </w:rPr>
            </w:pPr>
            <w:r>
              <w:rPr>
                <w:kern w:val="0"/>
                <w:szCs w:val="21"/>
                <w:lang w:bidi="ar"/>
              </w:rPr>
              <w:t>标准值</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0D1845F7">
            <w:pPr>
              <w:widowControl/>
              <w:jc w:val="center"/>
              <w:textAlignment w:val="center"/>
              <w:rPr>
                <w:szCs w:val="21"/>
              </w:rPr>
            </w:pPr>
            <w:r>
              <w:rPr>
                <w:kern w:val="0"/>
                <w:szCs w:val="21"/>
                <w:lang w:bidi="ar"/>
              </w:rPr>
              <w:t>达标情况</w:t>
            </w:r>
          </w:p>
        </w:tc>
      </w:tr>
      <w:tr w14:paraId="4BBC3EDB">
        <w:tblPrEx>
          <w:tblCellMar>
            <w:top w:w="0" w:type="dxa"/>
            <w:left w:w="108" w:type="dxa"/>
            <w:bottom w:w="0" w:type="dxa"/>
            <w:right w:w="108" w:type="dxa"/>
          </w:tblCellMar>
        </w:tblPrEx>
        <w:trPr>
          <w:trHeight w:val="345"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4FD98FB7">
            <w:pPr>
              <w:widowControl/>
              <w:jc w:val="center"/>
              <w:textAlignment w:val="center"/>
              <w:rPr>
                <w:szCs w:val="21"/>
              </w:rPr>
            </w:pPr>
            <w:r>
              <w:rPr>
                <w:kern w:val="0"/>
                <w:szCs w:val="21"/>
                <w:lang w:bidi="ar"/>
              </w:rPr>
              <w:t>地块一北侧养殖区厂界东（N1）</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E2E247E">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C47BC59">
            <w:pPr>
              <w:widowControl/>
              <w:jc w:val="center"/>
              <w:textAlignment w:val="center"/>
              <w:rPr>
                <w:szCs w:val="21"/>
              </w:rPr>
            </w:pPr>
            <w:r>
              <w:rPr>
                <w:kern w:val="0"/>
                <w:szCs w:val="21"/>
                <w:lang w:bidi="ar"/>
              </w:rPr>
              <w:t>昼间（10:20-10:30）</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5778053D">
            <w:pPr>
              <w:widowControl/>
              <w:jc w:val="center"/>
              <w:textAlignment w:val="center"/>
              <w:rPr>
                <w:szCs w:val="21"/>
              </w:rPr>
            </w:pPr>
            <w:r>
              <w:rPr>
                <w:kern w:val="0"/>
                <w:szCs w:val="21"/>
                <w:lang w:bidi="ar"/>
              </w:rPr>
              <w:t>46</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02F733A9">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09D88DA">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00119287">
            <w:pPr>
              <w:widowControl/>
              <w:jc w:val="center"/>
              <w:textAlignment w:val="center"/>
              <w:rPr>
                <w:szCs w:val="21"/>
              </w:rPr>
            </w:pPr>
            <w:r>
              <w:rPr>
                <w:kern w:val="0"/>
                <w:szCs w:val="21"/>
                <w:lang w:bidi="ar"/>
              </w:rPr>
              <w:t>地块一东侧养殖区厂界西（N11）</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E89C507">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F5D0308">
            <w:pPr>
              <w:widowControl/>
              <w:jc w:val="center"/>
              <w:textAlignment w:val="center"/>
              <w:rPr>
                <w:szCs w:val="21"/>
              </w:rPr>
            </w:pPr>
            <w:r>
              <w:rPr>
                <w:kern w:val="0"/>
                <w:szCs w:val="21"/>
                <w:lang w:bidi="ar"/>
              </w:rPr>
              <w:t>昼间（13:32-13:42）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2A184982">
            <w:pPr>
              <w:widowControl/>
              <w:jc w:val="center"/>
              <w:textAlignment w:val="center"/>
              <w:rPr>
                <w:szCs w:val="21"/>
              </w:rPr>
            </w:pPr>
            <w:r>
              <w:rPr>
                <w:kern w:val="0"/>
                <w:szCs w:val="21"/>
                <w:lang w:bidi="ar"/>
              </w:rPr>
              <w:t>44</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F01DF68">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57065599">
            <w:pPr>
              <w:widowControl/>
              <w:jc w:val="center"/>
              <w:textAlignment w:val="center"/>
              <w:rPr>
                <w:szCs w:val="21"/>
              </w:rPr>
            </w:pPr>
            <w:r>
              <w:rPr>
                <w:kern w:val="0"/>
                <w:szCs w:val="21"/>
                <w:lang w:bidi="ar"/>
              </w:rPr>
              <w:t>达标</w:t>
            </w:r>
          </w:p>
        </w:tc>
      </w:tr>
      <w:tr w14:paraId="19E3F28E">
        <w:tblPrEx>
          <w:tblCellMar>
            <w:top w:w="0" w:type="dxa"/>
            <w:left w:w="108" w:type="dxa"/>
            <w:bottom w:w="0" w:type="dxa"/>
            <w:right w:w="108" w:type="dxa"/>
          </w:tblCellMar>
        </w:tblPrEx>
        <w:trPr>
          <w:trHeight w:val="27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20ADAB">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1570B90">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3CF3729">
            <w:pPr>
              <w:widowControl/>
              <w:jc w:val="center"/>
              <w:textAlignment w:val="center"/>
              <w:rPr>
                <w:szCs w:val="21"/>
              </w:rPr>
            </w:pPr>
            <w:r>
              <w:rPr>
                <w:kern w:val="0"/>
                <w:szCs w:val="21"/>
                <w:lang w:bidi="ar"/>
              </w:rPr>
              <w:t>夜间（22:12-22:22）</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47DDC21B">
            <w:pPr>
              <w:widowControl/>
              <w:jc w:val="center"/>
              <w:textAlignment w:val="center"/>
              <w:rPr>
                <w:szCs w:val="21"/>
              </w:rPr>
            </w:pPr>
            <w:r>
              <w:rPr>
                <w:kern w:val="0"/>
                <w:szCs w:val="21"/>
                <w:lang w:bidi="ar"/>
              </w:rPr>
              <w:t>42</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095B20D4">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732756F">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53CB0D">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7B721F8">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65B0E4F1">
            <w:pPr>
              <w:widowControl/>
              <w:jc w:val="center"/>
              <w:textAlignment w:val="center"/>
              <w:rPr>
                <w:szCs w:val="21"/>
              </w:rPr>
            </w:pPr>
            <w:r>
              <w:rPr>
                <w:kern w:val="0"/>
                <w:szCs w:val="21"/>
                <w:lang w:bidi="ar"/>
              </w:rPr>
              <w:t>夜间（01:26-01:36）</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5902DF0C">
            <w:pPr>
              <w:widowControl/>
              <w:jc w:val="center"/>
              <w:textAlignment w:val="center"/>
              <w:rPr>
                <w:szCs w:val="21"/>
              </w:rPr>
            </w:pPr>
            <w:r>
              <w:rPr>
                <w:kern w:val="0"/>
                <w:szCs w:val="21"/>
                <w:lang w:bidi="ar"/>
              </w:rPr>
              <w:t>43</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3F5B30AC">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111B2A46">
            <w:pPr>
              <w:widowControl/>
              <w:jc w:val="center"/>
              <w:textAlignment w:val="center"/>
              <w:rPr>
                <w:szCs w:val="21"/>
              </w:rPr>
            </w:pPr>
            <w:r>
              <w:rPr>
                <w:kern w:val="0"/>
                <w:szCs w:val="21"/>
                <w:lang w:bidi="ar"/>
              </w:rPr>
              <w:t>达标</w:t>
            </w:r>
          </w:p>
        </w:tc>
      </w:tr>
      <w:tr w14:paraId="43F10CDB">
        <w:tblPrEx>
          <w:tblCellMar>
            <w:top w:w="0" w:type="dxa"/>
            <w:left w:w="108" w:type="dxa"/>
            <w:bottom w:w="0" w:type="dxa"/>
            <w:right w:w="108" w:type="dxa"/>
          </w:tblCellMar>
        </w:tblPrEx>
        <w:trPr>
          <w:trHeight w:val="282"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E46400">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BC1BA06">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5CB7330">
            <w:pPr>
              <w:widowControl/>
              <w:jc w:val="center"/>
              <w:textAlignment w:val="center"/>
              <w:rPr>
                <w:szCs w:val="21"/>
              </w:rPr>
            </w:pPr>
            <w:r>
              <w:rPr>
                <w:kern w:val="0"/>
                <w:szCs w:val="21"/>
                <w:lang w:bidi="ar"/>
              </w:rPr>
              <w:t>昼间（10:35-10:45）</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F9033FA">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69402EBE">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C2F133B">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FAA04B">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2B8F8AC">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BD292D1">
            <w:pPr>
              <w:widowControl/>
              <w:jc w:val="center"/>
              <w:textAlignment w:val="center"/>
              <w:rPr>
                <w:szCs w:val="21"/>
              </w:rPr>
            </w:pPr>
            <w:r>
              <w:rPr>
                <w:kern w:val="0"/>
                <w:szCs w:val="21"/>
                <w:lang w:bidi="ar"/>
              </w:rPr>
              <w:t>昼间（13:44-13:54）</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059C250D">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52E053A">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0261600C">
            <w:pPr>
              <w:widowControl/>
              <w:jc w:val="center"/>
              <w:textAlignment w:val="center"/>
              <w:rPr>
                <w:szCs w:val="21"/>
              </w:rPr>
            </w:pPr>
            <w:r>
              <w:rPr>
                <w:kern w:val="0"/>
                <w:szCs w:val="21"/>
                <w:lang w:bidi="ar"/>
              </w:rPr>
              <w:t>达标</w:t>
            </w:r>
          </w:p>
        </w:tc>
      </w:tr>
      <w:tr w14:paraId="7923CF5C">
        <w:tblPrEx>
          <w:tblCellMar>
            <w:top w:w="0" w:type="dxa"/>
            <w:left w:w="108" w:type="dxa"/>
            <w:bottom w:w="0" w:type="dxa"/>
            <w:right w:w="108" w:type="dxa"/>
          </w:tblCellMar>
        </w:tblPrEx>
        <w:trPr>
          <w:trHeight w:val="233"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1F243A">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E4CC2A9">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C93C9BE">
            <w:pPr>
              <w:widowControl/>
              <w:jc w:val="center"/>
              <w:textAlignment w:val="center"/>
              <w:rPr>
                <w:szCs w:val="21"/>
              </w:rPr>
            </w:pPr>
            <w:r>
              <w:rPr>
                <w:kern w:val="0"/>
                <w:szCs w:val="21"/>
                <w:lang w:bidi="ar"/>
              </w:rPr>
              <w:t>夜间（22:06-22:16）</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2C71DE2">
            <w:pPr>
              <w:widowControl/>
              <w:jc w:val="center"/>
              <w:textAlignment w:val="center"/>
              <w:rPr>
                <w:szCs w:val="21"/>
              </w:rPr>
            </w:pPr>
            <w:r>
              <w:rPr>
                <w:kern w:val="0"/>
                <w:szCs w:val="21"/>
                <w:lang w:bidi="ar"/>
              </w:rPr>
              <w:t>41</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40788968">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2DF4E50">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1C3224">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68DE1D9">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15F2F77">
            <w:pPr>
              <w:widowControl/>
              <w:jc w:val="center"/>
              <w:textAlignment w:val="center"/>
              <w:rPr>
                <w:szCs w:val="21"/>
              </w:rPr>
            </w:pPr>
            <w:r>
              <w:rPr>
                <w:kern w:val="0"/>
                <w:szCs w:val="21"/>
                <w:lang w:bidi="ar"/>
              </w:rPr>
              <w:t>夜间（01:15-01:25）</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9A9EB1C">
            <w:pPr>
              <w:widowControl/>
              <w:jc w:val="center"/>
              <w:textAlignment w:val="center"/>
              <w:rPr>
                <w:szCs w:val="21"/>
              </w:rPr>
            </w:pPr>
            <w:r>
              <w:rPr>
                <w:kern w:val="0"/>
                <w:szCs w:val="21"/>
                <w:lang w:bidi="ar"/>
              </w:rPr>
              <w:t>39</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305D3403">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5E4AC750">
            <w:pPr>
              <w:widowControl/>
              <w:jc w:val="center"/>
              <w:textAlignment w:val="center"/>
              <w:rPr>
                <w:szCs w:val="21"/>
              </w:rPr>
            </w:pPr>
            <w:r>
              <w:rPr>
                <w:kern w:val="0"/>
                <w:szCs w:val="21"/>
                <w:lang w:bidi="ar"/>
              </w:rPr>
              <w:t>达标</w:t>
            </w:r>
          </w:p>
        </w:tc>
      </w:tr>
      <w:tr w14:paraId="089BE5F2">
        <w:tblPrEx>
          <w:tblCellMar>
            <w:top w:w="0" w:type="dxa"/>
            <w:left w:w="108" w:type="dxa"/>
            <w:bottom w:w="0" w:type="dxa"/>
            <w:right w:w="108" w:type="dxa"/>
          </w:tblCellMar>
        </w:tblPrEx>
        <w:trPr>
          <w:trHeight w:val="245"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7939281F">
            <w:pPr>
              <w:widowControl/>
              <w:jc w:val="center"/>
              <w:textAlignment w:val="center"/>
              <w:rPr>
                <w:szCs w:val="21"/>
              </w:rPr>
            </w:pPr>
            <w:r>
              <w:rPr>
                <w:kern w:val="0"/>
                <w:szCs w:val="21"/>
                <w:lang w:bidi="ar"/>
              </w:rPr>
              <w:t>地块一北侧养殖区厂界南（N2）</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4B227DA">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5C9CE53">
            <w:pPr>
              <w:widowControl/>
              <w:jc w:val="center"/>
              <w:textAlignment w:val="center"/>
              <w:rPr>
                <w:szCs w:val="21"/>
              </w:rPr>
            </w:pPr>
            <w:r>
              <w:rPr>
                <w:kern w:val="0"/>
                <w:szCs w:val="21"/>
                <w:lang w:bidi="ar"/>
              </w:rPr>
              <w:t>昼间（10:33-10:43）</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274AEDA">
            <w:pPr>
              <w:widowControl/>
              <w:jc w:val="center"/>
              <w:textAlignment w:val="center"/>
              <w:rPr>
                <w:szCs w:val="21"/>
              </w:rPr>
            </w:pPr>
            <w:r>
              <w:rPr>
                <w:kern w:val="0"/>
                <w:szCs w:val="21"/>
                <w:lang w:bidi="ar"/>
              </w:rPr>
              <w:t>47</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3D86AA4E">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770FE14">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522FF89F">
            <w:pPr>
              <w:widowControl/>
              <w:jc w:val="center"/>
              <w:textAlignment w:val="center"/>
              <w:rPr>
                <w:szCs w:val="21"/>
              </w:rPr>
            </w:pPr>
            <w:r>
              <w:rPr>
                <w:kern w:val="0"/>
                <w:szCs w:val="21"/>
                <w:lang w:bidi="ar"/>
              </w:rPr>
              <w:t>地块一东侧养殖区厂界北（N12）</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39A2C6A">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DB8580A">
            <w:pPr>
              <w:widowControl/>
              <w:jc w:val="center"/>
              <w:textAlignment w:val="center"/>
              <w:rPr>
                <w:szCs w:val="21"/>
              </w:rPr>
            </w:pPr>
            <w:r>
              <w:rPr>
                <w:kern w:val="0"/>
                <w:szCs w:val="21"/>
                <w:lang w:bidi="ar"/>
              </w:rPr>
              <w:t>昼间（14:17-14:27）</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3EA21A0">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CB09CBE">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D6AE67B">
            <w:pPr>
              <w:widowControl/>
              <w:jc w:val="center"/>
              <w:textAlignment w:val="center"/>
              <w:rPr>
                <w:szCs w:val="21"/>
              </w:rPr>
            </w:pPr>
            <w:r>
              <w:rPr>
                <w:kern w:val="0"/>
                <w:szCs w:val="21"/>
                <w:lang w:bidi="ar"/>
              </w:rPr>
              <w:t>达标</w:t>
            </w:r>
          </w:p>
        </w:tc>
      </w:tr>
      <w:tr w14:paraId="7F1D0783">
        <w:tblPrEx>
          <w:tblCellMar>
            <w:top w:w="0" w:type="dxa"/>
            <w:left w:w="108" w:type="dxa"/>
            <w:bottom w:w="0" w:type="dxa"/>
            <w:right w:w="108" w:type="dxa"/>
          </w:tblCellMar>
        </w:tblPrEx>
        <w:trPr>
          <w:trHeight w:val="262"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130C4D">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63BB7175">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09E7903">
            <w:pPr>
              <w:widowControl/>
              <w:jc w:val="center"/>
              <w:textAlignment w:val="center"/>
              <w:rPr>
                <w:szCs w:val="21"/>
              </w:rPr>
            </w:pPr>
            <w:r>
              <w:rPr>
                <w:kern w:val="0"/>
                <w:szCs w:val="21"/>
                <w:lang w:bidi="ar"/>
              </w:rPr>
              <w:t>夜间（22:27-22:37）</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0BA3332">
            <w:pPr>
              <w:widowControl/>
              <w:jc w:val="center"/>
              <w:textAlignment w:val="center"/>
              <w:rPr>
                <w:szCs w:val="21"/>
              </w:rPr>
            </w:pPr>
            <w:r>
              <w:rPr>
                <w:kern w:val="0"/>
                <w:szCs w:val="21"/>
                <w:lang w:bidi="ar"/>
              </w:rPr>
              <w:t>38</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017FBF6">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B667FF8">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57B2FD">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7F81CEE">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565B5E6">
            <w:pPr>
              <w:widowControl/>
              <w:jc w:val="center"/>
              <w:textAlignment w:val="center"/>
              <w:rPr>
                <w:szCs w:val="21"/>
              </w:rPr>
            </w:pPr>
            <w:r>
              <w:rPr>
                <w:kern w:val="0"/>
                <w:szCs w:val="21"/>
                <w:lang w:bidi="ar"/>
              </w:rPr>
              <w:t>夜间（01:40-01:50）</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5EADD2E9">
            <w:pPr>
              <w:widowControl/>
              <w:jc w:val="center"/>
              <w:textAlignment w:val="center"/>
              <w:rPr>
                <w:szCs w:val="21"/>
              </w:rPr>
            </w:pPr>
            <w:r>
              <w:rPr>
                <w:kern w:val="0"/>
                <w:szCs w:val="21"/>
                <w:lang w:bidi="ar"/>
              </w:rPr>
              <w:t>41</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2038D42">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375935B7">
            <w:pPr>
              <w:widowControl/>
              <w:jc w:val="center"/>
              <w:textAlignment w:val="center"/>
              <w:rPr>
                <w:szCs w:val="21"/>
              </w:rPr>
            </w:pPr>
            <w:r>
              <w:rPr>
                <w:kern w:val="0"/>
                <w:szCs w:val="21"/>
                <w:lang w:bidi="ar"/>
              </w:rPr>
              <w:t>达标</w:t>
            </w:r>
          </w:p>
        </w:tc>
      </w:tr>
      <w:tr w14:paraId="70BE9721">
        <w:tblPrEx>
          <w:tblCellMar>
            <w:top w:w="0" w:type="dxa"/>
            <w:left w:w="108" w:type="dxa"/>
            <w:bottom w:w="0" w:type="dxa"/>
            <w:right w:w="108" w:type="dxa"/>
          </w:tblCellMar>
        </w:tblPrEx>
        <w:trPr>
          <w:trHeight w:val="233"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8F8F5A">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AAECC75">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675DB30">
            <w:pPr>
              <w:widowControl/>
              <w:jc w:val="center"/>
              <w:textAlignment w:val="center"/>
              <w:rPr>
                <w:szCs w:val="21"/>
              </w:rPr>
            </w:pPr>
            <w:r>
              <w:rPr>
                <w:kern w:val="0"/>
                <w:szCs w:val="21"/>
                <w:lang w:bidi="ar"/>
              </w:rPr>
              <w:t>昼间（10:48-10:58）</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AEED7EC">
            <w:pPr>
              <w:widowControl/>
              <w:jc w:val="center"/>
              <w:textAlignment w:val="center"/>
              <w:rPr>
                <w:szCs w:val="21"/>
              </w:rPr>
            </w:pPr>
            <w:r>
              <w:rPr>
                <w:kern w:val="0"/>
                <w:szCs w:val="21"/>
                <w:lang w:bidi="ar"/>
              </w:rPr>
              <w:t>44</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D124328">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9583CC0">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F4C6F8">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0E3094E">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3891FDC">
            <w:pPr>
              <w:widowControl/>
              <w:jc w:val="center"/>
              <w:textAlignment w:val="center"/>
              <w:rPr>
                <w:szCs w:val="21"/>
              </w:rPr>
            </w:pPr>
            <w:r>
              <w:rPr>
                <w:kern w:val="0"/>
                <w:szCs w:val="21"/>
                <w:lang w:bidi="ar"/>
              </w:rPr>
              <w:t>昼间（14:16-14:26）</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55293510">
            <w:pPr>
              <w:widowControl/>
              <w:jc w:val="center"/>
              <w:textAlignment w:val="center"/>
              <w:rPr>
                <w:szCs w:val="21"/>
              </w:rPr>
            </w:pPr>
            <w:r>
              <w:rPr>
                <w:kern w:val="0"/>
                <w:szCs w:val="21"/>
                <w:lang w:bidi="ar"/>
              </w:rPr>
              <w:t>46</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8CF26CA">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6CC74DF">
            <w:pPr>
              <w:widowControl/>
              <w:jc w:val="center"/>
              <w:textAlignment w:val="center"/>
              <w:rPr>
                <w:szCs w:val="21"/>
              </w:rPr>
            </w:pPr>
            <w:r>
              <w:rPr>
                <w:kern w:val="0"/>
                <w:szCs w:val="21"/>
                <w:lang w:bidi="ar"/>
              </w:rPr>
              <w:t>达标</w:t>
            </w:r>
          </w:p>
        </w:tc>
      </w:tr>
      <w:tr w14:paraId="682022C8">
        <w:tblPrEx>
          <w:tblCellMar>
            <w:top w:w="0" w:type="dxa"/>
            <w:left w:w="108" w:type="dxa"/>
            <w:bottom w:w="0" w:type="dxa"/>
            <w:right w:w="108" w:type="dxa"/>
          </w:tblCellMar>
        </w:tblPrEx>
        <w:trPr>
          <w:trHeight w:val="24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B2D027">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0589BE4">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AB4AA69">
            <w:pPr>
              <w:widowControl/>
              <w:jc w:val="center"/>
              <w:textAlignment w:val="center"/>
              <w:rPr>
                <w:szCs w:val="21"/>
              </w:rPr>
            </w:pPr>
            <w:r>
              <w:rPr>
                <w:kern w:val="0"/>
                <w:szCs w:val="21"/>
                <w:lang w:bidi="ar"/>
              </w:rPr>
              <w:t>夜间（22:21-22:31）</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00B948A">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68046AAF">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8833CC7">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1F97BE">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EEC95F7">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9BD71A3">
            <w:pPr>
              <w:widowControl/>
              <w:jc w:val="center"/>
              <w:textAlignment w:val="center"/>
              <w:rPr>
                <w:szCs w:val="21"/>
              </w:rPr>
            </w:pPr>
            <w:r>
              <w:rPr>
                <w:kern w:val="0"/>
                <w:szCs w:val="21"/>
                <w:lang w:bidi="ar"/>
              </w:rPr>
              <w:t>夜间（01:30-01:40）</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062CBA8D">
            <w:pPr>
              <w:widowControl/>
              <w:jc w:val="center"/>
              <w:textAlignment w:val="center"/>
              <w:rPr>
                <w:szCs w:val="21"/>
              </w:rPr>
            </w:pPr>
            <w:r>
              <w:rPr>
                <w:kern w:val="0"/>
                <w:szCs w:val="21"/>
                <w:lang w:bidi="ar"/>
              </w:rPr>
              <w:t>40</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34A6C9B">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444D68D">
            <w:pPr>
              <w:widowControl/>
              <w:jc w:val="center"/>
              <w:textAlignment w:val="center"/>
              <w:rPr>
                <w:szCs w:val="21"/>
              </w:rPr>
            </w:pPr>
            <w:r>
              <w:rPr>
                <w:kern w:val="0"/>
                <w:szCs w:val="21"/>
                <w:lang w:bidi="ar"/>
              </w:rPr>
              <w:t>达标</w:t>
            </w:r>
          </w:p>
        </w:tc>
      </w:tr>
      <w:tr w14:paraId="5C87209D">
        <w:tblPrEx>
          <w:tblCellMar>
            <w:top w:w="0" w:type="dxa"/>
            <w:left w:w="108" w:type="dxa"/>
            <w:bottom w:w="0" w:type="dxa"/>
            <w:right w:w="108" w:type="dxa"/>
          </w:tblCellMar>
        </w:tblPrEx>
        <w:trPr>
          <w:trHeight w:val="270"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72EA381A">
            <w:pPr>
              <w:widowControl/>
              <w:jc w:val="center"/>
              <w:textAlignment w:val="center"/>
              <w:rPr>
                <w:szCs w:val="21"/>
              </w:rPr>
            </w:pPr>
            <w:r>
              <w:rPr>
                <w:kern w:val="0"/>
                <w:szCs w:val="21"/>
                <w:lang w:bidi="ar"/>
              </w:rPr>
              <w:t>地块一北侧养殖区厂界西（N3）</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DD1AB33">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3B7FEA3A">
            <w:pPr>
              <w:widowControl/>
              <w:jc w:val="center"/>
              <w:textAlignment w:val="center"/>
              <w:rPr>
                <w:szCs w:val="21"/>
              </w:rPr>
            </w:pPr>
            <w:r>
              <w:rPr>
                <w:kern w:val="0"/>
                <w:szCs w:val="21"/>
                <w:lang w:bidi="ar"/>
              </w:rPr>
              <w:t>昼间（10:51-11:01）</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0FE7894E">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1DB50D44">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9F7ECE6">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4C2CDC6E">
            <w:pPr>
              <w:widowControl/>
              <w:jc w:val="center"/>
              <w:textAlignment w:val="center"/>
              <w:rPr>
                <w:szCs w:val="21"/>
              </w:rPr>
            </w:pPr>
            <w:r>
              <w:rPr>
                <w:kern w:val="0"/>
                <w:szCs w:val="21"/>
                <w:lang w:bidi="ar"/>
              </w:rPr>
              <w:t>地块二北侧养殖区厂界东（N13）</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1400C28">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4D3ED99">
            <w:pPr>
              <w:widowControl/>
              <w:jc w:val="center"/>
              <w:textAlignment w:val="center"/>
              <w:rPr>
                <w:szCs w:val="21"/>
              </w:rPr>
            </w:pPr>
            <w:r>
              <w:rPr>
                <w:kern w:val="0"/>
                <w:szCs w:val="21"/>
                <w:lang w:bidi="ar"/>
              </w:rPr>
              <w:t>昼间（14:32-14:42）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D7E2741">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E393AB1">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616D4565">
            <w:pPr>
              <w:widowControl/>
              <w:jc w:val="center"/>
              <w:textAlignment w:val="center"/>
              <w:rPr>
                <w:szCs w:val="21"/>
              </w:rPr>
            </w:pPr>
            <w:r>
              <w:rPr>
                <w:kern w:val="0"/>
                <w:szCs w:val="21"/>
                <w:lang w:bidi="ar"/>
              </w:rPr>
              <w:t>达标</w:t>
            </w:r>
          </w:p>
        </w:tc>
      </w:tr>
      <w:tr w14:paraId="7DF3E38C">
        <w:tblPrEx>
          <w:tblCellMar>
            <w:top w:w="0" w:type="dxa"/>
            <w:left w:w="108" w:type="dxa"/>
            <w:bottom w:w="0" w:type="dxa"/>
            <w:right w:w="108" w:type="dxa"/>
          </w:tblCellMar>
        </w:tblPrEx>
        <w:trPr>
          <w:trHeight w:val="262"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042694">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D0E97F1">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3AE57D60">
            <w:pPr>
              <w:widowControl/>
              <w:jc w:val="center"/>
              <w:textAlignment w:val="center"/>
              <w:rPr>
                <w:szCs w:val="21"/>
              </w:rPr>
            </w:pPr>
            <w:r>
              <w:rPr>
                <w:kern w:val="0"/>
                <w:szCs w:val="21"/>
                <w:lang w:bidi="ar"/>
              </w:rPr>
              <w:t>夜间（22:41-22:51）</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483C29E">
            <w:pPr>
              <w:widowControl/>
              <w:jc w:val="center"/>
              <w:textAlignment w:val="center"/>
              <w:rPr>
                <w:szCs w:val="21"/>
              </w:rPr>
            </w:pPr>
            <w:r>
              <w:rPr>
                <w:kern w:val="0"/>
                <w:szCs w:val="21"/>
                <w:lang w:bidi="ar"/>
              </w:rPr>
              <w:t>41</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34A3DBD2">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062BB1A">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A11821">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13C608E">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428F74C">
            <w:pPr>
              <w:widowControl/>
              <w:jc w:val="center"/>
              <w:textAlignment w:val="center"/>
              <w:rPr>
                <w:szCs w:val="21"/>
              </w:rPr>
            </w:pPr>
            <w:r>
              <w:rPr>
                <w:kern w:val="0"/>
                <w:szCs w:val="21"/>
                <w:lang w:bidi="ar"/>
              </w:rPr>
              <w:t>夜间（02:27-02:37）</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1C38CADB">
            <w:pPr>
              <w:widowControl/>
              <w:jc w:val="center"/>
              <w:textAlignment w:val="center"/>
              <w:rPr>
                <w:szCs w:val="21"/>
              </w:rPr>
            </w:pPr>
            <w:r>
              <w:rPr>
                <w:kern w:val="0"/>
                <w:szCs w:val="21"/>
                <w:lang w:bidi="ar"/>
              </w:rPr>
              <w:t>41</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948B21B">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4349B1B5">
            <w:pPr>
              <w:widowControl/>
              <w:jc w:val="center"/>
              <w:textAlignment w:val="center"/>
              <w:rPr>
                <w:szCs w:val="21"/>
              </w:rPr>
            </w:pPr>
            <w:r>
              <w:rPr>
                <w:kern w:val="0"/>
                <w:szCs w:val="21"/>
                <w:lang w:bidi="ar"/>
              </w:rPr>
              <w:t>达标</w:t>
            </w:r>
          </w:p>
        </w:tc>
      </w:tr>
      <w:tr w14:paraId="48AAA70F">
        <w:tblPrEx>
          <w:tblCellMar>
            <w:top w:w="0" w:type="dxa"/>
            <w:left w:w="108" w:type="dxa"/>
            <w:bottom w:w="0" w:type="dxa"/>
            <w:right w:w="108" w:type="dxa"/>
          </w:tblCellMar>
        </w:tblPrEx>
        <w:trPr>
          <w:trHeight w:val="307"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315C6E">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739E7650">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06CEB038">
            <w:pPr>
              <w:widowControl/>
              <w:jc w:val="center"/>
              <w:textAlignment w:val="center"/>
              <w:rPr>
                <w:szCs w:val="21"/>
              </w:rPr>
            </w:pPr>
            <w:r>
              <w:rPr>
                <w:kern w:val="0"/>
                <w:szCs w:val="21"/>
                <w:lang w:bidi="ar"/>
              </w:rPr>
              <w:t>昼间（11:02-11:12）</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3F8FD13">
            <w:pPr>
              <w:widowControl/>
              <w:jc w:val="center"/>
              <w:textAlignment w:val="center"/>
              <w:rPr>
                <w:szCs w:val="21"/>
              </w:rPr>
            </w:pPr>
            <w:r>
              <w:rPr>
                <w:kern w:val="0"/>
                <w:szCs w:val="21"/>
                <w:lang w:bidi="ar"/>
              </w:rPr>
              <w:t>47</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37F96CA5">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E1BA39B">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AE711B">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3DFAE4D">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7221AFC">
            <w:pPr>
              <w:widowControl/>
              <w:jc w:val="center"/>
              <w:textAlignment w:val="center"/>
              <w:rPr>
                <w:szCs w:val="21"/>
              </w:rPr>
            </w:pPr>
            <w:r>
              <w:rPr>
                <w:kern w:val="0"/>
                <w:szCs w:val="21"/>
                <w:lang w:bidi="ar"/>
              </w:rPr>
              <w:t>昼间（14:34-14:44）</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36A082C">
            <w:pPr>
              <w:widowControl/>
              <w:jc w:val="center"/>
              <w:textAlignment w:val="center"/>
              <w:rPr>
                <w:szCs w:val="21"/>
              </w:rPr>
            </w:pPr>
            <w:r>
              <w:rPr>
                <w:kern w:val="0"/>
                <w:szCs w:val="21"/>
                <w:lang w:bidi="ar"/>
              </w:rPr>
              <w:t>48</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59191DE">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1549E900">
            <w:pPr>
              <w:widowControl/>
              <w:jc w:val="center"/>
              <w:textAlignment w:val="center"/>
              <w:rPr>
                <w:szCs w:val="21"/>
              </w:rPr>
            </w:pPr>
            <w:r>
              <w:rPr>
                <w:kern w:val="0"/>
                <w:szCs w:val="21"/>
                <w:lang w:bidi="ar"/>
              </w:rPr>
              <w:t>达标</w:t>
            </w:r>
          </w:p>
        </w:tc>
      </w:tr>
      <w:tr w14:paraId="775971B8">
        <w:tblPrEx>
          <w:tblCellMar>
            <w:top w:w="0" w:type="dxa"/>
            <w:left w:w="108" w:type="dxa"/>
            <w:bottom w:w="0" w:type="dxa"/>
            <w:right w:w="108" w:type="dxa"/>
          </w:tblCellMar>
        </w:tblPrEx>
        <w:trPr>
          <w:trHeight w:val="282"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6662E0">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5ECEB9D1">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9806D22">
            <w:pPr>
              <w:widowControl/>
              <w:jc w:val="center"/>
              <w:textAlignment w:val="center"/>
              <w:rPr>
                <w:szCs w:val="21"/>
              </w:rPr>
            </w:pPr>
            <w:r>
              <w:rPr>
                <w:kern w:val="0"/>
                <w:szCs w:val="21"/>
                <w:lang w:bidi="ar"/>
              </w:rPr>
              <w:t>夜间（22:34-22:44）</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64D58177">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02D19548">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A5BAB42">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424AC6">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34B98A8">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23B929B">
            <w:pPr>
              <w:widowControl/>
              <w:jc w:val="center"/>
              <w:textAlignment w:val="center"/>
              <w:rPr>
                <w:szCs w:val="21"/>
              </w:rPr>
            </w:pPr>
            <w:r>
              <w:rPr>
                <w:kern w:val="0"/>
                <w:szCs w:val="21"/>
                <w:lang w:bidi="ar"/>
              </w:rPr>
              <w:t>夜间（02:19-02:29）</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03183A9C">
            <w:pPr>
              <w:widowControl/>
              <w:jc w:val="center"/>
              <w:textAlignment w:val="center"/>
              <w:rPr>
                <w:szCs w:val="21"/>
              </w:rPr>
            </w:pPr>
            <w:r>
              <w:rPr>
                <w:kern w:val="0"/>
                <w:szCs w:val="21"/>
                <w:lang w:bidi="ar"/>
              </w:rPr>
              <w:t>42</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8F66490">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D304614">
            <w:pPr>
              <w:widowControl/>
              <w:jc w:val="center"/>
              <w:textAlignment w:val="center"/>
              <w:rPr>
                <w:szCs w:val="21"/>
              </w:rPr>
            </w:pPr>
            <w:r>
              <w:rPr>
                <w:kern w:val="0"/>
                <w:szCs w:val="21"/>
                <w:lang w:bidi="ar"/>
              </w:rPr>
              <w:t>达标</w:t>
            </w:r>
          </w:p>
        </w:tc>
      </w:tr>
      <w:tr w14:paraId="52974310">
        <w:tblPrEx>
          <w:tblCellMar>
            <w:top w:w="0" w:type="dxa"/>
            <w:left w:w="108" w:type="dxa"/>
            <w:bottom w:w="0" w:type="dxa"/>
            <w:right w:w="108" w:type="dxa"/>
          </w:tblCellMar>
        </w:tblPrEx>
        <w:trPr>
          <w:trHeight w:val="233"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6CF497BA">
            <w:pPr>
              <w:widowControl/>
              <w:jc w:val="center"/>
              <w:textAlignment w:val="center"/>
              <w:rPr>
                <w:szCs w:val="21"/>
              </w:rPr>
            </w:pPr>
            <w:r>
              <w:rPr>
                <w:kern w:val="0"/>
                <w:szCs w:val="21"/>
                <w:lang w:bidi="ar"/>
              </w:rPr>
              <w:t>地块一北侧养殖区厂界北（N4）</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8F10862">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82F344E">
            <w:pPr>
              <w:widowControl/>
              <w:jc w:val="center"/>
              <w:textAlignment w:val="center"/>
              <w:rPr>
                <w:szCs w:val="21"/>
              </w:rPr>
            </w:pPr>
            <w:r>
              <w:rPr>
                <w:kern w:val="0"/>
                <w:szCs w:val="21"/>
                <w:lang w:bidi="ar"/>
              </w:rPr>
              <w:t>昼间（11:10-11:20）</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060D1690">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B61F37B">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76038C2">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4DCF5A14">
            <w:pPr>
              <w:widowControl/>
              <w:jc w:val="center"/>
              <w:textAlignment w:val="center"/>
              <w:rPr>
                <w:szCs w:val="21"/>
              </w:rPr>
            </w:pPr>
            <w:r>
              <w:rPr>
                <w:kern w:val="0"/>
                <w:szCs w:val="21"/>
                <w:lang w:bidi="ar"/>
              </w:rPr>
              <w:t>地块二北侧养殖区厂界南（N14）</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587ECEC">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12870DB9">
            <w:pPr>
              <w:widowControl/>
              <w:jc w:val="center"/>
              <w:textAlignment w:val="center"/>
              <w:rPr>
                <w:szCs w:val="21"/>
              </w:rPr>
            </w:pPr>
            <w:r>
              <w:rPr>
                <w:kern w:val="0"/>
                <w:szCs w:val="21"/>
                <w:lang w:bidi="ar"/>
              </w:rPr>
              <w:t>昼间（14:46-14:56）</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37D2D88">
            <w:pPr>
              <w:widowControl/>
              <w:jc w:val="center"/>
              <w:textAlignment w:val="center"/>
              <w:rPr>
                <w:szCs w:val="21"/>
              </w:rPr>
            </w:pPr>
            <w:r>
              <w:rPr>
                <w:kern w:val="0"/>
                <w:szCs w:val="21"/>
                <w:lang w:bidi="ar"/>
              </w:rPr>
              <w:t>48</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1217B36">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5DBFAC3">
            <w:pPr>
              <w:widowControl/>
              <w:jc w:val="center"/>
              <w:textAlignment w:val="center"/>
              <w:rPr>
                <w:szCs w:val="21"/>
              </w:rPr>
            </w:pPr>
            <w:r>
              <w:rPr>
                <w:kern w:val="0"/>
                <w:szCs w:val="21"/>
                <w:lang w:bidi="ar"/>
              </w:rPr>
              <w:t>达标</w:t>
            </w:r>
          </w:p>
        </w:tc>
      </w:tr>
      <w:tr w14:paraId="33094A02">
        <w:tblPrEx>
          <w:tblCellMar>
            <w:top w:w="0" w:type="dxa"/>
            <w:left w:w="108" w:type="dxa"/>
            <w:bottom w:w="0" w:type="dxa"/>
            <w:right w:w="108" w:type="dxa"/>
          </w:tblCellMar>
        </w:tblPrEx>
        <w:trPr>
          <w:trHeight w:val="250"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C8BFB5">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9FFCECF">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5B674541">
            <w:pPr>
              <w:widowControl/>
              <w:jc w:val="center"/>
              <w:textAlignment w:val="center"/>
              <w:rPr>
                <w:szCs w:val="21"/>
              </w:rPr>
            </w:pPr>
            <w:r>
              <w:rPr>
                <w:kern w:val="0"/>
                <w:szCs w:val="21"/>
                <w:lang w:bidi="ar"/>
              </w:rPr>
              <w:t>夜间（22:54-23:04）</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65201B5D">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0A28FF35">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6E5560D">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E5A589">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5D31EDE">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04F77C51">
            <w:pPr>
              <w:widowControl/>
              <w:jc w:val="center"/>
              <w:textAlignment w:val="center"/>
              <w:rPr>
                <w:szCs w:val="21"/>
              </w:rPr>
            </w:pPr>
            <w:r>
              <w:rPr>
                <w:kern w:val="0"/>
                <w:szCs w:val="21"/>
                <w:lang w:bidi="ar"/>
              </w:rPr>
              <w:t>夜间（02:40-02:50）</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DAF7F04">
            <w:pPr>
              <w:widowControl/>
              <w:jc w:val="center"/>
              <w:textAlignment w:val="center"/>
              <w:rPr>
                <w:szCs w:val="21"/>
              </w:rPr>
            </w:pPr>
            <w:r>
              <w:rPr>
                <w:kern w:val="0"/>
                <w:szCs w:val="21"/>
                <w:lang w:bidi="ar"/>
              </w:rPr>
              <w:t>38</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3D7ADC07">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CCBD60B">
            <w:pPr>
              <w:widowControl/>
              <w:jc w:val="center"/>
              <w:textAlignment w:val="center"/>
              <w:rPr>
                <w:szCs w:val="21"/>
              </w:rPr>
            </w:pPr>
            <w:r>
              <w:rPr>
                <w:kern w:val="0"/>
                <w:szCs w:val="21"/>
                <w:lang w:bidi="ar"/>
              </w:rPr>
              <w:t>达标</w:t>
            </w:r>
          </w:p>
        </w:tc>
      </w:tr>
      <w:tr w14:paraId="364446BB">
        <w:tblPrEx>
          <w:tblCellMar>
            <w:top w:w="0" w:type="dxa"/>
            <w:left w:w="108" w:type="dxa"/>
            <w:bottom w:w="0" w:type="dxa"/>
            <w:right w:w="108" w:type="dxa"/>
          </w:tblCellMar>
        </w:tblPrEx>
        <w:trPr>
          <w:trHeight w:val="283"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D22D7D">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AF86F26">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C7E3BCD">
            <w:pPr>
              <w:widowControl/>
              <w:jc w:val="center"/>
              <w:textAlignment w:val="center"/>
              <w:rPr>
                <w:szCs w:val="21"/>
              </w:rPr>
            </w:pPr>
            <w:r>
              <w:rPr>
                <w:kern w:val="0"/>
                <w:szCs w:val="21"/>
                <w:lang w:bidi="ar"/>
              </w:rPr>
              <w:t>昼间（11:15-11:25）</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091661D">
            <w:pPr>
              <w:widowControl/>
              <w:jc w:val="center"/>
              <w:textAlignment w:val="center"/>
              <w:rPr>
                <w:szCs w:val="21"/>
              </w:rPr>
            </w:pPr>
            <w:r>
              <w:rPr>
                <w:kern w:val="0"/>
                <w:szCs w:val="21"/>
                <w:lang w:bidi="ar"/>
              </w:rPr>
              <w:t>46</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4DDB3B11">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8D8C3E9">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F041F0">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2C322B6">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75EBB96">
            <w:pPr>
              <w:widowControl/>
              <w:jc w:val="center"/>
              <w:textAlignment w:val="center"/>
              <w:rPr>
                <w:szCs w:val="21"/>
              </w:rPr>
            </w:pPr>
            <w:r>
              <w:rPr>
                <w:kern w:val="0"/>
                <w:szCs w:val="21"/>
                <w:lang w:bidi="ar"/>
              </w:rPr>
              <w:t>昼间（14:48-14:58）</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0523558">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75CF0819">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5CC0D670">
            <w:pPr>
              <w:widowControl/>
              <w:jc w:val="center"/>
              <w:textAlignment w:val="center"/>
              <w:rPr>
                <w:szCs w:val="21"/>
              </w:rPr>
            </w:pPr>
            <w:r>
              <w:rPr>
                <w:kern w:val="0"/>
                <w:szCs w:val="21"/>
                <w:lang w:bidi="ar"/>
              </w:rPr>
              <w:t>达标</w:t>
            </w:r>
          </w:p>
        </w:tc>
      </w:tr>
      <w:tr w14:paraId="6495B9C9">
        <w:tblPrEx>
          <w:tblCellMar>
            <w:top w:w="0" w:type="dxa"/>
            <w:left w:w="108" w:type="dxa"/>
            <w:bottom w:w="0" w:type="dxa"/>
            <w:right w:w="108" w:type="dxa"/>
          </w:tblCellMar>
        </w:tblPrEx>
        <w:trPr>
          <w:trHeight w:val="270"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DE6EE5">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5CA9F04A">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635992B0">
            <w:pPr>
              <w:widowControl/>
              <w:jc w:val="center"/>
              <w:textAlignment w:val="center"/>
              <w:rPr>
                <w:szCs w:val="21"/>
              </w:rPr>
            </w:pPr>
            <w:r>
              <w:rPr>
                <w:kern w:val="0"/>
                <w:szCs w:val="21"/>
                <w:lang w:bidi="ar"/>
              </w:rPr>
              <w:t>夜间（22:49-22:59）</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64479901">
            <w:pPr>
              <w:widowControl/>
              <w:jc w:val="center"/>
              <w:textAlignment w:val="center"/>
              <w:rPr>
                <w:szCs w:val="21"/>
              </w:rPr>
            </w:pPr>
            <w:r>
              <w:rPr>
                <w:kern w:val="0"/>
                <w:szCs w:val="21"/>
                <w:lang w:bidi="ar"/>
              </w:rPr>
              <w:t>41</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1384E728">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364BBBD">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99BEE4">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02880E6">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6C52E377">
            <w:pPr>
              <w:widowControl/>
              <w:jc w:val="center"/>
              <w:textAlignment w:val="center"/>
              <w:rPr>
                <w:szCs w:val="21"/>
              </w:rPr>
            </w:pPr>
            <w:r>
              <w:rPr>
                <w:kern w:val="0"/>
                <w:szCs w:val="21"/>
                <w:lang w:bidi="ar"/>
              </w:rPr>
              <w:t>夜间（02:32-02:42）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B49AB4C">
            <w:pPr>
              <w:widowControl/>
              <w:jc w:val="center"/>
              <w:textAlignment w:val="center"/>
              <w:rPr>
                <w:szCs w:val="21"/>
              </w:rPr>
            </w:pPr>
            <w:r>
              <w:rPr>
                <w:kern w:val="0"/>
                <w:szCs w:val="21"/>
                <w:lang w:bidi="ar"/>
              </w:rPr>
              <w:t>40</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26AB3242">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CE9A792">
            <w:pPr>
              <w:widowControl/>
              <w:jc w:val="center"/>
              <w:textAlignment w:val="center"/>
              <w:rPr>
                <w:szCs w:val="21"/>
              </w:rPr>
            </w:pPr>
            <w:r>
              <w:rPr>
                <w:kern w:val="0"/>
                <w:szCs w:val="21"/>
                <w:lang w:bidi="ar"/>
              </w:rPr>
              <w:t>达标</w:t>
            </w:r>
          </w:p>
        </w:tc>
      </w:tr>
      <w:tr w14:paraId="10CB529A">
        <w:tblPrEx>
          <w:tblCellMar>
            <w:top w:w="0" w:type="dxa"/>
            <w:left w:w="108" w:type="dxa"/>
            <w:bottom w:w="0" w:type="dxa"/>
            <w:right w:w="108" w:type="dxa"/>
          </w:tblCellMar>
        </w:tblPrEx>
        <w:trPr>
          <w:trHeight w:val="257"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0C2AED57">
            <w:pPr>
              <w:widowControl/>
              <w:jc w:val="center"/>
              <w:textAlignment w:val="center"/>
              <w:rPr>
                <w:szCs w:val="21"/>
              </w:rPr>
            </w:pPr>
            <w:r>
              <w:rPr>
                <w:kern w:val="0"/>
                <w:szCs w:val="21"/>
                <w:lang w:bidi="ar"/>
              </w:rPr>
              <w:t>地块一南侧养殖区厂界东（N5）</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8D06B3D">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416DAA6">
            <w:pPr>
              <w:widowControl/>
              <w:jc w:val="center"/>
              <w:textAlignment w:val="center"/>
              <w:rPr>
                <w:szCs w:val="21"/>
              </w:rPr>
            </w:pPr>
            <w:r>
              <w:rPr>
                <w:kern w:val="0"/>
                <w:szCs w:val="21"/>
                <w:lang w:bidi="ar"/>
              </w:rPr>
              <w:t>昼间（11:41-11:51）</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12CD72A">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33B8B1C">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2F8E7A4">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170ED80A">
            <w:pPr>
              <w:widowControl/>
              <w:jc w:val="center"/>
              <w:textAlignment w:val="center"/>
              <w:rPr>
                <w:szCs w:val="21"/>
              </w:rPr>
            </w:pPr>
            <w:r>
              <w:rPr>
                <w:kern w:val="0"/>
                <w:szCs w:val="21"/>
                <w:lang w:bidi="ar"/>
              </w:rPr>
              <w:t>地块二北侧养殖区厂界西（N15）</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A57ECC4">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2A68D04">
            <w:pPr>
              <w:widowControl/>
              <w:jc w:val="center"/>
              <w:textAlignment w:val="center"/>
              <w:rPr>
                <w:szCs w:val="21"/>
              </w:rPr>
            </w:pPr>
            <w:r>
              <w:rPr>
                <w:kern w:val="0"/>
                <w:szCs w:val="21"/>
                <w:lang w:bidi="ar"/>
              </w:rPr>
              <w:t>昼间（15:01-15:11）</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A15A1D2">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820361B">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6342511C">
            <w:pPr>
              <w:widowControl/>
              <w:jc w:val="center"/>
              <w:textAlignment w:val="center"/>
              <w:rPr>
                <w:szCs w:val="21"/>
              </w:rPr>
            </w:pPr>
            <w:r>
              <w:rPr>
                <w:kern w:val="0"/>
                <w:szCs w:val="21"/>
                <w:lang w:bidi="ar"/>
              </w:rPr>
              <w:t>达标</w:t>
            </w:r>
          </w:p>
        </w:tc>
      </w:tr>
      <w:tr w14:paraId="3383AE65">
        <w:tblPrEx>
          <w:tblCellMar>
            <w:top w:w="0" w:type="dxa"/>
            <w:left w:w="108" w:type="dxa"/>
            <w:bottom w:w="0" w:type="dxa"/>
            <w:right w:w="108" w:type="dxa"/>
          </w:tblCellMar>
        </w:tblPrEx>
        <w:trPr>
          <w:trHeight w:val="250"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8B87D4">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364FF67">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A649067">
            <w:pPr>
              <w:widowControl/>
              <w:jc w:val="center"/>
              <w:textAlignment w:val="center"/>
              <w:rPr>
                <w:szCs w:val="21"/>
              </w:rPr>
            </w:pPr>
            <w:r>
              <w:rPr>
                <w:kern w:val="0"/>
                <w:szCs w:val="21"/>
                <w:lang w:bidi="ar"/>
              </w:rPr>
              <w:t>夜间（23:34-23:44）</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26300BC3">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03C30923">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E86DDCC">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0565E6">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BB45C3B">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E091A44">
            <w:pPr>
              <w:widowControl/>
              <w:jc w:val="center"/>
              <w:textAlignment w:val="center"/>
              <w:rPr>
                <w:szCs w:val="21"/>
              </w:rPr>
            </w:pPr>
            <w:r>
              <w:rPr>
                <w:kern w:val="0"/>
                <w:szCs w:val="21"/>
                <w:lang w:bidi="ar"/>
              </w:rPr>
              <w:t>夜间（02:54-03:04）</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1EDE5F23">
            <w:pPr>
              <w:widowControl/>
              <w:jc w:val="center"/>
              <w:textAlignment w:val="center"/>
              <w:rPr>
                <w:szCs w:val="21"/>
              </w:rPr>
            </w:pPr>
            <w:r>
              <w:rPr>
                <w:kern w:val="0"/>
                <w:szCs w:val="21"/>
                <w:lang w:bidi="ar"/>
              </w:rPr>
              <w:t>39</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2740D94">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BCDBE91">
            <w:pPr>
              <w:widowControl/>
              <w:jc w:val="center"/>
              <w:textAlignment w:val="center"/>
              <w:rPr>
                <w:szCs w:val="21"/>
              </w:rPr>
            </w:pPr>
            <w:r>
              <w:rPr>
                <w:kern w:val="0"/>
                <w:szCs w:val="21"/>
                <w:lang w:bidi="ar"/>
              </w:rPr>
              <w:t>达标</w:t>
            </w:r>
          </w:p>
        </w:tc>
      </w:tr>
      <w:tr w14:paraId="050D2EAB">
        <w:tblPrEx>
          <w:tblCellMar>
            <w:top w:w="0" w:type="dxa"/>
            <w:left w:w="108" w:type="dxa"/>
            <w:bottom w:w="0" w:type="dxa"/>
            <w:right w:w="108" w:type="dxa"/>
          </w:tblCellMar>
        </w:tblPrEx>
        <w:trPr>
          <w:trHeight w:val="307"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BB9596">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B7B087D">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3065C278">
            <w:pPr>
              <w:widowControl/>
              <w:jc w:val="center"/>
              <w:textAlignment w:val="center"/>
              <w:rPr>
                <w:szCs w:val="21"/>
              </w:rPr>
            </w:pPr>
            <w:r>
              <w:rPr>
                <w:kern w:val="0"/>
                <w:szCs w:val="21"/>
                <w:lang w:bidi="ar"/>
              </w:rPr>
              <w:t>昼间（11:52-12:02）</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52A250C2">
            <w:pPr>
              <w:widowControl/>
              <w:jc w:val="center"/>
              <w:textAlignment w:val="center"/>
              <w:rPr>
                <w:szCs w:val="21"/>
              </w:rPr>
            </w:pPr>
            <w:r>
              <w:rPr>
                <w:kern w:val="0"/>
                <w:szCs w:val="21"/>
                <w:lang w:bidi="ar"/>
              </w:rPr>
              <w:t>46</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18309397">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E156FBE">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77E078">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63ED90E">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0F30106">
            <w:pPr>
              <w:widowControl/>
              <w:jc w:val="center"/>
              <w:textAlignment w:val="center"/>
              <w:rPr>
                <w:szCs w:val="21"/>
              </w:rPr>
            </w:pPr>
            <w:r>
              <w:rPr>
                <w:kern w:val="0"/>
                <w:szCs w:val="21"/>
                <w:lang w:bidi="ar"/>
              </w:rPr>
              <w:t>昼间（15:03-15:13）</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7AE116D">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11FAF726">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5E1910A">
            <w:pPr>
              <w:widowControl/>
              <w:jc w:val="center"/>
              <w:textAlignment w:val="center"/>
              <w:rPr>
                <w:szCs w:val="21"/>
              </w:rPr>
            </w:pPr>
            <w:r>
              <w:rPr>
                <w:kern w:val="0"/>
                <w:szCs w:val="21"/>
                <w:lang w:bidi="ar"/>
              </w:rPr>
              <w:t>达标</w:t>
            </w:r>
          </w:p>
        </w:tc>
      </w:tr>
      <w:tr w14:paraId="41FD4378">
        <w:tblPrEx>
          <w:tblCellMar>
            <w:top w:w="0" w:type="dxa"/>
            <w:left w:w="108" w:type="dxa"/>
            <w:bottom w:w="0" w:type="dxa"/>
            <w:right w:w="108" w:type="dxa"/>
          </w:tblCellMar>
        </w:tblPrEx>
        <w:trPr>
          <w:trHeight w:val="283"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113CF0">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B67FC96">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53BAA0D">
            <w:pPr>
              <w:widowControl/>
              <w:jc w:val="center"/>
              <w:textAlignment w:val="center"/>
              <w:rPr>
                <w:szCs w:val="21"/>
              </w:rPr>
            </w:pPr>
            <w:r>
              <w:rPr>
                <w:kern w:val="0"/>
                <w:szCs w:val="21"/>
                <w:lang w:bidi="ar"/>
              </w:rPr>
              <w:t>夜间（23:27-23:37）</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F3030BE">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6BF516A1">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7475064">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81CD6E">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5CAB814">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043A2411">
            <w:pPr>
              <w:widowControl/>
              <w:jc w:val="center"/>
              <w:textAlignment w:val="center"/>
              <w:rPr>
                <w:szCs w:val="21"/>
              </w:rPr>
            </w:pPr>
            <w:r>
              <w:rPr>
                <w:kern w:val="0"/>
                <w:szCs w:val="21"/>
                <w:lang w:bidi="ar"/>
              </w:rPr>
              <w:t>夜间（02:46-02:56）</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2A804B7">
            <w:pPr>
              <w:widowControl/>
              <w:jc w:val="center"/>
              <w:textAlignment w:val="center"/>
              <w:rPr>
                <w:szCs w:val="21"/>
              </w:rPr>
            </w:pPr>
            <w:r>
              <w:rPr>
                <w:kern w:val="0"/>
                <w:szCs w:val="21"/>
                <w:lang w:bidi="ar"/>
              </w:rPr>
              <w:t>40</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904B6F1">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B9032D2">
            <w:pPr>
              <w:widowControl/>
              <w:jc w:val="center"/>
              <w:textAlignment w:val="center"/>
              <w:rPr>
                <w:szCs w:val="21"/>
              </w:rPr>
            </w:pPr>
            <w:r>
              <w:rPr>
                <w:kern w:val="0"/>
                <w:szCs w:val="21"/>
                <w:lang w:bidi="ar"/>
              </w:rPr>
              <w:t>达标</w:t>
            </w:r>
          </w:p>
        </w:tc>
      </w:tr>
      <w:tr w14:paraId="423DEF69">
        <w:tblPrEx>
          <w:tblCellMar>
            <w:top w:w="0" w:type="dxa"/>
            <w:left w:w="108" w:type="dxa"/>
            <w:bottom w:w="0" w:type="dxa"/>
            <w:right w:w="108" w:type="dxa"/>
          </w:tblCellMar>
        </w:tblPrEx>
        <w:trPr>
          <w:trHeight w:val="270"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49A8A8C6">
            <w:pPr>
              <w:widowControl/>
              <w:jc w:val="center"/>
              <w:textAlignment w:val="center"/>
              <w:rPr>
                <w:szCs w:val="21"/>
              </w:rPr>
            </w:pPr>
            <w:r>
              <w:rPr>
                <w:kern w:val="0"/>
                <w:szCs w:val="21"/>
                <w:lang w:bidi="ar"/>
              </w:rPr>
              <w:t>地块一南侧养殖区厂界（N6）</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8F29EBF">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68DC91E0">
            <w:pPr>
              <w:widowControl/>
              <w:jc w:val="center"/>
              <w:textAlignment w:val="center"/>
              <w:rPr>
                <w:szCs w:val="21"/>
              </w:rPr>
            </w:pPr>
            <w:r>
              <w:rPr>
                <w:kern w:val="0"/>
                <w:szCs w:val="21"/>
                <w:lang w:bidi="ar"/>
              </w:rPr>
              <w:t>昼间（11:54-12:04）</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A22665F">
            <w:pPr>
              <w:widowControl/>
              <w:jc w:val="center"/>
              <w:textAlignment w:val="center"/>
              <w:rPr>
                <w:szCs w:val="21"/>
              </w:rPr>
            </w:pPr>
            <w:r>
              <w:rPr>
                <w:kern w:val="0"/>
                <w:szCs w:val="21"/>
                <w:lang w:bidi="ar"/>
              </w:rPr>
              <w:t>47</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729611C">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11A3BDC">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41911F38">
            <w:pPr>
              <w:widowControl/>
              <w:jc w:val="center"/>
              <w:textAlignment w:val="center"/>
              <w:rPr>
                <w:szCs w:val="21"/>
              </w:rPr>
            </w:pPr>
            <w:r>
              <w:rPr>
                <w:kern w:val="0"/>
                <w:szCs w:val="21"/>
                <w:lang w:bidi="ar"/>
              </w:rPr>
              <w:t>地块二北侧养殖区厂界北（N16）</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AE813FF">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DA973FC">
            <w:pPr>
              <w:widowControl/>
              <w:jc w:val="center"/>
              <w:textAlignment w:val="center"/>
              <w:rPr>
                <w:szCs w:val="21"/>
              </w:rPr>
            </w:pPr>
            <w:r>
              <w:rPr>
                <w:kern w:val="0"/>
                <w:szCs w:val="21"/>
                <w:lang w:bidi="ar"/>
              </w:rPr>
              <w:t>昼间（15:17-15:27）</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6D87CD1">
            <w:pPr>
              <w:widowControl/>
              <w:jc w:val="center"/>
              <w:textAlignment w:val="center"/>
              <w:rPr>
                <w:szCs w:val="21"/>
              </w:rPr>
            </w:pPr>
            <w:r>
              <w:rPr>
                <w:kern w:val="0"/>
                <w:szCs w:val="21"/>
                <w:lang w:bidi="ar"/>
              </w:rPr>
              <w:t>48</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5A08EDD">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581A02F">
            <w:pPr>
              <w:widowControl/>
              <w:jc w:val="center"/>
              <w:textAlignment w:val="center"/>
              <w:rPr>
                <w:szCs w:val="21"/>
              </w:rPr>
            </w:pPr>
            <w:r>
              <w:rPr>
                <w:kern w:val="0"/>
                <w:szCs w:val="21"/>
                <w:lang w:bidi="ar"/>
              </w:rPr>
              <w:t>达标</w:t>
            </w:r>
          </w:p>
        </w:tc>
      </w:tr>
      <w:tr w14:paraId="6099454C">
        <w:tblPrEx>
          <w:tblCellMar>
            <w:top w:w="0" w:type="dxa"/>
            <w:left w:w="108" w:type="dxa"/>
            <w:bottom w:w="0" w:type="dxa"/>
            <w:right w:w="108" w:type="dxa"/>
          </w:tblCellMar>
        </w:tblPrEx>
        <w:trPr>
          <w:trHeight w:val="238"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81C2FB">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735422B">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06757DB4">
            <w:pPr>
              <w:widowControl/>
              <w:jc w:val="center"/>
              <w:textAlignment w:val="center"/>
              <w:rPr>
                <w:szCs w:val="21"/>
              </w:rPr>
            </w:pPr>
            <w:r>
              <w:rPr>
                <w:kern w:val="0"/>
                <w:szCs w:val="21"/>
                <w:lang w:bidi="ar"/>
              </w:rPr>
              <w:t>夜间（23:52-00:02）</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3FA8A19">
            <w:pPr>
              <w:widowControl/>
              <w:jc w:val="center"/>
              <w:textAlignment w:val="center"/>
              <w:rPr>
                <w:szCs w:val="21"/>
              </w:rPr>
            </w:pPr>
            <w:r>
              <w:rPr>
                <w:kern w:val="0"/>
                <w:szCs w:val="21"/>
                <w:lang w:bidi="ar"/>
              </w:rPr>
              <w:t>39</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38D89F9C">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D2898DD">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2C5D81">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A821477">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151CA00F">
            <w:pPr>
              <w:widowControl/>
              <w:jc w:val="center"/>
              <w:textAlignment w:val="center"/>
              <w:rPr>
                <w:szCs w:val="21"/>
              </w:rPr>
            </w:pPr>
            <w:r>
              <w:rPr>
                <w:kern w:val="0"/>
                <w:szCs w:val="21"/>
                <w:lang w:bidi="ar"/>
              </w:rPr>
              <w:t>夜间（03:09-03:19）</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410EE13">
            <w:pPr>
              <w:widowControl/>
              <w:jc w:val="center"/>
              <w:textAlignment w:val="center"/>
              <w:rPr>
                <w:szCs w:val="21"/>
              </w:rPr>
            </w:pPr>
            <w:r>
              <w:rPr>
                <w:kern w:val="0"/>
                <w:szCs w:val="21"/>
                <w:lang w:bidi="ar"/>
              </w:rPr>
              <w:t>40</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57A9919">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4BFBC5D2">
            <w:pPr>
              <w:widowControl/>
              <w:jc w:val="center"/>
              <w:textAlignment w:val="center"/>
              <w:rPr>
                <w:szCs w:val="21"/>
              </w:rPr>
            </w:pPr>
            <w:r>
              <w:rPr>
                <w:kern w:val="0"/>
                <w:szCs w:val="21"/>
                <w:lang w:bidi="ar"/>
              </w:rPr>
              <w:t>达标</w:t>
            </w:r>
          </w:p>
        </w:tc>
      </w:tr>
      <w:tr w14:paraId="670A71F4">
        <w:tblPrEx>
          <w:tblCellMar>
            <w:top w:w="0" w:type="dxa"/>
            <w:left w:w="108" w:type="dxa"/>
            <w:bottom w:w="0" w:type="dxa"/>
            <w:right w:w="108" w:type="dxa"/>
          </w:tblCellMar>
        </w:tblPrEx>
        <w:trPr>
          <w:trHeight w:val="232"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C5D448">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781FE022">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8E38C20">
            <w:pPr>
              <w:widowControl/>
              <w:jc w:val="center"/>
              <w:textAlignment w:val="center"/>
              <w:rPr>
                <w:szCs w:val="21"/>
              </w:rPr>
            </w:pPr>
            <w:r>
              <w:rPr>
                <w:kern w:val="0"/>
                <w:szCs w:val="21"/>
                <w:lang w:bidi="ar"/>
              </w:rPr>
              <w:t>昼间（12:05-12:15）</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2C75155">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D9DAC86">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3368549">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E2E721">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5B5A0C1">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51F4173">
            <w:pPr>
              <w:widowControl/>
              <w:jc w:val="center"/>
              <w:textAlignment w:val="center"/>
              <w:rPr>
                <w:szCs w:val="21"/>
              </w:rPr>
            </w:pPr>
            <w:r>
              <w:rPr>
                <w:kern w:val="0"/>
                <w:szCs w:val="21"/>
                <w:lang w:bidi="ar"/>
              </w:rPr>
              <w:t>昼间（15:19-15:29）</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17513C67">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DD43B66">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C207DFE">
            <w:pPr>
              <w:widowControl/>
              <w:jc w:val="center"/>
              <w:textAlignment w:val="center"/>
              <w:rPr>
                <w:szCs w:val="21"/>
              </w:rPr>
            </w:pPr>
            <w:r>
              <w:rPr>
                <w:kern w:val="0"/>
                <w:szCs w:val="21"/>
                <w:lang w:bidi="ar"/>
              </w:rPr>
              <w:t>达标</w:t>
            </w:r>
          </w:p>
        </w:tc>
      </w:tr>
      <w:tr w14:paraId="5322C21F">
        <w:tblPrEx>
          <w:tblCellMar>
            <w:top w:w="0" w:type="dxa"/>
            <w:left w:w="108" w:type="dxa"/>
            <w:bottom w:w="0" w:type="dxa"/>
            <w:right w:w="108" w:type="dxa"/>
          </w:tblCellMar>
        </w:tblPrEx>
        <w:trPr>
          <w:trHeight w:val="308"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229F4B">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6D3047A">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74A11DD">
            <w:pPr>
              <w:widowControl/>
              <w:jc w:val="center"/>
              <w:textAlignment w:val="center"/>
              <w:rPr>
                <w:szCs w:val="21"/>
              </w:rPr>
            </w:pPr>
            <w:r>
              <w:rPr>
                <w:kern w:val="0"/>
                <w:szCs w:val="21"/>
                <w:lang w:bidi="ar"/>
              </w:rPr>
              <w:t>夜间（23:43-23:53）</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9F689FD">
            <w:pPr>
              <w:widowControl/>
              <w:jc w:val="center"/>
              <w:textAlignment w:val="center"/>
              <w:rPr>
                <w:szCs w:val="21"/>
              </w:rPr>
            </w:pPr>
            <w:r>
              <w:rPr>
                <w:kern w:val="0"/>
                <w:szCs w:val="21"/>
                <w:lang w:bidi="ar"/>
              </w:rPr>
              <w:t>41</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40F98F4D">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B1FB4C">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388584">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635E84F">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D416BA8">
            <w:pPr>
              <w:widowControl/>
              <w:jc w:val="center"/>
              <w:textAlignment w:val="center"/>
              <w:rPr>
                <w:szCs w:val="21"/>
              </w:rPr>
            </w:pPr>
            <w:r>
              <w:rPr>
                <w:kern w:val="0"/>
                <w:szCs w:val="21"/>
                <w:lang w:bidi="ar"/>
              </w:rPr>
              <w:t>夜间（03:02-03:12）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E211986">
            <w:pPr>
              <w:widowControl/>
              <w:jc w:val="center"/>
              <w:textAlignment w:val="center"/>
              <w:rPr>
                <w:szCs w:val="21"/>
              </w:rPr>
            </w:pPr>
            <w:r>
              <w:rPr>
                <w:kern w:val="0"/>
                <w:szCs w:val="21"/>
                <w:lang w:bidi="ar"/>
              </w:rPr>
              <w:t>42</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2FDAB50">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35159B3B">
            <w:pPr>
              <w:widowControl/>
              <w:jc w:val="center"/>
              <w:textAlignment w:val="center"/>
              <w:rPr>
                <w:szCs w:val="21"/>
              </w:rPr>
            </w:pPr>
            <w:r>
              <w:rPr>
                <w:kern w:val="0"/>
                <w:szCs w:val="21"/>
                <w:lang w:bidi="ar"/>
              </w:rPr>
              <w:t>达标</w:t>
            </w:r>
          </w:p>
        </w:tc>
      </w:tr>
      <w:tr w14:paraId="074BD220">
        <w:tblPrEx>
          <w:tblCellMar>
            <w:top w:w="0" w:type="dxa"/>
            <w:left w:w="108" w:type="dxa"/>
            <w:bottom w:w="0" w:type="dxa"/>
            <w:right w:w="108" w:type="dxa"/>
          </w:tblCellMar>
        </w:tblPrEx>
        <w:trPr>
          <w:trHeight w:val="295"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6DE3028E">
            <w:pPr>
              <w:widowControl/>
              <w:jc w:val="center"/>
              <w:textAlignment w:val="center"/>
              <w:rPr>
                <w:szCs w:val="21"/>
              </w:rPr>
            </w:pPr>
            <w:r>
              <w:rPr>
                <w:kern w:val="0"/>
                <w:szCs w:val="21"/>
                <w:lang w:bidi="ar"/>
              </w:rPr>
              <w:t>地块一南侧养殖区厂界西（N7）</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6579B249">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1324DA2D">
            <w:pPr>
              <w:widowControl/>
              <w:jc w:val="center"/>
              <w:textAlignment w:val="center"/>
              <w:rPr>
                <w:szCs w:val="21"/>
              </w:rPr>
            </w:pPr>
            <w:r>
              <w:rPr>
                <w:kern w:val="0"/>
                <w:szCs w:val="21"/>
                <w:lang w:bidi="ar"/>
              </w:rPr>
              <w:t>昼间（12:06-12:16）</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763ADDB">
            <w:pPr>
              <w:widowControl/>
              <w:jc w:val="center"/>
              <w:textAlignment w:val="center"/>
              <w:rPr>
                <w:szCs w:val="21"/>
              </w:rPr>
            </w:pPr>
            <w:r>
              <w:rPr>
                <w:kern w:val="0"/>
                <w:szCs w:val="21"/>
                <w:lang w:bidi="ar"/>
              </w:rPr>
              <w:t>47</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CE12759">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F6005C3">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142D5601">
            <w:pPr>
              <w:widowControl/>
              <w:jc w:val="center"/>
              <w:textAlignment w:val="center"/>
              <w:rPr>
                <w:szCs w:val="21"/>
              </w:rPr>
            </w:pPr>
            <w:r>
              <w:rPr>
                <w:kern w:val="0"/>
                <w:szCs w:val="21"/>
                <w:lang w:bidi="ar"/>
              </w:rPr>
              <w:t>地块二南侧养殖区厂界东（N17）</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B22F63D">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6F73A44">
            <w:pPr>
              <w:widowControl/>
              <w:jc w:val="center"/>
              <w:textAlignment w:val="center"/>
              <w:rPr>
                <w:szCs w:val="21"/>
              </w:rPr>
            </w:pPr>
            <w:r>
              <w:rPr>
                <w:kern w:val="0"/>
                <w:szCs w:val="21"/>
                <w:lang w:bidi="ar"/>
              </w:rPr>
              <w:t>昼间（16:07-16:17）</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EB2AD03">
            <w:pPr>
              <w:widowControl/>
              <w:jc w:val="center"/>
              <w:textAlignment w:val="center"/>
              <w:rPr>
                <w:szCs w:val="21"/>
              </w:rPr>
            </w:pPr>
            <w:r>
              <w:rPr>
                <w:kern w:val="0"/>
                <w:szCs w:val="21"/>
                <w:lang w:bidi="ar"/>
              </w:rPr>
              <w:t>45</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5081224">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56703341">
            <w:pPr>
              <w:widowControl/>
              <w:jc w:val="center"/>
              <w:textAlignment w:val="center"/>
              <w:rPr>
                <w:szCs w:val="21"/>
              </w:rPr>
            </w:pPr>
            <w:r>
              <w:rPr>
                <w:kern w:val="0"/>
                <w:szCs w:val="21"/>
                <w:lang w:bidi="ar"/>
              </w:rPr>
              <w:t>达标</w:t>
            </w:r>
          </w:p>
        </w:tc>
      </w:tr>
      <w:tr w14:paraId="70B04C61">
        <w:tblPrEx>
          <w:tblCellMar>
            <w:top w:w="0" w:type="dxa"/>
            <w:left w:w="108" w:type="dxa"/>
            <w:bottom w:w="0" w:type="dxa"/>
            <w:right w:w="108" w:type="dxa"/>
          </w:tblCellMar>
        </w:tblPrEx>
        <w:trPr>
          <w:trHeight w:val="300"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2E5AE4">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7146D43">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0189E6E2">
            <w:pPr>
              <w:widowControl/>
              <w:jc w:val="center"/>
              <w:textAlignment w:val="center"/>
              <w:rPr>
                <w:szCs w:val="21"/>
              </w:rPr>
            </w:pPr>
            <w:r>
              <w:rPr>
                <w:kern w:val="0"/>
                <w:szCs w:val="21"/>
                <w:lang w:bidi="ar"/>
              </w:rPr>
              <w:t>夜间（00:06-00:16）</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441DFD16">
            <w:pPr>
              <w:widowControl/>
              <w:jc w:val="center"/>
              <w:textAlignment w:val="center"/>
              <w:rPr>
                <w:szCs w:val="21"/>
              </w:rPr>
            </w:pPr>
            <w:r>
              <w:rPr>
                <w:kern w:val="0"/>
                <w:szCs w:val="21"/>
                <w:lang w:bidi="ar"/>
              </w:rPr>
              <w:t>38</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61E5E89F">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BF3C2E5">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CF0F97">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60901D8">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6AE392A1">
            <w:pPr>
              <w:widowControl/>
              <w:jc w:val="center"/>
              <w:textAlignment w:val="center"/>
              <w:rPr>
                <w:szCs w:val="21"/>
              </w:rPr>
            </w:pPr>
            <w:r>
              <w:rPr>
                <w:kern w:val="0"/>
                <w:szCs w:val="21"/>
                <w:lang w:bidi="ar"/>
              </w:rPr>
              <w:t>夜间（03:37-03:47）</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9722373">
            <w:pPr>
              <w:widowControl/>
              <w:jc w:val="center"/>
              <w:textAlignment w:val="center"/>
              <w:rPr>
                <w:szCs w:val="21"/>
              </w:rPr>
            </w:pPr>
            <w:r>
              <w:rPr>
                <w:kern w:val="0"/>
                <w:szCs w:val="21"/>
                <w:lang w:bidi="ar"/>
              </w:rPr>
              <w:t>40</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E546680">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5FA3B05C">
            <w:pPr>
              <w:widowControl/>
              <w:jc w:val="center"/>
              <w:textAlignment w:val="center"/>
              <w:rPr>
                <w:szCs w:val="21"/>
              </w:rPr>
            </w:pPr>
            <w:r>
              <w:rPr>
                <w:kern w:val="0"/>
                <w:szCs w:val="21"/>
                <w:lang w:bidi="ar"/>
              </w:rPr>
              <w:t>达标</w:t>
            </w:r>
          </w:p>
        </w:tc>
      </w:tr>
      <w:tr w14:paraId="601D3571">
        <w:tblPrEx>
          <w:tblCellMar>
            <w:top w:w="0" w:type="dxa"/>
            <w:left w:w="108" w:type="dxa"/>
            <w:bottom w:w="0" w:type="dxa"/>
            <w:right w:w="108" w:type="dxa"/>
          </w:tblCellMar>
        </w:tblPrEx>
        <w:trPr>
          <w:trHeight w:val="29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0374A6">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6D1E855">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6681F8C2">
            <w:pPr>
              <w:widowControl/>
              <w:jc w:val="center"/>
              <w:textAlignment w:val="center"/>
              <w:rPr>
                <w:szCs w:val="21"/>
              </w:rPr>
            </w:pPr>
            <w:r>
              <w:rPr>
                <w:kern w:val="0"/>
                <w:szCs w:val="21"/>
                <w:lang w:bidi="ar"/>
              </w:rPr>
              <w:t>昼间（12:17-12:27）</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529C42D">
            <w:pPr>
              <w:widowControl/>
              <w:jc w:val="center"/>
              <w:textAlignment w:val="center"/>
              <w:rPr>
                <w:szCs w:val="21"/>
              </w:rPr>
            </w:pPr>
            <w:r>
              <w:rPr>
                <w:kern w:val="0"/>
                <w:szCs w:val="21"/>
                <w:lang w:bidi="ar"/>
              </w:rPr>
              <w:t>47</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212B711">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77D329D">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6BFEFB">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B7B7F2B">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7D19B5D">
            <w:pPr>
              <w:widowControl/>
              <w:jc w:val="center"/>
              <w:textAlignment w:val="center"/>
              <w:rPr>
                <w:szCs w:val="21"/>
              </w:rPr>
            </w:pPr>
            <w:r>
              <w:rPr>
                <w:kern w:val="0"/>
                <w:szCs w:val="21"/>
                <w:lang w:bidi="ar"/>
              </w:rPr>
              <w:t>昼间（15:32-15:42）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12AF257">
            <w:pPr>
              <w:widowControl/>
              <w:jc w:val="center"/>
              <w:textAlignment w:val="center"/>
              <w:rPr>
                <w:szCs w:val="21"/>
              </w:rPr>
            </w:pPr>
            <w:r>
              <w:rPr>
                <w:kern w:val="0"/>
                <w:szCs w:val="21"/>
                <w:lang w:bidi="ar"/>
              </w:rPr>
              <w:t>45</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C122C1E">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6DEBCD45">
            <w:pPr>
              <w:widowControl/>
              <w:jc w:val="center"/>
              <w:textAlignment w:val="center"/>
              <w:rPr>
                <w:szCs w:val="21"/>
              </w:rPr>
            </w:pPr>
            <w:r>
              <w:rPr>
                <w:kern w:val="0"/>
                <w:szCs w:val="21"/>
                <w:lang w:bidi="ar"/>
              </w:rPr>
              <w:t>达标</w:t>
            </w:r>
          </w:p>
        </w:tc>
      </w:tr>
      <w:tr w14:paraId="49AC13AA">
        <w:tblPrEx>
          <w:tblCellMar>
            <w:top w:w="0" w:type="dxa"/>
            <w:left w:w="108" w:type="dxa"/>
            <w:bottom w:w="0" w:type="dxa"/>
            <w:right w:w="108" w:type="dxa"/>
          </w:tblCellMar>
        </w:tblPrEx>
        <w:trPr>
          <w:trHeight w:val="29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BE9C5F">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9EBC59E">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09B6168D">
            <w:pPr>
              <w:widowControl/>
              <w:jc w:val="center"/>
              <w:textAlignment w:val="center"/>
              <w:rPr>
                <w:szCs w:val="21"/>
              </w:rPr>
            </w:pPr>
            <w:r>
              <w:rPr>
                <w:kern w:val="0"/>
                <w:szCs w:val="21"/>
                <w:lang w:bidi="ar"/>
              </w:rPr>
              <w:t>夜间（23:59-00:09）</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91E9105">
            <w:pPr>
              <w:widowControl/>
              <w:jc w:val="center"/>
              <w:textAlignment w:val="center"/>
              <w:rPr>
                <w:szCs w:val="21"/>
              </w:rPr>
            </w:pPr>
            <w:r>
              <w:rPr>
                <w:kern w:val="0"/>
                <w:szCs w:val="21"/>
                <w:lang w:bidi="ar"/>
              </w:rPr>
              <w:t>39</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5BB5904">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8AF117C">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DE6E8F">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D2BC5DF">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2E5C20D5">
            <w:pPr>
              <w:widowControl/>
              <w:jc w:val="center"/>
              <w:textAlignment w:val="center"/>
              <w:rPr>
                <w:szCs w:val="21"/>
              </w:rPr>
            </w:pPr>
            <w:r>
              <w:rPr>
                <w:kern w:val="0"/>
                <w:szCs w:val="21"/>
                <w:lang w:bidi="ar"/>
              </w:rPr>
              <w:t>夜间（03:26-03:36）</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2A0A5F7C">
            <w:pPr>
              <w:widowControl/>
              <w:jc w:val="center"/>
              <w:textAlignment w:val="center"/>
              <w:rPr>
                <w:szCs w:val="21"/>
              </w:rPr>
            </w:pPr>
            <w:r>
              <w:rPr>
                <w:kern w:val="0"/>
                <w:szCs w:val="21"/>
                <w:lang w:bidi="ar"/>
              </w:rPr>
              <w:t>39</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A226474">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E1ABF71">
            <w:pPr>
              <w:widowControl/>
              <w:jc w:val="center"/>
              <w:textAlignment w:val="center"/>
              <w:rPr>
                <w:szCs w:val="21"/>
              </w:rPr>
            </w:pPr>
            <w:r>
              <w:rPr>
                <w:kern w:val="0"/>
                <w:szCs w:val="21"/>
                <w:lang w:bidi="ar"/>
              </w:rPr>
              <w:t>达标</w:t>
            </w:r>
          </w:p>
        </w:tc>
      </w:tr>
      <w:tr w14:paraId="63C5AAB3">
        <w:tblPrEx>
          <w:tblCellMar>
            <w:top w:w="0" w:type="dxa"/>
            <w:left w:w="108" w:type="dxa"/>
            <w:bottom w:w="0" w:type="dxa"/>
            <w:right w:w="108" w:type="dxa"/>
          </w:tblCellMar>
        </w:tblPrEx>
        <w:trPr>
          <w:trHeight w:val="245"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13A3AAD0">
            <w:pPr>
              <w:widowControl/>
              <w:jc w:val="center"/>
              <w:textAlignment w:val="center"/>
              <w:rPr>
                <w:szCs w:val="21"/>
              </w:rPr>
            </w:pPr>
            <w:r>
              <w:rPr>
                <w:kern w:val="0"/>
                <w:szCs w:val="21"/>
                <w:lang w:bidi="ar"/>
              </w:rPr>
              <w:t>地块一南侧养殖区厂界北（N8）</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79AA7012">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3E4578DF">
            <w:pPr>
              <w:widowControl/>
              <w:jc w:val="center"/>
              <w:textAlignment w:val="center"/>
              <w:rPr>
                <w:szCs w:val="21"/>
              </w:rPr>
            </w:pPr>
            <w:r>
              <w:rPr>
                <w:kern w:val="0"/>
                <w:szCs w:val="21"/>
                <w:lang w:bidi="ar"/>
              </w:rPr>
              <w:t>昼间（12:26-12:36）</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453DFC21">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016B1C2F">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F7861AF">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75A6E95C">
            <w:pPr>
              <w:widowControl/>
              <w:jc w:val="center"/>
              <w:textAlignment w:val="center"/>
              <w:rPr>
                <w:szCs w:val="21"/>
              </w:rPr>
            </w:pPr>
            <w:r>
              <w:rPr>
                <w:kern w:val="0"/>
                <w:szCs w:val="21"/>
                <w:lang w:bidi="ar"/>
              </w:rPr>
              <w:t>地块二南侧养殖区厂界南（N18）</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BBB3682">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D8293B1">
            <w:pPr>
              <w:widowControl/>
              <w:jc w:val="center"/>
              <w:textAlignment w:val="center"/>
              <w:rPr>
                <w:szCs w:val="21"/>
              </w:rPr>
            </w:pPr>
            <w:r>
              <w:rPr>
                <w:kern w:val="0"/>
                <w:szCs w:val="21"/>
                <w:lang w:bidi="ar"/>
              </w:rPr>
              <w:t>昼间（16:22-16:32）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61492125">
            <w:pPr>
              <w:widowControl/>
              <w:jc w:val="center"/>
              <w:textAlignment w:val="center"/>
              <w:rPr>
                <w:szCs w:val="21"/>
              </w:rPr>
            </w:pPr>
            <w:r>
              <w:rPr>
                <w:kern w:val="0"/>
                <w:szCs w:val="21"/>
                <w:lang w:bidi="ar"/>
              </w:rPr>
              <w:t>48</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0DE5253">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7696F1CF">
            <w:pPr>
              <w:widowControl/>
              <w:jc w:val="center"/>
              <w:textAlignment w:val="center"/>
              <w:rPr>
                <w:szCs w:val="21"/>
              </w:rPr>
            </w:pPr>
            <w:r>
              <w:rPr>
                <w:kern w:val="0"/>
                <w:szCs w:val="21"/>
                <w:lang w:bidi="ar"/>
              </w:rPr>
              <w:t>达标</w:t>
            </w:r>
          </w:p>
        </w:tc>
      </w:tr>
      <w:tr w14:paraId="31C01676">
        <w:tblPrEx>
          <w:tblCellMar>
            <w:top w:w="0" w:type="dxa"/>
            <w:left w:w="108" w:type="dxa"/>
            <w:bottom w:w="0" w:type="dxa"/>
            <w:right w:w="108" w:type="dxa"/>
          </w:tblCellMar>
        </w:tblPrEx>
        <w:trPr>
          <w:trHeight w:val="237"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4C58CF">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31B266C">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038E0E21">
            <w:pPr>
              <w:widowControl/>
              <w:jc w:val="center"/>
              <w:textAlignment w:val="center"/>
              <w:rPr>
                <w:szCs w:val="21"/>
              </w:rPr>
            </w:pPr>
            <w:r>
              <w:rPr>
                <w:kern w:val="0"/>
                <w:szCs w:val="21"/>
                <w:lang w:bidi="ar"/>
              </w:rPr>
              <w:t>夜间（00:21-00:31）</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BB104B6">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4E51FB6">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C29C74A">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7B4BF6">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72EFEDA">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C0010C4">
            <w:pPr>
              <w:widowControl/>
              <w:jc w:val="center"/>
              <w:textAlignment w:val="center"/>
              <w:rPr>
                <w:szCs w:val="21"/>
              </w:rPr>
            </w:pPr>
            <w:r>
              <w:rPr>
                <w:kern w:val="0"/>
                <w:szCs w:val="21"/>
                <w:lang w:bidi="ar"/>
              </w:rPr>
              <w:t>夜间（03:52-04:02）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25567520">
            <w:pPr>
              <w:widowControl/>
              <w:jc w:val="center"/>
              <w:textAlignment w:val="center"/>
              <w:rPr>
                <w:szCs w:val="21"/>
              </w:rPr>
            </w:pPr>
            <w:r>
              <w:rPr>
                <w:kern w:val="0"/>
                <w:szCs w:val="21"/>
                <w:lang w:bidi="ar"/>
              </w:rPr>
              <w:t>39</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203F4B0">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4621BC8D">
            <w:pPr>
              <w:widowControl/>
              <w:jc w:val="center"/>
              <w:textAlignment w:val="center"/>
              <w:rPr>
                <w:szCs w:val="21"/>
              </w:rPr>
            </w:pPr>
            <w:r>
              <w:rPr>
                <w:kern w:val="0"/>
                <w:szCs w:val="21"/>
                <w:lang w:bidi="ar"/>
              </w:rPr>
              <w:t>达标</w:t>
            </w:r>
          </w:p>
        </w:tc>
      </w:tr>
      <w:tr w14:paraId="52491788">
        <w:tblPrEx>
          <w:tblCellMar>
            <w:top w:w="0" w:type="dxa"/>
            <w:left w:w="108" w:type="dxa"/>
            <w:bottom w:w="0" w:type="dxa"/>
            <w:right w:w="108" w:type="dxa"/>
          </w:tblCellMar>
        </w:tblPrEx>
        <w:trPr>
          <w:trHeight w:val="29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A8E401">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5B48DA1">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543735ED">
            <w:pPr>
              <w:widowControl/>
              <w:jc w:val="center"/>
              <w:textAlignment w:val="center"/>
              <w:rPr>
                <w:szCs w:val="21"/>
              </w:rPr>
            </w:pPr>
            <w:r>
              <w:rPr>
                <w:kern w:val="0"/>
                <w:szCs w:val="21"/>
                <w:lang w:bidi="ar"/>
              </w:rPr>
              <w:t>昼间（12:29-12:39）</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5634D77">
            <w:pPr>
              <w:widowControl/>
              <w:jc w:val="center"/>
              <w:textAlignment w:val="center"/>
              <w:rPr>
                <w:szCs w:val="21"/>
              </w:rPr>
            </w:pPr>
            <w:r>
              <w:rPr>
                <w:kern w:val="0"/>
                <w:szCs w:val="21"/>
                <w:lang w:bidi="ar"/>
              </w:rPr>
              <w:t>48</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7BAFB5C2">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1DF845A">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135D97">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9EC7657">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C299E1A">
            <w:pPr>
              <w:widowControl/>
              <w:jc w:val="center"/>
              <w:textAlignment w:val="center"/>
              <w:rPr>
                <w:szCs w:val="21"/>
              </w:rPr>
            </w:pPr>
            <w:r>
              <w:rPr>
                <w:kern w:val="0"/>
                <w:szCs w:val="21"/>
                <w:lang w:bidi="ar"/>
              </w:rPr>
              <w:t>昼间（15:56-16:06）</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55C8D2C6">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82F91C1">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6A2FB99F">
            <w:pPr>
              <w:widowControl/>
              <w:jc w:val="center"/>
              <w:textAlignment w:val="center"/>
              <w:rPr>
                <w:szCs w:val="21"/>
              </w:rPr>
            </w:pPr>
            <w:r>
              <w:rPr>
                <w:kern w:val="0"/>
                <w:szCs w:val="21"/>
                <w:lang w:bidi="ar"/>
              </w:rPr>
              <w:t>达标</w:t>
            </w:r>
          </w:p>
        </w:tc>
      </w:tr>
      <w:tr w14:paraId="784D9AF8">
        <w:tblPrEx>
          <w:tblCellMar>
            <w:top w:w="0" w:type="dxa"/>
            <w:left w:w="108" w:type="dxa"/>
            <w:bottom w:w="0" w:type="dxa"/>
            <w:right w:w="108" w:type="dxa"/>
          </w:tblCellMar>
        </w:tblPrEx>
        <w:trPr>
          <w:trHeight w:val="307"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C7CB6E">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4491D9D">
            <w:pPr>
              <w:widowControl/>
              <w:jc w:val="center"/>
              <w:textAlignment w:val="center"/>
              <w:rPr>
                <w:szCs w:val="21"/>
              </w:rPr>
            </w:pPr>
            <w:r>
              <w:rPr>
                <w:kern w:val="0"/>
                <w:szCs w:val="21"/>
                <w:lang w:bidi="ar"/>
              </w:rPr>
              <w:t>2021/3/30</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3415737D">
            <w:pPr>
              <w:widowControl/>
              <w:jc w:val="center"/>
              <w:textAlignment w:val="center"/>
              <w:rPr>
                <w:szCs w:val="21"/>
              </w:rPr>
            </w:pPr>
            <w:r>
              <w:rPr>
                <w:kern w:val="0"/>
                <w:szCs w:val="21"/>
                <w:lang w:bidi="ar"/>
              </w:rPr>
              <w:t>夜间（00:15-00:25）</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6DC09E9">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50696D4">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F2FE6E1">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B42126">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83D4255">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FA5C9E9">
            <w:pPr>
              <w:widowControl/>
              <w:jc w:val="center"/>
              <w:textAlignment w:val="center"/>
              <w:rPr>
                <w:szCs w:val="21"/>
              </w:rPr>
            </w:pPr>
            <w:r>
              <w:rPr>
                <w:kern w:val="0"/>
                <w:szCs w:val="21"/>
                <w:lang w:bidi="ar"/>
              </w:rPr>
              <w:t>夜间（03:40-03:50）</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19D5FF96">
            <w:pPr>
              <w:widowControl/>
              <w:jc w:val="center"/>
              <w:textAlignment w:val="center"/>
              <w:rPr>
                <w:szCs w:val="21"/>
              </w:rPr>
            </w:pPr>
            <w:r>
              <w:rPr>
                <w:kern w:val="0"/>
                <w:szCs w:val="21"/>
                <w:lang w:bidi="ar"/>
              </w:rPr>
              <w:t>39</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8E82CC1">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AC5164A">
            <w:pPr>
              <w:widowControl/>
              <w:jc w:val="center"/>
              <w:textAlignment w:val="center"/>
              <w:rPr>
                <w:szCs w:val="21"/>
              </w:rPr>
            </w:pPr>
            <w:r>
              <w:rPr>
                <w:kern w:val="0"/>
                <w:szCs w:val="21"/>
                <w:lang w:bidi="ar"/>
              </w:rPr>
              <w:t>达标</w:t>
            </w:r>
          </w:p>
        </w:tc>
      </w:tr>
      <w:tr w14:paraId="29BD2DD1">
        <w:tblPrEx>
          <w:tblCellMar>
            <w:top w:w="0" w:type="dxa"/>
            <w:left w:w="108" w:type="dxa"/>
            <w:bottom w:w="0" w:type="dxa"/>
            <w:right w:w="108" w:type="dxa"/>
          </w:tblCellMar>
        </w:tblPrEx>
        <w:trPr>
          <w:trHeight w:val="245"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7E241C97">
            <w:pPr>
              <w:widowControl/>
              <w:jc w:val="center"/>
              <w:textAlignment w:val="center"/>
              <w:rPr>
                <w:szCs w:val="21"/>
              </w:rPr>
            </w:pPr>
            <w:r>
              <w:rPr>
                <w:kern w:val="0"/>
                <w:szCs w:val="21"/>
                <w:lang w:bidi="ar"/>
              </w:rPr>
              <w:t>地块一东侧养殖区厂界东（N9）</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BB3DCD7">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26EA0B29">
            <w:pPr>
              <w:widowControl/>
              <w:jc w:val="center"/>
              <w:textAlignment w:val="center"/>
              <w:rPr>
                <w:szCs w:val="21"/>
              </w:rPr>
            </w:pPr>
            <w:r>
              <w:rPr>
                <w:kern w:val="0"/>
                <w:szCs w:val="21"/>
                <w:lang w:bidi="ar"/>
              </w:rPr>
              <w:t>昼间（12:56-13:06）</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C2A223C">
            <w:pPr>
              <w:widowControl/>
              <w:jc w:val="center"/>
              <w:textAlignment w:val="center"/>
              <w:rPr>
                <w:szCs w:val="21"/>
              </w:rPr>
            </w:pPr>
            <w:r>
              <w:rPr>
                <w:kern w:val="0"/>
                <w:szCs w:val="21"/>
                <w:lang w:bidi="ar"/>
              </w:rPr>
              <w:t>44</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679F8AC6">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E53ADC9">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4FC7D50B">
            <w:pPr>
              <w:widowControl/>
              <w:jc w:val="center"/>
              <w:textAlignment w:val="center"/>
              <w:rPr>
                <w:szCs w:val="21"/>
              </w:rPr>
            </w:pPr>
            <w:r>
              <w:rPr>
                <w:kern w:val="0"/>
                <w:szCs w:val="21"/>
                <w:lang w:bidi="ar"/>
              </w:rPr>
              <w:t>地块二南侧养殖区厂界西（N19）</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0EA6F66">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3F7D09C">
            <w:pPr>
              <w:widowControl/>
              <w:jc w:val="center"/>
              <w:textAlignment w:val="center"/>
              <w:rPr>
                <w:szCs w:val="21"/>
              </w:rPr>
            </w:pPr>
            <w:r>
              <w:rPr>
                <w:kern w:val="0"/>
                <w:szCs w:val="21"/>
                <w:lang w:bidi="ar"/>
              </w:rPr>
              <w:t>昼间（16:35-16:45）</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19A2EE7F">
            <w:pPr>
              <w:widowControl/>
              <w:jc w:val="center"/>
              <w:textAlignment w:val="center"/>
              <w:rPr>
                <w:szCs w:val="21"/>
              </w:rPr>
            </w:pPr>
            <w:r>
              <w:rPr>
                <w:kern w:val="0"/>
                <w:szCs w:val="21"/>
                <w:lang w:bidi="ar"/>
              </w:rPr>
              <w:t>46</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3B563225">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041B2CCE">
            <w:pPr>
              <w:widowControl/>
              <w:jc w:val="center"/>
              <w:textAlignment w:val="center"/>
              <w:rPr>
                <w:szCs w:val="21"/>
              </w:rPr>
            </w:pPr>
            <w:r>
              <w:rPr>
                <w:kern w:val="0"/>
                <w:szCs w:val="21"/>
                <w:lang w:bidi="ar"/>
              </w:rPr>
              <w:t>达标</w:t>
            </w:r>
          </w:p>
        </w:tc>
      </w:tr>
      <w:tr w14:paraId="0292DC9E">
        <w:tblPrEx>
          <w:tblCellMar>
            <w:top w:w="0" w:type="dxa"/>
            <w:left w:w="108" w:type="dxa"/>
            <w:bottom w:w="0" w:type="dxa"/>
            <w:right w:w="108" w:type="dxa"/>
          </w:tblCellMar>
        </w:tblPrEx>
        <w:trPr>
          <w:trHeight w:val="250"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15353B">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ACA6A78">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6F7C6067">
            <w:pPr>
              <w:widowControl/>
              <w:jc w:val="center"/>
              <w:textAlignment w:val="center"/>
              <w:rPr>
                <w:szCs w:val="21"/>
              </w:rPr>
            </w:pPr>
            <w:r>
              <w:rPr>
                <w:kern w:val="0"/>
                <w:szCs w:val="21"/>
                <w:lang w:bidi="ar"/>
              </w:rPr>
              <w:t>夜间（00:57-01:07）</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7FA04AA">
            <w:pPr>
              <w:widowControl/>
              <w:jc w:val="center"/>
              <w:textAlignment w:val="center"/>
              <w:rPr>
                <w:szCs w:val="21"/>
              </w:rPr>
            </w:pPr>
            <w:r>
              <w:rPr>
                <w:kern w:val="0"/>
                <w:szCs w:val="21"/>
                <w:lang w:bidi="ar"/>
              </w:rPr>
              <w:t>39</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7C446F82">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298F6E3">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5E4E3E">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1DFC5A9">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FD6711E">
            <w:pPr>
              <w:widowControl/>
              <w:jc w:val="center"/>
              <w:textAlignment w:val="center"/>
              <w:rPr>
                <w:szCs w:val="21"/>
              </w:rPr>
            </w:pPr>
            <w:r>
              <w:rPr>
                <w:kern w:val="0"/>
                <w:szCs w:val="21"/>
                <w:lang w:bidi="ar"/>
              </w:rPr>
              <w:t>夜间（04:07-04:17）</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AF5234C">
            <w:pPr>
              <w:widowControl/>
              <w:jc w:val="center"/>
              <w:textAlignment w:val="center"/>
              <w:rPr>
                <w:szCs w:val="21"/>
              </w:rPr>
            </w:pPr>
            <w:r>
              <w:rPr>
                <w:kern w:val="0"/>
                <w:szCs w:val="21"/>
                <w:lang w:bidi="ar"/>
              </w:rPr>
              <w:t>41</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7804011">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19F75232">
            <w:pPr>
              <w:widowControl/>
              <w:jc w:val="center"/>
              <w:textAlignment w:val="center"/>
              <w:rPr>
                <w:szCs w:val="21"/>
              </w:rPr>
            </w:pPr>
            <w:r>
              <w:rPr>
                <w:kern w:val="0"/>
                <w:szCs w:val="21"/>
                <w:lang w:bidi="ar"/>
              </w:rPr>
              <w:t>达标</w:t>
            </w:r>
          </w:p>
        </w:tc>
      </w:tr>
      <w:tr w14:paraId="1621EAFB">
        <w:tblPrEx>
          <w:tblCellMar>
            <w:top w:w="0" w:type="dxa"/>
            <w:left w:w="108" w:type="dxa"/>
            <w:bottom w:w="0" w:type="dxa"/>
            <w:right w:w="108" w:type="dxa"/>
          </w:tblCellMar>
        </w:tblPrEx>
        <w:trPr>
          <w:trHeight w:val="29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972BF0">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4B6D1D3">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E2D8807">
            <w:pPr>
              <w:widowControl/>
              <w:jc w:val="center"/>
              <w:textAlignment w:val="center"/>
              <w:rPr>
                <w:szCs w:val="21"/>
              </w:rPr>
            </w:pPr>
            <w:r>
              <w:rPr>
                <w:kern w:val="0"/>
                <w:szCs w:val="21"/>
                <w:lang w:bidi="ar"/>
              </w:rPr>
              <w:t>昼间（13:00-13:10）</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4F966FEB">
            <w:pPr>
              <w:widowControl/>
              <w:jc w:val="center"/>
              <w:textAlignment w:val="center"/>
              <w:rPr>
                <w:szCs w:val="21"/>
              </w:rPr>
            </w:pPr>
            <w:r>
              <w:rPr>
                <w:kern w:val="0"/>
                <w:szCs w:val="21"/>
                <w:lang w:bidi="ar"/>
              </w:rPr>
              <w:t>47</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7BBF21E6">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1F251D4">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BDC1AF">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09B1015">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02E7120F">
            <w:pPr>
              <w:widowControl/>
              <w:jc w:val="center"/>
              <w:textAlignment w:val="center"/>
              <w:rPr>
                <w:szCs w:val="21"/>
              </w:rPr>
            </w:pPr>
            <w:r>
              <w:rPr>
                <w:kern w:val="0"/>
                <w:szCs w:val="21"/>
                <w:lang w:bidi="ar"/>
              </w:rPr>
              <w:t>昼间（16:09-16:19）</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4AD6A59F">
            <w:pPr>
              <w:widowControl/>
              <w:jc w:val="center"/>
              <w:textAlignment w:val="center"/>
              <w:rPr>
                <w:szCs w:val="21"/>
              </w:rPr>
            </w:pPr>
            <w:r>
              <w:rPr>
                <w:kern w:val="0"/>
                <w:szCs w:val="21"/>
                <w:lang w:bidi="ar"/>
              </w:rPr>
              <w:t>46</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CE4D021">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3B76375A">
            <w:pPr>
              <w:widowControl/>
              <w:jc w:val="center"/>
              <w:textAlignment w:val="center"/>
              <w:rPr>
                <w:szCs w:val="21"/>
              </w:rPr>
            </w:pPr>
            <w:r>
              <w:rPr>
                <w:kern w:val="0"/>
                <w:szCs w:val="21"/>
                <w:lang w:bidi="ar"/>
              </w:rPr>
              <w:t>达标</w:t>
            </w:r>
          </w:p>
        </w:tc>
      </w:tr>
      <w:tr w14:paraId="741A1D20">
        <w:tblPrEx>
          <w:tblCellMar>
            <w:top w:w="0" w:type="dxa"/>
            <w:left w:w="108" w:type="dxa"/>
            <w:bottom w:w="0" w:type="dxa"/>
            <w:right w:w="108" w:type="dxa"/>
          </w:tblCellMar>
        </w:tblPrEx>
        <w:trPr>
          <w:trHeight w:val="358"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B6273F">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B0FEE6D">
            <w:pPr>
              <w:widowControl/>
              <w:jc w:val="center"/>
              <w:textAlignment w:val="center"/>
              <w:rPr>
                <w:szCs w:val="21"/>
              </w:rPr>
            </w:pPr>
            <w:r>
              <w:rPr>
                <w:kern w:val="0"/>
                <w:szCs w:val="21"/>
                <w:lang w:bidi="ar"/>
              </w:rPr>
              <w:t>2021/3/30</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B1435CC">
            <w:pPr>
              <w:widowControl/>
              <w:jc w:val="center"/>
              <w:textAlignment w:val="center"/>
              <w:rPr>
                <w:szCs w:val="21"/>
              </w:rPr>
            </w:pPr>
            <w:r>
              <w:rPr>
                <w:kern w:val="0"/>
                <w:szCs w:val="21"/>
                <w:lang w:bidi="ar"/>
              </w:rPr>
              <w:t>夜间（00:46-00:56）</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6EA7D1F0">
            <w:pPr>
              <w:widowControl/>
              <w:jc w:val="center"/>
              <w:textAlignment w:val="center"/>
              <w:rPr>
                <w:szCs w:val="21"/>
              </w:rPr>
            </w:pPr>
            <w:r>
              <w:rPr>
                <w:kern w:val="0"/>
                <w:szCs w:val="21"/>
                <w:lang w:bidi="ar"/>
              </w:rPr>
              <w:t>42</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1F089441">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D366B5">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606321">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21FDBEB">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6BF5AC6">
            <w:pPr>
              <w:widowControl/>
              <w:jc w:val="center"/>
              <w:textAlignment w:val="center"/>
              <w:rPr>
                <w:szCs w:val="21"/>
              </w:rPr>
            </w:pPr>
            <w:r>
              <w:rPr>
                <w:kern w:val="0"/>
                <w:szCs w:val="21"/>
                <w:lang w:bidi="ar"/>
              </w:rPr>
              <w:t>夜间（03:55-04:05）</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2C7C87A7">
            <w:pPr>
              <w:widowControl/>
              <w:jc w:val="center"/>
              <w:textAlignment w:val="center"/>
              <w:rPr>
                <w:szCs w:val="21"/>
              </w:rPr>
            </w:pPr>
            <w:r>
              <w:rPr>
                <w:kern w:val="0"/>
                <w:szCs w:val="21"/>
                <w:lang w:bidi="ar"/>
              </w:rPr>
              <w:t>41</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4512F561">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38E74555">
            <w:pPr>
              <w:widowControl/>
              <w:jc w:val="center"/>
              <w:textAlignment w:val="center"/>
              <w:rPr>
                <w:szCs w:val="21"/>
              </w:rPr>
            </w:pPr>
            <w:r>
              <w:rPr>
                <w:kern w:val="0"/>
                <w:szCs w:val="21"/>
                <w:lang w:bidi="ar"/>
              </w:rPr>
              <w:t>达标</w:t>
            </w:r>
          </w:p>
        </w:tc>
      </w:tr>
      <w:tr w14:paraId="693B7A47">
        <w:tblPrEx>
          <w:tblCellMar>
            <w:top w:w="0" w:type="dxa"/>
            <w:left w:w="108" w:type="dxa"/>
            <w:bottom w:w="0" w:type="dxa"/>
            <w:right w:w="108" w:type="dxa"/>
          </w:tblCellMar>
        </w:tblPrEx>
        <w:trPr>
          <w:trHeight w:val="245" w:hRule="atLeast"/>
        </w:trPr>
        <w:tc>
          <w:tcPr>
            <w:tcW w:w="391" w:type="pct"/>
            <w:vMerge w:val="restart"/>
            <w:tcBorders>
              <w:top w:val="single" w:color="000000" w:sz="4" w:space="0"/>
              <w:left w:val="single" w:color="000000" w:sz="4" w:space="0"/>
              <w:bottom w:val="single" w:color="000000" w:sz="4" w:space="0"/>
              <w:right w:val="single" w:color="000000" w:sz="4" w:space="0"/>
            </w:tcBorders>
            <w:noWrap w:val="0"/>
            <w:vAlign w:val="center"/>
          </w:tcPr>
          <w:p w14:paraId="612E8EA9">
            <w:pPr>
              <w:widowControl/>
              <w:jc w:val="center"/>
              <w:textAlignment w:val="center"/>
              <w:rPr>
                <w:szCs w:val="21"/>
              </w:rPr>
            </w:pPr>
            <w:r>
              <w:rPr>
                <w:kern w:val="0"/>
                <w:szCs w:val="21"/>
                <w:lang w:bidi="ar"/>
              </w:rPr>
              <w:t>地块一东侧养殖区厂界南（N10）</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394F958">
            <w:pPr>
              <w:widowControl/>
              <w:jc w:val="center"/>
              <w:textAlignment w:val="center"/>
              <w:rPr>
                <w:szCs w:val="21"/>
              </w:rPr>
            </w:pPr>
            <w:r>
              <w:rPr>
                <w:kern w:val="0"/>
                <w:szCs w:val="21"/>
                <w:lang w:bidi="ar"/>
              </w:rPr>
              <w:t>2021/3/28</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3398EF8">
            <w:pPr>
              <w:widowControl/>
              <w:jc w:val="center"/>
              <w:textAlignment w:val="center"/>
              <w:rPr>
                <w:szCs w:val="21"/>
              </w:rPr>
            </w:pPr>
            <w:r>
              <w:rPr>
                <w:kern w:val="0"/>
                <w:szCs w:val="21"/>
                <w:lang w:bidi="ar"/>
              </w:rPr>
              <w:t>昼间（13:13-13:23）</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7D0C1D81">
            <w:pPr>
              <w:widowControl/>
              <w:jc w:val="center"/>
              <w:textAlignment w:val="center"/>
              <w:rPr>
                <w:szCs w:val="21"/>
              </w:rPr>
            </w:pPr>
            <w:r>
              <w:rPr>
                <w:kern w:val="0"/>
                <w:szCs w:val="21"/>
                <w:lang w:bidi="ar"/>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E6DFC8F">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41C96A4">
            <w:pPr>
              <w:widowControl/>
              <w:jc w:val="center"/>
              <w:textAlignment w:val="center"/>
              <w:rPr>
                <w:szCs w:val="21"/>
              </w:rPr>
            </w:pPr>
            <w:r>
              <w:rPr>
                <w:kern w:val="0"/>
                <w:szCs w:val="21"/>
                <w:lang w:bidi="ar"/>
              </w:rPr>
              <w:t>达标</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14:paraId="6D762598">
            <w:pPr>
              <w:widowControl/>
              <w:jc w:val="center"/>
              <w:textAlignment w:val="center"/>
              <w:rPr>
                <w:szCs w:val="21"/>
              </w:rPr>
            </w:pPr>
            <w:r>
              <w:rPr>
                <w:kern w:val="0"/>
                <w:szCs w:val="21"/>
                <w:lang w:bidi="ar"/>
              </w:rPr>
              <w:t>地块二南侧养殖区厂界北（N20）</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9B7E111">
            <w:pPr>
              <w:widowControl/>
              <w:jc w:val="center"/>
              <w:textAlignment w:val="center"/>
              <w:rPr>
                <w:szCs w:val="21"/>
              </w:rPr>
            </w:pPr>
            <w:r>
              <w:rPr>
                <w:kern w:val="0"/>
                <w:szCs w:val="21"/>
                <w:lang w:bidi="ar"/>
              </w:rPr>
              <w:t>2021/3/28</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521BA30">
            <w:pPr>
              <w:widowControl/>
              <w:jc w:val="center"/>
              <w:textAlignment w:val="center"/>
              <w:rPr>
                <w:szCs w:val="21"/>
              </w:rPr>
            </w:pPr>
            <w:r>
              <w:rPr>
                <w:kern w:val="0"/>
                <w:szCs w:val="21"/>
                <w:lang w:bidi="ar"/>
              </w:rPr>
              <w:t>昼间（16:52-17:02）</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26DFD89A">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B4B95B">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11C1CC52">
            <w:pPr>
              <w:widowControl/>
              <w:jc w:val="center"/>
              <w:textAlignment w:val="center"/>
              <w:rPr>
                <w:szCs w:val="21"/>
              </w:rPr>
            </w:pPr>
            <w:r>
              <w:rPr>
                <w:kern w:val="0"/>
                <w:szCs w:val="21"/>
                <w:lang w:bidi="ar"/>
              </w:rPr>
              <w:t>达标</w:t>
            </w:r>
          </w:p>
        </w:tc>
      </w:tr>
      <w:tr w14:paraId="0A02644E">
        <w:tblPrEx>
          <w:tblCellMar>
            <w:top w:w="0" w:type="dxa"/>
            <w:left w:w="108" w:type="dxa"/>
            <w:bottom w:w="0" w:type="dxa"/>
            <w:right w:w="108" w:type="dxa"/>
          </w:tblCellMar>
        </w:tblPrEx>
        <w:trPr>
          <w:trHeight w:val="29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58ACF6">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F139B55">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7D909296">
            <w:pPr>
              <w:widowControl/>
              <w:jc w:val="center"/>
              <w:textAlignment w:val="center"/>
              <w:rPr>
                <w:szCs w:val="21"/>
              </w:rPr>
            </w:pPr>
            <w:r>
              <w:rPr>
                <w:kern w:val="0"/>
                <w:szCs w:val="21"/>
                <w:lang w:bidi="ar"/>
              </w:rPr>
              <w:t>夜间（01:12-01:22）</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5446FDF2">
            <w:pPr>
              <w:widowControl/>
              <w:jc w:val="center"/>
              <w:textAlignment w:val="center"/>
              <w:rPr>
                <w:szCs w:val="21"/>
              </w:rPr>
            </w:pPr>
            <w:r>
              <w:rPr>
                <w:kern w:val="0"/>
                <w:szCs w:val="21"/>
                <w:lang w:bidi="ar"/>
              </w:rPr>
              <w:t>40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59EC55C1">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5205189">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B1479D">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EF0A83F">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75C8498">
            <w:pPr>
              <w:widowControl/>
              <w:jc w:val="center"/>
              <w:textAlignment w:val="center"/>
              <w:rPr>
                <w:szCs w:val="21"/>
              </w:rPr>
            </w:pPr>
            <w:r>
              <w:rPr>
                <w:kern w:val="0"/>
                <w:szCs w:val="21"/>
                <w:lang w:bidi="ar"/>
              </w:rPr>
              <w:t>夜间（04:23-04:33）</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7DBE3B66">
            <w:pPr>
              <w:widowControl/>
              <w:jc w:val="center"/>
              <w:textAlignment w:val="center"/>
              <w:rPr>
                <w:szCs w:val="21"/>
              </w:rPr>
            </w:pPr>
            <w:r>
              <w:rPr>
                <w:kern w:val="0"/>
                <w:szCs w:val="21"/>
                <w:lang w:bidi="ar"/>
              </w:rPr>
              <w:t>39</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5160BB14">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531B88B1">
            <w:pPr>
              <w:widowControl/>
              <w:jc w:val="center"/>
              <w:textAlignment w:val="center"/>
              <w:rPr>
                <w:szCs w:val="21"/>
              </w:rPr>
            </w:pPr>
            <w:r>
              <w:rPr>
                <w:kern w:val="0"/>
                <w:szCs w:val="21"/>
                <w:lang w:bidi="ar"/>
              </w:rPr>
              <w:t>达标</w:t>
            </w:r>
          </w:p>
        </w:tc>
      </w:tr>
      <w:tr w14:paraId="6B4226BB">
        <w:tblPrEx>
          <w:tblCellMar>
            <w:top w:w="0" w:type="dxa"/>
            <w:left w:w="108" w:type="dxa"/>
            <w:bottom w:w="0" w:type="dxa"/>
            <w:right w:w="108" w:type="dxa"/>
          </w:tblCellMar>
        </w:tblPrEx>
        <w:trPr>
          <w:trHeight w:val="233"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2B403E">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69E165FD">
            <w:pPr>
              <w:widowControl/>
              <w:jc w:val="center"/>
              <w:textAlignment w:val="center"/>
              <w:rPr>
                <w:szCs w:val="21"/>
              </w:rPr>
            </w:pPr>
            <w:r>
              <w:rPr>
                <w:kern w:val="0"/>
                <w:szCs w:val="21"/>
                <w:lang w:bidi="ar"/>
              </w:rPr>
              <w:t>2021/3/29</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4F89F62B">
            <w:pPr>
              <w:widowControl/>
              <w:jc w:val="center"/>
              <w:textAlignment w:val="center"/>
              <w:rPr>
                <w:szCs w:val="21"/>
              </w:rPr>
            </w:pPr>
            <w:r>
              <w:rPr>
                <w:kern w:val="0"/>
                <w:szCs w:val="21"/>
                <w:lang w:bidi="ar"/>
              </w:rPr>
              <w:t>昼间（13:32-13:42）</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14AF88AD">
            <w:pPr>
              <w:widowControl/>
              <w:jc w:val="center"/>
              <w:textAlignment w:val="center"/>
              <w:rPr>
                <w:szCs w:val="21"/>
              </w:rPr>
            </w:pPr>
            <w:r>
              <w:rPr>
                <w:kern w:val="0"/>
                <w:szCs w:val="21"/>
                <w:lang w:bidi="ar"/>
              </w:rPr>
              <w:t>46</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2E300322">
            <w:pPr>
              <w:widowControl/>
              <w:jc w:val="center"/>
              <w:textAlignment w:val="center"/>
              <w:rPr>
                <w:szCs w:val="21"/>
              </w:rPr>
            </w:pPr>
            <w:r>
              <w:rPr>
                <w:kern w:val="0"/>
                <w:szCs w:val="21"/>
                <w:lang w:bidi="ar"/>
              </w:rPr>
              <w:t>60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81314D3">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AA4FF">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DC76C68">
            <w:pPr>
              <w:widowControl/>
              <w:jc w:val="center"/>
              <w:textAlignment w:val="center"/>
              <w:rPr>
                <w:szCs w:val="21"/>
              </w:rPr>
            </w:pPr>
            <w:r>
              <w:rPr>
                <w:kern w:val="0"/>
                <w:szCs w:val="21"/>
                <w:lang w:bidi="ar"/>
              </w:rPr>
              <w:t>2021/3/29</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51AAC44">
            <w:pPr>
              <w:widowControl/>
              <w:jc w:val="center"/>
              <w:textAlignment w:val="center"/>
              <w:rPr>
                <w:szCs w:val="21"/>
              </w:rPr>
            </w:pPr>
            <w:r>
              <w:rPr>
                <w:kern w:val="0"/>
                <w:szCs w:val="21"/>
                <w:lang w:bidi="ar"/>
              </w:rPr>
              <w:t>昼间（16:24-16:34）</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0C4303C4">
            <w:pPr>
              <w:widowControl/>
              <w:jc w:val="center"/>
              <w:textAlignment w:val="center"/>
              <w:rPr>
                <w:szCs w:val="21"/>
              </w:rPr>
            </w:pPr>
            <w:r>
              <w:rPr>
                <w:kern w:val="0"/>
                <w:szCs w:val="21"/>
                <w:lang w:bidi="ar"/>
              </w:rPr>
              <w:t>47</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60AFB82E">
            <w:pPr>
              <w:widowControl/>
              <w:jc w:val="center"/>
              <w:textAlignment w:val="center"/>
              <w:rPr>
                <w:szCs w:val="21"/>
              </w:rPr>
            </w:pPr>
            <w:r>
              <w:rPr>
                <w:kern w:val="0"/>
                <w:szCs w:val="21"/>
                <w:lang w:bidi="ar"/>
              </w:rPr>
              <w:t>60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2E0C755A">
            <w:pPr>
              <w:widowControl/>
              <w:jc w:val="center"/>
              <w:textAlignment w:val="center"/>
              <w:rPr>
                <w:szCs w:val="21"/>
              </w:rPr>
            </w:pPr>
            <w:r>
              <w:rPr>
                <w:kern w:val="0"/>
                <w:szCs w:val="21"/>
                <w:lang w:bidi="ar"/>
              </w:rPr>
              <w:t>达标</w:t>
            </w:r>
          </w:p>
        </w:tc>
      </w:tr>
      <w:tr w14:paraId="1692F1D2">
        <w:tblPrEx>
          <w:tblCellMar>
            <w:top w:w="0" w:type="dxa"/>
            <w:left w:w="108" w:type="dxa"/>
            <w:bottom w:w="0" w:type="dxa"/>
            <w:right w:w="108" w:type="dxa"/>
          </w:tblCellMar>
        </w:tblPrEx>
        <w:trPr>
          <w:trHeight w:val="305" w:hRule="atLeast"/>
        </w:trPr>
        <w:tc>
          <w:tcPr>
            <w:tcW w:w="3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41FF3B">
            <w:pPr>
              <w:jc w:val="center"/>
              <w:rPr>
                <w:szCs w:val="21"/>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6D7A636C">
            <w:pPr>
              <w:widowControl/>
              <w:jc w:val="center"/>
              <w:textAlignment w:val="center"/>
              <w:rPr>
                <w:szCs w:val="21"/>
              </w:rPr>
            </w:pPr>
            <w:r>
              <w:rPr>
                <w:kern w:val="0"/>
                <w:szCs w:val="21"/>
                <w:lang w:bidi="ar"/>
              </w:rPr>
              <w:t>2021/3/30</w:t>
            </w:r>
          </w:p>
        </w:tc>
        <w:tc>
          <w:tcPr>
            <w:tcW w:w="799" w:type="pct"/>
            <w:tcBorders>
              <w:top w:val="single" w:color="000000" w:sz="4" w:space="0"/>
              <w:left w:val="single" w:color="000000" w:sz="4" w:space="0"/>
              <w:bottom w:val="single" w:color="000000" w:sz="4" w:space="0"/>
              <w:right w:val="single" w:color="000000" w:sz="4" w:space="0"/>
            </w:tcBorders>
            <w:noWrap w:val="0"/>
            <w:vAlign w:val="center"/>
          </w:tcPr>
          <w:p w14:paraId="384474EA">
            <w:pPr>
              <w:widowControl/>
              <w:jc w:val="center"/>
              <w:textAlignment w:val="center"/>
              <w:rPr>
                <w:szCs w:val="21"/>
              </w:rPr>
            </w:pPr>
            <w:r>
              <w:rPr>
                <w:kern w:val="0"/>
                <w:szCs w:val="21"/>
                <w:lang w:bidi="ar"/>
              </w:rPr>
              <w:t>夜间（01:01-01:11）</w:t>
            </w:r>
          </w:p>
        </w:tc>
        <w:tc>
          <w:tcPr>
            <w:tcW w:w="282" w:type="pct"/>
            <w:tcBorders>
              <w:top w:val="single" w:color="000000" w:sz="4" w:space="0"/>
              <w:left w:val="single" w:color="000000" w:sz="4" w:space="0"/>
              <w:bottom w:val="single" w:color="000000" w:sz="4" w:space="0"/>
              <w:right w:val="single" w:color="000000" w:sz="4" w:space="0"/>
            </w:tcBorders>
            <w:noWrap w:val="0"/>
            <w:vAlign w:val="center"/>
          </w:tcPr>
          <w:p w14:paraId="3512C6CA">
            <w:pPr>
              <w:widowControl/>
              <w:jc w:val="center"/>
              <w:textAlignment w:val="center"/>
              <w:rPr>
                <w:szCs w:val="21"/>
              </w:rPr>
            </w:pPr>
            <w:r>
              <w:rPr>
                <w:kern w:val="0"/>
                <w:szCs w:val="21"/>
                <w:lang w:bidi="ar"/>
              </w:rPr>
              <w:t>41</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14:paraId="7CD8C7B7">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C17AF0B">
            <w:pPr>
              <w:widowControl/>
              <w:jc w:val="center"/>
              <w:textAlignment w:val="center"/>
              <w:rPr>
                <w:szCs w:val="21"/>
              </w:rPr>
            </w:pPr>
            <w:r>
              <w:rPr>
                <w:kern w:val="0"/>
                <w:szCs w:val="21"/>
                <w:lang w:bidi="ar"/>
              </w:rPr>
              <w:t>达标</w:t>
            </w: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AC9A23">
            <w:pPr>
              <w:jc w:val="center"/>
              <w:rPr>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DAE2B4D">
            <w:pPr>
              <w:widowControl/>
              <w:jc w:val="center"/>
              <w:textAlignment w:val="center"/>
              <w:rPr>
                <w:szCs w:val="21"/>
              </w:rPr>
            </w:pPr>
            <w:r>
              <w:rPr>
                <w:kern w:val="0"/>
                <w:szCs w:val="21"/>
                <w:lang w:bidi="ar"/>
              </w:rPr>
              <w:t>2021/3/30</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0E325300">
            <w:pPr>
              <w:widowControl/>
              <w:jc w:val="center"/>
              <w:textAlignment w:val="center"/>
              <w:rPr>
                <w:szCs w:val="21"/>
              </w:rPr>
            </w:pPr>
            <w:r>
              <w:rPr>
                <w:kern w:val="0"/>
                <w:szCs w:val="21"/>
                <w:lang w:bidi="ar"/>
              </w:rPr>
              <w:t>夜间（04:11-04:21）</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14:paraId="30F44FFD">
            <w:pPr>
              <w:widowControl/>
              <w:jc w:val="center"/>
              <w:textAlignment w:val="center"/>
              <w:rPr>
                <w:szCs w:val="21"/>
              </w:rPr>
            </w:pPr>
            <w:r>
              <w:rPr>
                <w:kern w:val="0"/>
                <w:szCs w:val="21"/>
                <w:lang w:bidi="ar"/>
              </w:rPr>
              <w:t>40</w:t>
            </w:r>
          </w:p>
        </w:tc>
        <w:tc>
          <w:tcPr>
            <w:tcW w:w="267" w:type="pct"/>
            <w:tcBorders>
              <w:top w:val="single" w:color="000000" w:sz="4" w:space="0"/>
              <w:left w:val="single" w:color="000000" w:sz="4" w:space="0"/>
              <w:bottom w:val="single" w:color="000000" w:sz="4" w:space="0"/>
              <w:right w:val="single" w:color="000000" w:sz="4" w:space="0"/>
            </w:tcBorders>
            <w:noWrap w:val="0"/>
            <w:vAlign w:val="center"/>
          </w:tcPr>
          <w:p w14:paraId="134A2566">
            <w:pPr>
              <w:widowControl/>
              <w:jc w:val="center"/>
              <w:textAlignment w:val="center"/>
              <w:rPr>
                <w:szCs w:val="21"/>
              </w:rPr>
            </w:pPr>
            <w:r>
              <w:rPr>
                <w:kern w:val="0"/>
                <w:szCs w:val="21"/>
                <w:lang w:bidi="ar"/>
              </w:rPr>
              <w:t>50</w:t>
            </w:r>
          </w:p>
        </w:tc>
        <w:tc>
          <w:tcPr>
            <w:tcW w:w="343" w:type="pct"/>
            <w:tcBorders>
              <w:top w:val="single" w:color="000000" w:sz="4" w:space="0"/>
              <w:left w:val="single" w:color="000000" w:sz="4" w:space="0"/>
              <w:bottom w:val="single" w:color="000000" w:sz="4" w:space="0"/>
              <w:right w:val="single" w:color="000000" w:sz="4" w:space="0"/>
            </w:tcBorders>
            <w:noWrap/>
            <w:vAlign w:val="center"/>
          </w:tcPr>
          <w:p w14:paraId="18DC1F70">
            <w:pPr>
              <w:widowControl/>
              <w:jc w:val="center"/>
              <w:textAlignment w:val="center"/>
              <w:rPr>
                <w:szCs w:val="21"/>
              </w:rPr>
            </w:pPr>
            <w:r>
              <w:rPr>
                <w:kern w:val="0"/>
                <w:szCs w:val="21"/>
                <w:lang w:bidi="ar"/>
              </w:rPr>
              <w:t>达标</w:t>
            </w:r>
          </w:p>
        </w:tc>
      </w:tr>
    </w:tbl>
    <w:p w14:paraId="4DDA616C">
      <w:pPr>
        <w:spacing w:line="360" w:lineRule="auto"/>
        <w:ind w:firstLine="480" w:firstLineChars="200"/>
        <w:rPr>
          <w:sz w:val="24"/>
        </w:rPr>
        <w:sectPr>
          <w:pgSz w:w="16838" w:h="11906" w:orient="landscape"/>
          <w:pgMar w:top="1797" w:right="1440" w:bottom="1797" w:left="1361" w:header="851" w:footer="992" w:gutter="0"/>
          <w:cols w:space="720" w:num="1"/>
          <w:docGrid w:linePitch="312" w:charSpace="0"/>
        </w:sectPr>
      </w:pPr>
    </w:p>
    <w:p w14:paraId="74151AFC">
      <w:pPr>
        <w:pStyle w:val="47"/>
        <w:rPr>
          <w:rFonts w:ascii="Times New Roman" w:hAnsi="Times New Roman" w:cs="Times New Roman"/>
        </w:rPr>
      </w:pPr>
    </w:p>
    <w:p w14:paraId="33FA603B">
      <w:pPr>
        <w:spacing w:line="360" w:lineRule="auto"/>
        <w:ind w:firstLine="480" w:firstLineChars="200"/>
        <w:rPr>
          <w:sz w:val="24"/>
        </w:rPr>
      </w:pPr>
      <w:r>
        <w:rPr>
          <w:sz w:val="24"/>
        </w:rPr>
        <w:t>7、声环境现状评价</w:t>
      </w:r>
    </w:p>
    <w:p w14:paraId="07B8F748">
      <w:pPr>
        <w:spacing w:line="360" w:lineRule="auto"/>
        <w:ind w:firstLine="480" w:firstLineChars="200"/>
        <w:rPr>
          <w:sz w:val="24"/>
        </w:rPr>
      </w:pPr>
      <w:r>
        <w:rPr>
          <w:sz w:val="24"/>
        </w:rPr>
        <w:t>根据以上监测结果可知，项目5个养殖区厂界东南西北厂界噪声值均满足《声环境质量标准》（GB3096-2008）2类区标准限值。</w:t>
      </w:r>
    </w:p>
    <w:p w14:paraId="71FC62D0">
      <w:pPr>
        <w:pStyle w:val="7"/>
        <w:spacing w:before="0" w:after="0" w:line="360" w:lineRule="auto"/>
        <w:rPr>
          <w:rFonts w:ascii="Times New Roman" w:hAnsi="Times New Roman"/>
          <w:sz w:val="28"/>
          <w:szCs w:val="28"/>
        </w:rPr>
      </w:pPr>
      <w:r>
        <w:rPr>
          <w:rFonts w:ascii="Times New Roman" w:hAnsi="Times New Roman"/>
          <w:sz w:val="28"/>
          <w:szCs w:val="28"/>
        </w:rPr>
        <w:t>4.2.4土壤环境质量现状及评价</w:t>
      </w:r>
    </w:p>
    <w:p w14:paraId="04247B9F">
      <w:pPr>
        <w:widowControl/>
        <w:spacing w:line="360" w:lineRule="auto"/>
        <w:ind w:firstLine="480" w:firstLineChars="200"/>
        <w:rPr>
          <w:b/>
          <w:bCs/>
          <w:kern w:val="0"/>
          <w:sz w:val="24"/>
          <w:lang w:bidi="ar"/>
        </w:rPr>
      </w:pPr>
      <w:r>
        <w:rPr>
          <w:kern w:val="0"/>
          <w:sz w:val="24"/>
        </w:rPr>
        <w:t>为了解项目区域内土壤环境现状情况，</w:t>
      </w:r>
      <w:r>
        <w:rPr>
          <w:sz w:val="24"/>
          <w:lang w:bidi="ar"/>
        </w:rPr>
        <w:t>建设单位于</w:t>
      </w:r>
      <w:r>
        <w:rPr>
          <w:spacing w:val="-6"/>
          <w:sz w:val="24"/>
        </w:rPr>
        <w:t>2021年3月28日至30日</w:t>
      </w:r>
      <w:r>
        <w:rPr>
          <w:sz w:val="24"/>
          <w:lang w:bidi="ar"/>
        </w:rPr>
        <w:t>委托云南环绿环境检测技术服务有限公司对区域土壤进行了取样监测，具体情况如下：</w:t>
      </w:r>
    </w:p>
    <w:p w14:paraId="7F5C2812">
      <w:pPr>
        <w:widowControl/>
        <w:spacing w:line="360" w:lineRule="auto"/>
        <w:ind w:firstLine="480" w:firstLineChars="200"/>
        <w:rPr>
          <w:kern w:val="0"/>
          <w:sz w:val="24"/>
        </w:rPr>
      </w:pPr>
      <w:r>
        <w:rPr>
          <w:kern w:val="0"/>
          <w:sz w:val="24"/>
        </w:rPr>
        <w:t>检测项目：本项目项目所在地属于设施农用地，根据土壤导则和《土壤环境质量农用地土壤污染风险管控标准（试行）》（GB15618-2018），监测因子为pH值、镉、汞、砷、铅、铬、铜、镍、锌</w:t>
      </w:r>
    </w:p>
    <w:p w14:paraId="1270046E">
      <w:pPr>
        <w:spacing w:line="360" w:lineRule="auto"/>
        <w:ind w:firstLine="480" w:firstLineChars="200"/>
        <w:rPr>
          <w:kern w:val="0"/>
          <w:sz w:val="24"/>
        </w:rPr>
      </w:pPr>
      <w:r>
        <w:rPr>
          <w:kern w:val="0"/>
          <w:sz w:val="24"/>
        </w:rPr>
        <w:t>检测点位：T1（拟建项目地块一北侧养殖区）、T2（拟建项目地块一南侧养殖区）、T3（拟建项目地块一东侧养殖区）、T4（拟建项目地块二北侧养殖区）、T5（拟建项目地块二南侧养殖区东部）、T6（拟建项目地块二东侧养殖区西部），共6个检测点位；</w:t>
      </w:r>
    </w:p>
    <w:p w14:paraId="70D3972C">
      <w:pPr>
        <w:spacing w:line="360" w:lineRule="auto"/>
        <w:ind w:firstLine="480" w:firstLineChars="200"/>
        <w:rPr>
          <w:kern w:val="0"/>
          <w:sz w:val="24"/>
        </w:rPr>
      </w:pPr>
      <w:r>
        <w:rPr>
          <w:kern w:val="0"/>
          <w:sz w:val="24"/>
        </w:rPr>
        <w:t>取样深度：在监测点处采集1个表层土壤（0~20cm）样品。</w:t>
      </w:r>
    </w:p>
    <w:p w14:paraId="035D0441">
      <w:pPr>
        <w:spacing w:line="360" w:lineRule="auto"/>
        <w:ind w:firstLine="480" w:firstLineChars="200"/>
        <w:rPr>
          <w:sz w:val="24"/>
        </w:rPr>
      </w:pPr>
      <w:r>
        <w:rPr>
          <w:sz w:val="24"/>
        </w:rPr>
        <w:t>土壤现状监测结果详见表4.2-7。</w:t>
      </w:r>
    </w:p>
    <w:p w14:paraId="4BAAF9AC">
      <w:pPr>
        <w:spacing w:line="360" w:lineRule="auto"/>
        <w:ind w:firstLine="482" w:firstLineChars="200"/>
        <w:jc w:val="center"/>
        <w:rPr>
          <w:b/>
          <w:bCs/>
          <w:sz w:val="24"/>
        </w:rPr>
      </w:pPr>
      <w:r>
        <w:rPr>
          <w:b/>
          <w:bCs/>
          <w:sz w:val="24"/>
        </w:rPr>
        <w:t xml:space="preserve">表4.2-7  项目区域土壤现状监测结果  </w:t>
      </w:r>
    </w:p>
    <w:tbl>
      <w:tblPr>
        <w:tblStyle w:val="87"/>
        <w:tblW w:w="4994" w:type="pct"/>
        <w:tblInd w:w="0" w:type="dxa"/>
        <w:tblLayout w:type="fixed"/>
        <w:tblCellMar>
          <w:top w:w="0" w:type="dxa"/>
          <w:left w:w="108" w:type="dxa"/>
          <w:bottom w:w="0" w:type="dxa"/>
          <w:right w:w="108" w:type="dxa"/>
        </w:tblCellMar>
      </w:tblPr>
      <w:tblGrid>
        <w:gridCol w:w="1120"/>
        <w:gridCol w:w="698"/>
        <w:gridCol w:w="736"/>
        <w:gridCol w:w="852"/>
        <w:gridCol w:w="852"/>
        <w:gridCol w:w="852"/>
        <w:gridCol w:w="852"/>
        <w:gridCol w:w="852"/>
        <w:gridCol w:w="842"/>
        <w:gridCol w:w="862"/>
      </w:tblGrid>
      <w:tr w14:paraId="4AD09B20">
        <w:tblPrEx>
          <w:tblCellMar>
            <w:top w:w="0" w:type="dxa"/>
            <w:left w:w="108" w:type="dxa"/>
            <w:bottom w:w="0" w:type="dxa"/>
            <w:right w:w="108" w:type="dxa"/>
          </w:tblCellMar>
        </w:tblPrEx>
        <w:trPr>
          <w:trHeight w:val="651" w:hRule="atLeast"/>
        </w:trPr>
        <w:tc>
          <w:tcPr>
            <w:tcW w:w="657" w:type="pct"/>
            <w:vMerge w:val="restart"/>
            <w:tcBorders>
              <w:top w:val="single" w:color="000000" w:sz="4" w:space="0"/>
              <w:left w:val="single" w:color="000000" w:sz="4" w:space="0"/>
              <w:bottom w:val="single" w:color="000000" w:sz="4" w:space="0"/>
              <w:right w:val="single" w:color="000000" w:sz="4" w:space="0"/>
            </w:tcBorders>
            <w:noWrap w:val="0"/>
            <w:vAlign w:val="center"/>
          </w:tcPr>
          <w:p w14:paraId="2814F47A">
            <w:pPr>
              <w:widowControl/>
              <w:snapToGrid w:val="0"/>
              <w:jc w:val="center"/>
              <w:textAlignment w:val="center"/>
              <w:rPr>
                <w:b/>
                <w:bCs/>
                <w:sz w:val="18"/>
                <w:szCs w:val="18"/>
              </w:rPr>
            </w:pPr>
            <w:r>
              <w:rPr>
                <w:b/>
                <w:bCs/>
                <w:kern w:val="0"/>
                <w:sz w:val="18"/>
                <w:szCs w:val="18"/>
                <w:lang w:bidi="ar"/>
              </w:rPr>
              <w:t>检测点位</w:t>
            </w:r>
          </w:p>
          <w:p w14:paraId="2F838B42">
            <w:pPr>
              <w:widowControl/>
              <w:jc w:val="center"/>
              <w:textAlignment w:val="center"/>
              <w:rPr>
                <w:b/>
                <w:bCs/>
                <w:sz w:val="18"/>
                <w:szCs w:val="18"/>
              </w:rPr>
            </w:pPr>
            <w:r>
              <w:rPr>
                <w:b/>
                <w:bCs/>
                <w:sz w:val="18"/>
                <w:szCs w:val="18"/>
              </w:rPr>
              <w:t>检测项目</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FC5CEB4">
            <w:pPr>
              <w:widowControl/>
              <w:jc w:val="center"/>
              <w:textAlignment w:val="center"/>
              <w:rPr>
                <w:b/>
                <w:bCs/>
                <w:sz w:val="18"/>
                <w:szCs w:val="18"/>
              </w:rPr>
            </w:pPr>
            <w:r>
              <w:rPr>
                <w:b/>
                <w:bCs/>
                <w:kern w:val="0"/>
                <w:sz w:val="18"/>
                <w:szCs w:val="18"/>
                <w:lang w:bidi="ar"/>
              </w:rPr>
              <w:t>pH值</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78BF2B78">
            <w:pPr>
              <w:widowControl/>
              <w:jc w:val="center"/>
              <w:textAlignment w:val="center"/>
              <w:rPr>
                <w:b/>
                <w:bCs/>
                <w:sz w:val="18"/>
                <w:szCs w:val="18"/>
              </w:rPr>
            </w:pPr>
            <w:r>
              <w:rPr>
                <w:b/>
                <w:bCs/>
                <w:kern w:val="0"/>
                <w:sz w:val="18"/>
                <w:szCs w:val="18"/>
                <w:lang w:bidi="ar"/>
              </w:rPr>
              <w:t>镉</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2D29BD7">
            <w:pPr>
              <w:widowControl/>
              <w:jc w:val="center"/>
              <w:textAlignment w:val="center"/>
              <w:rPr>
                <w:b/>
                <w:bCs/>
                <w:sz w:val="18"/>
                <w:szCs w:val="18"/>
              </w:rPr>
            </w:pPr>
            <w:r>
              <w:rPr>
                <w:b/>
                <w:bCs/>
                <w:kern w:val="0"/>
                <w:sz w:val="18"/>
                <w:szCs w:val="18"/>
                <w:lang w:bidi="ar"/>
              </w:rPr>
              <w:t>铅</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6E8E25C">
            <w:pPr>
              <w:widowControl/>
              <w:jc w:val="center"/>
              <w:textAlignment w:val="center"/>
              <w:rPr>
                <w:b/>
                <w:bCs/>
                <w:sz w:val="18"/>
                <w:szCs w:val="18"/>
              </w:rPr>
            </w:pPr>
            <w:r>
              <w:rPr>
                <w:b/>
                <w:bCs/>
                <w:kern w:val="0"/>
                <w:sz w:val="18"/>
                <w:szCs w:val="18"/>
                <w:lang w:bidi="ar"/>
              </w:rPr>
              <w:t>铜</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9D993A1">
            <w:pPr>
              <w:widowControl/>
              <w:jc w:val="center"/>
              <w:textAlignment w:val="center"/>
              <w:rPr>
                <w:b/>
                <w:bCs/>
                <w:sz w:val="18"/>
                <w:szCs w:val="18"/>
              </w:rPr>
            </w:pPr>
            <w:r>
              <w:rPr>
                <w:b/>
                <w:bCs/>
                <w:kern w:val="0"/>
                <w:sz w:val="18"/>
                <w:szCs w:val="18"/>
                <w:lang w:bidi="ar"/>
              </w:rPr>
              <w:t>镍</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495EE71">
            <w:pPr>
              <w:widowControl/>
              <w:jc w:val="center"/>
              <w:textAlignment w:val="center"/>
              <w:rPr>
                <w:b/>
                <w:bCs/>
                <w:sz w:val="18"/>
                <w:szCs w:val="18"/>
              </w:rPr>
            </w:pPr>
            <w:r>
              <w:rPr>
                <w:b/>
                <w:bCs/>
                <w:kern w:val="0"/>
                <w:sz w:val="18"/>
                <w:szCs w:val="18"/>
                <w:lang w:bidi="ar"/>
              </w:rPr>
              <w:t>铬</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E65F351">
            <w:pPr>
              <w:widowControl/>
              <w:jc w:val="center"/>
              <w:textAlignment w:val="center"/>
              <w:rPr>
                <w:b/>
                <w:bCs/>
                <w:sz w:val="18"/>
                <w:szCs w:val="18"/>
              </w:rPr>
            </w:pPr>
            <w:r>
              <w:rPr>
                <w:b/>
                <w:bCs/>
                <w:kern w:val="0"/>
                <w:sz w:val="18"/>
                <w:szCs w:val="18"/>
                <w:lang w:bidi="ar"/>
              </w:rPr>
              <w:t>锌</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FAC5277">
            <w:pPr>
              <w:widowControl/>
              <w:jc w:val="center"/>
              <w:textAlignment w:val="center"/>
              <w:rPr>
                <w:b/>
                <w:bCs/>
                <w:sz w:val="18"/>
                <w:szCs w:val="18"/>
              </w:rPr>
            </w:pPr>
            <w:r>
              <w:rPr>
                <w:b/>
                <w:bCs/>
                <w:kern w:val="0"/>
                <w:sz w:val="18"/>
                <w:szCs w:val="18"/>
                <w:lang w:bidi="ar"/>
              </w:rPr>
              <w:t>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1338A78E">
            <w:pPr>
              <w:widowControl/>
              <w:jc w:val="center"/>
              <w:textAlignment w:val="center"/>
              <w:rPr>
                <w:b/>
                <w:bCs/>
                <w:sz w:val="18"/>
                <w:szCs w:val="18"/>
              </w:rPr>
            </w:pPr>
            <w:r>
              <w:rPr>
                <w:b/>
                <w:bCs/>
                <w:kern w:val="0"/>
                <w:sz w:val="18"/>
                <w:szCs w:val="18"/>
                <w:lang w:bidi="ar"/>
              </w:rPr>
              <w:t>汞</w:t>
            </w:r>
          </w:p>
        </w:tc>
      </w:tr>
      <w:tr w14:paraId="60C960AA">
        <w:tblPrEx>
          <w:tblCellMar>
            <w:top w:w="0" w:type="dxa"/>
            <w:left w:w="108" w:type="dxa"/>
            <w:bottom w:w="0" w:type="dxa"/>
            <w:right w:w="108" w:type="dxa"/>
          </w:tblCellMar>
        </w:tblPrEx>
        <w:trPr>
          <w:trHeight w:val="285" w:hRule="atLeast"/>
        </w:trPr>
        <w:tc>
          <w:tcPr>
            <w:tcW w:w="6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1DC15B">
            <w:pPr>
              <w:jc w:val="center"/>
              <w:rPr>
                <w:b/>
                <w:bCs/>
                <w:sz w:val="18"/>
                <w:szCs w:val="18"/>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4F8405A">
            <w:pPr>
              <w:widowControl/>
              <w:jc w:val="center"/>
              <w:textAlignment w:val="center"/>
              <w:rPr>
                <w:b/>
                <w:bCs/>
                <w:sz w:val="18"/>
                <w:szCs w:val="18"/>
              </w:rPr>
            </w:pPr>
            <w:r>
              <w:rPr>
                <w:b/>
                <w:bCs/>
                <w:kern w:val="0"/>
                <w:sz w:val="18"/>
                <w:szCs w:val="18"/>
                <w:lang w:bidi="ar"/>
              </w:rPr>
              <w:t>无量纲</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717FE6F3">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0628129">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66467D0">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F2CA2A7">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D15E818">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87E1277">
            <w:pPr>
              <w:widowControl/>
              <w:jc w:val="center"/>
              <w:textAlignment w:val="center"/>
              <w:rPr>
                <w:b/>
                <w:bCs/>
                <w:sz w:val="18"/>
                <w:szCs w:val="18"/>
              </w:rPr>
            </w:pPr>
            <w:r>
              <w:rPr>
                <w:b/>
                <w:bCs/>
                <w:kern w:val="0"/>
                <w:sz w:val="18"/>
                <w:szCs w:val="18"/>
                <w:lang w:bidi="ar"/>
              </w:rPr>
              <w:t>mg/kg</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2F634F78">
            <w:pPr>
              <w:widowControl/>
              <w:jc w:val="center"/>
              <w:textAlignment w:val="center"/>
              <w:rPr>
                <w:b/>
                <w:bCs/>
                <w:sz w:val="18"/>
                <w:szCs w:val="18"/>
              </w:rPr>
            </w:pPr>
            <w:r>
              <w:rPr>
                <w:b/>
                <w:bCs/>
                <w:kern w:val="0"/>
                <w:sz w:val="18"/>
                <w:szCs w:val="18"/>
                <w:lang w:bidi="ar"/>
              </w:rPr>
              <w:t>mg/kg</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CC284E6">
            <w:pPr>
              <w:widowControl/>
              <w:jc w:val="center"/>
              <w:textAlignment w:val="center"/>
              <w:rPr>
                <w:b/>
                <w:bCs/>
                <w:sz w:val="18"/>
                <w:szCs w:val="18"/>
              </w:rPr>
            </w:pPr>
            <w:r>
              <w:rPr>
                <w:b/>
                <w:bCs/>
                <w:kern w:val="0"/>
                <w:sz w:val="18"/>
                <w:szCs w:val="18"/>
                <w:lang w:bidi="ar"/>
              </w:rPr>
              <w:t>mg/kg</w:t>
            </w:r>
          </w:p>
        </w:tc>
      </w:tr>
      <w:tr w14:paraId="626E89F9">
        <w:tblPrEx>
          <w:tblCellMar>
            <w:top w:w="0" w:type="dxa"/>
            <w:left w:w="108" w:type="dxa"/>
            <w:bottom w:w="0" w:type="dxa"/>
            <w:right w:w="108" w:type="dxa"/>
          </w:tblCellMar>
        </w:tblPrEx>
        <w:trPr>
          <w:trHeight w:val="703"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3D212207">
            <w:pPr>
              <w:widowControl/>
              <w:textAlignment w:val="center"/>
              <w:rPr>
                <w:sz w:val="18"/>
                <w:szCs w:val="18"/>
              </w:rPr>
            </w:pPr>
            <w:r>
              <w:rPr>
                <w:kern w:val="0"/>
                <w:sz w:val="18"/>
                <w:szCs w:val="18"/>
                <w:lang w:bidi="ar"/>
              </w:rPr>
              <w:t>T1（拟建项目地块一北侧养殖区）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92B0CBA">
            <w:pPr>
              <w:widowControl/>
              <w:jc w:val="center"/>
              <w:textAlignment w:val="center"/>
              <w:rPr>
                <w:sz w:val="18"/>
                <w:szCs w:val="18"/>
              </w:rPr>
            </w:pPr>
            <w:r>
              <w:rPr>
                <w:kern w:val="0"/>
                <w:sz w:val="18"/>
                <w:szCs w:val="18"/>
                <w:lang w:bidi="ar"/>
              </w:rPr>
              <w:t>7.34</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7F1585F1">
            <w:pPr>
              <w:widowControl/>
              <w:jc w:val="center"/>
              <w:textAlignment w:val="center"/>
              <w:rPr>
                <w:sz w:val="18"/>
                <w:szCs w:val="18"/>
              </w:rPr>
            </w:pPr>
            <w:r>
              <w:rPr>
                <w:kern w:val="0"/>
                <w:sz w:val="18"/>
                <w:szCs w:val="18"/>
                <w:lang w:bidi="ar"/>
              </w:rPr>
              <w:t>0.28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9C39CD8">
            <w:pPr>
              <w:widowControl/>
              <w:jc w:val="center"/>
              <w:textAlignment w:val="center"/>
              <w:rPr>
                <w:sz w:val="18"/>
                <w:szCs w:val="18"/>
              </w:rPr>
            </w:pPr>
            <w:r>
              <w:rPr>
                <w:kern w:val="0"/>
                <w:sz w:val="18"/>
                <w:szCs w:val="18"/>
                <w:lang w:bidi="ar"/>
              </w:rPr>
              <w:t>27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B80A72F">
            <w:pPr>
              <w:widowControl/>
              <w:jc w:val="center"/>
              <w:textAlignment w:val="center"/>
              <w:rPr>
                <w:sz w:val="18"/>
                <w:szCs w:val="18"/>
              </w:rPr>
            </w:pPr>
            <w:r>
              <w:rPr>
                <w:kern w:val="0"/>
                <w:sz w:val="18"/>
                <w:szCs w:val="18"/>
                <w:lang w:bidi="ar"/>
              </w:rPr>
              <w:t>88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BC4ED18">
            <w:pPr>
              <w:widowControl/>
              <w:jc w:val="center"/>
              <w:textAlignment w:val="center"/>
              <w:rPr>
                <w:sz w:val="18"/>
                <w:szCs w:val="18"/>
              </w:rPr>
            </w:pPr>
            <w:r>
              <w:rPr>
                <w:kern w:val="0"/>
                <w:sz w:val="18"/>
                <w:szCs w:val="18"/>
                <w:lang w:bidi="ar"/>
              </w:rPr>
              <w:t>83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36B93C0">
            <w:pPr>
              <w:widowControl/>
              <w:jc w:val="center"/>
              <w:textAlignment w:val="center"/>
              <w:rPr>
                <w:sz w:val="18"/>
                <w:szCs w:val="18"/>
              </w:rPr>
            </w:pPr>
            <w:r>
              <w:rPr>
                <w:kern w:val="0"/>
                <w:sz w:val="18"/>
                <w:szCs w:val="18"/>
                <w:lang w:bidi="ar"/>
              </w:rPr>
              <w:t>81</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DD1662C">
            <w:pPr>
              <w:widowControl/>
              <w:jc w:val="center"/>
              <w:textAlignment w:val="center"/>
              <w:rPr>
                <w:sz w:val="18"/>
                <w:szCs w:val="18"/>
              </w:rPr>
            </w:pPr>
            <w:r>
              <w:rPr>
                <w:kern w:val="0"/>
                <w:sz w:val="18"/>
                <w:szCs w:val="18"/>
                <w:lang w:bidi="ar"/>
              </w:rPr>
              <w:t>200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40DFED76">
            <w:pPr>
              <w:widowControl/>
              <w:jc w:val="center"/>
              <w:textAlignment w:val="center"/>
              <w:rPr>
                <w:sz w:val="18"/>
                <w:szCs w:val="18"/>
              </w:rPr>
            </w:pPr>
            <w:r>
              <w:rPr>
                <w:kern w:val="0"/>
                <w:sz w:val="18"/>
                <w:szCs w:val="18"/>
                <w:lang w:bidi="ar"/>
              </w:rPr>
              <w:t>26.9</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3BC6753F">
            <w:pPr>
              <w:widowControl/>
              <w:jc w:val="center"/>
              <w:textAlignment w:val="center"/>
              <w:rPr>
                <w:sz w:val="18"/>
                <w:szCs w:val="18"/>
              </w:rPr>
            </w:pPr>
            <w:r>
              <w:rPr>
                <w:kern w:val="0"/>
                <w:sz w:val="18"/>
                <w:szCs w:val="18"/>
                <w:lang w:bidi="ar"/>
              </w:rPr>
              <w:t>0.793</w:t>
            </w:r>
          </w:p>
        </w:tc>
      </w:tr>
      <w:tr w14:paraId="5A237B9D">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5570DC0B">
            <w:pPr>
              <w:widowControl/>
              <w:textAlignment w:val="center"/>
              <w:rPr>
                <w:sz w:val="18"/>
                <w:szCs w:val="18"/>
              </w:rPr>
            </w:pPr>
            <w:r>
              <w:rPr>
                <w:kern w:val="0"/>
                <w:sz w:val="18"/>
                <w:szCs w:val="18"/>
                <w:lang w:bidi="ar"/>
              </w:rPr>
              <w:t>标准值</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76A6C89">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2F191005">
            <w:pPr>
              <w:widowControl/>
              <w:jc w:val="center"/>
              <w:textAlignment w:val="center"/>
              <w:rPr>
                <w:sz w:val="18"/>
                <w:szCs w:val="18"/>
              </w:rPr>
            </w:pPr>
            <w:r>
              <w:rPr>
                <w:kern w:val="0"/>
                <w:sz w:val="18"/>
                <w:szCs w:val="18"/>
                <w:lang w:bidi="ar"/>
              </w:rPr>
              <w:t>0.3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E64CC17">
            <w:pPr>
              <w:widowControl/>
              <w:jc w:val="center"/>
              <w:textAlignment w:val="center"/>
              <w:rPr>
                <w:sz w:val="18"/>
                <w:szCs w:val="18"/>
              </w:rPr>
            </w:pPr>
            <w:r>
              <w:rPr>
                <w:kern w:val="0"/>
                <w:sz w:val="18"/>
                <w:szCs w:val="18"/>
                <w:lang w:bidi="ar"/>
              </w:rPr>
              <w:t>120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C205693">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F1C096D">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52B7B94">
            <w:pPr>
              <w:widowControl/>
              <w:jc w:val="center"/>
              <w:textAlignment w:val="center"/>
              <w:rPr>
                <w:sz w:val="18"/>
                <w:szCs w:val="18"/>
              </w:rPr>
            </w:pPr>
            <w:r>
              <w:rPr>
                <w:kern w:val="0"/>
                <w:sz w:val="18"/>
                <w:szCs w:val="18"/>
                <w:lang w:bidi="ar"/>
              </w:rPr>
              <w:t>200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8820649">
            <w:pPr>
              <w:widowControl/>
              <w:jc w:val="center"/>
              <w:textAlignment w:val="center"/>
              <w:rPr>
                <w:sz w:val="18"/>
                <w:szCs w:val="18"/>
              </w:rPr>
            </w:pPr>
            <w:r>
              <w:rPr>
                <w:kern w:val="0"/>
                <w:sz w:val="18"/>
                <w:szCs w:val="18"/>
                <w:lang w:bidi="ar"/>
              </w:rPr>
              <w:t>250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2C0FCCAD">
            <w:pPr>
              <w:widowControl/>
              <w:jc w:val="center"/>
              <w:textAlignment w:val="center"/>
              <w:rPr>
                <w:sz w:val="18"/>
                <w:szCs w:val="18"/>
              </w:rPr>
            </w:pPr>
            <w:r>
              <w:rPr>
                <w:kern w:val="0"/>
                <w:sz w:val="18"/>
                <w:szCs w:val="18"/>
                <w:lang w:bidi="ar"/>
              </w:rPr>
              <w:t>30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6DA8A68F">
            <w:pPr>
              <w:widowControl/>
              <w:jc w:val="center"/>
              <w:textAlignment w:val="center"/>
              <w:rPr>
                <w:sz w:val="18"/>
                <w:szCs w:val="18"/>
              </w:rPr>
            </w:pPr>
            <w:r>
              <w:rPr>
                <w:kern w:val="0"/>
                <w:sz w:val="18"/>
                <w:szCs w:val="18"/>
                <w:lang w:bidi="ar"/>
              </w:rPr>
              <w:t>2.4</w:t>
            </w:r>
          </w:p>
        </w:tc>
      </w:tr>
      <w:tr w14:paraId="67F84578">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12FD5EC8">
            <w:pPr>
              <w:widowControl/>
              <w:textAlignment w:val="center"/>
              <w:rPr>
                <w:sz w:val="18"/>
                <w:szCs w:val="18"/>
              </w:rPr>
            </w:pPr>
            <w:r>
              <w:rPr>
                <w:kern w:val="0"/>
                <w:sz w:val="18"/>
                <w:szCs w:val="18"/>
                <w:lang w:bidi="ar"/>
              </w:rPr>
              <w:t>达标情况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5EB9F24">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0BDA3E0F">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809139E">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7E8FB78">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7EBF21D">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B32FBDC">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D1809E9">
            <w:pPr>
              <w:widowControl/>
              <w:jc w:val="center"/>
              <w:textAlignment w:val="center"/>
              <w:rPr>
                <w:sz w:val="18"/>
                <w:szCs w:val="18"/>
              </w:rPr>
            </w:pPr>
            <w:r>
              <w:rPr>
                <w:kern w:val="0"/>
                <w:sz w:val="18"/>
                <w:szCs w:val="18"/>
                <w:lang w:bidi="ar"/>
              </w:rPr>
              <w:t>达标</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189BEA72">
            <w:pPr>
              <w:widowControl/>
              <w:jc w:val="center"/>
              <w:textAlignment w:val="center"/>
              <w:rPr>
                <w:sz w:val="18"/>
                <w:szCs w:val="18"/>
              </w:rPr>
            </w:pPr>
            <w:r>
              <w:rPr>
                <w:kern w:val="0"/>
                <w:sz w:val="18"/>
                <w:szCs w:val="18"/>
                <w:lang w:bidi="ar"/>
              </w:rPr>
              <w:t>达标</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4F604D9F">
            <w:pPr>
              <w:widowControl/>
              <w:jc w:val="center"/>
              <w:textAlignment w:val="center"/>
              <w:rPr>
                <w:sz w:val="18"/>
                <w:szCs w:val="18"/>
              </w:rPr>
            </w:pPr>
            <w:r>
              <w:rPr>
                <w:kern w:val="0"/>
                <w:sz w:val="18"/>
                <w:szCs w:val="18"/>
                <w:lang w:bidi="ar"/>
              </w:rPr>
              <w:t>达标</w:t>
            </w:r>
          </w:p>
        </w:tc>
      </w:tr>
      <w:tr w14:paraId="30C9C26D">
        <w:tblPrEx>
          <w:tblCellMar>
            <w:top w:w="0" w:type="dxa"/>
            <w:left w:w="108" w:type="dxa"/>
            <w:bottom w:w="0" w:type="dxa"/>
            <w:right w:w="108" w:type="dxa"/>
          </w:tblCellMar>
        </w:tblPrEx>
        <w:trPr>
          <w:trHeight w:val="592" w:hRule="atLeast"/>
        </w:trPr>
        <w:tc>
          <w:tcPr>
            <w:tcW w:w="657" w:type="pct"/>
            <w:vMerge w:val="restart"/>
            <w:tcBorders>
              <w:top w:val="single" w:color="000000" w:sz="4" w:space="0"/>
              <w:left w:val="single" w:color="000000" w:sz="4" w:space="0"/>
              <w:right w:val="single" w:color="000000" w:sz="4" w:space="0"/>
            </w:tcBorders>
            <w:noWrap w:val="0"/>
            <w:vAlign w:val="center"/>
          </w:tcPr>
          <w:p w14:paraId="6F2DEC74">
            <w:pPr>
              <w:widowControl/>
              <w:snapToGrid w:val="0"/>
              <w:jc w:val="center"/>
              <w:textAlignment w:val="center"/>
              <w:rPr>
                <w:b/>
                <w:bCs/>
                <w:sz w:val="18"/>
                <w:szCs w:val="18"/>
              </w:rPr>
            </w:pPr>
            <w:r>
              <w:rPr>
                <w:b/>
                <w:bCs/>
                <w:kern w:val="0"/>
                <w:sz w:val="18"/>
                <w:szCs w:val="18"/>
                <w:lang w:bidi="ar"/>
              </w:rPr>
              <w:t>检测点位</w:t>
            </w:r>
          </w:p>
          <w:p w14:paraId="3BDFF541">
            <w:pPr>
              <w:widowControl/>
              <w:jc w:val="center"/>
              <w:textAlignment w:val="center"/>
              <w:rPr>
                <w:b/>
                <w:bCs/>
                <w:kern w:val="0"/>
                <w:sz w:val="18"/>
                <w:szCs w:val="18"/>
                <w:lang w:bidi="ar"/>
              </w:rPr>
            </w:pPr>
            <w:r>
              <w:rPr>
                <w:b/>
                <w:bCs/>
                <w:sz w:val="18"/>
                <w:szCs w:val="18"/>
              </w:rPr>
              <w:t>检测项目</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562A05E">
            <w:pPr>
              <w:widowControl/>
              <w:jc w:val="center"/>
              <w:textAlignment w:val="center"/>
              <w:rPr>
                <w:b/>
                <w:bCs/>
                <w:kern w:val="0"/>
                <w:sz w:val="18"/>
                <w:szCs w:val="18"/>
                <w:lang w:bidi="ar"/>
              </w:rPr>
            </w:pPr>
            <w:r>
              <w:rPr>
                <w:b/>
                <w:bCs/>
                <w:kern w:val="0"/>
                <w:sz w:val="18"/>
                <w:szCs w:val="18"/>
                <w:lang w:bidi="ar"/>
              </w:rPr>
              <w:t>pH值</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1C230531">
            <w:pPr>
              <w:widowControl/>
              <w:jc w:val="center"/>
              <w:textAlignment w:val="center"/>
              <w:rPr>
                <w:b/>
                <w:bCs/>
                <w:kern w:val="0"/>
                <w:sz w:val="18"/>
                <w:szCs w:val="18"/>
                <w:lang w:bidi="ar"/>
              </w:rPr>
            </w:pPr>
            <w:r>
              <w:rPr>
                <w:b/>
                <w:bCs/>
                <w:kern w:val="0"/>
                <w:sz w:val="18"/>
                <w:szCs w:val="18"/>
                <w:lang w:bidi="ar"/>
              </w:rPr>
              <w:t>镉</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FE62B7B">
            <w:pPr>
              <w:widowControl/>
              <w:jc w:val="center"/>
              <w:textAlignment w:val="center"/>
              <w:rPr>
                <w:b/>
                <w:bCs/>
                <w:kern w:val="0"/>
                <w:sz w:val="18"/>
                <w:szCs w:val="18"/>
                <w:lang w:bidi="ar"/>
              </w:rPr>
            </w:pPr>
            <w:r>
              <w:rPr>
                <w:b/>
                <w:bCs/>
                <w:kern w:val="0"/>
                <w:sz w:val="18"/>
                <w:szCs w:val="18"/>
                <w:lang w:bidi="ar"/>
              </w:rPr>
              <w:t>铅</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35C00C7">
            <w:pPr>
              <w:widowControl/>
              <w:jc w:val="center"/>
              <w:textAlignment w:val="center"/>
              <w:rPr>
                <w:b/>
                <w:bCs/>
                <w:kern w:val="0"/>
                <w:sz w:val="18"/>
                <w:szCs w:val="18"/>
                <w:lang w:bidi="ar"/>
              </w:rPr>
            </w:pPr>
            <w:r>
              <w:rPr>
                <w:b/>
                <w:bCs/>
                <w:kern w:val="0"/>
                <w:sz w:val="18"/>
                <w:szCs w:val="18"/>
                <w:lang w:bidi="ar"/>
              </w:rPr>
              <w:t>铜</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3209B1B">
            <w:pPr>
              <w:widowControl/>
              <w:jc w:val="center"/>
              <w:textAlignment w:val="center"/>
              <w:rPr>
                <w:b/>
                <w:bCs/>
                <w:kern w:val="0"/>
                <w:sz w:val="18"/>
                <w:szCs w:val="18"/>
                <w:lang w:bidi="ar"/>
              </w:rPr>
            </w:pPr>
            <w:r>
              <w:rPr>
                <w:b/>
                <w:bCs/>
                <w:kern w:val="0"/>
                <w:sz w:val="18"/>
                <w:szCs w:val="18"/>
                <w:lang w:bidi="ar"/>
              </w:rPr>
              <w:t>镍</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8945602">
            <w:pPr>
              <w:widowControl/>
              <w:jc w:val="center"/>
              <w:textAlignment w:val="center"/>
              <w:rPr>
                <w:b/>
                <w:bCs/>
                <w:kern w:val="0"/>
                <w:sz w:val="18"/>
                <w:szCs w:val="18"/>
                <w:lang w:bidi="ar"/>
              </w:rPr>
            </w:pPr>
            <w:r>
              <w:rPr>
                <w:b/>
                <w:bCs/>
                <w:kern w:val="0"/>
                <w:sz w:val="18"/>
                <w:szCs w:val="18"/>
                <w:lang w:bidi="ar"/>
              </w:rPr>
              <w:t>铬</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5F2AB02">
            <w:pPr>
              <w:widowControl/>
              <w:jc w:val="center"/>
              <w:textAlignment w:val="center"/>
              <w:rPr>
                <w:b/>
                <w:bCs/>
                <w:kern w:val="0"/>
                <w:sz w:val="18"/>
                <w:szCs w:val="18"/>
                <w:lang w:bidi="ar"/>
              </w:rPr>
            </w:pPr>
            <w:r>
              <w:rPr>
                <w:b/>
                <w:bCs/>
                <w:kern w:val="0"/>
                <w:sz w:val="18"/>
                <w:szCs w:val="18"/>
                <w:lang w:bidi="ar"/>
              </w:rPr>
              <w:t>锌</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E88A58A">
            <w:pPr>
              <w:widowControl/>
              <w:jc w:val="center"/>
              <w:textAlignment w:val="center"/>
              <w:rPr>
                <w:b/>
                <w:bCs/>
                <w:kern w:val="0"/>
                <w:sz w:val="18"/>
                <w:szCs w:val="18"/>
                <w:lang w:bidi="ar"/>
              </w:rPr>
            </w:pPr>
            <w:r>
              <w:rPr>
                <w:b/>
                <w:bCs/>
                <w:kern w:val="0"/>
                <w:sz w:val="18"/>
                <w:szCs w:val="18"/>
                <w:lang w:bidi="ar"/>
              </w:rPr>
              <w:t>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763FE41C">
            <w:pPr>
              <w:widowControl/>
              <w:jc w:val="center"/>
              <w:textAlignment w:val="center"/>
              <w:rPr>
                <w:b/>
                <w:bCs/>
                <w:kern w:val="0"/>
                <w:sz w:val="18"/>
                <w:szCs w:val="18"/>
                <w:lang w:bidi="ar"/>
              </w:rPr>
            </w:pPr>
            <w:r>
              <w:rPr>
                <w:b/>
                <w:bCs/>
                <w:kern w:val="0"/>
                <w:sz w:val="18"/>
                <w:szCs w:val="18"/>
                <w:lang w:bidi="ar"/>
              </w:rPr>
              <w:t>汞</w:t>
            </w:r>
          </w:p>
        </w:tc>
      </w:tr>
      <w:tr w14:paraId="368CEC4A">
        <w:tblPrEx>
          <w:tblCellMar>
            <w:top w:w="0" w:type="dxa"/>
            <w:left w:w="108" w:type="dxa"/>
            <w:bottom w:w="0" w:type="dxa"/>
            <w:right w:w="108" w:type="dxa"/>
          </w:tblCellMar>
        </w:tblPrEx>
        <w:trPr>
          <w:trHeight w:val="285" w:hRule="atLeast"/>
        </w:trPr>
        <w:tc>
          <w:tcPr>
            <w:tcW w:w="657" w:type="pct"/>
            <w:vMerge w:val="continue"/>
            <w:tcBorders>
              <w:left w:val="single" w:color="000000" w:sz="4" w:space="0"/>
              <w:bottom w:val="single" w:color="000000" w:sz="4" w:space="0"/>
              <w:right w:val="single" w:color="000000" w:sz="4" w:space="0"/>
            </w:tcBorders>
            <w:noWrap w:val="0"/>
            <w:vAlign w:val="center"/>
          </w:tcPr>
          <w:p w14:paraId="4272CF55">
            <w:pPr>
              <w:jc w:val="center"/>
              <w:rPr>
                <w:b/>
                <w:bCs/>
                <w:kern w:val="0"/>
                <w:sz w:val="18"/>
                <w:szCs w:val="18"/>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3564DF5">
            <w:pPr>
              <w:widowControl/>
              <w:jc w:val="center"/>
              <w:textAlignment w:val="center"/>
              <w:rPr>
                <w:b/>
                <w:bCs/>
                <w:kern w:val="0"/>
                <w:sz w:val="18"/>
                <w:szCs w:val="18"/>
                <w:lang w:bidi="ar"/>
              </w:rPr>
            </w:pPr>
            <w:r>
              <w:rPr>
                <w:b/>
                <w:bCs/>
                <w:kern w:val="0"/>
                <w:sz w:val="18"/>
                <w:szCs w:val="18"/>
                <w:lang w:bidi="ar"/>
              </w:rPr>
              <w:t>无量纲</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77E8A207">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6725647">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05D0991">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2E987DB">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F0A0F26">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3AB40D0">
            <w:pPr>
              <w:widowControl/>
              <w:jc w:val="center"/>
              <w:textAlignment w:val="center"/>
              <w:rPr>
                <w:b/>
                <w:bCs/>
                <w:kern w:val="0"/>
                <w:sz w:val="18"/>
                <w:szCs w:val="18"/>
                <w:lang w:bidi="ar"/>
              </w:rPr>
            </w:pPr>
            <w:r>
              <w:rPr>
                <w:b/>
                <w:bCs/>
                <w:kern w:val="0"/>
                <w:sz w:val="18"/>
                <w:szCs w:val="18"/>
                <w:lang w:bidi="ar"/>
              </w:rPr>
              <w:t>mg/kg</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64A5323">
            <w:pPr>
              <w:widowControl/>
              <w:jc w:val="center"/>
              <w:textAlignment w:val="center"/>
              <w:rPr>
                <w:b/>
                <w:bCs/>
                <w:kern w:val="0"/>
                <w:sz w:val="18"/>
                <w:szCs w:val="18"/>
                <w:lang w:bidi="ar"/>
              </w:rPr>
            </w:pPr>
            <w:r>
              <w:rPr>
                <w:b/>
                <w:bCs/>
                <w:kern w:val="0"/>
                <w:sz w:val="18"/>
                <w:szCs w:val="18"/>
                <w:lang w:bidi="ar"/>
              </w:rPr>
              <w:t>mg/kg</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E296727">
            <w:pPr>
              <w:widowControl/>
              <w:jc w:val="center"/>
              <w:textAlignment w:val="center"/>
              <w:rPr>
                <w:b/>
                <w:bCs/>
                <w:kern w:val="0"/>
                <w:sz w:val="18"/>
                <w:szCs w:val="18"/>
                <w:lang w:bidi="ar"/>
              </w:rPr>
            </w:pPr>
            <w:r>
              <w:rPr>
                <w:b/>
                <w:bCs/>
                <w:kern w:val="0"/>
                <w:sz w:val="18"/>
                <w:szCs w:val="18"/>
                <w:lang w:bidi="ar"/>
              </w:rPr>
              <w:t>mg/kg</w:t>
            </w:r>
          </w:p>
        </w:tc>
      </w:tr>
      <w:tr w14:paraId="362D1305">
        <w:tblPrEx>
          <w:tblCellMar>
            <w:top w:w="0" w:type="dxa"/>
            <w:left w:w="108" w:type="dxa"/>
            <w:bottom w:w="0" w:type="dxa"/>
            <w:right w:w="108" w:type="dxa"/>
          </w:tblCellMar>
        </w:tblPrEx>
        <w:trPr>
          <w:trHeight w:val="504"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5DFF57C3">
            <w:pPr>
              <w:widowControl/>
              <w:textAlignment w:val="center"/>
              <w:rPr>
                <w:sz w:val="18"/>
                <w:szCs w:val="18"/>
              </w:rPr>
            </w:pPr>
            <w:r>
              <w:rPr>
                <w:kern w:val="0"/>
                <w:sz w:val="18"/>
                <w:szCs w:val="18"/>
                <w:lang w:bidi="ar"/>
              </w:rPr>
              <w:t>T2（拟建项目地块一南侧养殖区）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4FA4376">
            <w:pPr>
              <w:widowControl/>
              <w:jc w:val="center"/>
              <w:textAlignment w:val="center"/>
              <w:rPr>
                <w:sz w:val="18"/>
                <w:szCs w:val="18"/>
              </w:rPr>
            </w:pPr>
            <w:r>
              <w:rPr>
                <w:kern w:val="0"/>
                <w:sz w:val="18"/>
                <w:szCs w:val="18"/>
                <w:lang w:bidi="ar"/>
              </w:rPr>
              <w:t>6.64</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3C801D1D">
            <w:pPr>
              <w:widowControl/>
              <w:jc w:val="center"/>
              <w:textAlignment w:val="center"/>
              <w:rPr>
                <w:sz w:val="18"/>
                <w:szCs w:val="18"/>
              </w:rPr>
            </w:pPr>
            <w:r>
              <w:rPr>
                <w:kern w:val="0"/>
                <w:sz w:val="18"/>
                <w:szCs w:val="18"/>
                <w:lang w:bidi="ar"/>
              </w:rPr>
              <w:t>0.29</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A899624">
            <w:pPr>
              <w:widowControl/>
              <w:jc w:val="center"/>
              <w:textAlignment w:val="center"/>
              <w:rPr>
                <w:sz w:val="18"/>
                <w:szCs w:val="18"/>
              </w:rPr>
            </w:pPr>
            <w:r>
              <w:rPr>
                <w:kern w:val="0"/>
                <w:sz w:val="18"/>
                <w:szCs w:val="18"/>
                <w:lang w:bidi="ar"/>
              </w:rPr>
              <w:t>10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BF0A139">
            <w:pPr>
              <w:widowControl/>
              <w:jc w:val="center"/>
              <w:textAlignment w:val="center"/>
              <w:rPr>
                <w:sz w:val="18"/>
                <w:szCs w:val="18"/>
              </w:rPr>
            </w:pPr>
            <w:r>
              <w:rPr>
                <w:kern w:val="0"/>
                <w:sz w:val="18"/>
                <w:szCs w:val="18"/>
                <w:lang w:bidi="ar"/>
              </w:rPr>
              <w:t>90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3F2E240">
            <w:pPr>
              <w:widowControl/>
              <w:jc w:val="center"/>
              <w:textAlignment w:val="center"/>
              <w:rPr>
                <w:sz w:val="18"/>
                <w:szCs w:val="18"/>
              </w:rPr>
            </w:pPr>
            <w:r>
              <w:rPr>
                <w:kern w:val="0"/>
                <w:sz w:val="18"/>
                <w:szCs w:val="18"/>
                <w:lang w:bidi="ar"/>
              </w:rPr>
              <w:t>34</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C77C049">
            <w:pPr>
              <w:widowControl/>
              <w:jc w:val="center"/>
              <w:textAlignment w:val="center"/>
              <w:rPr>
                <w:sz w:val="18"/>
                <w:szCs w:val="18"/>
              </w:rPr>
            </w:pPr>
            <w:r>
              <w:rPr>
                <w:kern w:val="0"/>
                <w:sz w:val="18"/>
                <w:szCs w:val="18"/>
                <w:lang w:bidi="ar"/>
              </w:rPr>
              <w:t>32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116C127">
            <w:pPr>
              <w:widowControl/>
              <w:jc w:val="center"/>
              <w:textAlignment w:val="center"/>
              <w:rPr>
                <w:sz w:val="18"/>
                <w:szCs w:val="18"/>
              </w:rPr>
            </w:pPr>
            <w:r>
              <w:rPr>
                <w:kern w:val="0"/>
                <w:sz w:val="18"/>
                <w:szCs w:val="18"/>
                <w:lang w:bidi="ar"/>
              </w:rPr>
              <w:t>34</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1625ACDA">
            <w:pPr>
              <w:widowControl/>
              <w:jc w:val="center"/>
              <w:textAlignment w:val="center"/>
              <w:rPr>
                <w:sz w:val="18"/>
                <w:szCs w:val="18"/>
              </w:rPr>
            </w:pPr>
            <w:r>
              <w:rPr>
                <w:kern w:val="0"/>
                <w:sz w:val="18"/>
                <w:szCs w:val="18"/>
                <w:lang w:bidi="ar"/>
              </w:rPr>
              <w:t>1.32</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3AD8B565">
            <w:pPr>
              <w:widowControl/>
              <w:jc w:val="center"/>
              <w:textAlignment w:val="center"/>
              <w:rPr>
                <w:sz w:val="18"/>
                <w:szCs w:val="18"/>
              </w:rPr>
            </w:pPr>
            <w:r>
              <w:rPr>
                <w:kern w:val="0"/>
                <w:sz w:val="18"/>
                <w:szCs w:val="18"/>
                <w:lang w:bidi="ar"/>
              </w:rPr>
              <w:t>0.158</w:t>
            </w:r>
          </w:p>
        </w:tc>
      </w:tr>
      <w:tr w14:paraId="48C10DEF">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278CE381">
            <w:pPr>
              <w:widowControl/>
              <w:textAlignment w:val="center"/>
              <w:rPr>
                <w:sz w:val="18"/>
                <w:szCs w:val="18"/>
              </w:rPr>
            </w:pPr>
            <w:r>
              <w:rPr>
                <w:kern w:val="0"/>
                <w:sz w:val="18"/>
                <w:szCs w:val="18"/>
                <w:lang w:bidi="ar"/>
              </w:rPr>
              <w:t>标准值</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FC730FC">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08E2F946">
            <w:pPr>
              <w:widowControl/>
              <w:jc w:val="center"/>
              <w:textAlignment w:val="center"/>
              <w:rPr>
                <w:sz w:val="18"/>
                <w:szCs w:val="18"/>
              </w:rPr>
            </w:pPr>
            <w:r>
              <w:rPr>
                <w:kern w:val="0"/>
                <w:sz w:val="18"/>
                <w:szCs w:val="18"/>
                <w:lang w:bidi="ar"/>
              </w:rPr>
              <w:t>0.3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90F649F">
            <w:pPr>
              <w:widowControl/>
              <w:jc w:val="center"/>
              <w:textAlignment w:val="center"/>
              <w:rPr>
                <w:sz w:val="18"/>
                <w:szCs w:val="18"/>
              </w:rPr>
            </w:pPr>
            <w:r>
              <w:rPr>
                <w:kern w:val="0"/>
                <w:sz w:val="18"/>
                <w:szCs w:val="18"/>
                <w:lang w:bidi="ar"/>
              </w:rPr>
              <w:t>120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810106A">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B91A0EF">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DBF5963">
            <w:pPr>
              <w:widowControl/>
              <w:jc w:val="center"/>
              <w:textAlignment w:val="center"/>
              <w:rPr>
                <w:sz w:val="18"/>
                <w:szCs w:val="18"/>
              </w:rPr>
            </w:pPr>
            <w:r>
              <w:rPr>
                <w:kern w:val="0"/>
                <w:sz w:val="18"/>
                <w:szCs w:val="18"/>
                <w:lang w:bidi="ar"/>
              </w:rPr>
              <w:t>200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5623483">
            <w:pPr>
              <w:widowControl/>
              <w:jc w:val="center"/>
              <w:textAlignment w:val="center"/>
              <w:rPr>
                <w:sz w:val="18"/>
                <w:szCs w:val="18"/>
              </w:rPr>
            </w:pPr>
            <w:r>
              <w:rPr>
                <w:kern w:val="0"/>
                <w:sz w:val="18"/>
                <w:szCs w:val="18"/>
                <w:lang w:bidi="ar"/>
              </w:rPr>
              <w:t>250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7A1F965C">
            <w:pPr>
              <w:widowControl/>
              <w:jc w:val="center"/>
              <w:textAlignment w:val="center"/>
              <w:rPr>
                <w:sz w:val="18"/>
                <w:szCs w:val="18"/>
              </w:rPr>
            </w:pPr>
            <w:r>
              <w:rPr>
                <w:kern w:val="0"/>
                <w:sz w:val="18"/>
                <w:szCs w:val="18"/>
                <w:lang w:bidi="ar"/>
              </w:rPr>
              <w:t>30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3ABDC8FC">
            <w:pPr>
              <w:widowControl/>
              <w:jc w:val="center"/>
              <w:textAlignment w:val="center"/>
              <w:rPr>
                <w:sz w:val="18"/>
                <w:szCs w:val="18"/>
              </w:rPr>
            </w:pPr>
            <w:r>
              <w:rPr>
                <w:kern w:val="0"/>
                <w:sz w:val="18"/>
                <w:szCs w:val="18"/>
                <w:lang w:bidi="ar"/>
              </w:rPr>
              <w:t>2.4</w:t>
            </w:r>
          </w:p>
        </w:tc>
      </w:tr>
      <w:tr w14:paraId="49DDADAA">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44D83196">
            <w:pPr>
              <w:widowControl/>
              <w:textAlignment w:val="center"/>
              <w:rPr>
                <w:sz w:val="18"/>
                <w:szCs w:val="18"/>
              </w:rPr>
            </w:pPr>
            <w:r>
              <w:rPr>
                <w:kern w:val="0"/>
                <w:sz w:val="18"/>
                <w:szCs w:val="18"/>
                <w:lang w:bidi="ar"/>
              </w:rPr>
              <w:t>达标情况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247A96A">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32D2556B">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F5E87B9">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D5A8AB1">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667905E">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ED8CF23">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0DAC2DD">
            <w:pPr>
              <w:widowControl/>
              <w:jc w:val="center"/>
              <w:textAlignment w:val="center"/>
              <w:rPr>
                <w:sz w:val="18"/>
                <w:szCs w:val="18"/>
              </w:rPr>
            </w:pPr>
            <w:r>
              <w:rPr>
                <w:kern w:val="0"/>
                <w:sz w:val="18"/>
                <w:szCs w:val="18"/>
                <w:lang w:bidi="ar"/>
              </w:rPr>
              <w:t>达标</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557F3E7C">
            <w:pPr>
              <w:widowControl/>
              <w:jc w:val="center"/>
              <w:textAlignment w:val="center"/>
              <w:rPr>
                <w:sz w:val="18"/>
                <w:szCs w:val="18"/>
              </w:rPr>
            </w:pPr>
            <w:r>
              <w:rPr>
                <w:kern w:val="0"/>
                <w:sz w:val="18"/>
                <w:szCs w:val="18"/>
                <w:lang w:bidi="ar"/>
              </w:rPr>
              <w:t>达标</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42C4222F">
            <w:pPr>
              <w:widowControl/>
              <w:jc w:val="center"/>
              <w:textAlignment w:val="center"/>
              <w:rPr>
                <w:sz w:val="18"/>
                <w:szCs w:val="18"/>
              </w:rPr>
            </w:pPr>
            <w:r>
              <w:rPr>
                <w:kern w:val="0"/>
                <w:sz w:val="18"/>
                <w:szCs w:val="18"/>
                <w:lang w:bidi="ar"/>
              </w:rPr>
              <w:t>达标</w:t>
            </w:r>
          </w:p>
        </w:tc>
      </w:tr>
      <w:tr w14:paraId="1839A69D">
        <w:tblPrEx>
          <w:tblCellMar>
            <w:top w:w="0" w:type="dxa"/>
            <w:left w:w="108" w:type="dxa"/>
            <w:bottom w:w="0" w:type="dxa"/>
            <w:right w:w="108" w:type="dxa"/>
          </w:tblCellMar>
        </w:tblPrEx>
        <w:trPr>
          <w:trHeight w:val="672" w:hRule="atLeast"/>
        </w:trPr>
        <w:tc>
          <w:tcPr>
            <w:tcW w:w="657" w:type="pct"/>
            <w:vMerge w:val="restart"/>
            <w:tcBorders>
              <w:top w:val="single" w:color="000000" w:sz="4" w:space="0"/>
              <w:left w:val="single" w:color="000000" w:sz="4" w:space="0"/>
              <w:right w:val="single" w:color="000000" w:sz="4" w:space="0"/>
            </w:tcBorders>
            <w:noWrap w:val="0"/>
            <w:vAlign w:val="center"/>
          </w:tcPr>
          <w:p w14:paraId="1BCA2099">
            <w:pPr>
              <w:widowControl/>
              <w:snapToGrid w:val="0"/>
              <w:jc w:val="center"/>
              <w:textAlignment w:val="center"/>
              <w:rPr>
                <w:b/>
                <w:bCs/>
                <w:sz w:val="18"/>
                <w:szCs w:val="18"/>
              </w:rPr>
            </w:pPr>
            <w:r>
              <w:rPr>
                <w:b/>
                <w:bCs/>
                <w:kern w:val="0"/>
                <w:sz w:val="18"/>
                <w:szCs w:val="18"/>
                <w:lang w:bidi="ar"/>
              </w:rPr>
              <w:t>检测点位</w:t>
            </w:r>
          </w:p>
          <w:p w14:paraId="68FD3AAA">
            <w:pPr>
              <w:widowControl/>
              <w:jc w:val="center"/>
              <w:textAlignment w:val="center"/>
              <w:rPr>
                <w:b/>
                <w:bCs/>
                <w:kern w:val="0"/>
                <w:sz w:val="18"/>
                <w:szCs w:val="18"/>
                <w:lang w:bidi="ar"/>
              </w:rPr>
            </w:pPr>
            <w:r>
              <w:rPr>
                <w:b/>
                <w:bCs/>
                <w:sz w:val="18"/>
                <w:szCs w:val="18"/>
              </w:rPr>
              <w:t>检测项目</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5107B90">
            <w:pPr>
              <w:widowControl/>
              <w:jc w:val="center"/>
              <w:textAlignment w:val="center"/>
              <w:rPr>
                <w:b/>
                <w:bCs/>
                <w:kern w:val="0"/>
                <w:sz w:val="18"/>
                <w:szCs w:val="18"/>
                <w:lang w:bidi="ar"/>
              </w:rPr>
            </w:pPr>
            <w:r>
              <w:rPr>
                <w:b/>
                <w:bCs/>
                <w:kern w:val="0"/>
                <w:sz w:val="18"/>
                <w:szCs w:val="18"/>
                <w:lang w:bidi="ar"/>
              </w:rPr>
              <w:t>pH值</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3B4EC1A7">
            <w:pPr>
              <w:widowControl/>
              <w:jc w:val="center"/>
              <w:textAlignment w:val="center"/>
              <w:rPr>
                <w:b/>
                <w:bCs/>
                <w:kern w:val="0"/>
                <w:sz w:val="18"/>
                <w:szCs w:val="18"/>
                <w:lang w:bidi="ar"/>
              </w:rPr>
            </w:pPr>
            <w:r>
              <w:rPr>
                <w:b/>
                <w:bCs/>
                <w:kern w:val="0"/>
                <w:sz w:val="18"/>
                <w:szCs w:val="18"/>
                <w:lang w:bidi="ar"/>
              </w:rPr>
              <w:t>镉</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55E7E1F">
            <w:pPr>
              <w:widowControl/>
              <w:jc w:val="center"/>
              <w:textAlignment w:val="center"/>
              <w:rPr>
                <w:b/>
                <w:bCs/>
                <w:kern w:val="0"/>
                <w:sz w:val="18"/>
                <w:szCs w:val="18"/>
                <w:lang w:bidi="ar"/>
              </w:rPr>
            </w:pPr>
            <w:r>
              <w:rPr>
                <w:b/>
                <w:bCs/>
                <w:kern w:val="0"/>
                <w:sz w:val="18"/>
                <w:szCs w:val="18"/>
                <w:lang w:bidi="ar"/>
              </w:rPr>
              <w:t>铅</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B6F8DF8">
            <w:pPr>
              <w:widowControl/>
              <w:jc w:val="center"/>
              <w:textAlignment w:val="center"/>
              <w:rPr>
                <w:b/>
                <w:bCs/>
                <w:kern w:val="0"/>
                <w:sz w:val="18"/>
                <w:szCs w:val="18"/>
                <w:lang w:bidi="ar"/>
              </w:rPr>
            </w:pPr>
            <w:r>
              <w:rPr>
                <w:b/>
                <w:bCs/>
                <w:kern w:val="0"/>
                <w:sz w:val="18"/>
                <w:szCs w:val="18"/>
                <w:lang w:bidi="ar"/>
              </w:rPr>
              <w:t>铜</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3F3F386">
            <w:pPr>
              <w:widowControl/>
              <w:jc w:val="center"/>
              <w:textAlignment w:val="center"/>
              <w:rPr>
                <w:b/>
                <w:bCs/>
                <w:kern w:val="0"/>
                <w:sz w:val="18"/>
                <w:szCs w:val="18"/>
                <w:lang w:bidi="ar"/>
              </w:rPr>
            </w:pPr>
            <w:r>
              <w:rPr>
                <w:b/>
                <w:bCs/>
                <w:kern w:val="0"/>
                <w:sz w:val="18"/>
                <w:szCs w:val="18"/>
                <w:lang w:bidi="ar"/>
              </w:rPr>
              <w:t>镍</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0AF6D8E">
            <w:pPr>
              <w:widowControl/>
              <w:jc w:val="center"/>
              <w:textAlignment w:val="center"/>
              <w:rPr>
                <w:b/>
                <w:bCs/>
                <w:kern w:val="0"/>
                <w:sz w:val="18"/>
                <w:szCs w:val="18"/>
                <w:lang w:bidi="ar"/>
              </w:rPr>
            </w:pPr>
            <w:r>
              <w:rPr>
                <w:b/>
                <w:bCs/>
                <w:kern w:val="0"/>
                <w:sz w:val="18"/>
                <w:szCs w:val="18"/>
                <w:lang w:bidi="ar"/>
              </w:rPr>
              <w:t>铬</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6D8864D">
            <w:pPr>
              <w:widowControl/>
              <w:jc w:val="center"/>
              <w:textAlignment w:val="center"/>
              <w:rPr>
                <w:b/>
                <w:bCs/>
                <w:kern w:val="0"/>
                <w:sz w:val="18"/>
                <w:szCs w:val="18"/>
                <w:lang w:bidi="ar"/>
              </w:rPr>
            </w:pPr>
            <w:r>
              <w:rPr>
                <w:b/>
                <w:bCs/>
                <w:kern w:val="0"/>
                <w:sz w:val="18"/>
                <w:szCs w:val="18"/>
                <w:lang w:bidi="ar"/>
              </w:rPr>
              <w:t>锌</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4B93C96E">
            <w:pPr>
              <w:widowControl/>
              <w:jc w:val="center"/>
              <w:textAlignment w:val="center"/>
              <w:rPr>
                <w:b/>
                <w:bCs/>
                <w:kern w:val="0"/>
                <w:sz w:val="18"/>
                <w:szCs w:val="18"/>
                <w:lang w:bidi="ar"/>
              </w:rPr>
            </w:pPr>
            <w:r>
              <w:rPr>
                <w:b/>
                <w:bCs/>
                <w:kern w:val="0"/>
                <w:sz w:val="18"/>
                <w:szCs w:val="18"/>
                <w:lang w:bidi="ar"/>
              </w:rPr>
              <w:t>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577CEA1D">
            <w:pPr>
              <w:widowControl/>
              <w:jc w:val="center"/>
              <w:textAlignment w:val="center"/>
              <w:rPr>
                <w:b/>
                <w:bCs/>
                <w:kern w:val="0"/>
                <w:sz w:val="18"/>
                <w:szCs w:val="18"/>
                <w:lang w:bidi="ar"/>
              </w:rPr>
            </w:pPr>
            <w:r>
              <w:rPr>
                <w:b/>
                <w:bCs/>
                <w:kern w:val="0"/>
                <w:sz w:val="18"/>
                <w:szCs w:val="18"/>
                <w:lang w:bidi="ar"/>
              </w:rPr>
              <w:t>汞</w:t>
            </w:r>
          </w:p>
        </w:tc>
      </w:tr>
      <w:tr w14:paraId="74F3BD74">
        <w:tblPrEx>
          <w:tblCellMar>
            <w:top w:w="0" w:type="dxa"/>
            <w:left w:w="108" w:type="dxa"/>
            <w:bottom w:w="0" w:type="dxa"/>
            <w:right w:w="108" w:type="dxa"/>
          </w:tblCellMar>
        </w:tblPrEx>
        <w:trPr>
          <w:trHeight w:val="285" w:hRule="atLeast"/>
        </w:trPr>
        <w:tc>
          <w:tcPr>
            <w:tcW w:w="657" w:type="pct"/>
            <w:vMerge w:val="continue"/>
            <w:tcBorders>
              <w:left w:val="single" w:color="000000" w:sz="4" w:space="0"/>
              <w:bottom w:val="single" w:color="000000" w:sz="4" w:space="0"/>
              <w:right w:val="single" w:color="000000" w:sz="4" w:space="0"/>
            </w:tcBorders>
            <w:noWrap w:val="0"/>
            <w:vAlign w:val="center"/>
          </w:tcPr>
          <w:p w14:paraId="2059C71A">
            <w:pPr>
              <w:jc w:val="center"/>
              <w:rPr>
                <w:b/>
                <w:bCs/>
                <w:kern w:val="0"/>
                <w:sz w:val="18"/>
                <w:szCs w:val="18"/>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93ABA40">
            <w:pPr>
              <w:widowControl/>
              <w:jc w:val="center"/>
              <w:textAlignment w:val="center"/>
              <w:rPr>
                <w:b/>
                <w:bCs/>
                <w:kern w:val="0"/>
                <w:sz w:val="18"/>
                <w:szCs w:val="18"/>
                <w:lang w:bidi="ar"/>
              </w:rPr>
            </w:pPr>
            <w:r>
              <w:rPr>
                <w:b/>
                <w:bCs/>
                <w:kern w:val="0"/>
                <w:sz w:val="18"/>
                <w:szCs w:val="18"/>
                <w:lang w:bidi="ar"/>
              </w:rPr>
              <w:t>无量纲</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15B232E5">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3F00F67">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DA572FA">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BE345FA">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3113187">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4671CC4">
            <w:pPr>
              <w:widowControl/>
              <w:jc w:val="center"/>
              <w:textAlignment w:val="center"/>
              <w:rPr>
                <w:b/>
                <w:bCs/>
                <w:kern w:val="0"/>
                <w:sz w:val="18"/>
                <w:szCs w:val="18"/>
                <w:lang w:bidi="ar"/>
              </w:rPr>
            </w:pPr>
            <w:r>
              <w:rPr>
                <w:b/>
                <w:bCs/>
                <w:kern w:val="0"/>
                <w:sz w:val="18"/>
                <w:szCs w:val="18"/>
                <w:lang w:bidi="ar"/>
              </w:rPr>
              <w:t>mg/kg</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19B2BEE4">
            <w:pPr>
              <w:widowControl/>
              <w:jc w:val="center"/>
              <w:textAlignment w:val="center"/>
              <w:rPr>
                <w:b/>
                <w:bCs/>
                <w:kern w:val="0"/>
                <w:sz w:val="18"/>
                <w:szCs w:val="18"/>
                <w:lang w:bidi="ar"/>
              </w:rPr>
            </w:pPr>
            <w:r>
              <w:rPr>
                <w:b/>
                <w:bCs/>
                <w:kern w:val="0"/>
                <w:sz w:val="18"/>
                <w:szCs w:val="18"/>
                <w:lang w:bidi="ar"/>
              </w:rPr>
              <w:t>mg/kg</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1B75E8E4">
            <w:pPr>
              <w:widowControl/>
              <w:jc w:val="center"/>
              <w:textAlignment w:val="center"/>
              <w:rPr>
                <w:b/>
                <w:bCs/>
                <w:kern w:val="0"/>
                <w:sz w:val="18"/>
                <w:szCs w:val="18"/>
                <w:lang w:bidi="ar"/>
              </w:rPr>
            </w:pPr>
            <w:r>
              <w:rPr>
                <w:b/>
                <w:bCs/>
                <w:kern w:val="0"/>
                <w:sz w:val="18"/>
                <w:szCs w:val="18"/>
                <w:lang w:bidi="ar"/>
              </w:rPr>
              <w:t>mg/kg</w:t>
            </w:r>
          </w:p>
        </w:tc>
      </w:tr>
      <w:tr w14:paraId="65859801">
        <w:tblPrEx>
          <w:tblCellMar>
            <w:top w:w="0" w:type="dxa"/>
            <w:left w:w="108" w:type="dxa"/>
            <w:bottom w:w="0" w:type="dxa"/>
            <w:right w:w="108" w:type="dxa"/>
          </w:tblCellMar>
        </w:tblPrEx>
        <w:trPr>
          <w:trHeight w:val="549"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547E5298">
            <w:pPr>
              <w:widowControl/>
              <w:textAlignment w:val="center"/>
              <w:rPr>
                <w:sz w:val="18"/>
                <w:szCs w:val="18"/>
              </w:rPr>
            </w:pPr>
            <w:r>
              <w:rPr>
                <w:kern w:val="0"/>
                <w:sz w:val="18"/>
                <w:szCs w:val="18"/>
                <w:lang w:bidi="ar"/>
              </w:rPr>
              <w:t>T3（拟建项目地块一东侧养殖区）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5950F42">
            <w:pPr>
              <w:widowControl/>
              <w:jc w:val="center"/>
              <w:textAlignment w:val="center"/>
              <w:rPr>
                <w:sz w:val="18"/>
                <w:szCs w:val="18"/>
              </w:rPr>
            </w:pPr>
            <w:r>
              <w:rPr>
                <w:kern w:val="0"/>
                <w:sz w:val="18"/>
                <w:szCs w:val="18"/>
                <w:lang w:bidi="ar"/>
              </w:rPr>
              <w:t>7.62</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7595AF2C">
            <w:pPr>
              <w:widowControl/>
              <w:jc w:val="center"/>
              <w:textAlignment w:val="center"/>
              <w:rPr>
                <w:sz w:val="18"/>
                <w:szCs w:val="18"/>
              </w:rPr>
            </w:pPr>
            <w:r>
              <w:rPr>
                <w:kern w:val="0"/>
                <w:sz w:val="18"/>
                <w:szCs w:val="18"/>
                <w:lang w:bidi="ar"/>
              </w:rPr>
              <w:t>0.27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6BBDC7A">
            <w:pPr>
              <w:widowControl/>
              <w:jc w:val="center"/>
              <w:textAlignment w:val="center"/>
              <w:rPr>
                <w:sz w:val="18"/>
                <w:szCs w:val="18"/>
              </w:rPr>
            </w:pPr>
            <w:r>
              <w:rPr>
                <w:kern w:val="0"/>
                <w:sz w:val="18"/>
                <w:szCs w:val="18"/>
                <w:lang w:bidi="ar"/>
              </w:rPr>
              <w:t>22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8469EFB">
            <w:pPr>
              <w:widowControl/>
              <w:jc w:val="center"/>
              <w:textAlignment w:val="center"/>
              <w:rPr>
                <w:sz w:val="18"/>
                <w:szCs w:val="18"/>
              </w:rPr>
            </w:pPr>
            <w:r>
              <w:rPr>
                <w:kern w:val="0"/>
                <w:sz w:val="18"/>
                <w:szCs w:val="18"/>
                <w:lang w:bidi="ar"/>
              </w:rPr>
              <w:t>79</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CA0FAFC">
            <w:pPr>
              <w:widowControl/>
              <w:jc w:val="center"/>
              <w:textAlignment w:val="center"/>
              <w:rPr>
                <w:sz w:val="18"/>
                <w:szCs w:val="18"/>
              </w:rPr>
            </w:pPr>
            <w:r>
              <w:rPr>
                <w:kern w:val="0"/>
                <w:sz w:val="18"/>
                <w:szCs w:val="18"/>
                <w:lang w:bidi="ar"/>
              </w:rPr>
              <w:t>130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6057B52">
            <w:pPr>
              <w:widowControl/>
              <w:jc w:val="center"/>
              <w:textAlignment w:val="center"/>
              <w:rPr>
                <w:sz w:val="18"/>
                <w:szCs w:val="18"/>
              </w:rPr>
            </w:pPr>
            <w:r>
              <w:rPr>
                <w:kern w:val="0"/>
                <w:sz w:val="18"/>
                <w:szCs w:val="18"/>
                <w:lang w:bidi="ar"/>
              </w:rPr>
              <w:t>122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95EE2A1">
            <w:pPr>
              <w:widowControl/>
              <w:jc w:val="center"/>
              <w:textAlignment w:val="center"/>
              <w:rPr>
                <w:sz w:val="18"/>
                <w:szCs w:val="18"/>
              </w:rPr>
            </w:pPr>
            <w:r>
              <w:rPr>
                <w:kern w:val="0"/>
                <w:sz w:val="18"/>
                <w:szCs w:val="18"/>
                <w:lang w:bidi="ar"/>
              </w:rPr>
              <w:t>83</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77BA2E98">
            <w:pPr>
              <w:widowControl/>
              <w:jc w:val="center"/>
              <w:textAlignment w:val="center"/>
              <w:rPr>
                <w:sz w:val="18"/>
                <w:szCs w:val="18"/>
              </w:rPr>
            </w:pPr>
            <w:r>
              <w:rPr>
                <w:kern w:val="0"/>
                <w:sz w:val="18"/>
                <w:szCs w:val="18"/>
                <w:lang w:bidi="ar"/>
              </w:rPr>
              <w:t>17.1</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7365EB3D">
            <w:pPr>
              <w:widowControl/>
              <w:jc w:val="center"/>
              <w:textAlignment w:val="center"/>
              <w:rPr>
                <w:sz w:val="18"/>
                <w:szCs w:val="18"/>
              </w:rPr>
            </w:pPr>
            <w:r>
              <w:rPr>
                <w:kern w:val="0"/>
                <w:sz w:val="18"/>
                <w:szCs w:val="18"/>
                <w:lang w:bidi="ar"/>
              </w:rPr>
              <w:t>1.75</w:t>
            </w:r>
          </w:p>
        </w:tc>
      </w:tr>
      <w:tr w14:paraId="06640115">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20419E5C">
            <w:pPr>
              <w:widowControl/>
              <w:textAlignment w:val="center"/>
              <w:rPr>
                <w:sz w:val="18"/>
                <w:szCs w:val="18"/>
              </w:rPr>
            </w:pPr>
            <w:r>
              <w:rPr>
                <w:kern w:val="0"/>
                <w:sz w:val="18"/>
                <w:szCs w:val="18"/>
                <w:lang w:bidi="ar"/>
              </w:rPr>
              <w:t>标准值</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263E18F">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388C8F1C">
            <w:pPr>
              <w:widowControl/>
              <w:jc w:val="center"/>
              <w:textAlignment w:val="center"/>
              <w:rPr>
                <w:sz w:val="18"/>
                <w:szCs w:val="18"/>
              </w:rPr>
            </w:pPr>
            <w:r>
              <w:rPr>
                <w:kern w:val="0"/>
                <w:sz w:val="18"/>
                <w:szCs w:val="18"/>
                <w:lang w:bidi="ar"/>
              </w:rPr>
              <w:t>0.6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3F3DB1E">
            <w:pPr>
              <w:widowControl/>
              <w:jc w:val="center"/>
              <w:textAlignment w:val="center"/>
              <w:rPr>
                <w:sz w:val="18"/>
                <w:szCs w:val="18"/>
              </w:rPr>
            </w:pPr>
            <w:r>
              <w:rPr>
                <w:kern w:val="0"/>
                <w:sz w:val="18"/>
                <w:szCs w:val="18"/>
                <w:lang w:bidi="ar"/>
              </w:rPr>
              <w:t>170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0C37037">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FC122A7">
            <w:pPr>
              <w:widowControl/>
              <w:jc w:val="center"/>
              <w:textAlignment w:val="center"/>
              <w:rPr>
                <w:sz w:val="18"/>
                <w:szCs w:val="18"/>
              </w:rPr>
            </w:pPr>
            <w:r>
              <w:rPr>
                <w:kern w:val="0"/>
                <w:sz w:val="18"/>
                <w:szCs w:val="18"/>
                <w:lang w:bidi="ar"/>
              </w:rPr>
              <w:t>190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E30BFB9">
            <w:pPr>
              <w:widowControl/>
              <w:jc w:val="center"/>
              <w:textAlignment w:val="center"/>
              <w:rPr>
                <w:sz w:val="18"/>
                <w:szCs w:val="18"/>
              </w:rPr>
            </w:pPr>
            <w:r>
              <w:rPr>
                <w:kern w:val="0"/>
                <w:sz w:val="18"/>
                <w:szCs w:val="18"/>
                <w:lang w:bidi="ar"/>
              </w:rPr>
              <w:t>250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FED068F">
            <w:pPr>
              <w:widowControl/>
              <w:jc w:val="center"/>
              <w:textAlignment w:val="center"/>
              <w:rPr>
                <w:sz w:val="18"/>
                <w:szCs w:val="18"/>
              </w:rPr>
            </w:pPr>
            <w:r>
              <w:rPr>
                <w:kern w:val="0"/>
                <w:sz w:val="18"/>
                <w:szCs w:val="18"/>
                <w:lang w:bidi="ar"/>
              </w:rPr>
              <w:t>300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75F56B4D">
            <w:pPr>
              <w:widowControl/>
              <w:jc w:val="center"/>
              <w:textAlignment w:val="center"/>
              <w:rPr>
                <w:sz w:val="18"/>
                <w:szCs w:val="18"/>
              </w:rPr>
            </w:pPr>
            <w:r>
              <w:rPr>
                <w:kern w:val="0"/>
                <w:sz w:val="18"/>
                <w:szCs w:val="18"/>
                <w:lang w:bidi="ar"/>
              </w:rPr>
              <w:t>25</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43B902E">
            <w:pPr>
              <w:widowControl/>
              <w:jc w:val="center"/>
              <w:textAlignment w:val="center"/>
              <w:rPr>
                <w:sz w:val="18"/>
                <w:szCs w:val="18"/>
              </w:rPr>
            </w:pPr>
            <w:r>
              <w:rPr>
                <w:kern w:val="0"/>
                <w:sz w:val="18"/>
                <w:szCs w:val="18"/>
                <w:lang w:bidi="ar"/>
              </w:rPr>
              <w:t>3.4</w:t>
            </w:r>
          </w:p>
        </w:tc>
      </w:tr>
      <w:tr w14:paraId="1BD49C71">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43EA1A52">
            <w:pPr>
              <w:widowControl/>
              <w:textAlignment w:val="center"/>
              <w:rPr>
                <w:sz w:val="18"/>
                <w:szCs w:val="18"/>
              </w:rPr>
            </w:pPr>
            <w:r>
              <w:rPr>
                <w:kern w:val="0"/>
                <w:sz w:val="18"/>
                <w:szCs w:val="18"/>
                <w:lang w:bidi="ar"/>
              </w:rPr>
              <w:t>达标情况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F9BB283">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38E15B29">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50CAF671">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BC99970">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B3198A4">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D4275BC">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0CB897A7">
            <w:pPr>
              <w:widowControl/>
              <w:jc w:val="center"/>
              <w:textAlignment w:val="center"/>
              <w:rPr>
                <w:sz w:val="18"/>
                <w:szCs w:val="18"/>
              </w:rPr>
            </w:pPr>
            <w:r>
              <w:rPr>
                <w:kern w:val="0"/>
                <w:sz w:val="18"/>
                <w:szCs w:val="18"/>
                <w:lang w:bidi="ar"/>
              </w:rPr>
              <w:t>达标</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09049FB7">
            <w:pPr>
              <w:widowControl/>
              <w:jc w:val="center"/>
              <w:textAlignment w:val="center"/>
              <w:rPr>
                <w:sz w:val="18"/>
                <w:szCs w:val="18"/>
              </w:rPr>
            </w:pPr>
            <w:r>
              <w:rPr>
                <w:kern w:val="0"/>
                <w:sz w:val="18"/>
                <w:szCs w:val="18"/>
                <w:lang w:bidi="ar"/>
              </w:rPr>
              <w:t>达标</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F6C6197">
            <w:pPr>
              <w:widowControl/>
              <w:jc w:val="center"/>
              <w:textAlignment w:val="center"/>
              <w:rPr>
                <w:sz w:val="18"/>
                <w:szCs w:val="18"/>
              </w:rPr>
            </w:pPr>
            <w:r>
              <w:rPr>
                <w:kern w:val="0"/>
                <w:sz w:val="18"/>
                <w:szCs w:val="18"/>
                <w:lang w:bidi="ar"/>
              </w:rPr>
              <w:t>达标</w:t>
            </w:r>
          </w:p>
        </w:tc>
      </w:tr>
      <w:tr w14:paraId="130345E7">
        <w:tblPrEx>
          <w:tblCellMar>
            <w:top w:w="0" w:type="dxa"/>
            <w:left w:w="108" w:type="dxa"/>
            <w:bottom w:w="0" w:type="dxa"/>
            <w:right w:w="108" w:type="dxa"/>
          </w:tblCellMar>
        </w:tblPrEx>
        <w:trPr>
          <w:trHeight w:val="1134" w:hRule="atLeast"/>
        </w:trPr>
        <w:tc>
          <w:tcPr>
            <w:tcW w:w="657" w:type="pct"/>
            <w:vMerge w:val="restart"/>
            <w:tcBorders>
              <w:top w:val="single" w:color="000000" w:sz="4" w:space="0"/>
              <w:left w:val="single" w:color="000000" w:sz="4" w:space="0"/>
              <w:bottom w:val="single" w:color="000000" w:sz="4" w:space="0"/>
              <w:right w:val="single" w:color="000000" w:sz="4" w:space="0"/>
            </w:tcBorders>
            <w:noWrap w:val="0"/>
            <w:vAlign w:val="center"/>
          </w:tcPr>
          <w:p w14:paraId="58A10BB5">
            <w:pPr>
              <w:widowControl/>
              <w:snapToGrid w:val="0"/>
              <w:jc w:val="center"/>
              <w:textAlignment w:val="center"/>
              <w:rPr>
                <w:b/>
                <w:bCs/>
                <w:sz w:val="18"/>
                <w:szCs w:val="18"/>
              </w:rPr>
            </w:pPr>
            <w:r>
              <w:rPr>
                <w:b/>
                <w:bCs/>
                <w:kern w:val="0"/>
                <w:sz w:val="18"/>
                <w:szCs w:val="18"/>
                <w:lang w:bidi="ar"/>
              </w:rPr>
              <w:t>检测点位</w:t>
            </w:r>
          </w:p>
          <w:p w14:paraId="43B70F6F">
            <w:pPr>
              <w:widowControl/>
              <w:jc w:val="center"/>
              <w:textAlignment w:val="center"/>
              <w:rPr>
                <w:b/>
                <w:bCs/>
                <w:sz w:val="18"/>
                <w:szCs w:val="18"/>
              </w:rPr>
            </w:pPr>
            <w:r>
              <w:rPr>
                <w:b/>
                <w:bCs/>
                <w:sz w:val="18"/>
                <w:szCs w:val="18"/>
              </w:rPr>
              <w:t>检测项目</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5273338">
            <w:pPr>
              <w:widowControl/>
              <w:jc w:val="center"/>
              <w:textAlignment w:val="center"/>
              <w:rPr>
                <w:b/>
                <w:bCs/>
                <w:sz w:val="18"/>
                <w:szCs w:val="18"/>
              </w:rPr>
            </w:pPr>
            <w:r>
              <w:rPr>
                <w:b/>
                <w:bCs/>
                <w:kern w:val="0"/>
                <w:sz w:val="18"/>
                <w:szCs w:val="18"/>
                <w:lang w:bidi="ar"/>
              </w:rPr>
              <w:t>pH值</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2F428B71">
            <w:pPr>
              <w:widowControl/>
              <w:jc w:val="center"/>
              <w:textAlignment w:val="center"/>
              <w:rPr>
                <w:b/>
                <w:bCs/>
                <w:sz w:val="18"/>
                <w:szCs w:val="18"/>
              </w:rPr>
            </w:pPr>
            <w:r>
              <w:rPr>
                <w:b/>
                <w:bCs/>
                <w:kern w:val="0"/>
                <w:sz w:val="18"/>
                <w:szCs w:val="18"/>
                <w:lang w:bidi="ar"/>
              </w:rPr>
              <w:t>镉</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B0CBCC9">
            <w:pPr>
              <w:widowControl/>
              <w:jc w:val="center"/>
              <w:textAlignment w:val="center"/>
              <w:rPr>
                <w:b/>
                <w:bCs/>
                <w:sz w:val="18"/>
                <w:szCs w:val="18"/>
              </w:rPr>
            </w:pPr>
            <w:r>
              <w:rPr>
                <w:b/>
                <w:bCs/>
                <w:kern w:val="0"/>
                <w:sz w:val="18"/>
                <w:szCs w:val="18"/>
                <w:lang w:bidi="ar"/>
              </w:rPr>
              <w:t>铅</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75486B5">
            <w:pPr>
              <w:widowControl/>
              <w:jc w:val="center"/>
              <w:textAlignment w:val="center"/>
              <w:rPr>
                <w:b/>
                <w:bCs/>
                <w:sz w:val="18"/>
                <w:szCs w:val="18"/>
              </w:rPr>
            </w:pPr>
            <w:r>
              <w:rPr>
                <w:b/>
                <w:bCs/>
                <w:kern w:val="0"/>
                <w:sz w:val="18"/>
                <w:szCs w:val="18"/>
                <w:lang w:bidi="ar"/>
              </w:rPr>
              <w:t>铜</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A27129D">
            <w:pPr>
              <w:widowControl/>
              <w:jc w:val="center"/>
              <w:textAlignment w:val="center"/>
              <w:rPr>
                <w:b/>
                <w:bCs/>
                <w:sz w:val="18"/>
                <w:szCs w:val="18"/>
              </w:rPr>
            </w:pPr>
            <w:r>
              <w:rPr>
                <w:b/>
                <w:bCs/>
                <w:kern w:val="0"/>
                <w:sz w:val="18"/>
                <w:szCs w:val="18"/>
                <w:lang w:bidi="ar"/>
              </w:rPr>
              <w:t>镍</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DB4B105">
            <w:pPr>
              <w:widowControl/>
              <w:jc w:val="center"/>
              <w:textAlignment w:val="center"/>
              <w:rPr>
                <w:b/>
                <w:bCs/>
                <w:sz w:val="18"/>
                <w:szCs w:val="18"/>
              </w:rPr>
            </w:pPr>
            <w:r>
              <w:rPr>
                <w:b/>
                <w:bCs/>
                <w:kern w:val="0"/>
                <w:sz w:val="18"/>
                <w:szCs w:val="18"/>
                <w:lang w:bidi="ar"/>
              </w:rPr>
              <w:t>铬</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DDF823A">
            <w:pPr>
              <w:widowControl/>
              <w:jc w:val="center"/>
              <w:textAlignment w:val="center"/>
              <w:rPr>
                <w:b/>
                <w:bCs/>
                <w:sz w:val="18"/>
                <w:szCs w:val="18"/>
              </w:rPr>
            </w:pPr>
            <w:r>
              <w:rPr>
                <w:b/>
                <w:bCs/>
                <w:kern w:val="0"/>
                <w:sz w:val="18"/>
                <w:szCs w:val="18"/>
                <w:lang w:bidi="ar"/>
              </w:rPr>
              <w:t>锌</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1E5E3BB7">
            <w:pPr>
              <w:widowControl/>
              <w:jc w:val="center"/>
              <w:textAlignment w:val="center"/>
              <w:rPr>
                <w:b/>
                <w:bCs/>
                <w:sz w:val="18"/>
                <w:szCs w:val="18"/>
              </w:rPr>
            </w:pPr>
            <w:r>
              <w:rPr>
                <w:b/>
                <w:bCs/>
                <w:kern w:val="0"/>
                <w:sz w:val="18"/>
                <w:szCs w:val="18"/>
                <w:lang w:bidi="ar"/>
              </w:rPr>
              <w:t>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3DE45076">
            <w:pPr>
              <w:widowControl/>
              <w:jc w:val="center"/>
              <w:textAlignment w:val="center"/>
              <w:rPr>
                <w:b/>
                <w:bCs/>
                <w:sz w:val="18"/>
                <w:szCs w:val="18"/>
              </w:rPr>
            </w:pPr>
            <w:r>
              <w:rPr>
                <w:b/>
                <w:bCs/>
                <w:kern w:val="0"/>
                <w:sz w:val="18"/>
                <w:szCs w:val="18"/>
                <w:lang w:bidi="ar"/>
              </w:rPr>
              <w:t>汞</w:t>
            </w:r>
          </w:p>
        </w:tc>
      </w:tr>
      <w:tr w14:paraId="4A158E2B">
        <w:tblPrEx>
          <w:tblCellMar>
            <w:top w:w="0" w:type="dxa"/>
            <w:left w:w="108" w:type="dxa"/>
            <w:bottom w:w="0" w:type="dxa"/>
            <w:right w:w="108" w:type="dxa"/>
          </w:tblCellMar>
        </w:tblPrEx>
        <w:trPr>
          <w:trHeight w:val="285" w:hRule="atLeast"/>
        </w:trPr>
        <w:tc>
          <w:tcPr>
            <w:tcW w:w="6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F0EB87">
            <w:pPr>
              <w:jc w:val="center"/>
              <w:rPr>
                <w:b/>
                <w:bCs/>
                <w:sz w:val="18"/>
                <w:szCs w:val="18"/>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8FAA2D9">
            <w:pPr>
              <w:widowControl/>
              <w:jc w:val="center"/>
              <w:textAlignment w:val="center"/>
              <w:rPr>
                <w:b/>
                <w:bCs/>
                <w:sz w:val="18"/>
                <w:szCs w:val="18"/>
              </w:rPr>
            </w:pPr>
            <w:r>
              <w:rPr>
                <w:b/>
                <w:bCs/>
                <w:kern w:val="0"/>
                <w:sz w:val="18"/>
                <w:szCs w:val="18"/>
                <w:lang w:bidi="ar"/>
              </w:rPr>
              <w:t>无量纲</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1BAF8ED0">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0A6BC85">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31B005E">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440373B">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1CE1696">
            <w:pPr>
              <w:widowControl/>
              <w:jc w:val="center"/>
              <w:textAlignment w:val="center"/>
              <w:rPr>
                <w:b/>
                <w:bCs/>
                <w:sz w:val="18"/>
                <w:szCs w:val="18"/>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2E56F9B">
            <w:pPr>
              <w:widowControl/>
              <w:jc w:val="center"/>
              <w:textAlignment w:val="center"/>
              <w:rPr>
                <w:b/>
                <w:bCs/>
                <w:sz w:val="18"/>
                <w:szCs w:val="18"/>
              </w:rPr>
            </w:pPr>
            <w:r>
              <w:rPr>
                <w:b/>
                <w:bCs/>
                <w:kern w:val="0"/>
                <w:sz w:val="18"/>
                <w:szCs w:val="18"/>
                <w:lang w:bidi="ar"/>
              </w:rPr>
              <w:t>mg/kg</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49FBDBA8">
            <w:pPr>
              <w:widowControl/>
              <w:jc w:val="center"/>
              <w:textAlignment w:val="center"/>
              <w:rPr>
                <w:b/>
                <w:bCs/>
                <w:sz w:val="18"/>
                <w:szCs w:val="18"/>
              </w:rPr>
            </w:pPr>
            <w:r>
              <w:rPr>
                <w:b/>
                <w:bCs/>
                <w:kern w:val="0"/>
                <w:sz w:val="18"/>
                <w:szCs w:val="18"/>
                <w:lang w:bidi="ar"/>
              </w:rPr>
              <w:t>mg/kg</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339E1E28">
            <w:pPr>
              <w:widowControl/>
              <w:jc w:val="center"/>
              <w:textAlignment w:val="center"/>
              <w:rPr>
                <w:b/>
                <w:bCs/>
                <w:sz w:val="18"/>
                <w:szCs w:val="18"/>
              </w:rPr>
            </w:pPr>
            <w:r>
              <w:rPr>
                <w:b/>
                <w:bCs/>
                <w:kern w:val="0"/>
                <w:sz w:val="18"/>
                <w:szCs w:val="18"/>
                <w:lang w:bidi="ar"/>
              </w:rPr>
              <w:t>mg/kg</w:t>
            </w:r>
          </w:p>
        </w:tc>
      </w:tr>
      <w:tr w14:paraId="206704A1">
        <w:tblPrEx>
          <w:tblCellMar>
            <w:top w:w="0" w:type="dxa"/>
            <w:left w:w="108" w:type="dxa"/>
            <w:bottom w:w="0" w:type="dxa"/>
            <w:right w:w="108" w:type="dxa"/>
          </w:tblCellMar>
        </w:tblPrEx>
        <w:trPr>
          <w:trHeight w:val="588"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575604F3">
            <w:pPr>
              <w:widowControl/>
              <w:jc w:val="center"/>
              <w:textAlignment w:val="center"/>
              <w:rPr>
                <w:sz w:val="18"/>
                <w:szCs w:val="18"/>
              </w:rPr>
            </w:pPr>
            <w:r>
              <w:rPr>
                <w:kern w:val="0"/>
                <w:sz w:val="18"/>
                <w:szCs w:val="18"/>
                <w:lang w:bidi="ar"/>
              </w:rPr>
              <w:t>T4（拟建项目地块二北侧养殖区）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39F7CEE">
            <w:pPr>
              <w:widowControl/>
              <w:jc w:val="center"/>
              <w:textAlignment w:val="center"/>
              <w:rPr>
                <w:sz w:val="18"/>
                <w:szCs w:val="18"/>
              </w:rPr>
            </w:pPr>
            <w:r>
              <w:rPr>
                <w:kern w:val="0"/>
                <w:sz w:val="18"/>
                <w:szCs w:val="18"/>
                <w:lang w:bidi="ar"/>
              </w:rPr>
              <w:t>7.56</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280FAF9B">
            <w:pPr>
              <w:widowControl/>
              <w:jc w:val="center"/>
              <w:textAlignment w:val="center"/>
              <w:rPr>
                <w:sz w:val="18"/>
                <w:szCs w:val="18"/>
              </w:rPr>
            </w:pPr>
            <w:r>
              <w:rPr>
                <w:kern w:val="0"/>
                <w:sz w:val="18"/>
                <w:szCs w:val="18"/>
                <w:lang w:bidi="ar"/>
              </w:rPr>
              <w:t>0.25</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60045E4">
            <w:pPr>
              <w:widowControl/>
              <w:jc w:val="center"/>
              <w:textAlignment w:val="center"/>
              <w:rPr>
                <w:sz w:val="18"/>
                <w:szCs w:val="18"/>
              </w:rPr>
            </w:pPr>
            <w:r>
              <w:rPr>
                <w:kern w:val="0"/>
                <w:sz w:val="18"/>
                <w:szCs w:val="18"/>
                <w:lang w:bidi="ar"/>
              </w:rPr>
              <w:t>48</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D2C9F0E">
            <w:pPr>
              <w:widowControl/>
              <w:jc w:val="center"/>
              <w:textAlignment w:val="center"/>
              <w:rPr>
                <w:sz w:val="18"/>
                <w:szCs w:val="18"/>
              </w:rPr>
            </w:pPr>
            <w:r>
              <w:rPr>
                <w:kern w:val="0"/>
                <w:sz w:val="18"/>
                <w:szCs w:val="18"/>
                <w:lang w:bidi="ar"/>
              </w:rPr>
              <w:t>87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AA92763">
            <w:pPr>
              <w:widowControl/>
              <w:jc w:val="center"/>
              <w:textAlignment w:val="center"/>
              <w:rPr>
                <w:sz w:val="18"/>
                <w:szCs w:val="18"/>
              </w:rPr>
            </w:pPr>
            <w:r>
              <w:rPr>
                <w:kern w:val="0"/>
                <w:sz w:val="18"/>
                <w:szCs w:val="18"/>
                <w:lang w:bidi="ar"/>
              </w:rPr>
              <w:t>170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53ACAF5">
            <w:pPr>
              <w:widowControl/>
              <w:jc w:val="center"/>
              <w:textAlignment w:val="center"/>
              <w:rPr>
                <w:sz w:val="18"/>
                <w:szCs w:val="18"/>
              </w:rPr>
            </w:pPr>
            <w:r>
              <w:rPr>
                <w:kern w:val="0"/>
                <w:sz w:val="18"/>
                <w:szCs w:val="18"/>
                <w:lang w:bidi="ar"/>
              </w:rPr>
              <w:t>143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A2F4D07">
            <w:pPr>
              <w:widowControl/>
              <w:jc w:val="center"/>
              <w:textAlignment w:val="center"/>
              <w:rPr>
                <w:sz w:val="18"/>
                <w:szCs w:val="18"/>
              </w:rPr>
            </w:pPr>
            <w:r>
              <w:rPr>
                <w:kern w:val="0"/>
                <w:sz w:val="18"/>
                <w:szCs w:val="18"/>
                <w:lang w:bidi="ar"/>
              </w:rPr>
              <w:t>126</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19F41ABE">
            <w:pPr>
              <w:widowControl/>
              <w:jc w:val="center"/>
              <w:textAlignment w:val="center"/>
              <w:rPr>
                <w:sz w:val="18"/>
                <w:szCs w:val="18"/>
              </w:rPr>
            </w:pPr>
            <w:r>
              <w:rPr>
                <w:kern w:val="0"/>
                <w:sz w:val="18"/>
                <w:szCs w:val="18"/>
                <w:lang w:bidi="ar"/>
              </w:rPr>
              <w:t>7.36</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4661E9B4">
            <w:pPr>
              <w:widowControl/>
              <w:jc w:val="center"/>
              <w:textAlignment w:val="center"/>
              <w:rPr>
                <w:sz w:val="18"/>
                <w:szCs w:val="18"/>
              </w:rPr>
            </w:pPr>
            <w:r>
              <w:rPr>
                <w:kern w:val="0"/>
                <w:sz w:val="18"/>
                <w:szCs w:val="18"/>
                <w:lang w:bidi="ar"/>
              </w:rPr>
              <w:t>0.254</w:t>
            </w:r>
          </w:p>
        </w:tc>
      </w:tr>
      <w:tr w14:paraId="4FF59E35">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13A6C7BE">
            <w:pPr>
              <w:widowControl/>
              <w:textAlignment w:val="center"/>
              <w:rPr>
                <w:sz w:val="18"/>
                <w:szCs w:val="18"/>
              </w:rPr>
            </w:pPr>
            <w:r>
              <w:rPr>
                <w:kern w:val="0"/>
                <w:sz w:val="18"/>
                <w:szCs w:val="18"/>
                <w:lang w:bidi="ar"/>
              </w:rPr>
              <w:t>标准值</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56CF541">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4FA2D2A4">
            <w:pPr>
              <w:widowControl/>
              <w:jc w:val="center"/>
              <w:textAlignment w:val="center"/>
              <w:rPr>
                <w:sz w:val="18"/>
                <w:szCs w:val="18"/>
              </w:rPr>
            </w:pPr>
            <w:r>
              <w:rPr>
                <w:kern w:val="0"/>
                <w:sz w:val="18"/>
                <w:szCs w:val="18"/>
                <w:lang w:bidi="ar"/>
              </w:rPr>
              <w:t>0.6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C2DBA84">
            <w:pPr>
              <w:widowControl/>
              <w:jc w:val="center"/>
              <w:textAlignment w:val="center"/>
              <w:rPr>
                <w:sz w:val="18"/>
                <w:szCs w:val="18"/>
              </w:rPr>
            </w:pPr>
            <w:r>
              <w:rPr>
                <w:kern w:val="0"/>
                <w:sz w:val="18"/>
                <w:szCs w:val="18"/>
                <w:lang w:bidi="ar"/>
              </w:rPr>
              <w:t>170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E074380">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168C1B3">
            <w:pPr>
              <w:widowControl/>
              <w:jc w:val="center"/>
              <w:textAlignment w:val="center"/>
              <w:rPr>
                <w:sz w:val="18"/>
                <w:szCs w:val="18"/>
              </w:rPr>
            </w:pPr>
            <w:r>
              <w:rPr>
                <w:kern w:val="0"/>
                <w:sz w:val="18"/>
                <w:szCs w:val="18"/>
                <w:lang w:bidi="ar"/>
              </w:rPr>
              <w:t>190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D170450">
            <w:pPr>
              <w:widowControl/>
              <w:jc w:val="center"/>
              <w:textAlignment w:val="center"/>
              <w:rPr>
                <w:sz w:val="18"/>
                <w:szCs w:val="18"/>
              </w:rPr>
            </w:pPr>
            <w:r>
              <w:rPr>
                <w:kern w:val="0"/>
                <w:sz w:val="18"/>
                <w:szCs w:val="18"/>
                <w:lang w:bidi="ar"/>
              </w:rPr>
              <w:t>250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ECE4D5D">
            <w:pPr>
              <w:widowControl/>
              <w:jc w:val="center"/>
              <w:textAlignment w:val="center"/>
              <w:rPr>
                <w:sz w:val="18"/>
                <w:szCs w:val="18"/>
              </w:rPr>
            </w:pPr>
            <w:r>
              <w:rPr>
                <w:kern w:val="0"/>
                <w:sz w:val="18"/>
                <w:szCs w:val="18"/>
                <w:lang w:bidi="ar"/>
              </w:rPr>
              <w:t>300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475B4DB4">
            <w:pPr>
              <w:widowControl/>
              <w:jc w:val="center"/>
              <w:textAlignment w:val="center"/>
              <w:rPr>
                <w:sz w:val="18"/>
                <w:szCs w:val="18"/>
              </w:rPr>
            </w:pPr>
            <w:r>
              <w:rPr>
                <w:kern w:val="0"/>
                <w:sz w:val="18"/>
                <w:szCs w:val="18"/>
                <w:lang w:bidi="ar"/>
              </w:rPr>
              <w:t>25</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6BF7EB7">
            <w:pPr>
              <w:widowControl/>
              <w:jc w:val="center"/>
              <w:textAlignment w:val="center"/>
              <w:rPr>
                <w:sz w:val="18"/>
                <w:szCs w:val="18"/>
              </w:rPr>
            </w:pPr>
            <w:r>
              <w:rPr>
                <w:kern w:val="0"/>
                <w:sz w:val="18"/>
                <w:szCs w:val="18"/>
                <w:lang w:bidi="ar"/>
              </w:rPr>
              <w:t>3.4</w:t>
            </w:r>
          </w:p>
        </w:tc>
      </w:tr>
      <w:tr w14:paraId="11807324">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48F4B902">
            <w:pPr>
              <w:widowControl/>
              <w:textAlignment w:val="center"/>
              <w:rPr>
                <w:sz w:val="18"/>
                <w:szCs w:val="18"/>
              </w:rPr>
            </w:pPr>
            <w:r>
              <w:rPr>
                <w:kern w:val="0"/>
                <w:sz w:val="18"/>
                <w:szCs w:val="18"/>
                <w:lang w:bidi="ar"/>
              </w:rPr>
              <w:t>达标情况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45FF5AF">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1E14A2ED">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961D91A">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CC3228F">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A19C99C">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0EC950B">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9A03BE5">
            <w:pPr>
              <w:widowControl/>
              <w:jc w:val="center"/>
              <w:textAlignment w:val="center"/>
              <w:rPr>
                <w:sz w:val="18"/>
                <w:szCs w:val="18"/>
              </w:rPr>
            </w:pPr>
            <w:r>
              <w:rPr>
                <w:kern w:val="0"/>
                <w:sz w:val="18"/>
                <w:szCs w:val="18"/>
                <w:lang w:bidi="ar"/>
              </w:rPr>
              <w:t>达标</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70E9B8E5">
            <w:pPr>
              <w:widowControl/>
              <w:jc w:val="center"/>
              <w:textAlignment w:val="center"/>
              <w:rPr>
                <w:sz w:val="18"/>
                <w:szCs w:val="18"/>
              </w:rPr>
            </w:pPr>
            <w:r>
              <w:rPr>
                <w:kern w:val="0"/>
                <w:sz w:val="18"/>
                <w:szCs w:val="18"/>
                <w:lang w:bidi="ar"/>
              </w:rPr>
              <w:t>达标</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D232A6D">
            <w:pPr>
              <w:widowControl/>
              <w:jc w:val="center"/>
              <w:textAlignment w:val="center"/>
              <w:rPr>
                <w:sz w:val="18"/>
                <w:szCs w:val="18"/>
              </w:rPr>
            </w:pPr>
            <w:r>
              <w:rPr>
                <w:kern w:val="0"/>
                <w:sz w:val="18"/>
                <w:szCs w:val="18"/>
                <w:lang w:bidi="ar"/>
              </w:rPr>
              <w:t>达标</w:t>
            </w:r>
          </w:p>
        </w:tc>
      </w:tr>
      <w:tr w14:paraId="7813C68B">
        <w:tblPrEx>
          <w:tblCellMar>
            <w:top w:w="0" w:type="dxa"/>
            <w:left w:w="108" w:type="dxa"/>
            <w:bottom w:w="0" w:type="dxa"/>
            <w:right w:w="108" w:type="dxa"/>
          </w:tblCellMar>
        </w:tblPrEx>
        <w:trPr>
          <w:trHeight w:val="430" w:hRule="atLeast"/>
        </w:trPr>
        <w:tc>
          <w:tcPr>
            <w:tcW w:w="657" w:type="pct"/>
            <w:vMerge w:val="restart"/>
            <w:tcBorders>
              <w:top w:val="single" w:color="000000" w:sz="4" w:space="0"/>
              <w:left w:val="single" w:color="000000" w:sz="4" w:space="0"/>
              <w:right w:val="single" w:color="000000" w:sz="4" w:space="0"/>
            </w:tcBorders>
            <w:noWrap w:val="0"/>
            <w:vAlign w:val="center"/>
          </w:tcPr>
          <w:p w14:paraId="074D2ED8">
            <w:pPr>
              <w:widowControl/>
              <w:snapToGrid w:val="0"/>
              <w:jc w:val="center"/>
              <w:textAlignment w:val="center"/>
              <w:rPr>
                <w:b/>
                <w:bCs/>
                <w:sz w:val="18"/>
                <w:szCs w:val="18"/>
              </w:rPr>
            </w:pPr>
            <w:r>
              <w:rPr>
                <w:b/>
                <w:bCs/>
                <w:kern w:val="0"/>
                <w:sz w:val="18"/>
                <w:szCs w:val="18"/>
                <w:lang w:bidi="ar"/>
              </w:rPr>
              <w:t>检测点位</w:t>
            </w:r>
          </w:p>
          <w:p w14:paraId="4B6573FA">
            <w:pPr>
              <w:widowControl/>
              <w:jc w:val="center"/>
              <w:textAlignment w:val="center"/>
              <w:rPr>
                <w:b/>
                <w:bCs/>
                <w:kern w:val="0"/>
                <w:sz w:val="18"/>
                <w:szCs w:val="18"/>
                <w:lang w:bidi="ar"/>
              </w:rPr>
            </w:pPr>
            <w:r>
              <w:rPr>
                <w:b/>
                <w:bCs/>
                <w:sz w:val="18"/>
                <w:szCs w:val="18"/>
              </w:rPr>
              <w:t>检测项目</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F85FD42">
            <w:pPr>
              <w:widowControl/>
              <w:jc w:val="center"/>
              <w:textAlignment w:val="center"/>
              <w:rPr>
                <w:b/>
                <w:bCs/>
                <w:kern w:val="0"/>
                <w:sz w:val="18"/>
                <w:szCs w:val="18"/>
                <w:lang w:bidi="ar"/>
              </w:rPr>
            </w:pPr>
            <w:r>
              <w:rPr>
                <w:b/>
                <w:bCs/>
                <w:kern w:val="0"/>
                <w:sz w:val="18"/>
                <w:szCs w:val="18"/>
                <w:lang w:bidi="ar"/>
              </w:rPr>
              <w:t>pH值</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13803542">
            <w:pPr>
              <w:widowControl/>
              <w:jc w:val="center"/>
              <w:textAlignment w:val="center"/>
              <w:rPr>
                <w:b/>
                <w:bCs/>
                <w:kern w:val="0"/>
                <w:sz w:val="18"/>
                <w:szCs w:val="18"/>
                <w:lang w:bidi="ar"/>
              </w:rPr>
            </w:pPr>
            <w:r>
              <w:rPr>
                <w:b/>
                <w:bCs/>
                <w:kern w:val="0"/>
                <w:sz w:val="18"/>
                <w:szCs w:val="18"/>
                <w:lang w:bidi="ar"/>
              </w:rPr>
              <w:t>镉</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AB6F160">
            <w:pPr>
              <w:widowControl/>
              <w:jc w:val="center"/>
              <w:textAlignment w:val="center"/>
              <w:rPr>
                <w:b/>
                <w:bCs/>
                <w:kern w:val="0"/>
                <w:sz w:val="18"/>
                <w:szCs w:val="18"/>
                <w:lang w:bidi="ar"/>
              </w:rPr>
            </w:pPr>
            <w:r>
              <w:rPr>
                <w:b/>
                <w:bCs/>
                <w:kern w:val="0"/>
                <w:sz w:val="18"/>
                <w:szCs w:val="18"/>
                <w:lang w:bidi="ar"/>
              </w:rPr>
              <w:t>铅</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F6040F6">
            <w:pPr>
              <w:widowControl/>
              <w:jc w:val="center"/>
              <w:textAlignment w:val="center"/>
              <w:rPr>
                <w:b/>
                <w:bCs/>
                <w:kern w:val="0"/>
                <w:sz w:val="18"/>
                <w:szCs w:val="18"/>
                <w:lang w:bidi="ar"/>
              </w:rPr>
            </w:pPr>
            <w:r>
              <w:rPr>
                <w:b/>
                <w:bCs/>
                <w:kern w:val="0"/>
                <w:sz w:val="18"/>
                <w:szCs w:val="18"/>
                <w:lang w:bidi="ar"/>
              </w:rPr>
              <w:t>铜</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23BA8B8">
            <w:pPr>
              <w:widowControl/>
              <w:jc w:val="center"/>
              <w:textAlignment w:val="center"/>
              <w:rPr>
                <w:b/>
                <w:bCs/>
                <w:kern w:val="0"/>
                <w:sz w:val="18"/>
                <w:szCs w:val="18"/>
                <w:lang w:bidi="ar"/>
              </w:rPr>
            </w:pPr>
            <w:r>
              <w:rPr>
                <w:b/>
                <w:bCs/>
                <w:kern w:val="0"/>
                <w:sz w:val="18"/>
                <w:szCs w:val="18"/>
                <w:lang w:bidi="ar"/>
              </w:rPr>
              <w:t>镍</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0DD265F">
            <w:pPr>
              <w:widowControl/>
              <w:jc w:val="center"/>
              <w:textAlignment w:val="center"/>
              <w:rPr>
                <w:b/>
                <w:bCs/>
                <w:kern w:val="0"/>
                <w:sz w:val="18"/>
                <w:szCs w:val="18"/>
                <w:lang w:bidi="ar"/>
              </w:rPr>
            </w:pPr>
            <w:r>
              <w:rPr>
                <w:b/>
                <w:bCs/>
                <w:kern w:val="0"/>
                <w:sz w:val="18"/>
                <w:szCs w:val="18"/>
                <w:lang w:bidi="ar"/>
              </w:rPr>
              <w:t>铬</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6220D18">
            <w:pPr>
              <w:widowControl/>
              <w:jc w:val="center"/>
              <w:textAlignment w:val="center"/>
              <w:rPr>
                <w:b/>
                <w:bCs/>
                <w:kern w:val="0"/>
                <w:sz w:val="18"/>
                <w:szCs w:val="18"/>
                <w:lang w:bidi="ar"/>
              </w:rPr>
            </w:pPr>
            <w:r>
              <w:rPr>
                <w:b/>
                <w:bCs/>
                <w:kern w:val="0"/>
                <w:sz w:val="18"/>
                <w:szCs w:val="18"/>
                <w:lang w:bidi="ar"/>
              </w:rPr>
              <w:t>锌</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FF212AE">
            <w:pPr>
              <w:widowControl/>
              <w:jc w:val="center"/>
              <w:textAlignment w:val="center"/>
              <w:rPr>
                <w:b/>
                <w:bCs/>
                <w:kern w:val="0"/>
                <w:sz w:val="18"/>
                <w:szCs w:val="18"/>
                <w:lang w:bidi="ar"/>
              </w:rPr>
            </w:pPr>
            <w:r>
              <w:rPr>
                <w:b/>
                <w:bCs/>
                <w:kern w:val="0"/>
                <w:sz w:val="18"/>
                <w:szCs w:val="18"/>
                <w:lang w:bidi="ar"/>
              </w:rPr>
              <w:t>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3F07CEA4">
            <w:pPr>
              <w:widowControl/>
              <w:jc w:val="center"/>
              <w:textAlignment w:val="center"/>
              <w:rPr>
                <w:b/>
                <w:bCs/>
                <w:kern w:val="0"/>
                <w:sz w:val="18"/>
                <w:szCs w:val="18"/>
                <w:lang w:bidi="ar"/>
              </w:rPr>
            </w:pPr>
            <w:r>
              <w:rPr>
                <w:b/>
                <w:bCs/>
                <w:kern w:val="0"/>
                <w:sz w:val="18"/>
                <w:szCs w:val="18"/>
                <w:lang w:bidi="ar"/>
              </w:rPr>
              <w:t>汞</w:t>
            </w:r>
          </w:p>
        </w:tc>
      </w:tr>
      <w:tr w14:paraId="0EB1A431">
        <w:tblPrEx>
          <w:tblCellMar>
            <w:top w:w="0" w:type="dxa"/>
            <w:left w:w="108" w:type="dxa"/>
            <w:bottom w:w="0" w:type="dxa"/>
            <w:right w:w="108" w:type="dxa"/>
          </w:tblCellMar>
        </w:tblPrEx>
        <w:trPr>
          <w:trHeight w:val="285" w:hRule="atLeast"/>
        </w:trPr>
        <w:tc>
          <w:tcPr>
            <w:tcW w:w="657" w:type="pct"/>
            <w:vMerge w:val="continue"/>
            <w:tcBorders>
              <w:left w:val="single" w:color="000000" w:sz="4" w:space="0"/>
              <w:bottom w:val="single" w:color="000000" w:sz="4" w:space="0"/>
              <w:right w:val="single" w:color="000000" w:sz="4" w:space="0"/>
            </w:tcBorders>
            <w:noWrap w:val="0"/>
            <w:vAlign w:val="center"/>
          </w:tcPr>
          <w:p w14:paraId="769314D0">
            <w:pPr>
              <w:jc w:val="center"/>
              <w:rPr>
                <w:b/>
                <w:bCs/>
                <w:kern w:val="0"/>
                <w:sz w:val="18"/>
                <w:szCs w:val="18"/>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8D6D446">
            <w:pPr>
              <w:widowControl/>
              <w:jc w:val="center"/>
              <w:textAlignment w:val="center"/>
              <w:rPr>
                <w:b/>
                <w:bCs/>
                <w:kern w:val="0"/>
                <w:sz w:val="18"/>
                <w:szCs w:val="18"/>
                <w:lang w:bidi="ar"/>
              </w:rPr>
            </w:pPr>
            <w:r>
              <w:rPr>
                <w:b/>
                <w:bCs/>
                <w:kern w:val="0"/>
                <w:sz w:val="18"/>
                <w:szCs w:val="18"/>
                <w:lang w:bidi="ar"/>
              </w:rPr>
              <w:t>无量纲</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634D47CE">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3CC56D8">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C122109">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673591A">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28E53F21">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1548352">
            <w:pPr>
              <w:widowControl/>
              <w:jc w:val="center"/>
              <w:textAlignment w:val="center"/>
              <w:rPr>
                <w:b/>
                <w:bCs/>
                <w:kern w:val="0"/>
                <w:sz w:val="18"/>
                <w:szCs w:val="18"/>
                <w:lang w:bidi="ar"/>
              </w:rPr>
            </w:pPr>
            <w:r>
              <w:rPr>
                <w:b/>
                <w:bCs/>
                <w:kern w:val="0"/>
                <w:sz w:val="18"/>
                <w:szCs w:val="18"/>
                <w:lang w:bidi="ar"/>
              </w:rPr>
              <w:t>mg/kg</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ECA7C12">
            <w:pPr>
              <w:widowControl/>
              <w:jc w:val="center"/>
              <w:textAlignment w:val="center"/>
              <w:rPr>
                <w:b/>
                <w:bCs/>
                <w:kern w:val="0"/>
                <w:sz w:val="18"/>
                <w:szCs w:val="18"/>
                <w:lang w:bidi="ar"/>
              </w:rPr>
            </w:pPr>
            <w:r>
              <w:rPr>
                <w:b/>
                <w:bCs/>
                <w:kern w:val="0"/>
                <w:sz w:val="18"/>
                <w:szCs w:val="18"/>
                <w:lang w:bidi="ar"/>
              </w:rPr>
              <w:t>mg/kg</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56CEF982">
            <w:pPr>
              <w:widowControl/>
              <w:jc w:val="center"/>
              <w:textAlignment w:val="center"/>
              <w:rPr>
                <w:b/>
                <w:bCs/>
                <w:kern w:val="0"/>
                <w:sz w:val="18"/>
                <w:szCs w:val="18"/>
                <w:lang w:bidi="ar"/>
              </w:rPr>
            </w:pPr>
            <w:r>
              <w:rPr>
                <w:b/>
                <w:bCs/>
                <w:kern w:val="0"/>
                <w:sz w:val="18"/>
                <w:szCs w:val="18"/>
                <w:lang w:bidi="ar"/>
              </w:rPr>
              <w:t>mg/kg</w:t>
            </w:r>
          </w:p>
        </w:tc>
      </w:tr>
      <w:tr w14:paraId="012DD926">
        <w:tblPrEx>
          <w:tblCellMar>
            <w:top w:w="0" w:type="dxa"/>
            <w:left w:w="108" w:type="dxa"/>
            <w:bottom w:w="0" w:type="dxa"/>
            <w:right w:w="108" w:type="dxa"/>
          </w:tblCellMar>
        </w:tblPrEx>
        <w:trPr>
          <w:trHeight w:val="1053"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26449212">
            <w:pPr>
              <w:widowControl/>
              <w:jc w:val="center"/>
              <w:textAlignment w:val="center"/>
              <w:rPr>
                <w:sz w:val="18"/>
                <w:szCs w:val="18"/>
              </w:rPr>
            </w:pPr>
            <w:r>
              <w:rPr>
                <w:kern w:val="0"/>
                <w:sz w:val="18"/>
                <w:szCs w:val="18"/>
                <w:lang w:bidi="ar"/>
              </w:rPr>
              <w:t>T5（拟建项目地块二南侧养殖区东部）</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CF4C647">
            <w:pPr>
              <w:widowControl/>
              <w:jc w:val="center"/>
              <w:textAlignment w:val="center"/>
              <w:rPr>
                <w:sz w:val="18"/>
                <w:szCs w:val="18"/>
              </w:rPr>
            </w:pPr>
            <w:r>
              <w:rPr>
                <w:kern w:val="0"/>
                <w:sz w:val="18"/>
                <w:szCs w:val="18"/>
                <w:lang w:bidi="ar"/>
              </w:rPr>
              <w:t>6.63</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7ADB0C7D">
            <w:pPr>
              <w:widowControl/>
              <w:jc w:val="center"/>
              <w:textAlignment w:val="center"/>
              <w:rPr>
                <w:sz w:val="18"/>
                <w:szCs w:val="18"/>
              </w:rPr>
            </w:pPr>
            <w:r>
              <w:rPr>
                <w:kern w:val="0"/>
                <w:sz w:val="18"/>
                <w:szCs w:val="18"/>
                <w:lang w:bidi="ar"/>
              </w:rPr>
              <w:t>0.27</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BF2F003">
            <w:pPr>
              <w:widowControl/>
              <w:jc w:val="center"/>
              <w:textAlignment w:val="center"/>
              <w:rPr>
                <w:sz w:val="18"/>
                <w:szCs w:val="18"/>
              </w:rPr>
            </w:pPr>
            <w:r>
              <w:rPr>
                <w:kern w:val="0"/>
                <w:sz w:val="18"/>
                <w:szCs w:val="18"/>
                <w:lang w:bidi="ar"/>
              </w:rPr>
              <w:t>66</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4978691">
            <w:pPr>
              <w:widowControl/>
              <w:jc w:val="center"/>
              <w:textAlignment w:val="center"/>
              <w:rPr>
                <w:sz w:val="18"/>
                <w:szCs w:val="18"/>
              </w:rPr>
            </w:pPr>
            <w:r>
              <w:rPr>
                <w:kern w:val="0"/>
                <w:sz w:val="18"/>
                <w:szCs w:val="18"/>
                <w:lang w:bidi="ar"/>
              </w:rPr>
              <w:t>84</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5B58001">
            <w:pPr>
              <w:widowControl/>
              <w:jc w:val="center"/>
              <w:textAlignment w:val="center"/>
              <w:rPr>
                <w:sz w:val="18"/>
                <w:szCs w:val="18"/>
              </w:rPr>
            </w:pPr>
            <w:r>
              <w:rPr>
                <w:kern w:val="0"/>
                <w:sz w:val="18"/>
                <w:szCs w:val="18"/>
                <w:lang w:bidi="ar"/>
              </w:rPr>
              <w:t>62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1422968">
            <w:pPr>
              <w:widowControl/>
              <w:jc w:val="center"/>
              <w:textAlignment w:val="center"/>
              <w:rPr>
                <w:sz w:val="18"/>
                <w:szCs w:val="18"/>
              </w:rPr>
            </w:pPr>
            <w:r>
              <w:rPr>
                <w:kern w:val="0"/>
                <w:sz w:val="18"/>
                <w:szCs w:val="18"/>
                <w:lang w:bidi="ar"/>
              </w:rPr>
              <w:t>92</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5A66BF6">
            <w:pPr>
              <w:widowControl/>
              <w:jc w:val="center"/>
              <w:textAlignment w:val="center"/>
              <w:rPr>
                <w:sz w:val="18"/>
                <w:szCs w:val="18"/>
              </w:rPr>
            </w:pPr>
            <w:r>
              <w:rPr>
                <w:kern w:val="0"/>
                <w:sz w:val="18"/>
                <w:szCs w:val="18"/>
                <w:lang w:bidi="ar"/>
              </w:rPr>
              <w:t>230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0D3BC6DC">
            <w:pPr>
              <w:widowControl/>
              <w:jc w:val="center"/>
              <w:textAlignment w:val="center"/>
              <w:rPr>
                <w:sz w:val="18"/>
                <w:szCs w:val="18"/>
              </w:rPr>
            </w:pPr>
            <w:r>
              <w:rPr>
                <w:kern w:val="0"/>
                <w:sz w:val="18"/>
                <w:szCs w:val="18"/>
                <w:lang w:bidi="ar"/>
              </w:rPr>
              <w:t>22</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41868CE2">
            <w:pPr>
              <w:widowControl/>
              <w:jc w:val="center"/>
              <w:textAlignment w:val="center"/>
              <w:rPr>
                <w:sz w:val="18"/>
                <w:szCs w:val="18"/>
              </w:rPr>
            </w:pPr>
            <w:r>
              <w:rPr>
                <w:kern w:val="0"/>
                <w:sz w:val="18"/>
                <w:szCs w:val="18"/>
                <w:lang w:bidi="ar"/>
              </w:rPr>
              <w:t>0.992</w:t>
            </w:r>
          </w:p>
        </w:tc>
      </w:tr>
      <w:tr w14:paraId="4C85274A">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3DC24193">
            <w:pPr>
              <w:widowControl/>
              <w:textAlignment w:val="center"/>
              <w:rPr>
                <w:sz w:val="18"/>
                <w:szCs w:val="18"/>
              </w:rPr>
            </w:pPr>
            <w:r>
              <w:rPr>
                <w:kern w:val="0"/>
                <w:sz w:val="18"/>
                <w:szCs w:val="18"/>
                <w:lang w:bidi="ar"/>
              </w:rPr>
              <w:t>标准值</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BE9D092">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468ECA7F">
            <w:pPr>
              <w:widowControl/>
              <w:jc w:val="center"/>
              <w:textAlignment w:val="center"/>
              <w:rPr>
                <w:sz w:val="18"/>
                <w:szCs w:val="18"/>
              </w:rPr>
            </w:pPr>
            <w:r>
              <w:rPr>
                <w:kern w:val="0"/>
                <w:sz w:val="18"/>
                <w:szCs w:val="18"/>
                <w:lang w:bidi="ar"/>
              </w:rPr>
              <w:t>0.3</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5EA6E16F">
            <w:pPr>
              <w:widowControl/>
              <w:jc w:val="center"/>
              <w:textAlignment w:val="center"/>
              <w:rPr>
                <w:sz w:val="18"/>
                <w:szCs w:val="18"/>
              </w:rPr>
            </w:pPr>
            <w:r>
              <w:rPr>
                <w:kern w:val="0"/>
                <w:sz w:val="18"/>
                <w:szCs w:val="18"/>
                <w:lang w:bidi="ar"/>
              </w:rPr>
              <w:t>120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9E43EB8">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AD9A532">
            <w:pPr>
              <w:widowControl/>
              <w:jc w:val="center"/>
              <w:textAlignment w:val="center"/>
              <w:rPr>
                <w:sz w:val="18"/>
                <w:szCs w:val="18"/>
              </w:rPr>
            </w:pPr>
            <w:r>
              <w:rPr>
                <w:kern w:val="0"/>
                <w:sz w:val="18"/>
                <w:szCs w:val="18"/>
                <w:lang w:bidi="ar"/>
              </w:rPr>
              <w:t>100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153EE80">
            <w:pPr>
              <w:widowControl/>
              <w:jc w:val="center"/>
              <w:textAlignment w:val="center"/>
              <w:rPr>
                <w:sz w:val="18"/>
                <w:szCs w:val="18"/>
              </w:rPr>
            </w:pPr>
            <w:r>
              <w:rPr>
                <w:kern w:val="0"/>
                <w:sz w:val="18"/>
                <w:szCs w:val="18"/>
                <w:lang w:bidi="ar"/>
              </w:rPr>
              <w:t>200</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12EDBAF">
            <w:pPr>
              <w:widowControl/>
              <w:jc w:val="center"/>
              <w:textAlignment w:val="center"/>
              <w:rPr>
                <w:sz w:val="18"/>
                <w:szCs w:val="18"/>
              </w:rPr>
            </w:pPr>
            <w:r>
              <w:rPr>
                <w:kern w:val="0"/>
                <w:sz w:val="18"/>
                <w:szCs w:val="18"/>
                <w:lang w:bidi="ar"/>
              </w:rPr>
              <w:t>250</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3A81A9C1">
            <w:pPr>
              <w:widowControl/>
              <w:jc w:val="center"/>
              <w:textAlignment w:val="center"/>
              <w:rPr>
                <w:sz w:val="18"/>
                <w:szCs w:val="18"/>
              </w:rPr>
            </w:pPr>
            <w:r>
              <w:rPr>
                <w:kern w:val="0"/>
                <w:sz w:val="18"/>
                <w:szCs w:val="18"/>
                <w:lang w:bidi="ar"/>
              </w:rPr>
              <w:t>30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1622EE53">
            <w:pPr>
              <w:widowControl/>
              <w:jc w:val="center"/>
              <w:textAlignment w:val="center"/>
              <w:rPr>
                <w:sz w:val="18"/>
                <w:szCs w:val="18"/>
              </w:rPr>
            </w:pPr>
            <w:r>
              <w:rPr>
                <w:kern w:val="0"/>
                <w:sz w:val="18"/>
                <w:szCs w:val="18"/>
                <w:lang w:bidi="ar"/>
              </w:rPr>
              <w:t>2.4</w:t>
            </w:r>
          </w:p>
        </w:tc>
      </w:tr>
      <w:tr w14:paraId="40EF0DFB">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1AA7BC2F">
            <w:pPr>
              <w:widowControl/>
              <w:textAlignment w:val="center"/>
              <w:rPr>
                <w:sz w:val="18"/>
                <w:szCs w:val="18"/>
              </w:rPr>
            </w:pPr>
            <w:r>
              <w:rPr>
                <w:kern w:val="0"/>
                <w:sz w:val="18"/>
                <w:szCs w:val="18"/>
                <w:lang w:bidi="ar"/>
              </w:rPr>
              <w:t>达标情况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215E074">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2A7EA4AE">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774AADB">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BAD91AA">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513F2B7">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3EA4E81">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5E80646">
            <w:pPr>
              <w:widowControl/>
              <w:jc w:val="center"/>
              <w:textAlignment w:val="center"/>
              <w:rPr>
                <w:sz w:val="18"/>
                <w:szCs w:val="18"/>
              </w:rPr>
            </w:pPr>
            <w:r>
              <w:rPr>
                <w:kern w:val="0"/>
                <w:sz w:val="18"/>
                <w:szCs w:val="18"/>
                <w:lang w:bidi="ar"/>
              </w:rPr>
              <w:t>达标</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09FC725C">
            <w:pPr>
              <w:widowControl/>
              <w:jc w:val="center"/>
              <w:textAlignment w:val="center"/>
              <w:rPr>
                <w:sz w:val="18"/>
                <w:szCs w:val="18"/>
              </w:rPr>
            </w:pPr>
            <w:r>
              <w:rPr>
                <w:kern w:val="0"/>
                <w:sz w:val="18"/>
                <w:szCs w:val="18"/>
                <w:lang w:bidi="ar"/>
              </w:rPr>
              <w:t>达标</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671BFC32">
            <w:pPr>
              <w:widowControl/>
              <w:jc w:val="center"/>
              <w:textAlignment w:val="center"/>
              <w:rPr>
                <w:sz w:val="18"/>
                <w:szCs w:val="18"/>
              </w:rPr>
            </w:pPr>
            <w:r>
              <w:rPr>
                <w:kern w:val="0"/>
                <w:sz w:val="18"/>
                <w:szCs w:val="18"/>
                <w:lang w:bidi="ar"/>
              </w:rPr>
              <w:t>达标</w:t>
            </w:r>
          </w:p>
        </w:tc>
      </w:tr>
      <w:tr w14:paraId="7C8A38E1">
        <w:tblPrEx>
          <w:tblCellMar>
            <w:top w:w="0" w:type="dxa"/>
            <w:left w:w="108" w:type="dxa"/>
            <w:bottom w:w="0" w:type="dxa"/>
            <w:right w:w="108" w:type="dxa"/>
          </w:tblCellMar>
        </w:tblPrEx>
        <w:trPr>
          <w:trHeight w:val="488" w:hRule="atLeast"/>
        </w:trPr>
        <w:tc>
          <w:tcPr>
            <w:tcW w:w="657" w:type="pct"/>
            <w:vMerge w:val="restart"/>
            <w:tcBorders>
              <w:top w:val="single" w:color="000000" w:sz="4" w:space="0"/>
              <w:left w:val="single" w:color="000000" w:sz="4" w:space="0"/>
              <w:right w:val="single" w:color="000000" w:sz="4" w:space="0"/>
            </w:tcBorders>
            <w:noWrap w:val="0"/>
            <w:vAlign w:val="center"/>
          </w:tcPr>
          <w:p w14:paraId="6C3B11E1">
            <w:pPr>
              <w:widowControl/>
              <w:snapToGrid w:val="0"/>
              <w:jc w:val="center"/>
              <w:textAlignment w:val="center"/>
              <w:rPr>
                <w:b/>
                <w:bCs/>
                <w:sz w:val="18"/>
                <w:szCs w:val="18"/>
              </w:rPr>
            </w:pPr>
            <w:r>
              <w:rPr>
                <w:b/>
                <w:bCs/>
                <w:kern w:val="0"/>
                <w:sz w:val="18"/>
                <w:szCs w:val="18"/>
                <w:lang w:bidi="ar"/>
              </w:rPr>
              <w:t>检测点位</w:t>
            </w:r>
          </w:p>
          <w:p w14:paraId="651D0EC2">
            <w:pPr>
              <w:widowControl/>
              <w:jc w:val="center"/>
              <w:textAlignment w:val="center"/>
              <w:rPr>
                <w:b/>
                <w:bCs/>
                <w:kern w:val="0"/>
                <w:sz w:val="18"/>
                <w:szCs w:val="18"/>
                <w:lang w:bidi="ar"/>
              </w:rPr>
            </w:pPr>
            <w:r>
              <w:rPr>
                <w:b/>
                <w:bCs/>
                <w:sz w:val="18"/>
                <w:szCs w:val="18"/>
              </w:rPr>
              <w:t>检测项目</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8377609">
            <w:pPr>
              <w:widowControl/>
              <w:jc w:val="center"/>
              <w:textAlignment w:val="center"/>
              <w:rPr>
                <w:b/>
                <w:bCs/>
                <w:kern w:val="0"/>
                <w:sz w:val="18"/>
                <w:szCs w:val="18"/>
                <w:lang w:bidi="ar"/>
              </w:rPr>
            </w:pPr>
            <w:r>
              <w:rPr>
                <w:b/>
                <w:bCs/>
                <w:kern w:val="0"/>
                <w:sz w:val="18"/>
                <w:szCs w:val="18"/>
                <w:lang w:bidi="ar"/>
              </w:rPr>
              <w:t>pH值</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629FCE58">
            <w:pPr>
              <w:widowControl/>
              <w:jc w:val="center"/>
              <w:textAlignment w:val="center"/>
              <w:rPr>
                <w:b/>
                <w:bCs/>
                <w:kern w:val="0"/>
                <w:sz w:val="18"/>
                <w:szCs w:val="18"/>
                <w:lang w:bidi="ar"/>
              </w:rPr>
            </w:pPr>
            <w:r>
              <w:rPr>
                <w:b/>
                <w:bCs/>
                <w:kern w:val="0"/>
                <w:sz w:val="18"/>
                <w:szCs w:val="18"/>
                <w:lang w:bidi="ar"/>
              </w:rPr>
              <w:t>镉</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762ED9B">
            <w:pPr>
              <w:widowControl/>
              <w:jc w:val="center"/>
              <w:textAlignment w:val="center"/>
              <w:rPr>
                <w:b/>
                <w:bCs/>
                <w:kern w:val="0"/>
                <w:sz w:val="18"/>
                <w:szCs w:val="18"/>
                <w:lang w:bidi="ar"/>
              </w:rPr>
            </w:pPr>
            <w:r>
              <w:rPr>
                <w:b/>
                <w:bCs/>
                <w:kern w:val="0"/>
                <w:sz w:val="18"/>
                <w:szCs w:val="18"/>
                <w:lang w:bidi="ar"/>
              </w:rPr>
              <w:t>铅</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E239A2E">
            <w:pPr>
              <w:widowControl/>
              <w:jc w:val="center"/>
              <w:textAlignment w:val="center"/>
              <w:rPr>
                <w:b/>
                <w:bCs/>
                <w:kern w:val="0"/>
                <w:sz w:val="18"/>
                <w:szCs w:val="18"/>
                <w:lang w:bidi="ar"/>
              </w:rPr>
            </w:pPr>
            <w:r>
              <w:rPr>
                <w:b/>
                <w:bCs/>
                <w:kern w:val="0"/>
                <w:sz w:val="18"/>
                <w:szCs w:val="18"/>
                <w:lang w:bidi="ar"/>
              </w:rPr>
              <w:t>铜</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8B27C33">
            <w:pPr>
              <w:widowControl/>
              <w:jc w:val="center"/>
              <w:textAlignment w:val="center"/>
              <w:rPr>
                <w:b/>
                <w:bCs/>
                <w:kern w:val="0"/>
                <w:sz w:val="18"/>
                <w:szCs w:val="18"/>
                <w:lang w:bidi="ar"/>
              </w:rPr>
            </w:pPr>
            <w:r>
              <w:rPr>
                <w:b/>
                <w:bCs/>
                <w:kern w:val="0"/>
                <w:sz w:val="18"/>
                <w:szCs w:val="18"/>
                <w:lang w:bidi="ar"/>
              </w:rPr>
              <w:t>镍</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C86041D">
            <w:pPr>
              <w:widowControl/>
              <w:jc w:val="center"/>
              <w:textAlignment w:val="center"/>
              <w:rPr>
                <w:b/>
                <w:bCs/>
                <w:kern w:val="0"/>
                <w:sz w:val="18"/>
                <w:szCs w:val="18"/>
                <w:lang w:bidi="ar"/>
              </w:rPr>
            </w:pPr>
            <w:r>
              <w:rPr>
                <w:b/>
                <w:bCs/>
                <w:kern w:val="0"/>
                <w:sz w:val="18"/>
                <w:szCs w:val="18"/>
                <w:lang w:bidi="ar"/>
              </w:rPr>
              <w:t>铬</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1D1D28D3">
            <w:pPr>
              <w:widowControl/>
              <w:jc w:val="center"/>
              <w:textAlignment w:val="center"/>
              <w:rPr>
                <w:b/>
                <w:bCs/>
                <w:kern w:val="0"/>
                <w:sz w:val="18"/>
                <w:szCs w:val="18"/>
                <w:lang w:bidi="ar"/>
              </w:rPr>
            </w:pPr>
            <w:r>
              <w:rPr>
                <w:b/>
                <w:bCs/>
                <w:kern w:val="0"/>
                <w:sz w:val="18"/>
                <w:szCs w:val="18"/>
                <w:lang w:bidi="ar"/>
              </w:rPr>
              <w:t>锌</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E0731B7">
            <w:pPr>
              <w:widowControl/>
              <w:jc w:val="center"/>
              <w:textAlignment w:val="center"/>
              <w:rPr>
                <w:b/>
                <w:bCs/>
                <w:kern w:val="0"/>
                <w:sz w:val="18"/>
                <w:szCs w:val="18"/>
                <w:lang w:bidi="ar"/>
              </w:rPr>
            </w:pPr>
            <w:r>
              <w:rPr>
                <w:b/>
                <w:bCs/>
                <w:kern w:val="0"/>
                <w:sz w:val="18"/>
                <w:szCs w:val="18"/>
                <w:lang w:bidi="ar"/>
              </w:rPr>
              <w:t>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087505FB">
            <w:pPr>
              <w:widowControl/>
              <w:jc w:val="center"/>
              <w:textAlignment w:val="center"/>
              <w:rPr>
                <w:b/>
                <w:bCs/>
                <w:kern w:val="0"/>
                <w:sz w:val="18"/>
                <w:szCs w:val="18"/>
                <w:lang w:bidi="ar"/>
              </w:rPr>
            </w:pPr>
            <w:r>
              <w:rPr>
                <w:b/>
                <w:bCs/>
                <w:kern w:val="0"/>
                <w:sz w:val="18"/>
                <w:szCs w:val="18"/>
                <w:lang w:bidi="ar"/>
              </w:rPr>
              <w:t>汞</w:t>
            </w:r>
          </w:p>
        </w:tc>
      </w:tr>
      <w:tr w14:paraId="6F3DCCBD">
        <w:tblPrEx>
          <w:tblCellMar>
            <w:top w:w="0" w:type="dxa"/>
            <w:left w:w="108" w:type="dxa"/>
            <w:bottom w:w="0" w:type="dxa"/>
            <w:right w:w="108" w:type="dxa"/>
          </w:tblCellMar>
        </w:tblPrEx>
        <w:trPr>
          <w:trHeight w:val="285" w:hRule="atLeast"/>
        </w:trPr>
        <w:tc>
          <w:tcPr>
            <w:tcW w:w="657" w:type="pct"/>
            <w:vMerge w:val="continue"/>
            <w:tcBorders>
              <w:left w:val="single" w:color="000000" w:sz="4" w:space="0"/>
              <w:bottom w:val="single" w:color="000000" w:sz="4" w:space="0"/>
              <w:right w:val="single" w:color="000000" w:sz="4" w:space="0"/>
            </w:tcBorders>
            <w:noWrap w:val="0"/>
            <w:vAlign w:val="center"/>
          </w:tcPr>
          <w:p w14:paraId="71FEE6A3">
            <w:pPr>
              <w:jc w:val="center"/>
              <w:rPr>
                <w:b/>
                <w:bCs/>
                <w:kern w:val="0"/>
                <w:sz w:val="18"/>
                <w:szCs w:val="18"/>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5438411">
            <w:pPr>
              <w:widowControl/>
              <w:jc w:val="center"/>
              <w:textAlignment w:val="center"/>
              <w:rPr>
                <w:b/>
                <w:bCs/>
                <w:kern w:val="0"/>
                <w:sz w:val="18"/>
                <w:szCs w:val="18"/>
                <w:lang w:bidi="ar"/>
              </w:rPr>
            </w:pPr>
            <w:r>
              <w:rPr>
                <w:b/>
                <w:bCs/>
                <w:kern w:val="0"/>
                <w:sz w:val="18"/>
                <w:szCs w:val="18"/>
                <w:lang w:bidi="ar"/>
              </w:rPr>
              <w:t>无量纲</w:t>
            </w:r>
          </w:p>
        </w:tc>
        <w:tc>
          <w:tcPr>
            <w:tcW w:w="432" w:type="pct"/>
            <w:tcBorders>
              <w:top w:val="single" w:color="000000" w:sz="4" w:space="0"/>
              <w:left w:val="single" w:color="000000" w:sz="4" w:space="0"/>
              <w:bottom w:val="single" w:color="000000" w:sz="4" w:space="0"/>
              <w:right w:val="single" w:color="000000" w:sz="4" w:space="0"/>
            </w:tcBorders>
            <w:noWrap w:val="0"/>
            <w:vAlign w:val="center"/>
          </w:tcPr>
          <w:p w14:paraId="525D665A">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5843743">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D33E2F5">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E7861CB">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3654E575">
            <w:pPr>
              <w:widowControl/>
              <w:jc w:val="center"/>
              <w:textAlignment w:val="center"/>
              <w:rPr>
                <w:b/>
                <w:bCs/>
                <w:kern w:val="0"/>
                <w:sz w:val="18"/>
                <w:szCs w:val="18"/>
                <w:lang w:bidi="ar"/>
              </w:rPr>
            </w:pPr>
            <w:r>
              <w:rPr>
                <w:b/>
                <w:bCs/>
                <w:kern w:val="0"/>
                <w:sz w:val="18"/>
                <w:szCs w:val="18"/>
                <w:lang w:bidi="ar"/>
              </w:rPr>
              <w:t>mg/kg</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A7460D2">
            <w:pPr>
              <w:widowControl/>
              <w:jc w:val="center"/>
              <w:textAlignment w:val="center"/>
              <w:rPr>
                <w:b/>
                <w:bCs/>
                <w:kern w:val="0"/>
                <w:sz w:val="18"/>
                <w:szCs w:val="18"/>
                <w:lang w:bidi="ar"/>
              </w:rPr>
            </w:pPr>
            <w:r>
              <w:rPr>
                <w:b/>
                <w:bCs/>
                <w:kern w:val="0"/>
                <w:sz w:val="18"/>
                <w:szCs w:val="18"/>
                <w:lang w:bidi="ar"/>
              </w:rPr>
              <w:t>mg/kg</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14:paraId="6E307BB6">
            <w:pPr>
              <w:widowControl/>
              <w:jc w:val="center"/>
              <w:textAlignment w:val="center"/>
              <w:rPr>
                <w:b/>
                <w:bCs/>
                <w:kern w:val="0"/>
                <w:sz w:val="18"/>
                <w:szCs w:val="18"/>
                <w:lang w:bidi="ar"/>
              </w:rPr>
            </w:pPr>
            <w:r>
              <w:rPr>
                <w:b/>
                <w:bCs/>
                <w:kern w:val="0"/>
                <w:sz w:val="18"/>
                <w:szCs w:val="18"/>
                <w:lang w:bidi="ar"/>
              </w:rPr>
              <w:t>mg/kg</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14:paraId="2DDA5A87">
            <w:pPr>
              <w:widowControl/>
              <w:jc w:val="center"/>
              <w:textAlignment w:val="center"/>
              <w:rPr>
                <w:b/>
                <w:bCs/>
                <w:kern w:val="0"/>
                <w:sz w:val="18"/>
                <w:szCs w:val="18"/>
                <w:lang w:bidi="ar"/>
              </w:rPr>
            </w:pPr>
            <w:r>
              <w:rPr>
                <w:b/>
                <w:bCs/>
                <w:kern w:val="0"/>
                <w:sz w:val="18"/>
                <w:szCs w:val="18"/>
                <w:lang w:bidi="ar"/>
              </w:rPr>
              <w:t>mg/kg</w:t>
            </w:r>
          </w:p>
        </w:tc>
      </w:tr>
      <w:tr w14:paraId="7022A98D">
        <w:tblPrEx>
          <w:tblCellMar>
            <w:top w:w="0" w:type="dxa"/>
            <w:left w:w="108" w:type="dxa"/>
            <w:bottom w:w="0" w:type="dxa"/>
            <w:right w:w="108" w:type="dxa"/>
          </w:tblCellMar>
        </w:tblPrEx>
        <w:trPr>
          <w:trHeight w:val="688"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128F2020">
            <w:pPr>
              <w:widowControl/>
              <w:jc w:val="center"/>
              <w:textAlignment w:val="center"/>
              <w:rPr>
                <w:sz w:val="18"/>
                <w:szCs w:val="18"/>
              </w:rPr>
            </w:pPr>
            <w:r>
              <w:rPr>
                <w:kern w:val="0"/>
                <w:sz w:val="18"/>
                <w:szCs w:val="18"/>
                <w:lang w:bidi="ar"/>
              </w:rPr>
              <w:t>T6（拟建项目地块二东侧养殖区西部）</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7632800">
            <w:pPr>
              <w:widowControl/>
              <w:jc w:val="center"/>
              <w:textAlignment w:val="center"/>
              <w:rPr>
                <w:sz w:val="18"/>
                <w:szCs w:val="18"/>
              </w:rPr>
            </w:pPr>
            <w:r>
              <w:rPr>
                <w:kern w:val="0"/>
                <w:sz w:val="18"/>
                <w:szCs w:val="18"/>
                <w:lang w:bidi="ar"/>
              </w:rPr>
              <w:t>6.59</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14:paraId="691D6495">
            <w:pPr>
              <w:widowControl/>
              <w:jc w:val="center"/>
              <w:textAlignment w:val="center"/>
              <w:rPr>
                <w:sz w:val="18"/>
                <w:szCs w:val="18"/>
              </w:rPr>
            </w:pPr>
            <w:r>
              <w:rPr>
                <w:kern w:val="0"/>
                <w:sz w:val="18"/>
                <w:szCs w:val="18"/>
                <w:lang w:bidi="ar"/>
              </w:rPr>
              <w:t>0.25</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3425D9A2">
            <w:pPr>
              <w:widowControl/>
              <w:jc w:val="center"/>
              <w:textAlignment w:val="center"/>
              <w:rPr>
                <w:sz w:val="18"/>
                <w:szCs w:val="18"/>
              </w:rPr>
            </w:pPr>
            <w:r>
              <w:rPr>
                <w:kern w:val="0"/>
                <w:sz w:val="18"/>
                <w:szCs w:val="18"/>
                <w:lang w:bidi="ar"/>
              </w:rPr>
              <w:t>81</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54D1586D">
            <w:pPr>
              <w:widowControl/>
              <w:jc w:val="center"/>
              <w:textAlignment w:val="center"/>
              <w:rPr>
                <w:sz w:val="18"/>
                <w:szCs w:val="18"/>
              </w:rPr>
            </w:pPr>
            <w:r>
              <w:rPr>
                <w:kern w:val="0"/>
                <w:sz w:val="18"/>
                <w:szCs w:val="18"/>
                <w:lang w:bidi="ar"/>
              </w:rPr>
              <w:t>94</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77DCCDE6">
            <w:pPr>
              <w:widowControl/>
              <w:jc w:val="center"/>
              <w:textAlignment w:val="center"/>
              <w:rPr>
                <w:sz w:val="18"/>
                <w:szCs w:val="18"/>
              </w:rPr>
            </w:pPr>
            <w:r>
              <w:rPr>
                <w:kern w:val="0"/>
                <w:sz w:val="18"/>
                <w:szCs w:val="18"/>
                <w:lang w:bidi="ar"/>
              </w:rPr>
              <w:t>65</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5F4B0F8F">
            <w:pPr>
              <w:widowControl/>
              <w:jc w:val="center"/>
              <w:textAlignment w:val="center"/>
              <w:rPr>
                <w:sz w:val="18"/>
                <w:szCs w:val="18"/>
              </w:rPr>
            </w:pPr>
            <w:r>
              <w:rPr>
                <w:kern w:val="0"/>
                <w:sz w:val="18"/>
                <w:szCs w:val="18"/>
                <w:lang w:bidi="ar"/>
              </w:rPr>
              <w:t>127</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2EA882F2">
            <w:pPr>
              <w:widowControl/>
              <w:jc w:val="center"/>
              <w:textAlignment w:val="center"/>
              <w:rPr>
                <w:sz w:val="18"/>
                <w:szCs w:val="18"/>
              </w:rPr>
            </w:pPr>
            <w:r>
              <w:rPr>
                <w:kern w:val="0"/>
                <w:sz w:val="18"/>
                <w:szCs w:val="18"/>
                <w:lang w:bidi="ar"/>
              </w:rPr>
              <w:t>227</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B5869FE">
            <w:pPr>
              <w:widowControl/>
              <w:jc w:val="center"/>
              <w:textAlignment w:val="center"/>
              <w:rPr>
                <w:sz w:val="18"/>
                <w:szCs w:val="18"/>
              </w:rPr>
            </w:pPr>
            <w:r>
              <w:rPr>
                <w:kern w:val="0"/>
                <w:sz w:val="18"/>
                <w:szCs w:val="18"/>
                <w:lang w:bidi="ar"/>
              </w:rPr>
              <w:t>21.4</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18916D92">
            <w:pPr>
              <w:widowControl/>
              <w:jc w:val="center"/>
              <w:textAlignment w:val="center"/>
              <w:rPr>
                <w:sz w:val="18"/>
                <w:szCs w:val="18"/>
              </w:rPr>
            </w:pPr>
            <w:r>
              <w:rPr>
                <w:kern w:val="0"/>
                <w:sz w:val="18"/>
                <w:szCs w:val="18"/>
                <w:lang w:bidi="ar"/>
              </w:rPr>
              <w:t>0.842</w:t>
            </w:r>
          </w:p>
        </w:tc>
      </w:tr>
      <w:tr w14:paraId="00256770">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5D7DB9D7">
            <w:pPr>
              <w:widowControl/>
              <w:textAlignment w:val="center"/>
              <w:rPr>
                <w:sz w:val="18"/>
                <w:szCs w:val="18"/>
              </w:rPr>
            </w:pPr>
            <w:r>
              <w:rPr>
                <w:kern w:val="0"/>
                <w:sz w:val="18"/>
                <w:szCs w:val="18"/>
                <w:lang w:bidi="ar"/>
              </w:rPr>
              <w:t>标准值</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5B35C9A">
            <w:pPr>
              <w:widowControl/>
              <w:jc w:val="center"/>
              <w:textAlignment w:val="center"/>
              <w:rPr>
                <w:sz w:val="18"/>
                <w:szCs w:val="18"/>
              </w:rPr>
            </w:pPr>
            <w:r>
              <w:rPr>
                <w:kern w:val="0"/>
                <w:sz w:val="18"/>
                <w:szCs w:val="18"/>
                <w:lang w:bidi="ar"/>
              </w:rPr>
              <w:t>/</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14:paraId="727877C6">
            <w:pPr>
              <w:widowControl/>
              <w:jc w:val="center"/>
              <w:textAlignment w:val="center"/>
              <w:rPr>
                <w:sz w:val="18"/>
                <w:szCs w:val="18"/>
              </w:rPr>
            </w:pPr>
            <w:r>
              <w:rPr>
                <w:kern w:val="0"/>
                <w:sz w:val="18"/>
                <w:szCs w:val="18"/>
                <w:lang w:bidi="ar"/>
              </w:rPr>
              <w:t>0.3</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1832C1DA">
            <w:pPr>
              <w:widowControl/>
              <w:jc w:val="center"/>
              <w:textAlignment w:val="center"/>
              <w:rPr>
                <w:sz w:val="18"/>
                <w:szCs w:val="18"/>
              </w:rPr>
            </w:pPr>
            <w:r>
              <w:rPr>
                <w:kern w:val="0"/>
                <w:sz w:val="18"/>
                <w:szCs w:val="18"/>
                <w:lang w:bidi="ar"/>
              </w:rPr>
              <w:t>120</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6068F419">
            <w:pPr>
              <w:widowControl/>
              <w:jc w:val="center"/>
              <w:textAlignment w:val="center"/>
              <w:rPr>
                <w:sz w:val="18"/>
                <w:szCs w:val="18"/>
              </w:rPr>
            </w:pPr>
            <w:r>
              <w:rPr>
                <w:kern w:val="0"/>
                <w:sz w:val="18"/>
                <w:szCs w:val="18"/>
                <w:lang w:bidi="ar"/>
              </w:rPr>
              <w:t>100</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4B1A20E9">
            <w:pPr>
              <w:widowControl/>
              <w:jc w:val="center"/>
              <w:textAlignment w:val="center"/>
              <w:rPr>
                <w:sz w:val="18"/>
                <w:szCs w:val="18"/>
              </w:rPr>
            </w:pPr>
            <w:r>
              <w:rPr>
                <w:kern w:val="0"/>
                <w:sz w:val="18"/>
                <w:szCs w:val="18"/>
                <w:lang w:bidi="ar"/>
              </w:rPr>
              <w:t>100</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05BB700A">
            <w:pPr>
              <w:widowControl/>
              <w:jc w:val="center"/>
              <w:textAlignment w:val="center"/>
              <w:rPr>
                <w:sz w:val="18"/>
                <w:szCs w:val="18"/>
              </w:rPr>
            </w:pPr>
            <w:r>
              <w:rPr>
                <w:kern w:val="0"/>
                <w:sz w:val="18"/>
                <w:szCs w:val="18"/>
                <w:lang w:bidi="ar"/>
              </w:rPr>
              <w:t>200</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067C9390">
            <w:pPr>
              <w:widowControl/>
              <w:jc w:val="center"/>
              <w:textAlignment w:val="center"/>
              <w:rPr>
                <w:sz w:val="18"/>
                <w:szCs w:val="18"/>
              </w:rPr>
            </w:pPr>
            <w:r>
              <w:rPr>
                <w:kern w:val="0"/>
                <w:sz w:val="18"/>
                <w:szCs w:val="18"/>
                <w:lang w:bidi="ar"/>
              </w:rPr>
              <w:t>250</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4051C7DA">
            <w:pPr>
              <w:widowControl/>
              <w:jc w:val="center"/>
              <w:textAlignment w:val="center"/>
              <w:rPr>
                <w:sz w:val="18"/>
                <w:szCs w:val="18"/>
              </w:rPr>
            </w:pPr>
            <w:r>
              <w:rPr>
                <w:kern w:val="0"/>
                <w:sz w:val="18"/>
                <w:szCs w:val="18"/>
                <w:lang w:bidi="ar"/>
              </w:rPr>
              <w:t>30</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57B37A17">
            <w:pPr>
              <w:widowControl/>
              <w:jc w:val="center"/>
              <w:textAlignment w:val="center"/>
              <w:rPr>
                <w:sz w:val="18"/>
                <w:szCs w:val="18"/>
              </w:rPr>
            </w:pPr>
            <w:r>
              <w:rPr>
                <w:kern w:val="0"/>
                <w:sz w:val="18"/>
                <w:szCs w:val="18"/>
                <w:lang w:bidi="ar"/>
              </w:rPr>
              <w:t>2.4</w:t>
            </w:r>
          </w:p>
        </w:tc>
      </w:tr>
      <w:tr w14:paraId="7A96E171">
        <w:tblPrEx>
          <w:tblCellMar>
            <w:top w:w="0" w:type="dxa"/>
            <w:left w:w="108" w:type="dxa"/>
            <w:bottom w:w="0" w:type="dxa"/>
            <w:right w:w="108" w:type="dxa"/>
          </w:tblCellMar>
        </w:tblPrEx>
        <w:trPr>
          <w:trHeight w:val="285" w:hRule="atLeast"/>
        </w:trPr>
        <w:tc>
          <w:tcPr>
            <w:tcW w:w="657" w:type="pct"/>
            <w:tcBorders>
              <w:top w:val="single" w:color="000000" w:sz="4" w:space="0"/>
              <w:left w:val="single" w:color="000000" w:sz="4" w:space="0"/>
              <w:bottom w:val="single" w:color="000000" w:sz="4" w:space="0"/>
              <w:right w:val="single" w:color="000000" w:sz="4" w:space="0"/>
            </w:tcBorders>
            <w:noWrap w:val="0"/>
            <w:vAlign w:val="center"/>
          </w:tcPr>
          <w:p w14:paraId="2B86E8B2">
            <w:pPr>
              <w:widowControl/>
              <w:textAlignment w:val="center"/>
              <w:rPr>
                <w:sz w:val="18"/>
                <w:szCs w:val="18"/>
              </w:rPr>
            </w:pPr>
            <w:r>
              <w:rPr>
                <w:kern w:val="0"/>
                <w:sz w:val="18"/>
                <w:szCs w:val="18"/>
                <w:lang w:bidi="ar"/>
              </w:rPr>
              <w:t>达标情况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3F48E29">
            <w:pPr>
              <w:widowControl/>
              <w:jc w:val="center"/>
              <w:textAlignment w:val="center"/>
              <w:rPr>
                <w:sz w:val="18"/>
                <w:szCs w:val="18"/>
              </w:rPr>
            </w:pPr>
            <w:r>
              <w:rPr>
                <w:kern w:val="0"/>
                <w:sz w:val="18"/>
                <w:szCs w:val="18"/>
                <w:lang w:bidi="ar"/>
              </w:rPr>
              <w:t>/</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4A437BAE">
            <w:pPr>
              <w:widowControl/>
              <w:jc w:val="left"/>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67F869B2">
            <w:pPr>
              <w:widowControl/>
              <w:jc w:val="left"/>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4EAFA60">
            <w:pPr>
              <w:widowControl/>
              <w:jc w:val="center"/>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2656E8E5">
            <w:pPr>
              <w:widowControl/>
              <w:jc w:val="left"/>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ign w:val="center"/>
          </w:tcPr>
          <w:p w14:paraId="0A755269">
            <w:pPr>
              <w:widowControl/>
              <w:jc w:val="left"/>
              <w:textAlignment w:val="center"/>
              <w:rPr>
                <w:sz w:val="18"/>
                <w:szCs w:val="18"/>
              </w:rPr>
            </w:pPr>
            <w:r>
              <w:rPr>
                <w:kern w:val="0"/>
                <w:sz w:val="18"/>
                <w:szCs w:val="18"/>
                <w:lang w:bidi="ar"/>
              </w:rPr>
              <w:t>达标</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F5C1EC6">
            <w:pPr>
              <w:widowControl/>
              <w:jc w:val="center"/>
              <w:textAlignment w:val="center"/>
              <w:rPr>
                <w:sz w:val="18"/>
                <w:szCs w:val="18"/>
              </w:rPr>
            </w:pPr>
            <w:r>
              <w:rPr>
                <w:kern w:val="0"/>
                <w:sz w:val="18"/>
                <w:szCs w:val="18"/>
                <w:lang w:bidi="ar"/>
              </w:rPr>
              <w:t>达标</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289F5D1D">
            <w:pPr>
              <w:widowControl/>
              <w:jc w:val="left"/>
              <w:textAlignment w:val="center"/>
              <w:rPr>
                <w:sz w:val="18"/>
                <w:szCs w:val="18"/>
              </w:rPr>
            </w:pPr>
            <w:r>
              <w:rPr>
                <w:kern w:val="0"/>
                <w:sz w:val="18"/>
                <w:szCs w:val="18"/>
                <w:lang w:bidi="ar"/>
              </w:rPr>
              <w:t>达标</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280F3ED">
            <w:pPr>
              <w:widowControl/>
              <w:jc w:val="left"/>
              <w:textAlignment w:val="center"/>
              <w:rPr>
                <w:sz w:val="18"/>
                <w:szCs w:val="18"/>
              </w:rPr>
            </w:pPr>
            <w:r>
              <w:rPr>
                <w:kern w:val="0"/>
                <w:sz w:val="18"/>
                <w:szCs w:val="18"/>
                <w:lang w:bidi="ar"/>
              </w:rPr>
              <w:t>达标</w:t>
            </w:r>
          </w:p>
        </w:tc>
      </w:tr>
    </w:tbl>
    <w:p w14:paraId="438F0E19">
      <w:pPr>
        <w:spacing w:line="360" w:lineRule="auto"/>
        <w:ind w:firstLine="480" w:firstLineChars="200"/>
        <w:rPr>
          <w:sz w:val="24"/>
        </w:rPr>
      </w:pPr>
      <w:r>
        <w:rPr>
          <w:sz w:val="24"/>
        </w:rPr>
        <w:t>根据监测结果拟建场地及周边监测点处表层土土样中各项指标均满足</w:t>
      </w:r>
      <w:r>
        <w:rPr>
          <w:kern w:val="0"/>
          <w:sz w:val="24"/>
        </w:rPr>
        <w:t>《土壤环境质量农用地土壤污染风险管控标准（试行）》（GB15618-2018）</w:t>
      </w:r>
      <w:r>
        <w:rPr>
          <w:sz w:val="24"/>
        </w:rPr>
        <w:t>表1 中筛选值标准。</w:t>
      </w:r>
    </w:p>
    <w:p w14:paraId="563D60FE">
      <w:pPr>
        <w:spacing w:line="360" w:lineRule="auto"/>
        <w:ind w:firstLine="480" w:firstLineChars="200"/>
        <w:rPr>
          <w:sz w:val="24"/>
        </w:rPr>
      </w:pPr>
      <w:r>
        <w:rPr>
          <w:sz w:val="24"/>
        </w:rPr>
        <w:t>项目区土壤理化性质调查表见下：</w:t>
      </w:r>
    </w:p>
    <w:p w14:paraId="7A3CDB85">
      <w:pPr>
        <w:pStyle w:val="35"/>
        <w:jc w:val="center"/>
        <w:rPr>
          <w:sz w:val="24"/>
        </w:rPr>
      </w:pPr>
      <w:r>
        <w:rPr>
          <w:sz w:val="24"/>
        </w:rPr>
        <w:t>表4.2-8土壤理化性质表</w:t>
      </w:r>
    </w:p>
    <w:tbl>
      <w:tblPr>
        <w:tblStyle w:val="87"/>
        <w:tblW w:w="5000" w:type="pct"/>
        <w:tblInd w:w="0" w:type="dxa"/>
        <w:tblLayout w:type="fixed"/>
        <w:tblCellMar>
          <w:top w:w="0" w:type="dxa"/>
          <w:left w:w="108" w:type="dxa"/>
          <w:bottom w:w="0" w:type="dxa"/>
          <w:right w:w="108" w:type="dxa"/>
        </w:tblCellMar>
      </w:tblPr>
      <w:tblGrid>
        <w:gridCol w:w="953"/>
        <w:gridCol w:w="791"/>
        <w:gridCol w:w="971"/>
        <w:gridCol w:w="1193"/>
        <w:gridCol w:w="1118"/>
        <w:gridCol w:w="1118"/>
        <w:gridCol w:w="1192"/>
        <w:gridCol w:w="1192"/>
      </w:tblGrid>
      <w:tr w14:paraId="608D5294">
        <w:tblPrEx>
          <w:tblCellMar>
            <w:top w:w="0" w:type="dxa"/>
            <w:left w:w="108" w:type="dxa"/>
            <w:bottom w:w="0" w:type="dxa"/>
            <w:right w:w="108" w:type="dxa"/>
          </w:tblCellMar>
        </w:tblPrEx>
        <w:trPr>
          <w:trHeight w:val="142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5D98DB41">
            <w:pPr>
              <w:widowControl/>
              <w:jc w:val="center"/>
              <w:textAlignment w:val="center"/>
              <w:rPr>
                <w:b/>
                <w:bCs/>
                <w:szCs w:val="21"/>
              </w:rPr>
            </w:pPr>
            <w:r>
              <w:rPr>
                <w:b/>
                <w:bCs/>
                <w:kern w:val="0"/>
                <w:szCs w:val="21"/>
                <w:lang w:bidi="ar"/>
              </w:rPr>
              <w:t>点位</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4AB7E046">
            <w:pPr>
              <w:widowControl/>
              <w:jc w:val="center"/>
              <w:textAlignment w:val="center"/>
              <w:rPr>
                <w:b/>
                <w:bCs/>
                <w:szCs w:val="21"/>
              </w:rPr>
            </w:pPr>
            <w:r>
              <w:rPr>
                <w:b/>
                <w:bCs/>
                <w:kern w:val="0"/>
                <w:szCs w:val="21"/>
                <w:lang w:bidi="ar"/>
              </w:rPr>
              <w:t>T1（拟建项目地块一北侧养殖区）</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775EC47">
            <w:pPr>
              <w:widowControl/>
              <w:jc w:val="center"/>
              <w:textAlignment w:val="center"/>
              <w:rPr>
                <w:b/>
                <w:bCs/>
                <w:szCs w:val="21"/>
              </w:rPr>
            </w:pPr>
            <w:r>
              <w:rPr>
                <w:b/>
                <w:bCs/>
                <w:kern w:val="0"/>
                <w:szCs w:val="21"/>
                <w:lang w:bidi="ar"/>
              </w:rPr>
              <w:t>T2（拟建项目地块一南侧养殖区）</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D5C1FAD">
            <w:pPr>
              <w:widowControl/>
              <w:jc w:val="center"/>
              <w:textAlignment w:val="center"/>
              <w:rPr>
                <w:b/>
                <w:bCs/>
                <w:szCs w:val="21"/>
              </w:rPr>
            </w:pPr>
            <w:r>
              <w:rPr>
                <w:b/>
                <w:bCs/>
                <w:kern w:val="0"/>
                <w:szCs w:val="21"/>
                <w:lang w:bidi="ar"/>
              </w:rPr>
              <w:t>T3（拟建项目地块一东侧养殖区）</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3A45AE19">
            <w:pPr>
              <w:widowControl/>
              <w:jc w:val="center"/>
              <w:textAlignment w:val="center"/>
              <w:rPr>
                <w:b/>
                <w:bCs/>
                <w:szCs w:val="21"/>
              </w:rPr>
            </w:pPr>
            <w:r>
              <w:rPr>
                <w:b/>
                <w:bCs/>
                <w:kern w:val="0"/>
                <w:szCs w:val="21"/>
                <w:lang w:bidi="ar"/>
              </w:rPr>
              <w:t>T4（拟建项目地块二北侧养殖区）</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A667E87">
            <w:pPr>
              <w:widowControl/>
              <w:jc w:val="center"/>
              <w:textAlignment w:val="center"/>
              <w:rPr>
                <w:b/>
                <w:bCs/>
                <w:szCs w:val="21"/>
              </w:rPr>
            </w:pPr>
            <w:r>
              <w:rPr>
                <w:b/>
                <w:bCs/>
                <w:kern w:val="0"/>
                <w:szCs w:val="21"/>
                <w:lang w:bidi="ar"/>
              </w:rPr>
              <w:t>T5（拟建项目地块二南侧养殖区东部）</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AC586B7">
            <w:pPr>
              <w:widowControl/>
              <w:jc w:val="center"/>
              <w:textAlignment w:val="center"/>
              <w:rPr>
                <w:b/>
                <w:bCs/>
                <w:szCs w:val="21"/>
              </w:rPr>
            </w:pPr>
            <w:r>
              <w:rPr>
                <w:b/>
                <w:bCs/>
                <w:kern w:val="0"/>
                <w:szCs w:val="21"/>
                <w:lang w:bidi="ar"/>
              </w:rPr>
              <w:t>T6（拟建项目地块二东侧养殖区西部）</w:t>
            </w:r>
          </w:p>
        </w:tc>
      </w:tr>
      <w:tr w14:paraId="48F63509">
        <w:tblPrEx>
          <w:tblCellMar>
            <w:top w:w="0" w:type="dxa"/>
            <w:left w:w="108" w:type="dxa"/>
            <w:bottom w:w="0" w:type="dxa"/>
            <w:right w:w="108" w:type="dxa"/>
          </w:tblCellMar>
        </w:tblPrEx>
        <w:trPr>
          <w:trHeight w:val="28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3384DC16">
            <w:pPr>
              <w:widowControl/>
              <w:jc w:val="center"/>
              <w:textAlignment w:val="center"/>
              <w:rPr>
                <w:szCs w:val="21"/>
              </w:rPr>
            </w:pPr>
            <w:r>
              <w:rPr>
                <w:kern w:val="0"/>
                <w:szCs w:val="21"/>
                <w:lang w:bidi="ar"/>
              </w:rPr>
              <w:t>层次（m）</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7F77037C">
            <w:pPr>
              <w:widowControl/>
              <w:jc w:val="center"/>
              <w:textAlignment w:val="center"/>
              <w:rPr>
                <w:szCs w:val="21"/>
              </w:rPr>
            </w:pPr>
            <w:r>
              <w:rPr>
                <w:kern w:val="0"/>
                <w:szCs w:val="21"/>
                <w:lang w:bidi="ar"/>
              </w:rPr>
              <w:t>表层</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7CA2E8B8">
            <w:pPr>
              <w:widowControl/>
              <w:jc w:val="center"/>
              <w:textAlignment w:val="center"/>
              <w:rPr>
                <w:szCs w:val="21"/>
              </w:rPr>
            </w:pPr>
            <w:r>
              <w:rPr>
                <w:kern w:val="0"/>
                <w:szCs w:val="21"/>
                <w:lang w:bidi="ar"/>
              </w:rPr>
              <w:t>表层</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C0B3E7B">
            <w:pPr>
              <w:widowControl/>
              <w:jc w:val="center"/>
              <w:textAlignment w:val="center"/>
              <w:rPr>
                <w:szCs w:val="21"/>
              </w:rPr>
            </w:pPr>
            <w:r>
              <w:rPr>
                <w:kern w:val="0"/>
                <w:szCs w:val="21"/>
                <w:lang w:bidi="ar"/>
              </w:rPr>
              <w:t>表层</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6EE88BB4">
            <w:pPr>
              <w:widowControl/>
              <w:jc w:val="center"/>
              <w:textAlignment w:val="center"/>
              <w:rPr>
                <w:szCs w:val="21"/>
              </w:rPr>
            </w:pPr>
            <w:r>
              <w:rPr>
                <w:kern w:val="0"/>
                <w:szCs w:val="21"/>
                <w:lang w:bidi="ar"/>
              </w:rPr>
              <w:t>表层</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33F080FE">
            <w:pPr>
              <w:widowControl/>
              <w:jc w:val="center"/>
              <w:textAlignment w:val="center"/>
              <w:rPr>
                <w:szCs w:val="21"/>
              </w:rPr>
            </w:pPr>
            <w:r>
              <w:rPr>
                <w:kern w:val="0"/>
                <w:szCs w:val="21"/>
                <w:lang w:bidi="ar"/>
              </w:rPr>
              <w:t>表层</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DD5DD42">
            <w:pPr>
              <w:widowControl/>
              <w:jc w:val="center"/>
              <w:textAlignment w:val="center"/>
              <w:rPr>
                <w:szCs w:val="21"/>
              </w:rPr>
            </w:pPr>
            <w:r>
              <w:rPr>
                <w:kern w:val="0"/>
                <w:szCs w:val="21"/>
                <w:lang w:bidi="ar"/>
              </w:rPr>
              <w:t>表层</w:t>
            </w:r>
          </w:p>
        </w:tc>
      </w:tr>
      <w:tr w14:paraId="26524F6C">
        <w:tblPrEx>
          <w:tblCellMar>
            <w:top w:w="0" w:type="dxa"/>
            <w:left w:w="108" w:type="dxa"/>
            <w:bottom w:w="0" w:type="dxa"/>
            <w:right w:w="108" w:type="dxa"/>
          </w:tblCellMar>
        </w:tblPrEx>
        <w:trPr>
          <w:trHeight w:val="58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521A1906">
            <w:pPr>
              <w:widowControl/>
              <w:jc w:val="center"/>
              <w:textAlignment w:val="center"/>
              <w:rPr>
                <w:szCs w:val="21"/>
              </w:rPr>
            </w:pPr>
            <w:r>
              <w:rPr>
                <w:kern w:val="0"/>
                <w:szCs w:val="21"/>
                <w:lang w:bidi="ar"/>
              </w:rPr>
              <w:t>经度</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1F3EB9AA">
            <w:pPr>
              <w:widowControl/>
              <w:jc w:val="center"/>
              <w:textAlignment w:val="center"/>
              <w:rPr>
                <w:szCs w:val="21"/>
              </w:rPr>
            </w:pPr>
            <w:r>
              <w:rPr>
                <w:kern w:val="0"/>
                <w:szCs w:val="21"/>
                <w:lang w:bidi="ar"/>
              </w:rPr>
              <w:t>103º35′40″E</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39FD2FF">
            <w:pPr>
              <w:widowControl/>
              <w:jc w:val="center"/>
              <w:textAlignment w:val="center"/>
              <w:rPr>
                <w:szCs w:val="21"/>
              </w:rPr>
            </w:pPr>
            <w:r>
              <w:rPr>
                <w:kern w:val="0"/>
                <w:szCs w:val="21"/>
                <w:lang w:bidi="ar"/>
              </w:rPr>
              <w:t>103º35′41″E</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299BD5BD">
            <w:pPr>
              <w:widowControl/>
              <w:jc w:val="center"/>
              <w:textAlignment w:val="center"/>
              <w:rPr>
                <w:szCs w:val="21"/>
              </w:rPr>
            </w:pPr>
            <w:r>
              <w:rPr>
                <w:kern w:val="0"/>
                <w:szCs w:val="21"/>
                <w:lang w:bidi="ar"/>
              </w:rPr>
              <w:t>103º36′9″E</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7451249B">
            <w:pPr>
              <w:widowControl/>
              <w:jc w:val="center"/>
              <w:textAlignment w:val="center"/>
              <w:rPr>
                <w:szCs w:val="21"/>
              </w:rPr>
            </w:pPr>
            <w:r>
              <w:rPr>
                <w:kern w:val="0"/>
                <w:szCs w:val="21"/>
                <w:lang w:bidi="ar"/>
              </w:rPr>
              <w:t>103º35′4″E</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BF99DCF">
            <w:pPr>
              <w:widowControl/>
              <w:jc w:val="center"/>
              <w:textAlignment w:val="center"/>
              <w:rPr>
                <w:szCs w:val="21"/>
              </w:rPr>
            </w:pPr>
            <w:r>
              <w:rPr>
                <w:kern w:val="0"/>
                <w:szCs w:val="21"/>
                <w:lang w:bidi="ar"/>
              </w:rPr>
              <w:t>103º33′53″E</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4B3FEAE">
            <w:pPr>
              <w:widowControl/>
              <w:jc w:val="center"/>
              <w:textAlignment w:val="center"/>
              <w:rPr>
                <w:szCs w:val="21"/>
              </w:rPr>
            </w:pPr>
            <w:r>
              <w:rPr>
                <w:kern w:val="0"/>
                <w:szCs w:val="21"/>
                <w:lang w:bidi="ar"/>
              </w:rPr>
              <w:t>103º34′51″E</w:t>
            </w:r>
          </w:p>
        </w:tc>
      </w:tr>
      <w:tr w14:paraId="7937D6B5">
        <w:tblPrEx>
          <w:tblCellMar>
            <w:top w:w="0" w:type="dxa"/>
            <w:left w:w="108" w:type="dxa"/>
            <w:bottom w:w="0" w:type="dxa"/>
            <w:right w:w="108" w:type="dxa"/>
          </w:tblCellMar>
        </w:tblPrEx>
        <w:trPr>
          <w:trHeight w:val="600"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1D20A76A">
            <w:pPr>
              <w:widowControl/>
              <w:jc w:val="center"/>
              <w:textAlignment w:val="center"/>
              <w:rPr>
                <w:szCs w:val="21"/>
              </w:rPr>
            </w:pPr>
            <w:r>
              <w:rPr>
                <w:kern w:val="0"/>
                <w:szCs w:val="21"/>
                <w:lang w:bidi="ar"/>
              </w:rPr>
              <w:t>纬度</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21C84C12">
            <w:pPr>
              <w:widowControl/>
              <w:jc w:val="center"/>
              <w:textAlignment w:val="center"/>
              <w:rPr>
                <w:szCs w:val="21"/>
              </w:rPr>
            </w:pPr>
            <w:r>
              <w:rPr>
                <w:kern w:val="0"/>
                <w:szCs w:val="21"/>
                <w:lang w:bidi="ar"/>
              </w:rPr>
              <w:t>24º36′39″N</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E283F25">
            <w:pPr>
              <w:widowControl/>
              <w:jc w:val="center"/>
              <w:textAlignment w:val="center"/>
              <w:rPr>
                <w:szCs w:val="21"/>
              </w:rPr>
            </w:pPr>
            <w:r>
              <w:rPr>
                <w:kern w:val="0"/>
                <w:szCs w:val="21"/>
                <w:lang w:bidi="ar"/>
              </w:rPr>
              <w:t>24º36′20″N</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4D33F189">
            <w:pPr>
              <w:widowControl/>
              <w:jc w:val="center"/>
              <w:textAlignment w:val="center"/>
              <w:rPr>
                <w:szCs w:val="21"/>
              </w:rPr>
            </w:pPr>
            <w:r>
              <w:rPr>
                <w:kern w:val="0"/>
                <w:szCs w:val="21"/>
                <w:lang w:bidi="ar"/>
              </w:rPr>
              <w:t>24º36′24″N</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2F37BCAF">
            <w:pPr>
              <w:widowControl/>
              <w:jc w:val="center"/>
              <w:textAlignment w:val="center"/>
              <w:rPr>
                <w:szCs w:val="21"/>
              </w:rPr>
            </w:pPr>
            <w:r>
              <w:rPr>
                <w:kern w:val="0"/>
                <w:szCs w:val="21"/>
                <w:lang w:bidi="ar"/>
              </w:rPr>
              <w:t>24º35′24″N</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D16037F">
            <w:pPr>
              <w:widowControl/>
              <w:jc w:val="center"/>
              <w:textAlignment w:val="center"/>
              <w:rPr>
                <w:szCs w:val="21"/>
              </w:rPr>
            </w:pPr>
            <w:r>
              <w:rPr>
                <w:kern w:val="0"/>
                <w:szCs w:val="21"/>
                <w:lang w:bidi="ar"/>
              </w:rPr>
              <w:t>24º33′47″N</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8E48284">
            <w:pPr>
              <w:widowControl/>
              <w:jc w:val="center"/>
              <w:textAlignment w:val="center"/>
              <w:rPr>
                <w:szCs w:val="21"/>
              </w:rPr>
            </w:pPr>
            <w:r>
              <w:rPr>
                <w:kern w:val="0"/>
                <w:szCs w:val="21"/>
                <w:lang w:bidi="ar"/>
              </w:rPr>
              <w:t>24º35′10″N</w:t>
            </w:r>
          </w:p>
        </w:tc>
      </w:tr>
      <w:tr w14:paraId="63118ED7">
        <w:tblPrEx>
          <w:tblCellMar>
            <w:top w:w="0" w:type="dxa"/>
            <w:left w:w="108" w:type="dxa"/>
            <w:bottom w:w="0" w:type="dxa"/>
            <w:right w:w="108" w:type="dxa"/>
          </w:tblCellMar>
        </w:tblPrEx>
        <w:trPr>
          <w:trHeight w:val="31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33DBEDE5">
            <w:pPr>
              <w:widowControl/>
              <w:jc w:val="center"/>
              <w:textAlignment w:val="center"/>
              <w:rPr>
                <w:szCs w:val="21"/>
              </w:rPr>
            </w:pPr>
            <w:r>
              <w:rPr>
                <w:kern w:val="0"/>
                <w:szCs w:val="21"/>
                <w:lang w:bidi="ar"/>
              </w:rPr>
              <w:t>颜色</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214ABB5B">
            <w:pPr>
              <w:widowControl/>
              <w:jc w:val="center"/>
              <w:textAlignment w:val="center"/>
              <w:rPr>
                <w:szCs w:val="21"/>
              </w:rPr>
            </w:pPr>
            <w:r>
              <w:rPr>
                <w:kern w:val="0"/>
                <w:szCs w:val="21"/>
                <w:lang w:bidi="ar"/>
              </w:rPr>
              <w:t>黄棕</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F5AE66C">
            <w:pPr>
              <w:widowControl/>
              <w:jc w:val="center"/>
              <w:textAlignment w:val="center"/>
              <w:rPr>
                <w:szCs w:val="21"/>
              </w:rPr>
            </w:pPr>
            <w:r>
              <w:rPr>
                <w:kern w:val="0"/>
                <w:szCs w:val="21"/>
                <w:lang w:bidi="ar"/>
              </w:rPr>
              <w:t>灰</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3BAD26D">
            <w:pPr>
              <w:widowControl/>
              <w:jc w:val="center"/>
              <w:textAlignment w:val="center"/>
              <w:rPr>
                <w:szCs w:val="21"/>
              </w:rPr>
            </w:pPr>
            <w:r>
              <w:rPr>
                <w:kern w:val="0"/>
                <w:szCs w:val="21"/>
                <w:lang w:bidi="ar"/>
              </w:rPr>
              <w:t>灰</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78BEAC8A">
            <w:pPr>
              <w:widowControl/>
              <w:jc w:val="center"/>
              <w:textAlignment w:val="center"/>
              <w:rPr>
                <w:szCs w:val="21"/>
              </w:rPr>
            </w:pPr>
            <w:r>
              <w:rPr>
                <w:kern w:val="0"/>
                <w:szCs w:val="21"/>
                <w:lang w:bidi="ar"/>
              </w:rPr>
              <w:t>红棕</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16A7EDAC">
            <w:pPr>
              <w:widowControl/>
              <w:jc w:val="center"/>
              <w:textAlignment w:val="center"/>
              <w:rPr>
                <w:szCs w:val="21"/>
              </w:rPr>
            </w:pPr>
            <w:r>
              <w:rPr>
                <w:kern w:val="0"/>
                <w:szCs w:val="21"/>
                <w:lang w:bidi="ar"/>
              </w:rPr>
              <w:t>灰</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9DC9947">
            <w:pPr>
              <w:widowControl/>
              <w:jc w:val="center"/>
              <w:textAlignment w:val="center"/>
              <w:rPr>
                <w:szCs w:val="21"/>
              </w:rPr>
            </w:pPr>
            <w:r>
              <w:rPr>
                <w:kern w:val="0"/>
                <w:szCs w:val="21"/>
                <w:lang w:bidi="ar"/>
              </w:rPr>
              <w:t>黄棕</w:t>
            </w:r>
          </w:p>
        </w:tc>
      </w:tr>
      <w:tr w14:paraId="16C84812">
        <w:tblPrEx>
          <w:tblCellMar>
            <w:top w:w="0" w:type="dxa"/>
            <w:left w:w="108" w:type="dxa"/>
            <w:bottom w:w="0" w:type="dxa"/>
            <w:right w:w="108" w:type="dxa"/>
          </w:tblCellMar>
        </w:tblPrEx>
        <w:trPr>
          <w:trHeight w:val="31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5F24D0DB">
            <w:pPr>
              <w:widowControl/>
              <w:jc w:val="center"/>
              <w:textAlignment w:val="center"/>
              <w:rPr>
                <w:szCs w:val="21"/>
              </w:rPr>
            </w:pPr>
            <w:r>
              <w:rPr>
                <w:kern w:val="0"/>
                <w:szCs w:val="21"/>
                <w:lang w:bidi="ar"/>
              </w:rPr>
              <w:t>结构</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25DCC048">
            <w:pPr>
              <w:widowControl/>
              <w:jc w:val="center"/>
              <w:textAlignment w:val="center"/>
              <w:rPr>
                <w:szCs w:val="21"/>
              </w:rPr>
            </w:pPr>
            <w:r>
              <w:rPr>
                <w:kern w:val="0"/>
                <w:szCs w:val="21"/>
                <w:lang w:bidi="ar"/>
              </w:rPr>
              <w:t>团粒</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DEA3486">
            <w:pPr>
              <w:widowControl/>
              <w:jc w:val="center"/>
              <w:textAlignment w:val="center"/>
              <w:rPr>
                <w:szCs w:val="21"/>
              </w:rPr>
            </w:pPr>
            <w:r>
              <w:rPr>
                <w:kern w:val="0"/>
                <w:szCs w:val="21"/>
                <w:lang w:bidi="ar"/>
              </w:rPr>
              <w:t>团粒</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89EAB38">
            <w:pPr>
              <w:widowControl/>
              <w:jc w:val="center"/>
              <w:textAlignment w:val="center"/>
              <w:rPr>
                <w:szCs w:val="21"/>
              </w:rPr>
            </w:pPr>
            <w:r>
              <w:rPr>
                <w:kern w:val="0"/>
                <w:szCs w:val="21"/>
                <w:lang w:bidi="ar"/>
              </w:rPr>
              <w:t>团粒</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568DDB41">
            <w:pPr>
              <w:widowControl/>
              <w:jc w:val="center"/>
              <w:textAlignment w:val="center"/>
              <w:rPr>
                <w:szCs w:val="21"/>
              </w:rPr>
            </w:pPr>
            <w:r>
              <w:rPr>
                <w:kern w:val="0"/>
                <w:szCs w:val="21"/>
                <w:lang w:bidi="ar"/>
              </w:rPr>
              <w:t>团粒</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E2DFD43">
            <w:pPr>
              <w:widowControl/>
              <w:jc w:val="center"/>
              <w:textAlignment w:val="center"/>
              <w:rPr>
                <w:szCs w:val="21"/>
              </w:rPr>
            </w:pPr>
            <w:r>
              <w:rPr>
                <w:kern w:val="0"/>
                <w:szCs w:val="21"/>
                <w:lang w:bidi="ar"/>
              </w:rPr>
              <w:t>团粒</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CEE2C2D">
            <w:pPr>
              <w:widowControl/>
              <w:jc w:val="center"/>
              <w:textAlignment w:val="center"/>
              <w:rPr>
                <w:szCs w:val="21"/>
              </w:rPr>
            </w:pPr>
            <w:r>
              <w:rPr>
                <w:kern w:val="0"/>
                <w:szCs w:val="21"/>
                <w:lang w:bidi="ar"/>
              </w:rPr>
              <w:t>团粒</w:t>
            </w:r>
          </w:p>
        </w:tc>
      </w:tr>
      <w:tr w14:paraId="6F69D3B3">
        <w:tblPrEx>
          <w:tblCellMar>
            <w:top w:w="0" w:type="dxa"/>
            <w:left w:w="108" w:type="dxa"/>
            <w:bottom w:w="0" w:type="dxa"/>
            <w:right w:w="108" w:type="dxa"/>
          </w:tblCellMar>
        </w:tblPrEx>
        <w:trPr>
          <w:trHeight w:val="39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34BFFE4E">
            <w:pPr>
              <w:widowControl/>
              <w:jc w:val="center"/>
              <w:textAlignment w:val="center"/>
              <w:rPr>
                <w:szCs w:val="21"/>
              </w:rPr>
            </w:pPr>
            <w:r>
              <w:rPr>
                <w:kern w:val="0"/>
                <w:szCs w:val="21"/>
                <w:lang w:bidi="ar"/>
              </w:rPr>
              <w:t>质地</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6F27ADE4">
            <w:pPr>
              <w:widowControl/>
              <w:jc w:val="center"/>
              <w:textAlignment w:val="center"/>
              <w:rPr>
                <w:szCs w:val="21"/>
              </w:rPr>
            </w:pPr>
            <w:r>
              <w:rPr>
                <w:kern w:val="0"/>
                <w:szCs w:val="21"/>
                <w:lang w:bidi="ar"/>
              </w:rPr>
              <w:t>壤土</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5B686D71">
            <w:pPr>
              <w:widowControl/>
              <w:jc w:val="center"/>
              <w:textAlignment w:val="center"/>
              <w:rPr>
                <w:szCs w:val="21"/>
              </w:rPr>
            </w:pPr>
            <w:r>
              <w:rPr>
                <w:kern w:val="0"/>
                <w:szCs w:val="21"/>
                <w:lang w:bidi="ar"/>
              </w:rPr>
              <w:t>壤土</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7E0E45F5">
            <w:pPr>
              <w:widowControl/>
              <w:jc w:val="center"/>
              <w:textAlignment w:val="center"/>
              <w:rPr>
                <w:szCs w:val="21"/>
              </w:rPr>
            </w:pPr>
            <w:r>
              <w:rPr>
                <w:kern w:val="0"/>
                <w:szCs w:val="21"/>
                <w:lang w:bidi="ar"/>
              </w:rPr>
              <w:t>壤土</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4FF1F08D">
            <w:pPr>
              <w:widowControl/>
              <w:jc w:val="center"/>
              <w:textAlignment w:val="center"/>
              <w:rPr>
                <w:szCs w:val="21"/>
              </w:rPr>
            </w:pPr>
            <w:r>
              <w:rPr>
                <w:kern w:val="0"/>
                <w:szCs w:val="21"/>
                <w:lang w:bidi="ar"/>
              </w:rPr>
              <w:t>壤土</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68F7DA4">
            <w:pPr>
              <w:widowControl/>
              <w:jc w:val="center"/>
              <w:textAlignment w:val="center"/>
              <w:rPr>
                <w:szCs w:val="21"/>
              </w:rPr>
            </w:pPr>
            <w:r>
              <w:rPr>
                <w:kern w:val="0"/>
                <w:szCs w:val="21"/>
                <w:lang w:bidi="ar"/>
              </w:rPr>
              <w:t>壤土</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73AE056">
            <w:pPr>
              <w:widowControl/>
              <w:jc w:val="center"/>
              <w:textAlignment w:val="center"/>
              <w:rPr>
                <w:szCs w:val="21"/>
              </w:rPr>
            </w:pPr>
            <w:r>
              <w:rPr>
                <w:kern w:val="0"/>
                <w:szCs w:val="21"/>
                <w:lang w:bidi="ar"/>
              </w:rPr>
              <w:t>壤土</w:t>
            </w:r>
          </w:p>
        </w:tc>
      </w:tr>
      <w:tr w14:paraId="4CC1CACA">
        <w:tblPrEx>
          <w:tblCellMar>
            <w:top w:w="0" w:type="dxa"/>
            <w:left w:w="108" w:type="dxa"/>
            <w:bottom w:w="0" w:type="dxa"/>
            <w:right w:w="108" w:type="dxa"/>
          </w:tblCellMar>
        </w:tblPrEx>
        <w:trPr>
          <w:trHeight w:val="342"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072DE919">
            <w:pPr>
              <w:widowControl/>
              <w:jc w:val="center"/>
              <w:textAlignment w:val="center"/>
              <w:rPr>
                <w:szCs w:val="21"/>
              </w:rPr>
            </w:pPr>
            <w:r>
              <w:rPr>
                <w:kern w:val="0"/>
                <w:szCs w:val="21"/>
                <w:lang w:bidi="ar"/>
              </w:rPr>
              <w:t>砂砾含量</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174E596C">
            <w:pPr>
              <w:widowControl/>
              <w:jc w:val="center"/>
              <w:textAlignment w:val="center"/>
              <w:rPr>
                <w:szCs w:val="21"/>
              </w:rPr>
            </w:pPr>
            <w:r>
              <w:rPr>
                <w:kern w:val="0"/>
                <w:szCs w:val="21"/>
                <w:lang w:bidi="ar"/>
              </w:rPr>
              <w:t>5%-10%</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17B49BE">
            <w:pPr>
              <w:widowControl/>
              <w:jc w:val="center"/>
              <w:textAlignment w:val="center"/>
              <w:rPr>
                <w:szCs w:val="21"/>
              </w:rPr>
            </w:pPr>
            <w:r>
              <w:rPr>
                <w:kern w:val="0"/>
                <w:szCs w:val="21"/>
                <w:lang w:bidi="ar"/>
              </w:rPr>
              <w:t>5%-10%</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AFFA53C">
            <w:pPr>
              <w:widowControl/>
              <w:jc w:val="center"/>
              <w:textAlignment w:val="center"/>
              <w:rPr>
                <w:szCs w:val="21"/>
              </w:rPr>
            </w:pPr>
            <w:r>
              <w:rPr>
                <w:kern w:val="0"/>
                <w:szCs w:val="21"/>
                <w:lang w:bidi="ar"/>
              </w:rPr>
              <w:t>5%-10%</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67EC3071">
            <w:pPr>
              <w:widowControl/>
              <w:jc w:val="center"/>
              <w:textAlignment w:val="center"/>
              <w:rPr>
                <w:szCs w:val="21"/>
              </w:rPr>
            </w:pPr>
            <w:r>
              <w:rPr>
                <w:kern w:val="0"/>
                <w:szCs w:val="21"/>
                <w:lang w:bidi="ar"/>
              </w:rPr>
              <w:t>5%-10%</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70F8145">
            <w:pPr>
              <w:widowControl/>
              <w:jc w:val="center"/>
              <w:textAlignment w:val="center"/>
              <w:rPr>
                <w:szCs w:val="21"/>
              </w:rPr>
            </w:pPr>
            <w:r>
              <w:rPr>
                <w:kern w:val="0"/>
                <w:szCs w:val="21"/>
                <w:lang w:bidi="ar"/>
              </w:rPr>
              <w:t>5%-10%</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FF8EE06">
            <w:pPr>
              <w:widowControl/>
              <w:jc w:val="center"/>
              <w:textAlignment w:val="center"/>
              <w:rPr>
                <w:szCs w:val="21"/>
              </w:rPr>
            </w:pPr>
            <w:r>
              <w:rPr>
                <w:kern w:val="0"/>
                <w:szCs w:val="21"/>
                <w:lang w:bidi="ar"/>
              </w:rPr>
              <w:t>5%-10%</w:t>
            </w:r>
          </w:p>
        </w:tc>
      </w:tr>
      <w:tr w14:paraId="533C4A9B">
        <w:tblPrEx>
          <w:tblCellMar>
            <w:top w:w="0" w:type="dxa"/>
            <w:left w:w="108" w:type="dxa"/>
            <w:bottom w:w="0" w:type="dxa"/>
            <w:right w:w="108" w:type="dxa"/>
          </w:tblCellMar>
        </w:tblPrEx>
        <w:trPr>
          <w:trHeight w:val="355" w:hRule="atLeast"/>
        </w:trPr>
        <w:tc>
          <w:tcPr>
            <w:tcW w:w="1021" w:type="pct"/>
            <w:gridSpan w:val="2"/>
            <w:tcBorders>
              <w:top w:val="single" w:color="000000" w:sz="4" w:space="0"/>
              <w:left w:val="single" w:color="000000" w:sz="4" w:space="0"/>
              <w:bottom w:val="single" w:color="000000" w:sz="4" w:space="0"/>
              <w:right w:val="single" w:color="000000" w:sz="4" w:space="0"/>
            </w:tcBorders>
            <w:noWrap w:val="0"/>
            <w:vAlign w:val="center"/>
          </w:tcPr>
          <w:p w14:paraId="48D28063">
            <w:pPr>
              <w:widowControl/>
              <w:jc w:val="center"/>
              <w:textAlignment w:val="center"/>
              <w:rPr>
                <w:szCs w:val="21"/>
              </w:rPr>
            </w:pPr>
            <w:r>
              <w:rPr>
                <w:kern w:val="0"/>
                <w:szCs w:val="21"/>
                <w:lang w:bidi="ar"/>
              </w:rPr>
              <w:t>其他异物</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746BD98B">
            <w:pPr>
              <w:widowControl/>
              <w:jc w:val="center"/>
              <w:textAlignment w:val="center"/>
              <w:rPr>
                <w:szCs w:val="21"/>
              </w:rPr>
            </w:pPr>
            <w:r>
              <w:rPr>
                <w:kern w:val="0"/>
                <w:szCs w:val="21"/>
                <w:lang w:bidi="ar"/>
              </w:rPr>
              <w:t>树根</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5C173F37">
            <w:pPr>
              <w:widowControl/>
              <w:jc w:val="center"/>
              <w:textAlignment w:val="center"/>
              <w:rPr>
                <w:szCs w:val="21"/>
              </w:rPr>
            </w:pPr>
            <w:r>
              <w:rPr>
                <w:kern w:val="0"/>
                <w:szCs w:val="21"/>
                <w:lang w:bidi="ar"/>
              </w:rPr>
              <w:t>枯枝</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36B36A8">
            <w:pPr>
              <w:widowControl/>
              <w:jc w:val="center"/>
              <w:textAlignment w:val="center"/>
              <w:rPr>
                <w:szCs w:val="21"/>
              </w:rPr>
            </w:pPr>
            <w:r>
              <w:rPr>
                <w:kern w:val="0"/>
                <w:szCs w:val="21"/>
                <w:lang w:bidi="ar"/>
              </w:rPr>
              <w:t>枯枝</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7C4E6B95">
            <w:pPr>
              <w:widowControl/>
              <w:jc w:val="center"/>
              <w:textAlignment w:val="center"/>
              <w:rPr>
                <w:szCs w:val="21"/>
              </w:rPr>
            </w:pPr>
            <w:r>
              <w:rPr>
                <w:kern w:val="0"/>
                <w:szCs w:val="21"/>
                <w:lang w:bidi="ar"/>
              </w:rPr>
              <w:t>枯枝</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8B3D599">
            <w:pPr>
              <w:widowControl/>
              <w:jc w:val="center"/>
              <w:textAlignment w:val="center"/>
              <w:rPr>
                <w:szCs w:val="21"/>
              </w:rPr>
            </w:pPr>
            <w:r>
              <w:rPr>
                <w:kern w:val="0"/>
                <w:szCs w:val="21"/>
                <w:lang w:bidi="ar"/>
              </w:rPr>
              <w:t>枯枝</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59446490">
            <w:pPr>
              <w:widowControl/>
              <w:jc w:val="center"/>
              <w:textAlignment w:val="center"/>
              <w:rPr>
                <w:szCs w:val="21"/>
              </w:rPr>
            </w:pPr>
            <w:r>
              <w:rPr>
                <w:kern w:val="0"/>
                <w:szCs w:val="21"/>
                <w:lang w:bidi="ar"/>
              </w:rPr>
              <w:t>草根</w:t>
            </w:r>
          </w:p>
        </w:tc>
      </w:tr>
      <w:tr w14:paraId="5A2B1C24">
        <w:tblPrEx>
          <w:tblCellMar>
            <w:top w:w="0" w:type="dxa"/>
            <w:left w:w="108" w:type="dxa"/>
            <w:bottom w:w="0" w:type="dxa"/>
            <w:right w:w="108" w:type="dxa"/>
          </w:tblCellMar>
        </w:tblPrEx>
        <w:trPr>
          <w:trHeight w:val="300"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6B19EC78">
            <w:pPr>
              <w:widowControl/>
              <w:jc w:val="center"/>
              <w:textAlignment w:val="center"/>
              <w:rPr>
                <w:szCs w:val="21"/>
              </w:rPr>
            </w:pPr>
            <w:r>
              <w:rPr>
                <w:kern w:val="0"/>
                <w:szCs w:val="21"/>
                <w:lang w:bidi="ar"/>
              </w:rPr>
              <w:t>pH</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6CE5362F">
            <w:pPr>
              <w:widowControl/>
              <w:jc w:val="center"/>
              <w:textAlignment w:val="center"/>
              <w:rPr>
                <w:szCs w:val="21"/>
              </w:rPr>
            </w:pPr>
            <w:r>
              <w:rPr>
                <w:kern w:val="0"/>
                <w:szCs w:val="21"/>
                <w:lang w:bidi="ar"/>
              </w:rPr>
              <w:t>无量纲</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4DA75B05">
            <w:pPr>
              <w:widowControl/>
              <w:jc w:val="center"/>
              <w:textAlignment w:val="center"/>
              <w:rPr>
                <w:szCs w:val="21"/>
              </w:rPr>
            </w:pPr>
            <w:r>
              <w:rPr>
                <w:kern w:val="0"/>
                <w:szCs w:val="21"/>
                <w:lang w:bidi="ar"/>
              </w:rPr>
              <w:t>7.34</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2B68141">
            <w:pPr>
              <w:widowControl/>
              <w:jc w:val="center"/>
              <w:textAlignment w:val="center"/>
              <w:rPr>
                <w:szCs w:val="21"/>
              </w:rPr>
            </w:pPr>
            <w:r>
              <w:rPr>
                <w:kern w:val="0"/>
                <w:szCs w:val="21"/>
                <w:lang w:bidi="ar"/>
              </w:rPr>
              <w:t>4.42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2548EEAF">
            <w:pPr>
              <w:widowControl/>
              <w:jc w:val="center"/>
              <w:textAlignment w:val="center"/>
              <w:rPr>
                <w:szCs w:val="21"/>
              </w:rPr>
            </w:pPr>
            <w:r>
              <w:rPr>
                <w:kern w:val="0"/>
                <w:szCs w:val="21"/>
                <w:lang w:bidi="ar"/>
              </w:rPr>
              <w:t>5.48</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55C3FF25">
            <w:pPr>
              <w:widowControl/>
              <w:jc w:val="center"/>
              <w:textAlignment w:val="center"/>
              <w:rPr>
                <w:szCs w:val="21"/>
              </w:rPr>
            </w:pPr>
            <w:r>
              <w:rPr>
                <w:kern w:val="0"/>
                <w:szCs w:val="21"/>
                <w:lang w:bidi="ar"/>
              </w:rPr>
              <w:t>6.16</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308153F2">
            <w:pPr>
              <w:widowControl/>
              <w:jc w:val="center"/>
              <w:textAlignment w:val="center"/>
              <w:rPr>
                <w:szCs w:val="21"/>
              </w:rPr>
            </w:pPr>
            <w:r>
              <w:rPr>
                <w:kern w:val="0"/>
                <w:szCs w:val="21"/>
                <w:lang w:bidi="ar"/>
              </w:rPr>
              <w:t>6.23</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399EA41">
            <w:pPr>
              <w:widowControl/>
              <w:jc w:val="center"/>
              <w:textAlignment w:val="center"/>
              <w:rPr>
                <w:szCs w:val="21"/>
              </w:rPr>
            </w:pPr>
            <w:r>
              <w:rPr>
                <w:kern w:val="0"/>
                <w:szCs w:val="21"/>
                <w:lang w:bidi="ar"/>
              </w:rPr>
              <w:t>6.39</w:t>
            </w:r>
          </w:p>
        </w:tc>
      </w:tr>
      <w:tr w14:paraId="4EC736C7">
        <w:tblPrEx>
          <w:tblCellMar>
            <w:top w:w="0" w:type="dxa"/>
            <w:left w:w="108" w:type="dxa"/>
            <w:bottom w:w="0" w:type="dxa"/>
            <w:right w:w="108" w:type="dxa"/>
          </w:tblCellMar>
        </w:tblPrEx>
        <w:trPr>
          <w:trHeight w:val="418"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13ACD5D0">
            <w:pPr>
              <w:widowControl/>
              <w:jc w:val="center"/>
              <w:textAlignment w:val="center"/>
              <w:rPr>
                <w:szCs w:val="21"/>
              </w:rPr>
            </w:pPr>
            <w:r>
              <w:rPr>
                <w:kern w:val="0"/>
                <w:szCs w:val="21"/>
                <w:lang w:bidi="ar"/>
              </w:rPr>
              <w:t>阳离子交换量</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574A9FFF">
            <w:pPr>
              <w:widowControl/>
              <w:jc w:val="center"/>
              <w:textAlignment w:val="center"/>
              <w:rPr>
                <w:szCs w:val="21"/>
              </w:rPr>
            </w:pPr>
            <w:r>
              <w:rPr>
                <w:kern w:val="0"/>
                <w:szCs w:val="21"/>
                <w:lang w:bidi="ar"/>
              </w:rPr>
              <w:t>cmol</w:t>
            </w:r>
            <w:r>
              <w:rPr>
                <w:kern w:val="0"/>
                <w:szCs w:val="21"/>
                <w:vertAlign w:val="superscript"/>
                <w:lang w:bidi="ar"/>
              </w:rPr>
              <w:t>+</w:t>
            </w:r>
            <w:r>
              <w:rPr>
                <w:kern w:val="0"/>
                <w:szCs w:val="21"/>
                <w:lang w:bidi="ar"/>
              </w:rPr>
              <w:t>/kg</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273FD434">
            <w:pPr>
              <w:widowControl/>
              <w:jc w:val="center"/>
              <w:textAlignment w:val="center"/>
              <w:rPr>
                <w:szCs w:val="21"/>
              </w:rPr>
            </w:pPr>
            <w:r>
              <w:rPr>
                <w:kern w:val="0"/>
                <w:szCs w:val="21"/>
                <w:lang w:bidi="ar"/>
              </w:rPr>
              <w:t>7.9</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64B6E63">
            <w:pPr>
              <w:widowControl/>
              <w:jc w:val="center"/>
              <w:textAlignment w:val="center"/>
              <w:rPr>
                <w:szCs w:val="21"/>
              </w:rPr>
            </w:pPr>
            <w:r>
              <w:rPr>
                <w:kern w:val="0"/>
                <w:szCs w:val="21"/>
                <w:lang w:bidi="ar"/>
              </w:rPr>
              <w:t>6.1</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09486306">
            <w:pPr>
              <w:widowControl/>
              <w:jc w:val="center"/>
              <w:textAlignment w:val="center"/>
              <w:rPr>
                <w:szCs w:val="21"/>
              </w:rPr>
            </w:pPr>
            <w:r>
              <w:rPr>
                <w:kern w:val="0"/>
                <w:szCs w:val="21"/>
                <w:lang w:bidi="ar"/>
              </w:rPr>
              <w:t>6.5</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57A71104">
            <w:pPr>
              <w:widowControl/>
              <w:jc w:val="center"/>
              <w:textAlignment w:val="center"/>
              <w:rPr>
                <w:szCs w:val="21"/>
              </w:rPr>
            </w:pPr>
            <w:r>
              <w:rPr>
                <w:kern w:val="0"/>
                <w:szCs w:val="21"/>
                <w:lang w:bidi="ar"/>
              </w:rPr>
              <w:t>6.9</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8714D84">
            <w:pPr>
              <w:widowControl/>
              <w:jc w:val="center"/>
              <w:textAlignment w:val="center"/>
              <w:rPr>
                <w:szCs w:val="21"/>
              </w:rPr>
            </w:pPr>
            <w:r>
              <w:rPr>
                <w:kern w:val="0"/>
                <w:szCs w:val="21"/>
                <w:lang w:bidi="ar"/>
              </w:rPr>
              <w:t>7.2</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73478FC5">
            <w:pPr>
              <w:widowControl/>
              <w:jc w:val="center"/>
              <w:textAlignment w:val="center"/>
              <w:rPr>
                <w:szCs w:val="21"/>
              </w:rPr>
            </w:pPr>
            <w:r>
              <w:rPr>
                <w:kern w:val="0"/>
                <w:szCs w:val="21"/>
                <w:lang w:bidi="ar"/>
              </w:rPr>
              <w:t>7.4</w:t>
            </w:r>
          </w:p>
        </w:tc>
      </w:tr>
      <w:tr w14:paraId="048CC03B">
        <w:tblPrEx>
          <w:tblCellMar>
            <w:top w:w="0" w:type="dxa"/>
            <w:left w:w="108" w:type="dxa"/>
            <w:bottom w:w="0" w:type="dxa"/>
            <w:right w:w="108" w:type="dxa"/>
          </w:tblCellMar>
        </w:tblPrEx>
        <w:trPr>
          <w:trHeight w:val="152"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49C1061A">
            <w:pPr>
              <w:widowControl/>
              <w:jc w:val="center"/>
              <w:textAlignment w:val="center"/>
              <w:rPr>
                <w:szCs w:val="21"/>
              </w:rPr>
            </w:pPr>
            <w:r>
              <w:rPr>
                <w:kern w:val="0"/>
                <w:szCs w:val="21"/>
                <w:lang w:bidi="ar"/>
              </w:rPr>
              <w:t>氧化还原电位</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4B54C8AE">
            <w:pPr>
              <w:widowControl/>
              <w:jc w:val="center"/>
              <w:textAlignment w:val="center"/>
              <w:rPr>
                <w:szCs w:val="21"/>
              </w:rPr>
            </w:pPr>
            <w:r>
              <w:rPr>
                <w:kern w:val="0"/>
                <w:szCs w:val="21"/>
                <w:lang w:bidi="ar"/>
              </w:rPr>
              <w:t>mV</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49CE5F2C">
            <w:pPr>
              <w:widowControl/>
              <w:jc w:val="center"/>
              <w:textAlignment w:val="center"/>
              <w:rPr>
                <w:szCs w:val="21"/>
              </w:rPr>
            </w:pPr>
            <w:r>
              <w:rPr>
                <w:kern w:val="0"/>
                <w:szCs w:val="21"/>
                <w:lang w:bidi="ar"/>
              </w:rPr>
              <w:t>676</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3AB6DCCC">
            <w:pPr>
              <w:widowControl/>
              <w:jc w:val="center"/>
              <w:textAlignment w:val="center"/>
              <w:rPr>
                <w:szCs w:val="21"/>
              </w:rPr>
            </w:pPr>
            <w:r>
              <w:rPr>
                <w:kern w:val="0"/>
                <w:szCs w:val="21"/>
                <w:lang w:bidi="ar"/>
              </w:rPr>
              <w:t>612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6B5CB190">
            <w:pPr>
              <w:widowControl/>
              <w:jc w:val="center"/>
              <w:textAlignment w:val="center"/>
              <w:rPr>
                <w:szCs w:val="21"/>
              </w:rPr>
            </w:pPr>
            <w:r>
              <w:rPr>
                <w:kern w:val="0"/>
                <w:szCs w:val="21"/>
                <w:lang w:bidi="ar"/>
              </w:rPr>
              <w:t>642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054B654F">
            <w:pPr>
              <w:widowControl/>
              <w:jc w:val="center"/>
              <w:textAlignment w:val="center"/>
              <w:rPr>
                <w:szCs w:val="21"/>
              </w:rPr>
            </w:pPr>
            <w:r>
              <w:rPr>
                <w:kern w:val="0"/>
                <w:szCs w:val="21"/>
                <w:lang w:bidi="ar"/>
              </w:rPr>
              <w:t>684</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AFE33A7">
            <w:pPr>
              <w:widowControl/>
              <w:jc w:val="center"/>
              <w:textAlignment w:val="center"/>
              <w:rPr>
                <w:szCs w:val="21"/>
              </w:rPr>
            </w:pPr>
            <w:r>
              <w:rPr>
                <w:kern w:val="0"/>
                <w:szCs w:val="21"/>
                <w:lang w:bidi="ar"/>
              </w:rPr>
              <w:t>580</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AD108F8">
            <w:pPr>
              <w:widowControl/>
              <w:jc w:val="center"/>
              <w:textAlignment w:val="center"/>
              <w:rPr>
                <w:szCs w:val="21"/>
              </w:rPr>
            </w:pPr>
            <w:r>
              <w:rPr>
                <w:kern w:val="0"/>
                <w:szCs w:val="21"/>
                <w:lang w:bidi="ar"/>
              </w:rPr>
              <w:t>598</w:t>
            </w:r>
          </w:p>
        </w:tc>
      </w:tr>
      <w:tr w14:paraId="689A2CE0">
        <w:tblPrEx>
          <w:tblCellMar>
            <w:top w:w="0" w:type="dxa"/>
            <w:left w:w="108" w:type="dxa"/>
            <w:bottom w:w="0" w:type="dxa"/>
            <w:right w:w="108" w:type="dxa"/>
          </w:tblCellMar>
        </w:tblPrEx>
        <w:trPr>
          <w:trHeight w:val="290"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4E3406F3">
            <w:pPr>
              <w:widowControl/>
              <w:jc w:val="center"/>
              <w:textAlignment w:val="center"/>
              <w:rPr>
                <w:szCs w:val="21"/>
              </w:rPr>
            </w:pPr>
            <w:r>
              <w:rPr>
                <w:kern w:val="0"/>
                <w:szCs w:val="21"/>
                <w:lang w:bidi="ar"/>
              </w:rPr>
              <w:t>渗滤率</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4A127579">
            <w:pPr>
              <w:widowControl/>
              <w:jc w:val="center"/>
              <w:textAlignment w:val="center"/>
              <w:rPr>
                <w:szCs w:val="21"/>
              </w:rPr>
            </w:pPr>
            <w:r>
              <w:rPr>
                <w:kern w:val="0"/>
                <w:szCs w:val="21"/>
                <w:lang w:bidi="ar"/>
              </w:rPr>
              <w:t>mm/min</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5F2AA469">
            <w:pPr>
              <w:widowControl/>
              <w:jc w:val="center"/>
              <w:textAlignment w:val="center"/>
              <w:rPr>
                <w:szCs w:val="21"/>
              </w:rPr>
            </w:pPr>
            <w:r>
              <w:rPr>
                <w:kern w:val="0"/>
                <w:szCs w:val="21"/>
                <w:lang w:bidi="ar"/>
              </w:rPr>
              <w:t>2.21</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2EA107B6">
            <w:pPr>
              <w:widowControl/>
              <w:jc w:val="center"/>
              <w:textAlignment w:val="center"/>
              <w:rPr>
                <w:szCs w:val="21"/>
              </w:rPr>
            </w:pPr>
            <w:r>
              <w:rPr>
                <w:kern w:val="0"/>
                <w:szCs w:val="21"/>
                <w:lang w:bidi="ar"/>
              </w:rPr>
              <w:t>2.09</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0F6C6D19">
            <w:pPr>
              <w:widowControl/>
              <w:jc w:val="center"/>
              <w:textAlignment w:val="center"/>
              <w:rPr>
                <w:szCs w:val="21"/>
              </w:rPr>
            </w:pPr>
            <w:r>
              <w:rPr>
                <w:kern w:val="0"/>
                <w:szCs w:val="21"/>
                <w:lang w:bidi="ar"/>
              </w:rPr>
              <w:t>2.17</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373652CF">
            <w:pPr>
              <w:widowControl/>
              <w:jc w:val="center"/>
              <w:textAlignment w:val="center"/>
              <w:rPr>
                <w:szCs w:val="21"/>
              </w:rPr>
            </w:pPr>
            <w:r>
              <w:rPr>
                <w:kern w:val="0"/>
                <w:szCs w:val="21"/>
                <w:lang w:bidi="ar"/>
              </w:rPr>
              <w:t>2.31</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5783C31E">
            <w:pPr>
              <w:widowControl/>
              <w:jc w:val="center"/>
              <w:textAlignment w:val="center"/>
              <w:rPr>
                <w:szCs w:val="21"/>
              </w:rPr>
            </w:pPr>
            <w:r>
              <w:rPr>
                <w:kern w:val="0"/>
                <w:szCs w:val="21"/>
                <w:lang w:bidi="ar"/>
              </w:rPr>
              <w:t>2.15</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92C7460">
            <w:pPr>
              <w:widowControl/>
              <w:jc w:val="center"/>
              <w:textAlignment w:val="center"/>
              <w:rPr>
                <w:szCs w:val="21"/>
              </w:rPr>
            </w:pPr>
            <w:r>
              <w:rPr>
                <w:kern w:val="0"/>
                <w:szCs w:val="21"/>
                <w:lang w:bidi="ar"/>
              </w:rPr>
              <w:t>2.19</w:t>
            </w:r>
          </w:p>
        </w:tc>
      </w:tr>
      <w:tr w14:paraId="529BBE0F">
        <w:tblPrEx>
          <w:tblCellMar>
            <w:top w:w="0" w:type="dxa"/>
            <w:left w:w="108" w:type="dxa"/>
            <w:bottom w:w="0" w:type="dxa"/>
            <w:right w:w="108" w:type="dxa"/>
          </w:tblCellMar>
        </w:tblPrEx>
        <w:trPr>
          <w:trHeight w:val="345"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404A58CC">
            <w:pPr>
              <w:widowControl/>
              <w:jc w:val="center"/>
              <w:textAlignment w:val="center"/>
              <w:rPr>
                <w:szCs w:val="21"/>
              </w:rPr>
            </w:pPr>
            <w:r>
              <w:rPr>
                <w:kern w:val="0"/>
                <w:szCs w:val="21"/>
                <w:lang w:bidi="ar"/>
              </w:rPr>
              <w:t>容重</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4A4FC5CA">
            <w:pPr>
              <w:widowControl/>
              <w:jc w:val="center"/>
              <w:textAlignment w:val="center"/>
              <w:rPr>
                <w:szCs w:val="21"/>
              </w:rPr>
            </w:pPr>
            <w:r>
              <w:rPr>
                <w:kern w:val="0"/>
                <w:szCs w:val="21"/>
                <w:lang w:bidi="ar"/>
              </w:rPr>
              <w:t>g/cm</w:t>
            </w:r>
            <w:r>
              <w:rPr>
                <w:kern w:val="0"/>
                <w:szCs w:val="21"/>
                <w:vertAlign w:val="superscript"/>
                <w:lang w:bidi="ar"/>
              </w:rPr>
              <w:t>3</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467C190E">
            <w:pPr>
              <w:widowControl/>
              <w:jc w:val="center"/>
              <w:textAlignment w:val="center"/>
              <w:rPr>
                <w:szCs w:val="21"/>
              </w:rPr>
            </w:pPr>
            <w:r>
              <w:rPr>
                <w:kern w:val="0"/>
                <w:szCs w:val="21"/>
                <w:lang w:bidi="ar"/>
              </w:rPr>
              <w:t>1.55</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61C87A0">
            <w:pPr>
              <w:widowControl/>
              <w:jc w:val="center"/>
              <w:textAlignment w:val="center"/>
              <w:rPr>
                <w:szCs w:val="21"/>
              </w:rPr>
            </w:pPr>
            <w:r>
              <w:rPr>
                <w:kern w:val="0"/>
                <w:szCs w:val="21"/>
                <w:lang w:bidi="ar"/>
              </w:rPr>
              <w:t>1.49</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5C4912E2">
            <w:pPr>
              <w:widowControl/>
              <w:jc w:val="center"/>
              <w:textAlignment w:val="center"/>
              <w:rPr>
                <w:szCs w:val="21"/>
              </w:rPr>
            </w:pPr>
            <w:r>
              <w:rPr>
                <w:kern w:val="0"/>
                <w:szCs w:val="21"/>
                <w:lang w:bidi="ar"/>
              </w:rPr>
              <w:t>1.5</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0B1B0276">
            <w:pPr>
              <w:widowControl/>
              <w:jc w:val="center"/>
              <w:textAlignment w:val="center"/>
              <w:rPr>
                <w:szCs w:val="21"/>
              </w:rPr>
            </w:pPr>
            <w:r>
              <w:rPr>
                <w:kern w:val="0"/>
                <w:szCs w:val="21"/>
                <w:lang w:bidi="ar"/>
              </w:rPr>
              <w:t>1.41</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A19D532">
            <w:pPr>
              <w:widowControl/>
              <w:jc w:val="center"/>
              <w:textAlignment w:val="center"/>
              <w:rPr>
                <w:szCs w:val="21"/>
              </w:rPr>
            </w:pPr>
            <w:r>
              <w:rPr>
                <w:kern w:val="0"/>
                <w:szCs w:val="21"/>
                <w:lang w:bidi="ar"/>
              </w:rPr>
              <w:t>1.45</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E0B5961">
            <w:pPr>
              <w:widowControl/>
              <w:jc w:val="center"/>
              <w:textAlignment w:val="center"/>
              <w:rPr>
                <w:szCs w:val="21"/>
              </w:rPr>
            </w:pPr>
            <w:r>
              <w:rPr>
                <w:kern w:val="0"/>
                <w:szCs w:val="21"/>
                <w:lang w:bidi="ar"/>
              </w:rPr>
              <w:t>1.47</w:t>
            </w:r>
          </w:p>
        </w:tc>
      </w:tr>
      <w:tr w14:paraId="093D60AD">
        <w:tblPrEx>
          <w:tblCellMar>
            <w:top w:w="0" w:type="dxa"/>
            <w:left w:w="108" w:type="dxa"/>
            <w:bottom w:w="0" w:type="dxa"/>
            <w:right w:w="108" w:type="dxa"/>
          </w:tblCellMar>
        </w:tblPrEx>
        <w:trPr>
          <w:trHeight w:val="285"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1DA93F11">
            <w:pPr>
              <w:widowControl/>
              <w:jc w:val="center"/>
              <w:textAlignment w:val="center"/>
              <w:rPr>
                <w:szCs w:val="21"/>
              </w:rPr>
            </w:pPr>
            <w:r>
              <w:rPr>
                <w:kern w:val="0"/>
                <w:szCs w:val="21"/>
                <w:lang w:bidi="ar"/>
              </w:rPr>
              <w:t>孔隙度</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69BF0BA6">
            <w:pPr>
              <w:widowControl/>
              <w:jc w:val="center"/>
              <w:textAlignment w:val="center"/>
              <w:rPr>
                <w:szCs w:val="21"/>
              </w:rPr>
            </w:pPr>
            <w:r>
              <w:rPr>
                <w:kern w:val="0"/>
                <w:szCs w:val="21"/>
                <w:lang w:bidi="ar"/>
              </w:rPr>
              <w:t>%</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233A2324">
            <w:pPr>
              <w:widowControl/>
              <w:jc w:val="center"/>
              <w:textAlignment w:val="center"/>
              <w:rPr>
                <w:szCs w:val="21"/>
              </w:rPr>
            </w:pPr>
            <w:r>
              <w:rPr>
                <w:kern w:val="0"/>
                <w:szCs w:val="21"/>
                <w:lang w:bidi="ar"/>
              </w:rPr>
              <w:t>43.6</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0F442FC5">
            <w:pPr>
              <w:widowControl/>
              <w:jc w:val="center"/>
              <w:textAlignment w:val="center"/>
              <w:rPr>
                <w:szCs w:val="21"/>
              </w:rPr>
            </w:pPr>
            <w:r>
              <w:rPr>
                <w:kern w:val="0"/>
                <w:szCs w:val="21"/>
                <w:lang w:bidi="ar"/>
              </w:rPr>
              <w:t>47.1</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4113D8DA">
            <w:pPr>
              <w:widowControl/>
              <w:jc w:val="center"/>
              <w:textAlignment w:val="center"/>
              <w:rPr>
                <w:szCs w:val="21"/>
              </w:rPr>
            </w:pPr>
            <w:r>
              <w:rPr>
                <w:kern w:val="0"/>
                <w:szCs w:val="21"/>
                <w:lang w:bidi="ar"/>
              </w:rPr>
              <w:t>45.4</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4C637DBC">
            <w:pPr>
              <w:widowControl/>
              <w:jc w:val="center"/>
              <w:textAlignment w:val="center"/>
              <w:rPr>
                <w:szCs w:val="21"/>
              </w:rPr>
            </w:pPr>
            <w:r>
              <w:rPr>
                <w:kern w:val="0"/>
                <w:szCs w:val="21"/>
                <w:lang w:bidi="ar"/>
              </w:rPr>
              <w:t>48.9</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74E28628">
            <w:pPr>
              <w:widowControl/>
              <w:jc w:val="center"/>
              <w:textAlignment w:val="center"/>
              <w:rPr>
                <w:szCs w:val="21"/>
              </w:rPr>
            </w:pPr>
            <w:r>
              <w:rPr>
                <w:kern w:val="0"/>
                <w:szCs w:val="21"/>
                <w:lang w:bidi="ar"/>
              </w:rPr>
              <w:t>44.8</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74F185E0">
            <w:pPr>
              <w:widowControl/>
              <w:jc w:val="center"/>
              <w:textAlignment w:val="center"/>
              <w:rPr>
                <w:szCs w:val="21"/>
              </w:rPr>
            </w:pPr>
            <w:r>
              <w:rPr>
                <w:kern w:val="0"/>
                <w:szCs w:val="21"/>
                <w:lang w:bidi="ar"/>
              </w:rPr>
              <w:t>46.9</w:t>
            </w:r>
          </w:p>
        </w:tc>
      </w:tr>
      <w:tr w14:paraId="34898973">
        <w:tblPrEx>
          <w:tblCellMar>
            <w:top w:w="0" w:type="dxa"/>
            <w:left w:w="108" w:type="dxa"/>
            <w:bottom w:w="0" w:type="dxa"/>
            <w:right w:w="108" w:type="dxa"/>
          </w:tblCellMar>
        </w:tblPrEx>
        <w:trPr>
          <w:trHeight w:val="342" w:hRule="atLeast"/>
        </w:trPr>
        <w:tc>
          <w:tcPr>
            <w:tcW w:w="558" w:type="pct"/>
            <w:tcBorders>
              <w:top w:val="single" w:color="000000" w:sz="4" w:space="0"/>
              <w:left w:val="single" w:color="000000" w:sz="4" w:space="0"/>
              <w:bottom w:val="single" w:color="000000" w:sz="4" w:space="0"/>
              <w:right w:val="single" w:color="000000" w:sz="4" w:space="0"/>
            </w:tcBorders>
            <w:noWrap w:val="0"/>
            <w:vAlign w:val="center"/>
          </w:tcPr>
          <w:p w14:paraId="644B9F4F">
            <w:pPr>
              <w:widowControl/>
              <w:jc w:val="center"/>
              <w:textAlignment w:val="center"/>
              <w:rPr>
                <w:szCs w:val="21"/>
              </w:rPr>
            </w:pPr>
            <w:r>
              <w:rPr>
                <w:kern w:val="0"/>
                <w:szCs w:val="21"/>
                <w:lang w:bidi="ar"/>
              </w:rPr>
              <w:t>含盐量</w:t>
            </w:r>
          </w:p>
        </w:tc>
        <w:tc>
          <w:tcPr>
            <w:tcW w:w="462" w:type="pct"/>
            <w:tcBorders>
              <w:top w:val="single" w:color="000000" w:sz="4" w:space="0"/>
              <w:left w:val="single" w:color="000000" w:sz="4" w:space="0"/>
              <w:bottom w:val="single" w:color="000000" w:sz="4" w:space="0"/>
              <w:right w:val="single" w:color="000000" w:sz="4" w:space="0"/>
            </w:tcBorders>
            <w:noWrap w:val="0"/>
            <w:vAlign w:val="center"/>
          </w:tcPr>
          <w:p w14:paraId="6D93C3F9">
            <w:pPr>
              <w:widowControl/>
              <w:jc w:val="center"/>
              <w:textAlignment w:val="center"/>
              <w:rPr>
                <w:szCs w:val="21"/>
              </w:rPr>
            </w:pPr>
            <w:r>
              <w:rPr>
                <w:kern w:val="0"/>
                <w:szCs w:val="21"/>
                <w:lang w:bidi="ar"/>
              </w:rPr>
              <w:t>g/kg</w:t>
            </w:r>
          </w:p>
        </w:tc>
        <w:tc>
          <w:tcPr>
            <w:tcW w:w="569" w:type="pct"/>
            <w:tcBorders>
              <w:top w:val="single" w:color="000000" w:sz="4" w:space="0"/>
              <w:left w:val="single" w:color="000000" w:sz="4" w:space="0"/>
              <w:bottom w:val="single" w:color="000000" w:sz="4" w:space="0"/>
              <w:right w:val="single" w:color="000000" w:sz="4" w:space="0"/>
            </w:tcBorders>
            <w:noWrap w:val="0"/>
            <w:vAlign w:val="center"/>
          </w:tcPr>
          <w:p w14:paraId="3A3689C8">
            <w:pPr>
              <w:widowControl/>
              <w:jc w:val="center"/>
              <w:textAlignment w:val="center"/>
              <w:rPr>
                <w:szCs w:val="21"/>
              </w:rPr>
            </w:pPr>
            <w:r>
              <w:rPr>
                <w:kern w:val="0"/>
                <w:szCs w:val="21"/>
                <w:lang w:bidi="ar"/>
              </w:rPr>
              <w:t>1.3</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772C7B86">
            <w:pPr>
              <w:widowControl/>
              <w:jc w:val="center"/>
              <w:textAlignment w:val="center"/>
              <w:rPr>
                <w:szCs w:val="21"/>
              </w:rPr>
            </w:pPr>
            <w:r>
              <w:rPr>
                <w:kern w:val="0"/>
                <w:szCs w:val="21"/>
                <w:lang w:bidi="ar"/>
              </w:rPr>
              <w:t>0.2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62F10232">
            <w:pPr>
              <w:widowControl/>
              <w:jc w:val="center"/>
              <w:textAlignment w:val="center"/>
              <w:rPr>
                <w:szCs w:val="21"/>
              </w:rPr>
            </w:pPr>
            <w:r>
              <w:rPr>
                <w:kern w:val="0"/>
                <w:szCs w:val="21"/>
                <w:lang w:bidi="ar"/>
              </w:rPr>
              <w:t>0.3</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41A9E760">
            <w:pPr>
              <w:widowControl/>
              <w:jc w:val="center"/>
              <w:textAlignment w:val="center"/>
              <w:rPr>
                <w:szCs w:val="21"/>
              </w:rPr>
            </w:pPr>
            <w:r>
              <w:rPr>
                <w:kern w:val="0"/>
                <w:szCs w:val="21"/>
                <w:lang w:bidi="ar"/>
              </w:rPr>
              <w:t>0.3</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7C13036E">
            <w:pPr>
              <w:widowControl/>
              <w:jc w:val="center"/>
              <w:textAlignment w:val="center"/>
              <w:rPr>
                <w:szCs w:val="21"/>
              </w:rPr>
            </w:pPr>
            <w:r>
              <w:rPr>
                <w:kern w:val="0"/>
                <w:szCs w:val="21"/>
                <w:lang w:bidi="ar"/>
              </w:rPr>
              <w:t>0.3</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2DF05C2">
            <w:pPr>
              <w:widowControl/>
              <w:jc w:val="center"/>
              <w:textAlignment w:val="center"/>
              <w:rPr>
                <w:szCs w:val="21"/>
              </w:rPr>
            </w:pPr>
            <w:r>
              <w:rPr>
                <w:kern w:val="0"/>
                <w:szCs w:val="21"/>
                <w:lang w:bidi="ar"/>
              </w:rPr>
              <w:t>0.3</w:t>
            </w:r>
          </w:p>
        </w:tc>
      </w:tr>
    </w:tbl>
    <w:p w14:paraId="2AB5E1F1">
      <w:pPr>
        <w:spacing w:line="360" w:lineRule="auto"/>
        <w:ind w:firstLine="480" w:firstLineChars="200"/>
        <w:rPr>
          <w:sz w:val="24"/>
        </w:rPr>
      </w:pPr>
      <w:r>
        <w:rPr>
          <w:sz w:val="24"/>
        </w:rPr>
        <w:t>根据</w:t>
      </w:r>
      <w:r>
        <w:rPr>
          <w:bCs/>
          <w:sz w:val="24"/>
        </w:rPr>
        <w:t>《环境影响评价技术导则 土壤环境（试行）》（HJ 964—2018）附录D提出的参照标准，项目区土壤现状没有盐化、酸化或碱化现象。</w:t>
      </w:r>
    </w:p>
    <w:p w14:paraId="40FC5359">
      <w:pPr>
        <w:pStyle w:val="7"/>
        <w:spacing w:before="0" w:after="0" w:line="360" w:lineRule="auto"/>
        <w:rPr>
          <w:rFonts w:ascii="Times New Roman" w:hAnsi="Times New Roman"/>
          <w:sz w:val="28"/>
          <w:szCs w:val="28"/>
        </w:rPr>
      </w:pPr>
      <w:bookmarkStart w:id="89" w:name="_Toc475462915"/>
      <w:r>
        <w:rPr>
          <w:rFonts w:ascii="Times New Roman" w:hAnsi="Times New Roman"/>
          <w:sz w:val="28"/>
          <w:szCs w:val="28"/>
        </w:rPr>
        <w:t>4.2.5生态环境质量现状</w:t>
      </w:r>
      <w:bookmarkEnd w:id="89"/>
    </w:p>
    <w:p w14:paraId="7AEC9A1B">
      <w:pPr>
        <w:spacing w:line="360" w:lineRule="auto"/>
        <w:ind w:firstLine="482" w:firstLineChars="200"/>
        <w:jc w:val="left"/>
        <w:rPr>
          <w:b/>
          <w:bCs/>
          <w:kern w:val="0"/>
          <w:sz w:val="24"/>
          <w:lang w:bidi="ar"/>
        </w:rPr>
      </w:pPr>
      <w:r>
        <w:rPr>
          <w:b/>
          <w:bCs/>
          <w:kern w:val="0"/>
          <w:sz w:val="24"/>
          <w:lang w:bidi="ar"/>
        </w:rPr>
        <w:t>（1）土地利用现状</w:t>
      </w:r>
    </w:p>
    <w:p w14:paraId="3A377566">
      <w:pPr>
        <w:spacing w:line="360" w:lineRule="auto"/>
        <w:ind w:firstLine="480"/>
        <w:rPr>
          <w:sz w:val="24"/>
        </w:rPr>
      </w:pPr>
      <w:r>
        <w:rPr>
          <w:sz w:val="24"/>
        </w:rPr>
        <w:t>①区域土地利用现状：根据《石林县土地利用现状调查报告》，石林县全县土地总面积1702.13km</w:t>
      </w:r>
      <w:r>
        <w:rPr>
          <w:sz w:val="24"/>
          <w:vertAlign w:val="superscript"/>
        </w:rPr>
        <w:t>2</w:t>
      </w:r>
      <w:r>
        <w:rPr>
          <w:sz w:val="24"/>
        </w:rPr>
        <w:t>，已利用的土地1491.7km</w:t>
      </w:r>
      <w:r>
        <w:rPr>
          <w:sz w:val="24"/>
          <w:vertAlign w:val="superscript"/>
        </w:rPr>
        <w:t>2</w:t>
      </w:r>
      <w:r>
        <w:rPr>
          <w:sz w:val="24"/>
        </w:rPr>
        <w:t>，占土地总面积的87.6%。在已利用的土地中，耕地517.87km</w:t>
      </w:r>
      <w:r>
        <w:rPr>
          <w:sz w:val="24"/>
          <w:vertAlign w:val="superscript"/>
        </w:rPr>
        <w:t>2</w:t>
      </w:r>
      <w:r>
        <w:rPr>
          <w:sz w:val="24"/>
        </w:rPr>
        <w:t>，占已利用土地面积30.4%；园地29.45km</w:t>
      </w:r>
      <w:r>
        <w:rPr>
          <w:sz w:val="24"/>
          <w:vertAlign w:val="superscript"/>
        </w:rPr>
        <w:t>2</w:t>
      </w:r>
      <w:r>
        <w:rPr>
          <w:sz w:val="24"/>
        </w:rPr>
        <w:t>，占2.0%；林地858.30km</w:t>
      </w:r>
      <w:r>
        <w:rPr>
          <w:sz w:val="24"/>
          <w:vertAlign w:val="superscript"/>
        </w:rPr>
        <w:t>2</w:t>
      </w:r>
      <w:r>
        <w:rPr>
          <w:sz w:val="24"/>
        </w:rPr>
        <w:t>，占50.4%；牧草地3.52km</w:t>
      </w:r>
      <w:r>
        <w:rPr>
          <w:sz w:val="24"/>
          <w:vertAlign w:val="superscript"/>
        </w:rPr>
        <w:t>2</w:t>
      </w:r>
      <w:r>
        <w:rPr>
          <w:sz w:val="24"/>
        </w:rPr>
        <w:t>，占0.2%；宅地及工矿用地38.79km</w:t>
      </w:r>
      <w:r>
        <w:rPr>
          <w:sz w:val="24"/>
          <w:vertAlign w:val="superscript"/>
        </w:rPr>
        <w:t>2</w:t>
      </w:r>
      <w:r>
        <w:rPr>
          <w:sz w:val="24"/>
        </w:rPr>
        <w:t>，占2.3%；交通用地17.6km</w:t>
      </w:r>
      <w:r>
        <w:rPr>
          <w:sz w:val="24"/>
          <w:vertAlign w:val="superscript"/>
        </w:rPr>
        <w:t>2</w:t>
      </w:r>
      <w:r>
        <w:rPr>
          <w:sz w:val="24"/>
        </w:rPr>
        <w:t>，占1.0%；水域26.21km</w:t>
      </w:r>
      <w:r>
        <w:rPr>
          <w:sz w:val="24"/>
          <w:vertAlign w:val="superscript"/>
        </w:rPr>
        <w:t>2</w:t>
      </w:r>
      <w:r>
        <w:rPr>
          <w:sz w:val="24"/>
        </w:rPr>
        <w:t>，占1.5%。</w:t>
      </w:r>
    </w:p>
    <w:p w14:paraId="558A61CE">
      <w:pPr>
        <w:spacing w:line="360" w:lineRule="auto"/>
        <w:ind w:firstLine="480"/>
        <w:rPr>
          <w:sz w:val="24"/>
        </w:rPr>
      </w:pPr>
      <w:r>
        <w:rPr>
          <w:sz w:val="24"/>
        </w:rPr>
        <w:t>②项目区土地利用现状：</w:t>
      </w:r>
      <w:r>
        <w:rPr>
          <w:kern w:val="0"/>
          <w:sz w:val="24"/>
          <w:lang w:bidi="ar"/>
        </w:rPr>
        <w:t>项目总规划用地红线范围占地面积116亩，</w:t>
      </w:r>
      <w:r>
        <w:rPr>
          <w:sz w:val="24"/>
        </w:rPr>
        <w:t>土地利用现状类型主要为</w:t>
      </w:r>
      <w:r>
        <w:rPr>
          <w:bCs/>
          <w:kern w:val="0"/>
          <w:sz w:val="24"/>
          <w:lang w:bidi="ar"/>
        </w:rPr>
        <w:t>设施农用地，</w:t>
      </w:r>
      <w:r>
        <w:rPr>
          <w:sz w:val="24"/>
        </w:rPr>
        <w:t>总体来说，土地利用结构比较单一。</w:t>
      </w:r>
    </w:p>
    <w:p w14:paraId="6EA20B01">
      <w:pPr>
        <w:spacing w:line="360" w:lineRule="auto"/>
        <w:ind w:firstLine="482" w:firstLineChars="200"/>
        <w:jc w:val="left"/>
        <w:rPr>
          <w:b/>
          <w:bCs/>
          <w:kern w:val="0"/>
          <w:sz w:val="24"/>
          <w:lang w:bidi="ar"/>
        </w:rPr>
      </w:pPr>
      <w:r>
        <w:rPr>
          <w:b/>
          <w:bCs/>
          <w:kern w:val="0"/>
          <w:sz w:val="24"/>
          <w:lang w:bidi="ar"/>
        </w:rPr>
        <w:t>（2）植被、动植物</w:t>
      </w:r>
    </w:p>
    <w:p w14:paraId="204B0750">
      <w:pPr>
        <w:adjustRightInd w:val="0"/>
        <w:snapToGrid w:val="0"/>
        <w:spacing w:line="360" w:lineRule="auto"/>
        <w:ind w:firstLine="480"/>
        <w:rPr>
          <w:kern w:val="10"/>
          <w:sz w:val="24"/>
        </w:rPr>
      </w:pPr>
      <w:r>
        <w:rPr>
          <w:kern w:val="10"/>
          <w:sz w:val="24"/>
        </w:rPr>
        <w:t>石林彝族自治县地处滇中岩溶高原红壤分布地带，地层多样，成土母质也较为复杂，共有红壤、黄棕壤、紫色土、冲积土、水稻土5个土类，8个亚类，13个土属，48个土种。其中，红壤分布最为广泛，占总土地面积的80.0%，土壤肥力状况良好，适宜作物种植；其次为紫色土，占总土地面积的11.7%，磷、钾等矿物含量高于红壤。</w:t>
      </w:r>
    </w:p>
    <w:p w14:paraId="369D8A66">
      <w:pPr>
        <w:adjustRightInd w:val="0"/>
        <w:snapToGrid w:val="0"/>
        <w:spacing w:line="360" w:lineRule="auto"/>
        <w:ind w:firstLine="480"/>
        <w:rPr>
          <w:kern w:val="10"/>
          <w:sz w:val="24"/>
        </w:rPr>
      </w:pPr>
      <w:r>
        <w:rPr>
          <w:kern w:val="10"/>
          <w:sz w:val="24"/>
        </w:rPr>
        <w:t>石林彝族自治县属云南高原亚热带植被区，地带性植被为亚热带季风常绿阔叶林。由于县域内地形复杂，自然植被的分布也相应呈明显的垂直带谱状。境内自然植被分为3种：以乔木为主的森林、灌木林和草本植物构成的草被。森林类型为半湿性的常绿阔叶林与针叶林，目前多数为次生云南松、华山松与多种栎类阔叶树组成的混交林；现有植被类型构成树种主要有云南松、华山松、栎类、桤木、油杉等；灌木主要有南烛、乌桕、杜鹃、野山茶等。全县有林地816.7平方千米，森林覆盖率为42%，森林资源主要分布于鹿阜街道办、长湖镇、圭山镇等。</w:t>
      </w:r>
    </w:p>
    <w:p w14:paraId="7986F9B0">
      <w:pPr>
        <w:spacing w:line="360" w:lineRule="auto"/>
        <w:ind w:firstLine="480" w:firstLineChars="200"/>
        <w:rPr>
          <w:sz w:val="24"/>
        </w:rPr>
      </w:pPr>
      <w:r>
        <w:rPr>
          <w:kern w:val="10"/>
          <w:sz w:val="24"/>
        </w:rPr>
        <w:t>项目区位于</w:t>
      </w:r>
      <w:r>
        <w:rPr>
          <w:sz w:val="24"/>
        </w:rPr>
        <w:t>石林彝族自治县圭山镇法块村委会法块村、普拉河村委会上寨村</w:t>
      </w:r>
      <w:r>
        <w:rPr>
          <w:sz w:val="24"/>
          <w:lang w:bidi="ar"/>
        </w:rPr>
        <w:t>，</w:t>
      </w:r>
      <w:r>
        <w:rPr>
          <w:kern w:val="10"/>
          <w:sz w:val="24"/>
        </w:rPr>
        <w:t>项目区现状主要为坡耕地（种植烤烟、玉米）、荒草地、少量的果树林地等。植被覆盖一般。据现场调查，评价区域内无珍稀、濒危野生动植物。</w:t>
      </w:r>
      <w:r>
        <w:rPr>
          <w:kern w:val="10"/>
          <w:sz w:val="24"/>
          <w:lang/>
        </w:rPr>
        <w:t>项目所在区域野生动物有麻雀、燕子、蛇等，水生及两爬动物有青蛙、蟾蜍等，草本植物有喜旱莲子草、紫茎泽兰等杂草，生物多样性组成较为简单。</w:t>
      </w:r>
      <w:r>
        <w:rPr>
          <w:sz w:val="24"/>
        </w:rPr>
        <w:t>区域内没有国家和省级重点保护的野生植物、濒危植物等；未发现国家和省级重点保护的野生动物、濒危物种。</w:t>
      </w:r>
    </w:p>
    <w:p w14:paraId="62D4D79F">
      <w:pPr>
        <w:spacing w:line="360" w:lineRule="auto"/>
        <w:ind w:firstLine="480" w:firstLineChars="200"/>
        <w:rPr>
          <w:sz w:val="24"/>
        </w:rPr>
      </w:pPr>
      <w:r>
        <w:rPr>
          <w:sz w:val="24"/>
        </w:rPr>
        <w:t>评价内无风景名胜区、文化古迹和自然保护区。</w:t>
      </w:r>
    </w:p>
    <w:p w14:paraId="2323B84F">
      <w:pPr>
        <w:keepNext/>
        <w:keepLines/>
        <w:numPr>
          <w:ilvl w:val="2"/>
          <w:numId w:val="0"/>
        </w:numPr>
        <w:tabs>
          <w:tab w:val="left" w:pos="88"/>
          <w:tab w:val="left" w:pos="567"/>
        </w:tabs>
        <w:spacing w:line="360" w:lineRule="auto"/>
        <w:jc w:val="left"/>
        <w:outlineLvl w:val="2"/>
        <w:rPr>
          <w:b/>
          <w:bCs/>
          <w:kern w:val="0"/>
          <w:sz w:val="28"/>
          <w:szCs w:val="32"/>
        </w:rPr>
      </w:pPr>
      <w:r>
        <w:rPr>
          <w:b/>
          <w:bCs/>
          <w:kern w:val="0"/>
          <w:sz w:val="28"/>
          <w:szCs w:val="32"/>
        </w:rPr>
        <w:t>4.2.6风景名胜区、世界遗产地、地质公园、水源地</w:t>
      </w:r>
    </w:p>
    <w:p w14:paraId="729082B2">
      <w:pPr>
        <w:pStyle w:val="8"/>
        <w:ind w:firstLine="562"/>
      </w:pPr>
      <w:bookmarkStart w:id="90" w:name="_Toc343619126"/>
      <w:r>
        <w:t>4.2.6.1云南石林风景名胜区</w:t>
      </w:r>
      <w:bookmarkEnd w:id="90"/>
    </w:p>
    <w:p w14:paraId="793C0EA4">
      <w:pPr>
        <w:spacing w:line="360" w:lineRule="auto"/>
        <w:ind w:firstLine="600"/>
        <w:rPr>
          <w:sz w:val="24"/>
        </w:rPr>
      </w:pPr>
      <w:r>
        <w:rPr>
          <w:sz w:val="24"/>
        </w:rPr>
        <w:t>云南石林风景名胜区以奇石、飞瀑、溶洞、民族风情而闻名。其中犹以喀斯特地貌独特，类型齐全，具有重要的科学价值和美学价值。石林风景名胜区现为国家重点风景名胜区及国家级地质公园。其景观群峰壁立、千嶂叠翠、奇石异洞、千姿百态。地上石林和地下溶洞巧夺天工，自然资源与民族风情融为一体，构成了雄、奇、险、秀、幽、雅的石林风光，被誉为“天下奇观”。</w:t>
      </w:r>
    </w:p>
    <w:p w14:paraId="5496FCD8">
      <w:pPr>
        <w:spacing w:line="360" w:lineRule="auto"/>
        <w:ind w:firstLine="600"/>
        <w:rPr>
          <w:sz w:val="24"/>
        </w:rPr>
      </w:pPr>
      <w:r>
        <w:rPr>
          <w:sz w:val="24"/>
        </w:rPr>
        <w:t>石林风景名胜区现状保护范围350km</w:t>
      </w:r>
      <w:r>
        <w:rPr>
          <w:sz w:val="24"/>
          <w:vertAlign w:val="superscript"/>
        </w:rPr>
        <w:t>2</w:t>
      </w:r>
      <w:r>
        <w:rPr>
          <w:sz w:val="24"/>
        </w:rPr>
        <w:t>。风景区内千峰比肩，远望密密簇簇，近观神韵逼真。大自然的精雕细琢，使顽石无论状鸟、状兽、拟人、拟物均惟妙惟肖，栩栩如生。著名的“阿诗玛”宛如一位身材苗条、富有青春活力的撒尼少女；“母子偕游”、“凤凰梳翅”、“象居台石”精巧别致，妙趣横生。石径、石门、石廊、石桥贯穿其间，使人觉得移步换景，奇景叠出，峰回路转，异境天开。大小石林及乃古石林中已命名的景点就有154处。</w:t>
      </w:r>
    </w:p>
    <w:p w14:paraId="34556389">
      <w:pPr>
        <w:spacing w:line="360" w:lineRule="auto"/>
        <w:ind w:firstLine="600"/>
        <w:rPr>
          <w:sz w:val="24"/>
        </w:rPr>
      </w:pPr>
      <w:r>
        <w:rPr>
          <w:sz w:val="24"/>
        </w:rPr>
        <w:t>云南石林主要瀑布有三处：大叠水、小叠水、幽谷仙瀑，以大叠水瀑布为最大。瀑布落差87.8m，水簏宽幅60m，水源来自巴江。瀑布从岩顶飞泻而下，响声如雷，势如排山倒海，令人惊心动魄。瀑下深潭像一池翻滚蒸腾的沸水，烟波弥漫，雾气腾升。飞溅的水花成团成群或丝丝片片，随风抛洒。除瀑布外，石林的水景还有潭、池、泉、湖泊、暗河。</w:t>
      </w:r>
    </w:p>
    <w:p w14:paraId="00D73AEC">
      <w:pPr>
        <w:spacing w:line="360" w:lineRule="auto"/>
        <w:ind w:firstLine="600"/>
        <w:rPr>
          <w:sz w:val="24"/>
        </w:rPr>
      </w:pPr>
      <w:r>
        <w:rPr>
          <w:sz w:val="24"/>
        </w:rPr>
        <w:t>云南石林溶洞数量多、分布广。现已出现30余处，其中15处价值较高。这些溶洞一般长300～500m、宽3～15m、高4～30m。洞中主要有钟乳石、石笋、石柱、石幔、石簏、石瀑、石盆、方解石晶体等十多种构造和形态，加之洞中的河、潭、池、光(天窗)等，形成了石林风景区独特的地下奇观。</w:t>
      </w:r>
    </w:p>
    <w:p w14:paraId="229265E1">
      <w:pPr>
        <w:spacing w:line="360" w:lineRule="auto"/>
        <w:ind w:firstLine="600"/>
        <w:rPr>
          <w:sz w:val="24"/>
        </w:rPr>
      </w:pPr>
      <w:r>
        <w:rPr>
          <w:sz w:val="24"/>
        </w:rPr>
        <w:t>石林风景名胜区是汉、彝、苗、回等多民族地区，撒尼人为多，占全县总人口的30%左右。撒尼是彝族四十多个支系之一。石林境内的彝族主要有撒尼、阿细、黑彝、白彝、干彝、二彝子共六大支系。</w:t>
      </w:r>
    </w:p>
    <w:p w14:paraId="60CF73E2">
      <w:pPr>
        <w:spacing w:line="360" w:lineRule="auto"/>
        <w:ind w:firstLine="600"/>
        <w:rPr>
          <w:sz w:val="24"/>
        </w:rPr>
      </w:pPr>
      <w:r>
        <w:rPr>
          <w:sz w:val="24"/>
        </w:rPr>
        <w:t>彝族历史悠久，有自己的文字。彝族人民能歌善舞，山歌小调种类很多，民族乐器以大三弦、口弦、巴乌最有特色。歌舞旋律优美，节奏明快，舞姿古朴素雅，以歌颂爱情，赞美大自然为主题。每年农历六月二十四日“火把节”是撒尼人最重大的民族节日，其时撒尼人高举火把载歌载舞，青年人寻找伴侣，一派欢欣喜悦的场面。</w:t>
      </w:r>
    </w:p>
    <w:p w14:paraId="7CA18434">
      <w:pPr>
        <w:spacing w:line="360" w:lineRule="auto"/>
        <w:ind w:firstLine="480" w:firstLineChars="200"/>
        <w:rPr>
          <w:sz w:val="24"/>
        </w:rPr>
      </w:pPr>
      <w:r>
        <w:rPr>
          <w:sz w:val="24"/>
        </w:rPr>
        <w:t>石林风景区内动植物物种也很丰富，有蕨类植物87种，种子植物990种。森林覆盖率为12.8%，灌林林覆盖率为6.1%。列入《国家珍稀保护植物名录》的5种；省级保护的18种。脊椎动物185种，其中兽类42种，鸟类87种，两栖类12种，鱼类12种。属二级保护的动物，兽类有7种，鸟类有8种。</w:t>
      </w:r>
    </w:p>
    <w:p w14:paraId="64AC8CFA">
      <w:pPr>
        <w:spacing w:line="360" w:lineRule="auto"/>
        <w:ind w:firstLine="480" w:firstLineChars="200"/>
        <w:rPr>
          <w:sz w:val="24"/>
        </w:rPr>
      </w:pPr>
      <w:r>
        <w:rPr>
          <w:sz w:val="24"/>
        </w:rPr>
        <w:t>本风景区采用四级保护区划，即特级保护区、一级保护区、二级保护区、三级保护区。根据区位条件和游览需求，确定集中建设开发的景区建设区域，建设完整的旅游配套服务设施。</w:t>
      </w:r>
    </w:p>
    <w:p w14:paraId="62AE8E9F">
      <w:pPr>
        <w:spacing w:line="360" w:lineRule="auto"/>
        <w:ind w:firstLine="482" w:firstLineChars="200"/>
        <w:rPr>
          <w:b/>
          <w:bCs/>
          <w:sz w:val="24"/>
        </w:rPr>
      </w:pPr>
      <w:r>
        <w:rPr>
          <w:b/>
          <w:bCs/>
          <w:sz w:val="24"/>
        </w:rPr>
        <w:t xml:space="preserve">1） 特级保护区    </w:t>
      </w:r>
    </w:p>
    <w:p w14:paraId="1B0CE455">
      <w:pPr>
        <w:spacing w:line="360" w:lineRule="auto"/>
        <w:ind w:firstLine="420"/>
        <w:rPr>
          <w:sz w:val="24"/>
        </w:rPr>
      </w:pPr>
      <w:r>
        <w:rPr>
          <w:sz w:val="24"/>
        </w:rPr>
        <w:t>是指全面体现石林喀斯特景观结构的完整  系统性的区域，能够全面展现最主要、最壮观的石林喀斯特类型。本区域主要的石林喀斯特特征是石林形态丰富，造型多样，具有很高的观赏价值，既有分割完好的单体，也有组合特别的集合体，剑状、塔状、蕈状形态交相辉映，以剑状为主，石林高度10至20多米不等。部份石柱高度大于34米。石林呈簇状、窝状、带状分布。石柱保留有丰富的溶痕，发育特征和发育遗迹保存完好。本区域受旅游活动及其它人类生产活动影响较少，环境多处于自然状态，有灌丛、草被、次生林带，植被覆盖率较高，野生动物较多。特级保护区总面积44.96km</w:t>
      </w:r>
      <w:r>
        <w:rPr>
          <w:sz w:val="24"/>
          <w:vertAlign w:val="superscript"/>
        </w:rPr>
        <w:t>2</w:t>
      </w:r>
      <w:r>
        <w:rPr>
          <w:sz w:val="24"/>
        </w:rPr>
        <w:t>。</w:t>
      </w:r>
    </w:p>
    <w:p w14:paraId="69A75029">
      <w:pPr>
        <w:spacing w:line="360" w:lineRule="auto"/>
        <w:ind w:firstLine="600"/>
        <w:rPr>
          <w:sz w:val="24"/>
        </w:rPr>
      </w:pPr>
      <w:r>
        <w:rPr>
          <w:sz w:val="24"/>
        </w:rPr>
        <w:t>本区域包括以下地区：</w:t>
      </w:r>
    </w:p>
    <w:p w14:paraId="421B802E">
      <w:pPr>
        <w:numPr>
          <w:ilvl w:val="0"/>
          <w:numId w:val="82"/>
        </w:numPr>
        <w:spacing w:line="360" w:lineRule="auto"/>
        <w:rPr>
          <w:b/>
          <w:bCs/>
          <w:sz w:val="24"/>
        </w:rPr>
      </w:pPr>
      <w:r>
        <w:rPr>
          <w:b/>
          <w:bCs/>
          <w:sz w:val="24"/>
        </w:rPr>
        <w:t>乃古石林</w:t>
      </w:r>
    </w:p>
    <w:p w14:paraId="6BDF69CC">
      <w:pPr>
        <w:spacing w:line="360" w:lineRule="auto"/>
        <w:ind w:firstLine="600"/>
        <w:rPr>
          <w:sz w:val="24"/>
        </w:rPr>
      </w:pPr>
      <w:r>
        <w:rPr>
          <w:sz w:val="24"/>
        </w:rPr>
        <w:t>范围为现状游览区与官材山间区域，面积0.88 km</w:t>
      </w:r>
      <w:r>
        <w:rPr>
          <w:sz w:val="24"/>
          <w:vertAlign w:val="superscript"/>
        </w:rPr>
        <w:t>2</w:t>
      </w:r>
      <w:r>
        <w:rPr>
          <w:sz w:val="24"/>
        </w:rPr>
        <w:t>。</w:t>
      </w:r>
    </w:p>
    <w:p w14:paraId="0DC3BBBD">
      <w:pPr>
        <w:numPr>
          <w:ilvl w:val="0"/>
          <w:numId w:val="82"/>
        </w:numPr>
        <w:spacing w:line="360" w:lineRule="auto"/>
        <w:rPr>
          <w:b/>
          <w:bCs/>
          <w:sz w:val="24"/>
        </w:rPr>
      </w:pPr>
      <w:r>
        <w:rPr>
          <w:b/>
          <w:bCs/>
          <w:sz w:val="24"/>
        </w:rPr>
        <w:t>望城山—仙女湖片区</w:t>
      </w:r>
    </w:p>
    <w:p w14:paraId="15D1554F">
      <w:pPr>
        <w:spacing w:line="360" w:lineRule="auto"/>
        <w:ind w:firstLine="600"/>
        <w:rPr>
          <w:sz w:val="24"/>
        </w:rPr>
      </w:pPr>
      <w:r>
        <w:rPr>
          <w:sz w:val="24"/>
        </w:rPr>
        <w:t>范围为环林路以南，维则公路以北区域。包括李子园箐、万年灵芝、大箐坡、小龙潭子、双尖山、仙女湖、雷打石、高石头、老官山、营盘、元宝山老爹望奶奶、石箱子、望城山等石林喀斯特分布区，保护面积为34.89平方公里。</w:t>
      </w:r>
    </w:p>
    <w:p w14:paraId="32A3ADBB">
      <w:pPr>
        <w:numPr>
          <w:ilvl w:val="0"/>
          <w:numId w:val="82"/>
        </w:numPr>
        <w:spacing w:line="360" w:lineRule="auto"/>
        <w:rPr>
          <w:b/>
          <w:bCs/>
          <w:sz w:val="24"/>
        </w:rPr>
      </w:pPr>
      <w:r>
        <w:rPr>
          <w:b/>
          <w:bCs/>
          <w:sz w:val="24"/>
        </w:rPr>
        <w:t>文笔山—蓑衣山片区</w:t>
      </w:r>
    </w:p>
    <w:p w14:paraId="42076CCA">
      <w:pPr>
        <w:spacing w:line="360" w:lineRule="auto"/>
        <w:ind w:firstLine="480" w:firstLineChars="200"/>
        <w:rPr>
          <w:sz w:val="24"/>
        </w:rPr>
      </w:pPr>
      <w:r>
        <w:rPr>
          <w:sz w:val="24"/>
        </w:rPr>
        <w:t>范围为文笔山石林、文笔山—蓑衣山山脊带状乡土植被分布区域、蓑衣山石林喀斯特地貌区域。保护面积为9.19 km</w:t>
      </w:r>
      <w:r>
        <w:rPr>
          <w:sz w:val="24"/>
          <w:vertAlign w:val="superscript"/>
        </w:rPr>
        <w:t>2</w:t>
      </w:r>
      <w:r>
        <w:rPr>
          <w:sz w:val="24"/>
        </w:rPr>
        <w:t>。</w:t>
      </w:r>
    </w:p>
    <w:p w14:paraId="498AEE84">
      <w:pPr>
        <w:spacing w:line="360" w:lineRule="auto"/>
        <w:ind w:firstLine="482" w:firstLineChars="200"/>
        <w:rPr>
          <w:b/>
          <w:bCs/>
          <w:sz w:val="24"/>
        </w:rPr>
      </w:pPr>
      <w:r>
        <w:rPr>
          <w:b/>
          <w:bCs/>
          <w:sz w:val="24"/>
        </w:rPr>
        <w:t>2） 一级保护区</w:t>
      </w:r>
    </w:p>
    <w:p w14:paraId="62CE7A59">
      <w:pPr>
        <w:spacing w:line="360" w:lineRule="auto"/>
        <w:ind w:firstLine="600"/>
        <w:rPr>
          <w:sz w:val="24"/>
        </w:rPr>
      </w:pPr>
      <w:r>
        <w:rPr>
          <w:sz w:val="24"/>
        </w:rPr>
        <w:t>包括石林形态丰富、景观组合较好，在石林喀斯特地貌中具有很高的价值但现状已开辟为游览区域的石林地貌区域，以及一些以石林岩丘、石林坡地为主，石柱形态较单一，以棒状、不规则状为主，石柱高度5～10米不等，石林表面溶痕简单或呈蚀余状，但发育条件和发育遗迹保存较好，石林区域内林被稀少，有稀疏灌丛和草被、耕地。一级保护总面积62.10 km</w:t>
      </w:r>
      <w:r>
        <w:rPr>
          <w:sz w:val="24"/>
          <w:vertAlign w:val="superscript"/>
        </w:rPr>
        <w:t>2</w:t>
      </w:r>
      <w:r>
        <w:rPr>
          <w:sz w:val="24"/>
        </w:rPr>
        <w:t>。</w:t>
      </w:r>
    </w:p>
    <w:p w14:paraId="21794C05">
      <w:pPr>
        <w:spacing w:line="360" w:lineRule="auto"/>
        <w:ind w:firstLine="600"/>
        <w:rPr>
          <w:sz w:val="24"/>
        </w:rPr>
      </w:pPr>
      <w:r>
        <w:rPr>
          <w:sz w:val="24"/>
        </w:rPr>
        <w:t>本区域包括以下范围：</w:t>
      </w:r>
    </w:p>
    <w:p w14:paraId="59A1ABBA">
      <w:pPr>
        <w:numPr>
          <w:ilvl w:val="0"/>
          <w:numId w:val="82"/>
        </w:numPr>
        <w:spacing w:line="360" w:lineRule="auto"/>
        <w:rPr>
          <w:b/>
          <w:bCs/>
          <w:sz w:val="24"/>
        </w:rPr>
      </w:pPr>
      <w:r>
        <w:rPr>
          <w:b/>
          <w:bCs/>
          <w:sz w:val="24"/>
        </w:rPr>
        <w:t xml:space="preserve">北部区域    </w:t>
      </w:r>
    </w:p>
    <w:p w14:paraId="199BE45D">
      <w:pPr>
        <w:spacing w:line="360" w:lineRule="auto"/>
        <w:ind w:firstLine="600"/>
        <w:rPr>
          <w:sz w:val="24"/>
        </w:rPr>
      </w:pPr>
      <w:r>
        <w:rPr>
          <w:sz w:val="24"/>
        </w:rPr>
        <w:t>范围为北至和莫石林，南至南昆铁路线，东至巴江，西至普豆石林；包括和莫石林、站屯石林、寺背后石林、乃古石林游览区、云湖、普豆石林、马见山、烧人场人山石林，面积为12.05 km</w:t>
      </w:r>
      <w:r>
        <w:rPr>
          <w:sz w:val="24"/>
          <w:vertAlign w:val="superscript"/>
        </w:rPr>
        <w:t>2</w:t>
      </w:r>
      <w:r>
        <w:rPr>
          <w:sz w:val="24"/>
        </w:rPr>
        <w:t>。</w:t>
      </w:r>
    </w:p>
    <w:p w14:paraId="3D07E123">
      <w:pPr>
        <w:numPr>
          <w:ilvl w:val="0"/>
          <w:numId w:val="82"/>
        </w:numPr>
        <w:spacing w:line="360" w:lineRule="auto"/>
        <w:rPr>
          <w:sz w:val="24"/>
        </w:rPr>
      </w:pPr>
      <w:r>
        <w:rPr>
          <w:sz w:val="24"/>
        </w:rPr>
        <w:t xml:space="preserve">南部区域    </w:t>
      </w:r>
    </w:p>
    <w:p w14:paraId="06E71316">
      <w:pPr>
        <w:spacing w:line="360" w:lineRule="auto"/>
        <w:ind w:firstLine="600"/>
        <w:rPr>
          <w:sz w:val="24"/>
        </w:rPr>
      </w:pPr>
      <w:r>
        <w:rPr>
          <w:sz w:val="24"/>
        </w:rPr>
        <w:t>范围为北至绿芳塘、双塘一线，南至蓑衣山；东以水塘铺—所各邑乡村公路，西至特级区缓冲区界线。包括大小石林游览区、天孔岭、四坊塘、步哨山、石黄牛、戈衣黑、蓑衣山区域，面积为44.90 km</w:t>
      </w:r>
      <w:r>
        <w:rPr>
          <w:sz w:val="24"/>
          <w:vertAlign w:val="superscript"/>
        </w:rPr>
        <w:t>2</w:t>
      </w:r>
      <w:r>
        <w:rPr>
          <w:sz w:val="24"/>
        </w:rPr>
        <w:t>。</w:t>
      </w:r>
    </w:p>
    <w:p w14:paraId="4364642D">
      <w:pPr>
        <w:numPr>
          <w:ilvl w:val="0"/>
          <w:numId w:val="82"/>
        </w:numPr>
        <w:spacing w:line="360" w:lineRule="auto"/>
        <w:rPr>
          <w:b/>
          <w:bCs/>
          <w:sz w:val="24"/>
        </w:rPr>
      </w:pPr>
      <w:r>
        <w:rPr>
          <w:b/>
          <w:bCs/>
          <w:sz w:val="24"/>
        </w:rPr>
        <w:t xml:space="preserve">长湖区域    </w:t>
      </w:r>
    </w:p>
    <w:p w14:paraId="036D9793">
      <w:pPr>
        <w:spacing w:line="360" w:lineRule="auto"/>
        <w:ind w:firstLine="600"/>
        <w:rPr>
          <w:sz w:val="24"/>
        </w:rPr>
      </w:pPr>
      <w:r>
        <w:rPr>
          <w:sz w:val="24"/>
        </w:rPr>
        <w:t>范围为北至祖莫乡村公路，南到大小尖山一线，东至小团山，西至九石阿公路。包括磨盘山、长湖、大小尖山、独石山区域，面积为5.12 km</w:t>
      </w:r>
      <w:r>
        <w:rPr>
          <w:sz w:val="24"/>
          <w:vertAlign w:val="superscript"/>
        </w:rPr>
        <w:t>2</w:t>
      </w:r>
      <w:r>
        <w:rPr>
          <w:sz w:val="24"/>
        </w:rPr>
        <w:t>。</w:t>
      </w:r>
    </w:p>
    <w:p w14:paraId="195E9017">
      <w:pPr>
        <w:numPr>
          <w:ilvl w:val="0"/>
          <w:numId w:val="82"/>
        </w:numPr>
        <w:spacing w:line="360" w:lineRule="auto"/>
        <w:rPr>
          <w:b/>
          <w:bCs/>
          <w:sz w:val="24"/>
        </w:rPr>
      </w:pPr>
      <w:r>
        <w:rPr>
          <w:b/>
          <w:bCs/>
          <w:sz w:val="24"/>
        </w:rPr>
        <w:t xml:space="preserve">大叠水区域    </w:t>
      </w:r>
    </w:p>
    <w:p w14:paraId="47BD60A2">
      <w:pPr>
        <w:spacing w:line="360" w:lineRule="auto"/>
        <w:ind w:firstLine="480" w:firstLineChars="200"/>
        <w:rPr>
          <w:sz w:val="24"/>
        </w:rPr>
      </w:pPr>
      <w:r>
        <w:rPr>
          <w:sz w:val="24"/>
        </w:rPr>
        <w:t>范围包括大叠水景区的巴江、大可河、清水河河谷区域，面积为0.3 km</w:t>
      </w:r>
      <w:r>
        <w:rPr>
          <w:sz w:val="24"/>
          <w:vertAlign w:val="superscript"/>
        </w:rPr>
        <w:t>2</w:t>
      </w:r>
      <w:r>
        <w:rPr>
          <w:sz w:val="24"/>
        </w:rPr>
        <w:t>。</w:t>
      </w:r>
    </w:p>
    <w:p w14:paraId="11E855FC">
      <w:pPr>
        <w:spacing w:line="360" w:lineRule="auto"/>
        <w:ind w:firstLine="482" w:firstLineChars="200"/>
        <w:rPr>
          <w:b/>
          <w:bCs/>
          <w:sz w:val="24"/>
        </w:rPr>
      </w:pPr>
      <w:r>
        <w:rPr>
          <w:b/>
          <w:bCs/>
          <w:sz w:val="24"/>
        </w:rPr>
        <w:t xml:space="preserve">3） 二级保护区    </w:t>
      </w:r>
    </w:p>
    <w:p w14:paraId="17E05778">
      <w:pPr>
        <w:spacing w:line="360" w:lineRule="auto"/>
        <w:ind w:firstLine="600"/>
        <w:rPr>
          <w:sz w:val="24"/>
        </w:rPr>
      </w:pPr>
      <w:r>
        <w:rPr>
          <w:sz w:val="24"/>
        </w:rPr>
        <w:t>区内主要为石林残丘、石芽原野、溶丘洼地。为石芽及残余状石柱分布区，石柱形态不规则，石柱表面缺少典型溶痕，石芽与残存的石柱为不同阶段的产物。区内有次生林地及稀疏灌木，同时存留有一定数量的耕地及村落居住区，二级保护区总面积107.21 km</w:t>
      </w:r>
      <w:r>
        <w:rPr>
          <w:sz w:val="24"/>
          <w:vertAlign w:val="superscript"/>
        </w:rPr>
        <w:t>2</w:t>
      </w:r>
      <w:r>
        <w:rPr>
          <w:sz w:val="24"/>
        </w:rPr>
        <w:t>。</w:t>
      </w:r>
    </w:p>
    <w:p w14:paraId="45849245">
      <w:pPr>
        <w:spacing w:line="360" w:lineRule="auto"/>
        <w:ind w:firstLine="600"/>
        <w:rPr>
          <w:sz w:val="24"/>
        </w:rPr>
      </w:pPr>
      <w:r>
        <w:rPr>
          <w:sz w:val="24"/>
        </w:rPr>
        <w:t>本区域包括以下范围：</w:t>
      </w:r>
    </w:p>
    <w:p w14:paraId="67AAE07B">
      <w:pPr>
        <w:numPr>
          <w:ilvl w:val="0"/>
          <w:numId w:val="82"/>
        </w:numPr>
        <w:spacing w:line="360" w:lineRule="auto"/>
        <w:rPr>
          <w:b/>
          <w:bCs/>
          <w:sz w:val="24"/>
        </w:rPr>
      </w:pPr>
      <w:r>
        <w:rPr>
          <w:b/>
          <w:bCs/>
          <w:sz w:val="24"/>
        </w:rPr>
        <w:t xml:space="preserve">乃古石林区域    </w:t>
      </w:r>
    </w:p>
    <w:p w14:paraId="737E2450">
      <w:pPr>
        <w:spacing w:line="360" w:lineRule="auto"/>
        <w:ind w:firstLine="720" w:firstLineChars="300"/>
        <w:rPr>
          <w:sz w:val="24"/>
        </w:rPr>
      </w:pPr>
      <w:r>
        <w:rPr>
          <w:sz w:val="24"/>
        </w:rPr>
        <w:t>范围为北至和莫石林，南部包括大箐山、弯腰山石林。东至豹子洞石林、黑石头石林，西与三级景区范围重合。面积为28.03 km</w:t>
      </w:r>
      <w:r>
        <w:rPr>
          <w:sz w:val="24"/>
          <w:vertAlign w:val="superscript"/>
        </w:rPr>
        <w:t>2</w:t>
      </w:r>
      <w:r>
        <w:rPr>
          <w:sz w:val="24"/>
        </w:rPr>
        <w:t>。</w:t>
      </w:r>
    </w:p>
    <w:p w14:paraId="0CF0194F">
      <w:pPr>
        <w:numPr>
          <w:ilvl w:val="0"/>
          <w:numId w:val="82"/>
        </w:numPr>
        <w:spacing w:line="360" w:lineRule="auto"/>
        <w:rPr>
          <w:b/>
          <w:bCs/>
          <w:sz w:val="24"/>
        </w:rPr>
      </w:pPr>
      <w:r>
        <w:rPr>
          <w:b/>
          <w:bCs/>
          <w:sz w:val="24"/>
        </w:rPr>
        <w:t>南部石林区域</w:t>
      </w:r>
    </w:p>
    <w:p w14:paraId="77454A40">
      <w:pPr>
        <w:spacing w:line="360" w:lineRule="auto"/>
        <w:ind w:firstLine="600"/>
        <w:rPr>
          <w:sz w:val="24"/>
        </w:rPr>
      </w:pPr>
      <w:r>
        <w:rPr>
          <w:sz w:val="24"/>
        </w:rPr>
        <w:t>范围为北至绿芳塘、望贼坡一线，南至蓑衣山。东部包括老黄山石林、维史堵、长湖区域、戈衣黑石林、蓑衣山；西与三级景区范围重合。面积为78 km</w:t>
      </w:r>
      <w:r>
        <w:rPr>
          <w:sz w:val="24"/>
          <w:vertAlign w:val="superscript"/>
        </w:rPr>
        <w:t>2</w:t>
      </w:r>
      <w:r>
        <w:rPr>
          <w:sz w:val="24"/>
        </w:rPr>
        <w:t>。</w:t>
      </w:r>
    </w:p>
    <w:p w14:paraId="1ECB17A0">
      <w:pPr>
        <w:numPr>
          <w:ilvl w:val="0"/>
          <w:numId w:val="82"/>
        </w:numPr>
        <w:spacing w:line="360" w:lineRule="auto"/>
        <w:rPr>
          <w:b/>
          <w:bCs/>
          <w:sz w:val="24"/>
        </w:rPr>
      </w:pPr>
      <w:r>
        <w:rPr>
          <w:b/>
          <w:bCs/>
          <w:sz w:val="24"/>
        </w:rPr>
        <w:t xml:space="preserve">大叠水区域    </w:t>
      </w:r>
    </w:p>
    <w:p w14:paraId="4087BD50">
      <w:pPr>
        <w:spacing w:line="360" w:lineRule="auto"/>
        <w:ind w:firstLine="480" w:firstLineChars="200"/>
        <w:rPr>
          <w:sz w:val="24"/>
        </w:rPr>
      </w:pPr>
      <w:r>
        <w:rPr>
          <w:sz w:val="24"/>
        </w:rPr>
        <w:t>范围为一级保护区外面向河谷的山坡区域。面积为1.18 km</w:t>
      </w:r>
      <w:r>
        <w:rPr>
          <w:sz w:val="24"/>
          <w:vertAlign w:val="superscript"/>
        </w:rPr>
        <w:t>2</w:t>
      </w:r>
      <w:r>
        <w:rPr>
          <w:sz w:val="24"/>
        </w:rPr>
        <w:t>。</w:t>
      </w:r>
    </w:p>
    <w:p w14:paraId="7B5524F2">
      <w:pPr>
        <w:spacing w:line="360" w:lineRule="auto"/>
        <w:ind w:firstLine="482" w:firstLineChars="200"/>
        <w:rPr>
          <w:b/>
          <w:bCs/>
          <w:sz w:val="24"/>
        </w:rPr>
      </w:pPr>
      <w:r>
        <w:rPr>
          <w:b/>
          <w:bCs/>
          <w:sz w:val="24"/>
        </w:rPr>
        <w:t xml:space="preserve">4） 三级保护区    </w:t>
      </w:r>
    </w:p>
    <w:p w14:paraId="11DBC62D">
      <w:pPr>
        <w:spacing w:line="360" w:lineRule="auto"/>
        <w:ind w:firstLine="480" w:firstLineChars="200"/>
        <w:rPr>
          <w:sz w:val="24"/>
        </w:rPr>
      </w:pPr>
      <w:r>
        <w:rPr>
          <w:sz w:val="24"/>
        </w:rPr>
        <w:t>为石林外围景观的环境保护协调区，为石林风景名胜区的管辖范围，区域内局部分布有小区域石林喀斯特地貌，石林街道办事处、北大村、维则三个乡镇及其他村落居住区、林地、灌丛、耕地。规划的旅游服务中心区也位于三级保护区内，三级保护区范围与原规划基本保持一致，根据现状保护情况，局部略有调整，风景区总面和仍保持350 km</w:t>
      </w:r>
      <w:r>
        <w:rPr>
          <w:sz w:val="24"/>
          <w:vertAlign w:val="superscript"/>
        </w:rPr>
        <w:t>2</w:t>
      </w:r>
      <w:r>
        <w:rPr>
          <w:sz w:val="24"/>
        </w:rPr>
        <w:t>不变，三级保护区总面积135.73 km</w:t>
      </w:r>
      <w:r>
        <w:rPr>
          <w:sz w:val="24"/>
          <w:vertAlign w:val="superscript"/>
        </w:rPr>
        <w:t>2</w:t>
      </w:r>
      <w:r>
        <w:rPr>
          <w:sz w:val="24"/>
        </w:rPr>
        <w:t>，其中石林区域为111.43 km</w:t>
      </w:r>
      <w:r>
        <w:rPr>
          <w:sz w:val="24"/>
          <w:vertAlign w:val="superscript"/>
        </w:rPr>
        <w:t>2</w:t>
      </w:r>
      <w:r>
        <w:rPr>
          <w:sz w:val="24"/>
        </w:rPr>
        <w:t>，大叠水为2.0 km</w:t>
      </w:r>
      <w:r>
        <w:rPr>
          <w:sz w:val="24"/>
          <w:vertAlign w:val="superscript"/>
        </w:rPr>
        <w:t>2</w:t>
      </w:r>
      <w:r>
        <w:rPr>
          <w:sz w:val="24"/>
        </w:rPr>
        <w:t>。</w:t>
      </w:r>
    </w:p>
    <w:p w14:paraId="2E6B6EB8">
      <w:pPr>
        <w:spacing w:line="360" w:lineRule="auto"/>
        <w:ind w:firstLine="480" w:firstLineChars="200"/>
        <w:rPr>
          <w:sz w:val="24"/>
        </w:rPr>
      </w:pPr>
      <w:r>
        <w:rPr>
          <w:sz w:val="24"/>
        </w:rPr>
        <w:t>三级保护区保护要求：</w:t>
      </w:r>
    </w:p>
    <w:p w14:paraId="468F982C">
      <w:pPr>
        <w:spacing w:line="360" w:lineRule="auto"/>
        <w:ind w:firstLine="600"/>
        <w:rPr>
          <w:sz w:val="24"/>
        </w:rPr>
      </w:pPr>
      <w:r>
        <w:rPr>
          <w:sz w:val="24"/>
        </w:rPr>
        <w:t>加强绿化及环境建设，对区内的采石、砍伐林木、开山取土应严格加以控制，已采石场应覆土填埋，已建水泥厂、化工厂等项目应在规划期内逐步拆除、搬迁，根据喀斯特地貌景观的特殊性，应严格防止对水体、水源、暗河和大气的污染，结合农业可持续发展战略，调整种植结构，区内农田应限制化学肥料的使用，避免对地下水资源造成破坏。</w:t>
      </w:r>
    </w:p>
    <w:p w14:paraId="0FABB512">
      <w:pPr>
        <w:spacing w:line="360" w:lineRule="auto"/>
        <w:ind w:firstLine="600"/>
        <w:rPr>
          <w:b/>
          <w:iCs/>
          <w:sz w:val="24"/>
        </w:rPr>
      </w:pPr>
      <w:r>
        <w:rPr>
          <w:b/>
          <w:iCs/>
          <w:sz w:val="24"/>
        </w:rPr>
        <w:t>本项目位于该风景名胜区东南方向，与最外围的三级保护区边界直线距离最近为15.9km。</w:t>
      </w:r>
    </w:p>
    <w:p w14:paraId="02F34E4D">
      <w:pPr>
        <w:pStyle w:val="8"/>
        <w:ind w:firstLine="562"/>
      </w:pPr>
      <w:r>
        <w:t>4.2.6.2云南石林世界地质公园</w:t>
      </w:r>
    </w:p>
    <w:p w14:paraId="4FB52B3E">
      <w:pPr>
        <w:spacing w:line="360" w:lineRule="auto"/>
        <w:ind w:firstLine="600"/>
        <w:rPr>
          <w:sz w:val="24"/>
        </w:rPr>
      </w:pPr>
      <w:r>
        <w:rPr>
          <w:sz w:val="24"/>
        </w:rPr>
        <w:t>地质公</w:t>
      </w:r>
      <w:bookmarkStart w:id="91" w:name="_Hlt342384594"/>
      <w:bookmarkStart w:id="92" w:name="_Hlt342384595"/>
      <w:r>
        <w:rPr>
          <w:sz w:val="24"/>
        </w:rPr>
        <w:t>园</w:t>
      </w:r>
      <w:bookmarkEnd w:id="91"/>
      <w:bookmarkEnd w:id="92"/>
      <w:r>
        <w:rPr>
          <w:sz w:val="24"/>
        </w:rPr>
        <w:t>是以其地质科学意义、珍奇秀丽和独特的地质景观为主，融合自然景观与人文景观的自然公园。我国地质公园建设工作已进行了３年多，在有效保护、合理开发和利用地质遗迹资源、推动地方经济发展、普及地质科学知识等方面取得了令人瞩目的成果。2004年2月13日，在法国巴黎召开的联合国教科文组织会议上，石林国家风景名胜区和中国的其它7家国家地质公园被列入世界地质公园网络名录，成为首批世界地质公园。截至2005年2月，全球共有33家世界地质公园。</w:t>
      </w:r>
    </w:p>
    <w:p w14:paraId="4C8B6DC8">
      <w:pPr>
        <w:spacing w:line="360" w:lineRule="auto"/>
        <w:ind w:firstLine="600"/>
        <w:rPr>
          <w:sz w:val="24"/>
        </w:rPr>
      </w:pPr>
      <w:r>
        <w:rPr>
          <w:sz w:val="24"/>
        </w:rPr>
        <w:t>石林地质公园位于北纬24°38′~24°58′N；东经103°11′~103°29′E；在云南省昆明市石林彝族自治县境内，距云南省首府昆明市中心78km，海拔1600m~2203m。石林县碳酸盐岩分布面积达900km</w:t>
      </w:r>
      <w:r>
        <w:rPr>
          <w:sz w:val="24"/>
          <w:vertAlign w:val="superscript"/>
        </w:rPr>
        <w:t>2</w:t>
      </w:r>
      <w:r>
        <w:rPr>
          <w:sz w:val="24"/>
        </w:rPr>
        <w:t>，其中石林喀斯特面积超过400km</w:t>
      </w:r>
      <w:r>
        <w:rPr>
          <w:sz w:val="24"/>
          <w:vertAlign w:val="superscript"/>
        </w:rPr>
        <w:t>2</w:t>
      </w:r>
      <w:r>
        <w:rPr>
          <w:sz w:val="24"/>
        </w:rPr>
        <w:t>，集中于石林县中部，北起乃古石林北、南至蓑衣山，长30余km, 宽约10km的南北向条带。公园地质遗迹景观丰富，其中石林喀斯特景观最引人瞩目：以类型多样、造型奇特、观赏性强、发育历史久远、演化复杂为特征。公园是世界上非同寻常的一流自然美地学景观区，是世界上石林喀斯特类型最多的地区之一，誉为“石林喀斯特博物馆”和“天下奇观”。</w:t>
      </w:r>
    </w:p>
    <w:p w14:paraId="7DC2A5AD">
      <w:pPr>
        <w:spacing w:line="360" w:lineRule="auto"/>
        <w:ind w:firstLine="600"/>
        <w:rPr>
          <w:b/>
          <w:iCs/>
          <w:sz w:val="24"/>
        </w:rPr>
      </w:pPr>
      <w:r>
        <w:rPr>
          <w:b/>
          <w:iCs/>
          <w:sz w:val="24"/>
        </w:rPr>
        <w:t>石林世界地质公园与保护范围与石林风景名胜区范围一致。因此，项目距该地质公园直线距离最近为15.9km。</w:t>
      </w:r>
    </w:p>
    <w:p w14:paraId="1B2CC979">
      <w:pPr>
        <w:pStyle w:val="8"/>
        <w:ind w:firstLine="562"/>
      </w:pPr>
      <w:r>
        <w:t>4.2.6.3中国南方喀斯特世界自然遗产地（石林）</w:t>
      </w:r>
    </w:p>
    <w:p w14:paraId="6072A507">
      <w:pPr>
        <w:spacing w:line="360" w:lineRule="auto"/>
        <w:ind w:firstLine="600"/>
        <w:rPr>
          <w:sz w:val="24"/>
        </w:rPr>
      </w:pPr>
      <w:r>
        <w:rPr>
          <w:sz w:val="24"/>
        </w:rPr>
        <w:t>北京时间2007年6月27日下午14:16，新西兰当地时间下午18:16点，在新西兰基督城召开的第31届世界遗产大会表决通过了“中国南方喀斯特”申遗项目，石林正式列入了世界遗产名录。中国南方喀斯特由石林喀斯特、金佛山喀斯特、武隆喀斯特、施秉喀斯特、荔波喀斯特、环江喀斯特和桂林喀斯特7个遗产地构成。中国南方喀斯特分布在贵州省、云南省、重庆市、广西壮族自治区，涉及8个区县，遗产地总面积97125公顷，缓冲区总面积176228公顷。</w:t>
      </w:r>
    </w:p>
    <w:p w14:paraId="4EF3EA90">
      <w:pPr>
        <w:spacing w:line="360" w:lineRule="auto"/>
        <w:ind w:firstLine="600"/>
        <w:rPr>
          <w:sz w:val="24"/>
          <w:lang w:val="it-IT"/>
        </w:rPr>
      </w:pPr>
      <w:r>
        <w:rPr>
          <w:sz w:val="24"/>
        </w:rPr>
        <w:t>其中石林喀斯特中心点坐标N24°47′30″E103°16′30″，遗产地总面积12070公顷，缓冲区总面积22930公顷。共计35000公顷，总面积、范围与风景名胜区、地质公园一致。</w:t>
      </w:r>
    </w:p>
    <w:p w14:paraId="0A6D04A0">
      <w:pPr>
        <w:spacing w:line="360" w:lineRule="auto"/>
        <w:ind w:firstLine="600"/>
        <w:rPr>
          <w:sz w:val="24"/>
        </w:rPr>
      </w:pPr>
      <w:r>
        <w:rPr>
          <w:b/>
          <w:bCs/>
          <w:sz w:val="24"/>
        </w:rPr>
        <w:t>严格保护区：</w:t>
      </w:r>
      <w:r>
        <w:rPr>
          <w:sz w:val="24"/>
        </w:rPr>
        <w:t>该区区块编号为</w:t>
      </w:r>
      <w:r>
        <w:rPr>
          <w:bCs/>
          <w:sz w:val="24"/>
        </w:rPr>
        <w:t>SL-U-（1~14），分布</w:t>
      </w:r>
      <w:r>
        <w:rPr>
          <w:sz w:val="24"/>
        </w:rPr>
        <w:t>于石林风景名胜区的乃古石林景区、大小石林景区以及中部的望城山—仙女湖景区和南部的文笔山—蓑衣山景区，总面积11478.49公顷，占遗产地总面积的95.10%。区内分布有石林风景区的全部特级保护区、部分一级和二级保护区。区域包含了遗产价值卓越的剑状喀斯特地貌，其中剑状石林、塔状石林、柱状石林、蘑菇状石林具有极高的地貌价值、美学价值、科研价值应该整体加以保护。区内需严格维护其自然的原生系统形态，对核心保护区域进行严格的封闭性保护，严格保持森林植被、地形地貌的原生状态，精心维护其生物资源的珍稀性、多样性、完整性，禁止一切人工建设活动；严禁开山采石、非法捕猎、砍伐林木，区内农田应逐步退耕还林，严禁向区域内自然水体排放未经处理和处理不达标的污水。针对特殊客源群体的科普考察活动，应严格限制其规模；对现状的公路等交通设施应加强景观绿化建设，不得在该区内新建道路。</w:t>
      </w:r>
    </w:p>
    <w:p w14:paraId="3E1250A5">
      <w:pPr>
        <w:spacing w:line="360" w:lineRule="auto"/>
        <w:ind w:firstLine="600"/>
        <w:rPr>
          <w:sz w:val="24"/>
        </w:rPr>
      </w:pPr>
      <w:r>
        <w:rPr>
          <w:b/>
          <w:bCs/>
          <w:sz w:val="24"/>
        </w:rPr>
        <w:t>遗产展示区：</w:t>
      </w:r>
      <w:r>
        <w:rPr>
          <w:sz w:val="24"/>
        </w:rPr>
        <w:t>该区区块编号为</w:t>
      </w:r>
      <w:r>
        <w:rPr>
          <w:bCs/>
          <w:sz w:val="24"/>
        </w:rPr>
        <w:t>SL-P-（1~2），</w:t>
      </w:r>
      <w:r>
        <w:rPr>
          <w:sz w:val="24"/>
        </w:rPr>
        <w:t>遗产展示区分布在乃古石林景区，总面积524.89公顷，占遗产地总面积的4.35%。该区地貌美学价值极高，比较充分地展现了石林遗产地的地貌特征。区内应按照《风景名胜区管条例》等要求，加强对石林喀斯特地貌景观的本体保护，区内可在环境承载力限度内开展一定规模的旅游活动，可设置必要的步行游赏道路和相关游览服务设施，但旅游活动的开展不得对地形、地貌和景观环境造成破坏。原则上，机动车辆未经批准，不能进入该区域。旅游设施的建设要与地貌景观保持高度的和谐一致，并保证典型地貌与栈道具有一定的安全距离，在展现石林喀斯特地质地貌和美学价值的同时避免其受到人类活动的不合理影响。</w:t>
      </w:r>
    </w:p>
    <w:p w14:paraId="2E2C86FF">
      <w:pPr>
        <w:spacing w:line="360" w:lineRule="auto"/>
        <w:ind w:firstLine="600"/>
        <w:rPr>
          <w:sz w:val="24"/>
        </w:rPr>
      </w:pPr>
      <w:r>
        <w:rPr>
          <w:b/>
          <w:bCs/>
          <w:sz w:val="24"/>
        </w:rPr>
        <w:t>社区协调发展区：</w:t>
      </w:r>
      <w:r>
        <w:rPr>
          <w:sz w:val="24"/>
        </w:rPr>
        <w:t>该区区块编号为</w:t>
      </w:r>
      <w:r>
        <w:rPr>
          <w:bCs/>
          <w:sz w:val="24"/>
        </w:rPr>
        <w:t>SL-C-（1~4）</w:t>
      </w:r>
      <w:r>
        <w:rPr>
          <w:sz w:val="24"/>
        </w:rPr>
        <w:t>，主要为遗产地北部和南部的自然村落，总面积66.62公顷，占遗产地总面积的0.55%。由于遗产地内喀斯特石林裸露范围较大，遗产区内的农田面积比例很小，仅占遗产地的范围内的1.07%，人类生产活动所造成的影响相对较小。应加强区内的绿化及环境建设，加强村寨内部环卫治理，加强饲养、放养家畜的管理。控制现有社区规模，加强对传统建筑风貌、聚落景观的保护；新建、改建建筑在满足基本功能要求的前提下，应与整体环境协调，外装修不得使用瓷砖、琉璃等现代装饰材料，不得使用鲜艳的色调。农业生产活动应在保护环境的前提下，逐步优化调整农业经济结构，实施必要的退耕还林，建设高效的污染程度低的多种经济农业，促进农村经济的发展；改善当地居民能源利用和生产模式，尽可能的减少对生态环境的压力。改善当地农村社区的基础设施条件，提高文化教育水平，注重发掘彝族文化内涵，建立公平合理的利益分配机制，有效地提高当地社区的物质生活条件。</w:t>
      </w:r>
    </w:p>
    <w:p w14:paraId="4F87B994">
      <w:pPr>
        <w:spacing w:line="360" w:lineRule="auto"/>
        <w:ind w:firstLine="600"/>
        <w:rPr>
          <w:sz w:val="24"/>
        </w:rPr>
      </w:pPr>
      <w:r>
        <w:rPr>
          <w:b/>
          <w:sz w:val="24"/>
        </w:rPr>
        <w:t>缓冲区划定的目的在于</w:t>
      </w:r>
      <w:r>
        <w:rPr>
          <w:sz w:val="24"/>
        </w:rPr>
        <w:t>保护遗产地的突出普遍价值，隔离或缓冲外来不合理干扰，避免遗产地内的自然资源受到自然与人为威胁因素的破坏。</w:t>
      </w:r>
      <w:r>
        <w:rPr>
          <w:i/>
          <w:sz w:val="24"/>
        </w:rPr>
        <w:t>石林喀斯特</w:t>
      </w:r>
      <w:r>
        <w:rPr>
          <w:sz w:val="24"/>
        </w:rPr>
        <w:t>缓冲区全部位于石林风景名胜区的二级保护区和三级保护区之内，应当遵循《风景名胜区条例》和石林风景名胜区规划的管控要求。缓冲区内的二级保护区和三级保护区（区块SL-B-9~18），禁止砍伐林木、开山采石，可建设与旅游相关的建设设施，可以安排旅宿设施，但必须与周围景观环境相协调，严格审批，避免建设性破坏。</w:t>
      </w:r>
    </w:p>
    <w:p w14:paraId="53BAB34D">
      <w:pPr>
        <w:spacing w:line="360" w:lineRule="auto"/>
        <w:ind w:firstLine="600"/>
        <w:rPr>
          <w:b/>
          <w:bCs/>
          <w:iCs/>
          <w:sz w:val="24"/>
        </w:rPr>
      </w:pPr>
      <w:r>
        <w:rPr>
          <w:b/>
          <w:bCs/>
        </w:rPr>
        <w:t>中国南方喀斯特世界自然遗产地（石林）</w:t>
      </w:r>
      <w:r>
        <w:rPr>
          <w:b/>
          <w:bCs/>
          <w:iCs/>
          <w:sz w:val="24"/>
        </w:rPr>
        <w:t>与石林风景名胜区范围一致。因此，项目距该地质公园直线距离最近为15.9km。</w:t>
      </w:r>
    </w:p>
    <w:p w14:paraId="4C5CF7A5">
      <w:pPr>
        <w:pStyle w:val="8"/>
        <w:spacing w:before="120" w:after="120"/>
        <w:ind w:firstLine="482"/>
        <w:rPr>
          <w:sz w:val="24"/>
          <w:szCs w:val="24"/>
        </w:rPr>
      </w:pPr>
      <w:r>
        <w:rPr>
          <w:sz w:val="24"/>
          <w:szCs w:val="24"/>
        </w:rPr>
        <w:t>4.2.6.4圭山水库水源地</w:t>
      </w:r>
    </w:p>
    <w:p w14:paraId="51178DBB">
      <w:pPr>
        <w:spacing w:line="360" w:lineRule="auto"/>
        <w:ind w:firstLine="600"/>
        <w:rPr>
          <w:sz w:val="24"/>
        </w:rPr>
      </w:pPr>
      <w:r>
        <w:rPr>
          <w:sz w:val="24"/>
        </w:rPr>
        <w:t>根据《石林彝族自治县人民政府印发石林彝族自治县七角塘水库等十七个集中式饮用水源地保护范围划定方案的通知》（石政发[2011]18号），圭山水库饮用水源地分为三级保护区，其中：</w:t>
      </w:r>
    </w:p>
    <w:p w14:paraId="7F1D24A0">
      <w:pPr>
        <w:spacing w:line="360" w:lineRule="auto"/>
        <w:ind w:firstLine="600"/>
        <w:rPr>
          <w:sz w:val="24"/>
        </w:rPr>
      </w:pPr>
      <w:r>
        <w:rPr>
          <w:sz w:val="24"/>
        </w:rPr>
        <w:t>一级保护区：正常蓄水位外延50米，面积446亩。</w:t>
      </w:r>
    </w:p>
    <w:p w14:paraId="4A3BE7C4">
      <w:pPr>
        <w:spacing w:line="360" w:lineRule="auto"/>
        <w:ind w:firstLine="600"/>
        <w:rPr>
          <w:sz w:val="24"/>
        </w:rPr>
      </w:pPr>
      <w:r>
        <w:rPr>
          <w:sz w:val="24"/>
        </w:rPr>
        <w:t>二级保护区：东面、西北从一级保护区外延150米，西面至山顶道路（防火带），南面至大坝；面积890亩。</w:t>
      </w:r>
    </w:p>
    <w:p w14:paraId="60F0AACA">
      <w:pPr>
        <w:spacing w:line="360" w:lineRule="auto"/>
        <w:ind w:firstLine="600"/>
        <w:rPr>
          <w:sz w:val="24"/>
        </w:rPr>
      </w:pPr>
      <w:r>
        <w:rPr>
          <w:sz w:val="24"/>
        </w:rPr>
        <w:t>三级保护区：东面为圭山水库径流区，北面至圭山水库、三角水库联络道，西面为山顶道路（防火带），南面至大坝；面积2479亩。</w:t>
      </w:r>
    </w:p>
    <w:p w14:paraId="740BA663">
      <w:pPr>
        <w:spacing w:line="360" w:lineRule="auto"/>
        <w:ind w:firstLine="600"/>
        <w:rPr>
          <w:sz w:val="24"/>
        </w:rPr>
      </w:pPr>
      <w:r>
        <w:rPr>
          <w:sz w:val="24"/>
        </w:rPr>
        <w:t>项目位于圭山水库西南方向，距离圭山水库大坝约8.6km，项目不涉及圭山水库饮用水源地保护范围，详见附图</w:t>
      </w:r>
      <w:r>
        <w:rPr>
          <w:rFonts w:hint="eastAsia"/>
          <w:sz w:val="24"/>
        </w:rPr>
        <w:t>5</w:t>
      </w:r>
      <w:r>
        <w:rPr>
          <w:sz w:val="24"/>
        </w:rPr>
        <w:t>。</w:t>
      </w:r>
    </w:p>
    <w:p w14:paraId="11F39514">
      <w:pPr>
        <w:pStyle w:val="8"/>
        <w:spacing w:before="120" w:after="120"/>
        <w:ind w:firstLine="482"/>
        <w:rPr>
          <w:bCs/>
          <w:sz w:val="24"/>
          <w:szCs w:val="24"/>
        </w:rPr>
      </w:pPr>
      <w:r>
        <w:rPr>
          <w:bCs/>
          <w:sz w:val="24"/>
          <w:szCs w:val="24"/>
        </w:rPr>
        <w:t>4.2.6.5圭山国家森林公园</w:t>
      </w:r>
    </w:p>
    <w:p w14:paraId="4DADFA72">
      <w:pPr>
        <w:adjustRightInd w:val="0"/>
        <w:snapToGrid w:val="0"/>
        <w:spacing w:line="360" w:lineRule="auto"/>
        <w:ind w:firstLine="480" w:firstLineChars="200"/>
        <w:rPr>
          <w:kern w:val="0"/>
          <w:sz w:val="24"/>
          <w:szCs w:val="22"/>
        </w:rPr>
      </w:pPr>
      <w:r>
        <w:rPr>
          <w:kern w:val="0"/>
          <w:sz w:val="24"/>
          <w:szCs w:val="22"/>
        </w:rPr>
        <w:t>圭山国家森林公园位于</w:t>
      </w:r>
      <w:r>
        <w:fldChar w:fldCharType="begin"/>
      </w:r>
      <w:r>
        <w:instrText xml:space="preserve"> HYPERLINK "https://baike.so.com/doc/2546461-2689691.html" \t "https://baike.so.com/doc/_blank" </w:instrText>
      </w:r>
      <w:r>
        <w:fldChar w:fldCharType="separate"/>
      </w:r>
      <w:r>
        <w:rPr>
          <w:kern w:val="0"/>
          <w:sz w:val="24"/>
          <w:szCs w:val="22"/>
        </w:rPr>
        <w:t>云南</w:t>
      </w:r>
      <w:r>
        <w:rPr>
          <w:kern w:val="0"/>
          <w:sz w:val="24"/>
          <w:szCs w:val="22"/>
        </w:rPr>
        <w:fldChar w:fldCharType="end"/>
      </w:r>
      <w:r>
        <w:rPr>
          <w:kern w:val="0"/>
          <w:sz w:val="24"/>
          <w:szCs w:val="22"/>
        </w:rPr>
        <w:t>省</w:t>
      </w:r>
      <w:r>
        <w:fldChar w:fldCharType="begin"/>
      </w:r>
      <w:r>
        <w:instrText xml:space="preserve"> HYPERLINK "https://baike.so.com/doc/5032514-5258895.html" \t "https://baike.so.com/doc/_blank" </w:instrText>
      </w:r>
      <w:r>
        <w:fldChar w:fldCharType="separate"/>
      </w:r>
      <w:r>
        <w:rPr>
          <w:kern w:val="0"/>
          <w:sz w:val="24"/>
          <w:szCs w:val="22"/>
        </w:rPr>
        <w:t>昆明</w:t>
      </w:r>
      <w:r>
        <w:rPr>
          <w:kern w:val="0"/>
          <w:sz w:val="24"/>
          <w:szCs w:val="22"/>
        </w:rPr>
        <w:fldChar w:fldCharType="end"/>
      </w:r>
      <w:r>
        <w:rPr>
          <w:kern w:val="0"/>
          <w:sz w:val="24"/>
          <w:szCs w:val="22"/>
        </w:rPr>
        <w:t>市</w:t>
      </w:r>
      <w:r>
        <w:fldChar w:fldCharType="begin"/>
      </w:r>
      <w:r>
        <w:instrText xml:space="preserve"> HYPERLINK "https://baike.so.com/doc/5205125-5437029.html" \t "https://baike.so.com/doc/_blank" </w:instrText>
      </w:r>
      <w:r>
        <w:fldChar w:fldCharType="separate"/>
      </w:r>
      <w:r>
        <w:rPr>
          <w:kern w:val="0"/>
          <w:sz w:val="24"/>
          <w:szCs w:val="22"/>
        </w:rPr>
        <w:t>石林县</w:t>
      </w:r>
      <w:r>
        <w:rPr>
          <w:kern w:val="0"/>
          <w:sz w:val="24"/>
          <w:szCs w:val="22"/>
        </w:rPr>
        <w:fldChar w:fldCharType="end"/>
      </w:r>
      <w:r>
        <w:rPr>
          <w:kern w:val="0"/>
          <w:sz w:val="24"/>
          <w:szCs w:val="22"/>
        </w:rPr>
        <w:t>境内，因雄奇险秀的山峦形若大海龟隆起的背部而得名"老龟山"，后改译音为"老圭山"，当地彝语称"构波玛"，意为"大雁的山"。圭山山峰海拔2601米，南北长14千米，宽10千米，总面积3206公顷，系云岭山脉余脉，与山脚相对高度981米，为县内最高大的山峰。圭山地区广泛分布着古代可溶性碳酸盐沉积岩、石灰岩发育形成的典型的岩溶地貌。圭山森林覆盖达80%，分布着多样的森林植被，多是受高原亚热带季风影响形成的半湿常绿阔叶林。</w:t>
      </w:r>
    </w:p>
    <w:p w14:paraId="7C543643">
      <w:pPr>
        <w:spacing w:line="360" w:lineRule="auto"/>
        <w:ind w:firstLine="480" w:firstLineChars="200"/>
        <w:rPr>
          <w:sz w:val="24"/>
        </w:rPr>
      </w:pPr>
      <w:r>
        <w:rPr>
          <w:kern w:val="0"/>
          <w:sz w:val="24"/>
        </w:rPr>
        <w:t>根据调查，</w:t>
      </w:r>
      <w:r>
        <w:rPr>
          <w:sz w:val="24"/>
        </w:rPr>
        <w:t>项目距离圭山森林公园最近地块为地块一大河边养殖场地</w:t>
      </w:r>
      <w:r>
        <w:rPr>
          <w:kern w:val="0"/>
          <w:sz w:val="24"/>
        </w:rPr>
        <w:t>，距离圭山森林公园约570m，本项目不在圭山国家森林公园范围内。</w:t>
      </w:r>
    </w:p>
    <w:p w14:paraId="7F768434">
      <w:pPr>
        <w:pStyle w:val="6"/>
        <w:spacing w:before="0" w:after="0" w:line="360" w:lineRule="auto"/>
        <w:rPr>
          <w:rFonts w:ascii="Times New Roman" w:hAnsi="Times New Roman"/>
          <w:sz w:val="30"/>
          <w:szCs w:val="30"/>
        </w:rPr>
      </w:pPr>
      <w:bookmarkStart w:id="93" w:name="_Toc11484"/>
      <w:bookmarkStart w:id="94" w:name="_Toc478741106"/>
      <w:bookmarkStart w:id="95" w:name="_Toc527013981"/>
      <w:r>
        <w:rPr>
          <w:rFonts w:ascii="Times New Roman" w:hAnsi="Times New Roman"/>
          <w:sz w:val="30"/>
          <w:szCs w:val="30"/>
        </w:rPr>
        <w:t>4.3 周边污染源分析</w:t>
      </w:r>
      <w:bookmarkEnd w:id="93"/>
      <w:bookmarkEnd w:id="94"/>
      <w:bookmarkEnd w:id="95"/>
    </w:p>
    <w:p w14:paraId="450D5242">
      <w:pPr>
        <w:keepNext/>
        <w:keepLines/>
        <w:numPr>
          <w:ilvl w:val="2"/>
          <w:numId w:val="0"/>
        </w:numPr>
        <w:tabs>
          <w:tab w:val="left" w:pos="88"/>
          <w:tab w:val="left" w:pos="567"/>
        </w:tabs>
        <w:spacing w:line="360" w:lineRule="auto"/>
        <w:jc w:val="left"/>
        <w:outlineLvl w:val="2"/>
        <w:rPr>
          <w:kern w:val="0"/>
          <w:sz w:val="28"/>
          <w:szCs w:val="28"/>
        </w:rPr>
      </w:pPr>
      <w:r>
        <w:rPr>
          <w:b/>
          <w:bCs/>
          <w:kern w:val="0"/>
          <w:sz w:val="28"/>
          <w:szCs w:val="32"/>
        </w:rPr>
        <w:t>4.3.1 周边主要工业企业污染源</w:t>
      </w:r>
    </w:p>
    <w:p w14:paraId="3D195575">
      <w:pPr>
        <w:adjustRightInd w:val="0"/>
        <w:snapToGrid w:val="0"/>
        <w:spacing w:line="360" w:lineRule="auto"/>
        <w:ind w:firstLine="480"/>
        <w:rPr>
          <w:kern w:val="10"/>
          <w:sz w:val="24"/>
        </w:rPr>
      </w:pPr>
      <w:r>
        <w:rPr>
          <w:kern w:val="10"/>
          <w:sz w:val="24"/>
        </w:rPr>
        <w:t>根据调查，项目位于</w:t>
      </w:r>
      <w:r>
        <w:rPr>
          <w:sz w:val="24"/>
        </w:rPr>
        <w:t>石林彝族自治县圭山镇海邑村</w:t>
      </w:r>
      <w:r>
        <w:rPr>
          <w:kern w:val="10"/>
          <w:sz w:val="24"/>
        </w:rPr>
        <w:t>境内，项目所在的区域的周边没有工业污染源分布，项目地块一大河边养殖地块所在位置东侧约230m处为一村民养鸡棚，该厂对周边环境存在臭气污染，但由于规模较小，影响轻微。</w:t>
      </w:r>
    </w:p>
    <w:p w14:paraId="2E83F4AB">
      <w:pPr>
        <w:keepNext/>
        <w:keepLines/>
        <w:numPr>
          <w:ilvl w:val="2"/>
          <w:numId w:val="0"/>
        </w:numPr>
        <w:tabs>
          <w:tab w:val="left" w:pos="88"/>
          <w:tab w:val="left" w:pos="567"/>
        </w:tabs>
        <w:spacing w:line="360" w:lineRule="auto"/>
        <w:jc w:val="left"/>
        <w:outlineLvl w:val="2"/>
        <w:rPr>
          <w:b/>
          <w:bCs/>
          <w:kern w:val="0"/>
          <w:sz w:val="28"/>
          <w:szCs w:val="32"/>
        </w:rPr>
      </w:pPr>
      <w:r>
        <w:rPr>
          <w:b/>
          <w:bCs/>
          <w:kern w:val="0"/>
          <w:sz w:val="28"/>
          <w:szCs w:val="32"/>
        </w:rPr>
        <w:t>4.3.2 周边主要面源污染源</w:t>
      </w:r>
    </w:p>
    <w:p w14:paraId="07E87AF4">
      <w:pPr>
        <w:adjustRightInd w:val="0"/>
        <w:snapToGrid w:val="0"/>
        <w:spacing w:line="360" w:lineRule="auto"/>
        <w:ind w:firstLine="480"/>
        <w:rPr>
          <w:sz w:val="24"/>
        </w:rPr>
      </w:pPr>
      <w:r>
        <w:rPr>
          <w:kern w:val="10"/>
          <w:sz w:val="24"/>
        </w:rPr>
        <w:t>根据调查，项目所在区域的生活污染源主要为周边农业面源污染。项目周边范围内目前主要为耕地，种植烤烟、玉米等作物。</w:t>
      </w:r>
    </w:p>
    <w:p w14:paraId="6AF17D03">
      <w:pPr>
        <w:keepNext/>
        <w:keepLines/>
        <w:numPr>
          <w:ilvl w:val="2"/>
          <w:numId w:val="0"/>
        </w:numPr>
        <w:tabs>
          <w:tab w:val="left" w:pos="88"/>
          <w:tab w:val="left" w:pos="567"/>
        </w:tabs>
        <w:spacing w:line="360" w:lineRule="auto"/>
        <w:jc w:val="left"/>
        <w:outlineLvl w:val="2"/>
        <w:rPr>
          <w:b/>
          <w:bCs/>
          <w:kern w:val="0"/>
          <w:sz w:val="28"/>
          <w:szCs w:val="32"/>
        </w:rPr>
      </w:pPr>
      <w:r>
        <w:rPr>
          <w:b/>
          <w:bCs/>
          <w:kern w:val="0"/>
          <w:sz w:val="28"/>
          <w:szCs w:val="32"/>
        </w:rPr>
        <w:t>4.3.3场地原有环境问题遗留</w:t>
      </w:r>
    </w:p>
    <w:p w14:paraId="6E2A8DBE">
      <w:pPr>
        <w:spacing w:line="360" w:lineRule="auto"/>
        <w:ind w:firstLine="480" w:firstLineChars="200"/>
        <w:rPr>
          <w:kern w:val="10"/>
          <w:sz w:val="24"/>
        </w:rPr>
      </w:pPr>
      <w:r>
        <w:rPr>
          <w:kern w:val="10"/>
          <w:sz w:val="24"/>
        </w:rPr>
        <w:t>根据现场调查了解，</w:t>
      </w:r>
      <w:r>
        <w:rPr>
          <w:rFonts w:hint="eastAsia"/>
          <w:kern w:val="10"/>
          <w:sz w:val="24"/>
        </w:rPr>
        <w:t>地块一风井位置、大河边位置为原煤矿开采工业场地，地面存在原有建筑物，本次利用原有建筑物进行改造作为猪舍及生活区使用；</w:t>
      </w:r>
      <w:r>
        <w:rPr>
          <w:kern w:val="0"/>
          <w:sz w:val="24"/>
          <w:lang w:bidi="ar"/>
        </w:rPr>
        <w:t>鑫旺板块</w:t>
      </w:r>
      <w:r>
        <w:rPr>
          <w:rFonts w:hint="eastAsia"/>
          <w:kern w:val="0"/>
          <w:sz w:val="24"/>
          <w:lang w:bidi="ar"/>
        </w:rPr>
        <w:t>为原为采矿用地，已进行植被恢复；地块二篮球场位置为原盛丰煤矿生活区，本次利用其篮球场作为作为猪舍建设，盛丰焦化楼位置原味盛丰煤矿仓储用房，本次利用原有建筑进行改造为猪舍；</w:t>
      </w:r>
      <w:r>
        <w:rPr>
          <w:rFonts w:hint="eastAsia"/>
          <w:kern w:val="10"/>
          <w:sz w:val="24"/>
        </w:rPr>
        <w:t>老井位置目前已进行复垦，本次对场地平整后新建猪舍；原厂地均废弃多年，相关污染物已清除，不存在废水、废气、固废、噪声的污染，根据本次对项目占地范围内的土壤检测结果，</w:t>
      </w:r>
      <w:r>
        <w:rPr>
          <w:sz w:val="24"/>
        </w:rPr>
        <w:t>拟建场地及周边监测点处表层土土样中各项指标均满足</w:t>
      </w:r>
      <w:r>
        <w:rPr>
          <w:kern w:val="0"/>
          <w:sz w:val="24"/>
        </w:rPr>
        <w:t>《土壤环境质量农用地土壤污染风险管控标准（试行）》（GB15618-2018）</w:t>
      </w:r>
      <w:r>
        <w:rPr>
          <w:sz w:val="24"/>
        </w:rPr>
        <w:t>表1 中筛选值标准。</w:t>
      </w:r>
    </w:p>
    <w:p w14:paraId="29FA6FC5">
      <w:pPr>
        <w:spacing w:line="360" w:lineRule="auto"/>
        <w:ind w:firstLine="480" w:firstLineChars="200"/>
        <w:rPr>
          <w:sz w:val="24"/>
        </w:rPr>
      </w:pPr>
    </w:p>
    <w:p w14:paraId="4B1A4A25">
      <w:pPr>
        <w:spacing w:line="360" w:lineRule="auto"/>
        <w:ind w:firstLine="480" w:firstLineChars="200"/>
        <w:rPr>
          <w:sz w:val="24"/>
        </w:rPr>
      </w:pPr>
    </w:p>
    <w:p w14:paraId="506BDAB5">
      <w:pPr>
        <w:spacing w:line="360" w:lineRule="auto"/>
        <w:ind w:firstLine="480" w:firstLineChars="200"/>
        <w:rPr>
          <w:sz w:val="24"/>
        </w:rPr>
        <w:sectPr>
          <w:pgSz w:w="11906" w:h="16838"/>
          <w:pgMar w:top="1440" w:right="1797" w:bottom="1361" w:left="1797" w:header="851" w:footer="992" w:gutter="0"/>
          <w:cols w:space="720" w:num="1"/>
          <w:docGrid w:linePitch="312" w:charSpace="0"/>
        </w:sectPr>
      </w:pPr>
    </w:p>
    <w:p w14:paraId="79D9B3F9">
      <w:pPr>
        <w:pStyle w:val="5"/>
        <w:spacing w:before="0" w:after="0" w:line="360" w:lineRule="auto"/>
        <w:rPr>
          <w:sz w:val="32"/>
          <w:szCs w:val="32"/>
        </w:rPr>
      </w:pPr>
      <w:bookmarkStart w:id="96" w:name="_Toc19108"/>
      <w:bookmarkStart w:id="97" w:name="_Toc272251216"/>
      <w:bookmarkStart w:id="98" w:name="_Toc233096710"/>
      <w:bookmarkStart w:id="99" w:name="_Toc272251509"/>
      <w:r>
        <w:rPr>
          <w:sz w:val="32"/>
          <w:szCs w:val="32"/>
        </w:rPr>
        <w:t>5环境影响预测与评价</w:t>
      </w:r>
      <w:bookmarkEnd w:id="96"/>
    </w:p>
    <w:p w14:paraId="3E32D2B3">
      <w:pPr>
        <w:pStyle w:val="6"/>
        <w:spacing w:before="0" w:after="0" w:line="360" w:lineRule="auto"/>
        <w:rPr>
          <w:rFonts w:ascii="Times New Roman" w:hAnsi="Times New Roman" w:eastAsia="宋体"/>
          <w:sz w:val="30"/>
          <w:szCs w:val="30"/>
        </w:rPr>
      </w:pPr>
      <w:bookmarkStart w:id="100" w:name="_Toc29091"/>
      <w:bookmarkStart w:id="101" w:name="_Toc219429134"/>
      <w:bookmarkStart w:id="102" w:name="_Toc105574277"/>
      <w:bookmarkStart w:id="103" w:name="_Toc247425367"/>
      <w:bookmarkStart w:id="104" w:name="_Toc322617099"/>
      <w:bookmarkStart w:id="105" w:name="_Toc124155314"/>
      <w:bookmarkStart w:id="106" w:name="_Toc336177424"/>
      <w:r>
        <w:rPr>
          <w:rFonts w:ascii="Times New Roman" w:hAnsi="Times New Roman" w:eastAsia="宋体"/>
          <w:sz w:val="30"/>
          <w:szCs w:val="30"/>
        </w:rPr>
        <w:t>5.1施工期环境影响分析</w:t>
      </w:r>
      <w:bookmarkEnd w:id="100"/>
    </w:p>
    <w:p w14:paraId="45635FEE">
      <w:pPr>
        <w:spacing w:line="360" w:lineRule="auto"/>
        <w:ind w:firstLine="480" w:firstLineChars="200"/>
        <w:rPr>
          <w:sz w:val="24"/>
        </w:rPr>
      </w:pPr>
      <w:r>
        <w:rPr>
          <w:sz w:val="24"/>
        </w:rPr>
        <w:t>项目施工内容主要包括土地平整、猪舍、办公区、生活区、配套辅助设施、环保工程及场内道路、沼液输送管道的修建。项目在建设过程中，平整土地、铺设管道、基础处理、建设施工等施工过程会产生污水、水土流失、噪声及扬尘等污染因素，如不妥善处理，对周围环境会产生一定影响。</w:t>
      </w:r>
    </w:p>
    <w:bookmarkEnd w:id="101"/>
    <w:bookmarkEnd w:id="102"/>
    <w:bookmarkEnd w:id="103"/>
    <w:bookmarkEnd w:id="104"/>
    <w:bookmarkEnd w:id="105"/>
    <w:bookmarkEnd w:id="106"/>
    <w:p w14:paraId="13F032C7">
      <w:pPr>
        <w:pStyle w:val="7"/>
        <w:spacing w:before="0" w:after="0" w:line="360" w:lineRule="auto"/>
        <w:rPr>
          <w:rFonts w:ascii="Times New Roman" w:hAnsi="Times New Roman"/>
          <w:sz w:val="28"/>
          <w:szCs w:val="28"/>
        </w:rPr>
      </w:pPr>
      <w:bookmarkStart w:id="107" w:name="_Toc364760108"/>
      <w:r>
        <w:rPr>
          <w:rFonts w:ascii="Times New Roman" w:hAnsi="Times New Roman"/>
          <w:sz w:val="28"/>
          <w:szCs w:val="28"/>
        </w:rPr>
        <w:t>5.1.1施工期水环境影响预测与评价</w:t>
      </w:r>
    </w:p>
    <w:p w14:paraId="51182F0D">
      <w:pPr>
        <w:spacing w:line="360" w:lineRule="auto"/>
        <w:ind w:firstLine="480" w:firstLineChars="200"/>
        <w:rPr>
          <w:sz w:val="24"/>
        </w:rPr>
      </w:pPr>
      <w:r>
        <w:rPr>
          <w:sz w:val="24"/>
        </w:rPr>
        <w:t>项目建设施工过程的废水主要来自建筑施工废水和生活污水。</w:t>
      </w:r>
    </w:p>
    <w:p w14:paraId="24E95EB8">
      <w:pPr>
        <w:spacing w:line="360" w:lineRule="auto"/>
        <w:ind w:firstLine="480" w:firstLineChars="200"/>
        <w:rPr>
          <w:sz w:val="24"/>
        </w:rPr>
      </w:pPr>
      <w:r>
        <w:rPr>
          <w:sz w:val="24"/>
        </w:rPr>
        <w:t>项目施工废水主要为建筑养护排水、进出车辆冲洗水等，主要污染物为SS、石油类等。这部分废水悬浮物浓度较高，主要污染物为SS，SS约3000mg/L；施工过程如遇下雨，施工场地不可避免会遭遇降雨冲刷，使得施工场地成为面源污染源，暴雨时，施工场地地表初期雨水径流冲刷浮土、建筑砂石等形成的泥浆水，会携带大量泥沙、土壤养分、水泥及其它地表固体污染物，初期雨水径流产生的主要污染物为SS；沼液输送管道防渗测试废水主要污染物是SS，沉淀后用于施工期洒水降尘；项目施工期工人使用临时旱厕，施工人员生活污水中主要污染物为SS。项目建设施工过程生产废水、生活污水如果处理不当，直接排入附近水体会影响纳污河流的水质。</w:t>
      </w:r>
    </w:p>
    <w:p w14:paraId="66F74996">
      <w:pPr>
        <w:spacing w:line="360" w:lineRule="auto"/>
        <w:ind w:firstLine="480" w:firstLineChars="200"/>
        <w:rPr>
          <w:sz w:val="24"/>
        </w:rPr>
      </w:pPr>
      <w:r>
        <w:rPr>
          <w:sz w:val="24"/>
        </w:rPr>
        <w:t>由于施工时期，项目拟建的污水处理站尚未正常运行，为减轻施工期废水对环境的影响，本环评要求在施工区域设立临时截排水沟和临时沉淀池，施工废水和施工人员生活污水经临时截排水沟收集进入临时沉淀池沉淀处理后回用于施工场地的降尘；施工人员入厕设置临时旱厕，旱厕粪便定期由附近村民清掏做农肥。</w:t>
      </w:r>
    </w:p>
    <w:p w14:paraId="232D0FCA">
      <w:pPr>
        <w:spacing w:line="360" w:lineRule="auto"/>
        <w:ind w:firstLine="480" w:firstLineChars="200"/>
        <w:rPr>
          <w:sz w:val="24"/>
        </w:rPr>
      </w:pPr>
      <w:r>
        <w:rPr>
          <w:sz w:val="24"/>
        </w:rPr>
        <w:t>在采取上述措施后，施工期废水对周围的环境影响较小。</w:t>
      </w:r>
    </w:p>
    <w:bookmarkEnd w:id="107"/>
    <w:p w14:paraId="497C51DD">
      <w:pPr>
        <w:pStyle w:val="7"/>
        <w:spacing w:before="0" w:after="0" w:line="360" w:lineRule="auto"/>
        <w:rPr>
          <w:rFonts w:ascii="Times New Roman" w:hAnsi="Times New Roman"/>
          <w:sz w:val="28"/>
          <w:szCs w:val="28"/>
        </w:rPr>
      </w:pPr>
      <w:bookmarkStart w:id="108" w:name="_Toc124155316"/>
      <w:bookmarkStart w:id="109" w:name="_Toc219429136"/>
      <w:bookmarkStart w:id="110" w:name="_Toc247425369"/>
      <w:bookmarkStart w:id="111" w:name="_Toc322617100"/>
      <w:bookmarkStart w:id="112" w:name="_Toc336177425"/>
      <w:bookmarkStart w:id="113" w:name="_Toc105574279"/>
      <w:r>
        <w:rPr>
          <w:rFonts w:ascii="Times New Roman" w:hAnsi="Times New Roman"/>
          <w:sz w:val="28"/>
          <w:szCs w:val="28"/>
        </w:rPr>
        <w:t>5.1.2施工期噪声环境影响预测与评价</w:t>
      </w:r>
      <w:bookmarkEnd w:id="108"/>
      <w:bookmarkEnd w:id="109"/>
      <w:bookmarkEnd w:id="110"/>
      <w:bookmarkEnd w:id="111"/>
      <w:bookmarkEnd w:id="112"/>
      <w:bookmarkEnd w:id="113"/>
    </w:p>
    <w:p w14:paraId="57CB23B2">
      <w:pPr>
        <w:spacing w:line="360" w:lineRule="auto"/>
        <w:ind w:firstLine="480" w:firstLineChars="200"/>
        <w:rPr>
          <w:sz w:val="24"/>
        </w:rPr>
      </w:pPr>
      <w:bookmarkStart w:id="114" w:name="_Toc364760112"/>
      <w:r>
        <w:rPr>
          <w:sz w:val="24"/>
        </w:rPr>
        <w:t>施工期噪声主要来源于施工过程中推土机、挖土机、电锯、切割机、搅拌机、振捣棒、装载汽车、水泵、空压机等机械设备的运行和运输车辆，声源强度在85~100 dB(A)之间（各设备声源强度详见表3.2-1）。各施工阶段使用不同的施工机械，其数量、地点常发生变化，作业时间也不定，从而导致噪声产生的随机性、无组织性、不连续性。</w:t>
      </w:r>
    </w:p>
    <w:p w14:paraId="6B8C4E85">
      <w:pPr>
        <w:spacing w:line="360" w:lineRule="auto"/>
        <w:ind w:firstLine="480" w:firstLineChars="200"/>
        <w:rPr>
          <w:b/>
          <w:sz w:val="24"/>
        </w:rPr>
      </w:pPr>
      <w:r>
        <w:rPr>
          <w:sz w:val="24"/>
        </w:rPr>
        <w:t>项目采用点源衰减模式，预测只计算声源至受声点的几何发散衰减，不考虑声屏障、空气吸收等衰减。预测公式如下：</w:t>
      </w:r>
    </w:p>
    <w:p w14:paraId="23EE1ADA">
      <w:pPr>
        <w:spacing w:line="360" w:lineRule="auto"/>
        <w:ind w:firstLine="480" w:firstLineChars="200"/>
        <w:rPr>
          <w:sz w:val="24"/>
        </w:rPr>
      </w:pPr>
      <w:bookmarkStart w:id="115" w:name="_Toc7120395"/>
      <w:bookmarkStart w:id="116" w:name="_Toc1285"/>
      <w:r>
        <w:rPr>
          <w:sz w:val="24"/>
        </w:rPr>
        <w:t>L</w:t>
      </w:r>
      <w:r>
        <w:rPr>
          <w:sz w:val="24"/>
          <w:vertAlign w:val="subscript"/>
        </w:rPr>
        <w:t>r</w:t>
      </w:r>
      <w:r>
        <w:rPr>
          <w:sz w:val="24"/>
        </w:rPr>
        <w:t>=L</w:t>
      </w:r>
      <w:r>
        <w:rPr>
          <w:sz w:val="24"/>
          <w:vertAlign w:val="subscript"/>
        </w:rPr>
        <w:t>r0</w:t>
      </w:r>
      <w:r>
        <w:rPr>
          <w:sz w:val="24"/>
        </w:rPr>
        <w:t>-20lg(r／ro)</w:t>
      </w:r>
      <w:bookmarkEnd w:id="115"/>
      <w:bookmarkEnd w:id="116"/>
    </w:p>
    <w:p w14:paraId="34805887">
      <w:pPr>
        <w:spacing w:line="360" w:lineRule="auto"/>
        <w:ind w:firstLine="480" w:firstLineChars="200"/>
        <w:rPr>
          <w:sz w:val="24"/>
        </w:rPr>
      </w:pPr>
      <w:r>
        <w:rPr>
          <w:sz w:val="24"/>
        </w:rPr>
        <w:t>式中：L</w:t>
      </w:r>
      <w:r>
        <w:rPr>
          <w:sz w:val="24"/>
          <w:vertAlign w:val="subscript"/>
        </w:rPr>
        <w:t>r</w:t>
      </w:r>
      <w:r>
        <w:rPr>
          <w:sz w:val="24"/>
        </w:rPr>
        <w:t>---距声源r处的A声压级，dB(A)；</w:t>
      </w:r>
    </w:p>
    <w:p w14:paraId="17689F54">
      <w:pPr>
        <w:spacing w:line="360" w:lineRule="auto"/>
        <w:ind w:firstLine="480" w:firstLineChars="200"/>
        <w:rPr>
          <w:sz w:val="24"/>
        </w:rPr>
      </w:pPr>
      <w:r>
        <w:rPr>
          <w:sz w:val="24"/>
        </w:rPr>
        <w:t>L</w:t>
      </w:r>
      <w:r>
        <w:rPr>
          <w:sz w:val="24"/>
          <w:vertAlign w:val="subscript"/>
        </w:rPr>
        <w:t>r0</w:t>
      </w:r>
      <w:r>
        <w:rPr>
          <w:sz w:val="24"/>
        </w:rPr>
        <w:t>--距声源r</w:t>
      </w:r>
      <w:r>
        <w:rPr>
          <w:sz w:val="24"/>
          <w:vertAlign w:val="subscript"/>
        </w:rPr>
        <w:t>0</w:t>
      </w:r>
      <w:r>
        <w:rPr>
          <w:sz w:val="24"/>
        </w:rPr>
        <w:t>处的A声压级，dB(A)；</w:t>
      </w:r>
    </w:p>
    <w:p w14:paraId="68234161">
      <w:pPr>
        <w:spacing w:line="360" w:lineRule="auto"/>
        <w:ind w:firstLine="480" w:firstLineChars="200"/>
        <w:rPr>
          <w:sz w:val="24"/>
        </w:rPr>
      </w:pPr>
      <w:r>
        <w:rPr>
          <w:sz w:val="24"/>
        </w:rPr>
        <w:t>r---预测点与声源的距离，m；</w:t>
      </w:r>
    </w:p>
    <w:p w14:paraId="5AB260E2">
      <w:pPr>
        <w:spacing w:line="360" w:lineRule="auto"/>
        <w:ind w:firstLine="480" w:firstLineChars="200"/>
        <w:rPr>
          <w:sz w:val="24"/>
        </w:rPr>
      </w:pPr>
      <w:r>
        <w:rPr>
          <w:sz w:val="24"/>
        </w:rPr>
        <w:t>r</w:t>
      </w:r>
      <w:r>
        <w:rPr>
          <w:sz w:val="24"/>
          <w:vertAlign w:val="subscript"/>
        </w:rPr>
        <w:t>o</w:t>
      </w:r>
      <w:r>
        <w:rPr>
          <w:sz w:val="24"/>
        </w:rPr>
        <w:t>--监测设备噪声时的距离，m。</w:t>
      </w:r>
    </w:p>
    <w:p w14:paraId="6E1739C1">
      <w:pPr>
        <w:spacing w:line="360" w:lineRule="auto"/>
        <w:ind w:firstLine="480" w:firstLineChars="200"/>
        <w:rPr>
          <w:sz w:val="24"/>
        </w:rPr>
      </w:pPr>
      <w:r>
        <w:rPr>
          <w:sz w:val="24"/>
        </w:rPr>
        <w:t>由上公式计算出本评价区域施工场地噪声预测结果见表5.1-1。</w:t>
      </w:r>
    </w:p>
    <w:p w14:paraId="77A28A89">
      <w:pPr>
        <w:adjustRightInd w:val="0"/>
        <w:snapToGrid w:val="0"/>
        <w:ind w:firstLine="422"/>
        <w:jc w:val="center"/>
        <w:rPr>
          <w:b/>
          <w:bCs/>
          <w:szCs w:val="21"/>
        </w:rPr>
      </w:pPr>
      <w:r>
        <w:rPr>
          <w:b/>
          <w:bCs/>
          <w:szCs w:val="21"/>
        </w:rPr>
        <w:t>表5.1-1 单台机械设备的噪声预测值 (dB(A))</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085"/>
        <w:gridCol w:w="703"/>
        <w:gridCol w:w="814"/>
        <w:gridCol w:w="814"/>
        <w:gridCol w:w="814"/>
        <w:gridCol w:w="925"/>
        <w:gridCol w:w="937"/>
        <w:gridCol w:w="934"/>
      </w:tblGrid>
      <w:tr w14:paraId="40EA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18" w:type="dxa"/>
            <w:noWrap w:val="0"/>
            <w:vAlign w:val="center"/>
          </w:tcPr>
          <w:p w14:paraId="3AD2220A">
            <w:pPr>
              <w:snapToGrid w:val="0"/>
              <w:jc w:val="center"/>
              <w:rPr>
                <w:szCs w:val="21"/>
              </w:rPr>
            </w:pPr>
            <w:r>
              <w:rPr>
                <w:szCs w:val="21"/>
              </w:rPr>
              <w:t>设备名称</w:t>
            </w:r>
          </w:p>
        </w:tc>
        <w:tc>
          <w:tcPr>
            <w:tcW w:w="1085" w:type="dxa"/>
            <w:noWrap w:val="0"/>
            <w:vAlign w:val="center"/>
          </w:tcPr>
          <w:p w14:paraId="5EBAE1F9">
            <w:pPr>
              <w:snapToGrid w:val="0"/>
              <w:jc w:val="center"/>
              <w:rPr>
                <w:szCs w:val="21"/>
              </w:rPr>
            </w:pPr>
            <w:r>
              <w:rPr>
                <w:szCs w:val="21"/>
              </w:rPr>
              <w:t>1m</w:t>
            </w:r>
          </w:p>
        </w:tc>
        <w:tc>
          <w:tcPr>
            <w:tcW w:w="703" w:type="dxa"/>
            <w:noWrap w:val="0"/>
            <w:vAlign w:val="center"/>
          </w:tcPr>
          <w:p w14:paraId="5984250F">
            <w:pPr>
              <w:snapToGrid w:val="0"/>
              <w:jc w:val="center"/>
              <w:rPr>
                <w:szCs w:val="21"/>
              </w:rPr>
            </w:pPr>
            <w:r>
              <w:rPr>
                <w:szCs w:val="21"/>
              </w:rPr>
              <w:t>10m</w:t>
            </w:r>
          </w:p>
        </w:tc>
        <w:tc>
          <w:tcPr>
            <w:tcW w:w="814" w:type="dxa"/>
            <w:noWrap w:val="0"/>
            <w:vAlign w:val="center"/>
          </w:tcPr>
          <w:p w14:paraId="418545D4">
            <w:pPr>
              <w:snapToGrid w:val="0"/>
              <w:jc w:val="center"/>
              <w:rPr>
                <w:szCs w:val="21"/>
              </w:rPr>
            </w:pPr>
            <w:r>
              <w:rPr>
                <w:szCs w:val="21"/>
              </w:rPr>
              <w:t>20m</w:t>
            </w:r>
          </w:p>
        </w:tc>
        <w:tc>
          <w:tcPr>
            <w:tcW w:w="814" w:type="dxa"/>
            <w:noWrap w:val="0"/>
            <w:vAlign w:val="center"/>
          </w:tcPr>
          <w:p w14:paraId="5DFAF5C3">
            <w:pPr>
              <w:snapToGrid w:val="0"/>
              <w:jc w:val="center"/>
              <w:rPr>
                <w:szCs w:val="21"/>
              </w:rPr>
            </w:pPr>
            <w:r>
              <w:rPr>
                <w:szCs w:val="21"/>
              </w:rPr>
              <w:t>30m</w:t>
            </w:r>
          </w:p>
        </w:tc>
        <w:tc>
          <w:tcPr>
            <w:tcW w:w="814" w:type="dxa"/>
            <w:noWrap w:val="0"/>
            <w:vAlign w:val="center"/>
          </w:tcPr>
          <w:p w14:paraId="49A5DBEE">
            <w:pPr>
              <w:snapToGrid w:val="0"/>
              <w:jc w:val="center"/>
              <w:rPr>
                <w:szCs w:val="21"/>
              </w:rPr>
            </w:pPr>
            <w:r>
              <w:rPr>
                <w:szCs w:val="21"/>
              </w:rPr>
              <w:t>50m</w:t>
            </w:r>
          </w:p>
        </w:tc>
        <w:tc>
          <w:tcPr>
            <w:tcW w:w="925" w:type="dxa"/>
            <w:noWrap w:val="0"/>
            <w:vAlign w:val="center"/>
          </w:tcPr>
          <w:p w14:paraId="70CBABB3">
            <w:pPr>
              <w:snapToGrid w:val="0"/>
              <w:jc w:val="center"/>
              <w:rPr>
                <w:szCs w:val="21"/>
              </w:rPr>
            </w:pPr>
            <w:r>
              <w:rPr>
                <w:szCs w:val="21"/>
              </w:rPr>
              <w:t>100m</w:t>
            </w:r>
          </w:p>
        </w:tc>
        <w:tc>
          <w:tcPr>
            <w:tcW w:w="937" w:type="dxa"/>
            <w:noWrap w:val="0"/>
            <w:vAlign w:val="center"/>
          </w:tcPr>
          <w:p w14:paraId="54B54B67">
            <w:pPr>
              <w:snapToGrid w:val="0"/>
              <w:jc w:val="center"/>
              <w:rPr>
                <w:szCs w:val="21"/>
              </w:rPr>
            </w:pPr>
            <w:r>
              <w:rPr>
                <w:szCs w:val="21"/>
              </w:rPr>
              <w:t>170m</w:t>
            </w:r>
          </w:p>
        </w:tc>
        <w:tc>
          <w:tcPr>
            <w:tcW w:w="934" w:type="dxa"/>
            <w:noWrap w:val="0"/>
            <w:vAlign w:val="center"/>
          </w:tcPr>
          <w:p w14:paraId="58FACC24">
            <w:pPr>
              <w:snapToGrid w:val="0"/>
              <w:jc w:val="center"/>
              <w:rPr>
                <w:szCs w:val="21"/>
              </w:rPr>
            </w:pPr>
            <w:r>
              <w:rPr>
                <w:szCs w:val="21"/>
              </w:rPr>
              <w:t>200m</w:t>
            </w:r>
          </w:p>
        </w:tc>
      </w:tr>
      <w:tr w14:paraId="4123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1C4160BE">
            <w:pPr>
              <w:snapToGrid w:val="0"/>
              <w:jc w:val="center"/>
              <w:rPr>
                <w:szCs w:val="21"/>
              </w:rPr>
            </w:pPr>
            <w:r>
              <w:rPr>
                <w:szCs w:val="21"/>
              </w:rPr>
              <w:t>推土机</w:t>
            </w:r>
          </w:p>
        </w:tc>
        <w:tc>
          <w:tcPr>
            <w:tcW w:w="1085" w:type="dxa"/>
            <w:noWrap w:val="0"/>
            <w:vAlign w:val="center"/>
          </w:tcPr>
          <w:p w14:paraId="7FAECE74">
            <w:pPr>
              <w:snapToGrid w:val="0"/>
              <w:jc w:val="center"/>
              <w:rPr>
                <w:szCs w:val="21"/>
              </w:rPr>
            </w:pPr>
            <w:r>
              <w:rPr>
                <w:szCs w:val="21"/>
              </w:rPr>
              <w:t>96</w:t>
            </w:r>
          </w:p>
        </w:tc>
        <w:tc>
          <w:tcPr>
            <w:tcW w:w="703" w:type="dxa"/>
            <w:noWrap w:val="0"/>
            <w:vAlign w:val="center"/>
          </w:tcPr>
          <w:p w14:paraId="71386D7E">
            <w:pPr>
              <w:snapToGrid w:val="0"/>
              <w:jc w:val="center"/>
              <w:rPr>
                <w:szCs w:val="21"/>
              </w:rPr>
            </w:pPr>
            <w:r>
              <w:rPr>
                <w:szCs w:val="21"/>
              </w:rPr>
              <w:t>76</w:t>
            </w:r>
          </w:p>
        </w:tc>
        <w:tc>
          <w:tcPr>
            <w:tcW w:w="814" w:type="dxa"/>
            <w:noWrap w:val="0"/>
            <w:vAlign w:val="center"/>
          </w:tcPr>
          <w:p w14:paraId="138753E4">
            <w:pPr>
              <w:snapToGrid w:val="0"/>
              <w:jc w:val="center"/>
              <w:rPr>
                <w:szCs w:val="21"/>
              </w:rPr>
            </w:pPr>
            <w:r>
              <w:rPr>
                <w:szCs w:val="21"/>
              </w:rPr>
              <w:t>70</w:t>
            </w:r>
          </w:p>
        </w:tc>
        <w:tc>
          <w:tcPr>
            <w:tcW w:w="814" w:type="dxa"/>
            <w:noWrap w:val="0"/>
            <w:vAlign w:val="center"/>
          </w:tcPr>
          <w:p w14:paraId="5D3BBB91">
            <w:pPr>
              <w:snapToGrid w:val="0"/>
              <w:jc w:val="center"/>
              <w:rPr>
                <w:szCs w:val="21"/>
              </w:rPr>
            </w:pPr>
            <w:r>
              <w:rPr>
                <w:szCs w:val="21"/>
              </w:rPr>
              <w:t>66</w:t>
            </w:r>
          </w:p>
        </w:tc>
        <w:tc>
          <w:tcPr>
            <w:tcW w:w="814" w:type="dxa"/>
            <w:noWrap w:val="0"/>
            <w:vAlign w:val="center"/>
          </w:tcPr>
          <w:p w14:paraId="1D89E3AC">
            <w:pPr>
              <w:snapToGrid w:val="0"/>
              <w:jc w:val="center"/>
              <w:rPr>
                <w:szCs w:val="21"/>
              </w:rPr>
            </w:pPr>
            <w:r>
              <w:rPr>
                <w:szCs w:val="21"/>
              </w:rPr>
              <w:t>62</w:t>
            </w:r>
          </w:p>
        </w:tc>
        <w:tc>
          <w:tcPr>
            <w:tcW w:w="925" w:type="dxa"/>
            <w:noWrap w:val="0"/>
            <w:vAlign w:val="center"/>
          </w:tcPr>
          <w:p w14:paraId="1C8F77CC">
            <w:pPr>
              <w:snapToGrid w:val="0"/>
              <w:jc w:val="center"/>
              <w:rPr>
                <w:szCs w:val="21"/>
              </w:rPr>
            </w:pPr>
            <w:r>
              <w:rPr>
                <w:szCs w:val="21"/>
              </w:rPr>
              <w:t>56</w:t>
            </w:r>
          </w:p>
        </w:tc>
        <w:tc>
          <w:tcPr>
            <w:tcW w:w="937" w:type="dxa"/>
            <w:noWrap w:val="0"/>
            <w:vAlign w:val="center"/>
          </w:tcPr>
          <w:p w14:paraId="65FC7283">
            <w:pPr>
              <w:snapToGrid w:val="0"/>
              <w:jc w:val="center"/>
              <w:rPr>
                <w:szCs w:val="21"/>
              </w:rPr>
            </w:pPr>
            <w:r>
              <w:rPr>
                <w:szCs w:val="21"/>
              </w:rPr>
              <w:t>51</w:t>
            </w:r>
          </w:p>
        </w:tc>
        <w:tc>
          <w:tcPr>
            <w:tcW w:w="934" w:type="dxa"/>
            <w:noWrap w:val="0"/>
            <w:vAlign w:val="center"/>
          </w:tcPr>
          <w:p w14:paraId="70768A15">
            <w:pPr>
              <w:snapToGrid w:val="0"/>
              <w:jc w:val="center"/>
              <w:rPr>
                <w:szCs w:val="21"/>
              </w:rPr>
            </w:pPr>
            <w:r>
              <w:rPr>
                <w:szCs w:val="21"/>
              </w:rPr>
              <w:t>50</w:t>
            </w:r>
          </w:p>
        </w:tc>
      </w:tr>
      <w:tr w14:paraId="70D1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7C0CFB6F">
            <w:pPr>
              <w:snapToGrid w:val="0"/>
              <w:jc w:val="center"/>
              <w:rPr>
                <w:szCs w:val="21"/>
              </w:rPr>
            </w:pPr>
            <w:r>
              <w:rPr>
                <w:szCs w:val="21"/>
              </w:rPr>
              <w:t>挖土机</w:t>
            </w:r>
          </w:p>
        </w:tc>
        <w:tc>
          <w:tcPr>
            <w:tcW w:w="1085" w:type="dxa"/>
            <w:noWrap w:val="0"/>
            <w:vAlign w:val="center"/>
          </w:tcPr>
          <w:p w14:paraId="6E822822">
            <w:pPr>
              <w:snapToGrid w:val="0"/>
              <w:jc w:val="center"/>
              <w:rPr>
                <w:szCs w:val="21"/>
              </w:rPr>
            </w:pPr>
            <w:r>
              <w:rPr>
                <w:szCs w:val="21"/>
              </w:rPr>
              <w:t>96</w:t>
            </w:r>
          </w:p>
        </w:tc>
        <w:tc>
          <w:tcPr>
            <w:tcW w:w="703" w:type="dxa"/>
            <w:noWrap w:val="0"/>
            <w:vAlign w:val="center"/>
          </w:tcPr>
          <w:p w14:paraId="7422ACDB">
            <w:pPr>
              <w:snapToGrid w:val="0"/>
              <w:jc w:val="center"/>
              <w:rPr>
                <w:szCs w:val="21"/>
              </w:rPr>
            </w:pPr>
            <w:r>
              <w:rPr>
                <w:szCs w:val="21"/>
              </w:rPr>
              <w:t>76</w:t>
            </w:r>
          </w:p>
        </w:tc>
        <w:tc>
          <w:tcPr>
            <w:tcW w:w="814" w:type="dxa"/>
            <w:noWrap w:val="0"/>
            <w:vAlign w:val="center"/>
          </w:tcPr>
          <w:p w14:paraId="24AC4C08">
            <w:pPr>
              <w:snapToGrid w:val="0"/>
              <w:jc w:val="center"/>
              <w:rPr>
                <w:szCs w:val="21"/>
              </w:rPr>
            </w:pPr>
            <w:r>
              <w:rPr>
                <w:szCs w:val="21"/>
              </w:rPr>
              <w:t>70</w:t>
            </w:r>
          </w:p>
        </w:tc>
        <w:tc>
          <w:tcPr>
            <w:tcW w:w="814" w:type="dxa"/>
            <w:noWrap w:val="0"/>
            <w:vAlign w:val="center"/>
          </w:tcPr>
          <w:p w14:paraId="454E5A2B">
            <w:pPr>
              <w:snapToGrid w:val="0"/>
              <w:jc w:val="center"/>
              <w:rPr>
                <w:szCs w:val="21"/>
              </w:rPr>
            </w:pPr>
            <w:r>
              <w:rPr>
                <w:szCs w:val="21"/>
              </w:rPr>
              <w:t>66</w:t>
            </w:r>
          </w:p>
        </w:tc>
        <w:tc>
          <w:tcPr>
            <w:tcW w:w="814" w:type="dxa"/>
            <w:noWrap w:val="0"/>
            <w:vAlign w:val="center"/>
          </w:tcPr>
          <w:p w14:paraId="7E57A81E">
            <w:pPr>
              <w:snapToGrid w:val="0"/>
              <w:jc w:val="center"/>
              <w:rPr>
                <w:szCs w:val="21"/>
              </w:rPr>
            </w:pPr>
            <w:r>
              <w:rPr>
                <w:szCs w:val="21"/>
              </w:rPr>
              <w:t>62</w:t>
            </w:r>
          </w:p>
        </w:tc>
        <w:tc>
          <w:tcPr>
            <w:tcW w:w="925" w:type="dxa"/>
            <w:noWrap w:val="0"/>
            <w:vAlign w:val="center"/>
          </w:tcPr>
          <w:p w14:paraId="7D513A7A">
            <w:pPr>
              <w:snapToGrid w:val="0"/>
              <w:jc w:val="center"/>
              <w:rPr>
                <w:szCs w:val="21"/>
              </w:rPr>
            </w:pPr>
            <w:r>
              <w:rPr>
                <w:szCs w:val="21"/>
              </w:rPr>
              <w:t>56</w:t>
            </w:r>
          </w:p>
        </w:tc>
        <w:tc>
          <w:tcPr>
            <w:tcW w:w="937" w:type="dxa"/>
            <w:noWrap w:val="0"/>
            <w:vAlign w:val="center"/>
          </w:tcPr>
          <w:p w14:paraId="486B578A">
            <w:pPr>
              <w:snapToGrid w:val="0"/>
              <w:jc w:val="center"/>
              <w:rPr>
                <w:szCs w:val="21"/>
              </w:rPr>
            </w:pPr>
            <w:r>
              <w:rPr>
                <w:szCs w:val="21"/>
              </w:rPr>
              <w:t>51</w:t>
            </w:r>
          </w:p>
        </w:tc>
        <w:tc>
          <w:tcPr>
            <w:tcW w:w="934" w:type="dxa"/>
            <w:noWrap w:val="0"/>
            <w:vAlign w:val="center"/>
          </w:tcPr>
          <w:p w14:paraId="3A0AE99C">
            <w:pPr>
              <w:snapToGrid w:val="0"/>
              <w:jc w:val="center"/>
              <w:rPr>
                <w:szCs w:val="21"/>
              </w:rPr>
            </w:pPr>
            <w:r>
              <w:rPr>
                <w:szCs w:val="21"/>
              </w:rPr>
              <w:t>50</w:t>
            </w:r>
          </w:p>
        </w:tc>
      </w:tr>
      <w:tr w14:paraId="1582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6FDBC652">
            <w:pPr>
              <w:snapToGrid w:val="0"/>
              <w:jc w:val="center"/>
              <w:rPr>
                <w:szCs w:val="21"/>
              </w:rPr>
            </w:pPr>
            <w:r>
              <w:rPr>
                <w:szCs w:val="21"/>
              </w:rPr>
              <w:t>电锯</w:t>
            </w:r>
          </w:p>
        </w:tc>
        <w:tc>
          <w:tcPr>
            <w:tcW w:w="1085" w:type="dxa"/>
            <w:noWrap w:val="0"/>
            <w:vAlign w:val="center"/>
          </w:tcPr>
          <w:p w14:paraId="443AB218">
            <w:pPr>
              <w:snapToGrid w:val="0"/>
              <w:jc w:val="center"/>
              <w:rPr>
                <w:szCs w:val="21"/>
              </w:rPr>
            </w:pPr>
            <w:r>
              <w:rPr>
                <w:szCs w:val="21"/>
              </w:rPr>
              <w:t>100</w:t>
            </w:r>
          </w:p>
        </w:tc>
        <w:tc>
          <w:tcPr>
            <w:tcW w:w="703" w:type="dxa"/>
            <w:noWrap w:val="0"/>
            <w:vAlign w:val="center"/>
          </w:tcPr>
          <w:p w14:paraId="3C094953">
            <w:pPr>
              <w:snapToGrid w:val="0"/>
              <w:jc w:val="center"/>
              <w:rPr>
                <w:szCs w:val="21"/>
              </w:rPr>
            </w:pPr>
            <w:r>
              <w:rPr>
                <w:szCs w:val="21"/>
              </w:rPr>
              <w:t>80</w:t>
            </w:r>
          </w:p>
        </w:tc>
        <w:tc>
          <w:tcPr>
            <w:tcW w:w="814" w:type="dxa"/>
            <w:noWrap w:val="0"/>
            <w:vAlign w:val="center"/>
          </w:tcPr>
          <w:p w14:paraId="3414968C">
            <w:pPr>
              <w:snapToGrid w:val="0"/>
              <w:jc w:val="center"/>
              <w:rPr>
                <w:szCs w:val="21"/>
              </w:rPr>
            </w:pPr>
            <w:r>
              <w:rPr>
                <w:szCs w:val="21"/>
              </w:rPr>
              <w:t>74</w:t>
            </w:r>
          </w:p>
        </w:tc>
        <w:tc>
          <w:tcPr>
            <w:tcW w:w="814" w:type="dxa"/>
            <w:noWrap w:val="0"/>
            <w:vAlign w:val="center"/>
          </w:tcPr>
          <w:p w14:paraId="71D44B4F">
            <w:pPr>
              <w:snapToGrid w:val="0"/>
              <w:jc w:val="center"/>
              <w:rPr>
                <w:szCs w:val="21"/>
              </w:rPr>
            </w:pPr>
            <w:r>
              <w:rPr>
                <w:szCs w:val="21"/>
              </w:rPr>
              <w:t>70</w:t>
            </w:r>
          </w:p>
        </w:tc>
        <w:tc>
          <w:tcPr>
            <w:tcW w:w="814" w:type="dxa"/>
            <w:noWrap w:val="0"/>
            <w:vAlign w:val="center"/>
          </w:tcPr>
          <w:p w14:paraId="18E1D6BB">
            <w:pPr>
              <w:snapToGrid w:val="0"/>
              <w:jc w:val="center"/>
              <w:rPr>
                <w:szCs w:val="21"/>
              </w:rPr>
            </w:pPr>
            <w:r>
              <w:rPr>
                <w:szCs w:val="21"/>
              </w:rPr>
              <w:t>66</w:t>
            </w:r>
          </w:p>
        </w:tc>
        <w:tc>
          <w:tcPr>
            <w:tcW w:w="925" w:type="dxa"/>
            <w:noWrap w:val="0"/>
            <w:vAlign w:val="center"/>
          </w:tcPr>
          <w:p w14:paraId="2C10E082">
            <w:pPr>
              <w:snapToGrid w:val="0"/>
              <w:jc w:val="center"/>
              <w:rPr>
                <w:szCs w:val="21"/>
              </w:rPr>
            </w:pPr>
            <w:r>
              <w:rPr>
                <w:szCs w:val="21"/>
              </w:rPr>
              <w:t>60</w:t>
            </w:r>
          </w:p>
        </w:tc>
        <w:tc>
          <w:tcPr>
            <w:tcW w:w="937" w:type="dxa"/>
            <w:noWrap w:val="0"/>
            <w:vAlign w:val="center"/>
          </w:tcPr>
          <w:p w14:paraId="1C8BBA29">
            <w:pPr>
              <w:snapToGrid w:val="0"/>
              <w:jc w:val="center"/>
              <w:rPr>
                <w:szCs w:val="21"/>
              </w:rPr>
            </w:pPr>
            <w:r>
              <w:rPr>
                <w:szCs w:val="21"/>
              </w:rPr>
              <w:t>55</w:t>
            </w:r>
          </w:p>
        </w:tc>
        <w:tc>
          <w:tcPr>
            <w:tcW w:w="934" w:type="dxa"/>
            <w:noWrap w:val="0"/>
            <w:vAlign w:val="center"/>
          </w:tcPr>
          <w:p w14:paraId="513086FD">
            <w:pPr>
              <w:snapToGrid w:val="0"/>
              <w:jc w:val="center"/>
              <w:rPr>
                <w:szCs w:val="21"/>
              </w:rPr>
            </w:pPr>
            <w:r>
              <w:rPr>
                <w:szCs w:val="21"/>
              </w:rPr>
              <w:t>54</w:t>
            </w:r>
          </w:p>
        </w:tc>
      </w:tr>
      <w:tr w14:paraId="0032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5AAA9AF4">
            <w:pPr>
              <w:snapToGrid w:val="0"/>
              <w:jc w:val="center"/>
              <w:rPr>
                <w:szCs w:val="21"/>
              </w:rPr>
            </w:pPr>
            <w:r>
              <w:rPr>
                <w:szCs w:val="21"/>
              </w:rPr>
              <w:t>切割机</w:t>
            </w:r>
          </w:p>
        </w:tc>
        <w:tc>
          <w:tcPr>
            <w:tcW w:w="1085" w:type="dxa"/>
            <w:noWrap w:val="0"/>
            <w:vAlign w:val="center"/>
          </w:tcPr>
          <w:p w14:paraId="62E01348">
            <w:pPr>
              <w:snapToGrid w:val="0"/>
              <w:jc w:val="center"/>
              <w:rPr>
                <w:szCs w:val="21"/>
              </w:rPr>
            </w:pPr>
            <w:r>
              <w:rPr>
                <w:szCs w:val="21"/>
              </w:rPr>
              <w:t>100</w:t>
            </w:r>
          </w:p>
        </w:tc>
        <w:tc>
          <w:tcPr>
            <w:tcW w:w="703" w:type="dxa"/>
            <w:noWrap w:val="0"/>
            <w:vAlign w:val="center"/>
          </w:tcPr>
          <w:p w14:paraId="68BEC816">
            <w:pPr>
              <w:snapToGrid w:val="0"/>
              <w:jc w:val="center"/>
              <w:rPr>
                <w:szCs w:val="21"/>
              </w:rPr>
            </w:pPr>
            <w:r>
              <w:rPr>
                <w:szCs w:val="21"/>
              </w:rPr>
              <w:t>80</w:t>
            </w:r>
          </w:p>
        </w:tc>
        <w:tc>
          <w:tcPr>
            <w:tcW w:w="814" w:type="dxa"/>
            <w:noWrap w:val="0"/>
            <w:vAlign w:val="center"/>
          </w:tcPr>
          <w:p w14:paraId="0DA0A9DB">
            <w:pPr>
              <w:snapToGrid w:val="0"/>
              <w:jc w:val="center"/>
              <w:rPr>
                <w:szCs w:val="21"/>
              </w:rPr>
            </w:pPr>
            <w:r>
              <w:rPr>
                <w:szCs w:val="21"/>
              </w:rPr>
              <w:t>74</w:t>
            </w:r>
          </w:p>
        </w:tc>
        <w:tc>
          <w:tcPr>
            <w:tcW w:w="814" w:type="dxa"/>
            <w:noWrap w:val="0"/>
            <w:vAlign w:val="center"/>
          </w:tcPr>
          <w:p w14:paraId="63581779">
            <w:pPr>
              <w:snapToGrid w:val="0"/>
              <w:jc w:val="center"/>
              <w:rPr>
                <w:szCs w:val="21"/>
              </w:rPr>
            </w:pPr>
            <w:r>
              <w:rPr>
                <w:szCs w:val="21"/>
              </w:rPr>
              <w:t>70</w:t>
            </w:r>
          </w:p>
        </w:tc>
        <w:tc>
          <w:tcPr>
            <w:tcW w:w="814" w:type="dxa"/>
            <w:noWrap w:val="0"/>
            <w:vAlign w:val="center"/>
          </w:tcPr>
          <w:p w14:paraId="6DD02961">
            <w:pPr>
              <w:snapToGrid w:val="0"/>
              <w:jc w:val="center"/>
              <w:rPr>
                <w:szCs w:val="21"/>
              </w:rPr>
            </w:pPr>
            <w:r>
              <w:rPr>
                <w:szCs w:val="21"/>
              </w:rPr>
              <w:t>66</w:t>
            </w:r>
          </w:p>
        </w:tc>
        <w:tc>
          <w:tcPr>
            <w:tcW w:w="925" w:type="dxa"/>
            <w:noWrap w:val="0"/>
            <w:vAlign w:val="center"/>
          </w:tcPr>
          <w:p w14:paraId="06448F9E">
            <w:pPr>
              <w:snapToGrid w:val="0"/>
              <w:jc w:val="center"/>
              <w:rPr>
                <w:szCs w:val="21"/>
              </w:rPr>
            </w:pPr>
            <w:r>
              <w:rPr>
                <w:szCs w:val="21"/>
              </w:rPr>
              <w:t>60</w:t>
            </w:r>
          </w:p>
        </w:tc>
        <w:tc>
          <w:tcPr>
            <w:tcW w:w="937" w:type="dxa"/>
            <w:noWrap w:val="0"/>
            <w:vAlign w:val="center"/>
          </w:tcPr>
          <w:p w14:paraId="31A81F04">
            <w:pPr>
              <w:snapToGrid w:val="0"/>
              <w:jc w:val="center"/>
              <w:rPr>
                <w:szCs w:val="21"/>
              </w:rPr>
            </w:pPr>
            <w:r>
              <w:rPr>
                <w:szCs w:val="21"/>
              </w:rPr>
              <w:t>55</w:t>
            </w:r>
          </w:p>
        </w:tc>
        <w:tc>
          <w:tcPr>
            <w:tcW w:w="934" w:type="dxa"/>
            <w:noWrap w:val="0"/>
            <w:vAlign w:val="center"/>
          </w:tcPr>
          <w:p w14:paraId="15D6A9CD">
            <w:pPr>
              <w:snapToGrid w:val="0"/>
              <w:jc w:val="center"/>
              <w:rPr>
                <w:szCs w:val="21"/>
              </w:rPr>
            </w:pPr>
            <w:r>
              <w:rPr>
                <w:szCs w:val="21"/>
              </w:rPr>
              <w:t>54</w:t>
            </w:r>
          </w:p>
        </w:tc>
      </w:tr>
      <w:tr w14:paraId="46C8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014D6E82">
            <w:pPr>
              <w:snapToGrid w:val="0"/>
              <w:jc w:val="center"/>
              <w:rPr>
                <w:szCs w:val="21"/>
              </w:rPr>
            </w:pPr>
            <w:r>
              <w:rPr>
                <w:szCs w:val="21"/>
              </w:rPr>
              <w:t>搅拌机</w:t>
            </w:r>
          </w:p>
        </w:tc>
        <w:tc>
          <w:tcPr>
            <w:tcW w:w="1085" w:type="dxa"/>
            <w:noWrap w:val="0"/>
            <w:vAlign w:val="center"/>
          </w:tcPr>
          <w:p w14:paraId="314A20B4">
            <w:pPr>
              <w:snapToGrid w:val="0"/>
              <w:jc w:val="center"/>
              <w:rPr>
                <w:szCs w:val="21"/>
              </w:rPr>
            </w:pPr>
            <w:r>
              <w:rPr>
                <w:szCs w:val="21"/>
              </w:rPr>
              <w:t>95</w:t>
            </w:r>
          </w:p>
        </w:tc>
        <w:tc>
          <w:tcPr>
            <w:tcW w:w="703" w:type="dxa"/>
            <w:noWrap w:val="0"/>
            <w:vAlign w:val="center"/>
          </w:tcPr>
          <w:p w14:paraId="42C7F318">
            <w:pPr>
              <w:snapToGrid w:val="0"/>
              <w:jc w:val="center"/>
              <w:rPr>
                <w:szCs w:val="21"/>
              </w:rPr>
            </w:pPr>
            <w:r>
              <w:rPr>
                <w:szCs w:val="21"/>
              </w:rPr>
              <w:t>75</w:t>
            </w:r>
          </w:p>
        </w:tc>
        <w:tc>
          <w:tcPr>
            <w:tcW w:w="814" w:type="dxa"/>
            <w:noWrap w:val="0"/>
            <w:vAlign w:val="center"/>
          </w:tcPr>
          <w:p w14:paraId="5AC4352D">
            <w:pPr>
              <w:snapToGrid w:val="0"/>
              <w:jc w:val="center"/>
              <w:rPr>
                <w:szCs w:val="21"/>
              </w:rPr>
            </w:pPr>
            <w:r>
              <w:rPr>
                <w:szCs w:val="21"/>
              </w:rPr>
              <w:t>69</w:t>
            </w:r>
          </w:p>
        </w:tc>
        <w:tc>
          <w:tcPr>
            <w:tcW w:w="814" w:type="dxa"/>
            <w:noWrap w:val="0"/>
            <w:vAlign w:val="center"/>
          </w:tcPr>
          <w:p w14:paraId="5063498C">
            <w:pPr>
              <w:snapToGrid w:val="0"/>
              <w:jc w:val="center"/>
              <w:rPr>
                <w:szCs w:val="21"/>
              </w:rPr>
            </w:pPr>
            <w:r>
              <w:rPr>
                <w:szCs w:val="21"/>
              </w:rPr>
              <w:t>65</w:t>
            </w:r>
          </w:p>
        </w:tc>
        <w:tc>
          <w:tcPr>
            <w:tcW w:w="814" w:type="dxa"/>
            <w:noWrap w:val="0"/>
            <w:vAlign w:val="center"/>
          </w:tcPr>
          <w:p w14:paraId="02DCC61E">
            <w:pPr>
              <w:snapToGrid w:val="0"/>
              <w:jc w:val="center"/>
              <w:rPr>
                <w:szCs w:val="21"/>
              </w:rPr>
            </w:pPr>
            <w:r>
              <w:rPr>
                <w:szCs w:val="21"/>
              </w:rPr>
              <w:t>61</w:t>
            </w:r>
          </w:p>
        </w:tc>
        <w:tc>
          <w:tcPr>
            <w:tcW w:w="925" w:type="dxa"/>
            <w:noWrap w:val="0"/>
            <w:vAlign w:val="center"/>
          </w:tcPr>
          <w:p w14:paraId="775EDD2A">
            <w:pPr>
              <w:snapToGrid w:val="0"/>
              <w:jc w:val="center"/>
              <w:rPr>
                <w:szCs w:val="21"/>
              </w:rPr>
            </w:pPr>
            <w:r>
              <w:rPr>
                <w:szCs w:val="21"/>
              </w:rPr>
              <w:t>55</w:t>
            </w:r>
          </w:p>
        </w:tc>
        <w:tc>
          <w:tcPr>
            <w:tcW w:w="937" w:type="dxa"/>
            <w:noWrap w:val="0"/>
            <w:vAlign w:val="center"/>
          </w:tcPr>
          <w:p w14:paraId="2DE5FA94">
            <w:pPr>
              <w:snapToGrid w:val="0"/>
              <w:jc w:val="center"/>
              <w:rPr>
                <w:szCs w:val="21"/>
              </w:rPr>
            </w:pPr>
            <w:r>
              <w:rPr>
                <w:szCs w:val="21"/>
              </w:rPr>
              <w:t>50</w:t>
            </w:r>
          </w:p>
        </w:tc>
        <w:tc>
          <w:tcPr>
            <w:tcW w:w="934" w:type="dxa"/>
            <w:noWrap w:val="0"/>
            <w:vAlign w:val="center"/>
          </w:tcPr>
          <w:p w14:paraId="12D40AFF">
            <w:pPr>
              <w:snapToGrid w:val="0"/>
              <w:jc w:val="center"/>
              <w:rPr>
                <w:szCs w:val="21"/>
              </w:rPr>
            </w:pPr>
            <w:r>
              <w:rPr>
                <w:szCs w:val="21"/>
              </w:rPr>
              <w:t>49</w:t>
            </w:r>
          </w:p>
        </w:tc>
      </w:tr>
      <w:tr w14:paraId="64BC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792FA295">
            <w:pPr>
              <w:snapToGrid w:val="0"/>
              <w:jc w:val="center"/>
              <w:rPr>
                <w:szCs w:val="21"/>
              </w:rPr>
            </w:pPr>
            <w:r>
              <w:rPr>
                <w:szCs w:val="21"/>
              </w:rPr>
              <w:t>振捣棒</w:t>
            </w:r>
          </w:p>
        </w:tc>
        <w:tc>
          <w:tcPr>
            <w:tcW w:w="1085" w:type="dxa"/>
            <w:noWrap w:val="0"/>
            <w:vAlign w:val="center"/>
          </w:tcPr>
          <w:p w14:paraId="5F0ADD0C">
            <w:pPr>
              <w:snapToGrid w:val="0"/>
              <w:jc w:val="center"/>
              <w:rPr>
                <w:szCs w:val="21"/>
              </w:rPr>
            </w:pPr>
            <w:r>
              <w:rPr>
                <w:szCs w:val="21"/>
              </w:rPr>
              <w:t>95</w:t>
            </w:r>
          </w:p>
        </w:tc>
        <w:tc>
          <w:tcPr>
            <w:tcW w:w="703" w:type="dxa"/>
            <w:noWrap w:val="0"/>
            <w:vAlign w:val="center"/>
          </w:tcPr>
          <w:p w14:paraId="1E145FC7">
            <w:pPr>
              <w:snapToGrid w:val="0"/>
              <w:jc w:val="center"/>
              <w:rPr>
                <w:szCs w:val="21"/>
              </w:rPr>
            </w:pPr>
            <w:r>
              <w:rPr>
                <w:szCs w:val="21"/>
              </w:rPr>
              <w:t>75</w:t>
            </w:r>
          </w:p>
        </w:tc>
        <w:tc>
          <w:tcPr>
            <w:tcW w:w="814" w:type="dxa"/>
            <w:noWrap w:val="0"/>
            <w:vAlign w:val="center"/>
          </w:tcPr>
          <w:p w14:paraId="489CDDA3">
            <w:pPr>
              <w:snapToGrid w:val="0"/>
              <w:jc w:val="center"/>
              <w:rPr>
                <w:szCs w:val="21"/>
              </w:rPr>
            </w:pPr>
            <w:r>
              <w:rPr>
                <w:szCs w:val="21"/>
              </w:rPr>
              <w:t>69</w:t>
            </w:r>
          </w:p>
        </w:tc>
        <w:tc>
          <w:tcPr>
            <w:tcW w:w="814" w:type="dxa"/>
            <w:noWrap w:val="0"/>
            <w:vAlign w:val="center"/>
          </w:tcPr>
          <w:p w14:paraId="32A1CBE0">
            <w:pPr>
              <w:snapToGrid w:val="0"/>
              <w:jc w:val="center"/>
              <w:rPr>
                <w:szCs w:val="21"/>
              </w:rPr>
            </w:pPr>
            <w:r>
              <w:rPr>
                <w:szCs w:val="21"/>
              </w:rPr>
              <w:t>65</w:t>
            </w:r>
          </w:p>
        </w:tc>
        <w:tc>
          <w:tcPr>
            <w:tcW w:w="814" w:type="dxa"/>
            <w:noWrap w:val="0"/>
            <w:vAlign w:val="center"/>
          </w:tcPr>
          <w:p w14:paraId="60F425EC">
            <w:pPr>
              <w:snapToGrid w:val="0"/>
              <w:jc w:val="center"/>
              <w:rPr>
                <w:szCs w:val="21"/>
              </w:rPr>
            </w:pPr>
            <w:r>
              <w:rPr>
                <w:szCs w:val="21"/>
              </w:rPr>
              <w:t>61</w:t>
            </w:r>
          </w:p>
        </w:tc>
        <w:tc>
          <w:tcPr>
            <w:tcW w:w="925" w:type="dxa"/>
            <w:noWrap w:val="0"/>
            <w:vAlign w:val="center"/>
          </w:tcPr>
          <w:p w14:paraId="359326EA">
            <w:pPr>
              <w:snapToGrid w:val="0"/>
              <w:jc w:val="center"/>
              <w:rPr>
                <w:szCs w:val="21"/>
              </w:rPr>
            </w:pPr>
            <w:r>
              <w:rPr>
                <w:szCs w:val="21"/>
              </w:rPr>
              <w:t>55</w:t>
            </w:r>
          </w:p>
        </w:tc>
        <w:tc>
          <w:tcPr>
            <w:tcW w:w="937" w:type="dxa"/>
            <w:noWrap w:val="0"/>
            <w:vAlign w:val="center"/>
          </w:tcPr>
          <w:p w14:paraId="6A152A7A">
            <w:pPr>
              <w:snapToGrid w:val="0"/>
              <w:jc w:val="center"/>
              <w:rPr>
                <w:szCs w:val="21"/>
              </w:rPr>
            </w:pPr>
            <w:r>
              <w:rPr>
                <w:szCs w:val="21"/>
              </w:rPr>
              <w:t>50</w:t>
            </w:r>
          </w:p>
        </w:tc>
        <w:tc>
          <w:tcPr>
            <w:tcW w:w="934" w:type="dxa"/>
            <w:noWrap w:val="0"/>
            <w:vAlign w:val="center"/>
          </w:tcPr>
          <w:p w14:paraId="078BD17C">
            <w:pPr>
              <w:snapToGrid w:val="0"/>
              <w:jc w:val="center"/>
              <w:rPr>
                <w:szCs w:val="21"/>
              </w:rPr>
            </w:pPr>
            <w:r>
              <w:rPr>
                <w:szCs w:val="21"/>
              </w:rPr>
              <w:t>49</w:t>
            </w:r>
          </w:p>
        </w:tc>
      </w:tr>
      <w:tr w14:paraId="2A78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6071BD0C">
            <w:pPr>
              <w:snapToGrid w:val="0"/>
              <w:jc w:val="center"/>
              <w:rPr>
                <w:szCs w:val="21"/>
              </w:rPr>
            </w:pPr>
            <w:r>
              <w:rPr>
                <w:szCs w:val="21"/>
              </w:rPr>
              <w:t>装载汽车</w:t>
            </w:r>
          </w:p>
        </w:tc>
        <w:tc>
          <w:tcPr>
            <w:tcW w:w="1085" w:type="dxa"/>
            <w:noWrap w:val="0"/>
            <w:vAlign w:val="center"/>
          </w:tcPr>
          <w:p w14:paraId="795A2E8B">
            <w:pPr>
              <w:snapToGrid w:val="0"/>
              <w:jc w:val="center"/>
              <w:rPr>
                <w:szCs w:val="21"/>
              </w:rPr>
            </w:pPr>
            <w:r>
              <w:rPr>
                <w:szCs w:val="21"/>
              </w:rPr>
              <w:t>90</w:t>
            </w:r>
          </w:p>
        </w:tc>
        <w:tc>
          <w:tcPr>
            <w:tcW w:w="703" w:type="dxa"/>
            <w:noWrap w:val="0"/>
            <w:vAlign w:val="center"/>
          </w:tcPr>
          <w:p w14:paraId="420CD675">
            <w:pPr>
              <w:snapToGrid w:val="0"/>
              <w:jc w:val="center"/>
              <w:rPr>
                <w:szCs w:val="21"/>
              </w:rPr>
            </w:pPr>
            <w:r>
              <w:rPr>
                <w:szCs w:val="21"/>
              </w:rPr>
              <w:t>70</w:t>
            </w:r>
          </w:p>
        </w:tc>
        <w:tc>
          <w:tcPr>
            <w:tcW w:w="814" w:type="dxa"/>
            <w:noWrap w:val="0"/>
            <w:vAlign w:val="center"/>
          </w:tcPr>
          <w:p w14:paraId="48735E27">
            <w:pPr>
              <w:snapToGrid w:val="0"/>
              <w:jc w:val="center"/>
              <w:rPr>
                <w:szCs w:val="21"/>
              </w:rPr>
            </w:pPr>
            <w:r>
              <w:rPr>
                <w:szCs w:val="21"/>
              </w:rPr>
              <w:t>64</w:t>
            </w:r>
          </w:p>
        </w:tc>
        <w:tc>
          <w:tcPr>
            <w:tcW w:w="814" w:type="dxa"/>
            <w:noWrap w:val="0"/>
            <w:vAlign w:val="center"/>
          </w:tcPr>
          <w:p w14:paraId="6283FCAE">
            <w:pPr>
              <w:snapToGrid w:val="0"/>
              <w:jc w:val="center"/>
              <w:rPr>
                <w:szCs w:val="21"/>
              </w:rPr>
            </w:pPr>
            <w:r>
              <w:rPr>
                <w:szCs w:val="21"/>
              </w:rPr>
              <w:t>60</w:t>
            </w:r>
          </w:p>
        </w:tc>
        <w:tc>
          <w:tcPr>
            <w:tcW w:w="814" w:type="dxa"/>
            <w:noWrap w:val="0"/>
            <w:vAlign w:val="center"/>
          </w:tcPr>
          <w:p w14:paraId="22324EEE">
            <w:pPr>
              <w:snapToGrid w:val="0"/>
              <w:jc w:val="center"/>
              <w:rPr>
                <w:szCs w:val="21"/>
              </w:rPr>
            </w:pPr>
            <w:r>
              <w:rPr>
                <w:szCs w:val="21"/>
              </w:rPr>
              <w:t>56</w:t>
            </w:r>
          </w:p>
        </w:tc>
        <w:tc>
          <w:tcPr>
            <w:tcW w:w="925" w:type="dxa"/>
            <w:noWrap w:val="0"/>
            <w:vAlign w:val="center"/>
          </w:tcPr>
          <w:p w14:paraId="446C2722">
            <w:pPr>
              <w:snapToGrid w:val="0"/>
              <w:jc w:val="center"/>
              <w:rPr>
                <w:szCs w:val="21"/>
              </w:rPr>
            </w:pPr>
            <w:r>
              <w:rPr>
                <w:szCs w:val="21"/>
              </w:rPr>
              <w:t>50</w:t>
            </w:r>
          </w:p>
        </w:tc>
        <w:tc>
          <w:tcPr>
            <w:tcW w:w="937" w:type="dxa"/>
            <w:noWrap w:val="0"/>
            <w:vAlign w:val="center"/>
          </w:tcPr>
          <w:p w14:paraId="6DDB42EC">
            <w:pPr>
              <w:snapToGrid w:val="0"/>
              <w:jc w:val="center"/>
              <w:rPr>
                <w:szCs w:val="21"/>
              </w:rPr>
            </w:pPr>
            <w:r>
              <w:rPr>
                <w:szCs w:val="21"/>
              </w:rPr>
              <w:t>45</w:t>
            </w:r>
          </w:p>
        </w:tc>
        <w:tc>
          <w:tcPr>
            <w:tcW w:w="934" w:type="dxa"/>
            <w:noWrap w:val="0"/>
            <w:vAlign w:val="center"/>
          </w:tcPr>
          <w:p w14:paraId="6A63D71F">
            <w:pPr>
              <w:snapToGrid w:val="0"/>
              <w:jc w:val="center"/>
              <w:rPr>
                <w:szCs w:val="21"/>
              </w:rPr>
            </w:pPr>
            <w:r>
              <w:rPr>
                <w:szCs w:val="21"/>
              </w:rPr>
              <w:t>44</w:t>
            </w:r>
          </w:p>
        </w:tc>
      </w:tr>
      <w:tr w14:paraId="0744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560E2DF4">
            <w:pPr>
              <w:snapToGrid w:val="0"/>
              <w:jc w:val="center"/>
              <w:rPr>
                <w:szCs w:val="21"/>
              </w:rPr>
            </w:pPr>
            <w:r>
              <w:rPr>
                <w:szCs w:val="21"/>
              </w:rPr>
              <w:t>水泵</w:t>
            </w:r>
          </w:p>
        </w:tc>
        <w:tc>
          <w:tcPr>
            <w:tcW w:w="1085" w:type="dxa"/>
            <w:noWrap w:val="0"/>
            <w:vAlign w:val="center"/>
          </w:tcPr>
          <w:p w14:paraId="0658BD40">
            <w:pPr>
              <w:snapToGrid w:val="0"/>
              <w:jc w:val="center"/>
              <w:rPr>
                <w:szCs w:val="21"/>
              </w:rPr>
            </w:pPr>
            <w:r>
              <w:rPr>
                <w:szCs w:val="21"/>
              </w:rPr>
              <w:t>85</w:t>
            </w:r>
          </w:p>
        </w:tc>
        <w:tc>
          <w:tcPr>
            <w:tcW w:w="703" w:type="dxa"/>
            <w:noWrap w:val="0"/>
            <w:vAlign w:val="center"/>
          </w:tcPr>
          <w:p w14:paraId="189E6667">
            <w:pPr>
              <w:snapToGrid w:val="0"/>
              <w:jc w:val="center"/>
              <w:rPr>
                <w:szCs w:val="21"/>
              </w:rPr>
            </w:pPr>
            <w:r>
              <w:rPr>
                <w:szCs w:val="21"/>
              </w:rPr>
              <w:t>65</w:t>
            </w:r>
          </w:p>
        </w:tc>
        <w:tc>
          <w:tcPr>
            <w:tcW w:w="814" w:type="dxa"/>
            <w:noWrap w:val="0"/>
            <w:vAlign w:val="center"/>
          </w:tcPr>
          <w:p w14:paraId="5DD59247">
            <w:pPr>
              <w:snapToGrid w:val="0"/>
              <w:jc w:val="center"/>
              <w:rPr>
                <w:szCs w:val="21"/>
              </w:rPr>
            </w:pPr>
            <w:r>
              <w:rPr>
                <w:szCs w:val="21"/>
              </w:rPr>
              <w:t>59</w:t>
            </w:r>
          </w:p>
        </w:tc>
        <w:tc>
          <w:tcPr>
            <w:tcW w:w="814" w:type="dxa"/>
            <w:noWrap w:val="0"/>
            <w:vAlign w:val="center"/>
          </w:tcPr>
          <w:p w14:paraId="13415894">
            <w:pPr>
              <w:snapToGrid w:val="0"/>
              <w:jc w:val="center"/>
              <w:rPr>
                <w:szCs w:val="21"/>
              </w:rPr>
            </w:pPr>
            <w:r>
              <w:rPr>
                <w:szCs w:val="21"/>
              </w:rPr>
              <w:t>55</w:t>
            </w:r>
          </w:p>
        </w:tc>
        <w:tc>
          <w:tcPr>
            <w:tcW w:w="814" w:type="dxa"/>
            <w:noWrap w:val="0"/>
            <w:vAlign w:val="center"/>
          </w:tcPr>
          <w:p w14:paraId="6D79D243">
            <w:pPr>
              <w:snapToGrid w:val="0"/>
              <w:jc w:val="center"/>
              <w:rPr>
                <w:szCs w:val="21"/>
              </w:rPr>
            </w:pPr>
            <w:r>
              <w:rPr>
                <w:szCs w:val="21"/>
              </w:rPr>
              <w:t>51</w:t>
            </w:r>
          </w:p>
        </w:tc>
        <w:tc>
          <w:tcPr>
            <w:tcW w:w="925" w:type="dxa"/>
            <w:noWrap w:val="0"/>
            <w:vAlign w:val="center"/>
          </w:tcPr>
          <w:p w14:paraId="1A20963A">
            <w:pPr>
              <w:snapToGrid w:val="0"/>
              <w:jc w:val="center"/>
              <w:rPr>
                <w:szCs w:val="21"/>
              </w:rPr>
            </w:pPr>
            <w:r>
              <w:rPr>
                <w:szCs w:val="21"/>
              </w:rPr>
              <w:t>45</w:t>
            </w:r>
          </w:p>
        </w:tc>
        <w:tc>
          <w:tcPr>
            <w:tcW w:w="937" w:type="dxa"/>
            <w:noWrap w:val="0"/>
            <w:vAlign w:val="center"/>
          </w:tcPr>
          <w:p w14:paraId="09EE223F">
            <w:pPr>
              <w:snapToGrid w:val="0"/>
              <w:jc w:val="center"/>
              <w:rPr>
                <w:szCs w:val="21"/>
              </w:rPr>
            </w:pPr>
            <w:r>
              <w:rPr>
                <w:szCs w:val="21"/>
              </w:rPr>
              <w:t>40</w:t>
            </w:r>
          </w:p>
        </w:tc>
        <w:tc>
          <w:tcPr>
            <w:tcW w:w="934" w:type="dxa"/>
            <w:noWrap w:val="0"/>
            <w:vAlign w:val="center"/>
          </w:tcPr>
          <w:p w14:paraId="5035D1F1">
            <w:pPr>
              <w:snapToGrid w:val="0"/>
              <w:jc w:val="center"/>
              <w:rPr>
                <w:szCs w:val="21"/>
              </w:rPr>
            </w:pPr>
            <w:r>
              <w:rPr>
                <w:szCs w:val="21"/>
              </w:rPr>
              <w:t>39</w:t>
            </w:r>
          </w:p>
        </w:tc>
      </w:tr>
      <w:tr w14:paraId="639D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18" w:type="dxa"/>
            <w:noWrap w:val="0"/>
            <w:vAlign w:val="center"/>
          </w:tcPr>
          <w:p w14:paraId="72FDF771">
            <w:pPr>
              <w:snapToGrid w:val="0"/>
              <w:jc w:val="center"/>
              <w:rPr>
                <w:szCs w:val="21"/>
              </w:rPr>
            </w:pPr>
            <w:r>
              <w:rPr>
                <w:szCs w:val="21"/>
              </w:rPr>
              <w:t>空压机</w:t>
            </w:r>
          </w:p>
        </w:tc>
        <w:tc>
          <w:tcPr>
            <w:tcW w:w="1085" w:type="dxa"/>
            <w:noWrap w:val="0"/>
            <w:vAlign w:val="center"/>
          </w:tcPr>
          <w:p w14:paraId="724839A8">
            <w:pPr>
              <w:snapToGrid w:val="0"/>
              <w:jc w:val="center"/>
              <w:rPr>
                <w:szCs w:val="21"/>
              </w:rPr>
            </w:pPr>
            <w:r>
              <w:rPr>
                <w:szCs w:val="21"/>
              </w:rPr>
              <w:t>90</w:t>
            </w:r>
          </w:p>
        </w:tc>
        <w:tc>
          <w:tcPr>
            <w:tcW w:w="703" w:type="dxa"/>
            <w:noWrap w:val="0"/>
            <w:vAlign w:val="center"/>
          </w:tcPr>
          <w:p w14:paraId="1A7944B7">
            <w:pPr>
              <w:snapToGrid w:val="0"/>
              <w:jc w:val="center"/>
              <w:rPr>
                <w:szCs w:val="21"/>
              </w:rPr>
            </w:pPr>
            <w:r>
              <w:rPr>
                <w:szCs w:val="21"/>
              </w:rPr>
              <w:t>70</w:t>
            </w:r>
          </w:p>
        </w:tc>
        <w:tc>
          <w:tcPr>
            <w:tcW w:w="814" w:type="dxa"/>
            <w:noWrap w:val="0"/>
            <w:vAlign w:val="center"/>
          </w:tcPr>
          <w:p w14:paraId="2A72EC26">
            <w:pPr>
              <w:snapToGrid w:val="0"/>
              <w:jc w:val="center"/>
              <w:rPr>
                <w:szCs w:val="21"/>
              </w:rPr>
            </w:pPr>
            <w:r>
              <w:rPr>
                <w:szCs w:val="21"/>
              </w:rPr>
              <w:t>64</w:t>
            </w:r>
          </w:p>
        </w:tc>
        <w:tc>
          <w:tcPr>
            <w:tcW w:w="814" w:type="dxa"/>
            <w:noWrap w:val="0"/>
            <w:vAlign w:val="center"/>
          </w:tcPr>
          <w:p w14:paraId="2D6E66A1">
            <w:pPr>
              <w:snapToGrid w:val="0"/>
              <w:jc w:val="center"/>
              <w:rPr>
                <w:szCs w:val="21"/>
              </w:rPr>
            </w:pPr>
            <w:r>
              <w:rPr>
                <w:szCs w:val="21"/>
              </w:rPr>
              <w:t>60</w:t>
            </w:r>
          </w:p>
        </w:tc>
        <w:tc>
          <w:tcPr>
            <w:tcW w:w="814" w:type="dxa"/>
            <w:noWrap w:val="0"/>
            <w:vAlign w:val="center"/>
          </w:tcPr>
          <w:p w14:paraId="08BC940C">
            <w:pPr>
              <w:snapToGrid w:val="0"/>
              <w:jc w:val="center"/>
              <w:rPr>
                <w:szCs w:val="21"/>
              </w:rPr>
            </w:pPr>
            <w:r>
              <w:rPr>
                <w:szCs w:val="21"/>
              </w:rPr>
              <w:t>56</w:t>
            </w:r>
          </w:p>
        </w:tc>
        <w:tc>
          <w:tcPr>
            <w:tcW w:w="925" w:type="dxa"/>
            <w:noWrap w:val="0"/>
            <w:vAlign w:val="center"/>
          </w:tcPr>
          <w:p w14:paraId="7E4CF4E4">
            <w:pPr>
              <w:snapToGrid w:val="0"/>
              <w:jc w:val="center"/>
              <w:rPr>
                <w:szCs w:val="21"/>
              </w:rPr>
            </w:pPr>
            <w:r>
              <w:rPr>
                <w:szCs w:val="21"/>
              </w:rPr>
              <w:t>50</w:t>
            </w:r>
          </w:p>
        </w:tc>
        <w:tc>
          <w:tcPr>
            <w:tcW w:w="937" w:type="dxa"/>
            <w:noWrap w:val="0"/>
            <w:vAlign w:val="center"/>
          </w:tcPr>
          <w:p w14:paraId="256EDD54">
            <w:pPr>
              <w:snapToGrid w:val="0"/>
              <w:jc w:val="center"/>
              <w:rPr>
                <w:szCs w:val="21"/>
              </w:rPr>
            </w:pPr>
            <w:r>
              <w:rPr>
                <w:szCs w:val="21"/>
              </w:rPr>
              <w:t>45</w:t>
            </w:r>
          </w:p>
        </w:tc>
        <w:tc>
          <w:tcPr>
            <w:tcW w:w="934" w:type="dxa"/>
            <w:noWrap w:val="0"/>
            <w:vAlign w:val="center"/>
          </w:tcPr>
          <w:p w14:paraId="5ACCA644">
            <w:pPr>
              <w:snapToGrid w:val="0"/>
              <w:jc w:val="center"/>
              <w:rPr>
                <w:szCs w:val="21"/>
              </w:rPr>
            </w:pPr>
            <w:r>
              <w:rPr>
                <w:szCs w:val="21"/>
              </w:rPr>
              <w:t>44</w:t>
            </w:r>
          </w:p>
        </w:tc>
      </w:tr>
    </w:tbl>
    <w:p w14:paraId="256C9007">
      <w:pPr>
        <w:adjustRightInd w:val="0"/>
        <w:snapToGrid w:val="0"/>
        <w:ind w:firstLine="422"/>
        <w:jc w:val="center"/>
        <w:rPr>
          <w:b/>
          <w:bCs/>
          <w:szCs w:val="21"/>
        </w:rPr>
      </w:pPr>
      <w:r>
        <w:rPr>
          <w:b/>
          <w:bCs/>
          <w:szCs w:val="21"/>
        </w:rPr>
        <w:t>表5.1-2  施工机械设备达标距离一览表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8"/>
        <w:gridCol w:w="1801"/>
        <w:gridCol w:w="1869"/>
      </w:tblGrid>
      <w:tr w14:paraId="6AB9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4858" w:type="dxa"/>
            <w:noWrap w:val="0"/>
            <w:vAlign w:val="center"/>
          </w:tcPr>
          <w:p w14:paraId="4B53337B">
            <w:pPr>
              <w:snapToGrid w:val="0"/>
              <w:jc w:val="center"/>
              <w:rPr>
                <w:szCs w:val="21"/>
              </w:rPr>
            </w:pPr>
            <w:r>
              <w:rPr>
                <w:szCs w:val="21"/>
              </w:rPr>
              <w:t>执行标准</w:t>
            </w:r>
          </w:p>
        </w:tc>
        <w:tc>
          <w:tcPr>
            <w:tcW w:w="1801" w:type="dxa"/>
            <w:noWrap w:val="0"/>
            <w:vAlign w:val="center"/>
          </w:tcPr>
          <w:p w14:paraId="651CFDB3">
            <w:pPr>
              <w:snapToGrid w:val="0"/>
              <w:jc w:val="center"/>
              <w:rPr>
                <w:szCs w:val="21"/>
              </w:rPr>
            </w:pPr>
            <w:r>
              <w:rPr>
                <w:szCs w:val="21"/>
              </w:rPr>
              <w:t>昼间</w:t>
            </w:r>
          </w:p>
        </w:tc>
        <w:tc>
          <w:tcPr>
            <w:tcW w:w="1869" w:type="dxa"/>
            <w:noWrap w:val="0"/>
            <w:vAlign w:val="center"/>
          </w:tcPr>
          <w:p w14:paraId="01A21EFD">
            <w:pPr>
              <w:snapToGrid w:val="0"/>
              <w:jc w:val="center"/>
              <w:rPr>
                <w:szCs w:val="21"/>
              </w:rPr>
            </w:pPr>
            <w:r>
              <w:rPr>
                <w:szCs w:val="21"/>
              </w:rPr>
              <w:t>夜间</w:t>
            </w:r>
          </w:p>
        </w:tc>
      </w:tr>
      <w:tr w14:paraId="79D0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4" w:hRule="atLeast"/>
          <w:jc w:val="center"/>
        </w:trPr>
        <w:tc>
          <w:tcPr>
            <w:tcW w:w="4858" w:type="dxa"/>
            <w:noWrap w:val="0"/>
            <w:vAlign w:val="center"/>
          </w:tcPr>
          <w:p w14:paraId="18C9798E">
            <w:pPr>
              <w:snapToGrid w:val="0"/>
              <w:jc w:val="center"/>
              <w:rPr>
                <w:szCs w:val="21"/>
              </w:rPr>
            </w:pPr>
            <w:r>
              <w:rPr>
                <w:szCs w:val="21"/>
              </w:rPr>
              <w:t>《建筑施工场界环境噪声排放标准》（GB12523-2011）标准限值</w:t>
            </w:r>
          </w:p>
        </w:tc>
        <w:tc>
          <w:tcPr>
            <w:tcW w:w="1801" w:type="dxa"/>
            <w:noWrap w:val="0"/>
            <w:vAlign w:val="center"/>
          </w:tcPr>
          <w:p w14:paraId="348BEFBB">
            <w:pPr>
              <w:snapToGrid w:val="0"/>
              <w:jc w:val="center"/>
              <w:rPr>
                <w:szCs w:val="21"/>
              </w:rPr>
            </w:pPr>
            <w:r>
              <w:rPr>
                <w:szCs w:val="21"/>
              </w:rPr>
              <w:t>70</w:t>
            </w:r>
          </w:p>
        </w:tc>
        <w:tc>
          <w:tcPr>
            <w:tcW w:w="1869" w:type="dxa"/>
            <w:noWrap w:val="0"/>
            <w:vAlign w:val="center"/>
          </w:tcPr>
          <w:p w14:paraId="7DB2736C">
            <w:pPr>
              <w:snapToGrid w:val="0"/>
              <w:jc w:val="center"/>
              <w:rPr>
                <w:szCs w:val="21"/>
              </w:rPr>
            </w:pPr>
            <w:r>
              <w:rPr>
                <w:szCs w:val="21"/>
              </w:rPr>
              <w:t>55</w:t>
            </w:r>
          </w:p>
        </w:tc>
      </w:tr>
      <w:tr w14:paraId="2A7E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4" w:hRule="atLeast"/>
          <w:jc w:val="center"/>
        </w:trPr>
        <w:tc>
          <w:tcPr>
            <w:tcW w:w="4858" w:type="dxa"/>
            <w:noWrap w:val="0"/>
            <w:vAlign w:val="center"/>
          </w:tcPr>
          <w:p w14:paraId="765D18B4">
            <w:pPr>
              <w:snapToGrid w:val="0"/>
              <w:jc w:val="center"/>
              <w:rPr>
                <w:szCs w:val="21"/>
              </w:rPr>
            </w:pPr>
            <w:r>
              <w:rPr>
                <w:szCs w:val="21"/>
              </w:rPr>
              <w:t>达到标准值距离设备噪声源最远距离（m）</w:t>
            </w:r>
          </w:p>
        </w:tc>
        <w:tc>
          <w:tcPr>
            <w:tcW w:w="1801" w:type="dxa"/>
            <w:noWrap w:val="0"/>
            <w:vAlign w:val="center"/>
          </w:tcPr>
          <w:p w14:paraId="7BEE90D2">
            <w:pPr>
              <w:snapToGrid w:val="0"/>
              <w:jc w:val="center"/>
              <w:rPr>
                <w:szCs w:val="21"/>
              </w:rPr>
            </w:pPr>
            <w:r>
              <w:rPr>
                <w:szCs w:val="21"/>
              </w:rPr>
              <w:t>30m</w:t>
            </w:r>
          </w:p>
        </w:tc>
        <w:tc>
          <w:tcPr>
            <w:tcW w:w="1869" w:type="dxa"/>
            <w:noWrap w:val="0"/>
            <w:vAlign w:val="center"/>
          </w:tcPr>
          <w:p w14:paraId="12FEC352">
            <w:pPr>
              <w:snapToGrid w:val="0"/>
              <w:jc w:val="center"/>
              <w:rPr>
                <w:szCs w:val="21"/>
              </w:rPr>
            </w:pPr>
            <w:r>
              <w:rPr>
                <w:szCs w:val="21"/>
              </w:rPr>
              <w:t>170m</w:t>
            </w:r>
          </w:p>
        </w:tc>
      </w:tr>
    </w:tbl>
    <w:p w14:paraId="7C882C2E">
      <w:pPr>
        <w:spacing w:line="360" w:lineRule="auto"/>
        <w:ind w:firstLine="480" w:firstLineChars="200"/>
        <w:rPr>
          <w:sz w:val="24"/>
        </w:rPr>
      </w:pPr>
      <w:r>
        <w:rPr>
          <w:sz w:val="24"/>
        </w:rPr>
        <w:t>从上表可知，昼间距离声源30m距离处的噪声值满足《建筑施工场界环境噪声排放标准》（GB12523-2011）昼间70dB(A)的要求，夜间距离声源约170m距离处的噪声值满足《建筑施工场界环境噪声排放标准》（GB12523-2011）夜间55dB(A)的要求。项目位于山区，周边主要为林地，场址周围200m范围内无集中居民点分布，在项目施工期间采用低噪声设备、文明施工、夜间不施工。通过上述措施，项目施工噪声对周边环境影响较小。</w:t>
      </w:r>
      <w:bookmarkEnd w:id="114"/>
    </w:p>
    <w:p w14:paraId="54948FB8">
      <w:pPr>
        <w:pStyle w:val="7"/>
        <w:spacing w:before="0" w:after="0" w:line="360" w:lineRule="auto"/>
        <w:rPr>
          <w:rFonts w:ascii="Times New Roman" w:hAnsi="Times New Roman"/>
          <w:sz w:val="28"/>
          <w:szCs w:val="28"/>
        </w:rPr>
      </w:pPr>
      <w:bookmarkStart w:id="117" w:name="_Toc322617101"/>
      <w:bookmarkStart w:id="118" w:name="_Toc336177426"/>
      <w:bookmarkStart w:id="119" w:name="_Toc219429135"/>
      <w:bookmarkStart w:id="120" w:name="_Toc247425368"/>
      <w:bookmarkStart w:id="121" w:name="_Toc105574278"/>
      <w:bookmarkStart w:id="122" w:name="_Toc124155315"/>
      <w:r>
        <w:rPr>
          <w:rFonts w:ascii="Times New Roman" w:hAnsi="Times New Roman"/>
          <w:sz w:val="28"/>
          <w:szCs w:val="28"/>
        </w:rPr>
        <w:t>5.1.3施工期环境空气影响预测与评价</w:t>
      </w:r>
      <w:bookmarkEnd w:id="117"/>
      <w:bookmarkEnd w:id="118"/>
      <w:bookmarkEnd w:id="119"/>
      <w:bookmarkEnd w:id="120"/>
      <w:bookmarkEnd w:id="121"/>
      <w:bookmarkEnd w:id="122"/>
      <w:bookmarkStart w:id="123" w:name="_Toc38915781"/>
      <w:bookmarkStart w:id="124" w:name="_Toc18119428"/>
      <w:bookmarkStart w:id="125" w:name="_Toc22979277"/>
      <w:bookmarkStart w:id="126" w:name="_Toc18119429"/>
      <w:bookmarkStart w:id="127" w:name="_Toc503861249"/>
      <w:bookmarkStart w:id="128" w:name="_Toc465399883"/>
      <w:bookmarkStart w:id="129" w:name="_Toc464616059"/>
      <w:bookmarkStart w:id="130" w:name="_Toc5382003"/>
      <w:bookmarkStart w:id="131" w:name="_Toc503860823"/>
      <w:bookmarkStart w:id="132" w:name="_Toc5257127"/>
      <w:bookmarkStart w:id="133" w:name="_Toc490447667"/>
    </w:p>
    <w:p w14:paraId="475CE717">
      <w:pPr>
        <w:spacing w:line="360" w:lineRule="auto"/>
        <w:ind w:firstLine="480" w:firstLineChars="200"/>
        <w:rPr>
          <w:bCs/>
          <w:sz w:val="24"/>
        </w:rPr>
      </w:pPr>
      <w:r>
        <w:rPr>
          <w:bCs/>
          <w:sz w:val="24"/>
        </w:rPr>
        <w:t>项目施工期对环境空气的影响主要是施工扬尘及施工机械产生的烟气。</w:t>
      </w:r>
    </w:p>
    <w:p w14:paraId="746AB9FB">
      <w:pPr>
        <w:spacing w:line="360" w:lineRule="auto"/>
        <w:ind w:firstLine="482" w:firstLineChars="200"/>
        <w:rPr>
          <w:b/>
          <w:bCs/>
          <w:sz w:val="24"/>
        </w:rPr>
      </w:pPr>
      <w:bookmarkStart w:id="134" w:name="_Toc17023"/>
      <w:bookmarkStart w:id="135" w:name="_Toc7120394"/>
      <w:r>
        <w:rPr>
          <w:b/>
          <w:bCs/>
          <w:sz w:val="24"/>
        </w:rPr>
        <w:t>（1）扬尘</w:t>
      </w:r>
    </w:p>
    <w:p w14:paraId="6F144C57">
      <w:pPr>
        <w:spacing w:line="360" w:lineRule="auto"/>
        <w:ind w:firstLine="480" w:firstLineChars="200"/>
        <w:rPr>
          <w:bCs/>
          <w:sz w:val="24"/>
        </w:rPr>
      </w:pPr>
      <w:r>
        <w:rPr>
          <w:bCs/>
          <w:sz w:val="24"/>
        </w:rPr>
        <w:t>施工期的扬尘属无组织排放，其产生量与施工范围、方式方法、土壤干湿度、气象等诸多因素有关。根据云南省环境监测中心对建筑施工现场的扬尘污染监测，在距施工现场边界50m处，TSP 浓度最大达到4.53mg/m</w:t>
      </w:r>
      <w:r>
        <w:rPr>
          <w:bCs/>
          <w:sz w:val="24"/>
          <w:vertAlign w:val="superscript"/>
        </w:rPr>
        <w:t>3</w:t>
      </w:r>
      <w:r>
        <w:rPr>
          <w:bCs/>
          <w:sz w:val="24"/>
        </w:rPr>
        <w:t>，至150m处仍可达到1.51mg/m</w:t>
      </w:r>
      <w:r>
        <w:rPr>
          <w:bCs/>
          <w:sz w:val="24"/>
          <w:vertAlign w:val="superscript"/>
        </w:rPr>
        <w:t>3</w:t>
      </w:r>
      <w:r>
        <w:rPr>
          <w:bCs/>
          <w:sz w:val="24"/>
        </w:rPr>
        <w:t>，只有在300m处才低于0.5mg/m</w:t>
      </w:r>
      <w:r>
        <w:rPr>
          <w:bCs/>
          <w:sz w:val="24"/>
          <w:vertAlign w:val="superscript"/>
        </w:rPr>
        <w:t>3</w:t>
      </w:r>
      <w:r>
        <w:rPr>
          <w:bCs/>
          <w:sz w:val="24"/>
        </w:rPr>
        <w:t>。</w:t>
      </w:r>
    </w:p>
    <w:p w14:paraId="1BA801EE">
      <w:pPr>
        <w:spacing w:line="360" w:lineRule="auto"/>
        <w:ind w:firstLine="480" w:firstLineChars="200"/>
        <w:rPr>
          <w:bCs/>
          <w:sz w:val="24"/>
        </w:rPr>
      </w:pPr>
      <w:r>
        <w:rPr>
          <w:bCs/>
          <w:sz w:val="24"/>
        </w:rPr>
        <w:t>为降低项目施工扬尘的影响，项目在施工期拟采取如下控制措施：</w:t>
      </w:r>
    </w:p>
    <w:p w14:paraId="42AF93F4">
      <w:pPr>
        <w:spacing w:line="360" w:lineRule="auto"/>
        <w:ind w:firstLine="480" w:firstLineChars="200"/>
        <w:rPr>
          <w:bCs/>
          <w:sz w:val="24"/>
        </w:rPr>
      </w:pPr>
      <w:r>
        <w:rPr>
          <w:bCs/>
          <w:sz w:val="24"/>
        </w:rPr>
        <w:t>①要及时回填土石方，不能及时回填的土石方应堆放在临近主导风向的下风向，减轻对施工工人的影响，同时采取措施防止水土流失。</w:t>
      </w:r>
    </w:p>
    <w:p w14:paraId="65BA9B8C">
      <w:pPr>
        <w:spacing w:line="360" w:lineRule="auto"/>
        <w:ind w:firstLine="480" w:firstLineChars="200"/>
        <w:rPr>
          <w:bCs/>
          <w:sz w:val="24"/>
        </w:rPr>
      </w:pPr>
      <w:r>
        <w:rPr>
          <w:bCs/>
          <w:sz w:val="24"/>
        </w:rPr>
        <w:t>②散装水泥、沙子和石灰等易生扬尘的建筑材料不得随意露天堆放，应设置专门的堆场，且堆场四周有围档结构，以免产生扬尘，对周围环境造成影响。</w:t>
      </w:r>
    </w:p>
    <w:p w14:paraId="108A2808">
      <w:pPr>
        <w:spacing w:line="360" w:lineRule="auto"/>
        <w:ind w:firstLine="480" w:firstLineChars="200"/>
        <w:rPr>
          <w:bCs/>
          <w:sz w:val="24"/>
        </w:rPr>
      </w:pPr>
      <w:r>
        <w:rPr>
          <w:bCs/>
          <w:sz w:val="24"/>
        </w:rPr>
        <w:t>③为防止运输过程中产生的二次扬尘污染，要对施工道路定时洒水，并且在大风天气（风速≥6m/s），停止土石方施工，并对容易产生二次扬尘污染的重点施工现场进行遮盖</w:t>
      </w:r>
      <w:r>
        <w:rPr>
          <w:sz w:val="24"/>
        </w:rPr>
        <w:t>、施工场界设置不低于2.5m的施工围挡</w:t>
      </w:r>
      <w:r>
        <w:rPr>
          <w:bCs/>
          <w:sz w:val="24"/>
        </w:rPr>
        <w:t>。</w:t>
      </w:r>
    </w:p>
    <w:p w14:paraId="7024ED0E">
      <w:pPr>
        <w:spacing w:line="360" w:lineRule="auto"/>
        <w:ind w:firstLine="480" w:firstLineChars="200"/>
        <w:rPr>
          <w:bCs/>
          <w:sz w:val="24"/>
        </w:rPr>
      </w:pPr>
      <w:r>
        <w:rPr>
          <w:bCs/>
          <w:sz w:val="24"/>
        </w:rPr>
        <w:t>④在施工场地应制定洒水降尘制度，配套洒水设备，专人负责，定期洒水，在大风日加大洒水量和洒水次数。</w:t>
      </w:r>
    </w:p>
    <w:p w14:paraId="63977D13">
      <w:pPr>
        <w:spacing w:line="360" w:lineRule="auto"/>
        <w:ind w:firstLine="480" w:firstLineChars="200"/>
        <w:rPr>
          <w:bCs/>
          <w:sz w:val="24"/>
        </w:rPr>
      </w:pPr>
      <w:r>
        <w:rPr>
          <w:bCs/>
          <w:sz w:val="24"/>
        </w:rPr>
        <w:t>⑤运输车辆不得超载，运输颗粒物料车辆的装载高度不得超过车槽，并用蓬布蒙严盖实，不得沿路抛洒。</w:t>
      </w:r>
    </w:p>
    <w:p w14:paraId="5206C7C9">
      <w:pPr>
        <w:spacing w:line="360" w:lineRule="auto"/>
        <w:ind w:firstLine="480" w:firstLineChars="200"/>
        <w:rPr>
          <w:bCs/>
          <w:sz w:val="24"/>
        </w:rPr>
      </w:pPr>
      <w:r>
        <w:rPr>
          <w:bCs/>
          <w:sz w:val="24"/>
        </w:rPr>
        <w:t>通过采取扬尘控制措施，项目施工扬尘排放能满足《大气污染物综合排放标准》（GB16297-1996）中表2无组织排放监控浓度限值要求。</w:t>
      </w:r>
    </w:p>
    <w:p w14:paraId="0F65065F">
      <w:pPr>
        <w:spacing w:line="360" w:lineRule="auto"/>
        <w:ind w:firstLine="482" w:firstLineChars="200"/>
        <w:rPr>
          <w:bCs/>
          <w:sz w:val="24"/>
        </w:rPr>
      </w:pPr>
      <w:r>
        <w:rPr>
          <w:b/>
          <w:bCs/>
          <w:sz w:val="24"/>
        </w:rPr>
        <w:t>（2）施工机械废气</w:t>
      </w:r>
      <w:bookmarkEnd w:id="134"/>
      <w:bookmarkEnd w:id="135"/>
    </w:p>
    <w:p w14:paraId="4AB92842">
      <w:pPr>
        <w:spacing w:line="360" w:lineRule="auto"/>
        <w:ind w:firstLine="480" w:firstLineChars="200"/>
        <w:rPr>
          <w:bCs/>
          <w:sz w:val="24"/>
        </w:rPr>
      </w:pPr>
      <w:r>
        <w:rPr>
          <w:bCs/>
          <w:sz w:val="24"/>
        </w:rPr>
        <w:t>施工期施工机械运行产生的废气、运输车辆运输产生的尾气均是动力燃料柴油和汽油燃烧后所产生，为影响空气环境的主要污染物之一，主要成份是烯烃类、CO和NO</w:t>
      </w:r>
      <w:r>
        <w:rPr>
          <w:bCs/>
          <w:sz w:val="24"/>
          <w:vertAlign w:val="subscript"/>
        </w:rPr>
        <w:t>X</w:t>
      </w:r>
      <w:r>
        <w:rPr>
          <w:bCs/>
          <w:sz w:val="24"/>
        </w:rPr>
        <w:t>，属无组织排放。</w:t>
      </w:r>
    </w:p>
    <w:p w14:paraId="6012B34F">
      <w:pPr>
        <w:spacing w:line="360" w:lineRule="auto"/>
        <w:ind w:firstLine="480" w:firstLineChars="200"/>
        <w:rPr>
          <w:bCs/>
          <w:sz w:val="24"/>
        </w:rPr>
      </w:pPr>
      <w:r>
        <w:rPr>
          <w:bCs/>
          <w:sz w:val="24"/>
        </w:rPr>
        <w:t>由于项目区作业范围相对较大，比较空旷，施工机械和运输车辆外排尾气量均不是很大，尾气排放点随设备移动呈不固定方式排放，且使用汽油或柴油作能源，外排尾气中主要为 CO、碳氢化合物等，在空气环境中经一定的距离自然扩散、稀释后，对评价区域环境空气质量影响不大。</w:t>
      </w:r>
    </w:p>
    <w:p w14:paraId="0C73CE0D">
      <w:pPr>
        <w:spacing w:line="360" w:lineRule="auto"/>
        <w:ind w:firstLine="480" w:firstLineChars="200"/>
        <w:rPr>
          <w:bCs/>
          <w:sz w:val="24"/>
        </w:rPr>
      </w:pPr>
      <w:r>
        <w:rPr>
          <w:bCs/>
          <w:sz w:val="24"/>
        </w:rPr>
        <w:t>综上所述，项目施工期大气污染包括装卸料、车辆运输及场地开挖等过程产生的扬尘和施工机械及运输车量排放的尾气。项目所在地地势开阔，周边主要为林地，1000m范围内无居民点分布，在采取环评提出的环保措施后，施工扬尘及设备尾气对周围环境影响较小。</w:t>
      </w:r>
    </w:p>
    <w:bookmarkEnd w:id="123"/>
    <w:bookmarkEnd w:id="124"/>
    <w:bookmarkEnd w:id="125"/>
    <w:p w14:paraId="7FA54895">
      <w:pPr>
        <w:pStyle w:val="7"/>
        <w:spacing w:before="0" w:after="0" w:line="360" w:lineRule="auto"/>
        <w:rPr>
          <w:rFonts w:ascii="Times New Roman" w:hAnsi="Times New Roman"/>
          <w:sz w:val="28"/>
          <w:szCs w:val="28"/>
        </w:rPr>
      </w:pPr>
      <w:bookmarkStart w:id="136" w:name="_Toc247425370"/>
      <w:bookmarkStart w:id="137" w:name="_Toc322617105"/>
      <w:bookmarkStart w:id="138" w:name="_Toc219429137"/>
      <w:bookmarkStart w:id="139" w:name="_Toc105574280"/>
      <w:bookmarkStart w:id="140" w:name="_Toc124155317"/>
      <w:bookmarkStart w:id="141" w:name="_Toc336177430"/>
      <w:r>
        <w:rPr>
          <w:rFonts w:ascii="Times New Roman" w:hAnsi="Times New Roman"/>
          <w:sz w:val="28"/>
          <w:szCs w:val="28"/>
        </w:rPr>
        <w:t>5.1.4 施工期固体废物影响分析</w:t>
      </w:r>
      <w:bookmarkEnd w:id="136"/>
      <w:bookmarkEnd w:id="137"/>
      <w:bookmarkEnd w:id="138"/>
      <w:bookmarkEnd w:id="139"/>
      <w:bookmarkEnd w:id="140"/>
      <w:bookmarkEnd w:id="141"/>
    </w:p>
    <w:bookmarkEnd w:id="126"/>
    <w:bookmarkEnd w:id="127"/>
    <w:bookmarkEnd w:id="128"/>
    <w:bookmarkEnd w:id="129"/>
    <w:bookmarkEnd w:id="130"/>
    <w:bookmarkEnd w:id="131"/>
    <w:bookmarkEnd w:id="132"/>
    <w:bookmarkEnd w:id="133"/>
    <w:p w14:paraId="1237E9D5">
      <w:pPr>
        <w:pStyle w:val="35"/>
        <w:snapToGrid w:val="0"/>
        <w:spacing w:after="0" w:line="360" w:lineRule="auto"/>
        <w:ind w:firstLine="480" w:firstLineChars="200"/>
        <w:rPr>
          <w:kern w:val="0"/>
          <w:sz w:val="24"/>
        </w:rPr>
      </w:pPr>
      <w:r>
        <w:rPr>
          <w:kern w:val="0"/>
          <w:sz w:val="24"/>
        </w:rPr>
        <w:t>本项目施工期固体废物主要为开挖土石方、建筑垃圾和施工人员生活垃圾。</w:t>
      </w:r>
    </w:p>
    <w:p w14:paraId="30B675A8">
      <w:pPr>
        <w:pStyle w:val="35"/>
        <w:snapToGrid w:val="0"/>
        <w:spacing w:after="0" w:line="360" w:lineRule="auto"/>
        <w:ind w:firstLine="482" w:firstLineChars="200"/>
        <w:rPr>
          <w:b/>
          <w:kern w:val="0"/>
          <w:sz w:val="24"/>
        </w:rPr>
      </w:pPr>
      <w:r>
        <w:rPr>
          <w:b/>
          <w:kern w:val="0"/>
          <w:sz w:val="24"/>
        </w:rPr>
        <w:t>（1）土石方</w:t>
      </w:r>
    </w:p>
    <w:p w14:paraId="2447C05F">
      <w:pPr>
        <w:pStyle w:val="35"/>
        <w:snapToGrid w:val="0"/>
        <w:spacing w:after="0" w:line="360" w:lineRule="auto"/>
        <w:ind w:firstLine="480" w:firstLineChars="200"/>
        <w:rPr>
          <w:kern w:val="0"/>
          <w:sz w:val="24"/>
        </w:rPr>
      </w:pPr>
      <w:r>
        <w:rPr>
          <w:kern w:val="0"/>
          <w:sz w:val="24"/>
        </w:rPr>
        <w:t>根据主体工程设计资料分析和现场踏勘，本工程土石方开挖总量为9.25万m</w:t>
      </w:r>
      <w:r>
        <w:rPr>
          <w:kern w:val="0"/>
          <w:sz w:val="24"/>
          <w:vertAlign w:val="superscript"/>
        </w:rPr>
        <w:t>3</w:t>
      </w:r>
      <w:r>
        <w:rPr>
          <w:kern w:val="0"/>
          <w:sz w:val="24"/>
        </w:rPr>
        <w:t>，其中表土剥离0.66万m</w:t>
      </w:r>
      <w:r>
        <w:rPr>
          <w:kern w:val="0"/>
          <w:sz w:val="24"/>
          <w:vertAlign w:val="superscript"/>
        </w:rPr>
        <w:t>3</w:t>
      </w:r>
      <w:r>
        <w:rPr>
          <w:kern w:val="0"/>
          <w:sz w:val="24"/>
        </w:rPr>
        <w:t>，土石方开挖5.2万m</w:t>
      </w:r>
      <w:r>
        <w:rPr>
          <w:kern w:val="0"/>
          <w:sz w:val="24"/>
          <w:vertAlign w:val="superscript"/>
        </w:rPr>
        <w:t>3</w:t>
      </w:r>
      <w:r>
        <w:rPr>
          <w:kern w:val="0"/>
          <w:sz w:val="24"/>
        </w:rPr>
        <w:t>，场地平整3.39万m</w:t>
      </w:r>
      <w:r>
        <w:rPr>
          <w:kern w:val="0"/>
          <w:sz w:val="24"/>
          <w:vertAlign w:val="superscript"/>
        </w:rPr>
        <w:t>3</w:t>
      </w:r>
      <w:r>
        <w:rPr>
          <w:kern w:val="0"/>
          <w:sz w:val="24"/>
        </w:rPr>
        <w:t>；回填、利用9.25万m</w:t>
      </w:r>
      <w:r>
        <w:rPr>
          <w:kern w:val="0"/>
          <w:sz w:val="24"/>
          <w:vertAlign w:val="superscript"/>
        </w:rPr>
        <w:t>3</w:t>
      </w:r>
      <w:r>
        <w:rPr>
          <w:kern w:val="0"/>
          <w:sz w:val="24"/>
        </w:rPr>
        <w:t>，其中场地回填量为8.59万m</w:t>
      </w:r>
      <w:r>
        <w:rPr>
          <w:kern w:val="0"/>
          <w:sz w:val="24"/>
          <w:vertAlign w:val="superscript"/>
        </w:rPr>
        <w:t>3</w:t>
      </w:r>
      <w:r>
        <w:rPr>
          <w:kern w:val="0"/>
          <w:sz w:val="24"/>
        </w:rPr>
        <w:t>，绿化覆土0.66万m</w:t>
      </w:r>
      <w:r>
        <w:rPr>
          <w:kern w:val="0"/>
          <w:sz w:val="24"/>
          <w:vertAlign w:val="superscript"/>
        </w:rPr>
        <w:t>3</w:t>
      </w:r>
      <w:r>
        <w:rPr>
          <w:kern w:val="0"/>
          <w:sz w:val="24"/>
        </w:rPr>
        <w:t>；土石方互相调用，内部平衡不产生永久废弃渣。</w:t>
      </w:r>
    </w:p>
    <w:p w14:paraId="572A8B64">
      <w:pPr>
        <w:pStyle w:val="35"/>
        <w:snapToGrid w:val="0"/>
        <w:spacing w:after="0" w:line="360" w:lineRule="auto"/>
        <w:ind w:firstLine="482" w:firstLineChars="200"/>
        <w:rPr>
          <w:b/>
          <w:kern w:val="0"/>
          <w:sz w:val="24"/>
        </w:rPr>
      </w:pPr>
      <w:r>
        <w:rPr>
          <w:b/>
          <w:kern w:val="0"/>
          <w:sz w:val="24"/>
        </w:rPr>
        <w:t>（2）建筑垃圾</w:t>
      </w:r>
    </w:p>
    <w:p w14:paraId="00A9FA69">
      <w:pPr>
        <w:pStyle w:val="35"/>
        <w:snapToGrid w:val="0"/>
        <w:spacing w:after="0" w:line="360" w:lineRule="auto"/>
        <w:ind w:firstLine="480" w:firstLineChars="200"/>
        <w:rPr>
          <w:kern w:val="0"/>
          <w:sz w:val="24"/>
        </w:rPr>
      </w:pPr>
      <w:r>
        <w:rPr>
          <w:kern w:val="0"/>
          <w:sz w:val="24"/>
        </w:rPr>
        <w:t>施工期的建筑垃圾主要包括施工中的下脚料，如废弃的堆土、砖瓦、混凝土块等，同时还包括少量的有机垃圾，主要是各种包装材料，包括废旧塑料、泡沫等，建筑垃圾可回收利用部分经过分拣、剔除后回收利用，剩余部分用于场区道路铺设或按照《昆明市城市建筑垃圾管理实施办法》〔2011〕88号要求清运处置。</w:t>
      </w:r>
    </w:p>
    <w:p w14:paraId="2AF20C36">
      <w:pPr>
        <w:pStyle w:val="35"/>
        <w:snapToGrid w:val="0"/>
        <w:spacing w:after="0" w:line="360" w:lineRule="auto"/>
        <w:ind w:firstLine="482" w:firstLineChars="200"/>
        <w:rPr>
          <w:b/>
          <w:kern w:val="0"/>
          <w:sz w:val="24"/>
        </w:rPr>
      </w:pPr>
      <w:r>
        <w:rPr>
          <w:b/>
          <w:kern w:val="0"/>
          <w:sz w:val="24"/>
        </w:rPr>
        <w:t>（3）生活垃圾</w:t>
      </w:r>
    </w:p>
    <w:p w14:paraId="670409FA">
      <w:pPr>
        <w:pStyle w:val="35"/>
        <w:snapToGrid w:val="0"/>
        <w:spacing w:after="0" w:line="360" w:lineRule="auto"/>
        <w:ind w:firstLine="480" w:firstLineChars="200"/>
        <w:rPr>
          <w:kern w:val="0"/>
          <w:sz w:val="24"/>
        </w:rPr>
      </w:pPr>
      <w:r>
        <w:rPr>
          <w:kern w:val="0"/>
          <w:sz w:val="24"/>
        </w:rPr>
        <w:t xml:space="preserve">项目施工人数约60人，生活垃圾产生量约为30kg/d，对施工人员产生的生活垃圾应设置临时专门的垃圾收集池，将施工人员生活垃圾统一收集后由环卫部门处置。 </w:t>
      </w:r>
    </w:p>
    <w:p w14:paraId="77F747BF">
      <w:pPr>
        <w:pStyle w:val="35"/>
        <w:snapToGrid w:val="0"/>
        <w:spacing w:after="0" w:line="360" w:lineRule="auto"/>
        <w:ind w:firstLine="480" w:firstLineChars="200"/>
        <w:rPr>
          <w:kern w:val="0"/>
          <w:sz w:val="24"/>
        </w:rPr>
      </w:pPr>
      <w:r>
        <w:rPr>
          <w:kern w:val="0"/>
          <w:sz w:val="24"/>
        </w:rPr>
        <w:t>采取相应的防治措施后，固体废物均得到妥善处置，对环境影响比较小。</w:t>
      </w:r>
    </w:p>
    <w:p w14:paraId="07BB5DE4">
      <w:pPr>
        <w:pStyle w:val="7"/>
        <w:spacing w:before="0" w:after="0" w:line="360" w:lineRule="auto"/>
        <w:rPr>
          <w:rFonts w:ascii="Times New Roman" w:hAnsi="Times New Roman"/>
          <w:sz w:val="28"/>
          <w:szCs w:val="28"/>
        </w:rPr>
      </w:pPr>
      <w:bookmarkStart w:id="142" w:name="_Toc336177431"/>
      <w:bookmarkStart w:id="143" w:name="_Toc322617106"/>
      <w:r>
        <w:rPr>
          <w:rFonts w:ascii="Times New Roman" w:hAnsi="Times New Roman"/>
          <w:sz w:val="28"/>
          <w:szCs w:val="28"/>
        </w:rPr>
        <w:t>5.1.5施工期生态环境影响预测与评价</w:t>
      </w:r>
      <w:bookmarkEnd w:id="142"/>
      <w:bookmarkEnd w:id="143"/>
    </w:p>
    <w:p w14:paraId="13EF41E3">
      <w:pPr>
        <w:spacing w:line="360" w:lineRule="auto"/>
        <w:ind w:firstLine="480" w:firstLineChars="200"/>
        <w:rPr>
          <w:kern w:val="0"/>
          <w:sz w:val="24"/>
        </w:rPr>
      </w:pPr>
      <w:r>
        <w:rPr>
          <w:kern w:val="0"/>
          <w:sz w:val="24"/>
        </w:rPr>
        <w:t>施工期生态环境影响主要表现为：占用土地、土地利用功能发生变化、土石方的开挖、弃土弃渣堆放、建筑材料的堆放等可能破坏植被、引起水土流失以及对周围影响景观。</w:t>
      </w:r>
    </w:p>
    <w:p w14:paraId="2094DB90">
      <w:pPr>
        <w:spacing w:line="360" w:lineRule="auto"/>
        <w:ind w:firstLine="482" w:firstLineChars="200"/>
        <w:rPr>
          <w:b/>
          <w:kern w:val="0"/>
          <w:sz w:val="24"/>
        </w:rPr>
      </w:pPr>
      <w:r>
        <w:rPr>
          <w:b/>
          <w:kern w:val="0"/>
          <w:sz w:val="24"/>
        </w:rPr>
        <w:t>（1）对土地利用的影响</w:t>
      </w:r>
    </w:p>
    <w:p w14:paraId="18FFC197">
      <w:pPr>
        <w:spacing w:line="360" w:lineRule="auto"/>
        <w:ind w:firstLine="480" w:firstLineChars="200"/>
        <w:rPr>
          <w:kern w:val="0"/>
          <w:sz w:val="24"/>
        </w:rPr>
      </w:pPr>
      <w:r>
        <w:rPr>
          <w:kern w:val="0"/>
          <w:sz w:val="24"/>
        </w:rPr>
        <w:t>项目规划占地面积</w:t>
      </w:r>
      <w:r>
        <w:rPr>
          <w:snapToGrid w:val="0"/>
          <w:sz w:val="24"/>
        </w:rPr>
        <w:t>211526m</w:t>
      </w:r>
      <w:r>
        <w:rPr>
          <w:sz w:val="24"/>
          <w:vertAlign w:val="superscript"/>
        </w:rPr>
        <w:t>2</w:t>
      </w:r>
      <w:r>
        <w:rPr>
          <w:sz w:val="24"/>
        </w:rPr>
        <w:t>（317.29亩）</w:t>
      </w:r>
      <w:r>
        <w:rPr>
          <w:kern w:val="0"/>
          <w:sz w:val="24"/>
        </w:rPr>
        <w:t>，其中。项目扰动区域占地类型为旱地及草地。项目占用草地会使其生态价值降低，对局部生态环境会产生一定影响。由于项目占用草地面积不大，不会影响区域土地利用格局，且项目建成后将增加2hm</w:t>
      </w:r>
      <w:r>
        <w:rPr>
          <w:kern w:val="0"/>
          <w:sz w:val="24"/>
          <w:vertAlign w:val="superscript"/>
        </w:rPr>
        <w:t>2</w:t>
      </w:r>
      <w:r>
        <w:rPr>
          <w:kern w:val="0"/>
          <w:sz w:val="24"/>
        </w:rPr>
        <w:t>的人工绿化用地，在一定程度上减少项目占地的生态影响。</w:t>
      </w:r>
    </w:p>
    <w:p w14:paraId="01418565">
      <w:pPr>
        <w:spacing w:line="360" w:lineRule="auto"/>
        <w:ind w:firstLine="482" w:firstLineChars="200"/>
        <w:rPr>
          <w:b/>
          <w:kern w:val="0"/>
          <w:sz w:val="24"/>
        </w:rPr>
      </w:pPr>
      <w:r>
        <w:rPr>
          <w:b/>
          <w:kern w:val="0"/>
          <w:sz w:val="24"/>
        </w:rPr>
        <w:t>（2）对植物植被的影响</w:t>
      </w:r>
    </w:p>
    <w:p w14:paraId="0792AAFD">
      <w:pPr>
        <w:spacing w:line="360" w:lineRule="auto"/>
        <w:ind w:firstLine="480" w:firstLineChars="200"/>
        <w:rPr>
          <w:kern w:val="0"/>
          <w:sz w:val="24"/>
        </w:rPr>
      </w:pPr>
      <w:r>
        <w:rPr>
          <w:kern w:val="0"/>
          <w:sz w:val="24"/>
        </w:rPr>
        <w:t>项目工程扰动植被类型为旱地植被，占用自然植被将使其生态价值降低，对当地生态环境造成一定程度的负面影响，通过项目区绿化等措施，生态影响将有所降低；项目占地虽造成局部区域寒温草甸的面积有所减少，但不会造成该植被类型在评价区内消失，其影响可接受。</w:t>
      </w:r>
    </w:p>
    <w:p w14:paraId="4D124E04">
      <w:pPr>
        <w:spacing w:line="360" w:lineRule="auto"/>
        <w:ind w:firstLine="480" w:firstLineChars="200"/>
        <w:rPr>
          <w:kern w:val="0"/>
          <w:sz w:val="24"/>
        </w:rPr>
      </w:pPr>
      <w:r>
        <w:rPr>
          <w:kern w:val="0"/>
          <w:sz w:val="24"/>
        </w:rPr>
        <w:t>项目占地范围内的植被类型简单，群落结构不复杂，主要植物种类有云南松</w:t>
      </w:r>
      <w:r>
        <w:rPr>
          <w:i/>
          <w:kern w:val="0"/>
          <w:sz w:val="24"/>
        </w:rPr>
        <w:t>Pinus yunnanensis、</w:t>
      </w:r>
      <w:r>
        <w:rPr>
          <w:kern w:val="0"/>
          <w:sz w:val="24"/>
        </w:rPr>
        <w:t>马桑</w:t>
      </w:r>
      <w:r>
        <w:rPr>
          <w:bCs/>
          <w:i/>
          <w:kern w:val="0"/>
          <w:sz w:val="24"/>
        </w:rPr>
        <w:t>Coriaria nepalensis</w:t>
      </w:r>
      <w:r>
        <w:rPr>
          <w:kern w:val="0"/>
          <w:sz w:val="24"/>
        </w:rPr>
        <w:t>、鸡爪槭</w:t>
      </w:r>
      <w:r>
        <w:rPr>
          <w:i/>
          <w:kern w:val="0"/>
          <w:sz w:val="24"/>
        </w:rPr>
        <w:t>Acer palmatum</w:t>
      </w:r>
      <w:r>
        <w:rPr>
          <w:kern w:val="0"/>
          <w:sz w:val="24"/>
        </w:rPr>
        <w:t>、白刺花</w:t>
      </w:r>
      <w:r>
        <w:rPr>
          <w:bCs/>
          <w:i/>
          <w:kern w:val="0"/>
          <w:sz w:val="24"/>
        </w:rPr>
        <w:t>Sophora davidii</w:t>
      </w:r>
      <w:r>
        <w:rPr>
          <w:kern w:val="0"/>
          <w:sz w:val="24"/>
        </w:rPr>
        <w:t>、</w:t>
      </w:r>
      <w:r>
        <w:rPr>
          <w:bCs/>
          <w:kern w:val="0"/>
          <w:sz w:val="24"/>
        </w:rPr>
        <w:t>川滇金丝桃</w:t>
      </w:r>
      <w:r>
        <w:rPr>
          <w:bCs/>
          <w:i/>
          <w:kern w:val="0"/>
          <w:sz w:val="24"/>
        </w:rPr>
        <w:t>Hypericum forrestii、</w:t>
      </w:r>
      <w:r>
        <w:rPr>
          <w:kern w:val="0"/>
          <w:sz w:val="24"/>
        </w:rPr>
        <w:t>毛蕨菜</w:t>
      </w:r>
      <w:r>
        <w:rPr>
          <w:i/>
          <w:kern w:val="0"/>
          <w:sz w:val="24"/>
        </w:rPr>
        <w:fldChar w:fldCharType="begin"/>
      </w:r>
      <w:r>
        <w:rPr>
          <w:i/>
          <w:kern w:val="0"/>
          <w:sz w:val="24"/>
        </w:rPr>
        <w:instrText xml:space="preserve"> HYPERLINK "http://www.cfh.ac.cn/2382.sp" \t "_blank" </w:instrText>
      </w:r>
      <w:r>
        <w:rPr>
          <w:i/>
          <w:kern w:val="0"/>
          <w:sz w:val="24"/>
        </w:rPr>
        <w:fldChar w:fldCharType="separate"/>
      </w:r>
      <w:r>
        <w:rPr>
          <w:i/>
          <w:kern w:val="0"/>
          <w:sz w:val="24"/>
        </w:rPr>
        <w:t>Pteridium revolutum</w:t>
      </w:r>
      <w:r>
        <w:rPr>
          <w:i/>
          <w:kern w:val="0"/>
          <w:sz w:val="24"/>
        </w:rPr>
        <w:fldChar w:fldCharType="end"/>
      </w:r>
      <w:r>
        <w:rPr>
          <w:i/>
          <w:kern w:val="0"/>
          <w:sz w:val="24"/>
        </w:rPr>
        <w:t>、</w:t>
      </w:r>
      <w:r>
        <w:rPr>
          <w:bCs/>
          <w:kern w:val="0"/>
          <w:sz w:val="24"/>
        </w:rPr>
        <w:t>酢浆草</w:t>
      </w:r>
      <w:r>
        <w:rPr>
          <w:bCs/>
          <w:i/>
          <w:kern w:val="0"/>
          <w:sz w:val="24"/>
        </w:rPr>
        <w:t>Oxalis corniculata、</w:t>
      </w:r>
      <w:r>
        <w:rPr>
          <w:bCs/>
          <w:kern w:val="0"/>
          <w:sz w:val="24"/>
        </w:rPr>
        <w:t>西南委陵菜</w:t>
      </w:r>
      <w:r>
        <w:rPr>
          <w:bCs/>
          <w:i/>
          <w:kern w:val="0"/>
          <w:sz w:val="24"/>
        </w:rPr>
        <w:t>Potentilla fulgens、</w:t>
      </w:r>
      <w:r>
        <w:rPr>
          <w:bCs/>
          <w:kern w:val="0"/>
          <w:sz w:val="24"/>
        </w:rPr>
        <w:t>甘青蒿</w:t>
      </w:r>
      <w:r>
        <w:rPr>
          <w:bCs/>
          <w:i/>
          <w:kern w:val="0"/>
          <w:sz w:val="24"/>
        </w:rPr>
        <w:t>Artemisia tangutica、</w:t>
      </w:r>
      <w:r>
        <w:rPr>
          <w:bCs/>
          <w:kern w:val="0"/>
          <w:sz w:val="24"/>
        </w:rPr>
        <w:t>千里光</w:t>
      </w:r>
      <w:r>
        <w:rPr>
          <w:bCs/>
          <w:i/>
          <w:kern w:val="0"/>
          <w:sz w:val="24"/>
        </w:rPr>
        <w:t>Senecio scandens、</w:t>
      </w:r>
      <w:r>
        <w:rPr>
          <w:bCs/>
          <w:kern w:val="0"/>
          <w:sz w:val="24"/>
        </w:rPr>
        <w:t>羊茅</w:t>
      </w:r>
      <w:r>
        <w:rPr>
          <w:bCs/>
          <w:i/>
          <w:kern w:val="0"/>
          <w:sz w:val="24"/>
        </w:rPr>
        <w:t>Festuca pamirica、</w:t>
      </w:r>
      <w:r>
        <w:rPr>
          <w:bCs/>
          <w:kern w:val="0"/>
          <w:sz w:val="24"/>
        </w:rPr>
        <w:t>野青茅</w:t>
      </w:r>
      <w:r>
        <w:rPr>
          <w:bCs/>
          <w:i/>
          <w:kern w:val="0"/>
          <w:sz w:val="24"/>
        </w:rPr>
        <w:t>Deyeuxia arundinacea</w:t>
      </w:r>
      <w:r>
        <w:rPr>
          <w:bCs/>
          <w:kern w:val="0"/>
          <w:sz w:val="24"/>
        </w:rPr>
        <w:t>等，</w:t>
      </w:r>
      <w:r>
        <w:rPr>
          <w:kern w:val="0"/>
          <w:sz w:val="24"/>
        </w:rPr>
        <w:t>均为当地常见种，这些物种广泛分布于项目区占地区内外，个体数量较多。工程占用土地、扰动地表等将对评价区的这些植物造成影响，主要体现在导致评价区以上植物物种数量上的减少或生长不良，但不会对受影响的物种造成毁灭性影响，也不会对区域植物资源和物种多样性产生明显的不良影响，也不会导致评价区任何植物物种的消失。</w:t>
      </w:r>
    </w:p>
    <w:p w14:paraId="30C660EA">
      <w:pPr>
        <w:spacing w:line="360" w:lineRule="auto"/>
        <w:ind w:firstLine="480" w:firstLineChars="200"/>
        <w:rPr>
          <w:kern w:val="0"/>
          <w:sz w:val="24"/>
        </w:rPr>
      </w:pPr>
      <w:r>
        <w:rPr>
          <w:kern w:val="0"/>
          <w:sz w:val="24"/>
        </w:rPr>
        <w:t>因此，项目建设对评价区植物、植被影响不大。</w:t>
      </w:r>
    </w:p>
    <w:p w14:paraId="09097575">
      <w:pPr>
        <w:spacing w:line="360" w:lineRule="auto"/>
        <w:ind w:firstLine="482" w:firstLineChars="200"/>
        <w:rPr>
          <w:b/>
          <w:kern w:val="0"/>
          <w:sz w:val="24"/>
        </w:rPr>
      </w:pPr>
      <w:r>
        <w:rPr>
          <w:b/>
          <w:kern w:val="0"/>
          <w:sz w:val="24"/>
        </w:rPr>
        <w:t>（3）对陆栖脊椎动物的影响</w:t>
      </w:r>
    </w:p>
    <w:p w14:paraId="52B2CCEA">
      <w:pPr>
        <w:spacing w:line="360" w:lineRule="auto"/>
        <w:ind w:firstLine="480" w:firstLineChars="200"/>
        <w:rPr>
          <w:kern w:val="0"/>
          <w:sz w:val="24"/>
        </w:rPr>
      </w:pPr>
      <w:r>
        <w:rPr>
          <w:kern w:val="0"/>
          <w:sz w:val="24"/>
        </w:rPr>
        <w:t>项目建设植被破坏的同时，也破坏了原有生态环境中小型野生动物的栖息环境，加上施工机械噪声、人员活动产生的影响，对周围动物的生活造成干扰，使它们的生活收到威胁而迁徙，远离项目施工区域。在直接影响区，动物将不复存在。但项目施工扰动面积不大，且周围有大范围的与项目占地区相似的生境，项目施工过程中，项目区内动物可以迁徙到附近生境，由于其生态环境、气候等与项目区类似，迁徙动物能很快适应新的生存环境。因此，项目建设对评价区小型野生动物的类型及数量会产生一定负面影响，但影响不大。</w:t>
      </w:r>
    </w:p>
    <w:p w14:paraId="23606FCF">
      <w:pPr>
        <w:spacing w:line="360" w:lineRule="auto"/>
        <w:ind w:firstLine="482" w:firstLineChars="200"/>
        <w:rPr>
          <w:b/>
          <w:kern w:val="0"/>
          <w:sz w:val="24"/>
        </w:rPr>
      </w:pPr>
      <w:r>
        <w:rPr>
          <w:b/>
          <w:kern w:val="0"/>
          <w:sz w:val="24"/>
        </w:rPr>
        <w:t>（4）水土流失影响</w:t>
      </w:r>
    </w:p>
    <w:p w14:paraId="6272DFCD">
      <w:pPr>
        <w:spacing w:line="360" w:lineRule="auto"/>
        <w:ind w:firstLine="480" w:firstLineChars="200"/>
        <w:rPr>
          <w:kern w:val="0"/>
          <w:sz w:val="24"/>
        </w:rPr>
      </w:pPr>
      <w:r>
        <w:rPr>
          <w:kern w:val="0"/>
          <w:sz w:val="24"/>
        </w:rPr>
        <w:t>项目在建设过程中，占地区内的地表将遭受不同程度的扰动、破坏，局部地貌将发生较大的改变，如不采取任何防治措施，将造成水土流失。</w:t>
      </w:r>
    </w:p>
    <w:p w14:paraId="49AC8F90">
      <w:pPr>
        <w:spacing w:line="360" w:lineRule="auto"/>
        <w:ind w:firstLine="480" w:firstLineChars="200"/>
        <w:rPr>
          <w:kern w:val="0"/>
          <w:sz w:val="24"/>
        </w:rPr>
      </w:pPr>
      <w:r>
        <w:rPr>
          <w:kern w:val="0"/>
          <w:sz w:val="24"/>
        </w:rPr>
        <w:t>为了减轻施工期水土流失对环境的影响，项目施工过程应采取如下措施：</w:t>
      </w:r>
    </w:p>
    <w:p w14:paraId="3E836B03">
      <w:pPr>
        <w:pStyle w:val="10"/>
        <w:spacing w:line="360" w:lineRule="auto"/>
        <w:ind w:firstLine="480"/>
        <w:rPr>
          <w:sz w:val="24"/>
        </w:rPr>
      </w:pPr>
      <w:r>
        <w:rPr>
          <w:sz w:val="24"/>
        </w:rPr>
        <w:t>①项目施工期尽量避开雨季进行。</w:t>
      </w:r>
    </w:p>
    <w:p w14:paraId="3559AF38">
      <w:pPr>
        <w:pStyle w:val="10"/>
        <w:spacing w:line="360" w:lineRule="auto"/>
        <w:ind w:firstLine="480"/>
        <w:rPr>
          <w:sz w:val="24"/>
        </w:rPr>
      </w:pPr>
      <w:r>
        <w:rPr>
          <w:sz w:val="24"/>
        </w:rPr>
        <w:t>②施工过程中采取临时防护措施，在施工场地周围设临时排洪沟，松土及运走或压实，确保暴雨经雨冲刷不出现大量的水土流失。</w:t>
      </w:r>
    </w:p>
    <w:p w14:paraId="6CCAFF64">
      <w:pPr>
        <w:pStyle w:val="10"/>
        <w:spacing w:line="360" w:lineRule="auto"/>
        <w:ind w:firstLine="480"/>
        <w:rPr>
          <w:sz w:val="24"/>
        </w:rPr>
      </w:pPr>
      <w:r>
        <w:rPr>
          <w:sz w:val="24"/>
        </w:rPr>
        <w:t>③设备堆放场，材料堆放场的防径流冲刷应加强。土、渣应运至需土、渣地点作填方用。土、渣不得随意倾倒堆放、防止出现土、渣处置不妥而导致的水土流失。</w:t>
      </w:r>
    </w:p>
    <w:p w14:paraId="1642B0A3">
      <w:pPr>
        <w:pStyle w:val="10"/>
        <w:spacing w:line="360" w:lineRule="auto"/>
        <w:ind w:firstLine="480"/>
        <w:rPr>
          <w:sz w:val="24"/>
        </w:rPr>
      </w:pPr>
      <w:r>
        <w:rPr>
          <w:sz w:val="24"/>
        </w:rPr>
        <w:t>④制定土地整治、复原计划。搞好厂区的植树绿化，项目建成后厂区应无裸露地面。使厂区的水土保持功效逐步复原，生态环境逐步恢复和改善。</w:t>
      </w:r>
    </w:p>
    <w:p w14:paraId="485F7B5D">
      <w:pPr>
        <w:spacing w:line="360" w:lineRule="auto"/>
        <w:ind w:firstLine="480" w:firstLineChars="200"/>
        <w:rPr>
          <w:kern w:val="0"/>
          <w:sz w:val="24"/>
        </w:rPr>
      </w:pPr>
      <w:r>
        <w:rPr>
          <w:sz w:val="24"/>
        </w:rPr>
        <w:t>经上述措施处理后，项目施工期水土流失情况将有所改善，对环境的影响将有所减小，施工期结束后，尽快进行硬化及绿化，减少项目建设对生态环境的影响。</w:t>
      </w:r>
    </w:p>
    <w:p w14:paraId="49C942AB">
      <w:pPr>
        <w:spacing w:line="360" w:lineRule="auto"/>
        <w:ind w:firstLine="480" w:firstLineChars="200"/>
        <w:rPr>
          <w:kern w:val="0"/>
          <w:sz w:val="24"/>
        </w:rPr>
      </w:pPr>
    </w:p>
    <w:p w14:paraId="190F4148">
      <w:pPr>
        <w:pStyle w:val="1885"/>
        <w:ind w:firstLine="0" w:firstLineChars="0"/>
        <w:sectPr>
          <w:footerReference r:id="rId12" w:type="default"/>
          <w:footerReference r:id="rId13" w:type="even"/>
          <w:pgSz w:w="11906" w:h="16838"/>
          <w:pgMar w:top="1440" w:right="1797" w:bottom="1361" w:left="1797" w:header="851" w:footer="992" w:gutter="0"/>
          <w:cols w:space="720" w:num="1"/>
          <w:docGrid w:linePitch="312" w:charSpace="0"/>
        </w:sectPr>
      </w:pPr>
    </w:p>
    <w:bookmarkEnd w:id="97"/>
    <w:bookmarkEnd w:id="98"/>
    <w:bookmarkEnd w:id="99"/>
    <w:p w14:paraId="52428550">
      <w:pPr>
        <w:pStyle w:val="6"/>
        <w:spacing w:before="0" w:after="0" w:line="360" w:lineRule="auto"/>
        <w:rPr>
          <w:rFonts w:ascii="Times New Roman" w:hAnsi="Times New Roman" w:eastAsia="宋体"/>
          <w:sz w:val="30"/>
          <w:szCs w:val="30"/>
        </w:rPr>
      </w:pPr>
      <w:bookmarkStart w:id="144" w:name="_Toc3349"/>
      <w:r>
        <w:rPr>
          <w:rFonts w:ascii="Times New Roman" w:hAnsi="Times New Roman" w:eastAsia="宋体"/>
          <w:sz w:val="30"/>
          <w:szCs w:val="30"/>
        </w:rPr>
        <w:t>5.2运营期环境影响分析</w:t>
      </w:r>
      <w:bookmarkEnd w:id="144"/>
    </w:p>
    <w:p w14:paraId="49F87E3F">
      <w:pPr>
        <w:pStyle w:val="7"/>
        <w:spacing w:before="0" w:after="0" w:line="360" w:lineRule="auto"/>
        <w:rPr>
          <w:rFonts w:ascii="Times New Roman" w:hAnsi="Times New Roman"/>
          <w:sz w:val="28"/>
          <w:szCs w:val="28"/>
        </w:rPr>
      </w:pPr>
      <w:bookmarkStart w:id="145" w:name="_Toc313088769"/>
      <w:r>
        <w:rPr>
          <w:rFonts w:ascii="Times New Roman" w:hAnsi="Times New Roman"/>
          <w:sz w:val="28"/>
          <w:szCs w:val="28"/>
        </w:rPr>
        <w:t>5.2.1运营期大气环境影响分析</w:t>
      </w:r>
    </w:p>
    <w:bookmarkEnd w:id="145"/>
    <w:p w14:paraId="5D1230D5">
      <w:pPr>
        <w:spacing w:line="360" w:lineRule="auto"/>
        <w:ind w:firstLine="480" w:firstLineChars="200"/>
        <w:rPr>
          <w:sz w:val="24"/>
        </w:rPr>
      </w:pPr>
      <w:r>
        <w:rPr>
          <w:bCs/>
          <w:sz w:val="24"/>
        </w:rPr>
        <w:t>根据工程分析可知，</w:t>
      </w:r>
      <w:r>
        <w:rPr>
          <w:sz w:val="24"/>
        </w:rPr>
        <w:t>本项目产生的废气主要是猪舍、猪粪堆放发酵以及污水处理站产生的恶臭，污水处理站沼气、食堂油烟、沼气/天然气燃烧废气以及无害化处理车间废气。</w:t>
      </w:r>
    </w:p>
    <w:p w14:paraId="38E3F73C">
      <w:pPr>
        <w:pStyle w:val="8"/>
        <w:ind w:firstLine="562"/>
      </w:pPr>
      <w:r>
        <w:t>5.2.1.1环境空气影响分析</w:t>
      </w:r>
    </w:p>
    <w:p w14:paraId="73AB91AD">
      <w:pPr>
        <w:spacing w:line="360" w:lineRule="auto"/>
        <w:ind w:firstLine="482" w:firstLineChars="200"/>
        <w:rPr>
          <w:b/>
          <w:sz w:val="24"/>
        </w:rPr>
      </w:pPr>
      <w:r>
        <w:rPr>
          <w:b/>
          <w:bCs/>
          <w:sz w:val="24"/>
        </w:rPr>
        <w:t>（1）</w:t>
      </w:r>
      <w:r>
        <w:rPr>
          <w:b/>
          <w:sz w:val="24"/>
        </w:rPr>
        <w:t>项目区气象条件</w:t>
      </w:r>
    </w:p>
    <w:p w14:paraId="28785ACD">
      <w:pPr>
        <w:spacing w:line="360" w:lineRule="auto"/>
        <w:ind w:firstLine="480" w:firstLineChars="200"/>
        <w:rPr>
          <w:sz w:val="24"/>
        </w:rPr>
      </w:pPr>
      <w:r>
        <w:rPr>
          <w:sz w:val="24"/>
        </w:rPr>
        <w:t>石林气象站观测场海拔高度1680m，且气象站距离拟建项目较近，该气象站气象资料具有适用性。项目所在地区的各项气象要素值见表5.2-1。</w:t>
      </w:r>
    </w:p>
    <w:p w14:paraId="5B2976BE">
      <w:pPr>
        <w:spacing w:line="360" w:lineRule="auto"/>
        <w:jc w:val="center"/>
        <w:rPr>
          <w:rFonts w:eastAsia="黑体"/>
          <w:szCs w:val="21"/>
        </w:rPr>
        <w:sectPr>
          <w:pgSz w:w="11906" w:h="16838"/>
          <w:pgMar w:top="1440" w:right="1797" w:bottom="1361" w:left="1797" w:header="851" w:footer="1134" w:gutter="0"/>
          <w:cols w:space="720" w:num="1"/>
          <w:docGrid w:linePitch="312" w:charSpace="0"/>
        </w:sectPr>
      </w:pPr>
    </w:p>
    <w:p w14:paraId="4D780129">
      <w:pPr>
        <w:spacing w:line="360" w:lineRule="auto"/>
        <w:jc w:val="center"/>
        <w:rPr>
          <w:b/>
          <w:bCs/>
          <w:szCs w:val="21"/>
        </w:rPr>
      </w:pPr>
      <w:r>
        <w:rPr>
          <w:b/>
          <w:bCs/>
          <w:szCs w:val="21"/>
        </w:rPr>
        <w:t>表5.2-1 石林2000~2019年各年气象要素一览表</w:t>
      </w:r>
    </w:p>
    <w:tbl>
      <w:tblPr>
        <w:tblStyle w:val="87"/>
        <w:tblW w:w="4997" w:type="pct"/>
        <w:tblInd w:w="0" w:type="dxa"/>
        <w:tblLayout w:type="autofit"/>
        <w:tblCellMar>
          <w:top w:w="0" w:type="dxa"/>
          <w:left w:w="108" w:type="dxa"/>
          <w:bottom w:w="0" w:type="dxa"/>
          <w:right w:w="108" w:type="dxa"/>
        </w:tblCellMar>
      </w:tblPr>
      <w:tblGrid>
        <w:gridCol w:w="789"/>
        <w:gridCol w:w="721"/>
        <w:gridCol w:w="798"/>
        <w:gridCol w:w="981"/>
        <w:gridCol w:w="933"/>
        <w:gridCol w:w="1069"/>
        <w:gridCol w:w="467"/>
        <w:gridCol w:w="511"/>
        <w:gridCol w:w="539"/>
        <w:gridCol w:w="495"/>
        <w:gridCol w:w="467"/>
        <w:gridCol w:w="539"/>
        <w:gridCol w:w="539"/>
        <w:gridCol w:w="539"/>
        <w:gridCol w:w="467"/>
        <w:gridCol w:w="539"/>
        <w:gridCol w:w="610"/>
        <w:gridCol w:w="567"/>
        <w:gridCol w:w="539"/>
        <w:gridCol w:w="591"/>
        <w:gridCol w:w="455"/>
        <w:gridCol w:w="559"/>
        <w:gridCol w:w="539"/>
      </w:tblGrid>
      <w:tr w14:paraId="7D1EAFBB">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50968AA7">
            <w:pPr>
              <w:widowControl/>
              <w:jc w:val="center"/>
              <w:textAlignment w:val="center"/>
              <w:rPr>
                <w:sz w:val="18"/>
                <w:szCs w:val="18"/>
              </w:rPr>
            </w:pPr>
            <w:r>
              <w:rPr>
                <w:kern w:val="0"/>
                <w:sz w:val="18"/>
                <w:szCs w:val="18"/>
                <w:lang w:bidi="ar"/>
              </w:rPr>
              <w:t>年份</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03F9665B">
            <w:pPr>
              <w:widowControl/>
              <w:jc w:val="center"/>
              <w:textAlignment w:val="center"/>
              <w:rPr>
                <w:sz w:val="18"/>
                <w:szCs w:val="18"/>
              </w:rPr>
            </w:pPr>
            <w:r>
              <w:rPr>
                <w:kern w:val="0"/>
                <w:sz w:val="18"/>
                <w:szCs w:val="18"/>
                <w:lang w:bidi="ar"/>
              </w:rPr>
              <w:t>气温 ℃</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294B5701">
            <w:pPr>
              <w:widowControl/>
              <w:jc w:val="center"/>
              <w:textAlignment w:val="center"/>
              <w:rPr>
                <w:sz w:val="18"/>
                <w:szCs w:val="18"/>
              </w:rPr>
            </w:pPr>
            <w:r>
              <w:rPr>
                <w:kern w:val="0"/>
                <w:sz w:val="18"/>
                <w:szCs w:val="18"/>
                <w:lang w:bidi="ar"/>
              </w:rPr>
              <w:t>降水 mm</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30168A3A">
            <w:pPr>
              <w:widowControl/>
              <w:jc w:val="center"/>
              <w:textAlignment w:val="center"/>
              <w:rPr>
                <w:sz w:val="18"/>
                <w:szCs w:val="18"/>
              </w:rPr>
            </w:pPr>
            <w:r>
              <w:rPr>
                <w:kern w:val="0"/>
                <w:sz w:val="18"/>
                <w:szCs w:val="18"/>
                <w:lang w:bidi="ar"/>
              </w:rPr>
              <w:t>相对湿度 %</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53B2B991">
            <w:pPr>
              <w:widowControl/>
              <w:jc w:val="center"/>
              <w:textAlignment w:val="center"/>
              <w:rPr>
                <w:sz w:val="18"/>
                <w:szCs w:val="18"/>
              </w:rPr>
            </w:pPr>
            <w:r>
              <w:rPr>
                <w:kern w:val="0"/>
                <w:sz w:val="18"/>
                <w:szCs w:val="18"/>
                <w:lang w:bidi="ar"/>
              </w:rPr>
              <w:t>日照时长 h</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02493D7B">
            <w:pPr>
              <w:widowControl/>
              <w:jc w:val="center"/>
              <w:textAlignment w:val="center"/>
              <w:rPr>
                <w:sz w:val="18"/>
                <w:szCs w:val="18"/>
              </w:rPr>
            </w:pPr>
            <w:r>
              <w:rPr>
                <w:kern w:val="0"/>
                <w:sz w:val="18"/>
                <w:szCs w:val="18"/>
                <w:lang w:bidi="ar"/>
              </w:rPr>
              <w:t>平均风速 m/s</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4A16549">
            <w:pPr>
              <w:widowControl/>
              <w:jc w:val="center"/>
              <w:textAlignment w:val="center"/>
              <w:rPr>
                <w:sz w:val="18"/>
                <w:szCs w:val="18"/>
              </w:rPr>
            </w:pPr>
            <w:r>
              <w:rPr>
                <w:kern w:val="0"/>
                <w:sz w:val="18"/>
                <w:szCs w:val="18"/>
                <w:lang w:bidi="ar"/>
              </w:rPr>
              <w:t>N</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0FB25A9">
            <w:pPr>
              <w:widowControl/>
              <w:jc w:val="center"/>
              <w:textAlignment w:val="center"/>
              <w:rPr>
                <w:sz w:val="18"/>
                <w:szCs w:val="18"/>
              </w:rPr>
            </w:pPr>
            <w:r>
              <w:rPr>
                <w:kern w:val="0"/>
                <w:sz w:val="18"/>
                <w:szCs w:val="18"/>
                <w:lang w:bidi="ar"/>
              </w:rPr>
              <w:t>NNE</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0D4D343">
            <w:pPr>
              <w:widowControl/>
              <w:jc w:val="center"/>
              <w:textAlignment w:val="center"/>
              <w:rPr>
                <w:sz w:val="18"/>
                <w:szCs w:val="18"/>
              </w:rPr>
            </w:pPr>
            <w:r>
              <w:rPr>
                <w:kern w:val="0"/>
                <w:sz w:val="18"/>
                <w:szCs w:val="18"/>
                <w:lang w:bidi="ar"/>
              </w:rPr>
              <w:t>NE</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3FBCE57">
            <w:pPr>
              <w:widowControl/>
              <w:jc w:val="center"/>
              <w:textAlignment w:val="center"/>
              <w:rPr>
                <w:sz w:val="18"/>
                <w:szCs w:val="18"/>
              </w:rPr>
            </w:pPr>
            <w:r>
              <w:rPr>
                <w:kern w:val="0"/>
                <w:sz w:val="18"/>
                <w:szCs w:val="18"/>
                <w:lang w:bidi="ar"/>
              </w:rPr>
              <w:t>ENE</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63F1016">
            <w:pPr>
              <w:widowControl/>
              <w:jc w:val="center"/>
              <w:textAlignment w:val="center"/>
              <w:rPr>
                <w:sz w:val="18"/>
                <w:szCs w:val="18"/>
              </w:rPr>
            </w:pPr>
            <w:r>
              <w:rPr>
                <w:kern w:val="0"/>
                <w:sz w:val="18"/>
                <w:szCs w:val="18"/>
                <w:lang w:bidi="ar"/>
              </w:rPr>
              <w:t>E</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BF94B2D">
            <w:pPr>
              <w:widowControl/>
              <w:jc w:val="center"/>
              <w:textAlignment w:val="center"/>
              <w:rPr>
                <w:sz w:val="18"/>
                <w:szCs w:val="18"/>
              </w:rPr>
            </w:pPr>
            <w:r>
              <w:rPr>
                <w:kern w:val="0"/>
                <w:sz w:val="18"/>
                <w:szCs w:val="18"/>
                <w:lang w:bidi="ar"/>
              </w:rPr>
              <w:t>ESE</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7179854">
            <w:pPr>
              <w:widowControl/>
              <w:jc w:val="center"/>
              <w:textAlignment w:val="center"/>
              <w:rPr>
                <w:sz w:val="18"/>
                <w:szCs w:val="18"/>
              </w:rPr>
            </w:pPr>
            <w:r>
              <w:rPr>
                <w:kern w:val="0"/>
                <w:sz w:val="18"/>
                <w:szCs w:val="18"/>
                <w:lang w:bidi="ar"/>
              </w:rPr>
              <w:t>SE</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80DE5F9">
            <w:pPr>
              <w:widowControl/>
              <w:jc w:val="center"/>
              <w:textAlignment w:val="center"/>
              <w:rPr>
                <w:sz w:val="18"/>
                <w:szCs w:val="18"/>
              </w:rPr>
            </w:pPr>
            <w:r>
              <w:rPr>
                <w:kern w:val="0"/>
                <w:sz w:val="18"/>
                <w:szCs w:val="18"/>
                <w:lang w:bidi="ar"/>
              </w:rPr>
              <w:t>SSE</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43A7782D">
            <w:pPr>
              <w:widowControl/>
              <w:jc w:val="center"/>
              <w:textAlignment w:val="center"/>
              <w:rPr>
                <w:sz w:val="18"/>
                <w:szCs w:val="18"/>
              </w:rPr>
            </w:pPr>
            <w:r>
              <w:rPr>
                <w:kern w:val="0"/>
                <w:sz w:val="18"/>
                <w:szCs w:val="18"/>
                <w:lang w:bidi="ar"/>
              </w:rPr>
              <w:t>S</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0C25A6B">
            <w:pPr>
              <w:widowControl/>
              <w:jc w:val="center"/>
              <w:textAlignment w:val="center"/>
              <w:rPr>
                <w:sz w:val="18"/>
                <w:szCs w:val="18"/>
              </w:rPr>
            </w:pPr>
            <w:r>
              <w:rPr>
                <w:kern w:val="0"/>
                <w:sz w:val="18"/>
                <w:szCs w:val="18"/>
                <w:lang w:bidi="ar"/>
              </w:rPr>
              <w:t>SSW</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64472465">
            <w:pPr>
              <w:widowControl/>
              <w:jc w:val="center"/>
              <w:textAlignment w:val="center"/>
              <w:rPr>
                <w:sz w:val="18"/>
                <w:szCs w:val="18"/>
              </w:rPr>
            </w:pPr>
            <w:r>
              <w:rPr>
                <w:kern w:val="0"/>
                <w:sz w:val="18"/>
                <w:szCs w:val="18"/>
                <w:lang w:bidi="ar"/>
              </w:rPr>
              <w:t>SW</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6F48D4D">
            <w:pPr>
              <w:widowControl/>
              <w:jc w:val="center"/>
              <w:textAlignment w:val="center"/>
              <w:rPr>
                <w:sz w:val="18"/>
                <w:szCs w:val="18"/>
              </w:rPr>
            </w:pPr>
            <w:r>
              <w:rPr>
                <w:kern w:val="0"/>
                <w:sz w:val="18"/>
                <w:szCs w:val="18"/>
                <w:lang w:bidi="ar"/>
              </w:rPr>
              <w:t>WSW</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1B9B2A4">
            <w:pPr>
              <w:widowControl/>
              <w:jc w:val="center"/>
              <w:textAlignment w:val="center"/>
              <w:rPr>
                <w:sz w:val="18"/>
                <w:szCs w:val="18"/>
              </w:rPr>
            </w:pPr>
            <w:r>
              <w:rPr>
                <w:kern w:val="0"/>
                <w:sz w:val="18"/>
                <w:szCs w:val="18"/>
                <w:lang w:bidi="ar"/>
              </w:rPr>
              <w:t>W</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3599EB0">
            <w:pPr>
              <w:widowControl/>
              <w:jc w:val="center"/>
              <w:textAlignment w:val="center"/>
              <w:rPr>
                <w:sz w:val="18"/>
                <w:szCs w:val="18"/>
              </w:rPr>
            </w:pPr>
            <w:r>
              <w:rPr>
                <w:kern w:val="0"/>
                <w:sz w:val="18"/>
                <w:szCs w:val="18"/>
                <w:lang w:bidi="ar"/>
              </w:rPr>
              <w:t>WNW</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7EC08543">
            <w:pPr>
              <w:widowControl/>
              <w:jc w:val="center"/>
              <w:textAlignment w:val="center"/>
              <w:rPr>
                <w:sz w:val="18"/>
                <w:szCs w:val="18"/>
              </w:rPr>
            </w:pPr>
            <w:r>
              <w:rPr>
                <w:kern w:val="0"/>
                <w:sz w:val="18"/>
                <w:szCs w:val="18"/>
                <w:lang w:bidi="ar"/>
              </w:rPr>
              <w:t>NW</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24601A0">
            <w:pPr>
              <w:widowControl/>
              <w:jc w:val="center"/>
              <w:textAlignment w:val="center"/>
              <w:rPr>
                <w:sz w:val="18"/>
                <w:szCs w:val="18"/>
              </w:rPr>
            </w:pPr>
            <w:r>
              <w:rPr>
                <w:kern w:val="0"/>
                <w:sz w:val="18"/>
                <w:szCs w:val="18"/>
                <w:lang w:bidi="ar"/>
              </w:rPr>
              <w:t>NNW</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789DF78">
            <w:pPr>
              <w:widowControl/>
              <w:jc w:val="center"/>
              <w:textAlignment w:val="center"/>
              <w:rPr>
                <w:sz w:val="18"/>
                <w:szCs w:val="18"/>
              </w:rPr>
            </w:pPr>
            <w:r>
              <w:rPr>
                <w:kern w:val="0"/>
                <w:sz w:val="18"/>
                <w:szCs w:val="18"/>
                <w:lang w:bidi="ar"/>
              </w:rPr>
              <w:t>C</w:t>
            </w:r>
          </w:p>
        </w:tc>
      </w:tr>
      <w:tr w14:paraId="0756B243">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0A90E3AF">
            <w:pPr>
              <w:widowControl/>
              <w:jc w:val="center"/>
              <w:textAlignment w:val="center"/>
              <w:rPr>
                <w:sz w:val="18"/>
                <w:szCs w:val="18"/>
              </w:rPr>
            </w:pPr>
            <w:r>
              <w:rPr>
                <w:kern w:val="0"/>
                <w:sz w:val="18"/>
                <w:szCs w:val="18"/>
                <w:lang w:bidi="ar"/>
              </w:rPr>
              <w:t>2000</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543C1DC4">
            <w:pPr>
              <w:widowControl/>
              <w:jc w:val="center"/>
              <w:textAlignment w:val="center"/>
              <w:rPr>
                <w:sz w:val="18"/>
                <w:szCs w:val="18"/>
              </w:rPr>
            </w:pPr>
            <w:r>
              <w:rPr>
                <w:kern w:val="0"/>
                <w:sz w:val="18"/>
                <w:szCs w:val="18"/>
                <w:lang w:bidi="ar"/>
              </w:rPr>
              <w:t>16.2</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1839757C">
            <w:pPr>
              <w:widowControl/>
              <w:jc w:val="center"/>
              <w:textAlignment w:val="center"/>
              <w:rPr>
                <w:sz w:val="18"/>
                <w:szCs w:val="18"/>
              </w:rPr>
            </w:pPr>
            <w:r>
              <w:rPr>
                <w:kern w:val="0"/>
                <w:sz w:val="18"/>
                <w:szCs w:val="18"/>
                <w:lang w:bidi="ar"/>
              </w:rPr>
              <w:t>901.4</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57E53AC">
            <w:pPr>
              <w:widowControl/>
              <w:jc w:val="center"/>
              <w:textAlignment w:val="center"/>
              <w:rPr>
                <w:sz w:val="18"/>
                <w:szCs w:val="18"/>
              </w:rPr>
            </w:pPr>
            <w:r>
              <w:rPr>
                <w:kern w:val="0"/>
                <w:sz w:val="18"/>
                <w:szCs w:val="18"/>
                <w:lang w:bidi="ar"/>
              </w:rPr>
              <w:t>73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792AD0D9">
            <w:pPr>
              <w:widowControl/>
              <w:jc w:val="center"/>
              <w:textAlignment w:val="center"/>
              <w:rPr>
                <w:sz w:val="18"/>
                <w:szCs w:val="18"/>
              </w:rPr>
            </w:pPr>
            <w:r>
              <w:rPr>
                <w:kern w:val="0"/>
                <w:sz w:val="18"/>
                <w:szCs w:val="18"/>
                <w:lang w:bidi="ar"/>
              </w:rPr>
              <w:t>2050.2</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077E6624">
            <w:pPr>
              <w:widowControl/>
              <w:jc w:val="center"/>
              <w:textAlignment w:val="center"/>
              <w:rPr>
                <w:sz w:val="18"/>
                <w:szCs w:val="18"/>
              </w:rPr>
            </w:pPr>
            <w:r>
              <w:rPr>
                <w:kern w:val="0"/>
                <w:sz w:val="18"/>
                <w:szCs w:val="18"/>
                <w:lang w:bidi="ar"/>
              </w:rPr>
              <w:t>1.8</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817696D">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87283DE">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F4C8E31">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E8622E8">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FB445E7">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6FA072C">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B38DA00">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123E6FF">
            <w:pPr>
              <w:widowControl/>
              <w:jc w:val="center"/>
              <w:textAlignment w:val="center"/>
              <w:rPr>
                <w:sz w:val="18"/>
                <w:szCs w:val="18"/>
              </w:rPr>
            </w:pPr>
            <w:r>
              <w:rPr>
                <w:kern w:val="0"/>
                <w:sz w:val="18"/>
                <w:szCs w:val="18"/>
                <w:lang w:bidi="ar"/>
              </w:rPr>
              <w:t>3</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42C90A7C">
            <w:pPr>
              <w:widowControl/>
              <w:jc w:val="center"/>
              <w:textAlignment w:val="center"/>
              <w:rPr>
                <w:sz w:val="18"/>
                <w:szCs w:val="18"/>
              </w:rPr>
            </w:pPr>
            <w:r>
              <w:rPr>
                <w:kern w:val="0"/>
                <w:sz w:val="18"/>
                <w:szCs w:val="18"/>
                <w:lang w:bidi="ar"/>
              </w:rPr>
              <w:t>11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A548311">
            <w:pPr>
              <w:widowControl/>
              <w:jc w:val="center"/>
              <w:textAlignment w:val="center"/>
              <w:rPr>
                <w:sz w:val="18"/>
                <w:szCs w:val="18"/>
              </w:rPr>
            </w:pPr>
            <w:r>
              <w:rPr>
                <w:kern w:val="0"/>
                <w:sz w:val="18"/>
                <w:szCs w:val="18"/>
                <w:lang w:bidi="ar"/>
              </w:rPr>
              <w:t>15</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043D975E">
            <w:pPr>
              <w:widowControl/>
              <w:jc w:val="center"/>
              <w:textAlignment w:val="center"/>
              <w:rPr>
                <w:sz w:val="18"/>
                <w:szCs w:val="18"/>
              </w:rPr>
            </w:pPr>
            <w:r>
              <w:rPr>
                <w:kern w:val="0"/>
                <w:sz w:val="18"/>
                <w:szCs w:val="18"/>
                <w:lang w:bidi="ar"/>
              </w:rPr>
              <w:t>12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081FC74">
            <w:pPr>
              <w:widowControl/>
              <w:jc w:val="center"/>
              <w:textAlignment w:val="center"/>
              <w:rPr>
                <w:sz w:val="18"/>
                <w:szCs w:val="18"/>
              </w:rPr>
            </w:pPr>
            <w:r>
              <w:rPr>
                <w:kern w:val="0"/>
                <w:sz w:val="18"/>
                <w:szCs w:val="18"/>
                <w:lang w:bidi="ar"/>
              </w:rPr>
              <w:t>10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D0E1B7B">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F9109D5">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7E25BAF1">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8A43230">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845A63C">
            <w:pPr>
              <w:widowControl/>
              <w:jc w:val="center"/>
              <w:textAlignment w:val="center"/>
              <w:rPr>
                <w:sz w:val="18"/>
                <w:szCs w:val="18"/>
              </w:rPr>
            </w:pPr>
            <w:r>
              <w:rPr>
                <w:kern w:val="0"/>
                <w:sz w:val="18"/>
                <w:szCs w:val="18"/>
                <w:lang w:bidi="ar"/>
              </w:rPr>
              <w:t>33</w:t>
            </w:r>
          </w:p>
        </w:tc>
      </w:tr>
      <w:tr w14:paraId="55EA20D9">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3E4185F1">
            <w:pPr>
              <w:widowControl/>
              <w:jc w:val="center"/>
              <w:textAlignment w:val="center"/>
              <w:rPr>
                <w:sz w:val="18"/>
                <w:szCs w:val="18"/>
              </w:rPr>
            </w:pPr>
            <w:r>
              <w:rPr>
                <w:kern w:val="0"/>
                <w:sz w:val="18"/>
                <w:szCs w:val="18"/>
                <w:lang w:bidi="ar"/>
              </w:rPr>
              <w:t>2001</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67489887">
            <w:pPr>
              <w:widowControl/>
              <w:jc w:val="center"/>
              <w:textAlignment w:val="center"/>
              <w:rPr>
                <w:sz w:val="18"/>
                <w:szCs w:val="18"/>
              </w:rPr>
            </w:pPr>
            <w:r>
              <w:rPr>
                <w:kern w:val="0"/>
                <w:sz w:val="18"/>
                <w:szCs w:val="18"/>
                <w:lang w:bidi="ar"/>
              </w:rPr>
              <w:t>16.5</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4F6477BD">
            <w:pPr>
              <w:widowControl/>
              <w:jc w:val="center"/>
              <w:textAlignment w:val="center"/>
              <w:rPr>
                <w:sz w:val="18"/>
                <w:szCs w:val="18"/>
              </w:rPr>
            </w:pPr>
            <w:r>
              <w:rPr>
                <w:kern w:val="0"/>
                <w:sz w:val="18"/>
                <w:szCs w:val="18"/>
                <w:lang w:bidi="ar"/>
              </w:rPr>
              <w:t>931.8</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51F0CCBF">
            <w:pPr>
              <w:widowControl/>
              <w:jc w:val="center"/>
              <w:textAlignment w:val="center"/>
              <w:rPr>
                <w:sz w:val="18"/>
                <w:szCs w:val="18"/>
              </w:rPr>
            </w:pPr>
            <w:r>
              <w:rPr>
                <w:kern w:val="0"/>
                <w:sz w:val="18"/>
                <w:szCs w:val="18"/>
                <w:lang w:bidi="ar"/>
              </w:rPr>
              <w:t>73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519D3774">
            <w:pPr>
              <w:widowControl/>
              <w:jc w:val="center"/>
              <w:textAlignment w:val="center"/>
              <w:rPr>
                <w:sz w:val="18"/>
                <w:szCs w:val="18"/>
              </w:rPr>
            </w:pPr>
            <w:r>
              <w:rPr>
                <w:kern w:val="0"/>
                <w:sz w:val="18"/>
                <w:szCs w:val="18"/>
                <w:lang w:bidi="ar"/>
              </w:rPr>
              <w:t>2083.3</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73E9CBBA">
            <w:pPr>
              <w:widowControl/>
              <w:jc w:val="center"/>
              <w:textAlignment w:val="center"/>
              <w:rPr>
                <w:sz w:val="18"/>
                <w:szCs w:val="18"/>
              </w:rPr>
            </w:pPr>
            <w:r>
              <w:rPr>
                <w:kern w:val="0"/>
                <w:sz w:val="18"/>
                <w:szCs w:val="18"/>
                <w:lang w:bidi="ar"/>
              </w:rPr>
              <w:t>1.6</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DB54381">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A4DD95F">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D4839FC">
            <w:pPr>
              <w:widowControl/>
              <w:jc w:val="center"/>
              <w:textAlignment w:val="center"/>
              <w:rPr>
                <w:sz w:val="18"/>
                <w:szCs w:val="18"/>
              </w:rPr>
            </w:pPr>
            <w:r>
              <w:rPr>
                <w:kern w:val="0"/>
                <w:sz w:val="18"/>
                <w:szCs w:val="18"/>
                <w:lang w:bidi="ar"/>
              </w:rPr>
              <w:t>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F08DE93">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50D67BC">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6FA9CD0">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1495688">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0C66DE0">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128B6AE6">
            <w:pPr>
              <w:widowControl/>
              <w:jc w:val="center"/>
              <w:textAlignment w:val="center"/>
              <w:rPr>
                <w:sz w:val="18"/>
                <w:szCs w:val="18"/>
              </w:rPr>
            </w:pPr>
            <w:r>
              <w:rPr>
                <w:kern w:val="0"/>
                <w:sz w:val="18"/>
                <w:szCs w:val="18"/>
                <w:lang w:bidi="ar"/>
              </w:rPr>
              <w:t>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87FBCBE">
            <w:pPr>
              <w:widowControl/>
              <w:jc w:val="center"/>
              <w:textAlignment w:val="center"/>
              <w:rPr>
                <w:sz w:val="18"/>
                <w:szCs w:val="18"/>
              </w:rPr>
            </w:pPr>
            <w:r>
              <w:rPr>
                <w:kern w:val="0"/>
                <w:sz w:val="18"/>
                <w:szCs w:val="18"/>
                <w:lang w:bidi="ar"/>
              </w:rPr>
              <w:t>12</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1AC0A707">
            <w:pPr>
              <w:widowControl/>
              <w:jc w:val="center"/>
              <w:textAlignment w:val="center"/>
              <w:rPr>
                <w:sz w:val="18"/>
                <w:szCs w:val="18"/>
              </w:rPr>
            </w:pPr>
            <w:r>
              <w:rPr>
                <w:kern w:val="0"/>
                <w:sz w:val="18"/>
                <w:szCs w:val="18"/>
                <w:lang w:bidi="ar"/>
              </w:rPr>
              <w:t>12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3093720">
            <w:pPr>
              <w:widowControl/>
              <w:jc w:val="center"/>
              <w:textAlignment w:val="center"/>
              <w:rPr>
                <w:sz w:val="18"/>
                <w:szCs w:val="18"/>
              </w:rPr>
            </w:pPr>
            <w:r>
              <w:rPr>
                <w:kern w:val="0"/>
                <w:sz w:val="18"/>
                <w:szCs w:val="18"/>
                <w:lang w:bidi="ar"/>
              </w:rPr>
              <w:t>10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B122D7B">
            <w:pPr>
              <w:widowControl/>
              <w:jc w:val="center"/>
              <w:textAlignment w:val="center"/>
              <w:rPr>
                <w:sz w:val="18"/>
                <w:szCs w:val="18"/>
              </w:rPr>
            </w:pPr>
            <w:r>
              <w:rPr>
                <w:kern w:val="0"/>
                <w:sz w:val="18"/>
                <w:szCs w:val="18"/>
                <w:lang w:bidi="ar"/>
              </w:rPr>
              <w:t>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998AFF3">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0C02A7E3">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1CBEB0E">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71125D0">
            <w:pPr>
              <w:widowControl/>
              <w:jc w:val="center"/>
              <w:textAlignment w:val="center"/>
              <w:rPr>
                <w:sz w:val="18"/>
                <w:szCs w:val="18"/>
              </w:rPr>
            </w:pPr>
            <w:r>
              <w:rPr>
                <w:kern w:val="0"/>
                <w:sz w:val="18"/>
                <w:szCs w:val="18"/>
                <w:lang w:bidi="ar"/>
              </w:rPr>
              <w:t>36</w:t>
            </w:r>
          </w:p>
        </w:tc>
      </w:tr>
      <w:tr w14:paraId="5CF5F362">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08EDB47C">
            <w:pPr>
              <w:widowControl/>
              <w:jc w:val="center"/>
              <w:textAlignment w:val="center"/>
              <w:rPr>
                <w:sz w:val="18"/>
                <w:szCs w:val="18"/>
              </w:rPr>
            </w:pPr>
            <w:r>
              <w:rPr>
                <w:kern w:val="0"/>
                <w:sz w:val="18"/>
                <w:szCs w:val="18"/>
                <w:lang w:bidi="ar"/>
              </w:rPr>
              <w:t>2002</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1DA6BC1E">
            <w:pPr>
              <w:widowControl/>
              <w:jc w:val="center"/>
              <w:textAlignment w:val="center"/>
              <w:rPr>
                <w:sz w:val="18"/>
                <w:szCs w:val="18"/>
              </w:rPr>
            </w:pPr>
            <w:r>
              <w:rPr>
                <w:kern w:val="0"/>
                <w:sz w:val="18"/>
                <w:szCs w:val="18"/>
                <w:lang w:bidi="ar"/>
              </w:rPr>
              <w:t>16.8</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761F54C0">
            <w:pPr>
              <w:widowControl/>
              <w:jc w:val="center"/>
              <w:textAlignment w:val="center"/>
              <w:rPr>
                <w:sz w:val="18"/>
                <w:szCs w:val="18"/>
              </w:rPr>
            </w:pPr>
            <w:r>
              <w:rPr>
                <w:kern w:val="0"/>
                <w:sz w:val="18"/>
                <w:szCs w:val="18"/>
                <w:lang w:bidi="ar"/>
              </w:rPr>
              <w:t>971.2</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1BC2181">
            <w:pPr>
              <w:widowControl/>
              <w:jc w:val="center"/>
              <w:textAlignment w:val="center"/>
              <w:rPr>
                <w:sz w:val="18"/>
                <w:szCs w:val="18"/>
              </w:rPr>
            </w:pPr>
            <w:r>
              <w:rPr>
                <w:kern w:val="0"/>
                <w:sz w:val="18"/>
                <w:szCs w:val="18"/>
                <w:lang w:bidi="ar"/>
              </w:rPr>
              <w:t>71</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81F0D08">
            <w:pPr>
              <w:widowControl/>
              <w:jc w:val="center"/>
              <w:textAlignment w:val="center"/>
              <w:rPr>
                <w:sz w:val="18"/>
                <w:szCs w:val="18"/>
              </w:rPr>
            </w:pPr>
            <w:r>
              <w:rPr>
                <w:kern w:val="0"/>
                <w:sz w:val="18"/>
                <w:szCs w:val="18"/>
                <w:lang w:bidi="ar"/>
              </w:rPr>
              <w:t>2184.8</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39327FAF">
            <w:pPr>
              <w:widowControl/>
              <w:jc w:val="center"/>
              <w:textAlignment w:val="center"/>
              <w:rPr>
                <w:sz w:val="18"/>
                <w:szCs w:val="18"/>
              </w:rPr>
            </w:pPr>
            <w:r>
              <w:rPr>
                <w:kern w:val="0"/>
                <w:sz w:val="18"/>
                <w:szCs w:val="18"/>
                <w:lang w:bidi="ar"/>
              </w:rPr>
              <w:t>1.9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CCDD0B7">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6F39568">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3145B3C">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6A32098">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1206358">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FD20F20">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2A70367">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E421A83">
            <w:pPr>
              <w:widowControl/>
              <w:jc w:val="center"/>
              <w:textAlignment w:val="center"/>
              <w:rPr>
                <w:sz w:val="18"/>
                <w:szCs w:val="18"/>
              </w:rPr>
            </w:pPr>
            <w:r>
              <w:rPr>
                <w:kern w:val="0"/>
                <w:sz w:val="18"/>
                <w:szCs w:val="18"/>
                <w:lang w:bidi="ar"/>
              </w:rPr>
              <w:t>3</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65FFBADD">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2580C17">
            <w:pPr>
              <w:widowControl/>
              <w:jc w:val="center"/>
              <w:textAlignment w:val="center"/>
              <w:rPr>
                <w:sz w:val="18"/>
                <w:szCs w:val="18"/>
              </w:rPr>
            </w:pPr>
            <w:r>
              <w:rPr>
                <w:kern w:val="0"/>
                <w:sz w:val="18"/>
                <w:szCs w:val="18"/>
                <w:lang w:bidi="ar"/>
              </w:rPr>
              <w:t>13</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7C8796E5">
            <w:pPr>
              <w:widowControl/>
              <w:jc w:val="center"/>
              <w:textAlignment w:val="center"/>
              <w:rPr>
                <w:sz w:val="18"/>
                <w:szCs w:val="18"/>
              </w:rPr>
            </w:pPr>
            <w:r>
              <w:rPr>
                <w:kern w:val="0"/>
                <w:sz w:val="18"/>
                <w:szCs w:val="18"/>
                <w:lang w:bidi="ar"/>
              </w:rPr>
              <w:t>13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8468581">
            <w:pPr>
              <w:widowControl/>
              <w:jc w:val="center"/>
              <w:textAlignment w:val="center"/>
              <w:rPr>
                <w:sz w:val="18"/>
                <w:szCs w:val="18"/>
              </w:rPr>
            </w:pPr>
            <w:r>
              <w:rPr>
                <w:kern w:val="0"/>
                <w:sz w:val="18"/>
                <w:szCs w:val="18"/>
                <w:lang w:bidi="ar"/>
              </w:rPr>
              <w:t>13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87CF494">
            <w:pPr>
              <w:widowControl/>
              <w:jc w:val="center"/>
              <w:textAlignment w:val="center"/>
              <w:rPr>
                <w:sz w:val="18"/>
                <w:szCs w:val="18"/>
              </w:rPr>
            </w:pPr>
            <w:r>
              <w:rPr>
                <w:kern w:val="0"/>
                <w:sz w:val="18"/>
                <w:szCs w:val="18"/>
                <w:lang w:bidi="ar"/>
              </w:rPr>
              <w:t>6</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53EC3D0">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6106CFFF">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C72B857">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FF8DC68">
            <w:pPr>
              <w:widowControl/>
              <w:jc w:val="center"/>
              <w:textAlignment w:val="center"/>
              <w:rPr>
                <w:sz w:val="18"/>
                <w:szCs w:val="18"/>
              </w:rPr>
            </w:pPr>
            <w:r>
              <w:rPr>
                <w:kern w:val="0"/>
                <w:sz w:val="18"/>
                <w:szCs w:val="18"/>
                <w:lang w:bidi="ar"/>
              </w:rPr>
              <w:t>31</w:t>
            </w:r>
          </w:p>
        </w:tc>
      </w:tr>
      <w:tr w14:paraId="2DD3E12D">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28938B83">
            <w:pPr>
              <w:widowControl/>
              <w:jc w:val="center"/>
              <w:textAlignment w:val="center"/>
              <w:rPr>
                <w:sz w:val="18"/>
                <w:szCs w:val="18"/>
              </w:rPr>
            </w:pPr>
            <w:r>
              <w:rPr>
                <w:kern w:val="0"/>
                <w:sz w:val="18"/>
                <w:szCs w:val="18"/>
                <w:lang w:bidi="ar"/>
              </w:rPr>
              <w:t>2003</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036EEFE3">
            <w:pPr>
              <w:widowControl/>
              <w:jc w:val="center"/>
              <w:textAlignment w:val="center"/>
              <w:rPr>
                <w:sz w:val="18"/>
                <w:szCs w:val="18"/>
              </w:rPr>
            </w:pPr>
            <w:r>
              <w:rPr>
                <w:kern w:val="0"/>
                <w:sz w:val="18"/>
                <w:szCs w:val="18"/>
                <w:lang w:bidi="ar"/>
              </w:rPr>
              <w:t>17.2</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2A42C7FE">
            <w:pPr>
              <w:widowControl/>
              <w:jc w:val="center"/>
              <w:textAlignment w:val="center"/>
              <w:rPr>
                <w:sz w:val="18"/>
                <w:szCs w:val="18"/>
              </w:rPr>
            </w:pPr>
            <w:r>
              <w:rPr>
                <w:kern w:val="0"/>
                <w:sz w:val="18"/>
                <w:szCs w:val="18"/>
                <w:lang w:bidi="ar"/>
              </w:rPr>
              <w:t>890.5</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4748235">
            <w:pPr>
              <w:widowControl/>
              <w:jc w:val="center"/>
              <w:textAlignment w:val="center"/>
              <w:rPr>
                <w:sz w:val="18"/>
                <w:szCs w:val="18"/>
              </w:rPr>
            </w:pPr>
            <w:r>
              <w:rPr>
                <w:kern w:val="0"/>
                <w:sz w:val="18"/>
                <w:szCs w:val="18"/>
                <w:lang w:bidi="ar"/>
              </w:rPr>
              <w:t>70</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48AE21F">
            <w:pPr>
              <w:widowControl/>
              <w:jc w:val="center"/>
              <w:textAlignment w:val="center"/>
              <w:rPr>
                <w:sz w:val="18"/>
                <w:szCs w:val="18"/>
              </w:rPr>
            </w:pPr>
            <w:r>
              <w:rPr>
                <w:kern w:val="0"/>
                <w:sz w:val="18"/>
                <w:szCs w:val="18"/>
                <w:lang w:bidi="ar"/>
              </w:rPr>
              <w:t>2112.5</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7F490F24">
            <w:pPr>
              <w:widowControl/>
              <w:jc w:val="center"/>
              <w:textAlignment w:val="center"/>
              <w:rPr>
                <w:sz w:val="18"/>
                <w:szCs w:val="18"/>
              </w:rPr>
            </w:pPr>
            <w:r>
              <w:rPr>
                <w:kern w:val="0"/>
                <w:sz w:val="18"/>
                <w:szCs w:val="18"/>
                <w:lang w:bidi="ar"/>
              </w:rPr>
              <w:t>1.7</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1575D94">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4917078">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D39DE4D">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467AD68">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42027EA">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1C07E5D">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86DB5B1">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4D22542">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50A9799C">
            <w:pPr>
              <w:widowControl/>
              <w:jc w:val="center"/>
              <w:textAlignment w:val="center"/>
              <w:rPr>
                <w:sz w:val="18"/>
                <w:szCs w:val="18"/>
              </w:rPr>
            </w:pPr>
            <w:r>
              <w:rPr>
                <w:kern w:val="0"/>
                <w:sz w:val="18"/>
                <w:szCs w:val="18"/>
                <w:lang w:bidi="ar"/>
              </w:rPr>
              <w:t>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12F8481">
            <w:pPr>
              <w:widowControl/>
              <w:jc w:val="center"/>
              <w:textAlignment w:val="center"/>
              <w:rPr>
                <w:sz w:val="18"/>
                <w:szCs w:val="18"/>
              </w:rPr>
            </w:pPr>
            <w:r>
              <w:rPr>
                <w:kern w:val="0"/>
                <w:sz w:val="18"/>
                <w:szCs w:val="18"/>
                <w:lang w:bidi="ar"/>
              </w:rPr>
              <w:t>16</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29479C60">
            <w:pPr>
              <w:widowControl/>
              <w:jc w:val="center"/>
              <w:textAlignment w:val="center"/>
              <w:rPr>
                <w:sz w:val="18"/>
                <w:szCs w:val="18"/>
              </w:rPr>
            </w:pPr>
            <w:r>
              <w:rPr>
                <w:kern w:val="0"/>
                <w:sz w:val="18"/>
                <w:szCs w:val="18"/>
                <w:lang w:bidi="ar"/>
              </w:rPr>
              <w:t>14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6B67E9E">
            <w:pPr>
              <w:widowControl/>
              <w:jc w:val="center"/>
              <w:textAlignment w:val="center"/>
              <w:rPr>
                <w:sz w:val="18"/>
                <w:szCs w:val="18"/>
              </w:rPr>
            </w:pPr>
            <w:r>
              <w:rPr>
                <w:kern w:val="0"/>
                <w:sz w:val="18"/>
                <w:szCs w:val="18"/>
                <w:lang w:bidi="ar"/>
              </w:rPr>
              <w:t>12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15AF7E7">
            <w:pPr>
              <w:widowControl/>
              <w:jc w:val="center"/>
              <w:textAlignment w:val="center"/>
              <w:rPr>
                <w:sz w:val="18"/>
                <w:szCs w:val="18"/>
              </w:rPr>
            </w:pPr>
            <w:r>
              <w:rPr>
                <w:kern w:val="0"/>
                <w:sz w:val="18"/>
                <w:szCs w:val="18"/>
                <w:lang w:bidi="ar"/>
              </w:rPr>
              <w:t>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CB7FC98">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072C09BD">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C46648C">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D826F9A">
            <w:pPr>
              <w:widowControl/>
              <w:jc w:val="center"/>
              <w:textAlignment w:val="center"/>
              <w:rPr>
                <w:sz w:val="18"/>
                <w:szCs w:val="18"/>
              </w:rPr>
            </w:pPr>
            <w:r>
              <w:rPr>
                <w:kern w:val="0"/>
                <w:sz w:val="18"/>
                <w:szCs w:val="18"/>
                <w:lang w:bidi="ar"/>
              </w:rPr>
              <w:t>33</w:t>
            </w:r>
          </w:p>
        </w:tc>
      </w:tr>
      <w:tr w14:paraId="12980ECE">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0775D951">
            <w:pPr>
              <w:widowControl/>
              <w:jc w:val="center"/>
              <w:textAlignment w:val="center"/>
              <w:rPr>
                <w:sz w:val="18"/>
                <w:szCs w:val="18"/>
              </w:rPr>
            </w:pPr>
            <w:r>
              <w:rPr>
                <w:kern w:val="0"/>
                <w:sz w:val="18"/>
                <w:szCs w:val="18"/>
                <w:lang w:bidi="ar"/>
              </w:rPr>
              <w:t>2004</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3114954F">
            <w:pPr>
              <w:widowControl/>
              <w:jc w:val="center"/>
              <w:textAlignment w:val="center"/>
              <w:rPr>
                <w:sz w:val="18"/>
                <w:szCs w:val="18"/>
              </w:rPr>
            </w:pPr>
            <w:r>
              <w:rPr>
                <w:kern w:val="0"/>
                <w:sz w:val="18"/>
                <w:szCs w:val="18"/>
                <w:lang w:bidi="ar"/>
              </w:rPr>
              <w:t>16.4</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14995845">
            <w:pPr>
              <w:widowControl/>
              <w:jc w:val="center"/>
              <w:textAlignment w:val="center"/>
              <w:rPr>
                <w:sz w:val="18"/>
                <w:szCs w:val="18"/>
              </w:rPr>
            </w:pPr>
            <w:r>
              <w:rPr>
                <w:kern w:val="0"/>
                <w:sz w:val="18"/>
                <w:szCs w:val="18"/>
                <w:lang w:bidi="ar"/>
              </w:rPr>
              <w:t>947.1</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D54B4FA">
            <w:pPr>
              <w:widowControl/>
              <w:jc w:val="center"/>
              <w:textAlignment w:val="center"/>
              <w:rPr>
                <w:sz w:val="18"/>
                <w:szCs w:val="18"/>
              </w:rPr>
            </w:pPr>
            <w:r>
              <w:rPr>
                <w:kern w:val="0"/>
                <w:sz w:val="18"/>
                <w:szCs w:val="18"/>
                <w:lang w:bidi="ar"/>
              </w:rPr>
              <w:t>72</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0ACC25D">
            <w:pPr>
              <w:widowControl/>
              <w:jc w:val="center"/>
              <w:textAlignment w:val="center"/>
              <w:rPr>
                <w:sz w:val="18"/>
                <w:szCs w:val="18"/>
              </w:rPr>
            </w:pPr>
            <w:r>
              <w:rPr>
                <w:kern w:val="0"/>
                <w:sz w:val="18"/>
                <w:szCs w:val="18"/>
                <w:lang w:bidi="ar"/>
              </w:rPr>
              <w:t>1942.8</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1BC20985">
            <w:pPr>
              <w:widowControl/>
              <w:jc w:val="center"/>
              <w:textAlignment w:val="center"/>
              <w:rPr>
                <w:sz w:val="18"/>
                <w:szCs w:val="18"/>
              </w:rPr>
            </w:pPr>
            <w:r>
              <w:rPr>
                <w:kern w:val="0"/>
                <w:sz w:val="18"/>
                <w:szCs w:val="18"/>
                <w:lang w:bidi="ar"/>
              </w:rPr>
              <w:t>1.1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5DB837C">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0477135">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CB5F6C5">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6F69B61">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01483B1">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0F8F9A0">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AEE08F1">
            <w:pPr>
              <w:widowControl/>
              <w:jc w:val="center"/>
              <w:textAlignment w:val="center"/>
              <w:rPr>
                <w:sz w:val="18"/>
                <w:szCs w:val="18"/>
              </w:rPr>
            </w:pPr>
            <w:r>
              <w:rPr>
                <w:kern w:val="0"/>
                <w:sz w:val="18"/>
                <w:szCs w:val="18"/>
                <w:lang w:bidi="ar"/>
              </w:rPr>
              <w:t>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40D6484">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32BAF70F">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17F0AD8">
            <w:pPr>
              <w:widowControl/>
              <w:jc w:val="center"/>
              <w:textAlignment w:val="center"/>
              <w:rPr>
                <w:sz w:val="18"/>
                <w:szCs w:val="18"/>
              </w:rPr>
            </w:pPr>
            <w:r>
              <w:rPr>
                <w:kern w:val="0"/>
                <w:sz w:val="18"/>
                <w:szCs w:val="18"/>
                <w:lang w:bidi="ar"/>
              </w:rPr>
              <w:t>14</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63CDEC93">
            <w:pPr>
              <w:widowControl/>
              <w:jc w:val="center"/>
              <w:textAlignment w:val="center"/>
              <w:rPr>
                <w:sz w:val="18"/>
                <w:szCs w:val="18"/>
              </w:rPr>
            </w:pPr>
            <w:r>
              <w:rPr>
                <w:kern w:val="0"/>
                <w:sz w:val="18"/>
                <w:szCs w:val="18"/>
                <w:lang w:bidi="ar"/>
              </w:rPr>
              <w:t>12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53153C5">
            <w:pPr>
              <w:widowControl/>
              <w:jc w:val="center"/>
              <w:textAlignment w:val="center"/>
              <w:rPr>
                <w:sz w:val="18"/>
                <w:szCs w:val="18"/>
              </w:rPr>
            </w:pPr>
            <w:r>
              <w:rPr>
                <w:kern w:val="0"/>
                <w:sz w:val="18"/>
                <w:szCs w:val="18"/>
                <w:lang w:bidi="ar"/>
              </w:rPr>
              <w:t>11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7544A76">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2913D0F">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575EF6CD">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31CBA39">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C6C4445">
            <w:pPr>
              <w:widowControl/>
              <w:jc w:val="center"/>
              <w:textAlignment w:val="center"/>
              <w:rPr>
                <w:sz w:val="18"/>
                <w:szCs w:val="18"/>
              </w:rPr>
            </w:pPr>
            <w:r>
              <w:rPr>
                <w:kern w:val="0"/>
                <w:sz w:val="18"/>
                <w:szCs w:val="18"/>
                <w:lang w:bidi="ar"/>
              </w:rPr>
              <w:t>41</w:t>
            </w:r>
          </w:p>
        </w:tc>
      </w:tr>
      <w:tr w14:paraId="3AF33918">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44548234">
            <w:pPr>
              <w:widowControl/>
              <w:jc w:val="center"/>
              <w:textAlignment w:val="center"/>
              <w:rPr>
                <w:sz w:val="18"/>
                <w:szCs w:val="18"/>
              </w:rPr>
            </w:pPr>
            <w:r>
              <w:rPr>
                <w:kern w:val="0"/>
                <w:sz w:val="18"/>
                <w:szCs w:val="18"/>
                <w:lang w:bidi="ar"/>
              </w:rPr>
              <w:t>2005</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743C22FE">
            <w:pPr>
              <w:widowControl/>
              <w:jc w:val="center"/>
              <w:textAlignment w:val="center"/>
              <w:rPr>
                <w:sz w:val="18"/>
                <w:szCs w:val="18"/>
              </w:rPr>
            </w:pPr>
            <w:r>
              <w:rPr>
                <w:kern w:val="0"/>
                <w:sz w:val="18"/>
                <w:szCs w:val="18"/>
                <w:lang w:bidi="ar"/>
              </w:rPr>
              <w:t>17.1</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6B9E8348">
            <w:pPr>
              <w:widowControl/>
              <w:jc w:val="center"/>
              <w:textAlignment w:val="center"/>
              <w:rPr>
                <w:sz w:val="18"/>
                <w:szCs w:val="18"/>
              </w:rPr>
            </w:pPr>
            <w:r>
              <w:rPr>
                <w:kern w:val="0"/>
                <w:sz w:val="18"/>
                <w:szCs w:val="18"/>
                <w:lang w:bidi="ar"/>
              </w:rPr>
              <w:t>923.7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B8561B3">
            <w:pPr>
              <w:widowControl/>
              <w:jc w:val="center"/>
              <w:textAlignment w:val="center"/>
              <w:rPr>
                <w:sz w:val="18"/>
                <w:szCs w:val="18"/>
              </w:rPr>
            </w:pPr>
            <w:r>
              <w:rPr>
                <w:kern w:val="0"/>
                <w:sz w:val="18"/>
                <w:szCs w:val="18"/>
                <w:lang w:bidi="ar"/>
              </w:rPr>
              <w:t>70</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BFD2C67">
            <w:pPr>
              <w:widowControl/>
              <w:jc w:val="center"/>
              <w:textAlignment w:val="center"/>
              <w:rPr>
                <w:sz w:val="18"/>
                <w:szCs w:val="18"/>
              </w:rPr>
            </w:pPr>
            <w:r>
              <w:rPr>
                <w:kern w:val="0"/>
                <w:sz w:val="18"/>
                <w:szCs w:val="18"/>
                <w:lang w:bidi="ar"/>
              </w:rPr>
              <w:t>2008.3</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6707120B">
            <w:pPr>
              <w:widowControl/>
              <w:jc w:val="center"/>
              <w:textAlignment w:val="center"/>
              <w:rPr>
                <w:sz w:val="18"/>
                <w:szCs w:val="18"/>
              </w:rPr>
            </w:pPr>
            <w:r>
              <w:rPr>
                <w:kern w:val="0"/>
                <w:sz w:val="18"/>
                <w:szCs w:val="18"/>
                <w:lang w:bidi="ar"/>
              </w:rPr>
              <w:t>0.9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DDA954E">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97A8468">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A48BB97">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967A8CC">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A7F8162">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B6DBF70">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AAF334E">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91DCFE0">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322177D0">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B94F5CF">
            <w:pPr>
              <w:widowControl/>
              <w:jc w:val="center"/>
              <w:textAlignment w:val="center"/>
              <w:rPr>
                <w:sz w:val="18"/>
                <w:szCs w:val="18"/>
              </w:rPr>
            </w:pPr>
            <w:r>
              <w:rPr>
                <w:kern w:val="0"/>
                <w:sz w:val="18"/>
                <w:szCs w:val="18"/>
                <w:lang w:bidi="ar"/>
              </w:rPr>
              <w:t>10</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7739A239">
            <w:pPr>
              <w:widowControl/>
              <w:jc w:val="center"/>
              <w:textAlignment w:val="center"/>
              <w:rPr>
                <w:sz w:val="18"/>
                <w:szCs w:val="18"/>
              </w:rPr>
            </w:pPr>
            <w:r>
              <w:rPr>
                <w:kern w:val="0"/>
                <w:sz w:val="18"/>
                <w:szCs w:val="18"/>
                <w:lang w:bidi="ar"/>
              </w:rPr>
              <w:t>13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BF4911F">
            <w:pPr>
              <w:widowControl/>
              <w:jc w:val="center"/>
              <w:textAlignment w:val="center"/>
              <w:rPr>
                <w:sz w:val="18"/>
                <w:szCs w:val="18"/>
              </w:rPr>
            </w:pPr>
            <w:r>
              <w:rPr>
                <w:kern w:val="0"/>
                <w:sz w:val="18"/>
                <w:szCs w:val="18"/>
                <w:lang w:bidi="ar"/>
              </w:rPr>
              <w:t>10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FAEB262">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3FAF283">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3E368110">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DDF2697">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18917E7">
            <w:pPr>
              <w:widowControl/>
              <w:jc w:val="center"/>
              <w:textAlignment w:val="center"/>
              <w:rPr>
                <w:sz w:val="18"/>
                <w:szCs w:val="18"/>
              </w:rPr>
            </w:pPr>
            <w:r>
              <w:rPr>
                <w:kern w:val="0"/>
                <w:sz w:val="18"/>
                <w:szCs w:val="18"/>
                <w:lang w:bidi="ar"/>
              </w:rPr>
              <w:t>53</w:t>
            </w:r>
          </w:p>
        </w:tc>
      </w:tr>
      <w:tr w14:paraId="64DA5D66">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42D163B9">
            <w:pPr>
              <w:widowControl/>
              <w:jc w:val="center"/>
              <w:textAlignment w:val="center"/>
              <w:rPr>
                <w:sz w:val="18"/>
                <w:szCs w:val="18"/>
              </w:rPr>
            </w:pPr>
            <w:r>
              <w:rPr>
                <w:kern w:val="0"/>
                <w:sz w:val="18"/>
                <w:szCs w:val="18"/>
                <w:lang w:bidi="ar"/>
              </w:rPr>
              <w:t>2006</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675F3140">
            <w:pPr>
              <w:widowControl/>
              <w:jc w:val="center"/>
              <w:textAlignment w:val="center"/>
              <w:rPr>
                <w:sz w:val="18"/>
                <w:szCs w:val="18"/>
              </w:rPr>
            </w:pPr>
            <w:r>
              <w:rPr>
                <w:kern w:val="0"/>
                <w:sz w:val="18"/>
                <w:szCs w:val="18"/>
                <w:lang w:bidi="ar"/>
              </w:rPr>
              <w:t>17.2</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55A3F00B">
            <w:pPr>
              <w:widowControl/>
              <w:jc w:val="center"/>
              <w:textAlignment w:val="center"/>
              <w:rPr>
                <w:sz w:val="18"/>
                <w:szCs w:val="18"/>
              </w:rPr>
            </w:pPr>
            <w:r>
              <w:rPr>
                <w:kern w:val="0"/>
                <w:sz w:val="18"/>
                <w:szCs w:val="18"/>
                <w:lang w:bidi="ar"/>
              </w:rPr>
              <w:t>913.9</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43956376">
            <w:pPr>
              <w:widowControl/>
              <w:jc w:val="center"/>
              <w:textAlignment w:val="center"/>
              <w:rPr>
                <w:sz w:val="18"/>
                <w:szCs w:val="18"/>
              </w:rPr>
            </w:pPr>
            <w:r>
              <w:rPr>
                <w:kern w:val="0"/>
                <w:sz w:val="18"/>
                <w:szCs w:val="18"/>
                <w:lang w:bidi="ar"/>
              </w:rPr>
              <w:t>69</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3C74A86">
            <w:pPr>
              <w:widowControl/>
              <w:jc w:val="center"/>
              <w:textAlignment w:val="center"/>
              <w:rPr>
                <w:sz w:val="18"/>
                <w:szCs w:val="18"/>
              </w:rPr>
            </w:pPr>
            <w:r>
              <w:rPr>
                <w:kern w:val="0"/>
                <w:sz w:val="18"/>
                <w:szCs w:val="18"/>
                <w:lang w:bidi="ar"/>
              </w:rPr>
              <w:t>1818.6</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3BA23ECE">
            <w:pPr>
              <w:widowControl/>
              <w:jc w:val="center"/>
              <w:textAlignment w:val="center"/>
              <w:rPr>
                <w:sz w:val="18"/>
                <w:szCs w:val="18"/>
              </w:rPr>
            </w:pPr>
            <w:r>
              <w:rPr>
                <w:kern w:val="0"/>
                <w:sz w:val="18"/>
                <w:szCs w:val="18"/>
                <w:lang w:bidi="ar"/>
              </w:rPr>
              <w:t>0.9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4F94A7B">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CA23A9B">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9D14E84">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63FD3AF">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07F9C9F">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B39B124">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38C8292">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F9A70E2">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7BDB2ECB">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B144307">
            <w:pPr>
              <w:widowControl/>
              <w:jc w:val="center"/>
              <w:textAlignment w:val="center"/>
              <w:rPr>
                <w:sz w:val="18"/>
                <w:szCs w:val="18"/>
              </w:rPr>
            </w:pPr>
            <w:r>
              <w:rPr>
                <w:kern w:val="0"/>
                <w:sz w:val="18"/>
                <w:szCs w:val="18"/>
                <w:lang w:bidi="ar"/>
              </w:rPr>
              <w:t>13</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419E34A9">
            <w:pPr>
              <w:widowControl/>
              <w:jc w:val="center"/>
              <w:textAlignment w:val="center"/>
              <w:rPr>
                <w:sz w:val="18"/>
                <w:szCs w:val="18"/>
              </w:rPr>
            </w:pPr>
            <w:r>
              <w:rPr>
                <w:kern w:val="0"/>
                <w:sz w:val="18"/>
                <w:szCs w:val="18"/>
                <w:lang w:bidi="ar"/>
              </w:rPr>
              <w:t>14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F5A2D83">
            <w:pPr>
              <w:widowControl/>
              <w:jc w:val="center"/>
              <w:textAlignment w:val="center"/>
              <w:rPr>
                <w:sz w:val="18"/>
                <w:szCs w:val="18"/>
              </w:rPr>
            </w:pPr>
            <w:r>
              <w:rPr>
                <w:kern w:val="0"/>
                <w:sz w:val="18"/>
                <w:szCs w:val="18"/>
                <w:lang w:bidi="ar"/>
              </w:rPr>
              <w:t>11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526A441">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7DFCEE5">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76BEF570">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2B66627">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04CDE95">
            <w:pPr>
              <w:widowControl/>
              <w:jc w:val="center"/>
              <w:textAlignment w:val="center"/>
              <w:rPr>
                <w:sz w:val="18"/>
                <w:szCs w:val="18"/>
              </w:rPr>
            </w:pPr>
            <w:r>
              <w:rPr>
                <w:kern w:val="0"/>
                <w:sz w:val="18"/>
                <w:szCs w:val="18"/>
                <w:lang w:bidi="ar"/>
              </w:rPr>
              <w:t>48</w:t>
            </w:r>
          </w:p>
        </w:tc>
      </w:tr>
      <w:tr w14:paraId="7307486D">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692A218C">
            <w:pPr>
              <w:widowControl/>
              <w:jc w:val="center"/>
              <w:textAlignment w:val="center"/>
              <w:rPr>
                <w:sz w:val="18"/>
                <w:szCs w:val="18"/>
              </w:rPr>
            </w:pPr>
            <w:r>
              <w:rPr>
                <w:kern w:val="0"/>
                <w:sz w:val="18"/>
                <w:szCs w:val="18"/>
                <w:lang w:bidi="ar"/>
              </w:rPr>
              <w:t>2007</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6BF47CF4">
            <w:pPr>
              <w:widowControl/>
              <w:jc w:val="center"/>
              <w:textAlignment w:val="center"/>
              <w:rPr>
                <w:sz w:val="18"/>
                <w:szCs w:val="18"/>
              </w:rPr>
            </w:pPr>
            <w:r>
              <w:rPr>
                <w:kern w:val="0"/>
                <w:sz w:val="18"/>
                <w:szCs w:val="18"/>
                <w:lang w:bidi="ar"/>
              </w:rPr>
              <w:t>16.5</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3F9B0F88">
            <w:pPr>
              <w:widowControl/>
              <w:jc w:val="center"/>
              <w:textAlignment w:val="center"/>
              <w:rPr>
                <w:sz w:val="18"/>
                <w:szCs w:val="18"/>
              </w:rPr>
            </w:pPr>
            <w:r>
              <w:rPr>
                <w:kern w:val="0"/>
                <w:sz w:val="18"/>
                <w:szCs w:val="18"/>
                <w:lang w:bidi="ar"/>
              </w:rPr>
              <w:t>954.2</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418FF5B">
            <w:pPr>
              <w:widowControl/>
              <w:jc w:val="center"/>
              <w:textAlignment w:val="center"/>
              <w:rPr>
                <w:sz w:val="18"/>
                <w:szCs w:val="18"/>
              </w:rPr>
            </w:pPr>
            <w:r>
              <w:rPr>
                <w:kern w:val="0"/>
                <w:sz w:val="18"/>
                <w:szCs w:val="18"/>
                <w:lang w:bidi="ar"/>
              </w:rPr>
              <w:t>71</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C35CDB6">
            <w:pPr>
              <w:widowControl/>
              <w:jc w:val="center"/>
              <w:textAlignment w:val="center"/>
              <w:rPr>
                <w:sz w:val="18"/>
                <w:szCs w:val="18"/>
              </w:rPr>
            </w:pPr>
            <w:r>
              <w:rPr>
                <w:kern w:val="0"/>
                <w:sz w:val="18"/>
                <w:szCs w:val="18"/>
                <w:lang w:bidi="ar"/>
              </w:rPr>
              <w:t>1616.6</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290673DF">
            <w:pPr>
              <w:widowControl/>
              <w:jc w:val="center"/>
              <w:textAlignment w:val="center"/>
              <w:rPr>
                <w:sz w:val="18"/>
                <w:szCs w:val="18"/>
              </w:rPr>
            </w:pPr>
            <w:r>
              <w:rPr>
                <w:kern w:val="0"/>
                <w:sz w:val="18"/>
                <w:szCs w:val="18"/>
                <w:lang w:bidi="ar"/>
              </w:rPr>
              <w:t>0.9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7467799">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D88803B">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D419307">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DFA58D1">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7112348">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F0BE036">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6BA5E99">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D433631">
            <w:pPr>
              <w:widowControl/>
              <w:jc w:val="center"/>
              <w:textAlignment w:val="center"/>
              <w:rPr>
                <w:sz w:val="18"/>
                <w:szCs w:val="18"/>
              </w:rPr>
            </w:pPr>
            <w:r>
              <w:rPr>
                <w:kern w:val="0"/>
                <w:sz w:val="18"/>
                <w:szCs w:val="18"/>
                <w:lang w:bidi="ar"/>
              </w:rPr>
              <w:t>1</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5E00675A">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63F98F5">
            <w:pPr>
              <w:widowControl/>
              <w:jc w:val="center"/>
              <w:textAlignment w:val="center"/>
              <w:rPr>
                <w:sz w:val="18"/>
                <w:szCs w:val="18"/>
              </w:rPr>
            </w:pPr>
            <w:r>
              <w:rPr>
                <w:kern w:val="0"/>
                <w:sz w:val="18"/>
                <w:szCs w:val="18"/>
                <w:lang w:bidi="ar"/>
              </w:rPr>
              <w:t>15</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125BB49E">
            <w:pPr>
              <w:widowControl/>
              <w:jc w:val="center"/>
              <w:textAlignment w:val="center"/>
              <w:rPr>
                <w:sz w:val="18"/>
                <w:szCs w:val="18"/>
              </w:rPr>
            </w:pPr>
            <w:r>
              <w:rPr>
                <w:kern w:val="0"/>
                <w:sz w:val="18"/>
                <w:szCs w:val="18"/>
                <w:lang w:bidi="ar"/>
              </w:rPr>
              <w:t>14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4508045">
            <w:pPr>
              <w:widowControl/>
              <w:jc w:val="center"/>
              <w:textAlignment w:val="center"/>
              <w:rPr>
                <w:sz w:val="18"/>
                <w:szCs w:val="18"/>
              </w:rPr>
            </w:pPr>
            <w:r>
              <w:rPr>
                <w:kern w:val="0"/>
                <w:sz w:val="18"/>
                <w:szCs w:val="18"/>
                <w:lang w:bidi="ar"/>
              </w:rPr>
              <w:t>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46E73BF">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EBDD761">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14C8A633">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6BD0C2C">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24D5A9A">
            <w:pPr>
              <w:widowControl/>
              <w:jc w:val="center"/>
              <w:textAlignment w:val="center"/>
              <w:rPr>
                <w:sz w:val="18"/>
                <w:szCs w:val="18"/>
              </w:rPr>
            </w:pPr>
            <w:r>
              <w:rPr>
                <w:kern w:val="0"/>
                <w:sz w:val="18"/>
                <w:szCs w:val="18"/>
                <w:lang w:bidi="ar"/>
              </w:rPr>
              <w:t>54</w:t>
            </w:r>
          </w:p>
        </w:tc>
      </w:tr>
      <w:tr w14:paraId="7D6FE931">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28EBA88A">
            <w:pPr>
              <w:widowControl/>
              <w:jc w:val="center"/>
              <w:textAlignment w:val="center"/>
              <w:rPr>
                <w:sz w:val="18"/>
                <w:szCs w:val="18"/>
              </w:rPr>
            </w:pPr>
            <w:r>
              <w:rPr>
                <w:kern w:val="0"/>
                <w:sz w:val="18"/>
                <w:szCs w:val="18"/>
                <w:lang w:bidi="ar"/>
              </w:rPr>
              <w:t>2008</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444C88C4">
            <w:pPr>
              <w:widowControl/>
              <w:jc w:val="center"/>
              <w:textAlignment w:val="center"/>
              <w:rPr>
                <w:sz w:val="18"/>
                <w:szCs w:val="18"/>
              </w:rPr>
            </w:pPr>
            <w:r>
              <w:rPr>
                <w:kern w:val="0"/>
                <w:sz w:val="18"/>
                <w:szCs w:val="18"/>
                <w:lang w:bidi="ar"/>
              </w:rPr>
              <w:t>16.5</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0077783F">
            <w:pPr>
              <w:widowControl/>
              <w:jc w:val="center"/>
              <w:textAlignment w:val="center"/>
              <w:rPr>
                <w:sz w:val="18"/>
                <w:szCs w:val="18"/>
              </w:rPr>
            </w:pPr>
            <w:r>
              <w:rPr>
                <w:kern w:val="0"/>
                <w:sz w:val="18"/>
                <w:szCs w:val="18"/>
                <w:lang w:bidi="ar"/>
              </w:rPr>
              <w:t>1134.4</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A139DC4">
            <w:pPr>
              <w:widowControl/>
              <w:jc w:val="center"/>
              <w:textAlignment w:val="center"/>
              <w:rPr>
                <w:sz w:val="18"/>
                <w:szCs w:val="18"/>
              </w:rPr>
            </w:pPr>
            <w:r>
              <w:rPr>
                <w:kern w:val="0"/>
                <w:sz w:val="18"/>
                <w:szCs w:val="18"/>
                <w:lang w:bidi="ar"/>
              </w:rPr>
              <w:t>73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A36F311">
            <w:pPr>
              <w:widowControl/>
              <w:jc w:val="center"/>
              <w:textAlignment w:val="center"/>
              <w:rPr>
                <w:sz w:val="18"/>
                <w:szCs w:val="18"/>
              </w:rPr>
            </w:pPr>
            <w:r>
              <w:rPr>
                <w:kern w:val="0"/>
                <w:sz w:val="18"/>
                <w:szCs w:val="18"/>
                <w:lang w:bidi="ar"/>
              </w:rPr>
              <w:t>1753.2</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49730BEF">
            <w:pPr>
              <w:widowControl/>
              <w:jc w:val="center"/>
              <w:textAlignment w:val="center"/>
              <w:rPr>
                <w:sz w:val="18"/>
                <w:szCs w:val="18"/>
              </w:rPr>
            </w:pPr>
            <w:r>
              <w:rPr>
                <w:kern w:val="0"/>
                <w:sz w:val="18"/>
                <w:szCs w:val="18"/>
                <w:lang w:bidi="ar"/>
              </w:rPr>
              <w:t>0.9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1F1031B">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06AE97C">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AEFD6F4">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CBA24BC">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128E76A">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3BECF9C">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206AF13">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BF9214B">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614D750A">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4EAF95C">
            <w:pPr>
              <w:widowControl/>
              <w:jc w:val="center"/>
              <w:textAlignment w:val="center"/>
              <w:rPr>
                <w:sz w:val="18"/>
                <w:szCs w:val="18"/>
              </w:rPr>
            </w:pPr>
            <w:r>
              <w:rPr>
                <w:kern w:val="0"/>
                <w:sz w:val="18"/>
                <w:szCs w:val="18"/>
                <w:lang w:bidi="ar"/>
              </w:rPr>
              <w:t>18</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71EC24C3">
            <w:pPr>
              <w:widowControl/>
              <w:jc w:val="center"/>
              <w:textAlignment w:val="center"/>
              <w:rPr>
                <w:sz w:val="18"/>
                <w:szCs w:val="18"/>
              </w:rPr>
            </w:pPr>
            <w:r>
              <w:rPr>
                <w:kern w:val="0"/>
                <w:sz w:val="18"/>
                <w:szCs w:val="18"/>
                <w:lang w:bidi="ar"/>
              </w:rPr>
              <w:t>15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560C6BD">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1B21C9A">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0738D58">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15DD2947">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F4ACB27">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CDFE92E">
            <w:pPr>
              <w:widowControl/>
              <w:jc w:val="center"/>
              <w:textAlignment w:val="center"/>
              <w:rPr>
                <w:sz w:val="18"/>
                <w:szCs w:val="18"/>
              </w:rPr>
            </w:pPr>
            <w:r>
              <w:rPr>
                <w:kern w:val="0"/>
                <w:sz w:val="18"/>
                <w:szCs w:val="18"/>
                <w:lang w:bidi="ar"/>
              </w:rPr>
              <w:t>46</w:t>
            </w:r>
          </w:p>
        </w:tc>
      </w:tr>
      <w:tr w14:paraId="2FC77443">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25343B37">
            <w:pPr>
              <w:widowControl/>
              <w:jc w:val="center"/>
              <w:textAlignment w:val="center"/>
              <w:rPr>
                <w:sz w:val="18"/>
                <w:szCs w:val="18"/>
              </w:rPr>
            </w:pPr>
            <w:r>
              <w:rPr>
                <w:kern w:val="0"/>
                <w:sz w:val="18"/>
                <w:szCs w:val="18"/>
                <w:lang w:bidi="ar"/>
              </w:rPr>
              <w:t>2009</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2110B7CB">
            <w:pPr>
              <w:widowControl/>
              <w:jc w:val="center"/>
              <w:textAlignment w:val="center"/>
              <w:rPr>
                <w:sz w:val="18"/>
                <w:szCs w:val="18"/>
              </w:rPr>
            </w:pPr>
            <w:r>
              <w:rPr>
                <w:kern w:val="0"/>
                <w:sz w:val="18"/>
                <w:szCs w:val="18"/>
                <w:lang w:bidi="ar"/>
              </w:rPr>
              <w:t>17.5</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676BD762">
            <w:pPr>
              <w:widowControl/>
              <w:jc w:val="center"/>
              <w:textAlignment w:val="center"/>
              <w:rPr>
                <w:sz w:val="18"/>
                <w:szCs w:val="18"/>
              </w:rPr>
            </w:pPr>
            <w:r>
              <w:rPr>
                <w:kern w:val="0"/>
                <w:sz w:val="18"/>
                <w:szCs w:val="18"/>
                <w:lang w:bidi="ar"/>
              </w:rPr>
              <w:t>569.7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40192EE3">
            <w:pPr>
              <w:widowControl/>
              <w:jc w:val="center"/>
              <w:textAlignment w:val="center"/>
              <w:rPr>
                <w:sz w:val="18"/>
                <w:szCs w:val="18"/>
              </w:rPr>
            </w:pPr>
            <w:r>
              <w:rPr>
                <w:kern w:val="0"/>
                <w:sz w:val="18"/>
                <w:szCs w:val="18"/>
                <w:lang w:bidi="ar"/>
              </w:rPr>
              <w:t>68</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FE50DD6">
            <w:pPr>
              <w:widowControl/>
              <w:jc w:val="center"/>
              <w:textAlignment w:val="center"/>
              <w:rPr>
                <w:sz w:val="18"/>
                <w:szCs w:val="18"/>
              </w:rPr>
            </w:pPr>
            <w:r>
              <w:rPr>
                <w:kern w:val="0"/>
                <w:sz w:val="18"/>
                <w:szCs w:val="18"/>
                <w:lang w:bidi="ar"/>
              </w:rPr>
              <w:t>2374.1</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C63F3EA">
            <w:pPr>
              <w:widowControl/>
              <w:jc w:val="center"/>
              <w:textAlignment w:val="center"/>
              <w:rPr>
                <w:sz w:val="18"/>
                <w:szCs w:val="18"/>
              </w:rPr>
            </w:pPr>
            <w:r>
              <w:rPr>
                <w:kern w:val="0"/>
                <w:sz w:val="18"/>
                <w:szCs w:val="18"/>
                <w:lang w:bidi="ar"/>
              </w:rPr>
              <w:t>1.3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061A562">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B78C3C4">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FB364AA">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B958DE2">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CBEC25F">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FC10258">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E4DE64F">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91F0371">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4886F047">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A9FB456">
            <w:pPr>
              <w:widowControl/>
              <w:jc w:val="center"/>
              <w:textAlignment w:val="center"/>
              <w:rPr>
                <w:sz w:val="18"/>
                <w:szCs w:val="18"/>
              </w:rPr>
            </w:pPr>
            <w:r>
              <w:rPr>
                <w:kern w:val="0"/>
                <w:sz w:val="18"/>
                <w:szCs w:val="18"/>
                <w:lang w:bidi="ar"/>
              </w:rPr>
              <w:t>23</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23B15C54">
            <w:pPr>
              <w:widowControl/>
              <w:jc w:val="center"/>
              <w:textAlignment w:val="center"/>
              <w:rPr>
                <w:sz w:val="18"/>
                <w:szCs w:val="18"/>
              </w:rPr>
            </w:pPr>
            <w:r>
              <w:rPr>
                <w:kern w:val="0"/>
                <w:sz w:val="18"/>
                <w:szCs w:val="18"/>
                <w:lang w:bidi="ar"/>
              </w:rPr>
              <w:t>18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E23A250">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79FB8B5">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2D692B0">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4A57D894">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9C2A275">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075526F">
            <w:pPr>
              <w:widowControl/>
              <w:jc w:val="center"/>
              <w:textAlignment w:val="center"/>
              <w:rPr>
                <w:sz w:val="18"/>
                <w:szCs w:val="18"/>
              </w:rPr>
            </w:pPr>
            <w:r>
              <w:rPr>
                <w:kern w:val="0"/>
                <w:sz w:val="18"/>
                <w:szCs w:val="18"/>
                <w:lang w:bidi="ar"/>
              </w:rPr>
              <w:t>36</w:t>
            </w:r>
          </w:p>
        </w:tc>
      </w:tr>
      <w:tr w14:paraId="3CF10831">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756D73F5">
            <w:pPr>
              <w:widowControl/>
              <w:jc w:val="center"/>
              <w:textAlignment w:val="center"/>
              <w:rPr>
                <w:sz w:val="18"/>
                <w:szCs w:val="18"/>
              </w:rPr>
            </w:pPr>
            <w:r>
              <w:rPr>
                <w:kern w:val="0"/>
                <w:sz w:val="18"/>
                <w:szCs w:val="18"/>
                <w:lang w:bidi="ar"/>
              </w:rPr>
              <w:t>2010</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7C574145">
            <w:pPr>
              <w:widowControl/>
              <w:jc w:val="center"/>
              <w:textAlignment w:val="center"/>
              <w:rPr>
                <w:sz w:val="18"/>
                <w:szCs w:val="18"/>
              </w:rPr>
            </w:pPr>
            <w:r>
              <w:rPr>
                <w:kern w:val="0"/>
                <w:sz w:val="18"/>
                <w:szCs w:val="18"/>
                <w:lang w:bidi="ar"/>
              </w:rPr>
              <w:t>17.9</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0D705FFB">
            <w:pPr>
              <w:widowControl/>
              <w:jc w:val="center"/>
              <w:textAlignment w:val="center"/>
              <w:rPr>
                <w:sz w:val="18"/>
                <w:szCs w:val="18"/>
              </w:rPr>
            </w:pPr>
            <w:r>
              <w:rPr>
                <w:kern w:val="0"/>
                <w:sz w:val="18"/>
                <w:szCs w:val="18"/>
                <w:lang w:bidi="ar"/>
              </w:rPr>
              <w:t>856.4</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454EA4B5">
            <w:pPr>
              <w:widowControl/>
              <w:jc w:val="center"/>
              <w:textAlignment w:val="center"/>
              <w:rPr>
                <w:sz w:val="18"/>
                <w:szCs w:val="18"/>
              </w:rPr>
            </w:pPr>
            <w:r>
              <w:rPr>
                <w:kern w:val="0"/>
                <w:sz w:val="18"/>
                <w:szCs w:val="18"/>
                <w:lang w:bidi="ar"/>
              </w:rPr>
              <w:t>67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B21B243">
            <w:pPr>
              <w:widowControl/>
              <w:jc w:val="center"/>
              <w:textAlignment w:val="center"/>
              <w:rPr>
                <w:sz w:val="18"/>
                <w:szCs w:val="18"/>
              </w:rPr>
            </w:pPr>
            <w:r>
              <w:rPr>
                <w:kern w:val="0"/>
                <w:sz w:val="18"/>
                <w:szCs w:val="18"/>
                <w:lang w:bidi="ar"/>
              </w:rPr>
              <w:t>2211.5</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0C81FB66">
            <w:pPr>
              <w:widowControl/>
              <w:jc w:val="center"/>
              <w:textAlignment w:val="center"/>
              <w:rPr>
                <w:sz w:val="18"/>
                <w:szCs w:val="18"/>
              </w:rPr>
            </w:pPr>
            <w:r>
              <w:rPr>
                <w:kern w:val="0"/>
                <w:sz w:val="18"/>
                <w:szCs w:val="18"/>
                <w:lang w:bidi="ar"/>
              </w:rPr>
              <w:t>1.3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D7598C4">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78A9EFF">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9ADFBF6">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6469509">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C2FF2E3">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EE42924">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D7ED2C4">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0AD5E17">
            <w:pPr>
              <w:widowControl/>
              <w:jc w:val="center"/>
              <w:textAlignment w:val="center"/>
              <w:rPr>
                <w:sz w:val="18"/>
                <w:szCs w:val="18"/>
              </w:rPr>
            </w:pPr>
            <w:r>
              <w:rPr>
                <w:kern w:val="0"/>
                <w:sz w:val="18"/>
                <w:szCs w:val="18"/>
                <w:lang w:bidi="ar"/>
              </w:rPr>
              <w:t>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51AA30D7">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7F4F533">
            <w:pPr>
              <w:widowControl/>
              <w:jc w:val="center"/>
              <w:textAlignment w:val="center"/>
              <w:rPr>
                <w:sz w:val="18"/>
                <w:szCs w:val="18"/>
              </w:rPr>
            </w:pPr>
            <w:r>
              <w:rPr>
                <w:kern w:val="0"/>
                <w:sz w:val="18"/>
                <w:szCs w:val="18"/>
                <w:lang w:bidi="ar"/>
              </w:rPr>
              <w:t>27</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1FDE1358">
            <w:pPr>
              <w:widowControl/>
              <w:jc w:val="center"/>
              <w:textAlignment w:val="center"/>
              <w:rPr>
                <w:sz w:val="18"/>
                <w:szCs w:val="18"/>
              </w:rPr>
            </w:pPr>
            <w:r>
              <w:rPr>
                <w:kern w:val="0"/>
                <w:sz w:val="18"/>
                <w:szCs w:val="18"/>
                <w:lang w:bidi="ar"/>
              </w:rPr>
              <w:t>23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62B4509">
            <w:pPr>
              <w:widowControl/>
              <w:jc w:val="center"/>
              <w:textAlignment w:val="center"/>
              <w:rPr>
                <w:sz w:val="18"/>
                <w:szCs w:val="18"/>
              </w:rPr>
            </w:pPr>
            <w:r>
              <w:rPr>
                <w:kern w:val="0"/>
                <w:sz w:val="18"/>
                <w:szCs w:val="18"/>
                <w:lang w:bidi="ar"/>
              </w:rPr>
              <w:t>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D914D96">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602E889">
            <w:pPr>
              <w:widowControl/>
              <w:jc w:val="center"/>
              <w:textAlignment w:val="center"/>
              <w:rPr>
                <w:sz w:val="18"/>
                <w:szCs w:val="18"/>
              </w:rPr>
            </w:pPr>
            <w:r>
              <w:rPr>
                <w:kern w:val="0"/>
                <w:sz w:val="18"/>
                <w:szCs w:val="18"/>
                <w:lang w:bidi="ar"/>
              </w:rPr>
              <w:t>0</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65E9A35F">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89A30E0">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1F4F8AD">
            <w:pPr>
              <w:widowControl/>
              <w:jc w:val="center"/>
              <w:textAlignment w:val="center"/>
              <w:rPr>
                <w:sz w:val="18"/>
                <w:szCs w:val="18"/>
              </w:rPr>
            </w:pPr>
            <w:r>
              <w:rPr>
                <w:kern w:val="0"/>
                <w:sz w:val="18"/>
                <w:szCs w:val="18"/>
                <w:lang w:bidi="ar"/>
              </w:rPr>
              <w:t>24</w:t>
            </w:r>
          </w:p>
        </w:tc>
      </w:tr>
      <w:tr w14:paraId="558AC731">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07DC207D">
            <w:pPr>
              <w:widowControl/>
              <w:jc w:val="center"/>
              <w:textAlignment w:val="center"/>
              <w:rPr>
                <w:sz w:val="18"/>
                <w:szCs w:val="18"/>
              </w:rPr>
            </w:pPr>
            <w:r>
              <w:rPr>
                <w:kern w:val="0"/>
                <w:sz w:val="18"/>
                <w:szCs w:val="18"/>
                <w:lang w:bidi="ar"/>
              </w:rPr>
              <w:t>2011</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1DA49197">
            <w:pPr>
              <w:widowControl/>
              <w:jc w:val="center"/>
              <w:textAlignment w:val="center"/>
              <w:rPr>
                <w:sz w:val="18"/>
                <w:szCs w:val="18"/>
              </w:rPr>
            </w:pPr>
            <w:r>
              <w:rPr>
                <w:kern w:val="0"/>
                <w:sz w:val="18"/>
                <w:szCs w:val="18"/>
                <w:lang w:bidi="ar"/>
              </w:rPr>
              <w:t>16.1</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3ABBBD21">
            <w:pPr>
              <w:widowControl/>
              <w:jc w:val="center"/>
              <w:textAlignment w:val="center"/>
              <w:rPr>
                <w:sz w:val="18"/>
                <w:szCs w:val="18"/>
              </w:rPr>
            </w:pPr>
            <w:r>
              <w:rPr>
                <w:kern w:val="0"/>
                <w:sz w:val="18"/>
                <w:szCs w:val="18"/>
                <w:lang w:bidi="ar"/>
              </w:rPr>
              <w:t>550.6</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88BDCBB">
            <w:pPr>
              <w:widowControl/>
              <w:jc w:val="center"/>
              <w:textAlignment w:val="center"/>
              <w:rPr>
                <w:sz w:val="18"/>
                <w:szCs w:val="18"/>
              </w:rPr>
            </w:pPr>
            <w:r>
              <w:rPr>
                <w:kern w:val="0"/>
                <w:sz w:val="18"/>
                <w:szCs w:val="18"/>
                <w:lang w:bidi="ar"/>
              </w:rPr>
              <w:t>72</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9BD52B5">
            <w:pPr>
              <w:widowControl/>
              <w:jc w:val="center"/>
              <w:textAlignment w:val="center"/>
              <w:rPr>
                <w:sz w:val="18"/>
                <w:szCs w:val="18"/>
              </w:rPr>
            </w:pPr>
            <w:r>
              <w:rPr>
                <w:kern w:val="0"/>
                <w:sz w:val="18"/>
                <w:szCs w:val="18"/>
                <w:lang w:bidi="ar"/>
              </w:rPr>
              <w:t>2058.8</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509EFF8">
            <w:pPr>
              <w:widowControl/>
              <w:jc w:val="center"/>
              <w:textAlignment w:val="center"/>
              <w:rPr>
                <w:sz w:val="18"/>
                <w:szCs w:val="18"/>
              </w:rPr>
            </w:pPr>
            <w:r>
              <w:rPr>
                <w:kern w:val="0"/>
                <w:sz w:val="18"/>
                <w:szCs w:val="18"/>
                <w:lang w:bidi="ar"/>
              </w:rPr>
              <w:t>2.5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C04BE1F">
            <w:pPr>
              <w:widowControl/>
              <w:jc w:val="center"/>
              <w:textAlignment w:val="center"/>
              <w:rPr>
                <w:sz w:val="18"/>
                <w:szCs w:val="18"/>
              </w:rPr>
            </w:pPr>
            <w:r>
              <w:rPr>
                <w:kern w:val="0"/>
                <w:sz w:val="18"/>
                <w:szCs w:val="18"/>
                <w:lang w:bidi="ar"/>
              </w:rPr>
              <w:t>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E038452">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FBE558C">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2A15F32">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082B8C9">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C57B3E3">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0040A57">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3E92835">
            <w:pPr>
              <w:widowControl/>
              <w:jc w:val="center"/>
              <w:textAlignment w:val="center"/>
              <w:rPr>
                <w:sz w:val="18"/>
                <w:szCs w:val="18"/>
              </w:rPr>
            </w:pPr>
            <w:r>
              <w:rPr>
                <w:kern w:val="0"/>
                <w:sz w:val="18"/>
                <w:szCs w:val="18"/>
                <w:lang w:bidi="ar"/>
              </w:rPr>
              <w:t>6</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775CEC3F">
            <w:pPr>
              <w:widowControl/>
              <w:jc w:val="center"/>
              <w:textAlignment w:val="center"/>
              <w:rPr>
                <w:sz w:val="18"/>
                <w:szCs w:val="18"/>
              </w:rPr>
            </w:pPr>
            <w:r>
              <w:rPr>
                <w:kern w:val="0"/>
                <w:sz w:val="18"/>
                <w:szCs w:val="18"/>
                <w:lang w:bidi="ar"/>
              </w:rPr>
              <w:t>19</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7C940FD">
            <w:pPr>
              <w:widowControl/>
              <w:jc w:val="center"/>
              <w:textAlignment w:val="center"/>
              <w:rPr>
                <w:sz w:val="18"/>
                <w:szCs w:val="18"/>
              </w:rPr>
            </w:pPr>
            <w:r>
              <w:rPr>
                <w:kern w:val="0"/>
                <w:sz w:val="18"/>
                <w:szCs w:val="18"/>
                <w:lang w:bidi="ar"/>
              </w:rPr>
              <w:t>27</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23C266F2">
            <w:pPr>
              <w:widowControl/>
              <w:jc w:val="center"/>
              <w:textAlignment w:val="center"/>
              <w:rPr>
                <w:sz w:val="18"/>
                <w:szCs w:val="18"/>
              </w:rPr>
            </w:pPr>
            <w:r>
              <w:rPr>
                <w:kern w:val="0"/>
                <w:sz w:val="18"/>
                <w:szCs w:val="18"/>
                <w:lang w:bidi="ar"/>
              </w:rPr>
              <w:t>13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ECF430A">
            <w:pPr>
              <w:widowControl/>
              <w:jc w:val="center"/>
              <w:textAlignment w:val="center"/>
              <w:rPr>
                <w:sz w:val="18"/>
                <w:szCs w:val="18"/>
              </w:rPr>
            </w:pPr>
            <w:r>
              <w:rPr>
                <w:kern w:val="0"/>
                <w:sz w:val="18"/>
                <w:szCs w:val="18"/>
                <w:lang w:bidi="ar"/>
              </w:rPr>
              <w:t>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57ED665">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A2AACFB">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45695E56">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6CD7295">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CD78C15">
            <w:pPr>
              <w:widowControl/>
              <w:jc w:val="center"/>
              <w:textAlignment w:val="center"/>
              <w:rPr>
                <w:sz w:val="18"/>
                <w:szCs w:val="18"/>
              </w:rPr>
            </w:pPr>
            <w:r>
              <w:rPr>
                <w:kern w:val="0"/>
                <w:sz w:val="18"/>
                <w:szCs w:val="18"/>
                <w:lang w:bidi="ar"/>
              </w:rPr>
              <w:t>6</w:t>
            </w:r>
          </w:p>
        </w:tc>
      </w:tr>
      <w:tr w14:paraId="32A6481F">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74849AB8">
            <w:pPr>
              <w:widowControl/>
              <w:jc w:val="center"/>
              <w:textAlignment w:val="center"/>
              <w:rPr>
                <w:sz w:val="18"/>
                <w:szCs w:val="18"/>
              </w:rPr>
            </w:pPr>
            <w:r>
              <w:rPr>
                <w:kern w:val="0"/>
                <w:sz w:val="18"/>
                <w:szCs w:val="18"/>
                <w:lang w:bidi="ar"/>
              </w:rPr>
              <w:t>2012</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4C536A58">
            <w:pPr>
              <w:widowControl/>
              <w:jc w:val="center"/>
              <w:textAlignment w:val="center"/>
              <w:rPr>
                <w:sz w:val="18"/>
                <w:szCs w:val="18"/>
              </w:rPr>
            </w:pPr>
            <w:r>
              <w:rPr>
                <w:kern w:val="0"/>
                <w:sz w:val="18"/>
                <w:szCs w:val="18"/>
                <w:lang w:bidi="ar"/>
              </w:rPr>
              <w:t>17.6</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1B8069FD">
            <w:pPr>
              <w:widowControl/>
              <w:jc w:val="center"/>
              <w:textAlignment w:val="center"/>
              <w:rPr>
                <w:sz w:val="18"/>
                <w:szCs w:val="18"/>
              </w:rPr>
            </w:pPr>
            <w:r>
              <w:rPr>
                <w:kern w:val="0"/>
                <w:sz w:val="18"/>
                <w:szCs w:val="18"/>
                <w:lang w:bidi="ar"/>
              </w:rPr>
              <w:t>778.4</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C90F80D">
            <w:pPr>
              <w:widowControl/>
              <w:jc w:val="center"/>
              <w:textAlignment w:val="center"/>
              <w:rPr>
                <w:sz w:val="18"/>
                <w:szCs w:val="18"/>
              </w:rPr>
            </w:pPr>
            <w:r>
              <w:rPr>
                <w:kern w:val="0"/>
                <w:sz w:val="18"/>
                <w:szCs w:val="18"/>
                <w:lang w:bidi="ar"/>
              </w:rPr>
              <w:t>65</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7BD9E8CE">
            <w:pPr>
              <w:widowControl/>
              <w:jc w:val="center"/>
              <w:textAlignment w:val="center"/>
              <w:rPr>
                <w:sz w:val="18"/>
                <w:szCs w:val="18"/>
              </w:rPr>
            </w:pPr>
            <w:r>
              <w:rPr>
                <w:kern w:val="0"/>
                <w:sz w:val="18"/>
                <w:szCs w:val="18"/>
                <w:lang w:bidi="ar"/>
              </w:rPr>
              <w:t>2499.9</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6F1BDFD0">
            <w:pPr>
              <w:widowControl/>
              <w:jc w:val="center"/>
              <w:textAlignment w:val="center"/>
              <w:rPr>
                <w:sz w:val="18"/>
                <w:szCs w:val="18"/>
              </w:rPr>
            </w:pPr>
            <w:r>
              <w:rPr>
                <w:kern w:val="0"/>
                <w:sz w:val="18"/>
                <w:szCs w:val="18"/>
                <w:lang w:bidi="ar"/>
              </w:rPr>
              <w:t>2.8</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0D2A66D">
            <w:pPr>
              <w:widowControl/>
              <w:jc w:val="center"/>
              <w:textAlignment w:val="center"/>
              <w:rPr>
                <w:sz w:val="18"/>
                <w:szCs w:val="18"/>
              </w:rPr>
            </w:pPr>
            <w:r>
              <w:rPr>
                <w:kern w:val="0"/>
                <w:sz w:val="18"/>
                <w:szCs w:val="18"/>
                <w:lang w:bidi="ar"/>
              </w:rPr>
              <w:t>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1438661">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ED12700">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49F6750">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94944D1">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62C8504">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248F20F">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62712F1">
            <w:pPr>
              <w:widowControl/>
              <w:jc w:val="center"/>
              <w:textAlignment w:val="center"/>
              <w:rPr>
                <w:sz w:val="18"/>
                <w:szCs w:val="18"/>
              </w:rPr>
            </w:pPr>
            <w:r>
              <w:rPr>
                <w:kern w:val="0"/>
                <w:sz w:val="18"/>
                <w:szCs w:val="18"/>
                <w:lang w:bidi="ar"/>
              </w:rPr>
              <w:t>5</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6875F60B">
            <w:pPr>
              <w:widowControl/>
              <w:jc w:val="center"/>
              <w:textAlignment w:val="center"/>
              <w:rPr>
                <w:sz w:val="18"/>
                <w:szCs w:val="18"/>
              </w:rPr>
            </w:pPr>
            <w:r>
              <w:rPr>
                <w:kern w:val="0"/>
                <w:sz w:val="18"/>
                <w:szCs w:val="18"/>
                <w:lang w:bidi="ar"/>
              </w:rPr>
              <w:t>17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1218FC1">
            <w:pPr>
              <w:widowControl/>
              <w:jc w:val="center"/>
              <w:textAlignment w:val="center"/>
              <w:rPr>
                <w:sz w:val="18"/>
                <w:szCs w:val="18"/>
              </w:rPr>
            </w:pPr>
            <w:r>
              <w:rPr>
                <w:kern w:val="0"/>
                <w:sz w:val="18"/>
                <w:szCs w:val="18"/>
                <w:lang w:bidi="ar"/>
              </w:rPr>
              <w:t>29</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7E4D2B5B">
            <w:pPr>
              <w:widowControl/>
              <w:jc w:val="center"/>
              <w:textAlignment w:val="center"/>
              <w:rPr>
                <w:sz w:val="18"/>
                <w:szCs w:val="18"/>
              </w:rPr>
            </w:pPr>
            <w:r>
              <w:rPr>
                <w:kern w:val="0"/>
                <w:sz w:val="18"/>
                <w:szCs w:val="18"/>
                <w:lang w:bidi="ar"/>
              </w:rPr>
              <w:t>17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42E4593">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62785FE">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E08AC0F">
            <w:pPr>
              <w:widowControl/>
              <w:jc w:val="center"/>
              <w:textAlignment w:val="center"/>
              <w:rPr>
                <w:sz w:val="18"/>
                <w:szCs w:val="18"/>
              </w:rPr>
            </w:pPr>
            <w:r>
              <w:rPr>
                <w:kern w:val="0"/>
                <w:sz w:val="18"/>
                <w:szCs w:val="18"/>
                <w:lang w:bidi="ar"/>
              </w:rPr>
              <w:t>2</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46650926">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6766D9B">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735708E">
            <w:pPr>
              <w:widowControl/>
              <w:jc w:val="center"/>
              <w:textAlignment w:val="center"/>
              <w:rPr>
                <w:sz w:val="18"/>
                <w:szCs w:val="18"/>
              </w:rPr>
            </w:pPr>
            <w:r>
              <w:rPr>
                <w:kern w:val="0"/>
                <w:sz w:val="18"/>
                <w:szCs w:val="18"/>
                <w:lang w:bidi="ar"/>
              </w:rPr>
              <w:t>3</w:t>
            </w:r>
          </w:p>
        </w:tc>
      </w:tr>
      <w:tr w14:paraId="70309BA5">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49F91B79">
            <w:pPr>
              <w:widowControl/>
              <w:jc w:val="center"/>
              <w:textAlignment w:val="center"/>
              <w:rPr>
                <w:sz w:val="18"/>
                <w:szCs w:val="18"/>
              </w:rPr>
            </w:pPr>
            <w:r>
              <w:rPr>
                <w:kern w:val="0"/>
                <w:sz w:val="18"/>
                <w:szCs w:val="18"/>
                <w:lang w:bidi="ar"/>
              </w:rPr>
              <w:t>2013</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7E99AAD6">
            <w:pPr>
              <w:widowControl/>
              <w:jc w:val="center"/>
              <w:textAlignment w:val="center"/>
              <w:rPr>
                <w:sz w:val="18"/>
                <w:szCs w:val="18"/>
              </w:rPr>
            </w:pPr>
            <w:r>
              <w:rPr>
                <w:kern w:val="0"/>
                <w:sz w:val="18"/>
                <w:szCs w:val="18"/>
                <w:lang w:bidi="ar"/>
              </w:rPr>
              <w:t>16.9</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3D716769">
            <w:pPr>
              <w:widowControl/>
              <w:jc w:val="center"/>
              <w:textAlignment w:val="center"/>
              <w:rPr>
                <w:sz w:val="18"/>
                <w:szCs w:val="18"/>
              </w:rPr>
            </w:pPr>
            <w:r>
              <w:rPr>
                <w:kern w:val="0"/>
                <w:sz w:val="18"/>
                <w:szCs w:val="18"/>
                <w:lang w:bidi="ar"/>
              </w:rPr>
              <w:t>852.9</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1ACD2CA">
            <w:pPr>
              <w:widowControl/>
              <w:jc w:val="center"/>
              <w:textAlignment w:val="center"/>
              <w:rPr>
                <w:sz w:val="18"/>
                <w:szCs w:val="18"/>
              </w:rPr>
            </w:pPr>
            <w:r>
              <w:rPr>
                <w:kern w:val="0"/>
                <w:sz w:val="18"/>
                <w:szCs w:val="18"/>
                <w:lang w:bidi="ar"/>
              </w:rPr>
              <w:t>67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C43D132">
            <w:pPr>
              <w:widowControl/>
              <w:jc w:val="center"/>
              <w:textAlignment w:val="center"/>
              <w:rPr>
                <w:sz w:val="18"/>
                <w:szCs w:val="18"/>
              </w:rPr>
            </w:pPr>
            <w:r>
              <w:rPr>
                <w:kern w:val="0"/>
                <w:sz w:val="18"/>
                <w:szCs w:val="18"/>
                <w:lang w:bidi="ar"/>
              </w:rPr>
              <w:t>2202.2</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352D1992">
            <w:pPr>
              <w:widowControl/>
              <w:jc w:val="center"/>
              <w:textAlignment w:val="center"/>
              <w:rPr>
                <w:sz w:val="18"/>
                <w:szCs w:val="18"/>
              </w:rPr>
            </w:pPr>
            <w:r>
              <w:rPr>
                <w:kern w:val="0"/>
                <w:sz w:val="18"/>
                <w:szCs w:val="18"/>
                <w:lang w:bidi="ar"/>
              </w:rPr>
              <w:t>2.3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D50F42A">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B0BD730">
            <w:pPr>
              <w:widowControl/>
              <w:jc w:val="center"/>
              <w:textAlignment w:val="center"/>
              <w:rPr>
                <w:sz w:val="18"/>
                <w:szCs w:val="18"/>
              </w:rPr>
            </w:pPr>
            <w:r>
              <w:rPr>
                <w:kern w:val="0"/>
                <w:sz w:val="18"/>
                <w:szCs w:val="18"/>
                <w:lang w:bidi="ar"/>
              </w:rPr>
              <w:t>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A50D2ED">
            <w:pPr>
              <w:widowControl/>
              <w:jc w:val="center"/>
              <w:textAlignment w:val="center"/>
              <w:rPr>
                <w:sz w:val="18"/>
                <w:szCs w:val="18"/>
              </w:rPr>
            </w:pPr>
            <w:r>
              <w:rPr>
                <w:kern w:val="0"/>
                <w:sz w:val="18"/>
                <w:szCs w:val="18"/>
                <w:lang w:bidi="ar"/>
              </w:rPr>
              <w:t>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5F4F72E">
            <w:pPr>
              <w:widowControl/>
              <w:jc w:val="center"/>
              <w:textAlignment w:val="center"/>
              <w:rPr>
                <w:sz w:val="18"/>
                <w:szCs w:val="18"/>
              </w:rPr>
            </w:pPr>
            <w:r>
              <w:rPr>
                <w:kern w:val="0"/>
                <w:sz w:val="18"/>
                <w:szCs w:val="18"/>
                <w:lang w:bidi="ar"/>
              </w:rPr>
              <w:t>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DACBC17">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23A1C8A">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9609C55">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73D6ECF">
            <w:pPr>
              <w:widowControl/>
              <w:jc w:val="center"/>
              <w:textAlignment w:val="center"/>
              <w:rPr>
                <w:sz w:val="18"/>
                <w:szCs w:val="18"/>
              </w:rPr>
            </w:pPr>
            <w:r>
              <w:rPr>
                <w:kern w:val="0"/>
                <w:sz w:val="18"/>
                <w:szCs w:val="18"/>
                <w:lang w:bidi="ar"/>
              </w:rPr>
              <w:t>6</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25C1C138">
            <w:pPr>
              <w:widowControl/>
              <w:jc w:val="center"/>
              <w:textAlignment w:val="center"/>
              <w:rPr>
                <w:sz w:val="18"/>
                <w:szCs w:val="18"/>
              </w:rPr>
            </w:pPr>
            <w:r>
              <w:rPr>
                <w:kern w:val="0"/>
                <w:sz w:val="18"/>
                <w:szCs w:val="18"/>
                <w:lang w:bidi="ar"/>
              </w:rPr>
              <w:t>15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A3FB9A5">
            <w:pPr>
              <w:widowControl/>
              <w:jc w:val="center"/>
              <w:textAlignment w:val="center"/>
              <w:rPr>
                <w:sz w:val="18"/>
                <w:szCs w:val="18"/>
              </w:rPr>
            </w:pPr>
            <w:r>
              <w:rPr>
                <w:kern w:val="0"/>
                <w:sz w:val="18"/>
                <w:szCs w:val="18"/>
                <w:lang w:bidi="ar"/>
              </w:rPr>
              <w:t>24</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5E6388B9">
            <w:pPr>
              <w:widowControl/>
              <w:jc w:val="center"/>
              <w:textAlignment w:val="center"/>
              <w:rPr>
                <w:sz w:val="18"/>
                <w:szCs w:val="18"/>
              </w:rPr>
            </w:pPr>
            <w:r>
              <w:rPr>
                <w:kern w:val="0"/>
                <w:sz w:val="18"/>
                <w:szCs w:val="18"/>
                <w:lang w:bidi="ar"/>
              </w:rPr>
              <w:t>17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EAA37D7">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9FBE47D">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3C84D26">
            <w:pPr>
              <w:widowControl/>
              <w:jc w:val="center"/>
              <w:textAlignment w:val="center"/>
              <w:rPr>
                <w:sz w:val="18"/>
                <w:szCs w:val="18"/>
              </w:rPr>
            </w:pPr>
            <w:r>
              <w:rPr>
                <w:kern w:val="0"/>
                <w:sz w:val="18"/>
                <w:szCs w:val="18"/>
                <w:lang w:bidi="ar"/>
              </w:rPr>
              <w:t>2</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0356890D">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4A29242">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6652D3F">
            <w:pPr>
              <w:widowControl/>
              <w:jc w:val="center"/>
              <w:textAlignment w:val="center"/>
              <w:rPr>
                <w:sz w:val="18"/>
                <w:szCs w:val="18"/>
              </w:rPr>
            </w:pPr>
            <w:r>
              <w:rPr>
                <w:kern w:val="0"/>
                <w:sz w:val="18"/>
                <w:szCs w:val="18"/>
                <w:lang w:bidi="ar"/>
              </w:rPr>
              <w:t>4</w:t>
            </w:r>
          </w:p>
        </w:tc>
      </w:tr>
      <w:tr w14:paraId="205D2C71">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24C8A895">
            <w:pPr>
              <w:widowControl/>
              <w:jc w:val="center"/>
              <w:textAlignment w:val="center"/>
              <w:rPr>
                <w:sz w:val="18"/>
                <w:szCs w:val="18"/>
              </w:rPr>
            </w:pPr>
            <w:r>
              <w:rPr>
                <w:kern w:val="0"/>
                <w:sz w:val="18"/>
                <w:szCs w:val="18"/>
                <w:lang w:bidi="ar"/>
              </w:rPr>
              <w:t>2014</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4ED49FCA">
            <w:pPr>
              <w:widowControl/>
              <w:jc w:val="center"/>
              <w:textAlignment w:val="center"/>
              <w:rPr>
                <w:sz w:val="18"/>
                <w:szCs w:val="18"/>
              </w:rPr>
            </w:pPr>
            <w:r>
              <w:rPr>
                <w:kern w:val="0"/>
                <w:sz w:val="18"/>
                <w:szCs w:val="18"/>
                <w:lang w:bidi="ar"/>
              </w:rPr>
              <w:t>17.2</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06000604">
            <w:pPr>
              <w:widowControl/>
              <w:jc w:val="center"/>
              <w:textAlignment w:val="center"/>
              <w:rPr>
                <w:sz w:val="18"/>
                <w:szCs w:val="18"/>
              </w:rPr>
            </w:pPr>
            <w:r>
              <w:rPr>
                <w:kern w:val="0"/>
                <w:sz w:val="18"/>
                <w:szCs w:val="18"/>
                <w:lang w:bidi="ar"/>
              </w:rPr>
              <w:t>1008.3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5D6CCD64">
            <w:pPr>
              <w:widowControl/>
              <w:jc w:val="center"/>
              <w:textAlignment w:val="center"/>
              <w:rPr>
                <w:sz w:val="18"/>
                <w:szCs w:val="18"/>
              </w:rPr>
            </w:pPr>
            <w:r>
              <w:rPr>
                <w:kern w:val="0"/>
                <w:sz w:val="18"/>
                <w:szCs w:val="18"/>
                <w:lang w:bidi="ar"/>
              </w:rPr>
              <w:t>67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A3B461A">
            <w:pPr>
              <w:widowControl/>
              <w:jc w:val="center"/>
              <w:textAlignment w:val="center"/>
              <w:rPr>
                <w:sz w:val="18"/>
                <w:szCs w:val="18"/>
              </w:rPr>
            </w:pPr>
            <w:r>
              <w:rPr>
                <w:kern w:val="0"/>
                <w:sz w:val="18"/>
                <w:szCs w:val="18"/>
                <w:lang w:bidi="ar"/>
              </w:rPr>
              <w:t>2436.7</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31339DA8">
            <w:pPr>
              <w:widowControl/>
              <w:jc w:val="center"/>
              <w:textAlignment w:val="center"/>
              <w:rPr>
                <w:sz w:val="18"/>
                <w:szCs w:val="18"/>
              </w:rPr>
            </w:pPr>
            <w:r>
              <w:rPr>
                <w:kern w:val="0"/>
                <w:sz w:val="18"/>
                <w:szCs w:val="18"/>
                <w:lang w:bidi="ar"/>
              </w:rPr>
              <w:t>2.3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6D77867">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CE288A6">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54CAEB4">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5D8E13D">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F5E532B">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557DF90">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D516A01">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4AD218E">
            <w:pPr>
              <w:widowControl/>
              <w:jc w:val="center"/>
              <w:textAlignment w:val="center"/>
              <w:rPr>
                <w:sz w:val="18"/>
                <w:szCs w:val="18"/>
              </w:rPr>
            </w:pPr>
            <w:r>
              <w:rPr>
                <w:kern w:val="0"/>
                <w:sz w:val="18"/>
                <w:szCs w:val="18"/>
                <w:lang w:bidi="ar"/>
              </w:rPr>
              <w:t>6</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474AFC5C">
            <w:pPr>
              <w:widowControl/>
              <w:jc w:val="center"/>
              <w:textAlignment w:val="center"/>
              <w:rPr>
                <w:sz w:val="18"/>
                <w:szCs w:val="18"/>
              </w:rPr>
            </w:pPr>
            <w:r>
              <w:rPr>
                <w:kern w:val="0"/>
                <w:sz w:val="18"/>
                <w:szCs w:val="18"/>
                <w:lang w:bidi="ar"/>
              </w:rPr>
              <w:t>13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7916A32">
            <w:pPr>
              <w:widowControl/>
              <w:jc w:val="center"/>
              <w:textAlignment w:val="center"/>
              <w:rPr>
                <w:sz w:val="18"/>
                <w:szCs w:val="18"/>
              </w:rPr>
            </w:pPr>
            <w:r>
              <w:rPr>
                <w:kern w:val="0"/>
                <w:sz w:val="18"/>
                <w:szCs w:val="18"/>
                <w:lang w:bidi="ar"/>
              </w:rPr>
              <w:t>22</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635D9928">
            <w:pPr>
              <w:widowControl/>
              <w:jc w:val="center"/>
              <w:textAlignment w:val="center"/>
              <w:rPr>
                <w:sz w:val="18"/>
                <w:szCs w:val="18"/>
              </w:rPr>
            </w:pPr>
            <w:r>
              <w:rPr>
                <w:kern w:val="0"/>
                <w:sz w:val="18"/>
                <w:szCs w:val="18"/>
                <w:lang w:bidi="ar"/>
              </w:rPr>
              <w:t>21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8C02DB4">
            <w:pPr>
              <w:widowControl/>
              <w:jc w:val="center"/>
              <w:textAlignment w:val="center"/>
              <w:rPr>
                <w:sz w:val="18"/>
                <w:szCs w:val="18"/>
              </w:rPr>
            </w:pPr>
            <w:r>
              <w:rPr>
                <w:kern w:val="0"/>
                <w:sz w:val="18"/>
                <w:szCs w:val="18"/>
                <w:lang w:bidi="ar"/>
              </w:rPr>
              <w:t>6</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2A03E30">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2229D11">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7D82D614">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F379B1F">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1A805AD">
            <w:pPr>
              <w:widowControl/>
              <w:jc w:val="center"/>
              <w:textAlignment w:val="center"/>
              <w:rPr>
                <w:sz w:val="18"/>
                <w:szCs w:val="18"/>
              </w:rPr>
            </w:pPr>
            <w:r>
              <w:rPr>
                <w:kern w:val="0"/>
                <w:sz w:val="18"/>
                <w:szCs w:val="18"/>
                <w:lang w:bidi="ar"/>
              </w:rPr>
              <w:t>9</w:t>
            </w:r>
          </w:p>
        </w:tc>
      </w:tr>
      <w:tr w14:paraId="31E2719F">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42077B39">
            <w:pPr>
              <w:widowControl/>
              <w:jc w:val="center"/>
              <w:textAlignment w:val="center"/>
              <w:rPr>
                <w:sz w:val="18"/>
                <w:szCs w:val="18"/>
              </w:rPr>
            </w:pPr>
            <w:r>
              <w:rPr>
                <w:kern w:val="0"/>
                <w:sz w:val="18"/>
                <w:szCs w:val="18"/>
                <w:lang w:bidi="ar"/>
              </w:rPr>
              <w:t>2015</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16A58E70">
            <w:pPr>
              <w:widowControl/>
              <w:jc w:val="center"/>
              <w:textAlignment w:val="center"/>
              <w:rPr>
                <w:sz w:val="18"/>
                <w:szCs w:val="18"/>
              </w:rPr>
            </w:pPr>
            <w:r>
              <w:rPr>
                <w:kern w:val="0"/>
                <w:sz w:val="18"/>
                <w:szCs w:val="18"/>
                <w:lang w:bidi="ar"/>
              </w:rPr>
              <w:t>17.2</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4441E884">
            <w:pPr>
              <w:widowControl/>
              <w:jc w:val="center"/>
              <w:textAlignment w:val="center"/>
              <w:rPr>
                <w:sz w:val="18"/>
                <w:szCs w:val="18"/>
              </w:rPr>
            </w:pPr>
            <w:r>
              <w:rPr>
                <w:kern w:val="0"/>
                <w:sz w:val="18"/>
                <w:szCs w:val="18"/>
                <w:lang w:bidi="ar"/>
              </w:rPr>
              <w:t>1069.4</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BDAE3E0">
            <w:pPr>
              <w:widowControl/>
              <w:jc w:val="center"/>
              <w:textAlignment w:val="center"/>
              <w:rPr>
                <w:sz w:val="18"/>
                <w:szCs w:val="18"/>
              </w:rPr>
            </w:pPr>
            <w:r>
              <w:rPr>
                <w:kern w:val="0"/>
                <w:sz w:val="18"/>
                <w:szCs w:val="18"/>
                <w:lang w:bidi="ar"/>
              </w:rPr>
              <w:t>72</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91DAE04">
            <w:pPr>
              <w:widowControl/>
              <w:jc w:val="center"/>
              <w:textAlignment w:val="center"/>
              <w:rPr>
                <w:sz w:val="18"/>
                <w:szCs w:val="18"/>
              </w:rPr>
            </w:pPr>
            <w:r>
              <w:rPr>
                <w:kern w:val="0"/>
                <w:sz w:val="18"/>
                <w:szCs w:val="18"/>
                <w:lang w:bidi="ar"/>
              </w:rPr>
              <w:t>2198</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32385069">
            <w:pPr>
              <w:widowControl/>
              <w:jc w:val="center"/>
              <w:textAlignment w:val="center"/>
              <w:rPr>
                <w:sz w:val="18"/>
                <w:szCs w:val="18"/>
              </w:rPr>
            </w:pPr>
            <w:r>
              <w:rPr>
                <w:kern w:val="0"/>
                <w:sz w:val="18"/>
                <w:szCs w:val="18"/>
                <w:lang w:bidi="ar"/>
              </w:rPr>
              <w:t>2.2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591BA11">
            <w:pPr>
              <w:widowControl/>
              <w:jc w:val="center"/>
              <w:textAlignment w:val="center"/>
              <w:rPr>
                <w:sz w:val="18"/>
                <w:szCs w:val="18"/>
              </w:rPr>
            </w:pPr>
            <w:r>
              <w:rPr>
                <w:kern w:val="0"/>
                <w:sz w:val="18"/>
                <w:szCs w:val="18"/>
                <w:lang w:bidi="ar"/>
              </w:rPr>
              <w:t>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B866B77">
            <w:pPr>
              <w:widowControl/>
              <w:jc w:val="center"/>
              <w:textAlignment w:val="center"/>
              <w:rPr>
                <w:sz w:val="18"/>
                <w:szCs w:val="18"/>
              </w:rPr>
            </w:pPr>
            <w:r>
              <w:rPr>
                <w:kern w:val="0"/>
                <w:sz w:val="18"/>
                <w:szCs w:val="18"/>
                <w:lang w:bidi="ar"/>
              </w:rPr>
              <w:t>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A3AD16F">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B7343A7">
            <w:pPr>
              <w:widowControl/>
              <w:jc w:val="center"/>
              <w:textAlignment w:val="center"/>
              <w:rPr>
                <w:sz w:val="18"/>
                <w:szCs w:val="18"/>
              </w:rPr>
            </w:pPr>
            <w:r>
              <w:rPr>
                <w:kern w:val="0"/>
                <w:sz w:val="18"/>
                <w:szCs w:val="18"/>
                <w:lang w:bidi="ar"/>
              </w:rPr>
              <w:t>0</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22B4594">
            <w:pPr>
              <w:widowControl/>
              <w:jc w:val="center"/>
              <w:textAlignment w:val="center"/>
              <w:rPr>
                <w:sz w:val="18"/>
                <w:szCs w:val="18"/>
              </w:rPr>
            </w:pPr>
            <w:r>
              <w:rPr>
                <w:kern w:val="0"/>
                <w:sz w:val="18"/>
                <w:szCs w:val="18"/>
                <w:lang w:bidi="ar"/>
              </w:rPr>
              <w:t>0</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38A8108">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DC08167">
            <w:pPr>
              <w:widowControl/>
              <w:jc w:val="center"/>
              <w:textAlignment w:val="center"/>
              <w:rPr>
                <w:sz w:val="18"/>
                <w:szCs w:val="18"/>
              </w:rPr>
            </w:pPr>
            <w:r>
              <w:rPr>
                <w:kern w:val="0"/>
                <w:sz w:val="18"/>
                <w:szCs w:val="18"/>
                <w:lang w:bidi="ar"/>
              </w:rPr>
              <w:t>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CB8B581">
            <w:pPr>
              <w:widowControl/>
              <w:jc w:val="center"/>
              <w:textAlignment w:val="center"/>
              <w:rPr>
                <w:sz w:val="18"/>
                <w:szCs w:val="18"/>
              </w:rPr>
            </w:pPr>
            <w:r>
              <w:rPr>
                <w:kern w:val="0"/>
                <w:sz w:val="18"/>
                <w:szCs w:val="18"/>
                <w:lang w:bidi="ar"/>
              </w:rPr>
              <w:t>4</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6250CD76">
            <w:pPr>
              <w:widowControl/>
              <w:jc w:val="center"/>
              <w:textAlignment w:val="center"/>
              <w:rPr>
                <w:sz w:val="18"/>
                <w:szCs w:val="18"/>
              </w:rPr>
            </w:pPr>
            <w:r>
              <w:rPr>
                <w:kern w:val="0"/>
                <w:sz w:val="18"/>
                <w:szCs w:val="18"/>
                <w:lang w:bidi="ar"/>
              </w:rPr>
              <w:t>6</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2E108D3">
            <w:pPr>
              <w:widowControl/>
              <w:jc w:val="center"/>
              <w:textAlignment w:val="center"/>
              <w:rPr>
                <w:sz w:val="18"/>
                <w:szCs w:val="18"/>
              </w:rPr>
            </w:pPr>
            <w:r>
              <w:rPr>
                <w:kern w:val="0"/>
                <w:sz w:val="18"/>
                <w:szCs w:val="18"/>
                <w:lang w:bidi="ar"/>
              </w:rPr>
              <w:t>39</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4E7303B1">
            <w:pPr>
              <w:widowControl/>
              <w:jc w:val="center"/>
              <w:textAlignment w:val="center"/>
              <w:rPr>
                <w:sz w:val="18"/>
                <w:szCs w:val="18"/>
              </w:rPr>
            </w:pPr>
            <w:r>
              <w:rPr>
                <w:kern w:val="0"/>
                <w:sz w:val="18"/>
                <w:szCs w:val="18"/>
                <w:lang w:bidi="ar"/>
              </w:rPr>
              <w:t>16</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962F1DA">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F339350">
            <w:pPr>
              <w:widowControl/>
              <w:jc w:val="center"/>
              <w:textAlignment w:val="center"/>
              <w:rPr>
                <w:sz w:val="18"/>
                <w:szCs w:val="18"/>
              </w:rPr>
            </w:pPr>
            <w:r>
              <w:rPr>
                <w:kern w:val="0"/>
                <w:sz w:val="18"/>
                <w:szCs w:val="18"/>
                <w:lang w:bidi="ar"/>
              </w:rPr>
              <w:t>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5D530E0">
            <w:pPr>
              <w:widowControl/>
              <w:jc w:val="center"/>
              <w:textAlignment w:val="center"/>
              <w:rPr>
                <w:sz w:val="18"/>
                <w:szCs w:val="18"/>
              </w:rPr>
            </w:pPr>
            <w:r>
              <w:rPr>
                <w:kern w:val="0"/>
                <w:sz w:val="18"/>
                <w:szCs w:val="18"/>
                <w:lang w:bidi="ar"/>
              </w:rPr>
              <w:t>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167031CB">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AB8DC67">
            <w:pPr>
              <w:widowControl/>
              <w:jc w:val="center"/>
              <w:textAlignment w:val="center"/>
              <w:rPr>
                <w:sz w:val="18"/>
                <w:szCs w:val="18"/>
              </w:rPr>
            </w:pPr>
            <w:r>
              <w:rPr>
                <w:kern w:val="0"/>
                <w:sz w:val="18"/>
                <w:szCs w:val="18"/>
                <w:lang w:bidi="ar"/>
              </w:rPr>
              <w:t>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56161C0">
            <w:pPr>
              <w:widowControl/>
              <w:jc w:val="center"/>
              <w:textAlignment w:val="center"/>
              <w:rPr>
                <w:sz w:val="18"/>
                <w:szCs w:val="18"/>
              </w:rPr>
            </w:pPr>
            <w:r>
              <w:rPr>
                <w:kern w:val="0"/>
                <w:sz w:val="18"/>
                <w:szCs w:val="18"/>
                <w:lang w:bidi="ar"/>
              </w:rPr>
              <w:t>10</w:t>
            </w:r>
          </w:p>
        </w:tc>
      </w:tr>
      <w:tr w14:paraId="30D50F58">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0CC33803">
            <w:pPr>
              <w:widowControl/>
              <w:jc w:val="center"/>
              <w:textAlignment w:val="center"/>
              <w:rPr>
                <w:sz w:val="18"/>
                <w:szCs w:val="18"/>
              </w:rPr>
            </w:pPr>
            <w:r>
              <w:rPr>
                <w:kern w:val="0"/>
                <w:sz w:val="18"/>
                <w:szCs w:val="18"/>
                <w:lang w:bidi="ar"/>
              </w:rPr>
              <w:t>2016</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66E3EC52">
            <w:pPr>
              <w:widowControl/>
              <w:jc w:val="center"/>
              <w:textAlignment w:val="center"/>
              <w:rPr>
                <w:sz w:val="18"/>
                <w:szCs w:val="18"/>
              </w:rPr>
            </w:pPr>
            <w:r>
              <w:rPr>
                <w:kern w:val="0"/>
                <w:sz w:val="18"/>
                <w:szCs w:val="18"/>
                <w:lang w:bidi="ar"/>
              </w:rPr>
              <w:t>16.8</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4EE1AEEB">
            <w:pPr>
              <w:widowControl/>
              <w:jc w:val="center"/>
              <w:textAlignment w:val="center"/>
              <w:rPr>
                <w:sz w:val="18"/>
                <w:szCs w:val="18"/>
              </w:rPr>
            </w:pPr>
            <w:r>
              <w:rPr>
                <w:kern w:val="0"/>
                <w:sz w:val="18"/>
                <w:szCs w:val="18"/>
                <w:lang w:bidi="ar"/>
              </w:rPr>
              <w:t>892.7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2371FC6E">
            <w:pPr>
              <w:widowControl/>
              <w:jc w:val="center"/>
              <w:textAlignment w:val="center"/>
              <w:rPr>
                <w:sz w:val="18"/>
                <w:szCs w:val="18"/>
              </w:rPr>
            </w:pPr>
            <w:r>
              <w:rPr>
                <w:kern w:val="0"/>
                <w:sz w:val="18"/>
                <w:szCs w:val="18"/>
                <w:lang w:bidi="ar"/>
              </w:rPr>
              <w:t>70</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59A8720B">
            <w:pPr>
              <w:widowControl/>
              <w:jc w:val="center"/>
              <w:textAlignment w:val="center"/>
              <w:rPr>
                <w:sz w:val="18"/>
                <w:szCs w:val="18"/>
              </w:rPr>
            </w:pPr>
            <w:r>
              <w:rPr>
                <w:kern w:val="0"/>
                <w:sz w:val="18"/>
                <w:szCs w:val="18"/>
                <w:lang w:bidi="ar"/>
              </w:rPr>
              <w:t>2205.3</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1195AA64">
            <w:pPr>
              <w:widowControl/>
              <w:jc w:val="center"/>
              <w:textAlignment w:val="center"/>
              <w:rPr>
                <w:sz w:val="18"/>
                <w:szCs w:val="18"/>
              </w:rPr>
            </w:pPr>
            <w:r>
              <w:rPr>
                <w:kern w:val="0"/>
                <w:sz w:val="18"/>
                <w:szCs w:val="18"/>
                <w:lang w:bidi="ar"/>
              </w:rPr>
              <w:t>2.3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789B8E4">
            <w:pPr>
              <w:widowControl/>
              <w:jc w:val="center"/>
              <w:textAlignment w:val="center"/>
              <w:rPr>
                <w:sz w:val="18"/>
                <w:szCs w:val="18"/>
              </w:rPr>
            </w:pPr>
            <w:r>
              <w:rPr>
                <w:kern w:val="0"/>
                <w:sz w:val="18"/>
                <w:szCs w:val="18"/>
                <w:lang w:bidi="ar"/>
              </w:rPr>
              <w:t>2.9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7EB2FC0">
            <w:pPr>
              <w:widowControl/>
              <w:jc w:val="center"/>
              <w:textAlignment w:val="center"/>
              <w:rPr>
                <w:sz w:val="18"/>
                <w:szCs w:val="18"/>
              </w:rPr>
            </w:pPr>
            <w:r>
              <w:rPr>
                <w:kern w:val="0"/>
                <w:sz w:val="18"/>
                <w:szCs w:val="18"/>
                <w:lang w:bidi="ar"/>
              </w:rPr>
              <w:t>4.2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F1A4AB9">
            <w:pPr>
              <w:widowControl/>
              <w:jc w:val="center"/>
              <w:textAlignment w:val="center"/>
              <w:rPr>
                <w:sz w:val="18"/>
                <w:szCs w:val="18"/>
              </w:rPr>
            </w:pPr>
            <w:r>
              <w:rPr>
                <w:kern w:val="0"/>
                <w:sz w:val="18"/>
                <w:szCs w:val="18"/>
                <w:lang w:bidi="ar"/>
              </w:rPr>
              <w:t>2.3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838749C">
            <w:pPr>
              <w:widowControl/>
              <w:jc w:val="center"/>
              <w:textAlignment w:val="center"/>
              <w:rPr>
                <w:sz w:val="18"/>
                <w:szCs w:val="18"/>
              </w:rPr>
            </w:pPr>
            <w:r>
              <w:rPr>
                <w:kern w:val="0"/>
                <w:sz w:val="18"/>
                <w:szCs w:val="18"/>
                <w:lang w:bidi="ar"/>
              </w:rPr>
              <w:t>1.8</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E22019E">
            <w:pPr>
              <w:widowControl/>
              <w:jc w:val="center"/>
              <w:textAlignment w:val="center"/>
              <w:rPr>
                <w:sz w:val="18"/>
                <w:szCs w:val="18"/>
              </w:rPr>
            </w:pPr>
            <w:r>
              <w:rPr>
                <w:kern w:val="0"/>
                <w:sz w:val="18"/>
                <w:szCs w:val="18"/>
                <w:lang w:bidi="ar"/>
              </w:rPr>
              <w:t>1.9</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57BAF14">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93DE603">
            <w:pPr>
              <w:widowControl/>
              <w:jc w:val="center"/>
              <w:textAlignment w:val="center"/>
              <w:rPr>
                <w:sz w:val="18"/>
                <w:szCs w:val="18"/>
              </w:rPr>
            </w:pPr>
            <w:r>
              <w:rPr>
                <w:kern w:val="0"/>
                <w:sz w:val="18"/>
                <w:szCs w:val="18"/>
                <w:lang w:bidi="ar"/>
              </w:rPr>
              <w:t>3.2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8F09D31">
            <w:pPr>
              <w:widowControl/>
              <w:jc w:val="center"/>
              <w:textAlignment w:val="center"/>
              <w:rPr>
                <w:sz w:val="18"/>
                <w:szCs w:val="18"/>
              </w:rPr>
            </w:pPr>
            <w:r>
              <w:rPr>
                <w:kern w:val="0"/>
                <w:sz w:val="18"/>
                <w:szCs w:val="18"/>
                <w:lang w:bidi="ar"/>
              </w:rPr>
              <w:t>7.1</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1F7ABE47">
            <w:pPr>
              <w:widowControl/>
              <w:jc w:val="center"/>
              <w:textAlignment w:val="center"/>
              <w:rPr>
                <w:sz w:val="18"/>
                <w:szCs w:val="18"/>
              </w:rPr>
            </w:pPr>
            <w:r>
              <w:rPr>
                <w:kern w:val="0"/>
                <w:sz w:val="18"/>
                <w:szCs w:val="18"/>
                <w:lang w:bidi="ar"/>
              </w:rPr>
              <w:t>14.2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69910CE">
            <w:pPr>
              <w:widowControl/>
              <w:jc w:val="center"/>
              <w:textAlignment w:val="center"/>
              <w:rPr>
                <w:sz w:val="18"/>
                <w:szCs w:val="18"/>
              </w:rPr>
            </w:pPr>
            <w:r>
              <w:rPr>
                <w:kern w:val="0"/>
                <w:sz w:val="18"/>
                <w:szCs w:val="18"/>
                <w:lang w:bidi="ar"/>
              </w:rPr>
              <w:t>26.8</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00A4EB3E">
            <w:pPr>
              <w:widowControl/>
              <w:jc w:val="center"/>
              <w:textAlignment w:val="center"/>
              <w:rPr>
                <w:sz w:val="18"/>
                <w:szCs w:val="18"/>
              </w:rPr>
            </w:pPr>
            <w:r>
              <w:rPr>
                <w:kern w:val="0"/>
                <w:sz w:val="18"/>
                <w:szCs w:val="18"/>
                <w:lang w:bidi="ar"/>
              </w:rPr>
              <w:t>14.5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11CFE4A">
            <w:pPr>
              <w:widowControl/>
              <w:jc w:val="center"/>
              <w:textAlignment w:val="center"/>
              <w:rPr>
                <w:sz w:val="18"/>
                <w:szCs w:val="18"/>
              </w:rPr>
            </w:pPr>
            <w:r>
              <w:rPr>
                <w:kern w:val="0"/>
                <w:sz w:val="18"/>
                <w:szCs w:val="18"/>
                <w:lang w:bidi="ar"/>
              </w:rPr>
              <w:t>5.1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6861EA8">
            <w:pPr>
              <w:widowControl/>
              <w:jc w:val="center"/>
              <w:textAlignment w:val="center"/>
              <w:rPr>
                <w:sz w:val="18"/>
                <w:szCs w:val="18"/>
              </w:rPr>
            </w:pPr>
            <w:r>
              <w:rPr>
                <w:kern w:val="0"/>
                <w:sz w:val="18"/>
                <w:szCs w:val="18"/>
                <w:lang w:bidi="ar"/>
              </w:rPr>
              <w:t>3.1</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111D61A">
            <w:pPr>
              <w:widowControl/>
              <w:jc w:val="center"/>
              <w:textAlignment w:val="center"/>
              <w:rPr>
                <w:sz w:val="18"/>
                <w:szCs w:val="18"/>
              </w:rPr>
            </w:pPr>
            <w:r>
              <w:rPr>
                <w:kern w:val="0"/>
                <w:sz w:val="18"/>
                <w:szCs w:val="18"/>
                <w:lang w:bidi="ar"/>
              </w:rPr>
              <w:t>2</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32C1FE67">
            <w:pPr>
              <w:widowControl/>
              <w:jc w:val="center"/>
              <w:textAlignment w:val="center"/>
              <w:rPr>
                <w:sz w:val="18"/>
                <w:szCs w:val="18"/>
              </w:rPr>
            </w:pPr>
            <w:r>
              <w:rPr>
                <w:kern w:val="0"/>
                <w:sz w:val="18"/>
                <w:szCs w:val="18"/>
                <w:lang w:bidi="ar"/>
              </w:rPr>
              <w:t>1.5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B9E0D51">
            <w:pPr>
              <w:widowControl/>
              <w:jc w:val="center"/>
              <w:textAlignment w:val="center"/>
              <w:rPr>
                <w:sz w:val="18"/>
                <w:szCs w:val="18"/>
              </w:rPr>
            </w:pPr>
            <w:r>
              <w:rPr>
                <w:kern w:val="0"/>
                <w:sz w:val="18"/>
                <w:szCs w:val="18"/>
                <w:lang w:bidi="ar"/>
              </w:rPr>
              <w:t>5.1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E976690">
            <w:pPr>
              <w:widowControl/>
              <w:jc w:val="center"/>
              <w:textAlignment w:val="center"/>
              <w:rPr>
                <w:sz w:val="18"/>
                <w:szCs w:val="18"/>
              </w:rPr>
            </w:pPr>
            <w:r>
              <w:rPr>
                <w:kern w:val="0"/>
                <w:sz w:val="18"/>
                <w:szCs w:val="18"/>
                <w:lang w:bidi="ar"/>
              </w:rPr>
              <w:t>1.5</w:t>
            </w:r>
          </w:p>
        </w:tc>
      </w:tr>
      <w:tr w14:paraId="0546501A">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148731CC">
            <w:pPr>
              <w:widowControl/>
              <w:jc w:val="center"/>
              <w:textAlignment w:val="center"/>
              <w:rPr>
                <w:sz w:val="18"/>
                <w:szCs w:val="18"/>
              </w:rPr>
            </w:pPr>
            <w:r>
              <w:rPr>
                <w:kern w:val="0"/>
                <w:sz w:val="18"/>
                <w:szCs w:val="18"/>
                <w:lang w:bidi="ar"/>
              </w:rPr>
              <w:t>2017</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66DE750A">
            <w:pPr>
              <w:widowControl/>
              <w:jc w:val="center"/>
              <w:textAlignment w:val="center"/>
              <w:rPr>
                <w:sz w:val="18"/>
                <w:szCs w:val="18"/>
              </w:rPr>
            </w:pPr>
            <w:r>
              <w:rPr>
                <w:kern w:val="0"/>
                <w:sz w:val="18"/>
                <w:szCs w:val="18"/>
                <w:lang w:bidi="ar"/>
              </w:rPr>
              <w:t>16.7</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636EEEFD">
            <w:pPr>
              <w:widowControl/>
              <w:jc w:val="center"/>
              <w:textAlignment w:val="center"/>
              <w:rPr>
                <w:sz w:val="18"/>
                <w:szCs w:val="18"/>
              </w:rPr>
            </w:pPr>
            <w:r>
              <w:rPr>
                <w:kern w:val="0"/>
                <w:sz w:val="18"/>
                <w:szCs w:val="18"/>
                <w:lang w:bidi="ar"/>
              </w:rPr>
              <w:t>1007.6</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47420A1">
            <w:pPr>
              <w:widowControl/>
              <w:jc w:val="center"/>
              <w:textAlignment w:val="center"/>
              <w:rPr>
                <w:sz w:val="18"/>
                <w:szCs w:val="18"/>
              </w:rPr>
            </w:pPr>
            <w:r>
              <w:rPr>
                <w:kern w:val="0"/>
                <w:sz w:val="18"/>
                <w:szCs w:val="18"/>
                <w:lang w:bidi="ar"/>
              </w:rPr>
              <w:t>73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F631EDF">
            <w:pPr>
              <w:widowControl/>
              <w:jc w:val="center"/>
              <w:textAlignment w:val="center"/>
              <w:rPr>
                <w:sz w:val="18"/>
                <w:szCs w:val="18"/>
              </w:rPr>
            </w:pPr>
            <w:r>
              <w:rPr>
                <w:kern w:val="0"/>
                <w:sz w:val="18"/>
                <w:szCs w:val="18"/>
                <w:lang w:bidi="ar"/>
              </w:rPr>
              <w:t>2013.1</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301D4C1A">
            <w:pPr>
              <w:widowControl/>
              <w:jc w:val="center"/>
              <w:textAlignment w:val="center"/>
              <w:rPr>
                <w:sz w:val="18"/>
                <w:szCs w:val="18"/>
              </w:rPr>
            </w:pPr>
            <w:r>
              <w:rPr>
                <w:kern w:val="0"/>
                <w:sz w:val="18"/>
                <w:szCs w:val="18"/>
                <w:lang w:bidi="ar"/>
              </w:rPr>
              <w:t>2.2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3305A26">
            <w:pPr>
              <w:widowControl/>
              <w:jc w:val="center"/>
              <w:textAlignment w:val="center"/>
              <w:rPr>
                <w:sz w:val="18"/>
                <w:szCs w:val="18"/>
              </w:rPr>
            </w:pPr>
            <w:r>
              <w:rPr>
                <w:kern w:val="0"/>
                <w:sz w:val="18"/>
                <w:szCs w:val="18"/>
                <w:lang w:bidi="ar"/>
              </w:rPr>
              <w:t>2.9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B5DE173">
            <w:pPr>
              <w:widowControl/>
              <w:jc w:val="center"/>
              <w:textAlignment w:val="center"/>
              <w:rPr>
                <w:sz w:val="18"/>
                <w:szCs w:val="18"/>
              </w:rPr>
            </w:pPr>
            <w:r>
              <w:rPr>
                <w:kern w:val="0"/>
                <w:sz w:val="18"/>
                <w:szCs w:val="18"/>
                <w:lang w:bidi="ar"/>
              </w:rPr>
              <w:t>3.8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A61464F">
            <w:pPr>
              <w:widowControl/>
              <w:jc w:val="center"/>
              <w:textAlignment w:val="center"/>
              <w:rPr>
                <w:sz w:val="18"/>
                <w:szCs w:val="18"/>
              </w:rPr>
            </w:pPr>
            <w:r>
              <w:rPr>
                <w:kern w:val="0"/>
                <w:sz w:val="18"/>
                <w:szCs w:val="18"/>
                <w:lang w:bidi="ar"/>
              </w:rPr>
              <w:t>2.2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B8A2D67">
            <w:pPr>
              <w:widowControl/>
              <w:jc w:val="center"/>
              <w:textAlignment w:val="center"/>
              <w:rPr>
                <w:sz w:val="18"/>
                <w:szCs w:val="18"/>
              </w:rPr>
            </w:pPr>
            <w:r>
              <w:rPr>
                <w:kern w:val="0"/>
                <w:sz w:val="18"/>
                <w:szCs w:val="18"/>
                <w:lang w:bidi="ar"/>
              </w:rPr>
              <w:t>2.4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8AB89B0">
            <w:pPr>
              <w:widowControl/>
              <w:jc w:val="center"/>
              <w:textAlignment w:val="center"/>
              <w:rPr>
                <w:sz w:val="18"/>
                <w:szCs w:val="18"/>
              </w:rPr>
            </w:pPr>
            <w:r>
              <w:rPr>
                <w:kern w:val="0"/>
                <w:sz w:val="18"/>
                <w:szCs w:val="18"/>
                <w:lang w:bidi="ar"/>
              </w:rPr>
              <w:t>2.8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7E4CA1C">
            <w:pPr>
              <w:widowControl/>
              <w:jc w:val="center"/>
              <w:textAlignment w:val="center"/>
              <w:rPr>
                <w:sz w:val="18"/>
                <w:szCs w:val="18"/>
              </w:rPr>
            </w:pPr>
            <w:r>
              <w:rPr>
                <w:kern w:val="0"/>
                <w:sz w:val="18"/>
                <w:szCs w:val="18"/>
                <w:lang w:bidi="ar"/>
              </w:rPr>
              <w:t>2.8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7E4F33D">
            <w:pPr>
              <w:widowControl/>
              <w:jc w:val="center"/>
              <w:textAlignment w:val="center"/>
              <w:rPr>
                <w:sz w:val="18"/>
                <w:szCs w:val="18"/>
              </w:rPr>
            </w:pPr>
            <w:r>
              <w:rPr>
                <w:kern w:val="0"/>
                <w:sz w:val="18"/>
                <w:szCs w:val="18"/>
                <w:lang w:bidi="ar"/>
              </w:rPr>
              <w:t>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74EF496">
            <w:pPr>
              <w:widowControl/>
              <w:jc w:val="center"/>
              <w:textAlignment w:val="center"/>
              <w:rPr>
                <w:sz w:val="18"/>
                <w:szCs w:val="18"/>
              </w:rPr>
            </w:pPr>
            <w:r>
              <w:rPr>
                <w:kern w:val="0"/>
                <w:sz w:val="18"/>
                <w:szCs w:val="18"/>
                <w:lang w:bidi="ar"/>
              </w:rPr>
              <w:t>8.2</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4AF3CF86">
            <w:pPr>
              <w:widowControl/>
              <w:jc w:val="center"/>
              <w:textAlignment w:val="center"/>
              <w:rPr>
                <w:sz w:val="18"/>
                <w:szCs w:val="18"/>
              </w:rPr>
            </w:pPr>
            <w:r>
              <w:rPr>
                <w:kern w:val="0"/>
                <w:sz w:val="18"/>
                <w:szCs w:val="18"/>
                <w:lang w:bidi="ar"/>
              </w:rPr>
              <w:t>15.4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008240F">
            <w:pPr>
              <w:widowControl/>
              <w:jc w:val="center"/>
              <w:textAlignment w:val="center"/>
              <w:rPr>
                <w:sz w:val="18"/>
                <w:szCs w:val="18"/>
              </w:rPr>
            </w:pPr>
            <w:r>
              <w:rPr>
                <w:kern w:val="0"/>
                <w:sz w:val="18"/>
                <w:szCs w:val="18"/>
                <w:lang w:bidi="ar"/>
              </w:rPr>
              <w:t>24.8</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5B2314BC">
            <w:pPr>
              <w:widowControl/>
              <w:jc w:val="center"/>
              <w:textAlignment w:val="center"/>
              <w:rPr>
                <w:sz w:val="18"/>
                <w:szCs w:val="18"/>
              </w:rPr>
            </w:pPr>
            <w:r>
              <w:rPr>
                <w:kern w:val="0"/>
                <w:sz w:val="18"/>
                <w:szCs w:val="18"/>
                <w:lang w:bidi="ar"/>
              </w:rPr>
              <w:t>12.8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27B24E6">
            <w:pPr>
              <w:widowControl/>
              <w:jc w:val="center"/>
              <w:textAlignment w:val="center"/>
              <w:rPr>
                <w:sz w:val="18"/>
                <w:szCs w:val="18"/>
              </w:rPr>
            </w:pPr>
            <w:r>
              <w:rPr>
                <w:kern w:val="0"/>
                <w:sz w:val="18"/>
                <w:szCs w:val="18"/>
                <w:lang w:bidi="ar"/>
              </w:rPr>
              <w:t>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5A6BAFB">
            <w:pPr>
              <w:widowControl/>
              <w:jc w:val="center"/>
              <w:textAlignment w:val="center"/>
              <w:rPr>
                <w:sz w:val="18"/>
                <w:szCs w:val="18"/>
              </w:rPr>
            </w:pPr>
            <w:r>
              <w:rPr>
                <w:kern w:val="0"/>
                <w:sz w:val="18"/>
                <w:szCs w:val="18"/>
                <w:lang w:bidi="ar"/>
              </w:rPr>
              <w:t>2.5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38283AA">
            <w:pPr>
              <w:widowControl/>
              <w:jc w:val="center"/>
              <w:textAlignment w:val="center"/>
              <w:rPr>
                <w:sz w:val="18"/>
                <w:szCs w:val="18"/>
              </w:rPr>
            </w:pPr>
            <w:r>
              <w:rPr>
                <w:kern w:val="0"/>
                <w:sz w:val="18"/>
                <w:szCs w:val="18"/>
                <w:lang w:bidi="ar"/>
              </w:rPr>
              <w:t>1.7</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7CA3D97C">
            <w:pPr>
              <w:widowControl/>
              <w:jc w:val="center"/>
              <w:textAlignment w:val="center"/>
              <w:rPr>
                <w:sz w:val="18"/>
                <w:szCs w:val="18"/>
              </w:rPr>
            </w:pPr>
            <w:r>
              <w:rPr>
                <w:kern w:val="0"/>
                <w:sz w:val="18"/>
                <w:szCs w:val="18"/>
                <w:lang w:bidi="ar"/>
              </w:rPr>
              <w:t>1.9</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F425952">
            <w:pPr>
              <w:widowControl/>
              <w:jc w:val="center"/>
              <w:textAlignment w:val="center"/>
              <w:rPr>
                <w:sz w:val="18"/>
                <w:szCs w:val="18"/>
              </w:rPr>
            </w:pPr>
            <w:r>
              <w:rPr>
                <w:kern w:val="0"/>
                <w:sz w:val="18"/>
                <w:szCs w:val="18"/>
                <w:lang w:bidi="ar"/>
              </w:rPr>
              <w:t>3.8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E997187">
            <w:pPr>
              <w:widowControl/>
              <w:jc w:val="center"/>
              <w:textAlignment w:val="center"/>
              <w:rPr>
                <w:sz w:val="18"/>
                <w:szCs w:val="18"/>
              </w:rPr>
            </w:pPr>
            <w:r>
              <w:rPr>
                <w:kern w:val="0"/>
                <w:sz w:val="18"/>
                <w:szCs w:val="18"/>
                <w:lang w:bidi="ar"/>
              </w:rPr>
              <w:t>3</w:t>
            </w:r>
          </w:p>
        </w:tc>
      </w:tr>
      <w:tr w14:paraId="619B2800">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55ED9D20">
            <w:pPr>
              <w:widowControl/>
              <w:jc w:val="center"/>
              <w:textAlignment w:val="center"/>
              <w:rPr>
                <w:sz w:val="18"/>
                <w:szCs w:val="18"/>
              </w:rPr>
            </w:pPr>
            <w:r>
              <w:rPr>
                <w:kern w:val="0"/>
                <w:sz w:val="18"/>
                <w:szCs w:val="18"/>
                <w:lang w:bidi="ar"/>
              </w:rPr>
              <w:t>2018</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5CF81CE7">
            <w:pPr>
              <w:widowControl/>
              <w:jc w:val="center"/>
              <w:textAlignment w:val="center"/>
              <w:rPr>
                <w:sz w:val="18"/>
                <w:szCs w:val="18"/>
              </w:rPr>
            </w:pPr>
            <w:r>
              <w:rPr>
                <w:kern w:val="0"/>
                <w:sz w:val="18"/>
                <w:szCs w:val="18"/>
                <w:lang w:bidi="ar"/>
              </w:rPr>
              <w:t>16.8</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7545DD57">
            <w:pPr>
              <w:widowControl/>
              <w:jc w:val="center"/>
              <w:textAlignment w:val="center"/>
              <w:rPr>
                <w:sz w:val="18"/>
                <w:szCs w:val="18"/>
              </w:rPr>
            </w:pPr>
            <w:r>
              <w:rPr>
                <w:kern w:val="0"/>
                <w:sz w:val="18"/>
                <w:szCs w:val="18"/>
                <w:lang w:bidi="ar"/>
              </w:rPr>
              <w:t>861.6</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1A5C55BB">
            <w:pPr>
              <w:widowControl/>
              <w:jc w:val="center"/>
              <w:textAlignment w:val="center"/>
              <w:rPr>
                <w:sz w:val="18"/>
                <w:szCs w:val="18"/>
              </w:rPr>
            </w:pPr>
            <w:r>
              <w:rPr>
                <w:kern w:val="0"/>
                <w:sz w:val="18"/>
                <w:szCs w:val="18"/>
                <w:lang w:bidi="ar"/>
              </w:rPr>
              <w:t>73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B1ECAA3">
            <w:pPr>
              <w:widowControl/>
              <w:jc w:val="center"/>
              <w:textAlignment w:val="center"/>
              <w:rPr>
                <w:sz w:val="18"/>
                <w:szCs w:val="18"/>
              </w:rPr>
            </w:pPr>
            <w:r>
              <w:rPr>
                <w:kern w:val="0"/>
                <w:sz w:val="18"/>
                <w:szCs w:val="18"/>
                <w:lang w:bidi="ar"/>
              </w:rPr>
              <w:t>2075</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669B5E55">
            <w:pPr>
              <w:widowControl/>
              <w:jc w:val="center"/>
              <w:textAlignment w:val="center"/>
              <w:rPr>
                <w:sz w:val="18"/>
                <w:szCs w:val="18"/>
              </w:rPr>
            </w:pPr>
            <w:r>
              <w:rPr>
                <w:kern w:val="0"/>
                <w:sz w:val="18"/>
                <w:szCs w:val="18"/>
                <w:lang w:bidi="ar"/>
              </w:rPr>
              <w:t>2.4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3A5B92B5">
            <w:pPr>
              <w:widowControl/>
              <w:jc w:val="center"/>
              <w:textAlignment w:val="center"/>
              <w:rPr>
                <w:sz w:val="18"/>
                <w:szCs w:val="18"/>
              </w:rPr>
            </w:pPr>
            <w:r>
              <w:rPr>
                <w:kern w:val="0"/>
                <w:sz w:val="18"/>
                <w:szCs w:val="18"/>
                <w:lang w:bidi="ar"/>
              </w:rPr>
              <w:t>2.2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1BA4CB3">
            <w:pPr>
              <w:widowControl/>
              <w:jc w:val="center"/>
              <w:textAlignment w:val="center"/>
              <w:rPr>
                <w:sz w:val="18"/>
                <w:szCs w:val="18"/>
              </w:rPr>
            </w:pPr>
            <w:r>
              <w:rPr>
                <w:kern w:val="0"/>
                <w:sz w:val="18"/>
                <w:szCs w:val="18"/>
                <w:lang w:bidi="ar"/>
              </w:rPr>
              <w:t>3.8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F6B6FF8">
            <w:pPr>
              <w:widowControl/>
              <w:jc w:val="center"/>
              <w:textAlignment w:val="center"/>
              <w:rPr>
                <w:sz w:val="18"/>
                <w:szCs w:val="18"/>
              </w:rPr>
            </w:pPr>
            <w:r>
              <w:rPr>
                <w:kern w:val="0"/>
                <w:sz w:val="18"/>
                <w:szCs w:val="18"/>
                <w:lang w:bidi="ar"/>
              </w:rPr>
              <w:t>2.2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32CD825">
            <w:pPr>
              <w:widowControl/>
              <w:jc w:val="center"/>
              <w:textAlignment w:val="center"/>
              <w:rPr>
                <w:sz w:val="18"/>
                <w:szCs w:val="18"/>
              </w:rPr>
            </w:pPr>
            <w:r>
              <w:rPr>
                <w:kern w:val="0"/>
                <w:sz w:val="18"/>
                <w:szCs w:val="18"/>
                <w:lang w:bidi="ar"/>
              </w:rPr>
              <w:t>1.7</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97C7720">
            <w:pPr>
              <w:widowControl/>
              <w:jc w:val="center"/>
              <w:textAlignment w:val="center"/>
              <w:rPr>
                <w:sz w:val="18"/>
                <w:szCs w:val="18"/>
              </w:rPr>
            </w:pPr>
            <w:r>
              <w:rPr>
                <w:kern w:val="0"/>
                <w:sz w:val="18"/>
                <w:szCs w:val="18"/>
                <w:lang w:bidi="ar"/>
              </w:rPr>
              <w:t>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9DE89D8">
            <w:pPr>
              <w:widowControl/>
              <w:jc w:val="center"/>
              <w:textAlignment w:val="center"/>
              <w:rPr>
                <w:sz w:val="18"/>
                <w:szCs w:val="18"/>
              </w:rPr>
            </w:pPr>
            <w:r>
              <w:rPr>
                <w:kern w:val="0"/>
                <w:sz w:val="18"/>
                <w:szCs w:val="18"/>
                <w:lang w:bidi="ar"/>
              </w:rPr>
              <w:t>2.2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6E129B6">
            <w:pPr>
              <w:widowControl/>
              <w:jc w:val="center"/>
              <w:textAlignment w:val="center"/>
              <w:rPr>
                <w:sz w:val="18"/>
                <w:szCs w:val="18"/>
              </w:rPr>
            </w:pPr>
            <w:r>
              <w:rPr>
                <w:kern w:val="0"/>
                <w:sz w:val="18"/>
                <w:szCs w:val="18"/>
                <w:lang w:bidi="ar"/>
              </w:rPr>
              <w:t>3.9</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958C78C">
            <w:pPr>
              <w:widowControl/>
              <w:jc w:val="center"/>
              <w:textAlignment w:val="center"/>
              <w:rPr>
                <w:sz w:val="18"/>
                <w:szCs w:val="18"/>
              </w:rPr>
            </w:pPr>
            <w:r>
              <w:rPr>
                <w:kern w:val="0"/>
                <w:sz w:val="18"/>
                <w:szCs w:val="18"/>
                <w:lang w:bidi="ar"/>
              </w:rPr>
              <w:t>7.7</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056E1062">
            <w:pPr>
              <w:widowControl/>
              <w:jc w:val="center"/>
              <w:textAlignment w:val="center"/>
              <w:rPr>
                <w:sz w:val="18"/>
                <w:szCs w:val="18"/>
              </w:rPr>
            </w:pPr>
            <w:r>
              <w:rPr>
                <w:kern w:val="0"/>
                <w:sz w:val="18"/>
                <w:szCs w:val="18"/>
                <w:lang w:bidi="ar"/>
              </w:rPr>
              <w:t>16.4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4A8BF7C">
            <w:pPr>
              <w:widowControl/>
              <w:jc w:val="center"/>
              <w:textAlignment w:val="center"/>
              <w:rPr>
                <w:sz w:val="18"/>
                <w:szCs w:val="18"/>
              </w:rPr>
            </w:pPr>
            <w:r>
              <w:rPr>
                <w:kern w:val="0"/>
                <w:sz w:val="18"/>
                <w:szCs w:val="18"/>
                <w:lang w:bidi="ar"/>
              </w:rPr>
              <w:t>27.8</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0A1D8A54">
            <w:pPr>
              <w:widowControl/>
              <w:jc w:val="center"/>
              <w:textAlignment w:val="center"/>
              <w:rPr>
                <w:sz w:val="18"/>
                <w:szCs w:val="18"/>
              </w:rPr>
            </w:pPr>
            <w:r>
              <w:rPr>
                <w:kern w:val="0"/>
                <w:sz w:val="18"/>
                <w:szCs w:val="18"/>
                <w:lang w:bidi="ar"/>
              </w:rPr>
              <w:t>13.3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44510B3">
            <w:pPr>
              <w:widowControl/>
              <w:jc w:val="center"/>
              <w:textAlignment w:val="center"/>
              <w:rPr>
                <w:sz w:val="18"/>
                <w:szCs w:val="18"/>
              </w:rPr>
            </w:pPr>
            <w:r>
              <w:rPr>
                <w:kern w:val="0"/>
                <w:sz w:val="18"/>
                <w:szCs w:val="18"/>
                <w:lang w:bidi="ar"/>
              </w:rPr>
              <w:t>4.1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89D26E5">
            <w:pPr>
              <w:widowControl/>
              <w:jc w:val="center"/>
              <w:textAlignment w:val="center"/>
              <w:rPr>
                <w:sz w:val="18"/>
                <w:szCs w:val="18"/>
              </w:rPr>
            </w:pPr>
            <w:r>
              <w:rPr>
                <w:kern w:val="0"/>
                <w:sz w:val="18"/>
                <w:szCs w:val="18"/>
                <w:lang w:bidi="ar"/>
              </w:rPr>
              <w:t>2.2</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DFD39E9">
            <w:pPr>
              <w:widowControl/>
              <w:jc w:val="center"/>
              <w:textAlignment w:val="center"/>
              <w:rPr>
                <w:sz w:val="18"/>
                <w:szCs w:val="18"/>
              </w:rPr>
            </w:pPr>
            <w:r>
              <w:rPr>
                <w:kern w:val="0"/>
                <w:sz w:val="18"/>
                <w:szCs w:val="18"/>
                <w:lang w:bidi="ar"/>
              </w:rPr>
              <w:t>1.8</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170CE230">
            <w:pPr>
              <w:widowControl/>
              <w:jc w:val="center"/>
              <w:textAlignment w:val="center"/>
              <w:rPr>
                <w:sz w:val="18"/>
                <w:szCs w:val="18"/>
              </w:rPr>
            </w:pPr>
            <w:r>
              <w:rPr>
                <w:kern w:val="0"/>
                <w:sz w:val="18"/>
                <w:szCs w:val="18"/>
                <w:lang w:bidi="ar"/>
              </w:rPr>
              <w:t>1.9</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4B0B1C3">
            <w:pPr>
              <w:widowControl/>
              <w:jc w:val="center"/>
              <w:textAlignment w:val="center"/>
              <w:rPr>
                <w:sz w:val="18"/>
                <w:szCs w:val="18"/>
              </w:rPr>
            </w:pPr>
            <w:r>
              <w:rPr>
                <w:kern w:val="0"/>
                <w:sz w:val="18"/>
                <w:szCs w:val="18"/>
                <w:lang w:bidi="ar"/>
              </w:rPr>
              <w:t>3.3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980A8EF">
            <w:pPr>
              <w:widowControl/>
              <w:jc w:val="center"/>
              <w:textAlignment w:val="center"/>
              <w:rPr>
                <w:sz w:val="18"/>
                <w:szCs w:val="18"/>
              </w:rPr>
            </w:pPr>
            <w:r>
              <w:rPr>
                <w:kern w:val="0"/>
                <w:sz w:val="18"/>
                <w:szCs w:val="18"/>
                <w:lang w:bidi="ar"/>
              </w:rPr>
              <w:t>2.8</w:t>
            </w:r>
          </w:p>
        </w:tc>
      </w:tr>
      <w:tr w14:paraId="67A1A0DC">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2C40E252">
            <w:pPr>
              <w:widowControl/>
              <w:jc w:val="center"/>
              <w:textAlignment w:val="center"/>
              <w:rPr>
                <w:sz w:val="18"/>
                <w:szCs w:val="18"/>
              </w:rPr>
            </w:pPr>
            <w:r>
              <w:rPr>
                <w:kern w:val="0"/>
                <w:sz w:val="18"/>
                <w:szCs w:val="18"/>
                <w:lang w:bidi="ar"/>
              </w:rPr>
              <w:t>2019</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4C9E61E1">
            <w:pPr>
              <w:widowControl/>
              <w:jc w:val="center"/>
              <w:textAlignment w:val="center"/>
              <w:rPr>
                <w:sz w:val="18"/>
                <w:szCs w:val="18"/>
              </w:rPr>
            </w:pPr>
            <w:r>
              <w:rPr>
                <w:kern w:val="0"/>
                <w:sz w:val="18"/>
                <w:szCs w:val="18"/>
                <w:lang w:bidi="ar"/>
              </w:rPr>
              <w:t>18</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4567FAC5">
            <w:pPr>
              <w:widowControl/>
              <w:jc w:val="center"/>
              <w:textAlignment w:val="center"/>
              <w:rPr>
                <w:sz w:val="18"/>
                <w:szCs w:val="18"/>
              </w:rPr>
            </w:pPr>
            <w:r>
              <w:rPr>
                <w:kern w:val="0"/>
                <w:sz w:val="18"/>
                <w:szCs w:val="18"/>
                <w:lang w:bidi="ar"/>
              </w:rPr>
              <w:t>1012.3</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1F431A2">
            <w:pPr>
              <w:widowControl/>
              <w:jc w:val="center"/>
              <w:textAlignment w:val="center"/>
              <w:rPr>
                <w:sz w:val="18"/>
                <w:szCs w:val="18"/>
              </w:rPr>
            </w:pPr>
            <w:r>
              <w:rPr>
                <w:kern w:val="0"/>
                <w:sz w:val="18"/>
                <w:szCs w:val="18"/>
                <w:lang w:bidi="ar"/>
              </w:rPr>
              <w:t>67</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0A5B99DD">
            <w:pPr>
              <w:widowControl/>
              <w:jc w:val="center"/>
              <w:textAlignment w:val="center"/>
              <w:rPr>
                <w:sz w:val="18"/>
                <w:szCs w:val="18"/>
              </w:rPr>
            </w:pPr>
            <w:r>
              <w:rPr>
                <w:kern w:val="0"/>
                <w:sz w:val="18"/>
                <w:szCs w:val="18"/>
                <w:lang w:bidi="ar"/>
              </w:rPr>
              <w:t>2325.5</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79454070">
            <w:pPr>
              <w:widowControl/>
              <w:jc w:val="center"/>
              <w:textAlignment w:val="center"/>
              <w:rPr>
                <w:sz w:val="18"/>
                <w:szCs w:val="18"/>
              </w:rPr>
            </w:pPr>
            <w:r>
              <w:rPr>
                <w:kern w:val="0"/>
                <w:sz w:val="18"/>
                <w:szCs w:val="18"/>
                <w:lang w:bidi="ar"/>
              </w:rPr>
              <w:t>2.5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29D41DE2">
            <w:pPr>
              <w:widowControl/>
              <w:jc w:val="center"/>
              <w:textAlignment w:val="center"/>
              <w:rPr>
                <w:sz w:val="18"/>
                <w:szCs w:val="18"/>
              </w:rPr>
            </w:pPr>
            <w:r>
              <w:rPr>
                <w:kern w:val="0"/>
                <w:sz w:val="18"/>
                <w:szCs w:val="18"/>
                <w:lang w:bidi="ar"/>
              </w:rPr>
              <w:t>1.8</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5D724222">
            <w:pPr>
              <w:widowControl/>
              <w:jc w:val="center"/>
              <w:textAlignment w:val="center"/>
              <w:rPr>
                <w:sz w:val="18"/>
                <w:szCs w:val="18"/>
              </w:rPr>
            </w:pPr>
            <w:r>
              <w:rPr>
                <w:kern w:val="0"/>
                <w:sz w:val="18"/>
                <w:szCs w:val="18"/>
                <w:lang w:bidi="ar"/>
              </w:rPr>
              <w:t>3</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777E9ADB">
            <w:pPr>
              <w:widowControl/>
              <w:jc w:val="center"/>
              <w:textAlignment w:val="center"/>
              <w:rPr>
                <w:sz w:val="18"/>
                <w:szCs w:val="18"/>
              </w:rPr>
            </w:pPr>
            <w:r>
              <w:rPr>
                <w:kern w:val="0"/>
                <w:sz w:val="18"/>
                <w:szCs w:val="18"/>
                <w:lang w:bidi="ar"/>
              </w:rPr>
              <w:t>2.6</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55F6DD9">
            <w:pPr>
              <w:widowControl/>
              <w:jc w:val="center"/>
              <w:textAlignment w:val="center"/>
              <w:rPr>
                <w:sz w:val="18"/>
                <w:szCs w:val="18"/>
              </w:rPr>
            </w:pPr>
            <w:r>
              <w:rPr>
                <w:kern w:val="0"/>
                <w:sz w:val="18"/>
                <w:szCs w:val="18"/>
                <w:lang w:bidi="ar"/>
              </w:rPr>
              <w:t>1.9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C3141C1">
            <w:pPr>
              <w:widowControl/>
              <w:jc w:val="center"/>
              <w:textAlignment w:val="center"/>
              <w:rPr>
                <w:sz w:val="18"/>
                <w:szCs w:val="18"/>
              </w:rPr>
            </w:pPr>
            <w:r>
              <w:rPr>
                <w:kern w:val="0"/>
                <w:sz w:val="18"/>
                <w:szCs w:val="18"/>
                <w:lang w:bidi="ar"/>
              </w:rPr>
              <w:t>1.7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8AB741C">
            <w:pPr>
              <w:widowControl/>
              <w:jc w:val="center"/>
              <w:textAlignment w:val="center"/>
              <w:rPr>
                <w:sz w:val="18"/>
                <w:szCs w:val="18"/>
              </w:rPr>
            </w:pPr>
            <w:r>
              <w:rPr>
                <w:kern w:val="0"/>
                <w:sz w:val="18"/>
                <w:szCs w:val="18"/>
                <w:lang w:bidi="ar"/>
              </w:rPr>
              <w:t>1.7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D74EE11">
            <w:pPr>
              <w:widowControl/>
              <w:jc w:val="center"/>
              <w:textAlignment w:val="center"/>
              <w:rPr>
                <w:sz w:val="18"/>
                <w:szCs w:val="18"/>
              </w:rPr>
            </w:pPr>
            <w:r>
              <w:rPr>
                <w:kern w:val="0"/>
                <w:sz w:val="18"/>
                <w:szCs w:val="18"/>
                <w:lang w:bidi="ar"/>
              </w:rPr>
              <w:t>3.2</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3CA2AA1">
            <w:pPr>
              <w:widowControl/>
              <w:jc w:val="center"/>
              <w:textAlignment w:val="center"/>
              <w:rPr>
                <w:sz w:val="18"/>
                <w:szCs w:val="18"/>
              </w:rPr>
            </w:pPr>
            <w:r>
              <w:rPr>
                <w:kern w:val="0"/>
                <w:sz w:val="18"/>
                <w:szCs w:val="18"/>
                <w:lang w:bidi="ar"/>
              </w:rPr>
              <w:t>7.9</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1CA407FE">
            <w:pPr>
              <w:widowControl/>
              <w:jc w:val="center"/>
              <w:textAlignment w:val="center"/>
              <w:rPr>
                <w:sz w:val="18"/>
                <w:szCs w:val="18"/>
              </w:rPr>
            </w:pPr>
            <w:r>
              <w:rPr>
                <w:kern w:val="0"/>
                <w:sz w:val="18"/>
                <w:szCs w:val="18"/>
                <w:lang w:bidi="ar"/>
              </w:rPr>
              <w:t>17.8</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90CA44B">
            <w:pPr>
              <w:widowControl/>
              <w:jc w:val="center"/>
              <w:textAlignment w:val="center"/>
              <w:rPr>
                <w:sz w:val="18"/>
                <w:szCs w:val="18"/>
              </w:rPr>
            </w:pPr>
            <w:r>
              <w:rPr>
                <w:kern w:val="0"/>
                <w:sz w:val="18"/>
                <w:szCs w:val="18"/>
                <w:lang w:bidi="ar"/>
              </w:rPr>
              <w:t>27.2</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65DCC319">
            <w:pPr>
              <w:widowControl/>
              <w:jc w:val="center"/>
              <w:textAlignment w:val="center"/>
              <w:rPr>
                <w:sz w:val="18"/>
                <w:szCs w:val="18"/>
              </w:rPr>
            </w:pPr>
            <w:r>
              <w:rPr>
                <w:kern w:val="0"/>
                <w:sz w:val="18"/>
                <w:szCs w:val="18"/>
                <w:lang w:bidi="ar"/>
              </w:rPr>
              <w:t>12.7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1F36EAD">
            <w:pPr>
              <w:widowControl/>
              <w:jc w:val="center"/>
              <w:textAlignment w:val="center"/>
              <w:rPr>
                <w:sz w:val="18"/>
                <w:szCs w:val="18"/>
              </w:rPr>
            </w:pPr>
            <w:r>
              <w:rPr>
                <w:kern w:val="0"/>
                <w:sz w:val="18"/>
                <w:szCs w:val="18"/>
                <w:lang w:bidi="ar"/>
              </w:rPr>
              <w:t>4.5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4A00B4C4">
            <w:pPr>
              <w:widowControl/>
              <w:jc w:val="center"/>
              <w:textAlignment w:val="center"/>
              <w:rPr>
                <w:sz w:val="18"/>
                <w:szCs w:val="18"/>
              </w:rPr>
            </w:pPr>
            <w:r>
              <w:rPr>
                <w:kern w:val="0"/>
                <w:sz w:val="18"/>
                <w:szCs w:val="18"/>
                <w:lang w:bidi="ar"/>
              </w:rPr>
              <w:t>3.3</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46E4B9FF">
            <w:pPr>
              <w:widowControl/>
              <w:jc w:val="center"/>
              <w:textAlignment w:val="center"/>
              <w:rPr>
                <w:sz w:val="18"/>
                <w:szCs w:val="18"/>
              </w:rPr>
            </w:pPr>
            <w:r>
              <w:rPr>
                <w:kern w:val="0"/>
                <w:sz w:val="18"/>
                <w:szCs w:val="18"/>
                <w:lang w:bidi="ar"/>
              </w:rPr>
              <w:t>2.1</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2545899F">
            <w:pPr>
              <w:widowControl/>
              <w:jc w:val="center"/>
              <w:textAlignment w:val="center"/>
              <w:rPr>
                <w:sz w:val="18"/>
                <w:szCs w:val="18"/>
              </w:rPr>
            </w:pPr>
            <w:r>
              <w:rPr>
                <w:kern w:val="0"/>
                <w:sz w:val="18"/>
                <w:szCs w:val="18"/>
                <w:lang w:bidi="ar"/>
              </w:rPr>
              <w:t>1.7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6E96738D">
            <w:pPr>
              <w:widowControl/>
              <w:jc w:val="center"/>
              <w:textAlignment w:val="center"/>
              <w:rPr>
                <w:sz w:val="18"/>
                <w:szCs w:val="18"/>
              </w:rPr>
            </w:pPr>
            <w:r>
              <w:rPr>
                <w:kern w:val="0"/>
                <w:sz w:val="18"/>
                <w:szCs w:val="18"/>
                <w:lang w:bidi="ar"/>
              </w:rPr>
              <w:t>2.7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16ED726">
            <w:pPr>
              <w:widowControl/>
              <w:jc w:val="center"/>
              <w:textAlignment w:val="center"/>
              <w:rPr>
                <w:sz w:val="18"/>
                <w:szCs w:val="18"/>
              </w:rPr>
            </w:pPr>
            <w:r>
              <w:rPr>
                <w:kern w:val="0"/>
                <w:sz w:val="18"/>
                <w:szCs w:val="18"/>
                <w:lang w:bidi="ar"/>
              </w:rPr>
              <w:t>3.5</w:t>
            </w:r>
          </w:p>
        </w:tc>
      </w:tr>
      <w:tr w14:paraId="72E9D29F">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noWrap/>
            <w:vAlign w:val="center"/>
          </w:tcPr>
          <w:p w14:paraId="09E75FB1">
            <w:pPr>
              <w:widowControl/>
              <w:jc w:val="center"/>
              <w:textAlignment w:val="center"/>
              <w:rPr>
                <w:sz w:val="18"/>
                <w:szCs w:val="18"/>
              </w:rPr>
            </w:pPr>
            <w:r>
              <w:rPr>
                <w:kern w:val="0"/>
                <w:sz w:val="18"/>
                <w:szCs w:val="18"/>
                <w:lang w:bidi="ar"/>
              </w:rPr>
              <w:t>累年均值</w:t>
            </w:r>
          </w:p>
        </w:tc>
        <w:tc>
          <w:tcPr>
            <w:tcW w:w="248" w:type="pct"/>
            <w:tcBorders>
              <w:top w:val="single" w:color="000000" w:sz="4" w:space="0"/>
              <w:left w:val="single" w:color="000000" w:sz="4" w:space="0"/>
              <w:bottom w:val="single" w:color="000000" w:sz="4" w:space="0"/>
              <w:right w:val="single" w:color="000000" w:sz="4" w:space="0"/>
            </w:tcBorders>
            <w:noWrap/>
            <w:vAlign w:val="center"/>
          </w:tcPr>
          <w:p w14:paraId="1A56DC91">
            <w:pPr>
              <w:widowControl/>
              <w:jc w:val="center"/>
              <w:textAlignment w:val="center"/>
              <w:rPr>
                <w:sz w:val="18"/>
                <w:szCs w:val="18"/>
              </w:rPr>
            </w:pPr>
            <w:r>
              <w:rPr>
                <w:kern w:val="0"/>
                <w:sz w:val="18"/>
                <w:szCs w:val="18"/>
                <w:lang w:bidi="ar"/>
              </w:rPr>
              <w:t>16.955</w:t>
            </w:r>
          </w:p>
        </w:tc>
        <w:tc>
          <w:tcPr>
            <w:tcW w:w="252" w:type="pct"/>
            <w:tcBorders>
              <w:top w:val="single" w:color="000000" w:sz="4" w:space="0"/>
              <w:left w:val="single" w:color="000000" w:sz="4" w:space="0"/>
              <w:bottom w:val="single" w:color="000000" w:sz="4" w:space="0"/>
              <w:right w:val="single" w:color="000000" w:sz="4" w:space="0"/>
            </w:tcBorders>
            <w:noWrap/>
            <w:vAlign w:val="center"/>
          </w:tcPr>
          <w:p w14:paraId="43A5E715">
            <w:pPr>
              <w:widowControl/>
              <w:jc w:val="center"/>
              <w:textAlignment w:val="center"/>
              <w:rPr>
                <w:sz w:val="18"/>
                <w:szCs w:val="18"/>
              </w:rPr>
            </w:pPr>
            <w:r>
              <w:rPr>
                <w:kern w:val="0"/>
                <w:sz w:val="18"/>
                <w:szCs w:val="18"/>
                <w:lang w:bidi="ar"/>
              </w:rPr>
              <w:t>901.405</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6E5D945C">
            <w:pPr>
              <w:widowControl/>
              <w:jc w:val="center"/>
              <w:textAlignment w:val="center"/>
              <w:rPr>
                <w:sz w:val="18"/>
                <w:szCs w:val="18"/>
              </w:rPr>
            </w:pPr>
            <w:r>
              <w:rPr>
                <w:kern w:val="0"/>
                <w:sz w:val="18"/>
                <w:szCs w:val="18"/>
                <w:lang w:bidi="ar"/>
              </w:rPr>
              <w:t>70.15</w:t>
            </w:r>
          </w:p>
        </w:tc>
        <w:tc>
          <w:tcPr>
            <w:tcW w:w="340" w:type="pct"/>
            <w:tcBorders>
              <w:top w:val="single" w:color="000000" w:sz="4" w:space="0"/>
              <w:left w:val="single" w:color="000000" w:sz="4" w:space="0"/>
              <w:bottom w:val="single" w:color="000000" w:sz="4" w:space="0"/>
              <w:right w:val="single" w:color="000000" w:sz="4" w:space="0"/>
            </w:tcBorders>
            <w:noWrap/>
            <w:vAlign w:val="center"/>
          </w:tcPr>
          <w:p w14:paraId="395F5504">
            <w:pPr>
              <w:widowControl/>
              <w:jc w:val="center"/>
              <w:textAlignment w:val="center"/>
              <w:rPr>
                <w:sz w:val="18"/>
                <w:szCs w:val="18"/>
              </w:rPr>
            </w:pPr>
            <w:r>
              <w:rPr>
                <w:kern w:val="0"/>
                <w:sz w:val="18"/>
                <w:szCs w:val="18"/>
                <w:lang w:bidi="ar"/>
              </w:rPr>
              <w:t>2108.52</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1DD6EBCD">
            <w:pPr>
              <w:widowControl/>
              <w:jc w:val="center"/>
              <w:textAlignment w:val="center"/>
              <w:rPr>
                <w:sz w:val="18"/>
                <w:szCs w:val="18"/>
              </w:rPr>
            </w:pPr>
            <w:r>
              <w:rPr>
                <w:kern w:val="0"/>
                <w:sz w:val="18"/>
                <w:szCs w:val="18"/>
                <w:lang w:bidi="ar"/>
              </w:rPr>
              <w:t>1.79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67640F57">
            <w:pPr>
              <w:widowControl/>
              <w:jc w:val="center"/>
              <w:textAlignment w:val="center"/>
              <w:rPr>
                <w:sz w:val="18"/>
                <w:szCs w:val="18"/>
              </w:rPr>
            </w:pPr>
            <w:r>
              <w:rPr>
                <w:kern w:val="0"/>
                <w:sz w:val="18"/>
                <w:szCs w:val="18"/>
                <w:lang w:bidi="ar"/>
              </w:rPr>
              <w:t>2.04</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002A545">
            <w:pPr>
              <w:widowControl/>
              <w:jc w:val="center"/>
              <w:textAlignment w:val="center"/>
              <w:rPr>
                <w:sz w:val="18"/>
                <w:szCs w:val="18"/>
              </w:rPr>
            </w:pPr>
            <w:r>
              <w:rPr>
                <w:kern w:val="0"/>
                <w:sz w:val="18"/>
                <w:szCs w:val="18"/>
                <w:lang w:bidi="ar"/>
              </w:rPr>
              <w:t>2.54</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ED6624E">
            <w:pPr>
              <w:widowControl/>
              <w:jc w:val="center"/>
              <w:textAlignment w:val="center"/>
              <w:rPr>
                <w:sz w:val="18"/>
                <w:szCs w:val="18"/>
              </w:rPr>
            </w:pPr>
            <w:r>
              <w:rPr>
                <w:kern w:val="0"/>
                <w:sz w:val="18"/>
                <w:szCs w:val="18"/>
                <w:lang w:bidi="ar"/>
              </w:rPr>
              <w:t>2.215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7EAD856A">
            <w:pPr>
              <w:widowControl/>
              <w:jc w:val="center"/>
              <w:textAlignment w:val="center"/>
              <w:rPr>
                <w:sz w:val="18"/>
                <w:szCs w:val="18"/>
              </w:rPr>
            </w:pPr>
            <w:r>
              <w:rPr>
                <w:kern w:val="0"/>
                <w:sz w:val="18"/>
                <w:szCs w:val="18"/>
                <w:lang w:bidi="ar"/>
              </w:rPr>
              <w:t>1.29</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1D16A355">
            <w:pPr>
              <w:widowControl/>
              <w:jc w:val="center"/>
              <w:textAlignment w:val="center"/>
              <w:rPr>
                <w:sz w:val="18"/>
                <w:szCs w:val="18"/>
              </w:rPr>
            </w:pPr>
            <w:r>
              <w:rPr>
                <w:kern w:val="0"/>
                <w:sz w:val="18"/>
                <w:szCs w:val="18"/>
                <w:lang w:bidi="ar"/>
              </w:rPr>
              <w:t>1.07</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5207361D">
            <w:pPr>
              <w:widowControl/>
              <w:jc w:val="center"/>
              <w:textAlignment w:val="center"/>
              <w:rPr>
                <w:sz w:val="18"/>
                <w:szCs w:val="18"/>
              </w:rPr>
            </w:pPr>
            <w:r>
              <w:rPr>
                <w:kern w:val="0"/>
                <w:sz w:val="18"/>
                <w:szCs w:val="18"/>
                <w:lang w:bidi="ar"/>
              </w:rPr>
              <w:t>1.535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1ADCBB8B">
            <w:pPr>
              <w:widowControl/>
              <w:jc w:val="center"/>
              <w:textAlignment w:val="center"/>
              <w:rPr>
                <w:sz w:val="18"/>
                <w:szCs w:val="18"/>
              </w:rPr>
            </w:pPr>
            <w:r>
              <w:rPr>
                <w:kern w:val="0"/>
                <w:sz w:val="18"/>
                <w:szCs w:val="18"/>
                <w:lang w:bidi="ar"/>
              </w:rPr>
              <w:t>2.415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DEF2001">
            <w:pPr>
              <w:widowControl/>
              <w:jc w:val="center"/>
              <w:textAlignment w:val="center"/>
              <w:rPr>
                <w:sz w:val="18"/>
                <w:szCs w:val="18"/>
              </w:rPr>
            </w:pPr>
            <w:r>
              <w:rPr>
                <w:kern w:val="0"/>
                <w:sz w:val="18"/>
                <w:szCs w:val="18"/>
                <w:lang w:bidi="ar"/>
              </w:rPr>
              <w:t>4.045</w:t>
            </w:r>
          </w:p>
        </w:tc>
        <w:tc>
          <w:tcPr>
            <w:tcW w:w="168" w:type="pct"/>
            <w:tcBorders>
              <w:top w:val="single" w:color="000000" w:sz="4" w:space="0"/>
              <w:left w:val="single" w:color="000000" w:sz="4" w:space="0"/>
              <w:bottom w:val="single" w:color="000000" w:sz="4" w:space="0"/>
              <w:right w:val="single" w:color="000000" w:sz="4" w:space="0"/>
            </w:tcBorders>
            <w:noWrap/>
            <w:vAlign w:val="center"/>
          </w:tcPr>
          <w:p w14:paraId="55CF31B5">
            <w:pPr>
              <w:widowControl/>
              <w:jc w:val="center"/>
              <w:textAlignment w:val="center"/>
              <w:rPr>
                <w:sz w:val="18"/>
                <w:szCs w:val="18"/>
              </w:rPr>
            </w:pPr>
            <w:r>
              <w:rPr>
                <w:kern w:val="0"/>
                <w:sz w:val="18"/>
                <w:szCs w:val="18"/>
                <w:lang w:bidi="ar"/>
              </w:rPr>
              <w:t>9.19</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6751EE7">
            <w:pPr>
              <w:widowControl/>
              <w:jc w:val="center"/>
              <w:textAlignment w:val="center"/>
              <w:rPr>
                <w:sz w:val="18"/>
                <w:szCs w:val="18"/>
              </w:rPr>
            </w:pPr>
            <w:r>
              <w:rPr>
                <w:kern w:val="0"/>
                <w:sz w:val="18"/>
                <w:szCs w:val="18"/>
                <w:lang w:bidi="ar"/>
              </w:rPr>
              <w:t>21.18</w:t>
            </w:r>
          </w:p>
        </w:tc>
        <w:tc>
          <w:tcPr>
            <w:tcW w:w="223" w:type="pct"/>
            <w:tcBorders>
              <w:top w:val="single" w:color="000000" w:sz="4" w:space="0"/>
              <w:left w:val="single" w:color="000000" w:sz="4" w:space="0"/>
              <w:bottom w:val="single" w:color="000000" w:sz="4" w:space="0"/>
              <w:right w:val="single" w:color="000000" w:sz="4" w:space="0"/>
            </w:tcBorders>
            <w:noWrap/>
            <w:vAlign w:val="center"/>
          </w:tcPr>
          <w:p w14:paraId="10C752AD">
            <w:pPr>
              <w:widowControl/>
              <w:jc w:val="center"/>
              <w:textAlignment w:val="center"/>
              <w:rPr>
                <w:sz w:val="18"/>
                <w:szCs w:val="18"/>
              </w:rPr>
            </w:pPr>
            <w:r>
              <w:rPr>
                <w:kern w:val="0"/>
                <w:sz w:val="18"/>
                <w:szCs w:val="18"/>
                <w:lang w:bidi="ar"/>
              </w:rPr>
              <w:t>14.865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2176C0E5">
            <w:pPr>
              <w:widowControl/>
              <w:jc w:val="center"/>
              <w:textAlignment w:val="center"/>
              <w:rPr>
                <w:sz w:val="18"/>
                <w:szCs w:val="18"/>
              </w:rPr>
            </w:pPr>
            <w:r>
              <w:rPr>
                <w:kern w:val="0"/>
                <w:sz w:val="18"/>
                <w:szCs w:val="18"/>
                <w:lang w:bidi="ar"/>
              </w:rPr>
              <w:t>7.035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FE6AC7C">
            <w:pPr>
              <w:widowControl/>
              <w:jc w:val="center"/>
              <w:textAlignment w:val="center"/>
              <w:rPr>
                <w:sz w:val="18"/>
                <w:szCs w:val="18"/>
              </w:rPr>
            </w:pPr>
            <w:r>
              <w:rPr>
                <w:kern w:val="0"/>
                <w:sz w:val="18"/>
                <w:szCs w:val="18"/>
                <w:lang w:bidi="ar"/>
              </w:rPr>
              <w:t>2.505</w:t>
            </w:r>
          </w:p>
        </w:tc>
        <w:tc>
          <w:tcPr>
            <w:tcW w:w="167" w:type="pct"/>
            <w:tcBorders>
              <w:top w:val="single" w:color="000000" w:sz="4" w:space="0"/>
              <w:left w:val="single" w:color="000000" w:sz="4" w:space="0"/>
              <w:bottom w:val="single" w:color="000000" w:sz="4" w:space="0"/>
              <w:right w:val="single" w:color="000000" w:sz="4" w:space="0"/>
            </w:tcBorders>
            <w:noWrap/>
            <w:vAlign w:val="center"/>
          </w:tcPr>
          <w:p w14:paraId="04065FB2">
            <w:pPr>
              <w:widowControl/>
              <w:jc w:val="center"/>
              <w:textAlignment w:val="center"/>
              <w:rPr>
                <w:sz w:val="18"/>
                <w:szCs w:val="18"/>
              </w:rPr>
            </w:pPr>
            <w:r>
              <w:rPr>
                <w:kern w:val="0"/>
                <w:sz w:val="18"/>
                <w:szCs w:val="18"/>
                <w:lang w:bidi="ar"/>
              </w:rPr>
              <w:t>0.93</w:t>
            </w:r>
          </w:p>
        </w:tc>
        <w:tc>
          <w:tcPr>
            <w:tcW w:w="139" w:type="pct"/>
            <w:tcBorders>
              <w:top w:val="single" w:color="000000" w:sz="4" w:space="0"/>
              <w:left w:val="single" w:color="000000" w:sz="4" w:space="0"/>
              <w:bottom w:val="single" w:color="000000" w:sz="4" w:space="0"/>
              <w:right w:val="single" w:color="000000" w:sz="4" w:space="0"/>
            </w:tcBorders>
            <w:noWrap/>
            <w:vAlign w:val="center"/>
          </w:tcPr>
          <w:p w14:paraId="49284D7A">
            <w:pPr>
              <w:widowControl/>
              <w:jc w:val="center"/>
              <w:textAlignment w:val="center"/>
              <w:rPr>
                <w:sz w:val="18"/>
                <w:szCs w:val="18"/>
              </w:rPr>
            </w:pPr>
            <w:r>
              <w:rPr>
                <w:kern w:val="0"/>
                <w:sz w:val="18"/>
                <w:szCs w:val="18"/>
                <w:lang w:bidi="ar"/>
              </w:rPr>
              <w:t>1.1</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3C5BAFA2">
            <w:pPr>
              <w:widowControl/>
              <w:jc w:val="center"/>
              <w:textAlignment w:val="center"/>
              <w:rPr>
                <w:sz w:val="18"/>
                <w:szCs w:val="18"/>
              </w:rPr>
            </w:pPr>
            <w:r>
              <w:rPr>
                <w:kern w:val="0"/>
                <w:sz w:val="18"/>
                <w:szCs w:val="18"/>
                <w:lang w:bidi="ar"/>
              </w:rPr>
              <w:t>2.045</w:t>
            </w:r>
          </w:p>
        </w:tc>
        <w:tc>
          <w:tcPr>
            <w:tcW w:w="195" w:type="pct"/>
            <w:tcBorders>
              <w:top w:val="single" w:color="000000" w:sz="4" w:space="0"/>
              <w:left w:val="single" w:color="000000" w:sz="4" w:space="0"/>
              <w:bottom w:val="single" w:color="000000" w:sz="4" w:space="0"/>
              <w:right w:val="single" w:color="000000" w:sz="4" w:space="0"/>
            </w:tcBorders>
            <w:noWrap/>
            <w:vAlign w:val="center"/>
          </w:tcPr>
          <w:p w14:paraId="040FD5E5">
            <w:pPr>
              <w:widowControl/>
              <w:jc w:val="center"/>
              <w:textAlignment w:val="center"/>
              <w:rPr>
                <w:sz w:val="18"/>
                <w:szCs w:val="18"/>
              </w:rPr>
            </w:pPr>
            <w:r>
              <w:rPr>
                <w:kern w:val="0"/>
                <w:sz w:val="18"/>
                <w:szCs w:val="18"/>
                <w:lang w:bidi="ar"/>
              </w:rPr>
              <w:t>23.89</w:t>
            </w:r>
          </w:p>
        </w:tc>
      </w:tr>
    </w:tbl>
    <w:p w14:paraId="74F4EF99">
      <w:pPr>
        <w:spacing w:line="360" w:lineRule="auto"/>
        <w:ind w:firstLine="480" w:firstLineChars="200"/>
        <w:rPr>
          <w:kern w:val="10"/>
          <w:sz w:val="24"/>
          <w:szCs w:val="20"/>
        </w:rPr>
        <w:sectPr>
          <w:pgSz w:w="16838" w:h="11906" w:orient="landscape"/>
          <w:pgMar w:top="1797" w:right="1440" w:bottom="1797" w:left="1361" w:header="851" w:footer="1134" w:gutter="0"/>
          <w:cols w:space="720" w:num="1"/>
          <w:docGrid w:linePitch="312" w:charSpace="0"/>
        </w:sectPr>
      </w:pPr>
    </w:p>
    <w:p w14:paraId="6CD14A7A">
      <w:pPr>
        <w:pStyle w:val="35"/>
      </w:pPr>
    </w:p>
    <w:p w14:paraId="6102F1F4">
      <w:pPr>
        <w:pStyle w:val="35"/>
      </w:pPr>
      <w:r>
        <w:drawing>
          <wp:inline distT="0" distB="0" distL="114300" distR="114300">
            <wp:extent cx="4257040" cy="3895090"/>
            <wp:effectExtent l="0" t="0" r="10160" b="10160"/>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
                    <pic:cNvPicPr>
                      <a:picLocks noChangeAspect="1"/>
                    </pic:cNvPicPr>
                  </pic:nvPicPr>
                  <pic:blipFill>
                    <a:blip r:embed="rId41"/>
                    <a:stretch>
                      <a:fillRect/>
                    </a:stretch>
                  </pic:blipFill>
                  <pic:spPr>
                    <a:xfrm>
                      <a:off x="0" y="0"/>
                      <a:ext cx="4257040" cy="3895090"/>
                    </a:xfrm>
                    <a:prstGeom prst="rect">
                      <a:avLst/>
                    </a:prstGeom>
                    <a:noFill/>
                    <a:ln>
                      <a:noFill/>
                    </a:ln>
                  </pic:spPr>
                </pic:pic>
              </a:graphicData>
            </a:graphic>
          </wp:inline>
        </w:drawing>
      </w:r>
    </w:p>
    <w:p w14:paraId="7D7C51BC">
      <w:pPr>
        <w:pStyle w:val="35"/>
        <w:jc w:val="center"/>
        <w:rPr>
          <w:b/>
          <w:bCs/>
        </w:rPr>
      </w:pPr>
      <w:r>
        <w:rPr>
          <w:b/>
          <w:bCs/>
        </w:rPr>
        <w:t>图5.2-</w:t>
      </w:r>
      <w:r>
        <w:rPr>
          <w:rFonts w:hint="eastAsia"/>
          <w:b/>
          <w:bCs/>
        </w:rPr>
        <w:t>1</w:t>
      </w:r>
      <w:r>
        <w:rPr>
          <w:b/>
          <w:bCs/>
        </w:rPr>
        <w:t xml:space="preserve"> 进近20年风向风频统计图</w:t>
      </w:r>
    </w:p>
    <w:p w14:paraId="4FC25253">
      <w:pPr>
        <w:spacing w:line="360" w:lineRule="auto"/>
        <w:jc w:val="center"/>
        <w:rPr>
          <w:b/>
          <w:bCs/>
          <w:sz w:val="24"/>
        </w:rPr>
      </w:pPr>
      <w:r>
        <w:rPr>
          <w:b/>
          <w:bCs/>
          <w:sz w:val="24"/>
        </w:rPr>
        <w:t>表5.2-2石林气象站常规气象项目统计（2000-2019）</w:t>
      </w:r>
    </w:p>
    <w:tbl>
      <w:tblPr>
        <w:tblStyle w:val="87"/>
        <w:tblW w:w="4999" w:type="pct"/>
        <w:tblInd w:w="0" w:type="dxa"/>
        <w:tblLayout w:type="autofit"/>
        <w:tblCellMar>
          <w:top w:w="0" w:type="dxa"/>
          <w:left w:w="108" w:type="dxa"/>
          <w:bottom w:w="0" w:type="dxa"/>
          <w:right w:w="108" w:type="dxa"/>
        </w:tblCellMar>
      </w:tblPr>
      <w:tblGrid>
        <w:gridCol w:w="3270"/>
        <w:gridCol w:w="1847"/>
        <w:gridCol w:w="3409"/>
      </w:tblGrid>
      <w:tr w14:paraId="11449CB5">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4747EE41">
            <w:pPr>
              <w:widowControl/>
              <w:jc w:val="center"/>
              <w:textAlignment w:val="center"/>
              <w:rPr>
                <w:kern w:val="0"/>
                <w:szCs w:val="21"/>
                <w:lang w:bidi="ar"/>
              </w:rPr>
            </w:pPr>
            <w:r>
              <w:rPr>
                <w:szCs w:val="21"/>
              </w:rPr>
              <w:t>统计项目</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2F7F8CCC">
            <w:pPr>
              <w:widowControl/>
              <w:jc w:val="center"/>
              <w:textAlignment w:val="center"/>
              <w:rPr>
                <w:kern w:val="0"/>
                <w:szCs w:val="21"/>
                <w:lang w:bidi="ar"/>
              </w:rPr>
            </w:pPr>
            <w:r>
              <w:rPr>
                <w:kern w:val="0"/>
                <w:szCs w:val="21"/>
                <w:lang w:bidi="ar"/>
              </w:rPr>
              <w:t>单位</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68ADE323">
            <w:pPr>
              <w:widowControl/>
              <w:jc w:val="center"/>
              <w:textAlignment w:val="center"/>
              <w:rPr>
                <w:kern w:val="0"/>
                <w:szCs w:val="21"/>
                <w:lang w:bidi="ar"/>
              </w:rPr>
            </w:pPr>
            <w:r>
              <w:rPr>
                <w:kern w:val="0"/>
                <w:szCs w:val="21"/>
                <w:lang w:bidi="ar"/>
              </w:rPr>
              <w:t>统计值</w:t>
            </w:r>
          </w:p>
        </w:tc>
      </w:tr>
      <w:tr w14:paraId="47EDDA49">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64FF0D05">
            <w:pPr>
              <w:widowControl/>
              <w:jc w:val="center"/>
              <w:textAlignment w:val="center"/>
              <w:rPr>
                <w:szCs w:val="21"/>
              </w:rPr>
            </w:pPr>
            <w:r>
              <w:rPr>
                <w:kern w:val="0"/>
                <w:szCs w:val="21"/>
                <w:lang w:bidi="ar"/>
              </w:rPr>
              <w:t>平均气压</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7D18F51C">
            <w:pPr>
              <w:widowControl/>
              <w:jc w:val="center"/>
              <w:textAlignment w:val="center"/>
              <w:rPr>
                <w:szCs w:val="21"/>
              </w:rPr>
            </w:pPr>
            <w:r>
              <w:rPr>
                <w:kern w:val="0"/>
                <w:szCs w:val="21"/>
                <w:lang w:bidi="ar"/>
              </w:rPr>
              <w:t>hpa</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62B5463A">
            <w:pPr>
              <w:widowControl/>
              <w:jc w:val="center"/>
              <w:textAlignment w:val="center"/>
              <w:rPr>
                <w:szCs w:val="21"/>
              </w:rPr>
            </w:pPr>
            <w:r>
              <w:rPr>
                <w:kern w:val="0"/>
                <w:szCs w:val="21"/>
                <w:lang w:bidi="ar"/>
              </w:rPr>
              <w:t>830.3</w:t>
            </w:r>
          </w:p>
        </w:tc>
      </w:tr>
      <w:tr w14:paraId="7D87DC38">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328E2AAC">
            <w:pPr>
              <w:widowControl/>
              <w:jc w:val="center"/>
              <w:textAlignment w:val="center"/>
              <w:rPr>
                <w:szCs w:val="21"/>
              </w:rPr>
            </w:pPr>
            <w:r>
              <w:rPr>
                <w:kern w:val="0"/>
                <w:szCs w:val="21"/>
                <w:lang w:bidi="ar"/>
              </w:rPr>
              <w:t>平均相对湿度</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3781A253">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5E65AC5A">
            <w:pPr>
              <w:widowControl/>
              <w:jc w:val="center"/>
              <w:textAlignment w:val="center"/>
              <w:rPr>
                <w:szCs w:val="21"/>
              </w:rPr>
            </w:pPr>
            <w:r>
              <w:rPr>
                <w:kern w:val="0"/>
                <w:szCs w:val="21"/>
                <w:lang w:bidi="ar"/>
              </w:rPr>
              <w:t>70.2</w:t>
            </w:r>
          </w:p>
        </w:tc>
      </w:tr>
      <w:tr w14:paraId="57B35DB9">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1D858A04">
            <w:pPr>
              <w:widowControl/>
              <w:jc w:val="center"/>
              <w:textAlignment w:val="center"/>
              <w:rPr>
                <w:szCs w:val="21"/>
              </w:rPr>
            </w:pPr>
            <w:r>
              <w:rPr>
                <w:kern w:val="0"/>
                <w:szCs w:val="21"/>
                <w:lang w:bidi="ar"/>
              </w:rPr>
              <w:t>平均风速</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35B09383">
            <w:pPr>
              <w:widowControl/>
              <w:jc w:val="center"/>
              <w:textAlignment w:val="center"/>
              <w:rPr>
                <w:szCs w:val="21"/>
              </w:rPr>
            </w:pPr>
            <w:r>
              <w:rPr>
                <w:kern w:val="0"/>
                <w:szCs w:val="21"/>
                <w:lang w:bidi="ar"/>
              </w:rPr>
              <w:t>m/s</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3348EA67">
            <w:pPr>
              <w:widowControl/>
              <w:jc w:val="center"/>
              <w:textAlignment w:val="center"/>
              <w:rPr>
                <w:szCs w:val="21"/>
              </w:rPr>
            </w:pPr>
            <w:r>
              <w:rPr>
                <w:kern w:val="0"/>
                <w:szCs w:val="21"/>
                <w:lang w:bidi="ar"/>
              </w:rPr>
              <w:t>1.8</w:t>
            </w:r>
          </w:p>
        </w:tc>
      </w:tr>
      <w:tr w14:paraId="48AF6C20">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2CA4FD7A">
            <w:pPr>
              <w:widowControl/>
              <w:jc w:val="center"/>
              <w:textAlignment w:val="center"/>
              <w:rPr>
                <w:szCs w:val="21"/>
              </w:rPr>
            </w:pPr>
            <w:r>
              <w:rPr>
                <w:kern w:val="0"/>
                <w:szCs w:val="21"/>
                <w:lang w:bidi="ar"/>
              </w:rPr>
              <w:t>平均气温</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00F5C49D">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12461BF7">
            <w:pPr>
              <w:widowControl/>
              <w:jc w:val="center"/>
              <w:textAlignment w:val="center"/>
              <w:rPr>
                <w:szCs w:val="21"/>
              </w:rPr>
            </w:pPr>
            <w:r>
              <w:rPr>
                <w:kern w:val="0"/>
                <w:szCs w:val="21"/>
                <w:lang w:bidi="ar"/>
              </w:rPr>
              <w:t>17</w:t>
            </w:r>
          </w:p>
        </w:tc>
      </w:tr>
      <w:tr w14:paraId="309B500D">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34FE00C8">
            <w:pPr>
              <w:widowControl/>
              <w:jc w:val="center"/>
              <w:textAlignment w:val="center"/>
              <w:rPr>
                <w:szCs w:val="21"/>
              </w:rPr>
            </w:pPr>
            <w:r>
              <w:rPr>
                <w:kern w:val="0"/>
                <w:szCs w:val="21"/>
                <w:lang w:bidi="ar"/>
              </w:rPr>
              <w:t>平均降水量</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16854398">
            <w:pPr>
              <w:widowControl/>
              <w:jc w:val="center"/>
              <w:textAlignment w:val="center"/>
              <w:rPr>
                <w:szCs w:val="21"/>
              </w:rPr>
            </w:pPr>
            <w:r>
              <w:rPr>
                <w:kern w:val="0"/>
                <w:szCs w:val="21"/>
                <w:lang w:bidi="ar"/>
              </w:rPr>
              <w:t>mm</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348168FC">
            <w:pPr>
              <w:widowControl/>
              <w:jc w:val="center"/>
              <w:textAlignment w:val="center"/>
              <w:rPr>
                <w:szCs w:val="21"/>
              </w:rPr>
            </w:pPr>
            <w:r>
              <w:rPr>
                <w:kern w:val="0"/>
                <w:szCs w:val="21"/>
                <w:lang w:bidi="ar"/>
              </w:rPr>
              <w:t>901.4</w:t>
            </w:r>
          </w:p>
        </w:tc>
      </w:tr>
      <w:tr w14:paraId="27073924">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15A12CCE">
            <w:pPr>
              <w:widowControl/>
              <w:jc w:val="center"/>
              <w:textAlignment w:val="center"/>
              <w:rPr>
                <w:szCs w:val="21"/>
              </w:rPr>
            </w:pPr>
            <w:r>
              <w:rPr>
                <w:kern w:val="0"/>
                <w:szCs w:val="21"/>
                <w:lang w:bidi="ar"/>
              </w:rPr>
              <w:t>日照时长</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09FCAA10">
            <w:pPr>
              <w:widowControl/>
              <w:jc w:val="center"/>
              <w:textAlignment w:val="center"/>
              <w:rPr>
                <w:szCs w:val="21"/>
              </w:rPr>
            </w:pPr>
            <w:r>
              <w:rPr>
                <w:kern w:val="0"/>
                <w:szCs w:val="21"/>
                <w:lang w:bidi="ar"/>
              </w:rPr>
              <w:t>h</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425B538B">
            <w:pPr>
              <w:widowControl/>
              <w:jc w:val="center"/>
              <w:textAlignment w:val="center"/>
              <w:rPr>
                <w:szCs w:val="21"/>
              </w:rPr>
            </w:pPr>
            <w:r>
              <w:rPr>
                <w:kern w:val="0"/>
                <w:szCs w:val="21"/>
                <w:lang w:bidi="ar"/>
              </w:rPr>
              <w:t>2108.5</w:t>
            </w:r>
          </w:p>
        </w:tc>
      </w:tr>
      <w:tr w14:paraId="068719AA">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4BCE796D">
            <w:pPr>
              <w:widowControl/>
              <w:jc w:val="center"/>
              <w:textAlignment w:val="center"/>
              <w:rPr>
                <w:szCs w:val="21"/>
              </w:rPr>
            </w:pPr>
            <w:r>
              <w:rPr>
                <w:kern w:val="0"/>
                <w:szCs w:val="21"/>
                <w:lang w:bidi="ar"/>
              </w:rPr>
              <w:t>静风频率</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15F65AE0">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37083425">
            <w:pPr>
              <w:widowControl/>
              <w:jc w:val="center"/>
              <w:textAlignment w:val="center"/>
              <w:rPr>
                <w:szCs w:val="21"/>
              </w:rPr>
            </w:pPr>
            <w:r>
              <w:rPr>
                <w:kern w:val="0"/>
                <w:szCs w:val="21"/>
                <w:lang w:bidi="ar"/>
              </w:rPr>
              <w:t>23.9</w:t>
            </w:r>
          </w:p>
        </w:tc>
      </w:tr>
      <w:tr w14:paraId="1C6349CF">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2A2248EE">
            <w:pPr>
              <w:widowControl/>
              <w:jc w:val="center"/>
              <w:textAlignment w:val="center"/>
              <w:rPr>
                <w:szCs w:val="21"/>
              </w:rPr>
            </w:pPr>
            <w:r>
              <w:rPr>
                <w:kern w:val="0"/>
                <w:szCs w:val="21"/>
                <w:lang w:bidi="ar"/>
              </w:rPr>
              <w:t>雷暴日数</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24B5E479">
            <w:pPr>
              <w:widowControl/>
              <w:jc w:val="center"/>
              <w:textAlignment w:val="center"/>
              <w:rPr>
                <w:szCs w:val="21"/>
              </w:rPr>
            </w:pPr>
            <w:r>
              <w:rPr>
                <w:kern w:val="0"/>
                <w:szCs w:val="21"/>
                <w:lang w:bidi="ar"/>
              </w:rPr>
              <w:t>Day</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0FF34EB7">
            <w:pPr>
              <w:widowControl/>
              <w:jc w:val="center"/>
              <w:textAlignment w:val="center"/>
              <w:rPr>
                <w:szCs w:val="21"/>
              </w:rPr>
            </w:pPr>
            <w:r>
              <w:rPr>
                <w:kern w:val="0"/>
                <w:szCs w:val="21"/>
                <w:lang w:bidi="ar"/>
              </w:rPr>
              <w:t>41.2</w:t>
            </w:r>
          </w:p>
        </w:tc>
      </w:tr>
      <w:tr w14:paraId="52382C9B">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35F039B1">
            <w:pPr>
              <w:widowControl/>
              <w:jc w:val="center"/>
              <w:textAlignment w:val="center"/>
              <w:rPr>
                <w:szCs w:val="21"/>
              </w:rPr>
            </w:pPr>
            <w:r>
              <w:rPr>
                <w:kern w:val="0"/>
                <w:szCs w:val="21"/>
                <w:lang w:bidi="ar"/>
              </w:rPr>
              <w:t>大风日数</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10C4BE34">
            <w:pPr>
              <w:widowControl/>
              <w:jc w:val="center"/>
              <w:textAlignment w:val="center"/>
              <w:rPr>
                <w:szCs w:val="21"/>
              </w:rPr>
            </w:pPr>
            <w:r>
              <w:rPr>
                <w:kern w:val="0"/>
                <w:szCs w:val="21"/>
                <w:lang w:bidi="ar"/>
              </w:rPr>
              <w:t>Day</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205C984B">
            <w:pPr>
              <w:widowControl/>
              <w:jc w:val="center"/>
              <w:textAlignment w:val="center"/>
              <w:rPr>
                <w:szCs w:val="21"/>
              </w:rPr>
            </w:pPr>
            <w:r>
              <w:rPr>
                <w:kern w:val="0"/>
                <w:szCs w:val="21"/>
                <w:lang w:bidi="ar"/>
              </w:rPr>
              <w:t>5.3</w:t>
            </w:r>
          </w:p>
        </w:tc>
      </w:tr>
      <w:tr w14:paraId="18EF3935">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179242F0">
            <w:pPr>
              <w:widowControl/>
              <w:jc w:val="center"/>
              <w:textAlignment w:val="center"/>
              <w:rPr>
                <w:szCs w:val="21"/>
              </w:rPr>
            </w:pPr>
            <w:r>
              <w:rPr>
                <w:kern w:val="0"/>
                <w:szCs w:val="21"/>
                <w:lang w:bidi="ar"/>
              </w:rPr>
              <w:t>冰雹日数</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690A69C7">
            <w:pPr>
              <w:widowControl/>
              <w:jc w:val="center"/>
              <w:textAlignment w:val="center"/>
              <w:rPr>
                <w:szCs w:val="21"/>
              </w:rPr>
            </w:pPr>
            <w:r>
              <w:rPr>
                <w:kern w:val="0"/>
                <w:szCs w:val="21"/>
                <w:lang w:bidi="ar"/>
              </w:rPr>
              <w:t>Day</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1743E023">
            <w:pPr>
              <w:widowControl/>
              <w:jc w:val="center"/>
              <w:textAlignment w:val="center"/>
              <w:rPr>
                <w:szCs w:val="21"/>
              </w:rPr>
            </w:pPr>
            <w:r>
              <w:rPr>
                <w:kern w:val="0"/>
                <w:szCs w:val="21"/>
                <w:lang w:bidi="ar"/>
              </w:rPr>
              <w:t>0.5</w:t>
            </w:r>
          </w:p>
        </w:tc>
      </w:tr>
      <w:tr w14:paraId="4553CBEE">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5C55E2F2">
            <w:pPr>
              <w:widowControl/>
              <w:jc w:val="center"/>
              <w:textAlignment w:val="center"/>
              <w:rPr>
                <w:szCs w:val="21"/>
              </w:rPr>
            </w:pPr>
            <w:r>
              <w:rPr>
                <w:kern w:val="0"/>
                <w:szCs w:val="21"/>
                <w:lang w:bidi="ar"/>
              </w:rPr>
              <w:t>多年平均最高温</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2BCF5CFE">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1AE89C73">
            <w:pPr>
              <w:widowControl/>
              <w:jc w:val="center"/>
              <w:textAlignment w:val="center"/>
              <w:rPr>
                <w:szCs w:val="21"/>
              </w:rPr>
            </w:pPr>
            <w:r>
              <w:rPr>
                <w:kern w:val="0"/>
                <w:szCs w:val="21"/>
                <w:lang w:bidi="ar"/>
              </w:rPr>
              <w:t>32.1</w:t>
            </w:r>
          </w:p>
        </w:tc>
      </w:tr>
      <w:tr w14:paraId="1A4F6973">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6EF04128">
            <w:pPr>
              <w:widowControl/>
              <w:jc w:val="center"/>
              <w:textAlignment w:val="center"/>
              <w:rPr>
                <w:szCs w:val="21"/>
              </w:rPr>
            </w:pPr>
            <w:r>
              <w:rPr>
                <w:kern w:val="0"/>
                <w:szCs w:val="21"/>
                <w:lang w:bidi="ar"/>
              </w:rPr>
              <w:t>多年平均最低温</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5D834A63">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2E07DA91">
            <w:pPr>
              <w:widowControl/>
              <w:jc w:val="center"/>
              <w:textAlignment w:val="center"/>
              <w:rPr>
                <w:szCs w:val="21"/>
              </w:rPr>
            </w:pPr>
            <w:r>
              <w:rPr>
                <w:kern w:val="0"/>
                <w:szCs w:val="21"/>
                <w:lang w:bidi="ar"/>
              </w:rPr>
              <w:t>-1.3</w:t>
            </w:r>
          </w:p>
        </w:tc>
      </w:tr>
      <w:tr w14:paraId="31F9977F">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69687E68">
            <w:pPr>
              <w:widowControl/>
              <w:jc w:val="center"/>
              <w:textAlignment w:val="center"/>
              <w:rPr>
                <w:szCs w:val="21"/>
              </w:rPr>
            </w:pPr>
            <w:r>
              <w:rPr>
                <w:kern w:val="0"/>
                <w:szCs w:val="21"/>
                <w:lang w:bidi="ar"/>
              </w:rPr>
              <w:t>最高气温</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7C388807">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66431443">
            <w:pPr>
              <w:jc w:val="center"/>
              <w:rPr>
                <w:szCs w:val="21"/>
              </w:rPr>
            </w:pPr>
            <w:r>
              <w:rPr>
                <w:kern w:val="0"/>
                <w:szCs w:val="21"/>
                <w:lang w:bidi="ar"/>
              </w:rPr>
              <w:t>34.4</w:t>
            </w:r>
          </w:p>
        </w:tc>
      </w:tr>
      <w:tr w14:paraId="3ED8F528">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14CF4EEC">
            <w:pPr>
              <w:widowControl/>
              <w:jc w:val="center"/>
              <w:textAlignment w:val="center"/>
              <w:rPr>
                <w:szCs w:val="21"/>
              </w:rPr>
            </w:pPr>
            <w:r>
              <w:rPr>
                <w:kern w:val="0"/>
                <w:szCs w:val="21"/>
                <w:lang w:bidi="ar"/>
              </w:rPr>
              <w:t>最低气温</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42840047">
            <w:pPr>
              <w:widowControl/>
              <w:jc w:val="center"/>
              <w:textAlignment w:val="center"/>
              <w:rPr>
                <w:szCs w:val="21"/>
              </w:rPr>
            </w:pPr>
            <w:r>
              <w:rPr>
                <w:kern w:val="0"/>
                <w:szCs w:val="21"/>
                <w:lang w:bidi="ar"/>
              </w:rPr>
              <w:t>℃</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61956F36">
            <w:pPr>
              <w:jc w:val="center"/>
              <w:rPr>
                <w:szCs w:val="21"/>
              </w:rPr>
            </w:pPr>
            <w:r>
              <w:rPr>
                <w:kern w:val="0"/>
                <w:szCs w:val="21"/>
                <w:lang w:bidi="ar"/>
              </w:rPr>
              <w:t>-4</w:t>
            </w:r>
          </w:p>
        </w:tc>
      </w:tr>
      <w:tr w14:paraId="68EB9D8D">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5D74F7AC">
            <w:pPr>
              <w:widowControl/>
              <w:jc w:val="center"/>
              <w:textAlignment w:val="center"/>
              <w:rPr>
                <w:szCs w:val="21"/>
              </w:rPr>
            </w:pPr>
            <w:r>
              <w:rPr>
                <w:kern w:val="0"/>
                <w:szCs w:val="21"/>
                <w:lang w:bidi="ar"/>
              </w:rPr>
              <w:t>最大日降水量</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4C00FA49">
            <w:pPr>
              <w:widowControl/>
              <w:jc w:val="center"/>
              <w:textAlignment w:val="center"/>
              <w:rPr>
                <w:szCs w:val="21"/>
              </w:rPr>
            </w:pPr>
            <w:r>
              <w:rPr>
                <w:szCs w:val="21"/>
              </w:rPr>
              <w:t>mm</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0D11696E">
            <w:pPr>
              <w:jc w:val="center"/>
              <w:rPr>
                <w:szCs w:val="21"/>
              </w:rPr>
            </w:pPr>
            <w:r>
              <w:rPr>
                <w:kern w:val="0"/>
                <w:szCs w:val="21"/>
                <w:lang w:bidi="ar"/>
              </w:rPr>
              <w:t>104</w:t>
            </w:r>
          </w:p>
        </w:tc>
      </w:tr>
      <w:tr w14:paraId="1441A047">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07F9FBEB">
            <w:pPr>
              <w:widowControl/>
              <w:jc w:val="center"/>
              <w:textAlignment w:val="center"/>
              <w:rPr>
                <w:szCs w:val="21"/>
              </w:rPr>
            </w:pPr>
            <w:r>
              <w:rPr>
                <w:kern w:val="0"/>
                <w:szCs w:val="21"/>
                <w:lang w:bidi="ar"/>
              </w:rPr>
              <w:t>极大风速</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1B0B05E6">
            <w:pPr>
              <w:widowControl/>
              <w:jc w:val="center"/>
              <w:textAlignment w:val="center"/>
              <w:rPr>
                <w:szCs w:val="21"/>
              </w:rPr>
            </w:pPr>
            <w:r>
              <w:rPr>
                <w:szCs w:val="21"/>
              </w:rPr>
              <w:t>m/s</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6197AD56">
            <w:pPr>
              <w:jc w:val="center"/>
              <w:rPr>
                <w:szCs w:val="21"/>
              </w:rPr>
            </w:pPr>
            <w:r>
              <w:rPr>
                <w:kern w:val="0"/>
                <w:szCs w:val="21"/>
                <w:lang w:bidi="ar"/>
              </w:rPr>
              <w:t>25.7(对应风向NNE)</w:t>
            </w:r>
          </w:p>
        </w:tc>
      </w:tr>
      <w:tr w14:paraId="4008539E">
        <w:tblPrEx>
          <w:tblCellMar>
            <w:top w:w="0" w:type="dxa"/>
            <w:left w:w="108" w:type="dxa"/>
            <w:bottom w:w="0" w:type="dxa"/>
            <w:right w:w="108" w:type="dxa"/>
          </w:tblCellMar>
        </w:tblPrEx>
        <w:trPr>
          <w:trHeight w:val="270" w:hRule="atLeast"/>
        </w:trPr>
        <w:tc>
          <w:tcPr>
            <w:tcW w:w="1917" w:type="pct"/>
            <w:tcBorders>
              <w:top w:val="single" w:color="000000" w:sz="4" w:space="0"/>
              <w:left w:val="single" w:color="000000" w:sz="4" w:space="0"/>
              <w:bottom w:val="single" w:color="000000" w:sz="4" w:space="0"/>
              <w:right w:val="single" w:color="000000" w:sz="4" w:space="0"/>
            </w:tcBorders>
            <w:noWrap/>
            <w:vAlign w:val="center"/>
          </w:tcPr>
          <w:p w14:paraId="2708448B">
            <w:pPr>
              <w:widowControl/>
              <w:jc w:val="center"/>
              <w:textAlignment w:val="center"/>
              <w:rPr>
                <w:szCs w:val="21"/>
              </w:rPr>
            </w:pPr>
            <w:r>
              <w:rPr>
                <w:kern w:val="0"/>
                <w:szCs w:val="21"/>
                <w:lang w:bidi="ar"/>
              </w:rPr>
              <w:t>最小年降水量</w:t>
            </w:r>
          </w:p>
        </w:tc>
        <w:tc>
          <w:tcPr>
            <w:tcW w:w="1083" w:type="pct"/>
            <w:tcBorders>
              <w:top w:val="single" w:color="000000" w:sz="4" w:space="0"/>
              <w:left w:val="single" w:color="000000" w:sz="4" w:space="0"/>
              <w:bottom w:val="single" w:color="000000" w:sz="4" w:space="0"/>
              <w:right w:val="single" w:color="000000" w:sz="4" w:space="0"/>
            </w:tcBorders>
            <w:noWrap/>
            <w:vAlign w:val="center"/>
          </w:tcPr>
          <w:p w14:paraId="1FA7BA67">
            <w:pPr>
              <w:widowControl/>
              <w:jc w:val="center"/>
              <w:textAlignment w:val="center"/>
              <w:rPr>
                <w:szCs w:val="21"/>
              </w:rPr>
            </w:pPr>
            <w:r>
              <w:rPr>
                <w:szCs w:val="21"/>
              </w:rPr>
              <w:t>mm</w:t>
            </w:r>
          </w:p>
        </w:tc>
        <w:tc>
          <w:tcPr>
            <w:tcW w:w="1998" w:type="pct"/>
            <w:tcBorders>
              <w:top w:val="single" w:color="000000" w:sz="4" w:space="0"/>
              <w:left w:val="single" w:color="000000" w:sz="4" w:space="0"/>
              <w:bottom w:val="single" w:color="000000" w:sz="4" w:space="0"/>
              <w:right w:val="single" w:color="000000" w:sz="4" w:space="0"/>
            </w:tcBorders>
            <w:noWrap/>
            <w:vAlign w:val="center"/>
          </w:tcPr>
          <w:p w14:paraId="79094FA2">
            <w:pPr>
              <w:jc w:val="center"/>
              <w:rPr>
                <w:szCs w:val="21"/>
              </w:rPr>
            </w:pPr>
            <w:r>
              <w:rPr>
                <w:kern w:val="0"/>
                <w:szCs w:val="21"/>
                <w:lang w:bidi="ar"/>
              </w:rPr>
              <w:t>550.6(2011年)</w:t>
            </w:r>
          </w:p>
        </w:tc>
      </w:tr>
    </w:tbl>
    <w:p w14:paraId="64511845">
      <w:pPr>
        <w:spacing w:line="360" w:lineRule="auto"/>
        <w:ind w:firstLine="482" w:firstLineChars="200"/>
        <w:rPr>
          <w:b/>
          <w:bCs/>
          <w:sz w:val="24"/>
        </w:rPr>
      </w:pPr>
      <w:r>
        <w:rPr>
          <w:b/>
          <w:bCs/>
          <w:sz w:val="24"/>
        </w:rPr>
        <w:t>（2）污染源强</w:t>
      </w:r>
    </w:p>
    <w:p w14:paraId="71675F44">
      <w:pPr>
        <w:adjustRightInd w:val="0"/>
        <w:snapToGrid w:val="0"/>
        <w:spacing w:line="360" w:lineRule="auto"/>
        <w:ind w:firstLine="480" w:firstLineChars="200"/>
        <w:jc w:val="left"/>
        <w:rPr>
          <w:bCs/>
          <w:sz w:val="24"/>
        </w:rPr>
      </w:pPr>
      <w:r>
        <w:rPr>
          <w:bCs/>
          <w:sz w:val="24"/>
        </w:rPr>
        <w:t>项目恶臭主要来源于猪舍、堆肥发酵区、污水处理站、无害化处理车间，根据项目平面布局。项目恶臭污染物源强参数详见下表。</w:t>
      </w:r>
    </w:p>
    <w:p w14:paraId="7E5AAEA3">
      <w:pPr>
        <w:spacing w:line="360" w:lineRule="auto"/>
        <w:ind w:firstLine="422" w:firstLineChars="200"/>
        <w:jc w:val="center"/>
        <w:rPr>
          <w:b/>
          <w:szCs w:val="21"/>
        </w:rPr>
        <w:sectPr>
          <w:pgSz w:w="11906" w:h="16838"/>
          <w:pgMar w:top="1440" w:right="1797" w:bottom="1361" w:left="1797" w:header="851" w:footer="1134" w:gutter="0"/>
          <w:cols w:space="720" w:num="1"/>
          <w:docGrid w:linePitch="312" w:charSpace="0"/>
        </w:sectPr>
      </w:pPr>
    </w:p>
    <w:p w14:paraId="737BA4F5">
      <w:pPr>
        <w:spacing w:line="360" w:lineRule="auto"/>
        <w:ind w:firstLine="422" w:firstLineChars="200"/>
        <w:jc w:val="center"/>
        <w:rPr>
          <w:b/>
          <w:szCs w:val="21"/>
        </w:rPr>
      </w:pPr>
      <w:r>
        <w:rPr>
          <w:b/>
          <w:szCs w:val="21"/>
        </w:rPr>
        <w:t>表5.2-3 拟建项目主要废气污染源参数一览表（面源）</w:t>
      </w:r>
    </w:p>
    <w:tbl>
      <w:tblPr>
        <w:tblStyle w:val="87"/>
        <w:tblW w:w="4996" w:type="pct"/>
        <w:tblInd w:w="0" w:type="dxa"/>
        <w:tblLayout w:type="autofit"/>
        <w:tblCellMar>
          <w:top w:w="0" w:type="dxa"/>
          <w:left w:w="108" w:type="dxa"/>
          <w:bottom w:w="0" w:type="dxa"/>
          <w:right w:w="108" w:type="dxa"/>
        </w:tblCellMar>
      </w:tblPr>
      <w:tblGrid>
        <w:gridCol w:w="1208"/>
        <w:gridCol w:w="2371"/>
        <w:gridCol w:w="1208"/>
        <w:gridCol w:w="1217"/>
        <w:gridCol w:w="1208"/>
        <w:gridCol w:w="1208"/>
        <w:gridCol w:w="1208"/>
        <w:gridCol w:w="1209"/>
        <w:gridCol w:w="1700"/>
        <w:gridCol w:w="1705"/>
      </w:tblGrid>
      <w:tr w14:paraId="3F02570C">
        <w:tblPrEx>
          <w:tblCellMar>
            <w:top w:w="0" w:type="dxa"/>
            <w:left w:w="108" w:type="dxa"/>
            <w:bottom w:w="0" w:type="dxa"/>
            <w:right w:w="108" w:type="dxa"/>
          </w:tblCellMar>
        </w:tblPrEx>
        <w:trPr>
          <w:trHeight w:val="480" w:hRule="atLeast"/>
        </w:trPr>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F7DDBE">
            <w:pPr>
              <w:widowControl/>
              <w:jc w:val="center"/>
              <w:textAlignment w:val="center"/>
              <w:rPr>
                <w:szCs w:val="21"/>
              </w:rPr>
            </w:pPr>
            <w:r>
              <w:rPr>
                <w:kern w:val="0"/>
                <w:szCs w:val="21"/>
                <w:lang w:bidi="ar"/>
              </w:rPr>
              <w:t>编号</w:t>
            </w:r>
          </w:p>
        </w:tc>
        <w:tc>
          <w:tcPr>
            <w:tcW w:w="832"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DAFF3A">
            <w:pPr>
              <w:widowControl/>
              <w:jc w:val="center"/>
              <w:textAlignment w:val="center"/>
              <w:rPr>
                <w:szCs w:val="21"/>
              </w:rPr>
            </w:pPr>
            <w:r>
              <w:rPr>
                <w:kern w:val="0"/>
                <w:szCs w:val="21"/>
                <w:lang w:bidi="ar"/>
              </w:rPr>
              <w:t>名称</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8B4541">
            <w:pPr>
              <w:widowControl/>
              <w:jc w:val="center"/>
              <w:textAlignment w:val="center"/>
              <w:rPr>
                <w:szCs w:val="21"/>
              </w:rPr>
            </w:pPr>
            <w:r>
              <w:rPr>
                <w:kern w:val="0"/>
                <w:szCs w:val="21"/>
                <w:lang w:bidi="ar"/>
              </w:rPr>
              <w:t>面源各顶点坐标/</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F6F0D">
            <w:pPr>
              <w:widowControl/>
              <w:jc w:val="center"/>
              <w:textAlignment w:val="center"/>
              <w:rPr>
                <w:szCs w:val="21"/>
              </w:rPr>
            </w:pPr>
            <w:r>
              <w:rPr>
                <w:kern w:val="0"/>
                <w:szCs w:val="21"/>
                <w:lang w:bidi="ar"/>
              </w:rPr>
              <w:t>面源海拔高度/m</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DB6901">
            <w:pPr>
              <w:widowControl/>
              <w:jc w:val="center"/>
              <w:textAlignment w:val="center"/>
              <w:rPr>
                <w:szCs w:val="21"/>
              </w:rPr>
            </w:pPr>
            <w:r>
              <w:rPr>
                <w:kern w:val="0"/>
                <w:szCs w:val="21"/>
                <w:lang w:bidi="ar"/>
              </w:rPr>
              <w:t>面源有效排放高度/m</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BDFDC5">
            <w:pPr>
              <w:widowControl/>
              <w:jc w:val="center"/>
              <w:textAlignment w:val="center"/>
              <w:rPr>
                <w:szCs w:val="21"/>
              </w:rPr>
            </w:pPr>
            <w:r>
              <w:rPr>
                <w:kern w:val="0"/>
                <w:szCs w:val="21"/>
                <w:lang w:bidi="ar"/>
              </w:rPr>
              <w:t>年排放小时数/h</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9F1BE1">
            <w:pPr>
              <w:widowControl/>
              <w:jc w:val="center"/>
              <w:textAlignment w:val="center"/>
              <w:rPr>
                <w:szCs w:val="21"/>
              </w:rPr>
            </w:pPr>
            <w:r>
              <w:rPr>
                <w:kern w:val="0"/>
                <w:szCs w:val="21"/>
                <w:lang w:bidi="ar"/>
              </w:rPr>
              <w:t>排放工况</w:t>
            </w: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A13B99">
            <w:pPr>
              <w:widowControl/>
              <w:jc w:val="center"/>
              <w:textAlignment w:val="center"/>
              <w:rPr>
                <w:szCs w:val="21"/>
              </w:rPr>
            </w:pPr>
            <w:r>
              <w:rPr>
                <w:kern w:val="0"/>
                <w:szCs w:val="21"/>
                <w:lang w:bidi="ar"/>
              </w:rPr>
              <w:t>污染物排放速率/</w:t>
            </w:r>
          </w:p>
        </w:tc>
      </w:tr>
      <w:tr w14:paraId="27B983E4">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AC5079">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0C3481">
            <w:pPr>
              <w:jc w:val="center"/>
              <w:rPr>
                <w:szCs w:val="21"/>
              </w:rPr>
            </w:pP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CFB428">
            <w:pPr>
              <w:widowControl/>
              <w:jc w:val="center"/>
              <w:textAlignment w:val="center"/>
              <w:rPr>
                <w:szCs w:val="21"/>
              </w:rPr>
            </w:pPr>
            <w:r>
              <w:rPr>
                <w:kern w:val="0"/>
                <w:szCs w:val="21"/>
                <w:lang w:bidi="ar"/>
              </w:rPr>
              <w:t>m</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E794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FAB4C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4EEF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7BA7CA">
            <w:pPr>
              <w:jc w:val="center"/>
              <w:rPr>
                <w:szCs w:val="21"/>
              </w:rPr>
            </w:pPr>
          </w:p>
        </w:tc>
        <w:tc>
          <w:tcPr>
            <w:tcW w:w="1194"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B900CB">
            <w:pPr>
              <w:widowControl/>
              <w:jc w:val="center"/>
              <w:textAlignment w:val="center"/>
              <w:rPr>
                <w:szCs w:val="21"/>
              </w:rPr>
            </w:pPr>
            <w:r>
              <w:rPr>
                <w:kern w:val="0"/>
                <w:szCs w:val="21"/>
                <w:lang w:bidi="ar"/>
              </w:rPr>
              <w:t>（kg/h）</w:t>
            </w:r>
          </w:p>
        </w:tc>
      </w:tr>
      <w:tr w14:paraId="3F39C9F7">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D5F89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7E2EA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5D215">
            <w:pPr>
              <w:widowControl/>
              <w:jc w:val="center"/>
              <w:textAlignment w:val="center"/>
              <w:rPr>
                <w:i/>
                <w:iCs/>
                <w:szCs w:val="21"/>
              </w:rPr>
            </w:pPr>
            <w:r>
              <w:rPr>
                <w:i/>
                <w:iCs/>
                <w:kern w:val="0"/>
                <w:szCs w:val="21"/>
                <w:lang w:bidi="ar"/>
              </w:rPr>
              <w:t>X</w:t>
            </w: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25E1F">
            <w:pPr>
              <w:widowControl/>
              <w:jc w:val="center"/>
              <w:textAlignment w:val="center"/>
              <w:rPr>
                <w:i/>
                <w:iCs/>
                <w:szCs w:val="21"/>
              </w:rPr>
            </w:pPr>
            <w:r>
              <w:rPr>
                <w:i/>
                <w:iCs/>
                <w:kern w:val="0"/>
                <w:szCs w:val="21"/>
                <w:lang w:bidi="ar"/>
              </w:rPr>
              <w:t>Y</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CFC39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0AC54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6065E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EECE4">
            <w:pPr>
              <w:jc w:val="center"/>
              <w:rPr>
                <w:szCs w:val="21"/>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2B96BA">
            <w:pPr>
              <w:widowControl/>
              <w:jc w:val="center"/>
              <w:textAlignment w:val="center"/>
              <w:rPr>
                <w:szCs w:val="21"/>
              </w:rPr>
            </w:pPr>
            <w:r>
              <w:rPr>
                <w:kern w:val="0"/>
                <w:szCs w:val="21"/>
                <w:lang w:bidi="ar"/>
              </w:rPr>
              <w:t>氨气</w:t>
            </w:r>
          </w:p>
        </w:tc>
        <w:tc>
          <w:tcPr>
            <w:tcW w:w="59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D41C29">
            <w:pPr>
              <w:widowControl/>
              <w:jc w:val="center"/>
              <w:textAlignment w:val="center"/>
              <w:rPr>
                <w:szCs w:val="21"/>
              </w:rPr>
            </w:pPr>
            <w:r>
              <w:rPr>
                <w:kern w:val="0"/>
                <w:szCs w:val="21"/>
                <w:lang w:bidi="ar"/>
              </w:rPr>
              <w:t>硫化氢</w:t>
            </w:r>
          </w:p>
        </w:tc>
      </w:tr>
      <w:tr w14:paraId="51EFB3D3">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11FDB4A">
            <w:pPr>
              <w:widowControl/>
              <w:jc w:val="center"/>
              <w:textAlignment w:val="center"/>
              <w:rPr>
                <w:szCs w:val="21"/>
              </w:rPr>
            </w:pPr>
            <w:r>
              <w:rPr>
                <w:kern w:val="0"/>
                <w:szCs w:val="21"/>
                <w:lang w:bidi="ar"/>
              </w:rPr>
              <w:t>1</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49BC69CD">
            <w:pPr>
              <w:widowControl/>
              <w:jc w:val="center"/>
              <w:textAlignment w:val="center"/>
              <w:rPr>
                <w:szCs w:val="21"/>
              </w:rPr>
            </w:pPr>
            <w:r>
              <w:rPr>
                <w:kern w:val="0"/>
                <w:szCs w:val="21"/>
                <w:lang w:bidi="ar"/>
              </w:rPr>
              <w:t>盛丰通风井位置1号舍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7F3829F">
            <w:pPr>
              <w:widowControl/>
              <w:jc w:val="center"/>
              <w:textAlignment w:val="center"/>
              <w:rPr>
                <w:szCs w:val="21"/>
              </w:rPr>
            </w:pPr>
            <w:r>
              <w:rPr>
                <w:kern w:val="0"/>
                <w:szCs w:val="21"/>
                <w:lang w:bidi="ar"/>
              </w:rPr>
              <w:t>814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A458CBB">
            <w:pPr>
              <w:widowControl/>
              <w:jc w:val="center"/>
              <w:textAlignment w:val="center"/>
              <w:rPr>
                <w:szCs w:val="21"/>
              </w:rPr>
            </w:pPr>
            <w:r>
              <w:rPr>
                <w:kern w:val="0"/>
                <w:szCs w:val="21"/>
                <w:lang w:bidi="ar"/>
              </w:rPr>
              <w:t>52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62B90D2">
            <w:pPr>
              <w:widowControl/>
              <w:jc w:val="center"/>
              <w:textAlignment w:val="center"/>
              <w:rPr>
                <w:szCs w:val="21"/>
              </w:rPr>
            </w:pPr>
            <w:r>
              <w:rPr>
                <w:kern w:val="0"/>
                <w:szCs w:val="21"/>
                <w:lang w:bidi="ar"/>
              </w:rPr>
              <w:t>1823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C7D34E2">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7BF4028">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479D888">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31366E20">
            <w:pPr>
              <w:widowControl/>
              <w:jc w:val="center"/>
              <w:textAlignment w:val="center"/>
              <w:rPr>
                <w:szCs w:val="21"/>
              </w:rPr>
            </w:pPr>
            <w:r>
              <w:rPr>
                <w:kern w:val="0"/>
                <w:szCs w:val="21"/>
                <w:lang w:bidi="ar"/>
              </w:rPr>
              <w:t>0.0098</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58658E57">
            <w:pPr>
              <w:widowControl/>
              <w:jc w:val="center"/>
              <w:textAlignment w:val="center"/>
              <w:rPr>
                <w:szCs w:val="21"/>
              </w:rPr>
            </w:pPr>
            <w:r>
              <w:rPr>
                <w:kern w:val="0"/>
                <w:szCs w:val="21"/>
                <w:lang w:bidi="ar"/>
              </w:rPr>
              <w:t>0.0009</w:t>
            </w:r>
          </w:p>
        </w:tc>
      </w:tr>
      <w:tr w14:paraId="7B4193DE">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CFBE773">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BFBDB">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A3CC884">
            <w:pPr>
              <w:widowControl/>
              <w:jc w:val="center"/>
              <w:textAlignment w:val="center"/>
              <w:rPr>
                <w:szCs w:val="21"/>
              </w:rPr>
            </w:pPr>
            <w:r>
              <w:rPr>
                <w:kern w:val="0"/>
                <w:szCs w:val="21"/>
                <w:lang w:bidi="ar"/>
              </w:rPr>
              <w:t>779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0DB5605">
            <w:pPr>
              <w:widowControl/>
              <w:jc w:val="center"/>
              <w:textAlignment w:val="center"/>
              <w:rPr>
                <w:szCs w:val="21"/>
              </w:rPr>
            </w:pPr>
            <w:r>
              <w:rPr>
                <w:kern w:val="0"/>
                <w:szCs w:val="21"/>
                <w:lang w:bidi="ar"/>
              </w:rPr>
              <w:t>-34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CE7D2B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67FB4F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C09566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F95CD46">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C5AC17B">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9B4077B">
            <w:pPr>
              <w:jc w:val="center"/>
              <w:rPr>
                <w:szCs w:val="21"/>
              </w:rPr>
            </w:pPr>
          </w:p>
        </w:tc>
      </w:tr>
      <w:tr w14:paraId="24D13AB5">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5B40CB8">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D048B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3238599">
            <w:pPr>
              <w:widowControl/>
              <w:jc w:val="center"/>
              <w:textAlignment w:val="center"/>
              <w:rPr>
                <w:szCs w:val="21"/>
              </w:rPr>
            </w:pPr>
            <w:r>
              <w:rPr>
                <w:kern w:val="0"/>
                <w:szCs w:val="21"/>
                <w:lang w:bidi="ar"/>
              </w:rPr>
              <w:t>800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1ACF8B1">
            <w:pPr>
              <w:widowControl/>
              <w:jc w:val="center"/>
              <w:textAlignment w:val="center"/>
              <w:rPr>
                <w:szCs w:val="21"/>
              </w:rPr>
            </w:pPr>
            <w:r>
              <w:rPr>
                <w:kern w:val="0"/>
                <w:szCs w:val="21"/>
                <w:lang w:bidi="ar"/>
              </w:rPr>
              <w:t>-42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C589E4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EDBA20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9E31C6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9B2D02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792564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B75C29E">
            <w:pPr>
              <w:jc w:val="center"/>
              <w:rPr>
                <w:szCs w:val="21"/>
              </w:rPr>
            </w:pPr>
          </w:p>
        </w:tc>
      </w:tr>
      <w:tr w14:paraId="413A9AE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9B66DC9">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B1E891">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2F894D6">
            <w:pPr>
              <w:widowControl/>
              <w:jc w:val="center"/>
              <w:textAlignment w:val="center"/>
              <w:rPr>
                <w:szCs w:val="21"/>
              </w:rPr>
            </w:pPr>
            <w:r>
              <w:rPr>
                <w:kern w:val="0"/>
                <w:szCs w:val="21"/>
                <w:lang w:bidi="ar"/>
              </w:rPr>
              <w:t>835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FA14F81">
            <w:pPr>
              <w:widowControl/>
              <w:jc w:val="center"/>
              <w:textAlignment w:val="center"/>
              <w:rPr>
                <w:szCs w:val="21"/>
              </w:rPr>
            </w:pPr>
            <w:r>
              <w:rPr>
                <w:kern w:val="0"/>
                <w:szCs w:val="21"/>
                <w:lang w:bidi="ar"/>
              </w:rPr>
              <w:t>43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B42C43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E17C6B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78F6E0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15A29C">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000401D">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4BB7075">
            <w:pPr>
              <w:jc w:val="center"/>
              <w:rPr>
                <w:szCs w:val="21"/>
              </w:rPr>
            </w:pPr>
          </w:p>
        </w:tc>
      </w:tr>
      <w:tr w14:paraId="4F05D0FD">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9C688D1">
            <w:pPr>
              <w:widowControl/>
              <w:jc w:val="center"/>
              <w:textAlignment w:val="center"/>
              <w:rPr>
                <w:szCs w:val="21"/>
              </w:rPr>
            </w:pPr>
            <w:r>
              <w:rPr>
                <w:kern w:val="0"/>
                <w:szCs w:val="21"/>
                <w:lang w:bidi="ar"/>
              </w:rPr>
              <w:t>2</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4E0B5D1C">
            <w:pPr>
              <w:widowControl/>
              <w:jc w:val="center"/>
              <w:textAlignment w:val="center"/>
              <w:rPr>
                <w:szCs w:val="21"/>
              </w:rPr>
            </w:pPr>
            <w:r>
              <w:rPr>
                <w:kern w:val="0"/>
                <w:szCs w:val="21"/>
                <w:lang w:bidi="ar"/>
              </w:rPr>
              <w:t>盛丰通风井位置2号舍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C07FD61">
            <w:pPr>
              <w:widowControl/>
              <w:jc w:val="center"/>
              <w:textAlignment w:val="center"/>
              <w:rPr>
                <w:szCs w:val="21"/>
              </w:rPr>
            </w:pPr>
            <w:r>
              <w:rPr>
                <w:kern w:val="0"/>
                <w:szCs w:val="21"/>
                <w:lang w:bidi="ar"/>
              </w:rPr>
              <w:t>814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486694C">
            <w:pPr>
              <w:widowControl/>
              <w:jc w:val="center"/>
              <w:textAlignment w:val="center"/>
              <w:rPr>
                <w:szCs w:val="21"/>
              </w:rPr>
            </w:pPr>
            <w:r>
              <w:rPr>
                <w:kern w:val="0"/>
                <w:szCs w:val="21"/>
                <w:lang w:bidi="ar"/>
              </w:rPr>
              <w:t>52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FF3B3E8">
            <w:pPr>
              <w:widowControl/>
              <w:jc w:val="center"/>
              <w:textAlignment w:val="center"/>
              <w:rPr>
                <w:szCs w:val="21"/>
              </w:rPr>
            </w:pPr>
            <w:r>
              <w:rPr>
                <w:kern w:val="0"/>
                <w:szCs w:val="21"/>
                <w:lang w:bidi="ar"/>
              </w:rPr>
              <w:t>1825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B90B26E">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541228E">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677640B">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7A5B559F">
            <w:pPr>
              <w:widowControl/>
              <w:jc w:val="center"/>
              <w:textAlignment w:val="center"/>
              <w:rPr>
                <w:szCs w:val="21"/>
              </w:rPr>
            </w:pPr>
            <w:r>
              <w:rPr>
                <w:kern w:val="0"/>
                <w:szCs w:val="21"/>
                <w:lang w:bidi="ar"/>
              </w:rPr>
              <w:t>0.0037</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1FA53FDC">
            <w:pPr>
              <w:widowControl/>
              <w:jc w:val="center"/>
              <w:textAlignment w:val="center"/>
              <w:rPr>
                <w:szCs w:val="21"/>
              </w:rPr>
            </w:pPr>
            <w:r>
              <w:rPr>
                <w:kern w:val="0"/>
                <w:szCs w:val="21"/>
                <w:lang w:bidi="ar"/>
              </w:rPr>
              <w:t>0.0003</w:t>
            </w:r>
          </w:p>
        </w:tc>
      </w:tr>
      <w:tr w14:paraId="6C3EBABE">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9171188">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EA6E9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BEDAFD9">
            <w:pPr>
              <w:widowControl/>
              <w:jc w:val="center"/>
              <w:textAlignment w:val="center"/>
              <w:rPr>
                <w:szCs w:val="21"/>
              </w:rPr>
            </w:pPr>
            <w:r>
              <w:rPr>
                <w:kern w:val="0"/>
                <w:szCs w:val="21"/>
                <w:lang w:bidi="ar"/>
              </w:rPr>
              <w:t>779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B98F249">
            <w:pPr>
              <w:widowControl/>
              <w:jc w:val="center"/>
              <w:textAlignment w:val="center"/>
              <w:rPr>
                <w:szCs w:val="21"/>
              </w:rPr>
            </w:pPr>
            <w:r>
              <w:rPr>
                <w:kern w:val="0"/>
                <w:szCs w:val="21"/>
                <w:lang w:bidi="ar"/>
              </w:rPr>
              <w:t>54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2D063E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B0337D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D89416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88BBC0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920022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08B105D">
            <w:pPr>
              <w:jc w:val="center"/>
              <w:rPr>
                <w:szCs w:val="21"/>
              </w:rPr>
            </w:pPr>
          </w:p>
        </w:tc>
      </w:tr>
      <w:tr w14:paraId="720BB6E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C3363EC">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3305E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A65C5CD">
            <w:pPr>
              <w:widowControl/>
              <w:jc w:val="center"/>
              <w:textAlignment w:val="center"/>
              <w:rPr>
                <w:szCs w:val="21"/>
              </w:rPr>
            </w:pPr>
            <w:r>
              <w:rPr>
                <w:kern w:val="0"/>
                <w:szCs w:val="21"/>
                <w:lang w:bidi="ar"/>
              </w:rPr>
              <w:t>778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DA61C23">
            <w:pPr>
              <w:widowControl/>
              <w:jc w:val="center"/>
              <w:textAlignment w:val="center"/>
              <w:rPr>
                <w:szCs w:val="21"/>
              </w:rPr>
            </w:pPr>
            <w:r>
              <w:rPr>
                <w:kern w:val="0"/>
                <w:szCs w:val="21"/>
                <w:lang w:bidi="ar"/>
              </w:rPr>
              <w:t>32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13807C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C4AAB4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B7BC0D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5BBFB4B">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756DB1B">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3228246">
            <w:pPr>
              <w:jc w:val="center"/>
              <w:rPr>
                <w:szCs w:val="21"/>
              </w:rPr>
            </w:pPr>
          </w:p>
        </w:tc>
      </w:tr>
      <w:tr w14:paraId="257410DA">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7AEF92F">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6C3CE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38C6974">
            <w:pPr>
              <w:widowControl/>
              <w:jc w:val="center"/>
              <w:textAlignment w:val="center"/>
              <w:rPr>
                <w:szCs w:val="21"/>
              </w:rPr>
            </w:pPr>
            <w:r>
              <w:rPr>
                <w:kern w:val="0"/>
                <w:szCs w:val="21"/>
                <w:lang w:bidi="ar"/>
              </w:rPr>
              <w:t>806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7D6176A">
            <w:pPr>
              <w:widowControl/>
              <w:jc w:val="center"/>
              <w:textAlignment w:val="center"/>
              <w:rPr>
                <w:szCs w:val="21"/>
              </w:rPr>
            </w:pPr>
            <w:r>
              <w:rPr>
                <w:kern w:val="0"/>
                <w:szCs w:val="21"/>
                <w:lang w:bidi="ar"/>
              </w:rPr>
              <w:t>30</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B14808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F6F5C7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473C00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3AF0365">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45018F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15EFC87">
            <w:pPr>
              <w:jc w:val="center"/>
              <w:rPr>
                <w:szCs w:val="21"/>
              </w:rPr>
            </w:pPr>
          </w:p>
        </w:tc>
      </w:tr>
      <w:tr w14:paraId="60765F5C">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DC676D3">
            <w:pPr>
              <w:widowControl/>
              <w:jc w:val="center"/>
              <w:textAlignment w:val="center"/>
              <w:rPr>
                <w:szCs w:val="21"/>
              </w:rPr>
            </w:pPr>
            <w:r>
              <w:rPr>
                <w:kern w:val="0"/>
                <w:szCs w:val="21"/>
                <w:lang w:bidi="ar"/>
              </w:rPr>
              <w:t>3</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EA37026">
            <w:pPr>
              <w:widowControl/>
              <w:jc w:val="center"/>
              <w:textAlignment w:val="center"/>
              <w:rPr>
                <w:szCs w:val="21"/>
              </w:rPr>
            </w:pPr>
            <w:r>
              <w:rPr>
                <w:kern w:val="0"/>
                <w:szCs w:val="21"/>
                <w:lang w:bidi="ar"/>
              </w:rPr>
              <w:t>盛丰焦化楼位置1号舍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28E0D29">
            <w:pPr>
              <w:widowControl/>
              <w:jc w:val="center"/>
              <w:textAlignment w:val="center"/>
              <w:rPr>
                <w:szCs w:val="21"/>
              </w:rPr>
            </w:pPr>
            <w:r>
              <w:rPr>
                <w:kern w:val="0"/>
                <w:szCs w:val="21"/>
                <w:lang w:bidi="ar"/>
              </w:rPr>
              <w:t>-1278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EE8F961">
            <w:pPr>
              <w:widowControl/>
              <w:jc w:val="center"/>
              <w:textAlignment w:val="center"/>
              <w:rPr>
                <w:szCs w:val="21"/>
              </w:rPr>
            </w:pPr>
            <w:r>
              <w:rPr>
                <w:kern w:val="0"/>
                <w:szCs w:val="21"/>
                <w:lang w:bidi="ar"/>
              </w:rPr>
              <w:t>-2176</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2C08445">
            <w:pPr>
              <w:widowControl/>
              <w:jc w:val="center"/>
              <w:textAlignment w:val="center"/>
              <w:rPr>
                <w:szCs w:val="21"/>
              </w:rPr>
            </w:pPr>
            <w:r>
              <w:rPr>
                <w:kern w:val="0"/>
                <w:szCs w:val="21"/>
                <w:lang w:bidi="ar"/>
              </w:rPr>
              <w:t>1789</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A448A30">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3A4CAC2">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3AAE035">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0004F838">
            <w:pPr>
              <w:widowControl/>
              <w:jc w:val="center"/>
              <w:textAlignment w:val="center"/>
              <w:rPr>
                <w:szCs w:val="21"/>
              </w:rPr>
            </w:pPr>
            <w:r>
              <w:rPr>
                <w:kern w:val="0"/>
                <w:szCs w:val="21"/>
                <w:lang w:bidi="ar"/>
              </w:rPr>
              <w:t>0.0076</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5436D57A">
            <w:pPr>
              <w:widowControl/>
              <w:jc w:val="center"/>
              <w:textAlignment w:val="center"/>
              <w:rPr>
                <w:szCs w:val="21"/>
              </w:rPr>
            </w:pPr>
            <w:r>
              <w:rPr>
                <w:kern w:val="0"/>
                <w:szCs w:val="21"/>
                <w:lang w:bidi="ar"/>
              </w:rPr>
              <w:t>0.0007</w:t>
            </w:r>
          </w:p>
        </w:tc>
      </w:tr>
      <w:tr w14:paraId="4AD7CDA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E7808F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36764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C7CBFBA">
            <w:pPr>
              <w:widowControl/>
              <w:jc w:val="center"/>
              <w:textAlignment w:val="center"/>
              <w:rPr>
                <w:szCs w:val="21"/>
              </w:rPr>
            </w:pPr>
            <w:r>
              <w:rPr>
                <w:kern w:val="0"/>
                <w:szCs w:val="21"/>
                <w:lang w:bidi="ar"/>
              </w:rPr>
              <w:t>-1270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5C801B6">
            <w:pPr>
              <w:widowControl/>
              <w:jc w:val="center"/>
              <w:textAlignment w:val="center"/>
              <w:rPr>
                <w:szCs w:val="21"/>
              </w:rPr>
            </w:pPr>
            <w:r>
              <w:rPr>
                <w:kern w:val="0"/>
                <w:szCs w:val="21"/>
                <w:lang w:bidi="ar"/>
              </w:rPr>
              <w:t>-2196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672881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7A1320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A05C1B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2D2CD7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3F70CB9">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0EC19ED">
            <w:pPr>
              <w:jc w:val="center"/>
              <w:rPr>
                <w:szCs w:val="21"/>
              </w:rPr>
            </w:pPr>
          </w:p>
        </w:tc>
      </w:tr>
      <w:tr w14:paraId="20CA2137">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AE0675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91B2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A3A0020">
            <w:pPr>
              <w:widowControl/>
              <w:jc w:val="center"/>
              <w:textAlignment w:val="center"/>
              <w:rPr>
                <w:szCs w:val="21"/>
              </w:rPr>
            </w:pPr>
            <w:r>
              <w:rPr>
                <w:kern w:val="0"/>
                <w:szCs w:val="21"/>
                <w:lang w:bidi="ar"/>
              </w:rPr>
              <w:t>-1326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A7FA74D">
            <w:pPr>
              <w:widowControl/>
              <w:jc w:val="center"/>
              <w:textAlignment w:val="center"/>
              <w:rPr>
                <w:szCs w:val="21"/>
              </w:rPr>
            </w:pPr>
            <w:r>
              <w:rPr>
                <w:kern w:val="0"/>
                <w:szCs w:val="21"/>
                <w:lang w:bidi="ar"/>
              </w:rPr>
              <w:t>-2219</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2F48B9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3F7B58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FECA95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684FC79">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8D0263D">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8E92768">
            <w:pPr>
              <w:jc w:val="center"/>
              <w:rPr>
                <w:szCs w:val="21"/>
              </w:rPr>
            </w:pPr>
          </w:p>
        </w:tc>
      </w:tr>
      <w:tr w14:paraId="2019481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C79F99F">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078A71">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3FBF989">
            <w:pPr>
              <w:widowControl/>
              <w:jc w:val="center"/>
              <w:textAlignment w:val="center"/>
              <w:rPr>
                <w:szCs w:val="21"/>
              </w:rPr>
            </w:pPr>
            <w:r>
              <w:rPr>
                <w:kern w:val="0"/>
                <w:szCs w:val="21"/>
                <w:lang w:bidi="ar"/>
              </w:rPr>
              <w:t>-1334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E02A8DD">
            <w:pPr>
              <w:widowControl/>
              <w:jc w:val="center"/>
              <w:textAlignment w:val="center"/>
              <w:rPr>
                <w:szCs w:val="21"/>
              </w:rPr>
            </w:pPr>
            <w:r>
              <w:rPr>
                <w:kern w:val="0"/>
                <w:szCs w:val="21"/>
                <w:lang w:bidi="ar"/>
              </w:rPr>
              <w:t>-2198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1AA741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991713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FD5097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F2CCD6B">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BA8C729">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918E6BF">
            <w:pPr>
              <w:jc w:val="center"/>
              <w:rPr>
                <w:szCs w:val="21"/>
              </w:rPr>
            </w:pPr>
          </w:p>
        </w:tc>
      </w:tr>
      <w:tr w14:paraId="273F93AA">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7C39C1F">
            <w:pPr>
              <w:widowControl/>
              <w:jc w:val="center"/>
              <w:textAlignment w:val="center"/>
              <w:rPr>
                <w:szCs w:val="21"/>
              </w:rPr>
            </w:pPr>
            <w:r>
              <w:rPr>
                <w:kern w:val="0"/>
                <w:szCs w:val="21"/>
                <w:lang w:bidi="ar"/>
              </w:rPr>
              <w:t>4</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495AF04">
            <w:pPr>
              <w:widowControl/>
              <w:jc w:val="center"/>
              <w:textAlignment w:val="center"/>
              <w:rPr>
                <w:szCs w:val="21"/>
              </w:rPr>
            </w:pPr>
            <w:r>
              <w:rPr>
                <w:kern w:val="0"/>
                <w:szCs w:val="21"/>
                <w:lang w:bidi="ar"/>
              </w:rPr>
              <w:t>盛丰焦化楼位置2号舍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319A7B8">
            <w:pPr>
              <w:widowControl/>
              <w:jc w:val="center"/>
              <w:textAlignment w:val="center"/>
              <w:rPr>
                <w:szCs w:val="21"/>
              </w:rPr>
            </w:pPr>
            <w:r>
              <w:rPr>
                <w:kern w:val="0"/>
                <w:szCs w:val="21"/>
                <w:lang w:bidi="ar"/>
              </w:rPr>
              <w:t>-1268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2729E3C">
            <w:pPr>
              <w:widowControl/>
              <w:jc w:val="center"/>
              <w:textAlignment w:val="center"/>
              <w:rPr>
                <w:szCs w:val="21"/>
              </w:rPr>
            </w:pPr>
            <w:r>
              <w:rPr>
                <w:kern w:val="0"/>
                <w:szCs w:val="21"/>
                <w:lang w:bidi="ar"/>
              </w:rPr>
              <w:t>-2202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7B1DDB7">
            <w:pPr>
              <w:widowControl/>
              <w:jc w:val="center"/>
              <w:textAlignment w:val="center"/>
              <w:rPr>
                <w:szCs w:val="21"/>
              </w:rPr>
            </w:pPr>
            <w:r>
              <w:rPr>
                <w:kern w:val="0"/>
                <w:szCs w:val="21"/>
                <w:lang w:bidi="ar"/>
              </w:rPr>
              <w:t>1844</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C4D13FB">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60B3D92">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1560863">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073D5846">
            <w:pPr>
              <w:widowControl/>
              <w:jc w:val="center"/>
              <w:textAlignment w:val="center"/>
              <w:rPr>
                <w:szCs w:val="21"/>
              </w:rPr>
            </w:pPr>
            <w:r>
              <w:rPr>
                <w:kern w:val="0"/>
                <w:szCs w:val="21"/>
                <w:lang w:bidi="ar"/>
              </w:rPr>
              <w:t>0.0106</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63DA1612">
            <w:pPr>
              <w:widowControl/>
              <w:jc w:val="center"/>
              <w:textAlignment w:val="center"/>
              <w:rPr>
                <w:szCs w:val="21"/>
              </w:rPr>
            </w:pPr>
            <w:r>
              <w:rPr>
                <w:kern w:val="0"/>
                <w:szCs w:val="21"/>
                <w:lang w:bidi="ar"/>
              </w:rPr>
              <w:t>0.0009</w:t>
            </w:r>
          </w:p>
        </w:tc>
      </w:tr>
      <w:tr w14:paraId="04EE2154">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79C466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D5AB9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3FC2CB1">
            <w:pPr>
              <w:widowControl/>
              <w:jc w:val="center"/>
              <w:textAlignment w:val="center"/>
              <w:rPr>
                <w:szCs w:val="21"/>
              </w:rPr>
            </w:pPr>
            <w:r>
              <w:rPr>
                <w:kern w:val="0"/>
                <w:szCs w:val="21"/>
                <w:lang w:bidi="ar"/>
              </w:rPr>
              <w:t>-1259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0EC6923">
            <w:pPr>
              <w:widowControl/>
              <w:jc w:val="center"/>
              <w:textAlignment w:val="center"/>
              <w:rPr>
                <w:szCs w:val="21"/>
              </w:rPr>
            </w:pPr>
            <w:r>
              <w:rPr>
                <w:kern w:val="0"/>
                <w:szCs w:val="21"/>
                <w:lang w:bidi="ar"/>
              </w:rPr>
              <w:t>-2222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375BC8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13BD99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4F83BB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86E5A9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A49062A">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B88F7E6">
            <w:pPr>
              <w:jc w:val="center"/>
              <w:rPr>
                <w:szCs w:val="21"/>
              </w:rPr>
            </w:pPr>
          </w:p>
        </w:tc>
      </w:tr>
      <w:tr w14:paraId="68E1FCBE">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15B555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7484CD">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46CA43C">
            <w:pPr>
              <w:widowControl/>
              <w:jc w:val="center"/>
              <w:textAlignment w:val="center"/>
              <w:rPr>
                <w:szCs w:val="21"/>
              </w:rPr>
            </w:pPr>
            <w:r>
              <w:rPr>
                <w:kern w:val="0"/>
                <w:szCs w:val="21"/>
                <w:lang w:bidi="ar"/>
              </w:rPr>
              <w:t>-1315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2D2D770">
            <w:pPr>
              <w:widowControl/>
              <w:jc w:val="center"/>
              <w:textAlignment w:val="center"/>
              <w:rPr>
                <w:szCs w:val="21"/>
              </w:rPr>
            </w:pPr>
            <w:r>
              <w:rPr>
                <w:kern w:val="0"/>
                <w:szCs w:val="21"/>
                <w:lang w:bidi="ar"/>
              </w:rPr>
              <w:t>-2244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04DED2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6F157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539410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B72D3F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7004BC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DBF9ED6">
            <w:pPr>
              <w:jc w:val="center"/>
              <w:rPr>
                <w:szCs w:val="21"/>
              </w:rPr>
            </w:pPr>
          </w:p>
        </w:tc>
      </w:tr>
      <w:tr w14:paraId="2EFAECD8">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FE73B4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1D627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CD666A1">
            <w:pPr>
              <w:widowControl/>
              <w:jc w:val="center"/>
              <w:textAlignment w:val="center"/>
              <w:rPr>
                <w:szCs w:val="21"/>
              </w:rPr>
            </w:pPr>
            <w:r>
              <w:rPr>
                <w:kern w:val="0"/>
                <w:szCs w:val="21"/>
                <w:lang w:bidi="ar"/>
              </w:rPr>
              <w:t>-1323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AFF48FA">
            <w:pPr>
              <w:widowControl/>
              <w:jc w:val="center"/>
              <w:textAlignment w:val="center"/>
              <w:rPr>
                <w:szCs w:val="21"/>
              </w:rPr>
            </w:pPr>
            <w:r>
              <w:rPr>
                <w:kern w:val="0"/>
                <w:szCs w:val="21"/>
                <w:lang w:bidi="ar"/>
              </w:rPr>
              <w:t>-2224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1CBDFE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2E540B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019D66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7F21D1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5AE92D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4006212">
            <w:pPr>
              <w:jc w:val="center"/>
              <w:rPr>
                <w:szCs w:val="21"/>
              </w:rPr>
            </w:pPr>
          </w:p>
        </w:tc>
      </w:tr>
      <w:tr w14:paraId="490B4613">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B1B73BA">
            <w:pPr>
              <w:widowControl/>
              <w:jc w:val="center"/>
              <w:textAlignment w:val="center"/>
              <w:rPr>
                <w:szCs w:val="21"/>
              </w:rPr>
            </w:pPr>
            <w:r>
              <w:rPr>
                <w:kern w:val="0"/>
                <w:szCs w:val="21"/>
                <w:lang w:bidi="ar"/>
              </w:rPr>
              <w:t>5</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CD05A95">
            <w:pPr>
              <w:widowControl/>
              <w:jc w:val="center"/>
              <w:textAlignment w:val="center"/>
              <w:rPr>
                <w:szCs w:val="21"/>
              </w:rPr>
            </w:pPr>
            <w:r>
              <w:rPr>
                <w:kern w:val="0"/>
                <w:szCs w:val="21"/>
                <w:lang w:bidi="ar"/>
              </w:rPr>
              <w:t>球场位置1单元</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0D9EF8F">
            <w:pPr>
              <w:widowControl/>
              <w:jc w:val="center"/>
              <w:textAlignment w:val="center"/>
              <w:rPr>
                <w:szCs w:val="21"/>
              </w:rPr>
            </w:pPr>
            <w:r>
              <w:rPr>
                <w:kern w:val="0"/>
                <w:szCs w:val="21"/>
                <w:lang w:bidi="ar"/>
              </w:rPr>
              <w:t>-1234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078E001">
            <w:pPr>
              <w:widowControl/>
              <w:jc w:val="center"/>
              <w:textAlignment w:val="center"/>
              <w:rPr>
                <w:szCs w:val="21"/>
              </w:rPr>
            </w:pPr>
            <w:r>
              <w:rPr>
                <w:kern w:val="0"/>
                <w:szCs w:val="21"/>
                <w:lang w:bidi="ar"/>
              </w:rPr>
              <w:t>-2233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BA2884F">
            <w:pPr>
              <w:widowControl/>
              <w:jc w:val="center"/>
              <w:textAlignment w:val="center"/>
              <w:rPr>
                <w:szCs w:val="21"/>
              </w:rPr>
            </w:pPr>
            <w:r>
              <w:rPr>
                <w:kern w:val="0"/>
                <w:szCs w:val="21"/>
                <w:lang w:bidi="ar"/>
              </w:rPr>
              <w:t>1809</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5F66F01">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78AB1A6">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48B6A71">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5BD14D2A">
            <w:pPr>
              <w:widowControl/>
              <w:jc w:val="center"/>
              <w:textAlignment w:val="center"/>
              <w:rPr>
                <w:szCs w:val="21"/>
              </w:rPr>
            </w:pPr>
            <w:r>
              <w:rPr>
                <w:kern w:val="0"/>
                <w:szCs w:val="21"/>
                <w:lang w:bidi="ar"/>
              </w:rPr>
              <w:t>0.0039</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77412A26">
            <w:pPr>
              <w:widowControl/>
              <w:jc w:val="center"/>
              <w:textAlignment w:val="center"/>
              <w:rPr>
                <w:szCs w:val="21"/>
              </w:rPr>
            </w:pPr>
            <w:r>
              <w:rPr>
                <w:kern w:val="0"/>
                <w:szCs w:val="21"/>
                <w:lang w:bidi="ar"/>
              </w:rPr>
              <w:t>0.0003</w:t>
            </w:r>
          </w:p>
        </w:tc>
      </w:tr>
      <w:tr w14:paraId="1C15E06F">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3B95254">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857175">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265F85D">
            <w:pPr>
              <w:widowControl/>
              <w:jc w:val="center"/>
              <w:textAlignment w:val="center"/>
              <w:rPr>
                <w:szCs w:val="21"/>
              </w:rPr>
            </w:pPr>
            <w:r>
              <w:rPr>
                <w:kern w:val="0"/>
                <w:szCs w:val="21"/>
                <w:lang w:bidi="ar"/>
              </w:rPr>
              <w:t>-1238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A0A9B23">
            <w:pPr>
              <w:widowControl/>
              <w:jc w:val="center"/>
              <w:textAlignment w:val="center"/>
              <w:rPr>
                <w:szCs w:val="21"/>
              </w:rPr>
            </w:pPr>
            <w:r>
              <w:rPr>
                <w:kern w:val="0"/>
                <w:szCs w:val="21"/>
                <w:lang w:bidi="ar"/>
              </w:rPr>
              <w:t>-2218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FD85E3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89F6B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A7487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43B2D4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F997A6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2CF7E4F">
            <w:pPr>
              <w:jc w:val="center"/>
              <w:rPr>
                <w:szCs w:val="21"/>
              </w:rPr>
            </w:pPr>
          </w:p>
        </w:tc>
      </w:tr>
      <w:tr w14:paraId="19765018">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AB69B6C">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8D2AE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D06D2EB">
            <w:pPr>
              <w:widowControl/>
              <w:jc w:val="center"/>
              <w:textAlignment w:val="center"/>
              <w:rPr>
                <w:szCs w:val="21"/>
              </w:rPr>
            </w:pPr>
            <w:r>
              <w:rPr>
                <w:kern w:val="0"/>
                <w:szCs w:val="21"/>
                <w:lang w:bidi="ar"/>
              </w:rPr>
              <w:t>-1203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7B82073">
            <w:pPr>
              <w:widowControl/>
              <w:jc w:val="center"/>
              <w:textAlignment w:val="center"/>
              <w:rPr>
                <w:szCs w:val="21"/>
              </w:rPr>
            </w:pPr>
            <w:r>
              <w:rPr>
                <w:kern w:val="0"/>
                <w:szCs w:val="21"/>
                <w:lang w:bidi="ar"/>
              </w:rPr>
              <w:t>-2208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29A80F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0388C2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8817F7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3B27EE">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2577A1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2739984D">
            <w:pPr>
              <w:jc w:val="center"/>
              <w:rPr>
                <w:szCs w:val="21"/>
              </w:rPr>
            </w:pPr>
          </w:p>
        </w:tc>
      </w:tr>
      <w:tr w14:paraId="2ED34CA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0C3BF35">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A6B3C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634663C">
            <w:pPr>
              <w:widowControl/>
              <w:jc w:val="center"/>
              <w:textAlignment w:val="center"/>
              <w:rPr>
                <w:szCs w:val="21"/>
              </w:rPr>
            </w:pPr>
            <w:r>
              <w:rPr>
                <w:kern w:val="0"/>
                <w:szCs w:val="21"/>
                <w:lang w:bidi="ar"/>
              </w:rPr>
              <w:t>-1197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9177BF2">
            <w:pPr>
              <w:widowControl/>
              <w:jc w:val="center"/>
              <w:textAlignment w:val="center"/>
              <w:rPr>
                <w:szCs w:val="21"/>
              </w:rPr>
            </w:pPr>
            <w:r>
              <w:rPr>
                <w:kern w:val="0"/>
                <w:szCs w:val="21"/>
                <w:lang w:bidi="ar"/>
              </w:rPr>
              <w:t>-2229</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335CA0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DE0EBA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E3DE31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0DA3A25">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CA77C3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645A1FD">
            <w:pPr>
              <w:jc w:val="center"/>
              <w:rPr>
                <w:szCs w:val="21"/>
              </w:rPr>
            </w:pPr>
          </w:p>
        </w:tc>
      </w:tr>
      <w:tr w14:paraId="4802D952">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7809FAB">
            <w:pPr>
              <w:widowControl/>
              <w:jc w:val="center"/>
              <w:textAlignment w:val="center"/>
              <w:rPr>
                <w:szCs w:val="21"/>
              </w:rPr>
            </w:pPr>
            <w:r>
              <w:rPr>
                <w:kern w:val="0"/>
                <w:szCs w:val="21"/>
                <w:lang w:bidi="ar"/>
              </w:rPr>
              <w:t>6</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4DFD63F">
            <w:pPr>
              <w:widowControl/>
              <w:jc w:val="center"/>
              <w:textAlignment w:val="center"/>
              <w:rPr>
                <w:szCs w:val="21"/>
              </w:rPr>
            </w:pPr>
            <w:r>
              <w:rPr>
                <w:kern w:val="0"/>
                <w:szCs w:val="21"/>
                <w:lang w:bidi="ar"/>
              </w:rPr>
              <w:t>球场位置2单元</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8D1583D">
            <w:pPr>
              <w:widowControl/>
              <w:jc w:val="center"/>
              <w:textAlignment w:val="center"/>
              <w:rPr>
                <w:szCs w:val="21"/>
              </w:rPr>
            </w:pPr>
            <w:r>
              <w:rPr>
                <w:kern w:val="0"/>
                <w:szCs w:val="21"/>
                <w:lang w:bidi="ar"/>
              </w:rPr>
              <w:t>-1237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ABC3F50">
            <w:pPr>
              <w:widowControl/>
              <w:jc w:val="center"/>
              <w:textAlignment w:val="center"/>
              <w:rPr>
                <w:szCs w:val="21"/>
              </w:rPr>
            </w:pPr>
            <w:r>
              <w:rPr>
                <w:kern w:val="0"/>
                <w:szCs w:val="21"/>
                <w:lang w:bidi="ar"/>
              </w:rPr>
              <w:t>-2231</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58B9FEB">
            <w:pPr>
              <w:widowControl/>
              <w:jc w:val="center"/>
              <w:textAlignment w:val="center"/>
              <w:rPr>
                <w:szCs w:val="21"/>
              </w:rPr>
            </w:pPr>
            <w:r>
              <w:rPr>
                <w:kern w:val="0"/>
                <w:szCs w:val="21"/>
                <w:lang w:bidi="ar"/>
              </w:rPr>
              <w:t>1808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B18319C">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A31EAFF">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6E241B6">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247B1DF2">
            <w:pPr>
              <w:widowControl/>
              <w:jc w:val="center"/>
              <w:textAlignment w:val="center"/>
              <w:rPr>
                <w:szCs w:val="21"/>
              </w:rPr>
            </w:pPr>
            <w:r>
              <w:rPr>
                <w:kern w:val="0"/>
                <w:szCs w:val="21"/>
                <w:lang w:bidi="ar"/>
              </w:rPr>
              <w:t>0.0032</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7BA72E24">
            <w:pPr>
              <w:widowControl/>
              <w:jc w:val="center"/>
              <w:textAlignment w:val="center"/>
              <w:rPr>
                <w:szCs w:val="21"/>
              </w:rPr>
            </w:pPr>
            <w:r>
              <w:rPr>
                <w:kern w:val="0"/>
                <w:szCs w:val="21"/>
                <w:lang w:bidi="ar"/>
              </w:rPr>
              <w:t>0.0003</w:t>
            </w:r>
          </w:p>
        </w:tc>
      </w:tr>
      <w:tr w14:paraId="646A4C2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15127B5">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6507C0">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1B4C2BF">
            <w:pPr>
              <w:widowControl/>
              <w:jc w:val="center"/>
              <w:textAlignment w:val="center"/>
              <w:rPr>
                <w:szCs w:val="21"/>
              </w:rPr>
            </w:pPr>
            <w:r>
              <w:rPr>
                <w:kern w:val="0"/>
                <w:szCs w:val="21"/>
                <w:lang w:bidi="ar"/>
              </w:rPr>
              <w:t>-1240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913108C">
            <w:pPr>
              <w:widowControl/>
              <w:jc w:val="center"/>
              <w:textAlignment w:val="center"/>
              <w:rPr>
                <w:szCs w:val="21"/>
              </w:rPr>
            </w:pPr>
            <w:r>
              <w:rPr>
                <w:kern w:val="0"/>
                <w:szCs w:val="21"/>
                <w:lang w:bidi="ar"/>
              </w:rPr>
              <w:t>-2223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118DA8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6F3D1C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6EEA68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54E9548">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F52EA0C">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D171EED">
            <w:pPr>
              <w:jc w:val="center"/>
              <w:rPr>
                <w:szCs w:val="21"/>
              </w:rPr>
            </w:pPr>
          </w:p>
        </w:tc>
      </w:tr>
      <w:tr w14:paraId="614A82C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7049146">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AE9C1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8408207">
            <w:pPr>
              <w:widowControl/>
              <w:jc w:val="center"/>
              <w:textAlignment w:val="center"/>
              <w:rPr>
                <w:szCs w:val="21"/>
              </w:rPr>
            </w:pPr>
            <w:r>
              <w:rPr>
                <w:kern w:val="0"/>
                <w:szCs w:val="21"/>
                <w:lang w:bidi="ar"/>
              </w:rPr>
              <w:t>-1273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59FDDE0">
            <w:pPr>
              <w:widowControl/>
              <w:jc w:val="center"/>
              <w:textAlignment w:val="center"/>
              <w:rPr>
                <w:szCs w:val="21"/>
              </w:rPr>
            </w:pPr>
            <w:r>
              <w:rPr>
                <w:kern w:val="0"/>
                <w:szCs w:val="21"/>
                <w:lang w:bidi="ar"/>
              </w:rPr>
              <w:t>-2232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E2585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84DFB1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AC61EA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05FCA0F">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47349C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284D98C7">
            <w:pPr>
              <w:jc w:val="center"/>
              <w:rPr>
                <w:szCs w:val="21"/>
              </w:rPr>
            </w:pPr>
          </w:p>
        </w:tc>
      </w:tr>
      <w:tr w14:paraId="3830C9D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17B7CA0">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598FF1">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8141F8D">
            <w:pPr>
              <w:widowControl/>
              <w:jc w:val="center"/>
              <w:textAlignment w:val="center"/>
              <w:rPr>
                <w:szCs w:val="21"/>
              </w:rPr>
            </w:pPr>
            <w:r>
              <w:rPr>
                <w:kern w:val="0"/>
                <w:szCs w:val="21"/>
                <w:lang w:bidi="ar"/>
              </w:rPr>
              <w:t>-1268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B077DA9">
            <w:pPr>
              <w:widowControl/>
              <w:jc w:val="center"/>
              <w:textAlignment w:val="center"/>
              <w:rPr>
                <w:szCs w:val="21"/>
              </w:rPr>
            </w:pPr>
            <w:r>
              <w:rPr>
                <w:kern w:val="0"/>
                <w:szCs w:val="21"/>
                <w:lang w:bidi="ar"/>
              </w:rPr>
              <w:t>-2251</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152335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3F3D0C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841E38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987B399">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2D2D0EF">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4F678EE">
            <w:pPr>
              <w:jc w:val="center"/>
              <w:rPr>
                <w:szCs w:val="21"/>
              </w:rPr>
            </w:pPr>
          </w:p>
        </w:tc>
      </w:tr>
      <w:tr w14:paraId="194C935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68F8D81">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75672F">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91DEF06">
            <w:pPr>
              <w:widowControl/>
              <w:jc w:val="center"/>
              <w:textAlignment w:val="center"/>
              <w:rPr>
                <w:szCs w:val="21"/>
              </w:rPr>
            </w:pPr>
            <w:r>
              <w:rPr>
                <w:kern w:val="0"/>
                <w:szCs w:val="21"/>
                <w:lang w:bidi="ar"/>
              </w:rPr>
              <w:t>-1234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2DF6010">
            <w:pPr>
              <w:widowControl/>
              <w:jc w:val="center"/>
              <w:textAlignment w:val="center"/>
              <w:rPr>
                <w:szCs w:val="21"/>
              </w:rPr>
            </w:pPr>
            <w:r>
              <w:rPr>
                <w:kern w:val="0"/>
                <w:szCs w:val="21"/>
                <w:lang w:bidi="ar"/>
              </w:rPr>
              <w:t>-2241</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6F4992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F77BE0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51E1E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4902A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9B035B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4F6D23B">
            <w:pPr>
              <w:jc w:val="center"/>
              <w:rPr>
                <w:szCs w:val="21"/>
              </w:rPr>
            </w:pPr>
          </w:p>
        </w:tc>
      </w:tr>
      <w:tr w14:paraId="0235DC2E">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3E10BDB">
            <w:pPr>
              <w:widowControl/>
              <w:jc w:val="center"/>
              <w:textAlignment w:val="center"/>
              <w:rPr>
                <w:szCs w:val="21"/>
              </w:rPr>
            </w:pPr>
            <w:r>
              <w:rPr>
                <w:kern w:val="0"/>
                <w:szCs w:val="21"/>
                <w:lang w:bidi="ar"/>
              </w:rPr>
              <w:t>7</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5D490147">
            <w:pPr>
              <w:widowControl/>
              <w:jc w:val="center"/>
              <w:textAlignment w:val="center"/>
              <w:rPr>
                <w:szCs w:val="21"/>
              </w:rPr>
            </w:pPr>
            <w:r>
              <w:rPr>
                <w:kern w:val="0"/>
                <w:szCs w:val="21"/>
                <w:lang w:bidi="ar"/>
              </w:rPr>
              <w:t>球场位置3单元</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846BB91">
            <w:pPr>
              <w:widowControl/>
              <w:jc w:val="center"/>
              <w:textAlignment w:val="center"/>
              <w:rPr>
                <w:szCs w:val="21"/>
              </w:rPr>
            </w:pPr>
            <w:r>
              <w:rPr>
                <w:kern w:val="0"/>
                <w:szCs w:val="21"/>
                <w:lang w:bidi="ar"/>
              </w:rPr>
              <w:t>-1309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5433B51">
            <w:pPr>
              <w:widowControl/>
              <w:jc w:val="center"/>
              <w:textAlignment w:val="center"/>
              <w:rPr>
                <w:szCs w:val="21"/>
              </w:rPr>
            </w:pPr>
            <w:r>
              <w:rPr>
                <w:kern w:val="0"/>
                <w:szCs w:val="21"/>
                <w:lang w:bidi="ar"/>
              </w:rPr>
              <w:t>-2245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738DFFE">
            <w:pPr>
              <w:widowControl/>
              <w:jc w:val="center"/>
              <w:textAlignment w:val="center"/>
              <w:rPr>
                <w:szCs w:val="21"/>
              </w:rPr>
            </w:pPr>
            <w:r>
              <w:rPr>
                <w:kern w:val="0"/>
                <w:szCs w:val="21"/>
                <w:lang w:bidi="ar"/>
              </w:rPr>
              <w:t>1803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74CD391">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ED07A30">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EF75D91">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13944A13">
            <w:pPr>
              <w:widowControl/>
              <w:jc w:val="center"/>
              <w:textAlignment w:val="center"/>
              <w:rPr>
                <w:szCs w:val="21"/>
              </w:rPr>
            </w:pPr>
            <w:r>
              <w:rPr>
                <w:kern w:val="0"/>
                <w:szCs w:val="21"/>
                <w:lang w:bidi="ar"/>
              </w:rPr>
              <w:t>0.0034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69FC5083">
            <w:pPr>
              <w:widowControl/>
              <w:jc w:val="center"/>
              <w:textAlignment w:val="center"/>
              <w:rPr>
                <w:szCs w:val="21"/>
              </w:rPr>
            </w:pPr>
            <w:r>
              <w:rPr>
                <w:kern w:val="0"/>
                <w:szCs w:val="21"/>
                <w:lang w:bidi="ar"/>
              </w:rPr>
              <w:t>0.0003</w:t>
            </w:r>
          </w:p>
        </w:tc>
      </w:tr>
      <w:tr w14:paraId="67C3626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448C3BA">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89FF4D">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D72F3DA">
            <w:pPr>
              <w:widowControl/>
              <w:jc w:val="center"/>
              <w:textAlignment w:val="center"/>
              <w:rPr>
                <w:szCs w:val="21"/>
              </w:rPr>
            </w:pPr>
            <w:r>
              <w:rPr>
                <w:kern w:val="0"/>
                <w:szCs w:val="21"/>
                <w:lang w:bidi="ar"/>
              </w:rPr>
              <w:t>-1302</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B006FCA">
            <w:pPr>
              <w:widowControl/>
              <w:jc w:val="center"/>
              <w:textAlignment w:val="center"/>
              <w:rPr>
                <w:szCs w:val="21"/>
              </w:rPr>
            </w:pPr>
            <w:r>
              <w:rPr>
                <w:kern w:val="0"/>
                <w:szCs w:val="21"/>
                <w:lang w:bidi="ar"/>
              </w:rPr>
              <w:t>-2263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3628E5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FAF11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B5DFB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2A3B6BF">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DEE259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4969521">
            <w:pPr>
              <w:jc w:val="center"/>
              <w:rPr>
                <w:szCs w:val="21"/>
              </w:rPr>
            </w:pPr>
          </w:p>
        </w:tc>
      </w:tr>
      <w:tr w14:paraId="61C67939">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186BF39">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D13B8D">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66EB999">
            <w:pPr>
              <w:widowControl/>
              <w:jc w:val="center"/>
              <w:textAlignment w:val="center"/>
              <w:rPr>
                <w:szCs w:val="21"/>
              </w:rPr>
            </w:pPr>
            <w:r>
              <w:rPr>
                <w:kern w:val="0"/>
                <w:szCs w:val="21"/>
                <w:lang w:bidi="ar"/>
              </w:rPr>
              <w:t>-1268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C212F20">
            <w:pPr>
              <w:widowControl/>
              <w:jc w:val="center"/>
              <w:textAlignment w:val="center"/>
              <w:rPr>
                <w:szCs w:val="21"/>
              </w:rPr>
            </w:pPr>
            <w:r>
              <w:rPr>
                <w:kern w:val="0"/>
                <w:szCs w:val="21"/>
                <w:lang w:bidi="ar"/>
              </w:rPr>
              <w:t>-2251</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3098CE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E543A4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2818B1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A5A11EC">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50D0E5F">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20F5D5B1">
            <w:pPr>
              <w:jc w:val="center"/>
              <w:rPr>
                <w:szCs w:val="21"/>
              </w:rPr>
            </w:pPr>
          </w:p>
        </w:tc>
      </w:tr>
      <w:tr w14:paraId="1B9E1526">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4F5BDEC">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E1347D">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C8AEED7">
            <w:pPr>
              <w:widowControl/>
              <w:jc w:val="center"/>
              <w:textAlignment w:val="center"/>
              <w:rPr>
                <w:szCs w:val="21"/>
              </w:rPr>
            </w:pPr>
            <w:r>
              <w:rPr>
                <w:kern w:val="0"/>
                <w:szCs w:val="21"/>
                <w:lang w:bidi="ar"/>
              </w:rPr>
              <w:t>-1275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31200A8">
            <w:pPr>
              <w:widowControl/>
              <w:jc w:val="center"/>
              <w:textAlignment w:val="center"/>
              <w:rPr>
                <w:szCs w:val="21"/>
              </w:rPr>
            </w:pPr>
            <w:r>
              <w:rPr>
                <w:kern w:val="0"/>
                <w:szCs w:val="21"/>
                <w:lang w:bidi="ar"/>
              </w:rPr>
              <w:t>-2233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63CC02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30682C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EE3A9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07A1B2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22E6C2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45444BD">
            <w:pPr>
              <w:jc w:val="center"/>
              <w:rPr>
                <w:szCs w:val="21"/>
              </w:rPr>
            </w:pPr>
          </w:p>
        </w:tc>
      </w:tr>
      <w:tr w14:paraId="534A2ADA">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4ED8123">
            <w:pPr>
              <w:widowControl/>
              <w:jc w:val="center"/>
              <w:textAlignment w:val="center"/>
              <w:rPr>
                <w:szCs w:val="21"/>
              </w:rPr>
            </w:pPr>
            <w:r>
              <w:rPr>
                <w:kern w:val="0"/>
                <w:szCs w:val="21"/>
                <w:lang w:bidi="ar"/>
              </w:rPr>
              <w:t>8</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1699DBB1">
            <w:pPr>
              <w:widowControl/>
              <w:jc w:val="center"/>
              <w:textAlignment w:val="center"/>
              <w:rPr>
                <w:szCs w:val="21"/>
              </w:rPr>
            </w:pPr>
            <w:r>
              <w:rPr>
                <w:kern w:val="0"/>
                <w:szCs w:val="21"/>
                <w:lang w:bidi="ar"/>
              </w:rPr>
              <w:t>老井位置1号舍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3EA02F1">
            <w:pPr>
              <w:widowControl/>
              <w:jc w:val="center"/>
              <w:textAlignment w:val="center"/>
              <w:rPr>
                <w:szCs w:val="21"/>
              </w:rPr>
            </w:pPr>
            <w:r>
              <w:rPr>
                <w:kern w:val="0"/>
                <w:szCs w:val="21"/>
                <w:lang w:bidi="ar"/>
              </w:rPr>
              <w:t>-1129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1D4225A">
            <w:pPr>
              <w:widowControl/>
              <w:jc w:val="center"/>
              <w:textAlignment w:val="center"/>
              <w:rPr>
                <w:szCs w:val="21"/>
              </w:rPr>
            </w:pPr>
            <w:r>
              <w:rPr>
                <w:kern w:val="0"/>
                <w:szCs w:val="21"/>
                <w:lang w:bidi="ar"/>
              </w:rPr>
              <w:t>-1990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E86ADAF">
            <w:pPr>
              <w:widowControl/>
              <w:jc w:val="center"/>
              <w:textAlignment w:val="center"/>
              <w:rPr>
                <w:szCs w:val="21"/>
              </w:rPr>
            </w:pPr>
            <w:r>
              <w:rPr>
                <w:kern w:val="0"/>
                <w:szCs w:val="21"/>
                <w:lang w:bidi="ar"/>
              </w:rPr>
              <w:t>1775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35D51FA">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55E73B5">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B1DAE01">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4D9584F5">
            <w:pPr>
              <w:widowControl/>
              <w:jc w:val="center"/>
              <w:textAlignment w:val="center"/>
              <w:rPr>
                <w:szCs w:val="21"/>
              </w:rPr>
            </w:pPr>
            <w:r>
              <w:rPr>
                <w:kern w:val="0"/>
                <w:szCs w:val="21"/>
                <w:lang w:bidi="ar"/>
              </w:rPr>
              <w:t>0.0064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659445F2">
            <w:pPr>
              <w:widowControl/>
              <w:jc w:val="center"/>
              <w:textAlignment w:val="center"/>
              <w:rPr>
                <w:szCs w:val="21"/>
              </w:rPr>
            </w:pPr>
            <w:r>
              <w:rPr>
                <w:kern w:val="0"/>
                <w:szCs w:val="21"/>
                <w:lang w:bidi="ar"/>
              </w:rPr>
              <w:t>0.0006</w:t>
            </w:r>
          </w:p>
        </w:tc>
      </w:tr>
      <w:tr w14:paraId="21DF899C">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803749D">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90EF7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89C6620">
            <w:pPr>
              <w:widowControl/>
              <w:jc w:val="center"/>
              <w:textAlignment w:val="center"/>
              <w:rPr>
                <w:szCs w:val="21"/>
              </w:rPr>
            </w:pPr>
            <w:r>
              <w:rPr>
                <w:kern w:val="0"/>
                <w:szCs w:val="21"/>
                <w:lang w:bidi="ar"/>
              </w:rPr>
              <w:t>-1108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50B6E6E">
            <w:pPr>
              <w:widowControl/>
              <w:jc w:val="center"/>
              <w:textAlignment w:val="center"/>
              <w:rPr>
                <w:szCs w:val="21"/>
              </w:rPr>
            </w:pPr>
            <w:r>
              <w:rPr>
                <w:kern w:val="0"/>
                <w:szCs w:val="21"/>
                <w:lang w:bidi="ar"/>
              </w:rPr>
              <w:t>-1988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82CB03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391CA7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D108F4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A77A76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2546C0B">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199A0EF">
            <w:pPr>
              <w:jc w:val="center"/>
              <w:rPr>
                <w:szCs w:val="21"/>
              </w:rPr>
            </w:pPr>
          </w:p>
        </w:tc>
      </w:tr>
      <w:tr w14:paraId="5683DAF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61E7F20">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80767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DF79EC3">
            <w:pPr>
              <w:widowControl/>
              <w:jc w:val="center"/>
              <w:textAlignment w:val="center"/>
              <w:rPr>
                <w:szCs w:val="21"/>
              </w:rPr>
            </w:pPr>
            <w:r>
              <w:rPr>
                <w:kern w:val="0"/>
                <w:szCs w:val="21"/>
                <w:lang w:bidi="ar"/>
              </w:rPr>
              <w:t>-1099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DF0ED99">
            <w:pPr>
              <w:widowControl/>
              <w:jc w:val="center"/>
              <w:textAlignment w:val="center"/>
              <w:rPr>
                <w:szCs w:val="21"/>
              </w:rPr>
            </w:pPr>
            <w:r>
              <w:rPr>
                <w:kern w:val="0"/>
                <w:szCs w:val="21"/>
                <w:lang w:bidi="ar"/>
              </w:rPr>
              <w:t>-2060</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3E440C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D429D9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E65A0D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4995665">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ACE704A">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5BDF6A8">
            <w:pPr>
              <w:jc w:val="center"/>
              <w:rPr>
                <w:szCs w:val="21"/>
              </w:rPr>
            </w:pPr>
          </w:p>
        </w:tc>
      </w:tr>
      <w:tr w14:paraId="677AE6AE">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40B87F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FFE517">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5325708">
            <w:pPr>
              <w:widowControl/>
              <w:jc w:val="center"/>
              <w:textAlignment w:val="center"/>
              <w:rPr>
                <w:szCs w:val="21"/>
              </w:rPr>
            </w:pPr>
            <w:r>
              <w:rPr>
                <w:kern w:val="0"/>
                <w:szCs w:val="21"/>
                <w:lang w:bidi="ar"/>
              </w:rPr>
              <w:t>-1121</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CC54C44">
            <w:pPr>
              <w:widowControl/>
              <w:jc w:val="center"/>
              <w:textAlignment w:val="center"/>
              <w:rPr>
                <w:szCs w:val="21"/>
              </w:rPr>
            </w:pPr>
            <w:r>
              <w:rPr>
                <w:kern w:val="0"/>
                <w:szCs w:val="21"/>
                <w:lang w:bidi="ar"/>
              </w:rPr>
              <w:t>-2063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6C0D84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E5A526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7BA11D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02B6211">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436C83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14767D9">
            <w:pPr>
              <w:jc w:val="center"/>
              <w:rPr>
                <w:szCs w:val="21"/>
              </w:rPr>
            </w:pPr>
          </w:p>
        </w:tc>
      </w:tr>
      <w:tr w14:paraId="58459908">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8E5AD2A">
            <w:pPr>
              <w:widowControl/>
              <w:jc w:val="center"/>
              <w:textAlignment w:val="center"/>
              <w:rPr>
                <w:szCs w:val="21"/>
              </w:rPr>
            </w:pPr>
            <w:r>
              <w:rPr>
                <w:kern w:val="0"/>
                <w:szCs w:val="21"/>
                <w:lang w:bidi="ar"/>
              </w:rPr>
              <w:t>9</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26451C63">
            <w:pPr>
              <w:widowControl/>
              <w:jc w:val="center"/>
              <w:textAlignment w:val="center"/>
              <w:rPr>
                <w:szCs w:val="21"/>
              </w:rPr>
            </w:pPr>
            <w:r>
              <w:rPr>
                <w:kern w:val="0"/>
                <w:szCs w:val="21"/>
                <w:lang w:bidi="ar"/>
              </w:rPr>
              <w:t>老井位置2号舍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490EDF0">
            <w:pPr>
              <w:widowControl/>
              <w:jc w:val="center"/>
              <w:textAlignment w:val="center"/>
              <w:rPr>
                <w:szCs w:val="21"/>
              </w:rPr>
            </w:pPr>
            <w:r>
              <w:rPr>
                <w:kern w:val="0"/>
                <w:szCs w:val="21"/>
                <w:lang w:bidi="ar"/>
              </w:rPr>
              <w:t>-1108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CDA0F6B">
            <w:pPr>
              <w:widowControl/>
              <w:jc w:val="center"/>
              <w:textAlignment w:val="center"/>
              <w:rPr>
                <w:szCs w:val="21"/>
              </w:rPr>
            </w:pPr>
            <w:r>
              <w:rPr>
                <w:kern w:val="0"/>
                <w:szCs w:val="21"/>
                <w:lang w:bidi="ar"/>
              </w:rPr>
              <w:t>-1956</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22A3493">
            <w:pPr>
              <w:widowControl/>
              <w:jc w:val="center"/>
              <w:textAlignment w:val="center"/>
              <w:rPr>
                <w:szCs w:val="21"/>
              </w:rPr>
            </w:pPr>
            <w:r>
              <w:rPr>
                <w:kern w:val="0"/>
                <w:szCs w:val="21"/>
                <w:lang w:bidi="ar"/>
              </w:rPr>
              <w:t>1775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DF41469">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8A1720E">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6088861">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66A44C03">
            <w:pPr>
              <w:widowControl/>
              <w:jc w:val="center"/>
              <w:textAlignment w:val="center"/>
              <w:rPr>
                <w:szCs w:val="21"/>
              </w:rPr>
            </w:pPr>
            <w:r>
              <w:rPr>
                <w:kern w:val="0"/>
                <w:szCs w:val="21"/>
                <w:lang w:bidi="ar"/>
              </w:rPr>
              <w:t>0.0064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637ECC03">
            <w:pPr>
              <w:widowControl/>
              <w:jc w:val="center"/>
              <w:textAlignment w:val="center"/>
              <w:rPr>
                <w:szCs w:val="21"/>
              </w:rPr>
            </w:pPr>
            <w:r>
              <w:rPr>
                <w:kern w:val="0"/>
                <w:szCs w:val="21"/>
                <w:lang w:bidi="ar"/>
              </w:rPr>
              <w:t>0.0006</w:t>
            </w:r>
          </w:p>
        </w:tc>
      </w:tr>
      <w:tr w14:paraId="47EE6293">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50515C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3DE84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9FF37D4">
            <w:pPr>
              <w:widowControl/>
              <w:jc w:val="center"/>
              <w:textAlignment w:val="center"/>
              <w:rPr>
                <w:szCs w:val="21"/>
              </w:rPr>
            </w:pPr>
            <w:r>
              <w:rPr>
                <w:kern w:val="0"/>
                <w:szCs w:val="21"/>
                <w:lang w:bidi="ar"/>
              </w:rPr>
              <w:t>-1087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4ACEB1B">
            <w:pPr>
              <w:widowControl/>
              <w:jc w:val="center"/>
              <w:textAlignment w:val="center"/>
              <w:rPr>
                <w:szCs w:val="21"/>
              </w:rPr>
            </w:pPr>
            <w:r>
              <w:rPr>
                <w:kern w:val="0"/>
                <w:szCs w:val="21"/>
                <w:lang w:bidi="ar"/>
              </w:rPr>
              <w:t>-1954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9C42CF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FEE7A5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B2CBAD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099FD1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12AB32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383281F">
            <w:pPr>
              <w:jc w:val="center"/>
              <w:rPr>
                <w:szCs w:val="21"/>
              </w:rPr>
            </w:pPr>
          </w:p>
        </w:tc>
      </w:tr>
      <w:tr w14:paraId="6700FDCF">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13C115">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E097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A17BAA8">
            <w:pPr>
              <w:widowControl/>
              <w:jc w:val="center"/>
              <w:textAlignment w:val="center"/>
              <w:rPr>
                <w:szCs w:val="21"/>
              </w:rPr>
            </w:pPr>
            <w:r>
              <w:rPr>
                <w:kern w:val="0"/>
                <w:szCs w:val="21"/>
                <w:lang w:bidi="ar"/>
              </w:rPr>
              <w:t>-1075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997FE41">
            <w:pPr>
              <w:widowControl/>
              <w:jc w:val="center"/>
              <w:textAlignment w:val="center"/>
              <w:rPr>
                <w:szCs w:val="21"/>
              </w:rPr>
            </w:pPr>
            <w:r>
              <w:rPr>
                <w:kern w:val="0"/>
                <w:szCs w:val="21"/>
                <w:lang w:bidi="ar"/>
              </w:rPr>
              <w:t>-2053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55A8C1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AB27C2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2A01A9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46A9DB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AB7EA57">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73FB106">
            <w:pPr>
              <w:jc w:val="center"/>
              <w:rPr>
                <w:szCs w:val="21"/>
              </w:rPr>
            </w:pPr>
          </w:p>
        </w:tc>
      </w:tr>
      <w:tr w14:paraId="326E829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7621889">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F9ED9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646DB25">
            <w:pPr>
              <w:widowControl/>
              <w:jc w:val="center"/>
              <w:textAlignment w:val="center"/>
              <w:rPr>
                <w:szCs w:val="21"/>
              </w:rPr>
            </w:pPr>
            <w:r>
              <w:rPr>
                <w:kern w:val="0"/>
                <w:szCs w:val="21"/>
                <w:lang w:bidi="ar"/>
              </w:rPr>
              <w:t>-1097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033F667">
            <w:pPr>
              <w:widowControl/>
              <w:jc w:val="center"/>
              <w:textAlignment w:val="center"/>
              <w:rPr>
                <w:szCs w:val="21"/>
              </w:rPr>
            </w:pPr>
            <w:r>
              <w:rPr>
                <w:kern w:val="0"/>
                <w:szCs w:val="21"/>
                <w:lang w:bidi="ar"/>
              </w:rPr>
              <w:t>-2056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207906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01D986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037C77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1826DB4">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F9B1B46">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CDC9421">
            <w:pPr>
              <w:jc w:val="center"/>
              <w:rPr>
                <w:szCs w:val="21"/>
              </w:rPr>
            </w:pPr>
          </w:p>
        </w:tc>
      </w:tr>
      <w:tr w14:paraId="2DCD9C6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57B4B9D">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A77E7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DAF74ED">
            <w:pPr>
              <w:widowControl/>
              <w:jc w:val="center"/>
              <w:textAlignment w:val="center"/>
              <w:rPr>
                <w:szCs w:val="21"/>
              </w:rPr>
            </w:pPr>
            <w:r>
              <w:rPr>
                <w:kern w:val="0"/>
                <w:szCs w:val="21"/>
                <w:lang w:bidi="ar"/>
              </w:rPr>
              <w:t>-1108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5998BD1">
            <w:pPr>
              <w:widowControl/>
              <w:jc w:val="center"/>
              <w:textAlignment w:val="center"/>
              <w:rPr>
                <w:szCs w:val="21"/>
              </w:rPr>
            </w:pPr>
            <w:r>
              <w:rPr>
                <w:kern w:val="0"/>
                <w:szCs w:val="21"/>
                <w:lang w:bidi="ar"/>
              </w:rPr>
              <w:t>-1956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B2A583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1EE364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1587E4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5AC090E">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04AC10C">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7467BF7">
            <w:pPr>
              <w:jc w:val="center"/>
              <w:rPr>
                <w:szCs w:val="21"/>
              </w:rPr>
            </w:pPr>
          </w:p>
        </w:tc>
      </w:tr>
      <w:tr w14:paraId="0959F7E6">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D50FB9C">
            <w:pPr>
              <w:widowControl/>
              <w:jc w:val="center"/>
              <w:textAlignment w:val="center"/>
              <w:rPr>
                <w:szCs w:val="21"/>
              </w:rPr>
            </w:pPr>
            <w:r>
              <w:rPr>
                <w:kern w:val="0"/>
                <w:szCs w:val="21"/>
                <w:lang w:bidi="ar"/>
              </w:rPr>
              <w:t>10</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5B7273D2">
            <w:pPr>
              <w:widowControl/>
              <w:jc w:val="center"/>
              <w:textAlignment w:val="center"/>
              <w:rPr>
                <w:szCs w:val="21"/>
              </w:rPr>
            </w:pPr>
            <w:r>
              <w:rPr>
                <w:kern w:val="0"/>
                <w:szCs w:val="21"/>
                <w:lang w:bidi="ar"/>
              </w:rPr>
              <w:t>鑫旺板块1号舍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8BD33B7">
            <w:pPr>
              <w:widowControl/>
              <w:jc w:val="center"/>
              <w:textAlignment w:val="center"/>
              <w:rPr>
                <w:szCs w:val="21"/>
              </w:rPr>
            </w:pPr>
            <w:r>
              <w:rPr>
                <w:kern w:val="0"/>
                <w:szCs w:val="21"/>
                <w:lang w:bidi="ar"/>
              </w:rPr>
              <w:t>-4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F0C8B3B">
            <w:pPr>
              <w:widowControl/>
              <w:jc w:val="center"/>
              <w:textAlignment w:val="center"/>
              <w:rPr>
                <w:szCs w:val="21"/>
              </w:rPr>
            </w:pPr>
            <w:r>
              <w:rPr>
                <w:kern w:val="0"/>
                <w:szCs w:val="21"/>
                <w:lang w:bidi="ar"/>
              </w:rPr>
              <w:t>-137</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39E8CB3">
            <w:pPr>
              <w:widowControl/>
              <w:jc w:val="center"/>
              <w:textAlignment w:val="center"/>
              <w:rPr>
                <w:szCs w:val="21"/>
              </w:rPr>
            </w:pPr>
            <w:r>
              <w:rPr>
                <w:kern w:val="0"/>
                <w:szCs w:val="21"/>
                <w:lang w:bidi="ar"/>
              </w:rPr>
              <w:t>1912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81DE968">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E7EF69B">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B634888">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50B877C5">
            <w:pPr>
              <w:widowControl/>
              <w:jc w:val="center"/>
              <w:textAlignment w:val="center"/>
              <w:rPr>
                <w:szCs w:val="21"/>
              </w:rPr>
            </w:pPr>
            <w:r>
              <w:rPr>
                <w:kern w:val="0"/>
                <w:szCs w:val="21"/>
                <w:lang w:bidi="ar"/>
              </w:rPr>
              <w:t>0.0106</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53F4B7C1">
            <w:pPr>
              <w:widowControl/>
              <w:jc w:val="center"/>
              <w:textAlignment w:val="center"/>
              <w:rPr>
                <w:szCs w:val="21"/>
              </w:rPr>
            </w:pPr>
            <w:r>
              <w:rPr>
                <w:kern w:val="0"/>
                <w:szCs w:val="21"/>
                <w:lang w:bidi="ar"/>
              </w:rPr>
              <w:t>0.0009</w:t>
            </w:r>
          </w:p>
        </w:tc>
      </w:tr>
      <w:tr w14:paraId="5F8508FA">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4B6A76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5AECD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83A6510">
            <w:pPr>
              <w:widowControl/>
              <w:jc w:val="center"/>
              <w:textAlignment w:val="center"/>
              <w:rPr>
                <w:szCs w:val="21"/>
              </w:rPr>
            </w:pPr>
            <w:r>
              <w:rPr>
                <w:kern w:val="0"/>
                <w:szCs w:val="21"/>
                <w:lang w:bidi="ar"/>
              </w:rPr>
              <w:t>-93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15E155D">
            <w:pPr>
              <w:widowControl/>
              <w:jc w:val="center"/>
              <w:textAlignment w:val="center"/>
              <w:rPr>
                <w:szCs w:val="21"/>
              </w:rPr>
            </w:pPr>
            <w:r>
              <w:rPr>
                <w:kern w:val="0"/>
                <w:szCs w:val="21"/>
                <w:lang w:bidi="ar"/>
              </w:rPr>
              <w:t>-92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90DD30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10244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A7B3AE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237D6C5">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4F82A4A">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2166CA0">
            <w:pPr>
              <w:jc w:val="center"/>
              <w:rPr>
                <w:szCs w:val="21"/>
              </w:rPr>
            </w:pPr>
          </w:p>
        </w:tc>
      </w:tr>
      <w:tr w14:paraId="48268C82">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1900A1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90072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4AEA6E3">
            <w:pPr>
              <w:widowControl/>
              <w:jc w:val="center"/>
              <w:textAlignment w:val="center"/>
              <w:rPr>
                <w:szCs w:val="21"/>
              </w:rPr>
            </w:pPr>
            <w:r>
              <w:rPr>
                <w:kern w:val="0"/>
                <w:szCs w:val="21"/>
                <w:lang w:bidi="ar"/>
              </w:rPr>
              <w:t>-83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3D7A1DE">
            <w:pPr>
              <w:widowControl/>
              <w:jc w:val="center"/>
              <w:textAlignment w:val="center"/>
              <w:rPr>
                <w:szCs w:val="21"/>
              </w:rPr>
            </w:pPr>
            <w:r>
              <w:rPr>
                <w:kern w:val="0"/>
                <w:szCs w:val="21"/>
                <w:lang w:bidi="ar"/>
              </w:rPr>
              <w:t>-72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A45C60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918316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9A7E5C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ED98235">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7A6C67B">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009653B">
            <w:pPr>
              <w:jc w:val="center"/>
              <w:rPr>
                <w:szCs w:val="21"/>
              </w:rPr>
            </w:pPr>
          </w:p>
        </w:tc>
      </w:tr>
      <w:tr w14:paraId="287E5647">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B4F6ED3">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EF6A4C">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4294558">
            <w:pPr>
              <w:widowControl/>
              <w:jc w:val="center"/>
              <w:textAlignment w:val="center"/>
              <w:rPr>
                <w:szCs w:val="21"/>
              </w:rPr>
            </w:pPr>
            <w:r>
              <w:rPr>
                <w:kern w:val="0"/>
                <w:szCs w:val="21"/>
                <w:lang w:bidi="ar"/>
              </w:rPr>
              <w:t>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6A623F1">
            <w:pPr>
              <w:widowControl/>
              <w:jc w:val="center"/>
              <w:textAlignment w:val="center"/>
              <w:rPr>
                <w:szCs w:val="21"/>
              </w:rPr>
            </w:pPr>
            <w:r>
              <w:rPr>
                <w:kern w:val="0"/>
                <w:szCs w:val="21"/>
                <w:lang w:bidi="ar"/>
              </w:rPr>
              <w:t>-118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2B02C2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D91D4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1A8EB7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9A2A55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9E7E47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29F69C9">
            <w:pPr>
              <w:jc w:val="center"/>
              <w:rPr>
                <w:szCs w:val="21"/>
              </w:rPr>
            </w:pPr>
          </w:p>
        </w:tc>
      </w:tr>
      <w:tr w14:paraId="172E8263">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815B6B0">
            <w:pPr>
              <w:widowControl/>
              <w:jc w:val="center"/>
              <w:textAlignment w:val="center"/>
              <w:rPr>
                <w:szCs w:val="21"/>
              </w:rPr>
            </w:pPr>
            <w:r>
              <w:rPr>
                <w:kern w:val="0"/>
                <w:szCs w:val="21"/>
                <w:lang w:bidi="ar"/>
              </w:rPr>
              <w:t>11</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28EA91F">
            <w:pPr>
              <w:widowControl/>
              <w:jc w:val="center"/>
              <w:textAlignment w:val="center"/>
              <w:rPr>
                <w:szCs w:val="21"/>
              </w:rPr>
            </w:pPr>
            <w:r>
              <w:rPr>
                <w:kern w:val="0"/>
                <w:szCs w:val="21"/>
                <w:lang w:bidi="ar"/>
              </w:rPr>
              <w:t>鑫旺板块2号舍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EE8314F">
            <w:pPr>
              <w:widowControl/>
              <w:jc w:val="center"/>
              <w:textAlignment w:val="center"/>
              <w:rPr>
                <w:szCs w:val="21"/>
              </w:rPr>
            </w:pPr>
            <w:r>
              <w:rPr>
                <w:kern w:val="0"/>
                <w:szCs w:val="21"/>
                <w:lang w:bidi="ar"/>
              </w:rPr>
              <w:t>10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E69F681">
            <w:pPr>
              <w:widowControl/>
              <w:jc w:val="center"/>
              <w:textAlignment w:val="center"/>
              <w:rPr>
                <w:szCs w:val="21"/>
              </w:rPr>
            </w:pPr>
            <w:r>
              <w:rPr>
                <w:kern w:val="0"/>
                <w:szCs w:val="21"/>
                <w:lang w:bidi="ar"/>
              </w:rPr>
              <w:t>-110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C3E4593">
            <w:pPr>
              <w:widowControl/>
              <w:jc w:val="center"/>
              <w:textAlignment w:val="center"/>
              <w:rPr>
                <w:szCs w:val="21"/>
              </w:rPr>
            </w:pPr>
            <w:r>
              <w:rPr>
                <w:kern w:val="0"/>
                <w:szCs w:val="21"/>
                <w:lang w:bidi="ar"/>
              </w:rPr>
              <w:t>1910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E6BD5CE">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80623F1">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45FE5F9">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00496640">
            <w:pPr>
              <w:widowControl/>
              <w:jc w:val="center"/>
              <w:textAlignment w:val="center"/>
              <w:rPr>
                <w:szCs w:val="21"/>
              </w:rPr>
            </w:pPr>
            <w:r>
              <w:rPr>
                <w:kern w:val="0"/>
                <w:szCs w:val="21"/>
                <w:lang w:bidi="ar"/>
              </w:rPr>
              <w:t>0.0106</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3BED2711">
            <w:pPr>
              <w:widowControl/>
              <w:jc w:val="center"/>
              <w:textAlignment w:val="center"/>
              <w:rPr>
                <w:szCs w:val="21"/>
              </w:rPr>
            </w:pPr>
            <w:r>
              <w:rPr>
                <w:kern w:val="0"/>
                <w:szCs w:val="21"/>
                <w:lang w:bidi="ar"/>
              </w:rPr>
              <w:t>0.0009</w:t>
            </w:r>
          </w:p>
        </w:tc>
      </w:tr>
      <w:tr w14:paraId="5E62590F">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17FEC9">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A0DD9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B8DA43A">
            <w:pPr>
              <w:widowControl/>
              <w:jc w:val="center"/>
              <w:textAlignment w:val="center"/>
              <w:rPr>
                <w:szCs w:val="21"/>
              </w:rPr>
            </w:pPr>
            <w:r>
              <w:rPr>
                <w:kern w:val="0"/>
                <w:szCs w:val="21"/>
                <w:lang w:bidi="ar"/>
              </w:rPr>
              <w:t>-80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B322E6E">
            <w:pPr>
              <w:widowControl/>
              <w:jc w:val="center"/>
              <w:textAlignment w:val="center"/>
              <w:rPr>
                <w:szCs w:val="21"/>
              </w:rPr>
            </w:pPr>
            <w:r>
              <w:rPr>
                <w:kern w:val="0"/>
                <w:szCs w:val="21"/>
                <w:lang w:bidi="ar"/>
              </w:rPr>
              <w:t>-65</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DA4A64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EE8B92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9F7FFD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1B34A5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860E79C">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DBE1534">
            <w:pPr>
              <w:jc w:val="center"/>
              <w:rPr>
                <w:szCs w:val="21"/>
              </w:rPr>
            </w:pPr>
          </w:p>
        </w:tc>
      </w:tr>
      <w:tr w14:paraId="3B3D04D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99B465D">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9C7A6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BC28005">
            <w:pPr>
              <w:widowControl/>
              <w:jc w:val="center"/>
              <w:textAlignment w:val="center"/>
              <w:rPr>
                <w:szCs w:val="21"/>
              </w:rPr>
            </w:pPr>
            <w:r>
              <w:rPr>
                <w:kern w:val="0"/>
                <w:szCs w:val="21"/>
                <w:lang w:bidi="ar"/>
              </w:rPr>
              <w:t>-70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743BEF6">
            <w:pPr>
              <w:widowControl/>
              <w:jc w:val="center"/>
              <w:textAlignment w:val="center"/>
              <w:rPr>
                <w:szCs w:val="21"/>
              </w:rPr>
            </w:pPr>
            <w:r>
              <w:rPr>
                <w:kern w:val="0"/>
                <w:szCs w:val="21"/>
                <w:lang w:bidi="ar"/>
              </w:rPr>
              <w:t>-46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D4B32C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80B2B0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703166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C2835DA">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02D701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A20F274">
            <w:pPr>
              <w:jc w:val="center"/>
              <w:rPr>
                <w:szCs w:val="21"/>
              </w:rPr>
            </w:pPr>
          </w:p>
        </w:tc>
      </w:tr>
      <w:tr w14:paraId="551C6355">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0F836C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54822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1D6931F">
            <w:pPr>
              <w:widowControl/>
              <w:jc w:val="center"/>
              <w:textAlignment w:val="center"/>
              <w:rPr>
                <w:szCs w:val="21"/>
              </w:rPr>
            </w:pPr>
            <w:r>
              <w:rPr>
                <w:kern w:val="0"/>
                <w:szCs w:val="21"/>
                <w:lang w:bidi="ar"/>
              </w:rPr>
              <w:t>20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C538EB0">
            <w:pPr>
              <w:widowControl/>
              <w:jc w:val="center"/>
              <w:textAlignment w:val="center"/>
              <w:rPr>
                <w:szCs w:val="21"/>
              </w:rPr>
            </w:pPr>
            <w:r>
              <w:rPr>
                <w:kern w:val="0"/>
                <w:szCs w:val="21"/>
                <w:lang w:bidi="ar"/>
              </w:rPr>
              <w:t>-91</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068149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1EE36F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EBCED4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861A6AA">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C872473">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854F3D9">
            <w:pPr>
              <w:jc w:val="center"/>
              <w:rPr>
                <w:szCs w:val="21"/>
              </w:rPr>
            </w:pPr>
          </w:p>
        </w:tc>
      </w:tr>
      <w:tr w14:paraId="53EF51FA">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66C1051">
            <w:pPr>
              <w:widowControl/>
              <w:jc w:val="center"/>
              <w:textAlignment w:val="center"/>
              <w:rPr>
                <w:szCs w:val="21"/>
              </w:rPr>
            </w:pPr>
            <w:r>
              <w:rPr>
                <w:kern w:val="0"/>
                <w:szCs w:val="21"/>
                <w:lang w:bidi="ar"/>
              </w:rPr>
              <w:t>12</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42FB3FF">
            <w:pPr>
              <w:widowControl/>
              <w:jc w:val="center"/>
              <w:textAlignment w:val="center"/>
              <w:rPr>
                <w:szCs w:val="21"/>
              </w:rPr>
            </w:pPr>
            <w:r>
              <w:rPr>
                <w:kern w:val="0"/>
                <w:szCs w:val="21"/>
                <w:lang w:bidi="ar"/>
              </w:rPr>
              <w:t>鑫旺板块3号舍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D1C3F4A">
            <w:pPr>
              <w:widowControl/>
              <w:jc w:val="center"/>
              <w:textAlignment w:val="center"/>
              <w:rPr>
                <w:szCs w:val="21"/>
              </w:rPr>
            </w:pPr>
            <w:r>
              <w:rPr>
                <w:kern w:val="0"/>
                <w:szCs w:val="21"/>
                <w:lang w:bidi="ar"/>
              </w:rPr>
              <w:t>28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9D3D206">
            <w:pPr>
              <w:widowControl/>
              <w:jc w:val="center"/>
              <w:textAlignment w:val="center"/>
              <w:rPr>
                <w:szCs w:val="21"/>
              </w:rPr>
            </w:pPr>
            <w:r>
              <w:rPr>
                <w:kern w:val="0"/>
                <w:szCs w:val="21"/>
                <w:lang w:bidi="ar"/>
              </w:rPr>
              <w:t>-87</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9276279">
            <w:pPr>
              <w:widowControl/>
              <w:jc w:val="center"/>
              <w:textAlignment w:val="center"/>
              <w:rPr>
                <w:szCs w:val="21"/>
              </w:rPr>
            </w:pPr>
            <w:r>
              <w:rPr>
                <w:kern w:val="0"/>
                <w:szCs w:val="21"/>
                <w:lang w:bidi="ar"/>
              </w:rPr>
              <w:t>1868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B28FCFA">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3493288">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3063430">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7BB39CFD">
            <w:pPr>
              <w:widowControl/>
              <w:jc w:val="center"/>
              <w:textAlignment w:val="center"/>
              <w:rPr>
                <w:szCs w:val="21"/>
              </w:rPr>
            </w:pPr>
            <w:r>
              <w:rPr>
                <w:kern w:val="0"/>
                <w:szCs w:val="21"/>
                <w:lang w:bidi="ar"/>
              </w:rPr>
              <w:t>0.0098</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38D604B1">
            <w:pPr>
              <w:widowControl/>
              <w:jc w:val="center"/>
              <w:textAlignment w:val="center"/>
              <w:rPr>
                <w:szCs w:val="21"/>
              </w:rPr>
            </w:pPr>
            <w:r>
              <w:rPr>
                <w:kern w:val="0"/>
                <w:szCs w:val="21"/>
                <w:lang w:bidi="ar"/>
              </w:rPr>
              <w:t>0.0009</w:t>
            </w:r>
          </w:p>
        </w:tc>
      </w:tr>
      <w:tr w14:paraId="7CB0D1F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310AA41">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A9CC8">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3688BF9">
            <w:pPr>
              <w:widowControl/>
              <w:jc w:val="center"/>
              <w:textAlignment w:val="center"/>
              <w:rPr>
                <w:szCs w:val="21"/>
              </w:rPr>
            </w:pPr>
            <w:r>
              <w:rPr>
                <w:kern w:val="0"/>
                <w:szCs w:val="21"/>
                <w:lang w:bidi="ar"/>
              </w:rPr>
              <w:t>-53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CA147DA">
            <w:pPr>
              <w:widowControl/>
              <w:jc w:val="center"/>
              <w:textAlignment w:val="center"/>
              <w:rPr>
                <w:szCs w:val="21"/>
              </w:rPr>
            </w:pPr>
            <w:r>
              <w:rPr>
                <w:kern w:val="0"/>
                <w:szCs w:val="21"/>
                <w:lang w:bidi="ar"/>
              </w:rPr>
              <w:t>-45</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D997AA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66294F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3F46B4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3B67ACF">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C541226">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21FBE1E">
            <w:pPr>
              <w:jc w:val="center"/>
              <w:rPr>
                <w:szCs w:val="21"/>
              </w:rPr>
            </w:pPr>
          </w:p>
        </w:tc>
      </w:tr>
      <w:tr w14:paraId="49A16D89">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B2A9F9F">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DEC38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80CAC8E">
            <w:pPr>
              <w:widowControl/>
              <w:jc w:val="center"/>
              <w:textAlignment w:val="center"/>
              <w:rPr>
                <w:szCs w:val="21"/>
              </w:rPr>
            </w:pPr>
            <w:r>
              <w:rPr>
                <w:kern w:val="0"/>
                <w:szCs w:val="21"/>
                <w:lang w:bidi="ar"/>
              </w:rPr>
              <w:t>-43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76564F2">
            <w:pPr>
              <w:widowControl/>
              <w:jc w:val="center"/>
              <w:textAlignment w:val="center"/>
              <w:rPr>
                <w:szCs w:val="21"/>
              </w:rPr>
            </w:pPr>
            <w:r>
              <w:rPr>
                <w:kern w:val="0"/>
                <w:szCs w:val="21"/>
                <w:lang w:bidi="ar"/>
              </w:rPr>
              <w:t>-26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F3D9E6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D8754E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CCBAF2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028801C">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754A6A7">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E146C6B">
            <w:pPr>
              <w:jc w:val="center"/>
              <w:rPr>
                <w:szCs w:val="21"/>
              </w:rPr>
            </w:pPr>
          </w:p>
        </w:tc>
      </w:tr>
      <w:tr w14:paraId="11383788">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AEA1C84">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2FE3B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41EF8F5">
            <w:pPr>
              <w:widowControl/>
              <w:jc w:val="center"/>
              <w:textAlignment w:val="center"/>
              <w:rPr>
                <w:szCs w:val="21"/>
              </w:rPr>
            </w:pPr>
            <w:r>
              <w:rPr>
                <w:kern w:val="0"/>
                <w:szCs w:val="21"/>
                <w:lang w:bidi="ar"/>
              </w:rPr>
              <w:t>38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7C2C501">
            <w:pPr>
              <w:widowControl/>
              <w:jc w:val="center"/>
              <w:textAlignment w:val="center"/>
              <w:rPr>
                <w:szCs w:val="21"/>
              </w:rPr>
            </w:pPr>
            <w:r>
              <w:rPr>
                <w:kern w:val="0"/>
                <w:szCs w:val="21"/>
                <w:lang w:bidi="ar"/>
              </w:rPr>
              <w:t>-68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DC1786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41E589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A041BF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89872AB">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E864194">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5E4CF2D">
            <w:pPr>
              <w:jc w:val="center"/>
              <w:rPr>
                <w:szCs w:val="21"/>
              </w:rPr>
            </w:pPr>
          </w:p>
        </w:tc>
      </w:tr>
      <w:tr w14:paraId="7759F921">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EDC7F22">
            <w:pPr>
              <w:widowControl/>
              <w:jc w:val="center"/>
              <w:textAlignment w:val="center"/>
              <w:rPr>
                <w:szCs w:val="21"/>
              </w:rPr>
            </w:pPr>
            <w:r>
              <w:rPr>
                <w:kern w:val="0"/>
                <w:szCs w:val="21"/>
                <w:lang w:bidi="ar"/>
              </w:rPr>
              <w:t>13</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787B01D">
            <w:pPr>
              <w:widowControl/>
              <w:jc w:val="center"/>
              <w:textAlignment w:val="center"/>
              <w:rPr>
                <w:szCs w:val="21"/>
              </w:rPr>
            </w:pPr>
            <w:r>
              <w:rPr>
                <w:kern w:val="0"/>
                <w:szCs w:val="21"/>
                <w:lang w:bidi="ar"/>
              </w:rPr>
              <w:t>大河边篮球场位置猪舍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15BC74E">
            <w:pPr>
              <w:widowControl/>
              <w:jc w:val="center"/>
              <w:textAlignment w:val="center"/>
              <w:rPr>
                <w:szCs w:val="21"/>
              </w:rPr>
            </w:pPr>
            <w:r>
              <w:rPr>
                <w:kern w:val="0"/>
                <w:szCs w:val="21"/>
                <w:lang w:bidi="ar"/>
              </w:rPr>
              <w:t>-5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40D91E8">
            <w:pPr>
              <w:widowControl/>
              <w:jc w:val="center"/>
              <w:textAlignment w:val="center"/>
              <w:rPr>
                <w:szCs w:val="21"/>
              </w:rPr>
            </w:pPr>
            <w:r>
              <w:rPr>
                <w:kern w:val="0"/>
                <w:szCs w:val="21"/>
                <w:lang w:bidi="ar"/>
              </w:rPr>
              <w:t>244</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6102CE5">
            <w:pPr>
              <w:widowControl/>
              <w:jc w:val="center"/>
              <w:textAlignment w:val="center"/>
              <w:rPr>
                <w:szCs w:val="21"/>
              </w:rPr>
            </w:pPr>
            <w:r>
              <w:rPr>
                <w:kern w:val="0"/>
                <w:szCs w:val="21"/>
                <w:lang w:bidi="ar"/>
              </w:rPr>
              <w:t>1868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A0651A0">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9CA77A2">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A973329">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5E574DCF">
            <w:pPr>
              <w:widowControl/>
              <w:jc w:val="center"/>
              <w:textAlignment w:val="center"/>
              <w:rPr>
                <w:szCs w:val="21"/>
              </w:rPr>
            </w:pPr>
            <w:r>
              <w:rPr>
                <w:kern w:val="0"/>
                <w:szCs w:val="21"/>
                <w:lang w:bidi="ar"/>
              </w:rPr>
              <w:t>0.0088</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44134375">
            <w:pPr>
              <w:widowControl/>
              <w:jc w:val="center"/>
              <w:textAlignment w:val="center"/>
              <w:rPr>
                <w:szCs w:val="21"/>
              </w:rPr>
            </w:pPr>
            <w:r>
              <w:rPr>
                <w:kern w:val="0"/>
                <w:szCs w:val="21"/>
                <w:lang w:bidi="ar"/>
              </w:rPr>
              <w:t>0.0008</w:t>
            </w:r>
          </w:p>
        </w:tc>
      </w:tr>
      <w:tr w14:paraId="49114E7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87E1584">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B6AF4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5F42618">
            <w:pPr>
              <w:widowControl/>
              <w:jc w:val="center"/>
              <w:textAlignment w:val="center"/>
              <w:rPr>
                <w:szCs w:val="21"/>
              </w:rPr>
            </w:pPr>
            <w:r>
              <w:rPr>
                <w:kern w:val="0"/>
                <w:szCs w:val="21"/>
                <w:lang w:bidi="ar"/>
              </w:rPr>
              <w:t>-27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2EE63F0">
            <w:pPr>
              <w:widowControl/>
              <w:jc w:val="center"/>
              <w:textAlignment w:val="center"/>
              <w:rPr>
                <w:szCs w:val="21"/>
              </w:rPr>
            </w:pPr>
            <w:r>
              <w:rPr>
                <w:kern w:val="0"/>
                <w:szCs w:val="21"/>
                <w:lang w:bidi="ar"/>
              </w:rPr>
              <w:t>245</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BC721F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2D5716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846F1E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D8962D3">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05FEF03">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330A27A">
            <w:pPr>
              <w:jc w:val="center"/>
              <w:rPr>
                <w:szCs w:val="21"/>
              </w:rPr>
            </w:pPr>
          </w:p>
        </w:tc>
      </w:tr>
      <w:tr w14:paraId="4B9A4628">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1E25FBA">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665EF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8240338">
            <w:pPr>
              <w:widowControl/>
              <w:jc w:val="center"/>
              <w:textAlignment w:val="center"/>
              <w:rPr>
                <w:szCs w:val="21"/>
              </w:rPr>
            </w:pPr>
            <w:r>
              <w:rPr>
                <w:kern w:val="0"/>
                <w:szCs w:val="21"/>
                <w:lang w:bidi="ar"/>
              </w:rPr>
              <w:t>-24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B31057C">
            <w:pPr>
              <w:widowControl/>
              <w:jc w:val="center"/>
              <w:textAlignment w:val="center"/>
              <w:rPr>
                <w:szCs w:val="21"/>
              </w:rPr>
            </w:pPr>
            <w:r>
              <w:rPr>
                <w:kern w:val="0"/>
                <w:szCs w:val="21"/>
                <w:lang w:bidi="ar"/>
              </w:rPr>
              <w:t>312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C6D853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65FB43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9D9BA1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FA81233">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A37F2D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29821A46">
            <w:pPr>
              <w:jc w:val="center"/>
              <w:rPr>
                <w:szCs w:val="21"/>
              </w:rPr>
            </w:pPr>
          </w:p>
        </w:tc>
      </w:tr>
      <w:tr w14:paraId="164AC08E">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152E135">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D23E7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BAB5741">
            <w:pPr>
              <w:widowControl/>
              <w:jc w:val="center"/>
              <w:textAlignment w:val="center"/>
              <w:rPr>
                <w:szCs w:val="21"/>
              </w:rPr>
            </w:pPr>
            <w:r>
              <w:rPr>
                <w:kern w:val="0"/>
                <w:szCs w:val="21"/>
                <w:lang w:bidi="ar"/>
              </w:rPr>
              <w:t>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345C12F">
            <w:pPr>
              <w:widowControl/>
              <w:jc w:val="center"/>
              <w:textAlignment w:val="center"/>
              <w:rPr>
                <w:szCs w:val="21"/>
              </w:rPr>
            </w:pPr>
            <w:r>
              <w:rPr>
                <w:kern w:val="0"/>
                <w:szCs w:val="21"/>
                <w:lang w:bidi="ar"/>
              </w:rPr>
              <w:t>311</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E830D2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0085AF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29D05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0F9F55A">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CF4B1F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7E5143C">
            <w:pPr>
              <w:jc w:val="center"/>
              <w:rPr>
                <w:szCs w:val="21"/>
              </w:rPr>
            </w:pPr>
          </w:p>
        </w:tc>
      </w:tr>
      <w:tr w14:paraId="177E197C">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C1D76D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9164F7">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533ED18">
            <w:pPr>
              <w:widowControl/>
              <w:jc w:val="center"/>
              <w:textAlignment w:val="center"/>
              <w:rPr>
                <w:szCs w:val="21"/>
              </w:rPr>
            </w:pPr>
            <w:r>
              <w:rPr>
                <w:kern w:val="0"/>
                <w:szCs w:val="21"/>
                <w:lang w:bidi="ar"/>
              </w:rPr>
              <w:t>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8A1FA77">
            <w:pPr>
              <w:widowControl/>
              <w:jc w:val="center"/>
              <w:textAlignment w:val="center"/>
              <w:rPr>
                <w:szCs w:val="21"/>
              </w:rPr>
            </w:pPr>
            <w:r>
              <w:rPr>
                <w:kern w:val="0"/>
                <w:szCs w:val="21"/>
                <w:lang w:bidi="ar"/>
              </w:rPr>
              <w:t>256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4318B4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A2B9E0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6E9DA1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80469D1">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CBCAA0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901344D">
            <w:pPr>
              <w:jc w:val="center"/>
              <w:rPr>
                <w:szCs w:val="21"/>
              </w:rPr>
            </w:pPr>
          </w:p>
        </w:tc>
      </w:tr>
      <w:tr w14:paraId="0BB02460">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BAEE4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5C76CB">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41D042C">
            <w:pPr>
              <w:widowControl/>
              <w:jc w:val="center"/>
              <w:textAlignment w:val="center"/>
              <w:rPr>
                <w:szCs w:val="21"/>
              </w:rPr>
            </w:pPr>
            <w:r>
              <w:rPr>
                <w:kern w:val="0"/>
                <w:szCs w:val="21"/>
                <w:lang w:bidi="ar"/>
              </w:rPr>
              <w:t>-5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C428008">
            <w:pPr>
              <w:widowControl/>
              <w:jc w:val="center"/>
              <w:textAlignment w:val="center"/>
              <w:rPr>
                <w:szCs w:val="21"/>
              </w:rPr>
            </w:pPr>
            <w:r>
              <w:rPr>
                <w:kern w:val="0"/>
                <w:szCs w:val="21"/>
                <w:lang w:bidi="ar"/>
              </w:rPr>
              <w:t>256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78F290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50BE2A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E6FEF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9697E54">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3EB13C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C8ACB54">
            <w:pPr>
              <w:jc w:val="center"/>
              <w:rPr>
                <w:szCs w:val="21"/>
              </w:rPr>
            </w:pPr>
          </w:p>
        </w:tc>
      </w:tr>
      <w:tr w14:paraId="373FE47B">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26B9AD3">
            <w:pPr>
              <w:widowControl/>
              <w:jc w:val="center"/>
              <w:textAlignment w:val="center"/>
              <w:rPr>
                <w:szCs w:val="21"/>
              </w:rPr>
            </w:pPr>
            <w:r>
              <w:rPr>
                <w:kern w:val="0"/>
                <w:szCs w:val="21"/>
                <w:lang w:bidi="ar"/>
              </w:rPr>
              <w:t>14</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BA65FA0">
            <w:pPr>
              <w:widowControl/>
              <w:jc w:val="center"/>
              <w:textAlignment w:val="center"/>
              <w:rPr>
                <w:szCs w:val="21"/>
              </w:rPr>
            </w:pPr>
            <w:r>
              <w:rPr>
                <w:kern w:val="0"/>
                <w:szCs w:val="21"/>
                <w:lang w:bidi="ar"/>
              </w:rPr>
              <w:t>大河边上煤仓位置1号舍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DC3DAE2">
            <w:pPr>
              <w:widowControl/>
              <w:jc w:val="center"/>
              <w:textAlignment w:val="center"/>
              <w:rPr>
                <w:szCs w:val="21"/>
              </w:rPr>
            </w:pPr>
            <w:r>
              <w:rPr>
                <w:kern w:val="0"/>
                <w:szCs w:val="21"/>
                <w:lang w:bidi="ar"/>
              </w:rPr>
              <w:t>-33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1F3CC5F">
            <w:pPr>
              <w:widowControl/>
              <w:jc w:val="center"/>
              <w:textAlignment w:val="center"/>
              <w:rPr>
                <w:szCs w:val="21"/>
              </w:rPr>
            </w:pPr>
            <w:r>
              <w:rPr>
                <w:kern w:val="0"/>
                <w:szCs w:val="21"/>
                <w:lang w:bidi="ar"/>
              </w:rPr>
              <w:t>383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8205E7D">
            <w:pPr>
              <w:widowControl/>
              <w:jc w:val="center"/>
              <w:textAlignment w:val="center"/>
              <w:rPr>
                <w:szCs w:val="21"/>
              </w:rPr>
            </w:pPr>
            <w:r>
              <w:rPr>
                <w:kern w:val="0"/>
                <w:szCs w:val="21"/>
                <w:lang w:bidi="ar"/>
              </w:rPr>
              <w:t>1847</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0FA5457">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13D03C3">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3B86B81">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192029C5">
            <w:pPr>
              <w:widowControl/>
              <w:jc w:val="center"/>
              <w:textAlignment w:val="center"/>
              <w:rPr>
                <w:szCs w:val="21"/>
              </w:rPr>
            </w:pPr>
            <w:r>
              <w:rPr>
                <w:kern w:val="0"/>
                <w:szCs w:val="21"/>
                <w:lang w:bidi="ar"/>
              </w:rPr>
              <w:t>0.0036</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79CC438A">
            <w:pPr>
              <w:widowControl/>
              <w:jc w:val="center"/>
              <w:textAlignment w:val="center"/>
              <w:rPr>
                <w:szCs w:val="21"/>
              </w:rPr>
            </w:pPr>
            <w:r>
              <w:rPr>
                <w:kern w:val="0"/>
                <w:szCs w:val="21"/>
                <w:lang w:bidi="ar"/>
              </w:rPr>
              <w:t>0.0003</w:t>
            </w:r>
          </w:p>
        </w:tc>
      </w:tr>
      <w:tr w14:paraId="3E3886A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CDF0588">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8646F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6371D90">
            <w:pPr>
              <w:widowControl/>
              <w:jc w:val="center"/>
              <w:textAlignment w:val="center"/>
              <w:rPr>
                <w:szCs w:val="21"/>
              </w:rPr>
            </w:pPr>
            <w:r>
              <w:rPr>
                <w:kern w:val="0"/>
                <w:szCs w:val="21"/>
                <w:lang w:bidi="ar"/>
              </w:rPr>
              <w:t>-17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A4E51A5">
            <w:pPr>
              <w:widowControl/>
              <w:jc w:val="center"/>
              <w:textAlignment w:val="center"/>
              <w:rPr>
                <w:szCs w:val="21"/>
              </w:rPr>
            </w:pPr>
            <w:r>
              <w:rPr>
                <w:kern w:val="0"/>
                <w:szCs w:val="21"/>
                <w:lang w:bidi="ar"/>
              </w:rPr>
              <w:t>386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5C7BED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8A524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4A797D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B0A5628">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7932589">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AD940D2">
            <w:pPr>
              <w:jc w:val="center"/>
              <w:rPr>
                <w:szCs w:val="21"/>
              </w:rPr>
            </w:pPr>
          </w:p>
        </w:tc>
      </w:tr>
      <w:tr w14:paraId="2E2EF157">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6FE62B7">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5A0478">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F6218D2">
            <w:pPr>
              <w:widowControl/>
              <w:jc w:val="center"/>
              <w:textAlignment w:val="center"/>
              <w:rPr>
                <w:szCs w:val="21"/>
              </w:rPr>
            </w:pPr>
            <w:r>
              <w:rPr>
                <w:kern w:val="0"/>
                <w:szCs w:val="21"/>
                <w:lang w:bidi="ar"/>
              </w:rPr>
              <w:t>-3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07214F3">
            <w:pPr>
              <w:widowControl/>
              <w:jc w:val="center"/>
              <w:textAlignment w:val="center"/>
              <w:rPr>
                <w:szCs w:val="21"/>
              </w:rPr>
            </w:pPr>
            <w:r>
              <w:rPr>
                <w:kern w:val="0"/>
                <w:szCs w:val="21"/>
                <w:lang w:bidi="ar"/>
              </w:rPr>
              <w:t>316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8DEB41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F033B7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836FFB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C033CE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ABC8397">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279D70F2">
            <w:pPr>
              <w:jc w:val="center"/>
              <w:rPr>
                <w:szCs w:val="21"/>
              </w:rPr>
            </w:pPr>
          </w:p>
        </w:tc>
      </w:tr>
      <w:tr w14:paraId="154D65B7">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BF985B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48DE9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28ED6F0">
            <w:pPr>
              <w:widowControl/>
              <w:jc w:val="center"/>
              <w:textAlignment w:val="center"/>
              <w:rPr>
                <w:szCs w:val="21"/>
              </w:rPr>
            </w:pPr>
            <w:r>
              <w:rPr>
                <w:kern w:val="0"/>
                <w:szCs w:val="21"/>
                <w:lang w:bidi="ar"/>
              </w:rPr>
              <w:t>-20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2CCE583">
            <w:pPr>
              <w:widowControl/>
              <w:jc w:val="center"/>
              <w:textAlignment w:val="center"/>
              <w:rPr>
                <w:szCs w:val="21"/>
              </w:rPr>
            </w:pPr>
            <w:r>
              <w:rPr>
                <w:kern w:val="0"/>
                <w:szCs w:val="21"/>
                <w:lang w:bidi="ar"/>
              </w:rPr>
              <w:t>312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2FA572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730E87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54202C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937EEFA">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6BB7809">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94E5601">
            <w:pPr>
              <w:jc w:val="center"/>
              <w:rPr>
                <w:szCs w:val="21"/>
              </w:rPr>
            </w:pPr>
          </w:p>
        </w:tc>
      </w:tr>
      <w:tr w14:paraId="275A4AC6">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BD7E0DC">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78AEC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09BFAF1">
            <w:pPr>
              <w:widowControl/>
              <w:jc w:val="center"/>
              <w:textAlignment w:val="center"/>
              <w:rPr>
                <w:szCs w:val="21"/>
              </w:rPr>
            </w:pPr>
            <w:r>
              <w:rPr>
                <w:kern w:val="0"/>
                <w:szCs w:val="21"/>
                <w:lang w:bidi="ar"/>
              </w:rPr>
              <w:t>-27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FA36F4A">
            <w:pPr>
              <w:widowControl/>
              <w:jc w:val="center"/>
              <w:textAlignment w:val="center"/>
              <w:rPr>
                <w:szCs w:val="21"/>
              </w:rPr>
            </w:pPr>
            <w:r>
              <w:rPr>
                <w:kern w:val="0"/>
                <w:szCs w:val="21"/>
                <w:lang w:bidi="ar"/>
              </w:rPr>
              <w:t>342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794D4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16818F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58A6E4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DEDD611">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C66E63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19EEA92">
            <w:pPr>
              <w:jc w:val="center"/>
              <w:rPr>
                <w:szCs w:val="21"/>
              </w:rPr>
            </w:pPr>
          </w:p>
        </w:tc>
      </w:tr>
      <w:tr w14:paraId="75A626B5">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8A013F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82009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451CC01">
            <w:pPr>
              <w:widowControl/>
              <w:jc w:val="center"/>
              <w:textAlignment w:val="center"/>
              <w:rPr>
                <w:szCs w:val="21"/>
              </w:rPr>
            </w:pPr>
            <w:r>
              <w:rPr>
                <w:kern w:val="0"/>
                <w:szCs w:val="21"/>
                <w:lang w:bidi="ar"/>
              </w:rPr>
              <w:t>-25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4BA3566">
            <w:pPr>
              <w:widowControl/>
              <w:jc w:val="center"/>
              <w:textAlignment w:val="center"/>
              <w:rPr>
                <w:szCs w:val="21"/>
              </w:rPr>
            </w:pPr>
            <w:r>
              <w:rPr>
                <w:kern w:val="0"/>
                <w:szCs w:val="21"/>
                <w:lang w:bidi="ar"/>
              </w:rPr>
              <w:t>343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CCE96E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DD04C3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094E5C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EF671E">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5AA0CB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805DF1E">
            <w:pPr>
              <w:jc w:val="center"/>
              <w:rPr>
                <w:szCs w:val="21"/>
              </w:rPr>
            </w:pPr>
          </w:p>
        </w:tc>
      </w:tr>
      <w:tr w14:paraId="3C0C9C77">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EFF3EEE">
            <w:pPr>
              <w:widowControl/>
              <w:jc w:val="center"/>
              <w:textAlignment w:val="center"/>
              <w:rPr>
                <w:szCs w:val="21"/>
              </w:rPr>
            </w:pPr>
            <w:r>
              <w:rPr>
                <w:kern w:val="0"/>
                <w:szCs w:val="21"/>
                <w:lang w:bidi="ar"/>
              </w:rPr>
              <w:t>15</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9E98B69">
            <w:pPr>
              <w:widowControl/>
              <w:jc w:val="center"/>
              <w:textAlignment w:val="center"/>
              <w:rPr>
                <w:szCs w:val="21"/>
              </w:rPr>
            </w:pPr>
            <w:r>
              <w:rPr>
                <w:kern w:val="0"/>
                <w:szCs w:val="21"/>
                <w:lang w:bidi="ar"/>
              </w:rPr>
              <w:t>大河边上煤仓位置2号舍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468AF28">
            <w:pPr>
              <w:widowControl/>
              <w:jc w:val="center"/>
              <w:textAlignment w:val="center"/>
              <w:rPr>
                <w:szCs w:val="21"/>
              </w:rPr>
            </w:pPr>
            <w:r>
              <w:rPr>
                <w:kern w:val="0"/>
                <w:szCs w:val="21"/>
                <w:lang w:bidi="ar"/>
              </w:rPr>
              <w:t>-48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05DBF8D">
            <w:pPr>
              <w:widowControl/>
              <w:jc w:val="center"/>
              <w:textAlignment w:val="center"/>
              <w:rPr>
                <w:szCs w:val="21"/>
              </w:rPr>
            </w:pPr>
            <w:r>
              <w:rPr>
                <w:kern w:val="0"/>
                <w:szCs w:val="21"/>
                <w:lang w:bidi="ar"/>
              </w:rPr>
              <w:t>376</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09BB26A">
            <w:pPr>
              <w:widowControl/>
              <w:jc w:val="center"/>
              <w:textAlignment w:val="center"/>
              <w:rPr>
                <w:szCs w:val="21"/>
              </w:rPr>
            </w:pPr>
            <w:r>
              <w:rPr>
                <w:kern w:val="0"/>
                <w:szCs w:val="21"/>
                <w:lang w:bidi="ar"/>
              </w:rPr>
              <w:t>1844</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428DAEC">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6DFD840">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8A55739">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30DE8791">
            <w:pPr>
              <w:widowControl/>
              <w:jc w:val="center"/>
              <w:textAlignment w:val="center"/>
              <w:rPr>
                <w:szCs w:val="21"/>
              </w:rPr>
            </w:pPr>
            <w:r>
              <w:rPr>
                <w:kern w:val="0"/>
                <w:szCs w:val="21"/>
                <w:lang w:bidi="ar"/>
              </w:rPr>
              <w:t>0.0056</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431F48CB">
            <w:pPr>
              <w:widowControl/>
              <w:jc w:val="center"/>
              <w:textAlignment w:val="center"/>
              <w:rPr>
                <w:szCs w:val="21"/>
              </w:rPr>
            </w:pPr>
            <w:r>
              <w:rPr>
                <w:kern w:val="0"/>
                <w:szCs w:val="21"/>
                <w:lang w:bidi="ar"/>
              </w:rPr>
              <w:t>0.0005</w:t>
            </w:r>
          </w:p>
        </w:tc>
      </w:tr>
      <w:tr w14:paraId="4ADADD0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D0595BC">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6E4CA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ADE186E">
            <w:pPr>
              <w:widowControl/>
              <w:jc w:val="center"/>
              <w:textAlignment w:val="center"/>
              <w:rPr>
                <w:szCs w:val="21"/>
              </w:rPr>
            </w:pPr>
            <w:r>
              <w:rPr>
                <w:kern w:val="0"/>
                <w:szCs w:val="21"/>
                <w:lang w:bidi="ar"/>
              </w:rPr>
              <w:t>-36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5E15219">
            <w:pPr>
              <w:widowControl/>
              <w:jc w:val="center"/>
              <w:textAlignment w:val="center"/>
              <w:rPr>
                <w:szCs w:val="21"/>
              </w:rPr>
            </w:pPr>
            <w:r>
              <w:rPr>
                <w:kern w:val="0"/>
                <w:szCs w:val="21"/>
                <w:lang w:bidi="ar"/>
              </w:rPr>
              <w:t>379</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3C9F31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9AA7C3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8B95BC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C354A5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B0BCA3C">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9801B24">
            <w:pPr>
              <w:jc w:val="center"/>
              <w:rPr>
                <w:szCs w:val="21"/>
              </w:rPr>
            </w:pPr>
          </w:p>
        </w:tc>
      </w:tr>
      <w:tr w14:paraId="68CF3284">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269B4F6">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5EB17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01EB010">
            <w:pPr>
              <w:widowControl/>
              <w:jc w:val="center"/>
              <w:textAlignment w:val="center"/>
              <w:rPr>
                <w:szCs w:val="21"/>
              </w:rPr>
            </w:pPr>
            <w:r>
              <w:rPr>
                <w:kern w:val="0"/>
                <w:szCs w:val="21"/>
                <w:lang w:bidi="ar"/>
              </w:rPr>
              <w:t>-24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A6145B8">
            <w:pPr>
              <w:widowControl/>
              <w:jc w:val="center"/>
              <w:textAlignment w:val="center"/>
              <w:rPr>
                <w:szCs w:val="21"/>
              </w:rPr>
            </w:pPr>
            <w:r>
              <w:rPr>
                <w:kern w:val="0"/>
                <w:szCs w:val="21"/>
                <w:lang w:bidi="ar"/>
              </w:rPr>
              <w:t>318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35145D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A7400B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BD3499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FDFFF11">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D56DB4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46DDC54">
            <w:pPr>
              <w:jc w:val="center"/>
              <w:rPr>
                <w:szCs w:val="21"/>
              </w:rPr>
            </w:pPr>
          </w:p>
        </w:tc>
      </w:tr>
      <w:tr w14:paraId="40B3B1B2">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A46D3B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B01AC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CF9EE27">
            <w:pPr>
              <w:widowControl/>
              <w:jc w:val="center"/>
              <w:textAlignment w:val="center"/>
              <w:rPr>
                <w:szCs w:val="21"/>
              </w:rPr>
            </w:pPr>
            <w:r>
              <w:rPr>
                <w:kern w:val="0"/>
                <w:szCs w:val="21"/>
                <w:lang w:bidi="ar"/>
              </w:rPr>
              <w:t>-35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6E7B34D">
            <w:pPr>
              <w:widowControl/>
              <w:jc w:val="center"/>
              <w:textAlignment w:val="center"/>
              <w:rPr>
                <w:szCs w:val="21"/>
              </w:rPr>
            </w:pPr>
            <w:r>
              <w:rPr>
                <w:kern w:val="0"/>
                <w:szCs w:val="21"/>
                <w:lang w:bidi="ar"/>
              </w:rPr>
              <w:t>316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15B95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554B7C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5C1B8C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2FB695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584C5B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2F94408">
            <w:pPr>
              <w:jc w:val="center"/>
              <w:rPr>
                <w:szCs w:val="21"/>
              </w:rPr>
            </w:pPr>
          </w:p>
        </w:tc>
      </w:tr>
      <w:tr w14:paraId="347FDD01">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836A82D">
            <w:pPr>
              <w:widowControl/>
              <w:jc w:val="center"/>
              <w:textAlignment w:val="center"/>
              <w:rPr>
                <w:szCs w:val="21"/>
              </w:rPr>
            </w:pPr>
            <w:r>
              <w:rPr>
                <w:kern w:val="0"/>
                <w:szCs w:val="21"/>
                <w:lang w:bidi="ar"/>
              </w:rPr>
              <w:t>16</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331FECB0">
            <w:pPr>
              <w:widowControl/>
              <w:jc w:val="center"/>
              <w:textAlignment w:val="center"/>
              <w:rPr>
                <w:szCs w:val="21"/>
              </w:rPr>
            </w:pPr>
            <w:r>
              <w:rPr>
                <w:kern w:val="0"/>
                <w:szCs w:val="21"/>
                <w:lang w:bidi="ar"/>
              </w:rPr>
              <w:t>大河边下煤仓位置猪舍</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508F028">
            <w:pPr>
              <w:widowControl/>
              <w:jc w:val="center"/>
              <w:textAlignment w:val="center"/>
              <w:rPr>
                <w:szCs w:val="21"/>
              </w:rPr>
            </w:pPr>
            <w:r>
              <w:rPr>
                <w:kern w:val="0"/>
                <w:szCs w:val="21"/>
                <w:lang w:bidi="ar"/>
              </w:rPr>
              <w:t>-82</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2B48BBD">
            <w:pPr>
              <w:widowControl/>
              <w:jc w:val="center"/>
              <w:textAlignment w:val="center"/>
              <w:rPr>
                <w:szCs w:val="21"/>
              </w:rPr>
            </w:pPr>
            <w:r>
              <w:rPr>
                <w:kern w:val="0"/>
                <w:szCs w:val="21"/>
                <w:lang w:bidi="ar"/>
              </w:rPr>
              <w:t>449</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BC6684E">
            <w:pPr>
              <w:widowControl/>
              <w:jc w:val="center"/>
              <w:textAlignment w:val="center"/>
              <w:rPr>
                <w:szCs w:val="21"/>
              </w:rPr>
            </w:pPr>
            <w:r>
              <w:rPr>
                <w:kern w:val="0"/>
                <w:szCs w:val="21"/>
                <w:lang w:bidi="ar"/>
              </w:rPr>
              <w:t>1815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3A95E75">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975E908">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085CB11">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4CC3C688">
            <w:pPr>
              <w:widowControl/>
              <w:jc w:val="center"/>
              <w:textAlignment w:val="center"/>
              <w:rPr>
                <w:szCs w:val="21"/>
              </w:rPr>
            </w:pPr>
            <w:r>
              <w:rPr>
                <w:kern w:val="0"/>
                <w:szCs w:val="21"/>
                <w:lang w:bidi="ar"/>
              </w:rPr>
              <w:t>0.0063</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299489AD">
            <w:pPr>
              <w:widowControl/>
              <w:jc w:val="center"/>
              <w:textAlignment w:val="center"/>
              <w:rPr>
                <w:szCs w:val="21"/>
              </w:rPr>
            </w:pPr>
            <w:r>
              <w:rPr>
                <w:kern w:val="0"/>
                <w:szCs w:val="21"/>
                <w:lang w:bidi="ar"/>
              </w:rPr>
              <w:t>0.0006</w:t>
            </w:r>
          </w:p>
        </w:tc>
      </w:tr>
      <w:tr w14:paraId="252FE85D">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97AC344">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E9A2B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3ADCA25">
            <w:pPr>
              <w:widowControl/>
              <w:jc w:val="center"/>
              <w:textAlignment w:val="center"/>
              <w:rPr>
                <w:szCs w:val="21"/>
              </w:rPr>
            </w:pPr>
            <w:r>
              <w:rPr>
                <w:kern w:val="0"/>
                <w:szCs w:val="21"/>
                <w:lang w:bidi="ar"/>
              </w:rPr>
              <w:t>-56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A47DD99">
            <w:pPr>
              <w:widowControl/>
              <w:jc w:val="center"/>
              <w:textAlignment w:val="center"/>
              <w:rPr>
                <w:szCs w:val="21"/>
              </w:rPr>
            </w:pPr>
            <w:r>
              <w:rPr>
                <w:kern w:val="0"/>
                <w:szCs w:val="21"/>
                <w:lang w:bidi="ar"/>
              </w:rPr>
              <w:t>458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3245C8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097470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4492F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5C6854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4B68EA3">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7B32AD5">
            <w:pPr>
              <w:jc w:val="center"/>
              <w:rPr>
                <w:szCs w:val="21"/>
              </w:rPr>
            </w:pPr>
          </w:p>
        </w:tc>
      </w:tr>
      <w:tr w14:paraId="5CC3D31E">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02CED1F">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42AFD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7237222">
            <w:pPr>
              <w:widowControl/>
              <w:jc w:val="center"/>
              <w:textAlignment w:val="center"/>
              <w:rPr>
                <w:szCs w:val="21"/>
              </w:rPr>
            </w:pPr>
            <w:r>
              <w:rPr>
                <w:kern w:val="0"/>
                <w:szCs w:val="21"/>
                <w:lang w:bidi="ar"/>
              </w:rPr>
              <w:t>-41</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BACE27C">
            <w:pPr>
              <w:widowControl/>
              <w:jc w:val="center"/>
              <w:textAlignment w:val="center"/>
              <w:rPr>
                <w:szCs w:val="21"/>
              </w:rPr>
            </w:pPr>
            <w:r>
              <w:rPr>
                <w:kern w:val="0"/>
                <w:szCs w:val="21"/>
                <w:lang w:bidi="ar"/>
              </w:rPr>
              <w:t>414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8E28EE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C1AC76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7AFE99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008E08C">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175FA4D">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9C69446">
            <w:pPr>
              <w:jc w:val="center"/>
              <w:rPr>
                <w:szCs w:val="21"/>
              </w:rPr>
            </w:pPr>
          </w:p>
        </w:tc>
      </w:tr>
      <w:tr w14:paraId="35CB5FE7">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CB1629D">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985CA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5B1BFC1">
            <w:pPr>
              <w:widowControl/>
              <w:jc w:val="center"/>
              <w:textAlignment w:val="center"/>
              <w:rPr>
                <w:szCs w:val="21"/>
              </w:rPr>
            </w:pPr>
            <w:r>
              <w:rPr>
                <w:kern w:val="0"/>
                <w:szCs w:val="21"/>
                <w:lang w:bidi="ar"/>
              </w:rPr>
              <w:t>-67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28A1F97">
            <w:pPr>
              <w:widowControl/>
              <w:jc w:val="center"/>
              <w:textAlignment w:val="center"/>
              <w:rPr>
                <w:szCs w:val="21"/>
              </w:rPr>
            </w:pPr>
            <w:r>
              <w:rPr>
                <w:kern w:val="0"/>
                <w:szCs w:val="21"/>
                <w:lang w:bidi="ar"/>
              </w:rPr>
              <w:t>405</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F6BD3E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D005FE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7F86DA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24E14E9">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7DE24F4">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61D503E">
            <w:pPr>
              <w:jc w:val="center"/>
              <w:rPr>
                <w:szCs w:val="21"/>
              </w:rPr>
            </w:pPr>
          </w:p>
        </w:tc>
      </w:tr>
      <w:tr w14:paraId="42415AA7">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68B1659">
            <w:pPr>
              <w:widowControl/>
              <w:jc w:val="center"/>
              <w:textAlignment w:val="center"/>
              <w:rPr>
                <w:szCs w:val="21"/>
              </w:rPr>
            </w:pPr>
            <w:r>
              <w:rPr>
                <w:kern w:val="0"/>
                <w:szCs w:val="21"/>
                <w:lang w:bidi="ar"/>
              </w:rPr>
              <w:t>17</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32DBD6AB">
            <w:pPr>
              <w:widowControl/>
              <w:jc w:val="center"/>
              <w:textAlignment w:val="center"/>
              <w:rPr>
                <w:szCs w:val="21"/>
              </w:rPr>
            </w:pPr>
            <w:r>
              <w:rPr>
                <w:kern w:val="0"/>
                <w:szCs w:val="21"/>
                <w:lang w:bidi="ar"/>
              </w:rPr>
              <w:t>盛丰通风井堆肥</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5F5025F">
            <w:pPr>
              <w:widowControl/>
              <w:jc w:val="center"/>
              <w:textAlignment w:val="center"/>
              <w:rPr>
                <w:szCs w:val="21"/>
              </w:rPr>
            </w:pPr>
            <w:r>
              <w:rPr>
                <w:kern w:val="0"/>
                <w:szCs w:val="21"/>
                <w:lang w:bidi="ar"/>
              </w:rPr>
              <w:t>754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1B6121A">
            <w:pPr>
              <w:widowControl/>
              <w:jc w:val="center"/>
              <w:textAlignment w:val="center"/>
              <w:rPr>
                <w:szCs w:val="21"/>
              </w:rPr>
            </w:pPr>
            <w:r>
              <w:rPr>
                <w:kern w:val="0"/>
                <w:szCs w:val="21"/>
                <w:lang w:bidi="ar"/>
              </w:rPr>
              <w:t>55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6EFBBCD">
            <w:pPr>
              <w:widowControl/>
              <w:jc w:val="center"/>
              <w:textAlignment w:val="center"/>
              <w:rPr>
                <w:szCs w:val="21"/>
              </w:rPr>
            </w:pPr>
            <w:r>
              <w:rPr>
                <w:kern w:val="0"/>
                <w:szCs w:val="21"/>
                <w:lang w:bidi="ar"/>
              </w:rPr>
              <w:t>1833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1B50BE1">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C97B5DC">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4313337">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55A80187">
            <w:pPr>
              <w:widowControl/>
              <w:jc w:val="center"/>
              <w:textAlignment w:val="center"/>
              <w:rPr>
                <w:szCs w:val="21"/>
              </w:rPr>
            </w:pPr>
            <w:r>
              <w:rPr>
                <w:kern w:val="0"/>
                <w:szCs w:val="21"/>
                <w:lang w:bidi="ar"/>
              </w:rPr>
              <w:t>0.0054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6A970F7D">
            <w:pPr>
              <w:widowControl/>
              <w:jc w:val="center"/>
              <w:textAlignment w:val="center"/>
              <w:rPr>
                <w:szCs w:val="21"/>
              </w:rPr>
            </w:pPr>
            <w:r>
              <w:rPr>
                <w:kern w:val="0"/>
                <w:szCs w:val="21"/>
                <w:lang w:bidi="ar"/>
              </w:rPr>
              <w:t>0.0003</w:t>
            </w:r>
          </w:p>
        </w:tc>
      </w:tr>
      <w:tr w14:paraId="61585D9F">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02A46AD">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DD4AC0">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7B29FBC">
            <w:pPr>
              <w:widowControl/>
              <w:jc w:val="center"/>
              <w:textAlignment w:val="center"/>
              <w:rPr>
                <w:szCs w:val="21"/>
              </w:rPr>
            </w:pPr>
            <w:r>
              <w:rPr>
                <w:kern w:val="0"/>
                <w:szCs w:val="21"/>
                <w:lang w:bidi="ar"/>
              </w:rPr>
              <w:t>750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FC02309">
            <w:pPr>
              <w:widowControl/>
              <w:jc w:val="center"/>
              <w:textAlignment w:val="center"/>
              <w:rPr>
                <w:szCs w:val="21"/>
              </w:rPr>
            </w:pPr>
            <w:r>
              <w:rPr>
                <w:kern w:val="0"/>
                <w:szCs w:val="21"/>
                <w:lang w:bidi="ar"/>
              </w:rPr>
              <w:t>46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40C0D1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81386E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BCFE52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AC68CC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FF35CC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160C1B7">
            <w:pPr>
              <w:jc w:val="center"/>
              <w:rPr>
                <w:szCs w:val="21"/>
              </w:rPr>
            </w:pPr>
          </w:p>
        </w:tc>
      </w:tr>
      <w:tr w14:paraId="28E7E882">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5EEC24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F6ECD">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73E0420">
            <w:pPr>
              <w:widowControl/>
              <w:jc w:val="center"/>
              <w:textAlignment w:val="center"/>
              <w:rPr>
                <w:szCs w:val="21"/>
              </w:rPr>
            </w:pPr>
            <w:r>
              <w:rPr>
                <w:kern w:val="0"/>
                <w:szCs w:val="21"/>
                <w:lang w:bidi="ar"/>
              </w:rPr>
              <w:t>772</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6A8D98F">
            <w:pPr>
              <w:widowControl/>
              <w:jc w:val="center"/>
              <w:textAlignment w:val="center"/>
              <w:rPr>
                <w:szCs w:val="21"/>
              </w:rPr>
            </w:pPr>
            <w:r>
              <w:rPr>
                <w:kern w:val="0"/>
                <w:szCs w:val="21"/>
                <w:lang w:bidi="ar"/>
              </w:rPr>
              <w:t>34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42E96C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E956E3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81F824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ED2C663">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88B1F16">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6A79FBB">
            <w:pPr>
              <w:jc w:val="center"/>
              <w:rPr>
                <w:szCs w:val="21"/>
              </w:rPr>
            </w:pPr>
          </w:p>
        </w:tc>
      </w:tr>
      <w:tr w14:paraId="6A9E04A3">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E33CCB4">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065D28">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7513537">
            <w:pPr>
              <w:widowControl/>
              <w:jc w:val="center"/>
              <w:textAlignment w:val="center"/>
              <w:rPr>
                <w:szCs w:val="21"/>
              </w:rPr>
            </w:pPr>
            <w:r>
              <w:rPr>
                <w:kern w:val="0"/>
                <w:szCs w:val="21"/>
                <w:lang w:bidi="ar"/>
              </w:rPr>
              <w:t>777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C6EACAA">
            <w:pPr>
              <w:widowControl/>
              <w:jc w:val="center"/>
              <w:textAlignment w:val="center"/>
              <w:rPr>
                <w:szCs w:val="21"/>
              </w:rPr>
            </w:pPr>
            <w:r>
              <w:rPr>
                <w:kern w:val="0"/>
                <w:szCs w:val="21"/>
                <w:lang w:bidi="ar"/>
              </w:rPr>
              <w:t>43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98FEC2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07B61B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6DC143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467048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F99556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BB9A4A5">
            <w:pPr>
              <w:jc w:val="center"/>
              <w:rPr>
                <w:szCs w:val="21"/>
              </w:rPr>
            </w:pPr>
          </w:p>
        </w:tc>
      </w:tr>
      <w:tr w14:paraId="20446213">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9B1B406">
            <w:pPr>
              <w:widowControl/>
              <w:jc w:val="center"/>
              <w:textAlignment w:val="center"/>
              <w:rPr>
                <w:szCs w:val="21"/>
              </w:rPr>
            </w:pPr>
            <w:r>
              <w:rPr>
                <w:kern w:val="0"/>
                <w:szCs w:val="21"/>
                <w:lang w:bidi="ar"/>
              </w:rPr>
              <w:t>18</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3137BCFA">
            <w:pPr>
              <w:widowControl/>
              <w:jc w:val="center"/>
              <w:textAlignment w:val="center"/>
              <w:rPr>
                <w:szCs w:val="21"/>
              </w:rPr>
            </w:pPr>
            <w:r>
              <w:rPr>
                <w:kern w:val="0"/>
                <w:szCs w:val="21"/>
                <w:lang w:bidi="ar"/>
              </w:rPr>
              <w:t>盛丰焦化楼堆肥</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FE2444A">
            <w:pPr>
              <w:widowControl/>
              <w:jc w:val="center"/>
              <w:textAlignment w:val="center"/>
              <w:rPr>
                <w:szCs w:val="21"/>
              </w:rPr>
            </w:pPr>
            <w:r>
              <w:rPr>
                <w:kern w:val="0"/>
                <w:szCs w:val="21"/>
                <w:lang w:bidi="ar"/>
              </w:rPr>
              <w:t>-1361</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FF414A2">
            <w:pPr>
              <w:widowControl/>
              <w:jc w:val="center"/>
              <w:textAlignment w:val="center"/>
              <w:rPr>
                <w:szCs w:val="21"/>
              </w:rPr>
            </w:pPr>
            <w:r>
              <w:rPr>
                <w:kern w:val="0"/>
                <w:szCs w:val="21"/>
                <w:lang w:bidi="ar"/>
              </w:rPr>
              <w:t>-2200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798B4DA">
            <w:pPr>
              <w:widowControl/>
              <w:jc w:val="center"/>
              <w:textAlignment w:val="center"/>
              <w:rPr>
                <w:szCs w:val="21"/>
              </w:rPr>
            </w:pPr>
            <w:r>
              <w:rPr>
                <w:kern w:val="0"/>
                <w:szCs w:val="21"/>
                <w:lang w:bidi="ar"/>
              </w:rPr>
              <w:t>1782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FADCDF5">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C951EF7">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C563DD2">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2897D423">
            <w:pPr>
              <w:widowControl/>
              <w:jc w:val="center"/>
              <w:textAlignment w:val="center"/>
              <w:rPr>
                <w:szCs w:val="21"/>
              </w:rPr>
            </w:pPr>
            <w:r>
              <w:rPr>
                <w:kern w:val="0"/>
                <w:szCs w:val="21"/>
                <w:lang w:bidi="ar"/>
              </w:rPr>
              <w:t>0.0108</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080A7162">
            <w:pPr>
              <w:widowControl/>
              <w:jc w:val="center"/>
              <w:textAlignment w:val="center"/>
              <w:rPr>
                <w:szCs w:val="21"/>
              </w:rPr>
            </w:pPr>
            <w:r>
              <w:rPr>
                <w:kern w:val="0"/>
                <w:szCs w:val="21"/>
                <w:lang w:bidi="ar"/>
              </w:rPr>
              <w:t>0.0006</w:t>
            </w:r>
          </w:p>
        </w:tc>
      </w:tr>
      <w:tr w14:paraId="13C99D1C">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F6017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4213B8">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4A789DA">
            <w:pPr>
              <w:widowControl/>
              <w:jc w:val="center"/>
              <w:textAlignment w:val="center"/>
              <w:rPr>
                <w:szCs w:val="21"/>
              </w:rPr>
            </w:pPr>
            <w:r>
              <w:rPr>
                <w:kern w:val="0"/>
                <w:szCs w:val="21"/>
                <w:lang w:bidi="ar"/>
              </w:rPr>
              <w:t>-1366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63D9A6A">
            <w:pPr>
              <w:widowControl/>
              <w:jc w:val="center"/>
              <w:textAlignment w:val="center"/>
              <w:rPr>
                <w:szCs w:val="21"/>
              </w:rPr>
            </w:pPr>
            <w:r>
              <w:rPr>
                <w:kern w:val="0"/>
                <w:szCs w:val="21"/>
                <w:lang w:bidi="ar"/>
              </w:rPr>
              <w:t>-2189</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1AB57E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83CF83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0264F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978C606">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8B002E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2D8897E">
            <w:pPr>
              <w:jc w:val="center"/>
              <w:rPr>
                <w:szCs w:val="21"/>
              </w:rPr>
            </w:pPr>
          </w:p>
        </w:tc>
      </w:tr>
      <w:tr w14:paraId="7A3138B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0B9B906">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04EE0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66B0917">
            <w:pPr>
              <w:widowControl/>
              <w:jc w:val="center"/>
              <w:textAlignment w:val="center"/>
              <w:rPr>
                <w:szCs w:val="21"/>
              </w:rPr>
            </w:pPr>
            <w:r>
              <w:rPr>
                <w:kern w:val="0"/>
                <w:szCs w:val="21"/>
                <w:lang w:bidi="ar"/>
              </w:rPr>
              <w:t>-1329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344BE8B">
            <w:pPr>
              <w:widowControl/>
              <w:jc w:val="center"/>
              <w:textAlignment w:val="center"/>
              <w:rPr>
                <w:szCs w:val="21"/>
              </w:rPr>
            </w:pPr>
            <w:r>
              <w:rPr>
                <w:kern w:val="0"/>
                <w:szCs w:val="21"/>
                <w:lang w:bidi="ar"/>
              </w:rPr>
              <w:t>-2173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9C8758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69210D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183425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8601E6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122EA84">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745E1B7">
            <w:pPr>
              <w:jc w:val="center"/>
              <w:rPr>
                <w:szCs w:val="21"/>
              </w:rPr>
            </w:pPr>
          </w:p>
        </w:tc>
      </w:tr>
      <w:tr w14:paraId="11647F33">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8FB3746">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940084">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E066559">
            <w:pPr>
              <w:widowControl/>
              <w:jc w:val="center"/>
              <w:textAlignment w:val="center"/>
              <w:rPr>
                <w:szCs w:val="21"/>
              </w:rPr>
            </w:pPr>
            <w:r>
              <w:rPr>
                <w:kern w:val="0"/>
                <w:szCs w:val="21"/>
                <w:lang w:bidi="ar"/>
              </w:rPr>
              <w:t>-1324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E690F81">
            <w:pPr>
              <w:widowControl/>
              <w:jc w:val="center"/>
              <w:textAlignment w:val="center"/>
              <w:rPr>
                <w:szCs w:val="21"/>
              </w:rPr>
            </w:pPr>
            <w:r>
              <w:rPr>
                <w:kern w:val="0"/>
                <w:szCs w:val="21"/>
                <w:lang w:bidi="ar"/>
              </w:rPr>
              <w:t>-2184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57EE9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24BAC2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75C7A8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BD640D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0F4E29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6E5B4E4">
            <w:pPr>
              <w:jc w:val="center"/>
              <w:rPr>
                <w:szCs w:val="21"/>
              </w:rPr>
            </w:pPr>
          </w:p>
        </w:tc>
      </w:tr>
      <w:tr w14:paraId="07500ED4">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963FFEB">
            <w:pPr>
              <w:widowControl/>
              <w:jc w:val="center"/>
              <w:textAlignment w:val="center"/>
              <w:rPr>
                <w:szCs w:val="21"/>
              </w:rPr>
            </w:pPr>
            <w:r>
              <w:rPr>
                <w:kern w:val="0"/>
                <w:szCs w:val="21"/>
                <w:lang w:bidi="ar"/>
              </w:rPr>
              <w:t>19</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B27CBD8">
            <w:pPr>
              <w:widowControl/>
              <w:jc w:val="center"/>
              <w:textAlignment w:val="center"/>
              <w:rPr>
                <w:szCs w:val="21"/>
              </w:rPr>
            </w:pPr>
            <w:r>
              <w:rPr>
                <w:kern w:val="0"/>
                <w:szCs w:val="21"/>
                <w:lang w:bidi="ar"/>
              </w:rPr>
              <w:t>老井堆肥</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9AE6567">
            <w:pPr>
              <w:widowControl/>
              <w:jc w:val="center"/>
              <w:textAlignment w:val="center"/>
              <w:rPr>
                <w:szCs w:val="21"/>
              </w:rPr>
            </w:pPr>
            <w:r>
              <w:rPr>
                <w:kern w:val="0"/>
                <w:szCs w:val="21"/>
                <w:lang w:bidi="ar"/>
              </w:rPr>
              <w:t>-1148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08D3042">
            <w:pPr>
              <w:widowControl/>
              <w:jc w:val="center"/>
              <w:textAlignment w:val="center"/>
              <w:rPr>
                <w:szCs w:val="21"/>
              </w:rPr>
            </w:pPr>
            <w:r>
              <w:rPr>
                <w:kern w:val="0"/>
                <w:szCs w:val="21"/>
                <w:lang w:bidi="ar"/>
              </w:rPr>
              <w:t>-2074</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500017E">
            <w:pPr>
              <w:widowControl/>
              <w:jc w:val="center"/>
              <w:textAlignment w:val="center"/>
              <w:rPr>
                <w:szCs w:val="21"/>
              </w:rPr>
            </w:pPr>
            <w:r>
              <w:rPr>
                <w:kern w:val="0"/>
                <w:szCs w:val="21"/>
                <w:lang w:bidi="ar"/>
              </w:rPr>
              <w:t>1782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E973AF6">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E3A9F98">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224F029">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643D2628">
            <w:pPr>
              <w:widowControl/>
              <w:jc w:val="center"/>
              <w:textAlignment w:val="center"/>
              <w:rPr>
                <w:szCs w:val="21"/>
              </w:rPr>
            </w:pPr>
            <w:r>
              <w:rPr>
                <w:kern w:val="0"/>
                <w:szCs w:val="21"/>
                <w:lang w:bidi="ar"/>
              </w:rPr>
              <w:t>0.0054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771C25FD">
            <w:pPr>
              <w:widowControl/>
              <w:jc w:val="center"/>
              <w:textAlignment w:val="center"/>
              <w:rPr>
                <w:szCs w:val="21"/>
              </w:rPr>
            </w:pPr>
            <w:r>
              <w:rPr>
                <w:kern w:val="0"/>
                <w:szCs w:val="21"/>
                <w:lang w:bidi="ar"/>
              </w:rPr>
              <w:t>0.0003</w:t>
            </w:r>
          </w:p>
        </w:tc>
      </w:tr>
      <w:tr w14:paraId="33B8BCF8">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6BB9EA8">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2BEA52">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448A5F5">
            <w:pPr>
              <w:widowControl/>
              <w:jc w:val="center"/>
              <w:textAlignment w:val="center"/>
              <w:rPr>
                <w:szCs w:val="21"/>
              </w:rPr>
            </w:pPr>
            <w:r>
              <w:rPr>
                <w:kern w:val="0"/>
                <w:szCs w:val="21"/>
                <w:lang w:bidi="ar"/>
              </w:rPr>
              <w:t>-1140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3848F65">
            <w:pPr>
              <w:widowControl/>
              <w:jc w:val="center"/>
              <w:textAlignment w:val="center"/>
              <w:rPr>
                <w:szCs w:val="21"/>
              </w:rPr>
            </w:pPr>
            <w:r>
              <w:rPr>
                <w:kern w:val="0"/>
                <w:szCs w:val="21"/>
                <w:lang w:bidi="ar"/>
              </w:rPr>
              <w:t>-2080</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BCF117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A17925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39841B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2CBD8CE">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504B44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5798539">
            <w:pPr>
              <w:jc w:val="center"/>
              <w:rPr>
                <w:szCs w:val="21"/>
              </w:rPr>
            </w:pPr>
          </w:p>
        </w:tc>
      </w:tr>
      <w:tr w14:paraId="45393AF4">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B506FD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CF604C">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B233B63">
            <w:pPr>
              <w:widowControl/>
              <w:jc w:val="center"/>
              <w:textAlignment w:val="center"/>
              <w:rPr>
                <w:szCs w:val="21"/>
              </w:rPr>
            </w:pPr>
            <w:r>
              <w:rPr>
                <w:kern w:val="0"/>
                <w:szCs w:val="21"/>
                <w:lang w:bidi="ar"/>
              </w:rPr>
              <w:t>-1125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32CCB1E">
            <w:pPr>
              <w:widowControl/>
              <w:jc w:val="center"/>
              <w:textAlignment w:val="center"/>
              <w:rPr>
                <w:szCs w:val="21"/>
              </w:rPr>
            </w:pPr>
            <w:r>
              <w:rPr>
                <w:kern w:val="0"/>
                <w:szCs w:val="21"/>
                <w:lang w:bidi="ar"/>
              </w:rPr>
              <w:t>-2060</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74AC8D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E3B298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46053D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C4C761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F7BD73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506EF84">
            <w:pPr>
              <w:jc w:val="center"/>
              <w:rPr>
                <w:szCs w:val="21"/>
              </w:rPr>
            </w:pPr>
          </w:p>
        </w:tc>
      </w:tr>
      <w:tr w14:paraId="44CB447B">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EDE9BE5">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1F7E1">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0B519C6">
            <w:pPr>
              <w:widowControl/>
              <w:jc w:val="center"/>
              <w:textAlignment w:val="center"/>
              <w:rPr>
                <w:szCs w:val="21"/>
              </w:rPr>
            </w:pPr>
            <w:r>
              <w:rPr>
                <w:kern w:val="0"/>
                <w:szCs w:val="21"/>
                <w:lang w:bidi="ar"/>
              </w:rPr>
              <w:t>-1133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CA4800B">
            <w:pPr>
              <w:widowControl/>
              <w:jc w:val="center"/>
              <w:textAlignment w:val="center"/>
              <w:rPr>
                <w:szCs w:val="21"/>
              </w:rPr>
            </w:pPr>
            <w:r>
              <w:rPr>
                <w:kern w:val="0"/>
                <w:szCs w:val="21"/>
                <w:lang w:bidi="ar"/>
              </w:rPr>
              <w:t>-2054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11FE83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B712FB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3BACA6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B76EA4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5400233">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42AF024">
            <w:pPr>
              <w:jc w:val="center"/>
              <w:rPr>
                <w:szCs w:val="21"/>
              </w:rPr>
            </w:pPr>
          </w:p>
        </w:tc>
      </w:tr>
      <w:tr w14:paraId="0AE1F328">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09F80C46">
            <w:pPr>
              <w:widowControl/>
              <w:jc w:val="center"/>
              <w:textAlignment w:val="center"/>
              <w:rPr>
                <w:szCs w:val="21"/>
              </w:rPr>
            </w:pPr>
            <w:r>
              <w:rPr>
                <w:kern w:val="0"/>
                <w:szCs w:val="21"/>
                <w:lang w:bidi="ar"/>
              </w:rPr>
              <w:t>20</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58341FA">
            <w:pPr>
              <w:widowControl/>
              <w:jc w:val="center"/>
              <w:textAlignment w:val="center"/>
              <w:rPr>
                <w:szCs w:val="21"/>
              </w:rPr>
            </w:pPr>
            <w:r>
              <w:rPr>
                <w:kern w:val="0"/>
                <w:szCs w:val="21"/>
                <w:lang w:bidi="ar"/>
              </w:rPr>
              <w:t>鑫旺堆肥</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F6CD38A">
            <w:pPr>
              <w:widowControl/>
              <w:jc w:val="center"/>
              <w:textAlignment w:val="center"/>
              <w:rPr>
                <w:szCs w:val="21"/>
              </w:rPr>
            </w:pPr>
            <w:r>
              <w:rPr>
                <w:kern w:val="0"/>
                <w:szCs w:val="21"/>
                <w:lang w:bidi="ar"/>
              </w:rPr>
              <w:t>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25D5F41">
            <w:pPr>
              <w:widowControl/>
              <w:jc w:val="center"/>
              <w:textAlignment w:val="center"/>
              <w:rPr>
                <w:szCs w:val="21"/>
              </w:rPr>
            </w:pPr>
            <w:r>
              <w:rPr>
                <w:kern w:val="0"/>
                <w:szCs w:val="21"/>
                <w:lang w:bidi="ar"/>
              </w:rPr>
              <w:t>-32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FEF4BF3">
            <w:pPr>
              <w:widowControl/>
              <w:jc w:val="center"/>
              <w:textAlignment w:val="center"/>
              <w:rPr>
                <w:szCs w:val="21"/>
              </w:rPr>
            </w:pPr>
            <w:r>
              <w:rPr>
                <w:kern w:val="0"/>
                <w:szCs w:val="21"/>
                <w:lang w:bidi="ar"/>
              </w:rPr>
              <w:t>1914</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FB301B1">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967E83F">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9E9BC40">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1BFE8C21">
            <w:pPr>
              <w:widowControl/>
              <w:jc w:val="center"/>
              <w:textAlignment w:val="center"/>
              <w:rPr>
                <w:szCs w:val="21"/>
              </w:rPr>
            </w:pPr>
            <w:r>
              <w:rPr>
                <w:kern w:val="0"/>
                <w:szCs w:val="21"/>
                <w:lang w:bidi="ar"/>
              </w:rPr>
              <w:t>0.0108</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04B6A360">
            <w:pPr>
              <w:widowControl/>
              <w:jc w:val="center"/>
              <w:textAlignment w:val="center"/>
              <w:rPr>
                <w:szCs w:val="21"/>
              </w:rPr>
            </w:pPr>
            <w:r>
              <w:rPr>
                <w:kern w:val="0"/>
                <w:szCs w:val="21"/>
                <w:lang w:bidi="ar"/>
              </w:rPr>
              <w:t>0.0006</w:t>
            </w:r>
          </w:p>
        </w:tc>
      </w:tr>
      <w:tr w14:paraId="6F9118E6">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CF75E83">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C77BC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A1FDD37">
            <w:pPr>
              <w:widowControl/>
              <w:jc w:val="center"/>
              <w:textAlignment w:val="center"/>
              <w:rPr>
                <w:szCs w:val="21"/>
              </w:rPr>
            </w:pPr>
            <w:r>
              <w:rPr>
                <w:kern w:val="0"/>
                <w:szCs w:val="21"/>
                <w:lang w:bidi="ar"/>
              </w:rPr>
              <w:t>36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A60C7AC">
            <w:pPr>
              <w:widowControl/>
              <w:jc w:val="center"/>
              <w:textAlignment w:val="center"/>
              <w:rPr>
                <w:szCs w:val="21"/>
              </w:rPr>
            </w:pPr>
            <w:r>
              <w:rPr>
                <w:kern w:val="0"/>
                <w:szCs w:val="21"/>
                <w:lang w:bidi="ar"/>
              </w:rPr>
              <w:t>-51</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23A1E7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CA95A9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B602CE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92D7CA1">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FD437EA">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2D8D06B3">
            <w:pPr>
              <w:jc w:val="center"/>
              <w:rPr>
                <w:szCs w:val="21"/>
              </w:rPr>
            </w:pPr>
          </w:p>
        </w:tc>
      </w:tr>
      <w:tr w14:paraId="2E6931A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03DDE32">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FBBF1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AB71B30">
            <w:pPr>
              <w:widowControl/>
              <w:jc w:val="center"/>
              <w:textAlignment w:val="center"/>
              <w:rPr>
                <w:szCs w:val="21"/>
              </w:rPr>
            </w:pPr>
            <w:r>
              <w:rPr>
                <w:kern w:val="0"/>
                <w:szCs w:val="21"/>
                <w:lang w:bidi="ar"/>
              </w:rPr>
              <w:t>30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2B3F550">
            <w:pPr>
              <w:widowControl/>
              <w:jc w:val="center"/>
              <w:textAlignment w:val="center"/>
              <w:rPr>
                <w:szCs w:val="21"/>
              </w:rPr>
            </w:pPr>
            <w:r>
              <w:rPr>
                <w:kern w:val="0"/>
                <w:szCs w:val="21"/>
                <w:lang w:bidi="ar"/>
              </w:rPr>
              <w:t>-62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917281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9487D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79A75A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9E2C7F0">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3B15EFA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15E80A6">
            <w:pPr>
              <w:jc w:val="center"/>
              <w:rPr>
                <w:szCs w:val="21"/>
              </w:rPr>
            </w:pPr>
          </w:p>
        </w:tc>
      </w:tr>
      <w:tr w14:paraId="3B20FAB4">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60D28B8">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D40CB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9ED1D1B">
            <w:pPr>
              <w:widowControl/>
              <w:jc w:val="center"/>
              <w:textAlignment w:val="center"/>
              <w:rPr>
                <w:szCs w:val="21"/>
              </w:rPr>
            </w:pPr>
            <w:r>
              <w:rPr>
                <w:kern w:val="0"/>
                <w:szCs w:val="21"/>
                <w:lang w:bidi="ar"/>
              </w:rPr>
              <w:t>-6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2318AF7">
            <w:pPr>
              <w:widowControl/>
              <w:jc w:val="center"/>
              <w:textAlignment w:val="center"/>
              <w:rPr>
                <w:szCs w:val="21"/>
              </w:rPr>
            </w:pPr>
            <w:r>
              <w:rPr>
                <w:kern w:val="0"/>
                <w:szCs w:val="21"/>
                <w:lang w:bidi="ar"/>
              </w:rPr>
              <w:t>-43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08EB8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F70B1D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C1824B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369F7A8">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1B918B8">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013FEBE">
            <w:pPr>
              <w:jc w:val="center"/>
              <w:rPr>
                <w:szCs w:val="21"/>
              </w:rPr>
            </w:pPr>
          </w:p>
        </w:tc>
      </w:tr>
      <w:tr w14:paraId="1BB3DD6C">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944576B">
            <w:pPr>
              <w:widowControl/>
              <w:jc w:val="center"/>
              <w:textAlignment w:val="center"/>
              <w:rPr>
                <w:szCs w:val="21"/>
              </w:rPr>
            </w:pPr>
            <w:r>
              <w:rPr>
                <w:kern w:val="0"/>
                <w:szCs w:val="21"/>
                <w:lang w:bidi="ar"/>
              </w:rPr>
              <w:t>21</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56802878">
            <w:pPr>
              <w:widowControl/>
              <w:jc w:val="center"/>
              <w:textAlignment w:val="center"/>
              <w:rPr>
                <w:szCs w:val="21"/>
              </w:rPr>
            </w:pPr>
            <w:r>
              <w:rPr>
                <w:kern w:val="0"/>
                <w:szCs w:val="21"/>
                <w:lang w:bidi="ar"/>
              </w:rPr>
              <w:t>大河边堆肥</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D3A43AA">
            <w:pPr>
              <w:widowControl/>
              <w:jc w:val="center"/>
              <w:textAlignment w:val="center"/>
              <w:rPr>
                <w:szCs w:val="21"/>
              </w:rPr>
            </w:pPr>
            <w:r>
              <w:rPr>
                <w:kern w:val="0"/>
                <w:szCs w:val="21"/>
                <w:lang w:bidi="ar"/>
              </w:rPr>
              <w:t>16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5BC6161">
            <w:pPr>
              <w:widowControl/>
              <w:jc w:val="center"/>
              <w:textAlignment w:val="center"/>
              <w:rPr>
                <w:szCs w:val="21"/>
              </w:rPr>
            </w:pPr>
            <w:r>
              <w:rPr>
                <w:kern w:val="0"/>
                <w:szCs w:val="21"/>
                <w:lang w:bidi="ar"/>
              </w:rPr>
              <w:t>323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E2620BB">
            <w:pPr>
              <w:widowControl/>
              <w:jc w:val="center"/>
              <w:textAlignment w:val="center"/>
              <w:rPr>
                <w:szCs w:val="21"/>
              </w:rPr>
            </w:pPr>
            <w:r>
              <w:rPr>
                <w:kern w:val="0"/>
                <w:szCs w:val="21"/>
                <w:lang w:bidi="ar"/>
              </w:rPr>
              <w:t>1863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1DCD3A3">
            <w:pPr>
              <w:widowControl/>
              <w:jc w:val="center"/>
              <w:textAlignment w:val="center"/>
              <w:rPr>
                <w:szCs w:val="21"/>
              </w:rPr>
            </w:pPr>
            <w:r>
              <w:rPr>
                <w:kern w:val="0"/>
                <w:szCs w:val="21"/>
                <w:lang w:bidi="ar"/>
              </w:rPr>
              <w:t>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07F2EC1">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E033C75">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5E6F1701">
            <w:pPr>
              <w:widowControl/>
              <w:jc w:val="center"/>
              <w:textAlignment w:val="center"/>
              <w:rPr>
                <w:szCs w:val="21"/>
              </w:rPr>
            </w:pPr>
            <w:r>
              <w:rPr>
                <w:kern w:val="0"/>
                <w:szCs w:val="21"/>
                <w:lang w:bidi="ar"/>
              </w:rPr>
              <w:t>0.0087</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603DDAA4">
            <w:pPr>
              <w:widowControl/>
              <w:jc w:val="center"/>
              <w:textAlignment w:val="center"/>
              <w:rPr>
                <w:szCs w:val="21"/>
              </w:rPr>
            </w:pPr>
            <w:r>
              <w:rPr>
                <w:kern w:val="0"/>
                <w:szCs w:val="21"/>
                <w:lang w:bidi="ar"/>
              </w:rPr>
              <w:t>0.0005</w:t>
            </w:r>
          </w:p>
        </w:tc>
      </w:tr>
      <w:tr w14:paraId="2876710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973D14E">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34A86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87A056B">
            <w:pPr>
              <w:widowControl/>
              <w:jc w:val="center"/>
              <w:textAlignment w:val="center"/>
              <w:rPr>
                <w:szCs w:val="21"/>
              </w:rPr>
            </w:pPr>
            <w:r>
              <w:rPr>
                <w:kern w:val="0"/>
                <w:szCs w:val="21"/>
                <w:lang w:bidi="ar"/>
              </w:rPr>
              <w:t>26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E072FAB">
            <w:pPr>
              <w:widowControl/>
              <w:jc w:val="center"/>
              <w:textAlignment w:val="center"/>
              <w:rPr>
                <w:szCs w:val="21"/>
              </w:rPr>
            </w:pPr>
            <w:r>
              <w:rPr>
                <w:kern w:val="0"/>
                <w:szCs w:val="21"/>
                <w:lang w:bidi="ar"/>
              </w:rPr>
              <w:t>323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CE57D5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4A4673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7671DC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71DCE6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765E601">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6E5D1C1">
            <w:pPr>
              <w:jc w:val="center"/>
              <w:rPr>
                <w:szCs w:val="21"/>
              </w:rPr>
            </w:pPr>
          </w:p>
        </w:tc>
      </w:tr>
      <w:tr w14:paraId="24FE2C29">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20F56F0">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B2C328">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7C2738F">
            <w:pPr>
              <w:widowControl/>
              <w:jc w:val="center"/>
              <w:textAlignment w:val="center"/>
              <w:rPr>
                <w:szCs w:val="21"/>
              </w:rPr>
            </w:pPr>
            <w:r>
              <w:rPr>
                <w:kern w:val="0"/>
                <w:szCs w:val="21"/>
                <w:lang w:bidi="ar"/>
              </w:rPr>
              <w:t>26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6FEBB42">
            <w:pPr>
              <w:widowControl/>
              <w:jc w:val="center"/>
              <w:textAlignment w:val="center"/>
              <w:rPr>
                <w:szCs w:val="21"/>
              </w:rPr>
            </w:pPr>
            <w:r>
              <w:rPr>
                <w:kern w:val="0"/>
                <w:szCs w:val="21"/>
                <w:lang w:bidi="ar"/>
              </w:rPr>
              <w:t>283</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171F75">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FFFBDF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9D71FF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EBE8636">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170FA7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9DA60BA">
            <w:pPr>
              <w:jc w:val="center"/>
              <w:rPr>
                <w:szCs w:val="21"/>
              </w:rPr>
            </w:pPr>
          </w:p>
        </w:tc>
      </w:tr>
      <w:tr w14:paraId="73EB6CC0">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7C819DF">
            <w:pPr>
              <w:widowControl/>
              <w:jc w:val="center"/>
              <w:textAlignment w:val="center"/>
              <w:rPr>
                <w:szCs w:val="21"/>
              </w:rPr>
            </w:pPr>
            <w:r>
              <w:rPr>
                <w:kern w:val="0"/>
                <w:szCs w:val="21"/>
                <w:lang w:bidi="ar"/>
              </w:rPr>
              <w:t>22</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4BF86919">
            <w:pPr>
              <w:widowControl/>
              <w:jc w:val="center"/>
              <w:textAlignment w:val="center"/>
              <w:rPr>
                <w:szCs w:val="21"/>
              </w:rPr>
            </w:pPr>
            <w:r>
              <w:rPr>
                <w:kern w:val="0"/>
                <w:szCs w:val="21"/>
                <w:lang w:bidi="ar"/>
              </w:rPr>
              <w:t>1号地盛丰通风井污水处理站</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0B8664A">
            <w:pPr>
              <w:widowControl/>
              <w:jc w:val="center"/>
              <w:textAlignment w:val="center"/>
              <w:rPr>
                <w:szCs w:val="21"/>
              </w:rPr>
            </w:pPr>
            <w:r>
              <w:rPr>
                <w:kern w:val="0"/>
                <w:szCs w:val="21"/>
                <w:lang w:bidi="ar"/>
              </w:rPr>
              <w:t>717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FE62295">
            <w:pPr>
              <w:widowControl/>
              <w:jc w:val="center"/>
              <w:textAlignment w:val="center"/>
              <w:rPr>
                <w:szCs w:val="21"/>
              </w:rPr>
            </w:pPr>
            <w:r>
              <w:rPr>
                <w:kern w:val="0"/>
                <w:szCs w:val="21"/>
                <w:lang w:bidi="ar"/>
              </w:rPr>
              <w:t>58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26A6253">
            <w:pPr>
              <w:widowControl/>
              <w:jc w:val="center"/>
              <w:textAlignment w:val="center"/>
              <w:rPr>
                <w:szCs w:val="21"/>
              </w:rPr>
            </w:pPr>
            <w:r>
              <w:rPr>
                <w:kern w:val="0"/>
                <w:szCs w:val="21"/>
                <w:lang w:bidi="ar"/>
              </w:rPr>
              <w:t>1835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F1A07AE">
            <w:pPr>
              <w:widowControl/>
              <w:jc w:val="center"/>
              <w:textAlignment w:val="center"/>
              <w:rPr>
                <w:szCs w:val="21"/>
              </w:rPr>
            </w:pPr>
            <w:r>
              <w:rPr>
                <w:kern w:val="0"/>
                <w:szCs w:val="21"/>
                <w:lang w:bidi="ar"/>
              </w:rPr>
              <w:t>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C1E721A">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8FC0660">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39B46F08">
            <w:pPr>
              <w:widowControl/>
              <w:jc w:val="center"/>
              <w:textAlignment w:val="center"/>
              <w:rPr>
                <w:szCs w:val="21"/>
              </w:rPr>
            </w:pPr>
            <w:r>
              <w:rPr>
                <w:kern w:val="0"/>
                <w:szCs w:val="21"/>
                <w:lang w:bidi="ar"/>
              </w:rPr>
              <w:t>0.0002</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406F5643">
            <w:pPr>
              <w:widowControl/>
              <w:jc w:val="center"/>
              <w:textAlignment w:val="center"/>
              <w:rPr>
                <w:szCs w:val="21"/>
              </w:rPr>
            </w:pPr>
            <w:r>
              <w:rPr>
                <w:kern w:val="0"/>
                <w:szCs w:val="21"/>
                <w:lang w:bidi="ar"/>
              </w:rPr>
              <w:t>0.000007</w:t>
            </w:r>
          </w:p>
        </w:tc>
      </w:tr>
      <w:tr w14:paraId="7F44AAFC">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544F7A2">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D5CD1B">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345F1F0">
            <w:pPr>
              <w:widowControl/>
              <w:jc w:val="center"/>
              <w:textAlignment w:val="center"/>
              <w:rPr>
                <w:szCs w:val="21"/>
              </w:rPr>
            </w:pPr>
            <w:r>
              <w:rPr>
                <w:kern w:val="0"/>
                <w:szCs w:val="21"/>
                <w:lang w:bidi="ar"/>
              </w:rPr>
              <w:t>745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AB1784C">
            <w:pPr>
              <w:widowControl/>
              <w:jc w:val="center"/>
              <w:textAlignment w:val="center"/>
              <w:rPr>
                <w:szCs w:val="21"/>
              </w:rPr>
            </w:pPr>
            <w:r>
              <w:rPr>
                <w:kern w:val="0"/>
                <w:szCs w:val="21"/>
                <w:lang w:bidi="ar"/>
              </w:rPr>
              <w:t>48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E41C57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3ADB19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E5286B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B292319">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E843737">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D43258A">
            <w:pPr>
              <w:jc w:val="center"/>
              <w:rPr>
                <w:szCs w:val="21"/>
              </w:rPr>
            </w:pPr>
          </w:p>
        </w:tc>
      </w:tr>
      <w:tr w14:paraId="3C054114">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D3B97A0">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CDC6B3">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4FC91BF">
            <w:pPr>
              <w:widowControl/>
              <w:jc w:val="center"/>
              <w:textAlignment w:val="center"/>
              <w:rPr>
                <w:szCs w:val="21"/>
              </w:rPr>
            </w:pPr>
            <w:r>
              <w:rPr>
                <w:kern w:val="0"/>
                <w:szCs w:val="21"/>
                <w:lang w:bidi="ar"/>
              </w:rPr>
              <w:t>748</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C3BAC99">
            <w:pPr>
              <w:widowControl/>
              <w:jc w:val="center"/>
              <w:textAlignment w:val="center"/>
              <w:rPr>
                <w:szCs w:val="21"/>
              </w:rPr>
            </w:pPr>
            <w:r>
              <w:rPr>
                <w:kern w:val="0"/>
                <w:szCs w:val="21"/>
                <w:lang w:bidi="ar"/>
              </w:rPr>
              <w:t>57</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FD32CF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EDBC697">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84D637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96738DA">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2565A735">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F5A9CF3">
            <w:pPr>
              <w:jc w:val="center"/>
              <w:rPr>
                <w:szCs w:val="21"/>
              </w:rPr>
            </w:pPr>
          </w:p>
        </w:tc>
      </w:tr>
      <w:tr w14:paraId="5244DFCF">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2B69B6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990807">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155ADAD">
            <w:pPr>
              <w:widowControl/>
              <w:jc w:val="center"/>
              <w:textAlignment w:val="center"/>
              <w:rPr>
                <w:szCs w:val="21"/>
              </w:rPr>
            </w:pPr>
            <w:r>
              <w:rPr>
                <w:kern w:val="0"/>
                <w:szCs w:val="21"/>
                <w:lang w:bidi="ar"/>
              </w:rPr>
              <w:t>720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19A3A9E">
            <w:pPr>
              <w:widowControl/>
              <w:jc w:val="center"/>
              <w:textAlignment w:val="center"/>
              <w:rPr>
                <w:szCs w:val="21"/>
              </w:rPr>
            </w:pPr>
            <w:r>
              <w:rPr>
                <w:kern w:val="0"/>
                <w:szCs w:val="21"/>
                <w:lang w:bidi="ar"/>
              </w:rPr>
              <w:t>68</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F68F05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6B6356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DE229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D6A854">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08AFE56">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175305E">
            <w:pPr>
              <w:jc w:val="center"/>
              <w:rPr>
                <w:szCs w:val="21"/>
              </w:rPr>
            </w:pPr>
          </w:p>
        </w:tc>
      </w:tr>
      <w:tr w14:paraId="4E2A610B">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C1AF655">
            <w:pPr>
              <w:widowControl/>
              <w:jc w:val="center"/>
              <w:textAlignment w:val="center"/>
              <w:rPr>
                <w:szCs w:val="21"/>
              </w:rPr>
            </w:pPr>
            <w:r>
              <w:rPr>
                <w:kern w:val="0"/>
                <w:szCs w:val="21"/>
                <w:lang w:bidi="ar"/>
              </w:rPr>
              <w:t>23</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5F3B23DD">
            <w:pPr>
              <w:widowControl/>
              <w:jc w:val="center"/>
              <w:textAlignment w:val="center"/>
              <w:rPr>
                <w:szCs w:val="21"/>
              </w:rPr>
            </w:pPr>
            <w:r>
              <w:rPr>
                <w:kern w:val="0"/>
                <w:szCs w:val="21"/>
                <w:lang w:bidi="ar"/>
              </w:rPr>
              <w:t>2号地盛丰焦化污水处理站</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B87C91C">
            <w:pPr>
              <w:widowControl/>
              <w:jc w:val="center"/>
              <w:textAlignment w:val="center"/>
              <w:rPr>
                <w:szCs w:val="21"/>
              </w:rPr>
            </w:pPr>
            <w:r>
              <w:rPr>
                <w:kern w:val="0"/>
                <w:szCs w:val="21"/>
                <w:lang w:bidi="ar"/>
              </w:rPr>
              <w:t>-1355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9DA9FC4">
            <w:pPr>
              <w:widowControl/>
              <w:jc w:val="center"/>
              <w:textAlignment w:val="center"/>
              <w:rPr>
                <w:szCs w:val="21"/>
              </w:rPr>
            </w:pPr>
            <w:r>
              <w:rPr>
                <w:kern w:val="0"/>
                <w:szCs w:val="21"/>
                <w:lang w:bidi="ar"/>
              </w:rPr>
              <w:t>-2206</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454500C">
            <w:pPr>
              <w:widowControl/>
              <w:jc w:val="center"/>
              <w:textAlignment w:val="center"/>
              <w:rPr>
                <w:szCs w:val="21"/>
              </w:rPr>
            </w:pPr>
            <w:r>
              <w:rPr>
                <w:kern w:val="0"/>
                <w:szCs w:val="21"/>
                <w:lang w:bidi="ar"/>
              </w:rPr>
              <w:t>1788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CB996BB">
            <w:pPr>
              <w:widowControl/>
              <w:jc w:val="center"/>
              <w:textAlignment w:val="center"/>
              <w:rPr>
                <w:szCs w:val="21"/>
              </w:rPr>
            </w:pPr>
            <w:r>
              <w:rPr>
                <w:kern w:val="0"/>
                <w:szCs w:val="21"/>
                <w:lang w:bidi="ar"/>
              </w:rPr>
              <w:t>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7FE52DE">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111EF25">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7946E7FA">
            <w:pPr>
              <w:widowControl/>
              <w:jc w:val="center"/>
              <w:textAlignment w:val="center"/>
              <w:rPr>
                <w:szCs w:val="21"/>
              </w:rPr>
            </w:pPr>
            <w:r>
              <w:rPr>
                <w:kern w:val="0"/>
                <w:szCs w:val="21"/>
                <w:lang w:bidi="ar"/>
              </w:rPr>
              <w:t>0.0004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04135A96">
            <w:pPr>
              <w:widowControl/>
              <w:jc w:val="center"/>
              <w:textAlignment w:val="center"/>
              <w:rPr>
                <w:szCs w:val="21"/>
              </w:rPr>
            </w:pPr>
            <w:r>
              <w:rPr>
                <w:kern w:val="0"/>
                <w:szCs w:val="21"/>
                <w:lang w:bidi="ar"/>
              </w:rPr>
              <w:t>0.000016</w:t>
            </w:r>
          </w:p>
        </w:tc>
      </w:tr>
      <w:tr w14:paraId="771F8F93">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A597789">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95F059">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8352853">
            <w:pPr>
              <w:widowControl/>
              <w:jc w:val="center"/>
              <w:textAlignment w:val="center"/>
              <w:rPr>
                <w:szCs w:val="21"/>
              </w:rPr>
            </w:pPr>
            <w:r>
              <w:rPr>
                <w:kern w:val="0"/>
                <w:szCs w:val="21"/>
                <w:lang w:bidi="ar"/>
              </w:rPr>
              <w:t>-1344</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188B8D7">
            <w:pPr>
              <w:widowControl/>
              <w:jc w:val="center"/>
              <w:textAlignment w:val="center"/>
              <w:rPr>
                <w:szCs w:val="21"/>
              </w:rPr>
            </w:pPr>
            <w:r>
              <w:rPr>
                <w:kern w:val="0"/>
                <w:szCs w:val="21"/>
                <w:lang w:bidi="ar"/>
              </w:rPr>
              <w:t>-2234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3E330E8">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890CEE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CEF68E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725BB07">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49F8D7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3F7D30BC">
            <w:pPr>
              <w:jc w:val="center"/>
              <w:rPr>
                <w:szCs w:val="21"/>
              </w:rPr>
            </w:pPr>
          </w:p>
        </w:tc>
      </w:tr>
      <w:tr w14:paraId="35595D0A">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5E63F1F">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33FBB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4FEF3B3">
            <w:pPr>
              <w:widowControl/>
              <w:jc w:val="center"/>
              <w:textAlignment w:val="center"/>
              <w:rPr>
                <w:szCs w:val="21"/>
              </w:rPr>
            </w:pPr>
            <w:r>
              <w:rPr>
                <w:kern w:val="0"/>
                <w:szCs w:val="21"/>
                <w:lang w:bidi="ar"/>
              </w:rPr>
              <w:t>-1326</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927D297">
            <w:pPr>
              <w:widowControl/>
              <w:jc w:val="center"/>
              <w:textAlignment w:val="center"/>
              <w:rPr>
                <w:szCs w:val="21"/>
              </w:rPr>
            </w:pPr>
            <w:r>
              <w:rPr>
                <w:kern w:val="0"/>
                <w:szCs w:val="21"/>
                <w:lang w:bidi="ar"/>
              </w:rPr>
              <w:t>-2227</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278242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A51B2C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D28428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28CA2E5">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078B4A5B">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73C51E08">
            <w:pPr>
              <w:jc w:val="center"/>
              <w:rPr>
                <w:szCs w:val="21"/>
              </w:rPr>
            </w:pPr>
          </w:p>
        </w:tc>
      </w:tr>
      <w:tr w14:paraId="48CB31D6">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196B6E6">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2B40F">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D988B10">
            <w:pPr>
              <w:widowControl/>
              <w:jc w:val="center"/>
              <w:textAlignment w:val="center"/>
              <w:rPr>
                <w:szCs w:val="21"/>
              </w:rPr>
            </w:pPr>
            <w:r>
              <w:rPr>
                <w:kern w:val="0"/>
                <w:szCs w:val="21"/>
                <w:lang w:bidi="ar"/>
              </w:rPr>
              <w:t>-1337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5D84B55">
            <w:pPr>
              <w:widowControl/>
              <w:jc w:val="center"/>
              <w:textAlignment w:val="center"/>
              <w:rPr>
                <w:szCs w:val="21"/>
              </w:rPr>
            </w:pPr>
            <w:r>
              <w:rPr>
                <w:kern w:val="0"/>
                <w:szCs w:val="21"/>
                <w:lang w:bidi="ar"/>
              </w:rPr>
              <w:t>-2199</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BDF5DD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4B35831">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64771F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D220461">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F803E3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B802249">
            <w:pPr>
              <w:jc w:val="center"/>
              <w:rPr>
                <w:szCs w:val="21"/>
              </w:rPr>
            </w:pPr>
          </w:p>
        </w:tc>
      </w:tr>
      <w:tr w14:paraId="6DC91A4E">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4933C47">
            <w:pPr>
              <w:widowControl/>
              <w:jc w:val="center"/>
              <w:textAlignment w:val="center"/>
              <w:rPr>
                <w:szCs w:val="21"/>
              </w:rPr>
            </w:pPr>
            <w:r>
              <w:rPr>
                <w:kern w:val="0"/>
                <w:szCs w:val="21"/>
                <w:lang w:bidi="ar"/>
              </w:rPr>
              <w:t>24</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59C21470">
            <w:pPr>
              <w:widowControl/>
              <w:jc w:val="center"/>
              <w:textAlignment w:val="center"/>
              <w:rPr>
                <w:szCs w:val="21"/>
              </w:rPr>
            </w:pPr>
            <w:r>
              <w:rPr>
                <w:kern w:val="0"/>
                <w:szCs w:val="21"/>
                <w:lang w:bidi="ar"/>
              </w:rPr>
              <w:t>3号地老井污水处理站</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6E40FAB">
            <w:pPr>
              <w:widowControl/>
              <w:jc w:val="center"/>
              <w:textAlignment w:val="center"/>
              <w:rPr>
                <w:szCs w:val="21"/>
              </w:rPr>
            </w:pPr>
            <w:r>
              <w:rPr>
                <w:kern w:val="0"/>
                <w:szCs w:val="21"/>
                <w:lang w:bidi="ar"/>
              </w:rPr>
              <w:t>-1125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39CF783">
            <w:pPr>
              <w:widowControl/>
              <w:jc w:val="center"/>
              <w:textAlignment w:val="center"/>
              <w:rPr>
                <w:szCs w:val="21"/>
              </w:rPr>
            </w:pPr>
            <w:r>
              <w:rPr>
                <w:kern w:val="0"/>
                <w:szCs w:val="21"/>
                <w:lang w:bidi="ar"/>
              </w:rPr>
              <w:t>-2066</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64DC350">
            <w:pPr>
              <w:widowControl/>
              <w:jc w:val="center"/>
              <w:textAlignment w:val="center"/>
              <w:rPr>
                <w:szCs w:val="21"/>
              </w:rPr>
            </w:pPr>
            <w:r>
              <w:rPr>
                <w:kern w:val="0"/>
                <w:szCs w:val="21"/>
                <w:lang w:bidi="ar"/>
              </w:rPr>
              <w:t>1788</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4AB318D">
            <w:pPr>
              <w:widowControl/>
              <w:jc w:val="center"/>
              <w:textAlignment w:val="center"/>
              <w:rPr>
                <w:szCs w:val="21"/>
              </w:rPr>
            </w:pPr>
            <w:r>
              <w:rPr>
                <w:kern w:val="0"/>
                <w:szCs w:val="21"/>
                <w:lang w:bidi="ar"/>
              </w:rPr>
              <w:t>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926FFD0">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604829D">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4E0F9EAA">
            <w:pPr>
              <w:widowControl/>
              <w:jc w:val="center"/>
              <w:textAlignment w:val="center"/>
              <w:rPr>
                <w:szCs w:val="21"/>
              </w:rPr>
            </w:pPr>
            <w:r>
              <w:rPr>
                <w:kern w:val="0"/>
                <w:szCs w:val="21"/>
                <w:lang w:bidi="ar"/>
              </w:rPr>
              <w:t>0.0002</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4503DC9D">
            <w:pPr>
              <w:widowControl/>
              <w:jc w:val="center"/>
              <w:textAlignment w:val="center"/>
              <w:rPr>
                <w:szCs w:val="21"/>
              </w:rPr>
            </w:pPr>
            <w:r>
              <w:rPr>
                <w:kern w:val="0"/>
                <w:szCs w:val="21"/>
                <w:lang w:bidi="ar"/>
              </w:rPr>
              <w:t>0.000006</w:t>
            </w:r>
          </w:p>
        </w:tc>
      </w:tr>
      <w:tr w14:paraId="5FA3A816">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6FC5D80">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87147B">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616493E">
            <w:pPr>
              <w:widowControl/>
              <w:jc w:val="center"/>
              <w:textAlignment w:val="center"/>
              <w:rPr>
                <w:szCs w:val="21"/>
              </w:rPr>
            </w:pPr>
            <w:r>
              <w:rPr>
                <w:kern w:val="0"/>
                <w:szCs w:val="21"/>
                <w:lang w:bidi="ar"/>
              </w:rPr>
              <w:t>-1137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433CC8E">
            <w:pPr>
              <w:widowControl/>
              <w:jc w:val="center"/>
              <w:textAlignment w:val="center"/>
              <w:rPr>
                <w:szCs w:val="21"/>
              </w:rPr>
            </w:pPr>
            <w:r>
              <w:rPr>
                <w:kern w:val="0"/>
                <w:szCs w:val="21"/>
                <w:lang w:bidi="ar"/>
              </w:rPr>
              <w:t>-2082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544927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14636B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2CDDF79">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5E2B41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9FBBEF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AF493F4">
            <w:pPr>
              <w:jc w:val="center"/>
              <w:rPr>
                <w:szCs w:val="21"/>
              </w:rPr>
            </w:pPr>
          </w:p>
        </w:tc>
      </w:tr>
      <w:tr w14:paraId="121DB74C">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CBCCF65">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6C31F0">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50625EF">
            <w:pPr>
              <w:widowControl/>
              <w:jc w:val="center"/>
              <w:textAlignment w:val="center"/>
              <w:rPr>
                <w:szCs w:val="21"/>
              </w:rPr>
            </w:pPr>
            <w:r>
              <w:rPr>
                <w:kern w:val="0"/>
                <w:szCs w:val="21"/>
                <w:lang w:bidi="ar"/>
              </w:rPr>
              <w:t>-1121</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9887947">
            <w:pPr>
              <w:widowControl/>
              <w:jc w:val="center"/>
              <w:textAlignment w:val="center"/>
              <w:rPr>
                <w:szCs w:val="21"/>
              </w:rPr>
            </w:pPr>
            <w:r>
              <w:rPr>
                <w:kern w:val="0"/>
                <w:szCs w:val="21"/>
                <w:lang w:bidi="ar"/>
              </w:rPr>
              <w:t>-2094</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5815B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09E91A4">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34D7EA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C0695E3">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2E4D1F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1EA9EFBE">
            <w:pPr>
              <w:jc w:val="center"/>
              <w:rPr>
                <w:szCs w:val="21"/>
              </w:rPr>
            </w:pPr>
          </w:p>
        </w:tc>
      </w:tr>
      <w:tr w14:paraId="01C91312">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F4D2662">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C6720C">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B30B4FF">
            <w:pPr>
              <w:widowControl/>
              <w:jc w:val="center"/>
              <w:textAlignment w:val="center"/>
              <w:rPr>
                <w:szCs w:val="21"/>
              </w:rPr>
            </w:pPr>
            <w:r>
              <w:rPr>
                <w:kern w:val="0"/>
                <w:szCs w:val="21"/>
                <w:lang w:bidi="ar"/>
              </w:rPr>
              <w:t>-1109</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6A91177B">
            <w:pPr>
              <w:widowControl/>
              <w:jc w:val="center"/>
              <w:textAlignment w:val="center"/>
              <w:rPr>
                <w:szCs w:val="21"/>
              </w:rPr>
            </w:pPr>
            <w:r>
              <w:rPr>
                <w:kern w:val="0"/>
                <w:szCs w:val="21"/>
                <w:lang w:bidi="ar"/>
              </w:rPr>
              <w:t>-2079</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9F1B71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35188E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BEEFFF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582708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4C4664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5C7210B6">
            <w:pPr>
              <w:jc w:val="center"/>
              <w:rPr>
                <w:szCs w:val="21"/>
              </w:rPr>
            </w:pPr>
          </w:p>
        </w:tc>
      </w:tr>
      <w:tr w14:paraId="64510F8C">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69D97E91">
            <w:pPr>
              <w:widowControl/>
              <w:jc w:val="center"/>
              <w:textAlignment w:val="center"/>
              <w:rPr>
                <w:szCs w:val="21"/>
              </w:rPr>
            </w:pPr>
            <w:r>
              <w:rPr>
                <w:kern w:val="0"/>
                <w:szCs w:val="21"/>
                <w:lang w:bidi="ar"/>
              </w:rPr>
              <w:t>25</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1C671C1">
            <w:pPr>
              <w:widowControl/>
              <w:jc w:val="center"/>
              <w:textAlignment w:val="center"/>
              <w:rPr>
                <w:szCs w:val="21"/>
              </w:rPr>
            </w:pPr>
            <w:r>
              <w:rPr>
                <w:kern w:val="0"/>
                <w:szCs w:val="21"/>
                <w:lang w:bidi="ar"/>
              </w:rPr>
              <w:t>4号地旺鑫污水处理站</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76941831">
            <w:pPr>
              <w:widowControl/>
              <w:jc w:val="center"/>
              <w:textAlignment w:val="center"/>
              <w:rPr>
                <w:szCs w:val="21"/>
              </w:rPr>
            </w:pPr>
            <w:r>
              <w:rPr>
                <w:kern w:val="0"/>
                <w:szCs w:val="21"/>
                <w:lang w:bidi="ar"/>
              </w:rPr>
              <w:t>-42</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633461C">
            <w:pPr>
              <w:widowControl/>
              <w:jc w:val="center"/>
              <w:textAlignment w:val="center"/>
              <w:rPr>
                <w:szCs w:val="21"/>
              </w:rPr>
            </w:pPr>
            <w:r>
              <w:rPr>
                <w:kern w:val="0"/>
                <w:szCs w:val="21"/>
                <w:lang w:bidi="ar"/>
              </w:rPr>
              <w:t>-23</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4A1F00F">
            <w:pPr>
              <w:widowControl/>
              <w:jc w:val="center"/>
              <w:textAlignment w:val="center"/>
              <w:rPr>
                <w:szCs w:val="21"/>
              </w:rPr>
            </w:pPr>
            <w:r>
              <w:rPr>
                <w:kern w:val="0"/>
                <w:szCs w:val="21"/>
                <w:lang w:bidi="ar"/>
              </w:rPr>
              <w:t>1912</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C987D2D">
            <w:pPr>
              <w:widowControl/>
              <w:jc w:val="center"/>
              <w:textAlignment w:val="center"/>
              <w:rPr>
                <w:szCs w:val="21"/>
              </w:rPr>
            </w:pPr>
            <w:r>
              <w:rPr>
                <w:kern w:val="0"/>
                <w:szCs w:val="21"/>
                <w:lang w:bidi="ar"/>
              </w:rPr>
              <w:t>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A3199A4">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5FFA85BD">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0E8B758F">
            <w:pPr>
              <w:widowControl/>
              <w:jc w:val="center"/>
              <w:textAlignment w:val="center"/>
              <w:rPr>
                <w:szCs w:val="21"/>
              </w:rPr>
            </w:pPr>
            <w:r>
              <w:rPr>
                <w:kern w:val="0"/>
                <w:szCs w:val="21"/>
                <w:lang w:bidi="ar"/>
              </w:rPr>
              <w:t>0.0004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272286A7">
            <w:pPr>
              <w:widowControl/>
              <w:jc w:val="center"/>
              <w:textAlignment w:val="center"/>
              <w:rPr>
                <w:szCs w:val="21"/>
              </w:rPr>
            </w:pPr>
            <w:r>
              <w:rPr>
                <w:kern w:val="0"/>
                <w:szCs w:val="21"/>
                <w:lang w:bidi="ar"/>
              </w:rPr>
              <w:t>0.000016</w:t>
            </w:r>
          </w:p>
        </w:tc>
      </w:tr>
      <w:tr w14:paraId="078CF05F">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3C9A0F1">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F989A0">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5143B300">
            <w:pPr>
              <w:widowControl/>
              <w:jc w:val="center"/>
              <w:textAlignment w:val="center"/>
              <w:rPr>
                <w:szCs w:val="21"/>
              </w:rPr>
            </w:pPr>
            <w:r>
              <w:rPr>
                <w:kern w:val="0"/>
                <w:szCs w:val="21"/>
                <w:lang w:bidi="ar"/>
              </w:rPr>
              <w:t>-7</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12DF20F">
            <w:pPr>
              <w:widowControl/>
              <w:jc w:val="center"/>
              <w:textAlignment w:val="center"/>
              <w:rPr>
                <w:szCs w:val="21"/>
              </w:rPr>
            </w:pPr>
            <w:r>
              <w:rPr>
                <w:kern w:val="0"/>
                <w:szCs w:val="21"/>
                <w:lang w:bidi="ar"/>
              </w:rPr>
              <w:t>-42</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AC4EA93">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34B263E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ADE485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8E86F4D">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589EDF10">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7D6370C">
            <w:pPr>
              <w:jc w:val="center"/>
              <w:rPr>
                <w:szCs w:val="21"/>
              </w:rPr>
            </w:pPr>
          </w:p>
        </w:tc>
      </w:tr>
      <w:tr w14:paraId="1F067386">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4ECF8E3">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03791">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6E6BEC8C">
            <w:pPr>
              <w:widowControl/>
              <w:jc w:val="center"/>
              <w:textAlignment w:val="center"/>
              <w:rPr>
                <w:szCs w:val="21"/>
              </w:rPr>
            </w:pPr>
            <w:r>
              <w:rPr>
                <w:kern w:val="0"/>
                <w:szCs w:val="21"/>
                <w:lang w:bidi="ar"/>
              </w:rPr>
              <w:t>2</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98429E5">
            <w:pPr>
              <w:widowControl/>
              <w:jc w:val="center"/>
              <w:textAlignment w:val="center"/>
              <w:rPr>
                <w:szCs w:val="21"/>
              </w:rPr>
            </w:pPr>
            <w:r>
              <w:rPr>
                <w:kern w:val="0"/>
                <w:szCs w:val="21"/>
                <w:lang w:bidi="ar"/>
              </w:rPr>
              <w:t>-25</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8F87CD6">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5A2E41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25A556B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DF31CF0">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480C802A">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B49D0B8">
            <w:pPr>
              <w:jc w:val="center"/>
              <w:rPr>
                <w:szCs w:val="21"/>
              </w:rPr>
            </w:pPr>
          </w:p>
        </w:tc>
      </w:tr>
      <w:tr w14:paraId="043B7E95">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1A78DA4">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5080B5">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1475EE04">
            <w:pPr>
              <w:widowControl/>
              <w:jc w:val="center"/>
              <w:textAlignment w:val="center"/>
              <w:rPr>
                <w:szCs w:val="21"/>
              </w:rPr>
            </w:pPr>
            <w:r>
              <w:rPr>
                <w:kern w:val="0"/>
                <w:szCs w:val="21"/>
                <w:lang w:bidi="ar"/>
              </w:rPr>
              <w:t>-33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73DA19CC">
            <w:pPr>
              <w:widowControl/>
              <w:jc w:val="center"/>
              <w:textAlignment w:val="center"/>
              <w:rPr>
                <w:szCs w:val="21"/>
              </w:rPr>
            </w:pPr>
            <w:r>
              <w:rPr>
                <w:kern w:val="0"/>
                <w:szCs w:val="21"/>
                <w:lang w:bidi="ar"/>
              </w:rPr>
              <w:t>-6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14329A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8C5756C">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CF7822D">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E1A318E">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74AAB282">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7AE3043">
            <w:pPr>
              <w:jc w:val="center"/>
              <w:rPr>
                <w:szCs w:val="21"/>
              </w:rPr>
            </w:pPr>
          </w:p>
        </w:tc>
      </w:tr>
      <w:tr w14:paraId="666EE057">
        <w:tblPrEx>
          <w:tblCellMar>
            <w:top w:w="0" w:type="dxa"/>
            <w:left w:w="108" w:type="dxa"/>
            <w:bottom w:w="0" w:type="dxa"/>
            <w:right w:w="108" w:type="dxa"/>
          </w:tblCellMar>
        </w:tblPrEx>
        <w:trPr>
          <w:trHeight w:val="285" w:hRule="atLeast"/>
        </w:trPr>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14800210">
            <w:pPr>
              <w:widowControl/>
              <w:jc w:val="center"/>
              <w:textAlignment w:val="center"/>
              <w:rPr>
                <w:szCs w:val="21"/>
              </w:rPr>
            </w:pPr>
            <w:r>
              <w:rPr>
                <w:kern w:val="0"/>
                <w:szCs w:val="21"/>
                <w:lang w:bidi="ar"/>
              </w:rPr>
              <w:t>26</w:t>
            </w:r>
          </w:p>
        </w:tc>
        <w:tc>
          <w:tcPr>
            <w:tcW w:w="832" w:type="pct"/>
            <w:vMerge w:val="restart"/>
            <w:tcBorders>
              <w:top w:val="single" w:color="000000" w:sz="4" w:space="0"/>
              <w:left w:val="single" w:color="000000" w:sz="4" w:space="0"/>
              <w:bottom w:val="single" w:color="000000" w:sz="4" w:space="0"/>
              <w:right w:val="single" w:color="000000" w:sz="4" w:space="0"/>
            </w:tcBorders>
            <w:noWrap w:val="0"/>
            <w:vAlign w:val="center"/>
          </w:tcPr>
          <w:p w14:paraId="794425A5">
            <w:pPr>
              <w:widowControl/>
              <w:jc w:val="center"/>
              <w:textAlignment w:val="center"/>
              <w:rPr>
                <w:szCs w:val="21"/>
              </w:rPr>
            </w:pPr>
            <w:r>
              <w:rPr>
                <w:kern w:val="0"/>
                <w:szCs w:val="21"/>
                <w:lang w:bidi="ar"/>
              </w:rPr>
              <w:t>5号地大河边污水处理站</w:t>
            </w: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28526BD3">
            <w:pPr>
              <w:widowControl/>
              <w:jc w:val="center"/>
              <w:textAlignment w:val="center"/>
              <w:rPr>
                <w:szCs w:val="21"/>
              </w:rPr>
            </w:pPr>
            <w:r>
              <w:rPr>
                <w:kern w:val="0"/>
                <w:szCs w:val="21"/>
                <w:lang w:bidi="ar"/>
              </w:rPr>
              <w:t>-80</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16CB560">
            <w:pPr>
              <w:widowControl/>
              <w:jc w:val="center"/>
              <w:textAlignment w:val="center"/>
              <w:rPr>
                <w:szCs w:val="21"/>
              </w:rPr>
            </w:pPr>
            <w:r>
              <w:rPr>
                <w:kern w:val="0"/>
                <w:szCs w:val="21"/>
                <w:lang w:bidi="ar"/>
              </w:rPr>
              <w:t>475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2AE38B18">
            <w:pPr>
              <w:widowControl/>
              <w:jc w:val="center"/>
              <w:textAlignment w:val="center"/>
              <w:rPr>
                <w:szCs w:val="21"/>
              </w:rPr>
            </w:pPr>
            <w:r>
              <w:rPr>
                <w:kern w:val="0"/>
                <w:szCs w:val="21"/>
                <w:lang w:bidi="ar"/>
              </w:rPr>
              <w:t>1810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76374A3A">
            <w:pPr>
              <w:widowControl/>
              <w:jc w:val="center"/>
              <w:textAlignment w:val="center"/>
              <w:rPr>
                <w:szCs w:val="21"/>
              </w:rPr>
            </w:pPr>
            <w:r>
              <w:rPr>
                <w:kern w:val="0"/>
                <w:szCs w:val="21"/>
                <w:lang w:bidi="ar"/>
              </w:rPr>
              <w:t>5</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425C200A">
            <w:pPr>
              <w:widowControl/>
              <w:jc w:val="center"/>
              <w:textAlignment w:val="center"/>
              <w:rPr>
                <w:szCs w:val="21"/>
              </w:rPr>
            </w:pPr>
            <w:r>
              <w:rPr>
                <w:kern w:val="0"/>
                <w:szCs w:val="21"/>
                <w:lang w:bidi="ar"/>
              </w:rPr>
              <w:t>8760</w:t>
            </w:r>
          </w:p>
        </w:tc>
        <w:tc>
          <w:tcPr>
            <w:tcW w:w="424" w:type="pct"/>
            <w:vMerge w:val="restart"/>
            <w:tcBorders>
              <w:top w:val="single" w:color="000000" w:sz="4" w:space="0"/>
              <w:left w:val="single" w:color="000000" w:sz="4" w:space="0"/>
              <w:bottom w:val="single" w:color="000000" w:sz="4" w:space="0"/>
              <w:right w:val="single" w:color="000000" w:sz="4" w:space="0"/>
            </w:tcBorders>
            <w:noWrap/>
            <w:vAlign w:val="center"/>
          </w:tcPr>
          <w:p w14:paraId="3B0D7C78">
            <w:pPr>
              <w:widowControl/>
              <w:jc w:val="center"/>
              <w:textAlignment w:val="center"/>
              <w:rPr>
                <w:szCs w:val="21"/>
              </w:rPr>
            </w:pPr>
            <w:r>
              <w:rPr>
                <w:kern w:val="0"/>
                <w:szCs w:val="21"/>
                <w:lang w:bidi="ar"/>
              </w:rPr>
              <w:t>正常</w:t>
            </w:r>
          </w:p>
        </w:tc>
        <w:tc>
          <w:tcPr>
            <w:tcW w:w="596" w:type="pct"/>
            <w:vMerge w:val="restart"/>
            <w:tcBorders>
              <w:top w:val="single" w:color="000000" w:sz="4" w:space="0"/>
              <w:left w:val="single" w:color="000000" w:sz="4" w:space="0"/>
              <w:bottom w:val="single" w:color="000000" w:sz="4" w:space="0"/>
              <w:right w:val="single" w:color="000000" w:sz="4" w:space="0"/>
            </w:tcBorders>
            <w:noWrap/>
            <w:vAlign w:val="center"/>
          </w:tcPr>
          <w:p w14:paraId="296FFD99">
            <w:pPr>
              <w:widowControl/>
              <w:jc w:val="center"/>
              <w:textAlignment w:val="center"/>
              <w:rPr>
                <w:szCs w:val="21"/>
              </w:rPr>
            </w:pPr>
            <w:r>
              <w:rPr>
                <w:kern w:val="0"/>
                <w:szCs w:val="21"/>
                <w:lang w:bidi="ar"/>
              </w:rPr>
              <w:t>0.0004</w:t>
            </w:r>
          </w:p>
        </w:tc>
        <w:tc>
          <w:tcPr>
            <w:tcW w:w="597" w:type="pct"/>
            <w:vMerge w:val="restart"/>
            <w:tcBorders>
              <w:top w:val="single" w:color="000000" w:sz="4" w:space="0"/>
              <w:left w:val="single" w:color="000000" w:sz="4" w:space="0"/>
              <w:bottom w:val="single" w:color="000000" w:sz="4" w:space="0"/>
              <w:right w:val="single" w:color="000000" w:sz="4" w:space="0"/>
            </w:tcBorders>
            <w:noWrap/>
            <w:vAlign w:val="center"/>
          </w:tcPr>
          <w:p w14:paraId="2194D2C0">
            <w:pPr>
              <w:widowControl/>
              <w:jc w:val="center"/>
              <w:textAlignment w:val="center"/>
              <w:rPr>
                <w:szCs w:val="21"/>
              </w:rPr>
            </w:pPr>
            <w:r>
              <w:rPr>
                <w:kern w:val="0"/>
                <w:szCs w:val="21"/>
                <w:lang w:bidi="ar"/>
              </w:rPr>
              <w:t>0.000014</w:t>
            </w:r>
          </w:p>
        </w:tc>
      </w:tr>
      <w:tr w14:paraId="59061F11">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707A3FC6">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93D9A">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4C6B3FC1">
            <w:pPr>
              <w:widowControl/>
              <w:jc w:val="center"/>
              <w:textAlignment w:val="center"/>
              <w:rPr>
                <w:szCs w:val="21"/>
              </w:rPr>
            </w:pPr>
            <w:r>
              <w:rPr>
                <w:kern w:val="0"/>
                <w:szCs w:val="21"/>
                <w:lang w:bidi="ar"/>
              </w:rPr>
              <w:t>-73</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810A296">
            <w:pPr>
              <w:widowControl/>
              <w:jc w:val="center"/>
              <w:textAlignment w:val="center"/>
              <w:rPr>
                <w:szCs w:val="21"/>
              </w:rPr>
            </w:pPr>
            <w:r>
              <w:rPr>
                <w:kern w:val="0"/>
                <w:szCs w:val="21"/>
                <w:lang w:bidi="ar"/>
              </w:rPr>
              <w:t>456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BC5238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A8142AF">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8C59FFA">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E46E628">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FCF6937">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4EF7409A">
            <w:pPr>
              <w:jc w:val="center"/>
              <w:rPr>
                <w:szCs w:val="21"/>
              </w:rPr>
            </w:pPr>
          </w:p>
        </w:tc>
      </w:tr>
      <w:tr w14:paraId="7E4B6778">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B376D8F">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388136">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088BE880">
            <w:pPr>
              <w:widowControl/>
              <w:jc w:val="center"/>
              <w:textAlignment w:val="center"/>
              <w:rPr>
                <w:szCs w:val="21"/>
              </w:rPr>
            </w:pPr>
            <w:r>
              <w:rPr>
                <w:kern w:val="0"/>
                <w:szCs w:val="21"/>
                <w:lang w:bidi="ar"/>
              </w:rPr>
              <w:t>-45</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BD1B3E7">
            <w:pPr>
              <w:widowControl/>
              <w:jc w:val="center"/>
              <w:textAlignment w:val="center"/>
              <w:rPr>
                <w:szCs w:val="21"/>
              </w:rPr>
            </w:pPr>
            <w:r>
              <w:rPr>
                <w:kern w:val="0"/>
                <w:szCs w:val="21"/>
                <w:lang w:bidi="ar"/>
              </w:rPr>
              <w:t>466</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727AA4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659CA222">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1CCE843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77F14C4">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15235194">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04A19E94">
            <w:pPr>
              <w:jc w:val="center"/>
              <w:rPr>
                <w:szCs w:val="21"/>
              </w:rPr>
            </w:pPr>
          </w:p>
        </w:tc>
      </w:tr>
      <w:tr w14:paraId="2D684513">
        <w:tblPrEx>
          <w:tblCellMar>
            <w:top w:w="0" w:type="dxa"/>
            <w:left w:w="108" w:type="dxa"/>
            <w:bottom w:w="0" w:type="dxa"/>
            <w:right w:w="108" w:type="dxa"/>
          </w:tblCellMar>
        </w:tblPrEx>
        <w:trPr>
          <w:trHeight w:val="285" w:hRule="atLeast"/>
        </w:trPr>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5708BBBB">
            <w:pPr>
              <w:jc w:val="center"/>
              <w:rPr>
                <w:szCs w:val="21"/>
              </w:rPr>
            </w:pPr>
          </w:p>
        </w:tc>
        <w:tc>
          <w:tcPr>
            <w:tcW w:w="8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FE26BE">
            <w:pPr>
              <w:jc w:val="center"/>
              <w:rPr>
                <w:szCs w:val="21"/>
              </w:rPr>
            </w:pPr>
          </w:p>
        </w:tc>
        <w:tc>
          <w:tcPr>
            <w:tcW w:w="424" w:type="pct"/>
            <w:tcBorders>
              <w:top w:val="single" w:color="000000" w:sz="4" w:space="0"/>
              <w:left w:val="single" w:color="000000" w:sz="4" w:space="0"/>
              <w:bottom w:val="single" w:color="000000" w:sz="4" w:space="0"/>
              <w:right w:val="single" w:color="000000" w:sz="4" w:space="0"/>
            </w:tcBorders>
            <w:noWrap/>
            <w:vAlign w:val="center"/>
          </w:tcPr>
          <w:p w14:paraId="3DCB4EA9">
            <w:pPr>
              <w:widowControl/>
              <w:jc w:val="center"/>
              <w:textAlignment w:val="center"/>
              <w:rPr>
                <w:szCs w:val="21"/>
              </w:rPr>
            </w:pPr>
            <w:r>
              <w:rPr>
                <w:kern w:val="0"/>
                <w:szCs w:val="21"/>
                <w:lang w:bidi="ar"/>
              </w:rPr>
              <w:t>-52</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BFB110B">
            <w:pPr>
              <w:widowControl/>
              <w:jc w:val="center"/>
              <w:textAlignment w:val="center"/>
              <w:rPr>
                <w:szCs w:val="21"/>
              </w:rPr>
            </w:pPr>
            <w:r>
              <w:rPr>
                <w:kern w:val="0"/>
                <w:szCs w:val="21"/>
                <w:lang w:bidi="ar"/>
              </w:rPr>
              <w:t>485</w:t>
            </w: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B62075B">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1E48B70">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0A84D6FE">
            <w:pPr>
              <w:jc w:val="center"/>
              <w:rPr>
                <w:szCs w:val="21"/>
              </w:rPr>
            </w:pPr>
          </w:p>
        </w:tc>
        <w:tc>
          <w:tcPr>
            <w:tcW w:w="424" w:type="pct"/>
            <w:vMerge w:val="continue"/>
            <w:tcBorders>
              <w:top w:val="single" w:color="000000" w:sz="4" w:space="0"/>
              <w:left w:val="single" w:color="000000" w:sz="4" w:space="0"/>
              <w:bottom w:val="single" w:color="000000" w:sz="4" w:space="0"/>
              <w:right w:val="single" w:color="000000" w:sz="4" w:space="0"/>
            </w:tcBorders>
            <w:noWrap/>
            <w:vAlign w:val="center"/>
          </w:tcPr>
          <w:p w14:paraId="40D308E2">
            <w:pPr>
              <w:jc w:val="center"/>
              <w:rPr>
                <w:szCs w:val="21"/>
              </w:rPr>
            </w:pPr>
          </w:p>
        </w:tc>
        <w:tc>
          <w:tcPr>
            <w:tcW w:w="596" w:type="pct"/>
            <w:vMerge w:val="continue"/>
            <w:tcBorders>
              <w:top w:val="single" w:color="000000" w:sz="4" w:space="0"/>
              <w:left w:val="single" w:color="000000" w:sz="4" w:space="0"/>
              <w:bottom w:val="single" w:color="000000" w:sz="4" w:space="0"/>
              <w:right w:val="single" w:color="000000" w:sz="4" w:space="0"/>
            </w:tcBorders>
            <w:noWrap/>
            <w:vAlign w:val="center"/>
          </w:tcPr>
          <w:p w14:paraId="62C7F4EE">
            <w:pPr>
              <w:jc w:val="center"/>
              <w:rPr>
                <w:szCs w:val="21"/>
              </w:rPr>
            </w:pPr>
          </w:p>
        </w:tc>
        <w:tc>
          <w:tcPr>
            <w:tcW w:w="597" w:type="pct"/>
            <w:vMerge w:val="continue"/>
            <w:tcBorders>
              <w:top w:val="single" w:color="000000" w:sz="4" w:space="0"/>
              <w:left w:val="single" w:color="000000" w:sz="4" w:space="0"/>
              <w:bottom w:val="single" w:color="000000" w:sz="4" w:space="0"/>
              <w:right w:val="single" w:color="000000" w:sz="4" w:space="0"/>
            </w:tcBorders>
            <w:noWrap/>
            <w:vAlign w:val="center"/>
          </w:tcPr>
          <w:p w14:paraId="6D5126B8">
            <w:pPr>
              <w:jc w:val="center"/>
              <w:rPr>
                <w:szCs w:val="21"/>
              </w:rPr>
            </w:pPr>
          </w:p>
        </w:tc>
      </w:tr>
    </w:tbl>
    <w:p w14:paraId="260571D3">
      <w:pPr>
        <w:pStyle w:val="47"/>
        <w:rPr>
          <w:rFonts w:ascii="Times New Roman" w:hAnsi="Times New Roman" w:cs="Times New Roman"/>
        </w:rPr>
      </w:pPr>
    </w:p>
    <w:p w14:paraId="69D2787A">
      <w:pPr>
        <w:spacing w:line="360" w:lineRule="auto"/>
        <w:ind w:firstLine="422" w:firstLineChars="200"/>
        <w:jc w:val="center"/>
        <w:rPr>
          <w:b/>
          <w:szCs w:val="21"/>
        </w:rPr>
      </w:pPr>
      <w:r>
        <w:rPr>
          <w:b/>
          <w:szCs w:val="21"/>
        </w:rPr>
        <w:t>5.2-4无害化车间有组织排放源强一览表</w:t>
      </w:r>
    </w:p>
    <w:tbl>
      <w:tblPr>
        <w:tblStyle w:val="87"/>
        <w:tblW w:w="4998" w:type="pct"/>
        <w:tblInd w:w="0" w:type="dxa"/>
        <w:tblLayout w:type="autofit"/>
        <w:tblCellMar>
          <w:top w:w="0" w:type="dxa"/>
          <w:left w:w="108" w:type="dxa"/>
          <w:bottom w:w="0" w:type="dxa"/>
          <w:right w:w="108" w:type="dxa"/>
        </w:tblCellMar>
      </w:tblPr>
      <w:tblGrid>
        <w:gridCol w:w="957"/>
        <w:gridCol w:w="1982"/>
        <w:gridCol w:w="958"/>
        <w:gridCol w:w="958"/>
        <w:gridCol w:w="958"/>
        <w:gridCol w:w="958"/>
        <w:gridCol w:w="1343"/>
        <w:gridCol w:w="1343"/>
        <w:gridCol w:w="958"/>
        <w:gridCol w:w="958"/>
        <w:gridCol w:w="958"/>
        <w:gridCol w:w="958"/>
        <w:gridCol w:w="958"/>
      </w:tblGrid>
      <w:tr w14:paraId="358CEC49">
        <w:tblPrEx>
          <w:tblCellMar>
            <w:top w:w="0" w:type="dxa"/>
            <w:left w:w="108" w:type="dxa"/>
            <w:bottom w:w="0" w:type="dxa"/>
            <w:right w:w="108" w:type="dxa"/>
          </w:tblCellMar>
        </w:tblPrEx>
        <w:trPr>
          <w:trHeight w:val="285" w:hRule="atLeast"/>
        </w:trPr>
        <w:tc>
          <w:tcPr>
            <w:tcW w:w="33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2AD72">
            <w:pPr>
              <w:widowControl/>
              <w:jc w:val="center"/>
              <w:textAlignment w:val="center"/>
              <w:rPr>
                <w:szCs w:val="21"/>
              </w:rPr>
            </w:pPr>
            <w:r>
              <w:rPr>
                <w:kern w:val="0"/>
                <w:szCs w:val="21"/>
                <w:lang w:bidi="ar"/>
              </w:rPr>
              <w:t>编号</w:t>
            </w:r>
          </w:p>
        </w:tc>
        <w:tc>
          <w:tcPr>
            <w:tcW w:w="69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29F0FB">
            <w:pPr>
              <w:widowControl/>
              <w:jc w:val="center"/>
              <w:textAlignment w:val="center"/>
              <w:rPr>
                <w:szCs w:val="21"/>
              </w:rPr>
            </w:pPr>
            <w:r>
              <w:rPr>
                <w:kern w:val="0"/>
                <w:szCs w:val="21"/>
                <w:lang w:bidi="ar"/>
              </w:rPr>
              <w:t>名称</w:t>
            </w:r>
          </w:p>
        </w:tc>
        <w:tc>
          <w:tcPr>
            <w:tcW w:w="672" w:type="pct"/>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607D41">
            <w:pPr>
              <w:widowControl/>
              <w:jc w:val="center"/>
              <w:textAlignment w:val="center"/>
              <w:rPr>
                <w:szCs w:val="21"/>
              </w:rPr>
            </w:pPr>
            <w:r>
              <w:rPr>
                <w:kern w:val="0"/>
                <w:szCs w:val="21"/>
                <w:lang w:bidi="ar"/>
              </w:rPr>
              <w:t>排气筒底部中心坐标（m）</w:t>
            </w:r>
          </w:p>
        </w:tc>
        <w:tc>
          <w:tcPr>
            <w:tcW w:w="33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17CB6">
            <w:pPr>
              <w:widowControl/>
              <w:jc w:val="center"/>
              <w:textAlignment w:val="center"/>
              <w:rPr>
                <w:szCs w:val="21"/>
              </w:rPr>
            </w:pPr>
            <w:r>
              <w:rPr>
                <w:kern w:val="0"/>
                <w:szCs w:val="21"/>
                <w:lang w:bidi="ar"/>
              </w:rPr>
              <w:t>排气筒底部海拔高度/m</w:t>
            </w:r>
          </w:p>
        </w:tc>
        <w:tc>
          <w:tcPr>
            <w:tcW w:w="33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2AD599">
            <w:pPr>
              <w:widowControl/>
              <w:jc w:val="center"/>
              <w:textAlignment w:val="center"/>
              <w:rPr>
                <w:szCs w:val="21"/>
              </w:rPr>
            </w:pPr>
            <w:r>
              <w:rPr>
                <w:kern w:val="0"/>
                <w:szCs w:val="21"/>
                <w:lang w:bidi="ar"/>
              </w:rPr>
              <w:t>排气筒高度/m</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D79E0">
            <w:pPr>
              <w:widowControl/>
              <w:jc w:val="center"/>
              <w:textAlignment w:val="center"/>
              <w:rPr>
                <w:szCs w:val="21"/>
              </w:rPr>
            </w:pPr>
            <w:r>
              <w:rPr>
                <w:kern w:val="0"/>
                <w:szCs w:val="21"/>
                <w:lang w:bidi="ar"/>
              </w:rPr>
              <w:t>排气筒出口内径/m</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BC318E">
            <w:pPr>
              <w:widowControl/>
              <w:jc w:val="center"/>
              <w:textAlignment w:val="center"/>
              <w:rPr>
                <w:szCs w:val="21"/>
              </w:rPr>
            </w:pPr>
            <w:r>
              <w:rPr>
                <w:kern w:val="0"/>
                <w:szCs w:val="21"/>
                <w:lang w:bidi="ar"/>
              </w:rPr>
              <w:t>烟气流速/（m/s）</w:t>
            </w:r>
          </w:p>
        </w:tc>
        <w:tc>
          <w:tcPr>
            <w:tcW w:w="33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37F19">
            <w:pPr>
              <w:widowControl/>
              <w:jc w:val="center"/>
              <w:textAlignment w:val="center"/>
              <w:rPr>
                <w:szCs w:val="21"/>
              </w:rPr>
            </w:pPr>
            <w:r>
              <w:rPr>
                <w:kern w:val="0"/>
                <w:szCs w:val="21"/>
                <w:lang w:bidi="ar"/>
              </w:rPr>
              <w:t>烟气温度/℃</w:t>
            </w:r>
          </w:p>
        </w:tc>
        <w:tc>
          <w:tcPr>
            <w:tcW w:w="33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B2E5B">
            <w:pPr>
              <w:widowControl/>
              <w:jc w:val="center"/>
              <w:textAlignment w:val="center"/>
              <w:rPr>
                <w:szCs w:val="21"/>
              </w:rPr>
            </w:pPr>
            <w:r>
              <w:rPr>
                <w:kern w:val="0"/>
                <w:szCs w:val="21"/>
                <w:lang w:bidi="ar"/>
              </w:rPr>
              <w:t>年排放小时数/h</w:t>
            </w:r>
          </w:p>
        </w:tc>
        <w:tc>
          <w:tcPr>
            <w:tcW w:w="33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1D4779">
            <w:pPr>
              <w:widowControl/>
              <w:jc w:val="center"/>
              <w:textAlignment w:val="center"/>
              <w:rPr>
                <w:szCs w:val="21"/>
              </w:rPr>
            </w:pPr>
            <w:r>
              <w:rPr>
                <w:kern w:val="0"/>
                <w:szCs w:val="21"/>
                <w:lang w:bidi="ar"/>
              </w:rPr>
              <w:t>排放工况</w:t>
            </w:r>
          </w:p>
        </w:tc>
        <w:tc>
          <w:tcPr>
            <w:tcW w:w="67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F75229">
            <w:pPr>
              <w:widowControl/>
              <w:jc w:val="center"/>
              <w:textAlignment w:val="center"/>
              <w:rPr>
                <w:szCs w:val="21"/>
              </w:rPr>
            </w:pPr>
            <w:r>
              <w:rPr>
                <w:kern w:val="0"/>
                <w:szCs w:val="21"/>
                <w:lang w:bidi="ar"/>
              </w:rPr>
              <w:t>污染物排放速率/</w:t>
            </w:r>
          </w:p>
        </w:tc>
      </w:tr>
      <w:tr w14:paraId="4A38E021">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DD11B">
            <w:pPr>
              <w:jc w:val="center"/>
              <w:rPr>
                <w:szCs w:val="21"/>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8E62DD">
            <w:pPr>
              <w:jc w:val="center"/>
              <w:rPr>
                <w:szCs w:val="21"/>
              </w:rPr>
            </w:pPr>
          </w:p>
        </w:tc>
        <w:tc>
          <w:tcPr>
            <w:tcW w:w="672" w:type="pct"/>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BD8E3">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D653C">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263BF">
            <w:pPr>
              <w:jc w:val="center"/>
              <w:rPr>
                <w:szCs w:val="21"/>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8A9FD">
            <w:pPr>
              <w:jc w:val="center"/>
              <w:rPr>
                <w:szCs w:val="21"/>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22EA7D">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AE825">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C4D84D">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EE6BC">
            <w:pPr>
              <w:jc w:val="center"/>
              <w:rPr>
                <w:szCs w:val="21"/>
              </w:rPr>
            </w:pPr>
          </w:p>
        </w:tc>
        <w:tc>
          <w:tcPr>
            <w:tcW w:w="67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E8C18">
            <w:pPr>
              <w:widowControl/>
              <w:jc w:val="center"/>
              <w:textAlignment w:val="center"/>
              <w:rPr>
                <w:szCs w:val="21"/>
              </w:rPr>
            </w:pPr>
            <w:r>
              <w:rPr>
                <w:kern w:val="0"/>
                <w:szCs w:val="21"/>
                <w:lang w:bidi="ar"/>
              </w:rPr>
              <w:t>(kg/h)</w:t>
            </w:r>
          </w:p>
        </w:tc>
      </w:tr>
      <w:tr w14:paraId="7ED50F37">
        <w:tblPrEx>
          <w:tblCellMar>
            <w:top w:w="0" w:type="dxa"/>
            <w:left w:w="108" w:type="dxa"/>
            <w:bottom w:w="0" w:type="dxa"/>
            <w:right w:w="108" w:type="dxa"/>
          </w:tblCellMar>
        </w:tblPrEx>
        <w:trPr>
          <w:trHeight w:val="285" w:hRule="atLeast"/>
        </w:trPr>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1574F5">
            <w:pPr>
              <w:jc w:val="center"/>
              <w:rPr>
                <w:szCs w:val="21"/>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832FD1">
            <w:pPr>
              <w:jc w:val="center"/>
              <w:rPr>
                <w:szCs w:val="21"/>
              </w:rPr>
            </w:pPr>
          </w:p>
        </w:tc>
        <w:tc>
          <w:tcPr>
            <w:tcW w:w="3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FBBDD">
            <w:pPr>
              <w:widowControl/>
              <w:jc w:val="center"/>
              <w:textAlignment w:val="center"/>
              <w:rPr>
                <w:i/>
                <w:iCs/>
                <w:szCs w:val="21"/>
              </w:rPr>
            </w:pPr>
            <w:r>
              <w:rPr>
                <w:i/>
                <w:iCs/>
                <w:kern w:val="0"/>
                <w:szCs w:val="21"/>
                <w:lang w:bidi="ar"/>
              </w:rPr>
              <w:t>X</w:t>
            </w:r>
          </w:p>
        </w:tc>
        <w:tc>
          <w:tcPr>
            <w:tcW w:w="3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FBAD7C">
            <w:pPr>
              <w:widowControl/>
              <w:jc w:val="center"/>
              <w:textAlignment w:val="center"/>
              <w:rPr>
                <w:i/>
                <w:iCs/>
                <w:szCs w:val="21"/>
              </w:rPr>
            </w:pPr>
            <w:r>
              <w:rPr>
                <w:i/>
                <w:iCs/>
                <w:kern w:val="0"/>
                <w:szCs w:val="21"/>
                <w:lang w:bidi="ar"/>
              </w:rPr>
              <w:t>Y</w:t>
            </w: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9F15B">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2A7AA1">
            <w:pPr>
              <w:jc w:val="center"/>
              <w:rPr>
                <w:szCs w:val="21"/>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328F3">
            <w:pPr>
              <w:jc w:val="center"/>
              <w:rPr>
                <w:szCs w:val="21"/>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CAE827">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1E8E28">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69524">
            <w:pPr>
              <w:jc w:val="center"/>
              <w:rPr>
                <w:szCs w:val="21"/>
              </w:rPr>
            </w:pPr>
          </w:p>
        </w:tc>
        <w:tc>
          <w:tcPr>
            <w:tcW w:w="336"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64A00">
            <w:pPr>
              <w:jc w:val="center"/>
              <w:rPr>
                <w:szCs w:val="21"/>
              </w:rPr>
            </w:pPr>
          </w:p>
        </w:tc>
        <w:tc>
          <w:tcPr>
            <w:tcW w:w="3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26E555">
            <w:pPr>
              <w:widowControl/>
              <w:jc w:val="center"/>
              <w:textAlignment w:val="center"/>
              <w:rPr>
                <w:szCs w:val="21"/>
              </w:rPr>
            </w:pPr>
            <w:r>
              <w:rPr>
                <w:kern w:val="0"/>
                <w:szCs w:val="21"/>
                <w:lang w:bidi="ar"/>
              </w:rPr>
              <w:t>氨气</w:t>
            </w:r>
          </w:p>
        </w:tc>
        <w:tc>
          <w:tcPr>
            <w:tcW w:w="33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0584D7">
            <w:pPr>
              <w:widowControl/>
              <w:jc w:val="center"/>
              <w:textAlignment w:val="center"/>
              <w:rPr>
                <w:szCs w:val="21"/>
              </w:rPr>
            </w:pPr>
            <w:r>
              <w:rPr>
                <w:kern w:val="0"/>
                <w:szCs w:val="21"/>
                <w:lang w:bidi="ar"/>
              </w:rPr>
              <w:t>硫化氢</w:t>
            </w:r>
          </w:p>
        </w:tc>
      </w:tr>
      <w:tr w14:paraId="10752886">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ign w:val="center"/>
          </w:tcPr>
          <w:p w14:paraId="6E193117">
            <w:pPr>
              <w:widowControl/>
              <w:jc w:val="center"/>
              <w:textAlignment w:val="center"/>
              <w:rPr>
                <w:szCs w:val="21"/>
              </w:rPr>
            </w:pPr>
            <w:r>
              <w:rPr>
                <w:kern w:val="0"/>
                <w:szCs w:val="21"/>
                <w:lang w:bidi="ar"/>
              </w:rPr>
              <w:t>P1</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78D5A9D0">
            <w:pPr>
              <w:widowControl/>
              <w:jc w:val="center"/>
              <w:textAlignment w:val="center"/>
              <w:rPr>
                <w:szCs w:val="21"/>
              </w:rPr>
            </w:pPr>
            <w:r>
              <w:rPr>
                <w:kern w:val="0"/>
                <w:szCs w:val="21"/>
                <w:lang w:bidi="ar"/>
              </w:rPr>
              <w:t>无害化处理车间</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0A81394A">
            <w:pPr>
              <w:widowControl/>
              <w:jc w:val="center"/>
              <w:textAlignment w:val="center"/>
              <w:rPr>
                <w:szCs w:val="21"/>
              </w:rPr>
            </w:pPr>
            <w:r>
              <w:rPr>
                <w:kern w:val="0"/>
                <w:szCs w:val="21"/>
                <w:lang w:bidi="ar"/>
              </w:rPr>
              <w:t>36</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61A50CB8">
            <w:pPr>
              <w:widowControl/>
              <w:jc w:val="center"/>
              <w:textAlignment w:val="center"/>
              <w:rPr>
                <w:szCs w:val="21"/>
              </w:rPr>
            </w:pPr>
            <w:r>
              <w:rPr>
                <w:kern w:val="0"/>
                <w:szCs w:val="21"/>
                <w:lang w:bidi="ar"/>
              </w:rPr>
              <w:t>-15</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780F7F11">
            <w:pPr>
              <w:widowControl/>
              <w:jc w:val="center"/>
              <w:textAlignment w:val="center"/>
              <w:rPr>
                <w:szCs w:val="21"/>
              </w:rPr>
            </w:pPr>
            <w:r>
              <w:rPr>
                <w:kern w:val="0"/>
                <w:szCs w:val="21"/>
                <w:lang w:bidi="ar"/>
              </w:rPr>
              <w:t>1915</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20FBC432">
            <w:pPr>
              <w:widowControl/>
              <w:jc w:val="center"/>
              <w:textAlignment w:val="center"/>
              <w:rPr>
                <w:szCs w:val="21"/>
              </w:rPr>
            </w:pPr>
            <w:r>
              <w:rPr>
                <w:kern w:val="0"/>
                <w:szCs w:val="21"/>
                <w:lang w:bidi="ar"/>
              </w:rPr>
              <w:t>15</w:t>
            </w:r>
          </w:p>
        </w:tc>
        <w:tc>
          <w:tcPr>
            <w:tcW w:w="471" w:type="pct"/>
            <w:tcBorders>
              <w:top w:val="single" w:color="000000" w:sz="4" w:space="0"/>
              <w:left w:val="single" w:color="000000" w:sz="4" w:space="0"/>
              <w:bottom w:val="single" w:color="000000" w:sz="4" w:space="0"/>
              <w:right w:val="single" w:color="000000" w:sz="4" w:space="0"/>
            </w:tcBorders>
            <w:noWrap/>
            <w:vAlign w:val="center"/>
          </w:tcPr>
          <w:p w14:paraId="770F1471">
            <w:pPr>
              <w:widowControl/>
              <w:jc w:val="center"/>
              <w:textAlignment w:val="center"/>
              <w:rPr>
                <w:szCs w:val="21"/>
              </w:rPr>
            </w:pPr>
            <w:r>
              <w:rPr>
                <w:kern w:val="0"/>
                <w:szCs w:val="21"/>
                <w:lang w:bidi="ar"/>
              </w:rPr>
              <w:t>0.3</w:t>
            </w:r>
          </w:p>
        </w:tc>
        <w:tc>
          <w:tcPr>
            <w:tcW w:w="471" w:type="pct"/>
            <w:tcBorders>
              <w:top w:val="single" w:color="000000" w:sz="4" w:space="0"/>
              <w:left w:val="single" w:color="000000" w:sz="4" w:space="0"/>
              <w:bottom w:val="single" w:color="000000" w:sz="4" w:space="0"/>
              <w:right w:val="single" w:color="000000" w:sz="4" w:space="0"/>
            </w:tcBorders>
            <w:noWrap/>
            <w:vAlign w:val="center"/>
          </w:tcPr>
          <w:p w14:paraId="1AF9EC97">
            <w:pPr>
              <w:widowControl/>
              <w:jc w:val="center"/>
              <w:textAlignment w:val="center"/>
              <w:rPr>
                <w:szCs w:val="21"/>
              </w:rPr>
            </w:pPr>
            <w:r>
              <w:rPr>
                <w:kern w:val="0"/>
                <w:szCs w:val="21"/>
                <w:lang w:bidi="ar"/>
              </w:rPr>
              <w:t>15.72</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3EA27DC8">
            <w:pPr>
              <w:widowControl/>
              <w:jc w:val="center"/>
              <w:textAlignment w:val="center"/>
              <w:rPr>
                <w:szCs w:val="21"/>
              </w:rPr>
            </w:pPr>
            <w:r>
              <w:rPr>
                <w:kern w:val="0"/>
                <w:szCs w:val="21"/>
                <w:lang w:bidi="ar"/>
              </w:rPr>
              <w:t>25</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7E43B7A3">
            <w:pPr>
              <w:widowControl/>
              <w:jc w:val="center"/>
              <w:textAlignment w:val="center"/>
              <w:rPr>
                <w:szCs w:val="21"/>
              </w:rPr>
            </w:pPr>
            <w:r>
              <w:rPr>
                <w:kern w:val="0"/>
                <w:szCs w:val="21"/>
                <w:lang w:bidi="ar"/>
              </w:rPr>
              <w:t>365</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0D338004">
            <w:pPr>
              <w:widowControl/>
              <w:jc w:val="center"/>
              <w:textAlignment w:val="center"/>
              <w:rPr>
                <w:szCs w:val="21"/>
              </w:rPr>
            </w:pPr>
            <w:r>
              <w:rPr>
                <w:kern w:val="0"/>
                <w:szCs w:val="21"/>
                <w:lang w:bidi="ar"/>
              </w:rPr>
              <w:t>正常</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052A930A">
            <w:pPr>
              <w:widowControl/>
              <w:jc w:val="center"/>
              <w:textAlignment w:val="center"/>
              <w:rPr>
                <w:szCs w:val="21"/>
              </w:rPr>
            </w:pPr>
            <w:r>
              <w:rPr>
                <w:kern w:val="0"/>
                <w:szCs w:val="21"/>
                <w:lang w:bidi="ar"/>
              </w:rPr>
              <w:t>0.0036</w:t>
            </w:r>
          </w:p>
        </w:tc>
        <w:tc>
          <w:tcPr>
            <w:tcW w:w="336" w:type="pct"/>
            <w:tcBorders>
              <w:top w:val="single" w:color="000000" w:sz="4" w:space="0"/>
              <w:left w:val="single" w:color="000000" w:sz="4" w:space="0"/>
              <w:bottom w:val="single" w:color="000000" w:sz="4" w:space="0"/>
              <w:right w:val="single" w:color="000000" w:sz="4" w:space="0"/>
            </w:tcBorders>
            <w:noWrap/>
            <w:vAlign w:val="center"/>
          </w:tcPr>
          <w:p w14:paraId="3E5B0532">
            <w:pPr>
              <w:widowControl/>
              <w:jc w:val="center"/>
              <w:textAlignment w:val="center"/>
              <w:rPr>
                <w:szCs w:val="21"/>
              </w:rPr>
            </w:pPr>
            <w:r>
              <w:rPr>
                <w:kern w:val="0"/>
                <w:szCs w:val="21"/>
                <w:lang w:bidi="ar"/>
              </w:rPr>
              <w:t>0</w:t>
            </w:r>
          </w:p>
        </w:tc>
      </w:tr>
    </w:tbl>
    <w:p w14:paraId="4E3E1821">
      <w:pPr>
        <w:spacing w:line="360" w:lineRule="auto"/>
        <w:ind w:firstLine="480" w:firstLineChars="200"/>
        <w:rPr>
          <w:sz w:val="24"/>
        </w:rPr>
        <w:sectPr>
          <w:pgSz w:w="16838" w:h="11906" w:orient="landscape"/>
          <w:pgMar w:top="1797" w:right="1440" w:bottom="1797" w:left="1361" w:header="851" w:footer="1134" w:gutter="0"/>
          <w:cols w:space="720" w:num="1"/>
          <w:docGrid w:linePitch="312" w:charSpace="0"/>
        </w:sectPr>
      </w:pPr>
    </w:p>
    <w:p w14:paraId="0E88CDF9">
      <w:pPr>
        <w:pStyle w:val="47"/>
        <w:rPr>
          <w:rFonts w:ascii="Times New Roman" w:hAnsi="Times New Roman" w:cs="Times New Roman"/>
        </w:rPr>
      </w:pPr>
    </w:p>
    <w:p w14:paraId="2B3BB969">
      <w:pPr>
        <w:spacing w:line="360" w:lineRule="auto"/>
        <w:ind w:firstLine="482" w:firstLineChars="200"/>
        <w:rPr>
          <w:b/>
          <w:bCs/>
        </w:rPr>
      </w:pPr>
      <w:r>
        <w:rPr>
          <w:b/>
          <w:bCs/>
          <w:sz w:val="24"/>
        </w:rPr>
        <w:t>（3）估算模式及参数</w:t>
      </w:r>
    </w:p>
    <w:p w14:paraId="069D54F4">
      <w:pPr>
        <w:adjustRightInd w:val="0"/>
        <w:snapToGrid w:val="0"/>
        <w:spacing w:line="360" w:lineRule="auto"/>
        <w:ind w:firstLine="480" w:firstLineChars="200"/>
        <w:jc w:val="left"/>
        <w:rPr>
          <w:bCs/>
          <w:sz w:val="24"/>
        </w:rPr>
      </w:pPr>
      <w:r>
        <w:rPr>
          <w:bCs/>
          <w:sz w:val="24"/>
        </w:rPr>
        <w:t>本次估算采用《环境影响评价技术导则—大气环境》（HJ2.2—2018）推荐的AERSCREEN估算模式，具体参数见下表。</w:t>
      </w:r>
    </w:p>
    <w:p w14:paraId="09231D12">
      <w:pPr>
        <w:spacing w:line="360" w:lineRule="auto"/>
        <w:ind w:firstLine="422" w:firstLineChars="200"/>
        <w:jc w:val="center"/>
        <w:rPr>
          <w:b/>
          <w:szCs w:val="21"/>
        </w:rPr>
      </w:pPr>
      <w:r>
        <w:rPr>
          <w:b/>
          <w:szCs w:val="21"/>
        </w:rPr>
        <w:t>表5.2-5 估算模型参数表</w:t>
      </w:r>
    </w:p>
    <w:tbl>
      <w:tblPr>
        <w:tblStyle w:val="8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02"/>
        <w:gridCol w:w="2654"/>
        <w:gridCol w:w="3572"/>
      </w:tblGrid>
      <w:tr w14:paraId="4F142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123718F3">
            <w:pPr>
              <w:snapToGrid w:val="0"/>
              <w:ind w:left="133"/>
              <w:jc w:val="center"/>
              <w:rPr>
                <w:spacing w:val="-1"/>
                <w:szCs w:val="21"/>
              </w:rPr>
            </w:pPr>
            <w:r>
              <w:rPr>
                <w:spacing w:val="-1"/>
                <w:szCs w:val="21"/>
              </w:rPr>
              <w:t>参数</w:t>
            </w:r>
          </w:p>
        </w:tc>
        <w:tc>
          <w:tcPr>
            <w:tcW w:w="3572" w:type="dxa"/>
            <w:noWrap w:val="0"/>
            <w:vAlign w:val="center"/>
          </w:tcPr>
          <w:p w14:paraId="6A0A90BC">
            <w:pPr>
              <w:snapToGrid w:val="0"/>
              <w:ind w:left="133"/>
              <w:jc w:val="center"/>
              <w:rPr>
                <w:spacing w:val="-1"/>
                <w:szCs w:val="21"/>
              </w:rPr>
            </w:pPr>
            <w:r>
              <w:rPr>
                <w:spacing w:val="-1"/>
                <w:szCs w:val="21"/>
              </w:rPr>
              <w:t>取值</w:t>
            </w:r>
          </w:p>
        </w:tc>
      </w:tr>
      <w:tr w14:paraId="4BF30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restart"/>
            <w:noWrap w:val="0"/>
            <w:vAlign w:val="center"/>
          </w:tcPr>
          <w:p w14:paraId="104EF693">
            <w:pPr>
              <w:snapToGrid w:val="0"/>
              <w:ind w:left="133"/>
              <w:jc w:val="center"/>
              <w:rPr>
                <w:spacing w:val="-1"/>
                <w:szCs w:val="21"/>
              </w:rPr>
            </w:pPr>
            <w:r>
              <w:rPr>
                <w:spacing w:val="-1"/>
                <w:szCs w:val="21"/>
              </w:rPr>
              <w:t>城市农村/选项</w:t>
            </w:r>
          </w:p>
        </w:tc>
        <w:tc>
          <w:tcPr>
            <w:tcW w:w="2654" w:type="dxa"/>
            <w:noWrap w:val="0"/>
            <w:vAlign w:val="center"/>
          </w:tcPr>
          <w:p w14:paraId="1B7CB651">
            <w:pPr>
              <w:snapToGrid w:val="0"/>
              <w:ind w:left="133"/>
              <w:jc w:val="center"/>
              <w:rPr>
                <w:spacing w:val="-1"/>
                <w:szCs w:val="21"/>
              </w:rPr>
            </w:pPr>
            <w:r>
              <w:rPr>
                <w:spacing w:val="-1"/>
                <w:szCs w:val="21"/>
              </w:rPr>
              <w:t>城市/农村</w:t>
            </w:r>
          </w:p>
        </w:tc>
        <w:tc>
          <w:tcPr>
            <w:tcW w:w="3572" w:type="dxa"/>
            <w:noWrap w:val="0"/>
            <w:vAlign w:val="center"/>
          </w:tcPr>
          <w:p w14:paraId="4966DE44">
            <w:pPr>
              <w:snapToGrid w:val="0"/>
              <w:ind w:left="133"/>
              <w:jc w:val="center"/>
              <w:rPr>
                <w:spacing w:val="-1"/>
                <w:szCs w:val="21"/>
              </w:rPr>
            </w:pPr>
            <w:r>
              <w:rPr>
                <w:spacing w:val="-1"/>
                <w:szCs w:val="21"/>
              </w:rPr>
              <w:t>农村</w:t>
            </w:r>
          </w:p>
        </w:tc>
      </w:tr>
      <w:tr w14:paraId="4DD2F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3908DFE2">
            <w:pPr>
              <w:snapToGrid w:val="0"/>
              <w:ind w:left="133"/>
              <w:jc w:val="center"/>
              <w:rPr>
                <w:spacing w:val="-1"/>
                <w:szCs w:val="21"/>
              </w:rPr>
            </w:pPr>
          </w:p>
        </w:tc>
        <w:tc>
          <w:tcPr>
            <w:tcW w:w="2654" w:type="dxa"/>
            <w:noWrap w:val="0"/>
            <w:vAlign w:val="center"/>
          </w:tcPr>
          <w:p w14:paraId="7C4D2938">
            <w:pPr>
              <w:snapToGrid w:val="0"/>
              <w:ind w:left="133"/>
              <w:jc w:val="center"/>
              <w:rPr>
                <w:spacing w:val="-1"/>
                <w:szCs w:val="21"/>
              </w:rPr>
            </w:pPr>
            <w:r>
              <w:rPr>
                <w:spacing w:val="-1"/>
                <w:szCs w:val="21"/>
              </w:rPr>
              <w:t>人口数(城市人口数)</w:t>
            </w:r>
          </w:p>
        </w:tc>
        <w:tc>
          <w:tcPr>
            <w:tcW w:w="3572" w:type="dxa"/>
            <w:noWrap w:val="0"/>
            <w:vAlign w:val="center"/>
          </w:tcPr>
          <w:p w14:paraId="0C505F09">
            <w:pPr>
              <w:snapToGrid w:val="0"/>
              <w:ind w:left="133"/>
              <w:jc w:val="center"/>
              <w:rPr>
                <w:spacing w:val="-1"/>
                <w:szCs w:val="21"/>
              </w:rPr>
            </w:pPr>
            <w:r>
              <w:rPr>
                <w:spacing w:val="-1"/>
                <w:szCs w:val="21"/>
              </w:rPr>
              <w:t>/</w:t>
            </w:r>
          </w:p>
        </w:tc>
      </w:tr>
      <w:tr w14:paraId="7EF7E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489BCDFE">
            <w:pPr>
              <w:snapToGrid w:val="0"/>
              <w:ind w:left="133"/>
              <w:jc w:val="center"/>
              <w:rPr>
                <w:spacing w:val="-1"/>
                <w:szCs w:val="21"/>
              </w:rPr>
            </w:pPr>
            <w:r>
              <w:rPr>
                <w:spacing w:val="-1"/>
                <w:szCs w:val="21"/>
              </w:rPr>
              <w:t>最高环境温度</w:t>
            </w:r>
          </w:p>
        </w:tc>
        <w:tc>
          <w:tcPr>
            <w:tcW w:w="3572" w:type="dxa"/>
            <w:noWrap w:val="0"/>
            <w:vAlign w:val="center"/>
          </w:tcPr>
          <w:p w14:paraId="73E3BCE1">
            <w:pPr>
              <w:snapToGrid w:val="0"/>
              <w:ind w:left="133"/>
              <w:jc w:val="center"/>
              <w:rPr>
                <w:spacing w:val="-1"/>
                <w:szCs w:val="21"/>
              </w:rPr>
            </w:pPr>
            <w:r>
              <w:rPr>
                <w:spacing w:val="-1"/>
                <w:szCs w:val="21"/>
              </w:rPr>
              <w:t>34.4°C</w:t>
            </w:r>
          </w:p>
        </w:tc>
      </w:tr>
      <w:tr w14:paraId="2EB64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4A6412FD">
            <w:pPr>
              <w:snapToGrid w:val="0"/>
              <w:ind w:left="133"/>
              <w:jc w:val="center"/>
              <w:rPr>
                <w:spacing w:val="-1"/>
                <w:szCs w:val="21"/>
              </w:rPr>
            </w:pPr>
            <w:r>
              <w:rPr>
                <w:spacing w:val="-1"/>
                <w:szCs w:val="21"/>
              </w:rPr>
              <w:t>最低环境温度</w:t>
            </w:r>
          </w:p>
        </w:tc>
        <w:tc>
          <w:tcPr>
            <w:tcW w:w="3572" w:type="dxa"/>
            <w:noWrap w:val="0"/>
            <w:vAlign w:val="center"/>
          </w:tcPr>
          <w:p w14:paraId="5A7FEFCA">
            <w:pPr>
              <w:snapToGrid w:val="0"/>
              <w:ind w:left="133"/>
              <w:jc w:val="center"/>
              <w:rPr>
                <w:spacing w:val="-1"/>
                <w:szCs w:val="21"/>
              </w:rPr>
            </w:pPr>
            <w:r>
              <w:rPr>
                <w:spacing w:val="-1"/>
                <w:szCs w:val="21"/>
              </w:rPr>
              <w:t>-4°C</w:t>
            </w:r>
          </w:p>
        </w:tc>
      </w:tr>
      <w:tr w14:paraId="7899E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0F5A3450">
            <w:pPr>
              <w:snapToGrid w:val="0"/>
              <w:ind w:left="133"/>
              <w:jc w:val="center"/>
              <w:rPr>
                <w:spacing w:val="-1"/>
                <w:szCs w:val="21"/>
              </w:rPr>
            </w:pPr>
            <w:r>
              <w:rPr>
                <w:spacing w:val="-1"/>
                <w:szCs w:val="21"/>
              </w:rPr>
              <w:t>土地利用类型</w:t>
            </w:r>
          </w:p>
        </w:tc>
        <w:tc>
          <w:tcPr>
            <w:tcW w:w="3572" w:type="dxa"/>
            <w:noWrap w:val="0"/>
            <w:vAlign w:val="center"/>
          </w:tcPr>
          <w:p w14:paraId="4F60B691">
            <w:pPr>
              <w:snapToGrid w:val="0"/>
              <w:ind w:left="133"/>
              <w:jc w:val="center"/>
              <w:rPr>
                <w:spacing w:val="-1"/>
                <w:szCs w:val="21"/>
              </w:rPr>
            </w:pPr>
            <w:r>
              <w:rPr>
                <w:spacing w:val="-1"/>
                <w:szCs w:val="21"/>
              </w:rPr>
              <w:t>农田</w:t>
            </w:r>
          </w:p>
        </w:tc>
      </w:tr>
      <w:tr w14:paraId="014EC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956" w:type="dxa"/>
            <w:gridSpan w:val="2"/>
            <w:noWrap w:val="0"/>
            <w:vAlign w:val="center"/>
          </w:tcPr>
          <w:p w14:paraId="48E2CBCE">
            <w:pPr>
              <w:snapToGrid w:val="0"/>
              <w:ind w:left="133"/>
              <w:jc w:val="center"/>
              <w:rPr>
                <w:spacing w:val="-1"/>
                <w:szCs w:val="21"/>
              </w:rPr>
            </w:pPr>
            <w:r>
              <w:rPr>
                <w:spacing w:val="-1"/>
                <w:szCs w:val="21"/>
              </w:rPr>
              <w:t>区域湿度条件</w:t>
            </w:r>
          </w:p>
        </w:tc>
        <w:tc>
          <w:tcPr>
            <w:tcW w:w="3572" w:type="dxa"/>
            <w:noWrap w:val="0"/>
            <w:vAlign w:val="center"/>
          </w:tcPr>
          <w:p w14:paraId="65F0538B">
            <w:pPr>
              <w:snapToGrid w:val="0"/>
              <w:ind w:left="133"/>
              <w:jc w:val="center"/>
              <w:rPr>
                <w:spacing w:val="-1"/>
                <w:szCs w:val="21"/>
              </w:rPr>
            </w:pPr>
            <w:r>
              <w:rPr>
                <w:spacing w:val="-1"/>
                <w:szCs w:val="21"/>
              </w:rPr>
              <w:t>潮湿</w:t>
            </w:r>
          </w:p>
        </w:tc>
      </w:tr>
      <w:tr w14:paraId="57CE9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restart"/>
            <w:noWrap w:val="0"/>
            <w:vAlign w:val="center"/>
          </w:tcPr>
          <w:p w14:paraId="2F33D1C3">
            <w:pPr>
              <w:snapToGrid w:val="0"/>
              <w:ind w:left="133"/>
              <w:jc w:val="center"/>
              <w:rPr>
                <w:spacing w:val="-1"/>
                <w:szCs w:val="21"/>
              </w:rPr>
            </w:pPr>
            <w:r>
              <w:rPr>
                <w:spacing w:val="-1"/>
                <w:szCs w:val="21"/>
              </w:rPr>
              <w:t>是否考虑地形</w:t>
            </w:r>
          </w:p>
        </w:tc>
        <w:tc>
          <w:tcPr>
            <w:tcW w:w="2654" w:type="dxa"/>
            <w:noWrap w:val="0"/>
            <w:vAlign w:val="center"/>
          </w:tcPr>
          <w:p w14:paraId="651CFAA7">
            <w:pPr>
              <w:snapToGrid w:val="0"/>
              <w:ind w:left="133"/>
              <w:jc w:val="center"/>
              <w:rPr>
                <w:spacing w:val="-1"/>
                <w:szCs w:val="21"/>
              </w:rPr>
            </w:pPr>
            <w:r>
              <w:rPr>
                <w:spacing w:val="-1"/>
                <w:szCs w:val="21"/>
              </w:rPr>
              <w:t>考虑地形</w:t>
            </w:r>
          </w:p>
        </w:tc>
        <w:tc>
          <w:tcPr>
            <w:tcW w:w="3572" w:type="dxa"/>
            <w:noWrap w:val="0"/>
            <w:vAlign w:val="center"/>
          </w:tcPr>
          <w:p w14:paraId="1B69461B">
            <w:pPr>
              <w:snapToGrid w:val="0"/>
              <w:ind w:left="133"/>
              <w:jc w:val="center"/>
              <w:rPr>
                <w:spacing w:val="-1"/>
                <w:szCs w:val="21"/>
              </w:rPr>
            </w:pPr>
            <w:r>
              <w:rPr>
                <w:spacing w:val="-1"/>
                <w:szCs w:val="21"/>
              </w:rPr>
              <w:t>是</w:t>
            </w:r>
          </w:p>
        </w:tc>
      </w:tr>
      <w:tr w14:paraId="4267D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25DE0C20">
            <w:pPr>
              <w:snapToGrid w:val="0"/>
              <w:ind w:left="133"/>
              <w:jc w:val="center"/>
              <w:rPr>
                <w:spacing w:val="-1"/>
                <w:szCs w:val="21"/>
              </w:rPr>
            </w:pPr>
          </w:p>
        </w:tc>
        <w:tc>
          <w:tcPr>
            <w:tcW w:w="2654" w:type="dxa"/>
            <w:noWrap w:val="0"/>
            <w:vAlign w:val="center"/>
          </w:tcPr>
          <w:p w14:paraId="1F0FD2AF">
            <w:pPr>
              <w:snapToGrid w:val="0"/>
              <w:ind w:left="133"/>
              <w:jc w:val="center"/>
              <w:rPr>
                <w:spacing w:val="-1"/>
                <w:szCs w:val="21"/>
              </w:rPr>
            </w:pPr>
            <w:r>
              <w:rPr>
                <w:spacing w:val="-1"/>
                <w:szCs w:val="21"/>
              </w:rPr>
              <w:t>地形数据分辨率(m)</w:t>
            </w:r>
          </w:p>
        </w:tc>
        <w:tc>
          <w:tcPr>
            <w:tcW w:w="3572" w:type="dxa"/>
            <w:noWrap w:val="0"/>
            <w:vAlign w:val="center"/>
          </w:tcPr>
          <w:p w14:paraId="7FB4E8FA">
            <w:pPr>
              <w:snapToGrid w:val="0"/>
              <w:ind w:left="133"/>
              <w:jc w:val="center"/>
              <w:rPr>
                <w:spacing w:val="-1"/>
                <w:szCs w:val="21"/>
              </w:rPr>
            </w:pPr>
            <w:r>
              <w:rPr>
                <w:spacing w:val="-1"/>
                <w:szCs w:val="21"/>
              </w:rPr>
              <w:t>90</w:t>
            </w:r>
          </w:p>
        </w:tc>
      </w:tr>
      <w:tr w14:paraId="64B65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restart"/>
            <w:noWrap w:val="0"/>
            <w:vAlign w:val="center"/>
          </w:tcPr>
          <w:p w14:paraId="3B492C3C">
            <w:pPr>
              <w:snapToGrid w:val="0"/>
              <w:ind w:left="133"/>
              <w:jc w:val="center"/>
              <w:rPr>
                <w:spacing w:val="-1"/>
                <w:szCs w:val="21"/>
              </w:rPr>
            </w:pPr>
            <w:r>
              <w:rPr>
                <w:spacing w:val="-1"/>
                <w:szCs w:val="21"/>
              </w:rPr>
              <w:t>是否考虑岸线熏烟</w:t>
            </w:r>
          </w:p>
        </w:tc>
        <w:tc>
          <w:tcPr>
            <w:tcW w:w="2654" w:type="dxa"/>
            <w:noWrap w:val="0"/>
            <w:vAlign w:val="center"/>
          </w:tcPr>
          <w:p w14:paraId="1CF57B67">
            <w:pPr>
              <w:snapToGrid w:val="0"/>
              <w:ind w:left="133"/>
              <w:jc w:val="center"/>
              <w:rPr>
                <w:spacing w:val="-1"/>
                <w:szCs w:val="21"/>
              </w:rPr>
            </w:pPr>
            <w:r>
              <w:rPr>
                <w:spacing w:val="-1"/>
                <w:szCs w:val="21"/>
              </w:rPr>
              <w:t>考虑岸线熏烟</w:t>
            </w:r>
          </w:p>
        </w:tc>
        <w:tc>
          <w:tcPr>
            <w:tcW w:w="3572" w:type="dxa"/>
            <w:noWrap w:val="0"/>
            <w:vAlign w:val="center"/>
          </w:tcPr>
          <w:p w14:paraId="4A861796">
            <w:pPr>
              <w:snapToGrid w:val="0"/>
              <w:ind w:left="133"/>
              <w:jc w:val="center"/>
              <w:rPr>
                <w:spacing w:val="-1"/>
                <w:szCs w:val="21"/>
              </w:rPr>
            </w:pPr>
            <w:r>
              <w:rPr>
                <w:spacing w:val="-1"/>
                <w:szCs w:val="21"/>
              </w:rPr>
              <w:t>否</w:t>
            </w:r>
          </w:p>
        </w:tc>
      </w:tr>
      <w:tr w14:paraId="2A727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4DBEFA31">
            <w:pPr>
              <w:snapToGrid w:val="0"/>
              <w:ind w:left="133"/>
              <w:jc w:val="center"/>
              <w:rPr>
                <w:spacing w:val="-1"/>
                <w:szCs w:val="21"/>
              </w:rPr>
            </w:pPr>
          </w:p>
        </w:tc>
        <w:tc>
          <w:tcPr>
            <w:tcW w:w="2654" w:type="dxa"/>
            <w:noWrap w:val="0"/>
            <w:vAlign w:val="center"/>
          </w:tcPr>
          <w:p w14:paraId="35B7C267">
            <w:pPr>
              <w:snapToGrid w:val="0"/>
              <w:ind w:left="133"/>
              <w:jc w:val="center"/>
              <w:rPr>
                <w:spacing w:val="-1"/>
                <w:szCs w:val="21"/>
              </w:rPr>
            </w:pPr>
            <w:r>
              <w:rPr>
                <w:spacing w:val="-1"/>
                <w:szCs w:val="21"/>
              </w:rPr>
              <w:t>岸线距离/km</w:t>
            </w:r>
          </w:p>
        </w:tc>
        <w:tc>
          <w:tcPr>
            <w:tcW w:w="3572" w:type="dxa"/>
            <w:noWrap w:val="0"/>
            <w:vAlign w:val="center"/>
          </w:tcPr>
          <w:p w14:paraId="6D73E301">
            <w:pPr>
              <w:snapToGrid w:val="0"/>
              <w:ind w:left="133"/>
              <w:jc w:val="center"/>
              <w:rPr>
                <w:spacing w:val="-1"/>
                <w:szCs w:val="21"/>
              </w:rPr>
            </w:pPr>
            <w:r>
              <w:rPr>
                <w:spacing w:val="-1"/>
                <w:szCs w:val="21"/>
              </w:rPr>
              <w:t>/</w:t>
            </w:r>
          </w:p>
        </w:tc>
      </w:tr>
      <w:tr w14:paraId="42071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02" w:type="dxa"/>
            <w:vMerge w:val="continue"/>
            <w:noWrap w:val="0"/>
            <w:vAlign w:val="center"/>
          </w:tcPr>
          <w:p w14:paraId="2445F51D">
            <w:pPr>
              <w:snapToGrid w:val="0"/>
              <w:ind w:left="133"/>
              <w:jc w:val="center"/>
              <w:rPr>
                <w:spacing w:val="-1"/>
                <w:szCs w:val="21"/>
              </w:rPr>
            </w:pPr>
          </w:p>
        </w:tc>
        <w:tc>
          <w:tcPr>
            <w:tcW w:w="2654" w:type="dxa"/>
            <w:noWrap w:val="0"/>
            <w:vAlign w:val="center"/>
          </w:tcPr>
          <w:p w14:paraId="7EC352F9">
            <w:pPr>
              <w:snapToGrid w:val="0"/>
              <w:ind w:left="133"/>
              <w:jc w:val="center"/>
              <w:rPr>
                <w:spacing w:val="-1"/>
                <w:szCs w:val="21"/>
              </w:rPr>
            </w:pPr>
            <w:r>
              <w:rPr>
                <w:spacing w:val="-1"/>
                <w:szCs w:val="21"/>
              </w:rPr>
              <w:t>岸线方向/°</w:t>
            </w:r>
          </w:p>
        </w:tc>
        <w:tc>
          <w:tcPr>
            <w:tcW w:w="3572" w:type="dxa"/>
            <w:noWrap w:val="0"/>
            <w:vAlign w:val="center"/>
          </w:tcPr>
          <w:p w14:paraId="7517B909">
            <w:pPr>
              <w:snapToGrid w:val="0"/>
              <w:ind w:left="133"/>
              <w:jc w:val="center"/>
              <w:rPr>
                <w:spacing w:val="-1"/>
                <w:szCs w:val="21"/>
              </w:rPr>
            </w:pPr>
            <w:r>
              <w:rPr>
                <w:spacing w:val="-1"/>
                <w:szCs w:val="21"/>
              </w:rPr>
              <w:t>/</w:t>
            </w:r>
          </w:p>
        </w:tc>
      </w:tr>
    </w:tbl>
    <w:p w14:paraId="3C5F22F1">
      <w:pPr>
        <w:spacing w:line="360" w:lineRule="auto"/>
        <w:ind w:firstLine="480" w:firstLineChars="200"/>
        <w:rPr>
          <w:sz w:val="24"/>
        </w:rPr>
      </w:pPr>
    </w:p>
    <w:p w14:paraId="77F3737A">
      <w:pPr>
        <w:adjustRightInd w:val="0"/>
        <w:snapToGrid w:val="0"/>
        <w:spacing w:line="360" w:lineRule="auto"/>
        <w:ind w:firstLine="482" w:firstLineChars="200"/>
        <w:contextualSpacing/>
        <w:rPr>
          <w:b/>
          <w:sz w:val="24"/>
        </w:rPr>
      </w:pPr>
      <w:bookmarkStart w:id="146" w:name="_Toc32435_WPSOffice_Level3"/>
      <w:bookmarkStart w:id="147" w:name="_Toc21996_WPSOffice_Level3"/>
      <w:bookmarkStart w:id="148" w:name="_Toc5316_WPSOffice_Level3"/>
      <w:r>
        <w:rPr>
          <w:b/>
          <w:sz w:val="24"/>
        </w:rPr>
        <w:t>（4）评价等级</w:t>
      </w:r>
      <w:bookmarkEnd w:id="146"/>
      <w:bookmarkEnd w:id="147"/>
      <w:bookmarkEnd w:id="148"/>
    </w:p>
    <w:p w14:paraId="3A4268BF">
      <w:pPr>
        <w:spacing w:line="360" w:lineRule="auto"/>
        <w:ind w:firstLine="480" w:firstLineChars="200"/>
        <w:rPr>
          <w:sz w:val="24"/>
        </w:rPr>
      </w:pPr>
      <w:r>
        <w:rPr>
          <w:sz w:val="24"/>
        </w:rPr>
        <w:t>根据《环境影响评价技</w:t>
      </w:r>
      <w:r>
        <w:rPr>
          <w:rStyle w:val="240"/>
        </w:rPr>
        <w:t>术导则  大气环境》（HJ2.2-2018）</w:t>
      </w:r>
      <w:r>
        <w:rPr>
          <w:sz w:val="24"/>
        </w:rPr>
        <w:t>有关规定，采用附录A推荐模型中的估算模型（AERSCREEN）分别计算项目污染源的最大影响，然后按评价工作分级判据进行分级。对项目的大气环境评价工作进行分级。</w:t>
      </w:r>
    </w:p>
    <w:p w14:paraId="5334B479">
      <w:pPr>
        <w:pStyle w:val="86"/>
        <w:spacing w:after="0" w:line="360" w:lineRule="auto"/>
        <w:ind w:left="0" w:leftChars="0" w:firstLine="480"/>
      </w:pPr>
      <w:r>
        <w:t>①评价工作分级方法</w:t>
      </w:r>
    </w:p>
    <w:p w14:paraId="261211DC">
      <w:pPr>
        <w:pStyle w:val="86"/>
        <w:spacing w:after="0" w:line="360" w:lineRule="auto"/>
        <w:ind w:left="0" w:leftChars="0" w:firstLine="480"/>
      </w:pPr>
      <w:r>
        <w:t>根据污染源初步调查结果，分别计算排放主要污染物的最大地面空气质量浓度占标率P</w:t>
      </w:r>
      <w:r>
        <w:rPr>
          <w:vertAlign w:val="subscript"/>
        </w:rPr>
        <w:t>i</w:t>
      </w:r>
      <w:r>
        <w:t>（第i个污染物，简称最大浓度占标率），及第i个污染物的地面空气质量浓度达到标准限值10%时所对应的最远距离D</w:t>
      </w:r>
      <w:r>
        <w:rPr>
          <w:vertAlign w:val="subscript"/>
        </w:rPr>
        <w:t>10%</w:t>
      </w:r>
      <w:r>
        <w:t>，其中P</w:t>
      </w:r>
      <w:r>
        <w:rPr>
          <w:vertAlign w:val="subscript"/>
        </w:rPr>
        <w:t>i</w:t>
      </w:r>
      <w:r>
        <w:t>定义为：</w:t>
      </w:r>
    </w:p>
    <w:p w14:paraId="2AF5B3A4">
      <w:pPr>
        <w:pStyle w:val="86"/>
        <w:spacing w:after="0" w:line="360" w:lineRule="auto"/>
        <w:ind w:left="0" w:leftChars="0" w:firstLine="480"/>
        <w:jc w:val="center"/>
      </w:pPr>
      <w:r>
        <w:rPr>
          <w:i/>
        </w:rPr>
        <w:t>Pi=</w:t>
      </w:r>
      <w:r>
        <w:t>C</w:t>
      </w:r>
      <w:r>
        <w:rPr>
          <w:vertAlign w:val="subscript"/>
        </w:rPr>
        <w:t>i</w:t>
      </w:r>
      <w:r>
        <w:t>/C</w:t>
      </w:r>
      <w:r>
        <w:rPr>
          <w:vertAlign w:val="subscript"/>
        </w:rPr>
        <w:t>0i</w:t>
      </w:r>
      <w:r>
        <w:rPr>
          <w:position w:val="-4"/>
        </w:rPr>
        <w:object>
          <v:shape id="_x0000_i1040" o:spt="75" type="#_x0000_t75" style="height:10pt;width:9pt;" o:ole="t" filled="f" stroked="f" coordsize="21600,21600">
            <v:path/>
            <v:fill on="f" focussize="0,0"/>
            <v:stroke on="f"/>
            <v:imagedata r:id="rId43" o:title=""/>
            <o:lock v:ext="edit" grouping="f" rotation="f" text="f" aspectratio="t"/>
            <w10:wrap type="none"/>
            <w10:anchorlock/>
          </v:shape>
          <o:OLEObject Type="Embed" ProgID="Equation.DSMT4" ShapeID="_x0000_i1040" DrawAspect="Content" ObjectID="_1468075736" r:id="rId42">
            <o:LockedField>false</o:LockedField>
          </o:OLEObject>
        </w:object>
      </w:r>
      <w:r>
        <w:t>100%</w:t>
      </w:r>
    </w:p>
    <w:p w14:paraId="4F97D300">
      <w:pPr>
        <w:spacing w:line="360" w:lineRule="auto"/>
        <w:ind w:firstLine="480" w:firstLineChars="200"/>
        <w:rPr>
          <w:sz w:val="24"/>
        </w:rPr>
      </w:pPr>
      <w:r>
        <w:rPr>
          <w:sz w:val="24"/>
        </w:rPr>
        <w:t>式中：P</w:t>
      </w:r>
      <w:r>
        <w:rPr>
          <w:sz w:val="24"/>
          <w:vertAlign w:val="subscript"/>
        </w:rPr>
        <w:t>i</w:t>
      </w:r>
      <w:r>
        <w:rPr>
          <w:sz w:val="24"/>
        </w:rPr>
        <w:t>—第i个污染物的最大地面浓度占标率，%；</w:t>
      </w:r>
    </w:p>
    <w:p w14:paraId="506D8BB5">
      <w:pPr>
        <w:spacing w:line="360" w:lineRule="auto"/>
        <w:ind w:firstLine="480" w:firstLineChars="200"/>
        <w:rPr>
          <w:sz w:val="24"/>
        </w:rPr>
      </w:pPr>
      <w:r>
        <w:rPr>
          <w:sz w:val="24"/>
        </w:rPr>
        <w:t xml:space="preserve">      C</w:t>
      </w:r>
      <w:r>
        <w:rPr>
          <w:sz w:val="24"/>
          <w:vertAlign w:val="subscript"/>
        </w:rPr>
        <w:t>i</w:t>
      </w:r>
      <w:r>
        <w:rPr>
          <w:sz w:val="24"/>
        </w:rPr>
        <w:t>— 采用估算模式计算出的第i个污染物的最大地面浓度，ug/m</w:t>
      </w:r>
      <w:r>
        <w:rPr>
          <w:sz w:val="24"/>
          <w:vertAlign w:val="superscript"/>
        </w:rPr>
        <w:t>3</w:t>
      </w:r>
      <w:r>
        <w:rPr>
          <w:sz w:val="24"/>
        </w:rPr>
        <w:t>；</w:t>
      </w:r>
    </w:p>
    <w:p w14:paraId="4F9E4E7F">
      <w:pPr>
        <w:spacing w:line="360" w:lineRule="auto"/>
        <w:ind w:firstLine="480" w:firstLineChars="200"/>
        <w:rPr>
          <w:sz w:val="24"/>
        </w:rPr>
      </w:pPr>
      <w:r>
        <w:rPr>
          <w:sz w:val="24"/>
        </w:rPr>
        <w:t xml:space="preserve">      C</w:t>
      </w:r>
      <w:r>
        <w:rPr>
          <w:sz w:val="24"/>
          <w:vertAlign w:val="subscript"/>
        </w:rPr>
        <w:t>0i</w:t>
      </w:r>
      <w:r>
        <w:rPr>
          <w:sz w:val="24"/>
        </w:rPr>
        <w:t>—该污染物的环境空气质量浓度标准，ug/m</w:t>
      </w:r>
      <w:r>
        <w:rPr>
          <w:sz w:val="24"/>
          <w:vertAlign w:val="superscript"/>
        </w:rPr>
        <w:t>3</w:t>
      </w:r>
      <w:r>
        <w:rPr>
          <w:sz w:val="24"/>
        </w:rPr>
        <w:t>。</w:t>
      </w:r>
    </w:p>
    <w:p w14:paraId="7B5569DD">
      <w:pPr>
        <w:pStyle w:val="86"/>
        <w:spacing w:after="0" w:line="360" w:lineRule="auto"/>
        <w:ind w:left="0" w:leftChars="0" w:firstLine="480"/>
      </w:pPr>
      <w:r>
        <w:t>②评级分级判据</w:t>
      </w:r>
    </w:p>
    <w:p w14:paraId="5E9B816B">
      <w:pPr>
        <w:spacing w:line="360" w:lineRule="auto"/>
        <w:ind w:firstLine="480" w:firstLineChars="200"/>
        <w:rPr>
          <w:sz w:val="24"/>
        </w:rPr>
      </w:pPr>
      <w:r>
        <w:rPr>
          <w:sz w:val="24"/>
        </w:rPr>
        <w:t>评价工作等级按表5.2-6的分级数据进行划分，最大地面浓度占标率Pi按上述公式计算，如污染物数i大于1，取P值中最大者（Pmax）和其对应的D10%。</w:t>
      </w:r>
    </w:p>
    <w:p w14:paraId="7C4AE357">
      <w:pPr>
        <w:tabs>
          <w:tab w:val="left" w:pos="840"/>
        </w:tabs>
        <w:spacing w:line="360" w:lineRule="auto"/>
        <w:jc w:val="center"/>
        <w:rPr>
          <w:b/>
          <w:szCs w:val="21"/>
        </w:rPr>
      </w:pPr>
      <w:r>
        <w:rPr>
          <w:b/>
          <w:szCs w:val="21"/>
        </w:rPr>
        <w:t>表5.2-6  评价工作等级表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6272"/>
      </w:tblGrid>
      <w:tr w14:paraId="4BEA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noWrap w:val="0"/>
            <w:vAlign w:val="center"/>
          </w:tcPr>
          <w:p w14:paraId="72EB969B">
            <w:pPr>
              <w:jc w:val="center"/>
              <w:rPr>
                <w:szCs w:val="21"/>
              </w:rPr>
            </w:pPr>
            <w:r>
              <w:rPr>
                <w:szCs w:val="21"/>
              </w:rPr>
              <w:t>评价工作等级</w:t>
            </w:r>
          </w:p>
        </w:tc>
        <w:tc>
          <w:tcPr>
            <w:tcW w:w="6272" w:type="dxa"/>
            <w:noWrap w:val="0"/>
            <w:vAlign w:val="center"/>
          </w:tcPr>
          <w:p w14:paraId="4056018D">
            <w:pPr>
              <w:jc w:val="center"/>
              <w:rPr>
                <w:szCs w:val="21"/>
              </w:rPr>
            </w:pPr>
            <w:r>
              <w:rPr>
                <w:szCs w:val="21"/>
              </w:rPr>
              <w:t>评价工作分级判据</w:t>
            </w:r>
          </w:p>
        </w:tc>
      </w:tr>
      <w:tr w14:paraId="1AB6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noWrap w:val="0"/>
            <w:vAlign w:val="center"/>
          </w:tcPr>
          <w:p w14:paraId="572FD26D">
            <w:pPr>
              <w:jc w:val="center"/>
              <w:rPr>
                <w:szCs w:val="21"/>
              </w:rPr>
            </w:pPr>
            <w:r>
              <w:rPr>
                <w:szCs w:val="21"/>
              </w:rPr>
              <w:t>一级</w:t>
            </w:r>
          </w:p>
        </w:tc>
        <w:tc>
          <w:tcPr>
            <w:tcW w:w="6272" w:type="dxa"/>
            <w:noWrap w:val="0"/>
            <w:vAlign w:val="center"/>
          </w:tcPr>
          <w:p w14:paraId="05E6A176">
            <w:pPr>
              <w:jc w:val="center"/>
              <w:rPr>
                <w:szCs w:val="21"/>
              </w:rPr>
            </w:pPr>
            <w:r>
              <w:rPr>
                <w:szCs w:val="21"/>
              </w:rPr>
              <w:t>P</w:t>
            </w:r>
            <w:r>
              <w:rPr>
                <w:szCs w:val="21"/>
                <w:vertAlign w:val="subscript"/>
              </w:rPr>
              <w:t>max</w:t>
            </w:r>
            <w:r>
              <w:rPr>
                <w:szCs w:val="21"/>
              </w:rPr>
              <w:t>≥10%</w:t>
            </w:r>
          </w:p>
        </w:tc>
      </w:tr>
      <w:tr w14:paraId="4B0D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noWrap w:val="0"/>
            <w:vAlign w:val="center"/>
          </w:tcPr>
          <w:p w14:paraId="0F55B3B9">
            <w:pPr>
              <w:jc w:val="center"/>
              <w:rPr>
                <w:szCs w:val="21"/>
              </w:rPr>
            </w:pPr>
            <w:r>
              <w:rPr>
                <w:szCs w:val="21"/>
              </w:rPr>
              <w:t>二级</w:t>
            </w:r>
          </w:p>
        </w:tc>
        <w:tc>
          <w:tcPr>
            <w:tcW w:w="6272" w:type="dxa"/>
            <w:noWrap w:val="0"/>
            <w:vAlign w:val="center"/>
          </w:tcPr>
          <w:p w14:paraId="6C1E5103">
            <w:pPr>
              <w:jc w:val="center"/>
              <w:rPr>
                <w:szCs w:val="21"/>
              </w:rPr>
            </w:pPr>
            <w:r>
              <w:rPr>
                <w:szCs w:val="21"/>
              </w:rPr>
              <w:t>1%≤P</w:t>
            </w:r>
            <w:r>
              <w:rPr>
                <w:szCs w:val="21"/>
                <w:vertAlign w:val="subscript"/>
              </w:rPr>
              <w:t>max</w:t>
            </w:r>
            <w:r>
              <w:rPr>
                <w:szCs w:val="21"/>
              </w:rPr>
              <w:t>&lt;10%</w:t>
            </w:r>
          </w:p>
        </w:tc>
      </w:tr>
      <w:tr w14:paraId="7A5C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noWrap w:val="0"/>
            <w:vAlign w:val="center"/>
          </w:tcPr>
          <w:p w14:paraId="76F9C893">
            <w:pPr>
              <w:jc w:val="center"/>
              <w:rPr>
                <w:szCs w:val="21"/>
              </w:rPr>
            </w:pPr>
            <w:r>
              <w:rPr>
                <w:szCs w:val="21"/>
              </w:rPr>
              <w:t>三级</w:t>
            </w:r>
          </w:p>
        </w:tc>
        <w:tc>
          <w:tcPr>
            <w:tcW w:w="6272" w:type="dxa"/>
            <w:noWrap w:val="0"/>
            <w:vAlign w:val="center"/>
          </w:tcPr>
          <w:p w14:paraId="41440DFB">
            <w:pPr>
              <w:jc w:val="center"/>
              <w:rPr>
                <w:szCs w:val="21"/>
              </w:rPr>
            </w:pPr>
            <w:r>
              <w:rPr>
                <w:szCs w:val="21"/>
              </w:rPr>
              <w:t>P</w:t>
            </w:r>
            <w:r>
              <w:rPr>
                <w:szCs w:val="21"/>
                <w:vertAlign w:val="subscript"/>
              </w:rPr>
              <w:t>max</w:t>
            </w:r>
            <w:r>
              <w:rPr>
                <w:szCs w:val="21"/>
              </w:rPr>
              <w:t>&lt;1%</w:t>
            </w:r>
          </w:p>
        </w:tc>
      </w:tr>
    </w:tbl>
    <w:p w14:paraId="4BBD1516">
      <w:pPr>
        <w:spacing w:line="360" w:lineRule="auto"/>
        <w:ind w:firstLine="480" w:firstLineChars="200"/>
        <w:rPr>
          <w:sz w:val="24"/>
        </w:rPr>
      </w:pPr>
    </w:p>
    <w:p w14:paraId="7378F316">
      <w:pPr>
        <w:spacing w:line="360" w:lineRule="auto"/>
        <w:ind w:firstLine="482" w:firstLineChars="200"/>
        <w:rPr>
          <w:b/>
          <w:bCs/>
          <w:sz w:val="24"/>
        </w:rPr>
      </w:pPr>
      <w:r>
        <w:rPr>
          <w:b/>
          <w:bCs/>
          <w:sz w:val="24"/>
        </w:rPr>
        <w:t>（5）预测结果</w:t>
      </w:r>
    </w:p>
    <w:p w14:paraId="73927E20">
      <w:pPr>
        <w:tabs>
          <w:tab w:val="left" w:pos="840"/>
        </w:tabs>
        <w:spacing w:line="360" w:lineRule="auto"/>
        <w:jc w:val="center"/>
        <w:rPr>
          <w:b/>
          <w:szCs w:val="21"/>
        </w:rPr>
        <w:sectPr>
          <w:pgSz w:w="11906" w:h="16838"/>
          <w:pgMar w:top="1440" w:right="1797" w:bottom="1361" w:left="1797" w:header="851" w:footer="1134" w:gutter="0"/>
          <w:cols w:space="720" w:num="1"/>
          <w:docGrid w:linePitch="312" w:charSpace="0"/>
        </w:sectPr>
      </w:pPr>
    </w:p>
    <w:p w14:paraId="18DED235">
      <w:pPr>
        <w:tabs>
          <w:tab w:val="left" w:pos="840"/>
        </w:tabs>
        <w:spacing w:line="360" w:lineRule="auto"/>
        <w:jc w:val="center"/>
        <w:rPr>
          <w:szCs w:val="21"/>
        </w:rPr>
      </w:pPr>
      <w:r>
        <w:rPr>
          <w:b/>
          <w:szCs w:val="21"/>
        </w:rPr>
        <w:t>表5.2-7各源最大Pmax和D10%预测结果表</w:t>
      </w:r>
    </w:p>
    <w:p w14:paraId="5413A9A6">
      <w:pPr>
        <w:jc w:val="center"/>
        <w:rPr>
          <w:b/>
          <w:szCs w:val="21"/>
        </w:rPr>
      </w:pPr>
    </w:p>
    <w:tbl>
      <w:tblPr>
        <w:tblStyle w:val="87"/>
        <w:tblW w:w="5000" w:type="pct"/>
        <w:tblInd w:w="0" w:type="dxa"/>
        <w:tblLayout w:type="fixed"/>
        <w:tblCellMar>
          <w:top w:w="0" w:type="dxa"/>
          <w:left w:w="108" w:type="dxa"/>
          <w:bottom w:w="0" w:type="dxa"/>
          <w:right w:w="108" w:type="dxa"/>
        </w:tblCellMar>
      </w:tblPr>
      <w:tblGrid>
        <w:gridCol w:w="825"/>
        <w:gridCol w:w="1224"/>
        <w:gridCol w:w="822"/>
        <w:gridCol w:w="1175"/>
        <w:gridCol w:w="848"/>
        <w:gridCol w:w="850"/>
        <w:gridCol w:w="1175"/>
        <w:gridCol w:w="759"/>
        <w:gridCol w:w="1120"/>
        <w:gridCol w:w="855"/>
        <w:gridCol w:w="724"/>
        <w:gridCol w:w="1223"/>
        <w:gridCol w:w="775"/>
        <w:gridCol w:w="1177"/>
        <w:gridCol w:w="701"/>
      </w:tblGrid>
      <w:tr w14:paraId="3AC992AD">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A278792">
            <w:pPr>
              <w:widowControl/>
              <w:jc w:val="center"/>
              <w:textAlignment w:val="center"/>
              <w:rPr>
                <w:b/>
                <w:bCs/>
                <w:szCs w:val="21"/>
              </w:rPr>
            </w:pPr>
            <w:r>
              <w:rPr>
                <w:b/>
                <w:bCs/>
                <w:kern w:val="0"/>
                <w:szCs w:val="21"/>
                <w:lang w:bidi="ar"/>
              </w:rPr>
              <w:t>盛丰通风井1号舍</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15BB7AE">
            <w:pPr>
              <w:widowControl/>
              <w:jc w:val="center"/>
              <w:textAlignment w:val="center"/>
              <w:rPr>
                <w:b/>
                <w:bCs/>
                <w:szCs w:val="21"/>
              </w:rPr>
            </w:pPr>
            <w:r>
              <w:rPr>
                <w:b/>
                <w:bCs/>
                <w:kern w:val="0"/>
                <w:szCs w:val="21"/>
                <w:lang w:bidi="ar"/>
              </w:rPr>
              <w:t>盛丰通风井2号舍</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C05E687">
            <w:pPr>
              <w:widowControl/>
              <w:jc w:val="center"/>
              <w:textAlignment w:val="center"/>
              <w:rPr>
                <w:b/>
                <w:bCs/>
                <w:szCs w:val="21"/>
              </w:rPr>
            </w:pPr>
            <w:r>
              <w:rPr>
                <w:b/>
                <w:bCs/>
                <w:kern w:val="0"/>
                <w:szCs w:val="21"/>
                <w:lang w:bidi="ar"/>
              </w:rPr>
              <w:t>盛丰焦化楼1号舍</w:t>
            </w:r>
          </w:p>
        </w:tc>
      </w:tr>
      <w:tr w14:paraId="6B283540">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2A82FEC5">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B843910">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05E669B">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5261272D">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774DA91">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B743A29">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6D1B3A8E">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F86B26B">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A01E84B">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7E301539">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60764E4B">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EA2555B">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A6211DD">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8F45977">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12DF466">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40E669B9">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BA7BB55">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DFBA584">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74CA979">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8591950">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7DD9AEEC">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A89C77C">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7DD7504">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49BB1C8">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E237FDD">
            <w:pPr>
              <w:widowControl/>
              <w:jc w:val="center"/>
              <w:textAlignment w:val="center"/>
              <w:rPr>
                <w:b/>
                <w:bCs/>
                <w:szCs w:val="21"/>
              </w:rPr>
            </w:pPr>
            <w:r>
              <w:rPr>
                <w:b/>
                <w:bCs/>
                <w:kern w:val="0"/>
                <w:szCs w:val="21"/>
                <w:lang w:bidi="ar"/>
              </w:rPr>
              <w:t>占标率</w:t>
            </w:r>
          </w:p>
        </w:tc>
      </w:tr>
      <w:tr w14:paraId="7CCE9188">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3B022207">
            <w:pPr>
              <w:jc w:val="center"/>
              <w:rPr>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873E8EC">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4F81A4E">
            <w:pPr>
              <w:widowControl/>
              <w:jc w:val="center"/>
              <w:textAlignment w:val="center"/>
              <w:rPr>
                <w:b/>
                <w:bCs/>
                <w:szCs w:val="21"/>
              </w:rPr>
            </w:pPr>
            <w:r>
              <w:rPr>
                <w:b/>
                <w:bCs/>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26F13BF">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3E62891">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5F8DDBE5">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CAA4081">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AF52411">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845F4C3">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3D92345">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6DF19190">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1D62272">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6463380">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5353C6B">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C98BCC5">
            <w:pPr>
              <w:widowControl/>
              <w:jc w:val="center"/>
              <w:textAlignment w:val="center"/>
              <w:rPr>
                <w:b/>
                <w:bCs/>
                <w:szCs w:val="21"/>
              </w:rPr>
            </w:pPr>
            <w:r>
              <w:rPr>
                <w:b/>
                <w:bCs/>
                <w:kern w:val="0"/>
                <w:szCs w:val="21"/>
                <w:lang w:bidi="ar"/>
              </w:rPr>
              <w:t>Pi(%)</w:t>
            </w:r>
          </w:p>
        </w:tc>
      </w:tr>
      <w:tr w14:paraId="57A5A8D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4206B61">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AF3CB1C">
            <w:pPr>
              <w:widowControl/>
              <w:jc w:val="center"/>
              <w:textAlignment w:val="center"/>
              <w:rPr>
                <w:szCs w:val="21"/>
              </w:rPr>
            </w:pPr>
            <w:r>
              <w:rPr>
                <w:kern w:val="0"/>
                <w:szCs w:val="21"/>
                <w:lang w:bidi="ar"/>
              </w:rPr>
              <w:t>6.366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016E9D0">
            <w:pPr>
              <w:widowControl/>
              <w:jc w:val="center"/>
              <w:textAlignment w:val="center"/>
              <w:rPr>
                <w:szCs w:val="21"/>
              </w:rPr>
            </w:pPr>
            <w:r>
              <w:rPr>
                <w:kern w:val="0"/>
                <w:szCs w:val="21"/>
                <w:lang w:bidi="ar"/>
              </w:rPr>
              <w:t>3.18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C3BB561">
            <w:pPr>
              <w:widowControl/>
              <w:jc w:val="center"/>
              <w:textAlignment w:val="center"/>
              <w:rPr>
                <w:szCs w:val="21"/>
              </w:rPr>
            </w:pPr>
            <w:r>
              <w:rPr>
                <w:kern w:val="0"/>
                <w:szCs w:val="21"/>
                <w:lang w:bidi="ar"/>
              </w:rPr>
              <w:t>0.585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2A39EC2">
            <w:pPr>
              <w:widowControl/>
              <w:jc w:val="center"/>
              <w:textAlignment w:val="center"/>
              <w:rPr>
                <w:szCs w:val="21"/>
              </w:rPr>
            </w:pPr>
            <w:r>
              <w:rPr>
                <w:kern w:val="0"/>
                <w:szCs w:val="21"/>
                <w:lang w:bidi="ar"/>
              </w:rPr>
              <w:t>5.85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D24B32B">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89519F3">
            <w:pPr>
              <w:widowControl/>
              <w:jc w:val="center"/>
              <w:textAlignment w:val="center"/>
              <w:rPr>
                <w:szCs w:val="21"/>
              </w:rPr>
            </w:pPr>
            <w:r>
              <w:rPr>
                <w:kern w:val="0"/>
                <w:szCs w:val="21"/>
                <w:lang w:bidi="ar"/>
              </w:rPr>
              <w:t>4.0638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BB9BAC0">
            <w:pPr>
              <w:widowControl/>
              <w:jc w:val="center"/>
              <w:textAlignment w:val="center"/>
              <w:rPr>
                <w:szCs w:val="21"/>
              </w:rPr>
            </w:pPr>
            <w:r>
              <w:rPr>
                <w:kern w:val="0"/>
                <w:szCs w:val="21"/>
                <w:lang w:bidi="ar"/>
              </w:rPr>
              <w:t>2.03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B72DD20">
            <w:pPr>
              <w:widowControl/>
              <w:jc w:val="center"/>
              <w:textAlignment w:val="center"/>
              <w:rPr>
                <w:szCs w:val="21"/>
              </w:rPr>
            </w:pPr>
            <w:r>
              <w:rPr>
                <w:kern w:val="0"/>
                <w:szCs w:val="21"/>
                <w:lang w:bidi="ar"/>
              </w:rPr>
              <w:t>0.329497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1DE8FF0">
            <w:pPr>
              <w:widowControl/>
              <w:jc w:val="center"/>
              <w:textAlignment w:val="center"/>
              <w:rPr>
                <w:szCs w:val="21"/>
              </w:rPr>
            </w:pPr>
            <w:r>
              <w:rPr>
                <w:kern w:val="0"/>
                <w:szCs w:val="21"/>
                <w:lang w:bidi="ar"/>
              </w:rPr>
              <w:t>3.29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8CA0EF4">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BE3FF6">
            <w:pPr>
              <w:widowControl/>
              <w:jc w:val="center"/>
              <w:textAlignment w:val="center"/>
              <w:rPr>
                <w:szCs w:val="21"/>
              </w:rPr>
            </w:pPr>
            <w:r>
              <w:rPr>
                <w:kern w:val="0"/>
                <w:szCs w:val="21"/>
                <w:lang w:bidi="ar"/>
              </w:rPr>
              <w:t>6.0518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38C7EC9">
            <w:pPr>
              <w:widowControl/>
              <w:jc w:val="center"/>
              <w:textAlignment w:val="center"/>
              <w:rPr>
                <w:szCs w:val="21"/>
              </w:rPr>
            </w:pPr>
            <w:r>
              <w:rPr>
                <w:kern w:val="0"/>
                <w:szCs w:val="21"/>
                <w:lang w:bidi="ar"/>
              </w:rPr>
              <w:t>3.03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22001FD">
            <w:pPr>
              <w:widowControl/>
              <w:jc w:val="center"/>
              <w:textAlignment w:val="center"/>
              <w:rPr>
                <w:szCs w:val="21"/>
              </w:rPr>
            </w:pPr>
            <w:r>
              <w:rPr>
                <w:kern w:val="0"/>
                <w:szCs w:val="21"/>
                <w:lang w:bidi="ar"/>
              </w:rPr>
              <w:t>0.557403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7842436">
            <w:pPr>
              <w:widowControl/>
              <w:jc w:val="center"/>
              <w:textAlignment w:val="center"/>
              <w:rPr>
                <w:szCs w:val="21"/>
              </w:rPr>
            </w:pPr>
            <w:r>
              <w:rPr>
                <w:kern w:val="0"/>
                <w:szCs w:val="21"/>
                <w:lang w:bidi="ar"/>
              </w:rPr>
              <w:t>5.57</w:t>
            </w:r>
          </w:p>
        </w:tc>
      </w:tr>
      <w:tr w14:paraId="12DAE90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2EEF520">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F54E514">
            <w:pPr>
              <w:widowControl/>
              <w:jc w:val="center"/>
              <w:textAlignment w:val="center"/>
              <w:rPr>
                <w:szCs w:val="21"/>
              </w:rPr>
            </w:pPr>
            <w:r>
              <w:rPr>
                <w:kern w:val="0"/>
                <w:szCs w:val="21"/>
                <w:lang w:bidi="ar"/>
              </w:rPr>
              <w:t>7.563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0B79476">
            <w:pPr>
              <w:widowControl/>
              <w:jc w:val="center"/>
              <w:textAlignment w:val="center"/>
              <w:rPr>
                <w:szCs w:val="21"/>
              </w:rPr>
            </w:pPr>
            <w:r>
              <w:rPr>
                <w:kern w:val="0"/>
                <w:szCs w:val="21"/>
                <w:lang w:bidi="ar"/>
              </w:rPr>
              <w:t>3.78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0B0DB9E">
            <w:pPr>
              <w:widowControl/>
              <w:jc w:val="center"/>
              <w:textAlignment w:val="center"/>
              <w:rPr>
                <w:szCs w:val="21"/>
              </w:rPr>
            </w:pPr>
            <w:r>
              <w:rPr>
                <w:kern w:val="0"/>
                <w:szCs w:val="21"/>
                <w:lang w:bidi="ar"/>
              </w:rPr>
              <w:t>0.695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DC31C0C">
            <w:pPr>
              <w:widowControl/>
              <w:jc w:val="center"/>
              <w:textAlignment w:val="center"/>
              <w:rPr>
                <w:szCs w:val="21"/>
              </w:rPr>
            </w:pPr>
            <w:r>
              <w:rPr>
                <w:kern w:val="0"/>
                <w:szCs w:val="21"/>
                <w:lang w:bidi="ar"/>
              </w:rPr>
              <w:t>6.95</w:t>
            </w:r>
          </w:p>
        </w:tc>
        <w:tc>
          <w:tcPr>
            <w:tcW w:w="298" w:type="pct"/>
            <w:vMerge w:val="restart"/>
            <w:tcBorders>
              <w:top w:val="single" w:color="000000" w:sz="4" w:space="0"/>
              <w:left w:val="single" w:color="000000" w:sz="4" w:space="0"/>
              <w:right w:val="single" w:color="000000" w:sz="4" w:space="0"/>
            </w:tcBorders>
            <w:noWrap/>
            <w:vAlign w:val="center"/>
          </w:tcPr>
          <w:p w14:paraId="5BE2EEA0">
            <w:pPr>
              <w:widowControl/>
              <w:jc w:val="center"/>
              <w:textAlignment w:val="center"/>
              <w:rPr>
                <w:szCs w:val="21"/>
              </w:rPr>
            </w:pPr>
            <w:r>
              <w:rPr>
                <w:kern w:val="0"/>
                <w:szCs w:val="21"/>
                <w:lang w:bidi="ar"/>
              </w:rPr>
              <w:t>25</w:t>
            </w:r>
          </w:p>
        </w:tc>
        <w:tc>
          <w:tcPr>
            <w:tcW w:w="412" w:type="pct"/>
            <w:vMerge w:val="restart"/>
            <w:tcBorders>
              <w:top w:val="single" w:color="000000" w:sz="4" w:space="0"/>
              <w:left w:val="single" w:color="000000" w:sz="4" w:space="0"/>
              <w:right w:val="single" w:color="000000" w:sz="4" w:space="0"/>
            </w:tcBorders>
            <w:noWrap/>
            <w:vAlign w:val="center"/>
          </w:tcPr>
          <w:p w14:paraId="07EBD02A">
            <w:pPr>
              <w:widowControl/>
              <w:jc w:val="center"/>
              <w:textAlignment w:val="center"/>
              <w:rPr>
                <w:szCs w:val="21"/>
              </w:rPr>
            </w:pPr>
            <w:r>
              <w:rPr>
                <w:kern w:val="0"/>
                <w:szCs w:val="21"/>
                <w:lang w:bidi="ar"/>
              </w:rPr>
              <w:t>5.1074</w:t>
            </w:r>
          </w:p>
        </w:tc>
        <w:tc>
          <w:tcPr>
            <w:tcW w:w="265" w:type="pct"/>
            <w:vMerge w:val="restart"/>
            <w:tcBorders>
              <w:top w:val="single" w:color="000000" w:sz="4" w:space="0"/>
              <w:left w:val="single" w:color="000000" w:sz="4" w:space="0"/>
              <w:right w:val="single" w:color="000000" w:sz="4" w:space="0"/>
            </w:tcBorders>
            <w:noWrap/>
            <w:vAlign w:val="center"/>
          </w:tcPr>
          <w:p w14:paraId="42EFD71F">
            <w:pPr>
              <w:widowControl/>
              <w:jc w:val="center"/>
              <w:textAlignment w:val="center"/>
              <w:rPr>
                <w:szCs w:val="21"/>
              </w:rPr>
            </w:pPr>
            <w:r>
              <w:rPr>
                <w:kern w:val="0"/>
                <w:szCs w:val="21"/>
                <w:lang w:bidi="ar"/>
              </w:rPr>
              <w:t>2.55</w:t>
            </w:r>
          </w:p>
        </w:tc>
        <w:tc>
          <w:tcPr>
            <w:tcW w:w="393" w:type="pct"/>
            <w:vMerge w:val="restart"/>
            <w:tcBorders>
              <w:top w:val="single" w:color="000000" w:sz="4" w:space="0"/>
              <w:left w:val="single" w:color="000000" w:sz="4" w:space="0"/>
              <w:right w:val="single" w:color="000000" w:sz="4" w:space="0"/>
            </w:tcBorders>
            <w:noWrap/>
            <w:vAlign w:val="center"/>
          </w:tcPr>
          <w:p w14:paraId="55849E76">
            <w:pPr>
              <w:widowControl/>
              <w:jc w:val="center"/>
              <w:textAlignment w:val="center"/>
              <w:rPr>
                <w:szCs w:val="21"/>
              </w:rPr>
            </w:pPr>
            <w:r>
              <w:rPr>
                <w:kern w:val="0"/>
                <w:szCs w:val="21"/>
                <w:lang w:bidi="ar"/>
              </w:rPr>
              <w:t>0.414114</w:t>
            </w:r>
          </w:p>
        </w:tc>
        <w:tc>
          <w:tcPr>
            <w:tcW w:w="299" w:type="pct"/>
            <w:vMerge w:val="restart"/>
            <w:tcBorders>
              <w:top w:val="single" w:color="000000" w:sz="4" w:space="0"/>
              <w:left w:val="single" w:color="000000" w:sz="4" w:space="0"/>
              <w:right w:val="single" w:color="000000" w:sz="4" w:space="0"/>
            </w:tcBorders>
            <w:noWrap/>
            <w:vAlign w:val="center"/>
          </w:tcPr>
          <w:p w14:paraId="40BE7D88">
            <w:pPr>
              <w:widowControl/>
              <w:jc w:val="center"/>
              <w:textAlignment w:val="center"/>
              <w:rPr>
                <w:szCs w:val="21"/>
              </w:rPr>
            </w:pPr>
            <w:r>
              <w:rPr>
                <w:kern w:val="0"/>
                <w:szCs w:val="21"/>
                <w:lang w:bidi="ar"/>
              </w:rPr>
              <w:t>4.14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992915A">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5F6F5F7">
            <w:pPr>
              <w:widowControl/>
              <w:jc w:val="center"/>
              <w:textAlignment w:val="center"/>
              <w:rPr>
                <w:szCs w:val="21"/>
              </w:rPr>
            </w:pPr>
            <w:r>
              <w:rPr>
                <w:kern w:val="0"/>
                <w:szCs w:val="21"/>
                <w:lang w:bidi="ar"/>
              </w:rPr>
              <w:t>7.5508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02C50CC">
            <w:pPr>
              <w:widowControl/>
              <w:jc w:val="center"/>
              <w:textAlignment w:val="center"/>
              <w:rPr>
                <w:szCs w:val="21"/>
              </w:rPr>
            </w:pPr>
            <w:r>
              <w:rPr>
                <w:kern w:val="0"/>
                <w:szCs w:val="21"/>
                <w:lang w:bidi="ar"/>
              </w:rPr>
              <w:t>3.78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63B5B7C">
            <w:pPr>
              <w:widowControl/>
              <w:jc w:val="center"/>
              <w:textAlignment w:val="center"/>
              <w:rPr>
                <w:szCs w:val="21"/>
              </w:rPr>
            </w:pPr>
            <w:r>
              <w:rPr>
                <w:kern w:val="0"/>
                <w:szCs w:val="21"/>
                <w:lang w:bidi="ar"/>
              </w:rPr>
              <w:t>0.695468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260DC4D">
            <w:pPr>
              <w:widowControl/>
              <w:jc w:val="center"/>
              <w:textAlignment w:val="center"/>
              <w:rPr>
                <w:szCs w:val="21"/>
              </w:rPr>
            </w:pPr>
            <w:r>
              <w:rPr>
                <w:kern w:val="0"/>
                <w:szCs w:val="21"/>
                <w:lang w:bidi="ar"/>
              </w:rPr>
              <w:t>6.95</w:t>
            </w:r>
          </w:p>
        </w:tc>
      </w:tr>
      <w:tr w14:paraId="345978E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DFF8CFB">
            <w:pPr>
              <w:widowControl/>
              <w:jc w:val="center"/>
              <w:textAlignment w:val="center"/>
              <w:rPr>
                <w:szCs w:val="21"/>
              </w:rPr>
            </w:pPr>
            <w:r>
              <w:rPr>
                <w:kern w:val="0"/>
                <w:szCs w:val="21"/>
                <w:lang w:bidi="ar"/>
              </w:rPr>
              <w:t>47</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4D15E5C">
            <w:pPr>
              <w:widowControl/>
              <w:jc w:val="center"/>
              <w:textAlignment w:val="center"/>
              <w:rPr>
                <w:szCs w:val="21"/>
              </w:rPr>
            </w:pPr>
            <w:r>
              <w:rPr>
                <w:kern w:val="0"/>
                <w:szCs w:val="21"/>
                <w:lang w:bidi="ar"/>
              </w:rPr>
              <w:t>8.858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C724B76">
            <w:pPr>
              <w:widowControl/>
              <w:jc w:val="center"/>
              <w:textAlignment w:val="center"/>
              <w:rPr>
                <w:szCs w:val="21"/>
              </w:rPr>
            </w:pPr>
            <w:r>
              <w:rPr>
                <w:kern w:val="0"/>
                <w:szCs w:val="21"/>
                <w:lang w:bidi="ar"/>
              </w:rPr>
              <w:t>4.43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4207F69">
            <w:pPr>
              <w:widowControl/>
              <w:jc w:val="center"/>
              <w:textAlignment w:val="center"/>
              <w:rPr>
                <w:szCs w:val="21"/>
              </w:rPr>
            </w:pPr>
            <w:r>
              <w:rPr>
                <w:kern w:val="0"/>
                <w:szCs w:val="21"/>
                <w:lang w:bidi="ar"/>
              </w:rPr>
              <w:t>0.813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BF4AC58">
            <w:pPr>
              <w:widowControl/>
              <w:jc w:val="center"/>
              <w:textAlignment w:val="center"/>
              <w:rPr>
                <w:szCs w:val="21"/>
              </w:rPr>
            </w:pPr>
            <w:r>
              <w:rPr>
                <w:kern w:val="0"/>
                <w:szCs w:val="21"/>
                <w:lang w:bidi="ar"/>
              </w:rPr>
              <w:t>8.13</w:t>
            </w:r>
          </w:p>
        </w:tc>
        <w:tc>
          <w:tcPr>
            <w:tcW w:w="298" w:type="pct"/>
            <w:vMerge w:val="continue"/>
            <w:tcBorders>
              <w:left w:val="single" w:color="000000" w:sz="4" w:space="0"/>
              <w:bottom w:val="single" w:color="000000" w:sz="4" w:space="0"/>
              <w:right w:val="single" w:color="000000" w:sz="4" w:space="0"/>
            </w:tcBorders>
            <w:noWrap/>
            <w:vAlign w:val="center"/>
          </w:tcPr>
          <w:p w14:paraId="023E2B36">
            <w:pPr>
              <w:jc w:val="center"/>
              <w:rPr>
                <w:szCs w:val="21"/>
              </w:rPr>
            </w:pPr>
          </w:p>
        </w:tc>
        <w:tc>
          <w:tcPr>
            <w:tcW w:w="412" w:type="pct"/>
            <w:vMerge w:val="continue"/>
            <w:tcBorders>
              <w:left w:val="single" w:color="000000" w:sz="4" w:space="0"/>
              <w:bottom w:val="single" w:color="000000" w:sz="4" w:space="0"/>
              <w:right w:val="single" w:color="000000" w:sz="4" w:space="0"/>
            </w:tcBorders>
            <w:noWrap/>
            <w:vAlign w:val="center"/>
          </w:tcPr>
          <w:p w14:paraId="579496F2">
            <w:pPr>
              <w:jc w:val="center"/>
              <w:rPr>
                <w:szCs w:val="21"/>
              </w:rPr>
            </w:pPr>
          </w:p>
        </w:tc>
        <w:tc>
          <w:tcPr>
            <w:tcW w:w="265" w:type="pct"/>
            <w:vMerge w:val="continue"/>
            <w:tcBorders>
              <w:left w:val="single" w:color="000000" w:sz="4" w:space="0"/>
              <w:bottom w:val="single" w:color="000000" w:sz="4" w:space="0"/>
              <w:right w:val="single" w:color="000000" w:sz="4" w:space="0"/>
            </w:tcBorders>
            <w:noWrap/>
            <w:vAlign w:val="center"/>
          </w:tcPr>
          <w:p w14:paraId="4869B091">
            <w:pPr>
              <w:jc w:val="center"/>
              <w:rPr>
                <w:szCs w:val="21"/>
              </w:rPr>
            </w:pPr>
          </w:p>
        </w:tc>
        <w:tc>
          <w:tcPr>
            <w:tcW w:w="393" w:type="pct"/>
            <w:vMerge w:val="continue"/>
            <w:tcBorders>
              <w:left w:val="single" w:color="000000" w:sz="4" w:space="0"/>
              <w:bottom w:val="single" w:color="000000" w:sz="4" w:space="0"/>
              <w:right w:val="single" w:color="000000" w:sz="4" w:space="0"/>
            </w:tcBorders>
            <w:noWrap/>
            <w:vAlign w:val="center"/>
          </w:tcPr>
          <w:p w14:paraId="4F259C81">
            <w:pPr>
              <w:jc w:val="center"/>
              <w:rPr>
                <w:szCs w:val="21"/>
              </w:rPr>
            </w:pPr>
          </w:p>
        </w:tc>
        <w:tc>
          <w:tcPr>
            <w:tcW w:w="299" w:type="pct"/>
            <w:vMerge w:val="continue"/>
            <w:tcBorders>
              <w:left w:val="single" w:color="000000" w:sz="4" w:space="0"/>
              <w:bottom w:val="single" w:color="000000" w:sz="4" w:space="0"/>
              <w:right w:val="single" w:color="000000" w:sz="4" w:space="0"/>
            </w:tcBorders>
            <w:noWrap/>
            <w:vAlign w:val="center"/>
          </w:tcPr>
          <w:p w14:paraId="1E75A82C">
            <w:pPr>
              <w:jc w:val="center"/>
              <w:rPr>
                <w:szCs w:val="21"/>
              </w:rPr>
            </w:pP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EDEE304">
            <w:pPr>
              <w:widowControl/>
              <w:jc w:val="center"/>
              <w:textAlignment w:val="center"/>
              <w:rPr>
                <w:szCs w:val="21"/>
              </w:rPr>
            </w:pPr>
            <w:r>
              <w:rPr>
                <w:kern w:val="0"/>
                <w:szCs w:val="21"/>
                <w:lang w:bidi="ar"/>
              </w:rPr>
              <w:t>35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54E6531">
            <w:pPr>
              <w:widowControl/>
              <w:jc w:val="center"/>
              <w:textAlignment w:val="center"/>
              <w:rPr>
                <w:szCs w:val="21"/>
              </w:rPr>
            </w:pPr>
            <w:r>
              <w:rPr>
                <w:kern w:val="0"/>
                <w:szCs w:val="21"/>
                <w:lang w:bidi="ar"/>
              </w:rPr>
              <w:t>8.2509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9E69FFF">
            <w:pPr>
              <w:widowControl/>
              <w:jc w:val="center"/>
              <w:textAlignment w:val="center"/>
              <w:rPr>
                <w:szCs w:val="21"/>
              </w:rPr>
            </w:pPr>
            <w:r>
              <w:rPr>
                <w:kern w:val="0"/>
                <w:szCs w:val="21"/>
                <w:lang w:bidi="ar"/>
              </w:rPr>
              <w:t>4.13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C9F5596">
            <w:pPr>
              <w:widowControl/>
              <w:jc w:val="center"/>
              <w:textAlignment w:val="center"/>
              <w:rPr>
                <w:szCs w:val="21"/>
              </w:rPr>
            </w:pPr>
            <w:r>
              <w:rPr>
                <w:kern w:val="0"/>
                <w:szCs w:val="21"/>
                <w:lang w:bidi="ar"/>
              </w:rPr>
              <w:t>0.759951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0A80605">
            <w:pPr>
              <w:widowControl/>
              <w:jc w:val="center"/>
              <w:textAlignment w:val="center"/>
              <w:rPr>
                <w:szCs w:val="21"/>
              </w:rPr>
            </w:pPr>
            <w:r>
              <w:rPr>
                <w:kern w:val="0"/>
                <w:szCs w:val="21"/>
                <w:lang w:bidi="ar"/>
              </w:rPr>
              <w:t>7.6</w:t>
            </w:r>
          </w:p>
        </w:tc>
      </w:tr>
      <w:tr w14:paraId="52E324C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422EBD9">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E3174CF">
            <w:pPr>
              <w:widowControl/>
              <w:jc w:val="center"/>
              <w:textAlignment w:val="center"/>
              <w:rPr>
                <w:szCs w:val="21"/>
              </w:rPr>
            </w:pPr>
            <w:r>
              <w:rPr>
                <w:kern w:val="0"/>
                <w:szCs w:val="21"/>
                <w:lang w:bidi="ar"/>
              </w:rPr>
              <w:t>8.803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4AE790F">
            <w:pPr>
              <w:widowControl/>
              <w:jc w:val="center"/>
              <w:textAlignment w:val="center"/>
              <w:rPr>
                <w:szCs w:val="21"/>
              </w:rPr>
            </w:pPr>
            <w:r>
              <w:rPr>
                <w:kern w:val="0"/>
                <w:szCs w:val="21"/>
                <w:lang w:bidi="ar"/>
              </w:rPr>
              <w:t>4.4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BF3309F">
            <w:pPr>
              <w:widowControl/>
              <w:jc w:val="center"/>
              <w:textAlignment w:val="center"/>
              <w:rPr>
                <w:szCs w:val="21"/>
              </w:rPr>
            </w:pPr>
            <w:r>
              <w:rPr>
                <w:kern w:val="0"/>
                <w:szCs w:val="21"/>
                <w:lang w:bidi="ar"/>
              </w:rPr>
              <w:t>0.808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34DC8ED">
            <w:pPr>
              <w:widowControl/>
              <w:jc w:val="center"/>
              <w:textAlignment w:val="center"/>
              <w:rPr>
                <w:szCs w:val="21"/>
              </w:rPr>
            </w:pPr>
            <w:r>
              <w:rPr>
                <w:kern w:val="0"/>
                <w:szCs w:val="21"/>
                <w:lang w:bidi="ar"/>
              </w:rPr>
              <w:t>8.08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539CC37">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6E4EE6E">
            <w:pPr>
              <w:widowControl/>
              <w:jc w:val="center"/>
              <w:textAlignment w:val="center"/>
              <w:rPr>
                <w:szCs w:val="21"/>
              </w:rPr>
            </w:pPr>
            <w:r>
              <w:rPr>
                <w:kern w:val="0"/>
                <w:szCs w:val="21"/>
                <w:lang w:bidi="ar"/>
              </w:rPr>
              <w:t>3.7659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626F573">
            <w:pPr>
              <w:widowControl/>
              <w:jc w:val="center"/>
              <w:textAlignment w:val="center"/>
              <w:rPr>
                <w:szCs w:val="21"/>
              </w:rPr>
            </w:pPr>
            <w:r>
              <w:rPr>
                <w:kern w:val="0"/>
                <w:szCs w:val="21"/>
                <w:lang w:bidi="ar"/>
              </w:rPr>
              <w:t>1.88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D278981">
            <w:pPr>
              <w:widowControl/>
              <w:jc w:val="center"/>
              <w:textAlignment w:val="center"/>
              <w:rPr>
                <w:szCs w:val="21"/>
              </w:rPr>
            </w:pPr>
            <w:r>
              <w:rPr>
                <w:kern w:val="0"/>
                <w:szCs w:val="21"/>
                <w:lang w:bidi="ar"/>
              </w:rPr>
              <w:t>0.305343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A8980EC">
            <w:pPr>
              <w:widowControl/>
              <w:jc w:val="center"/>
              <w:textAlignment w:val="center"/>
              <w:rPr>
                <w:szCs w:val="21"/>
              </w:rPr>
            </w:pPr>
            <w:r>
              <w:rPr>
                <w:kern w:val="0"/>
                <w:szCs w:val="21"/>
                <w:lang w:bidi="ar"/>
              </w:rPr>
              <w:t>3.05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6CD176E">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5AAF974">
            <w:pPr>
              <w:widowControl/>
              <w:jc w:val="center"/>
              <w:textAlignment w:val="center"/>
              <w:rPr>
                <w:szCs w:val="21"/>
              </w:rPr>
            </w:pPr>
            <w:r>
              <w:rPr>
                <w:kern w:val="0"/>
                <w:szCs w:val="21"/>
                <w:lang w:bidi="ar"/>
              </w:rPr>
              <w:t>7.655701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1CE99D7">
            <w:pPr>
              <w:widowControl/>
              <w:jc w:val="center"/>
              <w:textAlignment w:val="center"/>
              <w:rPr>
                <w:szCs w:val="21"/>
              </w:rPr>
            </w:pPr>
            <w:r>
              <w:rPr>
                <w:kern w:val="0"/>
                <w:szCs w:val="21"/>
                <w:lang w:bidi="ar"/>
              </w:rPr>
              <w:t>3.83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73BD7B6">
            <w:pPr>
              <w:widowControl/>
              <w:jc w:val="center"/>
              <w:textAlignment w:val="center"/>
              <w:rPr>
                <w:szCs w:val="21"/>
              </w:rPr>
            </w:pPr>
            <w:r>
              <w:rPr>
                <w:kern w:val="0"/>
                <w:szCs w:val="21"/>
                <w:lang w:bidi="ar"/>
              </w:rPr>
              <w:t>0.70513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C4DBA71">
            <w:pPr>
              <w:widowControl/>
              <w:jc w:val="center"/>
              <w:textAlignment w:val="center"/>
              <w:rPr>
                <w:szCs w:val="21"/>
              </w:rPr>
            </w:pPr>
            <w:r>
              <w:rPr>
                <w:kern w:val="0"/>
                <w:szCs w:val="21"/>
                <w:lang w:bidi="ar"/>
              </w:rPr>
              <w:t>7.05</w:t>
            </w:r>
          </w:p>
        </w:tc>
      </w:tr>
      <w:tr w14:paraId="746D91C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1283727">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FC25A6C">
            <w:pPr>
              <w:widowControl/>
              <w:jc w:val="center"/>
              <w:textAlignment w:val="center"/>
              <w:rPr>
                <w:szCs w:val="21"/>
              </w:rPr>
            </w:pPr>
            <w:r>
              <w:rPr>
                <w:kern w:val="0"/>
                <w:szCs w:val="21"/>
                <w:lang w:bidi="ar"/>
              </w:rPr>
              <w:t>6.943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B96A098">
            <w:pPr>
              <w:widowControl/>
              <w:jc w:val="center"/>
              <w:textAlignment w:val="center"/>
              <w:rPr>
                <w:szCs w:val="21"/>
              </w:rPr>
            </w:pPr>
            <w:r>
              <w:rPr>
                <w:kern w:val="0"/>
                <w:szCs w:val="21"/>
                <w:lang w:bidi="ar"/>
              </w:rPr>
              <w:t>3.47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DD9B421">
            <w:pPr>
              <w:widowControl/>
              <w:jc w:val="center"/>
              <w:textAlignment w:val="center"/>
              <w:rPr>
                <w:szCs w:val="21"/>
              </w:rPr>
            </w:pPr>
            <w:r>
              <w:rPr>
                <w:kern w:val="0"/>
                <w:szCs w:val="21"/>
                <w:lang w:bidi="ar"/>
              </w:rPr>
              <w:t>0.638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B4BBB57">
            <w:pPr>
              <w:widowControl/>
              <w:jc w:val="center"/>
              <w:textAlignment w:val="center"/>
              <w:rPr>
                <w:szCs w:val="21"/>
              </w:rPr>
            </w:pPr>
            <w:r>
              <w:rPr>
                <w:kern w:val="0"/>
                <w:szCs w:val="21"/>
                <w:lang w:bidi="ar"/>
              </w:rPr>
              <w:t>6.38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3E55722">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2C4A9B8">
            <w:pPr>
              <w:widowControl/>
              <w:jc w:val="center"/>
              <w:textAlignment w:val="center"/>
              <w:rPr>
                <w:szCs w:val="21"/>
              </w:rPr>
            </w:pPr>
            <w:r>
              <w:rPr>
                <w:kern w:val="0"/>
                <w:szCs w:val="21"/>
                <w:lang w:bidi="ar"/>
              </w:rPr>
              <w:t>2.3519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A3798C6">
            <w:pPr>
              <w:widowControl/>
              <w:jc w:val="center"/>
              <w:textAlignment w:val="center"/>
              <w:rPr>
                <w:szCs w:val="21"/>
              </w:rPr>
            </w:pPr>
            <w:r>
              <w:rPr>
                <w:kern w:val="0"/>
                <w:szCs w:val="21"/>
                <w:lang w:bidi="ar"/>
              </w:rPr>
              <w:t>1.18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1080689">
            <w:pPr>
              <w:widowControl/>
              <w:jc w:val="center"/>
              <w:textAlignment w:val="center"/>
              <w:rPr>
                <w:szCs w:val="21"/>
              </w:rPr>
            </w:pPr>
            <w:r>
              <w:rPr>
                <w:kern w:val="0"/>
                <w:szCs w:val="21"/>
                <w:lang w:bidi="ar"/>
              </w:rPr>
              <w:t>0.190695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A68EDDB">
            <w:pPr>
              <w:widowControl/>
              <w:jc w:val="center"/>
              <w:textAlignment w:val="center"/>
              <w:rPr>
                <w:szCs w:val="21"/>
              </w:rPr>
            </w:pPr>
            <w:r>
              <w:rPr>
                <w:kern w:val="0"/>
                <w:szCs w:val="21"/>
                <w:lang w:bidi="ar"/>
              </w:rPr>
              <w:t>1.91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11EB451">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F6BBC82">
            <w:pPr>
              <w:widowControl/>
              <w:jc w:val="center"/>
              <w:textAlignment w:val="center"/>
              <w:rPr>
                <w:szCs w:val="21"/>
              </w:rPr>
            </w:pPr>
            <w:r>
              <w:rPr>
                <w:kern w:val="0"/>
                <w:szCs w:val="21"/>
                <w:lang w:bidi="ar"/>
              </w:rPr>
              <w:t>4.991601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0CE5EC4">
            <w:pPr>
              <w:widowControl/>
              <w:jc w:val="center"/>
              <w:textAlignment w:val="center"/>
              <w:rPr>
                <w:szCs w:val="21"/>
              </w:rPr>
            </w:pPr>
            <w:r>
              <w:rPr>
                <w:kern w:val="0"/>
                <w:szCs w:val="21"/>
                <w:lang w:bidi="ar"/>
              </w:rPr>
              <w:t>2.5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030D85C">
            <w:pPr>
              <w:widowControl/>
              <w:jc w:val="center"/>
              <w:textAlignment w:val="center"/>
              <w:rPr>
                <w:szCs w:val="21"/>
              </w:rPr>
            </w:pPr>
            <w:r>
              <w:rPr>
                <w:kern w:val="0"/>
                <w:szCs w:val="21"/>
                <w:lang w:bidi="ar"/>
              </w:rPr>
              <w:t>0.459753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B6868D0">
            <w:pPr>
              <w:widowControl/>
              <w:jc w:val="center"/>
              <w:textAlignment w:val="center"/>
              <w:rPr>
                <w:szCs w:val="21"/>
              </w:rPr>
            </w:pPr>
            <w:r>
              <w:rPr>
                <w:kern w:val="0"/>
                <w:szCs w:val="21"/>
                <w:lang w:bidi="ar"/>
              </w:rPr>
              <w:t>4.6</w:t>
            </w:r>
          </w:p>
        </w:tc>
      </w:tr>
      <w:tr w14:paraId="4AE4468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694B652">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B7ED9BB">
            <w:pPr>
              <w:widowControl/>
              <w:jc w:val="center"/>
              <w:textAlignment w:val="center"/>
              <w:rPr>
                <w:szCs w:val="21"/>
              </w:rPr>
            </w:pPr>
            <w:r>
              <w:rPr>
                <w:kern w:val="0"/>
                <w:szCs w:val="21"/>
                <w:lang w:bidi="ar"/>
              </w:rPr>
              <w:t>4.788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CB92BCE">
            <w:pPr>
              <w:widowControl/>
              <w:jc w:val="center"/>
              <w:textAlignment w:val="center"/>
              <w:rPr>
                <w:szCs w:val="21"/>
              </w:rPr>
            </w:pPr>
            <w:r>
              <w:rPr>
                <w:kern w:val="0"/>
                <w:szCs w:val="21"/>
                <w:lang w:bidi="ar"/>
              </w:rPr>
              <w:t>2.39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1D5582B">
            <w:pPr>
              <w:widowControl/>
              <w:jc w:val="center"/>
              <w:textAlignment w:val="center"/>
              <w:rPr>
                <w:szCs w:val="21"/>
              </w:rPr>
            </w:pPr>
            <w:r>
              <w:rPr>
                <w:kern w:val="0"/>
                <w:szCs w:val="21"/>
                <w:lang w:bidi="ar"/>
              </w:rPr>
              <w:t>0.44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DE03F95">
            <w:pPr>
              <w:widowControl/>
              <w:jc w:val="center"/>
              <w:textAlignment w:val="center"/>
              <w:rPr>
                <w:szCs w:val="21"/>
              </w:rPr>
            </w:pPr>
            <w:r>
              <w:rPr>
                <w:kern w:val="0"/>
                <w:szCs w:val="21"/>
                <w:lang w:bidi="ar"/>
              </w:rPr>
              <w:t>4.4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71D1923">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40E8DE">
            <w:pPr>
              <w:widowControl/>
              <w:jc w:val="center"/>
              <w:textAlignment w:val="center"/>
              <w:rPr>
                <w:szCs w:val="21"/>
              </w:rPr>
            </w:pPr>
            <w:r>
              <w:rPr>
                <w:kern w:val="0"/>
                <w:szCs w:val="21"/>
                <w:lang w:bidi="ar"/>
              </w:rPr>
              <w:t>1.8095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9892CB4">
            <w:pPr>
              <w:widowControl/>
              <w:jc w:val="center"/>
              <w:textAlignment w:val="center"/>
              <w:rPr>
                <w:szCs w:val="21"/>
              </w:rPr>
            </w:pPr>
            <w:r>
              <w:rPr>
                <w:kern w:val="0"/>
                <w:szCs w:val="21"/>
                <w:lang w:bidi="ar"/>
              </w:rPr>
              <w:t>0.9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EBE9794">
            <w:pPr>
              <w:widowControl/>
              <w:jc w:val="center"/>
              <w:textAlignment w:val="center"/>
              <w:rPr>
                <w:szCs w:val="21"/>
              </w:rPr>
            </w:pPr>
            <w:r>
              <w:rPr>
                <w:kern w:val="0"/>
                <w:szCs w:val="21"/>
                <w:lang w:bidi="ar"/>
              </w:rPr>
              <w:t>0.146716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87DFA0D">
            <w:pPr>
              <w:widowControl/>
              <w:jc w:val="center"/>
              <w:textAlignment w:val="center"/>
              <w:rPr>
                <w:szCs w:val="21"/>
              </w:rPr>
            </w:pPr>
            <w:r>
              <w:rPr>
                <w:kern w:val="0"/>
                <w:szCs w:val="21"/>
                <w:lang w:bidi="ar"/>
              </w:rPr>
              <w:t>1.47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E92DD6C">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821C993">
            <w:pPr>
              <w:widowControl/>
              <w:jc w:val="center"/>
              <w:textAlignment w:val="center"/>
              <w:rPr>
                <w:szCs w:val="21"/>
              </w:rPr>
            </w:pPr>
            <w:r>
              <w:rPr>
                <w:kern w:val="0"/>
                <w:szCs w:val="21"/>
                <w:lang w:bidi="ar"/>
              </w:rPr>
              <w:t>3.69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32AFB1D">
            <w:pPr>
              <w:widowControl/>
              <w:jc w:val="center"/>
              <w:textAlignment w:val="center"/>
              <w:rPr>
                <w:szCs w:val="21"/>
              </w:rPr>
            </w:pPr>
            <w:r>
              <w:rPr>
                <w:kern w:val="0"/>
                <w:szCs w:val="21"/>
                <w:lang w:bidi="ar"/>
              </w:rPr>
              <w:t>1.85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44CC113">
            <w:pPr>
              <w:widowControl/>
              <w:jc w:val="center"/>
              <w:textAlignment w:val="center"/>
              <w:rPr>
                <w:szCs w:val="21"/>
              </w:rPr>
            </w:pPr>
            <w:r>
              <w:rPr>
                <w:kern w:val="0"/>
                <w:szCs w:val="21"/>
                <w:lang w:bidi="ar"/>
              </w:rPr>
              <w:t>0.339868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E71A2F2">
            <w:pPr>
              <w:widowControl/>
              <w:jc w:val="center"/>
              <w:textAlignment w:val="center"/>
              <w:rPr>
                <w:szCs w:val="21"/>
              </w:rPr>
            </w:pPr>
            <w:r>
              <w:rPr>
                <w:kern w:val="0"/>
                <w:szCs w:val="21"/>
                <w:lang w:bidi="ar"/>
              </w:rPr>
              <w:t>3.4</w:t>
            </w:r>
          </w:p>
        </w:tc>
      </w:tr>
      <w:tr w14:paraId="5EB42DC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BDBEFC4">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F3D34F4">
            <w:pPr>
              <w:widowControl/>
              <w:jc w:val="center"/>
              <w:textAlignment w:val="center"/>
              <w:rPr>
                <w:szCs w:val="21"/>
              </w:rPr>
            </w:pPr>
            <w:r>
              <w:rPr>
                <w:kern w:val="0"/>
                <w:szCs w:val="21"/>
                <w:lang w:bidi="ar"/>
              </w:rPr>
              <w:t>3.759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CE6353E">
            <w:pPr>
              <w:widowControl/>
              <w:jc w:val="center"/>
              <w:textAlignment w:val="center"/>
              <w:rPr>
                <w:szCs w:val="21"/>
              </w:rPr>
            </w:pPr>
            <w:r>
              <w:rPr>
                <w:kern w:val="0"/>
                <w:szCs w:val="21"/>
                <w:lang w:bidi="ar"/>
              </w:rPr>
              <w:t>1.88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F8E7927">
            <w:pPr>
              <w:widowControl/>
              <w:jc w:val="center"/>
              <w:textAlignment w:val="center"/>
              <w:rPr>
                <w:szCs w:val="21"/>
              </w:rPr>
            </w:pPr>
            <w:r>
              <w:rPr>
                <w:kern w:val="0"/>
                <w:szCs w:val="21"/>
                <w:lang w:bidi="ar"/>
              </w:rPr>
              <w:t>0.345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4CADA92">
            <w:pPr>
              <w:widowControl/>
              <w:jc w:val="center"/>
              <w:textAlignment w:val="center"/>
              <w:rPr>
                <w:szCs w:val="21"/>
              </w:rPr>
            </w:pPr>
            <w:r>
              <w:rPr>
                <w:kern w:val="0"/>
                <w:szCs w:val="21"/>
                <w:lang w:bidi="ar"/>
              </w:rPr>
              <w:t>3.45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DA10EE0">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CD1499C">
            <w:pPr>
              <w:widowControl/>
              <w:jc w:val="center"/>
              <w:textAlignment w:val="center"/>
              <w:rPr>
                <w:szCs w:val="21"/>
              </w:rPr>
            </w:pPr>
            <w:r>
              <w:rPr>
                <w:kern w:val="0"/>
                <w:szCs w:val="21"/>
                <w:lang w:bidi="ar"/>
              </w:rPr>
              <w:t>1.4244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122C24A">
            <w:pPr>
              <w:widowControl/>
              <w:jc w:val="center"/>
              <w:textAlignment w:val="center"/>
              <w:rPr>
                <w:szCs w:val="21"/>
              </w:rPr>
            </w:pPr>
            <w:r>
              <w:rPr>
                <w:kern w:val="0"/>
                <w:szCs w:val="21"/>
                <w:lang w:bidi="ar"/>
              </w:rPr>
              <w:t>0.71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FDDA7DB">
            <w:pPr>
              <w:widowControl/>
              <w:jc w:val="center"/>
              <w:textAlignment w:val="center"/>
              <w:rPr>
                <w:szCs w:val="21"/>
              </w:rPr>
            </w:pPr>
            <w:r>
              <w:rPr>
                <w:kern w:val="0"/>
                <w:szCs w:val="21"/>
                <w:lang w:bidi="ar"/>
              </w:rPr>
              <w:t>0.115492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D63B174">
            <w:pPr>
              <w:widowControl/>
              <w:jc w:val="center"/>
              <w:textAlignment w:val="center"/>
              <w:rPr>
                <w:szCs w:val="21"/>
              </w:rPr>
            </w:pPr>
            <w:r>
              <w:rPr>
                <w:kern w:val="0"/>
                <w:szCs w:val="21"/>
                <w:lang w:bidi="ar"/>
              </w:rPr>
              <w:t>1.15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DAD6DC3">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664142F">
            <w:pPr>
              <w:widowControl/>
              <w:jc w:val="center"/>
              <w:textAlignment w:val="center"/>
              <w:rPr>
                <w:szCs w:val="21"/>
              </w:rPr>
            </w:pPr>
            <w:r>
              <w:rPr>
                <w:kern w:val="0"/>
                <w:szCs w:val="21"/>
                <w:lang w:bidi="ar"/>
              </w:rPr>
              <w:t>2.9134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FDAFA8F">
            <w:pPr>
              <w:widowControl/>
              <w:jc w:val="center"/>
              <w:textAlignment w:val="center"/>
              <w:rPr>
                <w:szCs w:val="21"/>
              </w:rPr>
            </w:pPr>
            <w:r>
              <w:rPr>
                <w:kern w:val="0"/>
                <w:szCs w:val="21"/>
                <w:lang w:bidi="ar"/>
              </w:rPr>
              <w:t>1.46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CC03965">
            <w:pPr>
              <w:widowControl/>
              <w:jc w:val="center"/>
              <w:textAlignment w:val="center"/>
              <w:rPr>
                <w:szCs w:val="21"/>
              </w:rPr>
            </w:pPr>
            <w:r>
              <w:rPr>
                <w:kern w:val="0"/>
                <w:szCs w:val="21"/>
                <w:lang w:bidi="ar"/>
              </w:rPr>
              <w:t>0.268339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2291272">
            <w:pPr>
              <w:widowControl/>
              <w:jc w:val="center"/>
              <w:textAlignment w:val="center"/>
              <w:rPr>
                <w:szCs w:val="21"/>
              </w:rPr>
            </w:pPr>
            <w:r>
              <w:rPr>
                <w:kern w:val="0"/>
                <w:szCs w:val="21"/>
                <w:lang w:bidi="ar"/>
              </w:rPr>
              <w:t>2.68</w:t>
            </w:r>
          </w:p>
        </w:tc>
      </w:tr>
      <w:tr w14:paraId="0108744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1710934">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881E3DB">
            <w:pPr>
              <w:widowControl/>
              <w:jc w:val="center"/>
              <w:textAlignment w:val="center"/>
              <w:rPr>
                <w:szCs w:val="21"/>
              </w:rPr>
            </w:pPr>
            <w:r>
              <w:rPr>
                <w:kern w:val="0"/>
                <w:szCs w:val="21"/>
                <w:lang w:bidi="ar"/>
              </w:rPr>
              <w:t>3.298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AA3822B">
            <w:pPr>
              <w:widowControl/>
              <w:jc w:val="center"/>
              <w:textAlignment w:val="center"/>
              <w:rPr>
                <w:szCs w:val="21"/>
              </w:rPr>
            </w:pPr>
            <w:r>
              <w:rPr>
                <w:kern w:val="0"/>
                <w:szCs w:val="21"/>
                <w:lang w:bidi="ar"/>
              </w:rPr>
              <w:t>1.65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DCA6EC9">
            <w:pPr>
              <w:widowControl/>
              <w:jc w:val="center"/>
              <w:textAlignment w:val="center"/>
              <w:rPr>
                <w:szCs w:val="21"/>
              </w:rPr>
            </w:pPr>
            <w:r>
              <w:rPr>
                <w:kern w:val="0"/>
                <w:szCs w:val="21"/>
                <w:lang w:bidi="ar"/>
              </w:rPr>
              <w:t>0.303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6E7CE84">
            <w:pPr>
              <w:widowControl/>
              <w:jc w:val="center"/>
              <w:textAlignment w:val="center"/>
              <w:rPr>
                <w:szCs w:val="21"/>
              </w:rPr>
            </w:pPr>
            <w:r>
              <w:rPr>
                <w:kern w:val="0"/>
                <w:szCs w:val="21"/>
                <w:lang w:bidi="ar"/>
              </w:rPr>
              <w:t>3.03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68A8130">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B2264D9">
            <w:pPr>
              <w:widowControl/>
              <w:jc w:val="center"/>
              <w:textAlignment w:val="center"/>
              <w:rPr>
                <w:szCs w:val="21"/>
              </w:rPr>
            </w:pPr>
            <w:r>
              <w:rPr>
                <w:kern w:val="0"/>
                <w:szCs w:val="21"/>
                <w:lang w:bidi="ar"/>
              </w:rPr>
              <w:t>1.2496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ECD6937">
            <w:pPr>
              <w:widowControl/>
              <w:jc w:val="center"/>
              <w:textAlignment w:val="center"/>
              <w:rPr>
                <w:szCs w:val="21"/>
              </w:rPr>
            </w:pPr>
            <w:r>
              <w:rPr>
                <w:kern w:val="0"/>
                <w:szCs w:val="21"/>
                <w:lang w:bidi="ar"/>
              </w:rPr>
              <w:t>0.62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5AC12FA">
            <w:pPr>
              <w:widowControl/>
              <w:jc w:val="center"/>
              <w:textAlignment w:val="center"/>
              <w:rPr>
                <w:szCs w:val="21"/>
              </w:rPr>
            </w:pPr>
            <w:r>
              <w:rPr>
                <w:kern w:val="0"/>
                <w:szCs w:val="21"/>
                <w:lang w:bidi="ar"/>
              </w:rPr>
              <w:t>0.101319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78FE4FB">
            <w:pPr>
              <w:widowControl/>
              <w:jc w:val="center"/>
              <w:textAlignment w:val="center"/>
              <w:rPr>
                <w:szCs w:val="21"/>
              </w:rPr>
            </w:pPr>
            <w:r>
              <w:rPr>
                <w:kern w:val="0"/>
                <w:szCs w:val="21"/>
                <w:lang w:bidi="ar"/>
              </w:rPr>
              <w:t>1.01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E7C6FE1">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84397A1">
            <w:pPr>
              <w:widowControl/>
              <w:jc w:val="center"/>
              <w:textAlignment w:val="center"/>
              <w:rPr>
                <w:szCs w:val="21"/>
              </w:rPr>
            </w:pPr>
            <w:r>
              <w:rPr>
                <w:kern w:val="0"/>
                <w:szCs w:val="21"/>
                <w:lang w:bidi="ar"/>
              </w:rPr>
              <w:t>2.5581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0D1B2A7">
            <w:pPr>
              <w:widowControl/>
              <w:jc w:val="center"/>
              <w:textAlignment w:val="center"/>
              <w:rPr>
                <w:szCs w:val="21"/>
              </w:rPr>
            </w:pPr>
            <w:r>
              <w:rPr>
                <w:kern w:val="0"/>
                <w:szCs w:val="21"/>
                <w:lang w:bidi="ar"/>
              </w:rPr>
              <w:t>1.28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7A9B091">
            <w:pPr>
              <w:widowControl/>
              <w:jc w:val="center"/>
              <w:textAlignment w:val="center"/>
              <w:rPr>
                <w:szCs w:val="21"/>
              </w:rPr>
            </w:pPr>
            <w:r>
              <w:rPr>
                <w:kern w:val="0"/>
                <w:szCs w:val="21"/>
                <w:lang w:bidi="ar"/>
              </w:rPr>
              <w:t>0.235614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C61C204">
            <w:pPr>
              <w:widowControl/>
              <w:jc w:val="center"/>
              <w:textAlignment w:val="center"/>
              <w:rPr>
                <w:szCs w:val="21"/>
              </w:rPr>
            </w:pPr>
            <w:r>
              <w:rPr>
                <w:kern w:val="0"/>
                <w:szCs w:val="21"/>
                <w:lang w:bidi="ar"/>
              </w:rPr>
              <w:t>2.36</w:t>
            </w:r>
          </w:p>
        </w:tc>
      </w:tr>
      <w:tr w14:paraId="2E1B162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CECEFB6">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E013FFC">
            <w:pPr>
              <w:widowControl/>
              <w:jc w:val="center"/>
              <w:textAlignment w:val="center"/>
              <w:rPr>
                <w:szCs w:val="21"/>
              </w:rPr>
            </w:pPr>
            <w:r>
              <w:rPr>
                <w:kern w:val="0"/>
                <w:szCs w:val="21"/>
                <w:lang w:bidi="ar"/>
              </w:rPr>
              <w:t>2.989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DC7F890">
            <w:pPr>
              <w:widowControl/>
              <w:jc w:val="center"/>
              <w:textAlignment w:val="center"/>
              <w:rPr>
                <w:szCs w:val="21"/>
              </w:rPr>
            </w:pPr>
            <w:r>
              <w:rPr>
                <w:kern w:val="0"/>
                <w:szCs w:val="21"/>
                <w:lang w:bidi="ar"/>
              </w:rPr>
              <w:t>1.49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A4F1D4A">
            <w:pPr>
              <w:widowControl/>
              <w:jc w:val="center"/>
              <w:textAlignment w:val="center"/>
              <w:rPr>
                <w:szCs w:val="21"/>
              </w:rPr>
            </w:pPr>
            <w:r>
              <w:rPr>
                <w:kern w:val="0"/>
                <w:szCs w:val="21"/>
                <w:lang w:bidi="ar"/>
              </w:rPr>
              <w:t>0.275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0338F57">
            <w:pPr>
              <w:widowControl/>
              <w:jc w:val="center"/>
              <w:textAlignment w:val="center"/>
              <w:rPr>
                <w:szCs w:val="21"/>
              </w:rPr>
            </w:pPr>
            <w:r>
              <w:rPr>
                <w:kern w:val="0"/>
                <w:szCs w:val="21"/>
                <w:lang w:bidi="ar"/>
              </w:rPr>
              <w:t>2.75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FAFA803">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4F2FCCE">
            <w:pPr>
              <w:widowControl/>
              <w:jc w:val="center"/>
              <w:textAlignment w:val="center"/>
              <w:rPr>
                <w:szCs w:val="21"/>
              </w:rPr>
            </w:pPr>
            <w:r>
              <w:rPr>
                <w:kern w:val="0"/>
                <w:szCs w:val="21"/>
                <w:lang w:bidi="ar"/>
              </w:rPr>
              <w:t>1.131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DD52BA4">
            <w:pPr>
              <w:widowControl/>
              <w:jc w:val="center"/>
              <w:textAlignment w:val="center"/>
              <w:rPr>
                <w:szCs w:val="21"/>
              </w:rPr>
            </w:pPr>
            <w:r>
              <w:rPr>
                <w:kern w:val="0"/>
                <w:szCs w:val="21"/>
                <w:lang w:bidi="ar"/>
              </w:rPr>
              <w:t>0.57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9E79AC2">
            <w:pPr>
              <w:widowControl/>
              <w:jc w:val="center"/>
              <w:textAlignment w:val="center"/>
              <w:rPr>
                <w:szCs w:val="21"/>
              </w:rPr>
            </w:pPr>
            <w:r>
              <w:rPr>
                <w:kern w:val="0"/>
                <w:szCs w:val="21"/>
                <w:lang w:bidi="ar"/>
              </w:rPr>
              <w:t>0.091703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A4858EC">
            <w:pPr>
              <w:widowControl/>
              <w:jc w:val="center"/>
              <w:textAlignment w:val="center"/>
              <w:rPr>
                <w:szCs w:val="21"/>
              </w:rPr>
            </w:pPr>
            <w:r>
              <w:rPr>
                <w:kern w:val="0"/>
                <w:szCs w:val="21"/>
                <w:lang w:bidi="ar"/>
              </w:rPr>
              <w:t>0.92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063DA59">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3BE22F3">
            <w:pPr>
              <w:widowControl/>
              <w:jc w:val="center"/>
              <w:textAlignment w:val="center"/>
              <w:rPr>
                <w:szCs w:val="21"/>
              </w:rPr>
            </w:pPr>
            <w:r>
              <w:rPr>
                <w:kern w:val="0"/>
                <w:szCs w:val="21"/>
                <w:lang w:bidi="ar"/>
              </w:rPr>
              <w:t>2.3198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33CE909">
            <w:pPr>
              <w:widowControl/>
              <w:jc w:val="center"/>
              <w:textAlignment w:val="center"/>
              <w:rPr>
                <w:szCs w:val="21"/>
              </w:rPr>
            </w:pPr>
            <w:r>
              <w:rPr>
                <w:kern w:val="0"/>
                <w:szCs w:val="21"/>
                <w:lang w:bidi="ar"/>
              </w:rPr>
              <w:t>1.16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C24DA02">
            <w:pPr>
              <w:widowControl/>
              <w:jc w:val="center"/>
              <w:textAlignment w:val="center"/>
              <w:rPr>
                <w:szCs w:val="21"/>
              </w:rPr>
            </w:pPr>
            <w:r>
              <w:rPr>
                <w:kern w:val="0"/>
                <w:szCs w:val="21"/>
                <w:lang w:bidi="ar"/>
              </w:rPr>
              <w:t>0.213666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15CFCA7">
            <w:pPr>
              <w:widowControl/>
              <w:jc w:val="center"/>
              <w:textAlignment w:val="center"/>
              <w:rPr>
                <w:szCs w:val="21"/>
              </w:rPr>
            </w:pPr>
            <w:r>
              <w:rPr>
                <w:kern w:val="0"/>
                <w:szCs w:val="21"/>
                <w:lang w:bidi="ar"/>
              </w:rPr>
              <w:t>2.14</w:t>
            </w:r>
          </w:p>
        </w:tc>
      </w:tr>
      <w:tr w14:paraId="634AF8A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AB98F7E">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B9BB745">
            <w:pPr>
              <w:widowControl/>
              <w:jc w:val="center"/>
              <w:textAlignment w:val="center"/>
              <w:rPr>
                <w:szCs w:val="21"/>
              </w:rPr>
            </w:pPr>
            <w:r>
              <w:rPr>
                <w:kern w:val="0"/>
                <w:szCs w:val="21"/>
                <w:lang w:bidi="ar"/>
              </w:rPr>
              <w:t>2.744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D8EC126">
            <w:pPr>
              <w:widowControl/>
              <w:jc w:val="center"/>
              <w:textAlignment w:val="center"/>
              <w:rPr>
                <w:szCs w:val="21"/>
              </w:rPr>
            </w:pPr>
            <w:r>
              <w:rPr>
                <w:kern w:val="0"/>
                <w:szCs w:val="21"/>
                <w:lang w:bidi="ar"/>
              </w:rPr>
              <w:t>1.37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54C7797">
            <w:pPr>
              <w:widowControl/>
              <w:jc w:val="center"/>
              <w:textAlignment w:val="center"/>
              <w:rPr>
                <w:szCs w:val="21"/>
              </w:rPr>
            </w:pPr>
            <w:r>
              <w:rPr>
                <w:kern w:val="0"/>
                <w:szCs w:val="21"/>
                <w:lang w:bidi="ar"/>
              </w:rPr>
              <w:t>0.252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E8E1EE1">
            <w:pPr>
              <w:widowControl/>
              <w:jc w:val="center"/>
              <w:textAlignment w:val="center"/>
              <w:rPr>
                <w:szCs w:val="21"/>
              </w:rPr>
            </w:pPr>
            <w:r>
              <w:rPr>
                <w:kern w:val="0"/>
                <w:szCs w:val="21"/>
                <w:lang w:bidi="ar"/>
              </w:rPr>
              <w:t>2.52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49AAA04">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C4F991F">
            <w:pPr>
              <w:widowControl/>
              <w:jc w:val="center"/>
              <w:textAlignment w:val="center"/>
              <w:rPr>
                <w:szCs w:val="21"/>
              </w:rPr>
            </w:pPr>
            <w:r>
              <w:rPr>
                <w:kern w:val="0"/>
                <w:szCs w:val="21"/>
                <w:lang w:bidi="ar"/>
              </w:rPr>
              <w:t>1.0374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7322DB6">
            <w:pPr>
              <w:widowControl/>
              <w:jc w:val="center"/>
              <w:textAlignment w:val="center"/>
              <w:rPr>
                <w:szCs w:val="21"/>
              </w:rPr>
            </w:pPr>
            <w:r>
              <w:rPr>
                <w:kern w:val="0"/>
                <w:szCs w:val="21"/>
                <w:lang w:bidi="ar"/>
              </w:rPr>
              <w:t>0.52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F29E726">
            <w:pPr>
              <w:widowControl/>
              <w:jc w:val="center"/>
              <w:textAlignment w:val="center"/>
              <w:rPr>
                <w:szCs w:val="21"/>
              </w:rPr>
            </w:pPr>
            <w:r>
              <w:rPr>
                <w:kern w:val="0"/>
                <w:szCs w:val="21"/>
                <w:lang w:bidi="ar"/>
              </w:rPr>
              <w:t>0.084114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5BDB810">
            <w:pPr>
              <w:widowControl/>
              <w:jc w:val="center"/>
              <w:textAlignment w:val="center"/>
              <w:rPr>
                <w:szCs w:val="21"/>
              </w:rPr>
            </w:pPr>
            <w:r>
              <w:rPr>
                <w:kern w:val="0"/>
                <w:szCs w:val="21"/>
                <w:lang w:bidi="ar"/>
              </w:rPr>
              <w:t>0.84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9CC9C8E">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9762889">
            <w:pPr>
              <w:widowControl/>
              <w:jc w:val="center"/>
              <w:textAlignment w:val="center"/>
              <w:rPr>
                <w:szCs w:val="21"/>
              </w:rPr>
            </w:pPr>
            <w:r>
              <w:rPr>
                <w:kern w:val="0"/>
                <w:szCs w:val="21"/>
                <w:lang w:bidi="ar"/>
              </w:rPr>
              <w:t>2.1284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1CD31E4">
            <w:pPr>
              <w:widowControl/>
              <w:jc w:val="center"/>
              <w:textAlignment w:val="center"/>
              <w:rPr>
                <w:szCs w:val="21"/>
              </w:rPr>
            </w:pPr>
            <w:r>
              <w:rPr>
                <w:kern w:val="0"/>
                <w:szCs w:val="21"/>
                <w:lang w:bidi="ar"/>
              </w:rPr>
              <w:t>1.06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C342391">
            <w:pPr>
              <w:widowControl/>
              <w:jc w:val="center"/>
              <w:textAlignment w:val="center"/>
              <w:rPr>
                <w:szCs w:val="21"/>
              </w:rPr>
            </w:pPr>
            <w:r>
              <w:rPr>
                <w:kern w:val="0"/>
                <w:szCs w:val="21"/>
                <w:lang w:bidi="ar"/>
              </w:rPr>
              <w:t>0.196037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A3ED96F">
            <w:pPr>
              <w:widowControl/>
              <w:jc w:val="center"/>
              <w:textAlignment w:val="center"/>
              <w:rPr>
                <w:szCs w:val="21"/>
              </w:rPr>
            </w:pPr>
            <w:r>
              <w:rPr>
                <w:kern w:val="0"/>
                <w:szCs w:val="21"/>
                <w:lang w:bidi="ar"/>
              </w:rPr>
              <w:t>1.96</w:t>
            </w:r>
          </w:p>
        </w:tc>
      </w:tr>
      <w:tr w14:paraId="19C9112D">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F365F08">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67E3C8D">
            <w:pPr>
              <w:widowControl/>
              <w:jc w:val="center"/>
              <w:textAlignment w:val="center"/>
              <w:rPr>
                <w:szCs w:val="21"/>
              </w:rPr>
            </w:pPr>
            <w:r>
              <w:rPr>
                <w:kern w:val="0"/>
                <w:szCs w:val="21"/>
                <w:lang w:bidi="ar"/>
              </w:rPr>
              <w:t>2.213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1EDBBF7">
            <w:pPr>
              <w:widowControl/>
              <w:jc w:val="center"/>
              <w:textAlignment w:val="center"/>
              <w:rPr>
                <w:szCs w:val="21"/>
              </w:rPr>
            </w:pPr>
            <w:r>
              <w:rPr>
                <w:kern w:val="0"/>
                <w:szCs w:val="21"/>
                <w:lang w:bidi="ar"/>
              </w:rPr>
              <w:t>1.11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449DF5F">
            <w:pPr>
              <w:widowControl/>
              <w:jc w:val="center"/>
              <w:textAlignment w:val="center"/>
              <w:rPr>
                <w:szCs w:val="21"/>
              </w:rPr>
            </w:pPr>
            <w:r>
              <w:rPr>
                <w:kern w:val="0"/>
                <w:szCs w:val="21"/>
                <w:lang w:bidi="ar"/>
              </w:rPr>
              <w:t>0.203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6A7C7C2">
            <w:pPr>
              <w:widowControl/>
              <w:jc w:val="center"/>
              <w:textAlignment w:val="center"/>
              <w:rPr>
                <w:szCs w:val="21"/>
              </w:rPr>
            </w:pPr>
            <w:r>
              <w:rPr>
                <w:kern w:val="0"/>
                <w:szCs w:val="21"/>
                <w:lang w:bidi="ar"/>
              </w:rPr>
              <w:t>2.03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00B3AA8">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D6BB32A">
            <w:pPr>
              <w:widowControl/>
              <w:jc w:val="center"/>
              <w:textAlignment w:val="center"/>
              <w:rPr>
                <w:szCs w:val="21"/>
              </w:rPr>
            </w:pPr>
            <w:r>
              <w:rPr>
                <w:kern w:val="0"/>
                <w:szCs w:val="21"/>
                <w:lang w:bidi="ar"/>
              </w:rPr>
              <w:t>0.83587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014A54F">
            <w:pPr>
              <w:widowControl/>
              <w:jc w:val="center"/>
              <w:textAlignment w:val="center"/>
              <w:rPr>
                <w:szCs w:val="21"/>
              </w:rPr>
            </w:pPr>
            <w:r>
              <w:rPr>
                <w:kern w:val="0"/>
                <w:szCs w:val="21"/>
                <w:lang w:bidi="ar"/>
              </w:rPr>
              <w:t>0.42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C9CCFB7">
            <w:pPr>
              <w:widowControl/>
              <w:jc w:val="center"/>
              <w:textAlignment w:val="center"/>
              <w:rPr>
                <w:szCs w:val="21"/>
              </w:rPr>
            </w:pPr>
            <w:r>
              <w:rPr>
                <w:kern w:val="0"/>
                <w:szCs w:val="21"/>
                <w:lang w:bidi="ar"/>
              </w:rPr>
              <w:t>0.067773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93BA2D3">
            <w:pPr>
              <w:widowControl/>
              <w:jc w:val="center"/>
              <w:textAlignment w:val="center"/>
              <w:rPr>
                <w:szCs w:val="21"/>
              </w:rPr>
            </w:pPr>
            <w:r>
              <w:rPr>
                <w:kern w:val="0"/>
                <w:szCs w:val="21"/>
                <w:lang w:bidi="ar"/>
              </w:rPr>
              <w:t>0.68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4241EBD">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F510D8A">
            <w:pPr>
              <w:widowControl/>
              <w:jc w:val="center"/>
              <w:textAlignment w:val="center"/>
              <w:rPr>
                <w:szCs w:val="21"/>
              </w:rPr>
            </w:pPr>
            <w:r>
              <w:rPr>
                <w:kern w:val="0"/>
                <w:szCs w:val="21"/>
                <w:lang w:bidi="ar"/>
              </w:rPr>
              <w:t>1.7162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A7950AD">
            <w:pPr>
              <w:widowControl/>
              <w:jc w:val="center"/>
              <w:textAlignment w:val="center"/>
              <w:rPr>
                <w:szCs w:val="21"/>
              </w:rPr>
            </w:pPr>
            <w:r>
              <w:rPr>
                <w:kern w:val="0"/>
                <w:szCs w:val="21"/>
                <w:lang w:bidi="ar"/>
              </w:rPr>
              <w:t>0.86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011DE99">
            <w:pPr>
              <w:widowControl/>
              <w:jc w:val="center"/>
              <w:textAlignment w:val="center"/>
              <w:rPr>
                <w:szCs w:val="21"/>
              </w:rPr>
            </w:pPr>
            <w:r>
              <w:rPr>
                <w:kern w:val="0"/>
                <w:szCs w:val="21"/>
                <w:lang w:bidi="ar"/>
              </w:rPr>
              <w:t>0.158071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5580879">
            <w:pPr>
              <w:widowControl/>
              <w:jc w:val="center"/>
              <w:textAlignment w:val="center"/>
              <w:rPr>
                <w:szCs w:val="21"/>
              </w:rPr>
            </w:pPr>
            <w:r>
              <w:rPr>
                <w:kern w:val="0"/>
                <w:szCs w:val="21"/>
                <w:lang w:bidi="ar"/>
              </w:rPr>
              <w:t>1.58</w:t>
            </w:r>
          </w:p>
        </w:tc>
      </w:tr>
      <w:tr w14:paraId="593E9D8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83D54CB">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5EFCEBC">
            <w:pPr>
              <w:widowControl/>
              <w:jc w:val="center"/>
              <w:textAlignment w:val="center"/>
              <w:rPr>
                <w:szCs w:val="21"/>
              </w:rPr>
            </w:pPr>
            <w:r>
              <w:rPr>
                <w:kern w:val="0"/>
                <w:szCs w:val="21"/>
                <w:lang w:bidi="ar"/>
              </w:rPr>
              <w:t>1.949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896146E">
            <w:pPr>
              <w:widowControl/>
              <w:jc w:val="center"/>
              <w:textAlignment w:val="center"/>
              <w:rPr>
                <w:szCs w:val="21"/>
              </w:rPr>
            </w:pPr>
            <w:r>
              <w:rPr>
                <w:kern w:val="0"/>
                <w:szCs w:val="21"/>
                <w:lang w:bidi="ar"/>
              </w:rPr>
              <w:t>0.97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F619DBA">
            <w:pPr>
              <w:widowControl/>
              <w:jc w:val="center"/>
              <w:textAlignment w:val="center"/>
              <w:rPr>
                <w:szCs w:val="21"/>
              </w:rPr>
            </w:pPr>
            <w:r>
              <w:rPr>
                <w:kern w:val="0"/>
                <w:szCs w:val="21"/>
                <w:lang w:bidi="ar"/>
              </w:rPr>
              <w:t>0.179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673B7A6">
            <w:pPr>
              <w:widowControl/>
              <w:jc w:val="center"/>
              <w:textAlignment w:val="center"/>
              <w:rPr>
                <w:szCs w:val="21"/>
              </w:rPr>
            </w:pPr>
            <w:r>
              <w:rPr>
                <w:kern w:val="0"/>
                <w:szCs w:val="21"/>
                <w:lang w:bidi="ar"/>
              </w:rPr>
              <w:t>1.79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A4AC90E">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50AD0CB">
            <w:pPr>
              <w:widowControl/>
              <w:jc w:val="center"/>
              <w:textAlignment w:val="center"/>
              <w:rPr>
                <w:szCs w:val="21"/>
              </w:rPr>
            </w:pPr>
            <w:r>
              <w:rPr>
                <w:kern w:val="0"/>
                <w:szCs w:val="21"/>
                <w:lang w:bidi="ar"/>
              </w:rPr>
              <w:t>0.73645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95B910E">
            <w:pPr>
              <w:widowControl/>
              <w:jc w:val="center"/>
              <w:textAlignment w:val="center"/>
              <w:rPr>
                <w:szCs w:val="21"/>
              </w:rPr>
            </w:pPr>
            <w:r>
              <w:rPr>
                <w:kern w:val="0"/>
                <w:szCs w:val="21"/>
                <w:lang w:bidi="ar"/>
              </w:rPr>
              <w:t>0.37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E4BF129">
            <w:pPr>
              <w:widowControl/>
              <w:jc w:val="center"/>
              <w:textAlignment w:val="center"/>
              <w:rPr>
                <w:szCs w:val="21"/>
              </w:rPr>
            </w:pPr>
            <w:r>
              <w:rPr>
                <w:kern w:val="0"/>
                <w:szCs w:val="21"/>
                <w:lang w:bidi="ar"/>
              </w:rPr>
              <w:t>0.059712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9190AF4">
            <w:pPr>
              <w:widowControl/>
              <w:jc w:val="center"/>
              <w:textAlignment w:val="center"/>
              <w:rPr>
                <w:szCs w:val="21"/>
              </w:rPr>
            </w:pPr>
            <w:r>
              <w:rPr>
                <w:kern w:val="0"/>
                <w:szCs w:val="21"/>
                <w:lang w:bidi="ar"/>
              </w:rPr>
              <w:t>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F656B18">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97C2D2B">
            <w:pPr>
              <w:widowControl/>
              <w:jc w:val="center"/>
              <w:textAlignment w:val="center"/>
              <w:rPr>
                <w:szCs w:val="21"/>
              </w:rPr>
            </w:pPr>
            <w:r>
              <w:rPr>
                <w:kern w:val="0"/>
                <w:szCs w:val="21"/>
                <w:lang w:bidi="ar"/>
              </w:rPr>
              <w:t>1.5121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3DC19F8">
            <w:pPr>
              <w:widowControl/>
              <w:jc w:val="center"/>
              <w:textAlignment w:val="center"/>
              <w:rPr>
                <w:szCs w:val="21"/>
              </w:rPr>
            </w:pPr>
            <w:r>
              <w:rPr>
                <w:kern w:val="0"/>
                <w:szCs w:val="21"/>
                <w:lang w:bidi="ar"/>
              </w:rPr>
              <w:t>0.76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5F02AB1">
            <w:pPr>
              <w:widowControl/>
              <w:jc w:val="center"/>
              <w:textAlignment w:val="center"/>
              <w:rPr>
                <w:szCs w:val="21"/>
              </w:rPr>
            </w:pPr>
            <w:r>
              <w:rPr>
                <w:kern w:val="0"/>
                <w:szCs w:val="21"/>
                <w:lang w:bidi="ar"/>
              </w:rPr>
              <w:t>0.139272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DF69619">
            <w:pPr>
              <w:widowControl/>
              <w:jc w:val="center"/>
              <w:textAlignment w:val="center"/>
              <w:rPr>
                <w:szCs w:val="21"/>
              </w:rPr>
            </w:pPr>
            <w:r>
              <w:rPr>
                <w:kern w:val="0"/>
                <w:szCs w:val="21"/>
                <w:lang w:bidi="ar"/>
              </w:rPr>
              <w:t>1.39</w:t>
            </w:r>
          </w:p>
        </w:tc>
      </w:tr>
      <w:tr w14:paraId="3EE5CFF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F096933">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EEBFE6B">
            <w:pPr>
              <w:widowControl/>
              <w:jc w:val="center"/>
              <w:textAlignment w:val="center"/>
              <w:rPr>
                <w:szCs w:val="21"/>
              </w:rPr>
            </w:pPr>
            <w:r>
              <w:rPr>
                <w:kern w:val="0"/>
                <w:szCs w:val="21"/>
                <w:lang w:bidi="ar"/>
              </w:rPr>
              <w:t>1.738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07D20C7">
            <w:pPr>
              <w:widowControl/>
              <w:jc w:val="center"/>
              <w:textAlignment w:val="center"/>
              <w:rPr>
                <w:szCs w:val="21"/>
              </w:rPr>
            </w:pPr>
            <w:r>
              <w:rPr>
                <w:kern w:val="0"/>
                <w:szCs w:val="21"/>
                <w:lang w:bidi="ar"/>
              </w:rPr>
              <w:t>0.87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F0913A7">
            <w:pPr>
              <w:widowControl/>
              <w:jc w:val="center"/>
              <w:textAlignment w:val="center"/>
              <w:rPr>
                <w:szCs w:val="21"/>
              </w:rPr>
            </w:pPr>
            <w:r>
              <w:rPr>
                <w:kern w:val="0"/>
                <w:szCs w:val="21"/>
                <w:lang w:bidi="ar"/>
              </w:rPr>
              <w:t>0.16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50CDF87">
            <w:pPr>
              <w:widowControl/>
              <w:jc w:val="center"/>
              <w:textAlignment w:val="center"/>
              <w:rPr>
                <w:szCs w:val="21"/>
              </w:rPr>
            </w:pPr>
            <w:r>
              <w:rPr>
                <w:kern w:val="0"/>
                <w:szCs w:val="21"/>
                <w:lang w:bidi="ar"/>
              </w:rPr>
              <w:t>1.6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E7A9C1C">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5EBAF00">
            <w:pPr>
              <w:widowControl/>
              <w:jc w:val="center"/>
              <w:textAlignment w:val="center"/>
              <w:rPr>
                <w:szCs w:val="21"/>
              </w:rPr>
            </w:pPr>
            <w:r>
              <w:rPr>
                <w:kern w:val="0"/>
                <w:szCs w:val="21"/>
                <w:lang w:bidi="ar"/>
              </w:rPr>
              <w:t>0.65645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27DAF01">
            <w:pPr>
              <w:widowControl/>
              <w:jc w:val="center"/>
              <w:textAlignment w:val="center"/>
              <w:rPr>
                <w:szCs w:val="21"/>
              </w:rPr>
            </w:pPr>
            <w:r>
              <w:rPr>
                <w:kern w:val="0"/>
                <w:szCs w:val="21"/>
                <w:lang w:bidi="ar"/>
              </w:rPr>
              <w:t>0.33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C9E69BB">
            <w:pPr>
              <w:widowControl/>
              <w:jc w:val="center"/>
              <w:textAlignment w:val="center"/>
              <w:rPr>
                <w:szCs w:val="21"/>
              </w:rPr>
            </w:pPr>
            <w:r>
              <w:rPr>
                <w:kern w:val="0"/>
                <w:szCs w:val="21"/>
                <w:lang w:bidi="ar"/>
              </w:rPr>
              <w:t>0.053226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D5EE7D3">
            <w:pPr>
              <w:widowControl/>
              <w:jc w:val="center"/>
              <w:textAlignment w:val="center"/>
              <w:rPr>
                <w:szCs w:val="21"/>
              </w:rPr>
            </w:pPr>
            <w:r>
              <w:rPr>
                <w:kern w:val="0"/>
                <w:szCs w:val="21"/>
                <w:lang w:bidi="ar"/>
              </w:rPr>
              <w:t>0.53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FE8F78F">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1A6952E">
            <w:pPr>
              <w:widowControl/>
              <w:jc w:val="center"/>
              <w:textAlignment w:val="center"/>
              <w:rPr>
                <w:szCs w:val="21"/>
              </w:rPr>
            </w:pPr>
            <w:r>
              <w:rPr>
                <w:kern w:val="0"/>
                <w:szCs w:val="21"/>
                <w:lang w:bidi="ar"/>
              </w:rPr>
              <w:t>1.3479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8FE3E40">
            <w:pPr>
              <w:widowControl/>
              <w:jc w:val="center"/>
              <w:textAlignment w:val="center"/>
              <w:rPr>
                <w:szCs w:val="21"/>
              </w:rPr>
            </w:pPr>
            <w:r>
              <w:rPr>
                <w:kern w:val="0"/>
                <w:szCs w:val="21"/>
                <w:lang w:bidi="ar"/>
              </w:rPr>
              <w:t>0.67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41123A8">
            <w:pPr>
              <w:widowControl/>
              <w:jc w:val="center"/>
              <w:textAlignment w:val="center"/>
              <w:rPr>
                <w:szCs w:val="21"/>
              </w:rPr>
            </w:pPr>
            <w:r>
              <w:rPr>
                <w:kern w:val="0"/>
                <w:szCs w:val="21"/>
                <w:lang w:bidi="ar"/>
              </w:rPr>
              <w:t>0.124149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F61D71C">
            <w:pPr>
              <w:widowControl/>
              <w:jc w:val="center"/>
              <w:textAlignment w:val="center"/>
              <w:rPr>
                <w:szCs w:val="21"/>
              </w:rPr>
            </w:pPr>
            <w:r>
              <w:rPr>
                <w:kern w:val="0"/>
                <w:szCs w:val="21"/>
                <w:lang w:bidi="ar"/>
              </w:rPr>
              <w:t>1.24</w:t>
            </w:r>
          </w:p>
        </w:tc>
      </w:tr>
      <w:tr w14:paraId="6737F4E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F1CBB4E">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A647C88">
            <w:pPr>
              <w:widowControl/>
              <w:jc w:val="center"/>
              <w:textAlignment w:val="center"/>
              <w:rPr>
                <w:szCs w:val="21"/>
              </w:rPr>
            </w:pPr>
            <w:r>
              <w:rPr>
                <w:kern w:val="0"/>
                <w:szCs w:val="21"/>
                <w:lang w:bidi="ar"/>
              </w:rPr>
              <w:t>1.564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C8AFDDD">
            <w:pPr>
              <w:widowControl/>
              <w:jc w:val="center"/>
              <w:textAlignment w:val="center"/>
              <w:rPr>
                <w:szCs w:val="21"/>
              </w:rPr>
            </w:pPr>
            <w:r>
              <w:rPr>
                <w:kern w:val="0"/>
                <w:szCs w:val="21"/>
                <w:lang w:bidi="ar"/>
              </w:rPr>
              <w:t>0.78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AC8A8B3">
            <w:pPr>
              <w:widowControl/>
              <w:jc w:val="center"/>
              <w:textAlignment w:val="center"/>
              <w:rPr>
                <w:szCs w:val="21"/>
              </w:rPr>
            </w:pPr>
            <w:r>
              <w:rPr>
                <w:kern w:val="0"/>
                <w:szCs w:val="21"/>
                <w:lang w:bidi="ar"/>
              </w:rPr>
              <w:t>0.144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9A283AE">
            <w:pPr>
              <w:widowControl/>
              <w:jc w:val="center"/>
              <w:textAlignment w:val="center"/>
              <w:rPr>
                <w:szCs w:val="21"/>
              </w:rPr>
            </w:pPr>
            <w:r>
              <w:rPr>
                <w:kern w:val="0"/>
                <w:szCs w:val="21"/>
                <w:lang w:bidi="ar"/>
              </w:rPr>
              <w:t>1.44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D940E2A">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E7C5822">
            <w:pPr>
              <w:widowControl/>
              <w:jc w:val="center"/>
              <w:textAlignment w:val="center"/>
              <w:rPr>
                <w:szCs w:val="21"/>
              </w:rPr>
            </w:pPr>
            <w:r>
              <w:rPr>
                <w:kern w:val="0"/>
                <w:szCs w:val="21"/>
                <w:lang w:bidi="ar"/>
              </w:rPr>
              <w:t>0.59079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AAE8737">
            <w:pPr>
              <w:widowControl/>
              <w:jc w:val="center"/>
              <w:textAlignment w:val="center"/>
              <w:rPr>
                <w:szCs w:val="21"/>
              </w:rPr>
            </w:pPr>
            <w:r>
              <w:rPr>
                <w:kern w:val="0"/>
                <w:szCs w:val="21"/>
                <w:lang w:bidi="ar"/>
              </w:rPr>
              <w:t>0.3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4F3C386">
            <w:pPr>
              <w:widowControl/>
              <w:jc w:val="center"/>
              <w:textAlignment w:val="center"/>
              <w:rPr>
                <w:szCs w:val="21"/>
              </w:rPr>
            </w:pPr>
            <w:r>
              <w:rPr>
                <w:kern w:val="0"/>
                <w:szCs w:val="21"/>
                <w:lang w:bidi="ar"/>
              </w:rPr>
              <w:t>0.047902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5CE176B">
            <w:pPr>
              <w:widowControl/>
              <w:jc w:val="center"/>
              <w:textAlignment w:val="center"/>
              <w:rPr>
                <w:szCs w:val="21"/>
              </w:rPr>
            </w:pPr>
            <w:r>
              <w:rPr>
                <w:kern w:val="0"/>
                <w:szCs w:val="21"/>
                <w:lang w:bidi="ar"/>
              </w:rPr>
              <w:t>0.48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FBB0705">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79FFACF">
            <w:pPr>
              <w:widowControl/>
              <w:jc w:val="center"/>
              <w:textAlignment w:val="center"/>
              <w:rPr>
                <w:szCs w:val="21"/>
              </w:rPr>
            </w:pPr>
            <w:r>
              <w:rPr>
                <w:kern w:val="0"/>
                <w:szCs w:val="21"/>
                <w:lang w:bidi="ar"/>
              </w:rPr>
              <w:t>1.2131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0C945FA">
            <w:pPr>
              <w:widowControl/>
              <w:jc w:val="center"/>
              <w:textAlignment w:val="center"/>
              <w:rPr>
                <w:szCs w:val="21"/>
              </w:rPr>
            </w:pPr>
            <w:r>
              <w:rPr>
                <w:kern w:val="0"/>
                <w:szCs w:val="21"/>
                <w:lang w:bidi="ar"/>
              </w:rPr>
              <w:t>0.61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33E68B8">
            <w:pPr>
              <w:widowControl/>
              <w:jc w:val="center"/>
              <w:textAlignment w:val="center"/>
              <w:rPr>
                <w:szCs w:val="21"/>
              </w:rPr>
            </w:pPr>
            <w:r>
              <w:rPr>
                <w:kern w:val="0"/>
                <w:szCs w:val="21"/>
                <w:lang w:bidi="ar"/>
              </w:rPr>
              <w:t>0.111733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D31E04C">
            <w:pPr>
              <w:widowControl/>
              <w:jc w:val="center"/>
              <w:textAlignment w:val="center"/>
              <w:rPr>
                <w:szCs w:val="21"/>
              </w:rPr>
            </w:pPr>
            <w:r>
              <w:rPr>
                <w:kern w:val="0"/>
                <w:szCs w:val="21"/>
                <w:lang w:bidi="ar"/>
              </w:rPr>
              <w:t>1.12</w:t>
            </w:r>
          </w:p>
        </w:tc>
      </w:tr>
      <w:tr w14:paraId="54BBF2D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E635708">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02D4D93">
            <w:pPr>
              <w:widowControl/>
              <w:jc w:val="center"/>
              <w:textAlignment w:val="center"/>
              <w:rPr>
                <w:szCs w:val="21"/>
              </w:rPr>
            </w:pPr>
            <w:r>
              <w:rPr>
                <w:kern w:val="0"/>
                <w:szCs w:val="21"/>
                <w:lang w:bidi="ar"/>
              </w:rPr>
              <w:t>1.419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FB95BC6">
            <w:pPr>
              <w:widowControl/>
              <w:jc w:val="center"/>
              <w:textAlignment w:val="center"/>
              <w:rPr>
                <w:szCs w:val="21"/>
              </w:rPr>
            </w:pPr>
            <w:r>
              <w:rPr>
                <w:kern w:val="0"/>
                <w:szCs w:val="21"/>
                <w:lang w:bidi="ar"/>
              </w:rPr>
              <w:t>0.71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1CA254">
            <w:pPr>
              <w:widowControl/>
              <w:jc w:val="center"/>
              <w:textAlignment w:val="center"/>
              <w:rPr>
                <w:szCs w:val="21"/>
              </w:rPr>
            </w:pPr>
            <w:r>
              <w:rPr>
                <w:kern w:val="0"/>
                <w:szCs w:val="21"/>
                <w:lang w:bidi="ar"/>
              </w:rPr>
              <w:t>0.13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83D6256">
            <w:pPr>
              <w:widowControl/>
              <w:jc w:val="center"/>
              <w:textAlignment w:val="center"/>
              <w:rPr>
                <w:szCs w:val="21"/>
              </w:rPr>
            </w:pPr>
            <w:r>
              <w:rPr>
                <w:kern w:val="0"/>
                <w:szCs w:val="21"/>
                <w:lang w:bidi="ar"/>
              </w:rPr>
              <w:t>1.3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FF25422">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E179FB4">
            <w:pPr>
              <w:widowControl/>
              <w:jc w:val="center"/>
              <w:textAlignment w:val="center"/>
              <w:rPr>
                <w:szCs w:val="21"/>
              </w:rPr>
            </w:pPr>
            <w:r>
              <w:rPr>
                <w:kern w:val="0"/>
                <w:szCs w:val="21"/>
                <w:lang w:bidi="ar"/>
              </w:rPr>
              <w:t>0.53606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8040D12">
            <w:pPr>
              <w:widowControl/>
              <w:jc w:val="center"/>
              <w:textAlignment w:val="center"/>
              <w:rPr>
                <w:szCs w:val="21"/>
              </w:rPr>
            </w:pPr>
            <w:r>
              <w:rPr>
                <w:kern w:val="0"/>
                <w:szCs w:val="21"/>
                <w:lang w:bidi="ar"/>
              </w:rPr>
              <w:t>0.27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9E64DC0">
            <w:pPr>
              <w:widowControl/>
              <w:jc w:val="center"/>
              <w:textAlignment w:val="center"/>
              <w:rPr>
                <w:szCs w:val="21"/>
              </w:rPr>
            </w:pPr>
            <w:r>
              <w:rPr>
                <w:kern w:val="0"/>
                <w:szCs w:val="21"/>
                <w:lang w:bidi="ar"/>
              </w:rPr>
              <w:t>0.043464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65604F0">
            <w:pPr>
              <w:widowControl/>
              <w:jc w:val="center"/>
              <w:textAlignment w:val="center"/>
              <w:rPr>
                <w:szCs w:val="21"/>
              </w:rPr>
            </w:pPr>
            <w:r>
              <w:rPr>
                <w:kern w:val="0"/>
                <w:szCs w:val="21"/>
                <w:lang w:bidi="ar"/>
              </w:rPr>
              <w:t>0.43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7EBEB81">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9DF4FC2">
            <w:pPr>
              <w:widowControl/>
              <w:jc w:val="center"/>
              <w:textAlignment w:val="center"/>
              <w:rPr>
                <w:szCs w:val="21"/>
              </w:rPr>
            </w:pPr>
            <w:r>
              <w:rPr>
                <w:kern w:val="0"/>
                <w:szCs w:val="21"/>
                <w:lang w:bidi="ar"/>
              </w:rPr>
              <w:t>1.1007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857F011">
            <w:pPr>
              <w:widowControl/>
              <w:jc w:val="center"/>
              <w:textAlignment w:val="center"/>
              <w:rPr>
                <w:szCs w:val="21"/>
              </w:rPr>
            </w:pPr>
            <w:r>
              <w:rPr>
                <w:kern w:val="0"/>
                <w:szCs w:val="21"/>
                <w:lang w:bidi="ar"/>
              </w:rPr>
              <w:t>0.55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0FBA868">
            <w:pPr>
              <w:widowControl/>
              <w:jc w:val="center"/>
              <w:textAlignment w:val="center"/>
              <w:rPr>
                <w:szCs w:val="21"/>
              </w:rPr>
            </w:pPr>
            <w:r>
              <w:rPr>
                <w:kern w:val="0"/>
                <w:szCs w:val="21"/>
                <w:lang w:bidi="ar"/>
              </w:rPr>
              <w:t>0.10138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65ABD78">
            <w:pPr>
              <w:widowControl/>
              <w:jc w:val="center"/>
              <w:textAlignment w:val="center"/>
              <w:rPr>
                <w:szCs w:val="21"/>
              </w:rPr>
            </w:pPr>
            <w:r>
              <w:rPr>
                <w:kern w:val="0"/>
                <w:szCs w:val="21"/>
                <w:lang w:bidi="ar"/>
              </w:rPr>
              <w:t>1.01</w:t>
            </w:r>
          </w:p>
        </w:tc>
      </w:tr>
      <w:tr w14:paraId="242D5E4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746AB2C">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A414FE4">
            <w:pPr>
              <w:widowControl/>
              <w:jc w:val="center"/>
              <w:textAlignment w:val="center"/>
              <w:rPr>
                <w:szCs w:val="21"/>
              </w:rPr>
            </w:pPr>
            <w:r>
              <w:rPr>
                <w:kern w:val="0"/>
                <w:szCs w:val="21"/>
                <w:lang w:bidi="ar"/>
              </w:rPr>
              <w:t>1.297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F29F624">
            <w:pPr>
              <w:widowControl/>
              <w:jc w:val="center"/>
              <w:textAlignment w:val="center"/>
              <w:rPr>
                <w:szCs w:val="21"/>
              </w:rPr>
            </w:pPr>
            <w:r>
              <w:rPr>
                <w:kern w:val="0"/>
                <w:szCs w:val="21"/>
                <w:lang w:bidi="ar"/>
              </w:rPr>
              <w:t>0.65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4CEA738">
            <w:pPr>
              <w:widowControl/>
              <w:jc w:val="center"/>
              <w:textAlignment w:val="center"/>
              <w:rPr>
                <w:szCs w:val="21"/>
              </w:rPr>
            </w:pPr>
            <w:r>
              <w:rPr>
                <w:kern w:val="0"/>
                <w:szCs w:val="21"/>
                <w:lang w:bidi="ar"/>
              </w:rPr>
              <w:t>0.119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CD927E2">
            <w:pPr>
              <w:widowControl/>
              <w:jc w:val="center"/>
              <w:textAlignment w:val="center"/>
              <w:rPr>
                <w:szCs w:val="21"/>
              </w:rPr>
            </w:pPr>
            <w:r>
              <w:rPr>
                <w:kern w:val="0"/>
                <w:szCs w:val="21"/>
                <w:lang w:bidi="ar"/>
              </w:rPr>
              <w:t>1.19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52E27D6">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3AE5D43">
            <w:pPr>
              <w:widowControl/>
              <w:jc w:val="center"/>
              <w:textAlignment w:val="center"/>
              <w:rPr>
                <w:szCs w:val="21"/>
              </w:rPr>
            </w:pPr>
            <w:r>
              <w:rPr>
                <w:kern w:val="0"/>
                <w:szCs w:val="21"/>
                <w:lang w:bidi="ar"/>
              </w:rPr>
              <w:t>0.48982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4DEC73A">
            <w:pPr>
              <w:widowControl/>
              <w:jc w:val="center"/>
              <w:textAlignment w:val="center"/>
              <w:rPr>
                <w:szCs w:val="21"/>
              </w:rPr>
            </w:pPr>
            <w:r>
              <w:rPr>
                <w:kern w:val="0"/>
                <w:szCs w:val="21"/>
                <w:lang w:bidi="ar"/>
              </w:rPr>
              <w:t>0.24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6BC677D">
            <w:pPr>
              <w:widowControl/>
              <w:jc w:val="center"/>
              <w:textAlignment w:val="center"/>
              <w:rPr>
                <w:szCs w:val="21"/>
              </w:rPr>
            </w:pPr>
            <w:r>
              <w:rPr>
                <w:kern w:val="0"/>
                <w:szCs w:val="21"/>
                <w:lang w:bidi="ar"/>
              </w:rPr>
              <w:t>0.039715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63F9D35">
            <w:pPr>
              <w:widowControl/>
              <w:jc w:val="center"/>
              <w:textAlignment w:val="center"/>
              <w:rPr>
                <w:szCs w:val="21"/>
              </w:rPr>
            </w:pPr>
            <w:r>
              <w:rPr>
                <w:kern w:val="0"/>
                <w:szCs w:val="21"/>
                <w:lang w:bidi="ar"/>
              </w:rPr>
              <w:t>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E6786A8">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25FF350">
            <w:pPr>
              <w:widowControl/>
              <w:jc w:val="center"/>
              <w:textAlignment w:val="center"/>
              <w:rPr>
                <w:szCs w:val="21"/>
              </w:rPr>
            </w:pPr>
            <w:r>
              <w:rPr>
                <w:kern w:val="0"/>
                <w:szCs w:val="21"/>
                <w:lang w:bidi="ar"/>
              </w:rPr>
              <w:t>1.0058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E4B8885">
            <w:pPr>
              <w:widowControl/>
              <w:jc w:val="center"/>
              <w:textAlignment w:val="center"/>
              <w:rPr>
                <w:szCs w:val="21"/>
              </w:rPr>
            </w:pPr>
            <w:r>
              <w:rPr>
                <w:kern w:val="0"/>
                <w:szCs w:val="21"/>
                <w:lang w:bidi="ar"/>
              </w:rPr>
              <w:t>0.5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B1AABFC">
            <w:pPr>
              <w:widowControl/>
              <w:jc w:val="center"/>
              <w:textAlignment w:val="center"/>
              <w:rPr>
                <w:szCs w:val="21"/>
              </w:rPr>
            </w:pPr>
            <w:r>
              <w:rPr>
                <w:kern w:val="0"/>
                <w:szCs w:val="21"/>
                <w:lang w:bidi="ar"/>
              </w:rPr>
              <w:t>0.092639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2523CA5">
            <w:pPr>
              <w:widowControl/>
              <w:jc w:val="center"/>
              <w:textAlignment w:val="center"/>
              <w:rPr>
                <w:szCs w:val="21"/>
              </w:rPr>
            </w:pPr>
            <w:r>
              <w:rPr>
                <w:kern w:val="0"/>
                <w:szCs w:val="21"/>
                <w:lang w:bidi="ar"/>
              </w:rPr>
              <w:t>0.93</w:t>
            </w:r>
          </w:p>
        </w:tc>
      </w:tr>
      <w:tr w14:paraId="7DDD2FC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D1F95F1">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2057383">
            <w:pPr>
              <w:widowControl/>
              <w:jc w:val="center"/>
              <w:textAlignment w:val="center"/>
              <w:rPr>
                <w:szCs w:val="21"/>
              </w:rPr>
            </w:pPr>
            <w:r>
              <w:rPr>
                <w:kern w:val="0"/>
                <w:szCs w:val="21"/>
                <w:lang w:bidi="ar"/>
              </w:rPr>
              <w:t>1.197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550EBBA">
            <w:pPr>
              <w:widowControl/>
              <w:jc w:val="center"/>
              <w:textAlignment w:val="center"/>
              <w:rPr>
                <w:szCs w:val="21"/>
              </w:rPr>
            </w:pPr>
            <w:r>
              <w:rPr>
                <w:kern w:val="0"/>
                <w:szCs w:val="21"/>
                <w:lang w:bidi="ar"/>
              </w:rPr>
              <w:t>0.6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82F84AB">
            <w:pPr>
              <w:widowControl/>
              <w:jc w:val="center"/>
              <w:textAlignment w:val="center"/>
              <w:rPr>
                <w:szCs w:val="21"/>
              </w:rPr>
            </w:pPr>
            <w:r>
              <w:rPr>
                <w:kern w:val="0"/>
                <w:szCs w:val="21"/>
                <w:lang w:bidi="ar"/>
              </w:rPr>
              <w:t>0.11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2F6BBD0">
            <w:pPr>
              <w:widowControl/>
              <w:jc w:val="center"/>
              <w:textAlignment w:val="center"/>
              <w:rPr>
                <w:szCs w:val="21"/>
              </w:rPr>
            </w:pPr>
            <w:r>
              <w:rPr>
                <w:kern w:val="0"/>
                <w:szCs w:val="21"/>
                <w:lang w:bidi="ar"/>
              </w:rPr>
              <w:t>1.1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73A3FC4">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B987925">
            <w:pPr>
              <w:widowControl/>
              <w:jc w:val="center"/>
              <w:textAlignment w:val="center"/>
              <w:rPr>
                <w:szCs w:val="21"/>
              </w:rPr>
            </w:pPr>
            <w:r>
              <w:rPr>
                <w:kern w:val="0"/>
                <w:szCs w:val="21"/>
                <w:lang w:bidi="ar"/>
              </w:rPr>
              <w:t>0.45209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89DDC1C">
            <w:pPr>
              <w:widowControl/>
              <w:jc w:val="center"/>
              <w:textAlignment w:val="center"/>
              <w:rPr>
                <w:szCs w:val="21"/>
              </w:rPr>
            </w:pPr>
            <w:r>
              <w:rPr>
                <w:kern w:val="0"/>
                <w:szCs w:val="21"/>
                <w:lang w:bidi="ar"/>
              </w:rPr>
              <w:t>0.23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8C7C92B">
            <w:pPr>
              <w:widowControl/>
              <w:jc w:val="center"/>
              <w:textAlignment w:val="center"/>
              <w:rPr>
                <w:szCs w:val="21"/>
              </w:rPr>
            </w:pPr>
            <w:r>
              <w:rPr>
                <w:kern w:val="0"/>
                <w:szCs w:val="21"/>
                <w:lang w:bidi="ar"/>
              </w:rPr>
              <w:t>0.036656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0F31BA0">
            <w:pPr>
              <w:widowControl/>
              <w:jc w:val="center"/>
              <w:textAlignment w:val="center"/>
              <w:rPr>
                <w:szCs w:val="21"/>
              </w:rPr>
            </w:pPr>
            <w:r>
              <w:rPr>
                <w:kern w:val="0"/>
                <w:szCs w:val="21"/>
                <w:lang w:bidi="ar"/>
              </w:rPr>
              <w:t>0.37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09426B6">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D6BA5CD">
            <w:pPr>
              <w:widowControl/>
              <w:jc w:val="center"/>
              <w:textAlignment w:val="center"/>
              <w:rPr>
                <w:szCs w:val="21"/>
              </w:rPr>
            </w:pPr>
            <w:r>
              <w:rPr>
                <w:kern w:val="0"/>
                <w:szCs w:val="21"/>
                <w:lang w:bidi="ar"/>
              </w:rPr>
              <w:t>0.92833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4B6C53E">
            <w:pPr>
              <w:widowControl/>
              <w:jc w:val="center"/>
              <w:textAlignment w:val="center"/>
              <w:rPr>
                <w:szCs w:val="21"/>
              </w:rPr>
            </w:pPr>
            <w:r>
              <w:rPr>
                <w:kern w:val="0"/>
                <w:szCs w:val="21"/>
                <w:lang w:bidi="ar"/>
              </w:rPr>
              <w:t>0.46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622FA02">
            <w:pPr>
              <w:widowControl/>
              <w:jc w:val="center"/>
              <w:textAlignment w:val="center"/>
              <w:rPr>
                <w:szCs w:val="21"/>
              </w:rPr>
            </w:pPr>
            <w:r>
              <w:rPr>
                <w:kern w:val="0"/>
                <w:szCs w:val="21"/>
                <w:lang w:bidi="ar"/>
              </w:rPr>
              <w:t>0.085504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62E410C">
            <w:pPr>
              <w:widowControl/>
              <w:jc w:val="center"/>
              <w:textAlignment w:val="center"/>
              <w:rPr>
                <w:szCs w:val="21"/>
              </w:rPr>
            </w:pPr>
            <w:r>
              <w:rPr>
                <w:kern w:val="0"/>
                <w:szCs w:val="21"/>
                <w:lang w:bidi="ar"/>
              </w:rPr>
              <w:t>0.86</w:t>
            </w:r>
          </w:p>
        </w:tc>
      </w:tr>
      <w:tr w14:paraId="22546B3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7DE2826">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28157FB">
            <w:pPr>
              <w:widowControl/>
              <w:jc w:val="center"/>
              <w:textAlignment w:val="center"/>
              <w:rPr>
                <w:szCs w:val="21"/>
              </w:rPr>
            </w:pPr>
            <w:r>
              <w:rPr>
                <w:kern w:val="0"/>
                <w:szCs w:val="21"/>
                <w:lang w:bidi="ar"/>
              </w:rPr>
              <w:t>1.114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B3A0D81">
            <w:pPr>
              <w:widowControl/>
              <w:jc w:val="center"/>
              <w:textAlignment w:val="center"/>
              <w:rPr>
                <w:szCs w:val="21"/>
              </w:rPr>
            </w:pPr>
            <w:r>
              <w:rPr>
                <w:kern w:val="0"/>
                <w:szCs w:val="21"/>
                <w:lang w:bidi="ar"/>
              </w:rPr>
              <w:t>0.56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1E7B11E">
            <w:pPr>
              <w:widowControl/>
              <w:jc w:val="center"/>
              <w:textAlignment w:val="center"/>
              <w:rPr>
                <w:szCs w:val="21"/>
              </w:rPr>
            </w:pPr>
            <w:r>
              <w:rPr>
                <w:kern w:val="0"/>
                <w:szCs w:val="21"/>
                <w:lang w:bidi="ar"/>
              </w:rPr>
              <w:t>0.102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5E0AB59">
            <w:pPr>
              <w:widowControl/>
              <w:jc w:val="center"/>
              <w:textAlignment w:val="center"/>
              <w:rPr>
                <w:szCs w:val="21"/>
              </w:rPr>
            </w:pPr>
            <w:r>
              <w:rPr>
                <w:kern w:val="0"/>
                <w:szCs w:val="21"/>
                <w:lang w:bidi="ar"/>
              </w:rPr>
              <w:t>1.02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4706E08">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2AB82D7">
            <w:pPr>
              <w:widowControl/>
              <w:jc w:val="center"/>
              <w:textAlignment w:val="center"/>
              <w:rPr>
                <w:szCs w:val="21"/>
              </w:rPr>
            </w:pPr>
            <w:r>
              <w:rPr>
                <w:kern w:val="0"/>
                <w:szCs w:val="21"/>
                <w:lang w:bidi="ar"/>
              </w:rPr>
              <w:t>0.42102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7B5D658">
            <w:pPr>
              <w:widowControl/>
              <w:jc w:val="center"/>
              <w:textAlignment w:val="center"/>
              <w:rPr>
                <w:szCs w:val="21"/>
              </w:rPr>
            </w:pPr>
            <w:r>
              <w:rPr>
                <w:kern w:val="0"/>
                <w:szCs w:val="21"/>
                <w:lang w:bidi="ar"/>
              </w:rPr>
              <w:t>0.21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61D3FDE">
            <w:pPr>
              <w:widowControl/>
              <w:jc w:val="center"/>
              <w:textAlignment w:val="center"/>
              <w:rPr>
                <w:szCs w:val="21"/>
              </w:rPr>
            </w:pPr>
            <w:r>
              <w:rPr>
                <w:kern w:val="0"/>
                <w:szCs w:val="21"/>
                <w:lang w:bidi="ar"/>
              </w:rPr>
              <w:t>0.034137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442DB6C">
            <w:pPr>
              <w:widowControl/>
              <w:jc w:val="center"/>
              <w:textAlignment w:val="center"/>
              <w:rPr>
                <w:szCs w:val="21"/>
              </w:rPr>
            </w:pPr>
            <w:r>
              <w:rPr>
                <w:kern w:val="0"/>
                <w:szCs w:val="21"/>
                <w:lang w:bidi="ar"/>
              </w:rPr>
              <w:t>0.34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0DB319A">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CEB3769">
            <w:pPr>
              <w:widowControl/>
              <w:jc w:val="center"/>
              <w:textAlignment w:val="center"/>
              <w:rPr>
                <w:szCs w:val="21"/>
              </w:rPr>
            </w:pPr>
            <w:r>
              <w:rPr>
                <w:kern w:val="0"/>
                <w:szCs w:val="21"/>
                <w:lang w:bidi="ar"/>
              </w:rPr>
              <w:t>0.86453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C808C04">
            <w:pPr>
              <w:widowControl/>
              <w:jc w:val="center"/>
              <w:textAlignment w:val="center"/>
              <w:rPr>
                <w:szCs w:val="21"/>
              </w:rPr>
            </w:pPr>
            <w:r>
              <w:rPr>
                <w:kern w:val="0"/>
                <w:szCs w:val="21"/>
                <w:lang w:bidi="ar"/>
              </w:rPr>
              <w:t>0.43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056339E">
            <w:pPr>
              <w:widowControl/>
              <w:jc w:val="center"/>
              <w:textAlignment w:val="center"/>
              <w:rPr>
                <w:szCs w:val="21"/>
              </w:rPr>
            </w:pPr>
            <w:r>
              <w:rPr>
                <w:kern w:val="0"/>
                <w:szCs w:val="21"/>
                <w:lang w:bidi="ar"/>
              </w:rPr>
              <w:t>0.079628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9605EB6">
            <w:pPr>
              <w:widowControl/>
              <w:jc w:val="center"/>
              <w:textAlignment w:val="center"/>
              <w:rPr>
                <w:szCs w:val="21"/>
              </w:rPr>
            </w:pPr>
            <w:r>
              <w:rPr>
                <w:kern w:val="0"/>
                <w:szCs w:val="21"/>
                <w:lang w:bidi="ar"/>
              </w:rPr>
              <w:t>0.8</w:t>
            </w:r>
          </w:p>
        </w:tc>
      </w:tr>
      <w:tr w14:paraId="3EA885B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A1574CF">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883DA02">
            <w:pPr>
              <w:widowControl/>
              <w:jc w:val="center"/>
              <w:textAlignment w:val="center"/>
              <w:rPr>
                <w:szCs w:val="21"/>
              </w:rPr>
            </w:pPr>
            <w:r>
              <w:rPr>
                <w:kern w:val="0"/>
                <w:szCs w:val="21"/>
                <w:lang w:bidi="ar"/>
              </w:rPr>
              <w:t>1.01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A60F66D">
            <w:pPr>
              <w:widowControl/>
              <w:jc w:val="center"/>
              <w:textAlignment w:val="center"/>
              <w:rPr>
                <w:szCs w:val="21"/>
              </w:rPr>
            </w:pPr>
            <w:r>
              <w:rPr>
                <w:kern w:val="0"/>
                <w:szCs w:val="21"/>
                <w:lang w:bidi="ar"/>
              </w:rPr>
              <w:t>0.51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C8EB3B5">
            <w:pPr>
              <w:widowControl/>
              <w:jc w:val="center"/>
              <w:textAlignment w:val="center"/>
              <w:rPr>
                <w:szCs w:val="21"/>
              </w:rPr>
            </w:pPr>
            <w:r>
              <w:rPr>
                <w:kern w:val="0"/>
                <w:szCs w:val="21"/>
                <w:lang w:bidi="ar"/>
              </w:rPr>
              <w:t>0.093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5E6F215">
            <w:pPr>
              <w:widowControl/>
              <w:jc w:val="center"/>
              <w:textAlignment w:val="center"/>
              <w:rPr>
                <w:szCs w:val="21"/>
              </w:rPr>
            </w:pPr>
            <w:r>
              <w:rPr>
                <w:kern w:val="0"/>
                <w:szCs w:val="21"/>
                <w:lang w:bidi="ar"/>
              </w:rPr>
              <w:t>0.93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F849156">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5863B1A">
            <w:pPr>
              <w:widowControl/>
              <w:jc w:val="center"/>
              <w:textAlignment w:val="center"/>
              <w:rPr>
                <w:szCs w:val="21"/>
              </w:rPr>
            </w:pPr>
            <w:r>
              <w:rPr>
                <w:kern w:val="0"/>
                <w:szCs w:val="21"/>
                <w:lang w:bidi="ar"/>
              </w:rPr>
              <w:t>0.38161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2290595">
            <w:pPr>
              <w:widowControl/>
              <w:jc w:val="center"/>
              <w:textAlignment w:val="center"/>
              <w:rPr>
                <w:szCs w:val="21"/>
              </w:rPr>
            </w:pPr>
            <w:r>
              <w:rPr>
                <w:kern w:val="0"/>
                <w:szCs w:val="21"/>
                <w:lang w:bidi="ar"/>
              </w:rPr>
              <w:t>0.19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B6D16CD">
            <w:pPr>
              <w:widowControl/>
              <w:jc w:val="center"/>
              <w:textAlignment w:val="center"/>
              <w:rPr>
                <w:szCs w:val="21"/>
              </w:rPr>
            </w:pPr>
            <w:r>
              <w:rPr>
                <w:kern w:val="0"/>
                <w:szCs w:val="21"/>
                <w:lang w:bidi="ar"/>
              </w:rPr>
              <w:t>0.030941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8EAB634">
            <w:pPr>
              <w:widowControl/>
              <w:jc w:val="center"/>
              <w:textAlignment w:val="center"/>
              <w:rPr>
                <w:szCs w:val="21"/>
              </w:rPr>
            </w:pPr>
            <w:r>
              <w:rPr>
                <w:kern w:val="0"/>
                <w:szCs w:val="21"/>
                <w:lang w:bidi="ar"/>
              </w:rPr>
              <w:t>0.31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9B0FC96">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49E8D64">
            <w:pPr>
              <w:widowControl/>
              <w:jc w:val="center"/>
              <w:textAlignment w:val="center"/>
              <w:rPr>
                <w:szCs w:val="21"/>
              </w:rPr>
            </w:pPr>
            <w:r>
              <w:rPr>
                <w:kern w:val="0"/>
                <w:szCs w:val="21"/>
                <w:lang w:bidi="ar"/>
              </w:rPr>
              <w:t>0.78362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FBA0B14">
            <w:pPr>
              <w:widowControl/>
              <w:jc w:val="center"/>
              <w:textAlignment w:val="center"/>
              <w:rPr>
                <w:szCs w:val="21"/>
              </w:rPr>
            </w:pPr>
            <w:r>
              <w:rPr>
                <w:kern w:val="0"/>
                <w:szCs w:val="21"/>
                <w:lang w:bidi="ar"/>
              </w:rPr>
              <w:t>0.39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B350FC0">
            <w:pPr>
              <w:widowControl/>
              <w:jc w:val="center"/>
              <w:textAlignment w:val="center"/>
              <w:rPr>
                <w:szCs w:val="21"/>
              </w:rPr>
            </w:pPr>
            <w:r>
              <w:rPr>
                <w:kern w:val="0"/>
                <w:szCs w:val="21"/>
                <w:lang w:bidi="ar"/>
              </w:rPr>
              <w:t>0.072176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6421498">
            <w:pPr>
              <w:widowControl/>
              <w:jc w:val="center"/>
              <w:textAlignment w:val="center"/>
              <w:rPr>
                <w:szCs w:val="21"/>
              </w:rPr>
            </w:pPr>
            <w:r>
              <w:rPr>
                <w:kern w:val="0"/>
                <w:szCs w:val="21"/>
                <w:lang w:bidi="ar"/>
              </w:rPr>
              <w:t>0.72</w:t>
            </w:r>
          </w:p>
        </w:tc>
      </w:tr>
      <w:tr w14:paraId="70F358D0">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B3F36B4">
            <w:pPr>
              <w:widowControl/>
              <w:jc w:val="center"/>
              <w:textAlignment w:val="center"/>
              <w:rPr>
                <w:b/>
                <w:bCs/>
                <w:szCs w:val="21"/>
              </w:rPr>
            </w:pPr>
            <w:r>
              <w:rPr>
                <w:b/>
                <w:bCs/>
                <w:kern w:val="0"/>
                <w:szCs w:val="21"/>
                <w:lang w:bidi="ar"/>
              </w:rPr>
              <w:t>盛丰焦化楼2号舍</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BF81766">
            <w:pPr>
              <w:widowControl/>
              <w:jc w:val="center"/>
              <w:textAlignment w:val="center"/>
              <w:rPr>
                <w:b/>
                <w:bCs/>
                <w:szCs w:val="21"/>
              </w:rPr>
            </w:pPr>
            <w:r>
              <w:rPr>
                <w:b/>
                <w:bCs/>
                <w:kern w:val="0"/>
                <w:szCs w:val="21"/>
                <w:lang w:bidi="ar"/>
              </w:rPr>
              <w:t>盛丰篮球场1单元</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0C3D6ED">
            <w:pPr>
              <w:widowControl/>
              <w:jc w:val="center"/>
              <w:textAlignment w:val="center"/>
              <w:rPr>
                <w:b/>
                <w:bCs/>
                <w:szCs w:val="21"/>
              </w:rPr>
            </w:pPr>
            <w:r>
              <w:rPr>
                <w:b/>
                <w:bCs/>
                <w:kern w:val="0"/>
                <w:szCs w:val="21"/>
                <w:lang w:bidi="ar"/>
              </w:rPr>
              <w:t>盛丰篮球场2单元</w:t>
            </w:r>
          </w:p>
        </w:tc>
      </w:tr>
      <w:tr w14:paraId="3830E15F">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1854723F">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874B471">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6B9AAEC">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2101D797">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B5F9404">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6B55838">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7A8FFDA8">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539F91">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A216FFD">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63AC9461">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44221012">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BA61BBD">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D77CF82">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2389419">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3EDD91C">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0A0F9F65">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E014855">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9F70FDF">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8CBCF52">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2AA5A7">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09AA6018">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168D39A">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5090D4">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DCF49E4">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807F702">
            <w:pPr>
              <w:widowControl/>
              <w:jc w:val="center"/>
              <w:textAlignment w:val="center"/>
              <w:rPr>
                <w:b/>
                <w:bCs/>
                <w:szCs w:val="21"/>
              </w:rPr>
            </w:pPr>
            <w:r>
              <w:rPr>
                <w:b/>
                <w:bCs/>
                <w:kern w:val="0"/>
                <w:szCs w:val="21"/>
                <w:lang w:bidi="ar"/>
              </w:rPr>
              <w:t>占标率</w:t>
            </w:r>
          </w:p>
        </w:tc>
      </w:tr>
      <w:tr w14:paraId="17F896FF">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7F87C126">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D7C5E6F">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E0B09CF">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ADD27A7">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C9D2C29">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7318E5D3">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E25149B">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2AAE7E3">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CFBEF2A">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E70AE3D">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29517E00">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72696C6">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82B726D">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62AC681">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3D0E09">
            <w:pPr>
              <w:widowControl/>
              <w:jc w:val="center"/>
              <w:textAlignment w:val="center"/>
              <w:rPr>
                <w:b/>
                <w:bCs/>
                <w:szCs w:val="21"/>
              </w:rPr>
            </w:pPr>
            <w:r>
              <w:rPr>
                <w:b/>
                <w:bCs/>
                <w:kern w:val="0"/>
                <w:szCs w:val="21"/>
                <w:lang w:bidi="ar"/>
              </w:rPr>
              <w:t>Pi(%)</w:t>
            </w:r>
          </w:p>
        </w:tc>
      </w:tr>
      <w:tr w14:paraId="2A97686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354B587">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0F33A27">
            <w:pPr>
              <w:widowControl/>
              <w:jc w:val="center"/>
              <w:textAlignment w:val="center"/>
              <w:rPr>
                <w:szCs w:val="21"/>
              </w:rPr>
            </w:pPr>
            <w:r>
              <w:rPr>
                <w:kern w:val="0"/>
                <w:szCs w:val="21"/>
                <w:lang w:bidi="ar"/>
              </w:rPr>
              <w:t>8.5142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6E1ACBB">
            <w:pPr>
              <w:widowControl/>
              <w:jc w:val="center"/>
              <w:textAlignment w:val="center"/>
              <w:rPr>
                <w:szCs w:val="21"/>
              </w:rPr>
            </w:pPr>
            <w:r>
              <w:rPr>
                <w:kern w:val="0"/>
                <w:szCs w:val="21"/>
                <w:lang w:bidi="ar"/>
              </w:rPr>
              <w:t>4.26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59F4722">
            <w:pPr>
              <w:widowControl/>
              <w:jc w:val="center"/>
              <w:textAlignment w:val="center"/>
              <w:rPr>
                <w:szCs w:val="21"/>
              </w:rPr>
            </w:pPr>
            <w:r>
              <w:rPr>
                <w:kern w:val="0"/>
                <w:szCs w:val="21"/>
                <w:lang w:bidi="ar"/>
              </w:rPr>
              <w:t>0.722904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18AC45B">
            <w:pPr>
              <w:widowControl/>
              <w:jc w:val="center"/>
              <w:textAlignment w:val="center"/>
              <w:rPr>
                <w:szCs w:val="21"/>
              </w:rPr>
            </w:pPr>
            <w:r>
              <w:rPr>
                <w:kern w:val="0"/>
                <w:szCs w:val="21"/>
                <w:lang w:bidi="ar"/>
              </w:rPr>
              <w:t>7.23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F187837">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B376813">
            <w:pPr>
              <w:widowControl/>
              <w:jc w:val="center"/>
              <w:textAlignment w:val="center"/>
              <w:rPr>
                <w:szCs w:val="21"/>
              </w:rPr>
            </w:pPr>
            <w:r>
              <w:rPr>
                <w:kern w:val="0"/>
                <w:szCs w:val="21"/>
                <w:lang w:bidi="ar"/>
              </w:rPr>
              <w:t>4.2778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C57A06D">
            <w:pPr>
              <w:widowControl/>
              <w:jc w:val="center"/>
              <w:textAlignment w:val="center"/>
              <w:rPr>
                <w:szCs w:val="21"/>
              </w:rPr>
            </w:pPr>
            <w:r>
              <w:rPr>
                <w:kern w:val="0"/>
                <w:szCs w:val="21"/>
                <w:lang w:bidi="ar"/>
              </w:rPr>
              <w:t>2.14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1F1C5B9">
            <w:pPr>
              <w:widowControl/>
              <w:jc w:val="center"/>
              <w:textAlignment w:val="center"/>
              <w:rPr>
                <w:szCs w:val="21"/>
              </w:rPr>
            </w:pPr>
            <w:r>
              <w:rPr>
                <w:kern w:val="0"/>
                <w:szCs w:val="21"/>
                <w:lang w:bidi="ar"/>
              </w:rPr>
              <w:t>0.329062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860164F">
            <w:pPr>
              <w:widowControl/>
              <w:jc w:val="center"/>
              <w:textAlignment w:val="center"/>
              <w:rPr>
                <w:szCs w:val="21"/>
              </w:rPr>
            </w:pPr>
            <w:r>
              <w:rPr>
                <w:kern w:val="0"/>
                <w:szCs w:val="21"/>
                <w:lang w:bidi="ar"/>
              </w:rPr>
              <w:t>3.29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6DAA20C">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330D0CF">
            <w:pPr>
              <w:widowControl/>
              <w:jc w:val="center"/>
              <w:textAlignment w:val="center"/>
              <w:rPr>
                <w:szCs w:val="21"/>
              </w:rPr>
            </w:pPr>
            <w:r>
              <w:rPr>
                <w:kern w:val="0"/>
                <w:szCs w:val="21"/>
                <w:lang w:bidi="ar"/>
              </w:rPr>
              <w:t>3.5539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0BB2149">
            <w:pPr>
              <w:widowControl/>
              <w:jc w:val="center"/>
              <w:textAlignment w:val="center"/>
              <w:rPr>
                <w:szCs w:val="21"/>
              </w:rPr>
            </w:pPr>
            <w:r>
              <w:rPr>
                <w:kern w:val="0"/>
                <w:szCs w:val="21"/>
                <w:lang w:bidi="ar"/>
              </w:rPr>
              <w:t>1.78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B613737">
            <w:pPr>
              <w:widowControl/>
              <w:jc w:val="center"/>
              <w:textAlignment w:val="center"/>
              <w:rPr>
                <w:szCs w:val="21"/>
              </w:rPr>
            </w:pPr>
            <w:r>
              <w:rPr>
                <w:kern w:val="0"/>
                <w:szCs w:val="21"/>
                <w:lang w:bidi="ar"/>
              </w:rPr>
              <w:t>0.333178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CBECDE6">
            <w:pPr>
              <w:widowControl/>
              <w:jc w:val="center"/>
              <w:textAlignment w:val="center"/>
              <w:rPr>
                <w:szCs w:val="21"/>
              </w:rPr>
            </w:pPr>
            <w:r>
              <w:rPr>
                <w:kern w:val="0"/>
                <w:szCs w:val="21"/>
                <w:lang w:bidi="ar"/>
              </w:rPr>
              <w:t>3.33</w:t>
            </w:r>
          </w:p>
        </w:tc>
      </w:tr>
      <w:tr w14:paraId="54B4CE4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86E81A3">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C0C867A">
            <w:pPr>
              <w:widowControl/>
              <w:jc w:val="center"/>
              <w:textAlignment w:val="center"/>
              <w:rPr>
                <w:szCs w:val="21"/>
              </w:rPr>
            </w:pPr>
            <w:r>
              <w:rPr>
                <w:kern w:val="0"/>
                <w:szCs w:val="21"/>
                <w:lang w:bidi="ar"/>
              </w:rPr>
              <w:t>10.632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B49674F">
            <w:pPr>
              <w:widowControl/>
              <w:jc w:val="center"/>
              <w:textAlignment w:val="center"/>
              <w:rPr>
                <w:szCs w:val="21"/>
              </w:rPr>
            </w:pPr>
            <w:r>
              <w:rPr>
                <w:kern w:val="0"/>
                <w:szCs w:val="21"/>
                <w:lang w:bidi="ar"/>
              </w:rPr>
              <w:t>5.32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856DE55">
            <w:pPr>
              <w:widowControl/>
              <w:jc w:val="center"/>
              <w:textAlignment w:val="center"/>
              <w:rPr>
                <w:szCs w:val="21"/>
              </w:rPr>
            </w:pPr>
            <w:r>
              <w:rPr>
                <w:kern w:val="0"/>
                <w:szCs w:val="21"/>
                <w:lang w:bidi="ar"/>
              </w:rPr>
              <w:t>0.902717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450BF21">
            <w:pPr>
              <w:widowControl/>
              <w:jc w:val="center"/>
              <w:textAlignment w:val="center"/>
              <w:rPr>
                <w:szCs w:val="21"/>
              </w:rPr>
            </w:pPr>
            <w:r>
              <w:rPr>
                <w:kern w:val="0"/>
                <w:szCs w:val="21"/>
                <w:lang w:bidi="ar"/>
              </w:rPr>
              <w:t>9.03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ACDE450">
            <w:pPr>
              <w:widowControl/>
              <w:jc w:val="center"/>
              <w:textAlignment w:val="center"/>
              <w:rPr>
                <w:szCs w:val="21"/>
              </w:rPr>
            </w:pPr>
            <w:r>
              <w:rPr>
                <w:kern w:val="0"/>
                <w:szCs w:val="21"/>
                <w:lang w:bidi="ar"/>
              </w:rPr>
              <w:t>22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996F67B">
            <w:pPr>
              <w:widowControl/>
              <w:jc w:val="center"/>
              <w:textAlignment w:val="center"/>
              <w:rPr>
                <w:szCs w:val="21"/>
              </w:rPr>
            </w:pPr>
            <w:r>
              <w:rPr>
                <w:kern w:val="0"/>
                <w:szCs w:val="21"/>
                <w:lang w:bidi="ar"/>
              </w:rPr>
              <w:t>5.464601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E8004AB">
            <w:pPr>
              <w:widowControl/>
              <w:jc w:val="center"/>
              <w:textAlignment w:val="center"/>
              <w:rPr>
                <w:szCs w:val="21"/>
              </w:rPr>
            </w:pPr>
            <w:r>
              <w:rPr>
                <w:kern w:val="0"/>
                <w:szCs w:val="21"/>
                <w:lang w:bidi="ar"/>
              </w:rPr>
              <w:t>2.73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6FDEE97">
            <w:pPr>
              <w:widowControl/>
              <w:jc w:val="center"/>
              <w:textAlignment w:val="center"/>
              <w:rPr>
                <w:szCs w:val="21"/>
              </w:rPr>
            </w:pPr>
            <w:r>
              <w:rPr>
                <w:kern w:val="0"/>
                <w:szCs w:val="21"/>
                <w:lang w:bidi="ar"/>
              </w:rPr>
              <w:t>0.420354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8962CEE">
            <w:pPr>
              <w:widowControl/>
              <w:jc w:val="center"/>
              <w:textAlignment w:val="center"/>
              <w:rPr>
                <w:szCs w:val="21"/>
              </w:rPr>
            </w:pPr>
            <w:r>
              <w:rPr>
                <w:kern w:val="0"/>
                <w:szCs w:val="21"/>
                <w:lang w:bidi="ar"/>
              </w:rPr>
              <w:t>4.2</w:t>
            </w:r>
          </w:p>
        </w:tc>
        <w:tc>
          <w:tcPr>
            <w:tcW w:w="254" w:type="pct"/>
            <w:vMerge w:val="restart"/>
            <w:tcBorders>
              <w:top w:val="single" w:color="000000" w:sz="4" w:space="0"/>
              <w:left w:val="single" w:color="000000" w:sz="4" w:space="0"/>
              <w:right w:val="single" w:color="000000" w:sz="4" w:space="0"/>
            </w:tcBorders>
            <w:noWrap/>
            <w:vAlign w:val="center"/>
          </w:tcPr>
          <w:p w14:paraId="6C0A8B38">
            <w:pPr>
              <w:widowControl/>
              <w:jc w:val="center"/>
              <w:textAlignment w:val="center"/>
              <w:rPr>
                <w:szCs w:val="21"/>
              </w:rPr>
            </w:pPr>
            <w:r>
              <w:rPr>
                <w:kern w:val="0"/>
                <w:szCs w:val="21"/>
                <w:lang w:bidi="ar"/>
              </w:rPr>
              <w:t>25</w:t>
            </w:r>
          </w:p>
        </w:tc>
        <w:tc>
          <w:tcPr>
            <w:tcW w:w="429" w:type="pct"/>
            <w:vMerge w:val="restart"/>
            <w:tcBorders>
              <w:top w:val="single" w:color="000000" w:sz="4" w:space="0"/>
              <w:left w:val="single" w:color="000000" w:sz="4" w:space="0"/>
              <w:right w:val="single" w:color="000000" w:sz="4" w:space="0"/>
            </w:tcBorders>
            <w:noWrap/>
            <w:vAlign w:val="center"/>
          </w:tcPr>
          <w:p w14:paraId="0207044C">
            <w:pPr>
              <w:widowControl/>
              <w:jc w:val="center"/>
              <w:textAlignment w:val="center"/>
              <w:rPr>
                <w:szCs w:val="21"/>
              </w:rPr>
            </w:pPr>
            <w:r>
              <w:rPr>
                <w:kern w:val="0"/>
                <w:szCs w:val="21"/>
                <w:lang w:bidi="ar"/>
              </w:rPr>
              <w:t>4.4677</w:t>
            </w:r>
          </w:p>
        </w:tc>
        <w:tc>
          <w:tcPr>
            <w:tcW w:w="271" w:type="pct"/>
            <w:vMerge w:val="restart"/>
            <w:tcBorders>
              <w:top w:val="single" w:color="000000" w:sz="4" w:space="0"/>
              <w:left w:val="single" w:color="000000" w:sz="4" w:space="0"/>
              <w:right w:val="single" w:color="000000" w:sz="4" w:space="0"/>
            </w:tcBorders>
            <w:noWrap/>
            <w:vAlign w:val="center"/>
          </w:tcPr>
          <w:p w14:paraId="57009F51">
            <w:pPr>
              <w:widowControl/>
              <w:jc w:val="center"/>
              <w:textAlignment w:val="center"/>
              <w:rPr>
                <w:szCs w:val="21"/>
              </w:rPr>
            </w:pPr>
            <w:r>
              <w:rPr>
                <w:kern w:val="0"/>
                <w:szCs w:val="21"/>
                <w:lang w:bidi="ar"/>
              </w:rPr>
              <w:t>2.23</w:t>
            </w:r>
          </w:p>
        </w:tc>
        <w:tc>
          <w:tcPr>
            <w:tcW w:w="413" w:type="pct"/>
            <w:vMerge w:val="restart"/>
            <w:tcBorders>
              <w:top w:val="single" w:color="000000" w:sz="4" w:space="0"/>
              <w:left w:val="single" w:color="000000" w:sz="4" w:space="0"/>
              <w:right w:val="single" w:color="000000" w:sz="4" w:space="0"/>
            </w:tcBorders>
            <w:noWrap/>
            <w:vAlign w:val="center"/>
          </w:tcPr>
          <w:p w14:paraId="380A1B68">
            <w:pPr>
              <w:widowControl/>
              <w:jc w:val="center"/>
              <w:textAlignment w:val="center"/>
              <w:rPr>
                <w:szCs w:val="21"/>
              </w:rPr>
            </w:pPr>
            <w:r>
              <w:rPr>
                <w:kern w:val="0"/>
                <w:szCs w:val="21"/>
                <w:lang w:bidi="ar"/>
              </w:rPr>
              <w:t>0.418847</w:t>
            </w:r>
          </w:p>
        </w:tc>
        <w:tc>
          <w:tcPr>
            <w:tcW w:w="245" w:type="pct"/>
            <w:vMerge w:val="restart"/>
            <w:tcBorders>
              <w:top w:val="single" w:color="000000" w:sz="4" w:space="0"/>
              <w:left w:val="single" w:color="000000" w:sz="4" w:space="0"/>
              <w:right w:val="single" w:color="000000" w:sz="4" w:space="0"/>
            </w:tcBorders>
            <w:noWrap/>
            <w:vAlign w:val="center"/>
          </w:tcPr>
          <w:p w14:paraId="7E56F251">
            <w:pPr>
              <w:widowControl/>
              <w:jc w:val="center"/>
              <w:textAlignment w:val="center"/>
              <w:rPr>
                <w:szCs w:val="21"/>
              </w:rPr>
            </w:pPr>
            <w:r>
              <w:rPr>
                <w:kern w:val="0"/>
                <w:szCs w:val="21"/>
                <w:lang w:bidi="ar"/>
              </w:rPr>
              <w:t>4.19</w:t>
            </w:r>
          </w:p>
        </w:tc>
      </w:tr>
      <w:tr w14:paraId="61F54BA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3A7BD48">
            <w:pPr>
              <w:widowControl/>
              <w:jc w:val="center"/>
              <w:textAlignment w:val="center"/>
              <w:rPr>
                <w:szCs w:val="21"/>
              </w:rPr>
            </w:pPr>
            <w:r>
              <w:rPr>
                <w:kern w:val="0"/>
                <w:szCs w:val="21"/>
                <w:lang w:bidi="ar"/>
              </w:rPr>
              <w:t>35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0CF780C">
            <w:pPr>
              <w:widowControl/>
              <w:jc w:val="center"/>
              <w:textAlignment w:val="center"/>
              <w:rPr>
                <w:szCs w:val="21"/>
              </w:rPr>
            </w:pPr>
            <w:r>
              <w:rPr>
                <w:kern w:val="0"/>
                <w:szCs w:val="21"/>
                <w:lang w:bidi="ar"/>
              </w:rPr>
              <w:t>11.575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6D1DCA0">
            <w:pPr>
              <w:widowControl/>
              <w:jc w:val="center"/>
              <w:textAlignment w:val="center"/>
              <w:rPr>
                <w:szCs w:val="21"/>
              </w:rPr>
            </w:pPr>
            <w:r>
              <w:rPr>
                <w:kern w:val="0"/>
                <w:szCs w:val="21"/>
                <w:lang w:bidi="ar"/>
              </w:rPr>
              <w:t>5.79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B68C54B">
            <w:pPr>
              <w:widowControl/>
              <w:jc w:val="center"/>
              <w:textAlignment w:val="center"/>
              <w:rPr>
                <w:szCs w:val="21"/>
              </w:rPr>
            </w:pPr>
            <w:r>
              <w:rPr>
                <w:kern w:val="0"/>
                <w:szCs w:val="21"/>
                <w:lang w:bidi="ar"/>
              </w:rPr>
              <w:t>0.982783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B5ACE2D">
            <w:pPr>
              <w:widowControl/>
              <w:jc w:val="center"/>
              <w:textAlignment w:val="center"/>
              <w:rPr>
                <w:szCs w:val="21"/>
              </w:rPr>
            </w:pPr>
            <w:r>
              <w:rPr>
                <w:kern w:val="0"/>
                <w:szCs w:val="21"/>
                <w:lang w:bidi="ar"/>
              </w:rPr>
              <w:t>9.83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90D98B6">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6145AB9">
            <w:pPr>
              <w:widowControl/>
              <w:jc w:val="center"/>
              <w:textAlignment w:val="center"/>
              <w:rPr>
                <w:szCs w:val="21"/>
              </w:rPr>
            </w:pPr>
            <w:r>
              <w:rPr>
                <w:kern w:val="0"/>
                <w:szCs w:val="21"/>
                <w:lang w:bidi="ar"/>
              </w:rPr>
              <w:t>5.382801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221B931">
            <w:pPr>
              <w:widowControl/>
              <w:jc w:val="center"/>
              <w:textAlignment w:val="center"/>
              <w:rPr>
                <w:szCs w:val="21"/>
              </w:rPr>
            </w:pPr>
            <w:r>
              <w:rPr>
                <w:kern w:val="0"/>
                <w:szCs w:val="21"/>
                <w:lang w:bidi="ar"/>
              </w:rPr>
              <w:t>2.69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60BE40D">
            <w:pPr>
              <w:widowControl/>
              <w:jc w:val="center"/>
              <w:textAlignment w:val="center"/>
              <w:rPr>
                <w:szCs w:val="21"/>
              </w:rPr>
            </w:pPr>
            <w:r>
              <w:rPr>
                <w:kern w:val="0"/>
                <w:szCs w:val="21"/>
                <w:lang w:bidi="ar"/>
              </w:rPr>
              <w:t>0.414062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2F1C964">
            <w:pPr>
              <w:widowControl/>
              <w:jc w:val="center"/>
              <w:textAlignment w:val="center"/>
              <w:rPr>
                <w:szCs w:val="21"/>
              </w:rPr>
            </w:pPr>
            <w:r>
              <w:rPr>
                <w:kern w:val="0"/>
                <w:szCs w:val="21"/>
                <w:lang w:bidi="ar"/>
              </w:rPr>
              <w:t>4.14</w:t>
            </w:r>
          </w:p>
        </w:tc>
        <w:tc>
          <w:tcPr>
            <w:tcW w:w="254" w:type="pct"/>
            <w:vMerge w:val="continue"/>
            <w:tcBorders>
              <w:left w:val="single" w:color="000000" w:sz="4" w:space="0"/>
              <w:bottom w:val="single" w:color="000000" w:sz="4" w:space="0"/>
              <w:right w:val="single" w:color="000000" w:sz="4" w:space="0"/>
            </w:tcBorders>
            <w:noWrap/>
            <w:vAlign w:val="center"/>
          </w:tcPr>
          <w:p w14:paraId="05EF1FFF">
            <w:pPr>
              <w:jc w:val="center"/>
              <w:rPr>
                <w:szCs w:val="21"/>
              </w:rPr>
            </w:pPr>
          </w:p>
        </w:tc>
        <w:tc>
          <w:tcPr>
            <w:tcW w:w="429" w:type="pct"/>
            <w:vMerge w:val="continue"/>
            <w:tcBorders>
              <w:left w:val="single" w:color="000000" w:sz="4" w:space="0"/>
              <w:bottom w:val="single" w:color="000000" w:sz="4" w:space="0"/>
              <w:right w:val="single" w:color="000000" w:sz="4" w:space="0"/>
            </w:tcBorders>
            <w:noWrap/>
            <w:vAlign w:val="center"/>
          </w:tcPr>
          <w:p w14:paraId="6D8CCF86">
            <w:pPr>
              <w:jc w:val="center"/>
              <w:rPr>
                <w:szCs w:val="21"/>
              </w:rPr>
            </w:pPr>
          </w:p>
        </w:tc>
        <w:tc>
          <w:tcPr>
            <w:tcW w:w="271" w:type="pct"/>
            <w:vMerge w:val="continue"/>
            <w:tcBorders>
              <w:left w:val="single" w:color="000000" w:sz="4" w:space="0"/>
              <w:bottom w:val="single" w:color="000000" w:sz="4" w:space="0"/>
              <w:right w:val="single" w:color="000000" w:sz="4" w:space="0"/>
            </w:tcBorders>
            <w:noWrap/>
            <w:vAlign w:val="center"/>
          </w:tcPr>
          <w:p w14:paraId="00F46304">
            <w:pPr>
              <w:jc w:val="center"/>
              <w:rPr>
                <w:szCs w:val="21"/>
              </w:rPr>
            </w:pPr>
          </w:p>
        </w:tc>
        <w:tc>
          <w:tcPr>
            <w:tcW w:w="413" w:type="pct"/>
            <w:vMerge w:val="continue"/>
            <w:tcBorders>
              <w:left w:val="single" w:color="000000" w:sz="4" w:space="0"/>
              <w:bottom w:val="single" w:color="000000" w:sz="4" w:space="0"/>
              <w:right w:val="single" w:color="000000" w:sz="4" w:space="0"/>
            </w:tcBorders>
            <w:noWrap/>
            <w:vAlign w:val="center"/>
          </w:tcPr>
          <w:p w14:paraId="6997AC0C">
            <w:pPr>
              <w:jc w:val="center"/>
              <w:rPr>
                <w:szCs w:val="21"/>
              </w:rPr>
            </w:pPr>
          </w:p>
        </w:tc>
        <w:tc>
          <w:tcPr>
            <w:tcW w:w="245" w:type="pct"/>
            <w:vMerge w:val="continue"/>
            <w:tcBorders>
              <w:left w:val="single" w:color="000000" w:sz="4" w:space="0"/>
              <w:bottom w:val="single" w:color="000000" w:sz="4" w:space="0"/>
              <w:right w:val="single" w:color="000000" w:sz="4" w:space="0"/>
            </w:tcBorders>
            <w:noWrap/>
            <w:vAlign w:val="center"/>
          </w:tcPr>
          <w:p w14:paraId="06DFED0C">
            <w:pPr>
              <w:jc w:val="center"/>
              <w:rPr>
                <w:szCs w:val="21"/>
              </w:rPr>
            </w:pPr>
          </w:p>
        </w:tc>
      </w:tr>
      <w:tr w14:paraId="572277C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E620564">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5FBDACD">
            <w:pPr>
              <w:widowControl/>
              <w:jc w:val="center"/>
              <w:textAlignment w:val="center"/>
              <w:rPr>
                <w:szCs w:val="21"/>
              </w:rPr>
            </w:pPr>
            <w:r>
              <w:rPr>
                <w:kern w:val="0"/>
                <w:szCs w:val="21"/>
                <w:lang w:bidi="ar"/>
              </w:rPr>
              <w:t>10.676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799DC97">
            <w:pPr>
              <w:widowControl/>
              <w:jc w:val="center"/>
              <w:textAlignment w:val="center"/>
              <w:rPr>
                <w:szCs w:val="21"/>
              </w:rPr>
            </w:pPr>
            <w:r>
              <w:rPr>
                <w:kern w:val="0"/>
                <w:szCs w:val="21"/>
                <w:lang w:bidi="ar"/>
              </w:rPr>
              <w:t>5.34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C76334C">
            <w:pPr>
              <w:widowControl/>
              <w:jc w:val="center"/>
              <w:textAlignment w:val="center"/>
              <w:rPr>
                <w:szCs w:val="21"/>
              </w:rPr>
            </w:pPr>
            <w:r>
              <w:rPr>
                <w:kern w:val="0"/>
                <w:szCs w:val="21"/>
                <w:lang w:bidi="ar"/>
              </w:rPr>
              <w:t>0.906453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E199CAB">
            <w:pPr>
              <w:widowControl/>
              <w:jc w:val="center"/>
              <w:textAlignment w:val="center"/>
              <w:rPr>
                <w:szCs w:val="21"/>
              </w:rPr>
            </w:pPr>
            <w:r>
              <w:rPr>
                <w:kern w:val="0"/>
                <w:szCs w:val="21"/>
                <w:lang w:bidi="ar"/>
              </w:rPr>
              <w:t>9.06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4929C10">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A1C5C19">
            <w:pPr>
              <w:widowControl/>
              <w:jc w:val="center"/>
              <w:textAlignment w:val="center"/>
              <w:rPr>
                <w:szCs w:val="21"/>
              </w:rPr>
            </w:pPr>
            <w:r>
              <w:rPr>
                <w:kern w:val="0"/>
                <w:szCs w:val="21"/>
                <w:lang w:bidi="ar"/>
              </w:rPr>
              <w:t>4.0098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3C2A50D">
            <w:pPr>
              <w:widowControl/>
              <w:jc w:val="center"/>
              <w:textAlignment w:val="center"/>
              <w:rPr>
                <w:szCs w:val="21"/>
              </w:rPr>
            </w:pPr>
            <w:r>
              <w:rPr>
                <w:kern w:val="0"/>
                <w:szCs w:val="21"/>
                <w:lang w:bidi="ar"/>
              </w:rPr>
              <w:t>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B6BBD75">
            <w:pPr>
              <w:widowControl/>
              <w:jc w:val="center"/>
              <w:textAlignment w:val="center"/>
              <w:rPr>
                <w:szCs w:val="21"/>
              </w:rPr>
            </w:pPr>
            <w:r>
              <w:rPr>
                <w:kern w:val="0"/>
                <w:szCs w:val="21"/>
                <w:lang w:bidi="ar"/>
              </w:rPr>
              <w:t>0.308446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18F22CB">
            <w:pPr>
              <w:widowControl/>
              <w:jc w:val="center"/>
              <w:textAlignment w:val="center"/>
              <w:rPr>
                <w:szCs w:val="21"/>
              </w:rPr>
            </w:pPr>
            <w:r>
              <w:rPr>
                <w:kern w:val="0"/>
                <w:szCs w:val="21"/>
                <w:lang w:bidi="ar"/>
              </w:rPr>
              <w:t>3.08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CE5D055">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DDD7F8A">
            <w:pPr>
              <w:widowControl/>
              <w:jc w:val="center"/>
              <w:textAlignment w:val="center"/>
              <w:rPr>
                <w:szCs w:val="21"/>
              </w:rPr>
            </w:pPr>
            <w:r>
              <w:rPr>
                <w:kern w:val="0"/>
                <w:szCs w:val="21"/>
                <w:lang w:bidi="ar"/>
              </w:rPr>
              <w:t>3.2539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42A3BA7">
            <w:pPr>
              <w:widowControl/>
              <w:jc w:val="center"/>
              <w:textAlignment w:val="center"/>
              <w:rPr>
                <w:szCs w:val="21"/>
              </w:rPr>
            </w:pPr>
            <w:r>
              <w:rPr>
                <w:kern w:val="0"/>
                <w:szCs w:val="21"/>
                <w:lang w:bidi="ar"/>
              </w:rPr>
              <w:t>1.63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AB1ED16">
            <w:pPr>
              <w:widowControl/>
              <w:jc w:val="center"/>
              <w:textAlignment w:val="center"/>
              <w:rPr>
                <w:szCs w:val="21"/>
              </w:rPr>
            </w:pPr>
            <w:r>
              <w:rPr>
                <w:kern w:val="0"/>
                <w:szCs w:val="21"/>
                <w:lang w:bidi="ar"/>
              </w:rPr>
              <w:t>0.305053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035B2A8">
            <w:pPr>
              <w:widowControl/>
              <w:jc w:val="center"/>
              <w:textAlignment w:val="center"/>
              <w:rPr>
                <w:szCs w:val="21"/>
              </w:rPr>
            </w:pPr>
            <w:r>
              <w:rPr>
                <w:kern w:val="0"/>
                <w:szCs w:val="21"/>
                <w:lang w:bidi="ar"/>
              </w:rPr>
              <w:t>3.05</w:t>
            </w:r>
          </w:p>
        </w:tc>
      </w:tr>
      <w:tr w14:paraId="01D5E3F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3E33A1A">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FDF2318">
            <w:pPr>
              <w:widowControl/>
              <w:jc w:val="center"/>
              <w:textAlignment w:val="center"/>
              <w:rPr>
                <w:szCs w:val="21"/>
              </w:rPr>
            </w:pPr>
            <w:r>
              <w:rPr>
                <w:kern w:val="0"/>
                <w:szCs w:val="21"/>
                <w:lang w:bidi="ar"/>
              </w:rPr>
              <w:t>6.947701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AFE4073">
            <w:pPr>
              <w:widowControl/>
              <w:jc w:val="center"/>
              <w:textAlignment w:val="center"/>
              <w:rPr>
                <w:szCs w:val="21"/>
              </w:rPr>
            </w:pPr>
            <w:r>
              <w:rPr>
                <w:kern w:val="0"/>
                <w:szCs w:val="21"/>
                <w:lang w:bidi="ar"/>
              </w:rPr>
              <w:t>3.47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D5FD4E4">
            <w:pPr>
              <w:widowControl/>
              <w:jc w:val="center"/>
              <w:textAlignment w:val="center"/>
              <w:rPr>
                <w:szCs w:val="21"/>
              </w:rPr>
            </w:pPr>
            <w:r>
              <w:rPr>
                <w:kern w:val="0"/>
                <w:szCs w:val="21"/>
                <w:lang w:bidi="ar"/>
              </w:rPr>
              <w:t>0.589899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299F60F">
            <w:pPr>
              <w:widowControl/>
              <w:jc w:val="center"/>
              <w:textAlignment w:val="center"/>
              <w:rPr>
                <w:szCs w:val="21"/>
              </w:rPr>
            </w:pPr>
            <w:r>
              <w:rPr>
                <w:kern w:val="0"/>
                <w:szCs w:val="21"/>
                <w:lang w:bidi="ar"/>
              </w:rPr>
              <w:t>5.9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A056387">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0AE8378">
            <w:pPr>
              <w:widowControl/>
              <w:jc w:val="center"/>
              <w:textAlignment w:val="center"/>
              <w:rPr>
                <w:szCs w:val="21"/>
              </w:rPr>
            </w:pPr>
            <w:r>
              <w:rPr>
                <w:kern w:val="0"/>
                <w:szCs w:val="21"/>
                <w:lang w:bidi="ar"/>
              </w:rPr>
              <w:t>2.5012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C29A9EE">
            <w:pPr>
              <w:widowControl/>
              <w:jc w:val="center"/>
              <w:textAlignment w:val="center"/>
              <w:rPr>
                <w:szCs w:val="21"/>
              </w:rPr>
            </w:pPr>
            <w:r>
              <w:rPr>
                <w:kern w:val="0"/>
                <w:szCs w:val="21"/>
                <w:lang w:bidi="ar"/>
              </w:rPr>
              <w:t>1.25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F0CE54E">
            <w:pPr>
              <w:widowControl/>
              <w:jc w:val="center"/>
              <w:textAlignment w:val="center"/>
              <w:rPr>
                <w:szCs w:val="21"/>
              </w:rPr>
            </w:pPr>
            <w:r>
              <w:rPr>
                <w:kern w:val="0"/>
                <w:szCs w:val="21"/>
                <w:lang w:bidi="ar"/>
              </w:rPr>
              <w:t>0.1924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931F2CF">
            <w:pPr>
              <w:widowControl/>
              <w:jc w:val="center"/>
              <w:textAlignment w:val="center"/>
              <w:rPr>
                <w:szCs w:val="21"/>
              </w:rPr>
            </w:pPr>
            <w:r>
              <w:rPr>
                <w:kern w:val="0"/>
                <w:szCs w:val="21"/>
                <w:lang w:bidi="ar"/>
              </w:rPr>
              <w:t>1.92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0438997">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E08FEF0">
            <w:pPr>
              <w:widowControl/>
              <w:jc w:val="center"/>
              <w:textAlignment w:val="center"/>
              <w:rPr>
                <w:szCs w:val="21"/>
              </w:rPr>
            </w:pPr>
            <w:r>
              <w:rPr>
                <w:kern w:val="0"/>
                <w:szCs w:val="21"/>
                <w:lang w:bidi="ar"/>
              </w:rPr>
              <w:t>2.0311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A46A0B7">
            <w:pPr>
              <w:widowControl/>
              <w:jc w:val="center"/>
              <w:textAlignment w:val="center"/>
              <w:rPr>
                <w:szCs w:val="21"/>
              </w:rPr>
            </w:pPr>
            <w:r>
              <w:rPr>
                <w:kern w:val="0"/>
                <w:szCs w:val="21"/>
                <w:lang w:bidi="ar"/>
              </w:rPr>
              <w:t>1.02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AB22CCE">
            <w:pPr>
              <w:widowControl/>
              <w:jc w:val="center"/>
              <w:textAlignment w:val="center"/>
              <w:rPr>
                <w:szCs w:val="21"/>
              </w:rPr>
            </w:pPr>
            <w:r>
              <w:rPr>
                <w:kern w:val="0"/>
                <w:szCs w:val="21"/>
                <w:lang w:bidi="ar"/>
              </w:rPr>
              <w:t>0.190416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6F94884">
            <w:pPr>
              <w:widowControl/>
              <w:jc w:val="center"/>
              <w:textAlignment w:val="center"/>
              <w:rPr>
                <w:szCs w:val="21"/>
              </w:rPr>
            </w:pPr>
            <w:r>
              <w:rPr>
                <w:kern w:val="0"/>
                <w:szCs w:val="21"/>
                <w:lang w:bidi="ar"/>
              </w:rPr>
              <w:t>1.9</w:t>
            </w:r>
          </w:p>
        </w:tc>
      </w:tr>
      <w:tr w14:paraId="171E200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88634B2">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ADE52E4">
            <w:pPr>
              <w:widowControl/>
              <w:jc w:val="center"/>
              <w:textAlignment w:val="center"/>
              <w:rPr>
                <w:szCs w:val="21"/>
              </w:rPr>
            </w:pPr>
            <w:r>
              <w:rPr>
                <w:kern w:val="0"/>
                <w:szCs w:val="21"/>
                <w:lang w:bidi="ar"/>
              </w:rPr>
              <w:t>5.147501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DA52AB9">
            <w:pPr>
              <w:widowControl/>
              <w:jc w:val="center"/>
              <w:textAlignment w:val="center"/>
              <w:rPr>
                <w:szCs w:val="21"/>
              </w:rPr>
            </w:pPr>
            <w:r>
              <w:rPr>
                <w:kern w:val="0"/>
                <w:szCs w:val="21"/>
                <w:lang w:bidi="ar"/>
              </w:rPr>
              <w:t>2.57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6396364">
            <w:pPr>
              <w:widowControl/>
              <w:jc w:val="center"/>
              <w:textAlignment w:val="center"/>
              <w:rPr>
                <w:szCs w:val="21"/>
              </w:rPr>
            </w:pPr>
            <w:r>
              <w:rPr>
                <w:kern w:val="0"/>
                <w:szCs w:val="21"/>
                <w:lang w:bidi="ar"/>
              </w:rPr>
              <w:t>0.437052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A64892A">
            <w:pPr>
              <w:widowControl/>
              <w:jc w:val="center"/>
              <w:textAlignment w:val="center"/>
              <w:rPr>
                <w:szCs w:val="21"/>
              </w:rPr>
            </w:pPr>
            <w:r>
              <w:rPr>
                <w:kern w:val="0"/>
                <w:szCs w:val="21"/>
                <w:lang w:bidi="ar"/>
              </w:rPr>
              <w:t>4.37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32701AD">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6FFE3A7">
            <w:pPr>
              <w:widowControl/>
              <w:jc w:val="center"/>
              <w:textAlignment w:val="center"/>
              <w:rPr>
                <w:szCs w:val="21"/>
              </w:rPr>
            </w:pPr>
            <w:r>
              <w:rPr>
                <w:kern w:val="0"/>
                <w:szCs w:val="21"/>
                <w:lang w:bidi="ar"/>
              </w:rPr>
              <w:t>1.9147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270F492">
            <w:pPr>
              <w:widowControl/>
              <w:jc w:val="center"/>
              <w:textAlignment w:val="center"/>
              <w:rPr>
                <w:szCs w:val="21"/>
              </w:rPr>
            </w:pPr>
            <w:r>
              <w:rPr>
                <w:kern w:val="0"/>
                <w:szCs w:val="21"/>
                <w:lang w:bidi="ar"/>
              </w:rPr>
              <w:t>0.96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B89DF3D">
            <w:pPr>
              <w:widowControl/>
              <w:jc w:val="center"/>
              <w:textAlignment w:val="center"/>
              <w:rPr>
                <w:szCs w:val="21"/>
              </w:rPr>
            </w:pPr>
            <w:r>
              <w:rPr>
                <w:kern w:val="0"/>
                <w:szCs w:val="21"/>
                <w:lang w:bidi="ar"/>
              </w:rPr>
              <w:t>0.147285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A14FB5F">
            <w:pPr>
              <w:widowControl/>
              <w:jc w:val="center"/>
              <w:textAlignment w:val="center"/>
              <w:rPr>
                <w:szCs w:val="21"/>
              </w:rPr>
            </w:pPr>
            <w:r>
              <w:rPr>
                <w:kern w:val="0"/>
                <w:szCs w:val="21"/>
                <w:lang w:bidi="ar"/>
              </w:rPr>
              <w:t>1.47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8C86252">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BEDC20D">
            <w:pPr>
              <w:widowControl/>
              <w:jc w:val="center"/>
              <w:textAlignment w:val="center"/>
              <w:rPr>
                <w:szCs w:val="21"/>
              </w:rPr>
            </w:pPr>
            <w:r>
              <w:rPr>
                <w:kern w:val="0"/>
                <w:szCs w:val="21"/>
                <w:lang w:bidi="ar"/>
              </w:rPr>
              <w:t>1.5646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F0BC039">
            <w:pPr>
              <w:widowControl/>
              <w:jc w:val="center"/>
              <w:textAlignment w:val="center"/>
              <w:rPr>
                <w:szCs w:val="21"/>
              </w:rPr>
            </w:pPr>
            <w:r>
              <w:rPr>
                <w:kern w:val="0"/>
                <w:szCs w:val="21"/>
                <w:lang w:bidi="ar"/>
              </w:rPr>
              <w:t>0.78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8081696">
            <w:pPr>
              <w:widowControl/>
              <w:jc w:val="center"/>
              <w:textAlignment w:val="center"/>
              <w:rPr>
                <w:szCs w:val="21"/>
              </w:rPr>
            </w:pPr>
            <w:r>
              <w:rPr>
                <w:kern w:val="0"/>
                <w:szCs w:val="21"/>
                <w:lang w:bidi="ar"/>
              </w:rPr>
              <w:t>0.146681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F72E0EF">
            <w:pPr>
              <w:widowControl/>
              <w:jc w:val="center"/>
              <w:textAlignment w:val="center"/>
              <w:rPr>
                <w:szCs w:val="21"/>
              </w:rPr>
            </w:pPr>
            <w:r>
              <w:rPr>
                <w:kern w:val="0"/>
                <w:szCs w:val="21"/>
                <w:lang w:bidi="ar"/>
              </w:rPr>
              <w:t>1.47</w:t>
            </w:r>
          </w:p>
        </w:tc>
      </w:tr>
      <w:tr w14:paraId="747470D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2DB1829">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76E8D11">
            <w:pPr>
              <w:widowControl/>
              <w:jc w:val="center"/>
              <w:textAlignment w:val="center"/>
              <w:rPr>
                <w:szCs w:val="21"/>
              </w:rPr>
            </w:pPr>
            <w:r>
              <w:rPr>
                <w:kern w:val="0"/>
                <w:szCs w:val="21"/>
                <w:lang w:bidi="ar"/>
              </w:rPr>
              <w:t>4.0652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D660592">
            <w:pPr>
              <w:widowControl/>
              <w:jc w:val="center"/>
              <w:textAlignment w:val="center"/>
              <w:rPr>
                <w:szCs w:val="21"/>
              </w:rPr>
            </w:pPr>
            <w:r>
              <w:rPr>
                <w:kern w:val="0"/>
                <w:szCs w:val="21"/>
                <w:lang w:bidi="ar"/>
              </w:rPr>
              <w:t>2.03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3930ECA">
            <w:pPr>
              <w:widowControl/>
              <w:jc w:val="center"/>
              <w:textAlignment w:val="center"/>
              <w:rPr>
                <w:szCs w:val="21"/>
              </w:rPr>
            </w:pPr>
            <w:r>
              <w:rPr>
                <w:kern w:val="0"/>
                <w:szCs w:val="21"/>
                <w:lang w:bidi="ar"/>
              </w:rPr>
              <w:t>0.345159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FEC586D">
            <w:pPr>
              <w:widowControl/>
              <w:jc w:val="center"/>
              <w:textAlignment w:val="center"/>
              <w:rPr>
                <w:szCs w:val="21"/>
              </w:rPr>
            </w:pPr>
            <w:r>
              <w:rPr>
                <w:kern w:val="0"/>
                <w:szCs w:val="21"/>
                <w:lang w:bidi="ar"/>
              </w:rPr>
              <w:t>3.45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12F019D">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3EAE4AD">
            <w:pPr>
              <w:widowControl/>
              <w:jc w:val="center"/>
              <w:textAlignment w:val="center"/>
              <w:rPr>
                <w:szCs w:val="21"/>
              </w:rPr>
            </w:pPr>
            <w:r>
              <w:rPr>
                <w:kern w:val="0"/>
                <w:szCs w:val="21"/>
                <w:lang w:bidi="ar"/>
              </w:rPr>
              <w:t>1.5024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BB2AABB">
            <w:pPr>
              <w:widowControl/>
              <w:jc w:val="center"/>
              <w:textAlignment w:val="center"/>
              <w:rPr>
                <w:szCs w:val="21"/>
              </w:rPr>
            </w:pPr>
            <w:r>
              <w:rPr>
                <w:kern w:val="0"/>
                <w:szCs w:val="21"/>
                <w:lang w:bidi="ar"/>
              </w:rPr>
              <w:t>0.75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94BDFC3">
            <w:pPr>
              <w:widowControl/>
              <w:jc w:val="center"/>
              <w:textAlignment w:val="center"/>
              <w:rPr>
                <w:szCs w:val="21"/>
              </w:rPr>
            </w:pPr>
            <w:r>
              <w:rPr>
                <w:kern w:val="0"/>
                <w:szCs w:val="21"/>
                <w:lang w:bidi="ar"/>
              </w:rPr>
              <w:t>0.115569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B2EAE76">
            <w:pPr>
              <w:widowControl/>
              <w:jc w:val="center"/>
              <w:textAlignment w:val="center"/>
              <w:rPr>
                <w:szCs w:val="21"/>
              </w:rPr>
            </w:pPr>
            <w:r>
              <w:rPr>
                <w:kern w:val="0"/>
                <w:szCs w:val="21"/>
                <w:lang w:bidi="ar"/>
              </w:rPr>
              <w:t>1.16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06F870E">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15C6E82">
            <w:pPr>
              <w:widowControl/>
              <w:jc w:val="center"/>
              <w:textAlignment w:val="center"/>
              <w:rPr>
                <w:szCs w:val="21"/>
              </w:rPr>
            </w:pPr>
            <w:r>
              <w:rPr>
                <w:kern w:val="0"/>
                <w:szCs w:val="21"/>
                <w:lang w:bidi="ar"/>
              </w:rPr>
              <w:t>1.2317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A657509">
            <w:pPr>
              <w:widowControl/>
              <w:jc w:val="center"/>
              <w:textAlignment w:val="center"/>
              <w:rPr>
                <w:szCs w:val="21"/>
              </w:rPr>
            </w:pPr>
            <w:r>
              <w:rPr>
                <w:kern w:val="0"/>
                <w:szCs w:val="21"/>
                <w:lang w:bidi="ar"/>
              </w:rPr>
              <w:t>0.62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9889BCC">
            <w:pPr>
              <w:widowControl/>
              <w:jc w:val="center"/>
              <w:textAlignment w:val="center"/>
              <w:rPr>
                <w:szCs w:val="21"/>
              </w:rPr>
            </w:pPr>
            <w:r>
              <w:rPr>
                <w:kern w:val="0"/>
                <w:szCs w:val="21"/>
                <w:lang w:bidi="ar"/>
              </w:rPr>
              <w:t>0.115472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2850E44">
            <w:pPr>
              <w:widowControl/>
              <w:jc w:val="center"/>
              <w:textAlignment w:val="center"/>
              <w:rPr>
                <w:szCs w:val="21"/>
              </w:rPr>
            </w:pPr>
            <w:r>
              <w:rPr>
                <w:kern w:val="0"/>
                <w:szCs w:val="21"/>
                <w:lang w:bidi="ar"/>
              </w:rPr>
              <w:t>1.15</w:t>
            </w:r>
          </w:p>
        </w:tc>
      </w:tr>
      <w:tr w14:paraId="18A78ED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9704D42">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C5450D2">
            <w:pPr>
              <w:widowControl/>
              <w:jc w:val="center"/>
              <w:textAlignment w:val="center"/>
              <w:rPr>
                <w:szCs w:val="21"/>
              </w:rPr>
            </w:pPr>
            <w:r>
              <w:rPr>
                <w:kern w:val="0"/>
                <w:szCs w:val="21"/>
                <w:lang w:bidi="ar"/>
              </w:rPr>
              <w:t>3.5697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AD44663">
            <w:pPr>
              <w:widowControl/>
              <w:jc w:val="center"/>
              <w:textAlignment w:val="center"/>
              <w:rPr>
                <w:szCs w:val="21"/>
              </w:rPr>
            </w:pPr>
            <w:r>
              <w:rPr>
                <w:kern w:val="0"/>
                <w:szCs w:val="21"/>
                <w:lang w:bidi="ar"/>
              </w:rPr>
              <w:t>1.78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6350F7">
            <w:pPr>
              <w:widowControl/>
              <w:jc w:val="center"/>
              <w:textAlignment w:val="center"/>
              <w:rPr>
                <w:szCs w:val="21"/>
              </w:rPr>
            </w:pPr>
            <w:r>
              <w:rPr>
                <w:kern w:val="0"/>
                <w:szCs w:val="21"/>
                <w:lang w:bidi="ar"/>
              </w:rPr>
              <w:t>0.303088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B3F9D2F">
            <w:pPr>
              <w:widowControl/>
              <w:jc w:val="center"/>
              <w:textAlignment w:val="center"/>
              <w:rPr>
                <w:szCs w:val="21"/>
              </w:rPr>
            </w:pPr>
            <w:r>
              <w:rPr>
                <w:kern w:val="0"/>
                <w:szCs w:val="21"/>
                <w:lang w:bidi="ar"/>
              </w:rPr>
              <w:t>3.03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F96BFA4">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2F66E25">
            <w:pPr>
              <w:widowControl/>
              <w:jc w:val="center"/>
              <w:textAlignment w:val="center"/>
              <w:rPr>
                <w:szCs w:val="21"/>
              </w:rPr>
            </w:pPr>
            <w:r>
              <w:rPr>
                <w:kern w:val="0"/>
                <w:szCs w:val="21"/>
                <w:lang w:bidi="ar"/>
              </w:rPr>
              <w:t>1.3183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7259A02">
            <w:pPr>
              <w:widowControl/>
              <w:jc w:val="center"/>
              <w:textAlignment w:val="center"/>
              <w:rPr>
                <w:szCs w:val="21"/>
              </w:rPr>
            </w:pPr>
            <w:r>
              <w:rPr>
                <w:kern w:val="0"/>
                <w:szCs w:val="21"/>
                <w:lang w:bidi="ar"/>
              </w:rPr>
              <w:t>0.66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AF7FD2F">
            <w:pPr>
              <w:widowControl/>
              <w:jc w:val="center"/>
              <w:textAlignment w:val="center"/>
              <w:rPr>
                <w:szCs w:val="21"/>
              </w:rPr>
            </w:pPr>
            <w:r>
              <w:rPr>
                <w:kern w:val="0"/>
                <w:szCs w:val="21"/>
                <w:lang w:bidi="ar"/>
              </w:rPr>
              <w:t>0.101408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AA63FFB">
            <w:pPr>
              <w:widowControl/>
              <w:jc w:val="center"/>
              <w:textAlignment w:val="center"/>
              <w:rPr>
                <w:szCs w:val="21"/>
              </w:rPr>
            </w:pPr>
            <w:r>
              <w:rPr>
                <w:kern w:val="0"/>
                <w:szCs w:val="21"/>
                <w:lang w:bidi="ar"/>
              </w:rPr>
              <w:t>1.01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3991E99">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4C0EE3D">
            <w:pPr>
              <w:widowControl/>
              <w:jc w:val="center"/>
              <w:textAlignment w:val="center"/>
              <w:rPr>
                <w:szCs w:val="21"/>
              </w:rPr>
            </w:pPr>
            <w:r>
              <w:rPr>
                <w:kern w:val="0"/>
                <w:szCs w:val="21"/>
                <w:lang w:bidi="ar"/>
              </w:rPr>
              <w:t>1.0806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995BB32">
            <w:pPr>
              <w:widowControl/>
              <w:jc w:val="center"/>
              <w:textAlignment w:val="center"/>
              <w:rPr>
                <w:szCs w:val="21"/>
              </w:rPr>
            </w:pPr>
            <w:r>
              <w:rPr>
                <w:kern w:val="0"/>
                <w:szCs w:val="21"/>
                <w:lang w:bidi="ar"/>
              </w:rPr>
              <w:t>0.54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37D9F13">
            <w:pPr>
              <w:widowControl/>
              <w:jc w:val="center"/>
              <w:textAlignment w:val="center"/>
              <w:rPr>
                <w:szCs w:val="21"/>
              </w:rPr>
            </w:pPr>
            <w:r>
              <w:rPr>
                <w:kern w:val="0"/>
                <w:szCs w:val="21"/>
                <w:lang w:bidi="ar"/>
              </w:rPr>
              <w:t>0.101306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D952592">
            <w:pPr>
              <w:widowControl/>
              <w:jc w:val="center"/>
              <w:textAlignment w:val="center"/>
              <w:rPr>
                <w:szCs w:val="21"/>
              </w:rPr>
            </w:pPr>
            <w:r>
              <w:rPr>
                <w:kern w:val="0"/>
                <w:szCs w:val="21"/>
                <w:lang w:bidi="ar"/>
              </w:rPr>
              <w:t>1.01</w:t>
            </w:r>
          </w:p>
        </w:tc>
      </w:tr>
      <w:tr w14:paraId="5C9FFAA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338DAF9">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BA98E00">
            <w:pPr>
              <w:widowControl/>
              <w:jc w:val="center"/>
              <w:textAlignment w:val="center"/>
              <w:rPr>
                <w:szCs w:val="21"/>
              </w:rPr>
            </w:pPr>
            <w:r>
              <w:rPr>
                <w:kern w:val="0"/>
                <w:szCs w:val="21"/>
                <w:lang w:bidi="ar"/>
              </w:rPr>
              <w:t>3.2371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F813059">
            <w:pPr>
              <w:widowControl/>
              <w:jc w:val="center"/>
              <w:textAlignment w:val="center"/>
              <w:rPr>
                <w:szCs w:val="21"/>
              </w:rPr>
            </w:pPr>
            <w:r>
              <w:rPr>
                <w:kern w:val="0"/>
                <w:szCs w:val="21"/>
                <w:lang w:bidi="ar"/>
              </w:rPr>
              <w:t>1.62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0C4D36D">
            <w:pPr>
              <w:widowControl/>
              <w:jc w:val="center"/>
              <w:textAlignment w:val="center"/>
              <w:rPr>
                <w:szCs w:val="21"/>
              </w:rPr>
            </w:pPr>
            <w:r>
              <w:rPr>
                <w:kern w:val="0"/>
                <w:szCs w:val="21"/>
                <w:lang w:bidi="ar"/>
              </w:rPr>
              <w:t>0.274848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F869F9F">
            <w:pPr>
              <w:widowControl/>
              <w:jc w:val="center"/>
              <w:textAlignment w:val="center"/>
              <w:rPr>
                <w:szCs w:val="21"/>
              </w:rPr>
            </w:pPr>
            <w:r>
              <w:rPr>
                <w:kern w:val="0"/>
                <w:szCs w:val="21"/>
                <w:lang w:bidi="ar"/>
              </w:rPr>
              <w:t>2.75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478470A">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7324A50">
            <w:pPr>
              <w:widowControl/>
              <w:jc w:val="center"/>
              <w:textAlignment w:val="center"/>
              <w:rPr>
                <w:szCs w:val="21"/>
              </w:rPr>
            </w:pPr>
            <w:r>
              <w:rPr>
                <w:kern w:val="0"/>
                <w:szCs w:val="21"/>
                <w:lang w:bidi="ar"/>
              </w:rPr>
              <w:t>1.1918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ECE33E3">
            <w:pPr>
              <w:widowControl/>
              <w:jc w:val="center"/>
              <w:textAlignment w:val="center"/>
              <w:rPr>
                <w:szCs w:val="21"/>
              </w:rPr>
            </w:pPr>
            <w:r>
              <w:rPr>
                <w:kern w:val="0"/>
                <w:szCs w:val="21"/>
                <w:lang w:bidi="ar"/>
              </w:rPr>
              <w:t>0.6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A13317C">
            <w:pPr>
              <w:widowControl/>
              <w:jc w:val="center"/>
              <w:textAlignment w:val="center"/>
              <w:rPr>
                <w:szCs w:val="21"/>
              </w:rPr>
            </w:pPr>
            <w:r>
              <w:rPr>
                <w:kern w:val="0"/>
                <w:szCs w:val="21"/>
                <w:lang w:bidi="ar"/>
              </w:rPr>
              <w:t>0.091677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8EACBB6">
            <w:pPr>
              <w:widowControl/>
              <w:jc w:val="center"/>
              <w:textAlignment w:val="center"/>
              <w:rPr>
                <w:szCs w:val="21"/>
              </w:rPr>
            </w:pPr>
            <w:r>
              <w:rPr>
                <w:kern w:val="0"/>
                <w:szCs w:val="21"/>
                <w:lang w:bidi="ar"/>
              </w:rPr>
              <w:t>0.92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45C6024">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DFDFD0D">
            <w:pPr>
              <w:widowControl/>
              <w:jc w:val="center"/>
              <w:textAlignment w:val="center"/>
              <w:rPr>
                <w:szCs w:val="21"/>
              </w:rPr>
            </w:pPr>
            <w:r>
              <w:rPr>
                <w:kern w:val="0"/>
                <w:szCs w:val="21"/>
                <w:lang w:bidi="ar"/>
              </w:rPr>
              <w:t>0.97803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550FD2B">
            <w:pPr>
              <w:widowControl/>
              <w:jc w:val="center"/>
              <w:textAlignment w:val="center"/>
              <w:rPr>
                <w:szCs w:val="21"/>
              </w:rPr>
            </w:pPr>
            <w:r>
              <w:rPr>
                <w:kern w:val="0"/>
                <w:szCs w:val="21"/>
                <w:lang w:bidi="ar"/>
              </w:rPr>
              <w:t>0.49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4190351">
            <w:pPr>
              <w:widowControl/>
              <w:jc w:val="center"/>
              <w:textAlignment w:val="center"/>
              <w:rPr>
                <w:szCs w:val="21"/>
              </w:rPr>
            </w:pPr>
            <w:r>
              <w:rPr>
                <w:kern w:val="0"/>
                <w:szCs w:val="21"/>
                <w:lang w:bidi="ar"/>
              </w:rPr>
              <w:t>0.09169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1490438">
            <w:pPr>
              <w:widowControl/>
              <w:jc w:val="center"/>
              <w:textAlignment w:val="center"/>
              <w:rPr>
                <w:szCs w:val="21"/>
              </w:rPr>
            </w:pPr>
            <w:r>
              <w:rPr>
                <w:kern w:val="0"/>
                <w:szCs w:val="21"/>
                <w:lang w:bidi="ar"/>
              </w:rPr>
              <w:t>0.92</w:t>
            </w:r>
          </w:p>
        </w:tc>
      </w:tr>
      <w:tr w14:paraId="198ED73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4F08958">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0B7C56">
            <w:pPr>
              <w:widowControl/>
              <w:jc w:val="center"/>
              <w:textAlignment w:val="center"/>
              <w:rPr>
                <w:szCs w:val="21"/>
              </w:rPr>
            </w:pPr>
            <w:r>
              <w:rPr>
                <w:kern w:val="0"/>
                <w:szCs w:val="21"/>
                <w:lang w:bidi="ar"/>
              </w:rPr>
              <w:t>2.9698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1B27107">
            <w:pPr>
              <w:widowControl/>
              <w:jc w:val="center"/>
              <w:textAlignment w:val="center"/>
              <w:rPr>
                <w:szCs w:val="21"/>
              </w:rPr>
            </w:pPr>
            <w:r>
              <w:rPr>
                <w:kern w:val="0"/>
                <w:szCs w:val="21"/>
                <w:lang w:bidi="ar"/>
              </w:rPr>
              <w:t>1.48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0A3097A">
            <w:pPr>
              <w:widowControl/>
              <w:jc w:val="center"/>
              <w:textAlignment w:val="center"/>
              <w:rPr>
                <w:szCs w:val="21"/>
              </w:rPr>
            </w:pPr>
            <w:r>
              <w:rPr>
                <w:kern w:val="0"/>
                <w:szCs w:val="21"/>
                <w:lang w:bidi="ar"/>
              </w:rPr>
              <w:t>0.252153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A7F1B48">
            <w:pPr>
              <w:widowControl/>
              <w:jc w:val="center"/>
              <w:textAlignment w:val="center"/>
              <w:rPr>
                <w:szCs w:val="21"/>
              </w:rPr>
            </w:pPr>
            <w:r>
              <w:rPr>
                <w:kern w:val="0"/>
                <w:szCs w:val="21"/>
                <w:lang w:bidi="ar"/>
              </w:rPr>
              <w:t>2.52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475B7CB">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E03A2BE">
            <w:pPr>
              <w:widowControl/>
              <w:jc w:val="center"/>
              <w:textAlignment w:val="center"/>
              <w:rPr>
                <w:szCs w:val="21"/>
              </w:rPr>
            </w:pPr>
            <w:r>
              <w:rPr>
                <w:kern w:val="0"/>
                <w:szCs w:val="21"/>
                <w:lang w:bidi="ar"/>
              </w:rPr>
              <w:t>1.0932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8AEEFE8">
            <w:pPr>
              <w:widowControl/>
              <w:jc w:val="center"/>
              <w:textAlignment w:val="center"/>
              <w:rPr>
                <w:szCs w:val="21"/>
              </w:rPr>
            </w:pPr>
            <w:r>
              <w:rPr>
                <w:kern w:val="0"/>
                <w:szCs w:val="21"/>
                <w:lang w:bidi="ar"/>
              </w:rPr>
              <w:t>0.55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88BDC25">
            <w:pPr>
              <w:widowControl/>
              <w:jc w:val="center"/>
              <w:textAlignment w:val="center"/>
              <w:rPr>
                <w:szCs w:val="21"/>
              </w:rPr>
            </w:pPr>
            <w:r>
              <w:rPr>
                <w:kern w:val="0"/>
                <w:szCs w:val="21"/>
                <w:lang w:bidi="ar"/>
              </w:rPr>
              <w:t>0.084092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D088DF9">
            <w:pPr>
              <w:widowControl/>
              <w:jc w:val="center"/>
              <w:textAlignment w:val="center"/>
              <w:rPr>
                <w:szCs w:val="21"/>
              </w:rPr>
            </w:pPr>
            <w:r>
              <w:rPr>
                <w:kern w:val="0"/>
                <w:szCs w:val="21"/>
                <w:lang w:bidi="ar"/>
              </w:rPr>
              <w:t>0.84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DF1827D">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2E0E6B7">
            <w:pPr>
              <w:widowControl/>
              <w:jc w:val="center"/>
              <w:textAlignment w:val="center"/>
              <w:rPr>
                <w:szCs w:val="21"/>
              </w:rPr>
            </w:pPr>
            <w:r>
              <w:rPr>
                <w:kern w:val="0"/>
                <w:szCs w:val="21"/>
                <w:lang w:bidi="ar"/>
              </w:rPr>
              <w:t>0.8971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4E08D48">
            <w:pPr>
              <w:widowControl/>
              <w:jc w:val="center"/>
              <w:textAlignment w:val="center"/>
              <w:rPr>
                <w:szCs w:val="21"/>
              </w:rPr>
            </w:pPr>
            <w:r>
              <w:rPr>
                <w:kern w:val="0"/>
                <w:szCs w:val="21"/>
                <w:lang w:bidi="ar"/>
              </w:rPr>
              <w:t>0.45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804CCE1">
            <w:pPr>
              <w:widowControl/>
              <w:jc w:val="center"/>
              <w:textAlignment w:val="center"/>
              <w:rPr>
                <w:szCs w:val="21"/>
              </w:rPr>
            </w:pPr>
            <w:r>
              <w:rPr>
                <w:kern w:val="0"/>
                <w:szCs w:val="21"/>
                <w:lang w:bidi="ar"/>
              </w:rPr>
              <w:t>0.084103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22C800B">
            <w:pPr>
              <w:widowControl/>
              <w:jc w:val="center"/>
              <w:textAlignment w:val="center"/>
              <w:rPr>
                <w:szCs w:val="21"/>
              </w:rPr>
            </w:pPr>
            <w:r>
              <w:rPr>
                <w:kern w:val="0"/>
                <w:szCs w:val="21"/>
                <w:lang w:bidi="ar"/>
              </w:rPr>
              <w:t>0.84</w:t>
            </w:r>
          </w:p>
        </w:tc>
      </w:tr>
      <w:tr w14:paraId="32729C0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A554892">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D934A55">
            <w:pPr>
              <w:widowControl/>
              <w:jc w:val="center"/>
              <w:textAlignment w:val="center"/>
              <w:rPr>
                <w:szCs w:val="21"/>
              </w:rPr>
            </w:pPr>
            <w:r>
              <w:rPr>
                <w:kern w:val="0"/>
                <w:szCs w:val="21"/>
                <w:lang w:bidi="ar"/>
              </w:rPr>
              <w:t>2.3945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6928F0E">
            <w:pPr>
              <w:widowControl/>
              <w:jc w:val="center"/>
              <w:textAlignment w:val="center"/>
              <w:rPr>
                <w:szCs w:val="21"/>
              </w:rPr>
            </w:pPr>
            <w:r>
              <w:rPr>
                <w:kern w:val="0"/>
                <w:szCs w:val="21"/>
                <w:lang w:bidi="ar"/>
              </w:rPr>
              <w:t>1.2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2F31B82">
            <w:pPr>
              <w:widowControl/>
              <w:jc w:val="center"/>
              <w:textAlignment w:val="center"/>
              <w:rPr>
                <w:szCs w:val="21"/>
              </w:rPr>
            </w:pPr>
            <w:r>
              <w:rPr>
                <w:kern w:val="0"/>
                <w:szCs w:val="21"/>
                <w:lang w:bidi="ar"/>
              </w:rPr>
              <w:t>0.203307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6F25D3C">
            <w:pPr>
              <w:widowControl/>
              <w:jc w:val="center"/>
              <w:textAlignment w:val="center"/>
              <w:rPr>
                <w:szCs w:val="21"/>
              </w:rPr>
            </w:pPr>
            <w:r>
              <w:rPr>
                <w:kern w:val="0"/>
                <w:szCs w:val="21"/>
                <w:lang w:bidi="ar"/>
              </w:rPr>
              <w:t>2.03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B90EE63">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7E821F0">
            <w:pPr>
              <w:widowControl/>
              <w:jc w:val="center"/>
              <w:textAlignment w:val="center"/>
              <w:rPr>
                <w:szCs w:val="21"/>
              </w:rPr>
            </w:pPr>
            <w:r>
              <w:rPr>
                <w:kern w:val="0"/>
                <w:szCs w:val="21"/>
                <w:lang w:bidi="ar"/>
              </w:rPr>
              <w:t>0.88067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0249E53">
            <w:pPr>
              <w:widowControl/>
              <w:jc w:val="center"/>
              <w:textAlignment w:val="center"/>
              <w:rPr>
                <w:szCs w:val="21"/>
              </w:rPr>
            </w:pPr>
            <w:r>
              <w:rPr>
                <w:kern w:val="0"/>
                <w:szCs w:val="21"/>
                <w:lang w:bidi="ar"/>
              </w:rPr>
              <w:t>0.44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83240B9">
            <w:pPr>
              <w:widowControl/>
              <w:jc w:val="center"/>
              <w:textAlignment w:val="center"/>
              <w:rPr>
                <w:szCs w:val="21"/>
              </w:rPr>
            </w:pPr>
            <w:r>
              <w:rPr>
                <w:kern w:val="0"/>
                <w:szCs w:val="21"/>
                <w:lang w:bidi="ar"/>
              </w:rPr>
              <w:t>0.067744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64E8BB2">
            <w:pPr>
              <w:widowControl/>
              <w:jc w:val="center"/>
              <w:textAlignment w:val="center"/>
              <w:rPr>
                <w:szCs w:val="21"/>
              </w:rPr>
            </w:pPr>
            <w:r>
              <w:rPr>
                <w:kern w:val="0"/>
                <w:szCs w:val="21"/>
                <w:lang w:bidi="ar"/>
              </w:rPr>
              <w:t>0.68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079E075">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D5CA81">
            <w:pPr>
              <w:widowControl/>
              <w:jc w:val="center"/>
              <w:textAlignment w:val="center"/>
              <w:rPr>
                <w:szCs w:val="21"/>
              </w:rPr>
            </w:pPr>
            <w:r>
              <w:rPr>
                <w:kern w:val="0"/>
                <w:szCs w:val="21"/>
                <w:lang w:bidi="ar"/>
              </w:rPr>
              <w:t>0.72287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12863FD">
            <w:pPr>
              <w:widowControl/>
              <w:jc w:val="center"/>
              <w:textAlignment w:val="center"/>
              <w:rPr>
                <w:szCs w:val="21"/>
              </w:rPr>
            </w:pPr>
            <w:r>
              <w:rPr>
                <w:kern w:val="0"/>
                <w:szCs w:val="21"/>
                <w:lang w:bidi="ar"/>
              </w:rPr>
              <w:t>0.36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F9AB452">
            <w:pPr>
              <w:widowControl/>
              <w:jc w:val="center"/>
              <w:textAlignment w:val="center"/>
              <w:rPr>
                <w:szCs w:val="21"/>
              </w:rPr>
            </w:pPr>
            <w:r>
              <w:rPr>
                <w:kern w:val="0"/>
                <w:szCs w:val="21"/>
                <w:lang w:bidi="ar"/>
              </w:rPr>
              <w:t>0.067769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0C161D5">
            <w:pPr>
              <w:widowControl/>
              <w:jc w:val="center"/>
              <w:textAlignment w:val="center"/>
              <w:rPr>
                <w:szCs w:val="21"/>
              </w:rPr>
            </w:pPr>
            <w:r>
              <w:rPr>
                <w:kern w:val="0"/>
                <w:szCs w:val="21"/>
                <w:lang w:bidi="ar"/>
              </w:rPr>
              <w:t>0.68</w:t>
            </w:r>
          </w:p>
        </w:tc>
      </w:tr>
      <w:tr w14:paraId="245BD0C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69B6DDE">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54CFCE6">
            <w:pPr>
              <w:widowControl/>
              <w:jc w:val="center"/>
              <w:textAlignment w:val="center"/>
              <w:rPr>
                <w:szCs w:val="21"/>
              </w:rPr>
            </w:pPr>
            <w:r>
              <w:rPr>
                <w:kern w:val="0"/>
                <w:szCs w:val="21"/>
                <w:lang w:bidi="ar"/>
              </w:rPr>
              <w:t>2.1097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8F2D8A1">
            <w:pPr>
              <w:widowControl/>
              <w:jc w:val="center"/>
              <w:textAlignment w:val="center"/>
              <w:rPr>
                <w:szCs w:val="21"/>
              </w:rPr>
            </w:pPr>
            <w:r>
              <w:rPr>
                <w:kern w:val="0"/>
                <w:szCs w:val="21"/>
                <w:lang w:bidi="ar"/>
              </w:rPr>
              <w:t>1.05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89E94F6">
            <w:pPr>
              <w:widowControl/>
              <w:jc w:val="center"/>
              <w:textAlignment w:val="center"/>
              <w:rPr>
                <w:szCs w:val="21"/>
              </w:rPr>
            </w:pPr>
            <w:r>
              <w:rPr>
                <w:kern w:val="0"/>
                <w:szCs w:val="21"/>
                <w:lang w:bidi="ar"/>
              </w:rPr>
              <w:t>0.179126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EAB8BD2">
            <w:pPr>
              <w:widowControl/>
              <w:jc w:val="center"/>
              <w:textAlignment w:val="center"/>
              <w:rPr>
                <w:szCs w:val="21"/>
              </w:rPr>
            </w:pPr>
            <w:r>
              <w:rPr>
                <w:kern w:val="0"/>
                <w:szCs w:val="21"/>
                <w:lang w:bidi="ar"/>
              </w:rPr>
              <w:t>1.79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57C039C">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79E0942">
            <w:pPr>
              <w:widowControl/>
              <w:jc w:val="center"/>
              <w:textAlignment w:val="center"/>
              <w:rPr>
                <w:szCs w:val="21"/>
              </w:rPr>
            </w:pPr>
            <w:r>
              <w:rPr>
                <w:kern w:val="0"/>
                <w:szCs w:val="21"/>
                <w:lang w:bidi="ar"/>
              </w:rPr>
              <w:t>0.77592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CE6C174">
            <w:pPr>
              <w:widowControl/>
              <w:jc w:val="center"/>
              <w:textAlignment w:val="center"/>
              <w:rPr>
                <w:szCs w:val="21"/>
              </w:rPr>
            </w:pPr>
            <w:r>
              <w:rPr>
                <w:kern w:val="0"/>
                <w:szCs w:val="21"/>
                <w:lang w:bidi="ar"/>
              </w:rPr>
              <w:t>0.39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B2C81D2">
            <w:pPr>
              <w:widowControl/>
              <w:jc w:val="center"/>
              <w:textAlignment w:val="center"/>
              <w:rPr>
                <w:szCs w:val="21"/>
              </w:rPr>
            </w:pPr>
            <w:r>
              <w:rPr>
                <w:kern w:val="0"/>
                <w:szCs w:val="21"/>
                <w:lang w:bidi="ar"/>
              </w:rPr>
              <w:t>0.059686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EBED132">
            <w:pPr>
              <w:widowControl/>
              <w:jc w:val="center"/>
              <w:textAlignment w:val="center"/>
              <w:rPr>
                <w:szCs w:val="21"/>
              </w:rPr>
            </w:pPr>
            <w:r>
              <w:rPr>
                <w:kern w:val="0"/>
                <w:szCs w:val="21"/>
                <w:lang w:bidi="ar"/>
              </w:rPr>
              <w:t>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429F8E0">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7FD9974">
            <w:pPr>
              <w:widowControl/>
              <w:jc w:val="center"/>
              <w:textAlignment w:val="center"/>
              <w:rPr>
                <w:szCs w:val="21"/>
              </w:rPr>
            </w:pPr>
            <w:r>
              <w:rPr>
                <w:kern w:val="0"/>
                <w:szCs w:val="21"/>
                <w:lang w:bidi="ar"/>
              </w:rPr>
              <w:t>0.6369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EC781CC">
            <w:pPr>
              <w:widowControl/>
              <w:jc w:val="center"/>
              <w:textAlignment w:val="center"/>
              <w:rPr>
                <w:szCs w:val="21"/>
              </w:rPr>
            </w:pPr>
            <w:r>
              <w:rPr>
                <w:kern w:val="0"/>
                <w:szCs w:val="21"/>
                <w:lang w:bidi="ar"/>
              </w:rPr>
              <w:t>0.32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99E249E">
            <w:pPr>
              <w:widowControl/>
              <w:jc w:val="center"/>
              <w:textAlignment w:val="center"/>
              <w:rPr>
                <w:szCs w:val="21"/>
              </w:rPr>
            </w:pPr>
            <w:r>
              <w:rPr>
                <w:kern w:val="0"/>
                <w:szCs w:val="21"/>
                <w:lang w:bidi="ar"/>
              </w:rPr>
              <w:t>0.059709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F9D4B22">
            <w:pPr>
              <w:widowControl/>
              <w:jc w:val="center"/>
              <w:textAlignment w:val="center"/>
              <w:rPr>
                <w:szCs w:val="21"/>
              </w:rPr>
            </w:pPr>
            <w:r>
              <w:rPr>
                <w:kern w:val="0"/>
                <w:szCs w:val="21"/>
                <w:lang w:bidi="ar"/>
              </w:rPr>
              <w:t>0.6</w:t>
            </w:r>
          </w:p>
        </w:tc>
      </w:tr>
      <w:tr w14:paraId="2D76E0A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EC26A01">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2462764">
            <w:pPr>
              <w:widowControl/>
              <w:jc w:val="center"/>
              <w:textAlignment w:val="center"/>
              <w:rPr>
                <w:szCs w:val="21"/>
              </w:rPr>
            </w:pPr>
            <w:r>
              <w:rPr>
                <w:kern w:val="0"/>
                <w:szCs w:val="21"/>
                <w:lang w:bidi="ar"/>
              </w:rPr>
              <w:t>1.8805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50C269E">
            <w:pPr>
              <w:widowControl/>
              <w:jc w:val="center"/>
              <w:textAlignment w:val="center"/>
              <w:rPr>
                <w:szCs w:val="21"/>
              </w:rPr>
            </w:pPr>
            <w:r>
              <w:rPr>
                <w:kern w:val="0"/>
                <w:szCs w:val="21"/>
                <w:lang w:bidi="ar"/>
              </w:rPr>
              <w:t>0.94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FEF062A">
            <w:pPr>
              <w:widowControl/>
              <w:jc w:val="center"/>
              <w:textAlignment w:val="center"/>
              <w:rPr>
                <w:szCs w:val="21"/>
              </w:rPr>
            </w:pPr>
            <w:r>
              <w:rPr>
                <w:kern w:val="0"/>
                <w:szCs w:val="21"/>
                <w:lang w:bidi="ar"/>
              </w:rPr>
              <w:t>0.159665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D720B6F">
            <w:pPr>
              <w:widowControl/>
              <w:jc w:val="center"/>
              <w:textAlignment w:val="center"/>
              <w:rPr>
                <w:szCs w:val="21"/>
              </w:rPr>
            </w:pPr>
            <w:r>
              <w:rPr>
                <w:kern w:val="0"/>
                <w:szCs w:val="21"/>
                <w:lang w:bidi="ar"/>
              </w:rPr>
              <w:t>1.6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2BEB0AD">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A331D49">
            <w:pPr>
              <w:widowControl/>
              <w:jc w:val="center"/>
              <w:textAlignment w:val="center"/>
              <w:rPr>
                <w:szCs w:val="21"/>
              </w:rPr>
            </w:pPr>
            <w:r>
              <w:rPr>
                <w:kern w:val="0"/>
                <w:szCs w:val="21"/>
                <w:lang w:bidi="ar"/>
              </w:rPr>
              <w:t>0.69165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2008E38">
            <w:pPr>
              <w:widowControl/>
              <w:jc w:val="center"/>
              <w:textAlignment w:val="center"/>
              <w:rPr>
                <w:szCs w:val="21"/>
              </w:rPr>
            </w:pPr>
            <w:r>
              <w:rPr>
                <w:kern w:val="0"/>
                <w:szCs w:val="21"/>
                <w:lang w:bidi="ar"/>
              </w:rPr>
              <w:t>0.35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E544446">
            <w:pPr>
              <w:widowControl/>
              <w:jc w:val="center"/>
              <w:textAlignment w:val="center"/>
              <w:rPr>
                <w:szCs w:val="21"/>
              </w:rPr>
            </w:pPr>
            <w:r>
              <w:rPr>
                <w:kern w:val="0"/>
                <w:szCs w:val="21"/>
                <w:lang w:bidi="ar"/>
              </w:rPr>
              <w:t>0.053204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D50D722">
            <w:pPr>
              <w:widowControl/>
              <w:jc w:val="center"/>
              <w:textAlignment w:val="center"/>
              <w:rPr>
                <w:szCs w:val="21"/>
              </w:rPr>
            </w:pPr>
            <w:r>
              <w:rPr>
                <w:kern w:val="0"/>
                <w:szCs w:val="21"/>
                <w:lang w:bidi="ar"/>
              </w:rPr>
              <w:t>0.53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BF3E1EC">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94DE6D5">
            <w:pPr>
              <w:widowControl/>
              <w:jc w:val="center"/>
              <w:textAlignment w:val="center"/>
              <w:rPr>
                <w:szCs w:val="21"/>
              </w:rPr>
            </w:pPr>
            <w:r>
              <w:rPr>
                <w:kern w:val="0"/>
                <w:szCs w:val="21"/>
                <w:lang w:bidi="ar"/>
              </w:rPr>
              <w:t>0.56772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C16C1DD">
            <w:pPr>
              <w:widowControl/>
              <w:jc w:val="center"/>
              <w:textAlignment w:val="center"/>
              <w:rPr>
                <w:szCs w:val="21"/>
              </w:rPr>
            </w:pPr>
            <w:r>
              <w:rPr>
                <w:kern w:val="0"/>
                <w:szCs w:val="21"/>
                <w:lang w:bidi="ar"/>
              </w:rPr>
              <w:t>0.28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5794358">
            <w:pPr>
              <w:widowControl/>
              <w:jc w:val="center"/>
              <w:textAlignment w:val="center"/>
              <w:rPr>
                <w:szCs w:val="21"/>
              </w:rPr>
            </w:pPr>
            <w:r>
              <w:rPr>
                <w:kern w:val="0"/>
                <w:szCs w:val="21"/>
                <w:lang w:bidi="ar"/>
              </w:rPr>
              <w:t>0.053224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F840934">
            <w:pPr>
              <w:widowControl/>
              <w:jc w:val="center"/>
              <w:textAlignment w:val="center"/>
              <w:rPr>
                <w:szCs w:val="21"/>
              </w:rPr>
            </w:pPr>
            <w:r>
              <w:rPr>
                <w:kern w:val="0"/>
                <w:szCs w:val="21"/>
                <w:lang w:bidi="ar"/>
              </w:rPr>
              <w:t>0.53</w:t>
            </w:r>
          </w:p>
        </w:tc>
      </w:tr>
      <w:tr w14:paraId="232B926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40B2942">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2FE0906">
            <w:pPr>
              <w:widowControl/>
              <w:jc w:val="center"/>
              <w:textAlignment w:val="center"/>
              <w:rPr>
                <w:szCs w:val="21"/>
              </w:rPr>
            </w:pPr>
            <w:r>
              <w:rPr>
                <w:kern w:val="0"/>
                <w:szCs w:val="21"/>
                <w:lang w:bidi="ar"/>
              </w:rPr>
              <w:t>1.6924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A85A881">
            <w:pPr>
              <w:widowControl/>
              <w:jc w:val="center"/>
              <w:textAlignment w:val="center"/>
              <w:rPr>
                <w:szCs w:val="21"/>
              </w:rPr>
            </w:pPr>
            <w:r>
              <w:rPr>
                <w:kern w:val="0"/>
                <w:szCs w:val="21"/>
                <w:lang w:bidi="ar"/>
              </w:rPr>
              <w:t>0.85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33028AC">
            <w:pPr>
              <w:widowControl/>
              <w:jc w:val="center"/>
              <w:textAlignment w:val="center"/>
              <w:rPr>
                <w:szCs w:val="21"/>
              </w:rPr>
            </w:pPr>
            <w:r>
              <w:rPr>
                <w:kern w:val="0"/>
                <w:szCs w:val="21"/>
                <w:lang w:bidi="ar"/>
              </w:rPr>
              <w:t>0.143694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8420EA6">
            <w:pPr>
              <w:widowControl/>
              <w:jc w:val="center"/>
              <w:textAlignment w:val="center"/>
              <w:rPr>
                <w:szCs w:val="21"/>
              </w:rPr>
            </w:pPr>
            <w:r>
              <w:rPr>
                <w:kern w:val="0"/>
                <w:szCs w:val="21"/>
                <w:lang w:bidi="ar"/>
              </w:rPr>
              <w:t>1.44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8C912F8">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9E338BC">
            <w:pPr>
              <w:widowControl/>
              <w:jc w:val="center"/>
              <w:textAlignment w:val="center"/>
              <w:rPr>
                <w:szCs w:val="21"/>
              </w:rPr>
            </w:pPr>
            <w:r>
              <w:rPr>
                <w:kern w:val="0"/>
                <w:szCs w:val="21"/>
                <w:lang w:bidi="ar"/>
              </w:rPr>
              <w:t>0.62248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E8E04D3">
            <w:pPr>
              <w:widowControl/>
              <w:jc w:val="center"/>
              <w:textAlignment w:val="center"/>
              <w:rPr>
                <w:szCs w:val="21"/>
              </w:rPr>
            </w:pPr>
            <w:r>
              <w:rPr>
                <w:kern w:val="0"/>
                <w:szCs w:val="21"/>
                <w:lang w:bidi="ar"/>
              </w:rPr>
              <w:t>0.31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C4E98B7">
            <w:pPr>
              <w:widowControl/>
              <w:jc w:val="center"/>
              <w:textAlignment w:val="center"/>
              <w:rPr>
                <w:szCs w:val="21"/>
              </w:rPr>
            </w:pPr>
            <w:r>
              <w:rPr>
                <w:kern w:val="0"/>
                <w:szCs w:val="21"/>
                <w:lang w:bidi="ar"/>
              </w:rPr>
              <w:t>0.047883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46FC30D">
            <w:pPr>
              <w:widowControl/>
              <w:jc w:val="center"/>
              <w:textAlignment w:val="center"/>
              <w:rPr>
                <w:szCs w:val="21"/>
              </w:rPr>
            </w:pPr>
            <w:r>
              <w:rPr>
                <w:kern w:val="0"/>
                <w:szCs w:val="21"/>
                <w:lang w:bidi="ar"/>
              </w:rPr>
              <w:t>0.48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3164884">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B463A2C">
            <w:pPr>
              <w:widowControl/>
              <w:jc w:val="center"/>
              <w:textAlignment w:val="center"/>
              <w:rPr>
                <w:szCs w:val="21"/>
              </w:rPr>
            </w:pPr>
            <w:r>
              <w:rPr>
                <w:kern w:val="0"/>
                <w:szCs w:val="21"/>
                <w:lang w:bidi="ar"/>
              </w:rPr>
              <w:t>0.51095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5C6A9B5">
            <w:pPr>
              <w:widowControl/>
              <w:jc w:val="center"/>
              <w:textAlignment w:val="center"/>
              <w:rPr>
                <w:szCs w:val="21"/>
              </w:rPr>
            </w:pPr>
            <w:r>
              <w:rPr>
                <w:kern w:val="0"/>
                <w:szCs w:val="21"/>
                <w:lang w:bidi="ar"/>
              </w:rPr>
              <w:t>0.26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243E89F">
            <w:pPr>
              <w:widowControl/>
              <w:jc w:val="center"/>
              <w:textAlignment w:val="center"/>
              <w:rPr>
                <w:szCs w:val="21"/>
              </w:rPr>
            </w:pPr>
            <w:r>
              <w:rPr>
                <w:kern w:val="0"/>
                <w:szCs w:val="21"/>
                <w:lang w:bidi="ar"/>
              </w:rPr>
              <w:t>0.047902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7ADD75B">
            <w:pPr>
              <w:widowControl/>
              <w:jc w:val="center"/>
              <w:textAlignment w:val="center"/>
              <w:rPr>
                <w:szCs w:val="21"/>
              </w:rPr>
            </w:pPr>
            <w:r>
              <w:rPr>
                <w:kern w:val="0"/>
                <w:szCs w:val="21"/>
                <w:lang w:bidi="ar"/>
              </w:rPr>
              <w:t>0.48</w:t>
            </w:r>
          </w:p>
        </w:tc>
      </w:tr>
      <w:tr w14:paraId="4170015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958B6A9">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1C43CCE">
            <w:pPr>
              <w:widowControl/>
              <w:jc w:val="center"/>
              <w:textAlignment w:val="center"/>
              <w:rPr>
                <w:szCs w:val="21"/>
              </w:rPr>
            </w:pPr>
            <w:r>
              <w:rPr>
                <w:kern w:val="0"/>
                <w:szCs w:val="21"/>
                <w:lang w:bidi="ar"/>
              </w:rPr>
              <w:t>1.5355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D98BE41">
            <w:pPr>
              <w:widowControl/>
              <w:jc w:val="center"/>
              <w:textAlignment w:val="center"/>
              <w:rPr>
                <w:szCs w:val="21"/>
              </w:rPr>
            </w:pPr>
            <w:r>
              <w:rPr>
                <w:kern w:val="0"/>
                <w:szCs w:val="21"/>
                <w:lang w:bidi="ar"/>
              </w:rPr>
              <w:t>0.77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C737C1">
            <w:pPr>
              <w:widowControl/>
              <w:jc w:val="center"/>
              <w:textAlignment w:val="center"/>
              <w:rPr>
                <w:szCs w:val="21"/>
              </w:rPr>
            </w:pPr>
            <w:r>
              <w:rPr>
                <w:kern w:val="0"/>
                <w:szCs w:val="21"/>
                <w:lang w:bidi="ar"/>
              </w:rPr>
              <w:t>0.130373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5CEE8F9">
            <w:pPr>
              <w:widowControl/>
              <w:jc w:val="center"/>
              <w:textAlignment w:val="center"/>
              <w:rPr>
                <w:szCs w:val="21"/>
              </w:rPr>
            </w:pPr>
            <w:r>
              <w:rPr>
                <w:kern w:val="0"/>
                <w:szCs w:val="21"/>
                <w:lang w:bidi="ar"/>
              </w:rPr>
              <w:t>1.3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C15CC48">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11339C3">
            <w:pPr>
              <w:widowControl/>
              <w:jc w:val="center"/>
              <w:textAlignment w:val="center"/>
              <w:rPr>
                <w:szCs w:val="21"/>
              </w:rPr>
            </w:pPr>
            <w:r>
              <w:rPr>
                <w:kern w:val="0"/>
                <w:szCs w:val="21"/>
                <w:lang w:bidi="ar"/>
              </w:rPr>
              <w:t>0.56481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AFF4C27">
            <w:pPr>
              <w:widowControl/>
              <w:jc w:val="center"/>
              <w:textAlignment w:val="center"/>
              <w:rPr>
                <w:szCs w:val="21"/>
              </w:rPr>
            </w:pPr>
            <w:r>
              <w:rPr>
                <w:kern w:val="0"/>
                <w:szCs w:val="21"/>
                <w:lang w:bidi="ar"/>
              </w:rPr>
              <w:t>0.28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E8892E8">
            <w:pPr>
              <w:widowControl/>
              <w:jc w:val="center"/>
              <w:textAlignment w:val="center"/>
              <w:rPr>
                <w:szCs w:val="21"/>
              </w:rPr>
            </w:pPr>
            <w:r>
              <w:rPr>
                <w:kern w:val="0"/>
                <w:szCs w:val="21"/>
                <w:lang w:bidi="ar"/>
              </w:rPr>
              <w:t>0.043447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9656479">
            <w:pPr>
              <w:widowControl/>
              <w:jc w:val="center"/>
              <w:textAlignment w:val="center"/>
              <w:rPr>
                <w:szCs w:val="21"/>
              </w:rPr>
            </w:pPr>
            <w:r>
              <w:rPr>
                <w:kern w:val="0"/>
                <w:szCs w:val="21"/>
                <w:lang w:bidi="ar"/>
              </w:rPr>
              <w:t>0.43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A0E253B">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AC3AD69">
            <w:pPr>
              <w:widowControl/>
              <w:jc w:val="center"/>
              <w:textAlignment w:val="center"/>
              <w:rPr>
                <w:szCs w:val="21"/>
              </w:rPr>
            </w:pPr>
            <w:r>
              <w:rPr>
                <w:kern w:val="0"/>
                <w:szCs w:val="21"/>
                <w:lang w:bidi="ar"/>
              </w:rPr>
              <w:t>0.46361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B67CEA8">
            <w:pPr>
              <w:widowControl/>
              <w:jc w:val="center"/>
              <w:textAlignment w:val="center"/>
              <w:rPr>
                <w:szCs w:val="21"/>
              </w:rPr>
            </w:pPr>
            <w:r>
              <w:rPr>
                <w:kern w:val="0"/>
                <w:szCs w:val="21"/>
                <w:lang w:bidi="ar"/>
              </w:rPr>
              <w:t>0.23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B6E147A">
            <w:pPr>
              <w:widowControl/>
              <w:jc w:val="center"/>
              <w:textAlignment w:val="center"/>
              <w:rPr>
                <w:szCs w:val="21"/>
              </w:rPr>
            </w:pPr>
            <w:r>
              <w:rPr>
                <w:kern w:val="0"/>
                <w:szCs w:val="21"/>
                <w:lang w:bidi="ar"/>
              </w:rPr>
              <w:t>0.043463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66E97DA">
            <w:pPr>
              <w:widowControl/>
              <w:jc w:val="center"/>
              <w:textAlignment w:val="center"/>
              <w:rPr>
                <w:szCs w:val="21"/>
              </w:rPr>
            </w:pPr>
            <w:r>
              <w:rPr>
                <w:kern w:val="0"/>
                <w:szCs w:val="21"/>
                <w:lang w:bidi="ar"/>
              </w:rPr>
              <w:t>0.43</w:t>
            </w:r>
          </w:p>
        </w:tc>
      </w:tr>
      <w:tr w14:paraId="0B58565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09D647D">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5E6D3DB">
            <w:pPr>
              <w:widowControl/>
              <w:jc w:val="center"/>
              <w:textAlignment w:val="center"/>
              <w:rPr>
                <w:szCs w:val="21"/>
              </w:rPr>
            </w:pPr>
            <w:r>
              <w:rPr>
                <w:kern w:val="0"/>
                <w:szCs w:val="21"/>
                <w:lang w:bidi="ar"/>
              </w:rPr>
              <w:t>1.4031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CB63771">
            <w:pPr>
              <w:widowControl/>
              <w:jc w:val="center"/>
              <w:textAlignment w:val="center"/>
              <w:rPr>
                <w:szCs w:val="21"/>
              </w:rPr>
            </w:pPr>
            <w:r>
              <w:rPr>
                <w:kern w:val="0"/>
                <w:szCs w:val="21"/>
                <w:lang w:bidi="ar"/>
              </w:rPr>
              <w:t>0.7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5570C9">
            <w:pPr>
              <w:widowControl/>
              <w:jc w:val="center"/>
              <w:textAlignment w:val="center"/>
              <w:rPr>
                <w:szCs w:val="21"/>
              </w:rPr>
            </w:pPr>
            <w:r>
              <w:rPr>
                <w:kern w:val="0"/>
                <w:szCs w:val="21"/>
                <w:lang w:bidi="ar"/>
              </w:rPr>
              <w:t>0.119131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4DD31C0">
            <w:pPr>
              <w:widowControl/>
              <w:jc w:val="center"/>
              <w:textAlignment w:val="center"/>
              <w:rPr>
                <w:szCs w:val="21"/>
              </w:rPr>
            </w:pPr>
            <w:r>
              <w:rPr>
                <w:kern w:val="0"/>
                <w:szCs w:val="21"/>
                <w:lang w:bidi="ar"/>
              </w:rPr>
              <w:t>1.19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2F0C804">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A09E43A">
            <w:pPr>
              <w:widowControl/>
              <w:jc w:val="center"/>
              <w:textAlignment w:val="center"/>
              <w:rPr>
                <w:szCs w:val="21"/>
              </w:rPr>
            </w:pPr>
            <w:r>
              <w:rPr>
                <w:kern w:val="0"/>
                <w:szCs w:val="21"/>
                <w:lang w:bidi="ar"/>
              </w:rPr>
              <w:t>0.51609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6A5E555">
            <w:pPr>
              <w:widowControl/>
              <w:jc w:val="center"/>
              <w:textAlignment w:val="center"/>
              <w:rPr>
                <w:szCs w:val="21"/>
              </w:rPr>
            </w:pPr>
            <w:r>
              <w:rPr>
                <w:kern w:val="0"/>
                <w:szCs w:val="21"/>
                <w:lang w:bidi="ar"/>
              </w:rPr>
              <w:t>0.26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6FF3613">
            <w:pPr>
              <w:widowControl/>
              <w:jc w:val="center"/>
              <w:textAlignment w:val="center"/>
              <w:rPr>
                <w:szCs w:val="21"/>
              </w:rPr>
            </w:pPr>
            <w:r>
              <w:rPr>
                <w:kern w:val="0"/>
                <w:szCs w:val="21"/>
                <w:lang w:bidi="ar"/>
              </w:rPr>
              <w:t>0.039699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8629E48">
            <w:pPr>
              <w:widowControl/>
              <w:jc w:val="center"/>
              <w:textAlignment w:val="center"/>
              <w:rPr>
                <w:szCs w:val="21"/>
              </w:rPr>
            </w:pPr>
            <w:r>
              <w:rPr>
                <w:kern w:val="0"/>
                <w:szCs w:val="21"/>
                <w:lang w:bidi="ar"/>
              </w:rPr>
              <w:t>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A292454">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F2E28A9">
            <w:pPr>
              <w:widowControl/>
              <w:jc w:val="center"/>
              <w:textAlignment w:val="center"/>
              <w:rPr>
                <w:szCs w:val="21"/>
              </w:rPr>
            </w:pPr>
            <w:r>
              <w:rPr>
                <w:kern w:val="0"/>
                <w:szCs w:val="21"/>
                <w:lang w:bidi="ar"/>
              </w:rPr>
              <w:t>0.42362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FBA99BE">
            <w:pPr>
              <w:widowControl/>
              <w:jc w:val="center"/>
              <w:textAlignment w:val="center"/>
              <w:rPr>
                <w:szCs w:val="21"/>
              </w:rPr>
            </w:pPr>
            <w:r>
              <w:rPr>
                <w:kern w:val="0"/>
                <w:szCs w:val="21"/>
                <w:lang w:bidi="ar"/>
              </w:rPr>
              <w:t>0.21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43C5116">
            <w:pPr>
              <w:widowControl/>
              <w:jc w:val="center"/>
              <w:textAlignment w:val="center"/>
              <w:rPr>
                <w:szCs w:val="21"/>
              </w:rPr>
            </w:pPr>
            <w:r>
              <w:rPr>
                <w:kern w:val="0"/>
                <w:szCs w:val="21"/>
                <w:lang w:bidi="ar"/>
              </w:rPr>
              <w:t>0.039714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01479DA">
            <w:pPr>
              <w:widowControl/>
              <w:jc w:val="center"/>
              <w:textAlignment w:val="center"/>
              <w:rPr>
                <w:szCs w:val="21"/>
              </w:rPr>
            </w:pPr>
            <w:r>
              <w:rPr>
                <w:kern w:val="0"/>
                <w:szCs w:val="21"/>
                <w:lang w:bidi="ar"/>
              </w:rPr>
              <w:t>0.4</w:t>
            </w:r>
          </w:p>
        </w:tc>
      </w:tr>
      <w:tr w14:paraId="5A6B035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C3BFF40">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E7FAB0B">
            <w:pPr>
              <w:widowControl/>
              <w:jc w:val="center"/>
              <w:textAlignment w:val="center"/>
              <w:rPr>
                <w:szCs w:val="21"/>
              </w:rPr>
            </w:pPr>
            <w:r>
              <w:rPr>
                <w:kern w:val="0"/>
                <w:szCs w:val="21"/>
                <w:lang w:bidi="ar"/>
              </w:rPr>
              <w:t>1.295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707E58F">
            <w:pPr>
              <w:widowControl/>
              <w:jc w:val="center"/>
              <w:textAlignment w:val="center"/>
              <w:rPr>
                <w:szCs w:val="21"/>
              </w:rPr>
            </w:pPr>
            <w:r>
              <w:rPr>
                <w:kern w:val="0"/>
                <w:szCs w:val="21"/>
                <w:lang w:bidi="ar"/>
              </w:rPr>
              <w:t>0.65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46BBB0B">
            <w:pPr>
              <w:widowControl/>
              <w:jc w:val="center"/>
              <w:textAlignment w:val="center"/>
              <w:rPr>
                <w:szCs w:val="21"/>
              </w:rPr>
            </w:pPr>
            <w:r>
              <w:rPr>
                <w:kern w:val="0"/>
                <w:szCs w:val="21"/>
                <w:lang w:bidi="ar"/>
              </w:rPr>
              <w:t>0.109953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3649412">
            <w:pPr>
              <w:widowControl/>
              <w:jc w:val="center"/>
              <w:textAlignment w:val="center"/>
              <w:rPr>
                <w:szCs w:val="21"/>
              </w:rPr>
            </w:pPr>
            <w:r>
              <w:rPr>
                <w:kern w:val="0"/>
                <w:szCs w:val="21"/>
                <w:lang w:bidi="ar"/>
              </w:rPr>
              <w:t>1.1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CD7BA6C">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7098DE9">
            <w:pPr>
              <w:widowControl/>
              <w:jc w:val="center"/>
              <w:textAlignment w:val="center"/>
              <w:rPr>
                <w:szCs w:val="21"/>
              </w:rPr>
            </w:pPr>
            <w:r>
              <w:rPr>
                <w:kern w:val="0"/>
                <w:szCs w:val="21"/>
                <w:lang w:bidi="ar"/>
              </w:rPr>
              <w:t>0.47634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BAEA1BB">
            <w:pPr>
              <w:widowControl/>
              <w:jc w:val="center"/>
              <w:textAlignment w:val="center"/>
              <w:rPr>
                <w:szCs w:val="21"/>
              </w:rPr>
            </w:pPr>
            <w:r>
              <w:rPr>
                <w:kern w:val="0"/>
                <w:szCs w:val="21"/>
                <w:lang w:bidi="ar"/>
              </w:rPr>
              <w:t>0.24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5E26262">
            <w:pPr>
              <w:widowControl/>
              <w:jc w:val="center"/>
              <w:textAlignment w:val="center"/>
              <w:rPr>
                <w:szCs w:val="21"/>
              </w:rPr>
            </w:pPr>
            <w:r>
              <w:rPr>
                <w:kern w:val="0"/>
                <w:szCs w:val="21"/>
                <w:lang w:bidi="ar"/>
              </w:rPr>
              <w:t>0.036642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5C3297F">
            <w:pPr>
              <w:widowControl/>
              <w:jc w:val="center"/>
              <w:textAlignment w:val="center"/>
              <w:rPr>
                <w:szCs w:val="21"/>
              </w:rPr>
            </w:pPr>
            <w:r>
              <w:rPr>
                <w:kern w:val="0"/>
                <w:szCs w:val="21"/>
                <w:lang w:bidi="ar"/>
              </w:rPr>
              <w:t>0.37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C0E081B">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77A51C5">
            <w:pPr>
              <w:widowControl/>
              <w:jc w:val="center"/>
              <w:textAlignment w:val="center"/>
              <w:rPr>
                <w:szCs w:val="21"/>
              </w:rPr>
            </w:pPr>
            <w:r>
              <w:rPr>
                <w:kern w:val="0"/>
                <w:szCs w:val="21"/>
                <w:lang w:bidi="ar"/>
              </w:rPr>
              <w:t>0.39099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10A5578">
            <w:pPr>
              <w:widowControl/>
              <w:jc w:val="center"/>
              <w:textAlignment w:val="center"/>
              <w:rPr>
                <w:szCs w:val="21"/>
              </w:rPr>
            </w:pPr>
            <w:r>
              <w:rPr>
                <w:kern w:val="0"/>
                <w:szCs w:val="21"/>
                <w:lang w:bidi="ar"/>
              </w:rPr>
              <w:t>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F12115B">
            <w:pPr>
              <w:widowControl/>
              <w:jc w:val="center"/>
              <w:textAlignment w:val="center"/>
              <w:rPr>
                <w:szCs w:val="21"/>
              </w:rPr>
            </w:pPr>
            <w:r>
              <w:rPr>
                <w:kern w:val="0"/>
                <w:szCs w:val="21"/>
                <w:lang w:bidi="ar"/>
              </w:rPr>
              <w:t>0.036655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E4CAE1A">
            <w:pPr>
              <w:widowControl/>
              <w:jc w:val="center"/>
              <w:textAlignment w:val="center"/>
              <w:rPr>
                <w:szCs w:val="21"/>
              </w:rPr>
            </w:pPr>
            <w:r>
              <w:rPr>
                <w:kern w:val="0"/>
                <w:szCs w:val="21"/>
                <w:lang w:bidi="ar"/>
              </w:rPr>
              <w:t>0.37</w:t>
            </w:r>
          </w:p>
        </w:tc>
      </w:tr>
      <w:tr w14:paraId="68EC198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A53A3C8">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729CC52">
            <w:pPr>
              <w:widowControl/>
              <w:jc w:val="center"/>
              <w:textAlignment w:val="center"/>
              <w:rPr>
                <w:szCs w:val="21"/>
              </w:rPr>
            </w:pPr>
            <w:r>
              <w:rPr>
                <w:kern w:val="0"/>
                <w:szCs w:val="21"/>
                <w:lang w:bidi="ar"/>
              </w:rPr>
              <w:t>1.206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1A5578A">
            <w:pPr>
              <w:widowControl/>
              <w:jc w:val="center"/>
              <w:textAlignment w:val="center"/>
              <w:rPr>
                <w:szCs w:val="21"/>
              </w:rPr>
            </w:pPr>
            <w:r>
              <w:rPr>
                <w:kern w:val="0"/>
                <w:szCs w:val="21"/>
                <w:lang w:bidi="ar"/>
              </w:rPr>
              <w:t>0.6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DD1E1CC">
            <w:pPr>
              <w:widowControl/>
              <w:jc w:val="center"/>
              <w:textAlignment w:val="center"/>
              <w:rPr>
                <w:szCs w:val="21"/>
              </w:rPr>
            </w:pPr>
            <w:r>
              <w:rPr>
                <w:kern w:val="0"/>
                <w:szCs w:val="21"/>
                <w:lang w:bidi="ar"/>
              </w:rPr>
              <w:t>0.102396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2474B5B">
            <w:pPr>
              <w:widowControl/>
              <w:jc w:val="center"/>
              <w:textAlignment w:val="center"/>
              <w:rPr>
                <w:szCs w:val="21"/>
              </w:rPr>
            </w:pPr>
            <w:r>
              <w:rPr>
                <w:kern w:val="0"/>
                <w:szCs w:val="21"/>
                <w:lang w:bidi="ar"/>
              </w:rPr>
              <w:t>1.02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661556C">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B214B0">
            <w:pPr>
              <w:widowControl/>
              <w:jc w:val="center"/>
              <w:textAlignment w:val="center"/>
              <w:rPr>
                <w:szCs w:val="21"/>
              </w:rPr>
            </w:pPr>
            <w:r>
              <w:rPr>
                <w:kern w:val="0"/>
                <w:szCs w:val="21"/>
                <w:lang w:bidi="ar"/>
              </w:rPr>
              <w:t>0.4436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DD4FB8C">
            <w:pPr>
              <w:widowControl/>
              <w:jc w:val="center"/>
              <w:textAlignment w:val="center"/>
              <w:rPr>
                <w:szCs w:val="21"/>
              </w:rPr>
            </w:pPr>
            <w:r>
              <w:rPr>
                <w:kern w:val="0"/>
                <w:szCs w:val="21"/>
                <w:lang w:bidi="ar"/>
              </w:rPr>
              <w:t>0.22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0F696A6">
            <w:pPr>
              <w:widowControl/>
              <w:jc w:val="center"/>
              <w:textAlignment w:val="center"/>
              <w:rPr>
                <w:szCs w:val="21"/>
              </w:rPr>
            </w:pPr>
            <w:r>
              <w:rPr>
                <w:kern w:val="0"/>
                <w:szCs w:val="21"/>
                <w:lang w:bidi="ar"/>
              </w:rPr>
              <w:t>0.034123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2A9BF05">
            <w:pPr>
              <w:widowControl/>
              <w:jc w:val="center"/>
              <w:textAlignment w:val="center"/>
              <w:rPr>
                <w:szCs w:val="21"/>
              </w:rPr>
            </w:pPr>
            <w:r>
              <w:rPr>
                <w:kern w:val="0"/>
                <w:szCs w:val="21"/>
                <w:lang w:bidi="ar"/>
              </w:rPr>
              <w:t>0.34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1D0006E">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C6EB1EB">
            <w:pPr>
              <w:widowControl/>
              <w:jc w:val="center"/>
              <w:textAlignment w:val="center"/>
              <w:rPr>
                <w:szCs w:val="21"/>
              </w:rPr>
            </w:pPr>
            <w:r>
              <w:rPr>
                <w:kern w:val="0"/>
                <w:szCs w:val="21"/>
                <w:lang w:bidi="ar"/>
              </w:rPr>
              <w:t>0.36412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2E82013">
            <w:pPr>
              <w:widowControl/>
              <w:jc w:val="center"/>
              <w:textAlignment w:val="center"/>
              <w:rPr>
                <w:szCs w:val="21"/>
              </w:rPr>
            </w:pPr>
            <w:r>
              <w:rPr>
                <w:kern w:val="0"/>
                <w:szCs w:val="21"/>
                <w:lang w:bidi="ar"/>
              </w:rPr>
              <w:t>0.18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68C9DBA">
            <w:pPr>
              <w:widowControl/>
              <w:jc w:val="center"/>
              <w:textAlignment w:val="center"/>
              <w:rPr>
                <w:szCs w:val="21"/>
              </w:rPr>
            </w:pPr>
            <w:r>
              <w:rPr>
                <w:kern w:val="0"/>
                <w:szCs w:val="21"/>
                <w:lang w:bidi="ar"/>
              </w:rPr>
              <w:t>0.034136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111BC50">
            <w:pPr>
              <w:widowControl/>
              <w:jc w:val="center"/>
              <w:textAlignment w:val="center"/>
              <w:rPr>
                <w:szCs w:val="21"/>
              </w:rPr>
            </w:pPr>
            <w:r>
              <w:rPr>
                <w:kern w:val="0"/>
                <w:szCs w:val="21"/>
                <w:lang w:bidi="ar"/>
              </w:rPr>
              <w:t>0.34</w:t>
            </w:r>
          </w:p>
        </w:tc>
      </w:tr>
      <w:tr w14:paraId="3B89272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95E369C">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0CCAC48">
            <w:pPr>
              <w:widowControl/>
              <w:jc w:val="center"/>
              <w:textAlignment w:val="center"/>
              <w:rPr>
                <w:szCs w:val="21"/>
              </w:rPr>
            </w:pPr>
            <w:r>
              <w:rPr>
                <w:kern w:val="0"/>
                <w:szCs w:val="21"/>
                <w:lang w:bidi="ar"/>
              </w:rPr>
              <w:t>1.0931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DDA58FF">
            <w:pPr>
              <w:widowControl/>
              <w:jc w:val="center"/>
              <w:textAlignment w:val="center"/>
              <w:rPr>
                <w:szCs w:val="21"/>
              </w:rPr>
            </w:pPr>
            <w:r>
              <w:rPr>
                <w:kern w:val="0"/>
                <w:szCs w:val="21"/>
                <w:lang w:bidi="ar"/>
              </w:rPr>
              <w:t>0.55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F488528">
            <w:pPr>
              <w:widowControl/>
              <w:jc w:val="center"/>
              <w:textAlignment w:val="center"/>
              <w:rPr>
                <w:szCs w:val="21"/>
              </w:rPr>
            </w:pPr>
            <w:r>
              <w:rPr>
                <w:kern w:val="0"/>
                <w:szCs w:val="21"/>
                <w:lang w:bidi="ar"/>
              </w:rPr>
              <w:t>0.09281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5F73D8B">
            <w:pPr>
              <w:widowControl/>
              <w:jc w:val="center"/>
              <w:textAlignment w:val="center"/>
              <w:rPr>
                <w:szCs w:val="21"/>
              </w:rPr>
            </w:pPr>
            <w:r>
              <w:rPr>
                <w:kern w:val="0"/>
                <w:szCs w:val="21"/>
                <w:lang w:bidi="ar"/>
              </w:rPr>
              <w:t>0.93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5EAFBD1">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0A09BDE">
            <w:pPr>
              <w:widowControl/>
              <w:jc w:val="center"/>
              <w:textAlignment w:val="center"/>
              <w:rPr>
                <w:szCs w:val="21"/>
              </w:rPr>
            </w:pPr>
            <w:r>
              <w:rPr>
                <w:kern w:val="0"/>
                <w:szCs w:val="21"/>
                <w:lang w:bidi="ar"/>
              </w:rPr>
              <w:t>0.40208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DDD002C">
            <w:pPr>
              <w:widowControl/>
              <w:jc w:val="center"/>
              <w:textAlignment w:val="center"/>
              <w:rPr>
                <w:szCs w:val="21"/>
              </w:rPr>
            </w:pPr>
            <w:r>
              <w:rPr>
                <w:kern w:val="0"/>
                <w:szCs w:val="21"/>
                <w:lang w:bidi="ar"/>
              </w:rPr>
              <w:t>0.2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7E96582">
            <w:pPr>
              <w:widowControl/>
              <w:jc w:val="center"/>
              <w:textAlignment w:val="center"/>
              <w:rPr>
                <w:szCs w:val="21"/>
              </w:rPr>
            </w:pPr>
            <w:r>
              <w:rPr>
                <w:kern w:val="0"/>
                <w:szCs w:val="21"/>
                <w:lang w:bidi="ar"/>
              </w:rPr>
              <w:t>0.030929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3B4939A">
            <w:pPr>
              <w:widowControl/>
              <w:jc w:val="center"/>
              <w:textAlignment w:val="center"/>
              <w:rPr>
                <w:szCs w:val="21"/>
              </w:rPr>
            </w:pPr>
            <w:r>
              <w:rPr>
                <w:kern w:val="0"/>
                <w:szCs w:val="21"/>
                <w:lang w:bidi="ar"/>
              </w:rPr>
              <w:t>0.31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DC404ED">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EB38741">
            <w:pPr>
              <w:widowControl/>
              <w:jc w:val="center"/>
              <w:textAlignment w:val="center"/>
              <w:rPr>
                <w:szCs w:val="21"/>
              </w:rPr>
            </w:pPr>
            <w:r>
              <w:rPr>
                <w:kern w:val="0"/>
                <w:szCs w:val="21"/>
                <w:lang w:bidi="ar"/>
              </w:rPr>
              <w:t>0.33004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F9F1A1C">
            <w:pPr>
              <w:widowControl/>
              <w:jc w:val="center"/>
              <w:textAlignment w:val="center"/>
              <w:rPr>
                <w:szCs w:val="21"/>
              </w:rPr>
            </w:pPr>
            <w:r>
              <w:rPr>
                <w:kern w:val="0"/>
                <w:szCs w:val="21"/>
                <w:lang w:bidi="ar"/>
              </w:rPr>
              <w:t>0.17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EC6AD71">
            <w:pPr>
              <w:widowControl/>
              <w:jc w:val="center"/>
              <w:textAlignment w:val="center"/>
              <w:rPr>
                <w:szCs w:val="21"/>
              </w:rPr>
            </w:pPr>
            <w:r>
              <w:rPr>
                <w:kern w:val="0"/>
                <w:szCs w:val="21"/>
                <w:lang w:bidi="ar"/>
              </w:rPr>
              <w:t>0.030941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EE1DF6B">
            <w:pPr>
              <w:widowControl/>
              <w:jc w:val="center"/>
              <w:textAlignment w:val="center"/>
              <w:rPr>
                <w:szCs w:val="21"/>
              </w:rPr>
            </w:pPr>
            <w:r>
              <w:rPr>
                <w:kern w:val="0"/>
                <w:szCs w:val="21"/>
                <w:lang w:bidi="ar"/>
              </w:rPr>
              <w:t>0.31</w:t>
            </w:r>
          </w:p>
        </w:tc>
      </w:tr>
      <w:tr w14:paraId="6D97D2ED">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38D53F2">
            <w:pPr>
              <w:widowControl/>
              <w:jc w:val="center"/>
              <w:textAlignment w:val="center"/>
              <w:rPr>
                <w:b/>
                <w:bCs/>
                <w:szCs w:val="21"/>
              </w:rPr>
            </w:pPr>
            <w:r>
              <w:rPr>
                <w:b/>
                <w:bCs/>
                <w:kern w:val="0"/>
                <w:szCs w:val="21"/>
                <w:lang w:bidi="ar"/>
              </w:rPr>
              <w:t>盛丰篮球场3单元</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C27A096">
            <w:pPr>
              <w:widowControl/>
              <w:jc w:val="center"/>
              <w:textAlignment w:val="center"/>
              <w:rPr>
                <w:b/>
                <w:bCs/>
                <w:szCs w:val="21"/>
              </w:rPr>
            </w:pPr>
            <w:r>
              <w:rPr>
                <w:b/>
                <w:bCs/>
                <w:kern w:val="0"/>
                <w:szCs w:val="21"/>
                <w:lang w:bidi="ar"/>
              </w:rPr>
              <w:t>老井1号舍</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2EB32AB">
            <w:pPr>
              <w:widowControl/>
              <w:jc w:val="center"/>
              <w:textAlignment w:val="center"/>
              <w:rPr>
                <w:b/>
                <w:bCs/>
                <w:szCs w:val="21"/>
              </w:rPr>
            </w:pPr>
            <w:r>
              <w:rPr>
                <w:b/>
                <w:bCs/>
                <w:kern w:val="0"/>
                <w:szCs w:val="21"/>
                <w:lang w:bidi="ar"/>
              </w:rPr>
              <w:t>老井2号舍</w:t>
            </w:r>
          </w:p>
        </w:tc>
      </w:tr>
      <w:tr w14:paraId="7000FEE7">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0ED021F4">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B44272F">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D211BA">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4D7CCD93">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04B1F7F">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F6CA394">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2085B73B">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BC0B7EA">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243A5BA">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73AE79B9">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6863063B">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0F08EE1">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B21D89C">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A9D5762">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D715D62">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798A9537">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7CD6508">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436C335">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24055B3">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EEFF84">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3E1F5189">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2067019">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B76BB11">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487B452">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1A97B2F">
            <w:pPr>
              <w:widowControl/>
              <w:jc w:val="center"/>
              <w:textAlignment w:val="center"/>
              <w:rPr>
                <w:b/>
                <w:bCs/>
                <w:szCs w:val="21"/>
              </w:rPr>
            </w:pPr>
            <w:r>
              <w:rPr>
                <w:b/>
                <w:bCs/>
                <w:kern w:val="0"/>
                <w:szCs w:val="21"/>
                <w:lang w:bidi="ar"/>
              </w:rPr>
              <w:t>占标率</w:t>
            </w:r>
          </w:p>
        </w:tc>
      </w:tr>
      <w:tr w14:paraId="0AC42F53">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24AF52CB">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72843DE">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52A812B">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96FDF01">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BB61076">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1CB236DE">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3F3C7AC">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B62D56C">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8A316AD">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87831F1">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4E722742">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6F7DF5E">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84FE524">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A998E8F">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B240874">
            <w:pPr>
              <w:widowControl/>
              <w:jc w:val="center"/>
              <w:textAlignment w:val="center"/>
              <w:rPr>
                <w:b/>
                <w:bCs/>
                <w:szCs w:val="21"/>
              </w:rPr>
            </w:pPr>
            <w:r>
              <w:rPr>
                <w:b/>
                <w:bCs/>
                <w:kern w:val="0"/>
                <w:szCs w:val="21"/>
                <w:lang w:bidi="ar"/>
              </w:rPr>
              <w:t>Pi(%)</w:t>
            </w:r>
          </w:p>
        </w:tc>
      </w:tr>
      <w:tr w14:paraId="6C83D65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2481C26">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53E9E65">
            <w:pPr>
              <w:widowControl/>
              <w:jc w:val="center"/>
              <w:textAlignment w:val="center"/>
              <w:rPr>
                <w:szCs w:val="21"/>
              </w:rPr>
            </w:pPr>
            <w:r>
              <w:rPr>
                <w:kern w:val="0"/>
                <w:szCs w:val="21"/>
                <w:lang w:bidi="ar"/>
              </w:rPr>
              <w:t>3.6912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E3DA9E0">
            <w:pPr>
              <w:widowControl/>
              <w:jc w:val="center"/>
              <w:textAlignment w:val="center"/>
              <w:rPr>
                <w:szCs w:val="21"/>
              </w:rPr>
            </w:pPr>
            <w:r>
              <w:rPr>
                <w:kern w:val="0"/>
                <w:szCs w:val="21"/>
                <w:lang w:bidi="ar"/>
              </w:rPr>
              <w:t>1.85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63D007C">
            <w:pPr>
              <w:widowControl/>
              <w:jc w:val="center"/>
              <w:textAlignment w:val="center"/>
              <w:rPr>
                <w:szCs w:val="21"/>
              </w:rPr>
            </w:pPr>
            <w:r>
              <w:rPr>
                <w:kern w:val="0"/>
                <w:szCs w:val="21"/>
                <w:lang w:bidi="ar"/>
              </w:rPr>
              <w:t>0.325694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1596C95">
            <w:pPr>
              <w:widowControl/>
              <w:jc w:val="center"/>
              <w:textAlignment w:val="center"/>
              <w:rPr>
                <w:szCs w:val="21"/>
              </w:rPr>
            </w:pPr>
            <w:r>
              <w:rPr>
                <w:kern w:val="0"/>
                <w:szCs w:val="21"/>
                <w:lang w:bidi="ar"/>
              </w:rPr>
              <w:t>3.26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762F23B">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B46A49B">
            <w:pPr>
              <w:widowControl/>
              <w:jc w:val="center"/>
              <w:textAlignment w:val="center"/>
              <w:rPr>
                <w:szCs w:val="21"/>
              </w:rPr>
            </w:pPr>
            <w:r>
              <w:rPr>
                <w:kern w:val="0"/>
                <w:szCs w:val="21"/>
                <w:lang w:bidi="ar"/>
              </w:rPr>
              <w:t>4.6276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21886D1">
            <w:pPr>
              <w:widowControl/>
              <w:jc w:val="center"/>
              <w:textAlignment w:val="center"/>
              <w:rPr>
                <w:szCs w:val="21"/>
              </w:rPr>
            </w:pPr>
            <w:r>
              <w:rPr>
                <w:kern w:val="0"/>
                <w:szCs w:val="21"/>
                <w:lang w:bidi="ar"/>
              </w:rPr>
              <w:t>2.31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AE3FBEC">
            <w:pPr>
              <w:widowControl/>
              <w:jc w:val="center"/>
              <w:textAlignment w:val="center"/>
              <w:rPr>
                <w:szCs w:val="21"/>
              </w:rPr>
            </w:pPr>
            <w:r>
              <w:rPr>
                <w:kern w:val="0"/>
                <w:szCs w:val="21"/>
                <w:lang w:bidi="ar"/>
              </w:rPr>
              <w:t>0.433838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E0C334A">
            <w:pPr>
              <w:widowControl/>
              <w:jc w:val="center"/>
              <w:textAlignment w:val="center"/>
              <w:rPr>
                <w:szCs w:val="21"/>
              </w:rPr>
            </w:pPr>
            <w:r>
              <w:rPr>
                <w:kern w:val="0"/>
                <w:szCs w:val="21"/>
                <w:lang w:bidi="ar"/>
              </w:rPr>
              <w:t>4.34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23E3590">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670091D">
            <w:pPr>
              <w:widowControl/>
              <w:jc w:val="center"/>
              <w:textAlignment w:val="center"/>
              <w:rPr>
                <w:szCs w:val="21"/>
              </w:rPr>
            </w:pPr>
            <w:r>
              <w:rPr>
                <w:kern w:val="0"/>
                <w:szCs w:val="21"/>
                <w:lang w:bidi="ar"/>
              </w:rPr>
              <w:t>4.1212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317C5C2">
            <w:pPr>
              <w:widowControl/>
              <w:jc w:val="center"/>
              <w:textAlignment w:val="center"/>
              <w:rPr>
                <w:szCs w:val="21"/>
              </w:rPr>
            </w:pPr>
            <w:r>
              <w:rPr>
                <w:kern w:val="0"/>
                <w:szCs w:val="21"/>
                <w:lang w:bidi="ar"/>
              </w:rPr>
              <w:t>2.06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4BAA73A">
            <w:pPr>
              <w:widowControl/>
              <w:jc w:val="center"/>
              <w:textAlignment w:val="center"/>
              <w:rPr>
                <w:szCs w:val="21"/>
              </w:rPr>
            </w:pPr>
            <w:r>
              <w:rPr>
                <w:kern w:val="0"/>
                <w:szCs w:val="21"/>
                <w:lang w:bidi="ar"/>
              </w:rPr>
              <w:t>0.386363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29276A5">
            <w:pPr>
              <w:widowControl/>
              <w:jc w:val="center"/>
              <w:textAlignment w:val="center"/>
              <w:rPr>
                <w:szCs w:val="21"/>
              </w:rPr>
            </w:pPr>
            <w:r>
              <w:rPr>
                <w:kern w:val="0"/>
                <w:szCs w:val="21"/>
                <w:lang w:bidi="ar"/>
              </w:rPr>
              <w:t>3.86</w:t>
            </w:r>
          </w:p>
        </w:tc>
      </w:tr>
      <w:tr w14:paraId="67045F51">
        <w:tblPrEx>
          <w:tblCellMar>
            <w:top w:w="0" w:type="dxa"/>
            <w:left w:w="108" w:type="dxa"/>
            <w:bottom w:w="0" w:type="dxa"/>
            <w:right w:w="108" w:type="dxa"/>
          </w:tblCellMar>
        </w:tblPrEx>
        <w:trPr>
          <w:trHeight w:val="285" w:hRule="atLeast"/>
        </w:trPr>
        <w:tc>
          <w:tcPr>
            <w:tcW w:w="289" w:type="pct"/>
            <w:vMerge w:val="restart"/>
            <w:tcBorders>
              <w:top w:val="single" w:color="000000" w:sz="4" w:space="0"/>
              <w:left w:val="single" w:color="000000" w:sz="4" w:space="0"/>
              <w:right w:val="single" w:color="000000" w:sz="4" w:space="0"/>
            </w:tcBorders>
            <w:noWrap/>
            <w:vAlign w:val="center"/>
          </w:tcPr>
          <w:p w14:paraId="63C9CBB2">
            <w:pPr>
              <w:widowControl/>
              <w:jc w:val="center"/>
              <w:textAlignment w:val="center"/>
              <w:rPr>
                <w:szCs w:val="21"/>
              </w:rPr>
            </w:pPr>
            <w:r>
              <w:rPr>
                <w:kern w:val="0"/>
                <w:szCs w:val="21"/>
                <w:lang w:bidi="ar"/>
              </w:rPr>
              <w:t>25</w:t>
            </w:r>
          </w:p>
        </w:tc>
        <w:tc>
          <w:tcPr>
            <w:tcW w:w="429" w:type="pct"/>
            <w:vMerge w:val="restart"/>
            <w:tcBorders>
              <w:top w:val="single" w:color="000000" w:sz="4" w:space="0"/>
              <w:left w:val="single" w:color="000000" w:sz="4" w:space="0"/>
              <w:right w:val="single" w:color="000000" w:sz="4" w:space="0"/>
            </w:tcBorders>
            <w:noWrap/>
            <w:vAlign w:val="center"/>
          </w:tcPr>
          <w:p w14:paraId="64083053">
            <w:pPr>
              <w:widowControl/>
              <w:jc w:val="center"/>
              <w:textAlignment w:val="center"/>
              <w:rPr>
                <w:szCs w:val="21"/>
              </w:rPr>
            </w:pPr>
            <w:r>
              <w:rPr>
                <w:kern w:val="0"/>
                <w:szCs w:val="21"/>
                <w:lang w:bidi="ar"/>
              </w:rPr>
              <w:t>4.6664</w:t>
            </w:r>
          </w:p>
        </w:tc>
        <w:tc>
          <w:tcPr>
            <w:tcW w:w="287" w:type="pct"/>
            <w:vMerge w:val="restart"/>
            <w:tcBorders>
              <w:top w:val="single" w:color="000000" w:sz="4" w:space="0"/>
              <w:left w:val="single" w:color="000000" w:sz="4" w:space="0"/>
              <w:right w:val="single" w:color="000000" w:sz="4" w:space="0"/>
            </w:tcBorders>
            <w:noWrap/>
            <w:vAlign w:val="center"/>
          </w:tcPr>
          <w:p w14:paraId="18A5814E">
            <w:pPr>
              <w:widowControl/>
              <w:jc w:val="center"/>
              <w:textAlignment w:val="center"/>
              <w:rPr>
                <w:szCs w:val="21"/>
              </w:rPr>
            </w:pPr>
            <w:r>
              <w:rPr>
                <w:kern w:val="0"/>
                <w:szCs w:val="21"/>
                <w:lang w:bidi="ar"/>
              </w:rPr>
              <w:t>2.33</w:t>
            </w:r>
          </w:p>
        </w:tc>
        <w:tc>
          <w:tcPr>
            <w:tcW w:w="412" w:type="pct"/>
            <w:vMerge w:val="restart"/>
            <w:tcBorders>
              <w:top w:val="single" w:color="000000" w:sz="4" w:space="0"/>
              <w:left w:val="single" w:color="000000" w:sz="4" w:space="0"/>
              <w:right w:val="single" w:color="000000" w:sz="4" w:space="0"/>
            </w:tcBorders>
            <w:noWrap/>
            <w:vAlign w:val="center"/>
          </w:tcPr>
          <w:p w14:paraId="4EA81473">
            <w:pPr>
              <w:widowControl/>
              <w:jc w:val="center"/>
              <w:textAlignment w:val="center"/>
              <w:rPr>
                <w:szCs w:val="21"/>
              </w:rPr>
            </w:pPr>
            <w:r>
              <w:rPr>
                <w:kern w:val="0"/>
                <w:szCs w:val="21"/>
                <w:lang w:bidi="ar"/>
              </w:rPr>
              <w:t>0.411741</w:t>
            </w:r>
          </w:p>
        </w:tc>
        <w:tc>
          <w:tcPr>
            <w:tcW w:w="296" w:type="pct"/>
            <w:vMerge w:val="restart"/>
            <w:tcBorders>
              <w:top w:val="single" w:color="000000" w:sz="4" w:space="0"/>
              <w:left w:val="single" w:color="000000" w:sz="4" w:space="0"/>
              <w:right w:val="single" w:color="000000" w:sz="4" w:space="0"/>
            </w:tcBorders>
            <w:noWrap/>
            <w:vAlign w:val="center"/>
          </w:tcPr>
          <w:p w14:paraId="75DB733A">
            <w:pPr>
              <w:widowControl/>
              <w:jc w:val="center"/>
              <w:textAlignment w:val="center"/>
              <w:rPr>
                <w:szCs w:val="21"/>
              </w:rPr>
            </w:pPr>
            <w:r>
              <w:rPr>
                <w:kern w:val="0"/>
                <w:szCs w:val="21"/>
                <w:lang w:bidi="ar"/>
              </w:rPr>
              <w:t>4.12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5E51063">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A5111D9">
            <w:pPr>
              <w:widowControl/>
              <w:jc w:val="center"/>
              <w:textAlignment w:val="center"/>
              <w:rPr>
                <w:szCs w:val="21"/>
              </w:rPr>
            </w:pPr>
            <w:r>
              <w:rPr>
                <w:kern w:val="0"/>
                <w:szCs w:val="21"/>
                <w:lang w:bidi="ar"/>
              </w:rPr>
              <w:t>5.7502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015B17F">
            <w:pPr>
              <w:widowControl/>
              <w:jc w:val="center"/>
              <w:textAlignment w:val="center"/>
              <w:rPr>
                <w:szCs w:val="21"/>
              </w:rPr>
            </w:pPr>
            <w:r>
              <w:rPr>
                <w:kern w:val="0"/>
                <w:szCs w:val="21"/>
                <w:lang w:bidi="ar"/>
              </w:rPr>
              <w:t>2.88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9807A0D">
            <w:pPr>
              <w:widowControl/>
              <w:jc w:val="center"/>
              <w:textAlignment w:val="center"/>
              <w:rPr>
                <w:szCs w:val="21"/>
              </w:rPr>
            </w:pPr>
            <w:r>
              <w:rPr>
                <w:kern w:val="0"/>
                <w:szCs w:val="21"/>
                <w:lang w:bidi="ar"/>
              </w:rPr>
              <w:t>0.539081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CD00E8D">
            <w:pPr>
              <w:widowControl/>
              <w:jc w:val="center"/>
              <w:textAlignment w:val="center"/>
              <w:rPr>
                <w:szCs w:val="21"/>
              </w:rPr>
            </w:pPr>
            <w:r>
              <w:rPr>
                <w:kern w:val="0"/>
                <w:szCs w:val="21"/>
                <w:lang w:bidi="ar"/>
              </w:rPr>
              <w:t>5.39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E427BFB">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C2F8790">
            <w:pPr>
              <w:widowControl/>
              <w:jc w:val="center"/>
              <w:textAlignment w:val="center"/>
              <w:rPr>
                <w:szCs w:val="21"/>
              </w:rPr>
            </w:pPr>
            <w:r>
              <w:rPr>
                <w:kern w:val="0"/>
                <w:szCs w:val="21"/>
                <w:lang w:bidi="ar"/>
              </w:rPr>
              <w:t>4.7938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5B40DDD">
            <w:pPr>
              <w:widowControl/>
              <w:jc w:val="center"/>
              <w:textAlignment w:val="center"/>
              <w:rPr>
                <w:szCs w:val="21"/>
              </w:rPr>
            </w:pPr>
            <w:r>
              <w:rPr>
                <w:kern w:val="0"/>
                <w:szCs w:val="21"/>
                <w:lang w:bidi="ar"/>
              </w:rPr>
              <w:t>2.4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212E8BF">
            <w:pPr>
              <w:widowControl/>
              <w:jc w:val="center"/>
              <w:textAlignment w:val="center"/>
              <w:rPr>
                <w:szCs w:val="21"/>
              </w:rPr>
            </w:pPr>
            <w:r>
              <w:rPr>
                <w:kern w:val="0"/>
                <w:szCs w:val="21"/>
                <w:lang w:bidi="ar"/>
              </w:rPr>
              <w:t>0.449419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73F9971">
            <w:pPr>
              <w:widowControl/>
              <w:jc w:val="center"/>
              <w:textAlignment w:val="center"/>
              <w:rPr>
                <w:szCs w:val="21"/>
              </w:rPr>
            </w:pPr>
            <w:r>
              <w:rPr>
                <w:kern w:val="0"/>
                <w:szCs w:val="21"/>
                <w:lang w:bidi="ar"/>
              </w:rPr>
              <w:t>4.49</w:t>
            </w:r>
          </w:p>
        </w:tc>
      </w:tr>
      <w:tr w14:paraId="4D777F02">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noWrap/>
            <w:vAlign w:val="center"/>
          </w:tcPr>
          <w:p w14:paraId="7052CA3F">
            <w:pPr>
              <w:jc w:val="center"/>
              <w:rPr>
                <w:szCs w:val="21"/>
              </w:rPr>
            </w:pPr>
          </w:p>
        </w:tc>
        <w:tc>
          <w:tcPr>
            <w:tcW w:w="429" w:type="pct"/>
            <w:vMerge w:val="continue"/>
            <w:tcBorders>
              <w:left w:val="single" w:color="000000" w:sz="4" w:space="0"/>
              <w:bottom w:val="single" w:color="000000" w:sz="4" w:space="0"/>
              <w:right w:val="single" w:color="000000" w:sz="4" w:space="0"/>
            </w:tcBorders>
            <w:noWrap/>
            <w:vAlign w:val="center"/>
          </w:tcPr>
          <w:p w14:paraId="45093237">
            <w:pPr>
              <w:jc w:val="center"/>
              <w:rPr>
                <w:szCs w:val="21"/>
              </w:rPr>
            </w:pPr>
          </w:p>
        </w:tc>
        <w:tc>
          <w:tcPr>
            <w:tcW w:w="287" w:type="pct"/>
            <w:vMerge w:val="continue"/>
            <w:tcBorders>
              <w:left w:val="single" w:color="000000" w:sz="4" w:space="0"/>
              <w:bottom w:val="single" w:color="000000" w:sz="4" w:space="0"/>
              <w:right w:val="single" w:color="000000" w:sz="4" w:space="0"/>
            </w:tcBorders>
            <w:noWrap/>
            <w:vAlign w:val="center"/>
          </w:tcPr>
          <w:p w14:paraId="077A7756">
            <w:pPr>
              <w:jc w:val="center"/>
              <w:rPr>
                <w:szCs w:val="21"/>
              </w:rPr>
            </w:pPr>
          </w:p>
        </w:tc>
        <w:tc>
          <w:tcPr>
            <w:tcW w:w="412" w:type="pct"/>
            <w:vMerge w:val="continue"/>
            <w:tcBorders>
              <w:left w:val="single" w:color="000000" w:sz="4" w:space="0"/>
              <w:bottom w:val="single" w:color="000000" w:sz="4" w:space="0"/>
              <w:right w:val="single" w:color="000000" w:sz="4" w:space="0"/>
            </w:tcBorders>
            <w:noWrap/>
            <w:vAlign w:val="center"/>
          </w:tcPr>
          <w:p w14:paraId="04FF6B43">
            <w:pPr>
              <w:jc w:val="center"/>
              <w:rPr>
                <w:szCs w:val="21"/>
              </w:rPr>
            </w:pPr>
          </w:p>
        </w:tc>
        <w:tc>
          <w:tcPr>
            <w:tcW w:w="296" w:type="pct"/>
            <w:vMerge w:val="continue"/>
            <w:tcBorders>
              <w:left w:val="single" w:color="000000" w:sz="4" w:space="0"/>
              <w:bottom w:val="single" w:color="000000" w:sz="4" w:space="0"/>
              <w:right w:val="single" w:color="000000" w:sz="4" w:space="0"/>
            </w:tcBorders>
            <w:noWrap/>
            <w:vAlign w:val="center"/>
          </w:tcPr>
          <w:p w14:paraId="79907CE2">
            <w:pPr>
              <w:jc w:val="center"/>
              <w:rPr>
                <w:szCs w:val="21"/>
              </w:rPr>
            </w:pP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5C1EC8A">
            <w:pPr>
              <w:widowControl/>
              <w:jc w:val="center"/>
              <w:textAlignment w:val="center"/>
              <w:rPr>
                <w:szCs w:val="21"/>
              </w:rPr>
            </w:pPr>
            <w:r>
              <w:rPr>
                <w:kern w:val="0"/>
                <w:szCs w:val="21"/>
                <w:lang w:bidi="ar"/>
              </w:rPr>
              <w:t>38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B3DEF9D">
            <w:pPr>
              <w:widowControl/>
              <w:jc w:val="center"/>
              <w:textAlignment w:val="center"/>
              <w:rPr>
                <w:szCs w:val="21"/>
              </w:rPr>
            </w:pPr>
            <w:r>
              <w:rPr>
                <w:kern w:val="0"/>
                <w:szCs w:val="21"/>
                <w:lang w:bidi="ar"/>
              </w:rPr>
              <w:t>6.4937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880CB44">
            <w:pPr>
              <w:widowControl/>
              <w:jc w:val="center"/>
              <w:textAlignment w:val="center"/>
              <w:rPr>
                <w:szCs w:val="21"/>
              </w:rPr>
            </w:pPr>
            <w:r>
              <w:rPr>
                <w:kern w:val="0"/>
                <w:szCs w:val="21"/>
                <w:lang w:bidi="ar"/>
              </w:rPr>
              <w:t>3.25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648F543">
            <w:pPr>
              <w:widowControl/>
              <w:jc w:val="center"/>
              <w:textAlignment w:val="center"/>
              <w:rPr>
                <w:szCs w:val="21"/>
              </w:rPr>
            </w:pPr>
            <w:r>
              <w:rPr>
                <w:kern w:val="0"/>
                <w:szCs w:val="21"/>
                <w:lang w:bidi="ar"/>
              </w:rPr>
              <w:t>0.608784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150833E">
            <w:pPr>
              <w:widowControl/>
              <w:jc w:val="center"/>
              <w:textAlignment w:val="center"/>
              <w:rPr>
                <w:szCs w:val="21"/>
              </w:rPr>
            </w:pPr>
            <w:r>
              <w:rPr>
                <w:kern w:val="0"/>
                <w:szCs w:val="21"/>
                <w:lang w:bidi="ar"/>
              </w:rPr>
              <w:t>6.09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76B35A8">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F251DDA">
            <w:pPr>
              <w:widowControl/>
              <w:jc w:val="center"/>
              <w:textAlignment w:val="center"/>
              <w:rPr>
                <w:szCs w:val="21"/>
              </w:rPr>
            </w:pPr>
            <w:r>
              <w:rPr>
                <w:kern w:val="0"/>
                <w:szCs w:val="21"/>
                <w:lang w:bidi="ar"/>
              </w:rPr>
              <w:t>5.6164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B1E8D84">
            <w:pPr>
              <w:widowControl/>
              <w:jc w:val="center"/>
              <w:textAlignment w:val="center"/>
              <w:rPr>
                <w:szCs w:val="21"/>
              </w:rPr>
            </w:pPr>
            <w:r>
              <w:rPr>
                <w:kern w:val="0"/>
                <w:szCs w:val="21"/>
                <w:lang w:bidi="ar"/>
              </w:rPr>
              <w:t>2.81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597C036">
            <w:pPr>
              <w:widowControl/>
              <w:jc w:val="center"/>
              <w:textAlignment w:val="center"/>
              <w:rPr>
                <w:szCs w:val="21"/>
              </w:rPr>
            </w:pPr>
            <w:r>
              <w:rPr>
                <w:kern w:val="0"/>
                <w:szCs w:val="21"/>
                <w:lang w:bidi="ar"/>
              </w:rPr>
              <w:t>0.526538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EFDA3EF">
            <w:pPr>
              <w:widowControl/>
              <w:jc w:val="center"/>
              <w:textAlignment w:val="center"/>
              <w:rPr>
                <w:szCs w:val="21"/>
              </w:rPr>
            </w:pPr>
            <w:r>
              <w:rPr>
                <w:kern w:val="0"/>
                <w:szCs w:val="21"/>
                <w:lang w:bidi="ar"/>
              </w:rPr>
              <w:t>5.27</w:t>
            </w:r>
          </w:p>
        </w:tc>
      </w:tr>
      <w:tr w14:paraId="45F4233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5DA0430">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351835D">
            <w:pPr>
              <w:widowControl/>
              <w:jc w:val="center"/>
              <w:textAlignment w:val="center"/>
              <w:rPr>
                <w:szCs w:val="21"/>
              </w:rPr>
            </w:pPr>
            <w:r>
              <w:rPr>
                <w:kern w:val="0"/>
                <w:szCs w:val="21"/>
                <w:lang w:bidi="ar"/>
              </w:rPr>
              <w:t>3.4617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DF6517A">
            <w:pPr>
              <w:widowControl/>
              <w:jc w:val="center"/>
              <w:textAlignment w:val="center"/>
              <w:rPr>
                <w:szCs w:val="21"/>
              </w:rPr>
            </w:pPr>
            <w:r>
              <w:rPr>
                <w:kern w:val="0"/>
                <w:szCs w:val="21"/>
                <w:lang w:bidi="ar"/>
              </w:rPr>
              <w:t>1.73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DA810F1">
            <w:pPr>
              <w:widowControl/>
              <w:jc w:val="center"/>
              <w:textAlignment w:val="center"/>
              <w:rPr>
                <w:szCs w:val="21"/>
              </w:rPr>
            </w:pPr>
            <w:r>
              <w:rPr>
                <w:kern w:val="0"/>
                <w:szCs w:val="21"/>
                <w:lang w:bidi="ar"/>
              </w:rPr>
              <w:t>0.305444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6AE5A23">
            <w:pPr>
              <w:widowControl/>
              <w:jc w:val="center"/>
              <w:textAlignment w:val="center"/>
              <w:rPr>
                <w:szCs w:val="21"/>
              </w:rPr>
            </w:pPr>
            <w:r>
              <w:rPr>
                <w:kern w:val="0"/>
                <w:szCs w:val="21"/>
                <w:lang w:bidi="ar"/>
              </w:rPr>
              <w:t>3.05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3A6B193">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34EAF4A">
            <w:pPr>
              <w:widowControl/>
              <w:jc w:val="center"/>
              <w:textAlignment w:val="center"/>
              <w:rPr>
                <w:szCs w:val="21"/>
              </w:rPr>
            </w:pPr>
            <w:r>
              <w:rPr>
                <w:kern w:val="0"/>
                <w:szCs w:val="21"/>
                <w:lang w:bidi="ar"/>
              </w:rPr>
              <w:t>6.410201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39CDD25">
            <w:pPr>
              <w:widowControl/>
              <w:jc w:val="center"/>
              <w:textAlignment w:val="center"/>
              <w:rPr>
                <w:szCs w:val="21"/>
              </w:rPr>
            </w:pPr>
            <w:r>
              <w:rPr>
                <w:kern w:val="0"/>
                <w:szCs w:val="21"/>
                <w:lang w:bidi="ar"/>
              </w:rPr>
              <w:t>3.21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92EBC08">
            <w:pPr>
              <w:widowControl/>
              <w:jc w:val="center"/>
              <w:textAlignment w:val="center"/>
              <w:rPr>
                <w:szCs w:val="21"/>
              </w:rPr>
            </w:pPr>
            <w:r>
              <w:rPr>
                <w:kern w:val="0"/>
                <w:szCs w:val="21"/>
                <w:lang w:bidi="ar"/>
              </w:rPr>
              <w:t>0.600956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EF3971E">
            <w:pPr>
              <w:widowControl/>
              <w:jc w:val="center"/>
              <w:textAlignment w:val="center"/>
              <w:rPr>
                <w:szCs w:val="21"/>
              </w:rPr>
            </w:pPr>
            <w:r>
              <w:rPr>
                <w:kern w:val="0"/>
                <w:szCs w:val="21"/>
                <w:lang w:bidi="ar"/>
              </w:rPr>
              <w:t>6.01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F579EE8">
            <w:pPr>
              <w:widowControl/>
              <w:jc w:val="center"/>
              <w:textAlignment w:val="center"/>
              <w:rPr>
                <w:szCs w:val="21"/>
              </w:rPr>
            </w:pPr>
            <w:r>
              <w:rPr>
                <w:kern w:val="0"/>
                <w:szCs w:val="21"/>
                <w:lang w:bidi="ar"/>
              </w:rPr>
              <w:t>51</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5AF749A">
            <w:pPr>
              <w:widowControl/>
              <w:jc w:val="center"/>
              <w:textAlignment w:val="center"/>
              <w:rPr>
                <w:szCs w:val="21"/>
              </w:rPr>
            </w:pPr>
            <w:r>
              <w:rPr>
                <w:kern w:val="0"/>
                <w:szCs w:val="21"/>
                <w:lang w:bidi="ar"/>
              </w:rPr>
              <w:t>5.644401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08614C1">
            <w:pPr>
              <w:widowControl/>
              <w:jc w:val="center"/>
              <w:textAlignment w:val="center"/>
              <w:rPr>
                <w:szCs w:val="21"/>
              </w:rPr>
            </w:pPr>
            <w:r>
              <w:rPr>
                <w:kern w:val="0"/>
                <w:szCs w:val="21"/>
                <w:lang w:bidi="ar"/>
              </w:rPr>
              <w:t>2.82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4A3BE96">
            <w:pPr>
              <w:widowControl/>
              <w:jc w:val="center"/>
              <w:textAlignment w:val="center"/>
              <w:rPr>
                <w:szCs w:val="21"/>
              </w:rPr>
            </w:pPr>
            <w:r>
              <w:rPr>
                <w:kern w:val="0"/>
                <w:szCs w:val="21"/>
                <w:lang w:bidi="ar"/>
              </w:rPr>
              <w:t>0.529163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71A986D">
            <w:pPr>
              <w:widowControl/>
              <w:jc w:val="center"/>
              <w:textAlignment w:val="center"/>
              <w:rPr>
                <w:szCs w:val="21"/>
              </w:rPr>
            </w:pPr>
            <w:r>
              <w:rPr>
                <w:kern w:val="0"/>
                <w:szCs w:val="21"/>
                <w:lang w:bidi="ar"/>
              </w:rPr>
              <w:t>5.29</w:t>
            </w:r>
          </w:p>
        </w:tc>
      </w:tr>
      <w:tr w14:paraId="076018AD">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EA6FF2A">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7BBFBC0">
            <w:pPr>
              <w:widowControl/>
              <w:jc w:val="center"/>
              <w:textAlignment w:val="center"/>
              <w:rPr>
                <w:szCs w:val="21"/>
              </w:rPr>
            </w:pPr>
            <w:r>
              <w:rPr>
                <w:kern w:val="0"/>
                <w:szCs w:val="21"/>
                <w:lang w:bidi="ar"/>
              </w:rPr>
              <w:t>2.1631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451A8D3">
            <w:pPr>
              <w:widowControl/>
              <w:jc w:val="center"/>
              <w:textAlignment w:val="center"/>
              <w:rPr>
                <w:szCs w:val="21"/>
              </w:rPr>
            </w:pPr>
            <w:r>
              <w:rPr>
                <w:kern w:val="0"/>
                <w:szCs w:val="21"/>
                <w:lang w:bidi="ar"/>
              </w:rPr>
              <w:t>1.08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F64679D">
            <w:pPr>
              <w:widowControl/>
              <w:jc w:val="center"/>
              <w:textAlignment w:val="center"/>
              <w:rPr>
                <w:szCs w:val="21"/>
              </w:rPr>
            </w:pPr>
            <w:r>
              <w:rPr>
                <w:kern w:val="0"/>
                <w:szCs w:val="21"/>
                <w:lang w:bidi="ar"/>
              </w:rPr>
              <w:t>0.190862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4B9688A">
            <w:pPr>
              <w:widowControl/>
              <w:jc w:val="center"/>
              <w:textAlignment w:val="center"/>
              <w:rPr>
                <w:szCs w:val="21"/>
              </w:rPr>
            </w:pPr>
            <w:r>
              <w:rPr>
                <w:kern w:val="0"/>
                <w:szCs w:val="21"/>
                <w:lang w:bidi="ar"/>
              </w:rPr>
              <w:t>1.91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608CE37">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EDBE053">
            <w:pPr>
              <w:widowControl/>
              <w:jc w:val="center"/>
              <w:textAlignment w:val="center"/>
              <w:rPr>
                <w:szCs w:val="21"/>
              </w:rPr>
            </w:pPr>
            <w:r>
              <w:rPr>
                <w:kern w:val="0"/>
                <w:szCs w:val="21"/>
                <w:lang w:bidi="ar"/>
              </w:rPr>
              <w:t>4.3288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B865824">
            <w:pPr>
              <w:widowControl/>
              <w:jc w:val="center"/>
              <w:textAlignment w:val="center"/>
              <w:rPr>
                <w:szCs w:val="21"/>
              </w:rPr>
            </w:pPr>
            <w:r>
              <w:rPr>
                <w:kern w:val="0"/>
                <w:szCs w:val="21"/>
                <w:lang w:bidi="ar"/>
              </w:rPr>
              <w:t>2.16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DCD7037">
            <w:pPr>
              <w:widowControl/>
              <w:jc w:val="center"/>
              <w:textAlignment w:val="center"/>
              <w:rPr>
                <w:szCs w:val="21"/>
              </w:rPr>
            </w:pPr>
            <w:r>
              <w:rPr>
                <w:kern w:val="0"/>
                <w:szCs w:val="21"/>
                <w:lang w:bidi="ar"/>
              </w:rPr>
              <w:t>0.405825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FFFA3CF">
            <w:pPr>
              <w:widowControl/>
              <w:jc w:val="center"/>
              <w:textAlignment w:val="center"/>
              <w:rPr>
                <w:szCs w:val="21"/>
              </w:rPr>
            </w:pPr>
            <w:r>
              <w:rPr>
                <w:kern w:val="0"/>
                <w:szCs w:val="21"/>
                <w:lang w:bidi="ar"/>
              </w:rPr>
              <w:t>4.06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0BD2BF7">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46871EF">
            <w:pPr>
              <w:widowControl/>
              <w:jc w:val="center"/>
              <w:textAlignment w:val="center"/>
              <w:rPr>
                <w:szCs w:val="21"/>
              </w:rPr>
            </w:pPr>
            <w:r>
              <w:rPr>
                <w:kern w:val="0"/>
                <w:szCs w:val="21"/>
                <w:lang w:bidi="ar"/>
              </w:rPr>
              <w:t>4.680501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24B2522">
            <w:pPr>
              <w:widowControl/>
              <w:jc w:val="center"/>
              <w:textAlignment w:val="center"/>
              <w:rPr>
                <w:szCs w:val="21"/>
              </w:rPr>
            </w:pPr>
            <w:r>
              <w:rPr>
                <w:kern w:val="0"/>
                <w:szCs w:val="21"/>
                <w:lang w:bidi="ar"/>
              </w:rPr>
              <w:t>2.34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EE34CC3">
            <w:pPr>
              <w:widowControl/>
              <w:jc w:val="center"/>
              <w:textAlignment w:val="center"/>
              <w:rPr>
                <w:szCs w:val="21"/>
              </w:rPr>
            </w:pPr>
            <w:r>
              <w:rPr>
                <w:kern w:val="0"/>
                <w:szCs w:val="21"/>
                <w:lang w:bidi="ar"/>
              </w:rPr>
              <w:t>0.438797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44A5E01">
            <w:pPr>
              <w:widowControl/>
              <w:jc w:val="center"/>
              <w:textAlignment w:val="center"/>
              <w:rPr>
                <w:szCs w:val="21"/>
              </w:rPr>
            </w:pPr>
            <w:r>
              <w:rPr>
                <w:kern w:val="0"/>
                <w:szCs w:val="21"/>
                <w:lang w:bidi="ar"/>
              </w:rPr>
              <w:t>4.39</w:t>
            </w:r>
          </w:p>
        </w:tc>
      </w:tr>
      <w:tr w14:paraId="1830ADC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5CDEAAE">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A6321F1">
            <w:pPr>
              <w:widowControl/>
              <w:jc w:val="center"/>
              <w:textAlignment w:val="center"/>
              <w:rPr>
                <w:szCs w:val="21"/>
              </w:rPr>
            </w:pPr>
            <w:r>
              <w:rPr>
                <w:kern w:val="0"/>
                <w:szCs w:val="21"/>
                <w:lang w:bidi="ar"/>
              </w:rPr>
              <w:t>1.6619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3778664">
            <w:pPr>
              <w:widowControl/>
              <w:jc w:val="center"/>
              <w:textAlignment w:val="center"/>
              <w:rPr>
                <w:szCs w:val="21"/>
              </w:rPr>
            </w:pPr>
            <w:r>
              <w:rPr>
                <w:kern w:val="0"/>
                <w:szCs w:val="21"/>
                <w:lang w:bidi="ar"/>
              </w:rPr>
              <w:t>0.83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2254877">
            <w:pPr>
              <w:widowControl/>
              <w:jc w:val="center"/>
              <w:textAlignment w:val="center"/>
              <w:rPr>
                <w:szCs w:val="21"/>
              </w:rPr>
            </w:pPr>
            <w:r>
              <w:rPr>
                <w:kern w:val="0"/>
                <w:szCs w:val="21"/>
                <w:lang w:bidi="ar"/>
              </w:rPr>
              <w:t>0.146638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B810D5C">
            <w:pPr>
              <w:widowControl/>
              <w:jc w:val="center"/>
              <w:textAlignment w:val="center"/>
              <w:rPr>
                <w:szCs w:val="21"/>
              </w:rPr>
            </w:pPr>
            <w:r>
              <w:rPr>
                <w:kern w:val="0"/>
                <w:szCs w:val="21"/>
                <w:lang w:bidi="ar"/>
              </w:rPr>
              <w:t>1.47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234042C">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E4B2F01">
            <w:pPr>
              <w:widowControl/>
              <w:jc w:val="center"/>
              <w:textAlignment w:val="center"/>
              <w:rPr>
                <w:szCs w:val="21"/>
              </w:rPr>
            </w:pPr>
            <w:r>
              <w:rPr>
                <w:kern w:val="0"/>
                <w:szCs w:val="21"/>
                <w:lang w:bidi="ar"/>
              </w:rPr>
              <w:t>3.1182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E6C8915">
            <w:pPr>
              <w:widowControl/>
              <w:jc w:val="center"/>
              <w:textAlignment w:val="center"/>
              <w:rPr>
                <w:szCs w:val="21"/>
              </w:rPr>
            </w:pPr>
            <w:r>
              <w:rPr>
                <w:kern w:val="0"/>
                <w:szCs w:val="21"/>
                <w:lang w:bidi="ar"/>
              </w:rPr>
              <w:t>1.56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862F708">
            <w:pPr>
              <w:widowControl/>
              <w:jc w:val="center"/>
              <w:textAlignment w:val="center"/>
              <w:rPr>
                <w:szCs w:val="21"/>
              </w:rPr>
            </w:pPr>
            <w:r>
              <w:rPr>
                <w:kern w:val="0"/>
                <w:szCs w:val="21"/>
                <w:lang w:bidi="ar"/>
              </w:rPr>
              <w:t>0.292331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8E84AB0">
            <w:pPr>
              <w:widowControl/>
              <w:jc w:val="center"/>
              <w:textAlignment w:val="center"/>
              <w:rPr>
                <w:szCs w:val="21"/>
              </w:rPr>
            </w:pPr>
            <w:r>
              <w:rPr>
                <w:kern w:val="0"/>
                <w:szCs w:val="21"/>
                <w:lang w:bidi="ar"/>
              </w:rPr>
              <w:t>2.92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32302E5">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49BDA4B">
            <w:pPr>
              <w:widowControl/>
              <w:jc w:val="center"/>
              <w:textAlignment w:val="center"/>
              <w:rPr>
                <w:szCs w:val="21"/>
              </w:rPr>
            </w:pPr>
            <w:r>
              <w:rPr>
                <w:kern w:val="0"/>
                <w:szCs w:val="21"/>
                <w:lang w:bidi="ar"/>
              </w:rPr>
              <w:t>3.1537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C467074">
            <w:pPr>
              <w:widowControl/>
              <w:jc w:val="center"/>
              <w:textAlignment w:val="center"/>
              <w:rPr>
                <w:szCs w:val="21"/>
              </w:rPr>
            </w:pPr>
            <w:r>
              <w:rPr>
                <w:kern w:val="0"/>
                <w:szCs w:val="21"/>
                <w:lang w:bidi="ar"/>
              </w:rPr>
              <w:t>1.58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B6CDDA0">
            <w:pPr>
              <w:widowControl/>
              <w:jc w:val="center"/>
              <w:textAlignment w:val="center"/>
              <w:rPr>
                <w:szCs w:val="21"/>
              </w:rPr>
            </w:pPr>
            <w:r>
              <w:rPr>
                <w:kern w:val="0"/>
                <w:szCs w:val="21"/>
                <w:lang w:bidi="ar"/>
              </w:rPr>
              <w:t>0.295659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0F3F569">
            <w:pPr>
              <w:widowControl/>
              <w:jc w:val="center"/>
              <w:textAlignment w:val="center"/>
              <w:rPr>
                <w:szCs w:val="21"/>
              </w:rPr>
            </w:pPr>
            <w:r>
              <w:rPr>
                <w:kern w:val="0"/>
                <w:szCs w:val="21"/>
                <w:lang w:bidi="ar"/>
              </w:rPr>
              <w:t>2.96</w:t>
            </w:r>
          </w:p>
        </w:tc>
      </w:tr>
      <w:tr w14:paraId="6D8A533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2EF60BB">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74774BB">
            <w:pPr>
              <w:widowControl/>
              <w:jc w:val="center"/>
              <w:textAlignment w:val="center"/>
              <w:rPr>
                <w:szCs w:val="21"/>
              </w:rPr>
            </w:pPr>
            <w:r>
              <w:rPr>
                <w:kern w:val="0"/>
                <w:szCs w:val="21"/>
                <w:lang w:bidi="ar"/>
              </w:rPr>
              <w:t>1.308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A941E41">
            <w:pPr>
              <w:widowControl/>
              <w:jc w:val="center"/>
              <w:textAlignment w:val="center"/>
              <w:rPr>
                <w:szCs w:val="21"/>
              </w:rPr>
            </w:pPr>
            <w:r>
              <w:rPr>
                <w:kern w:val="0"/>
                <w:szCs w:val="21"/>
                <w:lang w:bidi="ar"/>
              </w:rPr>
              <w:t>0.65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797A625">
            <w:pPr>
              <w:widowControl/>
              <w:jc w:val="center"/>
              <w:textAlignment w:val="center"/>
              <w:rPr>
                <w:szCs w:val="21"/>
              </w:rPr>
            </w:pPr>
            <w:r>
              <w:rPr>
                <w:kern w:val="0"/>
                <w:szCs w:val="21"/>
                <w:lang w:bidi="ar"/>
              </w:rPr>
              <w:t>0.115412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509C405">
            <w:pPr>
              <w:widowControl/>
              <w:jc w:val="center"/>
              <w:textAlignment w:val="center"/>
              <w:rPr>
                <w:szCs w:val="21"/>
              </w:rPr>
            </w:pPr>
            <w:r>
              <w:rPr>
                <w:kern w:val="0"/>
                <w:szCs w:val="21"/>
                <w:lang w:bidi="ar"/>
              </w:rPr>
              <w:t>1.15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0814F89">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9DA57E6">
            <w:pPr>
              <w:widowControl/>
              <w:jc w:val="center"/>
              <w:textAlignment w:val="center"/>
              <w:rPr>
                <w:szCs w:val="21"/>
              </w:rPr>
            </w:pPr>
            <w:r>
              <w:rPr>
                <w:kern w:val="0"/>
                <w:szCs w:val="21"/>
                <w:lang w:bidi="ar"/>
              </w:rPr>
              <w:t>2.4555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28817EA">
            <w:pPr>
              <w:widowControl/>
              <w:jc w:val="center"/>
              <w:textAlignment w:val="center"/>
              <w:rPr>
                <w:szCs w:val="21"/>
              </w:rPr>
            </w:pPr>
            <w:r>
              <w:rPr>
                <w:kern w:val="0"/>
                <w:szCs w:val="21"/>
                <w:lang w:bidi="ar"/>
              </w:rPr>
              <w:t>1.23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2288DBB">
            <w:pPr>
              <w:widowControl/>
              <w:jc w:val="center"/>
              <w:textAlignment w:val="center"/>
              <w:rPr>
                <w:szCs w:val="21"/>
              </w:rPr>
            </w:pPr>
            <w:r>
              <w:rPr>
                <w:kern w:val="0"/>
                <w:szCs w:val="21"/>
                <w:lang w:bidi="ar"/>
              </w:rPr>
              <w:t>0.230203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C4BCF7B">
            <w:pPr>
              <w:widowControl/>
              <w:jc w:val="center"/>
              <w:textAlignment w:val="center"/>
              <w:rPr>
                <w:szCs w:val="21"/>
              </w:rPr>
            </w:pPr>
            <w:r>
              <w:rPr>
                <w:kern w:val="0"/>
                <w:szCs w:val="21"/>
                <w:lang w:bidi="ar"/>
              </w:rPr>
              <w:t>2.3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5FC6B54">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20C4E85">
            <w:pPr>
              <w:widowControl/>
              <w:jc w:val="center"/>
              <w:textAlignment w:val="center"/>
              <w:rPr>
                <w:szCs w:val="21"/>
              </w:rPr>
            </w:pPr>
            <w:r>
              <w:rPr>
                <w:kern w:val="0"/>
                <w:szCs w:val="21"/>
                <w:lang w:bidi="ar"/>
              </w:rPr>
              <w:t>2.4613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E94C2E6">
            <w:pPr>
              <w:widowControl/>
              <w:jc w:val="center"/>
              <w:textAlignment w:val="center"/>
              <w:rPr>
                <w:szCs w:val="21"/>
              </w:rPr>
            </w:pPr>
            <w:r>
              <w:rPr>
                <w:kern w:val="0"/>
                <w:szCs w:val="21"/>
                <w:lang w:bidi="ar"/>
              </w:rPr>
              <w:t>1.23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4EBD759">
            <w:pPr>
              <w:widowControl/>
              <w:jc w:val="center"/>
              <w:textAlignment w:val="center"/>
              <w:rPr>
                <w:szCs w:val="21"/>
              </w:rPr>
            </w:pPr>
            <w:r>
              <w:rPr>
                <w:kern w:val="0"/>
                <w:szCs w:val="21"/>
                <w:lang w:bidi="ar"/>
              </w:rPr>
              <w:t>0.230747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A0DDC83">
            <w:pPr>
              <w:widowControl/>
              <w:jc w:val="center"/>
              <w:textAlignment w:val="center"/>
              <w:rPr>
                <w:szCs w:val="21"/>
              </w:rPr>
            </w:pPr>
            <w:r>
              <w:rPr>
                <w:kern w:val="0"/>
                <w:szCs w:val="21"/>
                <w:lang w:bidi="ar"/>
              </w:rPr>
              <w:t>2.31</w:t>
            </w:r>
          </w:p>
        </w:tc>
      </w:tr>
      <w:tr w14:paraId="6EF3931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0AF69E8">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EF2AD8B">
            <w:pPr>
              <w:widowControl/>
              <w:jc w:val="center"/>
              <w:textAlignment w:val="center"/>
              <w:rPr>
                <w:szCs w:val="21"/>
              </w:rPr>
            </w:pPr>
            <w:r>
              <w:rPr>
                <w:kern w:val="0"/>
                <w:szCs w:val="21"/>
                <w:lang w:bidi="ar"/>
              </w:rPr>
              <w:t>1.1475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89B4208">
            <w:pPr>
              <w:widowControl/>
              <w:jc w:val="center"/>
              <w:textAlignment w:val="center"/>
              <w:rPr>
                <w:szCs w:val="21"/>
              </w:rPr>
            </w:pPr>
            <w:r>
              <w:rPr>
                <w:kern w:val="0"/>
                <w:szCs w:val="21"/>
                <w:lang w:bidi="ar"/>
              </w:rPr>
              <w:t>0.57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2970FBA">
            <w:pPr>
              <w:widowControl/>
              <w:jc w:val="center"/>
              <w:textAlignment w:val="center"/>
              <w:rPr>
                <w:szCs w:val="21"/>
              </w:rPr>
            </w:pPr>
            <w:r>
              <w:rPr>
                <w:kern w:val="0"/>
                <w:szCs w:val="21"/>
                <w:lang w:bidi="ar"/>
              </w:rPr>
              <w:t>0.10125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BE612EC">
            <w:pPr>
              <w:widowControl/>
              <w:jc w:val="center"/>
              <w:textAlignment w:val="center"/>
              <w:rPr>
                <w:szCs w:val="21"/>
              </w:rPr>
            </w:pPr>
            <w:r>
              <w:rPr>
                <w:kern w:val="0"/>
                <w:szCs w:val="21"/>
                <w:lang w:bidi="ar"/>
              </w:rPr>
              <w:t>1.01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7938BE1">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50E7EA9">
            <w:pPr>
              <w:widowControl/>
              <w:jc w:val="center"/>
              <w:textAlignment w:val="center"/>
              <w:rPr>
                <w:szCs w:val="21"/>
              </w:rPr>
            </w:pPr>
            <w:r>
              <w:rPr>
                <w:kern w:val="0"/>
                <w:szCs w:val="21"/>
                <w:lang w:bidi="ar"/>
              </w:rPr>
              <w:t>2.1547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54BA4B0">
            <w:pPr>
              <w:widowControl/>
              <w:jc w:val="center"/>
              <w:textAlignment w:val="center"/>
              <w:rPr>
                <w:szCs w:val="21"/>
              </w:rPr>
            </w:pPr>
            <w:r>
              <w:rPr>
                <w:kern w:val="0"/>
                <w:szCs w:val="21"/>
                <w:lang w:bidi="ar"/>
              </w:rPr>
              <w:t>1.08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483B848">
            <w:pPr>
              <w:widowControl/>
              <w:jc w:val="center"/>
              <w:textAlignment w:val="center"/>
              <w:rPr>
                <w:szCs w:val="21"/>
              </w:rPr>
            </w:pPr>
            <w:r>
              <w:rPr>
                <w:kern w:val="0"/>
                <w:szCs w:val="21"/>
                <w:lang w:bidi="ar"/>
              </w:rPr>
              <w:t>0.202003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97255A6">
            <w:pPr>
              <w:widowControl/>
              <w:jc w:val="center"/>
              <w:textAlignment w:val="center"/>
              <w:rPr>
                <w:szCs w:val="21"/>
              </w:rPr>
            </w:pPr>
            <w:r>
              <w:rPr>
                <w:kern w:val="0"/>
                <w:szCs w:val="21"/>
                <w:lang w:bidi="ar"/>
              </w:rPr>
              <w:t>2.02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7D14C01">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E142C8D">
            <w:pPr>
              <w:widowControl/>
              <w:jc w:val="center"/>
              <w:textAlignment w:val="center"/>
              <w:rPr>
                <w:szCs w:val="21"/>
              </w:rPr>
            </w:pPr>
            <w:r>
              <w:rPr>
                <w:kern w:val="0"/>
                <w:szCs w:val="21"/>
                <w:lang w:bidi="ar"/>
              </w:rPr>
              <w:t>2.1565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B80A8D2">
            <w:pPr>
              <w:widowControl/>
              <w:jc w:val="center"/>
              <w:textAlignment w:val="center"/>
              <w:rPr>
                <w:szCs w:val="21"/>
              </w:rPr>
            </w:pPr>
            <w:r>
              <w:rPr>
                <w:kern w:val="0"/>
                <w:szCs w:val="21"/>
                <w:lang w:bidi="ar"/>
              </w:rPr>
              <w:t>1.08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FF3E4B0">
            <w:pPr>
              <w:widowControl/>
              <w:jc w:val="center"/>
              <w:textAlignment w:val="center"/>
              <w:rPr>
                <w:szCs w:val="21"/>
              </w:rPr>
            </w:pPr>
            <w:r>
              <w:rPr>
                <w:kern w:val="0"/>
                <w:szCs w:val="21"/>
                <w:lang w:bidi="ar"/>
              </w:rPr>
              <w:t>0.202172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796EE7C">
            <w:pPr>
              <w:widowControl/>
              <w:jc w:val="center"/>
              <w:textAlignment w:val="center"/>
              <w:rPr>
                <w:szCs w:val="21"/>
              </w:rPr>
            </w:pPr>
            <w:r>
              <w:rPr>
                <w:kern w:val="0"/>
                <w:szCs w:val="21"/>
                <w:lang w:bidi="ar"/>
              </w:rPr>
              <w:t>2.02</w:t>
            </w:r>
          </w:p>
        </w:tc>
      </w:tr>
      <w:tr w14:paraId="55E0F8B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A09F2F4">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45F4E7">
            <w:pPr>
              <w:widowControl/>
              <w:jc w:val="center"/>
              <w:textAlignment w:val="center"/>
              <w:rPr>
                <w:szCs w:val="21"/>
              </w:rPr>
            </w:pPr>
            <w:r>
              <w:rPr>
                <w:kern w:val="0"/>
                <w:szCs w:val="21"/>
                <w:lang w:bidi="ar"/>
              </w:rPr>
              <w:t>1.0386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73A7715">
            <w:pPr>
              <w:widowControl/>
              <w:jc w:val="center"/>
              <w:textAlignment w:val="center"/>
              <w:rPr>
                <w:szCs w:val="21"/>
              </w:rPr>
            </w:pPr>
            <w:r>
              <w:rPr>
                <w:kern w:val="0"/>
                <w:szCs w:val="21"/>
                <w:lang w:bidi="ar"/>
              </w:rPr>
              <w:t>0.52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AC56041">
            <w:pPr>
              <w:widowControl/>
              <w:jc w:val="center"/>
              <w:textAlignment w:val="center"/>
              <w:rPr>
                <w:szCs w:val="21"/>
              </w:rPr>
            </w:pPr>
            <w:r>
              <w:rPr>
                <w:kern w:val="0"/>
                <w:szCs w:val="21"/>
                <w:lang w:bidi="ar"/>
              </w:rPr>
              <w:t>0.091641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8AB46ED">
            <w:pPr>
              <w:widowControl/>
              <w:jc w:val="center"/>
              <w:textAlignment w:val="center"/>
              <w:rPr>
                <w:szCs w:val="21"/>
              </w:rPr>
            </w:pPr>
            <w:r>
              <w:rPr>
                <w:kern w:val="0"/>
                <w:szCs w:val="21"/>
                <w:lang w:bidi="ar"/>
              </w:rPr>
              <w:t>0.92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30D87F0">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436D117">
            <w:pPr>
              <w:widowControl/>
              <w:jc w:val="center"/>
              <w:textAlignment w:val="center"/>
              <w:rPr>
                <w:szCs w:val="21"/>
              </w:rPr>
            </w:pPr>
            <w:r>
              <w:rPr>
                <w:kern w:val="0"/>
                <w:szCs w:val="21"/>
                <w:lang w:bidi="ar"/>
              </w:rPr>
              <w:t>1.9538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669798A">
            <w:pPr>
              <w:widowControl/>
              <w:jc w:val="center"/>
              <w:textAlignment w:val="center"/>
              <w:rPr>
                <w:szCs w:val="21"/>
              </w:rPr>
            </w:pPr>
            <w:r>
              <w:rPr>
                <w:kern w:val="0"/>
                <w:szCs w:val="21"/>
                <w:lang w:bidi="ar"/>
              </w:rPr>
              <w:t>0.98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C7F5560">
            <w:pPr>
              <w:widowControl/>
              <w:jc w:val="center"/>
              <w:textAlignment w:val="center"/>
              <w:rPr>
                <w:szCs w:val="21"/>
              </w:rPr>
            </w:pPr>
            <w:r>
              <w:rPr>
                <w:kern w:val="0"/>
                <w:szCs w:val="21"/>
                <w:lang w:bidi="ar"/>
              </w:rPr>
              <w:t>0.183169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9B61A96">
            <w:pPr>
              <w:widowControl/>
              <w:jc w:val="center"/>
              <w:textAlignment w:val="center"/>
              <w:rPr>
                <w:szCs w:val="21"/>
              </w:rPr>
            </w:pPr>
            <w:r>
              <w:rPr>
                <w:kern w:val="0"/>
                <w:szCs w:val="21"/>
                <w:lang w:bidi="ar"/>
              </w:rPr>
              <w:t>1.83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D0BD7B9">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E1DE7B7">
            <w:pPr>
              <w:widowControl/>
              <w:jc w:val="center"/>
              <w:textAlignment w:val="center"/>
              <w:rPr>
                <w:szCs w:val="21"/>
              </w:rPr>
            </w:pPr>
            <w:r>
              <w:rPr>
                <w:kern w:val="0"/>
                <w:szCs w:val="21"/>
                <w:lang w:bidi="ar"/>
              </w:rPr>
              <w:t>1.9543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F5ED384">
            <w:pPr>
              <w:widowControl/>
              <w:jc w:val="center"/>
              <w:textAlignment w:val="center"/>
              <w:rPr>
                <w:szCs w:val="21"/>
              </w:rPr>
            </w:pPr>
            <w:r>
              <w:rPr>
                <w:kern w:val="0"/>
                <w:szCs w:val="21"/>
                <w:lang w:bidi="ar"/>
              </w:rPr>
              <w:t>0.98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4C6FBCA">
            <w:pPr>
              <w:widowControl/>
              <w:jc w:val="center"/>
              <w:textAlignment w:val="center"/>
              <w:rPr>
                <w:szCs w:val="21"/>
              </w:rPr>
            </w:pPr>
            <w:r>
              <w:rPr>
                <w:kern w:val="0"/>
                <w:szCs w:val="21"/>
                <w:lang w:bidi="ar"/>
              </w:rPr>
              <w:t>0.183216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EBFE28E">
            <w:pPr>
              <w:widowControl/>
              <w:jc w:val="center"/>
              <w:textAlignment w:val="center"/>
              <w:rPr>
                <w:szCs w:val="21"/>
              </w:rPr>
            </w:pPr>
            <w:r>
              <w:rPr>
                <w:kern w:val="0"/>
                <w:szCs w:val="21"/>
                <w:lang w:bidi="ar"/>
              </w:rPr>
              <w:t>1.83</w:t>
            </w:r>
          </w:p>
        </w:tc>
      </w:tr>
      <w:tr w14:paraId="67FC62DD">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0D4BBD3">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6AF3035">
            <w:pPr>
              <w:widowControl/>
              <w:jc w:val="center"/>
              <w:textAlignment w:val="center"/>
              <w:rPr>
                <w:szCs w:val="21"/>
              </w:rPr>
            </w:pPr>
            <w:r>
              <w:rPr>
                <w:kern w:val="0"/>
                <w:szCs w:val="21"/>
                <w:lang w:bidi="ar"/>
              </w:rPr>
              <w:t>0.9526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3BE267D">
            <w:pPr>
              <w:widowControl/>
              <w:jc w:val="center"/>
              <w:textAlignment w:val="center"/>
              <w:rPr>
                <w:szCs w:val="21"/>
              </w:rPr>
            </w:pPr>
            <w:r>
              <w:rPr>
                <w:kern w:val="0"/>
                <w:szCs w:val="21"/>
                <w:lang w:bidi="ar"/>
              </w:rPr>
              <w:t>0.48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12E6F94">
            <w:pPr>
              <w:widowControl/>
              <w:jc w:val="center"/>
              <w:textAlignment w:val="center"/>
              <w:rPr>
                <w:szCs w:val="21"/>
              </w:rPr>
            </w:pPr>
            <w:r>
              <w:rPr>
                <w:kern w:val="0"/>
                <w:szCs w:val="21"/>
                <w:lang w:bidi="ar"/>
              </w:rPr>
              <w:t>0.084053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CABAFB2">
            <w:pPr>
              <w:widowControl/>
              <w:jc w:val="center"/>
              <w:textAlignment w:val="center"/>
              <w:rPr>
                <w:szCs w:val="21"/>
              </w:rPr>
            </w:pPr>
            <w:r>
              <w:rPr>
                <w:kern w:val="0"/>
                <w:szCs w:val="21"/>
                <w:lang w:bidi="ar"/>
              </w:rPr>
              <w:t>0.84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7B382A1">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2800659">
            <w:pPr>
              <w:widowControl/>
              <w:jc w:val="center"/>
              <w:textAlignment w:val="center"/>
              <w:rPr>
                <w:szCs w:val="21"/>
              </w:rPr>
            </w:pPr>
            <w:r>
              <w:rPr>
                <w:kern w:val="0"/>
                <w:szCs w:val="21"/>
                <w:lang w:bidi="ar"/>
              </w:rPr>
              <w:t>1.7925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046B200">
            <w:pPr>
              <w:widowControl/>
              <w:jc w:val="center"/>
              <w:textAlignment w:val="center"/>
              <w:rPr>
                <w:szCs w:val="21"/>
              </w:rPr>
            </w:pPr>
            <w:r>
              <w:rPr>
                <w:kern w:val="0"/>
                <w:szCs w:val="21"/>
                <w:lang w:bidi="ar"/>
              </w:rPr>
              <w:t>0.9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1B3EE27">
            <w:pPr>
              <w:widowControl/>
              <w:jc w:val="center"/>
              <w:textAlignment w:val="center"/>
              <w:rPr>
                <w:szCs w:val="21"/>
              </w:rPr>
            </w:pPr>
            <w:r>
              <w:rPr>
                <w:kern w:val="0"/>
                <w:szCs w:val="21"/>
                <w:lang w:bidi="ar"/>
              </w:rPr>
              <w:t>0.168047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836DC90">
            <w:pPr>
              <w:widowControl/>
              <w:jc w:val="center"/>
              <w:textAlignment w:val="center"/>
              <w:rPr>
                <w:szCs w:val="21"/>
              </w:rPr>
            </w:pPr>
            <w:r>
              <w:rPr>
                <w:kern w:val="0"/>
                <w:szCs w:val="21"/>
                <w:lang w:bidi="ar"/>
              </w:rPr>
              <w:t>1.68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0EC42AD">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AE52952">
            <w:pPr>
              <w:widowControl/>
              <w:jc w:val="center"/>
              <w:textAlignment w:val="center"/>
              <w:rPr>
                <w:szCs w:val="21"/>
              </w:rPr>
            </w:pPr>
            <w:r>
              <w:rPr>
                <w:kern w:val="0"/>
                <w:szCs w:val="21"/>
                <w:lang w:bidi="ar"/>
              </w:rPr>
              <w:t>1.7931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5C9D7EE">
            <w:pPr>
              <w:widowControl/>
              <w:jc w:val="center"/>
              <w:textAlignment w:val="center"/>
              <w:rPr>
                <w:szCs w:val="21"/>
              </w:rPr>
            </w:pPr>
            <w:r>
              <w:rPr>
                <w:kern w:val="0"/>
                <w:szCs w:val="21"/>
                <w:lang w:bidi="ar"/>
              </w:rPr>
              <w:t>0.9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59D4A95">
            <w:pPr>
              <w:widowControl/>
              <w:jc w:val="center"/>
              <w:textAlignment w:val="center"/>
              <w:rPr>
                <w:szCs w:val="21"/>
              </w:rPr>
            </w:pPr>
            <w:r>
              <w:rPr>
                <w:kern w:val="0"/>
                <w:szCs w:val="21"/>
                <w:lang w:bidi="ar"/>
              </w:rPr>
              <w:t>0.168103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125D151">
            <w:pPr>
              <w:widowControl/>
              <w:jc w:val="center"/>
              <w:textAlignment w:val="center"/>
              <w:rPr>
                <w:szCs w:val="21"/>
              </w:rPr>
            </w:pPr>
            <w:r>
              <w:rPr>
                <w:kern w:val="0"/>
                <w:szCs w:val="21"/>
                <w:lang w:bidi="ar"/>
              </w:rPr>
              <w:t>1.68</w:t>
            </w:r>
          </w:p>
        </w:tc>
      </w:tr>
      <w:tr w14:paraId="3F9F33E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001E317">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2568EED">
            <w:pPr>
              <w:widowControl/>
              <w:jc w:val="center"/>
              <w:textAlignment w:val="center"/>
              <w:rPr>
                <w:szCs w:val="21"/>
              </w:rPr>
            </w:pPr>
            <w:r>
              <w:rPr>
                <w:kern w:val="0"/>
                <w:szCs w:val="21"/>
                <w:lang w:bidi="ar"/>
              </w:rPr>
              <w:t>0.7676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8F5E0FB">
            <w:pPr>
              <w:widowControl/>
              <w:jc w:val="center"/>
              <w:textAlignment w:val="center"/>
              <w:rPr>
                <w:szCs w:val="21"/>
              </w:rPr>
            </w:pPr>
            <w:r>
              <w:rPr>
                <w:kern w:val="0"/>
                <w:szCs w:val="21"/>
                <w:lang w:bidi="ar"/>
              </w:rPr>
              <w:t>0.38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32FF0DE">
            <w:pPr>
              <w:widowControl/>
              <w:jc w:val="center"/>
              <w:textAlignment w:val="center"/>
              <w:rPr>
                <w:szCs w:val="21"/>
              </w:rPr>
            </w:pPr>
            <w:r>
              <w:rPr>
                <w:kern w:val="0"/>
                <w:szCs w:val="21"/>
                <w:lang w:bidi="ar"/>
              </w:rPr>
              <w:t>0.067729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BBD9D84">
            <w:pPr>
              <w:widowControl/>
              <w:jc w:val="center"/>
              <w:textAlignment w:val="center"/>
              <w:rPr>
                <w:szCs w:val="21"/>
              </w:rPr>
            </w:pPr>
            <w:r>
              <w:rPr>
                <w:kern w:val="0"/>
                <w:szCs w:val="21"/>
                <w:lang w:bidi="ar"/>
              </w:rPr>
              <w:t>0.68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B444191">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508C11D">
            <w:pPr>
              <w:widowControl/>
              <w:jc w:val="center"/>
              <w:textAlignment w:val="center"/>
              <w:rPr>
                <w:szCs w:val="21"/>
              </w:rPr>
            </w:pPr>
            <w:r>
              <w:rPr>
                <w:kern w:val="0"/>
                <w:szCs w:val="21"/>
                <w:lang w:bidi="ar"/>
              </w:rPr>
              <w:t>1.4453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A1BD790">
            <w:pPr>
              <w:widowControl/>
              <w:jc w:val="center"/>
              <w:textAlignment w:val="center"/>
              <w:rPr>
                <w:szCs w:val="21"/>
              </w:rPr>
            </w:pPr>
            <w:r>
              <w:rPr>
                <w:kern w:val="0"/>
                <w:szCs w:val="21"/>
                <w:lang w:bidi="ar"/>
              </w:rPr>
              <w:t>0.72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A257869">
            <w:pPr>
              <w:widowControl/>
              <w:jc w:val="center"/>
              <w:textAlignment w:val="center"/>
              <w:rPr>
                <w:szCs w:val="21"/>
              </w:rPr>
            </w:pPr>
            <w:r>
              <w:rPr>
                <w:kern w:val="0"/>
                <w:szCs w:val="21"/>
                <w:lang w:bidi="ar"/>
              </w:rPr>
              <w:t>0.135497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C1AF9E7">
            <w:pPr>
              <w:widowControl/>
              <w:jc w:val="center"/>
              <w:textAlignment w:val="center"/>
              <w:rPr>
                <w:szCs w:val="21"/>
              </w:rPr>
            </w:pPr>
            <w:r>
              <w:rPr>
                <w:kern w:val="0"/>
                <w:szCs w:val="21"/>
                <w:lang w:bidi="ar"/>
              </w:rPr>
              <w:t>1.35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F6E7C95">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962A3BA">
            <w:pPr>
              <w:widowControl/>
              <w:jc w:val="center"/>
              <w:textAlignment w:val="center"/>
              <w:rPr>
                <w:szCs w:val="21"/>
              </w:rPr>
            </w:pPr>
            <w:r>
              <w:rPr>
                <w:kern w:val="0"/>
                <w:szCs w:val="21"/>
                <w:lang w:bidi="ar"/>
              </w:rPr>
              <w:t>1.4453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E960447">
            <w:pPr>
              <w:widowControl/>
              <w:jc w:val="center"/>
              <w:textAlignment w:val="center"/>
              <w:rPr>
                <w:szCs w:val="21"/>
              </w:rPr>
            </w:pPr>
            <w:r>
              <w:rPr>
                <w:kern w:val="0"/>
                <w:szCs w:val="21"/>
                <w:lang w:bidi="ar"/>
              </w:rPr>
              <w:t>0.72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196F1E1">
            <w:pPr>
              <w:widowControl/>
              <w:jc w:val="center"/>
              <w:textAlignment w:val="center"/>
              <w:rPr>
                <w:szCs w:val="21"/>
              </w:rPr>
            </w:pPr>
            <w:r>
              <w:rPr>
                <w:kern w:val="0"/>
                <w:szCs w:val="21"/>
                <w:lang w:bidi="ar"/>
              </w:rPr>
              <w:t>0.135497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2B0D1BF">
            <w:pPr>
              <w:widowControl/>
              <w:jc w:val="center"/>
              <w:textAlignment w:val="center"/>
              <w:rPr>
                <w:szCs w:val="21"/>
              </w:rPr>
            </w:pPr>
            <w:r>
              <w:rPr>
                <w:kern w:val="0"/>
                <w:szCs w:val="21"/>
                <w:lang w:bidi="ar"/>
              </w:rPr>
              <w:t>1.35</w:t>
            </w:r>
          </w:p>
        </w:tc>
      </w:tr>
      <w:tr w14:paraId="5A37CFF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B3D8D76">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31A5398">
            <w:pPr>
              <w:widowControl/>
              <w:jc w:val="center"/>
              <w:textAlignment w:val="center"/>
              <w:rPr>
                <w:szCs w:val="21"/>
              </w:rPr>
            </w:pPr>
            <w:r>
              <w:rPr>
                <w:kern w:val="0"/>
                <w:szCs w:val="21"/>
                <w:lang w:bidi="ar"/>
              </w:rPr>
              <w:t>0.67631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327E1E3">
            <w:pPr>
              <w:widowControl/>
              <w:jc w:val="center"/>
              <w:textAlignment w:val="center"/>
              <w:rPr>
                <w:szCs w:val="21"/>
              </w:rPr>
            </w:pPr>
            <w:r>
              <w:rPr>
                <w:kern w:val="0"/>
                <w:szCs w:val="21"/>
                <w:lang w:bidi="ar"/>
              </w:rPr>
              <w:t>0.34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7DB710A">
            <w:pPr>
              <w:widowControl/>
              <w:jc w:val="center"/>
              <w:textAlignment w:val="center"/>
              <w:rPr>
                <w:szCs w:val="21"/>
              </w:rPr>
            </w:pPr>
            <w:r>
              <w:rPr>
                <w:kern w:val="0"/>
                <w:szCs w:val="21"/>
                <w:lang w:bidi="ar"/>
              </w:rPr>
              <w:t>0.059674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5B2F0F9">
            <w:pPr>
              <w:widowControl/>
              <w:jc w:val="center"/>
              <w:textAlignment w:val="center"/>
              <w:rPr>
                <w:szCs w:val="21"/>
              </w:rPr>
            </w:pPr>
            <w:r>
              <w:rPr>
                <w:kern w:val="0"/>
                <w:szCs w:val="21"/>
                <w:lang w:bidi="ar"/>
              </w:rPr>
              <w:t>0.6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8DAF1F6">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F1101E7">
            <w:pPr>
              <w:widowControl/>
              <w:jc w:val="center"/>
              <w:textAlignment w:val="center"/>
              <w:rPr>
                <w:szCs w:val="21"/>
              </w:rPr>
            </w:pPr>
            <w:r>
              <w:rPr>
                <w:kern w:val="0"/>
                <w:szCs w:val="21"/>
                <w:lang w:bidi="ar"/>
              </w:rPr>
              <w:t>1.2735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B268150">
            <w:pPr>
              <w:widowControl/>
              <w:jc w:val="center"/>
              <w:textAlignment w:val="center"/>
              <w:rPr>
                <w:szCs w:val="21"/>
              </w:rPr>
            </w:pPr>
            <w:r>
              <w:rPr>
                <w:kern w:val="0"/>
                <w:szCs w:val="21"/>
                <w:lang w:bidi="ar"/>
              </w:rPr>
              <w:t>0.64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A7BB92E">
            <w:pPr>
              <w:widowControl/>
              <w:jc w:val="center"/>
              <w:textAlignment w:val="center"/>
              <w:rPr>
                <w:szCs w:val="21"/>
              </w:rPr>
            </w:pPr>
            <w:r>
              <w:rPr>
                <w:kern w:val="0"/>
                <w:szCs w:val="21"/>
                <w:lang w:bidi="ar"/>
              </w:rPr>
              <w:t>0.119391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D43E696">
            <w:pPr>
              <w:widowControl/>
              <w:jc w:val="center"/>
              <w:textAlignment w:val="center"/>
              <w:rPr>
                <w:szCs w:val="21"/>
              </w:rPr>
            </w:pPr>
            <w:r>
              <w:rPr>
                <w:kern w:val="0"/>
                <w:szCs w:val="21"/>
                <w:lang w:bidi="ar"/>
              </w:rPr>
              <w:t>1.19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9E2BC7A">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1CDCCB4">
            <w:pPr>
              <w:widowControl/>
              <w:jc w:val="center"/>
              <w:textAlignment w:val="center"/>
              <w:rPr>
                <w:szCs w:val="21"/>
              </w:rPr>
            </w:pPr>
            <w:r>
              <w:rPr>
                <w:kern w:val="0"/>
                <w:szCs w:val="21"/>
                <w:lang w:bidi="ar"/>
              </w:rPr>
              <w:t>1.2735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CBA49DF">
            <w:pPr>
              <w:widowControl/>
              <w:jc w:val="center"/>
              <w:textAlignment w:val="center"/>
              <w:rPr>
                <w:szCs w:val="21"/>
              </w:rPr>
            </w:pPr>
            <w:r>
              <w:rPr>
                <w:kern w:val="0"/>
                <w:szCs w:val="21"/>
                <w:lang w:bidi="ar"/>
              </w:rPr>
              <w:t>0.64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2FB69D0">
            <w:pPr>
              <w:widowControl/>
              <w:jc w:val="center"/>
              <w:textAlignment w:val="center"/>
              <w:rPr>
                <w:szCs w:val="21"/>
              </w:rPr>
            </w:pPr>
            <w:r>
              <w:rPr>
                <w:kern w:val="0"/>
                <w:szCs w:val="21"/>
                <w:lang w:bidi="ar"/>
              </w:rPr>
              <w:t>0.119391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D85CF2A">
            <w:pPr>
              <w:widowControl/>
              <w:jc w:val="center"/>
              <w:textAlignment w:val="center"/>
              <w:rPr>
                <w:szCs w:val="21"/>
              </w:rPr>
            </w:pPr>
            <w:r>
              <w:rPr>
                <w:kern w:val="0"/>
                <w:szCs w:val="21"/>
                <w:lang w:bidi="ar"/>
              </w:rPr>
              <w:t>1.19</w:t>
            </w:r>
          </w:p>
        </w:tc>
      </w:tr>
      <w:tr w14:paraId="6FCC245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3ED11FF">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7FED97C">
            <w:pPr>
              <w:widowControl/>
              <w:jc w:val="center"/>
              <w:textAlignment w:val="center"/>
              <w:rPr>
                <w:szCs w:val="21"/>
              </w:rPr>
            </w:pPr>
            <w:r>
              <w:rPr>
                <w:kern w:val="0"/>
                <w:szCs w:val="21"/>
                <w:lang w:bidi="ar"/>
              </w:rPr>
              <w:t>0.60285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C914FB2">
            <w:pPr>
              <w:widowControl/>
              <w:jc w:val="center"/>
              <w:textAlignment w:val="center"/>
              <w:rPr>
                <w:szCs w:val="21"/>
              </w:rPr>
            </w:pPr>
            <w:r>
              <w:rPr>
                <w:kern w:val="0"/>
                <w:szCs w:val="21"/>
                <w:lang w:bidi="ar"/>
              </w:rPr>
              <w:t>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2868922">
            <w:pPr>
              <w:widowControl/>
              <w:jc w:val="center"/>
              <w:textAlignment w:val="center"/>
              <w:rPr>
                <w:szCs w:val="21"/>
              </w:rPr>
            </w:pPr>
            <w:r>
              <w:rPr>
                <w:kern w:val="0"/>
                <w:szCs w:val="21"/>
                <w:lang w:bidi="ar"/>
              </w:rPr>
              <w:t>0.053193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A023E42">
            <w:pPr>
              <w:widowControl/>
              <w:jc w:val="center"/>
              <w:textAlignment w:val="center"/>
              <w:rPr>
                <w:szCs w:val="21"/>
              </w:rPr>
            </w:pPr>
            <w:r>
              <w:rPr>
                <w:kern w:val="0"/>
                <w:szCs w:val="21"/>
                <w:lang w:bidi="ar"/>
              </w:rPr>
              <w:t>0.53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CBD759C">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307CF90">
            <w:pPr>
              <w:widowControl/>
              <w:jc w:val="center"/>
              <w:textAlignment w:val="center"/>
              <w:rPr>
                <w:szCs w:val="21"/>
              </w:rPr>
            </w:pPr>
            <w:r>
              <w:rPr>
                <w:kern w:val="0"/>
                <w:szCs w:val="21"/>
                <w:lang w:bidi="ar"/>
              </w:rPr>
              <w:t>1.1352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C426BA3">
            <w:pPr>
              <w:widowControl/>
              <w:jc w:val="center"/>
              <w:textAlignment w:val="center"/>
              <w:rPr>
                <w:szCs w:val="21"/>
              </w:rPr>
            </w:pPr>
            <w:r>
              <w:rPr>
                <w:kern w:val="0"/>
                <w:szCs w:val="21"/>
                <w:lang w:bidi="ar"/>
              </w:rPr>
              <w:t>0.57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3AB1060">
            <w:pPr>
              <w:widowControl/>
              <w:jc w:val="center"/>
              <w:textAlignment w:val="center"/>
              <w:rPr>
                <w:szCs w:val="21"/>
              </w:rPr>
            </w:pPr>
            <w:r>
              <w:rPr>
                <w:kern w:val="0"/>
                <w:szCs w:val="21"/>
                <w:lang w:bidi="ar"/>
              </w:rPr>
              <w:t>0.106425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867E894">
            <w:pPr>
              <w:widowControl/>
              <w:jc w:val="center"/>
              <w:textAlignment w:val="center"/>
              <w:rPr>
                <w:szCs w:val="21"/>
              </w:rPr>
            </w:pPr>
            <w:r>
              <w:rPr>
                <w:kern w:val="0"/>
                <w:szCs w:val="21"/>
                <w:lang w:bidi="ar"/>
              </w:rPr>
              <w:t>1.06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0305300">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0286EDF">
            <w:pPr>
              <w:widowControl/>
              <w:jc w:val="center"/>
              <w:textAlignment w:val="center"/>
              <w:rPr>
                <w:szCs w:val="21"/>
              </w:rPr>
            </w:pPr>
            <w:r>
              <w:rPr>
                <w:kern w:val="0"/>
                <w:szCs w:val="21"/>
                <w:lang w:bidi="ar"/>
              </w:rPr>
              <w:t>1.1352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28A66A1">
            <w:pPr>
              <w:widowControl/>
              <w:jc w:val="center"/>
              <w:textAlignment w:val="center"/>
              <w:rPr>
                <w:szCs w:val="21"/>
              </w:rPr>
            </w:pPr>
            <w:r>
              <w:rPr>
                <w:kern w:val="0"/>
                <w:szCs w:val="21"/>
                <w:lang w:bidi="ar"/>
              </w:rPr>
              <w:t>0.57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2C67097">
            <w:pPr>
              <w:widowControl/>
              <w:jc w:val="center"/>
              <w:textAlignment w:val="center"/>
              <w:rPr>
                <w:szCs w:val="21"/>
              </w:rPr>
            </w:pPr>
            <w:r>
              <w:rPr>
                <w:kern w:val="0"/>
                <w:szCs w:val="21"/>
                <w:lang w:bidi="ar"/>
              </w:rPr>
              <w:t>0.106425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F207772">
            <w:pPr>
              <w:widowControl/>
              <w:jc w:val="center"/>
              <w:textAlignment w:val="center"/>
              <w:rPr>
                <w:szCs w:val="21"/>
              </w:rPr>
            </w:pPr>
            <w:r>
              <w:rPr>
                <w:kern w:val="0"/>
                <w:szCs w:val="21"/>
                <w:lang w:bidi="ar"/>
              </w:rPr>
              <w:t>1.06</w:t>
            </w:r>
          </w:p>
        </w:tc>
      </w:tr>
      <w:tr w14:paraId="4045AAF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AF765BB">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A885CB3">
            <w:pPr>
              <w:widowControl/>
              <w:jc w:val="center"/>
              <w:textAlignment w:val="center"/>
              <w:rPr>
                <w:szCs w:val="21"/>
              </w:rPr>
            </w:pPr>
            <w:r>
              <w:rPr>
                <w:kern w:val="0"/>
                <w:szCs w:val="21"/>
                <w:lang w:bidi="ar"/>
              </w:rPr>
              <w:t>0.54257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43E08AB">
            <w:pPr>
              <w:widowControl/>
              <w:jc w:val="center"/>
              <w:textAlignment w:val="center"/>
              <w:rPr>
                <w:szCs w:val="21"/>
              </w:rPr>
            </w:pPr>
            <w:r>
              <w:rPr>
                <w:kern w:val="0"/>
                <w:szCs w:val="21"/>
                <w:lang w:bidi="ar"/>
              </w:rPr>
              <w:t>0.27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684D2D8">
            <w:pPr>
              <w:widowControl/>
              <w:jc w:val="center"/>
              <w:textAlignment w:val="center"/>
              <w:rPr>
                <w:szCs w:val="21"/>
              </w:rPr>
            </w:pPr>
            <w:r>
              <w:rPr>
                <w:kern w:val="0"/>
                <w:szCs w:val="21"/>
                <w:lang w:bidi="ar"/>
              </w:rPr>
              <w:t>0.047874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6030DB8">
            <w:pPr>
              <w:widowControl/>
              <w:jc w:val="center"/>
              <w:textAlignment w:val="center"/>
              <w:rPr>
                <w:szCs w:val="21"/>
              </w:rPr>
            </w:pPr>
            <w:r>
              <w:rPr>
                <w:kern w:val="0"/>
                <w:szCs w:val="21"/>
                <w:lang w:bidi="ar"/>
              </w:rPr>
              <w:t>0.48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D0C89FE">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4992FF1">
            <w:pPr>
              <w:widowControl/>
              <w:jc w:val="center"/>
              <w:textAlignment w:val="center"/>
              <w:rPr>
                <w:szCs w:val="21"/>
              </w:rPr>
            </w:pPr>
            <w:r>
              <w:rPr>
                <w:kern w:val="0"/>
                <w:szCs w:val="21"/>
                <w:lang w:bidi="ar"/>
              </w:rPr>
              <w:t>1.0217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D8DC2DB">
            <w:pPr>
              <w:widowControl/>
              <w:jc w:val="center"/>
              <w:textAlignment w:val="center"/>
              <w:rPr>
                <w:szCs w:val="21"/>
              </w:rPr>
            </w:pPr>
            <w:r>
              <w:rPr>
                <w:kern w:val="0"/>
                <w:szCs w:val="21"/>
                <w:lang w:bidi="ar"/>
              </w:rPr>
              <w:t>0.51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2992AFA">
            <w:pPr>
              <w:widowControl/>
              <w:jc w:val="center"/>
              <w:textAlignment w:val="center"/>
              <w:rPr>
                <w:szCs w:val="21"/>
              </w:rPr>
            </w:pPr>
            <w:r>
              <w:rPr>
                <w:kern w:val="0"/>
                <w:szCs w:val="21"/>
                <w:lang w:bidi="ar"/>
              </w:rPr>
              <w:t>0.095784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69E09F8">
            <w:pPr>
              <w:widowControl/>
              <w:jc w:val="center"/>
              <w:textAlignment w:val="center"/>
              <w:rPr>
                <w:szCs w:val="21"/>
              </w:rPr>
            </w:pPr>
            <w:r>
              <w:rPr>
                <w:kern w:val="0"/>
                <w:szCs w:val="21"/>
                <w:lang w:bidi="ar"/>
              </w:rPr>
              <w:t>0.96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D2C22C7">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FA363BD">
            <w:pPr>
              <w:widowControl/>
              <w:jc w:val="center"/>
              <w:textAlignment w:val="center"/>
              <w:rPr>
                <w:szCs w:val="21"/>
              </w:rPr>
            </w:pPr>
            <w:r>
              <w:rPr>
                <w:kern w:val="0"/>
                <w:szCs w:val="21"/>
                <w:lang w:bidi="ar"/>
              </w:rPr>
              <w:t>1.0217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1B18CC7">
            <w:pPr>
              <w:widowControl/>
              <w:jc w:val="center"/>
              <w:textAlignment w:val="center"/>
              <w:rPr>
                <w:szCs w:val="21"/>
              </w:rPr>
            </w:pPr>
            <w:r>
              <w:rPr>
                <w:kern w:val="0"/>
                <w:szCs w:val="21"/>
                <w:lang w:bidi="ar"/>
              </w:rPr>
              <w:t>0.51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D748BBC">
            <w:pPr>
              <w:widowControl/>
              <w:jc w:val="center"/>
              <w:textAlignment w:val="center"/>
              <w:rPr>
                <w:szCs w:val="21"/>
              </w:rPr>
            </w:pPr>
            <w:r>
              <w:rPr>
                <w:kern w:val="0"/>
                <w:szCs w:val="21"/>
                <w:lang w:bidi="ar"/>
              </w:rPr>
              <w:t>0.095784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46A0161">
            <w:pPr>
              <w:widowControl/>
              <w:jc w:val="center"/>
              <w:textAlignment w:val="center"/>
              <w:rPr>
                <w:szCs w:val="21"/>
              </w:rPr>
            </w:pPr>
            <w:r>
              <w:rPr>
                <w:kern w:val="0"/>
                <w:szCs w:val="21"/>
                <w:lang w:bidi="ar"/>
              </w:rPr>
              <w:t>0.96</w:t>
            </w:r>
          </w:p>
        </w:tc>
      </w:tr>
      <w:tr w14:paraId="0ED8696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1D9061F">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FD2690">
            <w:pPr>
              <w:widowControl/>
              <w:jc w:val="center"/>
              <w:textAlignment w:val="center"/>
              <w:rPr>
                <w:szCs w:val="21"/>
              </w:rPr>
            </w:pPr>
            <w:r>
              <w:rPr>
                <w:kern w:val="0"/>
                <w:szCs w:val="21"/>
                <w:lang w:bidi="ar"/>
              </w:rPr>
              <w:t>0.49231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9BC22F3">
            <w:pPr>
              <w:widowControl/>
              <w:jc w:val="center"/>
              <w:textAlignment w:val="center"/>
              <w:rPr>
                <w:szCs w:val="21"/>
              </w:rPr>
            </w:pPr>
            <w:r>
              <w:rPr>
                <w:kern w:val="0"/>
                <w:szCs w:val="21"/>
                <w:lang w:bidi="ar"/>
              </w:rPr>
              <w:t>0.25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1C0BE64">
            <w:pPr>
              <w:widowControl/>
              <w:jc w:val="center"/>
              <w:textAlignment w:val="center"/>
              <w:rPr>
                <w:szCs w:val="21"/>
              </w:rPr>
            </w:pPr>
            <w:r>
              <w:rPr>
                <w:kern w:val="0"/>
                <w:szCs w:val="21"/>
                <w:lang w:bidi="ar"/>
              </w:rPr>
              <w:t>0.043439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B6D48CA">
            <w:pPr>
              <w:widowControl/>
              <w:jc w:val="center"/>
              <w:textAlignment w:val="center"/>
              <w:rPr>
                <w:szCs w:val="21"/>
              </w:rPr>
            </w:pPr>
            <w:r>
              <w:rPr>
                <w:kern w:val="0"/>
                <w:szCs w:val="21"/>
                <w:lang w:bidi="ar"/>
              </w:rPr>
              <w:t>0.43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F815C5F">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799517C">
            <w:pPr>
              <w:widowControl/>
              <w:jc w:val="center"/>
              <w:textAlignment w:val="center"/>
              <w:rPr>
                <w:szCs w:val="21"/>
              </w:rPr>
            </w:pPr>
            <w:r>
              <w:rPr>
                <w:kern w:val="0"/>
                <w:szCs w:val="21"/>
                <w:lang w:bidi="ar"/>
              </w:rPr>
              <w:t>0.92705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4E02292">
            <w:pPr>
              <w:widowControl/>
              <w:jc w:val="center"/>
              <w:textAlignment w:val="center"/>
              <w:rPr>
                <w:szCs w:val="21"/>
              </w:rPr>
            </w:pPr>
            <w:r>
              <w:rPr>
                <w:kern w:val="0"/>
                <w:szCs w:val="21"/>
                <w:lang w:bidi="ar"/>
              </w:rPr>
              <w:t>0.46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E465C7E">
            <w:pPr>
              <w:widowControl/>
              <w:jc w:val="center"/>
              <w:textAlignment w:val="center"/>
              <w:rPr>
                <w:szCs w:val="21"/>
              </w:rPr>
            </w:pPr>
            <w:r>
              <w:rPr>
                <w:kern w:val="0"/>
                <w:szCs w:val="21"/>
                <w:lang w:bidi="ar"/>
              </w:rPr>
              <w:t>0.086911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D57E361">
            <w:pPr>
              <w:widowControl/>
              <w:jc w:val="center"/>
              <w:textAlignment w:val="center"/>
              <w:rPr>
                <w:szCs w:val="21"/>
              </w:rPr>
            </w:pPr>
            <w:r>
              <w:rPr>
                <w:kern w:val="0"/>
                <w:szCs w:val="21"/>
                <w:lang w:bidi="ar"/>
              </w:rPr>
              <w:t>0.87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82415D1">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F9547B5">
            <w:pPr>
              <w:widowControl/>
              <w:jc w:val="center"/>
              <w:textAlignment w:val="center"/>
              <w:rPr>
                <w:szCs w:val="21"/>
              </w:rPr>
            </w:pPr>
            <w:r>
              <w:rPr>
                <w:kern w:val="0"/>
                <w:szCs w:val="21"/>
                <w:lang w:bidi="ar"/>
              </w:rPr>
              <w:t>0.92704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5CA40EE">
            <w:pPr>
              <w:widowControl/>
              <w:jc w:val="center"/>
              <w:textAlignment w:val="center"/>
              <w:rPr>
                <w:szCs w:val="21"/>
              </w:rPr>
            </w:pPr>
            <w:r>
              <w:rPr>
                <w:kern w:val="0"/>
                <w:szCs w:val="21"/>
                <w:lang w:bidi="ar"/>
              </w:rPr>
              <w:t>0.46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376B0A5">
            <w:pPr>
              <w:widowControl/>
              <w:jc w:val="center"/>
              <w:textAlignment w:val="center"/>
              <w:rPr>
                <w:szCs w:val="21"/>
              </w:rPr>
            </w:pPr>
            <w:r>
              <w:rPr>
                <w:kern w:val="0"/>
                <w:szCs w:val="21"/>
                <w:lang w:bidi="ar"/>
              </w:rPr>
              <w:t>0.08691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0BCCC20">
            <w:pPr>
              <w:widowControl/>
              <w:jc w:val="center"/>
              <w:textAlignment w:val="center"/>
              <w:rPr>
                <w:szCs w:val="21"/>
              </w:rPr>
            </w:pPr>
            <w:r>
              <w:rPr>
                <w:kern w:val="0"/>
                <w:szCs w:val="21"/>
                <w:lang w:bidi="ar"/>
              </w:rPr>
              <w:t>0.87</w:t>
            </w:r>
          </w:p>
        </w:tc>
      </w:tr>
      <w:tr w14:paraId="0BAF1BA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A054FDE">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6DCB1FB">
            <w:pPr>
              <w:widowControl/>
              <w:jc w:val="center"/>
              <w:textAlignment w:val="center"/>
              <w:rPr>
                <w:szCs w:val="21"/>
              </w:rPr>
            </w:pPr>
            <w:r>
              <w:rPr>
                <w:kern w:val="0"/>
                <w:szCs w:val="21"/>
                <w:lang w:bidi="ar"/>
              </w:rPr>
              <w:t>0.44984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384D71A">
            <w:pPr>
              <w:widowControl/>
              <w:jc w:val="center"/>
              <w:textAlignment w:val="center"/>
              <w:rPr>
                <w:szCs w:val="21"/>
              </w:rPr>
            </w:pPr>
            <w:r>
              <w:rPr>
                <w:kern w:val="0"/>
                <w:szCs w:val="21"/>
                <w:lang w:bidi="ar"/>
              </w:rPr>
              <w:t>0.22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5D8B06A">
            <w:pPr>
              <w:widowControl/>
              <w:jc w:val="center"/>
              <w:textAlignment w:val="center"/>
              <w:rPr>
                <w:szCs w:val="21"/>
              </w:rPr>
            </w:pPr>
            <w:r>
              <w:rPr>
                <w:kern w:val="0"/>
                <w:szCs w:val="21"/>
                <w:lang w:bidi="ar"/>
              </w:rPr>
              <w:t>0.039692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2798569">
            <w:pPr>
              <w:widowControl/>
              <w:jc w:val="center"/>
              <w:textAlignment w:val="center"/>
              <w:rPr>
                <w:szCs w:val="21"/>
              </w:rPr>
            </w:pPr>
            <w:r>
              <w:rPr>
                <w:kern w:val="0"/>
                <w:szCs w:val="21"/>
                <w:lang w:bidi="ar"/>
              </w:rPr>
              <w:t>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A2C0400">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E278AFD">
            <w:pPr>
              <w:widowControl/>
              <w:jc w:val="center"/>
              <w:textAlignment w:val="center"/>
              <w:rPr>
                <w:szCs w:val="21"/>
              </w:rPr>
            </w:pPr>
            <w:r>
              <w:rPr>
                <w:kern w:val="0"/>
                <w:szCs w:val="21"/>
                <w:lang w:bidi="ar"/>
              </w:rPr>
              <w:t>0.84711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0CC4DF2">
            <w:pPr>
              <w:widowControl/>
              <w:jc w:val="center"/>
              <w:textAlignment w:val="center"/>
              <w:rPr>
                <w:szCs w:val="21"/>
              </w:rPr>
            </w:pPr>
            <w:r>
              <w:rPr>
                <w:kern w:val="0"/>
                <w:szCs w:val="21"/>
                <w:lang w:bidi="ar"/>
              </w:rPr>
              <w:t>0.42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4F57EED">
            <w:pPr>
              <w:widowControl/>
              <w:jc w:val="center"/>
              <w:textAlignment w:val="center"/>
              <w:rPr>
                <w:szCs w:val="21"/>
              </w:rPr>
            </w:pPr>
            <w:r>
              <w:rPr>
                <w:kern w:val="0"/>
                <w:szCs w:val="21"/>
                <w:lang w:bidi="ar"/>
              </w:rPr>
              <w:t>0.079417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AA0CFEF">
            <w:pPr>
              <w:widowControl/>
              <w:jc w:val="center"/>
              <w:textAlignment w:val="center"/>
              <w:rPr>
                <w:szCs w:val="21"/>
              </w:rPr>
            </w:pPr>
            <w:r>
              <w:rPr>
                <w:kern w:val="0"/>
                <w:szCs w:val="21"/>
                <w:lang w:bidi="ar"/>
              </w:rPr>
              <w:t>0.79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670F033">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8A64A61">
            <w:pPr>
              <w:widowControl/>
              <w:jc w:val="center"/>
              <w:textAlignment w:val="center"/>
              <w:rPr>
                <w:szCs w:val="21"/>
              </w:rPr>
            </w:pPr>
            <w:r>
              <w:rPr>
                <w:kern w:val="0"/>
                <w:szCs w:val="21"/>
                <w:lang w:bidi="ar"/>
              </w:rPr>
              <w:t>0.8471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83EB673">
            <w:pPr>
              <w:widowControl/>
              <w:jc w:val="center"/>
              <w:textAlignment w:val="center"/>
              <w:rPr>
                <w:szCs w:val="21"/>
              </w:rPr>
            </w:pPr>
            <w:r>
              <w:rPr>
                <w:kern w:val="0"/>
                <w:szCs w:val="21"/>
                <w:lang w:bidi="ar"/>
              </w:rPr>
              <w:t>0.42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8C43FAF">
            <w:pPr>
              <w:widowControl/>
              <w:jc w:val="center"/>
              <w:textAlignment w:val="center"/>
              <w:rPr>
                <w:szCs w:val="21"/>
              </w:rPr>
            </w:pPr>
            <w:r>
              <w:rPr>
                <w:kern w:val="0"/>
                <w:szCs w:val="21"/>
                <w:lang w:bidi="ar"/>
              </w:rPr>
              <w:t>0.079416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651B6D2">
            <w:pPr>
              <w:widowControl/>
              <w:jc w:val="center"/>
              <w:textAlignment w:val="center"/>
              <w:rPr>
                <w:szCs w:val="21"/>
              </w:rPr>
            </w:pPr>
            <w:r>
              <w:rPr>
                <w:kern w:val="0"/>
                <w:szCs w:val="21"/>
                <w:lang w:bidi="ar"/>
              </w:rPr>
              <w:t>0.79</w:t>
            </w:r>
          </w:p>
        </w:tc>
      </w:tr>
      <w:tr w14:paraId="05CBB3A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76AEDE5">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5D18E8B">
            <w:pPr>
              <w:widowControl/>
              <w:jc w:val="center"/>
              <w:textAlignment w:val="center"/>
              <w:rPr>
                <w:szCs w:val="21"/>
              </w:rPr>
            </w:pPr>
            <w:r>
              <w:rPr>
                <w:kern w:val="0"/>
                <w:szCs w:val="21"/>
                <w:lang w:bidi="ar"/>
              </w:rPr>
              <w:t>0.41519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78F04E5">
            <w:pPr>
              <w:widowControl/>
              <w:jc w:val="center"/>
              <w:textAlignment w:val="center"/>
              <w:rPr>
                <w:szCs w:val="21"/>
              </w:rPr>
            </w:pPr>
            <w:r>
              <w:rPr>
                <w:kern w:val="0"/>
                <w:szCs w:val="21"/>
                <w:lang w:bidi="ar"/>
              </w:rPr>
              <w:t>0.21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AA30716">
            <w:pPr>
              <w:widowControl/>
              <w:jc w:val="center"/>
              <w:textAlignment w:val="center"/>
              <w:rPr>
                <w:szCs w:val="21"/>
              </w:rPr>
            </w:pPr>
            <w:r>
              <w:rPr>
                <w:kern w:val="0"/>
                <w:szCs w:val="21"/>
                <w:lang w:bidi="ar"/>
              </w:rPr>
              <w:t>0.036634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EEF183B">
            <w:pPr>
              <w:widowControl/>
              <w:jc w:val="center"/>
              <w:textAlignment w:val="center"/>
              <w:rPr>
                <w:szCs w:val="21"/>
              </w:rPr>
            </w:pPr>
            <w:r>
              <w:rPr>
                <w:kern w:val="0"/>
                <w:szCs w:val="21"/>
                <w:lang w:bidi="ar"/>
              </w:rPr>
              <w:t>0.37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FFA260E">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CD28A50">
            <w:pPr>
              <w:widowControl/>
              <w:jc w:val="center"/>
              <w:textAlignment w:val="center"/>
              <w:rPr>
                <w:szCs w:val="21"/>
              </w:rPr>
            </w:pPr>
            <w:r>
              <w:rPr>
                <w:kern w:val="0"/>
                <w:szCs w:val="21"/>
                <w:lang w:bidi="ar"/>
              </w:rPr>
              <w:t>0.78184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FBFD34A">
            <w:pPr>
              <w:widowControl/>
              <w:jc w:val="center"/>
              <w:textAlignment w:val="center"/>
              <w:rPr>
                <w:szCs w:val="21"/>
              </w:rPr>
            </w:pPr>
            <w:r>
              <w:rPr>
                <w:kern w:val="0"/>
                <w:szCs w:val="21"/>
                <w:lang w:bidi="ar"/>
              </w:rPr>
              <w:t>0.39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673B516">
            <w:pPr>
              <w:widowControl/>
              <w:jc w:val="center"/>
              <w:textAlignment w:val="center"/>
              <w:rPr>
                <w:szCs w:val="21"/>
              </w:rPr>
            </w:pPr>
            <w:r>
              <w:rPr>
                <w:kern w:val="0"/>
                <w:szCs w:val="21"/>
                <w:lang w:bidi="ar"/>
              </w:rPr>
              <w:t>0.073298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26BDEE3">
            <w:pPr>
              <w:widowControl/>
              <w:jc w:val="center"/>
              <w:textAlignment w:val="center"/>
              <w:rPr>
                <w:szCs w:val="21"/>
              </w:rPr>
            </w:pPr>
            <w:r>
              <w:rPr>
                <w:kern w:val="0"/>
                <w:szCs w:val="21"/>
                <w:lang w:bidi="ar"/>
              </w:rPr>
              <w:t>0.73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8EB702D">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DEF48F1">
            <w:pPr>
              <w:widowControl/>
              <w:jc w:val="center"/>
              <w:textAlignment w:val="center"/>
              <w:rPr>
                <w:szCs w:val="21"/>
              </w:rPr>
            </w:pPr>
            <w:r>
              <w:rPr>
                <w:kern w:val="0"/>
                <w:szCs w:val="21"/>
                <w:lang w:bidi="ar"/>
              </w:rPr>
              <w:t>0.78183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55D5904">
            <w:pPr>
              <w:widowControl/>
              <w:jc w:val="center"/>
              <w:textAlignment w:val="center"/>
              <w:rPr>
                <w:szCs w:val="21"/>
              </w:rPr>
            </w:pPr>
            <w:r>
              <w:rPr>
                <w:kern w:val="0"/>
                <w:szCs w:val="21"/>
                <w:lang w:bidi="ar"/>
              </w:rPr>
              <w:t>0.39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50738FC">
            <w:pPr>
              <w:widowControl/>
              <w:jc w:val="center"/>
              <w:textAlignment w:val="center"/>
              <w:rPr>
                <w:szCs w:val="21"/>
              </w:rPr>
            </w:pPr>
            <w:r>
              <w:rPr>
                <w:kern w:val="0"/>
                <w:szCs w:val="21"/>
                <w:lang w:bidi="ar"/>
              </w:rPr>
              <w:t>0.073297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5141041">
            <w:pPr>
              <w:widowControl/>
              <w:jc w:val="center"/>
              <w:textAlignment w:val="center"/>
              <w:rPr>
                <w:szCs w:val="21"/>
              </w:rPr>
            </w:pPr>
            <w:r>
              <w:rPr>
                <w:kern w:val="0"/>
                <w:szCs w:val="21"/>
                <w:lang w:bidi="ar"/>
              </w:rPr>
              <w:t>0.73</w:t>
            </w:r>
          </w:p>
        </w:tc>
      </w:tr>
      <w:tr w14:paraId="0A0CE5C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1DFF657">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9D0574">
            <w:pPr>
              <w:widowControl/>
              <w:jc w:val="center"/>
              <w:textAlignment w:val="center"/>
              <w:rPr>
                <w:szCs w:val="21"/>
              </w:rPr>
            </w:pPr>
            <w:r>
              <w:rPr>
                <w:kern w:val="0"/>
                <w:szCs w:val="21"/>
                <w:lang w:bidi="ar"/>
              </w:rPr>
              <w:t>0.38666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64A8B88">
            <w:pPr>
              <w:widowControl/>
              <w:jc w:val="center"/>
              <w:textAlignment w:val="center"/>
              <w:rPr>
                <w:szCs w:val="21"/>
              </w:rPr>
            </w:pPr>
            <w:r>
              <w:rPr>
                <w:kern w:val="0"/>
                <w:szCs w:val="21"/>
                <w:lang w:bidi="ar"/>
              </w:rPr>
              <w:t>0.19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65514BD">
            <w:pPr>
              <w:widowControl/>
              <w:jc w:val="center"/>
              <w:textAlignment w:val="center"/>
              <w:rPr>
                <w:szCs w:val="21"/>
              </w:rPr>
            </w:pPr>
            <w:r>
              <w:rPr>
                <w:kern w:val="0"/>
                <w:szCs w:val="21"/>
                <w:lang w:bidi="ar"/>
              </w:rPr>
              <w:t>0.034117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4FDBBE7">
            <w:pPr>
              <w:widowControl/>
              <w:jc w:val="center"/>
              <w:textAlignment w:val="center"/>
              <w:rPr>
                <w:szCs w:val="21"/>
              </w:rPr>
            </w:pPr>
            <w:r>
              <w:rPr>
                <w:kern w:val="0"/>
                <w:szCs w:val="21"/>
                <w:lang w:bidi="ar"/>
              </w:rPr>
              <w:t>0.34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730ADDC">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8EEF0D1">
            <w:pPr>
              <w:widowControl/>
              <w:jc w:val="center"/>
              <w:textAlignment w:val="center"/>
              <w:rPr>
                <w:szCs w:val="21"/>
              </w:rPr>
            </w:pPr>
            <w:r>
              <w:rPr>
                <w:kern w:val="0"/>
                <w:szCs w:val="21"/>
                <w:lang w:bidi="ar"/>
              </w:rPr>
              <w:t>0.72811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335C43C">
            <w:pPr>
              <w:widowControl/>
              <w:jc w:val="center"/>
              <w:textAlignment w:val="center"/>
              <w:rPr>
                <w:szCs w:val="21"/>
              </w:rPr>
            </w:pPr>
            <w:r>
              <w:rPr>
                <w:kern w:val="0"/>
                <w:szCs w:val="21"/>
                <w:lang w:bidi="ar"/>
              </w:rPr>
              <w:t>0.36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82906DC">
            <w:pPr>
              <w:widowControl/>
              <w:jc w:val="center"/>
              <w:textAlignment w:val="center"/>
              <w:rPr>
                <w:szCs w:val="21"/>
              </w:rPr>
            </w:pPr>
            <w:r>
              <w:rPr>
                <w:kern w:val="0"/>
                <w:szCs w:val="21"/>
                <w:lang w:bidi="ar"/>
              </w:rPr>
              <w:t>0.06826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E82A35B">
            <w:pPr>
              <w:widowControl/>
              <w:jc w:val="center"/>
              <w:textAlignment w:val="center"/>
              <w:rPr>
                <w:szCs w:val="21"/>
              </w:rPr>
            </w:pPr>
            <w:r>
              <w:rPr>
                <w:kern w:val="0"/>
                <w:szCs w:val="21"/>
                <w:lang w:bidi="ar"/>
              </w:rPr>
              <w:t>0.68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9018FA9">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6E4A3B7">
            <w:pPr>
              <w:widowControl/>
              <w:jc w:val="center"/>
              <w:textAlignment w:val="center"/>
              <w:rPr>
                <w:szCs w:val="21"/>
              </w:rPr>
            </w:pPr>
            <w:r>
              <w:rPr>
                <w:kern w:val="0"/>
                <w:szCs w:val="21"/>
                <w:lang w:bidi="ar"/>
              </w:rPr>
              <w:t>0.7281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5CD453B">
            <w:pPr>
              <w:widowControl/>
              <w:jc w:val="center"/>
              <w:textAlignment w:val="center"/>
              <w:rPr>
                <w:szCs w:val="21"/>
              </w:rPr>
            </w:pPr>
            <w:r>
              <w:rPr>
                <w:kern w:val="0"/>
                <w:szCs w:val="21"/>
                <w:lang w:bidi="ar"/>
              </w:rPr>
              <w:t>0.36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A8DACF0">
            <w:pPr>
              <w:widowControl/>
              <w:jc w:val="center"/>
              <w:textAlignment w:val="center"/>
              <w:rPr>
                <w:szCs w:val="21"/>
              </w:rPr>
            </w:pPr>
            <w:r>
              <w:rPr>
                <w:kern w:val="0"/>
                <w:szCs w:val="21"/>
                <w:lang w:bidi="ar"/>
              </w:rPr>
              <w:t>0.068259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BCF681C">
            <w:pPr>
              <w:widowControl/>
              <w:jc w:val="center"/>
              <w:textAlignment w:val="center"/>
              <w:rPr>
                <w:szCs w:val="21"/>
              </w:rPr>
            </w:pPr>
            <w:r>
              <w:rPr>
                <w:kern w:val="0"/>
                <w:szCs w:val="21"/>
                <w:lang w:bidi="ar"/>
              </w:rPr>
              <w:t>0.68</w:t>
            </w:r>
          </w:p>
        </w:tc>
      </w:tr>
      <w:tr w14:paraId="770FB8E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A2C7699">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52EDA0">
            <w:pPr>
              <w:widowControl/>
              <w:jc w:val="center"/>
              <w:textAlignment w:val="center"/>
              <w:rPr>
                <w:szCs w:val="21"/>
              </w:rPr>
            </w:pPr>
            <w:r>
              <w:rPr>
                <w:kern w:val="0"/>
                <w:szCs w:val="21"/>
                <w:lang w:bidi="ar"/>
              </w:rPr>
              <w:t>0.35047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F6F4CF5">
            <w:pPr>
              <w:widowControl/>
              <w:jc w:val="center"/>
              <w:textAlignment w:val="center"/>
              <w:rPr>
                <w:szCs w:val="21"/>
              </w:rPr>
            </w:pPr>
            <w:r>
              <w:rPr>
                <w:kern w:val="0"/>
                <w:szCs w:val="21"/>
                <w:lang w:bidi="ar"/>
              </w:rPr>
              <w:t>0.18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B25B819">
            <w:pPr>
              <w:widowControl/>
              <w:jc w:val="center"/>
              <w:textAlignment w:val="center"/>
              <w:rPr>
                <w:szCs w:val="21"/>
              </w:rPr>
            </w:pPr>
            <w:r>
              <w:rPr>
                <w:kern w:val="0"/>
                <w:szCs w:val="21"/>
                <w:lang w:bidi="ar"/>
              </w:rPr>
              <w:t>0.030924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70F3CEF">
            <w:pPr>
              <w:widowControl/>
              <w:jc w:val="center"/>
              <w:textAlignment w:val="center"/>
              <w:rPr>
                <w:szCs w:val="21"/>
              </w:rPr>
            </w:pPr>
            <w:r>
              <w:rPr>
                <w:kern w:val="0"/>
                <w:szCs w:val="21"/>
                <w:lang w:bidi="ar"/>
              </w:rPr>
              <w:t>0.31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913BDD6">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EC19BF">
            <w:pPr>
              <w:widowControl/>
              <w:jc w:val="center"/>
              <w:textAlignment w:val="center"/>
              <w:rPr>
                <w:szCs w:val="21"/>
              </w:rPr>
            </w:pPr>
            <w:r>
              <w:rPr>
                <w:kern w:val="0"/>
                <w:szCs w:val="21"/>
                <w:lang w:bidi="ar"/>
              </w:rPr>
              <w:t>0.65997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D8C4B31">
            <w:pPr>
              <w:widowControl/>
              <w:jc w:val="center"/>
              <w:textAlignment w:val="center"/>
              <w:rPr>
                <w:szCs w:val="21"/>
              </w:rPr>
            </w:pPr>
            <w:r>
              <w:rPr>
                <w:kern w:val="0"/>
                <w:szCs w:val="21"/>
                <w:lang w:bidi="ar"/>
              </w:rPr>
              <w:t>0.33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1A34F4A">
            <w:pPr>
              <w:widowControl/>
              <w:jc w:val="center"/>
              <w:textAlignment w:val="center"/>
              <w:rPr>
                <w:szCs w:val="21"/>
              </w:rPr>
            </w:pPr>
            <w:r>
              <w:rPr>
                <w:kern w:val="0"/>
                <w:szCs w:val="21"/>
                <w:lang w:bidi="ar"/>
              </w:rPr>
              <w:t>0.061872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EE578A0">
            <w:pPr>
              <w:widowControl/>
              <w:jc w:val="center"/>
              <w:textAlignment w:val="center"/>
              <w:rPr>
                <w:szCs w:val="21"/>
              </w:rPr>
            </w:pPr>
            <w:r>
              <w:rPr>
                <w:kern w:val="0"/>
                <w:szCs w:val="21"/>
                <w:lang w:bidi="ar"/>
              </w:rPr>
              <w:t>0.62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6D70876">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185B545">
            <w:pPr>
              <w:widowControl/>
              <w:jc w:val="center"/>
              <w:textAlignment w:val="center"/>
              <w:rPr>
                <w:szCs w:val="21"/>
              </w:rPr>
            </w:pPr>
            <w:r>
              <w:rPr>
                <w:kern w:val="0"/>
                <w:szCs w:val="21"/>
                <w:lang w:bidi="ar"/>
              </w:rPr>
              <w:t>0.65996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5F27338">
            <w:pPr>
              <w:widowControl/>
              <w:jc w:val="center"/>
              <w:textAlignment w:val="center"/>
              <w:rPr>
                <w:szCs w:val="21"/>
              </w:rPr>
            </w:pPr>
            <w:r>
              <w:rPr>
                <w:kern w:val="0"/>
                <w:szCs w:val="21"/>
                <w:lang w:bidi="ar"/>
              </w:rPr>
              <w:t>0.33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A8A5182">
            <w:pPr>
              <w:widowControl/>
              <w:jc w:val="center"/>
              <w:textAlignment w:val="center"/>
              <w:rPr>
                <w:szCs w:val="21"/>
              </w:rPr>
            </w:pPr>
            <w:r>
              <w:rPr>
                <w:kern w:val="0"/>
                <w:szCs w:val="21"/>
                <w:lang w:bidi="ar"/>
              </w:rPr>
              <w:t>0.061871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2D941EC">
            <w:pPr>
              <w:widowControl/>
              <w:jc w:val="center"/>
              <w:textAlignment w:val="center"/>
              <w:rPr>
                <w:szCs w:val="21"/>
              </w:rPr>
            </w:pPr>
            <w:r>
              <w:rPr>
                <w:kern w:val="0"/>
                <w:szCs w:val="21"/>
                <w:lang w:bidi="ar"/>
              </w:rPr>
              <w:t>0.62</w:t>
            </w:r>
          </w:p>
        </w:tc>
      </w:tr>
      <w:tr w14:paraId="3BBDA15F">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B7FBCC8">
            <w:pPr>
              <w:widowControl/>
              <w:jc w:val="center"/>
              <w:textAlignment w:val="center"/>
              <w:rPr>
                <w:b/>
                <w:bCs/>
                <w:szCs w:val="21"/>
              </w:rPr>
            </w:pPr>
            <w:r>
              <w:rPr>
                <w:b/>
                <w:bCs/>
                <w:kern w:val="0"/>
                <w:szCs w:val="21"/>
                <w:lang w:bidi="ar"/>
              </w:rPr>
              <w:t>旺鑫1号舍</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DDFF3AA">
            <w:pPr>
              <w:widowControl/>
              <w:jc w:val="center"/>
              <w:textAlignment w:val="center"/>
              <w:rPr>
                <w:b/>
                <w:bCs/>
                <w:szCs w:val="21"/>
              </w:rPr>
            </w:pPr>
            <w:r>
              <w:rPr>
                <w:b/>
                <w:bCs/>
                <w:kern w:val="0"/>
                <w:szCs w:val="21"/>
                <w:lang w:bidi="ar"/>
              </w:rPr>
              <w:t>旺鑫2号舍</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4D77231">
            <w:pPr>
              <w:widowControl/>
              <w:jc w:val="center"/>
              <w:textAlignment w:val="center"/>
              <w:rPr>
                <w:b/>
                <w:bCs/>
                <w:szCs w:val="21"/>
              </w:rPr>
            </w:pPr>
            <w:r>
              <w:rPr>
                <w:b/>
                <w:bCs/>
                <w:kern w:val="0"/>
                <w:szCs w:val="21"/>
                <w:lang w:bidi="ar"/>
              </w:rPr>
              <w:t>旺鑫3号舍</w:t>
            </w:r>
          </w:p>
        </w:tc>
      </w:tr>
      <w:tr w14:paraId="215D491D">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1C6C2848">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4644B19">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62159E6">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6E525931">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C81FA5A">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F99AD38">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337BB8DC">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6C86FEA">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461E228">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179F7F5F">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1853C269">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C2F5E2">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B0A8ACD">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88AAC1E">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68E08F">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47A845D6">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408BDE5">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DB47222">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DA2431F">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DB480AA">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16E7E344">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4FE5244">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54E2BD5">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32094CF">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9C5DF4C">
            <w:pPr>
              <w:widowControl/>
              <w:jc w:val="center"/>
              <w:textAlignment w:val="center"/>
              <w:rPr>
                <w:b/>
                <w:bCs/>
                <w:szCs w:val="21"/>
              </w:rPr>
            </w:pPr>
            <w:r>
              <w:rPr>
                <w:b/>
                <w:bCs/>
                <w:kern w:val="0"/>
                <w:szCs w:val="21"/>
                <w:lang w:bidi="ar"/>
              </w:rPr>
              <w:t>占标率</w:t>
            </w:r>
          </w:p>
        </w:tc>
      </w:tr>
      <w:tr w14:paraId="2EBF02E2">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3217E963">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0690332">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2B32155">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EB9140B">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054998B">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4BB10C39">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05A0EE">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C044E3E">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0288293">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988934B">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622C9DAA">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935E546">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2D73AE8">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C43935D">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63EFD7B">
            <w:pPr>
              <w:widowControl/>
              <w:jc w:val="center"/>
              <w:textAlignment w:val="center"/>
              <w:rPr>
                <w:b/>
                <w:bCs/>
                <w:szCs w:val="21"/>
              </w:rPr>
            </w:pPr>
            <w:r>
              <w:rPr>
                <w:b/>
                <w:bCs/>
                <w:kern w:val="0"/>
                <w:szCs w:val="21"/>
                <w:lang w:bidi="ar"/>
              </w:rPr>
              <w:t>Pi(%)</w:t>
            </w:r>
          </w:p>
        </w:tc>
      </w:tr>
      <w:tr w14:paraId="1798F49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C8B7996">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1AEA313">
            <w:pPr>
              <w:widowControl/>
              <w:jc w:val="center"/>
              <w:textAlignment w:val="center"/>
              <w:rPr>
                <w:szCs w:val="21"/>
              </w:rPr>
            </w:pPr>
            <w:r>
              <w:rPr>
                <w:kern w:val="0"/>
                <w:szCs w:val="21"/>
                <w:lang w:bidi="ar"/>
              </w:rPr>
              <w:t>6.823501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A4FB10E">
            <w:pPr>
              <w:widowControl/>
              <w:jc w:val="center"/>
              <w:textAlignment w:val="center"/>
              <w:rPr>
                <w:szCs w:val="21"/>
              </w:rPr>
            </w:pPr>
            <w:r>
              <w:rPr>
                <w:kern w:val="0"/>
                <w:szCs w:val="21"/>
                <w:lang w:bidi="ar"/>
              </w:rPr>
              <w:t>3.41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D891811">
            <w:pPr>
              <w:widowControl/>
              <w:jc w:val="center"/>
              <w:textAlignment w:val="center"/>
              <w:rPr>
                <w:szCs w:val="21"/>
              </w:rPr>
            </w:pPr>
            <w:r>
              <w:rPr>
                <w:kern w:val="0"/>
                <w:szCs w:val="21"/>
                <w:lang w:bidi="ar"/>
              </w:rPr>
              <w:t>0.579354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9EF5C31">
            <w:pPr>
              <w:widowControl/>
              <w:jc w:val="center"/>
              <w:textAlignment w:val="center"/>
              <w:rPr>
                <w:szCs w:val="21"/>
              </w:rPr>
            </w:pPr>
            <w:r>
              <w:rPr>
                <w:kern w:val="0"/>
                <w:szCs w:val="21"/>
                <w:lang w:bidi="ar"/>
              </w:rPr>
              <w:t>5.79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72F7EA0">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C89BFB4">
            <w:pPr>
              <w:widowControl/>
              <w:jc w:val="center"/>
              <w:textAlignment w:val="center"/>
              <w:rPr>
                <w:szCs w:val="21"/>
              </w:rPr>
            </w:pPr>
            <w:r>
              <w:rPr>
                <w:kern w:val="0"/>
                <w:szCs w:val="21"/>
                <w:lang w:bidi="ar"/>
              </w:rPr>
              <w:t>6.9364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54A9A43">
            <w:pPr>
              <w:widowControl/>
              <w:jc w:val="center"/>
              <w:textAlignment w:val="center"/>
              <w:rPr>
                <w:szCs w:val="21"/>
              </w:rPr>
            </w:pPr>
            <w:r>
              <w:rPr>
                <w:kern w:val="0"/>
                <w:szCs w:val="21"/>
                <w:lang w:bidi="ar"/>
              </w:rPr>
              <w:t>3.47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5F48B62">
            <w:pPr>
              <w:widowControl/>
              <w:jc w:val="center"/>
              <w:textAlignment w:val="center"/>
              <w:rPr>
                <w:szCs w:val="21"/>
              </w:rPr>
            </w:pPr>
            <w:r>
              <w:rPr>
                <w:kern w:val="0"/>
                <w:szCs w:val="21"/>
                <w:lang w:bidi="ar"/>
              </w:rPr>
              <w:t>0.58894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A8AAE4C">
            <w:pPr>
              <w:widowControl/>
              <w:jc w:val="center"/>
              <w:textAlignment w:val="center"/>
              <w:rPr>
                <w:szCs w:val="21"/>
              </w:rPr>
            </w:pPr>
            <w:r>
              <w:rPr>
                <w:kern w:val="0"/>
                <w:szCs w:val="21"/>
                <w:lang w:bidi="ar"/>
              </w:rPr>
              <w:t>5.89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A7A020B">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6165E61">
            <w:pPr>
              <w:widowControl/>
              <w:jc w:val="center"/>
              <w:textAlignment w:val="center"/>
              <w:rPr>
                <w:szCs w:val="21"/>
              </w:rPr>
            </w:pPr>
            <w:r>
              <w:rPr>
                <w:kern w:val="0"/>
                <w:szCs w:val="21"/>
                <w:lang w:bidi="ar"/>
              </w:rPr>
              <w:t>6.717401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9092ED3">
            <w:pPr>
              <w:widowControl/>
              <w:jc w:val="center"/>
              <w:textAlignment w:val="center"/>
              <w:rPr>
                <w:szCs w:val="21"/>
              </w:rPr>
            </w:pPr>
            <w:r>
              <w:rPr>
                <w:kern w:val="0"/>
                <w:szCs w:val="21"/>
                <w:lang w:bidi="ar"/>
              </w:rPr>
              <w:t>3.36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6D47CD9">
            <w:pPr>
              <w:widowControl/>
              <w:jc w:val="center"/>
              <w:textAlignment w:val="center"/>
              <w:rPr>
                <w:szCs w:val="21"/>
              </w:rPr>
            </w:pPr>
            <w:r>
              <w:rPr>
                <w:kern w:val="0"/>
                <w:szCs w:val="21"/>
                <w:lang w:bidi="ar"/>
              </w:rPr>
              <w:t>0.616904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D22356E">
            <w:pPr>
              <w:widowControl/>
              <w:jc w:val="center"/>
              <w:textAlignment w:val="center"/>
              <w:rPr>
                <w:szCs w:val="21"/>
              </w:rPr>
            </w:pPr>
            <w:r>
              <w:rPr>
                <w:kern w:val="0"/>
                <w:szCs w:val="21"/>
                <w:lang w:bidi="ar"/>
              </w:rPr>
              <w:t>6.17</w:t>
            </w:r>
          </w:p>
        </w:tc>
      </w:tr>
      <w:tr w14:paraId="22F2012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CA27298">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15BCD7">
            <w:pPr>
              <w:widowControl/>
              <w:jc w:val="center"/>
              <w:textAlignment w:val="center"/>
              <w:rPr>
                <w:szCs w:val="21"/>
              </w:rPr>
            </w:pPr>
            <w:r>
              <w:rPr>
                <w:kern w:val="0"/>
                <w:szCs w:val="21"/>
                <w:lang w:bidi="ar"/>
              </w:rPr>
              <w:t>7.937201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26EFF72">
            <w:pPr>
              <w:widowControl/>
              <w:jc w:val="center"/>
              <w:textAlignment w:val="center"/>
              <w:rPr>
                <w:szCs w:val="21"/>
              </w:rPr>
            </w:pPr>
            <w:r>
              <w:rPr>
                <w:kern w:val="0"/>
                <w:szCs w:val="21"/>
                <w:lang w:bidi="ar"/>
              </w:rPr>
              <w:t>3.97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27F1838">
            <w:pPr>
              <w:widowControl/>
              <w:jc w:val="center"/>
              <w:textAlignment w:val="center"/>
              <w:rPr>
                <w:szCs w:val="21"/>
              </w:rPr>
            </w:pPr>
            <w:r>
              <w:rPr>
                <w:kern w:val="0"/>
                <w:szCs w:val="21"/>
                <w:lang w:bidi="ar"/>
              </w:rPr>
              <w:t>0.673914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5B5030C">
            <w:pPr>
              <w:widowControl/>
              <w:jc w:val="center"/>
              <w:textAlignment w:val="center"/>
              <w:rPr>
                <w:szCs w:val="21"/>
              </w:rPr>
            </w:pPr>
            <w:r>
              <w:rPr>
                <w:kern w:val="0"/>
                <w:szCs w:val="21"/>
                <w:lang w:bidi="ar"/>
              </w:rPr>
              <w:t>6.74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02CD917">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A832D57">
            <w:pPr>
              <w:widowControl/>
              <w:jc w:val="center"/>
              <w:textAlignment w:val="center"/>
              <w:rPr>
                <w:szCs w:val="21"/>
              </w:rPr>
            </w:pPr>
            <w:r>
              <w:rPr>
                <w:kern w:val="0"/>
                <w:szCs w:val="21"/>
                <w:lang w:bidi="ar"/>
              </w:rPr>
              <w:t>8.037301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A0C24B2">
            <w:pPr>
              <w:widowControl/>
              <w:jc w:val="center"/>
              <w:textAlignment w:val="center"/>
              <w:rPr>
                <w:szCs w:val="21"/>
              </w:rPr>
            </w:pPr>
            <w:r>
              <w:rPr>
                <w:kern w:val="0"/>
                <w:szCs w:val="21"/>
                <w:lang w:bidi="ar"/>
              </w:rPr>
              <w:t>4.02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B198DA6">
            <w:pPr>
              <w:widowControl/>
              <w:jc w:val="center"/>
              <w:textAlignment w:val="center"/>
              <w:rPr>
                <w:szCs w:val="21"/>
              </w:rPr>
            </w:pPr>
            <w:r>
              <w:rPr>
                <w:kern w:val="0"/>
                <w:szCs w:val="21"/>
                <w:lang w:bidi="ar"/>
              </w:rPr>
              <w:t>0.682412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683A8B1">
            <w:pPr>
              <w:widowControl/>
              <w:jc w:val="center"/>
              <w:textAlignment w:val="center"/>
              <w:rPr>
                <w:szCs w:val="21"/>
              </w:rPr>
            </w:pPr>
            <w:r>
              <w:rPr>
                <w:kern w:val="0"/>
                <w:szCs w:val="21"/>
                <w:lang w:bidi="ar"/>
              </w:rPr>
              <w:t>6.82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376BC4E">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C6D2E98">
            <w:pPr>
              <w:widowControl/>
              <w:jc w:val="center"/>
              <w:textAlignment w:val="center"/>
              <w:rPr>
                <w:szCs w:val="21"/>
              </w:rPr>
            </w:pPr>
            <w:r>
              <w:rPr>
                <w:kern w:val="0"/>
                <w:szCs w:val="21"/>
                <w:lang w:bidi="ar"/>
              </w:rPr>
              <w:t>8.451001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7EA94F2">
            <w:pPr>
              <w:widowControl/>
              <w:jc w:val="center"/>
              <w:textAlignment w:val="center"/>
              <w:rPr>
                <w:szCs w:val="21"/>
              </w:rPr>
            </w:pPr>
            <w:r>
              <w:rPr>
                <w:kern w:val="0"/>
                <w:szCs w:val="21"/>
                <w:lang w:bidi="ar"/>
              </w:rPr>
              <w:t>4.23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E958E8C">
            <w:pPr>
              <w:widowControl/>
              <w:jc w:val="center"/>
              <w:textAlignment w:val="center"/>
              <w:rPr>
                <w:szCs w:val="21"/>
              </w:rPr>
            </w:pPr>
            <w:r>
              <w:rPr>
                <w:kern w:val="0"/>
                <w:szCs w:val="21"/>
                <w:lang w:bidi="ar"/>
              </w:rPr>
              <w:t>0.776112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3B807DE">
            <w:pPr>
              <w:widowControl/>
              <w:jc w:val="center"/>
              <w:textAlignment w:val="center"/>
              <w:rPr>
                <w:szCs w:val="21"/>
              </w:rPr>
            </w:pPr>
            <w:r>
              <w:rPr>
                <w:kern w:val="0"/>
                <w:szCs w:val="21"/>
                <w:lang w:bidi="ar"/>
              </w:rPr>
              <w:t>7.76</w:t>
            </w:r>
          </w:p>
        </w:tc>
      </w:tr>
      <w:tr w14:paraId="0F6D360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DA733BF">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14BC3A1">
            <w:pPr>
              <w:widowControl/>
              <w:jc w:val="center"/>
              <w:textAlignment w:val="center"/>
              <w:rPr>
                <w:szCs w:val="21"/>
              </w:rPr>
            </w:pPr>
            <w:r>
              <w:rPr>
                <w:kern w:val="0"/>
                <w:szCs w:val="21"/>
                <w:lang w:bidi="ar"/>
              </w:rPr>
              <w:t>9.2993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C526569">
            <w:pPr>
              <w:widowControl/>
              <w:jc w:val="center"/>
              <w:textAlignment w:val="center"/>
              <w:rPr>
                <w:szCs w:val="21"/>
              </w:rPr>
            </w:pPr>
            <w:r>
              <w:rPr>
                <w:kern w:val="0"/>
                <w:szCs w:val="21"/>
                <w:lang w:bidi="ar"/>
              </w:rPr>
              <w:t>4.65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439C515">
            <w:pPr>
              <w:widowControl/>
              <w:jc w:val="center"/>
              <w:textAlignment w:val="center"/>
              <w:rPr>
                <w:szCs w:val="21"/>
              </w:rPr>
            </w:pPr>
            <w:r>
              <w:rPr>
                <w:kern w:val="0"/>
                <w:szCs w:val="21"/>
                <w:lang w:bidi="ar"/>
              </w:rPr>
              <w:t>0.789564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33C219C">
            <w:pPr>
              <w:widowControl/>
              <w:jc w:val="center"/>
              <w:textAlignment w:val="center"/>
              <w:rPr>
                <w:szCs w:val="21"/>
              </w:rPr>
            </w:pPr>
            <w:r>
              <w:rPr>
                <w:kern w:val="0"/>
                <w:szCs w:val="21"/>
                <w:lang w:bidi="ar"/>
              </w:rPr>
              <w:t>7.9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FFE99D8">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B023C32">
            <w:pPr>
              <w:widowControl/>
              <w:jc w:val="center"/>
              <w:textAlignment w:val="center"/>
              <w:rPr>
                <w:szCs w:val="21"/>
              </w:rPr>
            </w:pPr>
            <w:r>
              <w:rPr>
                <w:kern w:val="0"/>
                <w:szCs w:val="21"/>
                <w:lang w:bidi="ar"/>
              </w:rPr>
              <w:t>9.3816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6728AE4">
            <w:pPr>
              <w:widowControl/>
              <w:jc w:val="center"/>
              <w:textAlignment w:val="center"/>
              <w:rPr>
                <w:szCs w:val="21"/>
              </w:rPr>
            </w:pPr>
            <w:r>
              <w:rPr>
                <w:kern w:val="0"/>
                <w:szCs w:val="21"/>
                <w:lang w:bidi="ar"/>
              </w:rPr>
              <w:t>4.69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70984ED">
            <w:pPr>
              <w:widowControl/>
              <w:jc w:val="center"/>
              <w:textAlignment w:val="center"/>
              <w:rPr>
                <w:szCs w:val="21"/>
              </w:rPr>
            </w:pPr>
            <w:r>
              <w:rPr>
                <w:kern w:val="0"/>
                <w:szCs w:val="21"/>
                <w:lang w:bidi="ar"/>
              </w:rPr>
              <w:t>0.796551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B67BB83">
            <w:pPr>
              <w:widowControl/>
              <w:jc w:val="center"/>
              <w:textAlignment w:val="center"/>
              <w:rPr>
                <w:szCs w:val="21"/>
              </w:rPr>
            </w:pPr>
            <w:r>
              <w:rPr>
                <w:kern w:val="0"/>
                <w:szCs w:val="21"/>
                <w:lang w:bidi="ar"/>
              </w:rPr>
              <w:t>7.97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446676E">
            <w:pPr>
              <w:widowControl/>
              <w:jc w:val="center"/>
              <w:textAlignment w:val="center"/>
              <w:rPr>
                <w:szCs w:val="21"/>
              </w:rPr>
            </w:pPr>
            <w:r>
              <w:rPr>
                <w:kern w:val="0"/>
                <w:szCs w:val="21"/>
                <w:lang w:bidi="ar"/>
              </w:rPr>
              <w:t>48</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E1E9756">
            <w:pPr>
              <w:widowControl/>
              <w:jc w:val="center"/>
              <w:textAlignment w:val="center"/>
              <w:rPr>
                <w:szCs w:val="21"/>
              </w:rPr>
            </w:pPr>
            <w:r>
              <w:rPr>
                <w:kern w:val="0"/>
                <w:szCs w:val="21"/>
                <w:lang w:bidi="ar"/>
              </w:rPr>
              <w:t>9.563701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AA154B3">
            <w:pPr>
              <w:widowControl/>
              <w:jc w:val="center"/>
              <w:textAlignment w:val="center"/>
              <w:rPr>
                <w:szCs w:val="21"/>
              </w:rPr>
            </w:pPr>
            <w:r>
              <w:rPr>
                <w:kern w:val="0"/>
                <w:szCs w:val="21"/>
                <w:lang w:bidi="ar"/>
              </w:rPr>
              <w:t>4.78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6C28BBD">
            <w:pPr>
              <w:widowControl/>
              <w:jc w:val="center"/>
              <w:textAlignment w:val="center"/>
              <w:rPr>
                <w:szCs w:val="21"/>
              </w:rPr>
            </w:pPr>
            <w:r>
              <w:rPr>
                <w:kern w:val="0"/>
                <w:szCs w:val="21"/>
                <w:lang w:bidi="ar"/>
              </w:rPr>
              <w:t>0.878299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3790371">
            <w:pPr>
              <w:widowControl/>
              <w:jc w:val="center"/>
              <w:textAlignment w:val="center"/>
              <w:rPr>
                <w:szCs w:val="21"/>
              </w:rPr>
            </w:pPr>
            <w:r>
              <w:rPr>
                <w:kern w:val="0"/>
                <w:szCs w:val="21"/>
                <w:lang w:bidi="ar"/>
              </w:rPr>
              <w:t>8.78</w:t>
            </w:r>
          </w:p>
        </w:tc>
      </w:tr>
      <w:tr w14:paraId="0474802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92EFB2D">
            <w:pPr>
              <w:widowControl/>
              <w:jc w:val="center"/>
              <w:textAlignment w:val="center"/>
              <w:rPr>
                <w:szCs w:val="21"/>
              </w:rPr>
            </w:pPr>
            <w:r>
              <w:rPr>
                <w:kern w:val="0"/>
                <w:szCs w:val="21"/>
                <w:lang w:bidi="ar"/>
              </w:rPr>
              <w:t>51</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F2F71C3">
            <w:pPr>
              <w:widowControl/>
              <w:jc w:val="center"/>
              <w:textAlignment w:val="center"/>
              <w:rPr>
                <w:szCs w:val="21"/>
              </w:rPr>
            </w:pPr>
            <w:r>
              <w:rPr>
                <w:kern w:val="0"/>
                <w:szCs w:val="21"/>
                <w:lang w:bidi="ar"/>
              </w:rPr>
              <w:t>9.3456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E3A5C58">
            <w:pPr>
              <w:widowControl/>
              <w:jc w:val="center"/>
              <w:textAlignment w:val="center"/>
              <w:rPr>
                <w:szCs w:val="21"/>
              </w:rPr>
            </w:pPr>
            <w:r>
              <w:rPr>
                <w:kern w:val="0"/>
                <w:szCs w:val="21"/>
                <w:lang w:bidi="ar"/>
              </w:rPr>
              <w:t>4.67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A6C5AEB">
            <w:pPr>
              <w:widowControl/>
              <w:jc w:val="center"/>
              <w:textAlignment w:val="center"/>
              <w:rPr>
                <w:szCs w:val="21"/>
              </w:rPr>
            </w:pPr>
            <w:r>
              <w:rPr>
                <w:kern w:val="0"/>
                <w:szCs w:val="21"/>
                <w:lang w:bidi="ar"/>
              </w:rPr>
              <w:t>0.793495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9B5407E">
            <w:pPr>
              <w:widowControl/>
              <w:jc w:val="center"/>
              <w:textAlignment w:val="center"/>
              <w:rPr>
                <w:szCs w:val="21"/>
              </w:rPr>
            </w:pPr>
            <w:r>
              <w:rPr>
                <w:kern w:val="0"/>
                <w:szCs w:val="21"/>
                <w:lang w:bidi="ar"/>
              </w:rPr>
              <w:t>7.93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DB422DD">
            <w:pPr>
              <w:widowControl/>
              <w:jc w:val="center"/>
              <w:textAlignment w:val="center"/>
              <w:rPr>
                <w:szCs w:val="21"/>
              </w:rPr>
            </w:pPr>
            <w:r>
              <w:rPr>
                <w:kern w:val="0"/>
                <w:szCs w:val="21"/>
                <w:lang w:bidi="ar"/>
              </w:rPr>
              <w:t>52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93CE10B">
            <w:pPr>
              <w:widowControl/>
              <w:jc w:val="center"/>
              <w:textAlignment w:val="center"/>
              <w:rPr>
                <w:szCs w:val="21"/>
              </w:rPr>
            </w:pPr>
            <w:r>
              <w:rPr>
                <w:kern w:val="0"/>
                <w:szCs w:val="21"/>
                <w:lang w:bidi="ar"/>
              </w:rPr>
              <w:t>9.436701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BCA00FA">
            <w:pPr>
              <w:widowControl/>
              <w:jc w:val="center"/>
              <w:textAlignment w:val="center"/>
              <w:rPr>
                <w:szCs w:val="21"/>
              </w:rPr>
            </w:pPr>
            <w:r>
              <w:rPr>
                <w:kern w:val="0"/>
                <w:szCs w:val="21"/>
                <w:lang w:bidi="ar"/>
              </w:rPr>
              <w:t>4.72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3FF4C88">
            <w:pPr>
              <w:widowControl/>
              <w:jc w:val="center"/>
              <w:textAlignment w:val="center"/>
              <w:rPr>
                <w:szCs w:val="21"/>
              </w:rPr>
            </w:pPr>
            <w:r>
              <w:rPr>
                <w:kern w:val="0"/>
                <w:szCs w:val="21"/>
                <w:lang w:bidi="ar"/>
              </w:rPr>
              <w:t>0.801229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20F93AF">
            <w:pPr>
              <w:widowControl/>
              <w:jc w:val="center"/>
              <w:textAlignment w:val="center"/>
              <w:rPr>
                <w:szCs w:val="21"/>
              </w:rPr>
            </w:pPr>
            <w:r>
              <w:rPr>
                <w:kern w:val="0"/>
                <w:szCs w:val="21"/>
                <w:lang w:bidi="ar"/>
              </w:rPr>
              <w:t>8.01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ECDA0C5">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ECDE8B9">
            <w:pPr>
              <w:widowControl/>
              <w:jc w:val="center"/>
              <w:textAlignment w:val="center"/>
              <w:rPr>
                <w:szCs w:val="21"/>
              </w:rPr>
            </w:pPr>
            <w:r>
              <w:rPr>
                <w:kern w:val="0"/>
                <w:szCs w:val="21"/>
                <w:lang w:bidi="ar"/>
              </w:rPr>
              <w:t>9.3988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4717146">
            <w:pPr>
              <w:widowControl/>
              <w:jc w:val="center"/>
              <w:textAlignment w:val="center"/>
              <w:rPr>
                <w:szCs w:val="21"/>
              </w:rPr>
            </w:pPr>
            <w:r>
              <w:rPr>
                <w:kern w:val="0"/>
                <w:szCs w:val="21"/>
                <w:lang w:bidi="ar"/>
              </w:rPr>
              <w:t>4.7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DFD2CBA">
            <w:pPr>
              <w:widowControl/>
              <w:jc w:val="center"/>
              <w:textAlignment w:val="center"/>
              <w:rPr>
                <w:szCs w:val="21"/>
              </w:rPr>
            </w:pPr>
            <w:r>
              <w:rPr>
                <w:kern w:val="0"/>
                <w:szCs w:val="21"/>
                <w:lang w:bidi="ar"/>
              </w:rPr>
              <w:t>0.863155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BFBB8C3">
            <w:pPr>
              <w:widowControl/>
              <w:jc w:val="center"/>
              <w:textAlignment w:val="center"/>
              <w:rPr>
                <w:szCs w:val="21"/>
              </w:rPr>
            </w:pPr>
            <w:r>
              <w:rPr>
                <w:kern w:val="0"/>
                <w:szCs w:val="21"/>
                <w:lang w:bidi="ar"/>
              </w:rPr>
              <w:t>8.63</w:t>
            </w:r>
          </w:p>
        </w:tc>
      </w:tr>
      <w:tr w14:paraId="7D2A7CF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EC67099">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321F949">
            <w:pPr>
              <w:widowControl/>
              <w:jc w:val="center"/>
              <w:textAlignment w:val="center"/>
              <w:rPr>
                <w:szCs w:val="21"/>
              </w:rPr>
            </w:pPr>
            <w:r>
              <w:rPr>
                <w:kern w:val="0"/>
                <w:szCs w:val="21"/>
                <w:lang w:bidi="ar"/>
              </w:rPr>
              <w:t>7.7496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E0DAB39">
            <w:pPr>
              <w:widowControl/>
              <w:jc w:val="center"/>
              <w:textAlignment w:val="center"/>
              <w:rPr>
                <w:szCs w:val="21"/>
              </w:rPr>
            </w:pPr>
            <w:r>
              <w:rPr>
                <w:kern w:val="0"/>
                <w:szCs w:val="21"/>
                <w:lang w:bidi="ar"/>
              </w:rPr>
              <w:t>3.87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C2F09B1">
            <w:pPr>
              <w:widowControl/>
              <w:jc w:val="center"/>
              <w:textAlignment w:val="center"/>
              <w:rPr>
                <w:szCs w:val="21"/>
              </w:rPr>
            </w:pPr>
            <w:r>
              <w:rPr>
                <w:kern w:val="0"/>
                <w:szCs w:val="21"/>
                <w:lang w:bidi="ar"/>
              </w:rPr>
              <w:t>0.657985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EDF3416">
            <w:pPr>
              <w:widowControl/>
              <w:jc w:val="center"/>
              <w:textAlignment w:val="center"/>
              <w:rPr>
                <w:szCs w:val="21"/>
              </w:rPr>
            </w:pPr>
            <w:r>
              <w:rPr>
                <w:kern w:val="0"/>
                <w:szCs w:val="21"/>
                <w:lang w:bidi="ar"/>
              </w:rPr>
              <w:t>6.58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41D17D2">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2D2C601">
            <w:pPr>
              <w:widowControl/>
              <w:jc w:val="center"/>
              <w:textAlignment w:val="center"/>
              <w:rPr>
                <w:szCs w:val="21"/>
              </w:rPr>
            </w:pPr>
            <w:r>
              <w:rPr>
                <w:kern w:val="0"/>
                <w:szCs w:val="21"/>
                <w:lang w:bidi="ar"/>
              </w:rPr>
              <w:t>7.8263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2BD82B3">
            <w:pPr>
              <w:widowControl/>
              <w:jc w:val="center"/>
              <w:textAlignment w:val="center"/>
              <w:rPr>
                <w:szCs w:val="21"/>
              </w:rPr>
            </w:pPr>
            <w:r>
              <w:rPr>
                <w:kern w:val="0"/>
                <w:szCs w:val="21"/>
                <w:lang w:bidi="ar"/>
              </w:rPr>
              <w:t>3.91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004753F">
            <w:pPr>
              <w:widowControl/>
              <w:jc w:val="center"/>
              <w:textAlignment w:val="center"/>
              <w:rPr>
                <w:szCs w:val="21"/>
              </w:rPr>
            </w:pPr>
            <w:r>
              <w:rPr>
                <w:kern w:val="0"/>
                <w:szCs w:val="21"/>
                <w:lang w:bidi="ar"/>
              </w:rPr>
              <w:t>0.664497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7448E3E">
            <w:pPr>
              <w:widowControl/>
              <w:jc w:val="center"/>
              <w:textAlignment w:val="center"/>
              <w:rPr>
                <w:szCs w:val="21"/>
              </w:rPr>
            </w:pPr>
            <w:r>
              <w:rPr>
                <w:kern w:val="0"/>
                <w:szCs w:val="21"/>
                <w:lang w:bidi="ar"/>
              </w:rPr>
              <w:t>6.64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9D17DEC">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8692326">
            <w:pPr>
              <w:widowControl/>
              <w:jc w:val="center"/>
              <w:textAlignment w:val="center"/>
              <w:rPr>
                <w:szCs w:val="21"/>
              </w:rPr>
            </w:pPr>
            <w:r>
              <w:rPr>
                <w:kern w:val="0"/>
                <w:szCs w:val="21"/>
                <w:lang w:bidi="ar"/>
              </w:rPr>
              <w:t>6.3855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0290B02">
            <w:pPr>
              <w:widowControl/>
              <w:jc w:val="center"/>
              <w:textAlignment w:val="center"/>
              <w:rPr>
                <w:szCs w:val="21"/>
              </w:rPr>
            </w:pPr>
            <w:r>
              <w:rPr>
                <w:kern w:val="0"/>
                <w:szCs w:val="21"/>
                <w:lang w:bidi="ar"/>
              </w:rPr>
              <w:t>3.19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C370B35">
            <w:pPr>
              <w:widowControl/>
              <w:jc w:val="center"/>
              <w:textAlignment w:val="center"/>
              <w:rPr>
                <w:szCs w:val="21"/>
              </w:rPr>
            </w:pPr>
            <w:r>
              <w:rPr>
                <w:kern w:val="0"/>
                <w:szCs w:val="21"/>
                <w:lang w:bidi="ar"/>
              </w:rPr>
              <w:t>0.586424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D88BF28">
            <w:pPr>
              <w:widowControl/>
              <w:jc w:val="center"/>
              <w:textAlignment w:val="center"/>
              <w:rPr>
                <w:szCs w:val="21"/>
              </w:rPr>
            </w:pPr>
            <w:r>
              <w:rPr>
                <w:kern w:val="0"/>
                <w:szCs w:val="21"/>
                <w:lang w:bidi="ar"/>
              </w:rPr>
              <w:t>5.86</w:t>
            </w:r>
          </w:p>
        </w:tc>
      </w:tr>
      <w:tr w14:paraId="07EE461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51304CC">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A894EBA">
            <w:pPr>
              <w:widowControl/>
              <w:jc w:val="center"/>
              <w:textAlignment w:val="center"/>
              <w:rPr>
                <w:szCs w:val="21"/>
              </w:rPr>
            </w:pPr>
            <w:r>
              <w:rPr>
                <w:kern w:val="0"/>
                <w:szCs w:val="21"/>
                <w:lang w:bidi="ar"/>
              </w:rPr>
              <w:t>5.2243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A7FD367">
            <w:pPr>
              <w:widowControl/>
              <w:jc w:val="center"/>
              <w:textAlignment w:val="center"/>
              <w:rPr>
                <w:szCs w:val="21"/>
              </w:rPr>
            </w:pPr>
            <w:r>
              <w:rPr>
                <w:kern w:val="0"/>
                <w:szCs w:val="21"/>
                <w:lang w:bidi="ar"/>
              </w:rPr>
              <w:t>2.61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6E28A2E">
            <w:pPr>
              <w:widowControl/>
              <w:jc w:val="center"/>
              <w:textAlignment w:val="center"/>
              <w:rPr>
                <w:szCs w:val="21"/>
              </w:rPr>
            </w:pPr>
            <w:r>
              <w:rPr>
                <w:kern w:val="0"/>
                <w:szCs w:val="21"/>
                <w:lang w:bidi="ar"/>
              </w:rPr>
              <w:t>0.443573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3C01493">
            <w:pPr>
              <w:widowControl/>
              <w:jc w:val="center"/>
              <w:textAlignment w:val="center"/>
              <w:rPr>
                <w:szCs w:val="21"/>
              </w:rPr>
            </w:pPr>
            <w:r>
              <w:rPr>
                <w:kern w:val="0"/>
                <w:szCs w:val="21"/>
                <w:lang w:bidi="ar"/>
              </w:rPr>
              <w:t>4.44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BFC1E27">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A1E7D59">
            <w:pPr>
              <w:widowControl/>
              <w:jc w:val="center"/>
              <w:textAlignment w:val="center"/>
              <w:rPr>
                <w:szCs w:val="21"/>
              </w:rPr>
            </w:pPr>
            <w:r>
              <w:rPr>
                <w:kern w:val="0"/>
                <w:szCs w:val="21"/>
                <w:lang w:bidi="ar"/>
              </w:rPr>
              <w:t>5.252601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D569402">
            <w:pPr>
              <w:widowControl/>
              <w:jc w:val="center"/>
              <w:textAlignment w:val="center"/>
              <w:rPr>
                <w:szCs w:val="21"/>
              </w:rPr>
            </w:pPr>
            <w:r>
              <w:rPr>
                <w:kern w:val="0"/>
                <w:szCs w:val="21"/>
                <w:lang w:bidi="ar"/>
              </w:rPr>
              <w:t>2.63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A8A6C51">
            <w:pPr>
              <w:widowControl/>
              <w:jc w:val="center"/>
              <w:textAlignment w:val="center"/>
              <w:rPr>
                <w:szCs w:val="21"/>
              </w:rPr>
            </w:pPr>
            <w:r>
              <w:rPr>
                <w:kern w:val="0"/>
                <w:szCs w:val="21"/>
                <w:lang w:bidi="ar"/>
              </w:rPr>
              <w:t>0.445976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7627657">
            <w:pPr>
              <w:widowControl/>
              <w:jc w:val="center"/>
              <w:textAlignment w:val="center"/>
              <w:rPr>
                <w:szCs w:val="21"/>
              </w:rPr>
            </w:pPr>
            <w:r>
              <w:rPr>
                <w:kern w:val="0"/>
                <w:szCs w:val="21"/>
                <w:lang w:bidi="ar"/>
              </w:rPr>
              <w:t>4.46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C706D6C">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EF79E8F">
            <w:pPr>
              <w:widowControl/>
              <w:jc w:val="center"/>
              <w:textAlignment w:val="center"/>
              <w:rPr>
                <w:szCs w:val="21"/>
              </w:rPr>
            </w:pPr>
            <w:r>
              <w:rPr>
                <w:kern w:val="0"/>
                <w:szCs w:val="21"/>
                <w:lang w:bidi="ar"/>
              </w:rPr>
              <w:t>4.6747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3B0481A">
            <w:pPr>
              <w:widowControl/>
              <w:jc w:val="center"/>
              <w:textAlignment w:val="center"/>
              <w:rPr>
                <w:szCs w:val="21"/>
              </w:rPr>
            </w:pPr>
            <w:r>
              <w:rPr>
                <w:kern w:val="0"/>
                <w:szCs w:val="21"/>
                <w:lang w:bidi="ar"/>
              </w:rPr>
              <w:t>2.34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1FC0FD1">
            <w:pPr>
              <w:widowControl/>
              <w:jc w:val="center"/>
              <w:textAlignment w:val="center"/>
              <w:rPr>
                <w:szCs w:val="21"/>
              </w:rPr>
            </w:pPr>
            <w:r>
              <w:rPr>
                <w:kern w:val="0"/>
                <w:szCs w:val="21"/>
                <w:lang w:bidi="ar"/>
              </w:rPr>
              <w:t>0.429309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FFAE2E2">
            <w:pPr>
              <w:widowControl/>
              <w:jc w:val="center"/>
              <w:textAlignment w:val="center"/>
              <w:rPr>
                <w:szCs w:val="21"/>
              </w:rPr>
            </w:pPr>
            <w:r>
              <w:rPr>
                <w:kern w:val="0"/>
                <w:szCs w:val="21"/>
                <w:lang w:bidi="ar"/>
              </w:rPr>
              <w:t>4.29</w:t>
            </w:r>
          </w:p>
        </w:tc>
      </w:tr>
      <w:tr w14:paraId="4644662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86E9BBE">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E684BFA">
            <w:pPr>
              <w:widowControl/>
              <w:jc w:val="center"/>
              <w:textAlignment w:val="center"/>
              <w:rPr>
                <w:szCs w:val="21"/>
              </w:rPr>
            </w:pPr>
            <w:r>
              <w:rPr>
                <w:kern w:val="0"/>
                <w:szCs w:val="21"/>
                <w:lang w:bidi="ar"/>
              </w:rPr>
              <w:t>4.0781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F6EA64E">
            <w:pPr>
              <w:widowControl/>
              <w:jc w:val="center"/>
              <w:textAlignment w:val="center"/>
              <w:rPr>
                <w:szCs w:val="21"/>
              </w:rPr>
            </w:pPr>
            <w:r>
              <w:rPr>
                <w:kern w:val="0"/>
                <w:szCs w:val="21"/>
                <w:lang w:bidi="ar"/>
              </w:rPr>
              <w:t>2.04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8531F2A">
            <w:pPr>
              <w:widowControl/>
              <w:jc w:val="center"/>
              <w:textAlignment w:val="center"/>
              <w:rPr>
                <w:szCs w:val="21"/>
              </w:rPr>
            </w:pPr>
            <w:r>
              <w:rPr>
                <w:kern w:val="0"/>
                <w:szCs w:val="21"/>
                <w:lang w:bidi="ar"/>
              </w:rPr>
              <w:t>0.346254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312240B">
            <w:pPr>
              <w:widowControl/>
              <w:jc w:val="center"/>
              <w:textAlignment w:val="center"/>
              <w:rPr>
                <w:szCs w:val="21"/>
              </w:rPr>
            </w:pPr>
            <w:r>
              <w:rPr>
                <w:kern w:val="0"/>
                <w:szCs w:val="21"/>
                <w:lang w:bidi="ar"/>
              </w:rPr>
              <w:t>3.46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B9E584C">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576BB43">
            <w:pPr>
              <w:widowControl/>
              <w:jc w:val="center"/>
              <w:textAlignment w:val="center"/>
              <w:rPr>
                <w:szCs w:val="21"/>
              </w:rPr>
            </w:pPr>
            <w:r>
              <w:rPr>
                <w:kern w:val="0"/>
                <w:szCs w:val="21"/>
                <w:lang w:bidi="ar"/>
              </w:rPr>
              <w:t>4.0843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1E02AFE">
            <w:pPr>
              <w:widowControl/>
              <w:jc w:val="center"/>
              <w:textAlignment w:val="center"/>
              <w:rPr>
                <w:szCs w:val="21"/>
              </w:rPr>
            </w:pPr>
            <w:r>
              <w:rPr>
                <w:kern w:val="0"/>
                <w:szCs w:val="21"/>
                <w:lang w:bidi="ar"/>
              </w:rPr>
              <w:t>2.04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8A009B6">
            <w:pPr>
              <w:widowControl/>
              <w:jc w:val="center"/>
              <w:textAlignment w:val="center"/>
              <w:rPr>
                <w:szCs w:val="21"/>
              </w:rPr>
            </w:pPr>
            <w:r>
              <w:rPr>
                <w:kern w:val="0"/>
                <w:szCs w:val="21"/>
                <w:lang w:bidi="ar"/>
              </w:rPr>
              <w:t>0.34678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5BA78FB">
            <w:pPr>
              <w:widowControl/>
              <w:jc w:val="center"/>
              <w:textAlignment w:val="center"/>
              <w:rPr>
                <w:szCs w:val="21"/>
              </w:rPr>
            </w:pPr>
            <w:r>
              <w:rPr>
                <w:kern w:val="0"/>
                <w:szCs w:val="21"/>
                <w:lang w:bidi="ar"/>
              </w:rPr>
              <w:t>3.47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84A41DE">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A8B0C82">
            <w:pPr>
              <w:widowControl/>
              <w:jc w:val="center"/>
              <w:textAlignment w:val="center"/>
              <w:rPr>
                <w:szCs w:val="21"/>
              </w:rPr>
            </w:pPr>
            <w:r>
              <w:rPr>
                <w:kern w:val="0"/>
                <w:szCs w:val="21"/>
                <w:lang w:bidi="ar"/>
              </w:rPr>
              <w:t>3.7344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18114AC">
            <w:pPr>
              <w:widowControl/>
              <w:jc w:val="center"/>
              <w:textAlignment w:val="center"/>
              <w:rPr>
                <w:szCs w:val="21"/>
              </w:rPr>
            </w:pPr>
            <w:r>
              <w:rPr>
                <w:kern w:val="0"/>
                <w:szCs w:val="21"/>
                <w:lang w:bidi="ar"/>
              </w:rPr>
              <w:t>1.87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9DBD3A5">
            <w:pPr>
              <w:widowControl/>
              <w:jc w:val="center"/>
              <w:textAlignment w:val="center"/>
              <w:rPr>
                <w:szCs w:val="21"/>
              </w:rPr>
            </w:pPr>
            <w:r>
              <w:rPr>
                <w:kern w:val="0"/>
                <w:szCs w:val="21"/>
                <w:lang w:bidi="ar"/>
              </w:rPr>
              <w:t>0.342955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4A13D4D">
            <w:pPr>
              <w:widowControl/>
              <w:jc w:val="center"/>
              <w:textAlignment w:val="center"/>
              <w:rPr>
                <w:szCs w:val="21"/>
              </w:rPr>
            </w:pPr>
            <w:r>
              <w:rPr>
                <w:kern w:val="0"/>
                <w:szCs w:val="21"/>
                <w:lang w:bidi="ar"/>
              </w:rPr>
              <w:t>3.43</w:t>
            </w:r>
          </w:p>
        </w:tc>
      </w:tr>
      <w:tr w14:paraId="677F6B1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470B75B">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BC2442F">
            <w:pPr>
              <w:widowControl/>
              <w:jc w:val="center"/>
              <w:textAlignment w:val="center"/>
              <w:rPr>
                <w:szCs w:val="21"/>
              </w:rPr>
            </w:pPr>
            <w:r>
              <w:rPr>
                <w:kern w:val="0"/>
                <w:szCs w:val="21"/>
                <w:lang w:bidi="ar"/>
              </w:rPr>
              <w:t>3.5731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3BFACE4">
            <w:pPr>
              <w:widowControl/>
              <w:jc w:val="center"/>
              <w:textAlignment w:val="center"/>
              <w:rPr>
                <w:szCs w:val="21"/>
              </w:rPr>
            </w:pPr>
            <w:r>
              <w:rPr>
                <w:kern w:val="0"/>
                <w:szCs w:val="21"/>
                <w:lang w:bidi="ar"/>
              </w:rPr>
              <w:t>1.79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EF58ADD">
            <w:pPr>
              <w:widowControl/>
              <w:jc w:val="center"/>
              <w:textAlignment w:val="center"/>
              <w:rPr>
                <w:szCs w:val="21"/>
              </w:rPr>
            </w:pPr>
            <w:r>
              <w:rPr>
                <w:kern w:val="0"/>
                <w:szCs w:val="21"/>
                <w:lang w:bidi="ar"/>
              </w:rPr>
              <w:t>0.303377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9624B23">
            <w:pPr>
              <w:widowControl/>
              <w:jc w:val="center"/>
              <w:textAlignment w:val="center"/>
              <w:rPr>
                <w:szCs w:val="21"/>
              </w:rPr>
            </w:pPr>
            <w:r>
              <w:rPr>
                <w:kern w:val="0"/>
                <w:szCs w:val="21"/>
                <w:lang w:bidi="ar"/>
              </w:rPr>
              <w:t>3.03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AAE7BE8">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85BCBB8">
            <w:pPr>
              <w:widowControl/>
              <w:jc w:val="center"/>
              <w:textAlignment w:val="center"/>
              <w:rPr>
                <w:szCs w:val="21"/>
              </w:rPr>
            </w:pPr>
            <w:r>
              <w:rPr>
                <w:kern w:val="0"/>
                <w:szCs w:val="21"/>
                <w:lang w:bidi="ar"/>
              </w:rPr>
              <w:t>3.5773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278B6C0">
            <w:pPr>
              <w:widowControl/>
              <w:jc w:val="center"/>
              <w:textAlignment w:val="center"/>
              <w:rPr>
                <w:szCs w:val="21"/>
              </w:rPr>
            </w:pPr>
            <w:r>
              <w:rPr>
                <w:kern w:val="0"/>
                <w:szCs w:val="21"/>
                <w:lang w:bidi="ar"/>
              </w:rPr>
              <w:t>1.79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6BB1798">
            <w:pPr>
              <w:widowControl/>
              <w:jc w:val="center"/>
              <w:textAlignment w:val="center"/>
              <w:rPr>
                <w:szCs w:val="21"/>
              </w:rPr>
            </w:pPr>
            <w:r>
              <w:rPr>
                <w:kern w:val="0"/>
                <w:szCs w:val="21"/>
                <w:lang w:bidi="ar"/>
              </w:rPr>
              <w:t>0.303733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310DDE0">
            <w:pPr>
              <w:widowControl/>
              <w:jc w:val="center"/>
              <w:textAlignment w:val="center"/>
              <w:rPr>
                <w:szCs w:val="21"/>
              </w:rPr>
            </w:pPr>
            <w:r>
              <w:rPr>
                <w:kern w:val="0"/>
                <w:szCs w:val="21"/>
                <w:lang w:bidi="ar"/>
              </w:rPr>
              <w:t>3.04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9897A99">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36B878F">
            <w:pPr>
              <w:widowControl/>
              <w:jc w:val="center"/>
              <w:textAlignment w:val="center"/>
              <w:rPr>
                <w:szCs w:val="21"/>
              </w:rPr>
            </w:pPr>
            <w:r>
              <w:rPr>
                <w:kern w:val="0"/>
                <w:szCs w:val="21"/>
                <w:lang w:bidi="ar"/>
              </w:rPr>
              <w:t>3.2891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73A01EE">
            <w:pPr>
              <w:widowControl/>
              <w:jc w:val="center"/>
              <w:textAlignment w:val="center"/>
              <w:rPr>
                <w:szCs w:val="21"/>
              </w:rPr>
            </w:pPr>
            <w:r>
              <w:rPr>
                <w:kern w:val="0"/>
                <w:szCs w:val="21"/>
                <w:lang w:bidi="ar"/>
              </w:rPr>
              <w:t>1.64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220BC08">
            <w:pPr>
              <w:widowControl/>
              <w:jc w:val="center"/>
              <w:textAlignment w:val="center"/>
              <w:rPr>
                <w:szCs w:val="21"/>
              </w:rPr>
            </w:pPr>
            <w:r>
              <w:rPr>
                <w:kern w:val="0"/>
                <w:szCs w:val="21"/>
                <w:lang w:bidi="ar"/>
              </w:rPr>
              <w:t>0.30206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4E81D48">
            <w:pPr>
              <w:widowControl/>
              <w:jc w:val="center"/>
              <w:textAlignment w:val="center"/>
              <w:rPr>
                <w:szCs w:val="21"/>
              </w:rPr>
            </w:pPr>
            <w:r>
              <w:rPr>
                <w:kern w:val="0"/>
                <w:szCs w:val="21"/>
                <w:lang w:bidi="ar"/>
              </w:rPr>
              <w:t>3.02</w:t>
            </w:r>
          </w:p>
        </w:tc>
      </w:tr>
      <w:tr w14:paraId="6FEA21F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5B48E73">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F71C890">
            <w:pPr>
              <w:widowControl/>
              <w:jc w:val="center"/>
              <w:textAlignment w:val="center"/>
              <w:rPr>
                <w:szCs w:val="21"/>
              </w:rPr>
            </w:pPr>
            <w:r>
              <w:rPr>
                <w:kern w:val="0"/>
                <w:szCs w:val="21"/>
                <w:lang w:bidi="ar"/>
              </w:rPr>
              <w:t>3.2379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6AEACCF">
            <w:pPr>
              <w:widowControl/>
              <w:jc w:val="center"/>
              <w:textAlignment w:val="center"/>
              <w:rPr>
                <w:szCs w:val="21"/>
              </w:rPr>
            </w:pPr>
            <w:r>
              <w:rPr>
                <w:kern w:val="0"/>
                <w:szCs w:val="21"/>
                <w:lang w:bidi="ar"/>
              </w:rPr>
              <w:t>1.62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152108D">
            <w:pPr>
              <w:widowControl/>
              <w:jc w:val="center"/>
              <w:textAlignment w:val="center"/>
              <w:rPr>
                <w:szCs w:val="21"/>
              </w:rPr>
            </w:pPr>
            <w:r>
              <w:rPr>
                <w:kern w:val="0"/>
                <w:szCs w:val="21"/>
                <w:lang w:bidi="ar"/>
              </w:rPr>
              <w:t>0.274916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7A30CA6">
            <w:pPr>
              <w:widowControl/>
              <w:jc w:val="center"/>
              <w:textAlignment w:val="center"/>
              <w:rPr>
                <w:szCs w:val="21"/>
              </w:rPr>
            </w:pPr>
            <w:r>
              <w:rPr>
                <w:kern w:val="0"/>
                <w:szCs w:val="21"/>
                <w:lang w:bidi="ar"/>
              </w:rPr>
              <w:t>2.75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C23E252">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621CA7C">
            <w:pPr>
              <w:widowControl/>
              <w:jc w:val="center"/>
              <w:textAlignment w:val="center"/>
              <w:rPr>
                <w:szCs w:val="21"/>
              </w:rPr>
            </w:pPr>
            <w:r>
              <w:rPr>
                <w:kern w:val="0"/>
                <w:szCs w:val="21"/>
                <w:lang w:bidi="ar"/>
              </w:rPr>
              <w:t>3.2405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A8CE80D">
            <w:pPr>
              <w:widowControl/>
              <w:jc w:val="center"/>
              <w:textAlignment w:val="center"/>
              <w:rPr>
                <w:szCs w:val="21"/>
              </w:rPr>
            </w:pPr>
            <w:r>
              <w:rPr>
                <w:kern w:val="0"/>
                <w:szCs w:val="21"/>
                <w:lang w:bidi="ar"/>
              </w:rPr>
              <w:t>1.62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F9B0B84">
            <w:pPr>
              <w:widowControl/>
              <w:jc w:val="center"/>
              <w:textAlignment w:val="center"/>
              <w:rPr>
                <w:szCs w:val="21"/>
              </w:rPr>
            </w:pPr>
            <w:r>
              <w:rPr>
                <w:kern w:val="0"/>
                <w:szCs w:val="21"/>
                <w:lang w:bidi="ar"/>
              </w:rPr>
              <w:t>0.275137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066C51F">
            <w:pPr>
              <w:widowControl/>
              <w:jc w:val="center"/>
              <w:textAlignment w:val="center"/>
              <w:rPr>
                <w:szCs w:val="21"/>
              </w:rPr>
            </w:pPr>
            <w:r>
              <w:rPr>
                <w:kern w:val="0"/>
                <w:szCs w:val="21"/>
                <w:lang w:bidi="ar"/>
              </w:rPr>
              <w:t>2.75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570B93C">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091733F">
            <w:pPr>
              <w:widowControl/>
              <w:jc w:val="center"/>
              <w:textAlignment w:val="center"/>
              <w:rPr>
                <w:szCs w:val="21"/>
              </w:rPr>
            </w:pPr>
            <w:r>
              <w:rPr>
                <w:kern w:val="0"/>
                <w:szCs w:val="21"/>
                <w:lang w:bidi="ar"/>
              </w:rPr>
              <w:t>2.9822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96F6FBD">
            <w:pPr>
              <w:widowControl/>
              <w:jc w:val="center"/>
              <w:textAlignment w:val="center"/>
              <w:rPr>
                <w:szCs w:val="21"/>
              </w:rPr>
            </w:pPr>
            <w:r>
              <w:rPr>
                <w:kern w:val="0"/>
                <w:szCs w:val="21"/>
                <w:lang w:bidi="ar"/>
              </w:rPr>
              <w:t>1.49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5821A21">
            <w:pPr>
              <w:widowControl/>
              <w:jc w:val="center"/>
              <w:textAlignment w:val="center"/>
              <w:rPr>
                <w:szCs w:val="21"/>
              </w:rPr>
            </w:pPr>
            <w:r>
              <w:rPr>
                <w:kern w:val="0"/>
                <w:szCs w:val="21"/>
                <w:lang w:bidi="ar"/>
              </w:rPr>
              <w:t>0.273876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70D6F42">
            <w:pPr>
              <w:widowControl/>
              <w:jc w:val="center"/>
              <w:textAlignment w:val="center"/>
              <w:rPr>
                <w:szCs w:val="21"/>
              </w:rPr>
            </w:pPr>
            <w:r>
              <w:rPr>
                <w:kern w:val="0"/>
                <w:szCs w:val="21"/>
                <w:lang w:bidi="ar"/>
              </w:rPr>
              <w:t>2.74</w:t>
            </w:r>
          </w:p>
        </w:tc>
      </w:tr>
      <w:tr w14:paraId="67DF65B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B87177B">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12D1401">
            <w:pPr>
              <w:widowControl/>
              <w:jc w:val="center"/>
              <w:textAlignment w:val="center"/>
              <w:rPr>
                <w:szCs w:val="21"/>
              </w:rPr>
            </w:pPr>
            <w:r>
              <w:rPr>
                <w:kern w:val="0"/>
                <w:szCs w:val="21"/>
                <w:lang w:bidi="ar"/>
              </w:rPr>
              <w:t>2.9705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176D888">
            <w:pPr>
              <w:widowControl/>
              <w:jc w:val="center"/>
              <w:textAlignment w:val="center"/>
              <w:rPr>
                <w:szCs w:val="21"/>
              </w:rPr>
            </w:pPr>
            <w:r>
              <w:rPr>
                <w:kern w:val="0"/>
                <w:szCs w:val="21"/>
                <w:lang w:bidi="ar"/>
              </w:rPr>
              <w:t>1.49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D4C6ABB">
            <w:pPr>
              <w:widowControl/>
              <w:jc w:val="center"/>
              <w:textAlignment w:val="center"/>
              <w:rPr>
                <w:szCs w:val="21"/>
              </w:rPr>
            </w:pPr>
            <w:r>
              <w:rPr>
                <w:kern w:val="0"/>
                <w:szCs w:val="21"/>
                <w:lang w:bidi="ar"/>
              </w:rPr>
              <w:t>0.252212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C1121B0">
            <w:pPr>
              <w:widowControl/>
              <w:jc w:val="center"/>
              <w:textAlignment w:val="center"/>
              <w:rPr>
                <w:szCs w:val="21"/>
              </w:rPr>
            </w:pPr>
            <w:r>
              <w:rPr>
                <w:kern w:val="0"/>
                <w:szCs w:val="21"/>
                <w:lang w:bidi="ar"/>
              </w:rPr>
              <w:t>2.52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311A25D">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E37CC44">
            <w:pPr>
              <w:widowControl/>
              <w:jc w:val="center"/>
              <w:textAlignment w:val="center"/>
              <w:rPr>
                <w:szCs w:val="21"/>
              </w:rPr>
            </w:pPr>
            <w:r>
              <w:rPr>
                <w:kern w:val="0"/>
                <w:szCs w:val="21"/>
                <w:lang w:bidi="ar"/>
              </w:rPr>
              <w:t>2.9715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6C0238C">
            <w:pPr>
              <w:widowControl/>
              <w:jc w:val="center"/>
              <w:textAlignment w:val="center"/>
              <w:rPr>
                <w:szCs w:val="21"/>
              </w:rPr>
            </w:pPr>
            <w:r>
              <w:rPr>
                <w:kern w:val="0"/>
                <w:szCs w:val="21"/>
                <w:lang w:bidi="ar"/>
              </w:rPr>
              <w:t>1.49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2C8F04C">
            <w:pPr>
              <w:widowControl/>
              <w:jc w:val="center"/>
              <w:textAlignment w:val="center"/>
              <w:rPr>
                <w:szCs w:val="21"/>
              </w:rPr>
            </w:pPr>
            <w:r>
              <w:rPr>
                <w:kern w:val="0"/>
                <w:szCs w:val="21"/>
                <w:lang w:bidi="ar"/>
              </w:rPr>
              <w:t>0.252297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B0C3699">
            <w:pPr>
              <w:widowControl/>
              <w:jc w:val="center"/>
              <w:textAlignment w:val="center"/>
              <w:rPr>
                <w:szCs w:val="21"/>
              </w:rPr>
            </w:pPr>
            <w:r>
              <w:rPr>
                <w:kern w:val="0"/>
                <w:szCs w:val="21"/>
                <w:lang w:bidi="ar"/>
              </w:rPr>
              <w:t>2.52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E148A77">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801A445">
            <w:pPr>
              <w:widowControl/>
              <w:jc w:val="center"/>
              <w:textAlignment w:val="center"/>
              <w:rPr>
                <w:szCs w:val="21"/>
              </w:rPr>
            </w:pPr>
            <w:r>
              <w:rPr>
                <w:kern w:val="0"/>
                <w:szCs w:val="21"/>
                <w:lang w:bidi="ar"/>
              </w:rPr>
              <w:t>2.7427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1F24963">
            <w:pPr>
              <w:widowControl/>
              <w:jc w:val="center"/>
              <w:textAlignment w:val="center"/>
              <w:rPr>
                <w:szCs w:val="21"/>
              </w:rPr>
            </w:pPr>
            <w:r>
              <w:rPr>
                <w:kern w:val="0"/>
                <w:szCs w:val="21"/>
                <w:lang w:bidi="ar"/>
              </w:rPr>
              <w:t>1.37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C0FB592">
            <w:pPr>
              <w:widowControl/>
              <w:jc w:val="center"/>
              <w:textAlignment w:val="center"/>
              <w:rPr>
                <w:szCs w:val="21"/>
              </w:rPr>
            </w:pPr>
            <w:r>
              <w:rPr>
                <w:kern w:val="0"/>
                <w:szCs w:val="21"/>
                <w:lang w:bidi="ar"/>
              </w:rPr>
              <w:t>0.251881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BD099EC">
            <w:pPr>
              <w:widowControl/>
              <w:jc w:val="center"/>
              <w:textAlignment w:val="center"/>
              <w:rPr>
                <w:szCs w:val="21"/>
              </w:rPr>
            </w:pPr>
            <w:r>
              <w:rPr>
                <w:kern w:val="0"/>
                <w:szCs w:val="21"/>
                <w:lang w:bidi="ar"/>
              </w:rPr>
              <w:t>2.52</w:t>
            </w:r>
          </w:p>
        </w:tc>
      </w:tr>
      <w:tr w14:paraId="4DEE06B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F63CC71">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799BD4C">
            <w:pPr>
              <w:widowControl/>
              <w:jc w:val="center"/>
              <w:textAlignment w:val="center"/>
              <w:rPr>
                <w:szCs w:val="21"/>
              </w:rPr>
            </w:pPr>
            <w:r>
              <w:rPr>
                <w:kern w:val="0"/>
                <w:szCs w:val="21"/>
                <w:lang w:bidi="ar"/>
              </w:rPr>
              <w:t>2.3939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795EC9C">
            <w:pPr>
              <w:widowControl/>
              <w:jc w:val="center"/>
              <w:textAlignment w:val="center"/>
              <w:rPr>
                <w:szCs w:val="21"/>
              </w:rPr>
            </w:pPr>
            <w:r>
              <w:rPr>
                <w:kern w:val="0"/>
                <w:szCs w:val="21"/>
                <w:lang w:bidi="ar"/>
              </w:rPr>
              <w:t>1.2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7E078D5">
            <w:pPr>
              <w:widowControl/>
              <w:jc w:val="center"/>
              <w:textAlignment w:val="center"/>
              <w:rPr>
                <w:szCs w:val="21"/>
              </w:rPr>
            </w:pPr>
            <w:r>
              <w:rPr>
                <w:kern w:val="0"/>
                <w:szCs w:val="21"/>
                <w:lang w:bidi="ar"/>
              </w:rPr>
              <w:t>0.203256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AB6B13F">
            <w:pPr>
              <w:widowControl/>
              <w:jc w:val="center"/>
              <w:textAlignment w:val="center"/>
              <w:rPr>
                <w:szCs w:val="21"/>
              </w:rPr>
            </w:pPr>
            <w:r>
              <w:rPr>
                <w:kern w:val="0"/>
                <w:szCs w:val="21"/>
                <w:lang w:bidi="ar"/>
              </w:rPr>
              <w:t>2.03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53EF97E">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C5D18B7">
            <w:pPr>
              <w:widowControl/>
              <w:jc w:val="center"/>
              <w:textAlignment w:val="center"/>
              <w:rPr>
                <w:szCs w:val="21"/>
              </w:rPr>
            </w:pPr>
            <w:r>
              <w:rPr>
                <w:kern w:val="0"/>
                <w:szCs w:val="21"/>
                <w:lang w:bidi="ar"/>
              </w:rPr>
              <w:t>2.3941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87EB318">
            <w:pPr>
              <w:widowControl/>
              <w:jc w:val="center"/>
              <w:textAlignment w:val="center"/>
              <w:rPr>
                <w:szCs w:val="21"/>
              </w:rPr>
            </w:pPr>
            <w:r>
              <w:rPr>
                <w:kern w:val="0"/>
                <w:szCs w:val="21"/>
                <w:lang w:bidi="ar"/>
              </w:rPr>
              <w:t>1.2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50DA310">
            <w:pPr>
              <w:widowControl/>
              <w:jc w:val="center"/>
              <w:textAlignment w:val="center"/>
              <w:rPr>
                <w:szCs w:val="21"/>
              </w:rPr>
            </w:pPr>
            <w:r>
              <w:rPr>
                <w:kern w:val="0"/>
                <w:szCs w:val="21"/>
                <w:lang w:bidi="ar"/>
              </w:rPr>
              <w:t>0.203273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F945D6A">
            <w:pPr>
              <w:widowControl/>
              <w:jc w:val="center"/>
              <w:textAlignment w:val="center"/>
              <w:rPr>
                <w:szCs w:val="21"/>
              </w:rPr>
            </w:pPr>
            <w:r>
              <w:rPr>
                <w:kern w:val="0"/>
                <w:szCs w:val="21"/>
                <w:lang w:bidi="ar"/>
              </w:rPr>
              <w:t>2.03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D2540F0">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C97A0BB">
            <w:pPr>
              <w:widowControl/>
              <w:jc w:val="center"/>
              <w:textAlignment w:val="center"/>
              <w:rPr>
                <w:szCs w:val="21"/>
              </w:rPr>
            </w:pPr>
            <w:r>
              <w:rPr>
                <w:kern w:val="0"/>
                <w:szCs w:val="21"/>
                <w:lang w:bidi="ar"/>
              </w:rPr>
              <w:t>2.214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58EF30F">
            <w:pPr>
              <w:widowControl/>
              <w:jc w:val="center"/>
              <w:textAlignment w:val="center"/>
              <w:rPr>
                <w:szCs w:val="21"/>
              </w:rPr>
            </w:pPr>
            <w:r>
              <w:rPr>
                <w:kern w:val="0"/>
                <w:szCs w:val="21"/>
                <w:lang w:bidi="ar"/>
              </w:rPr>
              <w:t>1.11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5BBF6F1">
            <w:pPr>
              <w:widowControl/>
              <w:jc w:val="center"/>
              <w:textAlignment w:val="center"/>
              <w:rPr>
                <w:szCs w:val="21"/>
              </w:rPr>
            </w:pPr>
            <w:r>
              <w:rPr>
                <w:kern w:val="0"/>
                <w:szCs w:val="21"/>
                <w:lang w:bidi="ar"/>
              </w:rPr>
              <w:t>0.203327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CE6D197">
            <w:pPr>
              <w:widowControl/>
              <w:jc w:val="center"/>
              <w:textAlignment w:val="center"/>
              <w:rPr>
                <w:szCs w:val="21"/>
              </w:rPr>
            </w:pPr>
            <w:r>
              <w:rPr>
                <w:kern w:val="0"/>
                <w:szCs w:val="21"/>
                <w:lang w:bidi="ar"/>
              </w:rPr>
              <w:t>2.03</w:t>
            </w:r>
          </w:p>
        </w:tc>
      </w:tr>
      <w:tr w14:paraId="3C72193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F40A21E">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641EE6D">
            <w:pPr>
              <w:widowControl/>
              <w:jc w:val="center"/>
              <w:textAlignment w:val="center"/>
              <w:rPr>
                <w:szCs w:val="21"/>
              </w:rPr>
            </w:pPr>
            <w:r>
              <w:rPr>
                <w:kern w:val="0"/>
                <w:szCs w:val="21"/>
                <w:lang w:bidi="ar"/>
              </w:rPr>
              <w:t>2.1089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8963BE7">
            <w:pPr>
              <w:widowControl/>
              <w:jc w:val="center"/>
              <w:textAlignment w:val="center"/>
              <w:rPr>
                <w:szCs w:val="21"/>
              </w:rPr>
            </w:pPr>
            <w:r>
              <w:rPr>
                <w:kern w:val="0"/>
                <w:szCs w:val="21"/>
                <w:lang w:bidi="ar"/>
              </w:rPr>
              <w:t>1.05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A2EA10B">
            <w:pPr>
              <w:widowControl/>
              <w:jc w:val="center"/>
              <w:textAlignment w:val="center"/>
              <w:rPr>
                <w:szCs w:val="21"/>
              </w:rPr>
            </w:pPr>
            <w:r>
              <w:rPr>
                <w:kern w:val="0"/>
                <w:szCs w:val="21"/>
                <w:lang w:bidi="ar"/>
              </w:rPr>
              <w:t>0.179058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6C18C6E">
            <w:pPr>
              <w:widowControl/>
              <w:jc w:val="center"/>
              <w:textAlignment w:val="center"/>
              <w:rPr>
                <w:szCs w:val="21"/>
              </w:rPr>
            </w:pPr>
            <w:r>
              <w:rPr>
                <w:kern w:val="0"/>
                <w:szCs w:val="21"/>
                <w:lang w:bidi="ar"/>
              </w:rPr>
              <w:t>1.79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5E06BED">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9CD1B7D">
            <w:pPr>
              <w:widowControl/>
              <w:jc w:val="center"/>
              <w:textAlignment w:val="center"/>
              <w:rPr>
                <w:szCs w:val="21"/>
              </w:rPr>
            </w:pPr>
            <w:r>
              <w:rPr>
                <w:kern w:val="0"/>
                <w:szCs w:val="21"/>
                <w:lang w:bidi="ar"/>
              </w:rPr>
              <w:t>2.1092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22CA5BD">
            <w:pPr>
              <w:widowControl/>
              <w:jc w:val="center"/>
              <w:textAlignment w:val="center"/>
              <w:rPr>
                <w:szCs w:val="21"/>
              </w:rPr>
            </w:pPr>
            <w:r>
              <w:rPr>
                <w:kern w:val="0"/>
                <w:szCs w:val="21"/>
                <w:lang w:bidi="ar"/>
              </w:rPr>
              <w:t>1.05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D6C6BC0">
            <w:pPr>
              <w:widowControl/>
              <w:jc w:val="center"/>
              <w:textAlignment w:val="center"/>
              <w:rPr>
                <w:szCs w:val="21"/>
              </w:rPr>
            </w:pPr>
            <w:r>
              <w:rPr>
                <w:kern w:val="0"/>
                <w:szCs w:val="21"/>
                <w:lang w:bidi="ar"/>
              </w:rPr>
              <w:t>0.179083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AE34DFD">
            <w:pPr>
              <w:widowControl/>
              <w:jc w:val="center"/>
              <w:textAlignment w:val="center"/>
              <w:rPr>
                <w:szCs w:val="21"/>
              </w:rPr>
            </w:pPr>
            <w:r>
              <w:rPr>
                <w:kern w:val="0"/>
                <w:szCs w:val="21"/>
                <w:lang w:bidi="ar"/>
              </w:rPr>
              <w:t>1.79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0FDEEB0">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7D51969">
            <w:pPr>
              <w:widowControl/>
              <w:jc w:val="center"/>
              <w:textAlignment w:val="center"/>
              <w:rPr>
                <w:szCs w:val="21"/>
              </w:rPr>
            </w:pPr>
            <w:r>
              <w:rPr>
                <w:kern w:val="0"/>
                <w:szCs w:val="21"/>
                <w:lang w:bidi="ar"/>
              </w:rPr>
              <w:t>1.9505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475DC5D">
            <w:pPr>
              <w:widowControl/>
              <w:jc w:val="center"/>
              <w:textAlignment w:val="center"/>
              <w:rPr>
                <w:szCs w:val="21"/>
              </w:rPr>
            </w:pPr>
            <w:r>
              <w:rPr>
                <w:kern w:val="0"/>
                <w:szCs w:val="21"/>
                <w:lang w:bidi="ar"/>
              </w:rPr>
              <w:t>0.98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4AED070">
            <w:pPr>
              <w:widowControl/>
              <w:jc w:val="center"/>
              <w:textAlignment w:val="center"/>
              <w:rPr>
                <w:szCs w:val="21"/>
              </w:rPr>
            </w:pPr>
            <w:r>
              <w:rPr>
                <w:kern w:val="0"/>
                <w:szCs w:val="21"/>
                <w:lang w:bidi="ar"/>
              </w:rPr>
              <w:t>0.179128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E725688">
            <w:pPr>
              <w:widowControl/>
              <w:jc w:val="center"/>
              <w:textAlignment w:val="center"/>
              <w:rPr>
                <w:szCs w:val="21"/>
              </w:rPr>
            </w:pPr>
            <w:r>
              <w:rPr>
                <w:kern w:val="0"/>
                <w:szCs w:val="21"/>
                <w:lang w:bidi="ar"/>
              </w:rPr>
              <w:t>1.79</w:t>
            </w:r>
          </w:p>
        </w:tc>
      </w:tr>
      <w:tr w14:paraId="1F11EE0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AE3B304">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5563A21">
            <w:pPr>
              <w:widowControl/>
              <w:jc w:val="center"/>
              <w:textAlignment w:val="center"/>
              <w:rPr>
                <w:szCs w:val="21"/>
              </w:rPr>
            </w:pPr>
            <w:r>
              <w:rPr>
                <w:kern w:val="0"/>
                <w:szCs w:val="21"/>
                <w:lang w:bidi="ar"/>
              </w:rPr>
              <w:t>1.8797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DA8E2B0">
            <w:pPr>
              <w:widowControl/>
              <w:jc w:val="center"/>
              <w:textAlignment w:val="center"/>
              <w:rPr>
                <w:szCs w:val="21"/>
              </w:rPr>
            </w:pPr>
            <w:r>
              <w:rPr>
                <w:kern w:val="0"/>
                <w:szCs w:val="21"/>
                <w:lang w:bidi="ar"/>
              </w:rPr>
              <w:t>0.94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25D4FA8">
            <w:pPr>
              <w:widowControl/>
              <w:jc w:val="center"/>
              <w:textAlignment w:val="center"/>
              <w:rPr>
                <w:szCs w:val="21"/>
              </w:rPr>
            </w:pPr>
            <w:r>
              <w:rPr>
                <w:kern w:val="0"/>
                <w:szCs w:val="21"/>
                <w:lang w:bidi="ar"/>
              </w:rPr>
              <w:t>0.159597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4A8AB36">
            <w:pPr>
              <w:widowControl/>
              <w:jc w:val="center"/>
              <w:textAlignment w:val="center"/>
              <w:rPr>
                <w:szCs w:val="21"/>
              </w:rPr>
            </w:pPr>
            <w:r>
              <w:rPr>
                <w:kern w:val="0"/>
                <w:szCs w:val="21"/>
                <w:lang w:bidi="ar"/>
              </w:rPr>
              <w:t>1.6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63DA008">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C57DCC1">
            <w:pPr>
              <w:widowControl/>
              <w:jc w:val="center"/>
              <w:textAlignment w:val="center"/>
              <w:rPr>
                <w:szCs w:val="21"/>
              </w:rPr>
            </w:pPr>
            <w:r>
              <w:rPr>
                <w:kern w:val="0"/>
                <w:szCs w:val="21"/>
                <w:lang w:bidi="ar"/>
              </w:rPr>
              <w:t>1.8799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94421B9">
            <w:pPr>
              <w:widowControl/>
              <w:jc w:val="center"/>
              <w:textAlignment w:val="center"/>
              <w:rPr>
                <w:szCs w:val="21"/>
              </w:rPr>
            </w:pPr>
            <w:r>
              <w:rPr>
                <w:kern w:val="0"/>
                <w:szCs w:val="21"/>
                <w:lang w:bidi="ar"/>
              </w:rPr>
              <w:t>0.94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64149AC">
            <w:pPr>
              <w:widowControl/>
              <w:jc w:val="center"/>
              <w:textAlignment w:val="center"/>
              <w:rPr>
                <w:szCs w:val="21"/>
              </w:rPr>
            </w:pPr>
            <w:r>
              <w:rPr>
                <w:kern w:val="0"/>
                <w:szCs w:val="21"/>
                <w:lang w:bidi="ar"/>
              </w:rPr>
              <w:t>0.159614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95BFC72">
            <w:pPr>
              <w:widowControl/>
              <w:jc w:val="center"/>
              <w:textAlignment w:val="center"/>
              <w:rPr>
                <w:szCs w:val="21"/>
              </w:rPr>
            </w:pPr>
            <w:r>
              <w:rPr>
                <w:kern w:val="0"/>
                <w:szCs w:val="21"/>
                <w:lang w:bidi="ar"/>
              </w:rPr>
              <w:t>1.6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28B940D">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1D57FB6">
            <w:pPr>
              <w:widowControl/>
              <w:jc w:val="center"/>
              <w:textAlignment w:val="center"/>
              <w:rPr>
                <w:szCs w:val="21"/>
              </w:rPr>
            </w:pPr>
            <w:r>
              <w:rPr>
                <w:kern w:val="0"/>
                <w:szCs w:val="21"/>
                <w:lang w:bidi="ar"/>
              </w:rPr>
              <w:t>1.7386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25D83E2">
            <w:pPr>
              <w:widowControl/>
              <w:jc w:val="center"/>
              <w:textAlignment w:val="center"/>
              <w:rPr>
                <w:szCs w:val="21"/>
              </w:rPr>
            </w:pPr>
            <w:r>
              <w:rPr>
                <w:kern w:val="0"/>
                <w:szCs w:val="21"/>
                <w:lang w:bidi="ar"/>
              </w:rPr>
              <w:t>0.87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2448DF8">
            <w:pPr>
              <w:widowControl/>
              <w:jc w:val="center"/>
              <w:textAlignment w:val="center"/>
              <w:rPr>
                <w:szCs w:val="21"/>
              </w:rPr>
            </w:pPr>
            <w:r>
              <w:rPr>
                <w:kern w:val="0"/>
                <w:szCs w:val="21"/>
                <w:lang w:bidi="ar"/>
              </w:rPr>
              <w:t>0.159667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9B939B4">
            <w:pPr>
              <w:widowControl/>
              <w:jc w:val="center"/>
              <w:textAlignment w:val="center"/>
              <w:rPr>
                <w:szCs w:val="21"/>
              </w:rPr>
            </w:pPr>
            <w:r>
              <w:rPr>
                <w:kern w:val="0"/>
                <w:szCs w:val="21"/>
                <w:lang w:bidi="ar"/>
              </w:rPr>
              <w:t>1.6</w:t>
            </w:r>
          </w:p>
        </w:tc>
      </w:tr>
      <w:tr w14:paraId="642DA3C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318C0C6">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D38019F">
            <w:pPr>
              <w:widowControl/>
              <w:jc w:val="center"/>
              <w:textAlignment w:val="center"/>
              <w:rPr>
                <w:szCs w:val="21"/>
              </w:rPr>
            </w:pPr>
            <w:r>
              <w:rPr>
                <w:kern w:val="0"/>
                <w:szCs w:val="21"/>
                <w:lang w:bidi="ar"/>
              </w:rPr>
              <w:t>1.6916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75D54BC">
            <w:pPr>
              <w:widowControl/>
              <w:jc w:val="center"/>
              <w:textAlignment w:val="center"/>
              <w:rPr>
                <w:szCs w:val="21"/>
              </w:rPr>
            </w:pPr>
            <w:r>
              <w:rPr>
                <w:kern w:val="0"/>
                <w:szCs w:val="21"/>
                <w:lang w:bidi="ar"/>
              </w:rPr>
              <w:t>0.85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AEF297A">
            <w:pPr>
              <w:widowControl/>
              <w:jc w:val="center"/>
              <w:textAlignment w:val="center"/>
              <w:rPr>
                <w:szCs w:val="21"/>
              </w:rPr>
            </w:pPr>
            <w:r>
              <w:rPr>
                <w:kern w:val="0"/>
                <w:szCs w:val="21"/>
                <w:lang w:bidi="ar"/>
              </w:rPr>
              <w:t>0.143626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C0845EC">
            <w:pPr>
              <w:widowControl/>
              <w:jc w:val="center"/>
              <w:textAlignment w:val="center"/>
              <w:rPr>
                <w:szCs w:val="21"/>
              </w:rPr>
            </w:pPr>
            <w:r>
              <w:rPr>
                <w:kern w:val="0"/>
                <w:szCs w:val="21"/>
                <w:lang w:bidi="ar"/>
              </w:rPr>
              <w:t>1.44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3A878CB">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031F7AC">
            <w:pPr>
              <w:widowControl/>
              <w:jc w:val="center"/>
              <w:textAlignment w:val="center"/>
              <w:rPr>
                <w:szCs w:val="21"/>
              </w:rPr>
            </w:pPr>
            <w:r>
              <w:rPr>
                <w:kern w:val="0"/>
                <w:szCs w:val="21"/>
                <w:lang w:bidi="ar"/>
              </w:rPr>
              <w:t>1.6918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029C4D9">
            <w:pPr>
              <w:widowControl/>
              <w:jc w:val="center"/>
              <w:textAlignment w:val="center"/>
              <w:rPr>
                <w:szCs w:val="21"/>
              </w:rPr>
            </w:pPr>
            <w:r>
              <w:rPr>
                <w:kern w:val="0"/>
                <w:szCs w:val="21"/>
                <w:lang w:bidi="ar"/>
              </w:rPr>
              <w:t>0.85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AE0BCAA">
            <w:pPr>
              <w:widowControl/>
              <w:jc w:val="center"/>
              <w:textAlignment w:val="center"/>
              <w:rPr>
                <w:szCs w:val="21"/>
              </w:rPr>
            </w:pPr>
            <w:r>
              <w:rPr>
                <w:kern w:val="0"/>
                <w:szCs w:val="21"/>
                <w:lang w:bidi="ar"/>
              </w:rPr>
              <w:t>0.143643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37FE540">
            <w:pPr>
              <w:widowControl/>
              <w:jc w:val="center"/>
              <w:textAlignment w:val="center"/>
              <w:rPr>
                <w:szCs w:val="21"/>
              </w:rPr>
            </w:pPr>
            <w:r>
              <w:rPr>
                <w:kern w:val="0"/>
                <w:szCs w:val="21"/>
                <w:lang w:bidi="ar"/>
              </w:rPr>
              <w:t>1.44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A3E3436">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06819E4">
            <w:pPr>
              <w:widowControl/>
              <w:jc w:val="center"/>
              <w:textAlignment w:val="center"/>
              <w:rPr>
                <w:szCs w:val="21"/>
              </w:rPr>
            </w:pPr>
            <w:r>
              <w:rPr>
                <w:kern w:val="0"/>
                <w:szCs w:val="21"/>
                <w:lang w:bidi="ar"/>
              </w:rPr>
              <w:t>1.5647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8102D63">
            <w:pPr>
              <w:widowControl/>
              <w:jc w:val="center"/>
              <w:textAlignment w:val="center"/>
              <w:rPr>
                <w:szCs w:val="21"/>
              </w:rPr>
            </w:pPr>
            <w:r>
              <w:rPr>
                <w:kern w:val="0"/>
                <w:szCs w:val="21"/>
                <w:lang w:bidi="ar"/>
              </w:rPr>
              <w:t>0.78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22B42C1">
            <w:pPr>
              <w:widowControl/>
              <w:jc w:val="center"/>
              <w:textAlignment w:val="center"/>
              <w:rPr>
                <w:szCs w:val="21"/>
              </w:rPr>
            </w:pPr>
            <w:r>
              <w:rPr>
                <w:kern w:val="0"/>
                <w:szCs w:val="21"/>
                <w:lang w:bidi="ar"/>
              </w:rPr>
              <w:t>0.143697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2C9538F">
            <w:pPr>
              <w:widowControl/>
              <w:jc w:val="center"/>
              <w:textAlignment w:val="center"/>
              <w:rPr>
                <w:szCs w:val="21"/>
              </w:rPr>
            </w:pPr>
            <w:r>
              <w:rPr>
                <w:kern w:val="0"/>
                <w:szCs w:val="21"/>
                <w:lang w:bidi="ar"/>
              </w:rPr>
              <w:t>1.44</w:t>
            </w:r>
          </w:p>
        </w:tc>
      </w:tr>
      <w:tr w14:paraId="2B76765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9BB7182">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C9E669D">
            <w:pPr>
              <w:widowControl/>
              <w:jc w:val="center"/>
              <w:textAlignment w:val="center"/>
              <w:rPr>
                <w:szCs w:val="21"/>
              </w:rPr>
            </w:pPr>
            <w:r>
              <w:rPr>
                <w:kern w:val="0"/>
                <w:szCs w:val="21"/>
                <w:lang w:bidi="ar"/>
              </w:rPr>
              <w:t>1.5348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CAC6979">
            <w:pPr>
              <w:widowControl/>
              <w:jc w:val="center"/>
              <w:textAlignment w:val="center"/>
              <w:rPr>
                <w:szCs w:val="21"/>
              </w:rPr>
            </w:pPr>
            <w:r>
              <w:rPr>
                <w:kern w:val="0"/>
                <w:szCs w:val="21"/>
                <w:lang w:bidi="ar"/>
              </w:rPr>
              <w:t>0.77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3A4FDBD">
            <w:pPr>
              <w:widowControl/>
              <w:jc w:val="center"/>
              <w:textAlignment w:val="center"/>
              <w:rPr>
                <w:szCs w:val="21"/>
              </w:rPr>
            </w:pPr>
            <w:r>
              <w:rPr>
                <w:kern w:val="0"/>
                <w:szCs w:val="21"/>
                <w:lang w:bidi="ar"/>
              </w:rPr>
              <w:t>0.130313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4D41613">
            <w:pPr>
              <w:widowControl/>
              <w:jc w:val="center"/>
              <w:textAlignment w:val="center"/>
              <w:rPr>
                <w:szCs w:val="21"/>
              </w:rPr>
            </w:pPr>
            <w:r>
              <w:rPr>
                <w:kern w:val="0"/>
                <w:szCs w:val="21"/>
                <w:lang w:bidi="ar"/>
              </w:rPr>
              <w:t>1.3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533690C">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3423591">
            <w:pPr>
              <w:widowControl/>
              <w:jc w:val="center"/>
              <w:textAlignment w:val="center"/>
              <w:rPr>
                <w:szCs w:val="21"/>
              </w:rPr>
            </w:pPr>
            <w:r>
              <w:rPr>
                <w:kern w:val="0"/>
                <w:szCs w:val="21"/>
                <w:lang w:bidi="ar"/>
              </w:rPr>
              <w:t>1.535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128E510">
            <w:pPr>
              <w:widowControl/>
              <w:jc w:val="center"/>
              <w:textAlignment w:val="center"/>
              <w:rPr>
                <w:szCs w:val="21"/>
              </w:rPr>
            </w:pPr>
            <w:r>
              <w:rPr>
                <w:kern w:val="0"/>
                <w:szCs w:val="21"/>
                <w:lang w:bidi="ar"/>
              </w:rPr>
              <w:t>0.77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CF8FDB9">
            <w:pPr>
              <w:widowControl/>
              <w:jc w:val="center"/>
              <w:textAlignment w:val="center"/>
              <w:rPr>
                <w:szCs w:val="21"/>
              </w:rPr>
            </w:pPr>
            <w:r>
              <w:rPr>
                <w:kern w:val="0"/>
                <w:szCs w:val="21"/>
                <w:lang w:bidi="ar"/>
              </w:rPr>
              <w:t>0.13033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7C334F5">
            <w:pPr>
              <w:widowControl/>
              <w:jc w:val="center"/>
              <w:textAlignment w:val="center"/>
              <w:rPr>
                <w:szCs w:val="21"/>
              </w:rPr>
            </w:pPr>
            <w:r>
              <w:rPr>
                <w:kern w:val="0"/>
                <w:szCs w:val="21"/>
                <w:lang w:bidi="ar"/>
              </w:rPr>
              <w:t>1.3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8333BDD">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3CF2786">
            <w:pPr>
              <w:widowControl/>
              <w:jc w:val="center"/>
              <w:textAlignment w:val="center"/>
              <w:rPr>
                <w:szCs w:val="21"/>
              </w:rPr>
            </w:pPr>
            <w:r>
              <w:rPr>
                <w:kern w:val="0"/>
                <w:szCs w:val="21"/>
                <w:lang w:bidi="ar"/>
              </w:rPr>
              <w:t>1.4197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D0EDF2D">
            <w:pPr>
              <w:widowControl/>
              <w:jc w:val="center"/>
              <w:textAlignment w:val="center"/>
              <w:rPr>
                <w:szCs w:val="21"/>
              </w:rPr>
            </w:pPr>
            <w:r>
              <w:rPr>
                <w:kern w:val="0"/>
                <w:szCs w:val="21"/>
                <w:lang w:bidi="ar"/>
              </w:rPr>
              <w:t>0.71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9096BBD">
            <w:pPr>
              <w:widowControl/>
              <w:jc w:val="center"/>
              <w:textAlignment w:val="center"/>
              <w:rPr>
                <w:szCs w:val="21"/>
              </w:rPr>
            </w:pPr>
            <w:r>
              <w:rPr>
                <w:kern w:val="0"/>
                <w:szCs w:val="21"/>
                <w:lang w:bidi="ar"/>
              </w:rPr>
              <w:t>0.130381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7790F71">
            <w:pPr>
              <w:widowControl/>
              <w:jc w:val="center"/>
              <w:textAlignment w:val="center"/>
              <w:rPr>
                <w:szCs w:val="21"/>
              </w:rPr>
            </w:pPr>
            <w:r>
              <w:rPr>
                <w:kern w:val="0"/>
                <w:szCs w:val="21"/>
                <w:lang w:bidi="ar"/>
              </w:rPr>
              <w:t>1.3</w:t>
            </w:r>
          </w:p>
        </w:tc>
      </w:tr>
      <w:tr w14:paraId="3611D2E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C700995">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7AB2548">
            <w:pPr>
              <w:widowControl/>
              <w:jc w:val="center"/>
              <w:textAlignment w:val="center"/>
              <w:rPr>
                <w:szCs w:val="21"/>
              </w:rPr>
            </w:pPr>
            <w:r>
              <w:rPr>
                <w:kern w:val="0"/>
                <w:szCs w:val="21"/>
                <w:lang w:bidi="ar"/>
              </w:rPr>
              <w:t>1.4023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C0FA273">
            <w:pPr>
              <w:widowControl/>
              <w:jc w:val="center"/>
              <w:textAlignment w:val="center"/>
              <w:rPr>
                <w:szCs w:val="21"/>
              </w:rPr>
            </w:pPr>
            <w:r>
              <w:rPr>
                <w:kern w:val="0"/>
                <w:szCs w:val="21"/>
                <w:lang w:bidi="ar"/>
              </w:rPr>
              <w:t>0.7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70773CD">
            <w:pPr>
              <w:widowControl/>
              <w:jc w:val="center"/>
              <w:textAlignment w:val="center"/>
              <w:rPr>
                <w:szCs w:val="21"/>
              </w:rPr>
            </w:pPr>
            <w:r>
              <w:rPr>
                <w:kern w:val="0"/>
                <w:szCs w:val="21"/>
                <w:lang w:bidi="ar"/>
              </w:rPr>
              <w:t>0.119063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6731E91">
            <w:pPr>
              <w:widowControl/>
              <w:jc w:val="center"/>
              <w:textAlignment w:val="center"/>
              <w:rPr>
                <w:szCs w:val="21"/>
              </w:rPr>
            </w:pPr>
            <w:r>
              <w:rPr>
                <w:kern w:val="0"/>
                <w:szCs w:val="21"/>
                <w:lang w:bidi="ar"/>
              </w:rPr>
              <w:t>1.19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D02E14B">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8C460D9">
            <w:pPr>
              <w:widowControl/>
              <w:jc w:val="center"/>
              <w:textAlignment w:val="center"/>
              <w:rPr>
                <w:szCs w:val="21"/>
              </w:rPr>
            </w:pPr>
            <w:r>
              <w:rPr>
                <w:kern w:val="0"/>
                <w:szCs w:val="21"/>
                <w:lang w:bidi="ar"/>
              </w:rPr>
              <w:t>1.4025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2A1EF37">
            <w:pPr>
              <w:widowControl/>
              <w:jc w:val="center"/>
              <w:textAlignment w:val="center"/>
              <w:rPr>
                <w:szCs w:val="21"/>
              </w:rPr>
            </w:pPr>
            <w:r>
              <w:rPr>
                <w:kern w:val="0"/>
                <w:szCs w:val="21"/>
                <w:lang w:bidi="ar"/>
              </w:rPr>
              <w:t>0.7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7C736A0">
            <w:pPr>
              <w:widowControl/>
              <w:jc w:val="center"/>
              <w:textAlignment w:val="center"/>
              <w:rPr>
                <w:szCs w:val="21"/>
              </w:rPr>
            </w:pPr>
            <w:r>
              <w:rPr>
                <w:kern w:val="0"/>
                <w:szCs w:val="21"/>
                <w:lang w:bidi="ar"/>
              </w:rPr>
              <w:t>0.11908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73082A6">
            <w:pPr>
              <w:widowControl/>
              <w:jc w:val="center"/>
              <w:textAlignment w:val="center"/>
              <w:rPr>
                <w:szCs w:val="21"/>
              </w:rPr>
            </w:pPr>
            <w:r>
              <w:rPr>
                <w:kern w:val="0"/>
                <w:szCs w:val="21"/>
                <w:lang w:bidi="ar"/>
              </w:rPr>
              <w:t>1.19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43811AC">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81592E2">
            <w:pPr>
              <w:widowControl/>
              <w:jc w:val="center"/>
              <w:textAlignment w:val="center"/>
              <w:rPr>
                <w:szCs w:val="21"/>
              </w:rPr>
            </w:pPr>
            <w:r>
              <w:rPr>
                <w:kern w:val="0"/>
                <w:szCs w:val="21"/>
                <w:lang w:bidi="ar"/>
              </w:rPr>
              <w:t>1.2972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9FF9015">
            <w:pPr>
              <w:widowControl/>
              <w:jc w:val="center"/>
              <w:textAlignment w:val="center"/>
              <w:rPr>
                <w:szCs w:val="21"/>
              </w:rPr>
            </w:pPr>
            <w:r>
              <w:rPr>
                <w:kern w:val="0"/>
                <w:szCs w:val="21"/>
                <w:lang w:bidi="ar"/>
              </w:rPr>
              <w:t>0.65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0A186E3">
            <w:pPr>
              <w:widowControl/>
              <w:jc w:val="center"/>
              <w:textAlignment w:val="center"/>
              <w:rPr>
                <w:szCs w:val="21"/>
              </w:rPr>
            </w:pPr>
            <w:r>
              <w:rPr>
                <w:kern w:val="0"/>
                <w:szCs w:val="21"/>
                <w:lang w:bidi="ar"/>
              </w:rPr>
              <w:t>0.119131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9582EEB">
            <w:pPr>
              <w:widowControl/>
              <w:jc w:val="center"/>
              <w:textAlignment w:val="center"/>
              <w:rPr>
                <w:szCs w:val="21"/>
              </w:rPr>
            </w:pPr>
            <w:r>
              <w:rPr>
                <w:kern w:val="0"/>
                <w:szCs w:val="21"/>
                <w:lang w:bidi="ar"/>
              </w:rPr>
              <w:t>1.19</w:t>
            </w:r>
          </w:p>
        </w:tc>
      </w:tr>
      <w:tr w14:paraId="549DBD9D">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5F4849A">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B4BE689">
            <w:pPr>
              <w:widowControl/>
              <w:jc w:val="center"/>
              <w:textAlignment w:val="center"/>
              <w:rPr>
                <w:szCs w:val="21"/>
              </w:rPr>
            </w:pPr>
            <w:r>
              <w:rPr>
                <w:kern w:val="0"/>
                <w:szCs w:val="21"/>
                <w:lang w:bidi="ar"/>
              </w:rPr>
              <w:t>1.2944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4920DB0">
            <w:pPr>
              <w:widowControl/>
              <w:jc w:val="center"/>
              <w:textAlignment w:val="center"/>
              <w:rPr>
                <w:szCs w:val="21"/>
              </w:rPr>
            </w:pPr>
            <w:r>
              <w:rPr>
                <w:kern w:val="0"/>
                <w:szCs w:val="21"/>
                <w:lang w:bidi="ar"/>
              </w:rPr>
              <w:t>0.65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D9DF207">
            <w:pPr>
              <w:widowControl/>
              <w:jc w:val="center"/>
              <w:textAlignment w:val="center"/>
              <w:rPr>
                <w:szCs w:val="21"/>
              </w:rPr>
            </w:pPr>
            <w:r>
              <w:rPr>
                <w:kern w:val="0"/>
                <w:szCs w:val="21"/>
                <w:lang w:bidi="ar"/>
              </w:rPr>
              <w:t>0.109902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1F90A6D">
            <w:pPr>
              <w:widowControl/>
              <w:jc w:val="center"/>
              <w:textAlignment w:val="center"/>
              <w:rPr>
                <w:szCs w:val="21"/>
              </w:rPr>
            </w:pPr>
            <w:r>
              <w:rPr>
                <w:kern w:val="0"/>
                <w:szCs w:val="21"/>
                <w:lang w:bidi="ar"/>
              </w:rPr>
              <w:t>1.1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82D2044">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89E50F0">
            <w:pPr>
              <w:widowControl/>
              <w:jc w:val="center"/>
              <w:textAlignment w:val="center"/>
              <w:rPr>
                <w:szCs w:val="21"/>
              </w:rPr>
            </w:pPr>
            <w:r>
              <w:rPr>
                <w:kern w:val="0"/>
                <w:szCs w:val="21"/>
                <w:lang w:bidi="ar"/>
              </w:rPr>
              <w:t>1.2946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79DBBD1">
            <w:pPr>
              <w:widowControl/>
              <w:jc w:val="center"/>
              <w:textAlignment w:val="center"/>
              <w:rPr>
                <w:szCs w:val="21"/>
              </w:rPr>
            </w:pPr>
            <w:r>
              <w:rPr>
                <w:kern w:val="0"/>
                <w:szCs w:val="21"/>
                <w:lang w:bidi="ar"/>
              </w:rPr>
              <w:t>0.65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15B4F6A">
            <w:pPr>
              <w:widowControl/>
              <w:jc w:val="center"/>
              <w:textAlignment w:val="center"/>
              <w:rPr>
                <w:szCs w:val="21"/>
              </w:rPr>
            </w:pPr>
            <w:r>
              <w:rPr>
                <w:kern w:val="0"/>
                <w:szCs w:val="21"/>
                <w:lang w:bidi="ar"/>
              </w:rPr>
              <w:t>0.109919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00B9F38">
            <w:pPr>
              <w:widowControl/>
              <w:jc w:val="center"/>
              <w:textAlignment w:val="center"/>
              <w:rPr>
                <w:szCs w:val="21"/>
              </w:rPr>
            </w:pPr>
            <w:r>
              <w:rPr>
                <w:kern w:val="0"/>
                <w:szCs w:val="21"/>
                <w:lang w:bidi="ar"/>
              </w:rPr>
              <w:t>1.1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0C8A0F5">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AA88EEB">
            <w:pPr>
              <w:widowControl/>
              <w:jc w:val="center"/>
              <w:textAlignment w:val="center"/>
              <w:rPr>
                <w:szCs w:val="21"/>
              </w:rPr>
            </w:pPr>
            <w:r>
              <w:rPr>
                <w:kern w:val="0"/>
                <w:szCs w:val="21"/>
                <w:lang w:bidi="ar"/>
              </w:rPr>
              <w:t>1.1973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666F3F5">
            <w:pPr>
              <w:widowControl/>
              <w:jc w:val="center"/>
              <w:textAlignment w:val="center"/>
              <w:rPr>
                <w:szCs w:val="21"/>
              </w:rPr>
            </w:pPr>
            <w:r>
              <w:rPr>
                <w:kern w:val="0"/>
                <w:szCs w:val="21"/>
                <w:lang w:bidi="ar"/>
              </w:rPr>
              <w:t>0.6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00EFCE8">
            <w:pPr>
              <w:widowControl/>
              <w:jc w:val="center"/>
              <w:textAlignment w:val="center"/>
              <w:rPr>
                <w:szCs w:val="21"/>
              </w:rPr>
            </w:pPr>
            <w:r>
              <w:rPr>
                <w:kern w:val="0"/>
                <w:szCs w:val="21"/>
                <w:lang w:bidi="ar"/>
              </w:rPr>
              <w:t>0.109956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36398E0">
            <w:pPr>
              <w:widowControl/>
              <w:jc w:val="center"/>
              <w:textAlignment w:val="center"/>
              <w:rPr>
                <w:szCs w:val="21"/>
              </w:rPr>
            </w:pPr>
            <w:r>
              <w:rPr>
                <w:kern w:val="0"/>
                <w:szCs w:val="21"/>
                <w:lang w:bidi="ar"/>
              </w:rPr>
              <w:t>1.1</w:t>
            </w:r>
          </w:p>
        </w:tc>
      </w:tr>
      <w:tr w14:paraId="76127E1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CA9C102">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6440B50">
            <w:pPr>
              <w:widowControl/>
              <w:jc w:val="center"/>
              <w:textAlignment w:val="center"/>
              <w:rPr>
                <w:szCs w:val="21"/>
              </w:rPr>
            </w:pPr>
            <w:r>
              <w:rPr>
                <w:kern w:val="0"/>
                <w:szCs w:val="21"/>
                <w:lang w:bidi="ar"/>
              </w:rPr>
              <w:t>1.2054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E1F6AC3">
            <w:pPr>
              <w:widowControl/>
              <w:jc w:val="center"/>
              <w:textAlignment w:val="center"/>
              <w:rPr>
                <w:szCs w:val="21"/>
              </w:rPr>
            </w:pPr>
            <w:r>
              <w:rPr>
                <w:kern w:val="0"/>
                <w:szCs w:val="21"/>
                <w:lang w:bidi="ar"/>
              </w:rPr>
              <w:t>0.6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BD78E7C">
            <w:pPr>
              <w:widowControl/>
              <w:jc w:val="center"/>
              <w:textAlignment w:val="center"/>
              <w:rPr>
                <w:szCs w:val="21"/>
              </w:rPr>
            </w:pPr>
            <w:r>
              <w:rPr>
                <w:kern w:val="0"/>
                <w:szCs w:val="21"/>
                <w:lang w:bidi="ar"/>
              </w:rPr>
              <w:t>0.102345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9559CE6">
            <w:pPr>
              <w:widowControl/>
              <w:jc w:val="center"/>
              <w:textAlignment w:val="center"/>
              <w:rPr>
                <w:szCs w:val="21"/>
              </w:rPr>
            </w:pPr>
            <w:r>
              <w:rPr>
                <w:kern w:val="0"/>
                <w:szCs w:val="21"/>
                <w:lang w:bidi="ar"/>
              </w:rPr>
              <w:t>1.02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068EBD8">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8DA3C6F">
            <w:pPr>
              <w:widowControl/>
              <w:jc w:val="center"/>
              <w:textAlignment w:val="center"/>
              <w:rPr>
                <w:szCs w:val="21"/>
              </w:rPr>
            </w:pPr>
            <w:r>
              <w:rPr>
                <w:kern w:val="0"/>
                <w:szCs w:val="21"/>
                <w:lang w:bidi="ar"/>
              </w:rPr>
              <w:t>1.2055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C1F084A">
            <w:pPr>
              <w:widowControl/>
              <w:jc w:val="center"/>
              <w:textAlignment w:val="center"/>
              <w:rPr>
                <w:szCs w:val="21"/>
              </w:rPr>
            </w:pPr>
            <w:r>
              <w:rPr>
                <w:kern w:val="0"/>
                <w:szCs w:val="21"/>
                <w:lang w:bidi="ar"/>
              </w:rPr>
              <w:t>0.6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3CEA5AE">
            <w:pPr>
              <w:widowControl/>
              <w:jc w:val="center"/>
              <w:textAlignment w:val="center"/>
              <w:rPr>
                <w:szCs w:val="21"/>
              </w:rPr>
            </w:pPr>
            <w:r>
              <w:rPr>
                <w:kern w:val="0"/>
                <w:szCs w:val="21"/>
                <w:lang w:bidi="ar"/>
              </w:rPr>
              <w:t>0.102354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47CA470">
            <w:pPr>
              <w:widowControl/>
              <w:jc w:val="center"/>
              <w:textAlignment w:val="center"/>
              <w:rPr>
                <w:szCs w:val="21"/>
              </w:rPr>
            </w:pPr>
            <w:r>
              <w:rPr>
                <w:kern w:val="0"/>
                <w:szCs w:val="21"/>
                <w:lang w:bidi="ar"/>
              </w:rPr>
              <w:t>1.02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0ECCE0E">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687070D">
            <w:pPr>
              <w:widowControl/>
              <w:jc w:val="center"/>
              <w:textAlignment w:val="center"/>
              <w:rPr>
                <w:szCs w:val="21"/>
              </w:rPr>
            </w:pPr>
            <w:r>
              <w:rPr>
                <w:kern w:val="0"/>
                <w:szCs w:val="21"/>
                <w:lang w:bidi="ar"/>
              </w:rPr>
              <w:t>1.115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6CF3CE9">
            <w:pPr>
              <w:widowControl/>
              <w:jc w:val="center"/>
              <w:textAlignment w:val="center"/>
              <w:rPr>
                <w:szCs w:val="21"/>
              </w:rPr>
            </w:pPr>
            <w:r>
              <w:rPr>
                <w:kern w:val="0"/>
                <w:szCs w:val="21"/>
                <w:lang w:bidi="ar"/>
              </w:rPr>
              <w:t>0.56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24591EE">
            <w:pPr>
              <w:widowControl/>
              <w:jc w:val="center"/>
              <w:textAlignment w:val="center"/>
              <w:rPr>
                <w:szCs w:val="21"/>
              </w:rPr>
            </w:pPr>
            <w:r>
              <w:rPr>
                <w:kern w:val="0"/>
                <w:szCs w:val="21"/>
                <w:lang w:bidi="ar"/>
              </w:rPr>
              <w:t>0.102398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62ABE44">
            <w:pPr>
              <w:widowControl/>
              <w:jc w:val="center"/>
              <w:textAlignment w:val="center"/>
              <w:rPr>
                <w:szCs w:val="21"/>
              </w:rPr>
            </w:pPr>
            <w:r>
              <w:rPr>
                <w:kern w:val="0"/>
                <w:szCs w:val="21"/>
                <w:lang w:bidi="ar"/>
              </w:rPr>
              <w:t>1.02</w:t>
            </w:r>
          </w:p>
        </w:tc>
      </w:tr>
      <w:tr w14:paraId="71D4D40D">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4479ABD">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75E1A7C">
            <w:pPr>
              <w:widowControl/>
              <w:jc w:val="center"/>
              <w:textAlignment w:val="center"/>
              <w:rPr>
                <w:szCs w:val="21"/>
              </w:rPr>
            </w:pPr>
            <w:r>
              <w:rPr>
                <w:kern w:val="0"/>
                <w:szCs w:val="21"/>
                <w:lang w:bidi="ar"/>
              </w:rPr>
              <w:t>1.0925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8603E2A">
            <w:pPr>
              <w:widowControl/>
              <w:jc w:val="center"/>
              <w:textAlignment w:val="center"/>
              <w:rPr>
                <w:szCs w:val="21"/>
              </w:rPr>
            </w:pPr>
            <w:r>
              <w:rPr>
                <w:kern w:val="0"/>
                <w:szCs w:val="21"/>
                <w:lang w:bidi="ar"/>
              </w:rPr>
              <w:t>0.55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2E25F41">
            <w:pPr>
              <w:widowControl/>
              <w:jc w:val="center"/>
              <w:textAlignment w:val="center"/>
              <w:rPr>
                <w:szCs w:val="21"/>
              </w:rPr>
            </w:pPr>
            <w:r>
              <w:rPr>
                <w:kern w:val="0"/>
                <w:szCs w:val="21"/>
                <w:lang w:bidi="ar"/>
              </w:rPr>
              <w:t>0.092759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956EE70">
            <w:pPr>
              <w:widowControl/>
              <w:jc w:val="center"/>
              <w:textAlignment w:val="center"/>
              <w:rPr>
                <w:szCs w:val="21"/>
              </w:rPr>
            </w:pPr>
            <w:r>
              <w:rPr>
                <w:kern w:val="0"/>
                <w:szCs w:val="21"/>
                <w:lang w:bidi="ar"/>
              </w:rPr>
              <w:t>0.93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D2B6E53">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1AA2723">
            <w:pPr>
              <w:widowControl/>
              <w:jc w:val="center"/>
              <w:textAlignment w:val="center"/>
              <w:rPr>
                <w:szCs w:val="21"/>
              </w:rPr>
            </w:pPr>
            <w:r>
              <w:rPr>
                <w:kern w:val="0"/>
                <w:szCs w:val="21"/>
                <w:lang w:bidi="ar"/>
              </w:rPr>
              <w:t>1.0927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B9180A3">
            <w:pPr>
              <w:widowControl/>
              <w:jc w:val="center"/>
              <w:textAlignment w:val="center"/>
              <w:rPr>
                <w:szCs w:val="21"/>
              </w:rPr>
            </w:pPr>
            <w:r>
              <w:rPr>
                <w:kern w:val="0"/>
                <w:szCs w:val="21"/>
                <w:lang w:bidi="ar"/>
              </w:rPr>
              <w:t>0.55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5931A1C">
            <w:pPr>
              <w:widowControl/>
              <w:jc w:val="center"/>
              <w:textAlignment w:val="center"/>
              <w:rPr>
                <w:szCs w:val="21"/>
              </w:rPr>
            </w:pPr>
            <w:r>
              <w:rPr>
                <w:kern w:val="0"/>
                <w:szCs w:val="21"/>
                <w:lang w:bidi="ar"/>
              </w:rPr>
              <w:t>0.092776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48F0740">
            <w:pPr>
              <w:widowControl/>
              <w:jc w:val="center"/>
              <w:textAlignment w:val="center"/>
              <w:rPr>
                <w:szCs w:val="21"/>
              </w:rPr>
            </w:pPr>
            <w:r>
              <w:rPr>
                <w:kern w:val="0"/>
                <w:szCs w:val="21"/>
                <w:lang w:bidi="ar"/>
              </w:rPr>
              <w:t>0.93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A5574F9">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CA4BEF9">
            <w:pPr>
              <w:widowControl/>
              <w:jc w:val="center"/>
              <w:textAlignment w:val="center"/>
              <w:rPr>
                <w:szCs w:val="21"/>
              </w:rPr>
            </w:pPr>
            <w:r>
              <w:rPr>
                <w:kern w:val="0"/>
                <w:szCs w:val="21"/>
                <w:lang w:bidi="ar"/>
              </w:rPr>
              <w:t>1.0106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CB3BA42">
            <w:pPr>
              <w:widowControl/>
              <w:jc w:val="center"/>
              <w:textAlignment w:val="center"/>
              <w:rPr>
                <w:szCs w:val="21"/>
              </w:rPr>
            </w:pPr>
            <w:r>
              <w:rPr>
                <w:kern w:val="0"/>
                <w:szCs w:val="21"/>
                <w:lang w:bidi="ar"/>
              </w:rPr>
              <w:t>0.51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40B54A8">
            <w:pPr>
              <w:widowControl/>
              <w:jc w:val="center"/>
              <w:textAlignment w:val="center"/>
              <w:rPr>
                <w:szCs w:val="21"/>
              </w:rPr>
            </w:pPr>
            <w:r>
              <w:rPr>
                <w:kern w:val="0"/>
                <w:szCs w:val="21"/>
                <w:lang w:bidi="ar"/>
              </w:rPr>
              <w:t>0.09281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16FDE0E">
            <w:pPr>
              <w:widowControl/>
              <w:jc w:val="center"/>
              <w:textAlignment w:val="center"/>
              <w:rPr>
                <w:szCs w:val="21"/>
              </w:rPr>
            </w:pPr>
            <w:r>
              <w:rPr>
                <w:kern w:val="0"/>
                <w:szCs w:val="21"/>
                <w:lang w:bidi="ar"/>
              </w:rPr>
              <w:t>0.93</w:t>
            </w:r>
          </w:p>
        </w:tc>
      </w:tr>
      <w:tr w14:paraId="5FB26E74">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411C924">
            <w:pPr>
              <w:widowControl/>
              <w:jc w:val="center"/>
              <w:textAlignment w:val="center"/>
              <w:rPr>
                <w:b/>
                <w:bCs/>
                <w:szCs w:val="21"/>
              </w:rPr>
            </w:pPr>
            <w:r>
              <w:rPr>
                <w:b/>
                <w:bCs/>
                <w:kern w:val="0"/>
                <w:szCs w:val="21"/>
                <w:lang w:bidi="ar"/>
              </w:rPr>
              <w:t>大河边篮球场</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FD12734">
            <w:pPr>
              <w:widowControl/>
              <w:jc w:val="center"/>
              <w:textAlignment w:val="center"/>
              <w:rPr>
                <w:b/>
                <w:bCs/>
                <w:szCs w:val="21"/>
              </w:rPr>
            </w:pPr>
            <w:r>
              <w:rPr>
                <w:b/>
                <w:bCs/>
                <w:kern w:val="0"/>
                <w:szCs w:val="21"/>
                <w:lang w:bidi="ar"/>
              </w:rPr>
              <w:t>大河边上煤仓1号舍</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24AE434">
            <w:pPr>
              <w:widowControl/>
              <w:jc w:val="center"/>
              <w:textAlignment w:val="center"/>
              <w:rPr>
                <w:b/>
                <w:bCs/>
                <w:szCs w:val="21"/>
              </w:rPr>
            </w:pPr>
            <w:r>
              <w:rPr>
                <w:b/>
                <w:bCs/>
                <w:kern w:val="0"/>
                <w:szCs w:val="21"/>
                <w:lang w:bidi="ar"/>
              </w:rPr>
              <w:t>大河边上煤仓2号舍</w:t>
            </w:r>
          </w:p>
        </w:tc>
      </w:tr>
      <w:tr w14:paraId="4DC27F74">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41D58DCD">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BE8F268">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9ADD38C">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0F483AF2">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0CB8A73">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D403CC9">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03D77CBD">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B275FED">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C4203C8">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626B8DCD">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56D71ACF">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AEEA3FB">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14D1D4E">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F89D57F">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BCBA496">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2CC30EC1">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2E4B7E6">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AC128A6">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102C95E">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5313BD4">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5336D18A">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49FA341">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894CA9E">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14CD59">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3A1D871">
            <w:pPr>
              <w:widowControl/>
              <w:jc w:val="center"/>
              <w:textAlignment w:val="center"/>
              <w:rPr>
                <w:b/>
                <w:bCs/>
                <w:szCs w:val="21"/>
              </w:rPr>
            </w:pPr>
            <w:r>
              <w:rPr>
                <w:b/>
                <w:bCs/>
                <w:kern w:val="0"/>
                <w:szCs w:val="21"/>
                <w:lang w:bidi="ar"/>
              </w:rPr>
              <w:t>占标率</w:t>
            </w:r>
          </w:p>
        </w:tc>
      </w:tr>
      <w:tr w14:paraId="4F606308">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196967C9">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638BBC1">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98D30E2">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6868182">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B5A8FA7">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7FCBE7A5">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87EB678">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0404487">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B74C4D2">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FD85E36">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2532D900">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F87512B">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883FFC6">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72002F6">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8BFEE07">
            <w:pPr>
              <w:widowControl/>
              <w:jc w:val="center"/>
              <w:textAlignment w:val="center"/>
              <w:rPr>
                <w:b/>
                <w:bCs/>
                <w:szCs w:val="21"/>
              </w:rPr>
            </w:pPr>
            <w:r>
              <w:rPr>
                <w:b/>
                <w:bCs/>
                <w:kern w:val="0"/>
                <w:szCs w:val="21"/>
                <w:lang w:bidi="ar"/>
              </w:rPr>
              <w:t>Pi(%)</w:t>
            </w:r>
          </w:p>
        </w:tc>
      </w:tr>
      <w:tr w14:paraId="42BB675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600A4D1">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D7295E4">
            <w:pPr>
              <w:widowControl/>
              <w:jc w:val="center"/>
              <w:textAlignment w:val="center"/>
              <w:rPr>
                <w:szCs w:val="21"/>
              </w:rPr>
            </w:pPr>
            <w:r>
              <w:rPr>
                <w:kern w:val="0"/>
                <w:szCs w:val="21"/>
                <w:lang w:bidi="ar"/>
              </w:rPr>
              <w:t>6.0325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7BB459A">
            <w:pPr>
              <w:widowControl/>
              <w:jc w:val="center"/>
              <w:textAlignment w:val="center"/>
              <w:rPr>
                <w:szCs w:val="21"/>
              </w:rPr>
            </w:pPr>
            <w:r>
              <w:rPr>
                <w:kern w:val="0"/>
                <w:szCs w:val="21"/>
                <w:lang w:bidi="ar"/>
              </w:rPr>
              <w:t>3.02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AC8C243">
            <w:pPr>
              <w:widowControl/>
              <w:jc w:val="center"/>
              <w:textAlignment w:val="center"/>
              <w:rPr>
                <w:szCs w:val="21"/>
              </w:rPr>
            </w:pPr>
            <w:r>
              <w:rPr>
                <w:kern w:val="0"/>
                <w:szCs w:val="21"/>
                <w:lang w:bidi="ar"/>
              </w:rPr>
              <w:t>0.548409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71F584D">
            <w:pPr>
              <w:widowControl/>
              <w:jc w:val="center"/>
              <w:textAlignment w:val="center"/>
              <w:rPr>
                <w:szCs w:val="21"/>
              </w:rPr>
            </w:pPr>
            <w:r>
              <w:rPr>
                <w:kern w:val="0"/>
                <w:szCs w:val="21"/>
                <w:lang w:bidi="ar"/>
              </w:rPr>
              <w:t>5.48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A0097A7">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7CE0E43">
            <w:pPr>
              <w:widowControl/>
              <w:jc w:val="center"/>
              <w:textAlignment w:val="center"/>
              <w:rPr>
                <w:szCs w:val="21"/>
              </w:rPr>
            </w:pPr>
            <w:r>
              <w:rPr>
                <w:kern w:val="0"/>
                <w:szCs w:val="21"/>
                <w:lang w:bidi="ar"/>
              </w:rPr>
              <w:t>2.9537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7FC78E8">
            <w:pPr>
              <w:widowControl/>
              <w:jc w:val="center"/>
              <w:textAlignment w:val="center"/>
              <w:rPr>
                <w:szCs w:val="21"/>
              </w:rPr>
            </w:pPr>
            <w:r>
              <w:rPr>
                <w:kern w:val="0"/>
                <w:szCs w:val="21"/>
                <w:lang w:bidi="ar"/>
              </w:rPr>
              <w:t>1.48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E9930C5">
            <w:pPr>
              <w:widowControl/>
              <w:jc w:val="center"/>
              <w:textAlignment w:val="center"/>
              <w:rPr>
                <w:szCs w:val="21"/>
              </w:rPr>
            </w:pPr>
            <w:r>
              <w:rPr>
                <w:kern w:val="0"/>
                <w:szCs w:val="21"/>
                <w:lang w:bidi="ar"/>
              </w:rPr>
              <w:t>0.246142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8DF4F16">
            <w:pPr>
              <w:widowControl/>
              <w:jc w:val="center"/>
              <w:textAlignment w:val="center"/>
              <w:rPr>
                <w:szCs w:val="21"/>
              </w:rPr>
            </w:pPr>
            <w:r>
              <w:rPr>
                <w:kern w:val="0"/>
                <w:szCs w:val="21"/>
                <w:lang w:bidi="ar"/>
              </w:rPr>
              <w:t>2.46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CB17518">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498FAD9">
            <w:pPr>
              <w:widowControl/>
              <w:jc w:val="center"/>
              <w:textAlignment w:val="center"/>
              <w:rPr>
                <w:szCs w:val="21"/>
              </w:rPr>
            </w:pPr>
            <w:r>
              <w:rPr>
                <w:kern w:val="0"/>
                <w:szCs w:val="21"/>
                <w:lang w:bidi="ar"/>
              </w:rPr>
              <w:t>5.7034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52041F5">
            <w:pPr>
              <w:widowControl/>
              <w:jc w:val="center"/>
              <w:textAlignment w:val="center"/>
              <w:rPr>
                <w:szCs w:val="21"/>
              </w:rPr>
            </w:pPr>
            <w:r>
              <w:rPr>
                <w:kern w:val="0"/>
                <w:szCs w:val="21"/>
                <w:lang w:bidi="ar"/>
              </w:rPr>
              <w:t>2.85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F2095C6">
            <w:pPr>
              <w:widowControl/>
              <w:jc w:val="center"/>
              <w:textAlignment w:val="center"/>
              <w:rPr>
                <w:szCs w:val="21"/>
              </w:rPr>
            </w:pPr>
            <w:r>
              <w:rPr>
                <w:kern w:val="0"/>
                <w:szCs w:val="21"/>
                <w:lang w:bidi="ar"/>
              </w:rPr>
              <w:t>0.509232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CE5802F">
            <w:pPr>
              <w:widowControl/>
              <w:jc w:val="center"/>
              <w:textAlignment w:val="center"/>
              <w:rPr>
                <w:szCs w:val="21"/>
              </w:rPr>
            </w:pPr>
            <w:r>
              <w:rPr>
                <w:kern w:val="0"/>
                <w:szCs w:val="21"/>
                <w:lang w:bidi="ar"/>
              </w:rPr>
              <w:t>5.09</w:t>
            </w:r>
          </w:p>
        </w:tc>
      </w:tr>
      <w:tr w14:paraId="29E9B43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079A0F1">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0EDBC73">
            <w:pPr>
              <w:widowControl/>
              <w:jc w:val="center"/>
              <w:textAlignment w:val="center"/>
              <w:rPr>
                <w:szCs w:val="21"/>
              </w:rPr>
            </w:pPr>
            <w:r>
              <w:rPr>
                <w:kern w:val="0"/>
                <w:szCs w:val="21"/>
                <w:lang w:bidi="ar"/>
              </w:rPr>
              <w:t>7.5894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EAA257D">
            <w:pPr>
              <w:widowControl/>
              <w:jc w:val="center"/>
              <w:textAlignment w:val="center"/>
              <w:rPr>
                <w:szCs w:val="21"/>
              </w:rPr>
            </w:pPr>
            <w:r>
              <w:rPr>
                <w:kern w:val="0"/>
                <w:szCs w:val="21"/>
                <w:lang w:bidi="ar"/>
              </w:rPr>
              <w:t>3.79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22C2CAC">
            <w:pPr>
              <w:widowControl/>
              <w:jc w:val="center"/>
              <w:textAlignment w:val="center"/>
              <w:rPr>
                <w:szCs w:val="21"/>
              </w:rPr>
            </w:pPr>
            <w:r>
              <w:rPr>
                <w:kern w:val="0"/>
                <w:szCs w:val="21"/>
                <w:lang w:bidi="ar"/>
              </w:rPr>
              <w:t>0.689946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9557949">
            <w:pPr>
              <w:widowControl/>
              <w:jc w:val="center"/>
              <w:textAlignment w:val="center"/>
              <w:rPr>
                <w:szCs w:val="21"/>
              </w:rPr>
            </w:pPr>
            <w:r>
              <w:rPr>
                <w:kern w:val="0"/>
                <w:szCs w:val="21"/>
                <w:lang w:bidi="ar"/>
              </w:rPr>
              <w:t>6.9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F6E56FC">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0718C18">
            <w:pPr>
              <w:widowControl/>
              <w:jc w:val="center"/>
              <w:textAlignment w:val="center"/>
              <w:rPr>
                <w:szCs w:val="21"/>
              </w:rPr>
            </w:pPr>
            <w:r>
              <w:rPr>
                <w:kern w:val="0"/>
                <w:szCs w:val="21"/>
                <w:lang w:bidi="ar"/>
              </w:rPr>
              <w:t>3.6086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D215077">
            <w:pPr>
              <w:widowControl/>
              <w:jc w:val="center"/>
              <w:textAlignment w:val="center"/>
              <w:rPr>
                <w:szCs w:val="21"/>
              </w:rPr>
            </w:pPr>
            <w:r>
              <w:rPr>
                <w:kern w:val="0"/>
                <w:szCs w:val="21"/>
                <w:lang w:bidi="ar"/>
              </w:rPr>
              <w:t>1.8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519DECB">
            <w:pPr>
              <w:widowControl/>
              <w:jc w:val="center"/>
              <w:textAlignment w:val="center"/>
              <w:rPr>
                <w:szCs w:val="21"/>
              </w:rPr>
            </w:pPr>
            <w:r>
              <w:rPr>
                <w:kern w:val="0"/>
                <w:szCs w:val="21"/>
                <w:lang w:bidi="ar"/>
              </w:rPr>
              <w:t>0.300717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FB385CF">
            <w:pPr>
              <w:widowControl/>
              <w:jc w:val="center"/>
              <w:textAlignment w:val="center"/>
              <w:rPr>
                <w:szCs w:val="21"/>
              </w:rPr>
            </w:pPr>
            <w:r>
              <w:rPr>
                <w:kern w:val="0"/>
                <w:szCs w:val="21"/>
                <w:lang w:bidi="ar"/>
              </w:rPr>
              <w:t>3.01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77BF749">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9875BC9">
            <w:pPr>
              <w:widowControl/>
              <w:jc w:val="center"/>
              <w:textAlignment w:val="center"/>
              <w:rPr>
                <w:szCs w:val="21"/>
              </w:rPr>
            </w:pPr>
            <w:r>
              <w:rPr>
                <w:kern w:val="0"/>
                <w:szCs w:val="21"/>
                <w:lang w:bidi="ar"/>
              </w:rPr>
              <w:t>6.8469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98D7E5C">
            <w:pPr>
              <w:widowControl/>
              <w:jc w:val="center"/>
              <w:textAlignment w:val="center"/>
              <w:rPr>
                <w:szCs w:val="21"/>
              </w:rPr>
            </w:pPr>
            <w:r>
              <w:rPr>
                <w:kern w:val="0"/>
                <w:szCs w:val="21"/>
                <w:lang w:bidi="ar"/>
              </w:rPr>
              <w:t>3.42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AE9CED3">
            <w:pPr>
              <w:widowControl/>
              <w:jc w:val="center"/>
              <w:textAlignment w:val="center"/>
              <w:rPr>
                <w:szCs w:val="21"/>
              </w:rPr>
            </w:pPr>
            <w:r>
              <w:rPr>
                <w:kern w:val="0"/>
                <w:szCs w:val="21"/>
                <w:lang w:bidi="ar"/>
              </w:rPr>
              <w:t>0.611331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937BC81">
            <w:pPr>
              <w:widowControl/>
              <w:jc w:val="center"/>
              <w:textAlignment w:val="center"/>
              <w:rPr>
                <w:szCs w:val="21"/>
              </w:rPr>
            </w:pPr>
            <w:r>
              <w:rPr>
                <w:kern w:val="0"/>
                <w:szCs w:val="21"/>
                <w:lang w:bidi="ar"/>
              </w:rPr>
              <w:t>6.11</w:t>
            </w:r>
          </w:p>
        </w:tc>
      </w:tr>
      <w:tr w14:paraId="266D29E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CA0A8B6">
            <w:pPr>
              <w:widowControl/>
              <w:jc w:val="center"/>
              <w:textAlignment w:val="center"/>
              <w:rPr>
                <w:szCs w:val="21"/>
              </w:rPr>
            </w:pPr>
            <w:r>
              <w:rPr>
                <w:kern w:val="0"/>
                <w:szCs w:val="21"/>
                <w:lang w:bidi="ar"/>
              </w:rPr>
              <w:t>48</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313A6E5">
            <w:pPr>
              <w:widowControl/>
              <w:jc w:val="center"/>
              <w:textAlignment w:val="center"/>
              <w:rPr>
                <w:szCs w:val="21"/>
              </w:rPr>
            </w:pPr>
            <w:r>
              <w:rPr>
                <w:kern w:val="0"/>
                <w:szCs w:val="21"/>
                <w:lang w:bidi="ar"/>
              </w:rPr>
              <w:t>8.5887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7B5C793">
            <w:pPr>
              <w:widowControl/>
              <w:jc w:val="center"/>
              <w:textAlignment w:val="center"/>
              <w:rPr>
                <w:szCs w:val="21"/>
              </w:rPr>
            </w:pPr>
            <w:r>
              <w:rPr>
                <w:kern w:val="0"/>
                <w:szCs w:val="21"/>
                <w:lang w:bidi="ar"/>
              </w:rPr>
              <w:t>4.29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34B8693">
            <w:pPr>
              <w:widowControl/>
              <w:jc w:val="center"/>
              <w:textAlignment w:val="center"/>
              <w:rPr>
                <w:szCs w:val="21"/>
              </w:rPr>
            </w:pPr>
            <w:r>
              <w:rPr>
                <w:kern w:val="0"/>
                <w:szCs w:val="21"/>
                <w:lang w:bidi="ar"/>
              </w:rPr>
              <w:t>0.780791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D3B1C86">
            <w:pPr>
              <w:widowControl/>
              <w:jc w:val="center"/>
              <w:textAlignment w:val="center"/>
              <w:rPr>
                <w:szCs w:val="21"/>
              </w:rPr>
            </w:pPr>
            <w:r>
              <w:rPr>
                <w:kern w:val="0"/>
                <w:szCs w:val="21"/>
                <w:lang w:bidi="ar"/>
              </w:rPr>
              <w:t>7.81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87AFE83">
            <w:pPr>
              <w:widowControl/>
              <w:jc w:val="center"/>
              <w:textAlignment w:val="center"/>
              <w:rPr>
                <w:szCs w:val="21"/>
              </w:rPr>
            </w:pPr>
            <w:r>
              <w:rPr>
                <w:kern w:val="0"/>
                <w:szCs w:val="21"/>
                <w:lang w:bidi="ar"/>
              </w:rPr>
              <w:t>37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F2F0F2D">
            <w:pPr>
              <w:widowControl/>
              <w:jc w:val="center"/>
              <w:textAlignment w:val="center"/>
              <w:rPr>
                <w:szCs w:val="21"/>
              </w:rPr>
            </w:pPr>
            <w:r>
              <w:rPr>
                <w:kern w:val="0"/>
                <w:szCs w:val="21"/>
                <w:lang w:bidi="ar"/>
              </w:rPr>
              <w:t>4.0135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2F461AB">
            <w:pPr>
              <w:widowControl/>
              <w:jc w:val="center"/>
              <w:textAlignment w:val="center"/>
              <w:rPr>
                <w:szCs w:val="21"/>
              </w:rPr>
            </w:pPr>
            <w:r>
              <w:rPr>
                <w:kern w:val="0"/>
                <w:szCs w:val="21"/>
                <w:lang w:bidi="ar"/>
              </w:rPr>
              <w:t>2.01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9BD1820">
            <w:pPr>
              <w:widowControl/>
              <w:jc w:val="center"/>
              <w:textAlignment w:val="center"/>
              <w:rPr>
                <w:szCs w:val="21"/>
              </w:rPr>
            </w:pPr>
            <w:r>
              <w:rPr>
                <w:kern w:val="0"/>
                <w:szCs w:val="21"/>
                <w:lang w:bidi="ar"/>
              </w:rPr>
              <w:t>0.334458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76968C9">
            <w:pPr>
              <w:widowControl/>
              <w:jc w:val="center"/>
              <w:textAlignment w:val="center"/>
              <w:rPr>
                <w:szCs w:val="21"/>
              </w:rPr>
            </w:pPr>
            <w:r>
              <w:rPr>
                <w:kern w:val="0"/>
                <w:szCs w:val="21"/>
                <w:lang w:bidi="ar"/>
              </w:rPr>
              <w:t>3.34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4D96260">
            <w:pPr>
              <w:widowControl/>
              <w:jc w:val="center"/>
              <w:textAlignment w:val="center"/>
              <w:rPr>
                <w:szCs w:val="21"/>
              </w:rPr>
            </w:pPr>
            <w:r>
              <w:rPr>
                <w:kern w:val="0"/>
                <w:szCs w:val="21"/>
                <w:lang w:bidi="ar"/>
              </w:rPr>
              <w:t>32</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DE17065">
            <w:pPr>
              <w:widowControl/>
              <w:jc w:val="center"/>
              <w:textAlignment w:val="center"/>
              <w:rPr>
                <w:szCs w:val="21"/>
              </w:rPr>
            </w:pPr>
            <w:r>
              <w:rPr>
                <w:kern w:val="0"/>
                <w:szCs w:val="21"/>
                <w:lang w:bidi="ar"/>
              </w:rPr>
              <w:t>7.384301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17B2EF3">
            <w:pPr>
              <w:widowControl/>
              <w:jc w:val="center"/>
              <w:textAlignment w:val="center"/>
              <w:rPr>
                <w:szCs w:val="21"/>
              </w:rPr>
            </w:pPr>
            <w:r>
              <w:rPr>
                <w:kern w:val="0"/>
                <w:szCs w:val="21"/>
                <w:lang w:bidi="ar"/>
              </w:rPr>
              <w:t>3.69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4D69DE6">
            <w:pPr>
              <w:widowControl/>
              <w:jc w:val="center"/>
              <w:textAlignment w:val="center"/>
              <w:rPr>
                <w:szCs w:val="21"/>
              </w:rPr>
            </w:pPr>
            <w:r>
              <w:rPr>
                <w:kern w:val="0"/>
                <w:szCs w:val="21"/>
                <w:lang w:bidi="ar"/>
              </w:rPr>
              <w:t>0.659313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93239F1">
            <w:pPr>
              <w:widowControl/>
              <w:jc w:val="center"/>
              <w:textAlignment w:val="center"/>
              <w:rPr>
                <w:szCs w:val="21"/>
              </w:rPr>
            </w:pPr>
            <w:r>
              <w:rPr>
                <w:kern w:val="0"/>
                <w:szCs w:val="21"/>
                <w:lang w:bidi="ar"/>
              </w:rPr>
              <w:t>6.59</w:t>
            </w:r>
          </w:p>
        </w:tc>
      </w:tr>
      <w:tr w14:paraId="1757562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36538E0">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A5BCDFF">
            <w:pPr>
              <w:widowControl/>
              <w:jc w:val="center"/>
              <w:textAlignment w:val="center"/>
              <w:rPr>
                <w:szCs w:val="21"/>
              </w:rPr>
            </w:pPr>
            <w:r>
              <w:rPr>
                <w:kern w:val="0"/>
                <w:szCs w:val="21"/>
                <w:lang w:bidi="ar"/>
              </w:rPr>
              <w:t>8.4406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D5D9555">
            <w:pPr>
              <w:widowControl/>
              <w:jc w:val="center"/>
              <w:textAlignment w:val="center"/>
              <w:rPr>
                <w:szCs w:val="21"/>
              </w:rPr>
            </w:pPr>
            <w:r>
              <w:rPr>
                <w:kern w:val="0"/>
                <w:szCs w:val="21"/>
                <w:lang w:bidi="ar"/>
              </w:rPr>
              <w:t>4.22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FA9F7EC">
            <w:pPr>
              <w:widowControl/>
              <w:jc w:val="center"/>
              <w:textAlignment w:val="center"/>
              <w:rPr>
                <w:szCs w:val="21"/>
              </w:rPr>
            </w:pPr>
            <w:r>
              <w:rPr>
                <w:kern w:val="0"/>
                <w:szCs w:val="21"/>
                <w:lang w:bidi="ar"/>
              </w:rPr>
              <w:t>0.767327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48E8504">
            <w:pPr>
              <w:widowControl/>
              <w:jc w:val="center"/>
              <w:textAlignment w:val="center"/>
              <w:rPr>
                <w:szCs w:val="21"/>
              </w:rPr>
            </w:pPr>
            <w:r>
              <w:rPr>
                <w:kern w:val="0"/>
                <w:szCs w:val="21"/>
                <w:lang w:bidi="ar"/>
              </w:rPr>
              <w:t>7.67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B17C1B7">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DA872E3">
            <w:pPr>
              <w:widowControl/>
              <w:jc w:val="center"/>
              <w:textAlignment w:val="center"/>
              <w:rPr>
                <w:szCs w:val="21"/>
              </w:rPr>
            </w:pPr>
            <w:r>
              <w:rPr>
                <w:kern w:val="0"/>
                <w:szCs w:val="21"/>
                <w:lang w:bidi="ar"/>
              </w:rPr>
              <w:t>3.8352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BF94940">
            <w:pPr>
              <w:widowControl/>
              <w:jc w:val="center"/>
              <w:textAlignment w:val="center"/>
              <w:rPr>
                <w:szCs w:val="21"/>
              </w:rPr>
            </w:pPr>
            <w:r>
              <w:rPr>
                <w:kern w:val="0"/>
                <w:szCs w:val="21"/>
                <w:lang w:bidi="ar"/>
              </w:rPr>
              <w:t>1.92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5F7C409">
            <w:pPr>
              <w:widowControl/>
              <w:jc w:val="center"/>
              <w:textAlignment w:val="center"/>
              <w:rPr>
                <w:szCs w:val="21"/>
              </w:rPr>
            </w:pPr>
            <w:r>
              <w:rPr>
                <w:kern w:val="0"/>
                <w:szCs w:val="21"/>
                <w:lang w:bidi="ar"/>
              </w:rPr>
              <w:t>0.3196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B8C5823">
            <w:pPr>
              <w:widowControl/>
              <w:jc w:val="center"/>
              <w:textAlignment w:val="center"/>
              <w:rPr>
                <w:szCs w:val="21"/>
              </w:rPr>
            </w:pPr>
            <w:r>
              <w:rPr>
                <w:kern w:val="0"/>
                <w:szCs w:val="21"/>
                <w:lang w:bidi="ar"/>
              </w:rPr>
              <w:t>3.2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379C6EA">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43A26F4">
            <w:pPr>
              <w:widowControl/>
              <w:jc w:val="center"/>
              <w:textAlignment w:val="center"/>
              <w:rPr>
                <w:szCs w:val="21"/>
              </w:rPr>
            </w:pPr>
            <w:r>
              <w:rPr>
                <w:kern w:val="0"/>
                <w:szCs w:val="21"/>
                <w:lang w:bidi="ar"/>
              </w:rPr>
              <w:t>6.190101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182CC29">
            <w:pPr>
              <w:widowControl/>
              <w:jc w:val="center"/>
              <w:textAlignment w:val="center"/>
              <w:rPr>
                <w:szCs w:val="21"/>
              </w:rPr>
            </w:pPr>
            <w:r>
              <w:rPr>
                <w:kern w:val="0"/>
                <w:szCs w:val="21"/>
                <w:lang w:bidi="ar"/>
              </w:rPr>
              <w:t>3.1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0CA13DD">
            <w:pPr>
              <w:widowControl/>
              <w:jc w:val="center"/>
              <w:textAlignment w:val="center"/>
              <w:rPr>
                <w:szCs w:val="21"/>
              </w:rPr>
            </w:pPr>
            <w:r>
              <w:rPr>
                <w:kern w:val="0"/>
                <w:szCs w:val="21"/>
                <w:lang w:bidi="ar"/>
              </w:rPr>
              <w:t>0.552688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8439A2A">
            <w:pPr>
              <w:widowControl/>
              <w:jc w:val="center"/>
              <w:textAlignment w:val="center"/>
              <w:rPr>
                <w:szCs w:val="21"/>
              </w:rPr>
            </w:pPr>
            <w:r>
              <w:rPr>
                <w:kern w:val="0"/>
                <w:szCs w:val="21"/>
                <w:lang w:bidi="ar"/>
              </w:rPr>
              <w:t>5.53</w:t>
            </w:r>
          </w:p>
        </w:tc>
      </w:tr>
      <w:tr w14:paraId="464D86E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5DEF088">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4BD8C10">
            <w:pPr>
              <w:widowControl/>
              <w:jc w:val="center"/>
              <w:textAlignment w:val="center"/>
              <w:rPr>
                <w:szCs w:val="21"/>
              </w:rPr>
            </w:pPr>
            <w:r>
              <w:rPr>
                <w:kern w:val="0"/>
                <w:szCs w:val="21"/>
                <w:lang w:bidi="ar"/>
              </w:rPr>
              <w:t>5.7345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3A297E4">
            <w:pPr>
              <w:widowControl/>
              <w:jc w:val="center"/>
              <w:textAlignment w:val="center"/>
              <w:rPr>
                <w:szCs w:val="21"/>
              </w:rPr>
            </w:pPr>
            <w:r>
              <w:rPr>
                <w:kern w:val="0"/>
                <w:szCs w:val="21"/>
                <w:lang w:bidi="ar"/>
              </w:rPr>
              <w:t>2.87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BE23E5B">
            <w:pPr>
              <w:widowControl/>
              <w:jc w:val="center"/>
              <w:textAlignment w:val="center"/>
              <w:rPr>
                <w:szCs w:val="21"/>
              </w:rPr>
            </w:pPr>
            <w:r>
              <w:rPr>
                <w:kern w:val="0"/>
                <w:szCs w:val="21"/>
                <w:lang w:bidi="ar"/>
              </w:rPr>
              <w:t>0.521318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7DA6FA2">
            <w:pPr>
              <w:widowControl/>
              <w:jc w:val="center"/>
              <w:textAlignment w:val="center"/>
              <w:rPr>
                <w:szCs w:val="21"/>
              </w:rPr>
            </w:pPr>
            <w:r>
              <w:rPr>
                <w:kern w:val="0"/>
                <w:szCs w:val="21"/>
                <w:lang w:bidi="ar"/>
              </w:rPr>
              <w:t>5.21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F6D9F64">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B95C29B">
            <w:pPr>
              <w:widowControl/>
              <w:jc w:val="center"/>
              <w:textAlignment w:val="center"/>
              <w:rPr>
                <w:szCs w:val="21"/>
              </w:rPr>
            </w:pPr>
            <w:r>
              <w:rPr>
                <w:kern w:val="0"/>
                <w:szCs w:val="21"/>
                <w:lang w:bidi="ar"/>
              </w:rPr>
              <w:t>2.4927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C6C7C83">
            <w:pPr>
              <w:widowControl/>
              <w:jc w:val="center"/>
              <w:textAlignment w:val="center"/>
              <w:rPr>
                <w:szCs w:val="21"/>
              </w:rPr>
            </w:pPr>
            <w:r>
              <w:rPr>
                <w:kern w:val="0"/>
                <w:szCs w:val="21"/>
                <w:lang w:bidi="ar"/>
              </w:rPr>
              <w:t>1.25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7DD94A9">
            <w:pPr>
              <w:widowControl/>
              <w:jc w:val="center"/>
              <w:textAlignment w:val="center"/>
              <w:rPr>
                <w:szCs w:val="21"/>
              </w:rPr>
            </w:pPr>
            <w:r>
              <w:rPr>
                <w:kern w:val="0"/>
                <w:szCs w:val="21"/>
                <w:lang w:bidi="ar"/>
              </w:rPr>
              <w:t>0.207725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ACDA10B">
            <w:pPr>
              <w:widowControl/>
              <w:jc w:val="center"/>
              <w:textAlignment w:val="center"/>
              <w:rPr>
                <w:szCs w:val="21"/>
              </w:rPr>
            </w:pPr>
            <w:r>
              <w:rPr>
                <w:kern w:val="0"/>
                <w:szCs w:val="21"/>
                <w:lang w:bidi="ar"/>
              </w:rPr>
              <w:t>2.08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21AB18E">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73BEC6A">
            <w:pPr>
              <w:widowControl/>
              <w:jc w:val="center"/>
              <w:textAlignment w:val="center"/>
              <w:rPr>
                <w:szCs w:val="21"/>
              </w:rPr>
            </w:pPr>
            <w:r>
              <w:rPr>
                <w:kern w:val="0"/>
                <w:szCs w:val="21"/>
                <w:lang w:bidi="ar"/>
              </w:rPr>
              <w:t>3.8501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84C6F65">
            <w:pPr>
              <w:widowControl/>
              <w:jc w:val="center"/>
              <w:textAlignment w:val="center"/>
              <w:rPr>
                <w:szCs w:val="21"/>
              </w:rPr>
            </w:pPr>
            <w:r>
              <w:rPr>
                <w:kern w:val="0"/>
                <w:szCs w:val="21"/>
                <w:lang w:bidi="ar"/>
              </w:rPr>
              <w:t>1.93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45A1911">
            <w:pPr>
              <w:widowControl/>
              <w:jc w:val="center"/>
              <w:textAlignment w:val="center"/>
              <w:rPr>
                <w:szCs w:val="21"/>
              </w:rPr>
            </w:pPr>
            <w:r>
              <w:rPr>
                <w:kern w:val="0"/>
                <w:szCs w:val="21"/>
                <w:lang w:bidi="ar"/>
              </w:rPr>
              <w:t>0.343759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BBD5B71">
            <w:pPr>
              <w:widowControl/>
              <w:jc w:val="center"/>
              <w:textAlignment w:val="center"/>
              <w:rPr>
                <w:szCs w:val="21"/>
              </w:rPr>
            </w:pPr>
            <w:r>
              <w:rPr>
                <w:kern w:val="0"/>
                <w:szCs w:val="21"/>
                <w:lang w:bidi="ar"/>
              </w:rPr>
              <w:t>3.44</w:t>
            </w:r>
          </w:p>
        </w:tc>
      </w:tr>
      <w:tr w14:paraId="02614CD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95B8ABA">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C7F4F81">
            <w:pPr>
              <w:widowControl/>
              <w:jc w:val="center"/>
              <w:textAlignment w:val="center"/>
              <w:rPr>
                <w:szCs w:val="21"/>
              </w:rPr>
            </w:pPr>
            <w:r>
              <w:rPr>
                <w:kern w:val="0"/>
                <w:szCs w:val="21"/>
                <w:lang w:bidi="ar"/>
              </w:rPr>
              <w:t>4.198101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DB81017">
            <w:pPr>
              <w:widowControl/>
              <w:jc w:val="center"/>
              <w:textAlignment w:val="center"/>
              <w:rPr>
                <w:szCs w:val="21"/>
              </w:rPr>
            </w:pPr>
            <w:r>
              <w:rPr>
                <w:kern w:val="0"/>
                <w:szCs w:val="21"/>
                <w:lang w:bidi="ar"/>
              </w:rPr>
              <w:t>2.1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FBA0C8A">
            <w:pPr>
              <w:widowControl/>
              <w:jc w:val="center"/>
              <w:textAlignment w:val="center"/>
              <w:rPr>
                <w:szCs w:val="21"/>
              </w:rPr>
            </w:pPr>
            <w:r>
              <w:rPr>
                <w:kern w:val="0"/>
                <w:szCs w:val="21"/>
                <w:lang w:bidi="ar"/>
              </w:rPr>
              <w:t>0.381646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BC4EC7C">
            <w:pPr>
              <w:widowControl/>
              <w:jc w:val="center"/>
              <w:textAlignment w:val="center"/>
              <w:rPr>
                <w:szCs w:val="21"/>
              </w:rPr>
            </w:pPr>
            <w:r>
              <w:rPr>
                <w:kern w:val="0"/>
                <w:szCs w:val="21"/>
                <w:lang w:bidi="ar"/>
              </w:rPr>
              <w:t>3.82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FC84EBC">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5B40EAE">
            <w:pPr>
              <w:widowControl/>
              <w:jc w:val="center"/>
              <w:textAlignment w:val="center"/>
              <w:rPr>
                <w:szCs w:val="21"/>
              </w:rPr>
            </w:pPr>
            <w:r>
              <w:rPr>
                <w:kern w:val="0"/>
                <w:szCs w:val="21"/>
                <w:lang w:bidi="ar"/>
              </w:rPr>
              <w:t>1.7912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339E3B0">
            <w:pPr>
              <w:widowControl/>
              <w:jc w:val="center"/>
              <w:textAlignment w:val="center"/>
              <w:rPr>
                <w:szCs w:val="21"/>
              </w:rPr>
            </w:pPr>
            <w:r>
              <w:rPr>
                <w:kern w:val="0"/>
                <w:szCs w:val="21"/>
                <w:lang w:bidi="ar"/>
              </w:rPr>
              <w:t>0.9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4EC1C3A">
            <w:pPr>
              <w:widowControl/>
              <w:jc w:val="center"/>
              <w:textAlignment w:val="center"/>
              <w:rPr>
                <w:szCs w:val="21"/>
              </w:rPr>
            </w:pPr>
            <w:r>
              <w:rPr>
                <w:kern w:val="0"/>
                <w:szCs w:val="21"/>
                <w:lang w:bidi="ar"/>
              </w:rPr>
              <w:t>0.149267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B914B0B">
            <w:pPr>
              <w:widowControl/>
              <w:jc w:val="center"/>
              <w:textAlignment w:val="center"/>
              <w:rPr>
                <w:szCs w:val="21"/>
              </w:rPr>
            </w:pPr>
            <w:r>
              <w:rPr>
                <w:kern w:val="0"/>
                <w:szCs w:val="21"/>
                <w:lang w:bidi="ar"/>
              </w:rPr>
              <w:t>1.49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111AF4D">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2DF48C8">
            <w:pPr>
              <w:widowControl/>
              <w:jc w:val="center"/>
              <w:textAlignment w:val="center"/>
              <w:rPr>
                <w:szCs w:val="21"/>
              </w:rPr>
            </w:pPr>
            <w:r>
              <w:rPr>
                <w:kern w:val="0"/>
                <w:szCs w:val="21"/>
                <w:lang w:bidi="ar"/>
              </w:rPr>
              <w:t>2.8176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4C120D3">
            <w:pPr>
              <w:widowControl/>
              <w:jc w:val="center"/>
              <w:textAlignment w:val="center"/>
              <w:rPr>
                <w:szCs w:val="21"/>
              </w:rPr>
            </w:pPr>
            <w:r>
              <w:rPr>
                <w:kern w:val="0"/>
                <w:szCs w:val="21"/>
                <w:lang w:bidi="ar"/>
              </w:rPr>
              <w:t>1.41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9EA85CF">
            <w:pPr>
              <w:widowControl/>
              <w:jc w:val="center"/>
              <w:textAlignment w:val="center"/>
              <w:rPr>
                <w:szCs w:val="21"/>
              </w:rPr>
            </w:pPr>
            <w:r>
              <w:rPr>
                <w:kern w:val="0"/>
                <w:szCs w:val="21"/>
                <w:lang w:bidi="ar"/>
              </w:rPr>
              <w:t>0.251572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E955C7C">
            <w:pPr>
              <w:widowControl/>
              <w:jc w:val="center"/>
              <w:textAlignment w:val="center"/>
              <w:rPr>
                <w:szCs w:val="21"/>
              </w:rPr>
            </w:pPr>
            <w:r>
              <w:rPr>
                <w:kern w:val="0"/>
                <w:szCs w:val="21"/>
                <w:lang w:bidi="ar"/>
              </w:rPr>
              <w:t>2.52</w:t>
            </w:r>
          </w:p>
        </w:tc>
      </w:tr>
      <w:tr w14:paraId="7D3A698E">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2A842A0">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03AF504">
            <w:pPr>
              <w:widowControl/>
              <w:jc w:val="center"/>
              <w:textAlignment w:val="center"/>
              <w:rPr>
                <w:szCs w:val="21"/>
              </w:rPr>
            </w:pPr>
            <w:r>
              <w:rPr>
                <w:kern w:val="0"/>
                <w:szCs w:val="21"/>
                <w:lang w:bidi="ar"/>
              </w:rPr>
              <w:t>3.3537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2ED7962">
            <w:pPr>
              <w:widowControl/>
              <w:jc w:val="center"/>
              <w:textAlignment w:val="center"/>
              <w:rPr>
                <w:szCs w:val="21"/>
              </w:rPr>
            </w:pPr>
            <w:r>
              <w:rPr>
                <w:kern w:val="0"/>
                <w:szCs w:val="21"/>
                <w:lang w:bidi="ar"/>
              </w:rPr>
              <w:t>1.68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79A773B">
            <w:pPr>
              <w:widowControl/>
              <w:jc w:val="center"/>
              <w:textAlignment w:val="center"/>
              <w:rPr>
                <w:szCs w:val="21"/>
              </w:rPr>
            </w:pPr>
            <w:r>
              <w:rPr>
                <w:kern w:val="0"/>
                <w:szCs w:val="21"/>
                <w:lang w:bidi="ar"/>
              </w:rPr>
              <w:t>0.304882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C0C7931">
            <w:pPr>
              <w:widowControl/>
              <w:jc w:val="center"/>
              <w:textAlignment w:val="center"/>
              <w:rPr>
                <w:szCs w:val="21"/>
              </w:rPr>
            </w:pPr>
            <w:r>
              <w:rPr>
                <w:kern w:val="0"/>
                <w:szCs w:val="21"/>
                <w:lang w:bidi="ar"/>
              </w:rPr>
              <w:t>3.05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B3F0968">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E590F0A">
            <w:pPr>
              <w:widowControl/>
              <w:jc w:val="center"/>
              <w:textAlignment w:val="center"/>
              <w:rPr>
                <w:szCs w:val="21"/>
              </w:rPr>
            </w:pPr>
            <w:r>
              <w:rPr>
                <w:kern w:val="0"/>
                <w:szCs w:val="21"/>
                <w:lang w:bidi="ar"/>
              </w:rPr>
              <w:t>1.3915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E8781CF">
            <w:pPr>
              <w:widowControl/>
              <w:jc w:val="center"/>
              <w:textAlignment w:val="center"/>
              <w:rPr>
                <w:szCs w:val="21"/>
              </w:rPr>
            </w:pPr>
            <w:r>
              <w:rPr>
                <w:kern w:val="0"/>
                <w:szCs w:val="21"/>
                <w:lang w:bidi="ar"/>
              </w:rPr>
              <w:t>0.7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8F732F8">
            <w:pPr>
              <w:widowControl/>
              <w:jc w:val="center"/>
              <w:textAlignment w:val="center"/>
              <w:rPr>
                <w:szCs w:val="21"/>
              </w:rPr>
            </w:pPr>
            <w:r>
              <w:rPr>
                <w:kern w:val="0"/>
                <w:szCs w:val="21"/>
                <w:lang w:bidi="ar"/>
              </w:rPr>
              <w:t>0.115958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29CE223">
            <w:pPr>
              <w:widowControl/>
              <w:jc w:val="center"/>
              <w:textAlignment w:val="center"/>
              <w:rPr>
                <w:szCs w:val="21"/>
              </w:rPr>
            </w:pPr>
            <w:r>
              <w:rPr>
                <w:kern w:val="0"/>
                <w:szCs w:val="21"/>
                <w:lang w:bidi="ar"/>
              </w:rPr>
              <w:t>1.16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FF94803">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D79C460">
            <w:pPr>
              <w:widowControl/>
              <w:jc w:val="center"/>
              <w:textAlignment w:val="center"/>
              <w:rPr>
                <w:szCs w:val="21"/>
              </w:rPr>
            </w:pPr>
            <w:r>
              <w:rPr>
                <w:kern w:val="0"/>
                <w:szCs w:val="21"/>
                <w:lang w:bidi="ar"/>
              </w:rPr>
              <w:t>2.1767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E4708C9">
            <w:pPr>
              <w:widowControl/>
              <w:jc w:val="center"/>
              <w:textAlignment w:val="center"/>
              <w:rPr>
                <w:szCs w:val="21"/>
              </w:rPr>
            </w:pPr>
            <w:r>
              <w:rPr>
                <w:kern w:val="0"/>
                <w:szCs w:val="21"/>
                <w:lang w:bidi="ar"/>
              </w:rPr>
              <w:t>1.09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FBD5E40">
            <w:pPr>
              <w:widowControl/>
              <w:jc w:val="center"/>
              <w:textAlignment w:val="center"/>
              <w:rPr>
                <w:szCs w:val="21"/>
              </w:rPr>
            </w:pPr>
            <w:r>
              <w:rPr>
                <w:kern w:val="0"/>
                <w:szCs w:val="21"/>
                <w:lang w:bidi="ar"/>
              </w:rPr>
              <w:t>0.194348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AC95FA3">
            <w:pPr>
              <w:widowControl/>
              <w:jc w:val="center"/>
              <w:textAlignment w:val="center"/>
              <w:rPr>
                <w:szCs w:val="21"/>
              </w:rPr>
            </w:pPr>
            <w:r>
              <w:rPr>
                <w:kern w:val="0"/>
                <w:szCs w:val="21"/>
                <w:lang w:bidi="ar"/>
              </w:rPr>
              <w:t>1.94</w:t>
            </w:r>
          </w:p>
        </w:tc>
      </w:tr>
      <w:tr w14:paraId="38BA02B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B8911B2">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7ABC03B">
            <w:pPr>
              <w:widowControl/>
              <w:jc w:val="center"/>
              <w:textAlignment w:val="center"/>
              <w:rPr>
                <w:szCs w:val="21"/>
              </w:rPr>
            </w:pPr>
            <w:r>
              <w:rPr>
                <w:kern w:val="0"/>
                <w:szCs w:val="21"/>
                <w:lang w:bidi="ar"/>
              </w:rPr>
              <w:t>2.9538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5B28D66">
            <w:pPr>
              <w:widowControl/>
              <w:jc w:val="center"/>
              <w:textAlignment w:val="center"/>
              <w:rPr>
                <w:szCs w:val="21"/>
              </w:rPr>
            </w:pPr>
            <w:r>
              <w:rPr>
                <w:kern w:val="0"/>
                <w:szCs w:val="21"/>
                <w:lang w:bidi="ar"/>
              </w:rPr>
              <w:t>1.48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1536AC5">
            <w:pPr>
              <w:widowControl/>
              <w:jc w:val="center"/>
              <w:textAlignment w:val="center"/>
              <w:rPr>
                <w:szCs w:val="21"/>
              </w:rPr>
            </w:pPr>
            <w:r>
              <w:rPr>
                <w:kern w:val="0"/>
                <w:szCs w:val="21"/>
                <w:lang w:bidi="ar"/>
              </w:rPr>
              <w:t>0.268527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6C9803A">
            <w:pPr>
              <w:widowControl/>
              <w:jc w:val="center"/>
              <w:textAlignment w:val="center"/>
              <w:rPr>
                <w:szCs w:val="21"/>
              </w:rPr>
            </w:pPr>
            <w:r>
              <w:rPr>
                <w:kern w:val="0"/>
                <w:szCs w:val="21"/>
                <w:lang w:bidi="ar"/>
              </w:rPr>
              <w:t>2.69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DAAE619">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2AA4460">
            <w:pPr>
              <w:widowControl/>
              <w:jc w:val="center"/>
              <w:textAlignment w:val="center"/>
              <w:rPr>
                <w:szCs w:val="21"/>
              </w:rPr>
            </w:pPr>
            <w:r>
              <w:rPr>
                <w:kern w:val="0"/>
                <w:szCs w:val="21"/>
                <w:lang w:bidi="ar"/>
              </w:rPr>
              <w:t>1.2188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9AD6347">
            <w:pPr>
              <w:widowControl/>
              <w:jc w:val="center"/>
              <w:textAlignment w:val="center"/>
              <w:rPr>
                <w:szCs w:val="21"/>
              </w:rPr>
            </w:pPr>
            <w:r>
              <w:rPr>
                <w:kern w:val="0"/>
                <w:szCs w:val="21"/>
                <w:lang w:bidi="ar"/>
              </w:rPr>
              <w:t>0.61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B3267EA">
            <w:pPr>
              <w:widowControl/>
              <w:jc w:val="center"/>
              <w:textAlignment w:val="center"/>
              <w:rPr>
                <w:szCs w:val="21"/>
              </w:rPr>
            </w:pPr>
            <w:r>
              <w:rPr>
                <w:kern w:val="0"/>
                <w:szCs w:val="21"/>
                <w:lang w:bidi="ar"/>
              </w:rPr>
              <w:t>0.101567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A0B887B">
            <w:pPr>
              <w:widowControl/>
              <w:jc w:val="center"/>
              <w:textAlignment w:val="center"/>
              <w:rPr>
                <w:szCs w:val="21"/>
              </w:rPr>
            </w:pPr>
            <w:r>
              <w:rPr>
                <w:kern w:val="0"/>
                <w:szCs w:val="21"/>
                <w:lang w:bidi="ar"/>
              </w:rPr>
              <w:t>1.02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03E65F7">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5FCF603">
            <w:pPr>
              <w:widowControl/>
              <w:jc w:val="center"/>
              <w:textAlignment w:val="center"/>
              <w:rPr>
                <w:szCs w:val="21"/>
              </w:rPr>
            </w:pPr>
            <w:r>
              <w:rPr>
                <w:kern w:val="0"/>
                <w:szCs w:val="21"/>
                <w:lang w:bidi="ar"/>
              </w:rPr>
              <w:t>1.8989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41ED12E">
            <w:pPr>
              <w:widowControl/>
              <w:jc w:val="center"/>
              <w:textAlignment w:val="center"/>
              <w:rPr>
                <w:szCs w:val="21"/>
              </w:rPr>
            </w:pPr>
            <w:r>
              <w:rPr>
                <w:kern w:val="0"/>
                <w:szCs w:val="21"/>
                <w:lang w:bidi="ar"/>
              </w:rPr>
              <w:t>0.95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98F463F">
            <w:pPr>
              <w:widowControl/>
              <w:jc w:val="center"/>
              <w:textAlignment w:val="center"/>
              <w:rPr>
                <w:szCs w:val="21"/>
              </w:rPr>
            </w:pPr>
            <w:r>
              <w:rPr>
                <w:kern w:val="0"/>
                <w:szCs w:val="21"/>
                <w:lang w:bidi="ar"/>
              </w:rPr>
              <w:t>0.169545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93EDA28">
            <w:pPr>
              <w:widowControl/>
              <w:jc w:val="center"/>
              <w:textAlignment w:val="center"/>
              <w:rPr>
                <w:szCs w:val="21"/>
              </w:rPr>
            </w:pPr>
            <w:r>
              <w:rPr>
                <w:kern w:val="0"/>
                <w:szCs w:val="21"/>
                <w:lang w:bidi="ar"/>
              </w:rPr>
              <w:t>1.7</w:t>
            </w:r>
          </w:p>
        </w:tc>
      </w:tr>
      <w:tr w14:paraId="12FD2EFE">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72180FE">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F1A3FFF">
            <w:pPr>
              <w:widowControl/>
              <w:jc w:val="center"/>
              <w:textAlignment w:val="center"/>
              <w:rPr>
                <w:szCs w:val="21"/>
              </w:rPr>
            </w:pPr>
            <w:r>
              <w:rPr>
                <w:kern w:val="0"/>
                <w:szCs w:val="21"/>
                <w:lang w:bidi="ar"/>
              </w:rPr>
              <w:t>2.6782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E874AA3">
            <w:pPr>
              <w:widowControl/>
              <w:jc w:val="center"/>
              <w:textAlignment w:val="center"/>
              <w:rPr>
                <w:szCs w:val="21"/>
              </w:rPr>
            </w:pPr>
            <w:r>
              <w:rPr>
                <w:kern w:val="0"/>
                <w:szCs w:val="21"/>
                <w:lang w:bidi="ar"/>
              </w:rPr>
              <w:t>1.34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CC39264">
            <w:pPr>
              <w:widowControl/>
              <w:jc w:val="center"/>
              <w:textAlignment w:val="center"/>
              <w:rPr>
                <w:szCs w:val="21"/>
              </w:rPr>
            </w:pPr>
            <w:r>
              <w:rPr>
                <w:kern w:val="0"/>
                <w:szCs w:val="21"/>
                <w:lang w:bidi="ar"/>
              </w:rPr>
              <w:t>0.243473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099042F">
            <w:pPr>
              <w:widowControl/>
              <w:jc w:val="center"/>
              <w:textAlignment w:val="center"/>
              <w:rPr>
                <w:szCs w:val="21"/>
              </w:rPr>
            </w:pPr>
            <w:r>
              <w:rPr>
                <w:kern w:val="0"/>
                <w:szCs w:val="21"/>
                <w:lang w:bidi="ar"/>
              </w:rPr>
              <w:t>2.43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7B6627F">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A2FDF82">
            <w:pPr>
              <w:widowControl/>
              <w:jc w:val="center"/>
              <w:textAlignment w:val="center"/>
              <w:rPr>
                <w:szCs w:val="21"/>
              </w:rPr>
            </w:pPr>
            <w:r>
              <w:rPr>
                <w:kern w:val="0"/>
                <w:szCs w:val="21"/>
                <w:lang w:bidi="ar"/>
              </w:rPr>
              <w:t>1.1012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BEFC6F4">
            <w:pPr>
              <w:widowControl/>
              <w:jc w:val="center"/>
              <w:textAlignment w:val="center"/>
              <w:rPr>
                <w:szCs w:val="21"/>
              </w:rPr>
            </w:pPr>
            <w:r>
              <w:rPr>
                <w:kern w:val="0"/>
                <w:szCs w:val="21"/>
                <w:lang w:bidi="ar"/>
              </w:rPr>
              <w:t>0.55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40FDF3F">
            <w:pPr>
              <w:widowControl/>
              <w:jc w:val="center"/>
              <w:textAlignment w:val="center"/>
              <w:rPr>
                <w:szCs w:val="21"/>
              </w:rPr>
            </w:pPr>
            <w:r>
              <w:rPr>
                <w:kern w:val="0"/>
                <w:szCs w:val="21"/>
                <w:lang w:bidi="ar"/>
              </w:rPr>
              <w:t>0.091767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26199D0">
            <w:pPr>
              <w:widowControl/>
              <w:jc w:val="center"/>
              <w:textAlignment w:val="center"/>
              <w:rPr>
                <w:szCs w:val="21"/>
              </w:rPr>
            </w:pPr>
            <w:r>
              <w:rPr>
                <w:kern w:val="0"/>
                <w:szCs w:val="21"/>
                <w:lang w:bidi="ar"/>
              </w:rPr>
              <w:t>0.92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AAAAA92">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15AF4EB">
            <w:pPr>
              <w:widowControl/>
              <w:jc w:val="center"/>
              <w:textAlignment w:val="center"/>
              <w:rPr>
                <w:szCs w:val="21"/>
              </w:rPr>
            </w:pPr>
            <w:r>
              <w:rPr>
                <w:kern w:val="0"/>
                <w:szCs w:val="21"/>
                <w:lang w:bidi="ar"/>
              </w:rPr>
              <w:t>1.721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6784046">
            <w:pPr>
              <w:widowControl/>
              <w:jc w:val="center"/>
              <w:textAlignment w:val="center"/>
              <w:rPr>
                <w:szCs w:val="21"/>
              </w:rPr>
            </w:pPr>
            <w:r>
              <w:rPr>
                <w:kern w:val="0"/>
                <w:szCs w:val="21"/>
                <w:lang w:bidi="ar"/>
              </w:rPr>
              <w:t>0.86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653B7BE">
            <w:pPr>
              <w:widowControl/>
              <w:jc w:val="center"/>
              <w:textAlignment w:val="center"/>
              <w:rPr>
                <w:szCs w:val="21"/>
              </w:rPr>
            </w:pPr>
            <w:r>
              <w:rPr>
                <w:kern w:val="0"/>
                <w:szCs w:val="21"/>
                <w:lang w:bidi="ar"/>
              </w:rPr>
              <w:t>0.153661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F4295E7">
            <w:pPr>
              <w:widowControl/>
              <w:jc w:val="center"/>
              <w:textAlignment w:val="center"/>
              <w:rPr>
                <w:szCs w:val="21"/>
              </w:rPr>
            </w:pPr>
            <w:r>
              <w:rPr>
                <w:kern w:val="0"/>
                <w:szCs w:val="21"/>
                <w:lang w:bidi="ar"/>
              </w:rPr>
              <w:t>1.54</w:t>
            </w:r>
          </w:p>
        </w:tc>
      </w:tr>
      <w:tr w14:paraId="4E0BE91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5230479">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981899C">
            <w:pPr>
              <w:widowControl/>
              <w:jc w:val="center"/>
              <w:textAlignment w:val="center"/>
              <w:rPr>
                <w:szCs w:val="21"/>
              </w:rPr>
            </w:pPr>
            <w:r>
              <w:rPr>
                <w:kern w:val="0"/>
                <w:szCs w:val="21"/>
                <w:lang w:bidi="ar"/>
              </w:rPr>
              <w:t>2.4631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1B2702E">
            <w:pPr>
              <w:widowControl/>
              <w:jc w:val="center"/>
              <w:textAlignment w:val="center"/>
              <w:rPr>
                <w:szCs w:val="21"/>
              </w:rPr>
            </w:pPr>
            <w:r>
              <w:rPr>
                <w:kern w:val="0"/>
                <w:szCs w:val="21"/>
                <w:lang w:bidi="ar"/>
              </w:rPr>
              <w:t>1.23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95258F">
            <w:pPr>
              <w:widowControl/>
              <w:jc w:val="center"/>
              <w:textAlignment w:val="center"/>
              <w:rPr>
                <w:szCs w:val="21"/>
              </w:rPr>
            </w:pPr>
            <w:r>
              <w:rPr>
                <w:kern w:val="0"/>
                <w:szCs w:val="21"/>
                <w:lang w:bidi="ar"/>
              </w:rPr>
              <w:t>0.223918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E31C7D6">
            <w:pPr>
              <w:widowControl/>
              <w:jc w:val="center"/>
              <w:textAlignment w:val="center"/>
              <w:rPr>
                <w:szCs w:val="21"/>
              </w:rPr>
            </w:pPr>
            <w:r>
              <w:rPr>
                <w:kern w:val="0"/>
                <w:szCs w:val="21"/>
                <w:lang w:bidi="ar"/>
              </w:rPr>
              <w:t>2.24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6C3FDF2">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9C8F3D0">
            <w:pPr>
              <w:widowControl/>
              <w:jc w:val="center"/>
              <w:textAlignment w:val="center"/>
              <w:rPr>
                <w:szCs w:val="21"/>
              </w:rPr>
            </w:pPr>
            <w:r>
              <w:rPr>
                <w:kern w:val="0"/>
                <w:szCs w:val="21"/>
                <w:lang w:bidi="ar"/>
              </w:rPr>
              <w:t>1.0099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0ADA5CC">
            <w:pPr>
              <w:widowControl/>
              <w:jc w:val="center"/>
              <w:textAlignment w:val="center"/>
              <w:rPr>
                <w:szCs w:val="21"/>
              </w:rPr>
            </w:pPr>
            <w:r>
              <w:rPr>
                <w:kern w:val="0"/>
                <w:szCs w:val="21"/>
                <w:lang w:bidi="ar"/>
              </w:rPr>
              <w:t>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E448E9D">
            <w:pPr>
              <w:widowControl/>
              <w:jc w:val="center"/>
              <w:textAlignment w:val="center"/>
              <w:rPr>
                <w:szCs w:val="21"/>
              </w:rPr>
            </w:pPr>
            <w:r>
              <w:rPr>
                <w:kern w:val="0"/>
                <w:szCs w:val="21"/>
                <w:lang w:bidi="ar"/>
              </w:rPr>
              <w:t>0.084158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5E4EDC5">
            <w:pPr>
              <w:widowControl/>
              <w:jc w:val="center"/>
              <w:textAlignment w:val="center"/>
              <w:rPr>
                <w:szCs w:val="21"/>
              </w:rPr>
            </w:pPr>
            <w:r>
              <w:rPr>
                <w:kern w:val="0"/>
                <w:szCs w:val="21"/>
                <w:lang w:bidi="ar"/>
              </w:rPr>
              <w:t>0.84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EAF94D3">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D29832">
            <w:pPr>
              <w:widowControl/>
              <w:jc w:val="center"/>
              <w:textAlignment w:val="center"/>
              <w:rPr>
                <w:szCs w:val="21"/>
              </w:rPr>
            </w:pPr>
            <w:r>
              <w:rPr>
                <w:kern w:val="0"/>
                <w:szCs w:val="21"/>
                <w:lang w:bidi="ar"/>
              </w:rPr>
              <w:t>1.5773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2E99437">
            <w:pPr>
              <w:widowControl/>
              <w:jc w:val="center"/>
              <w:textAlignment w:val="center"/>
              <w:rPr>
                <w:szCs w:val="21"/>
              </w:rPr>
            </w:pPr>
            <w:r>
              <w:rPr>
                <w:kern w:val="0"/>
                <w:szCs w:val="21"/>
                <w:lang w:bidi="ar"/>
              </w:rPr>
              <w:t>0.79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2A9CD76">
            <w:pPr>
              <w:widowControl/>
              <w:jc w:val="center"/>
              <w:textAlignment w:val="center"/>
              <w:rPr>
                <w:szCs w:val="21"/>
              </w:rPr>
            </w:pPr>
            <w:r>
              <w:rPr>
                <w:kern w:val="0"/>
                <w:szCs w:val="21"/>
                <w:lang w:bidi="ar"/>
              </w:rPr>
              <w:t>0.14083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B229102">
            <w:pPr>
              <w:widowControl/>
              <w:jc w:val="center"/>
              <w:textAlignment w:val="center"/>
              <w:rPr>
                <w:szCs w:val="21"/>
              </w:rPr>
            </w:pPr>
            <w:r>
              <w:rPr>
                <w:kern w:val="0"/>
                <w:szCs w:val="21"/>
                <w:lang w:bidi="ar"/>
              </w:rPr>
              <w:t>1.41</w:t>
            </w:r>
          </w:p>
        </w:tc>
      </w:tr>
      <w:tr w14:paraId="60B35D2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338839A">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5AB32DE">
            <w:pPr>
              <w:widowControl/>
              <w:jc w:val="center"/>
              <w:textAlignment w:val="center"/>
              <w:rPr>
                <w:szCs w:val="21"/>
              </w:rPr>
            </w:pPr>
            <w:r>
              <w:rPr>
                <w:kern w:val="0"/>
                <w:szCs w:val="21"/>
                <w:lang w:bidi="ar"/>
              </w:rPr>
              <w:t>1.9883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68275AF">
            <w:pPr>
              <w:widowControl/>
              <w:jc w:val="center"/>
              <w:textAlignment w:val="center"/>
              <w:rPr>
                <w:szCs w:val="21"/>
              </w:rPr>
            </w:pPr>
            <w:r>
              <w:rPr>
                <w:kern w:val="0"/>
                <w:szCs w:val="21"/>
                <w:lang w:bidi="ar"/>
              </w:rPr>
              <w:t>0.99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B2DD7C9">
            <w:pPr>
              <w:widowControl/>
              <w:jc w:val="center"/>
              <w:textAlignment w:val="center"/>
              <w:rPr>
                <w:szCs w:val="21"/>
              </w:rPr>
            </w:pPr>
            <w:r>
              <w:rPr>
                <w:kern w:val="0"/>
                <w:szCs w:val="21"/>
                <w:lang w:bidi="ar"/>
              </w:rPr>
              <w:t>0.180755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BF4C89E">
            <w:pPr>
              <w:widowControl/>
              <w:jc w:val="center"/>
              <w:textAlignment w:val="center"/>
              <w:rPr>
                <w:szCs w:val="21"/>
              </w:rPr>
            </w:pPr>
            <w:r>
              <w:rPr>
                <w:kern w:val="0"/>
                <w:szCs w:val="21"/>
                <w:lang w:bidi="ar"/>
              </w:rPr>
              <w:t>1.81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E8E5C0B">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F5BA436">
            <w:pPr>
              <w:widowControl/>
              <w:jc w:val="center"/>
              <w:textAlignment w:val="center"/>
              <w:rPr>
                <w:szCs w:val="21"/>
              </w:rPr>
            </w:pPr>
            <w:r>
              <w:rPr>
                <w:kern w:val="0"/>
                <w:szCs w:val="21"/>
                <w:lang w:bidi="ar"/>
              </w:rPr>
              <w:t>0.81312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14AEA3B">
            <w:pPr>
              <w:widowControl/>
              <w:jc w:val="center"/>
              <w:textAlignment w:val="center"/>
              <w:rPr>
                <w:szCs w:val="21"/>
              </w:rPr>
            </w:pPr>
            <w:r>
              <w:rPr>
                <w:kern w:val="0"/>
                <w:szCs w:val="21"/>
                <w:lang w:bidi="ar"/>
              </w:rPr>
              <w:t>0.41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223BFEE">
            <w:pPr>
              <w:widowControl/>
              <w:jc w:val="center"/>
              <w:textAlignment w:val="center"/>
              <w:rPr>
                <w:szCs w:val="21"/>
              </w:rPr>
            </w:pPr>
            <w:r>
              <w:rPr>
                <w:kern w:val="0"/>
                <w:szCs w:val="21"/>
                <w:lang w:bidi="ar"/>
              </w:rPr>
              <w:t>0.06776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4A31A17">
            <w:pPr>
              <w:widowControl/>
              <w:jc w:val="center"/>
              <w:textAlignment w:val="center"/>
              <w:rPr>
                <w:szCs w:val="21"/>
              </w:rPr>
            </w:pPr>
            <w:r>
              <w:rPr>
                <w:kern w:val="0"/>
                <w:szCs w:val="21"/>
                <w:lang w:bidi="ar"/>
              </w:rPr>
              <w:t>0.68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C349730">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CCCD097">
            <w:pPr>
              <w:widowControl/>
              <w:jc w:val="center"/>
              <w:textAlignment w:val="center"/>
              <w:rPr>
                <w:szCs w:val="21"/>
              </w:rPr>
            </w:pPr>
            <w:r>
              <w:rPr>
                <w:kern w:val="0"/>
                <w:szCs w:val="21"/>
                <w:lang w:bidi="ar"/>
              </w:rPr>
              <w:t>1.265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5492E8B">
            <w:pPr>
              <w:widowControl/>
              <w:jc w:val="center"/>
              <w:textAlignment w:val="center"/>
              <w:rPr>
                <w:szCs w:val="21"/>
              </w:rPr>
            </w:pPr>
            <w:r>
              <w:rPr>
                <w:kern w:val="0"/>
                <w:szCs w:val="21"/>
                <w:lang w:bidi="ar"/>
              </w:rPr>
              <w:t>0.63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60022BB">
            <w:pPr>
              <w:widowControl/>
              <w:jc w:val="center"/>
              <w:textAlignment w:val="center"/>
              <w:rPr>
                <w:szCs w:val="21"/>
              </w:rPr>
            </w:pPr>
            <w:r>
              <w:rPr>
                <w:kern w:val="0"/>
                <w:szCs w:val="21"/>
                <w:lang w:bidi="ar"/>
              </w:rPr>
              <w:t>0.112947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C4BEDC9">
            <w:pPr>
              <w:widowControl/>
              <w:jc w:val="center"/>
              <w:textAlignment w:val="center"/>
              <w:rPr>
                <w:szCs w:val="21"/>
              </w:rPr>
            </w:pPr>
            <w:r>
              <w:rPr>
                <w:kern w:val="0"/>
                <w:szCs w:val="21"/>
                <w:lang w:bidi="ar"/>
              </w:rPr>
              <w:t>1.13</w:t>
            </w:r>
          </w:p>
        </w:tc>
      </w:tr>
      <w:tr w14:paraId="139AF1F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46A92F2">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184790E">
            <w:pPr>
              <w:widowControl/>
              <w:jc w:val="center"/>
              <w:textAlignment w:val="center"/>
              <w:rPr>
                <w:szCs w:val="21"/>
              </w:rPr>
            </w:pPr>
            <w:r>
              <w:rPr>
                <w:kern w:val="0"/>
                <w:szCs w:val="21"/>
                <w:lang w:bidi="ar"/>
              </w:rPr>
              <w:t>1.7517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8724CDF">
            <w:pPr>
              <w:widowControl/>
              <w:jc w:val="center"/>
              <w:textAlignment w:val="center"/>
              <w:rPr>
                <w:szCs w:val="21"/>
              </w:rPr>
            </w:pPr>
            <w:r>
              <w:rPr>
                <w:kern w:val="0"/>
                <w:szCs w:val="21"/>
                <w:lang w:bidi="ar"/>
              </w:rPr>
              <w:t>0.88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EBA68B8">
            <w:pPr>
              <w:widowControl/>
              <w:jc w:val="center"/>
              <w:textAlignment w:val="center"/>
              <w:rPr>
                <w:szCs w:val="21"/>
              </w:rPr>
            </w:pPr>
            <w:r>
              <w:rPr>
                <w:kern w:val="0"/>
                <w:szCs w:val="21"/>
                <w:lang w:bidi="ar"/>
              </w:rPr>
              <w:t>0.159246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E8D2147">
            <w:pPr>
              <w:widowControl/>
              <w:jc w:val="center"/>
              <w:textAlignment w:val="center"/>
              <w:rPr>
                <w:szCs w:val="21"/>
              </w:rPr>
            </w:pPr>
            <w:r>
              <w:rPr>
                <w:kern w:val="0"/>
                <w:szCs w:val="21"/>
                <w:lang w:bidi="ar"/>
              </w:rPr>
              <w:t>1.59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26DCD8D">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7E741EB">
            <w:pPr>
              <w:widowControl/>
              <w:jc w:val="center"/>
              <w:textAlignment w:val="center"/>
              <w:rPr>
                <w:szCs w:val="21"/>
              </w:rPr>
            </w:pPr>
            <w:r>
              <w:rPr>
                <w:kern w:val="0"/>
                <w:szCs w:val="21"/>
                <w:lang w:bidi="ar"/>
              </w:rPr>
              <w:t>0.71638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C9A432E">
            <w:pPr>
              <w:widowControl/>
              <w:jc w:val="center"/>
              <w:textAlignment w:val="center"/>
              <w:rPr>
                <w:szCs w:val="21"/>
              </w:rPr>
            </w:pPr>
            <w:r>
              <w:rPr>
                <w:kern w:val="0"/>
                <w:szCs w:val="21"/>
                <w:lang w:bidi="ar"/>
              </w:rPr>
              <w:t>0.36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309497A">
            <w:pPr>
              <w:widowControl/>
              <w:jc w:val="center"/>
              <w:textAlignment w:val="center"/>
              <w:rPr>
                <w:szCs w:val="21"/>
              </w:rPr>
            </w:pPr>
            <w:r>
              <w:rPr>
                <w:kern w:val="0"/>
                <w:szCs w:val="21"/>
                <w:lang w:bidi="ar"/>
              </w:rPr>
              <w:t>0.059698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C137730">
            <w:pPr>
              <w:widowControl/>
              <w:jc w:val="center"/>
              <w:textAlignment w:val="center"/>
              <w:rPr>
                <w:szCs w:val="21"/>
              </w:rPr>
            </w:pPr>
            <w:r>
              <w:rPr>
                <w:kern w:val="0"/>
                <w:szCs w:val="21"/>
                <w:lang w:bidi="ar"/>
              </w:rPr>
              <w:t>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50EBD46">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0A3884E">
            <w:pPr>
              <w:widowControl/>
              <w:jc w:val="center"/>
              <w:textAlignment w:val="center"/>
              <w:rPr>
                <w:szCs w:val="21"/>
              </w:rPr>
            </w:pPr>
            <w:r>
              <w:rPr>
                <w:kern w:val="0"/>
                <w:szCs w:val="21"/>
                <w:lang w:bidi="ar"/>
              </w:rPr>
              <w:t>1.1145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F392D19">
            <w:pPr>
              <w:widowControl/>
              <w:jc w:val="center"/>
              <w:textAlignment w:val="center"/>
              <w:rPr>
                <w:szCs w:val="21"/>
              </w:rPr>
            </w:pPr>
            <w:r>
              <w:rPr>
                <w:kern w:val="0"/>
                <w:szCs w:val="21"/>
                <w:lang w:bidi="ar"/>
              </w:rPr>
              <w:t>0.56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F8E52C0">
            <w:pPr>
              <w:widowControl/>
              <w:jc w:val="center"/>
              <w:textAlignment w:val="center"/>
              <w:rPr>
                <w:szCs w:val="21"/>
              </w:rPr>
            </w:pPr>
            <w:r>
              <w:rPr>
                <w:kern w:val="0"/>
                <w:szCs w:val="21"/>
                <w:lang w:bidi="ar"/>
              </w:rPr>
              <w:t>0.099509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5FD1892">
            <w:pPr>
              <w:widowControl/>
              <w:jc w:val="center"/>
              <w:textAlignment w:val="center"/>
              <w:rPr>
                <w:szCs w:val="21"/>
              </w:rPr>
            </w:pPr>
            <w:r>
              <w:rPr>
                <w:kern w:val="0"/>
                <w:szCs w:val="21"/>
                <w:lang w:bidi="ar"/>
              </w:rPr>
              <w:t>1</w:t>
            </w:r>
          </w:p>
        </w:tc>
      </w:tr>
      <w:tr w14:paraId="12A0EDD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F3A1C5A">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ECFD125">
            <w:pPr>
              <w:widowControl/>
              <w:jc w:val="center"/>
              <w:textAlignment w:val="center"/>
              <w:rPr>
                <w:szCs w:val="21"/>
              </w:rPr>
            </w:pPr>
            <w:r>
              <w:rPr>
                <w:kern w:val="0"/>
                <w:szCs w:val="21"/>
                <w:lang w:bidi="ar"/>
              </w:rPr>
              <w:t>1.5614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746AFE2">
            <w:pPr>
              <w:widowControl/>
              <w:jc w:val="center"/>
              <w:textAlignment w:val="center"/>
              <w:rPr>
                <w:szCs w:val="21"/>
              </w:rPr>
            </w:pPr>
            <w:r>
              <w:rPr>
                <w:kern w:val="0"/>
                <w:szCs w:val="21"/>
                <w:lang w:bidi="ar"/>
              </w:rPr>
              <w:t>0.78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BD29C34">
            <w:pPr>
              <w:widowControl/>
              <w:jc w:val="center"/>
              <w:textAlignment w:val="center"/>
              <w:rPr>
                <w:szCs w:val="21"/>
              </w:rPr>
            </w:pPr>
            <w:r>
              <w:rPr>
                <w:kern w:val="0"/>
                <w:szCs w:val="21"/>
                <w:lang w:bidi="ar"/>
              </w:rPr>
              <w:t>0.141946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D77DBE1">
            <w:pPr>
              <w:widowControl/>
              <w:jc w:val="center"/>
              <w:textAlignment w:val="center"/>
              <w:rPr>
                <w:szCs w:val="21"/>
              </w:rPr>
            </w:pPr>
            <w:r>
              <w:rPr>
                <w:kern w:val="0"/>
                <w:szCs w:val="21"/>
                <w:lang w:bidi="ar"/>
              </w:rPr>
              <w:t>1.42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1D4F5A8">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7079247">
            <w:pPr>
              <w:widowControl/>
              <w:jc w:val="center"/>
              <w:textAlignment w:val="center"/>
              <w:rPr>
                <w:szCs w:val="21"/>
              </w:rPr>
            </w:pPr>
            <w:r>
              <w:rPr>
                <w:kern w:val="0"/>
                <w:szCs w:val="21"/>
                <w:lang w:bidi="ar"/>
              </w:rPr>
              <w:t>0.63855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04E8DAE">
            <w:pPr>
              <w:widowControl/>
              <w:jc w:val="center"/>
              <w:textAlignment w:val="center"/>
              <w:rPr>
                <w:szCs w:val="21"/>
              </w:rPr>
            </w:pPr>
            <w:r>
              <w:rPr>
                <w:kern w:val="0"/>
                <w:szCs w:val="21"/>
                <w:lang w:bidi="ar"/>
              </w:rPr>
              <w:t>0.32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3B7B9ED">
            <w:pPr>
              <w:widowControl/>
              <w:jc w:val="center"/>
              <w:textAlignment w:val="center"/>
              <w:rPr>
                <w:szCs w:val="21"/>
              </w:rPr>
            </w:pPr>
            <w:r>
              <w:rPr>
                <w:kern w:val="0"/>
                <w:szCs w:val="21"/>
                <w:lang w:bidi="ar"/>
              </w:rPr>
              <w:t>0.053213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9DC6FEC">
            <w:pPr>
              <w:widowControl/>
              <w:jc w:val="center"/>
              <w:textAlignment w:val="center"/>
              <w:rPr>
                <w:szCs w:val="21"/>
              </w:rPr>
            </w:pPr>
            <w:r>
              <w:rPr>
                <w:kern w:val="0"/>
                <w:szCs w:val="21"/>
                <w:lang w:bidi="ar"/>
              </w:rPr>
              <w:t>0.53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FD1B21B">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4F54987">
            <w:pPr>
              <w:widowControl/>
              <w:jc w:val="center"/>
              <w:textAlignment w:val="center"/>
              <w:rPr>
                <w:szCs w:val="21"/>
              </w:rPr>
            </w:pPr>
            <w:r>
              <w:rPr>
                <w:kern w:val="0"/>
                <w:szCs w:val="21"/>
                <w:lang w:bidi="ar"/>
              </w:rPr>
              <w:t>0.99339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4C82284">
            <w:pPr>
              <w:widowControl/>
              <w:jc w:val="center"/>
              <w:textAlignment w:val="center"/>
              <w:rPr>
                <w:szCs w:val="21"/>
              </w:rPr>
            </w:pPr>
            <w:r>
              <w:rPr>
                <w:kern w:val="0"/>
                <w:szCs w:val="21"/>
                <w:lang w:bidi="ar"/>
              </w:rPr>
              <w:t>0.5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243C0F3">
            <w:pPr>
              <w:widowControl/>
              <w:jc w:val="center"/>
              <w:textAlignment w:val="center"/>
              <w:rPr>
                <w:szCs w:val="21"/>
              </w:rPr>
            </w:pPr>
            <w:r>
              <w:rPr>
                <w:kern w:val="0"/>
                <w:szCs w:val="21"/>
                <w:lang w:bidi="ar"/>
              </w:rPr>
              <w:t>0.088696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463D89C">
            <w:pPr>
              <w:widowControl/>
              <w:jc w:val="center"/>
              <w:textAlignment w:val="center"/>
              <w:rPr>
                <w:szCs w:val="21"/>
              </w:rPr>
            </w:pPr>
            <w:r>
              <w:rPr>
                <w:kern w:val="0"/>
                <w:szCs w:val="21"/>
                <w:lang w:bidi="ar"/>
              </w:rPr>
              <w:t>0.89</w:t>
            </w:r>
          </w:p>
        </w:tc>
      </w:tr>
      <w:tr w14:paraId="3F7C452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8A1F5F3">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CC5863F">
            <w:pPr>
              <w:widowControl/>
              <w:jc w:val="center"/>
              <w:textAlignment w:val="center"/>
              <w:rPr>
                <w:szCs w:val="21"/>
              </w:rPr>
            </w:pPr>
            <w:r>
              <w:rPr>
                <w:kern w:val="0"/>
                <w:szCs w:val="21"/>
                <w:lang w:bidi="ar"/>
              </w:rPr>
              <w:t>1.4052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6A79DDF">
            <w:pPr>
              <w:widowControl/>
              <w:jc w:val="center"/>
              <w:textAlignment w:val="center"/>
              <w:rPr>
                <w:szCs w:val="21"/>
              </w:rPr>
            </w:pPr>
            <w:r>
              <w:rPr>
                <w:kern w:val="0"/>
                <w:szCs w:val="21"/>
                <w:lang w:bidi="ar"/>
              </w:rPr>
              <w:t>0.7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8246C93">
            <w:pPr>
              <w:widowControl/>
              <w:jc w:val="center"/>
              <w:textAlignment w:val="center"/>
              <w:rPr>
                <w:szCs w:val="21"/>
              </w:rPr>
            </w:pPr>
            <w:r>
              <w:rPr>
                <w:kern w:val="0"/>
                <w:szCs w:val="21"/>
                <w:lang w:bidi="ar"/>
              </w:rPr>
              <w:t>0.127746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0815604">
            <w:pPr>
              <w:widowControl/>
              <w:jc w:val="center"/>
              <w:textAlignment w:val="center"/>
              <w:rPr>
                <w:szCs w:val="21"/>
              </w:rPr>
            </w:pPr>
            <w:r>
              <w:rPr>
                <w:kern w:val="0"/>
                <w:szCs w:val="21"/>
                <w:lang w:bidi="ar"/>
              </w:rPr>
              <w:t>1.28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F922175">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6428829">
            <w:pPr>
              <w:widowControl/>
              <w:jc w:val="center"/>
              <w:textAlignment w:val="center"/>
              <w:rPr>
                <w:szCs w:val="21"/>
              </w:rPr>
            </w:pPr>
            <w:r>
              <w:rPr>
                <w:kern w:val="0"/>
                <w:szCs w:val="21"/>
                <w:lang w:bidi="ar"/>
              </w:rPr>
              <w:t>0.57468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15999EF">
            <w:pPr>
              <w:widowControl/>
              <w:jc w:val="center"/>
              <w:textAlignment w:val="center"/>
              <w:rPr>
                <w:szCs w:val="21"/>
              </w:rPr>
            </w:pPr>
            <w:r>
              <w:rPr>
                <w:kern w:val="0"/>
                <w:szCs w:val="21"/>
                <w:lang w:bidi="ar"/>
              </w:rPr>
              <w:t>0.29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BD40324">
            <w:pPr>
              <w:widowControl/>
              <w:jc w:val="center"/>
              <w:textAlignment w:val="center"/>
              <w:rPr>
                <w:szCs w:val="21"/>
              </w:rPr>
            </w:pPr>
            <w:r>
              <w:rPr>
                <w:kern w:val="0"/>
                <w:szCs w:val="21"/>
                <w:lang w:bidi="ar"/>
              </w:rPr>
              <w:t>0.04789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00BD711">
            <w:pPr>
              <w:widowControl/>
              <w:jc w:val="center"/>
              <w:textAlignment w:val="center"/>
              <w:rPr>
                <w:szCs w:val="21"/>
              </w:rPr>
            </w:pPr>
            <w:r>
              <w:rPr>
                <w:kern w:val="0"/>
                <w:szCs w:val="21"/>
                <w:lang w:bidi="ar"/>
              </w:rPr>
              <w:t>0.48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271F0AE">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47810AB">
            <w:pPr>
              <w:widowControl/>
              <w:jc w:val="center"/>
              <w:textAlignment w:val="center"/>
              <w:rPr>
                <w:szCs w:val="21"/>
              </w:rPr>
            </w:pPr>
            <w:r>
              <w:rPr>
                <w:kern w:val="0"/>
                <w:szCs w:val="21"/>
                <w:lang w:bidi="ar"/>
              </w:rPr>
              <w:t>0.89402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E3D09AD">
            <w:pPr>
              <w:widowControl/>
              <w:jc w:val="center"/>
              <w:textAlignment w:val="center"/>
              <w:rPr>
                <w:szCs w:val="21"/>
              </w:rPr>
            </w:pPr>
            <w:r>
              <w:rPr>
                <w:kern w:val="0"/>
                <w:szCs w:val="21"/>
                <w:lang w:bidi="ar"/>
              </w:rPr>
              <w:t>0.45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E1C5BF5">
            <w:pPr>
              <w:widowControl/>
              <w:jc w:val="center"/>
              <w:textAlignment w:val="center"/>
              <w:rPr>
                <w:szCs w:val="21"/>
              </w:rPr>
            </w:pPr>
            <w:r>
              <w:rPr>
                <w:kern w:val="0"/>
                <w:szCs w:val="21"/>
                <w:lang w:bidi="ar"/>
              </w:rPr>
              <w:t>0.079823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BAD097C">
            <w:pPr>
              <w:widowControl/>
              <w:jc w:val="center"/>
              <w:textAlignment w:val="center"/>
              <w:rPr>
                <w:szCs w:val="21"/>
              </w:rPr>
            </w:pPr>
            <w:r>
              <w:rPr>
                <w:kern w:val="0"/>
                <w:szCs w:val="21"/>
                <w:lang w:bidi="ar"/>
              </w:rPr>
              <w:t>0.8</w:t>
            </w:r>
          </w:p>
        </w:tc>
      </w:tr>
      <w:tr w14:paraId="32786E9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239C81F">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82DEB22">
            <w:pPr>
              <w:widowControl/>
              <w:jc w:val="center"/>
              <w:textAlignment w:val="center"/>
              <w:rPr>
                <w:szCs w:val="21"/>
              </w:rPr>
            </w:pPr>
            <w:r>
              <w:rPr>
                <w:kern w:val="0"/>
                <w:szCs w:val="21"/>
                <w:lang w:bidi="ar"/>
              </w:rPr>
              <w:t>1.2749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5EEE330">
            <w:pPr>
              <w:widowControl/>
              <w:jc w:val="center"/>
              <w:textAlignment w:val="center"/>
              <w:rPr>
                <w:szCs w:val="21"/>
              </w:rPr>
            </w:pPr>
            <w:r>
              <w:rPr>
                <w:kern w:val="0"/>
                <w:szCs w:val="21"/>
                <w:lang w:bidi="ar"/>
              </w:rPr>
              <w:t>0.64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E252971">
            <w:pPr>
              <w:widowControl/>
              <w:jc w:val="center"/>
              <w:textAlignment w:val="center"/>
              <w:rPr>
                <w:szCs w:val="21"/>
              </w:rPr>
            </w:pPr>
            <w:r>
              <w:rPr>
                <w:kern w:val="0"/>
                <w:szCs w:val="21"/>
                <w:lang w:bidi="ar"/>
              </w:rPr>
              <w:t>0.1159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E9DD11A">
            <w:pPr>
              <w:widowControl/>
              <w:jc w:val="center"/>
              <w:textAlignment w:val="center"/>
              <w:rPr>
                <w:szCs w:val="21"/>
              </w:rPr>
            </w:pPr>
            <w:r>
              <w:rPr>
                <w:kern w:val="0"/>
                <w:szCs w:val="21"/>
                <w:lang w:bidi="ar"/>
              </w:rPr>
              <w:t>1.16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8EDD464">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C3ADA60">
            <w:pPr>
              <w:widowControl/>
              <w:jc w:val="center"/>
              <w:textAlignment w:val="center"/>
              <w:rPr>
                <w:szCs w:val="21"/>
              </w:rPr>
            </w:pPr>
            <w:r>
              <w:rPr>
                <w:kern w:val="0"/>
                <w:szCs w:val="21"/>
                <w:lang w:bidi="ar"/>
              </w:rPr>
              <w:t>0.52143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F2A2483">
            <w:pPr>
              <w:widowControl/>
              <w:jc w:val="center"/>
              <w:textAlignment w:val="center"/>
              <w:rPr>
                <w:szCs w:val="21"/>
              </w:rPr>
            </w:pPr>
            <w:r>
              <w:rPr>
                <w:kern w:val="0"/>
                <w:szCs w:val="21"/>
                <w:lang w:bidi="ar"/>
              </w:rPr>
              <w:t>0.26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DA74866">
            <w:pPr>
              <w:widowControl/>
              <w:jc w:val="center"/>
              <w:textAlignment w:val="center"/>
              <w:rPr>
                <w:szCs w:val="21"/>
              </w:rPr>
            </w:pPr>
            <w:r>
              <w:rPr>
                <w:kern w:val="0"/>
                <w:szCs w:val="21"/>
                <w:lang w:bidi="ar"/>
              </w:rPr>
              <w:t>0.043453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FDF6005">
            <w:pPr>
              <w:widowControl/>
              <w:jc w:val="center"/>
              <w:textAlignment w:val="center"/>
              <w:rPr>
                <w:szCs w:val="21"/>
              </w:rPr>
            </w:pPr>
            <w:r>
              <w:rPr>
                <w:kern w:val="0"/>
                <w:szCs w:val="21"/>
                <w:lang w:bidi="ar"/>
              </w:rPr>
              <w:t>0.43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D8CC593">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FEC7E8A">
            <w:pPr>
              <w:widowControl/>
              <w:jc w:val="center"/>
              <w:textAlignment w:val="center"/>
              <w:rPr>
                <w:szCs w:val="21"/>
              </w:rPr>
            </w:pPr>
            <w:r>
              <w:rPr>
                <w:kern w:val="0"/>
                <w:szCs w:val="21"/>
                <w:lang w:bidi="ar"/>
              </w:rPr>
              <w:t>0.81118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D3492B6">
            <w:pPr>
              <w:widowControl/>
              <w:jc w:val="center"/>
              <w:textAlignment w:val="center"/>
              <w:rPr>
                <w:szCs w:val="21"/>
              </w:rPr>
            </w:pPr>
            <w:r>
              <w:rPr>
                <w:kern w:val="0"/>
                <w:szCs w:val="21"/>
                <w:lang w:bidi="ar"/>
              </w:rPr>
              <w:t>0.41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3B253C0">
            <w:pPr>
              <w:widowControl/>
              <w:jc w:val="center"/>
              <w:textAlignment w:val="center"/>
              <w:rPr>
                <w:szCs w:val="21"/>
              </w:rPr>
            </w:pPr>
            <w:r>
              <w:rPr>
                <w:kern w:val="0"/>
                <w:szCs w:val="21"/>
                <w:lang w:bidi="ar"/>
              </w:rPr>
              <w:t>0.072427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0F93CE5">
            <w:pPr>
              <w:widowControl/>
              <w:jc w:val="center"/>
              <w:textAlignment w:val="center"/>
              <w:rPr>
                <w:szCs w:val="21"/>
              </w:rPr>
            </w:pPr>
            <w:r>
              <w:rPr>
                <w:kern w:val="0"/>
                <w:szCs w:val="21"/>
                <w:lang w:bidi="ar"/>
              </w:rPr>
              <w:t>0.72</w:t>
            </w:r>
          </w:p>
        </w:tc>
      </w:tr>
      <w:tr w14:paraId="5A3CF83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1C97337">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2A079D">
            <w:pPr>
              <w:widowControl/>
              <w:jc w:val="center"/>
              <w:textAlignment w:val="center"/>
              <w:rPr>
                <w:szCs w:val="21"/>
              </w:rPr>
            </w:pPr>
            <w:r>
              <w:rPr>
                <w:kern w:val="0"/>
                <w:szCs w:val="21"/>
                <w:lang w:bidi="ar"/>
              </w:rPr>
              <w:t>1.1649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192D57E">
            <w:pPr>
              <w:widowControl/>
              <w:jc w:val="center"/>
              <w:textAlignment w:val="center"/>
              <w:rPr>
                <w:szCs w:val="21"/>
              </w:rPr>
            </w:pPr>
            <w:r>
              <w:rPr>
                <w:kern w:val="0"/>
                <w:szCs w:val="21"/>
                <w:lang w:bidi="ar"/>
              </w:rPr>
              <w:t>0.58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23266F0">
            <w:pPr>
              <w:widowControl/>
              <w:jc w:val="center"/>
              <w:textAlignment w:val="center"/>
              <w:rPr>
                <w:szCs w:val="21"/>
              </w:rPr>
            </w:pPr>
            <w:r>
              <w:rPr>
                <w:kern w:val="0"/>
                <w:szCs w:val="21"/>
                <w:lang w:bidi="ar"/>
              </w:rPr>
              <w:t>0.1059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F8B67C0">
            <w:pPr>
              <w:widowControl/>
              <w:jc w:val="center"/>
              <w:textAlignment w:val="center"/>
              <w:rPr>
                <w:szCs w:val="21"/>
              </w:rPr>
            </w:pPr>
            <w:r>
              <w:rPr>
                <w:kern w:val="0"/>
                <w:szCs w:val="21"/>
                <w:lang w:bidi="ar"/>
              </w:rPr>
              <w:t>1.06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7B8F798">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853AB77">
            <w:pPr>
              <w:widowControl/>
              <w:jc w:val="center"/>
              <w:textAlignment w:val="center"/>
              <w:rPr>
                <w:szCs w:val="21"/>
              </w:rPr>
            </w:pPr>
            <w:r>
              <w:rPr>
                <w:kern w:val="0"/>
                <w:szCs w:val="21"/>
                <w:lang w:bidi="ar"/>
              </w:rPr>
              <w:t>0.47644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132BE7D">
            <w:pPr>
              <w:widowControl/>
              <w:jc w:val="center"/>
              <w:textAlignment w:val="center"/>
              <w:rPr>
                <w:szCs w:val="21"/>
              </w:rPr>
            </w:pPr>
            <w:r>
              <w:rPr>
                <w:kern w:val="0"/>
                <w:szCs w:val="21"/>
                <w:lang w:bidi="ar"/>
              </w:rPr>
              <w:t>0.24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52B0B65">
            <w:pPr>
              <w:widowControl/>
              <w:jc w:val="center"/>
              <w:textAlignment w:val="center"/>
              <w:rPr>
                <w:szCs w:val="21"/>
              </w:rPr>
            </w:pPr>
            <w:r>
              <w:rPr>
                <w:kern w:val="0"/>
                <w:szCs w:val="21"/>
                <w:lang w:bidi="ar"/>
              </w:rPr>
              <w:t>0.039703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F917442">
            <w:pPr>
              <w:widowControl/>
              <w:jc w:val="center"/>
              <w:textAlignment w:val="center"/>
              <w:rPr>
                <w:szCs w:val="21"/>
              </w:rPr>
            </w:pPr>
            <w:r>
              <w:rPr>
                <w:kern w:val="0"/>
                <w:szCs w:val="21"/>
                <w:lang w:bidi="ar"/>
              </w:rPr>
              <w:t>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69E4972">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42EE127">
            <w:pPr>
              <w:widowControl/>
              <w:jc w:val="center"/>
              <w:textAlignment w:val="center"/>
              <w:rPr>
                <w:szCs w:val="21"/>
              </w:rPr>
            </w:pPr>
            <w:r>
              <w:rPr>
                <w:kern w:val="0"/>
                <w:szCs w:val="21"/>
                <w:lang w:bidi="ar"/>
              </w:rPr>
              <w:t>0.7412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0065905">
            <w:pPr>
              <w:widowControl/>
              <w:jc w:val="center"/>
              <w:textAlignment w:val="center"/>
              <w:rPr>
                <w:szCs w:val="21"/>
              </w:rPr>
            </w:pPr>
            <w:r>
              <w:rPr>
                <w:kern w:val="0"/>
                <w:szCs w:val="21"/>
                <w:lang w:bidi="ar"/>
              </w:rPr>
              <w:t>0.37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0D505B0">
            <w:pPr>
              <w:widowControl/>
              <w:jc w:val="center"/>
              <w:textAlignment w:val="center"/>
              <w:rPr>
                <w:szCs w:val="21"/>
              </w:rPr>
            </w:pPr>
            <w:r>
              <w:rPr>
                <w:kern w:val="0"/>
                <w:szCs w:val="21"/>
                <w:lang w:bidi="ar"/>
              </w:rPr>
              <w:t>0.066179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BC14A3C">
            <w:pPr>
              <w:widowControl/>
              <w:jc w:val="center"/>
              <w:textAlignment w:val="center"/>
              <w:rPr>
                <w:szCs w:val="21"/>
              </w:rPr>
            </w:pPr>
            <w:r>
              <w:rPr>
                <w:kern w:val="0"/>
                <w:szCs w:val="21"/>
                <w:lang w:bidi="ar"/>
              </w:rPr>
              <w:t>0.66</w:t>
            </w:r>
          </w:p>
        </w:tc>
      </w:tr>
      <w:tr w14:paraId="094178F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1855E5D">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65B3534">
            <w:pPr>
              <w:widowControl/>
              <w:jc w:val="center"/>
              <w:textAlignment w:val="center"/>
              <w:rPr>
                <w:szCs w:val="21"/>
              </w:rPr>
            </w:pPr>
            <w:r>
              <w:rPr>
                <w:kern w:val="0"/>
                <w:szCs w:val="21"/>
                <w:lang w:bidi="ar"/>
              </w:rPr>
              <w:t>1.0753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1FF536B">
            <w:pPr>
              <w:widowControl/>
              <w:jc w:val="center"/>
              <w:textAlignment w:val="center"/>
              <w:rPr>
                <w:szCs w:val="21"/>
              </w:rPr>
            </w:pPr>
            <w:r>
              <w:rPr>
                <w:kern w:val="0"/>
                <w:szCs w:val="21"/>
                <w:lang w:bidi="ar"/>
              </w:rPr>
              <w:t>0.54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7383D6A">
            <w:pPr>
              <w:widowControl/>
              <w:jc w:val="center"/>
              <w:textAlignment w:val="center"/>
              <w:rPr>
                <w:szCs w:val="21"/>
              </w:rPr>
            </w:pPr>
            <w:r>
              <w:rPr>
                <w:kern w:val="0"/>
                <w:szCs w:val="21"/>
                <w:lang w:bidi="ar"/>
              </w:rPr>
              <w:t>0.097755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6063F0C">
            <w:pPr>
              <w:widowControl/>
              <w:jc w:val="center"/>
              <w:textAlignment w:val="center"/>
              <w:rPr>
                <w:szCs w:val="21"/>
              </w:rPr>
            </w:pPr>
            <w:r>
              <w:rPr>
                <w:kern w:val="0"/>
                <w:szCs w:val="21"/>
                <w:lang w:bidi="ar"/>
              </w:rPr>
              <w:t>0.98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5A2EEDF">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BFFBC05">
            <w:pPr>
              <w:widowControl/>
              <w:jc w:val="center"/>
              <w:textAlignment w:val="center"/>
              <w:rPr>
                <w:szCs w:val="21"/>
              </w:rPr>
            </w:pPr>
            <w:r>
              <w:rPr>
                <w:kern w:val="0"/>
                <w:szCs w:val="21"/>
                <w:lang w:bidi="ar"/>
              </w:rPr>
              <w:t>0.43976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AEAFAB3">
            <w:pPr>
              <w:widowControl/>
              <w:jc w:val="center"/>
              <w:textAlignment w:val="center"/>
              <w:rPr>
                <w:szCs w:val="21"/>
              </w:rPr>
            </w:pPr>
            <w:r>
              <w:rPr>
                <w:kern w:val="0"/>
                <w:szCs w:val="21"/>
                <w:lang w:bidi="ar"/>
              </w:rPr>
              <w:t>0.22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F5A7184">
            <w:pPr>
              <w:widowControl/>
              <w:jc w:val="center"/>
              <w:textAlignment w:val="center"/>
              <w:rPr>
                <w:szCs w:val="21"/>
              </w:rPr>
            </w:pPr>
            <w:r>
              <w:rPr>
                <w:kern w:val="0"/>
                <w:szCs w:val="21"/>
                <w:lang w:bidi="ar"/>
              </w:rPr>
              <w:t>0.036647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DFA2B55">
            <w:pPr>
              <w:widowControl/>
              <w:jc w:val="center"/>
              <w:textAlignment w:val="center"/>
              <w:rPr>
                <w:szCs w:val="21"/>
              </w:rPr>
            </w:pPr>
            <w:r>
              <w:rPr>
                <w:kern w:val="0"/>
                <w:szCs w:val="21"/>
                <w:lang w:bidi="ar"/>
              </w:rPr>
              <w:t>0.37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6D85CFD">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47E8F9">
            <w:pPr>
              <w:widowControl/>
              <w:jc w:val="center"/>
              <w:textAlignment w:val="center"/>
              <w:rPr>
                <w:szCs w:val="21"/>
              </w:rPr>
            </w:pPr>
            <w:r>
              <w:rPr>
                <w:kern w:val="0"/>
                <w:szCs w:val="21"/>
                <w:lang w:bidi="ar"/>
              </w:rPr>
              <w:t>0.68413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F269BC2">
            <w:pPr>
              <w:widowControl/>
              <w:jc w:val="center"/>
              <w:textAlignment w:val="center"/>
              <w:rPr>
                <w:szCs w:val="21"/>
              </w:rPr>
            </w:pPr>
            <w:r>
              <w:rPr>
                <w:kern w:val="0"/>
                <w:szCs w:val="21"/>
                <w:lang w:bidi="ar"/>
              </w:rPr>
              <w:t>0.34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FE61EE2">
            <w:pPr>
              <w:widowControl/>
              <w:jc w:val="center"/>
              <w:textAlignment w:val="center"/>
              <w:rPr>
                <w:szCs w:val="21"/>
              </w:rPr>
            </w:pPr>
            <w:r>
              <w:rPr>
                <w:kern w:val="0"/>
                <w:szCs w:val="21"/>
                <w:lang w:bidi="ar"/>
              </w:rPr>
              <w:t>0.061083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8C774EB">
            <w:pPr>
              <w:widowControl/>
              <w:jc w:val="center"/>
              <w:textAlignment w:val="center"/>
              <w:rPr>
                <w:szCs w:val="21"/>
              </w:rPr>
            </w:pPr>
            <w:r>
              <w:rPr>
                <w:kern w:val="0"/>
                <w:szCs w:val="21"/>
                <w:lang w:bidi="ar"/>
              </w:rPr>
              <w:t>0.61</w:t>
            </w:r>
          </w:p>
        </w:tc>
      </w:tr>
      <w:tr w14:paraId="33A098E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42A2EA3">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B94B005">
            <w:pPr>
              <w:widowControl/>
              <w:jc w:val="center"/>
              <w:textAlignment w:val="center"/>
              <w:rPr>
                <w:szCs w:val="21"/>
              </w:rPr>
            </w:pPr>
            <w:r>
              <w:rPr>
                <w:kern w:val="0"/>
                <w:szCs w:val="21"/>
                <w:lang w:bidi="ar"/>
              </w:rPr>
              <w:t>1.0013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F2FA3FA">
            <w:pPr>
              <w:widowControl/>
              <w:jc w:val="center"/>
              <w:textAlignment w:val="center"/>
              <w:rPr>
                <w:szCs w:val="21"/>
              </w:rPr>
            </w:pPr>
            <w:r>
              <w:rPr>
                <w:kern w:val="0"/>
                <w:szCs w:val="21"/>
                <w:lang w:bidi="ar"/>
              </w:rPr>
              <w:t>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924866A">
            <w:pPr>
              <w:widowControl/>
              <w:jc w:val="center"/>
              <w:textAlignment w:val="center"/>
              <w:rPr>
                <w:szCs w:val="21"/>
              </w:rPr>
            </w:pPr>
            <w:r>
              <w:rPr>
                <w:kern w:val="0"/>
                <w:szCs w:val="21"/>
                <w:lang w:bidi="ar"/>
              </w:rPr>
              <w:t>0.091027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76FCF7E">
            <w:pPr>
              <w:widowControl/>
              <w:jc w:val="center"/>
              <w:textAlignment w:val="center"/>
              <w:rPr>
                <w:szCs w:val="21"/>
              </w:rPr>
            </w:pPr>
            <w:r>
              <w:rPr>
                <w:kern w:val="0"/>
                <w:szCs w:val="21"/>
                <w:lang w:bidi="ar"/>
              </w:rPr>
              <w:t>0.91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DE5A5AA">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8082B20">
            <w:pPr>
              <w:widowControl/>
              <w:jc w:val="center"/>
              <w:textAlignment w:val="center"/>
              <w:rPr>
                <w:szCs w:val="21"/>
              </w:rPr>
            </w:pPr>
            <w:r>
              <w:rPr>
                <w:kern w:val="0"/>
                <w:szCs w:val="21"/>
                <w:lang w:bidi="ar"/>
              </w:rPr>
              <w:t>0.40953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9070E1D">
            <w:pPr>
              <w:widowControl/>
              <w:jc w:val="center"/>
              <w:textAlignment w:val="center"/>
              <w:rPr>
                <w:szCs w:val="21"/>
              </w:rPr>
            </w:pPr>
            <w:r>
              <w:rPr>
                <w:kern w:val="0"/>
                <w:szCs w:val="21"/>
                <w:lang w:bidi="ar"/>
              </w:rPr>
              <w:t>0.2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22F5470">
            <w:pPr>
              <w:widowControl/>
              <w:jc w:val="center"/>
              <w:textAlignment w:val="center"/>
              <w:rPr>
                <w:szCs w:val="21"/>
              </w:rPr>
            </w:pPr>
            <w:r>
              <w:rPr>
                <w:kern w:val="0"/>
                <w:szCs w:val="21"/>
                <w:lang w:bidi="ar"/>
              </w:rPr>
              <w:t>0.034128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AA06D92">
            <w:pPr>
              <w:widowControl/>
              <w:jc w:val="center"/>
              <w:textAlignment w:val="center"/>
              <w:rPr>
                <w:szCs w:val="21"/>
              </w:rPr>
            </w:pPr>
            <w:r>
              <w:rPr>
                <w:kern w:val="0"/>
                <w:szCs w:val="21"/>
                <w:lang w:bidi="ar"/>
              </w:rPr>
              <w:t>0.34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526FEF5">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DB29990">
            <w:pPr>
              <w:widowControl/>
              <w:jc w:val="center"/>
              <w:textAlignment w:val="center"/>
              <w:rPr>
                <w:szCs w:val="21"/>
              </w:rPr>
            </w:pPr>
            <w:r>
              <w:rPr>
                <w:kern w:val="0"/>
                <w:szCs w:val="21"/>
                <w:lang w:bidi="ar"/>
              </w:rPr>
              <w:t>0.6371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88F1278">
            <w:pPr>
              <w:widowControl/>
              <w:jc w:val="center"/>
              <w:textAlignment w:val="center"/>
              <w:rPr>
                <w:szCs w:val="21"/>
              </w:rPr>
            </w:pPr>
            <w:r>
              <w:rPr>
                <w:kern w:val="0"/>
                <w:szCs w:val="21"/>
                <w:lang w:bidi="ar"/>
              </w:rPr>
              <w:t>0.32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72DCD4A">
            <w:pPr>
              <w:widowControl/>
              <w:jc w:val="center"/>
              <w:textAlignment w:val="center"/>
              <w:rPr>
                <w:szCs w:val="21"/>
              </w:rPr>
            </w:pPr>
            <w:r>
              <w:rPr>
                <w:kern w:val="0"/>
                <w:szCs w:val="21"/>
                <w:lang w:bidi="ar"/>
              </w:rPr>
              <w:t>0.056884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B199688">
            <w:pPr>
              <w:widowControl/>
              <w:jc w:val="center"/>
              <w:textAlignment w:val="center"/>
              <w:rPr>
                <w:szCs w:val="21"/>
              </w:rPr>
            </w:pPr>
            <w:r>
              <w:rPr>
                <w:kern w:val="0"/>
                <w:szCs w:val="21"/>
                <w:lang w:bidi="ar"/>
              </w:rPr>
              <w:t>0.57</w:t>
            </w:r>
          </w:p>
        </w:tc>
      </w:tr>
      <w:tr w14:paraId="511DCB6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FBC6534">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B2E6E31">
            <w:pPr>
              <w:widowControl/>
              <w:jc w:val="center"/>
              <w:textAlignment w:val="center"/>
              <w:rPr>
                <w:szCs w:val="21"/>
              </w:rPr>
            </w:pPr>
            <w:r>
              <w:rPr>
                <w:kern w:val="0"/>
                <w:szCs w:val="21"/>
                <w:lang w:bidi="ar"/>
              </w:rPr>
              <w:t>0.90758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E43C601">
            <w:pPr>
              <w:widowControl/>
              <w:jc w:val="center"/>
              <w:textAlignment w:val="center"/>
              <w:rPr>
                <w:szCs w:val="21"/>
              </w:rPr>
            </w:pPr>
            <w:r>
              <w:rPr>
                <w:kern w:val="0"/>
                <w:szCs w:val="21"/>
                <w:lang w:bidi="ar"/>
              </w:rPr>
              <w:t>0.45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ADBBE27">
            <w:pPr>
              <w:widowControl/>
              <w:jc w:val="center"/>
              <w:textAlignment w:val="center"/>
              <w:rPr>
                <w:szCs w:val="21"/>
              </w:rPr>
            </w:pPr>
            <w:r>
              <w:rPr>
                <w:kern w:val="0"/>
                <w:szCs w:val="21"/>
                <w:lang w:bidi="ar"/>
              </w:rPr>
              <w:t>0.082507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CA5064C">
            <w:pPr>
              <w:widowControl/>
              <w:jc w:val="center"/>
              <w:textAlignment w:val="center"/>
              <w:rPr>
                <w:szCs w:val="21"/>
              </w:rPr>
            </w:pPr>
            <w:r>
              <w:rPr>
                <w:kern w:val="0"/>
                <w:szCs w:val="21"/>
                <w:lang w:bidi="ar"/>
              </w:rPr>
              <w:t>0.83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691A8DB">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F50354B">
            <w:pPr>
              <w:widowControl/>
              <w:jc w:val="center"/>
              <w:textAlignment w:val="center"/>
              <w:rPr>
                <w:szCs w:val="21"/>
              </w:rPr>
            </w:pPr>
            <w:r>
              <w:rPr>
                <w:kern w:val="0"/>
                <w:szCs w:val="21"/>
                <w:lang w:bidi="ar"/>
              </w:rPr>
              <w:t>0.37119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B76A792">
            <w:pPr>
              <w:widowControl/>
              <w:jc w:val="center"/>
              <w:textAlignment w:val="center"/>
              <w:rPr>
                <w:szCs w:val="21"/>
              </w:rPr>
            </w:pPr>
            <w:r>
              <w:rPr>
                <w:kern w:val="0"/>
                <w:szCs w:val="21"/>
                <w:lang w:bidi="ar"/>
              </w:rPr>
              <w:t>0.19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0FBD122">
            <w:pPr>
              <w:widowControl/>
              <w:jc w:val="center"/>
              <w:textAlignment w:val="center"/>
              <w:rPr>
                <w:szCs w:val="21"/>
              </w:rPr>
            </w:pPr>
            <w:r>
              <w:rPr>
                <w:kern w:val="0"/>
                <w:szCs w:val="21"/>
                <w:lang w:bidi="ar"/>
              </w:rPr>
              <w:t>0.030933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9000EA4">
            <w:pPr>
              <w:widowControl/>
              <w:jc w:val="center"/>
              <w:textAlignment w:val="center"/>
              <w:rPr>
                <w:szCs w:val="21"/>
              </w:rPr>
            </w:pPr>
            <w:r>
              <w:rPr>
                <w:kern w:val="0"/>
                <w:szCs w:val="21"/>
                <w:lang w:bidi="ar"/>
              </w:rPr>
              <w:t>0.31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C479837">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5B32999">
            <w:pPr>
              <w:widowControl/>
              <w:jc w:val="center"/>
              <w:textAlignment w:val="center"/>
              <w:rPr>
                <w:szCs w:val="21"/>
              </w:rPr>
            </w:pPr>
            <w:r>
              <w:rPr>
                <w:kern w:val="0"/>
                <w:szCs w:val="21"/>
                <w:lang w:bidi="ar"/>
              </w:rPr>
              <w:t>0.57746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C2D70F2">
            <w:pPr>
              <w:widowControl/>
              <w:jc w:val="center"/>
              <w:textAlignment w:val="center"/>
              <w:rPr>
                <w:szCs w:val="21"/>
              </w:rPr>
            </w:pPr>
            <w:r>
              <w:rPr>
                <w:kern w:val="0"/>
                <w:szCs w:val="21"/>
                <w:lang w:bidi="ar"/>
              </w:rPr>
              <w:t>0.29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A100216">
            <w:pPr>
              <w:widowControl/>
              <w:jc w:val="center"/>
              <w:textAlignment w:val="center"/>
              <w:rPr>
                <w:szCs w:val="21"/>
              </w:rPr>
            </w:pPr>
            <w:r>
              <w:rPr>
                <w:kern w:val="0"/>
                <w:szCs w:val="21"/>
                <w:lang w:bidi="ar"/>
              </w:rPr>
              <w:t>0.051559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1C64AD7">
            <w:pPr>
              <w:widowControl/>
              <w:jc w:val="center"/>
              <w:textAlignment w:val="center"/>
              <w:rPr>
                <w:szCs w:val="21"/>
              </w:rPr>
            </w:pPr>
            <w:r>
              <w:rPr>
                <w:kern w:val="0"/>
                <w:szCs w:val="21"/>
                <w:lang w:bidi="ar"/>
              </w:rPr>
              <w:t>0.52</w:t>
            </w:r>
          </w:p>
        </w:tc>
      </w:tr>
      <w:tr w14:paraId="6807038F">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902FA51">
            <w:pPr>
              <w:widowControl/>
              <w:jc w:val="center"/>
              <w:textAlignment w:val="center"/>
              <w:rPr>
                <w:b/>
                <w:bCs/>
                <w:szCs w:val="21"/>
              </w:rPr>
            </w:pPr>
            <w:r>
              <w:rPr>
                <w:b/>
                <w:bCs/>
                <w:kern w:val="0"/>
                <w:szCs w:val="21"/>
                <w:lang w:bidi="ar"/>
              </w:rPr>
              <w:t>大河边下煤仓猪舍</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C7A2BA6">
            <w:pPr>
              <w:widowControl/>
              <w:jc w:val="center"/>
              <w:textAlignment w:val="center"/>
              <w:rPr>
                <w:b/>
                <w:bCs/>
                <w:szCs w:val="21"/>
              </w:rPr>
            </w:pPr>
            <w:r>
              <w:rPr>
                <w:b/>
                <w:bCs/>
                <w:kern w:val="0"/>
                <w:szCs w:val="21"/>
                <w:lang w:bidi="ar"/>
              </w:rPr>
              <w:t>盛丰通风井养殖区堆肥间</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B036AB5">
            <w:pPr>
              <w:widowControl/>
              <w:jc w:val="center"/>
              <w:textAlignment w:val="center"/>
              <w:rPr>
                <w:b/>
                <w:bCs/>
                <w:szCs w:val="21"/>
              </w:rPr>
            </w:pPr>
            <w:r>
              <w:rPr>
                <w:b/>
                <w:bCs/>
                <w:kern w:val="0"/>
                <w:szCs w:val="21"/>
                <w:lang w:bidi="ar"/>
              </w:rPr>
              <w:t>盛丰焦化楼养殖区堆肥间</w:t>
            </w:r>
          </w:p>
        </w:tc>
      </w:tr>
      <w:tr w14:paraId="63D58EE8">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08D0907E">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B9057BF">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EA55AE6">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39F0FEFE">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FA005A5">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A29899E">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2A59211B">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AAA553C">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E50B62F">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6394D69F">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51E355DC">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F6A109E">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56F3233">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D3F2A36">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9F84B4A">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72B05F4F">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473584A">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934D6A1">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9A6E181">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A016A74">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11538C8C">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C7163A0">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85154B2">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C05984F">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59B52E5">
            <w:pPr>
              <w:widowControl/>
              <w:jc w:val="center"/>
              <w:textAlignment w:val="center"/>
              <w:rPr>
                <w:b/>
                <w:bCs/>
                <w:szCs w:val="21"/>
              </w:rPr>
            </w:pPr>
            <w:r>
              <w:rPr>
                <w:b/>
                <w:bCs/>
                <w:kern w:val="0"/>
                <w:szCs w:val="21"/>
                <w:lang w:bidi="ar"/>
              </w:rPr>
              <w:t>占标率</w:t>
            </w:r>
          </w:p>
        </w:tc>
      </w:tr>
      <w:tr w14:paraId="638E60B9">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0EAD6F69">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E5B873A">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90F9BDD">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9726F88">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44B9ED5">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1FCC099F">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B834FDC">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950CBAB">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C6E52C7">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78E4BCA">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6C1E8172">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8B57479">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4D7E7B3">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DCBCB21">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AA1CE33">
            <w:pPr>
              <w:widowControl/>
              <w:jc w:val="center"/>
              <w:textAlignment w:val="center"/>
              <w:rPr>
                <w:b/>
                <w:bCs/>
                <w:szCs w:val="21"/>
              </w:rPr>
            </w:pPr>
            <w:r>
              <w:rPr>
                <w:b/>
                <w:bCs/>
                <w:kern w:val="0"/>
                <w:szCs w:val="21"/>
                <w:lang w:bidi="ar"/>
              </w:rPr>
              <w:t>Pi(%)</w:t>
            </w:r>
          </w:p>
        </w:tc>
      </w:tr>
      <w:tr w14:paraId="185CFD2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57CE2EF">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000C849">
            <w:pPr>
              <w:widowControl/>
              <w:jc w:val="center"/>
              <w:textAlignment w:val="center"/>
              <w:rPr>
                <w:szCs w:val="21"/>
              </w:rPr>
            </w:pPr>
            <w:r>
              <w:rPr>
                <w:kern w:val="0"/>
                <w:szCs w:val="21"/>
                <w:lang w:bidi="ar"/>
              </w:rPr>
              <w:t>4.999701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77FDD2F">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F427FCF">
            <w:pPr>
              <w:widowControl/>
              <w:jc w:val="center"/>
              <w:textAlignment w:val="center"/>
              <w:rPr>
                <w:szCs w:val="21"/>
              </w:rPr>
            </w:pPr>
            <w:r>
              <w:rPr>
                <w:kern w:val="0"/>
                <w:szCs w:val="21"/>
                <w:lang w:bidi="ar"/>
              </w:rPr>
              <w:t>0.476162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5C08E2D">
            <w:pPr>
              <w:widowControl/>
              <w:jc w:val="center"/>
              <w:textAlignment w:val="center"/>
              <w:rPr>
                <w:szCs w:val="21"/>
              </w:rPr>
            </w:pPr>
            <w:r>
              <w:rPr>
                <w:kern w:val="0"/>
                <w:szCs w:val="21"/>
                <w:lang w:bidi="ar"/>
              </w:rPr>
              <w:t>4.76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A2074A1">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CCB6F4B">
            <w:pPr>
              <w:widowControl/>
              <w:jc w:val="center"/>
              <w:textAlignment w:val="center"/>
              <w:rPr>
                <w:szCs w:val="21"/>
              </w:rPr>
            </w:pPr>
            <w:r>
              <w:rPr>
                <w:kern w:val="0"/>
                <w:szCs w:val="21"/>
                <w:lang w:bidi="ar"/>
              </w:rPr>
              <w:t>9.380701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6F21345">
            <w:pPr>
              <w:widowControl/>
              <w:jc w:val="center"/>
              <w:textAlignment w:val="center"/>
              <w:rPr>
                <w:szCs w:val="21"/>
              </w:rPr>
            </w:pPr>
            <w:r>
              <w:rPr>
                <w:kern w:val="0"/>
                <w:szCs w:val="21"/>
                <w:lang w:bidi="ar"/>
              </w:rPr>
              <w:t>4.69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A3DE546">
            <w:pPr>
              <w:widowControl/>
              <w:jc w:val="center"/>
              <w:textAlignment w:val="center"/>
              <w:rPr>
                <w:szCs w:val="21"/>
              </w:rPr>
            </w:pPr>
            <w:r>
              <w:rPr>
                <w:kern w:val="0"/>
                <w:szCs w:val="21"/>
                <w:lang w:bidi="ar"/>
              </w:rPr>
              <w:t>0.533219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97E9EA3">
            <w:pPr>
              <w:widowControl/>
              <w:jc w:val="center"/>
              <w:textAlignment w:val="center"/>
              <w:rPr>
                <w:szCs w:val="21"/>
              </w:rPr>
            </w:pPr>
            <w:r>
              <w:rPr>
                <w:kern w:val="0"/>
                <w:szCs w:val="21"/>
                <w:lang w:bidi="ar"/>
              </w:rPr>
              <w:t>5.33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E713F4B">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52A9446">
            <w:pPr>
              <w:widowControl/>
              <w:jc w:val="center"/>
              <w:textAlignment w:val="center"/>
              <w:rPr>
                <w:szCs w:val="21"/>
              </w:rPr>
            </w:pPr>
            <w:r>
              <w:rPr>
                <w:kern w:val="0"/>
                <w:szCs w:val="21"/>
                <w:lang w:bidi="ar"/>
              </w:rPr>
              <w:t>13.904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D85C6B0">
            <w:pPr>
              <w:widowControl/>
              <w:jc w:val="center"/>
              <w:textAlignment w:val="center"/>
              <w:rPr>
                <w:szCs w:val="21"/>
              </w:rPr>
            </w:pPr>
            <w:r>
              <w:rPr>
                <w:kern w:val="0"/>
                <w:szCs w:val="21"/>
                <w:lang w:bidi="ar"/>
              </w:rPr>
              <w:t>6.95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8A36FCE">
            <w:pPr>
              <w:widowControl/>
              <w:jc w:val="center"/>
              <w:textAlignment w:val="center"/>
              <w:rPr>
                <w:szCs w:val="21"/>
              </w:rPr>
            </w:pPr>
            <w:r>
              <w:rPr>
                <w:kern w:val="0"/>
                <w:szCs w:val="21"/>
                <w:lang w:bidi="ar"/>
              </w:rPr>
              <w:t>0.805817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A012A3B">
            <w:pPr>
              <w:widowControl/>
              <w:jc w:val="center"/>
              <w:textAlignment w:val="center"/>
              <w:rPr>
                <w:szCs w:val="21"/>
              </w:rPr>
            </w:pPr>
            <w:r>
              <w:rPr>
                <w:kern w:val="0"/>
                <w:szCs w:val="21"/>
                <w:lang w:bidi="ar"/>
              </w:rPr>
              <w:t>8.06</w:t>
            </w:r>
          </w:p>
        </w:tc>
      </w:tr>
      <w:tr w14:paraId="4B91711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8F1EADF">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E69ADD5">
            <w:pPr>
              <w:widowControl/>
              <w:jc w:val="center"/>
              <w:textAlignment w:val="center"/>
              <w:rPr>
                <w:szCs w:val="21"/>
              </w:rPr>
            </w:pPr>
            <w:r>
              <w:rPr>
                <w:kern w:val="0"/>
                <w:szCs w:val="21"/>
                <w:lang w:bidi="ar"/>
              </w:rPr>
              <w:t>6.6504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0E5C12E">
            <w:pPr>
              <w:widowControl/>
              <w:jc w:val="center"/>
              <w:textAlignment w:val="center"/>
              <w:rPr>
                <w:szCs w:val="21"/>
              </w:rPr>
            </w:pPr>
            <w:r>
              <w:rPr>
                <w:kern w:val="0"/>
                <w:szCs w:val="21"/>
                <w:lang w:bidi="ar"/>
              </w:rPr>
              <w:t>3.33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7041523">
            <w:pPr>
              <w:widowControl/>
              <w:jc w:val="center"/>
              <w:textAlignment w:val="center"/>
              <w:rPr>
                <w:szCs w:val="21"/>
              </w:rPr>
            </w:pPr>
            <w:r>
              <w:rPr>
                <w:kern w:val="0"/>
                <w:szCs w:val="21"/>
                <w:lang w:bidi="ar"/>
              </w:rPr>
              <w:t>0.633372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31BEBF6">
            <w:pPr>
              <w:widowControl/>
              <w:jc w:val="center"/>
              <w:textAlignment w:val="center"/>
              <w:rPr>
                <w:szCs w:val="21"/>
              </w:rPr>
            </w:pPr>
            <w:r>
              <w:rPr>
                <w:kern w:val="0"/>
                <w:szCs w:val="21"/>
                <w:lang w:bidi="ar"/>
              </w:rPr>
              <w:t>6.33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3F99D85">
            <w:pPr>
              <w:widowControl/>
              <w:jc w:val="center"/>
              <w:textAlignment w:val="center"/>
              <w:rPr>
                <w:szCs w:val="21"/>
              </w:rPr>
            </w:pPr>
            <w:r>
              <w:rPr>
                <w:kern w:val="0"/>
                <w:szCs w:val="21"/>
                <w:lang w:bidi="ar"/>
              </w:rPr>
              <w:t>14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B3E7836">
            <w:pPr>
              <w:widowControl/>
              <w:jc w:val="center"/>
              <w:textAlignment w:val="center"/>
              <w:rPr>
                <w:szCs w:val="21"/>
              </w:rPr>
            </w:pPr>
            <w:r>
              <w:rPr>
                <w:kern w:val="0"/>
                <w:szCs w:val="21"/>
                <w:lang w:bidi="ar"/>
              </w:rPr>
              <w:t>10.698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FBC4B48">
            <w:pPr>
              <w:widowControl/>
              <w:jc w:val="center"/>
              <w:textAlignment w:val="center"/>
              <w:rPr>
                <w:szCs w:val="21"/>
              </w:rPr>
            </w:pPr>
            <w:r>
              <w:rPr>
                <w:kern w:val="0"/>
                <w:szCs w:val="21"/>
                <w:lang w:bidi="ar"/>
              </w:rPr>
              <w:t>5.35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43DC14A">
            <w:pPr>
              <w:widowControl/>
              <w:jc w:val="center"/>
              <w:textAlignment w:val="center"/>
              <w:rPr>
                <w:szCs w:val="21"/>
              </w:rPr>
            </w:pPr>
            <w:r>
              <w:rPr>
                <w:kern w:val="0"/>
                <w:szCs w:val="21"/>
                <w:lang w:bidi="ar"/>
              </w:rPr>
              <w:t>0.608097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F7E2C04">
            <w:pPr>
              <w:widowControl/>
              <w:jc w:val="center"/>
              <w:textAlignment w:val="center"/>
              <w:rPr>
                <w:szCs w:val="21"/>
              </w:rPr>
            </w:pPr>
            <w:r>
              <w:rPr>
                <w:kern w:val="0"/>
                <w:szCs w:val="21"/>
                <w:lang w:bidi="ar"/>
              </w:rPr>
              <w:t>6.08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3458F4F">
            <w:pPr>
              <w:widowControl/>
              <w:jc w:val="center"/>
              <w:textAlignment w:val="center"/>
              <w:rPr>
                <w:szCs w:val="21"/>
              </w:rPr>
            </w:pPr>
            <w:r>
              <w:rPr>
                <w:kern w:val="0"/>
                <w:szCs w:val="21"/>
                <w:lang w:bidi="ar"/>
              </w:rPr>
              <w:t>22</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029C144">
            <w:pPr>
              <w:widowControl/>
              <w:jc w:val="center"/>
              <w:textAlignment w:val="center"/>
              <w:rPr>
                <w:szCs w:val="21"/>
              </w:rPr>
            </w:pPr>
            <w:r>
              <w:rPr>
                <w:kern w:val="0"/>
                <w:szCs w:val="21"/>
                <w:lang w:bidi="ar"/>
              </w:rPr>
              <w:t>16.843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368845F">
            <w:pPr>
              <w:widowControl/>
              <w:jc w:val="center"/>
              <w:textAlignment w:val="center"/>
              <w:rPr>
                <w:szCs w:val="21"/>
              </w:rPr>
            </w:pPr>
            <w:r>
              <w:rPr>
                <w:kern w:val="0"/>
                <w:szCs w:val="21"/>
                <w:lang w:bidi="ar"/>
              </w:rPr>
              <w:t>8.42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4F85C47">
            <w:pPr>
              <w:widowControl/>
              <w:jc w:val="center"/>
              <w:textAlignment w:val="center"/>
              <w:rPr>
                <w:szCs w:val="21"/>
              </w:rPr>
            </w:pPr>
            <w:r>
              <w:rPr>
                <w:kern w:val="0"/>
                <w:szCs w:val="21"/>
                <w:lang w:bidi="ar"/>
              </w:rPr>
              <w:t>0.976149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62B4A46">
            <w:pPr>
              <w:widowControl/>
              <w:jc w:val="center"/>
              <w:textAlignment w:val="center"/>
              <w:rPr>
                <w:szCs w:val="21"/>
              </w:rPr>
            </w:pPr>
            <w:r>
              <w:rPr>
                <w:kern w:val="0"/>
                <w:szCs w:val="21"/>
                <w:lang w:bidi="ar"/>
              </w:rPr>
              <w:t>9.76</w:t>
            </w:r>
          </w:p>
        </w:tc>
      </w:tr>
      <w:tr w14:paraId="52AB354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3F3BE54">
            <w:pPr>
              <w:widowControl/>
              <w:jc w:val="center"/>
              <w:textAlignment w:val="center"/>
              <w:rPr>
                <w:szCs w:val="21"/>
              </w:rPr>
            </w:pPr>
            <w:r>
              <w:rPr>
                <w:kern w:val="0"/>
                <w:szCs w:val="21"/>
                <w:lang w:bidi="ar"/>
              </w:rPr>
              <w:t>35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CE26506">
            <w:pPr>
              <w:widowControl/>
              <w:jc w:val="center"/>
              <w:textAlignment w:val="center"/>
              <w:rPr>
                <w:szCs w:val="21"/>
              </w:rPr>
            </w:pPr>
            <w:r>
              <w:rPr>
                <w:kern w:val="0"/>
                <w:szCs w:val="21"/>
                <w:lang w:bidi="ar"/>
              </w:rPr>
              <w:t>6.7681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55A52C8">
            <w:pPr>
              <w:widowControl/>
              <w:jc w:val="center"/>
              <w:textAlignment w:val="center"/>
              <w:rPr>
                <w:szCs w:val="21"/>
              </w:rPr>
            </w:pPr>
            <w:r>
              <w:rPr>
                <w:kern w:val="0"/>
                <w:szCs w:val="21"/>
                <w:lang w:bidi="ar"/>
              </w:rPr>
              <w:t>3.38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A1F6FA7">
            <w:pPr>
              <w:widowControl/>
              <w:jc w:val="center"/>
              <w:textAlignment w:val="center"/>
              <w:rPr>
                <w:szCs w:val="21"/>
              </w:rPr>
            </w:pPr>
            <w:r>
              <w:rPr>
                <w:kern w:val="0"/>
                <w:szCs w:val="21"/>
                <w:lang w:bidi="ar"/>
              </w:rPr>
              <w:t>0.644581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E2B8808">
            <w:pPr>
              <w:widowControl/>
              <w:jc w:val="center"/>
              <w:textAlignment w:val="center"/>
              <w:rPr>
                <w:szCs w:val="21"/>
              </w:rPr>
            </w:pPr>
            <w:r>
              <w:rPr>
                <w:kern w:val="0"/>
                <w:szCs w:val="21"/>
                <w:lang w:bidi="ar"/>
              </w:rPr>
              <w:t>6.45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38E6E7C">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E513274">
            <w:pPr>
              <w:widowControl/>
              <w:jc w:val="center"/>
              <w:textAlignment w:val="center"/>
              <w:rPr>
                <w:szCs w:val="21"/>
              </w:rPr>
            </w:pPr>
            <w:r>
              <w:rPr>
                <w:kern w:val="0"/>
                <w:szCs w:val="21"/>
                <w:lang w:bidi="ar"/>
              </w:rPr>
              <w:t>8.828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7C7D0F8">
            <w:pPr>
              <w:widowControl/>
              <w:jc w:val="center"/>
              <w:textAlignment w:val="center"/>
              <w:rPr>
                <w:szCs w:val="21"/>
              </w:rPr>
            </w:pPr>
            <w:r>
              <w:rPr>
                <w:kern w:val="0"/>
                <w:szCs w:val="21"/>
                <w:lang w:bidi="ar"/>
              </w:rPr>
              <w:t>4.41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14EFF77">
            <w:pPr>
              <w:widowControl/>
              <w:jc w:val="center"/>
              <w:textAlignment w:val="center"/>
              <w:rPr>
                <w:szCs w:val="21"/>
              </w:rPr>
            </w:pPr>
            <w:r>
              <w:rPr>
                <w:kern w:val="0"/>
                <w:szCs w:val="21"/>
                <w:lang w:bidi="ar"/>
              </w:rPr>
              <w:t>0.501802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7C076AB">
            <w:pPr>
              <w:widowControl/>
              <w:jc w:val="center"/>
              <w:textAlignment w:val="center"/>
              <w:rPr>
                <w:szCs w:val="21"/>
              </w:rPr>
            </w:pPr>
            <w:r>
              <w:rPr>
                <w:kern w:val="0"/>
                <w:szCs w:val="21"/>
                <w:lang w:bidi="ar"/>
              </w:rPr>
              <w:t>5.02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D7C86CB">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B45C5AE">
            <w:pPr>
              <w:widowControl/>
              <w:jc w:val="center"/>
              <w:textAlignment w:val="center"/>
              <w:rPr>
                <w:szCs w:val="21"/>
              </w:rPr>
            </w:pPr>
            <w:r>
              <w:rPr>
                <w:kern w:val="0"/>
                <w:szCs w:val="21"/>
                <w:lang w:bidi="ar"/>
              </w:rPr>
              <w:t>16.337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DB48AC7">
            <w:pPr>
              <w:widowControl/>
              <w:jc w:val="center"/>
              <w:textAlignment w:val="center"/>
              <w:rPr>
                <w:szCs w:val="21"/>
              </w:rPr>
            </w:pPr>
            <w:r>
              <w:rPr>
                <w:kern w:val="0"/>
                <w:szCs w:val="21"/>
                <w:lang w:bidi="ar"/>
              </w:rPr>
              <w:t>8.17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BD1C7EB">
            <w:pPr>
              <w:widowControl/>
              <w:jc w:val="center"/>
              <w:textAlignment w:val="center"/>
              <w:rPr>
                <w:szCs w:val="21"/>
              </w:rPr>
            </w:pPr>
            <w:r>
              <w:rPr>
                <w:kern w:val="0"/>
                <w:szCs w:val="21"/>
                <w:lang w:bidi="ar"/>
              </w:rPr>
              <w:t>0.946823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989B4AC">
            <w:pPr>
              <w:widowControl/>
              <w:jc w:val="center"/>
              <w:textAlignment w:val="center"/>
              <w:rPr>
                <w:szCs w:val="21"/>
              </w:rPr>
            </w:pPr>
            <w:r>
              <w:rPr>
                <w:kern w:val="0"/>
                <w:szCs w:val="21"/>
                <w:lang w:bidi="ar"/>
              </w:rPr>
              <w:t>9.47</w:t>
            </w:r>
          </w:p>
        </w:tc>
      </w:tr>
      <w:tr w14:paraId="67D2AF1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A10EA7B">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250810C">
            <w:pPr>
              <w:widowControl/>
              <w:jc w:val="center"/>
              <w:textAlignment w:val="center"/>
              <w:rPr>
                <w:szCs w:val="21"/>
              </w:rPr>
            </w:pPr>
            <w:r>
              <w:rPr>
                <w:kern w:val="0"/>
                <w:szCs w:val="21"/>
                <w:lang w:bidi="ar"/>
              </w:rPr>
              <w:t>5.9726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F96654D">
            <w:pPr>
              <w:widowControl/>
              <w:jc w:val="center"/>
              <w:textAlignment w:val="center"/>
              <w:rPr>
                <w:szCs w:val="21"/>
              </w:rPr>
            </w:pPr>
            <w:r>
              <w:rPr>
                <w:kern w:val="0"/>
                <w:szCs w:val="21"/>
                <w:lang w:bidi="ar"/>
              </w:rPr>
              <w:t>2.99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26DC97">
            <w:pPr>
              <w:widowControl/>
              <w:jc w:val="center"/>
              <w:textAlignment w:val="center"/>
              <w:rPr>
                <w:szCs w:val="21"/>
              </w:rPr>
            </w:pPr>
            <w:r>
              <w:rPr>
                <w:kern w:val="0"/>
                <w:szCs w:val="21"/>
                <w:lang w:bidi="ar"/>
              </w:rPr>
              <w:t>0.568819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5989D9D">
            <w:pPr>
              <w:widowControl/>
              <w:jc w:val="center"/>
              <w:textAlignment w:val="center"/>
              <w:rPr>
                <w:szCs w:val="21"/>
              </w:rPr>
            </w:pPr>
            <w:r>
              <w:rPr>
                <w:kern w:val="0"/>
                <w:szCs w:val="21"/>
                <w:lang w:bidi="ar"/>
              </w:rPr>
              <w:t>5.69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424B172">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F72F8DC">
            <w:pPr>
              <w:widowControl/>
              <w:jc w:val="center"/>
              <w:textAlignment w:val="center"/>
              <w:rPr>
                <w:szCs w:val="21"/>
              </w:rPr>
            </w:pPr>
            <w:r>
              <w:rPr>
                <w:kern w:val="0"/>
                <w:szCs w:val="21"/>
                <w:lang w:bidi="ar"/>
              </w:rPr>
              <w:t>5.7742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D69A5D6">
            <w:pPr>
              <w:widowControl/>
              <w:jc w:val="center"/>
              <w:textAlignment w:val="center"/>
              <w:rPr>
                <w:szCs w:val="21"/>
              </w:rPr>
            </w:pPr>
            <w:r>
              <w:rPr>
                <w:kern w:val="0"/>
                <w:szCs w:val="21"/>
                <w:lang w:bidi="ar"/>
              </w:rPr>
              <w:t>2.89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0860CEB">
            <w:pPr>
              <w:widowControl/>
              <w:jc w:val="center"/>
              <w:textAlignment w:val="center"/>
              <w:rPr>
                <w:szCs w:val="21"/>
              </w:rPr>
            </w:pPr>
            <w:r>
              <w:rPr>
                <w:kern w:val="0"/>
                <w:szCs w:val="21"/>
                <w:lang w:bidi="ar"/>
              </w:rPr>
              <w:t>0.328218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4FED6E5">
            <w:pPr>
              <w:widowControl/>
              <w:jc w:val="center"/>
              <w:textAlignment w:val="center"/>
              <w:rPr>
                <w:szCs w:val="21"/>
              </w:rPr>
            </w:pPr>
            <w:r>
              <w:rPr>
                <w:kern w:val="0"/>
                <w:szCs w:val="21"/>
                <w:lang w:bidi="ar"/>
              </w:rPr>
              <w:t>3.28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A60F89B">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E650F43">
            <w:pPr>
              <w:widowControl/>
              <w:jc w:val="center"/>
              <w:textAlignment w:val="center"/>
              <w:rPr>
                <w:szCs w:val="21"/>
              </w:rPr>
            </w:pPr>
            <w:r>
              <w:rPr>
                <w:kern w:val="0"/>
                <w:szCs w:val="21"/>
                <w:lang w:bidi="ar"/>
              </w:rPr>
              <w:t>11.631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886036F">
            <w:pPr>
              <w:widowControl/>
              <w:jc w:val="center"/>
              <w:textAlignment w:val="center"/>
              <w:rPr>
                <w:szCs w:val="21"/>
              </w:rPr>
            </w:pPr>
            <w:r>
              <w:rPr>
                <w:kern w:val="0"/>
                <w:szCs w:val="21"/>
                <w:lang w:bidi="ar"/>
              </w:rPr>
              <w:t>5.82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6DB810A">
            <w:pPr>
              <w:widowControl/>
              <w:jc w:val="center"/>
              <w:textAlignment w:val="center"/>
              <w:rPr>
                <w:szCs w:val="21"/>
              </w:rPr>
            </w:pPr>
            <w:r>
              <w:rPr>
                <w:kern w:val="0"/>
                <w:szCs w:val="21"/>
                <w:lang w:bidi="ar"/>
              </w:rPr>
              <w:t>0.674083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07AA396">
            <w:pPr>
              <w:widowControl/>
              <w:jc w:val="center"/>
              <w:textAlignment w:val="center"/>
              <w:rPr>
                <w:szCs w:val="21"/>
              </w:rPr>
            </w:pPr>
            <w:r>
              <w:rPr>
                <w:kern w:val="0"/>
                <w:szCs w:val="21"/>
                <w:lang w:bidi="ar"/>
              </w:rPr>
              <w:t>6.74</w:t>
            </w:r>
          </w:p>
        </w:tc>
      </w:tr>
      <w:tr w14:paraId="3081920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D56553E">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4C0BF4B">
            <w:pPr>
              <w:widowControl/>
              <w:jc w:val="center"/>
              <w:textAlignment w:val="center"/>
              <w:rPr>
                <w:szCs w:val="21"/>
              </w:rPr>
            </w:pPr>
            <w:r>
              <w:rPr>
                <w:kern w:val="0"/>
                <w:szCs w:val="21"/>
                <w:lang w:bidi="ar"/>
              </w:rPr>
              <w:t>3.9113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97A7C53">
            <w:pPr>
              <w:widowControl/>
              <w:jc w:val="center"/>
              <w:textAlignment w:val="center"/>
              <w:rPr>
                <w:szCs w:val="21"/>
              </w:rPr>
            </w:pPr>
            <w:r>
              <w:rPr>
                <w:kern w:val="0"/>
                <w:szCs w:val="21"/>
                <w:lang w:bidi="ar"/>
              </w:rPr>
              <w:t>1.96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A16A88">
            <w:pPr>
              <w:widowControl/>
              <w:jc w:val="center"/>
              <w:textAlignment w:val="center"/>
              <w:rPr>
                <w:szCs w:val="21"/>
              </w:rPr>
            </w:pPr>
            <w:r>
              <w:rPr>
                <w:kern w:val="0"/>
                <w:szCs w:val="21"/>
                <w:lang w:bidi="ar"/>
              </w:rPr>
              <w:t>0.372505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8E672A6">
            <w:pPr>
              <w:widowControl/>
              <w:jc w:val="center"/>
              <w:textAlignment w:val="center"/>
              <w:rPr>
                <w:szCs w:val="21"/>
              </w:rPr>
            </w:pPr>
            <w:r>
              <w:rPr>
                <w:kern w:val="0"/>
                <w:szCs w:val="21"/>
                <w:lang w:bidi="ar"/>
              </w:rPr>
              <w:t>3.73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C31B354">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5CC651F">
            <w:pPr>
              <w:widowControl/>
              <w:jc w:val="center"/>
              <w:textAlignment w:val="center"/>
              <w:rPr>
                <w:szCs w:val="21"/>
              </w:rPr>
            </w:pPr>
            <w:r>
              <w:rPr>
                <w:kern w:val="0"/>
                <w:szCs w:val="21"/>
                <w:lang w:bidi="ar"/>
              </w:rPr>
              <w:t>3.5002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3C9AAEB">
            <w:pPr>
              <w:widowControl/>
              <w:jc w:val="center"/>
              <w:textAlignment w:val="center"/>
              <w:rPr>
                <w:szCs w:val="21"/>
              </w:rPr>
            </w:pPr>
            <w:r>
              <w:rPr>
                <w:kern w:val="0"/>
                <w:szCs w:val="21"/>
                <w:lang w:bidi="ar"/>
              </w:rPr>
              <w:t>1.75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0BF2D56">
            <w:pPr>
              <w:widowControl/>
              <w:jc w:val="center"/>
              <w:textAlignment w:val="center"/>
              <w:rPr>
                <w:szCs w:val="21"/>
              </w:rPr>
            </w:pPr>
            <w:r>
              <w:rPr>
                <w:kern w:val="0"/>
                <w:szCs w:val="21"/>
                <w:lang w:bidi="ar"/>
              </w:rPr>
              <w:t>0.198959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AE6F665">
            <w:pPr>
              <w:widowControl/>
              <w:jc w:val="center"/>
              <w:textAlignment w:val="center"/>
              <w:rPr>
                <w:szCs w:val="21"/>
              </w:rPr>
            </w:pPr>
            <w:r>
              <w:rPr>
                <w:kern w:val="0"/>
                <w:szCs w:val="21"/>
                <w:lang w:bidi="ar"/>
              </w:rPr>
              <w:t>1.99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558C2A2">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B146ABD">
            <w:pPr>
              <w:widowControl/>
              <w:jc w:val="center"/>
              <w:textAlignment w:val="center"/>
              <w:rPr>
                <w:szCs w:val="21"/>
              </w:rPr>
            </w:pPr>
            <w:r>
              <w:rPr>
                <w:kern w:val="0"/>
                <w:szCs w:val="21"/>
                <w:lang w:bidi="ar"/>
              </w:rPr>
              <w:t>7.1134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A4E4071">
            <w:pPr>
              <w:widowControl/>
              <w:jc w:val="center"/>
              <w:textAlignment w:val="center"/>
              <w:rPr>
                <w:szCs w:val="21"/>
              </w:rPr>
            </w:pPr>
            <w:r>
              <w:rPr>
                <w:kern w:val="0"/>
                <w:szCs w:val="21"/>
                <w:lang w:bidi="ar"/>
              </w:rPr>
              <w:t>3.56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BA39776">
            <w:pPr>
              <w:widowControl/>
              <w:jc w:val="center"/>
              <w:textAlignment w:val="center"/>
              <w:rPr>
                <w:szCs w:val="21"/>
              </w:rPr>
            </w:pPr>
            <w:r>
              <w:rPr>
                <w:kern w:val="0"/>
                <w:szCs w:val="21"/>
                <w:lang w:bidi="ar"/>
              </w:rPr>
              <w:t>0.412262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6F46D1A">
            <w:pPr>
              <w:widowControl/>
              <w:jc w:val="center"/>
              <w:textAlignment w:val="center"/>
              <w:rPr>
                <w:szCs w:val="21"/>
              </w:rPr>
            </w:pPr>
            <w:r>
              <w:rPr>
                <w:kern w:val="0"/>
                <w:szCs w:val="21"/>
                <w:lang w:bidi="ar"/>
              </w:rPr>
              <w:t>4.12</w:t>
            </w:r>
          </w:p>
        </w:tc>
      </w:tr>
      <w:tr w14:paraId="72FC063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FB4B14D">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72F2400">
            <w:pPr>
              <w:widowControl/>
              <w:jc w:val="center"/>
              <w:textAlignment w:val="center"/>
              <w:rPr>
                <w:szCs w:val="21"/>
              </w:rPr>
            </w:pPr>
            <w:r>
              <w:rPr>
                <w:kern w:val="0"/>
                <w:szCs w:val="21"/>
                <w:lang w:bidi="ar"/>
              </w:rPr>
              <w:t>2.9755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DF9E5D0">
            <w:pPr>
              <w:widowControl/>
              <w:jc w:val="center"/>
              <w:textAlignment w:val="center"/>
              <w:rPr>
                <w:szCs w:val="21"/>
              </w:rPr>
            </w:pPr>
            <w:r>
              <w:rPr>
                <w:kern w:val="0"/>
                <w:szCs w:val="21"/>
                <w:lang w:bidi="ar"/>
              </w:rPr>
              <w:t>1.49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85AC5A5">
            <w:pPr>
              <w:widowControl/>
              <w:jc w:val="center"/>
              <w:textAlignment w:val="center"/>
              <w:rPr>
                <w:szCs w:val="21"/>
              </w:rPr>
            </w:pPr>
            <w:r>
              <w:rPr>
                <w:kern w:val="0"/>
                <w:szCs w:val="21"/>
                <w:lang w:bidi="ar"/>
              </w:rPr>
              <w:t>0.283381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13F213B">
            <w:pPr>
              <w:widowControl/>
              <w:jc w:val="center"/>
              <w:textAlignment w:val="center"/>
              <w:rPr>
                <w:szCs w:val="21"/>
              </w:rPr>
            </w:pPr>
            <w:r>
              <w:rPr>
                <w:kern w:val="0"/>
                <w:szCs w:val="21"/>
                <w:lang w:bidi="ar"/>
              </w:rPr>
              <w:t>2.83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57E0552">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FF8E0EA">
            <w:pPr>
              <w:widowControl/>
              <w:jc w:val="center"/>
              <w:textAlignment w:val="center"/>
              <w:rPr>
                <w:szCs w:val="21"/>
              </w:rPr>
            </w:pPr>
            <w:r>
              <w:rPr>
                <w:kern w:val="0"/>
                <w:szCs w:val="21"/>
                <w:lang w:bidi="ar"/>
              </w:rPr>
              <w:t>2.7149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4150971">
            <w:pPr>
              <w:widowControl/>
              <w:jc w:val="center"/>
              <w:textAlignment w:val="center"/>
              <w:rPr>
                <w:szCs w:val="21"/>
              </w:rPr>
            </w:pPr>
            <w:r>
              <w:rPr>
                <w:kern w:val="0"/>
                <w:szCs w:val="21"/>
                <w:lang w:bidi="ar"/>
              </w:rPr>
              <w:t>1.36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82DA756">
            <w:pPr>
              <w:widowControl/>
              <w:jc w:val="center"/>
              <w:textAlignment w:val="center"/>
              <w:rPr>
                <w:szCs w:val="21"/>
              </w:rPr>
            </w:pPr>
            <w:r>
              <w:rPr>
                <w:kern w:val="0"/>
                <w:szCs w:val="21"/>
                <w:lang w:bidi="ar"/>
              </w:rPr>
              <w:t>0.154321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24ADD81">
            <w:pPr>
              <w:widowControl/>
              <w:jc w:val="center"/>
              <w:textAlignment w:val="center"/>
              <w:rPr>
                <w:szCs w:val="21"/>
              </w:rPr>
            </w:pPr>
            <w:r>
              <w:rPr>
                <w:kern w:val="0"/>
                <w:szCs w:val="21"/>
                <w:lang w:bidi="ar"/>
              </w:rPr>
              <w:t>1.54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63B0B4E">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36ED9EC">
            <w:pPr>
              <w:widowControl/>
              <w:jc w:val="center"/>
              <w:textAlignment w:val="center"/>
              <w:rPr>
                <w:szCs w:val="21"/>
              </w:rPr>
            </w:pPr>
            <w:r>
              <w:rPr>
                <w:kern w:val="0"/>
                <w:szCs w:val="21"/>
                <w:lang w:bidi="ar"/>
              </w:rPr>
              <w:t>5.415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B6EDCFC">
            <w:pPr>
              <w:widowControl/>
              <w:jc w:val="center"/>
              <w:textAlignment w:val="center"/>
              <w:rPr>
                <w:szCs w:val="21"/>
              </w:rPr>
            </w:pPr>
            <w:r>
              <w:rPr>
                <w:kern w:val="0"/>
                <w:szCs w:val="21"/>
                <w:lang w:bidi="ar"/>
              </w:rPr>
              <w:t>2.71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84A89E0">
            <w:pPr>
              <w:widowControl/>
              <w:jc w:val="center"/>
              <w:textAlignment w:val="center"/>
              <w:rPr>
                <w:szCs w:val="21"/>
              </w:rPr>
            </w:pPr>
            <w:r>
              <w:rPr>
                <w:kern w:val="0"/>
                <w:szCs w:val="21"/>
                <w:lang w:bidi="ar"/>
              </w:rPr>
              <w:t>0.31383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CB7C587">
            <w:pPr>
              <w:widowControl/>
              <w:jc w:val="center"/>
              <w:textAlignment w:val="center"/>
              <w:rPr>
                <w:szCs w:val="21"/>
              </w:rPr>
            </w:pPr>
            <w:r>
              <w:rPr>
                <w:kern w:val="0"/>
                <w:szCs w:val="21"/>
                <w:lang w:bidi="ar"/>
              </w:rPr>
              <w:t>3.14</w:t>
            </w:r>
          </w:p>
        </w:tc>
      </w:tr>
      <w:tr w14:paraId="1AD71C1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EFAD062">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2B74EC5">
            <w:pPr>
              <w:widowControl/>
              <w:jc w:val="center"/>
              <w:textAlignment w:val="center"/>
              <w:rPr>
                <w:szCs w:val="21"/>
              </w:rPr>
            </w:pPr>
            <w:r>
              <w:rPr>
                <w:kern w:val="0"/>
                <w:szCs w:val="21"/>
                <w:lang w:bidi="ar"/>
              </w:rPr>
              <w:t>2.3929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8D16C46">
            <w:pPr>
              <w:widowControl/>
              <w:jc w:val="center"/>
              <w:textAlignment w:val="center"/>
              <w:rPr>
                <w:szCs w:val="21"/>
              </w:rPr>
            </w:pPr>
            <w:r>
              <w:rPr>
                <w:kern w:val="0"/>
                <w:szCs w:val="21"/>
                <w:lang w:bidi="ar"/>
              </w:rPr>
              <w:t>1.2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74BDAD2">
            <w:pPr>
              <w:widowControl/>
              <w:jc w:val="center"/>
              <w:textAlignment w:val="center"/>
              <w:rPr>
                <w:szCs w:val="21"/>
              </w:rPr>
            </w:pPr>
            <w:r>
              <w:rPr>
                <w:kern w:val="0"/>
                <w:szCs w:val="21"/>
                <w:lang w:bidi="ar"/>
              </w:rPr>
              <w:t>0.227895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D4628C9">
            <w:pPr>
              <w:widowControl/>
              <w:jc w:val="center"/>
              <w:textAlignment w:val="center"/>
              <w:rPr>
                <w:szCs w:val="21"/>
              </w:rPr>
            </w:pPr>
            <w:r>
              <w:rPr>
                <w:kern w:val="0"/>
                <w:szCs w:val="21"/>
                <w:lang w:bidi="ar"/>
              </w:rPr>
              <w:t>2.28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9AFFFC5">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98CE712">
            <w:pPr>
              <w:widowControl/>
              <w:jc w:val="center"/>
              <w:textAlignment w:val="center"/>
              <w:rPr>
                <w:szCs w:val="21"/>
              </w:rPr>
            </w:pPr>
            <w:r>
              <w:rPr>
                <w:kern w:val="0"/>
                <w:szCs w:val="21"/>
                <w:lang w:bidi="ar"/>
              </w:rPr>
              <w:t>2.1057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A851688">
            <w:pPr>
              <w:widowControl/>
              <w:jc w:val="center"/>
              <w:textAlignment w:val="center"/>
              <w:rPr>
                <w:szCs w:val="21"/>
              </w:rPr>
            </w:pPr>
            <w:r>
              <w:rPr>
                <w:kern w:val="0"/>
                <w:szCs w:val="21"/>
                <w:lang w:bidi="ar"/>
              </w:rPr>
              <w:t>1.05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75DE6F3">
            <w:pPr>
              <w:widowControl/>
              <w:jc w:val="center"/>
              <w:textAlignment w:val="center"/>
              <w:rPr>
                <w:szCs w:val="21"/>
              </w:rPr>
            </w:pPr>
            <w:r>
              <w:rPr>
                <w:kern w:val="0"/>
                <w:szCs w:val="21"/>
                <w:lang w:bidi="ar"/>
              </w:rPr>
              <w:t>0.119692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CD96B27">
            <w:pPr>
              <w:widowControl/>
              <w:jc w:val="center"/>
              <w:textAlignment w:val="center"/>
              <w:rPr>
                <w:szCs w:val="21"/>
              </w:rPr>
            </w:pPr>
            <w:r>
              <w:rPr>
                <w:kern w:val="0"/>
                <w:szCs w:val="21"/>
                <w:lang w:bidi="ar"/>
              </w:rPr>
              <w:t>1.2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6DDEDD7">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91FFD1">
            <w:pPr>
              <w:widowControl/>
              <w:jc w:val="center"/>
              <w:textAlignment w:val="center"/>
              <w:rPr>
                <w:szCs w:val="21"/>
              </w:rPr>
            </w:pPr>
            <w:r>
              <w:rPr>
                <w:kern w:val="0"/>
                <w:szCs w:val="21"/>
                <w:lang w:bidi="ar"/>
              </w:rPr>
              <w:t>4.204101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FB66D15">
            <w:pPr>
              <w:widowControl/>
              <w:jc w:val="center"/>
              <w:textAlignment w:val="center"/>
              <w:rPr>
                <w:szCs w:val="21"/>
              </w:rPr>
            </w:pPr>
            <w:r>
              <w:rPr>
                <w:kern w:val="0"/>
                <w:szCs w:val="21"/>
                <w:lang w:bidi="ar"/>
              </w:rPr>
              <w:t>2.1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F8FA447">
            <w:pPr>
              <w:widowControl/>
              <w:jc w:val="center"/>
              <w:textAlignment w:val="center"/>
              <w:rPr>
                <w:szCs w:val="21"/>
              </w:rPr>
            </w:pPr>
            <w:r>
              <w:rPr>
                <w:kern w:val="0"/>
                <w:szCs w:val="21"/>
                <w:lang w:bidi="ar"/>
              </w:rPr>
              <w:t>0.243652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E23FC4F">
            <w:pPr>
              <w:widowControl/>
              <w:jc w:val="center"/>
              <w:textAlignment w:val="center"/>
              <w:rPr>
                <w:szCs w:val="21"/>
              </w:rPr>
            </w:pPr>
            <w:r>
              <w:rPr>
                <w:kern w:val="0"/>
                <w:szCs w:val="21"/>
                <w:lang w:bidi="ar"/>
              </w:rPr>
              <w:t>2.44</w:t>
            </w:r>
          </w:p>
        </w:tc>
      </w:tr>
      <w:tr w14:paraId="2A592F5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C173E38">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8A11B52">
            <w:pPr>
              <w:widowControl/>
              <w:jc w:val="center"/>
              <w:textAlignment w:val="center"/>
              <w:rPr>
                <w:szCs w:val="21"/>
              </w:rPr>
            </w:pPr>
            <w:r>
              <w:rPr>
                <w:kern w:val="0"/>
                <w:szCs w:val="21"/>
                <w:lang w:bidi="ar"/>
              </w:rPr>
              <w:t>2.1105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0533895">
            <w:pPr>
              <w:widowControl/>
              <w:jc w:val="center"/>
              <w:textAlignment w:val="center"/>
              <w:rPr>
                <w:szCs w:val="21"/>
              </w:rPr>
            </w:pPr>
            <w:r>
              <w:rPr>
                <w:kern w:val="0"/>
                <w:szCs w:val="21"/>
                <w:lang w:bidi="ar"/>
              </w:rPr>
              <w:t>1.06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4526E92">
            <w:pPr>
              <w:widowControl/>
              <w:jc w:val="center"/>
              <w:textAlignment w:val="center"/>
              <w:rPr>
                <w:szCs w:val="21"/>
              </w:rPr>
            </w:pPr>
            <w:r>
              <w:rPr>
                <w:kern w:val="0"/>
                <w:szCs w:val="21"/>
                <w:lang w:bidi="ar"/>
              </w:rPr>
              <w:t>0.201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7F110F1">
            <w:pPr>
              <w:widowControl/>
              <w:jc w:val="center"/>
              <w:textAlignment w:val="center"/>
              <w:rPr>
                <w:szCs w:val="21"/>
              </w:rPr>
            </w:pPr>
            <w:r>
              <w:rPr>
                <w:kern w:val="0"/>
                <w:szCs w:val="21"/>
                <w:lang w:bidi="ar"/>
              </w:rPr>
              <w:t>2.01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AD4DFD5">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BB7D089">
            <w:pPr>
              <w:widowControl/>
              <w:jc w:val="center"/>
              <w:textAlignment w:val="center"/>
              <w:rPr>
                <w:szCs w:val="21"/>
              </w:rPr>
            </w:pPr>
            <w:r>
              <w:rPr>
                <w:kern w:val="0"/>
                <w:szCs w:val="21"/>
                <w:lang w:bidi="ar"/>
              </w:rPr>
              <w:t>1.8451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294E603">
            <w:pPr>
              <w:widowControl/>
              <w:jc w:val="center"/>
              <w:textAlignment w:val="center"/>
              <w:rPr>
                <w:szCs w:val="21"/>
              </w:rPr>
            </w:pPr>
            <w:r>
              <w:rPr>
                <w:kern w:val="0"/>
                <w:szCs w:val="21"/>
                <w:lang w:bidi="ar"/>
              </w:rPr>
              <w:t>0.92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8407ED0">
            <w:pPr>
              <w:widowControl/>
              <w:jc w:val="center"/>
              <w:textAlignment w:val="center"/>
              <w:rPr>
                <w:szCs w:val="21"/>
              </w:rPr>
            </w:pPr>
            <w:r>
              <w:rPr>
                <w:kern w:val="0"/>
                <w:szCs w:val="21"/>
                <w:lang w:bidi="ar"/>
              </w:rPr>
              <w:t>0.104879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A2DF385">
            <w:pPr>
              <w:widowControl/>
              <w:jc w:val="center"/>
              <w:textAlignment w:val="center"/>
              <w:rPr>
                <w:szCs w:val="21"/>
              </w:rPr>
            </w:pPr>
            <w:r>
              <w:rPr>
                <w:kern w:val="0"/>
                <w:szCs w:val="21"/>
                <w:lang w:bidi="ar"/>
              </w:rPr>
              <w:t>1.05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2485A78">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25648AA">
            <w:pPr>
              <w:widowControl/>
              <w:jc w:val="center"/>
              <w:textAlignment w:val="center"/>
              <w:rPr>
                <w:szCs w:val="21"/>
              </w:rPr>
            </w:pPr>
            <w:r>
              <w:rPr>
                <w:kern w:val="0"/>
                <w:szCs w:val="21"/>
                <w:lang w:bidi="ar"/>
              </w:rPr>
              <w:t>3.6704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F0B4BA9">
            <w:pPr>
              <w:widowControl/>
              <w:jc w:val="center"/>
              <w:textAlignment w:val="center"/>
              <w:rPr>
                <w:szCs w:val="21"/>
              </w:rPr>
            </w:pPr>
            <w:r>
              <w:rPr>
                <w:kern w:val="0"/>
                <w:szCs w:val="21"/>
                <w:lang w:bidi="ar"/>
              </w:rPr>
              <w:t>1.84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E42507E">
            <w:pPr>
              <w:widowControl/>
              <w:jc w:val="center"/>
              <w:textAlignment w:val="center"/>
              <w:rPr>
                <w:szCs w:val="21"/>
              </w:rPr>
            </w:pPr>
            <w:r>
              <w:rPr>
                <w:kern w:val="0"/>
                <w:szCs w:val="21"/>
                <w:lang w:bidi="ar"/>
              </w:rPr>
              <w:t>0.212721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A4FD4DF">
            <w:pPr>
              <w:widowControl/>
              <w:jc w:val="center"/>
              <w:textAlignment w:val="center"/>
              <w:rPr>
                <w:szCs w:val="21"/>
              </w:rPr>
            </w:pPr>
            <w:r>
              <w:rPr>
                <w:kern w:val="0"/>
                <w:szCs w:val="21"/>
                <w:lang w:bidi="ar"/>
              </w:rPr>
              <w:t>2.13</w:t>
            </w:r>
          </w:p>
        </w:tc>
      </w:tr>
      <w:tr w14:paraId="61B81F3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E889B43">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BC9BED6">
            <w:pPr>
              <w:widowControl/>
              <w:jc w:val="center"/>
              <w:textAlignment w:val="center"/>
              <w:rPr>
                <w:szCs w:val="21"/>
              </w:rPr>
            </w:pPr>
            <w:r>
              <w:rPr>
                <w:kern w:val="0"/>
                <w:szCs w:val="21"/>
                <w:lang w:bidi="ar"/>
              </w:rPr>
              <w:t>1.9146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8FA0DAD">
            <w:pPr>
              <w:widowControl/>
              <w:jc w:val="center"/>
              <w:textAlignment w:val="center"/>
              <w:rPr>
                <w:szCs w:val="21"/>
              </w:rPr>
            </w:pPr>
            <w:r>
              <w:rPr>
                <w:kern w:val="0"/>
                <w:szCs w:val="21"/>
                <w:lang w:bidi="ar"/>
              </w:rPr>
              <w:t>0.96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831E8E1">
            <w:pPr>
              <w:widowControl/>
              <w:jc w:val="center"/>
              <w:textAlignment w:val="center"/>
              <w:rPr>
                <w:szCs w:val="21"/>
              </w:rPr>
            </w:pPr>
            <w:r>
              <w:rPr>
                <w:kern w:val="0"/>
                <w:szCs w:val="21"/>
                <w:lang w:bidi="ar"/>
              </w:rPr>
              <w:t>0.182343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446A1F3">
            <w:pPr>
              <w:widowControl/>
              <w:jc w:val="center"/>
              <w:textAlignment w:val="center"/>
              <w:rPr>
                <w:szCs w:val="21"/>
              </w:rPr>
            </w:pPr>
            <w:r>
              <w:rPr>
                <w:kern w:val="0"/>
                <w:szCs w:val="21"/>
                <w:lang w:bidi="ar"/>
              </w:rPr>
              <w:t>1.82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3526097">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76B1409">
            <w:pPr>
              <w:widowControl/>
              <w:jc w:val="center"/>
              <w:textAlignment w:val="center"/>
              <w:rPr>
                <w:szCs w:val="21"/>
              </w:rPr>
            </w:pPr>
            <w:r>
              <w:rPr>
                <w:kern w:val="0"/>
                <w:szCs w:val="21"/>
                <w:lang w:bidi="ar"/>
              </w:rPr>
              <w:t>1.6661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10BCFD6">
            <w:pPr>
              <w:widowControl/>
              <w:jc w:val="center"/>
              <w:textAlignment w:val="center"/>
              <w:rPr>
                <w:szCs w:val="21"/>
              </w:rPr>
            </w:pPr>
            <w:r>
              <w:rPr>
                <w:kern w:val="0"/>
                <w:szCs w:val="21"/>
                <w:lang w:bidi="ar"/>
              </w:rPr>
              <w:t>0.83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D7777C2">
            <w:pPr>
              <w:widowControl/>
              <w:jc w:val="center"/>
              <w:textAlignment w:val="center"/>
              <w:rPr>
                <w:szCs w:val="21"/>
              </w:rPr>
            </w:pPr>
            <w:r>
              <w:rPr>
                <w:kern w:val="0"/>
                <w:szCs w:val="21"/>
                <w:lang w:bidi="ar"/>
              </w:rPr>
              <w:t>0.094705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2377C4F">
            <w:pPr>
              <w:widowControl/>
              <w:jc w:val="center"/>
              <w:textAlignment w:val="center"/>
              <w:rPr>
                <w:szCs w:val="21"/>
              </w:rPr>
            </w:pPr>
            <w:r>
              <w:rPr>
                <w:kern w:val="0"/>
                <w:szCs w:val="21"/>
                <w:lang w:bidi="ar"/>
              </w:rPr>
              <w:t>0.95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7AB2B5F">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C8A496B">
            <w:pPr>
              <w:widowControl/>
              <w:jc w:val="center"/>
              <w:textAlignment w:val="center"/>
              <w:rPr>
                <w:szCs w:val="21"/>
              </w:rPr>
            </w:pPr>
            <w:r>
              <w:rPr>
                <w:kern w:val="0"/>
                <w:szCs w:val="21"/>
                <w:lang w:bidi="ar"/>
              </w:rPr>
              <w:t>3.3278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7E5FCD0">
            <w:pPr>
              <w:widowControl/>
              <w:jc w:val="center"/>
              <w:textAlignment w:val="center"/>
              <w:rPr>
                <w:szCs w:val="21"/>
              </w:rPr>
            </w:pPr>
            <w:r>
              <w:rPr>
                <w:kern w:val="0"/>
                <w:szCs w:val="21"/>
                <w:lang w:bidi="ar"/>
              </w:rPr>
              <w:t>1.66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DDD299F">
            <w:pPr>
              <w:widowControl/>
              <w:jc w:val="center"/>
              <w:textAlignment w:val="center"/>
              <w:rPr>
                <w:szCs w:val="21"/>
              </w:rPr>
            </w:pPr>
            <w:r>
              <w:rPr>
                <w:kern w:val="0"/>
                <w:szCs w:val="21"/>
                <w:lang w:bidi="ar"/>
              </w:rPr>
              <w:t>0.192865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AA9646F">
            <w:pPr>
              <w:widowControl/>
              <w:jc w:val="center"/>
              <w:textAlignment w:val="center"/>
              <w:rPr>
                <w:szCs w:val="21"/>
              </w:rPr>
            </w:pPr>
            <w:r>
              <w:rPr>
                <w:kern w:val="0"/>
                <w:szCs w:val="21"/>
                <w:lang w:bidi="ar"/>
              </w:rPr>
              <w:t>1.93</w:t>
            </w:r>
          </w:p>
        </w:tc>
      </w:tr>
      <w:tr w14:paraId="54C5910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8FD8858">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1269B36">
            <w:pPr>
              <w:widowControl/>
              <w:jc w:val="center"/>
              <w:textAlignment w:val="center"/>
              <w:rPr>
                <w:szCs w:val="21"/>
              </w:rPr>
            </w:pPr>
            <w:r>
              <w:rPr>
                <w:kern w:val="0"/>
                <w:szCs w:val="21"/>
                <w:lang w:bidi="ar"/>
              </w:rPr>
              <w:t>1.7605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AF092A4">
            <w:pPr>
              <w:widowControl/>
              <w:jc w:val="center"/>
              <w:textAlignment w:val="center"/>
              <w:rPr>
                <w:szCs w:val="21"/>
              </w:rPr>
            </w:pPr>
            <w:r>
              <w:rPr>
                <w:kern w:val="0"/>
                <w:szCs w:val="21"/>
                <w:lang w:bidi="ar"/>
              </w:rPr>
              <w:t>0.88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FB53C73">
            <w:pPr>
              <w:widowControl/>
              <w:jc w:val="center"/>
              <w:textAlignment w:val="center"/>
              <w:rPr>
                <w:szCs w:val="21"/>
              </w:rPr>
            </w:pPr>
            <w:r>
              <w:rPr>
                <w:kern w:val="0"/>
                <w:szCs w:val="21"/>
                <w:lang w:bidi="ar"/>
              </w:rPr>
              <w:t>0.167667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2885CAC">
            <w:pPr>
              <w:widowControl/>
              <w:jc w:val="center"/>
              <w:textAlignment w:val="center"/>
              <w:rPr>
                <w:szCs w:val="21"/>
              </w:rPr>
            </w:pPr>
            <w:r>
              <w:rPr>
                <w:kern w:val="0"/>
                <w:szCs w:val="21"/>
                <w:lang w:bidi="ar"/>
              </w:rPr>
              <w:t>1.68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595C38A">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DF41C76">
            <w:pPr>
              <w:widowControl/>
              <w:jc w:val="center"/>
              <w:textAlignment w:val="center"/>
              <w:rPr>
                <w:szCs w:val="21"/>
              </w:rPr>
            </w:pPr>
            <w:r>
              <w:rPr>
                <w:kern w:val="0"/>
                <w:szCs w:val="21"/>
                <w:lang w:bidi="ar"/>
              </w:rPr>
              <w:t>1.527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904342A">
            <w:pPr>
              <w:widowControl/>
              <w:jc w:val="center"/>
              <w:textAlignment w:val="center"/>
              <w:rPr>
                <w:szCs w:val="21"/>
              </w:rPr>
            </w:pPr>
            <w:r>
              <w:rPr>
                <w:kern w:val="0"/>
                <w:szCs w:val="21"/>
                <w:lang w:bidi="ar"/>
              </w:rPr>
              <w:t>0.76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7FAE253">
            <w:pPr>
              <w:widowControl/>
              <w:jc w:val="center"/>
              <w:textAlignment w:val="center"/>
              <w:rPr>
                <w:szCs w:val="21"/>
              </w:rPr>
            </w:pPr>
            <w:r>
              <w:rPr>
                <w:kern w:val="0"/>
                <w:szCs w:val="21"/>
                <w:lang w:bidi="ar"/>
              </w:rPr>
              <w:t>0.086798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25729A1">
            <w:pPr>
              <w:widowControl/>
              <w:jc w:val="center"/>
              <w:textAlignment w:val="center"/>
              <w:rPr>
                <w:szCs w:val="21"/>
              </w:rPr>
            </w:pPr>
            <w:r>
              <w:rPr>
                <w:kern w:val="0"/>
                <w:szCs w:val="21"/>
                <w:lang w:bidi="ar"/>
              </w:rPr>
              <w:t>0.87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D38E0FD">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3C7AA70">
            <w:pPr>
              <w:widowControl/>
              <w:jc w:val="center"/>
              <w:textAlignment w:val="center"/>
              <w:rPr>
                <w:szCs w:val="21"/>
              </w:rPr>
            </w:pPr>
            <w:r>
              <w:rPr>
                <w:kern w:val="0"/>
                <w:szCs w:val="21"/>
                <w:lang w:bidi="ar"/>
              </w:rPr>
              <w:t>3.05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890B23E">
            <w:pPr>
              <w:widowControl/>
              <w:jc w:val="center"/>
              <w:textAlignment w:val="center"/>
              <w:rPr>
                <w:szCs w:val="21"/>
              </w:rPr>
            </w:pPr>
            <w:r>
              <w:rPr>
                <w:kern w:val="0"/>
                <w:szCs w:val="21"/>
                <w:lang w:bidi="ar"/>
              </w:rPr>
              <w:t>1.53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D2BECAD">
            <w:pPr>
              <w:widowControl/>
              <w:jc w:val="center"/>
              <w:textAlignment w:val="center"/>
              <w:rPr>
                <w:szCs w:val="21"/>
              </w:rPr>
            </w:pPr>
            <w:r>
              <w:rPr>
                <w:kern w:val="0"/>
                <w:szCs w:val="21"/>
                <w:lang w:bidi="ar"/>
              </w:rPr>
              <w:t>0.176765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D936E24">
            <w:pPr>
              <w:widowControl/>
              <w:jc w:val="center"/>
              <w:textAlignment w:val="center"/>
              <w:rPr>
                <w:szCs w:val="21"/>
              </w:rPr>
            </w:pPr>
            <w:r>
              <w:rPr>
                <w:kern w:val="0"/>
                <w:szCs w:val="21"/>
                <w:lang w:bidi="ar"/>
              </w:rPr>
              <w:t>1.77</w:t>
            </w:r>
          </w:p>
        </w:tc>
      </w:tr>
      <w:tr w14:paraId="36190A1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9E09000">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3D0ED3E">
            <w:pPr>
              <w:widowControl/>
              <w:jc w:val="center"/>
              <w:textAlignment w:val="center"/>
              <w:rPr>
                <w:szCs w:val="21"/>
              </w:rPr>
            </w:pPr>
            <w:r>
              <w:rPr>
                <w:kern w:val="0"/>
                <w:szCs w:val="21"/>
                <w:lang w:bidi="ar"/>
              </w:rPr>
              <w:t>1.4228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7C50D9A">
            <w:pPr>
              <w:widowControl/>
              <w:jc w:val="center"/>
              <w:textAlignment w:val="center"/>
              <w:rPr>
                <w:szCs w:val="21"/>
              </w:rPr>
            </w:pPr>
            <w:r>
              <w:rPr>
                <w:kern w:val="0"/>
                <w:szCs w:val="21"/>
                <w:lang w:bidi="ar"/>
              </w:rPr>
              <w:t>0.71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8B64B90">
            <w:pPr>
              <w:widowControl/>
              <w:jc w:val="center"/>
              <w:textAlignment w:val="center"/>
              <w:rPr>
                <w:szCs w:val="21"/>
              </w:rPr>
            </w:pPr>
            <w:r>
              <w:rPr>
                <w:kern w:val="0"/>
                <w:szCs w:val="21"/>
                <w:lang w:bidi="ar"/>
              </w:rPr>
              <w:t>0.135505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3691ABF">
            <w:pPr>
              <w:widowControl/>
              <w:jc w:val="center"/>
              <w:textAlignment w:val="center"/>
              <w:rPr>
                <w:szCs w:val="21"/>
              </w:rPr>
            </w:pPr>
            <w:r>
              <w:rPr>
                <w:kern w:val="0"/>
                <w:szCs w:val="21"/>
                <w:lang w:bidi="ar"/>
              </w:rPr>
              <w:t>1.36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F9268E2">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1CAD78F">
            <w:pPr>
              <w:widowControl/>
              <w:jc w:val="center"/>
              <w:textAlignment w:val="center"/>
              <w:rPr>
                <w:szCs w:val="21"/>
              </w:rPr>
            </w:pPr>
            <w:r>
              <w:rPr>
                <w:kern w:val="0"/>
                <w:szCs w:val="21"/>
                <w:lang w:bidi="ar"/>
              </w:rPr>
              <w:t>1.2247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61969FA">
            <w:pPr>
              <w:widowControl/>
              <w:jc w:val="center"/>
              <w:textAlignment w:val="center"/>
              <w:rPr>
                <w:szCs w:val="21"/>
              </w:rPr>
            </w:pPr>
            <w:r>
              <w:rPr>
                <w:kern w:val="0"/>
                <w:szCs w:val="21"/>
                <w:lang w:bidi="ar"/>
              </w:rPr>
              <w:t>0.61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96A4921">
            <w:pPr>
              <w:widowControl/>
              <w:jc w:val="center"/>
              <w:textAlignment w:val="center"/>
              <w:rPr>
                <w:szCs w:val="21"/>
              </w:rPr>
            </w:pPr>
            <w:r>
              <w:rPr>
                <w:kern w:val="0"/>
                <w:szCs w:val="21"/>
                <w:lang w:bidi="ar"/>
              </w:rPr>
              <w:t>0.069615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6A2E3DB">
            <w:pPr>
              <w:widowControl/>
              <w:jc w:val="center"/>
              <w:textAlignment w:val="center"/>
              <w:rPr>
                <w:szCs w:val="21"/>
              </w:rPr>
            </w:pPr>
            <w:r>
              <w:rPr>
                <w:kern w:val="0"/>
                <w:szCs w:val="21"/>
                <w:lang w:bidi="ar"/>
              </w:rPr>
              <w:t>0.7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B746131">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A8E5993">
            <w:pPr>
              <w:widowControl/>
              <w:jc w:val="center"/>
              <w:textAlignment w:val="center"/>
              <w:rPr>
                <w:szCs w:val="21"/>
              </w:rPr>
            </w:pPr>
            <w:r>
              <w:rPr>
                <w:kern w:val="0"/>
                <w:szCs w:val="21"/>
                <w:lang w:bidi="ar"/>
              </w:rPr>
              <w:t>2.4463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1C3FE66">
            <w:pPr>
              <w:widowControl/>
              <w:jc w:val="center"/>
              <w:textAlignment w:val="center"/>
              <w:rPr>
                <w:szCs w:val="21"/>
              </w:rPr>
            </w:pPr>
            <w:r>
              <w:rPr>
                <w:kern w:val="0"/>
                <w:szCs w:val="21"/>
                <w:lang w:bidi="ar"/>
              </w:rPr>
              <w:t>1.22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E69BB33">
            <w:pPr>
              <w:widowControl/>
              <w:jc w:val="center"/>
              <w:textAlignment w:val="center"/>
              <w:rPr>
                <w:szCs w:val="21"/>
              </w:rPr>
            </w:pPr>
            <w:r>
              <w:rPr>
                <w:kern w:val="0"/>
                <w:szCs w:val="21"/>
                <w:lang w:bidi="ar"/>
              </w:rPr>
              <w:t>0.141777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68F2925">
            <w:pPr>
              <w:widowControl/>
              <w:jc w:val="center"/>
              <w:textAlignment w:val="center"/>
              <w:rPr>
                <w:szCs w:val="21"/>
              </w:rPr>
            </w:pPr>
            <w:r>
              <w:rPr>
                <w:kern w:val="0"/>
                <w:szCs w:val="21"/>
                <w:lang w:bidi="ar"/>
              </w:rPr>
              <w:t>1.42</w:t>
            </w:r>
          </w:p>
        </w:tc>
      </w:tr>
      <w:tr w14:paraId="237B2DE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3971E86">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F01EEC8">
            <w:pPr>
              <w:widowControl/>
              <w:jc w:val="center"/>
              <w:textAlignment w:val="center"/>
              <w:rPr>
                <w:szCs w:val="21"/>
              </w:rPr>
            </w:pPr>
            <w:r>
              <w:rPr>
                <w:kern w:val="0"/>
                <w:szCs w:val="21"/>
                <w:lang w:bidi="ar"/>
              </w:rPr>
              <w:t>1.2536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8E9EDE4">
            <w:pPr>
              <w:widowControl/>
              <w:jc w:val="center"/>
              <w:textAlignment w:val="center"/>
              <w:rPr>
                <w:szCs w:val="21"/>
              </w:rPr>
            </w:pPr>
            <w:r>
              <w:rPr>
                <w:kern w:val="0"/>
                <w:szCs w:val="21"/>
                <w:lang w:bidi="ar"/>
              </w:rPr>
              <w:t>0.63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95C2E6A">
            <w:pPr>
              <w:widowControl/>
              <w:jc w:val="center"/>
              <w:textAlignment w:val="center"/>
              <w:rPr>
                <w:szCs w:val="21"/>
              </w:rPr>
            </w:pPr>
            <w:r>
              <w:rPr>
                <w:kern w:val="0"/>
                <w:szCs w:val="21"/>
                <w:lang w:bidi="ar"/>
              </w:rPr>
              <w:t>0.119391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9AEF2EF">
            <w:pPr>
              <w:widowControl/>
              <w:jc w:val="center"/>
              <w:textAlignment w:val="center"/>
              <w:rPr>
                <w:szCs w:val="21"/>
              </w:rPr>
            </w:pPr>
            <w:r>
              <w:rPr>
                <w:kern w:val="0"/>
                <w:szCs w:val="21"/>
                <w:lang w:bidi="ar"/>
              </w:rPr>
              <w:t>1.19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CC0F835">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FF1DFBC">
            <w:pPr>
              <w:widowControl/>
              <w:jc w:val="center"/>
              <w:textAlignment w:val="center"/>
              <w:rPr>
                <w:szCs w:val="21"/>
              </w:rPr>
            </w:pPr>
            <w:r>
              <w:rPr>
                <w:kern w:val="0"/>
                <w:szCs w:val="21"/>
                <w:lang w:bidi="ar"/>
              </w:rPr>
              <w:t>1.079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8BF0571">
            <w:pPr>
              <w:widowControl/>
              <w:jc w:val="center"/>
              <w:textAlignment w:val="center"/>
              <w:rPr>
                <w:szCs w:val="21"/>
              </w:rPr>
            </w:pPr>
            <w:r>
              <w:rPr>
                <w:kern w:val="0"/>
                <w:szCs w:val="21"/>
                <w:lang w:bidi="ar"/>
              </w:rPr>
              <w:t>0.54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8EB9837">
            <w:pPr>
              <w:widowControl/>
              <w:jc w:val="center"/>
              <w:textAlignment w:val="center"/>
              <w:rPr>
                <w:szCs w:val="21"/>
              </w:rPr>
            </w:pPr>
            <w:r>
              <w:rPr>
                <w:kern w:val="0"/>
                <w:szCs w:val="21"/>
                <w:lang w:bidi="ar"/>
              </w:rPr>
              <w:t>0.061333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66F4355">
            <w:pPr>
              <w:widowControl/>
              <w:jc w:val="center"/>
              <w:textAlignment w:val="center"/>
              <w:rPr>
                <w:szCs w:val="21"/>
              </w:rPr>
            </w:pPr>
            <w:r>
              <w:rPr>
                <w:kern w:val="0"/>
                <w:szCs w:val="21"/>
                <w:lang w:bidi="ar"/>
              </w:rPr>
              <w:t>0.61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9ED7C57">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D9268E4">
            <w:pPr>
              <w:widowControl/>
              <w:jc w:val="center"/>
              <w:textAlignment w:val="center"/>
              <w:rPr>
                <w:szCs w:val="21"/>
              </w:rPr>
            </w:pPr>
            <w:r>
              <w:rPr>
                <w:kern w:val="0"/>
                <w:szCs w:val="21"/>
                <w:lang w:bidi="ar"/>
              </w:rPr>
              <w:t>2.1554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90570E2">
            <w:pPr>
              <w:widowControl/>
              <w:jc w:val="center"/>
              <w:textAlignment w:val="center"/>
              <w:rPr>
                <w:szCs w:val="21"/>
              </w:rPr>
            </w:pPr>
            <w:r>
              <w:rPr>
                <w:kern w:val="0"/>
                <w:szCs w:val="21"/>
                <w:lang w:bidi="ar"/>
              </w:rPr>
              <w:t>1.08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C4ED4FB">
            <w:pPr>
              <w:widowControl/>
              <w:jc w:val="center"/>
              <w:textAlignment w:val="center"/>
              <w:rPr>
                <w:szCs w:val="21"/>
              </w:rPr>
            </w:pPr>
            <w:r>
              <w:rPr>
                <w:kern w:val="0"/>
                <w:szCs w:val="21"/>
                <w:lang w:bidi="ar"/>
              </w:rPr>
              <w:t>0.124918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08ACA57">
            <w:pPr>
              <w:widowControl/>
              <w:jc w:val="center"/>
              <w:textAlignment w:val="center"/>
              <w:rPr>
                <w:szCs w:val="21"/>
              </w:rPr>
            </w:pPr>
            <w:r>
              <w:rPr>
                <w:kern w:val="0"/>
                <w:szCs w:val="21"/>
                <w:lang w:bidi="ar"/>
              </w:rPr>
              <w:t>1.25</w:t>
            </w:r>
          </w:p>
        </w:tc>
      </w:tr>
      <w:tr w14:paraId="2B68C99E">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4C62FD0">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7C527AF">
            <w:pPr>
              <w:widowControl/>
              <w:jc w:val="center"/>
              <w:textAlignment w:val="center"/>
              <w:rPr>
                <w:szCs w:val="21"/>
              </w:rPr>
            </w:pPr>
            <w:r>
              <w:rPr>
                <w:kern w:val="0"/>
                <w:szCs w:val="21"/>
                <w:lang w:bidi="ar"/>
              </w:rPr>
              <w:t>1.1174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599ED50">
            <w:pPr>
              <w:widowControl/>
              <w:jc w:val="center"/>
              <w:textAlignment w:val="center"/>
              <w:rPr>
                <w:szCs w:val="21"/>
              </w:rPr>
            </w:pPr>
            <w:r>
              <w:rPr>
                <w:kern w:val="0"/>
                <w:szCs w:val="21"/>
                <w:lang w:bidi="ar"/>
              </w:rPr>
              <w:t>0.56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234C244">
            <w:pPr>
              <w:widowControl/>
              <w:jc w:val="center"/>
              <w:textAlignment w:val="center"/>
              <w:rPr>
                <w:szCs w:val="21"/>
              </w:rPr>
            </w:pPr>
            <w:r>
              <w:rPr>
                <w:kern w:val="0"/>
                <w:szCs w:val="21"/>
                <w:lang w:bidi="ar"/>
              </w:rPr>
              <w:t>0.106419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2188D18">
            <w:pPr>
              <w:widowControl/>
              <w:jc w:val="center"/>
              <w:textAlignment w:val="center"/>
              <w:rPr>
                <w:szCs w:val="21"/>
              </w:rPr>
            </w:pPr>
            <w:r>
              <w:rPr>
                <w:kern w:val="0"/>
                <w:szCs w:val="21"/>
                <w:lang w:bidi="ar"/>
              </w:rPr>
              <w:t>1.06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5E2355A">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563841E">
            <w:pPr>
              <w:widowControl/>
              <w:jc w:val="center"/>
              <w:textAlignment w:val="center"/>
              <w:rPr>
                <w:szCs w:val="21"/>
              </w:rPr>
            </w:pPr>
            <w:r>
              <w:rPr>
                <w:kern w:val="0"/>
                <w:szCs w:val="21"/>
                <w:lang w:bidi="ar"/>
              </w:rPr>
              <w:t>0.96176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727B2EF">
            <w:pPr>
              <w:widowControl/>
              <w:jc w:val="center"/>
              <w:textAlignment w:val="center"/>
              <w:rPr>
                <w:szCs w:val="21"/>
              </w:rPr>
            </w:pPr>
            <w:r>
              <w:rPr>
                <w:kern w:val="0"/>
                <w:szCs w:val="21"/>
                <w:lang w:bidi="ar"/>
              </w:rPr>
              <w:t>0.48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E8531BA">
            <w:pPr>
              <w:widowControl/>
              <w:jc w:val="center"/>
              <w:textAlignment w:val="center"/>
              <w:rPr>
                <w:szCs w:val="21"/>
              </w:rPr>
            </w:pPr>
            <w:r>
              <w:rPr>
                <w:kern w:val="0"/>
                <w:szCs w:val="21"/>
                <w:lang w:bidi="ar"/>
              </w:rPr>
              <w:t>0.054668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D914DEE">
            <w:pPr>
              <w:widowControl/>
              <w:jc w:val="center"/>
              <w:textAlignment w:val="center"/>
              <w:rPr>
                <w:szCs w:val="21"/>
              </w:rPr>
            </w:pPr>
            <w:r>
              <w:rPr>
                <w:kern w:val="0"/>
                <w:szCs w:val="21"/>
                <w:lang w:bidi="ar"/>
              </w:rPr>
              <w:t>0.55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96E4BD3">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6E02500">
            <w:pPr>
              <w:widowControl/>
              <w:jc w:val="center"/>
              <w:textAlignment w:val="center"/>
              <w:rPr>
                <w:szCs w:val="21"/>
              </w:rPr>
            </w:pPr>
            <w:r>
              <w:rPr>
                <w:kern w:val="0"/>
                <w:szCs w:val="21"/>
                <w:lang w:bidi="ar"/>
              </w:rPr>
              <w:t>1.9214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9A8C473">
            <w:pPr>
              <w:widowControl/>
              <w:jc w:val="center"/>
              <w:textAlignment w:val="center"/>
              <w:rPr>
                <w:szCs w:val="21"/>
              </w:rPr>
            </w:pPr>
            <w:r>
              <w:rPr>
                <w:kern w:val="0"/>
                <w:szCs w:val="21"/>
                <w:lang w:bidi="ar"/>
              </w:rPr>
              <w:t>0.96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E767807">
            <w:pPr>
              <w:widowControl/>
              <w:jc w:val="center"/>
              <w:textAlignment w:val="center"/>
              <w:rPr>
                <w:szCs w:val="21"/>
              </w:rPr>
            </w:pPr>
            <w:r>
              <w:rPr>
                <w:kern w:val="0"/>
                <w:szCs w:val="21"/>
                <w:lang w:bidi="ar"/>
              </w:rPr>
              <w:t>0.111356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71740DD">
            <w:pPr>
              <w:widowControl/>
              <w:jc w:val="center"/>
              <w:textAlignment w:val="center"/>
              <w:rPr>
                <w:szCs w:val="21"/>
              </w:rPr>
            </w:pPr>
            <w:r>
              <w:rPr>
                <w:kern w:val="0"/>
                <w:szCs w:val="21"/>
                <w:lang w:bidi="ar"/>
              </w:rPr>
              <w:t>1.11</w:t>
            </w:r>
          </w:p>
        </w:tc>
      </w:tr>
      <w:tr w14:paraId="19481E9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A19E8E4">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538E98E">
            <w:pPr>
              <w:widowControl/>
              <w:jc w:val="center"/>
              <w:textAlignment w:val="center"/>
              <w:rPr>
                <w:szCs w:val="21"/>
              </w:rPr>
            </w:pPr>
            <w:r>
              <w:rPr>
                <w:kern w:val="0"/>
                <w:szCs w:val="21"/>
                <w:lang w:bidi="ar"/>
              </w:rPr>
              <w:t>1.0057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638E41C">
            <w:pPr>
              <w:widowControl/>
              <w:jc w:val="center"/>
              <w:textAlignment w:val="center"/>
              <w:rPr>
                <w:szCs w:val="21"/>
              </w:rPr>
            </w:pPr>
            <w:r>
              <w:rPr>
                <w:kern w:val="0"/>
                <w:szCs w:val="21"/>
                <w:lang w:bidi="ar"/>
              </w:rPr>
              <w:t>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6C6290D">
            <w:pPr>
              <w:widowControl/>
              <w:jc w:val="center"/>
              <w:textAlignment w:val="center"/>
              <w:rPr>
                <w:szCs w:val="21"/>
              </w:rPr>
            </w:pPr>
            <w:r>
              <w:rPr>
                <w:kern w:val="0"/>
                <w:szCs w:val="21"/>
                <w:lang w:bidi="ar"/>
              </w:rPr>
              <w:t>0.095781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05DBB07">
            <w:pPr>
              <w:widowControl/>
              <w:jc w:val="center"/>
              <w:textAlignment w:val="center"/>
              <w:rPr>
                <w:szCs w:val="21"/>
              </w:rPr>
            </w:pPr>
            <w:r>
              <w:rPr>
                <w:kern w:val="0"/>
                <w:szCs w:val="21"/>
                <w:lang w:bidi="ar"/>
              </w:rPr>
              <w:t>0.96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D494434">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82AE5BB">
            <w:pPr>
              <w:widowControl/>
              <w:jc w:val="center"/>
              <w:textAlignment w:val="center"/>
              <w:rPr>
                <w:szCs w:val="21"/>
              </w:rPr>
            </w:pPr>
            <w:r>
              <w:rPr>
                <w:kern w:val="0"/>
                <w:szCs w:val="21"/>
                <w:lang w:bidi="ar"/>
              </w:rPr>
              <w:t>0.86556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950DBF2">
            <w:pPr>
              <w:widowControl/>
              <w:jc w:val="center"/>
              <w:textAlignment w:val="center"/>
              <w:rPr>
                <w:szCs w:val="21"/>
              </w:rPr>
            </w:pPr>
            <w:r>
              <w:rPr>
                <w:kern w:val="0"/>
                <w:szCs w:val="21"/>
                <w:lang w:bidi="ar"/>
              </w:rPr>
              <w:t>0.43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1A2EF16">
            <w:pPr>
              <w:widowControl/>
              <w:jc w:val="center"/>
              <w:textAlignment w:val="center"/>
              <w:rPr>
                <w:szCs w:val="21"/>
              </w:rPr>
            </w:pPr>
            <w:r>
              <w:rPr>
                <w:kern w:val="0"/>
                <w:szCs w:val="21"/>
                <w:lang w:bidi="ar"/>
              </w:rPr>
              <w:t>0.0492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7773645">
            <w:pPr>
              <w:widowControl/>
              <w:jc w:val="center"/>
              <w:textAlignment w:val="center"/>
              <w:rPr>
                <w:szCs w:val="21"/>
              </w:rPr>
            </w:pPr>
            <w:r>
              <w:rPr>
                <w:kern w:val="0"/>
                <w:szCs w:val="21"/>
                <w:lang w:bidi="ar"/>
              </w:rPr>
              <w:t>0.49</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1758225">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854A756">
            <w:pPr>
              <w:widowControl/>
              <w:jc w:val="center"/>
              <w:textAlignment w:val="center"/>
              <w:rPr>
                <w:szCs w:val="21"/>
              </w:rPr>
            </w:pPr>
            <w:r>
              <w:rPr>
                <w:kern w:val="0"/>
                <w:szCs w:val="21"/>
                <w:lang w:bidi="ar"/>
              </w:rPr>
              <w:t>1.7292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341890E">
            <w:pPr>
              <w:widowControl/>
              <w:jc w:val="center"/>
              <w:textAlignment w:val="center"/>
              <w:rPr>
                <w:szCs w:val="21"/>
              </w:rPr>
            </w:pPr>
            <w:r>
              <w:rPr>
                <w:kern w:val="0"/>
                <w:szCs w:val="21"/>
                <w:lang w:bidi="ar"/>
              </w:rPr>
              <w:t>0.86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2971520">
            <w:pPr>
              <w:widowControl/>
              <w:jc w:val="center"/>
              <w:textAlignment w:val="center"/>
              <w:rPr>
                <w:szCs w:val="21"/>
              </w:rPr>
            </w:pPr>
            <w:r>
              <w:rPr>
                <w:kern w:val="0"/>
                <w:szCs w:val="21"/>
                <w:lang w:bidi="ar"/>
              </w:rPr>
              <w:t>0.100217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DF2CB0C">
            <w:pPr>
              <w:widowControl/>
              <w:jc w:val="center"/>
              <w:textAlignment w:val="center"/>
              <w:rPr>
                <w:szCs w:val="21"/>
              </w:rPr>
            </w:pPr>
            <w:r>
              <w:rPr>
                <w:kern w:val="0"/>
                <w:szCs w:val="21"/>
                <w:lang w:bidi="ar"/>
              </w:rPr>
              <w:t>1</w:t>
            </w:r>
          </w:p>
        </w:tc>
      </w:tr>
      <w:tr w14:paraId="53F624F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8CE0E22">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9ED22E1">
            <w:pPr>
              <w:widowControl/>
              <w:jc w:val="center"/>
              <w:textAlignment w:val="center"/>
              <w:rPr>
                <w:szCs w:val="21"/>
              </w:rPr>
            </w:pPr>
            <w:r>
              <w:rPr>
                <w:kern w:val="0"/>
                <w:szCs w:val="21"/>
                <w:lang w:bidi="ar"/>
              </w:rPr>
              <w:t>0.91248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45501E8">
            <w:pPr>
              <w:widowControl/>
              <w:jc w:val="center"/>
              <w:textAlignment w:val="center"/>
              <w:rPr>
                <w:szCs w:val="21"/>
              </w:rPr>
            </w:pPr>
            <w:r>
              <w:rPr>
                <w:kern w:val="0"/>
                <w:szCs w:val="21"/>
                <w:lang w:bidi="ar"/>
              </w:rPr>
              <w:t>0.46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1294828">
            <w:pPr>
              <w:widowControl/>
              <w:jc w:val="center"/>
              <w:textAlignment w:val="center"/>
              <w:rPr>
                <w:szCs w:val="21"/>
              </w:rPr>
            </w:pPr>
            <w:r>
              <w:rPr>
                <w:kern w:val="0"/>
                <w:szCs w:val="21"/>
                <w:lang w:bidi="ar"/>
              </w:rPr>
              <w:t>0.086903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DE3846E">
            <w:pPr>
              <w:widowControl/>
              <w:jc w:val="center"/>
              <w:textAlignment w:val="center"/>
              <w:rPr>
                <w:szCs w:val="21"/>
              </w:rPr>
            </w:pPr>
            <w:r>
              <w:rPr>
                <w:kern w:val="0"/>
                <w:szCs w:val="21"/>
                <w:lang w:bidi="ar"/>
              </w:rPr>
              <w:t>0.87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F6C4766">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4B9F0D0">
            <w:pPr>
              <w:widowControl/>
              <w:jc w:val="center"/>
              <w:textAlignment w:val="center"/>
              <w:rPr>
                <w:szCs w:val="21"/>
              </w:rPr>
            </w:pPr>
            <w:r>
              <w:rPr>
                <w:kern w:val="0"/>
                <w:szCs w:val="21"/>
                <w:lang w:bidi="ar"/>
              </w:rPr>
              <w:t>0.78536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F616726">
            <w:pPr>
              <w:widowControl/>
              <w:jc w:val="center"/>
              <w:textAlignment w:val="center"/>
              <w:rPr>
                <w:szCs w:val="21"/>
              </w:rPr>
            </w:pPr>
            <w:r>
              <w:rPr>
                <w:kern w:val="0"/>
                <w:szCs w:val="21"/>
                <w:lang w:bidi="ar"/>
              </w:rPr>
              <w:t>0.39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BFCE530">
            <w:pPr>
              <w:widowControl/>
              <w:jc w:val="center"/>
              <w:textAlignment w:val="center"/>
              <w:rPr>
                <w:szCs w:val="21"/>
              </w:rPr>
            </w:pPr>
            <w:r>
              <w:rPr>
                <w:kern w:val="0"/>
                <w:szCs w:val="21"/>
                <w:lang w:bidi="ar"/>
              </w:rPr>
              <w:t>0.044642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E945B8C">
            <w:pPr>
              <w:widowControl/>
              <w:jc w:val="center"/>
              <w:textAlignment w:val="center"/>
              <w:rPr>
                <w:szCs w:val="21"/>
              </w:rPr>
            </w:pPr>
            <w:r>
              <w:rPr>
                <w:kern w:val="0"/>
                <w:szCs w:val="21"/>
                <w:lang w:bidi="ar"/>
              </w:rPr>
              <w:t>0.45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76CE3D6">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68CFBD6">
            <w:pPr>
              <w:widowControl/>
              <w:jc w:val="center"/>
              <w:textAlignment w:val="center"/>
              <w:rPr>
                <w:szCs w:val="21"/>
              </w:rPr>
            </w:pPr>
            <w:r>
              <w:rPr>
                <w:kern w:val="0"/>
                <w:szCs w:val="21"/>
                <w:lang w:bidi="ar"/>
              </w:rPr>
              <w:t>1.5691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37C1691">
            <w:pPr>
              <w:widowControl/>
              <w:jc w:val="center"/>
              <w:textAlignment w:val="center"/>
              <w:rPr>
                <w:szCs w:val="21"/>
              </w:rPr>
            </w:pPr>
            <w:r>
              <w:rPr>
                <w:kern w:val="0"/>
                <w:szCs w:val="21"/>
                <w:lang w:bidi="ar"/>
              </w:rPr>
              <w:t>0.78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C87B8D1">
            <w:pPr>
              <w:widowControl/>
              <w:jc w:val="center"/>
              <w:textAlignment w:val="center"/>
              <w:rPr>
                <w:szCs w:val="21"/>
              </w:rPr>
            </w:pPr>
            <w:r>
              <w:rPr>
                <w:kern w:val="0"/>
                <w:szCs w:val="21"/>
                <w:lang w:bidi="ar"/>
              </w:rPr>
              <w:t>0.090938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0E5638A">
            <w:pPr>
              <w:widowControl/>
              <w:jc w:val="center"/>
              <w:textAlignment w:val="center"/>
              <w:rPr>
                <w:szCs w:val="21"/>
              </w:rPr>
            </w:pPr>
            <w:r>
              <w:rPr>
                <w:kern w:val="0"/>
                <w:szCs w:val="21"/>
                <w:lang w:bidi="ar"/>
              </w:rPr>
              <w:t>0.91</w:t>
            </w:r>
          </w:p>
        </w:tc>
      </w:tr>
      <w:tr w14:paraId="5B72C26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09DB1AD">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0B689CC">
            <w:pPr>
              <w:widowControl/>
              <w:jc w:val="center"/>
              <w:textAlignment w:val="center"/>
              <w:rPr>
                <w:szCs w:val="21"/>
              </w:rPr>
            </w:pPr>
            <w:r>
              <w:rPr>
                <w:kern w:val="0"/>
                <w:szCs w:val="21"/>
                <w:lang w:bidi="ar"/>
              </w:rPr>
              <w:t>0.83377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0F1C847">
            <w:pPr>
              <w:widowControl/>
              <w:jc w:val="center"/>
              <w:textAlignment w:val="center"/>
              <w:rPr>
                <w:szCs w:val="21"/>
              </w:rPr>
            </w:pPr>
            <w:r>
              <w:rPr>
                <w:kern w:val="0"/>
                <w:szCs w:val="21"/>
                <w:lang w:bidi="ar"/>
              </w:rPr>
              <w:t>0.42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77348B1">
            <w:pPr>
              <w:widowControl/>
              <w:jc w:val="center"/>
              <w:textAlignment w:val="center"/>
              <w:rPr>
                <w:szCs w:val="21"/>
              </w:rPr>
            </w:pPr>
            <w:r>
              <w:rPr>
                <w:kern w:val="0"/>
                <w:szCs w:val="21"/>
                <w:lang w:bidi="ar"/>
              </w:rPr>
              <w:t>0.079407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5A6AEEF">
            <w:pPr>
              <w:widowControl/>
              <w:jc w:val="center"/>
              <w:textAlignment w:val="center"/>
              <w:rPr>
                <w:szCs w:val="21"/>
              </w:rPr>
            </w:pPr>
            <w:r>
              <w:rPr>
                <w:kern w:val="0"/>
                <w:szCs w:val="21"/>
                <w:lang w:bidi="ar"/>
              </w:rPr>
              <w:t>0.79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0107D9B">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183770B">
            <w:pPr>
              <w:widowControl/>
              <w:jc w:val="center"/>
              <w:textAlignment w:val="center"/>
              <w:rPr>
                <w:szCs w:val="21"/>
              </w:rPr>
            </w:pPr>
            <w:r>
              <w:rPr>
                <w:kern w:val="0"/>
                <w:szCs w:val="21"/>
                <w:lang w:bidi="ar"/>
              </w:rPr>
              <w:t>0.71761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C85FAB4">
            <w:pPr>
              <w:widowControl/>
              <w:jc w:val="center"/>
              <w:textAlignment w:val="center"/>
              <w:rPr>
                <w:szCs w:val="21"/>
              </w:rPr>
            </w:pPr>
            <w:r>
              <w:rPr>
                <w:kern w:val="0"/>
                <w:szCs w:val="21"/>
                <w:lang w:bidi="ar"/>
              </w:rPr>
              <w:t>0.36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60CEA49">
            <w:pPr>
              <w:widowControl/>
              <w:jc w:val="center"/>
              <w:textAlignment w:val="center"/>
              <w:rPr>
                <w:szCs w:val="21"/>
              </w:rPr>
            </w:pPr>
            <w:r>
              <w:rPr>
                <w:kern w:val="0"/>
                <w:szCs w:val="21"/>
                <w:lang w:bidi="ar"/>
              </w:rPr>
              <w:t>0.04079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45B1406">
            <w:pPr>
              <w:widowControl/>
              <w:jc w:val="center"/>
              <w:textAlignment w:val="center"/>
              <w:rPr>
                <w:szCs w:val="21"/>
              </w:rPr>
            </w:pPr>
            <w:r>
              <w:rPr>
                <w:kern w:val="0"/>
                <w:szCs w:val="21"/>
                <w:lang w:bidi="ar"/>
              </w:rPr>
              <w:t>0.41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257EE30">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F69E361">
            <w:pPr>
              <w:widowControl/>
              <w:jc w:val="center"/>
              <w:textAlignment w:val="center"/>
              <w:rPr>
                <w:szCs w:val="21"/>
              </w:rPr>
            </w:pPr>
            <w:r>
              <w:rPr>
                <w:kern w:val="0"/>
                <w:szCs w:val="21"/>
                <w:lang w:bidi="ar"/>
              </w:rPr>
              <w:t>1.4338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3D49E50">
            <w:pPr>
              <w:widowControl/>
              <w:jc w:val="center"/>
              <w:textAlignment w:val="center"/>
              <w:rPr>
                <w:szCs w:val="21"/>
              </w:rPr>
            </w:pPr>
            <w:r>
              <w:rPr>
                <w:kern w:val="0"/>
                <w:szCs w:val="21"/>
                <w:lang w:bidi="ar"/>
              </w:rPr>
              <w:t>0.72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11D3BD8">
            <w:pPr>
              <w:widowControl/>
              <w:jc w:val="center"/>
              <w:textAlignment w:val="center"/>
              <w:rPr>
                <w:szCs w:val="21"/>
              </w:rPr>
            </w:pPr>
            <w:r>
              <w:rPr>
                <w:kern w:val="0"/>
                <w:szCs w:val="21"/>
                <w:lang w:bidi="ar"/>
              </w:rPr>
              <w:t>0.083097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FCAAE52">
            <w:pPr>
              <w:widowControl/>
              <w:jc w:val="center"/>
              <w:textAlignment w:val="center"/>
              <w:rPr>
                <w:szCs w:val="21"/>
              </w:rPr>
            </w:pPr>
            <w:r>
              <w:rPr>
                <w:kern w:val="0"/>
                <w:szCs w:val="21"/>
                <w:lang w:bidi="ar"/>
              </w:rPr>
              <w:t>0.83</w:t>
            </w:r>
          </w:p>
        </w:tc>
      </w:tr>
      <w:tr w14:paraId="73ABF91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5EC3ABD">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A8D45DF">
            <w:pPr>
              <w:widowControl/>
              <w:jc w:val="center"/>
              <w:textAlignment w:val="center"/>
              <w:rPr>
                <w:szCs w:val="21"/>
              </w:rPr>
            </w:pPr>
            <w:r>
              <w:rPr>
                <w:kern w:val="0"/>
                <w:szCs w:val="21"/>
                <w:lang w:bidi="ar"/>
              </w:rPr>
              <w:t>0.76956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95A0394">
            <w:pPr>
              <w:widowControl/>
              <w:jc w:val="center"/>
              <w:textAlignment w:val="center"/>
              <w:rPr>
                <w:szCs w:val="21"/>
              </w:rPr>
            </w:pPr>
            <w:r>
              <w:rPr>
                <w:kern w:val="0"/>
                <w:szCs w:val="21"/>
                <w:lang w:bidi="ar"/>
              </w:rPr>
              <w:t>0.38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9B83978">
            <w:pPr>
              <w:widowControl/>
              <w:jc w:val="center"/>
              <w:textAlignment w:val="center"/>
              <w:rPr>
                <w:szCs w:val="21"/>
              </w:rPr>
            </w:pPr>
            <w:r>
              <w:rPr>
                <w:kern w:val="0"/>
                <w:szCs w:val="21"/>
                <w:lang w:bidi="ar"/>
              </w:rPr>
              <w:t>0.073291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0CD8F06">
            <w:pPr>
              <w:widowControl/>
              <w:jc w:val="center"/>
              <w:textAlignment w:val="center"/>
              <w:rPr>
                <w:szCs w:val="21"/>
              </w:rPr>
            </w:pPr>
            <w:r>
              <w:rPr>
                <w:kern w:val="0"/>
                <w:szCs w:val="21"/>
                <w:lang w:bidi="ar"/>
              </w:rPr>
              <w:t>0.73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7CBD3E3">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81960D6">
            <w:pPr>
              <w:widowControl/>
              <w:jc w:val="center"/>
              <w:textAlignment w:val="center"/>
              <w:rPr>
                <w:szCs w:val="21"/>
              </w:rPr>
            </w:pPr>
            <w:r>
              <w:rPr>
                <w:kern w:val="0"/>
                <w:szCs w:val="21"/>
                <w:lang w:bidi="ar"/>
              </w:rPr>
              <w:t>0.66235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47D7A0A">
            <w:pPr>
              <w:widowControl/>
              <w:jc w:val="center"/>
              <w:textAlignment w:val="center"/>
              <w:rPr>
                <w:szCs w:val="21"/>
              </w:rPr>
            </w:pPr>
            <w:r>
              <w:rPr>
                <w:kern w:val="0"/>
                <w:szCs w:val="21"/>
                <w:lang w:bidi="ar"/>
              </w:rPr>
              <w:t>0.33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8E42D0D">
            <w:pPr>
              <w:widowControl/>
              <w:jc w:val="center"/>
              <w:textAlignment w:val="center"/>
              <w:rPr>
                <w:szCs w:val="21"/>
              </w:rPr>
            </w:pPr>
            <w:r>
              <w:rPr>
                <w:kern w:val="0"/>
                <w:szCs w:val="21"/>
                <w:lang w:bidi="ar"/>
              </w:rPr>
              <w:t>0.037649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0A1375B">
            <w:pPr>
              <w:widowControl/>
              <w:jc w:val="center"/>
              <w:textAlignment w:val="center"/>
              <w:rPr>
                <w:szCs w:val="21"/>
              </w:rPr>
            </w:pPr>
            <w:r>
              <w:rPr>
                <w:kern w:val="0"/>
                <w:szCs w:val="21"/>
                <w:lang w:bidi="ar"/>
              </w:rPr>
              <w:t>0.38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1F7731E">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40795A5">
            <w:pPr>
              <w:widowControl/>
              <w:jc w:val="center"/>
              <w:textAlignment w:val="center"/>
              <w:rPr>
                <w:szCs w:val="21"/>
              </w:rPr>
            </w:pPr>
            <w:r>
              <w:rPr>
                <w:kern w:val="0"/>
                <w:szCs w:val="21"/>
                <w:lang w:bidi="ar"/>
              </w:rPr>
              <w:t>1.3233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8F0D95F">
            <w:pPr>
              <w:widowControl/>
              <w:jc w:val="center"/>
              <w:textAlignment w:val="center"/>
              <w:rPr>
                <w:szCs w:val="21"/>
              </w:rPr>
            </w:pPr>
            <w:r>
              <w:rPr>
                <w:kern w:val="0"/>
                <w:szCs w:val="21"/>
                <w:lang w:bidi="ar"/>
              </w:rPr>
              <w:t>0.66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B6968F3">
            <w:pPr>
              <w:widowControl/>
              <w:jc w:val="center"/>
              <w:textAlignment w:val="center"/>
              <w:rPr>
                <w:szCs w:val="21"/>
              </w:rPr>
            </w:pPr>
            <w:r>
              <w:rPr>
                <w:kern w:val="0"/>
                <w:szCs w:val="21"/>
                <w:lang w:bidi="ar"/>
              </w:rPr>
              <w:t>0.076693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897CEE5">
            <w:pPr>
              <w:widowControl/>
              <w:jc w:val="center"/>
              <w:textAlignment w:val="center"/>
              <w:rPr>
                <w:szCs w:val="21"/>
              </w:rPr>
            </w:pPr>
            <w:r>
              <w:rPr>
                <w:kern w:val="0"/>
                <w:szCs w:val="21"/>
                <w:lang w:bidi="ar"/>
              </w:rPr>
              <w:t>0.77</w:t>
            </w:r>
          </w:p>
        </w:tc>
      </w:tr>
      <w:tr w14:paraId="5618816E">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4D8E287">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8699A7A">
            <w:pPr>
              <w:widowControl/>
              <w:jc w:val="center"/>
              <w:textAlignment w:val="center"/>
              <w:rPr>
                <w:szCs w:val="21"/>
              </w:rPr>
            </w:pPr>
            <w:r>
              <w:rPr>
                <w:kern w:val="0"/>
                <w:szCs w:val="21"/>
                <w:lang w:bidi="ar"/>
              </w:rPr>
              <w:t>0.71667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C4CDDE7">
            <w:pPr>
              <w:widowControl/>
              <w:jc w:val="center"/>
              <w:textAlignment w:val="center"/>
              <w:rPr>
                <w:szCs w:val="21"/>
              </w:rPr>
            </w:pPr>
            <w:r>
              <w:rPr>
                <w:kern w:val="0"/>
                <w:szCs w:val="21"/>
                <w:lang w:bidi="ar"/>
              </w:rPr>
              <w:t>0.36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2AFF72A">
            <w:pPr>
              <w:widowControl/>
              <w:jc w:val="center"/>
              <w:textAlignment w:val="center"/>
              <w:rPr>
                <w:szCs w:val="21"/>
              </w:rPr>
            </w:pPr>
            <w:r>
              <w:rPr>
                <w:kern w:val="0"/>
                <w:szCs w:val="21"/>
                <w:lang w:bidi="ar"/>
              </w:rPr>
              <w:t>0.068254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4E91809">
            <w:pPr>
              <w:widowControl/>
              <w:jc w:val="center"/>
              <w:textAlignment w:val="center"/>
              <w:rPr>
                <w:szCs w:val="21"/>
              </w:rPr>
            </w:pPr>
            <w:r>
              <w:rPr>
                <w:kern w:val="0"/>
                <w:szCs w:val="21"/>
                <w:lang w:bidi="ar"/>
              </w:rPr>
              <w:t>0.68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CF88454">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0EB955F">
            <w:pPr>
              <w:widowControl/>
              <w:jc w:val="center"/>
              <w:textAlignment w:val="center"/>
              <w:rPr>
                <w:szCs w:val="21"/>
              </w:rPr>
            </w:pPr>
            <w:r>
              <w:rPr>
                <w:kern w:val="0"/>
                <w:szCs w:val="21"/>
                <w:lang w:bidi="ar"/>
              </w:rPr>
              <w:t>0.61682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C01E64F">
            <w:pPr>
              <w:widowControl/>
              <w:jc w:val="center"/>
              <w:textAlignment w:val="center"/>
              <w:rPr>
                <w:szCs w:val="21"/>
              </w:rPr>
            </w:pPr>
            <w:r>
              <w:rPr>
                <w:kern w:val="0"/>
                <w:szCs w:val="21"/>
                <w:lang w:bidi="ar"/>
              </w:rPr>
              <w:t>0.31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1841D4A">
            <w:pPr>
              <w:widowControl/>
              <w:jc w:val="center"/>
              <w:textAlignment w:val="center"/>
              <w:rPr>
                <w:szCs w:val="21"/>
              </w:rPr>
            </w:pPr>
            <w:r>
              <w:rPr>
                <w:kern w:val="0"/>
                <w:szCs w:val="21"/>
                <w:lang w:bidi="ar"/>
              </w:rPr>
              <w:t>0.035061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CC2C1E4">
            <w:pPr>
              <w:widowControl/>
              <w:jc w:val="center"/>
              <w:textAlignment w:val="center"/>
              <w:rPr>
                <w:szCs w:val="21"/>
              </w:rPr>
            </w:pPr>
            <w:r>
              <w:rPr>
                <w:kern w:val="0"/>
                <w:szCs w:val="21"/>
                <w:lang w:bidi="ar"/>
              </w:rPr>
              <w:t>0.35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77A52AF">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D502EBD">
            <w:pPr>
              <w:widowControl/>
              <w:jc w:val="center"/>
              <w:textAlignment w:val="center"/>
              <w:rPr>
                <w:szCs w:val="21"/>
              </w:rPr>
            </w:pPr>
            <w:r>
              <w:rPr>
                <w:kern w:val="0"/>
                <w:szCs w:val="21"/>
                <w:lang w:bidi="ar"/>
              </w:rPr>
              <w:t>1.2323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38131C2">
            <w:pPr>
              <w:widowControl/>
              <w:jc w:val="center"/>
              <w:textAlignment w:val="center"/>
              <w:rPr>
                <w:szCs w:val="21"/>
              </w:rPr>
            </w:pPr>
            <w:r>
              <w:rPr>
                <w:kern w:val="0"/>
                <w:szCs w:val="21"/>
                <w:lang w:bidi="ar"/>
              </w:rPr>
              <w:t>0.62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0CD716E">
            <w:pPr>
              <w:widowControl/>
              <w:jc w:val="center"/>
              <w:textAlignment w:val="center"/>
              <w:rPr>
                <w:szCs w:val="21"/>
              </w:rPr>
            </w:pPr>
            <w:r>
              <w:rPr>
                <w:kern w:val="0"/>
                <w:szCs w:val="21"/>
                <w:lang w:bidi="ar"/>
              </w:rPr>
              <w:t>0.071419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20D979F">
            <w:pPr>
              <w:widowControl/>
              <w:jc w:val="center"/>
              <w:textAlignment w:val="center"/>
              <w:rPr>
                <w:szCs w:val="21"/>
              </w:rPr>
            </w:pPr>
            <w:r>
              <w:rPr>
                <w:kern w:val="0"/>
                <w:szCs w:val="21"/>
                <w:lang w:bidi="ar"/>
              </w:rPr>
              <w:t>0.71</w:t>
            </w:r>
          </w:p>
        </w:tc>
      </w:tr>
      <w:tr w14:paraId="49BACBB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535756E">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B86D72B">
            <w:pPr>
              <w:widowControl/>
              <w:jc w:val="center"/>
              <w:textAlignment w:val="center"/>
              <w:rPr>
                <w:szCs w:val="21"/>
              </w:rPr>
            </w:pPr>
            <w:r>
              <w:rPr>
                <w:kern w:val="0"/>
                <w:szCs w:val="21"/>
                <w:lang w:bidi="ar"/>
              </w:rPr>
              <w:t>0.64958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B340F20">
            <w:pPr>
              <w:widowControl/>
              <w:jc w:val="center"/>
              <w:textAlignment w:val="center"/>
              <w:rPr>
                <w:szCs w:val="21"/>
              </w:rPr>
            </w:pPr>
            <w:r>
              <w:rPr>
                <w:kern w:val="0"/>
                <w:szCs w:val="21"/>
                <w:lang w:bidi="ar"/>
              </w:rPr>
              <w:t>0.32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BB09E39">
            <w:pPr>
              <w:widowControl/>
              <w:jc w:val="center"/>
              <w:textAlignment w:val="center"/>
              <w:rPr>
                <w:szCs w:val="21"/>
              </w:rPr>
            </w:pPr>
            <w:r>
              <w:rPr>
                <w:kern w:val="0"/>
                <w:szCs w:val="21"/>
                <w:lang w:bidi="ar"/>
              </w:rPr>
              <w:t>0.061865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F0C881D">
            <w:pPr>
              <w:widowControl/>
              <w:jc w:val="center"/>
              <w:textAlignment w:val="center"/>
              <w:rPr>
                <w:szCs w:val="21"/>
              </w:rPr>
            </w:pPr>
            <w:r>
              <w:rPr>
                <w:kern w:val="0"/>
                <w:szCs w:val="21"/>
                <w:lang w:bidi="ar"/>
              </w:rPr>
              <w:t>0.62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4F784C4">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F4514A0">
            <w:pPr>
              <w:widowControl/>
              <w:jc w:val="center"/>
              <w:textAlignment w:val="center"/>
              <w:rPr>
                <w:szCs w:val="21"/>
              </w:rPr>
            </w:pPr>
            <w:r>
              <w:rPr>
                <w:kern w:val="0"/>
                <w:szCs w:val="21"/>
                <w:lang w:bidi="ar"/>
              </w:rPr>
              <w:t>0.55908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40E2440">
            <w:pPr>
              <w:widowControl/>
              <w:jc w:val="center"/>
              <w:textAlignment w:val="center"/>
              <w:rPr>
                <w:szCs w:val="21"/>
              </w:rPr>
            </w:pPr>
            <w:r>
              <w:rPr>
                <w:kern w:val="0"/>
                <w:szCs w:val="21"/>
                <w:lang w:bidi="ar"/>
              </w:rPr>
              <w:t>0.28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82B44AF">
            <w:pPr>
              <w:widowControl/>
              <w:jc w:val="center"/>
              <w:textAlignment w:val="center"/>
              <w:rPr>
                <w:szCs w:val="21"/>
              </w:rPr>
            </w:pPr>
            <w:r>
              <w:rPr>
                <w:kern w:val="0"/>
                <w:szCs w:val="21"/>
                <w:lang w:bidi="ar"/>
              </w:rPr>
              <w:t>0.031779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C61AC50">
            <w:pPr>
              <w:widowControl/>
              <w:jc w:val="center"/>
              <w:textAlignment w:val="center"/>
              <w:rPr>
                <w:szCs w:val="21"/>
              </w:rPr>
            </w:pPr>
            <w:r>
              <w:rPr>
                <w:kern w:val="0"/>
                <w:szCs w:val="21"/>
                <w:lang w:bidi="ar"/>
              </w:rPr>
              <w:t>0.32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A0397E4">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3E08E2">
            <w:pPr>
              <w:widowControl/>
              <w:jc w:val="center"/>
              <w:textAlignment w:val="center"/>
              <w:rPr>
                <w:szCs w:val="21"/>
              </w:rPr>
            </w:pPr>
            <w:r>
              <w:rPr>
                <w:kern w:val="0"/>
                <w:szCs w:val="21"/>
                <w:lang w:bidi="ar"/>
              </w:rPr>
              <w:t>1.117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7C38480">
            <w:pPr>
              <w:widowControl/>
              <w:jc w:val="center"/>
              <w:textAlignment w:val="center"/>
              <w:rPr>
                <w:szCs w:val="21"/>
              </w:rPr>
            </w:pPr>
            <w:r>
              <w:rPr>
                <w:kern w:val="0"/>
                <w:szCs w:val="21"/>
                <w:lang w:bidi="ar"/>
              </w:rPr>
              <w:t>0.56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4217284">
            <w:pPr>
              <w:widowControl/>
              <w:jc w:val="center"/>
              <w:textAlignment w:val="center"/>
              <w:rPr>
                <w:szCs w:val="21"/>
              </w:rPr>
            </w:pPr>
            <w:r>
              <w:rPr>
                <w:kern w:val="0"/>
                <w:szCs w:val="21"/>
                <w:lang w:bidi="ar"/>
              </w:rPr>
              <w:t>0.064737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FA1EB72">
            <w:pPr>
              <w:widowControl/>
              <w:jc w:val="center"/>
              <w:textAlignment w:val="center"/>
              <w:rPr>
                <w:szCs w:val="21"/>
              </w:rPr>
            </w:pPr>
            <w:r>
              <w:rPr>
                <w:kern w:val="0"/>
                <w:szCs w:val="21"/>
                <w:lang w:bidi="ar"/>
              </w:rPr>
              <w:t>0.65</w:t>
            </w:r>
          </w:p>
        </w:tc>
      </w:tr>
      <w:tr w14:paraId="4BB65AB3">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B7B63AF">
            <w:pPr>
              <w:widowControl/>
              <w:jc w:val="center"/>
              <w:textAlignment w:val="center"/>
              <w:rPr>
                <w:b/>
                <w:bCs/>
                <w:szCs w:val="21"/>
              </w:rPr>
            </w:pPr>
            <w:r>
              <w:rPr>
                <w:b/>
                <w:bCs/>
                <w:kern w:val="0"/>
                <w:szCs w:val="21"/>
                <w:lang w:bidi="ar"/>
              </w:rPr>
              <w:t>老井养殖区堆肥间</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5F0403F">
            <w:pPr>
              <w:widowControl/>
              <w:jc w:val="center"/>
              <w:textAlignment w:val="center"/>
              <w:rPr>
                <w:b/>
                <w:bCs/>
                <w:szCs w:val="21"/>
              </w:rPr>
            </w:pPr>
            <w:r>
              <w:rPr>
                <w:b/>
                <w:bCs/>
                <w:kern w:val="0"/>
                <w:szCs w:val="21"/>
                <w:lang w:bidi="ar"/>
              </w:rPr>
              <w:t>旺鑫板块养殖区堆肥间</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C1AD297">
            <w:pPr>
              <w:widowControl/>
              <w:jc w:val="center"/>
              <w:textAlignment w:val="center"/>
              <w:rPr>
                <w:b/>
                <w:bCs/>
                <w:szCs w:val="21"/>
              </w:rPr>
            </w:pPr>
            <w:r>
              <w:rPr>
                <w:b/>
                <w:bCs/>
                <w:kern w:val="0"/>
                <w:szCs w:val="21"/>
                <w:lang w:bidi="ar"/>
              </w:rPr>
              <w:t>大河边养殖区堆肥间</w:t>
            </w:r>
          </w:p>
        </w:tc>
      </w:tr>
      <w:tr w14:paraId="6805B8F7">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133ED51C">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EABD0AE">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32C4ED5">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20580AEA">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8557D9D">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D952D4C">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5547F17F">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941789C">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79D6896">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4AB71DC7">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28C059C3">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280708A">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65DD11E">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FE002A7">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7FD22AE">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25414DC8">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F100112">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4EA198E">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00D78A5">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9642FF7">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706E5DEB">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FE75150">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BE2EE7E">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A053993">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05E6C1F">
            <w:pPr>
              <w:widowControl/>
              <w:jc w:val="center"/>
              <w:textAlignment w:val="center"/>
              <w:rPr>
                <w:b/>
                <w:bCs/>
                <w:szCs w:val="21"/>
              </w:rPr>
            </w:pPr>
            <w:r>
              <w:rPr>
                <w:b/>
                <w:bCs/>
                <w:kern w:val="0"/>
                <w:szCs w:val="21"/>
                <w:lang w:bidi="ar"/>
              </w:rPr>
              <w:t>占标率</w:t>
            </w:r>
          </w:p>
        </w:tc>
      </w:tr>
      <w:tr w14:paraId="6726D11D">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15533539">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82E74D5">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D1CFE4B">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CE93775">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EB009D">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1DD01C0A">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CBD59E9">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88733FE">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F9AB910">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A96D521">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21A2AC24">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8D0549F">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151C32C">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CE0D562">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49486E3">
            <w:pPr>
              <w:widowControl/>
              <w:jc w:val="center"/>
              <w:textAlignment w:val="center"/>
              <w:rPr>
                <w:b/>
                <w:bCs/>
                <w:szCs w:val="21"/>
              </w:rPr>
            </w:pPr>
            <w:r>
              <w:rPr>
                <w:b/>
                <w:bCs/>
                <w:kern w:val="0"/>
                <w:szCs w:val="21"/>
                <w:lang w:bidi="ar"/>
              </w:rPr>
              <w:t>Pi(%)</w:t>
            </w:r>
          </w:p>
        </w:tc>
      </w:tr>
      <w:tr w14:paraId="452C8A2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E85B7C7">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88CA4D2">
            <w:pPr>
              <w:widowControl/>
              <w:jc w:val="center"/>
              <w:textAlignment w:val="center"/>
              <w:rPr>
                <w:szCs w:val="21"/>
              </w:rPr>
            </w:pPr>
            <w:r>
              <w:rPr>
                <w:kern w:val="0"/>
                <w:szCs w:val="21"/>
                <w:lang w:bidi="ar"/>
              </w:rPr>
              <w:t>9.5698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13FC257">
            <w:pPr>
              <w:widowControl/>
              <w:jc w:val="center"/>
              <w:textAlignment w:val="center"/>
              <w:rPr>
                <w:szCs w:val="21"/>
              </w:rPr>
            </w:pPr>
            <w:r>
              <w:rPr>
                <w:kern w:val="0"/>
                <w:szCs w:val="21"/>
                <w:lang w:bidi="ar"/>
              </w:rPr>
              <w:t>4.78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3386EEB">
            <w:pPr>
              <w:widowControl/>
              <w:jc w:val="center"/>
              <w:textAlignment w:val="center"/>
              <w:rPr>
                <w:szCs w:val="21"/>
              </w:rPr>
            </w:pPr>
            <w:r>
              <w:rPr>
                <w:kern w:val="0"/>
                <w:szCs w:val="21"/>
                <w:lang w:bidi="ar"/>
              </w:rPr>
              <w:t>0.543968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BB5B217">
            <w:pPr>
              <w:widowControl/>
              <w:jc w:val="center"/>
              <w:textAlignment w:val="center"/>
              <w:rPr>
                <w:szCs w:val="21"/>
              </w:rPr>
            </w:pPr>
            <w:r>
              <w:rPr>
                <w:kern w:val="0"/>
                <w:szCs w:val="21"/>
                <w:lang w:bidi="ar"/>
              </w:rPr>
              <w:t>5.44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44269E4">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44B865">
            <w:pPr>
              <w:widowControl/>
              <w:jc w:val="center"/>
              <w:textAlignment w:val="center"/>
              <w:rPr>
                <w:szCs w:val="21"/>
              </w:rPr>
            </w:pPr>
            <w:r>
              <w:rPr>
                <w:kern w:val="0"/>
                <w:szCs w:val="21"/>
                <w:lang w:bidi="ar"/>
              </w:rPr>
              <w:t>13.904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1140A93">
            <w:pPr>
              <w:widowControl/>
              <w:jc w:val="center"/>
              <w:textAlignment w:val="center"/>
              <w:rPr>
                <w:szCs w:val="21"/>
              </w:rPr>
            </w:pPr>
            <w:r>
              <w:rPr>
                <w:kern w:val="0"/>
                <w:szCs w:val="21"/>
                <w:lang w:bidi="ar"/>
              </w:rPr>
              <w:t>6.95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BB899F7">
            <w:pPr>
              <w:widowControl/>
              <w:jc w:val="center"/>
              <w:textAlignment w:val="center"/>
              <w:rPr>
                <w:szCs w:val="21"/>
              </w:rPr>
            </w:pPr>
            <w:r>
              <w:rPr>
                <w:kern w:val="0"/>
                <w:szCs w:val="21"/>
                <w:lang w:bidi="ar"/>
              </w:rPr>
              <w:t>0.805817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472D6AE">
            <w:pPr>
              <w:widowControl/>
              <w:jc w:val="center"/>
              <w:textAlignment w:val="center"/>
              <w:rPr>
                <w:szCs w:val="21"/>
              </w:rPr>
            </w:pPr>
            <w:r>
              <w:rPr>
                <w:kern w:val="0"/>
                <w:szCs w:val="21"/>
                <w:lang w:bidi="ar"/>
              </w:rPr>
              <w:t>8.06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A069EE9">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40A8610">
            <w:pPr>
              <w:widowControl/>
              <w:jc w:val="center"/>
              <w:textAlignment w:val="center"/>
              <w:rPr>
                <w:szCs w:val="21"/>
              </w:rPr>
            </w:pPr>
            <w:r>
              <w:rPr>
                <w:kern w:val="0"/>
                <w:szCs w:val="21"/>
                <w:lang w:bidi="ar"/>
              </w:rPr>
              <w:t>11.997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8F43AB0">
            <w:pPr>
              <w:widowControl/>
              <w:jc w:val="center"/>
              <w:textAlignment w:val="center"/>
              <w:rPr>
                <w:szCs w:val="21"/>
              </w:rPr>
            </w:pPr>
            <w:r>
              <w:rPr>
                <w:kern w:val="0"/>
                <w:szCs w:val="21"/>
                <w:lang w:bidi="ar"/>
              </w:rPr>
              <w:t>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2F8AD56">
            <w:pPr>
              <w:widowControl/>
              <w:jc w:val="center"/>
              <w:textAlignment w:val="center"/>
              <w:rPr>
                <w:szCs w:val="21"/>
              </w:rPr>
            </w:pPr>
            <w:r>
              <w:rPr>
                <w:kern w:val="0"/>
                <w:szCs w:val="21"/>
                <w:lang w:bidi="ar"/>
              </w:rPr>
              <w:t>0.695478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EE841FB">
            <w:pPr>
              <w:widowControl/>
              <w:jc w:val="center"/>
              <w:textAlignment w:val="center"/>
              <w:rPr>
                <w:szCs w:val="21"/>
              </w:rPr>
            </w:pPr>
            <w:r>
              <w:rPr>
                <w:kern w:val="0"/>
                <w:szCs w:val="21"/>
                <w:lang w:bidi="ar"/>
              </w:rPr>
              <w:t>6.95</w:t>
            </w:r>
          </w:p>
        </w:tc>
      </w:tr>
      <w:tr w14:paraId="48B3C3F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27B087A">
            <w:pPr>
              <w:widowControl/>
              <w:jc w:val="center"/>
              <w:textAlignment w:val="center"/>
              <w:rPr>
                <w:szCs w:val="21"/>
              </w:rPr>
            </w:pPr>
            <w:r>
              <w:rPr>
                <w:kern w:val="0"/>
                <w:szCs w:val="21"/>
                <w:lang w:bidi="ar"/>
              </w:rPr>
              <w:t>14</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FB6ED85">
            <w:pPr>
              <w:widowControl/>
              <w:jc w:val="center"/>
              <w:textAlignment w:val="center"/>
              <w:rPr>
                <w:szCs w:val="21"/>
              </w:rPr>
            </w:pPr>
            <w:r>
              <w:rPr>
                <w:kern w:val="0"/>
                <w:szCs w:val="21"/>
                <w:lang w:bidi="ar"/>
              </w:rPr>
              <w:t>10.817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7BC090B">
            <w:pPr>
              <w:widowControl/>
              <w:jc w:val="center"/>
              <w:textAlignment w:val="center"/>
              <w:rPr>
                <w:szCs w:val="21"/>
              </w:rPr>
            </w:pPr>
            <w:r>
              <w:rPr>
                <w:kern w:val="0"/>
                <w:szCs w:val="21"/>
                <w:lang w:bidi="ar"/>
              </w:rPr>
              <w:t>5.41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690FEDA">
            <w:pPr>
              <w:widowControl/>
              <w:jc w:val="center"/>
              <w:textAlignment w:val="center"/>
              <w:rPr>
                <w:szCs w:val="21"/>
              </w:rPr>
            </w:pPr>
            <w:r>
              <w:rPr>
                <w:kern w:val="0"/>
                <w:szCs w:val="21"/>
                <w:lang w:bidi="ar"/>
              </w:rPr>
              <w:t>0.614861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A2038B2">
            <w:pPr>
              <w:widowControl/>
              <w:jc w:val="center"/>
              <w:textAlignment w:val="center"/>
              <w:rPr>
                <w:szCs w:val="21"/>
              </w:rPr>
            </w:pPr>
            <w:r>
              <w:rPr>
                <w:kern w:val="0"/>
                <w:szCs w:val="21"/>
                <w:lang w:bidi="ar"/>
              </w:rPr>
              <w:t>6.15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5DE2705">
            <w:pPr>
              <w:widowControl/>
              <w:jc w:val="center"/>
              <w:textAlignment w:val="center"/>
              <w:rPr>
                <w:szCs w:val="21"/>
              </w:rPr>
            </w:pPr>
            <w:r>
              <w:rPr>
                <w:kern w:val="0"/>
                <w:szCs w:val="21"/>
                <w:lang w:bidi="ar"/>
              </w:rPr>
              <w:t>22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F0B4316">
            <w:pPr>
              <w:widowControl/>
              <w:jc w:val="center"/>
              <w:textAlignment w:val="center"/>
              <w:rPr>
                <w:szCs w:val="21"/>
              </w:rPr>
            </w:pPr>
            <w:r>
              <w:rPr>
                <w:kern w:val="0"/>
                <w:szCs w:val="21"/>
                <w:lang w:bidi="ar"/>
              </w:rPr>
              <w:t>16.843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2DE4A22">
            <w:pPr>
              <w:widowControl/>
              <w:jc w:val="center"/>
              <w:textAlignment w:val="center"/>
              <w:rPr>
                <w:szCs w:val="21"/>
              </w:rPr>
            </w:pPr>
            <w:r>
              <w:rPr>
                <w:kern w:val="0"/>
                <w:szCs w:val="21"/>
                <w:lang w:bidi="ar"/>
              </w:rPr>
              <w:t>8.42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B143578">
            <w:pPr>
              <w:widowControl/>
              <w:jc w:val="center"/>
              <w:textAlignment w:val="center"/>
              <w:rPr>
                <w:szCs w:val="21"/>
              </w:rPr>
            </w:pPr>
            <w:r>
              <w:rPr>
                <w:kern w:val="0"/>
                <w:szCs w:val="21"/>
                <w:lang w:bidi="ar"/>
              </w:rPr>
              <w:t>0.976149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6B0B63D">
            <w:pPr>
              <w:widowControl/>
              <w:jc w:val="center"/>
              <w:textAlignment w:val="center"/>
              <w:rPr>
                <w:szCs w:val="21"/>
              </w:rPr>
            </w:pPr>
            <w:r>
              <w:rPr>
                <w:kern w:val="0"/>
                <w:szCs w:val="21"/>
                <w:lang w:bidi="ar"/>
              </w:rPr>
              <w:t>9.76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922F112">
            <w:pPr>
              <w:widowControl/>
              <w:jc w:val="center"/>
              <w:textAlignment w:val="center"/>
              <w:rPr>
                <w:szCs w:val="21"/>
              </w:rPr>
            </w:pPr>
            <w:r>
              <w:rPr>
                <w:kern w:val="0"/>
                <w:szCs w:val="21"/>
                <w:lang w:bidi="ar"/>
              </w:rPr>
              <w:t>21</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115E029">
            <w:pPr>
              <w:widowControl/>
              <w:jc w:val="center"/>
              <w:textAlignment w:val="center"/>
              <w:rPr>
                <w:szCs w:val="21"/>
              </w:rPr>
            </w:pPr>
            <w:r>
              <w:rPr>
                <w:kern w:val="0"/>
                <w:szCs w:val="21"/>
                <w:lang w:bidi="ar"/>
              </w:rPr>
              <w:t>14.43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7904468">
            <w:pPr>
              <w:widowControl/>
              <w:jc w:val="center"/>
              <w:textAlignment w:val="center"/>
              <w:rPr>
                <w:szCs w:val="21"/>
              </w:rPr>
            </w:pPr>
            <w:r>
              <w:rPr>
                <w:kern w:val="0"/>
                <w:szCs w:val="21"/>
                <w:lang w:bidi="ar"/>
              </w:rPr>
              <w:t>7.22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3CE6881">
            <w:pPr>
              <w:widowControl/>
              <w:jc w:val="center"/>
              <w:textAlignment w:val="center"/>
              <w:rPr>
                <w:szCs w:val="21"/>
              </w:rPr>
            </w:pPr>
            <w:r>
              <w:rPr>
                <w:kern w:val="0"/>
                <w:szCs w:val="21"/>
                <w:lang w:bidi="ar"/>
              </w:rPr>
              <w:t>0.836522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3ECEE37">
            <w:pPr>
              <w:widowControl/>
              <w:jc w:val="center"/>
              <w:textAlignment w:val="center"/>
              <w:rPr>
                <w:szCs w:val="21"/>
              </w:rPr>
            </w:pPr>
            <w:r>
              <w:rPr>
                <w:kern w:val="0"/>
                <w:szCs w:val="21"/>
                <w:lang w:bidi="ar"/>
              </w:rPr>
              <w:t>8.37</w:t>
            </w:r>
          </w:p>
        </w:tc>
      </w:tr>
      <w:tr w14:paraId="14A1FF9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92DE36C">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3583562">
            <w:pPr>
              <w:widowControl/>
              <w:jc w:val="center"/>
              <w:textAlignment w:val="center"/>
              <w:rPr>
                <w:szCs w:val="21"/>
              </w:rPr>
            </w:pPr>
            <w:r>
              <w:rPr>
                <w:kern w:val="0"/>
                <w:szCs w:val="21"/>
                <w:lang w:bidi="ar"/>
              </w:rPr>
              <w:t>8.812801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6CFA9A8">
            <w:pPr>
              <w:widowControl/>
              <w:jc w:val="center"/>
              <w:textAlignment w:val="center"/>
              <w:rPr>
                <w:szCs w:val="21"/>
              </w:rPr>
            </w:pPr>
            <w:r>
              <w:rPr>
                <w:kern w:val="0"/>
                <w:szCs w:val="21"/>
                <w:lang w:bidi="ar"/>
              </w:rPr>
              <w:t>4.41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3E6DA1B">
            <w:pPr>
              <w:widowControl/>
              <w:jc w:val="center"/>
              <w:textAlignment w:val="center"/>
              <w:rPr>
                <w:szCs w:val="21"/>
              </w:rPr>
            </w:pPr>
            <w:r>
              <w:rPr>
                <w:kern w:val="0"/>
                <w:szCs w:val="21"/>
                <w:lang w:bidi="ar"/>
              </w:rPr>
              <w:t>0.500938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4A7CC90">
            <w:pPr>
              <w:widowControl/>
              <w:jc w:val="center"/>
              <w:textAlignment w:val="center"/>
              <w:rPr>
                <w:szCs w:val="21"/>
              </w:rPr>
            </w:pPr>
            <w:r>
              <w:rPr>
                <w:kern w:val="0"/>
                <w:szCs w:val="21"/>
                <w:lang w:bidi="ar"/>
              </w:rPr>
              <w:t>5.01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E9B2FFA">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EE2D403">
            <w:pPr>
              <w:widowControl/>
              <w:jc w:val="center"/>
              <w:textAlignment w:val="center"/>
              <w:rPr>
                <w:szCs w:val="21"/>
              </w:rPr>
            </w:pPr>
            <w:r>
              <w:rPr>
                <w:kern w:val="0"/>
                <w:szCs w:val="21"/>
                <w:lang w:bidi="ar"/>
              </w:rPr>
              <w:t>16.337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308D692">
            <w:pPr>
              <w:widowControl/>
              <w:jc w:val="center"/>
              <w:textAlignment w:val="center"/>
              <w:rPr>
                <w:szCs w:val="21"/>
              </w:rPr>
            </w:pPr>
            <w:r>
              <w:rPr>
                <w:kern w:val="0"/>
                <w:szCs w:val="21"/>
                <w:lang w:bidi="ar"/>
              </w:rPr>
              <w:t>8.17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F229FCC">
            <w:pPr>
              <w:widowControl/>
              <w:jc w:val="center"/>
              <w:textAlignment w:val="center"/>
              <w:rPr>
                <w:szCs w:val="21"/>
              </w:rPr>
            </w:pPr>
            <w:r>
              <w:rPr>
                <w:kern w:val="0"/>
                <w:szCs w:val="21"/>
                <w:lang w:bidi="ar"/>
              </w:rPr>
              <w:t>0.946823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CFEC356">
            <w:pPr>
              <w:widowControl/>
              <w:jc w:val="center"/>
              <w:textAlignment w:val="center"/>
              <w:rPr>
                <w:szCs w:val="21"/>
              </w:rPr>
            </w:pPr>
            <w:r>
              <w:rPr>
                <w:kern w:val="0"/>
                <w:szCs w:val="21"/>
                <w:lang w:bidi="ar"/>
              </w:rPr>
              <w:t>9.47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A2ADBAA">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12273DE">
            <w:pPr>
              <w:widowControl/>
              <w:jc w:val="center"/>
              <w:textAlignment w:val="center"/>
              <w:rPr>
                <w:szCs w:val="21"/>
              </w:rPr>
            </w:pPr>
            <w:r>
              <w:rPr>
                <w:kern w:val="0"/>
                <w:szCs w:val="21"/>
                <w:lang w:bidi="ar"/>
              </w:rPr>
              <w:t>13.677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1EA25B1">
            <w:pPr>
              <w:widowControl/>
              <w:jc w:val="center"/>
              <w:textAlignment w:val="center"/>
              <w:rPr>
                <w:szCs w:val="21"/>
              </w:rPr>
            </w:pPr>
            <w:r>
              <w:rPr>
                <w:kern w:val="0"/>
                <w:szCs w:val="21"/>
                <w:lang w:bidi="ar"/>
              </w:rPr>
              <w:t>6.84</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92F2F5C">
            <w:pPr>
              <w:widowControl/>
              <w:jc w:val="center"/>
              <w:textAlignment w:val="center"/>
              <w:rPr>
                <w:szCs w:val="21"/>
              </w:rPr>
            </w:pPr>
            <w:r>
              <w:rPr>
                <w:kern w:val="0"/>
                <w:szCs w:val="21"/>
                <w:lang w:bidi="ar"/>
              </w:rPr>
              <w:t>0.79287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74CB948">
            <w:pPr>
              <w:widowControl/>
              <w:jc w:val="center"/>
              <w:textAlignment w:val="center"/>
              <w:rPr>
                <w:szCs w:val="21"/>
              </w:rPr>
            </w:pPr>
            <w:r>
              <w:rPr>
                <w:kern w:val="0"/>
                <w:szCs w:val="21"/>
                <w:lang w:bidi="ar"/>
              </w:rPr>
              <w:t>7.93</w:t>
            </w:r>
          </w:p>
        </w:tc>
      </w:tr>
      <w:tr w14:paraId="1183FD5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75BB0D3">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E018E9E">
            <w:pPr>
              <w:widowControl/>
              <w:jc w:val="center"/>
              <w:textAlignment w:val="center"/>
              <w:rPr>
                <w:szCs w:val="21"/>
              </w:rPr>
            </w:pPr>
            <w:r>
              <w:rPr>
                <w:kern w:val="0"/>
                <w:szCs w:val="21"/>
                <w:lang w:bidi="ar"/>
              </w:rPr>
              <w:t>5.768401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091EF08">
            <w:pPr>
              <w:widowControl/>
              <w:jc w:val="center"/>
              <w:textAlignment w:val="center"/>
              <w:rPr>
                <w:szCs w:val="21"/>
              </w:rPr>
            </w:pPr>
            <w:r>
              <w:rPr>
                <w:kern w:val="0"/>
                <w:szCs w:val="21"/>
                <w:lang w:bidi="ar"/>
              </w:rPr>
              <w:t>2.88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2E28470">
            <w:pPr>
              <w:widowControl/>
              <w:jc w:val="center"/>
              <w:textAlignment w:val="center"/>
              <w:rPr>
                <w:szCs w:val="21"/>
              </w:rPr>
            </w:pPr>
            <w:r>
              <w:rPr>
                <w:kern w:val="0"/>
                <w:szCs w:val="21"/>
                <w:lang w:bidi="ar"/>
              </w:rPr>
              <w:t>0.327888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5FEF048">
            <w:pPr>
              <w:widowControl/>
              <w:jc w:val="center"/>
              <w:textAlignment w:val="center"/>
              <w:rPr>
                <w:szCs w:val="21"/>
              </w:rPr>
            </w:pPr>
            <w:r>
              <w:rPr>
                <w:kern w:val="0"/>
                <w:szCs w:val="21"/>
                <w:lang w:bidi="ar"/>
              </w:rPr>
              <w:t>3.28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41EB6E5">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B48BEC6">
            <w:pPr>
              <w:widowControl/>
              <w:jc w:val="center"/>
              <w:textAlignment w:val="center"/>
              <w:rPr>
                <w:szCs w:val="21"/>
              </w:rPr>
            </w:pPr>
            <w:r>
              <w:rPr>
                <w:kern w:val="0"/>
                <w:szCs w:val="21"/>
                <w:lang w:bidi="ar"/>
              </w:rPr>
              <w:t>11.631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101501A">
            <w:pPr>
              <w:widowControl/>
              <w:jc w:val="center"/>
              <w:textAlignment w:val="center"/>
              <w:rPr>
                <w:szCs w:val="21"/>
              </w:rPr>
            </w:pPr>
            <w:r>
              <w:rPr>
                <w:kern w:val="0"/>
                <w:szCs w:val="21"/>
                <w:lang w:bidi="ar"/>
              </w:rPr>
              <w:t>5.82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E2A1EC6">
            <w:pPr>
              <w:widowControl/>
              <w:jc w:val="center"/>
              <w:textAlignment w:val="center"/>
              <w:rPr>
                <w:szCs w:val="21"/>
              </w:rPr>
            </w:pPr>
            <w:r>
              <w:rPr>
                <w:kern w:val="0"/>
                <w:szCs w:val="21"/>
                <w:lang w:bidi="ar"/>
              </w:rPr>
              <w:t>0.674083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0B4CC6C">
            <w:pPr>
              <w:widowControl/>
              <w:jc w:val="center"/>
              <w:textAlignment w:val="center"/>
              <w:rPr>
                <w:szCs w:val="21"/>
              </w:rPr>
            </w:pPr>
            <w:r>
              <w:rPr>
                <w:kern w:val="0"/>
                <w:szCs w:val="21"/>
                <w:lang w:bidi="ar"/>
              </w:rPr>
              <w:t>6.74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165FBD3">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DA41BC8">
            <w:pPr>
              <w:widowControl/>
              <w:jc w:val="center"/>
              <w:textAlignment w:val="center"/>
              <w:rPr>
                <w:szCs w:val="21"/>
              </w:rPr>
            </w:pPr>
            <w:r>
              <w:rPr>
                <w:kern w:val="0"/>
                <w:szCs w:val="21"/>
                <w:lang w:bidi="ar"/>
              </w:rPr>
              <w:t>9.385201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B15731C">
            <w:pPr>
              <w:widowControl/>
              <w:jc w:val="center"/>
              <w:textAlignment w:val="center"/>
              <w:rPr>
                <w:szCs w:val="21"/>
              </w:rPr>
            </w:pPr>
            <w:r>
              <w:rPr>
                <w:kern w:val="0"/>
                <w:szCs w:val="21"/>
                <w:lang w:bidi="ar"/>
              </w:rPr>
              <w:t>4.69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D23C42B">
            <w:pPr>
              <w:widowControl/>
              <w:jc w:val="center"/>
              <w:textAlignment w:val="center"/>
              <w:rPr>
                <w:szCs w:val="21"/>
              </w:rPr>
            </w:pPr>
            <w:r>
              <w:rPr>
                <w:kern w:val="0"/>
                <w:szCs w:val="21"/>
                <w:lang w:bidi="ar"/>
              </w:rPr>
              <w:t>0.54407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4E44E87">
            <w:pPr>
              <w:widowControl/>
              <w:jc w:val="center"/>
              <w:textAlignment w:val="center"/>
              <w:rPr>
                <w:szCs w:val="21"/>
              </w:rPr>
            </w:pPr>
            <w:r>
              <w:rPr>
                <w:kern w:val="0"/>
                <w:szCs w:val="21"/>
                <w:lang w:bidi="ar"/>
              </w:rPr>
              <w:t>5.44</w:t>
            </w:r>
          </w:p>
        </w:tc>
      </w:tr>
      <w:tr w14:paraId="3F4DF0F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8CC985F">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633A21E">
            <w:pPr>
              <w:widowControl/>
              <w:jc w:val="center"/>
              <w:textAlignment w:val="center"/>
              <w:rPr>
                <w:szCs w:val="21"/>
              </w:rPr>
            </w:pPr>
            <w:r>
              <w:rPr>
                <w:kern w:val="0"/>
                <w:szCs w:val="21"/>
                <w:lang w:bidi="ar"/>
              </w:rPr>
              <w:t>3.4966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A2D7823">
            <w:pPr>
              <w:widowControl/>
              <w:jc w:val="center"/>
              <w:textAlignment w:val="center"/>
              <w:rPr>
                <w:szCs w:val="21"/>
              </w:rPr>
            </w:pPr>
            <w:r>
              <w:rPr>
                <w:kern w:val="0"/>
                <w:szCs w:val="21"/>
                <w:lang w:bidi="ar"/>
              </w:rPr>
              <w:t>1.75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D985D99">
            <w:pPr>
              <w:widowControl/>
              <w:jc w:val="center"/>
              <w:textAlignment w:val="center"/>
              <w:rPr>
                <w:szCs w:val="21"/>
              </w:rPr>
            </w:pPr>
            <w:r>
              <w:rPr>
                <w:kern w:val="0"/>
                <w:szCs w:val="21"/>
                <w:lang w:bidi="ar"/>
              </w:rPr>
              <w:t>0.198754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153837F">
            <w:pPr>
              <w:widowControl/>
              <w:jc w:val="center"/>
              <w:textAlignment w:val="center"/>
              <w:rPr>
                <w:szCs w:val="21"/>
              </w:rPr>
            </w:pPr>
            <w:r>
              <w:rPr>
                <w:kern w:val="0"/>
                <w:szCs w:val="21"/>
                <w:lang w:bidi="ar"/>
              </w:rPr>
              <w:t>1.99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773F7E7">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B0526C9">
            <w:pPr>
              <w:widowControl/>
              <w:jc w:val="center"/>
              <w:textAlignment w:val="center"/>
              <w:rPr>
                <w:szCs w:val="21"/>
              </w:rPr>
            </w:pPr>
            <w:r>
              <w:rPr>
                <w:kern w:val="0"/>
                <w:szCs w:val="21"/>
                <w:lang w:bidi="ar"/>
              </w:rPr>
              <w:t>7.1134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59116A8">
            <w:pPr>
              <w:widowControl/>
              <w:jc w:val="center"/>
              <w:textAlignment w:val="center"/>
              <w:rPr>
                <w:szCs w:val="21"/>
              </w:rPr>
            </w:pPr>
            <w:r>
              <w:rPr>
                <w:kern w:val="0"/>
                <w:szCs w:val="21"/>
                <w:lang w:bidi="ar"/>
              </w:rPr>
              <w:t>3.56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64952F6">
            <w:pPr>
              <w:widowControl/>
              <w:jc w:val="center"/>
              <w:textAlignment w:val="center"/>
              <w:rPr>
                <w:szCs w:val="21"/>
              </w:rPr>
            </w:pPr>
            <w:r>
              <w:rPr>
                <w:kern w:val="0"/>
                <w:szCs w:val="21"/>
                <w:lang w:bidi="ar"/>
              </w:rPr>
              <w:t>0.412262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8E9B146">
            <w:pPr>
              <w:widowControl/>
              <w:jc w:val="center"/>
              <w:textAlignment w:val="center"/>
              <w:rPr>
                <w:szCs w:val="21"/>
              </w:rPr>
            </w:pPr>
            <w:r>
              <w:rPr>
                <w:kern w:val="0"/>
                <w:szCs w:val="21"/>
                <w:lang w:bidi="ar"/>
              </w:rPr>
              <w:t>4.12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408CFDC">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0F34BA3">
            <w:pPr>
              <w:widowControl/>
              <w:jc w:val="center"/>
              <w:textAlignment w:val="center"/>
              <w:rPr>
                <w:szCs w:val="21"/>
              </w:rPr>
            </w:pPr>
            <w:r>
              <w:rPr>
                <w:kern w:val="0"/>
                <w:szCs w:val="21"/>
                <w:lang w:bidi="ar"/>
              </w:rPr>
              <w:t>5.7105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6FA9B68">
            <w:pPr>
              <w:widowControl/>
              <w:jc w:val="center"/>
              <w:textAlignment w:val="center"/>
              <w:rPr>
                <w:szCs w:val="21"/>
              </w:rPr>
            </w:pPr>
            <w:r>
              <w:rPr>
                <w:kern w:val="0"/>
                <w:szCs w:val="21"/>
                <w:lang w:bidi="ar"/>
              </w:rPr>
              <w:t>2.86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64FCCC3">
            <w:pPr>
              <w:widowControl/>
              <w:jc w:val="center"/>
              <w:textAlignment w:val="center"/>
              <w:rPr>
                <w:szCs w:val="21"/>
              </w:rPr>
            </w:pPr>
            <w:r>
              <w:rPr>
                <w:kern w:val="0"/>
                <w:szCs w:val="21"/>
                <w:lang w:bidi="ar"/>
              </w:rPr>
              <w:t>0.331044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B7120E6">
            <w:pPr>
              <w:widowControl/>
              <w:jc w:val="center"/>
              <w:textAlignment w:val="center"/>
              <w:rPr>
                <w:szCs w:val="21"/>
              </w:rPr>
            </w:pPr>
            <w:r>
              <w:rPr>
                <w:kern w:val="0"/>
                <w:szCs w:val="21"/>
                <w:lang w:bidi="ar"/>
              </w:rPr>
              <w:t>3.31</w:t>
            </w:r>
          </w:p>
        </w:tc>
      </w:tr>
      <w:tr w14:paraId="2EB2322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CFC9E8B">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352C5A0">
            <w:pPr>
              <w:widowControl/>
              <w:jc w:val="center"/>
              <w:textAlignment w:val="center"/>
              <w:rPr>
                <w:szCs w:val="21"/>
              </w:rPr>
            </w:pPr>
            <w:r>
              <w:rPr>
                <w:kern w:val="0"/>
                <w:szCs w:val="21"/>
                <w:lang w:bidi="ar"/>
              </w:rPr>
              <w:t>2.7141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E281BB0">
            <w:pPr>
              <w:widowControl/>
              <w:jc w:val="center"/>
              <w:textAlignment w:val="center"/>
              <w:rPr>
                <w:szCs w:val="21"/>
              </w:rPr>
            </w:pPr>
            <w:r>
              <w:rPr>
                <w:kern w:val="0"/>
                <w:szCs w:val="21"/>
                <w:lang w:bidi="ar"/>
              </w:rPr>
              <w:t>1.36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D364DF7">
            <w:pPr>
              <w:widowControl/>
              <w:jc w:val="center"/>
              <w:textAlignment w:val="center"/>
              <w:rPr>
                <w:szCs w:val="21"/>
              </w:rPr>
            </w:pPr>
            <w:r>
              <w:rPr>
                <w:kern w:val="0"/>
                <w:szCs w:val="21"/>
                <w:lang w:bidi="ar"/>
              </w:rPr>
              <w:t>0.154275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2515EE0">
            <w:pPr>
              <w:widowControl/>
              <w:jc w:val="center"/>
              <w:textAlignment w:val="center"/>
              <w:rPr>
                <w:szCs w:val="21"/>
              </w:rPr>
            </w:pPr>
            <w:r>
              <w:rPr>
                <w:kern w:val="0"/>
                <w:szCs w:val="21"/>
                <w:lang w:bidi="ar"/>
              </w:rPr>
              <w:t>1.54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824DFE6">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3DB8130">
            <w:pPr>
              <w:widowControl/>
              <w:jc w:val="center"/>
              <w:textAlignment w:val="center"/>
              <w:rPr>
                <w:szCs w:val="21"/>
              </w:rPr>
            </w:pPr>
            <w:r>
              <w:rPr>
                <w:kern w:val="0"/>
                <w:szCs w:val="21"/>
                <w:lang w:bidi="ar"/>
              </w:rPr>
              <w:t>5.4176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04EBC76">
            <w:pPr>
              <w:widowControl/>
              <w:jc w:val="center"/>
              <w:textAlignment w:val="center"/>
              <w:rPr>
                <w:szCs w:val="21"/>
              </w:rPr>
            </w:pPr>
            <w:r>
              <w:rPr>
                <w:kern w:val="0"/>
                <w:szCs w:val="21"/>
                <w:lang w:bidi="ar"/>
              </w:rPr>
              <w:t>2.71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DFBC86E">
            <w:pPr>
              <w:widowControl/>
              <w:jc w:val="center"/>
              <w:textAlignment w:val="center"/>
              <w:rPr>
                <w:szCs w:val="21"/>
              </w:rPr>
            </w:pPr>
            <w:r>
              <w:rPr>
                <w:kern w:val="0"/>
                <w:szCs w:val="21"/>
                <w:lang w:bidi="ar"/>
              </w:rPr>
              <w:t>0.313981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0B72AC3">
            <w:pPr>
              <w:widowControl/>
              <w:jc w:val="center"/>
              <w:textAlignment w:val="center"/>
              <w:rPr>
                <w:szCs w:val="21"/>
              </w:rPr>
            </w:pPr>
            <w:r>
              <w:rPr>
                <w:kern w:val="0"/>
                <w:szCs w:val="21"/>
                <w:lang w:bidi="ar"/>
              </w:rPr>
              <w:t>3.14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81500A9">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93E2A8D">
            <w:pPr>
              <w:widowControl/>
              <w:jc w:val="center"/>
              <w:textAlignment w:val="center"/>
              <w:rPr>
                <w:szCs w:val="21"/>
              </w:rPr>
            </w:pPr>
            <w:r>
              <w:rPr>
                <w:kern w:val="0"/>
                <w:szCs w:val="21"/>
                <w:lang w:bidi="ar"/>
              </w:rPr>
              <w:t>4.3509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61F5D0A">
            <w:pPr>
              <w:widowControl/>
              <w:jc w:val="center"/>
              <w:textAlignment w:val="center"/>
              <w:rPr>
                <w:szCs w:val="21"/>
              </w:rPr>
            </w:pPr>
            <w:r>
              <w:rPr>
                <w:kern w:val="0"/>
                <w:szCs w:val="21"/>
                <w:lang w:bidi="ar"/>
              </w:rPr>
              <w:t>2.18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A5D9272">
            <w:pPr>
              <w:widowControl/>
              <w:jc w:val="center"/>
              <w:textAlignment w:val="center"/>
              <w:rPr>
                <w:szCs w:val="21"/>
              </w:rPr>
            </w:pPr>
            <w:r>
              <w:rPr>
                <w:kern w:val="0"/>
                <w:szCs w:val="21"/>
                <w:lang w:bidi="ar"/>
              </w:rPr>
              <w:t>0.252226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C5FA89D">
            <w:pPr>
              <w:widowControl/>
              <w:jc w:val="center"/>
              <w:textAlignment w:val="center"/>
              <w:rPr>
                <w:szCs w:val="21"/>
              </w:rPr>
            </w:pPr>
            <w:r>
              <w:rPr>
                <w:kern w:val="0"/>
                <w:szCs w:val="21"/>
                <w:lang w:bidi="ar"/>
              </w:rPr>
              <w:t>2.52</w:t>
            </w:r>
          </w:p>
        </w:tc>
      </w:tr>
      <w:tr w14:paraId="3BA5521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83827A6">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D1AB28A">
            <w:pPr>
              <w:widowControl/>
              <w:jc w:val="center"/>
              <w:textAlignment w:val="center"/>
              <w:rPr>
                <w:szCs w:val="21"/>
              </w:rPr>
            </w:pPr>
            <w:r>
              <w:rPr>
                <w:kern w:val="0"/>
                <w:szCs w:val="21"/>
                <w:lang w:bidi="ar"/>
              </w:rPr>
              <w:t>2.1052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1AF3416">
            <w:pPr>
              <w:widowControl/>
              <w:jc w:val="center"/>
              <w:textAlignment w:val="center"/>
              <w:rPr>
                <w:szCs w:val="21"/>
              </w:rPr>
            </w:pPr>
            <w:r>
              <w:rPr>
                <w:kern w:val="0"/>
                <w:szCs w:val="21"/>
                <w:lang w:bidi="ar"/>
              </w:rPr>
              <w:t>1.05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5E9E6C5">
            <w:pPr>
              <w:widowControl/>
              <w:jc w:val="center"/>
              <w:textAlignment w:val="center"/>
              <w:rPr>
                <w:szCs w:val="21"/>
              </w:rPr>
            </w:pPr>
            <w:r>
              <w:rPr>
                <w:kern w:val="0"/>
                <w:szCs w:val="21"/>
                <w:lang w:bidi="ar"/>
              </w:rPr>
              <w:t>0.119664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5C92E27">
            <w:pPr>
              <w:widowControl/>
              <w:jc w:val="center"/>
              <w:textAlignment w:val="center"/>
              <w:rPr>
                <w:szCs w:val="21"/>
              </w:rPr>
            </w:pPr>
            <w:r>
              <w:rPr>
                <w:kern w:val="0"/>
                <w:szCs w:val="21"/>
                <w:lang w:bidi="ar"/>
              </w:rPr>
              <w:t>1.2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13A213D">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33EDE2D">
            <w:pPr>
              <w:widowControl/>
              <w:jc w:val="center"/>
              <w:textAlignment w:val="center"/>
              <w:rPr>
                <w:szCs w:val="21"/>
              </w:rPr>
            </w:pPr>
            <w:r>
              <w:rPr>
                <w:kern w:val="0"/>
                <w:szCs w:val="21"/>
                <w:lang w:bidi="ar"/>
              </w:rPr>
              <w:t>4.206901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4CD1EE6">
            <w:pPr>
              <w:widowControl/>
              <w:jc w:val="center"/>
              <w:textAlignment w:val="center"/>
              <w:rPr>
                <w:szCs w:val="21"/>
              </w:rPr>
            </w:pPr>
            <w:r>
              <w:rPr>
                <w:kern w:val="0"/>
                <w:szCs w:val="21"/>
                <w:lang w:bidi="ar"/>
              </w:rPr>
              <w:t>2.1</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AFF3526">
            <w:pPr>
              <w:widowControl/>
              <w:jc w:val="center"/>
              <w:textAlignment w:val="center"/>
              <w:rPr>
                <w:szCs w:val="21"/>
              </w:rPr>
            </w:pPr>
            <w:r>
              <w:rPr>
                <w:kern w:val="0"/>
                <w:szCs w:val="21"/>
                <w:lang w:bidi="ar"/>
              </w:rPr>
              <w:t>0.243814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AA602F3">
            <w:pPr>
              <w:widowControl/>
              <w:jc w:val="center"/>
              <w:textAlignment w:val="center"/>
              <w:rPr>
                <w:szCs w:val="21"/>
              </w:rPr>
            </w:pPr>
            <w:r>
              <w:rPr>
                <w:kern w:val="0"/>
                <w:szCs w:val="21"/>
                <w:lang w:bidi="ar"/>
              </w:rPr>
              <w:t>2.44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2B4039D">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C065596">
            <w:pPr>
              <w:widowControl/>
              <w:jc w:val="center"/>
              <w:textAlignment w:val="center"/>
              <w:rPr>
                <w:szCs w:val="21"/>
              </w:rPr>
            </w:pPr>
            <w:r>
              <w:rPr>
                <w:kern w:val="0"/>
                <w:szCs w:val="21"/>
                <w:lang w:bidi="ar"/>
              </w:rPr>
              <w:t>3.3667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BDB477B">
            <w:pPr>
              <w:widowControl/>
              <w:jc w:val="center"/>
              <w:textAlignment w:val="center"/>
              <w:rPr>
                <w:szCs w:val="21"/>
              </w:rPr>
            </w:pPr>
            <w:r>
              <w:rPr>
                <w:kern w:val="0"/>
                <w:szCs w:val="21"/>
                <w:lang w:bidi="ar"/>
              </w:rPr>
              <w:t>1.68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C19F8A2">
            <w:pPr>
              <w:widowControl/>
              <w:jc w:val="center"/>
              <w:textAlignment w:val="center"/>
              <w:rPr>
                <w:szCs w:val="21"/>
              </w:rPr>
            </w:pPr>
            <w:r>
              <w:rPr>
                <w:kern w:val="0"/>
                <w:szCs w:val="21"/>
                <w:lang w:bidi="ar"/>
              </w:rPr>
              <w:t>0.195171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5B0438B8">
            <w:pPr>
              <w:widowControl/>
              <w:jc w:val="center"/>
              <w:textAlignment w:val="center"/>
              <w:rPr>
                <w:szCs w:val="21"/>
              </w:rPr>
            </w:pPr>
            <w:r>
              <w:rPr>
                <w:kern w:val="0"/>
                <w:szCs w:val="21"/>
                <w:lang w:bidi="ar"/>
              </w:rPr>
              <w:t>1.95</w:t>
            </w:r>
          </w:p>
        </w:tc>
      </w:tr>
      <w:tr w14:paraId="4BB6E62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02DC7B2">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75A6835">
            <w:pPr>
              <w:widowControl/>
              <w:jc w:val="center"/>
              <w:textAlignment w:val="center"/>
              <w:rPr>
                <w:szCs w:val="21"/>
              </w:rPr>
            </w:pPr>
            <w:r>
              <w:rPr>
                <w:kern w:val="0"/>
                <w:szCs w:val="21"/>
                <w:lang w:bidi="ar"/>
              </w:rPr>
              <w:t>1.8447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4398A9F">
            <w:pPr>
              <w:widowControl/>
              <w:jc w:val="center"/>
              <w:textAlignment w:val="center"/>
              <w:rPr>
                <w:szCs w:val="21"/>
              </w:rPr>
            </w:pPr>
            <w:r>
              <w:rPr>
                <w:kern w:val="0"/>
                <w:szCs w:val="21"/>
                <w:lang w:bidi="ar"/>
              </w:rPr>
              <w:t>0.92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457AE76">
            <w:pPr>
              <w:widowControl/>
              <w:jc w:val="center"/>
              <w:textAlignment w:val="center"/>
              <w:rPr>
                <w:szCs w:val="21"/>
              </w:rPr>
            </w:pPr>
            <w:r>
              <w:rPr>
                <w:kern w:val="0"/>
                <w:szCs w:val="21"/>
                <w:lang w:bidi="ar"/>
              </w:rPr>
              <w:t>0.104857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4986C8C">
            <w:pPr>
              <w:widowControl/>
              <w:jc w:val="center"/>
              <w:textAlignment w:val="center"/>
              <w:rPr>
                <w:szCs w:val="21"/>
              </w:rPr>
            </w:pPr>
            <w:r>
              <w:rPr>
                <w:kern w:val="0"/>
                <w:szCs w:val="21"/>
                <w:lang w:bidi="ar"/>
              </w:rPr>
              <w:t>1.05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E17C9D7">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DEAEAB7">
            <w:pPr>
              <w:widowControl/>
              <w:jc w:val="center"/>
              <w:textAlignment w:val="center"/>
              <w:rPr>
                <w:szCs w:val="21"/>
              </w:rPr>
            </w:pPr>
            <w:r>
              <w:rPr>
                <w:kern w:val="0"/>
                <w:szCs w:val="21"/>
                <w:lang w:bidi="ar"/>
              </w:rPr>
              <w:t>3.6729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DDDFF13">
            <w:pPr>
              <w:widowControl/>
              <w:jc w:val="center"/>
              <w:textAlignment w:val="center"/>
              <w:rPr>
                <w:szCs w:val="21"/>
              </w:rPr>
            </w:pPr>
            <w:r>
              <w:rPr>
                <w:kern w:val="0"/>
                <w:szCs w:val="21"/>
                <w:lang w:bidi="ar"/>
              </w:rPr>
              <w:t>1.84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AC57AE9">
            <w:pPr>
              <w:widowControl/>
              <w:jc w:val="center"/>
              <w:textAlignment w:val="center"/>
              <w:rPr>
                <w:szCs w:val="21"/>
              </w:rPr>
            </w:pPr>
            <w:r>
              <w:rPr>
                <w:kern w:val="0"/>
                <w:szCs w:val="21"/>
                <w:lang w:bidi="ar"/>
              </w:rPr>
              <w:t>0.212866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3E2E91B">
            <w:pPr>
              <w:widowControl/>
              <w:jc w:val="center"/>
              <w:textAlignment w:val="center"/>
              <w:rPr>
                <w:szCs w:val="21"/>
              </w:rPr>
            </w:pPr>
            <w:r>
              <w:rPr>
                <w:kern w:val="0"/>
                <w:szCs w:val="21"/>
                <w:lang w:bidi="ar"/>
              </w:rPr>
              <w:t>2.13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7103D10">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F9815A9">
            <w:pPr>
              <w:widowControl/>
              <w:jc w:val="center"/>
              <w:textAlignment w:val="center"/>
              <w:rPr>
                <w:szCs w:val="21"/>
              </w:rPr>
            </w:pPr>
            <w:r>
              <w:rPr>
                <w:kern w:val="0"/>
                <w:szCs w:val="21"/>
                <w:lang w:bidi="ar"/>
              </w:rPr>
              <w:t>2.9402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377D9DB">
            <w:pPr>
              <w:widowControl/>
              <w:jc w:val="center"/>
              <w:textAlignment w:val="center"/>
              <w:rPr>
                <w:szCs w:val="21"/>
              </w:rPr>
            </w:pPr>
            <w:r>
              <w:rPr>
                <w:kern w:val="0"/>
                <w:szCs w:val="21"/>
                <w:lang w:bidi="ar"/>
              </w:rPr>
              <w:t>1.47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0BE8D5E">
            <w:pPr>
              <w:widowControl/>
              <w:jc w:val="center"/>
              <w:textAlignment w:val="center"/>
              <w:rPr>
                <w:szCs w:val="21"/>
              </w:rPr>
            </w:pPr>
            <w:r>
              <w:rPr>
                <w:kern w:val="0"/>
                <w:szCs w:val="21"/>
                <w:lang w:bidi="ar"/>
              </w:rPr>
              <w:t>0.170446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560A60C">
            <w:pPr>
              <w:widowControl/>
              <w:jc w:val="center"/>
              <w:textAlignment w:val="center"/>
              <w:rPr>
                <w:szCs w:val="21"/>
              </w:rPr>
            </w:pPr>
            <w:r>
              <w:rPr>
                <w:kern w:val="0"/>
                <w:szCs w:val="21"/>
                <w:lang w:bidi="ar"/>
              </w:rPr>
              <w:t>1.7</w:t>
            </w:r>
          </w:p>
        </w:tc>
      </w:tr>
      <w:tr w14:paraId="704272D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7F23C18">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7A81F31">
            <w:pPr>
              <w:widowControl/>
              <w:jc w:val="center"/>
              <w:textAlignment w:val="center"/>
              <w:rPr>
                <w:szCs w:val="21"/>
              </w:rPr>
            </w:pPr>
            <w:r>
              <w:rPr>
                <w:kern w:val="0"/>
                <w:szCs w:val="21"/>
                <w:lang w:bidi="ar"/>
              </w:rPr>
              <w:t>1.6658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0D52BD4">
            <w:pPr>
              <w:widowControl/>
              <w:jc w:val="center"/>
              <w:textAlignment w:val="center"/>
              <w:rPr>
                <w:szCs w:val="21"/>
              </w:rPr>
            </w:pPr>
            <w:r>
              <w:rPr>
                <w:kern w:val="0"/>
                <w:szCs w:val="21"/>
                <w:lang w:bidi="ar"/>
              </w:rPr>
              <w:t>0.83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BE048B">
            <w:pPr>
              <w:widowControl/>
              <w:jc w:val="center"/>
              <w:textAlignment w:val="center"/>
              <w:rPr>
                <w:szCs w:val="21"/>
              </w:rPr>
            </w:pPr>
            <w:r>
              <w:rPr>
                <w:kern w:val="0"/>
                <w:szCs w:val="21"/>
                <w:lang w:bidi="ar"/>
              </w:rPr>
              <w:t>0.094688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6A8F4E1">
            <w:pPr>
              <w:widowControl/>
              <w:jc w:val="center"/>
              <w:textAlignment w:val="center"/>
              <w:rPr>
                <w:szCs w:val="21"/>
              </w:rPr>
            </w:pPr>
            <w:r>
              <w:rPr>
                <w:kern w:val="0"/>
                <w:szCs w:val="21"/>
                <w:lang w:bidi="ar"/>
              </w:rPr>
              <w:t>0.95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194BDCC">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58F256">
            <w:pPr>
              <w:widowControl/>
              <w:jc w:val="center"/>
              <w:textAlignment w:val="center"/>
              <w:rPr>
                <w:szCs w:val="21"/>
              </w:rPr>
            </w:pPr>
            <w:r>
              <w:rPr>
                <w:kern w:val="0"/>
                <w:szCs w:val="21"/>
                <w:lang w:bidi="ar"/>
              </w:rPr>
              <w:t>3.3299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B1147F6">
            <w:pPr>
              <w:widowControl/>
              <w:jc w:val="center"/>
              <w:textAlignment w:val="center"/>
              <w:rPr>
                <w:szCs w:val="21"/>
              </w:rPr>
            </w:pPr>
            <w:r>
              <w:rPr>
                <w:kern w:val="0"/>
                <w:szCs w:val="21"/>
                <w:lang w:bidi="ar"/>
              </w:rPr>
              <w:t>1.66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3B90A6A">
            <w:pPr>
              <w:widowControl/>
              <w:jc w:val="center"/>
              <w:textAlignment w:val="center"/>
              <w:rPr>
                <w:szCs w:val="21"/>
              </w:rPr>
            </w:pPr>
            <w:r>
              <w:rPr>
                <w:kern w:val="0"/>
                <w:szCs w:val="21"/>
                <w:lang w:bidi="ar"/>
              </w:rPr>
              <w:t>0.192987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FEC1A86">
            <w:pPr>
              <w:widowControl/>
              <w:jc w:val="center"/>
              <w:textAlignment w:val="center"/>
              <w:rPr>
                <w:szCs w:val="21"/>
              </w:rPr>
            </w:pPr>
            <w:r>
              <w:rPr>
                <w:kern w:val="0"/>
                <w:szCs w:val="21"/>
                <w:lang w:bidi="ar"/>
              </w:rPr>
              <w:t>1.93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C6F2B63">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B86E2AD">
            <w:pPr>
              <w:widowControl/>
              <w:jc w:val="center"/>
              <w:textAlignment w:val="center"/>
              <w:rPr>
                <w:szCs w:val="21"/>
              </w:rPr>
            </w:pPr>
            <w:r>
              <w:rPr>
                <w:kern w:val="0"/>
                <w:szCs w:val="21"/>
                <w:lang w:bidi="ar"/>
              </w:rPr>
              <w:t>2.6628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68DED83">
            <w:pPr>
              <w:widowControl/>
              <w:jc w:val="center"/>
              <w:textAlignment w:val="center"/>
              <w:rPr>
                <w:szCs w:val="21"/>
              </w:rPr>
            </w:pPr>
            <w:r>
              <w:rPr>
                <w:kern w:val="0"/>
                <w:szCs w:val="21"/>
                <w:lang w:bidi="ar"/>
              </w:rPr>
              <w:t>1.33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D4F74E5">
            <w:pPr>
              <w:widowControl/>
              <w:jc w:val="center"/>
              <w:textAlignment w:val="center"/>
              <w:rPr>
                <w:szCs w:val="21"/>
              </w:rPr>
            </w:pPr>
            <w:r>
              <w:rPr>
                <w:kern w:val="0"/>
                <w:szCs w:val="21"/>
                <w:lang w:bidi="ar"/>
              </w:rPr>
              <w:t>0.154365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E7C77BE">
            <w:pPr>
              <w:widowControl/>
              <w:jc w:val="center"/>
              <w:textAlignment w:val="center"/>
              <w:rPr>
                <w:szCs w:val="21"/>
              </w:rPr>
            </w:pPr>
            <w:r>
              <w:rPr>
                <w:kern w:val="0"/>
                <w:szCs w:val="21"/>
                <w:lang w:bidi="ar"/>
              </w:rPr>
              <w:t>1.54</w:t>
            </w:r>
          </w:p>
        </w:tc>
      </w:tr>
      <w:tr w14:paraId="20BD912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5CA614F">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7B6088A">
            <w:pPr>
              <w:widowControl/>
              <w:jc w:val="center"/>
              <w:textAlignment w:val="center"/>
              <w:rPr>
                <w:szCs w:val="21"/>
              </w:rPr>
            </w:pPr>
            <w:r>
              <w:rPr>
                <w:kern w:val="0"/>
                <w:szCs w:val="21"/>
                <w:lang w:bidi="ar"/>
              </w:rPr>
              <w:t>1.5267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A60C0A9">
            <w:pPr>
              <w:widowControl/>
              <w:jc w:val="center"/>
              <w:textAlignment w:val="center"/>
              <w:rPr>
                <w:szCs w:val="21"/>
              </w:rPr>
            </w:pPr>
            <w:r>
              <w:rPr>
                <w:kern w:val="0"/>
                <w:szCs w:val="21"/>
                <w:lang w:bidi="ar"/>
              </w:rPr>
              <w:t>0.76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17F99D7">
            <w:pPr>
              <w:widowControl/>
              <w:jc w:val="center"/>
              <w:textAlignment w:val="center"/>
              <w:rPr>
                <w:szCs w:val="21"/>
              </w:rPr>
            </w:pPr>
            <w:r>
              <w:rPr>
                <w:kern w:val="0"/>
                <w:szCs w:val="21"/>
                <w:lang w:bidi="ar"/>
              </w:rPr>
              <w:t>0.086781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AB07309">
            <w:pPr>
              <w:widowControl/>
              <w:jc w:val="center"/>
              <w:textAlignment w:val="center"/>
              <w:rPr>
                <w:szCs w:val="21"/>
              </w:rPr>
            </w:pPr>
            <w:r>
              <w:rPr>
                <w:kern w:val="0"/>
                <w:szCs w:val="21"/>
                <w:lang w:bidi="ar"/>
              </w:rPr>
              <w:t>0.87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F32BE18">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5A7EC76">
            <w:pPr>
              <w:widowControl/>
              <w:jc w:val="center"/>
              <w:textAlignment w:val="center"/>
              <w:rPr>
                <w:szCs w:val="21"/>
              </w:rPr>
            </w:pPr>
            <w:r>
              <w:rPr>
                <w:kern w:val="0"/>
                <w:szCs w:val="21"/>
                <w:lang w:bidi="ar"/>
              </w:rPr>
              <w:t>3.0517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F07CF9B">
            <w:pPr>
              <w:widowControl/>
              <w:jc w:val="center"/>
              <w:textAlignment w:val="center"/>
              <w:rPr>
                <w:szCs w:val="21"/>
              </w:rPr>
            </w:pPr>
            <w:r>
              <w:rPr>
                <w:kern w:val="0"/>
                <w:szCs w:val="21"/>
                <w:lang w:bidi="ar"/>
              </w:rPr>
              <w:t>1.53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F84E693">
            <w:pPr>
              <w:widowControl/>
              <w:jc w:val="center"/>
              <w:textAlignment w:val="center"/>
              <w:rPr>
                <w:szCs w:val="21"/>
              </w:rPr>
            </w:pPr>
            <w:r>
              <w:rPr>
                <w:kern w:val="0"/>
                <w:szCs w:val="21"/>
                <w:lang w:bidi="ar"/>
              </w:rPr>
              <w:t>0.176864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98794EE">
            <w:pPr>
              <w:widowControl/>
              <w:jc w:val="center"/>
              <w:textAlignment w:val="center"/>
              <w:rPr>
                <w:szCs w:val="21"/>
              </w:rPr>
            </w:pPr>
            <w:r>
              <w:rPr>
                <w:kern w:val="0"/>
                <w:szCs w:val="21"/>
                <w:lang w:bidi="ar"/>
              </w:rPr>
              <w:t>1.77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2B96FB9">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A6A3AB1">
            <w:pPr>
              <w:widowControl/>
              <w:jc w:val="center"/>
              <w:textAlignment w:val="center"/>
              <w:rPr>
                <w:szCs w:val="21"/>
              </w:rPr>
            </w:pPr>
            <w:r>
              <w:rPr>
                <w:kern w:val="0"/>
                <w:szCs w:val="21"/>
                <w:lang w:bidi="ar"/>
              </w:rPr>
              <w:t>2.4404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B400192">
            <w:pPr>
              <w:widowControl/>
              <w:jc w:val="center"/>
              <w:textAlignment w:val="center"/>
              <w:rPr>
                <w:szCs w:val="21"/>
              </w:rPr>
            </w:pPr>
            <w:r>
              <w:rPr>
                <w:kern w:val="0"/>
                <w:szCs w:val="21"/>
                <w:lang w:bidi="ar"/>
              </w:rPr>
              <w:t>1.22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F4A8D75">
            <w:pPr>
              <w:widowControl/>
              <w:jc w:val="center"/>
              <w:textAlignment w:val="center"/>
              <w:rPr>
                <w:szCs w:val="21"/>
              </w:rPr>
            </w:pPr>
            <w:r>
              <w:rPr>
                <w:kern w:val="0"/>
                <w:szCs w:val="21"/>
                <w:lang w:bidi="ar"/>
              </w:rPr>
              <w:t>0.141473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8DEF116">
            <w:pPr>
              <w:widowControl/>
              <w:jc w:val="center"/>
              <w:textAlignment w:val="center"/>
              <w:rPr>
                <w:szCs w:val="21"/>
              </w:rPr>
            </w:pPr>
            <w:r>
              <w:rPr>
                <w:kern w:val="0"/>
                <w:szCs w:val="21"/>
                <w:lang w:bidi="ar"/>
              </w:rPr>
              <w:t>1.41</w:t>
            </w:r>
          </w:p>
        </w:tc>
      </w:tr>
      <w:tr w14:paraId="6212B86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2221C01">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6796EF8">
            <w:pPr>
              <w:widowControl/>
              <w:jc w:val="center"/>
              <w:textAlignment w:val="center"/>
              <w:rPr>
                <w:szCs w:val="21"/>
              </w:rPr>
            </w:pPr>
            <w:r>
              <w:rPr>
                <w:kern w:val="0"/>
                <w:szCs w:val="21"/>
                <w:lang w:bidi="ar"/>
              </w:rPr>
              <w:t>1.2246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673EA32">
            <w:pPr>
              <w:widowControl/>
              <w:jc w:val="center"/>
              <w:textAlignment w:val="center"/>
              <w:rPr>
                <w:szCs w:val="21"/>
              </w:rPr>
            </w:pPr>
            <w:r>
              <w:rPr>
                <w:kern w:val="0"/>
                <w:szCs w:val="21"/>
                <w:lang w:bidi="ar"/>
              </w:rPr>
              <w:t>0.61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7F26249">
            <w:pPr>
              <w:widowControl/>
              <w:jc w:val="center"/>
              <w:textAlignment w:val="center"/>
              <w:rPr>
                <w:szCs w:val="21"/>
              </w:rPr>
            </w:pPr>
            <w:r>
              <w:rPr>
                <w:kern w:val="0"/>
                <w:szCs w:val="21"/>
                <w:lang w:bidi="ar"/>
              </w:rPr>
              <w:t>0.069609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BC78EFE">
            <w:pPr>
              <w:widowControl/>
              <w:jc w:val="center"/>
              <w:textAlignment w:val="center"/>
              <w:rPr>
                <w:szCs w:val="21"/>
              </w:rPr>
            </w:pPr>
            <w:r>
              <w:rPr>
                <w:kern w:val="0"/>
                <w:szCs w:val="21"/>
                <w:lang w:bidi="ar"/>
              </w:rPr>
              <w:t>0.7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8FDC0D0">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AE63FEA">
            <w:pPr>
              <w:widowControl/>
              <w:jc w:val="center"/>
              <w:textAlignment w:val="center"/>
              <w:rPr>
                <w:szCs w:val="21"/>
              </w:rPr>
            </w:pPr>
            <w:r>
              <w:rPr>
                <w:kern w:val="0"/>
                <w:szCs w:val="21"/>
                <w:lang w:bidi="ar"/>
              </w:rPr>
              <w:t>2.4471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1087D94">
            <w:pPr>
              <w:widowControl/>
              <w:jc w:val="center"/>
              <w:textAlignment w:val="center"/>
              <w:rPr>
                <w:szCs w:val="21"/>
              </w:rPr>
            </w:pPr>
            <w:r>
              <w:rPr>
                <w:kern w:val="0"/>
                <w:szCs w:val="21"/>
                <w:lang w:bidi="ar"/>
              </w:rPr>
              <w:t>1.22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2947737">
            <w:pPr>
              <w:widowControl/>
              <w:jc w:val="center"/>
              <w:textAlignment w:val="center"/>
              <w:rPr>
                <w:szCs w:val="21"/>
              </w:rPr>
            </w:pPr>
            <w:r>
              <w:rPr>
                <w:kern w:val="0"/>
                <w:szCs w:val="21"/>
                <w:lang w:bidi="ar"/>
              </w:rPr>
              <w:t>0.141824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031CE1C">
            <w:pPr>
              <w:widowControl/>
              <w:jc w:val="center"/>
              <w:textAlignment w:val="center"/>
              <w:rPr>
                <w:szCs w:val="21"/>
              </w:rPr>
            </w:pPr>
            <w:r>
              <w:rPr>
                <w:kern w:val="0"/>
                <w:szCs w:val="21"/>
                <w:lang w:bidi="ar"/>
              </w:rPr>
              <w:t>1.42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2B0BA62">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EBF8950">
            <w:pPr>
              <w:widowControl/>
              <w:jc w:val="center"/>
              <w:textAlignment w:val="center"/>
              <w:rPr>
                <w:szCs w:val="21"/>
              </w:rPr>
            </w:pPr>
            <w:r>
              <w:rPr>
                <w:kern w:val="0"/>
                <w:szCs w:val="21"/>
                <w:lang w:bidi="ar"/>
              </w:rPr>
              <w:t>1.9571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DA6D5ED">
            <w:pPr>
              <w:widowControl/>
              <w:jc w:val="center"/>
              <w:textAlignment w:val="center"/>
              <w:rPr>
                <w:szCs w:val="21"/>
              </w:rPr>
            </w:pPr>
            <w:r>
              <w:rPr>
                <w:kern w:val="0"/>
                <w:szCs w:val="21"/>
                <w:lang w:bidi="ar"/>
              </w:rPr>
              <w:t>0.98</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E344077">
            <w:pPr>
              <w:widowControl/>
              <w:jc w:val="center"/>
              <w:textAlignment w:val="center"/>
              <w:rPr>
                <w:szCs w:val="21"/>
              </w:rPr>
            </w:pPr>
            <w:r>
              <w:rPr>
                <w:kern w:val="0"/>
                <w:szCs w:val="21"/>
                <w:lang w:bidi="ar"/>
              </w:rPr>
              <w:t>0.113455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87C0127">
            <w:pPr>
              <w:widowControl/>
              <w:jc w:val="center"/>
              <w:textAlignment w:val="center"/>
              <w:rPr>
                <w:szCs w:val="21"/>
              </w:rPr>
            </w:pPr>
            <w:r>
              <w:rPr>
                <w:kern w:val="0"/>
                <w:szCs w:val="21"/>
                <w:lang w:bidi="ar"/>
              </w:rPr>
              <w:t>1.13</w:t>
            </w:r>
          </w:p>
        </w:tc>
      </w:tr>
      <w:tr w14:paraId="17FE3F3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8A314D1">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4CCE4CE">
            <w:pPr>
              <w:widowControl/>
              <w:jc w:val="center"/>
              <w:textAlignment w:val="center"/>
              <w:rPr>
                <w:szCs w:val="21"/>
              </w:rPr>
            </w:pPr>
            <w:r>
              <w:rPr>
                <w:kern w:val="0"/>
                <w:szCs w:val="21"/>
                <w:lang w:bidi="ar"/>
              </w:rPr>
              <w:t>1.0789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19080C2">
            <w:pPr>
              <w:widowControl/>
              <w:jc w:val="center"/>
              <w:textAlignment w:val="center"/>
              <w:rPr>
                <w:szCs w:val="21"/>
              </w:rPr>
            </w:pPr>
            <w:r>
              <w:rPr>
                <w:kern w:val="0"/>
                <w:szCs w:val="21"/>
                <w:lang w:bidi="ar"/>
              </w:rPr>
              <w:t>0.54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D631657">
            <w:pPr>
              <w:widowControl/>
              <w:jc w:val="center"/>
              <w:textAlignment w:val="center"/>
              <w:rPr>
                <w:szCs w:val="21"/>
              </w:rPr>
            </w:pPr>
            <w:r>
              <w:rPr>
                <w:kern w:val="0"/>
                <w:szCs w:val="21"/>
                <w:lang w:bidi="ar"/>
              </w:rPr>
              <w:t>0.061327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7C82074">
            <w:pPr>
              <w:widowControl/>
              <w:jc w:val="center"/>
              <w:textAlignment w:val="center"/>
              <w:rPr>
                <w:szCs w:val="21"/>
              </w:rPr>
            </w:pPr>
            <w:r>
              <w:rPr>
                <w:kern w:val="0"/>
                <w:szCs w:val="21"/>
                <w:lang w:bidi="ar"/>
              </w:rPr>
              <w:t>0.61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D1CB5CD">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487509B">
            <w:pPr>
              <w:widowControl/>
              <w:jc w:val="center"/>
              <w:textAlignment w:val="center"/>
              <w:rPr>
                <w:szCs w:val="21"/>
              </w:rPr>
            </w:pPr>
            <w:r>
              <w:rPr>
                <w:kern w:val="0"/>
                <w:szCs w:val="21"/>
                <w:lang w:bidi="ar"/>
              </w:rPr>
              <w:t>2.1558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F38B19F">
            <w:pPr>
              <w:widowControl/>
              <w:jc w:val="center"/>
              <w:textAlignment w:val="center"/>
              <w:rPr>
                <w:szCs w:val="21"/>
              </w:rPr>
            </w:pPr>
            <w:r>
              <w:rPr>
                <w:kern w:val="0"/>
                <w:szCs w:val="21"/>
                <w:lang w:bidi="ar"/>
              </w:rPr>
              <w:t>1.08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942D615">
            <w:pPr>
              <w:widowControl/>
              <w:jc w:val="center"/>
              <w:textAlignment w:val="center"/>
              <w:rPr>
                <w:szCs w:val="21"/>
              </w:rPr>
            </w:pPr>
            <w:r>
              <w:rPr>
                <w:kern w:val="0"/>
                <w:szCs w:val="21"/>
                <w:lang w:bidi="ar"/>
              </w:rPr>
              <w:t>0.124941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11DD310">
            <w:pPr>
              <w:widowControl/>
              <w:jc w:val="center"/>
              <w:textAlignment w:val="center"/>
              <w:rPr>
                <w:szCs w:val="21"/>
              </w:rPr>
            </w:pPr>
            <w:r>
              <w:rPr>
                <w:kern w:val="0"/>
                <w:szCs w:val="21"/>
                <w:lang w:bidi="ar"/>
              </w:rPr>
              <w:t>1.25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C36A577">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20284D5">
            <w:pPr>
              <w:widowControl/>
              <w:jc w:val="center"/>
              <w:textAlignment w:val="center"/>
              <w:rPr>
                <w:szCs w:val="21"/>
              </w:rPr>
            </w:pPr>
            <w:r>
              <w:rPr>
                <w:kern w:val="0"/>
                <w:szCs w:val="21"/>
                <w:lang w:bidi="ar"/>
              </w:rPr>
              <w:t>1.7242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3C7B61C">
            <w:pPr>
              <w:widowControl/>
              <w:jc w:val="center"/>
              <w:textAlignment w:val="center"/>
              <w:rPr>
                <w:szCs w:val="21"/>
              </w:rPr>
            </w:pPr>
            <w:r>
              <w:rPr>
                <w:kern w:val="0"/>
                <w:szCs w:val="21"/>
                <w:lang w:bidi="ar"/>
              </w:rPr>
              <w:t>0.86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FD306C9">
            <w:pPr>
              <w:widowControl/>
              <w:jc w:val="center"/>
              <w:textAlignment w:val="center"/>
              <w:rPr>
                <w:szCs w:val="21"/>
              </w:rPr>
            </w:pPr>
            <w:r>
              <w:rPr>
                <w:kern w:val="0"/>
                <w:szCs w:val="21"/>
                <w:lang w:bidi="ar"/>
              </w:rPr>
              <w:t>0.099954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EFB9FA8">
            <w:pPr>
              <w:widowControl/>
              <w:jc w:val="center"/>
              <w:textAlignment w:val="center"/>
              <w:rPr>
                <w:szCs w:val="21"/>
              </w:rPr>
            </w:pPr>
            <w:r>
              <w:rPr>
                <w:kern w:val="0"/>
                <w:szCs w:val="21"/>
                <w:lang w:bidi="ar"/>
              </w:rPr>
              <w:t>1</w:t>
            </w:r>
          </w:p>
        </w:tc>
      </w:tr>
      <w:tr w14:paraId="25F5628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4ABFB80">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A5676C2">
            <w:pPr>
              <w:widowControl/>
              <w:jc w:val="center"/>
              <w:textAlignment w:val="center"/>
              <w:rPr>
                <w:szCs w:val="21"/>
              </w:rPr>
            </w:pPr>
            <w:r>
              <w:rPr>
                <w:kern w:val="0"/>
                <w:szCs w:val="21"/>
                <w:lang w:bidi="ar"/>
              </w:rPr>
              <w:t>0.96177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97A24AA">
            <w:pPr>
              <w:widowControl/>
              <w:jc w:val="center"/>
              <w:textAlignment w:val="center"/>
              <w:rPr>
                <w:szCs w:val="21"/>
              </w:rPr>
            </w:pPr>
            <w:r>
              <w:rPr>
                <w:kern w:val="0"/>
                <w:szCs w:val="21"/>
                <w:lang w:bidi="ar"/>
              </w:rPr>
              <w:t>0.48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003FD3C">
            <w:pPr>
              <w:widowControl/>
              <w:jc w:val="center"/>
              <w:textAlignment w:val="center"/>
              <w:rPr>
                <w:szCs w:val="21"/>
              </w:rPr>
            </w:pPr>
            <w:r>
              <w:rPr>
                <w:kern w:val="0"/>
                <w:szCs w:val="21"/>
                <w:lang w:bidi="ar"/>
              </w:rPr>
              <w:t>0.054669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38B10C3">
            <w:pPr>
              <w:widowControl/>
              <w:jc w:val="center"/>
              <w:textAlignment w:val="center"/>
              <w:rPr>
                <w:szCs w:val="21"/>
              </w:rPr>
            </w:pPr>
            <w:r>
              <w:rPr>
                <w:kern w:val="0"/>
                <w:szCs w:val="21"/>
                <w:lang w:bidi="ar"/>
              </w:rPr>
              <w:t>0.55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6C824EA">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FD659D8">
            <w:pPr>
              <w:widowControl/>
              <w:jc w:val="center"/>
              <w:textAlignment w:val="center"/>
              <w:rPr>
                <w:szCs w:val="21"/>
              </w:rPr>
            </w:pPr>
            <w:r>
              <w:rPr>
                <w:kern w:val="0"/>
                <w:szCs w:val="21"/>
                <w:lang w:bidi="ar"/>
              </w:rPr>
              <w:t>1.9215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D5D020E">
            <w:pPr>
              <w:widowControl/>
              <w:jc w:val="center"/>
              <w:textAlignment w:val="center"/>
              <w:rPr>
                <w:szCs w:val="21"/>
              </w:rPr>
            </w:pPr>
            <w:r>
              <w:rPr>
                <w:kern w:val="0"/>
                <w:szCs w:val="21"/>
                <w:lang w:bidi="ar"/>
              </w:rPr>
              <w:t>0.96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A781EE6">
            <w:pPr>
              <w:widowControl/>
              <w:jc w:val="center"/>
              <w:textAlignment w:val="center"/>
              <w:rPr>
                <w:szCs w:val="21"/>
              </w:rPr>
            </w:pPr>
            <w:r>
              <w:rPr>
                <w:kern w:val="0"/>
                <w:szCs w:val="21"/>
                <w:lang w:bidi="ar"/>
              </w:rPr>
              <w:t>0.111362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EA5098F">
            <w:pPr>
              <w:widowControl/>
              <w:jc w:val="center"/>
              <w:textAlignment w:val="center"/>
              <w:rPr>
                <w:szCs w:val="21"/>
              </w:rPr>
            </w:pPr>
            <w:r>
              <w:rPr>
                <w:kern w:val="0"/>
                <w:szCs w:val="21"/>
                <w:lang w:bidi="ar"/>
              </w:rPr>
              <w:t>1.11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5879CA0">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45C71A0">
            <w:pPr>
              <w:widowControl/>
              <w:jc w:val="center"/>
              <w:textAlignment w:val="center"/>
              <w:rPr>
                <w:szCs w:val="21"/>
              </w:rPr>
            </w:pPr>
            <w:r>
              <w:rPr>
                <w:kern w:val="0"/>
                <w:szCs w:val="21"/>
                <w:lang w:bidi="ar"/>
              </w:rPr>
              <w:t>1.5369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402E718">
            <w:pPr>
              <w:widowControl/>
              <w:jc w:val="center"/>
              <w:textAlignment w:val="center"/>
              <w:rPr>
                <w:szCs w:val="21"/>
              </w:rPr>
            </w:pPr>
            <w:r>
              <w:rPr>
                <w:kern w:val="0"/>
                <w:szCs w:val="21"/>
                <w:lang w:bidi="ar"/>
              </w:rPr>
              <w:t>0.77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4CFB641">
            <w:pPr>
              <w:widowControl/>
              <w:jc w:val="center"/>
              <w:textAlignment w:val="center"/>
              <w:rPr>
                <w:szCs w:val="21"/>
              </w:rPr>
            </w:pPr>
            <w:r>
              <w:rPr>
                <w:kern w:val="0"/>
                <w:szCs w:val="21"/>
                <w:lang w:bidi="ar"/>
              </w:rPr>
              <w:t>0.089096</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E5751B0">
            <w:pPr>
              <w:widowControl/>
              <w:jc w:val="center"/>
              <w:textAlignment w:val="center"/>
              <w:rPr>
                <w:szCs w:val="21"/>
              </w:rPr>
            </w:pPr>
            <w:r>
              <w:rPr>
                <w:kern w:val="0"/>
                <w:szCs w:val="21"/>
                <w:lang w:bidi="ar"/>
              </w:rPr>
              <w:t>0.89</w:t>
            </w:r>
          </w:p>
        </w:tc>
      </w:tr>
      <w:tr w14:paraId="1BD0C95C">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DD763DE">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BF62995">
            <w:pPr>
              <w:widowControl/>
              <w:jc w:val="center"/>
              <w:textAlignment w:val="center"/>
              <w:rPr>
                <w:szCs w:val="21"/>
              </w:rPr>
            </w:pPr>
            <w:r>
              <w:rPr>
                <w:kern w:val="0"/>
                <w:szCs w:val="21"/>
                <w:lang w:bidi="ar"/>
              </w:rPr>
              <w:t>0.86561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680FFE0">
            <w:pPr>
              <w:widowControl/>
              <w:jc w:val="center"/>
              <w:textAlignment w:val="center"/>
              <w:rPr>
                <w:szCs w:val="21"/>
              </w:rPr>
            </w:pPr>
            <w:r>
              <w:rPr>
                <w:kern w:val="0"/>
                <w:szCs w:val="21"/>
                <w:lang w:bidi="ar"/>
              </w:rPr>
              <w:t>0.43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CE6B0F8">
            <w:pPr>
              <w:widowControl/>
              <w:jc w:val="center"/>
              <w:textAlignment w:val="center"/>
              <w:rPr>
                <w:szCs w:val="21"/>
              </w:rPr>
            </w:pPr>
            <w:r>
              <w:rPr>
                <w:kern w:val="0"/>
                <w:szCs w:val="21"/>
                <w:lang w:bidi="ar"/>
              </w:rPr>
              <w:t>0.049203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B245424">
            <w:pPr>
              <w:widowControl/>
              <w:jc w:val="center"/>
              <w:textAlignment w:val="center"/>
              <w:rPr>
                <w:szCs w:val="21"/>
              </w:rPr>
            </w:pPr>
            <w:r>
              <w:rPr>
                <w:kern w:val="0"/>
                <w:szCs w:val="21"/>
                <w:lang w:bidi="ar"/>
              </w:rPr>
              <w:t>0.49</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C5AEE6E">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A8972F1">
            <w:pPr>
              <w:widowControl/>
              <w:jc w:val="center"/>
              <w:textAlignment w:val="center"/>
              <w:rPr>
                <w:szCs w:val="21"/>
              </w:rPr>
            </w:pPr>
            <w:r>
              <w:rPr>
                <w:kern w:val="0"/>
                <w:szCs w:val="21"/>
                <w:lang w:bidi="ar"/>
              </w:rPr>
              <w:t>1.7292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C1C3CEF">
            <w:pPr>
              <w:widowControl/>
              <w:jc w:val="center"/>
              <w:textAlignment w:val="center"/>
              <w:rPr>
                <w:szCs w:val="21"/>
              </w:rPr>
            </w:pPr>
            <w:r>
              <w:rPr>
                <w:kern w:val="0"/>
                <w:szCs w:val="21"/>
                <w:lang w:bidi="ar"/>
              </w:rPr>
              <w:t>0.86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A19D7E6">
            <w:pPr>
              <w:widowControl/>
              <w:jc w:val="center"/>
              <w:textAlignment w:val="center"/>
              <w:rPr>
                <w:szCs w:val="21"/>
              </w:rPr>
            </w:pPr>
            <w:r>
              <w:rPr>
                <w:kern w:val="0"/>
                <w:szCs w:val="21"/>
                <w:lang w:bidi="ar"/>
              </w:rPr>
              <w:t>0.100217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9AB5B02">
            <w:pPr>
              <w:widowControl/>
              <w:jc w:val="center"/>
              <w:textAlignment w:val="center"/>
              <w:rPr>
                <w:szCs w:val="21"/>
              </w:rPr>
            </w:pPr>
            <w:r>
              <w:rPr>
                <w:kern w:val="0"/>
                <w:szCs w:val="21"/>
                <w:lang w:bidi="ar"/>
              </w:rPr>
              <w:t>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476781F">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8F4D425">
            <w:pPr>
              <w:widowControl/>
              <w:jc w:val="center"/>
              <w:textAlignment w:val="center"/>
              <w:rPr>
                <w:szCs w:val="21"/>
              </w:rPr>
            </w:pPr>
            <w:r>
              <w:rPr>
                <w:kern w:val="0"/>
                <w:szCs w:val="21"/>
                <w:lang w:bidi="ar"/>
              </w:rPr>
              <w:t>1.3831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CA5E103">
            <w:pPr>
              <w:widowControl/>
              <w:jc w:val="center"/>
              <w:textAlignment w:val="center"/>
              <w:rPr>
                <w:szCs w:val="21"/>
              </w:rPr>
            </w:pPr>
            <w:r>
              <w:rPr>
                <w:kern w:val="0"/>
                <w:szCs w:val="21"/>
                <w:lang w:bidi="ar"/>
              </w:rPr>
              <w:t>0.69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AE60BB4">
            <w:pPr>
              <w:widowControl/>
              <w:jc w:val="center"/>
              <w:textAlignment w:val="center"/>
              <w:rPr>
                <w:szCs w:val="21"/>
              </w:rPr>
            </w:pPr>
            <w:r>
              <w:rPr>
                <w:kern w:val="0"/>
                <w:szCs w:val="21"/>
                <w:lang w:bidi="ar"/>
              </w:rPr>
              <w:t>0.08018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A3C95DE">
            <w:pPr>
              <w:widowControl/>
              <w:jc w:val="center"/>
              <w:textAlignment w:val="center"/>
              <w:rPr>
                <w:szCs w:val="21"/>
              </w:rPr>
            </w:pPr>
            <w:r>
              <w:rPr>
                <w:kern w:val="0"/>
                <w:szCs w:val="21"/>
                <w:lang w:bidi="ar"/>
              </w:rPr>
              <w:t>0.8</w:t>
            </w:r>
          </w:p>
        </w:tc>
      </w:tr>
      <w:tr w14:paraId="3707DFF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77E6F66">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970A4D8">
            <w:pPr>
              <w:widowControl/>
              <w:jc w:val="center"/>
              <w:textAlignment w:val="center"/>
              <w:rPr>
                <w:szCs w:val="21"/>
              </w:rPr>
            </w:pPr>
            <w:r>
              <w:rPr>
                <w:kern w:val="0"/>
                <w:szCs w:val="21"/>
                <w:lang w:bidi="ar"/>
              </w:rPr>
              <w:t>0.78543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8E8616F">
            <w:pPr>
              <w:widowControl/>
              <w:jc w:val="center"/>
              <w:textAlignment w:val="center"/>
              <w:rPr>
                <w:szCs w:val="21"/>
              </w:rPr>
            </w:pPr>
            <w:r>
              <w:rPr>
                <w:kern w:val="0"/>
                <w:szCs w:val="21"/>
                <w:lang w:bidi="ar"/>
              </w:rPr>
              <w:t>0.39</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1FC9741">
            <w:pPr>
              <w:widowControl/>
              <w:jc w:val="center"/>
              <w:textAlignment w:val="center"/>
              <w:rPr>
                <w:szCs w:val="21"/>
              </w:rPr>
            </w:pPr>
            <w:r>
              <w:rPr>
                <w:kern w:val="0"/>
                <w:szCs w:val="21"/>
                <w:lang w:bidi="ar"/>
              </w:rPr>
              <w:t>0.044646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EF96D79">
            <w:pPr>
              <w:widowControl/>
              <w:jc w:val="center"/>
              <w:textAlignment w:val="center"/>
              <w:rPr>
                <w:szCs w:val="21"/>
              </w:rPr>
            </w:pPr>
            <w:r>
              <w:rPr>
                <w:kern w:val="0"/>
                <w:szCs w:val="21"/>
                <w:lang w:bidi="ar"/>
              </w:rPr>
              <w:t>0.45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9387763">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8693DDC">
            <w:pPr>
              <w:widowControl/>
              <w:jc w:val="center"/>
              <w:textAlignment w:val="center"/>
              <w:rPr>
                <w:szCs w:val="21"/>
              </w:rPr>
            </w:pPr>
            <w:r>
              <w:rPr>
                <w:kern w:val="0"/>
                <w:szCs w:val="21"/>
                <w:lang w:bidi="ar"/>
              </w:rPr>
              <w:t>1.5689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C25F73E">
            <w:pPr>
              <w:widowControl/>
              <w:jc w:val="center"/>
              <w:textAlignment w:val="center"/>
              <w:rPr>
                <w:szCs w:val="21"/>
              </w:rPr>
            </w:pPr>
            <w:r>
              <w:rPr>
                <w:kern w:val="0"/>
                <w:szCs w:val="21"/>
                <w:lang w:bidi="ar"/>
              </w:rPr>
              <w:t>0.78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DE9A083">
            <w:pPr>
              <w:widowControl/>
              <w:jc w:val="center"/>
              <w:textAlignment w:val="center"/>
              <w:rPr>
                <w:szCs w:val="21"/>
              </w:rPr>
            </w:pPr>
            <w:r>
              <w:rPr>
                <w:kern w:val="0"/>
                <w:szCs w:val="21"/>
                <w:lang w:bidi="ar"/>
              </w:rPr>
              <w:t>0.090927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67015A5">
            <w:pPr>
              <w:widowControl/>
              <w:jc w:val="center"/>
              <w:textAlignment w:val="center"/>
              <w:rPr>
                <w:szCs w:val="21"/>
              </w:rPr>
            </w:pPr>
            <w:r>
              <w:rPr>
                <w:kern w:val="0"/>
                <w:szCs w:val="21"/>
                <w:lang w:bidi="ar"/>
              </w:rPr>
              <w:t>0.91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120C006">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B5C46EE">
            <w:pPr>
              <w:widowControl/>
              <w:jc w:val="center"/>
              <w:textAlignment w:val="center"/>
              <w:rPr>
                <w:szCs w:val="21"/>
              </w:rPr>
            </w:pPr>
            <w:r>
              <w:rPr>
                <w:kern w:val="0"/>
                <w:szCs w:val="21"/>
                <w:lang w:bidi="ar"/>
              </w:rPr>
              <w:t>1.2549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12113192">
            <w:pPr>
              <w:widowControl/>
              <w:jc w:val="center"/>
              <w:textAlignment w:val="center"/>
              <w:rPr>
                <w:szCs w:val="21"/>
              </w:rPr>
            </w:pPr>
            <w:r>
              <w:rPr>
                <w:kern w:val="0"/>
                <w:szCs w:val="21"/>
                <w:lang w:bidi="ar"/>
              </w:rPr>
              <w:t>0.63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94C15FA">
            <w:pPr>
              <w:widowControl/>
              <w:jc w:val="center"/>
              <w:textAlignment w:val="center"/>
              <w:rPr>
                <w:szCs w:val="21"/>
              </w:rPr>
            </w:pPr>
            <w:r>
              <w:rPr>
                <w:kern w:val="0"/>
                <w:szCs w:val="21"/>
                <w:lang w:bidi="ar"/>
              </w:rPr>
              <w:t>0.072748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7104DC3">
            <w:pPr>
              <w:widowControl/>
              <w:jc w:val="center"/>
              <w:textAlignment w:val="center"/>
              <w:rPr>
                <w:szCs w:val="21"/>
              </w:rPr>
            </w:pPr>
            <w:r>
              <w:rPr>
                <w:kern w:val="0"/>
                <w:szCs w:val="21"/>
                <w:lang w:bidi="ar"/>
              </w:rPr>
              <w:t>0.73</w:t>
            </w:r>
          </w:p>
        </w:tc>
      </w:tr>
      <w:tr w14:paraId="4367ABC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556AF5B">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B0D20A5">
            <w:pPr>
              <w:widowControl/>
              <w:jc w:val="center"/>
              <w:textAlignment w:val="center"/>
              <w:rPr>
                <w:szCs w:val="21"/>
              </w:rPr>
            </w:pPr>
            <w:r>
              <w:rPr>
                <w:kern w:val="0"/>
                <w:szCs w:val="21"/>
                <w:lang w:bidi="ar"/>
              </w:rPr>
              <w:t>0.71769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0B4C1D8">
            <w:pPr>
              <w:widowControl/>
              <w:jc w:val="center"/>
              <w:textAlignment w:val="center"/>
              <w:rPr>
                <w:szCs w:val="21"/>
              </w:rPr>
            </w:pPr>
            <w:r>
              <w:rPr>
                <w:kern w:val="0"/>
                <w:szCs w:val="21"/>
                <w:lang w:bidi="ar"/>
              </w:rPr>
              <w:t>0.36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FAED15A">
            <w:pPr>
              <w:widowControl/>
              <w:jc w:val="center"/>
              <w:textAlignment w:val="center"/>
              <w:rPr>
                <w:szCs w:val="21"/>
              </w:rPr>
            </w:pPr>
            <w:r>
              <w:rPr>
                <w:kern w:val="0"/>
                <w:szCs w:val="21"/>
                <w:lang w:bidi="ar"/>
              </w:rPr>
              <w:t>0.040795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4BF92C0">
            <w:pPr>
              <w:widowControl/>
              <w:jc w:val="center"/>
              <w:textAlignment w:val="center"/>
              <w:rPr>
                <w:szCs w:val="21"/>
              </w:rPr>
            </w:pPr>
            <w:r>
              <w:rPr>
                <w:kern w:val="0"/>
                <w:szCs w:val="21"/>
                <w:lang w:bidi="ar"/>
              </w:rPr>
              <w:t>0.41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B456069">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ED65BF4">
            <w:pPr>
              <w:widowControl/>
              <w:jc w:val="center"/>
              <w:textAlignment w:val="center"/>
              <w:rPr>
                <w:szCs w:val="21"/>
              </w:rPr>
            </w:pPr>
            <w:r>
              <w:rPr>
                <w:kern w:val="0"/>
                <w:szCs w:val="21"/>
                <w:lang w:bidi="ar"/>
              </w:rPr>
              <w:t>1.4335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6F1302E">
            <w:pPr>
              <w:widowControl/>
              <w:jc w:val="center"/>
              <w:textAlignment w:val="center"/>
              <w:rPr>
                <w:szCs w:val="21"/>
              </w:rPr>
            </w:pPr>
            <w:r>
              <w:rPr>
                <w:kern w:val="0"/>
                <w:szCs w:val="21"/>
                <w:lang w:bidi="ar"/>
              </w:rPr>
              <w:t>0.72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AF0E00C">
            <w:pPr>
              <w:widowControl/>
              <w:jc w:val="center"/>
              <w:textAlignment w:val="center"/>
              <w:rPr>
                <w:szCs w:val="21"/>
              </w:rPr>
            </w:pPr>
            <w:r>
              <w:rPr>
                <w:kern w:val="0"/>
                <w:szCs w:val="21"/>
                <w:lang w:bidi="ar"/>
              </w:rPr>
              <w:t>0.08308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614AC6E">
            <w:pPr>
              <w:widowControl/>
              <w:jc w:val="center"/>
              <w:textAlignment w:val="center"/>
              <w:rPr>
                <w:szCs w:val="21"/>
              </w:rPr>
            </w:pPr>
            <w:r>
              <w:rPr>
                <w:kern w:val="0"/>
                <w:szCs w:val="21"/>
                <w:lang w:bidi="ar"/>
              </w:rPr>
              <w:t>0.83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DDEB397">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C9E043F">
            <w:pPr>
              <w:widowControl/>
              <w:jc w:val="center"/>
              <w:textAlignment w:val="center"/>
              <w:rPr>
                <w:szCs w:val="21"/>
              </w:rPr>
            </w:pPr>
            <w:r>
              <w:rPr>
                <w:kern w:val="0"/>
                <w:szCs w:val="21"/>
                <w:lang w:bidi="ar"/>
              </w:rPr>
              <w:t>1.1467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DEC84C7">
            <w:pPr>
              <w:widowControl/>
              <w:jc w:val="center"/>
              <w:textAlignment w:val="center"/>
              <w:rPr>
                <w:szCs w:val="21"/>
              </w:rPr>
            </w:pPr>
            <w:r>
              <w:rPr>
                <w:kern w:val="0"/>
                <w:szCs w:val="21"/>
                <w:lang w:bidi="ar"/>
              </w:rPr>
              <w:t>0.57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352EA9B">
            <w:pPr>
              <w:widowControl/>
              <w:jc w:val="center"/>
              <w:textAlignment w:val="center"/>
              <w:rPr>
                <w:szCs w:val="21"/>
              </w:rPr>
            </w:pPr>
            <w:r>
              <w:rPr>
                <w:kern w:val="0"/>
                <w:szCs w:val="21"/>
                <w:lang w:bidi="ar"/>
              </w:rPr>
              <w:t>0.066475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0472F76">
            <w:pPr>
              <w:widowControl/>
              <w:jc w:val="center"/>
              <w:textAlignment w:val="center"/>
              <w:rPr>
                <w:szCs w:val="21"/>
              </w:rPr>
            </w:pPr>
            <w:r>
              <w:rPr>
                <w:kern w:val="0"/>
                <w:szCs w:val="21"/>
                <w:lang w:bidi="ar"/>
              </w:rPr>
              <w:t>0.66</w:t>
            </w:r>
          </w:p>
        </w:tc>
      </w:tr>
      <w:tr w14:paraId="3742439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FF7B875">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FB574D6">
            <w:pPr>
              <w:widowControl/>
              <w:jc w:val="center"/>
              <w:textAlignment w:val="center"/>
              <w:rPr>
                <w:szCs w:val="21"/>
              </w:rPr>
            </w:pPr>
            <w:r>
              <w:rPr>
                <w:kern w:val="0"/>
                <w:szCs w:val="21"/>
                <w:lang w:bidi="ar"/>
              </w:rPr>
              <w:t>0.6624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66F8B50">
            <w:pPr>
              <w:widowControl/>
              <w:jc w:val="center"/>
              <w:textAlignment w:val="center"/>
              <w:rPr>
                <w:szCs w:val="21"/>
              </w:rPr>
            </w:pPr>
            <w:r>
              <w:rPr>
                <w:kern w:val="0"/>
                <w:szCs w:val="21"/>
                <w:lang w:bidi="ar"/>
              </w:rPr>
              <w:t>0.33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434D2F2">
            <w:pPr>
              <w:widowControl/>
              <w:jc w:val="center"/>
              <w:textAlignment w:val="center"/>
              <w:rPr>
                <w:szCs w:val="21"/>
              </w:rPr>
            </w:pPr>
            <w:r>
              <w:rPr>
                <w:kern w:val="0"/>
                <w:szCs w:val="21"/>
                <w:lang w:bidi="ar"/>
              </w:rPr>
              <w:t>0.037652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B0B1995">
            <w:pPr>
              <w:widowControl/>
              <w:jc w:val="center"/>
              <w:textAlignment w:val="center"/>
              <w:rPr>
                <w:szCs w:val="21"/>
              </w:rPr>
            </w:pPr>
            <w:r>
              <w:rPr>
                <w:kern w:val="0"/>
                <w:szCs w:val="21"/>
                <w:lang w:bidi="ar"/>
              </w:rPr>
              <w:t>0.38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8AB2C8C">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606A6C3">
            <w:pPr>
              <w:widowControl/>
              <w:jc w:val="center"/>
              <w:textAlignment w:val="center"/>
              <w:rPr>
                <w:szCs w:val="21"/>
              </w:rPr>
            </w:pPr>
            <w:r>
              <w:rPr>
                <w:kern w:val="0"/>
                <w:szCs w:val="21"/>
                <w:lang w:bidi="ar"/>
              </w:rPr>
              <w:t>1.3232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A2A551E">
            <w:pPr>
              <w:widowControl/>
              <w:jc w:val="center"/>
              <w:textAlignment w:val="center"/>
              <w:rPr>
                <w:szCs w:val="21"/>
              </w:rPr>
            </w:pPr>
            <w:r>
              <w:rPr>
                <w:kern w:val="0"/>
                <w:szCs w:val="21"/>
                <w:lang w:bidi="ar"/>
              </w:rPr>
              <w:t>0.66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B34E3E1">
            <w:pPr>
              <w:widowControl/>
              <w:jc w:val="center"/>
              <w:textAlignment w:val="center"/>
              <w:rPr>
                <w:szCs w:val="21"/>
              </w:rPr>
            </w:pPr>
            <w:r>
              <w:rPr>
                <w:kern w:val="0"/>
                <w:szCs w:val="21"/>
                <w:lang w:bidi="ar"/>
              </w:rPr>
              <w:t>0.076687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620B192">
            <w:pPr>
              <w:widowControl/>
              <w:jc w:val="center"/>
              <w:textAlignment w:val="center"/>
              <w:rPr>
                <w:szCs w:val="21"/>
              </w:rPr>
            </w:pPr>
            <w:r>
              <w:rPr>
                <w:kern w:val="0"/>
                <w:szCs w:val="21"/>
                <w:lang w:bidi="ar"/>
              </w:rPr>
              <w:t>0.77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AC918C9">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320F033">
            <w:pPr>
              <w:widowControl/>
              <w:jc w:val="center"/>
              <w:textAlignment w:val="center"/>
              <w:rPr>
                <w:szCs w:val="21"/>
              </w:rPr>
            </w:pPr>
            <w:r>
              <w:rPr>
                <w:kern w:val="0"/>
                <w:szCs w:val="21"/>
                <w:lang w:bidi="ar"/>
              </w:rPr>
              <w:t>1.0584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1677A26">
            <w:pPr>
              <w:widowControl/>
              <w:jc w:val="center"/>
              <w:textAlignment w:val="center"/>
              <w:rPr>
                <w:szCs w:val="21"/>
              </w:rPr>
            </w:pPr>
            <w:r>
              <w:rPr>
                <w:kern w:val="0"/>
                <w:szCs w:val="21"/>
                <w:lang w:bidi="ar"/>
              </w:rPr>
              <w:t>0.53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68EA67B">
            <w:pPr>
              <w:widowControl/>
              <w:jc w:val="center"/>
              <w:textAlignment w:val="center"/>
              <w:rPr>
                <w:szCs w:val="21"/>
              </w:rPr>
            </w:pPr>
            <w:r>
              <w:rPr>
                <w:kern w:val="0"/>
                <w:szCs w:val="21"/>
                <w:lang w:bidi="ar"/>
              </w:rPr>
              <w:t>0.061357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97E9C63">
            <w:pPr>
              <w:widowControl/>
              <w:jc w:val="center"/>
              <w:textAlignment w:val="center"/>
              <w:rPr>
                <w:szCs w:val="21"/>
              </w:rPr>
            </w:pPr>
            <w:r>
              <w:rPr>
                <w:kern w:val="0"/>
                <w:szCs w:val="21"/>
                <w:lang w:bidi="ar"/>
              </w:rPr>
              <w:t>0.61</w:t>
            </w:r>
          </w:p>
        </w:tc>
      </w:tr>
      <w:tr w14:paraId="0D37555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222725B">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27BFAB0">
            <w:pPr>
              <w:widowControl/>
              <w:jc w:val="center"/>
              <w:textAlignment w:val="center"/>
              <w:rPr>
                <w:szCs w:val="21"/>
              </w:rPr>
            </w:pPr>
            <w:r>
              <w:rPr>
                <w:kern w:val="0"/>
                <w:szCs w:val="21"/>
                <w:lang w:bidi="ar"/>
              </w:rPr>
              <w:t>0.61688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A5300CE">
            <w:pPr>
              <w:widowControl/>
              <w:jc w:val="center"/>
              <w:textAlignment w:val="center"/>
              <w:rPr>
                <w:szCs w:val="21"/>
              </w:rPr>
            </w:pPr>
            <w:r>
              <w:rPr>
                <w:kern w:val="0"/>
                <w:szCs w:val="21"/>
                <w:lang w:bidi="ar"/>
              </w:rPr>
              <w:t>0.31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26AC5C">
            <w:pPr>
              <w:widowControl/>
              <w:jc w:val="center"/>
              <w:textAlignment w:val="center"/>
              <w:rPr>
                <w:szCs w:val="21"/>
              </w:rPr>
            </w:pPr>
            <w:r>
              <w:rPr>
                <w:kern w:val="0"/>
                <w:szCs w:val="21"/>
                <w:lang w:bidi="ar"/>
              </w:rPr>
              <w:t>0.035065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408C25E">
            <w:pPr>
              <w:widowControl/>
              <w:jc w:val="center"/>
              <w:textAlignment w:val="center"/>
              <w:rPr>
                <w:szCs w:val="21"/>
              </w:rPr>
            </w:pPr>
            <w:r>
              <w:rPr>
                <w:kern w:val="0"/>
                <w:szCs w:val="21"/>
                <w:lang w:bidi="ar"/>
              </w:rPr>
              <w:t>0.35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3813306">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436E759">
            <w:pPr>
              <w:widowControl/>
              <w:jc w:val="center"/>
              <w:textAlignment w:val="center"/>
              <w:rPr>
                <w:szCs w:val="21"/>
              </w:rPr>
            </w:pPr>
            <w:r>
              <w:rPr>
                <w:kern w:val="0"/>
                <w:szCs w:val="21"/>
                <w:lang w:bidi="ar"/>
              </w:rPr>
              <w:t>1.2322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65412FE">
            <w:pPr>
              <w:widowControl/>
              <w:jc w:val="center"/>
              <w:textAlignment w:val="center"/>
              <w:rPr>
                <w:szCs w:val="21"/>
              </w:rPr>
            </w:pPr>
            <w:r>
              <w:rPr>
                <w:kern w:val="0"/>
                <w:szCs w:val="21"/>
                <w:lang w:bidi="ar"/>
              </w:rPr>
              <w:t>0.62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45ED936">
            <w:pPr>
              <w:widowControl/>
              <w:jc w:val="center"/>
              <w:textAlignment w:val="center"/>
              <w:rPr>
                <w:szCs w:val="21"/>
              </w:rPr>
            </w:pPr>
            <w:r>
              <w:rPr>
                <w:kern w:val="0"/>
                <w:szCs w:val="21"/>
                <w:lang w:bidi="ar"/>
              </w:rPr>
              <w:t>0.071413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448DB52">
            <w:pPr>
              <w:widowControl/>
              <w:jc w:val="center"/>
              <w:textAlignment w:val="center"/>
              <w:rPr>
                <w:szCs w:val="21"/>
              </w:rPr>
            </w:pPr>
            <w:r>
              <w:rPr>
                <w:kern w:val="0"/>
                <w:szCs w:val="21"/>
                <w:lang w:bidi="ar"/>
              </w:rPr>
              <w:t>0.71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7DCDE37">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E1BDECF">
            <w:pPr>
              <w:widowControl/>
              <w:jc w:val="center"/>
              <w:textAlignment w:val="center"/>
              <w:rPr>
                <w:szCs w:val="21"/>
              </w:rPr>
            </w:pPr>
            <w:r>
              <w:rPr>
                <w:kern w:val="0"/>
                <w:szCs w:val="21"/>
                <w:lang w:bidi="ar"/>
              </w:rPr>
              <w:t>0.98563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07B61AA">
            <w:pPr>
              <w:widowControl/>
              <w:jc w:val="center"/>
              <w:textAlignment w:val="center"/>
              <w:rPr>
                <w:szCs w:val="21"/>
              </w:rPr>
            </w:pPr>
            <w:r>
              <w:rPr>
                <w:kern w:val="0"/>
                <w:szCs w:val="21"/>
                <w:lang w:bidi="ar"/>
              </w:rPr>
              <w:t>0.49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808C66D">
            <w:pPr>
              <w:widowControl/>
              <w:jc w:val="center"/>
              <w:textAlignment w:val="center"/>
              <w:rPr>
                <w:szCs w:val="21"/>
              </w:rPr>
            </w:pPr>
            <w:r>
              <w:rPr>
                <w:kern w:val="0"/>
                <w:szCs w:val="21"/>
                <w:lang w:bidi="ar"/>
              </w:rPr>
              <w:t>0.057138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CA0647A">
            <w:pPr>
              <w:widowControl/>
              <w:jc w:val="center"/>
              <w:textAlignment w:val="center"/>
              <w:rPr>
                <w:szCs w:val="21"/>
              </w:rPr>
            </w:pPr>
            <w:r>
              <w:rPr>
                <w:kern w:val="0"/>
                <w:szCs w:val="21"/>
                <w:lang w:bidi="ar"/>
              </w:rPr>
              <w:t>0.57</w:t>
            </w:r>
          </w:p>
        </w:tc>
      </w:tr>
      <w:tr w14:paraId="7D9C948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5AD00E5">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DD34E5A">
            <w:pPr>
              <w:widowControl/>
              <w:jc w:val="center"/>
              <w:textAlignment w:val="center"/>
              <w:rPr>
                <w:szCs w:val="21"/>
              </w:rPr>
            </w:pPr>
            <w:r>
              <w:rPr>
                <w:kern w:val="0"/>
                <w:szCs w:val="21"/>
                <w:lang w:bidi="ar"/>
              </w:rPr>
              <w:t>0.55914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25789EB">
            <w:pPr>
              <w:widowControl/>
              <w:jc w:val="center"/>
              <w:textAlignment w:val="center"/>
              <w:rPr>
                <w:szCs w:val="21"/>
              </w:rPr>
            </w:pPr>
            <w:r>
              <w:rPr>
                <w:kern w:val="0"/>
                <w:szCs w:val="21"/>
                <w:lang w:bidi="ar"/>
              </w:rPr>
              <w:t>0.28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37A1519">
            <w:pPr>
              <w:widowControl/>
              <w:jc w:val="center"/>
              <w:textAlignment w:val="center"/>
              <w:rPr>
                <w:szCs w:val="21"/>
              </w:rPr>
            </w:pPr>
            <w:r>
              <w:rPr>
                <w:kern w:val="0"/>
                <w:szCs w:val="21"/>
                <w:lang w:bidi="ar"/>
              </w:rPr>
              <w:t>0.031783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DE8D133">
            <w:pPr>
              <w:widowControl/>
              <w:jc w:val="center"/>
              <w:textAlignment w:val="center"/>
              <w:rPr>
                <w:szCs w:val="21"/>
              </w:rPr>
            </w:pPr>
            <w:r>
              <w:rPr>
                <w:kern w:val="0"/>
                <w:szCs w:val="21"/>
                <w:lang w:bidi="ar"/>
              </w:rPr>
              <w:t>0.32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BEA3077">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33943CE">
            <w:pPr>
              <w:widowControl/>
              <w:jc w:val="center"/>
              <w:textAlignment w:val="center"/>
              <w:rPr>
                <w:szCs w:val="21"/>
              </w:rPr>
            </w:pPr>
            <w:r>
              <w:rPr>
                <w:kern w:val="0"/>
                <w:szCs w:val="21"/>
                <w:lang w:bidi="ar"/>
              </w:rPr>
              <w:t>1.1168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4D638E8">
            <w:pPr>
              <w:widowControl/>
              <w:jc w:val="center"/>
              <w:textAlignment w:val="center"/>
              <w:rPr>
                <w:szCs w:val="21"/>
              </w:rPr>
            </w:pPr>
            <w:r>
              <w:rPr>
                <w:kern w:val="0"/>
                <w:szCs w:val="21"/>
                <w:lang w:bidi="ar"/>
              </w:rPr>
              <w:t>0.56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B2BCF61">
            <w:pPr>
              <w:widowControl/>
              <w:jc w:val="center"/>
              <w:textAlignment w:val="center"/>
              <w:rPr>
                <w:szCs w:val="21"/>
              </w:rPr>
            </w:pPr>
            <w:r>
              <w:rPr>
                <w:kern w:val="0"/>
                <w:szCs w:val="21"/>
                <w:lang w:bidi="ar"/>
              </w:rPr>
              <w:t>0.064725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7ED5BDD">
            <w:pPr>
              <w:widowControl/>
              <w:jc w:val="center"/>
              <w:textAlignment w:val="center"/>
              <w:rPr>
                <w:szCs w:val="21"/>
              </w:rPr>
            </w:pPr>
            <w:r>
              <w:rPr>
                <w:kern w:val="0"/>
                <w:szCs w:val="21"/>
                <w:lang w:bidi="ar"/>
              </w:rPr>
              <w:t>0.65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DE26CAF">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DE189AF">
            <w:pPr>
              <w:widowControl/>
              <w:jc w:val="center"/>
              <w:textAlignment w:val="center"/>
              <w:rPr>
                <w:szCs w:val="21"/>
              </w:rPr>
            </w:pPr>
            <w:r>
              <w:rPr>
                <w:kern w:val="0"/>
                <w:szCs w:val="21"/>
                <w:lang w:bidi="ar"/>
              </w:rPr>
              <w:t>0.89335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DF7A25C">
            <w:pPr>
              <w:widowControl/>
              <w:jc w:val="center"/>
              <w:textAlignment w:val="center"/>
              <w:rPr>
                <w:szCs w:val="21"/>
              </w:rPr>
            </w:pPr>
            <w:r>
              <w:rPr>
                <w:kern w:val="0"/>
                <w:szCs w:val="21"/>
                <w:lang w:bidi="ar"/>
              </w:rPr>
              <w:t>0.45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CD0CD00">
            <w:pPr>
              <w:widowControl/>
              <w:jc w:val="center"/>
              <w:textAlignment w:val="center"/>
              <w:rPr>
                <w:szCs w:val="21"/>
              </w:rPr>
            </w:pPr>
            <w:r>
              <w:rPr>
                <w:kern w:val="0"/>
                <w:szCs w:val="21"/>
                <w:lang w:bidi="ar"/>
              </w:rPr>
              <w:t>0.051788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0AB9A04">
            <w:pPr>
              <w:widowControl/>
              <w:jc w:val="center"/>
              <w:textAlignment w:val="center"/>
              <w:rPr>
                <w:szCs w:val="21"/>
              </w:rPr>
            </w:pPr>
            <w:r>
              <w:rPr>
                <w:kern w:val="0"/>
                <w:szCs w:val="21"/>
                <w:lang w:bidi="ar"/>
              </w:rPr>
              <w:t>0.52</w:t>
            </w:r>
          </w:p>
        </w:tc>
      </w:tr>
      <w:tr w14:paraId="560EA34A">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AAAD9C1">
            <w:pPr>
              <w:widowControl/>
              <w:jc w:val="center"/>
              <w:textAlignment w:val="center"/>
              <w:rPr>
                <w:b/>
                <w:bCs/>
                <w:szCs w:val="21"/>
              </w:rPr>
            </w:pPr>
            <w:r>
              <w:rPr>
                <w:b/>
                <w:bCs/>
                <w:kern w:val="0"/>
                <w:szCs w:val="21"/>
                <w:lang w:bidi="ar"/>
              </w:rPr>
              <w:t>盛丰通风井养殖区污水处理站</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5C4B873">
            <w:pPr>
              <w:widowControl/>
              <w:jc w:val="center"/>
              <w:textAlignment w:val="center"/>
              <w:rPr>
                <w:b/>
                <w:bCs/>
                <w:szCs w:val="21"/>
              </w:rPr>
            </w:pPr>
            <w:r>
              <w:rPr>
                <w:b/>
                <w:bCs/>
                <w:kern w:val="0"/>
                <w:szCs w:val="21"/>
                <w:lang w:bidi="ar"/>
              </w:rPr>
              <w:t>盛丰焦化楼养殖区污水处理站</w:t>
            </w:r>
          </w:p>
        </w:tc>
        <w:tc>
          <w:tcPr>
            <w:tcW w:w="1614"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8E5B714">
            <w:pPr>
              <w:widowControl/>
              <w:jc w:val="center"/>
              <w:textAlignment w:val="center"/>
              <w:rPr>
                <w:b/>
                <w:bCs/>
                <w:szCs w:val="21"/>
              </w:rPr>
            </w:pPr>
            <w:r>
              <w:rPr>
                <w:b/>
                <w:bCs/>
                <w:kern w:val="0"/>
                <w:szCs w:val="21"/>
                <w:lang w:bidi="ar"/>
              </w:rPr>
              <w:t>老井养殖区污水处理站</w:t>
            </w:r>
          </w:p>
        </w:tc>
      </w:tr>
      <w:tr w14:paraId="0337691C">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158893AD">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DD08970">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CA239E3">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791AD10C">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7C4CA37">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A2E2507">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44D0F1B9">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2671AF4">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FE3282D">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r>
      <w:tr w14:paraId="7DBA3D7B">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322619C1">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2E0B810">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9B06F69">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44CDBB6">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944397D">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4C241478">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43749F7">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2385CD7">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E6A1414">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81AA76E">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67F35496">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8DD8B87">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96D842C">
            <w:pPr>
              <w:widowControl/>
              <w:jc w:val="center"/>
              <w:textAlignment w:val="center"/>
              <w:rPr>
                <w:b/>
                <w:bCs/>
                <w:szCs w:val="21"/>
              </w:rPr>
            </w:pPr>
            <w:r>
              <w:rPr>
                <w:b/>
                <w:bCs/>
                <w:kern w:val="0"/>
                <w:szCs w:val="21"/>
                <w:lang w:bidi="ar"/>
              </w:rPr>
              <w:t>占标率</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6FF0843">
            <w:pPr>
              <w:widowControl/>
              <w:jc w:val="center"/>
              <w:textAlignment w:val="center"/>
              <w:rPr>
                <w:b/>
                <w:bCs/>
                <w:szCs w:val="21"/>
              </w:rPr>
            </w:pPr>
            <w:r>
              <w:rPr>
                <w:b/>
                <w:bCs/>
                <w:kern w:val="0"/>
                <w:szCs w:val="21"/>
                <w:lang w:bidi="ar"/>
              </w:rPr>
              <w:t>预测小时浓度</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D4937A9">
            <w:pPr>
              <w:widowControl/>
              <w:jc w:val="center"/>
              <w:textAlignment w:val="center"/>
              <w:rPr>
                <w:b/>
                <w:bCs/>
                <w:szCs w:val="21"/>
              </w:rPr>
            </w:pPr>
            <w:r>
              <w:rPr>
                <w:b/>
                <w:bCs/>
                <w:kern w:val="0"/>
                <w:szCs w:val="21"/>
                <w:lang w:bidi="ar"/>
              </w:rPr>
              <w:t>占标率</w:t>
            </w:r>
          </w:p>
        </w:tc>
      </w:tr>
      <w:tr w14:paraId="1D1935B9">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0EB727DB">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7B4824D2">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324D901">
            <w:pPr>
              <w:widowControl/>
              <w:jc w:val="center"/>
              <w:textAlignment w:val="center"/>
              <w:rPr>
                <w:szCs w:val="21"/>
              </w:rPr>
            </w:pPr>
            <w:r>
              <w:rPr>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5A37B8C">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DD7D9B1">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5B2B96EC">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458F5BE">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8F52857">
            <w:pPr>
              <w:widowControl/>
              <w:jc w:val="center"/>
              <w:textAlignment w:val="center"/>
              <w:rPr>
                <w:szCs w:val="21"/>
              </w:rPr>
            </w:pPr>
            <w:r>
              <w:rPr>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A9906E9">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D3EA5B9">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6D500AF7">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D075E75">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3DDE08">
            <w:pPr>
              <w:widowControl/>
              <w:jc w:val="center"/>
              <w:textAlignment w:val="center"/>
              <w:rPr>
                <w:szCs w:val="21"/>
              </w:rPr>
            </w:pPr>
            <w:r>
              <w:rPr>
                <w:kern w:val="0"/>
                <w:szCs w:val="21"/>
                <w:lang w:bidi="ar"/>
              </w:rPr>
              <w:t>Pi(%)</w:t>
            </w:r>
          </w:p>
        </w:tc>
        <w:tc>
          <w:tcPr>
            <w:tcW w:w="41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C05EDC8">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4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1B9E10E">
            <w:pPr>
              <w:widowControl/>
              <w:jc w:val="center"/>
              <w:textAlignment w:val="center"/>
              <w:rPr>
                <w:b/>
                <w:bCs/>
                <w:szCs w:val="21"/>
              </w:rPr>
            </w:pPr>
            <w:r>
              <w:rPr>
                <w:b/>
                <w:bCs/>
                <w:kern w:val="0"/>
                <w:szCs w:val="21"/>
                <w:lang w:bidi="ar"/>
              </w:rPr>
              <w:t>Pi(%)</w:t>
            </w:r>
          </w:p>
        </w:tc>
      </w:tr>
      <w:tr w14:paraId="5A03014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D525A3F">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16C649E">
            <w:pPr>
              <w:widowControl/>
              <w:jc w:val="center"/>
              <w:textAlignment w:val="center"/>
              <w:rPr>
                <w:szCs w:val="21"/>
              </w:rPr>
            </w:pPr>
            <w:r>
              <w:rPr>
                <w:kern w:val="0"/>
                <w:szCs w:val="21"/>
                <w:lang w:bidi="ar"/>
              </w:rPr>
              <w:t>0.56178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2B7DDF2">
            <w:pPr>
              <w:widowControl/>
              <w:jc w:val="center"/>
              <w:textAlignment w:val="center"/>
              <w:rPr>
                <w:szCs w:val="21"/>
              </w:rPr>
            </w:pPr>
            <w:r>
              <w:rPr>
                <w:kern w:val="0"/>
                <w:szCs w:val="21"/>
                <w:lang w:bidi="ar"/>
              </w:rPr>
              <w:t>0.28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CEBF114">
            <w:pPr>
              <w:widowControl/>
              <w:jc w:val="center"/>
              <w:textAlignment w:val="center"/>
              <w:rPr>
                <w:szCs w:val="21"/>
              </w:rPr>
            </w:pPr>
            <w:r>
              <w:rPr>
                <w:kern w:val="0"/>
                <w:szCs w:val="21"/>
                <w:lang w:bidi="ar"/>
              </w:rPr>
              <w:t>0.021067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286A7CD">
            <w:pPr>
              <w:widowControl/>
              <w:jc w:val="center"/>
              <w:textAlignment w:val="center"/>
              <w:rPr>
                <w:szCs w:val="21"/>
              </w:rPr>
            </w:pPr>
            <w:r>
              <w:rPr>
                <w:kern w:val="0"/>
                <w:szCs w:val="21"/>
                <w:lang w:bidi="ar"/>
              </w:rPr>
              <w:t>0.21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F94B2E1">
            <w:pPr>
              <w:widowControl/>
              <w:jc w:val="center"/>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C15D25E">
            <w:pPr>
              <w:widowControl/>
              <w:jc w:val="center"/>
              <w:textAlignment w:val="center"/>
              <w:rPr>
                <w:szCs w:val="21"/>
              </w:rPr>
            </w:pPr>
            <w:r>
              <w:rPr>
                <w:kern w:val="0"/>
                <w:szCs w:val="21"/>
                <w:lang w:bidi="ar"/>
              </w:rPr>
              <w:t>0.91821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718476D">
            <w:pPr>
              <w:widowControl/>
              <w:jc w:val="center"/>
              <w:textAlignment w:val="center"/>
              <w:rPr>
                <w:szCs w:val="21"/>
              </w:rPr>
            </w:pPr>
            <w:r>
              <w:rPr>
                <w:kern w:val="0"/>
                <w:szCs w:val="21"/>
                <w:lang w:bidi="ar"/>
              </w:rPr>
              <w:t>0.46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EA17591">
            <w:pPr>
              <w:widowControl/>
              <w:jc w:val="center"/>
              <w:textAlignment w:val="center"/>
              <w:rPr>
                <w:szCs w:val="21"/>
              </w:rPr>
            </w:pPr>
            <w:r>
              <w:rPr>
                <w:kern w:val="0"/>
                <w:szCs w:val="21"/>
                <w:lang w:bidi="ar"/>
              </w:rPr>
              <w:t>0.035708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700E5C0">
            <w:pPr>
              <w:widowControl/>
              <w:jc w:val="center"/>
              <w:textAlignment w:val="center"/>
              <w:rPr>
                <w:szCs w:val="21"/>
              </w:rPr>
            </w:pPr>
            <w:r>
              <w:rPr>
                <w:kern w:val="0"/>
                <w:szCs w:val="21"/>
                <w:lang w:bidi="ar"/>
              </w:rPr>
              <w:t>0.36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505410C">
            <w:pPr>
              <w:widowControl/>
              <w:jc w:val="center"/>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8FF2FD0">
            <w:pPr>
              <w:widowControl/>
              <w:jc w:val="center"/>
              <w:textAlignment w:val="center"/>
              <w:rPr>
                <w:szCs w:val="21"/>
              </w:rPr>
            </w:pPr>
            <w:r>
              <w:rPr>
                <w:kern w:val="0"/>
                <w:szCs w:val="21"/>
                <w:lang w:bidi="ar"/>
              </w:rPr>
              <w:t>0.42936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F666A17">
            <w:pPr>
              <w:widowControl/>
              <w:jc w:val="center"/>
              <w:textAlignment w:val="center"/>
              <w:rPr>
                <w:szCs w:val="21"/>
              </w:rPr>
            </w:pPr>
            <w:r>
              <w:rPr>
                <w:kern w:val="0"/>
                <w:szCs w:val="21"/>
                <w:lang w:bidi="ar"/>
              </w:rPr>
              <w:t>0.21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987DDE3">
            <w:pPr>
              <w:widowControl/>
              <w:jc w:val="center"/>
              <w:textAlignment w:val="center"/>
              <w:rPr>
                <w:szCs w:val="21"/>
              </w:rPr>
            </w:pPr>
            <w:r>
              <w:rPr>
                <w:kern w:val="0"/>
                <w:szCs w:val="21"/>
                <w:lang w:bidi="ar"/>
              </w:rPr>
              <w:t>0.015334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0B4BDF1">
            <w:pPr>
              <w:widowControl/>
              <w:jc w:val="center"/>
              <w:textAlignment w:val="center"/>
              <w:rPr>
                <w:szCs w:val="21"/>
              </w:rPr>
            </w:pPr>
            <w:r>
              <w:rPr>
                <w:kern w:val="0"/>
                <w:szCs w:val="21"/>
                <w:lang w:bidi="ar"/>
              </w:rPr>
              <w:t>0.15</w:t>
            </w:r>
          </w:p>
        </w:tc>
      </w:tr>
      <w:tr w14:paraId="077B41D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40B69A7">
            <w:pPr>
              <w:widowControl/>
              <w:jc w:val="center"/>
              <w:textAlignment w:val="center"/>
              <w:rPr>
                <w:szCs w:val="21"/>
              </w:rPr>
            </w:pPr>
            <w:r>
              <w:rPr>
                <w:kern w:val="0"/>
                <w:szCs w:val="21"/>
                <w:lang w:bidi="ar"/>
              </w:rPr>
              <w:t>17</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F16D797">
            <w:pPr>
              <w:widowControl/>
              <w:jc w:val="center"/>
              <w:textAlignment w:val="center"/>
              <w:rPr>
                <w:szCs w:val="21"/>
              </w:rPr>
            </w:pPr>
            <w:r>
              <w:rPr>
                <w:kern w:val="0"/>
                <w:szCs w:val="21"/>
                <w:lang w:bidi="ar"/>
              </w:rPr>
              <w:t>0.64809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BBE77A9">
            <w:pPr>
              <w:widowControl/>
              <w:jc w:val="center"/>
              <w:textAlignment w:val="center"/>
              <w:rPr>
                <w:szCs w:val="21"/>
              </w:rPr>
            </w:pPr>
            <w:r>
              <w:rPr>
                <w:kern w:val="0"/>
                <w:szCs w:val="21"/>
                <w:lang w:bidi="ar"/>
              </w:rPr>
              <w:t>0.32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66F8572">
            <w:pPr>
              <w:widowControl/>
              <w:jc w:val="center"/>
              <w:textAlignment w:val="center"/>
              <w:rPr>
                <w:szCs w:val="21"/>
              </w:rPr>
            </w:pPr>
            <w:r>
              <w:rPr>
                <w:kern w:val="0"/>
                <w:szCs w:val="21"/>
                <w:lang w:bidi="ar"/>
              </w:rPr>
              <w:t>0.024303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983DC78">
            <w:pPr>
              <w:widowControl/>
              <w:jc w:val="center"/>
              <w:textAlignment w:val="center"/>
              <w:rPr>
                <w:szCs w:val="21"/>
              </w:rPr>
            </w:pPr>
            <w:r>
              <w:rPr>
                <w:kern w:val="0"/>
                <w:szCs w:val="21"/>
                <w:lang w:bidi="ar"/>
              </w:rPr>
              <w:t>0.24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18E9780">
            <w:pPr>
              <w:widowControl/>
              <w:jc w:val="center"/>
              <w:textAlignment w:val="center"/>
              <w:rPr>
                <w:szCs w:val="21"/>
              </w:rPr>
            </w:pPr>
            <w:r>
              <w:rPr>
                <w:kern w:val="0"/>
                <w:szCs w:val="21"/>
                <w:lang w:bidi="ar"/>
              </w:rPr>
              <w:t>22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027138">
            <w:pPr>
              <w:widowControl/>
              <w:jc w:val="center"/>
              <w:textAlignment w:val="center"/>
              <w:rPr>
                <w:szCs w:val="21"/>
              </w:rPr>
            </w:pPr>
            <w:r>
              <w:rPr>
                <w:kern w:val="0"/>
                <w:szCs w:val="21"/>
                <w:lang w:bidi="ar"/>
              </w:rPr>
              <w:t>1.1241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C4D8E69">
            <w:pPr>
              <w:widowControl/>
              <w:jc w:val="center"/>
              <w:textAlignment w:val="center"/>
              <w:rPr>
                <w:szCs w:val="21"/>
              </w:rPr>
            </w:pPr>
            <w:r>
              <w:rPr>
                <w:kern w:val="0"/>
                <w:szCs w:val="21"/>
                <w:lang w:bidi="ar"/>
              </w:rPr>
              <w:t>0.56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460490B">
            <w:pPr>
              <w:widowControl/>
              <w:jc w:val="center"/>
              <w:textAlignment w:val="center"/>
              <w:rPr>
                <w:szCs w:val="21"/>
              </w:rPr>
            </w:pPr>
            <w:r>
              <w:rPr>
                <w:kern w:val="0"/>
                <w:szCs w:val="21"/>
                <w:lang w:bidi="ar"/>
              </w:rPr>
              <w:t>0.043715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ED7229A">
            <w:pPr>
              <w:widowControl/>
              <w:jc w:val="center"/>
              <w:textAlignment w:val="center"/>
              <w:rPr>
                <w:szCs w:val="21"/>
              </w:rPr>
            </w:pPr>
            <w:r>
              <w:rPr>
                <w:kern w:val="0"/>
                <w:szCs w:val="21"/>
                <w:lang w:bidi="ar"/>
              </w:rPr>
              <w:t>0.44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53FAD46">
            <w:pPr>
              <w:widowControl/>
              <w:jc w:val="center"/>
              <w:textAlignment w:val="center"/>
              <w:rPr>
                <w:szCs w:val="21"/>
              </w:rPr>
            </w:pPr>
            <w:r>
              <w:rPr>
                <w:kern w:val="0"/>
                <w:szCs w:val="21"/>
                <w:lang w:bidi="ar"/>
              </w:rPr>
              <w:t>15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6898773">
            <w:pPr>
              <w:widowControl/>
              <w:jc w:val="center"/>
              <w:textAlignment w:val="center"/>
              <w:rPr>
                <w:szCs w:val="21"/>
              </w:rPr>
            </w:pPr>
            <w:r>
              <w:rPr>
                <w:kern w:val="0"/>
                <w:szCs w:val="21"/>
                <w:lang w:bidi="ar"/>
              </w:rPr>
              <w:t>0.49444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BD7DA6A">
            <w:pPr>
              <w:widowControl/>
              <w:jc w:val="center"/>
              <w:textAlignment w:val="center"/>
              <w:rPr>
                <w:szCs w:val="21"/>
              </w:rPr>
            </w:pPr>
            <w:r>
              <w:rPr>
                <w:kern w:val="0"/>
                <w:szCs w:val="21"/>
                <w:lang w:bidi="ar"/>
              </w:rPr>
              <w:t>0.25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469BCF4">
            <w:pPr>
              <w:widowControl/>
              <w:jc w:val="center"/>
              <w:textAlignment w:val="center"/>
              <w:rPr>
                <w:szCs w:val="21"/>
              </w:rPr>
            </w:pPr>
            <w:r>
              <w:rPr>
                <w:kern w:val="0"/>
                <w:szCs w:val="21"/>
                <w:lang w:bidi="ar"/>
              </w:rPr>
              <w:t>0.017659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7C5E77DA">
            <w:pPr>
              <w:widowControl/>
              <w:jc w:val="center"/>
              <w:textAlignment w:val="center"/>
              <w:rPr>
                <w:szCs w:val="21"/>
              </w:rPr>
            </w:pPr>
            <w:r>
              <w:rPr>
                <w:kern w:val="0"/>
                <w:szCs w:val="21"/>
                <w:lang w:bidi="ar"/>
              </w:rPr>
              <w:t>0.18</w:t>
            </w:r>
          </w:p>
        </w:tc>
      </w:tr>
      <w:tr w14:paraId="76F603B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706129F">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A676117">
            <w:pPr>
              <w:widowControl/>
              <w:jc w:val="center"/>
              <w:textAlignment w:val="center"/>
              <w:rPr>
                <w:szCs w:val="21"/>
              </w:rPr>
            </w:pPr>
            <w:r>
              <w:rPr>
                <w:kern w:val="0"/>
                <w:szCs w:val="21"/>
                <w:lang w:bidi="ar"/>
              </w:rPr>
              <w:t>0.59459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2A201B8">
            <w:pPr>
              <w:widowControl/>
              <w:jc w:val="center"/>
              <w:textAlignment w:val="center"/>
              <w:rPr>
                <w:szCs w:val="21"/>
              </w:rPr>
            </w:pPr>
            <w:r>
              <w:rPr>
                <w:kern w:val="0"/>
                <w:szCs w:val="21"/>
                <w:lang w:bidi="ar"/>
              </w:rPr>
              <w:t>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8416B43">
            <w:pPr>
              <w:widowControl/>
              <w:jc w:val="center"/>
              <w:textAlignment w:val="center"/>
              <w:rPr>
                <w:szCs w:val="21"/>
              </w:rPr>
            </w:pPr>
            <w:r>
              <w:rPr>
                <w:kern w:val="0"/>
                <w:szCs w:val="21"/>
                <w:lang w:bidi="ar"/>
              </w:rPr>
              <w:t>0.022297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D26003A">
            <w:pPr>
              <w:widowControl/>
              <w:jc w:val="center"/>
              <w:textAlignment w:val="center"/>
              <w:rPr>
                <w:szCs w:val="21"/>
              </w:rPr>
            </w:pPr>
            <w:r>
              <w:rPr>
                <w:kern w:val="0"/>
                <w:szCs w:val="21"/>
                <w:lang w:bidi="ar"/>
              </w:rPr>
              <w:t>0.22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3B1A4F2">
            <w:pPr>
              <w:widowControl/>
              <w:jc w:val="center"/>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6F4C2B1">
            <w:pPr>
              <w:widowControl/>
              <w:jc w:val="center"/>
              <w:textAlignment w:val="center"/>
              <w:rPr>
                <w:szCs w:val="21"/>
              </w:rPr>
            </w:pPr>
            <w:r>
              <w:rPr>
                <w:kern w:val="0"/>
                <w:szCs w:val="21"/>
                <w:lang w:bidi="ar"/>
              </w:rPr>
              <w:t>1.1034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B8297BD">
            <w:pPr>
              <w:widowControl/>
              <w:jc w:val="center"/>
              <w:textAlignment w:val="center"/>
              <w:rPr>
                <w:szCs w:val="21"/>
              </w:rPr>
            </w:pPr>
            <w:r>
              <w:rPr>
                <w:kern w:val="0"/>
                <w:szCs w:val="21"/>
                <w:lang w:bidi="ar"/>
              </w:rPr>
              <w:t>0.55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629B579">
            <w:pPr>
              <w:widowControl/>
              <w:jc w:val="center"/>
              <w:textAlignment w:val="center"/>
              <w:rPr>
                <w:szCs w:val="21"/>
              </w:rPr>
            </w:pPr>
            <w:r>
              <w:rPr>
                <w:kern w:val="0"/>
                <w:szCs w:val="21"/>
                <w:lang w:bidi="ar"/>
              </w:rPr>
              <w:t>0.04291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2E6D74CB">
            <w:pPr>
              <w:widowControl/>
              <w:jc w:val="center"/>
              <w:textAlignment w:val="center"/>
              <w:rPr>
                <w:szCs w:val="21"/>
              </w:rPr>
            </w:pPr>
            <w:r>
              <w:rPr>
                <w:kern w:val="0"/>
                <w:szCs w:val="21"/>
                <w:lang w:bidi="ar"/>
              </w:rPr>
              <w:t>0.43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AD7CE48">
            <w:pPr>
              <w:widowControl/>
              <w:jc w:val="center"/>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F9DBC6D">
            <w:pPr>
              <w:widowControl/>
              <w:jc w:val="center"/>
              <w:textAlignment w:val="center"/>
              <w:rPr>
                <w:szCs w:val="21"/>
              </w:rPr>
            </w:pPr>
            <w:r>
              <w:rPr>
                <w:kern w:val="0"/>
                <w:szCs w:val="21"/>
                <w:lang w:bidi="ar"/>
              </w:rPr>
              <w:t>0.44466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13D626D">
            <w:pPr>
              <w:widowControl/>
              <w:jc w:val="center"/>
              <w:textAlignment w:val="center"/>
              <w:rPr>
                <w:szCs w:val="21"/>
              </w:rPr>
            </w:pPr>
            <w:r>
              <w:rPr>
                <w:kern w:val="0"/>
                <w:szCs w:val="21"/>
                <w:lang w:bidi="ar"/>
              </w:rPr>
              <w:t>0.22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9B903B1">
            <w:pPr>
              <w:widowControl/>
              <w:jc w:val="center"/>
              <w:textAlignment w:val="center"/>
              <w:rPr>
                <w:szCs w:val="21"/>
              </w:rPr>
            </w:pPr>
            <w:r>
              <w:rPr>
                <w:kern w:val="0"/>
                <w:szCs w:val="21"/>
                <w:lang w:bidi="ar"/>
              </w:rPr>
              <w:t>0.015881</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2F47072">
            <w:pPr>
              <w:widowControl/>
              <w:jc w:val="center"/>
              <w:textAlignment w:val="center"/>
              <w:rPr>
                <w:szCs w:val="21"/>
              </w:rPr>
            </w:pPr>
            <w:r>
              <w:rPr>
                <w:kern w:val="0"/>
                <w:szCs w:val="21"/>
                <w:lang w:bidi="ar"/>
              </w:rPr>
              <w:t>0.16</w:t>
            </w:r>
          </w:p>
        </w:tc>
      </w:tr>
      <w:tr w14:paraId="7D050B5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D6964AA">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87E9E2D">
            <w:pPr>
              <w:widowControl/>
              <w:jc w:val="center"/>
              <w:textAlignment w:val="center"/>
              <w:rPr>
                <w:szCs w:val="21"/>
              </w:rPr>
            </w:pPr>
            <w:r>
              <w:rPr>
                <w:kern w:val="0"/>
                <w:szCs w:val="21"/>
                <w:lang w:bidi="ar"/>
              </w:rPr>
              <w:t>0.31571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77A3526">
            <w:pPr>
              <w:widowControl/>
              <w:jc w:val="center"/>
              <w:textAlignment w:val="center"/>
              <w:rPr>
                <w:szCs w:val="21"/>
              </w:rPr>
            </w:pPr>
            <w:r>
              <w:rPr>
                <w:kern w:val="0"/>
                <w:szCs w:val="21"/>
                <w:lang w:bidi="ar"/>
              </w:rPr>
              <w:t>0.16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039F462">
            <w:pPr>
              <w:widowControl/>
              <w:jc w:val="center"/>
              <w:textAlignment w:val="center"/>
              <w:rPr>
                <w:szCs w:val="21"/>
              </w:rPr>
            </w:pPr>
            <w:r>
              <w:rPr>
                <w:kern w:val="0"/>
                <w:szCs w:val="21"/>
                <w:lang w:bidi="ar"/>
              </w:rPr>
              <w:t>0.011839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1FC04A8">
            <w:pPr>
              <w:widowControl/>
              <w:jc w:val="center"/>
              <w:textAlignment w:val="center"/>
              <w:rPr>
                <w:szCs w:val="21"/>
              </w:rPr>
            </w:pPr>
            <w:r>
              <w:rPr>
                <w:kern w:val="0"/>
                <w:szCs w:val="21"/>
                <w:lang w:bidi="ar"/>
              </w:rPr>
              <w:t>0.12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8701B25">
            <w:pPr>
              <w:widowControl/>
              <w:jc w:val="center"/>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45F99ED">
            <w:pPr>
              <w:widowControl/>
              <w:jc w:val="center"/>
              <w:textAlignment w:val="center"/>
              <w:rPr>
                <w:szCs w:val="21"/>
              </w:rPr>
            </w:pPr>
            <w:r>
              <w:rPr>
                <w:kern w:val="0"/>
                <w:szCs w:val="21"/>
                <w:lang w:bidi="ar"/>
              </w:rPr>
              <w:t>0.65826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A5A3E3F">
            <w:pPr>
              <w:widowControl/>
              <w:jc w:val="center"/>
              <w:textAlignment w:val="center"/>
              <w:rPr>
                <w:szCs w:val="21"/>
              </w:rPr>
            </w:pPr>
            <w:r>
              <w:rPr>
                <w:kern w:val="0"/>
                <w:szCs w:val="21"/>
                <w:lang w:bidi="ar"/>
              </w:rPr>
              <w:t>0.33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8BCFEDC">
            <w:pPr>
              <w:widowControl/>
              <w:jc w:val="center"/>
              <w:textAlignment w:val="center"/>
              <w:rPr>
                <w:szCs w:val="21"/>
              </w:rPr>
            </w:pPr>
            <w:r>
              <w:rPr>
                <w:kern w:val="0"/>
                <w:szCs w:val="21"/>
                <w:lang w:bidi="ar"/>
              </w:rPr>
              <w:t>0.025599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139324A">
            <w:pPr>
              <w:widowControl/>
              <w:jc w:val="center"/>
              <w:textAlignment w:val="center"/>
              <w:rPr>
                <w:szCs w:val="21"/>
              </w:rPr>
            </w:pPr>
            <w:r>
              <w:rPr>
                <w:kern w:val="0"/>
                <w:szCs w:val="21"/>
                <w:lang w:bidi="ar"/>
              </w:rPr>
              <w:t>0.26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28F0368">
            <w:pPr>
              <w:widowControl/>
              <w:jc w:val="center"/>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46D91C8">
            <w:pPr>
              <w:widowControl/>
              <w:jc w:val="center"/>
              <w:textAlignment w:val="center"/>
              <w:rPr>
                <w:szCs w:val="21"/>
              </w:rPr>
            </w:pPr>
            <w:r>
              <w:rPr>
                <w:kern w:val="0"/>
                <w:szCs w:val="21"/>
                <w:lang w:bidi="ar"/>
              </w:rPr>
              <w:t>0.25563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062150E">
            <w:pPr>
              <w:widowControl/>
              <w:jc w:val="center"/>
              <w:textAlignment w:val="center"/>
              <w:rPr>
                <w:szCs w:val="21"/>
              </w:rPr>
            </w:pPr>
            <w:r>
              <w:rPr>
                <w:kern w:val="0"/>
                <w:szCs w:val="21"/>
                <w:lang w:bidi="ar"/>
              </w:rPr>
              <w:t>0.13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663D09D8">
            <w:pPr>
              <w:widowControl/>
              <w:jc w:val="center"/>
              <w:textAlignment w:val="center"/>
              <w:rPr>
                <w:szCs w:val="21"/>
              </w:rPr>
            </w:pPr>
            <w:r>
              <w:rPr>
                <w:kern w:val="0"/>
                <w:szCs w:val="21"/>
                <w:lang w:bidi="ar"/>
              </w:rPr>
              <w:t>0.00913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09032AD7">
            <w:pPr>
              <w:widowControl/>
              <w:jc w:val="center"/>
              <w:textAlignment w:val="center"/>
              <w:rPr>
                <w:szCs w:val="21"/>
              </w:rPr>
            </w:pPr>
            <w:r>
              <w:rPr>
                <w:kern w:val="0"/>
                <w:szCs w:val="21"/>
                <w:lang w:bidi="ar"/>
              </w:rPr>
              <w:t>0.09</w:t>
            </w:r>
          </w:p>
        </w:tc>
      </w:tr>
      <w:tr w14:paraId="48980BA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BB341CB">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CE716EE">
            <w:pPr>
              <w:widowControl/>
              <w:jc w:val="center"/>
              <w:textAlignment w:val="center"/>
              <w:rPr>
                <w:szCs w:val="21"/>
              </w:rPr>
            </w:pPr>
            <w:r>
              <w:rPr>
                <w:kern w:val="0"/>
                <w:szCs w:val="21"/>
                <w:lang w:bidi="ar"/>
              </w:rPr>
              <w:t>0.28263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7039E9E9">
            <w:pPr>
              <w:widowControl/>
              <w:jc w:val="center"/>
              <w:textAlignment w:val="center"/>
              <w:rPr>
                <w:szCs w:val="21"/>
              </w:rPr>
            </w:pPr>
            <w:r>
              <w:rPr>
                <w:kern w:val="0"/>
                <w:szCs w:val="21"/>
                <w:lang w:bidi="ar"/>
              </w:rPr>
              <w:t>0.14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605989F">
            <w:pPr>
              <w:widowControl/>
              <w:jc w:val="center"/>
              <w:textAlignment w:val="center"/>
              <w:rPr>
                <w:szCs w:val="21"/>
              </w:rPr>
            </w:pPr>
            <w:r>
              <w:rPr>
                <w:kern w:val="0"/>
                <w:szCs w:val="21"/>
                <w:lang w:bidi="ar"/>
              </w:rPr>
              <w:t>0.010599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35D4FEE">
            <w:pPr>
              <w:widowControl/>
              <w:jc w:val="center"/>
              <w:textAlignment w:val="center"/>
              <w:rPr>
                <w:szCs w:val="21"/>
              </w:rPr>
            </w:pPr>
            <w:r>
              <w:rPr>
                <w:kern w:val="0"/>
                <w:szCs w:val="21"/>
                <w:lang w:bidi="ar"/>
              </w:rPr>
              <w:t>0.11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1054B86">
            <w:pPr>
              <w:widowControl/>
              <w:jc w:val="center"/>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EC620F6">
            <w:pPr>
              <w:widowControl/>
              <w:jc w:val="center"/>
              <w:textAlignment w:val="center"/>
              <w:rPr>
                <w:szCs w:val="21"/>
              </w:rPr>
            </w:pPr>
            <w:r>
              <w:rPr>
                <w:kern w:val="0"/>
                <w:szCs w:val="21"/>
                <w:lang w:bidi="ar"/>
              </w:rPr>
              <w:t>0.60947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7D2E427">
            <w:pPr>
              <w:widowControl/>
              <w:jc w:val="center"/>
              <w:textAlignment w:val="center"/>
              <w:rPr>
                <w:szCs w:val="21"/>
              </w:rPr>
            </w:pPr>
            <w:r>
              <w:rPr>
                <w:kern w:val="0"/>
                <w:szCs w:val="21"/>
                <w:lang w:bidi="ar"/>
              </w:rPr>
              <w:t>0.3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6044678">
            <w:pPr>
              <w:widowControl/>
              <w:jc w:val="center"/>
              <w:textAlignment w:val="center"/>
              <w:rPr>
                <w:szCs w:val="21"/>
              </w:rPr>
            </w:pPr>
            <w:r>
              <w:rPr>
                <w:kern w:val="0"/>
                <w:szCs w:val="21"/>
                <w:lang w:bidi="ar"/>
              </w:rPr>
              <w:t>0.023702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5758209">
            <w:pPr>
              <w:widowControl/>
              <w:jc w:val="center"/>
              <w:textAlignment w:val="center"/>
              <w:rPr>
                <w:szCs w:val="21"/>
              </w:rPr>
            </w:pPr>
            <w:r>
              <w:rPr>
                <w:kern w:val="0"/>
                <w:szCs w:val="21"/>
                <w:lang w:bidi="ar"/>
              </w:rPr>
              <w:t>0.24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E67DD6C">
            <w:pPr>
              <w:widowControl/>
              <w:jc w:val="center"/>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241D16E">
            <w:pPr>
              <w:widowControl/>
              <w:jc w:val="center"/>
              <w:textAlignment w:val="center"/>
              <w:rPr>
                <w:szCs w:val="21"/>
              </w:rPr>
            </w:pPr>
            <w:r>
              <w:rPr>
                <w:kern w:val="0"/>
                <w:szCs w:val="21"/>
                <w:lang w:bidi="ar"/>
              </w:rPr>
              <w:t>0.23698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66E05F3">
            <w:pPr>
              <w:widowControl/>
              <w:jc w:val="center"/>
              <w:textAlignment w:val="center"/>
              <w:rPr>
                <w:szCs w:val="21"/>
              </w:rPr>
            </w:pPr>
            <w:r>
              <w:rPr>
                <w:kern w:val="0"/>
                <w:szCs w:val="21"/>
                <w:lang w:bidi="ar"/>
              </w:rPr>
              <w:t>0.12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3C808BA">
            <w:pPr>
              <w:widowControl/>
              <w:jc w:val="center"/>
              <w:textAlignment w:val="center"/>
              <w:rPr>
                <w:szCs w:val="21"/>
              </w:rPr>
            </w:pPr>
            <w:r>
              <w:rPr>
                <w:kern w:val="0"/>
                <w:szCs w:val="21"/>
                <w:lang w:bidi="ar"/>
              </w:rPr>
              <w:t>0.008464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CBFE4F6">
            <w:pPr>
              <w:widowControl/>
              <w:jc w:val="center"/>
              <w:textAlignment w:val="center"/>
              <w:rPr>
                <w:szCs w:val="21"/>
              </w:rPr>
            </w:pPr>
            <w:r>
              <w:rPr>
                <w:kern w:val="0"/>
                <w:szCs w:val="21"/>
                <w:lang w:bidi="ar"/>
              </w:rPr>
              <w:t>0.08</w:t>
            </w:r>
          </w:p>
        </w:tc>
      </w:tr>
      <w:tr w14:paraId="7C042A3D">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95F5AB9">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893AED5">
            <w:pPr>
              <w:widowControl/>
              <w:jc w:val="center"/>
              <w:textAlignment w:val="center"/>
              <w:rPr>
                <w:szCs w:val="21"/>
              </w:rPr>
            </w:pPr>
            <w:r>
              <w:rPr>
                <w:kern w:val="0"/>
                <w:szCs w:val="21"/>
                <w:lang w:bidi="ar"/>
              </w:rPr>
              <w:t>0.26156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2D72DCA">
            <w:pPr>
              <w:widowControl/>
              <w:jc w:val="center"/>
              <w:textAlignment w:val="center"/>
              <w:rPr>
                <w:szCs w:val="21"/>
              </w:rPr>
            </w:pPr>
            <w:r>
              <w:rPr>
                <w:kern w:val="0"/>
                <w:szCs w:val="21"/>
                <w:lang w:bidi="ar"/>
              </w:rPr>
              <w:t>0.13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B56FBFF">
            <w:pPr>
              <w:widowControl/>
              <w:jc w:val="center"/>
              <w:textAlignment w:val="center"/>
              <w:rPr>
                <w:szCs w:val="21"/>
              </w:rPr>
            </w:pPr>
            <w:r>
              <w:rPr>
                <w:kern w:val="0"/>
                <w:szCs w:val="21"/>
                <w:lang w:bidi="ar"/>
              </w:rPr>
              <w:t>0.009809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354C89C">
            <w:pPr>
              <w:widowControl/>
              <w:jc w:val="center"/>
              <w:textAlignment w:val="center"/>
              <w:rPr>
                <w:szCs w:val="21"/>
              </w:rPr>
            </w:pPr>
            <w:r>
              <w:rPr>
                <w:kern w:val="0"/>
                <w:szCs w:val="21"/>
                <w:lang w:bidi="ar"/>
              </w:rPr>
              <w:t>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E7C0400">
            <w:pPr>
              <w:widowControl/>
              <w:jc w:val="center"/>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4847F7E">
            <w:pPr>
              <w:widowControl/>
              <w:jc w:val="center"/>
              <w:textAlignment w:val="center"/>
              <w:rPr>
                <w:szCs w:val="21"/>
              </w:rPr>
            </w:pPr>
            <w:r>
              <w:rPr>
                <w:kern w:val="0"/>
                <w:szCs w:val="21"/>
                <w:lang w:bidi="ar"/>
              </w:rPr>
              <w:t>0.57219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A9D68AC">
            <w:pPr>
              <w:widowControl/>
              <w:jc w:val="center"/>
              <w:textAlignment w:val="center"/>
              <w:rPr>
                <w:szCs w:val="21"/>
              </w:rPr>
            </w:pPr>
            <w:r>
              <w:rPr>
                <w:kern w:val="0"/>
                <w:szCs w:val="21"/>
                <w:lang w:bidi="ar"/>
              </w:rPr>
              <w:t>0.29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71A710D">
            <w:pPr>
              <w:widowControl/>
              <w:jc w:val="center"/>
              <w:textAlignment w:val="center"/>
              <w:rPr>
                <w:szCs w:val="21"/>
              </w:rPr>
            </w:pPr>
            <w:r>
              <w:rPr>
                <w:kern w:val="0"/>
                <w:szCs w:val="21"/>
                <w:lang w:bidi="ar"/>
              </w:rPr>
              <w:t>0.022252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C3E3ECE">
            <w:pPr>
              <w:widowControl/>
              <w:jc w:val="center"/>
              <w:textAlignment w:val="center"/>
              <w:rPr>
                <w:szCs w:val="21"/>
              </w:rPr>
            </w:pPr>
            <w:r>
              <w:rPr>
                <w:kern w:val="0"/>
                <w:szCs w:val="21"/>
                <w:lang w:bidi="ar"/>
              </w:rPr>
              <w:t>0.22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C49461C">
            <w:pPr>
              <w:widowControl/>
              <w:jc w:val="center"/>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24CDA13">
            <w:pPr>
              <w:widowControl/>
              <w:jc w:val="center"/>
              <w:textAlignment w:val="center"/>
              <w:rPr>
                <w:szCs w:val="21"/>
              </w:rPr>
            </w:pPr>
            <w:r>
              <w:rPr>
                <w:kern w:val="0"/>
                <w:szCs w:val="21"/>
                <w:lang w:bidi="ar"/>
              </w:rPr>
              <w:t>0.22257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6E834B4">
            <w:pPr>
              <w:widowControl/>
              <w:jc w:val="center"/>
              <w:textAlignment w:val="center"/>
              <w:rPr>
                <w:szCs w:val="21"/>
              </w:rPr>
            </w:pPr>
            <w:r>
              <w:rPr>
                <w:kern w:val="0"/>
                <w:szCs w:val="21"/>
                <w:lang w:bidi="ar"/>
              </w:rPr>
              <w:t>0.11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B7788B8">
            <w:pPr>
              <w:widowControl/>
              <w:jc w:val="center"/>
              <w:textAlignment w:val="center"/>
              <w:rPr>
                <w:szCs w:val="21"/>
              </w:rPr>
            </w:pPr>
            <w:r>
              <w:rPr>
                <w:kern w:val="0"/>
                <w:szCs w:val="21"/>
                <w:lang w:bidi="ar"/>
              </w:rPr>
              <w:t>0.007949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67C865F">
            <w:pPr>
              <w:widowControl/>
              <w:jc w:val="center"/>
              <w:textAlignment w:val="center"/>
              <w:rPr>
                <w:szCs w:val="21"/>
              </w:rPr>
            </w:pPr>
            <w:r>
              <w:rPr>
                <w:kern w:val="0"/>
                <w:szCs w:val="21"/>
                <w:lang w:bidi="ar"/>
              </w:rPr>
              <w:t>0.08</w:t>
            </w:r>
          </w:p>
        </w:tc>
      </w:tr>
      <w:tr w14:paraId="4D79D8F9">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BABDBB9">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DD9A227">
            <w:pPr>
              <w:widowControl/>
              <w:jc w:val="center"/>
              <w:textAlignment w:val="center"/>
              <w:rPr>
                <w:szCs w:val="21"/>
              </w:rPr>
            </w:pPr>
            <w:r>
              <w:rPr>
                <w:kern w:val="0"/>
                <w:szCs w:val="21"/>
                <w:lang w:bidi="ar"/>
              </w:rPr>
              <w:t>0.20377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CB2AC69">
            <w:pPr>
              <w:widowControl/>
              <w:jc w:val="center"/>
              <w:textAlignment w:val="center"/>
              <w:rPr>
                <w:szCs w:val="21"/>
              </w:rPr>
            </w:pPr>
            <w:r>
              <w:rPr>
                <w:kern w:val="0"/>
                <w:szCs w:val="21"/>
                <w:lang w:bidi="ar"/>
              </w:rPr>
              <w:t>0.1</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6B190F4">
            <w:pPr>
              <w:widowControl/>
              <w:jc w:val="center"/>
              <w:textAlignment w:val="center"/>
              <w:rPr>
                <w:szCs w:val="21"/>
              </w:rPr>
            </w:pPr>
            <w:r>
              <w:rPr>
                <w:kern w:val="0"/>
                <w:szCs w:val="21"/>
                <w:lang w:bidi="ar"/>
              </w:rPr>
              <w:t>0.007641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F18E27A">
            <w:pPr>
              <w:widowControl/>
              <w:jc w:val="center"/>
              <w:textAlignment w:val="center"/>
              <w:rPr>
                <w:szCs w:val="21"/>
              </w:rPr>
            </w:pPr>
            <w:r>
              <w:rPr>
                <w:kern w:val="0"/>
                <w:szCs w:val="21"/>
                <w:lang w:bidi="ar"/>
              </w:rPr>
              <w:t>0.08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9ECEBFE">
            <w:pPr>
              <w:widowControl/>
              <w:jc w:val="center"/>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79DA727">
            <w:pPr>
              <w:widowControl/>
              <w:jc w:val="center"/>
              <w:textAlignment w:val="center"/>
              <w:rPr>
                <w:szCs w:val="21"/>
              </w:rPr>
            </w:pPr>
            <w:r>
              <w:rPr>
                <w:kern w:val="0"/>
                <w:szCs w:val="21"/>
                <w:lang w:bidi="ar"/>
              </w:rPr>
              <w:t>0.45389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C50B6A2">
            <w:pPr>
              <w:widowControl/>
              <w:jc w:val="center"/>
              <w:textAlignment w:val="center"/>
              <w:rPr>
                <w:szCs w:val="21"/>
              </w:rPr>
            </w:pPr>
            <w:r>
              <w:rPr>
                <w:kern w:val="0"/>
                <w:szCs w:val="21"/>
                <w:lang w:bidi="ar"/>
              </w:rPr>
              <w:t>0.23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52508EC">
            <w:pPr>
              <w:widowControl/>
              <w:jc w:val="center"/>
              <w:textAlignment w:val="center"/>
              <w:rPr>
                <w:szCs w:val="21"/>
              </w:rPr>
            </w:pPr>
            <w:r>
              <w:rPr>
                <w:kern w:val="0"/>
                <w:szCs w:val="21"/>
                <w:lang w:bidi="ar"/>
              </w:rPr>
              <w:t>0.017651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6AC36FF">
            <w:pPr>
              <w:widowControl/>
              <w:jc w:val="center"/>
              <w:textAlignment w:val="center"/>
              <w:rPr>
                <w:szCs w:val="21"/>
              </w:rPr>
            </w:pPr>
            <w:r>
              <w:rPr>
                <w:kern w:val="0"/>
                <w:szCs w:val="21"/>
                <w:lang w:bidi="ar"/>
              </w:rPr>
              <w:t>0.18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9332090">
            <w:pPr>
              <w:widowControl/>
              <w:jc w:val="center"/>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D4AB252">
            <w:pPr>
              <w:widowControl/>
              <w:jc w:val="center"/>
              <w:textAlignment w:val="center"/>
              <w:rPr>
                <w:szCs w:val="21"/>
              </w:rPr>
            </w:pPr>
            <w:r>
              <w:rPr>
                <w:kern w:val="0"/>
                <w:szCs w:val="21"/>
                <w:lang w:bidi="ar"/>
              </w:rPr>
              <w:t>0.17654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8D93C73">
            <w:pPr>
              <w:widowControl/>
              <w:jc w:val="center"/>
              <w:textAlignment w:val="center"/>
              <w:rPr>
                <w:szCs w:val="21"/>
              </w:rPr>
            </w:pPr>
            <w:r>
              <w:rPr>
                <w:kern w:val="0"/>
                <w:szCs w:val="21"/>
                <w:lang w:bidi="ar"/>
              </w:rPr>
              <w:t>0.09</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AABCF32">
            <w:pPr>
              <w:widowControl/>
              <w:jc w:val="center"/>
              <w:textAlignment w:val="center"/>
              <w:rPr>
                <w:szCs w:val="21"/>
              </w:rPr>
            </w:pPr>
            <w:r>
              <w:rPr>
                <w:kern w:val="0"/>
                <w:szCs w:val="21"/>
                <w:lang w:bidi="ar"/>
              </w:rPr>
              <w:t>0.006305</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5963816">
            <w:pPr>
              <w:widowControl/>
              <w:jc w:val="center"/>
              <w:textAlignment w:val="center"/>
              <w:rPr>
                <w:szCs w:val="21"/>
              </w:rPr>
            </w:pPr>
            <w:r>
              <w:rPr>
                <w:kern w:val="0"/>
                <w:szCs w:val="21"/>
                <w:lang w:bidi="ar"/>
              </w:rPr>
              <w:t>0.06</w:t>
            </w:r>
          </w:p>
        </w:tc>
      </w:tr>
      <w:tr w14:paraId="16F302F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D29555F">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199FFB2">
            <w:pPr>
              <w:widowControl/>
              <w:jc w:val="center"/>
              <w:textAlignment w:val="center"/>
              <w:rPr>
                <w:szCs w:val="21"/>
              </w:rPr>
            </w:pPr>
            <w:r>
              <w:rPr>
                <w:kern w:val="0"/>
                <w:szCs w:val="21"/>
                <w:lang w:bidi="ar"/>
              </w:rPr>
              <w:t>0.16298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6888833">
            <w:pPr>
              <w:widowControl/>
              <w:jc w:val="center"/>
              <w:textAlignment w:val="center"/>
              <w:rPr>
                <w:szCs w:val="21"/>
              </w:rPr>
            </w:pPr>
            <w:r>
              <w:rPr>
                <w:kern w:val="0"/>
                <w:szCs w:val="21"/>
                <w:lang w:bidi="ar"/>
              </w:rPr>
              <w:t>0.08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FF0C1F5">
            <w:pPr>
              <w:widowControl/>
              <w:jc w:val="center"/>
              <w:textAlignment w:val="center"/>
              <w:rPr>
                <w:szCs w:val="21"/>
              </w:rPr>
            </w:pPr>
            <w:r>
              <w:rPr>
                <w:kern w:val="0"/>
                <w:szCs w:val="21"/>
                <w:lang w:bidi="ar"/>
              </w:rPr>
              <w:t>0.006112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F3835E4">
            <w:pPr>
              <w:widowControl/>
              <w:jc w:val="center"/>
              <w:textAlignment w:val="center"/>
              <w:rPr>
                <w:szCs w:val="21"/>
              </w:rPr>
            </w:pPr>
            <w:r>
              <w:rPr>
                <w:kern w:val="0"/>
                <w:szCs w:val="21"/>
                <w:lang w:bidi="ar"/>
              </w:rPr>
              <w:t>0.06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4446F1B">
            <w:pPr>
              <w:widowControl/>
              <w:jc w:val="center"/>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12BFBEE">
            <w:pPr>
              <w:widowControl/>
              <w:jc w:val="center"/>
              <w:textAlignment w:val="center"/>
              <w:rPr>
                <w:szCs w:val="21"/>
              </w:rPr>
            </w:pPr>
            <w:r>
              <w:rPr>
                <w:kern w:val="0"/>
                <w:szCs w:val="21"/>
                <w:lang w:bidi="ar"/>
              </w:rPr>
              <w:t>0.36477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5002A97">
            <w:pPr>
              <w:widowControl/>
              <w:jc w:val="center"/>
              <w:textAlignment w:val="center"/>
              <w:rPr>
                <w:szCs w:val="21"/>
              </w:rPr>
            </w:pPr>
            <w:r>
              <w:rPr>
                <w:kern w:val="0"/>
                <w:szCs w:val="21"/>
                <w:lang w:bidi="ar"/>
              </w:rPr>
              <w:t>0.18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3D5C848">
            <w:pPr>
              <w:widowControl/>
              <w:jc w:val="center"/>
              <w:textAlignment w:val="center"/>
              <w:rPr>
                <w:szCs w:val="21"/>
              </w:rPr>
            </w:pPr>
            <w:r>
              <w:rPr>
                <w:kern w:val="0"/>
                <w:szCs w:val="21"/>
                <w:lang w:bidi="ar"/>
              </w:rPr>
              <w:t>0.014186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DFC6457">
            <w:pPr>
              <w:widowControl/>
              <w:jc w:val="center"/>
              <w:textAlignment w:val="center"/>
              <w:rPr>
                <w:szCs w:val="21"/>
              </w:rPr>
            </w:pPr>
            <w:r>
              <w:rPr>
                <w:kern w:val="0"/>
                <w:szCs w:val="21"/>
                <w:lang w:bidi="ar"/>
              </w:rPr>
              <w:t>0.14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AA6B6F5">
            <w:pPr>
              <w:widowControl/>
              <w:jc w:val="center"/>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4315C64">
            <w:pPr>
              <w:widowControl/>
              <w:jc w:val="center"/>
              <w:textAlignment w:val="center"/>
              <w:rPr>
                <w:szCs w:val="21"/>
              </w:rPr>
            </w:pPr>
            <w:r>
              <w:rPr>
                <w:kern w:val="0"/>
                <w:szCs w:val="21"/>
                <w:lang w:bidi="ar"/>
              </w:rPr>
              <w:t>0.14188</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D2D29B1">
            <w:pPr>
              <w:widowControl/>
              <w:jc w:val="center"/>
              <w:textAlignment w:val="center"/>
              <w:rPr>
                <w:szCs w:val="21"/>
              </w:rPr>
            </w:pPr>
            <w:r>
              <w:rPr>
                <w:kern w:val="0"/>
                <w:szCs w:val="21"/>
                <w:lang w:bidi="ar"/>
              </w:rPr>
              <w:t>0.07</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5F52F78">
            <w:pPr>
              <w:widowControl/>
              <w:jc w:val="center"/>
              <w:textAlignment w:val="center"/>
              <w:rPr>
                <w:szCs w:val="21"/>
              </w:rPr>
            </w:pPr>
            <w:r>
              <w:rPr>
                <w:kern w:val="0"/>
                <w:szCs w:val="21"/>
                <w:lang w:bidi="ar"/>
              </w:rPr>
              <w:t>0.005067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25DC08C">
            <w:pPr>
              <w:widowControl/>
              <w:jc w:val="center"/>
              <w:textAlignment w:val="center"/>
              <w:rPr>
                <w:szCs w:val="21"/>
              </w:rPr>
            </w:pPr>
            <w:r>
              <w:rPr>
                <w:kern w:val="0"/>
                <w:szCs w:val="21"/>
                <w:lang w:bidi="ar"/>
              </w:rPr>
              <w:t>0.05</w:t>
            </w:r>
          </w:p>
        </w:tc>
      </w:tr>
      <w:tr w14:paraId="0714DCD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608982F">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E253070">
            <w:pPr>
              <w:widowControl/>
              <w:jc w:val="center"/>
              <w:textAlignment w:val="center"/>
              <w:rPr>
                <w:szCs w:val="21"/>
              </w:rPr>
            </w:pPr>
            <w:r>
              <w:rPr>
                <w:kern w:val="0"/>
                <w:szCs w:val="21"/>
                <w:lang w:bidi="ar"/>
              </w:rPr>
              <w:t>0.13427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373DECB">
            <w:pPr>
              <w:widowControl/>
              <w:jc w:val="center"/>
              <w:textAlignment w:val="center"/>
              <w:rPr>
                <w:szCs w:val="21"/>
              </w:rPr>
            </w:pPr>
            <w:r>
              <w:rPr>
                <w:kern w:val="0"/>
                <w:szCs w:val="21"/>
                <w:lang w:bidi="ar"/>
              </w:rPr>
              <w:t>0.07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6C32A02">
            <w:pPr>
              <w:widowControl/>
              <w:jc w:val="center"/>
              <w:textAlignment w:val="center"/>
              <w:rPr>
                <w:szCs w:val="21"/>
              </w:rPr>
            </w:pPr>
            <w:r>
              <w:rPr>
                <w:kern w:val="0"/>
                <w:szCs w:val="21"/>
                <w:lang w:bidi="ar"/>
              </w:rPr>
              <w:t>0.005035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0FB9EE7">
            <w:pPr>
              <w:widowControl/>
              <w:jc w:val="center"/>
              <w:textAlignment w:val="center"/>
              <w:rPr>
                <w:szCs w:val="21"/>
              </w:rPr>
            </w:pPr>
            <w:r>
              <w:rPr>
                <w:kern w:val="0"/>
                <w:szCs w:val="21"/>
                <w:lang w:bidi="ar"/>
              </w:rPr>
              <w:t>0.05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FC70002">
            <w:pPr>
              <w:widowControl/>
              <w:jc w:val="center"/>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C6A511A">
            <w:pPr>
              <w:widowControl/>
              <w:jc w:val="center"/>
              <w:textAlignment w:val="center"/>
              <w:rPr>
                <w:szCs w:val="21"/>
              </w:rPr>
            </w:pPr>
            <w:r>
              <w:rPr>
                <w:kern w:val="0"/>
                <w:szCs w:val="21"/>
                <w:lang w:bidi="ar"/>
              </w:rPr>
              <w:t>0.30049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447242F">
            <w:pPr>
              <w:widowControl/>
              <w:jc w:val="center"/>
              <w:textAlignment w:val="center"/>
              <w:rPr>
                <w:szCs w:val="21"/>
              </w:rPr>
            </w:pPr>
            <w:r>
              <w:rPr>
                <w:kern w:val="0"/>
                <w:szCs w:val="21"/>
                <w:lang w:bidi="ar"/>
              </w:rPr>
              <w:t>0.15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1B53E95">
            <w:pPr>
              <w:widowControl/>
              <w:jc w:val="center"/>
              <w:textAlignment w:val="center"/>
              <w:rPr>
                <w:szCs w:val="21"/>
              </w:rPr>
            </w:pPr>
            <w:r>
              <w:rPr>
                <w:kern w:val="0"/>
                <w:szCs w:val="21"/>
                <w:lang w:bidi="ar"/>
              </w:rPr>
              <w:t>0.011686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7D01E9C">
            <w:pPr>
              <w:widowControl/>
              <w:jc w:val="center"/>
              <w:textAlignment w:val="center"/>
              <w:rPr>
                <w:szCs w:val="21"/>
              </w:rPr>
            </w:pPr>
            <w:r>
              <w:rPr>
                <w:kern w:val="0"/>
                <w:szCs w:val="21"/>
                <w:lang w:bidi="ar"/>
              </w:rPr>
              <w:t>0.12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4A9760C">
            <w:pPr>
              <w:widowControl/>
              <w:jc w:val="center"/>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D14D525">
            <w:pPr>
              <w:widowControl/>
              <w:jc w:val="center"/>
              <w:textAlignment w:val="center"/>
              <w:rPr>
                <w:szCs w:val="21"/>
              </w:rPr>
            </w:pPr>
            <w:r>
              <w:rPr>
                <w:kern w:val="0"/>
                <w:szCs w:val="21"/>
                <w:lang w:bidi="ar"/>
              </w:rPr>
              <w:t>0.11687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A93C966">
            <w:pPr>
              <w:widowControl/>
              <w:jc w:val="center"/>
              <w:textAlignment w:val="center"/>
              <w:rPr>
                <w:szCs w:val="21"/>
              </w:rPr>
            </w:pPr>
            <w:r>
              <w:rPr>
                <w:kern w:val="0"/>
                <w:szCs w:val="21"/>
                <w:lang w:bidi="ar"/>
              </w:rPr>
              <w:t>0.06</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0B476CC">
            <w:pPr>
              <w:widowControl/>
              <w:jc w:val="center"/>
              <w:textAlignment w:val="center"/>
              <w:rPr>
                <w:szCs w:val="21"/>
              </w:rPr>
            </w:pPr>
            <w:r>
              <w:rPr>
                <w:kern w:val="0"/>
                <w:szCs w:val="21"/>
                <w:lang w:bidi="ar"/>
              </w:rPr>
              <w:t>0.004174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249A61CA">
            <w:pPr>
              <w:widowControl/>
              <w:jc w:val="center"/>
              <w:textAlignment w:val="center"/>
              <w:rPr>
                <w:szCs w:val="21"/>
              </w:rPr>
            </w:pPr>
            <w:r>
              <w:rPr>
                <w:kern w:val="0"/>
                <w:szCs w:val="21"/>
                <w:lang w:bidi="ar"/>
              </w:rPr>
              <w:t>0.04</w:t>
            </w:r>
          </w:p>
        </w:tc>
      </w:tr>
      <w:tr w14:paraId="53C5666E">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7797BAA">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58D3138">
            <w:pPr>
              <w:widowControl/>
              <w:jc w:val="center"/>
              <w:textAlignment w:val="center"/>
              <w:rPr>
                <w:szCs w:val="21"/>
              </w:rPr>
            </w:pPr>
            <w:r>
              <w:rPr>
                <w:kern w:val="0"/>
                <w:szCs w:val="21"/>
                <w:lang w:bidi="ar"/>
              </w:rPr>
              <w:t>0.11434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CD1AFDF">
            <w:pPr>
              <w:widowControl/>
              <w:jc w:val="center"/>
              <w:textAlignment w:val="center"/>
              <w:rPr>
                <w:szCs w:val="21"/>
              </w:rPr>
            </w:pPr>
            <w:r>
              <w:rPr>
                <w:kern w:val="0"/>
                <w:szCs w:val="21"/>
                <w:lang w:bidi="ar"/>
              </w:rPr>
              <w:t>0.06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5E345D6">
            <w:pPr>
              <w:widowControl/>
              <w:jc w:val="center"/>
              <w:textAlignment w:val="center"/>
              <w:rPr>
                <w:szCs w:val="21"/>
              </w:rPr>
            </w:pPr>
            <w:r>
              <w:rPr>
                <w:kern w:val="0"/>
                <w:szCs w:val="21"/>
                <w:lang w:bidi="ar"/>
              </w:rPr>
              <w:t>0.004288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F797924">
            <w:pPr>
              <w:widowControl/>
              <w:jc w:val="center"/>
              <w:textAlignment w:val="center"/>
              <w:rPr>
                <w:szCs w:val="21"/>
              </w:rPr>
            </w:pPr>
            <w:r>
              <w:rPr>
                <w:kern w:val="0"/>
                <w:szCs w:val="21"/>
                <w:lang w:bidi="ar"/>
              </w:rPr>
              <w:t>0.04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F45DE4D">
            <w:pPr>
              <w:widowControl/>
              <w:jc w:val="center"/>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66C6B9E">
            <w:pPr>
              <w:widowControl/>
              <w:jc w:val="center"/>
              <w:textAlignment w:val="center"/>
              <w:rPr>
                <w:szCs w:val="21"/>
              </w:rPr>
            </w:pPr>
            <w:r>
              <w:rPr>
                <w:kern w:val="0"/>
                <w:szCs w:val="21"/>
                <w:lang w:bidi="ar"/>
              </w:rPr>
              <w:t>0.2561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F0AD1F3">
            <w:pPr>
              <w:widowControl/>
              <w:jc w:val="center"/>
              <w:textAlignment w:val="center"/>
              <w:rPr>
                <w:szCs w:val="21"/>
              </w:rPr>
            </w:pPr>
            <w:r>
              <w:rPr>
                <w:kern w:val="0"/>
                <w:szCs w:val="21"/>
                <w:lang w:bidi="ar"/>
              </w:rPr>
              <w:t>0.13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DF41CCF">
            <w:pPr>
              <w:widowControl/>
              <w:jc w:val="center"/>
              <w:textAlignment w:val="center"/>
              <w:rPr>
                <w:szCs w:val="21"/>
              </w:rPr>
            </w:pPr>
            <w:r>
              <w:rPr>
                <w:kern w:val="0"/>
                <w:szCs w:val="21"/>
                <w:lang w:bidi="ar"/>
              </w:rPr>
              <w:t>0.009959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55DCAAA">
            <w:pPr>
              <w:widowControl/>
              <w:jc w:val="center"/>
              <w:textAlignment w:val="center"/>
              <w:rPr>
                <w:szCs w:val="21"/>
              </w:rPr>
            </w:pPr>
            <w:r>
              <w:rPr>
                <w:kern w:val="0"/>
                <w:szCs w:val="21"/>
                <w:lang w:bidi="ar"/>
              </w:rPr>
              <w:t>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2836E90">
            <w:pPr>
              <w:widowControl/>
              <w:jc w:val="center"/>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88BA330">
            <w:pPr>
              <w:widowControl/>
              <w:jc w:val="center"/>
              <w:textAlignment w:val="center"/>
              <w:rPr>
                <w:szCs w:val="21"/>
              </w:rPr>
            </w:pPr>
            <w:r>
              <w:rPr>
                <w:kern w:val="0"/>
                <w:szCs w:val="21"/>
                <w:lang w:bidi="ar"/>
              </w:rPr>
              <w:t>0.099626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2BA27AE">
            <w:pPr>
              <w:widowControl/>
              <w:jc w:val="center"/>
              <w:textAlignment w:val="center"/>
              <w:rPr>
                <w:szCs w:val="21"/>
              </w:rPr>
            </w:pPr>
            <w:r>
              <w:rPr>
                <w:kern w:val="0"/>
                <w:szCs w:val="21"/>
                <w:lang w:bidi="ar"/>
              </w:rPr>
              <w:t>0.05</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0BE76C0">
            <w:pPr>
              <w:widowControl/>
              <w:jc w:val="center"/>
              <w:textAlignment w:val="center"/>
              <w:rPr>
                <w:szCs w:val="21"/>
              </w:rPr>
            </w:pPr>
            <w:r>
              <w:rPr>
                <w:kern w:val="0"/>
                <w:szCs w:val="21"/>
                <w:lang w:bidi="ar"/>
              </w:rPr>
              <w:t>0.003558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C971724">
            <w:pPr>
              <w:widowControl/>
              <w:jc w:val="center"/>
              <w:textAlignment w:val="center"/>
              <w:rPr>
                <w:szCs w:val="21"/>
              </w:rPr>
            </w:pPr>
            <w:r>
              <w:rPr>
                <w:kern w:val="0"/>
                <w:szCs w:val="21"/>
                <w:lang w:bidi="ar"/>
              </w:rPr>
              <w:t>0.04</w:t>
            </w:r>
          </w:p>
        </w:tc>
      </w:tr>
      <w:tr w14:paraId="1EC4F14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A30466F">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2A2D08D">
            <w:pPr>
              <w:widowControl/>
              <w:jc w:val="center"/>
              <w:textAlignment w:val="center"/>
              <w:rPr>
                <w:szCs w:val="21"/>
              </w:rPr>
            </w:pPr>
            <w:r>
              <w:rPr>
                <w:kern w:val="0"/>
                <w:szCs w:val="21"/>
                <w:lang w:bidi="ar"/>
              </w:rPr>
              <w:t>0.076755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885494B">
            <w:pPr>
              <w:widowControl/>
              <w:jc w:val="center"/>
              <w:textAlignment w:val="center"/>
              <w:rPr>
                <w:szCs w:val="21"/>
              </w:rPr>
            </w:pPr>
            <w:r>
              <w:rPr>
                <w:kern w:val="0"/>
                <w:szCs w:val="21"/>
                <w:lang w:bidi="ar"/>
              </w:rPr>
              <w:t>0.04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6A62387">
            <w:pPr>
              <w:widowControl/>
              <w:jc w:val="center"/>
              <w:textAlignment w:val="center"/>
              <w:rPr>
                <w:szCs w:val="21"/>
              </w:rPr>
            </w:pPr>
            <w:r>
              <w:rPr>
                <w:kern w:val="0"/>
                <w:szCs w:val="21"/>
                <w:lang w:bidi="ar"/>
              </w:rPr>
              <w:t>0.002878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E06AA98">
            <w:pPr>
              <w:widowControl/>
              <w:jc w:val="center"/>
              <w:textAlignment w:val="center"/>
              <w:rPr>
                <w:szCs w:val="21"/>
              </w:rPr>
            </w:pPr>
            <w:r>
              <w:rPr>
                <w:kern w:val="0"/>
                <w:szCs w:val="21"/>
                <w:lang w:bidi="ar"/>
              </w:rPr>
              <w:t>0.03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6B233E9">
            <w:pPr>
              <w:widowControl/>
              <w:jc w:val="center"/>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DBC47B2">
            <w:pPr>
              <w:widowControl/>
              <w:jc w:val="center"/>
              <w:textAlignment w:val="center"/>
              <w:rPr>
                <w:szCs w:val="21"/>
              </w:rPr>
            </w:pPr>
            <w:r>
              <w:rPr>
                <w:kern w:val="0"/>
                <w:szCs w:val="21"/>
                <w:lang w:bidi="ar"/>
              </w:rPr>
              <w:t>0.17276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70AF782">
            <w:pPr>
              <w:widowControl/>
              <w:jc w:val="center"/>
              <w:textAlignment w:val="center"/>
              <w:rPr>
                <w:szCs w:val="21"/>
              </w:rPr>
            </w:pPr>
            <w:r>
              <w:rPr>
                <w:kern w:val="0"/>
                <w:szCs w:val="21"/>
                <w:lang w:bidi="ar"/>
              </w:rPr>
              <w:t>0.09</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21B39F0">
            <w:pPr>
              <w:widowControl/>
              <w:jc w:val="center"/>
              <w:textAlignment w:val="center"/>
              <w:rPr>
                <w:szCs w:val="21"/>
              </w:rPr>
            </w:pPr>
            <w:r>
              <w:rPr>
                <w:kern w:val="0"/>
                <w:szCs w:val="21"/>
                <w:lang w:bidi="ar"/>
              </w:rPr>
              <w:t>0.006718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5661D19">
            <w:pPr>
              <w:widowControl/>
              <w:jc w:val="center"/>
              <w:textAlignment w:val="center"/>
              <w:rPr>
                <w:szCs w:val="21"/>
              </w:rPr>
            </w:pPr>
            <w:r>
              <w:rPr>
                <w:kern w:val="0"/>
                <w:szCs w:val="21"/>
                <w:lang w:bidi="ar"/>
              </w:rPr>
              <w:t>0.07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2270CF4">
            <w:pPr>
              <w:widowControl/>
              <w:jc w:val="center"/>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FF19BB3">
            <w:pPr>
              <w:widowControl/>
              <w:jc w:val="center"/>
              <w:textAlignment w:val="center"/>
              <w:rPr>
                <w:szCs w:val="21"/>
              </w:rPr>
            </w:pPr>
            <w:r>
              <w:rPr>
                <w:kern w:val="0"/>
                <w:szCs w:val="21"/>
                <w:lang w:bidi="ar"/>
              </w:rPr>
              <w:t>0.067196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17B8548">
            <w:pPr>
              <w:widowControl/>
              <w:jc w:val="center"/>
              <w:textAlignment w:val="center"/>
              <w:rPr>
                <w:szCs w:val="21"/>
              </w:rPr>
            </w:pPr>
            <w:r>
              <w:rPr>
                <w:kern w:val="0"/>
                <w:szCs w:val="21"/>
                <w:lang w:bidi="ar"/>
              </w:rPr>
              <w:t>0.03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3F99C03">
            <w:pPr>
              <w:widowControl/>
              <w:jc w:val="center"/>
              <w:textAlignment w:val="center"/>
              <w:rPr>
                <w:szCs w:val="21"/>
              </w:rPr>
            </w:pPr>
            <w:r>
              <w:rPr>
                <w:kern w:val="0"/>
                <w:szCs w:val="21"/>
                <w:lang w:bidi="ar"/>
              </w:rPr>
              <w:t>0.0024</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7E33E70">
            <w:pPr>
              <w:widowControl/>
              <w:jc w:val="center"/>
              <w:textAlignment w:val="center"/>
              <w:rPr>
                <w:szCs w:val="21"/>
              </w:rPr>
            </w:pPr>
            <w:r>
              <w:rPr>
                <w:kern w:val="0"/>
                <w:szCs w:val="21"/>
                <w:lang w:bidi="ar"/>
              </w:rPr>
              <w:t>0.02</w:t>
            </w:r>
          </w:p>
        </w:tc>
      </w:tr>
      <w:tr w14:paraId="6308EC0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114E66B">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91B4485">
            <w:pPr>
              <w:widowControl/>
              <w:jc w:val="center"/>
              <w:textAlignment w:val="center"/>
              <w:rPr>
                <w:szCs w:val="21"/>
              </w:rPr>
            </w:pPr>
            <w:r>
              <w:rPr>
                <w:kern w:val="0"/>
                <w:szCs w:val="21"/>
                <w:lang w:bidi="ar"/>
              </w:rPr>
              <w:t>0.065484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CF8AD24">
            <w:pPr>
              <w:widowControl/>
              <w:jc w:val="center"/>
              <w:textAlignment w:val="center"/>
              <w:rPr>
                <w:szCs w:val="21"/>
              </w:rPr>
            </w:pPr>
            <w:r>
              <w:rPr>
                <w:kern w:val="0"/>
                <w:szCs w:val="21"/>
                <w:lang w:bidi="ar"/>
              </w:rPr>
              <w:t>0.03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DA37D7B">
            <w:pPr>
              <w:widowControl/>
              <w:jc w:val="center"/>
              <w:textAlignment w:val="center"/>
              <w:rPr>
                <w:szCs w:val="21"/>
              </w:rPr>
            </w:pPr>
            <w:r>
              <w:rPr>
                <w:kern w:val="0"/>
                <w:szCs w:val="21"/>
                <w:lang w:bidi="ar"/>
              </w:rPr>
              <w:t>0.002456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F4F2B77">
            <w:pPr>
              <w:widowControl/>
              <w:jc w:val="center"/>
              <w:textAlignment w:val="center"/>
              <w:rPr>
                <w:szCs w:val="21"/>
              </w:rPr>
            </w:pPr>
            <w:r>
              <w:rPr>
                <w:kern w:val="0"/>
                <w:szCs w:val="21"/>
                <w:lang w:bidi="ar"/>
              </w:rPr>
              <w:t>0.02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41533CB9">
            <w:pPr>
              <w:widowControl/>
              <w:jc w:val="center"/>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809530B">
            <w:pPr>
              <w:widowControl/>
              <w:jc w:val="center"/>
              <w:textAlignment w:val="center"/>
              <w:rPr>
                <w:szCs w:val="21"/>
              </w:rPr>
            </w:pPr>
            <w:r>
              <w:rPr>
                <w:kern w:val="0"/>
                <w:szCs w:val="21"/>
                <w:lang w:bidi="ar"/>
              </w:rPr>
              <w:t>0.14738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8F56BFA">
            <w:pPr>
              <w:widowControl/>
              <w:jc w:val="center"/>
              <w:textAlignment w:val="center"/>
              <w:rPr>
                <w:szCs w:val="21"/>
              </w:rPr>
            </w:pPr>
            <w:r>
              <w:rPr>
                <w:kern w:val="0"/>
                <w:szCs w:val="21"/>
                <w:lang w:bidi="ar"/>
              </w:rPr>
              <w:t>0.07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4A22280">
            <w:pPr>
              <w:widowControl/>
              <w:jc w:val="center"/>
              <w:textAlignment w:val="center"/>
              <w:rPr>
                <w:szCs w:val="21"/>
              </w:rPr>
            </w:pPr>
            <w:r>
              <w:rPr>
                <w:kern w:val="0"/>
                <w:szCs w:val="21"/>
                <w:lang w:bidi="ar"/>
              </w:rPr>
              <w:t>0.005731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B30FC2F">
            <w:pPr>
              <w:widowControl/>
              <w:jc w:val="center"/>
              <w:textAlignment w:val="center"/>
              <w:rPr>
                <w:szCs w:val="21"/>
              </w:rPr>
            </w:pPr>
            <w:r>
              <w:rPr>
                <w:kern w:val="0"/>
                <w:szCs w:val="21"/>
                <w:lang w:bidi="ar"/>
              </w:rPr>
              <w:t>0.06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345E8B2">
            <w:pPr>
              <w:widowControl/>
              <w:jc w:val="center"/>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4EE07B8">
            <w:pPr>
              <w:widowControl/>
              <w:jc w:val="center"/>
              <w:textAlignment w:val="center"/>
              <w:rPr>
                <w:szCs w:val="21"/>
              </w:rPr>
            </w:pPr>
            <w:r>
              <w:rPr>
                <w:kern w:val="0"/>
                <w:szCs w:val="21"/>
                <w:lang w:bidi="ar"/>
              </w:rPr>
              <w:t>0.057325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85D2337">
            <w:pPr>
              <w:widowControl/>
              <w:jc w:val="center"/>
              <w:textAlignment w:val="center"/>
              <w:rPr>
                <w:szCs w:val="21"/>
              </w:rPr>
            </w:pPr>
            <w:r>
              <w:rPr>
                <w:kern w:val="0"/>
                <w:szCs w:val="21"/>
                <w:lang w:bidi="ar"/>
              </w:rPr>
              <w:t>0.03</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140E435A">
            <w:pPr>
              <w:widowControl/>
              <w:jc w:val="center"/>
              <w:textAlignment w:val="center"/>
              <w:rPr>
                <w:szCs w:val="21"/>
              </w:rPr>
            </w:pPr>
            <w:r>
              <w:rPr>
                <w:kern w:val="0"/>
                <w:szCs w:val="21"/>
                <w:lang w:bidi="ar"/>
              </w:rPr>
              <w:t>0.002047</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68DD54C4">
            <w:pPr>
              <w:widowControl/>
              <w:jc w:val="center"/>
              <w:textAlignment w:val="center"/>
              <w:rPr>
                <w:szCs w:val="21"/>
              </w:rPr>
            </w:pPr>
            <w:r>
              <w:rPr>
                <w:kern w:val="0"/>
                <w:szCs w:val="21"/>
                <w:lang w:bidi="ar"/>
              </w:rPr>
              <w:t>0.02</w:t>
            </w:r>
          </w:p>
        </w:tc>
      </w:tr>
      <w:tr w14:paraId="206B550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B18468A">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1AAA373">
            <w:pPr>
              <w:widowControl/>
              <w:jc w:val="center"/>
              <w:textAlignment w:val="center"/>
              <w:rPr>
                <w:szCs w:val="21"/>
              </w:rPr>
            </w:pPr>
            <w:r>
              <w:rPr>
                <w:kern w:val="0"/>
                <w:szCs w:val="21"/>
                <w:lang w:bidi="ar"/>
              </w:rPr>
              <w:t>0.056931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B48EF07">
            <w:pPr>
              <w:widowControl/>
              <w:jc w:val="center"/>
              <w:textAlignment w:val="center"/>
              <w:rPr>
                <w:szCs w:val="21"/>
              </w:rPr>
            </w:pPr>
            <w:r>
              <w:rPr>
                <w:kern w:val="0"/>
                <w:szCs w:val="21"/>
                <w:lang w:bidi="ar"/>
              </w:rPr>
              <w:t>0.03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709B80A">
            <w:pPr>
              <w:widowControl/>
              <w:jc w:val="center"/>
              <w:textAlignment w:val="center"/>
              <w:rPr>
                <w:szCs w:val="21"/>
              </w:rPr>
            </w:pPr>
            <w:r>
              <w:rPr>
                <w:kern w:val="0"/>
                <w:szCs w:val="21"/>
                <w:lang w:bidi="ar"/>
              </w:rPr>
              <w:t>0.002135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A8DC294">
            <w:pPr>
              <w:widowControl/>
              <w:jc w:val="center"/>
              <w:textAlignment w:val="center"/>
              <w:rPr>
                <w:szCs w:val="21"/>
              </w:rPr>
            </w:pPr>
            <w:r>
              <w:rPr>
                <w:kern w:val="0"/>
                <w:szCs w:val="21"/>
                <w:lang w:bidi="ar"/>
              </w:rPr>
              <w:t>0.02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50543EC">
            <w:pPr>
              <w:widowControl/>
              <w:jc w:val="center"/>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566F2C9">
            <w:pPr>
              <w:widowControl/>
              <w:jc w:val="center"/>
              <w:textAlignment w:val="center"/>
              <w:rPr>
                <w:szCs w:val="21"/>
              </w:rPr>
            </w:pPr>
            <w:r>
              <w:rPr>
                <w:kern w:val="0"/>
                <w:szCs w:val="21"/>
                <w:lang w:bidi="ar"/>
              </w:rPr>
              <w:t>0.12813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79050A3">
            <w:pPr>
              <w:widowControl/>
              <w:jc w:val="center"/>
              <w:textAlignment w:val="center"/>
              <w:rPr>
                <w:szCs w:val="21"/>
              </w:rPr>
            </w:pPr>
            <w:r>
              <w:rPr>
                <w:kern w:val="0"/>
                <w:szCs w:val="21"/>
                <w:lang w:bidi="ar"/>
              </w:rPr>
              <w:t>0.06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F634DDE">
            <w:pPr>
              <w:widowControl/>
              <w:jc w:val="center"/>
              <w:textAlignment w:val="center"/>
              <w:rPr>
                <w:szCs w:val="21"/>
              </w:rPr>
            </w:pPr>
            <w:r>
              <w:rPr>
                <w:kern w:val="0"/>
                <w:szCs w:val="21"/>
                <w:lang w:bidi="ar"/>
              </w:rPr>
              <w:t>0.004983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5ECC106">
            <w:pPr>
              <w:widowControl/>
              <w:jc w:val="center"/>
              <w:textAlignment w:val="center"/>
              <w:rPr>
                <w:szCs w:val="21"/>
              </w:rPr>
            </w:pPr>
            <w:r>
              <w:rPr>
                <w:kern w:val="0"/>
                <w:szCs w:val="21"/>
                <w:lang w:bidi="ar"/>
              </w:rPr>
              <w:t>0.05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5688C3B">
            <w:pPr>
              <w:widowControl/>
              <w:jc w:val="center"/>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F291BF2">
            <w:pPr>
              <w:widowControl/>
              <w:jc w:val="center"/>
              <w:textAlignment w:val="center"/>
              <w:rPr>
                <w:szCs w:val="21"/>
              </w:rPr>
            </w:pPr>
            <w:r>
              <w:rPr>
                <w:kern w:val="0"/>
                <w:szCs w:val="21"/>
                <w:lang w:bidi="ar"/>
              </w:rPr>
              <w:t>0.049839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3166ADE">
            <w:pPr>
              <w:widowControl/>
              <w:jc w:val="center"/>
              <w:textAlignment w:val="center"/>
              <w:rPr>
                <w:szCs w:val="21"/>
              </w:rPr>
            </w:pPr>
            <w:r>
              <w:rPr>
                <w:kern w:val="0"/>
                <w:szCs w:val="21"/>
                <w:lang w:bidi="ar"/>
              </w:rPr>
              <w:t>0.02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50556DAC">
            <w:pPr>
              <w:widowControl/>
              <w:jc w:val="center"/>
              <w:textAlignment w:val="center"/>
              <w:rPr>
                <w:szCs w:val="21"/>
              </w:rPr>
            </w:pPr>
            <w:r>
              <w:rPr>
                <w:kern w:val="0"/>
                <w:szCs w:val="21"/>
                <w:lang w:bidi="ar"/>
              </w:rPr>
              <w:t>0.00178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F953D7D">
            <w:pPr>
              <w:widowControl/>
              <w:jc w:val="center"/>
              <w:textAlignment w:val="center"/>
              <w:rPr>
                <w:szCs w:val="21"/>
              </w:rPr>
            </w:pPr>
            <w:r>
              <w:rPr>
                <w:kern w:val="0"/>
                <w:szCs w:val="21"/>
                <w:lang w:bidi="ar"/>
              </w:rPr>
              <w:t>0.02</w:t>
            </w:r>
          </w:p>
        </w:tc>
      </w:tr>
      <w:tr w14:paraId="645F7A5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89D06B5">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E51DAE8">
            <w:pPr>
              <w:widowControl/>
              <w:jc w:val="center"/>
              <w:textAlignment w:val="center"/>
              <w:rPr>
                <w:szCs w:val="21"/>
              </w:rPr>
            </w:pPr>
            <w:r>
              <w:rPr>
                <w:kern w:val="0"/>
                <w:szCs w:val="21"/>
                <w:lang w:bidi="ar"/>
              </w:rPr>
              <w:t>0.050269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E84370F">
            <w:pPr>
              <w:widowControl/>
              <w:jc w:val="center"/>
              <w:textAlignment w:val="center"/>
              <w:rPr>
                <w:szCs w:val="21"/>
              </w:rPr>
            </w:pPr>
            <w:r>
              <w:rPr>
                <w:kern w:val="0"/>
                <w:szCs w:val="21"/>
                <w:lang w:bidi="ar"/>
              </w:rPr>
              <w:t>0.03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858B184">
            <w:pPr>
              <w:widowControl/>
              <w:jc w:val="center"/>
              <w:textAlignment w:val="center"/>
              <w:rPr>
                <w:szCs w:val="21"/>
              </w:rPr>
            </w:pPr>
            <w:r>
              <w:rPr>
                <w:kern w:val="0"/>
                <w:szCs w:val="21"/>
                <w:lang w:bidi="ar"/>
              </w:rPr>
              <w:t>0.001885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883953E">
            <w:pPr>
              <w:widowControl/>
              <w:jc w:val="center"/>
              <w:textAlignment w:val="center"/>
              <w:rPr>
                <w:szCs w:val="21"/>
              </w:rPr>
            </w:pPr>
            <w:r>
              <w:rPr>
                <w:kern w:val="0"/>
                <w:szCs w:val="21"/>
                <w:lang w:bidi="ar"/>
              </w:rPr>
              <w:t>0.02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99A61EE">
            <w:pPr>
              <w:widowControl/>
              <w:jc w:val="center"/>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D262C70">
            <w:pPr>
              <w:widowControl/>
              <w:jc w:val="center"/>
              <w:textAlignment w:val="center"/>
              <w:rPr>
                <w:szCs w:val="21"/>
              </w:rPr>
            </w:pPr>
            <w:r>
              <w:rPr>
                <w:kern w:val="0"/>
                <w:szCs w:val="21"/>
                <w:lang w:bidi="ar"/>
              </w:rPr>
              <w:t>0.11314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261F316">
            <w:pPr>
              <w:widowControl/>
              <w:jc w:val="center"/>
              <w:textAlignment w:val="center"/>
              <w:rPr>
                <w:szCs w:val="21"/>
              </w:rPr>
            </w:pPr>
            <w:r>
              <w:rPr>
                <w:kern w:val="0"/>
                <w:szCs w:val="21"/>
                <w:lang w:bidi="ar"/>
              </w:rPr>
              <w:t>0.06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BCC75CB">
            <w:pPr>
              <w:widowControl/>
              <w:jc w:val="center"/>
              <w:textAlignment w:val="center"/>
              <w:rPr>
                <w:szCs w:val="21"/>
              </w:rPr>
            </w:pPr>
            <w:r>
              <w:rPr>
                <w:kern w:val="0"/>
                <w:szCs w:val="21"/>
                <w:lang w:bidi="ar"/>
              </w:rPr>
              <w:t>0.0044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4B43F17">
            <w:pPr>
              <w:widowControl/>
              <w:jc w:val="center"/>
              <w:textAlignment w:val="center"/>
              <w:rPr>
                <w:szCs w:val="21"/>
              </w:rPr>
            </w:pPr>
            <w:r>
              <w:rPr>
                <w:kern w:val="0"/>
                <w:szCs w:val="21"/>
                <w:lang w:bidi="ar"/>
              </w:rPr>
              <w:t>0.04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67CB8341">
            <w:pPr>
              <w:widowControl/>
              <w:jc w:val="center"/>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3AA1432">
            <w:pPr>
              <w:widowControl/>
              <w:jc w:val="center"/>
              <w:textAlignment w:val="center"/>
              <w:rPr>
                <w:szCs w:val="21"/>
              </w:rPr>
            </w:pPr>
            <w:r>
              <w:rPr>
                <w:kern w:val="0"/>
                <w:szCs w:val="21"/>
                <w:lang w:bidi="ar"/>
              </w:rPr>
              <w:t>0.044007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A444F6C">
            <w:pPr>
              <w:widowControl/>
              <w:jc w:val="center"/>
              <w:textAlignment w:val="center"/>
              <w:rPr>
                <w:szCs w:val="21"/>
              </w:rPr>
            </w:pPr>
            <w:r>
              <w:rPr>
                <w:kern w:val="0"/>
                <w:szCs w:val="21"/>
                <w:lang w:bidi="ar"/>
              </w:rPr>
              <w:t>0.02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9686303">
            <w:pPr>
              <w:widowControl/>
              <w:jc w:val="center"/>
              <w:textAlignment w:val="center"/>
              <w:rPr>
                <w:szCs w:val="21"/>
              </w:rPr>
            </w:pPr>
            <w:r>
              <w:rPr>
                <w:kern w:val="0"/>
                <w:szCs w:val="21"/>
                <w:lang w:bidi="ar"/>
              </w:rPr>
              <w:t>0.001572</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491DB905">
            <w:pPr>
              <w:widowControl/>
              <w:jc w:val="center"/>
              <w:textAlignment w:val="center"/>
              <w:rPr>
                <w:szCs w:val="21"/>
              </w:rPr>
            </w:pPr>
            <w:r>
              <w:rPr>
                <w:kern w:val="0"/>
                <w:szCs w:val="21"/>
                <w:lang w:bidi="ar"/>
              </w:rPr>
              <w:t>0.02</w:t>
            </w:r>
          </w:p>
        </w:tc>
      </w:tr>
      <w:tr w14:paraId="1458307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4ADEA4C">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6B329AC">
            <w:pPr>
              <w:widowControl/>
              <w:jc w:val="center"/>
              <w:textAlignment w:val="center"/>
              <w:rPr>
                <w:szCs w:val="21"/>
              </w:rPr>
            </w:pPr>
            <w:r>
              <w:rPr>
                <w:kern w:val="0"/>
                <w:szCs w:val="21"/>
                <w:lang w:bidi="ar"/>
              </w:rPr>
              <w:t>0.045082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5F470D0">
            <w:pPr>
              <w:widowControl/>
              <w:jc w:val="center"/>
              <w:textAlignment w:val="center"/>
              <w:rPr>
                <w:szCs w:val="21"/>
              </w:rPr>
            </w:pPr>
            <w:r>
              <w:rPr>
                <w:kern w:val="0"/>
                <w:szCs w:val="21"/>
                <w:lang w:bidi="ar"/>
              </w:rPr>
              <w:t>0.02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5BD35ED">
            <w:pPr>
              <w:widowControl/>
              <w:jc w:val="center"/>
              <w:textAlignment w:val="center"/>
              <w:rPr>
                <w:szCs w:val="21"/>
              </w:rPr>
            </w:pPr>
            <w:r>
              <w:rPr>
                <w:kern w:val="0"/>
                <w:szCs w:val="21"/>
                <w:lang w:bidi="ar"/>
              </w:rPr>
              <w:t>0.001691</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74542F0">
            <w:pPr>
              <w:widowControl/>
              <w:jc w:val="center"/>
              <w:textAlignment w:val="center"/>
              <w:rPr>
                <w:szCs w:val="21"/>
              </w:rPr>
            </w:pPr>
            <w:r>
              <w:rPr>
                <w:kern w:val="0"/>
                <w:szCs w:val="21"/>
                <w:lang w:bidi="ar"/>
              </w:rPr>
              <w:t>0.02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2EC81A3">
            <w:pPr>
              <w:widowControl/>
              <w:jc w:val="center"/>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E5A2E97">
            <w:pPr>
              <w:widowControl/>
              <w:jc w:val="center"/>
              <w:textAlignment w:val="center"/>
              <w:rPr>
                <w:szCs w:val="21"/>
              </w:rPr>
            </w:pPr>
            <w:r>
              <w:rPr>
                <w:kern w:val="0"/>
                <w:szCs w:val="21"/>
                <w:lang w:bidi="ar"/>
              </w:rPr>
              <w:t>0.10146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4CF6110">
            <w:pPr>
              <w:widowControl/>
              <w:jc w:val="center"/>
              <w:textAlignment w:val="center"/>
              <w:rPr>
                <w:szCs w:val="21"/>
              </w:rPr>
            </w:pPr>
            <w:r>
              <w:rPr>
                <w:kern w:val="0"/>
                <w:szCs w:val="21"/>
                <w:lang w:bidi="ar"/>
              </w:rPr>
              <w:t>0.05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D6C1C51">
            <w:pPr>
              <w:widowControl/>
              <w:jc w:val="center"/>
              <w:textAlignment w:val="center"/>
              <w:rPr>
                <w:szCs w:val="21"/>
              </w:rPr>
            </w:pPr>
            <w:r>
              <w:rPr>
                <w:kern w:val="0"/>
                <w:szCs w:val="21"/>
                <w:lang w:bidi="ar"/>
              </w:rPr>
              <w:t>0.003946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B3D3468">
            <w:pPr>
              <w:widowControl/>
              <w:jc w:val="center"/>
              <w:textAlignment w:val="center"/>
              <w:rPr>
                <w:szCs w:val="21"/>
              </w:rPr>
            </w:pPr>
            <w:r>
              <w:rPr>
                <w:kern w:val="0"/>
                <w:szCs w:val="21"/>
                <w:lang w:bidi="ar"/>
              </w:rPr>
              <w:t>0.04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1F54161">
            <w:pPr>
              <w:widowControl/>
              <w:jc w:val="center"/>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75F74D9">
            <w:pPr>
              <w:widowControl/>
              <w:jc w:val="center"/>
              <w:textAlignment w:val="center"/>
              <w:rPr>
                <w:szCs w:val="21"/>
              </w:rPr>
            </w:pPr>
            <w:r>
              <w:rPr>
                <w:kern w:val="0"/>
                <w:szCs w:val="21"/>
                <w:lang w:bidi="ar"/>
              </w:rPr>
              <w:t>0.039465</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9CF9580">
            <w:pPr>
              <w:widowControl/>
              <w:jc w:val="center"/>
              <w:textAlignment w:val="center"/>
              <w:rPr>
                <w:szCs w:val="21"/>
              </w:rPr>
            </w:pPr>
            <w:r>
              <w:rPr>
                <w:kern w:val="0"/>
                <w:szCs w:val="21"/>
                <w:lang w:bidi="ar"/>
              </w:rPr>
              <w:t>0.02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372B9B57">
            <w:pPr>
              <w:widowControl/>
              <w:jc w:val="center"/>
              <w:textAlignment w:val="center"/>
              <w:rPr>
                <w:szCs w:val="21"/>
              </w:rPr>
            </w:pPr>
            <w:r>
              <w:rPr>
                <w:kern w:val="0"/>
                <w:szCs w:val="21"/>
                <w:lang w:bidi="ar"/>
              </w:rPr>
              <w:t>0.001409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2AAEE74">
            <w:pPr>
              <w:widowControl/>
              <w:jc w:val="center"/>
              <w:textAlignment w:val="center"/>
              <w:rPr>
                <w:szCs w:val="21"/>
              </w:rPr>
            </w:pPr>
            <w:r>
              <w:rPr>
                <w:kern w:val="0"/>
                <w:szCs w:val="21"/>
                <w:lang w:bidi="ar"/>
              </w:rPr>
              <w:t>0.01</w:t>
            </w:r>
          </w:p>
        </w:tc>
      </w:tr>
      <w:tr w14:paraId="5C94F8A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77E9ECE">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FE92555">
            <w:pPr>
              <w:widowControl/>
              <w:jc w:val="center"/>
              <w:textAlignment w:val="center"/>
              <w:rPr>
                <w:szCs w:val="21"/>
              </w:rPr>
            </w:pPr>
            <w:r>
              <w:rPr>
                <w:kern w:val="0"/>
                <w:szCs w:val="21"/>
                <w:lang w:bidi="ar"/>
              </w:rPr>
              <w:t>0.041025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11AC134">
            <w:pPr>
              <w:widowControl/>
              <w:jc w:val="center"/>
              <w:textAlignment w:val="center"/>
              <w:rPr>
                <w:szCs w:val="21"/>
              </w:rPr>
            </w:pPr>
            <w:r>
              <w:rPr>
                <w:kern w:val="0"/>
                <w:szCs w:val="21"/>
                <w:lang w:bidi="ar"/>
              </w:rPr>
              <w:t>0.02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27AA121">
            <w:pPr>
              <w:widowControl/>
              <w:jc w:val="center"/>
              <w:textAlignment w:val="center"/>
              <w:rPr>
                <w:szCs w:val="21"/>
              </w:rPr>
            </w:pPr>
            <w:r>
              <w:rPr>
                <w:kern w:val="0"/>
                <w:szCs w:val="21"/>
                <w:lang w:bidi="ar"/>
              </w:rPr>
              <w:t>0.001538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522441F">
            <w:pPr>
              <w:widowControl/>
              <w:jc w:val="center"/>
              <w:textAlignment w:val="center"/>
              <w:rPr>
                <w:szCs w:val="21"/>
              </w:rPr>
            </w:pPr>
            <w:r>
              <w:rPr>
                <w:kern w:val="0"/>
                <w:szCs w:val="21"/>
                <w:lang w:bidi="ar"/>
              </w:rPr>
              <w:t>0.02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E553BA0">
            <w:pPr>
              <w:widowControl/>
              <w:jc w:val="center"/>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18AC23">
            <w:pPr>
              <w:widowControl/>
              <w:jc w:val="center"/>
              <w:textAlignment w:val="center"/>
              <w:rPr>
                <w:szCs w:val="21"/>
              </w:rPr>
            </w:pPr>
            <w:r>
              <w:rPr>
                <w:kern w:val="0"/>
                <w:szCs w:val="21"/>
                <w:lang w:bidi="ar"/>
              </w:rPr>
              <w:t>0.092332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4495D01">
            <w:pPr>
              <w:widowControl/>
              <w:jc w:val="center"/>
              <w:textAlignment w:val="center"/>
              <w:rPr>
                <w:szCs w:val="21"/>
              </w:rPr>
            </w:pPr>
            <w:r>
              <w:rPr>
                <w:kern w:val="0"/>
                <w:szCs w:val="21"/>
                <w:lang w:bidi="ar"/>
              </w:rPr>
              <w:t>0.05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BBCA1F8">
            <w:pPr>
              <w:widowControl/>
              <w:jc w:val="center"/>
              <w:textAlignment w:val="center"/>
              <w:rPr>
                <w:szCs w:val="21"/>
              </w:rPr>
            </w:pPr>
            <w:r>
              <w:rPr>
                <w:kern w:val="0"/>
                <w:szCs w:val="21"/>
                <w:lang w:bidi="ar"/>
              </w:rPr>
              <w:t>0.003591</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AD1E000">
            <w:pPr>
              <w:widowControl/>
              <w:jc w:val="center"/>
              <w:textAlignment w:val="center"/>
              <w:rPr>
                <w:szCs w:val="21"/>
              </w:rPr>
            </w:pPr>
            <w:r>
              <w:rPr>
                <w:kern w:val="0"/>
                <w:szCs w:val="21"/>
                <w:lang w:bidi="ar"/>
              </w:rPr>
              <w:t>0.04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CB0FB06">
            <w:pPr>
              <w:widowControl/>
              <w:jc w:val="center"/>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9AABE54">
            <w:pPr>
              <w:widowControl/>
              <w:jc w:val="center"/>
              <w:textAlignment w:val="center"/>
              <w:rPr>
                <w:szCs w:val="21"/>
              </w:rPr>
            </w:pPr>
            <w:r>
              <w:rPr>
                <w:kern w:val="0"/>
                <w:szCs w:val="21"/>
                <w:lang w:bidi="ar"/>
              </w:rPr>
              <w:t>0.035914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D89B4AD">
            <w:pPr>
              <w:widowControl/>
              <w:jc w:val="center"/>
              <w:textAlignment w:val="center"/>
              <w:rPr>
                <w:szCs w:val="21"/>
              </w:rPr>
            </w:pPr>
            <w:r>
              <w:rPr>
                <w:kern w:val="0"/>
                <w:szCs w:val="21"/>
                <w:lang w:bidi="ar"/>
              </w:rPr>
              <w:t>0.02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41907111">
            <w:pPr>
              <w:widowControl/>
              <w:jc w:val="center"/>
              <w:textAlignment w:val="center"/>
              <w:rPr>
                <w:szCs w:val="21"/>
              </w:rPr>
            </w:pPr>
            <w:r>
              <w:rPr>
                <w:kern w:val="0"/>
                <w:szCs w:val="21"/>
                <w:lang w:bidi="ar"/>
              </w:rPr>
              <w:t>0.001283</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1C325821">
            <w:pPr>
              <w:widowControl/>
              <w:jc w:val="center"/>
              <w:textAlignment w:val="center"/>
              <w:rPr>
                <w:szCs w:val="21"/>
              </w:rPr>
            </w:pPr>
            <w:r>
              <w:rPr>
                <w:kern w:val="0"/>
                <w:szCs w:val="21"/>
                <w:lang w:bidi="ar"/>
              </w:rPr>
              <w:t>0.01</w:t>
            </w:r>
          </w:p>
        </w:tc>
      </w:tr>
      <w:tr w14:paraId="405791A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D621A0B">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9B5E314">
            <w:pPr>
              <w:widowControl/>
              <w:jc w:val="center"/>
              <w:textAlignment w:val="center"/>
              <w:rPr>
                <w:szCs w:val="21"/>
              </w:rPr>
            </w:pPr>
            <w:r>
              <w:rPr>
                <w:kern w:val="0"/>
                <w:szCs w:val="21"/>
                <w:lang w:bidi="ar"/>
              </w:rPr>
              <w:t>0.037682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AC9A9FC">
            <w:pPr>
              <w:widowControl/>
              <w:jc w:val="center"/>
              <w:textAlignment w:val="center"/>
              <w:rPr>
                <w:szCs w:val="21"/>
              </w:rPr>
            </w:pPr>
            <w:r>
              <w:rPr>
                <w:kern w:val="0"/>
                <w:szCs w:val="21"/>
                <w:lang w:bidi="ar"/>
              </w:rPr>
              <w:t>0.02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57C5868">
            <w:pPr>
              <w:widowControl/>
              <w:jc w:val="center"/>
              <w:textAlignment w:val="center"/>
              <w:rPr>
                <w:szCs w:val="21"/>
              </w:rPr>
            </w:pPr>
            <w:r>
              <w:rPr>
                <w:kern w:val="0"/>
                <w:szCs w:val="21"/>
                <w:lang w:bidi="ar"/>
              </w:rPr>
              <w:t>0.001413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49B9666">
            <w:pPr>
              <w:widowControl/>
              <w:jc w:val="center"/>
              <w:textAlignment w:val="center"/>
              <w:rPr>
                <w:szCs w:val="21"/>
              </w:rPr>
            </w:pPr>
            <w:r>
              <w:rPr>
                <w:kern w:val="0"/>
                <w:szCs w:val="21"/>
                <w:lang w:bidi="ar"/>
              </w:rPr>
              <w:t>0.01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150A3DA">
            <w:pPr>
              <w:widowControl/>
              <w:jc w:val="center"/>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60E85C3">
            <w:pPr>
              <w:widowControl/>
              <w:jc w:val="center"/>
              <w:textAlignment w:val="center"/>
              <w:rPr>
                <w:szCs w:val="21"/>
              </w:rPr>
            </w:pPr>
            <w:r>
              <w:rPr>
                <w:kern w:val="0"/>
                <w:szCs w:val="21"/>
                <w:lang w:bidi="ar"/>
              </w:rPr>
              <w:t>0.084808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ADC81DC">
            <w:pPr>
              <w:widowControl/>
              <w:jc w:val="center"/>
              <w:textAlignment w:val="center"/>
              <w:rPr>
                <w:szCs w:val="21"/>
              </w:rPr>
            </w:pPr>
            <w:r>
              <w:rPr>
                <w:kern w:val="0"/>
                <w:szCs w:val="21"/>
                <w:lang w:bidi="ar"/>
              </w:rPr>
              <w:t>0.04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CD60FC7">
            <w:pPr>
              <w:widowControl/>
              <w:jc w:val="center"/>
              <w:textAlignment w:val="center"/>
              <w:rPr>
                <w:szCs w:val="21"/>
              </w:rPr>
            </w:pPr>
            <w:r>
              <w:rPr>
                <w:kern w:val="0"/>
                <w:szCs w:val="21"/>
                <w:lang w:bidi="ar"/>
              </w:rPr>
              <w:t>0.003298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CA1AD78">
            <w:pPr>
              <w:widowControl/>
              <w:jc w:val="center"/>
              <w:textAlignment w:val="center"/>
              <w:rPr>
                <w:szCs w:val="21"/>
              </w:rPr>
            </w:pPr>
            <w:r>
              <w:rPr>
                <w:kern w:val="0"/>
                <w:szCs w:val="21"/>
                <w:lang w:bidi="ar"/>
              </w:rPr>
              <w:t>0.03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675B84D">
            <w:pPr>
              <w:widowControl/>
              <w:jc w:val="center"/>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3602823">
            <w:pPr>
              <w:widowControl/>
              <w:jc w:val="center"/>
              <w:textAlignment w:val="center"/>
              <w:rPr>
                <w:szCs w:val="21"/>
              </w:rPr>
            </w:pPr>
            <w:r>
              <w:rPr>
                <w:kern w:val="0"/>
                <w:szCs w:val="21"/>
                <w:lang w:bidi="ar"/>
              </w:rPr>
              <w:t>0.032987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391EE4A">
            <w:pPr>
              <w:widowControl/>
              <w:jc w:val="center"/>
              <w:textAlignment w:val="center"/>
              <w:rPr>
                <w:szCs w:val="21"/>
              </w:rPr>
            </w:pPr>
            <w:r>
              <w:rPr>
                <w:kern w:val="0"/>
                <w:szCs w:val="21"/>
                <w:lang w:bidi="ar"/>
              </w:rPr>
              <w:t>0.02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7E328ED8">
            <w:pPr>
              <w:widowControl/>
              <w:jc w:val="center"/>
              <w:textAlignment w:val="center"/>
              <w:rPr>
                <w:szCs w:val="21"/>
              </w:rPr>
            </w:pPr>
            <w:r>
              <w:rPr>
                <w:kern w:val="0"/>
                <w:szCs w:val="21"/>
                <w:lang w:bidi="ar"/>
              </w:rPr>
              <w:t>0.001178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A60B207">
            <w:pPr>
              <w:widowControl/>
              <w:jc w:val="center"/>
              <w:textAlignment w:val="center"/>
              <w:rPr>
                <w:szCs w:val="21"/>
              </w:rPr>
            </w:pPr>
            <w:r>
              <w:rPr>
                <w:kern w:val="0"/>
                <w:szCs w:val="21"/>
                <w:lang w:bidi="ar"/>
              </w:rPr>
              <w:t>0.01</w:t>
            </w:r>
          </w:p>
        </w:tc>
      </w:tr>
      <w:tr w14:paraId="12C0E27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18144FF3">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95A7AD0">
            <w:pPr>
              <w:widowControl/>
              <w:jc w:val="center"/>
              <w:textAlignment w:val="center"/>
              <w:rPr>
                <w:szCs w:val="21"/>
              </w:rPr>
            </w:pPr>
            <w:r>
              <w:rPr>
                <w:kern w:val="0"/>
                <w:szCs w:val="21"/>
                <w:lang w:bidi="ar"/>
              </w:rPr>
              <w:t>0.034866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83B7256">
            <w:pPr>
              <w:widowControl/>
              <w:jc w:val="center"/>
              <w:textAlignment w:val="center"/>
              <w:rPr>
                <w:szCs w:val="21"/>
              </w:rPr>
            </w:pPr>
            <w:r>
              <w:rPr>
                <w:kern w:val="0"/>
                <w:szCs w:val="21"/>
                <w:lang w:bidi="ar"/>
              </w:rPr>
              <w:t>0.02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07665FE">
            <w:pPr>
              <w:widowControl/>
              <w:jc w:val="center"/>
              <w:textAlignment w:val="center"/>
              <w:rPr>
                <w:szCs w:val="21"/>
              </w:rPr>
            </w:pPr>
            <w:r>
              <w:rPr>
                <w:kern w:val="0"/>
                <w:szCs w:val="21"/>
                <w:lang w:bidi="ar"/>
              </w:rPr>
              <w:t>0.001307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3A67145F">
            <w:pPr>
              <w:widowControl/>
              <w:jc w:val="center"/>
              <w:textAlignment w:val="center"/>
              <w:rPr>
                <w:szCs w:val="21"/>
              </w:rPr>
            </w:pPr>
            <w:r>
              <w:rPr>
                <w:kern w:val="0"/>
                <w:szCs w:val="21"/>
                <w:lang w:bidi="ar"/>
              </w:rPr>
              <w:t>0.01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0C856F8">
            <w:pPr>
              <w:widowControl/>
              <w:jc w:val="center"/>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B2F4F4">
            <w:pPr>
              <w:widowControl/>
              <w:jc w:val="center"/>
              <w:textAlignment w:val="center"/>
              <w:rPr>
                <w:szCs w:val="21"/>
              </w:rPr>
            </w:pPr>
            <w:r>
              <w:rPr>
                <w:kern w:val="0"/>
                <w:szCs w:val="21"/>
                <w:lang w:bidi="ar"/>
              </w:rPr>
              <w:t>0.078472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ABC1C0E">
            <w:pPr>
              <w:widowControl/>
              <w:jc w:val="center"/>
              <w:textAlignment w:val="center"/>
              <w:rPr>
                <w:szCs w:val="21"/>
              </w:rPr>
            </w:pPr>
            <w:r>
              <w:rPr>
                <w:kern w:val="0"/>
                <w:szCs w:val="21"/>
                <w:lang w:bidi="ar"/>
              </w:rPr>
              <w:t>0.04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7480C9C">
            <w:pPr>
              <w:widowControl/>
              <w:jc w:val="center"/>
              <w:textAlignment w:val="center"/>
              <w:rPr>
                <w:szCs w:val="21"/>
              </w:rPr>
            </w:pPr>
            <w:r>
              <w:rPr>
                <w:kern w:val="0"/>
                <w:szCs w:val="21"/>
                <w:lang w:bidi="ar"/>
              </w:rPr>
              <w:t>0.003052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A1BD513">
            <w:pPr>
              <w:widowControl/>
              <w:jc w:val="center"/>
              <w:textAlignment w:val="center"/>
              <w:rPr>
                <w:szCs w:val="21"/>
              </w:rPr>
            </w:pPr>
            <w:r>
              <w:rPr>
                <w:kern w:val="0"/>
                <w:szCs w:val="21"/>
                <w:lang w:bidi="ar"/>
              </w:rPr>
              <w:t>0.03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759961B">
            <w:pPr>
              <w:widowControl/>
              <w:jc w:val="center"/>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415FAC4">
            <w:pPr>
              <w:widowControl/>
              <w:jc w:val="center"/>
              <w:textAlignment w:val="center"/>
              <w:rPr>
                <w:szCs w:val="21"/>
              </w:rPr>
            </w:pPr>
            <w:r>
              <w:rPr>
                <w:kern w:val="0"/>
                <w:szCs w:val="21"/>
                <w:lang w:bidi="ar"/>
              </w:rPr>
              <w:t>0.030523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E31762C">
            <w:pPr>
              <w:widowControl/>
              <w:jc w:val="center"/>
              <w:textAlignment w:val="center"/>
              <w:rPr>
                <w:szCs w:val="21"/>
              </w:rPr>
            </w:pPr>
            <w:r>
              <w:rPr>
                <w:kern w:val="0"/>
                <w:szCs w:val="21"/>
                <w:lang w:bidi="ar"/>
              </w:rPr>
              <w:t>0.02</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2B0D7B3D">
            <w:pPr>
              <w:widowControl/>
              <w:jc w:val="center"/>
              <w:textAlignment w:val="center"/>
              <w:rPr>
                <w:szCs w:val="21"/>
              </w:rPr>
            </w:pPr>
            <w:r>
              <w:rPr>
                <w:kern w:val="0"/>
                <w:szCs w:val="21"/>
                <w:lang w:bidi="ar"/>
              </w:rPr>
              <w:t>0.00109</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32CDC3F">
            <w:pPr>
              <w:widowControl/>
              <w:jc w:val="center"/>
              <w:textAlignment w:val="center"/>
              <w:rPr>
                <w:szCs w:val="21"/>
              </w:rPr>
            </w:pPr>
            <w:r>
              <w:rPr>
                <w:kern w:val="0"/>
                <w:szCs w:val="21"/>
                <w:lang w:bidi="ar"/>
              </w:rPr>
              <w:t>0.01</w:t>
            </w:r>
          </w:p>
        </w:tc>
      </w:tr>
      <w:tr w14:paraId="27D1C66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9DC53D2">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6D0E49F">
            <w:pPr>
              <w:widowControl/>
              <w:jc w:val="center"/>
              <w:textAlignment w:val="center"/>
              <w:rPr>
                <w:szCs w:val="21"/>
              </w:rPr>
            </w:pPr>
            <w:r>
              <w:rPr>
                <w:kern w:val="0"/>
                <w:szCs w:val="21"/>
                <w:lang w:bidi="ar"/>
              </w:rPr>
              <w:t>0.031276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D22450D">
            <w:pPr>
              <w:widowControl/>
              <w:jc w:val="center"/>
              <w:textAlignment w:val="center"/>
              <w:rPr>
                <w:szCs w:val="21"/>
              </w:rPr>
            </w:pPr>
            <w:r>
              <w:rPr>
                <w:kern w:val="0"/>
                <w:szCs w:val="21"/>
                <w:lang w:bidi="ar"/>
              </w:rPr>
              <w:t>0.02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3AA2ED8">
            <w:pPr>
              <w:widowControl/>
              <w:jc w:val="center"/>
              <w:textAlignment w:val="center"/>
              <w:rPr>
                <w:szCs w:val="21"/>
              </w:rPr>
            </w:pPr>
            <w:r>
              <w:rPr>
                <w:kern w:val="0"/>
                <w:szCs w:val="21"/>
                <w:lang w:bidi="ar"/>
              </w:rPr>
              <w:t>0.001173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7757F03">
            <w:pPr>
              <w:widowControl/>
              <w:jc w:val="center"/>
              <w:textAlignment w:val="center"/>
              <w:rPr>
                <w:szCs w:val="21"/>
              </w:rPr>
            </w:pPr>
            <w:r>
              <w:rPr>
                <w:kern w:val="0"/>
                <w:szCs w:val="21"/>
                <w:lang w:bidi="ar"/>
              </w:rPr>
              <w:t>0.01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6C5068A">
            <w:pPr>
              <w:widowControl/>
              <w:jc w:val="center"/>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A3C5928">
            <w:pPr>
              <w:widowControl/>
              <w:jc w:val="center"/>
              <w:textAlignment w:val="center"/>
              <w:rPr>
                <w:szCs w:val="21"/>
              </w:rPr>
            </w:pPr>
            <w:r>
              <w:rPr>
                <w:kern w:val="0"/>
                <w:szCs w:val="21"/>
                <w:lang w:bidi="ar"/>
              </w:rPr>
              <w:t>0.070393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86781E5">
            <w:pPr>
              <w:widowControl/>
              <w:jc w:val="center"/>
              <w:textAlignment w:val="center"/>
              <w:rPr>
                <w:szCs w:val="21"/>
              </w:rPr>
            </w:pPr>
            <w:r>
              <w:rPr>
                <w:kern w:val="0"/>
                <w:szCs w:val="21"/>
                <w:lang w:bidi="ar"/>
              </w:rPr>
              <w:t>0.04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81911D9">
            <w:pPr>
              <w:widowControl/>
              <w:jc w:val="center"/>
              <w:textAlignment w:val="center"/>
              <w:rPr>
                <w:szCs w:val="21"/>
              </w:rPr>
            </w:pPr>
            <w:r>
              <w:rPr>
                <w:kern w:val="0"/>
                <w:szCs w:val="21"/>
                <w:lang w:bidi="ar"/>
              </w:rPr>
              <w:t>0.002738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A52FBDE">
            <w:pPr>
              <w:widowControl/>
              <w:jc w:val="center"/>
              <w:textAlignment w:val="center"/>
              <w:rPr>
                <w:szCs w:val="21"/>
              </w:rPr>
            </w:pPr>
            <w:r>
              <w:rPr>
                <w:kern w:val="0"/>
                <w:szCs w:val="21"/>
                <w:lang w:bidi="ar"/>
              </w:rPr>
              <w:t>0.03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6AFD9C3">
            <w:pPr>
              <w:widowControl/>
              <w:jc w:val="center"/>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2B482FE">
            <w:pPr>
              <w:widowControl/>
              <w:jc w:val="center"/>
              <w:textAlignment w:val="center"/>
              <w:rPr>
                <w:szCs w:val="21"/>
              </w:rPr>
            </w:pPr>
            <w:r>
              <w:rPr>
                <w:kern w:val="0"/>
                <w:szCs w:val="21"/>
                <w:lang w:bidi="ar"/>
              </w:rPr>
              <w:t>0.027381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21D025C">
            <w:pPr>
              <w:widowControl/>
              <w:jc w:val="center"/>
              <w:textAlignment w:val="center"/>
              <w:rPr>
                <w:szCs w:val="21"/>
              </w:rPr>
            </w:pPr>
            <w:r>
              <w:rPr>
                <w:kern w:val="0"/>
                <w:szCs w:val="21"/>
                <w:lang w:bidi="ar"/>
              </w:rPr>
              <w:t>0.01</w:t>
            </w:r>
          </w:p>
        </w:tc>
        <w:tc>
          <w:tcPr>
            <w:tcW w:w="413" w:type="pct"/>
            <w:tcBorders>
              <w:top w:val="single" w:color="000000" w:sz="4" w:space="0"/>
              <w:left w:val="single" w:color="000000" w:sz="4" w:space="0"/>
              <w:bottom w:val="single" w:color="000000" w:sz="4" w:space="0"/>
              <w:right w:val="single" w:color="000000" w:sz="4" w:space="0"/>
            </w:tcBorders>
            <w:noWrap/>
            <w:vAlign w:val="center"/>
          </w:tcPr>
          <w:p w14:paraId="0E4570CC">
            <w:pPr>
              <w:widowControl/>
              <w:jc w:val="center"/>
              <w:textAlignment w:val="center"/>
              <w:rPr>
                <w:szCs w:val="21"/>
              </w:rPr>
            </w:pPr>
            <w:r>
              <w:rPr>
                <w:kern w:val="0"/>
                <w:szCs w:val="21"/>
                <w:lang w:bidi="ar"/>
              </w:rPr>
              <w:t>0.000978</w:t>
            </w:r>
          </w:p>
        </w:tc>
        <w:tc>
          <w:tcPr>
            <w:tcW w:w="245" w:type="pct"/>
            <w:tcBorders>
              <w:top w:val="single" w:color="000000" w:sz="4" w:space="0"/>
              <w:left w:val="single" w:color="000000" w:sz="4" w:space="0"/>
              <w:bottom w:val="single" w:color="000000" w:sz="4" w:space="0"/>
              <w:right w:val="single" w:color="000000" w:sz="4" w:space="0"/>
            </w:tcBorders>
            <w:noWrap/>
            <w:vAlign w:val="center"/>
          </w:tcPr>
          <w:p w14:paraId="38D13D17">
            <w:pPr>
              <w:widowControl/>
              <w:jc w:val="center"/>
              <w:textAlignment w:val="center"/>
              <w:rPr>
                <w:szCs w:val="21"/>
              </w:rPr>
            </w:pPr>
            <w:r>
              <w:rPr>
                <w:kern w:val="0"/>
                <w:szCs w:val="21"/>
                <w:lang w:bidi="ar"/>
              </w:rPr>
              <w:t>0.01</w:t>
            </w:r>
          </w:p>
        </w:tc>
      </w:tr>
      <w:tr w14:paraId="4330FC19">
        <w:tblPrEx>
          <w:tblCellMar>
            <w:top w:w="0" w:type="dxa"/>
            <w:left w:w="108" w:type="dxa"/>
            <w:bottom w:w="0" w:type="dxa"/>
            <w:right w:w="108" w:type="dxa"/>
          </w:tblCellMar>
        </w:tblPrEx>
        <w:trPr>
          <w:trHeight w:val="270" w:hRule="atLeast"/>
        </w:trPr>
        <w:tc>
          <w:tcPr>
            <w:tcW w:w="1715"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3E4BFC9">
            <w:pPr>
              <w:widowControl/>
              <w:jc w:val="center"/>
              <w:textAlignment w:val="center"/>
              <w:rPr>
                <w:b/>
                <w:bCs/>
                <w:szCs w:val="21"/>
              </w:rPr>
            </w:pPr>
            <w:r>
              <w:rPr>
                <w:b/>
                <w:bCs/>
                <w:kern w:val="0"/>
                <w:szCs w:val="21"/>
                <w:lang w:bidi="ar"/>
              </w:rPr>
              <w:t>旺鑫板块养殖区污水处理站</w:t>
            </w:r>
          </w:p>
        </w:tc>
        <w:tc>
          <w:tcPr>
            <w:tcW w:w="1669" w:type="pct"/>
            <w:gridSpan w:val="5"/>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7610CA4">
            <w:pPr>
              <w:widowControl/>
              <w:jc w:val="center"/>
              <w:textAlignment w:val="center"/>
              <w:rPr>
                <w:b/>
                <w:bCs/>
                <w:szCs w:val="21"/>
              </w:rPr>
            </w:pPr>
            <w:r>
              <w:rPr>
                <w:b/>
                <w:bCs/>
                <w:kern w:val="0"/>
                <w:szCs w:val="21"/>
                <w:lang w:bidi="ar"/>
              </w:rPr>
              <w:t>大河边养殖区污水处理站</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6D64FC2">
            <w:pPr>
              <w:widowControl/>
              <w:jc w:val="center"/>
              <w:textAlignment w:val="center"/>
              <w:rPr>
                <w:b/>
                <w:bCs/>
                <w:szCs w:val="21"/>
              </w:rPr>
            </w:pPr>
            <w:r>
              <w:rPr>
                <w:b/>
                <w:bCs/>
                <w:kern w:val="0"/>
                <w:szCs w:val="21"/>
                <w:lang w:bidi="ar"/>
              </w:rPr>
              <w:t>无害化处理车间排气筒</w:t>
            </w:r>
          </w:p>
        </w:tc>
        <w:tc>
          <w:tcPr>
            <w:tcW w:w="658" w:type="pct"/>
            <w:gridSpan w:val="2"/>
            <w:vMerge w:val="restart"/>
            <w:tcBorders>
              <w:top w:val="single" w:color="000000" w:sz="4" w:space="0"/>
              <w:left w:val="single" w:color="000000" w:sz="4" w:space="0"/>
              <w:bottom w:val="single" w:color="000000" w:sz="4" w:space="0"/>
              <w:right w:val="single" w:color="000000" w:sz="4" w:space="0"/>
            </w:tcBorders>
            <w:noWrap/>
            <w:vAlign w:val="center"/>
          </w:tcPr>
          <w:p w14:paraId="7D163D35">
            <w:pPr>
              <w:jc w:val="center"/>
              <w:rPr>
                <w:szCs w:val="21"/>
              </w:rPr>
            </w:pPr>
          </w:p>
        </w:tc>
      </w:tr>
      <w:tr w14:paraId="5297CD00">
        <w:tblPrEx>
          <w:tblCellMar>
            <w:top w:w="0" w:type="dxa"/>
            <w:left w:w="108" w:type="dxa"/>
            <w:bottom w:w="0" w:type="dxa"/>
            <w:right w:w="108" w:type="dxa"/>
          </w:tblCellMar>
        </w:tblPrEx>
        <w:trPr>
          <w:trHeight w:val="345" w:hRule="atLeast"/>
        </w:trPr>
        <w:tc>
          <w:tcPr>
            <w:tcW w:w="289" w:type="pct"/>
            <w:vMerge w:val="restart"/>
            <w:tcBorders>
              <w:top w:val="single" w:color="000000" w:sz="4" w:space="0"/>
              <w:left w:val="single" w:color="000000" w:sz="4" w:space="0"/>
              <w:right w:val="single" w:color="000000" w:sz="4" w:space="0"/>
            </w:tcBorders>
            <w:shd w:val="clear" w:color="auto" w:fill="D7D7D7"/>
            <w:noWrap/>
            <w:vAlign w:val="center"/>
          </w:tcPr>
          <w:p w14:paraId="213DEDCE">
            <w:pPr>
              <w:widowControl/>
              <w:jc w:val="center"/>
              <w:textAlignment w:val="center"/>
              <w:rPr>
                <w:b/>
                <w:bCs/>
                <w:szCs w:val="21"/>
              </w:rPr>
            </w:pPr>
            <w:r>
              <w:rPr>
                <w:b/>
                <w:bCs/>
                <w:kern w:val="0"/>
                <w:szCs w:val="21"/>
                <w:lang w:bidi="ar"/>
              </w:rPr>
              <w:t>距离（m）</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6301044">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70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D7DEFC2">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98" w:type="pct"/>
            <w:vMerge w:val="restart"/>
            <w:tcBorders>
              <w:top w:val="single" w:color="000000" w:sz="4" w:space="0"/>
              <w:left w:val="single" w:color="000000" w:sz="4" w:space="0"/>
              <w:right w:val="single" w:color="000000" w:sz="4" w:space="0"/>
            </w:tcBorders>
            <w:shd w:val="clear" w:color="auto" w:fill="D7D7D7"/>
            <w:noWrap/>
            <w:vAlign w:val="center"/>
          </w:tcPr>
          <w:p w14:paraId="0EE8A6B1">
            <w:pPr>
              <w:widowControl/>
              <w:jc w:val="center"/>
              <w:textAlignment w:val="center"/>
              <w:rPr>
                <w:b/>
                <w:bCs/>
                <w:szCs w:val="21"/>
              </w:rPr>
            </w:pPr>
            <w:r>
              <w:rPr>
                <w:b/>
                <w:bCs/>
                <w:kern w:val="0"/>
                <w:szCs w:val="21"/>
                <w:lang w:bidi="ar"/>
              </w:rPr>
              <w:t>距离（m）</w:t>
            </w:r>
          </w:p>
        </w:tc>
        <w:tc>
          <w:tcPr>
            <w:tcW w:w="678"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730D3AC">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92"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99FCE9D">
            <w:pPr>
              <w:widowControl/>
              <w:jc w:val="center"/>
              <w:textAlignment w:val="center"/>
              <w:rPr>
                <w:b/>
                <w:bCs/>
                <w:szCs w:val="21"/>
              </w:rPr>
            </w:pPr>
            <w:r>
              <w:rPr>
                <w:b/>
                <w:bCs/>
                <w:kern w:val="0"/>
                <w:szCs w:val="21"/>
                <w:lang w:bidi="ar"/>
              </w:rPr>
              <w:t>H</w:t>
            </w:r>
            <w:r>
              <w:rPr>
                <w:b/>
                <w:bCs/>
                <w:kern w:val="0"/>
                <w:szCs w:val="21"/>
                <w:vertAlign w:val="subscript"/>
                <w:lang w:bidi="ar"/>
              </w:rPr>
              <w:t>2</w:t>
            </w:r>
            <w:r>
              <w:rPr>
                <w:b/>
                <w:bCs/>
                <w:kern w:val="0"/>
                <w:szCs w:val="21"/>
                <w:lang w:bidi="ar"/>
              </w:rPr>
              <w:t>S</w:t>
            </w:r>
          </w:p>
        </w:tc>
        <w:tc>
          <w:tcPr>
            <w:tcW w:w="254" w:type="pct"/>
            <w:vMerge w:val="restart"/>
            <w:tcBorders>
              <w:top w:val="single" w:color="000000" w:sz="4" w:space="0"/>
              <w:left w:val="single" w:color="000000" w:sz="4" w:space="0"/>
              <w:right w:val="single" w:color="000000" w:sz="4" w:space="0"/>
            </w:tcBorders>
            <w:shd w:val="clear" w:color="auto" w:fill="D7D7D7"/>
            <w:noWrap/>
            <w:vAlign w:val="center"/>
          </w:tcPr>
          <w:p w14:paraId="3AB4373B">
            <w:pPr>
              <w:widowControl/>
              <w:jc w:val="center"/>
              <w:textAlignment w:val="center"/>
              <w:rPr>
                <w:b/>
                <w:bCs/>
                <w:szCs w:val="21"/>
              </w:rPr>
            </w:pPr>
            <w:r>
              <w:rPr>
                <w:b/>
                <w:bCs/>
                <w:kern w:val="0"/>
                <w:szCs w:val="21"/>
                <w:lang w:bidi="ar"/>
              </w:rPr>
              <w:t>距离（m）</w:t>
            </w:r>
          </w:p>
        </w:tc>
        <w:tc>
          <w:tcPr>
            <w:tcW w:w="701"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12FF66E">
            <w:pPr>
              <w:widowControl/>
              <w:jc w:val="center"/>
              <w:textAlignment w:val="center"/>
              <w:rPr>
                <w:b/>
                <w:bCs/>
                <w:szCs w:val="21"/>
              </w:rPr>
            </w:pPr>
            <w:r>
              <w:rPr>
                <w:b/>
                <w:bCs/>
                <w:kern w:val="0"/>
                <w:szCs w:val="21"/>
                <w:lang w:bidi="ar"/>
              </w:rPr>
              <w:t>NH</w:t>
            </w:r>
            <w:r>
              <w:rPr>
                <w:b/>
                <w:bCs/>
                <w:kern w:val="0"/>
                <w:szCs w:val="21"/>
                <w:vertAlign w:val="subscript"/>
                <w:lang w:bidi="ar"/>
              </w:rPr>
              <w:t>3</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EB40A53">
            <w:pPr>
              <w:jc w:val="center"/>
              <w:rPr>
                <w:szCs w:val="21"/>
              </w:rPr>
            </w:pPr>
          </w:p>
        </w:tc>
      </w:tr>
      <w:tr w14:paraId="1E1BC888">
        <w:tblPrEx>
          <w:tblCellMar>
            <w:top w:w="0" w:type="dxa"/>
            <w:left w:w="108" w:type="dxa"/>
            <w:bottom w:w="0" w:type="dxa"/>
            <w:right w:w="108" w:type="dxa"/>
          </w:tblCellMar>
        </w:tblPrEx>
        <w:trPr>
          <w:trHeight w:val="270" w:hRule="atLeast"/>
        </w:trPr>
        <w:tc>
          <w:tcPr>
            <w:tcW w:w="289" w:type="pct"/>
            <w:vMerge w:val="continue"/>
            <w:tcBorders>
              <w:left w:val="single" w:color="000000" w:sz="4" w:space="0"/>
              <w:right w:val="single" w:color="000000" w:sz="4" w:space="0"/>
            </w:tcBorders>
            <w:shd w:val="clear" w:color="auto" w:fill="D7D7D7"/>
            <w:noWrap/>
            <w:vAlign w:val="center"/>
          </w:tcPr>
          <w:p w14:paraId="4CA59FC5">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A274157">
            <w:pPr>
              <w:widowControl/>
              <w:jc w:val="center"/>
              <w:textAlignment w:val="center"/>
              <w:rPr>
                <w:b/>
                <w:bCs/>
                <w:szCs w:val="21"/>
              </w:rPr>
            </w:pPr>
            <w:r>
              <w:rPr>
                <w:b/>
                <w:bCs/>
                <w:kern w:val="0"/>
                <w:szCs w:val="21"/>
                <w:lang w:bidi="ar"/>
              </w:rPr>
              <w:t>预测小时浓度</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278C263">
            <w:pPr>
              <w:widowControl/>
              <w:jc w:val="center"/>
              <w:textAlignment w:val="center"/>
              <w:rPr>
                <w:b/>
                <w:bCs/>
                <w:szCs w:val="21"/>
              </w:rPr>
            </w:pPr>
            <w:r>
              <w:rPr>
                <w:b/>
                <w:bCs/>
                <w:kern w:val="0"/>
                <w:szCs w:val="21"/>
                <w:lang w:bidi="ar"/>
              </w:rPr>
              <w:t>占标率</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BC25152">
            <w:pPr>
              <w:widowControl/>
              <w:jc w:val="center"/>
              <w:textAlignment w:val="center"/>
              <w:rPr>
                <w:b/>
                <w:bCs/>
                <w:szCs w:val="21"/>
              </w:rPr>
            </w:pPr>
            <w:r>
              <w:rPr>
                <w:b/>
                <w:bCs/>
                <w:kern w:val="0"/>
                <w:szCs w:val="21"/>
                <w:lang w:bidi="ar"/>
              </w:rPr>
              <w:t>预测小时浓度</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FEE97FA">
            <w:pPr>
              <w:widowControl/>
              <w:jc w:val="center"/>
              <w:textAlignment w:val="center"/>
              <w:rPr>
                <w:b/>
                <w:bCs/>
                <w:szCs w:val="21"/>
              </w:rPr>
            </w:pPr>
            <w:r>
              <w:rPr>
                <w:b/>
                <w:bCs/>
                <w:kern w:val="0"/>
                <w:szCs w:val="21"/>
                <w:lang w:bidi="ar"/>
              </w:rPr>
              <w:t>占标率</w:t>
            </w:r>
          </w:p>
        </w:tc>
        <w:tc>
          <w:tcPr>
            <w:tcW w:w="298" w:type="pct"/>
            <w:vMerge w:val="continue"/>
            <w:tcBorders>
              <w:left w:val="single" w:color="000000" w:sz="4" w:space="0"/>
              <w:right w:val="single" w:color="000000" w:sz="4" w:space="0"/>
            </w:tcBorders>
            <w:shd w:val="clear" w:color="auto" w:fill="D7D7D7"/>
            <w:noWrap/>
            <w:vAlign w:val="center"/>
          </w:tcPr>
          <w:p w14:paraId="27F4B79E">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044DDB6">
            <w:pPr>
              <w:widowControl/>
              <w:jc w:val="center"/>
              <w:textAlignment w:val="center"/>
              <w:rPr>
                <w:b/>
                <w:bCs/>
                <w:szCs w:val="21"/>
              </w:rPr>
            </w:pPr>
            <w:r>
              <w:rPr>
                <w:b/>
                <w:bCs/>
                <w:kern w:val="0"/>
                <w:szCs w:val="21"/>
                <w:lang w:bidi="ar"/>
              </w:rPr>
              <w:t>预测小时浓度</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DADB11E">
            <w:pPr>
              <w:widowControl/>
              <w:jc w:val="center"/>
              <w:textAlignment w:val="center"/>
              <w:rPr>
                <w:b/>
                <w:bCs/>
                <w:szCs w:val="21"/>
              </w:rPr>
            </w:pPr>
            <w:r>
              <w:rPr>
                <w:b/>
                <w:bCs/>
                <w:kern w:val="0"/>
                <w:szCs w:val="21"/>
                <w:lang w:bidi="ar"/>
              </w:rPr>
              <w:t>占标率</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53BB482">
            <w:pPr>
              <w:widowControl/>
              <w:jc w:val="center"/>
              <w:textAlignment w:val="center"/>
              <w:rPr>
                <w:b/>
                <w:bCs/>
                <w:szCs w:val="21"/>
              </w:rPr>
            </w:pPr>
            <w:r>
              <w:rPr>
                <w:b/>
                <w:bCs/>
                <w:kern w:val="0"/>
                <w:szCs w:val="21"/>
                <w:lang w:bidi="ar"/>
              </w:rPr>
              <w:t>预测小时浓度</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9FDE93E">
            <w:pPr>
              <w:widowControl/>
              <w:jc w:val="center"/>
              <w:textAlignment w:val="center"/>
              <w:rPr>
                <w:b/>
                <w:bCs/>
                <w:szCs w:val="21"/>
              </w:rPr>
            </w:pPr>
            <w:r>
              <w:rPr>
                <w:b/>
                <w:bCs/>
                <w:kern w:val="0"/>
                <w:szCs w:val="21"/>
                <w:lang w:bidi="ar"/>
              </w:rPr>
              <w:t>占标率</w:t>
            </w:r>
          </w:p>
        </w:tc>
        <w:tc>
          <w:tcPr>
            <w:tcW w:w="254" w:type="pct"/>
            <w:vMerge w:val="continue"/>
            <w:tcBorders>
              <w:left w:val="single" w:color="000000" w:sz="4" w:space="0"/>
              <w:right w:val="single" w:color="000000" w:sz="4" w:space="0"/>
            </w:tcBorders>
            <w:shd w:val="clear" w:color="auto" w:fill="D7D7D7"/>
            <w:noWrap/>
            <w:vAlign w:val="center"/>
          </w:tcPr>
          <w:p w14:paraId="2AD234EB">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A04D235">
            <w:pPr>
              <w:widowControl/>
              <w:jc w:val="center"/>
              <w:textAlignment w:val="center"/>
              <w:rPr>
                <w:b/>
                <w:bCs/>
                <w:szCs w:val="21"/>
              </w:rPr>
            </w:pPr>
            <w:r>
              <w:rPr>
                <w:b/>
                <w:bCs/>
                <w:kern w:val="0"/>
                <w:szCs w:val="21"/>
                <w:lang w:bidi="ar"/>
              </w:rPr>
              <w:t>预测小时浓度</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448DE00">
            <w:pPr>
              <w:widowControl/>
              <w:jc w:val="center"/>
              <w:textAlignment w:val="center"/>
              <w:rPr>
                <w:b/>
                <w:bCs/>
                <w:szCs w:val="21"/>
              </w:rPr>
            </w:pPr>
            <w:r>
              <w:rPr>
                <w:b/>
                <w:bCs/>
                <w:kern w:val="0"/>
                <w:szCs w:val="21"/>
                <w:lang w:bidi="ar"/>
              </w:rPr>
              <w:t>占标率</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7FC261F">
            <w:pPr>
              <w:jc w:val="center"/>
              <w:rPr>
                <w:szCs w:val="21"/>
              </w:rPr>
            </w:pPr>
          </w:p>
        </w:tc>
      </w:tr>
      <w:tr w14:paraId="76B12AA3">
        <w:tblPrEx>
          <w:tblCellMar>
            <w:top w:w="0" w:type="dxa"/>
            <w:left w:w="108" w:type="dxa"/>
            <w:bottom w:w="0" w:type="dxa"/>
            <w:right w:w="108" w:type="dxa"/>
          </w:tblCellMar>
        </w:tblPrEx>
        <w:trPr>
          <w:trHeight w:val="285" w:hRule="atLeast"/>
        </w:trPr>
        <w:tc>
          <w:tcPr>
            <w:tcW w:w="289" w:type="pct"/>
            <w:vMerge w:val="continue"/>
            <w:tcBorders>
              <w:left w:val="single" w:color="000000" w:sz="4" w:space="0"/>
              <w:bottom w:val="single" w:color="000000" w:sz="4" w:space="0"/>
              <w:right w:val="single" w:color="000000" w:sz="4" w:space="0"/>
            </w:tcBorders>
            <w:shd w:val="clear" w:color="auto" w:fill="D7D7D7"/>
            <w:noWrap/>
            <w:vAlign w:val="center"/>
          </w:tcPr>
          <w:p w14:paraId="593852FE">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AB8B383">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B8F3694">
            <w:pPr>
              <w:widowControl/>
              <w:jc w:val="center"/>
              <w:textAlignment w:val="center"/>
              <w:rPr>
                <w:b/>
                <w:bCs/>
                <w:szCs w:val="21"/>
              </w:rPr>
            </w:pPr>
            <w:r>
              <w:rPr>
                <w:b/>
                <w:bCs/>
                <w:kern w:val="0"/>
                <w:szCs w:val="21"/>
                <w:lang w:bidi="ar"/>
              </w:rPr>
              <w:t>Pi(%)</w:t>
            </w: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2E020BF5">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6"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40E78FD">
            <w:pPr>
              <w:widowControl/>
              <w:jc w:val="center"/>
              <w:textAlignment w:val="center"/>
              <w:rPr>
                <w:b/>
                <w:bCs/>
                <w:szCs w:val="21"/>
              </w:rPr>
            </w:pPr>
            <w:r>
              <w:rPr>
                <w:b/>
                <w:bCs/>
                <w:kern w:val="0"/>
                <w:szCs w:val="21"/>
                <w:lang w:bidi="ar"/>
              </w:rPr>
              <w:t>Pi(%)</w:t>
            </w:r>
          </w:p>
        </w:tc>
        <w:tc>
          <w:tcPr>
            <w:tcW w:w="298" w:type="pct"/>
            <w:vMerge w:val="continue"/>
            <w:tcBorders>
              <w:left w:val="single" w:color="000000" w:sz="4" w:space="0"/>
              <w:bottom w:val="single" w:color="000000" w:sz="4" w:space="0"/>
              <w:right w:val="single" w:color="000000" w:sz="4" w:space="0"/>
            </w:tcBorders>
            <w:shd w:val="clear" w:color="auto" w:fill="D7D7D7"/>
            <w:noWrap/>
            <w:vAlign w:val="center"/>
          </w:tcPr>
          <w:p w14:paraId="194DA1BC">
            <w:pPr>
              <w:jc w:val="center"/>
              <w:rPr>
                <w:b/>
                <w:bCs/>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7F2975F">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6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3BFF4AA">
            <w:pPr>
              <w:widowControl/>
              <w:jc w:val="center"/>
              <w:textAlignment w:val="center"/>
              <w:rPr>
                <w:b/>
                <w:bCs/>
                <w:szCs w:val="21"/>
              </w:rPr>
            </w:pPr>
            <w:r>
              <w:rPr>
                <w:b/>
                <w:bCs/>
                <w:kern w:val="0"/>
                <w:szCs w:val="21"/>
                <w:lang w:bidi="ar"/>
              </w:rPr>
              <w:t>Pi(%)</w:t>
            </w:r>
          </w:p>
        </w:tc>
        <w:tc>
          <w:tcPr>
            <w:tcW w:w="393"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A6D35DC">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565270E">
            <w:pPr>
              <w:widowControl/>
              <w:jc w:val="center"/>
              <w:textAlignment w:val="center"/>
              <w:rPr>
                <w:b/>
                <w:bCs/>
                <w:szCs w:val="21"/>
              </w:rPr>
            </w:pPr>
            <w:r>
              <w:rPr>
                <w:b/>
                <w:bCs/>
                <w:kern w:val="0"/>
                <w:szCs w:val="21"/>
                <w:lang w:bidi="ar"/>
              </w:rPr>
              <w:t>Pi(%)</w:t>
            </w:r>
          </w:p>
        </w:tc>
        <w:tc>
          <w:tcPr>
            <w:tcW w:w="254" w:type="pct"/>
            <w:vMerge w:val="continue"/>
            <w:tcBorders>
              <w:left w:val="single" w:color="000000" w:sz="4" w:space="0"/>
              <w:bottom w:val="single" w:color="000000" w:sz="4" w:space="0"/>
              <w:right w:val="single" w:color="000000" w:sz="4" w:space="0"/>
            </w:tcBorders>
            <w:shd w:val="clear" w:color="auto" w:fill="D7D7D7"/>
            <w:noWrap/>
            <w:vAlign w:val="center"/>
          </w:tcPr>
          <w:p w14:paraId="5F447686">
            <w:pPr>
              <w:jc w:val="center"/>
              <w:rPr>
                <w:b/>
                <w:bCs/>
                <w:szCs w:val="21"/>
              </w:rPr>
            </w:pPr>
          </w:p>
        </w:tc>
        <w:tc>
          <w:tcPr>
            <w:tcW w:w="429"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F5CF743">
            <w:pPr>
              <w:widowControl/>
              <w:jc w:val="center"/>
              <w:textAlignment w:val="center"/>
              <w:rPr>
                <w:b/>
                <w:bCs/>
                <w:szCs w:val="21"/>
              </w:rPr>
            </w:pPr>
            <w:r>
              <w:rPr>
                <w:b/>
                <w:bCs/>
                <w:kern w:val="0"/>
                <w:szCs w:val="21"/>
                <w:lang w:bidi="ar"/>
              </w:rPr>
              <w:t>Ci（ug/m</w:t>
            </w:r>
            <w:r>
              <w:rPr>
                <w:b/>
                <w:bCs/>
                <w:kern w:val="0"/>
                <w:szCs w:val="21"/>
                <w:vertAlign w:val="superscript"/>
                <w:lang w:bidi="ar"/>
              </w:rPr>
              <w:t>3</w:t>
            </w:r>
            <w:r>
              <w:rPr>
                <w:b/>
                <w:bCs/>
                <w:kern w:val="0"/>
                <w:szCs w:val="21"/>
                <w:lang w:bidi="ar"/>
              </w:rPr>
              <w:t>）</w:t>
            </w:r>
          </w:p>
        </w:tc>
        <w:tc>
          <w:tcPr>
            <w:tcW w:w="271"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E5F306A">
            <w:pPr>
              <w:widowControl/>
              <w:jc w:val="center"/>
              <w:textAlignment w:val="center"/>
              <w:rPr>
                <w:b/>
                <w:bCs/>
                <w:szCs w:val="21"/>
              </w:rPr>
            </w:pPr>
            <w:r>
              <w:rPr>
                <w:b/>
                <w:bCs/>
                <w:kern w:val="0"/>
                <w:szCs w:val="21"/>
                <w:lang w:bidi="ar"/>
              </w:rPr>
              <w:t>Pi(%)</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1810B5A5">
            <w:pPr>
              <w:jc w:val="center"/>
              <w:rPr>
                <w:szCs w:val="21"/>
              </w:rPr>
            </w:pPr>
          </w:p>
        </w:tc>
      </w:tr>
      <w:tr w14:paraId="0558304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D467467">
            <w:pPr>
              <w:widowControl/>
              <w:jc w:val="right"/>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553DEC8">
            <w:pPr>
              <w:widowControl/>
              <w:jc w:val="right"/>
              <w:textAlignment w:val="center"/>
              <w:rPr>
                <w:szCs w:val="21"/>
              </w:rPr>
            </w:pPr>
            <w:r>
              <w:rPr>
                <w:kern w:val="0"/>
                <w:szCs w:val="21"/>
                <w:lang w:bidi="ar"/>
              </w:rPr>
              <w:t>0.76558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C66E92F">
            <w:pPr>
              <w:widowControl/>
              <w:jc w:val="right"/>
              <w:textAlignment w:val="center"/>
              <w:rPr>
                <w:szCs w:val="21"/>
              </w:rPr>
            </w:pPr>
            <w:r>
              <w:rPr>
                <w:kern w:val="0"/>
                <w:szCs w:val="21"/>
                <w:lang w:bidi="ar"/>
              </w:rPr>
              <w:t>0.38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A6A3428">
            <w:pPr>
              <w:widowControl/>
              <w:jc w:val="right"/>
              <w:textAlignment w:val="center"/>
              <w:rPr>
                <w:szCs w:val="21"/>
              </w:rPr>
            </w:pPr>
            <w:r>
              <w:rPr>
                <w:kern w:val="0"/>
                <w:szCs w:val="21"/>
                <w:lang w:bidi="ar"/>
              </w:rPr>
              <w:t>0.030623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EA148BD">
            <w:pPr>
              <w:widowControl/>
              <w:jc w:val="right"/>
              <w:textAlignment w:val="center"/>
              <w:rPr>
                <w:szCs w:val="21"/>
              </w:rPr>
            </w:pPr>
            <w:r>
              <w:rPr>
                <w:kern w:val="0"/>
                <w:szCs w:val="21"/>
                <w:lang w:bidi="ar"/>
              </w:rPr>
              <w:t>0.31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9D61706">
            <w:pPr>
              <w:widowControl/>
              <w:jc w:val="right"/>
              <w:textAlignment w:val="center"/>
              <w:rPr>
                <w:szCs w:val="21"/>
              </w:rPr>
            </w:pPr>
            <w:r>
              <w:rPr>
                <w:kern w:val="0"/>
                <w:szCs w:val="21"/>
                <w:lang w:bidi="ar"/>
              </w:rPr>
              <w:t>10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6570343">
            <w:pPr>
              <w:widowControl/>
              <w:jc w:val="right"/>
              <w:textAlignment w:val="center"/>
              <w:rPr>
                <w:szCs w:val="21"/>
              </w:rPr>
            </w:pPr>
            <w:r>
              <w:rPr>
                <w:kern w:val="0"/>
                <w:szCs w:val="21"/>
                <w:lang w:bidi="ar"/>
              </w:rPr>
              <w:t>0.76558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661847B">
            <w:pPr>
              <w:widowControl/>
              <w:jc w:val="right"/>
              <w:textAlignment w:val="center"/>
              <w:rPr>
                <w:szCs w:val="21"/>
              </w:rPr>
            </w:pPr>
            <w:r>
              <w:rPr>
                <w:kern w:val="0"/>
                <w:szCs w:val="21"/>
                <w:lang w:bidi="ar"/>
              </w:rPr>
              <w:t>0.38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FBCCA30">
            <w:pPr>
              <w:widowControl/>
              <w:jc w:val="right"/>
              <w:textAlignment w:val="center"/>
              <w:rPr>
                <w:szCs w:val="21"/>
              </w:rPr>
            </w:pPr>
            <w:r>
              <w:rPr>
                <w:kern w:val="0"/>
                <w:szCs w:val="21"/>
                <w:lang w:bidi="ar"/>
              </w:rPr>
              <w:t>0.030623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25D343B">
            <w:pPr>
              <w:widowControl/>
              <w:jc w:val="right"/>
              <w:textAlignment w:val="center"/>
              <w:rPr>
                <w:szCs w:val="21"/>
              </w:rPr>
            </w:pPr>
            <w:r>
              <w:rPr>
                <w:kern w:val="0"/>
                <w:szCs w:val="21"/>
                <w:lang w:bidi="ar"/>
              </w:rPr>
              <w:t>0.31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7E8ABFE">
            <w:pPr>
              <w:widowControl/>
              <w:jc w:val="right"/>
              <w:textAlignment w:val="center"/>
              <w:rPr>
                <w:szCs w:val="21"/>
              </w:rPr>
            </w:pPr>
            <w:r>
              <w:rPr>
                <w:kern w:val="0"/>
                <w:szCs w:val="21"/>
                <w:lang w:bidi="ar"/>
              </w:rPr>
              <w:t>10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8E17EF3">
            <w:pPr>
              <w:widowControl/>
              <w:jc w:val="right"/>
              <w:textAlignment w:val="center"/>
              <w:rPr>
                <w:szCs w:val="21"/>
              </w:rPr>
            </w:pPr>
            <w:r>
              <w:rPr>
                <w:kern w:val="0"/>
                <w:szCs w:val="21"/>
                <w:lang w:bidi="ar"/>
              </w:rPr>
              <w:t>0.002281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521BD31B">
            <w:pPr>
              <w:widowControl/>
              <w:jc w:val="right"/>
              <w:textAlignment w:val="center"/>
              <w:rPr>
                <w:szCs w:val="21"/>
              </w:rPr>
            </w:pPr>
            <w:r>
              <w:rPr>
                <w:kern w:val="0"/>
                <w:szCs w:val="21"/>
                <w:lang w:bidi="ar"/>
              </w:rPr>
              <w:t>0</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843DCE5">
            <w:pPr>
              <w:jc w:val="center"/>
              <w:rPr>
                <w:szCs w:val="21"/>
              </w:rPr>
            </w:pPr>
          </w:p>
        </w:tc>
      </w:tr>
      <w:tr w14:paraId="3FEDDFB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BE0E79B">
            <w:pPr>
              <w:widowControl/>
              <w:jc w:val="right"/>
              <w:textAlignment w:val="center"/>
              <w:rPr>
                <w:szCs w:val="21"/>
              </w:rPr>
            </w:pPr>
            <w:r>
              <w:rPr>
                <w:kern w:val="0"/>
                <w:szCs w:val="21"/>
                <w:lang w:bidi="ar"/>
              </w:rPr>
              <w:t>24</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DCBD85C">
            <w:pPr>
              <w:widowControl/>
              <w:jc w:val="right"/>
              <w:textAlignment w:val="center"/>
              <w:rPr>
                <w:szCs w:val="21"/>
              </w:rPr>
            </w:pPr>
            <w:r>
              <w:rPr>
                <w:kern w:val="0"/>
                <w:szCs w:val="21"/>
                <w:lang w:bidi="ar"/>
              </w:rPr>
              <w:t>1.0044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B2FD552">
            <w:pPr>
              <w:widowControl/>
              <w:jc w:val="right"/>
              <w:textAlignment w:val="center"/>
              <w:rPr>
                <w:szCs w:val="21"/>
              </w:rPr>
            </w:pPr>
            <w:r>
              <w:rPr>
                <w:kern w:val="0"/>
                <w:szCs w:val="21"/>
                <w:lang w:bidi="ar"/>
              </w:rPr>
              <w:t>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8500190">
            <w:pPr>
              <w:widowControl/>
              <w:jc w:val="right"/>
              <w:textAlignment w:val="center"/>
              <w:rPr>
                <w:szCs w:val="21"/>
              </w:rPr>
            </w:pPr>
            <w:r>
              <w:rPr>
                <w:kern w:val="0"/>
                <w:szCs w:val="21"/>
                <w:lang w:bidi="ar"/>
              </w:rPr>
              <w:t>0.040176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E3976D5">
            <w:pPr>
              <w:widowControl/>
              <w:jc w:val="right"/>
              <w:textAlignment w:val="center"/>
              <w:rPr>
                <w:szCs w:val="21"/>
              </w:rPr>
            </w:pPr>
            <w:r>
              <w:rPr>
                <w:kern w:val="0"/>
                <w:szCs w:val="21"/>
                <w:lang w:bidi="ar"/>
              </w:rPr>
              <w:t>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C9E6506">
            <w:pPr>
              <w:widowControl/>
              <w:jc w:val="right"/>
              <w:textAlignment w:val="center"/>
              <w:rPr>
                <w:szCs w:val="21"/>
              </w:rPr>
            </w:pPr>
            <w:r>
              <w:rPr>
                <w:kern w:val="0"/>
                <w:szCs w:val="21"/>
                <w:lang w:bidi="ar"/>
              </w:rPr>
              <w:t>24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FBD3D6D">
            <w:pPr>
              <w:widowControl/>
              <w:jc w:val="right"/>
              <w:textAlignment w:val="center"/>
              <w:rPr>
                <w:szCs w:val="21"/>
              </w:rPr>
            </w:pPr>
            <w:r>
              <w:rPr>
                <w:kern w:val="0"/>
                <w:szCs w:val="21"/>
                <w:lang w:bidi="ar"/>
              </w:rPr>
              <w:t>1.0044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253DD3A">
            <w:pPr>
              <w:widowControl/>
              <w:jc w:val="right"/>
              <w:textAlignment w:val="center"/>
              <w:rPr>
                <w:szCs w:val="21"/>
              </w:rPr>
            </w:pPr>
            <w:r>
              <w:rPr>
                <w:kern w:val="0"/>
                <w:szCs w:val="21"/>
                <w:lang w:bidi="ar"/>
              </w:rPr>
              <w:t>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5B955AF">
            <w:pPr>
              <w:widowControl/>
              <w:jc w:val="right"/>
              <w:textAlignment w:val="center"/>
              <w:rPr>
                <w:szCs w:val="21"/>
              </w:rPr>
            </w:pPr>
            <w:r>
              <w:rPr>
                <w:kern w:val="0"/>
                <w:szCs w:val="21"/>
                <w:lang w:bidi="ar"/>
              </w:rPr>
              <w:t>0.040176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D06D026">
            <w:pPr>
              <w:widowControl/>
              <w:jc w:val="right"/>
              <w:textAlignment w:val="center"/>
              <w:rPr>
                <w:szCs w:val="21"/>
              </w:rPr>
            </w:pPr>
            <w:r>
              <w:rPr>
                <w:kern w:val="0"/>
                <w:szCs w:val="21"/>
                <w:lang w:bidi="ar"/>
              </w:rPr>
              <w:t>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FEA16D2">
            <w:pPr>
              <w:widowControl/>
              <w:jc w:val="right"/>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55FB0F0">
            <w:pPr>
              <w:widowControl/>
              <w:jc w:val="right"/>
              <w:textAlignment w:val="center"/>
              <w:rPr>
                <w:szCs w:val="21"/>
              </w:rPr>
            </w:pPr>
            <w:r>
              <w:rPr>
                <w:kern w:val="0"/>
                <w:szCs w:val="21"/>
                <w:lang w:bidi="ar"/>
              </w:rPr>
              <w:t>0.05991</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ED04C2E">
            <w:pPr>
              <w:widowControl/>
              <w:jc w:val="right"/>
              <w:textAlignment w:val="center"/>
              <w:rPr>
                <w:szCs w:val="21"/>
              </w:rPr>
            </w:pPr>
            <w:r>
              <w:rPr>
                <w:kern w:val="0"/>
                <w:szCs w:val="21"/>
                <w:lang w:bidi="ar"/>
              </w:rPr>
              <w:t>0.03</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9610DFB">
            <w:pPr>
              <w:jc w:val="center"/>
              <w:rPr>
                <w:szCs w:val="21"/>
              </w:rPr>
            </w:pPr>
          </w:p>
        </w:tc>
      </w:tr>
      <w:tr w14:paraId="6C96EC45">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3492289">
            <w:pPr>
              <w:widowControl/>
              <w:jc w:val="right"/>
              <w:textAlignment w:val="center"/>
              <w:rPr>
                <w:szCs w:val="21"/>
              </w:rPr>
            </w:pPr>
            <w:r>
              <w:rPr>
                <w:kern w:val="0"/>
                <w:szCs w:val="21"/>
                <w:lang w:bidi="ar"/>
              </w:rPr>
              <w:t>25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D68C6BC">
            <w:pPr>
              <w:widowControl/>
              <w:jc w:val="right"/>
              <w:textAlignment w:val="center"/>
              <w:rPr>
                <w:szCs w:val="21"/>
              </w:rPr>
            </w:pPr>
            <w:r>
              <w:rPr>
                <w:kern w:val="0"/>
                <w:szCs w:val="21"/>
                <w:lang w:bidi="ar"/>
              </w:rPr>
              <w:t>1.004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9C20E63">
            <w:pPr>
              <w:widowControl/>
              <w:jc w:val="right"/>
              <w:textAlignment w:val="center"/>
              <w:rPr>
                <w:szCs w:val="21"/>
              </w:rPr>
            </w:pPr>
            <w:r>
              <w:rPr>
                <w:kern w:val="0"/>
                <w:szCs w:val="21"/>
                <w:lang w:bidi="ar"/>
              </w:rPr>
              <w:t>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470AC9B">
            <w:pPr>
              <w:widowControl/>
              <w:jc w:val="right"/>
              <w:textAlignment w:val="center"/>
              <w:rPr>
                <w:szCs w:val="21"/>
              </w:rPr>
            </w:pPr>
            <w:r>
              <w:rPr>
                <w:kern w:val="0"/>
                <w:szCs w:val="21"/>
                <w:lang w:bidi="ar"/>
              </w:rPr>
              <w:t>0.04016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61BDCD2">
            <w:pPr>
              <w:widowControl/>
              <w:jc w:val="right"/>
              <w:textAlignment w:val="center"/>
              <w:rPr>
                <w:szCs w:val="21"/>
              </w:rPr>
            </w:pPr>
            <w:r>
              <w:rPr>
                <w:kern w:val="0"/>
                <w:szCs w:val="21"/>
                <w:lang w:bidi="ar"/>
              </w:rPr>
              <w:t>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CC21913">
            <w:pPr>
              <w:widowControl/>
              <w:jc w:val="right"/>
              <w:textAlignment w:val="center"/>
              <w:rPr>
                <w:szCs w:val="21"/>
              </w:rPr>
            </w:pPr>
            <w:r>
              <w:rPr>
                <w:kern w:val="0"/>
                <w:szCs w:val="21"/>
                <w:lang w:bidi="ar"/>
              </w:rPr>
              <w:t>25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FEB7B5D">
            <w:pPr>
              <w:widowControl/>
              <w:jc w:val="right"/>
              <w:textAlignment w:val="center"/>
              <w:rPr>
                <w:szCs w:val="21"/>
              </w:rPr>
            </w:pPr>
            <w:r>
              <w:rPr>
                <w:kern w:val="0"/>
                <w:szCs w:val="21"/>
                <w:lang w:bidi="ar"/>
              </w:rPr>
              <w:t>1.004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2D4747B">
            <w:pPr>
              <w:widowControl/>
              <w:jc w:val="right"/>
              <w:textAlignment w:val="center"/>
              <w:rPr>
                <w:szCs w:val="21"/>
              </w:rPr>
            </w:pPr>
            <w:r>
              <w:rPr>
                <w:kern w:val="0"/>
                <w:szCs w:val="21"/>
                <w:lang w:bidi="ar"/>
              </w:rPr>
              <w:t>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4D29243">
            <w:pPr>
              <w:widowControl/>
              <w:jc w:val="right"/>
              <w:textAlignment w:val="center"/>
              <w:rPr>
                <w:szCs w:val="21"/>
              </w:rPr>
            </w:pPr>
            <w:r>
              <w:rPr>
                <w:kern w:val="0"/>
                <w:szCs w:val="21"/>
                <w:lang w:bidi="ar"/>
              </w:rPr>
              <w:t>0.04016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456C151">
            <w:pPr>
              <w:widowControl/>
              <w:jc w:val="right"/>
              <w:textAlignment w:val="center"/>
              <w:rPr>
                <w:szCs w:val="21"/>
              </w:rPr>
            </w:pPr>
            <w:r>
              <w:rPr>
                <w:kern w:val="0"/>
                <w:szCs w:val="21"/>
                <w:lang w:bidi="ar"/>
              </w:rPr>
              <w:t>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D9C70DA">
            <w:pPr>
              <w:widowControl/>
              <w:jc w:val="right"/>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F8BB66C">
            <w:pPr>
              <w:widowControl/>
              <w:jc w:val="right"/>
              <w:textAlignment w:val="center"/>
              <w:rPr>
                <w:szCs w:val="21"/>
              </w:rPr>
            </w:pPr>
            <w:r>
              <w:rPr>
                <w:kern w:val="0"/>
                <w:szCs w:val="21"/>
                <w:lang w:bidi="ar"/>
              </w:rPr>
              <w:t>0.17624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745F066">
            <w:pPr>
              <w:widowControl/>
              <w:jc w:val="right"/>
              <w:textAlignment w:val="center"/>
              <w:rPr>
                <w:szCs w:val="21"/>
              </w:rPr>
            </w:pPr>
            <w:r>
              <w:rPr>
                <w:kern w:val="0"/>
                <w:szCs w:val="21"/>
                <w:lang w:bidi="ar"/>
              </w:rPr>
              <w:t>0.09</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1C2C47D0">
            <w:pPr>
              <w:jc w:val="center"/>
              <w:rPr>
                <w:szCs w:val="21"/>
              </w:rPr>
            </w:pPr>
          </w:p>
        </w:tc>
      </w:tr>
      <w:tr w14:paraId="5F97780F">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C17E99A">
            <w:pPr>
              <w:widowControl/>
              <w:jc w:val="right"/>
              <w:textAlignment w:val="center"/>
              <w:rPr>
                <w:szCs w:val="21"/>
              </w:rPr>
            </w:pPr>
            <w:r>
              <w:rPr>
                <w:kern w:val="0"/>
                <w:szCs w:val="21"/>
                <w:lang w:bidi="ar"/>
              </w:rPr>
              <w:t>50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CC38DE0">
            <w:pPr>
              <w:widowControl/>
              <w:jc w:val="right"/>
              <w:textAlignment w:val="center"/>
              <w:rPr>
                <w:szCs w:val="21"/>
              </w:rPr>
            </w:pPr>
            <w:r>
              <w:rPr>
                <w:kern w:val="0"/>
                <w:szCs w:val="21"/>
                <w:lang w:bidi="ar"/>
              </w:rPr>
              <w:t>0.64113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53BD6231">
            <w:pPr>
              <w:widowControl/>
              <w:jc w:val="right"/>
              <w:textAlignment w:val="center"/>
              <w:rPr>
                <w:szCs w:val="21"/>
              </w:rPr>
            </w:pPr>
            <w:r>
              <w:rPr>
                <w:kern w:val="0"/>
                <w:szCs w:val="21"/>
                <w:lang w:bidi="ar"/>
              </w:rPr>
              <w:t>0.32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4380A51">
            <w:pPr>
              <w:widowControl/>
              <w:jc w:val="right"/>
              <w:textAlignment w:val="center"/>
              <w:rPr>
                <w:szCs w:val="21"/>
              </w:rPr>
            </w:pPr>
            <w:r>
              <w:rPr>
                <w:kern w:val="0"/>
                <w:szCs w:val="21"/>
                <w:lang w:bidi="ar"/>
              </w:rPr>
              <w:t>0.025645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6ADA6C0">
            <w:pPr>
              <w:widowControl/>
              <w:jc w:val="right"/>
              <w:textAlignment w:val="center"/>
              <w:rPr>
                <w:szCs w:val="21"/>
              </w:rPr>
            </w:pPr>
            <w:r>
              <w:rPr>
                <w:kern w:val="0"/>
                <w:szCs w:val="21"/>
                <w:lang w:bidi="ar"/>
              </w:rPr>
              <w:t>0.26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55E5F91F">
            <w:pPr>
              <w:widowControl/>
              <w:jc w:val="right"/>
              <w:textAlignment w:val="center"/>
              <w:rPr>
                <w:szCs w:val="21"/>
              </w:rPr>
            </w:pPr>
            <w:r>
              <w:rPr>
                <w:kern w:val="0"/>
                <w:szCs w:val="21"/>
                <w:lang w:bidi="ar"/>
              </w:rPr>
              <w:t>50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8637AF4">
            <w:pPr>
              <w:widowControl/>
              <w:jc w:val="right"/>
              <w:textAlignment w:val="center"/>
              <w:rPr>
                <w:szCs w:val="21"/>
              </w:rPr>
            </w:pPr>
            <w:r>
              <w:rPr>
                <w:kern w:val="0"/>
                <w:szCs w:val="21"/>
                <w:lang w:bidi="ar"/>
              </w:rPr>
              <w:t>0.64113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08F1E40">
            <w:pPr>
              <w:widowControl/>
              <w:jc w:val="right"/>
              <w:textAlignment w:val="center"/>
              <w:rPr>
                <w:szCs w:val="21"/>
              </w:rPr>
            </w:pPr>
            <w:r>
              <w:rPr>
                <w:kern w:val="0"/>
                <w:szCs w:val="21"/>
                <w:lang w:bidi="ar"/>
              </w:rPr>
              <w:t>0.32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ACD80B1">
            <w:pPr>
              <w:widowControl/>
              <w:jc w:val="right"/>
              <w:textAlignment w:val="center"/>
              <w:rPr>
                <w:szCs w:val="21"/>
              </w:rPr>
            </w:pPr>
            <w:r>
              <w:rPr>
                <w:kern w:val="0"/>
                <w:szCs w:val="21"/>
                <w:lang w:bidi="ar"/>
              </w:rPr>
              <w:t>0.025645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8BE2EAF">
            <w:pPr>
              <w:widowControl/>
              <w:jc w:val="right"/>
              <w:textAlignment w:val="center"/>
              <w:rPr>
                <w:szCs w:val="21"/>
              </w:rPr>
            </w:pPr>
            <w:r>
              <w:rPr>
                <w:kern w:val="0"/>
                <w:szCs w:val="21"/>
                <w:lang w:bidi="ar"/>
              </w:rPr>
              <w:t>0.26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A44E55B">
            <w:pPr>
              <w:widowControl/>
              <w:jc w:val="right"/>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2E5A98F">
            <w:pPr>
              <w:widowControl/>
              <w:jc w:val="right"/>
              <w:textAlignment w:val="center"/>
              <w:rPr>
                <w:szCs w:val="21"/>
              </w:rPr>
            </w:pPr>
            <w:r>
              <w:rPr>
                <w:kern w:val="0"/>
                <w:szCs w:val="21"/>
                <w:lang w:bidi="ar"/>
              </w:rPr>
              <w:t>0.25486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C79A540">
            <w:pPr>
              <w:widowControl/>
              <w:jc w:val="right"/>
              <w:textAlignment w:val="center"/>
              <w:rPr>
                <w:szCs w:val="21"/>
              </w:rPr>
            </w:pPr>
            <w:r>
              <w:rPr>
                <w:kern w:val="0"/>
                <w:szCs w:val="21"/>
                <w:lang w:bidi="ar"/>
              </w:rPr>
              <w:t>0.13</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560A63F8">
            <w:pPr>
              <w:jc w:val="center"/>
              <w:rPr>
                <w:szCs w:val="21"/>
              </w:rPr>
            </w:pPr>
          </w:p>
        </w:tc>
      </w:tr>
      <w:tr w14:paraId="0B5024A4">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448F6181">
            <w:pPr>
              <w:widowControl/>
              <w:jc w:val="right"/>
              <w:textAlignment w:val="center"/>
              <w:rPr>
                <w:szCs w:val="21"/>
              </w:rPr>
            </w:pPr>
            <w:r>
              <w:rPr>
                <w:kern w:val="0"/>
                <w:szCs w:val="21"/>
                <w:lang w:bidi="ar"/>
              </w:rPr>
              <w:t>75</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1565DCF">
            <w:pPr>
              <w:widowControl/>
              <w:jc w:val="right"/>
              <w:textAlignment w:val="center"/>
              <w:rPr>
                <w:szCs w:val="21"/>
              </w:rPr>
            </w:pPr>
            <w:r>
              <w:rPr>
                <w:kern w:val="0"/>
                <w:szCs w:val="21"/>
                <w:lang w:bidi="ar"/>
              </w:rPr>
              <w:t>0.59279</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22FAF85">
            <w:pPr>
              <w:widowControl/>
              <w:jc w:val="right"/>
              <w:textAlignment w:val="center"/>
              <w:rPr>
                <w:szCs w:val="21"/>
              </w:rPr>
            </w:pPr>
            <w:r>
              <w:rPr>
                <w:kern w:val="0"/>
                <w:szCs w:val="21"/>
                <w:lang w:bidi="ar"/>
              </w:rPr>
              <w:t>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C4F6493">
            <w:pPr>
              <w:widowControl/>
              <w:jc w:val="right"/>
              <w:textAlignment w:val="center"/>
              <w:rPr>
                <w:szCs w:val="21"/>
              </w:rPr>
            </w:pPr>
            <w:r>
              <w:rPr>
                <w:kern w:val="0"/>
                <w:szCs w:val="21"/>
                <w:lang w:bidi="ar"/>
              </w:rPr>
              <w:t>0.023712</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20809B6E">
            <w:pPr>
              <w:widowControl/>
              <w:jc w:val="right"/>
              <w:textAlignment w:val="center"/>
              <w:rPr>
                <w:szCs w:val="21"/>
              </w:rPr>
            </w:pPr>
            <w:r>
              <w:rPr>
                <w:kern w:val="0"/>
                <w:szCs w:val="21"/>
                <w:lang w:bidi="ar"/>
              </w:rPr>
              <w:t>0.24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9EAD521">
            <w:pPr>
              <w:widowControl/>
              <w:jc w:val="right"/>
              <w:textAlignment w:val="center"/>
              <w:rPr>
                <w:szCs w:val="21"/>
              </w:rPr>
            </w:pPr>
            <w:r>
              <w:rPr>
                <w:kern w:val="0"/>
                <w:szCs w:val="21"/>
                <w:lang w:bidi="ar"/>
              </w:rPr>
              <w:t>75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4EC8420">
            <w:pPr>
              <w:widowControl/>
              <w:jc w:val="right"/>
              <w:textAlignment w:val="center"/>
              <w:rPr>
                <w:szCs w:val="21"/>
              </w:rPr>
            </w:pPr>
            <w:r>
              <w:rPr>
                <w:kern w:val="0"/>
                <w:szCs w:val="21"/>
                <w:lang w:bidi="ar"/>
              </w:rPr>
              <w:t>0.59279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6566B15">
            <w:pPr>
              <w:widowControl/>
              <w:jc w:val="right"/>
              <w:textAlignment w:val="center"/>
              <w:rPr>
                <w:szCs w:val="21"/>
              </w:rPr>
            </w:pPr>
            <w:r>
              <w:rPr>
                <w:kern w:val="0"/>
                <w:szCs w:val="21"/>
                <w:lang w:bidi="ar"/>
              </w:rPr>
              <w:t>0.3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1E9F5A1">
            <w:pPr>
              <w:widowControl/>
              <w:jc w:val="right"/>
              <w:textAlignment w:val="center"/>
              <w:rPr>
                <w:szCs w:val="21"/>
              </w:rPr>
            </w:pPr>
            <w:r>
              <w:rPr>
                <w:kern w:val="0"/>
                <w:szCs w:val="21"/>
                <w:lang w:bidi="ar"/>
              </w:rPr>
              <w:t>0.023712</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6E15A76">
            <w:pPr>
              <w:widowControl/>
              <w:jc w:val="right"/>
              <w:textAlignment w:val="center"/>
              <w:rPr>
                <w:szCs w:val="21"/>
              </w:rPr>
            </w:pPr>
            <w:r>
              <w:rPr>
                <w:kern w:val="0"/>
                <w:szCs w:val="21"/>
                <w:lang w:bidi="ar"/>
              </w:rPr>
              <w:t>0.24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3FF124F">
            <w:pPr>
              <w:widowControl/>
              <w:jc w:val="right"/>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9EC5464">
            <w:pPr>
              <w:widowControl/>
              <w:jc w:val="right"/>
              <w:textAlignment w:val="center"/>
              <w:rPr>
                <w:szCs w:val="21"/>
              </w:rPr>
            </w:pPr>
            <w:r>
              <w:rPr>
                <w:kern w:val="0"/>
                <w:szCs w:val="21"/>
                <w:lang w:bidi="ar"/>
              </w:rPr>
              <w:t>0.26089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94BDDB3">
            <w:pPr>
              <w:widowControl/>
              <w:jc w:val="right"/>
              <w:textAlignment w:val="center"/>
              <w:rPr>
                <w:szCs w:val="21"/>
              </w:rPr>
            </w:pPr>
            <w:r>
              <w:rPr>
                <w:kern w:val="0"/>
                <w:szCs w:val="21"/>
                <w:lang w:bidi="ar"/>
              </w:rPr>
              <w:t>0.13</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6B19D781">
            <w:pPr>
              <w:jc w:val="center"/>
              <w:rPr>
                <w:szCs w:val="21"/>
              </w:rPr>
            </w:pPr>
          </w:p>
        </w:tc>
      </w:tr>
      <w:tr w14:paraId="6A7CD46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33604D2">
            <w:pPr>
              <w:widowControl/>
              <w:jc w:val="right"/>
              <w:textAlignment w:val="center"/>
              <w:rPr>
                <w:szCs w:val="21"/>
              </w:rPr>
            </w:pPr>
            <w:r>
              <w:rPr>
                <w:kern w:val="0"/>
                <w:szCs w:val="21"/>
                <w:lang w:bidi="ar"/>
              </w:rPr>
              <w:t>100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8972749">
            <w:pPr>
              <w:widowControl/>
              <w:jc w:val="right"/>
              <w:textAlignment w:val="center"/>
              <w:rPr>
                <w:szCs w:val="21"/>
              </w:rPr>
            </w:pPr>
            <w:r>
              <w:rPr>
                <w:kern w:val="0"/>
                <w:szCs w:val="21"/>
                <w:lang w:bidi="ar"/>
              </w:rPr>
              <w:t>0.5564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8C2522C">
            <w:pPr>
              <w:widowControl/>
              <w:jc w:val="right"/>
              <w:textAlignment w:val="center"/>
              <w:rPr>
                <w:szCs w:val="21"/>
              </w:rPr>
            </w:pPr>
            <w:r>
              <w:rPr>
                <w:kern w:val="0"/>
                <w:szCs w:val="21"/>
                <w:lang w:bidi="ar"/>
              </w:rPr>
              <w:t>0.28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4550B86">
            <w:pPr>
              <w:widowControl/>
              <w:jc w:val="right"/>
              <w:textAlignment w:val="center"/>
              <w:rPr>
                <w:szCs w:val="21"/>
              </w:rPr>
            </w:pPr>
            <w:r>
              <w:rPr>
                <w:kern w:val="0"/>
                <w:szCs w:val="21"/>
                <w:lang w:bidi="ar"/>
              </w:rPr>
              <w:t>0.022256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30E3033">
            <w:pPr>
              <w:widowControl/>
              <w:jc w:val="right"/>
              <w:textAlignment w:val="center"/>
              <w:rPr>
                <w:szCs w:val="21"/>
              </w:rPr>
            </w:pPr>
            <w:r>
              <w:rPr>
                <w:kern w:val="0"/>
                <w:szCs w:val="21"/>
                <w:lang w:bidi="ar"/>
              </w:rPr>
              <w:t>0.22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66ACD05">
            <w:pPr>
              <w:widowControl/>
              <w:jc w:val="right"/>
              <w:textAlignment w:val="center"/>
              <w:rPr>
                <w:szCs w:val="21"/>
              </w:rPr>
            </w:pPr>
            <w:r>
              <w:rPr>
                <w:kern w:val="0"/>
                <w:szCs w:val="21"/>
                <w:lang w:bidi="ar"/>
              </w:rPr>
              <w:t>100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88F9B33">
            <w:pPr>
              <w:widowControl/>
              <w:jc w:val="right"/>
              <w:textAlignment w:val="center"/>
              <w:rPr>
                <w:szCs w:val="21"/>
              </w:rPr>
            </w:pPr>
            <w:r>
              <w:rPr>
                <w:kern w:val="0"/>
                <w:szCs w:val="21"/>
                <w:lang w:bidi="ar"/>
              </w:rPr>
              <w:t>0.5564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C20A382">
            <w:pPr>
              <w:widowControl/>
              <w:jc w:val="right"/>
              <w:textAlignment w:val="center"/>
              <w:rPr>
                <w:szCs w:val="21"/>
              </w:rPr>
            </w:pPr>
            <w:r>
              <w:rPr>
                <w:kern w:val="0"/>
                <w:szCs w:val="21"/>
                <w:lang w:bidi="ar"/>
              </w:rPr>
              <w:t>0.28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AADAF10">
            <w:pPr>
              <w:widowControl/>
              <w:jc w:val="right"/>
              <w:textAlignment w:val="center"/>
              <w:rPr>
                <w:szCs w:val="21"/>
              </w:rPr>
            </w:pPr>
            <w:r>
              <w:rPr>
                <w:kern w:val="0"/>
                <w:szCs w:val="21"/>
                <w:lang w:bidi="ar"/>
              </w:rPr>
              <w:t>0.022256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F4B74E5">
            <w:pPr>
              <w:widowControl/>
              <w:jc w:val="right"/>
              <w:textAlignment w:val="center"/>
              <w:rPr>
                <w:szCs w:val="21"/>
              </w:rPr>
            </w:pPr>
            <w:r>
              <w:rPr>
                <w:kern w:val="0"/>
                <w:szCs w:val="21"/>
                <w:lang w:bidi="ar"/>
              </w:rPr>
              <w:t>0.22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A07E7B5">
            <w:pPr>
              <w:widowControl/>
              <w:jc w:val="right"/>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218C63F">
            <w:pPr>
              <w:widowControl/>
              <w:jc w:val="right"/>
              <w:textAlignment w:val="center"/>
              <w:rPr>
                <w:szCs w:val="21"/>
              </w:rPr>
            </w:pPr>
            <w:r>
              <w:rPr>
                <w:kern w:val="0"/>
                <w:szCs w:val="21"/>
                <w:lang w:bidi="ar"/>
              </w:rPr>
              <w:t>0.30173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5DD89EB">
            <w:pPr>
              <w:widowControl/>
              <w:jc w:val="right"/>
              <w:textAlignment w:val="center"/>
              <w:rPr>
                <w:szCs w:val="21"/>
              </w:rPr>
            </w:pPr>
            <w:r>
              <w:rPr>
                <w:kern w:val="0"/>
                <w:szCs w:val="21"/>
                <w:lang w:bidi="ar"/>
              </w:rPr>
              <w:t>0.15</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144860D2">
            <w:pPr>
              <w:jc w:val="center"/>
              <w:rPr>
                <w:szCs w:val="21"/>
              </w:rPr>
            </w:pPr>
          </w:p>
        </w:tc>
      </w:tr>
      <w:tr w14:paraId="53C0FF7B">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35869F0">
            <w:pPr>
              <w:widowControl/>
              <w:jc w:val="right"/>
              <w:textAlignment w:val="center"/>
              <w:rPr>
                <w:szCs w:val="21"/>
              </w:rPr>
            </w:pPr>
            <w:r>
              <w:rPr>
                <w:kern w:val="0"/>
                <w:szCs w:val="21"/>
                <w:lang w:bidi="ar"/>
              </w:rPr>
              <w:t>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2C2B1A9">
            <w:pPr>
              <w:widowControl/>
              <w:jc w:val="right"/>
              <w:textAlignment w:val="center"/>
              <w:rPr>
                <w:szCs w:val="21"/>
              </w:rPr>
            </w:pPr>
            <w:r>
              <w:rPr>
                <w:kern w:val="0"/>
                <w:szCs w:val="21"/>
                <w:lang w:bidi="ar"/>
              </w:rPr>
              <w:t>0.44125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224E2E5">
            <w:pPr>
              <w:widowControl/>
              <w:jc w:val="right"/>
              <w:textAlignment w:val="center"/>
              <w:rPr>
                <w:szCs w:val="21"/>
              </w:rPr>
            </w:pPr>
            <w:r>
              <w:rPr>
                <w:kern w:val="0"/>
                <w:szCs w:val="21"/>
                <w:lang w:bidi="ar"/>
              </w:rPr>
              <w:t>0.22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E302D86">
            <w:pPr>
              <w:widowControl/>
              <w:jc w:val="right"/>
              <w:textAlignment w:val="center"/>
              <w:rPr>
                <w:szCs w:val="21"/>
              </w:rPr>
            </w:pPr>
            <w:r>
              <w:rPr>
                <w:kern w:val="0"/>
                <w:szCs w:val="21"/>
                <w:lang w:bidi="ar"/>
              </w:rPr>
              <w:t>0.01765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9A5646A">
            <w:pPr>
              <w:widowControl/>
              <w:jc w:val="right"/>
              <w:textAlignment w:val="center"/>
              <w:rPr>
                <w:szCs w:val="21"/>
              </w:rPr>
            </w:pPr>
            <w:r>
              <w:rPr>
                <w:kern w:val="0"/>
                <w:szCs w:val="21"/>
                <w:lang w:bidi="ar"/>
              </w:rPr>
              <w:t>0.18</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540C4AB">
            <w:pPr>
              <w:widowControl/>
              <w:jc w:val="right"/>
              <w:textAlignment w:val="center"/>
              <w:rPr>
                <w:szCs w:val="21"/>
              </w:rPr>
            </w:pPr>
            <w:r>
              <w:rPr>
                <w:kern w:val="0"/>
                <w:szCs w:val="21"/>
                <w:lang w:bidi="ar"/>
              </w:rPr>
              <w:t>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42D69BE">
            <w:pPr>
              <w:widowControl/>
              <w:jc w:val="right"/>
              <w:textAlignment w:val="center"/>
              <w:rPr>
                <w:szCs w:val="21"/>
              </w:rPr>
            </w:pPr>
            <w:r>
              <w:rPr>
                <w:kern w:val="0"/>
                <w:szCs w:val="21"/>
                <w:lang w:bidi="ar"/>
              </w:rPr>
              <w:t>0.44125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12B3F17">
            <w:pPr>
              <w:widowControl/>
              <w:jc w:val="right"/>
              <w:textAlignment w:val="center"/>
              <w:rPr>
                <w:szCs w:val="21"/>
              </w:rPr>
            </w:pPr>
            <w:r>
              <w:rPr>
                <w:kern w:val="0"/>
                <w:szCs w:val="21"/>
                <w:lang w:bidi="ar"/>
              </w:rPr>
              <w:t>0.22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9B8E6F5">
            <w:pPr>
              <w:widowControl/>
              <w:jc w:val="right"/>
              <w:textAlignment w:val="center"/>
              <w:rPr>
                <w:szCs w:val="21"/>
              </w:rPr>
            </w:pPr>
            <w:r>
              <w:rPr>
                <w:kern w:val="0"/>
                <w:szCs w:val="21"/>
                <w:lang w:bidi="ar"/>
              </w:rPr>
              <w:t>0.01765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47A5F92">
            <w:pPr>
              <w:widowControl/>
              <w:jc w:val="right"/>
              <w:textAlignment w:val="center"/>
              <w:rPr>
                <w:szCs w:val="21"/>
              </w:rPr>
            </w:pPr>
            <w:r>
              <w:rPr>
                <w:kern w:val="0"/>
                <w:szCs w:val="21"/>
                <w:lang w:bidi="ar"/>
              </w:rPr>
              <w:t>0.18</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A3D48EE">
            <w:pPr>
              <w:widowControl/>
              <w:jc w:val="right"/>
              <w:textAlignment w:val="center"/>
              <w:rPr>
                <w:szCs w:val="21"/>
              </w:rPr>
            </w:pPr>
            <w:r>
              <w:rPr>
                <w:kern w:val="0"/>
                <w:szCs w:val="21"/>
                <w:lang w:bidi="ar"/>
              </w:rPr>
              <w:t>246</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6004149">
            <w:pPr>
              <w:widowControl/>
              <w:jc w:val="right"/>
              <w:textAlignment w:val="center"/>
              <w:rPr>
                <w:szCs w:val="21"/>
              </w:rPr>
            </w:pPr>
            <w:r>
              <w:rPr>
                <w:kern w:val="0"/>
                <w:szCs w:val="21"/>
                <w:lang w:bidi="ar"/>
              </w:rPr>
              <w:t>4.8774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D45C6AE">
            <w:pPr>
              <w:widowControl/>
              <w:jc w:val="right"/>
              <w:textAlignment w:val="center"/>
              <w:rPr>
                <w:szCs w:val="21"/>
              </w:rPr>
            </w:pPr>
            <w:r>
              <w:rPr>
                <w:kern w:val="0"/>
                <w:szCs w:val="21"/>
                <w:lang w:bidi="ar"/>
              </w:rPr>
              <w:t>2.44</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75500ED3">
            <w:pPr>
              <w:jc w:val="center"/>
              <w:rPr>
                <w:szCs w:val="21"/>
              </w:rPr>
            </w:pPr>
          </w:p>
        </w:tc>
      </w:tr>
      <w:tr w14:paraId="1974439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35FB4EA">
            <w:pPr>
              <w:widowControl/>
              <w:jc w:val="right"/>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933D152">
            <w:pPr>
              <w:widowControl/>
              <w:jc w:val="right"/>
              <w:textAlignment w:val="center"/>
              <w:rPr>
                <w:szCs w:val="21"/>
              </w:rPr>
            </w:pPr>
            <w:r>
              <w:rPr>
                <w:kern w:val="0"/>
                <w:szCs w:val="21"/>
                <w:lang w:bidi="ar"/>
              </w:rPr>
              <w:t>0.35457</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DEBD8FF">
            <w:pPr>
              <w:widowControl/>
              <w:jc w:val="right"/>
              <w:textAlignment w:val="center"/>
              <w:rPr>
                <w:szCs w:val="21"/>
              </w:rPr>
            </w:pPr>
            <w:r>
              <w:rPr>
                <w:kern w:val="0"/>
                <w:szCs w:val="21"/>
                <w:lang w:bidi="ar"/>
              </w:rPr>
              <w:t>0.18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E09005E">
            <w:pPr>
              <w:widowControl/>
              <w:jc w:val="right"/>
              <w:textAlignment w:val="center"/>
              <w:rPr>
                <w:szCs w:val="21"/>
              </w:rPr>
            </w:pPr>
            <w:r>
              <w:rPr>
                <w:kern w:val="0"/>
                <w:szCs w:val="21"/>
                <w:lang w:bidi="ar"/>
              </w:rPr>
              <w:t>0.014183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74F6961">
            <w:pPr>
              <w:widowControl/>
              <w:jc w:val="right"/>
              <w:textAlignment w:val="center"/>
              <w:rPr>
                <w:szCs w:val="21"/>
              </w:rPr>
            </w:pPr>
            <w:r>
              <w:rPr>
                <w:kern w:val="0"/>
                <w:szCs w:val="21"/>
                <w:lang w:bidi="ar"/>
              </w:rPr>
              <w:t>0.14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9CAA4ED">
            <w:pPr>
              <w:widowControl/>
              <w:jc w:val="right"/>
              <w:textAlignment w:val="center"/>
              <w:rPr>
                <w:szCs w:val="21"/>
              </w:rPr>
            </w:pPr>
            <w:r>
              <w:rPr>
                <w:kern w:val="0"/>
                <w:szCs w:val="21"/>
                <w:lang w:bidi="ar"/>
              </w:rPr>
              <w:t>300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574DCCB">
            <w:pPr>
              <w:widowControl/>
              <w:jc w:val="right"/>
              <w:textAlignment w:val="center"/>
              <w:rPr>
                <w:szCs w:val="21"/>
              </w:rPr>
            </w:pPr>
            <w:r>
              <w:rPr>
                <w:kern w:val="0"/>
                <w:szCs w:val="21"/>
                <w:lang w:bidi="ar"/>
              </w:rPr>
              <w:t>0.35457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8445C15">
            <w:pPr>
              <w:widowControl/>
              <w:jc w:val="right"/>
              <w:textAlignment w:val="center"/>
              <w:rPr>
                <w:szCs w:val="21"/>
              </w:rPr>
            </w:pPr>
            <w:r>
              <w:rPr>
                <w:kern w:val="0"/>
                <w:szCs w:val="21"/>
                <w:lang w:bidi="ar"/>
              </w:rPr>
              <w:t>0.18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437299B1">
            <w:pPr>
              <w:widowControl/>
              <w:jc w:val="right"/>
              <w:textAlignment w:val="center"/>
              <w:rPr>
                <w:szCs w:val="21"/>
              </w:rPr>
            </w:pPr>
            <w:r>
              <w:rPr>
                <w:kern w:val="0"/>
                <w:szCs w:val="21"/>
                <w:lang w:bidi="ar"/>
              </w:rPr>
              <w:t>0.014183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AA8AAAA">
            <w:pPr>
              <w:widowControl/>
              <w:jc w:val="right"/>
              <w:textAlignment w:val="center"/>
              <w:rPr>
                <w:szCs w:val="21"/>
              </w:rPr>
            </w:pPr>
            <w:r>
              <w:rPr>
                <w:kern w:val="0"/>
                <w:szCs w:val="21"/>
                <w:lang w:bidi="ar"/>
              </w:rPr>
              <w:t>0.14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9A67009">
            <w:pPr>
              <w:widowControl/>
              <w:jc w:val="right"/>
              <w:textAlignment w:val="center"/>
              <w:rPr>
                <w:szCs w:val="21"/>
              </w:rPr>
            </w:pPr>
            <w:r>
              <w:rPr>
                <w:kern w:val="0"/>
                <w:szCs w:val="21"/>
                <w:lang w:bidi="ar"/>
              </w:rPr>
              <w:t>300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479B110">
            <w:pPr>
              <w:widowControl/>
              <w:jc w:val="right"/>
              <w:textAlignment w:val="center"/>
              <w:rPr>
                <w:szCs w:val="21"/>
              </w:rPr>
            </w:pPr>
            <w:r>
              <w:rPr>
                <w:kern w:val="0"/>
                <w:szCs w:val="21"/>
                <w:lang w:bidi="ar"/>
              </w:rPr>
              <w:t>0.58799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75D631AE">
            <w:pPr>
              <w:widowControl/>
              <w:jc w:val="right"/>
              <w:textAlignment w:val="center"/>
              <w:rPr>
                <w:szCs w:val="21"/>
              </w:rPr>
            </w:pPr>
            <w:r>
              <w:rPr>
                <w:kern w:val="0"/>
                <w:szCs w:val="21"/>
                <w:lang w:bidi="ar"/>
              </w:rPr>
              <w:t>0.29</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7FF7C298">
            <w:pPr>
              <w:jc w:val="center"/>
              <w:rPr>
                <w:szCs w:val="21"/>
              </w:rPr>
            </w:pPr>
          </w:p>
        </w:tc>
      </w:tr>
      <w:tr w14:paraId="1A9CAED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7BE64AA">
            <w:pPr>
              <w:widowControl/>
              <w:jc w:val="right"/>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37486C2">
            <w:pPr>
              <w:widowControl/>
              <w:jc w:val="right"/>
              <w:textAlignment w:val="center"/>
              <w:rPr>
                <w:szCs w:val="21"/>
              </w:rPr>
            </w:pPr>
            <w:r>
              <w:rPr>
                <w:kern w:val="0"/>
                <w:szCs w:val="21"/>
                <w:lang w:bidi="ar"/>
              </w:rPr>
              <w:t>0.29208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D7E588A">
            <w:pPr>
              <w:widowControl/>
              <w:jc w:val="right"/>
              <w:textAlignment w:val="center"/>
              <w:rPr>
                <w:szCs w:val="21"/>
              </w:rPr>
            </w:pPr>
            <w:r>
              <w:rPr>
                <w:kern w:val="0"/>
                <w:szCs w:val="21"/>
                <w:lang w:bidi="ar"/>
              </w:rPr>
              <w:t>0.15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C42A3F2">
            <w:pPr>
              <w:widowControl/>
              <w:jc w:val="right"/>
              <w:textAlignment w:val="center"/>
              <w:rPr>
                <w:szCs w:val="21"/>
              </w:rPr>
            </w:pPr>
            <w:r>
              <w:rPr>
                <w:kern w:val="0"/>
                <w:szCs w:val="21"/>
                <w:lang w:bidi="ar"/>
              </w:rPr>
              <w:t>0.011683</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5FB8067F">
            <w:pPr>
              <w:widowControl/>
              <w:jc w:val="right"/>
              <w:textAlignment w:val="center"/>
              <w:rPr>
                <w:szCs w:val="21"/>
              </w:rPr>
            </w:pPr>
            <w:r>
              <w:rPr>
                <w:kern w:val="0"/>
                <w:szCs w:val="21"/>
                <w:lang w:bidi="ar"/>
              </w:rPr>
              <w:t>0.12</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15D7F8BA">
            <w:pPr>
              <w:widowControl/>
              <w:jc w:val="right"/>
              <w:textAlignment w:val="center"/>
              <w:rPr>
                <w:szCs w:val="21"/>
              </w:rPr>
            </w:pPr>
            <w:r>
              <w:rPr>
                <w:kern w:val="0"/>
                <w:szCs w:val="21"/>
                <w:lang w:bidi="ar"/>
              </w:rPr>
              <w:t>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267E37AF">
            <w:pPr>
              <w:widowControl/>
              <w:jc w:val="right"/>
              <w:textAlignment w:val="center"/>
              <w:rPr>
                <w:szCs w:val="21"/>
              </w:rPr>
            </w:pPr>
            <w:r>
              <w:rPr>
                <w:kern w:val="0"/>
                <w:szCs w:val="21"/>
                <w:lang w:bidi="ar"/>
              </w:rPr>
              <w:t>0.29208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E150E2A">
            <w:pPr>
              <w:widowControl/>
              <w:jc w:val="right"/>
              <w:textAlignment w:val="center"/>
              <w:rPr>
                <w:szCs w:val="21"/>
              </w:rPr>
            </w:pPr>
            <w:r>
              <w:rPr>
                <w:kern w:val="0"/>
                <w:szCs w:val="21"/>
                <w:lang w:bidi="ar"/>
              </w:rPr>
              <w:t>0.15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D508957">
            <w:pPr>
              <w:widowControl/>
              <w:jc w:val="right"/>
              <w:textAlignment w:val="center"/>
              <w:rPr>
                <w:szCs w:val="21"/>
              </w:rPr>
            </w:pPr>
            <w:r>
              <w:rPr>
                <w:kern w:val="0"/>
                <w:szCs w:val="21"/>
                <w:lang w:bidi="ar"/>
              </w:rPr>
              <w:t>0.011683</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18D6119">
            <w:pPr>
              <w:widowControl/>
              <w:jc w:val="right"/>
              <w:textAlignment w:val="center"/>
              <w:rPr>
                <w:szCs w:val="21"/>
              </w:rPr>
            </w:pPr>
            <w:r>
              <w:rPr>
                <w:kern w:val="0"/>
                <w:szCs w:val="21"/>
                <w:lang w:bidi="ar"/>
              </w:rPr>
              <w:t>0.12</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4F03CC9E">
            <w:pPr>
              <w:widowControl/>
              <w:jc w:val="right"/>
              <w:textAlignment w:val="center"/>
              <w:rPr>
                <w:szCs w:val="21"/>
              </w:rPr>
            </w:pPr>
            <w:r>
              <w:rPr>
                <w:kern w:val="0"/>
                <w:szCs w:val="21"/>
                <w:lang w:bidi="ar"/>
              </w:rPr>
              <w:t>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10600B3">
            <w:pPr>
              <w:widowControl/>
              <w:jc w:val="right"/>
              <w:textAlignment w:val="center"/>
              <w:rPr>
                <w:szCs w:val="21"/>
              </w:rPr>
            </w:pPr>
            <w:r>
              <w:rPr>
                <w:kern w:val="0"/>
                <w:szCs w:val="21"/>
                <w:lang w:bidi="ar"/>
              </w:rPr>
              <w:t>1.933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9EDC29D">
            <w:pPr>
              <w:widowControl/>
              <w:jc w:val="right"/>
              <w:textAlignment w:val="center"/>
              <w:rPr>
                <w:szCs w:val="21"/>
              </w:rPr>
            </w:pPr>
            <w:r>
              <w:rPr>
                <w:kern w:val="0"/>
                <w:szCs w:val="21"/>
                <w:lang w:bidi="ar"/>
              </w:rPr>
              <w:t>0.97</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AEA8C8E">
            <w:pPr>
              <w:jc w:val="center"/>
              <w:rPr>
                <w:szCs w:val="21"/>
              </w:rPr>
            </w:pPr>
          </w:p>
        </w:tc>
      </w:tr>
      <w:tr w14:paraId="103F1412">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8F2929F">
            <w:pPr>
              <w:widowControl/>
              <w:jc w:val="right"/>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B6EE1B8">
            <w:pPr>
              <w:widowControl/>
              <w:jc w:val="right"/>
              <w:textAlignment w:val="center"/>
              <w:rPr>
                <w:szCs w:val="21"/>
              </w:rPr>
            </w:pPr>
            <w:r>
              <w:rPr>
                <w:kern w:val="0"/>
                <w:szCs w:val="21"/>
                <w:lang w:bidi="ar"/>
              </w:rPr>
              <w:t>0.24888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CAA6178">
            <w:pPr>
              <w:widowControl/>
              <w:jc w:val="right"/>
              <w:textAlignment w:val="center"/>
              <w:rPr>
                <w:szCs w:val="21"/>
              </w:rPr>
            </w:pPr>
            <w:r>
              <w:rPr>
                <w:kern w:val="0"/>
                <w:szCs w:val="21"/>
                <w:lang w:bidi="ar"/>
              </w:rPr>
              <w:t>0.12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B9A86C4">
            <w:pPr>
              <w:widowControl/>
              <w:jc w:val="right"/>
              <w:textAlignment w:val="center"/>
              <w:rPr>
                <w:szCs w:val="21"/>
              </w:rPr>
            </w:pPr>
            <w:r>
              <w:rPr>
                <w:kern w:val="0"/>
                <w:szCs w:val="21"/>
                <w:lang w:bidi="ar"/>
              </w:rPr>
              <w:t>0.009955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312D42A">
            <w:pPr>
              <w:widowControl/>
              <w:jc w:val="right"/>
              <w:textAlignment w:val="center"/>
              <w:rPr>
                <w:szCs w:val="21"/>
              </w:rPr>
            </w:pPr>
            <w:r>
              <w:rPr>
                <w:kern w:val="0"/>
                <w:szCs w:val="21"/>
                <w:lang w:bidi="ar"/>
              </w:rPr>
              <w:t>0.1</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F301CA4">
            <w:pPr>
              <w:widowControl/>
              <w:jc w:val="right"/>
              <w:textAlignment w:val="center"/>
              <w:rPr>
                <w:szCs w:val="21"/>
              </w:rPr>
            </w:pPr>
            <w:r>
              <w:rPr>
                <w:kern w:val="0"/>
                <w:szCs w:val="21"/>
                <w:lang w:bidi="ar"/>
              </w:rPr>
              <w:t>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532C9CD">
            <w:pPr>
              <w:widowControl/>
              <w:jc w:val="right"/>
              <w:textAlignment w:val="center"/>
              <w:rPr>
                <w:szCs w:val="21"/>
              </w:rPr>
            </w:pPr>
            <w:r>
              <w:rPr>
                <w:kern w:val="0"/>
                <w:szCs w:val="21"/>
                <w:lang w:bidi="ar"/>
              </w:rPr>
              <w:t>0.24888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1BFBB2B">
            <w:pPr>
              <w:widowControl/>
              <w:jc w:val="right"/>
              <w:textAlignment w:val="center"/>
              <w:rPr>
                <w:szCs w:val="21"/>
              </w:rPr>
            </w:pPr>
            <w:r>
              <w:rPr>
                <w:kern w:val="0"/>
                <w:szCs w:val="21"/>
                <w:lang w:bidi="ar"/>
              </w:rPr>
              <w:t>0.12</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65940E94">
            <w:pPr>
              <w:widowControl/>
              <w:jc w:val="right"/>
              <w:textAlignment w:val="center"/>
              <w:rPr>
                <w:szCs w:val="21"/>
              </w:rPr>
            </w:pPr>
            <w:r>
              <w:rPr>
                <w:kern w:val="0"/>
                <w:szCs w:val="21"/>
                <w:lang w:bidi="ar"/>
              </w:rPr>
              <w:t>0.009955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BC8FAB3">
            <w:pPr>
              <w:widowControl/>
              <w:jc w:val="right"/>
              <w:textAlignment w:val="center"/>
              <w:rPr>
                <w:szCs w:val="21"/>
              </w:rPr>
            </w:pPr>
            <w:r>
              <w:rPr>
                <w:kern w:val="0"/>
                <w:szCs w:val="21"/>
                <w:lang w:bidi="ar"/>
              </w:rPr>
              <w:t>0.1</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D2F7E14">
            <w:pPr>
              <w:widowControl/>
              <w:jc w:val="right"/>
              <w:textAlignment w:val="center"/>
              <w:rPr>
                <w:szCs w:val="21"/>
              </w:rPr>
            </w:pPr>
            <w:r>
              <w:rPr>
                <w:kern w:val="0"/>
                <w:szCs w:val="21"/>
                <w:lang w:bidi="ar"/>
              </w:rPr>
              <w:t>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D8103EC">
            <w:pPr>
              <w:widowControl/>
              <w:jc w:val="right"/>
              <w:textAlignment w:val="center"/>
              <w:rPr>
                <w:szCs w:val="21"/>
              </w:rPr>
            </w:pPr>
            <w:r>
              <w:rPr>
                <w:kern w:val="0"/>
                <w:szCs w:val="21"/>
                <w:lang w:bidi="ar"/>
              </w:rPr>
              <w:t>0.67626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0DC1D2E3">
            <w:pPr>
              <w:widowControl/>
              <w:jc w:val="right"/>
              <w:textAlignment w:val="center"/>
              <w:rPr>
                <w:szCs w:val="21"/>
              </w:rPr>
            </w:pPr>
            <w:r>
              <w:rPr>
                <w:kern w:val="0"/>
                <w:szCs w:val="21"/>
                <w:lang w:bidi="ar"/>
              </w:rPr>
              <w:t>0.34</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5B204F47">
            <w:pPr>
              <w:jc w:val="center"/>
              <w:rPr>
                <w:szCs w:val="21"/>
              </w:rPr>
            </w:pPr>
          </w:p>
        </w:tc>
      </w:tr>
      <w:tr w14:paraId="1F7C24FA">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828335E">
            <w:pPr>
              <w:widowControl/>
              <w:jc w:val="right"/>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5F1E884">
            <w:pPr>
              <w:widowControl/>
              <w:jc w:val="right"/>
              <w:textAlignment w:val="center"/>
              <w:rPr>
                <w:szCs w:val="21"/>
              </w:rPr>
            </w:pPr>
            <w:r>
              <w:rPr>
                <w:kern w:val="0"/>
                <w:szCs w:val="21"/>
                <w:lang w:bidi="ar"/>
              </w:rPr>
              <w:t>0.16786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14DA72C">
            <w:pPr>
              <w:widowControl/>
              <w:jc w:val="right"/>
              <w:textAlignment w:val="center"/>
              <w:rPr>
                <w:szCs w:val="21"/>
              </w:rPr>
            </w:pPr>
            <w:r>
              <w:rPr>
                <w:kern w:val="0"/>
                <w:szCs w:val="21"/>
                <w:lang w:bidi="ar"/>
              </w:rPr>
              <w:t>0.08</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E00F55B">
            <w:pPr>
              <w:widowControl/>
              <w:jc w:val="right"/>
              <w:textAlignment w:val="center"/>
              <w:rPr>
                <w:szCs w:val="21"/>
              </w:rPr>
            </w:pPr>
            <w:r>
              <w:rPr>
                <w:kern w:val="0"/>
                <w:szCs w:val="21"/>
                <w:lang w:bidi="ar"/>
              </w:rPr>
              <w:t>0.006714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6AAAA3B7">
            <w:pPr>
              <w:widowControl/>
              <w:jc w:val="right"/>
              <w:textAlignment w:val="center"/>
              <w:rPr>
                <w:szCs w:val="21"/>
              </w:rPr>
            </w:pPr>
            <w:r>
              <w:rPr>
                <w:kern w:val="0"/>
                <w:szCs w:val="21"/>
                <w:lang w:bidi="ar"/>
              </w:rPr>
              <w:t>0.07</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0A1ED7A0">
            <w:pPr>
              <w:widowControl/>
              <w:jc w:val="right"/>
              <w:textAlignment w:val="center"/>
              <w:rPr>
                <w:szCs w:val="21"/>
              </w:rPr>
            </w:pPr>
            <w:r>
              <w:rPr>
                <w:kern w:val="0"/>
                <w:szCs w:val="21"/>
                <w:lang w:bidi="ar"/>
              </w:rPr>
              <w:t>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E0664B6">
            <w:pPr>
              <w:widowControl/>
              <w:jc w:val="right"/>
              <w:textAlignment w:val="center"/>
              <w:rPr>
                <w:szCs w:val="21"/>
              </w:rPr>
            </w:pPr>
            <w:r>
              <w:rPr>
                <w:kern w:val="0"/>
                <w:szCs w:val="21"/>
                <w:lang w:bidi="ar"/>
              </w:rPr>
              <w:t>0.16786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E3DFF17">
            <w:pPr>
              <w:widowControl/>
              <w:jc w:val="right"/>
              <w:textAlignment w:val="center"/>
              <w:rPr>
                <w:szCs w:val="21"/>
              </w:rPr>
            </w:pPr>
            <w:r>
              <w:rPr>
                <w:kern w:val="0"/>
                <w:szCs w:val="21"/>
                <w:lang w:bidi="ar"/>
              </w:rPr>
              <w:t>0.08</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65005E2">
            <w:pPr>
              <w:widowControl/>
              <w:jc w:val="right"/>
              <w:textAlignment w:val="center"/>
              <w:rPr>
                <w:szCs w:val="21"/>
              </w:rPr>
            </w:pPr>
            <w:r>
              <w:rPr>
                <w:kern w:val="0"/>
                <w:szCs w:val="21"/>
                <w:lang w:bidi="ar"/>
              </w:rPr>
              <w:t>0.006714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3749B30E">
            <w:pPr>
              <w:widowControl/>
              <w:jc w:val="right"/>
              <w:textAlignment w:val="center"/>
              <w:rPr>
                <w:szCs w:val="21"/>
              </w:rPr>
            </w:pPr>
            <w:r>
              <w:rPr>
                <w:kern w:val="0"/>
                <w:szCs w:val="21"/>
                <w:lang w:bidi="ar"/>
              </w:rPr>
              <w:t>0.07</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26FD8CB">
            <w:pPr>
              <w:widowControl/>
              <w:jc w:val="right"/>
              <w:textAlignment w:val="center"/>
              <w:rPr>
                <w:szCs w:val="21"/>
              </w:rPr>
            </w:pPr>
            <w:r>
              <w:rPr>
                <w:kern w:val="0"/>
                <w:szCs w:val="21"/>
                <w:lang w:bidi="ar"/>
              </w:rPr>
              <w:t>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3DB2EF6E">
            <w:pPr>
              <w:widowControl/>
              <w:jc w:val="right"/>
              <w:textAlignment w:val="center"/>
              <w:rPr>
                <w:szCs w:val="21"/>
              </w:rPr>
            </w:pPr>
            <w:r>
              <w:rPr>
                <w:kern w:val="0"/>
                <w:szCs w:val="21"/>
                <w:lang w:bidi="ar"/>
              </w:rPr>
              <w:t>0.11673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EC8E187">
            <w:pPr>
              <w:widowControl/>
              <w:jc w:val="right"/>
              <w:textAlignment w:val="center"/>
              <w:rPr>
                <w:szCs w:val="21"/>
              </w:rPr>
            </w:pPr>
            <w:r>
              <w:rPr>
                <w:kern w:val="0"/>
                <w:szCs w:val="21"/>
                <w:lang w:bidi="ar"/>
              </w:rPr>
              <w:t>0.06</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7E9604CF">
            <w:pPr>
              <w:jc w:val="center"/>
              <w:rPr>
                <w:szCs w:val="21"/>
              </w:rPr>
            </w:pPr>
          </w:p>
        </w:tc>
      </w:tr>
      <w:tr w14:paraId="22AE91B3">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DF56458">
            <w:pPr>
              <w:widowControl/>
              <w:jc w:val="right"/>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4F169D0">
            <w:pPr>
              <w:widowControl/>
              <w:jc w:val="right"/>
              <w:textAlignment w:val="center"/>
              <w:rPr>
                <w:szCs w:val="21"/>
              </w:rPr>
            </w:pPr>
            <w:r>
              <w:rPr>
                <w:kern w:val="0"/>
                <w:szCs w:val="21"/>
                <w:lang w:bidi="ar"/>
              </w:rPr>
              <w:t>0.14323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5F13892">
            <w:pPr>
              <w:widowControl/>
              <w:jc w:val="right"/>
              <w:textAlignment w:val="center"/>
              <w:rPr>
                <w:szCs w:val="21"/>
              </w:rPr>
            </w:pPr>
            <w:r>
              <w:rPr>
                <w:kern w:val="0"/>
                <w:szCs w:val="21"/>
                <w:lang w:bidi="ar"/>
              </w:rPr>
              <w:t>0.07</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F6B0D22">
            <w:pPr>
              <w:widowControl/>
              <w:jc w:val="right"/>
              <w:textAlignment w:val="center"/>
              <w:rPr>
                <w:szCs w:val="21"/>
              </w:rPr>
            </w:pPr>
            <w:r>
              <w:rPr>
                <w:kern w:val="0"/>
                <w:szCs w:val="21"/>
                <w:lang w:bidi="ar"/>
              </w:rPr>
              <w:t>0.005729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5124267">
            <w:pPr>
              <w:widowControl/>
              <w:jc w:val="right"/>
              <w:textAlignment w:val="center"/>
              <w:rPr>
                <w:szCs w:val="21"/>
              </w:rPr>
            </w:pPr>
            <w:r>
              <w:rPr>
                <w:kern w:val="0"/>
                <w:szCs w:val="21"/>
                <w:lang w:bidi="ar"/>
              </w:rPr>
              <w:t>0.06</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CF0038B">
            <w:pPr>
              <w:widowControl/>
              <w:jc w:val="right"/>
              <w:textAlignment w:val="center"/>
              <w:rPr>
                <w:szCs w:val="21"/>
              </w:rPr>
            </w:pPr>
            <w:r>
              <w:rPr>
                <w:kern w:val="0"/>
                <w:szCs w:val="21"/>
                <w:lang w:bidi="ar"/>
              </w:rPr>
              <w:t>1000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C16C22D">
            <w:pPr>
              <w:widowControl/>
              <w:jc w:val="right"/>
              <w:textAlignment w:val="center"/>
              <w:rPr>
                <w:szCs w:val="21"/>
              </w:rPr>
            </w:pPr>
            <w:r>
              <w:rPr>
                <w:kern w:val="0"/>
                <w:szCs w:val="21"/>
                <w:lang w:bidi="ar"/>
              </w:rPr>
              <w:t>0.14323</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D07CEC5">
            <w:pPr>
              <w:widowControl/>
              <w:jc w:val="right"/>
              <w:textAlignment w:val="center"/>
              <w:rPr>
                <w:szCs w:val="21"/>
              </w:rPr>
            </w:pPr>
            <w:r>
              <w:rPr>
                <w:kern w:val="0"/>
                <w:szCs w:val="21"/>
                <w:lang w:bidi="ar"/>
              </w:rPr>
              <w:t>0.07</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05D0A35">
            <w:pPr>
              <w:widowControl/>
              <w:jc w:val="right"/>
              <w:textAlignment w:val="center"/>
              <w:rPr>
                <w:szCs w:val="21"/>
              </w:rPr>
            </w:pPr>
            <w:r>
              <w:rPr>
                <w:kern w:val="0"/>
                <w:szCs w:val="21"/>
                <w:lang w:bidi="ar"/>
              </w:rPr>
              <w:t>0.005729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18B9FDDC">
            <w:pPr>
              <w:widowControl/>
              <w:jc w:val="right"/>
              <w:textAlignment w:val="center"/>
              <w:rPr>
                <w:szCs w:val="21"/>
              </w:rPr>
            </w:pPr>
            <w:r>
              <w:rPr>
                <w:kern w:val="0"/>
                <w:szCs w:val="21"/>
                <w:lang w:bidi="ar"/>
              </w:rPr>
              <w:t>0.06</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26854D27">
            <w:pPr>
              <w:widowControl/>
              <w:jc w:val="right"/>
              <w:textAlignment w:val="center"/>
              <w:rPr>
                <w:szCs w:val="21"/>
              </w:rPr>
            </w:pPr>
            <w:r>
              <w:rPr>
                <w:kern w:val="0"/>
                <w:szCs w:val="21"/>
                <w:lang w:bidi="ar"/>
              </w:rPr>
              <w:t>1000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DDFB585">
            <w:pPr>
              <w:widowControl/>
              <w:jc w:val="right"/>
              <w:textAlignment w:val="center"/>
              <w:rPr>
                <w:szCs w:val="21"/>
              </w:rPr>
            </w:pPr>
            <w:r>
              <w:rPr>
                <w:kern w:val="0"/>
                <w:szCs w:val="21"/>
                <w:lang w:bidi="ar"/>
              </w:rPr>
              <w:t>0.83469</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1C82187">
            <w:pPr>
              <w:widowControl/>
              <w:jc w:val="right"/>
              <w:textAlignment w:val="center"/>
              <w:rPr>
                <w:szCs w:val="21"/>
              </w:rPr>
            </w:pPr>
            <w:r>
              <w:rPr>
                <w:kern w:val="0"/>
                <w:szCs w:val="21"/>
                <w:lang w:bidi="ar"/>
              </w:rPr>
              <w:t>0.42</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6EB79D11">
            <w:pPr>
              <w:jc w:val="center"/>
              <w:rPr>
                <w:szCs w:val="21"/>
              </w:rPr>
            </w:pPr>
          </w:p>
        </w:tc>
      </w:tr>
      <w:tr w14:paraId="53971BA8">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3FA7ACED">
            <w:pPr>
              <w:widowControl/>
              <w:jc w:val="right"/>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50D783B1">
            <w:pPr>
              <w:widowControl/>
              <w:jc w:val="right"/>
              <w:textAlignment w:val="center"/>
              <w:rPr>
                <w:szCs w:val="21"/>
              </w:rPr>
            </w:pPr>
            <w:r>
              <w:rPr>
                <w:kern w:val="0"/>
                <w:szCs w:val="21"/>
                <w:lang w:bidi="ar"/>
              </w:rPr>
              <w:t>0.12451</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F32D38F">
            <w:pPr>
              <w:widowControl/>
              <w:jc w:val="right"/>
              <w:textAlignment w:val="center"/>
              <w:rPr>
                <w:szCs w:val="21"/>
              </w:rPr>
            </w:pPr>
            <w:r>
              <w:rPr>
                <w:kern w:val="0"/>
                <w:szCs w:val="21"/>
                <w:lang w:bidi="ar"/>
              </w:rPr>
              <w:t>0.06</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269CA66">
            <w:pPr>
              <w:widowControl/>
              <w:jc w:val="right"/>
              <w:textAlignment w:val="center"/>
              <w:rPr>
                <w:szCs w:val="21"/>
              </w:rPr>
            </w:pPr>
            <w:r>
              <w:rPr>
                <w:kern w:val="0"/>
                <w:szCs w:val="21"/>
                <w:lang w:bidi="ar"/>
              </w:rPr>
              <w:t>0.00498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7669EBF">
            <w:pPr>
              <w:widowControl/>
              <w:jc w:val="right"/>
              <w:textAlignment w:val="center"/>
              <w:rPr>
                <w:szCs w:val="21"/>
              </w:rPr>
            </w:pPr>
            <w:r>
              <w:rPr>
                <w:kern w:val="0"/>
                <w:szCs w:val="21"/>
                <w:lang w:bidi="ar"/>
              </w:rPr>
              <w:t>0.05</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E1E05F8">
            <w:pPr>
              <w:widowControl/>
              <w:jc w:val="right"/>
              <w:textAlignment w:val="center"/>
              <w:rPr>
                <w:szCs w:val="21"/>
              </w:rPr>
            </w:pPr>
            <w:r>
              <w:rPr>
                <w:kern w:val="0"/>
                <w:szCs w:val="21"/>
                <w:lang w:bidi="ar"/>
              </w:rPr>
              <w:t>1200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7643887">
            <w:pPr>
              <w:widowControl/>
              <w:jc w:val="right"/>
              <w:textAlignment w:val="center"/>
              <w:rPr>
                <w:szCs w:val="21"/>
              </w:rPr>
            </w:pPr>
            <w:r>
              <w:rPr>
                <w:kern w:val="0"/>
                <w:szCs w:val="21"/>
                <w:lang w:bidi="ar"/>
              </w:rPr>
              <w:t>0.12451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24AA349">
            <w:pPr>
              <w:widowControl/>
              <w:jc w:val="right"/>
              <w:textAlignment w:val="center"/>
              <w:rPr>
                <w:szCs w:val="21"/>
              </w:rPr>
            </w:pPr>
            <w:r>
              <w:rPr>
                <w:kern w:val="0"/>
                <w:szCs w:val="21"/>
                <w:lang w:bidi="ar"/>
              </w:rPr>
              <w:t>0.06</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BF7469F">
            <w:pPr>
              <w:widowControl/>
              <w:jc w:val="right"/>
              <w:textAlignment w:val="center"/>
              <w:rPr>
                <w:szCs w:val="21"/>
              </w:rPr>
            </w:pPr>
            <w:r>
              <w:rPr>
                <w:kern w:val="0"/>
                <w:szCs w:val="21"/>
                <w:lang w:bidi="ar"/>
              </w:rPr>
              <w:t>0.00498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6DC4C3AA">
            <w:pPr>
              <w:widowControl/>
              <w:jc w:val="right"/>
              <w:textAlignment w:val="center"/>
              <w:rPr>
                <w:szCs w:val="21"/>
              </w:rPr>
            </w:pPr>
            <w:r>
              <w:rPr>
                <w:kern w:val="0"/>
                <w:szCs w:val="21"/>
                <w:lang w:bidi="ar"/>
              </w:rPr>
              <w:t>0.05</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528321A">
            <w:pPr>
              <w:widowControl/>
              <w:jc w:val="right"/>
              <w:textAlignment w:val="center"/>
              <w:rPr>
                <w:szCs w:val="21"/>
              </w:rPr>
            </w:pPr>
            <w:r>
              <w:rPr>
                <w:kern w:val="0"/>
                <w:szCs w:val="21"/>
                <w:lang w:bidi="ar"/>
              </w:rPr>
              <w:t>1200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DE58BAB">
            <w:pPr>
              <w:widowControl/>
              <w:jc w:val="right"/>
              <w:textAlignment w:val="center"/>
              <w:rPr>
                <w:szCs w:val="21"/>
              </w:rPr>
            </w:pPr>
            <w:r>
              <w:rPr>
                <w:kern w:val="0"/>
                <w:szCs w:val="21"/>
                <w:lang w:bidi="ar"/>
              </w:rPr>
              <w:t>0.35736</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4B1024E7">
            <w:pPr>
              <w:widowControl/>
              <w:jc w:val="right"/>
              <w:textAlignment w:val="center"/>
              <w:rPr>
                <w:szCs w:val="21"/>
              </w:rPr>
            </w:pPr>
            <w:r>
              <w:rPr>
                <w:kern w:val="0"/>
                <w:szCs w:val="21"/>
                <w:lang w:bidi="ar"/>
              </w:rPr>
              <w:t>0.18</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15316D27">
            <w:pPr>
              <w:jc w:val="center"/>
              <w:rPr>
                <w:szCs w:val="21"/>
              </w:rPr>
            </w:pPr>
          </w:p>
        </w:tc>
      </w:tr>
      <w:tr w14:paraId="5E9329E1">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5A2B6775">
            <w:pPr>
              <w:widowControl/>
              <w:jc w:val="right"/>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4F2D7E2A">
            <w:pPr>
              <w:widowControl/>
              <w:jc w:val="right"/>
              <w:textAlignment w:val="center"/>
              <w:rPr>
                <w:szCs w:val="21"/>
              </w:rPr>
            </w:pPr>
            <w:r>
              <w:rPr>
                <w:kern w:val="0"/>
                <w:szCs w:val="21"/>
                <w:lang w:bidi="ar"/>
              </w:rPr>
              <w:t>0.10994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94A85E1">
            <w:pPr>
              <w:widowControl/>
              <w:jc w:val="right"/>
              <w:textAlignment w:val="center"/>
              <w:rPr>
                <w:szCs w:val="21"/>
              </w:rPr>
            </w:pPr>
            <w:r>
              <w:rPr>
                <w:kern w:val="0"/>
                <w:szCs w:val="21"/>
                <w:lang w:bidi="ar"/>
              </w:rPr>
              <w:t>0.05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2FD2AC8">
            <w:pPr>
              <w:widowControl/>
              <w:jc w:val="right"/>
              <w:textAlignment w:val="center"/>
              <w:rPr>
                <w:szCs w:val="21"/>
              </w:rPr>
            </w:pPr>
            <w:r>
              <w:rPr>
                <w:kern w:val="0"/>
                <w:szCs w:val="21"/>
                <w:lang w:bidi="ar"/>
              </w:rPr>
              <w:t>0.004398</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9B11577">
            <w:pPr>
              <w:widowControl/>
              <w:jc w:val="right"/>
              <w:textAlignment w:val="center"/>
              <w:rPr>
                <w:szCs w:val="21"/>
              </w:rPr>
            </w:pPr>
            <w:r>
              <w:rPr>
                <w:kern w:val="0"/>
                <w:szCs w:val="21"/>
                <w:lang w:bidi="ar"/>
              </w:rPr>
              <w:t>0.04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26A09406">
            <w:pPr>
              <w:widowControl/>
              <w:jc w:val="right"/>
              <w:textAlignment w:val="center"/>
              <w:rPr>
                <w:szCs w:val="21"/>
              </w:rPr>
            </w:pPr>
            <w:r>
              <w:rPr>
                <w:kern w:val="0"/>
                <w:szCs w:val="21"/>
                <w:lang w:bidi="ar"/>
              </w:rPr>
              <w:t>1400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084EA002">
            <w:pPr>
              <w:widowControl/>
              <w:jc w:val="right"/>
              <w:textAlignment w:val="center"/>
              <w:rPr>
                <w:szCs w:val="21"/>
              </w:rPr>
            </w:pPr>
            <w:r>
              <w:rPr>
                <w:kern w:val="0"/>
                <w:szCs w:val="21"/>
                <w:lang w:bidi="ar"/>
              </w:rPr>
              <w:t>0.10994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287EAD6">
            <w:pPr>
              <w:widowControl/>
              <w:jc w:val="right"/>
              <w:textAlignment w:val="center"/>
              <w:rPr>
                <w:szCs w:val="21"/>
              </w:rPr>
            </w:pPr>
            <w:r>
              <w:rPr>
                <w:kern w:val="0"/>
                <w:szCs w:val="21"/>
                <w:lang w:bidi="ar"/>
              </w:rPr>
              <w:t>0.05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6681080">
            <w:pPr>
              <w:widowControl/>
              <w:jc w:val="right"/>
              <w:textAlignment w:val="center"/>
              <w:rPr>
                <w:szCs w:val="21"/>
              </w:rPr>
            </w:pPr>
            <w:r>
              <w:rPr>
                <w:kern w:val="0"/>
                <w:szCs w:val="21"/>
                <w:lang w:bidi="ar"/>
              </w:rPr>
              <w:t>0.004398</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03EED651">
            <w:pPr>
              <w:widowControl/>
              <w:jc w:val="right"/>
              <w:textAlignment w:val="center"/>
              <w:rPr>
                <w:szCs w:val="21"/>
              </w:rPr>
            </w:pPr>
            <w:r>
              <w:rPr>
                <w:kern w:val="0"/>
                <w:szCs w:val="21"/>
                <w:lang w:bidi="ar"/>
              </w:rPr>
              <w:t>0.04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38B9CD24">
            <w:pPr>
              <w:widowControl/>
              <w:jc w:val="right"/>
              <w:textAlignment w:val="center"/>
              <w:rPr>
                <w:szCs w:val="21"/>
              </w:rPr>
            </w:pPr>
            <w:r>
              <w:rPr>
                <w:kern w:val="0"/>
                <w:szCs w:val="21"/>
                <w:lang w:bidi="ar"/>
              </w:rPr>
              <w:t>1400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5F470CD">
            <w:pPr>
              <w:widowControl/>
              <w:jc w:val="right"/>
              <w:textAlignment w:val="center"/>
              <w:rPr>
                <w:szCs w:val="21"/>
              </w:rPr>
            </w:pPr>
            <w:r>
              <w:rPr>
                <w:kern w:val="0"/>
                <w:szCs w:val="21"/>
                <w:lang w:bidi="ar"/>
              </w:rPr>
              <w:t>0.18372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48D0D2E">
            <w:pPr>
              <w:widowControl/>
              <w:jc w:val="right"/>
              <w:textAlignment w:val="center"/>
              <w:rPr>
                <w:szCs w:val="21"/>
              </w:rPr>
            </w:pPr>
            <w:r>
              <w:rPr>
                <w:kern w:val="0"/>
                <w:szCs w:val="21"/>
                <w:lang w:bidi="ar"/>
              </w:rPr>
              <w:t>0.09</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38ABF494">
            <w:pPr>
              <w:jc w:val="center"/>
              <w:rPr>
                <w:szCs w:val="21"/>
              </w:rPr>
            </w:pPr>
          </w:p>
        </w:tc>
      </w:tr>
      <w:tr w14:paraId="781400E6">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C13C4DD">
            <w:pPr>
              <w:widowControl/>
              <w:jc w:val="right"/>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C0271B4">
            <w:pPr>
              <w:widowControl/>
              <w:jc w:val="right"/>
              <w:textAlignment w:val="center"/>
              <w:rPr>
                <w:szCs w:val="21"/>
              </w:rPr>
            </w:pPr>
            <w:r>
              <w:rPr>
                <w:kern w:val="0"/>
                <w:szCs w:val="21"/>
                <w:lang w:bidi="ar"/>
              </w:rPr>
              <w:t>0.098602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ED6B8EE">
            <w:pPr>
              <w:widowControl/>
              <w:jc w:val="right"/>
              <w:textAlignment w:val="center"/>
              <w:rPr>
                <w:szCs w:val="21"/>
              </w:rPr>
            </w:pPr>
            <w:r>
              <w:rPr>
                <w:kern w:val="0"/>
                <w:szCs w:val="21"/>
                <w:lang w:bidi="ar"/>
              </w:rPr>
              <w:t>0.05</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A4AFAE8">
            <w:pPr>
              <w:widowControl/>
              <w:jc w:val="right"/>
              <w:textAlignment w:val="center"/>
              <w:rPr>
                <w:szCs w:val="21"/>
              </w:rPr>
            </w:pPr>
            <w:r>
              <w:rPr>
                <w:kern w:val="0"/>
                <w:szCs w:val="21"/>
                <w:lang w:bidi="ar"/>
              </w:rPr>
              <w:t>0.003944</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830326D">
            <w:pPr>
              <w:widowControl/>
              <w:jc w:val="right"/>
              <w:textAlignment w:val="center"/>
              <w:rPr>
                <w:szCs w:val="21"/>
              </w:rPr>
            </w:pPr>
            <w:r>
              <w:rPr>
                <w:kern w:val="0"/>
                <w:szCs w:val="21"/>
                <w:lang w:bidi="ar"/>
              </w:rPr>
              <w:t>0.04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C3E4B6C">
            <w:pPr>
              <w:widowControl/>
              <w:jc w:val="right"/>
              <w:textAlignment w:val="center"/>
              <w:rPr>
                <w:szCs w:val="21"/>
              </w:rPr>
            </w:pPr>
            <w:r>
              <w:rPr>
                <w:kern w:val="0"/>
                <w:szCs w:val="21"/>
                <w:lang w:bidi="ar"/>
              </w:rPr>
              <w:t>1600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6B93738">
            <w:pPr>
              <w:widowControl/>
              <w:jc w:val="right"/>
              <w:textAlignment w:val="center"/>
              <w:rPr>
                <w:szCs w:val="21"/>
              </w:rPr>
            </w:pPr>
            <w:r>
              <w:rPr>
                <w:kern w:val="0"/>
                <w:szCs w:val="21"/>
                <w:lang w:bidi="ar"/>
              </w:rPr>
              <w:t>0.098602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4F20A57">
            <w:pPr>
              <w:widowControl/>
              <w:jc w:val="right"/>
              <w:textAlignment w:val="center"/>
              <w:rPr>
                <w:szCs w:val="21"/>
              </w:rPr>
            </w:pPr>
            <w:r>
              <w:rPr>
                <w:kern w:val="0"/>
                <w:szCs w:val="21"/>
                <w:lang w:bidi="ar"/>
              </w:rPr>
              <w:t>0.05</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56B405A">
            <w:pPr>
              <w:widowControl/>
              <w:jc w:val="right"/>
              <w:textAlignment w:val="center"/>
              <w:rPr>
                <w:szCs w:val="21"/>
              </w:rPr>
            </w:pPr>
            <w:r>
              <w:rPr>
                <w:kern w:val="0"/>
                <w:szCs w:val="21"/>
                <w:lang w:bidi="ar"/>
              </w:rPr>
              <w:t>0.003944</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4C40706D">
            <w:pPr>
              <w:widowControl/>
              <w:jc w:val="right"/>
              <w:textAlignment w:val="center"/>
              <w:rPr>
                <w:szCs w:val="21"/>
              </w:rPr>
            </w:pPr>
            <w:r>
              <w:rPr>
                <w:kern w:val="0"/>
                <w:szCs w:val="21"/>
                <w:lang w:bidi="ar"/>
              </w:rPr>
              <w:t>0.04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F758CC5">
            <w:pPr>
              <w:widowControl/>
              <w:jc w:val="right"/>
              <w:textAlignment w:val="center"/>
              <w:rPr>
                <w:szCs w:val="21"/>
              </w:rPr>
            </w:pPr>
            <w:r>
              <w:rPr>
                <w:kern w:val="0"/>
                <w:szCs w:val="21"/>
                <w:lang w:bidi="ar"/>
              </w:rPr>
              <w:t>1600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580B737">
            <w:pPr>
              <w:widowControl/>
              <w:jc w:val="right"/>
              <w:textAlignment w:val="center"/>
              <w:rPr>
                <w:szCs w:val="21"/>
              </w:rPr>
            </w:pPr>
            <w:r>
              <w:rPr>
                <w:kern w:val="0"/>
                <w:szCs w:val="21"/>
                <w:lang w:bidi="ar"/>
              </w:rPr>
              <w:t>0.080003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34F362C2">
            <w:pPr>
              <w:widowControl/>
              <w:jc w:val="right"/>
              <w:textAlignment w:val="center"/>
              <w:rPr>
                <w:szCs w:val="21"/>
              </w:rPr>
            </w:pPr>
            <w:r>
              <w:rPr>
                <w:kern w:val="0"/>
                <w:szCs w:val="21"/>
                <w:lang w:bidi="ar"/>
              </w:rPr>
              <w:t>0.04</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6E85DB4">
            <w:pPr>
              <w:jc w:val="center"/>
              <w:rPr>
                <w:szCs w:val="21"/>
              </w:rPr>
            </w:pPr>
          </w:p>
        </w:tc>
      </w:tr>
      <w:tr w14:paraId="6EFCC50E">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1B9A23D">
            <w:pPr>
              <w:widowControl/>
              <w:jc w:val="right"/>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1EF6758">
            <w:pPr>
              <w:widowControl/>
              <w:jc w:val="right"/>
              <w:textAlignment w:val="center"/>
              <w:rPr>
                <w:szCs w:val="21"/>
              </w:rPr>
            </w:pPr>
            <w:r>
              <w:rPr>
                <w:kern w:val="0"/>
                <w:szCs w:val="21"/>
                <w:lang w:bidi="ar"/>
              </w:rPr>
              <w:t>0.089726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107C6268">
            <w:pPr>
              <w:widowControl/>
              <w:jc w:val="right"/>
              <w:textAlignment w:val="center"/>
              <w:rPr>
                <w:szCs w:val="21"/>
              </w:rPr>
            </w:pPr>
            <w:r>
              <w:rPr>
                <w:kern w:val="0"/>
                <w:szCs w:val="21"/>
                <w:lang w:bidi="ar"/>
              </w:rPr>
              <w:t>0.04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36A8911">
            <w:pPr>
              <w:widowControl/>
              <w:jc w:val="right"/>
              <w:textAlignment w:val="center"/>
              <w:rPr>
                <w:szCs w:val="21"/>
              </w:rPr>
            </w:pPr>
            <w:r>
              <w:rPr>
                <w:kern w:val="0"/>
                <w:szCs w:val="21"/>
                <w:lang w:bidi="ar"/>
              </w:rPr>
              <w:t>0.003589</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11E7A6E2">
            <w:pPr>
              <w:widowControl/>
              <w:jc w:val="right"/>
              <w:textAlignment w:val="center"/>
              <w:rPr>
                <w:szCs w:val="21"/>
              </w:rPr>
            </w:pPr>
            <w:r>
              <w:rPr>
                <w:kern w:val="0"/>
                <w:szCs w:val="21"/>
                <w:lang w:bidi="ar"/>
              </w:rPr>
              <w:t>0.04</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680082CD">
            <w:pPr>
              <w:widowControl/>
              <w:jc w:val="right"/>
              <w:textAlignment w:val="center"/>
              <w:rPr>
                <w:szCs w:val="21"/>
              </w:rPr>
            </w:pPr>
            <w:r>
              <w:rPr>
                <w:kern w:val="0"/>
                <w:szCs w:val="21"/>
                <w:lang w:bidi="ar"/>
              </w:rPr>
              <w:t>1800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5FB67870">
            <w:pPr>
              <w:widowControl/>
              <w:jc w:val="right"/>
              <w:textAlignment w:val="center"/>
              <w:rPr>
                <w:szCs w:val="21"/>
              </w:rPr>
            </w:pPr>
            <w:r>
              <w:rPr>
                <w:kern w:val="0"/>
                <w:szCs w:val="21"/>
                <w:lang w:bidi="ar"/>
              </w:rPr>
              <w:t>0.089726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2F24C57">
            <w:pPr>
              <w:widowControl/>
              <w:jc w:val="right"/>
              <w:textAlignment w:val="center"/>
              <w:rPr>
                <w:szCs w:val="21"/>
              </w:rPr>
            </w:pPr>
            <w:r>
              <w:rPr>
                <w:kern w:val="0"/>
                <w:szCs w:val="21"/>
                <w:lang w:bidi="ar"/>
              </w:rPr>
              <w:t>0.04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B0A1B95">
            <w:pPr>
              <w:widowControl/>
              <w:jc w:val="right"/>
              <w:textAlignment w:val="center"/>
              <w:rPr>
                <w:szCs w:val="21"/>
              </w:rPr>
            </w:pPr>
            <w:r>
              <w:rPr>
                <w:kern w:val="0"/>
                <w:szCs w:val="21"/>
                <w:lang w:bidi="ar"/>
              </w:rPr>
              <w:t>0.003589</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A910D48">
            <w:pPr>
              <w:widowControl/>
              <w:jc w:val="right"/>
              <w:textAlignment w:val="center"/>
              <w:rPr>
                <w:szCs w:val="21"/>
              </w:rPr>
            </w:pPr>
            <w:r>
              <w:rPr>
                <w:kern w:val="0"/>
                <w:szCs w:val="21"/>
                <w:lang w:bidi="ar"/>
              </w:rPr>
              <w:t>0.04</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C3267B2">
            <w:pPr>
              <w:widowControl/>
              <w:jc w:val="right"/>
              <w:textAlignment w:val="center"/>
              <w:rPr>
                <w:szCs w:val="21"/>
              </w:rPr>
            </w:pPr>
            <w:r>
              <w:rPr>
                <w:kern w:val="0"/>
                <w:szCs w:val="21"/>
                <w:lang w:bidi="ar"/>
              </w:rPr>
              <w:t>1800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0AA2B42A">
            <w:pPr>
              <w:widowControl/>
              <w:jc w:val="right"/>
              <w:textAlignment w:val="center"/>
              <w:rPr>
                <w:szCs w:val="21"/>
              </w:rPr>
            </w:pPr>
            <w:r>
              <w:rPr>
                <w:kern w:val="0"/>
                <w:szCs w:val="21"/>
                <w:lang w:bidi="ar"/>
              </w:rPr>
              <w:t>0.40794</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6B963406">
            <w:pPr>
              <w:widowControl/>
              <w:jc w:val="right"/>
              <w:textAlignment w:val="center"/>
              <w:rPr>
                <w:szCs w:val="21"/>
              </w:rPr>
            </w:pPr>
            <w:r>
              <w:rPr>
                <w:kern w:val="0"/>
                <w:szCs w:val="21"/>
                <w:lang w:bidi="ar"/>
              </w:rPr>
              <w:t>0.2</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226A1491">
            <w:pPr>
              <w:jc w:val="center"/>
              <w:rPr>
                <w:szCs w:val="21"/>
              </w:rPr>
            </w:pPr>
          </w:p>
        </w:tc>
      </w:tr>
      <w:tr w14:paraId="16E91307">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8772552">
            <w:pPr>
              <w:widowControl/>
              <w:jc w:val="right"/>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31CA253">
            <w:pPr>
              <w:widowControl/>
              <w:jc w:val="right"/>
              <w:textAlignment w:val="center"/>
              <w:rPr>
                <w:szCs w:val="21"/>
              </w:rPr>
            </w:pPr>
            <w:r>
              <w:rPr>
                <w:kern w:val="0"/>
                <w:szCs w:val="21"/>
                <w:lang w:bidi="ar"/>
              </w:rPr>
              <w:t>0.082414</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270D1A4">
            <w:pPr>
              <w:widowControl/>
              <w:jc w:val="right"/>
              <w:textAlignment w:val="center"/>
              <w:rPr>
                <w:szCs w:val="21"/>
              </w:rPr>
            </w:pPr>
            <w:r>
              <w:rPr>
                <w:kern w:val="0"/>
                <w:szCs w:val="21"/>
                <w:lang w:bidi="ar"/>
              </w:rPr>
              <w:t>0.04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D41ABF5">
            <w:pPr>
              <w:widowControl/>
              <w:jc w:val="right"/>
              <w:textAlignment w:val="center"/>
              <w:rPr>
                <w:szCs w:val="21"/>
              </w:rPr>
            </w:pPr>
            <w:r>
              <w:rPr>
                <w:kern w:val="0"/>
                <w:szCs w:val="21"/>
                <w:lang w:bidi="ar"/>
              </w:rPr>
              <w:t>0.003297</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76363B3B">
            <w:pPr>
              <w:widowControl/>
              <w:jc w:val="right"/>
              <w:textAlignment w:val="center"/>
              <w:rPr>
                <w:szCs w:val="21"/>
              </w:rPr>
            </w:pPr>
            <w:r>
              <w:rPr>
                <w:kern w:val="0"/>
                <w:szCs w:val="21"/>
                <w:lang w:bidi="ar"/>
              </w:rPr>
              <w:t>0.03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36F61EA">
            <w:pPr>
              <w:widowControl/>
              <w:jc w:val="right"/>
              <w:textAlignment w:val="center"/>
              <w:rPr>
                <w:szCs w:val="21"/>
              </w:rPr>
            </w:pPr>
            <w:r>
              <w:rPr>
                <w:kern w:val="0"/>
                <w:szCs w:val="21"/>
                <w:lang w:bidi="ar"/>
              </w:rPr>
              <w:t>2000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77C2E140">
            <w:pPr>
              <w:widowControl/>
              <w:jc w:val="right"/>
              <w:textAlignment w:val="center"/>
              <w:rPr>
                <w:szCs w:val="21"/>
              </w:rPr>
            </w:pPr>
            <w:r>
              <w:rPr>
                <w:kern w:val="0"/>
                <w:szCs w:val="21"/>
                <w:lang w:bidi="ar"/>
              </w:rPr>
              <w:t>0.082414</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EC9D838">
            <w:pPr>
              <w:widowControl/>
              <w:jc w:val="right"/>
              <w:textAlignment w:val="center"/>
              <w:rPr>
                <w:szCs w:val="21"/>
              </w:rPr>
            </w:pPr>
            <w:r>
              <w:rPr>
                <w:kern w:val="0"/>
                <w:szCs w:val="21"/>
                <w:lang w:bidi="ar"/>
              </w:rPr>
              <w:t>0.04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FE5C50F">
            <w:pPr>
              <w:widowControl/>
              <w:jc w:val="right"/>
              <w:textAlignment w:val="center"/>
              <w:rPr>
                <w:szCs w:val="21"/>
              </w:rPr>
            </w:pPr>
            <w:r>
              <w:rPr>
                <w:kern w:val="0"/>
                <w:szCs w:val="21"/>
                <w:lang w:bidi="ar"/>
              </w:rPr>
              <w:t>0.003297</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78802598">
            <w:pPr>
              <w:widowControl/>
              <w:jc w:val="right"/>
              <w:textAlignment w:val="center"/>
              <w:rPr>
                <w:szCs w:val="21"/>
              </w:rPr>
            </w:pPr>
            <w:r>
              <w:rPr>
                <w:kern w:val="0"/>
                <w:szCs w:val="21"/>
                <w:lang w:bidi="ar"/>
              </w:rPr>
              <w:t>0.03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F6E7B8D">
            <w:pPr>
              <w:widowControl/>
              <w:jc w:val="right"/>
              <w:textAlignment w:val="center"/>
              <w:rPr>
                <w:szCs w:val="21"/>
              </w:rPr>
            </w:pPr>
            <w:r>
              <w:rPr>
                <w:kern w:val="0"/>
                <w:szCs w:val="21"/>
                <w:lang w:bidi="ar"/>
              </w:rPr>
              <w:t>2000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A942E20">
            <w:pPr>
              <w:widowControl/>
              <w:jc w:val="right"/>
              <w:textAlignment w:val="center"/>
              <w:rPr>
                <w:szCs w:val="21"/>
              </w:rPr>
            </w:pPr>
            <w:r>
              <w:rPr>
                <w:kern w:val="0"/>
                <w:szCs w:val="21"/>
                <w:lang w:bidi="ar"/>
              </w:rPr>
              <w:t>0.202</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AF6F31A">
            <w:pPr>
              <w:widowControl/>
              <w:jc w:val="right"/>
              <w:textAlignment w:val="center"/>
              <w:rPr>
                <w:szCs w:val="21"/>
              </w:rPr>
            </w:pPr>
            <w:r>
              <w:rPr>
                <w:kern w:val="0"/>
                <w:szCs w:val="21"/>
                <w:lang w:bidi="ar"/>
              </w:rPr>
              <w:t>0.1</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9214CA1">
            <w:pPr>
              <w:jc w:val="center"/>
              <w:rPr>
                <w:szCs w:val="21"/>
              </w:rPr>
            </w:pPr>
          </w:p>
        </w:tc>
      </w:tr>
      <w:tr w14:paraId="41034F5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7BB717F5">
            <w:pPr>
              <w:widowControl/>
              <w:jc w:val="right"/>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A9FDA84">
            <w:pPr>
              <w:widowControl/>
              <w:jc w:val="right"/>
              <w:textAlignment w:val="center"/>
              <w:rPr>
                <w:szCs w:val="21"/>
              </w:rPr>
            </w:pPr>
            <w:r>
              <w:rPr>
                <w:kern w:val="0"/>
                <w:szCs w:val="21"/>
                <w:lang w:bidi="ar"/>
              </w:rPr>
              <w:t>0.076256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D198D4E">
            <w:pPr>
              <w:widowControl/>
              <w:jc w:val="right"/>
              <w:textAlignment w:val="center"/>
              <w:rPr>
                <w:szCs w:val="21"/>
              </w:rPr>
            </w:pPr>
            <w:r>
              <w:rPr>
                <w:kern w:val="0"/>
                <w:szCs w:val="21"/>
                <w:lang w:bidi="ar"/>
              </w:rPr>
              <w:t>0.04</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3CE8CE1">
            <w:pPr>
              <w:widowControl/>
              <w:jc w:val="right"/>
              <w:textAlignment w:val="center"/>
              <w:rPr>
                <w:szCs w:val="21"/>
              </w:rPr>
            </w:pPr>
            <w:r>
              <w:rPr>
                <w:kern w:val="0"/>
                <w:szCs w:val="21"/>
                <w:lang w:bidi="ar"/>
              </w:rPr>
              <w:t>0.00305</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0A36CB4D">
            <w:pPr>
              <w:widowControl/>
              <w:jc w:val="right"/>
              <w:textAlignment w:val="center"/>
              <w:rPr>
                <w:szCs w:val="21"/>
              </w:rPr>
            </w:pPr>
            <w:r>
              <w:rPr>
                <w:kern w:val="0"/>
                <w:szCs w:val="21"/>
                <w:lang w:bidi="ar"/>
              </w:rPr>
              <w:t>0.03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78C61751">
            <w:pPr>
              <w:widowControl/>
              <w:jc w:val="right"/>
              <w:textAlignment w:val="center"/>
              <w:rPr>
                <w:szCs w:val="21"/>
              </w:rPr>
            </w:pPr>
            <w:r>
              <w:rPr>
                <w:kern w:val="0"/>
                <w:szCs w:val="21"/>
                <w:lang w:bidi="ar"/>
              </w:rPr>
              <w:t>2200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2B8747F">
            <w:pPr>
              <w:widowControl/>
              <w:jc w:val="right"/>
              <w:textAlignment w:val="center"/>
              <w:rPr>
                <w:szCs w:val="21"/>
              </w:rPr>
            </w:pPr>
            <w:r>
              <w:rPr>
                <w:kern w:val="0"/>
                <w:szCs w:val="21"/>
                <w:lang w:bidi="ar"/>
              </w:rPr>
              <w:t>0.076256</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C0DBEC5">
            <w:pPr>
              <w:widowControl/>
              <w:jc w:val="right"/>
              <w:textAlignment w:val="center"/>
              <w:rPr>
                <w:szCs w:val="21"/>
              </w:rPr>
            </w:pPr>
            <w:r>
              <w:rPr>
                <w:kern w:val="0"/>
                <w:szCs w:val="21"/>
                <w:lang w:bidi="ar"/>
              </w:rPr>
              <w:t>0.04</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29E12985">
            <w:pPr>
              <w:widowControl/>
              <w:jc w:val="right"/>
              <w:textAlignment w:val="center"/>
              <w:rPr>
                <w:szCs w:val="21"/>
              </w:rPr>
            </w:pPr>
            <w:r>
              <w:rPr>
                <w:kern w:val="0"/>
                <w:szCs w:val="21"/>
                <w:lang w:bidi="ar"/>
              </w:rPr>
              <w:t>0.00305</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063D12E">
            <w:pPr>
              <w:widowControl/>
              <w:jc w:val="right"/>
              <w:textAlignment w:val="center"/>
              <w:rPr>
                <w:szCs w:val="21"/>
              </w:rPr>
            </w:pPr>
            <w:r>
              <w:rPr>
                <w:kern w:val="0"/>
                <w:szCs w:val="21"/>
                <w:lang w:bidi="ar"/>
              </w:rPr>
              <w:t>0.03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C1642B2">
            <w:pPr>
              <w:widowControl/>
              <w:jc w:val="right"/>
              <w:textAlignment w:val="center"/>
              <w:rPr>
                <w:szCs w:val="21"/>
              </w:rPr>
            </w:pPr>
            <w:r>
              <w:rPr>
                <w:kern w:val="0"/>
                <w:szCs w:val="21"/>
                <w:lang w:bidi="ar"/>
              </w:rPr>
              <w:t>2200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29E34EA">
            <w:pPr>
              <w:widowControl/>
              <w:jc w:val="right"/>
              <w:textAlignment w:val="center"/>
              <w:rPr>
                <w:szCs w:val="21"/>
              </w:rPr>
            </w:pPr>
            <w:r>
              <w:rPr>
                <w:kern w:val="0"/>
                <w:szCs w:val="21"/>
                <w:lang w:bidi="ar"/>
              </w:rPr>
              <w:t>0.054353</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E626496">
            <w:pPr>
              <w:widowControl/>
              <w:jc w:val="right"/>
              <w:textAlignment w:val="center"/>
              <w:rPr>
                <w:szCs w:val="21"/>
              </w:rPr>
            </w:pPr>
            <w:r>
              <w:rPr>
                <w:kern w:val="0"/>
                <w:szCs w:val="21"/>
                <w:lang w:bidi="ar"/>
              </w:rPr>
              <w:t>0.03</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74B1B9D">
            <w:pPr>
              <w:jc w:val="center"/>
              <w:rPr>
                <w:szCs w:val="21"/>
              </w:rPr>
            </w:pPr>
          </w:p>
        </w:tc>
      </w:tr>
      <w:tr w14:paraId="1C576CC0">
        <w:tblPrEx>
          <w:tblCellMar>
            <w:top w:w="0" w:type="dxa"/>
            <w:left w:w="108" w:type="dxa"/>
            <w:bottom w:w="0" w:type="dxa"/>
            <w:right w:w="108" w:type="dxa"/>
          </w:tblCellMar>
        </w:tblPrEx>
        <w:trPr>
          <w:trHeight w:val="285"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09589709">
            <w:pPr>
              <w:widowControl/>
              <w:jc w:val="right"/>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2ECE741B">
            <w:pPr>
              <w:widowControl/>
              <w:jc w:val="right"/>
              <w:textAlignment w:val="center"/>
              <w:rPr>
                <w:szCs w:val="21"/>
              </w:rPr>
            </w:pPr>
            <w:r>
              <w:rPr>
                <w:kern w:val="0"/>
                <w:szCs w:val="21"/>
                <w:lang w:bidi="ar"/>
              </w:rPr>
              <w:t>0.068402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7D86C78">
            <w:pPr>
              <w:widowControl/>
              <w:jc w:val="right"/>
              <w:textAlignment w:val="center"/>
              <w:rPr>
                <w:szCs w:val="21"/>
              </w:rPr>
            </w:pPr>
            <w:r>
              <w:rPr>
                <w:kern w:val="0"/>
                <w:szCs w:val="21"/>
                <w:lang w:bidi="ar"/>
              </w:rPr>
              <w:t>0.03</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3630FEEE">
            <w:pPr>
              <w:widowControl/>
              <w:jc w:val="right"/>
              <w:textAlignment w:val="center"/>
              <w:rPr>
                <w:szCs w:val="21"/>
              </w:rPr>
            </w:pPr>
            <w:r>
              <w:rPr>
                <w:kern w:val="0"/>
                <w:szCs w:val="21"/>
                <w:lang w:bidi="ar"/>
              </w:rPr>
              <w:t>0.002736</w:t>
            </w:r>
          </w:p>
        </w:tc>
        <w:tc>
          <w:tcPr>
            <w:tcW w:w="296" w:type="pct"/>
            <w:tcBorders>
              <w:top w:val="single" w:color="000000" w:sz="4" w:space="0"/>
              <w:left w:val="single" w:color="000000" w:sz="4" w:space="0"/>
              <w:bottom w:val="single" w:color="000000" w:sz="4" w:space="0"/>
              <w:right w:val="single" w:color="000000" w:sz="4" w:space="0"/>
            </w:tcBorders>
            <w:noWrap/>
            <w:vAlign w:val="center"/>
          </w:tcPr>
          <w:p w14:paraId="4C431CE5">
            <w:pPr>
              <w:widowControl/>
              <w:jc w:val="right"/>
              <w:textAlignment w:val="center"/>
              <w:rPr>
                <w:szCs w:val="21"/>
              </w:rPr>
            </w:pPr>
            <w:r>
              <w:rPr>
                <w:kern w:val="0"/>
                <w:szCs w:val="21"/>
                <w:lang w:bidi="ar"/>
              </w:rPr>
              <w:t>0.03</w:t>
            </w:r>
          </w:p>
        </w:tc>
        <w:tc>
          <w:tcPr>
            <w:tcW w:w="298" w:type="pct"/>
            <w:tcBorders>
              <w:top w:val="single" w:color="000000" w:sz="4" w:space="0"/>
              <w:left w:val="single" w:color="000000" w:sz="4" w:space="0"/>
              <w:bottom w:val="single" w:color="000000" w:sz="4" w:space="0"/>
              <w:right w:val="single" w:color="000000" w:sz="4" w:space="0"/>
            </w:tcBorders>
            <w:noWrap/>
            <w:vAlign w:val="center"/>
          </w:tcPr>
          <w:p w14:paraId="38DD17AC">
            <w:pPr>
              <w:widowControl/>
              <w:jc w:val="right"/>
              <w:textAlignment w:val="center"/>
              <w:rPr>
                <w:szCs w:val="21"/>
              </w:rPr>
            </w:pPr>
            <w:r>
              <w:rPr>
                <w:kern w:val="0"/>
                <w:szCs w:val="21"/>
                <w:lang w:bidi="ar"/>
              </w:rPr>
              <w:t>2500</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8487C41">
            <w:pPr>
              <w:widowControl/>
              <w:jc w:val="right"/>
              <w:textAlignment w:val="center"/>
              <w:rPr>
                <w:szCs w:val="21"/>
              </w:rPr>
            </w:pPr>
            <w:r>
              <w:rPr>
                <w:kern w:val="0"/>
                <w:szCs w:val="21"/>
                <w:lang w:bidi="ar"/>
              </w:rPr>
              <w:t>0.068402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A8B5936">
            <w:pPr>
              <w:widowControl/>
              <w:jc w:val="right"/>
              <w:textAlignment w:val="center"/>
              <w:rPr>
                <w:szCs w:val="21"/>
              </w:rPr>
            </w:pPr>
            <w:r>
              <w:rPr>
                <w:kern w:val="0"/>
                <w:szCs w:val="21"/>
                <w:lang w:bidi="ar"/>
              </w:rPr>
              <w:t>0.03</w:t>
            </w: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2052C74">
            <w:pPr>
              <w:widowControl/>
              <w:jc w:val="right"/>
              <w:textAlignment w:val="center"/>
              <w:rPr>
                <w:szCs w:val="21"/>
              </w:rPr>
            </w:pPr>
            <w:r>
              <w:rPr>
                <w:kern w:val="0"/>
                <w:szCs w:val="21"/>
                <w:lang w:bidi="ar"/>
              </w:rPr>
              <w:t>0.002736</w:t>
            </w:r>
          </w:p>
        </w:tc>
        <w:tc>
          <w:tcPr>
            <w:tcW w:w="299" w:type="pct"/>
            <w:tcBorders>
              <w:top w:val="single" w:color="000000" w:sz="4" w:space="0"/>
              <w:left w:val="single" w:color="000000" w:sz="4" w:space="0"/>
              <w:bottom w:val="single" w:color="000000" w:sz="4" w:space="0"/>
              <w:right w:val="single" w:color="000000" w:sz="4" w:space="0"/>
            </w:tcBorders>
            <w:noWrap/>
            <w:vAlign w:val="center"/>
          </w:tcPr>
          <w:p w14:paraId="5E988B7D">
            <w:pPr>
              <w:widowControl/>
              <w:jc w:val="right"/>
              <w:textAlignment w:val="center"/>
              <w:rPr>
                <w:szCs w:val="21"/>
              </w:rPr>
            </w:pPr>
            <w:r>
              <w:rPr>
                <w:kern w:val="0"/>
                <w:szCs w:val="21"/>
                <w:lang w:bidi="ar"/>
              </w:rPr>
              <w:t>0.03</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5D7D1006">
            <w:pPr>
              <w:widowControl/>
              <w:jc w:val="right"/>
              <w:textAlignment w:val="center"/>
              <w:rPr>
                <w:szCs w:val="21"/>
              </w:rPr>
            </w:pPr>
            <w:r>
              <w:rPr>
                <w:kern w:val="0"/>
                <w:szCs w:val="21"/>
                <w:lang w:bidi="ar"/>
              </w:rPr>
              <w:t>2500</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64D17FC7">
            <w:pPr>
              <w:widowControl/>
              <w:jc w:val="right"/>
              <w:textAlignment w:val="center"/>
              <w:rPr>
                <w:szCs w:val="21"/>
              </w:rPr>
            </w:pPr>
            <w:r>
              <w:rPr>
                <w:kern w:val="0"/>
                <w:szCs w:val="21"/>
                <w:lang w:bidi="ar"/>
              </w:rPr>
              <w:t>0.061087</w:t>
            </w:r>
          </w:p>
        </w:tc>
        <w:tc>
          <w:tcPr>
            <w:tcW w:w="271" w:type="pct"/>
            <w:tcBorders>
              <w:top w:val="single" w:color="000000" w:sz="4" w:space="0"/>
              <w:left w:val="single" w:color="000000" w:sz="4" w:space="0"/>
              <w:bottom w:val="single" w:color="000000" w:sz="4" w:space="0"/>
              <w:right w:val="single" w:color="000000" w:sz="4" w:space="0"/>
            </w:tcBorders>
            <w:noWrap/>
            <w:vAlign w:val="center"/>
          </w:tcPr>
          <w:p w14:paraId="2EC29099">
            <w:pPr>
              <w:widowControl/>
              <w:jc w:val="right"/>
              <w:textAlignment w:val="center"/>
              <w:rPr>
                <w:szCs w:val="21"/>
              </w:rPr>
            </w:pPr>
            <w:r>
              <w:rPr>
                <w:kern w:val="0"/>
                <w:szCs w:val="21"/>
                <w:lang w:bidi="ar"/>
              </w:rPr>
              <w:t>0.03</w:t>
            </w:r>
          </w:p>
        </w:tc>
        <w:tc>
          <w:tcPr>
            <w:tcW w:w="658"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4E785913">
            <w:pPr>
              <w:jc w:val="center"/>
              <w:rPr>
                <w:szCs w:val="21"/>
              </w:rPr>
            </w:pPr>
          </w:p>
        </w:tc>
      </w:tr>
    </w:tbl>
    <w:p w14:paraId="715DDE82">
      <w:pPr>
        <w:jc w:val="center"/>
        <w:rPr>
          <w:b/>
          <w:szCs w:val="21"/>
        </w:rPr>
      </w:pPr>
      <w:r>
        <w:rPr>
          <w:b/>
          <w:szCs w:val="21"/>
        </w:rPr>
        <w:t>表5.2-8 各污染源最大Pmax和D10%预测结果统计表</w:t>
      </w:r>
    </w:p>
    <w:tbl>
      <w:tblPr>
        <w:tblStyle w:val="87"/>
        <w:tblW w:w="5000" w:type="pct"/>
        <w:tblInd w:w="0" w:type="dxa"/>
        <w:tblLayout w:type="fixed"/>
        <w:tblCellMar>
          <w:top w:w="0" w:type="dxa"/>
          <w:left w:w="108" w:type="dxa"/>
          <w:bottom w:w="0" w:type="dxa"/>
          <w:right w:w="108" w:type="dxa"/>
        </w:tblCellMar>
      </w:tblPr>
      <w:tblGrid>
        <w:gridCol w:w="927"/>
        <w:gridCol w:w="3011"/>
        <w:gridCol w:w="1195"/>
        <w:gridCol w:w="2082"/>
        <w:gridCol w:w="1640"/>
        <w:gridCol w:w="2082"/>
        <w:gridCol w:w="1639"/>
        <w:gridCol w:w="830"/>
        <w:gridCol w:w="847"/>
      </w:tblGrid>
      <w:tr w14:paraId="3499B094">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D195534">
            <w:pPr>
              <w:widowControl/>
              <w:jc w:val="center"/>
              <w:textAlignment w:val="center"/>
              <w:rPr>
                <w:b/>
                <w:bCs/>
                <w:szCs w:val="21"/>
              </w:rPr>
            </w:pPr>
            <w:r>
              <w:rPr>
                <w:b/>
                <w:bCs/>
                <w:kern w:val="0"/>
                <w:szCs w:val="21"/>
                <w:lang w:bidi="ar"/>
              </w:rPr>
              <w:t>所在位置</w:t>
            </w:r>
          </w:p>
        </w:tc>
        <w:tc>
          <w:tcPr>
            <w:tcW w:w="1055"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AA3EA0B">
            <w:pPr>
              <w:widowControl/>
              <w:jc w:val="center"/>
              <w:textAlignment w:val="center"/>
              <w:rPr>
                <w:b/>
                <w:bCs/>
                <w:szCs w:val="21"/>
              </w:rPr>
            </w:pPr>
            <w:r>
              <w:rPr>
                <w:b/>
                <w:bCs/>
                <w:kern w:val="0"/>
                <w:szCs w:val="21"/>
                <w:lang w:bidi="ar"/>
              </w:rPr>
              <w:t>污染源名称</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DF5F581">
            <w:pPr>
              <w:widowControl/>
              <w:jc w:val="center"/>
              <w:textAlignment w:val="center"/>
              <w:rPr>
                <w:b/>
                <w:bCs/>
                <w:szCs w:val="21"/>
              </w:rPr>
            </w:pPr>
            <w:r>
              <w:rPr>
                <w:b/>
                <w:bCs/>
                <w:kern w:val="0"/>
                <w:szCs w:val="21"/>
                <w:lang w:bidi="ar"/>
              </w:rPr>
              <w:t>离源距离(m)</w:t>
            </w:r>
          </w:p>
        </w:tc>
        <w:tc>
          <w:tcPr>
            <w:tcW w:w="1305"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453FACB">
            <w:pPr>
              <w:widowControl/>
              <w:jc w:val="center"/>
              <w:textAlignment w:val="center"/>
              <w:rPr>
                <w:b/>
                <w:bCs/>
                <w:szCs w:val="21"/>
              </w:rPr>
            </w:pPr>
            <w:r>
              <w:rPr>
                <w:b/>
                <w:bCs/>
                <w:kern w:val="0"/>
                <w:szCs w:val="21"/>
                <w:lang w:bidi="ar"/>
              </w:rPr>
              <w:t>氨气</w:t>
            </w:r>
          </w:p>
        </w:tc>
        <w:tc>
          <w:tcPr>
            <w:tcW w:w="1305" w:type="pct"/>
            <w:gridSpan w:val="2"/>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3E50A62">
            <w:pPr>
              <w:widowControl/>
              <w:jc w:val="center"/>
              <w:textAlignment w:val="center"/>
              <w:rPr>
                <w:b/>
                <w:bCs/>
                <w:szCs w:val="21"/>
              </w:rPr>
            </w:pPr>
            <w:r>
              <w:rPr>
                <w:b/>
                <w:bCs/>
                <w:kern w:val="0"/>
                <w:szCs w:val="21"/>
                <w:lang w:bidi="ar"/>
              </w:rPr>
              <w:t>硫化氢</w:t>
            </w:r>
          </w:p>
        </w:tc>
        <w:tc>
          <w:tcPr>
            <w:tcW w:w="291"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A9169E1">
            <w:pPr>
              <w:widowControl/>
              <w:jc w:val="center"/>
              <w:textAlignment w:val="center"/>
              <w:rPr>
                <w:b/>
                <w:bCs/>
                <w:szCs w:val="21"/>
              </w:rPr>
            </w:pPr>
            <w:r>
              <w:rPr>
                <w:b/>
                <w:bCs/>
                <w:kern w:val="0"/>
                <w:szCs w:val="21"/>
                <w:lang w:bidi="ar"/>
              </w:rPr>
              <w:t>评价等级</w:t>
            </w:r>
          </w:p>
        </w:tc>
        <w:tc>
          <w:tcPr>
            <w:tcW w:w="297" w:type="pct"/>
            <w:vMerge w:val="restar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1511B6E">
            <w:pPr>
              <w:widowControl/>
              <w:jc w:val="center"/>
              <w:textAlignment w:val="center"/>
              <w:rPr>
                <w:b/>
                <w:bCs/>
                <w:szCs w:val="21"/>
              </w:rPr>
            </w:pPr>
            <w:r>
              <w:rPr>
                <w:b/>
                <w:bCs/>
                <w:kern w:val="0"/>
                <w:szCs w:val="21"/>
                <w:lang w:bidi="ar"/>
              </w:rPr>
              <w:t>D10%</w:t>
            </w:r>
          </w:p>
        </w:tc>
      </w:tr>
      <w:tr w14:paraId="1D1A74DB">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00D7ACA">
            <w:pPr>
              <w:jc w:val="center"/>
              <w:rPr>
                <w:b/>
                <w:bCs/>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0729BA64">
            <w:pPr>
              <w:jc w:val="center"/>
              <w:rPr>
                <w:b/>
                <w:bCs/>
                <w:szCs w:val="21"/>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ACE3AAF">
            <w:pPr>
              <w:jc w:val="center"/>
              <w:rPr>
                <w:b/>
                <w:bCs/>
                <w:szCs w:val="21"/>
              </w:rPr>
            </w:pPr>
          </w:p>
        </w:tc>
        <w:tc>
          <w:tcPr>
            <w:tcW w:w="73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10EEB9F5">
            <w:pPr>
              <w:widowControl/>
              <w:jc w:val="center"/>
              <w:textAlignment w:val="center"/>
              <w:rPr>
                <w:b/>
                <w:bCs/>
                <w:szCs w:val="21"/>
              </w:rPr>
            </w:pPr>
            <w:r>
              <w:rPr>
                <w:b/>
                <w:bCs/>
                <w:kern w:val="0"/>
                <w:szCs w:val="21"/>
                <w:lang w:bidi="ar"/>
              </w:rPr>
              <w:t>最大落地浓度（ug/m</w:t>
            </w:r>
            <w:r>
              <w:rPr>
                <w:b/>
                <w:bCs/>
                <w:kern w:val="0"/>
                <w:szCs w:val="21"/>
                <w:vertAlign w:val="superscript"/>
                <w:lang w:bidi="ar"/>
              </w:rPr>
              <w:t>3</w:t>
            </w:r>
            <w:r>
              <w:rPr>
                <w:b/>
                <w:bCs/>
                <w:kern w:val="0"/>
                <w:szCs w:val="21"/>
                <w:lang w:bidi="ar"/>
              </w:rPr>
              <w:t>）</w:t>
            </w:r>
          </w:p>
        </w:tc>
        <w:tc>
          <w:tcPr>
            <w:tcW w:w="57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4FAA869">
            <w:pPr>
              <w:widowControl/>
              <w:jc w:val="center"/>
              <w:textAlignment w:val="center"/>
              <w:rPr>
                <w:b/>
                <w:bCs/>
                <w:szCs w:val="21"/>
              </w:rPr>
            </w:pPr>
            <w:r>
              <w:rPr>
                <w:b/>
                <w:bCs/>
                <w:kern w:val="0"/>
                <w:szCs w:val="21"/>
                <w:lang w:bidi="ar"/>
              </w:rPr>
              <w:t>最大占标率（%）</w:t>
            </w:r>
          </w:p>
        </w:tc>
        <w:tc>
          <w:tcPr>
            <w:tcW w:w="730"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39E9C12A">
            <w:pPr>
              <w:widowControl/>
              <w:jc w:val="center"/>
              <w:textAlignment w:val="center"/>
              <w:rPr>
                <w:b/>
                <w:bCs/>
                <w:szCs w:val="21"/>
              </w:rPr>
            </w:pPr>
            <w:r>
              <w:rPr>
                <w:b/>
                <w:bCs/>
                <w:kern w:val="0"/>
                <w:szCs w:val="21"/>
                <w:lang w:bidi="ar"/>
              </w:rPr>
              <w:t>最大落地浓度（ug/m</w:t>
            </w:r>
            <w:r>
              <w:rPr>
                <w:b/>
                <w:bCs/>
                <w:kern w:val="0"/>
                <w:szCs w:val="21"/>
                <w:vertAlign w:val="superscript"/>
                <w:lang w:bidi="ar"/>
              </w:rPr>
              <w:t>3</w:t>
            </w:r>
            <w:r>
              <w:rPr>
                <w:b/>
                <w:bCs/>
                <w:kern w:val="0"/>
                <w:szCs w:val="21"/>
                <w:lang w:bidi="ar"/>
              </w:rPr>
              <w:t>）</w:t>
            </w:r>
          </w:p>
        </w:tc>
        <w:tc>
          <w:tcPr>
            <w:tcW w:w="575" w:type="pct"/>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5AF09CDF">
            <w:pPr>
              <w:widowControl/>
              <w:jc w:val="center"/>
              <w:textAlignment w:val="center"/>
              <w:rPr>
                <w:b/>
                <w:bCs/>
                <w:szCs w:val="21"/>
              </w:rPr>
            </w:pPr>
            <w:r>
              <w:rPr>
                <w:b/>
                <w:bCs/>
                <w:kern w:val="0"/>
                <w:szCs w:val="21"/>
                <w:lang w:bidi="ar"/>
              </w:rPr>
              <w:t>最大占标率（%）</w:t>
            </w:r>
          </w:p>
        </w:tc>
        <w:tc>
          <w:tcPr>
            <w:tcW w:w="291"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4B245A99">
            <w:pPr>
              <w:jc w:val="center"/>
              <w:rPr>
                <w:b/>
                <w:bCs/>
                <w:szCs w:val="21"/>
              </w:rPr>
            </w:pPr>
          </w:p>
        </w:tc>
        <w:tc>
          <w:tcPr>
            <w:tcW w:w="297" w:type="pct"/>
            <w:vMerge w:val="continue"/>
            <w:tcBorders>
              <w:top w:val="single" w:color="000000" w:sz="4" w:space="0"/>
              <w:left w:val="single" w:color="000000" w:sz="4" w:space="0"/>
              <w:bottom w:val="single" w:color="000000" w:sz="4" w:space="0"/>
              <w:right w:val="single" w:color="000000" w:sz="4" w:space="0"/>
            </w:tcBorders>
            <w:shd w:val="clear" w:color="auto" w:fill="D7D7D7"/>
            <w:noWrap/>
            <w:vAlign w:val="center"/>
          </w:tcPr>
          <w:p w14:paraId="650B31F4">
            <w:pPr>
              <w:jc w:val="center"/>
              <w:rPr>
                <w:b/>
                <w:bCs/>
                <w:szCs w:val="21"/>
              </w:rPr>
            </w:pPr>
          </w:p>
        </w:tc>
      </w:tr>
      <w:tr w14:paraId="3C7EC2ED">
        <w:tblPrEx>
          <w:tblCellMar>
            <w:top w:w="0" w:type="dxa"/>
            <w:left w:w="108" w:type="dxa"/>
            <w:bottom w:w="0" w:type="dxa"/>
            <w:right w:w="108" w:type="dxa"/>
          </w:tblCellMar>
        </w:tblPrEx>
        <w:trPr>
          <w:trHeight w:val="300" w:hRule="atLeast"/>
        </w:trPr>
        <w:tc>
          <w:tcPr>
            <w:tcW w:w="325" w:type="pct"/>
            <w:tcBorders>
              <w:top w:val="single" w:color="000000" w:sz="4" w:space="0"/>
              <w:left w:val="single" w:color="000000" w:sz="4" w:space="0"/>
              <w:bottom w:val="single" w:color="000000" w:sz="4" w:space="0"/>
              <w:right w:val="single" w:color="000000" w:sz="4" w:space="0"/>
            </w:tcBorders>
            <w:noWrap/>
            <w:vAlign w:val="center"/>
          </w:tcPr>
          <w:p w14:paraId="385104E9">
            <w:pPr>
              <w:widowControl/>
              <w:jc w:val="center"/>
              <w:textAlignment w:val="center"/>
              <w:rPr>
                <w:szCs w:val="21"/>
              </w:rPr>
            </w:pPr>
            <w:r>
              <w:rPr>
                <w:kern w:val="0"/>
                <w:szCs w:val="21"/>
                <w:lang w:bidi="ar"/>
              </w:rPr>
              <w:t>4号地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71517B2">
            <w:pPr>
              <w:widowControl/>
              <w:jc w:val="center"/>
              <w:textAlignment w:val="center"/>
              <w:rPr>
                <w:szCs w:val="21"/>
              </w:rPr>
            </w:pPr>
            <w:r>
              <w:rPr>
                <w:kern w:val="0"/>
                <w:szCs w:val="21"/>
                <w:lang w:bidi="ar"/>
              </w:rPr>
              <w:t>无害化处理车间废气</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EFDCCCE">
            <w:pPr>
              <w:widowControl/>
              <w:jc w:val="center"/>
              <w:textAlignment w:val="center"/>
              <w:rPr>
                <w:szCs w:val="21"/>
              </w:rPr>
            </w:pPr>
            <w:r>
              <w:rPr>
                <w:kern w:val="0"/>
                <w:szCs w:val="21"/>
                <w:lang w:bidi="ar"/>
              </w:rPr>
              <w:t>246</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98F1B53">
            <w:pPr>
              <w:widowControl/>
              <w:jc w:val="center"/>
              <w:textAlignment w:val="center"/>
              <w:rPr>
                <w:szCs w:val="21"/>
              </w:rPr>
            </w:pPr>
            <w:r>
              <w:rPr>
                <w:kern w:val="0"/>
                <w:szCs w:val="21"/>
                <w:lang w:bidi="ar"/>
              </w:rPr>
              <w:t>4.8774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715634D">
            <w:pPr>
              <w:widowControl/>
              <w:jc w:val="center"/>
              <w:textAlignment w:val="center"/>
              <w:rPr>
                <w:szCs w:val="21"/>
              </w:rPr>
            </w:pPr>
            <w:r>
              <w:rPr>
                <w:kern w:val="0"/>
                <w:szCs w:val="21"/>
                <w:lang w:bidi="ar"/>
              </w:rPr>
              <w:t>2.44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1AD5E68">
            <w:pPr>
              <w:widowControl/>
              <w:jc w:val="center"/>
              <w:textAlignment w:val="center"/>
              <w:rPr>
                <w:szCs w:val="21"/>
              </w:rPr>
            </w:pPr>
            <w:r>
              <w:rPr>
                <w:kern w:val="0"/>
                <w:szCs w:val="21"/>
                <w:lang w:bidi="ar"/>
              </w:rPr>
              <w:t>/</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590AAC4">
            <w:pPr>
              <w:widowControl/>
              <w:jc w:val="center"/>
              <w:textAlignment w:val="center"/>
              <w:rPr>
                <w:szCs w:val="21"/>
              </w:rPr>
            </w:pPr>
            <w:r>
              <w:rPr>
                <w:kern w:val="0"/>
                <w:szCs w:val="21"/>
                <w:lang w:bidi="ar"/>
              </w:rPr>
              <w:t>/</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C46EF76">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AE9E76F">
            <w:pPr>
              <w:widowControl/>
              <w:jc w:val="center"/>
              <w:textAlignment w:val="center"/>
              <w:rPr>
                <w:szCs w:val="21"/>
              </w:rPr>
            </w:pPr>
            <w:r>
              <w:rPr>
                <w:kern w:val="0"/>
                <w:szCs w:val="21"/>
                <w:lang w:bidi="ar"/>
              </w:rPr>
              <w:t>不出现</w:t>
            </w:r>
          </w:p>
        </w:tc>
      </w:tr>
      <w:tr w14:paraId="000BA65C">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68CFE3CC">
            <w:pPr>
              <w:widowControl/>
              <w:jc w:val="center"/>
              <w:textAlignment w:val="center"/>
              <w:rPr>
                <w:szCs w:val="21"/>
              </w:rPr>
            </w:pPr>
            <w:r>
              <w:rPr>
                <w:kern w:val="0"/>
                <w:szCs w:val="21"/>
                <w:lang w:bidi="ar"/>
              </w:rPr>
              <w:t>1号地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7E2DDA9C">
            <w:pPr>
              <w:widowControl/>
              <w:jc w:val="center"/>
              <w:textAlignment w:val="center"/>
              <w:rPr>
                <w:szCs w:val="21"/>
              </w:rPr>
            </w:pPr>
            <w:r>
              <w:rPr>
                <w:kern w:val="0"/>
                <w:szCs w:val="21"/>
                <w:lang w:bidi="ar"/>
              </w:rPr>
              <w:t>盛丰通风井位置1号舍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D08EAB8">
            <w:pPr>
              <w:widowControl/>
              <w:jc w:val="center"/>
              <w:textAlignment w:val="center"/>
              <w:rPr>
                <w:szCs w:val="21"/>
              </w:rPr>
            </w:pPr>
            <w:r>
              <w:rPr>
                <w:kern w:val="0"/>
                <w:szCs w:val="21"/>
                <w:lang w:bidi="ar"/>
              </w:rPr>
              <w:t>47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DFA688E">
            <w:pPr>
              <w:widowControl/>
              <w:jc w:val="center"/>
              <w:textAlignment w:val="center"/>
              <w:rPr>
                <w:szCs w:val="21"/>
              </w:rPr>
            </w:pPr>
            <w:r>
              <w:rPr>
                <w:kern w:val="0"/>
                <w:szCs w:val="21"/>
                <w:lang w:bidi="ar"/>
              </w:rPr>
              <w:t>8.8575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3ABBABB">
            <w:pPr>
              <w:widowControl/>
              <w:jc w:val="center"/>
              <w:textAlignment w:val="center"/>
              <w:rPr>
                <w:szCs w:val="21"/>
              </w:rPr>
            </w:pPr>
            <w:r>
              <w:rPr>
                <w:kern w:val="0"/>
                <w:szCs w:val="21"/>
                <w:lang w:bidi="ar"/>
              </w:rPr>
              <w:t>4.43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76D09F7">
            <w:pPr>
              <w:widowControl/>
              <w:jc w:val="center"/>
              <w:textAlignment w:val="center"/>
              <w:rPr>
                <w:szCs w:val="21"/>
              </w:rPr>
            </w:pPr>
            <w:r>
              <w:rPr>
                <w:kern w:val="0"/>
                <w:szCs w:val="21"/>
                <w:lang w:bidi="ar"/>
              </w:rPr>
              <w:t>0.813444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EF70C0E">
            <w:pPr>
              <w:widowControl/>
              <w:jc w:val="center"/>
              <w:textAlignment w:val="center"/>
              <w:rPr>
                <w:szCs w:val="21"/>
              </w:rPr>
            </w:pPr>
            <w:r>
              <w:rPr>
                <w:kern w:val="0"/>
                <w:szCs w:val="21"/>
                <w:lang w:bidi="ar"/>
              </w:rPr>
              <w:t>8.13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E14E73C">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4D6F37FE">
            <w:pPr>
              <w:widowControl/>
              <w:jc w:val="center"/>
              <w:textAlignment w:val="center"/>
              <w:rPr>
                <w:szCs w:val="21"/>
              </w:rPr>
            </w:pPr>
            <w:r>
              <w:rPr>
                <w:kern w:val="0"/>
                <w:szCs w:val="21"/>
                <w:lang w:bidi="ar"/>
              </w:rPr>
              <w:t>不出现</w:t>
            </w:r>
          </w:p>
        </w:tc>
      </w:tr>
      <w:tr w14:paraId="0FDB951E">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4A3B8FD">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C5E3931">
            <w:pPr>
              <w:widowControl/>
              <w:jc w:val="center"/>
              <w:textAlignment w:val="center"/>
              <w:rPr>
                <w:szCs w:val="21"/>
              </w:rPr>
            </w:pPr>
            <w:r>
              <w:rPr>
                <w:kern w:val="0"/>
                <w:szCs w:val="21"/>
                <w:lang w:bidi="ar"/>
              </w:rPr>
              <w:t>盛丰通风井位置2号舍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C162E11">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87D4B5E">
            <w:pPr>
              <w:widowControl/>
              <w:jc w:val="center"/>
              <w:textAlignment w:val="center"/>
              <w:rPr>
                <w:szCs w:val="21"/>
              </w:rPr>
            </w:pPr>
            <w:r>
              <w:rPr>
                <w:kern w:val="0"/>
                <w:szCs w:val="21"/>
                <w:lang w:bidi="ar"/>
              </w:rPr>
              <w:t>5.1074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56B9B71">
            <w:pPr>
              <w:widowControl/>
              <w:jc w:val="center"/>
              <w:textAlignment w:val="center"/>
              <w:rPr>
                <w:szCs w:val="21"/>
              </w:rPr>
            </w:pPr>
            <w:r>
              <w:rPr>
                <w:kern w:val="0"/>
                <w:szCs w:val="21"/>
                <w:lang w:bidi="ar"/>
              </w:rPr>
              <w:t>2.55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F025BF1">
            <w:pPr>
              <w:widowControl/>
              <w:jc w:val="center"/>
              <w:textAlignment w:val="center"/>
              <w:rPr>
                <w:szCs w:val="21"/>
              </w:rPr>
            </w:pPr>
            <w:r>
              <w:rPr>
                <w:kern w:val="0"/>
                <w:szCs w:val="21"/>
                <w:lang w:bidi="ar"/>
              </w:rPr>
              <w:t>0.414114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A3C6F5E">
            <w:pPr>
              <w:widowControl/>
              <w:jc w:val="center"/>
              <w:textAlignment w:val="center"/>
              <w:rPr>
                <w:szCs w:val="21"/>
              </w:rPr>
            </w:pPr>
            <w:r>
              <w:rPr>
                <w:kern w:val="0"/>
                <w:szCs w:val="21"/>
                <w:lang w:bidi="ar"/>
              </w:rPr>
              <w:t>4.14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5B5AD43">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6B330E1D">
            <w:pPr>
              <w:widowControl/>
              <w:jc w:val="center"/>
              <w:textAlignment w:val="center"/>
              <w:rPr>
                <w:szCs w:val="21"/>
              </w:rPr>
            </w:pPr>
            <w:r>
              <w:rPr>
                <w:kern w:val="0"/>
                <w:szCs w:val="21"/>
                <w:lang w:bidi="ar"/>
              </w:rPr>
              <w:t>不出现</w:t>
            </w:r>
          </w:p>
        </w:tc>
      </w:tr>
      <w:tr w14:paraId="0399CF09">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55E2725">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7F3D763">
            <w:pPr>
              <w:widowControl/>
              <w:jc w:val="center"/>
              <w:textAlignment w:val="center"/>
              <w:rPr>
                <w:szCs w:val="21"/>
              </w:rPr>
            </w:pPr>
            <w:r>
              <w:rPr>
                <w:kern w:val="0"/>
                <w:szCs w:val="21"/>
                <w:lang w:bidi="ar"/>
              </w:rPr>
              <w:t>盛丰通风井养殖区堆肥间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4B83B51">
            <w:pPr>
              <w:widowControl/>
              <w:jc w:val="center"/>
              <w:textAlignment w:val="center"/>
              <w:rPr>
                <w:szCs w:val="21"/>
              </w:rPr>
            </w:pPr>
            <w:r>
              <w:rPr>
                <w:kern w:val="0"/>
                <w:szCs w:val="21"/>
                <w:lang w:bidi="ar"/>
              </w:rPr>
              <w:t>14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386EE27">
            <w:pPr>
              <w:widowControl/>
              <w:jc w:val="center"/>
              <w:textAlignment w:val="center"/>
              <w:rPr>
                <w:szCs w:val="21"/>
              </w:rPr>
            </w:pPr>
            <w:r>
              <w:rPr>
                <w:kern w:val="0"/>
                <w:szCs w:val="21"/>
                <w:lang w:bidi="ar"/>
              </w:rPr>
              <w:t>10.698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3952594">
            <w:pPr>
              <w:widowControl/>
              <w:jc w:val="center"/>
              <w:textAlignment w:val="center"/>
              <w:rPr>
                <w:szCs w:val="21"/>
              </w:rPr>
            </w:pPr>
            <w:r>
              <w:rPr>
                <w:kern w:val="0"/>
                <w:szCs w:val="21"/>
                <w:lang w:bidi="ar"/>
              </w:rPr>
              <w:t>5.35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8AB823D">
            <w:pPr>
              <w:widowControl/>
              <w:jc w:val="center"/>
              <w:textAlignment w:val="center"/>
              <w:rPr>
                <w:szCs w:val="21"/>
              </w:rPr>
            </w:pPr>
            <w:r>
              <w:rPr>
                <w:kern w:val="0"/>
                <w:szCs w:val="21"/>
                <w:lang w:bidi="ar"/>
              </w:rPr>
              <w:t>0.608097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FB5DF55">
            <w:pPr>
              <w:widowControl/>
              <w:jc w:val="center"/>
              <w:textAlignment w:val="center"/>
              <w:rPr>
                <w:szCs w:val="21"/>
              </w:rPr>
            </w:pPr>
            <w:r>
              <w:rPr>
                <w:kern w:val="0"/>
                <w:szCs w:val="21"/>
                <w:lang w:bidi="ar"/>
              </w:rPr>
              <w:t>6.08</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BE99C9F">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2543D46A">
            <w:pPr>
              <w:widowControl/>
              <w:jc w:val="center"/>
              <w:textAlignment w:val="center"/>
              <w:rPr>
                <w:szCs w:val="21"/>
              </w:rPr>
            </w:pPr>
            <w:r>
              <w:rPr>
                <w:kern w:val="0"/>
                <w:szCs w:val="21"/>
                <w:lang w:bidi="ar"/>
              </w:rPr>
              <w:t>不出现</w:t>
            </w:r>
          </w:p>
        </w:tc>
      </w:tr>
      <w:tr w14:paraId="5DE768BC">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D794D5C">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515C0A6C">
            <w:pPr>
              <w:widowControl/>
              <w:jc w:val="center"/>
              <w:textAlignment w:val="center"/>
              <w:rPr>
                <w:szCs w:val="21"/>
              </w:rPr>
            </w:pPr>
            <w:r>
              <w:rPr>
                <w:kern w:val="0"/>
                <w:szCs w:val="21"/>
                <w:lang w:bidi="ar"/>
              </w:rPr>
              <w:t>1号地盛丰通风井养殖区污水处理站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E67B329">
            <w:pPr>
              <w:widowControl/>
              <w:jc w:val="center"/>
              <w:textAlignment w:val="center"/>
              <w:rPr>
                <w:szCs w:val="21"/>
              </w:rPr>
            </w:pPr>
            <w:r>
              <w:rPr>
                <w:kern w:val="0"/>
                <w:szCs w:val="21"/>
                <w:lang w:bidi="ar"/>
              </w:rPr>
              <w:t>17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9CDE94D">
            <w:pPr>
              <w:widowControl/>
              <w:jc w:val="center"/>
              <w:textAlignment w:val="center"/>
              <w:rPr>
                <w:szCs w:val="21"/>
              </w:rPr>
            </w:pPr>
            <w:r>
              <w:rPr>
                <w:kern w:val="0"/>
                <w:szCs w:val="21"/>
                <w:lang w:bidi="ar"/>
              </w:rPr>
              <w:t>0.64809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8174E8B">
            <w:pPr>
              <w:widowControl/>
              <w:jc w:val="center"/>
              <w:textAlignment w:val="center"/>
              <w:rPr>
                <w:szCs w:val="21"/>
              </w:rPr>
            </w:pPr>
            <w:r>
              <w:rPr>
                <w:kern w:val="0"/>
                <w:szCs w:val="21"/>
                <w:lang w:bidi="ar"/>
              </w:rPr>
              <w:t>0.32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28A724F">
            <w:pPr>
              <w:widowControl/>
              <w:jc w:val="center"/>
              <w:textAlignment w:val="center"/>
              <w:rPr>
                <w:szCs w:val="21"/>
              </w:rPr>
            </w:pPr>
            <w:r>
              <w:rPr>
                <w:kern w:val="0"/>
                <w:szCs w:val="21"/>
                <w:lang w:bidi="ar"/>
              </w:rPr>
              <w:t>0.024303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D37D0B9">
            <w:pPr>
              <w:widowControl/>
              <w:jc w:val="center"/>
              <w:textAlignment w:val="center"/>
              <w:rPr>
                <w:szCs w:val="21"/>
              </w:rPr>
            </w:pPr>
            <w:r>
              <w:rPr>
                <w:kern w:val="0"/>
                <w:szCs w:val="21"/>
                <w:lang w:bidi="ar"/>
              </w:rPr>
              <w:t>0.24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D009E2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BB2C1B0">
            <w:pPr>
              <w:widowControl/>
              <w:jc w:val="center"/>
              <w:textAlignment w:val="center"/>
              <w:rPr>
                <w:szCs w:val="21"/>
              </w:rPr>
            </w:pPr>
            <w:r>
              <w:rPr>
                <w:kern w:val="0"/>
                <w:szCs w:val="21"/>
                <w:lang w:bidi="ar"/>
              </w:rPr>
              <w:t>不出现</w:t>
            </w:r>
          </w:p>
        </w:tc>
      </w:tr>
      <w:tr w14:paraId="59BA4645">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0194A3C7">
            <w:pPr>
              <w:widowControl/>
              <w:jc w:val="center"/>
              <w:textAlignment w:val="center"/>
              <w:rPr>
                <w:szCs w:val="21"/>
              </w:rPr>
            </w:pPr>
            <w:r>
              <w:rPr>
                <w:kern w:val="0"/>
                <w:szCs w:val="21"/>
                <w:lang w:bidi="ar"/>
              </w:rPr>
              <w:t>2号地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F3BA9C7">
            <w:pPr>
              <w:widowControl/>
              <w:jc w:val="center"/>
              <w:textAlignment w:val="center"/>
              <w:rPr>
                <w:szCs w:val="21"/>
              </w:rPr>
            </w:pPr>
            <w:r>
              <w:rPr>
                <w:kern w:val="0"/>
                <w:szCs w:val="21"/>
                <w:lang w:bidi="ar"/>
              </w:rPr>
              <w:t>盛丰焦化楼位置1号舍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7245038">
            <w:pPr>
              <w:widowControl/>
              <w:jc w:val="center"/>
              <w:textAlignment w:val="center"/>
              <w:rPr>
                <w:szCs w:val="21"/>
              </w:rPr>
            </w:pPr>
            <w:r>
              <w:rPr>
                <w:kern w:val="0"/>
                <w:szCs w:val="21"/>
                <w:lang w:bidi="ar"/>
              </w:rPr>
              <w:t>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7D97191">
            <w:pPr>
              <w:widowControl/>
              <w:jc w:val="center"/>
              <w:textAlignment w:val="center"/>
              <w:rPr>
                <w:szCs w:val="21"/>
              </w:rPr>
            </w:pPr>
            <w:r>
              <w:rPr>
                <w:kern w:val="0"/>
                <w:szCs w:val="21"/>
                <w:lang w:bidi="ar"/>
              </w:rPr>
              <w:t>8.2509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1C54271">
            <w:pPr>
              <w:widowControl/>
              <w:jc w:val="center"/>
              <w:textAlignment w:val="center"/>
              <w:rPr>
                <w:szCs w:val="21"/>
              </w:rPr>
            </w:pPr>
            <w:r>
              <w:rPr>
                <w:kern w:val="0"/>
                <w:szCs w:val="21"/>
                <w:lang w:bidi="ar"/>
              </w:rPr>
              <w:t>4.13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CF8D05E">
            <w:pPr>
              <w:widowControl/>
              <w:jc w:val="center"/>
              <w:textAlignment w:val="center"/>
              <w:rPr>
                <w:szCs w:val="21"/>
              </w:rPr>
            </w:pPr>
            <w:r>
              <w:rPr>
                <w:kern w:val="0"/>
                <w:szCs w:val="21"/>
                <w:lang w:bidi="ar"/>
              </w:rPr>
              <w:t>0.759951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CB8F798">
            <w:pPr>
              <w:widowControl/>
              <w:jc w:val="center"/>
              <w:textAlignment w:val="center"/>
              <w:rPr>
                <w:szCs w:val="21"/>
              </w:rPr>
            </w:pPr>
            <w:r>
              <w:rPr>
                <w:kern w:val="0"/>
                <w:szCs w:val="21"/>
                <w:lang w:bidi="ar"/>
              </w:rPr>
              <w:t>7.6</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3012E6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4D00ED5">
            <w:pPr>
              <w:widowControl/>
              <w:jc w:val="center"/>
              <w:textAlignment w:val="center"/>
              <w:rPr>
                <w:szCs w:val="21"/>
              </w:rPr>
            </w:pPr>
            <w:r>
              <w:rPr>
                <w:kern w:val="0"/>
                <w:szCs w:val="21"/>
                <w:lang w:bidi="ar"/>
              </w:rPr>
              <w:t>不出现</w:t>
            </w:r>
          </w:p>
        </w:tc>
      </w:tr>
      <w:tr w14:paraId="1A3DD69B">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7A038BB">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49D8EDAB">
            <w:pPr>
              <w:widowControl/>
              <w:jc w:val="center"/>
              <w:textAlignment w:val="center"/>
              <w:rPr>
                <w:szCs w:val="21"/>
              </w:rPr>
            </w:pPr>
            <w:r>
              <w:rPr>
                <w:kern w:val="0"/>
                <w:szCs w:val="21"/>
                <w:lang w:bidi="ar"/>
              </w:rPr>
              <w:t>盛丰焦化楼位置2号舍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0E52CCD">
            <w:pPr>
              <w:widowControl/>
              <w:jc w:val="center"/>
              <w:textAlignment w:val="center"/>
              <w:rPr>
                <w:szCs w:val="21"/>
              </w:rPr>
            </w:pPr>
            <w:r>
              <w:rPr>
                <w:kern w:val="0"/>
                <w:szCs w:val="21"/>
                <w:lang w:bidi="ar"/>
              </w:rPr>
              <w:t>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5E35CE7">
            <w:pPr>
              <w:widowControl/>
              <w:jc w:val="center"/>
              <w:textAlignment w:val="center"/>
              <w:rPr>
                <w:szCs w:val="21"/>
              </w:rPr>
            </w:pPr>
            <w:r>
              <w:rPr>
                <w:kern w:val="0"/>
                <w:szCs w:val="21"/>
                <w:lang w:bidi="ar"/>
              </w:rPr>
              <w:t>11.575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A60B949">
            <w:pPr>
              <w:widowControl/>
              <w:jc w:val="center"/>
              <w:textAlignment w:val="center"/>
              <w:rPr>
                <w:szCs w:val="21"/>
              </w:rPr>
            </w:pPr>
            <w:r>
              <w:rPr>
                <w:kern w:val="0"/>
                <w:szCs w:val="21"/>
                <w:lang w:bidi="ar"/>
              </w:rPr>
              <w:t>5.79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24C96C6">
            <w:pPr>
              <w:widowControl/>
              <w:jc w:val="center"/>
              <w:textAlignment w:val="center"/>
              <w:rPr>
                <w:szCs w:val="21"/>
              </w:rPr>
            </w:pPr>
            <w:r>
              <w:rPr>
                <w:kern w:val="0"/>
                <w:szCs w:val="21"/>
                <w:lang w:bidi="ar"/>
              </w:rPr>
              <w:t>0.982783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D47B870">
            <w:pPr>
              <w:widowControl/>
              <w:jc w:val="center"/>
              <w:textAlignment w:val="center"/>
              <w:rPr>
                <w:szCs w:val="21"/>
              </w:rPr>
            </w:pPr>
            <w:r>
              <w:rPr>
                <w:kern w:val="0"/>
                <w:szCs w:val="21"/>
                <w:lang w:bidi="ar"/>
              </w:rPr>
              <w:t>9.83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58A7424">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4EEDBD31">
            <w:pPr>
              <w:widowControl/>
              <w:jc w:val="center"/>
              <w:textAlignment w:val="center"/>
              <w:rPr>
                <w:szCs w:val="21"/>
              </w:rPr>
            </w:pPr>
            <w:r>
              <w:rPr>
                <w:kern w:val="0"/>
                <w:szCs w:val="21"/>
                <w:lang w:bidi="ar"/>
              </w:rPr>
              <w:t>不出现</w:t>
            </w:r>
          </w:p>
        </w:tc>
      </w:tr>
      <w:tr w14:paraId="7A6F8E93">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31FF1950">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4798E46">
            <w:pPr>
              <w:widowControl/>
              <w:jc w:val="center"/>
              <w:textAlignment w:val="center"/>
              <w:rPr>
                <w:szCs w:val="21"/>
              </w:rPr>
            </w:pPr>
            <w:r>
              <w:rPr>
                <w:kern w:val="0"/>
                <w:szCs w:val="21"/>
                <w:lang w:bidi="ar"/>
              </w:rPr>
              <w:t>球场位置1单元</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4EEB593">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A7B5CB3">
            <w:pPr>
              <w:widowControl/>
              <w:jc w:val="center"/>
              <w:textAlignment w:val="center"/>
              <w:rPr>
                <w:szCs w:val="21"/>
              </w:rPr>
            </w:pPr>
            <w:r>
              <w:rPr>
                <w:kern w:val="0"/>
                <w:szCs w:val="21"/>
                <w:lang w:bidi="ar"/>
              </w:rPr>
              <w:t>5.4646</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EA397C7">
            <w:pPr>
              <w:widowControl/>
              <w:jc w:val="center"/>
              <w:textAlignment w:val="center"/>
              <w:rPr>
                <w:szCs w:val="21"/>
              </w:rPr>
            </w:pPr>
            <w:r>
              <w:rPr>
                <w:kern w:val="0"/>
                <w:szCs w:val="21"/>
                <w:lang w:bidi="ar"/>
              </w:rPr>
              <w:t>2.73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1AF68B2">
            <w:pPr>
              <w:widowControl/>
              <w:jc w:val="center"/>
              <w:textAlignment w:val="center"/>
              <w:rPr>
                <w:szCs w:val="21"/>
              </w:rPr>
            </w:pPr>
            <w:r>
              <w:rPr>
                <w:kern w:val="0"/>
                <w:szCs w:val="21"/>
                <w:lang w:bidi="ar"/>
              </w:rPr>
              <w:t>0.420354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6763B95">
            <w:pPr>
              <w:widowControl/>
              <w:jc w:val="center"/>
              <w:textAlignment w:val="center"/>
              <w:rPr>
                <w:szCs w:val="21"/>
              </w:rPr>
            </w:pPr>
            <w:r>
              <w:rPr>
                <w:kern w:val="0"/>
                <w:szCs w:val="21"/>
                <w:lang w:bidi="ar"/>
              </w:rPr>
              <w:t>4.2</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BA3F88F">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5F160D4">
            <w:pPr>
              <w:widowControl/>
              <w:jc w:val="center"/>
              <w:textAlignment w:val="center"/>
              <w:rPr>
                <w:szCs w:val="21"/>
              </w:rPr>
            </w:pPr>
            <w:r>
              <w:rPr>
                <w:kern w:val="0"/>
                <w:szCs w:val="21"/>
                <w:lang w:bidi="ar"/>
              </w:rPr>
              <w:t>不出现</w:t>
            </w:r>
          </w:p>
        </w:tc>
      </w:tr>
      <w:tr w14:paraId="7A2D88DB">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9204D69">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6622191">
            <w:pPr>
              <w:widowControl/>
              <w:jc w:val="center"/>
              <w:textAlignment w:val="center"/>
              <w:rPr>
                <w:szCs w:val="21"/>
              </w:rPr>
            </w:pPr>
            <w:r>
              <w:rPr>
                <w:kern w:val="0"/>
                <w:szCs w:val="21"/>
                <w:lang w:bidi="ar"/>
              </w:rPr>
              <w:t>球场位置2单元</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239F5CD">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C753BE2">
            <w:pPr>
              <w:widowControl/>
              <w:jc w:val="center"/>
              <w:textAlignment w:val="center"/>
              <w:rPr>
                <w:szCs w:val="21"/>
              </w:rPr>
            </w:pPr>
            <w:r>
              <w:rPr>
                <w:kern w:val="0"/>
                <w:szCs w:val="21"/>
                <w:lang w:bidi="ar"/>
              </w:rPr>
              <w:t>4.4677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F2D8550">
            <w:pPr>
              <w:widowControl/>
              <w:jc w:val="center"/>
              <w:textAlignment w:val="center"/>
              <w:rPr>
                <w:szCs w:val="21"/>
              </w:rPr>
            </w:pPr>
            <w:r>
              <w:rPr>
                <w:kern w:val="0"/>
                <w:szCs w:val="21"/>
                <w:lang w:bidi="ar"/>
              </w:rPr>
              <w:t>2.23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3F35CD5">
            <w:pPr>
              <w:widowControl/>
              <w:jc w:val="center"/>
              <w:textAlignment w:val="center"/>
              <w:rPr>
                <w:szCs w:val="21"/>
              </w:rPr>
            </w:pPr>
            <w:r>
              <w:rPr>
                <w:kern w:val="0"/>
                <w:szCs w:val="21"/>
                <w:lang w:bidi="ar"/>
              </w:rPr>
              <w:t>0.418847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7152AC6">
            <w:pPr>
              <w:widowControl/>
              <w:jc w:val="center"/>
              <w:textAlignment w:val="center"/>
              <w:rPr>
                <w:szCs w:val="21"/>
              </w:rPr>
            </w:pPr>
            <w:r>
              <w:rPr>
                <w:kern w:val="0"/>
                <w:szCs w:val="21"/>
                <w:lang w:bidi="ar"/>
              </w:rPr>
              <w:t>4.19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BE7D7EB">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459559D4">
            <w:pPr>
              <w:widowControl/>
              <w:jc w:val="center"/>
              <w:textAlignment w:val="center"/>
              <w:rPr>
                <w:szCs w:val="21"/>
              </w:rPr>
            </w:pPr>
            <w:r>
              <w:rPr>
                <w:kern w:val="0"/>
                <w:szCs w:val="21"/>
                <w:lang w:bidi="ar"/>
              </w:rPr>
              <w:t>不出现</w:t>
            </w:r>
          </w:p>
        </w:tc>
      </w:tr>
      <w:tr w14:paraId="35E75FD5">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D108066">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36B7A3B3">
            <w:pPr>
              <w:widowControl/>
              <w:jc w:val="center"/>
              <w:textAlignment w:val="center"/>
              <w:rPr>
                <w:szCs w:val="21"/>
              </w:rPr>
            </w:pPr>
            <w:r>
              <w:rPr>
                <w:kern w:val="0"/>
                <w:szCs w:val="21"/>
                <w:lang w:bidi="ar"/>
              </w:rPr>
              <w:t>球场位置3单元</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E8C49C7">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6630DB6">
            <w:pPr>
              <w:widowControl/>
              <w:jc w:val="center"/>
              <w:textAlignment w:val="center"/>
              <w:rPr>
                <w:szCs w:val="21"/>
              </w:rPr>
            </w:pPr>
            <w:r>
              <w:rPr>
                <w:kern w:val="0"/>
                <w:szCs w:val="21"/>
                <w:lang w:bidi="ar"/>
              </w:rPr>
              <w:t>4.6664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C6A2718">
            <w:pPr>
              <w:widowControl/>
              <w:jc w:val="center"/>
              <w:textAlignment w:val="center"/>
              <w:rPr>
                <w:szCs w:val="21"/>
              </w:rPr>
            </w:pPr>
            <w:r>
              <w:rPr>
                <w:kern w:val="0"/>
                <w:szCs w:val="21"/>
                <w:lang w:bidi="ar"/>
              </w:rPr>
              <w:t>2.33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708455E">
            <w:pPr>
              <w:widowControl/>
              <w:jc w:val="center"/>
              <w:textAlignment w:val="center"/>
              <w:rPr>
                <w:szCs w:val="21"/>
              </w:rPr>
            </w:pPr>
            <w:r>
              <w:rPr>
                <w:kern w:val="0"/>
                <w:szCs w:val="21"/>
                <w:lang w:bidi="ar"/>
              </w:rPr>
              <w:t>0.411741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C2A5850">
            <w:pPr>
              <w:widowControl/>
              <w:jc w:val="center"/>
              <w:textAlignment w:val="center"/>
              <w:rPr>
                <w:szCs w:val="21"/>
              </w:rPr>
            </w:pPr>
            <w:r>
              <w:rPr>
                <w:kern w:val="0"/>
                <w:szCs w:val="21"/>
                <w:lang w:bidi="ar"/>
              </w:rPr>
              <w:t>4.12</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3467E41">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2167A0E">
            <w:pPr>
              <w:widowControl/>
              <w:jc w:val="center"/>
              <w:textAlignment w:val="center"/>
              <w:rPr>
                <w:szCs w:val="21"/>
              </w:rPr>
            </w:pPr>
            <w:r>
              <w:rPr>
                <w:kern w:val="0"/>
                <w:szCs w:val="21"/>
                <w:lang w:bidi="ar"/>
              </w:rPr>
              <w:t>不出现</w:t>
            </w:r>
          </w:p>
        </w:tc>
      </w:tr>
      <w:tr w14:paraId="43A63A9E">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9DB8C06">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1DBA0CB">
            <w:pPr>
              <w:widowControl/>
              <w:jc w:val="center"/>
              <w:textAlignment w:val="center"/>
              <w:rPr>
                <w:szCs w:val="21"/>
              </w:rPr>
            </w:pPr>
            <w:r>
              <w:rPr>
                <w:kern w:val="0"/>
                <w:szCs w:val="21"/>
                <w:lang w:bidi="ar"/>
              </w:rPr>
              <w:t>盛丰焦化楼养殖区堆肥间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D64425C">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93D2FE6">
            <w:pPr>
              <w:widowControl/>
              <w:jc w:val="center"/>
              <w:textAlignment w:val="center"/>
              <w:rPr>
                <w:szCs w:val="21"/>
              </w:rPr>
            </w:pPr>
            <w:r>
              <w:rPr>
                <w:kern w:val="0"/>
                <w:szCs w:val="21"/>
                <w:lang w:bidi="ar"/>
              </w:rPr>
              <w:t>16.843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6BCD82C">
            <w:pPr>
              <w:widowControl/>
              <w:jc w:val="center"/>
              <w:textAlignment w:val="center"/>
              <w:rPr>
                <w:szCs w:val="21"/>
              </w:rPr>
            </w:pPr>
            <w:r>
              <w:rPr>
                <w:kern w:val="0"/>
                <w:szCs w:val="21"/>
                <w:lang w:bidi="ar"/>
              </w:rPr>
              <w:t>8.42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D109300">
            <w:pPr>
              <w:widowControl/>
              <w:jc w:val="center"/>
              <w:textAlignment w:val="center"/>
              <w:rPr>
                <w:szCs w:val="21"/>
              </w:rPr>
            </w:pPr>
            <w:r>
              <w:rPr>
                <w:kern w:val="0"/>
                <w:szCs w:val="21"/>
                <w:lang w:bidi="ar"/>
              </w:rPr>
              <w:t>0.976148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2A6FFCC">
            <w:pPr>
              <w:widowControl/>
              <w:jc w:val="center"/>
              <w:textAlignment w:val="center"/>
              <w:rPr>
                <w:szCs w:val="21"/>
              </w:rPr>
            </w:pPr>
            <w:r>
              <w:rPr>
                <w:kern w:val="0"/>
                <w:szCs w:val="21"/>
                <w:lang w:bidi="ar"/>
              </w:rPr>
              <w:t>9.76</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49ED30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567786B">
            <w:pPr>
              <w:widowControl/>
              <w:jc w:val="center"/>
              <w:textAlignment w:val="center"/>
              <w:rPr>
                <w:szCs w:val="21"/>
              </w:rPr>
            </w:pPr>
            <w:r>
              <w:rPr>
                <w:kern w:val="0"/>
                <w:szCs w:val="21"/>
                <w:lang w:bidi="ar"/>
              </w:rPr>
              <w:t>不出现</w:t>
            </w:r>
          </w:p>
        </w:tc>
      </w:tr>
      <w:tr w14:paraId="31D81610">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C808AEA">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9AE4D66">
            <w:pPr>
              <w:widowControl/>
              <w:jc w:val="center"/>
              <w:textAlignment w:val="center"/>
              <w:rPr>
                <w:szCs w:val="21"/>
              </w:rPr>
            </w:pPr>
            <w:r>
              <w:rPr>
                <w:kern w:val="0"/>
                <w:szCs w:val="21"/>
                <w:lang w:bidi="ar"/>
              </w:rPr>
              <w:t>2号地盛丰焦化楼养殖区污水处理站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1F1F380">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80958EE">
            <w:pPr>
              <w:widowControl/>
              <w:jc w:val="center"/>
              <w:textAlignment w:val="center"/>
              <w:rPr>
                <w:szCs w:val="21"/>
              </w:rPr>
            </w:pPr>
            <w:r>
              <w:rPr>
                <w:kern w:val="0"/>
                <w:szCs w:val="21"/>
                <w:lang w:bidi="ar"/>
              </w:rPr>
              <w:t>1.1241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80ED6CE">
            <w:pPr>
              <w:widowControl/>
              <w:jc w:val="center"/>
              <w:textAlignment w:val="center"/>
              <w:rPr>
                <w:szCs w:val="21"/>
              </w:rPr>
            </w:pPr>
            <w:r>
              <w:rPr>
                <w:kern w:val="0"/>
                <w:szCs w:val="21"/>
                <w:lang w:bidi="ar"/>
              </w:rPr>
              <w:t>0.56</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2389886">
            <w:pPr>
              <w:widowControl/>
              <w:jc w:val="center"/>
              <w:textAlignment w:val="center"/>
              <w:rPr>
                <w:szCs w:val="21"/>
              </w:rPr>
            </w:pPr>
            <w:r>
              <w:rPr>
                <w:kern w:val="0"/>
                <w:szCs w:val="21"/>
                <w:lang w:bidi="ar"/>
              </w:rPr>
              <w:t>0.043715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F0DC649">
            <w:pPr>
              <w:widowControl/>
              <w:jc w:val="center"/>
              <w:textAlignment w:val="center"/>
              <w:rPr>
                <w:szCs w:val="21"/>
              </w:rPr>
            </w:pPr>
            <w:r>
              <w:rPr>
                <w:kern w:val="0"/>
                <w:szCs w:val="21"/>
                <w:lang w:bidi="ar"/>
              </w:rPr>
              <w:t>0.44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0143479">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A7B88F4">
            <w:pPr>
              <w:widowControl/>
              <w:jc w:val="center"/>
              <w:textAlignment w:val="center"/>
              <w:rPr>
                <w:szCs w:val="21"/>
              </w:rPr>
            </w:pPr>
            <w:r>
              <w:rPr>
                <w:kern w:val="0"/>
                <w:szCs w:val="21"/>
                <w:lang w:bidi="ar"/>
              </w:rPr>
              <w:t>不出现</w:t>
            </w:r>
          </w:p>
        </w:tc>
      </w:tr>
      <w:tr w14:paraId="122B2A23">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556B19FD">
            <w:pPr>
              <w:widowControl/>
              <w:jc w:val="center"/>
              <w:textAlignment w:val="center"/>
              <w:rPr>
                <w:szCs w:val="21"/>
              </w:rPr>
            </w:pPr>
            <w:r>
              <w:rPr>
                <w:kern w:val="0"/>
                <w:szCs w:val="21"/>
                <w:lang w:bidi="ar"/>
              </w:rPr>
              <w:t>3号地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10EB539">
            <w:pPr>
              <w:widowControl/>
              <w:jc w:val="center"/>
              <w:textAlignment w:val="center"/>
              <w:rPr>
                <w:szCs w:val="21"/>
              </w:rPr>
            </w:pPr>
            <w:r>
              <w:rPr>
                <w:kern w:val="0"/>
                <w:szCs w:val="21"/>
                <w:lang w:bidi="ar"/>
              </w:rPr>
              <w:t>老井位置1号舍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F9DE5D9">
            <w:pPr>
              <w:widowControl/>
              <w:jc w:val="center"/>
              <w:textAlignment w:val="center"/>
              <w:rPr>
                <w:szCs w:val="21"/>
              </w:rPr>
            </w:pPr>
            <w:r>
              <w:rPr>
                <w:kern w:val="0"/>
                <w:szCs w:val="21"/>
                <w:lang w:bidi="ar"/>
              </w:rPr>
              <w:t>38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8AB1695">
            <w:pPr>
              <w:widowControl/>
              <w:jc w:val="center"/>
              <w:textAlignment w:val="center"/>
              <w:rPr>
                <w:szCs w:val="21"/>
              </w:rPr>
            </w:pPr>
            <w:r>
              <w:rPr>
                <w:kern w:val="0"/>
                <w:szCs w:val="21"/>
                <w:lang w:bidi="ar"/>
              </w:rPr>
              <w:t>6.4937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100798E">
            <w:pPr>
              <w:widowControl/>
              <w:jc w:val="center"/>
              <w:textAlignment w:val="center"/>
              <w:rPr>
                <w:szCs w:val="21"/>
              </w:rPr>
            </w:pPr>
            <w:r>
              <w:rPr>
                <w:kern w:val="0"/>
                <w:szCs w:val="21"/>
                <w:lang w:bidi="ar"/>
              </w:rPr>
              <w:t>3.25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F23C869">
            <w:pPr>
              <w:widowControl/>
              <w:jc w:val="center"/>
              <w:textAlignment w:val="center"/>
              <w:rPr>
                <w:szCs w:val="21"/>
              </w:rPr>
            </w:pPr>
            <w:r>
              <w:rPr>
                <w:kern w:val="0"/>
                <w:szCs w:val="21"/>
                <w:lang w:bidi="ar"/>
              </w:rPr>
              <w:t>0.608784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683FFF2">
            <w:pPr>
              <w:widowControl/>
              <w:jc w:val="center"/>
              <w:textAlignment w:val="center"/>
              <w:rPr>
                <w:szCs w:val="21"/>
              </w:rPr>
            </w:pPr>
            <w:r>
              <w:rPr>
                <w:kern w:val="0"/>
                <w:szCs w:val="21"/>
                <w:lang w:bidi="ar"/>
              </w:rPr>
              <w:t>6.09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05B7602">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9F3ECF2">
            <w:pPr>
              <w:widowControl/>
              <w:jc w:val="center"/>
              <w:textAlignment w:val="center"/>
              <w:rPr>
                <w:szCs w:val="21"/>
              </w:rPr>
            </w:pPr>
            <w:r>
              <w:rPr>
                <w:kern w:val="0"/>
                <w:szCs w:val="21"/>
                <w:lang w:bidi="ar"/>
              </w:rPr>
              <w:t>不出现</w:t>
            </w:r>
          </w:p>
        </w:tc>
      </w:tr>
      <w:tr w14:paraId="0D3677D2">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13F9842">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5891228">
            <w:pPr>
              <w:widowControl/>
              <w:jc w:val="center"/>
              <w:textAlignment w:val="center"/>
              <w:rPr>
                <w:szCs w:val="21"/>
              </w:rPr>
            </w:pPr>
            <w:r>
              <w:rPr>
                <w:kern w:val="0"/>
                <w:szCs w:val="21"/>
                <w:lang w:bidi="ar"/>
              </w:rPr>
              <w:t>老井位置2号舍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E5B4746">
            <w:pPr>
              <w:widowControl/>
              <w:jc w:val="center"/>
              <w:textAlignment w:val="center"/>
              <w:rPr>
                <w:szCs w:val="21"/>
              </w:rPr>
            </w:pPr>
            <w:r>
              <w:rPr>
                <w:kern w:val="0"/>
                <w:szCs w:val="21"/>
                <w:lang w:bidi="ar"/>
              </w:rPr>
              <w:t>51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65DB415">
            <w:pPr>
              <w:widowControl/>
              <w:jc w:val="center"/>
              <w:textAlignment w:val="center"/>
              <w:rPr>
                <w:szCs w:val="21"/>
              </w:rPr>
            </w:pPr>
            <w:r>
              <w:rPr>
                <w:kern w:val="0"/>
                <w:szCs w:val="21"/>
                <w:lang w:bidi="ar"/>
              </w:rPr>
              <w:t>5.6444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C65C65D">
            <w:pPr>
              <w:widowControl/>
              <w:jc w:val="center"/>
              <w:textAlignment w:val="center"/>
              <w:rPr>
                <w:szCs w:val="21"/>
              </w:rPr>
            </w:pPr>
            <w:r>
              <w:rPr>
                <w:kern w:val="0"/>
                <w:szCs w:val="21"/>
                <w:lang w:bidi="ar"/>
              </w:rPr>
              <w:t>2.82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B6FC621">
            <w:pPr>
              <w:widowControl/>
              <w:jc w:val="center"/>
              <w:textAlignment w:val="center"/>
              <w:rPr>
                <w:szCs w:val="21"/>
              </w:rPr>
            </w:pPr>
            <w:r>
              <w:rPr>
                <w:kern w:val="0"/>
                <w:szCs w:val="21"/>
                <w:lang w:bidi="ar"/>
              </w:rPr>
              <w:t>0.529163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E4F30AA">
            <w:pPr>
              <w:widowControl/>
              <w:jc w:val="center"/>
              <w:textAlignment w:val="center"/>
              <w:rPr>
                <w:szCs w:val="21"/>
              </w:rPr>
            </w:pPr>
            <w:r>
              <w:rPr>
                <w:kern w:val="0"/>
                <w:szCs w:val="21"/>
                <w:lang w:bidi="ar"/>
              </w:rPr>
              <w:t>5.29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296CC8B">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7F2CF324">
            <w:pPr>
              <w:widowControl/>
              <w:jc w:val="center"/>
              <w:textAlignment w:val="center"/>
              <w:rPr>
                <w:szCs w:val="21"/>
              </w:rPr>
            </w:pPr>
            <w:r>
              <w:rPr>
                <w:kern w:val="0"/>
                <w:szCs w:val="21"/>
                <w:lang w:bidi="ar"/>
              </w:rPr>
              <w:t>不出现</w:t>
            </w:r>
          </w:p>
        </w:tc>
      </w:tr>
      <w:tr w14:paraId="0FF0788F">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00C611A">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2E868D9">
            <w:pPr>
              <w:widowControl/>
              <w:jc w:val="center"/>
              <w:textAlignment w:val="center"/>
              <w:rPr>
                <w:szCs w:val="21"/>
              </w:rPr>
            </w:pPr>
            <w:r>
              <w:rPr>
                <w:kern w:val="0"/>
                <w:szCs w:val="21"/>
                <w:lang w:bidi="ar"/>
              </w:rPr>
              <w:t>老井养殖区堆肥间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38903102">
            <w:pPr>
              <w:widowControl/>
              <w:jc w:val="center"/>
              <w:textAlignment w:val="center"/>
              <w:rPr>
                <w:szCs w:val="21"/>
              </w:rPr>
            </w:pPr>
            <w:r>
              <w:rPr>
                <w:kern w:val="0"/>
                <w:szCs w:val="21"/>
                <w:lang w:bidi="ar"/>
              </w:rPr>
              <w:t>14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A7A2DB6">
            <w:pPr>
              <w:widowControl/>
              <w:jc w:val="center"/>
              <w:textAlignment w:val="center"/>
              <w:rPr>
                <w:szCs w:val="21"/>
              </w:rPr>
            </w:pPr>
            <w:r>
              <w:rPr>
                <w:kern w:val="0"/>
                <w:szCs w:val="21"/>
                <w:lang w:bidi="ar"/>
              </w:rPr>
              <w:t>10.817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0B11F9B">
            <w:pPr>
              <w:widowControl/>
              <w:jc w:val="center"/>
              <w:textAlignment w:val="center"/>
              <w:rPr>
                <w:szCs w:val="21"/>
              </w:rPr>
            </w:pPr>
            <w:r>
              <w:rPr>
                <w:kern w:val="0"/>
                <w:szCs w:val="21"/>
                <w:lang w:bidi="ar"/>
              </w:rPr>
              <w:t>5.41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F74DBAD">
            <w:pPr>
              <w:widowControl/>
              <w:jc w:val="center"/>
              <w:textAlignment w:val="center"/>
              <w:rPr>
                <w:szCs w:val="21"/>
              </w:rPr>
            </w:pPr>
            <w:r>
              <w:rPr>
                <w:kern w:val="0"/>
                <w:szCs w:val="21"/>
                <w:lang w:bidi="ar"/>
              </w:rPr>
              <w:t>0.614861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2E45967">
            <w:pPr>
              <w:widowControl/>
              <w:jc w:val="center"/>
              <w:textAlignment w:val="center"/>
              <w:rPr>
                <w:szCs w:val="21"/>
              </w:rPr>
            </w:pPr>
            <w:r>
              <w:rPr>
                <w:kern w:val="0"/>
                <w:szCs w:val="21"/>
                <w:lang w:bidi="ar"/>
              </w:rPr>
              <w:t>6.15</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3D862A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2ED44573">
            <w:pPr>
              <w:widowControl/>
              <w:jc w:val="center"/>
              <w:textAlignment w:val="center"/>
              <w:rPr>
                <w:szCs w:val="21"/>
              </w:rPr>
            </w:pPr>
            <w:r>
              <w:rPr>
                <w:kern w:val="0"/>
                <w:szCs w:val="21"/>
                <w:lang w:bidi="ar"/>
              </w:rPr>
              <w:t>不出现</w:t>
            </w:r>
          </w:p>
        </w:tc>
      </w:tr>
      <w:tr w14:paraId="63E218FF">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715834DB">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4F541C86">
            <w:pPr>
              <w:widowControl/>
              <w:jc w:val="center"/>
              <w:textAlignment w:val="center"/>
              <w:rPr>
                <w:szCs w:val="21"/>
              </w:rPr>
            </w:pPr>
            <w:r>
              <w:rPr>
                <w:kern w:val="0"/>
                <w:szCs w:val="21"/>
                <w:lang w:bidi="ar"/>
              </w:rPr>
              <w:t>3号地老井养殖区污水处理站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6FD6D662">
            <w:pPr>
              <w:widowControl/>
              <w:jc w:val="center"/>
              <w:textAlignment w:val="center"/>
              <w:rPr>
                <w:szCs w:val="21"/>
              </w:rPr>
            </w:pPr>
            <w:r>
              <w:rPr>
                <w:kern w:val="0"/>
                <w:szCs w:val="21"/>
                <w:lang w:bidi="ar"/>
              </w:rPr>
              <w:t>15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366F8C5">
            <w:pPr>
              <w:widowControl/>
              <w:jc w:val="center"/>
              <w:textAlignment w:val="center"/>
              <w:rPr>
                <w:szCs w:val="21"/>
              </w:rPr>
            </w:pPr>
            <w:r>
              <w:rPr>
                <w:kern w:val="0"/>
                <w:szCs w:val="21"/>
                <w:lang w:bidi="ar"/>
              </w:rPr>
              <w:t>0.49444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0BBE61E">
            <w:pPr>
              <w:widowControl/>
              <w:jc w:val="center"/>
              <w:textAlignment w:val="center"/>
              <w:rPr>
                <w:szCs w:val="21"/>
              </w:rPr>
            </w:pPr>
            <w:r>
              <w:rPr>
                <w:kern w:val="0"/>
                <w:szCs w:val="21"/>
                <w:lang w:bidi="ar"/>
              </w:rPr>
              <w:t>0.25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185BC4A">
            <w:pPr>
              <w:widowControl/>
              <w:jc w:val="center"/>
              <w:textAlignment w:val="center"/>
              <w:rPr>
                <w:szCs w:val="21"/>
              </w:rPr>
            </w:pPr>
            <w:r>
              <w:rPr>
                <w:kern w:val="0"/>
                <w:szCs w:val="21"/>
                <w:lang w:bidi="ar"/>
              </w:rPr>
              <w:t>0.017659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71E662F">
            <w:pPr>
              <w:widowControl/>
              <w:jc w:val="center"/>
              <w:textAlignment w:val="center"/>
              <w:rPr>
                <w:szCs w:val="21"/>
              </w:rPr>
            </w:pPr>
            <w:r>
              <w:rPr>
                <w:kern w:val="0"/>
                <w:szCs w:val="21"/>
                <w:lang w:bidi="ar"/>
              </w:rPr>
              <w:t>0.18</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A798E9B">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432F5EA">
            <w:pPr>
              <w:widowControl/>
              <w:jc w:val="center"/>
              <w:textAlignment w:val="center"/>
              <w:rPr>
                <w:szCs w:val="21"/>
              </w:rPr>
            </w:pPr>
            <w:r>
              <w:rPr>
                <w:kern w:val="0"/>
                <w:szCs w:val="21"/>
                <w:lang w:bidi="ar"/>
              </w:rPr>
              <w:t>不出现</w:t>
            </w:r>
          </w:p>
        </w:tc>
      </w:tr>
      <w:tr w14:paraId="1D5817D0">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495912A1">
            <w:pPr>
              <w:widowControl/>
              <w:jc w:val="center"/>
              <w:textAlignment w:val="center"/>
              <w:rPr>
                <w:szCs w:val="21"/>
              </w:rPr>
            </w:pPr>
            <w:r>
              <w:rPr>
                <w:kern w:val="0"/>
                <w:szCs w:val="21"/>
                <w:lang w:bidi="ar"/>
              </w:rPr>
              <w:t>4号地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A5E1CE2">
            <w:pPr>
              <w:widowControl/>
              <w:jc w:val="center"/>
              <w:textAlignment w:val="center"/>
              <w:rPr>
                <w:szCs w:val="21"/>
              </w:rPr>
            </w:pPr>
            <w:r>
              <w:rPr>
                <w:kern w:val="0"/>
                <w:szCs w:val="21"/>
                <w:lang w:bidi="ar"/>
              </w:rPr>
              <w:t>鑫旺板块1号舍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85DF739">
            <w:pPr>
              <w:widowControl/>
              <w:jc w:val="center"/>
              <w:textAlignment w:val="center"/>
              <w:rPr>
                <w:szCs w:val="21"/>
              </w:rPr>
            </w:pPr>
            <w:r>
              <w:rPr>
                <w:kern w:val="0"/>
                <w:szCs w:val="21"/>
                <w:lang w:bidi="ar"/>
              </w:rPr>
              <w:t>51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1C81B3B">
            <w:pPr>
              <w:widowControl/>
              <w:jc w:val="center"/>
              <w:textAlignment w:val="center"/>
              <w:rPr>
                <w:szCs w:val="21"/>
              </w:rPr>
            </w:pPr>
            <w:r>
              <w:rPr>
                <w:kern w:val="0"/>
                <w:szCs w:val="21"/>
                <w:lang w:bidi="ar"/>
              </w:rPr>
              <w:t>9.3456</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472B701">
            <w:pPr>
              <w:widowControl/>
              <w:jc w:val="center"/>
              <w:textAlignment w:val="center"/>
              <w:rPr>
                <w:szCs w:val="21"/>
              </w:rPr>
            </w:pPr>
            <w:r>
              <w:rPr>
                <w:kern w:val="0"/>
                <w:szCs w:val="21"/>
                <w:lang w:bidi="ar"/>
              </w:rPr>
              <w:t>4.67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A25AFAF">
            <w:pPr>
              <w:widowControl/>
              <w:jc w:val="center"/>
              <w:textAlignment w:val="center"/>
              <w:rPr>
                <w:szCs w:val="21"/>
              </w:rPr>
            </w:pPr>
            <w:r>
              <w:rPr>
                <w:kern w:val="0"/>
                <w:szCs w:val="21"/>
                <w:lang w:bidi="ar"/>
              </w:rPr>
              <w:t>0.793495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899A223">
            <w:pPr>
              <w:widowControl/>
              <w:jc w:val="center"/>
              <w:textAlignment w:val="center"/>
              <w:rPr>
                <w:szCs w:val="21"/>
              </w:rPr>
            </w:pPr>
            <w:r>
              <w:rPr>
                <w:kern w:val="0"/>
                <w:szCs w:val="21"/>
                <w:lang w:bidi="ar"/>
              </w:rPr>
              <w:t>7.93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1F23CB3">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4A96605">
            <w:pPr>
              <w:widowControl/>
              <w:jc w:val="center"/>
              <w:textAlignment w:val="center"/>
              <w:rPr>
                <w:szCs w:val="21"/>
              </w:rPr>
            </w:pPr>
            <w:r>
              <w:rPr>
                <w:kern w:val="0"/>
                <w:szCs w:val="21"/>
                <w:lang w:bidi="ar"/>
              </w:rPr>
              <w:t>不出现</w:t>
            </w:r>
          </w:p>
        </w:tc>
      </w:tr>
      <w:tr w14:paraId="711E020A">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32F2AC1">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1366BA6">
            <w:pPr>
              <w:widowControl/>
              <w:jc w:val="center"/>
              <w:textAlignment w:val="center"/>
              <w:rPr>
                <w:szCs w:val="21"/>
              </w:rPr>
            </w:pPr>
            <w:r>
              <w:rPr>
                <w:kern w:val="0"/>
                <w:szCs w:val="21"/>
                <w:lang w:bidi="ar"/>
              </w:rPr>
              <w:t>鑫旺板块2号舍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2EFB02F">
            <w:pPr>
              <w:widowControl/>
              <w:jc w:val="center"/>
              <w:textAlignment w:val="center"/>
              <w:rPr>
                <w:szCs w:val="21"/>
              </w:rPr>
            </w:pPr>
            <w:r>
              <w:rPr>
                <w:kern w:val="0"/>
                <w:szCs w:val="21"/>
                <w:lang w:bidi="ar"/>
              </w:rPr>
              <w:t>52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0D682A5">
            <w:pPr>
              <w:widowControl/>
              <w:jc w:val="center"/>
              <w:textAlignment w:val="center"/>
              <w:rPr>
                <w:szCs w:val="21"/>
              </w:rPr>
            </w:pPr>
            <w:r>
              <w:rPr>
                <w:kern w:val="0"/>
                <w:szCs w:val="21"/>
                <w:lang w:bidi="ar"/>
              </w:rPr>
              <w:t>9.4367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00EB905">
            <w:pPr>
              <w:widowControl/>
              <w:jc w:val="center"/>
              <w:textAlignment w:val="center"/>
              <w:rPr>
                <w:szCs w:val="21"/>
              </w:rPr>
            </w:pPr>
            <w:r>
              <w:rPr>
                <w:kern w:val="0"/>
                <w:szCs w:val="21"/>
                <w:lang w:bidi="ar"/>
              </w:rPr>
              <w:t>4.72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FA0634B">
            <w:pPr>
              <w:widowControl/>
              <w:jc w:val="center"/>
              <w:textAlignment w:val="center"/>
              <w:rPr>
                <w:szCs w:val="21"/>
              </w:rPr>
            </w:pPr>
            <w:r>
              <w:rPr>
                <w:kern w:val="0"/>
                <w:szCs w:val="21"/>
                <w:lang w:bidi="ar"/>
              </w:rPr>
              <w:t>0.801229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E688146">
            <w:pPr>
              <w:widowControl/>
              <w:jc w:val="center"/>
              <w:textAlignment w:val="center"/>
              <w:rPr>
                <w:szCs w:val="21"/>
              </w:rPr>
            </w:pPr>
            <w:r>
              <w:rPr>
                <w:kern w:val="0"/>
                <w:szCs w:val="21"/>
                <w:lang w:bidi="ar"/>
              </w:rPr>
              <w:t>8.01</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6B28335">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3CE9800">
            <w:pPr>
              <w:widowControl/>
              <w:jc w:val="center"/>
              <w:textAlignment w:val="center"/>
              <w:rPr>
                <w:szCs w:val="21"/>
              </w:rPr>
            </w:pPr>
            <w:r>
              <w:rPr>
                <w:kern w:val="0"/>
                <w:szCs w:val="21"/>
                <w:lang w:bidi="ar"/>
              </w:rPr>
              <w:t>不出现</w:t>
            </w:r>
          </w:p>
        </w:tc>
      </w:tr>
      <w:tr w14:paraId="524D5BDF">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3737D9E">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75ED1FB">
            <w:pPr>
              <w:widowControl/>
              <w:jc w:val="center"/>
              <w:textAlignment w:val="center"/>
              <w:rPr>
                <w:szCs w:val="21"/>
              </w:rPr>
            </w:pPr>
            <w:r>
              <w:rPr>
                <w:kern w:val="0"/>
                <w:szCs w:val="21"/>
                <w:lang w:bidi="ar"/>
              </w:rPr>
              <w:t>鑫旺板块3号舍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E78965A">
            <w:pPr>
              <w:widowControl/>
              <w:jc w:val="center"/>
              <w:textAlignment w:val="center"/>
              <w:rPr>
                <w:szCs w:val="21"/>
              </w:rPr>
            </w:pPr>
            <w:r>
              <w:rPr>
                <w:kern w:val="0"/>
                <w:szCs w:val="21"/>
                <w:lang w:bidi="ar"/>
              </w:rPr>
              <w:t>48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F320206">
            <w:pPr>
              <w:widowControl/>
              <w:jc w:val="center"/>
              <w:textAlignment w:val="center"/>
              <w:rPr>
                <w:szCs w:val="21"/>
              </w:rPr>
            </w:pPr>
            <w:r>
              <w:rPr>
                <w:kern w:val="0"/>
                <w:szCs w:val="21"/>
                <w:lang w:bidi="ar"/>
              </w:rPr>
              <w:t>9.5637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AFD11B0">
            <w:pPr>
              <w:widowControl/>
              <w:jc w:val="center"/>
              <w:textAlignment w:val="center"/>
              <w:rPr>
                <w:szCs w:val="21"/>
              </w:rPr>
            </w:pPr>
            <w:r>
              <w:rPr>
                <w:kern w:val="0"/>
                <w:szCs w:val="21"/>
                <w:lang w:bidi="ar"/>
              </w:rPr>
              <w:t>4.78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10C13E9">
            <w:pPr>
              <w:widowControl/>
              <w:jc w:val="center"/>
              <w:textAlignment w:val="center"/>
              <w:rPr>
                <w:szCs w:val="21"/>
              </w:rPr>
            </w:pPr>
            <w:r>
              <w:rPr>
                <w:kern w:val="0"/>
                <w:szCs w:val="21"/>
                <w:lang w:bidi="ar"/>
              </w:rPr>
              <w:t>0.878299</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5E2EA1F">
            <w:pPr>
              <w:widowControl/>
              <w:jc w:val="center"/>
              <w:textAlignment w:val="center"/>
              <w:rPr>
                <w:szCs w:val="21"/>
              </w:rPr>
            </w:pPr>
            <w:r>
              <w:rPr>
                <w:kern w:val="0"/>
                <w:szCs w:val="21"/>
                <w:lang w:bidi="ar"/>
              </w:rPr>
              <w:t>8.78</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911612D">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A9CB912">
            <w:pPr>
              <w:widowControl/>
              <w:jc w:val="center"/>
              <w:textAlignment w:val="center"/>
              <w:rPr>
                <w:szCs w:val="21"/>
              </w:rPr>
            </w:pPr>
            <w:r>
              <w:rPr>
                <w:kern w:val="0"/>
                <w:szCs w:val="21"/>
                <w:lang w:bidi="ar"/>
              </w:rPr>
              <w:t>不出现</w:t>
            </w:r>
          </w:p>
        </w:tc>
      </w:tr>
      <w:tr w14:paraId="458A747D">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151FC444">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5963BF08">
            <w:pPr>
              <w:widowControl/>
              <w:jc w:val="center"/>
              <w:textAlignment w:val="center"/>
              <w:rPr>
                <w:szCs w:val="21"/>
              </w:rPr>
            </w:pPr>
            <w:r>
              <w:rPr>
                <w:kern w:val="0"/>
                <w:szCs w:val="21"/>
                <w:lang w:bidi="ar"/>
              </w:rPr>
              <w:t>鑫旺板块养殖区堆肥间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84FAD1D">
            <w:pPr>
              <w:widowControl/>
              <w:jc w:val="center"/>
              <w:textAlignment w:val="center"/>
              <w:rPr>
                <w:szCs w:val="21"/>
              </w:rPr>
            </w:pPr>
            <w:r>
              <w:rPr>
                <w:kern w:val="0"/>
                <w:szCs w:val="21"/>
                <w:lang w:bidi="ar"/>
              </w:rPr>
              <w:t>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B166D0D">
            <w:pPr>
              <w:widowControl/>
              <w:jc w:val="center"/>
              <w:textAlignment w:val="center"/>
              <w:rPr>
                <w:szCs w:val="21"/>
              </w:rPr>
            </w:pPr>
            <w:r>
              <w:rPr>
                <w:kern w:val="0"/>
                <w:szCs w:val="21"/>
                <w:lang w:bidi="ar"/>
              </w:rPr>
              <w:t>16.843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8061989">
            <w:pPr>
              <w:widowControl/>
              <w:jc w:val="center"/>
              <w:textAlignment w:val="center"/>
              <w:rPr>
                <w:szCs w:val="21"/>
              </w:rPr>
            </w:pPr>
            <w:r>
              <w:rPr>
                <w:kern w:val="0"/>
                <w:szCs w:val="21"/>
                <w:lang w:bidi="ar"/>
              </w:rPr>
              <w:t>8.42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47911F4">
            <w:pPr>
              <w:widowControl/>
              <w:jc w:val="center"/>
              <w:textAlignment w:val="center"/>
              <w:rPr>
                <w:szCs w:val="21"/>
              </w:rPr>
            </w:pPr>
            <w:r>
              <w:rPr>
                <w:kern w:val="0"/>
                <w:szCs w:val="21"/>
                <w:lang w:bidi="ar"/>
              </w:rPr>
              <w:t>0.976148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DF0257E">
            <w:pPr>
              <w:widowControl/>
              <w:jc w:val="center"/>
              <w:textAlignment w:val="center"/>
              <w:rPr>
                <w:szCs w:val="21"/>
              </w:rPr>
            </w:pPr>
            <w:r>
              <w:rPr>
                <w:kern w:val="0"/>
                <w:szCs w:val="21"/>
                <w:lang w:bidi="ar"/>
              </w:rPr>
              <w:t>9.76</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E92EB36">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9299AFF">
            <w:pPr>
              <w:widowControl/>
              <w:jc w:val="center"/>
              <w:textAlignment w:val="center"/>
              <w:rPr>
                <w:szCs w:val="21"/>
              </w:rPr>
            </w:pPr>
            <w:r>
              <w:rPr>
                <w:kern w:val="0"/>
                <w:szCs w:val="21"/>
                <w:lang w:bidi="ar"/>
              </w:rPr>
              <w:t>不出现</w:t>
            </w:r>
          </w:p>
        </w:tc>
      </w:tr>
      <w:tr w14:paraId="6BD7FD79">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5D474DB4">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19B58A10">
            <w:pPr>
              <w:widowControl/>
              <w:jc w:val="center"/>
              <w:textAlignment w:val="center"/>
              <w:rPr>
                <w:szCs w:val="21"/>
              </w:rPr>
            </w:pPr>
            <w:r>
              <w:rPr>
                <w:kern w:val="0"/>
                <w:szCs w:val="21"/>
                <w:lang w:bidi="ar"/>
              </w:rPr>
              <w:t>4号地旺鑫板块养殖区污水处理站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788FDF8">
            <w:pPr>
              <w:widowControl/>
              <w:jc w:val="center"/>
              <w:textAlignment w:val="center"/>
              <w:rPr>
                <w:szCs w:val="21"/>
              </w:rPr>
            </w:pPr>
            <w:r>
              <w:rPr>
                <w:kern w:val="0"/>
                <w:szCs w:val="21"/>
                <w:lang w:bidi="ar"/>
              </w:rPr>
              <w:t>24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23D3966">
            <w:pPr>
              <w:widowControl/>
              <w:jc w:val="center"/>
              <w:textAlignment w:val="center"/>
              <w:rPr>
                <w:szCs w:val="21"/>
              </w:rPr>
            </w:pPr>
            <w:r>
              <w:rPr>
                <w:kern w:val="0"/>
                <w:szCs w:val="21"/>
                <w:lang w:bidi="ar"/>
              </w:rPr>
              <w:t>1.0044</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66F080E">
            <w:pPr>
              <w:widowControl/>
              <w:jc w:val="center"/>
              <w:textAlignment w:val="center"/>
              <w:rPr>
                <w:szCs w:val="21"/>
              </w:rPr>
            </w:pPr>
            <w:r>
              <w:rPr>
                <w:kern w:val="0"/>
                <w:szCs w:val="21"/>
                <w:lang w:bidi="ar"/>
              </w:rPr>
              <w:t>0.5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93FDFDE">
            <w:pPr>
              <w:widowControl/>
              <w:jc w:val="center"/>
              <w:textAlignment w:val="center"/>
              <w:rPr>
                <w:szCs w:val="21"/>
              </w:rPr>
            </w:pPr>
            <w:r>
              <w:rPr>
                <w:kern w:val="0"/>
                <w:szCs w:val="21"/>
                <w:lang w:bidi="ar"/>
              </w:rPr>
              <w:t>0.040176</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7E47525">
            <w:pPr>
              <w:widowControl/>
              <w:jc w:val="center"/>
              <w:textAlignment w:val="center"/>
              <w:rPr>
                <w:szCs w:val="21"/>
              </w:rPr>
            </w:pPr>
            <w:r>
              <w:rPr>
                <w:kern w:val="0"/>
                <w:szCs w:val="21"/>
                <w:lang w:bidi="ar"/>
              </w:rPr>
              <w:t>0.4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5CF72EA">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1DF50EAC">
            <w:pPr>
              <w:widowControl/>
              <w:jc w:val="center"/>
              <w:textAlignment w:val="center"/>
              <w:rPr>
                <w:szCs w:val="21"/>
              </w:rPr>
            </w:pPr>
            <w:r>
              <w:rPr>
                <w:kern w:val="0"/>
                <w:szCs w:val="21"/>
                <w:lang w:bidi="ar"/>
              </w:rPr>
              <w:t>不出现</w:t>
            </w:r>
          </w:p>
        </w:tc>
      </w:tr>
      <w:tr w14:paraId="423B0CE1">
        <w:tblPrEx>
          <w:tblCellMar>
            <w:top w:w="0" w:type="dxa"/>
            <w:left w:w="108" w:type="dxa"/>
            <w:bottom w:w="0" w:type="dxa"/>
            <w:right w:w="108" w:type="dxa"/>
          </w:tblCellMar>
        </w:tblPrEx>
        <w:trPr>
          <w:trHeight w:val="300" w:hRule="atLeast"/>
        </w:trPr>
        <w:tc>
          <w:tcPr>
            <w:tcW w:w="325" w:type="pct"/>
            <w:vMerge w:val="restart"/>
            <w:tcBorders>
              <w:top w:val="single" w:color="000000" w:sz="4" w:space="0"/>
              <w:left w:val="single" w:color="000000" w:sz="4" w:space="0"/>
              <w:bottom w:val="single" w:color="000000" w:sz="4" w:space="0"/>
              <w:right w:val="single" w:color="000000" w:sz="4" w:space="0"/>
            </w:tcBorders>
            <w:noWrap/>
            <w:vAlign w:val="center"/>
          </w:tcPr>
          <w:p w14:paraId="0E902A2D">
            <w:pPr>
              <w:widowControl/>
              <w:jc w:val="center"/>
              <w:textAlignment w:val="center"/>
              <w:rPr>
                <w:szCs w:val="21"/>
              </w:rPr>
            </w:pPr>
            <w:r>
              <w:rPr>
                <w:kern w:val="0"/>
                <w:szCs w:val="21"/>
                <w:lang w:bidi="ar"/>
              </w:rPr>
              <w:t>5号地</w:t>
            </w: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27821DE">
            <w:pPr>
              <w:widowControl/>
              <w:jc w:val="center"/>
              <w:textAlignment w:val="center"/>
              <w:rPr>
                <w:szCs w:val="21"/>
              </w:rPr>
            </w:pPr>
            <w:r>
              <w:rPr>
                <w:kern w:val="0"/>
                <w:szCs w:val="21"/>
                <w:lang w:bidi="ar"/>
              </w:rPr>
              <w:t>大河边篮球场位置猪舍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04B726ED">
            <w:pPr>
              <w:widowControl/>
              <w:jc w:val="center"/>
              <w:textAlignment w:val="center"/>
              <w:rPr>
                <w:szCs w:val="21"/>
              </w:rPr>
            </w:pPr>
            <w:r>
              <w:rPr>
                <w:kern w:val="0"/>
                <w:szCs w:val="21"/>
                <w:lang w:bidi="ar"/>
              </w:rPr>
              <w:t>48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C934E2F">
            <w:pPr>
              <w:widowControl/>
              <w:jc w:val="center"/>
              <w:textAlignment w:val="center"/>
              <w:rPr>
                <w:szCs w:val="21"/>
              </w:rPr>
            </w:pPr>
            <w:r>
              <w:rPr>
                <w:kern w:val="0"/>
                <w:szCs w:val="21"/>
                <w:lang w:bidi="ar"/>
              </w:rPr>
              <w:t>8.5887</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F8D1994">
            <w:pPr>
              <w:widowControl/>
              <w:jc w:val="center"/>
              <w:textAlignment w:val="center"/>
              <w:rPr>
                <w:szCs w:val="21"/>
              </w:rPr>
            </w:pPr>
            <w:r>
              <w:rPr>
                <w:kern w:val="0"/>
                <w:szCs w:val="21"/>
                <w:lang w:bidi="ar"/>
              </w:rPr>
              <w:t>4.29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4AD2830">
            <w:pPr>
              <w:widowControl/>
              <w:jc w:val="center"/>
              <w:textAlignment w:val="center"/>
              <w:rPr>
                <w:szCs w:val="21"/>
              </w:rPr>
            </w:pPr>
            <w:r>
              <w:rPr>
                <w:kern w:val="0"/>
                <w:szCs w:val="21"/>
                <w:lang w:bidi="ar"/>
              </w:rPr>
              <w:t>0.780791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3FA5704">
            <w:pPr>
              <w:widowControl/>
              <w:jc w:val="center"/>
              <w:textAlignment w:val="center"/>
              <w:rPr>
                <w:szCs w:val="21"/>
              </w:rPr>
            </w:pPr>
            <w:r>
              <w:rPr>
                <w:kern w:val="0"/>
                <w:szCs w:val="21"/>
                <w:lang w:bidi="ar"/>
              </w:rPr>
              <w:t>7.81</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CFC462B">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4B21F4D6">
            <w:pPr>
              <w:widowControl/>
              <w:jc w:val="center"/>
              <w:textAlignment w:val="center"/>
              <w:rPr>
                <w:szCs w:val="21"/>
              </w:rPr>
            </w:pPr>
            <w:r>
              <w:rPr>
                <w:kern w:val="0"/>
                <w:szCs w:val="21"/>
                <w:lang w:bidi="ar"/>
              </w:rPr>
              <w:t>不出现</w:t>
            </w:r>
          </w:p>
        </w:tc>
      </w:tr>
      <w:tr w14:paraId="5B2E467D">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25CC246">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31F9020B">
            <w:pPr>
              <w:widowControl/>
              <w:jc w:val="center"/>
              <w:textAlignment w:val="center"/>
              <w:rPr>
                <w:szCs w:val="21"/>
              </w:rPr>
            </w:pPr>
            <w:r>
              <w:rPr>
                <w:kern w:val="0"/>
                <w:szCs w:val="21"/>
                <w:lang w:bidi="ar"/>
              </w:rPr>
              <w:t>大河边上煤仓位置1号舍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7C250028">
            <w:pPr>
              <w:widowControl/>
              <w:jc w:val="center"/>
              <w:textAlignment w:val="center"/>
              <w:rPr>
                <w:szCs w:val="21"/>
              </w:rPr>
            </w:pPr>
            <w:r>
              <w:rPr>
                <w:kern w:val="0"/>
                <w:szCs w:val="21"/>
                <w:lang w:bidi="ar"/>
              </w:rPr>
              <w:t>37</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669AB091">
            <w:pPr>
              <w:widowControl/>
              <w:jc w:val="center"/>
              <w:textAlignment w:val="center"/>
              <w:rPr>
                <w:szCs w:val="21"/>
              </w:rPr>
            </w:pPr>
            <w:r>
              <w:rPr>
                <w:kern w:val="0"/>
                <w:szCs w:val="21"/>
                <w:lang w:bidi="ar"/>
              </w:rPr>
              <w:t>4.0135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1F19C4E">
            <w:pPr>
              <w:widowControl/>
              <w:jc w:val="center"/>
              <w:textAlignment w:val="center"/>
              <w:rPr>
                <w:szCs w:val="21"/>
              </w:rPr>
            </w:pPr>
            <w:r>
              <w:rPr>
                <w:kern w:val="0"/>
                <w:szCs w:val="21"/>
                <w:lang w:bidi="ar"/>
              </w:rPr>
              <w:t>2.01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2063ECC">
            <w:pPr>
              <w:widowControl/>
              <w:jc w:val="center"/>
              <w:textAlignment w:val="center"/>
              <w:rPr>
                <w:szCs w:val="21"/>
              </w:rPr>
            </w:pPr>
            <w:r>
              <w:rPr>
                <w:kern w:val="0"/>
                <w:szCs w:val="21"/>
                <w:lang w:bidi="ar"/>
              </w:rPr>
              <w:t>0.334458</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59E9EDC">
            <w:pPr>
              <w:widowControl/>
              <w:jc w:val="center"/>
              <w:textAlignment w:val="center"/>
              <w:rPr>
                <w:szCs w:val="21"/>
              </w:rPr>
            </w:pPr>
            <w:r>
              <w:rPr>
                <w:kern w:val="0"/>
                <w:szCs w:val="21"/>
                <w:lang w:bidi="ar"/>
              </w:rPr>
              <w:t>3.34</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84937D4">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1C71257">
            <w:pPr>
              <w:widowControl/>
              <w:jc w:val="center"/>
              <w:textAlignment w:val="center"/>
              <w:rPr>
                <w:szCs w:val="21"/>
              </w:rPr>
            </w:pPr>
            <w:r>
              <w:rPr>
                <w:kern w:val="0"/>
                <w:szCs w:val="21"/>
                <w:lang w:bidi="ar"/>
              </w:rPr>
              <w:t>不出现</w:t>
            </w:r>
          </w:p>
        </w:tc>
      </w:tr>
      <w:tr w14:paraId="3D5E942B">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41945531">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F3F8B36">
            <w:pPr>
              <w:widowControl/>
              <w:jc w:val="center"/>
              <w:textAlignment w:val="center"/>
              <w:rPr>
                <w:szCs w:val="21"/>
              </w:rPr>
            </w:pPr>
            <w:r>
              <w:rPr>
                <w:kern w:val="0"/>
                <w:szCs w:val="21"/>
                <w:lang w:bidi="ar"/>
              </w:rPr>
              <w:t>大河边上煤仓位置2号舍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2942507">
            <w:pPr>
              <w:widowControl/>
              <w:jc w:val="center"/>
              <w:textAlignment w:val="center"/>
              <w:rPr>
                <w:szCs w:val="21"/>
              </w:rPr>
            </w:pPr>
            <w:r>
              <w:rPr>
                <w:kern w:val="0"/>
                <w:szCs w:val="21"/>
                <w:lang w:bidi="ar"/>
              </w:rPr>
              <w:t>32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25AC6F8">
            <w:pPr>
              <w:widowControl/>
              <w:jc w:val="center"/>
              <w:textAlignment w:val="center"/>
              <w:rPr>
                <w:szCs w:val="21"/>
              </w:rPr>
            </w:pPr>
            <w:r>
              <w:rPr>
                <w:kern w:val="0"/>
                <w:szCs w:val="21"/>
                <w:lang w:bidi="ar"/>
              </w:rPr>
              <w:t>7.3843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2B8FE78">
            <w:pPr>
              <w:widowControl/>
              <w:jc w:val="center"/>
              <w:textAlignment w:val="center"/>
              <w:rPr>
                <w:szCs w:val="21"/>
              </w:rPr>
            </w:pPr>
            <w:r>
              <w:rPr>
                <w:kern w:val="0"/>
                <w:szCs w:val="21"/>
                <w:lang w:bidi="ar"/>
              </w:rPr>
              <w:t>3.69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911C9C6">
            <w:pPr>
              <w:widowControl/>
              <w:jc w:val="center"/>
              <w:textAlignment w:val="center"/>
              <w:rPr>
                <w:szCs w:val="21"/>
              </w:rPr>
            </w:pPr>
            <w:r>
              <w:rPr>
                <w:kern w:val="0"/>
                <w:szCs w:val="21"/>
                <w:lang w:bidi="ar"/>
              </w:rPr>
              <w:t>0.659313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BAFA962">
            <w:pPr>
              <w:widowControl/>
              <w:jc w:val="center"/>
              <w:textAlignment w:val="center"/>
              <w:rPr>
                <w:szCs w:val="21"/>
              </w:rPr>
            </w:pPr>
            <w:r>
              <w:rPr>
                <w:kern w:val="0"/>
                <w:szCs w:val="21"/>
                <w:lang w:bidi="ar"/>
              </w:rPr>
              <w:t>6.59</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F3E6E2A">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2720FA07">
            <w:pPr>
              <w:widowControl/>
              <w:jc w:val="center"/>
              <w:textAlignment w:val="center"/>
              <w:rPr>
                <w:szCs w:val="21"/>
              </w:rPr>
            </w:pPr>
            <w:r>
              <w:rPr>
                <w:kern w:val="0"/>
                <w:szCs w:val="21"/>
                <w:lang w:bidi="ar"/>
              </w:rPr>
              <w:t>不出现</w:t>
            </w:r>
          </w:p>
        </w:tc>
      </w:tr>
      <w:tr w14:paraId="4CAE0760">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211F5222">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21EA4D67">
            <w:pPr>
              <w:widowControl/>
              <w:jc w:val="center"/>
              <w:textAlignment w:val="center"/>
              <w:rPr>
                <w:szCs w:val="21"/>
              </w:rPr>
            </w:pPr>
            <w:r>
              <w:rPr>
                <w:kern w:val="0"/>
                <w:szCs w:val="21"/>
                <w:lang w:bidi="ar"/>
              </w:rPr>
              <w:t>大河边下煤仓位置猪舍</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E5DBE09">
            <w:pPr>
              <w:widowControl/>
              <w:jc w:val="center"/>
              <w:textAlignment w:val="center"/>
              <w:rPr>
                <w:szCs w:val="21"/>
              </w:rPr>
            </w:pPr>
            <w:r>
              <w:rPr>
                <w:kern w:val="0"/>
                <w:szCs w:val="21"/>
                <w:lang w:bidi="ar"/>
              </w:rPr>
              <w:t>35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08BAD293">
            <w:pPr>
              <w:widowControl/>
              <w:jc w:val="center"/>
              <w:textAlignment w:val="center"/>
              <w:rPr>
                <w:szCs w:val="21"/>
              </w:rPr>
            </w:pPr>
            <w:r>
              <w:rPr>
                <w:kern w:val="0"/>
                <w:szCs w:val="21"/>
                <w:lang w:bidi="ar"/>
              </w:rPr>
              <w:t>6.7681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AB88962">
            <w:pPr>
              <w:widowControl/>
              <w:jc w:val="center"/>
              <w:textAlignment w:val="center"/>
              <w:rPr>
                <w:szCs w:val="21"/>
              </w:rPr>
            </w:pPr>
            <w:r>
              <w:rPr>
                <w:kern w:val="0"/>
                <w:szCs w:val="21"/>
                <w:lang w:bidi="ar"/>
              </w:rPr>
              <w:t>3.38</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B851694">
            <w:pPr>
              <w:widowControl/>
              <w:jc w:val="center"/>
              <w:textAlignment w:val="center"/>
              <w:rPr>
                <w:szCs w:val="21"/>
              </w:rPr>
            </w:pPr>
            <w:r>
              <w:rPr>
                <w:kern w:val="0"/>
                <w:szCs w:val="21"/>
                <w:lang w:bidi="ar"/>
              </w:rPr>
              <w:t>0.644581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3CE3E96">
            <w:pPr>
              <w:widowControl/>
              <w:jc w:val="center"/>
              <w:textAlignment w:val="center"/>
              <w:rPr>
                <w:szCs w:val="21"/>
              </w:rPr>
            </w:pPr>
            <w:r>
              <w:rPr>
                <w:kern w:val="0"/>
                <w:szCs w:val="21"/>
                <w:lang w:bidi="ar"/>
              </w:rPr>
              <w:t>6.45</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37F78FA">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E3652D6">
            <w:pPr>
              <w:widowControl/>
              <w:jc w:val="center"/>
              <w:textAlignment w:val="center"/>
              <w:rPr>
                <w:szCs w:val="21"/>
              </w:rPr>
            </w:pPr>
            <w:r>
              <w:rPr>
                <w:kern w:val="0"/>
                <w:szCs w:val="21"/>
                <w:lang w:bidi="ar"/>
              </w:rPr>
              <w:t>不出现</w:t>
            </w:r>
          </w:p>
        </w:tc>
      </w:tr>
      <w:tr w14:paraId="1A306621">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0FEF41B2">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6187D2BC">
            <w:pPr>
              <w:widowControl/>
              <w:jc w:val="center"/>
              <w:textAlignment w:val="center"/>
              <w:rPr>
                <w:szCs w:val="21"/>
              </w:rPr>
            </w:pPr>
            <w:r>
              <w:rPr>
                <w:kern w:val="0"/>
                <w:szCs w:val="21"/>
                <w:lang w:bidi="ar"/>
              </w:rPr>
              <w:t>大河边养殖区堆肥间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3F1CF26">
            <w:pPr>
              <w:widowControl/>
              <w:jc w:val="center"/>
              <w:textAlignment w:val="center"/>
              <w:rPr>
                <w:szCs w:val="21"/>
              </w:rPr>
            </w:pPr>
            <w:r>
              <w:rPr>
                <w:kern w:val="0"/>
                <w:szCs w:val="21"/>
                <w:lang w:bidi="ar"/>
              </w:rPr>
              <w:t>21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2259133">
            <w:pPr>
              <w:widowControl/>
              <w:jc w:val="center"/>
              <w:textAlignment w:val="center"/>
              <w:rPr>
                <w:szCs w:val="21"/>
              </w:rPr>
            </w:pPr>
            <w:r>
              <w:rPr>
                <w:kern w:val="0"/>
                <w:szCs w:val="21"/>
                <w:lang w:bidi="ar"/>
              </w:rPr>
              <w:t>14.43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7FACBDC">
            <w:pPr>
              <w:widowControl/>
              <w:jc w:val="center"/>
              <w:textAlignment w:val="center"/>
              <w:rPr>
                <w:szCs w:val="21"/>
              </w:rPr>
            </w:pPr>
            <w:r>
              <w:rPr>
                <w:kern w:val="0"/>
                <w:szCs w:val="21"/>
                <w:lang w:bidi="ar"/>
              </w:rPr>
              <w:t>7.22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F991F56">
            <w:pPr>
              <w:widowControl/>
              <w:jc w:val="center"/>
              <w:textAlignment w:val="center"/>
              <w:rPr>
                <w:szCs w:val="21"/>
              </w:rPr>
            </w:pPr>
            <w:r>
              <w:rPr>
                <w:kern w:val="0"/>
                <w:szCs w:val="21"/>
                <w:lang w:bidi="ar"/>
              </w:rPr>
              <w:t>0.836522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19C7FA5">
            <w:pPr>
              <w:widowControl/>
              <w:jc w:val="center"/>
              <w:textAlignment w:val="center"/>
              <w:rPr>
                <w:szCs w:val="21"/>
              </w:rPr>
            </w:pPr>
            <w:r>
              <w:rPr>
                <w:kern w:val="0"/>
                <w:szCs w:val="21"/>
                <w:lang w:bidi="ar"/>
              </w:rPr>
              <w:t>8.37</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2A0B858">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029C5EB8">
            <w:pPr>
              <w:widowControl/>
              <w:jc w:val="center"/>
              <w:textAlignment w:val="center"/>
              <w:rPr>
                <w:szCs w:val="21"/>
              </w:rPr>
            </w:pPr>
            <w:r>
              <w:rPr>
                <w:kern w:val="0"/>
                <w:szCs w:val="21"/>
                <w:lang w:bidi="ar"/>
              </w:rPr>
              <w:t>不出现</w:t>
            </w:r>
          </w:p>
        </w:tc>
      </w:tr>
      <w:tr w14:paraId="6AB9E117">
        <w:tblPrEx>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noWrap/>
            <w:vAlign w:val="center"/>
          </w:tcPr>
          <w:p w14:paraId="6324B7B9">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noWrap/>
            <w:vAlign w:val="center"/>
          </w:tcPr>
          <w:p w14:paraId="0462E8CC">
            <w:pPr>
              <w:widowControl/>
              <w:jc w:val="center"/>
              <w:textAlignment w:val="center"/>
              <w:rPr>
                <w:szCs w:val="21"/>
              </w:rPr>
            </w:pPr>
            <w:r>
              <w:rPr>
                <w:kern w:val="0"/>
                <w:szCs w:val="21"/>
                <w:lang w:bidi="ar"/>
              </w:rPr>
              <w:t>5号地大河边养殖区污水处理站</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4F7B2BF9">
            <w:pPr>
              <w:widowControl/>
              <w:jc w:val="center"/>
              <w:textAlignment w:val="center"/>
              <w:rPr>
                <w:szCs w:val="21"/>
              </w:rPr>
            </w:pPr>
            <w:r>
              <w:rPr>
                <w:kern w:val="0"/>
                <w:szCs w:val="21"/>
                <w:lang w:bidi="ar"/>
              </w:rPr>
              <w:t>25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B3417E6">
            <w:pPr>
              <w:widowControl/>
              <w:jc w:val="center"/>
              <w:textAlignment w:val="center"/>
              <w:rPr>
                <w:szCs w:val="21"/>
              </w:rPr>
            </w:pPr>
            <w:r>
              <w:rPr>
                <w:kern w:val="0"/>
                <w:szCs w:val="21"/>
                <w:lang w:bidi="ar"/>
              </w:rPr>
              <w:t>0.78381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7882329">
            <w:pPr>
              <w:widowControl/>
              <w:jc w:val="center"/>
              <w:textAlignment w:val="center"/>
              <w:rPr>
                <w:szCs w:val="21"/>
              </w:rPr>
            </w:pPr>
            <w:r>
              <w:rPr>
                <w:kern w:val="0"/>
                <w:szCs w:val="21"/>
                <w:lang w:bidi="ar"/>
              </w:rPr>
              <w:t>0.39</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4C748A40">
            <w:pPr>
              <w:widowControl/>
              <w:jc w:val="center"/>
              <w:textAlignment w:val="center"/>
              <w:rPr>
                <w:szCs w:val="21"/>
              </w:rPr>
            </w:pPr>
            <w:r>
              <w:rPr>
                <w:kern w:val="0"/>
                <w:szCs w:val="21"/>
                <w:lang w:bidi="ar"/>
              </w:rPr>
              <w:t>0.030341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B0C8AE1">
            <w:pPr>
              <w:widowControl/>
              <w:jc w:val="center"/>
              <w:textAlignment w:val="center"/>
              <w:rPr>
                <w:szCs w:val="21"/>
              </w:rPr>
            </w:pPr>
            <w:r>
              <w:rPr>
                <w:kern w:val="0"/>
                <w:szCs w:val="21"/>
                <w:lang w:bidi="ar"/>
              </w:rPr>
              <w:t>0.3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0AB6070">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E28706C">
            <w:pPr>
              <w:widowControl/>
              <w:jc w:val="center"/>
              <w:textAlignment w:val="center"/>
              <w:rPr>
                <w:szCs w:val="21"/>
              </w:rPr>
            </w:pPr>
            <w:r>
              <w:rPr>
                <w:kern w:val="0"/>
                <w:szCs w:val="21"/>
                <w:lang w:bidi="ar"/>
              </w:rPr>
              <w:t>不出现</w:t>
            </w:r>
          </w:p>
        </w:tc>
      </w:tr>
      <w:tr w14:paraId="5D294B07">
        <w:tblPrEx>
          <w:tblCellMar>
            <w:top w:w="0" w:type="dxa"/>
            <w:left w:w="108" w:type="dxa"/>
            <w:bottom w:w="0" w:type="dxa"/>
            <w:right w:w="108" w:type="dxa"/>
          </w:tblCellMar>
        </w:tblPrEx>
        <w:trPr>
          <w:trHeight w:val="300" w:hRule="atLeast"/>
        </w:trPr>
        <w:tc>
          <w:tcPr>
            <w:tcW w:w="1380" w:type="pct"/>
            <w:gridSpan w:val="2"/>
            <w:tcBorders>
              <w:top w:val="single" w:color="000000" w:sz="4" w:space="0"/>
              <w:left w:val="single" w:color="000000" w:sz="4" w:space="0"/>
              <w:bottom w:val="single" w:color="000000" w:sz="4" w:space="0"/>
              <w:right w:val="single" w:color="000000" w:sz="4" w:space="0"/>
            </w:tcBorders>
            <w:noWrap/>
            <w:vAlign w:val="center"/>
          </w:tcPr>
          <w:p w14:paraId="521EE073">
            <w:pPr>
              <w:widowControl/>
              <w:jc w:val="center"/>
              <w:textAlignment w:val="center"/>
              <w:rPr>
                <w:szCs w:val="21"/>
              </w:rPr>
            </w:pPr>
            <w:r>
              <w:rPr>
                <w:kern w:val="0"/>
                <w:szCs w:val="21"/>
                <w:lang w:bidi="ar"/>
              </w:rPr>
              <w:t>各源最大值</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04B7B30">
            <w:pPr>
              <w:widowControl/>
              <w:jc w:val="center"/>
              <w:textAlignment w:val="center"/>
              <w:rPr>
                <w:szCs w:val="21"/>
              </w:rPr>
            </w:pPr>
            <w:r>
              <w:rPr>
                <w:kern w:val="0"/>
                <w:szCs w:val="21"/>
                <w:lang w:bidi="ar"/>
              </w:rPr>
              <w:t>--</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B5CAD65">
            <w:pPr>
              <w:widowControl/>
              <w:jc w:val="center"/>
              <w:textAlignment w:val="center"/>
              <w:rPr>
                <w:szCs w:val="21"/>
              </w:rPr>
            </w:pPr>
            <w:r>
              <w:rPr>
                <w:kern w:val="0"/>
                <w:szCs w:val="21"/>
                <w:lang w:bidi="ar"/>
              </w:rPr>
              <w:t>16.843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C334AFC">
            <w:pPr>
              <w:widowControl/>
              <w:jc w:val="center"/>
              <w:textAlignment w:val="center"/>
              <w:rPr>
                <w:szCs w:val="21"/>
              </w:rPr>
            </w:pPr>
            <w:r>
              <w:rPr>
                <w:kern w:val="0"/>
                <w:szCs w:val="21"/>
                <w:lang w:bidi="ar"/>
              </w:rPr>
              <w:t>8.42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1BE6319A">
            <w:pPr>
              <w:widowControl/>
              <w:jc w:val="center"/>
              <w:textAlignment w:val="center"/>
              <w:rPr>
                <w:szCs w:val="21"/>
              </w:rPr>
            </w:pPr>
            <w:r>
              <w:rPr>
                <w:kern w:val="0"/>
                <w:szCs w:val="21"/>
                <w:lang w:bidi="ar"/>
              </w:rPr>
              <w:t>0.982783</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B8535BB">
            <w:pPr>
              <w:widowControl/>
              <w:jc w:val="center"/>
              <w:textAlignment w:val="center"/>
              <w:rPr>
                <w:szCs w:val="21"/>
              </w:rPr>
            </w:pPr>
            <w:r>
              <w:rPr>
                <w:kern w:val="0"/>
                <w:szCs w:val="21"/>
                <w:lang w:bidi="ar"/>
              </w:rPr>
              <w:t>9.83</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ADFAB57">
            <w:pPr>
              <w:widowControl/>
              <w:jc w:val="center"/>
              <w:textAlignment w:val="center"/>
              <w:rPr>
                <w:szCs w:val="21"/>
              </w:rPr>
            </w:pPr>
            <w:r>
              <w:rPr>
                <w:kern w:val="0"/>
                <w:szCs w:val="21"/>
                <w:lang w:bidi="ar"/>
              </w:rPr>
              <w:t>二级</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5A9AB783">
            <w:pPr>
              <w:widowControl/>
              <w:jc w:val="center"/>
              <w:textAlignment w:val="center"/>
              <w:rPr>
                <w:szCs w:val="21"/>
              </w:rPr>
            </w:pPr>
            <w:r>
              <w:rPr>
                <w:kern w:val="0"/>
                <w:szCs w:val="21"/>
                <w:lang w:bidi="ar"/>
              </w:rPr>
              <w:t>不出现</w:t>
            </w:r>
          </w:p>
        </w:tc>
      </w:tr>
    </w:tbl>
    <w:p w14:paraId="31F1F4E6">
      <w:pPr>
        <w:pStyle w:val="47"/>
        <w:rPr>
          <w:rFonts w:ascii="Times New Roman" w:hAnsi="Times New Roman" w:cs="Times New Roman"/>
        </w:rPr>
        <w:sectPr>
          <w:pgSz w:w="16838" w:h="11906" w:orient="landscape"/>
          <w:pgMar w:top="1797" w:right="1440" w:bottom="1797" w:left="1361" w:header="851" w:footer="1134" w:gutter="0"/>
          <w:cols w:space="720" w:num="1"/>
          <w:docGrid w:linePitch="312" w:charSpace="0"/>
        </w:sectPr>
      </w:pPr>
    </w:p>
    <w:p w14:paraId="6AB17DCD">
      <w:pPr>
        <w:widowControl/>
        <w:spacing w:line="360" w:lineRule="auto"/>
        <w:ind w:firstLine="480" w:firstLineChars="200"/>
        <w:jc w:val="left"/>
        <w:rPr>
          <w:sz w:val="24"/>
        </w:rPr>
      </w:pPr>
      <w:r>
        <w:rPr>
          <w:sz w:val="24"/>
          <w:lang w:bidi="ar"/>
        </w:rPr>
        <w:t>根据表5.2-4的预测结果可知：项目养殖地块中</w:t>
      </w:r>
      <w:r>
        <w:rPr>
          <w:kern w:val="0"/>
          <w:sz w:val="24"/>
          <w:lang w:bidi="ar"/>
        </w:rPr>
        <w:t>无组织排放污染物中，1号地（盛丰通风井位置）NH</w:t>
      </w:r>
      <w:r>
        <w:rPr>
          <w:kern w:val="0"/>
          <w:sz w:val="24"/>
          <w:vertAlign w:val="subscript"/>
          <w:lang w:bidi="ar"/>
        </w:rPr>
        <w:t>3</w:t>
      </w:r>
      <w:r>
        <w:rPr>
          <w:sz w:val="24"/>
          <w:lang w:bidi="ar"/>
        </w:rPr>
        <w:t>最大落地浓度</w:t>
      </w:r>
      <w:r>
        <w:rPr>
          <w:kern w:val="0"/>
          <w:sz w:val="24"/>
          <w:lang w:bidi="ar"/>
        </w:rPr>
        <w:t>10.698ug/m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 0.813444ug/m</w:t>
      </w:r>
      <w:r>
        <w:rPr>
          <w:kern w:val="0"/>
          <w:sz w:val="24"/>
          <w:vertAlign w:val="superscript"/>
          <w:lang w:bidi="ar"/>
        </w:rPr>
        <w:t>3</w:t>
      </w:r>
      <w:r>
        <w:rPr>
          <w:kern w:val="0"/>
          <w:sz w:val="24"/>
          <w:lang w:bidi="ar"/>
        </w:rPr>
        <w:t>，</w:t>
      </w:r>
      <w:r>
        <w:rPr>
          <w:sz w:val="24"/>
          <w:lang w:bidi="ar"/>
        </w:rPr>
        <w:t>占标率分别为</w:t>
      </w:r>
      <w:r>
        <w:rPr>
          <w:kern w:val="0"/>
          <w:sz w:val="24"/>
          <w:lang w:bidi="ar"/>
        </w:rPr>
        <w:t>5.35</w:t>
      </w:r>
      <w:r>
        <w:rPr>
          <w:sz w:val="24"/>
          <w:lang w:bidi="ar"/>
        </w:rPr>
        <w:t>％、</w:t>
      </w:r>
      <w:r>
        <w:rPr>
          <w:kern w:val="0"/>
          <w:sz w:val="24"/>
          <w:lang w:bidi="ar"/>
        </w:rPr>
        <w:t>8.13</w:t>
      </w:r>
      <w:r>
        <w:rPr>
          <w:sz w:val="24"/>
          <w:lang w:bidi="ar"/>
        </w:rPr>
        <w:t>％，占标率均小于10％；</w:t>
      </w:r>
      <w:r>
        <w:rPr>
          <w:kern w:val="0"/>
          <w:sz w:val="24"/>
          <w:lang w:bidi="ar"/>
        </w:rPr>
        <w:t>2号地（盛丰焦化楼位置）NH</w:t>
      </w:r>
      <w:r>
        <w:rPr>
          <w:kern w:val="0"/>
          <w:sz w:val="24"/>
          <w:vertAlign w:val="subscript"/>
          <w:lang w:bidi="ar"/>
        </w:rPr>
        <w:t>3</w:t>
      </w:r>
      <w:r>
        <w:rPr>
          <w:sz w:val="24"/>
          <w:lang w:bidi="ar"/>
        </w:rPr>
        <w:t>最大落地浓度</w:t>
      </w:r>
      <w:r>
        <w:rPr>
          <w:kern w:val="0"/>
          <w:sz w:val="24"/>
          <w:lang w:bidi="ar"/>
        </w:rPr>
        <w:t>16.843ug/m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S0.982783ug/m</w:t>
      </w:r>
      <w:r>
        <w:rPr>
          <w:kern w:val="0"/>
          <w:sz w:val="24"/>
          <w:vertAlign w:val="superscript"/>
          <w:lang w:bidi="ar"/>
        </w:rPr>
        <w:t>3</w:t>
      </w:r>
      <w:r>
        <w:rPr>
          <w:kern w:val="0"/>
          <w:sz w:val="24"/>
          <w:lang w:bidi="ar"/>
        </w:rPr>
        <w:t>，</w:t>
      </w:r>
      <w:r>
        <w:rPr>
          <w:sz w:val="24"/>
          <w:lang w:bidi="ar"/>
        </w:rPr>
        <w:t>占标率分别为</w:t>
      </w:r>
      <w:r>
        <w:rPr>
          <w:kern w:val="0"/>
          <w:sz w:val="24"/>
          <w:lang w:bidi="ar"/>
        </w:rPr>
        <w:t>8.42</w:t>
      </w:r>
      <w:r>
        <w:rPr>
          <w:sz w:val="24"/>
          <w:lang w:bidi="ar"/>
        </w:rPr>
        <w:t>％、</w:t>
      </w:r>
      <w:r>
        <w:rPr>
          <w:kern w:val="0"/>
          <w:sz w:val="24"/>
          <w:lang w:bidi="ar"/>
        </w:rPr>
        <w:t>9.83</w:t>
      </w:r>
      <w:r>
        <w:rPr>
          <w:sz w:val="24"/>
          <w:lang w:bidi="ar"/>
        </w:rPr>
        <w:t>％，占标率均小于10％；</w:t>
      </w:r>
      <w:r>
        <w:rPr>
          <w:kern w:val="0"/>
          <w:sz w:val="24"/>
          <w:lang w:bidi="ar"/>
        </w:rPr>
        <w:t>3号地（老井位置）NH</w:t>
      </w:r>
      <w:r>
        <w:rPr>
          <w:kern w:val="0"/>
          <w:sz w:val="24"/>
          <w:vertAlign w:val="subscript"/>
          <w:lang w:bidi="ar"/>
        </w:rPr>
        <w:t>3</w:t>
      </w:r>
      <w:r>
        <w:rPr>
          <w:sz w:val="24"/>
          <w:lang w:bidi="ar"/>
        </w:rPr>
        <w:t>最大落地浓度</w:t>
      </w:r>
      <w:r>
        <w:rPr>
          <w:kern w:val="0"/>
          <w:sz w:val="24"/>
          <w:lang w:bidi="ar"/>
        </w:rPr>
        <w:t>10.817ug/m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S0.614861ug/m</w:t>
      </w:r>
      <w:r>
        <w:rPr>
          <w:kern w:val="0"/>
          <w:sz w:val="24"/>
          <w:vertAlign w:val="superscript"/>
          <w:lang w:bidi="ar"/>
        </w:rPr>
        <w:t>3</w:t>
      </w:r>
      <w:r>
        <w:rPr>
          <w:kern w:val="0"/>
          <w:sz w:val="24"/>
          <w:lang w:bidi="ar"/>
        </w:rPr>
        <w:t>，</w:t>
      </w:r>
      <w:r>
        <w:rPr>
          <w:sz w:val="24"/>
          <w:lang w:bidi="ar"/>
        </w:rPr>
        <w:t>占标率分别为</w:t>
      </w:r>
      <w:r>
        <w:rPr>
          <w:kern w:val="0"/>
          <w:sz w:val="24"/>
          <w:lang w:bidi="ar"/>
        </w:rPr>
        <w:t>5.41</w:t>
      </w:r>
      <w:r>
        <w:rPr>
          <w:sz w:val="24"/>
          <w:lang w:bidi="ar"/>
        </w:rPr>
        <w:t>％、</w:t>
      </w:r>
      <w:r>
        <w:rPr>
          <w:kern w:val="0"/>
          <w:sz w:val="24"/>
          <w:lang w:bidi="ar"/>
        </w:rPr>
        <w:t>6.15</w:t>
      </w:r>
      <w:r>
        <w:rPr>
          <w:sz w:val="24"/>
          <w:lang w:bidi="ar"/>
        </w:rPr>
        <w:t>％，占标率均小于10％；</w:t>
      </w:r>
      <w:r>
        <w:rPr>
          <w:kern w:val="0"/>
          <w:sz w:val="24"/>
          <w:lang w:bidi="ar"/>
        </w:rPr>
        <w:t>4号地（鑫旺板块）NH</w:t>
      </w:r>
      <w:r>
        <w:rPr>
          <w:kern w:val="0"/>
          <w:sz w:val="24"/>
          <w:vertAlign w:val="subscript"/>
          <w:lang w:bidi="ar"/>
        </w:rPr>
        <w:t>3</w:t>
      </w:r>
      <w:r>
        <w:rPr>
          <w:sz w:val="24"/>
          <w:lang w:bidi="ar"/>
        </w:rPr>
        <w:t>最大落地浓度</w:t>
      </w:r>
      <w:r>
        <w:rPr>
          <w:kern w:val="0"/>
          <w:sz w:val="24"/>
          <w:lang w:bidi="ar"/>
        </w:rPr>
        <w:t>16.843ug/m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S0.976148ug/m</w:t>
      </w:r>
      <w:r>
        <w:rPr>
          <w:kern w:val="0"/>
          <w:sz w:val="24"/>
          <w:vertAlign w:val="superscript"/>
          <w:lang w:bidi="ar"/>
        </w:rPr>
        <w:t>3</w:t>
      </w:r>
      <w:r>
        <w:rPr>
          <w:kern w:val="0"/>
          <w:sz w:val="24"/>
          <w:lang w:bidi="ar"/>
        </w:rPr>
        <w:t>，</w:t>
      </w:r>
      <w:r>
        <w:rPr>
          <w:sz w:val="24"/>
          <w:lang w:bidi="ar"/>
        </w:rPr>
        <w:t>占标率分别为</w:t>
      </w:r>
      <w:r>
        <w:rPr>
          <w:kern w:val="0"/>
          <w:sz w:val="24"/>
          <w:lang w:bidi="ar"/>
        </w:rPr>
        <w:t>8.42</w:t>
      </w:r>
      <w:r>
        <w:rPr>
          <w:sz w:val="24"/>
          <w:lang w:bidi="ar"/>
        </w:rPr>
        <w:t>％、</w:t>
      </w:r>
      <w:r>
        <w:rPr>
          <w:kern w:val="0"/>
          <w:sz w:val="24"/>
          <w:lang w:bidi="ar"/>
        </w:rPr>
        <w:t>9.76</w:t>
      </w:r>
      <w:r>
        <w:rPr>
          <w:sz w:val="24"/>
          <w:lang w:bidi="ar"/>
        </w:rPr>
        <w:t>％，占标率均小于10％；</w:t>
      </w:r>
      <w:r>
        <w:rPr>
          <w:kern w:val="0"/>
          <w:sz w:val="24"/>
          <w:lang w:bidi="ar"/>
        </w:rPr>
        <w:t>5号地（大河边板块）NH</w:t>
      </w:r>
      <w:r>
        <w:rPr>
          <w:kern w:val="0"/>
          <w:sz w:val="24"/>
          <w:vertAlign w:val="subscript"/>
          <w:lang w:bidi="ar"/>
        </w:rPr>
        <w:t>3</w:t>
      </w:r>
      <w:r>
        <w:rPr>
          <w:sz w:val="24"/>
          <w:lang w:bidi="ar"/>
        </w:rPr>
        <w:t>最大落地浓度</w:t>
      </w:r>
      <w:r>
        <w:rPr>
          <w:kern w:val="0"/>
          <w:sz w:val="24"/>
          <w:lang w:bidi="ar"/>
        </w:rPr>
        <w:t>14.43ug/m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S0.836522ug/m</w:t>
      </w:r>
      <w:r>
        <w:rPr>
          <w:kern w:val="0"/>
          <w:sz w:val="24"/>
          <w:vertAlign w:val="superscript"/>
          <w:lang w:bidi="ar"/>
        </w:rPr>
        <w:t>3</w:t>
      </w:r>
      <w:r>
        <w:rPr>
          <w:kern w:val="0"/>
          <w:sz w:val="24"/>
          <w:lang w:bidi="ar"/>
        </w:rPr>
        <w:t>，</w:t>
      </w:r>
      <w:r>
        <w:rPr>
          <w:sz w:val="24"/>
          <w:lang w:bidi="ar"/>
        </w:rPr>
        <w:t>占标率分别为</w:t>
      </w:r>
      <w:r>
        <w:rPr>
          <w:kern w:val="0"/>
          <w:sz w:val="24"/>
          <w:lang w:bidi="ar"/>
        </w:rPr>
        <w:t>7.22</w:t>
      </w:r>
      <w:r>
        <w:rPr>
          <w:sz w:val="24"/>
          <w:lang w:bidi="ar"/>
        </w:rPr>
        <w:t>％、</w:t>
      </w:r>
      <w:r>
        <w:rPr>
          <w:kern w:val="0"/>
          <w:sz w:val="24"/>
          <w:lang w:bidi="ar"/>
        </w:rPr>
        <w:t>8.37</w:t>
      </w:r>
      <w:r>
        <w:rPr>
          <w:sz w:val="24"/>
          <w:lang w:bidi="ar"/>
        </w:rPr>
        <w:t>％，占标率均小于10％；无害化处置有组织排放</w:t>
      </w:r>
      <w:r>
        <w:rPr>
          <w:kern w:val="0"/>
          <w:sz w:val="24"/>
          <w:lang w:bidi="ar"/>
        </w:rPr>
        <w:t>NH</w:t>
      </w:r>
      <w:r>
        <w:rPr>
          <w:kern w:val="0"/>
          <w:sz w:val="24"/>
          <w:vertAlign w:val="subscript"/>
          <w:lang w:bidi="ar"/>
        </w:rPr>
        <w:t>3</w:t>
      </w:r>
      <w:r>
        <w:rPr>
          <w:sz w:val="24"/>
          <w:lang w:bidi="ar"/>
        </w:rPr>
        <w:t>最大落地浓度</w:t>
      </w:r>
      <w:r>
        <w:rPr>
          <w:kern w:val="0"/>
          <w:sz w:val="24"/>
          <w:lang w:bidi="ar"/>
        </w:rPr>
        <w:t>4.8774ug/m</w:t>
      </w:r>
      <w:r>
        <w:rPr>
          <w:kern w:val="0"/>
          <w:sz w:val="24"/>
          <w:vertAlign w:val="superscript"/>
          <w:lang w:bidi="ar"/>
        </w:rPr>
        <w:t>3</w:t>
      </w:r>
      <w:r>
        <w:rPr>
          <w:kern w:val="0"/>
          <w:sz w:val="24"/>
          <w:lang w:bidi="ar"/>
        </w:rPr>
        <w:t>，</w:t>
      </w:r>
      <w:r>
        <w:rPr>
          <w:sz w:val="24"/>
          <w:lang w:bidi="ar"/>
        </w:rPr>
        <w:t>占标率为</w:t>
      </w:r>
      <w:r>
        <w:rPr>
          <w:kern w:val="0"/>
          <w:sz w:val="24"/>
          <w:lang w:bidi="ar"/>
        </w:rPr>
        <w:t>2.44</w:t>
      </w:r>
      <w:r>
        <w:rPr>
          <w:sz w:val="24"/>
          <w:lang w:bidi="ar"/>
        </w:rPr>
        <w:t>％，</w:t>
      </w:r>
      <w:r>
        <w:rPr>
          <w:kern w:val="0"/>
          <w:sz w:val="24"/>
          <w:lang w:bidi="ar"/>
        </w:rPr>
        <w:t>满足《环境影响评价技术导则 大气环境》（</w:t>
      </w:r>
      <w:r>
        <w:rPr>
          <w:rFonts w:eastAsia="TimesNewRomanPSMT"/>
          <w:kern w:val="0"/>
          <w:sz w:val="24"/>
          <w:lang w:bidi="ar"/>
        </w:rPr>
        <w:t>HJ2.2-2018</w:t>
      </w:r>
      <w:r>
        <w:rPr>
          <w:kern w:val="0"/>
          <w:sz w:val="24"/>
          <w:lang w:bidi="ar"/>
        </w:rPr>
        <w:t xml:space="preserve">）附录 </w:t>
      </w:r>
      <w:r>
        <w:rPr>
          <w:rFonts w:eastAsia="TimesNewRomanPSMT"/>
          <w:kern w:val="0"/>
          <w:sz w:val="24"/>
          <w:lang w:bidi="ar"/>
        </w:rPr>
        <w:t xml:space="preserve">D </w:t>
      </w:r>
      <w:r>
        <w:rPr>
          <w:kern w:val="0"/>
          <w:sz w:val="24"/>
          <w:lang w:bidi="ar"/>
        </w:rPr>
        <w:t xml:space="preserve">其他污染物环境空气质量浓度参考限值。 </w:t>
      </w:r>
      <w:r>
        <w:rPr>
          <w:sz w:val="24"/>
        </w:rPr>
        <w:t>根据《环境影响评价技术导则 大气环境》(HJ2.2-2018)的要求，项目大气评价等级为二级。</w:t>
      </w:r>
    </w:p>
    <w:p w14:paraId="7908D433">
      <w:pPr>
        <w:spacing w:line="360" w:lineRule="auto"/>
        <w:ind w:firstLine="480" w:firstLineChars="200"/>
        <w:rPr>
          <w:sz w:val="24"/>
        </w:rPr>
      </w:pPr>
      <w:r>
        <w:rPr>
          <w:sz w:val="24"/>
        </w:rPr>
        <w:t>项目区有组织排放大气污染物最大浓度出现距离为246m，所有污染物最大落地浓度均达标。无组织排放大气污染物最大浓度出现距离为52m，项目排放NH</w:t>
      </w:r>
      <w:r>
        <w:rPr>
          <w:sz w:val="24"/>
          <w:vertAlign w:val="subscript"/>
        </w:rPr>
        <w:t>3</w:t>
      </w:r>
      <w:r>
        <w:rPr>
          <w:sz w:val="24"/>
        </w:rPr>
        <w:t>、H</w:t>
      </w:r>
      <w:r>
        <w:rPr>
          <w:sz w:val="24"/>
          <w:vertAlign w:val="subscript"/>
        </w:rPr>
        <w:t>2</w:t>
      </w:r>
      <w:r>
        <w:rPr>
          <w:sz w:val="24"/>
        </w:rPr>
        <w:t>S的落地浓度均能满足</w:t>
      </w:r>
      <w:r>
        <w:rPr>
          <w:bCs/>
          <w:sz w:val="24"/>
        </w:rPr>
        <w:t>《环境影响评价技术导则 大气环境》（HJ2.2-2018）附录D氨、硫化氢的浓度参考限值要求，即</w:t>
      </w:r>
      <w:r>
        <w:rPr>
          <w:sz w:val="24"/>
        </w:rPr>
        <w:t>H</w:t>
      </w:r>
      <w:r>
        <w:rPr>
          <w:sz w:val="24"/>
          <w:vertAlign w:val="subscript"/>
        </w:rPr>
        <w:t>2</w:t>
      </w:r>
      <w:r>
        <w:rPr>
          <w:sz w:val="24"/>
        </w:rPr>
        <w:t>S≤0.01mg/m</w:t>
      </w:r>
      <w:r>
        <w:rPr>
          <w:sz w:val="24"/>
          <w:vertAlign w:val="superscript"/>
        </w:rPr>
        <w:t>3</w:t>
      </w:r>
      <w:r>
        <w:rPr>
          <w:sz w:val="24"/>
        </w:rPr>
        <w:t>、NH</w:t>
      </w:r>
      <w:r>
        <w:rPr>
          <w:sz w:val="24"/>
          <w:vertAlign w:val="subscript"/>
        </w:rPr>
        <w:t>3</w:t>
      </w:r>
      <w:r>
        <w:rPr>
          <w:sz w:val="24"/>
        </w:rPr>
        <w:t>≤0.2mg/m</w:t>
      </w:r>
      <w:r>
        <w:rPr>
          <w:sz w:val="24"/>
          <w:vertAlign w:val="superscript"/>
        </w:rPr>
        <w:t>3</w:t>
      </w:r>
      <w:r>
        <w:rPr>
          <w:sz w:val="24"/>
        </w:rPr>
        <w:t>；项目运行期大气污染物排放对周边居民点影响较小。</w:t>
      </w:r>
    </w:p>
    <w:p w14:paraId="2D1880B9">
      <w:pPr>
        <w:spacing w:line="360" w:lineRule="auto"/>
        <w:ind w:firstLine="480" w:firstLineChars="200"/>
        <w:rPr>
          <w:sz w:val="24"/>
        </w:rPr>
      </w:pPr>
      <w:r>
        <w:rPr>
          <w:sz w:val="24"/>
        </w:rPr>
        <w:t>根据《环境影响评价技术导则 大气环境》(HJ2.2-2018)的要求，二级评价项目不进行进一步预测与评价，只对污染物排放量进行核算。</w:t>
      </w:r>
    </w:p>
    <w:p w14:paraId="09AF8E05">
      <w:pPr>
        <w:pStyle w:val="8"/>
        <w:ind w:firstLine="562"/>
      </w:pPr>
      <w:r>
        <w:t>5.2.1.2其他大气污染物影响分析</w:t>
      </w:r>
    </w:p>
    <w:p w14:paraId="784A7ABC">
      <w:pPr>
        <w:spacing w:line="360" w:lineRule="auto"/>
        <w:ind w:firstLine="482" w:firstLineChars="200"/>
        <w:rPr>
          <w:b/>
          <w:sz w:val="24"/>
        </w:rPr>
      </w:pPr>
      <w:r>
        <w:rPr>
          <w:b/>
          <w:sz w:val="24"/>
        </w:rPr>
        <w:t>（1）污水处理站沼气影响分析</w:t>
      </w:r>
    </w:p>
    <w:p w14:paraId="0D8808F8">
      <w:pPr>
        <w:spacing w:line="360" w:lineRule="auto"/>
        <w:ind w:firstLine="480" w:firstLineChars="200"/>
        <w:rPr>
          <w:sz w:val="24"/>
        </w:rPr>
      </w:pPr>
      <w:r>
        <w:rPr>
          <w:sz w:val="24"/>
        </w:rPr>
        <w:t>项目污水处理站厌氧反应器运行过程中会产生沼气，各地块产生沼气量见表5-2，根据调查，沼气使用量约为0.3m</w:t>
      </w:r>
      <w:r>
        <w:rPr>
          <w:sz w:val="24"/>
          <w:vertAlign w:val="superscript"/>
        </w:rPr>
        <w:t>3</w:t>
      </w:r>
      <w:r>
        <w:rPr>
          <w:sz w:val="24"/>
        </w:rPr>
        <w:t>/d·人。则沼气使用情况如下：</w:t>
      </w:r>
    </w:p>
    <w:p w14:paraId="3EBF4626">
      <w:pPr>
        <w:pStyle w:val="47"/>
        <w:jc w:val="center"/>
        <w:rPr>
          <w:rFonts w:ascii="Times New Roman" w:hAnsi="Times New Roman" w:cs="Times New Roman"/>
          <w:b/>
          <w:bCs/>
          <w:sz w:val="24"/>
          <w:szCs w:val="24"/>
        </w:rPr>
      </w:pPr>
      <w:r>
        <w:rPr>
          <w:rFonts w:ascii="Times New Roman" w:hAnsi="Times New Roman" w:cs="Times New Roman"/>
          <w:b/>
          <w:bCs/>
          <w:sz w:val="24"/>
          <w:szCs w:val="24"/>
        </w:rPr>
        <w:t>表5.2-9沼气产生及消耗情况表</w:t>
      </w:r>
    </w:p>
    <w:tbl>
      <w:tblPr>
        <w:tblStyle w:val="87"/>
        <w:tblW w:w="4998" w:type="pct"/>
        <w:tblInd w:w="0" w:type="dxa"/>
        <w:tblLayout w:type="autofit"/>
        <w:tblCellMar>
          <w:top w:w="0" w:type="dxa"/>
          <w:left w:w="108" w:type="dxa"/>
          <w:bottom w:w="0" w:type="dxa"/>
          <w:right w:w="108" w:type="dxa"/>
        </w:tblCellMar>
      </w:tblPr>
      <w:tblGrid>
        <w:gridCol w:w="1658"/>
        <w:gridCol w:w="1890"/>
        <w:gridCol w:w="2398"/>
        <w:gridCol w:w="1462"/>
        <w:gridCol w:w="1462"/>
        <w:gridCol w:w="1462"/>
      </w:tblGrid>
      <w:tr w14:paraId="23FF2608">
        <w:tblPrEx>
          <w:tblCellMar>
            <w:top w:w="0" w:type="dxa"/>
            <w:left w:w="108" w:type="dxa"/>
            <w:bottom w:w="0" w:type="dxa"/>
            <w:right w:w="108" w:type="dxa"/>
          </w:tblCellMar>
        </w:tblPrEx>
        <w:trPr>
          <w:trHeight w:val="780" w:hRule="atLeast"/>
        </w:trPr>
        <w:tc>
          <w:tcPr>
            <w:tcW w:w="802" w:type="pct"/>
            <w:tcBorders>
              <w:top w:val="single" w:color="000000" w:sz="4" w:space="0"/>
              <w:left w:val="single" w:color="000000" w:sz="4" w:space="0"/>
              <w:bottom w:val="single" w:color="000000" w:sz="4" w:space="0"/>
              <w:right w:val="single" w:color="000000" w:sz="4" w:space="0"/>
            </w:tcBorders>
            <w:noWrap/>
            <w:vAlign w:val="center"/>
          </w:tcPr>
          <w:p w14:paraId="60DA6A79">
            <w:pPr>
              <w:widowControl/>
              <w:jc w:val="center"/>
              <w:textAlignment w:val="center"/>
              <w:rPr>
                <w:szCs w:val="21"/>
              </w:rPr>
            </w:pPr>
            <w:r>
              <w:rPr>
                <w:kern w:val="0"/>
                <w:szCs w:val="21"/>
                <w:lang w:bidi="ar"/>
              </w:rPr>
              <w:t>地块</w:t>
            </w:r>
          </w:p>
        </w:tc>
        <w:tc>
          <w:tcPr>
            <w:tcW w:w="914" w:type="pct"/>
            <w:tcBorders>
              <w:top w:val="single" w:color="000000" w:sz="4" w:space="0"/>
              <w:left w:val="single" w:color="000000" w:sz="4" w:space="0"/>
              <w:bottom w:val="single" w:color="000000" w:sz="4" w:space="0"/>
              <w:right w:val="single" w:color="000000" w:sz="4" w:space="0"/>
            </w:tcBorders>
            <w:noWrap w:val="0"/>
            <w:vAlign w:val="center"/>
          </w:tcPr>
          <w:p w14:paraId="1ABCDE96">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/a）</w:t>
            </w:r>
          </w:p>
        </w:tc>
        <w:tc>
          <w:tcPr>
            <w:tcW w:w="1160" w:type="pct"/>
            <w:tcBorders>
              <w:top w:val="single" w:color="000000" w:sz="4" w:space="0"/>
              <w:left w:val="single" w:color="000000" w:sz="4" w:space="0"/>
              <w:bottom w:val="single" w:color="000000" w:sz="4" w:space="0"/>
              <w:right w:val="single" w:color="000000" w:sz="4" w:space="0"/>
            </w:tcBorders>
            <w:noWrap/>
            <w:vAlign w:val="center"/>
          </w:tcPr>
          <w:p w14:paraId="0671A060">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/d）</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202EF2CA">
            <w:pPr>
              <w:widowControl/>
              <w:jc w:val="center"/>
              <w:textAlignment w:val="center"/>
              <w:rPr>
                <w:szCs w:val="21"/>
              </w:rPr>
            </w:pPr>
            <w:r>
              <w:rPr>
                <w:kern w:val="0"/>
                <w:szCs w:val="21"/>
                <w:lang w:bidi="ar"/>
              </w:rPr>
              <w:t>沼气储罐最大储存量（m</w:t>
            </w:r>
            <w:r>
              <w:rPr>
                <w:kern w:val="0"/>
                <w:szCs w:val="21"/>
                <w:vertAlign w:val="superscript"/>
                <w:lang w:bidi="ar"/>
              </w:rPr>
              <w:t>3</w:t>
            </w:r>
            <w:r>
              <w:rPr>
                <w:kern w:val="0"/>
                <w:szCs w:val="21"/>
                <w:lang w:bidi="ar"/>
              </w:rPr>
              <w:t>）</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51F7038C">
            <w:pPr>
              <w:widowControl/>
              <w:jc w:val="center"/>
              <w:textAlignment w:val="center"/>
              <w:rPr>
                <w:kern w:val="0"/>
                <w:szCs w:val="21"/>
                <w:lang w:bidi="ar"/>
              </w:rPr>
            </w:pPr>
            <w:r>
              <w:rPr>
                <w:kern w:val="0"/>
                <w:szCs w:val="21"/>
                <w:lang w:bidi="ar"/>
              </w:rPr>
              <w:t>生活区配置人数</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79097E80">
            <w:pPr>
              <w:widowControl/>
              <w:jc w:val="center"/>
              <w:textAlignment w:val="center"/>
              <w:rPr>
                <w:kern w:val="0"/>
                <w:szCs w:val="21"/>
                <w:lang w:bidi="ar"/>
              </w:rPr>
            </w:pPr>
            <w:r>
              <w:rPr>
                <w:kern w:val="0"/>
                <w:szCs w:val="21"/>
                <w:lang w:bidi="ar"/>
              </w:rPr>
              <w:t>沼气需求量（m</w:t>
            </w:r>
            <w:r>
              <w:rPr>
                <w:kern w:val="0"/>
                <w:szCs w:val="21"/>
                <w:vertAlign w:val="superscript"/>
                <w:lang w:bidi="ar"/>
              </w:rPr>
              <w:t>3</w:t>
            </w:r>
            <w:r>
              <w:rPr>
                <w:kern w:val="0"/>
                <w:szCs w:val="21"/>
                <w:lang w:bidi="ar"/>
              </w:rPr>
              <w:t>/d）</w:t>
            </w:r>
          </w:p>
        </w:tc>
      </w:tr>
      <w:tr w14:paraId="252D186D">
        <w:tblPrEx>
          <w:tblCellMar>
            <w:top w:w="0" w:type="dxa"/>
            <w:left w:w="108" w:type="dxa"/>
            <w:bottom w:w="0" w:type="dxa"/>
            <w:right w:w="108" w:type="dxa"/>
          </w:tblCellMar>
        </w:tblPrEx>
        <w:trPr>
          <w:trHeight w:val="285" w:hRule="atLeast"/>
        </w:trPr>
        <w:tc>
          <w:tcPr>
            <w:tcW w:w="802" w:type="pct"/>
            <w:tcBorders>
              <w:top w:val="single" w:color="000000" w:sz="4" w:space="0"/>
              <w:left w:val="single" w:color="000000" w:sz="4" w:space="0"/>
              <w:bottom w:val="single" w:color="000000" w:sz="4" w:space="0"/>
              <w:right w:val="single" w:color="000000" w:sz="4" w:space="0"/>
            </w:tcBorders>
            <w:noWrap/>
            <w:vAlign w:val="center"/>
          </w:tcPr>
          <w:p w14:paraId="5A9A4012">
            <w:pPr>
              <w:widowControl/>
              <w:jc w:val="center"/>
              <w:textAlignment w:val="center"/>
              <w:rPr>
                <w:szCs w:val="21"/>
              </w:rPr>
            </w:pPr>
            <w:bookmarkStart w:id="149" w:name="OLE_LINK1" w:colFirst="1" w:colLast="2"/>
            <w:r>
              <w:rPr>
                <w:kern w:val="0"/>
                <w:szCs w:val="21"/>
                <w:lang w:bidi="ar"/>
              </w:rPr>
              <w:t>1号地</w:t>
            </w:r>
          </w:p>
        </w:tc>
        <w:tc>
          <w:tcPr>
            <w:tcW w:w="914" w:type="pct"/>
            <w:tcBorders>
              <w:top w:val="single" w:color="000000" w:sz="4" w:space="0"/>
              <w:left w:val="single" w:color="000000" w:sz="4" w:space="0"/>
              <w:bottom w:val="single" w:color="000000" w:sz="4" w:space="0"/>
              <w:right w:val="single" w:color="000000" w:sz="4" w:space="0"/>
            </w:tcBorders>
            <w:noWrap/>
            <w:vAlign w:val="center"/>
          </w:tcPr>
          <w:p w14:paraId="0847BF50">
            <w:pPr>
              <w:widowControl/>
              <w:jc w:val="center"/>
              <w:textAlignment w:val="center"/>
              <w:rPr>
                <w:szCs w:val="21"/>
              </w:rPr>
            </w:pPr>
            <w:r>
              <w:rPr>
                <w:kern w:val="0"/>
                <w:szCs w:val="21"/>
                <w:lang w:bidi="ar"/>
              </w:rPr>
              <w:t>294.8438</w:t>
            </w:r>
          </w:p>
        </w:tc>
        <w:tc>
          <w:tcPr>
            <w:tcW w:w="1160" w:type="pct"/>
            <w:tcBorders>
              <w:top w:val="single" w:color="000000" w:sz="4" w:space="0"/>
              <w:left w:val="single" w:color="000000" w:sz="4" w:space="0"/>
              <w:bottom w:val="single" w:color="000000" w:sz="4" w:space="0"/>
              <w:right w:val="single" w:color="000000" w:sz="4" w:space="0"/>
            </w:tcBorders>
            <w:noWrap/>
            <w:vAlign w:val="center"/>
          </w:tcPr>
          <w:p w14:paraId="2C894643">
            <w:pPr>
              <w:widowControl/>
              <w:jc w:val="center"/>
              <w:textAlignment w:val="center"/>
              <w:rPr>
                <w:szCs w:val="21"/>
              </w:rPr>
            </w:pPr>
            <w:r>
              <w:rPr>
                <w:kern w:val="0"/>
                <w:szCs w:val="21"/>
                <w:lang w:bidi="ar"/>
              </w:rPr>
              <w:t xml:space="preserve">0.8078 </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237101DB">
            <w:pPr>
              <w:widowControl/>
              <w:jc w:val="center"/>
              <w:textAlignment w:val="center"/>
              <w:rPr>
                <w:szCs w:val="21"/>
              </w:rPr>
            </w:pPr>
            <w:r>
              <w:rPr>
                <w:kern w:val="0"/>
                <w:szCs w:val="21"/>
                <w:lang w:bidi="ar"/>
              </w:rPr>
              <w:t>1</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1D2097A3">
            <w:pPr>
              <w:widowControl/>
              <w:jc w:val="center"/>
              <w:textAlignment w:val="center"/>
              <w:rPr>
                <w:kern w:val="0"/>
                <w:szCs w:val="21"/>
                <w:lang w:bidi="ar"/>
              </w:rPr>
            </w:pPr>
            <w:r>
              <w:rPr>
                <w:kern w:val="0"/>
                <w:szCs w:val="21"/>
                <w:lang w:bidi="ar"/>
              </w:rPr>
              <w:t>4</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10954F1F">
            <w:pPr>
              <w:widowControl/>
              <w:jc w:val="center"/>
              <w:textAlignment w:val="center"/>
              <w:rPr>
                <w:kern w:val="0"/>
                <w:szCs w:val="21"/>
                <w:lang w:bidi="ar"/>
              </w:rPr>
            </w:pPr>
            <w:r>
              <w:rPr>
                <w:kern w:val="0"/>
                <w:szCs w:val="21"/>
                <w:lang w:bidi="ar"/>
              </w:rPr>
              <w:t>1.2</w:t>
            </w:r>
          </w:p>
        </w:tc>
      </w:tr>
      <w:tr w14:paraId="38AB33FE">
        <w:tblPrEx>
          <w:tblCellMar>
            <w:top w:w="0" w:type="dxa"/>
            <w:left w:w="108" w:type="dxa"/>
            <w:bottom w:w="0" w:type="dxa"/>
            <w:right w:w="108" w:type="dxa"/>
          </w:tblCellMar>
        </w:tblPrEx>
        <w:trPr>
          <w:trHeight w:val="285" w:hRule="atLeast"/>
        </w:trPr>
        <w:tc>
          <w:tcPr>
            <w:tcW w:w="802" w:type="pct"/>
            <w:tcBorders>
              <w:top w:val="single" w:color="000000" w:sz="4" w:space="0"/>
              <w:left w:val="single" w:color="000000" w:sz="4" w:space="0"/>
              <w:bottom w:val="single" w:color="000000" w:sz="4" w:space="0"/>
              <w:right w:val="single" w:color="000000" w:sz="4" w:space="0"/>
            </w:tcBorders>
            <w:noWrap/>
            <w:vAlign w:val="center"/>
          </w:tcPr>
          <w:p w14:paraId="1ACAFF73">
            <w:pPr>
              <w:widowControl/>
              <w:jc w:val="center"/>
              <w:textAlignment w:val="center"/>
              <w:rPr>
                <w:szCs w:val="21"/>
              </w:rPr>
            </w:pPr>
            <w:r>
              <w:rPr>
                <w:kern w:val="0"/>
                <w:szCs w:val="21"/>
                <w:lang w:bidi="ar"/>
              </w:rPr>
              <w:t>2号地</w:t>
            </w:r>
          </w:p>
        </w:tc>
        <w:tc>
          <w:tcPr>
            <w:tcW w:w="914" w:type="pct"/>
            <w:vMerge w:val="restart"/>
            <w:tcBorders>
              <w:top w:val="single" w:color="000000" w:sz="4" w:space="0"/>
              <w:left w:val="single" w:color="000000" w:sz="4" w:space="0"/>
              <w:right w:val="single" w:color="000000" w:sz="4" w:space="0"/>
            </w:tcBorders>
            <w:noWrap/>
            <w:vAlign w:val="center"/>
          </w:tcPr>
          <w:p w14:paraId="7D1729AD">
            <w:pPr>
              <w:widowControl/>
              <w:jc w:val="center"/>
              <w:textAlignment w:val="center"/>
              <w:rPr>
                <w:szCs w:val="21"/>
              </w:rPr>
            </w:pPr>
            <w:r>
              <w:rPr>
                <w:szCs w:val="21"/>
              </w:rPr>
              <w:t>914.2437</w:t>
            </w:r>
          </w:p>
        </w:tc>
        <w:tc>
          <w:tcPr>
            <w:tcW w:w="1160" w:type="pct"/>
            <w:vMerge w:val="restart"/>
            <w:tcBorders>
              <w:top w:val="single" w:color="000000" w:sz="4" w:space="0"/>
              <w:left w:val="single" w:color="000000" w:sz="4" w:space="0"/>
              <w:right w:val="single" w:color="000000" w:sz="4" w:space="0"/>
            </w:tcBorders>
            <w:noWrap/>
            <w:vAlign w:val="center"/>
          </w:tcPr>
          <w:p w14:paraId="5510D82A">
            <w:pPr>
              <w:widowControl/>
              <w:jc w:val="center"/>
              <w:textAlignment w:val="center"/>
              <w:rPr>
                <w:kern w:val="0"/>
                <w:szCs w:val="21"/>
                <w:lang w:bidi="ar"/>
              </w:rPr>
            </w:pPr>
            <w:r>
              <w:rPr>
                <w:kern w:val="0"/>
                <w:szCs w:val="21"/>
                <w:lang w:bidi="ar"/>
              </w:rPr>
              <w:t xml:space="preserve"> </w:t>
            </w:r>
          </w:p>
          <w:p w14:paraId="610E7FF6">
            <w:pPr>
              <w:widowControl/>
              <w:jc w:val="center"/>
              <w:textAlignment w:val="center"/>
              <w:rPr>
                <w:szCs w:val="21"/>
              </w:rPr>
            </w:pPr>
            <w:r>
              <w:rPr>
                <w:kern w:val="0"/>
                <w:szCs w:val="21"/>
                <w:lang w:bidi="ar"/>
              </w:rPr>
              <w:t xml:space="preserve">2.5048 </w:t>
            </w:r>
          </w:p>
        </w:tc>
        <w:tc>
          <w:tcPr>
            <w:tcW w:w="707" w:type="pct"/>
            <w:vMerge w:val="restart"/>
            <w:tcBorders>
              <w:top w:val="single" w:color="000000" w:sz="4" w:space="0"/>
              <w:left w:val="single" w:color="000000" w:sz="4" w:space="0"/>
              <w:right w:val="single" w:color="000000" w:sz="4" w:space="0"/>
            </w:tcBorders>
            <w:noWrap/>
            <w:vAlign w:val="center"/>
          </w:tcPr>
          <w:p w14:paraId="7A867A20">
            <w:pPr>
              <w:widowControl/>
              <w:jc w:val="center"/>
              <w:textAlignment w:val="center"/>
              <w:rPr>
                <w:szCs w:val="21"/>
              </w:rPr>
            </w:pPr>
            <w:r>
              <w:rPr>
                <w:kern w:val="0"/>
                <w:szCs w:val="21"/>
                <w:lang w:bidi="ar"/>
              </w:rPr>
              <w:t>3</w:t>
            </w:r>
          </w:p>
        </w:tc>
        <w:tc>
          <w:tcPr>
            <w:tcW w:w="707" w:type="pct"/>
            <w:vMerge w:val="restart"/>
            <w:tcBorders>
              <w:top w:val="single" w:color="000000" w:sz="4" w:space="0"/>
              <w:left w:val="single" w:color="000000" w:sz="4" w:space="0"/>
              <w:right w:val="single" w:color="000000" w:sz="4" w:space="0"/>
            </w:tcBorders>
            <w:noWrap/>
            <w:vAlign w:val="center"/>
          </w:tcPr>
          <w:p w14:paraId="719819EC">
            <w:pPr>
              <w:widowControl/>
              <w:jc w:val="center"/>
              <w:textAlignment w:val="center"/>
              <w:rPr>
                <w:kern w:val="0"/>
                <w:szCs w:val="21"/>
                <w:lang w:bidi="ar"/>
              </w:rPr>
            </w:pPr>
            <w:r>
              <w:rPr>
                <w:kern w:val="0"/>
                <w:szCs w:val="21"/>
                <w:lang w:bidi="ar"/>
              </w:rPr>
              <w:t>14</w:t>
            </w:r>
          </w:p>
        </w:tc>
        <w:tc>
          <w:tcPr>
            <w:tcW w:w="707" w:type="pct"/>
            <w:vMerge w:val="restart"/>
            <w:tcBorders>
              <w:top w:val="single" w:color="000000" w:sz="4" w:space="0"/>
              <w:left w:val="single" w:color="000000" w:sz="4" w:space="0"/>
              <w:right w:val="single" w:color="000000" w:sz="4" w:space="0"/>
            </w:tcBorders>
            <w:noWrap/>
            <w:vAlign w:val="center"/>
          </w:tcPr>
          <w:p w14:paraId="0462E5C0">
            <w:pPr>
              <w:widowControl/>
              <w:jc w:val="center"/>
              <w:textAlignment w:val="center"/>
              <w:rPr>
                <w:kern w:val="0"/>
                <w:szCs w:val="21"/>
                <w:lang w:bidi="ar"/>
              </w:rPr>
            </w:pPr>
            <w:r>
              <w:rPr>
                <w:kern w:val="0"/>
                <w:szCs w:val="21"/>
                <w:lang w:bidi="ar"/>
              </w:rPr>
              <w:t>4.2</w:t>
            </w:r>
          </w:p>
        </w:tc>
      </w:tr>
      <w:tr w14:paraId="5548A507">
        <w:tblPrEx>
          <w:tblCellMar>
            <w:top w:w="0" w:type="dxa"/>
            <w:left w:w="108" w:type="dxa"/>
            <w:bottom w:w="0" w:type="dxa"/>
            <w:right w:w="108" w:type="dxa"/>
          </w:tblCellMar>
        </w:tblPrEx>
        <w:trPr>
          <w:trHeight w:val="285" w:hRule="atLeast"/>
        </w:trPr>
        <w:tc>
          <w:tcPr>
            <w:tcW w:w="802" w:type="pct"/>
            <w:tcBorders>
              <w:top w:val="single" w:color="000000" w:sz="4" w:space="0"/>
              <w:left w:val="single" w:color="000000" w:sz="4" w:space="0"/>
              <w:bottom w:val="single" w:color="000000" w:sz="4" w:space="0"/>
              <w:right w:val="single" w:color="000000" w:sz="4" w:space="0"/>
            </w:tcBorders>
            <w:noWrap/>
            <w:vAlign w:val="center"/>
          </w:tcPr>
          <w:p w14:paraId="316220EC">
            <w:pPr>
              <w:widowControl/>
              <w:jc w:val="center"/>
              <w:textAlignment w:val="center"/>
              <w:rPr>
                <w:szCs w:val="21"/>
              </w:rPr>
            </w:pPr>
            <w:r>
              <w:rPr>
                <w:kern w:val="0"/>
                <w:szCs w:val="21"/>
                <w:lang w:bidi="ar"/>
              </w:rPr>
              <w:t>3号地</w:t>
            </w:r>
          </w:p>
        </w:tc>
        <w:tc>
          <w:tcPr>
            <w:tcW w:w="914" w:type="pct"/>
            <w:vMerge w:val="continue"/>
            <w:tcBorders>
              <w:left w:val="single" w:color="000000" w:sz="4" w:space="0"/>
              <w:bottom w:val="single" w:color="000000" w:sz="4" w:space="0"/>
              <w:right w:val="single" w:color="000000" w:sz="4" w:space="0"/>
            </w:tcBorders>
            <w:noWrap/>
            <w:vAlign w:val="center"/>
          </w:tcPr>
          <w:p w14:paraId="1848AA77">
            <w:pPr>
              <w:widowControl/>
              <w:jc w:val="center"/>
              <w:textAlignment w:val="center"/>
              <w:rPr>
                <w:szCs w:val="21"/>
              </w:rPr>
            </w:pPr>
          </w:p>
        </w:tc>
        <w:tc>
          <w:tcPr>
            <w:tcW w:w="1160" w:type="pct"/>
            <w:vMerge w:val="continue"/>
            <w:tcBorders>
              <w:left w:val="single" w:color="000000" w:sz="4" w:space="0"/>
              <w:bottom w:val="single" w:color="000000" w:sz="4" w:space="0"/>
              <w:right w:val="single" w:color="000000" w:sz="4" w:space="0"/>
            </w:tcBorders>
            <w:noWrap/>
            <w:vAlign w:val="center"/>
          </w:tcPr>
          <w:p w14:paraId="0E0F422E">
            <w:pPr>
              <w:widowControl/>
              <w:jc w:val="center"/>
              <w:textAlignment w:val="center"/>
              <w:rPr>
                <w:szCs w:val="21"/>
              </w:rPr>
            </w:pPr>
          </w:p>
        </w:tc>
        <w:tc>
          <w:tcPr>
            <w:tcW w:w="707" w:type="pct"/>
            <w:vMerge w:val="continue"/>
            <w:tcBorders>
              <w:left w:val="single" w:color="000000" w:sz="4" w:space="0"/>
              <w:bottom w:val="single" w:color="000000" w:sz="4" w:space="0"/>
              <w:right w:val="single" w:color="000000" w:sz="4" w:space="0"/>
            </w:tcBorders>
            <w:noWrap/>
            <w:vAlign w:val="center"/>
          </w:tcPr>
          <w:p w14:paraId="003FAAF9">
            <w:pPr>
              <w:jc w:val="center"/>
              <w:rPr>
                <w:szCs w:val="21"/>
              </w:rPr>
            </w:pPr>
          </w:p>
        </w:tc>
        <w:tc>
          <w:tcPr>
            <w:tcW w:w="707" w:type="pct"/>
            <w:vMerge w:val="continue"/>
            <w:tcBorders>
              <w:left w:val="single" w:color="000000" w:sz="4" w:space="0"/>
              <w:bottom w:val="single" w:color="000000" w:sz="4" w:space="0"/>
              <w:right w:val="single" w:color="000000" w:sz="4" w:space="0"/>
            </w:tcBorders>
            <w:noWrap/>
            <w:vAlign w:val="center"/>
          </w:tcPr>
          <w:p w14:paraId="70ECF895">
            <w:pPr>
              <w:jc w:val="center"/>
              <w:rPr>
                <w:szCs w:val="21"/>
              </w:rPr>
            </w:pPr>
          </w:p>
        </w:tc>
        <w:tc>
          <w:tcPr>
            <w:tcW w:w="707" w:type="pct"/>
            <w:vMerge w:val="continue"/>
            <w:tcBorders>
              <w:left w:val="single" w:color="000000" w:sz="4" w:space="0"/>
              <w:bottom w:val="single" w:color="000000" w:sz="4" w:space="0"/>
              <w:right w:val="single" w:color="000000" w:sz="4" w:space="0"/>
            </w:tcBorders>
            <w:noWrap/>
            <w:vAlign w:val="center"/>
          </w:tcPr>
          <w:p w14:paraId="2A3A3698">
            <w:pPr>
              <w:jc w:val="center"/>
              <w:rPr>
                <w:szCs w:val="21"/>
              </w:rPr>
            </w:pPr>
          </w:p>
        </w:tc>
      </w:tr>
      <w:tr w14:paraId="7D43D2A6">
        <w:tblPrEx>
          <w:tblCellMar>
            <w:top w:w="0" w:type="dxa"/>
            <w:left w:w="108" w:type="dxa"/>
            <w:bottom w:w="0" w:type="dxa"/>
            <w:right w:w="108" w:type="dxa"/>
          </w:tblCellMar>
        </w:tblPrEx>
        <w:trPr>
          <w:trHeight w:val="285" w:hRule="atLeast"/>
        </w:trPr>
        <w:tc>
          <w:tcPr>
            <w:tcW w:w="802" w:type="pct"/>
            <w:tcBorders>
              <w:top w:val="single" w:color="000000" w:sz="4" w:space="0"/>
              <w:left w:val="single" w:color="000000" w:sz="4" w:space="0"/>
              <w:bottom w:val="single" w:color="000000" w:sz="4" w:space="0"/>
              <w:right w:val="single" w:color="000000" w:sz="4" w:space="0"/>
            </w:tcBorders>
            <w:noWrap/>
            <w:vAlign w:val="center"/>
          </w:tcPr>
          <w:p w14:paraId="65337C91">
            <w:pPr>
              <w:widowControl/>
              <w:jc w:val="center"/>
              <w:textAlignment w:val="center"/>
              <w:rPr>
                <w:szCs w:val="21"/>
              </w:rPr>
            </w:pPr>
            <w:r>
              <w:rPr>
                <w:kern w:val="0"/>
                <w:szCs w:val="21"/>
                <w:lang w:bidi="ar"/>
              </w:rPr>
              <w:t>4号地</w:t>
            </w:r>
          </w:p>
        </w:tc>
        <w:tc>
          <w:tcPr>
            <w:tcW w:w="914" w:type="pct"/>
            <w:tcBorders>
              <w:top w:val="single" w:color="000000" w:sz="4" w:space="0"/>
              <w:left w:val="single" w:color="000000" w:sz="4" w:space="0"/>
              <w:bottom w:val="single" w:color="000000" w:sz="4" w:space="0"/>
              <w:right w:val="single" w:color="000000" w:sz="4" w:space="0"/>
            </w:tcBorders>
            <w:noWrap/>
            <w:vAlign w:val="center"/>
          </w:tcPr>
          <w:p w14:paraId="62DC0CAC">
            <w:pPr>
              <w:widowControl/>
              <w:jc w:val="center"/>
              <w:textAlignment w:val="center"/>
              <w:rPr>
                <w:szCs w:val="21"/>
              </w:rPr>
            </w:pPr>
            <w:r>
              <w:rPr>
                <w:kern w:val="0"/>
                <w:szCs w:val="21"/>
                <w:lang w:bidi="ar"/>
              </w:rPr>
              <w:t>652.4862</w:t>
            </w:r>
          </w:p>
        </w:tc>
        <w:tc>
          <w:tcPr>
            <w:tcW w:w="1160" w:type="pct"/>
            <w:tcBorders>
              <w:top w:val="single" w:color="000000" w:sz="4" w:space="0"/>
              <w:left w:val="single" w:color="000000" w:sz="4" w:space="0"/>
              <w:bottom w:val="single" w:color="000000" w:sz="4" w:space="0"/>
              <w:right w:val="single" w:color="000000" w:sz="4" w:space="0"/>
            </w:tcBorders>
            <w:noWrap/>
            <w:vAlign w:val="center"/>
          </w:tcPr>
          <w:p w14:paraId="180D3B29">
            <w:pPr>
              <w:widowControl/>
              <w:jc w:val="center"/>
              <w:textAlignment w:val="center"/>
              <w:rPr>
                <w:szCs w:val="21"/>
              </w:rPr>
            </w:pPr>
            <w:r>
              <w:rPr>
                <w:kern w:val="0"/>
                <w:szCs w:val="21"/>
                <w:lang w:bidi="ar"/>
              </w:rPr>
              <w:t xml:space="preserve">1.7876 </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6BB956E6">
            <w:pPr>
              <w:widowControl/>
              <w:jc w:val="center"/>
              <w:textAlignment w:val="center"/>
              <w:rPr>
                <w:szCs w:val="21"/>
              </w:rPr>
            </w:pPr>
            <w:r>
              <w:rPr>
                <w:kern w:val="0"/>
                <w:szCs w:val="21"/>
                <w:lang w:bidi="ar"/>
              </w:rPr>
              <w:t>2</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679D2D0E">
            <w:pPr>
              <w:widowControl/>
              <w:jc w:val="center"/>
              <w:textAlignment w:val="center"/>
              <w:rPr>
                <w:kern w:val="0"/>
                <w:szCs w:val="21"/>
                <w:lang w:bidi="ar"/>
              </w:rPr>
            </w:pPr>
            <w:r>
              <w:rPr>
                <w:kern w:val="0"/>
                <w:szCs w:val="21"/>
                <w:lang w:bidi="ar"/>
              </w:rPr>
              <w:t>6</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21F218FC">
            <w:pPr>
              <w:widowControl/>
              <w:jc w:val="center"/>
              <w:textAlignment w:val="center"/>
              <w:rPr>
                <w:kern w:val="0"/>
                <w:szCs w:val="21"/>
                <w:lang w:bidi="ar"/>
              </w:rPr>
            </w:pPr>
            <w:r>
              <w:rPr>
                <w:kern w:val="0"/>
                <w:szCs w:val="21"/>
                <w:lang w:bidi="ar"/>
              </w:rPr>
              <w:t>1.8</w:t>
            </w:r>
          </w:p>
        </w:tc>
      </w:tr>
      <w:tr w14:paraId="47C3EECA">
        <w:tblPrEx>
          <w:tblCellMar>
            <w:top w:w="0" w:type="dxa"/>
            <w:left w:w="108" w:type="dxa"/>
            <w:bottom w:w="0" w:type="dxa"/>
            <w:right w:w="108" w:type="dxa"/>
          </w:tblCellMar>
        </w:tblPrEx>
        <w:trPr>
          <w:trHeight w:val="285" w:hRule="atLeast"/>
        </w:trPr>
        <w:tc>
          <w:tcPr>
            <w:tcW w:w="802" w:type="pct"/>
            <w:tcBorders>
              <w:top w:val="single" w:color="000000" w:sz="4" w:space="0"/>
              <w:left w:val="single" w:color="000000" w:sz="4" w:space="0"/>
              <w:bottom w:val="single" w:color="000000" w:sz="4" w:space="0"/>
              <w:right w:val="single" w:color="000000" w:sz="4" w:space="0"/>
            </w:tcBorders>
            <w:noWrap/>
            <w:vAlign w:val="center"/>
          </w:tcPr>
          <w:p w14:paraId="01C63663">
            <w:pPr>
              <w:widowControl/>
              <w:jc w:val="center"/>
              <w:textAlignment w:val="center"/>
              <w:rPr>
                <w:szCs w:val="21"/>
              </w:rPr>
            </w:pPr>
            <w:r>
              <w:rPr>
                <w:kern w:val="0"/>
                <w:szCs w:val="21"/>
                <w:lang w:bidi="ar"/>
              </w:rPr>
              <w:t>5号地</w:t>
            </w:r>
          </w:p>
        </w:tc>
        <w:tc>
          <w:tcPr>
            <w:tcW w:w="914" w:type="pct"/>
            <w:tcBorders>
              <w:top w:val="single" w:color="000000" w:sz="4" w:space="0"/>
              <w:left w:val="single" w:color="000000" w:sz="4" w:space="0"/>
              <w:bottom w:val="single" w:color="000000" w:sz="4" w:space="0"/>
              <w:right w:val="single" w:color="000000" w:sz="4" w:space="0"/>
            </w:tcBorders>
            <w:noWrap/>
            <w:vAlign w:val="center"/>
          </w:tcPr>
          <w:p w14:paraId="63C995DF">
            <w:pPr>
              <w:widowControl/>
              <w:jc w:val="center"/>
              <w:textAlignment w:val="center"/>
              <w:rPr>
                <w:szCs w:val="21"/>
              </w:rPr>
            </w:pPr>
            <w:r>
              <w:rPr>
                <w:kern w:val="0"/>
                <w:szCs w:val="21"/>
                <w:lang w:bidi="ar"/>
              </w:rPr>
              <w:t>562.8033</w:t>
            </w:r>
          </w:p>
        </w:tc>
        <w:tc>
          <w:tcPr>
            <w:tcW w:w="1160" w:type="pct"/>
            <w:tcBorders>
              <w:top w:val="single" w:color="000000" w:sz="4" w:space="0"/>
              <w:left w:val="single" w:color="000000" w:sz="4" w:space="0"/>
              <w:bottom w:val="single" w:color="000000" w:sz="4" w:space="0"/>
              <w:right w:val="single" w:color="000000" w:sz="4" w:space="0"/>
            </w:tcBorders>
            <w:noWrap/>
            <w:vAlign w:val="center"/>
          </w:tcPr>
          <w:p w14:paraId="682BA9A2">
            <w:pPr>
              <w:widowControl/>
              <w:jc w:val="center"/>
              <w:textAlignment w:val="center"/>
              <w:rPr>
                <w:szCs w:val="21"/>
              </w:rPr>
            </w:pPr>
            <w:r>
              <w:rPr>
                <w:kern w:val="0"/>
                <w:szCs w:val="21"/>
                <w:lang w:bidi="ar"/>
              </w:rPr>
              <w:t xml:space="preserve">1.5419 </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1698A9CE">
            <w:pPr>
              <w:widowControl/>
              <w:jc w:val="center"/>
              <w:textAlignment w:val="center"/>
              <w:rPr>
                <w:szCs w:val="21"/>
              </w:rPr>
            </w:pPr>
            <w:r>
              <w:rPr>
                <w:kern w:val="0"/>
                <w:szCs w:val="21"/>
                <w:lang w:bidi="ar"/>
              </w:rPr>
              <w:t>2</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5B4ECFC8">
            <w:pPr>
              <w:widowControl/>
              <w:jc w:val="center"/>
              <w:textAlignment w:val="center"/>
              <w:rPr>
                <w:kern w:val="0"/>
                <w:szCs w:val="21"/>
                <w:lang w:bidi="ar"/>
              </w:rPr>
            </w:pPr>
            <w:r>
              <w:rPr>
                <w:kern w:val="0"/>
                <w:szCs w:val="21"/>
                <w:lang w:bidi="ar"/>
              </w:rPr>
              <w:t>12</w:t>
            </w:r>
          </w:p>
        </w:tc>
        <w:tc>
          <w:tcPr>
            <w:tcW w:w="707" w:type="pct"/>
            <w:tcBorders>
              <w:top w:val="single" w:color="000000" w:sz="4" w:space="0"/>
              <w:left w:val="single" w:color="000000" w:sz="4" w:space="0"/>
              <w:bottom w:val="single" w:color="000000" w:sz="4" w:space="0"/>
              <w:right w:val="single" w:color="000000" w:sz="4" w:space="0"/>
            </w:tcBorders>
            <w:noWrap/>
            <w:vAlign w:val="center"/>
          </w:tcPr>
          <w:p w14:paraId="62EC2E1D">
            <w:pPr>
              <w:widowControl/>
              <w:jc w:val="center"/>
              <w:textAlignment w:val="center"/>
              <w:rPr>
                <w:kern w:val="0"/>
                <w:szCs w:val="21"/>
                <w:lang w:bidi="ar"/>
              </w:rPr>
            </w:pPr>
            <w:r>
              <w:rPr>
                <w:kern w:val="0"/>
                <w:szCs w:val="21"/>
                <w:lang w:bidi="ar"/>
              </w:rPr>
              <w:t>3.6</w:t>
            </w:r>
          </w:p>
        </w:tc>
      </w:tr>
      <w:bookmarkEnd w:id="149"/>
    </w:tbl>
    <w:p w14:paraId="21365459">
      <w:pPr>
        <w:pStyle w:val="47"/>
        <w:rPr>
          <w:rFonts w:ascii="Times New Roman" w:hAnsi="Times New Roman" w:cs="Times New Roman"/>
        </w:rPr>
      </w:pPr>
    </w:p>
    <w:p w14:paraId="7C9E80A1">
      <w:pPr>
        <w:spacing w:line="360" w:lineRule="auto"/>
        <w:ind w:firstLine="480" w:firstLineChars="200"/>
        <w:rPr>
          <w:sz w:val="24"/>
        </w:rPr>
      </w:pPr>
      <w:r>
        <w:rPr>
          <w:sz w:val="24"/>
        </w:rPr>
        <w:t>沼气合计产生量约2424.377m</w:t>
      </w:r>
      <w:r>
        <w:rPr>
          <w:sz w:val="24"/>
          <w:vertAlign w:val="superscript"/>
        </w:rPr>
        <w:t>3</w:t>
      </w:r>
      <w:r>
        <w:rPr>
          <w:sz w:val="24"/>
        </w:rPr>
        <w:t>/a，项目配套有沼气收集系统，污水厌氧处理过程中产生的沼气经设置的脱水脱硫装置净化后，浓度为7.59-15.18mg/m</w:t>
      </w:r>
      <w:r>
        <w:rPr>
          <w:sz w:val="24"/>
          <w:vertAlign w:val="superscript"/>
        </w:rPr>
        <w:t>3</w:t>
      </w:r>
      <w:r>
        <w:rPr>
          <w:sz w:val="24"/>
        </w:rPr>
        <w:t>，沼气中H</w:t>
      </w:r>
      <w:r>
        <w:rPr>
          <w:sz w:val="24"/>
          <w:vertAlign w:val="subscript"/>
        </w:rPr>
        <w:t>2</w:t>
      </w:r>
      <w:r>
        <w:rPr>
          <w:sz w:val="24"/>
        </w:rPr>
        <w:t>S浓度小于20mg/m</w:t>
      </w:r>
      <w:r>
        <w:rPr>
          <w:sz w:val="24"/>
          <w:vertAlign w:val="superscript"/>
        </w:rPr>
        <w:t>3</w:t>
      </w:r>
      <w:r>
        <w:rPr>
          <w:sz w:val="24"/>
        </w:rPr>
        <w:t>，满足《规模化畜禽养殖场沼气设计规范》（NY/T1220-2006）中的规定，项目在1号地办公生活区设置1个1m</w:t>
      </w:r>
      <w:r>
        <w:rPr>
          <w:sz w:val="24"/>
          <w:vertAlign w:val="superscript"/>
        </w:rPr>
        <w:t>3</w:t>
      </w:r>
      <w:r>
        <w:rPr>
          <w:sz w:val="24"/>
        </w:rPr>
        <w:t>的双膜储气袋，在2号地办公生活区、3号地办公生活区共同设置1个3m</w:t>
      </w:r>
      <w:r>
        <w:rPr>
          <w:sz w:val="24"/>
          <w:vertAlign w:val="superscript"/>
        </w:rPr>
        <w:t>3</w:t>
      </w:r>
      <w:r>
        <w:rPr>
          <w:sz w:val="24"/>
        </w:rPr>
        <w:t>的双膜储气袋，在4号地生活区设置1个2m</w:t>
      </w:r>
      <w:r>
        <w:rPr>
          <w:sz w:val="24"/>
          <w:vertAlign w:val="superscript"/>
        </w:rPr>
        <w:t>3</w:t>
      </w:r>
      <w:r>
        <w:rPr>
          <w:sz w:val="24"/>
        </w:rPr>
        <w:t>的双膜储气袋、5号地生活区设置1个2m</w:t>
      </w:r>
      <w:r>
        <w:rPr>
          <w:sz w:val="24"/>
          <w:vertAlign w:val="superscript"/>
        </w:rPr>
        <w:t>3</w:t>
      </w:r>
      <w:r>
        <w:rPr>
          <w:sz w:val="24"/>
        </w:rPr>
        <w:t>的双膜储气袋；可满足沼气储存需求，根据分析，各生活区沼气需求量均大于沼气产生量，粪污处理产生的沼气可全部资源化利用，生活实用沼气燃烧产生的废气主要为水和二氧化碳，SO</w:t>
      </w:r>
      <w:r>
        <w:rPr>
          <w:sz w:val="24"/>
          <w:vertAlign w:val="subscript"/>
        </w:rPr>
        <w:t>2</w:t>
      </w:r>
      <w:r>
        <w:rPr>
          <w:sz w:val="24"/>
        </w:rPr>
        <w:t>、NO</w:t>
      </w:r>
      <w:r>
        <w:rPr>
          <w:sz w:val="24"/>
          <w:vertAlign w:val="subscript"/>
        </w:rPr>
        <w:t>2</w:t>
      </w:r>
      <w:r>
        <w:rPr>
          <w:sz w:val="24"/>
        </w:rPr>
        <w:t>及烟尘产生量很小，经大气扩散、植物吸收、空气自净后对环境影响较小。</w:t>
      </w:r>
    </w:p>
    <w:p w14:paraId="4AA3CB98">
      <w:pPr>
        <w:spacing w:line="360" w:lineRule="auto"/>
        <w:ind w:firstLine="482" w:firstLineChars="200"/>
        <w:rPr>
          <w:b/>
          <w:sz w:val="24"/>
        </w:rPr>
      </w:pPr>
      <w:r>
        <w:rPr>
          <w:b/>
          <w:sz w:val="24"/>
        </w:rPr>
        <w:t>（2）无害化处理车间废气影响分析</w:t>
      </w:r>
    </w:p>
    <w:p w14:paraId="3FC1C0C7">
      <w:pPr>
        <w:spacing w:line="360" w:lineRule="auto"/>
        <w:ind w:firstLine="480" w:firstLineChars="200"/>
        <w:rPr>
          <w:sz w:val="24"/>
        </w:rPr>
      </w:pPr>
      <w:r>
        <w:rPr>
          <w:sz w:val="24"/>
        </w:rPr>
        <w:t>高温化制设备对病死猪及分娩废物进行高温干化制过程中会产生少量臭气，项目配套建设有1套臭气处理装置（密闭设备+负压收集+冷凝+喷除臭剂），通过处理后，废气可降低90%，对周围环境影响小。</w:t>
      </w:r>
    </w:p>
    <w:p w14:paraId="0EDBD6A8">
      <w:pPr>
        <w:spacing w:line="360" w:lineRule="auto"/>
        <w:ind w:firstLine="482" w:firstLineChars="200"/>
        <w:rPr>
          <w:b/>
          <w:sz w:val="24"/>
        </w:rPr>
      </w:pPr>
      <w:r>
        <w:rPr>
          <w:b/>
          <w:sz w:val="24"/>
        </w:rPr>
        <w:t>（3）食堂油烟影响分析</w:t>
      </w:r>
    </w:p>
    <w:p w14:paraId="104C8D94">
      <w:pPr>
        <w:spacing w:line="360" w:lineRule="auto"/>
        <w:ind w:firstLine="480" w:firstLineChars="200"/>
        <w:rPr>
          <w:sz w:val="24"/>
        </w:rPr>
      </w:pPr>
      <w:r>
        <w:rPr>
          <w:sz w:val="24"/>
        </w:rPr>
        <w:t>本项目设置有员工食堂，主要为沼气，不足部分由电能补充，为清洁能源。炊事过程会产生少量油烟，经抽油烟机抽排后，排放浓度低于《饮食业油烟排放标准》（GB18483-2001）中最高允许排放浓度2.0mg/m</w:t>
      </w:r>
      <w:r>
        <w:rPr>
          <w:sz w:val="24"/>
          <w:vertAlign w:val="superscript"/>
        </w:rPr>
        <w:t>3</w:t>
      </w:r>
      <w:r>
        <w:rPr>
          <w:sz w:val="24"/>
        </w:rPr>
        <w:t>，经大气扩散稀释后对周围环境空气及敏感点影响很小，环境影响可接受。</w:t>
      </w:r>
    </w:p>
    <w:p w14:paraId="30DEF528">
      <w:pPr>
        <w:spacing w:line="360" w:lineRule="auto"/>
        <w:ind w:firstLine="482" w:firstLineChars="200"/>
        <w:rPr>
          <w:b/>
          <w:sz w:val="24"/>
        </w:rPr>
      </w:pPr>
      <w:r>
        <w:rPr>
          <w:b/>
          <w:sz w:val="24"/>
        </w:rPr>
        <w:t>（4）恶臭影响分析</w:t>
      </w:r>
    </w:p>
    <w:p w14:paraId="77939F3A">
      <w:pPr>
        <w:spacing w:line="360" w:lineRule="auto"/>
        <w:ind w:firstLine="480" w:firstLineChars="200"/>
        <w:rPr>
          <w:sz w:val="24"/>
        </w:rPr>
      </w:pPr>
      <w:r>
        <w:rPr>
          <w:sz w:val="24"/>
        </w:rPr>
        <w:t>项目运营期恶臭气体来源于猪舍、固粪处理区、无害化处理车间及污水处理站。项目通过在饲料中添加活菌剂减少猪粪中的含氮量，从源头减少臭气产生；强化猪舍消毒措施，固粪处理区、无害化处理车间通过喷洒除臭剂，减少臭气产生；及时清理猪舍粪便，加强通风，减少粪便堆积挥发的恶臭气体排放量；污水收集输送系统设计有合理的密闭措施，以减少恶臭气体无组织排放；在无害化处理设备自带臭气处理设施；养猪场四周应种植高大常绿的乔木，在场界形成能吸收臭气、有净化空气作用的绿化隔离带，减小臭气对环境影响。</w:t>
      </w:r>
    </w:p>
    <w:p w14:paraId="5C70A6D7">
      <w:pPr>
        <w:spacing w:line="360" w:lineRule="auto"/>
        <w:ind w:firstLine="480" w:firstLineChars="200"/>
        <w:rPr>
          <w:sz w:val="24"/>
        </w:rPr>
      </w:pPr>
      <w:r>
        <w:rPr>
          <w:sz w:val="24"/>
        </w:rPr>
        <w:t>由表5.2-7、表5.2-8可以看出，项目排放废气最大落地浓度NH</w:t>
      </w:r>
      <w:r>
        <w:rPr>
          <w:sz w:val="24"/>
          <w:vertAlign w:val="subscript"/>
        </w:rPr>
        <w:t>3</w:t>
      </w:r>
      <w:r>
        <w:rPr>
          <w:sz w:val="24"/>
        </w:rPr>
        <w:t>浓度值为</w:t>
      </w:r>
      <w:r>
        <w:rPr>
          <w:kern w:val="0"/>
          <w:sz w:val="24"/>
          <w:lang w:bidi="ar"/>
        </w:rPr>
        <w:t>16.843</w:t>
      </w:r>
      <w:r>
        <w:rPr>
          <w:sz w:val="24"/>
        </w:rPr>
        <w:t>ug/m</w:t>
      </w:r>
      <w:r>
        <w:rPr>
          <w:sz w:val="24"/>
          <w:vertAlign w:val="superscript"/>
        </w:rPr>
        <w:t>3</w:t>
      </w:r>
      <w:r>
        <w:rPr>
          <w:sz w:val="24"/>
        </w:rPr>
        <w:t>，H</w:t>
      </w:r>
      <w:r>
        <w:rPr>
          <w:sz w:val="24"/>
          <w:vertAlign w:val="subscript"/>
        </w:rPr>
        <w:t>2</w:t>
      </w:r>
      <w:r>
        <w:rPr>
          <w:sz w:val="24"/>
        </w:rPr>
        <w:t>S浓度值为0.9827ug/m</w:t>
      </w:r>
      <w:r>
        <w:rPr>
          <w:sz w:val="24"/>
          <w:vertAlign w:val="superscript"/>
        </w:rPr>
        <w:t>3</w:t>
      </w:r>
      <w:r>
        <w:rPr>
          <w:sz w:val="24"/>
        </w:rPr>
        <w:t>，满足《恶臭污染物排放标准》（GB14554-93）中厂界二级新建项目标准值，即H</w:t>
      </w:r>
      <w:r>
        <w:rPr>
          <w:sz w:val="24"/>
          <w:vertAlign w:val="subscript"/>
        </w:rPr>
        <w:t>2</w:t>
      </w:r>
      <w:r>
        <w:rPr>
          <w:sz w:val="24"/>
        </w:rPr>
        <w:t>S≤0.06mg/m</w:t>
      </w:r>
      <w:r>
        <w:rPr>
          <w:sz w:val="24"/>
          <w:vertAlign w:val="superscript"/>
        </w:rPr>
        <w:t>3</w:t>
      </w:r>
      <w:r>
        <w:rPr>
          <w:sz w:val="24"/>
        </w:rPr>
        <w:t>、NH</w:t>
      </w:r>
      <w:r>
        <w:rPr>
          <w:sz w:val="24"/>
          <w:vertAlign w:val="subscript"/>
        </w:rPr>
        <w:t>3</w:t>
      </w:r>
      <w:r>
        <w:rPr>
          <w:sz w:val="24"/>
        </w:rPr>
        <w:t>≤1.5mg/m</w:t>
      </w:r>
      <w:r>
        <w:rPr>
          <w:sz w:val="24"/>
          <w:vertAlign w:val="superscript"/>
        </w:rPr>
        <w:t>3</w:t>
      </w:r>
      <w:r>
        <w:rPr>
          <w:sz w:val="24"/>
        </w:rPr>
        <w:t>要求。</w:t>
      </w:r>
    </w:p>
    <w:p w14:paraId="3A0700D7">
      <w:pPr>
        <w:spacing w:line="360" w:lineRule="auto"/>
        <w:ind w:firstLine="480" w:firstLineChars="200"/>
        <w:rPr>
          <w:sz w:val="24"/>
        </w:rPr>
      </w:pPr>
      <w:r>
        <w:rPr>
          <w:sz w:val="24"/>
        </w:rPr>
        <w:t>综上，在采取措施后，本项目NH</w:t>
      </w:r>
      <w:r>
        <w:rPr>
          <w:sz w:val="24"/>
          <w:vertAlign w:val="subscript"/>
        </w:rPr>
        <w:t>3</w:t>
      </w:r>
      <w:r>
        <w:rPr>
          <w:sz w:val="24"/>
        </w:rPr>
        <w:t>及H</w:t>
      </w:r>
      <w:r>
        <w:rPr>
          <w:sz w:val="24"/>
          <w:vertAlign w:val="subscript"/>
        </w:rPr>
        <w:t>2</w:t>
      </w:r>
      <w:r>
        <w:rPr>
          <w:sz w:val="24"/>
        </w:rPr>
        <w:t>S排放浓度能达到《恶臭污染物排放标准》（GB14554-93）表1要求，臭气排放浓度能达到《畜禽养殖业污染物排放标准》（GB18596-2001）要求。项目排放恶臭对周边环境的影响较小。</w:t>
      </w:r>
    </w:p>
    <w:p w14:paraId="653A0BFF">
      <w:pPr>
        <w:keepNext/>
        <w:keepLines/>
        <w:spacing w:line="360" w:lineRule="auto"/>
        <w:ind w:firstLine="200"/>
        <w:outlineLvl w:val="3"/>
        <w:rPr>
          <w:b/>
          <w:bCs/>
          <w:sz w:val="24"/>
        </w:rPr>
      </w:pPr>
      <w:r>
        <w:rPr>
          <w:b/>
          <w:bCs/>
          <w:sz w:val="24"/>
        </w:rPr>
        <w:t>5.2.1.3污染物排放核算</w:t>
      </w:r>
    </w:p>
    <w:p w14:paraId="4492D48C">
      <w:pPr>
        <w:spacing w:line="360" w:lineRule="auto"/>
        <w:ind w:firstLine="424" w:firstLineChars="176"/>
        <w:rPr>
          <w:b/>
          <w:sz w:val="24"/>
        </w:rPr>
      </w:pPr>
      <w:r>
        <w:rPr>
          <w:b/>
          <w:sz w:val="24"/>
        </w:rPr>
        <w:t>（1）有组织排放量核算</w:t>
      </w:r>
    </w:p>
    <w:p w14:paraId="354B30FE">
      <w:pPr>
        <w:spacing w:line="360" w:lineRule="auto"/>
        <w:ind w:firstLine="422" w:firstLineChars="176"/>
        <w:rPr>
          <w:sz w:val="24"/>
        </w:rPr>
      </w:pPr>
      <w:r>
        <w:rPr>
          <w:sz w:val="24"/>
        </w:rPr>
        <w:t>项目运营期有组织外排废气主要为无害化处理车间产生的氨气，大气污染物有组织排放量核算见下表。</w:t>
      </w:r>
    </w:p>
    <w:p w14:paraId="56ED09F0">
      <w:pPr>
        <w:spacing w:line="360" w:lineRule="auto"/>
        <w:ind w:firstLine="200"/>
        <w:jc w:val="center"/>
        <w:rPr>
          <w:b/>
          <w:sz w:val="24"/>
        </w:rPr>
      </w:pPr>
      <w:r>
        <w:rPr>
          <w:b/>
          <w:sz w:val="24"/>
        </w:rPr>
        <w:t>表5.2-10  项目大气污染物有组织排放量核算表</w:t>
      </w:r>
    </w:p>
    <w:tbl>
      <w:tblPr>
        <w:tblStyle w:val="87"/>
        <w:tblW w:w="5000" w:type="pct"/>
        <w:tblInd w:w="0" w:type="dxa"/>
        <w:tblLayout w:type="autofit"/>
        <w:tblCellMar>
          <w:top w:w="0" w:type="dxa"/>
          <w:left w:w="108" w:type="dxa"/>
          <w:bottom w:w="0" w:type="dxa"/>
          <w:right w:w="108" w:type="dxa"/>
        </w:tblCellMar>
      </w:tblPr>
      <w:tblGrid>
        <w:gridCol w:w="905"/>
        <w:gridCol w:w="916"/>
        <w:gridCol w:w="2797"/>
        <w:gridCol w:w="1933"/>
        <w:gridCol w:w="1794"/>
        <w:gridCol w:w="1991"/>
      </w:tblGrid>
      <w:tr w14:paraId="303BCAA8">
        <w:tblPrEx>
          <w:tblCellMar>
            <w:top w:w="0" w:type="dxa"/>
            <w:left w:w="108" w:type="dxa"/>
            <w:bottom w:w="0" w:type="dxa"/>
            <w:right w:w="108" w:type="dxa"/>
          </w:tblCellMar>
        </w:tblPrEx>
        <w:trPr>
          <w:trHeight w:val="285" w:hRule="atLeast"/>
        </w:trPr>
        <w:tc>
          <w:tcPr>
            <w:tcW w:w="438"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902AB6">
            <w:pPr>
              <w:widowControl/>
              <w:jc w:val="center"/>
              <w:textAlignment w:val="center"/>
              <w:rPr>
                <w:szCs w:val="21"/>
              </w:rPr>
            </w:pPr>
            <w:r>
              <w:rPr>
                <w:kern w:val="0"/>
                <w:szCs w:val="21"/>
                <w:lang w:bidi="ar"/>
              </w:rPr>
              <w:t>序号</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A5346">
            <w:pPr>
              <w:widowControl/>
              <w:jc w:val="center"/>
              <w:textAlignment w:val="center"/>
              <w:rPr>
                <w:szCs w:val="21"/>
              </w:rPr>
            </w:pPr>
            <w:r>
              <w:rPr>
                <w:kern w:val="0"/>
                <w:szCs w:val="21"/>
                <w:lang w:bidi="ar"/>
              </w:rPr>
              <w:t>排放口编号</w:t>
            </w:r>
          </w:p>
        </w:tc>
        <w:tc>
          <w:tcPr>
            <w:tcW w:w="135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D120D2">
            <w:pPr>
              <w:widowControl/>
              <w:jc w:val="center"/>
              <w:textAlignment w:val="center"/>
              <w:rPr>
                <w:szCs w:val="21"/>
              </w:rPr>
            </w:pPr>
            <w:r>
              <w:rPr>
                <w:kern w:val="0"/>
                <w:szCs w:val="21"/>
                <w:lang w:bidi="ar"/>
              </w:rPr>
              <w:t>污染物</w:t>
            </w:r>
          </w:p>
        </w:tc>
        <w:tc>
          <w:tcPr>
            <w:tcW w:w="93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0EEC5">
            <w:pPr>
              <w:widowControl/>
              <w:jc w:val="center"/>
              <w:textAlignment w:val="center"/>
              <w:rPr>
                <w:szCs w:val="21"/>
              </w:rPr>
            </w:pPr>
            <w:r>
              <w:rPr>
                <w:kern w:val="0"/>
                <w:szCs w:val="21"/>
                <w:lang w:bidi="ar"/>
              </w:rPr>
              <w:t>申报排放浓度限值/            （mg/m</w:t>
            </w:r>
            <w:r>
              <w:rPr>
                <w:kern w:val="0"/>
                <w:szCs w:val="21"/>
                <w:vertAlign w:val="superscript"/>
                <w:lang w:bidi="ar"/>
              </w:rPr>
              <w:t>3</w:t>
            </w:r>
            <w:r>
              <w:rPr>
                <w:kern w:val="0"/>
                <w:szCs w:val="21"/>
                <w:lang w:bidi="ar"/>
              </w:rPr>
              <w:t>）</w:t>
            </w: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CAFB6">
            <w:pPr>
              <w:widowControl/>
              <w:jc w:val="center"/>
              <w:textAlignment w:val="center"/>
              <w:rPr>
                <w:szCs w:val="21"/>
              </w:rPr>
            </w:pPr>
            <w:r>
              <w:rPr>
                <w:kern w:val="0"/>
                <w:szCs w:val="21"/>
                <w:lang w:bidi="ar"/>
              </w:rPr>
              <w:t>申报排放速率限值/（kg/h）</w:t>
            </w:r>
          </w:p>
        </w:tc>
        <w:tc>
          <w:tcPr>
            <w:tcW w:w="962"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2B925A">
            <w:pPr>
              <w:widowControl/>
              <w:jc w:val="center"/>
              <w:textAlignment w:val="center"/>
              <w:rPr>
                <w:szCs w:val="21"/>
              </w:rPr>
            </w:pPr>
            <w:r>
              <w:rPr>
                <w:kern w:val="0"/>
                <w:szCs w:val="21"/>
                <w:lang w:bidi="ar"/>
              </w:rPr>
              <w:t>申报年排放量/（t/a）</w:t>
            </w:r>
          </w:p>
        </w:tc>
      </w:tr>
      <w:tr w14:paraId="652DBA01">
        <w:tblPrEx>
          <w:tblCellMar>
            <w:top w:w="0" w:type="dxa"/>
            <w:left w:w="108" w:type="dxa"/>
            <w:bottom w:w="0" w:type="dxa"/>
            <w:right w:w="108" w:type="dxa"/>
          </w:tblCellMar>
        </w:tblPrEx>
        <w:trPr>
          <w:trHeight w:val="285" w:hRule="atLeast"/>
        </w:trPr>
        <w:tc>
          <w:tcPr>
            <w:tcW w:w="438"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CA76F">
            <w:pPr>
              <w:jc w:val="center"/>
              <w:rPr>
                <w:szCs w:val="21"/>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B7F911">
            <w:pPr>
              <w:jc w:val="center"/>
              <w:rPr>
                <w:szCs w:val="21"/>
              </w:rPr>
            </w:pPr>
          </w:p>
        </w:tc>
        <w:tc>
          <w:tcPr>
            <w:tcW w:w="135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E26A47">
            <w:pPr>
              <w:jc w:val="center"/>
              <w:rPr>
                <w:szCs w:val="21"/>
              </w:rPr>
            </w:pPr>
          </w:p>
        </w:tc>
        <w:tc>
          <w:tcPr>
            <w:tcW w:w="93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6A500">
            <w:pPr>
              <w:jc w:val="center"/>
              <w:rPr>
                <w:szCs w:val="21"/>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68FF25">
            <w:pPr>
              <w:jc w:val="center"/>
              <w:rPr>
                <w:szCs w:val="21"/>
              </w:rPr>
            </w:pPr>
          </w:p>
        </w:tc>
        <w:tc>
          <w:tcPr>
            <w:tcW w:w="962"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5E64F7">
            <w:pPr>
              <w:jc w:val="center"/>
              <w:rPr>
                <w:szCs w:val="21"/>
              </w:rPr>
            </w:pPr>
          </w:p>
        </w:tc>
      </w:tr>
      <w:tr w14:paraId="2430BEC7">
        <w:tblPrEx>
          <w:tblCellMar>
            <w:top w:w="0" w:type="dxa"/>
            <w:left w:w="108" w:type="dxa"/>
            <w:bottom w:w="0" w:type="dxa"/>
            <w:right w:w="108" w:type="dxa"/>
          </w:tblCellMar>
        </w:tblPrEx>
        <w:trPr>
          <w:trHeight w:val="52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87D856">
            <w:pPr>
              <w:widowControl/>
              <w:jc w:val="center"/>
              <w:textAlignment w:val="center"/>
              <w:rPr>
                <w:szCs w:val="21"/>
              </w:rPr>
            </w:pPr>
            <w:r>
              <w:rPr>
                <w:kern w:val="0"/>
                <w:szCs w:val="21"/>
                <w:lang w:bidi="ar"/>
              </w:rPr>
              <w:t>主要排放口</w:t>
            </w:r>
          </w:p>
        </w:tc>
      </w:tr>
      <w:tr w14:paraId="7E3DF2BB">
        <w:tblPrEx>
          <w:tblCellMar>
            <w:top w:w="0" w:type="dxa"/>
            <w:left w:w="108" w:type="dxa"/>
            <w:bottom w:w="0" w:type="dxa"/>
            <w:right w:w="108" w:type="dxa"/>
          </w:tblCellMar>
        </w:tblPrEx>
        <w:trPr>
          <w:trHeight w:val="285" w:hRule="atLeast"/>
        </w:trPr>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2E59D1">
            <w:pPr>
              <w:widowControl/>
              <w:jc w:val="center"/>
              <w:textAlignment w:val="center"/>
              <w:rPr>
                <w:szCs w:val="21"/>
              </w:rPr>
            </w:pPr>
            <w:r>
              <w:rPr>
                <w:kern w:val="0"/>
                <w:szCs w:val="21"/>
                <w:lang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996517">
            <w:pPr>
              <w:widowControl/>
              <w:jc w:val="center"/>
              <w:textAlignment w:val="center"/>
              <w:rPr>
                <w:szCs w:val="21"/>
              </w:rPr>
            </w:pPr>
            <w:r>
              <w:rPr>
                <w:kern w:val="0"/>
                <w:szCs w:val="21"/>
                <w:lang w:bidi="ar"/>
              </w:rPr>
              <w:t>P1（无害化处理车间）</w:t>
            </w:r>
          </w:p>
        </w:tc>
        <w:tc>
          <w:tcPr>
            <w:tcW w:w="13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45EC1">
            <w:pPr>
              <w:widowControl/>
              <w:jc w:val="center"/>
              <w:textAlignment w:val="center"/>
              <w:rPr>
                <w:szCs w:val="21"/>
              </w:rPr>
            </w:pPr>
            <w:r>
              <w:rPr>
                <w:kern w:val="0"/>
                <w:szCs w:val="21"/>
                <w:lang w:bidi="ar"/>
              </w:rPr>
              <w:t>氨气</w:t>
            </w:r>
          </w:p>
        </w:tc>
        <w:tc>
          <w:tcPr>
            <w:tcW w:w="93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5FF732">
            <w:pPr>
              <w:widowControl/>
              <w:jc w:val="center"/>
              <w:textAlignment w:val="center"/>
              <w:rPr>
                <w:szCs w:val="21"/>
              </w:rPr>
            </w:pPr>
            <w:r>
              <w:rPr>
                <w:kern w:val="0"/>
                <w:szCs w:val="21"/>
                <w:lang w:bidi="ar"/>
              </w:rPr>
              <w:t>0.89</w:t>
            </w:r>
          </w:p>
        </w:tc>
        <w:tc>
          <w:tcPr>
            <w:tcW w:w="86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7B7B85">
            <w:pPr>
              <w:widowControl/>
              <w:jc w:val="center"/>
              <w:textAlignment w:val="center"/>
              <w:rPr>
                <w:szCs w:val="21"/>
              </w:rPr>
            </w:pPr>
            <w:r>
              <w:rPr>
                <w:kern w:val="0"/>
                <w:szCs w:val="21"/>
                <w:lang w:bidi="ar"/>
              </w:rPr>
              <w:t>0.0036</w:t>
            </w:r>
          </w:p>
        </w:tc>
        <w:tc>
          <w:tcPr>
            <w:tcW w:w="9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89D18D">
            <w:pPr>
              <w:widowControl/>
              <w:jc w:val="center"/>
              <w:textAlignment w:val="center"/>
              <w:rPr>
                <w:szCs w:val="21"/>
              </w:rPr>
            </w:pPr>
            <w:r>
              <w:rPr>
                <w:kern w:val="0"/>
                <w:szCs w:val="21"/>
                <w:lang w:bidi="ar"/>
              </w:rPr>
              <w:t>0.0315</w:t>
            </w:r>
          </w:p>
        </w:tc>
      </w:tr>
      <w:tr w14:paraId="3418CD76">
        <w:tblPrEx>
          <w:tblCellMar>
            <w:top w:w="0" w:type="dxa"/>
            <w:left w:w="108" w:type="dxa"/>
            <w:bottom w:w="0" w:type="dxa"/>
            <w:right w:w="108" w:type="dxa"/>
          </w:tblCellMar>
        </w:tblPrEx>
        <w:trPr>
          <w:trHeight w:val="242" w:hRule="atLeast"/>
        </w:trPr>
        <w:tc>
          <w:tcPr>
            <w:tcW w:w="88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C87E8C">
            <w:pPr>
              <w:widowControl/>
              <w:jc w:val="center"/>
              <w:textAlignment w:val="center"/>
              <w:rPr>
                <w:szCs w:val="21"/>
              </w:rPr>
            </w:pPr>
            <w:r>
              <w:rPr>
                <w:kern w:val="0"/>
                <w:szCs w:val="21"/>
                <w:lang w:bidi="ar"/>
              </w:rPr>
              <w:t>主要排放口合计</w:t>
            </w:r>
          </w:p>
        </w:tc>
        <w:tc>
          <w:tcPr>
            <w:tcW w:w="3156" w:type="pct"/>
            <w:gridSpan w:val="3"/>
            <w:tcBorders>
              <w:top w:val="single" w:color="000000" w:sz="4" w:space="0"/>
              <w:left w:val="single" w:color="000000" w:sz="4" w:space="0"/>
              <w:right w:val="single" w:color="000000" w:sz="4" w:space="0"/>
            </w:tcBorders>
            <w:shd w:val="clear" w:color="auto" w:fill="FFFFFF"/>
            <w:noWrap w:val="0"/>
            <w:vAlign w:val="center"/>
          </w:tcPr>
          <w:p w14:paraId="775A3D03">
            <w:pPr>
              <w:widowControl/>
              <w:jc w:val="center"/>
              <w:textAlignment w:val="center"/>
              <w:rPr>
                <w:szCs w:val="21"/>
              </w:rPr>
            </w:pPr>
            <w:r>
              <w:rPr>
                <w:kern w:val="0"/>
                <w:szCs w:val="21"/>
                <w:lang w:bidi="ar"/>
              </w:rPr>
              <w:t>氨气</w:t>
            </w:r>
          </w:p>
        </w:tc>
        <w:tc>
          <w:tcPr>
            <w:tcW w:w="9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CA05BA">
            <w:pPr>
              <w:widowControl/>
              <w:jc w:val="center"/>
              <w:textAlignment w:val="center"/>
              <w:rPr>
                <w:szCs w:val="21"/>
              </w:rPr>
            </w:pPr>
            <w:r>
              <w:rPr>
                <w:kern w:val="0"/>
                <w:szCs w:val="21"/>
                <w:lang w:bidi="ar"/>
              </w:rPr>
              <w:t>0.0315</w:t>
            </w:r>
          </w:p>
        </w:tc>
      </w:tr>
      <w:tr w14:paraId="1D9E7804">
        <w:tblPrEx>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37335">
            <w:pPr>
              <w:widowControl/>
              <w:jc w:val="center"/>
              <w:textAlignment w:val="center"/>
              <w:rPr>
                <w:szCs w:val="21"/>
              </w:rPr>
            </w:pPr>
            <w:r>
              <w:rPr>
                <w:kern w:val="0"/>
                <w:szCs w:val="21"/>
                <w:lang w:bidi="ar"/>
              </w:rPr>
              <w:t>全厂有组织排放总计</w:t>
            </w:r>
          </w:p>
        </w:tc>
      </w:tr>
      <w:tr w14:paraId="6FF268B4">
        <w:tblPrEx>
          <w:tblCellMar>
            <w:top w:w="0" w:type="dxa"/>
            <w:left w:w="108" w:type="dxa"/>
            <w:bottom w:w="0" w:type="dxa"/>
            <w:right w:w="108" w:type="dxa"/>
          </w:tblCellMar>
        </w:tblPrEx>
        <w:trPr>
          <w:trHeight w:val="315" w:hRule="atLeast"/>
        </w:trPr>
        <w:tc>
          <w:tcPr>
            <w:tcW w:w="88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DA855D">
            <w:pPr>
              <w:widowControl/>
              <w:jc w:val="center"/>
              <w:textAlignment w:val="center"/>
              <w:rPr>
                <w:szCs w:val="21"/>
              </w:rPr>
            </w:pPr>
            <w:r>
              <w:rPr>
                <w:kern w:val="0"/>
                <w:szCs w:val="21"/>
                <w:lang w:bidi="ar"/>
              </w:rPr>
              <w:t>全厂有组织排放总计</w:t>
            </w:r>
          </w:p>
        </w:tc>
        <w:tc>
          <w:tcPr>
            <w:tcW w:w="3156"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2A36E">
            <w:pPr>
              <w:widowControl/>
              <w:jc w:val="center"/>
              <w:textAlignment w:val="center"/>
              <w:rPr>
                <w:szCs w:val="21"/>
              </w:rPr>
            </w:pPr>
            <w:r>
              <w:rPr>
                <w:kern w:val="0"/>
                <w:szCs w:val="21"/>
                <w:lang w:bidi="ar"/>
              </w:rPr>
              <w:t>氨气</w:t>
            </w:r>
          </w:p>
        </w:tc>
        <w:tc>
          <w:tcPr>
            <w:tcW w:w="96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679ED">
            <w:pPr>
              <w:widowControl/>
              <w:jc w:val="center"/>
              <w:textAlignment w:val="center"/>
              <w:rPr>
                <w:szCs w:val="21"/>
              </w:rPr>
            </w:pPr>
            <w:r>
              <w:rPr>
                <w:kern w:val="0"/>
                <w:szCs w:val="21"/>
                <w:lang w:bidi="ar"/>
              </w:rPr>
              <w:t>0.0315</w:t>
            </w:r>
          </w:p>
        </w:tc>
      </w:tr>
    </w:tbl>
    <w:p w14:paraId="2E7EA656">
      <w:pPr>
        <w:spacing w:line="360" w:lineRule="auto"/>
        <w:ind w:firstLine="424" w:firstLineChars="176"/>
        <w:rPr>
          <w:b/>
          <w:sz w:val="24"/>
        </w:rPr>
      </w:pPr>
    </w:p>
    <w:p w14:paraId="0D8D026D">
      <w:pPr>
        <w:spacing w:line="360" w:lineRule="auto"/>
        <w:ind w:firstLine="424" w:firstLineChars="176"/>
        <w:rPr>
          <w:b/>
          <w:sz w:val="24"/>
        </w:rPr>
      </w:pPr>
      <w:r>
        <w:rPr>
          <w:b/>
          <w:sz w:val="24"/>
        </w:rPr>
        <w:t>（2）无组织排放量核算</w:t>
      </w:r>
    </w:p>
    <w:p w14:paraId="0FE88B06">
      <w:pPr>
        <w:adjustRightInd w:val="0"/>
        <w:snapToGrid w:val="0"/>
        <w:spacing w:line="360" w:lineRule="auto"/>
        <w:ind w:firstLine="480"/>
        <w:rPr>
          <w:sz w:val="24"/>
        </w:rPr>
      </w:pPr>
      <w:r>
        <w:rPr>
          <w:sz w:val="24"/>
        </w:rPr>
        <w:t>项目运营期间主要无组织排放源为猪舍、固粪处理区、污水处理站排放的恶臭，主要污染因子为NH</w:t>
      </w:r>
      <w:r>
        <w:rPr>
          <w:sz w:val="24"/>
          <w:vertAlign w:val="subscript"/>
        </w:rPr>
        <w:t>3</w:t>
      </w:r>
      <w:r>
        <w:rPr>
          <w:sz w:val="24"/>
        </w:rPr>
        <w:t>、H</w:t>
      </w:r>
      <w:r>
        <w:rPr>
          <w:sz w:val="24"/>
          <w:vertAlign w:val="subscript"/>
        </w:rPr>
        <w:t>2</w:t>
      </w:r>
      <w:r>
        <w:rPr>
          <w:sz w:val="24"/>
        </w:rPr>
        <w:t>S，废气无组织排放量核算详见下表。</w:t>
      </w:r>
    </w:p>
    <w:p w14:paraId="41579685">
      <w:pPr>
        <w:spacing w:line="360" w:lineRule="auto"/>
        <w:jc w:val="center"/>
        <w:rPr>
          <w:b/>
          <w:sz w:val="24"/>
        </w:rPr>
      </w:pPr>
      <w:r>
        <w:rPr>
          <w:b/>
          <w:sz w:val="24"/>
        </w:rPr>
        <w:t>表5.2-11 大气污染物无组织排放核算表</w:t>
      </w:r>
    </w:p>
    <w:tbl>
      <w:tblPr>
        <w:tblStyle w:val="87"/>
        <w:tblW w:w="4997" w:type="pct"/>
        <w:tblInd w:w="0" w:type="dxa"/>
        <w:tblLayout w:type="fixed"/>
        <w:tblCellMar>
          <w:top w:w="0" w:type="dxa"/>
          <w:left w:w="108" w:type="dxa"/>
          <w:bottom w:w="0" w:type="dxa"/>
          <w:right w:w="108" w:type="dxa"/>
        </w:tblCellMar>
      </w:tblPr>
      <w:tblGrid>
        <w:gridCol w:w="836"/>
        <w:gridCol w:w="1669"/>
        <w:gridCol w:w="1465"/>
        <w:gridCol w:w="2339"/>
        <w:gridCol w:w="1434"/>
        <w:gridCol w:w="1492"/>
        <w:gridCol w:w="1095"/>
      </w:tblGrid>
      <w:tr w14:paraId="2EF017AC">
        <w:tblPrEx>
          <w:tblCellMar>
            <w:top w:w="0" w:type="dxa"/>
            <w:left w:w="108" w:type="dxa"/>
            <w:bottom w:w="0" w:type="dxa"/>
            <w:right w:w="108" w:type="dxa"/>
          </w:tblCellMar>
        </w:tblPrEx>
        <w:trPr>
          <w:trHeight w:val="450"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65B88426">
            <w:pPr>
              <w:widowControl/>
              <w:jc w:val="center"/>
              <w:textAlignment w:val="center"/>
              <w:rPr>
                <w:szCs w:val="21"/>
              </w:rPr>
            </w:pPr>
            <w:r>
              <w:rPr>
                <w:kern w:val="0"/>
                <w:szCs w:val="21"/>
                <w:lang w:bidi="ar"/>
              </w:rPr>
              <w:t>排放口编号</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2B67EA3F">
            <w:pPr>
              <w:widowControl/>
              <w:jc w:val="center"/>
              <w:textAlignment w:val="center"/>
              <w:rPr>
                <w:szCs w:val="21"/>
              </w:rPr>
            </w:pPr>
            <w:r>
              <w:rPr>
                <w:kern w:val="0"/>
                <w:szCs w:val="21"/>
                <w:lang w:bidi="ar"/>
              </w:rPr>
              <w:t>产污环节</w:t>
            </w:r>
          </w:p>
        </w:tc>
        <w:tc>
          <w:tcPr>
            <w:tcW w:w="708" w:type="pct"/>
            <w:vMerge w:val="restart"/>
            <w:tcBorders>
              <w:top w:val="single" w:color="000000" w:sz="4" w:space="0"/>
              <w:left w:val="single" w:color="000000" w:sz="4" w:space="0"/>
              <w:bottom w:val="single" w:color="000000" w:sz="4" w:space="0"/>
              <w:right w:val="single" w:color="000000" w:sz="4" w:space="0"/>
            </w:tcBorders>
            <w:noWrap w:val="0"/>
            <w:vAlign w:val="center"/>
          </w:tcPr>
          <w:p w14:paraId="411F64BD">
            <w:pPr>
              <w:widowControl/>
              <w:jc w:val="center"/>
              <w:textAlignment w:val="center"/>
              <w:rPr>
                <w:szCs w:val="21"/>
              </w:rPr>
            </w:pPr>
            <w:r>
              <w:rPr>
                <w:kern w:val="0"/>
                <w:szCs w:val="21"/>
                <w:lang w:bidi="ar"/>
              </w:rPr>
              <w:t>污染物种类</w:t>
            </w:r>
          </w:p>
        </w:tc>
        <w:tc>
          <w:tcPr>
            <w:tcW w:w="1132" w:type="pct"/>
            <w:vMerge w:val="restart"/>
            <w:tcBorders>
              <w:top w:val="single" w:color="000000" w:sz="4" w:space="0"/>
              <w:left w:val="single" w:color="000000" w:sz="4" w:space="0"/>
              <w:bottom w:val="single" w:color="000000" w:sz="4" w:space="0"/>
              <w:right w:val="single" w:color="000000" w:sz="4" w:space="0"/>
            </w:tcBorders>
            <w:noWrap w:val="0"/>
            <w:vAlign w:val="center"/>
          </w:tcPr>
          <w:p w14:paraId="6D028EEF">
            <w:pPr>
              <w:widowControl/>
              <w:jc w:val="center"/>
              <w:textAlignment w:val="center"/>
              <w:rPr>
                <w:szCs w:val="21"/>
              </w:rPr>
            </w:pPr>
            <w:r>
              <w:rPr>
                <w:kern w:val="0"/>
                <w:szCs w:val="21"/>
                <w:lang w:bidi="ar"/>
              </w:rPr>
              <w:t>主要污染防治措施</w:t>
            </w:r>
          </w:p>
        </w:tc>
        <w:tc>
          <w:tcPr>
            <w:tcW w:w="1415" w:type="pct"/>
            <w:gridSpan w:val="2"/>
            <w:tcBorders>
              <w:top w:val="single" w:color="000000" w:sz="4" w:space="0"/>
              <w:left w:val="single" w:color="000000" w:sz="4" w:space="0"/>
              <w:bottom w:val="single" w:color="000000" w:sz="4" w:space="0"/>
              <w:right w:val="single" w:color="000000" w:sz="4" w:space="0"/>
            </w:tcBorders>
            <w:noWrap w:val="0"/>
            <w:vAlign w:val="center"/>
          </w:tcPr>
          <w:p w14:paraId="3D7B0E4B">
            <w:pPr>
              <w:widowControl/>
              <w:jc w:val="center"/>
              <w:textAlignment w:val="center"/>
              <w:rPr>
                <w:szCs w:val="21"/>
              </w:rPr>
            </w:pPr>
            <w:r>
              <w:rPr>
                <w:kern w:val="0"/>
                <w:szCs w:val="21"/>
                <w:lang w:bidi="ar"/>
              </w:rPr>
              <w:t>国家或地方污染物排放标准</w:t>
            </w:r>
          </w:p>
        </w:tc>
        <w:tc>
          <w:tcPr>
            <w:tcW w:w="529" w:type="pct"/>
            <w:vMerge w:val="restart"/>
            <w:tcBorders>
              <w:top w:val="single" w:color="000000" w:sz="4" w:space="0"/>
              <w:left w:val="single" w:color="000000" w:sz="4" w:space="0"/>
              <w:bottom w:val="single" w:color="000000" w:sz="4" w:space="0"/>
              <w:right w:val="single" w:color="000000" w:sz="4" w:space="0"/>
            </w:tcBorders>
            <w:noWrap w:val="0"/>
            <w:vAlign w:val="center"/>
          </w:tcPr>
          <w:p w14:paraId="644AD211">
            <w:pPr>
              <w:widowControl/>
              <w:jc w:val="center"/>
              <w:textAlignment w:val="center"/>
              <w:rPr>
                <w:szCs w:val="21"/>
              </w:rPr>
            </w:pPr>
            <w:r>
              <w:rPr>
                <w:kern w:val="0"/>
                <w:szCs w:val="21"/>
                <w:lang w:bidi="ar"/>
              </w:rPr>
              <w:t>年排放量/（t/a）</w:t>
            </w:r>
          </w:p>
        </w:tc>
      </w:tr>
      <w:tr w14:paraId="04795F93">
        <w:tblPrEx>
          <w:tblCellMar>
            <w:top w:w="0" w:type="dxa"/>
            <w:left w:w="108" w:type="dxa"/>
            <w:bottom w:w="0" w:type="dxa"/>
            <w:right w:w="108" w:type="dxa"/>
          </w:tblCellMar>
        </w:tblPrEx>
        <w:trPr>
          <w:trHeight w:val="28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12A9FA">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01A10">
            <w:pPr>
              <w:jc w:val="center"/>
              <w:rPr>
                <w:szCs w:val="21"/>
              </w:rPr>
            </w:pPr>
          </w:p>
        </w:tc>
        <w:tc>
          <w:tcPr>
            <w:tcW w:w="7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C38EBF">
            <w:pPr>
              <w:jc w:val="center"/>
              <w:rPr>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A251A9">
            <w:pPr>
              <w:jc w:val="center"/>
              <w:rPr>
                <w:szCs w:val="21"/>
              </w:rPr>
            </w:pPr>
          </w:p>
        </w:tc>
        <w:tc>
          <w:tcPr>
            <w:tcW w:w="693" w:type="pct"/>
            <w:vMerge w:val="restart"/>
            <w:tcBorders>
              <w:top w:val="single" w:color="000000" w:sz="4" w:space="0"/>
              <w:left w:val="single" w:color="000000" w:sz="4" w:space="0"/>
              <w:bottom w:val="single" w:color="000000" w:sz="4" w:space="0"/>
              <w:right w:val="single" w:color="000000" w:sz="4" w:space="0"/>
            </w:tcBorders>
            <w:noWrap w:val="0"/>
            <w:vAlign w:val="center"/>
          </w:tcPr>
          <w:p w14:paraId="2010B9B5">
            <w:pPr>
              <w:widowControl/>
              <w:jc w:val="center"/>
              <w:textAlignment w:val="center"/>
              <w:rPr>
                <w:szCs w:val="21"/>
              </w:rPr>
            </w:pPr>
            <w:r>
              <w:rPr>
                <w:kern w:val="0"/>
                <w:szCs w:val="21"/>
                <w:lang w:bidi="ar"/>
              </w:rPr>
              <w:t>标准名称</w:t>
            </w:r>
          </w:p>
        </w:tc>
        <w:tc>
          <w:tcPr>
            <w:tcW w:w="722" w:type="pct"/>
            <w:vMerge w:val="restart"/>
            <w:tcBorders>
              <w:top w:val="single" w:color="000000" w:sz="4" w:space="0"/>
              <w:left w:val="single" w:color="000000" w:sz="4" w:space="0"/>
              <w:bottom w:val="single" w:color="000000" w:sz="4" w:space="0"/>
              <w:right w:val="single" w:color="000000" w:sz="4" w:space="0"/>
            </w:tcBorders>
            <w:noWrap w:val="0"/>
            <w:vAlign w:val="center"/>
          </w:tcPr>
          <w:p w14:paraId="60DD9755">
            <w:pPr>
              <w:widowControl/>
              <w:jc w:val="center"/>
              <w:textAlignment w:val="center"/>
              <w:rPr>
                <w:szCs w:val="21"/>
              </w:rPr>
            </w:pPr>
            <w:r>
              <w:rPr>
                <w:kern w:val="0"/>
                <w:szCs w:val="21"/>
                <w:lang w:bidi="ar"/>
              </w:rPr>
              <w:t>浓度限值/（mg/m3）</w:t>
            </w:r>
          </w:p>
        </w:tc>
        <w:tc>
          <w:tcPr>
            <w:tcW w:w="52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E21F1D">
            <w:pPr>
              <w:jc w:val="center"/>
              <w:rPr>
                <w:szCs w:val="21"/>
              </w:rPr>
            </w:pPr>
          </w:p>
        </w:tc>
      </w:tr>
      <w:tr w14:paraId="67C77F9D">
        <w:tblPrEx>
          <w:tblCellMar>
            <w:top w:w="0" w:type="dxa"/>
            <w:left w:w="108" w:type="dxa"/>
            <w:bottom w:w="0" w:type="dxa"/>
            <w:right w:w="108" w:type="dxa"/>
          </w:tblCellMar>
        </w:tblPrEx>
        <w:trPr>
          <w:trHeight w:val="28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F6E85E">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CC5CD1">
            <w:pPr>
              <w:jc w:val="center"/>
              <w:rPr>
                <w:szCs w:val="21"/>
              </w:rPr>
            </w:pPr>
          </w:p>
        </w:tc>
        <w:tc>
          <w:tcPr>
            <w:tcW w:w="7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B11187">
            <w:pPr>
              <w:jc w:val="center"/>
              <w:rPr>
                <w:szCs w:val="21"/>
              </w:rPr>
            </w:pP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07D053">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33931A">
            <w:pPr>
              <w:jc w:val="center"/>
              <w:rPr>
                <w:szCs w:val="21"/>
              </w:rPr>
            </w:pPr>
          </w:p>
        </w:tc>
        <w:tc>
          <w:tcPr>
            <w:tcW w:w="72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49A9A6">
            <w:pPr>
              <w:jc w:val="center"/>
              <w:rPr>
                <w:szCs w:val="21"/>
              </w:rPr>
            </w:pPr>
          </w:p>
        </w:tc>
        <w:tc>
          <w:tcPr>
            <w:tcW w:w="52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0496FA">
            <w:pPr>
              <w:jc w:val="center"/>
              <w:rPr>
                <w:szCs w:val="21"/>
              </w:rPr>
            </w:pPr>
          </w:p>
        </w:tc>
      </w:tr>
      <w:tr w14:paraId="4033E6C0">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5FD5B418">
            <w:pPr>
              <w:widowControl/>
              <w:jc w:val="center"/>
              <w:textAlignment w:val="center"/>
              <w:rPr>
                <w:szCs w:val="21"/>
              </w:rPr>
            </w:pPr>
            <w:r>
              <w:rPr>
                <w:kern w:val="0"/>
                <w:szCs w:val="21"/>
                <w:lang w:bidi="ar"/>
              </w:rPr>
              <w:t>1</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06969452">
            <w:pPr>
              <w:widowControl/>
              <w:jc w:val="center"/>
              <w:textAlignment w:val="center"/>
              <w:rPr>
                <w:szCs w:val="21"/>
              </w:rPr>
            </w:pPr>
            <w:r>
              <w:rPr>
                <w:kern w:val="0"/>
                <w:szCs w:val="21"/>
                <w:lang w:bidi="ar"/>
              </w:rPr>
              <w:t>1号地（盛丰通风井位置）猪舍</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23D653D0">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restart"/>
            <w:tcBorders>
              <w:top w:val="single" w:color="000000" w:sz="4" w:space="0"/>
              <w:left w:val="single" w:color="000000" w:sz="4" w:space="0"/>
              <w:bottom w:val="single" w:color="000000" w:sz="4" w:space="0"/>
              <w:right w:val="single" w:color="000000" w:sz="4" w:space="0"/>
            </w:tcBorders>
            <w:noWrap w:val="0"/>
            <w:vAlign w:val="center"/>
          </w:tcPr>
          <w:p w14:paraId="0E4A335C">
            <w:pPr>
              <w:widowControl/>
              <w:jc w:val="center"/>
              <w:textAlignment w:val="center"/>
              <w:rPr>
                <w:kern w:val="0"/>
                <w:szCs w:val="21"/>
                <w:lang w:bidi="ar"/>
              </w:rPr>
            </w:pPr>
            <w:r>
              <w:rPr>
                <w:kern w:val="0"/>
                <w:szCs w:val="21"/>
                <w:lang w:bidi="ar"/>
              </w:rPr>
              <w:t>①饲料中添加抑菌剂、并采用低氮饲料喂养猪只；</w:t>
            </w:r>
          </w:p>
          <w:p w14:paraId="42544052">
            <w:pPr>
              <w:widowControl/>
              <w:jc w:val="center"/>
              <w:textAlignment w:val="center"/>
              <w:rPr>
                <w:kern w:val="0"/>
                <w:szCs w:val="21"/>
                <w:lang w:bidi="ar"/>
              </w:rPr>
            </w:pPr>
            <w:r>
              <w:rPr>
                <w:kern w:val="0"/>
                <w:szCs w:val="21"/>
                <w:lang w:bidi="ar"/>
              </w:rPr>
              <w:t>②向粪便、猪舍投放锯末等含纤维素、木质素较多的吸附剂材料；</w:t>
            </w:r>
          </w:p>
          <w:p w14:paraId="118AFC06">
            <w:pPr>
              <w:widowControl/>
              <w:jc w:val="center"/>
              <w:textAlignment w:val="center"/>
              <w:rPr>
                <w:kern w:val="0"/>
                <w:szCs w:val="21"/>
                <w:lang w:bidi="ar"/>
              </w:rPr>
            </w:pPr>
            <w:r>
              <w:rPr>
                <w:kern w:val="0"/>
                <w:szCs w:val="21"/>
                <w:lang w:bidi="ar"/>
              </w:rPr>
              <w:t>③向猪舍定期喷洒化学除臭剂；</w:t>
            </w:r>
          </w:p>
          <w:p w14:paraId="2746C0CE">
            <w:pPr>
              <w:widowControl/>
              <w:jc w:val="center"/>
              <w:textAlignment w:val="center"/>
              <w:rPr>
                <w:szCs w:val="21"/>
              </w:rPr>
            </w:pPr>
            <w:r>
              <w:rPr>
                <w:kern w:val="0"/>
                <w:szCs w:val="21"/>
                <w:lang w:bidi="ar"/>
              </w:rPr>
              <w:t>④采用干清粪工艺，粪污日产日清。</w:t>
            </w:r>
          </w:p>
        </w:tc>
        <w:tc>
          <w:tcPr>
            <w:tcW w:w="693" w:type="pct"/>
            <w:vMerge w:val="restart"/>
            <w:tcBorders>
              <w:top w:val="single" w:color="000000" w:sz="4" w:space="0"/>
              <w:left w:val="single" w:color="000000" w:sz="4" w:space="0"/>
              <w:bottom w:val="single" w:color="000000" w:sz="4" w:space="0"/>
              <w:right w:val="single" w:color="000000" w:sz="4" w:space="0"/>
            </w:tcBorders>
            <w:noWrap w:val="0"/>
            <w:vAlign w:val="center"/>
          </w:tcPr>
          <w:p w14:paraId="469CF2D4">
            <w:pPr>
              <w:widowControl/>
              <w:jc w:val="center"/>
              <w:textAlignment w:val="center"/>
              <w:rPr>
                <w:kern w:val="0"/>
                <w:szCs w:val="21"/>
                <w:lang w:bidi="ar"/>
              </w:rPr>
            </w:pPr>
            <w:r>
              <w:rPr>
                <w:kern w:val="0"/>
                <w:szCs w:val="21"/>
                <w:lang w:bidi="ar"/>
              </w:rPr>
              <w:t>《恶臭污染物排放标准》</w:t>
            </w:r>
          </w:p>
          <w:p w14:paraId="5B584363">
            <w:pPr>
              <w:widowControl/>
              <w:jc w:val="center"/>
              <w:textAlignment w:val="center"/>
              <w:rPr>
                <w:szCs w:val="21"/>
              </w:rPr>
            </w:pPr>
            <w:r>
              <w:rPr>
                <w:kern w:val="0"/>
                <w:szCs w:val="21"/>
                <w:lang w:bidi="ar"/>
              </w:rPr>
              <w:t>（GB14554-93）</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72664A0B">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C6AD92D">
            <w:pPr>
              <w:widowControl/>
              <w:jc w:val="center"/>
              <w:textAlignment w:val="center"/>
              <w:rPr>
                <w:szCs w:val="21"/>
              </w:rPr>
            </w:pPr>
            <w:r>
              <w:rPr>
                <w:kern w:val="0"/>
                <w:szCs w:val="21"/>
                <w:lang w:bidi="ar"/>
              </w:rPr>
              <w:t>0.0912</w:t>
            </w:r>
          </w:p>
        </w:tc>
      </w:tr>
      <w:tr w14:paraId="1D0B5C98">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59249D">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948D6D">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BE1CF7B">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8A1C47">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FBBBD4">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12D3B677">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7600EDF">
            <w:pPr>
              <w:widowControl/>
              <w:jc w:val="center"/>
              <w:textAlignment w:val="center"/>
              <w:rPr>
                <w:szCs w:val="21"/>
              </w:rPr>
            </w:pPr>
            <w:r>
              <w:rPr>
                <w:kern w:val="0"/>
                <w:szCs w:val="21"/>
                <w:lang w:bidi="ar"/>
              </w:rPr>
              <w:t>0.0089</w:t>
            </w:r>
          </w:p>
        </w:tc>
      </w:tr>
      <w:tr w14:paraId="7A78ADE7">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23BDC204">
            <w:pPr>
              <w:widowControl/>
              <w:jc w:val="center"/>
              <w:textAlignment w:val="center"/>
              <w:rPr>
                <w:szCs w:val="21"/>
              </w:rPr>
            </w:pPr>
            <w:r>
              <w:rPr>
                <w:kern w:val="0"/>
                <w:szCs w:val="21"/>
                <w:lang w:bidi="ar"/>
              </w:rPr>
              <w:t>2</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681A281D">
            <w:pPr>
              <w:widowControl/>
              <w:jc w:val="center"/>
              <w:textAlignment w:val="center"/>
              <w:rPr>
                <w:szCs w:val="21"/>
              </w:rPr>
            </w:pPr>
            <w:r>
              <w:rPr>
                <w:kern w:val="0"/>
                <w:szCs w:val="21"/>
                <w:lang w:bidi="ar"/>
              </w:rPr>
              <w:t>2号（盛丰焦化楼位置）猪舍</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0BA9DB6B">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F784DE">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DC530D">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6072B3A">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EDE4C64">
            <w:pPr>
              <w:widowControl/>
              <w:jc w:val="center"/>
              <w:textAlignment w:val="center"/>
              <w:rPr>
                <w:szCs w:val="21"/>
              </w:rPr>
            </w:pPr>
            <w:r>
              <w:rPr>
                <w:kern w:val="0"/>
                <w:szCs w:val="21"/>
                <w:lang w:bidi="ar"/>
              </w:rPr>
              <w:t>0.1931</w:t>
            </w:r>
          </w:p>
        </w:tc>
      </w:tr>
      <w:tr w14:paraId="7A8A3C15">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AF2AA0">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276D3E">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0066C97A">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A15466">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950DF7">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740DD94F">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06D27371">
            <w:pPr>
              <w:widowControl/>
              <w:jc w:val="center"/>
              <w:textAlignment w:val="center"/>
              <w:rPr>
                <w:szCs w:val="21"/>
              </w:rPr>
            </w:pPr>
            <w:r>
              <w:rPr>
                <w:kern w:val="0"/>
                <w:szCs w:val="21"/>
                <w:lang w:bidi="ar"/>
              </w:rPr>
              <w:t>0.0189</w:t>
            </w:r>
          </w:p>
        </w:tc>
      </w:tr>
      <w:tr w14:paraId="7894A04E">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4082489D">
            <w:pPr>
              <w:widowControl/>
              <w:jc w:val="center"/>
              <w:textAlignment w:val="center"/>
              <w:rPr>
                <w:szCs w:val="21"/>
              </w:rPr>
            </w:pPr>
            <w:r>
              <w:rPr>
                <w:kern w:val="0"/>
                <w:szCs w:val="21"/>
                <w:lang w:bidi="ar"/>
              </w:rPr>
              <w:t>3</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0EC02377">
            <w:pPr>
              <w:widowControl/>
              <w:jc w:val="center"/>
              <w:textAlignment w:val="center"/>
              <w:rPr>
                <w:szCs w:val="21"/>
              </w:rPr>
            </w:pPr>
            <w:r>
              <w:rPr>
                <w:kern w:val="0"/>
                <w:szCs w:val="21"/>
                <w:lang w:bidi="ar"/>
              </w:rPr>
              <w:t>3号地（老井位置）猪舍</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116049C2">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2BF92E">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11AD8B">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40A406BE">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006C725A">
            <w:pPr>
              <w:widowControl/>
              <w:jc w:val="center"/>
              <w:textAlignment w:val="center"/>
              <w:rPr>
                <w:szCs w:val="21"/>
              </w:rPr>
            </w:pPr>
            <w:r>
              <w:rPr>
                <w:kern w:val="0"/>
                <w:szCs w:val="21"/>
                <w:lang w:bidi="ar"/>
              </w:rPr>
              <w:t>0.0858</w:t>
            </w:r>
          </w:p>
        </w:tc>
      </w:tr>
      <w:tr w14:paraId="4D5ACD31">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03E5D5">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A6A46">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1E473FD2">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8F9FC0">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9FE47F">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3A67EB63">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050E52F6">
            <w:pPr>
              <w:widowControl/>
              <w:jc w:val="center"/>
              <w:textAlignment w:val="center"/>
              <w:rPr>
                <w:szCs w:val="21"/>
              </w:rPr>
            </w:pPr>
            <w:r>
              <w:rPr>
                <w:kern w:val="0"/>
                <w:szCs w:val="21"/>
                <w:lang w:bidi="ar"/>
              </w:rPr>
              <w:t>0.0084</w:t>
            </w:r>
          </w:p>
        </w:tc>
      </w:tr>
      <w:tr w14:paraId="4F295137">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797B2023">
            <w:pPr>
              <w:widowControl/>
              <w:jc w:val="center"/>
              <w:textAlignment w:val="center"/>
              <w:rPr>
                <w:szCs w:val="21"/>
              </w:rPr>
            </w:pPr>
            <w:r>
              <w:rPr>
                <w:kern w:val="0"/>
                <w:szCs w:val="21"/>
                <w:lang w:bidi="ar"/>
              </w:rPr>
              <w:t>4</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17C2BA7B">
            <w:pPr>
              <w:widowControl/>
              <w:jc w:val="center"/>
              <w:textAlignment w:val="center"/>
              <w:rPr>
                <w:szCs w:val="21"/>
              </w:rPr>
            </w:pPr>
            <w:r>
              <w:rPr>
                <w:kern w:val="0"/>
                <w:szCs w:val="21"/>
                <w:lang w:bidi="ar"/>
              </w:rPr>
              <w:t>4号地（鑫旺板块位置）猪舍</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3A8D4D83">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12E28B">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DD99FE">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0E504713">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F648F57">
            <w:pPr>
              <w:widowControl/>
              <w:jc w:val="center"/>
              <w:textAlignment w:val="center"/>
              <w:rPr>
                <w:szCs w:val="21"/>
              </w:rPr>
            </w:pPr>
            <w:r>
              <w:rPr>
                <w:kern w:val="0"/>
                <w:szCs w:val="21"/>
                <w:lang w:bidi="ar"/>
              </w:rPr>
              <w:t>0.2087</w:t>
            </w:r>
          </w:p>
        </w:tc>
      </w:tr>
      <w:tr w14:paraId="5A653F15">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50981C">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B99C02">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7BFE412">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5C5239">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7FBA9B">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E8CA71E">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0406F88D">
            <w:pPr>
              <w:widowControl/>
              <w:jc w:val="center"/>
              <w:textAlignment w:val="center"/>
              <w:rPr>
                <w:szCs w:val="21"/>
              </w:rPr>
            </w:pPr>
            <w:r>
              <w:rPr>
                <w:kern w:val="0"/>
                <w:szCs w:val="21"/>
                <w:lang w:bidi="ar"/>
              </w:rPr>
              <w:t>0.0204</w:t>
            </w:r>
          </w:p>
        </w:tc>
      </w:tr>
      <w:tr w14:paraId="6D5CE772">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4CC271DC">
            <w:pPr>
              <w:widowControl/>
              <w:jc w:val="center"/>
              <w:textAlignment w:val="center"/>
              <w:rPr>
                <w:szCs w:val="21"/>
              </w:rPr>
            </w:pPr>
            <w:r>
              <w:rPr>
                <w:kern w:val="0"/>
                <w:szCs w:val="21"/>
                <w:lang w:bidi="ar"/>
              </w:rPr>
              <w:t>5</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650C3895">
            <w:pPr>
              <w:widowControl/>
              <w:jc w:val="center"/>
              <w:textAlignment w:val="center"/>
              <w:rPr>
                <w:szCs w:val="21"/>
              </w:rPr>
            </w:pPr>
            <w:r>
              <w:rPr>
                <w:kern w:val="0"/>
                <w:szCs w:val="21"/>
                <w:lang w:bidi="ar"/>
              </w:rPr>
              <w:t>5号地（大河边位置）猪舍</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F76EA8F">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B8DC44">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C8926D">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9C68E44">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584EA15">
            <w:pPr>
              <w:widowControl/>
              <w:jc w:val="center"/>
              <w:textAlignment w:val="center"/>
              <w:rPr>
                <w:szCs w:val="21"/>
              </w:rPr>
            </w:pPr>
            <w:r>
              <w:rPr>
                <w:kern w:val="0"/>
                <w:szCs w:val="21"/>
                <w:lang w:bidi="ar"/>
              </w:rPr>
              <w:t>0.1635</w:t>
            </w:r>
          </w:p>
        </w:tc>
      </w:tr>
      <w:tr w14:paraId="0269AC09">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33B228">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44597B">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63958B0B">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124A38">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B89835">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085FEEC1">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5CB6C36">
            <w:pPr>
              <w:widowControl/>
              <w:jc w:val="center"/>
              <w:textAlignment w:val="center"/>
              <w:rPr>
                <w:szCs w:val="21"/>
              </w:rPr>
            </w:pPr>
            <w:r>
              <w:rPr>
                <w:kern w:val="0"/>
                <w:szCs w:val="21"/>
                <w:lang w:bidi="ar"/>
              </w:rPr>
              <w:t>0.016</w:t>
            </w:r>
          </w:p>
        </w:tc>
      </w:tr>
      <w:tr w14:paraId="028BE582">
        <w:tblPrEx>
          <w:tblCellMar>
            <w:top w:w="0" w:type="dxa"/>
            <w:left w:w="108" w:type="dxa"/>
            <w:bottom w:w="0" w:type="dxa"/>
            <w:right w:w="108" w:type="dxa"/>
          </w:tblCellMar>
        </w:tblPrEx>
        <w:trPr>
          <w:trHeight w:val="6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1F7415D3">
            <w:pPr>
              <w:widowControl/>
              <w:jc w:val="center"/>
              <w:textAlignment w:val="center"/>
              <w:rPr>
                <w:szCs w:val="21"/>
              </w:rPr>
            </w:pPr>
            <w:r>
              <w:rPr>
                <w:kern w:val="0"/>
                <w:szCs w:val="21"/>
                <w:lang w:bidi="ar"/>
              </w:rPr>
              <w:t>6</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1FBC1C88">
            <w:pPr>
              <w:widowControl/>
              <w:jc w:val="center"/>
              <w:textAlignment w:val="center"/>
              <w:rPr>
                <w:szCs w:val="21"/>
              </w:rPr>
            </w:pPr>
            <w:r>
              <w:rPr>
                <w:kern w:val="0"/>
                <w:szCs w:val="21"/>
                <w:lang w:bidi="ar"/>
              </w:rPr>
              <w:t>1号地（盛丰通风井位置）污水处理站</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28DCF1D8">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restart"/>
            <w:tcBorders>
              <w:top w:val="single" w:color="000000" w:sz="4" w:space="0"/>
              <w:left w:val="single" w:color="000000" w:sz="4" w:space="0"/>
              <w:bottom w:val="single" w:color="000000" w:sz="4" w:space="0"/>
              <w:right w:val="single" w:color="000000" w:sz="4" w:space="0"/>
            </w:tcBorders>
            <w:noWrap w:val="0"/>
            <w:vAlign w:val="center"/>
          </w:tcPr>
          <w:p w14:paraId="104636BB">
            <w:pPr>
              <w:widowControl/>
              <w:jc w:val="center"/>
              <w:textAlignment w:val="center"/>
              <w:rPr>
                <w:szCs w:val="21"/>
              </w:rPr>
            </w:pPr>
            <w:r>
              <w:rPr>
                <w:kern w:val="0"/>
                <w:szCs w:val="21"/>
                <w:lang w:bidi="ar"/>
              </w:rPr>
              <w:t>收集池、调节池、污水处理设施及沼液储存池进行加盖封闭，同时喷洒除臭剂，并加强污水处理站周围绿化</w:t>
            </w: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4080AB">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37854651">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7F8DD7A">
            <w:pPr>
              <w:widowControl/>
              <w:jc w:val="center"/>
              <w:textAlignment w:val="center"/>
              <w:rPr>
                <w:szCs w:val="21"/>
              </w:rPr>
            </w:pPr>
            <w:r>
              <w:rPr>
                <w:kern w:val="0"/>
                <w:szCs w:val="21"/>
                <w:lang w:bidi="ar"/>
              </w:rPr>
              <w:t>0.0016</w:t>
            </w:r>
          </w:p>
        </w:tc>
      </w:tr>
      <w:tr w14:paraId="247876C2">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B10B3F">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454F51">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E3EDE90">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0DE7BF">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51B5C7">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1B88AE7C">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8540B69">
            <w:pPr>
              <w:widowControl/>
              <w:jc w:val="center"/>
              <w:textAlignment w:val="center"/>
              <w:rPr>
                <w:szCs w:val="21"/>
              </w:rPr>
            </w:pPr>
            <w:r>
              <w:rPr>
                <w:kern w:val="0"/>
                <w:szCs w:val="21"/>
                <w:lang w:bidi="ar"/>
              </w:rPr>
              <w:t>0.00006</w:t>
            </w:r>
          </w:p>
        </w:tc>
      </w:tr>
      <w:tr w14:paraId="0C4F9797">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696B36C7">
            <w:pPr>
              <w:widowControl/>
              <w:jc w:val="center"/>
              <w:textAlignment w:val="center"/>
              <w:rPr>
                <w:szCs w:val="21"/>
              </w:rPr>
            </w:pPr>
            <w:r>
              <w:rPr>
                <w:kern w:val="0"/>
                <w:szCs w:val="21"/>
                <w:lang w:bidi="ar"/>
              </w:rPr>
              <w:t>7</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5C1731DB">
            <w:pPr>
              <w:widowControl/>
              <w:jc w:val="center"/>
              <w:textAlignment w:val="center"/>
              <w:rPr>
                <w:szCs w:val="21"/>
              </w:rPr>
            </w:pPr>
            <w:r>
              <w:rPr>
                <w:kern w:val="0"/>
                <w:szCs w:val="21"/>
                <w:lang w:bidi="ar"/>
              </w:rPr>
              <w:t>2号（盛丰焦化楼位置）污水处理站</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13E0DD5">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04ECAC">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94EB7D">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328D0878">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CE95A54">
            <w:pPr>
              <w:widowControl/>
              <w:jc w:val="center"/>
              <w:textAlignment w:val="center"/>
              <w:rPr>
                <w:szCs w:val="21"/>
              </w:rPr>
            </w:pPr>
            <w:r>
              <w:rPr>
                <w:kern w:val="0"/>
                <w:szCs w:val="21"/>
                <w:lang w:bidi="ar"/>
              </w:rPr>
              <w:t>0.0036</w:t>
            </w:r>
          </w:p>
        </w:tc>
      </w:tr>
      <w:tr w14:paraId="432B5E14">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C4F967">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2C1743">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32D72FD3">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8497A9">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F77EBE">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4C4E1DF5">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5C8E011">
            <w:pPr>
              <w:widowControl/>
              <w:jc w:val="center"/>
              <w:textAlignment w:val="center"/>
              <w:rPr>
                <w:szCs w:val="21"/>
              </w:rPr>
            </w:pPr>
            <w:r>
              <w:rPr>
                <w:kern w:val="0"/>
                <w:szCs w:val="21"/>
                <w:lang w:bidi="ar"/>
              </w:rPr>
              <w:t>0.00014</w:t>
            </w:r>
          </w:p>
        </w:tc>
      </w:tr>
      <w:tr w14:paraId="42C0EEAB">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56FD21FF">
            <w:pPr>
              <w:widowControl/>
              <w:jc w:val="center"/>
              <w:textAlignment w:val="center"/>
              <w:rPr>
                <w:szCs w:val="21"/>
              </w:rPr>
            </w:pPr>
            <w:r>
              <w:rPr>
                <w:kern w:val="0"/>
                <w:szCs w:val="21"/>
                <w:lang w:bidi="ar"/>
              </w:rPr>
              <w:t>8</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261536B4">
            <w:pPr>
              <w:widowControl/>
              <w:jc w:val="center"/>
              <w:textAlignment w:val="center"/>
              <w:rPr>
                <w:szCs w:val="21"/>
              </w:rPr>
            </w:pPr>
            <w:r>
              <w:rPr>
                <w:kern w:val="0"/>
                <w:szCs w:val="21"/>
                <w:lang w:bidi="ar"/>
              </w:rPr>
              <w:t>3号地（老井位置）污水处理站</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14556AF">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20139F">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795234">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357D57A3">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900A0D0">
            <w:pPr>
              <w:widowControl/>
              <w:jc w:val="center"/>
              <w:textAlignment w:val="center"/>
              <w:rPr>
                <w:szCs w:val="21"/>
              </w:rPr>
            </w:pPr>
            <w:r>
              <w:rPr>
                <w:kern w:val="0"/>
                <w:szCs w:val="21"/>
                <w:lang w:bidi="ar"/>
              </w:rPr>
              <w:t>0.0014</w:t>
            </w:r>
          </w:p>
        </w:tc>
      </w:tr>
      <w:tr w14:paraId="6BE79DD2">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F4EAC2">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29D4EB">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29189DB6">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896D1E">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7DC2D4">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7643F4EC">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3705B7B9">
            <w:pPr>
              <w:widowControl/>
              <w:jc w:val="center"/>
              <w:textAlignment w:val="center"/>
              <w:rPr>
                <w:szCs w:val="21"/>
              </w:rPr>
            </w:pPr>
            <w:r>
              <w:rPr>
                <w:kern w:val="0"/>
                <w:szCs w:val="21"/>
                <w:lang w:bidi="ar"/>
              </w:rPr>
              <w:t>0.00005</w:t>
            </w:r>
          </w:p>
        </w:tc>
      </w:tr>
      <w:tr w14:paraId="14CD3979">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5E6CDFF5">
            <w:pPr>
              <w:widowControl/>
              <w:jc w:val="center"/>
              <w:textAlignment w:val="center"/>
              <w:rPr>
                <w:szCs w:val="21"/>
              </w:rPr>
            </w:pPr>
            <w:r>
              <w:rPr>
                <w:kern w:val="0"/>
                <w:szCs w:val="21"/>
                <w:lang w:bidi="ar"/>
              </w:rPr>
              <w:t>9</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4C1B751F">
            <w:pPr>
              <w:widowControl/>
              <w:jc w:val="center"/>
              <w:textAlignment w:val="center"/>
              <w:rPr>
                <w:szCs w:val="21"/>
              </w:rPr>
            </w:pPr>
            <w:r>
              <w:rPr>
                <w:kern w:val="0"/>
                <w:szCs w:val="21"/>
                <w:lang w:bidi="ar"/>
              </w:rPr>
              <w:t>4号地（鑫旺板块位置）污水处理站</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7B5ABA1A">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2D5455">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08EE2">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454408A3">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6B80EBEB">
            <w:pPr>
              <w:widowControl/>
              <w:jc w:val="center"/>
              <w:textAlignment w:val="center"/>
              <w:rPr>
                <w:szCs w:val="21"/>
              </w:rPr>
            </w:pPr>
            <w:r>
              <w:rPr>
                <w:kern w:val="0"/>
                <w:szCs w:val="21"/>
                <w:lang w:bidi="ar"/>
              </w:rPr>
              <w:t>0.0035</w:t>
            </w:r>
          </w:p>
        </w:tc>
      </w:tr>
      <w:tr w14:paraId="77A7C361">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16BB9C">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84D013">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03306F71">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F6A100">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47CB71">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24BB3E26">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8CEDCA8">
            <w:pPr>
              <w:widowControl/>
              <w:jc w:val="center"/>
              <w:textAlignment w:val="center"/>
              <w:rPr>
                <w:szCs w:val="21"/>
              </w:rPr>
            </w:pPr>
            <w:r>
              <w:rPr>
                <w:kern w:val="0"/>
                <w:szCs w:val="21"/>
                <w:lang w:bidi="ar"/>
              </w:rPr>
              <w:t>0.00014</w:t>
            </w:r>
          </w:p>
        </w:tc>
      </w:tr>
      <w:tr w14:paraId="39E67DA0">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6E618E08">
            <w:pPr>
              <w:widowControl/>
              <w:jc w:val="center"/>
              <w:textAlignment w:val="center"/>
              <w:rPr>
                <w:szCs w:val="21"/>
              </w:rPr>
            </w:pPr>
            <w:r>
              <w:rPr>
                <w:kern w:val="0"/>
                <w:szCs w:val="21"/>
                <w:lang w:bidi="ar"/>
              </w:rPr>
              <w:t>10</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506EBDD3">
            <w:pPr>
              <w:widowControl/>
              <w:jc w:val="center"/>
              <w:textAlignment w:val="center"/>
              <w:rPr>
                <w:szCs w:val="21"/>
              </w:rPr>
            </w:pPr>
            <w:r>
              <w:rPr>
                <w:kern w:val="0"/>
                <w:szCs w:val="21"/>
                <w:lang w:bidi="ar"/>
              </w:rPr>
              <w:t>5号地（大河边位置）污水处理站</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455F0235">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E04D66">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75EFB5">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23578930">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3C91E371">
            <w:pPr>
              <w:widowControl/>
              <w:jc w:val="center"/>
              <w:textAlignment w:val="center"/>
              <w:rPr>
                <w:szCs w:val="21"/>
              </w:rPr>
            </w:pPr>
            <w:r>
              <w:rPr>
                <w:kern w:val="0"/>
                <w:szCs w:val="21"/>
                <w:lang w:bidi="ar"/>
              </w:rPr>
              <w:t>0.0031</w:t>
            </w:r>
          </w:p>
        </w:tc>
      </w:tr>
      <w:tr w14:paraId="7D5805F8">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A1360B">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FE06A9">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11043942">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46EAC7">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5CE221">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10D9559B">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B69C4DE">
            <w:pPr>
              <w:widowControl/>
              <w:jc w:val="center"/>
              <w:textAlignment w:val="center"/>
              <w:rPr>
                <w:szCs w:val="21"/>
              </w:rPr>
            </w:pPr>
            <w:r>
              <w:rPr>
                <w:kern w:val="0"/>
                <w:szCs w:val="21"/>
                <w:lang w:bidi="ar"/>
              </w:rPr>
              <w:t>0.00012</w:t>
            </w:r>
          </w:p>
        </w:tc>
      </w:tr>
      <w:tr w14:paraId="3EB477CA">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7FDEAAFE">
            <w:pPr>
              <w:widowControl/>
              <w:jc w:val="center"/>
              <w:textAlignment w:val="center"/>
              <w:rPr>
                <w:szCs w:val="21"/>
              </w:rPr>
            </w:pPr>
            <w:r>
              <w:rPr>
                <w:kern w:val="0"/>
                <w:szCs w:val="21"/>
                <w:lang w:bidi="ar"/>
              </w:rPr>
              <w:t>11</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66D61EEA">
            <w:pPr>
              <w:widowControl/>
              <w:jc w:val="center"/>
              <w:textAlignment w:val="center"/>
              <w:rPr>
                <w:szCs w:val="21"/>
              </w:rPr>
            </w:pPr>
            <w:r>
              <w:rPr>
                <w:kern w:val="0"/>
                <w:szCs w:val="21"/>
                <w:lang w:bidi="ar"/>
              </w:rPr>
              <w:t>1号地（盛丰通风井位置）堆肥发酵间</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1B2B2B80">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restart"/>
            <w:tcBorders>
              <w:top w:val="single" w:color="000000" w:sz="4" w:space="0"/>
              <w:left w:val="single" w:color="000000" w:sz="4" w:space="0"/>
              <w:bottom w:val="single" w:color="000000" w:sz="4" w:space="0"/>
              <w:right w:val="single" w:color="000000" w:sz="4" w:space="0"/>
            </w:tcBorders>
            <w:noWrap w:val="0"/>
            <w:vAlign w:val="center"/>
          </w:tcPr>
          <w:p w14:paraId="3D20D5E5">
            <w:pPr>
              <w:widowControl/>
              <w:jc w:val="center"/>
              <w:textAlignment w:val="center"/>
              <w:rPr>
                <w:szCs w:val="21"/>
              </w:rPr>
            </w:pPr>
            <w:r>
              <w:rPr>
                <w:kern w:val="0"/>
                <w:szCs w:val="21"/>
                <w:lang w:bidi="ar"/>
              </w:rPr>
              <w:t>好氧堆肥+喷洒除臭剂+负压收集+UV光解+水帘生物除臭装置</w:t>
            </w: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87A6D">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4137E64D">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3C29E6B">
            <w:pPr>
              <w:widowControl/>
              <w:jc w:val="right"/>
              <w:textAlignment w:val="center"/>
              <w:rPr>
                <w:szCs w:val="21"/>
              </w:rPr>
            </w:pPr>
            <w:r>
              <w:rPr>
                <w:kern w:val="0"/>
                <w:szCs w:val="21"/>
                <w:lang w:bidi="ar"/>
              </w:rPr>
              <w:t>0.0475</w:t>
            </w:r>
          </w:p>
        </w:tc>
      </w:tr>
      <w:tr w14:paraId="28321441">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AE46EA">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39DDA0">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037E9934">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B13C7C">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30349E">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214BBEE">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1BDB6D7">
            <w:pPr>
              <w:widowControl/>
              <w:jc w:val="right"/>
              <w:textAlignment w:val="center"/>
              <w:rPr>
                <w:szCs w:val="21"/>
              </w:rPr>
            </w:pPr>
            <w:r>
              <w:rPr>
                <w:kern w:val="0"/>
                <w:szCs w:val="21"/>
                <w:lang w:bidi="ar"/>
              </w:rPr>
              <w:t>0.0027</w:t>
            </w:r>
          </w:p>
        </w:tc>
      </w:tr>
      <w:tr w14:paraId="4A734E89">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280978E1">
            <w:pPr>
              <w:widowControl/>
              <w:jc w:val="center"/>
              <w:textAlignment w:val="center"/>
              <w:rPr>
                <w:szCs w:val="21"/>
              </w:rPr>
            </w:pPr>
            <w:r>
              <w:rPr>
                <w:kern w:val="0"/>
                <w:szCs w:val="21"/>
                <w:lang w:bidi="ar"/>
              </w:rPr>
              <w:t>12</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422FA1A5">
            <w:pPr>
              <w:widowControl/>
              <w:jc w:val="center"/>
              <w:textAlignment w:val="center"/>
              <w:rPr>
                <w:szCs w:val="21"/>
              </w:rPr>
            </w:pPr>
            <w:r>
              <w:rPr>
                <w:kern w:val="0"/>
                <w:szCs w:val="21"/>
                <w:lang w:bidi="ar"/>
              </w:rPr>
              <w:t>2号（盛丰焦化楼位置）堆肥发酵间</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318B7F3C">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1E2C9">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3FB479">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CE37023">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398ACD6C">
            <w:pPr>
              <w:widowControl/>
              <w:jc w:val="right"/>
              <w:textAlignment w:val="center"/>
              <w:rPr>
                <w:szCs w:val="21"/>
              </w:rPr>
            </w:pPr>
            <w:r>
              <w:rPr>
                <w:kern w:val="0"/>
                <w:szCs w:val="21"/>
                <w:lang w:bidi="ar"/>
              </w:rPr>
              <w:t>0.0949</w:t>
            </w:r>
          </w:p>
        </w:tc>
      </w:tr>
      <w:tr w14:paraId="38C1E61F">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77B5D4">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0235F1">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201E2785">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E554C9">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8AF32A">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04D8CA9F">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3569F04C">
            <w:pPr>
              <w:widowControl/>
              <w:jc w:val="right"/>
              <w:textAlignment w:val="center"/>
              <w:rPr>
                <w:szCs w:val="21"/>
              </w:rPr>
            </w:pPr>
            <w:r>
              <w:rPr>
                <w:kern w:val="0"/>
                <w:szCs w:val="21"/>
                <w:lang w:bidi="ar"/>
              </w:rPr>
              <w:t>0.0055</w:t>
            </w:r>
          </w:p>
        </w:tc>
      </w:tr>
      <w:tr w14:paraId="13F260B1">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365D0194">
            <w:pPr>
              <w:widowControl/>
              <w:jc w:val="center"/>
              <w:textAlignment w:val="center"/>
              <w:rPr>
                <w:szCs w:val="21"/>
              </w:rPr>
            </w:pPr>
            <w:r>
              <w:rPr>
                <w:kern w:val="0"/>
                <w:szCs w:val="21"/>
                <w:lang w:bidi="ar"/>
              </w:rPr>
              <w:t>13</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51C76244">
            <w:pPr>
              <w:widowControl/>
              <w:jc w:val="center"/>
              <w:textAlignment w:val="center"/>
              <w:rPr>
                <w:szCs w:val="21"/>
              </w:rPr>
            </w:pPr>
            <w:r>
              <w:rPr>
                <w:kern w:val="0"/>
                <w:szCs w:val="21"/>
                <w:lang w:bidi="ar"/>
              </w:rPr>
              <w:t>3号地（老井位置）堆肥发酵间</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5B0B2746">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5BC075">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3E171D">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4C5F08E4">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DFE688E">
            <w:pPr>
              <w:widowControl/>
              <w:jc w:val="right"/>
              <w:textAlignment w:val="center"/>
              <w:rPr>
                <w:szCs w:val="21"/>
              </w:rPr>
            </w:pPr>
            <w:r>
              <w:rPr>
                <w:kern w:val="0"/>
                <w:szCs w:val="21"/>
                <w:lang w:bidi="ar"/>
              </w:rPr>
              <w:t>0.0475</w:t>
            </w:r>
          </w:p>
        </w:tc>
      </w:tr>
      <w:tr w14:paraId="0EB9351D">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930270">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B10D82">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79EF4E3C">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187FEE">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C888B2">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25189F0E">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F5FF4B3">
            <w:pPr>
              <w:widowControl/>
              <w:jc w:val="right"/>
              <w:textAlignment w:val="center"/>
              <w:rPr>
                <w:szCs w:val="21"/>
              </w:rPr>
            </w:pPr>
            <w:r>
              <w:rPr>
                <w:kern w:val="0"/>
                <w:szCs w:val="21"/>
                <w:lang w:bidi="ar"/>
              </w:rPr>
              <w:t>0.0027</w:t>
            </w:r>
          </w:p>
        </w:tc>
      </w:tr>
      <w:tr w14:paraId="4BBEC878">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5F3BC6FC">
            <w:pPr>
              <w:widowControl/>
              <w:jc w:val="center"/>
              <w:textAlignment w:val="center"/>
              <w:rPr>
                <w:szCs w:val="21"/>
              </w:rPr>
            </w:pPr>
            <w:r>
              <w:rPr>
                <w:kern w:val="0"/>
                <w:szCs w:val="21"/>
                <w:lang w:bidi="ar"/>
              </w:rPr>
              <w:t>14</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7EEAAF87">
            <w:pPr>
              <w:widowControl/>
              <w:jc w:val="center"/>
              <w:textAlignment w:val="center"/>
              <w:rPr>
                <w:szCs w:val="21"/>
              </w:rPr>
            </w:pPr>
            <w:r>
              <w:rPr>
                <w:kern w:val="0"/>
                <w:szCs w:val="21"/>
                <w:lang w:bidi="ar"/>
              </w:rPr>
              <w:t>4号地（鑫旺板块位置）堆肥发酵间</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5F4C08EA">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25E88D">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62894E">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0CBA0F1">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94D3AB1">
            <w:pPr>
              <w:widowControl/>
              <w:jc w:val="right"/>
              <w:textAlignment w:val="center"/>
              <w:rPr>
                <w:szCs w:val="21"/>
              </w:rPr>
            </w:pPr>
            <w:r>
              <w:rPr>
                <w:kern w:val="0"/>
                <w:szCs w:val="21"/>
                <w:lang w:bidi="ar"/>
              </w:rPr>
              <w:t>0.0949</w:t>
            </w:r>
          </w:p>
        </w:tc>
      </w:tr>
      <w:tr w14:paraId="599BB5D5">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727A67">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CC0AEB">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77A2B93D">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DB5F11">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0DE22A">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05B3B86">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92E94CF">
            <w:pPr>
              <w:widowControl/>
              <w:jc w:val="right"/>
              <w:textAlignment w:val="center"/>
              <w:rPr>
                <w:szCs w:val="21"/>
              </w:rPr>
            </w:pPr>
            <w:r>
              <w:rPr>
                <w:kern w:val="0"/>
                <w:szCs w:val="21"/>
                <w:lang w:bidi="ar"/>
              </w:rPr>
              <w:t>0.0055</w:t>
            </w:r>
          </w:p>
        </w:tc>
      </w:tr>
      <w:tr w14:paraId="050C32CC">
        <w:tblPrEx>
          <w:tblCellMar>
            <w:top w:w="0" w:type="dxa"/>
            <w:left w:w="108" w:type="dxa"/>
            <w:bottom w:w="0" w:type="dxa"/>
            <w:right w:w="108" w:type="dxa"/>
          </w:tblCellMar>
        </w:tblPrEx>
        <w:trPr>
          <w:trHeight w:val="345" w:hRule="atLeast"/>
        </w:trPr>
        <w:tc>
          <w:tcPr>
            <w:tcW w:w="405" w:type="pct"/>
            <w:vMerge w:val="restart"/>
            <w:tcBorders>
              <w:top w:val="single" w:color="000000" w:sz="4" w:space="0"/>
              <w:left w:val="single" w:color="000000" w:sz="4" w:space="0"/>
              <w:bottom w:val="single" w:color="000000" w:sz="4" w:space="0"/>
              <w:right w:val="single" w:color="000000" w:sz="4" w:space="0"/>
            </w:tcBorders>
            <w:noWrap w:val="0"/>
            <w:vAlign w:val="center"/>
          </w:tcPr>
          <w:p w14:paraId="37063D17">
            <w:pPr>
              <w:widowControl/>
              <w:jc w:val="center"/>
              <w:textAlignment w:val="center"/>
              <w:rPr>
                <w:szCs w:val="21"/>
              </w:rPr>
            </w:pPr>
            <w:r>
              <w:rPr>
                <w:kern w:val="0"/>
                <w:szCs w:val="21"/>
                <w:lang w:bidi="ar"/>
              </w:rPr>
              <w:t>15</w:t>
            </w:r>
          </w:p>
        </w:tc>
        <w:tc>
          <w:tcPr>
            <w:tcW w:w="808" w:type="pct"/>
            <w:vMerge w:val="restart"/>
            <w:tcBorders>
              <w:top w:val="single" w:color="000000" w:sz="4" w:space="0"/>
              <w:left w:val="single" w:color="000000" w:sz="4" w:space="0"/>
              <w:bottom w:val="single" w:color="000000" w:sz="4" w:space="0"/>
              <w:right w:val="single" w:color="000000" w:sz="4" w:space="0"/>
            </w:tcBorders>
            <w:noWrap w:val="0"/>
            <w:vAlign w:val="center"/>
          </w:tcPr>
          <w:p w14:paraId="1E0E104C">
            <w:pPr>
              <w:widowControl/>
              <w:jc w:val="center"/>
              <w:textAlignment w:val="center"/>
              <w:rPr>
                <w:szCs w:val="21"/>
              </w:rPr>
            </w:pPr>
            <w:r>
              <w:rPr>
                <w:kern w:val="0"/>
                <w:szCs w:val="21"/>
                <w:lang w:bidi="ar"/>
              </w:rPr>
              <w:t>5号地（大河边位置）堆肥发酵间</w:t>
            </w: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6A31CCC8">
            <w:pPr>
              <w:widowControl/>
              <w:jc w:val="center"/>
              <w:textAlignment w:val="center"/>
              <w:rPr>
                <w:szCs w:val="21"/>
              </w:rPr>
            </w:pPr>
            <w:r>
              <w:rPr>
                <w:kern w:val="0"/>
                <w:szCs w:val="21"/>
                <w:lang w:bidi="ar"/>
              </w:rPr>
              <w:t>NH</w:t>
            </w:r>
            <w:r>
              <w:rPr>
                <w:kern w:val="0"/>
                <w:szCs w:val="21"/>
                <w:vertAlign w:val="subscript"/>
                <w:lang w:bidi="ar"/>
              </w:rPr>
              <w:t>3</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15C5BB">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943100">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78CAF84">
            <w:pPr>
              <w:widowControl/>
              <w:jc w:val="center"/>
              <w:textAlignment w:val="center"/>
              <w:rPr>
                <w:szCs w:val="21"/>
              </w:rPr>
            </w:pPr>
            <w:r>
              <w:rPr>
                <w:kern w:val="0"/>
                <w:szCs w:val="21"/>
                <w:lang w:bidi="ar"/>
              </w:rPr>
              <w:t>1.5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DFA8E04">
            <w:pPr>
              <w:widowControl/>
              <w:jc w:val="right"/>
              <w:textAlignment w:val="center"/>
              <w:rPr>
                <w:szCs w:val="21"/>
              </w:rPr>
            </w:pPr>
            <w:r>
              <w:rPr>
                <w:kern w:val="0"/>
                <w:szCs w:val="21"/>
                <w:lang w:bidi="ar"/>
              </w:rPr>
              <w:t>0.0759</w:t>
            </w:r>
          </w:p>
        </w:tc>
      </w:tr>
      <w:tr w14:paraId="2277F124">
        <w:tblPrEx>
          <w:tblCellMar>
            <w:top w:w="0" w:type="dxa"/>
            <w:left w:w="108" w:type="dxa"/>
            <w:bottom w:w="0" w:type="dxa"/>
            <w:right w:w="108" w:type="dxa"/>
          </w:tblCellMar>
        </w:tblPrEx>
        <w:trPr>
          <w:trHeight w:val="345" w:hRule="atLeast"/>
        </w:trPr>
        <w:tc>
          <w:tcPr>
            <w:tcW w:w="4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D5BDFE">
            <w:pPr>
              <w:jc w:val="center"/>
              <w:rPr>
                <w:szCs w:val="21"/>
              </w:rPr>
            </w:pPr>
          </w:p>
        </w:tc>
        <w:tc>
          <w:tcPr>
            <w:tcW w:w="8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44497A">
            <w:pPr>
              <w:jc w:val="center"/>
              <w:rPr>
                <w:szCs w:val="21"/>
              </w:rPr>
            </w:pPr>
          </w:p>
        </w:tc>
        <w:tc>
          <w:tcPr>
            <w:tcW w:w="708" w:type="pct"/>
            <w:tcBorders>
              <w:top w:val="single" w:color="000000" w:sz="4" w:space="0"/>
              <w:left w:val="single" w:color="000000" w:sz="4" w:space="0"/>
              <w:bottom w:val="single" w:color="000000" w:sz="4" w:space="0"/>
              <w:right w:val="single" w:color="000000" w:sz="4" w:space="0"/>
            </w:tcBorders>
            <w:noWrap w:val="0"/>
            <w:vAlign w:val="center"/>
          </w:tcPr>
          <w:p w14:paraId="05CB64B3">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1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971922">
            <w:pPr>
              <w:jc w:val="center"/>
              <w:rPr>
                <w:szCs w:val="21"/>
              </w:rPr>
            </w:pPr>
          </w:p>
        </w:tc>
        <w:tc>
          <w:tcPr>
            <w:tcW w:w="69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E83687">
            <w:pPr>
              <w:jc w:val="center"/>
              <w:rPr>
                <w:szCs w:val="21"/>
              </w:rPr>
            </w:pP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30383364">
            <w:pPr>
              <w:widowControl/>
              <w:jc w:val="center"/>
              <w:textAlignment w:val="center"/>
              <w:rPr>
                <w:szCs w:val="21"/>
              </w:rPr>
            </w:pPr>
            <w:r>
              <w:rPr>
                <w:kern w:val="0"/>
                <w:szCs w:val="21"/>
                <w:lang w:bidi="ar"/>
              </w:rPr>
              <w:t>0.06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8073B1B">
            <w:pPr>
              <w:widowControl/>
              <w:jc w:val="right"/>
              <w:textAlignment w:val="center"/>
              <w:rPr>
                <w:szCs w:val="21"/>
              </w:rPr>
            </w:pPr>
            <w:r>
              <w:rPr>
                <w:kern w:val="0"/>
                <w:szCs w:val="21"/>
                <w:lang w:bidi="ar"/>
              </w:rPr>
              <w:t>0.0044</w:t>
            </w:r>
          </w:p>
        </w:tc>
      </w:tr>
      <w:tr w14:paraId="31864A97">
        <w:tblPrEx>
          <w:tblCellMar>
            <w:top w:w="0" w:type="dxa"/>
            <w:left w:w="108" w:type="dxa"/>
            <w:bottom w:w="0" w:type="dxa"/>
            <w:right w:w="108" w:type="dxa"/>
          </w:tblCellMar>
        </w:tblPrEx>
        <w:trPr>
          <w:trHeight w:val="285" w:hRule="atLeast"/>
        </w:trPr>
        <w:tc>
          <w:tcPr>
            <w:tcW w:w="5000" w:type="pct"/>
            <w:gridSpan w:val="7"/>
            <w:tcBorders>
              <w:top w:val="single" w:color="000000" w:sz="4" w:space="0"/>
              <w:left w:val="single" w:color="000000" w:sz="4" w:space="0"/>
              <w:bottom w:val="single" w:color="000000" w:sz="4" w:space="0"/>
              <w:right w:val="single" w:color="000000" w:sz="4" w:space="0"/>
            </w:tcBorders>
            <w:noWrap w:val="0"/>
            <w:vAlign w:val="center"/>
          </w:tcPr>
          <w:p w14:paraId="509009CE">
            <w:pPr>
              <w:widowControl/>
              <w:jc w:val="center"/>
              <w:textAlignment w:val="center"/>
              <w:rPr>
                <w:szCs w:val="21"/>
              </w:rPr>
            </w:pPr>
            <w:r>
              <w:rPr>
                <w:kern w:val="0"/>
                <w:szCs w:val="21"/>
                <w:lang w:bidi="ar"/>
              </w:rPr>
              <w:t>全厂无组织排放总计</w:t>
            </w:r>
          </w:p>
        </w:tc>
      </w:tr>
      <w:tr w14:paraId="724AF005">
        <w:tblPrEx>
          <w:tblCellMar>
            <w:top w:w="0" w:type="dxa"/>
            <w:left w:w="108" w:type="dxa"/>
            <w:bottom w:w="0" w:type="dxa"/>
            <w:right w:w="108" w:type="dxa"/>
          </w:tblCellMar>
        </w:tblPrEx>
        <w:trPr>
          <w:trHeight w:val="247" w:hRule="atLeast"/>
        </w:trPr>
        <w:tc>
          <w:tcPr>
            <w:tcW w:w="1922"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34889F1F">
            <w:pPr>
              <w:widowControl/>
              <w:jc w:val="center"/>
              <w:textAlignment w:val="center"/>
              <w:rPr>
                <w:szCs w:val="21"/>
              </w:rPr>
            </w:pPr>
            <w:r>
              <w:rPr>
                <w:kern w:val="0"/>
                <w:szCs w:val="21"/>
                <w:lang w:bidi="ar"/>
              </w:rPr>
              <w:t>全厂无组织排放总计</w:t>
            </w:r>
          </w:p>
        </w:tc>
        <w:tc>
          <w:tcPr>
            <w:tcW w:w="1826" w:type="pct"/>
            <w:gridSpan w:val="2"/>
            <w:tcBorders>
              <w:top w:val="single" w:color="000000" w:sz="4" w:space="0"/>
              <w:left w:val="single" w:color="000000" w:sz="4" w:space="0"/>
              <w:bottom w:val="single" w:color="000000" w:sz="4" w:space="0"/>
              <w:right w:val="single" w:color="000000" w:sz="4" w:space="0"/>
            </w:tcBorders>
            <w:noWrap w:val="0"/>
            <w:vAlign w:val="center"/>
          </w:tcPr>
          <w:p w14:paraId="7D587FB0">
            <w:pPr>
              <w:widowControl/>
              <w:jc w:val="center"/>
              <w:textAlignment w:val="center"/>
              <w:rPr>
                <w:szCs w:val="21"/>
              </w:rPr>
            </w:pPr>
            <w:r>
              <w:rPr>
                <w:kern w:val="0"/>
                <w:szCs w:val="21"/>
                <w:lang w:bidi="ar"/>
              </w:rPr>
              <w:t>NH</w:t>
            </w:r>
            <w:r>
              <w:rPr>
                <w:kern w:val="0"/>
                <w:szCs w:val="21"/>
                <w:vertAlign w:val="subscript"/>
                <w:lang w:bidi="ar"/>
              </w:rPr>
              <w:t>3</w:t>
            </w:r>
          </w:p>
        </w:tc>
        <w:tc>
          <w:tcPr>
            <w:tcW w:w="1251" w:type="pct"/>
            <w:gridSpan w:val="2"/>
            <w:tcBorders>
              <w:top w:val="single" w:color="000000" w:sz="4" w:space="0"/>
              <w:left w:val="single" w:color="000000" w:sz="4" w:space="0"/>
              <w:bottom w:val="single" w:color="000000" w:sz="4" w:space="0"/>
              <w:right w:val="single" w:color="000000" w:sz="4" w:space="0"/>
            </w:tcBorders>
            <w:noWrap w:val="0"/>
            <w:vAlign w:val="center"/>
          </w:tcPr>
          <w:p w14:paraId="7F20B678">
            <w:pPr>
              <w:widowControl/>
              <w:jc w:val="center"/>
              <w:textAlignment w:val="center"/>
              <w:rPr>
                <w:szCs w:val="21"/>
              </w:rPr>
            </w:pPr>
            <w:r>
              <w:rPr>
                <w:kern w:val="0"/>
                <w:szCs w:val="21"/>
                <w:lang w:bidi="ar"/>
              </w:rPr>
              <w:t>1.1162</w:t>
            </w:r>
          </w:p>
        </w:tc>
      </w:tr>
      <w:tr w14:paraId="0B0361C2">
        <w:tblPrEx>
          <w:tblCellMar>
            <w:top w:w="0" w:type="dxa"/>
            <w:left w:w="108" w:type="dxa"/>
            <w:bottom w:w="0" w:type="dxa"/>
            <w:right w:w="108" w:type="dxa"/>
          </w:tblCellMar>
        </w:tblPrEx>
        <w:trPr>
          <w:trHeight w:val="285" w:hRule="atLeast"/>
        </w:trPr>
        <w:tc>
          <w:tcPr>
            <w:tcW w:w="1922"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CD986AE">
            <w:pPr>
              <w:jc w:val="center"/>
              <w:rPr>
                <w:szCs w:val="21"/>
              </w:rPr>
            </w:pPr>
          </w:p>
        </w:tc>
        <w:tc>
          <w:tcPr>
            <w:tcW w:w="1826" w:type="pct"/>
            <w:gridSpan w:val="2"/>
            <w:tcBorders>
              <w:top w:val="single" w:color="000000" w:sz="4" w:space="0"/>
              <w:left w:val="single" w:color="000000" w:sz="4" w:space="0"/>
              <w:bottom w:val="single" w:color="000000" w:sz="4" w:space="0"/>
              <w:right w:val="single" w:color="000000" w:sz="4" w:space="0"/>
            </w:tcBorders>
            <w:noWrap w:val="0"/>
            <w:vAlign w:val="center"/>
          </w:tcPr>
          <w:p w14:paraId="104D33F9">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251" w:type="pct"/>
            <w:gridSpan w:val="2"/>
            <w:tcBorders>
              <w:top w:val="single" w:color="000000" w:sz="4" w:space="0"/>
              <w:left w:val="single" w:color="000000" w:sz="4" w:space="0"/>
              <w:bottom w:val="single" w:color="000000" w:sz="4" w:space="0"/>
              <w:right w:val="single" w:color="000000" w:sz="4" w:space="0"/>
            </w:tcBorders>
            <w:noWrap w:val="0"/>
            <w:vAlign w:val="center"/>
          </w:tcPr>
          <w:p w14:paraId="51007F12">
            <w:pPr>
              <w:widowControl/>
              <w:jc w:val="center"/>
              <w:textAlignment w:val="center"/>
              <w:rPr>
                <w:szCs w:val="21"/>
              </w:rPr>
            </w:pPr>
            <w:r>
              <w:rPr>
                <w:kern w:val="0"/>
                <w:szCs w:val="21"/>
                <w:lang w:bidi="ar"/>
              </w:rPr>
              <w:t>0.0850</w:t>
            </w:r>
          </w:p>
        </w:tc>
      </w:tr>
    </w:tbl>
    <w:p w14:paraId="7CE50F55">
      <w:pPr>
        <w:pStyle w:val="47"/>
        <w:rPr>
          <w:rFonts w:ascii="Times New Roman" w:hAnsi="Times New Roman" w:cs="Times New Roman"/>
        </w:rPr>
      </w:pPr>
    </w:p>
    <w:p w14:paraId="2FB8824D">
      <w:pPr>
        <w:topLinePunct/>
        <w:adjustRightInd w:val="0"/>
        <w:snapToGrid w:val="0"/>
        <w:spacing w:line="360" w:lineRule="auto"/>
        <w:ind w:firstLine="482" w:firstLineChars="200"/>
        <w:rPr>
          <w:b/>
          <w:sz w:val="24"/>
        </w:rPr>
      </w:pPr>
      <w:r>
        <w:rPr>
          <w:b/>
          <w:sz w:val="24"/>
        </w:rPr>
        <w:t>（3）大气污染物年排放量核算表</w:t>
      </w:r>
    </w:p>
    <w:p w14:paraId="6CDA10E6">
      <w:pPr>
        <w:adjustRightInd w:val="0"/>
        <w:snapToGrid w:val="0"/>
        <w:spacing w:line="360" w:lineRule="auto"/>
        <w:ind w:firstLine="480" w:firstLineChars="200"/>
        <w:rPr>
          <w:sz w:val="24"/>
        </w:rPr>
      </w:pPr>
      <w:r>
        <w:rPr>
          <w:sz w:val="24"/>
        </w:rPr>
        <w:t>建设项目运营过程中大气污染年排放量核算详见下表。</w:t>
      </w:r>
    </w:p>
    <w:p w14:paraId="109B714B">
      <w:pPr>
        <w:spacing w:line="360" w:lineRule="auto"/>
        <w:ind w:firstLine="482" w:firstLineChars="200"/>
        <w:jc w:val="center"/>
        <w:rPr>
          <w:b/>
          <w:sz w:val="24"/>
        </w:rPr>
      </w:pPr>
      <w:r>
        <w:rPr>
          <w:b/>
          <w:sz w:val="24"/>
        </w:rPr>
        <w:t>表5.2-12 大气污染年排放量核算表</w:t>
      </w:r>
    </w:p>
    <w:tbl>
      <w:tblPr>
        <w:tblStyle w:val="87"/>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444"/>
        <w:gridCol w:w="3445"/>
        <w:gridCol w:w="3445"/>
      </w:tblGrid>
      <w:tr w14:paraId="22E7CF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14:paraId="755AD20C">
            <w:pPr>
              <w:jc w:val="center"/>
              <w:rPr>
                <w:szCs w:val="21"/>
              </w:rPr>
            </w:pPr>
            <w:r>
              <w:rPr>
                <w:szCs w:val="21"/>
              </w:rPr>
              <w:t>序号</w:t>
            </w:r>
          </w:p>
        </w:tc>
        <w:tc>
          <w:tcPr>
            <w:tcW w:w="1666" w:type="pct"/>
            <w:noWrap w:val="0"/>
            <w:vAlign w:val="center"/>
          </w:tcPr>
          <w:p w14:paraId="2914A90E">
            <w:pPr>
              <w:jc w:val="center"/>
              <w:rPr>
                <w:szCs w:val="21"/>
              </w:rPr>
            </w:pPr>
            <w:r>
              <w:rPr>
                <w:szCs w:val="21"/>
              </w:rPr>
              <w:t>污染物</w:t>
            </w:r>
          </w:p>
        </w:tc>
        <w:tc>
          <w:tcPr>
            <w:tcW w:w="1666" w:type="pct"/>
            <w:noWrap w:val="0"/>
            <w:vAlign w:val="center"/>
          </w:tcPr>
          <w:p w14:paraId="6C517CD9">
            <w:pPr>
              <w:jc w:val="center"/>
              <w:rPr>
                <w:szCs w:val="21"/>
              </w:rPr>
            </w:pPr>
            <w:r>
              <w:rPr>
                <w:szCs w:val="21"/>
              </w:rPr>
              <w:t>年排放量（t/a）</w:t>
            </w:r>
          </w:p>
        </w:tc>
      </w:tr>
      <w:tr w14:paraId="709B6B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14:paraId="05EB456A">
            <w:pPr>
              <w:jc w:val="center"/>
              <w:rPr>
                <w:szCs w:val="21"/>
              </w:rPr>
            </w:pPr>
            <w:r>
              <w:rPr>
                <w:szCs w:val="21"/>
              </w:rPr>
              <w:t>1</w:t>
            </w:r>
          </w:p>
        </w:tc>
        <w:tc>
          <w:tcPr>
            <w:tcW w:w="1666" w:type="pct"/>
            <w:noWrap w:val="0"/>
            <w:vAlign w:val="center"/>
          </w:tcPr>
          <w:p w14:paraId="14F8C2C7">
            <w:pPr>
              <w:widowControl/>
              <w:jc w:val="center"/>
              <w:textAlignment w:val="center"/>
              <w:rPr>
                <w:szCs w:val="21"/>
              </w:rPr>
            </w:pPr>
            <w:r>
              <w:rPr>
                <w:kern w:val="0"/>
                <w:szCs w:val="21"/>
                <w:lang w:bidi="ar"/>
              </w:rPr>
              <w:t>NH</w:t>
            </w:r>
            <w:r>
              <w:rPr>
                <w:kern w:val="0"/>
                <w:szCs w:val="21"/>
                <w:vertAlign w:val="subscript"/>
                <w:lang w:bidi="ar"/>
              </w:rPr>
              <w:t>3</w:t>
            </w:r>
          </w:p>
        </w:tc>
        <w:tc>
          <w:tcPr>
            <w:tcW w:w="1666" w:type="pct"/>
            <w:noWrap w:val="0"/>
            <w:vAlign w:val="center"/>
          </w:tcPr>
          <w:p w14:paraId="07333EE9">
            <w:pPr>
              <w:jc w:val="center"/>
              <w:rPr>
                <w:szCs w:val="21"/>
              </w:rPr>
            </w:pPr>
            <w:r>
              <w:rPr>
                <w:szCs w:val="21"/>
              </w:rPr>
              <w:t>1.1477</w:t>
            </w:r>
          </w:p>
        </w:tc>
      </w:tr>
      <w:tr w14:paraId="19B534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14:paraId="4C2A6B76">
            <w:pPr>
              <w:jc w:val="center"/>
              <w:rPr>
                <w:szCs w:val="21"/>
              </w:rPr>
            </w:pPr>
            <w:r>
              <w:rPr>
                <w:szCs w:val="21"/>
              </w:rPr>
              <w:t>2</w:t>
            </w:r>
          </w:p>
        </w:tc>
        <w:tc>
          <w:tcPr>
            <w:tcW w:w="1666" w:type="pct"/>
            <w:noWrap w:val="0"/>
            <w:vAlign w:val="center"/>
          </w:tcPr>
          <w:p w14:paraId="47799C5E">
            <w:pPr>
              <w:widowControl/>
              <w:jc w:val="center"/>
              <w:textAlignment w:val="center"/>
              <w:rPr>
                <w:szCs w:val="21"/>
              </w:rPr>
            </w:pPr>
            <w:r>
              <w:rPr>
                <w:kern w:val="0"/>
                <w:szCs w:val="21"/>
                <w:lang w:bidi="ar"/>
              </w:rPr>
              <w:t>H</w:t>
            </w:r>
            <w:r>
              <w:rPr>
                <w:kern w:val="0"/>
                <w:szCs w:val="21"/>
                <w:vertAlign w:val="subscript"/>
                <w:lang w:bidi="ar"/>
              </w:rPr>
              <w:t>2</w:t>
            </w:r>
            <w:r>
              <w:rPr>
                <w:kern w:val="0"/>
                <w:szCs w:val="21"/>
                <w:lang w:bidi="ar"/>
              </w:rPr>
              <w:t>S</w:t>
            </w:r>
          </w:p>
        </w:tc>
        <w:tc>
          <w:tcPr>
            <w:tcW w:w="1666" w:type="pct"/>
            <w:noWrap w:val="0"/>
            <w:vAlign w:val="center"/>
          </w:tcPr>
          <w:p w14:paraId="7140B997">
            <w:pPr>
              <w:jc w:val="center"/>
              <w:rPr>
                <w:szCs w:val="21"/>
              </w:rPr>
            </w:pPr>
            <w:r>
              <w:rPr>
                <w:kern w:val="0"/>
                <w:szCs w:val="21"/>
                <w:lang w:bidi="ar"/>
              </w:rPr>
              <w:t>0.0850</w:t>
            </w:r>
          </w:p>
        </w:tc>
      </w:tr>
    </w:tbl>
    <w:p w14:paraId="4B4472A0">
      <w:pPr>
        <w:spacing w:line="360" w:lineRule="auto"/>
        <w:ind w:firstLine="480" w:firstLineChars="200"/>
        <w:rPr>
          <w:sz w:val="24"/>
        </w:rPr>
      </w:pPr>
    </w:p>
    <w:p w14:paraId="506BF216">
      <w:pPr>
        <w:spacing w:line="360" w:lineRule="auto"/>
        <w:ind w:firstLine="482" w:firstLineChars="200"/>
        <w:rPr>
          <w:b/>
          <w:bCs/>
          <w:sz w:val="24"/>
        </w:rPr>
      </w:pPr>
      <w:r>
        <w:rPr>
          <w:b/>
          <w:bCs/>
          <w:sz w:val="24"/>
        </w:rPr>
        <w:t>5.2.1.4防护距离分析</w:t>
      </w:r>
    </w:p>
    <w:p w14:paraId="488BAC43">
      <w:pPr>
        <w:spacing w:line="360" w:lineRule="auto"/>
        <w:ind w:firstLine="482" w:firstLineChars="200"/>
        <w:rPr>
          <w:b/>
          <w:bCs/>
          <w:sz w:val="24"/>
        </w:rPr>
      </w:pPr>
      <w:r>
        <w:rPr>
          <w:b/>
          <w:bCs/>
          <w:sz w:val="24"/>
        </w:rPr>
        <w:t>（1）大气防护距离分析</w:t>
      </w:r>
    </w:p>
    <w:p w14:paraId="482B0AD5">
      <w:pPr>
        <w:spacing w:line="360" w:lineRule="auto"/>
        <w:ind w:firstLine="480" w:firstLineChars="200"/>
        <w:rPr>
          <w:sz w:val="24"/>
        </w:rPr>
      </w:pPr>
      <w:r>
        <w:rPr>
          <w:sz w:val="24"/>
        </w:rPr>
        <w:t>根据《畜禽养殖业污染防治技术规范》（HJ/T81-2001）中要求，养殖区场界与禁建区域（包括生活饮用水水源保护区、风景名胜区、自然保护区的核心区及缓冲区；城市和城镇居民区，包括文教科研区、医疗区、商业区、工业区、游览区等人口集中地区；县级人民政府依法划定的禁养区域；国家或地方法律、法规规定需特殊保护的其它区域）边界的最小距离不得小于 500m。</w:t>
      </w:r>
    </w:p>
    <w:p w14:paraId="16371EF4">
      <w:pPr>
        <w:spacing w:line="360" w:lineRule="auto"/>
        <w:ind w:firstLine="480" w:firstLineChars="200"/>
        <w:rPr>
          <w:sz w:val="24"/>
        </w:rPr>
      </w:pPr>
      <w:r>
        <w:rPr>
          <w:sz w:val="24"/>
        </w:rPr>
        <w:t>本项目建设场址地处乡村，评价范围不涉及风景名胜区、自然保护区的核心区及缓冲区，项目周边 500m内也无生活饮用水水源保护区、城市和城镇居民区， 距离公路、铁路等主要交通干线，因此项目选址符合《畜禽养殖业污染防治技术规范》（HJ/T81-2001）要求。</w:t>
      </w:r>
    </w:p>
    <w:p w14:paraId="07C81811">
      <w:pPr>
        <w:spacing w:line="360" w:lineRule="auto"/>
        <w:ind w:firstLine="480" w:firstLineChars="200"/>
        <w:rPr>
          <w:sz w:val="24"/>
        </w:rPr>
      </w:pPr>
      <w:r>
        <w:rPr>
          <w:sz w:val="24"/>
        </w:rPr>
        <w:t>根据原环保部部长信箱“关于畜禽养殖业选址问题的回复”：《畜禽养殖业污染防治技术规范》（HJ/T81-2001）属于推荐性的环境保护技术规范类标准，该技术规范 3.1.2 规定：禁止在城市和城镇居民区、包括文教科研区、医疗区、商业区、工业区、游览区等人口集中地区建设畜禽养殖场。村屯居民区不属于城市和城镇居民区；因此，不属于该技术规范 3.1.2 规定的人口集中区。对于养殖场于农村居民区之间的距离，养殖场在建设时应开展环境影响评价，根据当地的地理、环境及气象等因素确定与居民区之间的距离。</w:t>
      </w:r>
    </w:p>
    <w:p w14:paraId="114B78CD">
      <w:pPr>
        <w:spacing w:line="360" w:lineRule="auto"/>
        <w:ind w:firstLine="480" w:firstLineChars="200"/>
        <w:rPr>
          <w:sz w:val="24"/>
        </w:rPr>
      </w:pPr>
      <w:r>
        <w:rPr>
          <w:sz w:val="24"/>
        </w:rPr>
        <w:t>项目大河边板块养殖区厂界外 500m 范围内有法块村（最近距离290m），旺鑫板块养殖区厂界外 500m 范围内有芋头得村（最近距离400m），不属于城市和城镇居民区。按照《关于做好畜禽规模养殖项目环境影响评价管理工作的通知》（环办环评〔2018〕31 号）要求“参照《畜禽养殖业污染防治技术规范》并根据恶臭污染物无组织排放源强，以及当地的环境及气象等因素，按照《环境影响评价技术导则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p w14:paraId="0E5C5B09">
      <w:pPr>
        <w:spacing w:line="360" w:lineRule="auto"/>
        <w:ind w:firstLine="480" w:firstLineChars="200"/>
        <w:rPr>
          <w:sz w:val="24"/>
        </w:rPr>
      </w:pPr>
      <w:r>
        <w:rPr>
          <w:sz w:val="24"/>
        </w:rPr>
        <w:t>根据《环境影响评价技术导则  大气环境》（HJ2.2-2018）：“对于项目厂界浓度满足大气污染物厂界浓度限值，但厂界外大气污染物短期贡献值浓度超过环境质量浓度限值的，可以自厂界向外设置一定范围的大气环境防护区域，以确保大气环境防护区域外的污染物贡献浓度满足环境质量标准。”“采用进一步预测模型模拟评价基准年内，本项目所有污染源对厂界外主要污染物的短期贡献浓度分布。”“在底图上标注从厂界起所有超过环境质量短期浓度标准值的网格区域， 以自厂界起至超标区域的最远垂直距离作为大气环境防护距离。”</w:t>
      </w:r>
    </w:p>
    <w:p w14:paraId="5932D80F">
      <w:pPr>
        <w:spacing w:line="360" w:lineRule="auto"/>
        <w:ind w:firstLine="480" w:firstLineChars="200"/>
      </w:pPr>
      <w:r>
        <w:rPr>
          <w:sz w:val="24"/>
        </w:rPr>
        <w:t>根据 HJ2.2-2018 附录 A 推荐模型中的 AERSCREEN 模式，项目厂界外大气污染物短期贡献值浓度满足《环境影响评价技术导则-大气环境》 HJ 2.2-2018 附录 D 环境质量浓度限值，故不需设置大气环境防护距离。</w:t>
      </w:r>
    </w:p>
    <w:p w14:paraId="5FC781C9">
      <w:pPr>
        <w:spacing w:line="360" w:lineRule="auto"/>
        <w:ind w:firstLine="480" w:firstLineChars="200"/>
        <w:rPr>
          <w:sz w:val="24"/>
        </w:rPr>
      </w:pPr>
      <w:r>
        <w:rPr>
          <w:sz w:val="24"/>
        </w:rPr>
        <w:t>（2）卫生防护距离</w:t>
      </w:r>
    </w:p>
    <w:p w14:paraId="5C46E417">
      <w:pPr>
        <w:spacing w:line="360" w:lineRule="auto"/>
        <w:ind w:firstLine="480" w:firstLineChars="200"/>
        <w:rPr>
          <w:sz w:val="24"/>
        </w:rPr>
      </w:pPr>
      <w:r>
        <w:rPr>
          <w:sz w:val="24"/>
        </w:rPr>
        <w:t>根据《 大气有害物质无组织排放卫生防护距离推导技术导则》（GB/T 39499-2020）的有关规定，确定无组织排放的卫生防护距离，可由下式计算：</w:t>
      </w:r>
    </w:p>
    <w:p w14:paraId="4D62FFAA">
      <w:pPr>
        <w:autoSpaceDE w:val="0"/>
        <w:autoSpaceDN w:val="0"/>
        <w:adjustRightInd w:val="0"/>
        <w:spacing w:line="360" w:lineRule="auto"/>
        <w:ind w:firstLine="480" w:firstLineChars="200"/>
        <w:jc w:val="center"/>
        <w:rPr>
          <w:kern w:val="0"/>
          <w:sz w:val="24"/>
        </w:rPr>
      </w:pPr>
      <w:r>
        <w:rPr>
          <w:position w:val="-30"/>
          <w:sz w:val="24"/>
        </w:rPr>
        <w:object>
          <v:shape id="_x0000_i1041" o:spt="75" type="#_x0000_t75" style="height:34pt;width:137pt;" o:ole="t" filled="f" o:preferrelative="t" stroked="f" coordsize="21600,21600">
            <v:path/>
            <v:fill on="f" focussize="0,0"/>
            <v:stroke on="f"/>
            <v:imagedata r:id="rId45" o:title=""/>
            <o:lock v:ext="edit" aspectratio="t"/>
            <w10:wrap type="none"/>
            <w10:anchorlock/>
          </v:shape>
          <o:OLEObject Type="Embed" ProgID="Equation.KSEE3" ShapeID="_x0000_i1041" DrawAspect="Content" ObjectID="_1468075737" r:id="rId44">
            <o:LockedField>false</o:LockedField>
          </o:OLEObject>
        </w:object>
      </w:r>
    </w:p>
    <w:p w14:paraId="5FDBC923">
      <w:pPr>
        <w:spacing w:line="360" w:lineRule="auto"/>
        <w:ind w:firstLine="480" w:firstLineChars="200"/>
        <w:rPr>
          <w:sz w:val="24"/>
        </w:rPr>
      </w:pPr>
      <w:r>
        <w:rPr>
          <w:sz w:val="24"/>
        </w:rPr>
        <w:t>式中：</w:t>
      </w:r>
    </w:p>
    <w:p w14:paraId="6CE233FC">
      <w:pPr>
        <w:spacing w:line="360" w:lineRule="auto"/>
        <w:ind w:firstLine="480" w:firstLineChars="200"/>
        <w:rPr>
          <w:sz w:val="24"/>
        </w:rPr>
      </w:pPr>
      <w:r>
        <w:rPr>
          <w:sz w:val="24"/>
        </w:rPr>
        <w:t xml:space="preserve">L——工业企业所需卫生防护距离，m； </w:t>
      </w:r>
    </w:p>
    <w:p w14:paraId="632D122C">
      <w:pPr>
        <w:spacing w:line="360" w:lineRule="auto"/>
        <w:ind w:firstLine="480" w:firstLineChars="200"/>
        <w:rPr>
          <w:sz w:val="24"/>
        </w:rPr>
      </w:pPr>
      <w:r>
        <w:rPr>
          <w:sz w:val="24"/>
        </w:rPr>
        <w:t>r——有害气体无组织排放源所在生产单元的等效半径，m。根据该生产单元占地面积S（m</w:t>
      </w:r>
      <w:r>
        <w:rPr>
          <w:sz w:val="24"/>
          <w:vertAlign w:val="superscript"/>
        </w:rPr>
        <w:t>2</w:t>
      </w:r>
      <w:r>
        <w:rPr>
          <w:sz w:val="24"/>
        </w:rPr>
        <w:t>）计算；</w:t>
      </w:r>
    </w:p>
    <w:p w14:paraId="3D20A94F">
      <w:pPr>
        <w:spacing w:line="360" w:lineRule="auto"/>
        <w:ind w:firstLine="480" w:firstLineChars="200"/>
        <w:rPr>
          <w:sz w:val="24"/>
        </w:rPr>
      </w:pPr>
      <w:r>
        <w:rPr>
          <w:sz w:val="24"/>
        </w:rPr>
        <w:t>A、B、C、D——卫生防护距离计算系数，无因次，根据工业企业所在地区近五年平均风速及工业企业大气污染源构成类别从表5查取。</w:t>
      </w:r>
    </w:p>
    <w:p w14:paraId="15D64888">
      <w:pPr>
        <w:spacing w:line="360" w:lineRule="auto"/>
        <w:ind w:firstLine="480" w:firstLineChars="200"/>
        <w:rPr>
          <w:sz w:val="24"/>
        </w:rPr>
      </w:pPr>
      <w:r>
        <w:rPr>
          <w:sz w:val="24"/>
        </w:rPr>
        <w:t>Qc——工业企业有害气体无组织排放量可以达到的控制水平。</w:t>
      </w:r>
    </w:p>
    <w:p w14:paraId="7723E512">
      <w:pPr>
        <w:spacing w:line="360" w:lineRule="auto"/>
        <w:ind w:firstLine="480" w:firstLineChars="200"/>
        <w:rPr>
          <w:sz w:val="24"/>
        </w:rPr>
      </w:pPr>
      <w:r>
        <w:rPr>
          <w:sz w:val="24"/>
        </w:rPr>
        <w:t>Cm——标准浓度限值，mg/m</w:t>
      </w:r>
      <w:r>
        <w:rPr>
          <w:sz w:val="24"/>
          <w:vertAlign w:val="superscript"/>
        </w:rPr>
        <w:t>3</w:t>
      </w:r>
      <w:r>
        <w:rPr>
          <w:sz w:val="24"/>
        </w:rPr>
        <w:t>；</w:t>
      </w:r>
    </w:p>
    <w:p w14:paraId="2B947A54">
      <w:pPr>
        <w:pStyle w:val="994"/>
        <w:rPr>
          <w:rFonts w:hAnsi="Times New Roman"/>
        </w:rPr>
      </w:pPr>
      <w:r>
        <w:rPr>
          <w:rFonts w:hAnsi="Times New Roman"/>
        </w:rPr>
        <w:t>表5.2-13卫生防护距离计算系数</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749"/>
        <w:gridCol w:w="668"/>
        <w:gridCol w:w="738"/>
        <w:gridCol w:w="752"/>
        <w:gridCol w:w="945"/>
        <w:gridCol w:w="936"/>
        <w:gridCol w:w="930"/>
        <w:gridCol w:w="930"/>
        <w:gridCol w:w="916"/>
        <w:gridCol w:w="816"/>
      </w:tblGrid>
      <w:tr w14:paraId="15F5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restart"/>
            <w:shd w:val="clear" w:color="auto" w:fill="D7D7D7"/>
            <w:noWrap w:val="0"/>
            <w:vAlign w:val="center"/>
          </w:tcPr>
          <w:p w14:paraId="20B70723">
            <w:pPr>
              <w:pStyle w:val="1463"/>
              <w:spacing w:before="48" w:after="48"/>
              <w:rPr>
                <w:rFonts w:ascii="Times New Roman" w:hAnsi="Times New Roman"/>
                <w:b/>
              </w:rPr>
            </w:pPr>
            <w:r>
              <w:rPr>
                <w:rFonts w:ascii="Times New Roman" w:hAnsi="Times New Roman"/>
                <w:b/>
              </w:rPr>
              <w:t>计算系数</w:t>
            </w:r>
          </w:p>
        </w:tc>
        <w:tc>
          <w:tcPr>
            <w:tcW w:w="846" w:type="pct"/>
            <w:vMerge w:val="restart"/>
            <w:shd w:val="clear" w:color="auto" w:fill="D7D7D7"/>
            <w:noWrap w:val="0"/>
            <w:vAlign w:val="center"/>
          </w:tcPr>
          <w:p w14:paraId="514A9FFE">
            <w:pPr>
              <w:pStyle w:val="1463"/>
              <w:spacing w:before="48" w:after="48"/>
              <w:rPr>
                <w:rFonts w:ascii="Times New Roman" w:hAnsi="Times New Roman"/>
                <w:b/>
              </w:rPr>
            </w:pPr>
            <w:r>
              <w:rPr>
                <w:rFonts w:ascii="Times New Roman" w:hAnsi="Times New Roman"/>
                <w:b/>
              </w:rPr>
              <w:t>工业企业所在地区进五年平均风速m/s</w:t>
            </w:r>
          </w:p>
        </w:tc>
        <w:tc>
          <w:tcPr>
            <w:tcW w:w="3692" w:type="pct"/>
            <w:gridSpan w:val="9"/>
            <w:shd w:val="clear" w:color="auto" w:fill="D7D7D7"/>
            <w:noWrap w:val="0"/>
            <w:vAlign w:val="center"/>
          </w:tcPr>
          <w:p w14:paraId="10764BF6">
            <w:pPr>
              <w:pStyle w:val="1463"/>
              <w:spacing w:before="48" w:after="48"/>
              <w:rPr>
                <w:rFonts w:ascii="Times New Roman" w:hAnsi="Times New Roman"/>
                <w:b/>
              </w:rPr>
            </w:pPr>
            <w:r>
              <w:rPr>
                <w:rFonts w:ascii="Times New Roman" w:hAnsi="Times New Roman"/>
                <w:b/>
              </w:rPr>
              <w:t>卫生防护距离L，m</w:t>
            </w:r>
          </w:p>
        </w:tc>
      </w:tr>
      <w:tr w14:paraId="5F50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shd w:val="clear" w:color="auto" w:fill="D7D7D7"/>
            <w:noWrap w:val="0"/>
            <w:vAlign w:val="center"/>
          </w:tcPr>
          <w:p w14:paraId="4D596DA0">
            <w:pPr>
              <w:pStyle w:val="1463"/>
              <w:spacing w:before="48" w:after="48"/>
              <w:rPr>
                <w:rFonts w:ascii="Times New Roman" w:hAnsi="Times New Roman"/>
                <w:b/>
              </w:rPr>
            </w:pPr>
          </w:p>
        </w:tc>
        <w:tc>
          <w:tcPr>
            <w:tcW w:w="846" w:type="pct"/>
            <w:vMerge w:val="continue"/>
            <w:shd w:val="clear" w:color="auto" w:fill="D7D7D7"/>
            <w:noWrap w:val="0"/>
            <w:vAlign w:val="center"/>
          </w:tcPr>
          <w:p w14:paraId="306F1EEC">
            <w:pPr>
              <w:pStyle w:val="1463"/>
              <w:spacing w:before="48" w:after="48"/>
              <w:rPr>
                <w:rFonts w:ascii="Times New Roman" w:hAnsi="Times New Roman"/>
                <w:b/>
              </w:rPr>
            </w:pPr>
          </w:p>
        </w:tc>
        <w:tc>
          <w:tcPr>
            <w:tcW w:w="1044" w:type="pct"/>
            <w:gridSpan w:val="3"/>
            <w:shd w:val="clear" w:color="auto" w:fill="D7D7D7"/>
            <w:noWrap w:val="0"/>
            <w:vAlign w:val="center"/>
          </w:tcPr>
          <w:p w14:paraId="5E6E3BED">
            <w:pPr>
              <w:pStyle w:val="1463"/>
              <w:spacing w:before="48" w:after="48"/>
              <w:rPr>
                <w:rFonts w:ascii="Times New Roman" w:hAnsi="Times New Roman"/>
                <w:b/>
              </w:rPr>
            </w:pPr>
            <w:r>
              <w:rPr>
                <w:rFonts w:ascii="Times New Roman" w:hAnsi="Times New Roman"/>
                <w:b/>
              </w:rPr>
              <w:t>L≤1000</w:t>
            </w:r>
          </w:p>
        </w:tc>
        <w:tc>
          <w:tcPr>
            <w:tcW w:w="1360" w:type="pct"/>
            <w:gridSpan w:val="3"/>
            <w:shd w:val="clear" w:color="auto" w:fill="D7D7D7"/>
            <w:noWrap w:val="0"/>
            <w:vAlign w:val="center"/>
          </w:tcPr>
          <w:p w14:paraId="5699C661">
            <w:pPr>
              <w:pStyle w:val="1463"/>
              <w:spacing w:before="48" w:after="48"/>
              <w:rPr>
                <w:rFonts w:ascii="Times New Roman" w:hAnsi="Times New Roman"/>
                <w:b/>
              </w:rPr>
            </w:pPr>
            <w:r>
              <w:rPr>
                <w:rFonts w:ascii="Times New Roman" w:hAnsi="Times New Roman"/>
                <w:b/>
              </w:rPr>
              <w:t>1000＜L≤2000</w:t>
            </w:r>
          </w:p>
        </w:tc>
        <w:tc>
          <w:tcPr>
            <w:tcW w:w="1286" w:type="pct"/>
            <w:gridSpan w:val="3"/>
            <w:shd w:val="clear" w:color="auto" w:fill="D7D7D7"/>
            <w:noWrap w:val="0"/>
            <w:vAlign w:val="center"/>
          </w:tcPr>
          <w:p w14:paraId="602D0D22">
            <w:pPr>
              <w:pStyle w:val="1463"/>
              <w:spacing w:before="48" w:after="48"/>
              <w:rPr>
                <w:rFonts w:ascii="Times New Roman" w:hAnsi="Times New Roman"/>
                <w:b/>
              </w:rPr>
            </w:pPr>
            <w:r>
              <w:rPr>
                <w:rFonts w:ascii="Times New Roman" w:hAnsi="Times New Roman"/>
                <w:b/>
              </w:rPr>
              <w:t>L＞2000</w:t>
            </w:r>
          </w:p>
        </w:tc>
      </w:tr>
      <w:tr w14:paraId="0713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shd w:val="clear" w:color="auto" w:fill="D7D7D7"/>
            <w:noWrap w:val="0"/>
            <w:vAlign w:val="center"/>
          </w:tcPr>
          <w:p w14:paraId="6EF31321">
            <w:pPr>
              <w:pStyle w:val="1463"/>
              <w:spacing w:before="48" w:after="48"/>
              <w:rPr>
                <w:rFonts w:ascii="Times New Roman" w:hAnsi="Times New Roman"/>
                <w:b/>
              </w:rPr>
            </w:pPr>
          </w:p>
        </w:tc>
        <w:tc>
          <w:tcPr>
            <w:tcW w:w="846" w:type="pct"/>
            <w:vMerge w:val="continue"/>
            <w:shd w:val="clear" w:color="auto" w:fill="D7D7D7"/>
            <w:noWrap w:val="0"/>
            <w:vAlign w:val="center"/>
          </w:tcPr>
          <w:p w14:paraId="036EA2A2">
            <w:pPr>
              <w:pStyle w:val="1463"/>
              <w:spacing w:before="48" w:after="48"/>
              <w:rPr>
                <w:rFonts w:ascii="Times New Roman" w:hAnsi="Times New Roman"/>
                <w:b/>
              </w:rPr>
            </w:pPr>
          </w:p>
        </w:tc>
        <w:tc>
          <w:tcPr>
            <w:tcW w:w="323" w:type="pct"/>
            <w:shd w:val="clear" w:color="auto" w:fill="D7D7D7"/>
            <w:noWrap w:val="0"/>
            <w:vAlign w:val="center"/>
          </w:tcPr>
          <w:p w14:paraId="29CA11CB">
            <w:pPr>
              <w:pStyle w:val="1463"/>
              <w:spacing w:before="48" w:after="48"/>
              <w:rPr>
                <w:rFonts w:ascii="Times New Roman" w:hAnsi="Times New Roman"/>
                <w:b/>
              </w:rPr>
            </w:pPr>
            <w:r>
              <w:rPr>
                <w:rFonts w:ascii="Times New Roman" w:hAnsi="Times New Roman"/>
                <w:b/>
              </w:rPr>
              <w:t>I</w:t>
            </w:r>
          </w:p>
        </w:tc>
        <w:tc>
          <w:tcPr>
            <w:tcW w:w="357" w:type="pct"/>
            <w:shd w:val="clear" w:color="auto" w:fill="D7D7D7"/>
            <w:noWrap w:val="0"/>
            <w:vAlign w:val="center"/>
          </w:tcPr>
          <w:p w14:paraId="389BB10C">
            <w:pPr>
              <w:pStyle w:val="1463"/>
              <w:spacing w:before="48" w:after="48"/>
              <w:rPr>
                <w:rFonts w:ascii="Times New Roman" w:hAnsi="Times New Roman"/>
                <w:b/>
              </w:rPr>
            </w:pPr>
            <w:r>
              <w:rPr>
                <w:rFonts w:ascii="Times New Roman" w:hAnsi="Times New Roman"/>
                <w:b/>
              </w:rPr>
              <w:t>II</w:t>
            </w:r>
          </w:p>
        </w:tc>
        <w:tc>
          <w:tcPr>
            <w:tcW w:w="362" w:type="pct"/>
            <w:shd w:val="clear" w:color="auto" w:fill="D7D7D7"/>
            <w:noWrap w:val="0"/>
            <w:vAlign w:val="center"/>
          </w:tcPr>
          <w:p w14:paraId="06049BBA">
            <w:pPr>
              <w:pStyle w:val="1463"/>
              <w:spacing w:before="48" w:after="48"/>
              <w:rPr>
                <w:rFonts w:ascii="Times New Roman" w:hAnsi="Times New Roman"/>
                <w:b/>
              </w:rPr>
            </w:pPr>
            <w:r>
              <w:rPr>
                <w:rFonts w:ascii="Times New Roman" w:hAnsi="Times New Roman"/>
                <w:b/>
              </w:rPr>
              <w:t>III</w:t>
            </w:r>
          </w:p>
        </w:tc>
        <w:tc>
          <w:tcPr>
            <w:tcW w:w="457" w:type="pct"/>
            <w:shd w:val="clear" w:color="auto" w:fill="D7D7D7"/>
            <w:noWrap w:val="0"/>
            <w:vAlign w:val="center"/>
          </w:tcPr>
          <w:p w14:paraId="38D437C0">
            <w:pPr>
              <w:pStyle w:val="1463"/>
              <w:spacing w:before="48" w:after="48"/>
              <w:rPr>
                <w:rFonts w:ascii="Times New Roman" w:hAnsi="Times New Roman"/>
                <w:b/>
              </w:rPr>
            </w:pPr>
            <w:r>
              <w:rPr>
                <w:rFonts w:ascii="Times New Roman" w:hAnsi="Times New Roman"/>
                <w:b/>
              </w:rPr>
              <w:t>I</w:t>
            </w:r>
          </w:p>
        </w:tc>
        <w:tc>
          <w:tcPr>
            <w:tcW w:w="453" w:type="pct"/>
            <w:shd w:val="clear" w:color="auto" w:fill="D7D7D7"/>
            <w:noWrap w:val="0"/>
            <w:vAlign w:val="center"/>
          </w:tcPr>
          <w:p w14:paraId="3C80646D">
            <w:pPr>
              <w:pStyle w:val="1463"/>
              <w:spacing w:before="48" w:after="48"/>
              <w:rPr>
                <w:rFonts w:ascii="Times New Roman" w:hAnsi="Times New Roman"/>
                <w:b/>
              </w:rPr>
            </w:pPr>
            <w:r>
              <w:rPr>
                <w:rFonts w:ascii="Times New Roman" w:hAnsi="Times New Roman"/>
                <w:b/>
              </w:rPr>
              <w:t>II</w:t>
            </w:r>
          </w:p>
        </w:tc>
        <w:tc>
          <w:tcPr>
            <w:tcW w:w="450" w:type="pct"/>
            <w:shd w:val="clear" w:color="auto" w:fill="D7D7D7"/>
            <w:noWrap w:val="0"/>
            <w:vAlign w:val="center"/>
          </w:tcPr>
          <w:p w14:paraId="6088AC1E">
            <w:pPr>
              <w:pStyle w:val="1463"/>
              <w:spacing w:before="48" w:after="48"/>
              <w:rPr>
                <w:rFonts w:ascii="Times New Roman" w:hAnsi="Times New Roman"/>
                <w:b/>
              </w:rPr>
            </w:pPr>
            <w:r>
              <w:rPr>
                <w:rFonts w:ascii="Times New Roman" w:hAnsi="Times New Roman"/>
                <w:b/>
              </w:rPr>
              <w:t>III</w:t>
            </w:r>
          </w:p>
        </w:tc>
        <w:tc>
          <w:tcPr>
            <w:tcW w:w="450" w:type="pct"/>
            <w:shd w:val="clear" w:color="auto" w:fill="D7D7D7"/>
            <w:noWrap w:val="0"/>
            <w:vAlign w:val="center"/>
          </w:tcPr>
          <w:p w14:paraId="0EF00346">
            <w:pPr>
              <w:pStyle w:val="1463"/>
              <w:spacing w:before="48" w:after="48"/>
              <w:rPr>
                <w:rFonts w:ascii="Times New Roman" w:hAnsi="Times New Roman"/>
                <w:b/>
              </w:rPr>
            </w:pPr>
            <w:r>
              <w:rPr>
                <w:rFonts w:ascii="Times New Roman" w:hAnsi="Times New Roman"/>
                <w:b/>
              </w:rPr>
              <w:t>I</w:t>
            </w:r>
          </w:p>
        </w:tc>
        <w:tc>
          <w:tcPr>
            <w:tcW w:w="443" w:type="pct"/>
            <w:shd w:val="clear" w:color="auto" w:fill="D7D7D7"/>
            <w:noWrap w:val="0"/>
            <w:vAlign w:val="center"/>
          </w:tcPr>
          <w:p w14:paraId="4D1B4998">
            <w:pPr>
              <w:pStyle w:val="1463"/>
              <w:spacing w:before="48" w:after="48"/>
              <w:rPr>
                <w:rFonts w:ascii="Times New Roman" w:hAnsi="Times New Roman"/>
                <w:b/>
              </w:rPr>
            </w:pPr>
            <w:r>
              <w:rPr>
                <w:rFonts w:ascii="Times New Roman" w:hAnsi="Times New Roman"/>
                <w:b/>
              </w:rPr>
              <w:t>II</w:t>
            </w:r>
          </w:p>
        </w:tc>
        <w:tc>
          <w:tcPr>
            <w:tcW w:w="393" w:type="pct"/>
            <w:shd w:val="clear" w:color="auto" w:fill="D7D7D7"/>
            <w:noWrap w:val="0"/>
            <w:vAlign w:val="center"/>
          </w:tcPr>
          <w:p w14:paraId="60CA8494">
            <w:pPr>
              <w:pStyle w:val="1463"/>
              <w:spacing w:before="48" w:after="48"/>
              <w:rPr>
                <w:rFonts w:ascii="Times New Roman" w:hAnsi="Times New Roman"/>
                <w:b/>
              </w:rPr>
            </w:pPr>
            <w:r>
              <w:rPr>
                <w:rFonts w:ascii="Times New Roman" w:hAnsi="Times New Roman"/>
                <w:b/>
              </w:rPr>
              <w:t>III</w:t>
            </w:r>
          </w:p>
        </w:tc>
      </w:tr>
      <w:tr w14:paraId="279F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7B49EEF5">
            <w:pPr>
              <w:pStyle w:val="1463"/>
              <w:spacing w:before="48" w:after="48"/>
              <w:rPr>
                <w:rFonts w:ascii="Times New Roman" w:hAnsi="Times New Roman"/>
              </w:rPr>
            </w:pPr>
            <w:r>
              <w:rPr>
                <w:rFonts w:ascii="Times New Roman" w:hAnsi="Times New Roman"/>
              </w:rPr>
              <w:t>A</w:t>
            </w:r>
          </w:p>
        </w:tc>
        <w:tc>
          <w:tcPr>
            <w:tcW w:w="846" w:type="pct"/>
            <w:noWrap w:val="0"/>
            <w:vAlign w:val="center"/>
          </w:tcPr>
          <w:p w14:paraId="217479C5">
            <w:pPr>
              <w:pStyle w:val="1463"/>
              <w:spacing w:before="48" w:after="48"/>
              <w:rPr>
                <w:rFonts w:ascii="Times New Roman" w:hAnsi="Times New Roman"/>
              </w:rPr>
            </w:pPr>
            <w:r>
              <w:rPr>
                <w:rFonts w:ascii="Times New Roman" w:hAnsi="Times New Roman"/>
              </w:rPr>
              <w:t>＜2</w:t>
            </w:r>
          </w:p>
          <w:p w14:paraId="5AA028CC">
            <w:pPr>
              <w:pStyle w:val="1463"/>
              <w:spacing w:before="48" w:after="48"/>
              <w:rPr>
                <w:rFonts w:ascii="Times New Roman" w:hAnsi="Times New Roman"/>
              </w:rPr>
            </w:pPr>
            <w:r>
              <w:rPr>
                <w:rFonts w:ascii="Times New Roman" w:hAnsi="Times New Roman"/>
              </w:rPr>
              <w:t>2~4</w:t>
            </w:r>
          </w:p>
          <w:p w14:paraId="68689B71">
            <w:pPr>
              <w:pStyle w:val="1463"/>
              <w:spacing w:before="48" w:after="48"/>
              <w:rPr>
                <w:rFonts w:ascii="Times New Roman" w:hAnsi="Times New Roman"/>
              </w:rPr>
            </w:pPr>
            <w:r>
              <w:rPr>
                <w:rFonts w:ascii="Times New Roman" w:hAnsi="Times New Roman"/>
              </w:rPr>
              <w:t>＞4</w:t>
            </w:r>
          </w:p>
        </w:tc>
        <w:tc>
          <w:tcPr>
            <w:tcW w:w="323" w:type="pct"/>
            <w:noWrap w:val="0"/>
            <w:vAlign w:val="center"/>
          </w:tcPr>
          <w:p w14:paraId="58593911">
            <w:pPr>
              <w:pStyle w:val="1463"/>
              <w:spacing w:before="48" w:after="48"/>
              <w:rPr>
                <w:rFonts w:ascii="Times New Roman" w:hAnsi="Times New Roman"/>
              </w:rPr>
            </w:pPr>
            <w:r>
              <w:rPr>
                <w:rFonts w:ascii="Times New Roman" w:hAnsi="Times New Roman"/>
              </w:rPr>
              <w:t>400</w:t>
            </w:r>
          </w:p>
          <w:p w14:paraId="29EAC904">
            <w:pPr>
              <w:pStyle w:val="1463"/>
              <w:spacing w:before="48" w:after="48"/>
              <w:rPr>
                <w:rFonts w:ascii="Times New Roman" w:hAnsi="Times New Roman"/>
              </w:rPr>
            </w:pPr>
            <w:r>
              <w:rPr>
                <w:rFonts w:ascii="Times New Roman" w:hAnsi="Times New Roman"/>
              </w:rPr>
              <w:t>700</w:t>
            </w:r>
          </w:p>
          <w:p w14:paraId="31289A86">
            <w:pPr>
              <w:pStyle w:val="1463"/>
              <w:spacing w:before="48" w:after="48"/>
              <w:rPr>
                <w:rFonts w:ascii="Times New Roman" w:hAnsi="Times New Roman"/>
              </w:rPr>
            </w:pPr>
            <w:r>
              <w:rPr>
                <w:rFonts w:ascii="Times New Roman" w:hAnsi="Times New Roman"/>
              </w:rPr>
              <w:t>530</w:t>
            </w:r>
          </w:p>
        </w:tc>
        <w:tc>
          <w:tcPr>
            <w:tcW w:w="357" w:type="pct"/>
            <w:noWrap w:val="0"/>
            <w:vAlign w:val="center"/>
          </w:tcPr>
          <w:p w14:paraId="57B3EB18">
            <w:pPr>
              <w:pStyle w:val="1463"/>
              <w:spacing w:before="48" w:after="48"/>
              <w:rPr>
                <w:rFonts w:ascii="Times New Roman" w:hAnsi="Times New Roman"/>
              </w:rPr>
            </w:pPr>
            <w:r>
              <w:rPr>
                <w:rFonts w:ascii="Times New Roman" w:hAnsi="Times New Roman"/>
              </w:rPr>
              <w:t>400</w:t>
            </w:r>
          </w:p>
          <w:p w14:paraId="093E3591">
            <w:pPr>
              <w:pStyle w:val="1463"/>
              <w:spacing w:before="48" w:after="48"/>
              <w:rPr>
                <w:rFonts w:ascii="Times New Roman" w:hAnsi="Times New Roman"/>
              </w:rPr>
            </w:pPr>
            <w:r>
              <w:rPr>
                <w:rFonts w:ascii="Times New Roman" w:hAnsi="Times New Roman"/>
              </w:rPr>
              <w:t>470</w:t>
            </w:r>
          </w:p>
          <w:p w14:paraId="4693BB2F">
            <w:pPr>
              <w:pStyle w:val="1463"/>
              <w:spacing w:before="48" w:after="48"/>
              <w:rPr>
                <w:rFonts w:ascii="Times New Roman" w:hAnsi="Times New Roman"/>
              </w:rPr>
            </w:pPr>
            <w:r>
              <w:rPr>
                <w:rFonts w:ascii="Times New Roman" w:hAnsi="Times New Roman"/>
              </w:rPr>
              <w:t>350</w:t>
            </w:r>
          </w:p>
        </w:tc>
        <w:tc>
          <w:tcPr>
            <w:tcW w:w="362" w:type="pct"/>
            <w:noWrap w:val="0"/>
            <w:vAlign w:val="center"/>
          </w:tcPr>
          <w:p w14:paraId="19996965">
            <w:pPr>
              <w:pStyle w:val="1463"/>
              <w:spacing w:before="48" w:after="48"/>
              <w:rPr>
                <w:rFonts w:ascii="Times New Roman" w:hAnsi="Times New Roman"/>
              </w:rPr>
            </w:pPr>
            <w:r>
              <w:rPr>
                <w:rFonts w:ascii="Times New Roman" w:hAnsi="Times New Roman"/>
              </w:rPr>
              <w:t>400</w:t>
            </w:r>
          </w:p>
          <w:p w14:paraId="1B933BAA">
            <w:pPr>
              <w:pStyle w:val="1463"/>
              <w:spacing w:before="48" w:after="48"/>
              <w:rPr>
                <w:rFonts w:ascii="Times New Roman" w:hAnsi="Times New Roman"/>
              </w:rPr>
            </w:pPr>
            <w:r>
              <w:rPr>
                <w:rFonts w:ascii="Times New Roman" w:hAnsi="Times New Roman"/>
              </w:rPr>
              <w:t>350</w:t>
            </w:r>
          </w:p>
          <w:p w14:paraId="0822C066">
            <w:pPr>
              <w:pStyle w:val="1463"/>
              <w:spacing w:before="48" w:after="48"/>
              <w:rPr>
                <w:rFonts w:ascii="Times New Roman" w:hAnsi="Times New Roman"/>
              </w:rPr>
            </w:pPr>
            <w:r>
              <w:rPr>
                <w:rFonts w:ascii="Times New Roman" w:hAnsi="Times New Roman"/>
              </w:rPr>
              <w:t>260</w:t>
            </w:r>
          </w:p>
        </w:tc>
        <w:tc>
          <w:tcPr>
            <w:tcW w:w="457" w:type="pct"/>
            <w:noWrap w:val="0"/>
            <w:vAlign w:val="center"/>
          </w:tcPr>
          <w:p w14:paraId="1B1C8F29">
            <w:pPr>
              <w:pStyle w:val="1463"/>
              <w:spacing w:before="48" w:after="48"/>
              <w:rPr>
                <w:rFonts w:ascii="Times New Roman" w:hAnsi="Times New Roman"/>
              </w:rPr>
            </w:pPr>
            <w:r>
              <w:rPr>
                <w:rFonts w:ascii="Times New Roman" w:hAnsi="Times New Roman"/>
              </w:rPr>
              <w:t>400</w:t>
            </w:r>
          </w:p>
          <w:p w14:paraId="4D7DA4FE">
            <w:pPr>
              <w:pStyle w:val="1463"/>
              <w:spacing w:before="48" w:after="48"/>
              <w:rPr>
                <w:rFonts w:ascii="Times New Roman" w:hAnsi="Times New Roman"/>
              </w:rPr>
            </w:pPr>
            <w:r>
              <w:rPr>
                <w:rFonts w:ascii="Times New Roman" w:hAnsi="Times New Roman"/>
              </w:rPr>
              <w:t>700</w:t>
            </w:r>
          </w:p>
          <w:p w14:paraId="5D7D63BE">
            <w:pPr>
              <w:pStyle w:val="1463"/>
              <w:spacing w:before="48" w:after="48"/>
              <w:rPr>
                <w:rFonts w:ascii="Times New Roman" w:hAnsi="Times New Roman"/>
              </w:rPr>
            </w:pPr>
            <w:r>
              <w:rPr>
                <w:rFonts w:ascii="Times New Roman" w:hAnsi="Times New Roman"/>
              </w:rPr>
              <w:t>530</w:t>
            </w:r>
          </w:p>
        </w:tc>
        <w:tc>
          <w:tcPr>
            <w:tcW w:w="453" w:type="pct"/>
            <w:noWrap w:val="0"/>
            <w:vAlign w:val="center"/>
          </w:tcPr>
          <w:p w14:paraId="0FA0EBBA">
            <w:pPr>
              <w:pStyle w:val="1463"/>
              <w:spacing w:before="48" w:after="48"/>
              <w:rPr>
                <w:rFonts w:ascii="Times New Roman" w:hAnsi="Times New Roman"/>
              </w:rPr>
            </w:pPr>
            <w:r>
              <w:rPr>
                <w:rFonts w:ascii="Times New Roman" w:hAnsi="Times New Roman"/>
              </w:rPr>
              <w:t>400</w:t>
            </w:r>
          </w:p>
          <w:p w14:paraId="0C4CB14A">
            <w:pPr>
              <w:pStyle w:val="1463"/>
              <w:spacing w:before="48" w:after="48"/>
              <w:rPr>
                <w:rFonts w:ascii="Times New Roman" w:hAnsi="Times New Roman"/>
              </w:rPr>
            </w:pPr>
            <w:r>
              <w:rPr>
                <w:rFonts w:ascii="Times New Roman" w:hAnsi="Times New Roman"/>
              </w:rPr>
              <w:t>470</w:t>
            </w:r>
          </w:p>
          <w:p w14:paraId="5E004D76">
            <w:pPr>
              <w:pStyle w:val="1463"/>
              <w:spacing w:before="48" w:after="48"/>
              <w:rPr>
                <w:rFonts w:ascii="Times New Roman" w:hAnsi="Times New Roman"/>
              </w:rPr>
            </w:pPr>
            <w:r>
              <w:rPr>
                <w:rFonts w:ascii="Times New Roman" w:hAnsi="Times New Roman"/>
              </w:rPr>
              <w:t>350</w:t>
            </w:r>
          </w:p>
        </w:tc>
        <w:tc>
          <w:tcPr>
            <w:tcW w:w="450" w:type="pct"/>
            <w:noWrap w:val="0"/>
            <w:vAlign w:val="center"/>
          </w:tcPr>
          <w:p w14:paraId="07CE70D7">
            <w:pPr>
              <w:pStyle w:val="1463"/>
              <w:spacing w:before="48" w:after="48"/>
              <w:rPr>
                <w:rFonts w:ascii="Times New Roman" w:hAnsi="Times New Roman"/>
              </w:rPr>
            </w:pPr>
            <w:r>
              <w:rPr>
                <w:rFonts w:ascii="Times New Roman" w:hAnsi="Times New Roman"/>
              </w:rPr>
              <w:t>400</w:t>
            </w:r>
          </w:p>
          <w:p w14:paraId="511FD8B5">
            <w:pPr>
              <w:pStyle w:val="1463"/>
              <w:spacing w:before="48" w:after="48"/>
              <w:rPr>
                <w:rFonts w:ascii="Times New Roman" w:hAnsi="Times New Roman"/>
              </w:rPr>
            </w:pPr>
            <w:r>
              <w:rPr>
                <w:rFonts w:ascii="Times New Roman" w:hAnsi="Times New Roman"/>
              </w:rPr>
              <w:t>350</w:t>
            </w:r>
          </w:p>
          <w:p w14:paraId="13919BE2">
            <w:pPr>
              <w:pStyle w:val="1463"/>
              <w:spacing w:before="48" w:after="48"/>
              <w:rPr>
                <w:rFonts w:ascii="Times New Roman" w:hAnsi="Times New Roman"/>
              </w:rPr>
            </w:pPr>
            <w:r>
              <w:rPr>
                <w:rFonts w:ascii="Times New Roman" w:hAnsi="Times New Roman"/>
              </w:rPr>
              <w:t>260</w:t>
            </w:r>
          </w:p>
        </w:tc>
        <w:tc>
          <w:tcPr>
            <w:tcW w:w="450" w:type="pct"/>
            <w:noWrap w:val="0"/>
            <w:vAlign w:val="center"/>
          </w:tcPr>
          <w:p w14:paraId="3B4EEF5C">
            <w:pPr>
              <w:pStyle w:val="1463"/>
              <w:spacing w:before="48" w:after="48"/>
              <w:rPr>
                <w:rFonts w:ascii="Times New Roman" w:hAnsi="Times New Roman"/>
              </w:rPr>
            </w:pPr>
            <w:r>
              <w:rPr>
                <w:rFonts w:ascii="Times New Roman" w:hAnsi="Times New Roman"/>
              </w:rPr>
              <w:t>80</w:t>
            </w:r>
          </w:p>
          <w:p w14:paraId="47A84298">
            <w:pPr>
              <w:pStyle w:val="1463"/>
              <w:spacing w:before="48" w:after="48"/>
              <w:rPr>
                <w:rFonts w:ascii="Times New Roman" w:hAnsi="Times New Roman"/>
              </w:rPr>
            </w:pPr>
            <w:r>
              <w:rPr>
                <w:rFonts w:ascii="Times New Roman" w:hAnsi="Times New Roman"/>
              </w:rPr>
              <w:t>380</w:t>
            </w:r>
          </w:p>
          <w:p w14:paraId="2780FEA9">
            <w:pPr>
              <w:pStyle w:val="1463"/>
              <w:spacing w:before="48" w:after="48"/>
              <w:rPr>
                <w:rFonts w:ascii="Times New Roman" w:hAnsi="Times New Roman"/>
              </w:rPr>
            </w:pPr>
            <w:r>
              <w:rPr>
                <w:rFonts w:ascii="Times New Roman" w:hAnsi="Times New Roman"/>
              </w:rPr>
              <w:t>290</w:t>
            </w:r>
          </w:p>
        </w:tc>
        <w:tc>
          <w:tcPr>
            <w:tcW w:w="443" w:type="pct"/>
            <w:noWrap w:val="0"/>
            <w:vAlign w:val="center"/>
          </w:tcPr>
          <w:p w14:paraId="7ABE95CC">
            <w:pPr>
              <w:pStyle w:val="1463"/>
              <w:spacing w:before="48" w:after="48"/>
              <w:rPr>
                <w:rFonts w:ascii="Times New Roman" w:hAnsi="Times New Roman"/>
              </w:rPr>
            </w:pPr>
            <w:r>
              <w:rPr>
                <w:rFonts w:ascii="Times New Roman" w:hAnsi="Times New Roman"/>
              </w:rPr>
              <w:t>80</w:t>
            </w:r>
          </w:p>
          <w:p w14:paraId="7858BDC9">
            <w:pPr>
              <w:pStyle w:val="1463"/>
              <w:spacing w:before="48" w:after="48"/>
              <w:rPr>
                <w:rFonts w:ascii="Times New Roman" w:hAnsi="Times New Roman"/>
              </w:rPr>
            </w:pPr>
            <w:r>
              <w:rPr>
                <w:rFonts w:ascii="Times New Roman" w:hAnsi="Times New Roman"/>
              </w:rPr>
              <w:t>250</w:t>
            </w:r>
          </w:p>
          <w:p w14:paraId="485DF42D">
            <w:pPr>
              <w:pStyle w:val="1463"/>
              <w:spacing w:before="48" w:after="48"/>
              <w:rPr>
                <w:rFonts w:ascii="Times New Roman" w:hAnsi="Times New Roman"/>
              </w:rPr>
            </w:pPr>
            <w:r>
              <w:rPr>
                <w:rFonts w:ascii="Times New Roman" w:hAnsi="Times New Roman"/>
              </w:rPr>
              <w:t>190</w:t>
            </w:r>
          </w:p>
        </w:tc>
        <w:tc>
          <w:tcPr>
            <w:tcW w:w="393" w:type="pct"/>
            <w:noWrap w:val="0"/>
            <w:vAlign w:val="center"/>
          </w:tcPr>
          <w:p w14:paraId="4793FF87">
            <w:pPr>
              <w:pStyle w:val="1463"/>
              <w:spacing w:before="48" w:after="48"/>
              <w:rPr>
                <w:rFonts w:ascii="Times New Roman" w:hAnsi="Times New Roman"/>
              </w:rPr>
            </w:pPr>
            <w:r>
              <w:rPr>
                <w:rFonts w:ascii="Times New Roman" w:hAnsi="Times New Roman"/>
              </w:rPr>
              <w:t>80</w:t>
            </w:r>
          </w:p>
          <w:p w14:paraId="148913A5">
            <w:pPr>
              <w:pStyle w:val="1463"/>
              <w:spacing w:before="48" w:after="48"/>
              <w:rPr>
                <w:rFonts w:ascii="Times New Roman" w:hAnsi="Times New Roman"/>
              </w:rPr>
            </w:pPr>
            <w:r>
              <w:rPr>
                <w:rFonts w:ascii="Times New Roman" w:hAnsi="Times New Roman"/>
              </w:rPr>
              <w:t>190</w:t>
            </w:r>
          </w:p>
          <w:p w14:paraId="15354B44">
            <w:pPr>
              <w:pStyle w:val="1463"/>
              <w:spacing w:before="48" w:after="48"/>
              <w:rPr>
                <w:rFonts w:ascii="Times New Roman" w:hAnsi="Times New Roman"/>
              </w:rPr>
            </w:pPr>
            <w:r>
              <w:rPr>
                <w:rFonts w:ascii="Times New Roman" w:hAnsi="Times New Roman"/>
              </w:rPr>
              <w:t>140</w:t>
            </w:r>
          </w:p>
        </w:tc>
      </w:tr>
      <w:tr w14:paraId="46BE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5BB082B0">
            <w:pPr>
              <w:pStyle w:val="1463"/>
              <w:spacing w:before="48" w:after="48"/>
              <w:rPr>
                <w:rFonts w:ascii="Times New Roman" w:hAnsi="Times New Roman"/>
              </w:rPr>
            </w:pPr>
            <w:r>
              <w:rPr>
                <w:rFonts w:ascii="Times New Roman" w:hAnsi="Times New Roman"/>
              </w:rPr>
              <w:t>B</w:t>
            </w:r>
          </w:p>
        </w:tc>
        <w:tc>
          <w:tcPr>
            <w:tcW w:w="846" w:type="pct"/>
            <w:noWrap w:val="0"/>
            <w:vAlign w:val="center"/>
          </w:tcPr>
          <w:p w14:paraId="7B196099">
            <w:pPr>
              <w:pStyle w:val="1463"/>
              <w:spacing w:before="48" w:after="48"/>
              <w:rPr>
                <w:rFonts w:ascii="Times New Roman" w:hAnsi="Times New Roman"/>
              </w:rPr>
            </w:pPr>
            <w:r>
              <w:rPr>
                <w:rFonts w:ascii="Times New Roman" w:hAnsi="Times New Roman"/>
              </w:rPr>
              <w:t>＜2</w:t>
            </w:r>
          </w:p>
          <w:p w14:paraId="4CFEB355">
            <w:pPr>
              <w:pStyle w:val="1463"/>
              <w:spacing w:before="48" w:after="48"/>
              <w:rPr>
                <w:rFonts w:ascii="Times New Roman" w:hAnsi="Times New Roman"/>
              </w:rPr>
            </w:pPr>
            <w:r>
              <w:rPr>
                <w:rFonts w:ascii="Times New Roman" w:hAnsi="Times New Roman"/>
                <w:b/>
              </w:rPr>
              <w:t>＞</w:t>
            </w:r>
            <w:r>
              <w:rPr>
                <w:rFonts w:ascii="Times New Roman" w:hAnsi="Times New Roman"/>
              </w:rPr>
              <w:t>2</w:t>
            </w:r>
          </w:p>
        </w:tc>
        <w:tc>
          <w:tcPr>
            <w:tcW w:w="1044" w:type="pct"/>
            <w:gridSpan w:val="3"/>
            <w:noWrap w:val="0"/>
            <w:vAlign w:val="center"/>
          </w:tcPr>
          <w:p w14:paraId="68A4AE88">
            <w:pPr>
              <w:pStyle w:val="1463"/>
              <w:spacing w:before="48" w:after="48"/>
              <w:rPr>
                <w:rFonts w:ascii="Times New Roman" w:hAnsi="Times New Roman"/>
              </w:rPr>
            </w:pPr>
            <w:r>
              <w:rPr>
                <w:rFonts w:ascii="Times New Roman" w:hAnsi="Times New Roman"/>
              </w:rPr>
              <w:t>0.01</w:t>
            </w:r>
          </w:p>
          <w:p w14:paraId="25C6D463">
            <w:pPr>
              <w:pStyle w:val="1463"/>
              <w:spacing w:before="48" w:after="48"/>
              <w:rPr>
                <w:rFonts w:ascii="Times New Roman" w:hAnsi="Times New Roman"/>
              </w:rPr>
            </w:pPr>
            <w:r>
              <w:rPr>
                <w:rFonts w:ascii="Times New Roman" w:hAnsi="Times New Roman"/>
              </w:rPr>
              <w:t>0.021</w:t>
            </w:r>
          </w:p>
        </w:tc>
        <w:tc>
          <w:tcPr>
            <w:tcW w:w="1360" w:type="pct"/>
            <w:gridSpan w:val="3"/>
            <w:noWrap w:val="0"/>
            <w:vAlign w:val="center"/>
          </w:tcPr>
          <w:p w14:paraId="2EA56083">
            <w:pPr>
              <w:pStyle w:val="1463"/>
              <w:spacing w:before="48" w:after="48"/>
              <w:rPr>
                <w:rFonts w:ascii="Times New Roman" w:hAnsi="Times New Roman"/>
              </w:rPr>
            </w:pPr>
            <w:r>
              <w:rPr>
                <w:rFonts w:ascii="Times New Roman" w:hAnsi="Times New Roman"/>
              </w:rPr>
              <w:t>0.015</w:t>
            </w:r>
          </w:p>
          <w:p w14:paraId="569E83B7">
            <w:pPr>
              <w:pStyle w:val="1463"/>
              <w:spacing w:before="48" w:after="48"/>
              <w:rPr>
                <w:rFonts w:ascii="Times New Roman" w:hAnsi="Times New Roman"/>
              </w:rPr>
            </w:pPr>
            <w:r>
              <w:rPr>
                <w:rFonts w:ascii="Times New Roman" w:hAnsi="Times New Roman"/>
              </w:rPr>
              <w:t>0.036</w:t>
            </w:r>
          </w:p>
        </w:tc>
        <w:tc>
          <w:tcPr>
            <w:tcW w:w="1286" w:type="pct"/>
            <w:gridSpan w:val="3"/>
            <w:noWrap w:val="0"/>
            <w:vAlign w:val="center"/>
          </w:tcPr>
          <w:p w14:paraId="3485447D">
            <w:pPr>
              <w:pStyle w:val="1463"/>
              <w:spacing w:before="48" w:after="48"/>
              <w:rPr>
                <w:rFonts w:ascii="Times New Roman" w:hAnsi="Times New Roman"/>
              </w:rPr>
            </w:pPr>
            <w:r>
              <w:rPr>
                <w:rFonts w:ascii="Times New Roman" w:hAnsi="Times New Roman"/>
              </w:rPr>
              <w:t>0.015</w:t>
            </w:r>
          </w:p>
          <w:p w14:paraId="2250C017">
            <w:pPr>
              <w:pStyle w:val="1463"/>
              <w:spacing w:before="48" w:after="48"/>
              <w:rPr>
                <w:rFonts w:ascii="Times New Roman" w:hAnsi="Times New Roman"/>
              </w:rPr>
            </w:pPr>
            <w:r>
              <w:rPr>
                <w:rFonts w:ascii="Times New Roman" w:hAnsi="Times New Roman"/>
              </w:rPr>
              <w:t>0.036</w:t>
            </w:r>
          </w:p>
        </w:tc>
      </w:tr>
      <w:tr w14:paraId="1BD8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52008D72">
            <w:pPr>
              <w:pStyle w:val="1463"/>
              <w:spacing w:before="48" w:after="48"/>
              <w:rPr>
                <w:rFonts w:ascii="Times New Roman" w:hAnsi="Times New Roman"/>
              </w:rPr>
            </w:pPr>
            <w:r>
              <w:rPr>
                <w:rFonts w:ascii="Times New Roman" w:hAnsi="Times New Roman"/>
              </w:rPr>
              <w:t>C</w:t>
            </w:r>
          </w:p>
        </w:tc>
        <w:tc>
          <w:tcPr>
            <w:tcW w:w="846" w:type="pct"/>
            <w:noWrap w:val="0"/>
            <w:vAlign w:val="center"/>
          </w:tcPr>
          <w:p w14:paraId="3428708D">
            <w:pPr>
              <w:pStyle w:val="1463"/>
              <w:spacing w:before="48" w:after="48"/>
              <w:rPr>
                <w:rFonts w:ascii="Times New Roman" w:hAnsi="Times New Roman"/>
              </w:rPr>
            </w:pPr>
            <w:r>
              <w:rPr>
                <w:rFonts w:ascii="Times New Roman" w:hAnsi="Times New Roman"/>
              </w:rPr>
              <w:t>＜2</w:t>
            </w:r>
          </w:p>
          <w:p w14:paraId="2B503D9F">
            <w:pPr>
              <w:pStyle w:val="1463"/>
              <w:spacing w:before="48" w:after="48"/>
              <w:rPr>
                <w:rFonts w:ascii="Times New Roman" w:hAnsi="Times New Roman"/>
              </w:rPr>
            </w:pPr>
            <w:r>
              <w:rPr>
                <w:rFonts w:ascii="Times New Roman" w:hAnsi="Times New Roman"/>
                <w:b/>
              </w:rPr>
              <w:t>＞</w:t>
            </w:r>
            <w:r>
              <w:rPr>
                <w:rFonts w:ascii="Times New Roman" w:hAnsi="Times New Roman"/>
              </w:rPr>
              <w:t>2</w:t>
            </w:r>
          </w:p>
        </w:tc>
        <w:tc>
          <w:tcPr>
            <w:tcW w:w="1044" w:type="pct"/>
            <w:gridSpan w:val="3"/>
            <w:noWrap w:val="0"/>
            <w:vAlign w:val="center"/>
          </w:tcPr>
          <w:p w14:paraId="347DFEC0">
            <w:pPr>
              <w:pStyle w:val="1463"/>
              <w:spacing w:before="48" w:after="48"/>
              <w:rPr>
                <w:rFonts w:ascii="Times New Roman" w:hAnsi="Times New Roman"/>
              </w:rPr>
            </w:pPr>
            <w:r>
              <w:rPr>
                <w:rFonts w:ascii="Times New Roman" w:hAnsi="Times New Roman"/>
              </w:rPr>
              <w:t>1.85</w:t>
            </w:r>
          </w:p>
          <w:p w14:paraId="5B929E8B">
            <w:pPr>
              <w:pStyle w:val="1463"/>
              <w:spacing w:before="48" w:after="48"/>
              <w:rPr>
                <w:rFonts w:ascii="Times New Roman" w:hAnsi="Times New Roman"/>
              </w:rPr>
            </w:pPr>
            <w:r>
              <w:rPr>
                <w:rFonts w:ascii="Times New Roman" w:hAnsi="Times New Roman"/>
              </w:rPr>
              <w:t>1.85</w:t>
            </w:r>
          </w:p>
        </w:tc>
        <w:tc>
          <w:tcPr>
            <w:tcW w:w="1360" w:type="pct"/>
            <w:gridSpan w:val="3"/>
            <w:noWrap w:val="0"/>
            <w:vAlign w:val="center"/>
          </w:tcPr>
          <w:p w14:paraId="38969ECB">
            <w:pPr>
              <w:pStyle w:val="1463"/>
              <w:spacing w:before="48" w:after="48"/>
              <w:rPr>
                <w:rFonts w:ascii="Times New Roman" w:hAnsi="Times New Roman"/>
              </w:rPr>
            </w:pPr>
            <w:r>
              <w:rPr>
                <w:rFonts w:ascii="Times New Roman" w:hAnsi="Times New Roman"/>
              </w:rPr>
              <w:t>1.79</w:t>
            </w:r>
          </w:p>
          <w:p w14:paraId="3C7965BF">
            <w:pPr>
              <w:pStyle w:val="1463"/>
              <w:spacing w:before="48" w:after="48"/>
              <w:rPr>
                <w:rFonts w:ascii="Times New Roman" w:hAnsi="Times New Roman"/>
              </w:rPr>
            </w:pPr>
            <w:r>
              <w:rPr>
                <w:rFonts w:ascii="Times New Roman" w:hAnsi="Times New Roman"/>
              </w:rPr>
              <w:t>1.77</w:t>
            </w:r>
          </w:p>
        </w:tc>
        <w:tc>
          <w:tcPr>
            <w:tcW w:w="1286" w:type="pct"/>
            <w:gridSpan w:val="3"/>
            <w:noWrap w:val="0"/>
            <w:vAlign w:val="center"/>
          </w:tcPr>
          <w:p w14:paraId="1BC6D75D">
            <w:pPr>
              <w:pStyle w:val="1463"/>
              <w:spacing w:before="48" w:after="48"/>
              <w:rPr>
                <w:rFonts w:ascii="Times New Roman" w:hAnsi="Times New Roman"/>
              </w:rPr>
            </w:pPr>
            <w:r>
              <w:rPr>
                <w:rFonts w:ascii="Times New Roman" w:hAnsi="Times New Roman"/>
              </w:rPr>
              <w:t>1.79</w:t>
            </w:r>
          </w:p>
          <w:p w14:paraId="05A33BFF">
            <w:pPr>
              <w:pStyle w:val="1463"/>
              <w:spacing w:before="48" w:after="48"/>
              <w:rPr>
                <w:rFonts w:ascii="Times New Roman" w:hAnsi="Times New Roman"/>
              </w:rPr>
            </w:pPr>
            <w:r>
              <w:rPr>
                <w:rFonts w:ascii="Times New Roman" w:hAnsi="Times New Roman"/>
              </w:rPr>
              <w:t>1.77</w:t>
            </w:r>
          </w:p>
        </w:tc>
      </w:tr>
      <w:tr w14:paraId="1480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noWrap w:val="0"/>
            <w:vAlign w:val="center"/>
          </w:tcPr>
          <w:p w14:paraId="2A1C6D67">
            <w:pPr>
              <w:pStyle w:val="1463"/>
              <w:spacing w:before="48" w:after="48"/>
              <w:rPr>
                <w:rFonts w:ascii="Times New Roman" w:hAnsi="Times New Roman"/>
              </w:rPr>
            </w:pPr>
            <w:r>
              <w:rPr>
                <w:rFonts w:ascii="Times New Roman" w:hAnsi="Times New Roman"/>
              </w:rPr>
              <w:t>D</w:t>
            </w:r>
          </w:p>
        </w:tc>
        <w:tc>
          <w:tcPr>
            <w:tcW w:w="846" w:type="pct"/>
            <w:noWrap w:val="0"/>
            <w:vAlign w:val="center"/>
          </w:tcPr>
          <w:p w14:paraId="42D7E363">
            <w:pPr>
              <w:pStyle w:val="1463"/>
              <w:spacing w:before="48" w:after="48"/>
              <w:rPr>
                <w:rFonts w:ascii="Times New Roman" w:hAnsi="Times New Roman"/>
              </w:rPr>
            </w:pPr>
            <w:r>
              <w:rPr>
                <w:rFonts w:ascii="Times New Roman" w:hAnsi="Times New Roman"/>
              </w:rPr>
              <w:t>＜2</w:t>
            </w:r>
          </w:p>
          <w:p w14:paraId="32D9AEC8">
            <w:pPr>
              <w:pStyle w:val="1463"/>
              <w:spacing w:before="48" w:after="48"/>
              <w:rPr>
                <w:rFonts w:ascii="Times New Roman" w:hAnsi="Times New Roman"/>
              </w:rPr>
            </w:pPr>
            <w:r>
              <w:rPr>
                <w:rFonts w:ascii="Times New Roman" w:hAnsi="Times New Roman"/>
                <w:b/>
              </w:rPr>
              <w:t>＞</w:t>
            </w:r>
            <w:r>
              <w:rPr>
                <w:rFonts w:ascii="Times New Roman" w:hAnsi="Times New Roman"/>
              </w:rPr>
              <w:t>2</w:t>
            </w:r>
          </w:p>
        </w:tc>
        <w:tc>
          <w:tcPr>
            <w:tcW w:w="1044" w:type="pct"/>
            <w:gridSpan w:val="3"/>
            <w:noWrap w:val="0"/>
            <w:vAlign w:val="center"/>
          </w:tcPr>
          <w:p w14:paraId="391707A5">
            <w:pPr>
              <w:pStyle w:val="1463"/>
              <w:spacing w:before="48" w:after="48"/>
              <w:rPr>
                <w:rFonts w:ascii="Times New Roman" w:hAnsi="Times New Roman"/>
              </w:rPr>
            </w:pPr>
            <w:r>
              <w:rPr>
                <w:rFonts w:ascii="Times New Roman" w:hAnsi="Times New Roman"/>
              </w:rPr>
              <w:t>0.78</w:t>
            </w:r>
          </w:p>
          <w:p w14:paraId="02D1D393">
            <w:pPr>
              <w:pStyle w:val="1463"/>
              <w:spacing w:before="48" w:after="48"/>
              <w:rPr>
                <w:rFonts w:ascii="Times New Roman" w:hAnsi="Times New Roman"/>
              </w:rPr>
            </w:pPr>
            <w:r>
              <w:rPr>
                <w:rFonts w:ascii="Times New Roman" w:hAnsi="Times New Roman"/>
              </w:rPr>
              <w:t>0.84</w:t>
            </w:r>
          </w:p>
        </w:tc>
        <w:tc>
          <w:tcPr>
            <w:tcW w:w="1360" w:type="pct"/>
            <w:gridSpan w:val="3"/>
            <w:noWrap w:val="0"/>
            <w:vAlign w:val="center"/>
          </w:tcPr>
          <w:p w14:paraId="497FAC69">
            <w:pPr>
              <w:pStyle w:val="1463"/>
              <w:spacing w:before="48" w:after="48"/>
              <w:rPr>
                <w:rFonts w:ascii="Times New Roman" w:hAnsi="Times New Roman"/>
              </w:rPr>
            </w:pPr>
            <w:r>
              <w:rPr>
                <w:rFonts w:ascii="Times New Roman" w:hAnsi="Times New Roman"/>
              </w:rPr>
              <w:t>0.78</w:t>
            </w:r>
          </w:p>
          <w:p w14:paraId="0A881801">
            <w:pPr>
              <w:pStyle w:val="1463"/>
              <w:spacing w:before="48" w:after="48"/>
              <w:rPr>
                <w:rFonts w:ascii="Times New Roman" w:hAnsi="Times New Roman"/>
              </w:rPr>
            </w:pPr>
            <w:r>
              <w:rPr>
                <w:rFonts w:ascii="Times New Roman" w:hAnsi="Times New Roman"/>
              </w:rPr>
              <w:t>0.844</w:t>
            </w:r>
          </w:p>
        </w:tc>
        <w:tc>
          <w:tcPr>
            <w:tcW w:w="1286" w:type="pct"/>
            <w:gridSpan w:val="3"/>
            <w:noWrap w:val="0"/>
            <w:vAlign w:val="center"/>
          </w:tcPr>
          <w:p w14:paraId="4EF359BE">
            <w:pPr>
              <w:pStyle w:val="1463"/>
              <w:spacing w:before="48" w:after="48"/>
              <w:rPr>
                <w:rFonts w:ascii="Times New Roman" w:hAnsi="Times New Roman"/>
              </w:rPr>
            </w:pPr>
            <w:r>
              <w:rPr>
                <w:rFonts w:ascii="Times New Roman" w:hAnsi="Times New Roman"/>
              </w:rPr>
              <w:t>0.57</w:t>
            </w:r>
          </w:p>
          <w:p w14:paraId="602DC436">
            <w:pPr>
              <w:pStyle w:val="1463"/>
              <w:spacing w:before="48" w:after="48"/>
              <w:rPr>
                <w:rFonts w:ascii="Times New Roman" w:hAnsi="Times New Roman"/>
              </w:rPr>
            </w:pPr>
            <w:r>
              <w:rPr>
                <w:rFonts w:ascii="Times New Roman" w:hAnsi="Times New Roman"/>
              </w:rPr>
              <w:t>0.76</w:t>
            </w:r>
          </w:p>
        </w:tc>
      </w:tr>
    </w:tbl>
    <w:p w14:paraId="74A5E6F4">
      <w:pPr>
        <w:autoSpaceDE w:val="0"/>
        <w:autoSpaceDN w:val="0"/>
        <w:adjustRightInd w:val="0"/>
        <w:spacing w:line="360" w:lineRule="auto"/>
        <w:ind w:firstLine="480" w:firstLineChars="200"/>
        <w:jc w:val="left"/>
      </w:pPr>
      <w:r>
        <w:rPr>
          <w:sz w:val="24"/>
        </w:rPr>
        <w:t>根据上述公式与参数，由于各构筑物较集中，将产生恶臭气体构筑物概化为统单元进行计算卫生防护距离计算结果见表5.2-14。</w:t>
      </w:r>
    </w:p>
    <w:p w14:paraId="77BB784C">
      <w:pPr>
        <w:pStyle w:val="994"/>
        <w:rPr>
          <w:rFonts w:hAnsi="Times New Roman"/>
        </w:rPr>
      </w:pPr>
      <w:r>
        <w:rPr>
          <w:rFonts w:hAnsi="Times New Roman"/>
        </w:rPr>
        <w:t>表5.2-14卫生防护距离确定一览表</w:t>
      </w:r>
    </w:p>
    <w:tbl>
      <w:tblPr>
        <w:tblStyle w:val="87"/>
        <w:tblW w:w="4998" w:type="pct"/>
        <w:tblInd w:w="0" w:type="dxa"/>
        <w:tblLayout w:type="autofit"/>
        <w:tblCellMar>
          <w:top w:w="15" w:type="dxa"/>
          <w:left w:w="15" w:type="dxa"/>
          <w:bottom w:w="15" w:type="dxa"/>
          <w:right w:w="15" w:type="dxa"/>
        </w:tblCellMar>
      </w:tblPr>
      <w:tblGrid>
        <w:gridCol w:w="2026"/>
        <w:gridCol w:w="2030"/>
        <w:gridCol w:w="2028"/>
        <w:gridCol w:w="2033"/>
        <w:gridCol w:w="2029"/>
      </w:tblGrid>
      <w:tr w14:paraId="6F942422">
        <w:tblPrEx>
          <w:tblCellMar>
            <w:top w:w="15" w:type="dxa"/>
            <w:left w:w="15" w:type="dxa"/>
            <w:bottom w:w="15" w:type="dxa"/>
            <w:right w:w="15" w:type="dxa"/>
          </w:tblCellMar>
        </w:tblPrEx>
        <w:trPr>
          <w:trHeight w:val="283" w:hRule="atLeast"/>
        </w:trPr>
        <w:tc>
          <w:tcPr>
            <w:tcW w:w="998"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3199A9E">
            <w:pPr>
              <w:pStyle w:val="1463"/>
              <w:spacing w:before="48" w:after="48"/>
              <w:rPr>
                <w:rFonts w:ascii="Times New Roman" w:hAnsi="Times New Roman"/>
                <w:b/>
              </w:rPr>
            </w:pPr>
            <w:r>
              <w:rPr>
                <w:rFonts w:ascii="Times New Roman" w:hAnsi="Times New Roman"/>
                <w:b/>
              </w:rPr>
              <w:t>污染物</w:t>
            </w:r>
          </w:p>
        </w:tc>
        <w:tc>
          <w:tcPr>
            <w:tcW w:w="1000"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73B027B">
            <w:pPr>
              <w:pStyle w:val="1463"/>
              <w:spacing w:before="48" w:after="48"/>
              <w:rPr>
                <w:rFonts w:ascii="Times New Roman" w:hAnsi="Times New Roman"/>
                <w:b/>
              </w:rPr>
            </w:pPr>
            <w:r>
              <w:rPr>
                <w:rFonts w:ascii="Times New Roman" w:hAnsi="Times New Roman"/>
                <w:b/>
              </w:rPr>
              <w:t>参数A</w:t>
            </w:r>
          </w:p>
        </w:tc>
        <w:tc>
          <w:tcPr>
            <w:tcW w:w="999"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FB1C9A7">
            <w:pPr>
              <w:pStyle w:val="1463"/>
              <w:spacing w:before="48" w:after="48"/>
              <w:rPr>
                <w:rFonts w:ascii="Times New Roman" w:hAnsi="Times New Roman"/>
                <w:b/>
              </w:rPr>
            </w:pPr>
            <w:r>
              <w:rPr>
                <w:rFonts w:ascii="Times New Roman" w:hAnsi="Times New Roman"/>
                <w:b/>
              </w:rPr>
              <w:t>参数B</w:t>
            </w:r>
          </w:p>
        </w:tc>
        <w:tc>
          <w:tcPr>
            <w:tcW w:w="1001"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0A586A5">
            <w:pPr>
              <w:pStyle w:val="1463"/>
              <w:spacing w:before="48" w:after="48"/>
              <w:rPr>
                <w:rFonts w:ascii="Times New Roman" w:hAnsi="Times New Roman"/>
                <w:b/>
              </w:rPr>
            </w:pPr>
            <w:r>
              <w:rPr>
                <w:rFonts w:ascii="Times New Roman" w:hAnsi="Times New Roman"/>
                <w:b/>
              </w:rPr>
              <w:t>参数C</w:t>
            </w:r>
          </w:p>
        </w:tc>
        <w:tc>
          <w:tcPr>
            <w:tcW w:w="999"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019DCEB">
            <w:pPr>
              <w:pStyle w:val="1463"/>
              <w:spacing w:before="48" w:after="48"/>
              <w:rPr>
                <w:rFonts w:ascii="Times New Roman" w:hAnsi="Times New Roman"/>
                <w:b/>
              </w:rPr>
            </w:pPr>
            <w:r>
              <w:rPr>
                <w:rFonts w:ascii="Times New Roman" w:hAnsi="Times New Roman"/>
                <w:b/>
              </w:rPr>
              <w:t>参数D</w:t>
            </w:r>
          </w:p>
        </w:tc>
      </w:tr>
      <w:tr w14:paraId="012AF228">
        <w:tblPrEx>
          <w:tblCellMar>
            <w:top w:w="15" w:type="dxa"/>
            <w:left w:w="15" w:type="dxa"/>
            <w:bottom w:w="15" w:type="dxa"/>
            <w:right w:w="15" w:type="dxa"/>
          </w:tblCellMar>
        </w:tblPrEx>
        <w:trPr>
          <w:trHeight w:val="286" w:hRule="atLeast"/>
        </w:trPr>
        <w:tc>
          <w:tcPr>
            <w:tcW w:w="998" w:type="pct"/>
            <w:tcBorders>
              <w:top w:val="single" w:color="000000" w:sz="4" w:space="0"/>
              <w:left w:val="single" w:color="000000" w:sz="4" w:space="0"/>
              <w:bottom w:val="single" w:color="000000" w:sz="4" w:space="0"/>
              <w:right w:val="single" w:color="000000" w:sz="4" w:space="0"/>
            </w:tcBorders>
            <w:noWrap w:val="0"/>
            <w:vAlign w:val="center"/>
          </w:tcPr>
          <w:p w14:paraId="397DA917">
            <w:pPr>
              <w:jc w:val="center"/>
            </w:pPr>
            <w:r>
              <w:t>NH</w:t>
            </w:r>
            <w:r>
              <w:rPr>
                <w:vertAlign w:val="subscript"/>
              </w:rPr>
              <w:t>3</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EBE1998">
            <w:pPr>
              <w:jc w:val="center"/>
            </w:pPr>
            <w:r>
              <w:t>400</w:t>
            </w:r>
          </w:p>
        </w:tc>
        <w:tc>
          <w:tcPr>
            <w:tcW w:w="999" w:type="pct"/>
            <w:tcBorders>
              <w:top w:val="single" w:color="000000" w:sz="4" w:space="0"/>
              <w:left w:val="single" w:color="000000" w:sz="4" w:space="0"/>
              <w:bottom w:val="single" w:color="000000" w:sz="4" w:space="0"/>
              <w:right w:val="single" w:color="000000" w:sz="4" w:space="0"/>
            </w:tcBorders>
            <w:noWrap w:val="0"/>
            <w:vAlign w:val="center"/>
          </w:tcPr>
          <w:p w14:paraId="713D0045">
            <w:pPr>
              <w:jc w:val="center"/>
            </w:pPr>
            <w:r>
              <w:t>0.01</w:t>
            </w:r>
          </w:p>
        </w:tc>
        <w:tc>
          <w:tcPr>
            <w:tcW w:w="1001" w:type="pct"/>
            <w:tcBorders>
              <w:top w:val="single" w:color="000000" w:sz="4" w:space="0"/>
              <w:left w:val="single" w:color="000000" w:sz="4" w:space="0"/>
              <w:bottom w:val="single" w:color="000000" w:sz="4" w:space="0"/>
              <w:right w:val="single" w:color="000000" w:sz="4" w:space="0"/>
            </w:tcBorders>
            <w:noWrap w:val="0"/>
            <w:vAlign w:val="center"/>
          </w:tcPr>
          <w:p w14:paraId="1D03AD67">
            <w:pPr>
              <w:jc w:val="center"/>
            </w:pPr>
            <w:r>
              <w:t>1.85</w:t>
            </w:r>
          </w:p>
        </w:tc>
        <w:tc>
          <w:tcPr>
            <w:tcW w:w="999" w:type="pct"/>
            <w:tcBorders>
              <w:top w:val="single" w:color="000000" w:sz="4" w:space="0"/>
              <w:left w:val="single" w:color="000000" w:sz="4" w:space="0"/>
              <w:bottom w:val="single" w:color="000000" w:sz="4" w:space="0"/>
              <w:right w:val="single" w:color="000000" w:sz="4" w:space="0"/>
            </w:tcBorders>
            <w:noWrap w:val="0"/>
            <w:vAlign w:val="center"/>
          </w:tcPr>
          <w:p w14:paraId="503DC69A">
            <w:pPr>
              <w:jc w:val="center"/>
            </w:pPr>
            <w:r>
              <w:t>0.78</w:t>
            </w:r>
          </w:p>
        </w:tc>
      </w:tr>
      <w:tr w14:paraId="4C8793F7">
        <w:tblPrEx>
          <w:tblCellMar>
            <w:top w:w="15" w:type="dxa"/>
            <w:left w:w="15" w:type="dxa"/>
            <w:bottom w:w="15" w:type="dxa"/>
            <w:right w:w="15" w:type="dxa"/>
          </w:tblCellMar>
        </w:tblPrEx>
        <w:trPr>
          <w:trHeight w:val="286" w:hRule="atLeast"/>
        </w:trPr>
        <w:tc>
          <w:tcPr>
            <w:tcW w:w="998" w:type="pct"/>
            <w:tcBorders>
              <w:top w:val="single" w:color="000000" w:sz="4" w:space="0"/>
              <w:left w:val="single" w:color="000000" w:sz="4" w:space="0"/>
              <w:bottom w:val="single" w:color="000000" w:sz="4" w:space="0"/>
              <w:right w:val="single" w:color="000000" w:sz="4" w:space="0"/>
            </w:tcBorders>
            <w:noWrap w:val="0"/>
            <w:vAlign w:val="center"/>
          </w:tcPr>
          <w:p w14:paraId="13B1A1D6">
            <w:pPr>
              <w:jc w:val="center"/>
            </w:pPr>
            <w:r>
              <w:t>H</w:t>
            </w:r>
            <w:r>
              <w:rPr>
                <w:vertAlign w:val="subscript"/>
              </w:rPr>
              <w:t>2</w:t>
            </w:r>
            <w:r>
              <w:t>S</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6E9AFEA">
            <w:pPr>
              <w:jc w:val="center"/>
            </w:pPr>
            <w:r>
              <w:t>400</w:t>
            </w:r>
          </w:p>
        </w:tc>
        <w:tc>
          <w:tcPr>
            <w:tcW w:w="999" w:type="pct"/>
            <w:tcBorders>
              <w:top w:val="single" w:color="000000" w:sz="4" w:space="0"/>
              <w:left w:val="single" w:color="000000" w:sz="4" w:space="0"/>
              <w:bottom w:val="single" w:color="000000" w:sz="4" w:space="0"/>
              <w:right w:val="single" w:color="000000" w:sz="4" w:space="0"/>
            </w:tcBorders>
            <w:noWrap w:val="0"/>
            <w:vAlign w:val="center"/>
          </w:tcPr>
          <w:p w14:paraId="67536978">
            <w:pPr>
              <w:jc w:val="center"/>
            </w:pPr>
            <w:r>
              <w:t>0.01</w:t>
            </w:r>
          </w:p>
        </w:tc>
        <w:tc>
          <w:tcPr>
            <w:tcW w:w="1001" w:type="pct"/>
            <w:tcBorders>
              <w:top w:val="single" w:color="000000" w:sz="4" w:space="0"/>
              <w:left w:val="single" w:color="000000" w:sz="4" w:space="0"/>
              <w:bottom w:val="single" w:color="000000" w:sz="4" w:space="0"/>
              <w:right w:val="single" w:color="000000" w:sz="4" w:space="0"/>
            </w:tcBorders>
            <w:noWrap w:val="0"/>
            <w:vAlign w:val="center"/>
          </w:tcPr>
          <w:p w14:paraId="4946D70E">
            <w:pPr>
              <w:jc w:val="center"/>
            </w:pPr>
            <w:r>
              <w:t>1.85</w:t>
            </w:r>
          </w:p>
        </w:tc>
        <w:tc>
          <w:tcPr>
            <w:tcW w:w="999" w:type="pct"/>
            <w:tcBorders>
              <w:top w:val="single" w:color="000000" w:sz="4" w:space="0"/>
              <w:left w:val="single" w:color="000000" w:sz="4" w:space="0"/>
              <w:bottom w:val="single" w:color="000000" w:sz="4" w:space="0"/>
              <w:right w:val="single" w:color="000000" w:sz="4" w:space="0"/>
            </w:tcBorders>
            <w:noWrap w:val="0"/>
            <w:vAlign w:val="center"/>
          </w:tcPr>
          <w:p w14:paraId="65878D7F">
            <w:pPr>
              <w:jc w:val="center"/>
            </w:pPr>
            <w:r>
              <w:t>0.78</w:t>
            </w:r>
          </w:p>
        </w:tc>
      </w:tr>
    </w:tbl>
    <w:p w14:paraId="780D5EA3">
      <w:pPr>
        <w:spacing w:line="360" w:lineRule="auto"/>
        <w:ind w:firstLine="480" w:firstLineChars="200"/>
        <w:jc w:val="left"/>
        <w:rPr>
          <w:sz w:val="24"/>
        </w:rPr>
      </w:pPr>
      <w:r>
        <w:rPr>
          <w:sz w:val="24"/>
        </w:rPr>
        <w:t>根据计算，所有面源卫生防护距离均小于50m，根据卫生防护距离计算结果，无组织排放多种有害气体的工业企业，按Qc/Cm的最大值计算其所需卫生防护距离；但当按两种或两种以上的有害气体的Qc/Cm值计算的卫生防护距离在同一级别时，该类工业企业的卫生防护距离级别应该高一级，无组织排放多种有害气体的工业企业，按最大值计算所需卫生防护距离，因此无组织排放卫生防护距离取整为100m。</w:t>
      </w:r>
    </w:p>
    <w:p w14:paraId="0920E210">
      <w:pPr>
        <w:adjustRightInd w:val="0"/>
        <w:snapToGrid w:val="0"/>
        <w:spacing w:line="360" w:lineRule="auto"/>
        <w:ind w:firstLine="480" w:firstLineChars="200"/>
        <w:rPr>
          <w:sz w:val="24"/>
        </w:rPr>
      </w:pPr>
      <w:r>
        <w:rPr>
          <w:sz w:val="24"/>
        </w:rPr>
        <w:t>根据以上分析，综合确定项目卫生防护距离为养猪场猪舍、堆肥发酵及污水处理设施边界外100m范围，根据调查，项目周边100m范围内无居民点分布。</w:t>
      </w:r>
    </w:p>
    <w:p w14:paraId="3538DBDC">
      <w:pPr>
        <w:spacing w:line="360" w:lineRule="auto"/>
        <w:ind w:firstLine="480" w:firstLineChars="200"/>
        <w:jc w:val="left"/>
      </w:pPr>
      <w:r>
        <w:rPr>
          <w:sz w:val="24"/>
        </w:rPr>
        <w:t>当地政府在今后发展中要严格控制用地，在卫生距离范围内禁止新建居民楼、学校、幼儿园、医院等环境敏感建筑物。</w:t>
      </w:r>
    </w:p>
    <w:p w14:paraId="153BE1AC">
      <w:pPr>
        <w:spacing w:line="360" w:lineRule="auto"/>
        <w:ind w:firstLine="482" w:firstLineChars="200"/>
        <w:rPr>
          <w:b/>
          <w:bCs/>
          <w:sz w:val="24"/>
        </w:rPr>
      </w:pPr>
      <w:r>
        <w:rPr>
          <w:b/>
          <w:bCs/>
          <w:sz w:val="24"/>
        </w:rPr>
        <w:t>5.2.1.5小结</w:t>
      </w:r>
    </w:p>
    <w:p w14:paraId="5767C435">
      <w:pPr>
        <w:widowControl/>
        <w:spacing w:line="360" w:lineRule="auto"/>
        <w:ind w:firstLine="480" w:firstLineChars="200"/>
        <w:jc w:val="left"/>
        <w:rPr>
          <w:sz w:val="24"/>
        </w:rPr>
      </w:pPr>
      <w:r>
        <w:rPr>
          <w:sz w:val="24"/>
        </w:rPr>
        <w:t>项目正常生产情况下，</w:t>
      </w:r>
      <w:r>
        <w:rPr>
          <w:bCs/>
          <w:sz w:val="24"/>
        </w:rPr>
        <w:t>本</w:t>
      </w:r>
      <w:r>
        <w:rPr>
          <w:sz w:val="24"/>
          <w:lang w:bidi="ar"/>
        </w:rPr>
        <w:t>项目养殖地块中</w:t>
      </w:r>
      <w:r>
        <w:rPr>
          <w:kern w:val="0"/>
          <w:sz w:val="24"/>
          <w:lang w:bidi="ar"/>
        </w:rPr>
        <w:t>无组织排放污染物中，1号地（盛丰通风井位置）NH</w:t>
      </w:r>
      <w:r>
        <w:rPr>
          <w:kern w:val="0"/>
          <w:sz w:val="24"/>
          <w:vertAlign w:val="subscript"/>
          <w:lang w:bidi="ar"/>
        </w:rPr>
        <w:t>3</w:t>
      </w:r>
      <w:r>
        <w:rPr>
          <w:sz w:val="24"/>
          <w:lang w:bidi="ar"/>
        </w:rPr>
        <w:t>最大落地浓度</w:t>
      </w:r>
      <w:r>
        <w:rPr>
          <w:kern w:val="0"/>
          <w:sz w:val="24"/>
          <w:lang w:bidi="ar"/>
        </w:rPr>
        <w:t>10.698ug/m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 0.813444ug/m</w:t>
      </w:r>
      <w:r>
        <w:rPr>
          <w:kern w:val="0"/>
          <w:sz w:val="24"/>
          <w:vertAlign w:val="superscript"/>
          <w:lang w:bidi="ar"/>
        </w:rPr>
        <w:t>3</w:t>
      </w:r>
      <w:r>
        <w:rPr>
          <w:kern w:val="0"/>
          <w:sz w:val="24"/>
          <w:lang w:bidi="ar"/>
        </w:rPr>
        <w:t>，</w:t>
      </w:r>
      <w:r>
        <w:rPr>
          <w:sz w:val="24"/>
          <w:lang w:bidi="ar"/>
        </w:rPr>
        <w:t>占标率分别为</w:t>
      </w:r>
      <w:r>
        <w:rPr>
          <w:kern w:val="0"/>
          <w:sz w:val="24"/>
          <w:lang w:bidi="ar"/>
        </w:rPr>
        <w:t>5.35</w:t>
      </w:r>
      <w:r>
        <w:rPr>
          <w:sz w:val="24"/>
          <w:lang w:bidi="ar"/>
        </w:rPr>
        <w:t>％、</w:t>
      </w:r>
      <w:r>
        <w:rPr>
          <w:kern w:val="0"/>
          <w:sz w:val="24"/>
          <w:lang w:bidi="ar"/>
        </w:rPr>
        <w:t>8.13</w:t>
      </w:r>
      <w:r>
        <w:rPr>
          <w:sz w:val="24"/>
          <w:lang w:bidi="ar"/>
        </w:rPr>
        <w:t>％，占标率均小于10％；</w:t>
      </w:r>
      <w:r>
        <w:rPr>
          <w:kern w:val="0"/>
          <w:sz w:val="24"/>
          <w:lang w:bidi="ar"/>
        </w:rPr>
        <w:t>2号地（盛丰焦化楼位置）NH</w:t>
      </w:r>
      <w:r>
        <w:rPr>
          <w:kern w:val="0"/>
          <w:sz w:val="24"/>
          <w:vertAlign w:val="subscript"/>
          <w:lang w:bidi="ar"/>
        </w:rPr>
        <w:t>3</w:t>
      </w:r>
      <w:r>
        <w:rPr>
          <w:sz w:val="24"/>
          <w:lang w:bidi="ar"/>
        </w:rPr>
        <w:t>最大落地浓度</w:t>
      </w:r>
      <w:r>
        <w:rPr>
          <w:kern w:val="0"/>
          <w:sz w:val="24"/>
          <w:lang w:bidi="ar"/>
        </w:rPr>
        <w:t>16.843ug/m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S0.982783ug/m</w:t>
      </w:r>
      <w:r>
        <w:rPr>
          <w:kern w:val="0"/>
          <w:sz w:val="24"/>
          <w:vertAlign w:val="superscript"/>
          <w:lang w:bidi="ar"/>
        </w:rPr>
        <w:t>3</w:t>
      </w:r>
      <w:r>
        <w:rPr>
          <w:kern w:val="0"/>
          <w:sz w:val="24"/>
          <w:lang w:bidi="ar"/>
        </w:rPr>
        <w:t>，</w:t>
      </w:r>
      <w:r>
        <w:rPr>
          <w:sz w:val="24"/>
          <w:lang w:bidi="ar"/>
        </w:rPr>
        <w:t>占标率分别为</w:t>
      </w:r>
      <w:r>
        <w:rPr>
          <w:kern w:val="0"/>
          <w:sz w:val="24"/>
          <w:lang w:bidi="ar"/>
        </w:rPr>
        <w:t>8.42</w:t>
      </w:r>
      <w:r>
        <w:rPr>
          <w:sz w:val="24"/>
          <w:lang w:bidi="ar"/>
        </w:rPr>
        <w:t>％、</w:t>
      </w:r>
      <w:r>
        <w:rPr>
          <w:kern w:val="0"/>
          <w:sz w:val="24"/>
          <w:lang w:bidi="ar"/>
        </w:rPr>
        <w:t>9.83</w:t>
      </w:r>
      <w:r>
        <w:rPr>
          <w:sz w:val="24"/>
          <w:lang w:bidi="ar"/>
        </w:rPr>
        <w:t>％，占标率均小于10％；</w:t>
      </w:r>
      <w:r>
        <w:rPr>
          <w:kern w:val="0"/>
          <w:sz w:val="24"/>
          <w:lang w:bidi="ar"/>
        </w:rPr>
        <w:t>3号地（老井位置）NH</w:t>
      </w:r>
      <w:r>
        <w:rPr>
          <w:kern w:val="0"/>
          <w:sz w:val="24"/>
          <w:vertAlign w:val="subscript"/>
          <w:lang w:bidi="ar"/>
        </w:rPr>
        <w:t>3</w:t>
      </w:r>
      <w:r>
        <w:rPr>
          <w:sz w:val="24"/>
          <w:lang w:bidi="ar"/>
        </w:rPr>
        <w:t>最大落地浓度</w:t>
      </w:r>
      <w:r>
        <w:rPr>
          <w:kern w:val="0"/>
          <w:sz w:val="24"/>
          <w:lang w:bidi="ar"/>
        </w:rPr>
        <w:t>10.817ug/m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S0.614861ug/m</w:t>
      </w:r>
      <w:r>
        <w:rPr>
          <w:kern w:val="0"/>
          <w:sz w:val="24"/>
          <w:vertAlign w:val="superscript"/>
          <w:lang w:bidi="ar"/>
        </w:rPr>
        <w:t>3</w:t>
      </w:r>
      <w:r>
        <w:rPr>
          <w:kern w:val="0"/>
          <w:sz w:val="24"/>
          <w:lang w:bidi="ar"/>
        </w:rPr>
        <w:t>，</w:t>
      </w:r>
      <w:r>
        <w:rPr>
          <w:sz w:val="24"/>
          <w:lang w:bidi="ar"/>
        </w:rPr>
        <w:t>占标率分别为</w:t>
      </w:r>
      <w:r>
        <w:rPr>
          <w:kern w:val="0"/>
          <w:sz w:val="24"/>
          <w:lang w:bidi="ar"/>
        </w:rPr>
        <w:t>5.41</w:t>
      </w:r>
      <w:r>
        <w:rPr>
          <w:sz w:val="24"/>
          <w:lang w:bidi="ar"/>
        </w:rPr>
        <w:t>％、</w:t>
      </w:r>
      <w:r>
        <w:rPr>
          <w:kern w:val="0"/>
          <w:sz w:val="24"/>
          <w:lang w:bidi="ar"/>
        </w:rPr>
        <w:t>6.15</w:t>
      </w:r>
      <w:r>
        <w:rPr>
          <w:sz w:val="24"/>
          <w:lang w:bidi="ar"/>
        </w:rPr>
        <w:t>％，占标率均小于10％；</w:t>
      </w:r>
      <w:r>
        <w:rPr>
          <w:kern w:val="0"/>
          <w:sz w:val="24"/>
          <w:lang w:bidi="ar"/>
        </w:rPr>
        <w:t>4号地（鑫旺板块）NH</w:t>
      </w:r>
      <w:r>
        <w:rPr>
          <w:kern w:val="0"/>
          <w:sz w:val="24"/>
          <w:vertAlign w:val="subscript"/>
          <w:lang w:bidi="ar"/>
        </w:rPr>
        <w:t>3</w:t>
      </w:r>
      <w:r>
        <w:rPr>
          <w:sz w:val="24"/>
          <w:lang w:bidi="ar"/>
        </w:rPr>
        <w:t>最大落地浓度</w:t>
      </w:r>
      <w:r>
        <w:rPr>
          <w:kern w:val="0"/>
          <w:sz w:val="24"/>
          <w:lang w:bidi="ar"/>
        </w:rPr>
        <w:t>16.843ug/m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S0.976148ug/m</w:t>
      </w:r>
      <w:r>
        <w:rPr>
          <w:kern w:val="0"/>
          <w:sz w:val="24"/>
          <w:vertAlign w:val="superscript"/>
          <w:lang w:bidi="ar"/>
        </w:rPr>
        <w:t>3</w:t>
      </w:r>
      <w:r>
        <w:rPr>
          <w:kern w:val="0"/>
          <w:sz w:val="24"/>
          <w:lang w:bidi="ar"/>
        </w:rPr>
        <w:t>，</w:t>
      </w:r>
      <w:r>
        <w:rPr>
          <w:sz w:val="24"/>
          <w:lang w:bidi="ar"/>
        </w:rPr>
        <w:t>占标率分别为</w:t>
      </w:r>
      <w:r>
        <w:rPr>
          <w:kern w:val="0"/>
          <w:sz w:val="24"/>
          <w:lang w:bidi="ar"/>
        </w:rPr>
        <w:t>8.42</w:t>
      </w:r>
      <w:r>
        <w:rPr>
          <w:sz w:val="24"/>
          <w:lang w:bidi="ar"/>
        </w:rPr>
        <w:t>％、</w:t>
      </w:r>
      <w:r>
        <w:rPr>
          <w:kern w:val="0"/>
          <w:sz w:val="24"/>
          <w:lang w:bidi="ar"/>
        </w:rPr>
        <w:t>9.76</w:t>
      </w:r>
      <w:r>
        <w:rPr>
          <w:sz w:val="24"/>
          <w:lang w:bidi="ar"/>
        </w:rPr>
        <w:t>％，占标率均小于10％；</w:t>
      </w:r>
      <w:r>
        <w:rPr>
          <w:kern w:val="0"/>
          <w:sz w:val="24"/>
          <w:lang w:bidi="ar"/>
        </w:rPr>
        <w:t>5号地（大河边板块）NH</w:t>
      </w:r>
      <w:r>
        <w:rPr>
          <w:kern w:val="0"/>
          <w:sz w:val="24"/>
          <w:vertAlign w:val="subscript"/>
          <w:lang w:bidi="ar"/>
        </w:rPr>
        <w:t>3</w:t>
      </w:r>
      <w:r>
        <w:rPr>
          <w:sz w:val="24"/>
          <w:lang w:bidi="ar"/>
        </w:rPr>
        <w:t>最大落地浓度</w:t>
      </w:r>
      <w:r>
        <w:rPr>
          <w:kern w:val="0"/>
          <w:sz w:val="24"/>
          <w:lang w:bidi="ar"/>
        </w:rPr>
        <w:t>14.43ug/m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S0.836522ug/m</w:t>
      </w:r>
      <w:r>
        <w:rPr>
          <w:kern w:val="0"/>
          <w:sz w:val="24"/>
          <w:vertAlign w:val="superscript"/>
          <w:lang w:bidi="ar"/>
        </w:rPr>
        <w:t>3</w:t>
      </w:r>
      <w:r>
        <w:rPr>
          <w:kern w:val="0"/>
          <w:sz w:val="24"/>
          <w:lang w:bidi="ar"/>
        </w:rPr>
        <w:t>，</w:t>
      </w:r>
      <w:r>
        <w:rPr>
          <w:sz w:val="24"/>
          <w:lang w:bidi="ar"/>
        </w:rPr>
        <w:t>占标率分别为</w:t>
      </w:r>
      <w:r>
        <w:rPr>
          <w:kern w:val="0"/>
          <w:sz w:val="24"/>
          <w:lang w:bidi="ar"/>
        </w:rPr>
        <w:t>7.22</w:t>
      </w:r>
      <w:r>
        <w:rPr>
          <w:sz w:val="24"/>
          <w:lang w:bidi="ar"/>
        </w:rPr>
        <w:t>％、</w:t>
      </w:r>
      <w:r>
        <w:rPr>
          <w:kern w:val="0"/>
          <w:sz w:val="24"/>
          <w:lang w:bidi="ar"/>
        </w:rPr>
        <w:t>8.37</w:t>
      </w:r>
      <w:r>
        <w:rPr>
          <w:sz w:val="24"/>
          <w:lang w:bidi="ar"/>
        </w:rPr>
        <w:t>％，占标率均小于10％；无害化处置有组织排放</w:t>
      </w:r>
      <w:r>
        <w:rPr>
          <w:kern w:val="0"/>
          <w:sz w:val="24"/>
          <w:lang w:bidi="ar"/>
        </w:rPr>
        <w:t>NH</w:t>
      </w:r>
      <w:r>
        <w:rPr>
          <w:kern w:val="0"/>
          <w:sz w:val="24"/>
          <w:vertAlign w:val="subscript"/>
          <w:lang w:bidi="ar"/>
        </w:rPr>
        <w:t>3</w:t>
      </w:r>
      <w:r>
        <w:rPr>
          <w:sz w:val="24"/>
          <w:lang w:bidi="ar"/>
        </w:rPr>
        <w:t>最大落地浓度</w:t>
      </w:r>
      <w:r>
        <w:rPr>
          <w:kern w:val="0"/>
          <w:sz w:val="24"/>
          <w:lang w:bidi="ar"/>
        </w:rPr>
        <w:t>4.8774ug/m</w:t>
      </w:r>
      <w:r>
        <w:rPr>
          <w:kern w:val="0"/>
          <w:sz w:val="24"/>
          <w:vertAlign w:val="superscript"/>
          <w:lang w:bidi="ar"/>
        </w:rPr>
        <w:t>3</w:t>
      </w:r>
      <w:r>
        <w:rPr>
          <w:kern w:val="0"/>
          <w:sz w:val="24"/>
          <w:lang w:bidi="ar"/>
        </w:rPr>
        <w:t>，</w:t>
      </w:r>
      <w:r>
        <w:rPr>
          <w:sz w:val="24"/>
          <w:lang w:bidi="ar"/>
        </w:rPr>
        <w:t>占标率为</w:t>
      </w:r>
      <w:r>
        <w:rPr>
          <w:kern w:val="0"/>
          <w:sz w:val="24"/>
          <w:lang w:bidi="ar"/>
        </w:rPr>
        <w:t>2.44</w:t>
      </w:r>
      <w:r>
        <w:rPr>
          <w:sz w:val="24"/>
          <w:lang w:bidi="ar"/>
        </w:rPr>
        <w:t>％，</w:t>
      </w:r>
      <w:r>
        <w:rPr>
          <w:kern w:val="0"/>
          <w:sz w:val="24"/>
          <w:lang w:bidi="ar"/>
        </w:rPr>
        <w:t>满足《环境影响评价技术导则 大气环境》（</w:t>
      </w:r>
      <w:r>
        <w:rPr>
          <w:rFonts w:eastAsia="TimesNewRomanPSMT"/>
          <w:kern w:val="0"/>
          <w:sz w:val="24"/>
          <w:lang w:bidi="ar"/>
        </w:rPr>
        <w:t>HJ2.2-2018</w:t>
      </w:r>
      <w:r>
        <w:rPr>
          <w:kern w:val="0"/>
          <w:sz w:val="24"/>
          <w:lang w:bidi="ar"/>
        </w:rPr>
        <w:t xml:space="preserve">）附录 </w:t>
      </w:r>
      <w:r>
        <w:rPr>
          <w:rFonts w:eastAsia="TimesNewRomanPSMT"/>
          <w:kern w:val="0"/>
          <w:sz w:val="24"/>
          <w:lang w:bidi="ar"/>
        </w:rPr>
        <w:t xml:space="preserve">D </w:t>
      </w:r>
      <w:r>
        <w:rPr>
          <w:kern w:val="0"/>
          <w:sz w:val="24"/>
          <w:lang w:bidi="ar"/>
        </w:rPr>
        <w:t xml:space="preserve">其他污染物环境空气质量浓度参考限值。 </w:t>
      </w:r>
      <w:r>
        <w:rPr>
          <w:sz w:val="24"/>
        </w:rPr>
        <w:t>根据《环境影响评价技术导则 大气环境》(HJ2.2-2018)的要求，项目大气评价等级为二级。</w:t>
      </w:r>
    </w:p>
    <w:p w14:paraId="65E3342C">
      <w:pPr>
        <w:spacing w:line="360" w:lineRule="auto"/>
        <w:ind w:firstLine="480" w:firstLineChars="200"/>
        <w:rPr>
          <w:sz w:val="24"/>
        </w:rPr>
      </w:pPr>
      <w:r>
        <w:rPr>
          <w:sz w:val="24"/>
        </w:rPr>
        <w:t>项目区有组织排放大气污染物最大浓度出现距离为246m，所有污染物最大落地浓度均达标。无组织排放大气污染物最大浓度出现距离为52m，项目排放NH</w:t>
      </w:r>
      <w:r>
        <w:rPr>
          <w:sz w:val="24"/>
          <w:vertAlign w:val="subscript"/>
        </w:rPr>
        <w:t>3</w:t>
      </w:r>
      <w:r>
        <w:rPr>
          <w:sz w:val="24"/>
        </w:rPr>
        <w:t>、H</w:t>
      </w:r>
      <w:r>
        <w:rPr>
          <w:sz w:val="24"/>
          <w:vertAlign w:val="subscript"/>
        </w:rPr>
        <w:t>2</w:t>
      </w:r>
      <w:r>
        <w:rPr>
          <w:sz w:val="24"/>
        </w:rPr>
        <w:t>S的落地浓度均能满足</w:t>
      </w:r>
      <w:r>
        <w:rPr>
          <w:bCs/>
          <w:sz w:val="24"/>
        </w:rPr>
        <w:t>《环境影响评价技术导则 大气环境》（HJ2.2-2018）附录D氨、硫化氢的浓度参考限值要求，即</w:t>
      </w:r>
      <w:r>
        <w:rPr>
          <w:sz w:val="24"/>
        </w:rPr>
        <w:t>H</w:t>
      </w:r>
      <w:r>
        <w:rPr>
          <w:sz w:val="24"/>
          <w:vertAlign w:val="subscript"/>
        </w:rPr>
        <w:t>2</w:t>
      </w:r>
      <w:r>
        <w:rPr>
          <w:sz w:val="24"/>
        </w:rPr>
        <w:t>S≤0.01mg/m</w:t>
      </w:r>
      <w:r>
        <w:rPr>
          <w:sz w:val="24"/>
          <w:vertAlign w:val="superscript"/>
        </w:rPr>
        <w:t>3</w:t>
      </w:r>
      <w:r>
        <w:rPr>
          <w:sz w:val="24"/>
        </w:rPr>
        <w:t>、NH</w:t>
      </w:r>
      <w:r>
        <w:rPr>
          <w:sz w:val="24"/>
          <w:vertAlign w:val="subscript"/>
        </w:rPr>
        <w:t>3</w:t>
      </w:r>
      <w:r>
        <w:rPr>
          <w:sz w:val="24"/>
        </w:rPr>
        <w:t>≤0.2mg/m</w:t>
      </w:r>
      <w:r>
        <w:rPr>
          <w:sz w:val="24"/>
          <w:vertAlign w:val="superscript"/>
        </w:rPr>
        <w:t>3</w:t>
      </w:r>
      <w:r>
        <w:rPr>
          <w:sz w:val="24"/>
        </w:rPr>
        <w:t>；项目运行期大气污染物排放对周边居民点影响较小。</w:t>
      </w:r>
    </w:p>
    <w:p w14:paraId="17C924FE">
      <w:pPr>
        <w:spacing w:line="360" w:lineRule="auto"/>
        <w:ind w:firstLine="480" w:firstLineChars="200"/>
        <w:rPr>
          <w:sz w:val="24"/>
        </w:rPr>
      </w:pPr>
      <w:r>
        <w:rPr>
          <w:sz w:val="24"/>
        </w:rPr>
        <w:t>根据污染排放量核算结果，有组织排放的NH</w:t>
      </w:r>
      <w:r>
        <w:rPr>
          <w:sz w:val="24"/>
          <w:vertAlign w:val="subscript"/>
        </w:rPr>
        <w:t>3</w:t>
      </w:r>
      <w:r>
        <w:rPr>
          <w:sz w:val="24"/>
        </w:rPr>
        <w:t>核算年排放量为0.0315t/a、无组织排放的NH</w:t>
      </w:r>
      <w:r>
        <w:rPr>
          <w:sz w:val="24"/>
          <w:vertAlign w:val="subscript"/>
        </w:rPr>
        <w:t>3</w:t>
      </w:r>
      <w:r>
        <w:rPr>
          <w:sz w:val="24"/>
        </w:rPr>
        <w:t>年排放量为1.1162t/a、无组织排放的H</w:t>
      </w:r>
      <w:r>
        <w:rPr>
          <w:sz w:val="24"/>
          <w:vertAlign w:val="subscript"/>
        </w:rPr>
        <w:t>2</w:t>
      </w:r>
      <w:r>
        <w:rPr>
          <w:sz w:val="24"/>
        </w:rPr>
        <w:t>S核算年排放量为</w:t>
      </w:r>
      <w:r>
        <w:rPr>
          <w:kern w:val="0"/>
          <w:sz w:val="24"/>
          <w:lang w:bidi="ar"/>
        </w:rPr>
        <w:t>0.0850</w:t>
      </w:r>
      <w:r>
        <w:rPr>
          <w:sz w:val="24"/>
        </w:rPr>
        <w:t>t/a。</w:t>
      </w:r>
    </w:p>
    <w:p w14:paraId="68B23D20">
      <w:pPr>
        <w:spacing w:line="360" w:lineRule="auto"/>
        <w:ind w:firstLine="480" w:firstLineChars="200"/>
        <w:rPr>
          <w:sz w:val="24"/>
        </w:rPr>
      </w:pPr>
      <w:r>
        <w:rPr>
          <w:sz w:val="24"/>
        </w:rPr>
        <w:t>项目大气评价等级为二级，污染在厂界无超标点，无需设置大气防护距离。</w:t>
      </w:r>
    </w:p>
    <w:p w14:paraId="5A97CC03">
      <w:pPr>
        <w:spacing w:line="360" w:lineRule="auto"/>
        <w:ind w:firstLine="480" w:firstLineChars="200"/>
        <w:rPr>
          <w:sz w:val="24"/>
        </w:rPr>
      </w:pPr>
      <w:r>
        <w:rPr>
          <w:sz w:val="24"/>
        </w:rPr>
        <w:t>综上，项目正常生产情况下废气经处理后达标外排，外排污染物对环境空气的影响较小，在可接受的范围内。</w:t>
      </w:r>
    </w:p>
    <w:p w14:paraId="0A7F5C20">
      <w:pPr>
        <w:pStyle w:val="7"/>
        <w:spacing w:before="0" w:after="0" w:line="360" w:lineRule="auto"/>
        <w:rPr>
          <w:rFonts w:ascii="Times New Roman" w:hAnsi="Times New Roman"/>
          <w:sz w:val="28"/>
          <w:szCs w:val="28"/>
        </w:rPr>
      </w:pPr>
      <w:r>
        <w:rPr>
          <w:rFonts w:ascii="Times New Roman" w:hAnsi="Times New Roman"/>
          <w:sz w:val="28"/>
          <w:szCs w:val="28"/>
        </w:rPr>
        <w:t>5.2.2运营期地表水环境影响分析</w:t>
      </w:r>
    </w:p>
    <w:p w14:paraId="42BB7C23">
      <w:pPr>
        <w:pStyle w:val="8"/>
        <w:ind w:firstLine="562"/>
      </w:pPr>
      <w:r>
        <w:t>5.2.2.1正常运营地表水环境影响评价</w:t>
      </w:r>
    </w:p>
    <w:p w14:paraId="2FFF3285">
      <w:pPr>
        <w:spacing w:line="360" w:lineRule="auto"/>
        <w:ind w:firstLine="482" w:firstLineChars="200"/>
        <w:rPr>
          <w:b/>
          <w:sz w:val="24"/>
        </w:rPr>
      </w:pPr>
      <w:r>
        <w:rPr>
          <w:b/>
          <w:sz w:val="24"/>
        </w:rPr>
        <w:t>（1）项目废水产生及排放概况</w:t>
      </w:r>
    </w:p>
    <w:p w14:paraId="166066A5">
      <w:pPr>
        <w:spacing w:line="360" w:lineRule="auto"/>
        <w:ind w:firstLine="480" w:firstLineChars="200"/>
        <w:rPr>
          <w:sz w:val="24"/>
        </w:rPr>
      </w:pPr>
      <w:r>
        <w:rPr>
          <w:sz w:val="24"/>
        </w:rPr>
        <w:t>项目投产后，排水采用雨污分流制。本项目排水环节主要为猪尿液、猪粪固液分离废水、猪舍冲洗废水、养殖区职工生活污水，废水产生总量为</w:t>
      </w:r>
      <w:r>
        <w:rPr>
          <w:kern w:val="0"/>
          <w:sz w:val="24"/>
          <w:lang w:bidi="ar"/>
        </w:rPr>
        <w:t>9995.36</w:t>
      </w:r>
      <w:r>
        <w:rPr>
          <w:sz w:val="24"/>
        </w:rPr>
        <w:t>m</w:t>
      </w:r>
      <w:r>
        <w:rPr>
          <w:sz w:val="24"/>
          <w:vertAlign w:val="superscript"/>
        </w:rPr>
        <w:t>3</w:t>
      </w:r>
      <w:r>
        <w:rPr>
          <w:sz w:val="24"/>
        </w:rPr>
        <w:t>/a，日最大产生量经各养殖区自建污水处理站处理后全部回用于自有苹果园农灌，不外排到周边地表水体。</w:t>
      </w:r>
    </w:p>
    <w:p w14:paraId="20819ED2">
      <w:pPr>
        <w:spacing w:line="360" w:lineRule="auto"/>
        <w:ind w:firstLine="482" w:firstLineChars="200"/>
        <w:rPr>
          <w:b/>
          <w:sz w:val="24"/>
        </w:rPr>
      </w:pPr>
      <w:r>
        <w:rPr>
          <w:b/>
          <w:sz w:val="24"/>
        </w:rPr>
        <w:t>（2）污水处理站规模的合理性分析</w:t>
      </w:r>
    </w:p>
    <w:p w14:paraId="2FBB2F5B">
      <w:pPr>
        <w:spacing w:line="360" w:lineRule="auto"/>
        <w:ind w:firstLine="480" w:firstLineChars="200"/>
        <w:rPr>
          <w:sz w:val="24"/>
        </w:rPr>
      </w:pPr>
      <w:r>
        <w:rPr>
          <w:sz w:val="24"/>
        </w:rPr>
        <w:t>根据项目工程分析，项目生产废水产生总量为</w:t>
      </w:r>
      <w:r>
        <w:rPr>
          <w:kern w:val="0"/>
          <w:sz w:val="24"/>
          <w:lang w:bidi="ar"/>
        </w:rPr>
        <w:t>9995.36</w:t>
      </w:r>
      <w:r>
        <w:rPr>
          <w:sz w:val="24"/>
        </w:rPr>
        <w:t>m</w:t>
      </w:r>
      <w:r>
        <w:rPr>
          <w:sz w:val="24"/>
          <w:vertAlign w:val="superscript"/>
        </w:rPr>
        <w:t>3</w:t>
      </w:r>
      <w:r>
        <w:rPr>
          <w:sz w:val="24"/>
        </w:rPr>
        <w:t>/a，各养殖地块废水产生量及污水处理站规模如下：</w:t>
      </w:r>
    </w:p>
    <w:p w14:paraId="08B25DE5">
      <w:pPr>
        <w:pStyle w:val="86"/>
        <w:ind w:firstLine="482"/>
        <w:jc w:val="center"/>
        <w:rPr>
          <w:b/>
          <w:bCs/>
        </w:rPr>
      </w:pPr>
      <w:r>
        <w:rPr>
          <w:b/>
          <w:bCs/>
        </w:rPr>
        <w:t>表5.2-15 污水处理站规模一览表</w:t>
      </w:r>
    </w:p>
    <w:tbl>
      <w:tblPr>
        <w:tblStyle w:val="87"/>
        <w:tblW w:w="4997" w:type="pct"/>
        <w:tblInd w:w="0" w:type="dxa"/>
        <w:tblLayout w:type="autofit"/>
        <w:tblCellMar>
          <w:top w:w="0" w:type="dxa"/>
          <w:left w:w="108" w:type="dxa"/>
          <w:bottom w:w="0" w:type="dxa"/>
          <w:right w:w="108" w:type="dxa"/>
        </w:tblCellMar>
      </w:tblPr>
      <w:tblGrid>
        <w:gridCol w:w="2734"/>
        <w:gridCol w:w="1161"/>
        <w:gridCol w:w="1031"/>
        <w:gridCol w:w="1031"/>
        <w:gridCol w:w="1031"/>
        <w:gridCol w:w="1161"/>
        <w:gridCol w:w="1019"/>
        <w:gridCol w:w="1162"/>
      </w:tblGrid>
      <w:tr w14:paraId="747549D5">
        <w:tblPrEx>
          <w:tblCellMar>
            <w:top w:w="0" w:type="dxa"/>
            <w:left w:w="108" w:type="dxa"/>
            <w:bottom w:w="0" w:type="dxa"/>
            <w:right w:w="108" w:type="dxa"/>
          </w:tblCellMar>
        </w:tblPrEx>
        <w:trPr>
          <w:trHeight w:val="1140"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150E0BD7">
            <w:pPr>
              <w:widowControl/>
              <w:jc w:val="center"/>
              <w:textAlignment w:val="center"/>
              <w:rPr>
                <w:szCs w:val="21"/>
              </w:rPr>
            </w:pPr>
            <w:r>
              <w:rPr>
                <w:kern w:val="0"/>
                <w:szCs w:val="21"/>
                <w:lang w:bidi="ar"/>
              </w:rPr>
              <w:t>养殖区编号</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132050F4">
            <w:pPr>
              <w:widowControl/>
              <w:jc w:val="center"/>
              <w:textAlignment w:val="center"/>
              <w:rPr>
                <w:szCs w:val="21"/>
              </w:rPr>
            </w:pPr>
            <w:r>
              <w:rPr>
                <w:kern w:val="0"/>
                <w:szCs w:val="21"/>
                <w:lang w:bidi="ar"/>
              </w:rPr>
              <w:t>猪舍冲洗废水（m</w:t>
            </w:r>
            <w:r>
              <w:rPr>
                <w:kern w:val="0"/>
                <w:szCs w:val="21"/>
                <w:vertAlign w:val="superscript"/>
                <w:lang w:bidi="ar"/>
              </w:rPr>
              <w:t>3</w:t>
            </w:r>
            <w:r>
              <w:rPr>
                <w:kern w:val="0"/>
                <w:szCs w:val="21"/>
                <w:lang w:bidi="ar"/>
              </w:rPr>
              <w:t>/次）</w:t>
            </w: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247FBADD">
            <w:pPr>
              <w:widowControl/>
              <w:jc w:val="center"/>
              <w:textAlignment w:val="center"/>
              <w:rPr>
                <w:szCs w:val="21"/>
              </w:rPr>
            </w:pPr>
            <w:r>
              <w:rPr>
                <w:kern w:val="0"/>
                <w:szCs w:val="21"/>
                <w:lang w:bidi="ar"/>
              </w:rPr>
              <w:t>日最大产生猪尿产生量（m</w:t>
            </w:r>
            <w:r>
              <w:rPr>
                <w:kern w:val="0"/>
                <w:szCs w:val="21"/>
                <w:vertAlign w:val="superscript"/>
                <w:lang w:bidi="ar"/>
              </w:rPr>
              <w:t>3</w:t>
            </w:r>
            <w:r>
              <w:rPr>
                <w:kern w:val="0"/>
                <w:szCs w:val="21"/>
                <w:lang w:bidi="ar"/>
              </w:rPr>
              <w:t>/d）</w:t>
            </w: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3088D304">
            <w:pPr>
              <w:widowControl/>
              <w:jc w:val="center"/>
              <w:textAlignment w:val="center"/>
              <w:rPr>
                <w:szCs w:val="21"/>
              </w:rPr>
            </w:pPr>
            <w:r>
              <w:rPr>
                <w:kern w:val="0"/>
                <w:szCs w:val="21"/>
                <w:lang w:bidi="ar"/>
              </w:rPr>
              <w:t>生活污水产生量（m</w:t>
            </w:r>
            <w:r>
              <w:rPr>
                <w:kern w:val="0"/>
                <w:szCs w:val="21"/>
                <w:vertAlign w:val="superscript"/>
                <w:lang w:bidi="ar"/>
              </w:rPr>
              <w:t>3</w:t>
            </w:r>
            <w:r>
              <w:rPr>
                <w:kern w:val="0"/>
                <w:szCs w:val="21"/>
                <w:lang w:bidi="ar"/>
              </w:rPr>
              <w:t>/d）</w:t>
            </w: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60D3F91A">
            <w:pPr>
              <w:widowControl/>
              <w:jc w:val="center"/>
              <w:textAlignment w:val="center"/>
              <w:rPr>
                <w:szCs w:val="21"/>
              </w:rPr>
            </w:pPr>
            <w:r>
              <w:rPr>
                <w:kern w:val="0"/>
                <w:szCs w:val="21"/>
                <w:lang w:bidi="ar"/>
              </w:rPr>
              <w:t>渗率液日产生量（m</w:t>
            </w:r>
            <w:r>
              <w:rPr>
                <w:kern w:val="0"/>
                <w:szCs w:val="21"/>
                <w:vertAlign w:val="superscript"/>
                <w:lang w:bidi="ar"/>
              </w:rPr>
              <w:t>3</w:t>
            </w:r>
            <w:r>
              <w:rPr>
                <w:kern w:val="0"/>
                <w:szCs w:val="21"/>
                <w:lang w:bidi="ar"/>
              </w:rPr>
              <w:t>/d）</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04B3C3A0">
            <w:pPr>
              <w:widowControl/>
              <w:jc w:val="center"/>
              <w:textAlignment w:val="center"/>
              <w:rPr>
                <w:szCs w:val="21"/>
              </w:rPr>
            </w:pPr>
            <w:r>
              <w:rPr>
                <w:kern w:val="0"/>
                <w:szCs w:val="21"/>
                <w:lang w:bidi="ar"/>
              </w:rPr>
              <w:t>合计日最大产生量（m</w:t>
            </w:r>
            <w:r>
              <w:rPr>
                <w:kern w:val="0"/>
                <w:szCs w:val="21"/>
                <w:vertAlign w:val="superscript"/>
                <w:lang w:bidi="ar"/>
              </w:rPr>
              <w:t>3</w:t>
            </w:r>
            <w:r>
              <w:rPr>
                <w:kern w:val="0"/>
                <w:szCs w:val="21"/>
                <w:lang w:bidi="ar"/>
              </w:rPr>
              <w:t>/d）</w:t>
            </w: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15641E55">
            <w:pPr>
              <w:widowControl/>
              <w:jc w:val="center"/>
              <w:textAlignment w:val="center"/>
              <w:rPr>
                <w:szCs w:val="21"/>
              </w:rPr>
            </w:pPr>
            <w:r>
              <w:rPr>
                <w:kern w:val="0"/>
                <w:szCs w:val="21"/>
                <w:lang w:bidi="ar"/>
              </w:rPr>
              <w:t>年产生量（m</w:t>
            </w:r>
            <w:r>
              <w:rPr>
                <w:kern w:val="0"/>
                <w:szCs w:val="21"/>
                <w:vertAlign w:val="superscript"/>
                <w:lang w:bidi="ar"/>
              </w:rPr>
              <w:t>3</w:t>
            </w:r>
            <w:r>
              <w:rPr>
                <w:kern w:val="0"/>
                <w:szCs w:val="21"/>
                <w:lang w:bidi="ar"/>
              </w:rPr>
              <w:t>/a）</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6DE8166A">
            <w:pPr>
              <w:widowControl/>
              <w:jc w:val="center"/>
              <w:textAlignment w:val="center"/>
              <w:rPr>
                <w:szCs w:val="21"/>
              </w:rPr>
            </w:pPr>
            <w:r>
              <w:rPr>
                <w:kern w:val="0"/>
                <w:szCs w:val="21"/>
                <w:lang w:bidi="ar"/>
              </w:rPr>
              <w:t>污水处理站规模（m</w:t>
            </w:r>
            <w:r>
              <w:rPr>
                <w:kern w:val="0"/>
                <w:szCs w:val="21"/>
                <w:vertAlign w:val="superscript"/>
                <w:lang w:bidi="ar"/>
              </w:rPr>
              <w:t>3</w:t>
            </w:r>
            <w:r>
              <w:rPr>
                <w:kern w:val="0"/>
                <w:szCs w:val="21"/>
                <w:lang w:bidi="ar"/>
              </w:rPr>
              <w:t>/d）</w:t>
            </w:r>
          </w:p>
        </w:tc>
      </w:tr>
      <w:tr w14:paraId="3DF66299">
        <w:tblPrEx>
          <w:tblCellMar>
            <w:top w:w="0" w:type="dxa"/>
            <w:left w:w="108" w:type="dxa"/>
            <w:bottom w:w="0" w:type="dxa"/>
            <w:right w:w="108" w:type="dxa"/>
          </w:tblCellMar>
        </w:tblPrEx>
        <w:trPr>
          <w:trHeight w:val="315"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7B8C2658">
            <w:pPr>
              <w:widowControl/>
              <w:jc w:val="center"/>
              <w:textAlignment w:val="center"/>
              <w:rPr>
                <w:szCs w:val="21"/>
              </w:rPr>
            </w:pPr>
            <w:r>
              <w:rPr>
                <w:kern w:val="0"/>
                <w:szCs w:val="21"/>
                <w:lang w:bidi="ar"/>
              </w:rPr>
              <w:t>1号地</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2271023D">
            <w:pPr>
              <w:widowControl/>
              <w:jc w:val="center"/>
              <w:textAlignment w:val="center"/>
              <w:rPr>
                <w:szCs w:val="21"/>
              </w:rPr>
            </w:pPr>
            <w:r>
              <w:rPr>
                <w:kern w:val="0"/>
                <w:szCs w:val="21"/>
                <w:lang w:bidi="ar"/>
              </w:rPr>
              <w:t>7.52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1BE0932A">
            <w:pPr>
              <w:widowControl/>
              <w:jc w:val="center"/>
              <w:textAlignment w:val="center"/>
              <w:rPr>
                <w:szCs w:val="21"/>
              </w:rPr>
            </w:pPr>
            <w:r>
              <w:rPr>
                <w:kern w:val="0"/>
                <w:szCs w:val="21"/>
                <w:lang w:bidi="ar"/>
              </w:rPr>
              <w:t>3.24</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5FFE68E0">
            <w:pPr>
              <w:widowControl/>
              <w:jc w:val="center"/>
              <w:textAlignment w:val="center"/>
              <w:rPr>
                <w:szCs w:val="21"/>
              </w:rPr>
            </w:pPr>
            <w:r>
              <w:rPr>
                <w:kern w:val="0"/>
                <w:szCs w:val="21"/>
                <w:lang w:bidi="ar"/>
              </w:rPr>
              <w:t>0.32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678BB616">
            <w:pPr>
              <w:widowControl/>
              <w:jc w:val="center"/>
              <w:textAlignment w:val="center"/>
              <w:rPr>
                <w:szCs w:val="21"/>
              </w:rPr>
            </w:pPr>
            <w:r>
              <w:rPr>
                <w:kern w:val="0"/>
                <w:szCs w:val="21"/>
                <w:lang w:bidi="ar"/>
              </w:rPr>
              <w:t>0.0142</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6CE1088D">
            <w:pPr>
              <w:widowControl/>
              <w:jc w:val="center"/>
              <w:textAlignment w:val="center"/>
              <w:rPr>
                <w:szCs w:val="21"/>
              </w:rPr>
            </w:pPr>
            <w:r>
              <w:rPr>
                <w:kern w:val="0"/>
                <w:szCs w:val="21"/>
                <w:lang w:bidi="ar"/>
              </w:rPr>
              <w:t>11.09</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267DFF5A">
            <w:pPr>
              <w:widowControl/>
              <w:jc w:val="center"/>
              <w:textAlignment w:val="center"/>
              <w:rPr>
                <w:szCs w:val="21"/>
              </w:rPr>
            </w:pPr>
            <w:r>
              <w:rPr>
                <w:kern w:val="0"/>
                <w:szCs w:val="21"/>
                <w:lang w:bidi="ar"/>
              </w:rPr>
              <w:t>1098.8</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F7BC185">
            <w:pPr>
              <w:widowControl/>
              <w:jc w:val="center"/>
              <w:textAlignment w:val="center"/>
              <w:rPr>
                <w:szCs w:val="21"/>
              </w:rPr>
            </w:pPr>
            <w:r>
              <w:rPr>
                <w:kern w:val="0"/>
                <w:szCs w:val="21"/>
                <w:lang w:bidi="ar"/>
              </w:rPr>
              <w:t>14</w:t>
            </w:r>
          </w:p>
        </w:tc>
      </w:tr>
      <w:tr w14:paraId="1D01462D">
        <w:tblPrEx>
          <w:tblCellMar>
            <w:top w:w="0" w:type="dxa"/>
            <w:left w:w="108" w:type="dxa"/>
            <w:bottom w:w="0" w:type="dxa"/>
            <w:right w:w="108" w:type="dxa"/>
          </w:tblCellMar>
        </w:tblPrEx>
        <w:trPr>
          <w:trHeight w:val="315"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7488142C">
            <w:pPr>
              <w:widowControl/>
              <w:jc w:val="center"/>
              <w:textAlignment w:val="center"/>
              <w:rPr>
                <w:szCs w:val="21"/>
              </w:rPr>
            </w:pPr>
            <w:r>
              <w:rPr>
                <w:kern w:val="0"/>
                <w:szCs w:val="21"/>
                <w:lang w:bidi="ar"/>
              </w:rPr>
              <w:t>2号地</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29FE9F6">
            <w:pPr>
              <w:widowControl/>
              <w:jc w:val="center"/>
              <w:textAlignment w:val="center"/>
              <w:rPr>
                <w:szCs w:val="21"/>
              </w:rPr>
            </w:pPr>
            <w:r>
              <w:rPr>
                <w:kern w:val="0"/>
                <w:szCs w:val="21"/>
                <w:lang w:bidi="ar"/>
              </w:rPr>
              <w:t>15.92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3D4F1616">
            <w:pPr>
              <w:widowControl/>
              <w:jc w:val="center"/>
              <w:textAlignment w:val="center"/>
              <w:rPr>
                <w:szCs w:val="21"/>
              </w:rPr>
            </w:pPr>
            <w:r>
              <w:rPr>
                <w:kern w:val="0"/>
                <w:szCs w:val="21"/>
                <w:lang w:bidi="ar"/>
              </w:rPr>
              <w:t>6.85</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17A41881">
            <w:pPr>
              <w:widowControl/>
              <w:jc w:val="center"/>
              <w:textAlignment w:val="center"/>
              <w:rPr>
                <w:szCs w:val="21"/>
              </w:rPr>
            </w:pPr>
            <w:r>
              <w:rPr>
                <w:kern w:val="0"/>
                <w:szCs w:val="21"/>
                <w:lang w:bidi="ar"/>
              </w:rPr>
              <w:t>1.12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367F328C">
            <w:pPr>
              <w:widowControl/>
              <w:jc w:val="center"/>
              <w:textAlignment w:val="center"/>
              <w:rPr>
                <w:szCs w:val="21"/>
              </w:rPr>
            </w:pPr>
            <w:r>
              <w:rPr>
                <w:kern w:val="0"/>
                <w:szCs w:val="21"/>
                <w:lang w:bidi="ar"/>
              </w:rPr>
              <w:t>0.0300</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6D21CB69">
            <w:pPr>
              <w:widowControl/>
              <w:jc w:val="center"/>
              <w:textAlignment w:val="center"/>
              <w:rPr>
                <w:szCs w:val="21"/>
              </w:rPr>
            </w:pPr>
            <w:r>
              <w:rPr>
                <w:kern w:val="0"/>
                <w:szCs w:val="21"/>
                <w:lang w:bidi="ar"/>
              </w:rPr>
              <w:t>23.92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53C7B50E">
            <w:pPr>
              <w:widowControl/>
              <w:jc w:val="center"/>
              <w:textAlignment w:val="center"/>
              <w:rPr>
                <w:szCs w:val="21"/>
              </w:rPr>
            </w:pPr>
            <w:r>
              <w:rPr>
                <w:kern w:val="0"/>
                <w:szCs w:val="21"/>
                <w:lang w:bidi="ar"/>
              </w:rPr>
              <w:t>2735.78</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6281658">
            <w:pPr>
              <w:widowControl/>
              <w:jc w:val="center"/>
              <w:textAlignment w:val="center"/>
              <w:rPr>
                <w:szCs w:val="21"/>
              </w:rPr>
            </w:pPr>
            <w:r>
              <w:rPr>
                <w:kern w:val="0"/>
                <w:szCs w:val="21"/>
                <w:lang w:bidi="ar"/>
              </w:rPr>
              <w:t>28</w:t>
            </w:r>
          </w:p>
        </w:tc>
      </w:tr>
      <w:tr w14:paraId="1023AF51">
        <w:tblPrEx>
          <w:tblCellMar>
            <w:top w:w="0" w:type="dxa"/>
            <w:left w:w="108" w:type="dxa"/>
            <w:bottom w:w="0" w:type="dxa"/>
            <w:right w:w="108" w:type="dxa"/>
          </w:tblCellMar>
        </w:tblPrEx>
        <w:trPr>
          <w:trHeight w:val="315"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4F9D058C">
            <w:pPr>
              <w:widowControl/>
              <w:jc w:val="center"/>
              <w:textAlignment w:val="center"/>
              <w:rPr>
                <w:szCs w:val="21"/>
              </w:rPr>
            </w:pPr>
            <w:r>
              <w:rPr>
                <w:kern w:val="0"/>
                <w:szCs w:val="21"/>
                <w:lang w:bidi="ar"/>
              </w:rPr>
              <w:t>3号地</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6DB1674">
            <w:pPr>
              <w:widowControl/>
              <w:jc w:val="center"/>
              <w:textAlignment w:val="center"/>
              <w:rPr>
                <w:szCs w:val="21"/>
              </w:rPr>
            </w:pPr>
            <w:r>
              <w:rPr>
                <w:kern w:val="0"/>
                <w:szCs w:val="21"/>
                <w:lang w:bidi="ar"/>
              </w:rPr>
              <w:t>7.07</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1F12B0CD">
            <w:pPr>
              <w:widowControl/>
              <w:jc w:val="center"/>
              <w:textAlignment w:val="center"/>
              <w:rPr>
                <w:szCs w:val="21"/>
              </w:rPr>
            </w:pPr>
            <w:r>
              <w:rPr>
                <w:kern w:val="0"/>
                <w:szCs w:val="21"/>
                <w:lang w:bidi="ar"/>
              </w:rPr>
              <w:t>3.04</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6053D2C2">
            <w:pPr>
              <w:widowControl/>
              <w:jc w:val="center"/>
              <w:textAlignment w:val="center"/>
              <w:rPr>
                <w:szCs w:val="21"/>
              </w:rPr>
            </w:pPr>
            <w:r>
              <w:rPr>
                <w:kern w:val="0"/>
                <w:szCs w:val="21"/>
                <w:lang w:bidi="ar"/>
              </w:rPr>
              <w:t>0</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4404010D">
            <w:pPr>
              <w:widowControl/>
              <w:jc w:val="center"/>
              <w:textAlignment w:val="center"/>
              <w:rPr>
                <w:szCs w:val="21"/>
              </w:rPr>
            </w:pPr>
            <w:r>
              <w:rPr>
                <w:kern w:val="0"/>
                <w:szCs w:val="21"/>
                <w:lang w:bidi="ar"/>
              </w:rPr>
              <w:t>0.0133</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2F36B502">
            <w:pPr>
              <w:widowControl/>
              <w:jc w:val="center"/>
              <w:textAlignment w:val="center"/>
              <w:rPr>
                <w:szCs w:val="21"/>
              </w:rPr>
            </w:pPr>
            <w:r>
              <w:rPr>
                <w:kern w:val="0"/>
                <w:szCs w:val="21"/>
                <w:lang w:bidi="ar"/>
              </w:rPr>
              <w:t>10.13</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4057BC86">
            <w:pPr>
              <w:widowControl/>
              <w:jc w:val="center"/>
              <w:textAlignment w:val="center"/>
              <w:rPr>
                <w:szCs w:val="21"/>
              </w:rPr>
            </w:pPr>
            <w:r>
              <w:rPr>
                <w:kern w:val="0"/>
                <w:szCs w:val="21"/>
                <w:lang w:bidi="ar"/>
              </w:rPr>
              <w:t>1033.52</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86B5BFF">
            <w:pPr>
              <w:widowControl/>
              <w:jc w:val="center"/>
              <w:textAlignment w:val="center"/>
              <w:rPr>
                <w:szCs w:val="21"/>
              </w:rPr>
            </w:pPr>
            <w:r>
              <w:rPr>
                <w:kern w:val="0"/>
                <w:szCs w:val="21"/>
                <w:lang w:bidi="ar"/>
              </w:rPr>
              <w:t>12</w:t>
            </w:r>
          </w:p>
        </w:tc>
      </w:tr>
      <w:tr w14:paraId="04AEEB34">
        <w:tblPrEx>
          <w:tblCellMar>
            <w:top w:w="0" w:type="dxa"/>
            <w:left w:w="108" w:type="dxa"/>
            <w:bottom w:w="0" w:type="dxa"/>
            <w:right w:w="108" w:type="dxa"/>
          </w:tblCellMar>
        </w:tblPrEx>
        <w:trPr>
          <w:trHeight w:val="315"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7C6450C4">
            <w:pPr>
              <w:widowControl/>
              <w:jc w:val="center"/>
              <w:textAlignment w:val="center"/>
              <w:rPr>
                <w:szCs w:val="21"/>
              </w:rPr>
            </w:pPr>
            <w:r>
              <w:rPr>
                <w:kern w:val="0"/>
                <w:szCs w:val="21"/>
                <w:lang w:bidi="ar"/>
              </w:rPr>
              <w:t>4号地</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9DCBEA0">
            <w:pPr>
              <w:widowControl/>
              <w:jc w:val="center"/>
              <w:textAlignment w:val="center"/>
              <w:rPr>
                <w:szCs w:val="21"/>
              </w:rPr>
            </w:pPr>
            <w:r>
              <w:rPr>
                <w:kern w:val="0"/>
                <w:szCs w:val="21"/>
                <w:lang w:bidi="ar"/>
              </w:rPr>
              <w:t>17.20</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2F5F6246">
            <w:pPr>
              <w:widowControl/>
              <w:jc w:val="center"/>
              <w:textAlignment w:val="center"/>
              <w:rPr>
                <w:szCs w:val="21"/>
              </w:rPr>
            </w:pPr>
            <w:r>
              <w:rPr>
                <w:kern w:val="0"/>
                <w:szCs w:val="21"/>
                <w:lang w:bidi="ar"/>
              </w:rPr>
              <w:t>7.41</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3C92202C">
            <w:pPr>
              <w:widowControl/>
              <w:jc w:val="center"/>
              <w:textAlignment w:val="center"/>
              <w:rPr>
                <w:szCs w:val="21"/>
              </w:rPr>
            </w:pPr>
            <w:r>
              <w:rPr>
                <w:kern w:val="0"/>
                <w:szCs w:val="21"/>
                <w:lang w:bidi="ar"/>
              </w:rPr>
              <w:t>0.48</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3ED22E9F">
            <w:pPr>
              <w:widowControl/>
              <w:jc w:val="center"/>
              <w:textAlignment w:val="center"/>
              <w:rPr>
                <w:szCs w:val="21"/>
              </w:rPr>
            </w:pPr>
            <w:r>
              <w:rPr>
                <w:kern w:val="0"/>
                <w:szCs w:val="21"/>
                <w:lang w:bidi="ar"/>
              </w:rPr>
              <w:t>0.0324</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EF7B5F3">
            <w:pPr>
              <w:widowControl/>
              <w:jc w:val="center"/>
              <w:textAlignment w:val="center"/>
              <w:rPr>
                <w:szCs w:val="21"/>
              </w:rPr>
            </w:pPr>
            <w:r>
              <w:rPr>
                <w:kern w:val="0"/>
                <w:szCs w:val="21"/>
                <w:lang w:bidi="ar"/>
              </w:rPr>
              <w:t>25.12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0F822A59">
            <w:pPr>
              <w:widowControl/>
              <w:jc w:val="center"/>
              <w:textAlignment w:val="center"/>
              <w:rPr>
                <w:szCs w:val="21"/>
              </w:rPr>
            </w:pPr>
            <w:r>
              <w:rPr>
                <w:kern w:val="0"/>
                <w:szCs w:val="21"/>
                <w:lang w:bidi="ar"/>
              </w:rPr>
              <w:t>2690.11</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1435D51F">
            <w:pPr>
              <w:widowControl/>
              <w:jc w:val="center"/>
              <w:textAlignment w:val="center"/>
              <w:rPr>
                <w:szCs w:val="21"/>
              </w:rPr>
            </w:pPr>
            <w:r>
              <w:rPr>
                <w:kern w:val="0"/>
                <w:szCs w:val="21"/>
                <w:lang w:bidi="ar"/>
              </w:rPr>
              <w:t>31</w:t>
            </w:r>
          </w:p>
        </w:tc>
      </w:tr>
      <w:tr w14:paraId="5FC466B3">
        <w:tblPrEx>
          <w:tblCellMar>
            <w:top w:w="0" w:type="dxa"/>
            <w:left w:w="108" w:type="dxa"/>
            <w:bottom w:w="0" w:type="dxa"/>
            <w:right w:w="108" w:type="dxa"/>
          </w:tblCellMar>
        </w:tblPrEx>
        <w:trPr>
          <w:trHeight w:val="315"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4442E32A">
            <w:pPr>
              <w:widowControl/>
              <w:jc w:val="center"/>
              <w:textAlignment w:val="center"/>
              <w:rPr>
                <w:szCs w:val="21"/>
              </w:rPr>
            </w:pPr>
            <w:r>
              <w:rPr>
                <w:kern w:val="0"/>
                <w:szCs w:val="21"/>
                <w:lang w:bidi="ar"/>
              </w:rPr>
              <w:t>5号地</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35BA78C8">
            <w:pPr>
              <w:widowControl/>
              <w:jc w:val="center"/>
              <w:textAlignment w:val="center"/>
              <w:rPr>
                <w:szCs w:val="21"/>
              </w:rPr>
            </w:pPr>
            <w:r>
              <w:rPr>
                <w:kern w:val="0"/>
                <w:szCs w:val="21"/>
                <w:lang w:bidi="ar"/>
              </w:rPr>
              <w:t>13.48</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524F6304">
            <w:pPr>
              <w:widowControl/>
              <w:jc w:val="center"/>
              <w:textAlignment w:val="center"/>
              <w:rPr>
                <w:szCs w:val="21"/>
              </w:rPr>
            </w:pPr>
            <w:r>
              <w:rPr>
                <w:kern w:val="0"/>
                <w:szCs w:val="21"/>
                <w:lang w:bidi="ar"/>
              </w:rPr>
              <w:t>5.80</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74F5458D">
            <w:pPr>
              <w:widowControl/>
              <w:jc w:val="center"/>
              <w:textAlignment w:val="center"/>
              <w:rPr>
                <w:szCs w:val="21"/>
              </w:rPr>
            </w:pPr>
            <w:r>
              <w:rPr>
                <w:kern w:val="0"/>
                <w:szCs w:val="21"/>
                <w:lang w:bidi="ar"/>
              </w:rPr>
              <w:t>0.96</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1FAAE861">
            <w:pPr>
              <w:widowControl/>
              <w:jc w:val="center"/>
              <w:textAlignment w:val="center"/>
              <w:rPr>
                <w:szCs w:val="21"/>
              </w:rPr>
            </w:pPr>
            <w:r>
              <w:rPr>
                <w:kern w:val="0"/>
                <w:szCs w:val="21"/>
                <w:lang w:bidi="ar"/>
              </w:rPr>
              <w:t>0.0254</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8595C44">
            <w:pPr>
              <w:widowControl/>
              <w:jc w:val="center"/>
              <w:textAlignment w:val="center"/>
              <w:rPr>
                <w:szCs w:val="21"/>
              </w:rPr>
            </w:pPr>
            <w:r>
              <w:rPr>
                <w:kern w:val="0"/>
                <w:szCs w:val="21"/>
                <w:lang w:bidi="ar"/>
              </w:rPr>
              <w:t>20.26</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262DB1C1">
            <w:pPr>
              <w:widowControl/>
              <w:jc w:val="center"/>
              <w:textAlignment w:val="center"/>
              <w:rPr>
                <w:szCs w:val="21"/>
              </w:rPr>
            </w:pPr>
            <w:r>
              <w:rPr>
                <w:kern w:val="0"/>
                <w:szCs w:val="21"/>
                <w:lang w:bidi="ar"/>
              </w:rPr>
              <w:t>2320.36</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0178CEE9">
            <w:pPr>
              <w:widowControl/>
              <w:jc w:val="center"/>
              <w:textAlignment w:val="center"/>
              <w:rPr>
                <w:szCs w:val="21"/>
              </w:rPr>
            </w:pPr>
            <w:r>
              <w:rPr>
                <w:kern w:val="0"/>
                <w:szCs w:val="21"/>
                <w:lang w:bidi="ar"/>
              </w:rPr>
              <w:t>25</w:t>
            </w:r>
          </w:p>
        </w:tc>
      </w:tr>
      <w:tr w14:paraId="33F9E20E">
        <w:tblPrEx>
          <w:tblCellMar>
            <w:top w:w="0" w:type="dxa"/>
            <w:left w:w="108" w:type="dxa"/>
            <w:bottom w:w="0" w:type="dxa"/>
            <w:right w:w="108" w:type="dxa"/>
          </w:tblCellMar>
        </w:tblPrEx>
        <w:trPr>
          <w:trHeight w:val="315" w:hRule="atLeast"/>
        </w:trPr>
        <w:tc>
          <w:tcPr>
            <w:tcW w:w="1379" w:type="pct"/>
            <w:tcBorders>
              <w:top w:val="single" w:color="000000" w:sz="4" w:space="0"/>
              <w:left w:val="single" w:color="000000" w:sz="4" w:space="0"/>
              <w:bottom w:val="single" w:color="000000" w:sz="4" w:space="0"/>
              <w:right w:val="single" w:color="000000" w:sz="4" w:space="0"/>
            </w:tcBorders>
            <w:noWrap/>
            <w:vAlign w:val="center"/>
          </w:tcPr>
          <w:p w14:paraId="333485D0">
            <w:pPr>
              <w:widowControl/>
              <w:jc w:val="center"/>
              <w:textAlignment w:val="center"/>
              <w:rPr>
                <w:szCs w:val="21"/>
              </w:rPr>
            </w:pPr>
            <w:r>
              <w:rPr>
                <w:kern w:val="0"/>
                <w:szCs w:val="21"/>
                <w:lang w:bidi="ar"/>
              </w:rPr>
              <w:t>合计</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672EE7C9">
            <w:pPr>
              <w:widowControl/>
              <w:jc w:val="center"/>
              <w:textAlignment w:val="center"/>
              <w:rPr>
                <w:szCs w:val="21"/>
              </w:rPr>
            </w:pPr>
            <w:r>
              <w:rPr>
                <w:kern w:val="0"/>
                <w:szCs w:val="21"/>
                <w:lang w:bidi="ar"/>
              </w:rPr>
              <w:t>61.18</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5E6C6750">
            <w:pPr>
              <w:widowControl/>
              <w:jc w:val="center"/>
              <w:textAlignment w:val="center"/>
              <w:rPr>
                <w:szCs w:val="21"/>
              </w:rPr>
            </w:pPr>
            <w:r>
              <w:rPr>
                <w:kern w:val="0"/>
                <w:szCs w:val="21"/>
                <w:lang w:bidi="ar"/>
              </w:rPr>
              <w:t>26.35</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7C71BC99">
            <w:pPr>
              <w:widowControl/>
              <w:jc w:val="center"/>
              <w:textAlignment w:val="center"/>
              <w:rPr>
                <w:szCs w:val="21"/>
              </w:rPr>
            </w:pPr>
            <w:r>
              <w:rPr>
                <w:kern w:val="0"/>
                <w:szCs w:val="21"/>
                <w:lang w:bidi="ar"/>
              </w:rPr>
              <w:t>2.88</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10008BD3">
            <w:pPr>
              <w:widowControl/>
              <w:jc w:val="center"/>
              <w:textAlignment w:val="center"/>
              <w:rPr>
                <w:szCs w:val="21"/>
              </w:rPr>
            </w:pPr>
            <w:r>
              <w:rPr>
                <w:kern w:val="0"/>
                <w:szCs w:val="21"/>
                <w:lang w:bidi="ar"/>
              </w:rPr>
              <w:t>0.1153</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5DF470BE">
            <w:pPr>
              <w:widowControl/>
              <w:jc w:val="center"/>
              <w:textAlignment w:val="center"/>
              <w:rPr>
                <w:szCs w:val="21"/>
              </w:rPr>
            </w:pPr>
            <w:r>
              <w:rPr>
                <w:kern w:val="0"/>
                <w:szCs w:val="21"/>
                <w:lang w:bidi="ar"/>
              </w:rPr>
              <w:t>90.52</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2B857C3A">
            <w:pPr>
              <w:widowControl/>
              <w:jc w:val="center"/>
              <w:textAlignment w:val="center"/>
              <w:rPr>
                <w:szCs w:val="21"/>
              </w:rPr>
            </w:pPr>
            <w:r>
              <w:rPr>
                <w:kern w:val="0"/>
                <w:szCs w:val="21"/>
                <w:lang w:bidi="ar"/>
              </w:rPr>
              <w:t>9995.36</w:t>
            </w:r>
          </w:p>
        </w:tc>
        <w:tc>
          <w:tcPr>
            <w:tcW w:w="618" w:type="pct"/>
            <w:tcBorders>
              <w:top w:val="single" w:color="000000" w:sz="4" w:space="0"/>
              <w:left w:val="single" w:color="000000" w:sz="4" w:space="0"/>
              <w:bottom w:val="single" w:color="000000" w:sz="4" w:space="0"/>
              <w:right w:val="single" w:color="000000" w:sz="4" w:space="0"/>
            </w:tcBorders>
            <w:noWrap/>
            <w:vAlign w:val="center"/>
          </w:tcPr>
          <w:p w14:paraId="1EEC0AD1">
            <w:pPr>
              <w:widowControl/>
              <w:jc w:val="center"/>
              <w:textAlignment w:val="center"/>
              <w:rPr>
                <w:szCs w:val="21"/>
              </w:rPr>
            </w:pPr>
            <w:r>
              <w:rPr>
                <w:kern w:val="0"/>
                <w:szCs w:val="21"/>
                <w:lang w:bidi="ar"/>
              </w:rPr>
              <w:t>/</w:t>
            </w:r>
          </w:p>
        </w:tc>
      </w:tr>
    </w:tbl>
    <w:p w14:paraId="47F42D61">
      <w:pPr>
        <w:spacing w:line="360" w:lineRule="auto"/>
        <w:ind w:firstLine="480" w:firstLineChars="200"/>
        <w:rPr>
          <w:sz w:val="24"/>
        </w:rPr>
      </w:pPr>
      <w:r>
        <w:rPr>
          <w:sz w:val="24"/>
        </w:rPr>
        <w:t>项目在各养殖场地各建设一座污水处理站，共计5座污水处理站，生活污水及养殖废水收集后进入各自场地污水处理站处理，其中3号养殖场地及2号养殖场地的生活污水统一进入2号场地污水处理站处理；处理规模分别为1号地14m</w:t>
      </w:r>
      <w:r>
        <w:rPr>
          <w:sz w:val="24"/>
          <w:vertAlign w:val="superscript"/>
        </w:rPr>
        <w:t>3</w:t>
      </w:r>
      <w:r>
        <w:rPr>
          <w:sz w:val="24"/>
        </w:rPr>
        <w:t>/d，2号地28m</w:t>
      </w:r>
      <w:r>
        <w:rPr>
          <w:sz w:val="24"/>
          <w:vertAlign w:val="superscript"/>
        </w:rPr>
        <w:t>3</w:t>
      </w:r>
      <w:r>
        <w:rPr>
          <w:sz w:val="24"/>
        </w:rPr>
        <w:t>/d，3号地12m</w:t>
      </w:r>
      <w:r>
        <w:rPr>
          <w:sz w:val="24"/>
          <w:vertAlign w:val="superscript"/>
        </w:rPr>
        <w:t>3</w:t>
      </w:r>
      <w:r>
        <w:rPr>
          <w:sz w:val="24"/>
        </w:rPr>
        <w:t>/d，4号地31m</w:t>
      </w:r>
      <w:r>
        <w:rPr>
          <w:sz w:val="24"/>
          <w:vertAlign w:val="superscript"/>
        </w:rPr>
        <w:t>3</w:t>
      </w:r>
      <w:r>
        <w:rPr>
          <w:sz w:val="24"/>
        </w:rPr>
        <w:t>/d，5号地25m</w:t>
      </w:r>
      <w:r>
        <w:rPr>
          <w:sz w:val="24"/>
          <w:vertAlign w:val="superscript"/>
        </w:rPr>
        <w:t>3</w:t>
      </w:r>
      <w:r>
        <w:rPr>
          <w:sz w:val="24"/>
        </w:rPr>
        <w:t>/d。废水处理工艺为：“集中收集+固液分离+平流气浮+调节池+沼气池（UASB反应器）+沼液储存池”，处理后回用于自有苹果园灌溉，不外排。</w:t>
      </w:r>
    </w:p>
    <w:p w14:paraId="31219973">
      <w:pPr>
        <w:spacing w:line="360" w:lineRule="auto"/>
        <w:ind w:firstLine="480" w:firstLineChars="200"/>
        <w:rPr>
          <w:sz w:val="24"/>
        </w:rPr>
      </w:pPr>
      <w:r>
        <w:rPr>
          <w:sz w:val="24"/>
        </w:rPr>
        <w:t>根据上述分析，项目建设的污水处理站处理规模均大于各场地污水最大产生量，能满足项目生产废水、生活污水处理需求。</w:t>
      </w:r>
    </w:p>
    <w:p w14:paraId="3D035301">
      <w:pPr>
        <w:spacing w:line="360" w:lineRule="auto"/>
        <w:ind w:firstLine="482" w:firstLineChars="200"/>
        <w:rPr>
          <w:bCs/>
          <w:sz w:val="24"/>
        </w:rPr>
      </w:pPr>
      <w:r>
        <w:rPr>
          <w:b/>
          <w:sz w:val="24"/>
        </w:rPr>
        <w:t>（3）项目污水处理工艺可行性分析</w:t>
      </w:r>
    </w:p>
    <w:p w14:paraId="00718C6D">
      <w:pPr>
        <w:spacing w:line="360" w:lineRule="auto"/>
        <w:ind w:firstLine="480" w:firstLineChars="200"/>
        <w:rPr>
          <w:sz w:val="24"/>
        </w:rPr>
      </w:pPr>
      <w:r>
        <w:rPr>
          <w:sz w:val="24"/>
        </w:rPr>
        <w:t>本项目污水处理站采用“集中收集+固液分离+平流气浮+调节池+沼气池（UASB反应器）+沼液储存池”，与原环境保护部发布的《畜禽养殖业污染治理工程技术规范》（HJ497-2009）推荐的污水处理工艺模式II一致，《畜禽养殖业污染治理工程技术规范》（HJ497-2009）中要求，本项目总存栏量9300头，低于10000头规模，宜采用HJ497-2009中污水处理工艺模式II进行处理，根据《畜禽养殖业污染治理工程技术规范》（HJ497-2009），采用模式Ⅰ或模式Ⅱ处理工艺的，养殖场应位于非环境敏感区，周围的环境容量大，远离城市，有能源需求，周边有足够土地能够消纳全部的沼液、沼渣。模式Ⅱ工艺适用于能源需求不大，主要以进行污染物无害化处理、降低有机物浓度、减少沼液和沼渣消纳所需配套的土地面积为目的，且养殖场周围具有足够土地面积全部消纳低浓度沼液，并且有一定的土地轮作面积的情况。本项目不涉及敏感区，远离城市，员工生活可以全部利用产生的沼气，项目采用干清粪工艺，公司自有2800亩苹果园，有足够土地面积全部消纳低浓度沼液，并且有一定的土地轮作面积的情况。</w:t>
      </w:r>
    </w:p>
    <w:p w14:paraId="3C6D28C0">
      <w:pPr>
        <w:spacing w:line="360" w:lineRule="auto"/>
        <w:ind w:firstLine="480" w:firstLineChars="200"/>
        <w:rPr>
          <w:sz w:val="24"/>
        </w:rPr>
      </w:pPr>
      <w:r>
        <w:rPr>
          <w:sz w:val="24"/>
        </w:rPr>
        <w:t>根据上述分析，项目污水处理工艺是可行的。</w:t>
      </w:r>
    </w:p>
    <w:p w14:paraId="0ED01172">
      <w:pPr>
        <w:spacing w:line="360" w:lineRule="auto"/>
        <w:ind w:firstLine="482" w:firstLineChars="200"/>
        <w:rPr>
          <w:b/>
          <w:sz w:val="24"/>
        </w:rPr>
      </w:pPr>
      <w:r>
        <w:rPr>
          <w:b/>
          <w:sz w:val="24"/>
        </w:rPr>
        <w:t>（4）项目废水回用于农灌不外排可靠性分析</w:t>
      </w:r>
    </w:p>
    <w:p w14:paraId="466C718D">
      <w:pPr>
        <w:spacing w:line="360" w:lineRule="auto"/>
        <w:ind w:firstLine="480" w:firstLineChars="200"/>
        <w:rPr>
          <w:bCs/>
          <w:sz w:val="24"/>
        </w:rPr>
      </w:pPr>
      <w:r>
        <w:rPr>
          <w:sz w:val="24"/>
        </w:rPr>
        <w:t>根据《畜禽养殖业污染防治技术规范》，养殖废水经无害化处理后尽量充分还田，实现污水资源化利用。</w:t>
      </w:r>
      <w:r>
        <w:rPr>
          <w:bCs/>
          <w:sz w:val="24"/>
        </w:rPr>
        <w:t>根据项目工程分析和土地沼液消纳能力分析，</w:t>
      </w:r>
      <w:r>
        <w:rPr>
          <w:sz w:val="24"/>
        </w:rPr>
        <w:t>本项目配套消土纳地面积约为2800亩苹果园，</w:t>
      </w:r>
      <w:r>
        <w:rPr>
          <w:bCs/>
          <w:sz w:val="24"/>
        </w:rPr>
        <w:t>项目在各养殖地块设置的沼液储存池容积情况如下表：</w:t>
      </w:r>
    </w:p>
    <w:p w14:paraId="6C167E8F">
      <w:pPr>
        <w:pStyle w:val="86"/>
        <w:ind w:firstLine="482"/>
        <w:jc w:val="center"/>
        <w:rPr>
          <w:b/>
        </w:rPr>
      </w:pPr>
      <w:r>
        <w:rPr>
          <w:b/>
        </w:rPr>
        <w:t>表5.2-16 沼液池及满足情况一览表</w:t>
      </w:r>
    </w:p>
    <w:tbl>
      <w:tblPr>
        <w:tblStyle w:val="87"/>
        <w:tblW w:w="4998" w:type="pct"/>
        <w:tblInd w:w="0" w:type="dxa"/>
        <w:tblLayout w:type="autofit"/>
        <w:tblCellMar>
          <w:top w:w="0" w:type="dxa"/>
          <w:left w:w="108" w:type="dxa"/>
          <w:bottom w:w="0" w:type="dxa"/>
          <w:right w:w="108" w:type="dxa"/>
        </w:tblCellMar>
      </w:tblPr>
      <w:tblGrid>
        <w:gridCol w:w="1993"/>
        <w:gridCol w:w="2859"/>
        <w:gridCol w:w="2620"/>
        <w:gridCol w:w="2860"/>
      </w:tblGrid>
      <w:tr w14:paraId="70BE0CCB">
        <w:tblPrEx>
          <w:tblCellMar>
            <w:top w:w="0" w:type="dxa"/>
            <w:left w:w="108" w:type="dxa"/>
            <w:bottom w:w="0" w:type="dxa"/>
            <w:right w:w="108" w:type="dxa"/>
          </w:tblCellMar>
        </w:tblPrEx>
        <w:trPr>
          <w:trHeight w:val="570" w:hRule="atLeast"/>
        </w:trPr>
        <w:tc>
          <w:tcPr>
            <w:tcW w:w="1040" w:type="pct"/>
            <w:tcBorders>
              <w:top w:val="single" w:color="000000" w:sz="4" w:space="0"/>
              <w:left w:val="single" w:color="000000" w:sz="4" w:space="0"/>
              <w:bottom w:val="single" w:color="000000" w:sz="4" w:space="0"/>
              <w:right w:val="single" w:color="000000" w:sz="4" w:space="0"/>
            </w:tcBorders>
            <w:noWrap/>
            <w:vAlign w:val="center"/>
          </w:tcPr>
          <w:p w14:paraId="7E8AB198">
            <w:pPr>
              <w:widowControl/>
              <w:jc w:val="center"/>
              <w:textAlignment w:val="center"/>
              <w:rPr>
                <w:b/>
                <w:bCs/>
                <w:szCs w:val="21"/>
              </w:rPr>
            </w:pPr>
            <w:r>
              <w:rPr>
                <w:b/>
                <w:bCs/>
                <w:kern w:val="0"/>
                <w:szCs w:val="21"/>
                <w:lang w:bidi="ar"/>
              </w:rPr>
              <w:t>养殖区编号</w:t>
            </w:r>
          </w:p>
        </w:tc>
        <w:tc>
          <w:tcPr>
            <w:tcW w:w="1459" w:type="pct"/>
            <w:tcBorders>
              <w:top w:val="single" w:color="000000" w:sz="4" w:space="0"/>
              <w:left w:val="single" w:color="000000" w:sz="4" w:space="0"/>
              <w:bottom w:val="single" w:color="000000" w:sz="4" w:space="0"/>
              <w:right w:val="single" w:color="000000" w:sz="4" w:space="0"/>
            </w:tcBorders>
            <w:noWrap w:val="0"/>
            <w:vAlign w:val="center"/>
          </w:tcPr>
          <w:p w14:paraId="1C0FBFDD">
            <w:pPr>
              <w:widowControl/>
              <w:jc w:val="center"/>
              <w:textAlignment w:val="center"/>
              <w:rPr>
                <w:b/>
                <w:bCs/>
                <w:szCs w:val="21"/>
              </w:rPr>
            </w:pPr>
            <w:r>
              <w:rPr>
                <w:b/>
                <w:bCs/>
                <w:kern w:val="0"/>
                <w:szCs w:val="21"/>
                <w:lang w:bidi="ar"/>
              </w:rPr>
              <w:t>合计日最大产生量（m</w:t>
            </w:r>
            <w:r>
              <w:rPr>
                <w:b/>
                <w:bCs/>
                <w:kern w:val="0"/>
                <w:szCs w:val="21"/>
                <w:vertAlign w:val="superscript"/>
                <w:lang w:bidi="ar"/>
              </w:rPr>
              <w:t>3</w:t>
            </w:r>
            <w:r>
              <w:rPr>
                <w:b/>
                <w:bCs/>
                <w:kern w:val="0"/>
                <w:szCs w:val="21"/>
                <w:lang w:bidi="ar"/>
              </w:rPr>
              <w:t>/d）</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178C442D">
            <w:pPr>
              <w:widowControl/>
              <w:textAlignment w:val="center"/>
              <w:rPr>
                <w:b/>
                <w:bCs/>
                <w:szCs w:val="21"/>
              </w:rPr>
            </w:pPr>
            <w:r>
              <w:rPr>
                <w:b/>
                <w:bCs/>
                <w:kern w:val="0"/>
                <w:szCs w:val="21"/>
                <w:lang w:bidi="ar"/>
              </w:rPr>
              <w:t>各场地沼液储存池规模m</w:t>
            </w:r>
            <w:r>
              <w:rPr>
                <w:b/>
                <w:bCs/>
                <w:kern w:val="0"/>
                <w:szCs w:val="21"/>
                <w:vertAlign w:val="superscript"/>
                <w:lang w:bidi="ar"/>
              </w:rPr>
              <w:t>3</w:t>
            </w:r>
          </w:p>
        </w:tc>
        <w:tc>
          <w:tcPr>
            <w:tcW w:w="1459" w:type="pct"/>
            <w:tcBorders>
              <w:top w:val="single" w:color="000000" w:sz="4" w:space="0"/>
              <w:left w:val="single" w:color="000000" w:sz="4" w:space="0"/>
              <w:bottom w:val="single" w:color="000000" w:sz="4" w:space="0"/>
              <w:right w:val="single" w:color="000000" w:sz="4" w:space="0"/>
            </w:tcBorders>
            <w:noWrap w:val="0"/>
            <w:vAlign w:val="center"/>
          </w:tcPr>
          <w:p w14:paraId="5BB62123">
            <w:pPr>
              <w:widowControl/>
              <w:jc w:val="center"/>
              <w:textAlignment w:val="center"/>
              <w:rPr>
                <w:b/>
                <w:bCs/>
                <w:szCs w:val="21"/>
              </w:rPr>
            </w:pPr>
            <w:r>
              <w:rPr>
                <w:b/>
                <w:bCs/>
                <w:kern w:val="0"/>
                <w:szCs w:val="21"/>
                <w:lang w:bidi="ar"/>
              </w:rPr>
              <w:t>可满足沼液储存时间d</w:t>
            </w:r>
          </w:p>
        </w:tc>
      </w:tr>
      <w:tr w14:paraId="7723F5AB">
        <w:tblPrEx>
          <w:tblCellMar>
            <w:top w:w="0" w:type="dxa"/>
            <w:left w:w="108" w:type="dxa"/>
            <w:bottom w:w="0" w:type="dxa"/>
            <w:right w:w="108" w:type="dxa"/>
          </w:tblCellMar>
        </w:tblPrEx>
        <w:trPr>
          <w:trHeight w:val="315" w:hRule="atLeast"/>
        </w:trPr>
        <w:tc>
          <w:tcPr>
            <w:tcW w:w="1040" w:type="pct"/>
            <w:tcBorders>
              <w:top w:val="single" w:color="000000" w:sz="4" w:space="0"/>
              <w:left w:val="single" w:color="000000" w:sz="4" w:space="0"/>
              <w:bottom w:val="single" w:color="000000" w:sz="4" w:space="0"/>
              <w:right w:val="single" w:color="000000" w:sz="4" w:space="0"/>
            </w:tcBorders>
            <w:noWrap/>
            <w:vAlign w:val="center"/>
          </w:tcPr>
          <w:p w14:paraId="0F2CC01E">
            <w:pPr>
              <w:widowControl/>
              <w:jc w:val="center"/>
              <w:textAlignment w:val="center"/>
              <w:rPr>
                <w:szCs w:val="21"/>
              </w:rPr>
            </w:pPr>
            <w:r>
              <w:rPr>
                <w:kern w:val="0"/>
                <w:szCs w:val="21"/>
                <w:lang w:bidi="ar"/>
              </w:rPr>
              <w:t>1号地</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14FE0CBD">
            <w:pPr>
              <w:widowControl/>
              <w:jc w:val="center"/>
              <w:textAlignment w:val="center"/>
              <w:rPr>
                <w:szCs w:val="21"/>
              </w:rPr>
            </w:pPr>
            <w:r>
              <w:rPr>
                <w:kern w:val="0"/>
                <w:szCs w:val="21"/>
                <w:lang w:bidi="ar"/>
              </w:rPr>
              <w:t>11.09</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2ABCA1D2">
            <w:pPr>
              <w:widowControl/>
              <w:jc w:val="center"/>
              <w:textAlignment w:val="center"/>
              <w:rPr>
                <w:szCs w:val="21"/>
              </w:rPr>
            </w:pPr>
            <w:r>
              <w:rPr>
                <w:kern w:val="0"/>
                <w:szCs w:val="21"/>
                <w:lang w:bidi="ar"/>
              </w:rPr>
              <w:t>100</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0AA1BA36">
            <w:pPr>
              <w:widowControl/>
              <w:jc w:val="center"/>
              <w:textAlignment w:val="center"/>
              <w:rPr>
                <w:szCs w:val="21"/>
              </w:rPr>
            </w:pPr>
            <w:r>
              <w:rPr>
                <w:kern w:val="0"/>
                <w:szCs w:val="21"/>
                <w:lang w:bidi="ar"/>
              </w:rPr>
              <w:t>9.0</w:t>
            </w:r>
          </w:p>
        </w:tc>
      </w:tr>
      <w:tr w14:paraId="5604BC7C">
        <w:tblPrEx>
          <w:tblCellMar>
            <w:top w:w="0" w:type="dxa"/>
            <w:left w:w="108" w:type="dxa"/>
            <w:bottom w:w="0" w:type="dxa"/>
            <w:right w:w="108" w:type="dxa"/>
          </w:tblCellMar>
        </w:tblPrEx>
        <w:trPr>
          <w:trHeight w:val="315" w:hRule="atLeast"/>
        </w:trPr>
        <w:tc>
          <w:tcPr>
            <w:tcW w:w="1040" w:type="pct"/>
            <w:tcBorders>
              <w:top w:val="single" w:color="000000" w:sz="4" w:space="0"/>
              <w:left w:val="single" w:color="000000" w:sz="4" w:space="0"/>
              <w:bottom w:val="single" w:color="000000" w:sz="4" w:space="0"/>
              <w:right w:val="single" w:color="000000" w:sz="4" w:space="0"/>
            </w:tcBorders>
            <w:noWrap/>
            <w:vAlign w:val="center"/>
          </w:tcPr>
          <w:p w14:paraId="60481220">
            <w:pPr>
              <w:widowControl/>
              <w:jc w:val="center"/>
              <w:textAlignment w:val="center"/>
              <w:rPr>
                <w:szCs w:val="21"/>
              </w:rPr>
            </w:pPr>
            <w:r>
              <w:rPr>
                <w:kern w:val="0"/>
                <w:szCs w:val="21"/>
                <w:lang w:bidi="ar"/>
              </w:rPr>
              <w:t>2号地</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53EE0DC1">
            <w:pPr>
              <w:widowControl/>
              <w:jc w:val="center"/>
              <w:textAlignment w:val="center"/>
              <w:rPr>
                <w:szCs w:val="21"/>
              </w:rPr>
            </w:pPr>
            <w:r>
              <w:rPr>
                <w:kern w:val="0"/>
                <w:szCs w:val="21"/>
                <w:lang w:bidi="ar"/>
              </w:rPr>
              <w:t>23.92</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54FB1740">
            <w:pPr>
              <w:widowControl/>
              <w:jc w:val="center"/>
              <w:textAlignment w:val="center"/>
              <w:rPr>
                <w:szCs w:val="21"/>
              </w:rPr>
            </w:pPr>
            <w:r>
              <w:rPr>
                <w:kern w:val="0"/>
                <w:szCs w:val="21"/>
                <w:lang w:bidi="ar"/>
              </w:rPr>
              <w:t>200</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2196450B">
            <w:pPr>
              <w:widowControl/>
              <w:jc w:val="center"/>
              <w:textAlignment w:val="center"/>
              <w:rPr>
                <w:szCs w:val="21"/>
              </w:rPr>
            </w:pPr>
            <w:r>
              <w:rPr>
                <w:kern w:val="0"/>
                <w:szCs w:val="21"/>
                <w:lang w:bidi="ar"/>
              </w:rPr>
              <w:t>8.4</w:t>
            </w:r>
          </w:p>
        </w:tc>
      </w:tr>
      <w:tr w14:paraId="312CE6B7">
        <w:tblPrEx>
          <w:tblCellMar>
            <w:top w:w="0" w:type="dxa"/>
            <w:left w:w="108" w:type="dxa"/>
            <w:bottom w:w="0" w:type="dxa"/>
            <w:right w:w="108" w:type="dxa"/>
          </w:tblCellMar>
        </w:tblPrEx>
        <w:trPr>
          <w:trHeight w:val="315" w:hRule="atLeast"/>
        </w:trPr>
        <w:tc>
          <w:tcPr>
            <w:tcW w:w="1040" w:type="pct"/>
            <w:tcBorders>
              <w:top w:val="single" w:color="000000" w:sz="4" w:space="0"/>
              <w:left w:val="single" w:color="000000" w:sz="4" w:space="0"/>
              <w:bottom w:val="single" w:color="000000" w:sz="4" w:space="0"/>
              <w:right w:val="single" w:color="000000" w:sz="4" w:space="0"/>
            </w:tcBorders>
            <w:noWrap/>
            <w:vAlign w:val="center"/>
          </w:tcPr>
          <w:p w14:paraId="68F6F877">
            <w:pPr>
              <w:widowControl/>
              <w:jc w:val="center"/>
              <w:textAlignment w:val="center"/>
              <w:rPr>
                <w:szCs w:val="21"/>
              </w:rPr>
            </w:pPr>
            <w:r>
              <w:rPr>
                <w:kern w:val="0"/>
                <w:szCs w:val="21"/>
                <w:lang w:bidi="ar"/>
              </w:rPr>
              <w:t>3号地</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58D8BA7F">
            <w:pPr>
              <w:widowControl/>
              <w:jc w:val="center"/>
              <w:textAlignment w:val="center"/>
              <w:rPr>
                <w:szCs w:val="21"/>
              </w:rPr>
            </w:pPr>
            <w:r>
              <w:rPr>
                <w:kern w:val="0"/>
                <w:szCs w:val="21"/>
                <w:lang w:bidi="ar"/>
              </w:rPr>
              <w:t>10.13</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48B0955E">
            <w:pPr>
              <w:widowControl/>
              <w:jc w:val="center"/>
              <w:textAlignment w:val="center"/>
              <w:rPr>
                <w:szCs w:val="21"/>
              </w:rPr>
            </w:pPr>
            <w:r>
              <w:rPr>
                <w:kern w:val="0"/>
                <w:szCs w:val="21"/>
                <w:lang w:bidi="ar"/>
              </w:rPr>
              <w:t>100</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0E6EF9D9">
            <w:pPr>
              <w:widowControl/>
              <w:jc w:val="center"/>
              <w:textAlignment w:val="center"/>
              <w:rPr>
                <w:szCs w:val="21"/>
              </w:rPr>
            </w:pPr>
            <w:r>
              <w:rPr>
                <w:kern w:val="0"/>
                <w:szCs w:val="21"/>
                <w:lang w:bidi="ar"/>
              </w:rPr>
              <w:t>9.9</w:t>
            </w:r>
          </w:p>
        </w:tc>
      </w:tr>
      <w:tr w14:paraId="127F4686">
        <w:tblPrEx>
          <w:tblCellMar>
            <w:top w:w="0" w:type="dxa"/>
            <w:left w:w="108" w:type="dxa"/>
            <w:bottom w:w="0" w:type="dxa"/>
            <w:right w:w="108" w:type="dxa"/>
          </w:tblCellMar>
        </w:tblPrEx>
        <w:trPr>
          <w:trHeight w:val="315" w:hRule="atLeast"/>
        </w:trPr>
        <w:tc>
          <w:tcPr>
            <w:tcW w:w="1040" w:type="pct"/>
            <w:tcBorders>
              <w:top w:val="single" w:color="000000" w:sz="4" w:space="0"/>
              <w:left w:val="single" w:color="000000" w:sz="4" w:space="0"/>
              <w:bottom w:val="single" w:color="000000" w:sz="4" w:space="0"/>
              <w:right w:val="single" w:color="000000" w:sz="4" w:space="0"/>
            </w:tcBorders>
            <w:noWrap/>
            <w:vAlign w:val="center"/>
          </w:tcPr>
          <w:p w14:paraId="5ED3A238">
            <w:pPr>
              <w:widowControl/>
              <w:jc w:val="center"/>
              <w:textAlignment w:val="center"/>
              <w:rPr>
                <w:szCs w:val="21"/>
              </w:rPr>
            </w:pPr>
            <w:r>
              <w:rPr>
                <w:kern w:val="0"/>
                <w:szCs w:val="21"/>
                <w:lang w:bidi="ar"/>
              </w:rPr>
              <w:t>4号地</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2C50B72F">
            <w:pPr>
              <w:widowControl/>
              <w:jc w:val="center"/>
              <w:textAlignment w:val="center"/>
              <w:rPr>
                <w:szCs w:val="21"/>
              </w:rPr>
            </w:pPr>
            <w:r>
              <w:rPr>
                <w:kern w:val="0"/>
                <w:szCs w:val="21"/>
                <w:lang w:bidi="ar"/>
              </w:rPr>
              <w:t>25.12</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0A7C30ED">
            <w:pPr>
              <w:widowControl/>
              <w:jc w:val="center"/>
              <w:textAlignment w:val="center"/>
              <w:rPr>
                <w:szCs w:val="21"/>
              </w:rPr>
            </w:pPr>
            <w:r>
              <w:rPr>
                <w:kern w:val="0"/>
                <w:szCs w:val="21"/>
                <w:lang w:bidi="ar"/>
              </w:rPr>
              <w:t>250</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35F53DD1">
            <w:pPr>
              <w:widowControl/>
              <w:jc w:val="center"/>
              <w:textAlignment w:val="center"/>
              <w:rPr>
                <w:szCs w:val="21"/>
              </w:rPr>
            </w:pPr>
            <w:r>
              <w:rPr>
                <w:kern w:val="0"/>
                <w:szCs w:val="21"/>
                <w:lang w:bidi="ar"/>
              </w:rPr>
              <w:t>10.0</w:t>
            </w:r>
          </w:p>
        </w:tc>
      </w:tr>
      <w:tr w14:paraId="71ADE3BE">
        <w:tblPrEx>
          <w:tblCellMar>
            <w:top w:w="0" w:type="dxa"/>
            <w:left w:w="108" w:type="dxa"/>
            <w:bottom w:w="0" w:type="dxa"/>
            <w:right w:w="108" w:type="dxa"/>
          </w:tblCellMar>
        </w:tblPrEx>
        <w:trPr>
          <w:trHeight w:val="315" w:hRule="atLeast"/>
        </w:trPr>
        <w:tc>
          <w:tcPr>
            <w:tcW w:w="1040" w:type="pct"/>
            <w:tcBorders>
              <w:top w:val="single" w:color="000000" w:sz="4" w:space="0"/>
              <w:left w:val="single" w:color="000000" w:sz="4" w:space="0"/>
              <w:bottom w:val="single" w:color="000000" w:sz="4" w:space="0"/>
              <w:right w:val="single" w:color="000000" w:sz="4" w:space="0"/>
            </w:tcBorders>
            <w:noWrap/>
            <w:vAlign w:val="center"/>
          </w:tcPr>
          <w:p w14:paraId="579A7F7E">
            <w:pPr>
              <w:widowControl/>
              <w:jc w:val="center"/>
              <w:textAlignment w:val="center"/>
              <w:rPr>
                <w:szCs w:val="21"/>
              </w:rPr>
            </w:pPr>
            <w:r>
              <w:rPr>
                <w:kern w:val="0"/>
                <w:szCs w:val="21"/>
                <w:lang w:bidi="ar"/>
              </w:rPr>
              <w:t>5号地</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1082F471">
            <w:pPr>
              <w:widowControl/>
              <w:jc w:val="center"/>
              <w:textAlignment w:val="center"/>
              <w:rPr>
                <w:szCs w:val="21"/>
              </w:rPr>
            </w:pPr>
            <w:r>
              <w:rPr>
                <w:kern w:val="0"/>
                <w:szCs w:val="21"/>
                <w:lang w:bidi="ar"/>
              </w:rPr>
              <w:t>20.26</w:t>
            </w:r>
          </w:p>
        </w:tc>
        <w:tc>
          <w:tcPr>
            <w:tcW w:w="1040" w:type="pct"/>
            <w:tcBorders>
              <w:top w:val="single" w:color="000000" w:sz="4" w:space="0"/>
              <w:left w:val="single" w:color="000000" w:sz="4" w:space="0"/>
              <w:bottom w:val="single" w:color="000000" w:sz="4" w:space="0"/>
              <w:right w:val="single" w:color="000000" w:sz="4" w:space="0"/>
            </w:tcBorders>
            <w:noWrap/>
            <w:vAlign w:val="center"/>
          </w:tcPr>
          <w:p w14:paraId="6DFDEC21">
            <w:pPr>
              <w:widowControl/>
              <w:jc w:val="center"/>
              <w:textAlignment w:val="center"/>
              <w:rPr>
                <w:szCs w:val="21"/>
              </w:rPr>
            </w:pPr>
            <w:r>
              <w:rPr>
                <w:kern w:val="0"/>
                <w:szCs w:val="21"/>
                <w:lang w:bidi="ar"/>
              </w:rPr>
              <w:t>200</w:t>
            </w:r>
          </w:p>
        </w:tc>
        <w:tc>
          <w:tcPr>
            <w:tcW w:w="1459" w:type="pct"/>
            <w:tcBorders>
              <w:top w:val="single" w:color="000000" w:sz="4" w:space="0"/>
              <w:left w:val="single" w:color="000000" w:sz="4" w:space="0"/>
              <w:bottom w:val="single" w:color="000000" w:sz="4" w:space="0"/>
              <w:right w:val="single" w:color="000000" w:sz="4" w:space="0"/>
            </w:tcBorders>
            <w:noWrap/>
            <w:vAlign w:val="center"/>
          </w:tcPr>
          <w:p w14:paraId="09D4E5B4">
            <w:pPr>
              <w:widowControl/>
              <w:jc w:val="center"/>
              <w:textAlignment w:val="center"/>
              <w:rPr>
                <w:szCs w:val="21"/>
              </w:rPr>
            </w:pPr>
            <w:r>
              <w:rPr>
                <w:kern w:val="0"/>
                <w:szCs w:val="21"/>
                <w:lang w:bidi="ar"/>
              </w:rPr>
              <w:t>9.9</w:t>
            </w:r>
          </w:p>
        </w:tc>
      </w:tr>
    </w:tbl>
    <w:p w14:paraId="261C464B">
      <w:pPr>
        <w:spacing w:line="360" w:lineRule="auto"/>
        <w:ind w:firstLine="480" w:firstLineChars="200"/>
        <w:rPr>
          <w:bCs/>
          <w:sz w:val="24"/>
        </w:rPr>
      </w:pPr>
      <w:r>
        <w:rPr>
          <w:bCs/>
          <w:sz w:val="24"/>
        </w:rPr>
        <w:t>根据分析，项目沼液储存池</w:t>
      </w:r>
      <w:r>
        <w:rPr>
          <w:kern w:val="0"/>
          <w:sz w:val="24"/>
          <w:lang w:bidi="ar"/>
        </w:rPr>
        <w:t>1号地100m</w:t>
      </w:r>
      <w:r>
        <w:rPr>
          <w:kern w:val="0"/>
          <w:sz w:val="24"/>
          <w:vertAlign w:val="superscript"/>
          <w:lang w:bidi="ar"/>
        </w:rPr>
        <w:t>3</w:t>
      </w:r>
      <w:r>
        <w:rPr>
          <w:kern w:val="0"/>
          <w:sz w:val="24"/>
          <w:lang w:bidi="ar"/>
        </w:rPr>
        <w:t>，2号地200m</w:t>
      </w:r>
      <w:r>
        <w:rPr>
          <w:kern w:val="0"/>
          <w:sz w:val="24"/>
          <w:vertAlign w:val="superscript"/>
          <w:lang w:bidi="ar"/>
        </w:rPr>
        <w:t>3</w:t>
      </w:r>
      <w:r>
        <w:rPr>
          <w:kern w:val="0"/>
          <w:sz w:val="24"/>
          <w:lang w:bidi="ar"/>
        </w:rPr>
        <w:t>，3号地100m</w:t>
      </w:r>
      <w:r>
        <w:rPr>
          <w:kern w:val="0"/>
          <w:sz w:val="24"/>
          <w:vertAlign w:val="superscript"/>
          <w:lang w:bidi="ar"/>
        </w:rPr>
        <w:t>3</w:t>
      </w:r>
      <w:r>
        <w:rPr>
          <w:kern w:val="0"/>
          <w:sz w:val="24"/>
          <w:lang w:bidi="ar"/>
        </w:rPr>
        <w:t>，4号地250m</w:t>
      </w:r>
      <w:r>
        <w:rPr>
          <w:kern w:val="0"/>
          <w:sz w:val="24"/>
          <w:vertAlign w:val="superscript"/>
          <w:lang w:bidi="ar"/>
        </w:rPr>
        <w:t>3</w:t>
      </w:r>
      <w:r>
        <w:rPr>
          <w:kern w:val="0"/>
          <w:sz w:val="24"/>
          <w:lang w:bidi="ar"/>
        </w:rPr>
        <w:t>，5号地200m</w:t>
      </w:r>
      <w:r>
        <w:rPr>
          <w:kern w:val="0"/>
          <w:sz w:val="24"/>
          <w:vertAlign w:val="superscript"/>
          <w:lang w:bidi="ar"/>
        </w:rPr>
        <w:t>3</w:t>
      </w:r>
      <w:r>
        <w:rPr>
          <w:kern w:val="0"/>
          <w:sz w:val="24"/>
          <w:lang w:bidi="ar"/>
        </w:rPr>
        <w:t>，</w:t>
      </w:r>
      <w:r>
        <w:rPr>
          <w:bCs/>
          <w:sz w:val="24"/>
        </w:rPr>
        <w:t>项目养殖场地各沼液储存池可满足场地内9~10天的沼液储存量，另外，项目在苹果园内部建设有一个9400m</w:t>
      </w:r>
      <w:r>
        <w:rPr>
          <w:bCs/>
          <w:sz w:val="24"/>
          <w:vertAlign w:val="superscript"/>
        </w:rPr>
        <w:t>3</w:t>
      </w:r>
      <w:r>
        <w:rPr>
          <w:bCs/>
          <w:sz w:val="24"/>
        </w:rPr>
        <w:t>储存池，场地内产生的沼液经罐车抽运至苹果园内部储存池进行储存用于果园灌溉时灌溉，根据《畜禽规模养殖场粪污资源化利用设施建设规范》(试行)第九条液体或全量粪污通过氧化塘、沉淀池等进行无害化处理的，氧化塘、贮存池容积不小于单位畜禽日粪污产生量(m</w:t>
      </w:r>
      <w:r>
        <w:rPr>
          <w:bCs/>
          <w:sz w:val="24"/>
          <w:vertAlign w:val="superscript"/>
        </w:rPr>
        <w:t>3</w:t>
      </w:r>
      <w:r>
        <w:rPr>
          <w:bCs/>
          <w:sz w:val="24"/>
        </w:rPr>
        <w:t>)×贮存周期(天)×设计存栏量(头)。单位畜禽粪污日产生量推荐值为:生猪0.01 m</w:t>
      </w:r>
      <w:r>
        <w:rPr>
          <w:bCs/>
          <w:sz w:val="24"/>
          <w:vertAlign w:val="superscript"/>
        </w:rPr>
        <w:t>3</w:t>
      </w:r>
      <w:r>
        <w:rPr>
          <w:bCs/>
          <w:sz w:val="24"/>
        </w:rPr>
        <w:t>，奶牛0.045 m</w:t>
      </w:r>
      <w:r>
        <w:rPr>
          <w:bCs/>
          <w:sz w:val="24"/>
          <w:vertAlign w:val="superscript"/>
        </w:rPr>
        <w:t>3</w:t>
      </w:r>
      <w:r>
        <w:rPr>
          <w:bCs/>
          <w:sz w:val="24"/>
        </w:rPr>
        <w:t>，肉牛0.017 m</w:t>
      </w:r>
      <w:r>
        <w:rPr>
          <w:bCs/>
          <w:sz w:val="24"/>
          <w:vertAlign w:val="superscript"/>
        </w:rPr>
        <w:t>3</w:t>
      </w:r>
      <w:r>
        <w:rPr>
          <w:bCs/>
          <w:sz w:val="24"/>
        </w:rPr>
        <w:t>，家禽0.0002 m</w:t>
      </w:r>
      <w:r>
        <w:rPr>
          <w:bCs/>
          <w:sz w:val="24"/>
          <w:vertAlign w:val="superscript"/>
        </w:rPr>
        <w:t>3</w:t>
      </w:r>
      <w:r>
        <w:rPr>
          <w:bCs/>
          <w:sz w:val="24"/>
        </w:rPr>
        <w:t>，根据建设单位提供资料，项目苹果园每季度采用沼液灌溉1次，根据以上计算，项目所需的沼液储存池容积8463m</w:t>
      </w:r>
      <w:r>
        <w:rPr>
          <w:bCs/>
          <w:sz w:val="24"/>
          <w:vertAlign w:val="superscript"/>
        </w:rPr>
        <w:t>3</w:t>
      </w:r>
      <w:r>
        <w:rPr>
          <w:bCs/>
          <w:sz w:val="24"/>
        </w:rPr>
        <w:t>，本项目配套的果园内储存池9400m</w:t>
      </w:r>
      <w:r>
        <w:rPr>
          <w:bCs/>
          <w:sz w:val="24"/>
          <w:vertAlign w:val="superscript"/>
        </w:rPr>
        <w:t>3</w:t>
      </w:r>
      <w:r>
        <w:rPr>
          <w:bCs/>
          <w:sz w:val="24"/>
        </w:rPr>
        <w:t>，符合《畜禽规模养殖场粪污资源化利用设施建设规范》(试行)中要求，可以保证非农灌季节废水不外排。</w:t>
      </w:r>
    </w:p>
    <w:p w14:paraId="2380D455">
      <w:pPr>
        <w:spacing w:line="360" w:lineRule="auto"/>
        <w:ind w:firstLine="480" w:firstLineChars="200"/>
        <w:rPr>
          <w:bCs/>
          <w:sz w:val="24"/>
        </w:rPr>
      </w:pPr>
      <w:r>
        <w:rPr>
          <w:bCs/>
          <w:sz w:val="24"/>
        </w:rPr>
        <w:t>项目沼液回用于公司自有苹果园施肥是可行的。</w:t>
      </w:r>
    </w:p>
    <w:p w14:paraId="7F6D3645">
      <w:pPr>
        <w:pStyle w:val="47"/>
        <w:numPr>
          <w:ilvl w:val="0"/>
          <w:numId w:val="80"/>
        </w:numPr>
        <w:spacing w:line="360" w:lineRule="auto"/>
        <w:rPr>
          <w:rFonts w:ascii="Times New Roman" w:hAnsi="Times New Roman" w:cs="Times New Roman"/>
          <w:b/>
          <w:sz w:val="24"/>
        </w:rPr>
      </w:pPr>
      <w:r>
        <w:rPr>
          <w:rFonts w:ascii="Times New Roman" w:hAnsi="Times New Roman" w:cs="Times New Roman"/>
          <w:b/>
          <w:sz w:val="24"/>
        </w:rPr>
        <w:t>沼液全部消纳可行性分析</w:t>
      </w:r>
    </w:p>
    <w:p w14:paraId="383AA579">
      <w:pPr>
        <w:spacing w:line="360" w:lineRule="auto"/>
        <w:ind w:firstLine="480" w:firstLineChars="200"/>
        <w:rPr>
          <w:bCs/>
          <w:sz w:val="24"/>
        </w:rPr>
      </w:pPr>
      <w:r>
        <w:rPr>
          <w:bCs/>
          <w:sz w:val="24"/>
        </w:rPr>
        <w:t>项目配套苹果园2800亩（合186.67hm</w:t>
      </w:r>
      <w:r>
        <w:rPr>
          <w:bCs/>
          <w:sz w:val="24"/>
          <w:vertAlign w:val="superscript"/>
        </w:rPr>
        <w:t>2</w:t>
      </w:r>
      <w:r>
        <w:rPr>
          <w:bCs/>
          <w:sz w:val="24"/>
        </w:rPr>
        <w:t>），根据《云南省用水定额》（DB53/T 168-2019），果木喷灌用水量975m</w:t>
      </w:r>
      <w:r>
        <w:rPr>
          <w:bCs/>
          <w:sz w:val="24"/>
          <w:vertAlign w:val="superscript"/>
        </w:rPr>
        <w:t>3</w:t>
      </w:r>
      <w:r>
        <w:rPr>
          <w:bCs/>
          <w:sz w:val="24"/>
        </w:rPr>
        <w:t>/hm</w:t>
      </w:r>
      <w:r>
        <w:rPr>
          <w:bCs/>
          <w:sz w:val="24"/>
          <w:vertAlign w:val="superscript"/>
        </w:rPr>
        <w:t>2</w:t>
      </w:r>
      <w:r>
        <w:rPr>
          <w:bCs/>
          <w:sz w:val="24"/>
        </w:rPr>
        <w:t>（木本果类，75%保证率），本项目配套苹果园浇灌年需水量18.2万m</w:t>
      </w:r>
      <w:r>
        <w:rPr>
          <w:bCs/>
          <w:sz w:val="24"/>
          <w:vertAlign w:val="superscript"/>
        </w:rPr>
        <w:t>3</w:t>
      </w:r>
      <w:r>
        <w:rPr>
          <w:bCs/>
          <w:sz w:val="24"/>
        </w:rPr>
        <w:t>，可完全消耗本项目产生的沼液。</w:t>
      </w:r>
    </w:p>
    <w:p w14:paraId="7B6C700E">
      <w:pPr>
        <w:spacing w:line="360" w:lineRule="auto"/>
        <w:ind w:firstLine="482" w:firstLineChars="200"/>
        <w:rPr>
          <w:b/>
          <w:sz w:val="24"/>
        </w:rPr>
      </w:pPr>
      <w:r>
        <w:rPr>
          <w:b/>
          <w:sz w:val="24"/>
        </w:rPr>
        <w:t>（6）非农灌季节污水站的管理及运行</w:t>
      </w:r>
    </w:p>
    <w:p w14:paraId="2294C263">
      <w:pPr>
        <w:spacing w:line="360" w:lineRule="auto"/>
        <w:ind w:firstLine="480" w:firstLineChars="200"/>
        <w:rPr>
          <w:bCs/>
          <w:sz w:val="24"/>
        </w:rPr>
      </w:pPr>
      <w:r>
        <w:rPr>
          <w:bCs/>
          <w:sz w:val="24"/>
        </w:rPr>
        <w:t>非农灌季节污水站正常运行，按照日常维护管理。但是非农灌季节沼液储存池内的水量增加、水位升高，应加强巡逻检查，防止废水漫流、泄漏；检查沼液储存池密封设施，防止人畜跌入发生危险。加强沼液输送管道的巡逻和检查，确保能正常运行，为农灌季节供水提供保障。</w:t>
      </w:r>
    </w:p>
    <w:p w14:paraId="7F62FB63">
      <w:pPr>
        <w:spacing w:line="360" w:lineRule="auto"/>
        <w:ind w:firstLine="480" w:firstLineChars="200"/>
        <w:rPr>
          <w:bCs/>
          <w:sz w:val="24"/>
        </w:rPr>
      </w:pPr>
      <w:r>
        <w:rPr>
          <w:bCs/>
          <w:sz w:val="24"/>
        </w:rPr>
        <w:t>综上所述，项目污水处理站出水农灌季节用于项目区周边耕地农灌，非农灌季节将处理后的水贮存在沼液储存池中，待农灌季节使用，根据项目全年水平衡图，项目产生废水可全部用于周边耕地农灌，且项目污水处理工艺及设施可保证项目废水全部利用，废水不外排是可行的。所以，项目废水处理措施可行，不会对地表水产生影响。</w:t>
      </w:r>
    </w:p>
    <w:p w14:paraId="13F3AAAF">
      <w:pPr>
        <w:pStyle w:val="8"/>
        <w:ind w:firstLine="562"/>
      </w:pPr>
      <w:r>
        <w:t>5.2.2.2非正常排放分析</w:t>
      </w:r>
    </w:p>
    <w:p w14:paraId="30B23C8F">
      <w:pPr>
        <w:spacing w:line="360" w:lineRule="auto"/>
        <w:ind w:firstLine="480" w:firstLineChars="200"/>
        <w:rPr>
          <w:bCs/>
          <w:sz w:val="24"/>
        </w:rPr>
      </w:pPr>
      <w:r>
        <w:rPr>
          <w:bCs/>
          <w:sz w:val="24"/>
        </w:rPr>
        <w:t>废水的非正常排放是指污水处理站非正常运行情况下，污废水未经处理直接进入外环境的情况。</w:t>
      </w:r>
    </w:p>
    <w:p w14:paraId="655B88D5">
      <w:pPr>
        <w:spacing w:line="360" w:lineRule="auto"/>
        <w:ind w:firstLine="480" w:firstLineChars="200"/>
        <w:rPr>
          <w:sz w:val="24"/>
        </w:rPr>
      </w:pPr>
      <w:r>
        <w:rPr>
          <w:sz w:val="24"/>
        </w:rPr>
        <w:t>若该项目沼气池因机械设施、电力故障或连续下雨的情况下，造成现设计的沼气池不能正常运行时，废水无法满足标准要求，即进行事故排放，事故排放污染物质浓度即为污水中污染物质产生浓度。项目废水发生事故排放时，污染物的排放量比正常处理后的排放量大，若直接回用于农田，将会对农作物造成影响。由此可见，项目废水事故排放会加大污染负荷，进入外环境或回用于农田有一定的影响。</w:t>
      </w:r>
    </w:p>
    <w:p w14:paraId="538BAFA4">
      <w:pPr>
        <w:spacing w:line="360" w:lineRule="auto"/>
        <w:ind w:firstLine="480" w:firstLineChars="200"/>
        <w:rPr>
          <w:bCs/>
          <w:sz w:val="24"/>
        </w:rPr>
      </w:pPr>
      <w:r>
        <w:rPr>
          <w:sz w:val="24"/>
        </w:rPr>
        <w:t>因此，为避免出现事故排放，</w:t>
      </w:r>
      <w:r>
        <w:rPr>
          <w:bCs/>
          <w:sz w:val="24"/>
        </w:rPr>
        <w:t>应采取针对性的措施。本项目养殖舍粪尿暂存于猪舍下方的粪污池内，粪污池与猪舍相同长宽，深为1.2m，在距离池底0.8m处有底窗，最大可收集0.8m深的粪尿和冲洗废水，猪舍共面积总面积为22659.82m</w:t>
      </w:r>
      <w:r>
        <w:rPr>
          <w:bCs/>
          <w:sz w:val="24"/>
          <w:vertAlign w:val="superscript"/>
        </w:rPr>
        <w:t>2</w:t>
      </w:r>
      <w:r>
        <w:rPr>
          <w:bCs/>
          <w:sz w:val="24"/>
        </w:rPr>
        <w:t>，粪污池的容积为18127m</w:t>
      </w:r>
      <w:r>
        <w:rPr>
          <w:bCs/>
          <w:sz w:val="24"/>
          <w:vertAlign w:val="superscript"/>
        </w:rPr>
        <w:t>3</w:t>
      </w:r>
      <w:r>
        <w:rPr>
          <w:bCs/>
          <w:sz w:val="24"/>
        </w:rPr>
        <w:t>。当污水处理系统发生故障，废水可暂存在粪污池内</w:t>
      </w:r>
      <w:r>
        <w:rPr>
          <w:bCs/>
          <w:kern w:val="0"/>
          <w:sz w:val="24"/>
        </w:rPr>
        <w:t>，保证事故污水不会对周边地表水体产生污染影响</w:t>
      </w:r>
      <w:r>
        <w:rPr>
          <w:bCs/>
          <w:sz w:val="24"/>
        </w:rPr>
        <w:t>；另外，污水处理站前端的收集池、调节池均可存储一定时间的废水。因此，本项目不单独设置事故水池。</w:t>
      </w:r>
    </w:p>
    <w:p w14:paraId="15B4CD55">
      <w:pPr>
        <w:pStyle w:val="8"/>
        <w:ind w:firstLine="562"/>
      </w:pPr>
      <w:r>
        <w:t>5.2.2.3小结</w:t>
      </w:r>
    </w:p>
    <w:p w14:paraId="1CEE7806">
      <w:pPr>
        <w:spacing w:line="360" w:lineRule="auto"/>
        <w:ind w:firstLine="480" w:firstLineChars="200"/>
        <w:rPr>
          <w:sz w:val="24"/>
        </w:rPr>
      </w:pPr>
      <w:r>
        <w:rPr>
          <w:sz w:val="24"/>
        </w:rPr>
        <w:t>项目投产后，排水采用雨污分流制。本项目排水环节主要为猪尿液、猪粪固液分离废水、猪舍冲洗废水、养殖区职工生活污水，废水产生总量为</w:t>
      </w:r>
      <w:r>
        <w:rPr>
          <w:kern w:val="0"/>
          <w:sz w:val="24"/>
          <w:lang w:bidi="ar"/>
        </w:rPr>
        <w:t>9995.36</w:t>
      </w:r>
      <w:r>
        <w:rPr>
          <w:sz w:val="24"/>
        </w:rPr>
        <w:t>m</w:t>
      </w:r>
      <w:r>
        <w:rPr>
          <w:sz w:val="24"/>
          <w:vertAlign w:val="superscript"/>
        </w:rPr>
        <w:t>3</w:t>
      </w:r>
      <w:r>
        <w:rPr>
          <w:sz w:val="24"/>
        </w:rPr>
        <w:t>/a，经各养殖区自建污水处理站处理后全部回用于自有苹果园农灌，不外排到周边地表水体，处理工艺为“集中收集+固液分离+平流气浮+调节池+沼气池（UASB反应器）+沼液储存池”。</w:t>
      </w:r>
      <w:r>
        <w:rPr>
          <w:bCs/>
          <w:sz w:val="24"/>
        </w:rPr>
        <w:t>项目</w:t>
      </w:r>
      <w:r>
        <w:rPr>
          <w:kern w:val="0"/>
          <w:sz w:val="24"/>
          <w:lang w:bidi="ar"/>
        </w:rPr>
        <w:t>1号地100m</w:t>
      </w:r>
      <w:r>
        <w:rPr>
          <w:kern w:val="0"/>
          <w:sz w:val="24"/>
          <w:vertAlign w:val="superscript"/>
          <w:lang w:bidi="ar"/>
        </w:rPr>
        <w:t>3</w:t>
      </w:r>
      <w:r>
        <w:rPr>
          <w:kern w:val="0"/>
          <w:sz w:val="24"/>
          <w:lang w:bidi="ar"/>
        </w:rPr>
        <w:t>，2号地200m</w:t>
      </w:r>
      <w:r>
        <w:rPr>
          <w:kern w:val="0"/>
          <w:sz w:val="24"/>
          <w:vertAlign w:val="superscript"/>
          <w:lang w:bidi="ar"/>
        </w:rPr>
        <w:t>3</w:t>
      </w:r>
      <w:r>
        <w:rPr>
          <w:kern w:val="0"/>
          <w:sz w:val="24"/>
          <w:lang w:bidi="ar"/>
        </w:rPr>
        <w:t>，3号地100m</w:t>
      </w:r>
      <w:r>
        <w:rPr>
          <w:kern w:val="0"/>
          <w:sz w:val="24"/>
          <w:vertAlign w:val="superscript"/>
          <w:lang w:bidi="ar"/>
        </w:rPr>
        <w:t>3</w:t>
      </w:r>
      <w:r>
        <w:rPr>
          <w:kern w:val="0"/>
          <w:sz w:val="24"/>
          <w:lang w:bidi="ar"/>
        </w:rPr>
        <w:t>，4号地250m</w:t>
      </w:r>
      <w:r>
        <w:rPr>
          <w:kern w:val="0"/>
          <w:sz w:val="24"/>
          <w:vertAlign w:val="superscript"/>
          <w:lang w:bidi="ar"/>
        </w:rPr>
        <w:t>3</w:t>
      </w:r>
      <w:r>
        <w:rPr>
          <w:kern w:val="0"/>
          <w:sz w:val="24"/>
          <w:lang w:bidi="ar"/>
        </w:rPr>
        <w:t>，5号地200m</w:t>
      </w:r>
      <w:r>
        <w:rPr>
          <w:kern w:val="0"/>
          <w:sz w:val="24"/>
          <w:vertAlign w:val="superscript"/>
          <w:lang w:bidi="ar"/>
        </w:rPr>
        <w:t>3</w:t>
      </w:r>
      <w:r>
        <w:rPr>
          <w:kern w:val="0"/>
          <w:sz w:val="24"/>
          <w:lang w:bidi="ar"/>
        </w:rPr>
        <w:t>，</w:t>
      </w:r>
      <w:r>
        <w:rPr>
          <w:bCs/>
          <w:sz w:val="24"/>
        </w:rPr>
        <w:t>项目养殖场地各沼液储存池可满足场地内9~10天的沼液储存量，另外，项目在苹果园内部建设有一个9400m</w:t>
      </w:r>
      <w:r>
        <w:rPr>
          <w:bCs/>
          <w:sz w:val="24"/>
          <w:vertAlign w:val="superscript"/>
        </w:rPr>
        <w:t>3</w:t>
      </w:r>
      <w:r>
        <w:rPr>
          <w:bCs/>
          <w:sz w:val="24"/>
        </w:rPr>
        <w:t>储存池，沼液储存池容积符合《畜禽规模养殖场粪污资源化利用设施建设规范》(试行)中要求，可以保证非农灌季节废水不外排。项目配套苹果园苹果园2800亩苹果园浇灌年需水量18.2万m</w:t>
      </w:r>
      <w:r>
        <w:rPr>
          <w:bCs/>
          <w:sz w:val="24"/>
          <w:vertAlign w:val="superscript"/>
        </w:rPr>
        <w:t>3</w:t>
      </w:r>
      <w:r>
        <w:rPr>
          <w:bCs/>
          <w:sz w:val="24"/>
        </w:rPr>
        <w:t>，可完全消耗本项目产生的沼液。</w:t>
      </w:r>
    </w:p>
    <w:p w14:paraId="1084D43D">
      <w:pPr>
        <w:spacing w:line="360" w:lineRule="auto"/>
        <w:ind w:firstLine="480" w:firstLineChars="200"/>
        <w:rPr>
          <w:bCs/>
          <w:sz w:val="24"/>
        </w:rPr>
      </w:pPr>
      <w:r>
        <w:rPr>
          <w:sz w:val="24"/>
        </w:rPr>
        <w:t>为防止项目废水非正常外排影响环境，</w:t>
      </w:r>
      <w:r>
        <w:rPr>
          <w:bCs/>
          <w:sz w:val="24"/>
        </w:rPr>
        <w:t>本项目养殖舍粪尿暂存于猪舍下方的粪污池内，粪污池与猪舍相同长宽，深为1.2m，在距离池底0.8m处有底窗，最大可收集0.8m深的粪尿和冲洗废水，猪舍共面积总面积为22659.82m</w:t>
      </w:r>
      <w:r>
        <w:rPr>
          <w:bCs/>
          <w:sz w:val="24"/>
          <w:vertAlign w:val="superscript"/>
        </w:rPr>
        <w:t>2</w:t>
      </w:r>
      <w:r>
        <w:rPr>
          <w:bCs/>
          <w:sz w:val="24"/>
        </w:rPr>
        <w:t>，粪污池的容积为18127m</w:t>
      </w:r>
      <w:r>
        <w:rPr>
          <w:bCs/>
          <w:sz w:val="24"/>
          <w:vertAlign w:val="superscript"/>
        </w:rPr>
        <w:t>3</w:t>
      </w:r>
      <w:r>
        <w:rPr>
          <w:bCs/>
          <w:sz w:val="24"/>
        </w:rPr>
        <w:t>。</w:t>
      </w:r>
      <w:r>
        <w:rPr>
          <w:bCs/>
          <w:kern w:val="0"/>
          <w:sz w:val="24"/>
        </w:rPr>
        <w:t>保证事故污水不会对周边地表水体产生污染影响</w:t>
      </w:r>
      <w:r>
        <w:rPr>
          <w:bCs/>
          <w:sz w:val="24"/>
        </w:rPr>
        <w:t>。</w:t>
      </w:r>
    </w:p>
    <w:p w14:paraId="6A980BFC">
      <w:pPr>
        <w:spacing w:line="360" w:lineRule="auto"/>
        <w:ind w:firstLine="480" w:firstLineChars="200"/>
        <w:rPr>
          <w:sz w:val="24"/>
        </w:rPr>
      </w:pPr>
      <w:r>
        <w:rPr>
          <w:bCs/>
          <w:sz w:val="24"/>
        </w:rPr>
        <w:t>所以，项目建设不会对周边地表水体产生污染影响。</w:t>
      </w:r>
    </w:p>
    <w:p w14:paraId="3D63956E">
      <w:pPr>
        <w:pStyle w:val="7"/>
        <w:spacing w:before="0" w:after="0" w:line="360" w:lineRule="auto"/>
        <w:rPr>
          <w:rFonts w:ascii="Times New Roman" w:hAnsi="Times New Roman"/>
          <w:sz w:val="28"/>
          <w:szCs w:val="28"/>
        </w:rPr>
      </w:pPr>
      <w:r>
        <w:rPr>
          <w:rFonts w:ascii="Times New Roman" w:hAnsi="Times New Roman"/>
          <w:sz w:val="28"/>
          <w:szCs w:val="28"/>
        </w:rPr>
        <w:t>5.2.3运营期地下水环境影响分析</w:t>
      </w:r>
    </w:p>
    <w:p w14:paraId="6D24B0C9">
      <w:pPr>
        <w:pStyle w:val="8"/>
        <w:ind w:firstLine="482"/>
      </w:pPr>
      <w:bookmarkStart w:id="150" w:name="_Toc258831396"/>
      <w:bookmarkStart w:id="151" w:name="_Toc247270958"/>
      <w:bookmarkStart w:id="152" w:name="_Toc355964638"/>
      <w:bookmarkStart w:id="153" w:name="_Toc318273222"/>
      <w:bookmarkStart w:id="154" w:name="_Toc256455813"/>
      <w:bookmarkStart w:id="155" w:name="_Toc318273343"/>
      <w:r>
        <w:rPr>
          <w:bCs/>
          <w:sz w:val="24"/>
          <w:szCs w:val="24"/>
        </w:rPr>
        <w:t>5.2.3.1场地水文地质条件</w:t>
      </w:r>
    </w:p>
    <w:p w14:paraId="69076429">
      <w:pPr>
        <w:widowControl/>
        <w:spacing w:line="360" w:lineRule="auto"/>
        <w:ind w:firstLine="482" w:firstLineChars="200"/>
        <w:jc w:val="left"/>
        <w:rPr>
          <w:kern w:val="0"/>
          <w:sz w:val="24"/>
          <w:szCs w:val="22"/>
          <w:lang w:bidi="ar"/>
        </w:rPr>
      </w:pPr>
      <w:r>
        <w:rPr>
          <w:b/>
          <w:bCs/>
          <w:kern w:val="0"/>
          <w:sz w:val="24"/>
          <w:szCs w:val="22"/>
          <w:lang w:bidi="ar"/>
        </w:rPr>
        <w:t>1、地下水类型及含水层特征及分布</w:t>
      </w:r>
    </w:p>
    <w:p w14:paraId="23CCBEC0">
      <w:pPr>
        <w:widowControl/>
        <w:spacing w:line="360" w:lineRule="auto"/>
        <w:ind w:firstLine="480" w:firstLineChars="200"/>
        <w:jc w:val="left"/>
        <w:rPr>
          <w:kern w:val="0"/>
          <w:sz w:val="24"/>
          <w:szCs w:val="22"/>
          <w:lang w:bidi="ar"/>
        </w:rPr>
      </w:pPr>
      <w:r>
        <w:rPr>
          <w:kern w:val="0"/>
          <w:sz w:val="24"/>
          <w:szCs w:val="22"/>
          <w:lang w:bidi="ar"/>
        </w:rPr>
        <w:t xml:space="preserve">场地地下水类型主要为分为第四系松散含水层以及裂隙水两种种类型： </w:t>
      </w:r>
    </w:p>
    <w:p w14:paraId="10F0A3FA">
      <w:pPr>
        <w:pStyle w:val="86"/>
        <w:ind w:left="0" w:leftChars="0" w:firstLine="240" w:firstLineChars="100"/>
        <w:rPr>
          <w:kern w:val="0"/>
          <w:szCs w:val="22"/>
          <w:lang w:bidi="ar"/>
        </w:rPr>
      </w:pPr>
      <w:r>
        <w:rPr>
          <w:kern w:val="0"/>
          <w:szCs w:val="22"/>
          <w:lang w:bidi="ar"/>
        </w:rPr>
        <w:t>（1）第四系松散含水层</w:t>
      </w:r>
    </w:p>
    <w:p w14:paraId="1884C9F4">
      <w:pPr>
        <w:widowControl/>
        <w:spacing w:line="360" w:lineRule="auto"/>
        <w:ind w:firstLine="480" w:firstLineChars="200"/>
        <w:jc w:val="left"/>
        <w:rPr>
          <w:kern w:val="0"/>
          <w:sz w:val="24"/>
          <w:szCs w:val="22"/>
          <w:lang w:bidi="ar"/>
        </w:rPr>
      </w:pPr>
      <w:r>
        <w:rPr>
          <w:kern w:val="0"/>
          <w:sz w:val="24"/>
          <w:szCs w:val="22"/>
          <w:lang w:bidi="ar"/>
        </w:rPr>
        <w:t>主要分布于缓坡地带及河床、沟谷的低洼部位，厚度为（5-10m），一般6m左右，由冲积、残坡积的亚砂土、砾石、细砂组成。与下伏各地层呈不整合接触。季节性变化大，雨季富含孔隙水，早季呈自然疏干状态，基本不具有供水意义，主要接受大气降水、地表水的补给，向区域地势低洼处排泄流出区外。</w:t>
      </w:r>
    </w:p>
    <w:p w14:paraId="77C02D13">
      <w:pPr>
        <w:widowControl/>
        <w:spacing w:line="360" w:lineRule="auto"/>
        <w:ind w:firstLine="480" w:firstLineChars="200"/>
        <w:jc w:val="left"/>
        <w:rPr>
          <w:kern w:val="0"/>
          <w:sz w:val="24"/>
          <w:szCs w:val="22"/>
          <w:lang w:bidi="ar"/>
        </w:rPr>
      </w:pPr>
      <w:r>
        <w:rPr>
          <w:kern w:val="0"/>
          <w:sz w:val="24"/>
          <w:szCs w:val="22"/>
          <w:lang w:bidi="ar"/>
        </w:rPr>
        <w:t>（2）裂隙水：赋水地层为三叠系下统永宁镇组上段砂岩裂隙含水层（T</w:t>
      </w:r>
      <w:r>
        <w:rPr>
          <w:kern w:val="0"/>
          <w:sz w:val="24"/>
          <w:szCs w:val="22"/>
          <w:vertAlign w:val="subscript"/>
          <w:lang w:bidi="ar"/>
        </w:rPr>
        <w:t>1</w:t>
      </w:r>
      <w:r>
        <w:rPr>
          <w:kern w:val="0"/>
          <w:sz w:val="24"/>
          <w:szCs w:val="22"/>
          <w:lang w:bidi="ar"/>
        </w:rPr>
        <w:t>y2）、三叠系下统永宁镇组下段灰岩岩溶裂隙含水层（T1y1)、三叠系下统飞仙关组上段（T1f2）砂泥岩裂隙弱含水层</w:t>
      </w:r>
    </w:p>
    <w:p w14:paraId="0994EB3C">
      <w:pPr>
        <w:widowControl/>
        <w:spacing w:line="360" w:lineRule="auto"/>
        <w:ind w:firstLine="480" w:firstLineChars="200"/>
        <w:jc w:val="left"/>
        <w:rPr>
          <w:kern w:val="0"/>
          <w:sz w:val="24"/>
          <w:szCs w:val="22"/>
          <w:lang w:bidi="ar"/>
        </w:rPr>
      </w:pPr>
      <w:r>
        <w:rPr>
          <w:kern w:val="0"/>
          <w:sz w:val="24"/>
          <w:szCs w:val="22"/>
          <w:lang w:bidi="ar"/>
        </w:rPr>
        <w:t>三叠系下统永宁镇组上段砂岩裂隙含水层（T</w:t>
      </w:r>
      <w:r>
        <w:rPr>
          <w:kern w:val="0"/>
          <w:sz w:val="24"/>
          <w:szCs w:val="22"/>
          <w:vertAlign w:val="subscript"/>
          <w:lang w:bidi="ar"/>
        </w:rPr>
        <w:t>1</w:t>
      </w:r>
      <w:r>
        <w:rPr>
          <w:kern w:val="0"/>
          <w:sz w:val="24"/>
          <w:szCs w:val="22"/>
          <w:lang w:bidi="ar"/>
        </w:rPr>
        <w:t>y2）出露于项目区东南部，岩性以黄色中层状砂岩为主，为裂隙—孔隙含水层，富水性中。出露于项目区东南部,岩性以黄色薄层状灰岩为主,灰岩层中见发育有溶隙、溶沟、溶槽等，地表未见泉水流出，为岩溶裂隙—孔隙含水层，富水性强。T1f2出露于项目区东南部。在矿区南东部被正断层切断。岩性杂色薄层状细粒砂岩为主，局部夹有砂质页岩、页岩，呈中厚层—厚层状。砂岩成份主要为长石、石英等组成，该地层厚度30~130m。主要接受大气降水补给，于沟谷处呈季节性泉就近排泄，富水性弱～中等，因含水层出露矿区外部，该层的地下水直接在项目区以外的南部排泄。</w:t>
      </w:r>
    </w:p>
    <w:p w14:paraId="571FEBA6">
      <w:pPr>
        <w:widowControl/>
        <w:spacing w:line="360" w:lineRule="auto"/>
        <w:ind w:firstLine="482" w:firstLineChars="200"/>
        <w:jc w:val="left"/>
        <w:rPr>
          <w:b/>
          <w:bCs/>
          <w:kern w:val="0"/>
          <w:sz w:val="24"/>
          <w:szCs w:val="22"/>
          <w:lang w:bidi="ar"/>
        </w:rPr>
      </w:pPr>
      <w:r>
        <w:rPr>
          <w:b/>
          <w:bCs/>
          <w:kern w:val="0"/>
          <w:sz w:val="24"/>
          <w:szCs w:val="22"/>
          <w:lang w:bidi="ar"/>
        </w:rPr>
        <w:t xml:space="preserve">2、地下水补给，径流，排泄特征 </w:t>
      </w:r>
    </w:p>
    <w:p w14:paraId="22F068E3">
      <w:pPr>
        <w:widowControl/>
        <w:spacing w:line="360" w:lineRule="auto"/>
        <w:ind w:firstLine="480" w:firstLineChars="200"/>
        <w:jc w:val="left"/>
        <w:rPr>
          <w:kern w:val="0"/>
          <w:sz w:val="24"/>
          <w:szCs w:val="22"/>
          <w:lang w:bidi="ar"/>
        </w:rPr>
      </w:pPr>
      <w:r>
        <w:rPr>
          <w:kern w:val="0"/>
          <w:sz w:val="24"/>
          <w:szCs w:val="22"/>
          <w:lang w:bidi="ar"/>
        </w:rPr>
        <w:t>项目区表层广泛分布第四系残坡积土层，项目处于山体斜坡地段，不具备储水空间，虽具强透水性，但富水性均较差，在旱季该地层中一般干燥无水。雨季时，大气降水会很快入渗第四系残坡积角砾土层，造成斜坡面上地表迳流少。入渗的大气降水受具中等透水性的风化层阻隔，一部分在第四系残坡积角砾土层中顺坡迳流后根据地形趋势转而向白马河（普拉河）方向径流，这部分水一部分在缓坡地带或山体斜坡坡脚处形成暂时性上层滞水或潜水，另一部分向地势低洼处就地排泄。</w:t>
      </w:r>
    </w:p>
    <w:p w14:paraId="27B74498">
      <w:pPr>
        <w:widowControl/>
        <w:spacing w:line="360" w:lineRule="auto"/>
        <w:ind w:firstLine="482" w:firstLineChars="200"/>
        <w:jc w:val="left"/>
      </w:pPr>
      <w:bookmarkStart w:id="156" w:name="_Toc8632_WPSOffice_Level1"/>
      <w:bookmarkStart w:id="157" w:name="_Toc14214_WPSOffice_Level1"/>
      <w:bookmarkStart w:id="158" w:name="_Toc23198_WPSOffice_Level1"/>
      <w:bookmarkStart w:id="159" w:name="_Toc28116_WPSOffice_Level1"/>
      <w:bookmarkStart w:id="160" w:name="_Toc22003_WPSOffice_Level1"/>
      <w:bookmarkStart w:id="161" w:name="_Toc1635"/>
      <w:bookmarkStart w:id="162" w:name="_Toc499"/>
      <w:r>
        <w:rPr>
          <w:b/>
          <w:bCs/>
          <w:sz w:val="24"/>
        </w:rPr>
        <w:t>4.2.3.3包气带渗透性及防污性能特征</w:t>
      </w:r>
      <w:bookmarkEnd w:id="156"/>
      <w:bookmarkEnd w:id="157"/>
      <w:bookmarkEnd w:id="158"/>
      <w:bookmarkEnd w:id="159"/>
      <w:bookmarkEnd w:id="160"/>
      <w:bookmarkEnd w:id="161"/>
      <w:bookmarkEnd w:id="162"/>
    </w:p>
    <w:p w14:paraId="14D6685B">
      <w:pPr>
        <w:widowControl/>
        <w:spacing w:line="360" w:lineRule="auto"/>
        <w:ind w:firstLine="480" w:firstLineChars="200"/>
        <w:jc w:val="left"/>
        <w:rPr>
          <w:bCs/>
          <w:sz w:val="24"/>
        </w:rPr>
      </w:pPr>
      <w:r>
        <w:rPr>
          <w:bCs/>
          <w:sz w:val="24"/>
        </w:rPr>
        <w:t>场地包气带主要为红粘土，颜色呈花斑状结构，稍湿，以硬塑状为主，局部夹坚硬，局部夹铁钙质胶结块，干强度和韧性高，切面稍光滑，厚度在5-10m之间，渗透系数在0.1~0.25m/d（1.16×10</w:t>
      </w:r>
      <w:r>
        <w:rPr>
          <w:bCs/>
          <w:sz w:val="24"/>
          <w:vertAlign w:val="superscript"/>
        </w:rPr>
        <w:t>-4</w:t>
      </w:r>
      <w:r>
        <w:rPr>
          <w:bCs/>
          <w:sz w:val="24"/>
        </w:rPr>
        <w:t>cm/s~2.89×10</w:t>
      </w:r>
      <w:r>
        <w:rPr>
          <w:bCs/>
          <w:sz w:val="24"/>
          <w:vertAlign w:val="superscript"/>
        </w:rPr>
        <w:t>-4</w:t>
      </w:r>
      <w:r>
        <w:rPr>
          <w:bCs/>
          <w:sz w:val="24"/>
        </w:rPr>
        <w:t>cm/s），可见场地区岩土层单层厚度Mb≥1m，渗透系数1×10</w:t>
      </w:r>
      <w:r>
        <w:rPr>
          <w:bCs/>
          <w:sz w:val="24"/>
          <w:vertAlign w:val="superscript"/>
        </w:rPr>
        <w:t>-4</w:t>
      </w:r>
      <w:r>
        <w:rPr>
          <w:bCs/>
          <w:sz w:val="24"/>
        </w:rPr>
        <w:t>cm/s≤K，项目区天然包气带防污性能为弱。</w:t>
      </w:r>
    </w:p>
    <w:p w14:paraId="1963CADF">
      <w:pPr>
        <w:pStyle w:val="8"/>
        <w:ind w:firstLine="482"/>
      </w:pPr>
      <w:bookmarkStart w:id="163" w:name="_Toc7387_WPSOffice_Level1"/>
      <w:bookmarkStart w:id="164" w:name="_Toc20617"/>
      <w:bookmarkStart w:id="165" w:name="_Toc21108_WPSOffice_Level1"/>
      <w:bookmarkStart w:id="166" w:name="_Toc15025"/>
      <w:bookmarkStart w:id="167" w:name="_Toc3283_WPSOffice_Level1"/>
      <w:bookmarkStart w:id="168" w:name="_Toc19048_WPSOffice_Level1"/>
      <w:bookmarkStart w:id="169" w:name="_Toc11486_WPSOffice_Level1"/>
      <w:r>
        <w:rPr>
          <w:bCs/>
          <w:sz w:val="24"/>
          <w:szCs w:val="24"/>
        </w:rPr>
        <w:t>5.2.3.4水位监测</w:t>
      </w:r>
      <w:bookmarkEnd w:id="163"/>
      <w:bookmarkEnd w:id="164"/>
      <w:bookmarkEnd w:id="165"/>
      <w:bookmarkEnd w:id="166"/>
      <w:bookmarkEnd w:id="167"/>
      <w:bookmarkEnd w:id="168"/>
      <w:bookmarkEnd w:id="169"/>
    </w:p>
    <w:p w14:paraId="128F19CB">
      <w:pPr>
        <w:spacing w:line="360" w:lineRule="auto"/>
        <w:ind w:firstLine="480" w:firstLineChars="200"/>
        <w:rPr>
          <w:bCs/>
          <w:sz w:val="24"/>
        </w:rPr>
      </w:pPr>
      <w:r>
        <w:rPr>
          <w:bCs/>
          <w:sz w:val="24"/>
        </w:rPr>
        <w:t>本次评价水位监测在水质监测期间同步进行，共布置了6个水位监测井，水位值见表5.2-17。</w:t>
      </w:r>
    </w:p>
    <w:p w14:paraId="3E36A0A1">
      <w:pPr>
        <w:spacing w:line="360" w:lineRule="auto"/>
        <w:ind w:firstLine="482" w:firstLineChars="200"/>
        <w:jc w:val="center"/>
        <w:rPr>
          <w:b/>
          <w:sz w:val="24"/>
        </w:rPr>
      </w:pPr>
      <w:r>
        <w:rPr>
          <w:b/>
          <w:sz w:val="24"/>
        </w:rPr>
        <w:t>表5.2-17  评价区地下水水位监测结果</w:t>
      </w:r>
    </w:p>
    <w:tbl>
      <w:tblPr>
        <w:tblStyle w:val="87"/>
        <w:tblW w:w="4998" w:type="pct"/>
        <w:tblInd w:w="0" w:type="dxa"/>
        <w:tblLayout w:type="autofit"/>
        <w:tblCellMar>
          <w:top w:w="15" w:type="dxa"/>
          <w:left w:w="15" w:type="dxa"/>
          <w:bottom w:w="15" w:type="dxa"/>
          <w:right w:w="15" w:type="dxa"/>
        </w:tblCellMar>
      </w:tblPr>
      <w:tblGrid>
        <w:gridCol w:w="357"/>
        <w:gridCol w:w="991"/>
        <w:gridCol w:w="1833"/>
        <w:gridCol w:w="1728"/>
        <w:gridCol w:w="966"/>
        <w:gridCol w:w="2990"/>
        <w:gridCol w:w="1281"/>
      </w:tblGrid>
      <w:tr w14:paraId="7D8A662E">
        <w:tblPrEx>
          <w:tblCellMar>
            <w:top w:w="15" w:type="dxa"/>
            <w:left w:w="15" w:type="dxa"/>
            <w:bottom w:w="15" w:type="dxa"/>
            <w:right w:w="15" w:type="dxa"/>
          </w:tblCellMar>
        </w:tblPrEx>
        <w:trPr>
          <w:trHeight w:val="283" w:hRule="atLeast"/>
        </w:trPr>
        <w:tc>
          <w:tcPr>
            <w:tcW w:w="176"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9E8B665">
            <w:pPr>
              <w:pStyle w:val="1463"/>
              <w:spacing w:before="48" w:after="48"/>
              <w:rPr>
                <w:rFonts w:ascii="Times New Roman" w:hAnsi="Times New Roman"/>
              </w:rPr>
            </w:pPr>
            <w:r>
              <w:rPr>
                <w:rFonts w:ascii="Times New Roman" w:hAnsi="Times New Roman"/>
                <w:lang w:val="en-US" w:eastAsia="zh-CN"/>
              </w:rPr>
              <w:t>编号</w:t>
            </w:r>
          </w:p>
        </w:tc>
        <w:tc>
          <w:tcPr>
            <w:tcW w:w="488"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F1B891B">
            <w:pPr>
              <w:pStyle w:val="1463"/>
              <w:spacing w:before="48" w:after="48"/>
              <w:rPr>
                <w:rFonts w:ascii="Times New Roman" w:hAnsi="Times New Roman"/>
              </w:rPr>
            </w:pPr>
            <w:r>
              <w:rPr>
                <w:rFonts w:ascii="Times New Roman" w:hAnsi="Times New Roman"/>
                <w:lang w:val="en-US" w:eastAsia="zh-CN"/>
              </w:rPr>
              <w:t>水样编号</w:t>
            </w:r>
          </w:p>
        </w:tc>
        <w:tc>
          <w:tcPr>
            <w:tcW w:w="1754" w:type="pct"/>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784B39C">
            <w:pPr>
              <w:pStyle w:val="1463"/>
              <w:spacing w:before="48" w:after="48"/>
              <w:rPr>
                <w:rFonts w:ascii="Times New Roman" w:hAnsi="Times New Roman"/>
              </w:rPr>
            </w:pPr>
            <w:r>
              <w:rPr>
                <w:rFonts w:ascii="Times New Roman" w:hAnsi="Times New Roman"/>
                <w:lang w:val="en-US" w:eastAsia="zh-CN"/>
              </w:rPr>
              <w:t>坐标</w:t>
            </w:r>
          </w:p>
        </w:tc>
        <w:tc>
          <w:tcPr>
            <w:tcW w:w="476"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7473B19">
            <w:pPr>
              <w:pStyle w:val="1463"/>
              <w:spacing w:before="48" w:after="48"/>
              <w:rPr>
                <w:rFonts w:ascii="Times New Roman" w:hAnsi="Times New Roman"/>
              </w:rPr>
            </w:pPr>
            <w:r>
              <w:rPr>
                <w:rFonts w:ascii="Times New Roman" w:hAnsi="Times New Roman"/>
                <w:lang w:val="en-US" w:eastAsia="zh-CN"/>
              </w:rPr>
              <w:t>水位标高（m）</w:t>
            </w:r>
          </w:p>
        </w:tc>
        <w:tc>
          <w:tcPr>
            <w:tcW w:w="1473"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12D9E46">
            <w:pPr>
              <w:pStyle w:val="1463"/>
              <w:spacing w:before="48" w:after="48"/>
              <w:rPr>
                <w:rFonts w:ascii="Times New Roman" w:hAnsi="Times New Roman"/>
              </w:rPr>
            </w:pPr>
            <w:r>
              <w:rPr>
                <w:rFonts w:ascii="Times New Roman" w:hAnsi="Times New Roman"/>
                <w:lang w:val="en-US" w:eastAsia="zh-CN"/>
              </w:rPr>
              <w:t>含水层位</w:t>
            </w:r>
          </w:p>
        </w:tc>
        <w:tc>
          <w:tcPr>
            <w:tcW w:w="631"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BA51CDC">
            <w:pPr>
              <w:pStyle w:val="1463"/>
              <w:spacing w:before="48" w:after="48"/>
              <w:rPr>
                <w:rFonts w:ascii="Times New Roman" w:hAnsi="Times New Roman"/>
                <w:lang w:val="en-US" w:eastAsia="zh-CN"/>
              </w:rPr>
            </w:pPr>
            <w:r>
              <w:rPr>
                <w:rFonts w:ascii="Times New Roman" w:hAnsi="Times New Roman"/>
                <w:lang w:val="en-US" w:eastAsia="zh-CN"/>
              </w:rPr>
              <w:t>功能</w:t>
            </w:r>
          </w:p>
        </w:tc>
      </w:tr>
      <w:tr w14:paraId="40E6A1B5">
        <w:tblPrEx>
          <w:tblCellMar>
            <w:top w:w="15" w:type="dxa"/>
            <w:left w:w="15" w:type="dxa"/>
            <w:bottom w:w="15" w:type="dxa"/>
            <w:right w:w="15" w:type="dxa"/>
          </w:tblCellMar>
        </w:tblPrEx>
        <w:trPr>
          <w:trHeight w:val="286" w:hRule="atLeast"/>
        </w:trPr>
        <w:tc>
          <w:tcPr>
            <w:tcW w:w="176" w:type="pct"/>
            <w:tcBorders>
              <w:top w:val="single" w:color="000000" w:sz="4" w:space="0"/>
              <w:left w:val="single" w:color="000000" w:sz="4" w:space="0"/>
              <w:bottom w:val="single" w:color="000000" w:sz="4" w:space="0"/>
              <w:right w:val="single" w:color="000000" w:sz="4" w:space="0"/>
            </w:tcBorders>
            <w:noWrap w:val="0"/>
            <w:vAlign w:val="center"/>
          </w:tcPr>
          <w:p w14:paraId="19726CDC">
            <w:pPr>
              <w:pStyle w:val="1463"/>
              <w:spacing w:before="48" w:after="48"/>
              <w:rPr>
                <w:rFonts w:ascii="Times New Roman" w:hAnsi="Times New Roman"/>
              </w:rPr>
            </w:pPr>
            <w:r>
              <w:rPr>
                <w:rFonts w:ascii="Times New Roman" w:hAnsi="Times New Roman"/>
                <w:lang w:val="en-US" w:eastAsia="zh-CN"/>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4D4F1A97">
            <w:pPr>
              <w:pStyle w:val="1463"/>
              <w:spacing w:before="48" w:after="48"/>
              <w:rPr>
                <w:rFonts w:ascii="Times New Roman" w:hAnsi="Times New Roman"/>
              </w:rPr>
            </w:pPr>
            <w:r>
              <w:rPr>
                <w:rFonts w:ascii="Times New Roman" w:hAnsi="Times New Roman"/>
              </w:rPr>
              <w:t>DW1</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1049442B">
            <w:pPr>
              <w:pStyle w:val="1463"/>
              <w:spacing w:before="48" w:after="48"/>
              <w:rPr>
                <w:rFonts w:ascii="Times New Roman" w:hAnsi="Times New Roman"/>
              </w:rPr>
            </w:pPr>
            <w:r>
              <w:rPr>
                <w:rFonts w:ascii="Times New Roman" w:hAnsi="Times New Roman"/>
                <w:lang w:val="en-US" w:eastAsia="zh-CN"/>
              </w:rPr>
              <w:t>E</w:t>
            </w:r>
            <w:r>
              <w:rPr>
                <w:rFonts w:ascii="Times New Roman" w:hAnsi="Times New Roman"/>
              </w:rPr>
              <w:t>103°35′44.52″</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F6579C2">
            <w:pPr>
              <w:pStyle w:val="1463"/>
              <w:spacing w:before="48" w:after="48"/>
              <w:rPr>
                <w:rFonts w:ascii="Times New Roman" w:hAnsi="Times New Roman"/>
                <w:lang w:val="en-US" w:eastAsia="zh-CN"/>
              </w:rPr>
            </w:pPr>
            <w:r>
              <w:rPr>
                <w:rFonts w:ascii="Times New Roman" w:hAnsi="Times New Roman"/>
                <w:lang w:val="en-US" w:eastAsia="zh-CN"/>
              </w:rPr>
              <w:t>N24°36′28.89″</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65737A49">
            <w:pPr>
              <w:pStyle w:val="1463"/>
              <w:spacing w:before="48" w:after="48"/>
              <w:rPr>
                <w:rFonts w:ascii="Times New Roman" w:hAnsi="Times New Roman"/>
                <w:lang w:val="en-US" w:eastAsia="zh-CN"/>
              </w:rPr>
            </w:pPr>
            <w:r>
              <w:rPr>
                <w:rFonts w:ascii="Times New Roman" w:hAnsi="Times New Roman"/>
                <w:lang w:val="en-US" w:eastAsia="zh-CN"/>
              </w:rPr>
              <w:t>1744</w:t>
            </w:r>
          </w:p>
        </w:tc>
        <w:tc>
          <w:tcPr>
            <w:tcW w:w="1473" w:type="pct"/>
            <w:tcBorders>
              <w:top w:val="single" w:color="000000" w:sz="4" w:space="0"/>
              <w:left w:val="single" w:color="000000" w:sz="4" w:space="0"/>
              <w:bottom w:val="single" w:color="000000" w:sz="4" w:space="0"/>
              <w:right w:val="single" w:color="000000" w:sz="4" w:space="0"/>
            </w:tcBorders>
            <w:noWrap w:val="0"/>
            <w:vAlign w:val="center"/>
          </w:tcPr>
          <w:p w14:paraId="7ABA17AB">
            <w:pPr>
              <w:pStyle w:val="1463"/>
              <w:spacing w:before="48" w:after="48"/>
              <w:rPr>
                <w:rFonts w:ascii="Times New Roman" w:hAnsi="Times New Roman"/>
              </w:rPr>
            </w:pPr>
            <w:r>
              <w:rPr>
                <w:rFonts w:ascii="Times New Roman" w:hAnsi="Times New Roman"/>
                <w:kern w:val="0"/>
                <w:lang w:val="en-US" w:eastAsia="zh-CN" w:bidi="ar"/>
              </w:rPr>
              <w:t>裂隙水</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33B5327D">
            <w:pPr>
              <w:pStyle w:val="1463"/>
              <w:spacing w:before="48" w:after="48"/>
              <w:rPr>
                <w:rFonts w:ascii="Times New Roman" w:hAnsi="Times New Roman"/>
                <w:lang w:val="en-US" w:eastAsia="zh-CN"/>
              </w:rPr>
            </w:pPr>
            <w:r>
              <w:rPr>
                <w:rFonts w:ascii="Times New Roman" w:hAnsi="Times New Roman"/>
                <w:lang w:val="en-US" w:eastAsia="zh-CN"/>
              </w:rPr>
              <w:t>未利用</w:t>
            </w:r>
          </w:p>
        </w:tc>
      </w:tr>
      <w:tr w14:paraId="54128D4C">
        <w:tblPrEx>
          <w:tblCellMar>
            <w:top w:w="15" w:type="dxa"/>
            <w:left w:w="15" w:type="dxa"/>
            <w:bottom w:w="15" w:type="dxa"/>
            <w:right w:w="15" w:type="dxa"/>
          </w:tblCellMar>
        </w:tblPrEx>
        <w:trPr>
          <w:trHeight w:val="286" w:hRule="atLeast"/>
        </w:trPr>
        <w:tc>
          <w:tcPr>
            <w:tcW w:w="176" w:type="pct"/>
            <w:tcBorders>
              <w:top w:val="single" w:color="000000" w:sz="4" w:space="0"/>
              <w:left w:val="single" w:color="000000" w:sz="4" w:space="0"/>
              <w:bottom w:val="single" w:color="000000" w:sz="4" w:space="0"/>
              <w:right w:val="single" w:color="000000" w:sz="4" w:space="0"/>
            </w:tcBorders>
            <w:noWrap w:val="0"/>
            <w:vAlign w:val="center"/>
          </w:tcPr>
          <w:p w14:paraId="1F5F7152">
            <w:pPr>
              <w:pStyle w:val="1463"/>
              <w:spacing w:before="48" w:after="48"/>
              <w:rPr>
                <w:rFonts w:ascii="Times New Roman" w:hAnsi="Times New Roman"/>
              </w:rPr>
            </w:pPr>
            <w:r>
              <w:rPr>
                <w:rFonts w:ascii="Times New Roman" w:hAnsi="Times New Roman"/>
                <w:lang w:val="en-US" w:eastAsia="zh-CN"/>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635EA5F3">
            <w:pPr>
              <w:pStyle w:val="1463"/>
              <w:spacing w:before="48" w:after="48"/>
              <w:rPr>
                <w:rFonts w:ascii="Times New Roman" w:hAnsi="Times New Roman"/>
              </w:rPr>
            </w:pPr>
            <w:r>
              <w:rPr>
                <w:rFonts w:ascii="Times New Roman" w:hAnsi="Times New Roman"/>
              </w:rPr>
              <w:t>DW2</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06307771">
            <w:pPr>
              <w:pStyle w:val="1463"/>
              <w:spacing w:before="48" w:after="48"/>
              <w:rPr>
                <w:rFonts w:ascii="Times New Roman" w:hAnsi="Times New Roman"/>
                <w:lang w:val="en-US" w:eastAsia="zh-CN"/>
              </w:rPr>
            </w:pPr>
            <w:r>
              <w:rPr>
                <w:rFonts w:ascii="Times New Roman" w:hAnsi="Times New Roman"/>
                <w:lang w:val="en-US" w:eastAsia="zh-CN"/>
              </w:rPr>
              <w:t>E103°35′40.83″</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0D97DB05">
            <w:pPr>
              <w:pStyle w:val="1463"/>
              <w:spacing w:before="48" w:after="48"/>
              <w:rPr>
                <w:rFonts w:ascii="Times New Roman" w:hAnsi="Times New Roman"/>
                <w:lang w:val="en-US" w:eastAsia="zh-CN"/>
              </w:rPr>
            </w:pPr>
            <w:r>
              <w:rPr>
                <w:rFonts w:ascii="Times New Roman" w:hAnsi="Times New Roman"/>
                <w:lang w:val="en-US" w:eastAsia="zh-CN"/>
              </w:rPr>
              <w:t>N24°36′30.62″</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10D8CE7F">
            <w:pPr>
              <w:pStyle w:val="1463"/>
              <w:spacing w:before="48" w:after="48"/>
              <w:rPr>
                <w:rFonts w:ascii="Times New Roman" w:hAnsi="Times New Roman"/>
                <w:lang w:val="en-US" w:eastAsia="zh-CN"/>
              </w:rPr>
            </w:pPr>
            <w:r>
              <w:rPr>
                <w:rFonts w:ascii="Times New Roman" w:hAnsi="Times New Roman"/>
              </w:rPr>
              <w:t>1</w:t>
            </w:r>
            <w:r>
              <w:rPr>
                <w:rFonts w:ascii="Times New Roman" w:hAnsi="Times New Roman"/>
                <w:lang w:val="en-US" w:eastAsia="zh-CN"/>
              </w:rPr>
              <w:t>742</w:t>
            </w:r>
          </w:p>
        </w:tc>
        <w:tc>
          <w:tcPr>
            <w:tcW w:w="1473" w:type="pct"/>
            <w:tcBorders>
              <w:top w:val="single" w:color="000000" w:sz="4" w:space="0"/>
              <w:left w:val="single" w:color="000000" w:sz="4" w:space="0"/>
              <w:bottom w:val="single" w:color="000000" w:sz="4" w:space="0"/>
              <w:right w:val="single" w:color="000000" w:sz="4" w:space="0"/>
            </w:tcBorders>
            <w:noWrap w:val="0"/>
            <w:vAlign w:val="center"/>
          </w:tcPr>
          <w:p w14:paraId="6079DF9A">
            <w:pPr>
              <w:pStyle w:val="1463"/>
              <w:spacing w:before="48" w:after="48"/>
              <w:rPr>
                <w:rFonts w:ascii="Times New Roman" w:hAnsi="Times New Roman"/>
                <w:lang w:eastAsia="zh-CN"/>
              </w:rPr>
            </w:pPr>
            <w:r>
              <w:rPr>
                <w:rFonts w:ascii="Times New Roman" w:hAnsi="Times New Roman"/>
                <w:kern w:val="0"/>
                <w:lang w:val="en-US" w:eastAsia="zh-CN" w:bidi="ar"/>
              </w:rPr>
              <w:t>裂隙水</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73D3F972">
            <w:pPr>
              <w:pStyle w:val="1463"/>
              <w:spacing w:before="48" w:after="48"/>
              <w:rPr>
                <w:rFonts w:ascii="Times New Roman" w:hAnsi="Times New Roman"/>
                <w:lang w:val="en-US" w:eastAsia="zh-CN"/>
              </w:rPr>
            </w:pPr>
            <w:r>
              <w:rPr>
                <w:rFonts w:ascii="Times New Roman" w:hAnsi="Times New Roman"/>
                <w:lang w:val="en-US" w:eastAsia="zh-CN"/>
              </w:rPr>
              <w:t>未利用</w:t>
            </w:r>
          </w:p>
        </w:tc>
      </w:tr>
      <w:tr w14:paraId="48F044B3">
        <w:tblPrEx>
          <w:tblCellMar>
            <w:top w:w="15" w:type="dxa"/>
            <w:left w:w="15" w:type="dxa"/>
            <w:bottom w:w="15" w:type="dxa"/>
            <w:right w:w="15" w:type="dxa"/>
          </w:tblCellMar>
        </w:tblPrEx>
        <w:trPr>
          <w:trHeight w:val="724" w:hRule="atLeast"/>
        </w:trPr>
        <w:tc>
          <w:tcPr>
            <w:tcW w:w="176" w:type="pct"/>
            <w:tcBorders>
              <w:top w:val="single" w:color="000000" w:sz="4" w:space="0"/>
              <w:left w:val="single" w:color="000000" w:sz="4" w:space="0"/>
              <w:bottom w:val="single" w:color="000000" w:sz="4" w:space="0"/>
              <w:right w:val="single" w:color="000000" w:sz="4" w:space="0"/>
            </w:tcBorders>
            <w:noWrap w:val="0"/>
            <w:vAlign w:val="center"/>
          </w:tcPr>
          <w:p w14:paraId="4ABD75E1">
            <w:pPr>
              <w:pStyle w:val="1463"/>
              <w:spacing w:before="48" w:after="48"/>
              <w:rPr>
                <w:rFonts w:ascii="Times New Roman" w:hAnsi="Times New Roman"/>
              </w:rPr>
            </w:pPr>
            <w:r>
              <w:rPr>
                <w:rFonts w:ascii="Times New Roman" w:hAnsi="Times New Roman"/>
                <w:lang w:val="en-US" w:eastAsia="zh-CN"/>
              </w:rPr>
              <w:t>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E384BEF">
            <w:pPr>
              <w:pStyle w:val="1463"/>
              <w:spacing w:before="48" w:after="48"/>
              <w:rPr>
                <w:rFonts w:ascii="Times New Roman" w:hAnsi="Times New Roman"/>
                <w:lang w:eastAsia="zh-CN"/>
              </w:rPr>
            </w:pPr>
            <w:r>
              <w:rPr>
                <w:rFonts w:ascii="Times New Roman" w:hAnsi="Times New Roman"/>
              </w:rPr>
              <w:t>DW</w:t>
            </w:r>
            <w:r>
              <w:rPr>
                <w:rFonts w:ascii="Times New Roman" w:hAnsi="Times New Roman"/>
                <w:lang w:val="en-US" w:eastAsia="zh-CN"/>
              </w:rPr>
              <w:t>3</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460814C9">
            <w:pPr>
              <w:pStyle w:val="1463"/>
              <w:spacing w:before="48" w:after="48"/>
              <w:rPr>
                <w:rFonts w:ascii="Times New Roman" w:hAnsi="Times New Roman"/>
                <w:lang w:val="en-US" w:eastAsia="zh-CN"/>
              </w:rPr>
            </w:pPr>
            <w:r>
              <w:rPr>
                <w:rFonts w:ascii="Times New Roman" w:hAnsi="Times New Roman"/>
                <w:lang w:val="en-US" w:eastAsia="zh-CN"/>
              </w:rPr>
              <w:t>E103°36′0.58″</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67BEA70">
            <w:pPr>
              <w:pStyle w:val="1463"/>
              <w:spacing w:before="48" w:after="48"/>
              <w:rPr>
                <w:rFonts w:ascii="Times New Roman" w:hAnsi="Times New Roman"/>
                <w:lang w:val="en-US" w:eastAsia="zh-CN"/>
              </w:rPr>
            </w:pPr>
            <w:r>
              <w:rPr>
                <w:rFonts w:ascii="Times New Roman" w:hAnsi="Times New Roman"/>
                <w:lang w:val="en-US" w:eastAsia="zh-CN"/>
              </w:rPr>
              <w:t>N24°35′52.51″</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5BF96455">
            <w:pPr>
              <w:pStyle w:val="1463"/>
              <w:spacing w:before="48" w:after="48"/>
              <w:rPr>
                <w:rFonts w:ascii="Times New Roman" w:hAnsi="Times New Roman"/>
                <w:lang w:val="en-US" w:eastAsia="zh-CN"/>
              </w:rPr>
            </w:pPr>
            <w:r>
              <w:rPr>
                <w:rFonts w:ascii="Times New Roman" w:hAnsi="Times New Roman"/>
                <w:lang w:val="en-US" w:eastAsia="zh-CN"/>
              </w:rPr>
              <w:t>1806</w:t>
            </w:r>
          </w:p>
        </w:tc>
        <w:tc>
          <w:tcPr>
            <w:tcW w:w="1473" w:type="pct"/>
            <w:tcBorders>
              <w:top w:val="single" w:color="000000" w:sz="4" w:space="0"/>
              <w:left w:val="single" w:color="000000" w:sz="4" w:space="0"/>
              <w:bottom w:val="single" w:color="000000" w:sz="4" w:space="0"/>
              <w:right w:val="single" w:color="000000" w:sz="4" w:space="0"/>
            </w:tcBorders>
            <w:noWrap w:val="0"/>
            <w:vAlign w:val="center"/>
          </w:tcPr>
          <w:p w14:paraId="23FDB82B">
            <w:pPr>
              <w:pStyle w:val="1463"/>
              <w:spacing w:before="48" w:after="48"/>
              <w:rPr>
                <w:rFonts w:ascii="Times New Roman" w:hAnsi="Times New Roman"/>
              </w:rPr>
            </w:pPr>
            <w:r>
              <w:rPr>
                <w:rFonts w:ascii="Times New Roman" w:hAnsi="Times New Roman"/>
                <w:kern w:val="0"/>
                <w:lang w:val="en-US" w:eastAsia="zh-CN" w:bidi="ar"/>
              </w:rPr>
              <w:t>裂隙水</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3AAB886E">
            <w:pPr>
              <w:pStyle w:val="1463"/>
              <w:spacing w:before="48" w:after="48"/>
              <w:rPr>
                <w:rFonts w:ascii="Times New Roman" w:hAnsi="Times New Roman"/>
                <w:lang w:val="en-US" w:eastAsia="zh-CN"/>
              </w:rPr>
            </w:pPr>
            <w:r>
              <w:rPr>
                <w:rFonts w:ascii="Times New Roman" w:hAnsi="Times New Roman"/>
                <w:lang w:val="en-US" w:eastAsia="zh-CN"/>
              </w:rPr>
              <w:t>灌溉</w:t>
            </w:r>
          </w:p>
        </w:tc>
      </w:tr>
      <w:tr w14:paraId="2130A1DD">
        <w:tblPrEx>
          <w:tblCellMar>
            <w:top w:w="15" w:type="dxa"/>
            <w:left w:w="15" w:type="dxa"/>
            <w:bottom w:w="15" w:type="dxa"/>
            <w:right w:w="15" w:type="dxa"/>
          </w:tblCellMar>
        </w:tblPrEx>
        <w:trPr>
          <w:trHeight w:val="90" w:hRule="atLeast"/>
        </w:trPr>
        <w:tc>
          <w:tcPr>
            <w:tcW w:w="176" w:type="pct"/>
            <w:tcBorders>
              <w:top w:val="single" w:color="000000" w:sz="4" w:space="0"/>
              <w:left w:val="single" w:color="000000" w:sz="4" w:space="0"/>
              <w:bottom w:val="single" w:color="000000" w:sz="4" w:space="0"/>
              <w:right w:val="single" w:color="000000" w:sz="4" w:space="0"/>
            </w:tcBorders>
            <w:noWrap w:val="0"/>
            <w:vAlign w:val="center"/>
          </w:tcPr>
          <w:p w14:paraId="6A8405C5">
            <w:pPr>
              <w:pStyle w:val="1463"/>
              <w:spacing w:before="48" w:after="48"/>
              <w:rPr>
                <w:rFonts w:ascii="Times New Roman" w:hAnsi="Times New Roman"/>
              </w:rPr>
            </w:pPr>
            <w:r>
              <w:rPr>
                <w:rFonts w:ascii="Times New Roman" w:hAnsi="Times New Roman"/>
                <w:lang w:val="en-US" w:eastAsia="zh-CN"/>
              </w:rPr>
              <w:t>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EB225EA">
            <w:pPr>
              <w:pStyle w:val="1463"/>
              <w:spacing w:before="48" w:after="48"/>
              <w:rPr>
                <w:rFonts w:ascii="Times New Roman" w:hAnsi="Times New Roman"/>
              </w:rPr>
            </w:pPr>
            <w:r>
              <w:rPr>
                <w:rFonts w:ascii="Times New Roman" w:hAnsi="Times New Roman"/>
              </w:rPr>
              <w:t>DW4</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046877EB">
            <w:pPr>
              <w:pStyle w:val="1463"/>
              <w:spacing w:before="48" w:after="48"/>
              <w:rPr>
                <w:rFonts w:ascii="Times New Roman" w:hAnsi="Times New Roman"/>
              </w:rPr>
            </w:pPr>
            <w:r>
              <w:rPr>
                <w:rFonts w:ascii="Times New Roman" w:hAnsi="Times New Roman"/>
                <w:lang w:val="en-US" w:eastAsia="zh-CN"/>
              </w:rPr>
              <w:t>E</w:t>
            </w:r>
            <w:r>
              <w:rPr>
                <w:rFonts w:ascii="Times New Roman" w:hAnsi="Times New Roman"/>
              </w:rPr>
              <w:t>103°35′5.11″</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1C8342B">
            <w:pPr>
              <w:pStyle w:val="1463"/>
              <w:spacing w:before="48" w:after="48"/>
              <w:rPr>
                <w:rFonts w:ascii="Times New Roman" w:hAnsi="Times New Roman"/>
              </w:rPr>
            </w:pPr>
            <w:r>
              <w:rPr>
                <w:rFonts w:ascii="Times New Roman" w:hAnsi="Times New Roman"/>
                <w:lang w:val="en-US" w:eastAsia="zh-CN"/>
              </w:rPr>
              <w:t>N24°35′2.02″</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5E31E39A">
            <w:pPr>
              <w:pStyle w:val="1463"/>
              <w:spacing w:before="48" w:after="48"/>
              <w:rPr>
                <w:rFonts w:ascii="Times New Roman" w:hAnsi="Times New Roman"/>
                <w:lang w:val="en-US" w:eastAsia="zh-CN"/>
              </w:rPr>
            </w:pPr>
            <w:r>
              <w:rPr>
                <w:rFonts w:ascii="Times New Roman" w:hAnsi="Times New Roman"/>
                <w:lang w:val="en-US" w:eastAsia="zh-CN"/>
              </w:rPr>
              <w:t>1690</w:t>
            </w:r>
          </w:p>
        </w:tc>
        <w:tc>
          <w:tcPr>
            <w:tcW w:w="1473" w:type="pct"/>
            <w:tcBorders>
              <w:top w:val="single" w:color="000000" w:sz="4" w:space="0"/>
              <w:left w:val="single" w:color="000000" w:sz="4" w:space="0"/>
              <w:bottom w:val="single" w:color="000000" w:sz="4" w:space="0"/>
              <w:right w:val="single" w:color="000000" w:sz="4" w:space="0"/>
            </w:tcBorders>
            <w:noWrap w:val="0"/>
            <w:vAlign w:val="center"/>
          </w:tcPr>
          <w:p w14:paraId="01779C76">
            <w:pPr>
              <w:pStyle w:val="1463"/>
              <w:spacing w:before="48" w:after="48"/>
              <w:rPr>
                <w:rFonts w:ascii="Times New Roman" w:hAnsi="Times New Roman"/>
              </w:rPr>
            </w:pPr>
            <w:r>
              <w:rPr>
                <w:rFonts w:ascii="Times New Roman" w:hAnsi="Times New Roman"/>
                <w:lang w:eastAsia="zh-CN"/>
              </w:rPr>
              <w:t>第四系潜水</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6BF7A1CE">
            <w:pPr>
              <w:pStyle w:val="1463"/>
              <w:spacing w:before="48" w:after="48"/>
              <w:rPr>
                <w:rFonts w:ascii="Times New Roman" w:hAnsi="Times New Roman"/>
                <w:lang w:val="en-US" w:eastAsia="zh-CN"/>
              </w:rPr>
            </w:pPr>
            <w:r>
              <w:rPr>
                <w:rFonts w:ascii="Times New Roman" w:hAnsi="Times New Roman"/>
                <w:lang w:val="en-US" w:eastAsia="zh-CN"/>
              </w:rPr>
              <w:t>未利用</w:t>
            </w:r>
          </w:p>
        </w:tc>
      </w:tr>
      <w:tr w14:paraId="2D5936FA">
        <w:tblPrEx>
          <w:tblCellMar>
            <w:top w:w="15" w:type="dxa"/>
            <w:left w:w="15" w:type="dxa"/>
            <w:bottom w:w="15" w:type="dxa"/>
            <w:right w:w="15" w:type="dxa"/>
          </w:tblCellMar>
        </w:tblPrEx>
        <w:trPr>
          <w:trHeight w:val="286" w:hRule="atLeast"/>
        </w:trPr>
        <w:tc>
          <w:tcPr>
            <w:tcW w:w="176" w:type="pct"/>
            <w:tcBorders>
              <w:top w:val="single" w:color="000000" w:sz="4" w:space="0"/>
              <w:left w:val="single" w:color="000000" w:sz="4" w:space="0"/>
              <w:bottom w:val="single" w:color="000000" w:sz="4" w:space="0"/>
              <w:right w:val="single" w:color="000000" w:sz="4" w:space="0"/>
            </w:tcBorders>
            <w:noWrap w:val="0"/>
            <w:vAlign w:val="center"/>
          </w:tcPr>
          <w:p w14:paraId="1F2CD6F0">
            <w:pPr>
              <w:pStyle w:val="1463"/>
              <w:spacing w:before="48" w:after="48"/>
              <w:rPr>
                <w:rFonts w:ascii="Times New Roman" w:hAnsi="Times New Roman"/>
              </w:rPr>
            </w:pPr>
            <w:r>
              <w:rPr>
                <w:rFonts w:ascii="Times New Roman" w:hAnsi="Times New Roman"/>
                <w:lang w:val="en-US" w:eastAsia="zh-CN"/>
              </w:rPr>
              <w:t>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5323D68">
            <w:pPr>
              <w:pStyle w:val="1463"/>
              <w:spacing w:before="48" w:after="48"/>
              <w:rPr>
                <w:rFonts w:ascii="Times New Roman" w:hAnsi="Times New Roman"/>
              </w:rPr>
            </w:pPr>
            <w:r>
              <w:rPr>
                <w:rFonts w:ascii="Times New Roman" w:hAnsi="Times New Roman"/>
              </w:rPr>
              <w:t>DW5</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79D1AA23">
            <w:pPr>
              <w:pStyle w:val="1463"/>
              <w:spacing w:before="48" w:after="48"/>
              <w:rPr>
                <w:rFonts w:ascii="Times New Roman" w:hAnsi="Times New Roman"/>
                <w:lang w:val="en-US" w:eastAsia="zh-CN"/>
              </w:rPr>
            </w:pPr>
            <w:r>
              <w:rPr>
                <w:rFonts w:ascii="Times New Roman" w:hAnsi="Times New Roman"/>
                <w:lang w:val="en-US" w:eastAsia="zh-CN"/>
              </w:rPr>
              <w:t>E103°35′15.90″</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B541E2D">
            <w:pPr>
              <w:pStyle w:val="1463"/>
              <w:spacing w:before="48" w:after="48"/>
              <w:rPr>
                <w:rFonts w:ascii="Times New Roman" w:hAnsi="Times New Roman"/>
                <w:lang w:val="en-US" w:eastAsia="zh-CN"/>
              </w:rPr>
            </w:pPr>
            <w:r>
              <w:rPr>
                <w:rFonts w:ascii="Times New Roman" w:hAnsi="Times New Roman"/>
                <w:lang w:val="en-US" w:eastAsia="zh-CN"/>
              </w:rPr>
              <w:t>N24°35′15.78″</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0439C1B3">
            <w:pPr>
              <w:pStyle w:val="1463"/>
              <w:spacing w:before="48" w:after="48"/>
              <w:rPr>
                <w:rFonts w:ascii="Times New Roman" w:hAnsi="Times New Roman"/>
                <w:lang w:val="en-US" w:eastAsia="zh-CN"/>
              </w:rPr>
            </w:pPr>
            <w:r>
              <w:rPr>
                <w:rFonts w:ascii="Times New Roman" w:hAnsi="Times New Roman"/>
                <w:lang w:val="en-US" w:eastAsia="zh-CN"/>
              </w:rPr>
              <w:t>1785</w:t>
            </w:r>
          </w:p>
        </w:tc>
        <w:tc>
          <w:tcPr>
            <w:tcW w:w="1473" w:type="pct"/>
            <w:tcBorders>
              <w:top w:val="single" w:color="000000" w:sz="4" w:space="0"/>
              <w:left w:val="single" w:color="000000" w:sz="4" w:space="0"/>
              <w:bottom w:val="single" w:color="000000" w:sz="4" w:space="0"/>
              <w:right w:val="single" w:color="000000" w:sz="4" w:space="0"/>
            </w:tcBorders>
            <w:noWrap w:val="0"/>
            <w:vAlign w:val="center"/>
          </w:tcPr>
          <w:p w14:paraId="7DB729E0">
            <w:pPr>
              <w:pStyle w:val="1463"/>
              <w:spacing w:before="48" w:after="48"/>
              <w:rPr>
                <w:rFonts w:ascii="Times New Roman" w:hAnsi="Times New Roman"/>
              </w:rPr>
            </w:pPr>
            <w:r>
              <w:rPr>
                <w:rFonts w:ascii="Times New Roman" w:hAnsi="Times New Roman"/>
                <w:lang w:eastAsia="zh-CN"/>
              </w:rPr>
              <w:t>第四系潜水</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7D6DD1A2">
            <w:pPr>
              <w:pStyle w:val="1463"/>
              <w:spacing w:before="48" w:after="48"/>
              <w:rPr>
                <w:rFonts w:ascii="Times New Roman" w:hAnsi="Times New Roman"/>
                <w:lang w:val="en-US" w:eastAsia="zh-CN"/>
              </w:rPr>
            </w:pPr>
            <w:r>
              <w:rPr>
                <w:rFonts w:ascii="Times New Roman" w:hAnsi="Times New Roman"/>
                <w:lang w:val="en-US" w:eastAsia="zh-CN"/>
              </w:rPr>
              <w:t>未利用</w:t>
            </w:r>
          </w:p>
        </w:tc>
      </w:tr>
      <w:tr w14:paraId="702D1199">
        <w:tblPrEx>
          <w:tblCellMar>
            <w:top w:w="15" w:type="dxa"/>
            <w:left w:w="15" w:type="dxa"/>
            <w:bottom w:w="15" w:type="dxa"/>
            <w:right w:w="15" w:type="dxa"/>
          </w:tblCellMar>
        </w:tblPrEx>
        <w:trPr>
          <w:trHeight w:val="286" w:hRule="atLeast"/>
        </w:trPr>
        <w:tc>
          <w:tcPr>
            <w:tcW w:w="176" w:type="pct"/>
            <w:tcBorders>
              <w:top w:val="single" w:color="000000" w:sz="4" w:space="0"/>
              <w:left w:val="single" w:color="000000" w:sz="4" w:space="0"/>
              <w:bottom w:val="single" w:color="000000" w:sz="4" w:space="0"/>
              <w:right w:val="single" w:color="000000" w:sz="4" w:space="0"/>
            </w:tcBorders>
            <w:noWrap w:val="0"/>
            <w:vAlign w:val="center"/>
          </w:tcPr>
          <w:p w14:paraId="15C625FD">
            <w:pPr>
              <w:pStyle w:val="1463"/>
              <w:spacing w:before="48" w:after="48"/>
              <w:rPr>
                <w:rFonts w:ascii="Times New Roman" w:hAnsi="Times New Roman"/>
              </w:rPr>
            </w:pPr>
            <w:r>
              <w:rPr>
                <w:rFonts w:ascii="Times New Roman" w:hAnsi="Times New Roman"/>
                <w:lang w:val="en-US" w:eastAsia="zh-CN"/>
              </w:rPr>
              <w:t>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2074A7B">
            <w:pPr>
              <w:pStyle w:val="1463"/>
              <w:spacing w:before="48" w:after="48"/>
              <w:rPr>
                <w:rFonts w:ascii="Times New Roman" w:hAnsi="Times New Roman"/>
              </w:rPr>
            </w:pPr>
            <w:r>
              <w:rPr>
                <w:rFonts w:ascii="Times New Roman" w:hAnsi="Times New Roman"/>
              </w:rPr>
              <w:t>DW6</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68C06F22">
            <w:pPr>
              <w:pStyle w:val="1463"/>
              <w:spacing w:before="48" w:after="48"/>
              <w:rPr>
                <w:rFonts w:ascii="Times New Roman" w:hAnsi="Times New Roman"/>
                <w:lang w:val="en-US" w:eastAsia="zh-CN"/>
              </w:rPr>
            </w:pPr>
            <w:r>
              <w:rPr>
                <w:rFonts w:ascii="Times New Roman" w:hAnsi="Times New Roman"/>
                <w:lang w:val="en-US" w:eastAsia="zh-CN"/>
              </w:rPr>
              <w:t>E103°34′59.66″</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7F8FF95">
            <w:pPr>
              <w:pStyle w:val="1463"/>
              <w:spacing w:before="48" w:after="48"/>
              <w:rPr>
                <w:rFonts w:ascii="Times New Roman" w:hAnsi="Times New Roman"/>
                <w:lang w:val="en-US" w:eastAsia="zh-CN"/>
              </w:rPr>
            </w:pPr>
            <w:r>
              <w:rPr>
                <w:rFonts w:ascii="Times New Roman" w:hAnsi="Times New Roman"/>
                <w:lang w:val="en-US" w:eastAsia="zh-CN"/>
              </w:rPr>
              <w:t>N24°34′58.57″</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14:paraId="3D1ACDB5">
            <w:pPr>
              <w:pStyle w:val="1463"/>
              <w:spacing w:before="48" w:after="48"/>
              <w:rPr>
                <w:rFonts w:ascii="Times New Roman" w:hAnsi="Times New Roman"/>
                <w:lang w:val="en-US"/>
              </w:rPr>
            </w:pPr>
            <w:r>
              <w:rPr>
                <w:rFonts w:ascii="Times New Roman" w:hAnsi="Times New Roman"/>
                <w:lang w:val="en-US" w:eastAsia="zh-CN"/>
              </w:rPr>
              <w:t>1672</w:t>
            </w:r>
          </w:p>
        </w:tc>
        <w:tc>
          <w:tcPr>
            <w:tcW w:w="1473" w:type="pct"/>
            <w:tcBorders>
              <w:top w:val="single" w:color="000000" w:sz="4" w:space="0"/>
              <w:left w:val="single" w:color="000000" w:sz="4" w:space="0"/>
              <w:bottom w:val="single" w:color="000000" w:sz="4" w:space="0"/>
              <w:right w:val="single" w:color="000000" w:sz="4" w:space="0"/>
            </w:tcBorders>
            <w:noWrap w:val="0"/>
            <w:vAlign w:val="center"/>
          </w:tcPr>
          <w:p w14:paraId="5E454FC8">
            <w:pPr>
              <w:pStyle w:val="1463"/>
              <w:spacing w:before="48" w:after="48"/>
              <w:rPr>
                <w:rFonts w:ascii="Times New Roman" w:hAnsi="Times New Roman"/>
              </w:rPr>
            </w:pPr>
            <w:r>
              <w:rPr>
                <w:rFonts w:ascii="Times New Roman" w:hAnsi="Times New Roman"/>
                <w:lang w:eastAsia="zh-CN"/>
              </w:rPr>
              <w:t>第四系潜水</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14:paraId="744C4391">
            <w:pPr>
              <w:pStyle w:val="1463"/>
              <w:spacing w:before="48" w:after="48"/>
              <w:rPr>
                <w:rFonts w:ascii="Times New Roman" w:hAnsi="Times New Roman"/>
                <w:lang w:val="en-US" w:eastAsia="zh-CN"/>
              </w:rPr>
            </w:pPr>
            <w:r>
              <w:rPr>
                <w:rFonts w:ascii="Times New Roman" w:hAnsi="Times New Roman"/>
                <w:lang w:val="en-US" w:eastAsia="zh-CN"/>
              </w:rPr>
              <w:t>未利用</w:t>
            </w:r>
          </w:p>
        </w:tc>
      </w:tr>
    </w:tbl>
    <w:p w14:paraId="0FFE74B1">
      <w:pPr>
        <w:pStyle w:val="8"/>
        <w:ind w:firstLine="482"/>
        <w:rPr>
          <w:bCs/>
          <w:sz w:val="24"/>
          <w:szCs w:val="24"/>
        </w:rPr>
      </w:pPr>
      <w:r>
        <w:rPr>
          <w:bCs/>
          <w:sz w:val="24"/>
          <w:szCs w:val="24"/>
        </w:rPr>
        <w:t>5.2.3.5地下水敏感目标调查</w:t>
      </w:r>
    </w:p>
    <w:p w14:paraId="7DFDA636">
      <w:pPr>
        <w:spacing w:line="360" w:lineRule="auto"/>
        <w:ind w:firstLine="480"/>
        <w:jc w:val="left"/>
        <w:rPr>
          <w:kern w:val="0"/>
          <w:sz w:val="24"/>
          <w:szCs w:val="22"/>
          <w:lang w:bidi="ar"/>
        </w:rPr>
      </w:pPr>
      <w:r>
        <w:rPr>
          <w:kern w:val="0"/>
          <w:sz w:val="24"/>
          <w:szCs w:val="22"/>
          <w:lang w:bidi="ar"/>
        </w:rPr>
        <w:t>根据调查了解，项目区周边的村寨均通设市政自来水作为饮用水，根据《石林彝族自治县七角塘水库等十七个集中式饮用水源地保护范围划界方案》项目所在区域列入该次集中式饮用水水源保护划定范围的有圭山水库，距离项目区较远，且在项目区上游，项目区周边的的取水井及泉点主要用于旱时农田灌溉，项目区周边居民生活用水均为市政自来水，引自圭山水库；经现场调查和有关资料，项目所在区域地下水分水岭和地表水分水岭基本一致，其运移方向也与地形坡向等基本一致，在接收大气降水补给后，自高处向低处运移，区域不属于生活供水水源地准保护区、不属于热水、矿泉水、温泉等特殊地下水源保护区、也不属于补给径流区，场地内无分散居民饮用水源等其它环境敏感区，则项目场地地下水敏感程度为不敏感。</w:t>
      </w:r>
    </w:p>
    <w:p w14:paraId="391D0EDB">
      <w:pPr>
        <w:pStyle w:val="8"/>
        <w:spacing w:after="156"/>
        <w:ind w:firstLine="482"/>
        <w:rPr>
          <w:b w:val="0"/>
          <w:sz w:val="24"/>
          <w:szCs w:val="22"/>
        </w:rPr>
      </w:pPr>
      <w:bookmarkStart w:id="170" w:name="_Toc8459"/>
      <w:bookmarkStart w:id="171" w:name="_Toc27004"/>
      <w:r>
        <w:rPr>
          <w:bCs/>
          <w:sz w:val="24"/>
          <w:szCs w:val="24"/>
        </w:rPr>
        <w:t>5.2.3.6地下水现状污染调查</w:t>
      </w:r>
      <w:bookmarkEnd w:id="170"/>
      <w:bookmarkEnd w:id="171"/>
    </w:p>
    <w:p w14:paraId="64EEAD82">
      <w:pPr>
        <w:pStyle w:val="47"/>
        <w:spacing w:line="360" w:lineRule="auto"/>
        <w:ind w:firstLine="480" w:firstLineChars="200"/>
        <w:rPr>
          <w:rFonts w:ascii="Times New Roman" w:hAnsi="Times New Roman" w:cs="Times New Roman"/>
          <w:kern w:val="0"/>
          <w:sz w:val="24"/>
          <w:szCs w:val="22"/>
          <w:lang w:bidi="ar"/>
        </w:rPr>
      </w:pPr>
      <w:r>
        <w:rPr>
          <w:rFonts w:ascii="Times New Roman" w:hAnsi="Times New Roman" w:cs="Times New Roman"/>
          <w:kern w:val="0"/>
          <w:sz w:val="24"/>
          <w:szCs w:val="22"/>
          <w:lang w:bidi="ar"/>
        </w:rPr>
        <w:t>通过现场调查，项目在项目区内地下水污染源主要为农村生活污染源、农业污染及工业污染。环评期间，对地下水监测结果表明，项目区域地下水环境各项指标均能满足（GB/T 14848-2017）中Ⅲ类水质标准区域地下水环境质量较好。</w:t>
      </w:r>
    </w:p>
    <w:p w14:paraId="4799ED93">
      <w:pPr>
        <w:pStyle w:val="8"/>
        <w:ind w:firstLine="482"/>
        <w:rPr>
          <w:bCs/>
          <w:sz w:val="24"/>
          <w:szCs w:val="24"/>
        </w:rPr>
      </w:pPr>
      <w:r>
        <w:rPr>
          <w:bCs/>
          <w:sz w:val="24"/>
          <w:szCs w:val="24"/>
        </w:rPr>
        <w:t>5.2.3.7地下水污染途径</w:t>
      </w:r>
    </w:p>
    <w:p w14:paraId="69F0F2FF">
      <w:pPr>
        <w:spacing w:line="360" w:lineRule="auto"/>
        <w:ind w:firstLine="480"/>
        <w:rPr>
          <w:sz w:val="24"/>
        </w:rPr>
      </w:pPr>
      <w:r>
        <w:rPr>
          <w:sz w:val="24"/>
        </w:rPr>
        <w:t>项目运营期各种废水由排污沟渠排入</w:t>
      </w:r>
      <w:r>
        <w:rPr>
          <w:bCs/>
          <w:sz w:val="24"/>
        </w:rPr>
        <w:t>污水处理站</w:t>
      </w:r>
      <w:r>
        <w:rPr>
          <w:sz w:val="24"/>
        </w:rPr>
        <w:t>进行处理。</w:t>
      </w:r>
      <w:r>
        <w:rPr>
          <w:bCs/>
          <w:sz w:val="24"/>
        </w:rPr>
        <w:t>污水处理站处理后的</w:t>
      </w:r>
      <w:r>
        <w:rPr>
          <w:sz w:val="24"/>
        </w:rPr>
        <w:t>再生水单独收集后回用于厂区绿化，不外排。因此，在正常情况下，项目的运营对地下水环境影响很小。</w:t>
      </w:r>
    </w:p>
    <w:p w14:paraId="2F536425">
      <w:pPr>
        <w:spacing w:line="360" w:lineRule="auto"/>
        <w:ind w:firstLine="480"/>
        <w:rPr>
          <w:sz w:val="24"/>
        </w:rPr>
      </w:pPr>
      <w:r>
        <w:rPr>
          <w:sz w:val="24"/>
        </w:rPr>
        <w:t>根据评价区水文地质条件、地下水补给、径流和排泄特点，结合项目的运营过程看，可能造成地下水污染的因素主要表现在化粪池、</w:t>
      </w:r>
      <w:r>
        <w:rPr>
          <w:bCs/>
          <w:sz w:val="24"/>
        </w:rPr>
        <w:t>污水处理站（含调节池）</w:t>
      </w:r>
      <w:r>
        <w:rPr>
          <w:sz w:val="24"/>
        </w:rPr>
        <w:t>防渗措施不到位，造成废水渗入地下，进而污染地下水体；</w:t>
      </w:r>
    </w:p>
    <w:p w14:paraId="5E23C081">
      <w:pPr>
        <w:pStyle w:val="8"/>
        <w:ind w:firstLine="482"/>
        <w:rPr>
          <w:bCs/>
          <w:sz w:val="24"/>
          <w:szCs w:val="24"/>
        </w:rPr>
      </w:pPr>
      <w:r>
        <w:rPr>
          <w:bCs/>
          <w:sz w:val="24"/>
          <w:szCs w:val="24"/>
        </w:rPr>
        <w:t>5.2.3.8地下水环境影响分析</w:t>
      </w:r>
    </w:p>
    <w:p w14:paraId="47B2557C">
      <w:pPr>
        <w:spacing w:line="360" w:lineRule="auto"/>
        <w:ind w:firstLine="482" w:firstLineChars="200"/>
        <w:rPr>
          <w:b/>
          <w:sz w:val="24"/>
        </w:rPr>
      </w:pPr>
      <w:r>
        <w:rPr>
          <w:b/>
          <w:sz w:val="24"/>
        </w:rPr>
        <w:t>（1）正常运行状况下对地下水环境的影响分析</w:t>
      </w:r>
    </w:p>
    <w:p w14:paraId="5511CBE6">
      <w:pPr>
        <w:spacing w:line="360" w:lineRule="auto"/>
        <w:ind w:firstLine="480" w:firstLineChars="200"/>
        <w:rPr>
          <w:sz w:val="24"/>
        </w:rPr>
      </w:pPr>
      <w:r>
        <w:rPr>
          <w:sz w:val="24"/>
        </w:rPr>
        <w:t>拟建项目为生猪养殖场项目，项目的主体生产设施和装置基本置于地面上，属于相对污废水渗漏或泄漏易于发现和易处理的区域；地下水类型主要为第四系松散层孔隙水，区域地下水主要接受大气降水补给，动态变化呈季节性，含水层间水力联系不密切。因此，在项目建设过程中，猪舍、污水处理站、固粪处理区和无害化处理车间、医疗固废暂存间、截排水沟等区域按照《环境影响评价技术导则-地下水环境》（HJ610-2016）中的防渗要求进行防渗设计，厂区采取防渗措施的情况下，项目正常运行过程中产生的污废水、固废等污染物发生渗漏或泄漏的可能性较小，即在建设期做好厂区的污染防渗措施，运行期加强维护和管理情况下，污废水、固废发生渗漏或泄漏造成地下水污染的可能性较小，项目建设运营对地下水环境的影响是可控的。</w:t>
      </w:r>
    </w:p>
    <w:p w14:paraId="5004D028">
      <w:pPr>
        <w:spacing w:line="360" w:lineRule="auto"/>
        <w:ind w:firstLine="482" w:firstLineChars="200"/>
        <w:rPr>
          <w:b/>
          <w:sz w:val="24"/>
        </w:rPr>
      </w:pPr>
      <w:r>
        <w:rPr>
          <w:b/>
          <w:sz w:val="24"/>
        </w:rPr>
        <w:t>（2）非正常状况下对地下水环境的影响分析</w:t>
      </w:r>
    </w:p>
    <w:p w14:paraId="4592BE7A">
      <w:pPr>
        <w:spacing w:line="360" w:lineRule="auto"/>
        <w:ind w:firstLine="480" w:firstLineChars="200"/>
        <w:rPr>
          <w:snapToGrid w:val="0"/>
          <w:sz w:val="24"/>
        </w:rPr>
      </w:pPr>
      <w:r>
        <w:rPr>
          <w:snapToGrid w:val="0"/>
          <w:sz w:val="24"/>
        </w:rPr>
        <w:t>非正常工况下项目对地下水的影响途径包括污水处理站收集池、固粪处理区等发生泄漏或溢出，废污水渗入地下：污水收集运送管线发生泄漏，废水渗入地下等。具体的影响途径分析见下表5.2-18。</w:t>
      </w:r>
    </w:p>
    <w:p w14:paraId="31567D59">
      <w:pPr>
        <w:tabs>
          <w:tab w:val="left" w:pos="3555"/>
        </w:tabs>
        <w:spacing w:line="360" w:lineRule="auto"/>
        <w:jc w:val="center"/>
        <w:rPr>
          <w:b/>
          <w:szCs w:val="21"/>
        </w:rPr>
      </w:pPr>
      <w:r>
        <w:rPr>
          <w:b/>
          <w:szCs w:val="21"/>
        </w:rPr>
        <w:t>表5.2-18 非正常工况主要地下水污染途径列表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061"/>
        <w:gridCol w:w="6082"/>
      </w:tblGrid>
      <w:tr w14:paraId="3D29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61" w:type="pct"/>
            <w:noWrap w:val="0"/>
            <w:vAlign w:val="center"/>
          </w:tcPr>
          <w:p w14:paraId="40165AF4">
            <w:pPr>
              <w:jc w:val="center"/>
              <w:rPr>
                <w:szCs w:val="21"/>
              </w:rPr>
            </w:pPr>
            <w:r>
              <w:rPr>
                <w:szCs w:val="21"/>
              </w:rPr>
              <w:t>潜在污染源</w:t>
            </w:r>
          </w:p>
        </w:tc>
        <w:tc>
          <w:tcPr>
            <w:tcW w:w="997" w:type="pct"/>
            <w:noWrap w:val="0"/>
            <w:vAlign w:val="center"/>
          </w:tcPr>
          <w:p w14:paraId="5FCCC622">
            <w:pPr>
              <w:jc w:val="center"/>
              <w:rPr>
                <w:szCs w:val="21"/>
              </w:rPr>
            </w:pPr>
            <w:r>
              <w:rPr>
                <w:szCs w:val="21"/>
              </w:rPr>
              <w:t>潜在污染途径</w:t>
            </w:r>
          </w:p>
        </w:tc>
        <w:tc>
          <w:tcPr>
            <w:tcW w:w="2942" w:type="pct"/>
            <w:noWrap w:val="0"/>
            <w:vAlign w:val="center"/>
          </w:tcPr>
          <w:p w14:paraId="3E9ADA7B">
            <w:pPr>
              <w:jc w:val="center"/>
              <w:rPr>
                <w:szCs w:val="21"/>
              </w:rPr>
            </w:pPr>
            <w:r>
              <w:rPr>
                <w:szCs w:val="21"/>
              </w:rPr>
              <w:t>影响分析</w:t>
            </w:r>
          </w:p>
        </w:tc>
      </w:tr>
      <w:tr w14:paraId="4012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61" w:type="pct"/>
            <w:noWrap w:val="0"/>
            <w:vAlign w:val="center"/>
          </w:tcPr>
          <w:p w14:paraId="42FC3ED9">
            <w:pPr>
              <w:jc w:val="center"/>
              <w:rPr>
                <w:szCs w:val="21"/>
              </w:rPr>
            </w:pPr>
            <w:r>
              <w:rPr>
                <w:szCs w:val="21"/>
              </w:rPr>
              <w:t>收集池、沼液储存池、固粪处理区、无害化处理间</w:t>
            </w:r>
          </w:p>
        </w:tc>
        <w:tc>
          <w:tcPr>
            <w:tcW w:w="997" w:type="pct"/>
            <w:noWrap w:val="0"/>
            <w:vAlign w:val="center"/>
          </w:tcPr>
          <w:p w14:paraId="25A8D705">
            <w:pPr>
              <w:jc w:val="center"/>
              <w:rPr>
                <w:szCs w:val="21"/>
              </w:rPr>
            </w:pPr>
            <w:r>
              <w:rPr>
                <w:szCs w:val="21"/>
              </w:rPr>
              <w:t>地面出现裂缝，导致污染物进入地下水造成污染</w:t>
            </w:r>
          </w:p>
        </w:tc>
        <w:tc>
          <w:tcPr>
            <w:tcW w:w="2942" w:type="pct"/>
            <w:noWrap w:val="0"/>
            <w:vAlign w:val="center"/>
          </w:tcPr>
          <w:p w14:paraId="11B7EF7A">
            <w:pPr>
              <w:jc w:val="center"/>
              <w:rPr>
                <w:szCs w:val="21"/>
              </w:rPr>
            </w:pPr>
            <w:r>
              <w:rPr>
                <w:szCs w:val="21"/>
              </w:rPr>
              <w:t>池体作防渗处理，且泄露容易发现，只要处理及时，不易造成大范围的地下水污染。</w:t>
            </w:r>
          </w:p>
        </w:tc>
      </w:tr>
      <w:tr w14:paraId="09BF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pct"/>
            <w:noWrap w:val="0"/>
            <w:vAlign w:val="center"/>
          </w:tcPr>
          <w:p w14:paraId="3D4EC939">
            <w:pPr>
              <w:jc w:val="center"/>
              <w:rPr>
                <w:szCs w:val="21"/>
              </w:rPr>
            </w:pPr>
            <w:r>
              <w:rPr>
                <w:szCs w:val="21"/>
              </w:rPr>
              <w:t>污水管网</w:t>
            </w:r>
          </w:p>
        </w:tc>
        <w:tc>
          <w:tcPr>
            <w:tcW w:w="997" w:type="pct"/>
            <w:noWrap w:val="0"/>
            <w:vAlign w:val="center"/>
          </w:tcPr>
          <w:p w14:paraId="686F8236">
            <w:pPr>
              <w:jc w:val="center"/>
              <w:rPr>
                <w:szCs w:val="21"/>
              </w:rPr>
            </w:pPr>
            <w:r>
              <w:rPr>
                <w:szCs w:val="21"/>
              </w:rPr>
              <w:t>污水收集管网出现破损，导致污水渗入地下</w:t>
            </w:r>
          </w:p>
        </w:tc>
        <w:tc>
          <w:tcPr>
            <w:tcW w:w="2942" w:type="pct"/>
            <w:noWrap w:val="0"/>
            <w:vAlign w:val="center"/>
          </w:tcPr>
          <w:p w14:paraId="18A28900">
            <w:pPr>
              <w:jc w:val="center"/>
              <w:rPr>
                <w:szCs w:val="21"/>
              </w:rPr>
            </w:pPr>
            <w:r>
              <w:rPr>
                <w:szCs w:val="21"/>
              </w:rPr>
              <w:t>污水管裂缝具有隐蔽性，需要较长时间才能发现。但由于泄漏量不会很大，且管线沿线做重点防渗处理，不会导致大量污水渗漏到很大区域，对地下水的影响有限，仅对泄露点周边较小污染区域造成影响。</w:t>
            </w:r>
          </w:p>
        </w:tc>
      </w:tr>
    </w:tbl>
    <w:p w14:paraId="512EF117">
      <w:pPr>
        <w:spacing w:line="440" w:lineRule="exact"/>
        <w:ind w:firstLine="480" w:firstLineChars="200"/>
        <w:rPr>
          <w:bCs/>
          <w:sz w:val="24"/>
        </w:rPr>
      </w:pPr>
      <w:r>
        <w:rPr>
          <w:snapToGrid w:val="0"/>
          <w:sz w:val="24"/>
        </w:rPr>
        <w:t>由表可以看出，项目非正常工况下对地下水可能造成的影响主要是由于出现泄漏、溢流，导致污染物进入包气带并最终到达浅层地下水。</w:t>
      </w:r>
      <w:r>
        <w:rPr>
          <w:bCs/>
          <w:sz w:val="24"/>
        </w:rPr>
        <w:t>污染物通过土层垂直下渗首先经过表土，再进入包气带，在包气带污水可以得到一定程度的净化，尤其是有机污染物。不能被净化或固定的污染物随入渗水进入地下水层。废水中的COD在粘性土中的吸附（去除）率为：包气带厚度为1.0m时，去除率达80%-90%，当包气带厚度在2.0m时，去除率可达95%以上。这说明废水在下渗过程中，逐渐被包气带物质粘土所吸附降解，只有极少部分进入含水层。</w:t>
      </w:r>
    </w:p>
    <w:p w14:paraId="07F99D37">
      <w:pPr>
        <w:spacing w:line="440" w:lineRule="exact"/>
        <w:ind w:firstLine="480" w:firstLineChars="200"/>
        <w:rPr>
          <w:bCs/>
          <w:sz w:val="24"/>
        </w:rPr>
      </w:pPr>
      <w:r>
        <w:rPr>
          <w:bCs/>
          <w:sz w:val="24"/>
        </w:rPr>
        <w:t>根据现场情况，项目区包气带</w:t>
      </w:r>
      <w:r>
        <w:rPr>
          <w:kern w:val="0"/>
          <w:sz w:val="24"/>
          <w:szCs w:val="22"/>
          <w:lang w:bidi="ar"/>
        </w:rPr>
        <w:t>由冲积、残坡积的亚砂土、砾石、细砂组成。厚度为（5-10m），一般6m左右</w:t>
      </w:r>
      <w:r>
        <w:rPr>
          <w:bCs/>
          <w:sz w:val="24"/>
        </w:rPr>
        <w:t>，在采取相关防渗措施后，项目的建设对区域浅层地下水影响较小。根据环评调查，项目区周边村民饮用水均来自市政自来水，水源为圭山水库，本项目运行不会影响周边村民用水。</w:t>
      </w:r>
    </w:p>
    <w:p w14:paraId="1196162C">
      <w:pPr>
        <w:spacing w:line="440" w:lineRule="exact"/>
        <w:ind w:firstLine="480" w:firstLineChars="200"/>
        <w:rPr>
          <w:bCs/>
          <w:sz w:val="24"/>
        </w:rPr>
      </w:pPr>
      <w:r>
        <w:rPr>
          <w:bCs/>
          <w:sz w:val="24"/>
        </w:rPr>
        <w:t>通过水文地质条件分析，厚度在5-10m之间，垂直渗入补给条件较差，与深层地下水水力联系不密切。项目猪舍、污水处理、固粪处理区、沼液储存池、无害化处理区均采用防渗措施，深层地下水受到项目下渗污水的污染影响较小。</w:t>
      </w:r>
    </w:p>
    <w:p w14:paraId="15DF7329">
      <w:pPr>
        <w:spacing w:line="440" w:lineRule="exact"/>
        <w:ind w:firstLine="480" w:firstLineChars="200"/>
        <w:rPr>
          <w:bCs/>
          <w:sz w:val="24"/>
        </w:rPr>
      </w:pPr>
      <w:r>
        <w:rPr>
          <w:bCs/>
          <w:sz w:val="24"/>
        </w:rPr>
        <w:t>综上分析，项目废水对地下水影响很小。</w:t>
      </w:r>
    </w:p>
    <w:p w14:paraId="034118B9">
      <w:pPr>
        <w:pStyle w:val="8"/>
        <w:ind w:firstLine="482"/>
        <w:rPr>
          <w:bCs/>
          <w:sz w:val="24"/>
          <w:szCs w:val="24"/>
          <w:lang w:eastAsia="en-US"/>
        </w:rPr>
      </w:pPr>
      <w:r>
        <w:rPr>
          <w:bCs/>
          <w:sz w:val="24"/>
          <w:szCs w:val="24"/>
        </w:rPr>
        <w:t>5</w:t>
      </w:r>
      <w:r>
        <w:rPr>
          <w:bCs/>
          <w:sz w:val="24"/>
          <w:szCs w:val="24"/>
          <w:lang w:eastAsia="en-US"/>
        </w:rPr>
        <w:t>.</w:t>
      </w:r>
      <w:r>
        <w:rPr>
          <w:bCs/>
          <w:sz w:val="24"/>
          <w:szCs w:val="24"/>
        </w:rPr>
        <w:t>2</w:t>
      </w:r>
      <w:r>
        <w:rPr>
          <w:bCs/>
          <w:sz w:val="24"/>
          <w:szCs w:val="24"/>
          <w:lang w:eastAsia="en-US"/>
        </w:rPr>
        <w:t>.</w:t>
      </w:r>
      <w:r>
        <w:rPr>
          <w:bCs/>
          <w:sz w:val="24"/>
          <w:szCs w:val="24"/>
        </w:rPr>
        <w:t>3</w:t>
      </w:r>
      <w:r>
        <w:rPr>
          <w:bCs/>
          <w:sz w:val="24"/>
          <w:szCs w:val="24"/>
          <w:lang w:eastAsia="en-US"/>
        </w:rPr>
        <w:t>.</w:t>
      </w:r>
      <w:r>
        <w:rPr>
          <w:bCs/>
          <w:sz w:val="24"/>
          <w:szCs w:val="24"/>
        </w:rPr>
        <w:t>9</w:t>
      </w:r>
      <w:r>
        <w:rPr>
          <w:bCs/>
          <w:sz w:val="24"/>
          <w:szCs w:val="24"/>
          <w:lang w:eastAsia="en-US"/>
        </w:rPr>
        <w:t>地下水环境防治措施及建议</w:t>
      </w:r>
    </w:p>
    <w:p w14:paraId="67F8EBC4">
      <w:pPr>
        <w:spacing w:line="360" w:lineRule="auto"/>
        <w:ind w:firstLine="480" w:firstLineChars="200"/>
        <w:jc w:val="left"/>
        <w:rPr>
          <w:bCs/>
          <w:kern w:val="0"/>
          <w:sz w:val="24"/>
          <w:szCs w:val="22"/>
          <w:lang w:bidi="ar"/>
        </w:rPr>
      </w:pPr>
      <w:r>
        <w:rPr>
          <w:bCs/>
          <w:kern w:val="0"/>
          <w:sz w:val="24"/>
          <w:szCs w:val="22"/>
          <w:lang w:bidi="ar"/>
        </w:rPr>
        <w:t>根据项目区水文地质条件，结合项目自身特点，按照“源头控制、分区防控、污染监控、应急响应”相结合的原则，本环评提出以下地下水环境污染防治措施：</w:t>
      </w:r>
    </w:p>
    <w:p w14:paraId="42DADE34">
      <w:pPr>
        <w:adjustRightInd w:val="0"/>
        <w:snapToGrid w:val="0"/>
        <w:spacing w:line="360" w:lineRule="auto"/>
        <w:ind w:firstLine="482" w:firstLineChars="200"/>
        <w:jc w:val="left"/>
        <w:rPr>
          <w:b/>
          <w:bCs/>
        </w:rPr>
      </w:pPr>
      <w:r>
        <w:rPr>
          <w:b/>
          <w:bCs/>
          <w:kern w:val="0"/>
          <w:sz w:val="24"/>
          <w:lang w:bidi="ar"/>
        </w:rPr>
        <w:t>（1）源头控制措施</w:t>
      </w:r>
    </w:p>
    <w:p w14:paraId="467EE454">
      <w:pPr>
        <w:pStyle w:val="35"/>
        <w:spacing w:line="364" w:lineRule="auto"/>
        <w:ind w:right="333" w:firstLine="480" w:firstLineChars="200"/>
        <w:rPr>
          <w:bCs/>
          <w:kern w:val="0"/>
          <w:sz w:val="24"/>
          <w:szCs w:val="22"/>
          <w:lang w:bidi="ar"/>
        </w:rPr>
      </w:pPr>
      <w:r>
        <w:rPr>
          <w:bCs/>
          <w:kern w:val="0"/>
          <w:sz w:val="24"/>
          <w:szCs w:val="22"/>
          <w:lang w:bidi="ar"/>
        </w:rPr>
        <w:t>①对场内污水池严格按照规范进行设计，做好防渗，防漏工程，同时项目污水收集管道注意防泄漏、跑冒的检查的修补，防治污水泄漏对地下水造成污染。成立事故处理小组，一旦发生管道泄漏、防渗层破裂，立即组织人力、物力和财力加急进行维修，同时对泄漏的废水进行拦截、回收、转移，以防止污染地下水。</w:t>
      </w:r>
    </w:p>
    <w:p w14:paraId="4A40E5A4">
      <w:pPr>
        <w:pStyle w:val="35"/>
        <w:spacing w:before="3" w:line="360" w:lineRule="auto"/>
        <w:ind w:firstLine="480" w:firstLineChars="200"/>
        <w:rPr>
          <w:bCs/>
          <w:kern w:val="0"/>
          <w:sz w:val="24"/>
          <w:szCs w:val="22"/>
          <w:lang w:bidi="ar"/>
        </w:rPr>
      </w:pPr>
      <w:r>
        <w:rPr>
          <w:bCs/>
          <w:kern w:val="0"/>
          <w:sz w:val="24"/>
          <w:szCs w:val="22"/>
          <w:lang w:bidi="ar"/>
        </w:rPr>
        <w:t>②加强场区地面硬化，场内做好雨污分流。</w:t>
      </w:r>
    </w:p>
    <w:p w14:paraId="4C480EA2">
      <w:pPr>
        <w:spacing w:line="360" w:lineRule="auto"/>
        <w:ind w:firstLine="482" w:firstLineChars="200"/>
      </w:pPr>
      <w:r>
        <w:rPr>
          <w:b/>
          <w:bCs/>
          <w:kern w:val="0"/>
          <w:sz w:val="24"/>
          <w:lang w:bidi="ar"/>
        </w:rPr>
        <w:t>（2）分区防治措施</w:t>
      </w:r>
    </w:p>
    <w:p w14:paraId="03EAB7FA">
      <w:pPr>
        <w:pStyle w:val="35"/>
        <w:spacing w:after="0" w:line="360" w:lineRule="auto"/>
        <w:ind w:firstLine="480" w:firstLineChars="200"/>
        <w:rPr>
          <w:sz w:val="24"/>
        </w:rPr>
      </w:pPr>
      <w:r>
        <w:rPr>
          <w:sz w:val="24"/>
        </w:rPr>
        <w:t>将厂区按各功能单元所处的位置划分为重点防渗区、一般防渗区、简单防渗区三类地下水污染防治区域：</w:t>
      </w:r>
    </w:p>
    <w:p w14:paraId="39A85262">
      <w:pPr>
        <w:pStyle w:val="35"/>
        <w:spacing w:after="0" w:line="360" w:lineRule="auto"/>
        <w:ind w:firstLine="480" w:firstLineChars="200"/>
        <w:rPr>
          <w:sz w:val="24"/>
        </w:rPr>
      </w:pPr>
      <w:r>
        <w:rPr>
          <w:sz w:val="24"/>
        </w:rPr>
        <w:t xml:space="preserve">重点防渗区包括：对猪舍、粪污收集系统（包括猪舍下污粪尿储存池、粪污输送管道、污水收集管网）、 污水处理站（含沼液暂存池、集污池兼事故应急池）、堆肥间（包括堆肥间内的渗滤液收集沟）、无害化处理间、危废暂存间、划分为重点防渗区；防渗要求如下： </w:t>
      </w:r>
      <w:r>
        <w:rPr>
          <w:spacing w:val="-8"/>
          <w:sz w:val="24"/>
        </w:rPr>
        <w:t>重点污染区各单元</w:t>
      </w:r>
      <w:r>
        <w:rPr>
          <w:sz w:val="24"/>
        </w:rPr>
        <w:t>防渗层等效黏土防渗层 Mb≥6.0m，渗透系数≤10</w:t>
      </w:r>
      <w:r>
        <w:rPr>
          <w:sz w:val="24"/>
          <w:vertAlign w:val="superscript"/>
        </w:rPr>
        <w:t>-7</w:t>
      </w:r>
      <w:r>
        <w:rPr>
          <w:sz w:val="24"/>
        </w:rPr>
        <w:t>cm/s。</w:t>
      </w:r>
      <w:r>
        <w:rPr>
          <w:spacing w:val="-4"/>
          <w:sz w:val="24"/>
        </w:rPr>
        <w:t xml:space="preserve">污水处理池体采用池底及顶部覆膜采用 </w:t>
      </w:r>
      <w:r>
        <w:rPr>
          <w:rFonts w:eastAsia="Times New Roman"/>
          <w:sz w:val="24"/>
        </w:rPr>
        <w:t xml:space="preserve">PE </w:t>
      </w:r>
      <w:r>
        <w:rPr>
          <w:spacing w:val="-3"/>
          <w:sz w:val="24"/>
        </w:rPr>
        <w:t>复合材质，粪污输送全部采用管</w:t>
      </w:r>
      <w:r>
        <w:rPr>
          <w:spacing w:val="-9"/>
          <w:sz w:val="24"/>
        </w:rPr>
        <w:t>道输送，管道材料应根据输送的介质选择合适的材质，并做表面的防腐、防锈处</w:t>
      </w:r>
      <w:r>
        <w:rPr>
          <w:spacing w:val="-10"/>
          <w:sz w:val="24"/>
        </w:rPr>
        <w:t>理，减轻管道腐蚀造成的渗漏，并定期进行检查，防止跑冒滴漏现象发生。</w:t>
      </w:r>
      <w:r>
        <w:rPr>
          <w:sz w:val="24"/>
        </w:rPr>
        <w:t>危废暂存间、病死猪无害化处理间混凝土地面加铺防渗剂和人工材料（</w:t>
      </w:r>
      <w:r>
        <w:rPr>
          <w:rFonts w:eastAsia="Times New Roman"/>
          <w:sz w:val="24"/>
        </w:rPr>
        <w:t>HDPE</w:t>
      </w:r>
      <w:r>
        <w:rPr>
          <w:sz w:val="24"/>
        </w:rPr>
        <w:t>）</w:t>
      </w:r>
      <w:r>
        <w:rPr>
          <w:spacing w:val="-4"/>
          <w:sz w:val="24"/>
        </w:rPr>
        <w:t>防渗层，确</w:t>
      </w:r>
      <w:r>
        <w:rPr>
          <w:spacing w:val="-7"/>
          <w:sz w:val="24"/>
        </w:rPr>
        <w:t xml:space="preserve">保等效黏土防渗层 </w:t>
      </w:r>
      <w:r>
        <w:rPr>
          <w:rFonts w:eastAsia="Times New Roman"/>
          <w:sz w:val="24"/>
        </w:rPr>
        <w:t>Mb≥6.0m</w:t>
      </w:r>
      <w:r>
        <w:rPr>
          <w:sz w:val="24"/>
        </w:rPr>
        <w:t>，</w:t>
      </w:r>
      <w:r>
        <w:rPr>
          <w:rFonts w:eastAsia="Times New Roman"/>
          <w:sz w:val="24"/>
        </w:rPr>
        <w:t>K≤1×10</w:t>
      </w:r>
      <w:r>
        <w:rPr>
          <w:sz w:val="24"/>
          <w:vertAlign w:val="superscript"/>
        </w:rPr>
        <w:t>-7</w:t>
      </w:r>
      <w:r>
        <w:rPr>
          <w:rFonts w:eastAsia="Times New Roman"/>
          <w:position w:val="9"/>
          <w:sz w:val="24"/>
        </w:rPr>
        <w:t xml:space="preserve"> </w:t>
      </w:r>
      <w:r>
        <w:rPr>
          <w:rFonts w:eastAsia="Times New Roman"/>
          <w:sz w:val="24"/>
        </w:rPr>
        <w:t>cm/s</w:t>
      </w:r>
      <w:r>
        <w:rPr>
          <w:sz w:val="24"/>
        </w:rPr>
        <w:t>。</w:t>
      </w:r>
    </w:p>
    <w:p w14:paraId="21F53F70">
      <w:pPr>
        <w:pStyle w:val="2078"/>
        <w:tabs>
          <w:tab w:val="left" w:pos="1621"/>
        </w:tabs>
        <w:spacing w:line="360" w:lineRule="auto"/>
        <w:ind w:firstLine="480"/>
        <w:rPr>
          <w:sz w:val="24"/>
        </w:rPr>
      </w:pPr>
      <w:r>
        <w:rPr>
          <w:sz w:val="24"/>
        </w:rPr>
        <w:t>一般防渗区包括：化粪池、消毒物品存放间、消毒间划分为一般防渗区；对一般防渗区采取的防渗措施：</w:t>
      </w:r>
      <w:r>
        <w:rPr>
          <w:spacing w:val="-7"/>
          <w:sz w:val="24"/>
        </w:rPr>
        <w:t xml:space="preserve">采取粘土铺底，等效黏土防渗层 </w:t>
      </w:r>
      <w:r>
        <w:rPr>
          <w:rFonts w:eastAsia="Times New Roman"/>
          <w:spacing w:val="-4"/>
          <w:sz w:val="24"/>
        </w:rPr>
        <w:t>Mb≥1.5m</w:t>
      </w:r>
      <w:r>
        <w:rPr>
          <w:spacing w:val="-4"/>
          <w:sz w:val="24"/>
        </w:rPr>
        <w:t>，</w:t>
      </w:r>
      <w:r>
        <w:rPr>
          <w:rFonts w:eastAsia="Times New Roman"/>
          <w:spacing w:val="-4"/>
          <w:sz w:val="24"/>
        </w:rPr>
        <w:t>K≤1×10</w:t>
      </w:r>
      <w:r>
        <w:rPr>
          <w:spacing w:val="-4"/>
          <w:sz w:val="24"/>
          <w:vertAlign w:val="superscript"/>
        </w:rPr>
        <w:t>-7</w:t>
      </w:r>
      <w:r>
        <w:rPr>
          <w:rFonts w:eastAsia="Times New Roman"/>
          <w:sz w:val="24"/>
        </w:rPr>
        <w:t>cm/s</w:t>
      </w:r>
      <w:r>
        <w:rPr>
          <w:sz w:val="24"/>
        </w:rPr>
        <w:t xml:space="preserve">， </w:t>
      </w:r>
      <w:r>
        <w:rPr>
          <w:spacing w:val="-11"/>
          <w:sz w:val="24"/>
        </w:rPr>
        <w:t xml:space="preserve">再在上层铺 </w:t>
      </w:r>
      <w:r>
        <w:rPr>
          <w:rFonts w:eastAsia="Times New Roman"/>
          <w:sz w:val="24"/>
        </w:rPr>
        <w:t xml:space="preserve">10~15cm </w:t>
      </w:r>
      <w:r>
        <w:rPr>
          <w:sz w:val="24"/>
        </w:rPr>
        <w:t>水泥进行硬化。</w:t>
      </w:r>
    </w:p>
    <w:p w14:paraId="27F917A0">
      <w:pPr>
        <w:pStyle w:val="2078"/>
        <w:tabs>
          <w:tab w:val="left" w:pos="1621"/>
        </w:tabs>
        <w:spacing w:line="360" w:lineRule="auto"/>
        <w:ind w:firstLine="480"/>
        <w:rPr>
          <w:sz w:val="24"/>
        </w:rPr>
      </w:pPr>
      <w:r>
        <w:rPr>
          <w:sz w:val="24"/>
        </w:rPr>
        <w:t>简单防渗区：饲料仓库、办公室生活等区域划分为简单防渗区，地面采用水泥硬化处理。</w:t>
      </w:r>
    </w:p>
    <w:p w14:paraId="19336BB7">
      <w:pPr>
        <w:pStyle w:val="35"/>
        <w:spacing w:after="0" w:line="360" w:lineRule="auto"/>
        <w:ind w:firstLine="480" w:firstLineChars="200"/>
        <w:rPr>
          <w:sz w:val="24"/>
        </w:rPr>
      </w:pPr>
      <w:r>
        <w:rPr>
          <w:rFonts w:eastAsia="Times New Roman"/>
          <w:sz w:val="24"/>
        </w:rPr>
        <w:t>3</w:t>
      </w:r>
      <w:r>
        <w:rPr>
          <w:sz w:val="24"/>
        </w:rPr>
        <w:t>、地下水监控措施</w:t>
      </w:r>
    </w:p>
    <w:p w14:paraId="606C19EB">
      <w:pPr>
        <w:pStyle w:val="2078"/>
        <w:tabs>
          <w:tab w:val="left" w:pos="1619"/>
        </w:tabs>
        <w:spacing w:line="360" w:lineRule="auto"/>
        <w:ind w:left="420" w:leftChars="200" w:firstLine="0" w:firstLineChars="0"/>
        <w:jc w:val="left"/>
        <w:rPr>
          <w:sz w:val="24"/>
        </w:rPr>
      </w:pPr>
      <w:r>
        <w:rPr>
          <w:sz w:val="24"/>
        </w:rPr>
        <w:t>（1）监控井</w:t>
      </w:r>
    </w:p>
    <w:p w14:paraId="6A15F314">
      <w:pPr>
        <w:pStyle w:val="35"/>
        <w:spacing w:after="0" w:line="360" w:lineRule="auto"/>
        <w:ind w:firstLine="460" w:firstLineChars="200"/>
        <w:rPr>
          <w:sz w:val="24"/>
        </w:rPr>
      </w:pPr>
      <w:r>
        <w:rPr>
          <w:spacing w:val="-5"/>
          <w:sz w:val="24"/>
        </w:rPr>
        <w:t>为了及时准确的掌握项目区内及下游地区地下水环境质量状况，以掌握厂区</w:t>
      </w:r>
      <w:r>
        <w:rPr>
          <w:spacing w:val="-7"/>
          <w:sz w:val="24"/>
        </w:rPr>
        <w:t>及周围地下水水质的动态变化，为及时应对地下水污染提供依据，确保建设项目的生产运行不会影响周围地下水环境，因此在各养殖区厂区下游各设置一口长期观测井对地</w:t>
      </w:r>
      <w:r>
        <w:rPr>
          <w:sz w:val="24"/>
        </w:rPr>
        <w:t>下水水质进行监测，工具体监测方案如下：</w:t>
      </w:r>
    </w:p>
    <w:p w14:paraId="4F63E923">
      <w:pPr>
        <w:pStyle w:val="35"/>
        <w:spacing w:after="0" w:line="360" w:lineRule="auto"/>
        <w:ind w:firstLine="480" w:firstLineChars="200"/>
        <w:rPr>
          <w:sz w:val="24"/>
        </w:rPr>
      </w:pPr>
      <w:r>
        <w:rPr>
          <w:sz w:val="24"/>
        </w:rPr>
        <w:t>①监测点布设</w:t>
      </w:r>
    </w:p>
    <w:p w14:paraId="204B3634">
      <w:pPr>
        <w:pStyle w:val="35"/>
        <w:spacing w:after="0" w:line="360" w:lineRule="auto"/>
        <w:ind w:firstLine="444" w:firstLineChars="200"/>
        <w:rPr>
          <w:rFonts w:eastAsia="Calibri"/>
          <w:sz w:val="24"/>
        </w:rPr>
      </w:pPr>
      <w:r>
        <w:rPr>
          <w:spacing w:val="-9"/>
          <w:sz w:val="24"/>
        </w:rPr>
        <w:t>根据厂区周围地下水流向，</w:t>
      </w:r>
      <w:r>
        <w:rPr>
          <w:spacing w:val="-7"/>
          <w:sz w:val="24"/>
        </w:rPr>
        <w:t>各养殖区厂区下游</w:t>
      </w:r>
      <w:r>
        <w:rPr>
          <w:spacing w:val="-9"/>
          <w:sz w:val="24"/>
        </w:rPr>
        <w:t>20m位置各处布设一口长期观</w:t>
      </w:r>
      <w:r>
        <w:rPr>
          <w:sz w:val="24"/>
        </w:rPr>
        <w:t>测井，共计设置5口。由于现状设计污水处理设施下游无地下水井，本次设置的监测井需新建。</w:t>
      </w:r>
    </w:p>
    <w:p w14:paraId="1A13FC39">
      <w:pPr>
        <w:pStyle w:val="35"/>
        <w:spacing w:after="0" w:line="360" w:lineRule="auto"/>
        <w:ind w:firstLine="480" w:firstLineChars="200"/>
        <w:rPr>
          <w:sz w:val="24"/>
        </w:rPr>
      </w:pPr>
      <w:r>
        <w:rPr>
          <w:sz w:val="24"/>
        </w:rPr>
        <w:t>②监测项目</w:t>
      </w:r>
    </w:p>
    <w:p w14:paraId="0462B881">
      <w:pPr>
        <w:pStyle w:val="35"/>
        <w:spacing w:after="0" w:line="360" w:lineRule="auto"/>
        <w:ind w:firstLine="480" w:firstLineChars="200"/>
        <w:rPr>
          <w:sz w:val="24"/>
        </w:rPr>
      </w:pPr>
      <w:r>
        <w:rPr>
          <w:rFonts w:eastAsia="Times New Roman"/>
          <w:sz w:val="24"/>
        </w:rPr>
        <w:t xml:space="preserve">pH </w:t>
      </w:r>
      <w:r>
        <w:rPr>
          <w:sz w:val="24"/>
        </w:rPr>
        <w:t>值、耗氧量、硝酸盐氮、亚硝酸盐氮、氨氮、总大肠菌群。</w:t>
      </w:r>
    </w:p>
    <w:p w14:paraId="2A456C98">
      <w:pPr>
        <w:pStyle w:val="35"/>
        <w:spacing w:after="0" w:line="360" w:lineRule="auto"/>
        <w:ind w:firstLine="480" w:firstLineChars="200"/>
        <w:rPr>
          <w:sz w:val="24"/>
        </w:rPr>
      </w:pPr>
      <w:r>
        <w:rPr>
          <w:sz w:val="24"/>
        </w:rPr>
        <w:t>③监测频率</w:t>
      </w:r>
    </w:p>
    <w:p w14:paraId="11D24DB6">
      <w:pPr>
        <w:pStyle w:val="35"/>
        <w:spacing w:after="0" w:line="360" w:lineRule="auto"/>
        <w:ind w:firstLine="480" w:firstLineChars="200"/>
        <w:rPr>
          <w:sz w:val="24"/>
        </w:rPr>
      </w:pPr>
      <w:r>
        <w:rPr>
          <w:sz w:val="24"/>
        </w:rPr>
        <w:t>监测频率：一年一次。</w:t>
      </w:r>
    </w:p>
    <w:p w14:paraId="378A4C74">
      <w:pPr>
        <w:pStyle w:val="35"/>
        <w:spacing w:after="0" w:line="360" w:lineRule="auto"/>
        <w:ind w:firstLine="452" w:firstLineChars="200"/>
        <w:rPr>
          <w:sz w:val="24"/>
        </w:rPr>
      </w:pPr>
      <w:r>
        <w:rPr>
          <w:spacing w:val="-7"/>
          <w:sz w:val="24"/>
        </w:rPr>
        <w:t>④将每次的监测数据及时进行统计、整理，并将每次的监测结果与相关标准及历史监测结果进行比较，以分析地下水水质各项指标的变化情况，确保厂区周</w:t>
      </w:r>
      <w:r>
        <w:rPr>
          <w:sz w:val="24"/>
        </w:rPr>
        <w:t>围及下游地下水环境的安全。</w:t>
      </w:r>
    </w:p>
    <w:p w14:paraId="1CE30F2B">
      <w:pPr>
        <w:pStyle w:val="2078"/>
        <w:tabs>
          <w:tab w:val="left" w:pos="1619"/>
        </w:tabs>
        <w:spacing w:line="360" w:lineRule="auto"/>
        <w:ind w:left="420" w:leftChars="200" w:firstLine="0" w:firstLineChars="0"/>
        <w:jc w:val="left"/>
        <w:rPr>
          <w:sz w:val="24"/>
        </w:rPr>
      </w:pPr>
      <w:r>
        <w:rPr>
          <w:sz w:val="24"/>
        </w:rPr>
        <w:t>（2）地下水监测管理</w:t>
      </w:r>
    </w:p>
    <w:p w14:paraId="6F2DBAAA">
      <w:pPr>
        <w:pStyle w:val="35"/>
        <w:spacing w:after="0" w:line="360" w:lineRule="auto"/>
        <w:ind w:firstLine="480" w:firstLineChars="200"/>
        <w:rPr>
          <w:sz w:val="24"/>
        </w:rPr>
      </w:pPr>
      <w:r>
        <w:rPr>
          <w:sz w:val="24"/>
        </w:rPr>
        <w:t>为保证地下水监测有效、有序管理，须制定相关规定、明确职责，采取以下技术措施。</w:t>
      </w:r>
    </w:p>
    <w:p w14:paraId="53C45E5C">
      <w:pPr>
        <w:pStyle w:val="2078"/>
        <w:tabs>
          <w:tab w:val="left" w:pos="1365"/>
        </w:tabs>
        <w:spacing w:line="360" w:lineRule="auto"/>
        <w:ind w:firstLine="428"/>
        <w:jc w:val="left"/>
        <w:rPr>
          <w:sz w:val="24"/>
        </w:rPr>
      </w:pPr>
      <w:r>
        <w:rPr>
          <w:spacing w:val="-13"/>
          <w:sz w:val="24"/>
        </w:rPr>
        <w:t>①按照《地下水环境监测技术规范》</w:t>
      </w:r>
      <w:r>
        <w:rPr>
          <w:sz w:val="24"/>
        </w:rPr>
        <w:t>（</w:t>
      </w:r>
      <w:r>
        <w:rPr>
          <w:rFonts w:eastAsia="Times New Roman"/>
          <w:sz w:val="24"/>
        </w:rPr>
        <w:t>HJ/T164-2004</w:t>
      </w:r>
      <w:r>
        <w:rPr>
          <w:sz w:val="24"/>
        </w:rPr>
        <w:t>）</w:t>
      </w:r>
      <w:r>
        <w:rPr>
          <w:spacing w:val="-3"/>
          <w:sz w:val="24"/>
        </w:rPr>
        <w:t>要求，及时上报监测数据和有关表格。</w:t>
      </w:r>
    </w:p>
    <w:p w14:paraId="6BBCBF26">
      <w:pPr>
        <w:pStyle w:val="2078"/>
        <w:tabs>
          <w:tab w:val="left" w:pos="1379"/>
        </w:tabs>
        <w:spacing w:line="360" w:lineRule="auto"/>
        <w:ind w:firstLine="480"/>
        <w:rPr>
          <w:sz w:val="24"/>
        </w:rPr>
      </w:pPr>
      <w:r>
        <w:rPr>
          <w:sz w:val="24"/>
        </w:rPr>
        <w:t>②在日常例行监测中，一旦发现地下水水质监测数据异常，应尽快核查数</w:t>
      </w:r>
      <w:r>
        <w:rPr>
          <w:spacing w:val="-10"/>
          <w:sz w:val="24"/>
        </w:rPr>
        <w:t>据，确保数据的正确性。并将核查过的监测数据通告安全环保部门，由专人负责</w:t>
      </w:r>
      <w:r>
        <w:rPr>
          <w:spacing w:val="-13"/>
          <w:sz w:val="24"/>
        </w:rPr>
        <w:t>对数据进行分析、核实，并密切关注生产设施的运行情况，为防止地下水污染采</w:t>
      </w:r>
      <w:r>
        <w:rPr>
          <w:spacing w:val="-14"/>
          <w:sz w:val="24"/>
        </w:rPr>
        <w:t>取措施提供正确的依据。同时对上游水井水质进行监测，以判断水质异常原因。</w:t>
      </w:r>
    </w:p>
    <w:p w14:paraId="207CD2C7">
      <w:pPr>
        <w:pStyle w:val="2078"/>
        <w:tabs>
          <w:tab w:val="left" w:pos="1365"/>
        </w:tabs>
        <w:spacing w:line="360" w:lineRule="auto"/>
        <w:ind w:firstLine="480"/>
        <w:jc w:val="left"/>
        <w:rPr>
          <w:sz w:val="24"/>
        </w:rPr>
      </w:pPr>
      <w:r>
        <w:rPr>
          <w:sz w:val="24"/>
        </w:rPr>
        <w:t>③周期性地编写地下水动态监测报告。</w:t>
      </w:r>
    </w:p>
    <w:p w14:paraId="2945018B">
      <w:pPr>
        <w:pStyle w:val="2078"/>
        <w:tabs>
          <w:tab w:val="left" w:pos="1379"/>
        </w:tabs>
        <w:spacing w:line="360" w:lineRule="auto"/>
        <w:ind w:firstLine="480"/>
        <w:jc w:val="left"/>
        <w:rPr>
          <w:sz w:val="24"/>
        </w:rPr>
      </w:pPr>
      <w:r>
        <w:rPr>
          <w:sz w:val="24"/>
        </w:rPr>
        <w:t>④每天对厂区各车间设施及调节池等处进行巡查，并定期进行安全检查。</w:t>
      </w:r>
      <w:r>
        <w:rPr>
          <w:spacing w:val="-8"/>
          <w:sz w:val="24"/>
        </w:rPr>
        <w:t>采取上述治理措施后，本项目防渗措施基本满足《环境影响评价技术导则地</w:t>
      </w:r>
      <w:r>
        <w:rPr>
          <w:sz w:val="24"/>
        </w:rPr>
        <w:t>下水环境》（</w:t>
      </w:r>
      <w:r>
        <w:rPr>
          <w:rFonts w:eastAsia="Times New Roman"/>
          <w:sz w:val="24"/>
        </w:rPr>
        <w:t>HJ610-2016</w:t>
      </w:r>
      <w:r>
        <w:rPr>
          <w:sz w:val="24"/>
        </w:rPr>
        <w:t>）中防渗技术要求，可从污染源头和途径上减少因废水泄漏渗入地下水，不会对地下水环境造成明显影响。</w:t>
      </w:r>
    </w:p>
    <w:p w14:paraId="49D8981E">
      <w:pPr>
        <w:pStyle w:val="1347"/>
        <w:widowControl/>
        <w:ind w:firstLine="482"/>
        <w:rPr>
          <w:b/>
          <w:bCs/>
        </w:rPr>
      </w:pPr>
      <w:r>
        <w:rPr>
          <w:b/>
          <w:bCs/>
        </w:rPr>
        <w:t>（4）应急监测与处置</w:t>
      </w:r>
    </w:p>
    <w:p w14:paraId="22BC1E20">
      <w:pPr>
        <w:pStyle w:val="1347"/>
        <w:widowControl/>
      </w:pPr>
      <w:r>
        <w:t>参照相关行业环境应急预案编制指南，采取以下应急措施：</w:t>
      </w:r>
    </w:p>
    <w:p w14:paraId="00D2D482">
      <w:pPr>
        <w:pStyle w:val="1347"/>
        <w:widowControl/>
      </w:pPr>
      <w:r>
        <w:t>①一旦监测发现地下水水质突然明显超过本底值，或通过排查发现污物处理设施存在泄漏，应立即启动应急预案，开展应急监测。</w:t>
      </w:r>
    </w:p>
    <w:p w14:paraId="136E1161">
      <w:pPr>
        <w:pStyle w:val="1347"/>
        <w:widowControl/>
      </w:pPr>
      <w:r>
        <w:t>②查明并切断污染源。</w:t>
      </w:r>
    </w:p>
    <w:p w14:paraId="650801B9">
      <w:pPr>
        <w:pStyle w:val="1347"/>
        <w:widowControl/>
      </w:pPr>
      <w:r>
        <w:t>③探明地下水污染深度、范围和污染程度。</w:t>
      </w:r>
    </w:p>
    <w:p w14:paraId="27F4EEF3">
      <w:pPr>
        <w:pStyle w:val="1347"/>
        <w:widowControl/>
      </w:pPr>
      <w:r>
        <w:t>④依据探明的污染情况，合理布置井点、孔的深度及间距，进行试抽工作。</w:t>
      </w:r>
    </w:p>
    <w:p w14:paraId="0C1C824B">
      <w:pPr>
        <w:pStyle w:val="1347"/>
        <w:widowControl/>
      </w:pPr>
      <w:r>
        <w:t>⑤依据抽水设计方案进行施工，抽取被污染的地下水体，并依据各井孔出水情况进行调整。</w:t>
      </w:r>
    </w:p>
    <w:p w14:paraId="7AF1BCA3">
      <w:pPr>
        <w:pStyle w:val="1347"/>
        <w:widowControl/>
      </w:pPr>
      <w:r>
        <w:t>⑥将抽取的地下水进行集中处理，并送实验室进行化验分析。</w:t>
      </w:r>
    </w:p>
    <w:p w14:paraId="7BA0AEB9">
      <w:pPr>
        <w:pStyle w:val="1347"/>
        <w:widowControl/>
      </w:pPr>
      <w:r>
        <w:t>⑦当地下水中的特征污染物浓度满足地下水功能区划的标准后，逐步停止井点抽水，并进行土壤修复工作。</w:t>
      </w:r>
    </w:p>
    <w:p w14:paraId="67ADE97D">
      <w:pPr>
        <w:pStyle w:val="1347"/>
        <w:widowControl/>
        <w:rPr>
          <w:lang w:val="zh-CN"/>
        </w:rPr>
      </w:pPr>
      <w:r>
        <w:rPr>
          <w:lang w:val="zh-CN"/>
        </w:rPr>
        <w:t>若企业不具备进行监测条件，可委托有资质的单位进行监测。</w:t>
      </w:r>
    </w:p>
    <w:p w14:paraId="1979B504">
      <w:pPr>
        <w:pStyle w:val="7"/>
        <w:spacing w:before="0" w:after="0" w:line="360" w:lineRule="auto"/>
        <w:rPr>
          <w:rFonts w:ascii="Times New Roman" w:hAnsi="Times New Roman"/>
          <w:sz w:val="28"/>
          <w:szCs w:val="28"/>
        </w:rPr>
      </w:pPr>
      <w:r>
        <w:rPr>
          <w:rFonts w:ascii="Times New Roman" w:hAnsi="Times New Roman"/>
          <w:sz w:val="28"/>
          <w:szCs w:val="28"/>
        </w:rPr>
        <w:t>5.2.4运营期声环境影响分析</w:t>
      </w:r>
    </w:p>
    <w:p w14:paraId="6FEB6017">
      <w:pPr>
        <w:adjustRightInd w:val="0"/>
        <w:snapToGrid w:val="0"/>
        <w:spacing w:line="360" w:lineRule="auto"/>
        <w:ind w:firstLine="480" w:firstLineChars="200"/>
        <w:rPr>
          <w:kern w:val="0"/>
          <w:sz w:val="24"/>
        </w:rPr>
      </w:pPr>
      <w:r>
        <w:rPr>
          <w:kern w:val="0"/>
          <w:sz w:val="24"/>
        </w:rPr>
        <w:t>本项目噪声源主要为猪叫声以及设备产生的噪声，噪声级在70～90dB（A）。噪声源情况详见表3.4-14。采取措施后噪声见下表：</w:t>
      </w:r>
    </w:p>
    <w:p w14:paraId="3012C9CE">
      <w:pPr>
        <w:pStyle w:val="47"/>
        <w:jc w:val="center"/>
        <w:rPr>
          <w:rFonts w:ascii="Times New Roman" w:hAnsi="Times New Roman" w:cs="Times New Roman"/>
          <w:b/>
          <w:bCs/>
        </w:rPr>
      </w:pPr>
      <w:r>
        <w:rPr>
          <w:rFonts w:ascii="Times New Roman" w:hAnsi="Times New Roman" w:cs="Times New Roman"/>
          <w:b/>
          <w:bCs/>
          <w:kern w:val="0"/>
          <w:sz w:val="24"/>
        </w:rPr>
        <w:t>表5.2-18 噪声源强及治理措施表</w:t>
      </w:r>
    </w:p>
    <w:tbl>
      <w:tblPr>
        <w:tblStyle w:val="87"/>
        <w:tblW w:w="4999" w:type="pct"/>
        <w:tblInd w:w="0" w:type="dxa"/>
        <w:tblLayout w:type="autofit"/>
        <w:tblCellMar>
          <w:top w:w="0" w:type="dxa"/>
          <w:left w:w="108" w:type="dxa"/>
          <w:bottom w:w="0" w:type="dxa"/>
          <w:right w:w="108" w:type="dxa"/>
        </w:tblCellMar>
      </w:tblPr>
      <w:tblGrid>
        <w:gridCol w:w="794"/>
        <w:gridCol w:w="1266"/>
        <w:gridCol w:w="1722"/>
        <w:gridCol w:w="1741"/>
        <w:gridCol w:w="3088"/>
        <w:gridCol w:w="1723"/>
      </w:tblGrid>
      <w:tr w14:paraId="078E6CB9">
        <w:tblPrEx>
          <w:tblCellMar>
            <w:top w:w="0" w:type="dxa"/>
            <w:left w:w="108" w:type="dxa"/>
            <w:bottom w:w="0" w:type="dxa"/>
            <w:right w:w="108" w:type="dxa"/>
          </w:tblCellMar>
        </w:tblPrEx>
        <w:trPr>
          <w:trHeight w:val="780" w:hRule="atLeast"/>
        </w:trPr>
        <w:tc>
          <w:tcPr>
            <w:tcW w:w="403" w:type="pct"/>
            <w:tcBorders>
              <w:top w:val="single" w:color="000000" w:sz="4" w:space="0"/>
              <w:left w:val="single" w:color="000000" w:sz="4" w:space="0"/>
              <w:bottom w:val="single" w:color="000000" w:sz="4" w:space="0"/>
              <w:right w:val="single" w:color="000000" w:sz="4" w:space="0"/>
            </w:tcBorders>
            <w:noWrap w:val="0"/>
            <w:vAlign w:val="center"/>
          </w:tcPr>
          <w:p w14:paraId="19834522">
            <w:pPr>
              <w:widowControl/>
              <w:jc w:val="center"/>
              <w:textAlignment w:val="center"/>
              <w:rPr>
                <w:szCs w:val="21"/>
              </w:rPr>
            </w:pPr>
            <w:r>
              <w:rPr>
                <w:kern w:val="0"/>
                <w:szCs w:val="21"/>
                <w:lang w:bidi="ar"/>
              </w:rPr>
              <w:t>地块</w:t>
            </w:r>
          </w:p>
        </w:tc>
        <w:tc>
          <w:tcPr>
            <w:tcW w:w="800" w:type="pct"/>
            <w:tcBorders>
              <w:top w:val="single" w:color="000000" w:sz="4" w:space="0"/>
              <w:left w:val="single" w:color="000000" w:sz="4" w:space="0"/>
              <w:bottom w:val="single" w:color="000000" w:sz="4" w:space="0"/>
              <w:right w:val="single" w:color="000000" w:sz="4" w:space="0"/>
            </w:tcBorders>
            <w:noWrap w:val="0"/>
            <w:vAlign w:val="center"/>
          </w:tcPr>
          <w:p w14:paraId="00BEAC98">
            <w:pPr>
              <w:widowControl/>
              <w:jc w:val="center"/>
              <w:textAlignment w:val="center"/>
              <w:rPr>
                <w:szCs w:val="21"/>
              </w:rPr>
            </w:pPr>
            <w:r>
              <w:rPr>
                <w:kern w:val="0"/>
                <w:szCs w:val="21"/>
                <w:lang w:bidi="ar"/>
              </w:rPr>
              <w:t>噪声来源</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0A1C63D7">
            <w:pPr>
              <w:widowControl/>
              <w:jc w:val="center"/>
              <w:textAlignment w:val="center"/>
              <w:rPr>
                <w:szCs w:val="21"/>
              </w:rPr>
            </w:pPr>
            <w:r>
              <w:rPr>
                <w:kern w:val="0"/>
                <w:szCs w:val="21"/>
                <w:lang w:bidi="ar"/>
              </w:rPr>
              <w:t>噪声源强（dB）</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2B8EB7CD">
            <w:pPr>
              <w:widowControl/>
              <w:jc w:val="center"/>
              <w:textAlignment w:val="center"/>
              <w:rPr>
                <w:szCs w:val="21"/>
              </w:rPr>
            </w:pPr>
            <w:r>
              <w:rPr>
                <w:kern w:val="0"/>
                <w:szCs w:val="21"/>
                <w:lang w:bidi="ar"/>
              </w:rPr>
              <w:t>数量（台/套）</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2EEB1A3E">
            <w:pPr>
              <w:widowControl/>
              <w:jc w:val="center"/>
              <w:textAlignment w:val="center"/>
              <w:rPr>
                <w:szCs w:val="21"/>
              </w:rPr>
            </w:pPr>
            <w:r>
              <w:rPr>
                <w:kern w:val="0"/>
                <w:szCs w:val="21"/>
                <w:lang w:bidi="ar"/>
              </w:rPr>
              <w:t>治理措施</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9C00F73">
            <w:pPr>
              <w:widowControl/>
              <w:jc w:val="center"/>
              <w:textAlignment w:val="center"/>
              <w:rPr>
                <w:szCs w:val="21"/>
              </w:rPr>
            </w:pPr>
            <w:r>
              <w:rPr>
                <w:kern w:val="0"/>
                <w:szCs w:val="21"/>
                <w:lang w:bidi="ar"/>
              </w:rPr>
              <w:t>降噪效果（dB）</w:t>
            </w:r>
          </w:p>
        </w:tc>
      </w:tr>
      <w:tr w14:paraId="0DC63747">
        <w:tblPrEx>
          <w:tblCellMar>
            <w:top w:w="0" w:type="dxa"/>
            <w:left w:w="108" w:type="dxa"/>
            <w:bottom w:w="0" w:type="dxa"/>
            <w:right w:w="108" w:type="dxa"/>
          </w:tblCellMar>
        </w:tblPrEx>
        <w:trPr>
          <w:trHeight w:val="295" w:hRule="atLeast"/>
        </w:trPr>
        <w:tc>
          <w:tcPr>
            <w:tcW w:w="403" w:type="pct"/>
            <w:vMerge w:val="restart"/>
            <w:tcBorders>
              <w:top w:val="single" w:color="000000" w:sz="4" w:space="0"/>
              <w:left w:val="single" w:color="000000" w:sz="4" w:space="0"/>
              <w:right w:val="single" w:color="000000" w:sz="4" w:space="0"/>
            </w:tcBorders>
            <w:noWrap/>
            <w:vAlign w:val="center"/>
          </w:tcPr>
          <w:p w14:paraId="67AE9400">
            <w:pPr>
              <w:widowControl/>
              <w:jc w:val="center"/>
              <w:textAlignment w:val="center"/>
              <w:rPr>
                <w:szCs w:val="21"/>
              </w:rPr>
            </w:pPr>
            <w:r>
              <w:rPr>
                <w:kern w:val="0"/>
                <w:szCs w:val="21"/>
                <w:lang w:bidi="ar"/>
              </w:rPr>
              <w:t>1号地</w:t>
            </w: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5DF93676">
            <w:pPr>
              <w:widowControl/>
              <w:jc w:val="center"/>
              <w:textAlignment w:val="center"/>
              <w:rPr>
                <w:szCs w:val="21"/>
              </w:rPr>
            </w:pPr>
            <w:r>
              <w:rPr>
                <w:kern w:val="0"/>
                <w:szCs w:val="21"/>
                <w:lang w:bidi="ar"/>
              </w:rPr>
              <w:t>猪只叫声</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554A019F">
            <w:pPr>
              <w:widowControl/>
              <w:jc w:val="center"/>
              <w:textAlignment w:val="center"/>
              <w:rPr>
                <w:szCs w:val="21"/>
              </w:rPr>
            </w:pPr>
            <w:r>
              <w:rPr>
                <w:kern w:val="0"/>
                <w:szCs w:val="21"/>
                <w:lang w:bidi="ar"/>
              </w:rPr>
              <w:t>80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64F9EE18">
            <w:pPr>
              <w:widowControl/>
              <w:jc w:val="center"/>
              <w:textAlignment w:val="center"/>
              <w:rPr>
                <w:szCs w:val="21"/>
              </w:rPr>
            </w:pPr>
            <w:r>
              <w:rPr>
                <w:kern w:val="0"/>
                <w:szCs w:val="21"/>
                <w:lang w:bidi="ar"/>
              </w:rPr>
              <w:t>猪舍2间</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7656C7CC">
            <w:pPr>
              <w:widowControl/>
              <w:jc w:val="center"/>
              <w:textAlignment w:val="center"/>
              <w:rPr>
                <w:szCs w:val="21"/>
              </w:rPr>
            </w:pPr>
            <w:r>
              <w:rPr>
                <w:kern w:val="0"/>
                <w:szCs w:val="21"/>
                <w:lang w:bidi="ar"/>
              </w:rPr>
              <w:t>建筑隔声</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F6EC308">
            <w:pPr>
              <w:widowControl/>
              <w:jc w:val="center"/>
              <w:textAlignment w:val="center"/>
              <w:rPr>
                <w:szCs w:val="21"/>
              </w:rPr>
            </w:pPr>
            <w:r>
              <w:rPr>
                <w:kern w:val="0"/>
                <w:szCs w:val="21"/>
                <w:lang w:bidi="ar"/>
              </w:rPr>
              <w:t>15</w:t>
            </w:r>
          </w:p>
        </w:tc>
      </w:tr>
      <w:tr w14:paraId="2160F4E2">
        <w:tblPrEx>
          <w:tblCellMar>
            <w:top w:w="0" w:type="dxa"/>
            <w:left w:w="108" w:type="dxa"/>
            <w:bottom w:w="0" w:type="dxa"/>
            <w:right w:w="108" w:type="dxa"/>
          </w:tblCellMar>
        </w:tblPrEx>
        <w:trPr>
          <w:trHeight w:val="300" w:hRule="atLeast"/>
        </w:trPr>
        <w:tc>
          <w:tcPr>
            <w:tcW w:w="403" w:type="pct"/>
            <w:vMerge w:val="continue"/>
            <w:tcBorders>
              <w:left w:val="single" w:color="000000" w:sz="4" w:space="0"/>
              <w:right w:val="single" w:color="000000" w:sz="4" w:space="0"/>
            </w:tcBorders>
            <w:noWrap/>
            <w:vAlign w:val="center"/>
          </w:tcPr>
          <w:p w14:paraId="78CC37AB">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64CEE7A9">
            <w:pPr>
              <w:widowControl/>
              <w:jc w:val="center"/>
              <w:textAlignment w:val="center"/>
              <w:rPr>
                <w:szCs w:val="21"/>
              </w:rPr>
            </w:pPr>
            <w:r>
              <w:rPr>
                <w:kern w:val="0"/>
                <w:szCs w:val="21"/>
                <w:lang w:bidi="ar"/>
              </w:rPr>
              <w:t>猪舍排风扇</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78EA6E93">
            <w:pPr>
              <w:widowControl/>
              <w:jc w:val="center"/>
              <w:textAlignment w:val="center"/>
              <w:rPr>
                <w:szCs w:val="21"/>
              </w:rPr>
            </w:pPr>
            <w:r>
              <w:rPr>
                <w:kern w:val="0"/>
                <w:szCs w:val="21"/>
                <w:lang w:bidi="ar"/>
              </w:rPr>
              <w:t>70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592A1504">
            <w:pPr>
              <w:widowControl/>
              <w:jc w:val="center"/>
              <w:textAlignment w:val="center"/>
              <w:rPr>
                <w:szCs w:val="21"/>
              </w:rPr>
            </w:pPr>
            <w:r>
              <w:rPr>
                <w:kern w:val="0"/>
                <w:szCs w:val="21"/>
                <w:lang w:bidi="ar"/>
              </w:rPr>
              <w:t>12</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505CCF2C">
            <w:pPr>
              <w:widowControl/>
              <w:jc w:val="center"/>
              <w:textAlignment w:val="center"/>
              <w:rPr>
                <w:szCs w:val="21"/>
              </w:rPr>
            </w:pPr>
            <w:r>
              <w:rPr>
                <w:kern w:val="0"/>
                <w:szCs w:val="21"/>
                <w:lang w:bidi="ar"/>
              </w:rPr>
              <w:t>低噪声设备</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8616D62">
            <w:pPr>
              <w:widowControl/>
              <w:jc w:val="center"/>
              <w:textAlignment w:val="center"/>
              <w:rPr>
                <w:szCs w:val="21"/>
              </w:rPr>
            </w:pPr>
            <w:r>
              <w:rPr>
                <w:kern w:val="0"/>
                <w:szCs w:val="21"/>
                <w:lang w:bidi="ar"/>
              </w:rPr>
              <w:t>10</w:t>
            </w:r>
          </w:p>
        </w:tc>
      </w:tr>
      <w:tr w14:paraId="662DCE9F">
        <w:tblPrEx>
          <w:tblCellMar>
            <w:top w:w="0" w:type="dxa"/>
            <w:left w:w="108" w:type="dxa"/>
            <w:bottom w:w="0" w:type="dxa"/>
            <w:right w:w="108" w:type="dxa"/>
          </w:tblCellMar>
        </w:tblPrEx>
        <w:trPr>
          <w:trHeight w:val="300" w:hRule="atLeast"/>
        </w:trPr>
        <w:tc>
          <w:tcPr>
            <w:tcW w:w="403" w:type="pct"/>
            <w:vMerge w:val="continue"/>
            <w:tcBorders>
              <w:left w:val="single" w:color="000000" w:sz="4" w:space="0"/>
              <w:right w:val="single" w:color="000000" w:sz="4" w:space="0"/>
            </w:tcBorders>
            <w:noWrap/>
            <w:vAlign w:val="center"/>
          </w:tcPr>
          <w:p w14:paraId="577005F1">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6BC71FB0">
            <w:pPr>
              <w:widowControl/>
              <w:jc w:val="center"/>
              <w:textAlignment w:val="center"/>
              <w:rPr>
                <w:szCs w:val="21"/>
              </w:rPr>
            </w:pPr>
            <w:r>
              <w:rPr>
                <w:kern w:val="0"/>
                <w:szCs w:val="21"/>
                <w:lang w:bidi="ar"/>
              </w:rPr>
              <w:t>循环水泵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42879236">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F93F474">
            <w:pPr>
              <w:widowControl/>
              <w:jc w:val="center"/>
              <w:textAlignment w:val="center"/>
              <w:rPr>
                <w:szCs w:val="21"/>
              </w:rPr>
            </w:pPr>
            <w:r>
              <w:rPr>
                <w:kern w:val="0"/>
                <w:szCs w:val="21"/>
                <w:lang w:bidi="ar"/>
              </w:rPr>
              <w:t>2（一用一备）</w:t>
            </w:r>
          </w:p>
        </w:tc>
        <w:tc>
          <w:tcPr>
            <w:tcW w:w="1618" w:type="pct"/>
            <w:vMerge w:val="restart"/>
            <w:tcBorders>
              <w:top w:val="single" w:color="000000" w:sz="4" w:space="0"/>
              <w:left w:val="single" w:color="000000" w:sz="4" w:space="0"/>
              <w:bottom w:val="single" w:color="000000" w:sz="4" w:space="0"/>
              <w:right w:val="single" w:color="000000" w:sz="4" w:space="0"/>
            </w:tcBorders>
            <w:noWrap/>
            <w:vAlign w:val="center"/>
          </w:tcPr>
          <w:p w14:paraId="0EAF5169">
            <w:pPr>
              <w:widowControl/>
              <w:jc w:val="center"/>
              <w:textAlignment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D406507">
            <w:pPr>
              <w:widowControl/>
              <w:jc w:val="center"/>
              <w:textAlignment w:val="center"/>
              <w:rPr>
                <w:szCs w:val="21"/>
              </w:rPr>
            </w:pPr>
            <w:r>
              <w:rPr>
                <w:kern w:val="0"/>
                <w:szCs w:val="21"/>
                <w:lang w:bidi="ar"/>
              </w:rPr>
              <w:t>20</w:t>
            </w:r>
          </w:p>
        </w:tc>
      </w:tr>
      <w:tr w14:paraId="6B17B31E">
        <w:tblPrEx>
          <w:tblCellMar>
            <w:top w:w="0" w:type="dxa"/>
            <w:left w:w="108" w:type="dxa"/>
            <w:bottom w:w="0" w:type="dxa"/>
            <w:right w:w="108" w:type="dxa"/>
          </w:tblCellMar>
        </w:tblPrEx>
        <w:trPr>
          <w:trHeight w:val="300" w:hRule="atLeast"/>
        </w:trPr>
        <w:tc>
          <w:tcPr>
            <w:tcW w:w="403" w:type="pct"/>
            <w:vMerge w:val="continue"/>
            <w:tcBorders>
              <w:left w:val="single" w:color="000000" w:sz="4" w:space="0"/>
              <w:right w:val="single" w:color="000000" w:sz="4" w:space="0"/>
            </w:tcBorders>
            <w:noWrap/>
            <w:vAlign w:val="center"/>
          </w:tcPr>
          <w:p w14:paraId="651AB514">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0E7CB3CC">
            <w:pPr>
              <w:widowControl/>
              <w:jc w:val="center"/>
              <w:textAlignment w:val="center"/>
              <w:rPr>
                <w:szCs w:val="21"/>
              </w:rPr>
            </w:pPr>
            <w:r>
              <w:rPr>
                <w:kern w:val="0"/>
                <w:szCs w:val="21"/>
                <w:lang w:bidi="ar"/>
              </w:rPr>
              <w:t>风机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2750C08">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505A7583">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304E85A7">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9A4E023">
            <w:pPr>
              <w:widowControl/>
              <w:jc w:val="center"/>
              <w:textAlignment w:val="center"/>
              <w:rPr>
                <w:szCs w:val="21"/>
              </w:rPr>
            </w:pPr>
            <w:r>
              <w:rPr>
                <w:kern w:val="0"/>
                <w:szCs w:val="21"/>
                <w:lang w:bidi="ar"/>
              </w:rPr>
              <w:t>20</w:t>
            </w:r>
          </w:p>
        </w:tc>
      </w:tr>
      <w:tr w14:paraId="6269C199">
        <w:tblPrEx>
          <w:tblCellMar>
            <w:top w:w="0" w:type="dxa"/>
            <w:left w:w="108" w:type="dxa"/>
            <w:bottom w:w="0" w:type="dxa"/>
            <w:right w:w="108" w:type="dxa"/>
          </w:tblCellMar>
        </w:tblPrEx>
        <w:trPr>
          <w:trHeight w:val="300" w:hRule="atLeast"/>
        </w:trPr>
        <w:tc>
          <w:tcPr>
            <w:tcW w:w="403" w:type="pct"/>
            <w:vMerge w:val="continue"/>
            <w:tcBorders>
              <w:left w:val="single" w:color="000000" w:sz="4" w:space="0"/>
              <w:right w:val="single" w:color="000000" w:sz="4" w:space="0"/>
            </w:tcBorders>
            <w:noWrap/>
            <w:vAlign w:val="center"/>
          </w:tcPr>
          <w:p w14:paraId="0C9C2A97">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3272447E">
            <w:pPr>
              <w:widowControl/>
              <w:jc w:val="center"/>
              <w:textAlignment w:val="center"/>
              <w:rPr>
                <w:szCs w:val="21"/>
              </w:rPr>
            </w:pPr>
            <w:r>
              <w:rPr>
                <w:kern w:val="0"/>
                <w:szCs w:val="21"/>
                <w:lang w:bidi="ar"/>
              </w:rPr>
              <w:t>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F11C0F9">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783D9A0A">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68AE5AE4">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7080F2C">
            <w:pPr>
              <w:widowControl/>
              <w:jc w:val="center"/>
              <w:textAlignment w:val="center"/>
              <w:rPr>
                <w:szCs w:val="21"/>
              </w:rPr>
            </w:pPr>
            <w:r>
              <w:rPr>
                <w:kern w:val="0"/>
                <w:szCs w:val="21"/>
                <w:lang w:bidi="ar"/>
              </w:rPr>
              <w:t>20</w:t>
            </w:r>
          </w:p>
        </w:tc>
      </w:tr>
      <w:tr w14:paraId="26AD98EF">
        <w:tblPrEx>
          <w:tblCellMar>
            <w:top w:w="0" w:type="dxa"/>
            <w:left w:w="108" w:type="dxa"/>
            <w:bottom w:w="0" w:type="dxa"/>
            <w:right w:w="108" w:type="dxa"/>
          </w:tblCellMar>
        </w:tblPrEx>
        <w:trPr>
          <w:trHeight w:val="300" w:hRule="atLeast"/>
        </w:trPr>
        <w:tc>
          <w:tcPr>
            <w:tcW w:w="403" w:type="pct"/>
            <w:vMerge w:val="continue"/>
            <w:tcBorders>
              <w:left w:val="single" w:color="000000" w:sz="4" w:space="0"/>
              <w:bottom w:val="single" w:color="000000" w:sz="4" w:space="0"/>
              <w:right w:val="single" w:color="000000" w:sz="4" w:space="0"/>
            </w:tcBorders>
            <w:noWrap/>
            <w:vAlign w:val="center"/>
          </w:tcPr>
          <w:p w14:paraId="5A0D2934">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37EEDFAD">
            <w:pPr>
              <w:widowControl/>
              <w:jc w:val="center"/>
              <w:textAlignment w:val="center"/>
              <w:rPr>
                <w:kern w:val="0"/>
                <w:szCs w:val="21"/>
                <w:lang w:bidi="ar"/>
              </w:rPr>
            </w:pPr>
            <w:r>
              <w:rPr>
                <w:kern w:val="0"/>
                <w:szCs w:val="21"/>
                <w:lang w:bidi="ar"/>
              </w:rPr>
              <w:t>固液分离机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3798711F">
            <w:pPr>
              <w:widowControl/>
              <w:jc w:val="center"/>
              <w:textAlignment w:val="center"/>
              <w:rPr>
                <w:kern w:val="0"/>
                <w:szCs w:val="21"/>
                <w:lang w:bidi="ar"/>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6D6A1507">
            <w:pPr>
              <w:widowControl/>
              <w:jc w:val="center"/>
              <w:textAlignment w:val="center"/>
              <w:rPr>
                <w:kern w:val="0"/>
                <w:szCs w:val="21"/>
                <w:lang w:bidi="ar"/>
              </w:rPr>
            </w:pPr>
            <w:r>
              <w:rPr>
                <w:kern w:val="0"/>
                <w:szCs w:val="21"/>
                <w:lang w:bidi="ar"/>
              </w:rPr>
              <w:t>1</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77467780">
            <w:pPr>
              <w:jc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2814537">
            <w:pPr>
              <w:widowControl/>
              <w:jc w:val="center"/>
              <w:textAlignment w:val="center"/>
              <w:rPr>
                <w:kern w:val="0"/>
                <w:szCs w:val="21"/>
                <w:lang w:bidi="ar"/>
              </w:rPr>
            </w:pPr>
            <w:r>
              <w:rPr>
                <w:kern w:val="0"/>
                <w:szCs w:val="21"/>
                <w:lang w:bidi="ar"/>
              </w:rPr>
              <w:t>20</w:t>
            </w:r>
          </w:p>
        </w:tc>
      </w:tr>
      <w:tr w14:paraId="21DCD2B1">
        <w:tblPrEx>
          <w:tblCellMar>
            <w:top w:w="0" w:type="dxa"/>
            <w:left w:w="108" w:type="dxa"/>
            <w:bottom w:w="0" w:type="dxa"/>
            <w:right w:w="108" w:type="dxa"/>
          </w:tblCellMar>
        </w:tblPrEx>
        <w:trPr>
          <w:trHeight w:val="245" w:hRule="atLeast"/>
        </w:trPr>
        <w:tc>
          <w:tcPr>
            <w:tcW w:w="403" w:type="pct"/>
            <w:vMerge w:val="restart"/>
            <w:tcBorders>
              <w:top w:val="single" w:color="000000" w:sz="4" w:space="0"/>
              <w:left w:val="single" w:color="000000" w:sz="4" w:space="0"/>
              <w:right w:val="single" w:color="000000" w:sz="4" w:space="0"/>
            </w:tcBorders>
            <w:noWrap/>
            <w:vAlign w:val="center"/>
          </w:tcPr>
          <w:p w14:paraId="698164A0">
            <w:pPr>
              <w:widowControl/>
              <w:jc w:val="center"/>
              <w:textAlignment w:val="center"/>
              <w:rPr>
                <w:szCs w:val="21"/>
              </w:rPr>
            </w:pPr>
            <w:r>
              <w:rPr>
                <w:kern w:val="0"/>
                <w:szCs w:val="21"/>
                <w:lang w:bidi="ar"/>
              </w:rPr>
              <w:t>2号地</w:t>
            </w: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7BE62906">
            <w:pPr>
              <w:widowControl/>
              <w:jc w:val="center"/>
              <w:textAlignment w:val="center"/>
              <w:rPr>
                <w:szCs w:val="21"/>
              </w:rPr>
            </w:pPr>
            <w:r>
              <w:rPr>
                <w:kern w:val="0"/>
                <w:szCs w:val="21"/>
                <w:lang w:bidi="ar"/>
              </w:rPr>
              <w:t>猪只叫声</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9C33857">
            <w:pPr>
              <w:widowControl/>
              <w:jc w:val="center"/>
              <w:textAlignment w:val="center"/>
              <w:rPr>
                <w:szCs w:val="21"/>
              </w:rPr>
            </w:pPr>
            <w:r>
              <w:rPr>
                <w:kern w:val="0"/>
                <w:szCs w:val="21"/>
                <w:lang w:bidi="ar"/>
              </w:rPr>
              <w:t>80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0CAB9CCF">
            <w:pPr>
              <w:widowControl/>
              <w:jc w:val="center"/>
              <w:textAlignment w:val="center"/>
              <w:rPr>
                <w:szCs w:val="21"/>
              </w:rPr>
            </w:pPr>
            <w:r>
              <w:rPr>
                <w:kern w:val="0"/>
                <w:szCs w:val="21"/>
                <w:lang w:bidi="ar"/>
              </w:rPr>
              <w:t>猪舍5间</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45A4CA83">
            <w:pPr>
              <w:widowControl/>
              <w:jc w:val="center"/>
              <w:textAlignment w:val="center"/>
              <w:rPr>
                <w:szCs w:val="21"/>
              </w:rPr>
            </w:pPr>
            <w:r>
              <w:rPr>
                <w:kern w:val="0"/>
                <w:szCs w:val="21"/>
                <w:lang w:bidi="ar"/>
              </w:rPr>
              <w:t>建筑隔声</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61112C8">
            <w:pPr>
              <w:widowControl/>
              <w:jc w:val="center"/>
              <w:textAlignment w:val="center"/>
              <w:rPr>
                <w:szCs w:val="21"/>
              </w:rPr>
            </w:pPr>
            <w:r>
              <w:rPr>
                <w:kern w:val="0"/>
                <w:szCs w:val="21"/>
                <w:lang w:bidi="ar"/>
              </w:rPr>
              <w:t>15</w:t>
            </w:r>
          </w:p>
        </w:tc>
      </w:tr>
      <w:tr w14:paraId="190626B5">
        <w:tblPrEx>
          <w:tblCellMar>
            <w:top w:w="0" w:type="dxa"/>
            <w:left w:w="108" w:type="dxa"/>
            <w:bottom w:w="0" w:type="dxa"/>
            <w:right w:w="108" w:type="dxa"/>
          </w:tblCellMar>
        </w:tblPrEx>
        <w:trPr>
          <w:trHeight w:val="95" w:hRule="atLeast"/>
        </w:trPr>
        <w:tc>
          <w:tcPr>
            <w:tcW w:w="403" w:type="pct"/>
            <w:vMerge w:val="continue"/>
            <w:tcBorders>
              <w:left w:val="single" w:color="000000" w:sz="4" w:space="0"/>
              <w:right w:val="single" w:color="000000" w:sz="4" w:space="0"/>
            </w:tcBorders>
            <w:noWrap/>
            <w:vAlign w:val="center"/>
          </w:tcPr>
          <w:p w14:paraId="698BA249">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75D04887">
            <w:pPr>
              <w:widowControl/>
              <w:jc w:val="center"/>
              <w:textAlignment w:val="center"/>
              <w:rPr>
                <w:szCs w:val="21"/>
              </w:rPr>
            </w:pPr>
            <w:r>
              <w:rPr>
                <w:kern w:val="0"/>
                <w:szCs w:val="21"/>
                <w:lang w:bidi="ar"/>
              </w:rPr>
              <w:t>猪舍排风扇</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598628A6">
            <w:pPr>
              <w:widowControl/>
              <w:jc w:val="center"/>
              <w:textAlignment w:val="center"/>
              <w:rPr>
                <w:szCs w:val="21"/>
              </w:rPr>
            </w:pPr>
            <w:r>
              <w:rPr>
                <w:kern w:val="0"/>
                <w:szCs w:val="21"/>
                <w:lang w:bidi="ar"/>
              </w:rPr>
              <w:t>70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75DFDAFF">
            <w:pPr>
              <w:widowControl/>
              <w:jc w:val="center"/>
              <w:textAlignment w:val="center"/>
              <w:rPr>
                <w:szCs w:val="21"/>
              </w:rPr>
            </w:pPr>
            <w:r>
              <w:rPr>
                <w:kern w:val="0"/>
                <w:szCs w:val="21"/>
                <w:lang w:bidi="ar"/>
              </w:rPr>
              <w:t>30</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1D733A92">
            <w:pPr>
              <w:widowControl/>
              <w:jc w:val="center"/>
              <w:textAlignment w:val="center"/>
              <w:rPr>
                <w:szCs w:val="21"/>
              </w:rPr>
            </w:pPr>
            <w:r>
              <w:rPr>
                <w:kern w:val="0"/>
                <w:szCs w:val="21"/>
                <w:lang w:bidi="ar"/>
              </w:rPr>
              <w:t>低噪声设备</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56D3E36">
            <w:pPr>
              <w:widowControl/>
              <w:jc w:val="center"/>
              <w:textAlignment w:val="center"/>
              <w:rPr>
                <w:szCs w:val="21"/>
              </w:rPr>
            </w:pPr>
            <w:r>
              <w:rPr>
                <w:kern w:val="0"/>
                <w:szCs w:val="21"/>
                <w:lang w:bidi="ar"/>
              </w:rPr>
              <w:t>10</w:t>
            </w:r>
          </w:p>
        </w:tc>
      </w:tr>
      <w:tr w14:paraId="52F0BBAD">
        <w:tblPrEx>
          <w:tblCellMar>
            <w:top w:w="0" w:type="dxa"/>
            <w:left w:w="108" w:type="dxa"/>
            <w:bottom w:w="0" w:type="dxa"/>
            <w:right w:w="108" w:type="dxa"/>
          </w:tblCellMar>
        </w:tblPrEx>
        <w:trPr>
          <w:trHeight w:val="132" w:hRule="atLeast"/>
        </w:trPr>
        <w:tc>
          <w:tcPr>
            <w:tcW w:w="403" w:type="pct"/>
            <w:vMerge w:val="continue"/>
            <w:tcBorders>
              <w:left w:val="single" w:color="000000" w:sz="4" w:space="0"/>
              <w:right w:val="single" w:color="000000" w:sz="4" w:space="0"/>
            </w:tcBorders>
            <w:noWrap/>
            <w:vAlign w:val="center"/>
          </w:tcPr>
          <w:p w14:paraId="17B5BB56">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758C7ED7">
            <w:pPr>
              <w:widowControl/>
              <w:jc w:val="center"/>
              <w:textAlignment w:val="center"/>
              <w:rPr>
                <w:szCs w:val="21"/>
              </w:rPr>
            </w:pPr>
            <w:r>
              <w:rPr>
                <w:kern w:val="0"/>
                <w:szCs w:val="21"/>
                <w:lang w:bidi="ar"/>
              </w:rPr>
              <w:t>循环水泵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175820D">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0497C4AB">
            <w:pPr>
              <w:widowControl/>
              <w:jc w:val="center"/>
              <w:textAlignment w:val="center"/>
              <w:rPr>
                <w:szCs w:val="21"/>
              </w:rPr>
            </w:pPr>
            <w:r>
              <w:rPr>
                <w:kern w:val="0"/>
                <w:szCs w:val="21"/>
                <w:lang w:bidi="ar"/>
              </w:rPr>
              <w:t>2（一用一备）</w:t>
            </w:r>
          </w:p>
        </w:tc>
        <w:tc>
          <w:tcPr>
            <w:tcW w:w="1618" w:type="pct"/>
            <w:vMerge w:val="restart"/>
            <w:tcBorders>
              <w:top w:val="single" w:color="000000" w:sz="4" w:space="0"/>
              <w:left w:val="single" w:color="000000" w:sz="4" w:space="0"/>
              <w:bottom w:val="single" w:color="000000" w:sz="4" w:space="0"/>
              <w:right w:val="single" w:color="000000" w:sz="4" w:space="0"/>
            </w:tcBorders>
            <w:noWrap/>
            <w:vAlign w:val="center"/>
          </w:tcPr>
          <w:p w14:paraId="2050D65E">
            <w:pPr>
              <w:widowControl/>
              <w:jc w:val="center"/>
              <w:textAlignment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C6D4F4C">
            <w:pPr>
              <w:widowControl/>
              <w:jc w:val="center"/>
              <w:textAlignment w:val="center"/>
              <w:rPr>
                <w:szCs w:val="21"/>
              </w:rPr>
            </w:pPr>
            <w:r>
              <w:rPr>
                <w:kern w:val="0"/>
                <w:szCs w:val="21"/>
                <w:lang w:bidi="ar"/>
              </w:rPr>
              <w:t>20</w:t>
            </w:r>
          </w:p>
        </w:tc>
      </w:tr>
      <w:tr w14:paraId="6EC4F41B">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521854ED">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20BBB60A">
            <w:pPr>
              <w:widowControl/>
              <w:jc w:val="center"/>
              <w:textAlignment w:val="center"/>
              <w:rPr>
                <w:szCs w:val="21"/>
              </w:rPr>
            </w:pPr>
            <w:r>
              <w:rPr>
                <w:kern w:val="0"/>
                <w:szCs w:val="21"/>
                <w:lang w:bidi="ar"/>
              </w:rPr>
              <w:t>风机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19FF88C2">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F794EF6">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7E4FA538">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427E39E">
            <w:pPr>
              <w:widowControl/>
              <w:jc w:val="center"/>
              <w:textAlignment w:val="center"/>
              <w:rPr>
                <w:szCs w:val="21"/>
              </w:rPr>
            </w:pPr>
            <w:r>
              <w:rPr>
                <w:kern w:val="0"/>
                <w:szCs w:val="21"/>
                <w:lang w:bidi="ar"/>
              </w:rPr>
              <w:t>20</w:t>
            </w:r>
          </w:p>
        </w:tc>
      </w:tr>
      <w:tr w14:paraId="0C711B6A">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09EBE725">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2F547069">
            <w:pPr>
              <w:widowControl/>
              <w:jc w:val="center"/>
              <w:textAlignment w:val="center"/>
              <w:rPr>
                <w:szCs w:val="21"/>
              </w:rPr>
            </w:pPr>
            <w:r>
              <w:rPr>
                <w:kern w:val="0"/>
                <w:szCs w:val="21"/>
                <w:lang w:bidi="ar"/>
              </w:rPr>
              <w:t>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0CB84489">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29BA293C">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020C30A5">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C287DDC">
            <w:pPr>
              <w:widowControl/>
              <w:jc w:val="center"/>
              <w:textAlignment w:val="center"/>
              <w:rPr>
                <w:szCs w:val="21"/>
              </w:rPr>
            </w:pPr>
            <w:r>
              <w:rPr>
                <w:kern w:val="0"/>
                <w:szCs w:val="21"/>
                <w:lang w:bidi="ar"/>
              </w:rPr>
              <w:t>20</w:t>
            </w:r>
          </w:p>
        </w:tc>
      </w:tr>
      <w:tr w14:paraId="4AA16292">
        <w:tblPrEx>
          <w:tblCellMar>
            <w:top w:w="0" w:type="dxa"/>
            <w:left w:w="108" w:type="dxa"/>
            <w:bottom w:w="0" w:type="dxa"/>
            <w:right w:w="108" w:type="dxa"/>
          </w:tblCellMar>
        </w:tblPrEx>
        <w:trPr>
          <w:trHeight w:val="285" w:hRule="atLeast"/>
        </w:trPr>
        <w:tc>
          <w:tcPr>
            <w:tcW w:w="403" w:type="pct"/>
            <w:vMerge w:val="continue"/>
            <w:tcBorders>
              <w:left w:val="single" w:color="000000" w:sz="4" w:space="0"/>
              <w:bottom w:val="single" w:color="000000" w:sz="4" w:space="0"/>
              <w:right w:val="single" w:color="000000" w:sz="4" w:space="0"/>
            </w:tcBorders>
            <w:noWrap/>
            <w:vAlign w:val="center"/>
          </w:tcPr>
          <w:p w14:paraId="31D1AA88">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5B359971">
            <w:pPr>
              <w:widowControl/>
              <w:jc w:val="center"/>
              <w:textAlignment w:val="center"/>
              <w:rPr>
                <w:kern w:val="0"/>
                <w:szCs w:val="21"/>
                <w:lang w:bidi="ar"/>
              </w:rPr>
            </w:pPr>
            <w:r>
              <w:rPr>
                <w:kern w:val="0"/>
                <w:szCs w:val="21"/>
                <w:lang w:bidi="ar"/>
              </w:rPr>
              <w:t>固液分离机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0DBEC445">
            <w:pPr>
              <w:widowControl/>
              <w:jc w:val="center"/>
              <w:textAlignment w:val="center"/>
              <w:rPr>
                <w:kern w:val="0"/>
                <w:szCs w:val="21"/>
                <w:lang w:bidi="ar"/>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30CE7B4C">
            <w:pPr>
              <w:widowControl/>
              <w:jc w:val="center"/>
              <w:textAlignment w:val="center"/>
              <w:rPr>
                <w:kern w:val="0"/>
                <w:szCs w:val="21"/>
                <w:lang w:bidi="ar"/>
              </w:rPr>
            </w:pPr>
            <w:r>
              <w:rPr>
                <w:kern w:val="0"/>
                <w:szCs w:val="21"/>
                <w:lang w:bidi="ar"/>
              </w:rPr>
              <w:t>1</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1A3D798D">
            <w:pPr>
              <w:jc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0D84313">
            <w:pPr>
              <w:widowControl/>
              <w:jc w:val="center"/>
              <w:textAlignment w:val="center"/>
              <w:rPr>
                <w:kern w:val="0"/>
                <w:szCs w:val="21"/>
                <w:lang w:bidi="ar"/>
              </w:rPr>
            </w:pPr>
            <w:r>
              <w:rPr>
                <w:kern w:val="0"/>
                <w:szCs w:val="21"/>
                <w:lang w:bidi="ar"/>
              </w:rPr>
              <w:t>20</w:t>
            </w:r>
          </w:p>
        </w:tc>
      </w:tr>
      <w:tr w14:paraId="75994C79">
        <w:tblPrEx>
          <w:tblCellMar>
            <w:top w:w="0" w:type="dxa"/>
            <w:left w:w="108" w:type="dxa"/>
            <w:bottom w:w="0" w:type="dxa"/>
            <w:right w:w="108" w:type="dxa"/>
          </w:tblCellMar>
        </w:tblPrEx>
        <w:trPr>
          <w:trHeight w:val="285" w:hRule="atLeast"/>
        </w:trPr>
        <w:tc>
          <w:tcPr>
            <w:tcW w:w="403" w:type="pct"/>
            <w:vMerge w:val="restart"/>
            <w:tcBorders>
              <w:top w:val="single" w:color="000000" w:sz="4" w:space="0"/>
              <w:left w:val="single" w:color="000000" w:sz="4" w:space="0"/>
              <w:right w:val="single" w:color="000000" w:sz="4" w:space="0"/>
            </w:tcBorders>
            <w:noWrap/>
            <w:vAlign w:val="center"/>
          </w:tcPr>
          <w:p w14:paraId="27E2C400">
            <w:pPr>
              <w:widowControl/>
              <w:jc w:val="center"/>
              <w:textAlignment w:val="center"/>
              <w:rPr>
                <w:szCs w:val="21"/>
              </w:rPr>
            </w:pPr>
            <w:r>
              <w:rPr>
                <w:kern w:val="0"/>
                <w:szCs w:val="21"/>
                <w:lang w:bidi="ar"/>
              </w:rPr>
              <w:t>3号地</w:t>
            </w: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09761C6A">
            <w:pPr>
              <w:widowControl/>
              <w:jc w:val="center"/>
              <w:textAlignment w:val="center"/>
              <w:rPr>
                <w:szCs w:val="21"/>
              </w:rPr>
            </w:pPr>
            <w:r>
              <w:rPr>
                <w:kern w:val="0"/>
                <w:szCs w:val="21"/>
                <w:lang w:bidi="ar"/>
              </w:rPr>
              <w:t>猪只叫声</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75B1EECD">
            <w:pPr>
              <w:widowControl/>
              <w:jc w:val="center"/>
              <w:textAlignment w:val="center"/>
              <w:rPr>
                <w:szCs w:val="21"/>
              </w:rPr>
            </w:pPr>
            <w:r>
              <w:rPr>
                <w:kern w:val="0"/>
                <w:szCs w:val="21"/>
                <w:lang w:bidi="ar"/>
              </w:rPr>
              <w:t>80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34D65392">
            <w:pPr>
              <w:widowControl/>
              <w:jc w:val="center"/>
              <w:textAlignment w:val="center"/>
              <w:rPr>
                <w:szCs w:val="21"/>
              </w:rPr>
            </w:pPr>
            <w:r>
              <w:rPr>
                <w:kern w:val="0"/>
                <w:szCs w:val="21"/>
                <w:lang w:bidi="ar"/>
              </w:rPr>
              <w:t>猪舍2间</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52558528">
            <w:pPr>
              <w:widowControl/>
              <w:jc w:val="center"/>
              <w:textAlignment w:val="center"/>
              <w:rPr>
                <w:szCs w:val="21"/>
              </w:rPr>
            </w:pPr>
            <w:r>
              <w:rPr>
                <w:kern w:val="0"/>
                <w:szCs w:val="21"/>
                <w:lang w:bidi="ar"/>
              </w:rPr>
              <w:t>建筑隔声</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6224054">
            <w:pPr>
              <w:widowControl/>
              <w:jc w:val="center"/>
              <w:textAlignment w:val="center"/>
              <w:rPr>
                <w:szCs w:val="21"/>
              </w:rPr>
            </w:pPr>
            <w:r>
              <w:rPr>
                <w:kern w:val="0"/>
                <w:szCs w:val="21"/>
                <w:lang w:bidi="ar"/>
              </w:rPr>
              <w:t>15</w:t>
            </w:r>
          </w:p>
        </w:tc>
      </w:tr>
      <w:tr w14:paraId="1A20169E">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58B89462">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50A64CA8">
            <w:pPr>
              <w:widowControl/>
              <w:jc w:val="center"/>
              <w:textAlignment w:val="center"/>
              <w:rPr>
                <w:szCs w:val="21"/>
              </w:rPr>
            </w:pPr>
            <w:r>
              <w:rPr>
                <w:kern w:val="0"/>
                <w:szCs w:val="21"/>
                <w:lang w:bidi="ar"/>
              </w:rPr>
              <w:t>猪舍排风扇</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C47A6B6">
            <w:pPr>
              <w:widowControl/>
              <w:jc w:val="center"/>
              <w:textAlignment w:val="center"/>
              <w:rPr>
                <w:szCs w:val="21"/>
              </w:rPr>
            </w:pPr>
            <w:r>
              <w:rPr>
                <w:kern w:val="0"/>
                <w:szCs w:val="21"/>
                <w:lang w:bidi="ar"/>
              </w:rPr>
              <w:t>70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5BCCECE">
            <w:pPr>
              <w:widowControl/>
              <w:jc w:val="center"/>
              <w:textAlignment w:val="center"/>
              <w:rPr>
                <w:szCs w:val="21"/>
              </w:rPr>
            </w:pPr>
            <w:r>
              <w:rPr>
                <w:kern w:val="0"/>
                <w:szCs w:val="21"/>
                <w:lang w:bidi="ar"/>
              </w:rPr>
              <w:t>12</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19E7803A">
            <w:pPr>
              <w:widowControl/>
              <w:jc w:val="center"/>
              <w:textAlignment w:val="center"/>
              <w:rPr>
                <w:szCs w:val="21"/>
              </w:rPr>
            </w:pPr>
            <w:r>
              <w:rPr>
                <w:kern w:val="0"/>
                <w:szCs w:val="21"/>
                <w:lang w:bidi="ar"/>
              </w:rPr>
              <w:t>低噪声设备</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4AA3498">
            <w:pPr>
              <w:widowControl/>
              <w:jc w:val="center"/>
              <w:textAlignment w:val="center"/>
              <w:rPr>
                <w:szCs w:val="21"/>
              </w:rPr>
            </w:pPr>
            <w:r>
              <w:rPr>
                <w:kern w:val="0"/>
                <w:szCs w:val="21"/>
                <w:lang w:bidi="ar"/>
              </w:rPr>
              <w:t>10</w:t>
            </w:r>
          </w:p>
        </w:tc>
      </w:tr>
      <w:tr w14:paraId="262B3BDD">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4A42C14E">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394E857C">
            <w:pPr>
              <w:widowControl/>
              <w:jc w:val="center"/>
              <w:textAlignment w:val="center"/>
              <w:rPr>
                <w:szCs w:val="21"/>
              </w:rPr>
            </w:pPr>
            <w:r>
              <w:rPr>
                <w:kern w:val="0"/>
                <w:szCs w:val="21"/>
                <w:lang w:bidi="ar"/>
              </w:rPr>
              <w:t>循环水泵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059D3DE">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7F04624">
            <w:pPr>
              <w:widowControl/>
              <w:jc w:val="center"/>
              <w:textAlignment w:val="center"/>
              <w:rPr>
                <w:szCs w:val="21"/>
              </w:rPr>
            </w:pPr>
            <w:r>
              <w:rPr>
                <w:kern w:val="0"/>
                <w:szCs w:val="21"/>
                <w:lang w:bidi="ar"/>
              </w:rPr>
              <w:t>2（一用一备）</w:t>
            </w:r>
          </w:p>
        </w:tc>
        <w:tc>
          <w:tcPr>
            <w:tcW w:w="1618" w:type="pct"/>
            <w:vMerge w:val="restart"/>
            <w:tcBorders>
              <w:top w:val="single" w:color="000000" w:sz="4" w:space="0"/>
              <w:left w:val="single" w:color="000000" w:sz="4" w:space="0"/>
              <w:bottom w:val="single" w:color="000000" w:sz="4" w:space="0"/>
              <w:right w:val="single" w:color="000000" w:sz="4" w:space="0"/>
            </w:tcBorders>
            <w:noWrap/>
            <w:vAlign w:val="center"/>
          </w:tcPr>
          <w:p w14:paraId="314D88C9">
            <w:pPr>
              <w:widowControl/>
              <w:jc w:val="center"/>
              <w:textAlignment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9081A92">
            <w:pPr>
              <w:widowControl/>
              <w:jc w:val="center"/>
              <w:textAlignment w:val="center"/>
              <w:rPr>
                <w:szCs w:val="21"/>
              </w:rPr>
            </w:pPr>
            <w:r>
              <w:rPr>
                <w:kern w:val="0"/>
                <w:szCs w:val="21"/>
                <w:lang w:bidi="ar"/>
              </w:rPr>
              <w:t>20</w:t>
            </w:r>
          </w:p>
        </w:tc>
      </w:tr>
      <w:tr w14:paraId="190647E2">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63EBBB9B">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60301630">
            <w:pPr>
              <w:widowControl/>
              <w:jc w:val="center"/>
              <w:textAlignment w:val="center"/>
              <w:rPr>
                <w:szCs w:val="21"/>
              </w:rPr>
            </w:pPr>
            <w:r>
              <w:rPr>
                <w:kern w:val="0"/>
                <w:szCs w:val="21"/>
                <w:lang w:bidi="ar"/>
              </w:rPr>
              <w:t>风机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7C95737">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2A415A33">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53AC8A9A">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9866E6F">
            <w:pPr>
              <w:widowControl/>
              <w:jc w:val="center"/>
              <w:textAlignment w:val="center"/>
              <w:rPr>
                <w:szCs w:val="21"/>
              </w:rPr>
            </w:pPr>
            <w:r>
              <w:rPr>
                <w:kern w:val="0"/>
                <w:szCs w:val="21"/>
                <w:lang w:bidi="ar"/>
              </w:rPr>
              <w:t>20</w:t>
            </w:r>
          </w:p>
        </w:tc>
      </w:tr>
      <w:tr w14:paraId="171468FD">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1FEF9ABE">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69E478F2">
            <w:pPr>
              <w:widowControl/>
              <w:jc w:val="center"/>
              <w:textAlignment w:val="center"/>
              <w:rPr>
                <w:szCs w:val="21"/>
              </w:rPr>
            </w:pPr>
            <w:r>
              <w:rPr>
                <w:kern w:val="0"/>
                <w:szCs w:val="21"/>
                <w:lang w:bidi="ar"/>
              </w:rPr>
              <w:t>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092F800">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325E4DD">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72EBAA28">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0FAF402">
            <w:pPr>
              <w:widowControl/>
              <w:jc w:val="center"/>
              <w:textAlignment w:val="center"/>
              <w:rPr>
                <w:szCs w:val="21"/>
              </w:rPr>
            </w:pPr>
            <w:r>
              <w:rPr>
                <w:kern w:val="0"/>
                <w:szCs w:val="21"/>
                <w:lang w:bidi="ar"/>
              </w:rPr>
              <w:t>20</w:t>
            </w:r>
          </w:p>
        </w:tc>
      </w:tr>
      <w:tr w14:paraId="3B262B3B">
        <w:tblPrEx>
          <w:tblCellMar>
            <w:top w:w="0" w:type="dxa"/>
            <w:left w:w="108" w:type="dxa"/>
            <w:bottom w:w="0" w:type="dxa"/>
            <w:right w:w="108" w:type="dxa"/>
          </w:tblCellMar>
        </w:tblPrEx>
        <w:trPr>
          <w:trHeight w:val="285" w:hRule="atLeast"/>
        </w:trPr>
        <w:tc>
          <w:tcPr>
            <w:tcW w:w="403" w:type="pct"/>
            <w:vMerge w:val="continue"/>
            <w:tcBorders>
              <w:left w:val="single" w:color="000000" w:sz="4" w:space="0"/>
              <w:bottom w:val="single" w:color="000000" w:sz="4" w:space="0"/>
              <w:right w:val="single" w:color="000000" w:sz="4" w:space="0"/>
            </w:tcBorders>
            <w:noWrap/>
            <w:vAlign w:val="center"/>
          </w:tcPr>
          <w:p w14:paraId="110D8957">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3B34E40D">
            <w:pPr>
              <w:widowControl/>
              <w:jc w:val="center"/>
              <w:textAlignment w:val="center"/>
              <w:rPr>
                <w:kern w:val="0"/>
                <w:szCs w:val="21"/>
                <w:lang w:bidi="ar"/>
              </w:rPr>
            </w:pPr>
            <w:r>
              <w:rPr>
                <w:kern w:val="0"/>
                <w:szCs w:val="21"/>
                <w:lang w:bidi="ar"/>
              </w:rPr>
              <w:t>固液分离机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24F454F5">
            <w:pPr>
              <w:widowControl/>
              <w:jc w:val="center"/>
              <w:textAlignment w:val="center"/>
              <w:rPr>
                <w:kern w:val="0"/>
                <w:szCs w:val="21"/>
                <w:lang w:bidi="ar"/>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8FF9370">
            <w:pPr>
              <w:widowControl/>
              <w:jc w:val="center"/>
              <w:textAlignment w:val="center"/>
              <w:rPr>
                <w:kern w:val="0"/>
                <w:szCs w:val="21"/>
                <w:lang w:bidi="ar"/>
              </w:rPr>
            </w:pPr>
            <w:r>
              <w:rPr>
                <w:kern w:val="0"/>
                <w:szCs w:val="21"/>
                <w:lang w:bidi="ar"/>
              </w:rPr>
              <w:t>1</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1951EC9A">
            <w:pPr>
              <w:jc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CBD110C">
            <w:pPr>
              <w:widowControl/>
              <w:jc w:val="center"/>
              <w:textAlignment w:val="center"/>
              <w:rPr>
                <w:kern w:val="0"/>
                <w:szCs w:val="21"/>
                <w:lang w:bidi="ar"/>
              </w:rPr>
            </w:pPr>
            <w:r>
              <w:rPr>
                <w:kern w:val="0"/>
                <w:szCs w:val="21"/>
                <w:lang w:bidi="ar"/>
              </w:rPr>
              <w:t>20</w:t>
            </w:r>
          </w:p>
        </w:tc>
      </w:tr>
      <w:tr w14:paraId="3878EF36">
        <w:tblPrEx>
          <w:tblCellMar>
            <w:top w:w="0" w:type="dxa"/>
            <w:left w:w="108" w:type="dxa"/>
            <w:bottom w:w="0" w:type="dxa"/>
            <w:right w:w="108" w:type="dxa"/>
          </w:tblCellMar>
        </w:tblPrEx>
        <w:trPr>
          <w:trHeight w:val="285" w:hRule="atLeast"/>
        </w:trPr>
        <w:tc>
          <w:tcPr>
            <w:tcW w:w="403" w:type="pct"/>
            <w:vMerge w:val="restart"/>
            <w:tcBorders>
              <w:top w:val="single" w:color="000000" w:sz="4" w:space="0"/>
              <w:left w:val="single" w:color="000000" w:sz="4" w:space="0"/>
              <w:right w:val="single" w:color="000000" w:sz="4" w:space="0"/>
            </w:tcBorders>
            <w:noWrap/>
            <w:vAlign w:val="center"/>
          </w:tcPr>
          <w:p w14:paraId="76687562">
            <w:pPr>
              <w:widowControl/>
              <w:jc w:val="center"/>
              <w:textAlignment w:val="center"/>
              <w:rPr>
                <w:szCs w:val="21"/>
              </w:rPr>
            </w:pPr>
            <w:r>
              <w:rPr>
                <w:kern w:val="0"/>
                <w:szCs w:val="21"/>
                <w:lang w:bidi="ar"/>
              </w:rPr>
              <w:t>4号地</w:t>
            </w: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756192C1">
            <w:pPr>
              <w:widowControl/>
              <w:jc w:val="center"/>
              <w:textAlignment w:val="center"/>
              <w:rPr>
                <w:szCs w:val="21"/>
              </w:rPr>
            </w:pPr>
            <w:r>
              <w:rPr>
                <w:kern w:val="0"/>
                <w:szCs w:val="21"/>
                <w:lang w:bidi="ar"/>
              </w:rPr>
              <w:t>猪只叫声</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2E807476">
            <w:pPr>
              <w:widowControl/>
              <w:jc w:val="center"/>
              <w:textAlignment w:val="center"/>
              <w:rPr>
                <w:szCs w:val="21"/>
              </w:rPr>
            </w:pPr>
            <w:r>
              <w:rPr>
                <w:kern w:val="0"/>
                <w:szCs w:val="21"/>
                <w:lang w:bidi="ar"/>
              </w:rPr>
              <w:t>80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667D3F58">
            <w:pPr>
              <w:widowControl/>
              <w:jc w:val="center"/>
              <w:textAlignment w:val="center"/>
              <w:rPr>
                <w:szCs w:val="21"/>
              </w:rPr>
            </w:pPr>
            <w:r>
              <w:rPr>
                <w:kern w:val="0"/>
                <w:szCs w:val="21"/>
                <w:lang w:bidi="ar"/>
              </w:rPr>
              <w:t>猪舍3间</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3DFE6FB0">
            <w:pPr>
              <w:widowControl/>
              <w:jc w:val="center"/>
              <w:textAlignment w:val="center"/>
              <w:rPr>
                <w:szCs w:val="21"/>
              </w:rPr>
            </w:pPr>
            <w:r>
              <w:rPr>
                <w:kern w:val="0"/>
                <w:szCs w:val="21"/>
                <w:lang w:bidi="ar"/>
              </w:rPr>
              <w:t>建筑隔声</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F896077">
            <w:pPr>
              <w:widowControl/>
              <w:jc w:val="center"/>
              <w:textAlignment w:val="center"/>
              <w:rPr>
                <w:szCs w:val="21"/>
              </w:rPr>
            </w:pPr>
            <w:r>
              <w:rPr>
                <w:kern w:val="0"/>
                <w:szCs w:val="21"/>
                <w:lang w:bidi="ar"/>
              </w:rPr>
              <w:t>15</w:t>
            </w:r>
          </w:p>
        </w:tc>
      </w:tr>
      <w:tr w14:paraId="0D2F120D">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7F48FE64">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26F83B52">
            <w:pPr>
              <w:widowControl/>
              <w:jc w:val="center"/>
              <w:textAlignment w:val="center"/>
              <w:rPr>
                <w:szCs w:val="21"/>
              </w:rPr>
            </w:pPr>
            <w:r>
              <w:rPr>
                <w:kern w:val="0"/>
                <w:szCs w:val="21"/>
                <w:lang w:bidi="ar"/>
              </w:rPr>
              <w:t>猪舍排风扇</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2F9E1F3B">
            <w:pPr>
              <w:widowControl/>
              <w:jc w:val="center"/>
              <w:textAlignment w:val="center"/>
              <w:rPr>
                <w:szCs w:val="21"/>
              </w:rPr>
            </w:pPr>
            <w:r>
              <w:rPr>
                <w:kern w:val="0"/>
                <w:szCs w:val="21"/>
                <w:lang w:bidi="ar"/>
              </w:rPr>
              <w:t>70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57CD007D">
            <w:pPr>
              <w:widowControl/>
              <w:jc w:val="center"/>
              <w:textAlignment w:val="center"/>
              <w:rPr>
                <w:szCs w:val="21"/>
              </w:rPr>
            </w:pPr>
            <w:r>
              <w:rPr>
                <w:kern w:val="0"/>
                <w:szCs w:val="21"/>
                <w:lang w:bidi="ar"/>
              </w:rPr>
              <w:t>18</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75BBB936">
            <w:pPr>
              <w:widowControl/>
              <w:jc w:val="center"/>
              <w:textAlignment w:val="center"/>
              <w:rPr>
                <w:szCs w:val="21"/>
              </w:rPr>
            </w:pPr>
            <w:r>
              <w:rPr>
                <w:kern w:val="0"/>
                <w:szCs w:val="21"/>
                <w:lang w:bidi="ar"/>
              </w:rPr>
              <w:t>低噪声设备</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91EE877">
            <w:pPr>
              <w:widowControl/>
              <w:jc w:val="center"/>
              <w:textAlignment w:val="center"/>
              <w:rPr>
                <w:szCs w:val="21"/>
              </w:rPr>
            </w:pPr>
            <w:r>
              <w:rPr>
                <w:kern w:val="0"/>
                <w:szCs w:val="21"/>
                <w:lang w:bidi="ar"/>
              </w:rPr>
              <w:t>10</w:t>
            </w:r>
          </w:p>
        </w:tc>
      </w:tr>
      <w:tr w14:paraId="7AFF50BB">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181BDB93">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243B9B58">
            <w:pPr>
              <w:widowControl/>
              <w:jc w:val="center"/>
              <w:textAlignment w:val="center"/>
              <w:rPr>
                <w:szCs w:val="21"/>
              </w:rPr>
            </w:pPr>
            <w:r>
              <w:rPr>
                <w:kern w:val="0"/>
                <w:szCs w:val="21"/>
                <w:lang w:bidi="ar"/>
              </w:rPr>
              <w:t>循环水泵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7AC5B146">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0C32C1D">
            <w:pPr>
              <w:widowControl/>
              <w:jc w:val="center"/>
              <w:textAlignment w:val="center"/>
              <w:rPr>
                <w:szCs w:val="21"/>
              </w:rPr>
            </w:pPr>
            <w:r>
              <w:rPr>
                <w:kern w:val="0"/>
                <w:szCs w:val="21"/>
                <w:lang w:bidi="ar"/>
              </w:rPr>
              <w:t>2（一用一备）</w:t>
            </w:r>
          </w:p>
        </w:tc>
        <w:tc>
          <w:tcPr>
            <w:tcW w:w="1618" w:type="pct"/>
            <w:vMerge w:val="restart"/>
            <w:tcBorders>
              <w:top w:val="single" w:color="000000" w:sz="4" w:space="0"/>
              <w:left w:val="single" w:color="000000" w:sz="4" w:space="0"/>
              <w:bottom w:val="single" w:color="000000" w:sz="4" w:space="0"/>
              <w:right w:val="single" w:color="000000" w:sz="4" w:space="0"/>
            </w:tcBorders>
            <w:noWrap/>
            <w:vAlign w:val="center"/>
          </w:tcPr>
          <w:p w14:paraId="095BB7A5">
            <w:pPr>
              <w:widowControl/>
              <w:jc w:val="center"/>
              <w:textAlignment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FE7AD18">
            <w:pPr>
              <w:widowControl/>
              <w:jc w:val="center"/>
              <w:textAlignment w:val="center"/>
              <w:rPr>
                <w:szCs w:val="21"/>
              </w:rPr>
            </w:pPr>
            <w:r>
              <w:rPr>
                <w:kern w:val="0"/>
                <w:szCs w:val="21"/>
                <w:lang w:bidi="ar"/>
              </w:rPr>
              <w:t>20</w:t>
            </w:r>
          </w:p>
        </w:tc>
      </w:tr>
      <w:tr w14:paraId="408B4E3F">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3D31910C">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07EBC3B7">
            <w:pPr>
              <w:widowControl/>
              <w:jc w:val="center"/>
              <w:textAlignment w:val="center"/>
              <w:rPr>
                <w:szCs w:val="21"/>
              </w:rPr>
            </w:pPr>
            <w:r>
              <w:rPr>
                <w:kern w:val="0"/>
                <w:szCs w:val="21"/>
                <w:lang w:bidi="ar"/>
              </w:rPr>
              <w:t>风机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40DB2028">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47B314D3">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31899EC6">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A65D2F9">
            <w:pPr>
              <w:widowControl/>
              <w:jc w:val="center"/>
              <w:textAlignment w:val="center"/>
              <w:rPr>
                <w:szCs w:val="21"/>
              </w:rPr>
            </w:pPr>
            <w:r>
              <w:rPr>
                <w:kern w:val="0"/>
                <w:szCs w:val="21"/>
                <w:lang w:bidi="ar"/>
              </w:rPr>
              <w:t>20</w:t>
            </w:r>
          </w:p>
        </w:tc>
      </w:tr>
      <w:tr w14:paraId="4FE2ADC3">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3EED8FD6">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1A531014">
            <w:pPr>
              <w:widowControl/>
              <w:jc w:val="center"/>
              <w:textAlignment w:val="center"/>
              <w:rPr>
                <w:szCs w:val="21"/>
              </w:rPr>
            </w:pPr>
            <w:r>
              <w:rPr>
                <w:kern w:val="0"/>
                <w:szCs w:val="21"/>
                <w:lang w:bidi="ar"/>
              </w:rPr>
              <w:t>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01CD12AA">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5B2D96C6">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64784841">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451096D">
            <w:pPr>
              <w:widowControl/>
              <w:jc w:val="center"/>
              <w:textAlignment w:val="center"/>
              <w:rPr>
                <w:szCs w:val="21"/>
              </w:rPr>
            </w:pPr>
            <w:r>
              <w:rPr>
                <w:kern w:val="0"/>
                <w:szCs w:val="21"/>
                <w:lang w:bidi="ar"/>
              </w:rPr>
              <w:t>20</w:t>
            </w:r>
          </w:p>
        </w:tc>
      </w:tr>
      <w:tr w14:paraId="01418A7B">
        <w:tblPrEx>
          <w:tblCellMar>
            <w:top w:w="0" w:type="dxa"/>
            <w:left w:w="108" w:type="dxa"/>
            <w:bottom w:w="0" w:type="dxa"/>
            <w:right w:w="108" w:type="dxa"/>
          </w:tblCellMar>
        </w:tblPrEx>
        <w:trPr>
          <w:trHeight w:val="285" w:hRule="atLeast"/>
        </w:trPr>
        <w:tc>
          <w:tcPr>
            <w:tcW w:w="403" w:type="pct"/>
            <w:vMerge w:val="continue"/>
            <w:tcBorders>
              <w:left w:val="single" w:color="000000" w:sz="4" w:space="0"/>
              <w:bottom w:val="single" w:color="000000" w:sz="4" w:space="0"/>
              <w:right w:val="single" w:color="000000" w:sz="4" w:space="0"/>
            </w:tcBorders>
            <w:noWrap/>
            <w:vAlign w:val="center"/>
          </w:tcPr>
          <w:p w14:paraId="3C89D9FC">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6B84158F">
            <w:pPr>
              <w:widowControl/>
              <w:jc w:val="center"/>
              <w:textAlignment w:val="center"/>
              <w:rPr>
                <w:kern w:val="0"/>
                <w:szCs w:val="21"/>
                <w:lang w:bidi="ar"/>
              </w:rPr>
            </w:pPr>
            <w:r>
              <w:rPr>
                <w:kern w:val="0"/>
                <w:szCs w:val="21"/>
                <w:lang w:bidi="ar"/>
              </w:rPr>
              <w:t>固液分离机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3DB8CF07">
            <w:pPr>
              <w:widowControl/>
              <w:jc w:val="center"/>
              <w:textAlignment w:val="center"/>
              <w:rPr>
                <w:kern w:val="0"/>
                <w:szCs w:val="21"/>
                <w:lang w:bidi="ar"/>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7178B390">
            <w:pPr>
              <w:widowControl/>
              <w:jc w:val="center"/>
              <w:textAlignment w:val="center"/>
              <w:rPr>
                <w:kern w:val="0"/>
                <w:szCs w:val="21"/>
                <w:lang w:bidi="ar"/>
              </w:rPr>
            </w:pPr>
            <w:r>
              <w:rPr>
                <w:kern w:val="0"/>
                <w:szCs w:val="21"/>
                <w:lang w:bidi="ar"/>
              </w:rPr>
              <w:t>1</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193279F4">
            <w:pPr>
              <w:jc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A50F534">
            <w:pPr>
              <w:widowControl/>
              <w:jc w:val="center"/>
              <w:textAlignment w:val="center"/>
              <w:rPr>
                <w:kern w:val="0"/>
                <w:szCs w:val="21"/>
                <w:lang w:bidi="ar"/>
              </w:rPr>
            </w:pPr>
            <w:r>
              <w:rPr>
                <w:kern w:val="0"/>
                <w:szCs w:val="21"/>
                <w:lang w:bidi="ar"/>
              </w:rPr>
              <w:t>20</w:t>
            </w:r>
          </w:p>
        </w:tc>
      </w:tr>
      <w:tr w14:paraId="7A1E10E0">
        <w:tblPrEx>
          <w:tblCellMar>
            <w:top w:w="0" w:type="dxa"/>
            <w:left w:w="108" w:type="dxa"/>
            <w:bottom w:w="0" w:type="dxa"/>
            <w:right w:w="108" w:type="dxa"/>
          </w:tblCellMar>
        </w:tblPrEx>
        <w:trPr>
          <w:trHeight w:val="285" w:hRule="atLeast"/>
        </w:trPr>
        <w:tc>
          <w:tcPr>
            <w:tcW w:w="403" w:type="pct"/>
            <w:vMerge w:val="restart"/>
            <w:tcBorders>
              <w:top w:val="single" w:color="000000" w:sz="4" w:space="0"/>
              <w:left w:val="single" w:color="000000" w:sz="4" w:space="0"/>
              <w:right w:val="single" w:color="000000" w:sz="4" w:space="0"/>
            </w:tcBorders>
            <w:noWrap/>
            <w:vAlign w:val="center"/>
          </w:tcPr>
          <w:p w14:paraId="2B72B2DC">
            <w:pPr>
              <w:widowControl/>
              <w:jc w:val="center"/>
              <w:textAlignment w:val="center"/>
              <w:rPr>
                <w:szCs w:val="21"/>
              </w:rPr>
            </w:pPr>
            <w:r>
              <w:rPr>
                <w:kern w:val="0"/>
                <w:szCs w:val="21"/>
                <w:lang w:bidi="ar"/>
              </w:rPr>
              <w:t>5号地</w:t>
            </w: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04B65B5E">
            <w:pPr>
              <w:widowControl/>
              <w:jc w:val="center"/>
              <w:textAlignment w:val="center"/>
              <w:rPr>
                <w:szCs w:val="21"/>
              </w:rPr>
            </w:pPr>
            <w:r>
              <w:rPr>
                <w:kern w:val="0"/>
                <w:szCs w:val="21"/>
                <w:lang w:bidi="ar"/>
              </w:rPr>
              <w:t>猪只叫声</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1E83B90E">
            <w:pPr>
              <w:widowControl/>
              <w:jc w:val="center"/>
              <w:textAlignment w:val="center"/>
              <w:rPr>
                <w:szCs w:val="21"/>
              </w:rPr>
            </w:pPr>
            <w:r>
              <w:rPr>
                <w:kern w:val="0"/>
                <w:szCs w:val="21"/>
                <w:lang w:bidi="ar"/>
              </w:rPr>
              <w:t>80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7A703412">
            <w:pPr>
              <w:widowControl/>
              <w:jc w:val="center"/>
              <w:textAlignment w:val="center"/>
              <w:rPr>
                <w:szCs w:val="21"/>
              </w:rPr>
            </w:pPr>
            <w:r>
              <w:rPr>
                <w:kern w:val="0"/>
                <w:szCs w:val="21"/>
                <w:lang w:bidi="ar"/>
              </w:rPr>
              <w:t>猪舍4间</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49F6F802">
            <w:pPr>
              <w:widowControl/>
              <w:jc w:val="center"/>
              <w:textAlignment w:val="center"/>
              <w:rPr>
                <w:szCs w:val="21"/>
              </w:rPr>
            </w:pPr>
            <w:r>
              <w:rPr>
                <w:kern w:val="0"/>
                <w:szCs w:val="21"/>
                <w:lang w:bidi="ar"/>
              </w:rPr>
              <w:t>建筑隔声</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E4576EF">
            <w:pPr>
              <w:widowControl/>
              <w:jc w:val="center"/>
              <w:textAlignment w:val="center"/>
              <w:rPr>
                <w:szCs w:val="21"/>
              </w:rPr>
            </w:pPr>
            <w:r>
              <w:rPr>
                <w:kern w:val="0"/>
                <w:szCs w:val="21"/>
                <w:lang w:bidi="ar"/>
              </w:rPr>
              <w:t>15</w:t>
            </w:r>
          </w:p>
        </w:tc>
      </w:tr>
      <w:tr w14:paraId="03CB85EC">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7DB3A505">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7F2A31A5">
            <w:pPr>
              <w:widowControl/>
              <w:jc w:val="center"/>
              <w:textAlignment w:val="center"/>
              <w:rPr>
                <w:szCs w:val="21"/>
              </w:rPr>
            </w:pPr>
            <w:r>
              <w:rPr>
                <w:kern w:val="0"/>
                <w:szCs w:val="21"/>
                <w:lang w:bidi="ar"/>
              </w:rPr>
              <w:t>猪舍排风扇</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3F13AE4D">
            <w:pPr>
              <w:widowControl/>
              <w:jc w:val="center"/>
              <w:textAlignment w:val="center"/>
              <w:rPr>
                <w:szCs w:val="21"/>
              </w:rPr>
            </w:pPr>
            <w:r>
              <w:rPr>
                <w:kern w:val="0"/>
                <w:szCs w:val="21"/>
                <w:lang w:bidi="ar"/>
              </w:rPr>
              <w:t>70</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516AEE4D">
            <w:pPr>
              <w:widowControl/>
              <w:jc w:val="center"/>
              <w:textAlignment w:val="center"/>
              <w:rPr>
                <w:szCs w:val="21"/>
              </w:rPr>
            </w:pPr>
            <w:r>
              <w:rPr>
                <w:kern w:val="0"/>
                <w:szCs w:val="21"/>
                <w:lang w:bidi="ar"/>
              </w:rPr>
              <w:t>24</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7500B9E4">
            <w:pPr>
              <w:widowControl/>
              <w:jc w:val="center"/>
              <w:textAlignment w:val="center"/>
              <w:rPr>
                <w:szCs w:val="21"/>
              </w:rPr>
            </w:pPr>
            <w:r>
              <w:rPr>
                <w:kern w:val="0"/>
                <w:szCs w:val="21"/>
                <w:lang w:bidi="ar"/>
              </w:rPr>
              <w:t>低噪声设备</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FEDEFD1">
            <w:pPr>
              <w:widowControl/>
              <w:jc w:val="center"/>
              <w:textAlignment w:val="center"/>
              <w:rPr>
                <w:szCs w:val="21"/>
              </w:rPr>
            </w:pPr>
            <w:r>
              <w:rPr>
                <w:kern w:val="0"/>
                <w:szCs w:val="21"/>
                <w:lang w:bidi="ar"/>
              </w:rPr>
              <w:t>10</w:t>
            </w:r>
          </w:p>
        </w:tc>
      </w:tr>
      <w:tr w14:paraId="2FD4B341">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79F684FE">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046863DE">
            <w:pPr>
              <w:widowControl/>
              <w:jc w:val="center"/>
              <w:textAlignment w:val="center"/>
              <w:rPr>
                <w:szCs w:val="21"/>
              </w:rPr>
            </w:pPr>
            <w:r>
              <w:rPr>
                <w:kern w:val="0"/>
                <w:szCs w:val="21"/>
                <w:lang w:bidi="ar"/>
              </w:rPr>
              <w:t>循环水泵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181FC5C2">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757B027B">
            <w:pPr>
              <w:widowControl/>
              <w:jc w:val="center"/>
              <w:textAlignment w:val="center"/>
              <w:rPr>
                <w:szCs w:val="21"/>
              </w:rPr>
            </w:pPr>
            <w:r>
              <w:rPr>
                <w:kern w:val="0"/>
                <w:szCs w:val="21"/>
                <w:lang w:bidi="ar"/>
              </w:rPr>
              <w:t>2（一用一备）</w:t>
            </w:r>
          </w:p>
        </w:tc>
        <w:tc>
          <w:tcPr>
            <w:tcW w:w="1618" w:type="pct"/>
            <w:vMerge w:val="restart"/>
            <w:tcBorders>
              <w:top w:val="single" w:color="000000" w:sz="4" w:space="0"/>
              <w:left w:val="single" w:color="000000" w:sz="4" w:space="0"/>
              <w:bottom w:val="single" w:color="000000" w:sz="4" w:space="0"/>
              <w:right w:val="single" w:color="000000" w:sz="4" w:space="0"/>
            </w:tcBorders>
            <w:noWrap/>
            <w:vAlign w:val="center"/>
          </w:tcPr>
          <w:p w14:paraId="07FFC844">
            <w:pPr>
              <w:widowControl/>
              <w:jc w:val="center"/>
              <w:textAlignment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7CDE7FD">
            <w:pPr>
              <w:widowControl/>
              <w:jc w:val="center"/>
              <w:textAlignment w:val="center"/>
              <w:rPr>
                <w:szCs w:val="21"/>
              </w:rPr>
            </w:pPr>
            <w:r>
              <w:rPr>
                <w:kern w:val="0"/>
                <w:szCs w:val="21"/>
                <w:lang w:bidi="ar"/>
              </w:rPr>
              <w:t>20</w:t>
            </w:r>
          </w:p>
        </w:tc>
      </w:tr>
      <w:tr w14:paraId="6F234EBC">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5F95AB0F">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069376CD">
            <w:pPr>
              <w:widowControl/>
              <w:jc w:val="center"/>
              <w:textAlignment w:val="center"/>
              <w:rPr>
                <w:szCs w:val="21"/>
              </w:rPr>
            </w:pPr>
            <w:r>
              <w:rPr>
                <w:kern w:val="0"/>
                <w:szCs w:val="21"/>
                <w:lang w:bidi="ar"/>
              </w:rPr>
              <w:t>风机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1DA5DDFB">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16763386">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4D6DD271">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14653F4">
            <w:pPr>
              <w:widowControl/>
              <w:jc w:val="center"/>
              <w:textAlignment w:val="center"/>
              <w:rPr>
                <w:szCs w:val="21"/>
              </w:rPr>
            </w:pPr>
            <w:r>
              <w:rPr>
                <w:kern w:val="0"/>
                <w:szCs w:val="21"/>
                <w:lang w:bidi="ar"/>
              </w:rPr>
              <w:t>20</w:t>
            </w:r>
          </w:p>
        </w:tc>
      </w:tr>
      <w:tr w14:paraId="5B3A2300">
        <w:tblPrEx>
          <w:tblCellMar>
            <w:top w:w="0" w:type="dxa"/>
            <w:left w:w="108" w:type="dxa"/>
            <w:bottom w:w="0" w:type="dxa"/>
            <w:right w:w="108" w:type="dxa"/>
          </w:tblCellMar>
        </w:tblPrEx>
        <w:trPr>
          <w:trHeight w:val="285" w:hRule="atLeast"/>
        </w:trPr>
        <w:tc>
          <w:tcPr>
            <w:tcW w:w="403" w:type="pct"/>
            <w:vMerge w:val="continue"/>
            <w:tcBorders>
              <w:left w:val="single" w:color="000000" w:sz="4" w:space="0"/>
              <w:right w:val="single" w:color="000000" w:sz="4" w:space="0"/>
            </w:tcBorders>
            <w:noWrap/>
            <w:vAlign w:val="center"/>
          </w:tcPr>
          <w:p w14:paraId="1BE5023F">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164FB52A">
            <w:pPr>
              <w:widowControl/>
              <w:jc w:val="center"/>
              <w:textAlignment w:val="center"/>
              <w:rPr>
                <w:szCs w:val="21"/>
              </w:rPr>
            </w:pPr>
            <w:r>
              <w:rPr>
                <w:kern w:val="0"/>
                <w:szCs w:val="21"/>
                <w:lang w:bidi="ar"/>
              </w:rPr>
              <w:t>水泵</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6732FDA3">
            <w:pPr>
              <w:widowControl/>
              <w:jc w:val="center"/>
              <w:textAlignment w:val="center"/>
              <w:rPr>
                <w:szCs w:val="21"/>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37EA123B">
            <w:pPr>
              <w:widowControl/>
              <w:jc w:val="center"/>
              <w:textAlignment w:val="center"/>
              <w:rPr>
                <w:szCs w:val="21"/>
              </w:rPr>
            </w:pPr>
            <w:r>
              <w:rPr>
                <w:kern w:val="0"/>
                <w:szCs w:val="21"/>
                <w:lang w:bidi="ar"/>
              </w:rPr>
              <w:t>2（一用一备）</w:t>
            </w:r>
          </w:p>
        </w:tc>
        <w:tc>
          <w:tcPr>
            <w:tcW w:w="1618" w:type="pct"/>
            <w:vMerge w:val="continue"/>
            <w:tcBorders>
              <w:top w:val="single" w:color="000000" w:sz="4" w:space="0"/>
              <w:left w:val="single" w:color="000000" w:sz="4" w:space="0"/>
              <w:bottom w:val="single" w:color="000000" w:sz="4" w:space="0"/>
              <w:right w:val="single" w:color="000000" w:sz="4" w:space="0"/>
            </w:tcBorders>
            <w:noWrap/>
            <w:vAlign w:val="center"/>
          </w:tcPr>
          <w:p w14:paraId="256F738E">
            <w:pPr>
              <w:jc w:val="center"/>
              <w:rPr>
                <w:szCs w:val="21"/>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799315D">
            <w:pPr>
              <w:widowControl/>
              <w:jc w:val="center"/>
              <w:textAlignment w:val="center"/>
              <w:rPr>
                <w:szCs w:val="21"/>
              </w:rPr>
            </w:pPr>
            <w:r>
              <w:rPr>
                <w:kern w:val="0"/>
                <w:szCs w:val="21"/>
                <w:lang w:bidi="ar"/>
              </w:rPr>
              <w:t>20</w:t>
            </w:r>
          </w:p>
        </w:tc>
      </w:tr>
      <w:tr w14:paraId="3E6FCFC1">
        <w:tblPrEx>
          <w:tblCellMar>
            <w:top w:w="0" w:type="dxa"/>
            <w:left w:w="108" w:type="dxa"/>
            <w:bottom w:w="0" w:type="dxa"/>
            <w:right w:w="108" w:type="dxa"/>
          </w:tblCellMar>
        </w:tblPrEx>
        <w:trPr>
          <w:trHeight w:val="285" w:hRule="atLeast"/>
        </w:trPr>
        <w:tc>
          <w:tcPr>
            <w:tcW w:w="403" w:type="pct"/>
            <w:vMerge w:val="continue"/>
            <w:tcBorders>
              <w:left w:val="single" w:color="000000" w:sz="4" w:space="0"/>
              <w:bottom w:val="single" w:color="000000" w:sz="4" w:space="0"/>
              <w:right w:val="single" w:color="000000" w:sz="4" w:space="0"/>
            </w:tcBorders>
            <w:noWrap/>
            <w:vAlign w:val="center"/>
          </w:tcPr>
          <w:p w14:paraId="24EDCC5E">
            <w:pPr>
              <w:jc w:val="center"/>
              <w:rPr>
                <w:szCs w:val="21"/>
              </w:rPr>
            </w:pPr>
          </w:p>
        </w:tc>
        <w:tc>
          <w:tcPr>
            <w:tcW w:w="800" w:type="pct"/>
            <w:tcBorders>
              <w:top w:val="single" w:color="000000" w:sz="4" w:space="0"/>
              <w:left w:val="single" w:color="000000" w:sz="4" w:space="0"/>
              <w:bottom w:val="single" w:color="000000" w:sz="4" w:space="0"/>
              <w:right w:val="single" w:color="000000" w:sz="4" w:space="0"/>
            </w:tcBorders>
            <w:noWrap/>
            <w:vAlign w:val="center"/>
          </w:tcPr>
          <w:p w14:paraId="74AA7000">
            <w:pPr>
              <w:widowControl/>
              <w:jc w:val="center"/>
              <w:textAlignment w:val="center"/>
              <w:rPr>
                <w:kern w:val="0"/>
                <w:szCs w:val="21"/>
                <w:lang w:bidi="ar"/>
              </w:rPr>
            </w:pPr>
            <w:r>
              <w:rPr>
                <w:kern w:val="0"/>
                <w:szCs w:val="21"/>
                <w:lang w:bidi="ar"/>
              </w:rPr>
              <w:t>固液分离机</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5D370F8B">
            <w:pPr>
              <w:widowControl/>
              <w:jc w:val="center"/>
              <w:textAlignment w:val="center"/>
              <w:rPr>
                <w:kern w:val="0"/>
                <w:szCs w:val="21"/>
                <w:lang w:bidi="ar"/>
              </w:rPr>
            </w:pPr>
            <w:r>
              <w:rPr>
                <w:kern w:val="0"/>
                <w:szCs w:val="21"/>
                <w:lang w:bidi="ar"/>
              </w:rPr>
              <w:t>85</w:t>
            </w:r>
          </w:p>
        </w:tc>
        <w:tc>
          <w:tcPr>
            <w:tcW w:w="1010" w:type="pct"/>
            <w:tcBorders>
              <w:top w:val="single" w:color="000000" w:sz="4" w:space="0"/>
              <w:left w:val="single" w:color="000000" w:sz="4" w:space="0"/>
              <w:bottom w:val="single" w:color="000000" w:sz="4" w:space="0"/>
              <w:right w:val="single" w:color="000000" w:sz="4" w:space="0"/>
            </w:tcBorders>
            <w:noWrap/>
            <w:vAlign w:val="center"/>
          </w:tcPr>
          <w:p w14:paraId="6482B01F">
            <w:pPr>
              <w:widowControl/>
              <w:jc w:val="center"/>
              <w:textAlignment w:val="center"/>
              <w:rPr>
                <w:kern w:val="0"/>
                <w:szCs w:val="21"/>
                <w:lang w:bidi="ar"/>
              </w:rPr>
            </w:pPr>
            <w:r>
              <w:rPr>
                <w:kern w:val="0"/>
                <w:szCs w:val="21"/>
                <w:lang w:bidi="ar"/>
              </w:rPr>
              <w:t>1</w:t>
            </w:r>
          </w:p>
        </w:tc>
        <w:tc>
          <w:tcPr>
            <w:tcW w:w="1618" w:type="pct"/>
            <w:tcBorders>
              <w:top w:val="single" w:color="000000" w:sz="4" w:space="0"/>
              <w:left w:val="single" w:color="000000" w:sz="4" w:space="0"/>
              <w:bottom w:val="single" w:color="000000" w:sz="4" w:space="0"/>
              <w:right w:val="single" w:color="000000" w:sz="4" w:space="0"/>
            </w:tcBorders>
            <w:noWrap/>
            <w:vAlign w:val="center"/>
          </w:tcPr>
          <w:p w14:paraId="73E3AAB5">
            <w:pPr>
              <w:jc w:val="center"/>
              <w:rPr>
                <w:szCs w:val="21"/>
              </w:rPr>
            </w:pPr>
            <w:r>
              <w:rPr>
                <w:kern w:val="0"/>
                <w:szCs w:val="21"/>
                <w:lang w:bidi="ar"/>
              </w:rPr>
              <w:t>选低噪声设备、隔声、减振</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170C9A6">
            <w:pPr>
              <w:widowControl/>
              <w:jc w:val="center"/>
              <w:textAlignment w:val="center"/>
              <w:rPr>
                <w:kern w:val="0"/>
                <w:szCs w:val="21"/>
                <w:lang w:bidi="ar"/>
              </w:rPr>
            </w:pPr>
            <w:r>
              <w:rPr>
                <w:kern w:val="0"/>
                <w:szCs w:val="21"/>
                <w:lang w:bidi="ar"/>
              </w:rPr>
              <w:t>20</w:t>
            </w:r>
          </w:p>
        </w:tc>
      </w:tr>
    </w:tbl>
    <w:p w14:paraId="1929B9F3">
      <w:pPr>
        <w:adjustRightInd w:val="0"/>
        <w:snapToGrid w:val="0"/>
        <w:spacing w:line="360" w:lineRule="auto"/>
        <w:ind w:firstLine="480" w:firstLineChars="200"/>
        <w:rPr>
          <w:kern w:val="0"/>
          <w:sz w:val="24"/>
        </w:rPr>
      </w:pPr>
      <w:r>
        <w:rPr>
          <w:kern w:val="0"/>
          <w:sz w:val="24"/>
        </w:rPr>
        <w:t>所采用的预测模式如下：</w:t>
      </w:r>
    </w:p>
    <w:p w14:paraId="3E385E84">
      <w:pPr>
        <w:adjustRightInd w:val="0"/>
        <w:snapToGrid w:val="0"/>
        <w:spacing w:line="360" w:lineRule="auto"/>
        <w:ind w:firstLine="480" w:firstLineChars="200"/>
        <w:rPr>
          <w:kern w:val="0"/>
          <w:sz w:val="24"/>
        </w:rPr>
      </w:pPr>
      <w:r>
        <w:rPr>
          <w:kern w:val="0"/>
          <w:sz w:val="24"/>
        </w:rPr>
        <w:t>噪声距离衰减模式</w:t>
      </w:r>
    </w:p>
    <w:p w14:paraId="4B1821C9">
      <w:pPr>
        <w:tabs>
          <w:tab w:val="right" w:pos="8306"/>
        </w:tabs>
        <w:spacing w:line="360" w:lineRule="auto"/>
        <w:ind w:firstLine="200"/>
        <w:jc w:val="center"/>
        <w:rPr>
          <w:sz w:val="24"/>
        </w:rPr>
      </w:pPr>
      <w:r>
        <w:rPr>
          <w:sz w:val="24"/>
        </w:rPr>
        <w:t>LA(r)=Lr0-20lg(r/r0)-△L</w:t>
      </w:r>
    </w:p>
    <w:p w14:paraId="79B499B3">
      <w:pPr>
        <w:tabs>
          <w:tab w:val="right" w:pos="8306"/>
        </w:tabs>
        <w:spacing w:line="360" w:lineRule="auto"/>
        <w:ind w:firstLine="200"/>
        <w:rPr>
          <w:sz w:val="24"/>
        </w:rPr>
      </w:pPr>
      <w:r>
        <w:rPr>
          <w:sz w:val="24"/>
        </w:rPr>
        <w:t>式中：LA(r)---距声源r米处受声点的A声级；</w:t>
      </w:r>
    </w:p>
    <w:p w14:paraId="2BC7367F">
      <w:pPr>
        <w:tabs>
          <w:tab w:val="right" w:pos="8306"/>
        </w:tabs>
        <w:spacing w:line="360" w:lineRule="auto"/>
        <w:ind w:firstLine="1200" w:firstLineChars="500"/>
        <w:rPr>
          <w:sz w:val="24"/>
        </w:rPr>
      </w:pPr>
      <w:r>
        <w:rPr>
          <w:sz w:val="24"/>
        </w:rPr>
        <w:t>Lr</w:t>
      </w:r>
      <w:r>
        <w:rPr>
          <w:sz w:val="24"/>
          <w:vertAlign w:val="subscript"/>
        </w:rPr>
        <w:t>0</w:t>
      </w:r>
      <w:r>
        <w:rPr>
          <w:sz w:val="24"/>
        </w:rPr>
        <w:t>----参考点声源强度；</w:t>
      </w:r>
    </w:p>
    <w:p w14:paraId="685492BA">
      <w:pPr>
        <w:tabs>
          <w:tab w:val="right" w:pos="8306"/>
        </w:tabs>
        <w:spacing w:line="360" w:lineRule="auto"/>
        <w:ind w:firstLine="1200" w:firstLineChars="500"/>
        <w:rPr>
          <w:sz w:val="24"/>
        </w:rPr>
      </w:pPr>
      <w:r>
        <w:rPr>
          <w:sz w:val="24"/>
        </w:rPr>
        <w:t>r-----预测受声点与源之间的距离（m）；</w:t>
      </w:r>
    </w:p>
    <w:p w14:paraId="212AB698">
      <w:pPr>
        <w:tabs>
          <w:tab w:val="right" w:pos="8306"/>
        </w:tabs>
        <w:spacing w:line="360" w:lineRule="auto"/>
        <w:ind w:firstLine="1200" w:firstLineChars="500"/>
        <w:rPr>
          <w:sz w:val="24"/>
        </w:rPr>
      </w:pPr>
      <w:r>
        <w:rPr>
          <w:sz w:val="24"/>
        </w:rPr>
        <w:t>r</w:t>
      </w:r>
      <w:r>
        <w:rPr>
          <w:sz w:val="24"/>
          <w:vertAlign w:val="subscript"/>
        </w:rPr>
        <w:t>0</w:t>
      </w:r>
      <w:r>
        <w:rPr>
          <w:sz w:val="24"/>
        </w:rPr>
        <w:t>-----参考点与源之间的距离（m）；</w:t>
      </w:r>
    </w:p>
    <w:p w14:paraId="1732B92E">
      <w:pPr>
        <w:tabs>
          <w:tab w:val="right" w:pos="8306"/>
        </w:tabs>
        <w:spacing w:line="360" w:lineRule="auto"/>
        <w:ind w:firstLine="1200" w:firstLineChars="500"/>
        <w:rPr>
          <w:sz w:val="24"/>
        </w:rPr>
      </w:pPr>
      <w:r>
        <w:rPr>
          <w:sz w:val="24"/>
        </w:rPr>
        <w:t>△L---其它衰减因素。</w:t>
      </w:r>
    </w:p>
    <w:p w14:paraId="59B38326">
      <w:pPr>
        <w:tabs>
          <w:tab w:val="right" w:pos="8306"/>
        </w:tabs>
        <w:spacing w:line="360" w:lineRule="auto"/>
        <w:ind w:firstLine="480" w:firstLineChars="200"/>
        <w:rPr>
          <w:sz w:val="24"/>
        </w:rPr>
      </w:pPr>
      <w:r>
        <w:rPr>
          <w:sz w:val="24"/>
        </w:rPr>
        <w:t>本报告计算时取△L=15dB(A)（猪舍、设备房隔声）。空气吸收的衰减很少，在200m内近似为零。</w:t>
      </w:r>
    </w:p>
    <w:p w14:paraId="675CEBB1">
      <w:pPr>
        <w:spacing w:line="360" w:lineRule="auto"/>
        <w:ind w:firstLine="480" w:firstLineChars="200"/>
        <w:rPr>
          <w:sz w:val="24"/>
        </w:rPr>
      </w:pPr>
      <w:r>
        <w:rPr>
          <w:sz w:val="24"/>
        </w:rPr>
        <w:t>各声源噪声在预测点的贡献值计算公式如下：</w:t>
      </w:r>
    </w:p>
    <w:p w14:paraId="1D5663F8">
      <w:pPr>
        <w:spacing w:line="360" w:lineRule="auto"/>
        <w:ind w:firstLine="480" w:firstLineChars="200"/>
        <w:jc w:val="center"/>
        <w:rPr>
          <w:sz w:val="24"/>
        </w:rPr>
      </w:pPr>
      <w:r>
        <w:rPr>
          <w:position w:val="-28"/>
          <w:sz w:val="24"/>
          <w:lang/>
        </w:rPr>
        <w:drawing>
          <wp:inline distT="0" distB="0" distL="114300" distR="114300">
            <wp:extent cx="1667510" cy="417195"/>
            <wp:effectExtent l="0" t="0" r="8890" b="1905"/>
            <wp:docPr id="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pic:cNvPicPr>
                      <a:picLocks noChangeAspect="1"/>
                    </pic:cNvPicPr>
                  </pic:nvPicPr>
                  <pic:blipFill>
                    <a:blip r:embed="rId46"/>
                    <a:stretch>
                      <a:fillRect/>
                    </a:stretch>
                  </pic:blipFill>
                  <pic:spPr>
                    <a:xfrm>
                      <a:off x="0" y="0"/>
                      <a:ext cx="1667510" cy="417195"/>
                    </a:xfrm>
                    <a:prstGeom prst="rect">
                      <a:avLst/>
                    </a:prstGeom>
                    <a:noFill/>
                    <a:ln>
                      <a:noFill/>
                    </a:ln>
                  </pic:spPr>
                </pic:pic>
              </a:graphicData>
            </a:graphic>
          </wp:inline>
        </w:drawing>
      </w:r>
    </w:p>
    <w:p w14:paraId="04841D34">
      <w:pPr>
        <w:spacing w:line="360" w:lineRule="auto"/>
        <w:ind w:firstLine="480" w:firstLineChars="200"/>
        <w:rPr>
          <w:sz w:val="24"/>
        </w:rPr>
      </w:pPr>
      <w:r>
        <w:rPr>
          <w:sz w:val="24"/>
        </w:rPr>
        <w:t>预测点的预测等效升级计算公式如下：</w:t>
      </w:r>
    </w:p>
    <w:p w14:paraId="725B7FAE">
      <w:pPr>
        <w:spacing w:line="360" w:lineRule="auto"/>
        <w:ind w:firstLine="480" w:firstLineChars="200"/>
        <w:jc w:val="center"/>
        <w:rPr>
          <w:sz w:val="24"/>
        </w:rPr>
      </w:pPr>
      <w:r>
        <w:rPr>
          <w:position w:val="-14"/>
          <w:sz w:val="24"/>
          <w:lang/>
        </w:rPr>
        <w:drawing>
          <wp:inline distT="0" distB="0" distL="114300" distR="114300">
            <wp:extent cx="1864995" cy="263525"/>
            <wp:effectExtent l="0" t="0" r="1905" b="2540"/>
            <wp:docPr id="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pic:cNvPicPr>
                      <a:picLocks noChangeAspect="1"/>
                    </pic:cNvPicPr>
                  </pic:nvPicPr>
                  <pic:blipFill>
                    <a:blip r:embed="rId47"/>
                    <a:stretch>
                      <a:fillRect/>
                    </a:stretch>
                  </pic:blipFill>
                  <pic:spPr>
                    <a:xfrm>
                      <a:off x="0" y="0"/>
                      <a:ext cx="1864995" cy="263525"/>
                    </a:xfrm>
                    <a:prstGeom prst="rect">
                      <a:avLst/>
                    </a:prstGeom>
                    <a:noFill/>
                    <a:ln>
                      <a:noFill/>
                    </a:ln>
                  </pic:spPr>
                </pic:pic>
              </a:graphicData>
            </a:graphic>
          </wp:inline>
        </w:drawing>
      </w:r>
    </w:p>
    <w:p w14:paraId="60940577">
      <w:pPr>
        <w:tabs>
          <w:tab w:val="right" w:pos="8306"/>
        </w:tabs>
        <w:spacing w:line="360" w:lineRule="auto"/>
        <w:ind w:firstLine="480" w:firstLineChars="200"/>
        <w:rPr>
          <w:sz w:val="24"/>
        </w:rPr>
      </w:pPr>
      <w:r>
        <w:rPr>
          <w:sz w:val="24"/>
        </w:rPr>
        <w:t>项目噪声衰减的结果见下表。</w:t>
      </w:r>
    </w:p>
    <w:p w14:paraId="7E8A7A8F">
      <w:pPr>
        <w:spacing w:line="360" w:lineRule="auto"/>
        <w:ind w:firstLine="200"/>
        <w:jc w:val="center"/>
        <w:rPr>
          <w:b/>
          <w:sz w:val="24"/>
        </w:rPr>
      </w:pPr>
      <w:r>
        <w:rPr>
          <w:b/>
          <w:sz w:val="24"/>
        </w:rPr>
        <w:t>表5.2-19  噪声预测情况表  单位：dB（A）</w:t>
      </w:r>
    </w:p>
    <w:tbl>
      <w:tblPr>
        <w:tblStyle w:val="87"/>
        <w:tblW w:w="4998" w:type="pct"/>
        <w:tblInd w:w="0" w:type="dxa"/>
        <w:tblLayout w:type="autofit"/>
        <w:tblCellMar>
          <w:top w:w="0" w:type="dxa"/>
          <w:left w:w="108" w:type="dxa"/>
          <w:bottom w:w="0" w:type="dxa"/>
          <w:right w:w="108" w:type="dxa"/>
        </w:tblCellMar>
      </w:tblPr>
      <w:tblGrid>
        <w:gridCol w:w="1040"/>
        <w:gridCol w:w="1266"/>
        <w:gridCol w:w="1581"/>
        <w:gridCol w:w="718"/>
        <w:gridCol w:w="718"/>
        <w:gridCol w:w="718"/>
        <w:gridCol w:w="730"/>
        <w:gridCol w:w="888"/>
        <w:gridCol w:w="889"/>
        <w:gridCol w:w="889"/>
        <w:gridCol w:w="895"/>
      </w:tblGrid>
      <w:tr w14:paraId="17FA182B">
        <w:tblPrEx>
          <w:tblCellMar>
            <w:top w:w="0" w:type="dxa"/>
            <w:left w:w="108" w:type="dxa"/>
            <w:bottom w:w="0" w:type="dxa"/>
            <w:right w:w="108" w:type="dxa"/>
          </w:tblCellMar>
        </w:tblPrEx>
        <w:trPr>
          <w:trHeight w:val="285" w:hRule="atLeast"/>
        </w:trPr>
        <w:tc>
          <w:tcPr>
            <w:tcW w:w="531" w:type="pct"/>
            <w:vMerge w:val="restart"/>
            <w:tcBorders>
              <w:top w:val="single" w:color="000000" w:sz="4" w:space="0"/>
              <w:left w:val="single" w:color="000000" w:sz="4" w:space="0"/>
              <w:bottom w:val="single" w:color="000000" w:sz="4" w:space="0"/>
              <w:right w:val="single" w:color="000000" w:sz="4" w:space="0"/>
            </w:tcBorders>
            <w:noWrap w:val="0"/>
            <w:vAlign w:val="center"/>
          </w:tcPr>
          <w:p w14:paraId="5EA65ED5">
            <w:pPr>
              <w:widowControl/>
              <w:jc w:val="center"/>
              <w:textAlignment w:val="center"/>
              <w:rPr>
                <w:szCs w:val="21"/>
              </w:rPr>
            </w:pPr>
            <w:bookmarkStart w:id="172" w:name="_Toc184482187"/>
            <w:bookmarkStart w:id="173" w:name="_Toc184481630"/>
            <w:r>
              <w:rPr>
                <w:kern w:val="0"/>
                <w:szCs w:val="21"/>
                <w:lang w:bidi="ar"/>
              </w:rPr>
              <w:t>地块</w:t>
            </w:r>
          </w:p>
        </w:tc>
        <w:tc>
          <w:tcPr>
            <w:tcW w:w="556" w:type="pct"/>
            <w:vMerge w:val="restart"/>
            <w:tcBorders>
              <w:top w:val="single" w:color="000000" w:sz="4" w:space="0"/>
              <w:left w:val="single" w:color="000000" w:sz="4" w:space="0"/>
              <w:bottom w:val="single" w:color="000000" w:sz="4" w:space="0"/>
              <w:right w:val="single" w:color="000000" w:sz="4" w:space="0"/>
            </w:tcBorders>
            <w:noWrap w:val="0"/>
            <w:vAlign w:val="center"/>
          </w:tcPr>
          <w:p w14:paraId="655BBB69">
            <w:pPr>
              <w:widowControl/>
              <w:jc w:val="center"/>
              <w:textAlignment w:val="center"/>
              <w:rPr>
                <w:szCs w:val="21"/>
              </w:rPr>
            </w:pPr>
            <w:r>
              <w:rPr>
                <w:kern w:val="0"/>
                <w:szCs w:val="21"/>
                <w:lang w:bidi="ar"/>
              </w:rPr>
              <w:t>噪声来源</w:t>
            </w:r>
          </w:p>
        </w:tc>
        <w:tc>
          <w:tcPr>
            <w:tcW w:w="575" w:type="pct"/>
            <w:vMerge w:val="restart"/>
            <w:tcBorders>
              <w:top w:val="single" w:color="000000" w:sz="4" w:space="0"/>
              <w:left w:val="single" w:color="000000" w:sz="4" w:space="0"/>
              <w:bottom w:val="single" w:color="000000" w:sz="4" w:space="0"/>
              <w:right w:val="single" w:color="000000" w:sz="4" w:space="0"/>
            </w:tcBorders>
            <w:noWrap/>
            <w:vAlign w:val="center"/>
          </w:tcPr>
          <w:p w14:paraId="5D09ECBF">
            <w:pPr>
              <w:widowControl/>
              <w:jc w:val="center"/>
              <w:textAlignment w:val="center"/>
              <w:rPr>
                <w:szCs w:val="21"/>
              </w:rPr>
            </w:pPr>
            <w:r>
              <w:rPr>
                <w:kern w:val="0"/>
                <w:szCs w:val="21"/>
                <w:lang w:bidi="ar"/>
              </w:rPr>
              <w:t>数量</w:t>
            </w:r>
          </w:p>
        </w:tc>
        <w:tc>
          <w:tcPr>
            <w:tcW w:w="1504" w:type="pct"/>
            <w:gridSpan w:val="4"/>
            <w:tcBorders>
              <w:top w:val="single" w:color="000000" w:sz="4" w:space="0"/>
              <w:left w:val="single" w:color="000000" w:sz="4" w:space="0"/>
              <w:bottom w:val="single" w:color="000000" w:sz="4" w:space="0"/>
              <w:right w:val="single" w:color="000000" w:sz="4" w:space="0"/>
            </w:tcBorders>
            <w:noWrap/>
            <w:vAlign w:val="center"/>
          </w:tcPr>
          <w:p w14:paraId="1BA79D8A">
            <w:pPr>
              <w:widowControl/>
              <w:jc w:val="center"/>
              <w:textAlignment w:val="center"/>
              <w:rPr>
                <w:szCs w:val="21"/>
              </w:rPr>
            </w:pPr>
            <w:r>
              <w:rPr>
                <w:kern w:val="0"/>
                <w:szCs w:val="21"/>
                <w:lang w:bidi="ar"/>
              </w:rPr>
              <w:t>与厂界距离（m）</w:t>
            </w:r>
          </w:p>
        </w:tc>
        <w:tc>
          <w:tcPr>
            <w:tcW w:w="1831" w:type="pct"/>
            <w:gridSpan w:val="4"/>
            <w:tcBorders>
              <w:top w:val="single" w:color="000000" w:sz="4" w:space="0"/>
              <w:left w:val="single" w:color="000000" w:sz="4" w:space="0"/>
              <w:bottom w:val="single" w:color="000000" w:sz="4" w:space="0"/>
              <w:right w:val="single" w:color="000000" w:sz="4" w:space="0"/>
            </w:tcBorders>
            <w:noWrap/>
            <w:vAlign w:val="center"/>
          </w:tcPr>
          <w:p w14:paraId="20E0F157">
            <w:pPr>
              <w:widowControl/>
              <w:jc w:val="center"/>
              <w:textAlignment w:val="center"/>
              <w:rPr>
                <w:szCs w:val="21"/>
              </w:rPr>
            </w:pPr>
            <w:r>
              <w:rPr>
                <w:kern w:val="0"/>
                <w:szCs w:val="21"/>
                <w:lang w:bidi="ar"/>
              </w:rPr>
              <w:t>厂界叠加值（dB（A））</w:t>
            </w:r>
          </w:p>
        </w:tc>
      </w:tr>
      <w:tr w14:paraId="34FDF035">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A0D6D3">
            <w:pPr>
              <w:jc w:val="center"/>
              <w:rPr>
                <w:szCs w:val="21"/>
              </w:rPr>
            </w:pP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102224">
            <w:pPr>
              <w:jc w:val="center"/>
              <w:rPr>
                <w:szCs w:val="21"/>
              </w:rPr>
            </w:pPr>
          </w:p>
        </w:tc>
        <w:tc>
          <w:tcPr>
            <w:tcW w:w="575" w:type="pct"/>
            <w:vMerge w:val="continue"/>
            <w:tcBorders>
              <w:top w:val="single" w:color="000000" w:sz="4" w:space="0"/>
              <w:left w:val="single" w:color="000000" w:sz="4" w:space="0"/>
              <w:bottom w:val="single" w:color="000000" w:sz="4" w:space="0"/>
              <w:right w:val="single" w:color="000000" w:sz="4" w:space="0"/>
            </w:tcBorders>
            <w:noWrap/>
            <w:vAlign w:val="center"/>
          </w:tcPr>
          <w:p w14:paraId="5C5237D7">
            <w:pPr>
              <w:jc w:val="center"/>
              <w:rPr>
                <w:szCs w:val="21"/>
              </w:rPr>
            </w:pP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B3BBD3D">
            <w:pPr>
              <w:widowControl/>
              <w:jc w:val="left"/>
              <w:textAlignment w:val="center"/>
              <w:rPr>
                <w:szCs w:val="21"/>
              </w:rPr>
            </w:pPr>
            <w:r>
              <w:rPr>
                <w:kern w:val="0"/>
                <w:szCs w:val="21"/>
                <w:lang w:bidi="ar"/>
              </w:rPr>
              <w:t>东</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6AC8B0F">
            <w:pPr>
              <w:widowControl/>
              <w:jc w:val="left"/>
              <w:textAlignment w:val="center"/>
              <w:rPr>
                <w:szCs w:val="21"/>
              </w:rPr>
            </w:pPr>
            <w:r>
              <w:rPr>
                <w:kern w:val="0"/>
                <w:szCs w:val="21"/>
                <w:lang w:bidi="ar"/>
              </w:rPr>
              <w:t>南</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E195E7B">
            <w:pPr>
              <w:widowControl/>
              <w:jc w:val="left"/>
              <w:textAlignment w:val="center"/>
              <w:rPr>
                <w:szCs w:val="21"/>
              </w:rPr>
            </w:pPr>
            <w:r>
              <w:rPr>
                <w:kern w:val="0"/>
                <w:szCs w:val="21"/>
                <w:lang w:bidi="ar"/>
              </w:rPr>
              <w:t>西</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CF581B0">
            <w:pPr>
              <w:widowControl/>
              <w:jc w:val="left"/>
              <w:textAlignment w:val="center"/>
              <w:rPr>
                <w:szCs w:val="21"/>
              </w:rPr>
            </w:pPr>
            <w:r>
              <w:rPr>
                <w:kern w:val="0"/>
                <w:szCs w:val="21"/>
                <w:lang w:bidi="ar"/>
              </w:rPr>
              <w:t>北</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42C5E19">
            <w:pPr>
              <w:widowControl/>
              <w:jc w:val="left"/>
              <w:textAlignment w:val="center"/>
              <w:rPr>
                <w:szCs w:val="21"/>
              </w:rPr>
            </w:pPr>
            <w:r>
              <w:rPr>
                <w:kern w:val="0"/>
                <w:szCs w:val="21"/>
                <w:lang w:bidi="ar"/>
              </w:rPr>
              <w:t>东</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A7D648F">
            <w:pPr>
              <w:widowControl/>
              <w:jc w:val="left"/>
              <w:textAlignment w:val="center"/>
              <w:rPr>
                <w:szCs w:val="21"/>
              </w:rPr>
            </w:pPr>
            <w:r>
              <w:rPr>
                <w:kern w:val="0"/>
                <w:szCs w:val="21"/>
                <w:lang w:bidi="ar"/>
              </w:rPr>
              <w:t>南</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474930E">
            <w:pPr>
              <w:widowControl/>
              <w:jc w:val="left"/>
              <w:textAlignment w:val="center"/>
              <w:rPr>
                <w:szCs w:val="21"/>
              </w:rPr>
            </w:pPr>
            <w:r>
              <w:rPr>
                <w:kern w:val="0"/>
                <w:szCs w:val="21"/>
                <w:lang w:bidi="ar"/>
              </w:rPr>
              <w:t>西</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1D4FE77C">
            <w:pPr>
              <w:widowControl/>
              <w:jc w:val="left"/>
              <w:textAlignment w:val="center"/>
              <w:rPr>
                <w:szCs w:val="21"/>
              </w:rPr>
            </w:pPr>
            <w:r>
              <w:rPr>
                <w:kern w:val="0"/>
                <w:szCs w:val="21"/>
                <w:lang w:bidi="ar"/>
              </w:rPr>
              <w:t>北</w:t>
            </w:r>
          </w:p>
        </w:tc>
      </w:tr>
      <w:tr w14:paraId="30A02502">
        <w:tblPrEx>
          <w:tblCellMar>
            <w:top w:w="0" w:type="dxa"/>
            <w:left w:w="108" w:type="dxa"/>
            <w:bottom w:w="0" w:type="dxa"/>
            <w:right w:w="108" w:type="dxa"/>
          </w:tblCellMar>
        </w:tblPrEx>
        <w:trPr>
          <w:trHeight w:val="285" w:hRule="atLeast"/>
        </w:trPr>
        <w:tc>
          <w:tcPr>
            <w:tcW w:w="531" w:type="pct"/>
            <w:vMerge w:val="restart"/>
            <w:tcBorders>
              <w:top w:val="single" w:color="000000" w:sz="4" w:space="0"/>
              <w:left w:val="single" w:color="000000" w:sz="4" w:space="0"/>
              <w:bottom w:val="single" w:color="000000" w:sz="4" w:space="0"/>
              <w:right w:val="single" w:color="000000" w:sz="4" w:space="0"/>
            </w:tcBorders>
            <w:noWrap/>
            <w:vAlign w:val="center"/>
          </w:tcPr>
          <w:p w14:paraId="08DE9A09">
            <w:pPr>
              <w:widowControl/>
              <w:jc w:val="center"/>
              <w:textAlignment w:val="center"/>
              <w:rPr>
                <w:szCs w:val="21"/>
              </w:rPr>
            </w:pPr>
            <w:r>
              <w:rPr>
                <w:kern w:val="0"/>
                <w:szCs w:val="21"/>
                <w:lang w:bidi="ar"/>
              </w:rPr>
              <w:t>1号地</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42494ED">
            <w:pPr>
              <w:widowControl/>
              <w:jc w:val="center"/>
              <w:textAlignment w:val="center"/>
              <w:rPr>
                <w:szCs w:val="21"/>
              </w:rPr>
            </w:pPr>
            <w:r>
              <w:rPr>
                <w:kern w:val="0"/>
                <w:szCs w:val="21"/>
                <w:lang w:bidi="ar"/>
              </w:rPr>
              <w:t>猪只叫声</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4CCE904">
            <w:pPr>
              <w:widowControl/>
              <w:jc w:val="center"/>
              <w:textAlignment w:val="center"/>
              <w:rPr>
                <w:szCs w:val="21"/>
              </w:rPr>
            </w:pPr>
            <w:r>
              <w:rPr>
                <w:kern w:val="0"/>
                <w:szCs w:val="21"/>
                <w:lang w:bidi="ar"/>
              </w:rPr>
              <w:t>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DCFE492">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6AE3243">
            <w:pPr>
              <w:widowControl/>
              <w:jc w:val="right"/>
              <w:textAlignment w:val="center"/>
              <w:rPr>
                <w:szCs w:val="21"/>
              </w:rPr>
            </w:pPr>
            <w:r>
              <w:rPr>
                <w:kern w:val="0"/>
                <w:szCs w:val="21"/>
                <w:lang w:bidi="ar"/>
              </w:rPr>
              <w:t>60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823828F">
            <w:pPr>
              <w:widowControl/>
              <w:jc w:val="right"/>
              <w:textAlignment w:val="center"/>
              <w:rPr>
                <w:szCs w:val="21"/>
              </w:rPr>
            </w:pPr>
            <w:r>
              <w:rPr>
                <w:kern w:val="0"/>
                <w:szCs w:val="21"/>
                <w:lang w:bidi="ar"/>
              </w:rPr>
              <w:t>27</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279A7F34">
            <w:pPr>
              <w:widowControl/>
              <w:jc w:val="right"/>
              <w:textAlignment w:val="center"/>
              <w:rPr>
                <w:szCs w:val="21"/>
              </w:rPr>
            </w:pPr>
            <w:r>
              <w:rPr>
                <w:kern w:val="0"/>
                <w:szCs w:val="21"/>
                <w:lang w:bidi="ar"/>
              </w:rPr>
              <w:t>22</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86F9C33">
            <w:pPr>
              <w:widowControl/>
              <w:jc w:val="right"/>
              <w:textAlignment w:val="center"/>
              <w:rPr>
                <w:szCs w:val="21"/>
              </w:rPr>
            </w:pPr>
            <w:r>
              <w:rPr>
                <w:kern w:val="0"/>
                <w:szCs w:val="21"/>
                <w:lang w:bidi="ar"/>
              </w:rPr>
              <w:t xml:space="preserve">37.0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6C47283">
            <w:pPr>
              <w:widowControl/>
              <w:jc w:val="right"/>
              <w:textAlignment w:val="center"/>
              <w:rPr>
                <w:szCs w:val="21"/>
              </w:rPr>
            </w:pPr>
            <w:r>
              <w:rPr>
                <w:kern w:val="0"/>
                <w:szCs w:val="21"/>
                <w:lang w:bidi="ar"/>
              </w:rPr>
              <w:t xml:space="preserve">29.4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3506BCE">
            <w:pPr>
              <w:widowControl/>
              <w:jc w:val="right"/>
              <w:textAlignment w:val="center"/>
              <w:rPr>
                <w:szCs w:val="21"/>
              </w:rPr>
            </w:pPr>
            <w:r>
              <w:rPr>
                <w:kern w:val="0"/>
                <w:szCs w:val="21"/>
                <w:lang w:bidi="ar"/>
              </w:rPr>
              <w:t xml:space="preserve">36.4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E857CF4">
            <w:pPr>
              <w:widowControl/>
              <w:jc w:val="right"/>
              <w:textAlignment w:val="center"/>
              <w:rPr>
                <w:szCs w:val="21"/>
              </w:rPr>
            </w:pPr>
            <w:r>
              <w:rPr>
                <w:kern w:val="0"/>
                <w:szCs w:val="21"/>
                <w:lang w:bidi="ar"/>
              </w:rPr>
              <w:t xml:space="preserve">38.2 </w:t>
            </w:r>
          </w:p>
        </w:tc>
      </w:tr>
      <w:tr w14:paraId="6FD37630">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6C6DA7F8">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63DE637">
            <w:pPr>
              <w:widowControl/>
              <w:jc w:val="center"/>
              <w:textAlignment w:val="center"/>
              <w:rPr>
                <w:szCs w:val="21"/>
              </w:rPr>
            </w:pPr>
            <w:r>
              <w:rPr>
                <w:kern w:val="0"/>
                <w:szCs w:val="21"/>
                <w:lang w:bidi="ar"/>
              </w:rPr>
              <w:t>猪舍排风扇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0D91E4D">
            <w:pPr>
              <w:widowControl/>
              <w:jc w:val="center"/>
              <w:textAlignment w:val="center"/>
              <w:rPr>
                <w:szCs w:val="21"/>
              </w:rPr>
            </w:pPr>
            <w:r>
              <w:rPr>
                <w:kern w:val="0"/>
                <w:szCs w:val="21"/>
                <w:lang w:bidi="ar"/>
              </w:rPr>
              <w:t>12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EFA271A">
            <w:pPr>
              <w:widowControl/>
              <w:jc w:val="right"/>
              <w:textAlignment w:val="center"/>
              <w:rPr>
                <w:szCs w:val="21"/>
              </w:rPr>
            </w:pPr>
            <w:r>
              <w:rPr>
                <w:kern w:val="0"/>
                <w:szCs w:val="21"/>
                <w:lang w:bidi="ar"/>
              </w:rPr>
              <w:t>30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338C835">
            <w:pPr>
              <w:widowControl/>
              <w:jc w:val="right"/>
              <w:textAlignment w:val="center"/>
              <w:rPr>
                <w:szCs w:val="21"/>
              </w:rPr>
            </w:pPr>
            <w:r>
              <w:rPr>
                <w:kern w:val="0"/>
                <w:szCs w:val="21"/>
                <w:lang w:bidi="ar"/>
              </w:rPr>
              <w:t>65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F1A6B5B">
            <w:pPr>
              <w:widowControl/>
              <w:jc w:val="right"/>
              <w:textAlignment w:val="center"/>
              <w:rPr>
                <w:szCs w:val="21"/>
              </w:rPr>
            </w:pPr>
            <w:r>
              <w:rPr>
                <w:kern w:val="0"/>
                <w:szCs w:val="21"/>
                <w:lang w:bidi="ar"/>
              </w:rPr>
              <w:t>32</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D513298">
            <w:pPr>
              <w:widowControl/>
              <w:jc w:val="right"/>
              <w:textAlignment w:val="center"/>
              <w:rPr>
                <w:szCs w:val="21"/>
              </w:rPr>
            </w:pPr>
            <w:r>
              <w:rPr>
                <w:kern w:val="0"/>
                <w:szCs w:val="21"/>
                <w:lang w:bidi="ar"/>
              </w:rPr>
              <w:t>27</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268FBCC">
            <w:pPr>
              <w:widowControl/>
              <w:jc w:val="right"/>
              <w:textAlignment w:val="center"/>
              <w:rPr>
                <w:szCs w:val="21"/>
              </w:rPr>
            </w:pPr>
            <w:r>
              <w:rPr>
                <w:kern w:val="0"/>
                <w:szCs w:val="21"/>
                <w:lang w:bidi="ar"/>
              </w:rPr>
              <w:t xml:space="preserve">30.5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F339C0D">
            <w:pPr>
              <w:widowControl/>
              <w:jc w:val="right"/>
              <w:textAlignment w:val="center"/>
              <w:rPr>
                <w:szCs w:val="21"/>
              </w:rPr>
            </w:pPr>
            <w:r>
              <w:rPr>
                <w:kern w:val="0"/>
                <w:szCs w:val="21"/>
                <w:lang w:bidi="ar"/>
              </w:rPr>
              <w:t xml:space="preserve">23.7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DBE84CF">
            <w:pPr>
              <w:widowControl/>
              <w:jc w:val="right"/>
              <w:textAlignment w:val="center"/>
              <w:rPr>
                <w:szCs w:val="21"/>
              </w:rPr>
            </w:pPr>
            <w:r>
              <w:rPr>
                <w:kern w:val="0"/>
                <w:szCs w:val="21"/>
                <w:lang w:bidi="ar"/>
              </w:rPr>
              <w:t xml:space="preserve">29.9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762FC35">
            <w:pPr>
              <w:widowControl/>
              <w:jc w:val="right"/>
              <w:textAlignment w:val="center"/>
              <w:rPr>
                <w:szCs w:val="21"/>
              </w:rPr>
            </w:pPr>
            <w:r>
              <w:rPr>
                <w:kern w:val="0"/>
                <w:szCs w:val="21"/>
                <w:lang w:bidi="ar"/>
              </w:rPr>
              <w:t xml:space="preserve">31.4 </w:t>
            </w:r>
          </w:p>
        </w:tc>
      </w:tr>
      <w:tr w14:paraId="757DFE6A">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16485B67">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65073D8">
            <w:pPr>
              <w:widowControl/>
              <w:jc w:val="center"/>
              <w:textAlignment w:val="center"/>
              <w:rPr>
                <w:szCs w:val="21"/>
              </w:rPr>
            </w:pPr>
            <w:r>
              <w:rPr>
                <w:kern w:val="0"/>
                <w:szCs w:val="21"/>
                <w:lang w:bidi="ar"/>
              </w:rPr>
              <w:t>循环水泵</w:t>
            </w:r>
          </w:p>
        </w:tc>
        <w:tc>
          <w:tcPr>
            <w:tcW w:w="575" w:type="pct"/>
            <w:vMerge w:val="restart"/>
            <w:tcBorders>
              <w:top w:val="single" w:color="000000" w:sz="4" w:space="0"/>
              <w:left w:val="single" w:color="000000" w:sz="4" w:space="0"/>
              <w:bottom w:val="single" w:color="000000" w:sz="4" w:space="0"/>
              <w:right w:val="single" w:color="000000" w:sz="4" w:space="0"/>
            </w:tcBorders>
            <w:noWrap/>
            <w:vAlign w:val="center"/>
          </w:tcPr>
          <w:p w14:paraId="4E560E75">
            <w:pPr>
              <w:widowControl/>
              <w:jc w:val="center"/>
              <w:textAlignment w:val="center"/>
              <w:rPr>
                <w:szCs w:val="21"/>
              </w:rPr>
            </w:pPr>
            <w:r>
              <w:rPr>
                <w:kern w:val="0"/>
                <w:szCs w:val="21"/>
                <w:lang w:bidi="ar"/>
              </w:rPr>
              <w:t>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4A86EF0">
            <w:pPr>
              <w:widowControl/>
              <w:jc w:val="right"/>
              <w:textAlignment w:val="center"/>
              <w:rPr>
                <w:szCs w:val="21"/>
              </w:rPr>
            </w:pPr>
            <w:r>
              <w:rPr>
                <w:kern w:val="0"/>
                <w:szCs w:val="21"/>
                <w:lang w:bidi="ar"/>
              </w:rPr>
              <w:t>84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BC67857">
            <w:pPr>
              <w:widowControl/>
              <w:jc w:val="right"/>
              <w:textAlignment w:val="center"/>
              <w:rPr>
                <w:szCs w:val="21"/>
              </w:rPr>
            </w:pPr>
            <w:r>
              <w:rPr>
                <w:kern w:val="0"/>
                <w:szCs w:val="21"/>
                <w:lang w:bidi="ar"/>
              </w:rPr>
              <w:t>119</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45D9F62">
            <w:pPr>
              <w:widowControl/>
              <w:jc w:val="right"/>
              <w:textAlignment w:val="center"/>
              <w:rPr>
                <w:szCs w:val="21"/>
              </w:rPr>
            </w:pPr>
            <w:r>
              <w:rPr>
                <w:kern w:val="0"/>
                <w:szCs w:val="21"/>
                <w:lang w:bidi="ar"/>
              </w:rPr>
              <w:t>30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E11D5EE">
            <w:pPr>
              <w:widowControl/>
              <w:jc w:val="right"/>
              <w:textAlignment w:val="center"/>
              <w:rPr>
                <w:szCs w:val="21"/>
              </w:rPr>
            </w:pPr>
            <w:r>
              <w:rPr>
                <w:kern w:val="0"/>
                <w:szCs w:val="21"/>
                <w:lang w:bidi="ar"/>
              </w:rPr>
              <w:t>30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F80D133">
            <w:pPr>
              <w:widowControl/>
              <w:jc w:val="right"/>
              <w:textAlignment w:val="center"/>
              <w:rPr>
                <w:szCs w:val="21"/>
              </w:rPr>
            </w:pPr>
            <w:r>
              <w:rPr>
                <w:kern w:val="0"/>
                <w:szCs w:val="21"/>
                <w:lang w:bidi="ar"/>
              </w:rPr>
              <w:t xml:space="preserve">26.5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F72DD2F">
            <w:pPr>
              <w:widowControl/>
              <w:jc w:val="right"/>
              <w:textAlignment w:val="center"/>
              <w:rPr>
                <w:szCs w:val="21"/>
              </w:rPr>
            </w:pPr>
            <w:r>
              <w:rPr>
                <w:kern w:val="0"/>
                <w:szCs w:val="21"/>
                <w:lang w:bidi="ar"/>
              </w:rPr>
              <w:t xml:space="preserve">23.5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186C75A">
            <w:pPr>
              <w:widowControl/>
              <w:jc w:val="right"/>
              <w:textAlignment w:val="center"/>
              <w:rPr>
                <w:szCs w:val="21"/>
              </w:rPr>
            </w:pPr>
            <w:r>
              <w:rPr>
                <w:kern w:val="0"/>
                <w:szCs w:val="21"/>
                <w:lang w:bidi="ar"/>
              </w:rPr>
              <w:t xml:space="preserve">35.5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4681847D">
            <w:pPr>
              <w:widowControl/>
              <w:jc w:val="right"/>
              <w:textAlignment w:val="center"/>
              <w:rPr>
                <w:szCs w:val="21"/>
              </w:rPr>
            </w:pPr>
            <w:r>
              <w:rPr>
                <w:kern w:val="0"/>
                <w:szCs w:val="21"/>
                <w:lang w:bidi="ar"/>
              </w:rPr>
              <w:t xml:space="preserve">35.5 </w:t>
            </w:r>
          </w:p>
        </w:tc>
      </w:tr>
      <w:tr w14:paraId="068D9C57">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7E4B8DA9">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1AC0AB2">
            <w:pPr>
              <w:widowControl/>
              <w:jc w:val="center"/>
              <w:textAlignment w:val="center"/>
              <w:rPr>
                <w:szCs w:val="21"/>
              </w:rPr>
            </w:pPr>
            <w:r>
              <w:rPr>
                <w:kern w:val="0"/>
                <w:szCs w:val="21"/>
                <w:lang w:bidi="ar"/>
              </w:rPr>
              <w:t>风机</w:t>
            </w:r>
          </w:p>
        </w:tc>
        <w:tc>
          <w:tcPr>
            <w:tcW w:w="575" w:type="pct"/>
            <w:vMerge w:val="continue"/>
            <w:tcBorders>
              <w:top w:val="single" w:color="000000" w:sz="4" w:space="0"/>
              <w:left w:val="single" w:color="000000" w:sz="4" w:space="0"/>
              <w:bottom w:val="single" w:color="000000" w:sz="4" w:space="0"/>
              <w:right w:val="single" w:color="000000" w:sz="4" w:space="0"/>
            </w:tcBorders>
            <w:noWrap/>
            <w:vAlign w:val="center"/>
          </w:tcPr>
          <w:p w14:paraId="4CBFD8EE">
            <w:pPr>
              <w:jc w:val="center"/>
              <w:rPr>
                <w:szCs w:val="21"/>
              </w:rPr>
            </w:pP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33294A2">
            <w:pPr>
              <w:widowControl/>
              <w:jc w:val="right"/>
              <w:textAlignment w:val="center"/>
              <w:rPr>
                <w:szCs w:val="21"/>
              </w:rPr>
            </w:pPr>
            <w:r>
              <w:rPr>
                <w:kern w:val="0"/>
                <w:szCs w:val="21"/>
                <w:lang w:bidi="ar"/>
              </w:rPr>
              <w:t>84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A1D3D21">
            <w:pPr>
              <w:widowControl/>
              <w:jc w:val="right"/>
              <w:textAlignment w:val="center"/>
              <w:rPr>
                <w:szCs w:val="21"/>
              </w:rPr>
            </w:pPr>
            <w:r>
              <w:rPr>
                <w:kern w:val="0"/>
                <w:szCs w:val="21"/>
                <w:lang w:bidi="ar"/>
              </w:rPr>
              <w:t>119</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FC2E24F">
            <w:pPr>
              <w:widowControl/>
              <w:jc w:val="right"/>
              <w:textAlignment w:val="center"/>
              <w:rPr>
                <w:szCs w:val="21"/>
              </w:rPr>
            </w:pPr>
            <w:r>
              <w:rPr>
                <w:kern w:val="0"/>
                <w:szCs w:val="21"/>
                <w:lang w:bidi="ar"/>
              </w:rPr>
              <w:t>30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44348D3D">
            <w:pPr>
              <w:widowControl/>
              <w:jc w:val="right"/>
              <w:textAlignment w:val="center"/>
              <w:rPr>
                <w:szCs w:val="21"/>
              </w:rPr>
            </w:pPr>
            <w:r>
              <w:rPr>
                <w:kern w:val="0"/>
                <w:szCs w:val="21"/>
                <w:lang w:bidi="ar"/>
              </w:rPr>
              <w:t>30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8EF1C59">
            <w:pPr>
              <w:widowControl/>
              <w:jc w:val="right"/>
              <w:textAlignment w:val="center"/>
              <w:rPr>
                <w:szCs w:val="21"/>
              </w:rPr>
            </w:pPr>
            <w:r>
              <w:rPr>
                <w:kern w:val="0"/>
                <w:szCs w:val="21"/>
                <w:lang w:bidi="ar"/>
              </w:rPr>
              <w:t xml:space="preserve">26.5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7ECC13E">
            <w:pPr>
              <w:widowControl/>
              <w:jc w:val="right"/>
              <w:textAlignment w:val="center"/>
              <w:rPr>
                <w:szCs w:val="21"/>
              </w:rPr>
            </w:pPr>
            <w:r>
              <w:rPr>
                <w:kern w:val="0"/>
                <w:szCs w:val="21"/>
                <w:lang w:bidi="ar"/>
              </w:rPr>
              <w:t xml:space="preserve">23.5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84ACEBF">
            <w:pPr>
              <w:widowControl/>
              <w:jc w:val="right"/>
              <w:textAlignment w:val="center"/>
              <w:rPr>
                <w:szCs w:val="21"/>
              </w:rPr>
            </w:pPr>
            <w:r>
              <w:rPr>
                <w:kern w:val="0"/>
                <w:szCs w:val="21"/>
                <w:lang w:bidi="ar"/>
              </w:rPr>
              <w:t xml:space="preserve">35.5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65361A61">
            <w:pPr>
              <w:widowControl/>
              <w:jc w:val="right"/>
              <w:textAlignment w:val="center"/>
              <w:rPr>
                <w:szCs w:val="21"/>
              </w:rPr>
            </w:pPr>
            <w:r>
              <w:rPr>
                <w:kern w:val="0"/>
                <w:szCs w:val="21"/>
                <w:lang w:bidi="ar"/>
              </w:rPr>
              <w:t xml:space="preserve">35.5 </w:t>
            </w:r>
          </w:p>
        </w:tc>
      </w:tr>
      <w:tr w14:paraId="3150271A">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15516F82">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7F9C77B1">
            <w:pPr>
              <w:widowControl/>
              <w:jc w:val="center"/>
              <w:textAlignment w:val="center"/>
              <w:rPr>
                <w:szCs w:val="21"/>
              </w:rPr>
            </w:pPr>
            <w:r>
              <w:rPr>
                <w:kern w:val="0"/>
                <w:szCs w:val="21"/>
                <w:lang w:bidi="ar"/>
              </w:rPr>
              <w:t>水泵</w:t>
            </w:r>
          </w:p>
        </w:tc>
        <w:tc>
          <w:tcPr>
            <w:tcW w:w="575" w:type="pct"/>
            <w:vMerge w:val="continue"/>
            <w:tcBorders>
              <w:top w:val="single" w:color="000000" w:sz="4" w:space="0"/>
              <w:left w:val="single" w:color="000000" w:sz="4" w:space="0"/>
              <w:bottom w:val="single" w:color="000000" w:sz="4" w:space="0"/>
              <w:right w:val="single" w:color="000000" w:sz="4" w:space="0"/>
            </w:tcBorders>
            <w:noWrap/>
            <w:vAlign w:val="center"/>
          </w:tcPr>
          <w:p w14:paraId="5D7FF483">
            <w:pPr>
              <w:jc w:val="center"/>
              <w:rPr>
                <w:szCs w:val="21"/>
              </w:rPr>
            </w:pP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F129E79">
            <w:pPr>
              <w:widowControl/>
              <w:jc w:val="right"/>
              <w:textAlignment w:val="center"/>
              <w:rPr>
                <w:szCs w:val="21"/>
              </w:rPr>
            </w:pPr>
            <w:r>
              <w:rPr>
                <w:kern w:val="0"/>
                <w:szCs w:val="21"/>
                <w:lang w:bidi="ar"/>
              </w:rPr>
              <w:t>120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C4813C1">
            <w:pPr>
              <w:widowControl/>
              <w:jc w:val="right"/>
              <w:textAlignment w:val="center"/>
              <w:rPr>
                <w:szCs w:val="21"/>
              </w:rPr>
            </w:pPr>
            <w:r>
              <w:rPr>
                <w:kern w:val="0"/>
                <w:szCs w:val="21"/>
                <w:lang w:bidi="ar"/>
              </w:rPr>
              <w:t>128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81628EC">
            <w:pPr>
              <w:widowControl/>
              <w:jc w:val="right"/>
              <w:textAlignment w:val="center"/>
              <w:rPr>
                <w:szCs w:val="21"/>
              </w:rPr>
            </w:pPr>
            <w:r>
              <w:rPr>
                <w:kern w:val="0"/>
                <w:szCs w:val="21"/>
                <w:lang w:bidi="ar"/>
              </w:rPr>
              <w:t>10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016FC48">
            <w:pPr>
              <w:widowControl/>
              <w:jc w:val="right"/>
              <w:textAlignment w:val="center"/>
              <w:rPr>
                <w:szCs w:val="21"/>
              </w:rPr>
            </w:pPr>
            <w:r>
              <w:rPr>
                <w:kern w:val="0"/>
                <w:szCs w:val="21"/>
                <w:lang w:bidi="ar"/>
              </w:rPr>
              <w:t>15</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BB656B1">
            <w:pPr>
              <w:widowControl/>
              <w:jc w:val="right"/>
              <w:textAlignment w:val="center"/>
              <w:rPr>
                <w:szCs w:val="21"/>
              </w:rPr>
            </w:pPr>
            <w:r>
              <w:rPr>
                <w:kern w:val="0"/>
                <w:szCs w:val="21"/>
                <w:lang w:bidi="ar"/>
              </w:rPr>
              <w:t xml:space="preserve">23.4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35A9A4D">
            <w:pPr>
              <w:widowControl/>
              <w:jc w:val="right"/>
              <w:textAlignment w:val="center"/>
              <w:rPr>
                <w:szCs w:val="21"/>
              </w:rPr>
            </w:pPr>
            <w:r>
              <w:rPr>
                <w:kern w:val="0"/>
                <w:szCs w:val="21"/>
                <w:lang w:bidi="ar"/>
              </w:rPr>
              <w:t xml:space="preserve">22.9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5DF6F9D">
            <w:pPr>
              <w:widowControl/>
              <w:jc w:val="right"/>
              <w:textAlignment w:val="center"/>
              <w:rPr>
                <w:szCs w:val="21"/>
              </w:rPr>
            </w:pPr>
            <w:r>
              <w:rPr>
                <w:kern w:val="0"/>
                <w:szCs w:val="21"/>
                <w:lang w:bidi="ar"/>
              </w:rPr>
              <w:t xml:space="preserve">45.0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4E12C63A">
            <w:pPr>
              <w:widowControl/>
              <w:jc w:val="right"/>
              <w:textAlignment w:val="center"/>
              <w:rPr>
                <w:szCs w:val="21"/>
              </w:rPr>
            </w:pPr>
            <w:r>
              <w:rPr>
                <w:kern w:val="0"/>
                <w:szCs w:val="21"/>
                <w:lang w:bidi="ar"/>
              </w:rPr>
              <w:t xml:space="preserve">41.5 </w:t>
            </w:r>
          </w:p>
        </w:tc>
      </w:tr>
      <w:tr w14:paraId="72DC4C7D">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0DAE8C7A">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72DF0352">
            <w:pPr>
              <w:widowControl/>
              <w:jc w:val="center"/>
              <w:textAlignment w:val="center"/>
              <w:rPr>
                <w:szCs w:val="21"/>
              </w:rPr>
            </w:pPr>
            <w:r>
              <w:rPr>
                <w:kern w:val="0"/>
                <w:szCs w:val="21"/>
                <w:lang w:bidi="ar"/>
              </w:rPr>
              <w:t>固液分离机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B629B4C">
            <w:pPr>
              <w:widowControl/>
              <w:jc w:val="center"/>
              <w:textAlignment w:val="center"/>
              <w:rPr>
                <w:szCs w:val="21"/>
              </w:rPr>
            </w:pPr>
            <w:r>
              <w:rPr>
                <w:kern w:val="0"/>
                <w:szCs w:val="21"/>
                <w:lang w:bidi="ar"/>
              </w:rPr>
              <w:t>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AD74CBF">
            <w:pPr>
              <w:widowControl/>
              <w:jc w:val="right"/>
              <w:textAlignment w:val="center"/>
              <w:rPr>
                <w:szCs w:val="21"/>
              </w:rPr>
            </w:pPr>
            <w:r>
              <w:rPr>
                <w:kern w:val="0"/>
                <w:szCs w:val="21"/>
                <w:lang w:bidi="ar"/>
              </w:rPr>
              <w:t>54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6171E0A">
            <w:pPr>
              <w:widowControl/>
              <w:jc w:val="right"/>
              <w:textAlignment w:val="center"/>
              <w:rPr>
                <w:szCs w:val="21"/>
              </w:rPr>
            </w:pPr>
            <w:r>
              <w:rPr>
                <w:kern w:val="0"/>
                <w:szCs w:val="21"/>
                <w:lang w:bidi="ar"/>
              </w:rPr>
              <w:t>110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4E36DCC">
            <w:pPr>
              <w:widowControl/>
              <w:jc w:val="right"/>
              <w:textAlignment w:val="center"/>
              <w:rPr>
                <w:szCs w:val="21"/>
              </w:rPr>
            </w:pPr>
            <w:r>
              <w:rPr>
                <w:kern w:val="0"/>
                <w:szCs w:val="21"/>
                <w:lang w:bidi="ar"/>
              </w:rPr>
              <w:t>70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2CDAFDE">
            <w:pPr>
              <w:widowControl/>
              <w:jc w:val="right"/>
              <w:textAlignment w:val="center"/>
              <w:rPr>
                <w:szCs w:val="21"/>
              </w:rPr>
            </w:pPr>
            <w:r>
              <w:rPr>
                <w:kern w:val="0"/>
                <w:szCs w:val="21"/>
                <w:lang w:bidi="ar"/>
              </w:rPr>
              <w:t>36</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F1BC55C">
            <w:pPr>
              <w:widowControl/>
              <w:jc w:val="right"/>
              <w:textAlignment w:val="center"/>
              <w:rPr>
                <w:szCs w:val="21"/>
              </w:rPr>
            </w:pPr>
            <w:r>
              <w:rPr>
                <w:kern w:val="0"/>
                <w:szCs w:val="21"/>
                <w:lang w:bidi="ar"/>
              </w:rPr>
              <w:t xml:space="preserve">30.4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DBE7F72">
            <w:pPr>
              <w:widowControl/>
              <w:jc w:val="right"/>
              <w:textAlignment w:val="center"/>
              <w:rPr>
                <w:szCs w:val="21"/>
              </w:rPr>
            </w:pPr>
            <w:r>
              <w:rPr>
                <w:kern w:val="0"/>
                <w:szCs w:val="21"/>
                <w:lang w:bidi="ar"/>
              </w:rPr>
              <w:t xml:space="preserve">24.2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A59CAE4">
            <w:pPr>
              <w:widowControl/>
              <w:jc w:val="right"/>
              <w:textAlignment w:val="center"/>
              <w:rPr>
                <w:szCs w:val="21"/>
              </w:rPr>
            </w:pPr>
            <w:r>
              <w:rPr>
                <w:kern w:val="0"/>
                <w:szCs w:val="21"/>
                <w:lang w:bidi="ar"/>
              </w:rPr>
              <w:t xml:space="preserve">28.1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FA4B413">
            <w:pPr>
              <w:widowControl/>
              <w:jc w:val="right"/>
              <w:textAlignment w:val="center"/>
              <w:rPr>
                <w:szCs w:val="21"/>
              </w:rPr>
            </w:pPr>
            <w:r>
              <w:rPr>
                <w:kern w:val="0"/>
                <w:szCs w:val="21"/>
                <w:lang w:bidi="ar"/>
              </w:rPr>
              <w:t xml:space="preserve">33.9 </w:t>
            </w:r>
          </w:p>
        </w:tc>
      </w:tr>
      <w:tr w14:paraId="5FEB087E">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03450746">
            <w:pPr>
              <w:widowControl/>
              <w:jc w:val="center"/>
              <w:textAlignment w:val="center"/>
              <w:rPr>
                <w:szCs w:val="21"/>
              </w:rPr>
            </w:pPr>
            <w:r>
              <w:rPr>
                <w:kern w:val="0"/>
                <w:szCs w:val="21"/>
                <w:lang w:bidi="ar"/>
              </w:rPr>
              <w:t>厂界叠加值</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D125BF0">
            <w:pPr>
              <w:widowControl/>
              <w:jc w:val="right"/>
              <w:textAlignment w:val="center"/>
              <w:rPr>
                <w:szCs w:val="21"/>
              </w:rPr>
            </w:pPr>
            <w:r>
              <w:rPr>
                <w:kern w:val="0"/>
                <w:szCs w:val="21"/>
                <w:lang w:bidi="ar"/>
              </w:rPr>
              <w:t xml:space="preserve">44.1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D816333">
            <w:pPr>
              <w:widowControl/>
              <w:jc w:val="right"/>
              <w:textAlignment w:val="center"/>
              <w:rPr>
                <w:szCs w:val="21"/>
              </w:rPr>
            </w:pPr>
            <w:r>
              <w:rPr>
                <w:kern w:val="0"/>
                <w:szCs w:val="21"/>
                <w:lang w:bidi="ar"/>
              </w:rPr>
              <w:t xml:space="preserve">37.4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F109849">
            <w:pPr>
              <w:widowControl/>
              <w:jc w:val="right"/>
              <w:textAlignment w:val="center"/>
              <w:rPr>
                <w:szCs w:val="21"/>
              </w:rPr>
            </w:pPr>
            <w:r>
              <w:rPr>
                <w:kern w:val="0"/>
                <w:szCs w:val="21"/>
                <w:lang w:bidi="ar"/>
              </w:rPr>
              <w:t xml:space="preserve">47.8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6E9E9DFC">
            <w:pPr>
              <w:widowControl/>
              <w:jc w:val="right"/>
              <w:textAlignment w:val="center"/>
              <w:rPr>
                <w:szCs w:val="21"/>
              </w:rPr>
            </w:pPr>
            <w:r>
              <w:rPr>
                <w:kern w:val="0"/>
                <w:szCs w:val="21"/>
                <w:lang w:bidi="ar"/>
              </w:rPr>
              <w:t xml:space="preserve">47.2 </w:t>
            </w:r>
          </w:p>
        </w:tc>
      </w:tr>
      <w:tr w14:paraId="7859287E">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17FE3795">
            <w:pPr>
              <w:widowControl/>
              <w:jc w:val="center"/>
              <w:textAlignment w:val="center"/>
              <w:rPr>
                <w:szCs w:val="21"/>
              </w:rPr>
            </w:pPr>
            <w:r>
              <w:rPr>
                <w:kern w:val="0"/>
                <w:szCs w:val="21"/>
                <w:lang w:bidi="ar"/>
              </w:rPr>
              <w:t>标准值</w:t>
            </w:r>
          </w:p>
        </w:tc>
        <w:tc>
          <w:tcPr>
            <w:tcW w:w="1831" w:type="pct"/>
            <w:gridSpan w:val="4"/>
            <w:tcBorders>
              <w:top w:val="single" w:color="000000" w:sz="4" w:space="0"/>
              <w:left w:val="single" w:color="000000" w:sz="4" w:space="0"/>
              <w:bottom w:val="single" w:color="000000" w:sz="4" w:space="0"/>
              <w:right w:val="single" w:color="000000" w:sz="4" w:space="0"/>
            </w:tcBorders>
            <w:noWrap/>
            <w:vAlign w:val="center"/>
          </w:tcPr>
          <w:p w14:paraId="797435B7">
            <w:pPr>
              <w:widowControl/>
              <w:jc w:val="center"/>
              <w:textAlignment w:val="center"/>
              <w:rPr>
                <w:szCs w:val="21"/>
              </w:rPr>
            </w:pPr>
            <w:r>
              <w:rPr>
                <w:kern w:val="0"/>
                <w:szCs w:val="21"/>
                <w:lang w:bidi="ar"/>
              </w:rPr>
              <w:t>昼间≤60、夜间≤50</w:t>
            </w:r>
          </w:p>
        </w:tc>
      </w:tr>
      <w:tr w14:paraId="71C44629">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4159D54D">
            <w:pPr>
              <w:widowControl/>
              <w:jc w:val="center"/>
              <w:textAlignment w:val="center"/>
              <w:rPr>
                <w:szCs w:val="21"/>
              </w:rPr>
            </w:pPr>
            <w:r>
              <w:rPr>
                <w:kern w:val="0"/>
                <w:szCs w:val="21"/>
                <w:lang w:bidi="ar"/>
              </w:rPr>
              <w:t>达标情况</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16C0F41">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314975F">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BEFD7B9">
            <w:pPr>
              <w:widowControl/>
              <w:jc w:val="left"/>
              <w:textAlignment w:val="center"/>
              <w:rPr>
                <w:szCs w:val="21"/>
              </w:rPr>
            </w:pPr>
            <w:r>
              <w:rPr>
                <w:kern w:val="0"/>
                <w:szCs w:val="21"/>
                <w:lang w:bidi="ar"/>
              </w:rPr>
              <w:t>达标</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7B1A8938">
            <w:pPr>
              <w:widowControl/>
              <w:jc w:val="left"/>
              <w:textAlignment w:val="center"/>
              <w:rPr>
                <w:szCs w:val="21"/>
              </w:rPr>
            </w:pPr>
            <w:r>
              <w:rPr>
                <w:kern w:val="0"/>
                <w:szCs w:val="21"/>
                <w:lang w:bidi="ar"/>
              </w:rPr>
              <w:t>达标</w:t>
            </w:r>
          </w:p>
        </w:tc>
      </w:tr>
      <w:tr w14:paraId="3A9D3EE3">
        <w:tblPrEx>
          <w:tblCellMar>
            <w:top w:w="0" w:type="dxa"/>
            <w:left w:w="108" w:type="dxa"/>
            <w:bottom w:w="0" w:type="dxa"/>
            <w:right w:w="108" w:type="dxa"/>
          </w:tblCellMar>
        </w:tblPrEx>
        <w:trPr>
          <w:trHeight w:val="285" w:hRule="atLeast"/>
        </w:trPr>
        <w:tc>
          <w:tcPr>
            <w:tcW w:w="531" w:type="pct"/>
            <w:vMerge w:val="restart"/>
            <w:tcBorders>
              <w:top w:val="single" w:color="000000" w:sz="4" w:space="0"/>
              <w:left w:val="single" w:color="000000" w:sz="4" w:space="0"/>
              <w:bottom w:val="single" w:color="000000" w:sz="4" w:space="0"/>
              <w:right w:val="single" w:color="000000" w:sz="4" w:space="0"/>
            </w:tcBorders>
            <w:noWrap/>
            <w:vAlign w:val="center"/>
          </w:tcPr>
          <w:p w14:paraId="5D8A33BA">
            <w:pPr>
              <w:widowControl/>
              <w:jc w:val="center"/>
              <w:textAlignment w:val="center"/>
              <w:rPr>
                <w:szCs w:val="21"/>
              </w:rPr>
            </w:pPr>
            <w:r>
              <w:rPr>
                <w:kern w:val="0"/>
                <w:szCs w:val="21"/>
                <w:lang w:bidi="ar"/>
              </w:rPr>
              <w:t>2号地</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34743D33">
            <w:pPr>
              <w:widowControl/>
              <w:jc w:val="center"/>
              <w:textAlignment w:val="center"/>
              <w:rPr>
                <w:szCs w:val="21"/>
              </w:rPr>
            </w:pPr>
            <w:r>
              <w:rPr>
                <w:kern w:val="0"/>
                <w:szCs w:val="21"/>
                <w:lang w:bidi="ar"/>
              </w:rPr>
              <w:t>猪只叫声</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3671FEB">
            <w:pPr>
              <w:widowControl/>
              <w:jc w:val="center"/>
              <w:textAlignment w:val="center"/>
              <w:rPr>
                <w:szCs w:val="21"/>
              </w:rPr>
            </w:pPr>
            <w:r>
              <w:rPr>
                <w:kern w:val="0"/>
                <w:szCs w:val="21"/>
                <w:lang w:bidi="ar"/>
              </w:rPr>
              <w:t>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00044E0">
            <w:pPr>
              <w:widowControl/>
              <w:jc w:val="right"/>
              <w:textAlignment w:val="center"/>
              <w:rPr>
                <w:szCs w:val="21"/>
              </w:rPr>
            </w:pPr>
            <w:r>
              <w:rPr>
                <w:kern w:val="0"/>
                <w:szCs w:val="21"/>
                <w:lang w:bidi="ar"/>
              </w:rPr>
              <w:t>22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2F0DFB7">
            <w:pPr>
              <w:widowControl/>
              <w:jc w:val="right"/>
              <w:textAlignment w:val="center"/>
              <w:rPr>
                <w:szCs w:val="21"/>
              </w:rPr>
            </w:pPr>
            <w:r>
              <w:rPr>
                <w:kern w:val="0"/>
                <w:szCs w:val="21"/>
                <w:lang w:bidi="ar"/>
              </w:rPr>
              <w:t>20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911E9FF">
            <w:pPr>
              <w:widowControl/>
              <w:jc w:val="right"/>
              <w:textAlignment w:val="center"/>
              <w:rPr>
                <w:szCs w:val="21"/>
              </w:rPr>
            </w:pPr>
            <w:r>
              <w:rPr>
                <w:kern w:val="0"/>
                <w:szCs w:val="21"/>
                <w:lang w:bidi="ar"/>
              </w:rPr>
              <w:t>40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690EE55E">
            <w:pPr>
              <w:widowControl/>
              <w:jc w:val="right"/>
              <w:textAlignment w:val="center"/>
              <w:rPr>
                <w:szCs w:val="21"/>
              </w:rPr>
            </w:pPr>
            <w:r>
              <w:rPr>
                <w:kern w:val="0"/>
                <w:szCs w:val="21"/>
                <w:lang w:bidi="ar"/>
              </w:rPr>
              <w:t>30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84E5EF4">
            <w:pPr>
              <w:widowControl/>
              <w:jc w:val="right"/>
              <w:textAlignment w:val="center"/>
              <w:rPr>
                <w:szCs w:val="21"/>
              </w:rPr>
            </w:pPr>
            <w:r>
              <w:rPr>
                <w:kern w:val="0"/>
                <w:szCs w:val="21"/>
                <w:lang w:bidi="ar"/>
              </w:rPr>
              <w:t xml:space="preserve">38.2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D4C73C5">
            <w:pPr>
              <w:widowControl/>
              <w:jc w:val="right"/>
              <w:textAlignment w:val="center"/>
              <w:rPr>
                <w:szCs w:val="21"/>
              </w:rPr>
            </w:pPr>
            <w:r>
              <w:rPr>
                <w:kern w:val="0"/>
                <w:szCs w:val="21"/>
                <w:lang w:bidi="ar"/>
              </w:rPr>
              <w:t xml:space="preserve">39.0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AE4231E">
            <w:pPr>
              <w:widowControl/>
              <w:jc w:val="right"/>
              <w:textAlignment w:val="center"/>
              <w:rPr>
                <w:szCs w:val="21"/>
              </w:rPr>
            </w:pPr>
            <w:r>
              <w:rPr>
                <w:kern w:val="0"/>
                <w:szCs w:val="21"/>
                <w:lang w:bidi="ar"/>
              </w:rPr>
              <w:t xml:space="preserve">33.0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0440BD1">
            <w:pPr>
              <w:widowControl/>
              <w:jc w:val="right"/>
              <w:textAlignment w:val="center"/>
              <w:rPr>
                <w:szCs w:val="21"/>
              </w:rPr>
            </w:pPr>
            <w:r>
              <w:rPr>
                <w:kern w:val="0"/>
                <w:szCs w:val="21"/>
                <w:lang w:bidi="ar"/>
              </w:rPr>
              <w:t xml:space="preserve">35.5 </w:t>
            </w:r>
          </w:p>
        </w:tc>
      </w:tr>
      <w:tr w14:paraId="54BCB793">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51D98C82">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46D54297">
            <w:pPr>
              <w:widowControl/>
              <w:jc w:val="center"/>
              <w:textAlignment w:val="center"/>
              <w:rPr>
                <w:szCs w:val="21"/>
              </w:rPr>
            </w:pPr>
            <w:r>
              <w:rPr>
                <w:kern w:val="0"/>
                <w:szCs w:val="21"/>
                <w:lang w:bidi="ar"/>
              </w:rPr>
              <w:t>猪舍排风扇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F410198">
            <w:pPr>
              <w:widowControl/>
              <w:jc w:val="center"/>
              <w:textAlignment w:val="center"/>
              <w:rPr>
                <w:szCs w:val="21"/>
              </w:rPr>
            </w:pPr>
            <w:r>
              <w:rPr>
                <w:kern w:val="0"/>
                <w:szCs w:val="21"/>
                <w:lang w:bidi="ar"/>
              </w:rPr>
              <w:t>30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85D01A2">
            <w:pPr>
              <w:widowControl/>
              <w:jc w:val="right"/>
              <w:textAlignment w:val="center"/>
              <w:rPr>
                <w:szCs w:val="21"/>
              </w:rPr>
            </w:pPr>
            <w:r>
              <w:rPr>
                <w:kern w:val="0"/>
                <w:szCs w:val="21"/>
                <w:lang w:bidi="ar"/>
              </w:rPr>
              <w:t>27</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5B7CF29">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E0329ED">
            <w:pPr>
              <w:widowControl/>
              <w:jc w:val="right"/>
              <w:textAlignment w:val="center"/>
              <w:rPr>
                <w:szCs w:val="21"/>
              </w:rPr>
            </w:pPr>
            <w:r>
              <w:rPr>
                <w:kern w:val="0"/>
                <w:szCs w:val="21"/>
                <w:lang w:bidi="ar"/>
              </w:rPr>
              <w:t>45</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2E4145D3">
            <w:pPr>
              <w:widowControl/>
              <w:jc w:val="right"/>
              <w:textAlignment w:val="center"/>
              <w:rPr>
                <w:szCs w:val="21"/>
              </w:rPr>
            </w:pPr>
            <w:r>
              <w:rPr>
                <w:kern w:val="0"/>
                <w:szCs w:val="21"/>
                <w:lang w:bidi="ar"/>
              </w:rPr>
              <w:t>35</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DDD11C3">
            <w:pPr>
              <w:widowControl/>
              <w:jc w:val="right"/>
              <w:textAlignment w:val="center"/>
              <w:rPr>
                <w:szCs w:val="21"/>
              </w:rPr>
            </w:pPr>
            <w:r>
              <w:rPr>
                <w:kern w:val="0"/>
                <w:szCs w:val="21"/>
                <w:lang w:bidi="ar"/>
              </w:rPr>
              <w:t xml:space="preserve">31.4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6CBF04D">
            <w:pPr>
              <w:widowControl/>
              <w:jc w:val="right"/>
              <w:textAlignment w:val="center"/>
              <w:rPr>
                <w:szCs w:val="21"/>
              </w:rPr>
            </w:pPr>
            <w:r>
              <w:rPr>
                <w:kern w:val="0"/>
                <w:szCs w:val="21"/>
                <w:lang w:bidi="ar"/>
              </w:rPr>
              <w:t xml:space="preserve">32.0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C957EF0">
            <w:pPr>
              <w:widowControl/>
              <w:jc w:val="right"/>
              <w:textAlignment w:val="center"/>
              <w:rPr>
                <w:szCs w:val="21"/>
              </w:rPr>
            </w:pPr>
            <w:r>
              <w:rPr>
                <w:kern w:val="0"/>
                <w:szCs w:val="21"/>
                <w:lang w:bidi="ar"/>
              </w:rPr>
              <w:t xml:space="preserve">26.9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3D3148F3">
            <w:pPr>
              <w:widowControl/>
              <w:jc w:val="right"/>
              <w:textAlignment w:val="center"/>
              <w:rPr>
                <w:szCs w:val="21"/>
              </w:rPr>
            </w:pPr>
            <w:r>
              <w:rPr>
                <w:kern w:val="0"/>
                <w:szCs w:val="21"/>
                <w:lang w:bidi="ar"/>
              </w:rPr>
              <w:t xml:space="preserve">29.1 </w:t>
            </w:r>
          </w:p>
        </w:tc>
      </w:tr>
      <w:tr w14:paraId="0EAB7B01">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15380599">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5345FB4">
            <w:pPr>
              <w:widowControl/>
              <w:jc w:val="center"/>
              <w:textAlignment w:val="center"/>
              <w:rPr>
                <w:szCs w:val="21"/>
              </w:rPr>
            </w:pPr>
            <w:r>
              <w:rPr>
                <w:kern w:val="0"/>
                <w:szCs w:val="21"/>
                <w:lang w:bidi="ar"/>
              </w:rPr>
              <w:t>循环水泵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AA3D0D8">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E98F531">
            <w:pPr>
              <w:widowControl/>
              <w:jc w:val="right"/>
              <w:textAlignment w:val="center"/>
              <w:rPr>
                <w:szCs w:val="21"/>
              </w:rPr>
            </w:pPr>
            <w:r>
              <w:rPr>
                <w:kern w:val="0"/>
                <w:szCs w:val="21"/>
                <w:lang w:bidi="ar"/>
              </w:rPr>
              <w:t>107</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43A3BF9">
            <w:pPr>
              <w:widowControl/>
              <w:jc w:val="right"/>
              <w:textAlignment w:val="center"/>
              <w:rPr>
                <w:szCs w:val="21"/>
              </w:rPr>
            </w:pPr>
            <w:r>
              <w:rPr>
                <w:kern w:val="0"/>
                <w:szCs w:val="21"/>
                <w:lang w:bidi="ar"/>
              </w:rPr>
              <w:t>90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5DA4281">
            <w:pPr>
              <w:widowControl/>
              <w:jc w:val="right"/>
              <w:textAlignment w:val="center"/>
              <w:rPr>
                <w:szCs w:val="21"/>
              </w:rPr>
            </w:pPr>
            <w:r>
              <w:rPr>
                <w:kern w:val="0"/>
                <w:szCs w:val="21"/>
                <w:lang w:bidi="ar"/>
              </w:rPr>
              <w:t>20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48653093">
            <w:pPr>
              <w:widowControl/>
              <w:jc w:val="right"/>
              <w:textAlignment w:val="center"/>
              <w:rPr>
                <w:szCs w:val="21"/>
              </w:rPr>
            </w:pPr>
            <w:r>
              <w:rPr>
                <w:kern w:val="0"/>
                <w:szCs w:val="21"/>
                <w:lang w:bidi="ar"/>
              </w:rPr>
              <w:t>25</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F0A7B7C">
            <w:pPr>
              <w:widowControl/>
              <w:jc w:val="right"/>
              <w:textAlignment w:val="center"/>
              <w:rPr>
                <w:szCs w:val="21"/>
              </w:rPr>
            </w:pPr>
            <w:r>
              <w:rPr>
                <w:kern w:val="0"/>
                <w:szCs w:val="21"/>
                <w:lang w:bidi="ar"/>
              </w:rPr>
              <w:t xml:space="preserve">24.4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F7E027B">
            <w:pPr>
              <w:widowControl/>
              <w:jc w:val="right"/>
              <w:textAlignment w:val="center"/>
              <w:rPr>
                <w:szCs w:val="21"/>
              </w:rPr>
            </w:pPr>
            <w:r>
              <w:rPr>
                <w:kern w:val="0"/>
                <w:szCs w:val="21"/>
                <w:lang w:bidi="ar"/>
              </w:rPr>
              <w:t xml:space="preserve">25.9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C3CCD86">
            <w:pPr>
              <w:widowControl/>
              <w:jc w:val="right"/>
              <w:textAlignment w:val="center"/>
              <w:rPr>
                <w:szCs w:val="21"/>
              </w:rPr>
            </w:pPr>
            <w:r>
              <w:rPr>
                <w:kern w:val="0"/>
                <w:szCs w:val="21"/>
                <w:lang w:bidi="ar"/>
              </w:rPr>
              <w:t xml:space="preserve">39.0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3727BC47">
            <w:pPr>
              <w:widowControl/>
              <w:jc w:val="right"/>
              <w:textAlignment w:val="center"/>
              <w:rPr>
                <w:szCs w:val="21"/>
              </w:rPr>
            </w:pPr>
            <w:r>
              <w:rPr>
                <w:kern w:val="0"/>
                <w:szCs w:val="21"/>
                <w:lang w:bidi="ar"/>
              </w:rPr>
              <w:t xml:space="preserve">37.0 </w:t>
            </w:r>
          </w:p>
        </w:tc>
      </w:tr>
      <w:tr w14:paraId="03EB043F">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2DC47975">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37BF8C10">
            <w:pPr>
              <w:widowControl/>
              <w:jc w:val="center"/>
              <w:textAlignment w:val="center"/>
              <w:rPr>
                <w:szCs w:val="21"/>
              </w:rPr>
            </w:pPr>
            <w:r>
              <w:rPr>
                <w:kern w:val="0"/>
                <w:szCs w:val="21"/>
                <w:lang w:bidi="ar"/>
              </w:rPr>
              <w:t>风机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B4894C5">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0AEF268">
            <w:pPr>
              <w:widowControl/>
              <w:jc w:val="right"/>
              <w:textAlignment w:val="center"/>
              <w:rPr>
                <w:szCs w:val="21"/>
              </w:rPr>
            </w:pPr>
            <w:r>
              <w:rPr>
                <w:kern w:val="0"/>
                <w:szCs w:val="21"/>
                <w:lang w:bidi="ar"/>
              </w:rPr>
              <w:t>50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14F772C">
            <w:pPr>
              <w:widowControl/>
              <w:jc w:val="right"/>
              <w:textAlignment w:val="center"/>
              <w:rPr>
                <w:szCs w:val="21"/>
              </w:rPr>
            </w:pPr>
            <w:r>
              <w:rPr>
                <w:kern w:val="0"/>
                <w:szCs w:val="21"/>
                <w:lang w:bidi="ar"/>
              </w:rPr>
              <w:t>85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65F46C6">
            <w:pPr>
              <w:widowControl/>
              <w:jc w:val="right"/>
              <w:textAlignment w:val="center"/>
              <w:rPr>
                <w:szCs w:val="21"/>
              </w:rPr>
            </w:pPr>
            <w:r>
              <w:rPr>
                <w:kern w:val="0"/>
                <w:szCs w:val="21"/>
                <w:lang w:bidi="ar"/>
              </w:rPr>
              <w:t>48</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28F2EC3C">
            <w:pPr>
              <w:widowControl/>
              <w:jc w:val="right"/>
              <w:textAlignment w:val="center"/>
              <w:rPr>
                <w:szCs w:val="21"/>
              </w:rPr>
            </w:pPr>
            <w:r>
              <w:rPr>
                <w:kern w:val="0"/>
                <w:szCs w:val="21"/>
                <w:lang w:bidi="ar"/>
              </w:rPr>
              <w:t>10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46ECAA6">
            <w:pPr>
              <w:widowControl/>
              <w:jc w:val="right"/>
              <w:textAlignment w:val="center"/>
              <w:rPr>
                <w:szCs w:val="21"/>
              </w:rPr>
            </w:pPr>
            <w:r>
              <w:rPr>
                <w:kern w:val="0"/>
                <w:szCs w:val="21"/>
                <w:lang w:bidi="ar"/>
              </w:rPr>
              <w:t xml:space="preserve">31.0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1D0D2F6">
            <w:pPr>
              <w:widowControl/>
              <w:jc w:val="right"/>
              <w:textAlignment w:val="center"/>
              <w:rPr>
                <w:szCs w:val="21"/>
              </w:rPr>
            </w:pPr>
            <w:r>
              <w:rPr>
                <w:kern w:val="0"/>
                <w:szCs w:val="21"/>
                <w:lang w:bidi="ar"/>
              </w:rPr>
              <w:t xml:space="preserve">26.4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5CBCA3A">
            <w:pPr>
              <w:widowControl/>
              <w:jc w:val="right"/>
              <w:textAlignment w:val="center"/>
              <w:rPr>
                <w:szCs w:val="21"/>
              </w:rPr>
            </w:pPr>
            <w:r>
              <w:rPr>
                <w:kern w:val="0"/>
                <w:szCs w:val="21"/>
                <w:lang w:bidi="ar"/>
              </w:rPr>
              <w:t xml:space="preserve">31.4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894DC23">
            <w:pPr>
              <w:widowControl/>
              <w:jc w:val="right"/>
              <w:textAlignment w:val="center"/>
              <w:rPr>
                <w:szCs w:val="21"/>
              </w:rPr>
            </w:pPr>
            <w:r>
              <w:rPr>
                <w:kern w:val="0"/>
                <w:szCs w:val="21"/>
                <w:lang w:bidi="ar"/>
              </w:rPr>
              <w:t xml:space="preserve">45.0 </w:t>
            </w:r>
          </w:p>
        </w:tc>
      </w:tr>
      <w:tr w14:paraId="39B98FDA">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37181E3B">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6828E33">
            <w:pPr>
              <w:widowControl/>
              <w:jc w:val="center"/>
              <w:textAlignment w:val="center"/>
              <w:rPr>
                <w:szCs w:val="21"/>
              </w:rPr>
            </w:pPr>
            <w:r>
              <w:rPr>
                <w:kern w:val="0"/>
                <w:szCs w:val="21"/>
                <w:lang w:bidi="ar"/>
              </w:rPr>
              <w:t>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724CE1D">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F4BC654">
            <w:pPr>
              <w:widowControl/>
              <w:jc w:val="right"/>
              <w:textAlignment w:val="center"/>
              <w:rPr>
                <w:szCs w:val="21"/>
              </w:rPr>
            </w:pPr>
            <w:r>
              <w:rPr>
                <w:kern w:val="0"/>
                <w:szCs w:val="21"/>
                <w:lang w:bidi="ar"/>
              </w:rPr>
              <w:t>154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C531230">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A1FD766">
            <w:pPr>
              <w:widowControl/>
              <w:jc w:val="right"/>
              <w:textAlignment w:val="center"/>
              <w:rPr>
                <w:szCs w:val="21"/>
              </w:rPr>
            </w:pPr>
            <w:r>
              <w:rPr>
                <w:kern w:val="0"/>
                <w:szCs w:val="21"/>
                <w:lang w:bidi="ar"/>
              </w:rPr>
              <w:t>16</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395F3DE">
            <w:pPr>
              <w:widowControl/>
              <w:jc w:val="right"/>
              <w:textAlignment w:val="center"/>
              <w:rPr>
                <w:szCs w:val="21"/>
              </w:rPr>
            </w:pPr>
            <w:r>
              <w:rPr>
                <w:kern w:val="0"/>
                <w:szCs w:val="21"/>
                <w:lang w:bidi="ar"/>
              </w:rPr>
              <w:t>68</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85C0CAB">
            <w:pPr>
              <w:widowControl/>
              <w:jc w:val="right"/>
              <w:textAlignment w:val="center"/>
              <w:rPr>
                <w:szCs w:val="21"/>
              </w:rPr>
            </w:pPr>
            <w:r>
              <w:rPr>
                <w:kern w:val="0"/>
                <w:szCs w:val="21"/>
                <w:lang w:bidi="ar"/>
              </w:rPr>
              <w:t xml:space="preserve">21.2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22DAA46">
            <w:pPr>
              <w:widowControl/>
              <w:jc w:val="right"/>
              <w:textAlignment w:val="center"/>
              <w:rPr>
                <w:szCs w:val="21"/>
              </w:rPr>
            </w:pPr>
            <w:r>
              <w:rPr>
                <w:kern w:val="0"/>
                <w:szCs w:val="21"/>
                <w:lang w:bidi="ar"/>
              </w:rPr>
              <w:t xml:space="preserve">37.0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A53F0E1">
            <w:pPr>
              <w:widowControl/>
              <w:jc w:val="right"/>
              <w:textAlignment w:val="center"/>
              <w:rPr>
                <w:szCs w:val="21"/>
              </w:rPr>
            </w:pPr>
            <w:r>
              <w:rPr>
                <w:kern w:val="0"/>
                <w:szCs w:val="21"/>
                <w:lang w:bidi="ar"/>
              </w:rPr>
              <w:t xml:space="preserve">40.9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A701713">
            <w:pPr>
              <w:widowControl/>
              <w:jc w:val="right"/>
              <w:textAlignment w:val="center"/>
              <w:rPr>
                <w:szCs w:val="21"/>
              </w:rPr>
            </w:pPr>
            <w:r>
              <w:rPr>
                <w:kern w:val="0"/>
                <w:szCs w:val="21"/>
                <w:lang w:bidi="ar"/>
              </w:rPr>
              <w:t xml:space="preserve">28.3 </w:t>
            </w:r>
          </w:p>
        </w:tc>
      </w:tr>
      <w:tr w14:paraId="0058313E">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68D70EB4">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F92FAC1">
            <w:pPr>
              <w:widowControl/>
              <w:jc w:val="center"/>
              <w:textAlignment w:val="center"/>
              <w:rPr>
                <w:szCs w:val="21"/>
              </w:rPr>
            </w:pPr>
            <w:r>
              <w:rPr>
                <w:kern w:val="0"/>
                <w:szCs w:val="21"/>
                <w:lang w:bidi="ar"/>
              </w:rPr>
              <w:t>固液分离机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10010EE">
            <w:pPr>
              <w:widowControl/>
              <w:jc w:val="center"/>
              <w:textAlignment w:val="center"/>
              <w:rPr>
                <w:szCs w:val="21"/>
              </w:rPr>
            </w:pPr>
            <w:r>
              <w:rPr>
                <w:kern w:val="0"/>
                <w:szCs w:val="21"/>
                <w:lang w:bidi="ar"/>
              </w:rPr>
              <w:t>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3F30A09">
            <w:pPr>
              <w:widowControl/>
              <w:jc w:val="right"/>
              <w:textAlignment w:val="center"/>
              <w:rPr>
                <w:szCs w:val="21"/>
              </w:rPr>
            </w:pPr>
            <w:r>
              <w:rPr>
                <w:kern w:val="0"/>
                <w:szCs w:val="21"/>
                <w:lang w:bidi="ar"/>
              </w:rPr>
              <w:t>80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550921B">
            <w:pPr>
              <w:widowControl/>
              <w:jc w:val="right"/>
              <w:textAlignment w:val="center"/>
              <w:rPr>
                <w:szCs w:val="21"/>
              </w:rPr>
            </w:pPr>
            <w:r>
              <w:rPr>
                <w:kern w:val="0"/>
                <w:szCs w:val="21"/>
                <w:lang w:bidi="ar"/>
              </w:rPr>
              <w:t>53</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6A96ACD">
            <w:pPr>
              <w:widowControl/>
              <w:jc w:val="right"/>
              <w:textAlignment w:val="center"/>
              <w:rPr>
                <w:szCs w:val="21"/>
              </w:rPr>
            </w:pPr>
            <w:r>
              <w:rPr>
                <w:kern w:val="0"/>
                <w:szCs w:val="21"/>
                <w:lang w:bidi="ar"/>
              </w:rPr>
              <w:t>45</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61194231">
            <w:pPr>
              <w:widowControl/>
              <w:jc w:val="right"/>
              <w:textAlignment w:val="center"/>
              <w:rPr>
                <w:szCs w:val="21"/>
              </w:rPr>
            </w:pPr>
            <w:r>
              <w:rPr>
                <w:kern w:val="0"/>
                <w:szCs w:val="21"/>
                <w:lang w:bidi="ar"/>
              </w:rPr>
              <w:t>33</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1C5854D">
            <w:pPr>
              <w:widowControl/>
              <w:jc w:val="right"/>
              <w:textAlignment w:val="center"/>
              <w:rPr>
                <w:szCs w:val="21"/>
              </w:rPr>
            </w:pPr>
            <w:r>
              <w:rPr>
                <w:kern w:val="0"/>
                <w:szCs w:val="21"/>
                <w:lang w:bidi="ar"/>
              </w:rPr>
              <w:t xml:space="preserve">26.9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6B9F268">
            <w:pPr>
              <w:widowControl/>
              <w:jc w:val="right"/>
              <w:textAlignment w:val="center"/>
              <w:rPr>
                <w:szCs w:val="21"/>
              </w:rPr>
            </w:pPr>
            <w:r>
              <w:rPr>
                <w:kern w:val="0"/>
                <w:szCs w:val="21"/>
                <w:lang w:bidi="ar"/>
              </w:rPr>
              <w:t xml:space="preserve">30.5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0661764">
            <w:pPr>
              <w:widowControl/>
              <w:jc w:val="right"/>
              <w:textAlignment w:val="center"/>
              <w:rPr>
                <w:szCs w:val="21"/>
              </w:rPr>
            </w:pPr>
            <w:r>
              <w:rPr>
                <w:kern w:val="0"/>
                <w:szCs w:val="21"/>
                <w:lang w:bidi="ar"/>
              </w:rPr>
              <w:t xml:space="preserve">31.9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19B5ED4A">
            <w:pPr>
              <w:widowControl/>
              <w:jc w:val="right"/>
              <w:textAlignment w:val="center"/>
              <w:rPr>
                <w:szCs w:val="21"/>
              </w:rPr>
            </w:pPr>
            <w:r>
              <w:rPr>
                <w:kern w:val="0"/>
                <w:szCs w:val="21"/>
                <w:lang w:bidi="ar"/>
              </w:rPr>
              <w:t xml:space="preserve">34.6 </w:t>
            </w:r>
          </w:p>
        </w:tc>
      </w:tr>
      <w:tr w14:paraId="36EC83DF">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01713427">
            <w:pPr>
              <w:widowControl/>
              <w:jc w:val="center"/>
              <w:textAlignment w:val="center"/>
              <w:rPr>
                <w:szCs w:val="21"/>
              </w:rPr>
            </w:pPr>
            <w:r>
              <w:rPr>
                <w:kern w:val="0"/>
                <w:szCs w:val="21"/>
                <w:lang w:bidi="ar"/>
              </w:rPr>
              <w:t>厂界叠加值</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597B36E">
            <w:pPr>
              <w:widowControl/>
              <w:jc w:val="right"/>
              <w:textAlignment w:val="center"/>
              <w:rPr>
                <w:szCs w:val="21"/>
              </w:rPr>
            </w:pPr>
            <w:r>
              <w:rPr>
                <w:kern w:val="0"/>
                <w:szCs w:val="21"/>
                <w:lang w:bidi="ar"/>
              </w:rPr>
              <w:t xml:space="preserve">48.8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E5F7E26">
            <w:pPr>
              <w:widowControl/>
              <w:jc w:val="right"/>
              <w:textAlignment w:val="center"/>
              <w:rPr>
                <w:szCs w:val="21"/>
              </w:rPr>
            </w:pPr>
            <w:r>
              <w:rPr>
                <w:kern w:val="0"/>
                <w:szCs w:val="21"/>
                <w:lang w:bidi="ar"/>
              </w:rPr>
              <w:t xml:space="preserve">49.8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2BF7F03">
            <w:pPr>
              <w:widowControl/>
              <w:jc w:val="right"/>
              <w:textAlignment w:val="center"/>
              <w:rPr>
                <w:szCs w:val="21"/>
              </w:rPr>
            </w:pPr>
            <w:r>
              <w:rPr>
                <w:kern w:val="0"/>
                <w:szCs w:val="21"/>
                <w:lang w:bidi="ar"/>
              </w:rPr>
              <w:t xml:space="preserve">46.8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70A82CCF">
            <w:pPr>
              <w:widowControl/>
              <w:jc w:val="right"/>
              <w:textAlignment w:val="center"/>
              <w:rPr>
                <w:szCs w:val="21"/>
              </w:rPr>
            </w:pPr>
            <w:r>
              <w:rPr>
                <w:kern w:val="0"/>
                <w:szCs w:val="21"/>
                <w:lang w:bidi="ar"/>
              </w:rPr>
              <w:t xml:space="preserve">49.2 </w:t>
            </w:r>
          </w:p>
        </w:tc>
      </w:tr>
      <w:tr w14:paraId="07146B8D">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7BD9D889">
            <w:pPr>
              <w:widowControl/>
              <w:jc w:val="center"/>
              <w:textAlignment w:val="center"/>
              <w:rPr>
                <w:szCs w:val="21"/>
              </w:rPr>
            </w:pPr>
            <w:r>
              <w:rPr>
                <w:kern w:val="0"/>
                <w:szCs w:val="21"/>
                <w:lang w:bidi="ar"/>
              </w:rPr>
              <w:t>标准值</w:t>
            </w:r>
          </w:p>
        </w:tc>
        <w:tc>
          <w:tcPr>
            <w:tcW w:w="1831" w:type="pct"/>
            <w:gridSpan w:val="4"/>
            <w:tcBorders>
              <w:top w:val="single" w:color="000000" w:sz="4" w:space="0"/>
              <w:left w:val="single" w:color="000000" w:sz="4" w:space="0"/>
              <w:bottom w:val="single" w:color="000000" w:sz="4" w:space="0"/>
              <w:right w:val="single" w:color="000000" w:sz="4" w:space="0"/>
            </w:tcBorders>
            <w:noWrap/>
            <w:vAlign w:val="center"/>
          </w:tcPr>
          <w:p w14:paraId="70D0783F">
            <w:pPr>
              <w:widowControl/>
              <w:jc w:val="center"/>
              <w:textAlignment w:val="center"/>
              <w:rPr>
                <w:szCs w:val="21"/>
              </w:rPr>
            </w:pPr>
            <w:r>
              <w:rPr>
                <w:kern w:val="0"/>
                <w:szCs w:val="21"/>
                <w:lang w:bidi="ar"/>
              </w:rPr>
              <w:t>昼间≤60、夜间≤50</w:t>
            </w:r>
          </w:p>
        </w:tc>
      </w:tr>
      <w:tr w14:paraId="7A186E87">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3489FF6C">
            <w:pPr>
              <w:widowControl/>
              <w:jc w:val="center"/>
              <w:textAlignment w:val="center"/>
              <w:rPr>
                <w:szCs w:val="21"/>
              </w:rPr>
            </w:pPr>
            <w:r>
              <w:rPr>
                <w:kern w:val="0"/>
                <w:szCs w:val="21"/>
                <w:lang w:bidi="ar"/>
              </w:rPr>
              <w:t>达标情况</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58B0F2B">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52DD299">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854AD9D">
            <w:pPr>
              <w:widowControl/>
              <w:jc w:val="left"/>
              <w:textAlignment w:val="center"/>
              <w:rPr>
                <w:szCs w:val="21"/>
              </w:rPr>
            </w:pPr>
            <w:r>
              <w:rPr>
                <w:kern w:val="0"/>
                <w:szCs w:val="21"/>
                <w:lang w:bidi="ar"/>
              </w:rPr>
              <w:t>达标</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205B3C6E">
            <w:pPr>
              <w:widowControl/>
              <w:jc w:val="left"/>
              <w:textAlignment w:val="center"/>
              <w:rPr>
                <w:szCs w:val="21"/>
              </w:rPr>
            </w:pPr>
            <w:r>
              <w:rPr>
                <w:kern w:val="0"/>
                <w:szCs w:val="21"/>
                <w:lang w:bidi="ar"/>
              </w:rPr>
              <w:t>达标</w:t>
            </w:r>
          </w:p>
        </w:tc>
      </w:tr>
      <w:tr w14:paraId="4DA0F5C5">
        <w:tblPrEx>
          <w:tblCellMar>
            <w:top w:w="0" w:type="dxa"/>
            <w:left w:w="108" w:type="dxa"/>
            <w:bottom w:w="0" w:type="dxa"/>
            <w:right w:w="108" w:type="dxa"/>
          </w:tblCellMar>
        </w:tblPrEx>
        <w:trPr>
          <w:trHeight w:val="285" w:hRule="atLeast"/>
        </w:trPr>
        <w:tc>
          <w:tcPr>
            <w:tcW w:w="531" w:type="pct"/>
            <w:vMerge w:val="restart"/>
            <w:tcBorders>
              <w:top w:val="single" w:color="000000" w:sz="4" w:space="0"/>
              <w:left w:val="single" w:color="000000" w:sz="4" w:space="0"/>
              <w:bottom w:val="single" w:color="000000" w:sz="4" w:space="0"/>
              <w:right w:val="single" w:color="000000" w:sz="4" w:space="0"/>
            </w:tcBorders>
            <w:noWrap/>
            <w:vAlign w:val="center"/>
          </w:tcPr>
          <w:p w14:paraId="4E5A0013">
            <w:pPr>
              <w:widowControl/>
              <w:jc w:val="center"/>
              <w:textAlignment w:val="center"/>
              <w:rPr>
                <w:szCs w:val="21"/>
              </w:rPr>
            </w:pPr>
            <w:r>
              <w:rPr>
                <w:kern w:val="0"/>
                <w:szCs w:val="21"/>
                <w:lang w:bidi="ar"/>
              </w:rPr>
              <w:t>3号地</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812800D">
            <w:pPr>
              <w:widowControl/>
              <w:jc w:val="center"/>
              <w:textAlignment w:val="center"/>
              <w:rPr>
                <w:szCs w:val="21"/>
              </w:rPr>
            </w:pPr>
            <w:r>
              <w:rPr>
                <w:kern w:val="0"/>
                <w:szCs w:val="21"/>
                <w:lang w:bidi="ar"/>
              </w:rPr>
              <w:t>猪只叫声</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1B09D97">
            <w:pPr>
              <w:widowControl/>
              <w:jc w:val="center"/>
              <w:textAlignment w:val="center"/>
              <w:rPr>
                <w:szCs w:val="21"/>
              </w:rPr>
            </w:pPr>
            <w:r>
              <w:rPr>
                <w:kern w:val="0"/>
                <w:szCs w:val="21"/>
                <w:lang w:bidi="ar"/>
              </w:rPr>
              <w:t>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31CCBBC">
            <w:pPr>
              <w:widowControl/>
              <w:jc w:val="right"/>
              <w:textAlignment w:val="center"/>
              <w:rPr>
                <w:szCs w:val="21"/>
              </w:rPr>
            </w:pPr>
            <w:r>
              <w:rPr>
                <w:kern w:val="0"/>
                <w:szCs w:val="21"/>
                <w:lang w:bidi="ar"/>
              </w:rPr>
              <w:t>20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F9A740D">
            <w:pPr>
              <w:widowControl/>
              <w:jc w:val="right"/>
              <w:textAlignment w:val="center"/>
              <w:rPr>
                <w:szCs w:val="21"/>
              </w:rPr>
            </w:pPr>
            <w:r>
              <w:rPr>
                <w:kern w:val="0"/>
                <w:szCs w:val="21"/>
                <w:lang w:bidi="ar"/>
              </w:rPr>
              <w:t>36</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3BBE7B3">
            <w:pPr>
              <w:widowControl/>
              <w:jc w:val="right"/>
              <w:textAlignment w:val="center"/>
              <w:rPr>
                <w:szCs w:val="21"/>
              </w:rPr>
            </w:pPr>
            <w:r>
              <w:rPr>
                <w:kern w:val="0"/>
                <w:szCs w:val="21"/>
                <w:lang w:bidi="ar"/>
              </w:rPr>
              <w:t>20</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F7132A5">
            <w:pPr>
              <w:widowControl/>
              <w:jc w:val="right"/>
              <w:textAlignment w:val="center"/>
              <w:rPr>
                <w:szCs w:val="21"/>
              </w:rPr>
            </w:pPr>
            <w:r>
              <w:rPr>
                <w:kern w:val="0"/>
                <w:szCs w:val="21"/>
                <w:lang w:bidi="ar"/>
              </w:rPr>
              <w:t>43</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FB55250">
            <w:pPr>
              <w:widowControl/>
              <w:jc w:val="right"/>
              <w:textAlignment w:val="center"/>
              <w:rPr>
                <w:szCs w:val="21"/>
              </w:rPr>
            </w:pPr>
            <w:r>
              <w:rPr>
                <w:kern w:val="0"/>
                <w:szCs w:val="21"/>
                <w:lang w:bidi="ar"/>
              </w:rPr>
              <w:t xml:space="preserve">39.0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D319183">
            <w:pPr>
              <w:widowControl/>
              <w:jc w:val="right"/>
              <w:textAlignment w:val="center"/>
              <w:rPr>
                <w:szCs w:val="21"/>
              </w:rPr>
            </w:pPr>
            <w:r>
              <w:rPr>
                <w:kern w:val="0"/>
                <w:szCs w:val="21"/>
                <w:lang w:bidi="ar"/>
              </w:rPr>
              <w:t xml:space="preserve">33.9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0043F39">
            <w:pPr>
              <w:widowControl/>
              <w:jc w:val="right"/>
              <w:textAlignment w:val="center"/>
              <w:rPr>
                <w:szCs w:val="21"/>
              </w:rPr>
            </w:pPr>
            <w:r>
              <w:rPr>
                <w:kern w:val="0"/>
                <w:szCs w:val="21"/>
                <w:lang w:bidi="ar"/>
              </w:rPr>
              <w:t xml:space="preserve">39.0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41A9FA44">
            <w:pPr>
              <w:widowControl/>
              <w:jc w:val="right"/>
              <w:textAlignment w:val="center"/>
              <w:rPr>
                <w:szCs w:val="21"/>
              </w:rPr>
            </w:pPr>
            <w:r>
              <w:rPr>
                <w:kern w:val="0"/>
                <w:szCs w:val="21"/>
                <w:lang w:bidi="ar"/>
              </w:rPr>
              <w:t xml:space="preserve">32.3 </w:t>
            </w:r>
          </w:p>
        </w:tc>
      </w:tr>
      <w:tr w14:paraId="6D17A2F5">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1D2FBBA6">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534BE8F">
            <w:pPr>
              <w:widowControl/>
              <w:jc w:val="center"/>
              <w:textAlignment w:val="center"/>
              <w:rPr>
                <w:szCs w:val="21"/>
              </w:rPr>
            </w:pPr>
            <w:r>
              <w:rPr>
                <w:kern w:val="0"/>
                <w:szCs w:val="21"/>
                <w:lang w:bidi="ar"/>
              </w:rPr>
              <w:t>猪舍排风扇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9033498">
            <w:pPr>
              <w:widowControl/>
              <w:jc w:val="center"/>
              <w:textAlignment w:val="center"/>
              <w:rPr>
                <w:szCs w:val="21"/>
              </w:rPr>
            </w:pPr>
            <w:r>
              <w:rPr>
                <w:kern w:val="0"/>
                <w:szCs w:val="21"/>
                <w:lang w:bidi="ar"/>
              </w:rPr>
              <w:t>12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86451A5">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2E2F74A">
            <w:pPr>
              <w:widowControl/>
              <w:jc w:val="right"/>
              <w:textAlignment w:val="center"/>
              <w:rPr>
                <w:szCs w:val="21"/>
              </w:rPr>
            </w:pPr>
            <w:r>
              <w:rPr>
                <w:kern w:val="0"/>
                <w:szCs w:val="21"/>
                <w:lang w:bidi="ar"/>
              </w:rPr>
              <w:t>41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BAE0352">
            <w:pPr>
              <w:widowControl/>
              <w:jc w:val="right"/>
              <w:textAlignment w:val="center"/>
              <w:rPr>
                <w:szCs w:val="21"/>
              </w:rPr>
            </w:pPr>
            <w:r>
              <w:rPr>
                <w:kern w:val="0"/>
                <w:szCs w:val="21"/>
                <w:lang w:bidi="ar"/>
              </w:rPr>
              <w:t>25</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E956022">
            <w:pPr>
              <w:widowControl/>
              <w:jc w:val="right"/>
              <w:textAlignment w:val="center"/>
              <w:rPr>
                <w:szCs w:val="21"/>
              </w:rPr>
            </w:pPr>
            <w:r>
              <w:rPr>
                <w:kern w:val="0"/>
                <w:szCs w:val="21"/>
                <w:lang w:bidi="ar"/>
              </w:rPr>
              <w:t>48</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0BE6B59">
            <w:pPr>
              <w:widowControl/>
              <w:jc w:val="right"/>
              <w:textAlignment w:val="center"/>
              <w:rPr>
                <w:szCs w:val="21"/>
              </w:rPr>
            </w:pPr>
            <w:r>
              <w:rPr>
                <w:kern w:val="0"/>
                <w:szCs w:val="21"/>
                <w:lang w:bidi="ar"/>
              </w:rPr>
              <w:t xml:space="preserve">32.0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73F8F2D">
            <w:pPr>
              <w:widowControl/>
              <w:jc w:val="right"/>
              <w:textAlignment w:val="center"/>
              <w:rPr>
                <w:szCs w:val="21"/>
              </w:rPr>
            </w:pPr>
            <w:r>
              <w:rPr>
                <w:kern w:val="0"/>
                <w:szCs w:val="21"/>
                <w:lang w:bidi="ar"/>
              </w:rPr>
              <w:t xml:space="preserve">27.7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2FB5535">
            <w:pPr>
              <w:widowControl/>
              <w:jc w:val="right"/>
              <w:textAlignment w:val="center"/>
              <w:rPr>
                <w:szCs w:val="21"/>
              </w:rPr>
            </w:pPr>
            <w:r>
              <w:rPr>
                <w:kern w:val="0"/>
                <w:szCs w:val="21"/>
                <w:lang w:bidi="ar"/>
              </w:rPr>
              <w:t xml:space="preserve">32.0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30E65F47">
            <w:pPr>
              <w:widowControl/>
              <w:jc w:val="right"/>
              <w:textAlignment w:val="center"/>
              <w:rPr>
                <w:szCs w:val="21"/>
              </w:rPr>
            </w:pPr>
            <w:r>
              <w:rPr>
                <w:kern w:val="0"/>
                <w:szCs w:val="21"/>
                <w:lang w:bidi="ar"/>
              </w:rPr>
              <w:t xml:space="preserve">26.4 </w:t>
            </w:r>
          </w:p>
        </w:tc>
      </w:tr>
      <w:tr w14:paraId="34211861">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00EC7B39">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0680D49">
            <w:pPr>
              <w:widowControl/>
              <w:jc w:val="center"/>
              <w:textAlignment w:val="center"/>
              <w:rPr>
                <w:szCs w:val="21"/>
              </w:rPr>
            </w:pPr>
            <w:r>
              <w:rPr>
                <w:kern w:val="0"/>
                <w:szCs w:val="21"/>
                <w:lang w:bidi="ar"/>
              </w:rPr>
              <w:t>循环水泵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A998EF2">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FB6E059">
            <w:pPr>
              <w:widowControl/>
              <w:jc w:val="right"/>
              <w:textAlignment w:val="center"/>
              <w:rPr>
                <w:szCs w:val="21"/>
              </w:rPr>
            </w:pPr>
            <w:r>
              <w:rPr>
                <w:kern w:val="0"/>
                <w:szCs w:val="21"/>
                <w:lang w:bidi="ar"/>
              </w:rPr>
              <w:t>23</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8CDDE62">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1109866">
            <w:pPr>
              <w:widowControl/>
              <w:jc w:val="right"/>
              <w:textAlignment w:val="center"/>
              <w:rPr>
                <w:szCs w:val="21"/>
              </w:rPr>
            </w:pPr>
            <w:r>
              <w:rPr>
                <w:kern w:val="0"/>
                <w:szCs w:val="21"/>
                <w:lang w:bidi="ar"/>
              </w:rPr>
              <w:t>41</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0752A9D0">
            <w:pPr>
              <w:widowControl/>
              <w:jc w:val="right"/>
              <w:textAlignment w:val="center"/>
              <w:rPr>
                <w:szCs w:val="21"/>
              </w:rPr>
            </w:pPr>
            <w:r>
              <w:rPr>
                <w:kern w:val="0"/>
                <w:szCs w:val="21"/>
                <w:lang w:bidi="ar"/>
              </w:rPr>
              <w:t>165</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7B43415">
            <w:pPr>
              <w:widowControl/>
              <w:jc w:val="right"/>
              <w:textAlignment w:val="center"/>
              <w:rPr>
                <w:szCs w:val="21"/>
              </w:rPr>
            </w:pPr>
            <w:r>
              <w:rPr>
                <w:kern w:val="0"/>
                <w:szCs w:val="21"/>
                <w:lang w:bidi="ar"/>
              </w:rPr>
              <w:t xml:space="preserve">37.8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739075D">
            <w:pPr>
              <w:widowControl/>
              <w:jc w:val="right"/>
              <w:textAlignment w:val="center"/>
              <w:rPr>
                <w:szCs w:val="21"/>
              </w:rPr>
            </w:pPr>
            <w:r>
              <w:rPr>
                <w:kern w:val="0"/>
                <w:szCs w:val="21"/>
                <w:lang w:bidi="ar"/>
              </w:rPr>
              <w:t xml:space="preserve">37.0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27AB195">
            <w:pPr>
              <w:widowControl/>
              <w:jc w:val="right"/>
              <w:textAlignment w:val="center"/>
              <w:rPr>
                <w:szCs w:val="21"/>
              </w:rPr>
            </w:pPr>
            <w:r>
              <w:rPr>
                <w:kern w:val="0"/>
                <w:szCs w:val="21"/>
                <w:lang w:bidi="ar"/>
              </w:rPr>
              <w:t xml:space="preserve">32.7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288DE9E4">
            <w:pPr>
              <w:widowControl/>
              <w:jc w:val="right"/>
              <w:textAlignment w:val="center"/>
              <w:rPr>
                <w:szCs w:val="21"/>
              </w:rPr>
            </w:pPr>
            <w:r>
              <w:rPr>
                <w:kern w:val="0"/>
                <w:szCs w:val="21"/>
                <w:lang w:bidi="ar"/>
              </w:rPr>
              <w:t xml:space="preserve">20.7 </w:t>
            </w:r>
          </w:p>
        </w:tc>
      </w:tr>
      <w:tr w14:paraId="72AFE919">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606CDF72">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9D454A9">
            <w:pPr>
              <w:widowControl/>
              <w:jc w:val="center"/>
              <w:textAlignment w:val="center"/>
              <w:rPr>
                <w:szCs w:val="21"/>
              </w:rPr>
            </w:pPr>
            <w:r>
              <w:rPr>
                <w:kern w:val="0"/>
                <w:szCs w:val="21"/>
                <w:lang w:bidi="ar"/>
              </w:rPr>
              <w:t>风机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0B486B0">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EADE169">
            <w:pPr>
              <w:widowControl/>
              <w:jc w:val="right"/>
              <w:textAlignment w:val="center"/>
              <w:rPr>
                <w:szCs w:val="21"/>
              </w:rPr>
            </w:pPr>
            <w:r>
              <w:rPr>
                <w:kern w:val="0"/>
                <w:szCs w:val="21"/>
                <w:lang w:bidi="ar"/>
              </w:rPr>
              <w:t>57</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DE0B063">
            <w:pPr>
              <w:widowControl/>
              <w:jc w:val="right"/>
              <w:textAlignment w:val="center"/>
              <w:rPr>
                <w:szCs w:val="21"/>
              </w:rPr>
            </w:pPr>
            <w:r>
              <w:rPr>
                <w:kern w:val="0"/>
                <w:szCs w:val="21"/>
                <w:lang w:bidi="ar"/>
              </w:rPr>
              <w:t>31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A39EB7B">
            <w:pPr>
              <w:widowControl/>
              <w:jc w:val="right"/>
              <w:textAlignment w:val="center"/>
              <w:rPr>
                <w:szCs w:val="21"/>
              </w:rPr>
            </w:pPr>
            <w:r>
              <w:rPr>
                <w:kern w:val="0"/>
                <w:szCs w:val="21"/>
                <w:lang w:bidi="ar"/>
              </w:rPr>
              <w:t>15</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53C32200">
            <w:pPr>
              <w:widowControl/>
              <w:jc w:val="right"/>
              <w:textAlignment w:val="center"/>
              <w:rPr>
                <w:szCs w:val="21"/>
              </w:rPr>
            </w:pPr>
            <w:r>
              <w:rPr>
                <w:kern w:val="0"/>
                <w:szCs w:val="21"/>
                <w:lang w:bidi="ar"/>
              </w:rPr>
              <w:t>153</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59F16C2">
            <w:pPr>
              <w:widowControl/>
              <w:jc w:val="right"/>
              <w:textAlignment w:val="center"/>
              <w:rPr>
                <w:szCs w:val="21"/>
              </w:rPr>
            </w:pPr>
            <w:r>
              <w:rPr>
                <w:kern w:val="0"/>
                <w:szCs w:val="21"/>
                <w:lang w:bidi="ar"/>
              </w:rPr>
              <w:t xml:space="preserve">29.9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092EE89">
            <w:pPr>
              <w:widowControl/>
              <w:jc w:val="right"/>
              <w:textAlignment w:val="center"/>
              <w:rPr>
                <w:szCs w:val="21"/>
              </w:rPr>
            </w:pPr>
            <w:r>
              <w:rPr>
                <w:kern w:val="0"/>
                <w:szCs w:val="21"/>
                <w:lang w:bidi="ar"/>
              </w:rPr>
              <w:t xml:space="preserve">35.2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24E5EDB">
            <w:pPr>
              <w:widowControl/>
              <w:jc w:val="right"/>
              <w:textAlignment w:val="center"/>
              <w:rPr>
                <w:szCs w:val="21"/>
              </w:rPr>
            </w:pPr>
            <w:r>
              <w:rPr>
                <w:kern w:val="0"/>
                <w:szCs w:val="21"/>
                <w:lang w:bidi="ar"/>
              </w:rPr>
              <w:t xml:space="preserve">41.5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C5CFD35">
            <w:pPr>
              <w:widowControl/>
              <w:jc w:val="right"/>
              <w:textAlignment w:val="center"/>
              <w:rPr>
                <w:szCs w:val="21"/>
              </w:rPr>
            </w:pPr>
            <w:r>
              <w:rPr>
                <w:kern w:val="0"/>
                <w:szCs w:val="21"/>
                <w:lang w:bidi="ar"/>
              </w:rPr>
              <w:t xml:space="preserve">21.3 </w:t>
            </w:r>
          </w:p>
        </w:tc>
      </w:tr>
      <w:tr w14:paraId="0FBE5694">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21AEE5AB">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25DB7E80">
            <w:pPr>
              <w:widowControl/>
              <w:jc w:val="center"/>
              <w:textAlignment w:val="center"/>
              <w:rPr>
                <w:szCs w:val="21"/>
              </w:rPr>
            </w:pPr>
            <w:r>
              <w:rPr>
                <w:kern w:val="0"/>
                <w:szCs w:val="21"/>
                <w:lang w:bidi="ar"/>
              </w:rPr>
              <w:t>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02266DA">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DC6A1F5">
            <w:pPr>
              <w:widowControl/>
              <w:jc w:val="right"/>
              <w:textAlignment w:val="center"/>
              <w:rPr>
                <w:szCs w:val="21"/>
              </w:rPr>
            </w:pPr>
            <w:r>
              <w:rPr>
                <w:kern w:val="0"/>
                <w:szCs w:val="21"/>
                <w:lang w:bidi="ar"/>
              </w:rPr>
              <w:t>23</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D7C767E">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DD47CFD">
            <w:pPr>
              <w:widowControl/>
              <w:jc w:val="right"/>
              <w:textAlignment w:val="center"/>
              <w:rPr>
                <w:szCs w:val="21"/>
              </w:rPr>
            </w:pPr>
            <w:r>
              <w:rPr>
                <w:kern w:val="0"/>
                <w:szCs w:val="21"/>
                <w:lang w:bidi="ar"/>
              </w:rPr>
              <w:t>41</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F09ED6A">
            <w:pPr>
              <w:widowControl/>
              <w:jc w:val="right"/>
              <w:textAlignment w:val="center"/>
              <w:rPr>
                <w:szCs w:val="21"/>
              </w:rPr>
            </w:pPr>
            <w:r>
              <w:rPr>
                <w:kern w:val="0"/>
                <w:szCs w:val="21"/>
                <w:lang w:bidi="ar"/>
              </w:rPr>
              <w:t>165</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5FDC703">
            <w:pPr>
              <w:widowControl/>
              <w:jc w:val="right"/>
              <w:textAlignment w:val="center"/>
              <w:rPr>
                <w:szCs w:val="21"/>
              </w:rPr>
            </w:pPr>
            <w:r>
              <w:rPr>
                <w:kern w:val="0"/>
                <w:szCs w:val="21"/>
                <w:lang w:bidi="ar"/>
              </w:rPr>
              <w:t xml:space="preserve">37.8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08690D2">
            <w:pPr>
              <w:widowControl/>
              <w:jc w:val="right"/>
              <w:textAlignment w:val="center"/>
              <w:rPr>
                <w:szCs w:val="21"/>
              </w:rPr>
            </w:pPr>
            <w:r>
              <w:rPr>
                <w:kern w:val="0"/>
                <w:szCs w:val="21"/>
                <w:lang w:bidi="ar"/>
              </w:rPr>
              <w:t xml:space="preserve">37.0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C77BAF5">
            <w:pPr>
              <w:widowControl/>
              <w:jc w:val="right"/>
              <w:textAlignment w:val="center"/>
              <w:rPr>
                <w:szCs w:val="21"/>
              </w:rPr>
            </w:pPr>
            <w:r>
              <w:rPr>
                <w:kern w:val="0"/>
                <w:szCs w:val="21"/>
                <w:lang w:bidi="ar"/>
              </w:rPr>
              <w:t xml:space="preserve">32.7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18850A1B">
            <w:pPr>
              <w:widowControl/>
              <w:jc w:val="right"/>
              <w:textAlignment w:val="center"/>
              <w:rPr>
                <w:szCs w:val="21"/>
              </w:rPr>
            </w:pPr>
            <w:r>
              <w:rPr>
                <w:kern w:val="0"/>
                <w:szCs w:val="21"/>
                <w:lang w:bidi="ar"/>
              </w:rPr>
              <w:t xml:space="preserve">20.7 </w:t>
            </w:r>
          </w:p>
        </w:tc>
      </w:tr>
      <w:tr w14:paraId="64C8D9A7">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0C53EDCE">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CB142A2">
            <w:pPr>
              <w:widowControl/>
              <w:jc w:val="center"/>
              <w:textAlignment w:val="center"/>
              <w:rPr>
                <w:szCs w:val="21"/>
              </w:rPr>
            </w:pPr>
            <w:r>
              <w:rPr>
                <w:kern w:val="0"/>
                <w:szCs w:val="21"/>
                <w:lang w:bidi="ar"/>
              </w:rPr>
              <w:t>固液分离机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2CC700F">
            <w:pPr>
              <w:widowControl/>
              <w:jc w:val="center"/>
              <w:textAlignment w:val="center"/>
              <w:rPr>
                <w:szCs w:val="21"/>
              </w:rPr>
            </w:pPr>
            <w:r>
              <w:rPr>
                <w:kern w:val="0"/>
                <w:szCs w:val="21"/>
                <w:lang w:bidi="ar"/>
              </w:rPr>
              <w:t>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A0E01E7">
            <w:pPr>
              <w:widowControl/>
              <w:jc w:val="right"/>
              <w:textAlignment w:val="center"/>
              <w:rPr>
                <w:szCs w:val="21"/>
              </w:rPr>
            </w:pPr>
            <w:r>
              <w:rPr>
                <w:kern w:val="0"/>
                <w:szCs w:val="21"/>
                <w:lang w:bidi="ar"/>
              </w:rPr>
              <w:t>40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33942FB">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5DF8CCF">
            <w:pPr>
              <w:widowControl/>
              <w:jc w:val="right"/>
              <w:textAlignment w:val="center"/>
              <w:rPr>
                <w:szCs w:val="21"/>
              </w:rPr>
            </w:pPr>
            <w:r>
              <w:rPr>
                <w:kern w:val="0"/>
                <w:szCs w:val="21"/>
                <w:lang w:bidi="ar"/>
              </w:rPr>
              <w:t>28</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415BBE99">
            <w:pPr>
              <w:widowControl/>
              <w:jc w:val="right"/>
              <w:textAlignment w:val="center"/>
              <w:rPr>
                <w:szCs w:val="21"/>
              </w:rPr>
            </w:pPr>
            <w:r>
              <w:rPr>
                <w:kern w:val="0"/>
                <w:szCs w:val="21"/>
                <w:lang w:bidi="ar"/>
              </w:rPr>
              <w:t>161</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F4A4706">
            <w:pPr>
              <w:widowControl/>
              <w:jc w:val="right"/>
              <w:textAlignment w:val="center"/>
              <w:rPr>
                <w:szCs w:val="21"/>
              </w:rPr>
            </w:pPr>
            <w:r>
              <w:rPr>
                <w:kern w:val="0"/>
                <w:szCs w:val="21"/>
                <w:lang w:bidi="ar"/>
              </w:rPr>
              <w:t xml:space="preserve">33.0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6068B45">
            <w:pPr>
              <w:widowControl/>
              <w:jc w:val="right"/>
              <w:textAlignment w:val="center"/>
              <w:rPr>
                <w:szCs w:val="21"/>
              </w:rPr>
            </w:pPr>
            <w:r>
              <w:rPr>
                <w:kern w:val="0"/>
                <w:szCs w:val="21"/>
                <w:lang w:bidi="ar"/>
              </w:rPr>
              <w:t xml:space="preserve">37.0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64CC728">
            <w:pPr>
              <w:widowControl/>
              <w:jc w:val="right"/>
              <w:textAlignment w:val="center"/>
              <w:rPr>
                <w:szCs w:val="21"/>
              </w:rPr>
            </w:pPr>
            <w:r>
              <w:rPr>
                <w:kern w:val="0"/>
                <w:szCs w:val="21"/>
                <w:lang w:bidi="ar"/>
              </w:rPr>
              <w:t xml:space="preserve">36.1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0EEE123">
            <w:pPr>
              <w:widowControl/>
              <w:jc w:val="right"/>
              <w:textAlignment w:val="center"/>
              <w:rPr>
                <w:szCs w:val="21"/>
              </w:rPr>
            </w:pPr>
            <w:r>
              <w:rPr>
                <w:kern w:val="0"/>
                <w:szCs w:val="21"/>
                <w:lang w:bidi="ar"/>
              </w:rPr>
              <w:t xml:space="preserve">20.9 </w:t>
            </w:r>
          </w:p>
        </w:tc>
      </w:tr>
      <w:tr w14:paraId="09387744">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2DFE40F7">
            <w:pPr>
              <w:widowControl/>
              <w:jc w:val="center"/>
              <w:textAlignment w:val="center"/>
              <w:rPr>
                <w:szCs w:val="21"/>
              </w:rPr>
            </w:pPr>
            <w:r>
              <w:rPr>
                <w:kern w:val="0"/>
                <w:szCs w:val="21"/>
                <w:lang w:bidi="ar"/>
              </w:rPr>
              <w:t>厂界叠加值</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DF78D62">
            <w:pPr>
              <w:widowControl/>
              <w:jc w:val="right"/>
              <w:textAlignment w:val="center"/>
              <w:rPr>
                <w:szCs w:val="21"/>
              </w:rPr>
            </w:pPr>
            <w:r>
              <w:rPr>
                <w:kern w:val="0"/>
                <w:szCs w:val="21"/>
                <w:lang w:bidi="ar"/>
              </w:rPr>
              <w:t xml:space="preserve">47.0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8324353">
            <w:pPr>
              <w:widowControl/>
              <w:jc w:val="right"/>
              <w:textAlignment w:val="center"/>
              <w:rPr>
                <w:szCs w:val="21"/>
              </w:rPr>
            </w:pPr>
            <w:r>
              <w:rPr>
                <w:kern w:val="0"/>
                <w:szCs w:val="21"/>
                <w:lang w:bidi="ar"/>
              </w:rPr>
              <w:t xml:space="preserve">44.8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C3CC45D">
            <w:pPr>
              <w:widowControl/>
              <w:jc w:val="right"/>
              <w:textAlignment w:val="center"/>
              <w:rPr>
                <w:szCs w:val="21"/>
              </w:rPr>
            </w:pPr>
            <w:r>
              <w:rPr>
                <w:kern w:val="0"/>
                <w:szCs w:val="21"/>
                <w:lang w:bidi="ar"/>
              </w:rPr>
              <w:t xml:space="preserve">47.5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7D6DDE2A">
            <w:pPr>
              <w:widowControl/>
              <w:jc w:val="right"/>
              <w:textAlignment w:val="center"/>
              <w:rPr>
                <w:szCs w:val="21"/>
              </w:rPr>
            </w:pPr>
            <w:r>
              <w:rPr>
                <w:kern w:val="0"/>
                <w:szCs w:val="21"/>
                <w:lang w:bidi="ar"/>
              </w:rPr>
              <w:t xml:space="preserve">39.6 </w:t>
            </w:r>
          </w:p>
        </w:tc>
      </w:tr>
      <w:tr w14:paraId="52F85A72">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31F692C2">
            <w:pPr>
              <w:widowControl/>
              <w:jc w:val="center"/>
              <w:textAlignment w:val="center"/>
              <w:rPr>
                <w:szCs w:val="21"/>
              </w:rPr>
            </w:pPr>
            <w:r>
              <w:rPr>
                <w:kern w:val="0"/>
                <w:szCs w:val="21"/>
                <w:lang w:bidi="ar"/>
              </w:rPr>
              <w:t>标准值</w:t>
            </w:r>
          </w:p>
        </w:tc>
        <w:tc>
          <w:tcPr>
            <w:tcW w:w="1831" w:type="pct"/>
            <w:gridSpan w:val="4"/>
            <w:tcBorders>
              <w:top w:val="single" w:color="000000" w:sz="4" w:space="0"/>
              <w:left w:val="single" w:color="000000" w:sz="4" w:space="0"/>
              <w:bottom w:val="single" w:color="000000" w:sz="4" w:space="0"/>
              <w:right w:val="single" w:color="000000" w:sz="4" w:space="0"/>
            </w:tcBorders>
            <w:noWrap/>
            <w:vAlign w:val="center"/>
          </w:tcPr>
          <w:p w14:paraId="0E5ACF10">
            <w:pPr>
              <w:widowControl/>
              <w:jc w:val="center"/>
              <w:textAlignment w:val="center"/>
              <w:rPr>
                <w:szCs w:val="21"/>
              </w:rPr>
            </w:pPr>
            <w:r>
              <w:rPr>
                <w:kern w:val="0"/>
                <w:szCs w:val="21"/>
                <w:lang w:bidi="ar"/>
              </w:rPr>
              <w:t>昼间≤60、夜间≤50</w:t>
            </w:r>
          </w:p>
        </w:tc>
      </w:tr>
      <w:tr w14:paraId="2250A3C0">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6B0F3FD6">
            <w:pPr>
              <w:widowControl/>
              <w:jc w:val="center"/>
              <w:textAlignment w:val="center"/>
              <w:rPr>
                <w:szCs w:val="21"/>
              </w:rPr>
            </w:pPr>
            <w:r>
              <w:rPr>
                <w:kern w:val="0"/>
                <w:szCs w:val="21"/>
                <w:lang w:bidi="ar"/>
              </w:rPr>
              <w:t>达标情况</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BC833C1">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AE7EFED">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9254B81">
            <w:pPr>
              <w:widowControl/>
              <w:jc w:val="left"/>
              <w:textAlignment w:val="center"/>
              <w:rPr>
                <w:szCs w:val="21"/>
              </w:rPr>
            </w:pPr>
            <w:r>
              <w:rPr>
                <w:kern w:val="0"/>
                <w:szCs w:val="21"/>
                <w:lang w:bidi="ar"/>
              </w:rPr>
              <w:t>达标</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69C8588B">
            <w:pPr>
              <w:widowControl/>
              <w:jc w:val="left"/>
              <w:textAlignment w:val="center"/>
              <w:rPr>
                <w:szCs w:val="21"/>
              </w:rPr>
            </w:pPr>
            <w:r>
              <w:rPr>
                <w:kern w:val="0"/>
                <w:szCs w:val="21"/>
                <w:lang w:bidi="ar"/>
              </w:rPr>
              <w:t>达标</w:t>
            </w:r>
          </w:p>
        </w:tc>
      </w:tr>
      <w:tr w14:paraId="27C64236">
        <w:tblPrEx>
          <w:tblCellMar>
            <w:top w:w="0" w:type="dxa"/>
            <w:left w:w="108" w:type="dxa"/>
            <w:bottom w:w="0" w:type="dxa"/>
            <w:right w:w="108" w:type="dxa"/>
          </w:tblCellMar>
        </w:tblPrEx>
        <w:trPr>
          <w:trHeight w:val="285" w:hRule="atLeast"/>
        </w:trPr>
        <w:tc>
          <w:tcPr>
            <w:tcW w:w="531" w:type="pct"/>
            <w:vMerge w:val="restart"/>
            <w:tcBorders>
              <w:top w:val="single" w:color="000000" w:sz="4" w:space="0"/>
              <w:left w:val="single" w:color="000000" w:sz="4" w:space="0"/>
              <w:bottom w:val="single" w:color="000000" w:sz="4" w:space="0"/>
              <w:right w:val="single" w:color="000000" w:sz="4" w:space="0"/>
            </w:tcBorders>
            <w:noWrap/>
            <w:vAlign w:val="center"/>
          </w:tcPr>
          <w:p w14:paraId="4A0359A2">
            <w:pPr>
              <w:widowControl/>
              <w:jc w:val="center"/>
              <w:textAlignment w:val="center"/>
              <w:rPr>
                <w:szCs w:val="21"/>
              </w:rPr>
            </w:pPr>
            <w:r>
              <w:rPr>
                <w:kern w:val="0"/>
                <w:szCs w:val="21"/>
                <w:lang w:bidi="ar"/>
              </w:rPr>
              <w:t>4号地</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BCF194C">
            <w:pPr>
              <w:widowControl/>
              <w:jc w:val="center"/>
              <w:textAlignment w:val="center"/>
              <w:rPr>
                <w:szCs w:val="21"/>
              </w:rPr>
            </w:pPr>
            <w:r>
              <w:rPr>
                <w:kern w:val="0"/>
                <w:szCs w:val="21"/>
                <w:lang w:bidi="ar"/>
              </w:rPr>
              <w:t>猪只叫声</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6750BB0">
            <w:pPr>
              <w:widowControl/>
              <w:jc w:val="center"/>
              <w:textAlignment w:val="center"/>
              <w:rPr>
                <w:szCs w:val="21"/>
              </w:rPr>
            </w:pPr>
            <w:r>
              <w:rPr>
                <w:kern w:val="0"/>
                <w:szCs w:val="21"/>
                <w:lang w:bidi="ar"/>
              </w:rPr>
              <w:t>3</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EE42BCE">
            <w:pPr>
              <w:widowControl/>
              <w:jc w:val="right"/>
              <w:textAlignment w:val="center"/>
              <w:rPr>
                <w:szCs w:val="21"/>
              </w:rPr>
            </w:pPr>
            <w:r>
              <w:rPr>
                <w:kern w:val="0"/>
                <w:szCs w:val="21"/>
                <w:lang w:bidi="ar"/>
              </w:rPr>
              <w:t>88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53FA14B">
            <w:pPr>
              <w:widowControl/>
              <w:jc w:val="right"/>
              <w:textAlignment w:val="center"/>
              <w:rPr>
                <w:szCs w:val="21"/>
              </w:rPr>
            </w:pPr>
            <w:r>
              <w:rPr>
                <w:kern w:val="0"/>
                <w:szCs w:val="21"/>
                <w:lang w:bidi="ar"/>
              </w:rPr>
              <w:t>25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46C85B6">
            <w:pPr>
              <w:widowControl/>
              <w:jc w:val="right"/>
              <w:textAlignment w:val="center"/>
              <w:rPr>
                <w:szCs w:val="21"/>
              </w:rPr>
            </w:pPr>
            <w:r>
              <w:rPr>
                <w:kern w:val="0"/>
                <w:szCs w:val="21"/>
                <w:lang w:bidi="ar"/>
              </w:rPr>
              <w:t>22</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60DBF0E0">
            <w:pPr>
              <w:widowControl/>
              <w:jc w:val="right"/>
              <w:textAlignment w:val="center"/>
              <w:rPr>
                <w:szCs w:val="21"/>
              </w:rPr>
            </w:pPr>
            <w:r>
              <w:rPr>
                <w:kern w:val="0"/>
                <w:szCs w:val="21"/>
                <w:lang w:bidi="ar"/>
              </w:rPr>
              <w:t>107</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CAF2CCA">
            <w:pPr>
              <w:widowControl/>
              <w:jc w:val="right"/>
              <w:textAlignment w:val="center"/>
              <w:rPr>
                <w:szCs w:val="21"/>
              </w:rPr>
            </w:pPr>
            <w:r>
              <w:rPr>
                <w:kern w:val="0"/>
                <w:szCs w:val="21"/>
                <w:lang w:bidi="ar"/>
              </w:rPr>
              <w:t xml:space="preserve">26.1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935137F">
            <w:pPr>
              <w:widowControl/>
              <w:jc w:val="right"/>
              <w:textAlignment w:val="center"/>
              <w:rPr>
                <w:szCs w:val="21"/>
              </w:rPr>
            </w:pPr>
            <w:r>
              <w:rPr>
                <w:kern w:val="0"/>
                <w:szCs w:val="21"/>
                <w:lang w:bidi="ar"/>
              </w:rPr>
              <w:t xml:space="preserve">37.0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A695B78">
            <w:pPr>
              <w:widowControl/>
              <w:jc w:val="right"/>
              <w:textAlignment w:val="center"/>
              <w:rPr>
                <w:szCs w:val="21"/>
              </w:rPr>
            </w:pPr>
            <w:r>
              <w:rPr>
                <w:kern w:val="0"/>
                <w:szCs w:val="21"/>
                <w:lang w:bidi="ar"/>
              </w:rPr>
              <w:t xml:space="preserve">38.2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45CE14C8">
            <w:pPr>
              <w:widowControl/>
              <w:jc w:val="right"/>
              <w:textAlignment w:val="center"/>
              <w:rPr>
                <w:szCs w:val="21"/>
              </w:rPr>
            </w:pPr>
            <w:r>
              <w:rPr>
                <w:kern w:val="0"/>
                <w:szCs w:val="21"/>
                <w:lang w:bidi="ar"/>
              </w:rPr>
              <w:t xml:space="preserve">24.4 </w:t>
            </w:r>
          </w:p>
        </w:tc>
      </w:tr>
      <w:tr w14:paraId="4107DDB4">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1969D7A1">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573A325C">
            <w:pPr>
              <w:widowControl/>
              <w:jc w:val="center"/>
              <w:textAlignment w:val="center"/>
              <w:rPr>
                <w:szCs w:val="21"/>
              </w:rPr>
            </w:pPr>
            <w:r>
              <w:rPr>
                <w:kern w:val="0"/>
                <w:szCs w:val="21"/>
                <w:lang w:bidi="ar"/>
              </w:rPr>
              <w:t>猪舍排风扇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55A304C">
            <w:pPr>
              <w:widowControl/>
              <w:jc w:val="center"/>
              <w:textAlignment w:val="center"/>
              <w:rPr>
                <w:szCs w:val="21"/>
              </w:rPr>
            </w:pPr>
            <w:r>
              <w:rPr>
                <w:kern w:val="0"/>
                <w:szCs w:val="21"/>
                <w:lang w:bidi="ar"/>
              </w:rPr>
              <w:t>18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32CBA37">
            <w:pPr>
              <w:widowControl/>
              <w:jc w:val="right"/>
              <w:textAlignment w:val="center"/>
              <w:rPr>
                <w:szCs w:val="21"/>
              </w:rPr>
            </w:pPr>
            <w:r>
              <w:rPr>
                <w:kern w:val="0"/>
                <w:szCs w:val="21"/>
                <w:lang w:bidi="ar"/>
              </w:rPr>
              <w:t>93</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9AC72EB">
            <w:pPr>
              <w:widowControl/>
              <w:jc w:val="right"/>
              <w:textAlignment w:val="center"/>
              <w:rPr>
                <w:szCs w:val="21"/>
              </w:rPr>
            </w:pPr>
            <w:r>
              <w:rPr>
                <w:kern w:val="0"/>
                <w:szCs w:val="21"/>
                <w:lang w:bidi="ar"/>
              </w:rPr>
              <w:t>30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44B9337">
            <w:pPr>
              <w:widowControl/>
              <w:jc w:val="right"/>
              <w:textAlignment w:val="center"/>
              <w:rPr>
                <w:szCs w:val="21"/>
              </w:rPr>
            </w:pPr>
            <w:r>
              <w:rPr>
                <w:kern w:val="0"/>
                <w:szCs w:val="21"/>
                <w:lang w:bidi="ar"/>
              </w:rPr>
              <w:t>27</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2890EDB9">
            <w:pPr>
              <w:widowControl/>
              <w:jc w:val="right"/>
              <w:textAlignment w:val="center"/>
              <w:rPr>
                <w:szCs w:val="21"/>
              </w:rPr>
            </w:pPr>
            <w:r>
              <w:rPr>
                <w:kern w:val="0"/>
                <w:szCs w:val="21"/>
                <w:lang w:bidi="ar"/>
              </w:rPr>
              <w:t>112</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D3917C7">
            <w:pPr>
              <w:widowControl/>
              <w:jc w:val="right"/>
              <w:textAlignment w:val="center"/>
              <w:rPr>
                <w:szCs w:val="21"/>
              </w:rPr>
            </w:pPr>
            <w:r>
              <w:rPr>
                <w:kern w:val="0"/>
                <w:szCs w:val="21"/>
                <w:lang w:bidi="ar"/>
              </w:rPr>
              <w:t xml:space="preserve">20.6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D0C7DAD">
            <w:pPr>
              <w:widowControl/>
              <w:jc w:val="right"/>
              <w:textAlignment w:val="center"/>
              <w:rPr>
                <w:szCs w:val="21"/>
              </w:rPr>
            </w:pPr>
            <w:r>
              <w:rPr>
                <w:kern w:val="0"/>
                <w:szCs w:val="21"/>
                <w:lang w:bidi="ar"/>
              </w:rPr>
              <w:t xml:space="preserve">30.5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EFB341F">
            <w:pPr>
              <w:widowControl/>
              <w:jc w:val="right"/>
              <w:textAlignment w:val="center"/>
              <w:rPr>
                <w:szCs w:val="21"/>
              </w:rPr>
            </w:pPr>
            <w:r>
              <w:rPr>
                <w:kern w:val="0"/>
                <w:szCs w:val="21"/>
                <w:lang w:bidi="ar"/>
              </w:rPr>
              <w:t xml:space="preserve">31.4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7AF70193">
            <w:pPr>
              <w:widowControl/>
              <w:jc w:val="right"/>
              <w:textAlignment w:val="center"/>
              <w:rPr>
                <w:szCs w:val="21"/>
              </w:rPr>
            </w:pPr>
            <w:r>
              <w:rPr>
                <w:kern w:val="0"/>
                <w:szCs w:val="21"/>
                <w:lang w:bidi="ar"/>
              </w:rPr>
              <w:t xml:space="preserve">19.0 </w:t>
            </w:r>
          </w:p>
        </w:tc>
      </w:tr>
      <w:tr w14:paraId="68A6D62B">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77164321">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DEE8E99">
            <w:pPr>
              <w:widowControl/>
              <w:jc w:val="center"/>
              <w:textAlignment w:val="center"/>
              <w:rPr>
                <w:szCs w:val="21"/>
              </w:rPr>
            </w:pPr>
            <w:r>
              <w:rPr>
                <w:kern w:val="0"/>
                <w:szCs w:val="21"/>
                <w:lang w:bidi="ar"/>
              </w:rPr>
              <w:t>循环水泵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2323EE5">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1FE0F0A">
            <w:pPr>
              <w:widowControl/>
              <w:jc w:val="right"/>
              <w:textAlignment w:val="center"/>
              <w:rPr>
                <w:szCs w:val="21"/>
              </w:rPr>
            </w:pPr>
            <w:r>
              <w:rPr>
                <w:kern w:val="0"/>
                <w:szCs w:val="21"/>
                <w:lang w:bidi="ar"/>
              </w:rPr>
              <w:t>30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AB80871">
            <w:pPr>
              <w:widowControl/>
              <w:jc w:val="right"/>
              <w:textAlignment w:val="center"/>
              <w:rPr>
                <w:szCs w:val="21"/>
              </w:rPr>
            </w:pPr>
            <w:r>
              <w:rPr>
                <w:kern w:val="0"/>
                <w:szCs w:val="21"/>
                <w:lang w:bidi="ar"/>
              </w:rPr>
              <w:t>92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069395E">
            <w:pPr>
              <w:widowControl/>
              <w:jc w:val="right"/>
              <w:textAlignment w:val="center"/>
              <w:rPr>
                <w:szCs w:val="21"/>
              </w:rPr>
            </w:pPr>
            <w:r>
              <w:rPr>
                <w:kern w:val="0"/>
                <w:szCs w:val="21"/>
                <w:lang w:bidi="ar"/>
              </w:rPr>
              <w:t>119</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396516A">
            <w:pPr>
              <w:widowControl/>
              <w:jc w:val="right"/>
              <w:textAlignment w:val="center"/>
              <w:rPr>
                <w:szCs w:val="21"/>
              </w:rPr>
            </w:pPr>
            <w:r>
              <w:rPr>
                <w:kern w:val="0"/>
                <w:szCs w:val="21"/>
                <w:lang w:bidi="ar"/>
              </w:rPr>
              <w:t>17</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F2A5F4C">
            <w:pPr>
              <w:widowControl/>
              <w:jc w:val="right"/>
              <w:textAlignment w:val="center"/>
              <w:rPr>
                <w:szCs w:val="21"/>
              </w:rPr>
            </w:pPr>
            <w:r>
              <w:rPr>
                <w:kern w:val="0"/>
                <w:szCs w:val="21"/>
                <w:lang w:bidi="ar"/>
              </w:rPr>
              <w:t xml:space="preserve">35.5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058FCA6">
            <w:pPr>
              <w:widowControl/>
              <w:jc w:val="right"/>
              <w:textAlignment w:val="center"/>
              <w:rPr>
                <w:szCs w:val="21"/>
              </w:rPr>
            </w:pPr>
            <w:r>
              <w:rPr>
                <w:kern w:val="0"/>
                <w:szCs w:val="21"/>
                <w:lang w:bidi="ar"/>
              </w:rPr>
              <w:t xml:space="preserve">25.7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34F9ABC">
            <w:pPr>
              <w:widowControl/>
              <w:jc w:val="right"/>
              <w:textAlignment w:val="center"/>
              <w:rPr>
                <w:szCs w:val="21"/>
              </w:rPr>
            </w:pPr>
            <w:r>
              <w:rPr>
                <w:kern w:val="0"/>
                <w:szCs w:val="21"/>
                <w:lang w:bidi="ar"/>
              </w:rPr>
              <w:t xml:space="preserve">23.5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D0FE2E0">
            <w:pPr>
              <w:widowControl/>
              <w:jc w:val="right"/>
              <w:textAlignment w:val="center"/>
              <w:rPr>
                <w:szCs w:val="21"/>
              </w:rPr>
            </w:pPr>
            <w:r>
              <w:rPr>
                <w:kern w:val="0"/>
                <w:szCs w:val="21"/>
                <w:lang w:bidi="ar"/>
              </w:rPr>
              <w:t xml:space="preserve">40.4 </w:t>
            </w:r>
          </w:p>
        </w:tc>
      </w:tr>
      <w:tr w14:paraId="213437BD">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5EBE2043">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7CB5773E">
            <w:pPr>
              <w:widowControl/>
              <w:jc w:val="center"/>
              <w:textAlignment w:val="center"/>
              <w:rPr>
                <w:szCs w:val="21"/>
              </w:rPr>
            </w:pPr>
            <w:r>
              <w:rPr>
                <w:kern w:val="0"/>
                <w:szCs w:val="21"/>
                <w:lang w:bidi="ar"/>
              </w:rPr>
              <w:t>风机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96B1A18">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6C205CB">
            <w:pPr>
              <w:widowControl/>
              <w:jc w:val="right"/>
              <w:textAlignment w:val="center"/>
              <w:rPr>
                <w:szCs w:val="21"/>
              </w:rPr>
            </w:pPr>
            <w:r>
              <w:rPr>
                <w:kern w:val="0"/>
                <w:szCs w:val="21"/>
                <w:lang w:bidi="ar"/>
              </w:rPr>
              <w:t>75</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F0E1B9A">
            <w:pPr>
              <w:widowControl/>
              <w:jc w:val="right"/>
              <w:textAlignment w:val="center"/>
              <w:rPr>
                <w:szCs w:val="21"/>
              </w:rPr>
            </w:pPr>
            <w:r>
              <w:rPr>
                <w:kern w:val="0"/>
                <w:szCs w:val="21"/>
                <w:lang w:bidi="ar"/>
              </w:rPr>
              <w:t>110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7F08D31">
            <w:pPr>
              <w:widowControl/>
              <w:jc w:val="right"/>
              <w:textAlignment w:val="center"/>
              <w:rPr>
                <w:szCs w:val="21"/>
              </w:rPr>
            </w:pPr>
            <w:r>
              <w:rPr>
                <w:kern w:val="0"/>
                <w:szCs w:val="21"/>
                <w:lang w:bidi="ar"/>
              </w:rPr>
              <w:t>77</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0A63B925">
            <w:pPr>
              <w:widowControl/>
              <w:jc w:val="right"/>
              <w:textAlignment w:val="center"/>
              <w:rPr>
                <w:szCs w:val="21"/>
              </w:rPr>
            </w:pPr>
            <w:r>
              <w:rPr>
                <w:kern w:val="0"/>
                <w:szCs w:val="21"/>
                <w:lang w:bidi="ar"/>
              </w:rPr>
              <w:t>8</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4133CEC">
            <w:pPr>
              <w:widowControl/>
              <w:jc w:val="right"/>
              <w:textAlignment w:val="center"/>
              <w:rPr>
                <w:szCs w:val="21"/>
              </w:rPr>
            </w:pPr>
            <w:r>
              <w:rPr>
                <w:kern w:val="0"/>
                <w:szCs w:val="21"/>
                <w:lang w:bidi="ar"/>
              </w:rPr>
              <w:t xml:space="preserve">27.5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2A5AB4B">
            <w:pPr>
              <w:widowControl/>
              <w:jc w:val="right"/>
              <w:textAlignment w:val="center"/>
              <w:rPr>
                <w:szCs w:val="21"/>
              </w:rPr>
            </w:pPr>
            <w:r>
              <w:rPr>
                <w:kern w:val="0"/>
                <w:szCs w:val="21"/>
                <w:lang w:bidi="ar"/>
              </w:rPr>
              <w:t xml:space="preserve">24.2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267E603">
            <w:pPr>
              <w:widowControl/>
              <w:jc w:val="right"/>
              <w:textAlignment w:val="center"/>
              <w:rPr>
                <w:szCs w:val="21"/>
              </w:rPr>
            </w:pPr>
            <w:r>
              <w:rPr>
                <w:kern w:val="0"/>
                <w:szCs w:val="21"/>
                <w:lang w:bidi="ar"/>
              </w:rPr>
              <w:t xml:space="preserve">27.3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0B2B73C">
            <w:pPr>
              <w:widowControl/>
              <w:jc w:val="right"/>
              <w:textAlignment w:val="center"/>
              <w:rPr>
                <w:szCs w:val="21"/>
              </w:rPr>
            </w:pPr>
            <w:r>
              <w:rPr>
                <w:kern w:val="0"/>
                <w:szCs w:val="21"/>
                <w:lang w:bidi="ar"/>
              </w:rPr>
              <w:t xml:space="preserve">46.9 </w:t>
            </w:r>
          </w:p>
        </w:tc>
      </w:tr>
      <w:tr w14:paraId="3D8359B6">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27766D8A">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5EB96AD">
            <w:pPr>
              <w:widowControl/>
              <w:jc w:val="center"/>
              <w:textAlignment w:val="center"/>
              <w:rPr>
                <w:szCs w:val="21"/>
              </w:rPr>
            </w:pPr>
            <w:r>
              <w:rPr>
                <w:kern w:val="0"/>
                <w:szCs w:val="21"/>
                <w:lang w:bidi="ar"/>
              </w:rPr>
              <w:t>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3570D37">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886EAEB">
            <w:pPr>
              <w:widowControl/>
              <w:jc w:val="right"/>
              <w:textAlignment w:val="center"/>
              <w:rPr>
                <w:szCs w:val="21"/>
              </w:rPr>
            </w:pPr>
            <w:r>
              <w:rPr>
                <w:kern w:val="0"/>
                <w:szCs w:val="21"/>
                <w:lang w:bidi="ar"/>
              </w:rPr>
              <w:t>130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97EAD25">
            <w:pPr>
              <w:widowControl/>
              <w:jc w:val="right"/>
              <w:textAlignment w:val="center"/>
              <w:rPr>
                <w:szCs w:val="21"/>
              </w:rPr>
            </w:pPr>
            <w:r>
              <w:rPr>
                <w:kern w:val="0"/>
                <w:szCs w:val="21"/>
                <w:lang w:bidi="ar"/>
              </w:rPr>
              <w:t>99</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D897722">
            <w:pPr>
              <w:widowControl/>
              <w:jc w:val="right"/>
              <w:textAlignment w:val="center"/>
              <w:rPr>
                <w:szCs w:val="21"/>
              </w:rPr>
            </w:pPr>
            <w:r>
              <w:rPr>
                <w:kern w:val="0"/>
                <w:szCs w:val="21"/>
                <w:lang w:bidi="ar"/>
              </w:rPr>
              <w:t>27</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5BD59AD7">
            <w:pPr>
              <w:widowControl/>
              <w:jc w:val="right"/>
              <w:textAlignment w:val="center"/>
              <w:rPr>
                <w:szCs w:val="21"/>
              </w:rPr>
            </w:pPr>
            <w:r>
              <w:rPr>
                <w:kern w:val="0"/>
                <w:szCs w:val="21"/>
                <w:lang w:bidi="ar"/>
              </w:rPr>
              <w:t>20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8F58153">
            <w:pPr>
              <w:widowControl/>
              <w:jc w:val="right"/>
              <w:textAlignment w:val="center"/>
              <w:rPr>
                <w:szCs w:val="21"/>
              </w:rPr>
            </w:pPr>
            <w:r>
              <w:rPr>
                <w:kern w:val="0"/>
                <w:szCs w:val="21"/>
                <w:lang w:bidi="ar"/>
              </w:rPr>
              <w:t xml:space="preserve">22.7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F4B9B6F">
            <w:pPr>
              <w:widowControl/>
              <w:jc w:val="right"/>
              <w:textAlignment w:val="center"/>
              <w:rPr>
                <w:szCs w:val="21"/>
              </w:rPr>
            </w:pPr>
            <w:r>
              <w:rPr>
                <w:kern w:val="0"/>
                <w:szCs w:val="21"/>
                <w:lang w:bidi="ar"/>
              </w:rPr>
              <w:t xml:space="preserve">25.1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092A77E">
            <w:pPr>
              <w:widowControl/>
              <w:jc w:val="right"/>
              <w:textAlignment w:val="center"/>
              <w:rPr>
                <w:szCs w:val="21"/>
              </w:rPr>
            </w:pPr>
            <w:r>
              <w:rPr>
                <w:kern w:val="0"/>
                <w:szCs w:val="21"/>
                <w:lang w:bidi="ar"/>
              </w:rPr>
              <w:t xml:space="preserve">36.4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6F6A33AE">
            <w:pPr>
              <w:widowControl/>
              <w:jc w:val="right"/>
              <w:textAlignment w:val="center"/>
              <w:rPr>
                <w:szCs w:val="21"/>
              </w:rPr>
            </w:pPr>
            <w:r>
              <w:rPr>
                <w:kern w:val="0"/>
                <w:szCs w:val="21"/>
                <w:lang w:bidi="ar"/>
              </w:rPr>
              <w:t xml:space="preserve">39.0 </w:t>
            </w:r>
          </w:p>
        </w:tc>
      </w:tr>
      <w:tr w14:paraId="272CD790">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50E0D89D">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0CA9945">
            <w:pPr>
              <w:widowControl/>
              <w:jc w:val="center"/>
              <w:textAlignment w:val="center"/>
              <w:rPr>
                <w:szCs w:val="21"/>
              </w:rPr>
            </w:pPr>
            <w:r>
              <w:rPr>
                <w:kern w:val="0"/>
                <w:szCs w:val="21"/>
                <w:lang w:bidi="ar"/>
              </w:rPr>
              <w:t>固液分离机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15396E5">
            <w:pPr>
              <w:widowControl/>
              <w:jc w:val="center"/>
              <w:textAlignment w:val="center"/>
              <w:rPr>
                <w:szCs w:val="21"/>
              </w:rPr>
            </w:pPr>
            <w:r>
              <w:rPr>
                <w:kern w:val="0"/>
                <w:szCs w:val="21"/>
                <w:lang w:bidi="ar"/>
              </w:rPr>
              <w:t>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8A5F617">
            <w:pPr>
              <w:widowControl/>
              <w:jc w:val="right"/>
              <w:textAlignment w:val="center"/>
              <w:rPr>
                <w:szCs w:val="21"/>
              </w:rPr>
            </w:pPr>
            <w:r>
              <w:rPr>
                <w:kern w:val="0"/>
                <w:szCs w:val="21"/>
                <w:lang w:bidi="ar"/>
              </w:rPr>
              <w:t>70</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507228B">
            <w:pPr>
              <w:widowControl/>
              <w:jc w:val="right"/>
              <w:textAlignment w:val="center"/>
              <w:rPr>
                <w:szCs w:val="21"/>
              </w:rPr>
            </w:pPr>
            <w:r>
              <w:rPr>
                <w:kern w:val="0"/>
                <w:szCs w:val="21"/>
                <w:lang w:bidi="ar"/>
              </w:rPr>
              <w:t>111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63DEAE3">
            <w:pPr>
              <w:widowControl/>
              <w:jc w:val="right"/>
              <w:textAlignment w:val="center"/>
              <w:rPr>
                <w:szCs w:val="21"/>
              </w:rPr>
            </w:pPr>
            <w:r>
              <w:rPr>
                <w:kern w:val="0"/>
                <w:szCs w:val="21"/>
                <w:lang w:bidi="ar"/>
              </w:rPr>
              <w:t>77</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1BD44B4">
            <w:pPr>
              <w:widowControl/>
              <w:jc w:val="right"/>
              <w:textAlignment w:val="center"/>
              <w:rPr>
                <w:szCs w:val="21"/>
              </w:rPr>
            </w:pPr>
            <w:r>
              <w:rPr>
                <w:kern w:val="0"/>
                <w:szCs w:val="21"/>
                <w:lang w:bidi="ar"/>
              </w:rPr>
              <w:t>30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68EF541">
            <w:pPr>
              <w:widowControl/>
              <w:jc w:val="right"/>
              <w:textAlignment w:val="center"/>
              <w:rPr>
                <w:szCs w:val="21"/>
              </w:rPr>
            </w:pPr>
            <w:r>
              <w:rPr>
                <w:kern w:val="0"/>
                <w:szCs w:val="21"/>
                <w:lang w:bidi="ar"/>
              </w:rPr>
              <w:t xml:space="preserve">28.1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CDC6DB5">
            <w:pPr>
              <w:widowControl/>
              <w:jc w:val="right"/>
              <w:textAlignment w:val="center"/>
              <w:rPr>
                <w:szCs w:val="21"/>
              </w:rPr>
            </w:pPr>
            <w:r>
              <w:rPr>
                <w:kern w:val="0"/>
                <w:szCs w:val="21"/>
                <w:lang w:bidi="ar"/>
              </w:rPr>
              <w:t xml:space="preserve">24.1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EB6D09A">
            <w:pPr>
              <w:widowControl/>
              <w:jc w:val="right"/>
              <w:textAlignment w:val="center"/>
              <w:rPr>
                <w:szCs w:val="21"/>
              </w:rPr>
            </w:pPr>
            <w:r>
              <w:rPr>
                <w:kern w:val="0"/>
                <w:szCs w:val="21"/>
                <w:lang w:bidi="ar"/>
              </w:rPr>
              <w:t xml:space="preserve">27.3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1D716C88">
            <w:pPr>
              <w:widowControl/>
              <w:jc w:val="right"/>
              <w:textAlignment w:val="center"/>
              <w:rPr>
                <w:szCs w:val="21"/>
              </w:rPr>
            </w:pPr>
            <w:r>
              <w:rPr>
                <w:kern w:val="0"/>
                <w:szCs w:val="21"/>
                <w:lang w:bidi="ar"/>
              </w:rPr>
              <w:t xml:space="preserve">35.5 </w:t>
            </w:r>
          </w:p>
        </w:tc>
      </w:tr>
      <w:tr w14:paraId="03766AB2">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22EB1423">
            <w:pPr>
              <w:widowControl/>
              <w:jc w:val="center"/>
              <w:textAlignment w:val="center"/>
              <w:rPr>
                <w:szCs w:val="21"/>
              </w:rPr>
            </w:pPr>
            <w:r>
              <w:rPr>
                <w:kern w:val="0"/>
                <w:szCs w:val="21"/>
                <w:lang w:bidi="ar"/>
              </w:rPr>
              <w:t>厂界叠加值</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C81B3DC">
            <w:pPr>
              <w:widowControl/>
              <w:jc w:val="right"/>
              <w:textAlignment w:val="center"/>
              <w:rPr>
                <w:szCs w:val="21"/>
              </w:rPr>
            </w:pPr>
            <w:r>
              <w:rPr>
                <w:kern w:val="0"/>
                <w:szCs w:val="21"/>
                <w:lang w:bidi="ar"/>
              </w:rPr>
              <w:t xml:space="preserve">39.1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BE31AEF">
            <w:pPr>
              <w:widowControl/>
              <w:jc w:val="right"/>
              <w:textAlignment w:val="center"/>
              <w:rPr>
                <w:szCs w:val="21"/>
              </w:rPr>
            </w:pPr>
            <w:r>
              <w:rPr>
                <w:kern w:val="0"/>
                <w:szCs w:val="21"/>
                <w:lang w:bidi="ar"/>
              </w:rPr>
              <w:t xml:space="preserve">45.6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F4A815B">
            <w:pPr>
              <w:widowControl/>
              <w:jc w:val="right"/>
              <w:textAlignment w:val="center"/>
              <w:rPr>
                <w:szCs w:val="21"/>
              </w:rPr>
            </w:pPr>
            <w:r>
              <w:rPr>
                <w:kern w:val="0"/>
                <w:szCs w:val="21"/>
                <w:lang w:bidi="ar"/>
              </w:rPr>
              <w:t xml:space="preserve">47.0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09179A86">
            <w:pPr>
              <w:widowControl/>
              <w:jc w:val="right"/>
              <w:textAlignment w:val="center"/>
              <w:rPr>
                <w:szCs w:val="21"/>
              </w:rPr>
            </w:pPr>
            <w:r>
              <w:rPr>
                <w:kern w:val="0"/>
                <w:szCs w:val="21"/>
                <w:lang w:bidi="ar"/>
              </w:rPr>
              <w:t xml:space="preserve">48.7 </w:t>
            </w:r>
          </w:p>
        </w:tc>
      </w:tr>
      <w:tr w14:paraId="21E8FA41">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0A1BDD5D">
            <w:pPr>
              <w:widowControl/>
              <w:jc w:val="center"/>
              <w:textAlignment w:val="center"/>
              <w:rPr>
                <w:szCs w:val="21"/>
              </w:rPr>
            </w:pPr>
            <w:r>
              <w:rPr>
                <w:kern w:val="0"/>
                <w:szCs w:val="21"/>
                <w:lang w:bidi="ar"/>
              </w:rPr>
              <w:t>标准值</w:t>
            </w:r>
          </w:p>
        </w:tc>
        <w:tc>
          <w:tcPr>
            <w:tcW w:w="1831" w:type="pct"/>
            <w:gridSpan w:val="4"/>
            <w:tcBorders>
              <w:top w:val="single" w:color="000000" w:sz="4" w:space="0"/>
              <w:left w:val="single" w:color="000000" w:sz="4" w:space="0"/>
              <w:bottom w:val="single" w:color="000000" w:sz="4" w:space="0"/>
              <w:right w:val="single" w:color="000000" w:sz="4" w:space="0"/>
            </w:tcBorders>
            <w:noWrap/>
            <w:vAlign w:val="center"/>
          </w:tcPr>
          <w:p w14:paraId="56F4E57F">
            <w:pPr>
              <w:widowControl/>
              <w:jc w:val="center"/>
              <w:textAlignment w:val="center"/>
              <w:rPr>
                <w:szCs w:val="21"/>
              </w:rPr>
            </w:pPr>
            <w:r>
              <w:rPr>
                <w:kern w:val="0"/>
                <w:szCs w:val="21"/>
                <w:lang w:bidi="ar"/>
              </w:rPr>
              <w:t>昼间≤60、夜间≤50</w:t>
            </w:r>
          </w:p>
        </w:tc>
      </w:tr>
      <w:tr w14:paraId="28F067D3">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75B32811">
            <w:pPr>
              <w:widowControl/>
              <w:jc w:val="center"/>
              <w:textAlignment w:val="center"/>
              <w:rPr>
                <w:szCs w:val="21"/>
              </w:rPr>
            </w:pPr>
            <w:r>
              <w:rPr>
                <w:kern w:val="0"/>
                <w:szCs w:val="21"/>
                <w:lang w:bidi="ar"/>
              </w:rPr>
              <w:t>达标情况</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799FD3D">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1F09BE5">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A84BEDC">
            <w:pPr>
              <w:widowControl/>
              <w:jc w:val="left"/>
              <w:textAlignment w:val="center"/>
              <w:rPr>
                <w:szCs w:val="21"/>
              </w:rPr>
            </w:pPr>
            <w:r>
              <w:rPr>
                <w:kern w:val="0"/>
                <w:szCs w:val="21"/>
                <w:lang w:bidi="ar"/>
              </w:rPr>
              <w:t>达标</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65B58F29">
            <w:pPr>
              <w:widowControl/>
              <w:jc w:val="left"/>
              <w:textAlignment w:val="center"/>
              <w:rPr>
                <w:szCs w:val="21"/>
              </w:rPr>
            </w:pPr>
            <w:r>
              <w:rPr>
                <w:kern w:val="0"/>
                <w:szCs w:val="21"/>
                <w:lang w:bidi="ar"/>
              </w:rPr>
              <w:t>达标</w:t>
            </w:r>
          </w:p>
        </w:tc>
      </w:tr>
      <w:tr w14:paraId="246237A6">
        <w:tblPrEx>
          <w:tblCellMar>
            <w:top w:w="0" w:type="dxa"/>
            <w:left w:w="108" w:type="dxa"/>
            <w:bottom w:w="0" w:type="dxa"/>
            <w:right w:w="108" w:type="dxa"/>
          </w:tblCellMar>
        </w:tblPrEx>
        <w:trPr>
          <w:trHeight w:val="285" w:hRule="atLeast"/>
        </w:trPr>
        <w:tc>
          <w:tcPr>
            <w:tcW w:w="531" w:type="pct"/>
            <w:vMerge w:val="restart"/>
            <w:tcBorders>
              <w:top w:val="single" w:color="000000" w:sz="4" w:space="0"/>
              <w:left w:val="single" w:color="000000" w:sz="4" w:space="0"/>
              <w:bottom w:val="single" w:color="000000" w:sz="4" w:space="0"/>
              <w:right w:val="single" w:color="000000" w:sz="4" w:space="0"/>
            </w:tcBorders>
            <w:noWrap/>
            <w:vAlign w:val="center"/>
          </w:tcPr>
          <w:p w14:paraId="20D8326C">
            <w:pPr>
              <w:widowControl/>
              <w:jc w:val="center"/>
              <w:textAlignment w:val="center"/>
              <w:rPr>
                <w:szCs w:val="21"/>
              </w:rPr>
            </w:pPr>
            <w:r>
              <w:rPr>
                <w:kern w:val="0"/>
                <w:szCs w:val="21"/>
                <w:lang w:bidi="ar"/>
              </w:rPr>
              <w:t>5号地</w:t>
            </w: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CAC70D3">
            <w:pPr>
              <w:widowControl/>
              <w:jc w:val="center"/>
              <w:textAlignment w:val="center"/>
              <w:rPr>
                <w:szCs w:val="21"/>
              </w:rPr>
            </w:pPr>
            <w:r>
              <w:rPr>
                <w:kern w:val="0"/>
                <w:szCs w:val="21"/>
                <w:lang w:bidi="ar"/>
              </w:rPr>
              <w:t>猪只叫声</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B193BBB">
            <w:pPr>
              <w:widowControl/>
              <w:jc w:val="center"/>
              <w:textAlignment w:val="center"/>
              <w:rPr>
                <w:szCs w:val="21"/>
              </w:rPr>
            </w:pPr>
            <w:r>
              <w:rPr>
                <w:kern w:val="0"/>
                <w:szCs w:val="21"/>
                <w:lang w:bidi="ar"/>
              </w:rPr>
              <w:t>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5021CCD">
            <w:pPr>
              <w:widowControl/>
              <w:jc w:val="right"/>
              <w:textAlignment w:val="center"/>
              <w:rPr>
                <w:szCs w:val="21"/>
              </w:rPr>
            </w:pPr>
            <w:r>
              <w:rPr>
                <w:kern w:val="0"/>
                <w:szCs w:val="21"/>
                <w:lang w:bidi="ar"/>
              </w:rPr>
              <w:t>93</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E37C33D">
            <w:pPr>
              <w:widowControl/>
              <w:jc w:val="right"/>
              <w:textAlignment w:val="center"/>
              <w:rPr>
                <w:szCs w:val="21"/>
              </w:rPr>
            </w:pPr>
            <w:r>
              <w:rPr>
                <w:kern w:val="0"/>
                <w:szCs w:val="21"/>
                <w:lang w:bidi="ar"/>
              </w:rPr>
              <w:t>26</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D5252BA">
            <w:pPr>
              <w:widowControl/>
              <w:jc w:val="right"/>
              <w:textAlignment w:val="center"/>
              <w:rPr>
                <w:szCs w:val="21"/>
              </w:rPr>
            </w:pPr>
            <w:r>
              <w:rPr>
                <w:kern w:val="0"/>
                <w:szCs w:val="21"/>
                <w:lang w:bidi="ar"/>
              </w:rPr>
              <w:t>26</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FF2B70A">
            <w:pPr>
              <w:widowControl/>
              <w:jc w:val="right"/>
              <w:textAlignment w:val="center"/>
              <w:rPr>
                <w:szCs w:val="21"/>
              </w:rPr>
            </w:pPr>
            <w:r>
              <w:rPr>
                <w:kern w:val="0"/>
                <w:szCs w:val="21"/>
                <w:lang w:bidi="ar"/>
              </w:rPr>
              <w:t>30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CFDCFEA">
            <w:pPr>
              <w:widowControl/>
              <w:jc w:val="right"/>
              <w:textAlignment w:val="center"/>
              <w:rPr>
                <w:szCs w:val="21"/>
              </w:rPr>
            </w:pPr>
            <w:r>
              <w:rPr>
                <w:kern w:val="0"/>
                <w:szCs w:val="21"/>
                <w:lang w:bidi="ar"/>
              </w:rPr>
              <w:t xml:space="preserve">25.6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DF4A709">
            <w:pPr>
              <w:widowControl/>
              <w:jc w:val="right"/>
              <w:textAlignment w:val="center"/>
              <w:rPr>
                <w:szCs w:val="21"/>
              </w:rPr>
            </w:pPr>
            <w:r>
              <w:rPr>
                <w:kern w:val="0"/>
                <w:szCs w:val="21"/>
                <w:lang w:bidi="ar"/>
              </w:rPr>
              <w:t xml:space="preserve">36.7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136C1DC">
            <w:pPr>
              <w:widowControl/>
              <w:jc w:val="right"/>
              <w:textAlignment w:val="center"/>
              <w:rPr>
                <w:szCs w:val="21"/>
              </w:rPr>
            </w:pPr>
            <w:r>
              <w:rPr>
                <w:kern w:val="0"/>
                <w:szCs w:val="21"/>
                <w:lang w:bidi="ar"/>
              </w:rPr>
              <w:t xml:space="preserve">36.7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3CF43FEA">
            <w:pPr>
              <w:widowControl/>
              <w:jc w:val="right"/>
              <w:textAlignment w:val="center"/>
              <w:rPr>
                <w:szCs w:val="21"/>
              </w:rPr>
            </w:pPr>
            <w:r>
              <w:rPr>
                <w:kern w:val="0"/>
                <w:szCs w:val="21"/>
                <w:lang w:bidi="ar"/>
              </w:rPr>
              <w:t xml:space="preserve">35.5 </w:t>
            </w:r>
          </w:p>
        </w:tc>
      </w:tr>
      <w:tr w14:paraId="6E421D73">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58121BB1">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1308B335">
            <w:pPr>
              <w:widowControl/>
              <w:jc w:val="center"/>
              <w:textAlignment w:val="center"/>
              <w:rPr>
                <w:szCs w:val="21"/>
              </w:rPr>
            </w:pPr>
            <w:r>
              <w:rPr>
                <w:kern w:val="0"/>
                <w:szCs w:val="21"/>
                <w:lang w:bidi="ar"/>
              </w:rPr>
              <w:t>猪舍排风扇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0A19BB0">
            <w:pPr>
              <w:widowControl/>
              <w:jc w:val="center"/>
              <w:textAlignment w:val="center"/>
              <w:rPr>
                <w:szCs w:val="21"/>
              </w:rPr>
            </w:pPr>
            <w:r>
              <w:rPr>
                <w:kern w:val="0"/>
                <w:szCs w:val="21"/>
                <w:lang w:bidi="ar"/>
              </w:rPr>
              <w:t>24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B3D3C40">
            <w:pPr>
              <w:widowControl/>
              <w:jc w:val="right"/>
              <w:textAlignment w:val="center"/>
              <w:rPr>
                <w:szCs w:val="21"/>
              </w:rPr>
            </w:pPr>
            <w:r>
              <w:rPr>
                <w:kern w:val="0"/>
                <w:szCs w:val="21"/>
                <w:lang w:bidi="ar"/>
              </w:rPr>
              <w:t>98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1DA7E5F7">
            <w:pPr>
              <w:widowControl/>
              <w:jc w:val="right"/>
              <w:textAlignment w:val="center"/>
              <w:rPr>
                <w:szCs w:val="21"/>
              </w:rPr>
            </w:pPr>
            <w:r>
              <w:rPr>
                <w:kern w:val="0"/>
                <w:szCs w:val="21"/>
                <w:lang w:bidi="ar"/>
              </w:rPr>
              <w:t>31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C41F81B">
            <w:pPr>
              <w:widowControl/>
              <w:jc w:val="right"/>
              <w:textAlignment w:val="center"/>
              <w:rPr>
                <w:szCs w:val="21"/>
              </w:rPr>
            </w:pPr>
            <w:r>
              <w:rPr>
                <w:kern w:val="0"/>
                <w:szCs w:val="21"/>
                <w:lang w:bidi="ar"/>
              </w:rPr>
              <w:t>31</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8B05684">
            <w:pPr>
              <w:widowControl/>
              <w:jc w:val="right"/>
              <w:textAlignment w:val="center"/>
              <w:rPr>
                <w:szCs w:val="21"/>
              </w:rPr>
            </w:pPr>
            <w:r>
              <w:rPr>
                <w:kern w:val="0"/>
                <w:szCs w:val="21"/>
                <w:lang w:bidi="ar"/>
              </w:rPr>
              <w:t>35</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2A81600E">
            <w:pPr>
              <w:widowControl/>
              <w:jc w:val="right"/>
              <w:textAlignment w:val="center"/>
              <w:rPr>
                <w:szCs w:val="21"/>
              </w:rPr>
            </w:pPr>
            <w:r>
              <w:rPr>
                <w:kern w:val="0"/>
                <w:szCs w:val="21"/>
                <w:lang w:bidi="ar"/>
              </w:rPr>
              <w:t xml:space="preserve">20.2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DD6BF0E">
            <w:pPr>
              <w:widowControl/>
              <w:jc w:val="right"/>
              <w:textAlignment w:val="center"/>
              <w:rPr>
                <w:szCs w:val="21"/>
              </w:rPr>
            </w:pPr>
            <w:r>
              <w:rPr>
                <w:kern w:val="0"/>
                <w:szCs w:val="21"/>
                <w:lang w:bidi="ar"/>
              </w:rPr>
              <w:t xml:space="preserve">30.2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902AA36">
            <w:pPr>
              <w:widowControl/>
              <w:jc w:val="right"/>
              <w:textAlignment w:val="center"/>
              <w:rPr>
                <w:szCs w:val="21"/>
              </w:rPr>
            </w:pPr>
            <w:r>
              <w:rPr>
                <w:kern w:val="0"/>
                <w:szCs w:val="21"/>
                <w:lang w:bidi="ar"/>
              </w:rPr>
              <w:t xml:space="preserve">30.2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6BE38A0C">
            <w:pPr>
              <w:widowControl/>
              <w:jc w:val="right"/>
              <w:textAlignment w:val="center"/>
              <w:rPr>
                <w:szCs w:val="21"/>
              </w:rPr>
            </w:pPr>
            <w:r>
              <w:rPr>
                <w:kern w:val="0"/>
                <w:szCs w:val="21"/>
                <w:lang w:bidi="ar"/>
              </w:rPr>
              <w:t xml:space="preserve">29.1 </w:t>
            </w:r>
          </w:p>
        </w:tc>
      </w:tr>
      <w:tr w14:paraId="5A91B186">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60568C3A">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3A9B7E23">
            <w:pPr>
              <w:widowControl/>
              <w:jc w:val="center"/>
              <w:textAlignment w:val="center"/>
              <w:rPr>
                <w:szCs w:val="21"/>
              </w:rPr>
            </w:pPr>
            <w:r>
              <w:rPr>
                <w:kern w:val="0"/>
                <w:szCs w:val="21"/>
                <w:lang w:bidi="ar"/>
              </w:rPr>
              <w:t>循环水泵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B603BFF">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526E2A63">
            <w:pPr>
              <w:widowControl/>
              <w:jc w:val="right"/>
              <w:textAlignment w:val="center"/>
              <w:rPr>
                <w:szCs w:val="21"/>
              </w:rPr>
            </w:pPr>
            <w:r>
              <w:rPr>
                <w:kern w:val="0"/>
                <w:szCs w:val="21"/>
                <w:lang w:bidi="ar"/>
              </w:rPr>
              <w:t>12</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602BC8DF">
            <w:pPr>
              <w:widowControl/>
              <w:jc w:val="right"/>
              <w:textAlignment w:val="center"/>
              <w:rPr>
                <w:szCs w:val="21"/>
              </w:rPr>
            </w:pPr>
            <w:r>
              <w:rPr>
                <w:kern w:val="0"/>
                <w:szCs w:val="21"/>
                <w:lang w:bidi="ar"/>
              </w:rPr>
              <w:t>18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749151E">
            <w:pPr>
              <w:widowControl/>
              <w:jc w:val="right"/>
              <w:textAlignment w:val="center"/>
              <w:rPr>
                <w:szCs w:val="21"/>
              </w:rPr>
            </w:pPr>
            <w:r>
              <w:rPr>
                <w:kern w:val="0"/>
                <w:szCs w:val="21"/>
                <w:lang w:bidi="ar"/>
              </w:rPr>
              <w:t>43</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3749C2B">
            <w:pPr>
              <w:widowControl/>
              <w:jc w:val="right"/>
              <w:textAlignment w:val="center"/>
              <w:rPr>
                <w:szCs w:val="21"/>
              </w:rPr>
            </w:pPr>
            <w:r>
              <w:rPr>
                <w:kern w:val="0"/>
                <w:szCs w:val="21"/>
                <w:lang w:bidi="ar"/>
              </w:rPr>
              <w:t>12</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65CAF03">
            <w:pPr>
              <w:widowControl/>
              <w:jc w:val="right"/>
              <w:textAlignment w:val="center"/>
              <w:rPr>
                <w:szCs w:val="21"/>
              </w:rPr>
            </w:pPr>
            <w:r>
              <w:rPr>
                <w:kern w:val="0"/>
                <w:szCs w:val="21"/>
                <w:lang w:bidi="ar"/>
              </w:rPr>
              <w:t xml:space="preserve">43.4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27A4986">
            <w:pPr>
              <w:widowControl/>
              <w:jc w:val="right"/>
              <w:textAlignment w:val="center"/>
              <w:rPr>
                <w:szCs w:val="21"/>
              </w:rPr>
            </w:pPr>
            <w:r>
              <w:rPr>
                <w:kern w:val="0"/>
                <w:szCs w:val="21"/>
                <w:lang w:bidi="ar"/>
              </w:rPr>
              <w:t xml:space="preserve">39.9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432E03F">
            <w:pPr>
              <w:widowControl/>
              <w:jc w:val="right"/>
              <w:textAlignment w:val="center"/>
              <w:rPr>
                <w:szCs w:val="21"/>
              </w:rPr>
            </w:pPr>
            <w:r>
              <w:rPr>
                <w:kern w:val="0"/>
                <w:szCs w:val="21"/>
                <w:lang w:bidi="ar"/>
              </w:rPr>
              <w:t xml:space="preserve">32.3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7F58399B">
            <w:pPr>
              <w:widowControl/>
              <w:jc w:val="right"/>
              <w:textAlignment w:val="center"/>
              <w:rPr>
                <w:szCs w:val="21"/>
              </w:rPr>
            </w:pPr>
            <w:r>
              <w:rPr>
                <w:kern w:val="0"/>
                <w:szCs w:val="21"/>
                <w:lang w:bidi="ar"/>
              </w:rPr>
              <w:t xml:space="preserve">43.4 </w:t>
            </w:r>
          </w:p>
        </w:tc>
      </w:tr>
      <w:tr w14:paraId="358BDBDF">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6FBBDE19">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0E3E5FA0">
            <w:pPr>
              <w:widowControl/>
              <w:jc w:val="center"/>
              <w:textAlignment w:val="center"/>
              <w:rPr>
                <w:szCs w:val="21"/>
              </w:rPr>
            </w:pPr>
            <w:r>
              <w:rPr>
                <w:kern w:val="0"/>
                <w:szCs w:val="21"/>
                <w:lang w:bidi="ar"/>
              </w:rPr>
              <w:t>风机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EDA6C0B">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7D983D5A">
            <w:pPr>
              <w:widowControl/>
              <w:jc w:val="right"/>
              <w:textAlignment w:val="center"/>
              <w:rPr>
                <w:szCs w:val="21"/>
              </w:rPr>
            </w:pPr>
            <w:r>
              <w:rPr>
                <w:kern w:val="0"/>
                <w:szCs w:val="21"/>
                <w:lang w:bidi="ar"/>
              </w:rPr>
              <w:t>28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7BB109A">
            <w:pPr>
              <w:widowControl/>
              <w:jc w:val="right"/>
              <w:textAlignment w:val="center"/>
              <w:rPr>
                <w:szCs w:val="21"/>
              </w:rPr>
            </w:pPr>
            <w:r>
              <w:rPr>
                <w:kern w:val="0"/>
                <w:szCs w:val="21"/>
                <w:lang w:bidi="ar"/>
              </w:rPr>
              <w:t>96</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815509E">
            <w:pPr>
              <w:widowControl/>
              <w:jc w:val="right"/>
              <w:textAlignment w:val="center"/>
              <w:rPr>
                <w:szCs w:val="21"/>
              </w:rPr>
            </w:pPr>
            <w:r>
              <w:rPr>
                <w:kern w:val="0"/>
                <w:szCs w:val="21"/>
                <w:lang w:bidi="ar"/>
              </w:rPr>
              <w:t>63</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C7E38C4">
            <w:pPr>
              <w:widowControl/>
              <w:jc w:val="right"/>
              <w:textAlignment w:val="center"/>
              <w:rPr>
                <w:szCs w:val="21"/>
              </w:rPr>
            </w:pPr>
            <w:r>
              <w:rPr>
                <w:kern w:val="0"/>
                <w:szCs w:val="21"/>
                <w:lang w:bidi="ar"/>
              </w:rPr>
              <w:t>13</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9DDC028">
            <w:pPr>
              <w:widowControl/>
              <w:jc w:val="right"/>
              <w:textAlignment w:val="center"/>
              <w:rPr>
                <w:szCs w:val="21"/>
              </w:rPr>
            </w:pPr>
            <w:r>
              <w:rPr>
                <w:kern w:val="0"/>
                <w:szCs w:val="21"/>
                <w:lang w:bidi="ar"/>
              </w:rPr>
              <w:t xml:space="preserve">36.1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5678CC3">
            <w:pPr>
              <w:widowControl/>
              <w:jc w:val="right"/>
              <w:textAlignment w:val="center"/>
              <w:rPr>
                <w:szCs w:val="21"/>
              </w:rPr>
            </w:pPr>
            <w:r>
              <w:rPr>
                <w:kern w:val="0"/>
                <w:szCs w:val="21"/>
                <w:lang w:bidi="ar"/>
              </w:rPr>
              <w:t xml:space="preserve">25.4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6FF61BA">
            <w:pPr>
              <w:widowControl/>
              <w:jc w:val="right"/>
              <w:textAlignment w:val="center"/>
              <w:rPr>
                <w:szCs w:val="21"/>
              </w:rPr>
            </w:pPr>
            <w:r>
              <w:rPr>
                <w:kern w:val="0"/>
                <w:szCs w:val="21"/>
                <w:lang w:bidi="ar"/>
              </w:rPr>
              <w:t xml:space="preserve">29.0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052AFCE">
            <w:pPr>
              <w:widowControl/>
              <w:jc w:val="right"/>
              <w:textAlignment w:val="center"/>
              <w:rPr>
                <w:szCs w:val="21"/>
              </w:rPr>
            </w:pPr>
            <w:r>
              <w:rPr>
                <w:kern w:val="0"/>
                <w:szCs w:val="21"/>
                <w:lang w:bidi="ar"/>
              </w:rPr>
              <w:t xml:space="preserve">42.7 </w:t>
            </w:r>
          </w:p>
        </w:tc>
      </w:tr>
      <w:tr w14:paraId="016D9B02">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53C3D9AE">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7E59FF68">
            <w:pPr>
              <w:widowControl/>
              <w:jc w:val="center"/>
              <w:textAlignment w:val="center"/>
              <w:rPr>
                <w:szCs w:val="21"/>
              </w:rPr>
            </w:pPr>
            <w:r>
              <w:rPr>
                <w:kern w:val="0"/>
                <w:szCs w:val="21"/>
                <w:lang w:bidi="ar"/>
              </w:rPr>
              <w:t>水泵</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33825D1B">
            <w:pPr>
              <w:widowControl/>
              <w:jc w:val="center"/>
              <w:textAlignment w:val="center"/>
              <w:rPr>
                <w:szCs w:val="21"/>
              </w:rPr>
            </w:pPr>
            <w:r>
              <w:rPr>
                <w:kern w:val="0"/>
                <w:szCs w:val="21"/>
                <w:lang w:bidi="ar"/>
              </w:rPr>
              <w:t>2（一用一备）</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2713418B">
            <w:pPr>
              <w:widowControl/>
              <w:jc w:val="right"/>
              <w:textAlignment w:val="center"/>
              <w:rPr>
                <w:szCs w:val="21"/>
              </w:rPr>
            </w:pPr>
            <w:r>
              <w:rPr>
                <w:kern w:val="0"/>
                <w:szCs w:val="21"/>
                <w:lang w:bidi="ar"/>
              </w:rPr>
              <w:t>38</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0EC3316">
            <w:pPr>
              <w:widowControl/>
              <w:jc w:val="right"/>
              <w:textAlignment w:val="center"/>
              <w:rPr>
                <w:szCs w:val="21"/>
              </w:rPr>
            </w:pPr>
            <w:r>
              <w:rPr>
                <w:kern w:val="0"/>
                <w:szCs w:val="21"/>
                <w:lang w:bidi="ar"/>
              </w:rPr>
              <w:t>244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363F2ED6">
            <w:pPr>
              <w:widowControl/>
              <w:jc w:val="right"/>
              <w:textAlignment w:val="center"/>
              <w:rPr>
                <w:szCs w:val="21"/>
              </w:rPr>
            </w:pPr>
            <w:r>
              <w:rPr>
                <w:kern w:val="0"/>
                <w:szCs w:val="21"/>
                <w:lang w:bidi="ar"/>
              </w:rPr>
              <w:t>33</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2CA9502">
            <w:pPr>
              <w:widowControl/>
              <w:jc w:val="right"/>
              <w:textAlignment w:val="center"/>
              <w:rPr>
                <w:szCs w:val="21"/>
              </w:rPr>
            </w:pPr>
            <w:r>
              <w:rPr>
                <w:kern w:val="0"/>
                <w:szCs w:val="21"/>
                <w:lang w:bidi="ar"/>
              </w:rPr>
              <w:t>20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304234A">
            <w:pPr>
              <w:widowControl/>
              <w:jc w:val="right"/>
              <w:textAlignment w:val="center"/>
              <w:rPr>
                <w:szCs w:val="21"/>
              </w:rPr>
            </w:pPr>
            <w:r>
              <w:rPr>
                <w:kern w:val="0"/>
                <w:szCs w:val="21"/>
                <w:lang w:bidi="ar"/>
              </w:rPr>
              <w:t xml:space="preserve">33.4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9FC5371">
            <w:pPr>
              <w:widowControl/>
              <w:jc w:val="right"/>
              <w:textAlignment w:val="center"/>
              <w:rPr>
                <w:szCs w:val="21"/>
              </w:rPr>
            </w:pPr>
            <w:r>
              <w:rPr>
                <w:kern w:val="0"/>
                <w:szCs w:val="21"/>
                <w:lang w:bidi="ar"/>
              </w:rPr>
              <w:t xml:space="preserve">17.3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95FA187">
            <w:pPr>
              <w:widowControl/>
              <w:jc w:val="right"/>
              <w:textAlignment w:val="center"/>
              <w:rPr>
                <w:szCs w:val="21"/>
              </w:rPr>
            </w:pPr>
            <w:r>
              <w:rPr>
                <w:kern w:val="0"/>
                <w:szCs w:val="21"/>
                <w:lang w:bidi="ar"/>
              </w:rPr>
              <w:t xml:space="preserve">34.6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59979FE9">
            <w:pPr>
              <w:widowControl/>
              <w:jc w:val="right"/>
              <w:textAlignment w:val="center"/>
              <w:rPr>
                <w:szCs w:val="21"/>
              </w:rPr>
            </w:pPr>
            <w:r>
              <w:rPr>
                <w:kern w:val="0"/>
                <w:szCs w:val="21"/>
                <w:lang w:bidi="ar"/>
              </w:rPr>
              <w:t xml:space="preserve">39.0 </w:t>
            </w:r>
          </w:p>
        </w:tc>
      </w:tr>
      <w:tr w14:paraId="74A87EBF">
        <w:tblPrEx>
          <w:tblCellMar>
            <w:top w:w="0" w:type="dxa"/>
            <w:left w:w="108" w:type="dxa"/>
            <w:bottom w:w="0" w:type="dxa"/>
            <w:right w:w="108" w:type="dxa"/>
          </w:tblCellMar>
        </w:tblPrEx>
        <w:trPr>
          <w:trHeight w:val="285" w:hRule="atLeast"/>
        </w:trPr>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14:paraId="46F30C7B">
            <w:pPr>
              <w:jc w:val="center"/>
              <w:rPr>
                <w:szCs w:val="21"/>
              </w:rPr>
            </w:pPr>
          </w:p>
        </w:tc>
        <w:tc>
          <w:tcPr>
            <w:tcW w:w="556" w:type="pct"/>
            <w:tcBorders>
              <w:top w:val="single" w:color="000000" w:sz="4" w:space="0"/>
              <w:left w:val="single" w:color="000000" w:sz="4" w:space="0"/>
              <w:bottom w:val="single" w:color="000000" w:sz="4" w:space="0"/>
              <w:right w:val="single" w:color="000000" w:sz="4" w:space="0"/>
            </w:tcBorders>
            <w:noWrap/>
            <w:vAlign w:val="center"/>
          </w:tcPr>
          <w:p w14:paraId="6F11E776">
            <w:pPr>
              <w:widowControl/>
              <w:jc w:val="center"/>
              <w:textAlignment w:val="center"/>
              <w:rPr>
                <w:szCs w:val="21"/>
              </w:rPr>
            </w:pPr>
            <w:r>
              <w:rPr>
                <w:kern w:val="0"/>
                <w:szCs w:val="21"/>
                <w:lang w:bidi="ar"/>
              </w:rPr>
              <w:t>固液分离机</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152985A">
            <w:pPr>
              <w:widowControl/>
              <w:jc w:val="center"/>
              <w:textAlignment w:val="center"/>
              <w:rPr>
                <w:szCs w:val="21"/>
              </w:rPr>
            </w:pPr>
            <w:r>
              <w:rPr>
                <w:kern w:val="0"/>
                <w:szCs w:val="21"/>
                <w:lang w:bidi="ar"/>
              </w:rPr>
              <w:t>1</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4D7AA73F">
            <w:pPr>
              <w:widowControl/>
              <w:jc w:val="right"/>
              <w:textAlignment w:val="center"/>
              <w:rPr>
                <w:szCs w:val="21"/>
              </w:rPr>
            </w:pPr>
            <w:r>
              <w:rPr>
                <w:kern w:val="0"/>
                <w:szCs w:val="21"/>
                <w:lang w:bidi="ar"/>
              </w:rPr>
              <w:t>94</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49B2935">
            <w:pPr>
              <w:widowControl/>
              <w:jc w:val="right"/>
              <w:textAlignment w:val="center"/>
              <w:rPr>
                <w:szCs w:val="21"/>
              </w:rPr>
            </w:pPr>
            <w:r>
              <w:rPr>
                <w:kern w:val="0"/>
                <w:szCs w:val="21"/>
                <w:lang w:bidi="ar"/>
              </w:rPr>
              <w:t>89</w:t>
            </w:r>
          </w:p>
        </w:tc>
        <w:tc>
          <w:tcPr>
            <w:tcW w:w="375" w:type="pct"/>
            <w:tcBorders>
              <w:top w:val="single" w:color="000000" w:sz="4" w:space="0"/>
              <w:left w:val="single" w:color="000000" w:sz="4" w:space="0"/>
              <w:bottom w:val="single" w:color="000000" w:sz="4" w:space="0"/>
              <w:right w:val="single" w:color="000000" w:sz="4" w:space="0"/>
            </w:tcBorders>
            <w:noWrap/>
            <w:vAlign w:val="center"/>
          </w:tcPr>
          <w:p w14:paraId="01DA43FD">
            <w:pPr>
              <w:widowControl/>
              <w:jc w:val="right"/>
              <w:textAlignment w:val="center"/>
              <w:rPr>
                <w:szCs w:val="21"/>
              </w:rPr>
            </w:pPr>
            <w:r>
              <w:rPr>
                <w:kern w:val="0"/>
                <w:szCs w:val="21"/>
                <w:lang w:bidi="ar"/>
              </w:rPr>
              <w:t>48</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2732A9A">
            <w:pPr>
              <w:widowControl/>
              <w:jc w:val="right"/>
              <w:textAlignment w:val="center"/>
              <w:rPr>
                <w:szCs w:val="21"/>
              </w:rPr>
            </w:pPr>
            <w:r>
              <w:rPr>
                <w:kern w:val="0"/>
                <w:szCs w:val="21"/>
                <w:lang w:bidi="ar"/>
              </w:rPr>
              <w:t>30</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D12DCC3">
            <w:pPr>
              <w:widowControl/>
              <w:jc w:val="right"/>
              <w:textAlignment w:val="center"/>
              <w:rPr>
                <w:szCs w:val="21"/>
              </w:rPr>
            </w:pPr>
            <w:r>
              <w:rPr>
                <w:kern w:val="0"/>
                <w:szCs w:val="21"/>
                <w:lang w:bidi="ar"/>
              </w:rPr>
              <w:t xml:space="preserve">25.5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799C0762">
            <w:pPr>
              <w:widowControl/>
              <w:jc w:val="right"/>
              <w:textAlignment w:val="center"/>
              <w:rPr>
                <w:szCs w:val="21"/>
              </w:rPr>
            </w:pPr>
            <w:r>
              <w:rPr>
                <w:kern w:val="0"/>
                <w:szCs w:val="21"/>
                <w:lang w:bidi="ar"/>
              </w:rPr>
              <w:t xml:space="preserve">26.0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68ECDDA4">
            <w:pPr>
              <w:widowControl/>
              <w:jc w:val="right"/>
              <w:textAlignment w:val="center"/>
              <w:rPr>
                <w:szCs w:val="21"/>
              </w:rPr>
            </w:pPr>
            <w:r>
              <w:rPr>
                <w:kern w:val="0"/>
                <w:szCs w:val="21"/>
                <w:lang w:bidi="ar"/>
              </w:rPr>
              <w:t xml:space="preserve">31.4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1ABCF9E9">
            <w:pPr>
              <w:widowControl/>
              <w:jc w:val="right"/>
              <w:textAlignment w:val="center"/>
              <w:rPr>
                <w:szCs w:val="21"/>
              </w:rPr>
            </w:pPr>
            <w:r>
              <w:rPr>
                <w:kern w:val="0"/>
                <w:szCs w:val="21"/>
                <w:lang w:bidi="ar"/>
              </w:rPr>
              <w:t xml:space="preserve">35.5 </w:t>
            </w:r>
          </w:p>
        </w:tc>
      </w:tr>
      <w:tr w14:paraId="74F18EB2">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29135D4D">
            <w:pPr>
              <w:widowControl/>
              <w:jc w:val="center"/>
              <w:textAlignment w:val="center"/>
              <w:rPr>
                <w:szCs w:val="21"/>
              </w:rPr>
            </w:pPr>
            <w:r>
              <w:rPr>
                <w:kern w:val="0"/>
                <w:szCs w:val="21"/>
                <w:lang w:bidi="ar"/>
              </w:rPr>
              <w:t>厂界叠加值</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C2D07B2">
            <w:pPr>
              <w:widowControl/>
              <w:jc w:val="right"/>
              <w:textAlignment w:val="center"/>
              <w:rPr>
                <w:szCs w:val="21"/>
              </w:rPr>
            </w:pPr>
            <w:r>
              <w:rPr>
                <w:kern w:val="0"/>
                <w:szCs w:val="21"/>
                <w:lang w:bidi="ar"/>
              </w:rPr>
              <w:t xml:space="preserve">45.1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10A76594">
            <w:pPr>
              <w:widowControl/>
              <w:jc w:val="right"/>
              <w:textAlignment w:val="center"/>
              <w:rPr>
                <w:szCs w:val="21"/>
              </w:rPr>
            </w:pPr>
            <w:r>
              <w:rPr>
                <w:kern w:val="0"/>
                <w:szCs w:val="21"/>
                <w:lang w:bidi="ar"/>
              </w:rPr>
              <w:t xml:space="preserve">47.3 </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09AC3043">
            <w:pPr>
              <w:widowControl/>
              <w:jc w:val="right"/>
              <w:textAlignment w:val="center"/>
              <w:rPr>
                <w:szCs w:val="21"/>
              </w:rPr>
            </w:pPr>
            <w:r>
              <w:rPr>
                <w:kern w:val="0"/>
                <w:szCs w:val="21"/>
                <w:lang w:bidi="ar"/>
              </w:rPr>
              <w:t xml:space="preserve">47.0 </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2A0BDF9E">
            <w:pPr>
              <w:widowControl/>
              <w:jc w:val="right"/>
              <w:textAlignment w:val="center"/>
              <w:rPr>
                <w:szCs w:val="21"/>
              </w:rPr>
            </w:pPr>
            <w:r>
              <w:rPr>
                <w:kern w:val="0"/>
                <w:szCs w:val="21"/>
                <w:lang w:bidi="ar"/>
              </w:rPr>
              <w:t xml:space="preserve">49.3 </w:t>
            </w:r>
          </w:p>
        </w:tc>
      </w:tr>
      <w:tr w14:paraId="50ED43CB">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0C65E9D9">
            <w:pPr>
              <w:widowControl/>
              <w:jc w:val="center"/>
              <w:textAlignment w:val="center"/>
              <w:rPr>
                <w:szCs w:val="21"/>
              </w:rPr>
            </w:pPr>
            <w:r>
              <w:rPr>
                <w:kern w:val="0"/>
                <w:szCs w:val="21"/>
                <w:lang w:bidi="ar"/>
              </w:rPr>
              <w:t>标准值</w:t>
            </w:r>
          </w:p>
        </w:tc>
        <w:tc>
          <w:tcPr>
            <w:tcW w:w="1831" w:type="pct"/>
            <w:gridSpan w:val="4"/>
            <w:tcBorders>
              <w:top w:val="single" w:color="000000" w:sz="4" w:space="0"/>
              <w:left w:val="single" w:color="000000" w:sz="4" w:space="0"/>
              <w:bottom w:val="single" w:color="000000" w:sz="4" w:space="0"/>
              <w:right w:val="single" w:color="000000" w:sz="4" w:space="0"/>
            </w:tcBorders>
            <w:noWrap/>
            <w:vAlign w:val="center"/>
          </w:tcPr>
          <w:p w14:paraId="5B4725A0">
            <w:pPr>
              <w:widowControl/>
              <w:jc w:val="center"/>
              <w:textAlignment w:val="center"/>
              <w:rPr>
                <w:szCs w:val="21"/>
              </w:rPr>
            </w:pPr>
            <w:r>
              <w:rPr>
                <w:kern w:val="0"/>
                <w:szCs w:val="21"/>
                <w:lang w:bidi="ar"/>
              </w:rPr>
              <w:t>昼间≤60、夜间≤50</w:t>
            </w:r>
          </w:p>
        </w:tc>
      </w:tr>
      <w:tr w14:paraId="0BBD4EF1">
        <w:tblPrEx>
          <w:tblCellMar>
            <w:top w:w="0" w:type="dxa"/>
            <w:left w:w="108" w:type="dxa"/>
            <w:bottom w:w="0" w:type="dxa"/>
            <w:right w:w="108" w:type="dxa"/>
          </w:tblCellMar>
        </w:tblPrEx>
        <w:trPr>
          <w:trHeight w:val="285" w:hRule="atLeast"/>
        </w:trPr>
        <w:tc>
          <w:tcPr>
            <w:tcW w:w="3168" w:type="pct"/>
            <w:gridSpan w:val="7"/>
            <w:tcBorders>
              <w:top w:val="single" w:color="000000" w:sz="4" w:space="0"/>
              <w:left w:val="single" w:color="000000" w:sz="4" w:space="0"/>
              <w:bottom w:val="single" w:color="000000" w:sz="4" w:space="0"/>
              <w:right w:val="single" w:color="000000" w:sz="4" w:space="0"/>
            </w:tcBorders>
            <w:noWrap/>
            <w:vAlign w:val="center"/>
          </w:tcPr>
          <w:p w14:paraId="090F499E">
            <w:pPr>
              <w:widowControl/>
              <w:jc w:val="center"/>
              <w:textAlignment w:val="center"/>
              <w:rPr>
                <w:szCs w:val="21"/>
              </w:rPr>
            </w:pPr>
            <w:r>
              <w:rPr>
                <w:kern w:val="0"/>
                <w:szCs w:val="21"/>
                <w:lang w:bidi="ar"/>
              </w:rPr>
              <w:t>达标情况</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3C8B1BDE">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5424BF65">
            <w:pPr>
              <w:widowControl/>
              <w:jc w:val="left"/>
              <w:textAlignment w:val="center"/>
              <w:rPr>
                <w:szCs w:val="21"/>
              </w:rPr>
            </w:pPr>
            <w:r>
              <w:rPr>
                <w:kern w:val="0"/>
                <w:szCs w:val="21"/>
                <w:lang w:bidi="ar"/>
              </w:rPr>
              <w:t>达标</w:t>
            </w:r>
          </w:p>
        </w:tc>
        <w:tc>
          <w:tcPr>
            <w:tcW w:w="457" w:type="pct"/>
            <w:tcBorders>
              <w:top w:val="single" w:color="000000" w:sz="4" w:space="0"/>
              <w:left w:val="single" w:color="000000" w:sz="4" w:space="0"/>
              <w:bottom w:val="single" w:color="000000" w:sz="4" w:space="0"/>
              <w:right w:val="single" w:color="000000" w:sz="4" w:space="0"/>
            </w:tcBorders>
            <w:noWrap/>
            <w:vAlign w:val="center"/>
          </w:tcPr>
          <w:p w14:paraId="46267E79">
            <w:pPr>
              <w:widowControl/>
              <w:jc w:val="left"/>
              <w:textAlignment w:val="center"/>
              <w:rPr>
                <w:szCs w:val="21"/>
              </w:rPr>
            </w:pPr>
            <w:r>
              <w:rPr>
                <w:kern w:val="0"/>
                <w:szCs w:val="21"/>
                <w:lang w:bidi="ar"/>
              </w:rPr>
              <w:t>达标</w:t>
            </w:r>
          </w:p>
        </w:tc>
        <w:tc>
          <w:tcPr>
            <w:tcW w:w="459" w:type="pct"/>
            <w:tcBorders>
              <w:top w:val="single" w:color="000000" w:sz="4" w:space="0"/>
              <w:left w:val="single" w:color="000000" w:sz="4" w:space="0"/>
              <w:bottom w:val="single" w:color="000000" w:sz="4" w:space="0"/>
              <w:right w:val="single" w:color="000000" w:sz="4" w:space="0"/>
            </w:tcBorders>
            <w:noWrap/>
            <w:vAlign w:val="center"/>
          </w:tcPr>
          <w:p w14:paraId="0F3EAE19">
            <w:pPr>
              <w:widowControl/>
              <w:jc w:val="left"/>
              <w:textAlignment w:val="center"/>
              <w:rPr>
                <w:szCs w:val="21"/>
              </w:rPr>
            </w:pPr>
            <w:r>
              <w:rPr>
                <w:kern w:val="0"/>
                <w:szCs w:val="21"/>
                <w:lang w:bidi="ar"/>
              </w:rPr>
              <w:t>达标</w:t>
            </w:r>
          </w:p>
        </w:tc>
      </w:tr>
    </w:tbl>
    <w:p w14:paraId="2372BE05">
      <w:pPr>
        <w:tabs>
          <w:tab w:val="right" w:pos="8306"/>
        </w:tabs>
        <w:spacing w:line="360" w:lineRule="auto"/>
        <w:ind w:firstLine="480" w:firstLineChars="200"/>
        <w:rPr>
          <w:sz w:val="24"/>
        </w:rPr>
      </w:pPr>
      <w:r>
        <w:rPr>
          <w:sz w:val="24"/>
        </w:rPr>
        <w:t>根据项目平面布置，项目建成后，根据上表预测结果，项目场界噪声能够达到（GB12348-2008）《工业企业厂界环境噪声排放标准》2类标准要求。</w:t>
      </w:r>
      <w:bookmarkEnd w:id="172"/>
      <w:bookmarkEnd w:id="173"/>
    </w:p>
    <w:p w14:paraId="4AE2AD87">
      <w:pPr>
        <w:tabs>
          <w:tab w:val="right" w:pos="8306"/>
        </w:tabs>
        <w:spacing w:line="360" w:lineRule="auto"/>
        <w:ind w:firstLine="480" w:firstLineChars="200"/>
        <w:rPr>
          <w:sz w:val="24"/>
        </w:rPr>
      </w:pPr>
      <w:r>
        <w:rPr>
          <w:sz w:val="24"/>
        </w:rPr>
        <w:t>距离项目区最近的敏感点为大河边养殖地块东侧法块村，与项目最近距离295m，且中间有高大山体相隔，项目猪舍及各配套设施距离厂界较远，经距离衰减、植被阻隔等降噪后，对敏感点基本无影响。</w:t>
      </w:r>
    </w:p>
    <w:p w14:paraId="0DCE1014">
      <w:pPr>
        <w:tabs>
          <w:tab w:val="right" w:pos="8306"/>
        </w:tabs>
        <w:spacing w:line="360" w:lineRule="auto"/>
        <w:ind w:firstLine="480" w:firstLineChars="200"/>
        <w:rPr>
          <w:sz w:val="24"/>
        </w:rPr>
      </w:pPr>
      <w:r>
        <w:rPr>
          <w:sz w:val="24"/>
        </w:rPr>
        <w:t>综上，项目运营期厂界噪声能够达到（GB12348-2008）《工业企业厂界环境噪声排放标准》2类标准要求，噪声评价范围内无敏感点，不会改变敏感点的声环境现状，对声环境影响较小。</w:t>
      </w:r>
    </w:p>
    <w:p w14:paraId="6DEB5AD8">
      <w:pPr>
        <w:pStyle w:val="7"/>
        <w:spacing w:before="0" w:after="0" w:line="360" w:lineRule="auto"/>
        <w:rPr>
          <w:rFonts w:ascii="Times New Roman" w:hAnsi="Times New Roman"/>
          <w:sz w:val="28"/>
          <w:szCs w:val="28"/>
        </w:rPr>
      </w:pPr>
      <w:r>
        <w:rPr>
          <w:rFonts w:ascii="Times New Roman" w:hAnsi="Times New Roman"/>
          <w:sz w:val="28"/>
          <w:szCs w:val="28"/>
        </w:rPr>
        <w:t>5.2.5运营期固体废弃物环境影响分析</w:t>
      </w:r>
    </w:p>
    <w:p w14:paraId="3EA3AD42">
      <w:pPr>
        <w:pStyle w:val="8"/>
        <w:ind w:firstLine="482"/>
        <w:rPr>
          <w:sz w:val="24"/>
        </w:rPr>
      </w:pPr>
      <w:r>
        <w:rPr>
          <w:sz w:val="24"/>
        </w:rPr>
        <w:t>5.2.5.1固体废物的产生情况</w:t>
      </w:r>
    </w:p>
    <w:p w14:paraId="3C5707F2">
      <w:pPr>
        <w:tabs>
          <w:tab w:val="right" w:pos="8306"/>
        </w:tabs>
        <w:spacing w:line="360" w:lineRule="auto"/>
        <w:ind w:firstLine="480" w:firstLineChars="200"/>
        <w:rPr>
          <w:sz w:val="24"/>
        </w:rPr>
      </w:pPr>
      <w:r>
        <w:rPr>
          <w:sz w:val="24"/>
        </w:rPr>
        <w:t>营运期固体废物主要包括一般生产固废、危险固废及生活垃圾等。一般生产固废包括猪粪、饲料残渣、沼渣、病死猪、废弃包装材料、废脱硫剂、食堂厨余垃圾等。危险废物包括医疗固废。</w:t>
      </w:r>
    </w:p>
    <w:p w14:paraId="7E477BFA">
      <w:pPr>
        <w:spacing w:line="360" w:lineRule="auto"/>
        <w:ind w:firstLine="480" w:firstLineChars="200"/>
        <w:rPr>
          <w:sz w:val="24"/>
        </w:rPr>
      </w:pPr>
      <w:r>
        <w:rPr>
          <w:sz w:val="24"/>
        </w:rPr>
        <w:t>固体废物处置措施如下：</w:t>
      </w:r>
    </w:p>
    <w:p w14:paraId="62507C80">
      <w:pPr>
        <w:adjustRightInd w:val="0"/>
        <w:snapToGrid w:val="0"/>
        <w:spacing w:line="480" w:lineRule="exact"/>
        <w:jc w:val="center"/>
        <w:rPr>
          <w:b/>
          <w:sz w:val="24"/>
        </w:rPr>
      </w:pPr>
      <w:r>
        <w:rPr>
          <w:b/>
          <w:sz w:val="24"/>
        </w:rPr>
        <w:t>表5.2-20 固体废物产生量及处置方法</w:t>
      </w:r>
    </w:p>
    <w:tbl>
      <w:tblPr>
        <w:tblStyle w:val="87"/>
        <w:tblW w:w="4998" w:type="pct"/>
        <w:jc w:val="center"/>
        <w:tblLayout w:type="autofit"/>
        <w:tblCellMar>
          <w:top w:w="0" w:type="dxa"/>
          <w:left w:w="108" w:type="dxa"/>
          <w:bottom w:w="0" w:type="dxa"/>
          <w:right w:w="108" w:type="dxa"/>
        </w:tblCellMar>
      </w:tblPr>
      <w:tblGrid>
        <w:gridCol w:w="886"/>
        <w:gridCol w:w="2363"/>
        <w:gridCol w:w="1958"/>
        <w:gridCol w:w="1803"/>
        <w:gridCol w:w="3322"/>
      </w:tblGrid>
      <w:tr w14:paraId="64861435">
        <w:tblPrEx>
          <w:tblCellMar>
            <w:top w:w="0" w:type="dxa"/>
            <w:left w:w="108" w:type="dxa"/>
            <w:bottom w:w="0" w:type="dxa"/>
            <w:right w:w="108" w:type="dxa"/>
          </w:tblCellMar>
        </w:tblPrEx>
        <w:trPr>
          <w:trHeight w:val="570"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3B095AAF">
            <w:pPr>
              <w:widowControl/>
              <w:jc w:val="center"/>
              <w:textAlignment w:val="center"/>
              <w:rPr>
                <w:szCs w:val="21"/>
              </w:rPr>
            </w:pPr>
            <w:r>
              <w:rPr>
                <w:kern w:val="0"/>
                <w:szCs w:val="21"/>
                <w:lang w:bidi="ar"/>
              </w:rPr>
              <w:t>序号</w:t>
            </w:r>
          </w:p>
        </w:tc>
        <w:tc>
          <w:tcPr>
            <w:tcW w:w="1143" w:type="pct"/>
            <w:tcBorders>
              <w:top w:val="single" w:color="000000" w:sz="4" w:space="0"/>
              <w:left w:val="single" w:color="000000" w:sz="4" w:space="0"/>
              <w:bottom w:val="single" w:color="000000" w:sz="4" w:space="0"/>
              <w:right w:val="single" w:color="000000" w:sz="4" w:space="0"/>
            </w:tcBorders>
            <w:noWrap w:val="0"/>
            <w:vAlign w:val="center"/>
          </w:tcPr>
          <w:p w14:paraId="294B2024">
            <w:pPr>
              <w:widowControl/>
              <w:jc w:val="center"/>
              <w:textAlignment w:val="center"/>
              <w:rPr>
                <w:szCs w:val="21"/>
              </w:rPr>
            </w:pPr>
            <w:r>
              <w:rPr>
                <w:kern w:val="0"/>
                <w:szCs w:val="21"/>
                <w:lang w:bidi="ar"/>
              </w:rPr>
              <w:t>名称</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6E0B19C8">
            <w:pPr>
              <w:widowControl/>
              <w:jc w:val="center"/>
              <w:textAlignment w:val="center"/>
              <w:rPr>
                <w:szCs w:val="21"/>
              </w:rPr>
            </w:pPr>
            <w:r>
              <w:rPr>
                <w:kern w:val="0"/>
                <w:szCs w:val="21"/>
                <w:lang w:bidi="ar"/>
              </w:rPr>
              <w:t>废物类别</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6D9CCA1E">
            <w:pPr>
              <w:widowControl/>
              <w:jc w:val="center"/>
              <w:textAlignment w:val="center"/>
              <w:rPr>
                <w:szCs w:val="21"/>
              </w:rPr>
            </w:pPr>
            <w:r>
              <w:rPr>
                <w:kern w:val="0"/>
                <w:szCs w:val="21"/>
                <w:lang w:bidi="ar"/>
              </w:rPr>
              <w:t>产生数量（t/a）</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3B7DFABD">
            <w:pPr>
              <w:widowControl/>
              <w:jc w:val="center"/>
              <w:textAlignment w:val="center"/>
              <w:rPr>
                <w:szCs w:val="21"/>
              </w:rPr>
            </w:pPr>
            <w:r>
              <w:rPr>
                <w:kern w:val="0"/>
                <w:szCs w:val="21"/>
                <w:lang w:bidi="ar"/>
              </w:rPr>
              <w:t>拟采取的处理方式</w:t>
            </w:r>
          </w:p>
        </w:tc>
      </w:tr>
      <w:tr w14:paraId="7ED3C132">
        <w:tblPrEx>
          <w:tblCellMar>
            <w:top w:w="0" w:type="dxa"/>
            <w:left w:w="108" w:type="dxa"/>
            <w:bottom w:w="0" w:type="dxa"/>
            <w:right w:w="108" w:type="dxa"/>
          </w:tblCellMar>
        </w:tblPrEx>
        <w:trPr>
          <w:trHeight w:val="1425"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6D315584">
            <w:pPr>
              <w:widowControl/>
              <w:jc w:val="center"/>
              <w:textAlignment w:val="center"/>
              <w:rPr>
                <w:szCs w:val="21"/>
              </w:rPr>
            </w:pPr>
            <w:r>
              <w:rPr>
                <w:kern w:val="0"/>
                <w:szCs w:val="21"/>
                <w:lang w:bidi="ar"/>
              </w:rPr>
              <w:t>1</w:t>
            </w:r>
          </w:p>
        </w:tc>
        <w:tc>
          <w:tcPr>
            <w:tcW w:w="1143" w:type="pct"/>
            <w:tcBorders>
              <w:top w:val="single" w:color="000000" w:sz="4" w:space="0"/>
              <w:left w:val="single" w:color="000000" w:sz="4" w:space="0"/>
              <w:bottom w:val="single" w:color="000000" w:sz="4" w:space="0"/>
              <w:right w:val="single" w:color="000000" w:sz="4" w:space="0"/>
            </w:tcBorders>
            <w:noWrap w:val="0"/>
            <w:vAlign w:val="center"/>
          </w:tcPr>
          <w:p w14:paraId="32B68751">
            <w:pPr>
              <w:widowControl/>
              <w:jc w:val="center"/>
              <w:textAlignment w:val="center"/>
              <w:rPr>
                <w:szCs w:val="21"/>
              </w:rPr>
            </w:pPr>
            <w:r>
              <w:rPr>
                <w:kern w:val="0"/>
                <w:szCs w:val="21"/>
                <w:lang w:bidi="ar"/>
              </w:rPr>
              <w:t>疾病防疫产生的医疗废物</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45395AD9">
            <w:pPr>
              <w:widowControl/>
              <w:jc w:val="center"/>
              <w:textAlignment w:val="center"/>
              <w:rPr>
                <w:szCs w:val="21"/>
              </w:rPr>
            </w:pPr>
            <w:r>
              <w:rPr>
                <w:kern w:val="0"/>
                <w:szCs w:val="21"/>
                <w:lang w:bidi="ar"/>
              </w:rPr>
              <w:t>危险废物</w:t>
            </w:r>
          </w:p>
        </w:tc>
        <w:tc>
          <w:tcPr>
            <w:tcW w:w="872" w:type="pct"/>
            <w:tcBorders>
              <w:top w:val="single" w:color="000000" w:sz="4" w:space="0"/>
              <w:left w:val="single" w:color="000000" w:sz="4" w:space="0"/>
              <w:bottom w:val="single" w:color="000000" w:sz="4" w:space="0"/>
              <w:right w:val="single" w:color="000000" w:sz="4" w:space="0"/>
            </w:tcBorders>
            <w:noWrap w:val="0"/>
            <w:vAlign w:val="center"/>
          </w:tcPr>
          <w:p w14:paraId="472C3E5C">
            <w:pPr>
              <w:widowControl/>
              <w:jc w:val="center"/>
              <w:textAlignment w:val="center"/>
              <w:rPr>
                <w:szCs w:val="21"/>
              </w:rPr>
            </w:pPr>
            <w:r>
              <w:rPr>
                <w:kern w:val="0"/>
                <w:szCs w:val="21"/>
                <w:lang w:bidi="ar"/>
              </w:rPr>
              <w:t>1.247</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082D77C9">
            <w:pPr>
              <w:widowControl/>
              <w:jc w:val="center"/>
              <w:textAlignment w:val="center"/>
              <w:rPr>
                <w:szCs w:val="21"/>
              </w:rPr>
            </w:pPr>
            <w:r>
              <w:rPr>
                <w:kern w:val="0"/>
                <w:szCs w:val="21"/>
                <w:lang w:bidi="ar"/>
              </w:rPr>
              <w:t>厂内危废库暂存，委托第三方有资质公司处理</w:t>
            </w:r>
          </w:p>
        </w:tc>
      </w:tr>
      <w:tr w14:paraId="58A541F4">
        <w:tblPrEx>
          <w:tblCellMar>
            <w:top w:w="0" w:type="dxa"/>
            <w:left w:w="108" w:type="dxa"/>
            <w:bottom w:w="0" w:type="dxa"/>
            <w:right w:w="108" w:type="dxa"/>
          </w:tblCellMar>
        </w:tblPrEx>
        <w:trPr>
          <w:trHeight w:val="463"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256D337E">
            <w:pPr>
              <w:widowControl/>
              <w:jc w:val="center"/>
              <w:textAlignment w:val="center"/>
              <w:rPr>
                <w:szCs w:val="21"/>
              </w:rPr>
            </w:pPr>
            <w:r>
              <w:rPr>
                <w:kern w:val="0"/>
                <w:szCs w:val="21"/>
                <w:lang w:bidi="ar"/>
              </w:rPr>
              <w:t>2</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40BBB783">
            <w:pPr>
              <w:widowControl/>
              <w:jc w:val="center"/>
              <w:textAlignment w:val="center"/>
              <w:rPr>
                <w:szCs w:val="21"/>
              </w:rPr>
            </w:pPr>
            <w:r>
              <w:rPr>
                <w:kern w:val="0"/>
                <w:szCs w:val="21"/>
                <w:lang w:bidi="ar"/>
              </w:rPr>
              <w:t>猪粪</w:t>
            </w:r>
          </w:p>
        </w:tc>
        <w:tc>
          <w:tcPr>
            <w:tcW w:w="947" w:type="pct"/>
            <w:vMerge w:val="restart"/>
            <w:tcBorders>
              <w:top w:val="single" w:color="000000" w:sz="4" w:space="0"/>
              <w:left w:val="single" w:color="000000" w:sz="4" w:space="0"/>
              <w:bottom w:val="single" w:color="000000" w:sz="4" w:space="0"/>
              <w:right w:val="single" w:color="000000" w:sz="4" w:space="0"/>
            </w:tcBorders>
            <w:noWrap/>
            <w:vAlign w:val="center"/>
          </w:tcPr>
          <w:p w14:paraId="5FD8E9E0">
            <w:pPr>
              <w:widowControl/>
              <w:jc w:val="center"/>
              <w:textAlignment w:val="center"/>
              <w:rPr>
                <w:szCs w:val="21"/>
              </w:rPr>
            </w:pPr>
            <w:r>
              <w:rPr>
                <w:kern w:val="0"/>
                <w:szCs w:val="21"/>
                <w:lang w:bidi="ar"/>
              </w:rPr>
              <w:t>一般固废</w:t>
            </w: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51F8D4A1">
            <w:pPr>
              <w:widowControl/>
              <w:jc w:val="center"/>
              <w:textAlignment w:val="center"/>
              <w:rPr>
                <w:szCs w:val="21"/>
              </w:rPr>
            </w:pPr>
            <w:r>
              <w:rPr>
                <w:kern w:val="0"/>
                <w:szCs w:val="21"/>
                <w:lang w:bidi="ar"/>
              </w:rPr>
              <w:t>4209.18</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16B881BB">
            <w:pPr>
              <w:widowControl/>
              <w:jc w:val="center"/>
              <w:textAlignment w:val="center"/>
              <w:rPr>
                <w:szCs w:val="21"/>
              </w:rPr>
            </w:pPr>
            <w:r>
              <w:rPr>
                <w:kern w:val="0"/>
                <w:szCs w:val="21"/>
                <w:lang w:bidi="ar"/>
              </w:rPr>
              <w:t>固粪处理区进行好氧堆肥后用于企业自有苹果园施肥</w:t>
            </w:r>
          </w:p>
        </w:tc>
      </w:tr>
      <w:tr w14:paraId="7540AD8B">
        <w:tblPrEx>
          <w:tblCellMar>
            <w:top w:w="0" w:type="dxa"/>
            <w:left w:w="108" w:type="dxa"/>
            <w:bottom w:w="0" w:type="dxa"/>
            <w:right w:w="108" w:type="dxa"/>
          </w:tblCellMar>
        </w:tblPrEx>
        <w:trPr>
          <w:trHeight w:val="540"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62B092B9">
            <w:pPr>
              <w:widowControl/>
              <w:jc w:val="center"/>
              <w:textAlignment w:val="center"/>
              <w:rPr>
                <w:szCs w:val="21"/>
              </w:rPr>
            </w:pPr>
            <w:r>
              <w:rPr>
                <w:kern w:val="0"/>
                <w:szCs w:val="21"/>
                <w:lang w:bidi="ar"/>
              </w:rPr>
              <w:t>3</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783734DB">
            <w:pPr>
              <w:widowControl/>
              <w:jc w:val="center"/>
              <w:textAlignment w:val="center"/>
              <w:rPr>
                <w:szCs w:val="21"/>
              </w:rPr>
            </w:pPr>
            <w:r>
              <w:rPr>
                <w:kern w:val="0"/>
                <w:szCs w:val="21"/>
                <w:lang w:bidi="ar"/>
              </w:rPr>
              <w:t>饲料残渣</w:t>
            </w:r>
          </w:p>
        </w:tc>
        <w:tc>
          <w:tcPr>
            <w:tcW w:w="947" w:type="pct"/>
            <w:vMerge w:val="continue"/>
            <w:tcBorders>
              <w:top w:val="single" w:color="000000" w:sz="4" w:space="0"/>
              <w:left w:val="single" w:color="000000" w:sz="4" w:space="0"/>
              <w:bottom w:val="single" w:color="000000" w:sz="4" w:space="0"/>
              <w:right w:val="single" w:color="000000" w:sz="4" w:space="0"/>
            </w:tcBorders>
            <w:noWrap/>
            <w:vAlign w:val="center"/>
          </w:tcPr>
          <w:p w14:paraId="385791EF">
            <w:pPr>
              <w:widowControl/>
              <w:jc w:val="center"/>
              <w:rPr>
                <w:szCs w:val="21"/>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24F723A1">
            <w:pPr>
              <w:widowControl/>
              <w:jc w:val="center"/>
              <w:textAlignment w:val="center"/>
              <w:rPr>
                <w:szCs w:val="21"/>
              </w:rPr>
            </w:pPr>
            <w:r>
              <w:rPr>
                <w:kern w:val="0"/>
                <w:szCs w:val="21"/>
                <w:lang w:bidi="ar"/>
              </w:rPr>
              <w:t>28.05</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455DCF53">
            <w:pPr>
              <w:widowControl/>
              <w:jc w:val="center"/>
              <w:textAlignment w:val="center"/>
              <w:rPr>
                <w:szCs w:val="21"/>
              </w:rPr>
            </w:pPr>
            <w:r>
              <w:rPr>
                <w:kern w:val="0"/>
                <w:szCs w:val="21"/>
                <w:lang w:bidi="ar"/>
              </w:rPr>
              <w:t>进行好氧堆肥后用于企业自有苹果园施肥</w:t>
            </w:r>
          </w:p>
        </w:tc>
      </w:tr>
      <w:tr w14:paraId="1FEC4A01">
        <w:tblPrEx>
          <w:tblCellMar>
            <w:top w:w="0" w:type="dxa"/>
            <w:left w:w="108" w:type="dxa"/>
            <w:bottom w:w="0" w:type="dxa"/>
            <w:right w:w="108" w:type="dxa"/>
          </w:tblCellMar>
        </w:tblPrEx>
        <w:trPr>
          <w:trHeight w:val="727"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3E58C481">
            <w:pPr>
              <w:widowControl/>
              <w:jc w:val="center"/>
              <w:textAlignment w:val="center"/>
              <w:rPr>
                <w:szCs w:val="21"/>
              </w:rPr>
            </w:pPr>
            <w:r>
              <w:rPr>
                <w:kern w:val="0"/>
                <w:szCs w:val="21"/>
                <w:lang w:bidi="ar"/>
              </w:rPr>
              <w:t>4</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55E2B6CB">
            <w:pPr>
              <w:widowControl/>
              <w:jc w:val="center"/>
              <w:textAlignment w:val="center"/>
              <w:rPr>
                <w:szCs w:val="21"/>
              </w:rPr>
            </w:pPr>
            <w:r>
              <w:rPr>
                <w:kern w:val="0"/>
                <w:szCs w:val="21"/>
                <w:lang w:bidi="ar"/>
              </w:rPr>
              <w:t>沼渣</w:t>
            </w:r>
          </w:p>
        </w:tc>
        <w:tc>
          <w:tcPr>
            <w:tcW w:w="947" w:type="pct"/>
            <w:vMerge w:val="continue"/>
            <w:tcBorders>
              <w:top w:val="single" w:color="000000" w:sz="4" w:space="0"/>
              <w:left w:val="single" w:color="000000" w:sz="4" w:space="0"/>
              <w:bottom w:val="single" w:color="000000" w:sz="4" w:space="0"/>
              <w:right w:val="single" w:color="000000" w:sz="4" w:space="0"/>
            </w:tcBorders>
            <w:noWrap/>
            <w:vAlign w:val="center"/>
          </w:tcPr>
          <w:p w14:paraId="3E6CED89">
            <w:pPr>
              <w:widowControl/>
              <w:jc w:val="center"/>
              <w:rPr>
                <w:szCs w:val="21"/>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5EA62B4C">
            <w:pPr>
              <w:widowControl/>
              <w:jc w:val="center"/>
              <w:textAlignment w:val="center"/>
              <w:rPr>
                <w:szCs w:val="21"/>
              </w:rPr>
            </w:pPr>
            <w:r>
              <w:rPr>
                <w:kern w:val="0"/>
                <w:szCs w:val="21"/>
                <w:lang w:bidi="ar"/>
              </w:rPr>
              <w:t>99.95</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46F8CCCA">
            <w:pPr>
              <w:widowControl/>
              <w:jc w:val="center"/>
              <w:textAlignment w:val="center"/>
              <w:rPr>
                <w:szCs w:val="21"/>
              </w:rPr>
            </w:pPr>
            <w:r>
              <w:rPr>
                <w:kern w:val="0"/>
                <w:szCs w:val="21"/>
                <w:lang w:bidi="ar"/>
              </w:rPr>
              <w:t>进行好氧堆肥后用于企业自有苹果园施肥</w:t>
            </w:r>
          </w:p>
        </w:tc>
      </w:tr>
      <w:tr w14:paraId="28E27CD6">
        <w:tblPrEx>
          <w:tblCellMar>
            <w:top w:w="0" w:type="dxa"/>
            <w:left w:w="108" w:type="dxa"/>
            <w:bottom w:w="0" w:type="dxa"/>
            <w:right w:w="108" w:type="dxa"/>
          </w:tblCellMar>
        </w:tblPrEx>
        <w:trPr>
          <w:trHeight w:val="570"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3DE2AC55">
            <w:pPr>
              <w:widowControl/>
              <w:jc w:val="center"/>
              <w:textAlignment w:val="center"/>
              <w:rPr>
                <w:szCs w:val="21"/>
              </w:rPr>
            </w:pPr>
            <w:r>
              <w:rPr>
                <w:kern w:val="0"/>
                <w:szCs w:val="21"/>
                <w:lang w:bidi="ar"/>
              </w:rPr>
              <w:t>5</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59E23A91">
            <w:pPr>
              <w:widowControl/>
              <w:jc w:val="center"/>
              <w:textAlignment w:val="center"/>
              <w:rPr>
                <w:szCs w:val="21"/>
              </w:rPr>
            </w:pPr>
            <w:r>
              <w:rPr>
                <w:kern w:val="0"/>
                <w:szCs w:val="21"/>
                <w:lang w:bidi="ar"/>
              </w:rPr>
              <w:t>废弃包装材料</w:t>
            </w:r>
          </w:p>
        </w:tc>
        <w:tc>
          <w:tcPr>
            <w:tcW w:w="947" w:type="pct"/>
            <w:vMerge w:val="continue"/>
            <w:tcBorders>
              <w:top w:val="single" w:color="000000" w:sz="4" w:space="0"/>
              <w:left w:val="single" w:color="000000" w:sz="4" w:space="0"/>
              <w:bottom w:val="single" w:color="000000" w:sz="4" w:space="0"/>
              <w:right w:val="single" w:color="000000" w:sz="4" w:space="0"/>
            </w:tcBorders>
            <w:noWrap/>
            <w:vAlign w:val="center"/>
          </w:tcPr>
          <w:p w14:paraId="729286EA">
            <w:pPr>
              <w:widowControl/>
              <w:jc w:val="center"/>
              <w:rPr>
                <w:szCs w:val="21"/>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7F002925">
            <w:pPr>
              <w:widowControl/>
              <w:jc w:val="center"/>
              <w:textAlignment w:val="center"/>
              <w:rPr>
                <w:szCs w:val="21"/>
              </w:rPr>
            </w:pPr>
            <w:r>
              <w:rPr>
                <w:kern w:val="0"/>
                <w:szCs w:val="21"/>
                <w:lang w:bidi="ar"/>
              </w:rPr>
              <w:t>2</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045027CD">
            <w:pPr>
              <w:widowControl/>
              <w:jc w:val="center"/>
              <w:textAlignment w:val="center"/>
              <w:rPr>
                <w:szCs w:val="21"/>
              </w:rPr>
            </w:pPr>
            <w:r>
              <w:rPr>
                <w:kern w:val="0"/>
                <w:szCs w:val="21"/>
                <w:lang w:bidi="ar"/>
              </w:rPr>
              <w:t>统一收集外售</w:t>
            </w:r>
          </w:p>
        </w:tc>
      </w:tr>
      <w:tr w14:paraId="042182C2">
        <w:tblPrEx>
          <w:tblCellMar>
            <w:top w:w="0" w:type="dxa"/>
            <w:left w:w="108" w:type="dxa"/>
            <w:bottom w:w="0" w:type="dxa"/>
            <w:right w:w="108" w:type="dxa"/>
          </w:tblCellMar>
        </w:tblPrEx>
        <w:trPr>
          <w:trHeight w:val="370"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0F41F531">
            <w:pPr>
              <w:widowControl/>
              <w:jc w:val="center"/>
              <w:textAlignment w:val="center"/>
              <w:rPr>
                <w:szCs w:val="21"/>
              </w:rPr>
            </w:pPr>
            <w:r>
              <w:rPr>
                <w:kern w:val="0"/>
                <w:szCs w:val="21"/>
                <w:lang w:bidi="ar"/>
              </w:rPr>
              <w:t>6</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783B12D2">
            <w:pPr>
              <w:widowControl/>
              <w:jc w:val="center"/>
              <w:textAlignment w:val="center"/>
              <w:rPr>
                <w:szCs w:val="21"/>
              </w:rPr>
            </w:pPr>
            <w:r>
              <w:rPr>
                <w:kern w:val="0"/>
                <w:szCs w:val="21"/>
                <w:lang w:bidi="ar"/>
              </w:rPr>
              <w:t>废脱硫剂</w:t>
            </w:r>
          </w:p>
        </w:tc>
        <w:tc>
          <w:tcPr>
            <w:tcW w:w="947" w:type="pct"/>
            <w:vMerge w:val="continue"/>
            <w:tcBorders>
              <w:top w:val="single" w:color="000000" w:sz="4" w:space="0"/>
              <w:left w:val="single" w:color="000000" w:sz="4" w:space="0"/>
              <w:bottom w:val="single" w:color="000000" w:sz="4" w:space="0"/>
              <w:right w:val="single" w:color="000000" w:sz="4" w:space="0"/>
            </w:tcBorders>
            <w:noWrap/>
            <w:vAlign w:val="center"/>
          </w:tcPr>
          <w:p w14:paraId="6C2C7DDB">
            <w:pPr>
              <w:widowControl/>
              <w:jc w:val="center"/>
              <w:rPr>
                <w:szCs w:val="21"/>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714300AB">
            <w:pPr>
              <w:widowControl/>
              <w:jc w:val="center"/>
              <w:textAlignment w:val="center"/>
              <w:rPr>
                <w:szCs w:val="21"/>
              </w:rPr>
            </w:pPr>
            <w:r>
              <w:rPr>
                <w:kern w:val="0"/>
                <w:szCs w:val="21"/>
                <w:lang w:bidi="ar"/>
              </w:rPr>
              <w:t>0.3</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7E79345B">
            <w:pPr>
              <w:widowControl/>
              <w:jc w:val="center"/>
              <w:textAlignment w:val="center"/>
              <w:rPr>
                <w:szCs w:val="21"/>
              </w:rPr>
            </w:pPr>
            <w:r>
              <w:rPr>
                <w:kern w:val="0"/>
                <w:szCs w:val="21"/>
                <w:lang w:bidi="ar"/>
              </w:rPr>
              <w:t>统一收集由厂家回收</w:t>
            </w:r>
          </w:p>
        </w:tc>
      </w:tr>
      <w:tr w14:paraId="329E4F20">
        <w:tblPrEx>
          <w:tblCellMar>
            <w:top w:w="0" w:type="dxa"/>
            <w:left w:w="108" w:type="dxa"/>
            <w:bottom w:w="0" w:type="dxa"/>
            <w:right w:w="108" w:type="dxa"/>
          </w:tblCellMar>
        </w:tblPrEx>
        <w:trPr>
          <w:trHeight w:val="1110"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3077FABA">
            <w:pPr>
              <w:widowControl/>
              <w:jc w:val="center"/>
              <w:textAlignment w:val="center"/>
              <w:rPr>
                <w:szCs w:val="21"/>
              </w:rPr>
            </w:pPr>
            <w:r>
              <w:rPr>
                <w:kern w:val="0"/>
                <w:szCs w:val="21"/>
                <w:lang w:bidi="ar"/>
              </w:rPr>
              <w:t>7</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05410D7C">
            <w:pPr>
              <w:widowControl/>
              <w:jc w:val="center"/>
              <w:textAlignment w:val="center"/>
              <w:rPr>
                <w:szCs w:val="21"/>
              </w:rPr>
            </w:pPr>
            <w:r>
              <w:rPr>
                <w:kern w:val="0"/>
                <w:szCs w:val="21"/>
                <w:lang w:bidi="ar"/>
              </w:rPr>
              <w:t>病死猪</w:t>
            </w:r>
          </w:p>
        </w:tc>
        <w:tc>
          <w:tcPr>
            <w:tcW w:w="947" w:type="pct"/>
            <w:vMerge w:val="continue"/>
            <w:tcBorders>
              <w:top w:val="single" w:color="000000" w:sz="4" w:space="0"/>
              <w:left w:val="single" w:color="000000" w:sz="4" w:space="0"/>
              <w:bottom w:val="single" w:color="000000" w:sz="4" w:space="0"/>
              <w:right w:val="single" w:color="000000" w:sz="4" w:space="0"/>
            </w:tcBorders>
            <w:noWrap/>
            <w:vAlign w:val="center"/>
          </w:tcPr>
          <w:p w14:paraId="2172787F">
            <w:pPr>
              <w:widowControl/>
              <w:jc w:val="center"/>
              <w:rPr>
                <w:szCs w:val="21"/>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20C7ADC8">
            <w:pPr>
              <w:widowControl/>
              <w:jc w:val="center"/>
              <w:textAlignment w:val="center"/>
              <w:rPr>
                <w:kern w:val="0"/>
                <w:szCs w:val="21"/>
                <w:lang w:bidi="ar"/>
              </w:rPr>
            </w:pPr>
            <w:r>
              <w:rPr>
                <w:kern w:val="0"/>
                <w:szCs w:val="21"/>
                <w:lang w:bidi="ar"/>
              </w:rPr>
              <w:t>20.384</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6522CF49">
            <w:pPr>
              <w:widowControl/>
              <w:jc w:val="center"/>
              <w:textAlignment w:val="center"/>
              <w:rPr>
                <w:kern w:val="0"/>
                <w:szCs w:val="21"/>
                <w:lang w:bidi="ar"/>
              </w:rPr>
            </w:pPr>
            <w:r>
              <w:rPr>
                <w:kern w:val="0"/>
                <w:szCs w:val="21"/>
                <w:lang w:bidi="ar"/>
              </w:rPr>
              <w:t>近期无害化处理后与猪粪一同进行好氧堆肥后用于企业自有苹果园施肥，待石林县病死畜禽无害化处理项目建成后，委托石林县病死畜禽无害化处理项目处理</w:t>
            </w:r>
          </w:p>
        </w:tc>
      </w:tr>
      <w:tr w14:paraId="3D2D1DF3">
        <w:tblPrEx>
          <w:tblCellMar>
            <w:top w:w="0" w:type="dxa"/>
            <w:left w:w="108" w:type="dxa"/>
            <w:bottom w:w="0" w:type="dxa"/>
            <w:right w:w="108" w:type="dxa"/>
          </w:tblCellMar>
        </w:tblPrEx>
        <w:trPr>
          <w:trHeight w:val="478"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1F7788E7">
            <w:pPr>
              <w:widowControl/>
              <w:jc w:val="center"/>
              <w:textAlignment w:val="center"/>
              <w:rPr>
                <w:szCs w:val="21"/>
              </w:rPr>
            </w:pPr>
            <w:r>
              <w:rPr>
                <w:kern w:val="0"/>
                <w:szCs w:val="21"/>
                <w:lang w:bidi="ar"/>
              </w:rPr>
              <w:t>8</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0B038A0C">
            <w:pPr>
              <w:widowControl/>
              <w:jc w:val="center"/>
              <w:textAlignment w:val="center"/>
              <w:rPr>
                <w:szCs w:val="21"/>
              </w:rPr>
            </w:pPr>
            <w:r>
              <w:rPr>
                <w:kern w:val="0"/>
                <w:szCs w:val="21"/>
                <w:lang w:bidi="ar"/>
              </w:rPr>
              <w:t>职工生活垃圾</w:t>
            </w:r>
          </w:p>
        </w:tc>
        <w:tc>
          <w:tcPr>
            <w:tcW w:w="947" w:type="pct"/>
            <w:vMerge w:val="restart"/>
            <w:tcBorders>
              <w:top w:val="single" w:color="000000" w:sz="4" w:space="0"/>
              <w:left w:val="single" w:color="000000" w:sz="4" w:space="0"/>
              <w:bottom w:val="single" w:color="000000" w:sz="4" w:space="0"/>
              <w:right w:val="single" w:color="000000" w:sz="4" w:space="0"/>
            </w:tcBorders>
            <w:noWrap/>
            <w:vAlign w:val="center"/>
          </w:tcPr>
          <w:p w14:paraId="5B8FCCC2">
            <w:pPr>
              <w:widowControl/>
              <w:jc w:val="center"/>
              <w:textAlignment w:val="center"/>
              <w:rPr>
                <w:szCs w:val="21"/>
              </w:rPr>
            </w:pPr>
            <w:r>
              <w:rPr>
                <w:kern w:val="0"/>
                <w:szCs w:val="21"/>
                <w:lang w:bidi="ar"/>
              </w:rPr>
              <w:t>生活垃圾</w:t>
            </w: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2D0FAA45">
            <w:pPr>
              <w:widowControl/>
              <w:jc w:val="center"/>
              <w:textAlignment w:val="center"/>
              <w:rPr>
                <w:szCs w:val="21"/>
              </w:rPr>
            </w:pPr>
            <w:r>
              <w:rPr>
                <w:rFonts w:hint="eastAsia"/>
                <w:kern w:val="0"/>
                <w:szCs w:val="21"/>
                <w:lang w:bidi="ar"/>
              </w:rPr>
              <w:t>13.14</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6E32FB74">
            <w:pPr>
              <w:widowControl/>
              <w:jc w:val="center"/>
              <w:textAlignment w:val="center"/>
              <w:rPr>
                <w:szCs w:val="21"/>
              </w:rPr>
            </w:pPr>
            <w:r>
              <w:rPr>
                <w:kern w:val="0"/>
                <w:szCs w:val="21"/>
                <w:lang w:bidi="ar"/>
              </w:rPr>
              <w:t>统一收集，按当地环卫部门要求处置</w:t>
            </w:r>
          </w:p>
        </w:tc>
      </w:tr>
      <w:tr w14:paraId="4B9C863F">
        <w:tblPrEx>
          <w:tblCellMar>
            <w:top w:w="0" w:type="dxa"/>
            <w:left w:w="108" w:type="dxa"/>
            <w:bottom w:w="0" w:type="dxa"/>
            <w:right w:w="108" w:type="dxa"/>
          </w:tblCellMar>
        </w:tblPrEx>
        <w:trPr>
          <w:trHeight w:val="570" w:hRule="atLeast"/>
          <w:jc w:val="center"/>
        </w:trPr>
        <w:tc>
          <w:tcPr>
            <w:tcW w:w="429" w:type="pct"/>
            <w:tcBorders>
              <w:top w:val="single" w:color="000000" w:sz="4" w:space="0"/>
              <w:left w:val="single" w:color="000000" w:sz="4" w:space="0"/>
              <w:bottom w:val="single" w:color="000000" w:sz="4" w:space="0"/>
              <w:right w:val="single" w:color="000000" w:sz="4" w:space="0"/>
            </w:tcBorders>
            <w:noWrap w:val="0"/>
            <w:vAlign w:val="center"/>
          </w:tcPr>
          <w:p w14:paraId="73A99A42">
            <w:pPr>
              <w:widowControl/>
              <w:jc w:val="center"/>
              <w:textAlignment w:val="center"/>
              <w:rPr>
                <w:szCs w:val="21"/>
              </w:rPr>
            </w:pPr>
            <w:r>
              <w:rPr>
                <w:kern w:val="0"/>
                <w:szCs w:val="21"/>
                <w:lang w:bidi="ar"/>
              </w:rPr>
              <w:t>9</w:t>
            </w:r>
          </w:p>
        </w:tc>
        <w:tc>
          <w:tcPr>
            <w:tcW w:w="1143" w:type="pct"/>
            <w:tcBorders>
              <w:top w:val="single" w:color="000000" w:sz="4" w:space="0"/>
              <w:left w:val="single" w:color="000000" w:sz="4" w:space="0"/>
              <w:bottom w:val="single" w:color="000000" w:sz="4" w:space="0"/>
              <w:right w:val="single" w:color="000000" w:sz="4" w:space="0"/>
            </w:tcBorders>
            <w:noWrap/>
            <w:vAlign w:val="center"/>
          </w:tcPr>
          <w:p w14:paraId="4956D6B1">
            <w:pPr>
              <w:widowControl/>
              <w:jc w:val="center"/>
              <w:textAlignment w:val="center"/>
              <w:rPr>
                <w:szCs w:val="21"/>
              </w:rPr>
            </w:pPr>
            <w:r>
              <w:rPr>
                <w:kern w:val="0"/>
                <w:szCs w:val="21"/>
                <w:lang w:bidi="ar"/>
              </w:rPr>
              <w:t>食堂厨余垃圾</w:t>
            </w:r>
          </w:p>
        </w:tc>
        <w:tc>
          <w:tcPr>
            <w:tcW w:w="947" w:type="pct"/>
            <w:vMerge w:val="continue"/>
            <w:tcBorders>
              <w:top w:val="single" w:color="000000" w:sz="4" w:space="0"/>
              <w:left w:val="single" w:color="000000" w:sz="4" w:space="0"/>
              <w:bottom w:val="single" w:color="000000" w:sz="4" w:space="0"/>
              <w:right w:val="single" w:color="000000" w:sz="4" w:space="0"/>
            </w:tcBorders>
            <w:noWrap/>
            <w:vAlign w:val="center"/>
          </w:tcPr>
          <w:p w14:paraId="386FECA5">
            <w:pPr>
              <w:widowControl/>
              <w:jc w:val="center"/>
              <w:rPr>
                <w:szCs w:val="21"/>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3BD792BC">
            <w:pPr>
              <w:widowControl/>
              <w:jc w:val="center"/>
              <w:textAlignment w:val="center"/>
              <w:rPr>
                <w:szCs w:val="21"/>
              </w:rPr>
            </w:pPr>
            <w:r>
              <w:rPr>
                <w:kern w:val="0"/>
                <w:szCs w:val="21"/>
                <w:lang w:bidi="ar"/>
              </w:rPr>
              <w:t>2.263</w:t>
            </w:r>
          </w:p>
        </w:tc>
        <w:tc>
          <w:tcPr>
            <w:tcW w:w="1607" w:type="pct"/>
            <w:tcBorders>
              <w:top w:val="single" w:color="000000" w:sz="4" w:space="0"/>
              <w:left w:val="single" w:color="000000" w:sz="4" w:space="0"/>
              <w:bottom w:val="single" w:color="000000" w:sz="4" w:space="0"/>
              <w:right w:val="single" w:color="000000" w:sz="4" w:space="0"/>
            </w:tcBorders>
            <w:noWrap w:val="0"/>
            <w:vAlign w:val="center"/>
          </w:tcPr>
          <w:p w14:paraId="1196C316">
            <w:pPr>
              <w:widowControl/>
              <w:jc w:val="center"/>
              <w:textAlignment w:val="center"/>
              <w:rPr>
                <w:szCs w:val="21"/>
              </w:rPr>
            </w:pPr>
            <w:r>
              <w:rPr>
                <w:kern w:val="0"/>
                <w:szCs w:val="21"/>
                <w:lang w:bidi="ar"/>
              </w:rPr>
              <w:t>作为生猪养殖饲料</w:t>
            </w:r>
          </w:p>
        </w:tc>
      </w:tr>
    </w:tbl>
    <w:p w14:paraId="3F23EFF1">
      <w:pPr>
        <w:pStyle w:val="8"/>
        <w:ind w:firstLine="482"/>
      </w:pPr>
      <w:r>
        <w:rPr>
          <w:sz w:val="24"/>
          <w:szCs w:val="22"/>
        </w:rPr>
        <w:t>5.2.5.2固体废物影响及控制分析</w:t>
      </w:r>
    </w:p>
    <w:p w14:paraId="3BE35C8F">
      <w:pPr>
        <w:tabs>
          <w:tab w:val="right" w:pos="8306"/>
        </w:tabs>
        <w:spacing w:line="360" w:lineRule="auto"/>
        <w:ind w:firstLine="482" w:firstLineChars="200"/>
        <w:rPr>
          <w:b/>
          <w:sz w:val="24"/>
        </w:rPr>
      </w:pPr>
      <w:r>
        <w:rPr>
          <w:b/>
          <w:sz w:val="24"/>
        </w:rPr>
        <w:t>（1）猪粪、饲料残渣、沼渣</w:t>
      </w:r>
    </w:p>
    <w:p w14:paraId="0BE2E5CB">
      <w:pPr>
        <w:tabs>
          <w:tab w:val="right" w:pos="8306"/>
        </w:tabs>
        <w:spacing w:line="360" w:lineRule="auto"/>
        <w:ind w:firstLine="480" w:firstLineChars="200"/>
        <w:rPr>
          <w:sz w:val="24"/>
        </w:rPr>
      </w:pPr>
      <w:r>
        <w:rPr>
          <w:sz w:val="24"/>
        </w:rPr>
        <w:t>项目猪粪产生量约</w:t>
      </w:r>
      <w:r>
        <w:rPr>
          <w:kern w:val="0"/>
          <w:sz w:val="24"/>
          <w:lang w:bidi="ar"/>
        </w:rPr>
        <w:t>4209.18</w:t>
      </w:r>
      <w:r>
        <w:rPr>
          <w:sz w:val="24"/>
        </w:rPr>
        <w:t>t/a，项目采取干清粪工艺，猪粪运到好氧堆肥间进行好氧堆肥后用于苹果园施肥；饲料残渣量为</w:t>
      </w:r>
      <w:r>
        <w:rPr>
          <w:kern w:val="0"/>
          <w:sz w:val="24"/>
          <w:lang w:bidi="ar"/>
        </w:rPr>
        <w:t>28.05</w:t>
      </w:r>
      <w:r>
        <w:rPr>
          <w:sz w:val="24"/>
        </w:rPr>
        <w:t>t/a、</w:t>
      </w:r>
      <w:r>
        <w:rPr>
          <w:kern w:val="0"/>
          <w:sz w:val="24"/>
          <w:lang w:bidi="ar"/>
        </w:rPr>
        <w:t>沼渣</w:t>
      </w:r>
      <w:r>
        <w:rPr>
          <w:sz w:val="24"/>
        </w:rPr>
        <w:t>量为</w:t>
      </w:r>
      <w:r>
        <w:rPr>
          <w:kern w:val="0"/>
          <w:sz w:val="24"/>
          <w:lang w:bidi="ar"/>
        </w:rPr>
        <w:t>99.95</w:t>
      </w:r>
      <w:r>
        <w:rPr>
          <w:sz w:val="24"/>
        </w:rPr>
        <w:t>t/a，运至固粪处理区堆肥处置。</w:t>
      </w:r>
    </w:p>
    <w:p w14:paraId="3C3017FC">
      <w:pPr>
        <w:tabs>
          <w:tab w:val="right" w:pos="8306"/>
        </w:tabs>
        <w:spacing w:line="360" w:lineRule="auto"/>
        <w:ind w:firstLine="482" w:firstLineChars="200"/>
        <w:rPr>
          <w:b/>
          <w:sz w:val="24"/>
        </w:rPr>
      </w:pPr>
      <w:r>
        <w:rPr>
          <w:b/>
          <w:sz w:val="24"/>
        </w:rPr>
        <w:t>①堆肥工艺简介</w:t>
      </w:r>
    </w:p>
    <w:p w14:paraId="74733332">
      <w:pPr>
        <w:tabs>
          <w:tab w:val="right" w:pos="8306"/>
        </w:tabs>
        <w:spacing w:line="360" w:lineRule="auto"/>
        <w:ind w:firstLine="480" w:firstLineChars="200"/>
        <w:rPr>
          <w:kern w:val="0"/>
          <w:sz w:val="24"/>
        </w:rPr>
      </w:pPr>
      <w:r>
        <w:rPr>
          <w:kern w:val="0"/>
          <w:sz w:val="24"/>
        </w:rPr>
        <w:t>项目在每个地块设有固粪堆肥处理区，各地块堆肥建筑面积如下表：</w:t>
      </w:r>
    </w:p>
    <w:p w14:paraId="46BE6425">
      <w:pPr>
        <w:pStyle w:val="47"/>
        <w:jc w:val="center"/>
        <w:rPr>
          <w:rFonts w:ascii="Times New Roman" w:hAnsi="Times New Roman" w:cs="Times New Roman"/>
          <w:b/>
          <w:bCs/>
        </w:rPr>
      </w:pPr>
      <w:r>
        <w:rPr>
          <w:rFonts w:ascii="Times New Roman" w:hAnsi="Times New Roman" w:cs="Times New Roman"/>
          <w:b/>
          <w:bCs/>
          <w:kern w:val="0"/>
          <w:sz w:val="24"/>
        </w:rPr>
        <w:t>表5.2-21 堆肥场规模一览表</w:t>
      </w:r>
    </w:p>
    <w:tbl>
      <w:tblPr>
        <w:tblStyle w:val="87"/>
        <w:tblW w:w="4998" w:type="pct"/>
        <w:tblInd w:w="0" w:type="dxa"/>
        <w:tblLayout w:type="autofit"/>
        <w:tblCellMar>
          <w:top w:w="0" w:type="dxa"/>
          <w:left w:w="108" w:type="dxa"/>
          <w:bottom w:w="0" w:type="dxa"/>
          <w:right w:w="108" w:type="dxa"/>
        </w:tblCellMar>
      </w:tblPr>
      <w:tblGrid>
        <w:gridCol w:w="3444"/>
        <w:gridCol w:w="3727"/>
        <w:gridCol w:w="3161"/>
      </w:tblGrid>
      <w:tr w14:paraId="0637F509">
        <w:tblPrEx>
          <w:tblCellMar>
            <w:top w:w="0" w:type="dxa"/>
            <w:left w:w="108" w:type="dxa"/>
            <w:bottom w:w="0" w:type="dxa"/>
            <w:right w:w="108" w:type="dxa"/>
          </w:tblCellMar>
        </w:tblPrEx>
        <w:trPr>
          <w:trHeight w:val="270"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70FA37DC">
            <w:pPr>
              <w:widowControl/>
              <w:jc w:val="center"/>
              <w:textAlignment w:val="center"/>
              <w:rPr>
                <w:szCs w:val="21"/>
              </w:rPr>
            </w:pPr>
            <w:r>
              <w:rPr>
                <w:kern w:val="0"/>
                <w:szCs w:val="21"/>
                <w:lang w:bidi="ar"/>
              </w:rPr>
              <w:t>地块位置</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4E27AB62">
            <w:pPr>
              <w:widowControl/>
              <w:jc w:val="center"/>
              <w:textAlignment w:val="center"/>
              <w:rPr>
                <w:szCs w:val="21"/>
              </w:rPr>
            </w:pPr>
            <w:r>
              <w:rPr>
                <w:kern w:val="0"/>
                <w:szCs w:val="21"/>
                <w:lang w:bidi="ar"/>
              </w:rPr>
              <w:t>发酵堆肥场面积（m</w:t>
            </w:r>
            <w:r>
              <w:rPr>
                <w:kern w:val="0"/>
                <w:szCs w:val="21"/>
                <w:vertAlign w:val="superscript"/>
                <w:lang w:bidi="ar"/>
              </w:rPr>
              <w:t>2</w:t>
            </w:r>
            <w:r>
              <w:rPr>
                <w:kern w:val="0"/>
                <w:szCs w:val="21"/>
                <w:lang w:bidi="ar"/>
              </w:rPr>
              <w:t>）</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615746EE">
            <w:pPr>
              <w:widowControl/>
              <w:jc w:val="center"/>
              <w:textAlignment w:val="center"/>
              <w:rPr>
                <w:szCs w:val="21"/>
              </w:rPr>
            </w:pPr>
            <w:r>
              <w:rPr>
                <w:kern w:val="0"/>
                <w:szCs w:val="21"/>
                <w:lang w:bidi="ar"/>
              </w:rPr>
              <w:t>堆肥容积（m</w:t>
            </w:r>
            <w:r>
              <w:rPr>
                <w:kern w:val="0"/>
                <w:szCs w:val="21"/>
                <w:vertAlign w:val="superscript"/>
                <w:lang w:bidi="ar"/>
              </w:rPr>
              <w:t>3</w:t>
            </w:r>
            <w:r>
              <w:rPr>
                <w:kern w:val="0"/>
                <w:szCs w:val="21"/>
                <w:lang w:bidi="ar"/>
              </w:rPr>
              <w:t>）</w:t>
            </w:r>
          </w:p>
        </w:tc>
      </w:tr>
      <w:tr w14:paraId="647F62D7">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5E3A5E33">
            <w:pPr>
              <w:widowControl/>
              <w:jc w:val="center"/>
              <w:textAlignment w:val="center"/>
              <w:rPr>
                <w:szCs w:val="21"/>
              </w:rPr>
            </w:pPr>
            <w:r>
              <w:rPr>
                <w:kern w:val="0"/>
                <w:szCs w:val="21"/>
                <w:lang w:bidi="ar"/>
              </w:rPr>
              <w:t>1号地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20D50179">
            <w:pPr>
              <w:widowControl/>
              <w:jc w:val="center"/>
              <w:textAlignment w:val="center"/>
              <w:rPr>
                <w:szCs w:val="21"/>
              </w:rPr>
            </w:pPr>
            <w:r>
              <w:rPr>
                <w:kern w:val="0"/>
                <w:szCs w:val="21"/>
                <w:lang w:bidi="ar"/>
              </w:rPr>
              <w:t>250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21AD817F">
            <w:pPr>
              <w:widowControl/>
              <w:jc w:val="center"/>
              <w:textAlignment w:val="center"/>
              <w:rPr>
                <w:szCs w:val="21"/>
              </w:rPr>
            </w:pPr>
            <w:r>
              <w:rPr>
                <w:kern w:val="0"/>
                <w:szCs w:val="21"/>
                <w:lang w:bidi="ar"/>
              </w:rPr>
              <w:t>300</w:t>
            </w:r>
          </w:p>
        </w:tc>
      </w:tr>
      <w:tr w14:paraId="47B424C1">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47343185">
            <w:pPr>
              <w:widowControl/>
              <w:jc w:val="center"/>
              <w:textAlignment w:val="center"/>
              <w:rPr>
                <w:szCs w:val="21"/>
              </w:rPr>
            </w:pPr>
            <w:r>
              <w:rPr>
                <w:kern w:val="0"/>
                <w:szCs w:val="21"/>
                <w:lang w:bidi="ar"/>
              </w:rPr>
              <w:t>2号地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7FC60421">
            <w:pPr>
              <w:widowControl/>
              <w:jc w:val="center"/>
              <w:textAlignment w:val="center"/>
              <w:rPr>
                <w:szCs w:val="21"/>
              </w:rPr>
            </w:pPr>
            <w:r>
              <w:rPr>
                <w:kern w:val="0"/>
                <w:szCs w:val="21"/>
                <w:lang w:bidi="ar"/>
              </w:rPr>
              <w:t>500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27A9B754">
            <w:pPr>
              <w:widowControl/>
              <w:jc w:val="center"/>
              <w:textAlignment w:val="center"/>
              <w:rPr>
                <w:szCs w:val="21"/>
              </w:rPr>
            </w:pPr>
            <w:r>
              <w:rPr>
                <w:kern w:val="0"/>
                <w:szCs w:val="21"/>
                <w:lang w:bidi="ar"/>
              </w:rPr>
              <w:t>600</w:t>
            </w:r>
          </w:p>
        </w:tc>
      </w:tr>
      <w:tr w14:paraId="4935AC17">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6E2ABBF4">
            <w:pPr>
              <w:widowControl/>
              <w:jc w:val="center"/>
              <w:textAlignment w:val="center"/>
              <w:rPr>
                <w:szCs w:val="21"/>
              </w:rPr>
            </w:pPr>
            <w:r>
              <w:rPr>
                <w:kern w:val="0"/>
                <w:szCs w:val="21"/>
                <w:lang w:bidi="ar"/>
              </w:rPr>
              <w:t>3号地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15321C0D">
            <w:pPr>
              <w:widowControl/>
              <w:jc w:val="center"/>
              <w:textAlignment w:val="center"/>
              <w:rPr>
                <w:szCs w:val="21"/>
              </w:rPr>
            </w:pPr>
            <w:r>
              <w:rPr>
                <w:kern w:val="0"/>
                <w:szCs w:val="21"/>
                <w:lang w:bidi="ar"/>
              </w:rPr>
              <w:t>250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2072A346">
            <w:pPr>
              <w:widowControl/>
              <w:jc w:val="center"/>
              <w:textAlignment w:val="center"/>
              <w:rPr>
                <w:szCs w:val="21"/>
              </w:rPr>
            </w:pPr>
            <w:r>
              <w:rPr>
                <w:kern w:val="0"/>
                <w:szCs w:val="21"/>
                <w:lang w:bidi="ar"/>
              </w:rPr>
              <w:t>300</w:t>
            </w:r>
          </w:p>
        </w:tc>
      </w:tr>
      <w:tr w14:paraId="3BCCFAC6">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5D341815">
            <w:pPr>
              <w:widowControl/>
              <w:jc w:val="center"/>
              <w:textAlignment w:val="center"/>
              <w:rPr>
                <w:szCs w:val="21"/>
              </w:rPr>
            </w:pPr>
            <w:r>
              <w:rPr>
                <w:kern w:val="0"/>
                <w:szCs w:val="21"/>
                <w:lang w:bidi="ar"/>
              </w:rPr>
              <w:t>4号地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378691F6">
            <w:pPr>
              <w:widowControl/>
              <w:jc w:val="center"/>
              <w:textAlignment w:val="center"/>
              <w:rPr>
                <w:szCs w:val="21"/>
              </w:rPr>
            </w:pPr>
            <w:r>
              <w:rPr>
                <w:kern w:val="0"/>
                <w:szCs w:val="21"/>
                <w:lang w:bidi="ar"/>
              </w:rPr>
              <w:t>500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1BE2CB98">
            <w:pPr>
              <w:widowControl/>
              <w:jc w:val="center"/>
              <w:textAlignment w:val="center"/>
              <w:rPr>
                <w:szCs w:val="21"/>
              </w:rPr>
            </w:pPr>
            <w:r>
              <w:rPr>
                <w:kern w:val="0"/>
                <w:szCs w:val="21"/>
                <w:lang w:bidi="ar"/>
              </w:rPr>
              <w:t>600</w:t>
            </w:r>
          </w:p>
        </w:tc>
      </w:tr>
      <w:tr w14:paraId="06088A49">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0283480E">
            <w:pPr>
              <w:widowControl/>
              <w:jc w:val="center"/>
              <w:textAlignment w:val="center"/>
              <w:rPr>
                <w:szCs w:val="21"/>
              </w:rPr>
            </w:pPr>
            <w:r>
              <w:rPr>
                <w:kern w:val="0"/>
                <w:szCs w:val="21"/>
                <w:lang w:bidi="ar"/>
              </w:rPr>
              <w:t>5号地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4A036A1E">
            <w:pPr>
              <w:widowControl/>
              <w:jc w:val="center"/>
              <w:textAlignment w:val="center"/>
              <w:rPr>
                <w:szCs w:val="21"/>
              </w:rPr>
            </w:pPr>
            <w:r>
              <w:rPr>
                <w:kern w:val="0"/>
                <w:szCs w:val="21"/>
                <w:lang w:bidi="ar"/>
              </w:rPr>
              <w:t>400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71B06101">
            <w:pPr>
              <w:widowControl/>
              <w:jc w:val="center"/>
              <w:textAlignment w:val="center"/>
              <w:rPr>
                <w:szCs w:val="21"/>
              </w:rPr>
            </w:pPr>
            <w:r>
              <w:rPr>
                <w:kern w:val="0"/>
                <w:szCs w:val="21"/>
                <w:lang w:bidi="ar"/>
              </w:rPr>
              <w:t>480</w:t>
            </w:r>
          </w:p>
        </w:tc>
      </w:tr>
    </w:tbl>
    <w:p w14:paraId="044D6E4A">
      <w:pPr>
        <w:tabs>
          <w:tab w:val="right" w:pos="8306"/>
        </w:tabs>
        <w:spacing w:line="360" w:lineRule="auto"/>
        <w:ind w:firstLine="480" w:firstLineChars="200"/>
        <w:rPr>
          <w:sz w:val="24"/>
        </w:rPr>
      </w:pPr>
      <w:r>
        <w:rPr>
          <w:kern w:val="0"/>
          <w:sz w:val="24"/>
        </w:rPr>
        <w:t>用于对生产过程中产生的粪便、饲料残渣和沼渣进行堆肥处理，堆肥工艺详见图3-</w:t>
      </w:r>
      <w:r>
        <w:rPr>
          <w:rFonts w:hint="eastAsia"/>
          <w:kern w:val="0"/>
          <w:sz w:val="24"/>
        </w:rPr>
        <w:t>2</w:t>
      </w:r>
      <w:r>
        <w:rPr>
          <w:kern w:val="0"/>
          <w:sz w:val="24"/>
        </w:rPr>
        <w:t>。</w:t>
      </w:r>
    </w:p>
    <w:p w14:paraId="781AF494">
      <w:pPr>
        <w:tabs>
          <w:tab w:val="right" w:pos="8306"/>
        </w:tabs>
        <w:spacing w:line="360" w:lineRule="auto"/>
        <w:ind w:firstLine="480" w:firstLineChars="200"/>
        <w:rPr>
          <w:sz w:val="24"/>
        </w:rPr>
      </w:pPr>
      <w:r>
        <w:rPr>
          <w:kern w:val="0"/>
          <w:sz w:val="24"/>
        </w:rPr>
        <w:t>堆肥发酵是利用复合微生物的氧化和分解能力，在一定的温度（50-60℃）、湿度（含水率55%-65%）和pH（6-9）值条件下，有控制的促进物料有机质发生生物化学降解，形成一种稳定的腐殖质，该工艺可以有效处理物料中的有机物，同时杀死病原菌等有害物质。</w:t>
      </w:r>
    </w:p>
    <w:p w14:paraId="657BC491">
      <w:pPr>
        <w:spacing w:line="360" w:lineRule="auto"/>
        <w:ind w:firstLine="480" w:firstLineChars="200"/>
        <w:jc w:val="left"/>
        <w:rPr>
          <w:kern w:val="0"/>
          <w:sz w:val="24"/>
        </w:rPr>
      </w:pPr>
      <w:r>
        <w:rPr>
          <w:kern w:val="0"/>
          <w:sz w:val="24"/>
        </w:rPr>
        <w:t>项目采用翻堆条垛式发酵工艺，物料以垛状堆置，排列成多条平行的条垛，条垛的断面形状为梯形，下底为3m，上底为1.2m，高1.5-2m，垛间距为30cm。通常在堆置后3d可翻堆一次，采用翻抛机进行翻堆，发酵15d左右腐熟，即可作为有机肥</w:t>
      </w:r>
      <w:r>
        <w:rPr>
          <w:bCs/>
          <w:sz w:val="24"/>
        </w:rPr>
        <w:t>基料外售</w:t>
      </w:r>
      <w:r>
        <w:rPr>
          <w:kern w:val="0"/>
          <w:sz w:val="24"/>
        </w:rPr>
        <w:t>。发酵程序如下：</w:t>
      </w:r>
    </w:p>
    <w:p w14:paraId="31C51935">
      <w:pPr>
        <w:spacing w:line="360" w:lineRule="auto"/>
        <w:ind w:firstLine="480" w:firstLineChars="200"/>
        <w:jc w:val="left"/>
        <w:rPr>
          <w:kern w:val="0"/>
          <w:sz w:val="24"/>
        </w:rPr>
      </w:pPr>
      <w:r>
        <w:rPr>
          <w:kern w:val="0"/>
          <w:sz w:val="24"/>
        </w:rPr>
        <w:t>①原料的预处理：包括含水率和碳氮比调整。</w:t>
      </w:r>
    </w:p>
    <w:p w14:paraId="2516DDCD">
      <w:pPr>
        <w:spacing w:line="360" w:lineRule="auto"/>
        <w:ind w:firstLine="480" w:firstLineChars="200"/>
        <w:jc w:val="left"/>
        <w:rPr>
          <w:kern w:val="0"/>
          <w:sz w:val="24"/>
        </w:rPr>
      </w:pPr>
      <w:r>
        <w:rPr>
          <w:kern w:val="0"/>
          <w:sz w:val="24"/>
        </w:rPr>
        <w:t>②原料发酵：周期一般需要15－20天。</w:t>
      </w:r>
    </w:p>
    <w:p w14:paraId="08B16542">
      <w:pPr>
        <w:spacing w:line="360" w:lineRule="auto"/>
        <w:ind w:firstLine="480" w:firstLineChars="200"/>
        <w:rPr>
          <w:kern w:val="0"/>
          <w:sz w:val="24"/>
        </w:rPr>
      </w:pPr>
      <w:r>
        <w:rPr>
          <w:kern w:val="0"/>
          <w:sz w:val="24"/>
        </w:rPr>
        <w:t>a.第一阶段：指好氧发酵中的中温与高温两个阶段的微生物代谢过程。它是指从发酵初期开始，经中温、高温然后达到温度开始下降的整个过程，一般需10-12天。</w:t>
      </w:r>
    </w:p>
    <w:p w14:paraId="0FF90340">
      <w:pPr>
        <w:spacing w:line="360" w:lineRule="auto"/>
        <w:ind w:firstLine="480" w:firstLineChars="200"/>
        <w:jc w:val="left"/>
        <w:rPr>
          <w:kern w:val="0"/>
          <w:sz w:val="24"/>
        </w:rPr>
      </w:pPr>
      <w:r>
        <w:rPr>
          <w:kern w:val="0"/>
          <w:sz w:val="24"/>
        </w:rPr>
        <w:t>b.第二阶段：物料经过第一阶段发酵，还有一部分易分解和大量难分解的有机物存在，需要继续发酵使之腐熟。此时温度持续下降，当温度稳定在35-40℃左右时即达腐熟，一般需5-10天。</w:t>
      </w:r>
    </w:p>
    <w:p w14:paraId="7BFE9572">
      <w:pPr>
        <w:spacing w:line="360" w:lineRule="auto"/>
        <w:ind w:firstLine="480" w:firstLineChars="200"/>
        <w:jc w:val="left"/>
        <w:rPr>
          <w:kern w:val="0"/>
          <w:sz w:val="24"/>
        </w:rPr>
      </w:pPr>
      <w:r>
        <w:rPr>
          <w:kern w:val="0"/>
          <w:sz w:val="24"/>
        </w:rPr>
        <w:t>③后处理：去除堆肥前处理过程中没有去除的杂质。</w:t>
      </w:r>
    </w:p>
    <w:p w14:paraId="13CFAD00">
      <w:pPr>
        <w:spacing w:line="360" w:lineRule="auto"/>
        <w:ind w:firstLine="480" w:firstLineChars="200"/>
        <w:jc w:val="left"/>
        <w:rPr>
          <w:kern w:val="0"/>
          <w:sz w:val="24"/>
        </w:rPr>
      </w:pPr>
      <w:r>
        <w:rPr>
          <w:kern w:val="0"/>
          <w:sz w:val="24"/>
        </w:rPr>
        <w:t>④贮存外售阶段：将腐熟的发酵物料堆存于后熟区，一般可直接存放，也可装袋存放。腐熟的物料作为苹果园自有有机肥使用。</w:t>
      </w:r>
    </w:p>
    <w:p w14:paraId="6E610C5F">
      <w:pPr>
        <w:tabs>
          <w:tab w:val="right" w:pos="8306"/>
        </w:tabs>
        <w:spacing w:line="360" w:lineRule="auto"/>
        <w:ind w:firstLine="482" w:firstLineChars="200"/>
        <w:rPr>
          <w:b/>
          <w:sz w:val="24"/>
        </w:rPr>
      </w:pPr>
      <w:r>
        <w:rPr>
          <w:b/>
          <w:sz w:val="24"/>
        </w:rPr>
        <w:t>（2）废包装材料</w:t>
      </w:r>
    </w:p>
    <w:p w14:paraId="756A4544">
      <w:pPr>
        <w:tabs>
          <w:tab w:val="right" w:pos="8306"/>
        </w:tabs>
        <w:spacing w:line="360" w:lineRule="auto"/>
        <w:ind w:firstLine="480" w:firstLineChars="200"/>
        <w:rPr>
          <w:sz w:val="24"/>
        </w:rPr>
      </w:pPr>
      <w:r>
        <w:rPr>
          <w:sz w:val="24"/>
        </w:rPr>
        <w:t>项目运营过程中产生的废包装材料包括废塑料袋、废纸箱、废蛇皮袋。据建设单位提供资料所示，每年产生的废弃包装袋约2t，统一收集后定期外卖给废品收购商。</w:t>
      </w:r>
    </w:p>
    <w:p w14:paraId="4BBD9AD4">
      <w:pPr>
        <w:tabs>
          <w:tab w:val="right" w:pos="8306"/>
        </w:tabs>
        <w:spacing w:line="360" w:lineRule="auto"/>
        <w:ind w:firstLine="482" w:firstLineChars="200"/>
        <w:rPr>
          <w:b/>
          <w:sz w:val="24"/>
        </w:rPr>
      </w:pPr>
      <w:r>
        <w:rPr>
          <w:b/>
          <w:sz w:val="24"/>
        </w:rPr>
        <w:t>（3）废脱硫剂</w:t>
      </w:r>
    </w:p>
    <w:p w14:paraId="4451D539">
      <w:pPr>
        <w:tabs>
          <w:tab w:val="right" w:pos="8306"/>
        </w:tabs>
        <w:spacing w:line="360" w:lineRule="auto"/>
        <w:ind w:firstLine="480" w:firstLineChars="200"/>
        <w:rPr>
          <w:sz w:val="24"/>
        </w:rPr>
      </w:pPr>
      <w:r>
        <w:rPr>
          <w:sz w:val="24"/>
        </w:rPr>
        <w:t>项目沼气干法脱硫采用常温氧化铁脱硫剂，氧化铁脱硫剂可以与空气进行再生，多次利用，当脱硫剂活性下降无法再生利用时，需进行换料，项目废氧化铁脱硫剂产生量约为0.3t/a，属于一般性固体废物，由换料的生产厂家带走回收利用。</w:t>
      </w:r>
    </w:p>
    <w:p w14:paraId="5B45CD74">
      <w:pPr>
        <w:tabs>
          <w:tab w:val="right" w:pos="8306"/>
        </w:tabs>
        <w:spacing w:line="360" w:lineRule="auto"/>
        <w:ind w:firstLine="482" w:firstLineChars="200"/>
        <w:rPr>
          <w:b/>
          <w:sz w:val="24"/>
        </w:rPr>
      </w:pPr>
      <w:r>
        <w:rPr>
          <w:b/>
          <w:sz w:val="24"/>
        </w:rPr>
        <w:t>（4）病死猪</w:t>
      </w:r>
    </w:p>
    <w:p w14:paraId="324A98AD">
      <w:pPr>
        <w:spacing w:line="360" w:lineRule="auto"/>
        <w:ind w:firstLine="480" w:firstLineChars="200"/>
        <w:jc w:val="left"/>
        <w:rPr>
          <w:sz w:val="24"/>
        </w:rPr>
      </w:pPr>
      <w:r>
        <w:rPr>
          <w:sz w:val="24"/>
        </w:rPr>
        <w:t>病死猪产生量为</w:t>
      </w:r>
      <w:r>
        <w:rPr>
          <w:kern w:val="0"/>
          <w:sz w:val="24"/>
          <w:lang w:bidi="ar"/>
        </w:rPr>
        <w:t>20.384</w:t>
      </w:r>
      <w:r>
        <w:rPr>
          <w:sz w:val="24"/>
        </w:rPr>
        <w:t>t/a，近期项目采用处理能力为1t/d的无害化化制机，经过分切、绞碎、化制烘干等多重工艺，24小时自动把畜禽尸体等有机物快速化制灭菌，无害化处理残渣运到</w:t>
      </w:r>
      <w:r>
        <w:rPr>
          <w:bCs/>
          <w:sz w:val="24"/>
        </w:rPr>
        <w:t>固粪处理区堆肥处置后作为有机肥使用。</w:t>
      </w:r>
      <w:r>
        <w:rPr>
          <w:sz w:val="24"/>
        </w:rPr>
        <w:t>待石林县病死畜禽无害化处理项目建成后，委托石林县病死畜禽无害化处理项目处理</w:t>
      </w:r>
    </w:p>
    <w:p w14:paraId="21EEFA93">
      <w:pPr>
        <w:tabs>
          <w:tab w:val="right" w:pos="8306"/>
        </w:tabs>
        <w:spacing w:line="360" w:lineRule="auto"/>
        <w:ind w:firstLine="482" w:firstLineChars="200"/>
        <w:rPr>
          <w:b/>
          <w:sz w:val="24"/>
        </w:rPr>
      </w:pPr>
      <w:r>
        <w:rPr>
          <w:b/>
          <w:sz w:val="24"/>
        </w:rPr>
        <w:t>（5）医疗废物</w:t>
      </w:r>
    </w:p>
    <w:p w14:paraId="4B98F1B8">
      <w:pPr>
        <w:spacing w:line="360" w:lineRule="auto"/>
        <w:ind w:firstLine="480" w:firstLineChars="200"/>
        <w:jc w:val="left"/>
        <w:rPr>
          <w:sz w:val="24"/>
        </w:rPr>
      </w:pPr>
      <w:r>
        <w:rPr>
          <w:sz w:val="24"/>
        </w:rPr>
        <w:t>每年春、秋季各检查整蹄一次，对患有猪蹄病的猪只要及时治疗，平时还要做好畜禽养殖疾病防治工作。因此项目运营时期，医务室产生废弃疫苗瓶、少量针头、针管等医疗固废属于危险废物，产生量约1.247t/a，项目产生的医疗废物禁止乱丢弃，在各养殖地块设置危废暂存间集中收集后，定期交由有医疗废物处置资质的单位处置。</w:t>
      </w:r>
    </w:p>
    <w:p w14:paraId="3AAC42C8">
      <w:pPr>
        <w:tabs>
          <w:tab w:val="right" w:pos="8306"/>
        </w:tabs>
        <w:spacing w:line="360" w:lineRule="auto"/>
        <w:ind w:firstLine="482" w:firstLineChars="200"/>
        <w:rPr>
          <w:b/>
          <w:sz w:val="24"/>
        </w:rPr>
      </w:pPr>
      <w:r>
        <w:rPr>
          <w:b/>
          <w:sz w:val="24"/>
        </w:rPr>
        <w:t>（6）生活垃圾</w:t>
      </w:r>
    </w:p>
    <w:p w14:paraId="6A0D8383">
      <w:pPr>
        <w:tabs>
          <w:tab w:val="right" w:pos="8306"/>
        </w:tabs>
        <w:spacing w:line="360" w:lineRule="auto"/>
        <w:ind w:firstLine="480" w:firstLineChars="200"/>
        <w:rPr>
          <w:sz w:val="24"/>
        </w:rPr>
      </w:pPr>
      <w:r>
        <w:rPr>
          <w:sz w:val="24"/>
        </w:rPr>
        <w:t>本项目生活垃圾产生量为</w:t>
      </w:r>
      <w:r>
        <w:rPr>
          <w:rFonts w:hint="eastAsia"/>
          <w:sz w:val="24"/>
        </w:rPr>
        <w:t>13.14</w:t>
      </w:r>
      <w:r>
        <w:rPr>
          <w:sz w:val="24"/>
        </w:rPr>
        <w:t>t/a，分类收集至厂区设置的生活垃圾收集点，临时定点存放，由环卫部门统一处理。</w:t>
      </w:r>
    </w:p>
    <w:p w14:paraId="6E39C527">
      <w:pPr>
        <w:tabs>
          <w:tab w:val="right" w:pos="8306"/>
        </w:tabs>
        <w:spacing w:line="360" w:lineRule="auto"/>
        <w:ind w:firstLine="480" w:firstLineChars="200"/>
        <w:rPr>
          <w:sz w:val="24"/>
        </w:rPr>
      </w:pPr>
      <w:r>
        <w:rPr>
          <w:sz w:val="24"/>
        </w:rPr>
        <w:t>综上所述，本项目固体废弃物均能得到有效处置，且去向明确，对环境影响较小。</w:t>
      </w:r>
    </w:p>
    <w:p w14:paraId="4C0F180A">
      <w:pPr>
        <w:tabs>
          <w:tab w:val="right" w:pos="8306"/>
        </w:tabs>
        <w:spacing w:line="360" w:lineRule="auto"/>
        <w:ind w:firstLine="482" w:firstLineChars="200"/>
        <w:rPr>
          <w:b/>
          <w:sz w:val="24"/>
        </w:rPr>
      </w:pPr>
      <w:r>
        <w:rPr>
          <w:b/>
          <w:sz w:val="24"/>
        </w:rPr>
        <w:t>（7）</w:t>
      </w:r>
      <w:r>
        <w:rPr>
          <w:b/>
          <w:kern w:val="0"/>
          <w:sz w:val="24"/>
          <w:lang w:bidi="ar"/>
        </w:rPr>
        <w:t>食堂厨余垃圾</w:t>
      </w:r>
    </w:p>
    <w:p w14:paraId="4FACEC33">
      <w:pPr>
        <w:spacing w:line="360" w:lineRule="auto"/>
        <w:ind w:firstLine="540"/>
        <w:rPr>
          <w:sz w:val="24"/>
        </w:rPr>
      </w:pPr>
      <w:r>
        <w:rPr>
          <w:sz w:val="24"/>
        </w:rPr>
        <w:t>项目食堂厨余垃圾产生量较小，由于生活区均设置在养殖圈舍附近，处于垃圾均可作为养殖饲料用于喂猪，可得到合理处置。</w:t>
      </w:r>
    </w:p>
    <w:p w14:paraId="68856F7B">
      <w:pPr>
        <w:spacing w:line="360" w:lineRule="auto"/>
        <w:ind w:firstLine="480" w:firstLineChars="200"/>
        <w:rPr>
          <w:sz w:val="24"/>
        </w:rPr>
      </w:pPr>
      <w:r>
        <w:rPr>
          <w:sz w:val="24"/>
        </w:rPr>
        <w:t>综上所述，项目产生的养殖固废和生活固废均得到妥善处置，严格按照环评提出的要求落实环保措施后，对环境影响不大。</w:t>
      </w:r>
    </w:p>
    <w:p w14:paraId="04E0D848">
      <w:pPr>
        <w:pStyle w:val="7"/>
        <w:spacing w:before="0" w:after="0" w:line="360" w:lineRule="auto"/>
        <w:rPr>
          <w:rFonts w:ascii="Times New Roman" w:hAnsi="Times New Roman"/>
          <w:sz w:val="28"/>
          <w:szCs w:val="28"/>
        </w:rPr>
      </w:pPr>
      <w:r>
        <w:rPr>
          <w:rFonts w:ascii="Times New Roman" w:hAnsi="Times New Roman"/>
          <w:sz w:val="28"/>
          <w:szCs w:val="28"/>
        </w:rPr>
        <w:t>5.2.6运营期土壤环境影响分析</w:t>
      </w:r>
    </w:p>
    <w:p w14:paraId="54D1A3D5">
      <w:pPr>
        <w:pStyle w:val="8"/>
        <w:ind w:firstLine="482"/>
        <w:rPr>
          <w:sz w:val="24"/>
          <w:szCs w:val="22"/>
        </w:rPr>
      </w:pPr>
      <w:r>
        <w:rPr>
          <w:sz w:val="24"/>
          <w:szCs w:val="22"/>
        </w:rPr>
        <w:t>5.2.6.1土壤影响识别</w:t>
      </w:r>
    </w:p>
    <w:p w14:paraId="28C16E81">
      <w:pPr>
        <w:pStyle w:val="35"/>
        <w:spacing w:after="0" w:line="360" w:lineRule="auto"/>
        <w:ind w:firstLine="480" w:firstLineChars="200"/>
        <w:rPr>
          <w:sz w:val="24"/>
        </w:rPr>
      </w:pPr>
      <w:r>
        <w:rPr>
          <w:sz w:val="24"/>
        </w:rPr>
        <w:t>1、土壤环境影响评价项目类别</w:t>
      </w:r>
    </w:p>
    <w:p w14:paraId="4579ED8E">
      <w:pPr>
        <w:pStyle w:val="35"/>
        <w:spacing w:after="0" w:line="360" w:lineRule="auto"/>
        <w:ind w:firstLine="480" w:firstLineChars="200"/>
        <w:rPr>
          <w:sz w:val="24"/>
        </w:rPr>
      </w:pPr>
      <w:r>
        <w:rPr>
          <w:sz w:val="24"/>
        </w:rPr>
        <w:t>按照《环境影响评价技术导则 土壤环境》（HJ 964-2018），根据行业特征、工艺特点或规模大小等将建设项目类别分为Ⅰ类、Ⅱ类、Ⅲ类、Ⅳ类。拟建项目生猪养殖规模为年出栏18600头，按照附录 A，属于Ⅲ类项目。</w:t>
      </w:r>
    </w:p>
    <w:p w14:paraId="453D33BF">
      <w:pPr>
        <w:pStyle w:val="35"/>
        <w:spacing w:after="0" w:line="360" w:lineRule="auto"/>
        <w:ind w:firstLine="480" w:firstLineChars="200"/>
        <w:rPr>
          <w:sz w:val="24"/>
        </w:rPr>
      </w:pPr>
      <w:r>
        <w:rPr>
          <w:sz w:val="24"/>
        </w:rPr>
        <w:t>2、土壤环境影响识别表</w:t>
      </w:r>
    </w:p>
    <w:p w14:paraId="4610BA88">
      <w:pPr>
        <w:spacing w:line="360" w:lineRule="auto"/>
        <w:ind w:firstLine="480" w:firstLineChars="200"/>
        <w:rPr>
          <w:bCs/>
          <w:sz w:val="24"/>
        </w:rPr>
      </w:pPr>
      <w:r>
        <w:rPr>
          <w:sz w:val="24"/>
        </w:rPr>
        <w:t>根据工程分析项目涉及恶臭气体、生产废水和生活污水、猪粪、沼渣、职工生活垃圾等污染物，</w:t>
      </w:r>
      <w:r>
        <w:rPr>
          <w:bCs/>
          <w:sz w:val="24"/>
        </w:rPr>
        <w:t>按生态影响型项目， 本项目可不开展土壤环境影响评价工作。</w:t>
      </w:r>
    </w:p>
    <w:p w14:paraId="27988A95">
      <w:pPr>
        <w:pStyle w:val="35"/>
        <w:spacing w:after="0" w:line="360" w:lineRule="auto"/>
        <w:ind w:firstLine="480" w:firstLineChars="200"/>
        <w:rPr>
          <w:sz w:val="24"/>
        </w:rPr>
      </w:pPr>
      <w:r>
        <w:rPr>
          <w:sz w:val="24"/>
        </w:rPr>
        <w:t>按照污染影响型建设项目，本次考虑建设期与运营期对周围土壤环境的影响。建设项目土壤环境影响类型与影响途径表详见表5.2-22、污染影响型建设项目土壤环境影响源及影响因子识别表详见表5.2-23。</w:t>
      </w:r>
    </w:p>
    <w:p w14:paraId="33095B25">
      <w:pPr>
        <w:adjustRightInd w:val="0"/>
        <w:snapToGrid w:val="0"/>
        <w:spacing w:line="480" w:lineRule="exact"/>
        <w:jc w:val="center"/>
        <w:rPr>
          <w:b/>
          <w:sz w:val="24"/>
        </w:rPr>
      </w:pPr>
      <w:r>
        <w:rPr>
          <w:b/>
          <w:sz w:val="24"/>
        </w:rPr>
        <w:t>表 5.2-22</w:t>
      </w:r>
      <w:r>
        <w:rPr>
          <w:b/>
          <w:sz w:val="24"/>
        </w:rPr>
        <w:tab/>
      </w:r>
      <w:r>
        <w:rPr>
          <w:b/>
          <w:sz w:val="24"/>
        </w:rPr>
        <w:t>建设项目土壤环境影响类型与影响途径表</w:t>
      </w:r>
    </w:p>
    <w:tbl>
      <w:tblPr>
        <w:tblStyle w:val="87"/>
        <w:tblW w:w="5000" w:type="pct"/>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988"/>
        <w:gridCol w:w="1608"/>
        <w:gridCol w:w="1419"/>
        <w:gridCol w:w="1389"/>
        <w:gridCol w:w="697"/>
        <w:gridCol w:w="969"/>
        <w:gridCol w:w="943"/>
        <w:gridCol w:w="1123"/>
      </w:tblGrid>
      <w:tr w14:paraId="4D35F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9" w:hRule="atLeast"/>
        </w:trPr>
        <w:tc>
          <w:tcPr>
            <w:tcW w:w="981" w:type="pct"/>
            <w:vMerge w:val="restart"/>
            <w:noWrap w:val="0"/>
            <w:vAlign w:val="center"/>
          </w:tcPr>
          <w:p w14:paraId="78A7F736">
            <w:pPr>
              <w:pStyle w:val="2"/>
              <w:jc w:val="center"/>
              <w:rPr>
                <w:rFonts w:ascii="Times New Roman" w:hAnsi="Times New Roman"/>
                <w:color w:val="auto"/>
                <w:sz w:val="21"/>
                <w:szCs w:val="21"/>
              </w:rPr>
            </w:pPr>
            <w:r>
              <w:rPr>
                <w:rFonts w:ascii="Times New Roman" w:hAnsi="Times New Roman"/>
                <w:color w:val="auto"/>
                <w:sz w:val="21"/>
                <w:szCs w:val="21"/>
              </w:rPr>
              <w:t>影响类型</w:t>
            </w:r>
          </w:p>
          <w:p w14:paraId="42B67655">
            <w:pPr>
              <w:pStyle w:val="2"/>
              <w:jc w:val="center"/>
              <w:rPr>
                <w:rFonts w:ascii="Times New Roman" w:hAnsi="Times New Roman"/>
                <w:color w:val="auto"/>
                <w:sz w:val="21"/>
                <w:szCs w:val="21"/>
              </w:rPr>
            </w:pPr>
            <w:r>
              <w:rPr>
                <w:rFonts w:ascii="Times New Roman" w:hAnsi="Times New Roman"/>
                <w:color w:val="auto"/>
                <w:sz w:val="21"/>
                <w:szCs w:val="21"/>
              </w:rPr>
              <w:t>不同时段</w:t>
            </w:r>
          </w:p>
        </w:tc>
        <w:tc>
          <w:tcPr>
            <w:tcW w:w="2522" w:type="pct"/>
            <w:gridSpan w:val="4"/>
            <w:noWrap w:val="0"/>
            <w:vAlign w:val="center"/>
          </w:tcPr>
          <w:p w14:paraId="7593DD3D">
            <w:pPr>
              <w:pStyle w:val="2"/>
              <w:jc w:val="center"/>
              <w:rPr>
                <w:rFonts w:ascii="Times New Roman" w:hAnsi="Times New Roman"/>
                <w:color w:val="auto"/>
                <w:sz w:val="21"/>
                <w:szCs w:val="21"/>
              </w:rPr>
            </w:pPr>
            <w:r>
              <w:rPr>
                <w:rFonts w:ascii="Times New Roman" w:hAnsi="Times New Roman"/>
                <w:color w:val="auto"/>
                <w:sz w:val="21"/>
                <w:szCs w:val="21"/>
              </w:rPr>
              <w:t>污染影响型</w:t>
            </w:r>
          </w:p>
        </w:tc>
        <w:tc>
          <w:tcPr>
            <w:tcW w:w="1498" w:type="pct"/>
            <w:gridSpan w:val="3"/>
            <w:noWrap w:val="0"/>
            <w:vAlign w:val="center"/>
          </w:tcPr>
          <w:p w14:paraId="01783A6A">
            <w:pPr>
              <w:pStyle w:val="2"/>
              <w:jc w:val="center"/>
              <w:rPr>
                <w:rFonts w:ascii="Times New Roman" w:hAnsi="Times New Roman"/>
                <w:color w:val="auto"/>
                <w:sz w:val="21"/>
                <w:szCs w:val="21"/>
              </w:rPr>
            </w:pPr>
            <w:r>
              <w:rPr>
                <w:rFonts w:ascii="Times New Roman" w:hAnsi="Times New Roman"/>
                <w:color w:val="auto"/>
                <w:sz w:val="21"/>
                <w:szCs w:val="21"/>
              </w:rPr>
              <w:t>生态影响型</w:t>
            </w:r>
          </w:p>
        </w:tc>
      </w:tr>
      <w:tr w14:paraId="3BFA8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5" w:hRule="atLeast"/>
        </w:trPr>
        <w:tc>
          <w:tcPr>
            <w:tcW w:w="981" w:type="pct"/>
            <w:vMerge w:val="continue"/>
            <w:noWrap w:val="0"/>
            <w:vAlign w:val="center"/>
          </w:tcPr>
          <w:p w14:paraId="54C4C54C">
            <w:pPr>
              <w:pStyle w:val="2"/>
              <w:jc w:val="center"/>
              <w:rPr>
                <w:rFonts w:ascii="Times New Roman" w:hAnsi="Times New Roman"/>
                <w:color w:val="auto"/>
                <w:sz w:val="21"/>
                <w:szCs w:val="21"/>
              </w:rPr>
            </w:pPr>
          </w:p>
        </w:tc>
        <w:tc>
          <w:tcPr>
            <w:tcW w:w="793" w:type="pct"/>
            <w:noWrap w:val="0"/>
            <w:vAlign w:val="center"/>
          </w:tcPr>
          <w:p w14:paraId="5B3E05A0">
            <w:pPr>
              <w:pStyle w:val="2"/>
              <w:jc w:val="center"/>
              <w:rPr>
                <w:rFonts w:ascii="Times New Roman" w:hAnsi="Times New Roman"/>
                <w:color w:val="auto"/>
                <w:sz w:val="21"/>
                <w:szCs w:val="21"/>
              </w:rPr>
            </w:pPr>
            <w:r>
              <w:rPr>
                <w:rFonts w:ascii="Times New Roman" w:hAnsi="Times New Roman"/>
                <w:color w:val="auto"/>
                <w:sz w:val="21"/>
                <w:szCs w:val="21"/>
              </w:rPr>
              <w:t>大气沉降</w:t>
            </w:r>
          </w:p>
        </w:tc>
        <w:tc>
          <w:tcPr>
            <w:tcW w:w="700" w:type="pct"/>
            <w:noWrap w:val="0"/>
            <w:vAlign w:val="center"/>
          </w:tcPr>
          <w:p w14:paraId="015BBC68">
            <w:pPr>
              <w:pStyle w:val="2"/>
              <w:jc w:val="center"/>
              <w:rPr>
                <w:rFonts w:ascii="Times New Roman" w:hAnsi="Times New Roman"/>
                <w:color w:val="auto"/>
                <w:sz w:val="21"/>
                <w:szCs w:val="21"/>
              </w:rPr>
            </w:pPr>
            <w:r>
              <w:rPr>
                <w:rFonts w:ascii="Times New Roman" w:hAnsi="Times New Roman"/>
                <w:color w:val="auto"/>
                <w:sz w:val="21"/>
                <w:szCs w:val="21"/>
              </w:rPr>
              <w:t>地面漫流</w:t>
            </w:r>
          </w:p>
        </w:tc>
        <w:tc>
          <w:tcPr>
            <w:tcW w:w="685" w:type="pct"/>
            <w:noWrap w:val="0"/>
            <w:vAlign w:val="center"/>
          </w:tcPr>
          <w:p w14:paraId="2C53BCC6">
            <w:pPr>
              <w:pStyle w:val="2"/>
              <w:jc w:val="center"/>
              <w:rPr>
                <w:rFonts w:ascii="Times New Roman" w:hAnsi="Times New Roman"/>
                <w:color w:val="auto"/>
                <w:sz w:val="21"/>
                <w:szCs w:val="21"/>
              </w:rPr>
            </w:pPr>
            <w:r>
              <w:rPr>
                <w:rFonts w:ascii="Times New Roman" w:hAnsi="Times New Roman"/>
                <w:color w:val="auto"/>
                <w:sz w:val="21"/>
                <w:szCs w:val="21"/>
              </w:rPr>
              <w:t>垂直入渗</w:t>
            </w:r>
          </w:p>
        </w:tc>
        <w:tc>
          <w:tcPr>
            <w:tcW w:w="344" w:type="pct"/>
            <w:noWrap w:val="0"/>
            <w:vAlign w:val="center"/>
          </w:tcPr>
          <w:p w14:paraId="058BABCC">
            <w:pPr>
              <w:pStyle w:val="2"/>
              <w:jc w:val="center"/>
              <w:rPr>
                <w:rFonts w:ascii="Times New Roman" w:hAnsi="Times New Roman"/>
                <w:color w:val="auto"/>
                <w:sz w:val="21"/>
                <w:szCs w:val="21"/>
              </w:rPr>
            </w:pPr>
            <w:r>
              <w:rPr>
                <w:rFonts w:ascii="Times New Roman" w:hAnsi="Times New Roman"/>
                <w:color w:val="auto"/>
                <w:sz w:val="21"/>
                <w:szCs w:val="21"/>
              </w:rPr>
              <w:t>其他</w:t>
            </w:r>
          </w:p>
        </w:tc>
        <w:tc>
          <w:tcPr>
            <w:tcW w:w="478" w:type="pct"/>
            <w:noWrap w:val="0"/>
            <w:vAlign w:val="center"/>
          </w:tcPr>
          <w:p w14:paraId="7DC488CD">
            <w:pPr>
              <w:pStyle w:val="2"/>
              <w:jc w:val="center"/>
              <w:rPr>
                <w:rFonts w:ascii="Times New Roman" w:hAnsi="Times New Roman"/>
                <w:color w:val="auto"/>
                <w:sz w:val="21"/>
                <w:szCs w:val="21"/>
              </w:rPr>
            </w:pPr>
            <w:r>
              <w:rPr>
                <w:rFonts w:ascii="Times New Roman" w:hAnsi="Times New Roman"/>
                <w:color w:val="auto"/>
                <w:sz w:val="21"/>
                <w:szCs w:val="21"/>
              </w:rPr>
              <w:t>盐化</w:t>
            </w:r>
          </w:p>
        </w:tc>
        <w:tc>
          <w:tcPr>
            <w:tcW w:w="465" w:type="pct"/>
            <w:noWrap w:val="0"/>
            <w:vAlign w:val="center"/>
          </w:tcPr>
          <w:p w14:paraId="794BF9C1">
            <w:pPr>
              <w:pStyle w:val="2"/>
              <w:jc w:val="center"/>
              <w:rPr>
                <w:rFonts w:ascii="Times New Roman" w:hAnsi="Times New Roman"/>
                <w:color w:val="auto"/>
                <w:sz w:val="21"/>
                <w:szCs w:val="21"/>
              </w:rPr>
            </w:pPr>
            <w:r>
              <w:rPr>
                <w:rFonts w:ascii="Times New Roman" w:hAnsi="Times New Roman"/>
                <w:color w:val="auto"/>
                <w:sz w:val="21"/>
                <w:szCs w:val="21"/>
              </w:rPr>
              <w:t>碱化</w:t>
            </w:r>
          </w:p>
        </w:tc>
        <w:tc>
          <w:tcPr>
            <w:tcW w:w="555" w:type="pct"/>
            <w:noWrap w:val="0"/>
            <w:vAlign w:val="center"/>
          </w:tcPr>
          <w:p w14:paraId="4D0DBE4C">
            <w:pPr>
              <w:pStyle w:val="2"/>
              <w:jc w:val="center"/>
              <w:rPr>
                <w:rFonts w:ascii="Times New Roman" w:hAnsi="Times New Roman"/>
                <w:color w:val="auto"/>
                <w:sz w:val="21"/>
                <w:szCs w:val="21"/>
              </w:rPr>
            </w:pPr>
            <w:r>
              <w:rPr>
                <w:rFonts w:ascii="Times New Roman" w:hAnsi="Times New Roman"/>
                <w:color w:val="auto"/>
                <w:sz w:val="21"/>
                <w:szCs w:val="21"/>
              </w:rPr>
              <w:t>酸化</w:t>
            </w:r>
          </w:p>
        </w:tc>
      </w:tr>
      <w:tr w14:paraId="1623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981" w:type="pct"/>
            <w:noWrap w:val="0"/>
            <w:vAlign w:val="center"/>
          </w:tcPr>
          <w:p w14:paraId="5487E715">
            <w:pPr>
              <w:pStyle w:val="2"/>
              <w:jc w:val="center"/>
              <w:rPr>
                <w:rFonts w:ascii="Times New Roman" w:hAnsi="Times New Roman"/>
                <w:color w:val="auto"/>
                <w:sz w:val="21"/>
                <w:szCs w:val="21"/>
              </w:rPr>
            </w:pPr>
            <w:r>
              <w:rPr>
                <w:rFonts w:ascii="Times New Roman" w:hAnsi="Times New Roman"/>
                <w:color w:val="auto"/>
                <w:sz w:val="21"/>
                <w:szCs w:val="21"/>
              </w:rPr>
              <w:t>建设期</w:t>
            </w:r>
          </w:p>
        </w:tc>
        <w:tc>
          <w:tcPr>
            <w:tcW w:w="793" w:type="pct"/>
            <w:noWrap w:val="0"/>
            <w:vAlign w:val="center"/>
          </w:tcPr>
          <w:p w14:paraId="05E1FAA6">
            <w:pPr>
              <w:pStyle w:val="2"/>
              <w:jc w:val="center"/>
              <w:rPr>
                <w:rFonts w:ascii="Times New Roman" w:hAnsi="Times New Roman"/>
                <w:color w:val="auto"/>
                <w:sz w:val="21"/>
                <w:szCs w:val="21"/>
              </w:rPr>
            </w:pPr>
          </w:p>
        </w:tc>
        <w:tc>
          <w:tcPr>
            <w:tcW w:w="700" w:type="pct"/>
            <w:noWrap w:val="0"/>
            <w:vAlign w:val="center"/>
          </w:tcPr>
          <w:p w14:paraId="35784AD5">
            <w:pPr>
              <w:pStyle w:val="2"/>
              <w:jc w:val="center"/>
              <w:rPr>
                <w:rFonts w:ascii="Times New Roman" w:hAnsi="Times New Roman"/>
                <w:color w:val="auto"/>
                <w:sz w:val="21"/>
                <w:szCs w:val="21"/>
              </w:rPr>
            </w:pPr>
          </w:p>
        </w:tc>
        <w:tc>
          <w:tcPr>
            <w:tcW w:w="685" w:type="pct"/>
            <w:noWrap w:val="0"/>
            <w:vAlign w:val="center"/>
          </w:tcPr>
          <w:p w14:paraId="6ACC966B">
            <w:pPr>
              <w:pStyle w:val="2"/>
              <w:jc w:val="center"/>
              <w:rPr>
                <w:rFonts w:ascii="Times New Roman" w:hAnsi="Times New Roman"/>
                <w:color w:val="auto"/>
                <w:sz w:val="21"/>
                <w:szCs w:val="21"/>
              </w:rPr>
            </w:pPr>
          </w:p>
        </w:tc>
        <w:tc>
          <w:tcPr>
            <w:tcW w:w="344" w:type="pct"/>
            <w:noWrap w:val="0"/>
            <w:vAlign w:val="center"/>
          </w:tcPr>
          <w:p w14:paraId="1C75C089">
            <w:pPr>
              <w:pStyle w:val="2"/>
              <w:jc w:val="center"/>
              <w:rPr>
                <w:rFonts w:ascii="Times New Roman" w:hAnsi="Times New Roman"/>
                <w:color w:val="auto"/>
                <w:sz w:val="21"/>
                <w:szCs w:val="21"/>
              </w:rPr>
            </w:pPr>
          </w:p>
        </w:tc>
        <w:tc>
          <w:tcPr>
            <w:tcW w:w="478" w:type="pct"/>
            <w:noWrap w:val="0"/>
            <w:vAlign w:val="center"/>
          </w:tcPr>
          <w:p w14:paraId="64CB39A2">
            <w:pPr>
              <w:pStyle w:val="2"/>
              <w:jc w:val="center"/>
              <w:rPr>
                <w:rFonts w:ascii="Times New Roman" w:hAnsi="Times New Roman"/>
                <w:color w:val="auto"/>
                <w:sz w:val="21"/>
                <w:szCs w:val="21"/>
              </w:rPr>
            </w:pPr>
          </w:p>
        </w:tc>
        <w:tc>
          <w:tcPr>
            <w:tcW w:w="465" w:type="pct"/>
            <w:noWrap w:val="0"/>
            <w:vAlign w:val="center"/>
          </w:tcPr>
          <w:p w14:paraId="7216139F">
            <w:pPr>
              <w:pStyle w:val="2"/>
              <w:jc w:val="center"/>
              <w:rPr>
                <w:rFonts w:ascii="Times New Roman" w:hAnsi="Times New Roman"/>
                <w:color w:val="auto"/>
                <w:sz w:val="21"/>
                <w:szCs w:val="21"/>
              </w:rPr>
            </w:pPr>
          </w:p>
        </w:tc>
        <w:tc>
          <w:tcPr>
            <w:tcW w:w="555" w:type="pct"/>
            <w:noWrap w:val="0"/>
            <w:vAlign w:val="center"/>
          </w:tcPr>
          <w:p w14:paraId="50F2E3C5">
            <w:pPr>
              <w:pStyle w:val="2"/>
              <w:jc w:val="center"/>
              <w:rPr>
                <w:rFonts w:ascii="Times New Roman" w:hAnsi="Times New Roman"/>
                <w:color w:val="auto"/>
                <w:sz w:val="21"/>
                <w:szCs w:val="21"/>
              </w:rPr>
            </w:pPr>
          </w:p>
        </w:tc>
      </w:tr>
      <w:tr w14:paraId="4A98B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981" w:type="pct"/>
            <w:noWrap w:val="0"/>
            <w:vAlign w:val="center"/>
          </w:tcPr>
          <w:p w14:paraId="0D653262">
            <w:pPr>
              <w:pStyle w:val="2"/>
              <w:jc w:val="center"/>
              <w:rPr>
                <w:rFonts w:ascii="Times New Roman" w:hAnsi="Times New Roman"/>
                <w:color w:val="auto"/>
                <w:sz w:val="21"/>
                <w:szCs w:val="21"/>
              </w:rPr>
            </w:pPr>
            <w:r>
              <w:rPr>
                <w:rFonts w:ascii="Times New Roman" w:hAnsi="Times New Roman"/>
                <w:color w:val="auto"/>
                <w:sz w:val="21"/>
                <w:szCs w:val="21"/>
              </w:rPr>
              <w:t>运营期</w:t>
            </w:r>
          </w:p>
        </w:tc>
        <w:tc>
          <w:tcPr>
            <w:tcW w:w="793" w:type="pct"/>
            <w:noWrap w:val="0"/>
            <w:vAlign w:val="center"/>
          </w:tcPr>
          <w:p w14:paraId="1928D679">
            <w:pPr>
              <w:pStyle w:val="2"/>
              <w:jc w:val="center"/>
              <w:rPr>
                <w:rFonts w:ascii="Times New Roman" w:hAnsi="Times New Roman"/>
                <w:color w:val="auto"/>
                <w:sz w:val="21"/>
                <w:szCs w:val="21"/>
              </w:rPr>
            </w:pPr>
          </w:p>
        </w:tc>
        <w:tc>
          <w:tcPr>
            <w:tcW w:w="700" w:type="pct"/>
            <w:noWrap w:val="0"/>
            <w:vAlign w:val="center"/>
          </w:tcPr>
          <w:p w14:paraId="1C3081FB">
            <w:pPr>
              <w:pStyle w:val="2"/>
              <w:jc w:val="center"/>
              <w:rPr>
                <w:rFonts w:ascii="Times New Roman" w:hAnsi="Times New Roman"/>
                <w:color w:val="auto"/>
                <w:sz w:val="21"/>
                <w:szCs w:val="21"/>
              </w:rPr>
            </w:pPr>
            <w:r>
              <w:rPr>
                <w:rFonts w:ascii="Times New Roman" w:hAnsi="Times New Roman"/>
                <w:color w:val="auto"/>
                <w:sz w:val="21"/>
                <w:szCs w:val="21"/>
              </w:rPr>
              <w:t>√</w:t>
            </w:r>
          </w:p>
        </w:tc>
        <w:tc>
          <w:tcPr>
            <w:tcW w:w="685" w:type="pct"/>
            <w:noWrap w:val="0"/>
            <w:vAlign w:val="center"/>
          </w:tcPr>
          <w:p w14:paraId="1B7C300F">
            <w:pPr>
              <w:pStyle w:val="2"/>
              <w:jc w:val="center"/>
              <w:rPr>
                <w:rFonts w:ascii="Times New Roman" w:hAnsi="Times New Roman"/>
                <w:color w:val="auto"/>
                <w:sz w:val="21"/>
                <w:szCs w:val="21"/>
              </w:rPr>
            </w:pPr>
            <w:r>
              <w:rPr>
                <w:rFonts w:ascii="Times New Roman" w:hAnsi="Times New Roman"/>
                <w:color w:val="auto"/>
                <w:sz w:val="21"/>
                <w:szCs w:val="21"/>
              </w:rPr>
              <w:t>√</w:t>
            </w:r>
          </w:p>
        </w:tc>
        <w:tc>
          <w:tcPr>
            <w:tcW w:w="344" w:type="pct"/>
            <w:noWrap w:val="0"/>
            <w:vAlign w:val="center"/>
          </w:tcPr>
          <w:p w14:paraId="4B4DD148">
            <w:pPr>
              <w:pStyle w:val="2"/>
              <w:jc w:val="center"/>
              <w:rPr>
                <w:rFonts w:ascii="Times New Roman" w:hAnsi="Times New Roman"/>
                <w:color w:val="auto"/>
                <w:sz w:val="21"/>
                <w:szCs w:val="21"/>
              </w:rPr>
            </w:pPr>
          </w:p>
        </w:tc>
        <w:tc>
          <w:tcPr>
            <w:tcW w:w="478" w:type="pct"/>
            <w:noWrap w:val="0"/>
            <w:vAlign w:val="center"/>
          </w:tcPr>
          <w:p w14:paraId="7BC23997">
            <w:pPr>
              <w:pStyle w:val="2"/>
              <w:jc w:val="center"/>
              <w:rPr>
                <w:rFonts w:ascii="Times New Roman" w:hAnsi="Times New Roman"/>
                <w:color w:val="auto"/>
                <w:sz w:val="21"/>
                <w:szCs w:val="21"/>
              </w:rPr>
            </w:pPr>
            <w:r>
              <w:rPr>
                <w:rFonts w:ascii="Times New Roman" w:hAnsi="Times New Roman"/>
                <w:color w:val="auto"/>
                <w:sz w:val="21"/>
                <w:szCs w:val="21"/>
              </w:rPr>
              <w:t>√</w:t>
            </w:r>
          </w:p>
        </w:tc>
        <w:tc>
          <w:tcPr>
            <w:tcW w:w="465" w:type="pct"/>
            <w:noWrap w:val="0"/>
            <w:vAlign w:val="center"/>
          </w:tcPr>
          <w:p w14:paraId="60182613">
            <w:pPr>
              <w:pStyle w:val="2"/>
              <w:jc w:val="center"/>
              <w:rPr>
                <w:rFonts w:ascii="Times New Roman" w:hAnsi="Times New Roman"/>
                <w:color w:val="auto"/>
                <w:sz w:val="21"/>
                <w:szCs w:val="21"/>
              </w:rPr>
            </w:pPr>
          </w:p>
        </w:tc>
        <w:tc>
          <w:tcPr>
            <w:tcW w:w="555" w:type="pct"/>
            <w:noWrap w:val="0"/>
            <w:vAlign w:val="center"/>
          </w:tcPr>
          <w:p w14:paraId="4762A87A">
            <w:pPr>
              <w:pStyle w:val="2"/>
              <w:jc w:val="center"/>
              <w:rPr>
                <w:rFonts w:ascii="Times New Roman" w:hAnsi="Times New Roman"/>
                <w:color w:val="auto"/>
                <w:sz w:val="21"/>
                <w:szCs w:val="21"/>
              </w:rPr>
            </w:pPr>
          </w:p>
        </w:tc>
      </w:tr>
      <w:tr w14:paraId="3D793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981" w:type="pct"/>
            <w:noWrap w:val="0"/>
            <w:vAlign w:val="center"/>
          </w:tcPr>
          <w:p w14:paraId="35249F9D">
            <w:pPr>
              <w:pStyle w:val="2"/>
              <w:jc w:val="center"/>
              <w:rPr>
                <w:rFonts w:ascii="Times New Roman" w:hAnsi="Times New Roman"/>
                <w:color w:val="auto"/>
                <w:sz w:val="21"/>
                <w:szCs w:val="21"/>
              </w:rPr>
            </w:pPr>
            <w:r>
              <w:rPr>
                <w:rFonts w:ascii="Times New Roman" w:hAnsi="Times New Roman"/>
                <w:color w:val="auto"/>
                <w:sz w:val="21"/>
                <w:szCs w:val="21"/>
              </w:rPr>
              <w:t>服务期满后</w:t>
            </w:r>
          </w:p>
        </w:tc>
        <w:tc>
          <w:tcPr>
            <w:tcW w:w="793" w:type="pct"/>
            <w:noWrap w:val="0"/>
            <w:vAlign w:val="center"/>
          </w:tcPr>
          <w:p w14:paraId="404668F0">
            <w:pPr>
              <w:pStyle w:val="2"/>
              <w:jc w:val="center"/>
              <w:rPr>
                <w:rFonts w:ascii="Times New Roman" w:hAnsi="Times New Roman"/>
                <w:color w:val="auto"/>
                <w:sz w:val="21"/>
                <w:szCs w:val="21"/>
              </w:rPr>
            </w:pPr>
          </w:p>
        </w:tc>
        <w:tc>
          <w:tcPr>
            <w:tcW w:w="700" w:type="pct"/>
            <w:noWrap w:val="0"/>
            <w:vAlign w:val="center"/>
          </w:tcPr>
          <w:p w14:paraId="2112E2D2">
            <w:pPr>
              <w:pStyle w:val="2"/>
              <w:jc w:val="center"/>
              <w:rPr>
                <w:rFonts w:ascii="Times New Roman" w:hAnsi="Times New Roman"/>
                <w:color w:val="auto"/>
                <w:sz w:val="21"/>
                <w:szCs w:val="21"/>
              </w:rPr>
            </w:pPr>
          </w:p>
        </w:tc>
        <w:tc>
          <w:tcPr>
            <w:tcW w:w="685" w:type="pct"/>
            <w:noWrap w:val="0"/>
            <w:vAlign w:val="center"/>
          </w:tcPr>
          <w:p w14:paraId="0A342E6D">
            <w:pPr>
              <w:pStyle w:val="2"/>
              <w:jc w:val="center"/>
              <w:rPr>
                <w:rFonts w:ascii="Times New Roman" w:hAnsi="Times New Roman"/>
                <w:color w:val="auto"/>
                <w:sz w:val="21"/>
                <w:szCs w:val="21"/>
              </w:rPr>
            </w:pPr>
          </w:p>
        </w:tc>
        <w:tc>
          <w:tcPr>
            <w:tcW w:w="344" w:type="pct"/>
            <w:noWrap w:val="0"/>
            <w:vAlign w:val="center"/>
          </w:tcPr>
          <w:p w14:paraId="04365DFF">
            <w:pPr>
              <w:pStyle w:val="2"/>
              <w:jc w:val="center"/>
              <w:rPr>
                <w:rFonts w:ascii="Times New Roman" w:hAnsi="Times New Roman"/>
                <w:color w:val="auto"/>
                <w:sz w:val="21"/>
                <w:szCs w:val="21"/>
              </w:rPr>
            </w:pPr>
          </w:p>
        </w:tc>
        <w:tc>
          <w:tcPr>
            <w:tcW w:w="478" w:type="pct"/>
            <w:noWrap w:val="0"/>
            <w:vAlign w:val="center"/>
          </w:tcPr>
          <w:p w14:paraId="7FD59E9E">
            <w:pPr>
              <w:pStyle w:val="2"/>
              <w:jc w:val="center"/>
              <w:rPr>
                <w:rFonts w:ascii="Times New Roman" w:hAnsi="Times New Roman"/>
                <w:color w:val="auto"/>
                <w:sz w:val="21"/>
                <w:szCs w:val="21"/>
              </w:rPr>
            </w:pPr>
          </w:p>
        </w:tc>
        <w:tc>
          <w:tcPr>
            <w:tcW w:w="465" w:type="pct"/>
            <w:noWrap w:val="0"/>
            <w:vAlign w:val="center"/>
          </w:tcPr>
          <w:p w14:paraId="2B28D076">
            <w:pPr>
              <w:pStyle w:val="2"/>
              <w:jc w:val="center"/>
              <w:rPr>
                <w:rFonts w:ascii="Times New Roman" w:hAnsi="Times New Roman"/>
                <w:color w:val="auto"/>
                <w:sz w:val="21"/>
                <w:szCs w:val="21"/>
              </w:rPr>
            </w:pPr>
          </w:p>
        </w:tc>
        <w:tc>
          <w:tcPr>
            <w:tcW w:w="555" w:type="pct"/>
            <w:noWrap w:val="0"/>
            <w:vAlign w:val="center"/>
          </w:tcPr>
          <w:p w14:paraId="3E1E5EF6">
            <w:pPr>
              <w:pStyle w:val="2"/>
              <w:jc w:val="center"/>
              <w:rPr>
                <w:rFonts w:ascii="Times New Roman" w:hAnsi="Times New Roman"/>
                <w:color w:val="auto"/>
                <w:sz w:val="21"/>
                <w:szCs w:val="21"/>
              </w:rPr>
            </w:pPr>
          </w:p>
        </w:tc>
      </w:tr>
    </w:tbl>
    <w:p w14:paraId="7B70FCE1">
      <w:pPr>
        <w:pStyle w:val="35"/>
        <w:tabs>
          <w:tab w:val="left" w:pos="1219"/>
        </w:tabs>
        <w:spacing w:after="2" w:line="360" w:lineRule="auto"/>
        <w:ind w:right="160"/>
        <w:jc w:val="center"/>
        <w:rPr>
          <w:b/>
          <w:sz w:val="24"/>
        </w:rPr>
      </w:pPr>
    </w:p>
    <w:p w14:paraId="551C4271">
      <w:pPr>
        <w:pStyle w:val="35"/>
        <w:tabs>
          <w:tab w:val="left" w:pos="1219"/>
        </w:tabs>
        <w:spacing w:after="2" w:line="360" w:lineRule="auto"/>
        <w:ind w:right="160"/>
        <w:jc w:val="center"/>
        <w:rPr>
          <w:b/>
          <w:sz w:val="24"/>
        </w:rPr>
      </w:pPr>
      <w:r>
        <w:rPr>
          <w:b/>
          <w:sz w:val="24"/>
        </w:rPr>
        <w:t>表5.2-23</w:t>
      </w:r>
      <w:r>
        <w:rPr>
          <w:b/>
          <w:sz w:val="24"/>
        </w:rPr>
        <w:tab/>
      </w:r>
      <w:r>
        <w:rPr>
          <w:b/>
          <w:sz w:val="24"/>
        </w:rPr>
        <w:t>污染影响型建设项目土壤环境影响源及影响因子识别表</w:t>
      </w:r>
    </w:p>
    <w:tbl>
      <w:tblPr>
        <w:tblStyle w:val="87"/>
        <w:tblW w:w="500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700"/>
        <w:gridCol w:w="1654"/>
        <w:gridCol w:w="1503"/>
        <w:gridCol w:w="2739"/>
        <w:gridCol w:w="1442"/>
        <w:gridCol w:w="1120"/>
      </w:tblGrid>
      <w:tr w14:paraId="2CA73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trPr>
        <w:tc>
          <w:tcPr>
            <w:tcW w:w="837" w:type="pct"/>
            <w:tcBorders>
              <w:right w:val="single" w:color="000000" w:sz="6" w:space="0"/>
            </w:tcBorders>
            <w:shd w:val="clear" w:color="auto" w:fill="D7D7D7"/>
            <w:noWrap w:val="0"/>
            <w:vAlign w:val="top"/>
          </w:tcPr>
          <w:p w14:paraId="2D602FE3">
            <w:pPr>
              <w:pStyle w:val="2251"/>
              <w:autoSpaceDE/>
              <w:autoSpaceDN/>
              <w:jc w:val="center"/>
              <w:rPr>
                <w:rFonts w:ascii="Times New Roman" w:hAnsi="Times New Roman" w:cs="Times New Roman"/>
                <w:b/>
                <w:bCs/>
                <w:sz w:val="21"/>
                <w:szCs w:val="21"/>
              </w:rPr>
            </w:pPr>
            <w:r>
              <w:rPr>
                <w:rFonts w:ascii="Times New Roman" w:hAnsi="Times New Roman" w:cs="Times New Roman"/>
                <w:b/>
                <w:bCs/>
                <w:sz w:val="21"/>
                <w:szCs w:val="21"/>
              </w:rPr>
              <w:t>污染源</w:t>
            </w:r>
          </w:p>
        </w:tc>
        <w:tc>
          <w:tcPr>
            <w:tcW w:w="814" w:type="pct"/>
            <w:tcBorders>
              <w:left w:val="single" w:color="000000" w:sz="6" w:space="0"/>
              <w:right w:val="single" w:color="000000" w:sz="6" w:space="0"/>
            </w:tcBorders>
            <w:shd w:val="clear" w:color="auto" w:fill="D7D7D7"/>
            <w:noWrap w:val="0"/>
            <w:vAlign w:val="top"/>
          </w:tcPr>
          <w:p w14:paraId="001E1CDC">
            <w:pPr>
              <w:pStyle w:val="2251"/>
              <w:autoSpaceDE/>
              <w:autoSpaceDN/>
              <w:jc w:val="center"/>
              <w:rPr>
                <w:rFonts w:ascii="Times New Roman" w:hAnsi="Times New Roman" w:cs="Times New Roman"/>
                <w:b/>
                <w:bCs/>
                <w:sz w:val="21"/>
                <w:szCs w:val="21"/>
              </w:rPr>
            </w:pPr>
            <w:r>
              <w:rPr>
                <w:rFonts w:ascii="Times New Roman" w:hAnsi="Times New Roman" w:cs="Times New Roman"/>
                <w:b/>
                <w:bCs/>
                <w:sz w:val="21"/>
                <w:szCs w:val="21"/>
              </w:rPr>
              <w:t>工艺流程/</w:t>
            </w:r>
            <w:r>
              <w:rPr>
                <w:rFonts w:ascii="Times New Roman" w:hAnsi="Times New Roman" w:cs="Times New Roman"/>
                <w:b/>
                <w:bCs/>
                <w:spacing w:val="-6"/>
                <w:sz w:val="21"/>
                <w:szCs w:val="21"/>
              </w:rPr>
              <w:t>节点</w:t>
            </w:r>
          </w:p>
        </w:tc>
        <w:tc>
          <w:tcPr>
            <w:tcW w:w="740" w:type="pct"/>
            <w:tcBorders>
              <w:left w:val="single" w:color="000000" w:sz="6" w:space="0"/>
              <w:right w:val="single" w:color="000000" w:sz="6" w:space="0"/>
            </w:tcBorders>
            <w:shd w:val="clear" w:color="auto" w:fill="D7D7D7"/>
            <w:noWrap w:val="0"/>
            <w:vAlign w:val="top"/>
          </w:tcPr>
          <w:p w14:paraId="67A67B7C">
            <w:pPr>
              <w:pStyle w:val="2251"/>
              <w:autoSpaceDE/>
              <w:autoSpaceDN/>
              <w:jc w:val="center"/>
              <w:rPr>
                <w:rFonts w:ascii="Times New Roman" w:hAnsi="Times New Roman" w:cs="Times New Roman"/>
                <w:b/>
                <w:bCs/>
                <w:sz w:val="21"/>
                <w:szCs w:val="21"/>
              </w:rPr>
            </w:pPr>
            <w:r>
              <w:rPr>
                <w:rFonts w:ascii="Times New Roman" w:hAnsi="Times New Roman" w:cs="Times New Roman"/>
                <w:b/>
                <w:bCs/>
                <w:sz w:val="21"/>
                <w:szCs w:val="21"/>
              </w:rPr>
              <w:t>污染途径</w:t>
            </w:r>
          </w:p>
        </w:tc>
        <w:tc>
          <w:tcPr>
            <w:tcW w:w="1348" w:type="pct"/>
            <w:tcBorders>
              <w:left w:val="single" w:color="000000" w:sz="6" w:space="0"/>
              <w:right w:val="single" w:color="000000" w:sz="6" w:space="0"/>
            </w:tcBorders>
            <w:shd w:val="clear" w:color="auto" w:fill="D7D7D7"/>
            <w:noWrap w:val="0"/>
            <w:vAlign w:val="top"/>
          </w:tcPr>
          <w:p w14:paraId="484DFCCA">
            <w:pPr>
              <w:pStyle w:val="2251"/>
              <w:autoSpaceDE/>
              <w:autoSpaceDN/>
              <w:jc w:val="center"/>
              <w:rPr>
                <w:rFonts w:ascii="Times New Roman" w:hAnsi="Times New Roman" w:cs="Times New Roman"/>
                <w:b/>
                <w:bCs/>
                <w:sz w:val="21"/>
                <w:szCs w:val="21"/>
              </w:rPr>
            </w:pPr>
            <w:r>
              <w:rPr>
                <w:rFonts w:ascii="Times New Roman" w:hAnsi="Times New Roman" w:cs="Times New Roman"/>
                <w:b/>
                <w:bCs/>
                <w:spacing w:val="3"/>
                <w:sz w:val="21"/>
                <w:szCs w:val="21"/>
              </w:rPr>
              <w:t>全部污染物指标</w:t>
            </w:r>
            <w:r>
              <w:rPr>
                <w:rFonts w:ascii="Times New Roman" w:hAnsi="Times New Roman" w:cs="Times New Roman"/>
                <w:b/>
                <w:bCs/>
                <w:spacing w:val="-13"/>
                <w:position w:val="6"/>
                <w:sz w:val="21"/>
                <w:szCs w:val="21"/>
              </w:rPr>
              <w:t>a</w:t>
            </w:r>
          </w:p>
        </w:tc>
        <w:tc>
          <w:tcPr>
            <w:tcW w:w="710" w:type="pct"/>
            <w:tcBorders>
              <w:left w:val="single" w:color="000000" w:sz="6" w:space="0"/>
              <w:right w:val="single" w:color="000000" w:sz="6" w:space="0"/>
            </w:tcBorders>
            <w:shd w:val="clear" w:color="auto" w:fill="D7D7D7"/>
            <w:noWrap w:val="0"/>
            <w:vAlign w:val="top"/>
          </w:tcPr>
          <w:p w14:paraId="73510756">
            <w:pPr>
              <w:pStyle w:val="2251"/>
              <w:autoSpaceDE/>
              <w:autoSpaceDN/>
              <w:jc w:val="center"/>
              <w:rPr>
                <w:rFonts w:ascii="Times New Roman" w:hAnsi="Times New Roman" w:cs="Times New Roman"/>
                <w:b/>
                <w:bCs/>
                <w:sz w:val="21"/>
                <w:szCs w:val="21"/>
              </w:rPr>
            </w:pPr>
            <w:r>
              <w:rPr>
                <w:rFonts w:ascii="Times New Roman" w:hAnsi="Times New Roman" w:cs="Times New Roman"/>
                <w:b/>
                <w:bCs/>
                <w:sz w:val="21"/>
                <w:szCs w:val="21"/>
              </w:rPr>
              <w:t>特征因子</w:t>
            </w:r>
          </w:p>
        </w:tc>
        <w:tc>
          <w:tcPr>
            <w:tcW w:w="548" w:type="pct"/>
            <w:tcBorders>
              <w:left w:val="single" w:color="000000" w:sz="6" w:space="0"/>
            </w:tcBorders>
            <w:shd w:val="clear" w:color="auto" w:fill="D7D7D7"/>
            <w:noWrap w:val="0"/>
            <w:vAlign w:val="top"/>
          </w:tcPr>
          <w:p w14:paraId="1663EA74">
            <w:pPr>
              <w:pStyle w:val="2251"/>
              <w:autoSpaceDE/>
              <w:autoSpaceDN/>
              <w:jc w:val="center"/>
              <w:rPr>
                <w:rFonts w:ascii="Times New Roman" w:hAnsi="Times New Roman" w:cs="Times New Roman"/>
                <w:b/>
                <w:bCs/>
                <w:sz w:val="21"/>
                <w:szCs w:val="21"/>
              </w:rPr>
            </w:pPr>
            <w:r>
              <w:rPr>
                <w:rFonts w:ascii="Times New Roman" w:hAnsi="Times New Roman" w:cs="Times New Roman"/>
                <w:b/>
                <w:bCs/>
                <w:sz w:val="21"/>
                <w:szCs w:val="21"/>
              </w:rPr>
              <w:t xml:space="preserve">备注 </w:t>
            </w:r>
            <w:r>
              <w:rPr>
                <w:rFonts w:ascii="Times New Roman" w:hAnsi="Times New Roman" w:cs="Times New Roman"/>
                <w:b/>
                <w:bCs/>
                <w:position w:val="6"/>
                <w:sz w:val="21"/>
                <w:szCs w:val="21"/>
              </w:rPr>
              <w:t>b</w:t>
            </w:r>
          </w:p>
        </w:tc>
      </w:tr>
      <w:tr w14:paraId="53C30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1" w:hRule="atLeast"/>
        </w:trPr>
        <w:tc>
          <w:tcPr>
            <w:tcW w:w="837" w:type="pct"/>
            <w:vMerge w:val="restart"/>
            <w:tcBorders>
              <w:top w:val="nil"/>
              <w:right w:val="single" w:color="000000" w:sz="6" w:space="0"/>
            </w:tcBorders>
            <w:noWrap w:val="0"/>
            <w:vAlign w:val="top"/>
          </w:tcPr>
          <w:p w14:paraId="3101473E">
            <w:pPr>
              <w:jc w:val="center"/>
              <w:rPr>
                <w:szCs w:val="21"/>
              </w:rPr>
            </w:pPr>
            <w:r>
              <w:rPr>
                <w:szCs w:val="21"/>
              </w:rPr>
              <w:t>猪舍</w:t>
            </w:r>
          </w:p>
        </w:tc>
        <w:tc>
          <w:tcPr>
            <w:tcW w:w="814" w:type="pct"/>
            <w:vMerge w:val="restart"/>
            <w:tcBorders>
              <w:top w:val="single" w:color="000000" w:sz="6" w:space="0"/>
              <w:left w:val="single" w:color="000000" w:sz="6" w:space="0"/>
              <w:bottom w:val="single" w:color="000000" w:sz="4" w:space="0"/>
              <w:right w:val="single" w:color="000000" w:sz="6" w:space="0"/>
            </w:tcBorders>
            <w:noWrap w:val="0"/>
            <w:vAlign w:val="top"/>
          </w:tcPr>
          <w:p w14:paraId="6D187059">
            <w:pPr>
              <w:pStyle w:val="2251"/>
              <w:autoSpaceDE/>
              <w:autoSpaceDN/>
              <w:jc w:val="center"/>
              <w:rPr>
                <w:rFonts w:ascii="Times New Roman" w:hAnsi="Times New Roman" w:cs="Times New Roman"/>
                <w:sz w:val="21"/>
                <w:szCs w:val="21"/>
              </w:rPr>
            </w:pPr>
          </w:p>
          <w:p w14:paraId="4F1B7D2C">
            <w:pPr>
              <w:pStyle w:val="2251"/>
              <w:autoSpaceDE/>
              <w:autoSpaceDN/>
              <w:jc w:val="center"/>
              <w:rPr>
                <w:rFonts w:ascii="Times New Roman" w:hAnsi="Times New Roman" w:cs="Times New Roman"/>
                <w:sz w:val="21"/>
                <w:szCs w:val="21"/>
              </w:rPr>
            </w:pPr>
          </w:p>
          <w:p w14:paraId="3F6F375B">
            <w:pPr>
              <w:pStyle w:val="2251"/>
              <w:autoSpaceDE/>
              <w:autoSpaceDN/>
              <w:jc w:val="center"/>
              <w:rPr>
                <w:rFonts w:ascii="Times New Roman" w:hAnsi="Times New Roman" w:cs="Times New Roman"/>
                <w:sz w:val="21"/>
                <w:szCs w:val="21"/>
              </w:rPr>
            </w:pPr>
          </w:p>
          <w:p w14:paraId="1A87F66D">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空舍清洗废水</w:t>
            </w:r>
          </w:p>
        </w:tc>
        <w:tc>
          <w:tcPr>
            <w:tcW w:w="740" w:type="pct"/>
            <w:tcBorders>
              <w:top w:val="single" w:color="000000" w:sz="6" w:space="0"/>
              <w:left w:val="single" w:color="000000" w:sz="6" w:space="0"/>
              <w:bottom w:val="single" w:color="000000" w:sz="6" w:space="0"/>
              <w:right w:val="single" w:color="000000" w:sz="6" w:space="0"/>
            </w:tcBorders>
            <w:noWrap w:val="0"/>
            <w:vAlign w:val="top"/>
          </w:tcPr>
          <w:p w14:paraId="5E5A7A6C">
            <w:pPr>
              <w:pStyle w:val="2251"/>
              <w:autoSpaceDE/>
              <w:autoSpaceDN/>
              <w:jc w:val="center"/>
              <w:rPr>
                <w:rFonts w:ascii="Times New Roman" w:hAnsi="Times New Roman" w:cs="Times New Roman"/>
                <w:sz w:val="21"/>
                <w:szCs w:val="21"/>
              </w:rPr>
            </w:pPr>
          </w:p>
          <w:p w14:paraId="7FB51CCF">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地面漫流</w:t>
            </w:r>
          </w:p>
        </w:tc>
        <w:tc>
          <w:tcPr>
            <w:tcW w:w="1348" w:type="pct"/>
            <w:tcBorders>
              <w:top w:val="single" w:color="000000" w:sz="6" w:space="0"/>
              <w:left w:val="single" w:color="000000" w:sz="6" w:space="0"/>
              <w:bottom w:val="single" w:color="000000" w:sz="6" w:space="0"/>
              <w:right w:val="single" w:color="000000" w:sz="6" w:space="0"/>
            </w:tcBorders>
            <w:noWrap w:val="0"/>
            <w:vAlign w:val="top"/>
          </w:tcPr>
          <w:p w14:paraId="570A4DD6">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pacing w:val="-72"/>
                <w:sz w:val="21"/>
                <w:szCs w:val="21"/>
              </w:rPr>
              <w:t>、</w:t>
            </w:r>
            <w:r>
              <w:rPr>
                <w:rFonts w:ascii="Times New Roman" w:hAnsi="Times New Roman" w:cs="Times New Roman"/>
                <w:sz w:val="21"/>
                <w:szCs w:val="21"/>
              </w:rPr>
              <w:t>COD</w:t>
            </w:r>
            <w:r>
              <w:rPr>
                <w:rFonts w:ascii="Times New Roman" w:hAnsi="Times New Roman" w:cs="Times New Roman"/>
                <w:spacing w:val="-72"/>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p>
          <w:p w14:paraId="4C5EDE4B">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氨氮、SS、TP、TN、粪大肠菌群数、蛔虫卵、含盐量</w:t>
            </w:r>
          </w:p>
        </w:tc>
        <w:tc>
          <w:tcPr>
            <w:tcW w:w="710" w:type="pct"/>
            <w:tcBorders>
              <w:top w:val="single" w:color="000000" w:sz="6" w:space="0"/>
              <w:left w:val="single" w:color="000000" w:sz="6" w:space="0"/>
              <w:bottom w:val="single" w:color="000000" w:sz="6" w:space="0"/>
              <w:right w:val="single" w:color="000000" w:sz="6" w:space="0"/>
            </w:tcBorders>
            <w:noWrap w:val="0"/>
            <w:vAlign w:val="top"/>
          </w:tcPr>
          <w:p w14:paraId="3899E1F7">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含盐量</w:t>
            </w:r>
          </w:p>
        </w:tc>
        <w:tc>
          <w:tcPr>
            <w:tcW w:w="548" w:type="pct"/>
            <w:tcBorders>
              <w:top w:val="single" w:color="000000" w:sz="6" w:space="0"/>
              <w:left w:val="single" w:color="000000" w:sz="6" w:space="0"/>
              <w:bottom w:val="single" w:color="000000" w:sz="6" w:space="0"/>
            </w:tcBorders>
            <w:noWrap w:val="0"/>
            <w:vAlign w:val="top"/>
          </w:tcPr>
          <w:p w14:paraId="1379C809">
            <w:pPr>
              <w:pStyle w:val="2251"/>
              <w:autoSpaceDE/>
              <w:autoSpaceDN/>
              <w:jc w:val="center"/>
              <w:rPr>
                <w:rFonts w:ascii="Times New Roman" w:hAnsi="Times New Roman" w:cs="Times New Roman"/>
                <w:sz w:val="21"/>
                <w:szCs w:val="21"/>
              </w:rPr>
            </w:pPr>
          </w:p>
          <w:p w14:paraId="775E218A">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事故</w:t>
            </w:r>
          </w:p>
        </w:tc>
      </w:tr>
      <w:tr w14:paraId="603F6B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9" w:hRule="atLeast"/>
        </w:trPr>
        <w:tc>
          <w:tcPr>
            <w:tcW w:w="837" w:type="pct"/>
            <w:vMerge w:val="continue"/>
            <w:tcBorders>
              <w:top w:val="nil"/>
              <w:bottom w:val="single" w:color="000000" w:sz="4" w:space="0"/>
              <w:right w:val="single" w:color="000000" w:sz="6" w:space="0"/>
            </w:tcBorders>
            <w:noWrap w:val="0"/>
            <w:vAlign w:val="top"/>
          </w:tcPr>
          <w:p w14:paraId="711FA548">
            <w:pPr>
              <w:jc w:val="center"/>
              <w:rPr>
                <w:szCs w:val="21"/>
              </w:rPr>
            </w:pPr>
          </w:p>
        </w:tc>
        <w:tc>
          <w:tcPr>
            <w:tcW w:w="814" w:type="pct"/>
            <w:vMerge w:val="continue"/>
            <w:tcBorders>
              <w:top w:val="nil"/>
              <w:left w:val="single" w:color="000000" w:sz="6" w:space="0"/>
              <w:bottom w:val="single" w:color="000000" w:sz="4" w:space="0"/>
              <w:right w:val="single" w:color="000000" w:sz="6" w:space="0"/>
            </w:tcBorders>
            <w:noWrap w:val="0"/>
            <w:vAlign w:val="top"/>
          </w:tcPr>
          <w:p w14:paraId="1AF0985F">
            <w:pPr>
              <w:jc w:val="center"/>
              <w:rPr>
                <w:szCs w:val="21"/>
              </w:rPr>
            </w:pPr>
          </w:p>
        </w:tc>
        <w:tc>
          <w:tcPr>
            <w:tcW w:w="740" w:type="pct"/>
            <w:tcBorders>
              <w:top w:val="single" w:color="000000" w:sz="6" w:space="0"/>
              <w:left w:val="single" w:color="000000" w:sz="6" w:space="0"/>
              <w:bottom w:val="single" w:color="000000" w:sz="4" w:space="0"/>
              <w:right w:val="single" w:color="000000" w:sz="6" w:space="0"/>
            </w:tcBorders>
            <w:noWrap w:val="0"/>
            <w:vAlign w:val="top"/>
          </w:tcPr>
          <w:p w14:paraId="5DCA1E83">
            <w:pPr>
              <w:pStyle w:val="2251"/>
              <w:autoSpaceDE/>
              <w:autoSpaceDN/>
              <w:jc w:val="center"/>
              <w:rPr>
                <w:rFonts w:ascii="Times New Roman" w:hAnsi="Times New Roman" w:cs="Times New Roman"/>
                <w:sz w:val="21"/>
                <w:szCs w:val="21"/>
              </w:rPr>
            </w:pPr>
          </w:p>
          <w:p w14:paraId="1F56C68E">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垂直入渗</w:t>
            </w:r>
          </w:p>
        </w:tc>
        <w:tc>
          <w:tcPr>
            <w:tcW w:w="1348" w:type="pct"/>
            <w:tcBorders>
              <w:top w:val="single" w:color="000000" w:sz="6" w:space="0"/>
              <w:left w:val="single" w:color="000000" w:sz="6" w:space="0"/>
              <w:bottom w:val="single" w:color="000000" w:sz="4" w:space="0"/>
              <w:right w:val="single" w:color="000000" w:sz="6" w:space="0"/>
            </w:tcBorders>
            <w:noWrap w:val="0"/>
            <w:vAlign w:val="top"/>
          </w:tcPr>
          <w:p w14:paraId="1BE20A10">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pacing w:val="-72"/>
                <w:sz w:val="21"/>
                <w:szCs w:val="21"/>
              </w:rPr>
              <w:t>、</w:t>
            </w:r>
            <w:r>
              <w:rPr>
                <w:rFonts w:ascii="Times New Roman" w:hAnsi="Times New Roman" w:cs="Times New Roman"/>
                <w:sz w:val="21"/>
                <w:szCs w:val="21"/>
              </w:rPr>
              <w:t>COD</w:t>
            </w:r>
            <w:r>
              <w:rPr>
                <w:rFonts w:ascii="Times New Roman" w:hAnsi="Times New Roman" w:cs="Times New Roman"/>
                <w:spacing w:val="-72"/>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p>
          <w:p w14:paraId="04D8475C">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氨氮、SS、TP、TN、粪大肠菌群数、蛔虫卵</w:t>
            </w:r>
          </w:p>
        </w:tc>
        <w:tc>
          <w:tcPr>
            <w:tcW w:w="710" w:type="pct"/>
            <w:tcBorders>
              <w:top w:val="single" w:color="000000" w:sz="6" w:space="0"/>
              <w:left w:val="single" w:color="000000" w:sz="6" w:space="0"/>
              <w:bottom w:val="single" w:color="000000" w:sz="4" w:space="0"/>
              <w:right w:val="single" w:color="000000" w:sz="6" w:space="0"/>
            </w:tcBorders>
            <w:noWrap w:val="0"/>
            <w:vAlign w:val="top"/>
          </w:tcPr>
          <w:p w14:paraId="22B8D68A">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含盐量</w:t>
            </w:r>
          </w:p>
        </w:tc>
        <w:tc>
          <w:tcPr>
            <w:tcW w:w="548" w:type="pct"/>
            <w:tcBorders>
              <w:top w:val="single" w:color="000000" w:sz="6" w:space="0"/>
              <w:left w:val="single" w:color="000000" w:sz="6" w:space="0"/>
              <w:bottom w:val="single" w:color="000000" w:sz="4" w:space="0"/>
            </w:tcBorders>
            <w:noWrap w:val="0"/>
            <w:vAlign w:val="top"/>
          </w:tcPr>
          <w:p w14:paraId="4FDF7E03">
            <w:pPr>
              <w:pStyle w:val="2251"/>
              <w:autoSpaceDE/>
              <w:autoSpaceDN/>
              <w:jc w:val="center"/>
              <w:rPr>
                <w:rFonts w:ascii="Times New Roman" w:hAnsi="Times New Roman" w:cs="Times New Roman"/>
                <w:sz w:val="21"/>
                <w:szCs w:val="21"/>
              </w:rPr>
            </w:pPr>
          </w:p>
          <w:p w14:paraId="7D5B034C">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事故</w:t>
            </w:r>
          </w:p>
        </w:tc>
      </w:tr>
      <w:tr w14:paraId="2415D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837" w:type="pct"/>
            <w:vMerge w:val="restart"/>
            <w:tcBorders>
              <w:top w:val="single" w:color="000000" w:sz="4" w:space="0"/>
              <w:right w:val="single" w:color="000000" w:sz="6" w:space="0"/>
            </w:tcBorders>
            <w:noWrap w:val="0"/>
            <w:vAlign w:val="top"/>
          </w:tcPr>
          <w:p w14:paraId="4EE676C7">
            <w:pPr>
              <w:pStyle w:val="2251"/>
              <w:autoSpaceDE/>
              <w:autoSpaceDN/>
              <w:jc w:val="center"/>
              <w:rPr>
                <w:rFonts w:ascii="Times New Roman" w:hAnsi="Times New Roman" w:cs="Times New Roman"/>
                <w:sz w:val="21"/>
                <w:szCs w:val="21"/>
              </w:rPr>
            </w:pPr>
          </w:p>
          <w:p w14:paraId="07DFCBF9">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污水处理站</w:t>
            </w:r>
          </w:p>
        </w:tc>
        <w:tc>
          <w:tcPr>
            <w:tcW w:w="814" w:type="pct"/>
            <w:vMerge w:val="restart"/>
            <w:tcBorders>
              <w:top w:val="single" w:color="000000" w:sz="4" w:space="0"/>
              <w:left w:val="single" w:color="000000" w:sz="6" w:space="0"/>
              <w:right w:val="single" w:color="000000" w:sz="6" w:space="0"/>
            </w:tcBorders>
            <w:noWrap w:val="0"/>
            <w:vAlign w:val="top"/>
          </w:tcPr>
          <w:p w14:paraId="04BFCFA4">
            <w:pPr>
              <w:pStyle w:val="2251"/>
              <w:autoSpaceDE/>
              <w:autoSpaceDN/>
              <w:jc w:val="center"/>
              <w:rPr>
                <w:rFonts w:ascii="Times New Roman" w:hAnsi="Times New Roman" w:cs="Times New Roman"/>
                <w:sz w:val="21"/>
                <w:szCs w:val="21"/>
              </w:rPr>
            </w:pPr>
          </w:p>
          <w:p w14:paraId="60DEE6C7">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污水处理</w:t>
            </w:r>
          </w:p>
        </w:tc>
        <w:tc>
          <w:tcPr>
            <w:tcW w:w="740" w:type="pct"/>
            <w:tcBorders>
              <w:top w:val="single" w:color="000000" w:sz="4" w:space="0"/>
              <w:left w:val="single" w:color="000000" w:sz="6" w:space="0"/>
              <w:right w:val="single" w:color="000000" w:sz="6" w:space="0"/>
            </w:tcBorders>
            <w:noWrap w:val="0"/>
            <w:vAlign w:val="top"/>
          </w:tcPr>
          <w:p w14:paraId="0E3C49D2">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地面漫流</w:t>
            </w:r>
          </w:p>
        </w:tc>
        <w:tc>
          <w:tcPr>
            <w:tcW w:w="1348" w:type="pct"/>
            <w:tcBorders>
              <w:top w:val="single" w:color="000000" w:sz="4" w:space="0"/>
              <w:left w:val="single" w:color="000000" w:sz="6" w:space="0"/>
              <w:right w:val="single" w:color="000000" w:sz="6" w:space="0"/>
            </w:tcBorders>
            <w:noWrap w:val="0"/>
            <w:vAlign w:val="top"/>
          </w:tcPr>
          <w:p w14:paraId="170E4B13">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pacing w:val="-72"/>
                <w:sz w:val="21"/>
                <w:szCs w:val="21"/>
              </w:rPr>
              <w:t>、</w:t>
            </w:r>
            <w:r>
              <w:rPr>
                <w:rFonts w:ascii="Times New Roman" w:hAnsi="Times New Roman" w:cs="Times New Roman"/>
                <w:sz w:val="21"/>
                <w:szCs w:val="21"/>
              </w:rPr>
              <w:t>COD</w:t>
            </w:r>
            <w:r>
              <w:rPr>
                <w:rFonts w:ascii="Times New Roman" w:hAnsi="Times New Roman" w:cs="Times New Roman"/>
                <w:spacing w:val="-72"/>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p>
          <w:p w14:paraId="6C4F18D4">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氨氮、SS、TP、TN、粪大肠菌群数、蛔虫卵</w:t>
            </w:r>
          </w:p>
        </w:tc>
        <w:tc>
          <w:tcPr>
            <w:tcW w:w="710" w:type="pct"/>
            <w:tcBorders>
              <w:top w:val="single" w:color="000000" w:sz="4" w:space="0"/>
              <w:left w:val="single" w:color="000000" w:sz="6" w:space="0"/>
              <w:right w:val="single" w:color="000000" w:sz="6" w:space="0"/>
            </w:tcBorders>
            <w:noWrap w:val="0"/>
            <w:vAlign w:val="top"/>
          </w:tcPr>
          <w:p w14:paraId="350B172D">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含盐量</w:t>
            </w:r>
          </w:p>
        </w:tc>
        <w:tc>
          <w:tcPr>
            <w:tcW w:w="548" w:type="pct"/>
            <w:tcBorders>
              <w:top w:val="single" w:color="000000" w:sz="4" w:space="0"/>
              <w:left w:val="single" w:color="000000" w:sz="6" w:space="0"/>
            </w:tcBorders>
            <w:noWrap w:val="0"/>
            <w:vAlign w:val="top"/>
          </w:tcPr>
          <w:p w14:paraId="470ED62E">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事故</w:t>
            </w:r>
          </w:p>
        </w:tc>
      </w:tr>
      <w:tr w14:paraId="55491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2" w:hRule="atLeast"/>
        </w:trPr>
        <w:tc>
          <w:tcPr>
            <w:tcW w:w="837" w:type="pct"/>
            <w:vMerge w:val="continue"/>
            <w:tcBorders>
              <w:top w:val="nil"/>
              <w:right w:val="single" w:color="000000" w:sz="6" w:space="0"/>
            </w:tcBorders>
            <w:noWrap w:val="0"/>
            <w:vAlign w:val="top"/>
          </w:tcPr>
          <w:p w14:paraId="4E300F2E">
            <w:pPr>
              <w:jc w:val="center"/>
              <w:rPr>
                <w:szCs w:val="21"/>
              </w:rPr>
            </w:pPr>
          </w:p>
        </w:tc>
        <w:tc>
          <w:tcPr>
            <w:tcW w:w="814" w:type="pct"/>
            <w:vMerge w:val="continue"/>
            <w:tcBorders>
              <w:top w:val="nil"/>
              <w:left w:val="single" w:color="000000" w:sz="6" w:space="0"/>
              <w:right w:val="single" w:color="000000" w:sz="6" w:space="0"/>
            </w:tcBorders>
            <w:noWrap w:val="0"/>
            <w:vAlign w:val="top"/>
          </w:tcPr>
          <w:p w14:paraId="29EE8D85">
            <w:pPr>
              <w:jc w:val="center"/>
              <w:rPr>
                <w:szCs w:val="21"/>
              </w:rPr>
            </w:pPr>
          </w:p>
        </w:tc>
        <w:tc>
          <w:tcPr>
            <w:tcW w:w="740" w:type="pct"/>
            <w:tcBorders>
              <w:left w:val="single" w:color="000000" w:sz="6" w:space="0"/>
              <w:right w:val="single" w:color="000000" w:sz="6" w:space="0"/>
            </w:tcBorders>
            <w:noWrap w:val="0"/>
            <w:vAlign w:val="top"/>
          </w:tcPr>
          <w:p w14:paraId="04453B52">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垂直入渗</w:t>
            </w:r>
          </w:p>
        </w:tc>
        <w:tc>
          <w:tcPr>
            <w:tcW w:w="1348" w:type="pct"/>
            <w:tcBorders>
              <w:left w:val="single" w:color="000000" w:sz="6" w:space="0"/>
              <w:right w:val="single" w:color="000000" w:sz="6" w:space="0"/>
            </w:tcBorders>
            <w:noWrap w:val="0"/>
            <w:vAlign w:val="top"/>
          </w:tcPr>
          <w:p w14:paraId="3B065E92">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COD、氨氮、含盐量</w:t>
            </w:r>
          </w:p>
        </w:tc>
        <w:tc>
          <w:tcPr>
            <w:tcW w:w="710" w:type="pct"/>
            <w:tcBorders>
              <w:left w:val="single" w:color="000000" w:sz="6" w:space="0"/>
              <w:right w:val="single" w:color="000000" w:sz="6" w:space="0"/>
            </w:tcBorders>
            <w:noWrap w:val="0"/>
            <w:vAlign w:val="top"/>
          </w:tcPr>
          <w:p w14:paraId="3C938726">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含盐量</w:t>
            </w:r>
          </w:p>
        </w:tc>
        <w:tc>
          <w:tcPr>
            <w:tcW w:w="548" w:type="pct"/>
            <w:tcBorders>
              <w:left w:val="single" w:color="000000" w:sz="6" w:space="0"/>
            </w:tcBorders>
            <w:noWrap w:val="0"/>
            <w:vAlign w:val="top"/>
          </w:tcPr>
          <w:p w14:paraId="1CDFBC85">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事故</w:t>
            </w:r>
          </w:p>
        </w:tc>
      </w:tr>
      <w:tr w14:paraId="78992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72" w:hRule="atLeast"/>
        </w:trPr>
        <w:tc>
          <w:tcPr>
            <w:tcW w:w="837" w:type="pct"/>
            <w:tcBorders>
              <w:top w:val="nil"/>
              <w:right w:val="single" w:color="000000" w:sz="6" w:space="0"/>
            </w:tcBorders>
            <w:noWrap w:val="0"/>
            <w:vAlign w:val="top"/>
          </w:tcPr>
          <w:p w14:paraId="0F5DEA6B">
            <w:pPr>
              <w:jc w:val="center"/>
              <w:rPr>
                <w:szCs w:val="21"/>
              </w:rPr>
            </w:pPr>
            <w:r>
              <w:rPr>
                <w:szCs w:val="21"/>
              </w:rPr>
              <w:t>猪粪发酵堆场</w:t>
            </w:r>
          </w:p>
        </w:tc>
        <w:tc>
          <w:tcPr>
            <w:tcW w:w="814" w:type="pct"/>
            <w:tcBorders>
              <w:top w:val="nil"/>
              <w:left w:val="single" w:color="000000" w:sz="6" w:space="0"/>
              <w:right w:val="single" w:color="000000" w:sz="6" w:space="0"/>
            </w:tcBorders>
            <w:noWrap w:val="0"/>
            <w:vAlign w:val="top"/>
          </w:tcPr>
          <w:p w14:paraId="1C1831E6">
            <w:pPr>
              <w:jc w:val="center"/>
              <w:rPr>
                <w:szCs w:val="21"/>
              </w:rPr>
            </w:pPr>
            <w:r>
              <w:rPr>
                <w:szCs w:val="21"/>
              </w:rPr>
              <w:t>猪粪发酵</w:t>
            </w:r>
          </w:p>
        </w:tc>
        <w:tc>
          <w:tcPr>
            <w:tcW w:w="740" w:type="pct"/>
            <w:tcBorders>
              <w:left w:val="single" w:color="000000" w:sz="6" w:space="0"/>
              <w:right w:val="single" w:color="000000" w:sz="6" w:space="0"/>
            </w:tcBorders>
            <w:noWrap w:val="0"/>
            <w:vAlign w:val="top"/>
          </w:tcPr>
          <w:p w14:paraId="410B819D">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地面漫流</w:t>
            </w:r>
          </w:p>
        </w:tc>
        <w:tc>
          <w:tcPr>
            <w:tcW w:w="2250" w:type="dxa"/>
            <w:tcBorders>
              <w:left w:val="single" w:color="000000" w:sz="6" w:space="0"/>
              <w:right w:val="single" w:color="000000" w:sz="6" w:space="0"/>
            </w:tcBorders>
            <w:noWrap w:val="0"/>
            <w:vAlign w:val="top"/>
          </w:tcPr>
          <w:p w14:paraId="024E56D4">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pacing w:val="-72"/>
                <w:sz w:val="21"/>
                <w:szCs w:val="21"/>
              </w:rPr>
              <w:t>、</w:t>
            </w:r>
            <w:r>
              <w:rPr>
                <w:rFonts w:ascii="Times New Roman" w:hAnsi="Times New Roman" w:cs="Times New Roman"/>
                <w:sz w:val="21"/>
                <w:szCs w:val="21"/>
              </w:rPr>
              <w:t>COD</w:t>
            </w:r>
            <w:r>
              <w:rPr>
                <w:rFonts w:ascii="Times New Roman" w:hAnsi="Times New Roman" w:cs="Times New Roman"/>
                <w:spacing w:val="-72"/>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p>
          <w:p w14:paraId="59BC89A7">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氨氮、SS、TP、TN、粪大肠菌群数、蛔虫卵</w:t>
            </w:r>
          </w:p>
        </w:tc>
        <w:tc>
          <w:tcPr>
            <w:tcW w:w="1185" w:type="dxa"/>
            <w:tcBorders>
              <w:left w:val="single" w:color="000000" w:sz="6" w:space="0"/>
              <w:right w:val="single" w:color="000000" w:sz="6" w:space="0"/>
            </w:tcBorders>
            <w:noWrap w:val="0"/>
            <w:vAlign w:val="top"/>
          </w:tcPr>
          <w:p w14:paraId="2B8AB7AD">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含盐量</w:t>
            </w:r>
          </w:p>
        </w:tc>
        <w:tc>
          <w:tcPr>
            <w:tcW w:w="921" w:type="dxa"/>
            <w:tcBorders>
              <w:left w:val="single" w:color="000000" w:sz="6" w:space="0"/>
            </w:tcBorders>
            <w:noWrap w:val="0"/>
            <w:vAlign w:val="top"/>
          </w:tcPr>
          <w:p w14:paraId="35FB5FAA">
            <w:pPr>
              <w:pStyle w:val="2251"/>
              <w:autoSpaceDE/>
              <w:autoSpaceDN/>
              <w:jc w:val="center"/>
              <w:rPr>
                <w:rFonts w:ascii="Times New Roman" w:hAnsi="Times New Roman" w:cs="Times New Roman"/>
                <w:sz w:val="21"/>
                <w:szCs w:val="21"/>
              </w:rPr>
            </w:pPr>
            <w:r>
              <w:rPr>
                <w:rFonts w:ascii="Times New Roman" w:hAnsi="Times New Roman" w:cs="Times New Roman"/>
                <w:sz w:val="21"/>
                <w:szCs w:val="21"/>
              </w:rPr>
              <w:t>事故</w:t>
            </w:r>
          </w:p>
        </w:tc>
      </w:tr>
      <w:tr w14:paraId="78D18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5000" w:type="pct"/>
            <w:gridSpan w:val="6"/>
            <w:noWrap w:val="0"/>
            <w:vAlign w:val="top"/>
          </w:tcPr>
          <w:p w14:paraId="04587E49">
            <w:pPr>
              <w:pStyle w:val="2251"/>
              <w:autoSpaceDE/>
              <w:autoSpaceDN/>
              <w:rPr>
                <w:rFonts w:ascii="Times New Roman" w:hAnsi="Times New Roman" w:cs="Times New Roman"/>
                <w:sz w:val="21"/>
                <w:szCs w:val="21"/>
              </w:rPr>
            </w:pPr>
            <w:r>
              <w:rPr>
                <w:rFonts w:ascii="Times New Roman" w:hAnsi="Times New Roman" w:cs="Times New Roman"/>
                <w:position w:val="6"/>
                <w:sz w:val="21"/>
                <w:szCs w:val="21"/>
              </w:rPr>
              <w:t xml:space="preserve">a </w:t>
            </w:r>
            <w:r>
              <w:rPr>
                <w:rFonts w:ascii="Times New Roman" w:hAnsi="Times New Roman" w:cs="Times New Roman"/>
                <w:sz w:val="21"/>
                <w:szCs w:val="21"/>
              </w:rPr>
              <w:t>根据工程分析结果填写。</w:t>
            </w:r>
          </w:p>
          <w:p w14:paraId="5F9C1F7D">
            <w:pPr>
              <w:pStyle w:val="2251"/>
              <w:autoSpaceDE/>
              <w:autoSpaceDN/>
              <w:ind w:right="35"/>
              <w:rPr>
                <w:rFonts w:ascii="Times New Roman" w:hAnsi="Times New Roman" w:cs="Times New Roman"/>
                <w:sz w:val="21"/>
                <w:szCs w:val="21"/>
              </w:rPr>
            </w:pPr>
            <w:r>
              <w:rPr>
                <w:rFonts w:ascii="Times New Roman" w:hAnsi="Times New Roman" w:cs="Times New Roman"/>
                <w:position w:val="6"/>
                <w:sz w:val="21"/>
                <w:szCs w:val="21"/>
              </w:rPr>
              <w:t xml:space="preserve">b </w:t>
            </w:r>
            <w:r>
              <w:rPr>
                <w:rFonts w:ascii="Times New Roman" w:hAnsi="Times New Roman" w:cs="Times New Roman"/>
                <w:sz w:val="21"/>
                <w:szCs w:val="21"/>
              </w:rPr>
              <w:t>应描述污染源特征，如连续、间断、正常、事故等；涉及大气沉降途径的，应识别建设项目周边的土壤环境敏感目标。</w:t>
            </w:r>
          </w:p>
        </w:tc>
      </w:tr>
    </w:tbl>
    <w:p w14:paraId="2777B20B">
      <w:pPr>
        <w:pStyle w:val="35"/>
        <w:spacing w:after="0" w:line="360" w:lineRule="auto"/>
        <w:ind w:firstLine="480" w:firstLineChars="200"/>
        <w:rPr>
          <w:sz w:val="24"/>
        </w:rPr>
      </w:pPr>
      <w:r>
        <w:rPr>
          <w:sz w:val="24"/>
        </w:rPr>
        <w:t>3、土壤环境敏感目标</w:t>
      </w:r>
    </w:p>
    <w:p w14:paraId="3996C2B0">
      <w:pPr>
        <w:pStyle w:val="35"/>
        <w:spacing w:after="0" w:line="360" w:lineRule="auto"/>
        <w:ind w:firstLine="480" w:firstLineChars="200"/>
        <w:rPr>
          <w:sz w:val="24"/>
        </w:rPr>
      </w:pPr>
      <w:r>
        <w:rPr>
          <w:sz w:val="24"/>
        </w:rPr>
        <w:t>根据《土地利用现状分类》（GB/T21010-2017），项目厂区周围为耕地，项目区为农用设施用地。</w:t>
      </w:r>
    </w:p>
    <w:p w14:paraId="7FEF4C5C">
      <w:pPr>
        <w:pStyle w:val="35"/>
        <w:spacing w:after="0" w:line="360" w:lineRule="auto"/>
        <w:ind w:firstLine="480" w:firstLineChars="200"/>
        <w:rPr>
          <w:sz w:val="24"/>
        </w:rPr>
      </w:pPr>
      <w:r>
        <w:rPr>
          <w:sz w:val="24"/>
        </w:rPr>
        <w:t>拟建项目的土壤环境敏感目标为周边耕地。</w:t>
      </w:r>
    </w:p>
    <w:p w14:paraId="00F19A5F">
      <w:pPr>
        <w:pStyle w:val="8"/>
        <w:ind w:firstLine="482"/>
        <w:rPr>
          <w:sz w:val="24"/>
          <w:szCs w:val="22"/>
        </w:rPr>
      </w:pPr>
      <w:r>
        <w:rPr>
          <w:sz w:val="24"/>
          <w:szCs w:val="22"/>
        </w:rPr>
        <w:t>5.2.6.2 评价等级及评价范围</w:t>
      </w:r>
    </w:p>
    <w:p w14:paraId="4394F3A6">
      <w:pPr>
        <w:spacing w:line="360" w:lineRule="auto"/>
        <w:ind w:firstLine="480" w:firstLineChars="200"/>
        <w:rPr>
          <w:bCs/>
          <w:sz w:val="24"/>
        </w:rPr>
      </w:pPr>
      <w:r>
        <w:rPr>
          <w:bCs/>
          <w:sz w:val="24"/>
        </w:rPr>
        <w:t>本项目年出栏出栏18600头生猪，根据《环境影响评价技术导则土壤环境（试行）》（HJ964-2018）中附录 A .1相关规定，项目类别为 III 类，本项目粪污均不外排，猪粪等发酵后作为自有苹果园有机肥， 污水处理后用于苹果园灌溉。</w:t>
      </w:r>
    </w:p>
    <w:p w14:paraId="3752A305">
      <w:pPr>
        <w:spacing w:line="360" w:lineRule="auto"/>
        <w:ind w:firstLine="480" w:firstLineChars="200"/>
        <w:rPr>
          <w:bCs/>
          <w:sz w:val="24"/>
        </w:rPr>
      </w:pPr>
      <w:r>
        <w:rPr>
          <w:bCs/>
          <w:sz w:val="24"/>
        </w:rPr>
        <w:t>按生态影响型项目，项目所在地 pH 值检测结果为6.59-7.56之间，含盐量在0.3g/kg~1.3g/kg，地下水埋深大于1.5m，土壤环境敏感程度为不敏感，根据《环境影响评价技术导则土壤环境（试行）》（HJ964-2018）中附录 A 相关规定， 本项目可不开展土壤环境影响评价工作。</w:t>
      </w:r>
    </w:p>
    <w:p w14:paraId="42C16E06">
      <w:pPr>
        <w:autoSpaceDE w:val="0"/>
        <w:autoSpaceDN w:val="0"/>
        <w:spacing w:line="365" w:lineRule="auto"/>
        <w:ind w:firstLine="480" w:firstLineChars="200"/>
        <w:jc w:val="left"/>
        <w:rPr>
          <w:sz w:val="24"/>
          <w:lang w:val="zh-CN" w:bidi="zh-CN"/>
        </w:rPr>
      </w:pPr>
      <w:r>
        <w:rPr>
          <w:bCs/>
          <w:sz w:val="24"/>
        </w:rPr>
        <w:t>按</w:t>
      </w:r>
      <w:r>
        <w:rPr>
          <w:bCs/>
          <w:sz w:val="24"/>
          <w:lang w:val="zh-CN"/>
        </w:rPr>
        <w:t>污染影响型项目，</w:t>
      </w:r>
      <w:r>
        <w:rPr>
          <w:sz w:val="24"/>
          <w:lang w:val="zh-CN" w:bidi="zh-CN"/>
        </w:rPr>
        <w:t>拟建项目位于</w:t>
      </w:r>
      <w:r>
        <w:rPr>
          <w:sz w:val="24"/>
          <w:lang w:bidi="zh-CN"/>
        </w:rPr>
        <w:t>石林县圭山镇</w:t>
      </w:r>
      <w:r>
        <w:rPr>
          <w:sz w:val="24"/>
          <w:lang w:val="zh-CN" w:bidi="zh-CN"/>
        </w:rPr>
        <w:t>，建设项目周边存在耕地，因此项目占地土壤敏感程度为敏感。拟建项目占地面积约为</w:t>
      </w:r>
      <w:r>
        <w:rPr>
          <w:sz w:val="24"/>
          <w:lang w:bidi="zh-CN"/>
        </w:rPr>
        <w:t>7.73</w:t>
      </w:r>
      <w:r>
        <w:rPr>
          <w:rFonts w:eastAsia="Times New Roman"/>
          <w:sz w:val="24"/>
          <w:lang w:bidi="zh-CN"/>
        </w:rPr>
        <w:t>h</w:t>
      </w:r>
      <w:r>
        <w:rPr>
          <w:rFonts w:eastAsia="Times New Roman"/>
          <w:sz w:val="24"/>
          <w:lang w:val="zh-CN" w:bidi="zh-CN"/>
        </w:rPr>
        <w:t>m</w:t>
      </w:r>
      <w:r>
        <w:rPr>
          <w:rFonts w:eastAsia="Times New Roman"/>
          <w:sz w:val="24"/>
          <w:vertAlign w:val="superscript"/>
          <w:lang w:val="zh-CN" w:bidi="zh-CN"/>
        </w:rPr>
        <w:t>2</w:t>
      </w:r>
      <w:r>
        <w:rPr>
          <w:sz w:val="24"/>
          <w:lang w:val="zh-CN" w:bidi="zh-CN"/>
        </w:rPr>
        <w:t>，</w:t>
      </w:r>
      <w:r>
        <w:rPr>
          <w:sz w:val="24"/>
          <w:lang w:bidi="zh-CN"/>
        </w:rPr>
        <w:t>属</w:t>
      </w:r>
      <w:r>
        <w:rPr>
          <w:sz w:val="24"/>
          <w:lang w:val="zh-CN" w:bidi="zh-CN"/>
        </w:rPr>
        <w:t xml:space="preserve">于 </w:t>
      </w:r>
      <w:r>
        <w:rPr>
          <w:sz w:val="24"/>
          <w:lang w:bidi="zh-CN"/>
        </w:rPr>
        <w:t>5~50h</w:t>
      </w:r>
      <w:r>
        <w:rPr>
          <w:rFonts w:eastAsia="Times New Roman"/>
          <w:sz w:val="24"/>
          <w:lang w:val="zh-CN" w:bidi="zh-CN"/>
        </w:rPr>
        <w:t>m</w:t>
      </w:r>
      <w:r>
        <w:rPr>
          <w:rFonts w:eastAsia="Times New Roman"/>
          <w:sz w:val="24"/>
          <w:vertAlign w:val="superscript"/>
          <w:lang w:val="zh-CN" w:bidi="zh-CN"/>
        </w:rPr>
        <w:t>2</w:t>
      </w:r>
      <w:r>
        <w:rPr>
          <w:sz w:val="24"/>
          <w:lang w:val="zh-CN" w:bidi="zh-CN"/>
        </w:rPr>
        <w:t>，故项目占地规模属于</w:t>
      </w:r>
      <w:r>
        <w:rPr>
          <w:sz w:val="24"/>
          <w:lang w:bidi="zh-CN"/>
        </w:rPr>
        <w:t>中</w:t>
      </w:r>
      <w:r>
        <w:rPr>
          <w:sz w:val="24"/>
          <w:lang w:val="zh-CN" w:bidi="zh-CN"/>
        </w:rPr>
        <w:t>型。</w:t>
      </w:r>
    </w:p>
    <w:p w14:paraId="704C9FC3">
      <w:pPr>
        <w:autoSpaceDE w:val="0"/>
        <w:autoSpaceDN w:val="0"/>
        <w:spacing w:line="360" w:lineRule="auto"/>
        <w:ind w:firstLine="480" w:firstLineChars="200"/>
        <w:jc w:val="left"/>
        <w:rPr>
          <w:sz w:val="24"/>
          <w:lang w:val="zh-CN" w:bidi="zh-CN"/>
        </w:rPr>
      </w:pPr>
      <w:r>
        <w:rPr>
          <w:sz w:val="24"/>
          <w:lang w:val="zh-CN" w:bidi="zh-CN"/>
        </w:rPr>
        <w:t xml:space="preserve">拟建项目土壤境影响评价项目类别为 </w:t>
      </w:r>
      <w:r>
        <w:rPr>
          <w:rFonts w:eastAsia="Times New Roman"/>
          <w:sz w:val="24"/>
          <w:lang w:val="zh-CN" w:bidi="zh-CN"/>
        </w:rPr>
        <w:t xml:space="preserve">III </w:t>
      </w:r>
      <w:r>
        <w:rPr>
          <w:sz w:val="24"/>
          <w:lang w:val="zh-CN" w:bidi="zh-CN"/>
        </w:rPr>
        <w:t>类，土壤敏感程度为敏感，占地规模属于</w:t>
      </w:r>
      <w:r>
        <w:rPr>
          <w:sz w:val="24"/>
          <w:lang w:bidi="zh-CN"/>
        </w:rPr>
        <w:t>中</w:t>
      </w:r>
      <w:r>
        <w:rPr>
          <w:sz w:val="24"/>
          <w:lang w:val="zh-CN" w:bidi="zh-CN"/>
        </w:rPr>
        <w:t>型，根据《环境影响评价技术导则 土壤环境》（试行）（</w:t>
      </w:r>
      <w:r>
        <w:rPr>
          <w:rFonts w:eastAsia="Times New Roman"/>
          <w:sz w:val="24"/>
          <w:lang w:val="zh-CN" w:bidi="zh-CN"/>
        </w:rPr>
        <w:t>HJ964-2018</w:t>
      </w:r>
      <w:r>
        <w:rPr>
          <w:sz w:val="24"/>
          <w:lang w:val="zh-CN" w:bidi="zh-CN"/>
        </w:rPr>
        <w:t>） 的规定，拟建项目评价等级为三级。综上，土壤环境影响评价工作等级为三级，调查评价范围为项目占地范围以及占地范围外0.05km范围内。</w:t>
      </w:r>
    </w:p>
    <w:p w14:paraId="06D4403D">
      <w:pPr>
        <w:pStyle w:val="8"/>
        <w:ind w:firstLine="482"/>
        <w:rPr>
          <w:sz w:val="24"/>
          <w:szCs w:val="22"/>
        </w:rPr>
      </w:pPr>
      <w:r>
        <w:rPr>
          <w:sz w:val="24"/>
          <w:szCs w:val="22"/>
        </w:rPr>
        <w:t>5.2.6.3土壤预测与评价</w:t>
      </w:r>
    </w:p>
    <w:p w14:paraId="581AF3E3">
      <w:pPr>
        <w:spacing w:line="360" w:lineRule="auto"/>
        <w:ind w:firstLine="480" w:firstLineChars="200"/>
        <w:rPr>
          <w:sz w:val="24"/>
        </w:rPr>
      </w:pPr>
      <w:r>
        <w:rPr>
          <w:sz w:val="24"/>
        </w:rPr>
        <w:t>根据《环境影响评价技术导则 土壤环境（试行）》（HJ 964—2018），本项目土壤环境影响评价工作等级为三级。</w:t>
      </w:r>
    </w:p>
    <w:p w14:paraId="2421BD37">
      <w:pPr>
        <w:spacing w:line="360" w:lineRule="auto"/>
        <w:ind w:firstLine="480" w:firstLineChars="200"/>
        <w:rPr>
          <w:sz w:val="24"/>
        </w:rPr>
      </w:pPr>
      <w:r>
        <w:rPr>
          <w:sz w:val="24"/>
        </w:rPr>
        <w:t xml:space="preserve">本项目的土壤环境影响主要为生态影响型。污染物对土壤产生污染的途径主要是养殖废水灌溉造成的盐分累积，从而造成土壤盐化。另外，如果养殖废水管理不善，也会通过地面漫流和垂直入渗对土壤产生污染。涉及土壤盐化的，要合理控制污水处理工艺中氯化物等可能造成土壤盐化物质的使用量，调整轮作土地；涉及地面漫流影响的，应根据建设项目所在地的地形特点优化地面布局，必要时设置地面硬化、围堰或围墙；涉及入渗影响的，应根据标准规范要求，对设备设施采取相应的防渗措施，以防止土壤环境污染。 </w:t>
      </w:r>
    </w:p>
    <w:p w14:paraId="495EEA3C">
      <w:pPr>
        <w:spacing w:line="360" w:lineRule="auto"/>
        <w:ind w:firstLine="480" w:firstLineChars="200"/>
        <w:rPr>
          <w:sz w:val="24"/>
        </w:rPr>
      </w:pPr>
      <w:r>
        <w:rPr>
          <w:sz w:val="24"/>
        </w:rPr>
        <w:t>本项目属于生猪养殖项目，不存在重金属、持久性有机污染物等；可能造成土壤污染的是事故情况下，养殖废水形成地面漫流、垂直入渗。本项目对周围土壤可能造成的影响，主要表现为土壤中</w:t>
      </w:r>
      <w:r>
        <w:rPr>
          <w:kern w:val="0"/>
          <w:szCs w:val="21"/>
        </w:rPr>
        <w:t>COD</w:t>
      </w:r>
      <w:r>
        <w:rPr>
          <w:kern w:val="0"/>
          <w:szCs w:val="21"/>
          <w:vertAlign w:val="subscript"/>
        </w:rPr>
        <w:t>Cr</w:t>
      </w:r>
      <w:r>
        <w:rPr>
          <w:sz w:val="24"/>
        </w:rPr>
        <w:t>等可降解有机物、致病菌浓度、盐分的升高，最终导致土壤盐化，影响农作物和植物的生长。土壤中可降解有机物污染主要途径来自养猪场事故状态下养殖废水通过垂直入渗、地面漫流等方式逐渐渗入土壤，从而导致土壤中可降解有机物、致病菌浓度浓度升高，污染土壤环境。</w:t>
      </w:r>
    </w:p>
    <w:p w14:paraId="46F85CC6">
      <w:pPr>
        <w:spacing w:line="360" w:lineRule="auto"/>
        <w:ind w:firstLine="480" w:firstLineChars="200"/>
        <w:rPr>
          <w:sz w:val="24"/>
        </w:rPr>
      </w:pPr>
      <w:r>
        <w:rPr>
          <w:sz w:val="24"/>
        </w:rPr>
        <w:t>另外，养殖废水中盐分的来源主要有2个，一是由于生猪饲养过程会在饲料中添加盐分，盐分未被完全吸收，猪的排泄物中含有盐分；二是养殖废水处理过程中使用次氯酸钠作为消毒剂，增加了废水中盐分含量。由于养殖废水经处理后用于农灌，长时间使用养殖废水农灌会导致盐分在土壤耕作层中累积，导致土壤含盐量增加。但是本项目污水为生猪养殖废水，含盐量比较低，养殖废水作为农灌用水在我国农村地区普遍存在，且灌溉历史悠久，具有较强的可操作性，目前也未发现由于养殖废水灌溉导致耕地土壤盐化的案例。</w:t>
      </w:r>
    </w:p>
    <w:p w14:paraId="00E549D2">
      <w:pPr>
        <w:spacing w:line="360" w:lineRule="auto"/>
        <w:ind w:firstLine="480" w:firstLineChars="200"/>
        <w:rPr>
          <w:sz w:val="24"/>
        </w:rPr>
      </w:pPr>
      <w:r>
        <w:rPr>
          <w:sz w:val="24"/>
        </w:rPr>
        <w:t>本项目污水站运行期定期进行水质检测，检测指标中包含了氯化物、全盐量，如果检测发现氯化物、全盐量超标，则应立即调整污水处理工艺，更换轮作土地。根据项目区土壤监测报告，项目区及周边耕地土壤现状含盐量较低，现状未盐化，养殖废水农灌导致土壤盐化的可能性较小。</w:t>
      </w:r>
    </w:p>
    <w:p w14:paraId="57F77CD5">
      <w:pPr>
        <w:pStyle w:val="8"/>
        <w:ind w:firstLine="482"/>
        <w:rPr>
          <w:sz w:val="24"/>
          <w:szCs w:val="22"/>
        </w:rPr>
      </w:pPr>
      <w:r>
        <w:rPr>
          <w:sz w:val="24"/>
          <w:szCs w:val="22"/>
        </w:rPr>
        <w:t>5.2.6.4保护措施与对策</w:t>
      </w:r>
    </w:p>
    <w:p w14:paraId="620AE21D">
      <w:pPr>
        <w:pStyle w:val="35"/>
        <w:spacing w:after="0" w:line="360" w:lineRule="auto"/>
        <w:ind w:firstLine="480" w:firstLineChars="200"/>
        <w:rPr>
          <w:sz w:val="24"/>
          <w:lang w:bidi="zh-CN"/>
        </w:rPr>
      </w:pPr>
      <w:r>
        <w:rPr>
          <w:sz w:val="24"/>
          <w:lang w:bidi="zh-CN"/>
        </w:rPr>
        <w:t>1、源头控制措施</w:t>
      </w:r>
    </w:p>
    <w:p w14:paraId="0E4ECDA4">
      <w:pPr>
        <w:pStyle w:val="35"/>
        <w:spacing w:after="0" w:line="360" w:lineRule="auto"/>
        <w:ind w:firstLine="480" w:firstLineChars="200"/>
        <w:rPr>
          <w:sz w:val="24"/>
          <w:lang w:bidi="zh-CN"/>
        </w:rPr>
      </w:pPr>
      <w:r>
        <w:rPr>
          <w:sz w:val="24"/>
          <w:lang w:bidi="zh-CN"/>
        </w:rPr>
        <w:t>项目实施清洁生产及各类废物循环利用，减少污染物的排放量；</w:t>
      </w:r>
    </w:p>
    <w:p w14:paraId="2B6D435D">
      <w:pPr>
        <w:pStyle w:val="35"/>
        <w:spacing w:after="0" w:line="360" w:lineRule="auto"/>
        <w:ind w:firstLine="480" w:firstLineChars="200"/>
        <w:rPr>
          <w:sz w:val="24"/>
          <w:lang w:bidi="zh-CN"/>
        </w:rPr>
      </w:pPr>
      <w:r>
        <w:rPr>
          <w:sz w:val="24"/>
          <w:lang w:bidi="zh-CN"/>
        </w:rPr>
        <w:t>生产工艺、管道、设备、污水储存及处理构筑物采取相应控制措施，防止污染物的跑、冒、滴、漏，将污染物泄漏的环境风险事故降到最低限度。</w:t>
      </w:r>
    </w:p>
    <w:p w14:paraId="24F84747">
      <w:pPr>
        <w:spacing w:line="360" w:lineRule="auto"/>
        <w:ind w:firstLine="480" w:firstLineChars="200"/>
        <w:rPr>
          <w:sz w:val="24"/>
          <w:lang w:bidi="zh-CN"/>
        </w:rPr>
      </w:pPr>
      <w:r>
        <w:rPr>
          <w:sz w:val="24"/>
          <w:lang w:bidi="zh-CN"/>
        </w:rPr>
        <w:t>采用干清粪工艺，减少废水、废气等产生及排放量。</w:t>
      </w:r>
    </w:p>
    <w:p w14:paraId="72ED26CA">
      <w:pPr>
        <w:pStyle w:val="47"/>
        <w:spacing w:line="360" w:lineRule="auto"/>
        <w:ind w:firstLine="480" w:firstLineChars="200"/>
        <w:rPr>
          <w:rFonts w:ascii="Times New Roman" w:hAnsi="Times New Roman" w:cs="Times New Roman"/>
        </w:rPr>
      </w:pPr>
      <w:r>
        <w:rPr>
          <w:rFonts w:ascii="Times New Roman" w:hAnsi="Times New Roman" w:cs="Times New Roman"/>
          <w:sz w:val="24"/>
          <w:szCs w:val="24"/>
          <w:lang w:bidi="zh-CN"/>
        </w:rPr>
        <w:t>使用符合国家标准的饲料，防止饲料等带入相关污染因子。</w:t>
      </w:r>
    </w:p>
    <w:p w14:paraId="153EC185">
      <w:pPr>
        <w:pStyle w:val="35"/>
        <w:spacing w:before="85" w:line="364" w:lineRule="auto"/>
        <w:ind w:right="256" w:firstLine="479"/>
        <w:rPr>
          <w:sz w:val="24"/>
          <w:lang w:bidi="zh-CN"/>
        </w:rPr>
      </w:pPr>
      <w:r>
        <w:rPr>
          <w:sz w:val="24"/>
          <w:lang w:bidi="zh-CN"/>
        </w:rPr>
        <w:t>2、过程防控措施</w:t>
      </w:r>
    </w:p>
    <w:p w14:paraId="133A70DE">
      <w:pPr>
        <w:pStyle w:val="35"/>
        <w:spacing w:after="0" w:line="360" w:lineRule="auto"/>
        <w:ind w:firstLine="480" w:firstLineChars="200"/>
        <w:rPr>
          <w:sz w:val="24"/>
          <w:lang w:bidi="zh-CN"/>
        </w:rPr>
      </w:pPr>
      <w:r>
        <w:rPr>
          <w:sz w:val="24"/>
          <w:lang w:bidi="zh-CN"/>
        </w:rPr>
        <w:t>本项目除污水管道外，不涉及地下管线和管槽的问题；所有地下管线和管槽均采用防渗处理、对各管道接口采取进行良好密封等措施；一般工业固废暂存设施的防渗、防腐按照《一般工业固废贮存和填埋污染控制标准》（GB18599-2020）有关防渗要求进行建设，危险废物暂存间、无害化处置间、猪粪发酵堆场、污水处理站各类池体防渗、防腐按照重点防渗要求进行建设。</w:t>
      </w:r>
    </w:p>
    <w:p w14:paraId="5E51F262">
      <w:pPr>
        <w:pStyle w:val="35"/>
        <w:spacing w:after="0" w:line="360" w:lineRule="auto"/>
        <w:ind w:firstLine="480" w:firstLineChars="200"/>
        <w:rPr>
          <w:sz w:val="24"/>
          <w:lang w:bidi="zh-CN"/>
        </w:rPr>
      </w:pPr>
      <w:r>
        <w:rPr>
          <w:sz w:val="24"/>
          <w:lang w:bidi="zh-CN"/>
        </w:rPr>
        <w:t>通过以上措施，建设项目采取过程阻断、污染物消减和分区防控等措施，可以将项目对土壤环境造成的影响降到最低。</w:t>
      </w:r>
    </w:p>
    <w:p w14:paraId="3C0C75F9">
      <w:pPr>
        <w:pStyle w:val="8"/>
        <w:ind w:firstLine="482"/>
        <w:rPr>
          <w:sz w:val="24"/>
          <w:szCs w:val="22"/>
        </w:rPr>
      </w:pPr>
      <w:r>
        <w:rPr>
          <w:sz w:val="24"/>
          <w:szCs w:val="22"/>
        </w:rPr>
        <w:t xml:space="preserve">5.2.6.6 </w:t>
      </w:r>
      <w:bookmarkStart w:id="174" w:name="_Toc15501_WPSOffice_Level3"/>
      <w:r>
        <w:rPr>
          <w:sz w:val="24"/>
          <w:szCs w:val="22"/>
        </w:rPr>
        <w:t>土壤环境跟踪监测</w:t>
      </w:r>
      <w:bookmarkEnd w:id="174"/>
      <w:r>
        <w:rPr>
          <w:sz w:val="24"/>
          <w:szCs w:val="22"/>
        </w:rPr>
        <w:t xml:space="preserve"> </w:t>
      </w:r>
    </w:p>
    <w:p w14:paraId="1A13A600">
      <w:pPr>
        <w:spacing w:line="360" w:lineRule="auto"/>
        <w:ind w:firstLine="480" w:firstLineChars="200"/>
        <w:rPr>
          <w:bCs/>
          <w:sz w:val="24"/>
        </w:rPr>
      </w:pPr>
      <w:r>
        <w:rPr>
          <w:bCs/>
          <w:sz w:val="24"/>
        </w:rPr>
        <w:t>项目为III类建设项目，评价工作等级为三级，根据HJ964-2018，三级评价项目，必要时可开展跟踪监测，项目占地范围内土壤</w:t>
      </w:r>
      <w:r>
        <w:rPr>
          <w:sz w:val="24"/>
          <w:lang w:bidi="zh-CN"/>
        </w:rPr>
        <w:t>满足《土壤环境质量 农用地土壤污染风险管控标准（试行）》（GB15618-2018）要求。由于项目为养殖类项目，废水中主要污染物为</w:t>
      </w:r>
      <w:r>
        <w:rPr>
          <w:sz w:val="24"/>
          <w:lang w:val="zh-CN" w:bidi="zh-CN"/>
        </w:rPr>
        <w:t>COD、BOD</w:t>
      </w:r>
      <w:r>
        <w:rPr>
          <w:sz w:val="24"/>
          <w:vertAlign w:val="subscript"/>
          <w:lang w:val="zh-CN" w:bidi="zh-CN"/>
        </w:rPr>
        <w:t>5</w:t>
      </w:r>
      <w:r>
        <w:rPr>
          <w:sz w:val="24"/>
          <w:lang w:val="zh-CN" w:bidi="zh-CN"/>
        </w:rPr>
        <w:t>氨氮、SS、TP、TN、粪大肠菌群数、蛔虫卵</w:t>
      </w:r>
      <w:r>
        <w:rPr>
          <w:sz w:val="24"/>
          <w:lang w:bidi="zh-CN"/>
        </w:rPr>
        <w:t>等，废气主要为硫化氢及氨气，</w:t>
      </w:r>
      <w:r>
        <w:rPr>
          <w:sz w:val="24"/>
          <w:lang w:val="zh-CN" w:bidi="zh-CN"/>
        </w:rPr>
        <w:t>不涉及涉</w:t>
      </w:r>
      <w:r>
        <w:rPr>
          <w:sz w:val="24"/>
          <w:lang w:bidi="zh-CN"/>
        </w:rPr>
        <w:t>重金属及有机物等其他有毒有害因子，</w:t>
      </w:r>
      <w:r>
        <w:rPr>
          <w:bCs/>
          <w:sz w:val="24"/>
        </w:rPr>
        <w:t>不再设置跟踪监测点。</w:t>
      </w:r>
    </w:p>
    <w:p w14:paraId="4E5697DC">
      <w:pPr>
        <w:pStyle w:val="8"/>
        <w:ind w:firstLine="482"/>
        <w:rPr>
          <w:sz w:val="24"/>
          <w:szCs w:val="22"/>
        </w:rPr>
      </w:pPr>
      <w:r>
        <w:rPr>
          <w:sz w:val="24"/>
          <w:szCs w:val="22"/>
        </w:rPr>
        <w:t>5.2.6.7结论</w:t>
      </w:r>
    </w:p>
    <w:p w14:paraId="406915E7">
      <w:pPr>
        <w:spacing w:line="360" w:lineRule="auto"/>
        <w:ind w:firstLine="480" w:firstLineChars="200"/>
        <w:rPr>
          <w:sz w:val="24"/>
          <w:lang w:bidi="zh-CN"/>
        </w:rPr>
      </w:pPr>
      <w:r>
        <w:rPr>
          <w:sz w:val="24"/>
          <w:lang w:bidi="zh-CN"/>
        </w:rPr>
        <w:t>根据项目厂址土壤环境现状监测结果，项目占地范围内土壤环境质量不存在点位超标，各监测因子满足《土壤环境质量 农用地土壤污染风险管控标准（试行）》（GB15618-2018）要求。</w:t>
      </w:r>
    </w:p>
    <w:p w14:paraId="24019574">
      <w:pPr>
        <w:pStyle w:val="35"/>
        <w:spacing w:line="360" w:lineRule="auto"/>
        <w:ind w:firstLine="480" w:firstLineChars="200"/>
        <w:rPr>
          <w:sz w:val="24"/>
          <w:lang w:val="zh-CN" w:bidi="zh-CN"/>
        </w:rPr>
      </w:pPr>
      <w:r>
        <w:rPr>
          <w:sz w:val="24"/>
          <w:lang w:bidi="zh-CN"/>
        </w:rPr>
        <w:t>本项目氨、硫化氢的排放浓度和落地浓度较小，通过干湿沉降进入土壤环境的量很少，氨、硫化氢的排放不会造成周边土壤环境中污染物的浓度超标，项目废水、猪粪等发生流失或下渗，由于项目为养殖类项目，废水中主要污染物为</w:t>
      </w:r>
      <w:r>
        <w:rPr>
          <w:sz w:val="24"/>
          <w:lang w:val="zh-CN" w:bidi="zh-CN"/>
        </w:rPr>
        <w:t>COD、BOD</w:t>
      </w:r>
      <w:r>
        <w:rPr>
          <w:sz w:val="24"/>
          <w:vertAlign w:val="subscript"/>
          <w:lang w:val="zh-CN" w:bidi="zh-CN"/>
        </w:rPr>
        <w:t>5</w:t>
      </w:r>
      <w:r>
        <w:rPr>
          <w:sz w:val="24"/>
          <w:lang w:val="zh-CN" w:bidi="zh-CN"/>
        </w:rPr>
        <w:t>氨氮、SS、TP、TN、粪大肠菌群数、蛔虫卵</w:t>
      </w:r>
      <w:r>
        <w:rPr>
          <w:sz w:val="24"/>
          <w:lang w:bidi="zh-CN"/>
        </w:rPr>
        <w:t>等，废气主要为硫化氢及氨气，</w:t>
      </w:r>
      <w:r>
        <w:rPr>
          <w:sz w:val="24"/>
          <w:lang w:val="zh-CN" w:bidi="zh-CN"/>
        </w:rPr>
        <w:t>不涉及涉</w:t>
      </w:r>
      <w:r>
        <w:rPr>
          <w:sz w:val="24"/>
          <w:lang w:bidi="zh-CN"/>
        </w:rPr>
        <w:t>重金属及其他有毒有害因子，土壤中各项因子可维持现状，不会加重各因子在土壤中的累计浓度，项目运营期间占地范围内土壤可满足《土壤环境质量标准-建设用地土壤污染风险管控标准》（GB36600-2018）第二类项目筛选值的要求，项目对土壤影响可接受</w:t>
      </w:r>
      <w:r>
        <w:rPr>
          <w:sz w:val="24"/>
          <w:lang w:val="zh-CN" w:bidi="zh-CN"/>
        </w:rPr>
        <w:t>。</w:t>
      </w:r>
    </w:p>
    <w:p w14:paraId="764071F4">
      <w:pPr>
        <w:spacing w:line="360" w:lineRule="auto"/>
        <w:ind w:firstLine="480" w:firstLineChars="200"/>
        <w:rPr>
          <w:sz w:val="24"/>
          <w:lang w:bidi="zh-CN"/>
        </w:rPr>
      </w:pPr>
      <w:r>
        <w:rPr>
          <w:sz w:val="24"/>
          <w:lang w:bidi="zh-CN"/>
        </w:rPr>
        <w:t>本项目采取源头控制、过程防控和跟踪监测等措施后，可以将项目对土壤环境造成的影响降到最低，项目运营期土壤满足《土壤环境质量 农用地土壤污染风险管控标准（试行）》（GB15618-2018）要求。因此从土壤环境影响的角度，项目建设可行。</w:t>
      </w:r>
    </w:p>
    <w:p w14:paraId="58962533">
      <w:pPr>
        <w:pStyle w:val="7"/>
        <w:rPr>
          <w:rFonts w:ascii="Times New Roman" w:hAnsi="Times New Roman"/>
        </w:rPr>
      </w:pPr>
      <w:r>
        <w:rPr>
          <w:rFonts w:ascii="Times New Roman" w:hAnsi="Times New Roman"/>
        </w:rPr>
        <w:t>5.2.7运营期生态影响评价</w:t>
      </w:r>
    </w:p>
    <w:p w14:paraId="5CBC58CE">
      <w:pPr>
        <w:pStyle w:val="8"/>
        <w:ind w:left="420" w:leftChars="200" w:firstLine="0" w:firstLineChars="0"/>
      </w:pPr>
      <w:bookmarkStart w:id="175" w:name="5.2.6.1生态环境影响因素"/>
      <w:bookmarkEnd w:id="175"/>
      <w:r>
        <w:t>5.2.7.1生态环境影响因素</w:t>
      </w:r>
    </w:p>
    <w:p w14:paraId="302CE34A">
      <w:pPr>
        <w:spacing w:line="360" w:lineRule="auto"/>
        <w:ind w:firstLine="480" w:firstLineChars="200"/>
        <w:rPr>
          <w:sz w:val="24"/>
          <w:lang w:bidi="zh-CN"/>
        </w:rPr>
      </w:pPr>
      <w:r>
        <w:rPr>
          <w:sz w:val="24"/>
          <w:lang w:bidi="zh-CN"/>
        </w:rPr>
        <w:t>本项目规划总占地面积161亩，现状为未利用土地，已规划为设施农用地。项目所在地为人工生态系统，没有濒危、珍稀物种。</w:t>
      </w:r>
    </w:p>
    <w:p w14:paraId="017669ED">
      <w:pPr>
        <w:spacing w:line="360" w:lineRule="auto"/>
        <w:ind w:firstLine="480" w:firstLineChars="200"/>
        <w:rPr>
          <w:sz w:val="24"/>
          <w:lang w:bidi="zh-CN"/>
        </w:rPr>
      </w:pPr>
      <w:r>
        <w:rPr>
          <w:sz w:val="24"/>
          <w:lang w:bidi="zh-CN"/>
        </w:rPr>
        <w:t>根据《环境影响评价技术导则 生态影响》（HJ19-2011）中推荐方法——列表清单法，其基本做法是将实施的拟建工程中的活动和可能受影响的环境因子分别列于同一张表格的列与行。在该表格中用不同的符号给出每项活动与对应环境因子的相对影响程度。列表清单见表 5.2-24。</w:t>
      </w:r>
    </w:p>
    <w:p w14:paraId="082B0879">
      <w:pPr>
        <w:spacing w:after="3" w:line="265" w:lineRule="exact"/>
        <w:ind w:left="945" w:right="1330"/>
        <w:jc w:val="center"/>
        <w:rPr>
          <w:b/>
          <w:sz w:val="24"/>
        </w:rPr>
      </w:pPr>
      <w:r>
        <w:rPr>
          <w:sz w:val="24"/>
        </w:rPr>
        <mc:AlternateContent>
          <mc:Choice Requires="wps">
            <w:drawing>
              <wp:anchor distT="0" distB="0" distL="114300" distR="114300" simplePos="0" relativeHeight="251659264" behindDoc="1" locked="0" layoutInCell="1" allowOverlap="1">
                <wp:simplePos x="0" y="0"/>
                <wp:positionH relativeFrom="page">
                  <wp:posOffset>1082675</wp:posOffset>
                </wp:positionH>
                <wp:positionV relativeFrom="paragraph">
                  <wp:posOffset>187960</wp:posOffset>
                </wp:positionV>
                <wp:extent cx="720090" cy="532765"/>
                <wp:effectExtent l="2540" t="3810" r="20320" b="15875"/>
                <wp:wrapNone/>
                <wp:docPr id="1" name="直线 2015"/>
                <wp:cNvGraphicFramePr/>
                <a:graphic xmlns:a="http://schemas.openxmlformats.org/drawingml/2006/main">
                  <a:graphicData uri="http://schemas.microsoft.com/office/word/2010/wordprocessingShape">
                    <wps:wsp>
                      <wps:cNvSpPr/>
                      <wps:spPr>
                        <a:xfrm>
                          <a:off x="0" y="0"/>
                          <a:ext cx="720090" cy="53276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2015" o:spid="_x0000_s1026" o:spt="20" style="position:absolute;left:0pt;margin-left:85.25pt;margin-top:14.8pt;height:41.95pt;width:56.7pt;mso-position-horizontal-relative:page;z-index:-251657216;mso-width-relative:page;mso-height-relative:page;" filled="f" stroked="t" coordsize="21600,21600" o:gfxdata="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ch/jtoAAAAKAQAADwAAAAAAAAABACAAAAAiAAAAZHJzL2Rvd25yZXYueG1sUEsBAhQAFAAA&#10;AAgAh07iQBFXyXLtAQAA4gMAAA4AAAAAAAAAAQAgAAAAKQEAAGRycy9lMm9Eb2MueG1sUEsFBgAA&#10;AAAGAAYAWQEAAIgFAAAAAA==&#10;">
                <v:fill on="f" focussize="0,0"/>
                <v:stroke weight="0.25pt" color="#000000" joinstyle="round"/>
                <v:imagedata o:title=""/>
                <o:lock v:ext="edit" aspectratio="f"/>
              </v:line>
            </w:pict>
          </mc:Fallback>
        </mc:AlternateContent>
      </w:r>
      <w:r>
        <w:rPr>
          <w:b/>
          <w:spacing w:val="-26"/>
          <w:sz w:val="24"/>
        </w:rPr>
        <w:t xml:space="preserve">表 </w:t>
      </w:r>
      <w:r>
        <w:rPr>
          <w:b/>
          <w:sz w:val="24"/>
        </w:rPr>
        <w:t>5.2-24</w:t>
      </w:r>
      <w:r>
        <w:rPr>
          <w:b/>
          <w:spacing w:val="51"/>
          <w:sz w:val="24"/>
        </w:rPr>
        <w:t xml:space="preserve"> </w:t>
      </w:r>
      <w:r>
        <w:rPr>
          <w:b/>
          <w:sz w:val="24"/>
        </w:rPr>
        <w:t>建设项目生态环境影响因素与影响程度</w:t>
      </w:r>
    </w:p>
    <w:tbl>
      <w:tblPr>
        <w:tblStyle w:val="87"/>
        <w:tblW w:w="501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3"/>
        <w:gridCol w:w="832"/>
        <w:gridCol w:w="738"/>
        <w:gridCol w:w="836"/>
        <w:gridCol w:w="1005"/>
        <w:gridCol w:w="722"/>
        <w:gridCol w:w="722"/>
        <w:gridCol w:w="730"/>
        <w:gridCol w:w="726"/>
        <w:gridCol w:w="724"/>
        <w:gridCol w:w="724"/>
        <w:gridCol w:w="732"/>
      </w:tblGrid>
      <w:tr w14:paraId="4E45B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3" w:type="pct"/>
            <w:vMerge w:val="restart"/>
            <w:noWrap w:val="0"/>
            <w:vAlign w:val="top"/>
          </w:tcPr>
          <w:p w14:paraId="63F73FFC">
            <w:pPr>
              <w:pStyle w:val="2251"/>
              <w:spacing w:before="81"/>
              <w:ind w:left="628"/>
              <w:rPr>
                <w:rFonts w:ascii="Times New Roman" w:hAnsi="Times New Roman" w:cs="Times New Roman"/>
                <w:sz w:val="18"/>
              </w:rPr>
            </w:pPr>
            <w:r>
              <w:rPr>
                <w:rFonts w:ascii="Times New Roman" w:hAnsi="Times New Roman" w:cs="Times New Roman"/>
                <w:sz w:val="18"/>
              </w:rPr>
              <w:t>项目</w:t>
            </w:r>
          </w:p>
          <w:p w14:paraId="3069F241">
            <w:pPr>
              <w:pStyle w:val="2251"/>
              <w:spacing w:before="6"/>
              <w:rPr>
                <w:rFonts w:ascii="Times New Roman" w:hAnsi="Times New Roman" w:cs="Times New Roman"/>
                <w:b/>
                <w:sz w:val="16"/>
              </w:rPr>
            </w:pPr>
          </w:p>
          <w:p w14:paraId="12F6BB6C">
            <w:pPr>
              <w:pStyle w:val="2251"/>
              <w:ind w:left="107"/>
              <w:rPr>
                <w:rFonts w:ascii="Times New Roman" w:hAnsi="Times New Roman" w:cs="Times New Roman"/>
                <w:sz w:val="18"/>
              </w:rPr>
            </w:pPr>
            <w:r>
              <w:rPr>
                <w:rFonts w:ascii="Times New Roman" w:hAnsi="Times New Roman" w:cs="Times New Roman"/>
                <w:sz w:val="18"/>
              </w:rPr>
              <w:t>影响因素</w:t>
            </w:r>
          </w:p>
        </w:tc>
        <w:tc>
          <w:tcPr>
            <w:tcW w:w="1677" w:type="pct"/>
            <w:gridSpan w:val="4"/>
            <w:noWrap w:val="0"/>
            <w:vAlign w:val="top"/>
          </w:tcPr>
          <w:p w14:paraId="2F3F4058">
            <w:pPr>
              <w:pStyle w:val="2251"/>
              <w:spacing w:before="55"/>
              <w:ind w:left="1183" w:right="1155"/>
              <w:rPr>
                <w:rFonts w:ascii="Times New Roman" w:hAnsi="Times New Roman" w:cs="Times New Roman"/>
                <w:sz w:val="18"/>
              </w:rPr>
            </w:pPr>
            <w:r>
              <w:rPr>
                <w:rFonts w:ascii="Times New Roman" w:hAnsi="Times New Roman" w:cs="Times New Roman"/>
                <w:sz w:val="18"/>
              </w:rPr>
              <w:t>自然环境</w:t>
            </w:r>
          </w:p>
        </w:tc>
        <w:tc>
          <w:tcPr>
            <w:tcW w:w="1069" w:type="pct"/>
            <w:gridSpan w:val="3"/>
            <w:noWrap w:val="0"/>
            <w:vAlign w:val="top"/>
          </w:tcPr>
          <w:p w14:paraId="6573D996">
            <w:pPr>
              <w:pStyle w:val="2251"/>
              <w:spacing w:before="55"/>
              <w:ind w:left="559"/>
              <w:rPr>
                <w:rFonts w:ascii="Times New Roman" w:hAnsi="Times New Roman" w:cs="Times New Roman"/>
                <w:sz w:val="18"/>
              </w:rPr>
            </w:pPr>
            <w:r>
              <w:rPr>
                <w:rFonts w:ascii="Times New Roman" w:hAnsi="Times New Roman" w:cs="Times New Roman"/>
                <w:sz w:val="18"/>
              </w:rPr>
              <w:t>社会环境</w:t>
            </w:r>
          </w:p>
        </w:tc>
        <w:tc>
          <w:tcPr>
            <w:tcW w:w="1429" w:type="pct"/>
            <w:gridSpan w:val="4"/>
            <w:noWrap w:val="0"/>
            <w:vAlign w:val="top"/>
          </w:tcPr>
          <w:p w14:paraId="6C512270">
            <w:pPr>
              <w:pStyle w:val="2251"/>
              <w:spacing w:before="55"/>
              <w:ind w:left="844" w:right="807"/>
              <w:rPr>
                <w:rFonts w:ascii="Times New Roman" w:hAnsi="Times New Roman" w:cs="Times New Roman"/>
                <w:sz w:val="18"/>
              </w:rPr>
            </w:pPr>
            <w:r>
              <w:rPr>
                <w:rFonts w:ascii="Times New Roman" w:hAnsi="Times New Roman" w:cs="Times New Roman"/>
                <w:sz w:val="18"/>
              </w:rPr>
              <w:t>生活质量</w:t>
            </w:r>
          </w:p>
        </w:tc>
      </w:tr>
      <w:tr w14:paraId="5C70C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823" w:type="pct"/>
            <w:vMerge w:val="continue"/>
            <w:noWrap w:val="0"/>
            <w:vAlign w:val="top"/>
          </w:tcPr>
          <w:p w14:paraId="5D986B81">
            <w:pPr>
              <w:rPr>
                <w:sz w:val="2"/>
                <w:szCs w:val="2"/>
              </w:rPr>
            </w:pPr>
          </w:p>
        </w:tc>
        <w:tc>
          <w:tcPr>
            <w:tcW w:w="409" w:type="pct"/>
            <w:noWrap w:val="0"/>
            <w:vAlign w:val="top"/>
          </w:tcPr>
          <w:p w14:paraId="784C9792">
            <w:pPr>
              <w:pStyle w:val="2251"/>
              <w:spacing w:before="125"/>
              <w:ind w:left="87" w:right="132"/>
              <w:rPr>
                <w:rFonts w:ascii="Times New Roman" w:hAnsi="Times New Roman" w:cs="Times New Roman"/>
                <w:sz w:val="18"/>
              </w:rPr>
            </w:pPr>
            <w:r>
              <w:rPr>
                <w:rFonts w:ascii="Times New Roman" w:hAnsi="Times New Roman" w:cs="Times New Roman"/>
                <w:sz w:val="18"/>
              </w:rPr>
              <w:t>地下水</w:t>
            </w:r>
          </w:p>
        </w:tc>
        <w:tc>
          <w:tcPr>
            <w:tcW w:w="363" w:type="pct"/>
            <w:noWrap w:val="0"/>
            <w:vAlign w:val="top"/>
          </w:tcPr>
          <w:p w14:paraId="74E9B6D0">
            <w:pPr>
              <w:pStyle w:val="2251"/>
              <w:spacing w:before="125"/>
              <w:ind w:left="94" w:right="72"/>
              <w:rPr>
                <w:rFonts w:ascii="Times New Roman" w:hAnsi="Times New Roman" w:cs="Times New Roman"/>
                <w:sz w:val="18"/>
              </w:rPr>
            </w:pPr>
            <w:r>
              <w:rPr>
                <w:rFonts w:ascii="Times New Roman" w:hAnsi="Times New Roman" w:cs="Times New Roman"/>
                <w:sz w:val="18"/>
              </w:rPr>
              <w:t>地表水</w:t>
            </w:r>
          </w:p>
        </w:tc>
        <w:tc>
          <w:tcPr>
            <w:tcW w:w="411" w:type="pct"/>
            <w:noWrap w:val="0"/>
            <w:vAlign w:val="top"/>
          </w:tcPr>
          <w:p w14:paraId="1225AEED">
            <w:pPr>
              <w:pStyle w:val="2251"/>
              <w:spacing w:before="125"/>
              <w:ind w:right="217"/>
              <w:jc w:val="right"/>
              <w:rPr>
                <w:rFonts w:ascii="Times New Roman" w:hAnsi="Times New Roman" w:cs="Times New Roman"/>
                <w:sz w:val="18"/>
              </w:rPr>
            </w:pPr>
            <w:r>
              <w:rPr>
                <w:rFonts w:ascii="Times New Roman" w:hAnsi="Times New Roman" w:cs="Times New Roman"/>
                <w:sz w:val="18"/>
              </w:rPr>
              <w:t>大气</w:t>
            </w:r>
          </w:p>
        </w:tc>
        <w:tc>
          <w:tcPr>
            <w:tcW w:w="493" w:type="pct"/>
            <w:noWrap w:val="0"/>
            <w:vAlign w:val="top"/>
          </w:tcPr>
          <w:p w14:paraId="2333D47D">
            <w:pPr>
              <w:pStyle w:val="2251"/>
              <w:spacing w:before="125"/>
              <w:ind w:left="91" w:right="147"/>
              <w:rPr>
                <w:rFonts w:ascii="Times New Roman" w:hAnsi="Times New Roman" w:cs="Times New Roman"/>
                <w:sz w:val="18"/>
              </w:rPr>
            </w:pPr>
            <w:r>
              <w:rPr>
                <w:rFonts w:ascii="Times New Roman" w:hAnsi="Times New Roman" w:cs="Times New Roman"/>
                <w:sz w:val="18"/>
              </w:rPr>
              <w:t>声环境</w:t>
            </w:r>
          </w:p>
        </w:tc>
        <w:tc>
          <w:tcPr>
            <w:tcW w:w="355" w:type="pct"/>
            <w:noWrap w:val="0"/>
            <w:vAlign w:val="top"/>
          </w:tcPr>
          <w:p w14:paraId="53413322">
            <w:pPr>
              <w:pStyle w:val="2251"/>
              <w:spacing w:before="7" w:line="230" w:lineRule="atLeast"/>
              <w:ind w:left="115" w:right="76"/>
              <w:rPr>
                <w:rFonts w:ascii="Times New Roman" w:hAnsi="Times New Roman" w:cs="Times New Roman"/>
                <w:sz w:val="18"/>
              </w:rPr>
            </w:pPr>
            <w:r>
              <w:rPr>
                <w:rFonts w:ascii="Times New Roman" w:hAnsi="Times New Roman" w:cs="Times New Roman"/>
                <w:sz w:val="18"/>
              </w:rPr>
              <w:t>土地利用</w:t>
            </w:r>
          </w:p>
        </w:tc>
        <w:tc>
          <w:tcPr>
            <w:tcW w:w="355" w:type="pct"/>
            <w:noWrap w:val="0"/>
            <w:vAlign w:val="top"/>
          </w:tcPr>
          <w:p w14:paraId="2F4E5636">
            <w:pPr>
              <w:pStyle w:val="2251"/>
              <w:spacing w:before="7" w:line="230" w:lineRule="atLeast"/>
              <w:ind w:left="114" w:right="77"/>
              <w:rPr>
                <w:rFonts w:ascii="Times New Roman" w:hAnsi="Times New Roman" w:cs="Times New Roman"/>
                <w:sz w:val="18"/>
              </w:rPr>
            </w:pPr>
            <w:r>
              <w:rPr>
                <w:rFonts w:ascii="Times New Roman" w:hAnsi="Times New Roman" w:cs="Times New Roman"/>
                <w:sz w:val="18"/>
              </w:rPr>
              <w:t>经济发展</w:t>
            </w:r>
          </w:p>
        </w:tc>
        <w:tc>
          <w:tcPr>
            <w:tcW w:w="357" w:type="pct"/>
            <w:noWrap w:val="0"/>
            <w:vAlign w:val="top"/>
          </w:tcPr>
          <w:p w14:paraId="3C3A509E">
            <w:pPr>
              <w:pStyle w:val="2251"/>
              <w:spacing w:before="125"/>
              <w:ind w:right="124"/>
              <w:jc w:val="right"/>
              <w:rPr>
                <w:rFonts w:ascii="Times New Roman" w:hAnsi="Times New Roman" w:cs="Times New Roman"/>
                <w:sz w:val="18"/>
              </w:rPr>
            </w:pPr>
            <w:r>
              <w:rPr>
                <w:rFonts w:ascii="Times New Roman" w:hAnsi="Times New Roman" w:cs="Times New Roman"/>
                <w:sz w:val="18"/>
              </w:rPr>
              <w:t>交通</w:t>
            </w:r>
          </w:p>
        </w:tc>
        <w:tc>
          <w:tcPr>
            <w:tcW w:w="357" w:type="pct"/>
            <w:noWrap w:val="0"/>
            <w:vAlign w:val="top"/>
          </w:tcPr>
          <w:p w14:paraId="0075B56C">
            <w:pPr>
              <w:pStyle w:val="2251"/>
              <w:spacing w:before="125"/>
              <w:ind w:left="93" w:right="100"/>
              <w:rPr>
                <w:rFonts w:ascii="Times New Roman" w:hAnsi="Times New Roman" w:cs="Times New Roman"/>
                <w:sz w:val="18"/>
              </w:rPr>
            </w:pPr>
            <w:r>
              <w:rPr>
                <w:rFonts w:ascii="Times New Roman" w:hAnsi="Times New Roman" w:cs="Times New Roman"/>
                <w:sz w:val="18"/>
              </w:rPr>
              <w:t>景观</w:t>
            </w:r>
          </w:p>
        </w:tc>
        <w:tc>
          <w:tcPr>
            <w:tcW w:w="356" w:type="pct"/>
            <w:noWrap w:val="0"/>
            <w:vAlign w:val="top"/>
          </w:tcPr>
          <w:p w14:paraId="28B8618B">
            <w:pPr>
              <w:pStyle w:val="2251"/>
              <w:spacing w:before="7" w:line="230" w:lineRule="atLeast"/>
              <w:ind w:left="113" w:right="78"/>
              <w:rPr>
                <w:rFonts w:ascii="Times New Roman" w:hAnsi="Times New Roman" w:cs="Times New Roman"/>
                <w:sz w:val="18"/>
              </w:rPr>
            </w:pPr>
            <w:r>
              <w:rPr>
                <w:rFonts w:ascii="Times New Roman" w:hAnsi="Times New Roman" w:cs="Times New Roman"/>
                <w:sz w:val="18"/>
              </w:rPr>
              <w:t>健康安全</w:t>
            </w:r>
          </w:p>
        </w:tc>
        <w:tc>
          <w:tcPr>
            <w:tcW w:w="356" w:type="pct"/>
            <w:noWrap w:val="0"/>
            <w:vAlign w:val="top"/>
          </w:tcPr>
          <w:p w14:paraId="25D3D2A7">
            <w:pPr>
              <w:pStyle w:val="2251"/>
              <w:spacing w:before="125"/>
              <w:ind w:left="93" w:right="100"/>
              <w:rPr>
                <w:rFonts w:ascii="Times New Roman" w:hAnsi="Times New Roman" w:cs="Times New Roman"/>
                <w:sz w:val="18"/>
              </w:rPr>
            </w:pPr>
            <w:r>
              <w:rPr>
                <w:rFonts w:ascii="Times New Roman" w:hAnsi="Times New Roman" w:cs="Times New Roman"/>
                <w:sz w:val="18"/>
              </w:rPr>
              <w:t>娱乐</w:t>
            </w:r>
          </w:p>
        </w:tc>
        <w:tc>
          <w:tcPr>
            <w:tcW w:w="359" w:type="pct"/>
            <w:noWrap w:val="0"/>
            <w:vAlign w:val="top"/>
          </w:tcPr>
          <w:p w14:paraId="78660A33">
            <w:pPr>
              <w:pStyle w:val="2251"/>
              <w:spacing w:before="7" w:line="230" w:lineRule="atLeast"/>
              <w:ind w:left="114" w:right="71"/>
              <w:rPr>
                <w:rFonts w:ascii="Times New Roman" w:hAnsi="Times New Roman" w:cs="Times New Roman"/>
                <w:sz w:val="18"/>
              </w:rPr>
            </w:pPr>
            <w:r>
              <w:rPr>
                <w:rFonts w:ascii="Times New Roman" w:hAnsi="Times New Roman" w:cs="Times New Roman"/>
                <w:sz w:val="18"/>
              </w:rPr>
              <w:t>生活水平</w:t>
            </w:r>
          </w:p>
        </w:tc>
      </w:tr>
      <w:tr w14:paraId="088BA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3" w:type="pct"/>
            <w:noWrap w:val="0"/>
            <w:vAlign w:val="top"/>
          </w:tcPr>
          <w:p w14:paraId="24E6204D">
            <w:pPr>
              <w:pStyle w:val="2251"/>
              <w:spacing w:before="27"/>
              <w:ind w:left="103" w:right="81"/>
              <w:rPr>
                <w:rFonts w:ascii="Times New Roman" w:hAnsi="Times New Roman" w:cs="Times New Roman"/>
                <w:sz w:val="18"/>
              </w:rPr>
            </w:pPr>
            <w:r>
              <w:rPr>
                <w:rFonts w:ascii="Times New Roman" w:hAnsi="Times New Roman" w:cs="Times New Roman"/>
                <w:sz w:val="18"/>
              </w:rPr>
              <w:t>废水排放</w:t>
            </w:r>
          </w:p>
        </w:tc>
        <w:tc>
          <w:tcPr>
            <w:tcW w:w="409" w:type="pct"/>
            <w:noWrap w:val="0"/>
            <w:vAlign w:val="top"/>
          </w:tcPr>
          <w:p w14:paraId="65E38BC5">
            <w:pPr>
              <w:pStyle w:val="2251"/>
              <w:spacing w:before="39"/>
              <w:ind w:left="87" w:right="59"/>
              <w:rPr>
                <w:rFonts w:ascii="Times New Roman" w:hAnsi="Times New Roman" w:cs="Times New Roman"/>
                <w:sz w:val="18"/>
              </w:rPr>
            </w:pPr>
            <w:r>
              <w:rPr>
                <w:rFonts w:ascii="Times New Roman" w:hAnsi="Times New Roman" w:cs="Times New Roman"/>
                <w:sz w:val="18"/>
              </w:rPr>
              <w:t>-1</w:t>
            </w:r>
          </w:p>
        </w:tc>
        <w:tc>
          <w:tcPr>
            <w:tcW w:w="363" w:type="pct"/>
            <w:noWrap w:val="0"/>
            <w:vAlign w:val="top"/>
          </w:tcPr>
          <w:p w14:paraId="3504A46F">
            <w:pPr>
              <w:pStyle w:val="2251"/>
              <w:spacing w:before="39"/>
              <w:ind w:left="28"/>
              <w:rPr>
                <w:rFonts w:ascii="Times New Roman" w:hAnsi="Times New Roman" w:cs="Times New Roman"/>
                <w:sz w:val="18"/>
              </w:rPr>
            </w:pPr>
            <w:r>
              <w:rPr>
                <w:rFonts w:ascii="Times New Roman" w:hAnsi="Times New Roman" w:cs="Times New Roman"/>
                <w:sz w:val="18"/>
              </w:rPr>
              <w:t>0</w:t>
            </w:r>
          </w:p>
        </w:tc>
        <w:tc>
          <w:tcPr>
            <w:tcW w:w="411" w:type="pct"/>
            <w:noWrap w:val="0"/>
            <w:vAlign w:val="top"/>
          </w:tcPr>
          <w:p w14:paraId="342A0072">
            <w:pPr>
              <w:pStyle w:val="2251"/>
              <w:rPr>
                <w:rFonts w:ascii="Times New Roman" w:hAnsi="Times New Roman" w:cs="Times New Roman"/>
                <w:sz w:val="20"/>
              </w:rPr>
            </w:pPr>
          </w:p>
        </w:tc>
        <w:tc>
          <w:tcPr>
            <w:tcW w:w="493" w:type="pct"/>
            <w:noWrap w:val="0"/>
            <w:vAlign w:val="top"/>
          </w:tcPr>
          <w:p w14:paraId="78C33AB1">
            <w:pPr>
              <w:pStyle w:val="2251"/>
              <w:rPr>
                <w:rFonts w:ascii="Times New Roman" w:hAnsi="Times New Roman" w:cs="Times New Roman"/>
                <w:sz w:val="20"/>
              </w:rPr>
            </w:pPr>
          </w:p>
        </w:tc>
        <w:tc>
          <w:tcPr>
            <w:tcW w:w="355" w:type="pct"/>
            <w:noWrap w:val="0"/>
            <w:vAlign w:val="top"/>
          </w:tcPr>
          <w:p w14:paraId="6C1DE4A0">
            <w:pPr>
              <w:pStyle w:val="2251"/>
              <w:rPr>
                <w:rFonts w:ascii="Times New Roman" w:hAnsi="Times New Roman" w:cs="Times New Roman"/>
                <w:sz w:val="20"/>
              </w:rPr>
            </w:pPr>
          </w:p>
        </w:tc>
        <w:tc>
          <w:tcPr>
            <w:tcW w:w="355" w:type="pct"/>
            <w:noWrap w:val="0"/>
            <w:vAlign w:val="top"/>
          </w:tcPr>
          <w:p w14:paraId="0B73379A">
            <w:pPr>
              <w:pStyle w:val="2251"/>
              <w:rPr>
                <w:rFonts w:ascii="Times New Roman" w:hAnsi="Times New Roman" w:cs="Times New Roman"/>
                <w:sz w:val="20"/>
              </w:rPr>
            </w:pPr>
          </w:p>
        </w:tc>
        <w:tc>
          <w:tcPr>
            <w:tcW w:w="357" w:type="pct"/>
            <w:noWrap w:val="0"/>
            <w:vAlign w:val="top"/>
          </w:tcPr>
          <w:p w14:paraId="4E058CE2">
            <w:pPr>
              <w:pStyle w:val="2251"/>
              <w:rPr>
                <w:rFonts w:ascii="Times New Roman" w:hAnsi="Times New Roman" w:cs="Times New Roman"/>
                <w:sz w:val="20"/>
              </w:rPr>
            </w:pPr>
          </w:p>
        </w:tc>
        <w:tc>
          <w:tcPr>
            <w:tcW w:w="357" w:type="pct"/>
            <w:noWrap w:val="0"/>
            <w:vAlign w:val="top"/>
          </w:tcPr>
          <w:p w14:paraId="3622D72B">
            <w:pPr>
              <w:pStyle w:val="2251"/>
              <w:spacing w:before="39"/>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2AAE5A47">
            <w:pPr>
              <w:pStyle w:val="2251"/>
              <w:spacing w:before="39"/>
              <w:ind w:left="93" w:right="64"/>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0421CA05">
            <w:pPr>
              <w:pStyle w:val="2251"/>
              <w:rPr>
                <w:rFonts w:ascii="Times New Roman" w:hAnsi="Times New Roman" w:cs="Times New Roman"/>
                <w:sz w:val="20"/>
              </w:rPr>
            </w:pPr>
          </w:p>
        </w:tc>
        <w:tc>
          <w:tcPr>
            <w:tcW w:w="359" w:type="pct"/>
            <w:noWrap w:val="0"/>
            <w:vAlign w:val="top"/>
          </w:tcPr>
          <w:p w14:paraId="148BFDAF">
            <w:pPr>
              <w:pStyle w:val="2251"/>
              <w:rPr>
                <w:rFonts w:ascii="Times New Roman" w:hAnsi="Times New Roman" w:cs="Times New Roman"/>
                <w:sz w:val="20"/>
              </w:rPr>
            </w:pPr>
          </w:p>
        </w:tc>
      </w:tr>
      <w:tr w14:paraId="37E78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3" w:type="pct"/>
            <w:noWrap w:val="0"/>
            <w:vAlign w:val="top"/>
          </w:tcPr>
          <w:p w14:paraId="1FAB37A6">
            <w:pPr>
              <w:pStyle w:val="2251"/>
              <w:spacing w:before="26"/>
              <w:ind w:left="103" w:right="81"/>
              <w:rPr>
                <w:rFonts w:ascii="Times New Roman" w:hAnsi="Times New Roman" w:cs="Times New Roman"/>
                <w:sz w:val="18"/>
              </w:rPr>
            </w:pPr>
            <w:r>
              <w:rPr>
                <w:rFonts w:ascii="Times New Roman" w:hAnsi="Times New Roman" w:cs="Times New Roman"/>
                <w:sz w:val="18"/>
              </w:rPr>
              <w:t>废气排放</w:t>
            </w:r>
          </w:p>
        </w:tc>
        <w:tc>
          <w:tcPr>
            <w:tcW w:w="409" w:type="pct"/>
            <w:noWrap w:val="0"/>
            <w:vAlign w:val="top"/>
          </w:tcPr>
          <w:p w14:paraId="3E3356F0">
            <w:pPr>
              <w:pStyle w:val="2251"/>
              <w:rPr>
                <w:rFonts w:ascii="Times New Roman" w:hAnsi="Times New Roman" w:cs="Times New Roman"/>
                <w:sz w:val="20"/>
              </w:rPr>
            </w:pPr>
          </w:p>
        </w:tc>
        <w:tc>
          <w:tcPr>
            <w:tcW w:w="363" w:type="pct"/>
            <w:noWrap w:val="0"/>
            <w:vAlign w:val="top"/>
          </w:tcPr>
          <w:p w14:paraId="16DB4A17">
            <w:pPr>
              <w:pStyle w:val="2251"/>
              <w:rPr>
                <w:rFonts w:ascii="Times New Roman" w:hAnsi="Times New Roman" w:cs="Times New Roman"/>
                <w:sz w:val="20"/>
              </w:rPr>
            </w:pPr>
          </w:p>
        </w:tc>
        <w:tc>
          <w:tcPr>
            <w:tcW w:w="411" w:type="pct"/>
            <w:noWrap w:val="0"/>
            <w:vAlign w:val="top"/>
          </w:tcPr>
          <w:p w14:paraId="0A73B5D1">
            <w:pPr>
              <w:pStyle w:val="2251"/>
              <w:spacing w:before="38"/>
              <w:ind w:right="252"/>
              <w:jc w:val="right"/>
              <w:rPr>
                <w:rFonts w:ascii="Times New Roman" w:hAnsi="Times New Roman" w:cs="Times New Roman"/>
                <w:sz w:val="18"/>
              </w:rPr>
            </w:pPr>
            <w:r>
              <w:rPr>
                <w:rFonts w:ascii="Times New Roman" w:hAnsi="Times New Roman" w:cs="Times New Roman"/>
                <w:sz w:val="18"/>
              </w:rPr>
              <w:t>-1</w:t>
            </w:r>
          </w:p>
        </w:tc>
        <w:tc>
          <w:tcPr>
            <w:tcW w:w="493" w:type="pct"/>
            <w:noWrap w:val="0"/>
            <w:vAlign w:val="top"/>
          </w:tcPr>
          <w:p w14:paraId="188F397B">
            <w:pPr>
              <w:pStyle w:val="2251"/>
              <w:rPr>
                <w:rFonts w:ascii="Times New Roman" w:hAnsi="Times New Roman" w:cs="Times New Roman"/>
                <w:sz w:val="20"/>
              </w:rPr>
            </w:pPr>
          </w:p>
        </w:tc>
        <w:tc>
          <w:tcPr>
            <w:tcW w:w="355" w:type="pct"/>
            <w:noWrap w:val="0"/>
            <w:vAlign w:val="top"/>
          </w:tcPr>
          <w:p w14:paraId="79C3DC97">
            <w:pPr>
              <w:pStyle w:val="2251"/>
              <w:rPr>
                <w:rFonts w:ascii="Times New Roman" w:hAnsi="Times New Roman" w:cs="Times New Roman"/>
                <w:sz w:val="20"/>
              </w:rPr>
            </w:pPr>
          </w:p>
        </w:tc>
        <w:tc>
          <w:tcPr>
            <w:tcW w:w="355" w:type="pct"/>
            <w:noWrap w:val="0"/>
            <w:vAlign w:val="top"/>
          </w:tcPr>
          <w:p w14:paraId="71CF82F0">
            <w:pPr>
              <w:pStyle w:val="2251"/>
              <w:rPr>
                <w:rFonts w:ascii="Times New Roman" w:hAnsi="Times New Roman" w:cs="Times New Roman"/>
                <w:sz w:val="20"/>
              </w:rPr>
            </w:pPr>
          </w:p>
        </w:tc>
        <w:tc>
          <w:tcPr>
            <w:tcW w:w="357" w:type="pct"/>
            <w:noWrap w:val="0"/>
            <w:vAlign w:val="top"/>
          </w:tcPr>
          <w:p w14:paraId="02D0EA7D">
            <w:pPr>
              <w:pStyle w:val="2251"/>
              <w:rPr>
                <w:rFonts w:ascii="Times New Roman" w:hAnsi="Times New Roman" w:cs="Times New Roman"/>
                <w:sz w:val="20"/>
              </w:rPr>
            </w:pPr>
          </w:p>
        </w:tc>
        <w:tc>
          <w:tcPr>
            <w:tcW w:w="357" w:type="pct"/>
            <w:noWrap w:val="0"/>
            <w:vAlign w:val="top"/>
          </w:tcPr>
          <w:p w14:paraId="6ED31892">
            <w:pPr>
              <w:pStyle w:val="2251"/>
              <w:rPr>
                <w:rFonts w:ascii="Times New Roman" w:hAnsi="Times New Roman" w:cs="Times New Roman"/>
                <w:sz w:val="20"/>
              </w:rPr>
            </w:pPr>
          </w:p>
        </w:tc>
        <w:tc>
          <w:tcPr>
            <w:tcW w:w="356" w:type="pct"/>
            <w:noWrap w:val="0"/>
            <w:vAlign w:val="top"/>
          </w:tcPr>
          <w:p w14:paraId="543C328B">
            <w:pPr>
              <w:pStyle w:val="2251"/>
              <w:spacing w:before="38"/>
              <w:ind w:left="93" w:right="64"/>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4C757703">
            <w:pPr>
              <w:pStyle w:val="2251"/>
              <w:rPr>
                <w:rFonts w:ascii="Times New Roman" w:hAnsi="Times New Roman" w:cs="Times New Roman"/>
                <w:sz w:val="20"/>
              </w:rPr>
            </w:pPr>
          </w:p>
        </w:tc>
        <w:tc>
          <w:tcPr>
            <w:tcW w:w="359" w:type="pct"/>
            <w:noWrap w:val="0"/>
            <w:vAlign w:val="top"/>
          </w:tcPr>
          <w:p w14:paraId="4EFA8AAE">
            <w:pPr>
              <w:pStyle w:val="2251"/>
              <w:rPr>
                <w:rFonts w:ascii="Times New Roman" w:hAnsi="Times New Roman" w:cs="Times New Roman"/>
                <w:sz w:val="20"/>
              </w:rPr>
            </w:pPr>
          </w:p>
        </w:tc>
      </w:tr>
      <w:tr w14:paraId="215AF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3" w:type="pct"/>
            <w:noWrap w:val="0"/>
            <w:vAlign w:val="top"/>
          </w:tcPr>
          <w:p w14:paraId="727E37BF">
            <w:pPr>
              <w:pStyle w:val="2251"/>
              <w:spacing w:before="26"/>
              <w:ind w:left="103" w:right="84"/>
              <w:rPr>
                <w:rFonts w:ascii="Times New Roman" w:hAnsi="Times New Roman" w:cs="Times New Roman"/>
                <w:sz w:val="18"/>
              </w:rPr>
            </w:pPr>
            <w:r>
              <w:rPr>
                <w:rFonts w:ascii="Times New Roman" w:hAnsi="Times New Roman" w:cs="Times New Roman"/>
                <w:sz w:val="18"/>
              </w:rPr>
              <w:t>固体废弃物</w:t>
            </w:r>
          </w:p>
        </w:tc>
        <w:tc>
          <w:tcPr>
            <w:tcW w:w="409" w:type="pct"/>
            <w:noWrap w:val="0"/>
            <w:vAlign w:val="top"/>
          </w:tcPr>
          <w:p w14:paraId="0923079B">
            <w:pPr>
              <w:pStyle w:val="2251"/>
              <w:rPr>
                <w:rFonts w:ascii="Times New Roman" w:hAnsi="Times New Roman" w:cs="Times New Roman"/>
                <w:sz w:val="20"/>
              </w:rPr>
            </w:pPr>
          </w:p>
        </w:tc>
        <w:tc>
          <w:tcPr>
            <w:tcW w:w="363" w:type="pct"/>
            <w:noWrap w:val="0"/>
            <w:vAlign w:val="top"/>
          </w:tcPr>
          <w:p w14:paraId="6AFE913F">
            <w:pPr>
              <w:pStyle w:val="2251"/>
              <w:rPr>
                <w:rFonts w:ascii="Times New Roman" w:hAnsi="Times New Roman" w:cs="Times New Roman"/>
                <w:sz w:val="20"/>
              </w:rPr>
            </w:pPr>
          </w:p>
        </w:tc>
        <w:tc>
          <w:tcPr>
            <w:tcW w:w="411" w:type="pct"/>
            <w:noWrap w:val="0"/>
            <w:vAlign w:val="top"/>
          </w:tcPr>
          <w:p w14:paraId="2B0A8400">
            <w:pPr>
              <w:pStyle w:val="2251"/>
              <w:rPr>
                <w:rFonts w:ascii="Times New Roman" w:hAnsi="Times New Roman" w:cs="Times New Roman"/>
                <w:sz w:val="20"/>
              </w:rPr>
            </w:pPr>
          </w:p>
        </w:tc>
        <w:tc>
          <w:tcPr>
            <w:tcW w:w="493" w:type="pct"/>
            <w:noWrap w:val="0"/>
            <w:vAlign w:val="top"/>
          </w:tcPr>
          <w:p w14:paraId="7E7B4E96">
            <w:pPr>
              <w:pStyle w:val="2251"/>
              <w:rPr>
                <w:rFonts w:ascii="Times New Roman" w:hAnsi="Times New Roman" w:cs="Times New Roman"/>
                <w:sz w:val="20"/>
              </w:rPr>
            </w:pPr>
          </w:p>
        </w:tc>
        <w:tc>
          <w:tcPr>
            <w:tcW w:w="355" w:type="pct"/>
            <w:noWrap w:val="0"/>
            <w:vAlign w:val="top"/>
          </w:tcPr>
          <w:p w14:paraId="195CCE26">
            <w:pPr>
              <w:pStyle w:val="2251"/>
              <w:rPr>
                <w:rFonts w:ascii="Times New Roman" w:hAnsi="Times New Roman" w:cs="Times New Roman"/>
                <w:sz w:val="20"/>
              </w:rPr>
            </w:pPr>
          </w:p>
        </w:tc>
        <w:tc>
          <w:tcPr>
            <w:tcW w:w="355" w:type="pct"/>
            <w:noWrap w:val="0"/>
            <w:vAlign w:val="top"/>
          </w:tcPr>
          <w:p w14:paraId="30747399">
            <w:pPr>
              <w:pStyle w:val="2251"/>
              <w:rPr>
                <w:rFonts w:ascii="Times New Roman" w:hAnsi="Times New Roman" w:cs="Times New Roman"/>
                <w:sz w:val="20"/>
              </w:rPr>
            </w:pPr>
          </w:p>
        </w:tc>
        <w:tc>
          <w:tcPr>
            <w:tcW w:w="357" w:type="pct"/>
            <w:noWrap w:val="0"/>
            <w:vAlign w:val="top"/>
          </w:tcPr>
          <w:p w14:paraId="5A3BC33E">
            <w:pPr>
              <w:pStyle w:val="2251"/>
              <w:rPr>
                <w:rFonts w:ascii="Times New Roman" w:hAnsi="Times New Roman" w:cs="Times New Roman"/>
                <w:sz w:val="20"/>
              </w:rPr>
            </w:pPr>
          </w:p>
        </w:tc>
        <w:tc>
          <w:tcPr>
            <w:tcW w:w="357" w:type="pct"/>
            <w:noWrap w:val="0"/>
            <w:vAlign w:val="top"/>
          </w:tcPr>
          <w:p w14:paraId="474197AE">
            <w:pPr>
              <w:pStyle w:val="2251"/>
              <w:spacing w:before="38"/>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1D716AAA">
            <w:pPr>
              <w:pStyle w:val="2251"/>
              <w:rPr>
                <w:rFonts w:ascii="Times New Roman" w:hAnsi="Times New Roman" w:cs="Times New Roman"/>
                <w:sz w:val="20"/>
              </w:rPr>
            </w:pPr>
          </w:p>
        </w:tc>
        <w:tc>
          <w:tcPr>
            <w:tcW w:w="356" w:type="pct"/>
            <w:noWrap w:val="0"/>
            <w:vAlign w:val="top"/>
          </w:tcPr>
          <w:p w14:paraId="7A2F6999">
            <w:pPr>
              <w:pStyle w:val="2251"/>
              <w:rPr>
                <w:rFonts w:ascii="Times New Roman" w:hAnsi="Times New Roman" w:cs="Times New Roman"/>
                <w:sz w:val="20"/>
              </w:rPr>
            </w:pPr>
          </w:p>
        </w:tc>
        <w:tc>
          <w:tcPr>
            <w:tcW w:w="359" w:type="pct"/>
            <w:noWrap w:val="0"/>
            <w:vAlign w:val="top"/>
          </w:tcPr>
          <w:p w14:paraId="169FA016">
            <w:pPr>
              <w:pStyle w:val="2251"/>
              <w:rPr>
                <w:rFonts w:ascii="Times New Roman" w:hAnsi="Times New Roman" w:cs="Times New Roman"/>
                <w:sz w:val="20"/>
              </w:rPr>
            </w:pPr>
          </w:p>
        </w:tc>
      </w:tr>
      <w:tr w14:paraId="41806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3" w:type="pct"/>
            <w:noWrap w:val="0"/>
            <w:vAlign w:val="top"/>
          </w:tcPr>
          <w:p w14:paraId="203B7489">
            <w:pPr>
              <w:pStyle w:val="2251"/>
              <w:spacing w:before="25"/>
              <w:ind w:left="103" w:right="84"/>
              <w:rPr>
                <w:rFonts w:ascii="Times New Roman" w:hAnsi="Times New Roman" w:cs="Times New Roman"/>
                <w:sz w:val="18"/>
              </w:rPr>
            </w:pPr>
            <w:r>
              <w:rPr>
                <w:rFonts w:ascii="Times New Roman" w:hAnsi="Times New Roman" w:cs="Times New Roman"/>
                <w:sz w:val="18"/>
              </w:rPr>
              <w:t>供 电</w:t>
            </w:r>
          </w:p>
        </w:tc>
        <w:tc>
          <w:tcPr>
            <w:tcW w:w="409" w:type="pct"/>
            <w:noWrap w:val="0"/>
            <w:vAlign w:val="top"/>
          </w:tcPr>
          <w:p w14:paraId="219D7803">
            <w:pPr>
              <w:pStyle w:val="2251"/>
              <w:rPr>
                <w:rFonts w:ascii="Times New Roman" w:hAnsi="Times New Roman" w:cs="Times New Roman"/>
                <w:sz w:val="20"/>
              </w:rPr>
            </w:pPr>
          </w:p>
        </w:tc>
        <w:tc>
          <w:tcPr>
            <w:tcW w:w="363" w:type="pct"/>
            <w:noWrap w:val="0"/>
            <w:vAlign w:val="top"/>
          </w:tcPr>
          <w:p w14:paraId="4D7D9092">
            <w:pPr>
              <w:pStyle w:val="2251"/>
              <w:rPr>
                <w:rFonts w:ascii="Times New Roman" w:hAnsi="Times New Roman" w:cs="Times New Roman"/>
                <w:sz w:val="20"/>
              </w:rPr>
            </w:pPr>
          </w:p>
        </w:tc>
        <w:tc>
          <w:tcPr>
            <w:tcW w:w="411" w:type="pct"/>
            <w:noWrap w:val="0"/>
            <w:vAlign w:val="top"/>
          </w:tcPr>
          <w:p w14:paraId="65E165DB">
            <w:pPr>
              <w:pStyle w:val="2251"/>
              <w:rPr>
                <w:rFonts w:ascii="Times New Roman" w:hAnsi="Times New Roman" w:cs="Times New Roman"/>
                <w:sz w:val="20"/>
              </w:rPr>
            </w:pPr>
          </w:p>
        </w:tc>
        <w:tc>
          <w:tcPr>
            <w:tcW w:w="493" w:type="pct"/>
            <w:noWrap w:val="0"/>
            <w:vAlign w:val="top"/>
          </w:tcPr>
          <w:p w14:paraId="09024536">
            <w:pPr>
              <w:pStyle w:val="2251"/>
              <w:rPr>
                <w:rFonts w:ascii="Times New Roman" w:hAnsi="Times New Roman" w:cs="Times New Roman"/>
                <w:sz w:val="20"/>
              </w:rPr>
            </w:pPr>
          </w:p>
        </w:tc>
        <w:tc>
          <w:tcPr>
            <w:tcW w:w="355" w:type="pct"/>
            <w:noWrap w:val="0"/>
            <w:vAlign w:val="top"/>
          </w:tcPr>
          <w:p w14:paraId="352CA636">
            <w:pPr>
              <w:pStyle w:val="2251"/>
              <w:rPr>
                <w:rFonts w:ascii="Times New Roman" w:hAnsi="Times New Roman" w:cs="Times New Roman"/>
                <w:sz w:val="20"/>
              </w:rPr>
            </w:pPr>
          </w:p>
        </w:tc>
        <w:tc>
          <w:tcPr>
            <w:tcW w:w="355" w:type="pct"/>
            <w:noWrap w:val="0"/>
            <w:vAlign w:val="top"/>
          </w:tcPr>
          <w:p w14:paraId="42A20285">
            <w:pPr>
              <w:pStyle w:val="2251"/>
              <w:spacing w:before="37"/>
              <w:ind w:left="93" w:right="64"/>
              <w:rPr>
                <w:rFonts w:ascii="Times New Roman" w:hAnsi="Times New Roman" w:cs="Times New Roman"/>
                <w:sz w:val="18"/>
              </w:rPr>
            </w:pPr>
            <w:r>
              <w:rPr>
                <w:rFonts w:ascii="Times New Roman" w:hAnsi="Times New Roman" w:cs="Times New Roman"/>
                <w:sz w:val="18"/>
              </w:rPr>
              <w:t>+1</w:t>
            </w:r>
          </w:p>
        </w:tc>
        <w:tc>
          <w:tcPr>
            <w:tcW w:w="357" w:type="pct"/>
            <w:noWrap w:val="0"/>
            <w:vAlign w:val="top"/>
          </w:tcPr>
          <w:p w14:paraId="2DC7B891">
            <w:pPr>
              <w:pStyle w:val="2251"/>
              <w:rPr>
                <w:rFonts w:ascii="Times New Roman" w:hAnsi="Times New Roman" w:cs="Times New Roman"/>
                <w:sz w:val="20"/>
              </w:rPr>
            </w:pPr>
          </w:p>
        </w:tc>
        <w:tc>
          <w:tcPr>
            <w:tcW w:w="357" w:type="pct"/>
            <w:noWrap w:val="0"/>
            <w:vAlign w:val="top"/>
          </w:tcPr>
          <w:p w14:paraId="4D11E828">
            <w:pPr>
              <w:pStyle w:val="2251"/>
              <w:spacing w:before="37"/>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04C8F880">
            <w:pPr>
              <w:pStyle w:val="2251"/>
              <w:spacing w:before="37"/>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6F9A750E">
            <w:pPr>
              <w:pStyle w:val="2251"/>
              <w:rPr>
                <w:rFonts w:ascii="Times New Roman" w:hAnsi="Times New Roman" w:cs="Times New Roman"/>
                <w:sz w:val="20"/>
              </w:rPr>
            </w:pPr>
          </w:p>
        </w:tc>
        <w:tc>
          <w:tcPr>
            <w:tcW w:w="359" w:type="pct"/>
            <w:noWrap w:val="0"/>
            <w:vAlign w:val="top"/>
          </w:tcPr>
          <w:p w14:paraId="50D6A652">
            <w:pPr>
              <w:pStyle w:val="2251"/>
              <w:spacing w:before="37"/>
              <w:ind w:left="195" w:right="160"/>
              <w:rPr>
                <w:rFonts w:ascii="Times New Roman" w:hAnsi="Times New Roman" w:cs="Times New Roman"/>
                <w:sz w:val="18"/>
              </w:rPr>
            </w:pPr>
            <w:r>
              <w:rPr>
                <w:rFonts w:ascii="Times New Roman" w:hAnsi="Times New Roman" w:cs="Times New Roman"/>
                <w:sz w:val="18"/>
              </w:rPr>
              <w:t>+2</w:t>
            </w:r>
          </w:p>
        </w:tc>
      </w:tr>
      <w:tr w14:paraId="3696F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3" w:type="pct"/>
            <w:noWrap w:val="0"/>
            <w:vAlign w:val="top"/>
          </w:tcPr>
          <w:p w14:paraId="29ADF978">
            <w:pPr>
              <w:pStyle w:val="2251"/>
              <w:spacing w:before="25"/>
              <w:ind w:left="103" w:right="84"/>
              <w:rPr>
                <w:rFonts w:ascii="Times New Roman" w:hAnsi="Times New Roman" w:cs="Times New Roman"/>
                <w:sz w:val="18"/>
              </w:rPr>
            </w:pPr>
            <w:r>
              <w:rPr>
                <w:rFonts w:ascii="Times New Roman" w:hAnsi="Times New Roman" w:cs="Times New Roman"/>
                <w:sz w:val="18"/>
              </w:rPr>
              <w:t>供 水</w:t>
            </w:r>
          </w:p>
        </w:tc>
        <w:tc>
          <w:tcPr>
            <w:tcW w:w="409" w:type="pct"/>
            <w:noWrap w:val="0"/>
            <w:vAlign w:val="top"/>
          </w:tcPr>
          <w:p w14:paraId="2C73E65E">
            <w:pPr>
              <w:pStyle w:val="2251"/>
              <w:rPr>
                <w:rFonts w:ascii="Times New Roman" w:hAnsi="Times New Roman" w:cs="Times New Roman"/>
                <w:sz w:val="20"/>
              </w:rPr>
            </w:pPr>
          </w:p>
        </w:tc>
        <w:tc>
          <w:tcPr>
            <w:tcW w:w="363" w:type="pct"/>
            <w:noWrap w:val="0"/>
            <w:vAlign w:val="top"/>
          </w:tcPr>
          <w:p w14:paraId="31060369">
            <w:pPr>
              <w:pStyle w:val="2251"/>
              <w:rPr>
                <w:rFonts w:ascii="Times New Roman" w:hAnsi="Times New Roman" w:cs="Times New Roman"/>
                <w:sz w:val="20"/>
              </w:rPr>
            </w:pPr>
          </w:p>
        </w:tc>
        <w:tc>
          <w:tcPr>
            <w:tcW w:w="411" w:type="pct"/>
            <w:noWrap w:val="0"/>
            <w:vAlign w:val="top"/>
          </w:tcPr>
          <w:p w14:paraId="512C9299">
            <w:pPr>
              <w:pStyle w:val="2251"/>
              <w:rPr>
                <w:rFonts w:ascii="Times New Roman" w:hAnsi="Times New Roman" w:cs="Times New Roman"/>
                <w:sz w:val="20"/>
              </w:rPr>
            </w:pPr>
          </w:p>
        </w:tc>
        <w:tc>
          <w:tcPr>
            <w:tcW w:w="493" w:type="pct"/>
            <w:noWrap w:val="0"/>
            <w:vAlign w:val="top"/>
          </w:tcPr>
          <w:p w14:paraId="0F76EA0D">
            <w:pPr>
              <w:pStyle w:val="2251"/>
              <w:rPr>
                <w:rFonts w:ascii="Times New Roman" w:hAnsi="Times New Roman" w:cs="Times New Roman"/>
                <w:sz w:val="20"/>
              </w:rPr>
            </w:pPr>
          </w:p>
        </w:tc>
        <w:tc>
          <w:tcPr>
            <w:tcW w:w="355" w:type="pct"/>
            <w:noWrap w:val="0"/>
            <w:vAlign w:val="top"/>
          </w:tcPr>
          <w:p w14:paraId="412EE295">
            <w:pPr>
              <w:pStyle w:val="2251"/>
              <w:rPr>
                <w:rFonts w:ascii="Times New Roman" w:hAnsi="Times New Roman" w:cs="Times New Roman"/>
                <w:sz w:val="20"/>
              </w:rPr>
            </w:pPr>
          </w:p>
        </w:tc>
        <w:tc>
          <w:tcPr>
            <w:tcW w:w="355" w:type="pct"/>
            <w:noWrap w:val="0"/>
            <w:vAlign w:val="top"/>
          </w:tcPr>
          <w:p w14:paraId="05FB40DF">
            <w:pPr>
              <w:pStyle w:val="2251"/>
              <w:rPr>
                <w:rFonts w:ascii="Times New Roman" w:hAnsi="Times New Roman" w:cs="Times New Roman"/>
                <w:sz w:val="20"/>
              </w:rPr>
            </w:pPr>
          </w:p>
        </w:tc>
        <w:tc>
          <w:tcPr>
            <w:tcW w:w="357" w:type="pct"/>
            <w:noWrap w:val="0"/>
            <w:vAlign w:val="top"/>
          </w:tcPr>
          <w:p w14:paraId="0BF5B2E9">
            <w:pPr>
              <w:pStyle w:val="2251"/>
              <w:rPr>
                <w:rFonts w:ascii="Times New Roman" w:hAnsi="Times New Roman" w:cs="Times New Roman"/>
                <w:sz w:val="20"/>
              </w:rPr>
            </w:pPr>
          </w:p>
        </w:tc>
        <w:tc>
          <w:tcPr>
            <w:tcW w:w="357" w:type="pct"/>
            <w:noWrap w:val="0"/>
            <w:vAlign w:val="top"/>
          </w:tcPr>
          <w:p w14:paraId="73DE773C">
            <w:pPr>
              <w:pStyle w:val="2251"/>
              <w:spacing w:before="37"/>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5DA8AE6A">
            <w:pPr>
              <w:pStyle w:val="2251"/>
              <w:spacing w:before="37"/>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31CE05EB">
            <w:pPr>
              <w:pStyle w:val="2251"/>
              <w:rPr>
                <w:rFonts w:ascii="Times New Roman" w:hAnsi="Times New Roman" w:cs="Times New Roman"/>
                <w:sz w:val="20"/>
              </w:rPr>
            </w:pPr>
          </w:p>
        </w:tc>
        <w:tc>
          <w:tcPr>
            <w:tcW w:w="359" w:type="pct"/>
            <w:noWrap w:val="0"/>
            <w:vAlign w:val="top"/>
          </w:tcPr>
          <w:p w14:paraId="1FF0917F">
            <w:pPr>
              <w:pStyle w:val="2251"/>
              <w:spacing w:before="37"/>
              <w:ind w:left="195" w:right="160"/>
              <w:rPr>
                <w:rFonts w:ascii="Times New Roman" w:hAnsi="Times New Roman" w:cs="Times New Roman"/>
                <w:sz w:val="18"/>
              </w:rPr>
            </w:pPr>
            <w:r>
              <w:rPr>
                <w:rFonts w:ascii="Times New Roman" w:hAnsi="Times New Roman" w:cs="Times New Roman"/>
                <w:sz w:val="18"/>
              </w:rPr>
              <w:t>+1</w:t>
            </w:r>
          </w:p>
        </w:tc>
      </w:tr>
      <w:tr w14:paraId="39EFA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23" w:type="pct"/>
            <w:noWrap w:val="0"/>
            <w:vAlign w:val="top"/>
          </w:tcPr>
          <w:p w14:paraId="5BFBAEDE">
            <w:pPr>
              <w:pStyle w:val="2251"/>
              <w:spacing w:before="27"/>
              <w:ind w:left="103" w:right="84"/>
              <w:rPr>
                <w:rFonts w:ascii="Times New Roman" w:hAnsi="Times New Roman" w:cs="Times New Roman"/>
                <w:sz w:val="18"/>
              </w:rPr>
            </w:pPr>
            <w:r>
              <w:rPr>
                <w:rFonts w:ascii="Times New Roman" w:hAnsi="Times New Roman" w:cs="Times New Roman"/>
                <w:sz w:val="18"/>
              </w:rPr>
              <w:t>便利性</w:t>
            </w:r>
          </w:p>
        </w:tc>
        <w:tc>
          <w:tcPr>
            <w:tcW w:w="409" w:type="pct"/>
            <w:noWrap w:val="0"/>
            <w:vAlign w:val="top"/>
          </w:tcPr>
          <w:p w14:paraId="2DD72C44">
            <w:pPr>
              <w:pStyle w:val="2251"/>
              <w:rPr>
                <w:rFonts w:ascii="Times New Roman" w:hAnsi="Times New Roman" w:cs="Times New Roman"/>
                <w:sz w:val="20"/>
              </w:rPr>
            </w:pPr>
          </w:p>
        </w:tc>
        <w:tc>
          <w:tcPr>
            <w:tcW w:w="363" w:type="pct"/>
            <w:noWrap w:val="0"/>
            <w:vAlign w:val="top"/>
          </w:tcPr>
          <w:p w14:paraId="54109AFC">
            <w:pPr>
              <w:pStyle w:val="2251"/>
              <w:rPr>
                <w:rFonts w:ascii="Times New Roman" w:hAnsi="Times New Roman" w:cs="Times New Roman"/>
                <w:sz w:val="20"/>
              </w:rPr>
            </w:pPr>
          </w:p>
        </w:tc>
        <w:tc>
          <w:tcPr>
            <w:tcW w:w="411" w:type="pct"/>
            <w:noWrap w:val="0"/>
            <w:vAlign w:val="top"/>
          </w:tcPr>
          <w:p w14:paraId="1F7B4C1A">
            <w:pPr>
              <w:pStyle w:val="2251"/>
              <w:rPr>
                <w:rFonts w:ascii="Times New Roman" w:hAnsi="Times New Roman" w:cs="Times New Roman"/>
                <w:sz w:val="20"/>
              </w:rPr>
            </w:pPr>
          </w:p>
        </w:tc>
        <w:tc>
          <w:tcPr>
            <w:tcW w:w="493" w:type="pct"/>
            <w:noWrap w:val="0"/>
            <w:vAlign w:val="top"/>
          </w:tcPr>
          <w:p w14:paraId="3B220494">
            <w:pPr>
              <w:pStyle w:val="2251"/>
              <w:rPr>
                <w:rFonts w:ascii="Times New Roman" w:hAnsi="Times New Roman" w:cs="Times New Roman"/>
                <w:sz w:val="20"/>
              </w:rPr>
            </w:pPr>
          </w:p>
        </w:tc>
        <w:tc>
          <w:tcPr>
            <w:tcW w:w="355" w:type="pct"/>
            <w:noWrap w:val="0"/>
            <w:vAlign w:val="top"/>
          </w:tcPr>
          <w:p w14:paraId="7E55C985">
            <w:pPr>
              <w:pStyle w:val="2251"/>
              <w:rPr>
                <w:rFonts w:ascii="Times New Roman" w:hAnsi="Times New Roman" w:cs="Times New Roman"/>
                <w:sz w:val="20"/>
              </w:rPr>
            </w:pPr>
          </w:p>
        </w:tc>
        <w:tc>
          <w:tcPr>
            <w:tcW w:w="355" w:type="pct"/>
            <w:noWrap w:val="0"/>
            <w:vAlign w:val="top"/>
          </w:tcPr>
          <w:p w14:paraId="136CE189">
            <w:pPr>
              <w:pStyle w:val="2251"/>
              <w:rPr>
                <w:rFonts w:ascii="Times New Roman" w:hAnsi="Times New Roman" w:cs="Times New Roman"/>
                <w:sz w:val="20"/>
              </w:rPr>
            </w:pPr>
          </w:p>
        </w:tc>
        <w:tc>
          <w:tcPr>
            <w:tcW w:w="357" w:type="pct"/>
            <w:noWrap w:val="0"/>
            <w:vAlign w:val="top"/>
          </w:tcPr>
          <w:p w14:paraId="26996CB9">
            <w:pPr>
              <w:pStyle w:val="2251"/>
              <w:spacing w:before="39"/>
              <w:ind w:right="185"/>
              <w:jc w:val="right"/>
              <w:rPr>
                <w:rFonts w:ascii="Times New Roman" w:hAnsi="Times New Roman" w:cs="Times New Roman"/>
                <w:sz w:val="18"/>
              </w:rPr>
            </w:pPr>
            <w:r>
              <w:rPr>
                <w:rFonts w:ascii="Times New Roman" w:hAnsi="Times New Roman" w:cs="Times New Roman"/>
                <w:sz w:val="18"/>
              </w:rPr>
              <w:t>+1</w:t>
            </w:r>
          </w:p>
        </w:tc>
        <w:tc>
          <w:tcPr>
            <w:tcW w:w="357" w:type="pct"/>
            <w:noWrap w:val="0"/>
            <w:vAlign w:val="top"/>
          </w:tcPr>
          <w:p w14:paraId="40685E57">
            <w:pPr>
              <w:pStyle w:val="2251"/>
              <w:rPr>
                <w:rFonts w:ascii="Times New Roman" w:hAnsi="Times New Roman" w:cs="Times New Roman"/>
                <w:sz w:val="20"/>
              </w:rPr>
            </w:pPr>
          </w:p>
        </w:tc>
        <w:tc>
          <w:tcPr>
            <w:tcW w:w="356" w:type="pct"/>
            <w:noWrap w:val="0"/>
            <w:vAlign w:val="top"/>
          </w:tcPr>
          <w:p w14:paraId="57D8F605">
            <w:pPr>
              <w:pStyle w:val="2251"/>
              <w:rPr>
                <w:rFonts w:ascii="Times New Roman" w:hAnsi="Times New Roman" w:cs="Times New Roman"/>
                <w:sz w:val="20"/>
              </w:rPr>
            </w:pPr>
          </w:p>
        </w:tc>
        <w:tc>
          <w:tcPr>
            <w:tcW w:w="356" w:type="pct"/>
            <w:noWrap w:val="0"/>
            <w:vAlign w:val="top"/>
          </w:tcPr>
          <w:p w14:paraId="3222C7A8">
            <w:pPr>
              <w:pStyle w:val="2251"/>
              <w:rPr>
                <w:rFonts w:ascii="Times New Roman" w:hAnsi="Times New Roman" w:cs="Times New Roman"/>
                <w:sz w:val="20"/>
              </w:rPr>
            </w:pPr>
          </w:p>
        </w:tc>
        <w:tc>
          <w:tcPr>
            <w:tcW w:w="359" w:type="pct"/>
            <w:noWrap w:val="0"/>
            <w:vAlign w:val="top"/>
          </w:tcPr>
          <w:p w14:paraId="2F6F52AC">
            <w:pPr>
              <w:pStyle w:val="2251"/>
              <w:rPr>
                <w:rFonts w:ascii="Times New Roman" w:hAnsi="Times New Roman" w:cs="Times New Roman"/>
                <w:sz w:val="20"/>
              </w:rPr>
            </w:pPr>
          </w:p>
        </w:tc>
      </w:tr>
      <w:tr w14:paraId="13355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3" w:type="pct"/>
            <w:noWrap w:val="0"/>
            <w:vAlign w:val="top"/>
          </w:tcPr>
          <w:p w14:paraId="6296352E">
            <w:pPr>
              <w:pStyle w:val="2251"/>
              <w:spacing w:before="27"/>
              <w:ind w:left="103" w:right="84"/>
              <w:rPr>
                <w:rFonts w:ascii="Times New Roman" w:hAnsi="Times New Roman" w:cs="Times New Roman"/>
                <w:sz w:val="18"/>
              </w:rPr>
            </w:pPr>
            <w:r>
              <w:rPr>
                <w:rFonts w:ascii="Times New Roman" w:hAnsi="Times New Roman" w:cs="Times New Roman"/>
                <w:sz w:val="18"/>
              </w:rPr>
              <w:t>绿 化</w:t>
            </w:r>
          </w:p>
        </w:tc>
        <w:tc>
          <w:tcPr>
            <w:tcW w:w="409" w:type="pct"/>
            <w:noWrap w:val="0"/>
            <w:vAlign w:val="top"/>
          </w:tcPr>
          <w:p w14:paraId="0EF280C4">
            <w:pPr>
              <w:pStyle w:val="2251"/>
              <w:spacing w:before="39"/>
              <w:ind w:left="87" w:right="57"/>
              <w:rPr>
                <w:rFonts w:ascii="Times New Roman" w:hAnsi="Times New Roman" w:cs="Times New Roman"/>
                <w:sz w:val="18"/>
              </w:rPr>
            </w:pPr>
            <w:r>
              <w:rPr>
                <w:rFonts w:ascii="Times New Roman" w:hAnsi="Times New Roman" w:cs="Times New Roman"/>
                <w:sz w:val="18"/>
              </w:rPr>
              <w:t>+1</w:t>
            </w:r>
          </w:p>
        </w:tc>
        <w:tc>
          <w:tcPr>
            <w:tcW w:w="363" w:type="pct"/>
            <w:noWrap w:val="0"/>
            <w:vAlign w:val="top"/>
          </w:tcPr>
          <w:p w14:paraId="03FE7404">
            <w:pPr>
              <w:pStyle w:val="2251"/>
              <w:rPr>
                <w:rFonts w:ascii="Times New Roman" w:hAnsi="Times New Roman" w:cs="Times New Roman"/>
                <w:sz w:val="20"/>
              </w:rPr>
            </w:pPr>
          </w:p>
        </w:tc>
        <w:tc>
          <w:tcPr>
            <w:tcW w:w="411" w:type="pct"/>
            <w:noWrap w:val="0"/>
            <w:vAlign w:val="top"/>
          </w:tcPr>
          <w:p w14:paraId="7AE29F7F">
            <w:pPr>
              <w:pStyle w:val="2251"/>
              <w:spacing w:before="39"/>
              <w:ind w:right="233"/>
              <w:jc w:val="right"/>
              <w:rPr>
                <w:rFonts w:ascii="Times New Roman" w:hAnsi="Times New Roman" w:cs="Times New Roman"/>
                <w:sz w:val="18"/>
              </w:rPr>
            </w:pPr>
            <w:r>
              <w:rPr>
                <w:rFonts w:ascii="Times New Roman" w:hAnsi="Times New Roman" w:cs="Times New Roman"/>
                <w:sz w:val="18"/>
              </w:rPr>
              <w:t>+3</w:t>
            </w:r>
          </w:p>
        </w:tc>
        <w:tc>
          <w:tcPr>
            <w:tcW w:w="493" w:type="pct"/>
            <w:noWrap w:val="0"/>
            <w:vAlign w:val="top"/>
          </w:tcPr>
          <w:p w14:paraId="15FFCBD8">
            <w:pPr>
              <w:pStyle w:val="2251"/>
              <w:spacing w:before="39"/>
              <w:ind w:left="91" w:right="65"/>
              <w:rPr>
                <w:rFonts w:ascii="Times New Roman" w:hAnsi="Times New Roman" w:cs="Times New Roman"/>
                <w:sz w:val="18"/>
              </w:rPr>
            </w:pPr>
            <w:r>
              <w:rPr>
                <w:rFonts w:ascii="Times New Roman" w:hAnsi="Times New Roman" w:cs="Times New Roman"/>
                <w:sz w:val="18"/>
              </w:rPr>
              <w:t>+1</w:t>
            </w:r>
          </w:p>
        </w:tc>
        <w:tc>
          <w:tcPr>
            <w:tcW w:w="355" w:type="pct"/>
            <w:noWrap w:val="0"/>
            <w:vAlign w:val="top"/>
          </w:tcPr>
          <w:p w14:paraId="7CE581B4">
            <w:pPr>
              <w:pStyle w:val="2251"/>
              <w:spacing w:before="39"/>
              <w:ind w:left="214"/>
              <w:rPr>
                <w:rFonts w:ascii="Times New Roman" w:hAnsi="Times New Roman" w:cs="Times New Roman"/>
                <w:sz w:val="18"/>
              </w:rPr>
            </w:pPr>
            <w:r>
              <w:rPr>
                <w:rFonts w:ascii="Times New Roman" w:hAnsi="Times New Roman" w:cs="Times New Roman"/>
                <w:sz w:val="18"/>
              </w:rPr>
              <w:t>+1</w:t>
            </w:r>
          </w:p>
        </w:tc>
        <w:tc>
          <w:tcPr>
            <w:tcW w:w="355" w:type="pct"/>
            <w:noWrap w:val="0"/>
            <w:vAlign w:val="top"/>
          </w:tcPr>
          <w:p w14:paraId="1D70972A">
            <w:pPr>
              <w:pStyle w:val="2251"/>
              <w:rPr>
                <w:rFonts w:ascii="Times New Roman" w:hAnsi="Times New Roman" w:cs="Times New Roman"/>
                <w:sz w:val="20"/>
              </w:rPr>
            </w:pPr>
          </w:p>
        </w:tc>
        <w:tc>
          <w:tcPr>
            <w:tcW w:w="357" w:type="pct"/>
            <w:noWrap w:val="0"/>
            <w:vAlign w:val="top"/>
          </w:tcPr>
          <w:p w14:paraId="6025E724">
            <w:pPr>
              <w:pStyle w:val="2251"/>
              <w:rPr>
                <w:rFonts w:ascii="Times New Roman" w:hAnsi="Times New Roman" w:cs="Times New Roman"/>
                <w:sz w:val="20"/>
              </w:rPr>
            </w:pPr>
          </w:p>
        </w:tc>
        <w:tc>
          <w:tcPr>
            <w:tcW w:w="357" w:type="pct"/>
            <w:noWrap w:val="0"/>
            <w:vAlign w:val="top"/>
          </w:tcPr>
          <w:p w14:paraId="709CBD30">
            <w:pPr>
              <w:pStyle w:val="2251"/>
              <w:spacing w:before="39"/>
              <w:ind w:left="93" w:right="64"/>
              <w:rPr>
                <w:rFonts w:ascii="Times New Roman" w:hAnsi="Times New Roman" w:cs="Times New Roman"/>
                <w:sz w:val="18"/>
              </w:rPr>
            </w:pPr>
            <w:r>
              <w:rPr>
                <w:rFonts w:ascii="Times New Roman" w:hAnsi="Times New Roman" w:cs="Times New Roman"/>
                <w:sz w:val="18"/>
              </w:rPr>
              <w:t>+3</w:t>
            </w:r>
          </w:p>
        </w:tc>
        <w:tc>
          <w:tcPr>
            <w:tcW w:w="356" w:type="pct"/>
            <w:noWrap w:val="0"/>
            <w:vAlign w:val="top"/>
          </w:tcPr>
          <w:p w14:paraId="794FF031">
            <w:pPr>
              <w:pStyle w:val="2251"/>
              <w:spacing w:before="39"/>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103190B8">
            <w:pPr>
              <w:pStyle w:val="2251"/>
              <w:spacing w:before="39"/>
              <w:ind w:left="93" w:right="68"/>
              <w:rPr>
                <w:rFonts w:ascii="Times New Roman" w:hAnsi="Times New Roman" w:cs="Times New Roman"/>
                <w:sz w:val="18"/>
              </w:rPr>
            </w:pPr>
            <w:r>
              <w:rPr>
                <w:rFonts w:ascii="Times New Roman" w:hAnsi="Times New Roman" w:cs="Times New Roman"/>
                <w:sz w:val="18"/>
              </w:rPr>
              <w:t>+2</w:t>
            </w:r>
          </w:p>
        </w:tc>
        <w:tc>
          <w:tcPr>
            <w:tcW w:w="359" w:type="pct"/>
            <w:noWrap w:val="0"/>
            <w:vAlign w:val="top"/>
          </w:tcPr>
          <w:p w14:paraId="6B5B57E5">
            <w:pPr>
              <w:pStyle w:val="2251"/>
              <w:spacing w:before="39"/>
              <w:ind w:left="195" w:right="160"/>
              <w:rPr>
                <w:rFonts w:ascii="Times New Roman" w:hAnsi="Times New Roman" w:cs="Times New Roman"/>
                <w:sz w:val="18"/>
              </w:rPr>
            </w:pPr>
            <w:r>
              <w:rPr>
                <w:rFonts w:ascii="Times New Roman" w:hAnsi="Times New Roman" w:cs="Times New Roman"/>
                <w:sz w:val="18"/>
              </w:rPr>
              <w:t>+2</w:t>
            </w:r>
          </w:p>
        </w:tc>
      </w:tr>
      <w:tr w14:paraId="75573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23" w:type="pct"/>
            <w:noWrap w:val="0"/>
            <w:vAlign w:val="top"/>
          </w:tcPr>
          <w:p w14:paraId="20BF1DAD">
            <w:pPr>
              <w:pStyle w:val="2251"/>
              <w:spacing w:before="2" w:line="230" w:lineRule="atLeast"/>
              <w:ind w:left="395" w:right="102" w:hanging="272"/>
              <w:rPr>
                <w:rFonts w:ascii="Times New Roman" w:hAnsi="Times New Roman" w:cs="Times New Roman"/>
                <w:sz w:val="18"/>
              </w:rPr>
            </w:pPr>
            <w:r>
              <w:rPr>
                <w:rFonts w:ascii="Times New Roman" w:hAnsi="Times New Roman" w:cs="Times New Roman"/>
                <w:sz w:val="18"/>
              </w:rPr>
              <w:t>居住及娱乐设施</w:t>
            </w:r>
          </w:p>
        </w:tc>
        <w:tc>
          <w:tcPr>
            <w:tcW w:w="409" w:type="pct"/>
            <w:noWrap w:val="0"/>
            <w:vAlign w:val="top"/>
          </w:tcPr>
          <w:p w14:paraId="62371DB6">
            <w:pPr>
              <w:pStyle w:val="2251"/>
              <w:rPr>
                <w:rFonts w:ascii="Times New Roman" w:hAnsi="Times New Roman" w:cs="Times New Roman"/>
              </w:rPr>
            </w:pPr>
          </w:p>
        </w:tc>
        <w:tc>
          <w:tcPr>
            <w:tcW w:w="363" w:type="pct"/>
            <w:noWrap w:val="0"/>
            <w:vAlign w:val="top"/>
          </w:tcPr>
          <w:p w14:paraId="4EE6C9A8">
            <w:pPr>
              <w:pStyle w:val="2251"/>
              <w:rPr>
                <w:rFonts w:ascii="Times New Roman" w:hAnsi="Times New Roman" w:cs="Times New Roman"/>
              </w:rPr>
            </w:pPr>
          </w:p>
        </w:tc>
        <w:tc>
          <w:tcPr>
            <w:tcW w:w="411" w:type="pct"/>
            <w:noWrap w:val="0"/>
            <w:vAlign w:val="top"/>
          </w:tcPr>
          <w:p w14:paraId="056DFC58">
            <w:pPr>
              <w:pStyle w:val="2251"/>
              <w:rPr>
                <w:rFonts w:ascii="Times New Roman" w:hAnsi="Times New Roman" w:cs="Times New Roman"/>
              </w:rPr>
            </w:pPr>
          </w:p>
        </w:tc>
        <w:tc>
          <w:tcPr>
            <w:tcW w:w="493" w:type="pct"/>
            <w:noWrap w:val="0"/>
            <w:vAlign w:val="top"/>
          </w:tcPr>
          <w:p w14:paraId="684D7DD7">
            <w:pPr>
              <w:pStyle w:val="2251"/>
              <w:rPr>
                <w:rFonts w:ascii="Times New Roman" w:hAnsi="Times New Roman" w:cs="Times New Roman"/>
              </w:rPr>
            </w:pPr>
          </w:p>
        </w:tc>
        <w:tc>
          <w:tcPr>
            <w:tcW w:w="355" w:type="pct"/>
            <w:noWrap w:val="0"/>
            <w:vAlign w:val="top"/>
          </w:tcPr>
          <w:p w14:paraId="07B17ACD">
            <w:pPr>
              <w:pStyle w:val="2251"/>
              <w:rPr>
                <w:rFonts w:ascii="Times New Roman" w:hAnsi="Times New Roman" w:cs="Times New Roman"/>
              </w:rPr>
            </w:pPr>
          </w:p>
        </w:tc>
        <w:tc>
          <w:tcPr>
            <w:tcW w:w="355" w:type="pct"/>
            <w:noWrap w:val="0"/>
            <w:vAlign w:val="top"/>
          </w:tcPr>
          <w:p w14:paraId="50F89888">
            <w:pPr>
              <w:pStyle w:val="2251"/>
              <w:spacing w:before="129"/>
              <w:ind w:left="93" w:right="64"/>
              <w:rPr>
                <w:rFonts w:ascii="Times New Roman" w:hAnsi="Times New Roman" w:cs="Times New Roman"/>
                <w:sz w:val="18"/>
              </w:rPr>
            </w:pPr>
            <w:r>
              <w:rPr>
                <w:rFonts w:ascii="Times New Roman" w:hAnsi="Times New Roman" w:cs="Times New Roman"/>
                <w:sz w:val="18"/>
              </w:rPr>
              <w:t>+3</w:t>
            </w:r>
          </w:p>
        </w:tc>
        <w:tc>
          <w:tcPr>
            <w:tcW w:w="357" w:type="pct"/>
            <w:noWrap w:val="0"/>
            <w:vAlign w:val="top"/>
          </w:tcPr>
          <w:p w14:paraId="27E0B85D">
            <w:pPr>
              <w:pStyle w:val="2251"/>
              <w:rPr>
                <w:rFonts w:ascii="Times New Roman" w:hAnsi="Times New Roman" w:cs="Times New Roman"/>
              </w:rPr>
            </w:pPr>
          </w:p>
        </w:tc>
        <w:tc>
          <w:tcPr>
            <w:tcW w:w="357" w:type="pct"/>
            <w:noWrap w:val="0"/>
            <w:vAlign w:val="top"/>
          </w:tcPr>
          <w:p w14:paraId="1B0AA652">
            <w:pPr>
              <w:pStyle w:val="2251"/>
              <w:spacing w:before="129"/>
              <w:ind w:left="93" w:right="64"/>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3217333D">
            <w:pPr>
              <w:pStyle w:val="2251"/>
              <w:spacing w:before="129"/>
              <w:ind w:left="93" w:right="66"/>
              <w:rPr>
                <w:rFonts w:ascii="Times New Roman" w:hAnsi="Times New Roman" w:cs="Times New Roman"/>
                <w:sz w:val="18"/>
              </w:rPr>
            </w:pPr>
            <w:r>
              <w:rPr>
                <w:rFonts w:ascii="Times New Roman" w:hAnsi="Times New Roman" w:cs="Times New Roman"/>
                <w:sz w:val="18"/>
              </w:rPr>
              <w:t>+1</w:t>
            </w:r>
          </w:p>
        </w:tc>
        <w:tc>
          <w:tcPr>
            <w:tcW w:w="356" w:type="pct"/>
            <w:noWrap w:val="0"/>
            <w:vAlign w:val="top"/>
          </w:tcPr>
          <w:p w14:paraId="75F0AB42">
            <w:pPr>
              <w:pStyle w:val="2251"/>
              <w:spacing w:before="129"/>
              <w:ind w:left="93" w:right="68"/>
              <w:rPr>
                <w:rFonts w:ascii="Times New Roman" w:hAnsi="Times New Roman" w:cs="Times New Roman"/>
                <w:sz w:val="18"/>
              </w:rPr>
            </w:pPr>
            <w:r>
              <w:rPr>
                <w:rFonts w:ascii="Times New Roman" w:hAnsi="Times New Roman" w:cs="Times New Roman"/>
                <w:sz w:val="18"/>
              </w:rPr>
              <w:t>+2</w:t>
            </w:r>
          </w:p>
        </w:tc>
        <w:tc>
          <w:tcPr>
            <w:tcW w:w="359" w:type="pct"/>
            <w:noWrap w:val="0"/>
            <w:vAlign w:val="top"/>
          </w:tcPr>
          <w:p w14:paraId="4A8D8905">
            <w:pPr>
              <w:pStyle w:val="2251"/>
              <w:spacing w:before="129"/>
              <w:ind w:left="195" w:right="160"/>
              <w:rPr>
                <w:rFonts w:ascii="Times New Roman" w:hAnsi="Times New Roman" w:cs="Times New Roman"/>
                <w:sz w:val="18"/>
              </w:rPr>
            </w:pPr>
            <w:r>
              <w:rPr>
                <w:rFonts w:ascii="Times New Roman" w:hAnsi="Times New Roman" w:cs="Times New Roman"/>
                <w:sz w:val="18"/>
              </w:rPr>
              <w:t>+2</w:t>
            </w:r>
          </w:p>
        </w:tc>
      </w:tr>
    </w:tbl>
    <w:p w14:paraId="37A5AE26">
      <w:pPr>
        <w:spacing w:before="3"/>
        <w:ind w:left="540"/>
        <w:jc w:val="left"/>
        <w:rPr>
          <w:sz w:val="18"/>
        </w:rPr>
      </w:pPr>
      <w:r>
        <w:rPr>
          <w:sz w:val="18"/>
        </w:rPr>
        <w:t>注：</w:t>
      </w:r>
      <w:r>
        <w:rPr>
          <w:rFonts w:eastAsia="Times New Roman"/>
          <w:sz w:val="18"/>
        </w:rPr>
        <w:t>0—</w:t>
      </w:r>
      <w:r>
        <w:rPr>
          <w:sz w:val="18"/>
        </w:rPr>
        <w:t>基本无影响；</w:t>
      </w:r>
      <w:r>
        <w:rPr>
          <w:rFonts w:eastAsia="Times New Roman"/>
          <w:sz w:val="18"/>
        </w:rPr>
        <w:t>1—</w:t>
      </w:r>
      <w:r>
        <w:rPr>
          <w:sz w:val="18"/>
        </w:rPr>
        <w:t>轻微影响；</w:t>
      </w:r>
      <w:r>
        <w:rPr>
          <w:rFonts w:eastAsia="Times New Roman"/>
          <w:sz w:val="18"/>
        </w:rPr>
        <w:t>2—</w:t>
      </w:r>
      <w:r>
        <w:rPr>
          <w:sz w:val="18"/>
        </w:rPr>
        <w:t>中等影响；</w:t>
      </w:r>
      <w:r>
        <w:rPr>
          <w:rFonts w:eastAsia="Times New Roman"/>
          <w:sz w:val="18"/>
        </w:rPr>
        <w:t>3—</w:t>
      </w:r>
      <w:r>
        <w:rPr>
          <w:sz w:val="18"/>
        </w:rPr>
        <w:t xml:space="preserve">重大影响； </w:t>
      </w:r>
      <w:r>
        <w:rPr>
          <w:rFonts w:eastAsia="Times New Roman"/>
          <w:sz w:val="18"/>
        </w:rPr>
        <w:t>+ —</w:t>
      </w:r>
      <w:r>
        <w:rPr>
          <w:sz w:val="18"/>
        </w:rPr>
        <w:t>正面影响；</w:t>
      </w:r>
      <w:r>
        <w:rPr>
          <w:rFonts w:eastAsia="Times New Roman"/>
          <w:sz w:val="18"/>
        </w:rPr>
        <w:t>— —</w:t>
      </w:r>
      <w:r>
        <w:rPr>
          <w:sz w:val="18"/>
        </w:rPr>
        <w:t>负面影响。</w:t>
      </w:r>
    </w:p>
    <w:p w14:paraId="5FC911AC">
      <w:pPr>
        <w:pStyle w:val="8"/>
        <w:ind w:firstLine="562"/>
      </w:pPr>
      <w:bookmarkStart w:id="176" w:name="5.2.6.2生态环境影响评价"/>
      <w:bookmarkEnd w:id="176"/>
      <w:r>
        <w:t>5.2.7.2生态环境影响评价</w:t>
      </w:r>
    </w:p>
    <w:p w14:paraId="580F9F22">
      <w:pPr>
        <w:spacing w:line="360" w:lineRule="auto"/>
        <w:ind w:firstLine="480" w:firstLineChars="200"/>
        <w:rPr>
          <w:sz w:val="24"/>
          <w:lang w:bidi="zh-CN"/>
        </w:rPr>
      </w:pPr>
      <w:r>
        <w:rPr>
          <w:sz w:val="24"/>
          <w:lang w:bidi="zh-CN"/>
        </w:rPr>
        <w:t>项目建成运营后，改变了土地利用现状，景观生态环境发生变化，同时，由于流动性人口的增加，加强污染控制与管理，确保环境不受其污染。</w:t>
      </w:r>
    </w:p>
    <w:p w14:paraId="4FCE9C41">
      <w:pPr>
        <w:spacing w:line="360" w:lineRule="auto"/>
        <w:ind w:firstLine="480" w:firstLineChars="200"/>
        <w:rPr>
          <w:sz w:val="24"/>
          <w:lang w:bidi="zh-CN"/>
        </w:rPr>
      </w:pPr>
      <w:r>
        <w:rPr>
          <w:sz w:val="24"/>
          <w:lang w:bidi="zh-CN"/>
        </w:rPr>
        <w:t>根据建设项目生态环境影响和生态环境保护的“全过程性”的特点，以及建设项目环境生态影响的渐进性、累积性、复杂性、综合性等特点，要求建设单位必须加强工程运营期生态环境监测和动态管理等环境保护管理工作，确保区域自然生态环境不因项目开发活动受到不利影响。</w:t>
      </w:r>
    </w:p>
    <w:p w14:paraId="5D6C08C8">
      <w:pPr>
        <w:spacing w:line="360" w:lineRule="auto"/>
        <w:ind w:firstLine="480" w:firstLineChars="200"/>
        <w:rPr>
          <w:sz w:val="24"/>
          <w:lang w:bidi="zh-CN"/>
        </w:rPr>
      </w:pPr>
      <w:r>
        <w:rPr>
          <w:sz w:val="24"/>
          <w:lang w:bidi="zh-CN"/>
        </w:rPr>
        <w:t>另外，项目建成后企业应做好绿化设施的管理、维护工作，提高植物的成活率，以保障其发挥应有作用。</w:t>
      </w:r>
    </w:p>
    <w:p w14:paraId="71053F75">
      <w:pPr>
        <w:spacing w:line="360" w:lineRule="auto"/>
        <w:ind w:firstLine="480" w:firstLineChars="200"/>
        <w:sectPr>
          <w:pgSz w:w="12240" w:h="15840"/>
          <w:pgMar w:top="1400" w:right="860" w:bottom="800" w:left="1260" w:header="0" w:footer="620" w:gutter="0"/>
          <w:cols w:space="720" w:num="1"/>
        </w:sectPr>
      </w:pPr>
      <w:r>
        <w:rPr>
          <w:sz w:val="24"/>
          <w:lang w:bidi="zh-CN"/>
        </w:rPr>
        <w:t>本项目通过对场区内的生态保护措施的实施，可有效地减轻对生态环境的影响</w:t>
      </w:r>
    </w:p>
    <w:p w14:paraId="7E9BBBAA">
      <w:pPr>
        <w:pStyle w:val="5"/>
        <w:spacing w:before="0" w:after="0" w:line="360" w:lineRule="auto"/>
        <w:rPr>
          <w:sz w:val="30"/>
          <w:szCs w:val="30"/>
        </w:rPr>
      </w:pPr>
      <w:bookmarkStart w:id="177" w:name="_Toc11172827"/>
      <w:bookmarkStart w:id="178" w:name="_Toc5410"/>
      <w:r>
        <w:rPr>
          <w:bCs w:val="0"/>
          <w:sz w:val="30"/>
          <w:szCs w:val="30"/>
        </w:rPr>
        <w:t>6 环境风险评价</w:t>
      </w:r>
      <w:bookmarkEnd w:id="177"/>
      <w:bookmarkEnd w:id="178"/>
    </w:p>
    <w:p w14:paraId="58147DC2">
      <w:pPr>
        <w:pStyle w:val="6"/>
        <w:spacing w:before="0" w:after="0" w:line="360" w:lineRule="auto"/>
        <w:rPr>
          <w:rFonts w:ascii="Times New Roman" w:hAnsi="Times New Roman" w:eastAsia="宋体"/>
          <w:sz w:val="28"/>
          <w:szCs w:val="28"/>
        </w:rPr>
      </w:pPr>
      <w:bookmarkStart w:id="179" w:name="_Toc2755"/>
      <w:bookmarkStart w:id="180" w:name="_Toc11172828"/>
      <w:r>
        <w:rPr>
          <w:rFonts w:ascii="Times New Roman" w:hAnsi="Times New Roman" w:eastAsia="宋体"/>
          <w:sz w:val="28"/>
          <w:szCs w:val="28"/>
        </w:rPr>
        <w:t>6.1 环境风险因素识别</w:t>
      </w:r>
      <w:bookmarkEnd w:id="179"/>
      <w:bookmarkEnd w:id="180"/>
    </w:p>
    <w:p w14:paraId="734B2D05">
      <w:pPr>
        <w:spacing w:line="360" w:lineRule="auto"/>
        <w:outlineLvl w:val="2"/>
        <w:rPr>
          <w:b/>
          <w:sz w:val="24"/>
        </w:rPr>
      </w:pPr>
      <w:r>
        <w:rPr>
          <w:b/>
          <w:sz w:val="24"/>
        </w:rPr>
        <w:t>6.1.1 物质危险性判定</w:t>
      </w:r>
    </w:p>
    <w:p w14:paraId="1D906338">
      <w:pPr>
        <w:adjustRightInd w:val="0"/>
        <w:snapToGrid w:val="0"/>
        <w:ind w:firstLine="482"/>
        <w:rPr>
          <w:b/>
          <w:sz w:val="24"/>
        </w:rPr>
      </w:pPr>
      <w:r>
        <w:rPr>
          <w:b/>
          <w:sz w:val="24"/>
        </w:rPr>
        <w:t>（1）物质危险性识别</w:t>
      </w:r>
    </w:p>
    <w:p w14:paraId="3B2F9E18">
      <w:pPr>
        <w:pStyle w:val="593"/>
        <w:spacing w:after="0" w:line="360" w:lineRule="auto"/>
        <w:ind w:firstLine="480"/>
      </w:pPr>
      <w:r>
        <w:t>有毒有害物质及易燃物质判定标准按照《建设项目环境风险评价技术导则》（HJ/T169－2018）附录B1表中的要求确定，物质危险性判定如表6.1-1所示。</w:t>
      </w:r>
    </w:p>
    <w:p w14:paraId="6194D0A5">
      <w:pPr>
        <w:pStyle w:val="593"/>
        <w:spacing w:after="0" w:line="360" w:lineRule="auto"/>
        <w:ind w:firstLine="422"/>
        <w:jc w:val="center"/>
        <w:rPr>
          <w:b/>
          <w:sz w:val="21"/>
          <w:szCs w:val="21"/>
        </w:rPr>
      </w:pPr>
      <w:r>
        <w:rPr>
          <w:b/>
          <w:sz w:val="21"/>
          <w:szCs w:val="21"/>
        </w:rPr>
        <w:t>表6.1-1  物质危险性标准表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643"/>
        <w:gridCol w:w="2170"/>
        <w:gridCol w:w="2067"/>
        <w:gridCol w:w="2582"/>
      </w:tblGrid>
      <w:tr w14:paraId="3655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1002" w:type="pct"/>
            <w:gridSpan w:val="2"/>
            <w:noWrap w:val="0"/>
            <w:vAlign w:val="center"/>
          </w:tcPr>
          <w:p w14:paraId="6AE052C6">
            <w:pPr>
              <w:pStyle w:val="659"/>
              <w:spacing w:before="36" w:after="36" w:line="276" w:lineRule="auto"/>
              <w:rPr>
                <w:rFonts w:ascii="Times New Roman" w:hAnsi="Times New Roman"/>
              </w:rPr>
            </w:pPr>
            <w:r>
              <w:rPr>
                <w:rFonts w:ascii="Times New Roman" w:hAnsi="Times New Roman"/>
              </w:rPr>
              <w:t>类别</w:t>
            </w:r>
          </w:p>
        </w:tc>
        <w:tc>
          <w:tcPr>
            <w:tcW w:w="1272" w:type="pct"/>
            <w:noWrap w:val="0"/>
            <w:vAlign w:val="center"/>
          </w:tcPr>
          <w:p w14:paraId="481EAFB8">
            <w:pPr>
              <w:pStyle w:val="659"/>
              <w:spacing w:before="36" w:after="36" w:line="276" w:lineRule="auto"/>
              <w:rPr>
                <w:rFonts w:ascii="Times New Roman" w:hAnsi="Times New Roman"/>
              </w:rPr>
            </w:pPr>
            <w:r>
              <w:rPr>
                <w:rFonts w:ascii="Times New Roman" w:hAnsi="Times New Roman"/>
              </w:rPr>
              <w:t>LD</w:t>
            </w:r>
            <w:r>
              <w:rPr>
                <w:rFonts w:ascii="Times New Roman" w:hAnsi="Times New Roman"/>
                <w:vertAlign w:val="subscript"/>
              </w:rPr>
              <w:t>50</w:t>
            </w:r>
            <w:r>
              <w:rPr>
                <w:rFonts w:ascii="Times New Roman" w:hAnsi="Times New Roman"/>
              </w:rPr>
              <w:t xml:space="preserve"> (大鼠经口)</w:t>
            </w:r>
          </w:p>
          <w:p w14:paraId="02ABC6D2">
            <w:pPr>
              <w:pStyle w:val="659"/>
              <w:spacing w:before="36" w:after="36" w:line="276" w:lineRule="auto"/>
              <w:rPr>
                <w:rFonts w:ascii="Times New Roman" w:hAnsi="Times New Roman"/>
              </w:rPr>
            </w:pPr>
            <w:r>
              <w:rPr>
                <w:rFonts w:ascii="Times New Roman" w:hAnsi="Times New Roman"/>
              </w:rPr>
              <w:t>mg/kg</w:t>
            </w:r>
          </w:p>
        </w:tc>
        <w:tc>
          <w:tcPr>
            <w:tcW w:w="1212" w:type="pct"/>
            <w:noWrap w:val="0"/>
            <w:vAlign w:val="center"/>
          </w:tcPr>
          <w:p w14:paraId="3320354E">
            <w:pPr>
              <w:pStyle w:val="659"/>
              <w:spacing w:before="36" w:after="36" w:line="276" w:lineRule="auto"/>
              <w:rPr>
                <w:rFonts w:ascii="Times New Roman" w:hAnsi="Times New Roman"/>
              </w:rPr>
            </w:pPr>
            <w:r>
              <w:rPr>
                <w:rFonts w:ascii="Times New Roman" w:hAnsi="Times New Roman"/>
              </w:rPr>
              <w:t>LD</w:t>
            </w:r>
            <w:r>
              <w:rPr>
                <w:rFonts w:ascii="Times New Roman" w:hAnsi="Times New Roman"/>
                <w:vertAlign w:val="subscript"/>
              </w:rPr>
              <w:t>50</w:t>
            </w:r>
            <w:r>
              <w:rPr>
                <w:rFonts w:ascii="Times New Roman" w:hAnsi="Times New Roman"/>
              </w:rPr>
              <w:t xml:space="preserve"> (大鼠经)</w:t>
            </w:r>
          </w:p>
          <w:p w14:paraId="335293C3">
            <w:pPr>
              <w:pStyle w:val="659"/>
              <w:spacing w:before="36" w:after="36" w:line="276" w:lineRule="auto"/>
              <w:rPr>
                <w:rFonts w:ascii="Times New Roman" w:hAnsi="Times New Roman"/>
              </w:rPr>
            </w:pPr>
            <w:r>
              <w:rPr>
                <w:rFonts w:ascii="Times New Roman" w:hAnsi="Times New Roman"/>
              </w:rPr>
              <w:t>mg/kg</w:t>
            </w:r>
          </w:p>
        </w:tc>
        <w:tc>
          <w:tcPr>
            <w:tcW w:w="1514" w:type="pct"/>
            <w:noWrap w:val="0"/>
            <w:vAlign w:val="center"/>
          </w:tcPr>
          <w:p w14:paraId="5D08FE39">
            <w:pPr>
              <w:pStyle w:val="659"/>
              <w:spacing w:before="36" w:after="36" w:line="276" w:lineRule="auto"/>
              <w:rPr>
                <w:rFonts w:ascii="Times New Roman" w:hAnsi="Times New Roman"/>
              </w:rPr>
            </w:pPr>
            <w:r>
              <w:rPr>
                <w:rFonts w:ascii="Times New Roman" w:hAnsi="Times New Roman"/>
              </w:rPr>
              <w:t>LC</w:t>
            </w:r>
            <w:r>
              <w:rPr>
                <w:rFonts w:ascii="Times New Roman" w:hAnsi="Times New Roman"/>
                <w:vertAlign w:val="subscript"/>
              </w:rPr>
              <w:t>50</w:t>
            </w:r>
            <w:r>
              <w:rPr>
                <w:rFonts w:ascii="Times New Roman" w:hAnsi="Times New Roman"/>
              </w:rPr>
              <w:t>（小鼠吸入，4小时）mg/L</w:t>
            </w:r>
          </w:p>
        </w:tc>
      </w:tr>
      <w:tr w14:paraId="0EF2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625" w:type="pct"/>
            <w:vMerge w:val="restart"/>
            <w:noWrap w:val="0"/>
            <w:vAlign w:val="center"/>
          </w:tcPr>
          <w:p w14:paraId="295FB5E6">
            <w:pPr>
              <w:pStyle w:val="659"/>
              <w:spacing w:before="36" w:after="36" w:line="276" w:lineRule="auto"/>
              <w:rPr>
                <w:rFonts w:ascii="Times New Roman" w:hAnsi="Times New Roman"/>
              </w:rPr>
            </w:pPr>
            <w:r>
              <w:rPr>
                <w:rFonts w:ascii="Times New Roman" w:hAnsi="Times New Roman"/>
              </w:rPr>
              <w:t>有毒物质</w:t>
            </w:r>
          </w:p>
        </w:tc>
        <w:tc>
          <w:tcPr>
            <w:tcW w:w="377" w:type="pct"/>
            <w:noWrap w:val="0"/>
            <w:vAlign w:val="center"/>
          </w:tcPr>
          <w:p w14:paraId="6E318AAF">
            <w:pPr>
              <w:pStyle w:val="659"/>
              <w:spacing w:before="36" w:after="36" w:line="276" w:lineRule="auto"/>
              <w:rPr>
                <w:rFonts w:ascii="Times New Roman" w:hAnsi="Times New Roman"/>
              </w:rPr>
            </w:pPr>
            <w:r>
              <w:rPr>
                <w:rFonts w:ascii="Times New Roman" w:hAnsi="Times New Roman"/>
              </w:rPr>
              <w:t>1</w:t>
            </w:r>
          </w:p>
        </w:tc>
        <w:tc>
          <w:tcPr>
            <w:tcW w:w="1272" w:type="pct"/>
            <w:noWrap w:val="0"/>
            <w:vAlign w:val="center"/>
          </w:tcPr>
          <w:p w14:paraId="1D6D00AE">
            <w:pPr>
              <w:pStyle w:val="659"/>
              <w:spacing w:before="36" w:after="36" w:line="276" w:lineRule="auto"/>
              <w:rPr>
                <w:rFonts w:ascii="Times New Roman" w:hAnsi="Times New Roman"/>
              </w:rPr>
            </w:pPr>
            <w:r>
              <w:rPr>
                <w:rFonts w:ascii="Times New Roman" w:hAnsi="Times New Roman"/>
              </w:rPr>
              <w:t>＜5</w:t>
            </w:r>
          </w:p>
        </w:tc>
        <w:tc>
          <w:tcPr>
            <w:tcW w:w="1212" w:type="pct"/>
            <w:noWrap w:val="0"/>
            <w:vAlign w:val="center"/>
          </w:tcPr>
          <w:p w14:paraId="394134C8">
            <w:pPr>
              <w:pStyle w:val="659"/>
              <w:spacing w:before="36" w:after="36" w:line="276" w:lineRule="auto"/>
              <w:rPr>
                <w:rFonts w:ascii="Times New Roman" w:hAnsi="Times New Roman"/>
              </w:rPr>
            </w:pPr>
            <w:r>
              <w:rPr>
                <w:rFonts w:ascii="Times New Roman" w:hAnsi="Times New Roman"/>
              </w:rPr>
              <w:t>＜1</w:t>
            </w:r>
          </w:p>
        </w:tc>
        <w:tc>
          <w:tcPr>
            <w:tcW w:w="1514" w:type="pct"/>
            <w:noWrap w:val="0"/>
            <w:vAlign w:val="center"/>
          </w:tcPr>
          <w:p w14:paraId="1BF1FE11">
            <w:pPr>
              <w:pStyle w:val="659"/>
              <w:spacing w:before="36" w:after="36" w:line="276" w:lineRule="auto"/>
              <w:rPr>
                <w:rFonts w:ascii="Times New Roman" w:hAnsi="Times New Roman"/>
              </w:rPr>
            </w:pPr>
            <w:r>
              <w:rPr>
                <w:rFonts w:ascii="Times New Roman" w:hAnsi="Times New Roman"/>
              </w:rPr>
              <w:t>＜0.01</w:t>
            </w:r>
          </w:p>
        </w:tc>
      </w:tr>
      <w:tr w14:paraId="730F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625" w:type="pct"/>
            <w:vMerge w:val="continue"/>
            <w:noWrap w:val="0"/>
            <w:vAlign w:val="center"/>
          </w:tcPr>
          <w:p w14:paraId="5F532C59">
            <w:pPr>
              <w:pStyle w:val="659"/>
              <w:spacing w:before="36" w:after="36" w:line="276" w:lineRule="auto"/>
              <w:rPr>
                <w:rFonts w:ascii="Times New Roman" w:hAnsi="Times New Roman"/>
              </w:rPr>
            </w:pPr>
          </w:p>
        </w:tc>
        <w:tc>
          <w:tcPr>
            <w:tcW w:w="377" w:type="pct"/>
            <w:noWrap w:val="0"/>
            <w:vAlign w:val="center"/>
          </w:tcPr>
          <w:p w14:paraId="676E50E3">
            <w:pPr>
              <w:pStyle w:val="659"/>
              <w:spacing w:before="36" w:after="36" w:line="276" w:lineRule="auto"/>
              <w:rPr>
                <w:rFonts w:ascii="Times New Roman" w:hAnsi="Times New Roman"/>
              </w:rPr>
            </w:pPr>
            <w:r>
              <w:rPr>
                <w:rFonts w:ascii="Times New Roman" w:hAnsi="Times New Roman"/>
              </w:rPr>
              <w:t>2</w:t>
            </w:r>
          </w:p>
        </w:tc>
        <w:tc>
          <w:tcPr>
            <w:tcW w:w="1272" w:type="pct"/>
            <w:noWrap w:val="0"/>
            <w:vAlign w:val="center"/>
          </w:tcPr>
          <w:p w14:paraId="5389EE88">
            <w:pPr>
              <w:pStyle w:val="659"/>
              <w:spacing w:before="36" w:after="36" w:line="276" w:lineRule="auto"/>
              <w:rPr>
                <w:rFonts w:ascii="Times New Roman" w:hAnsi="Times New Roman"/>
              </w:rPr>
            </w:pPr>
            <w:r>
              <w:rPr>
                <w:rFonts w:ascii="Times New Roman" w:hAnsi="Times New Roman"/>
              </w:rPr>
              <w:t>5＜LD</w:t>
            </w:r>
            <w:r>
              <w:rPr>
                <w:rFonts w:ascii="Times New Roman" w:hAnsi="Times New Roman"/>
                <w:vertAlign w:val="subscript"/>
              </w:rPr>
              <w:t>50</w:t>
            </w:r>
            <w:r>
              <w:rPr>
                <w:rFonts w:ascii="Times New Roman" w:hAnsi="Times New Roman"/>
              </w:rPr>
              <w:t>＜25</w:t>
            </w:r>
          </w:p>
        </w:tc>
        <w:tc>
          <w:tcPr>
            <w:tcW w:w="1212" w:type="pct"/>
            <w:noWrap w:val="0"/>
            <w:vAlign w:val="center"/>
          </w:tcPr>
          <w:p w14:paraId="141CF54F">
            <w:pPr>
              <w:pStyle w:val="659"/>
              <w:spacing w:before="36" w:after="36" w:line="276" w:lineRule="auto"/>
              <w:rPr>
                <w:rFonts w:ascii="Times New Roman" w:hAnsi="Times New Roman"/>
              </w:rPr>
            </w:pPr>
            <w:r>
              <w:rPr>
                <w:rFonts w:ascii="Times New Roman" w:hAnsi="Times New Roman"/>
              </w:rPr>
              <w:t>10＜LD</w:t>
            </w:r>
            <w:r>
              <w:rPr>
                <w:rFonts w:ascii="Times New Roman" w:hAnsi="Times New Roman"/>
                <w:vertAlign w:val="subscript"/>
              </w:rPr>
              <w:t>50</w:t>
            </w:r>
            <w:r>
              <w:rPr>
                <w:rFonts w:ascii="Times New Roman" w:hAnsi="Times New Roman"/>
              </w:rPr>
              <w:t>＜50</w:t>
            </w:r>
          </w:p>
        </w:tc>
        <w:tc>
          <w:tcPr>
            <w:tcW w:w="1514" w:type="pct"/>
            <w:noWrap w:val="0"/>
            <w:vAlign w:val="center"/>
          </w:tcPr>
          <w:p w14:paraId="3AF69AC8">
            <w:pPr>
              <w:pStyle w:val="659"/>
              <w:spacing w:before="36" w:after="36" w:line="276" w:lineRule="auto"/>
              <w:rPr>
                <w:rFonts w:ascii="Times New Roman" w:hAnsi="Times New Roman"/>
              </w:rPr>
            </w:pPr>
            <w:r>
              <w:rPr>
                <w:rFonts w:ascii="Times New Roman" w:hAnsi="Times New Roman"/>
              </w:rPr>
              <w:t>0.1＜LC</w:t>
            </w:r>
            <w:r>
              <w:rPr>
                <w:rFonts w:ascii="Times New Roman" w:hAnsi="Times New Roman"/>
                <w:vertAlign w:val="subscript"/>
              </w:rPr>
              <w:t>50</w:t>
            </w:r>
            <w:r>
              <w:rPr>
                <w:rFonts w:ascii="Times New Roman" w:hAnsi="Times New Roman"/>
              </w:rPr>
              <w:t>＜0.5</w:t>
            </w:r>
          </w:p>
        </w:tc>
      </w:tr>
      <w:tr w14:paraId="3095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625" w:type="pct"/>
            <w:vMerge w:val="continue"/>
            <w:noWrap w:val="0"/>
            <w:vAlign w:val="center"/>
          </w:tcPr>
          <w:p w14:paraId="3FDC9FFF">
            <w:pPr>
              <w:pStyle w:val="659"/>
              <w:spacing w:before="36" w:after="36" w:line="276" w:lineRule="auto"/>
              <w:rPr>
                <w:rFonts w:ascii="Times New Roman" w:hAnsi="Times New Roman"/>
              </w:rPr>
            </w:pPr>
          </w:p>
        </w:tc>
        <w:tc>
          <w:tcPr>
            <w:tcW w:w="377" w:type="pct"/>
            <w:noWrap w:val="0"/>
            <w:vAlign w:val="center"/>
          </w:tcPr>
          <w:p w14:paraId="3B9D65B9">
            <w:pPr>
              <w:pStyle w:val="659"/>
              <w:spacing w:before="36" w:after="36" w:line="276" w:lineRule="auto"/>
              <w:rPr>
                <w:rFonts w:ascii="Times New Roman" w:hAnsi="Times New Roman"/>
              </w:rPr>
            </w:pPr>
            <w:r>
              <w:rPr>
                <w:rFonts w:ascii="Times New Roman" w:hAnsi="Times New Roman"/>
              </w:rPr>
              <w:t>3</w:t>
            </w:r>
          </w:p>
        </w:tc>
        <w:tc>
          <w:tcPr>
            <w:tcW w:w="1272" w:type="pct"/>
            <w:noWrap w:val="0"/>
            <w:vAlign w:val="center"/>
          </w:tcPr>
          <w:p w14:paraId="49981F65">
            <w:pPr>
              <w:pStyle w:val="659"/>
              <w:spacing w:before="36" w:after="36" w:line="276" w:lineRule="auto"/>
              <w:rPr>
                <w:rFonts w:ascii="Times New Roman" w:hAnsi="Times New Roman"/>
              </w:rPr>
            </w:pPr>
            <w:r>
              <w:rPr>
                <w:rFonts w:ascii="Times New Roman" w:hAnsi="Times New Roman"/>
              </w:rPr>
              <w:t>25＜LD</w:t>
            </w:r>
            <w:r>
              <w:rPr>
                <w:rFonts w:ascii="Times New Roman" w:hAnsi="Times New Roman"/>
                <w:vertAlign w:val="subscript"/>
              </w:rPr>
              <w:t>50</w:t>
            </w:r>
            <w:r>
              <w:rPr>
                <w:rFonts w:ascii="Times New Roman" w:hAnsi="Times New Roman"/>
              </w:rPr>
              <w:t>＜200</w:t>
            </w:r>
          </w:p>
        </w:tc>
        <w:tc>
          <w:tcPr>
            <w:tcW w:w="1212" w:type="pct"/>
            <w:noWrap w:val="0"/>
            <w:vAlign w:val="center"/>
          </w:tcPr>
          <w:p w14:paraId="6A496EA5">
            <w:pPr>
              <w:pStyle w:val="659"/>
              <w:spacing w:before="36" w:after="36" w:line="276" w:lineRule="auto"/>
              <w:rPr>
                <w:rFonts w:ascii="Times New Roman" w:hAnsi="Times New Roman"/>
              </w:rPr>
            </w:pPr>
            <w:r>
              <w:rPr>
                <w:rFonts w:ascii="Times New Roman" w:hAnsi="Times New Roman"/>
              </w:rPr>
              <w:t>50＜LD</w:t>
            </w:r>
            <w:r>
              <w:rPr>
                <w:rFonts w:ascii="Times New Roman" w:hAnsi="Times New Roman"/>
                <w:vertAlign w:val="subscript"/>
              </w:rPr>
              <w:t>50</w:t>
            </w:r>
            <w:r>
              <w:rPr>
                <w:rFonts w:ascii="Times New Roman" w:hAnsi="Times New Roman"/>
              </w:rPr>
              <w:t>＜400</w:t>
            </w:r>
          </w:p>
        </w:tc>
        <w:tc>
          <w:tcPr>
            <w:tcW w:w="1514" w:type="pct"/>
            <w:noWrap w:val="0"/>
            <w:vAlign w:val="center"/>
          </w:tcPr>
          <w:p w14:paraId="400C3551">
            <w:pPr>
              <w:pStyle w:val="659"/>
              <w:spacing w:before="36" w:after="36" w:line="276" w:lineRule="auto"/>
              <w:rPr>
                <w:rFonts w:ascii="Times New Roman" w:hAnsi="Times New Roman"/>
              </w:rPr>
            </w:pPr>
            <w:r>
              <w:rPr>
                <w:rFonts w:ascii="Times New Roman" w:hAnsi="Times New Roman"/>
              </w:rPr>
              <w:t>0.5＜LC</w:t>
            </w:r>
            <w:r>
              <w:rPr>
                <w:rFonts w:ascii="Times New Roman" w:hAnsi="Times New Roman"/>
                <w:vertAlign w:val="subscript"/>
              </w:rPr>
              <w:t>50</w:t>
            </w:r>
            <w:r>
              <w:rPr>
                <w:rFonts w:ascii="Times New Roman" w:hAnsi="Times New Roman"/>
              </w:rPr>
              <w:t>＜2</w:t>
            </w:r>
          </w:p>
        </w:tc>
      </w:tr>
      <w:tr w14:paraId="5F93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625" w:type="pct"/>
            <w:vMerge w:val="restart"/>
            <w:noWrap w:val="0"/>
            <w:vAlign w:val="center"/>
          </w:tcPr>
          <w:p w14:paraId="604C5D91">
            <w:pPr>
              <w:pStyle w:val="659"/>
              <w:spacing w:before="36" w:after="36" w:line="276" w:lineRule="auto"/>
              <w:rPr>
                <w:rFonts w:ascii="Times New Roman" w:hAnsi="Times New Roman"/>
              </w:rPr>
            </w:pPr>
            <w:r>
              <w:rPr>
                <w:rFonts w:ascii="Times New Roman" w:hAnsi="Times New Roman"/>
              </w:rPr>
              <w:t>易燃物质</w:t>
            </w:r>
          </w:p>
        </w:tc>
        <w:tc>
          <w:tcPr>
            <w:tcW w:w="377" w:type="pct"/>
            <w:noWrap w:val="0"/>
            <w:vAlign w:val="center"/>
          </w:tcPr>
          <w:p w14:paraId="4E528876">
            <w:pPr>
              <w:pStyle w:val="659"/>
              <w:spacing w:before="36" w:after="36" w:line="276" w:lineRule="auto"/>
              <w:rPr>
                <w:rFonts w:ascii="Times New Roman" w:hAnsi="Times New Roman"/>
              </w:rPr>
            </w:pPr>
            <w:r>
              <w:rPr>
                <w:rFonts w:ascii="Times New Roman" w:hAnsi="Times New Roman"/>
              </w:rPr>
              <w:t>1</w:t>
            </w:r>
          </w:p>
        </w:tc>
        <w:tc>
          <w:tcPr>
            <w:tcW w:w="3998" w:type="pct"/>
            <w:gridSpan w:val="3"/>
            <w:noWrap w:val="0"/>
            <w:vAlign w:val="center"/>
          </w:tcPr>
          <w:p w14:paraId="787F165D">
            <w:pPr>
              <w:pStyle w:val="659"/>
              <w:spacing w:before="36" w:after="36" w:line="276" w:lineRule="auto"/>
              <w:jc w:val="both"/>
              <w:rPr>
                <w:rFonts w:ascii="Times New Roman" w:hAnsi="Times New Roman"/>
              </w:rPr>
            </w:pPr>
            <w:r>
              <w:rPr>
                <w:rFonts w:ascii="Times New Roman" w:hAnsi="Times New Roman"/>
              </w:rPr>
              <w:t>可燃气体—在常压下以气态存在并与空气混合形成可燃混合物；其沸点（常压下）是20℃或20℃以下的物质</w:t>
            </w:r>
          </w:p>
        </w:tc>
      </w:tr>
      <w:tr w14:paraId="396E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625" w:type="pct"/>
            <w:vMerge w:val="continue"/>
            <w:noWrap w:val="0"/>
            <w:vAlign w:val="center"/>
          </w:tcPr>
          <w:p w14:paraId="751EC637">
            <w:pPr>
              <w:pStyle w:val="659"/>
              <w:spacing w:before="36" w:after="36" w:line="276" w:lineRule="auto"/>
              <w:rPr>
                <w:rFonts w:ascii="Times New Roman" w:hAnsi="Times New Roman"/>
              </w:rPr>
            </w:pPr>
          </w:p>
        </w:tc>
        <w:tc>
          <w:tcPr>
            <w:tcW w:w="377" w:type="pct"/>
            <w:noWrap w:val="0"/>
            <w:vAlign w:val="center"/>
          </w:tcPr>
          <w:p w14:paraId="7E71E63D">
            <w:pPr>
              <w:pStyle w:val="659"/>
              <w:spacing w:before="36" w:after="36" w:line="276" w:lineRule="auto"/>
              <w:rPr>
                <w:rFonts w:ascii="Times New Roman" w:hAnsi="Times New Roman"/>
              </w:rPr>
            </w:pPr>
            <w:r>
              <w:rPr>
                <w:rFonts w:ascii="Times New Roman" w:hAnsi="Times New Roman"/>
              </w:rPr>
              <w:t>2</w:t>
            </w:r>
          </w:p>
        </w:tc>
        <w:tc>
          <w:tcPr>
            <w:tcW w:w="3998" w:type="pct"/>
            <w:gridSpan w:val="3"/>
            <w:noWrap w:val="0"/>
            <w:vAlign w:val="center"/>
          </w:tcPr>
          <w:p w14:paraId="4CC7D080">
            <w:pPr>
              <w:pStyle w:val="659"/>
              <w:spacing w:before="36" w:after="36" w:line="276" w:lineRule="auto"/>
              <w:jc w:val="both"/>
              <w:rPr>
                <w:rFonts w:ascii="Times New Roman" w:hAnsi="Times New Roman"/>
              </w:rPr>
            </w:pPr>
            <w:r>
              <w:rPr>
                <w:rFonts w:ascii="Times New Roman" w:hAnsi="Times New Roman"/>
              </w:rPr>
              <w:t>易燃液体—闪点低于21℃，沸点高于20℃的物质</w:t>
            </w:r>
          </w:p>
        </w:tc>
      </w:tr>
      <w:tr w14:paraId="636B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09" w:hRule="atLeast"/>
          <w:jc w:val="center"/>
        </w:trPr>
        <w:tc>
          <w:tcPr>
            <w:tcW w:w="625" w:type="pct"/>
            <w:vMerge w:val="continue"/>
            <w:noWrap w:val="0"/>
            <w:vAlign w:val="center"/>
          </w:tcPr>
          <w:p w14:paraId="1C293811">
            <w:pPr>
              <w:pStyle w:val="659"/>
              <w:spacing w:before="36" w:after="36" w:line="276" w:lineRule="auto"/>
              <w:rPr>
                <w:rFonts w:ascii="Times New Roman" w:hAnsi="Times New Roman"/>
              </w:rPr>
            </w:pPr>
          </w:p>
        </w:tc>
        <w:tc>
          <w:tcPr>
            <w:tcW w:w="377" w:type="pct"/>
            <w:noWrap w:val="0"/>
            <w:vAlign w:val="center"/>
          </w:tcPr>
          <w:p w14:paraId="141AC24C">
            <w:pPr>
              <w:pStyle w:val="659"/>
              <w:spacing w:before="36" w:after="36" w:line="276" w:lineRule="auto"/>
              <w:rPr>
                <w:rFonts w:ascii="Times New Roman" w:hAnsi="Times New Roman"/>
              </w:rPr>
            </w:pPr>
            <w:r>
              <w:rPr>
                <w:rFonts w:ascii="Times New Roman" w:hAnsi="Times New Roman"/>
              </w:rPr>
              <w:t>3</w:t>
            </w:r>
          </w:p>
        </w:tc>
        <w:tc>
          <w:tcPr>
            <w:tcW w:w="3998" w:type="pct"/>
            <w:gridSpan w:val="3"/>
            <w:noWrap w:val="0"/>
            <w:vAlign w:val="center"/>
          </w:tcPr>
          <w:p w14:paraId="06826152">
            <w:pPr>
              <w:pStyle w:val="659"/>
              <w:spacing w:before="36" w:after="36" w:line="276" w:lineRule="auto"/>
              <w:jc w:val="both"/>
              <w:rPr>
                <w:rFonts w:ascii="Times New Roman" w:hAnsi="Times New Roman"/>
              </w:rPr>
            </w:pPr>
            <w:r>
              <w:rPr>
                <w:rFonts w:ascii="Times New Roman" w:hAnsi="Times New Roman"/>
              </w:rPr>
              <w:t>可燃液体—闪点低于55℃，压力下保持液态，在实际操作条件下（如高温高压）可以引起重大事故的物质</w:t>
            </w:r>
          </w:p>
        </w:tc>
      </w:tr>
      <w:tr w14:paraId="4706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69" w:hRule="atLeast"/>
          <w:jc w:val="center"/>
        </w:trPr>
        <w:tc>
          <w:tcPr>
            <w:tcW w:w="1002" w:type="pct"/>
            <w:gridSpan w:val="2"/>
            <w:noWrap w:val="0"/>
            <w:vAlign w:val="center"/>
          </w:tcPr>
          <w:p w14:paraId="77CC5251">
            <w:pPr>
              <w:pStyle w:val="659"/>
              <w:spacing w:line="276" w:lineRule="auto"/>
              <w:rPr>
                <w:rFonts w:ascii="Times New Roman" w:hAnsi="Times New Roman"/>
              </w:rPr>
            </w:pPr>
            <w:r>
              <w:rPr>
                <w:rFonts w:ascii="Times New Roman" w:hAnsi="Times New Roman"/>
              </w:rPr>
              <w:t>爆炸性物质</w:t>
            </w:r>
          </w:p>
        </w:tc>
        <w:tc>
          <w:tcPr>
            <w:tcW w:w="3998" w:type="pct"/>
            <w:gridSpan w:val="3"/>
            <w:noWrap w:val="0"/>
            <w:vAlign w:val="center"/>
          </w:tcPr>
          <w:p w14:paraId="7A8F8D6C">
            <w:pPr>
              <w:pStyle w:val="659"/>
              <w:spacing w:before="36" w:after="36" w:line="276" w:lineRule="auto"/>
              <w:jc w:val="both"/>
              <w:rPr>
                <w:rFonts w:ascii="Times New Roman" w:hAnsi="Times New Roman"/>
              </w:rPr>
            </w:pPr>
            <w:r>
              <w:rPr>
                <w:rFonts w:ascii="Times New Roman" w:hAnsi="Times New Roman"/>
              </w:rPr>
              <w:t>在火焰影响下可以爆炸，或者对冲击、摩擦比硝基苯更为敏感的物质</w:t>
            </w:r>
          </w:p>
        </w:tc>
      </w:tr>
    </w:tbl>
    <w:p w14:paraId="456C49D7">
      <w:pPr>
        <w:pStyle w:val="593"/>
        <w:spacing w:after="0" w:line="360" w:lineRule="auto"/>
        <w:ind w:firstLine="480"/>
      </w:pPr>
      <w:r>
        <w:t>项目所用原料主要为猪饲料，无可燃、易燃或有毒的物质，辅助原料消毒剂虽具有少量的腐蚀性，但不宜挥发，毒性低且不属于易燃物质，均不属于风险物质。本项目养殖过程中所涉及的风险物质主要为：</w:t>
      </w:r>
    </w:p>
    <w:p w14:paraId="787CD850">
      <w:pPr>
        <w:pStyle w:val="593"/>
        <w:spacing w:after="0" w:line="360" w:lineRule="auto"/>
        <w:ind w:firstLine="480"/>
      </w:pPr>
      <w:r>
        <w:t>易燃易爆物：本项目涉及的主要风险物质污水 处理产生的易燃易爆物的沼气。主要成分是甲烷，甲烷属易燃气体，编号为21007。</w:t>
      </w:r>
    </w:p>
    <w:p w14:paraId="47C4D6AC">
      <w:pPr>
        <w:pStyle w:val="593"/>
        <w:spacing w:after="0" w:line="360" w:lineRule="auto"/>
        <w:ind w:firstLine="480"/>
      </w:pPr>
      <w:r>
        <w:t>本项目危险化学品特性见表6.1-2所示。</w:t>
      </w:r>
    </w:p>
    <w:p w14:paraId="6F0E45C4">
      <w:pPr>
        <w:pStyle w:val="593"/>
        <w:spacing w:after="0" w:line="360" w:lineRule="auto"/>
        <w:ind w:firstLine="482"/>
        <w:jc w:val="center"/>
        <w:rPr>
          <w:b/>
        </w:rPr>
      </w:pPr>
      <w:r>
        <w:rPr>
          <w:b/>
        </w:rPr>
        <w:t>表6.1-2  甲烷危险特性一览表</w:t>
      </w:r>
    </w:p>
    <w:tbl>
      <w:tblPr>
        <w:tblStyle w:val="8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0"/>
        <w:gridCol w:w="1617"/>
        <w:gridCol w:w="849"/>
        <w:gridCol w:w="285"/>
        <w:gridCol w:w="2084"/>
        <w:gridCol w:w="3073"/>
      </w:tblGrid>
      <w:tr w14:paraId="60842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restart"/>
            <w:noWrap w:val="0"/>
            <w:vAlign w:val="center"/>
          </w:tcPr>
          <w:p w14:paraId="52AA9546">
            <w:pPr>
              <w:widowControl/>
              <w:jc w:val="center"/>
              <w:rPr>
                <w:kern w:val="0"/>
                <w:szCs w:val="21"/>
              </w:rPr>
            </w:pPr>
            <w:r>
              <w:rPr>
                <w:kern w:val="0"/>
                <w:szCs w:val="21"/>
              </w:rPr>
              <w:t>标识</w:t>
            </w:r>
          </w:p>
        </w:tc>
        <w:tc>
          <w:tcPr>
            <w:tcW w:w="1617" w:type="dxa"/>
            <w:noWrap w:val="0"/>
            <w:vAlign w:val="center"/>
          </w:tcPr>
          <w:p w14:paraId="5A06F1F9">
            <w:pPr>
              <w:widowControl/>
              <w:jc w:val="left"/>
              <w:rPr>
                <w:kern w:val="0"/>
                <w:szCs w:val="21"/>
              </w:rPr>
            </w:pPr>
            <w:r>
              <w:rPr>
                <w:kern w:val="0"/>
                <w:szCs w:val="21"/>
              </w:rPr>
              <w:t>中文名</w:t>
            </w:r>
          </w:p>
        </w:tc>
        <w:tc>
          <w:tcPr>
            <w:tcW w:w="1134" w:type="dxa"/>
            <w:gridSpan w:val="2"/>
            <w:noWrap w:val="0"/>
            <w:vAlign w:val="center"/>
          </w:tcPr>
          <w:p w14:paraId="2C16F167">
            <w:pPr>
              <w:widowControl/>
              <w:jc w:val="left"/>
              <w:rPr>
                <w:kern w:val="0"/>
                <w:szCs w:val="21"/>
              </w:rPr>
            </w:pPr>
            <w:r>
              <w:rPr>
                <w:kern w:val="0"/>
                <w:szCs w:val="21"/>
              </w:rPr>
              <w:t>甲烷</w:t>
            </w:r>
          </w:p>
        </w:tc>
        <w:tc>
          <w:tcPr>
            <w:tcW w:w="2084" w:type="dxa"/>
            <w:noWrap w:val="0"/>
            <w:vAlign w:val="center"/>
          </w:tcPr>
          <w:p w14:paraId="59F9B8DC">
            <w:pPr>
              <w:widowControl/>
              <w:jc w:val="left"/>
              <w:rPr>
                <w:kern w:val="0"/>
                <w:szCs w:val="21"/>
              </w:rPr>
            </w:pPr>
            <w:r>
              <w:rPr>
                <w:kern w:val="0"/>
                <w:szCs w:val="21"/>
              </w:rPr>
              <w:t>英文名</w:t>
            </w:r>
          </w:p>
        </w:tc>
        <w:tc>
          <w:tcPr>
            <w:tcW w:w="3073" w:type="dxa"/>
            <w:noWrap w:val="0"/>
            <w:vAlign w:val="center"/>
          </w:tcPr>
          <w:p w14:paraId="3B738473">
            <w:pPr>
              <w:widowControl/>
              <w:jc w:val="left"/>
              <w:rPr>
                <w:kern w:val="0"/>
                <w:szCs w:val="21"/>
              </w:rPr>
            </w:pPr>
            <w:r>
              <w:rPr>
                <w:kern w:val="0"/>
                <w:szCs w:val="21"/>
              </w:rPr>
              <w:t>Methane</w:t>
            </w:r>
          </w:p>
        </w:tc>
      </w:tr>
      <w:tr w14:paraId="753E7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21B6204F">
            <w:pPr>
              <w:widowControl/>
              <w:jc w:val="center"/>
              <w:rPr>
                <w:kern w:val="0"/>
                <w:szCs w:val="21"/>
              </w:rPr>
            </w:pPr>
          </w:p>
        </w:tc>
        <w:tc>
          <w:tcPr>
            <w:tcW w:w="1617" w:type="dxa"/>
            <w:noWrap w:val="0"/>
            <w:vAlign w:val="center"/>
          </w:tcPr>
          <w:p w14:paraId="26ABED6C">
            <w:pPr>
              <w:widowControl/>
              <w:jc w:val="left"/>
              <w:rPr>
                <w:kern w:val="0"/>
                <w:szCs w:val="21"/>
              </w:rPr>
            </w:pPr>
            <w:r>
              <w:rPr>
                <w:kern w:val="0"/>
                <w:szCs w:val="21"/>
              </w:rPr>
              <w:t>分子式</w:t>
            </w:r>
          </w:p>
        </w:tc>
        <w:tc>
          <w:tcPr>
            <w:tcW w:w="1134" w:type="dxa"/>
            <w:gridSpan w:val="2"/>
            <w:noWrap w:val="0"/>
            <w:vAlign w:val="center"/>
          </w:tcPr>
          <w:p w14:paraId="572975F9">
            <w:pPr>
              <w:widowControl/>
              <w:jc w:val="left"/>
              <w:rPr>
                <w:kern w:val="0"/>
                <w:szCs w:val="21"/>
              </w:rPr>
            </w:pPr>
            <w:r>
              <w:rPr>
                <w:kern w:val="0"/>
                <w:szCs w:val="21"/>
              </w:rPr>
              <w:t>CH4</w:t>
            </w:r>
          </w:p>
        </w:tc>
        <w:tc>
          <w:tcPr>
            <w:tcW w:w="2084" w:type="dxa"/>
            <w:noWrap w:val="0"/>
            <w:vAlign w:val="center"/>
          </w:tcPr>
          <w:p w14:paraId="124AD6C9">
            <w:pPr>
              <w:widowControl/>
              <w:jc w:val="left"/>
              <w:rPr>
                <w:kern w:val="0"/>
                <w:szCs w:val="21"/>
              </w:rPr>
            </w:pPr>
            <w:r>
              <w:rPr>
                <w:kern w:val="0"/>
                <w:szCs w:val="21"/>
              </w:rPr>
              <w:t>危规号21007</w:t>
            </w:r>
          </w:p>
        </w:tc>
        <w:tc>
          <w:tcPr>
            <w:tcW w:w="3073" w:type="dxa"/>
            <w:noWrap w:val="0"/>
            <w:vAlign w:val="center"/>
          </w:tcPr>
          <w:p w14:paraId="07EFBECC">
            <w:pPr>
              <w:widowControl/>
              <w:jc w:val="left"/>
              <w:rPr>
                <w:kern w:val="0"/>
                <w:szCs w:val="21"/>
              </w:rPr>
            </w:pPr>
            <w:r>
              <w:rPr>
                <w:kern w:val="0"/>
                <w:szCs w:val="21"/>
              </w:rPr>
              <w:t>UN编号：1971</w:t>
            </w:r>
          </w:p>
        </w:tc>
      </w:tr>
      <w:tr w14:paraId="63A99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514F5894">
            <w:pPr>
              <w:widowControl/>
              <w:jc w:val="center"/>
              <w:rPr>
                <w:kern w:val="0"/>
                <w:szCs w:val="21"/>
              </w:rPr>
            </w:pPr>
          </w:p>
        </w:tc>
        <w:tc>
          <w:tcPr>
            <w:tcW w:w="1617" w:type="dxa"/>
            <w:noWrap w:val="0"/>
            <w:vAlign w:val="center"/>
          </w:tcPr>
          <w:p w14:paraId="16C1231F">
            <w:pPr>
              <w:widowControl/>
              <w:jc w:val="left"/>
              <w:rPr>
                <w:kern w:val="0"/>
                <w:szCs w:val="21"/>
              </w:rPr>
            </w:pPr>
            <w:r>
              <w:rPr>
                <w:kern w:val="0"/>
                <w:szCs w:val="21"/>
              </w:rPr>
              <w:t>分子量</w:t>
            </w:r>
          </w:p>
        </w:tc>
        <w:tc>
          <w:tcPr>
            <w:tcW w:w="1134" w:type="dxa"/>
            <w:gridSpan w:val="2"/>
            <w:noWrap w:val="0"/>
            <w:vAlign w:val="center"/>
          </w:tcPr>
          <w:p w14:paraId="614FB9DE">
            <w:pPr>
              <w:widowControl/>
              <w:jc w:val="left"/>
              <w:rPr>
                <w:kern w:val="0"/>
                <w:szCs w:val="21"/>
              </w:rPr>
            </w:pPr>
            <w:r>
              <w:rPr>
                <w:kern w:val="0"/>
                <w:szCs w:val="21"/>
              </w:rPr>
              <w:t>16.04</w:t>
            </w:r>
          </w:p>
        </w:tc>
        <w:tc>
          <w:tcPr>
            <w:tcW w:w="2084" w:type="dxa"/>
            <w:noWrap w:val="0"/>
            <w:vAlign w:val="center"/>
          </w:tcPr>
          <w:p w14:paraId="6A0B8714">
            <w:pPr>
              <w:widowControl/>
              <w:jc w:val="left"/>
              <w:rPr>
                <w:kern w:val="0"/>
                <w:szCs w:val="21"/>
              </w:rPr>
            </w:pPr>
            <w:r>
              <w:rPr>
                <w:kern w:val="0"/>
                <w:szCs w:val="21"/>
              </w:rPr>
              <w:t>危险性类别</w:t>
            </w:r>
          </w:p>
        </w:tc>
        <w:tc>
          <w:tcPr>
            <w:tcW w:w="3073" w:type="dxa"/>
            <w:noWrap w:val="0"/>
            <w:vAlign w:val="center"/>
          </w:tcPr>
          <w:p w14:paraId="76A785C2">
            <w:pPr>
              <w:widowControl/>
              <w:jc w:val="left"/>
              <w:rPr>
                <w:kern w:val="0"/>
                <w:szCs w:val="21"/>
              </w:rPr>
            </w:pPr>
            <w:r>
              <w:rPr>
                <w:kern w:val="0"/>
                <w:szCs w:val="21"/>
              </w:rPr>
              <w:t>第2.1类易燃气体</w:t>
            </w:r>
          </w:p>
        </w:tc>
      </w:tr>
      <w:tr w14:paraId="083CB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restart"/>
            <w:noWrap w:val="0"/>
            <w:vAlign w:val="center"/>
          </w:tcPr>
          <w:p w14:paraId="646DA165">
            <w:pPr>
              <w:widowControl/>
              <w:jc w:val="center"/>
              <w:rPr>
                <w:kern w:val="0"/>
                <w:szCs w:val="21"/>
              </w:rPr>
            </w:pPr>
            <w:r>
              <w:rPr>
                <w:kern w:val="0"/>
                <w:szCs w:val="21"/>
              </w:rPr>
              <w:t>理化特性</w:t>
            </w:r>
          </w:p>
        </w:tc>
        <w:tc>
          <w:tcPr>
            <w:tcW w:w="1617" w:type="dxa"/>
            <w:noWrap w:val="0"/>
            <w:vAlign w:val="center"/>
          </w:tcPr>
          <w:p w14:paraId="27E33B90">
            <w:pPr>
              <w:widowControl/>
              <w:jc w:val="left"/>
              <w:rPr>
                <w:kern w:val="0"/>
                <w:szCs w:val="21"/>
              </w:rPr>
            </w:pPr>
            <w:r>
              <w:rPr>
                <w:kern w:val="0"/>
                <w:szCs w:val="21"/>
              </w:rPr>
              <w:t>熔点(℃)</w:t>
            </w:r>
          </w:p>
        </w:tc>
        <w:tc>
          <w:tcPr>
            <w:tcW w:w="1134" w:type="dxa"/>
            <w:gridSpan w:val="2"/>
            <w:noWrap w:val="0"/>
            <w:vAlign w:val="center"/>
          </w:tcPr>
          <w:p w14:paraId="7831EAF2">
            <w:pPr>
              <w:widowControl/>
              <w:jc w:val="left"/>
              <w:rPr>
                <w:kern w:val="0"/>
                <w:szCs w:val="21"/>
              </w:rPr>
            </w:pPr>
            <w:r>
              <w:rPr>
                <w:kern w:val="0"/>
                <w:szCs w:val="21"/>
              </w:rPr>
              <w:t>-182.5</w:t>
            </w:r>
          </w:p>
        </w:tc>
        <w:tc>
          <w:tcPr>
            <w:tcW w:w="2084" w:type="dxa"/>
            <w:noWrap w:val="0"/>
            <w:vAlign w:val="center"/>
          </w:tcPr>
          <w:p w14:paraId="64A36BD5">
            <w:pPr>
              <w:widowControl/>
              <w:jc w:val="left"/>
              <w:rPr>
                <w:kern w:val="0"/>
                <w:szCs w:val="21"/>
              </w:rPr>
            </w:pPr>
            <w:r>
              <w:rPr>
                <w:kern w:val="0"/>
                <w:szCs w:val="21"/>
              </w:rPr>
              <w:t>沸点(℃)</w:t>
            </w:r>
          </w:p>
        </w:tc>
        <w:tc>
          <w:tcPr>
            <w:tcW w:w="3073" w:type="dxa"/>
            <w:noWrap w:val="0"/>
            <w:vAlign w:val="center"/>
          </w:tcPr>
          <w:p w14:paraId="5DA98146">
            <w:pPr>
              <w:widowControl/>
              <w:jc w:val="left"/>
              <w:rPr>
                <w:kern w:val="0"/>
                <w:szCs w:val="21"/>
              </w:rPr>
            </w:pPr>
            <w:r>
              <w:rPr>
                <w:kern w:val="0"/>
                <w:szCs w:val="21"/>
              </w:rPr>
              <w:t>-161.5</w:t>
            </w:r>
          </w:p>
        </w:tc>
      </w:tr>
      <w:tr w14:paraId="6C2CE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0B77F98C">
            <w:pPr>
              <w:widowControl/>
              <w:jc w:val="center"/>
              <w:rPr>
                <w:kern w:val="0"/>
                <w:szCs w:val="21"/>
              </w:rPr>
            </w:pPr>
          </w:p>
        </w:tc>
        <w:tc>
          <w:tcPr>
            <w:tcW w:w="1617" w:type="dxa"/>
            <w:noWrap w:val="0"/>
            <w:vAlign w:val="center"/>
          </w:tcPr>
          <w:p w14:paraId="3123936A">
            <w:pPr>
              <w:widowControl/>
              <w:jc w:val="left"/>
              <w:rPr>
                <w:kern w:val="0"/>
                <w:szCs w:val="21"/>
              </w:rPr>
            </w:pPr>
            <w:r>
              <w:rPr>
                <w:kern w:val="0"/>
                <w:szCs w:val="21"/>
              </w:rPr>
              <w:t>燃烧热(kJ/mol)</w:t>
            </w:r>
          </w:p>
        </w:tc>
        <w:tc>
          <w:tcPr>
            <w:tcW w:w="1134" w:type="dxa"/>
            <w:gridSpan w:val="2"/>
            <w:noWrap w:val="0"/>
            <w:vAlign w:val="center"/>
          </w:tcPr>
          <w:p w14:paraId="74AEEFA9">
            <w:pPr>
              <w:widowControl/>
              <w:jc w:val="left"/>
              <w:rPr>
                <w:kern w:val="0"/>
                <w:szCs w:val="21"/>
              </w:rPr>
            </w:pPr>
            <w:r>
              <w:rPr>
                <w:kern w:val="0"/>
                <w:szCs w:val="21"/>
              </w:rPr>
              <w:t>889.5</w:t>
            </w:r>
          </w:p>
        </w:tc>
        <w:tc>
          <w:tcPr>
            <w:tcW w:w="2084" w:type="dxa"/>
            <w:noWrap w:val="0"/>
            <w:vAlign w:val="center"/>
          </w:tcPr>
          <w:p w14:paraId="519E52B9">
            <w:pPr>
              <w:widowControl/>
              <w:jc w:val="left"/>
              <w:rPr>
                <w:kern w:val="0"/>
                <w:szCs w:val="21"/>
              </w:rPr>
            </w:pPr>
            <w:r>
              <w:rPr>
                <w:kern w:val="0"/>
                <w:szCs w:val="21"/>
              </w:rPr>
              <w:t>饱和蒸气压(kPa)</w:t>
            </w:r>
          </w:p>
        </w:tc>
        <w:tc>
          <w:tcPr>
            <w:tcW w:w="3073" w:type="dxa"/>
            <w:noWrap w:val="0"/>
            <w:vAlign w:val="center"/>
          </w:tcPr>
          <w:p w14:paraId="49301051">
            <w:pPr>
              <w:widowControl/>
              <w:jc w:val="left"/>
              <w:rPr>
                <w:kern w:val="0"/>
                <w:szCs w:val="21"/>
              </w:rPr>
            </w:pPr>
            <w:r>
              <w:rPr>
                <w:kern w:val="0"/>
                <w:szCs w:val="21"/>
              </w:rPr>
              <w:t>53.32(-168.8℃)</w:t>
            </w:r>
          </w:p>
        </w:tc>
      </w:tr>
      <w:tr w14:paraId="24E43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6CFD8556">
            <w:pPr>
              <w:widowControl/>
              <w:jc w:val="center"/>
              <w:rPr>
                <w:kern w:val="0"/>
                <w:szCs w:val="21"/>
              </w:rPr>
            </w:pPr>
          </w:p>
        </w:tc>
        <w:tc>
          <w:tcPr>
            <w:tcW w:w="1617" w:type="dxa"/>
            <w:noWrap w:val="0"/>
            <w:vAlign w:val="center"/>
          </w:tcPr>
          <w:p w14:paraId="47F929E8">
            <w:pPr>
              <w:widowControl/>
              <w:jc w:val="left"/>
              <w:rPr>
                <w:kern w:val="0"/>
                <w:szCs w:val="21"/>
              </w:rPr>
            </w:pPr>
            <w:r>
              <w:rPr>
                <w:kern w:val="0"/>
                <w:szCs w:val="21"/>
              </w:rPr>
              <w:t>相对密度</w:t>
            </w:r>
          </w:p>
        </w:tc>
        <w:tc>
          <w:tcPr>
            <w:tcW w:w="6291" w:type="dxa"/>
            <w:gridSpan w:val="4"/>
            <w:noWrap w:val="0"/>
            <w:vAlign w:val="center"/>
          </w:tcPr>
          <w:p w14:paraId="264911D9">
            <w:pPr>
              <w:widowControl/>
              <w:jc w:val="left"/>
              <w:rPr>
                <w:kern w:val="0"/>
                <w:szCs w:val="21"/>
              </w:rPr>
            </w:pPr>
            <w:r>
              <w:rPr>
                <w:kern w:val="0"/>
                <w:szCs w:val="21"/>
              </w:rPr>
              <w:t>(水=1)  0.42(-164℃)        (空气=1) 0.55</w:t>
            </w:r>
          </w:p>
        </w:tc>
      </w:tr>
      <w:tr w14:paraId="5DEDE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34527621">
            <w:pPr>
              <w:widowControl/>
              <w:jc w:val="center"/>
              <w:rPr>
                <w:kern w:val="0"/>
                <w:szCs w:val="21"/>
              </w:rPr>
            </w:pPr>
          </w:p>
        </w:tc>
        <w:tc>
          <w:tcPr>
            <w:tcW w:w="1617" w:type="dxa"/>
            <w:noWrap w:val="0"/>
            <w:vAlign w:val="center"/>
          </w:tcPr>
          <w:p w14:paraId="4B60B6EC">
            <w:pPr>
              <w:widowControl/>
              <w:jc w:val="left"/>
              <w:rPr>
                <w:kern w:val="0"/>
                <w:szCs w:val="21"/>
              </w:rPr>
            </w:pPr>
            <w:r>
              <w:rPr>
                <w:kern w:val="0"/>
                <w:szCs w:val="21"/>
              </w:rPr>
              <w:t>外观性状</w:t>
            </w:r>
          </w:p>
        </w:tc>
        <w:tc>
          <w:tcPr>
            <w:tcW w:w="6291" w:type="dxa"/>
            <w:gridSpan w:val="4"/>
            <w:noWrap w:val="0"/>
            <w:vAlign w:val="center"/>
          </w:tcPr>
          <w:p w14:paraId="46D21ACC">
            <w:pPr>
              <w:widowControl/>
              <w:jc w:val="left"/>
              <w:rPr>
                <w:kern w:val="0"/>
                <w:szCs w:val="21"/>
              </w:rPr>
            </w:pPr>
            <w:r>
              <w:rPr>
                <w:kern w:val="0"/>
                <w:szCs w:val="21"/>
              </w:rPr>
              <w:t>无色无臭气体</w:t>
            </w:r>
          </w:p>
        </w:tc>
      </w:tr>
      <w:tr w14:paraId="2B04D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28B7A606">
            <w:pPr>
              <w:widowControl/>
              <w:jc w:val="center"/>
              <w:rPr>
                <w:kern w:val="0"/>
                <w:szCs w:val="21"/>
              </w:rPr>
            </w:pPr>
          </w:p>
        </w:tc>
        <w:tc>
          <w:tcPr>
            <w:tcW w:w="1617" w:type="dxa"/>
            <w:noWrap w:val="0"/>
            <w:vAlign w:val="center"/>
          </w:tcPr>
          <w:p w14:paraId="0E41CEA2">
            <w:pPr>
              <w:widowControl/>
              <w:jc w:val="left"/>
              <w:rPr>
                <w:kern w:val="0"/>
                <w:szCs w:val="21"/>
              </w:rPr>
            </w:pPr>
            <w:r>
              <w:rPr>
                <w:kern w:val="0"/>
                <w:szCs w:val="21"/>
              </w:rPr>
              <w:t>溶解性</w:t>
            </w:r>
          </w:p>
        </w:tc>
        <w:tc>
          <w:tcPr>
            <w:tcW w:w="6291" w:type="dxa"/>
            <w:gridSpan w:val="4"/>
            <w:noWrap w:val="0"/>
            <w:vAlign w:val="center"/>
          </w:tcPr>
          <w:p w14:paraId="23D56D5C">
            <w:pPr>
              <w:widowControl/>
              <w:jc w:val="left"/>
              <w:rPr>
                <w:kern w:val="0"/>
                <w:szCs w:val="21"/>
              </w:rPr>
            </w:pPr>
            <w:r>
              <w:rPr>
                <w:kern w:val="0"/>
                <w:szCs w:val="21"/>
              </w:rPr>
              <w:t>微溶于水，溶于醇、乙醚</w:t>
            </w:r>
          </w:p>
        </w:tc>
      </w:tr>
      <w:tr w14:paraId="5E5DE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restart"/>
            <w:noWrap w:val="0"/>
            <w:vAlign w:val="center"/>
          </w:tcPr>
          <w:p w14:paraId="3800547F">
            <w:pPr>
              <w:widowControl/>
              <w:jc w:val="center"/>
              <w:rPr>
                <w:kern w:val="0"/>
                <w:szCs w:val="21"/>
              </w:rPr>
            </w:pPr>
            <w:r>
              <w:rPr>
                <w:kern w:val="0"/>
                <w:szCs w:val="21"/>
              </w:rPr>
              <w:t>燃爆特性</w:t>
            </w:r>
          </w:p>
        </w:tc>
        <w:tc>
          <w:tcPr>
            <w:tcW w:w="1617" w:type="dxa"/>
            <w:noWrap w:val="0"/>
            <w:vAlign w:val="center"/>
          </w:tcPr>
          <w:p w14:paraId="772D6AEF">
            <w:pPr>
              <w:widowControl/>
              <w:jc w:val="left"/>
              <w:rPr>
                <w:kern w:val="0"/>
                <w:szCs w:val="21"/>
              </w:rPr>
            </w:pPr>
            <w:r>
              <w:rPr>
                <w:kern w:val="0"/>
                <w:szCs w:val="21"/>
              </w:rPr>
              <w:t>燃烧性</w:t>
            </w:r>
          </w:p>
        </w:tc>
        <w:tc>
          <w:tcPr>
            <w:tcW w:w="849" w:type="dxa"/>
            <w:noWrap w:val="0"/>
            <w:vAlign w:val="center"/>
          </w:tcPr>
          <w:p w14:paraId="71FF45FB">
            <w:pPr>
              <w:widowControl/>
              <w:jc w:val="left"/>
              <w:rPr>
                <w:kern w:val="0"/>
                <w:szCs w:val="21"/>
              </w:rPr>
            </w:pPr>
            <w:r>
              <w:rPr>
                <w:kern w:val="0"/>
                <w:szCs w:val="21"/>
              </w:rPr>
              <w:t>易燃</w:t>
            </w:r>
          </w:p>
        </w:tc>
        <w:tc>
          <w:tcPr>
            <w:tcW w:w="2369" w:type="dxa"/>
            <w:gridSpan w:val="2"/>
            <w:noWrap w:val="0"/>
            <w:vAlign w:val="center"/>
          </w:tcPr>
          <w:p w14:paraId="0BF310D0">
            <w:pPr>
              <w:widowControl/>
              <w:jc w:val="left"/>
              <w:rPr>
                <w:kern w:val="0"/>
                <w:szCs w:val="21"/>
              </w:rPr>
            </w:pPr>
            <w:r>
              <w:rPr>
                <w:kern w:val="0"/>
                <w:szCs w:val="21"/>
              </w:rPr>
              <w:t>建规火险分级</w:t>
            </w:r>
          </w:p>
        </w:tc>
        <w:tc>
          <w:tcPr>
            <w:tcW w:w="3073" w:type="dxa"/>
            <w:noWrap w:val="0"/>
            <w:vAlign w:val="center"/>
          </w:tcPr>
          <w:p w14:paraId="3DBD5E11">
            <w:pPr>
              <w:widowControl/>
              <w:jc w:val="left"/>
              <w:rPr>
                <w:kern w:val="0"/>
                <w:szCs w:val="21"/>
              </w:rPr>
            </w:pPr>
            <w:r>
              <w:rPr>
                <w:kern w:val="0"/>
                <w:szCs w:val="21"/>
              </w:rPr>
              <w:t>甲</w:t>
            </w:r>
          </w:p>
        </w:tc>
      </w:tr>
      <w:tr w14:paraId="2675B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3B347443">
            <w:pPr>
              <w:widowControl/>
              <w:jc w:val="center"/>
              <w:rPr>
                <w:kern w:val="0"/>
                <w:szCs w:val="21"/>
              </w:rPr>
            </w:pPr>
          </w:p>
        </w:tc>
        <w:tc>
          <w:tcPr>
            <w:tcW w:w="1617" w:type="dxa"/>
            <w:noWrap w:val="0"/>
            <w:vAlign w:val="center"/>
          </w:tcPr>
          <w:p w14:paraId="6FECB04B">
            <w:pPr>
              <w:widowControl/>
              <w:jc w:val="left"/>
              <w:rPr>
                <w:kern w:val="0"/>
                <w:szCs w:val="21"/>
              </w:rPr>
            </w:pPr>
            <w:r>
              <w:rPr>
                <w:kern w:val="0"/>
                <w:szCs w:val="21"/>
              </w:rPr>
              <w:t>闪点(℃)</w:t>
            </w:r>
          </w:p>
        </w:tc>
        <w:tc>
          <w:tcPr>
            <w:tcW w:w="849" w:type="dxa"/>
            <w:noWrap w:val="0"/>
            <w:vAlign w:val="center"/>
          </w:tcPr>
          <w:p w14:paraId="72C8FE59">
            <w:pPr>
              <w:widowControl/>
              <w:jc w:val="left"/>
              <w:rPr>
                <w:kern w:val="0"/>
                <w:szCs w:val="21"/>
              </w:rPr>
            </w:pPr>
            <w:r>
              <w:rPr>
                <w:kern w:val="0"/>
                <w:szCs w:val="21"/>
              </w:rPr>
              <w:t>-188</w:t>
            </w:r>
          </w:p>
        </w:tc>
        <w:tc>
          <w:tcPr>
            <w:tcW w:w="2369" w:type="dxa"/>
            <w:gridSpan w:val="2"/>
            <w:noWrap w:val="0"/>
            <w:vAlign w:val="center"/>
          </w:tcPr>
          <w:p w14:paraId="08FB9C5E">
            <w:pPr>
              <w:widowControl/>
              <w:jc w:val="left"/>
              <w:rPr>
                <w:kern w:val="0"/>
                <w:szCs w:val="21"/>
              </w:rPr>
            </w:pPr>
            <w:r>
              <w:rPr>
                <w:kern w:val="0"/>
                <w:szCs w:val="21"/>
              </w:rPr>
              <w:t>引燃温度(℃)</w:t>
            </w:r>
          </w:p>
        </w:tc>
        <w:tc>
          <w:tcPr>
            <w:tcW w:w="3073" w:type="dxa"/>
            <w:noWrap w:val="0"/>
            <w:vAlign w:val="center"/>
          </w:tcPr>
          <w:p w14:paraId="069093A8">
            <w:pPr>
              <w:widowControl/>
              <w:jc w:val="left"/>
              <w:rPr>
                <w:kern w:val="0"/>
                <w:szCs w:val="21"/>
              </w:rPr>
            </w:pPr>
            <w:r>
              <w:rPr>
                <w:kern w:val="0"/>
                <w:szCs w:val="21"/>
              </w:rPr>
              <w:t>538</w:t>
            </w:r>
          </w:p>
        </w:tc>
      </w:tr>
      <w:tr w14:paraId="6B426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5449760F">
            <w:pPr>
              <w:widowControl/>
              <w:jc w:val="center"/>
              <w:rPr>
                <w:kern w:val="0"/>
                <w:szCs w:val="21"/>
              </w:rPr>
            </w:pPr>
          </w:p>
        </w:tc>
        <w:tc>
          <w:tcPr>
            <w:tcW w:w="1617" w:type="dxa"/>
            <w:noWrap w:val="0"/>
            <w:vAlign w:val="center"/>
          </w:tcPr>
          <w:p w14:paraId="39C6D768">
            <w:pPr>
              <w:widowControl/>
              <w:jc w:val="left"/>
              <w:rPr>
                <w:kern w:val="0"/>
                <w:szCs w:val="21"/>
              </w:rPr>
            </w:pPr>
            <w:r>
              <w:rPr>
                <w:kern w:val="0"/>
                <w:szCs w:val="21"/>
              </w:rPr>
              <w:t>爆炸下限(V%)</w:t>
            </w:r>
          </w:p>
        </w:tc>
        <w:tc>
          <w:tcPr>
            <w:tcW w:w="849" w:type="dxa"/>
            <w:noWrap w:val="0"/>
            <w:vAlign w:val="center"/>
          </w:tcPr>
          <w:p w14:paraId="216E0192">
            <w:pPr>
              <w:widowControl/>
              <w:jc w:val="left"/>
              <w:rPr>
                <w:kern w:val="0"/>
                <w:szCs w:val="21"/>
              </w:rPr>
            </w:pPr>
            <w:r>
              <w:rPr>
                <w:kern w:val="0"/>
                <w:szCs w:val="21"/>
              </w:rPr>
              <w:t>5.3</w:t>
            </w:r>
          </w:p>
        </w:tc>
        <w:tc>
          <w:tcPr>
            <w:tcW w:w="2369" w:type="dxa"/>
            <w:gridSpan w:val="2"/>
            <w:noWrap w:val="0"/>
            <w:vAlign w:val="center"/>
          </w:tcPr>
          <w:p w14:paraId="0EC6E594">
            <w:pPr>
              <w:widowControl/>
              <w:jc w:val="left"/>
              <w:rPr>
                <w:kern w:val="0"/>
                <w:szCs w:val="21"/>
              </w:rPr>
            </w:pPr>
            <w:r>
              <w:rPr>
                <w:kern w:val="0"/>
                <w:szCs w:val="21"/>
              </w:rPr>
              <w:t>爆炸上限 ( V%)</w:t>
            </w:r>
          </w:p>
        </w:tc>
        <w:tc>
          <w:tcPr>
            <w:tcW w:w="3073" w:type="dxa"/>
            <w:noWrap w:val="0"/>
            <w:vAlign w:val="center"/>
          </w:tcPr>
          <w:p w14:paraId="24A04588">
            <w:pPr>
              <w:widowControl/>
              <w:jc w:val="left"/>
              <w:rPr>
                <w:kern w:val="0"/>
                <w:szCs w:val="21"/>
              </w:rPr>
            </w:pPr>
            <w:r>
              <w:rPr>
                <w:kern w:val="0"/>
                <w:szCs w:val="21"/>
              </w:rPr>
              <w:t>15</w:t>
            </w:r>
          </w:p>
        </w:tc>
      </w:tr>
      <w:tr w14:paraId="73E95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trHeight w:val="284" w:hRule="atLeast"/>
        </w:trPr>
        <w:tc>
          <w:tcPr>
            <w:tcW w:w="620" w:type="dxa"/>
            <w:vMerge w:val="continue"/>
            <w:noWrap w:val="0"/>
            <w:vAlign w:val="center"/>
          </w:tcPr>
          <w:p w14:paraId="1BD505F9">
            <w:pPr>
              <w:widowControl/>
              <w:jc w:val="center"/>
              <w:rPr>
                <w:kern w:val="0"/>
                <w:szCs w:val="21"/>
              </w:rPr>
            </w:pPr>
          </w:p>
        </w:tc>
        <w:tc>
          <w:tcPr>
            <w:tcW w:w="1617" w:type="dxa"/>
            <w:noWrap w:val="0"/>
            <w:vAlign w:val="center"/>
          </w:tcPr>
          <w:p w14:paraId="6F25553F">
            <w:pPr>
              <w:widowControl/>
              <w:jc w:val="left"/>
              <w:rPr>
                <w:kern w:val="0"/>
                <w:szCs w:val="21"/>
              </w:rPr>
            </w:pPr>
            <w:r>
              <w:rPr>
                <w:kern w:val="0"/>
                <w:szCs w:val="21"/>
              </w:rPr>
              <w:t>危险特性</w:t>
            </w:r>
          </w:p>
        </w:tc>
        <w:tc>
          <w:tcPr>
            <w:tcW w:w="6291" w:type="dxa"/>
            <w:gridSpan w:val="4"/>
            <w:noWrap w:val="0"/>
            <w:vAlign w:val="center"/>
          </w:tcPr>
          <w:p w14:paraId="1C93883D">
            <w:pPr>
              <w:widowControl/>
              <w:jc w:val="left"/>
              <w:rPr>
                <w:kern w:val="0"/>
                <w:szCs w:val="21"/>
              </w:rPr>
            </w:pPr>
            <w:r>
              <w:rPr>
                <w:kern w:val="0"/>
                <w:szCs w:val="21"/>
              </w:rPr>
              <w:t>易燃，与空气混合能形成爆炸性混合物，遇热源和明火有燃烧爆炸的危险。与五氧化溴、氯气、次氯酸、三氟化氮、液氧、二氟化氧及其它强氧化剂接触剧烈反应</w:t>
            </w:r>
          </w:p>
        </w:tc>
      </w:tr>
    </w:tbl>
    <w:p w14:paraId="482DA7D3">
      <w:pPr>
        <w:pStyle w:val="593"/>
        <w:spacing w:after="0" w:line="360" w:lineRule="auto"/>
        <w:ind w:firstLine="482"/>
        <w:jc w:val="center"/>
        <w:rPr>
          <w:b/>
        </w:rPr>
      </w:pPr>
    </w:p>
    <w:p w14:paraId="22D67D13">
      <w:pPr>
        <w:adjustRightInd w:val="0"/>
        <w:snapToGrid w:val="0"/>
        <w:spacing w:line="360" w:lineRule="auto"/>
        <w:ind w:firstLine="480"/>
        <w:rPr>
          <w:sz w:val="24"/>
        </w:rPr>
      </w:pPr>
      <w:r>
        <w:rPr>
          <w:sz w:val="24"/>
        </w:rPr>
        <w:t>根据风险物质的理化性质及危险特性，本项目可能发生的风险为：天然气、沼气遇明火、高热可能引发的火灾、爆炸风险。</w:t>
      </w:r>
    </w:p>
    <w:p w14:paraId="41A1FD5F">
      <w:pPr>
        <w:spacing w:line="360" w:lineRule="auto"/>
        <w:ind w:firstLine="482"/>
        <w:rPr>
          <w:b/>
          <w:sz w:val="24"/>
        </w:rPr>
      </w:pPr>
      <w:r>
        <w:rPr>
          <w:b/>
          <w:sz w:val="24"/>
        </w:rPr>
        <w:t>（2）生产系统危险性识别</w:t>
      </w:r>
    </w:p>
    <w:p w14:paraId="43EF8311">
      <w:pPr>
        <w:adjustRightInd w:val="0"/>
        <w:snapToGrid w:val="0"/>
        <w:spacing w:line="360" w:lineRule="auto"/>
        <w:ind w:firstLine="480"/>
        <w:rPr>
          <w:sz w:val="24"/>
        </w:rPr>
      </w:pPr>
      <w:r>
        <w:rPr>
          <w:sz w:val="24"/>
        </w:rPr>
        <w:t>本项目生产过程中主要危险生产系统为污水处理站废水非正常排放或泄漏风险。本项目污水统一收集后进入污水处理站处理，处理工艺为“废水处理工艺为收集池+水解酸化池+UASB厌氧发酵 +沼液储存池”，处理后用于项目自有苹果园灌溉，不外排，因此，本项目出现非正常排放的情况主要是指污水处理站污水过满外溢和发生损坏时，污水对地表水和地下水的影响。</w:t>
      </w:r>
    </w:p>
    <w:p w14:paraId="6C911C2A">
      <w:pPr>
        <w:adjustRightInd w:val="0"/>
        <w:snapToGrid w:val="0"/>
        <w:spacing w:line="360" w:lineRule="auto"/>
        <w:ind w:firstLine="480"/>
        <w:rPr>
          <w:sz w:val="24"/>
        </w:rPr>
      </w:pPr>
      <w:r>
        <w:rPr>
          <w:sz w:val="24"/>
        </w:rPr>
        <w:t>项目污水处理站为钢筋混凝土结构，采用防渗混凝土建设（渗透系数不大于10</w:t>
      </w:r>
      <w:r>
        <w:rPr>
          <w:sz w:val="24"/>
          <w:vertAlign w:val="superscript"/>
        </w:rPr>
        <w:t>-7</w:t>
      </w:r>
      <w:r>
        <w:rPr>
          <w:sz w:val="24"/>
        </w:rPr>
        <w:t>cm/s），墙体厚度30cm左右，发生损坏的几率非常低，项目运营期产生的粪污几乎不会出现非正常排放情况；</w:t>
      </w:r>
      <w:r>
        <w:rPr>
          <w:bCs/>
          <w:sz w:val="24"/>
        </w:rPr>
        <w:t>当污水处理系统发生故障，废水可暂存在猪舍下的粪污池内</w:t>
      </w:r>
      <w:r>
        <w:rPr>
          <w:bCs/>
          <w:kern w:val="0"/>
          <w:sz w:val="24"/>
        </w:rPr>
        <w:t>，保证事故污水不会对周边地表水体产生污染影响</w:t>
      </w:r>
      <w:r>
        <w:rPr>
          <w:bCs/>
          <w:sz w:val="24"/>
        </w:rPr>
        <w:t>；</w:t>
      </w:r>
      <w:r>
        <w:rPr>
          <w:sz w:val="24"/>
        </w:rPr>
        <w:t>同时对污水处理站污水停留时间严格控制，加强管理，防止出现过满外溢情况的发生。在保证防渗、污水处理站结构坚固稳定的基础上，加强管理，项目废污非正常排放或泄露风险较小。</w:t>
      </w:r>
    </w:p>
    <w:p w14:paraId="6DE4F39F">
      <w:pPr>
        <w:spacing w:line="360" w:lineRule="auto"/>
        <w:ind w:firstLine="482"/>
        <w:rPr>
          <w:b/>
          <w:sz w:val="24"/>
        </w:rPr>
      </w:pPr>
      <w:r>
        <w:rPr>
          <w:b/>
          <w:sz w:val="24"/>
        </w:rPr>
        <w:t>（3）项目环境风险识别结果</w:t>
      </w:r>
    </w:p>
    <w:p w14:paraId="11F0F0B1">
      <w:pPr>
        <w:adjustRightInd w:val="0"/>
        <w:snapToGrid w:val="0"/>
        <w:spacing w:line="360" w:lineRule="auto"/>
        <w:ind w:firstLine="480"/>
        <w:rPr>
          <w:sz w:val="24"/>
        </w:rPr>
      </w:pPr>
      <w:r>
        <w:rPr>
          <w:sz w:val="24"/>
        </w:rPr>
        <w:t>综上分析，建设项目的环境风险识别结果见下表。</w:t>
      </w:r>
    </w:p>
    <w:p w14:paraId="65616BA7">
      <w:pPr>
        <w:adjustRightInd w:val="0"/>
        <w:snapToGrid w:val="0"/>
        <w:spacing w:line="360" w:lineRule="auto"/>
        <w:jc w:val="center"/>
        <w:rPr>
          <w:b/>
          <w:sz w:val="24"/>
        </w:rPr>
      </w:pPr>
      <w:r>
        <w:rPr>
          <w:b/>
          <w:sz w:val="24"/>
        </w:rPr>
        <w:t>表6.1-3 建设项目环境风险识别表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59"/>
        <w:gridCol w:w="976"/>
        <w:gridCol w:w="1267"/>
        <w:gridCol w:w="969"/>
        <w:gridCol w:w="1119"/>
        <w:gridCol w:w="1119"/>
        <w:gridCol w:w="1961"/>
        <w:gridCol w:w="558"/>
      </w:tblGrid>
      <w:tr w14:paraId="2226F6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59" w:type="dxa"/>
            <w:noWrap w:val="0"/>
            <w:vAlign w:val="center"/>
          </w:tcPr>
          <w:p w14:paraId="009B1652">
            <w:pPr>
              <w:adjustRightInd w:val="0"/>
              <w:snapToGrid w:val="0"/>
              <w:jc w:val="center"/>
              <w:rPr>
                <w:b/>
                <w:kern w:val="0"/>
                <w:szCs w:val="21"/>
              </w:rPr>
            </w:pPr>
            <w:r>
              <w:rPr>
                <w:b/>
                <w:kern w:val="0"/>
                <w:szCs w:val="21"/>
              </w:rPr>
              <w:t>序号</w:t>
            </w:r>
          </w:p>
        </w:tc>
        <w:tc>
          <w:tcPr>
            <w:tcW w:w="976" w:type="dxa"/>
            <w:noWrap w:val="0"/>
            <w:vAlign w:val="center"/>
          </w:tcPr>
          <w:p w14:paraId="6C941F14">
            <w:pPr>
              <w:adjustRightInd w:val="0"/>
              <w:snapToGrid w:val="0"/>
              <w:jc w:val="center"/>
              <w:rPr>
                <w:b/>
                <w:kern w:val="0"/>
                <w:szCs w:val="21"/>
              </w:rPr>
            </w:pPr>
            <w:r>
              <w:rPr>
                <w:b/>
                <w:kern w:val="0"/>
                <w:szCs w:val="21"/>
              </w:rPr>
              <w:t>危险单元</w:t>
            </w:r>
          </w:p>
        </w:tc>
        <w:tc>
          <w:tcPr>
            <w:tcW w:w="1267" w:type="dxa"/>
            <w:noWrap w:val="0"/>
            <w:vAlign w:val="center"/>
          </w:tcPr>
          <w:p w14:paraId="0DB11672">
            <w:pPr>
              <w:adjustRightInd w:val="0"/>
              <w:snapToGrid w:val="0"/>
              <w:jc w:val="center"/>
              <w:rPr>
                <w:b/>
                <w:kern w:val="0"/>
                <w:szCs w:val="21"/>
              </w:rPr>
            </w:pPr>
            <w:r>
              <w:rPr>
                <w:b/>
                <w:kern w:val="0"/>
                <w:szCs w:val="21"/>
              </w:rPr>
              <w:t>风险源</w:t>
            </w:r>
          </w:p>
        </w:tc>
        <w:tc>
          <w:tcPr>
            <w:tcW w:w="969" w:type="dxa"/>
            <w:noWrap w:val="0"/>
            <w:vAlign w:val="center"/>
          </w:tcPr>
          <w:p w14:paraId="6DC0EB2F">
            <w:pPr>
              <w:adjustRightInd w:val="0"/>
              <w:snapToGrid w:val="0"/>
              <w:jc w:val="center"/>
              <w:rPr>
                <w:b/>
                <w:kern w:val="0"/>
                <w:szCs w:val="21"/>
              </w:rPr>
            </w:pPr>
            <w:r>
              <w:rPr>
                <w:b/>
                <w:kern w:val="0"/>
                <w:szCs w:val="21"/>
              </w:rPr>
              <w:t>主要危险物质</w:t>
            </w:r>
          </w:p>
        </w:tc>
        <w:tc>
          <w:tcPr>
            <w:tcW w:w="1119" w:type="dxa"/>
            <w:noWrap w:val="0"/>
            <w:vAlign w:val="center"/>
          </w:tcPr>
          <w:p w14:paraId="68F03A11">
            <w:pPr>
              <w:adjustRightInd w:val="0"/>
              <w:snapToGrid w:val="0"/>
              <w:jc w:val="center"/>
              <w:rPr>
                <w:b/>
                <w:kern w:val="0"/>
                <w:szCs w:val="21"/>
              </w:rPr>
            </w:pPr>
            <w:r>
              <w:rPr>
                <w:b/>
                <w:kern w:val="0"/>
                <w:szCs w:val="21"/>
              </w:rPr>
              <w:t>环境风险类型</w:t>
            </w:r>
          </w:p>
        </w:tc>
        <w:tc>
          <w:tcPr>
            <w:tcW w:w="1119" w:type="dxa"/>
            <w:noWrap w:val="0"/>
            <w:vAlign w:val="center"/>
          </w:tcPr>
          <w:p w14:paraId="0A568E42">
            <w:pPr>
              <w:adjustRightInd w:val="0"/>
              <w:snapToGrid w:val="0"/>
              <w:jc w:val="center"/>
              <w:rPr>
                <w:b/>
                <w:kern w:val="0"/>
                <w:szCs w:val="21"/>
              </w:rPr>
            </w:pPr>
            <w:r>
              <w:rPr>
                <w:b/>
                <w:kern w:val="0"/>
                <w:szCs w:val="21"/>
              </w:rPr>
              <w:t>环境影响途径</w:t>
            </w:r>
          </w:p>
        </w:tc>
        <w:tc>
          <w:tcPr>
            <w:tcW w:w="1961" w:type="dxa"/>
            <w:noWrap w:val="0"/>
            <w:vAlign w:val="center"/>
          </w:tcPr>
          <w:p w14:paraId="11B4AEE6">
            <w:pPr>
              <w:adjustRightInd w:val="0"/>
              <w:snapToGrid w:val="0"/>
              <w:jc w:val="center"/>
              <w:rPr>
                <w:b/>
                <w:kern w:val="0"/>
                <w:szCs w:val="21"/>
              </w:rPr>
            </w:pPr>
            <w:r>
              <w:rPr>
                <w:b/>
                <w:kern w:val="0"/>
                <w:szCs w:val="21"/>
              </w:rPr>
              <w:t>可能受影响的环境敏感目标</w:t>
            </w:r>
          </w:p>
        </w:tc>
        <w:tc>
          <w:tcPr>
            <w:tcW w:w="558" w:type="dxa"/>
            <w:noWrap w:val="0"/>
            <w:vAlign w:val="center"/>
          </w:tcPr>
          <w:p w14:paraId="206D5C0A">
            <w:pPr>
              <w:adjustRightInd w:val="0"/>
              <w:snapToGrid w:val="0"/>
              <w:jc w:val="center"/>
              <w:rPr>
                <w:b/>
                <w:kern w:val="0"/>
                <w:szCs w:val="21"/>
              </w:rPr>
            </w:pPr>
            <w:r>
              <w:rPr>
                <w:b/>
                <w:kern w:val="0"/>
                <w:szCs w:val="21"/>
              </w:rPr>
              <w:t>备注</w:t>
            </w:r>
          </w:p>
        </w:tc>
      </w:tr>
      <w:tr w14:paraId="062D1D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59" w:type="dxa"/>
            <w:noWrap w:val="0"/>
            <w:vAlign w:val="center"/>
          </w:tcPr>
          <w:p w14:paraId="6FA0626B">
            <w:pPr>
              <w:adjustRightInd w:val="0"/>
              <w:snapToGrid w:val="0"/>
              <w:jc w:val="center"/>
              <w:rPr>
                <w:kern w:val="0"/>
                <w:szCs w:val="21"/>
              </w:rPr>
            </w:pPr>
            <w:r>
              <w:rPr>
                <w:kern w:val="0"/>
                <w:szCs w:val="21"/>
              </w:rPr>
              <w:t>1</w:t>
            </w:r>
          </w:p>
        </w:tc>
        <w:tc>
          <w:tcPr>
            <w:tcW w:w="976" w:type="dxa"/>
            <w:vMerge w:val="restart"/>
            <w:noWrap w:val="0"/>
            <w:vAlign w:val="center"/>
          </w:tcPr>
          <w:p w14:paraId="0AB6330C">
            <w:pPr>
              <w:adjustRightInd w:val="0"/>
              <w:snapToGrid w:val="0"/>
              <w:jc w:val="center"/>
              <w:rPr>
                <w:kern w:val="0"/>
                <w:szCs w:val="21"/>
              </w:rPr>
            </w:pPr>
            <w:r>
              <w:rPr>
                <w:kern w:val="0"/>
                <w:szCs w:val="21"/>
              </w:rPr>
              <w:t>污水处理站</w:t>
            </w:r>
          </w:p>
        </w:tc>
        <w:tc>
          <w:tcPr>
            <w:tcW w:w="1267" w:type="dxa"/>
            <w:noWrap w:val="0"/>
            <w:vAlign w:val="center"/>
          </w:tcPr>
          <w:p w14:paraId="5DC13170">
            <w:pPr>
              <w:adjustRightInd w:val="0"/>
              <w:snapToGrid w:val="0"/>
              <w:jc w:val="center"/>
              <w:rPr>
                <w:kern w:val="0"/>
                <w:szCs w:val="21"/>
              </w:rPr>
            </w:pPr>
            <w:r>
              <w:rPr>
                <w:kern w:val="0"/>
                <w:szCs w:val="21"/>
              </w:rPr>
              <w:t>双膜储气袋</w:t>
            </w:r>
          </w:p>
        </w:tc>
        <w:tc>
          <w:tcPr>
            <w:tcW w:w="969" w:type="dxa"/>
            <w:noWrap w:val="0"/>
            <w:vAlign w:val="center"/>
          </w:tcPr>
          <w:p w14:paraId="3EDCC84F">
            <w:pPr>
              <w:adjustRightInd w:val="0"/>
              <w:snapToGrid w:val="0"/>
              <w:jc w:val="center"/>
              <w:rPr>
                <w:kern w:val="0"/>
                <w:szCs w:val="21"/>
              </w:rPr>
            </w:pPr>
            <w:r>
              <w:rPr>
                <w:kern w:val="0"/>
                <w:szCs w:val="21"/>
              </w:rPr>
              <w:t>甲烷</w:t>
            </w:r>
          </w:p>
        </w:tc>
        <w:tc>
          <w:tcPr>
            <w:tcW w:w="1119" w:type="dxa"/>
            <w:noWrap w:val="0"/>
            <w:vAlign w:val="center"/>
          </w:tcPr>
          <w:p w14:paraId="3403EB4C">
            <w:pPr>
              <w:adjustRightInd w:val="0"/>
              <w:snapToGrid w:val="0"/>
              <w:jc w:val="center"/>
              <w:rPr>
                <w:kern w:val="0"/>
                <w:szCs w:val="21"/>
              </w:rPr>
            </w:pPr>
            <w:r>
              <w:rPr>
                <w:kern w:val="0"/>
                <w:szCs w:val="21"/>
              </w:rPr>
              <w:t>火灾爆炸</w:t>
            </w:r>
          </w:p>
        </w:tc>
        <w:tc>
          <w:tcPr>
            <w:tcW w:w="1119" w:type="dxa"/>
            <w:noWrap w:val="0"/>
            <w:vAlign w:val="center"/>
          </w:tcPr>
          <w:p w14:paraId="51ABD053">
            <w:pPr>
              <w:adjustRightInd w:val="0"/>
              <w:snapToGrid w:val="0"/>
              <w:jc w:val="center"/>
              <w:rPr>
                <w:kern w:val="0"/>
                <w:szCs w:val="21"/>
              </w:rPr>
            </w:pPr>
            <w:r>
              <w:rPr>
                <w:kern w:val="0"/>
                <w:szCs w:val="21"/>
              </w:rPr>
              <w:t>大气</w:t>
            </w:r>
          </w:p>
        </w:tc>
        <w:tc>
          <w:tcPr>
            <w:tcW w:w="1961" w:type="dxa"/>
            <w:noWrap w:val="0"/>
            <w:vAlign w:val="center"/>
          </w:tcPr>
          <w:p w14:paraId="1BD025C7">
            <w:pPr>
              <w:adjustRightInd w:val="0"/>
              <w:snapToGrid w:val="0"/>
              <w:jc w:val="center"/>
              <w:rPr>
                <w:kern w:val="0"/>
                <w:szCs w:val="21"/>
              </w:rPr>
            </w:pPr>
            <w:r>
              <w:rPr>
                <w:kern w:val="0"/>
                <w:szCs w:val="21"/>
              </w:rPr>
              <w:t>/</w:t>
            </w:r>
          </w:p>
        </w:tc>
        <w:tc>
          <w:tcPr>
            <w:tcW w:w="558" w:type="dxa"/>
            <w:noWrap w:val="0"/>
            <w:vAlign w:val="center"/>
          </w:tcPr>
          <w:p w14:paraId="05EFEEF1">
            <w:pPr>
              <w:adjustRightInd w:val="0"/>
              <w:snapToGrid w:val="0"/>
              <w:jc w:val="center"/>
              <w:rPr>
                <w:kern w:val="0"/>
                <w:szCs w:val="21"/>
              </w:rPr>
            </w:pPr>
            <w:r>
              <w:rPr>
                <w:kern w:val="0"/>
                <w:szCs w:val="21"/>
              </w:rPr>
              <w:t>/</w:t>
            </w:r>
          </w:p>
        </w:tc>
      </w:tr>
      <w:tr w14:paraId="563998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59" w:type="dxa"/>
            <w:noWrap w:val="0"/>
            <w:vAlign w:val="center"/>
          </w:tcPr>
          <w:p w14:paraId="2E580E44">
            <w:pPr>
              <w:adjustRightInd w:val="0"/>
              <w:snapToGrid w:val="0"/>
              <w:jc w:val="center"/>
              <w:rPr>
                <w:kern w:val="0"/>
                <w:szCs w:val="21"/>
              </w:rPr>
            </w:pPr>
            <w:r>
              <w:rPr>
                <w:kern w:val="0"/>
                <w:szCs w:val="21"/>
              </w:rPr>
              <w:t>2</w:t>
            </w:r>
          </w:p>
        </w:tc>
        <w:tc>
          <w:tcPr>
            <w:tcW w:w="976" w:type="dxa"/>
            <w:vMerge w:val="continue"/>
            <w:noWrap w:val="0"/>
            <w:vAlign w:val="center"/>
          </w:tcPr>
          <w:p w14:paraId="37549B6E">
            <w:pPr>
              <w:adjustRightInd w:val="0"/>
              <w:snapToGrid w:val="0"/>
              <w:jc w:val="center"/>
              <w:rPr>
                <w:kern w:val="0"/>
                <w:szCs w:val="21"/>
              </w:rPr>
            </w:pPr>
          </w:p>
        </w:tc>
        <w:tc>
          <w:tcPr>
            <w:tcW w:w="1267" w:type="dxa"/>
            <w:noWrap w:val="0"/>
            <w:vAlign w:val="center"/>
          </w:tcPr>
          <w:p w14:paraId="6A479FF2">
            <w:pPr>
              <w:adjustRightInd w:val="0"/>
              <w:snapToGrid w:val="0"/>
              <w:jc w:val="center"/>
              <w:rPr>
                <w:kern w:val="0"/>
                <w:szCs w:val="21"/>
              </w:rPr>
            </w:pPr>
            <w:r>
              <w:rPr>
                <w:kern w:val="0"/>
                <w:szCs w:val="21"/>
              </w:rPr>
              <w:t>污水处理站</w:t>
            </w:r>
          </w:p>
        </w:tc>
        <w:tc>
          <w:tcPr>
            <w:tcW w:w="969" w:type="dxa"/>
            <w:noWrap w:val="0"/>
            <w:vAlign w:val="center"/>
          </w:tcPr>
          <w:p w14:paraId="72C6CCE4">
            <w:pPr>
              <w:adjustRightInd w:val="0"/>
              <w:snapToGrid w:val="0"/>
              <w:jc w:val="center"/>
              <w:rPr>
                <w:kern w:val="0"/>
                <w:szCs w:val="21"/>
              </w:rPr>
            </w:pPr>
            <w:r>
              <w:rPr>
                <w:kern w:val="0"/>
                <w:szCs w:val="21"/>
              </w:rPr>
              <w:t>废水</w:t>
            </w:r>
          </w:p>
        </w:tc>
        <w:tc>
          <w:tcPr>
            <w:tcW w:w="1119" w:type="dxa"/>
            <w:noWrap w:val="0"/>
            <w:vAlign w:val="center"/>
          </w:tcPr>
          <w:p w14:paraId="42A73FE3">
            <w:pPr>
              <w:adjustRightInd w:val="0"/>
              <w:snapToGrid w:val="0"/>
              <w:jc w:val="center"/>
              <w:rPr>
                <w:kern w:val="0"/>
                <w:szCs w:val="21"/>
              </w:rPr>
            </w:pPr>
            <w:r>
              <w:rPr>
                <w:kern w:val="0"/>
                <w:szCs w:val="21"/>
              </w:rPr>
              <w:t>泄露</w:t>
            </w:r>
          </w:p>
        </w:tc>
        <w:tc>
          <w:tcPr>
            <w:tcW w:w="1119" w:type="dxa"/>
            <w:noWrap w:val="0"/>
            <w:vAlign w:val="center"/>
          </w:tcPr>
          <w:p w14:paraId="0B86B76C">
            <w:pPr>
              <w:adjustRightInd w:val="0"/>
              <w:snapToGrid w:val="0"/>
              <w:jc w:val="center"/>
              <w:rPr>
                <w:kern w:val="0"/>
                <w:szCs w:val="21"/>
              </w:rPr>
            </w:pPr>
            <w:r>
              <w:rPr>
                <w:kern w:val="0"/>
                <w:szCs w:val="21"/>
              </w:rPr>
              <w:t>地表水、地下水</w:t>
            </w:r>
          </w:p>
        </w:tc>
        <w:tc>
          <w:tcPr>
            <w:tcW w:w="1961" w:type="dxa"/>
            <w:noWrap w:val="0"/>
            <w:vAlign w:val="center"/>
          </w:tcPr>
          <w:p w14:paraId="170D6D7D">
            <w:pPr>
              <w:adjustRightInd w:val="0"/>
              <w:snapToGrid w:val="0"/>
              <w:jc w:val="center"/>
              <w:rPr>
                <w:kern w:val="0"/>
                <w:szCs w:val="21"/>
              </w:rPr>
            </w:pPr>
            <w:r>
              <w:rPr>
                <w:kern w:val="0"/>
                <w:szCs w:val="21"/>
              </w:rPr>
              <w:t>项目周边地表水、地下水</w:t>
            </w:r>
          </w:p>
        </w:tc>
        <w:tc>
          <w:tcPr>
            <w:tcW w:w="558" w:type="dxa"/>
            <w:noWrap w:val="0"/>
            <w:vAlign w:val="center"/>
          </w:tcPr>
          <w:p w14:paraId="32F183A8">
            <w:pPr>
              <w:adjustRightInd w:val="0"/>
              <w:snapToGrid w:val="0"/>
              <w:jc w:val="center"/>
              <w:rPr>
                <w:kern w:val="0"/>
                <w:szCs w:val="21"/>
              </w:rPr>
            </w:pPr>
            <w:r>
              <w:rPr>
                <w:kern w:val="0"/>
                <w:szCs w:val="21"/>
              </w:rPr>
              <w:t>/</w:t>
            </w:r>
          </w:p>
        </w:tc>
      </w:tr>
    </w:tbl>
    <w:p w14:paraId="4939CF5C">
      <w:pPr>
        <w:adjustRightInd w:val="0"/>
        <w:snapToGrid w:val="0"/>
        <w:ind w:firstLine="480"/>
      </w:pPr>
    </w:p>
    <w:p w14:paraId="18C75C27">
      <w:pPr>
        <w:spacing w:line="360" w:lineRule="auto"/>
        <w:outlineLvl w:val="2"/>
        <w:rPr>
          <w:b/>
          <w:sz w:val="24"/>
        </w:rPr>
      </w:pPr>
      <w:r>
        <w:rPr>
          <w:b/>
          <w:sz w:val="24"/>
        </w:rPr>
        <w:t>6.1.2生产设施和风险类型识别</w:t>
      </w:r>
    </w:p>
    <w:p w14:paraId="667825BC">
      <w:pPr>
        <w:pStyle w:val="593"/>
        <w:spacing w:after="0" w:line="360" w:lineRule="auto"/>
        <w:ind w:firstLine="480"/>
      </w:pPr>
      <w:r>
        <w:t>（1）沼气：和沼气有关的具有风险的生产设施主要为UASB处理单元和沼气储罐，涉及的风险主要为泄漏、火灾、爆炸；</w:t>
      </w:r>
    </w:p>
    <w:p w14:paraId="2D3D5E25">
      <w:pPr>
        <w:pStyle w:val="593"/>
        <w:spacing w:after="0" w:line="360" w:lineRule="auto"/>
        <w:ind w:firstLine="480"/>
      </w:pPr>
      <w:r>
        <w:t>侵入途径：吸入。</w:t>
      </w:r>
    </w:p>
    <w:p w14:paraId="681B7FFD">
      <w:pPr>
        <w:pStyle w:val="593"/>
        <w:spacing w:after="0" w:line="360" w:lineRule="auto"/>
        <w:ind w:firstLine="480"/>
      </w:pPr>
      <w: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p w14:paraId="242ED871">
      <w:pPr>
        <w:pStyle w:val="593"/>
        <w:spacing w:after="0" w:line="360" w:lineRule="auto"/>
        <w:ind w:firstLine="480"/>
      </w:pPr>
      <w:r>
        <w:t>毒理学资料及环境行为：</w:t>
      </w:r>
    </w:p>
    <w:p w14:paraId="3DBE348A">
      <w:pPr>
        <w:pStyle w:val="593"/>
        <w:spacing w:after="0" w:line="360" w:lineRule="auto"/>
        <w:ind w:firstLine="480"/>
      </w:pPr>
      <w:r>
        <w:t>毒性：属微毒类。允许气体安全地扩散到大气中或当作燃料使用。有单纯性窒息作用，在高浓度时因缺氧窒息而引起中毒。空气中达到25～30%出现头昏、呼吸加速、运动失调。</w:t>
      </w:r>
    </w:p>
    <w:p w14:paraId="1A3350B9">
      <w:pPr>
        <w:pStyle w:val="593"/>
        <w:spacing w:after="0" w:line="360" w:lineRule="auto"/>
        <w:ind w:firstLine="480"/>
      </w:pPr>
      <w:r>
        <w:t>急性毒性：小鼠吸入42%浓度×60分钟，麻醉作用；兔吸入42%浓度×60分钟，麻醉作用。</w:t>
      </w:r>
    </w:p>
    <w:p w14:paraId="4526D16D">
      <w:pPr>
        <w:pStyle w:val="593"/>
        <w:spacing w:after="0" w:line="360" w:lineRule="auto"/>
        <w:ind w:firstLine="480"/>
      </w:pPr>
      <w:r>
        <w:t>危险特性：</w:t>
      </w:r>
    </w:p>
    <w:p w14:paraId="227EE577">
      <w:pPr>
        <w:pStyle w:val="593"/>
        <w:spacing w:after="0" w:line="360" w:lineRule="auto"/>
        <w:ind w:firstLine="480"/>
      </w:pPr>
      <w:r>
        <w:t>易燃，与空气混合能形成爆炸性混合物，遇热源和明火有燃烧爆炸的危险。与五氧化溴、氯气、次氯酸、三氟化氮、液氧、二氟化氧及其它强氧化剂接触剧烈反应。</w:t>
      </w:r>
    </w:p>
    <w:p w14:paraId="566E932C">
      <w:pPr>
        <w:pStyle w:val="593"/>
        <w:spacing w:after="0" w:line="360" w:lineRule="auto"/>
        <w:ind w:firstLine="480"/>
      </w:pPr>
      <w:r>
        <w:t>燃烧(分解)产物：一氧化碳、二氧化碳、水。</w:t>
      </w:r>
    </w:p>
    <w:p w14:paraId="5CBDBB4D">
      <w:pPr>
        <w:spacing w:line="360" w:lineRule="auto"/>
        <w:outlineLvl w:val="2"/>
        <w:rPr>
          <w:b/>
        </w:rPr>
      </w:pPr>
      <w:r>
        <w:rPr>
          <w:b/>
          <w:sz w:val="24"/>
        </w:rPr>
        <w:t>6.1.3重大危险源辨识</w:t>
      </w:r>
    </w:p>
    <w:p w14:paraId="4FAC971E">
      <w:pPr>
        <w:pStyle w:val="593"/>
        <w:ind w:firstLine="480"/>
      </w:pPr>
      <w:r>
        <w:t>根据《建设项目环境风险评价技术导则》（HJ/T 169-2018）附录B.1 和《重大危险源辨识》（GB12818-2009）有关重大危险源的的判定标准。</w:t>
      </w:r>
    </w:p>
    <w:p w14:paraId="50CFF35E">
      <w:pPr>
        <w:spacing w:line="360" w:lineRule="auto"/>
        <w:ind w:firstLine="480" w:firstLineChars="200"/>
        <w:rPr>
          <w:sz w:val="24"/>
        </w:rPr>
      </w:pPr>
      <w:r>
        <w:rPr>
          <w:sz w:val="24"/>
        </w:rPr>
        <w:t>本项目污水处理站UASB处理废水过程中会产生沼气，沼气（主要成分为甲烷）属于易燃、易爆危险品，项目沼气双膜储气袋为2m</w:t>
      </w:r>
      <w:r>
        <w:rPr>
          <w:sz w:val="24"/>
          <w:vertAlign w:val="superscript"/>
        </w:rPr>
        <w:t>3</w:t>
      </w:r>
      <w:r>
        <w:rPr>
          <w:sz w:val="24"/>
        </w:rPr>
        <w:t>，沼气中甲烷以80%计，则甲烷量为0.363t。</w:t>
      </w:r>
    </w:p>
    <w:p w14:paraId="414800A5">
      <w:pPr>
        <w:spacing w:line="360" w:lineRule="auto"/>
        <w:ind w:firstLine="480" w:firstLineChars="200"/>
        <w:rPr>
          <w:sz w:val="24"/>
        </w:rPr>
      </w:pPr>
      <w:r>
        <w:rPr>
          <w:sz w:val="24"/>
        </w:rPr>
        <w:t>对照《建设项目环境风险评价技术导则》（HJ169-2018）附录B，本项目原辅材料涉及的危险物质为沼气，主要成分均为甲烷，属于易燃、易爆危险品。项目沼气存储情况详见下表。</w:t>
      </w:r>
    </w:p>
    <w:p w14:paraId="030DF26B">
      <w:pPr>
        <w:pStyle w:val="47"/>
        <w:rPr>
          <w:rFonts w:ascii="Times New Roman" w:hAnsi="Times New Roman" w:cs="Times New Roman"/>
          <w:sz w:val="24"/>
        </w:rPr>
      </w:pPr>
    </w:p>
    <w:p w14:paraId="5A016695">
      <w:pPr>
        <w:pStyle w:val="2"/>
        <w:rPr>
          <w:rFonts w:ascii="Times New Roman" w:hAnsi="Times New Roman"/>
          <w:color w:val="auto"/>
        </w:rPr>
      </w:pPr>
    </w:p>
    <w:p w14:paraId="1488722A">
      <w:pPr>
        <w:pStyle w:val="2"/>
        <w:rPr>
          <w:rFonts w:ascii="Times New Roman" w:hAnsi="Times New Roman"/>
          <w:color w:val="auto"/>
        </w:rPr>
      </w:pPr>
    </w:p>
    <w:p w14:paraId="606010F4">
      <w:pPr>
        <w:pStyle w:val="2"/>
        <w:rPr>
          <w:rFonts w:ascii="Times New Roman" w:hAnsi="Times New Roman"/>
          <w:color w:val="auto"/>
        </w:rPr>
      </w:pPr>
    </w:p>
    <w:p w14:paraId="5076D0D4">
      <w:pPr>
        <w:pStyle w:val="2"/>
        <w:rPr>
          <w:rFonts w:ascii="Times New Roman" w:hAnsi="Times New Roman"/>
          <w:color w:val="auto"/>
        </w:rPr>
      </w:pPr>
    </w:p>
    <w:p w14:paraId="2336E1E7">
      <w:pPr>
        <w:pStyle w:val="2"/>
        <w:rPr>
          <w:rFonts w:ascii="Times New Roman" w:hAnsi="Times New Roman"/>
          <w:color w:val="auto"/>
        </w:rPr>
      </w:pPr>
    </w:p>
    <w:p w14:paraId="1793FA7F">
      <w:pPr>
        <w:pStyle w:val="2"/>
        <w:rPr>
          <w:rFonts w:ascii="Times New Roman" w:hAnsi="Times New Roman"/>
          <w:color w:val="auto"/>
        </w:rPr>
      </w:pPr>
    </w:p>
    <w:p w14:paraId="3D0CEA3B">
      <w:pPr>
        <w:pStyle w:val="2"/>
        <w:rPr>
          <w:rFonts w:ascii="Times New Roman" w:hAnsi="Times New Roman"/>
          <w:color w:val="auto"/>
        </w:rPr>
      </w:pPr>
    </w:p>
    <w:p w14:paraId="56F0C278">
      <w:pPr>
        <w:pStyle w:val="2"/>
        <w:rPr>
          <w:rFonts w:ascii="Times New Roman" w:hAnsi="Times New Roman"/>
          <w:color w:val="auto"/>
        </w:rPr>
      </w:pPr>
    </w:p>
    <w:p w14:paraId="092B93B8">
      <w:pPr>
        <w:pStyle w:val="2"/>
        <w:rPr>
          <w:rFonts w:ascii="Times New Roman" w:hAnsi="Times New Roman"/>
          <w:color w:val="auto"/>
        </w:rPr>
      </w:pPr>
    </w:p>
    <w:p w14:paraId="2717FF79">
      <w:pPr>
        <w:pStyle w:val="2"/>
        <w:rPr>
          <w:rFonts w:ascii="Times New Roman" w:hAnsi="Times New Roman"/>
          <w:color w:val="auto"/>
        </w:rPr>
      </w:pPr>
    </w:p>
    <w:p w14:paraId="5FF19FCB">
      <w:pPr>
        <w:pStyle w:val="2"/>
        <w:rPr>
          <w:rFonts w:ascii="Times New Roman" w:hAnsi="Times New Roman"/>
          <w:color w:val="auto"/>
        </w:rPr>
      </w:pPr>
    </w:p>
    <w:p w14:paraId="28E17E0D">
      <w:pPr>
        <w:pStyle w:val="2"/>
        <w:rPr>
          <w:rFonts w:ascii="Times New Roman" w:hAnsi="Times New Roman"/>
          <w:color w:val="auto"/>
        </w:rPr>
      </w:pPr>
    </w:p>
    <w:p w14:paraId="16654E20">
      <w:pPr>
        <w:spacing w:line="360" w:lineRule="auto"/>
        <w:ind w:firstLine="200"/>
        <w:jc w:val="center"/>
        <w:rPr>
          <w:b/>
          <w:sz w:val="24"/>
        </w:rPr>
      </w:pPr>
      <w:r>
        <w:rPr>
          <w:b/>
          <w:sz w:val="24"/>
        </w:rPr>
        <w:t>表6.1-4 项目区风险物质储存情况及Q值确定表</w:t>
      </w:r>
    </w:p>
    <w:tbl>
      <w:tblPr>
        <w:tblStyle w:val="87"/>
        <w:tblW w:w="5000" w:type="pct"/>
        <w:tblInd w:w="0" w:type="dxa"/>
        <w:tblLayout w:type="fixed"/>
        <w:tblCellMar>
          <w:top w:w="0" w:type="dxa"/>
          <w:left w:w="108" w:type="dxa"/>
          <w:bottom w:w="0" w:type="dxa"/>
          <w:right w:w="108" w:type="dxa"/>
        </w:tblCellMar>
      </w:tblPr>
      <w:tblGrid>
        <w:gridCol w:w="952"/>
        <w:gridCol w:w="1542"/>
        <w:gridCol w:w="1160"/>
        <w:gridCol w:w="1238"/>
        <w:gridCol w:w="1204"/>
        <w:gridCol w:w="819"/>
        <w:gridCol w:w="1613"/>
      </w:tblGrid>
      <w:tr w14:paraId="0FFC0496">
        <w:tblPrEx>
          <w:tblCellMar>
            <w:top w:w="0" w:type="dxa"/>
            <w:left w:w="108" w:type="dxa"/>
            <w:bottom w:w="0" w:type="dxa"/>
            <w:right w:w="108" w:type="dxa"/>
          </w:tblCellMar>
        </w:tblPrEx>
        <w:trPr>
          <w:trHeight w:val="79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069799DF">
            <w:pPr>
              <w:widowControl/>
              <w:jc w:val="center"/>
              <w:textAlignment w:val="center"/>
              <w:rPr>
                <w:szCs w:val="21"/>
              </w:rPr>
            </w:pPr>
            <w:r>
              <w:rPr>
                <w:kern w:val="0"/>
                <w:szCs w:val="21"/>
                <w:lang w:bidi="ar"/>
              </w:rPr>
              <w:t>地块</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43FEC870">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/a）</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38C3DA40">
            <w:pPr>
              <w:widowControl/>
              <w:jc w:val="center"/>
              <w:textAlignment w:val="center"/>
              <w:rPr>
                <w:szCs w:val="21"/>
              </w:rPr>
            </w:pPr>
            <w:r>
              <w:rPr>
                <w:kern w:val="0"/>
                <w:szCs w:val="21"/>
                <w:lang w:bidi="ar"/>
              </w:rPr>
              <w:t>甲烷产生量（m</w:t>
            </w:r>
            <w:r>
              <w:rPr>
                <w:kern w:val="0"/>
                <w:szCs w:val="21"/>
                <w:vertAlign w:val="superscript"/>
                <w:lang w:bidi="ar"/>
              </w:rPr>
              <w:t>3</w:t>
            </w:r>
            <w:r>
              <w:rPr>
                <w:kern w:val="0"/>
                <w:szCs w:val="21"/>
                <w:lang w:bidi="ar"/>
              </w:rPr>
              <w:t>/d）</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14:paraId="206C42C7">
            <w:pPr>
              <w:widowControl/>
              <w:jc w:val="center"/>
              <w:textAlignment w:val="center"/>
              <w:rPr>
                <w:szCs w:val="21"/>
              </w:rPr>
            </w:pPr>
            <w:r>
              <w:rPr>
                <w:kern w:val="0"/>
                <w:szCs w:val="21"/>
                <w:lang w:bidi="ar"/>
              </w:rPr>
              <w:t>沼气储罐最大储存量（m</w:t>
            </w:r>
            <w:r>
              <w:rPr>
                <w:kern w:val="0"/>
                <w:szCs w:val="21"/>
                <w:vertAlign w:val="superscript"/>
                <w:lang w:bidi="ar"/>
              </w:rPr>
              <w:t>3</w:t>
            </w:r>
            <w:r>
              <w:rPr>
                <w:kern w:val="0"/>
                <w:szCs w:val="21"/>
                <w:lang w:bidi="ar"/>
              </w:rPr>
              <w:t>）</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834E091">
            <w:pPr>
              <w:jc w:val="center"/>
              <w:rPr>
                <w:szCs w:val="21"/>
              </w:rPr>
            </w:pPr>
            <w:r>
              <w:rPr>
                <w:szCs w:val="21"/>
              </w:rPr>
              <w:t>最大储存量t</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4C3842CA">
            <w:pPr>
              <w:jc w:val="center"/>
              <w:rPr>
                <w:szCs w:val="21"/>
              </w:rPr>
            </w:pPr>
            <w:r>
              <w:rPr>
                <w:kern w:val="0"/>
                <w:szCs w:val="21"/>
              </w:rPr>
              <w:t>临界量/t</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E62D1C9">
            <w:pPr>
              <w:jc w:val="center"/>
              <w:rPr>
                <w:szCs w:val="21"/>
              </w:rPr>
            </w:pPr>
            <w:r>
              <w:rPr>
                <w:kern w:val="0"/>
                <w:szCs w:val="21"/>
              </w:rPr>
              <w:t>该种危险物质Q值</w:t>
            </w:r>
          </w:p>
        </w:tc>
      </w:tr>
      <w:tr w14:paraId="737B3E9B">
        <w:tblPrEx>
          <w:tblCellMar>
            <w:top w:w="0" w:type="dxa"/>
            <w:left w:w="108" w:type="dxa"/>
            <w:bottom w:w="0" w:type="dxa"/>
            <w:right w:w="108" w:type="dxa"/>
          </w:tblCellMar>
        </w:tblPrEx>
        <w:trPr>
          <w:trHeight w:val="300"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0D682CDE">
            <w:pPr>
              <w:widowControl/>
              <w:jc w:val="center"/>
              <w:textAlignment w:val="center"/>
              <w:rPr>
                <w:szCs w:val="21"/>
              </w:rPr>
            </w:pPr>
            <w:r>
              <w:rPr>
                <w:kern w:val="0"/>
                <w:szCs w:val="21"/>
                <w:lang w:bidi="ar"/>
              </w:rPr>
              <w:t>1号地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547840AC">
            <w:pPr>
              <w:widowControl/>
              <w:jc w:val="center"/>
              <w:textAlignment w:val="center"/>
              <w:rPr>
                <w:szCs w:val="21"/>
              </w:rPr>
            </w:pPr>
            <w:r>
              <w:rPr>
                <w:kern w:val="0"/>
                <w:szCs w:val="21"/>
                <w:lang w:bidi="ar"/>
              </w:rPr>
              <w:t>294.8438</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1177EC1B">
            <w:pPr>
              <w:widowControl/>
              <w:jc w:val="center"/>
              <w:textAlignment w:val="center"/>
              <w:rPr>
                <w:szCs w:val="21"/>
              </w:rPr>
            </w:pPr>
            <w:r>
              <w:rPr>
                <w:kern w:val="0"/>
                <w:szCs w:val="21"/>
                <w:lang w:bidi="ar"/>
              </w:rPr>
              <w:t>0.81</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AEB28B4">
            <w:pPr>
              <w:widowControl/>
              <w:jc w:val="center"/>
              <w:textAlignment w:val="center"/>
              <w:rPr>
                <w:szCs w:val="21"/>
              </w:rPr>
            </w:pPr>
            <w:r>
              <w:rPr>
                <w:kern w:val="0"/>
                <w:szCs w:val="21"/>
                <w:lang w:bidi="ar"/>
              </w:rPr>
              <w:t>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862D308">
            <w:pPr>
              <w:widowControl/>
              <w:jc w:val="center"/>
              <w:textAlignment w:val="center"/>
              <w:rPr>
                <w:szCs w:val="21"/>
              </w:rPr>
            </w:pPr>
            <w:r>
              <w:rPr>
                <w:kern w:val="0"/>
                <w:szCs w:val="21"/>
                <w:lang w:bidi="ar"/>
              </w:rPr>
              <w:t>0.000717</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1B1F61AF">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4167FEEE">
            <w:pPr>
              <w:widowControl/>
              <w:jc w:val="center"/>
              <w:textAlignment w:val="center"/>
              <w:rPr>
                <w:szCs w:val="21"/>
              </w:rPr>
            </w:pPr>
            <w:r>
              <w:rPr>
                <w:kern w:val="0"/>
                <w:szCs w:val="21"/>
                <w:lang w:bidi="ar"/>
              </w:rPr>
              <w:t>0.0000717</w:t>
            </w:r>
          </w:p>
        </w:tc>
      </w:tr>
      <w:tr w14:paraId="5E863B58">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072804B3">
            <w:pPr>
              <w:widowControl/>
              <w:jc w:val="center"/>
              <w:textAlignment w:val="center"/>
              <w:rPr>
                <w:szCs w:val="21"/>
              </w:rPr>
            </w:pPr>
            <w:r>
              <w:rPr>
                <w:kern w:val="0"/>
                <w:szCs w:val="21"/>
                <w:lang w:bidi="ar"/>
              </w:rPr>
              <w:t>2号地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64BC5A37">
            <w:pPr>
              <w:widowControl/>
              <w:jc w:val="center"/>
              <w:textAlignment w:val="center"/>
              <w:rPr>
                <w:szCs w:val="21"/>
              </w:rPr>
            </w:pPr>
            <w:r>
              <w:rPr>
                <w:kern w:val="0"/>
                <w:szCs w:val="21"/>
                <w:lang w:bidi="ar"/>
              </w:rPr>
              <w:t>663.5634</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776ACAB4">
            <w:pPr>
              <w:widowControl/>
              <w:jc w:val="center"/>
              <w:textAlignment w:val="center"/>
              <w:rPr>
                <w:szCs w:val="21"/>
              </w:rPr>
            </w:pPr>
            <w:r>
              <w:rPr>
                <w:kern w:val="0"/>
                <w:szCs w:val="21"/>
                <w:lang w:bidi="ar"/>
              </w:rPr>
              <w:t>1.82</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8A96A21">
            <w:pPr>
              <w:widowControl/>
              <w:jc w:val="center"/>
              <w:textAlignment w:val="center"/>
              <w:rPr>
                <w:szCs w:val="21"/>
              </w:rPr>
            </w:pPr>
            <w:r>
              <w:rPr>
                <w:kern w:val="0"/>
                <w:szCs w:val="21"/>
                <w:lang w:bidi="ar"/>
              </w:rPr>
              <w:t>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2C3D7E2">
            <w:pPr>
              <w:widowControl/>
              <w:jc w:val="center"/>
              <w:textAlignment w:val="center"/>
              <w:rPr>
                <w:szCs w:val="21"/>
              </w:rPr>
            </w:pPr>
            <w:r>
              <w:rPr>
                <w:kern w:val="0"/>
                <w:szCs w:val="21"/>
                <w:lang w:bidi="ar"/>
              </w:rPr>
              <w:t>0.002151</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761859D1">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54DBD5FF">
            <w:pPr>
              <w:widowControl/>
              <w:jc w:val="center"/>
              <w:textAlignment w:val="center"/>
              <w:rPr>
                <w:szCs w:val="21"/>
              </w:rPr>
            </w:pPr>
            <w:r>
              <w:rPr>
                <w:kern w:val="0"/>
                <w:szCs w:val="21"/>
                <w:lang w:bidi="ar"/>
              </w:rPr>
              <w:t>0.0002151</w:t>
            </w:r>
          </w:p>
        </w:tc>
      </w:tr>
      <w:tr w14:paraId="168ADB71">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4201FB89">
            <w:pPr>
              <w:widowControl/>
              <w:jc w:val="center"/>
              <w:textAlignment w:val="center"/>
              <w:rPr>
                <w:szCs w:val="21"/>
              </w:rPr>
            </w:pPr>
            <w:r>
              <w:rPr>
                <w:kern w:val="0"/>
                <w:szCs w:val="21"/>
                <w:lang w:bidi="ar"/>
              </w:rPr>
              <w:t>3号地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26090722">
            <w:pPr>
              <w:widowControl/>
              <w:jc w:val="center"/>
              <w:textAlignment w:val="center"/>
              <w:rPr>
                <w:szCs w:val="21"/>
              </w:rPr>
            </w:pPr>
            <w:r>
              <w:rPr>
                <w:kern w:val="0"/>
                <w:szCs w:val="21"/>
                <w:lang w:bidi="ar"/>
              </w:rPr>
              <w:t>250.6803</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59F8C606">
            <w:pPr>
              <w:widowControl/>
              <w:jc w:val="center"/>
              <w:textAlignment w:val="center"/>
              <w:rPr>
                <w:szCs w:val="21"/>
              </w:rPr>
            </w:pPr>
            <w:r>
              <w:rPr>
                <w:kern w:val="0"/>
                <w:szCs w:val="21"/>
                <w:lang w:bidi="ar"/>
              </w:rPr>
              <w:t>0.69</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189F385">
            <w:pPr>
              <w:jc w:val="center"/>
              <w:rPr>
                <w:szCs w:val="21"/>
              </w:rPr>
            </w:pP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E726309">
            <w:pPr>
              <w:widowControl/>
              <w:jc w:val="center"/>
              <w:textAlignment w:val="center"/>
              <w:rPr>
                <w:szCs w:val="21"/>
              </w:rPr>
            </w:pPr>
            <w:r>
              <w:rPr>
                <w:kern w:val="0"/>
                <w:szCs w:val="21"/>
                <w:lang w:bidi="ar"/>
              </w:rPr>
              <w:t>0</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64A1178B">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56D99EC9">
            <w:pPr>
              <w:widowControl/>
              <w:jc w:val="center"/>
              <w:textAlignment w:val="center"/>
              <w:rPr>
                <w:szCs w:val="21"/>
              </w:rPr>
            </w:pPr>
            <w:r>
              <w:rPr>
                <w:kern w:val="0"/>
                <w:szCs w:val="21"/>
                <w:lang w:bidi="ar"/>
              </w:rPr>
              <w:t>0</w:t>
            </w:r>
          </w:p>
        </w:tc>
      </w:tr>
      <w:tr w14:paraId="1DF795E8">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7D09DDA1">
            <w:pPr>
              <w:widowControl/>
              <w:jc w:val="center"/>
              <w:textAlignment w:val="center"/>
              <w:rPr>
                <w:szCs w:val="21"/>
              </w:rPr>
            </w:pPr>
            <w:r>
              <w:rPr>
                <w:kern w:val="0"/>
                <w:szCs w:val="21"/>
                <w:lang w:bidi="ar"/>
              </w:rPr>
              <w:t>4号地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271136BD">
            <w:pPr>
              <w:widowControl/>
              <w:jc w:val="center"/>
              <w:textAlignment w:val="center"/>
              <w:rPr>
                <w:szCs w:val="21"/>
              </w:rPr>
            </w:pPr>
            <w:r>
              <w:rPr>
                <w:kern w:val="0"/>
                <w:szCs w:val="21"/>
                <w:lang w:bidi="ar"/>
              </w:rPr>
              <w:t>652.4862</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762D4B9D">
            <w:pPr>
              <w:widowControl/>
              <w:jc w:val="center"/>
              <w:textAlignment w:val="center"/>
              <w:rPr>
                <w:szCs w:val="21"/>
              </w:rPr>
            </w:pPr>
            <w:r>
              <w:rPr>
                <w:kern w:val="0"/>
                <w:szCs w:val="21"/>
                <w:lang w:bidi="ar"/>
              </w:rPr>
              <w:t>1.79</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8C623DD">
            <w:pPr>
              <w:widowControl/>
              <w:jc w:val="center"/>
              <w:textAlignment w:val="center"/>
              <w:rPr>
                <w:szCs w:val="21"/>
              </w:rPr>
            </w:pPr>
            <w:r>
              <w:rPr>
                <w:kern w:val="0"/>
                <w:szCs w:val="21"/>
                <w:lang w:bidi="ar"/>
              </w:rPr>
              <w:t>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627865F">
            <w:pPr>
              <w:widowControl/>
              <w:jc w:val="center"/>
              <w:textAlignment w:val="center"/>
              <w:rPr>
                <w:szCs w:val="21"/>
              </w:rPr>
            </w:pPr>
            <w:r>
              <w:rPr>
                <w:kern w:val="0"/>
                <w:szCs w:val="21"/>
                <w:lang w:bidi="ar"/>
              </w:rPr>
              <w:t>0.001434</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3B63653A">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5C417EA7">
            <w:pPr>
              <w:widowControl/>
              <w:jc w:val="center"/>
              <w:textAlignment w:val="center"/>
              <w:rPr>
                <w:szCs w:val="21"/>
              </w:rPr>
            </w:pPr>
            <w:r>
              <w:rPr>
                <w:kern w:val="0"/>
                <w:szCs w:val="21"/>
                <w:lang w:bidi="ar"/>
              </w:rPr>
              <w:t>0.0001434</w:t>
            </w:r>
          </w:p>
        </w:tc>
      </w:tr>
      <w:tr w14:paraId="5219295C">
        <w:tblPrEx>
          <w:tblCellMar>
            <w:top w:w="0" w:type="dxa"/>
            <w:left w:w="108" w:type="dxa"/>
            <w:bottom w:w="0" w:type="dxa"/>
            <w:right w:w="108" w:type="dxa"/>
          </w:tblCellMar>
        </w:tblPrEx>
        <w:trPr>
          <w:trHeight w:val="285" w:hRule="atLeast"/>
        </w:trPr>
        <w:tc>
          <w:tcPr>
            <w:tcW w:w="559" w:type="pct"/>
            <w:tcBorders>
              <w:top w:val="single" w:color="000000" w:sz="4" w:space="0"/>
              <w:left w:val="single" w:color="000000" w:sz="4" w:space="0"/>
              <w:bottom w:val="single" w:color="000000" w:sz="4" w:space="0"/>
              <w:right w:val="single" w:color="000000" w:sz="4" w:space="0"/>
            </w:tcBorders>
            <w:noWrap/>
            <w:vAlign w:val="center"/>
          </w:tcPr>
          <w:p w14:paraId="419CDE3D">
            <w:pPr>
              <w:widowControl/>
              <w:jc w:val="center"/>
              <w:textAlignment w:val="center"/>
              <w:rPr>
                <w:szCs w:val="21"/>
              </w:rPr>
            </w:pPr>
            <w:r>
              <w:rPr>
                <w:kern w:val="0"/>
                <w:szCs w:val="21"/>
                <w:lang w:bidi="ar"/>
              </w:rPr>
              <w:t>5号地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5DB14148">
            <w:pPr>
              <w:widowControl/>
              <w:jc w:val="center"/>
              <w:textAlignment w:val="center"/>
              <w:rPr>
                <w:szCs w:val="21"/>
              </w:rPr>
            </w:pPr>
            <w:r>
              <w:rPr>
                <w:kern w:val="0"/>
                <w:szCs w:val="21"/>
                <w:lang w:bidi="ar"/>
              </w:rPr>
              <w:t>562.8033</w:t>
            </w:r>
          </w:p>
        </w:tc>
        <w:tc>
          <w:tcPr>
            <w:tcW w:w="679" w:type="pct"/>
            <w:tcBorders>
              <w:top w:val="single" w:color="000000" w:sz="4" w:space="0"/>
              <w:left w:val="single" w:color="000000" w:sz="4" w:space="0"/>
              <w:bottom w:val="single" w:color="000000" w:sz="4" w:space="0"/>
              <w:right w:val="single" w:color="000000" w:sz="4" w:space="0"/>
            </w:tcBorders>
            <w:noWrap/>
            <w:vAlign w:val="center"/>
          </w:tcPr>
          <w:p w14:paraId="71ECB578">
            <w:pPr>
              <w:widowControl/>
              <w:jc w:val="center"/>
              <w:textAlignment w:val="center"/>
              <w:rPr>
                <w:szCs w:val="21"/>
              </w:rPr>
            </w:pPr>
            <w:r>
              <w:rPr>
                <w:kern w:val="0"/>
                <w:szCs w:val="21"/>
                <w:lang w:bidi="ar"/>
              </w:rPr>
              <w:t>1.54</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9245C86">
            <w:pPr>
              <w:widowControl/>
              <w:jc w:val="center"/>
              <w:textAlignment w:val="center"/>
              <w:rPr>
                <w:szCs w:val="21"/>
              </w:rPr>
            </w:pPr>
            <w:r>
              <w:rPr>
                <w:kern w:val="0"/>
                <w:szCs w:val="21"/>
                <w:lang w:bidi="ar"/>
              </w:rPr>
              <w:t>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CAEE43B">
            <w:pPr>
              <w:widowControl/>
              <w:jc w:val="center"/>
              <w:textAlignment w:val="center"/>
              <w:rPr>
                <w:szCs w:val="21"/>
              </w:rPr>
            </w:pPr>
            <w:r>
              <w:rPr>
                <w:kern w:val="0"/>
                <w:szCs w:val="21"/>
                <w:lang w:bidi="ar"/>
              </w:rPr>
              <w:t>0.001434</w:t>
            </w:r>
          </w:p>
        </w:tc>
        <w:tc>
          <w:tcPr>
            <w:tcW w:w="480" w:type="pct"/>
            <w:tcBorders>
              <w:top w:val="single" w:color="000000" w:sz="4" w:space="0"/>
              <w:left w:val="single" w:color="000000" w:sz="4" w:space="0"/>
              <w:bottom w:val="single" w:color="000000" w:sz="4" w:space="0"/>
              <w:right w:val="single" w:color="000000" w:sz="4" w:space="0"/>
            </w:tcBorders>
            <w:noWrap/>
            <w:vAlign w:val="center"/>
          </w:tcPr>
          <w:p w14:paraId="2EDF61B5">
            <w:pPr>
              <w:widowControl/>
              <w:jc w:val="center"/>
              <w:textAlignment w:val="center"/>
              <w:rPr>
                <w:kern w:val="0"/>
                <w:szCs w:val="21"/>
                <w:lang w:bidi="ar"/>
              </w:rPr>
            </w:pPr>
            <w:r>
              <w:rPr>
                <w:kern w:val="0"/>
                <w:szCs w:val="21"/>
                <w:lang w:bidi="ar"/>
              </w:rPr>
              <w:t>10</w:t>
            </w:r>
          </w:p>
        </w:tc>
        <w:tc>
          <w:tcPr>
            <w:tcW w:w="945" w:type="pct"/>
            <w:tcBorders>
              <w:top w:val="single" w:color="000000" w:sz="4" w:space="0"/>
              <w:left w:val="single" w:color="000000" w:sz="4" w:space="0"/>
              <w:bottom w:val="single" w:color="000000" w:sz="4" w:space="0"/>
              <w:right w:val="single" w:color="000000" w:sz="4" w:space="0"/>
            </w:tcBorders>
            <w:noWrap/>
            <w:vAlign w:val="center"/>
          </w:tcPr>
          <w:p w14:paraId="0B67C316">
            <w:pPr>
              <w:widowControl/>
              <w:jc w:val="center"/>
              <w:textAlignment w:val="center"/>
              <w:rPr>
                <w:szCs w:val="21"/>
              </w:rPr>
            </w:pPr>
            <w:r>
              <w:rPr>
                <w:kern w:val="0"/>
                <w:szCs w:val="21"/>
                <w:lang w:bidi="ar"/>
              </w:rPr>
              <w:t>0.0001434</w:t>
            </w:r>
          </w:p>
        </w:tc>
      </w:tr>
    </w:tbl>
    <w:p w14:paraId="00024892">
      <w:pPr>
        <w:pStyle w:val="47"/>
        <w:rPr>
          <w:rFonts w:ascii="Times New Roman" w:hAnsi="Times New Roman" w:cs="Times New Roman"/>
        </w:rPr>
      </w:pPr>
      <w:r>
        <w:rPr>
          <w:rFonts w:ascii="Times New Roman" w:hAnsi="Times New Roman" w:cs="Times New Roman"/>
        </w:rPr>
        <w:t>注：2号地与3号地共同设置1个生活区，因此共同设置1个沼气储罐。</w:t>
      </w:r>
    </w:p>
    <w:p w14:paraId="49846CDA">
      <w:pPr>
        <w:adjustRightInd w:val="0"/>
        <w:snapToGrid w:val="0"/>
        <w:spacing w:line="360" w:lineRule="auto"/>
        <w:ind w:firstLine="480" w:firstLineChars="200"/>
        <w:rPr>
          <w:sz w:val="24"/>
        </w:rPr>
      </w:pPr>
      <w:r>
        <w:rPr>
          <w:sz w:val="24"/>
        </w:rPr>
        <w:t>根据《建设项目环境风险评价技术导则》（HJ169-2018）附录C，当只涉及一种危险物质时，计算该物质的总量与其临界量比值，即为Q；</w:t>
      </w:r>
    </w:p>
    <w:p w14:paraId="73882E36">
      <w:pPr>
        <w:adjustRightInd w:val="0"/>
        <w:snapToGrid w:val="0"/>
        <w:spacing w:line="360" w:lineRule="auto"/>
        <w:ind w:firstLine="480" w:firstLineChars="200"/>
        <w:rPr>
          <w:sz w:val="24"/>
        </w:rPr>
      </w:pPr>
      <w:r>
        <w:rPr>
          <w:sz w:val="24"/>
        </w:rPr>
        <w:t>当存在多种危险物质时，则按下列公式计算物质总量与其临界量比值（Q）：</w:t>
      </w:r>
    </w:p>
    <w:p w14:paraId="370349FE">
      <w:pPr>
        <w:adjustRightInd w:val="0"/>
        <w:snapToGrid w:val="0"/>
        <w:spacing w:line="360" w:lineRule="auto"/>
        <w:ind w:firstLine="480" w:firstLineChars="200"/>
        <w:jc w:val="center"/>
        <w:rPr>
          <w:sz w:val="24"/>
        </w:rPr>
      </w:pPr>
      <w:r>
        <w:rPr>
          <w:position w:val="-30"/>
          <w:sz w:val="24"/>
        </w:rPr>
        <w:drawing>
          <wp:inline distT="0" distB="0" distL="114300" distR="114300">
            <wp:extent cx="1276350" cy="429895"/>
            <wp:effectExtent l="0" t="0" r="0" b="6985"/>
            <wp:docPr id="230" name="对象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对象 42"/>
                    <pic:cNvPicPr>
                      <a:picLocks noChangeAspect="1"/>
                    </pic:cNvPicPr>
                  </pic:nvPicPr>
                  <pic:blipFill>
                    <a:blip r:embed="rId16"/>
                    <a:stretch>
                      <a:fillRect/>
                    </a:stretch>
                  </pic:blipFill>
                  <pic:spPr>
                    <a:xfrm>
                      <a:off x="0" y="0"/>
                      <a:ext cx="1276350" cy="429895"/>
                    </a:xfrm>
                    <a:prstGeom prst="rect">
                      <a:avLst/>
                    </a:prstGeom>
                    <a:noFill/>
                    <a:ln>
                      <a:noFill/>
                    </a:ln>
                  </pic:spPr>
                </pic:pic>
              </a:graphicData>
            </a:graphic>
          </wp:inline>
        </w:drawing>
      </w:r>
    </w:p>
    <w:p w14:paraId="08133919">
      <w:pPr>
        <w:adjustRightInd w:val="0"/>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14:paraId="6FDC07D6">
      <w:pPr>
        <w:adjustRightInd w:val="0"/>
        <w:snapToGrid w:val="0"/>
        <w:spacing w:line="360" w:lineRule="auto"/>
        <w:ind w:firstLine="480" w:firstLineChars="2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14:paraId="40E7477A">
      <w:pPr>
        <w:adjustRightInd w:val="0"/>
        <w:snapToGrid w:val="0"/>
        <w:spacing w:line="360" w:lineRule="auto"/>
        <w:ind w:firstLine="480" w:firstLineChars="200"/>
        <w:rPr>
          <w:sz w:val="24"/>
        </w:rPr>
      </w:pPr>
      <w:r>
        <w:rPr>
          <w:sz w:val="24"/>
        </w:rPr>
        <w:t>当Q＜1时，该项目环境风险潜势为Ⅰ。</w:t>
      </w:r>
    </w:p>
    <w:p w14:paraId="46E3F619">
      <w:pPr>
        <w:adjustRightInd w:val="0"/>
        <w:snapToGrid w:val="0"/>
        <w:spacing w:line="360" w:lineRule="auto"/>
        <w:ind w:firstLine="480" w:firstLineChars="200"/>
        <w:rPr>
          <w:sz w:val="24"/>
        </w:rPr>
      </w:pPr>
      <w:r>
        <w:rPr>
          <w:sz w:val="24"/>
        </w:rPr>
        <w:t>当Q≥1时，将Q值划分为：（1）1≤Q＜10；（2）10≤Q＜100；（3）Q≥100。</w:t>
      </w:r>
    </w:p>
    <w:p w14:paraId="12248CDE">
      <w:pPr>
        <w:autoSpaceDE w:val="0"/>
        <w:autoSpaceDN w:val="0"/>
        <w:adjustRightInd w:val="0"/>
        <w:spacing w:line="360" w:lineRule="auto"/>
        <w:ind w:firstLine="480" w:firstLineChars="200"/>
        <w:jc w:val="left"/>
        <w:rPr>
          <w:sz w:val="24"/>
        </w:rPr>
      </w:pPr>
      <w:r>
        <w:rPr>
          <w:sz w:val="24"/>
        </w:rPr>
        <w:t>据此计算得本项目各地块中最大Q值Q=0.0002151，项目Q≤1。</w:t>
      </w:r>
    </w:p>
    <w:p w14:paraId="57D1C09C">
      <w:pPr>
        <w:pStyle w:val="2078"/>
        <w:tabs>
          <w:tab w:val="left" w:pos="1706"/>
        </w:tabs>
        <w:spacing w:before="161"/>
        <w:ind w:firstLine="480"/>
        <w:jc w:val="left"/>
        <w:rPr>
          <w:sz w:val="24"/>
          <w:lang w:bidi="ar"/>
        </w:rPr>
      </w:pPr>
      <w:bookmarkStart w:id="181" w:name="_Toc413_WPSOffice_Level3"/>
      <w:r>
        <w:rPr>
          <w:sz w:val="24"/>
          <w:lang w:bidi="ar"/>
        </w:rPr>
        <w:t>（2）生产系统危险性识别</w:t>
      </w:r>
      <w:bookmarkEnd w:id="181"/>
    </w:p>
    <w:p w14:paraId="0669161D">
      <w:pPr>
        <w:pStyle w:val="35"/>
        <w:spacing w:before="160"/>
        <w:ind w:firstLine="480" w:firstLineChars="200"/>
      </w:pPr>
      <w:r>
        <w:rPr>
          <w:sz w:val="24"/>
          <w:lang w:bidi="ar"/>
        </w:rPr>
        <w:t>本项目的生产系统风险类型见表 6.1-5。</w:t>
      </w:r>
    </w:p>
    <w:p w14:paraId="0A2C1A45">
      <w:pPr>
        <w:pStyle w:val="994"/>
        <w:rPr>
          <w:rFonts w:hAnsi="Times New Roman"/>
        </w:rPr>
      </w:pPr>
      <w:r>
        <w:rPr>
          <w:rFonts w:hAnsi="Times New Roman"/>
        </w:rPr>
        <w:t>表6.1-5项目风险类型一览表</w:t>
      </w:r>
    </w:p>
    <w:p w14:paraId="0E6EC449">
      <w:pPr>
        <w:pStyle w:val="35"/>
        <w:spacing w:before="6"/>
        <w:rPr>
          <w:b/>
          <w:sz w:val="6"/>
        </w:rPr>
      </w:pPr>
    </w:p>
    <w:tbl>
      <w:tblPr>
        <w:tblStyle w:val="8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1"/>
        <w:gridCol w:w="1563"/>
        <w:gridCol w:w="1706"/>
        <w:gridCol w:w="3349"/>
      </w:tblGrid>
      <w:tr w14:paraId="5860E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22" w:type="pct"/>
            <w:shd w:val="clear" w:color="auto" w:fill="D7D7D7"/>
            <w:noWrap w:val="0"/>
            <w:vAlign w:val="center"/>
          </w:tcPr>
          <w:p w14:paraId="46D1DC48">
            <w:pPr>
              <w:pStyle w:val="2251"/>
              <w:autoSpaceDE/>
              <w:autoSpaceDN/>
              <w:spacing w:line="0" w:lineRule="atLeast"/>
              <w:ind w:firstLine="422" w:firstLineChars="200"/>
              <w:jc w:val="center"/>
              <w:rPr>
                <w:rFonts w:ascii="Times New Roman" w:hAnsi="Times New Roman" w:cs="Times New Roman"/>
                <w:b/>
                <w:bCs/>
                <w:sz w:val="21"/>
              </w:rPr>
            </w:pPr>
            <w:r>
              <w:rPr>
                <w:rFonts w:ascii="Times New Roman" w:hAnsi="Times New Roman" w:cs="Times New Roman"/>
                <w:b/>
                <w:bCs/>
                <w:sz w:val="21"/>
              </w:rPr>
              <w:t>工序</w:t>
            </w:r>
          </w:p>
        </w:tc>
        <w:tc>
          <w:tcPr>
            <w:tcW w:w="939" w:type="pct"/>
            <w:shd w:val="clear" w:color="auto" w:fill="D7D7D7"/>
            <w:noWrap w:val="0"/>
            <w:vAlign w:val="center"/>
          </w:tcPr>
          <w:p w14:paraId="2550BEE3">
            <w:pPr>
              <w:pStyle w:val="2251"/>
              <w:autoSpaceDE/>
              <w:autoSpaceDN/>
              <w:spacing w:line="0" w:lineRule="atLeast"/>
              <w:ind w:firstLine="422" w:firstLineChars="200"/>
              <w:jc w:val="center"/>
              <w:rPr>
                <w:rFonts w:ascii="Times New Roman" w:hAnsi="Times New Roman" w:cs="Times New Roman"/>
                <w:b/>
                <w:bCs/>
                <w:sz w:val="21"/>
              </w:rPr>
            </w:pPr>
            <w:r>
              <w:rPr>
                <w:rFonts w:ascii="Times New Roman" w:hAnsi="Times New Roman" w:cs="Times New Roman"/>
                <w:b/>
                <w:bCs/>
                <w:sz w:val="21"/>
              </w:rPr>
              <w:t>风险类型</w:t>
            </w:r>
          </w:p>
        </w:tc>
        <w:tc>
          <w:tcPr>
            <w:tcW w:w="1025" w:type="pct"/>
            <w:shd w:val="clear" w:color="auto" w:fill="D7D7D7"/>
            <w:noWrap w:val="0"/>
            <w:vAlign w:val="center"/>
          </w:tcPr>
          <w:p w14:paraId="51A24F3C">
            <w:pPr>
              <w:pStyle w:val="2251"/>
              <w:autoSpaceDE/>
              <w:autoSpaceDN/>
              <w:spacing w:line="0" w:lineRule="atLeast"/>
              <w:ind w:firstLine="422" w:firstLineChars="200"/>
              <w:jc w:val="center"/>
              <w:rPr>
                <w:rFonts w:ascii="Times New Roman" w:hAnsi="Times New Roman" w:cs="Times New Roman"/>
                <w:b/>
                <w:bCs/>
                <w:sz w:val="21"/>
              </w:rPr>
            </w:pPr>
            <w:r>
              <w:rPr>
                <w:rFonts w:ascii="Times New Roman" w:hAnsi="Times New Roman" w:cs="Times New Roman"/>
                <w:b/>
                <w:bCs/>
                <w:sz w:val="21"/>
              </w:rPr>
              <w:t>危害</w:t>
            </w:r>
          </w:p>
        </w:tc>
        <w:tc>
          <w:tcPr>
            <w:tcW w:w="2012" w:type="pct"/>
            <w:shd w:val="clear" w:color="auto" w:fill="D7D7D7"/>
            <w:noWrap w:val="0"/>
            <w:vAlign w:val="center"/>
          </w:tcPr>
          <w:p w14:paraId="2066655B">
            <w:pPr>
              <w:pStyle w:val="2251"/>
              <w:autoSpaceDE/>
              <w:autoSpaceDN/>
              <w:spacing w:line="0" w:lineRule="atLeast"/>
              <w:ind w:firstLine="422" w:firstLineChars="200"/>
              <w:jc w:val="center"/>
              <w:rPr>
                <w:rFonts w:ascii="Times New Roman" w:hAnsi="Times New Roman" w:cs="Times New Roman"/>
                <w:b/>
                <w:bCs/>
                <w:sz w:val="21"/>
              </w:rPr>
            </w:pPr>
            <w:r>
              <w:rPr>
                <w:rFonts w:ascii="Times New Roman" w:hAnsi="Times New Roman" w:cs="Times New Roman"/>
                <w:b/>
                <w:bCs/>
                <w:sz w:val="21"/>
              </w:rPr>
              <w:t>原因简析</w:t>
            </w:r>
          </w:p>
        </w:tc>
      </w:tr>
      <w:tr w14:paraId="5A4C9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22" w:type="pct"/>
            <w:noWrap w:val="0"/>
            <w:vAlign w:val="center"/>
          </w:tcPr>
          <w:p w14:paraId="63AC985B">
            <w:pPr>
              <w:pStyle w:val="2251"/>
              <w:autoSpaceDE/>
              <w:autoSpaceDN/>
              <w:spacing w:line="0" w:lineRule="atLeast"/>
              <w:ind w:firstLine="281" w:firstLineChars="200"/>
              <w:rPr>
                <w:rFonts w:ascii="Times New Roman" w:hAnsi="Times New Roman" w:cs="Times New Roman"/>
                <w:b/>
                <w:sz w:val="14"/>
              </w:rPr>
            </w:pPr>
          </w:p>
          <w:p w14:paraId="372F0A6F">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污水处理池</w:t>
            </w:r>
          </w:p>
        </w:tc>
        <w:tc>
          <w:tcPr>
            <w:tcW w:w="939" w:type="pct"/>
            <w:vMerge w:val="restart"/>
            <w:noWrap w:val="0"/>
            <w:vAlign w:val="center"/>
          </w:tcPr>
          <w:p w14:paraId="329F14D8">
            <w:pPr>
              <w:pStyle w:val="2251"/>
              <w:autoSpaceDE/>
              <w:autoSpaceDN/>
              <w:spacing w:line="0" w:lineRule="atLeast"/>
              <w:ind w:firstLine="522" w:firstLineChars="200"/>
              <w:rPr>
                <w:rFonts w:ascii="Times New Roman" w:hAnsi="Times New Roman" w:cs="Times New Roman"/>
                <w:b/>
                <w:sz w:val="26"/>
              </w:rPr>
            </w:pPr>
          </w:p>
          <w:p w14:paraId="0567FC08">
            <w:pPr>
              <w:pStyle w:val="2251"/>
              <w:autoSpaceDE/>
              <w:autoSpaceDN/>
              <w:spacing w:line="0" w:lineRule="atLeast"/>
              <w:ind w:firstLine="420" w:firstLineChars="200"/>
              <w:rPr>
                <w:rFonts w:ascii="Times New Roman" w:hAnsi="Times New Roman" w:cs="Times New Roman"/>
                <w:sz w:val="21"/>
              </w:rPr>
            </w:pPr>
            <w:r>
              <w:rPr>
                <w:rFonts w:ascii="Times New Roman" w:hAnsi="Times New Roman" w:cs="Times New Roman"/>
                <w:sz w:val="21"/>
              </w:rPr>
              <w:t>废水溢流</w:t>
            </w:r>
          </w:p>
        </w:tc>
        <w:tc>
          <w:tcPr>
            <w:tcW w:w="1025" w:type="pct"/>
            <w:vMerge w:val="restart"/>
            <w:noWrap w:val="0"/>
            <w:vAlign w:val="center"/>
          </w:tcPr>
          <w:p w14:paraId="6D1D467C">
            <w:pPr>
              <w:pStyle w:val="2251"/>
              <w:autoSpaceDE/>
              <w:autoSpaceDN/>
              <w:spacing w:line="0" w:lineRule="atLeast"/>
              <w:ind w:firstLine="281" w:firstLineChars="200"/>
              <w:rPr>
                <w:rFonts w:ascii="Times New Roman" w:hAnsi="Times New Roman" w:cs="Times New Roman"/>
                <w:b/>
                <w:sz w:val="14"/>
              </w:rPr>
            </w:pPr>
          </w:p>
          <w:p w14:paraId="2588B1A4">
            <w:pPr>
              <w:pStyle w:val="2251"/>
              <w:autoSpaceDE/>
              <w:autoSpaceDN/>
              <w:spacing w:line="0" w:lineRule="atLeast"/>
              <w:rPr>
                <w:rFonts w:ascii="Times New Roman" w:hAnsi="Times New Roman" w:cs="Times New Roman"/>
                <w:sz w:val="21"/>
              </w:rPr>
            </w:pPr>
            <w:r>
              <w:rPr>
                <w:rFonts w:ascii="Times New Roman" w:hAnsi="Times New Roman" w:cs="Times New Roman"/>
                <w:sz w:val="21"/>
              </w:rPr>
              <w:t>污染地下水、地表水</w:t>
            </w:r>
          </w:p>
        </w:tc>
        <w:tc>
          <w:tcPr>
            <w:tcW w:w="2012" w:type="pct"/>
            <w:noWrap w:val="0"/>
            <w:vAlign w:val="center"/>
          </w:tcPr>
          <w:p w14:paraId="34AB367D">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污水处理装置设施事故、特大暴雨造成溢流污染</w:t>
            </w:r>
          </w:p>
        </w:tc>
      </w:tr>
      <w:tr w14:paraId="392B2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22" w:type="pct"/>
            <w:noWrap w:val="0"/>
            <w:vAlign w:val="center"/>
          </w:tcPr>
          <w:p w14:paraId="7809EE86">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污水输送管网</w:t>
            </w:r>
          </w:p>
        </w:tc>
        <w:tc>
          <w:tcPr>
            <w:tcW w:w="939" w:type="pct"/>
            <w:vMerge w:val="continue"/>
            <w:tcBorders>
              <w:top w:val="nil"/>
            </w:tcBorders>
            <w:noWrap w:val="0"/>
            <w:vAlign w:val="center"/>
          </w:tcPr>
          <w:p w14:paraId="5BC9A340">
            <w:pPr>
              <w:spacing w:line="0" w:lineRule="atLeast"/>
              <w:ind w:firstLine="40" w:firstLineChars="200"/>
              <w:rPr>
                <w:sz w:val="2"/>
                <w:szCs w:val="2"/>
              </w:rPr>
            </w:pPr>
          </w:p>
        </w:tc>
        <w:tc>
          <w:tcPr>
            <w:tcW w:w="1025" w:type="pct"/>
            <w:vMerge w:val="continue"/>
            <w:tcBorders>
              <w:top w:val="nil"/>
            </w:tcBorders>
            <w:noWrap w:val="0"/>
            <w:vAlign w:val="center"/>
          </w:tcPr>
          <w:p w14:paraId="495791DE">
            <w:pPr>
              <w:spacing w:line="0" w:lineRule="atLeast"/>
              <w:ind w:firstLine="40" w:firstLineChars="200"/>
              <w:rPr>
                <w:sz w:val="2"/>
                <w:szCs w:val="2"/>
              </w:rPr>
            </w:pPr>
          </w:p>
        </w:tc>
        <w:tc>
          <w:tcPr>
            <w:tcW w:w="2012" w:type="pct"/>
            <w:noWrap w:val="0"/>
            <w:vAlign w:val="center"/>
          </w:tcPr>
          <w:p w14:paraId="704E0E44">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管网老化破损、或接头处泄漏</w:t>
            </w:r>
          </w:p>
        </w:tc>
      </w:tr>
      <w:tr w14:paraId="643E8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22" w:type="pct"/>
            <w:noWrap w:val="0"/>
            <w:vAlign w:val="center"/>
          </w:tcPr>
          <w:p w14:paraId="4D2B7475">
            <w:pPr>
              <w:pStyle w:val="2251"/>
              <w:autoSpaceDE/>
              <w:autoSpaceDN/>
              <w:spacing w:line="0" w:lineRule="atLeast"/>
              <w:jc w:val="both"/>
              <w:rPr>
                <w:rFonts w:ascii="Times New Roman" w:hAnsi="Times New Roman" w:cs="Times New Roman"/>
                <w:sz w:val="21"/>
              </w:rPr>
            </w:pPr>
            <w:r>
              <w:rPr>
                <w:rFonts w:ascii="Times New Roman" w:hAnsi="Times New Roman" w:cs="Times New Roman"/>
                <w:sz w:val="21"/>
              </w:rPr>
              <w:t>病死猪无害化处理</w:t>
            </w:r>
          </w:p>
        </w:tc>
        <w:tc>
          <w:tcPr>
            <w:tcW w:w="939" w:type="pct"/>
            <w:noWrap w:val="0"/>
            <w:vAlign w:val="center"/>
          </w:tcPr>
          <w:p w14:paraId="2A2C5874">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臭气外溢</w:t>
            </w:r>
          </w:p>
        </w:tc>
        <w:tc>
          <w:tcPr>
            <w:tcW w:w="1025" w:type="pct"/>
            <w:vMerge w:val="restart"/>
            <w:noWrap w:val="0"/>
            <w:vAlign w:val="center"/>
          </w:tcPr>
          <w:p w14:paraId="32200E9D">
            <w:pPr>
              <w:pStyle w:val="2251"/>
              <w:autoSpaceDE/>
              <w:autoSpaceDN/>
              <w:spacing w:line="0" w:lineRule="atLeast"/>
              <w:ind w:firstLine="522" w:firstLineChars="200"/>
              <w:rPr>
                <w:rFonts w:ascii="Times New Roman" w:hAnsi="Times New Roman" w:cs="Times New Roman"/>
                <w:b/>
                <w:sz w:val="26"/>
              </w:rPr>
            </w:pPr>
          </w:p>
          <w:p w14:paraId="0898049B">
            <w:pPr>
              <w:pStyle w:val="2251"/>
              <w:autoSpaceDE/>
              <w:autoSpaceDN/>
              <w:spacing w:line="0" w:lineRule="atLeast"/>
              <w:rPr>
                <w:rFonts w:ascii="Times New Roman" w:hAnsi="Times New Roman" w:cs="Times New Roman"/>
                <w:sz w:val="21"/>
              </w:rPr>
            </w:pPr>
            <w:r>
              <w:rPr>
                <w:rFonts w:ascii="Times New Roman" w:hAnsi="Times New Roman" w:cs="Times New Roman"/>
                <w:sz w:val="21"/>
              </w:rPr>
              <w:t>污染环境空气</w:t>
            </w:r>
          </w:p>
        </w:tc>
        <w:tc>
          <w:tcPr>
            <w:tcW w:w="2012" w:type="pct"/>
            <w:noWrap w:val="0"/>
            <w:vAlign w:val="center"/>
          </w:tcPr>
          <w:p w14:paraId="63EBF4C6">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系统故障</w:t>
            </w:r>
          </w:p>
        </w:tc>
      </w:tr>
      <w:tr w14:paraId="2407B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22" w:type="pct"/>
            <w:noWrap w:val="0"/>
            <w:vAlign w:val="center"/>
          </w:tcPr>
          <w:p w14:paraId="6EE73224">
            <w:pPr>
              <w:pStyle w:val="2251"/>
              <w:autoSpaceDE/>
              <w:autoSpaceDN/>
              <w:spacing w:line="0" w:lineRule="atLeast"/>
              <w:ind w:firstLine="420" w:firstLineChars="200"/>
              <w:jc w:val="both"/>
              <w:rPr>
                <w:rFonts w:ascii="Times New Roman" w:hAnsi="Times New Roman" w:cs="Times New Roman"/>
                <w:sz w:val="21"/>
              </w:rPr>
            </w:pPr>
            <w:r>
              <w:rPr>
                <w:rFonts w:ascii="Times New Roman" w:hAnsi="Times New Roman" w:cs="Times New Roman"/>
                <w:sz w:val="21"/>
              </w:rPr>
              <w:t>猪粪发酵</w:t>
            </w:r>
          </w:p>
        </w:tc>
        <w:tc>
          <w:tcPr>
            <w:tcW w:w="939" w:type="pct"/>
            <w:noWrap w:val="0"/>
            <w:vAlign w:val="center"/>
          </w:tcPr>
          <w:p w14:paraId="20B9B577">
            <w:pPr>
              <w:pStyle w:val="2251"/>
              <w:autoSpaceDE/>
              <w:autoSpaceDN/>
              <w:spacing w:line="0" w:lineRule="atLeast"/>
              <w:jc w:val="both"/>
              <w:rPr>
                <w:rFonts w:ascii="Times New Roman" w:hAnsi="Times New Roman" w:cs="Times New Roman"/>
                <w:sz w:val="21"/>
              </w:rPr>
            </w:pPr>
            <w:r>
              <w:rPr>
                <w:rFonts w:ascii="Times New Roman" w:hAnsi="Times New Roman" w:cs="Times New Roman"/>
                <w:sz w:val="21"/>
              </w:rPr>
              <w:t>发酵臭气增加</w:t>
            </w:r>
          </w:p>
        </w:tc>
        <w:tc>
          <w:tcPr>
            <w:tcW w:w="1025" w:type="pct"/>
            <w:vMerge w:val="continue"/>
            <w:tcBorders>
              <w:top w:val="nil"/>
            </w:tcBorders>
            <w:noWrap w:val="0"/>
            <w:vAlign w:val="center"/>
          </w:tcPr>
          <w:p w14:paraId="6D50779E">
            <w:pPr>
              <w:spacing w:line="0" w:lineRule="atLeast"/>
              <w:ind w:firstLine="40" w:firstLineChars="200"/>
              <w:rPr>
                <w:sz w:val="2"/>
                <w:szCs w:val="2"/>
              </w:rPr>
            </w:pPr>
          </w:p>
        </w:tc>
        <w:tc>
          <w:tcPr>
            <w:tcW w:w="2012" w:type="pct"/>
            <w:noWrap w:val="0"/>
            <w:vAlign w:val="center"/>
          </w:tcPr>
          <w:p w14:paraId="3AE4CB40">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接受单位未能正常接纳</w:t>
            </w:r>
          </w:p>
        </w:tc>
      </w:tr>
      <w:tr w14:paraId="2E0C5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22" w:type="pct"/>
            <w:noWrap w:val="0"/>
            <w:vAlign w:val="center"/>
          </w:tcPr>
          <w:p w14:paraId="77093907">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猪只生疫情</w:t>
            </w:r>
          </w:p>
        </w:tc>
        <w:tc>
          <w:tcPr>
            <w:tcW w:w="939" w:type="pct"/>
            <w:noWrap w:val="0"/>
            <w:vAlign w:val="center"/>
          </w:tcPr>
          <w:p w14:paraId="16100450">
            <w:pPr>
              <w:pStyle w:val="2251"/>
              <w:autoSpaceDE/>
              <w:autoSpaceDN/>
              <w:spacing w:line="0" w:lineRule="atLeast"/>
              <w:jc w:val="both"/>
              <w:rPr>
                <w:rFonts w:ascii="Times New Roman" w:hAnsi="Times New Roman" w:cs="Times New Roman"/>
                <w:sz w:val="21"/>
              </w:rPr>
            </w:pPr>
            <w:r>
              <w:rPr>
                <w:rFonts w:ascii="Times New Roman" w:hAnsi="Times New Roman" w:cs="Times New Roman"/>
                <w:sz w:val="21"/>
              </w:rPr>
              <w:t>H1N1等疫情</w:t>
            </w:r>
          </w:p>
        </w:tc>
        <w:tc>
          <w:tcPr>
            <w:tcW w:w="1025" w:type="pct"/>
            <w:noWrap w:val="0"/>
            <w:vAlign w:val="center"/>
          </w:tcPr>
          <w:p w14:paraId="0D92A2A0">
            <w:pPr>
              <w:pStyle w:val="2251"/>
              <w:autoSpaceDE/>
              <w:autoSpaceDN/>
              <w:spacing w:line="0" w:lineRule="atLeast"/>
              <w:jc w:val="both"/>
              <w:rPr>
                <w:rFonts w:ascii="Times New Roman" w:hAnsi="Times New Roman" w:cs="Times New Roman"/>
                <w:sz w:val="21"/>
              </w:rPr>
            </w:pPr>
            <w:r>
              <w:rPr>
                <w:rFonts w:ascii="Times New Roman" w:hAnsi="Times New Roman" w:cs="Times New Roman"/>
                <w:sz w:val="21"/>
              </w:rPr>
              <w:t>传染其它畜禽、人</w:t>
            </w:r>
          </w:p>
        </w:tc>
        <w:tc>
          <w:tcPr>
            <w:tcW w:w="2012" w:type="pct"/>
            <w:noWrap w:val="0"/>
            <w:vAlign w:val="center"/>
          </w:tcPr>
          <w:p w14:paraId="3AD963A3">
            <w:pPr>
              <w:pStyle w:val="2251"/>
              <w:autoSpaceDE/>
              <w:autoSpaceDN/>
              <w:spacing w:line="0" w:lineRule="atLeast"/>
              <w:ind w:firstLine="420" w:firstLineChars="200"/>
              <w:jc w:val="center"/>
              <w:rPr>
                <w:rFonts w:ascii="Times New Roman" w:hAnsi="Times New Roman" w:cs="Times New Roman"/>
                <w:sz w:val="21"/>
              </w:rPr>
            </w:pPr>
            <w:r>
              <w:rPr>
                <w:rFonts w:ascii="Times New Roman" w:hAnsi="Times New Roman" w:cs="Times New Roman"/>
                <w:sz w:val="21"/>
              </w:rPr>
              <w:t>病猪排出的粪尿和尸体中含有病原菌会造成水污染</w:t>
            </w:r>
          </w:p>
        </w:tc>
      </w:tr>
    </w:tbl>
    <w:p w14:paraId="4798FE96">
      <w:pPr>
        <w:pStyle w:val="2078"/>
        <w:tabs>
          <w:tab w:val="left" w:pos="1706"/>
        </w:tabs>
        <w:spacing w:before="74"/>
        <w:ind w:left="420" w:leftChars="200" w:firstLine="0" w:firstLineChars="0"/>
        <w:jc w:val="left"/>
        <w:rPr>
          <w:sz w:val="24"/>
        </w:rPr>
      </w:pPr>
      <w:bookmarkStart w:id="182" w:name="_Toc4082_WPSOffice_Level3"/>
      <w:r>
        <w:rPr>
          <w:sz w:val="24"/>
        </w:rPr>
        <w:t>（3）环境风险类型及环境影响途径</w:t>
      </w:r>
      <w:bookmarkEnd w:id="182"/>
    </w:p>
    <w:p w14:paraId="4D1941EC">
      <w:pPr>
        <w:pStyle w:val="35"/>
        <w:spacing w:before="160" w:line="364" w:lineRule="auto"/>
        <w:ind w:right="451" w:firstLine="480" w:firstLineChars="200"/>
      </w:pPr>
      <w:r>
        <w:rPr>
          <w:sz w:val="24"/>
        </w:rPr>
        <w:t>项目环境风险类型及环境影响途径主要为废气氨气、硫化氢扩散对周边环境空气的影响。污水处理池废水可能溢流进入地表水、地下水，另外发生疫情时病原菌可能进入地表水造成水体污染。</w:t>
      </w:r>
    </w:p>
    <w:p w14:paraId="0C74AE57">
      <w:pPr>
        <w:pStyle w:val="2078"/>
        <w:tabs>
          <w:tab w:val="left" w:pos="1706"/>
        </w:tabs>
        <w:spacing w:before="3" w:line="360" w:lineRule="auto"/>
        <w:ind w:left="420" w:leftChars="200" w:firstLine="0" w:firstLineChars="0"/>
        <w:jc w:val="left"/>
        <w:rPr>
          <w:sz w:val="24"/>
        </w:rPr>
      </w:pPr>
      <w:bookmarkStart w:id="183" w:name="_Toc8569_WPSOffice_Level3"/>
      <w:r>
        <w:rPr>
          <w:sz w:val="24"/>
        </w:rPr>
        <w:t>（4）可能受影响的环境敏感目标</w:t>
      </w:r>
      <w:bookmarkEnd w:id="183"/>
    </w:p>
    <w:p w14:paraId="53B7EF77">
      <w:pPr>
        <w:spacing w:line="360" w:lineRule="auto"/>
        <w:ind w:firstLine="480" w:firstLineChars="200"/>
        <w:rPr>
          <w:sz w:val="24"/>
        </w:rPr>
      </w:pPr>
      <w:r>
        <w:rPr>
          <w:sz w:val="24"/>
        </w:rPr>
        <w:t>废气氨气、硫化氢、臭气可能对相对较近的敏感点造成影响；污水溢流厂界，对外水质造成影响，污水溢流进入土壤、地下水，可能污染地下水。</w:t>
      </w:r>
    </w:p>
    <w:p w14:paraId="37D17904">
      <w:pPr>
        <w:pStyle w:val="6"/>
        <w:rPr>
          <w:rFonts w:ascii="Times New Roman" w:hAnsi="Times New Roman"/>
        </w:rPr>
      </w:pPr>
      <w:bookmarkStart w:id="184" w:name="_Toc21990"/>
      <w:bookmarkStart w:id="185" w:name="_Toc27060"/>
      <w:bookmarkStart w:id="186" w:name="_Toc29809"/>
      <w:bookmarkStart w:id="187" w:name="_Toc24322_WPSOffice_Level2"/>
      <w:bookmarkStart w:id="188" w:name="_Toc31449"/>
      <w:r>
        <w:rPr>
          <w:rFonts w:ascii="Times New Roman" w:hAnsi="Times New Roman"/>
          <w:sz w:val="30"/>
          <w:szCs w:val="30"/>
        </w:rPr>
        <w:t>6.2</w:t>
      </w:r>
      <w:r>
        <w:rPr>
          <w:rFonts w:ascii="Times New Roman" w:hAnsi="Times New Roman"/>
          <w:sz w:val="30"/>
          <w:szCs w:val="30"/>
          <w:lang w:val="zh-TW"/>
        </w:rPr>
        <w:t>评价工作等级及范围</w:t>
      </w:r>
      <w:bookmarkEnd w:id="184"/>
      <w:bookmarkEnd w:id="185"/>
      <w:bookmarkEnd w:id="186"/>
      <w:bookmarkEnd w:id="187"/>
      <w:bookmarkEnd w:id="188"/>
    </w:p>
    <w:p w14:paraId="089220A8">
      <w:pPr>
        <w:pStyle w:val="1346"/>
        <w:shd w:val="clear" w:color="auto" w:fill="auto"/>
        <w:spacing w:line="360" w:lineRule="auto"/>
        <w:ind w:left="20" w:right="20" w:firstLine="520"/>
        <w:rPr>
          <w:rStyle w:val="298"/>
          <w:rFonts w:ascii="Times New Roman" w:hAnsi="Times New Roman" w:eastAsia="宋体" w:cs="Times New Roman"/>
          <w:color w:val="auto"/>
          <w:sz w:val="24"/>
        </w:rPr>
      </w:pPr>
      <w:bookmarkStart w:id="189" w:name="_Toc31682"/>
      <w:bookmarkStart w:id="190" w:name="bookmark115"/>
      <w:bookmarkStart w:id="191" w:name="_Toc9356_WPSOffice_Level2"/>
      <w:r>
        <w:rPr>
          <w:rStyle w:val="298"/>
          <w:rFonts w:ascii="Times New Roman" w:hAnsi="Times New Roman" w:eastAsia="宋体" w:cs="Times New Roman"/>
          <w:color w:val="auto"/>
          <w:sz w:val="24"/>
        </w:rPr>
        <w:t>按照《建设项目环境风险评价技术导则》（HJ/T169－20</w:t>
      </w:r>
      <w:r>
        <w:rPr>
          <w:rStyle w:val="298"/>
          <w:rFonts w:ascii="Times New Roman" w:hAnsi="Times New Roman" w:eastAsia="宋体" w:cs="Times New Roman"/>
          <w:color w:val="auto"/>
          <w:sz w:val="24"/>
          <w:lang w:val="en-US"/>
        </w:rPr>
        <w:t>18</w:t>
      </w:r>
      <w:r>
        <w:rPr>
          <w:rStyle w:val="298"/>
          <w:rFonts w:ascii="Times New Roman" w:hAnsi="Times New Roman" w:eastAsia="宋体" w:cs="Times New Roman"/>
          <w:color w:val="auto"/>
          <w:sz w:val="24"/>
        </w:rPr>
        <w:t>）评价工作等级划分依据，根据建设项目涉及的物质及工艺系统的危险性和所在地的环境敏感性确定环境风险潜势，再根据环境风险潜势确定评价等级，具体如下：</w:t>
      </w:r>
    </w:p>
    <w:p w14:paraId="0E8991F1">
      <w:pPr>
        <w:ind w:firstLine="480"/>
        <w:jc w:val="center"/>
        <w:rPr>
          <w:b/>
          <w:bCs/>
          <w:sz w:val="24"/>
        </w:rPr>
      </w:pPr>
      <w:r>
        <w:rPr>
          <w:b/>
          <w:bCs/>
          <w:sz w:val="24"/>
        </w:rPr>
        <w:t>表6.2-1  评价工作等级划分</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5"/>
        <w:gridCol w:w="1703"/>
        <w:gridCol w:w="1705"/>
        <w:gridCol w:w="1707"/>
      </w:tblGrid>
      <w:tr w14:paraId="00B7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pct"/>
            <w:shd w:val="pct10" w:color="auto" w:fill="auto"/>
            <w:noWrap w:val="0"/>
            <w:vAlign w:val="top"/>
          </w:tcPr>
          <w:p w14:paraId="2C56CC05">
            <w:pPr>
              <w:rPr>
                <w:b/>
                <w:bCs/>
                <w:szCs w:val="21"/>
              </w:rPr>
            </w:pPr>
            <w:r>
              <w:rPr>
                <w:b/>
                <w:bCs/>
                <w:szCs w:val="21"/>
              </w:rPr>
              <w:t>环境风险潜势</w:t>
            </w:r>
          </w:p>
        </w:tc>
        <w:tc>
          <w:tcPr>
            <w:tcW w:w="1000" w:type="pct"/>
            <w:noWrap w:val="0"/>
            <w:vAlign w:val="top"/>
          </w:tcPr>
          <w:p w14:paraId="7057BDF4">
            <w:pPr>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rPr>
              <w:t>，</w:t>
            </w: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vertAlign w:val="superscript"/>
              </w:rPr>
              <w:t>+</w:t>
            </w:r>
          </w:p>
        </w:tc>
        <w:tc>
          <w:tcPr>
            <w:tcW w:w="999" w:type="pct"/>
            <w:noWrap w:val="0"/>
            <w:vAlign w:val="top"/>
          </w:tcPr>
          <w:p w14:paraId="082F7B1A">
            <w:pPr>
              <w:rPr>
                <w:szCs w:val="21"/>
              </w:rPr>
            </w:pPr>
            <w:r>
              <w:rPr>
                <w:szCs w:val="21"/>
              </w:rPr>
              <w:fldChar w:fldCharType="begin"/>
            </w:r>
            <w:r>
              <w:rPr>
                <w:szCs w:val="21"/>
              </w:rPr>
              <w:instrText xml:space="preserve"> = 3 \* ROMAN \* MERGEFORMAT </w:instrText>
            </w:r>
            <w:r>
              <w:rPr>
                <w:szCs w:val="21"/>
              </w:rPr>
              <w:fldChar w:fldCharType="separate"/>
            </w:r>
            <w:r>
              <w:t>III</w:t>
            </w:r>
            <w:r>
              <w:rPr>
                <w:szCs w:val="21"/>
              </w:rPr>
              <w:fldChar w:fldCharType="end"/>
            </w:r>
          </w:p>
        </w:tc>
        <w:tc>
          <w:tcPr>
            <w:tcW w:w="1000" w:type="pct"/>
            <w:noWrap w:val="0"/>
            <w:vAlign w:val="top"/>
          </w:tcPr>
          <w:p w14:paraId="3A71F675">
            <w:pPr>
              <w:rPr>
                <w:szCs w:val="21"/>
              </w:rPr>
            </w:pPr>
            <w:r>
              <w:rPr>
                <w:szCs w:val="21"/>
              </w:rPr>
              <w:fldChar w:fldCharType="begin"/>
            </w:r>
            <w:r>
              <w:rPr>
                <w:szCs w:val="21"/>
              </w:rPr>
              <w:instrText xml:space="preserve"> = 2 \* ROMAN \* MERGEFORMAT </w:instrText>
            </w:r>
            <w:r>
              <w:rPr>
                <w:szCs w:val="21"/>
              </w:rPr>
              <w:fldChar w:fldCharType="separate"/>
            </w:r>
            <w:r>
              <w:t>II</w:t>
            </w:r>
            <w:r>
              <w:rPr>
                <w:szCs w:val="21"/>
              </w:rPr>
              <w:fldChar w:fldCharType="end"/>
            </w:r>
          </w:p>
        </w:tc>
        <w:tc>
          <w:tcPr>
            <w:tcW w:w="1000" w:type="pct"/>
            <w:noWrap w:val="0"/>
            <w:vAlign w:val="top"/>
          </w:tcPr>
          <w:p w14:paraId="5EBD71FA">
            <w:pPr>
              <w:ind w:firstLine="840" w:firstLineChars="400"/>
              <w:rPr>
                <w:szCs w:val="21"/>
              </w:rPr>
            </w:pPr>
            <w:r>
              <w:rPr>
                <w:szCs w:val="21"/>
              </w:rPr>
              <w:fldChar w:fldCharType="begin"/>
            </w:r>
            <w:r>
              <w:rPr>
                <w:szCs w:val="21"/>
              </w:rPr>
              <w:instrText xml:space="preserve"> = 1 \* ROMAN \* MERGEFORMAT </w:instrText>
            </w:r>
            <w:r>
              <w:rPr>
                <w:szCs w:val="21"/>
              </w:rPr>
              <w:fldChar w:fldCharType="separate"/>
            </w:r>
            <w:r>
              <w:t>I</w:t>
            </w:r>
            <w:r>
              <w:rPr>
                <w:szCs w:val="21"/>
              </w:rPr>
              <w:fldChar w:fldCharType="end"/>
            </w:r>
          </w:p>
        </w:tc>
      </w:tr>
      <w:tr w14:paraId="3BA0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pct10" w:color="auto" w:fill="auto"/>
            <w:noWrap w:val="0"/>
            <w:vAlign w:val="top"/>
          </w:tcPr>
          <w:p w14:paraId="2F471A3A">
            <w:pPr>
              <w:rPr>
                <w:b/>
                <w:bCs/>
                <w:szCs w:val="21"/>
              </w:rPr>
            </w:pPr>
            <w:r>
              <w:rPr>
                <w:b/>
                <w:bCs/>
                <w:szCs w:val="21"/>
              </w:rPr>
              <w:t>评价工作等级</w:t>
            </w:r>
          </w:p>
        </w:tc>
        <w:tc>
          <w:tcPr>
            <w:tcW w:w="1000" w:type="pct"/>
            <w:noWrap w:val="0"/>
            <w:vAlign w:val="top"/>
          </w:tcPr>
          <w:p w14:paraId="3B7E4DDD">
            <w:pPr>
              <w:jc w:val="center"/>
              <w:rPr>
                <w:szCs w:val="21"/>
              </w:rPr>
            </w:pPr>
            <w:r>
              <w:rPr>
                <w:szCs w:val="21"/>
              </w:rPr>
              <w:t>一</w:t>
            </w:r>
          </w:p>
        </w:tc>
        <w:tc>
          <w:tcPr>
            <w:tcW w:w="999" w:type="pct"/>
            <w:noWrap w:val="0"/>
            <w:vAlign w:val="top"/>
          </w:tcPr>
          <w:p w14:paraId="53410E5C">
            <w:pPr>
              <w:jc w:val="center"/>
              <w:rPr>
                <w:szCs w:val="21"/>
              </w:rPr>
            </w:pPr>
            <w:r>
              <w:rPr>
                <w:szCs w:val="21"/>
              </w:rPr>
              <w:t>二</w:t>
            </w:r>
          </w:p>
        </w:tc>
        <w:tc>
          <w:tcPr>
            <w:tcW w:w="1000" w:type="pct"/>
            <w:noWrap w:val="0"/>
            <w:vAlign w:val="top"/>
          </w:tcPr>
          <w:p w14:paraId="201C010A">
            <w:pPr>
              <w:jc w:val="center"/>
              <w:rPr>
                <w:szCs w:val="21"/>
              </w:rPr>
            </w:pPr>
            <w:r>
              <w:rPr>
                <w:szCs w:val="21"/>
              </w:rPr>
              <w:t>三</w:t>
            </w:r>
          </w:p>
        </w:tc>
        <w:tc>
          <w:tcPr>
            <w:tcW w:w="1000" w:type="pct"/>
            <w:noWrap w:val="0"/>
            <w:vAlign w:val="top"/>
          </w:tcPr>
          <w:p w14:paraId="7BE1B841">
            <w:pPr>
              <w:jc w:val="center"/>
              <w:rPr>
                <w:szCs w:val="21"/>
              </w:rPr>
            </w:pPr>
            <w:r>
              <w:rPr>
                <w:szCs w:val="21"/>
              </w:rPr>
              <w:t>简单分析</w:t>
            </w:r>
            <w:r>
              <w:rPr>
                <w:szCs w:val="21"/>
                <w:vertAlign w:val="superscript"/>
              </w:rPr>
              <w:t>a</w:t>
            </w:r>
          </w:p>
        </w:tc>
      </w:tr>
      <w:tr w14:paraId="2F65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14:paraId="2E77DA82">
            <w:pPr>
              <w:rPr>
                <w:szCs w:val="21"/>
              </w:rPr>
            </w:pPr>
            <w:r>
              <w:rPr>
                <w:szCs w:val="21"/>
              </w:rPr>
              <w:t>a是相对于详细评价工作内容而言，在描述危险物质、环境影响途径、环境危害后果、风险防范措施等方面给出定性的说明。见附录A</w:t>
            </w:r>
          </w:p>
        </w:tc>
      </w:tr>
    </w:tbl>
    <w:p w14:paraId="066A1358">
      <w:pPr>
        <w:ind w:firstLine="480"/>
        <w:jc w:val="center"/>
        <w:rPr>
          <w:b/>
          <w:bCs/>
          <w:sz w:val="24"/>
        </w:rPr>
      </w:pPr>
      <w:r>
        <w:rPr>
          <w:b/>
          <w:bCs/>
          <w:sz w:val="24"/>
        </w:rPr>
        <w:t>表6.2-2  建设项目环境风险潜势划分</w:t>
      </w:r>
    </w:p>
    <w:tbl>
      <w:tblPr>
        <w:tblStyle w:val="8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431"/>
        <w:gridCol w:w="1490"/>
        <w:gridCol w:w="1703"/>
        <w:gridCol w:w="1713"/>
      </w:tblGrid>
      <w:tr w14:paraId="1D88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pct"/>
            <w:vMerge w:val="restart"/>
            <w:shd w:val="pct10" w:color="auto" w:fill="auto"/>
            <w:noWrap w:val="0"/>
            <w:vAlign w:val="center"/>
          </w:tcPr>
          <w:p w14:paraId="5568C8EB">
            <w:pPr>
              <w:jc w:val="center"/>
              <w:rPr>
                <w:b/>
                <w:bCs/>
                <w:szCs w:val="21"/>
              </w:rPr>
            </w:pPr>
            <w:r>
              <w:rPr>
                <w:b/>
                <w:bCs/>
                <w:szCs w:val="21"/>
              </w:rPr>
              <w:t>环境敏感程度（E）</w:t>
            </w:r>
          </w:p>
        </w:tc>
        <w:tc>
          <w:tcPr>
            <w:tcW w:w="3715" w:type="pct"/>
            <w:gridSpan w:val="4"/>
            <w:noWrap w:val="0"/>
            <w:vAlign w:val="top"/>
          </w:tcPr>
          <w:p w14:paraId="030C0ECB">
            <w:pPr>
              <w:rPr>
                <w:szCs w:val="21"/>
              </w:rPr>
            </w:pPr>
            <w:r>
              <w:rPr>
                <w:szCs w:val="21"/>
              </w:rPr>
              <w:t>危险物质及工艺系统危险性（P）</w:t>
            </w:r>
          </w:p>
        </w:tc>
      </w:tr>
      <w:tr w14:paraId="7EE5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pct"/>
            <w:vMerge w:val="continue"/>
            <w:shd w:val="pct10" w:color="auto" w:fill="auto"/>
            <w:noWrap w:val="0"/>
            <w:vAlign w:val="center"/>
          </w:tcPr>
          <w:p w14:paraId="0A7AA1D7">
            <w:pPr>
              <w:jc w:val="center"/>
              <w:rPr>
                <w:b/>
                <w:bCs/>
                <w:szCs w:val="21"/>
              </w:rPr>
            </w:pPr>
          </w:p>
        </w:tc>
        <w:tc>
          <w:tcPr>
            <w:tcW w:w="839" w:type="pct"/>
            <w:noWrap w:val="0"/>
            <w:vAlign w:val="top"/>
          </w:tcPr>
          <w:p w14:paraId="73798318">
            <w:pPr>
              <w:rPr>
                <w:szCs w:val="21"/>
              </w:rPr>
            </w:pPr>
            <w:r>
              <w:rPr>
                <w:szCs w:val="21"/>
              </w:rPr>
              <w:t>极高危害（P1）</w:t>
            </w:r>
          </w:p>
        </w:tc>
        <w:tc>
          <w:tcPr>
            <w:tcW w:w="874" w:type="pct"/>
            <w:noWrap w:val="0"/>
            <w:vAlign w:val="top"/>
          </w:tcPr>
          <w:p w14:paraId="0DB2335B">
            <w:pPr>
              <w:rPr>
                <w:szCs w:val="21"/>
              </w:rPr>
            </w:pPr>
            <w:r>
              <w:rPr>
                <w:szCs w:val="21"/>
              </w:rPr>
              <w:t>高度危害（P2）</w:t>
            </w:r>
          </w:p>
        </w:tc>
        <w:tc>
          <w:tcPr>
            <w:tcW w:w="999" w:type="pct"/>
            <w:noWrap w:val="0"/>
            <w:vAlign w:val="top"/>
          </w:tcPr>
          <w:p w14:paraId="5DB8B7F3">
            <w:pPr>
              <w:rPr>
                <w:szCs w:val="21"/>
              </w:rPr>
            </w:pPr>
            <w:r>
              <w:rPr>
                <w:szCs w:val="21"/>
              </w:rPr>
              <w:t>中度危害（P3）</w:t>
            </w:r>
          </w:p>
        </w:tc>
        <w:tc>
          <w:tcPr>
            <w:tcW w:w="1000" w:type="pct"/>
            <w:noWrap w:val="0"/>
            <w:vAlign w:val="top"/>
          </w:tcPr>
          <w:p w14:paraId="6F4318F0">
            <w:pPr>
              <w:rPr>
                <w:szCs w:val="21"/>
              </w:rPr>
            </w:pPr>
            <w:r>
              <w:rPr>
                <w:szCs w:val="21"/>
              </w:rPr>
              <w:t>轻度危害（P4）</w:t>
            </w:r>
          </w:p>
        </w:tc>
      </w:tr>
      <w:tr w14:paraId="7148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pct"/>
            <w:shd w:val="pct10" w:color="auto" w:fill="auto"/>
            <w:noWrap w:val="0"/>
            <w:vAlign w:val="center"/>
          </w:tcPr>
          <w:p w14:paraId="0029DE2B">
            <w:pPr>
              <w:jc w:val="center"/>
              <w:rPr>
                <w:b/>
                <w:bCs/>
                <w:szCs w:val="21"/>
              </w:rPr>
            </w:pPr>
            <w:r>
              <w:rPr>
                <w:b/>
                <w:bCs/>
                <w:szCs w:val="21"/>
              </w:rPr>
              <w:t>环境高度敏感区（E1）</w:t>
            </w:r>
          </w:p>
        </w:tc>
        <w:tc>
          <w:tcPr>
            <w:tcW w:w="839" w:type="pct"/>
            <w:noWrap w:val="0"/>
            <w:vAlign w:val="top"/>
          </w:tcPr>
          <w:p w14:paraId="3C2CBC01">
            <w:pPr>
              <w:ind w:firstLine="420" w:firstLineChars="200"/>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rPr>
              <w:t>+</w:t>
            </w:r>
          </w:p>
        </w:tc>
        <w:tc>
          <w:tcPr>
            <w:tcW w:w="874" w:type="pct"/>
            <w:noWrap w:val="0"/>
            <w:vAlign w:val="top"/>
          </w:tcPr>
          <w:p w14:paraId="22B28302">
            <w:pPr>
              <w:ind w:firstLine="420" w:firstLineChars="200"/>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p>
        </w:tc>
        <w:tc>
          <w:tcPr>
            <w:tcW w:w="999" w:type="pct"/>
            <w:noWrap w:val="0"/>
            <w:vAlign w:val="top"/>
          </w:tcPr>
          <w:p w14:paraId="2F203367">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1000" w:type="pct"/>
            <w:noWrap w:val="0"/>
            <w:vAlign w:val="top"/>
          </w:tcPr>
          <w:p w14:paraId="49F3DF29">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r>
      <w:tr w14:paraId="719B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pct"/>
            <w:shd w:val="pct10" w:color="auto" w:fill="auto"/>
            <w:noWrap w:val="0"/>
            <w:vAlign w:val="center"/>
          </w:tcPr>
          <w:p w14:paraId="2F915C01">
            <w:pPr>
              <w:jc w:val="center"/>
              <w:rPr>
                <w:b/>
                <w:bCs/>
                <w:szCs w:val="21"/>
              </w:rPr>
            </w:pPr>
            <w:r>
              <w:rPr>
                <w:b/>
                <w:bCs/>
                <w:szCs w:val="21"/>
              </w:rPr>
              <w:t>环境中度敏感区（E2）</w:t>
            </w:r>
          </w:p>
        </w:tc>
        <w:tc>
          <w:tcPr>
            <w:tcW w:w="839" w:type="pct"/>
            <w:noWrap w:val="0"/>
            <w:vAlign w:val="top"/>
          </w:tcPr>
          <w:p w14:paraId="7C8940CB">
            <w:pPr>
              <w:ind w:firstLine="420" w:firstLineChars="200"/>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p>
        </w:tc>
        <w:tc>
          <w:tcPr>
            <w:tcW w:w="874" w:type="pct"/>
            <w:noWrap w:val="0"/>
            <w:vAlign w:val="top"/>
          </w:tcPr>
          <w:p w14:paraId="714455B7">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999" w:type="pct"/>
            <w:noWrap w:val="0"/>
            <w:vAlign w:val="top"/>
          </w:tcPr>
          <w:p w14:paraId="1FC85C33">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1000" w:type="pct"/>
            <w:noWrap w:val="0"/>
            <w:vAlign w:val="top"/>
          </w:tcPr>
          <w:p w14:paraId="2DCBAF38">
            <w:pPr>
              <w:ind w:firstLine="420" w:firstLineChars="200"/>
              <w:rPr>
                <w:szCs w:val="21"/>
              </w:rPr>
            </w:pPr>
            <w:r>
              <w:rPr>
                <w:szCs w:val="21"/>
              </w:rPr>
              <w:fldChar w:fldCharType="begin"/>
            </w:r>
            <w:r>
              <w:rPr>
                <w:szCs w:val="21"/>
              </w:rPr>
              <w:instrText xml:space="preserve"> = 2 \* ROMAN \* MERGEFORMAT </w:instrText>
            </w:r>
            <w:r>
              <w:rPr>
                <w:szCs w:val="21"/>
              </w:rPr>
              <w:fldChar w:fldCharType="separate"/>
            </w:r>
            <w:r>
              <w:rPr>
                <w:szCs w:val="21"/>
              </w:rPr>
              <w:t>II</w:t>
            </w:r>
            <w:r>
              <w:rPr>
                <w:szCs w:val="21"/>
              </w:rPr>
              <w:fldChar w:fldCharType="end"/>
            </w:r>
          </w:p>
        </w:tc>
      </w:tr>
      <w:tr w14:paraId="1CB2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pct"/>
            <w:shd w:val="pct10" w:color="auto" w:fill="auto"/>
            <w:noWrap w:val="0"/>
            <w:vAlign w:val="center"/>
          </w:tcPr>
          <w:p w14:paraId="2B0053F3">
            <w:pPr>
              <w:jc w:val="center"/>
              <w:rPr>
                <w:b/>
                <w:bCs/>
                <w:szCs w:val="21"/>
              </w:rPr>
            </w:pPr>
            <w:r>
              <w:rPr>
                <w:b/>
                <w:bCs/>
                <w:szCs w:val="21"/>
              </w:rPr>
              <w:t>环境低度敏感区（E3）</w:t>
            </w:r>
          </w:p>
        </w:tc>
        <w:tc>
          <w:tcPr>
            <w:tcW w:w="839" w:type="pct"/>
            <w:noWrap w:val="0"/>
            <w:vAlign w:val="top"/>
          </w:tcPr>
          <w:p w14:paraId="5B716965">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874" w:type="pct"/>
            <w:noWrap w:val="0"/>
            <w:vAlign w:val="top"/>
          </w:tcPr>
          <w:p w14:paraId="60E160B1">
            <w:pPr>
              <w:ind w:firstLine="420" w:firstLineChars="200"/>
              <w:rPr>
                <w:szCs w:val="21"/>
              </w:rPr>
            </w:pP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p>
        </w:tc>
        <w:tc>
          <w:tcPr>
            <w:tcW w:w="999" w:type="pct"/>
            <w:noWrap w:val="0"/>
            <w:vAlign w:val="top"/>
          </w:tcPr>
          <w:p w14:paraId="76112111">
            <w:pPr>
              <w:ind w:firstLine="420" w:firstLineChars="200"/>
              <w:rPr>
                <w:szCs w:val="21"/>
              </w:rPr>
            </w:pPr>
            <w:r>
              <w:rPr>
                <w:szCs w:val="21"/>
              </w:rPr>
              <w:fldChar w:fldCharType="begin"/>
            </w:r>
            <w:r>
              <w:rPr>
                <w:szCs w:val="21"/>
              </w:rPr>
              <w:instrText xml:space="preserve"> = 2 \* ROMAN \* MERGEFORMAT </w:instrText>
            </w:r>
            <w:r>
              <w:rPr>
                <w:szCs w:val="21"/>
              </w:rPr>
              <w:fldChar w:fldCharType="separate"/>
            </w:r>
            <w:r>
              <w:rPr>
                <w:szCs w:val="21"/>
              </w:rPr>
              <w:t>II</w:t>
            </w:r>
            <w:r>
              <w:rPr>
                <w:szCs w:val="21"/>
              </w:rPr>
              <w:fldChar w:fldCharType="end"/>
            </w:r>
          </w:p>
        </w:tc>
        <w:tc>
          <w:tcPr>
            <w:tcW w:w="1000" w:type="pct"/>
            <w:noWrap w:val="0"/>
            <w:vAlign w:val="top"/>
          </w:tcPr>
          <w:p w14:paraId="33D3A930">
            <w:pPr>
              <w:ind w:firstLine="420" w:firstLineChars="200"/>
              <w:rPr>
                <w:szCs w:val="21"/>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r>
      <w:tr w14:paraId="441C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14:paraId="0A752EED">
            <w:pPr>
              <w:rPr>
                <w:szCs w:val="21"/>
              </w:rPr>
            </w:pPr>
            <w:r>
              <w:rPr>
                <w:szCs w:val="21"/>
              </w:rPr>
              <w:t>注：</w:t>
            </w: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vertAlign w:val="superscript"/>
              </w:rPr>
              <w:t>+</w:t>
            </w:r>
            <w:r>
              <w:rPr>
                <w:szCs w:val="21"/>
              </w:rPr>
              <w:t>为极高环境风险</w:t>
            </w:r>
          </w:p>
        </w:tc>
      </w:tr>
      <w:bookmarkEnd w:id="189"/>
      <w:bookmarkEnd w:id="190"/>
      <w:bookmarkEnd w:id="191"/>
    </w:tbl>
    <w:p w14:paraId="61025C01">
      <w:pPr>
        <w:pStyle w:val="1346"/>
        <w:shd w:val="clear" w:color="auto" w:fill="auto"/>
        <w:spacing w:line="360" w:lineRule="auto"/>
        <w:ind w:right="20" w:firstLine="520" w:firstLineChars="200"/>
        <w:rPr>
          <w:rStyle w:val="298"/>
          <w:rFonts w:ascii="Times New Roman" w:hAnsi="Times New Roman" w:eastAsia="宋体" w:cs="Times New Roman"/>
          <w:color w:val="auto"/>
          <w:sz w:val="24"/>
          <w:lang w:val="en-US"/>
        </w:rPr>
      </w:pPr>
      <w:r>
        <w:rPr>
          <w:rFonts w:ascii="Times New Roman" w:hAnsi="Times New Roman"/>
          <w:sz w:val="24"/>
          <w:szCs w:val="24"/>
        </w:rPr>
        <w:t>本项目</w:t>
      </w:r>
      <w:r>
        <w:rPr>
          <w:rFonts w:ascii="Times New Roman" w:hAnsi="Times New Roman" w:eastAsia="宋体"/>
          <w:sz w:val="24"/>
          <w:szCs w:val="24"/>
        </w:rPr>
        <w:t>风险物质为沼气</w:t>
      </w:r>
      <w:r>
        <w:rPr>
          <w:rStyle w:val="298"/>
          <w:rFonts w:ascii="Times New Roman" w:hAnsi="Times New Roman" w:eastAsia="宋体" w:cs="Times New Roman"/>
          <w:color w:val="auto"/>
          <w:sz w:val="24"/>
          <w:lang w:val="en-US"/>
        </w:rPr>
        <w:t>，储存量较小，项目Q划分于Q＜1。</w:t>
      </w:r>
    </w:p>
    <w:p w14:paraId="3F39630C">
      <w:pPr>
        <w:pStyle w:val="1360"/>
        <w:shd w:val="clear" w:color="auto" w:fill="auto"/>
        <w:spacing w:line="360" w:lineRule="auto"/>
        <w:ind w:firstLine="480" w:firstLineChars="200"/>
        <w:rPr>
          <w:rStyle w:val="243"/>
          <w:rFonts w:ascii="Times New Roman" w:hAnsi="Times New Roman" w:eastAsia="宋体" w:cs="Times New Roman"/>
          <w:bCs/>
          <w:color w:val="auto"/>
          <w:sz w:val="24"/>
          <w:lang w:val="en-US"/>
        </w:rPr>
      </w:pPr>
      <w:r>
        <w:rPr>
          <w:rStyle w:val="243"/>
          <w:rFonts w:ascii="Times New Roman" w:hAnsi="Times New Roman" w:eastAsia="宋体" w:cs="Times New Roman"/>
          <w:bCs/>
          <w:color w:val="auto"/>
          <w:sz w:val="24"/>
          <w:lang w:val="en-US"/>
        </w:rPr>
        <w:t>故项目风险潜势为</w:t>
      </w:r>
      <w:r>
        <w:rPr>
          <w:rFonts w:ascii="Times New Roman" w:hAnsi="Times New Roman" w:eastAsia="宋体"/>
          <w:b w:val="0"/>
          <w:sz w:val="24"/>
        </w:rPr>
        <w:fldChar w:fldCharType="begin"/>
      </w:r>
      <w:r>
        <w:rPr>
          <w:rStyle w:val="243"/>
          <w:rFonts w:ascii="Times New Roman" w:hAnsi="Times New Roman" w:eastAsia="宋体" w:cs="Times New Roman"/>
          <w:bCs/>
          <w:color w:val="auto"/>
          <w:sz w:val="24"/>
          <w:lang w:val="en-US"/>
        </w:rPr>
        <w:instrText xml:space="preserve"> = 1 \* ROMAN \* MERGEFORMAT </w:instrText>
      </w:r>
      <w:r>
        <w:rPr>
          <w:rFonts w:ascii="Times New Roman" w:hAnsi="Times New Roman" w:eastAsia="宋体"/>
          <w:b w:val="0"/>
          <w:sz w:val="24"/>
        </w:rPr>
        <w:fldChar w:fldCharType="separate"/>
      </w:r>
      <w:r>
        <w:rPr>
          <w:rFonts w:ascii="Times New Roman" w:hAnsi="Times New Roman"/>
        </w:rPr>
        <w:t>I</w:t>
      </w:r>
      <w:r>
        <w:rPr>
          <w:rFonts w:ascii="Times New Roman" w:hAnsi="Times New Roman" w:eastAsia="宋体"/>
          <w:b w:val="0"/>
          <w:sz w:val="24"/>
        </w:rPr>
        <w:fldChar w:fldCharType="end"/>
      </w:r>
      <w:r>
        <w:rPr>
          <w:rStyle w:val="243"/>
          <w:rFonts w:ascii="Times New Roman" w:hAnsi="Times New Roman" w:eastAsia="宋体" w:cs="Times New Roman"/>
          <w:bCs/>
          <w:color w:val="auto"/>
          <w:sz w:val="24"/>
          <w:lang w:val="en-US"/>
        </w:rPr>
        <w:t>，风险评价等级为简单分析。</w:t>
      </w:r>
    </w:p>
    <w:p w14:paraId="00E08F12">
      <w:pPr>
        <w:pStyle w:val="593"/>
        <w:spacing w:after="0" w:line="360" w:lineRule="auto"/>
        <w:ind w:firstLine="480"/>
      </w:pPr>
      <w:r>
        <w:rPr>
          <w:bCs/>
        </w:rPr>
        <w:t>项目环境风险</w:t>
      </w:r>
      <w:r>
        <w:rPr>
          <w:rStyle w:val="243"/>
          <w:rFonts w:ascii="Times New Roman" w:hAnsi="Times New Roman" w:eastAsia="宋体" w:cs="Times New Roman"/>
          <w:b w:val="0"/>
          <w:color w:val="auto"/>
          <w:sz w:val="24"/>
          <w:szCs w:val="24"/>
          <w:lang w:val="en-US"/>
        </w:rPr>
        <w:t>潜势为</w:t>
      </w:r>
      <w:r>
        <w:rPr>
          <w:bCs/>
        </w:rPr>
        <w:fldChar w:fldCharType="begin"/>
      </w:r>
      <w:r>
        <w:rPr>
          <w:rStyle w:val="243"/>
          <w:rFonts w:ascii="Times New Roman" w:hAnsi="Times New Roman" w:eastAsia="宋体" w:cs="Times New Roman"/>
          <w:b w:val="0"/>
          <w:color w:val="auto"/>
          <w:sz w:val="24"/>
          <w:szCs w:val="24"/>
          <w:lang w:val="en-US"/>
        </w:rPr>
        <w:instrText xml:space="preserve"> = 1 \* ROMAN \* MERGEFORMAT </w:instrText>
      </w:r>
      <w:r>
        <w:rPr>
          <w:bCs/>
        </w:rPr>
        <w:fldChar w:fldCharType="separate"/>
      </w:r>
      <w:r>
        <w:t>I</w:t>
      </w:r>
      <w:r>
        <w:rPr>
          <w:bCs/>
        </w:rPr>
        <w:fldChar w:fldCharType="end"/>
      </w:r>
      <w:r>
        <w:rPr>
          <w:rStyle w:val="243"/>
          <w:rFonts w:ascii="Times New Roman" w:hAnsi="Times New Roman" w:eastAsia="宋体" w:cs="Times New Roman"/>
          <w:b w:val="0"/>
          <w:color w:val="auto"/>
          <w:sz w:val="24"/>
          <w:szCs w:val="24"/>
          <w:lang w:val="en-US"/>
        </w:rPr>
        <w:t>，风险评价等级为简单分析，故不设置环境风险评价范围。</w:t>
      </w:r>
    </w:p>
    <w:p w14:paraId="7C2DA608">
      <w:pPr>
        <w:pStyle w:val="6"/>
        <w:spacing w:before="0" w:after="0" w:line="360" w:lineRule="auto"/>
        <w:rPr>
          <w:rFonts w:ascii="Times New Roman" w:hAnsi="Times New Roman" w:eastAsia="宋体"/>
          <w:sz w:val="24"/>
          <w:szCs w:val="24"/>
        </w:rPr>
      </w:pPr>
      <w:bookmarkStart w:id="192" w:name="_Toc11172829"/>
      <w:bookmarkStart w:id="193" w:name="_Toc4559"/>
      <w:r>
        <w:rPr>
          <w:rFonts w:ascii="Times New Roman" w:hAnsi="Times New Roman" w:eastAsia="宋体"/>
          <w:sz w:val="24"/>
          <w:szCs w:val="24"/>
        </w:rPr>
        <w:t>6.3 环境风险分析</w:t>
      </w:r>
      <w:bookmarkEnd w:id="192"/>
      <w:bookmarkEnd w:id="193"/>
    </w:p>
    <w:p w14:paraId="163506F2">
      <w:pPr>
        <w:keepNext/>
        <w:keepLines/>
        <w:spacing w:line="360" w:lineRule="auto"/>
        <w:outlineLvl w:val="2"/>
        <w:rPr>
          <w:bCs/>
          <w:sz w:val="24"/>
        </w:rPr>
      </w:pPr>
      <w:r>
        <w:rPr>
          <w:b/>
          <w:sz w:val="24"/>
        </w:rPr>
        <w:t>6.3.1污水泄漏事故影响后果分析</w:t>
      </w:r>
    </w:p>
    <w:p w14:paraId="12A90A0A">
      <w:pPr>
        <w:adjustRightInd w:val="0"/>
        <w:snapToGrid w:val="0"/>
        <w:spacing w:line="360" w:lineRule="auto"/>
        <w:ind w:firstLine="480"/>
        <w:rPr>
          <w:sz w:val="24"/>
        </w:rPr>
      </w:pPr>
      <w:r>
        <w:rPr>
          <w:sz w:val="24"/>
        </w:rPr>
        <w:t>污水事故排放是指粪污水未经处理，直接排放的情况。废水直接外排会对地表水、地下水、土壤、大气环境等产生不利影响。</w:t>
      </w:r>
    </w:p>
    <w:p w14:paraId="71F820D5">
      <w:pPr>
        <w:adjustRightInd w:val="0"/>
        <w:snapToGrid w:val="0"/>
        <w:spacing w:line="360" w:lineRule="auto"/>
        <w:ind w:firstLine="480"/>
        <w:rPr>
          <w:sz w:val="24"/>
        </w:rPr>
      </w:pPr>
      <w:r>
        <w:rPr>
          <w:sz w:val="24"/>
        </w:rPr>
        <w:t>（1）土壤</w:t>
      </w:r>
    </w:p>
    <w:p w14:paraId="1798B69A">
      <w:pPr>
        <w:adjustRightInd w:val="0"/>
        <w:snapToGrid w:val="0"/>
        <w:spacing w:line="360" w:lineRule="auto"/>
        <w:ind w:firstLine="480"/>
        <w:rPr>
          <w:sz w:val="24"/>
        </w:rPr>
      </w:pPr>
      <w:r>
        <w:rPr>
          <w:sz w:val="24"/>
        </w:rPr>
        <w:t>废水中高浓度的有机物和氨氮会使土壤环境质量恶化。当粪污水直接外排量超过了土壤的自净能力，便会出现（生物）降解不完成和厌氧腐化，产生恶臭物质和亚硝酸盐等有害物质，引起土壤的组成和性状发生改变，破坏其原有的基本功能，作物徒长、倒伏、晚熟或不熟，造成减产，甚至毒害作物，大面积地腐坏。此外，土壤对病原微生物的自净能力下降，不仅增加了净化难度，而且容易造成生物污染和疫病传播。</w:t>
      </w:r>
    </w:p>
    <w:p w14:paraId="30B42C5B">
      <w:pPr>
        <w:adjustRightInd w:val="0"/>
        <w:snapToGrid w:val="0"/>
        <w:spacing w:line="360" w:lineRule="auto"/>
        <w:ind w:firstLine="480"/>
        <w:rPr>
          <w:sz w:val="24"/>
        </w:rPr>
      </w:pPr>
      <w:r>
        <w:rPr>
          <w:sz w:val="24"/>
        </w:rPr>
        <w:t>（2）大气</w:t>
      </w:r>
    </w:p>
    <w:p w14:paraId="203EED1E">
      <w:pPr>
        <w:adjustRightInd w:val="0"/>
        <w:snapToGrid w:val="0"/>
        <w:spacing w:line="360" w:lineRule="auto"/>
        <w:ind w:firstLine="480"/>
        <w:rPr>
          <w:sz w:val="24"/>
        </w:rPr>
      </w:pPr>
      <w:r>
        <w:rPr>
          <w:sz w:val="24"/>
        </w:rPr>
        <w:t>废水会散发出高浓度的恶臭气体，造成空气中含氧量下降，污浊度上升，轻则降低空气质量，产生异味妨碍人畜健康生长，重则引起呼吸系统疾病，造成人畜死亡。未经任何处理的猪场废水含有大量的微生物，在风的作用下，极易扩散在空气中，可能引起口蹄疫和大肠埃希菌、炭疽、布氏杆菌、真菌孢子等引起的疫病传播，危害人畜健康。</w:t>
      </w:r>
    </w:p>
    <w:p w14:paraId="1D192A78">
      <w:pPr>
        <w:adjustRightInd w:val="0"/>
        <w:snapToGrid w:val="0"/>
        <w:spacing w:line="360" w:lineRule="auto"/>
        <w:ind w:firstLine="480"/>
        <w:rPr>
          <w:sz w:val="24"/>
        </w:rPr>
      </w:pPr>
      <w:r>
        <w:rPr>
          <w:sz w:val="24"/>
        </w:rPr>
        <w:t>（3）地表水</w:t>
      </w:r>
    </w:p>
    <w:p w14:paraId="4B71B873">
      <w:pPr>
        <w:adjustRightInd w:val="0"/>
        <w:snapToGrid w:val="0"/>
        <w:spacing w:line="360" w:lineRule="auto"/>
        <w:ind w:firstLine="480"/>
        <w:rPr>
          <w:sz w:val="24"/>
        </w:rPr>
      </w:pPr>
      <w:r>
        <w:rPr>
          <w:sz w:val="24"/>
        </w:rPr>
        <w:t>猪场高浓度污水进入自然水体后，使水中有机物、固体悬浮物和微生物等含量增高，改变水体的物理、化学和生物组成群落，使水质变差。粪污中含有大量的病原微生物将通过水体或水生动植物进行扩散传播，危害人畜健康。此外，粪污中大量的有机物生物（生物）降解和水生生物的大量繁殖，消耗水体中的溶解氧，使水体变黑发臭，最终造成水生生物大量死亡，产生水体富营养化，失去水体原有功能。</w:t>
      </w:r>
    </w:p>
    <w:p w14:paraId="1101A69C">
      <w:pPr>
        <w:adjustRightInd w:val="0"/>
        <w:snapToGrid w:val="0"/>
        <w:spacing w:line="360" w:lineRule="auto"/>
        <w:ind w:firstLine="480"/>
        <w:rPr>
          <w:sz w:val="24"/>
        </w:rPr>
      </w:pPr>
      <w:r>
        <w:rPr>
          <w:sz w:val="24"/>
        </w:rPr>
        <w:t>（4）地下水</w:t>
      </w:r>
    </w:p>
    <w:p w14:paraId="6E11240B">
      <w:pPr>
        <w:adjustRightInd w:val="0"/>
        <w:snapToGrid w:val="0"/>
        <w:spacing w:line="360" w:lineRule="auto"/>
        <w:ind w:firstLine="480"/>
        <w:rPr>
          <w:sz w:val="24"/>
        </w:rPr>
      </w:pPr>
      <w:r>
        <w:rPr>
          <w:sz w:val="24"/>
        </w:rPr>
        <w:t>猪场高浓度污水直接排入土壤，废水中的氮、磷以及其他有毒有害成分渗入地下污染地下水，导致地下水水质下降。本项目产生的废水主要为养殖废水，不含重金属污染物，主要污染物为COD，地下水污染及迁移是一个极其缓慢的过程，在该过程中COD浓度也将逐渐降低，故如果发生泄漏对地下水的影响较小。</w:t>
      </w:r>
    </w:p>
    <w:p w14:paraId="3886C84B">
      <w:pPr>
        <w:keepNext/>
        <w:keepLines/>
        <w:spacing w:line="360" w:lineRule="auto"/>
        <w:outlineLvl w:val="2"/>
        <w:rPr>
          <w:b/>
          <w:sz w:val="24"/>
        </w:rPr>
      </w:pPr>
      <w:r>
        <w:rPr>
          <w:b/>
          <w:sz w:val="24"/>
        </w:rPr>
        <w:t>6.3.2沼气环境风险分析</w:t>
      </w:r>
    </w:p>
    <w:p w14:paraId="37EC39A8">
      <w:pPr>
        <w:spacing w:line="360" w:lineRule="auto"/>
        <w:ind w:firstLine="480"/>
        <w:rPr>
          <w:sz w:val="24"/>
        </w:rPr>
      </w:pPr>
      <w:r>
        <w:rPr>
          <w:sz w:val="24"/>
        </w:rPr>
        <w:t>（1）沼气泄漏事故影响</w:t>
      </w:r>
    </w:p>
    <w:p w14:paraId="02C08701">
      <w:pPr>
        <w:spacing w:line="360" w:lineRule="auto"/>
        <w:ind w:firstLine="480"/>
        <w:rPr>
          <w:sz w:val="24"/>
        </w:rPr>
      </w:pPr>
      <w:r>
        <w:rPr>
          <w:sz w:val="24"/>
        </w:rPr>
        <w:t>本项目最大可信风险事故是沼气泄漏。主要成分是甲烷，一旦发生泄漏事故，甲烷在空气中含量过高时，人会因缺氧窒息而引起中毒；空气中如含有8.6～20.8%（按体积计）的甲烷时，就会形成爆炸性的混合气体，遇明火后会引起爆炸，爆炸产生的有害气体会进入环境空气中，对人畜的健康将造成威胁。</w:t>
      </w:r>
    </w:p>
    <w:p w14:paraId="4B975765">
      <w:pPr>
        <w:spacing w:line="360" w:lineRule="auto"/>
        <w:ind w:firstLine="480"/>
        <w:rPr>
          <w:sz w:val="24"/>
        </w:rPr>
      </w:pPr>
      <w:r>
        <w:rPr>
          <w:sz w:val="24"/>
        </w:rPr>
        <w:t>（2）沼气泄漏中毒事故</w:t>
      </w:r>
    </w:p>
    <w:p w14:paraId="2F053BD0">
      <w:pPr>
        <w:spacing w:line="360" w:lineRule="auto"/>
        <w:ind w:firstLine="480"/>
        <w:rPr>
          <w:sz w:val="24"/>
        </w:rPr>
      </w:pPr>
      <w:r>
        <w:rPr>
          <w:sz w:val="24"/>
        </w:rPr>
        <w:t>发生泄漏事故时，若周围环境温度达不到爆炸或燃烧条件，则有可能发生中毒事故。当空气中达到25%-30%时，可引起头痛、头晕、乏力、注意力不集中、呼吸和心跳加速、供给失调。若不及时脱离，可致窒息死亡。</w:t>
      </w:r>
    </w:p>
    <w:p w14:paraId="346DB927">
      <w:pPr>
        <w:spacing w:line="360" w:lineRule="auto"/>
        <w:ind w:firstLine="480"/>
        <w:rPr>
          <w:sz w:val="24"/>
        </w:rPr>
      </w:pPr>
      <w:r>
        <w:rPr>
          <w:sz w:val="24"/>
        </w:rPr>
        <w:t>（3）沼气火灾爆炸事故</w:t>
      </w:r>
    </w:p>
    <w:p w14:paraId="3A65BEF6">
      <w:pPr>
        <w:spacing w:line="360" w:lineRule="auto"/>
        <w:ind w:firstLine="480"/>
        <w:rPr>
          <w:sz w:val="24"/>
        </w:rPr>
      </w:pPr>
      <w:r>
        <w:rPr>
          <w:sz w:val="24"/>
        </w:rPr>
        <w:t>①沼气爆炸事故发生的条件</w:t>
      </w:r>
    </w:p>
    <w:p w14:paraId="2E35131D">
      <w:pPr>
        <w:spacing w:line="360" w:lineRule="auto"/>
        <w:ind w:firstLine="480"/>
        <w:rPr>
          <w:sz w:val="24"/>
        </w:rPr>
      </w:pPr>
      <w:r>
        <w:rPr>
          <w:sz w:val="24"/>
        </w:rPr>
        <w:t>资料显示，沼气爆炸必须具备三个条件：一定的甲烷浓度，一定的引火温度和足够的氧浓度，三者缺一即不可能发生爆炸。</w:t>
      </w:r>
    </w:p>
    <w:p w14:paraId="41788DD9">
      <w:pPr>
        <w:spacing w:line="360" w:lineRule="auto"/>
        <w:ind w:firstLine="480"/>
        <w:rPr>
          <w:sz w:val="24"/>
        </w:rPr>
      </w:pPr>
      <w:r>
        <w:rPr>
          <w:sz w:val="24"/>
        </w:rPr>
        <w:t>a甲烷浓度：在新鲜空气中甲烷的爆炸极限一般为5~15%，5%称为爆炸下限，15%称为爆炸上限，当甲烷浓度低于5%时，遇火不爆炸，但能在火焰外围形成燃烧层。浓度高于15%时，在混合气体内遇有火源，不爆炸也不燃烧。甲烷的爆炸极限并不是固定不变的，它受许多因素的影响。</w:t>
      </w:r>
    </w:p>
    <w:p w14:paraId="041B2879">
      <w:pPr>
        <w:spacing w:line="360" w:lineRule="auto"/>
        <w:ind w:firstLine="480"/>
        <w:rPr>
          <w:sz w:val="24"/>
        </w:rPr>
      </w:pPr>
      <w:r>
        <w:rPr>
          <w:sz w:val="24"/>
        </w:rPr>
        <w:t>沼气混合气体中，混入惰性气体，可能降低沼气爆炸的危险性，增加1%的CO</w:t>
      </w:r>
      <w:r>
        <w:rPr>
          <w:sz w:val="24"/>
          <w:vertAlign w:val="subscript"/>
        </w:rPr>
        <w:t>2</w:t>
      </w:r>
      <w:r>
        <w:rPr>
          <w:sz w:val="24"/>
        </w:rPr>
        <w:t>时，甲烷的爆炸下限提高0.033%，上限降低0.26%；当达到22.8%时，即失去爆炸性，该项目产生的沼气，CO</w:t>
      </w:r>
      <w:r>
        <w:rPr>
          <w:sz w:val="24"/>
          <w:vertAlign w:val="subscript"/>
        </w:rPr>
        <w:t>2</w:t>
      </w:r>
      <w:r>
        <w:rPr>
          <w:sz w:val="24"/>
        </w:rPr>
        <w:t>含量可高达25%，可使甲烷的爆炸极限范围大大缩小。</w:t>
      </w:r>
    </w:p>
    <w:p w14:paraId="47FCCB61">
      <w:pPr>
        <w:spacing w:line="360" w:lineRule="auto"/>
        <w:ind w:firstLine="480"/>
        <w:rPr>
          <w:sz w:val="24"/>
        </w:rPr>
      </w:pPr>
      <w:r>
        <w:rPr>
          <w:sz w:val="24"/>
        </w:rPr>
        <w:t>b引火温度：沼气爆炸的第二个条件是高温火源的存在。点燃沼气所需要的最低温度叫引火温度。沼气的引火温度一般在650~750℃，明火、电气火花、吸烟，甚至撞击或磨擦产生的火花等，都足以引燃沼气。因此，养殖场尤其是沼气工程附近应严禁烟火。</w:t>
      </w:r>
    </w:p>
    <w:p w14:paraId="56070E88">
      <w:pPr>
        <w:spacing w:line="360" w:lineRule="auto"/>
        <w:ind w:firstLine="480"/>
        <w:rPr>
          <w:sz w:val="24"/>
        </w:rPr>
      </w:pPr>
      <w:r>
        <w:rPr>
          <w:sz w:val="24"/>
        </w:rPr>
        <w:t>c氧浓度：甲烷的爆炸极限与氧浓度有密切关系，甲烷的爆炸极限将随着混合气体中氧浓度的降低而缩小，当氧浓度降低时，甲烷的爆炸下限缓慢增高，上限则迅速下降。当氧浓度降低到12%时，沼气混合气体即失去爆炸性，遇火也不爆炸。</w:t>
      </w:r>
    </w:p>
    <w:p w14:paraId="6EFEDBA0">
      <w:pPr>
        <w:spacing w:line="360" w:lineRule="auto"/>
        <w:ind w:firstLine="480"/>
        <w:rPr>
          <w:sz w:val="24"/>
        </w:rPr>
      </w:pPr>
      <w:r>
        <w:rPr>
          <w:sz w:val="24"/>
        </w:rPr>
        <w:t>②火灾爆炸事故危害</w:t>
      </w:r>
    </w:p>
    <w:p w14:paraId="2A671F16">
      <w:pPr>
        <w:spacing w:line="360" w:lineRule="auto"/>
        <w:ind w:firstLine="480"/>
        <w:rPr>
          <w:sz w:val="24"/>
        </w:rPr>
      </w:pPr>
      <w:r>
        <w:rPr>
          <w:sz w:val="24"/>
        </w:rPr>
        <w:t>易燃易爆的气体泄漏后遇火就会被点燃而着火燃烧，燃烧方式有火池、喷射火、火球和突发火4种。</w:t>
      </w:r>
    </w:p>
    <w:p w14:paraId="2B3E37AB">
      <w:pPr>
        <w:spacing w:line="360" w:lineRule="auto"/>
        <w:ind w:firstLine="480"/>
        <w:rPr>
          <w:sz w:val="24"/>
        </w:rPr>
      </w:pPr>
      <w:r>
        <w:rPr>
          <w:sz w:val="24"/>
        </w:rPr>
        <w:t>泄漏速度为0.23kg/s时，距热源2m范围内的人员在1min内若不及时撤离，将会造成全部死亡，同时能引燃木材、使塑料熔化，损失等级接近Ⅲ级（财产损失半径），进而可能引起其他物质燃烧；距热源4m范围内的人员若不及时撤离，会引起不同程度的烧伤或疼痛；距离热源7m时，基本不会引起裸露皮肤烧伤（安全临界距离）。</w:t>
      </w:r>
    </w:p>
    <w:p w14:paraId="3C02B48A">
      <w:pPr>
        <w:spacing w:line="360" w:lineRule="auto"/>
        <w:ind w:firstLine="480"/>
        <w:rPr>
          <w:sz w:val="24"/>
        </w:rPr>
      </w:pPr>
      <w:r>
        <w:rPr>
          <w:sz w:val="24"/>
        </w:rPr>
        <w:t>泄漏速度为0.08kg/s时，距热源 2m范围内的人员在1min内若不及时撤离，会引起不同程度烧伤或疼痛；距热源4m时，基本不会引起裸露皮肤烧伤（安全临界距离）。</w:t>
      </w:r>
    </w:p>
    <w:p w14:paraId="69141803">
      <w:pPr>
        <w:spacing w:line="360" w:lineRule="auto"/>
        <w:ind w:firstLine="480"/>
        <w:rPr>
          <w:sz w:val="24"/>
        </w:rPr>
      </w:pPr>
      <w:r>
        <w:rPr>
          <w:sz w:val="24"/>
        </w:rPr>
        <w:t>发生爆炸事故时，主要是通过冲击波超压的形式对周围环境产生瞬间的强烈冲击，可以产生较大的破坏作用。发生爆炸事故时，距离爆源越近，其危害程度越大。当发生小型爆炸事故（可燃混合气体质量为50kg）时，半径20m范围内的人员会受到不同程度的伤亡，对建筑物的影响范围则在半径30m范围内。当发生大型爆炸事故（可燃混合气体质量为464kg）时，半径30m范围内的人员会受到不同程度的伤亡，对建筑物的影响范围则在半径50m范围内。</w:t>
      </w:r>
    </w:p>
    <w:p w14:paraId="243195E8">
      <w:pPr>
        <w:spacing w:line="360" w:lineRule="auto"/>
        <w:ind w:firstLine="480"/>
        <w:rPr>
          <w:spacing w:val="-1"/>
          <w:sz w:val="24"/>
        </w:rPr>
      </w:pPr>
      <w:r>
        <w:rPr>
          <w:sz w:val="24"/>
        </w:rPr>
        <w:t>沼气燃烧产物为二氧化碳、水，少量因不完全燃烧产生一氧化碳。沼气进入大气环境，无其它次生伴生的反应。沼气中的甲烷和二氧化碳均属于温室气体，泄漏进入大气环境会增加大气环境中温室气体量。如在泄漏初期及早采取有效的应急措施，将泄漏量控制在最少范围内，进入大气环境后，可迅速被周围空气稀释，不会对周围居民造成明显影响。对大气环境中温室气体量的影响也可控制在最轻程度。</w:t>
      </w:r>
      <w:r>
        <w:rPr>
          <w:spacing w:val="-1"/>
          <w:sz w:val="24"/>
        </w:rPr>
        <w:t>通过加强管理，定期对沼气管道及黑膜沼气池进行检查维护，沼气泄露和爆炸几率很小。</w:t>
      </w:r>
    </w:p>
    <w:p w14:paraId="16B93BCE">
      <w:pPr>
        <w:keepNext/>
        <w:keepLines/>
        <w:spacing w:line="360" w:lineRule="auto"/>
        <w:outlineLvl w:val="2"/>
        <w:rPr>
          <w:b/>
          <w:sz w:val="24"/>
        </w:rPr>
      </w:pPr>
      <w:r>
        <w:rPr>
          <w:b/>
          <w:sz w:val="24"/>
        </w:rPr>
        <w:t>6.3.3 消毒剂泄漏环境风险分析</w:t>
      </w:r>
    </w:p>
    <w:p w14:paraId="20703968">
      <w:pPr>
        <w:pStyle w:val="35"/>
        <w:spacing w:after="0" w:line="360" w:lineRule="auto"/>
        <w:ind w:firstLine="480" w:firstLineChars="200"/>
        <w:rPr>
          <w:sz w:val="24"/>
        </w:rPr>
      </w:pPr>
      <w:r>
        <w:rPr>
          <w:sz w:val="24"/>
        </w:rPr>
        <w:t>消毒剂储存、使用过程中发生泄漏，可能会渗入土壤、地下水，造成土壤和地下水污染。但消毒水一般为小桶包装，储存室地面有水泥硬化，消毒剂倾倒泼洒量较小，渗入土壤和地下水的可能性较小，渗入量也有限，对土壤和地下水环境污染影响较小。</w:t>
      </w:r>
    </w:p>
    <w:p w14:paraId="72B0E9EF">
      <w:pPr>
        <w:keepNext/>
        <w:keepLines/>
        <w:tabs>
          <w:tab w:val="left" w:pos="2223"/>
          <w:tab w:val="left" w:pos="2558"/>
        </w:tabs>
        <w:spacing w:line="360" w:lineRule="auto"/>
        <w:outlineLvl w:val="1"/>
        <w:rPr>
          <w:b/>
          <w:sz w:val="24"/>
        </w:rPr>
      </w:pPr>
      <w:bookmarkStart w:id="194" w:name="_Toc68186804"/>
      <w:bookmarkStart w:id="195" w:name="_Toc32103"/>
      <w:r>
        <w:rPr>
          <w:b/>
          <w:sz w:val="24"/>
        </w:rPr>
        <w:t>6.4事故防范措施</w:t>
      </w:r>
      <w:bookmarkEnd w:id="194"/>
      <w:bookmarkEnd w:id="195"/>
    </w:p>
    <w:p w14:paraId="6173C129">
      <w:pPr>
        <w:keepNext/>
        <w:keepLines/>
        <w:spacing w:line="360" w:lineRule="auto"/>
        <w:outlineLvl w:val="2"/>
        <w:rPr>
          <w:b/>
          <w:sz w:val="24"/>
        </w:rPr>
      </w:pPr>
      <w:r>
        <w:rPr>
          <w:b/>
          <w:sz w:val="24"/>
        </w:rPr>
        <w:t>6.4.1废水非正常排放或泄露防范措施</w:t>
      </w:r>
    </w:p>
    <w:p w14:paraId="675B4DF0">
      <w:pPr>
        <w:spacing w:line="360" w:lineRule="auto"/>
        <w:ind w:firstLine="476"/>
        <w:rPr>
          <w:spacing w:val="-1"/>
          <w:sz w:val="24"/>
        </w:rPr>
      </w:pPr>
      <w:r>
        <w:rPr>
          <w:spacing w:val="-1"/>
          <w:sz w:val="24"/>
        </w:rPr>
        <w:t>（1）养殖场的排水系统应实行雨水和污水收集输送系统分离，避免雨水进入污水处理系统。</w:t>
      </w:r>
    </w:p>
    <w:p w14:paraId="566926B2">
      <w:pPr>
        <w:spacing w:line="360" w:lineRule="auto"/>
        <w:ind w:firstLine="476"/>
        <w:rPr>
          <w:spacing w:val="-1"/>
          <w:sz w:val="24"/>
        </w:rPr>
      </w:pPr>
      <w:r>
        <w:rPr>
          <w:spacing w:val="-1"/>
          <w:sz w:val="24"/>
        </w:rPr>
        <w:t>（2）加强管理，猪舍产生的粪便做到日产日清，特别是雨天来临之前要及时清理干净。</w:t>
      </w:r>
    </w:p>
    <w:p w14:paraId="737F3384">
      <w:pPr>
        <w:spacing w:line="360" w:lineRule="auto"/>
        <w:ind w:firstLine="476"/>
        <w:rPr>
          <w:spacing w:val="-1"/>
          <w:sz w:val="24"/>
        </w:rPr>
      </w:pPr>
      <w:r>
        <w:rPr>
          <w:spacing w:val="-1"/>
          <w:sz w:val="24"/>
        </w:rPr>
        <w:t>（3）合理设计猪舍，猪舍水泥地面应设置合适的坡度，以利于猪尿及冲洗水的排出；</w:t>
      </w:r>
    </w:p>
    <w:p w14:paraId="00E5164C">
      <w:pPr>
        <w:spacing w:line="360" w:lineRule="auto"/>
        <w:ind w:firstLine="476"/>
        <w:rPr>
          <w:spacing w:val="-1"/>
          <w:sz w:val="24"/>
        </w:rPr>
      </w:pPr>
      <w:r>
        <w:rPr>
          <w:spacing w:val="-1"/>
          <w:sz w:val="24"/>
        </w:rPr>
        <w:t>（4）加强对废水处理系统（收集池、黑膜沼气池、沼液储存池）的运行管理，一旦发现废水处理站出现事故不能正常运行，废水暂存在猪舍下方的粪污池内，暂不排放；及时进行废水处理站的维修，待排除故障、可正常运行后，再将废水排入污水处理系统。</w:t>
      </w:r>
    </w:p>
    <w:p w14:paraId="3C1D5C91">
      <w:pPr>
        <w:spacing w:line="360" w:lineRule="auto"/>
        <w:ind w:firstLine="476"/>
        <w:rPr>
          <w:spacing w:val="-1"/>
          <w:sz w:val="24"/>
        </w:rPr>
      </w:pPr>
      <w:r>
        <w:rPr>
          <w:spacing w:val="-1"/>
          <w:sz w:val="24"/>
        </w:rPr>
        <w:t>（5）必须加强对污水处理站的运行管理、维修，应在生产中严格按照操作规程，避免废水事故性排放。</w:t>
      </w:r>
      <w:r>
        <w:rPr>
          <w:bCs/>
          <w:sz w:val="24"/>
        </w:rPr>
        <w:t>殖舍粪尿暂存于猪舍下方的粪污池内，粪污池与猪舍相同长宽，深为1.2m，在距离池底0.8m处有底窗，最大可收集0.8m深的粪尿和冲洗废水，当污水处理系统发生故障，废水可暂存在粪污池内</w:t>
      </w:r>
      <w:r>
        <w:rPr>
          <w:bCs/>
          <w:kern w:val="0"/>
          <w:sz w:val="24"/>
        </w:rPr>
        <w:t>，保证事故污水不会对周边环境产生污染影响</w:t>
      </w:r>
      <w:r>
        <w:rPr>
          <w:bCs/>
          <w:sz w:val="24"/>
        </w:rPr>
        <w:t>；污水站的尾水储存池容积为9400m</w:t>
      </w:r>
      <w:r>
        <w:rPr>
          <w:bCs/>
          <w:sz w:val="24"/>
          <w:vertAlign w:val="superscript"/>
        </w:rPr>
        <w:t>3</w:t>
      </w:r>
      <w:r>
        <w:rPr>
          <w:bCs/>
          <w:sz w:val="24"/>
        </w:rPr>
        <w:t>，可以储存91天的沼液尾水，可以保证雨天和非农灌季节废水不外排。</w:t>
      </w:r>
    </w:p>
    <w:p w14:paraId="25200FBF">
      <w:pPr>
        <w:spacing w:line="360" w:lineRule="auto"/>
        <w:ind w:firstLine="476"/>
        <w:rPr>
          <w:spacing w:val="-1"/>
          <w:sz w:val="24"/>
        </w:rPr>
      </w:pPr>
      <w:r>
        <w:rPr>
          <w:spacing w:val="-1"/>
          <w:sz w:val="24"/>
        </w:rPr>
        <w:t>（6）定期对污水处理设备进行检查，是否存在开裂、渗漏，及时修补和发现问题，解决问题。</w:t>
      </w:r>
    </w:p>
    <w:p w14:paraId="0C44F8DE">
      <w:pPr>
        <w:spacing w:line="360" w:lineRule="auto"/>
        <w:ind w:firstLine="476"/>
        <w:rPr>
          <w:spacing w:val="-1"/>
          <w:sz w:val="24"/>
        </w:rPr>
      </w:pPr>
      <w:r>
        <w:rPr>
          <w:spacing w:val="-1"/>
          <w:sz w:val="24"/>
        </w:rPr>
        <w:t>（7）设计时，提高污水处理站的设计强度和抗破坏能力，污水处理站避开不良地质区域建设。</w:t>
      </w:r>
    </w:p>
    <w:p w14:paraId="327BAB66">
      <w:pPr>
        <w:keepNext/>
        <w:keepLines/>
        <w:spacing w:line="360" w:lineRule="auto"/>
        <w:outlineLvl w:val="2"/>
        <w:rPr>
          <w:b/>
          <w:sz w:val="24"/>
        </w:rPr>
      </w:pPr>
      <w:r>
        <w:rPr>
          <w:b/>
          <w:sz w:val="24"/>
        </w:rPr>
        <w:t>6.4.2消毒剂泄漏事故风险防范措施</w:t>
      </w:r>
    </w:p>
    <w:p w14:paraId="3CF9FD90">
      <w:pPr>
        <w:spacing w:line="360" w:lineRule="auto"/>
        <w:ind w:firstLine="476"/>
        <w:rPr>
          <w:spacing w:val="-1"/>
          <w:sz w:val="24"/>
        </w:rPr>
      </w:pPr>
      <w:r>
        <w:rPr>
          <w:spacing w:val="-1"/>
          <w:sz w:val="24"/>
        </w:rPr>
        <w:t>为防止消毒剂泄漏引发的环境风险事故，本环评提出如下风险防范措施：</w:t>
      </w:r>
    </w:p>
    <w:p w14:paraId="549087C5">
      <w:pPr>
        <w:spacing w:line="360" w:lineRule="auto"/>
        <w:ind w:firstLine="476"/>
        <w:rPr>
          <w:spacing w:val="-1"/>
          <w:sz w:val="24"/>
        </w:rPr>
      </w:pPr>
      <w:r>
        <w:rPr>
          <w:spacing w:val="-1"/>
          <w:sz w:val="24"/>
        </w:rPr>
        <w:t>（1）购买小桶装消毒剂，避免发生大量泄漏；</w:t>
      </w:r>
    </w:p>
    <w:p w14:paraId="6520C0AA">
      <w:pPr>
        <w:spacing w:line="360" w:lineRule="auto"/>
        <w:ind w:firstLine="476"/>
        <w:rPr>
          <w:spacing w:val="-1"/>
          <w:sz w:val="24"/>
        </w:rPr>
      </w:pPr>
      <w:r>
        <w:rPr>
          <w:spacing w:val="-1"/>
          <w:sz w:val="24"/>
        </w:rPr>
        <w:t>（2）即用即取，按量取用。安排专人负责管理消毒水的日常使用；</w:t>
      </w:r>
    </w:p>
    <w:p w14:paraId="4CE16365">
      <w:pPr>
        <w:spacing w:line="360" w:lineRule="auto"/>
        <w:ind w:firstLine="476"/>
        <w:rPr>
          <w:spacing w:val="-1"/>
          <w:sz w:val="24"/>
        </w:rPr>
      </w:pPr>
      <w:r>
        <w:rPr>
          <w:spacing w:val="-1"/>
          <w:sz w:val="24"/>
        </w:rPr>
        <w:t>（3）储存室地面硬化，进行防渗处理，避免泄漏时渗入地下；</w:t>
      </w:r>
    </w:p>
    <w:p w14:paraId="0C9C7A64">
      <w:pPr>
        <w:spacing w:line="360" w:lineRule="auto"/>
        <w:ind w:firstLine="476"/>
        <w:rPr>
          <w:spacing w:val="-1"/>
          <w:sz w:val="24"/>
        </w:rPr>
      </w:pPr>
      <w:r>
        <w:rPr>
          <w:spacing w:val="-1"/>
          <w:sz w:val="24"/>
        </w:rPr>
        <w:t>（4）发生泄漏时，及时采取补救措施，使用大量清水冲洗，将高浓度消毒水稀释，减少对外环境的不利影响。</w:t>
      </w:r>
    </w:p>
    <w:p w14:paraId="766B3DE5">
      <w:pPr>
        <w:keepNext/>
        <w:keepLines/>
        <w:spacing w:line="360" w:lineRule="auto"/>
        <w:outlineLvl w:val="2"/>
        <w:rPr>
          <w:b/>
          <w:sz w:val="24"/>
        </w:rPr>
      </w:pPr>
      <w:r>
        <w:rPr>
          <w:b/>
          <w:sz w:val="24"/>
        </w:rPr>
        <w:t>6.4.3沼气风险防范措施</w:t>
      </w:r>
    </w:p>
    <w:p w14:paraId="75547DD6">
      <w:pPr>
        <w:spacing w:line="360" w:lineRule="auto"/>
        <w:ind w:firstLine="476"/>
        <w:rPr>
          <w:spacing w:val="-1"/>
          <w:sz w:val="24"/>
        </w:rPr>
      </w:pPr>
      <w:r>
        <w:rPr>
          <w:spacing w:val="-1"/>
          <w:sz w:val="24"/>
        </w:rPr>
        <w:t>1、风险防范措施</w:t>
      </w:r>
    </w:p>
    <w:p w14:paraId="6898CF51">
      <w:pPr>
        <w:spacing w:line="360" w:lineRule="auto"/>
        <w:ind w:firstLine="476"/>
        <w:rPr>
          <w:bCs/>
          <w:spacing w:val="-1"/>
          <w:sz w:val="24"/>
        </w:rPr>
      </w:pPr>
      <w:r>
        <w:rPr>
          <w:bCs/>
          <w:spacing w:val="-1"/>
          <w:sz w:val="24"/>
        </w:rPr>
        <w:t>（1）确保输送导管上的阀门灵活、严密、不漏气。</w:t>
      </w:r>
    </w:p>
    <w:p w14:paraId="4BC3FBBF">
      <w:pPr>
        <w:spacing w:line="360" w:lineRule="auto"/>
        <w:ind w:firstLine="476"/>
        <w:rPr>
          <w:bCs/>
          <w:spacing w:val="-1"/>
          <w:sz w:val="24"/>
        </w:rPr>
      </w:pPr>
      <w:r>
        <w:rPr>
          <w:bCs/>
          <w:spacing w:val="-1"/>
          <w:sz w:val="24"/>
        </w:rPr>
        <w:t>（2）导气管上应装压力表。压力过高应排出气体；压力不足时应停止使用，冲洗进料充气，以防止回火。</w:t>
      </w:r>
    </w:p>
    <w:p w14:paraId="5215D274">
      <w:pPr>
        <w:spacing w:line="360" w:lineRule="auto"/>
        <w:ind w:firstLine="476"/>
        <w:rPr>
          <w:bCs/>
          <w:spacing w:val="-1"/>
          <w:sz w:val="24"/>
        </w:rPr>
      </w:pPr>
      <w:r>
        <w:rPr>
          <w:bCs/>
          <w:spacing w:val="-1"/>
          <w:sz w:val="24"/>
        </w:rPr>
        <w:t>（3）使用、燃烧放空沼气必须与可燃物保持一定的安全距离，以保证安全。</w:t>
      </w:r>
    </w:p>
    <w:p w14:paraId="55F7B394">
      <w:pPr>
        <w:spacing w:line="360" w:lineRule="auto"/>
        <w:ind w:firstLine="476"/>
        <w:rPr>
          <w:bCs/>
          <w:spacing w:val="-1"/>
          <w:sz w:val="24"/>
        </w:rPr>
      </w:pPr>
      <w:r>
        <w:rPr>
          <w:bCs/>
          <w:spacing w:val="-1"/>
          <w:sz w:val="24"/>
        </w:rPr>
        <w:t>（4）安装甲烷泄漏检测仪，使用沼气时发现漏气，应立即打开门窗，熄灭室内各类火源，以防止沼气爆炸。</w:t>
      </w:r>
    </w:p>
    <w:p w14:paraId="60838275">
      <w:pPr>
        <w:spacing w:line="360" w:lineRule="auto"/>
        <w:ind w:firstLine="476"/>
        <w:rPr>
          <w:bCs/>
          <w:spacing w:val="-1"/>
          <w:sz w:val="24"/>
        </w:rPr>
      </w:pPr>
      <w:r>
        <w:rPr>
          <w:bCs/>
          <w:spacing w:val="-1"/>
          <w:sz w:val="24"/>
        </w:rPr>
        <w:t>（5）沼气池下池检修或清除沉渣时，必须提高警惕，事先采取安全措施，防止窒息和中毒事故发生。</w:t>
      </w:r>
    </w:p>
    <w:p w14:paraId="4FFABC67">
      <w:pPr>
        <w:spacing w:line="360" w:lineRule="auto"/>
        <w:ind w:firstLine="476"/>
        <w:rPr>
          <w:bCs/>
          <w:spacing w:val="-1"/>
          <w:sz w:val="24"/>
        </w:rPr>
      </w:pPr>
      <w:r>
        <w:rPr>
          <w:bCs/>
          <w:spacing w:val="-1"/>
          <w:sz w:val="24"/>
        </w:rPr>
        <w:t>（6）沼气池的设计应严格执行《规模化畜禽养殖场沼气工程设计规范》，产生的沼气经净化系统后方可进入后续利用阶段，净化系统处理后的沼气质量指标，应符合下列要求：甲烷含量55%以上，硫化氢含量小于20mg/m</w:t>
      </w:r>
      <w:r>
        <w:rPr>
          <w:bCs/>
          <w:spacing w:val="-1"/>
          <w:sz w:val="24"/>
          <w:vertAlign w:val="superscript"/>
        </w:rPr>
        <w:t>3</w:t>
      </w:r>
      <w:r>
        <w:rPr>
          <w:bCs/>
          <w:spacing w:val="-1"/>
          <w:sz w:val="24"/>
        </w:rPr>
        <w:t>。</w:t>
      </w:r>
    </w:p>
    <w:p w14:paraId="1C29EDF2">
      <w:pPr>
        <w:spacing w:line="360" w:lineRule="auto"/>
        <w:ind w:firstLine="476"/>
        <w:rPr>
          <w:bCs/>
          <w:spacing w:val="-1"/>
          <w:sz w:val="24"/>
        </w:rPr>
      </w:pPr>
      <w:r>
        <w:rPr>
          <w:bCs/>
          <w:spacing w:val="-1"/>
          <w:sz w:val="24"/>
        </w:rPr>
        <w:t>（7）设备布置严格执行国这有关防火防爆的规范，设备之间保证有足够的安全距离，并按要求设置消防通道。</w:t>
      </w:r>
    </w:p>
    <w:p w14:paraId="601F357F">
      <w:pPr>
        <w:spacing w:line="360" w:lineRule="auto"/>
        <w:ind w:firstLine="476"/>
        <w:rPr>
          <w:bCs/>
          <w:spacing w:val="-1"/>
          <w:sz w:val="24"/>
        </w:rPr>
      </w:pPr>
      <w:r>
        <w:rPr>
          <w:bCs/>
          <w:spacing w:val="-1"/>
          <w:sz w:val="24"/>
        </w:rPr>
        <w:t>（8）检测人员、厂区工作人员、管理人员、巡查人员及处置场所职工一旦发现安全隐患，都有责任及时报告，使事故隐患得到及时消除和有效监控。</w:t>
      </w:r>
    </w:p>
    <w:p w14:paraId="24589120">
      <w:pPr>
        <w:spacing w:line="360" w:lineRule="auto"/>
        <w:ind w:firstLine="476"/>
        <w:rPr>
          <w:bCs/>
          <w:spacing w:val="-1"/>
          <w:sz w:val="24"/>
        </w:rPr>
      </w:pPr>
      <w:r>
        <w:rPr>
          <w:bCs/>
          <w:spacing w:val="-1"/>
          <w:sz w:val="24"/>
        </w:rPr>
        <w:t>（9）加强厂区沼气引发火灾与爆炸事故的危害性和有关的排险救灾知识的宣传，大力报道先进人物和事迹，充分发动员工积极参与预防监控工作。</w:t>
      </w:r>
    </w:p>
    <w:p w14:paraId="186FBFD2">
      <w:pPr>
        <w:spacing w:line="360" w:lineRule="auto"/>
        <w:ind w:firstLine="476"/>
        <w:rPr>
          <w:bCs/>
          <w:spacing w:val="-1"/>
          <w:sz w:val="24"/>
        </w:rPr>
      </w:pPr>
      <w:r>
        <w:rPr>
          <w:bCs/>
          <w:spacing w:val="-1"/>
          <w:sz w:val="24"/>
        </w:rPr>
        <w:t>（10）在沼气池附近应设置事故柜和急救器材、救生器、防毒面具、急救用品用具等。</w:t>
      </w:r>
    </w:p>
    <w:p w14:paraId="7BE73104">
      <w:pPr>
        <w:spacing w:line="360" w:lineRule="auto"/>
        <w:ind w:firstLine="476"/>
        <w:rPr>
          <w:bCs/>
          <w:spacing w:val="-1"/>
          <w:sz w:val="24"/>
        </w:rPr>
      </w:pPr>
      <w:r>
        <w:rPr>
          <w:bCs/>
          <w:spacing w:val="-1"/>
          <w:sz w:val="24"/>
        </w:rPr>
        <w:t>（11）</w:t>
      </w:r>
      <w:r>
        <w:rPr>
          <w:spacing w:val="-1"/>
          <w:sz w:val="24"/>
        </w:rPr>
        <w:t>沼气燃烧火炬远离猪舍、办公区等建筑，严格执行国家有关防火防爆的规范、规定。</w:t>
      </w:r>
    </w:p>
    <w:p w14:paraId="1C59F0AE">
      <w:pPr>
        <w:spacing w:line="360" w:lineRule="auto"/>
        <w:ind w:firstLine="476"/>
        <w:rPr>
          <w:bCs/>
          <w:spacing w:val="-1"/>
          <w:sz w:val="24"/>
        </w:rPr>
      </w:pPr>
      <w:r>
        <w:rPr>
          <w:bCs/>
          <w:spacing w:val="-1"/>
          <w:sz w:val="24"/>
        </w:rPr>
        <w:t>（12）在沼气池的进口管线上设置消焰器（阻火器），此外，在所有沼气与外界连通部位都安装消焰器。消焰器内填充了金属填料，当火焰通过消焰器填料间缝隙时，热量被吸收，气体温度降到燃点以下，达到消焰的目地。</w:t>
      </w:r>
    </w:p>
    <w:p w14:paraId="63AC74AF">
      <w:pPr>
        <w:spacing w:line="360" w:lineRule="auto"/>
        <w:ind w:firstLine="476"/>
        <w:rPr>
          <w:spacing w:val="-1"/>
          <w:sz w:val="24"/>
        </w:rPr>
      </w:pPr>
      <w:r>
        <w:rPr>
          <w:spacing w:val="-1"/>
          <w:sz w:val="24"/>
        </w:rPr>
        <w:t>2、应急措施</w:t>
      </w:r>
    </w:p>
    <w:p w14:paraId="7E7630C9">
      <w:pPr>
        <w:spacing w:line="360" w:lineRule="auto"/>
        <w:ind w:firstLine="480" w:firstLineChars="200"/>
        <w:rPr>
          <w:sz w:val="24"/>
        </w:rPr>
      </w:pPr>
      <w:r>
        <w:rPr>
          <w:sz w:val="24"/>
        </w:rPr>
        <w:t>“预防为主，安全第一”是减少事故发生、降低污染事故损害的主要保障。沼气系统生成及使用过程中建议做好以下几个方面的工作：</w:t>
      </w:r>
    </w:p>
    <w:p w14:paraId="37F673E9">
      <w:pPr>
        <w:spacing w:line="360" w:lineRule="auto"/>
        <w:ind w:firstLine="480" w:firstLineChars="200"/>
        <w:rPr>
          <w:sz w:val="24"/>
        </w:rPr>
      </w:pPr>
      <w:r>
        <w:rPr>
          <w:sz w:val="24"/>
        </w:rPr>
        <w:t>（1）操作注意事项：密闭操作，全面通风。操作人员必须经过专门培训，严格遵守操作规程。远离火种、热源，工作场所严禁吸烟。防止气体泄漏到工作场所空气中。避免与氧化剂接触，在传送过程中，容器必须接地和跨接，防止产生静电。配备相应品种和数量的消防器材及泄漏应急处理设备。</w:t>
      </w:r>
    </w:p>
    <w:p w14:paraId="0505D80A">
      <w:pPr>
        <w:spacing w:line="360" w:lineRule="auto"/>
        <w:ind w:firstLine="480" w:firstLineChars="200"/>
        <w:rPr>
          <w:sz w:val="24"/>
        </w:rPr>
      </w:pPr>
      <w:r>
        <w:rPr>
          <w:sz w:val="24"/>
        </w:rPr>
        <w:t>（2）禁止使用易产生火花的机械设备和工具。</w:t>
      </w:r>
      <w:r>
        <w:rPr>
          <w:spacing w:val="-1"/>
          <w:sz w:val="24"/>
        </w:rPr>
        <w:t>黑膜沼气池</w:t>
      </w:r>
      <w:r>
        <w:rPr>
          <w:sz w:val="24"/>
        </w:rPr>
        <w:t>应备有泄漏应急处理设备。</w:t>
      </w:r>
    </w:p>
    <w:p w14:paraId="50FB424D">
      <w:pPr>
        <w:spacing w:line="360" w:lineRule="auto"/>
        <w:ind w:firstLine="476"/>
        <w:rPr>
          <w:spacing w:val="-1"/>
          <w:sz w:val="24"/>
        </w:rPr>
      </w:pPr>
      <w:r>
        <w:rPr>
          <w:sz w:val="24"/>
        </w:rPr>
        <w:t>（3）泄漏应急处理：迅速撤离泄漏污染区人员至上风处，并进行隔离，严格限制出入，切断火源。建议应急处理人员戴自给正压式呼吸器，穿防静电工作服。尽可能切断泄漏源。合理通风，加速扩散。漏气容器要妥善处理，修复、检验后再用。</w:t>
      </w:r>
    </w:p>
    <w:p w14:paraId="78A903F1">
      <w:pPr>
        <w:keepNext/>
        <w:keepLines/>
        <w:tabs>
          <w:tab w:val="left" w:pos="2223"/>
          <w:tab w:val="left" w:pos="2558"/>
        </w:tabs>
        <w:spacing w:line="360" w:lineRule="auto"/>
        <w:outlineLvl w:val="1"/>
        <w:rPr>
          <w:b/>
          <w:sz w:val="24"/>
        </w:rPr>
      </w:pPr>
      <w:bookmarkStart w:id="196" w:name="_Toc68186805"/>
      <w:bookmarkStart w:id="197" w:name="_Toc14035"/>
      <w:r>
        <w:rPr>
          <w:b/>
          <w:sz w:val="24"/>
        </w:rPr>
        <w:t>6.5 应急预案</w:t>
      </w:r>
      <w:bookmarkEnd w:id="196"/>
      <w:bookmarkEnd w:id="197"/>
    </w:p>
    <w:p w14:paraId="44E26CF1">
      <w:pPr>
        <w:keepNext/>
        <w:keepLines/>
        <w:spacing w:line="360" w:lineRule="auto"/>
        <w:outlineLvl w:val="2"/>
        <w:rPr>
          <w:b/>
          <w:sz w:val="24"/>
        </w:rPr>
      </w:pPr>
      <w:r>
        <w:rPr>
          <w:b/>
          <w:sz w:val="24"/>
        </w:rPr>
        <w:t>6.5.1事故应急预案</w:t>
      </w:r>
    </w:p>
    <w:p w14:paraId="1BAC7DD5">
      <w:pPr>
        <w:spacing w:line="360" w:lineRule="auto"/>
        <w:ind w:firstLine="476"/>
        <w:rPr>
          <w:spacing w:val="-1"/>
          <w:sz w:val="24"/>
        </w:rPr>
      </w:pPr>
      <w:r>
        <w:rPr>
          <w:spacing w:val="-1"/>
          <w:sz w:val="24"/>
        </w:rPr>
        <w:t>为保证项目自身及周边人民生命财产的安全，防止突发性重大事故灾害发生，并在发生事故时，能迅速有序地开展救援工作，尽最大努力减少事故的危害和损失，企业应编制相关的应急预案。根据环境风险分析的结果，对于本项目可能造成环境风险的突发性事故制定应急预案纲要，见下表，供建设单位参考。</w:t>
      </w:r>
    </w:p>
    <w:p w14:paraId="3C862E97">
      <w:pPr>
        <w:autoSpaceDE w:val="0"/>
        <w:autoSpaceDN w:val="0"/>
        <w:adjustRightInd w:val="0"/>
        <w:spacing w:line="360" w:lineRule="auto"/>
        <w:jc w:val="center"/>
        <w:rPr>
          <w:b/>
          <w:sz w:val="24"/>
        </w:rPr>
      </w:pPr>
      <w:r>
        <w:rPr>
          <w:b/>
          <w:sz w:val="24"/>
        </w:rPr>
        <w:t>表6.5-1  环境风险突发事故应急预案纲要</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1"/>
        <w:gridCol w:w="1517"/>
        <w:gridCol w:w="6284"/>
      </w:tblGrid>
      <w:tr w14:paraId="262AD2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1" w:type="dxa"/>
            <w:noWrap w:val="0"/>
            <w:vAlign w:val="center"/>
          </w:tcPr>
          <w:p w14:paraId="1CEF4DA0">
            <w:pPr>
              <w:snapToGrid w:val="0"/>
              <w:jc w:val="center"/>
              <w:rPr>
                <w:b/>
                <w:szCs w:val="21"/>
              </w:rPr>
            </w:pPr>
            <w:r>
              <w:rPr>
                <w:b/>
                <w:szCs w:val="21"/>
              </w:rPr>
              <w:t>序号</w:t>
            </w:r>
          </w:p>
        </w:tc>
        <w:tc>
          <w:tcPr>
            <w:tcW w:w="1517" w:type="dxa"/>
            <w:noWrap w:val="0"/>
            <w:vAlign w:val="center"/>
          </w:tcPr>
          <w:p w14:paraId="142A377E">
            <w:pPr>
              <w:snapToGrid w:val="0"/>
              <w:jc w:val="center"/>
              <w:rPr>
                <w:b/>
                <w:szCs w:val="21"/>
              </w:rPr>
            </w:pPr>
            <w:r>
              <w:rPr>
                <w:b/>
                <w:szCs w:val="21"/>
              </w:rPr>
              <w:t>项目</w:t>
            </w:r>
          </w:p>
        </w:tc>
        <w:tc>
          <w:tcPr>
            <w:tcW w:w="6284" w:type="dxa"/>
            <w:noWrap w:val="0"/>
            <w:vAlign w:val="center"/>
          </w:tcPr>
          <w:p w14:paraId="5F13DFA8">
            <w:pPr>
              <w:snapToGrid w:val="0"/>
              <w:jc w:val="center"/>
              <w:rPr>
                <w:b/>
                <w:szCs w:val="21"/>
              </w:rPr>
            </w:pPr>
            <w:r>
              <w:rPr>
                <w:b/>
                <w:szCs w:val="21"/>
              </w:rPr>
              <w:t>内容及要求</w:t>
            </w:r>
          </w:p>
        </w:tc>
      </w:tr>
      <w:tr w14:paraId="027688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17A09267">
            <w:pPr>
              <w:snapToGrid w:val="0"/>
              <w:jc w:val="center"/>
              <w:rPr>
                <w:bCs/>
                <w:szCs w:val="21"/>
              </w:rPr>
            </w:pPr>
            <w:r>
              <w:rPr>
                <w:bCs/>
                <w:szCs w:val="21"/>
              </w:rPr>
              <w:t>1</w:t>
            </w:r>
          </w:p>
        </w:tc>
        <w:tc>
          <w:tcPr>
            <w:tcW w:w="1517" w:type="dxa"/>
            <w:noWrap w:val="0"/>
            <w:vAlign w:val="center"/>
          </w:tcPr>
          <w:p w14:paraId="258ABB61">
            <w:pPr>
              <w:snapToGrid w:val="0"/>
              <w:jc w:val="center"/>
              <w:rPr>
                <w:bCs/>
                <w:szCs w:val="21"/>
              </w:rPr>
            </w:pPr>
            <w:r>
              <w:rPr>
                <w:bCs/>
                <w:szCs w:val="21"/>
              </w:rPr>
              <w:t>危险源情况</w:t>
            </w:r>
          </w:p>
        </w:tc>
        <w:tc>
          <w:tcPr>
            <w:tcW w:w="6284" w:type="dxa"/>
            <w:noWrap w:val="0"/>
            <w:vAlign w:val="center"/>
          </w:tcPr>
          <w:p w14:paraId="3C9A729F">
            <w:pPr>
              <w:snapToGrid w:val="0"/>
              <w:jc w:val="left"/>
              <w:rPr>
                <w:bCs/>
                <w:szCs w:val="21"/>
              </w:rPr>
            </w:pPr>
            <w:r>
              <w:rPr>
                <w:bCs/>
                <w:szCs w:val="21"/>
              </w:rPr>
              <w:t>详细说明危险源类型、数量、分布及其对环境的风险</w:t>
            </w:r>
          </w:p>
        </w:tc>
      </w:tr>
      <w:tr w14:paraId="4B7274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34C250A9">
            <w:pPr>
              <w:snapToGrid w:val="0"/>
              <w:jc w:val="center"/>
              <w:rPr>
                <w:bCs/>
                <w:szCs w:val="21"/>
              </w:rPr>
            </w:pPr>
            <w:r>
              <w:rPr>
                <w:bCs/>
                <w:szCs w:val="21"/>
              </w:rPr>
              <w:t>2</w:t>
            </w:r>
          </w:p>
        </w:tc>
        <w:tc>
          <w:tcPr>
            <w:tcW w:w="1517" w:type="dxa"/>
            <w:noWrap w:val="0"/>
            <w:vAlign w:val="center"/>
          </w:tcPr>
          <w:p w14:paraId="42642DAE">
            <w:pPr>
              <w:snapToGrid w:val="0"/>
              <w:jc w:val="center"/>
              <w:rPr>
                <w:bCs/>
                <w:szCs w:val="21"/>
              </w:rPr>
            </w:pPr>
            <w:r>
              <w:rPr>
                <w:bCs/>
                <w:szCs w:val="21"/>
              </w:rPr>
              <w:t>应急计划区</w:t>
            </w:r>
          </w:p>
        </w:tc>
        <w:tc>
          <w:tcPr>
            <w:tcW w:w="6284" w:type="dxa"/>
            <w:noWrap w:val="0"/>
            <w:vAlign w:val="center"/>
          </w:tcPr>
          <w:p w14:paraId="7D90CB65">
            <w:pPr>
              <w:snapToGrid w:val="0"/>
              <w:jc w:val="left"/>
              <w:rPr>
                <w:bCs/>
                <w:szCs w:val="21"/>
              </w:rPr>
            </w:pPr>
            <w:r>
              <w:rPr>
                <w:bCs/>
                <w:szCs w:val="21"/>
              </w:rPr>
              <w:t>本预案适用于项目污水处理站</w:t>
            </w:r>
            <w:r>
              <w:rPr>
                <w:szCs w:val="21"/>
              </w:rPr>
              <w:t>、沼气贮存区、环境保护目标</w:t>
            </w:r>
          </w:p>
        </w:tc>
      </w:tr>
      <w:tr w14:paraId="24B012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74EEED21">
            <w:pPr>
              <w:snapToGrid w:val="0"/>
              <w:jc w:val="center"/>
              <w:rPr>
                <w:bCs/>
                <w:szCs w:val="21"/>
              </w:rPr>
            </w:pPr>
            <w:r>
              <w:rPr>
                <w:bCs/>
                <w:szCs w:val="21"/>
              </w:rPr>
              <w:t>3</w:t>
            </w:r>
          </w:p>
        </w:tc>
        <w:tc>
          <w:tcPr>
            <w:tcW w:w="1517" w:type="dxa"/>
            <w:noWrap w:val="0"/>
            <w:vAlign w:val="center"/>
          </w:tcPr>
          <w:p w14:paraId="04E31140">
            <w:pPr>
              <w:snapToGrid w:val="0"/>
              <w:jc w:val="center"/>
              <w:rPr>
                <w:bCs/>
                <w:szCs w:val="21"/>
              </w:rPr>
            </w:pPr>
            <w:r>
              <w:rPr>
                <w:bCs/>
                <w:szCs w:val="21"/>
              </w:rPr>
              <w:t>应急组织机构、人员</w:t>
            </w:r>
          </w:p>
        </w:tc>
        <w:tc>
          <w:tcPr>
            <w:tcW w:w="6284" w:type="dxa"/>
            <w:noWrap w:val="0"/>
            <w:vAlign w:val="center"/>
          </w:tcPr>
          <w:p w14:paraId="3C00D367">
            <w:pPr>
              <w:snapToGrid w:val="0"/>
              <w:jc w:val="left"/>
              <w:rPr>
                <w:bCs/>
                <w:szCs w:val="21"/>
              </w:rPr>
            </w:pPr>
            <w:r>
              <w:rPr>
                <w:bCs/>
                <w:szCs w:val="21"/>
              </w:rPr>
              <w:t>企业：成立事故应急指挥小组，由厂长担任小组长，负责现场全面指挥，专业救援队伍负责事故控制、救援和善后处理。</w:t>
            </w:r>
          </w:p>
          <w:p w14:paraId="1FE46C57">
            <w:pPr>
              <w:snapToGrid w:val="0"/>
              <w:jc w:val="left"/>
              <w:rPr>
                <w:bCs/>
                <w:szCs w:val="21"/>
              </w:rPr>
            </w:pPr>
            <w:r>
              <w:rPr>
                <w:bCs/>
                <w:szCs w:val="21"/>
              </w:rPr>
              <w:t>临近地区：地区指挥部负责企业附近地区全面指挥，救援，管制和疏散。</w:t>
            </w:r>
          </w:p>
        </w:tc>
      </w:tr>
      <w:tr w14:paraId="52EF30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68045595">
            <w:pPr>
              <w:snapToGrid w:val="0"/>
              <w:jc w:val="center"/>
              <w:rPr>
                <w:bCs/>
                <w:szCs w:val="21"/>
              </w:rPr>
            </w:pPr>
            <w:r>
              <w:rPr>
                <w:bCs/>
                <w:szCs w:val="21"/>
              </w:rPr>
              <w:t>4</w:t>
            </w:r>
          </w:p>
        </w:tc>
        <w:tc>
          <w:tcPr>
            <w:tcW w:w="1517" w:type="dxa"/>
            <w:noWrap w:val="0"/>
            <w:vAlign w:val="center"/>
          </w:tcPr>
          <w:p w14:paraId="597FE58A">
            <w:pPr>
              <w:snapToGrid w:val="0"/>
              <w:jc w:val="center"/>
              <w:rPr>
                <w:bCs/>
                <w:szCs w:val="21"/>
              </w:rPr>
            </w:pPr>
            <w:r>
              <w:rPr>
                <w:bCs/>
                <w:szCs w:val="21"/>
              </w:rPr>
              <w:t>预案分级响应条件</w:t>
            </w:r>
          </w:p>
        </w:tc>
        <w:tc>
          <w:tcPr>
            <w:tcW w:w="6284" w:type="dxa"/>
            <w:noWrap w:val="0"/>
            <w:vAlign w:val="center"/>
          </w:tcPr>
          <w:p w14:paraId="2398DFD7">
            <w:pPr>
              <w:snapToGrid w:val="0"/>
              <w:jc w:val="left"/>
              <w:rPr>
                <w:bCs/>
                <w:szCs w:val="21"/>
              </w:rPr>
            </w:pPr>
            <w:r>
              <w:rPr>
                <w:bCs/>
                <w:szCs w:val="21"/>
              </w:rPr>
              <w:t xml:space="preserve">规定环境风险事故的级别及相应的应急状态分类，以此制定相应的应急响应程序。 </w:t>
            </w:r>
          </w:p>
        </w:tc>
      </w:tr>
      <w:tr w14:paraId="0C2B1E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51F4C065">
            <w:pPr>
              <w:snapToGrid w:val="0"/>
              <w:jc w:val="center"/>
              <w:rPr>
                <w:bCs/>
                <w:szCs w:val="21"/>
              </w:rPr>
            </w:pPr>
            <w:r>
              <w:rPr>
                <w:bCs/>
                <w:szCs w:val="21"/>
              </w:rPr>
              <w:t>5</w:t>
            </w:r>
          </w:p>
        </w:tc>
        <w:tc>
          <w:tcPr>
            <w:tcW w:w="1517" w:type="dxa"/>
            <w:noWrap w:val="0"/>
            <w:vAlign w:val="center"/>
          </w:tcPr>
          <w:p w14:paraId="12B01ECF">
            <w:pPr>
              <w:snapToGrid w:val="0"/>
              <w:jc w:val="center"/>
              <w:rPr>
                <w:bCs/>
                <w:szCs w:val="21"/>
              </w:rPr>
            </w:pPr>
            <w:r>
              <w:rPr>
                <w:bCs/>
                <w:szCs w:val="21"/>
              </w:rPr>
              <w:t>应急救援保障</w:t>
            </w:r>
          </w:p>
        </w:tc>
        <w:tc>
          <w:tcPr>
            <w:tcW w:w="6284" w:type="dxa"/>
            <w:noWrap w:val="0"/>
            <w:vAlign w:val="center"/>
          </w:tcPr>
          <w:p w14:paraId="33FB03D5">
            <w:pPr>
              <w:snapToGrid w:val="0"/>
              <w:jc w:val="left"/>
              <w:rPr>
                <w:bCs/>
                <w:szCs w:val="21"/>
              </w:rPr>
            </w:pPr>
            <w:r>
              <w:rPr>
                <w:bCs/>
                <w:szCs w:val="21"/>
              </w:rPr>
              <w:t>防火灾、爆炸事故的应急设施、设备与材料，主要为消防器材、消防服等；防燃气泄漏、扩散；中毒人员急救所用的一些药品、器材；</w:t>
            </w:r>
          </w:p>
          <w:p w14:paraId="179E6527">
            <w:pPr>
              <w:snapToGrid w:val="0"/>
              <w:jc w:val="left"/>
              <w:rPr>
                <w:bCs/>
                <w:szCs w:val="21"/>
              </w:rPr>
            </w:pPr>
            <w:r>
              <w:rPr>
                <w:bCs/>
                <w:szCs w:val="21"/>
              </w:rPr>
              <w:t>临界地区：中毒人员急救所用的一些药品、器材。</w:t>
            </w:r>
          </w:p>
        </w:tc>
      </w:tr>
      <w:tr w14:paraId="3E9FBF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412B67BC">
            <w:pPr>
              <w:snapToGrid w:val="0"/>
              <w:jc w:val="center"/>
              <w:rPr>
                <w:bCs/>
                <w:szCs w:val="21"/>
              </w:rPr>
            </w:pPr>
            <w:r>
              <w:rPr>
                <w:bCs/>
                <w:szCs w:val="21"/>
              </w:rPr>
              <w:t>6</w:t>
            </w:r>
          </w:p>
        </w:tc>
        <w:tc>
          <w:tcPr>
            <w:tcW w:w="1517" w:type="dxa"/>
            <w:noWrap w:val="0"/>
            <w:vAlign w:val="center"/>
          </w:tcPr>
          <w:p w14:paraId="3EEEEACF">
            <w:pPr>
              <w:snapToGrid w:val="0"/>
              <w:jc w:val="center"/>
              <w:rPr>
                <w:bCs/>
                <w:szCs w:val="21"/>
              </w:rPr>
            </w:pPr>
            <w:r>
              <w:rPr>
                <w:bCs/>
                <w:szCs w:val="21"/>
              </w:rPr>
              <w:t>报警、通讯联络方式</w:t>
            </w:r>
          </w:p>
        </w:tc>
        <w:tc>
          <w:tcPr>
            <w:tcW w:w="6284" w:type="dxa"/>
            <w:noWrap w:val="0"/>
            <w:vAlign w:val="center"/>
          </w:tcPr>
          <w:p w14:paraId="52F0D2FF">
            <w:pPr>
              <w:snapToGrid w:val="0"/>
              <w:jc w:val="left"/>
              <w:rPr>
                <w:bCs/>
                <w:szCs w:val="21"/>
              </w:rPr>
            </w:pPr>
            <w:r>
              <w:rPr>
                <w:bCs/>
                <w:szCs w:val="21"/>
              </w:rPr>
              <w:t>规定应急状态下的通讯、联系方式并进行备案等。</w:t>
            </w:r>
          </w:p>
        </w:tc>
      </w:tr>
      <w:tr w14:paraId="19D288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24AD4542">
            <w:pPr>
              <w:snapToGrid w:val="0"/>
              <w:jc w:val="center"/>
              <w:rPr>
                <w:bCs/>
                <w:szCs w:val="21"/>
              </w:rPr>
            </w:pPr>
            <w:r>
              <w:rPr>
                <w:bCs/>
                <w:szCs w:val="21"/>
              </w:rPr>
              <w:t>7</w:t>
            </w:r>
          </w:p>
        </w:tc>
        <w:tc>
          <w:tcPr>
            <w:tcW w:w="1517" w:type="dxa"/>
            <w:noWrap w:val="0"/>
            <w:vAlign w:val="center"/>
          </w:tcPr>
          <w:p w14:paraId="0E274942">
            <w:pPr>
              <w:snapToGrid w:val="0"/>
              <w:jc w:val="center"/>
              <w:rPr>
                <w:bCs/>
                <w:szCs w:val="21"/>
              </w:rPr>
            </w:pPr>
            <w:r>
              <w:rPr>
                <w:bCs/>
                <w:szCs w:val="21"/>
              </w:rPr>
              <w:t>应急环境监测、抢险、救援及控制措施</w:t>
            </w:r>
          </w:p>
        </w:tc>
        <w:tc>
          <w:tcPr>
            <w:tcW w:w="6284" w:type="dxa"/>
            <w:noWrap w:val="0"/>
            <w:vAlign w:val="center"/>
          </w:tcPr>
          <w:p w14:paraId="119712E9">
            <w:pPr>
              <w:snapToGrid w:val="0"/>
              <w:jc w:val="left"/>
              <w:rPr>
                <w:bCs/>
                <w:szCs w:val="21"/>
              </w:rPr>
            </w:pPr>
            <w:r>
              <w:rPr>
                <w:bCs/>
                <w:szCs w:val="21"/>
              </w:rPr>
              <w:t>由专业人员对事故现场进行应急监测，对事故性质、严重程度均所造成的环境危害后果进行评估，吸取经验教训避免再次发生事故，为指挥部门提供决策依据。</w:t>
            </w:r>
          </w:p>
        </w:tc>
      </w:tr>
      <w:tr w14:paraId="77A012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1A2BFA84">
            <w:pPr>
              <w:snapToGrid w:val="0"/>
              <w:jc w:val="center"/>
              <w:rPr>
                <w:bCs/>
                <w:szCs w:val="21"/>
              </w:rPr>
            </w:pPr>
            <w:r>
              <w:rPr>
                <w:bCs/>
                <w:szCs w:val="21"/>
              </w:rPr>
              <w:t>8</w:t>
            </w:r>
          </w:p>
        </w:tc>
        <w:tc>
          <w:tcPr>
            <w:tcW w:w="1517" w:type="dxa"/>
            <w:noWrap w:val="0"/>
            <w:vAlign w:val="center"/>
          </w:tcPr>
          <w:p w14:paraId="5A5BB4CE">
            <w:pPr>
              <w:snapToGrid w:val="0"/>
              <w:rPr>
                <w:bCs/>
                <w:szCs w:val="21"/>
              </w:rPr>
            </w:pPr>
            <w:r>
              <w:rPr>
                <w:bCs/>
                <w:szCs w:val="21"/>
              </w:rPr>
              <w:t>应急检测、防护措施、清除泄漏措施和器材</w:t>
            </w:r>
          </w:p>
        </w:tc>
        <w:tc>
          <w:tcPr>
            <w:tcW w:w="6284" w:type="dxa"/>
            <w:noWrap w:val="0"/>
            <w:vAlign w:val="center"/>
          </w:tcPr>
          <w:p w14:paraId="5FB33D91">
            <w:pPr>
              <w:snapToGrid w:val="0"/>
              <w:jc w:val="left"/>
              <w:rPr>
                <w:bCs/>
                <w:szCs w:val="21"/>
              </w:rPr>
            </w:pPr>
            <w:r>
              <w:rPr>
                <w:bCs/>
                <w:szCs w:val="21"/>
              </w:rPr>
              <w:t>事故现场：控制事故发展，防止扩大、蔓延及连锁反应；清除现场污染物，降低危害；相应的设施器材配备；</w:t>
            </w:r>
          </w:p>
          <w:p w14:paraId="2F565D38">
            <w:pPr>
              <w:snapToGrid w:val="0"/>
              <w:jc w:val="left"/>
              <w:rPr>
                <w:bCs/>
                <w:szCs w:val="21"/>
              </w:rPr>
            </w:pPr>
            <w:r>
              <w:rPr>
                <w:bCs/>
                <w:szCs w:val="21"/>
              </w:rPr>
              <w:t>临近地区：控制防火区域，控制和消除环境污染的措施及相应的设备配备。</w:t>
            </w:r>
          </w:p>
        </w:tc>
      </w:tr>
      <w:tr w14:paraId="5B265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2DCD0A1E">
            <w:pPr>
              <w:snapToGrid w:val="0"/>
              <w:jc w:val="center"/>
              <w:rPr>
                <w:bCs/>
                <w:szCs w:val="21"/>
              </w:rPr>
            </w:pPr>
            <w:r>
              <w:rPr>
                <w:bCs/>
                <w:szCs w:val="21"/>
              </w:rPr>
              <w:t>9</w:t>
            </w:r>
          </w:p>
        </w:tc>
        <w:tc>
          <w:tcPr>
            <w:tcW w:w="1517" w:type="dxa"/>
            <w:noWrap w:val="0"/>
            <w:vAlign w:val="center"/>
          </w:tcPr>
          <w:p w14:paraId="45E79C15">
            <w:pPr>
              <w:snapToGrid w:val="0"/>
              <w:rPr>
                <w:bCs/>
                <w:szCs w:val="21"/>
              </w:rPr>
            </w:pPr>
            <w:r>
              <w:rPr>
                <w:bCs/>
                <w:szCs w:val="21"/>
              </w:rPr>
              <w:t>人员紧急撤离、疏散，应急剂量控制、撤离组织计划</w:t>
            </w:r>
          </w:p>
        </w:tc>
        <w:tc>
          <w:tcPr>
            <w:tcW w:w="6284" w:type="dxa"/>
            <w:noWrap w:val="0"/>
            <w:vAlign w:val="center"/>
          </w:tcPr>
          <w:p w14:paraId="0905A516">
            <w:pPr>
              <w:snapToGrid w:val="0"/>
              <w:jc w:val="left"/>
              <w:rPr>
                <w:bCs/>
                <w:szCs w:val="21"/>
              </w:rPr>
            </w:pPr>
            <w:r>
              <w:rPr>
                <w:bCs/>
                <w:szCs w:val="21"/>
              </w:rPr>
              <w:t>事故现场：事故处理人员制定毒物的应急剂量、现场及临近装置人员的撤离组织计划和紧急救护方案；</w:t>
            </w:r>
          </w:p>
          <w:p w14:paraId="670846B4">
            <w:pPr>
              <w:snapToGrid w:val="0"/>
              <w:jc w:val="left"/>
              <w:rPr>
                <w:bCs/>
                <w:szCs w:val="21"/>
              </w:rPr>
            </w:pPr>
            <w:r>
              <w:rPr>
                <w:bCs/>
                <w:szCs w:val="21"/>
              </w:rPr>
              <w:t>临近地区：制定受事故影响的临近地区内人员对毒物的应急剂量、公众的疏散组织计划和紧急救护方案。</w:t>
            </w:r>
          </w:p>
        </w:tc>
      </w:tr>
      <w:tr w14:paraId="79D5CA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3BEBEC40">
            <w:pPr>
              <w:snapToGrid w:val="0"/>
              <w:jc w:val="center"/>
              <w:rPr>
                <w:bCs/>
                <w:szCs w:val="21"/>
              </w:rPr>
            </w:pPr>
            <w:r>
              <w:rPr>
                <w:bCs/>
                <w:szCs w:val="21"/>
              </w:rPr>
              <w:t>10</w:t>
            </w:r>
          </w:p>
        </w:tc>
        <w:tc>
          <w:tcPr>
            <w:tcW w:w="1517" w:type="dxa"/>
            <w:noWrap w:val="0"/>
            <w:vAlign w:val="center"/>
          </w:tcPr>
          <w:p w14:paraId="5F7B6053">
            <w:pPr>
              <w:snapToGrid w:val="0"/>
              <w:rPr>
                <w:bCs/>
                <w:szCs w:val="21"/>
              </w:rPr>
            </w:pPr>
            <w:r>
              <w:rPr>
                <w:bCs/>
                <w:szCs w:val="21"/>
              </w:rPr>
              <w:t>事故应急救援关闭程序与恢复措施</w:t>
            </w:r>
          </w:p>
        </w:tc>
        <w:tc>
          <w:tcPr>
            <w:tcW w:w="6284" w:type="dxa"/>
            <w:noWrap w:val="0"/>
            <w:vAlign w:val="center"/>
          </w:tcPr>
          <w:p w14:paraId="4CDCFFE5">
            <w:pPr>
              <w:snapToGrid w:val="0"/>
              <w:jc w:val="left"/>
              <w:rPr>
                <w:bCs/>
                <w:szCs w:val="21"/>
              </w:rPr>
            </w:pPr>
            <w:r>
              <w:rPr>
                <w:bCs/>
                <w:szCs w:val="21"/>
              </w:rPr>
              <w:t>事故现场：规定应急状态终止秩序；事故现场善后处理，恢复生产措施；</w:t>
            </w:r>
          </w:p>
          <w:p w14:paraId="4473BCF9">
            <w:pPr>
              <w:snapToGrid w:val="0"/>
              <w:jc w:val="left"/>
              <w:rPr>
                <w:bCs/>
                <w:szCs w:val="21"/>
              </w:rPr>
            </w:pPr>
            <w:r>
              <w:rPr>
                <w:bCs/>
                <w:szCs w:val="21"/>
              </w:rPr>
              <w:t>临近地区：解除事故警戒，公众返回和善后措施。</w:t>
            </w:r>
          </w:p>
        </w:tc>
      </w:tr>
      <w:tr w14:paraId="2BCCE5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6DDB9FF6">
            <w:pPr>
              <w:snapToGrid w:val="0"/>
              <w:jc w:val="center"/>
              <w:rPr>
                <w:bCs/>
                <w:szCs w:val="21"/>
              </w:rPr>
            </w:pPr>
            <w:r>
              <w:rPr>
                <w:bCs/>
                <w:szCs w:val="21"/>
              </w:rPr>
              <w:t>11</w:t>
            </w:r>
          </w:p>
        </w:tc>
        <w:tc>
          <w:tcPr>
            <w:tcW w:w="1517" w:type="dxa"/>
            <w:noWrap w:val="0"/>
            <w:vAlign w:val="center"/>
          </w:tcPr>
          <w:p w14:paraId="17453E00">
            <w:pPr>
              <w:snapToGrid w:val="0"/>
              <w:rPr>
                <w:bCs/>
                <w:szCs w:val="21"/>
              </w:rPr>
            </w:pPr>
            <w:r>
              <w:rPr>
                <w:bCs/>
                <w:szCs w:val="21"/>
              </w:rPr>
              <w:t>应急培训计划</w:t>
            </w:r>
          </w:p>
        </w:tc>
        <w:tc>
          <w:tcPr>
            <w:tcW w:w="6284" w:type="dxa"/>
            <w:noWrap w:val="0"/>
            <w:vAlign w:val="center"/>
          </w:tcPr>
          <w:p w14:paraId="189F8126">
            <w:pPr>
              <w:snapToGrid w:val="0"/>
              <w:jc w:val="left"/>
              <w:rPr>
                <w:bCs/>
                <w:szCs w:val="21"/>
              </w:rPr>
            </w:pPr>
            <w:r>
              <w:rPr>
                <w:bCs/>
                <w:szCs w:val="21"/>
              </w:rPr>
              <w:t>应急计划制定后，应定时对员工进行相关知识培训并进行事故应急处理演习；对员工进行安全卫生教育。</w:t>
            </w:r>
          </w:p>
        </w:tc>
      </w:tr>
      <w:tr w14:paraId="59B99D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21" w:type="dxa"/>
            <w:noWrap w:val="0"/>
            <w:vAlign w:val="center"/>
          </w:tcPr>
          <w:p w14:paraId="42E5481E">
            <w:pPr>
              <w:snapToGrid w:val="0"/>
              <w:jc w:val="center"/>
              <w:rPr>
                <w:bCs/>
                <w:szCs w:val="21"/>
              </w:rPr>
            </w:pPr>
            <w:r>
              <w:rPr>
                <w:bCs/>
                <w:szCs w:val="21"/>
              </w:rPr>
              <w:t>12</w:t>
            </w:r>
          </w:p>
        </w:tc>
        <w:tc>
          <w:tcPr>
            <w:tcW w:w="1517" w:type="dxa"/>
            <w:noWrap w:val="0"/>
            <w:vAlign w:val="center"/>
          </w:tcPr>
          <w:p w14:paraId="76B73BBC">
            <w:pPr>
              <w:snapToGrid w:val="0"/>
              <w:rPr>
                <w:bCs/>
                <w:szCs w:val="21"/>
              </w:rPr>
            </w:pPr>
            <w:r>
              <w:rPr>
                <w:bCs/>
                <w:szCs w:val="21"/>
              </w:rPr>
              <w:t>公众教育和信息</w:t>
            </w:r>
          </w:p>
        </w:tc>
        <w:tc>
          <w:tcPr>
            <w:tcW w:w="6284" w:type="dxa"/>
            <w:noWrap w:val="0"/>
            <w:vAlign w:val="center"/>
          </w:tcPr>
          <w:p w14:paraId="4099C4AC">
            <w:pPr>
              <w:snapToGrid w:val="0"/>
              <w:jc w:val="left"/>
              <w:rPr>
                <w:bCs/>
                <w:szCs w:val="21"/>
              </w:rPr>
            </w:pPr>
            <w:r>
              <w:rPr>
                <w:bCs/>
                <w:szCs w:val="21"/>
              </w:rPr>
              <w:t>对猪场临近地区公众开展环境风险事故预防教育、应急知识培训并定期发布相关信息。</w:t>
            </w:r>
          </w:p>
        </w:tc>
      </w:tr>
    </w:tbl>
    <w:p w14:paraId="2F6BD010">
      <w:pPr>
        <w:adjustRightInd w:val="0"/>
        <w:snapToGrid w:val="0"/>
        <w:spacing w:line="360" w:lineRule="auto"/>
        <w:ind w:firstLine="480" w:firstLineChars="200"/>
        <w:rPr>
          <w:sz w:val="24"/>
        </w:rPr>
      </w:pPr>
      <w:r>
        <w:rPr>
          <w:sz w:val="24"/>
        </w:rPr>
        <w:t>由于环境风险具有突发性和短暂性及危害较大等特点，必须采取相应有效预防措施加以防范，加强控制和管理，杜绝、减轻和避免环境风险。本项目通过采取相应的防范措施及加强环境管理，可将环境风险降低至可接受范围。</w:t>
      </w:r>
    </w:p>
    <w:p w14:paraId="78DEB51E">
      <w:pPr>
        <w:keepNext/>
        <w:keepLines/>
        <w:spacing w:line="360" w:lineRule="auto"/>
        <w:outlineLvl w:val="2"/>
        <w:rPr>
          <w:b/>
          <w:sz w:val="24"/>
        </w:rPr>
      </w:pPr>
      <w:r>
        <w:rPr>
          <w:b/>
          <w:sz w:val="24"/>
        </w:rPr>
        <w:t>6.5.2应急救援预案</w:t>
      </w:r>
    </w:p>
    <w:p w14:paraId="442EB8CA">
      <w:pPr>
        <w:adjustRightInd w:val="0"/>
        <w:snapToGrid w:val="0"/>
        <w:spacing w:line="360" w:lineRule="auto"/>
        <w:ind w:firstLine="480" w:firstLineChars="200"/>
        <w:rPr>
          <w:sz w:val="24"/>
        </w:rPr>
      </w:pPr>
      <w:r>
        <w:rPr>
          <w:sz w:val="24"/>
        </w:rPr>
        <w:t>事故救援预案中与本项目相关的主要预案如下：</w:t>
      </w:r>
    </w:p>
    <w:p w14:paraId="55D81683">
      <w:pPr>
        <w:adjustRightInd w:val="0"/>
        <w:snapToGrid w:val="0"/>
        <w:spacing w:line="360" w:lineRule="auto"/>
        <w:ind w:firstLine="480" w:firstLineChars="200"/>
        <w:rPr>
          <w:sz w:val="24"/>
        </w:rPr>
      </w:pPr>
      <w:r>
        <w:rPr>
          <w:sz w:val="24"/>
        </w:rPr>
        <w:t>（1）应急救援系统组成</w:t>
      </w:r>
    </w:p>
    <w:p w14:paraId="3FD41363">
      <w:pPr>
        <w:adjustRightInd w:val="0"/>
        <w:snapToGrid w:val="0"/>
        <w:spacing w:line="360" w:lineRule="auto"/>
        <w:ind w:firstLine="480" w:firstLineChars="200"/>
        <w:rPr>
          <w:sz w:val="24"/>
        </w:rPr>
      </w:pPr>
      <w:r>
        <w:rPr>
          <w:sz w:val="24"/>
        </w:rPr>
        <w:t>应急救援系统——由应急救援指挥部和各专业救援队组成。指挥部由总指挥、副总指挥、指挥部成员和指挥部办公室组成。</w:t>
      </w:r>
    </w:p>
    <w:p w14:paraId="76166484">
      <w:pPr>
        <w:adjustRightInd w:val="0"/>
        <w:snapToGrid w:val="0"/>
        <w:spacing w:line="360" w:lineRule="auto"/>
        <w:ind w:firstLine="480" w:firstLineChars="200"/>
        <w:rPr>
          <w:sz w:val="24"/>
        </w:rPr>
      </w:pPr>
      <w:r>
        <w:rPr>
          <w:sz w:val="24"/>
        </w:rPr>
        <w:t>专业救援队——由消防队、医疗救援队、抢险抢修队、运输队、警戒治安队、新闻宣传队、后勤技术支援队组成。</w:t>
      </w:r>
    </w:p>
    <w:p w14:paraId="6AFD392B">
      <w:pPr>
        <w:adjustRightInd w:val="0"/>
        <w:snapToGrid w:val="0"/>
        <w:spacing w:line="360" w:lineRule="auto"/>
        <w:ind w:firstLine="480" w:firstLineChars="200"/>
        <w:rPr>
          <w:sz w:val="24"/>
        </w:rPr>
      </w:pPr>
      <w:r>
        <w:rPr>
          <w:sz w:val="24"/>
        </w:rPr>
        <w:t>（2）现场抢险与消防</w:t>
      </w:r>
    </w:p>
    <w:p w14:paraId="5B850ECA">
      <w:pPr>
        <w:adjustRightInd w:val="0"/>
        <w:snapToGrid w:val="0"/>
        <w:spacing w:line="360" w:lineRule="auto"/>
        <w:ind w:firstLine="480" w:firstLineChars="200"/>
        <w:rPr>
          <w:sz w:val="24"/>
        </w:rPr>
      </w:pPr>
      <w:r>
        <w:rPr>
          <w:sz w:val="24"/>
        </w:rPr>
        <w:t>在发生事故时首先防止爆炸、燃烧危险，必须迅速、准确、有效地控制火情、防止蔓延。</w:t>
      </w:r>
    </w:p>
    <w:p w14:paraId="074B91DA">
      <w:pPr>
        <w:adjustRightInd w:val="0"/>
        <w:snapToGrid w:val="0"/>
        <w:spacing w:line="360" w:lineRule="auto"/>
        <w:ind w:firstLine="480" w:firstLineChars="200"/>
        <w:rPr>
          <w:sz w:val="24"/>
        </w:rPr>
      </w:pPr>
      <w:r>
        <w:rPr>
          <w:sz w:val="24"/>
        </w:rPr>
        <w:t>（3）医疗救护</w:t>
      </w:r>
    </w:p>
    <w:p w14:paraId="08C2C762">
      <w:pPr>
        <w:adjustRightInd w:val="0"/>
        <w:snapToGrid w:val="0"/>
        <w:spacing w:line="360" w:lineRule="auto"/>
        <w:ind w:firstLine="480" w:firstLineChars="200"/>
        <w:rPr>
          <w:sz w:val="24"/>
        </w:rPr>
      </w:pPr>
      <w:r>
        <w:rPr>
          <w:sz w:val="24"/>
        </w:rPr>
        <w:t>医疗救护队员必须根据报告的事故情况，穿戴好相应的防护用具，携带医疗器械，赶赴事故现场，到达现场后首先选择安全地点作为现场医疗救护点，在抢险人员协助下将伤员转送至此安置、救治。</w:t>
      </w:r>
    </w:p>
    <w:p w14:paraId="0161D624">
      <w:pPr>
        <w:adjustRightInd w:val="0"/>
        <w:snapToGrid w:val="0"/>
        <w:spacing w:line="360" w:lineRule="auto"/>
        <w:ind w:firstLine="480" w:firstLineChars="200"/>
        <w:rPr>
          <w:sz w:val="24"/>
        </w:rPr>
      </w:pPr>
      <w:r>
        <w:rPr>
          <w:sz w:val="24"/>
        </w:rPr>
        <w:t>（4）紧急安全疏散与警戒</w:t>
      </w:r>
    </w:p>
    <w:p w14:paraId="2144169F">
      <w:pPr>
        <w:adjustRightInd w:val="0"/>
        <w:snapToGrid w:val="0"/>
        <w:spacing w:line="360" w:lineRule="auto"/>
        <w:ind w:firstLine="480" w:firstLineChars="200"/>
        <w:rPr>
          <w:sz w:val="24"/>
        </w:rPr>
      </w:pPr>
      <w:r>
        <w:rPr>
          <w:sz w:val="24"/>
        </w:rPr>
        <w:t>在发生重大事故，可能对厂区内外人员安全构成威胁时，必须在统一指挥下，对与事故救援人员无关人员进行紧急疏散，建立警戒区，除事故救援和必须坚守岗位人员外，任何人员禁止进入警戒区。</w:t>
      </w:r>
    </w:p>
    <w:p w14:paraId="4C8B8CFD">
      <w:pPr>
        <w:adjustRightInd w:val="0"/>
        <w:snapToGrid w:val="0"/>
        <w:spacing w:line="360" w:lineRule="auto"/>
        <w:ind w:firstLine="480" w:firstLineChars="200"/>
        <w:rPr>
          <w:sz w:val="24"/>
        </w:rPr>
      </w:pPr>
      <w:r>
        <w:rPr>
          <w:sz w:val="24"/>
        </w:rPr>
        <w:t>在发生重大事故后，应对事故单位岗位人员、相邻单位岗位人员、厂外人员进行疏散。</w:t>
      </w:r>
    </w:p>
    <w:p w14:paraId="526C02DC">
      <w:pPr>
        <w:adjustRightInd w:val="0"/>
        <w:snapToGrid w:val="0"/>
        <w:spacing w:line="360" w:lineRule="auto"/>
        <w:ind w:firstLine="480" w:firstLineChars="200"/>
        <w:rPr>
          <w:sz w:val="24"/>
        </w:rPr>
      </w:pPr>
      <w:r>
        <w:rPr>
          <w:sz w:val="24"/>
        </w:rPr>
        <w:t>（5）社会支援</w:t>
      </w:r>
    </w:p>
    <w:p w14:paraId="0EEAA704">
      <w:pPr>
        <w:adjustRightInd w:val="0"/>
        <w:snapToGrid w:val="0"/>
        <w:spacing w:line="360" w:lineRule="auto"/>
        <w:ind w:firstLine="480" w:firstLineChars="200"/>
        <w:rPr>
          <w:sz w:val="24"/>
        </w:rPr>
      </w:pPr>
      <w:r>
        <w:rPr>
          <w:sz w:val="24"/>
        </w:rPr>
        <w:t>厂区内设置的部分消防设施主要是消火栓、水龙带等，一旦有重大火灾事故发生，必须按规定立即向上级及有关单位联系，请求社会力量支援抢险。</w:t>
      </w:r>
    </w:p>
    <w:p w14:paraId="7D3891DD">
      <w:pPr>
        <w:adjustRightInd w:val="0"/>
        <w:snapToGrid w:val="0"/>
        <w:spacing w:line="360" w:lineRule="auto"/>
        <w:ind w:firstLine="480" w:firstLineChars="200"/>
        <w:rPr>
          <w:sz w:val="24"/>
        </w:rPr>
      </w:pPr>
      <w:r>
        <w:rPr>
          <w:sz w:val="24"/>
        </w:rPr>
        <w:t>社会支援包括：火警消防、医疗救护、工程抢险、警戒治安、抢险物资等方面的社会支援。</w:t>
      </w:r>
    </w:p>
    <w:p w14:paraId="6453BA2E">
      <w:pPr>
        <w:keepNext/>
        <w:keepLines/>
        <w:tabs>
          <w:tab w:val="left" w:pos="2223"/>
          <w:tab w:val="left" w:pos="2558"/>
        </w:tabs>
        <w:spacing w:line="360" w:lineRule="auto"/>
        <w:outlineLvl w:val="1"/>
        <w:rPr>
          <w:b/>
          <w:sz w:val="24"/>
        </w:rPr>
      </w:pPr>
      <w:bookmarkStart w:id="198" w:name="_Toc24098"/>
      <w:r>
        <w:rPr>
          <w:b/>
          <w:sz w:val="24"/>
        </w:rPr>
        <w:t>6.6小结</w:t>
      </w:r>
      <w:bookmarkEnd w:id="198"/>
    </w:p>
    <w:p w14:paraId="50753275">
      <w:pPr>
        <w:adjustRightInd w:val="0"/>
        <w:snapToGrid w:val="0"/>
        <w:spacing w:line="360" w:lineRule="auto"/>
        <w:ind w:firstLine="480" w:firstLineChars="200"/>
        <w:rPr>
          <w:sz w:val="24"/>
        </w:rPr>
      </w:pPr>
      <w:r>
        <w:rPr>
          <w:sz w:val="24"/>
        </w:rPr>
        <w:t>本项目工艺过程主要风险为沼气的燃烧爆炸及污水泄漏。</w:t>
      </w:r>
    </w:p>
    <w:p w14:paraId="11CFBFE4">
      <w:pPr>
        <w:adjustRightInd w:val="0"/>
        <w:snapToGrid w:val="0"/>
        <w:spacing w:line="360" w:lineRule="auto"/>
        <w:ind w:firstLine="480" w:firstLineChars="200"/>
        <w:rPr>
          <w:sz w:val="24"/>
        </w:rPr>
      </w:pPr>
      <w:r>
        <w:rPr>
          <w:sz w:val="24"/>
        </w:rPr>
        <w:t>本项目主要危险性物质有天然气、沼气。根据对各装置和设备的危险性分析，本项目的潜在风险事故是物料泄漏以及火灾、爆炸引起次生危害。采取相关措施后项目环境风险可以接受，但是生产过程中必须加强安全管理，防范重大事故，建立有效的应急预案可降低重大事故的损失。企业应在设计、建设和今后的操作运行中，认真落实各项有效的安全措施，加强安全管理，保障安全生产。</w:t>
      </w:r>
    </w:p>
    <w:p w14:paraId="50690B04">
      <w:pPr>
        <w:pStyle w:val="47"/>
        <w:rPr>
          <w:rFonts w:ascii="Times New Roman" w:hAnsi="Times New Roman" w:cs="Times New Roman"/>
          <w:sz w:val="24"/>
        </w:rPr>
      </w:pPr>
    </w:p>
    <w:p w14:paraId="6158D3C7">
      <w:pPr>
        <w:pStyle w:val="2"/>
        <w:rPr>
          <w:rFonts w:ascii="Times New Roman" w:hAnsi="Times New Roman"/>
          <w:color w:val="auto"/>
        </w:rPr>
      </w:pPr>
    </w:p>
    <w:p w14:paraId="6808EAC5">
      <w:pPr>
        <w:pStyle w:val="2"/>
        <w:rPr>
          <w:rFonts w:ascii="Times New Roman" w:hAnsi="Times New Roman"/>
          <w:color w:val="auto"/>
        </w:rPr>
      </w:pPr>
    </w:p>
    <w:p w14:paraId="357D3C48">
      <w:pPr>
        <w:pStyle w:val="2"/>
        <w:rPr>
          <w:rFonts w:ascii="Times New Roman" w:hAnsi="Times New Roman"/>
          <w:color w:val="auto"/>
        </w:rPr>
      </w:pPr>
    </w:p>
    <w:p w14:paraId="25DD57E2">
      <w:pPr>
        <w:pStyle w:val="2"/>
        <w:rPr>
          <w:rFonts w:ascii="Times New Roman" w:hAnsi="Times New Roman"/>
          <w:color w:val="auto"/>
        </w:rPr>
      </w:pPr>
    </w:p>
    <w:p w14:paraId="0B195F26">
      <w:pPr>
        <w:pStyle w:val="2"/>
        <w:rPr>
          <w:rFonts w:ascii="Times New Roman" w:hAnsi="Times New Roman"/>
          <w:color w:val="auto"/>
        </w:rPr>
      </w:pPr>
    </w:p>
    <w:p w14:paraId="0E1CED90">
      <w:pPr>
        <w:adjustRightInd w:val="0"/>
        <w:snapToGrid w:val="0"/>
        <w:spacing w:line="360" w:lineRule="auto"/>
        <w:ind w:firstLine="482" w:firstLineChars="200"/>
        <w:jc w:val="center"/>
        <w:rPr>
          <w:b/>
          <w:sz w:val="24"/>
        </w:rPr>
      </w:pPr>
      <w:r>
        <w:rPr>
          <w:b/>
          <w:sz w:val="24"/>
        </w:rPr>
        <w:t>表6.6-1 建设项目环境风险简单分析内容表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623"/>
        <w:gridCol w:w="624"/>
        <w:gridCol w:w="170"/>
        <w:gridCol w:w="1351"/>
        <w:gridCol w:w="639"/>
        <w:gridCol w:w="608"/>
        <w:gridCol w:w="100"/>
        <w:gridCol w:w="851"/>
        <w:gridCol w:w="1899"/>
      </w:tblGrid>
      <w:tr w14:paraId="6D5E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663" w:type="dxa"/>
            <w:noWrap w:val="0"/>
            <w:vAlign w:val="center"/>
          </w:tcPr>
          <w:p w14:paraId="4ED84C0C">
            <w:pPr>
              <w:adjustRightInd w:val="0"/>
              <w:snapToGrid w:val="0"/>
              <w:jc w:val="center"/>
              <w:rPr>
                <w:kern w:val="0"/>
                <w:szCs w:val="21"/>
              </w:rPr>
            </w:pPr>
            <w:r>
              <w:rPr>
                <w:kern w:val="0"/>
                <w:szCs w:val="21"/>
              </w:rPr>
              <w:t>建设项目名称</w:t>
            </w:r>
          </w:p>
        </w:tc>
        <w:tc>
          <w:tcPr>
            <w:tcW w:w="6865" w:type="dxa"/>
            <w:gridSpan w:val="9"/>
            <w:noWrap w:val="0"/>
            <w:vAlign w:val="center"/>
          </w:tcPr>
          <w:p w14:paraId="335BEC40">
            <w:pPr>
              <w:adjustRightInd w:val="0"/>
              <w:snapToGrid w:val="0"/>
              <w:jc w:val="center"/>
              <w:rPr>
                <w:kern w:val="0"/>
                <w:szCs w:val="21"/>
              </w:rPr>
            </w:pPr>
            <w:r>
              <w:rPr>
                <w:kern w:val="0"/>
                <w:szCs w:val="21"/>
              </w:rPr>
              <w:t>石林源美养殖场项目</w:t>
            </w:r>
          </w:p>
        </w:tc>
      </w:tr>
      <w:tr w14:paraId="3CDF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noWrap w:val="0"/>
            <w:vAlign w:val="center"/>
          </w:tcPr>
          <w:p w14:paraId="3032EFFC">
            <w:pPr>
              <w:adjustRightInd w:val="0"/>
              <w:snapToGrid w:val="0"/>
              <w:jc w:val="center"/>
              <w:rPr>
                <w:kern w:val="0"/>
                <w:szCs w:val="21"/>
              </w:rPr>
            </w:pPr>
            <w:r>
              <w:rPr>
                <w:kern w:val="0"/>
                <w:szCs w:val="21"/>
              </w:rPr>
              <w:t>建设地点</w:t>
            </w:r>
          </w:p>
        </w:tc>
        <w:tc>
          <w:tcPr>
            <w:tcW w:w="1247" w:type="dxa"/>
            <w:gridSpan w:val="2"/>
            <w:noWrap w:val="0"/>
            <w:vAlign w:val="center"/>
          </w:tcPr>
          <w:p w14:paraId="678397B8">
            <w:pPr>
              <w:adjustRightInd w:val="0"/>
              <w:snapToGrid w:val="0"/>
              <w:jc w:val="center"/>
              <w:rPr>
                <w:kern w:val="0"/>
                <w:szCs w:val="21"/>
              </w:rPr>
            </w:pPr>
            <w:r>
              <w:rPr>
                <w:kern w:val="0"/>
                <w:szCs w:val="21"/>
              </w:rPr>
              <w:t>（云南）省</w:t>
            </w:r>
          </w:p>
        </w:tc>
        <w:tc>
          <w:tcPr>
            <w:tcW w:w="1521" w:type="dxa"/>
            <w:gridSpan w:val="2"/>
            <w:noWrap w:val="0"/>
            <w:vAlign w:val="center"/>
          </w:tcPr>
          <w:p w14:paraId="065D2889">
            <w:pPr>
              <w:adjustRightInd w:val="0"/>
              <w:snapToGrid w:val="0"/>
              <w:jc w:val="center"/>
              <w:rPr>
                <w:kern w:val="0"/>
                <w:szCs w:val="21"/>
              </w:rPr>
            </w:pPr>
            <w:r>
              <w:rPr>
                <w:kern w:val="0"/>
                <w:szCs w:val="21"/>
              </w:rPr>
              <w:t>（昆明）市</w:t>
            </w:r>
          </w:p>
        </w:tc>
        <w:tc>
          <w:tcPr>
            <w:tcW w:w="1247" w:type="dxa"/>
            <w:gridSpan w:val="2"/>
            <w:noWrap w:val="0"/>
            <w:vAlign w:val="center"/>
          </w:tcPr>
          <w:p w14:paraId="4692B824">
            <w:pPr>
              <w:adjustRightInd w:val="0"/>
              <w:snapToGrid w:val="0"/>
              <w:jc w:val="center"/>
              <w:rPr>
                <w:kern w:val="0"/>
                <w:szCs w:val="21"/>
              </w:rPr>
            </w:pPr>
            <w:r>
              <w:rPr>
                <w:kern w:val="0"/>
                <w:szCs w:val="21"/>
              </w:rPr>
              <w:t>（石林）县</w:t>
            </w:r>
          </w:p>
        </w:tc>
        <w:tc>
          <w:tcPr>
            <w:tcW w:w="2850" w:type="dxa"/>
            <w:gridSpan w:val="3"/>
            <w:noWrap w:val="0"/>
            <w:vAlign w:val="center"/>
          </w:tcPr>
          <w:p w14:paraId="7A258109">
            <w:pPr>
              <w:adjustRightInd w:val="0"/>
              <w:snapToGrid w:val="0"/>
              <w:rPr>
                <w:kern w:val="0"/>
                <w:szCs w:val="21"/>
              </w:rPr>
            </w:pPr>
            <w:r>
              <w:rPr>
                <w:kern w:val="0"/>
                <w:szCs w:val="21"/>
              </w:rPr>
              <w:t>圭山镇法块村、上寨村</w:t>
            </w:r>
          </w:p>
        </w:tc>
      </w:tr>
      <w:tr w14:paraId="38A0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vMerge w:val="restart"/>
            <w:noWrap w:val="0"/>
            <w:vAlign w:val="center"/>
          </w:tcPr>
          <w:p w14:paraId="539BF8A8">
            <w:pPr>
              <w:adjustRightInd w:val="0"/>
              <w:snapToGrid w:val="0"/>
              <w:jc w:val="center"/>
              <w:rPr>
                <w:kern w:val="0"/>
                <w:szCs w:val="21"/>
              </w:rPr>
            </w:pPr>
            <w:r>
              <w:rPr>
                <w:kern w:val="0"/>
                <w:szCs w:val="21"/>
              </w:rPr>
              <w:t>地理坐标</w:t>
            </w:r>
          </w:p>
        </w:tc>
        <w:tc>
          <w:tcPr>
            <w:tcW w:w="623" w:type="dxa"/>
            <w:vMerge w:val="restart"/>
            <w:noWrap w:val="0"/>
            <w:vAlign w:val="center"/>
          </w:tcPr>
          <w:p w14:paraId="0E575E4D">
            <w:pPr>
              <w:adjustRightInd w:val="0"/>
              <w:snapToGrid w:val="0"/>
              <w:jc w:val="center"/>
              <w:rPr>
                <w:kern w:val="0"/>
                <w:szCs w:val="21"/>
              </w:rPr>
            </w:pPr>
            <w:r>
              <w:rPr>
                <w:kern w:val="0"/>
                <w:szCs w:val="21"/>
              </w:rPr>
              <w:t>经度</w:t>
            </w:r>
          </w:p>
        </w:tc>
        <w:tc>
          <w:tcPr>
            <w:tcW w:w="794" w:type="dxa"/>
            <w:gridSpan w:val="2"/>
            <w:noWrap w:val="0"/>
            <w:vAlign w:val="center"/>
          </w:tcPr>
          <w:p w14:paraId="5DD59C2D">
            <w:pPr>
              <w:adjustRightInd w:val="0"/>
              <w:snapToGrid w:val="0"/>
              <w:jc w:val="center"/>
              <w:rPr>
                <w:kern w:val="0"/>
                <w:szCs w:val="21"/>
              </w:rPr>
            </w:pPr>
            <w:r>
              <w:rPr>
                <w:kern w:val="0"/>
                <w:szCs w:val="21"/>
              </w:rPr>
              <w:t>1号地</w:t>
            </w:r>
          </w:p>
        </w:tc>
        <w:tc>
          <w:tcPr>
            <w:tcW w:w="1990" w:type="dxa"/>
            <w:gridSpan w:val="2"/>
            <w:noWrap w:val="0"/>
            <w:vAlign w:val="center"/>
          </w:tcPr>
          <w:p w14:paraId="54CE4CCD">
            <w:pPr>
              <w:adjustRightInd w:val="0"/>
              <w:snapToGrid w:val="0"/>
              <w:jc w:val="left"/>
              <w:rPr>
                <w:kern w:val="0"/>
                <w:szCs w:val="21"/>
              </w:rPr>
            </w:pPr>
            <w:r>
              <w:rPr>
                <w:kern w:val="0"/>
                <w:szCs w:val="21"/>
              </w:rPr>
              <w:t>103°36′17.08″</w:t>
            </w:r>
          </w:p>
        </w:tc>
        <w:tc>
          <w:tcPr>
            <w:tcW w:w="708" w:type="dxa"/>
            <w:gridSpan w:val="2"/>
            <w:vMerge w:val="restart"/>
            <w:noWrap w:val="0"/>
            <w:vAlign w:val="center"/>
          </w:tcPr>
          <w:p w14:paraId="0E249956">
            <w:pPr>
              <w:adjustRightInd w:val="0"/>
              <w:snapToGrid w:val="0"/>
              <w:jc w:val="center"/>
              <w:rPr>
                <w:kern w:val="0"/>
                <w:szCs w:val="21"/>
              </w:rPr>
            </w:pPr>
            <w:r>
              <w:rPr>
                <w:kern w:val="0"/>
                <w:szCs w:val="21"/>
              </w:rPr>
              <w:t>纬度</w:t>
            </w:r>
          </w:p>
        </w:tc>
        <w:tc>
          <w:tcPr>
            <w:tcW w:w="851" w:type="dxa"/>
            <w:noWrap w:val="0"/>
            <w:vAlign w:val="center"/>
          </w:tcPr>
          <w:p w14:paraId="47DBD604">
            <w:pPr>
              <w:adjustRightInd w:val="0"/>
              <w:snapToGrid w:val="0"/>
              <w:jc w:val="center"/>
              <w:rPr>
                <w:kern w:val="0"/>
                <w:szCs w:val="21"/>
              </w:rPr>
            </w:pPr>
            <w:r>
              <w:rPr>
                <w:kern w:val="0"/>
                <w:szCs w:val="21"/>
              </w:rPr>
              <w:t>1号地</w:t>
            </w:r>
          </w:p>
        </w:tc>
        <w:tc>
          <w:tcPr>
            <w:tcW w:w="1899" w:type="dxa"/>
            <w:noWrap w:val="0"/>
            <w:vAlign w:val="center"/>
          </w:tcPr>
          <w:p w14:paraId="42053CB8">
            <w:pPr>
              <w:adjustRightInd w:val="0"/>
              <w:snapToGrid w:val="0"/>
              <w:jc w:val="left"/>
              <w:rPr>
                <w:kern w:val="0"/>
                <w:szCs w:val="21"/>
              </w:rPr>
            </w:pPr>
            <w:r>
              <w:rPr>
                <w:kern w:val="0"/>
                <w:szCs w:val="21"/>
              </w:rPr>
              <w:t>24°36′15.49″</w:t>
            </w:r>
          </w:p>
        </w:tc>
      </w:tr>
      <w:tr w14:paraId="497A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vMerge w:val="continue"/>
            <w:noWrap w:val="0"/>
            <w:vAlign w:val="center"/>
          </w:tcPr>
          <w:p w14:paraId="7A4DBB1A">
            <w:pPr>
              <w:adjustRightInd w:val="0"/>
              <w:snapToGrid w:val="0"/>
              <w:jc w:val="center"/>
              <w:rPr>
                <w:kern w:val="0"/>
                <w:szCs w:val="21"/>
              </w:rPr>
            </w:pPr>
          </w:p>
        </w:tc>
        <w:tc>
          <w:tcPr>
            <w:tcW w:w="623" w:type="dxa"/>
            <w:vMerge w:val="continue"/>
            <w:noWrap w:val="0"/>
            <w:vAlign w:val="center"/>
          </w:tcPr>
          <w:p w14:paraId="5A80ADD9">
            <w:pPr>
              <w:adjustRightInd w:val="0"/>
              <w:snapToGrid w:val="0"/>
              <w:jc w:val="center"/>
              <w:rPr>
                <w:kern w:val="0"/>
                <w:szCs w:val="21"/>
              </w:rPr>
            </w:pPr>
          </w:p>
        </w:tc>
        <w:tc>
          <w:tcPr>
            <w:tcW w:w="794" w:type="dxa"/>
            <w:gridSpan w:val="2"/>
            <w:noWrap w:val="0"/>
            <w:vAlign w:val="center"/>
          </w:tcPr>
          <w:p w14:paraId="083ED030">
            <w:pPr>
              <w:adjustRightInd w:val="0"/>
              <w:snapToGrid w:val="0"/>
              <w:jc w:val="center"/>
              <w:rPr>
                <w:kern w:val="0"/>
                <w:szCs w:val="21"/>
              </w:rPr>
            </w:pPr>
            <w:r>
              <w:rPr>
                <w:kern w:val="0"/>
                <w:szCs w:val="21"/>
              </w:rPr>
              <w:t>2号地</w:t>
            </w:r>
          </w:p>
        </w:tc>
        <w:tc>
          <w:tcPr>
            <w:tcW w:w="1990" w:type="dxa"/>
            <w:gridSpan w:val="2"/>
            <w:noWrap w:val="0"/>
            <w:vAlign w:val="center"/>
          </w:tcPr>
          <w:p w14:paraId="3F41C3BD">
            <w:pPr>
              <w:adjustRightInd w:val="0"/>
              <w:snapToGrid w:val="0"/>
              <w:jc w:val="center"/>
              <w:rPr>
                <w:kern w:val="0"/>
                <w:szCs w:val="21"/>
              </w:rPr>
            </w:pPr>
            <w:r>
              <w:rPr>
                <w:kern w:val="0"/>
                <w:szCs w:val="21"/>
              </w:rPr>
              <w:t>103°35′2.62″</w:t>
            </w:r>
          </w:p>
        </w:tc>
        <w:tc>
          <w:tcPr>
            <w:tcW w:w="708" w:type="dxa"/>
            <w:gridSpan w:val="2"/>
            <w:vMerge w:val="continue"/>
            <w:noWrap w:val="0"/>
            <w:vAlign w:val="center"/>
          </w:tcPr>
          <w:p w14:paraId="2469EB65">
            <w:pPr>
              <w:adjustRightInd w:val="0"/>
              <w:snapToGrid w:val="0"/>
              <w:jc w:val="center"/>
              <w:rPr>
                <w:kern w:val="0"/>
                <w:szCs w:val="21"/>
              </w:rPr>
            </w:pPr>
          </w:p>
        </w:tc>
        <w:tc>
          <w:tcPr>
            <w:tcW w:w="851" w:type="dxa"/>
            <w:noWrap w:val="0"/>
            <w:vAlign w:val="center"/>
          </w:tcPr>
          <w:p w14:paraId="0495D882">
            <w:pPr>
              <w:adjustRightInd w:val="0"/>
              <w:snapToGrid w:val="0"/>
              <w:jc w:val="center"/>
              <w:rPr>
                <w:kern w:val="0"/>
                <w:szCs w:val="21"/>
              </w:rPr>
            </w:pPr>
            <w:r>
              <w:rPr>
                <w:kern w:val="0"/>
                <w:szCs w:val="21"/>
              </w:rPr>
              <w:t>2号地</w:t>
            </w:r>
          </w:p>
        </w:tc>
        <w:tc>
          <w:tcPr>
            <w:tcW w:w="1899" w:type="dxa"/>
            <w:noWrap w:val="0"/>
            <w:vAlign w:val="center"/>
          </w:tcPr>
          <w:p w14:paraId="25A3047D">
            <w:pPr>
              <w:adjustRightInd w:val="0"/>
              <w:snapToGrid w:val="0"/>
              <w:jc w:val="left"/>
              <w:rPr>
                <w:kern w:val="0"/>
                <w:szCs w:val="21"/>
              </w:rPr>
            </w:pPr>
            <w:r>
              <w:rPr>
                <w:kern w:val="0"/>
                <w:szCs w:val="21"/>
              </w:rPr>
              <w:t>24°35′2.78″</w:t>
            </w:r>
          </w:p>
        </w:tc>
      </w:tr>
      <w:tr w14:paraId="73BA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vMerge w:val="continue"/>
            <w:noWrap w:val="0"/>
            <w:vAlign w:val="center"/>
          </w:tcPr>
          <w:p w14:paraId="37902260">
            <w:pPr>
              <w:adjustRightInd w:val="0"/>
              <w:snapToGrid w:val="0"/>
              <w:jc w:val="center"/>
              <w:rPr>
                <w:kern w:val="0"/>
                <w:szCs w:val="21"/>
              </w:rPr>
            </w:pPr>
          </w:p>
        </w:tc>
        <w:tc>
          <w:tcPr>
            <w:tcW w:w="623" w:type="dxa"/>
            <w:vMerge w:val="continue"/>
            <w:noWrap w:val="0"/>
            <w:vAlign w:val="center"/>
          </w:tcPr>
          <w:p w14:paraId="75F1B634">
            <w:pPr>
              <w:adjustRightInd w:val="0"/>
              <w:snapToGrid w:val="0"/>
              <w:jc w:val="center"/>
              <w:rPr>
                <w:kern w:val="0"/>
                <w:szCs w:val="21"/>
              </w:rPr>
            </w:pPr>
          </w:p>
        </w:tc>
        <w:tc>
          <w:tcPr>
            <w:tcW w:w="794" w:type="dxa"/>
            <w:gridSpan w:val="2"/>
            <w:noWrap w:val="0"/>
            <w:vAlign w:val="center"/>
          </w:tcPr>
          <w:p w14:paraId="4D10ACBF">
            <w:pPr>
              <w:adjustRightInd w:val="0"/>
              <w:snapToGrid w:val="0"/>
              <w:jc w:val="center"/>
              <w:rPr>
                <w:kern w:val="0"/>
                <w:szCs w:val="21"/>
              </w:rPr>
            </w:pPr>
            <w:r>
              <w:rPr>
                <w:kern w:val="0"/>
                <w:szCs w:val="21"/>
              </w:rPr>
              <w:t>3号地</w:t>
            </w:r>
          </w:p>
        </w:tc>
        <w:tc>
          <w:tcPr>
            <w:tcW w:w="1990" w:type="dxa"/>
            <w:gridSpan w:val="2"/>
            <w:noWrap w:val="0"/>
            <w:vAlign w:val="center"/>
          </w:tcPr>
          <w:p w14:paraId="56AF4F54">
            <w:pPr>
              <w:adjustRightInd w:val="0"/>
              <w:snapToGrid w:val="0"/>
              <w:jc w:val="center"/>
              <w:rPr>
                <w:kern w:val="0"/>
                <w:szCs w:val="21"/>
              </w:rPr>
            </w:pPr>
            <w:r>
              <w:rPr>
                <w:kern w:val="0"/>
                <w:szCs w:val="21"/>
              </w:rPr>
              <w:t>103°35′8.58″</w:t>
            </w:r>
          </w:p>
        </w:tc>
        <w:tc>
          <w:tcPr>
            <w:tcW w:w="708" w:type="dxa"/>
            <w:gridSpan w:val="2"/>
            <w:vMerge w:val="continue"/>
            <w:noWrap w:val="0"/>
            <w:vAlign w:val="center"/>
          </w:tcPr>
          <w:p w14:paraId="43942497">
            <w:pPr>
              <w:adjustRightInd w:val="0"/>
              <w:snapToGrid w:val="0"/>
              <w:jc w:val="center"/>
              <w:rPr>
                <w:kern w:val="0"/>
                <w:szCs w:val="21"/>
              </w:rPr>
            </w:pPr>
          </w:p>
        </w:tc>
        <w:tc>
          <w:tcPr>
            <w:tcW w:w="851" w:type="dxa"/>
            <w:noWrap w:val="0"/>
            <w:vAlign w:val="center"/>
          </w:tcPr>
          <w:p w14:paraId="718C8A5E">
            <w:pPr>
              <w:adjustRightInd w:val="0"/>
              <w:snapToGrid w:val="0"/>
              <w:jc w:val="center"/>
              <w:rPr>
                <w:kern w:val="0"/>
                <w:szCs w:val="21"/>
              </w:rPr>
            </w:pPr>
            <w:r>
              <w:rPr>
                <w:kern w:val="0"/>
                <w:szCs w:val="21"/>
              </w:rPr>
              <w:t>3号地</w:t>
            </w:r>
          </w:p>
        </w:tc>
        <w:tc>
          <w:tcPr>
            <w:tcW w:w="1899" w:type="dxa"/>
            <w:noWrap w:val="0"/>
            <w:vAlign w:val="center"/>
          </w:tcPr>
          <w:p w14:paraId="32C8FDA3">
            <w:pPr>
              <w:adjustRightInd w:val="0"/>
              <w:snapToGrid w:val="0"/>
              <w:jc w:val="left"/>
              <w:rPr>
                <w:kern w:val="0"/>
                <w:szCs w:val="21"/>
              </w:rPr>
            </w:pPr>
            <w:r>
              <w:rPr>
                <w:kern w:val="0"/>
                <w:szCs w:val="21"/>
              </w:rPr>
              <w:t>24°35′8.78″</w:t>
            </w:r>
          </w:p>
        </w:tc>
      </w:tr>
      <w:tr w14:paraId="7B7A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vMerge w:val="continue"/>
            <w:noWrap w:val="0"/>
            <w:vAlign w:val="center"/>
          </w:tcPr>
          <w:p w14:paraId="2F6BCEFA">
            <w:pPr>
              <w:adjustRightInd w:val="0"/>
              <w:snapToGrid w:val="0"/>
              <w:jc w:val="center"/>
              <w:rPr>
                <w:kern w:val="0"/>
                <w:szCs w:val="21"/>
              </w:rPr>
            </w:pPr>
          </w:p>
        </w:tc>
        <w:tc>
          <w:tcPr>
            <w:tcW w:w="623" w:type="dxa"/>
            <w:vMerge w:val="continue"/>
            <w:noWrap w:val="0"/>
            <w:vAlign w:val="center"/>
          </w:tcPr>
          <w:p w14:paraId="21A9278E">
            <w:pPr>
              <w:adjustRightInd w:val="0"/>
              <w:snapToGrid w:val="0"/>
              <w:jc w:val="center"/>
              <w:rPr>
                <w:kern w:val="0"/>
                <w:szCs w:val="21"/>
              </w:rPr>
            </w:pPr>
          </w:p>
        </w:tc>
        <w:tc>
          <w:tcPr>
            <w:tcW w:w="794" w:type="dxa"/>
            <w:gridSpan w:val="2"/>
            <w:noWrap w:val="0"/>
            <w:vAlign w:val="center"/>
          </w:tcPr>
          <w:p w14:paraId="527995EE">
            <w:pPr>
              <w:adjustRightInd w:val="0"/>
              <w:snapToGrid w:val="0"/>
              <w:jc w:val="center"/>
              <w:rPr>
                <w:kern w:val="0"/>
                <w:szCs w:val="21"/>
              </w:rPr>
            </w:pPr>
            <w:r>
              <w:rPr>
                <w:kern w:val="0"/>
                <w:szCs w:val="21"/>
              </w:rPr>
              <w:t>4号地</w:t>
            </w:r>
          </w:p>
        </w:tc>
        <w:tc>
          <w:tcPr>
            <w:tcW w:w="1990" w:type="dxa"/>
            <w:gridSpan w:val="2"/>
            <w:noWrap w:val="0"/>
            <w:vAlign w:val="center"/>
          </w:tcPr>
          <w:p w14:paraId="7276FB9C">
            <w:pPr>
              <w:adjustRightInd w:val="0"/>
              <w:snapToGrid w:val="0"/>
              <w:jc w:val="center"/>
              <w:rPr>
                <w:kern w:val="0"/>
                <w:szCs w:val="21"/>
              </w:rPr>
            </w:pPr>
            <w:r>
              <w:rPr>
                <w:kern w:val="0"/>
                <w:szCs w:val="21"/>
              </w:rPr>
              <w:t>103°35′47.98″</w:t>
            </w:r>
          </w:p>
        </w:tc>
        <w:tc>
          <w:tcPr>
            <w:tcW w:w="708" w:type="dxa"/>
            <w:gridSpan w:val="2"/>
            <w:vMerge w:val="continue"/>
            <w:noWrap w:val="0"/>
            <w:vAlign w:val="center"/>
          </w:tcPr>
          <w:p w14:paraId="414105B7">
            <w:pPr>
              <w:adjustRightInd w:val="0"/>
              <w:snapToGrid w:val="0"/>
              <w:jc w:val="center"/>
              <w:rPr>
                <w:kern w:val="0"/>
                <w:szCs w:val="21"/>
              </w:rPr>
            </w:pPr>
          </w:p>
        </w:tc>
        <w:tc>
          <w:tcPr>
            <w:tcW w:w="851" w:type="dxa"/>
            <w:noWrap w:val="0"/>
            <w:vAlign w:val="center"/>
          </w:tcPr>
          <w:p w14:paraId="4C1FE06A">
            <w:pPr>
              <w:adjustRightInd w:val="0"/>
              <w:snapToGrid w:val="0"/>
              <w:jc w:val="center"/>
              <w:rPr>
                <w:kern w:val="0"/>
                <w:szCs w:val="21"/>
              </w:rPr>
            </w:pPr>
            <w:r>
              <w:rPr>
                <w:kern w:val="0"/>
                <w:szCs w:val="21"/>
              </w:rPr>
              <w:t>4号地</w:t>
            </w:r>
          </w:p>
        </w:tc>
        <w:tc>
          <w:tcPr>
            <w:tcW w:w="1899" w:type="dxa"/>
            <w:noWrap w:val="0"/>
            <w:vAlign w:val="center"/>
          </w:tcPr>
          <w:p w14:paraId="5615C34D">
            <w:pPr>
              <w:adjustRightInd w:val="0"/>
              <w:snapToGrid w:val="0"/>
              <w:jc w:val="left"/>
              <w:rPr>
                <w:kern w:val="0"/>
                <w:szCs w:val="21"/>
              </w:rPr>
            </w:pPr>
            <w:r>
              <w:rPr>
                <w:kern w:val="0"/>
                <w:szCs w:val="21"/>
              </w:rPr>
              <w:t>24°36′11.67″</w:t>
            </w:r>
          </w:p>
        </w:tc>
      </w:tr>
      <w:tr w14:paraId="5490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vMerge w:val="continue"/>
            <w:noWrap w:val="0"/>
            <w:vAlign w:val="center"/>
          </w:tcPr>
          <w:p w14:paraId="771A01C4">
            <w:pPr>
              <w:adjustRightInd w:val="0"/>
              <w:snapToGrid w:val="0"/>
              <w:jc w:val="center"/>
              <w:rPr>
                <w:kern w:val="0"/>
                <w:szCs w:val="21"/>
              </w:rPr>
            </w:pPr>
          </w:p>
        </w:tc>
        <w:tc>
          <w:tcPr>
            <w:tcW w:w="623" w:type="dxa"/>
            <w:vMerge w:val="continue"/>
            <w:noWrap w:val="0"/>
            <w:vAlign w:val="center"/>
          </w:tcPr>
          <w:p w14:paraId="5124AC43">
            <w:pPr>
              <w:adjustRightInd w:val="0"/>
              <w:snapToGrid w:val="0"/>
              <w:jc w:val="center"/>
              <w:rPr>
                <w:kern w:val="0"/>
                <w:szCs w:val="21"/>
              </w:rPr>
            </w:pPr>
          </w:p>
        </w:tc>
        <w:tc>
          <w:tcPr>
            <w:tcW w:w="794" w:type="dxa"/>
            <w:gridSpan w:val="2"/>
            <w:noWrap w:val="0"/>
            <w:vAlign w:val="center"/>
          </w:tcPr>
          <w:p w14:paraId="0FB78CAC">
            <w:pPr>
              <w:adjustRightInd w:val="0"/>
              <w:snapToGrid w:val="0"/>
              <w:jc w:val="center"/>
              <w:rPr>
                <w:kern w:val="0"/>
                <w:szCs w:val="21"/>
              </w:rPr>
            </w:pPr>
            <w:r>
              <w:rPr>
                <w:kern w:val="0"/>
                <w:szCs w:val="21"/>
              </w:rPr>
              <w:t>5号地</w:t>
            </w:r>
          </w:p>
        </w:tc>
        <w:tc>
          <w:tcPr>
            <w:tcW w:w="1990" w:type="dxa"/>
            <w:gridSpan w:val="2"/>
            <w:noWrap w:val="0"/>
            <w:vAlign w:val="center"/>
          </w:tcPr>
          <w:p w14:paraId="49853BAC">
            <w:pPr>
              <w:adjustRightInd w:val="0"/>
              <w:snapToGrid w:val="0"/>
              <w:jc w:val="center"/>
              <w:rPr>
                <w:kern w:val="0"/>
                <w:szCs w:val="21"/>
              </w:rPr>
            </w:pPr>
            <w:r>
              <w:rPr>
                <w:kern w:val="0"/>
                <w:szCs w:val="21"/>
              </w:rPr>
              <w:t>103°35′47.32″</w:t>
            </w:r>
          </w:p>
        </w:tc>
        <w:tc>
          <w:tcPr>
            <w:tcW w:w="708" w:type="dxa"/>
            <w:gridSpan w:val="2"/>
            <w:vMerge w:val="continue"/>
            <w:noWrap w:val="0"/>
            <w:vAlign w:val="center"/>
          </w:tcPr>
          <w:p w14:paraId="4CA1F727">
            <w:pPr>
              <w:adjustRightInd w:val="0"/>
              <w:snapToGrid w:val="0"/>
              <w:jc w:val="center"/>
              <w:rPr>
                <w:kern w:val="0"/>
                <w:szCs w:val="21"/>
              </w:rPr>
            </w:pPr>
          </w:p>
        </w:tc>
        <w:tc>
          <w:tcPr>
            <w:tcW w:w="851" w:type="dxa"/>
            <w:noWrap w:val="0"/>
            <w:vAlign w:val="center"/>
          </w:tcPr>
          <w:p w14:paraId="6B57F395">
            <w:pPr>
              <w:adjustRightInd w:val="0"/>
              <w:snapToGrid w:val="0"/>
              <w:jc w:val="center"/>
              <w:rPr>
                <w:kern w:val="0"/>
                <w:szCs w:val="21"/>
              </w:rPr>
            </w:pPr>
            <w:r>
              <w:rPr>
                <w:kern w:val="0"/>
                <w:szCs w:val="21"/>
              </w:rPr>
              <w:t>5号地</w:t>
            </w:r>
          </w:p>
        </w:tc>
        <w:tc>
          <w:tcPr>
            <w:tcW w:w="1899" w:type="dxa"/>
            <w:noWrap w:val="0"/>
            <w:vAlign w:val="center"/>
          </w:tcPr>
          <w:p w14:paraId="66544864">
            <w:pPr>
              <w:adjustRightInd w:val="0"/>
              <w:snapToGrid w:val="0"/>
              <w:jc w:val="left"/>
              <w:rPr>
                <w:kern w:val="0"/>
                <w:szCs w:val="21"/>
              </w:rPr>
            </w:pPr>
            <w:r>
              <w:rPr>
                <w:kern w:val="0"/>
                <w:szCs w:val="21"/>
              </w:rPr>
              <w:t>24°36′25.97″</w:t>
            </w:r>
          </w:p>
        </w:tc>
      </w:tr>
      <w:tr w14:paraId="6D7A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noWrap w:val="0"/>
            <w:vAlign w:val="center"/>
          </w:tcPr>
          <w:p w14:paraId="496C4192">
            <w:pPr>
              <w:adjustRightInd w:val="0"/>
              <w:snapToGrid w:val="0"/>
              <w:jc w:val="center"/>
              <w:rPr>
                <w:kern w:val="0"/>
                <w:szCs w:val="21"/>
              </w:rPr>
            </w:pPr>
            <w:r>
              <w:rPr>
                <w:kern w:val="0"/>
                <w:szCs w:val="21"/>
              </w:rPr>
              <w:t>主要危险物质及分布</w:t>
            </w:r>
          </w:p>
        </w:tc>
        <w:tc>
          <w:tcPr>
            <w:tcW w:w="6865" w:type="dxa"/>
            <w:gridSpan w:val="9"/>
            <w:noWrap w:val="0"/>
            <w:vAlign w:val="center"/>
          </w:tcPr>
          <w:p w14:paraId="59422683">
            <w:pPr>
              <w:adjustRightInd w:val="0"/>
              <w:snapToGrid w:val="0"/>
              <w:jc w:val="left"/>
              <w:rPr>
                <w:kern w:val="0"/>
                <w:szCs w:val="21"/>
              </w:rPr>
            </w:pPr>
            <w:r>
              <w:rPr>
                <w:kern w:val="0"/>
                <w:szCs w:val="21"/>
              </w:rPr>
              <w:t>各地块沼气储罐，消毒剂仓库</w:t>
            </w:r>
          </w:p>
        </w:tc>
      </w:tr>
      <w:tr w14:paraId="7E98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noWrap w:val="0"/>
            <w:vAlign w:val="center"/>
          </w:tcPr>
          <w:p w14:paraId="47B8026A">
            <w:pPr>
              <w:adjustRightInd w:val="0"/>
              <w:snapToGrid w:val="0"/>
              <w:jc w:val="center"/>
              <w:rPr>
                <w:kern w:val="0"/>
                <w:szCs w:val="21"/>
              </w:rPr>
            </w:pPr>
            <w:r>
              <w:rPr>
                <w:kern w:val="0"/>
                <w:szCs w:val="21"/>
              </w:rPr>
              <w:t>环境影响途径及危害后果</w:t>
            </w:r>
          </w:p>
        </w:tc>
        <w:tc>
          <w:tcPr>
            <w:tcW w:w="6865" w:type="dxa"/>
            <w:gridSpan w:val="9"/>
            <w:noWrap w:val="0"/>
            <w:vAlign w:val="center"/>
          </w:tcPr>
          <w:p w14:paraId="03ECA613">
            <w:pPr>
              <w:adjustRightInd w:val="0"/>
              <w:snapToGrid w:val="0"/>
              <w:rPr>
                <w:kern w:val="0"/>
                <w:szCs w:val="21"/>
              </w:rPr>
            </w:pPr>
            <w:r>
              <w:rPr>
                <w:kern w:val="0"/>
                <w:szCs w:val="21"/>
              </w:rPr>
              <w:t>正常情况下发生沼气泄漏或爆炸火灾事故的几率较小，且沼气产生量不大，发生事故时造成的影响不大，属于可控范围。</w:t>
            </w:r>
          </w:p>
          <w:p w14:paraId="581DD955">
            <w:pPr>
              <w:adjustRightInd w:val="0"/>
              <w:snapToGrid w:val="0"/>
              <w:rPr>
                <w:kern w:val="0"/>
                <w:szCs w:val="21"/>
              </w:rPr>
            </w:pPr>
            <w:r>
              <w:rPr>
                <w:kern w:val="0"/>
                <w:szCs w:val="21"/>
              </w:rPr>
              <w:t>项目污水处理UASB池（沼气池）为钢筋混凝土结构，采用防渗混凝土建设（渗透系数不大于10</w:t>
            </w:r>
            <w:r>
              <w:rPr>
                <w:kern w:val="0"/>
                <w:szCs w:val="21"/>
                <w:vertAlign w:val="superscript"/>
              </w:rPr>
              <w:t>-7</w:t>
            </w:r>
            <w:r>
              <w:rPr>
                <w:kern w:val="0"/>
                <w:szCs w:val="21"/>
              </w:rPr>
              <w:t>cm/s），墙体厚度30cm左右，发生损坏的几率非常低，项目运营期产生的粪污几乎不会出现非正常排放情况；</w:t>
            </w:r>
            <w:r>
              <w:rPr>
                <w:bCs/>
                <w:kern w:val="0"/>
                <w:szCs w:val="21"/>
              </w:rPr>
              <w:t>当污水处理系统发生故障，废水可暂存在猪舍下的粪污池内，保证事故污水不会对周边地表水体产生污染影响；</w:t>
            </w:r>
            <w:r>
              <w:rPr>
                <w:kern w:val="0"/>
                <w:szCs w:val="21"/>
              </w:rPr>
              <w:t>同时对污水处理站污水停留时间严格控制，加强管理，防止出现过满外溢情况的发生。在保证防渗、污水处理站结构坚固稳定的基础上，加强管理，项目废污非正常排放或泄露风险较小。</w:t>
            </w:r>
          </w:p>
          <w:p w14:paraId="51D5EE11">
            <w:pPr>
              <w:adjustRightInd w:val="0"/>
              <w:snapToGrid w:val="0"/>
              <w:rPr>
                <w:kern w:val="0"/>
                <w:szCs w:val="21"/>
              </w:rPr>
            </w:pPr>
            <w:r>
              <w:rPr>
                <w:kern w:val="0"/>
                <w:szCs w:val="21"/>
              </w:rPr>
              <w:t>消毒水一般为小桶包装，储存室地面有水泥硬化，消毒剂倾倒泼洒量较小，渗入土壤和地下水的可能性较小，渗入量也有限，对环境影响较小。</w:t>
            </w:r>
          </w:p>
        </w:tc>
      </w:tr>
      <w:tr w14:paraId="2299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63" w:type="dxa"/>
            <w:noWrap w:val="0"/>
            <w:vAlign w:val="center"/>
          </w:tcPr>
          <w:p w14:paraId="67B07034">
            <w:pPr>
              <w:adjustRightInd w:val="0"/>
              <w:snapToGrid w:val="0"/>
              <w:jc w:val="center"/>
              <w:rPr>
                <w:kern w:val="0"/>
                <w:szCs w:val="21"/>
              </w:rPr>
            </w:pPr>
            <w:r>
              <w:rPr>
                <w:kern w:val="0"/>
                <w:szCs w:val="21"/>
              </w:rPr>
              <w:t>风险防范措施要求</w:t>
            </w:r>
          </w:p>
        </w:tc>
        <w:tc>
          <w:tcPr>
            <w:tcW w:w="6865" w:type="dxa"/>
            <w:gridSpan w:val="9"/>
            <w:noWrap w:val="0"/>
            <w:vAlign w:val="center"/>
          </w:tcPr>
          <w:p w14:paraId="1851A9C2">
            <w:pPr>
              <w:adjustRightInd w:val="0"/>
              <w:snapToGrid w:val="0"/>
              <w:rPr>
                <w:kern w:val="0"/>
                <w:szCs w:val="21"/>
              </w:rPr>
            </w:pPr>
            <w:r>
              <w:rPr>
                <w:kern w:val="0"/>
                <w:szCs w:val="21"/>
              </w:rPr>
              <w:t>（1）废水非正常排放或泄露防范措施</w:t>
            </w:r>
          </w:p>
          <w:p w14:paraId="6D82F136">
            <w:pPr>
              <w:adjustRightInd w:val="0"/>
              <w:snapToGrid w:val="0"/>
              <w:rPr>
                <w:kern w:val="0"/>
                <w:szCs w:val="21"/>
              </w:rPr>
            </w:pPr>
            <w:r>
              <w:rPr>
                <w:kern w:val="0"/>
                <w:szCs w:val="21"/>
              </w:rPr>
              <w:t>①养殖场的排水系统应实行雨水和污水收集输送系统分离，避免雨水进入污水处理系统。</w:t>
            </w:r>
          </w:p>
          <w:p w14:paraId="4295F9E9">
            <w:pPr>
              <w:adjustRightInd w:val="0"/>
              <w:snapToGrid w:val="0"/>
              <w:rPr>
                <w:kern w:val="0"/>
                <w:szCs w:val="21"/>
              </w:rPr>
            </w:pPr>
            <w:r>
              <w:rPr>
                <w:kern w:val="0"/>
                <w:szCs w:val="21"/>
              </w:rPr>
              <w:t>②加强管理，猪舍产生的粪便做到日产日清，特别是雨天来临之前要及时清理干净。</w:t>
            </w:r>
          </w:p>
          <w:p w14:paraId="5FD73A03">
            <w:pPr>
              <w:adjustRightInd w:val="0"/>
              <w:snapToGrid w:val="0"/>
              <w:rPr>
                <w:kern w:val="0"/>
                <w:szCs w:val="21"/>
              </w:rPr>
            </w:pPr>
            <w:r>
              <w:rPr>
                <w:kern w:val="0"/>
                <w:szCs w:val="21"/>
              </w:rPr>
              <w:t>③合理设计猪舍，猪舍水泥地面应设置合适的坡度，以利于猪尿及冲洗水的排出；</w:t>
            </w:r>
          </w:p>
          <w:p w14:paraId="17B53CBA">
            <w:pPr>
              <w:adjustRightInd w:val="0"/>
              <w:snapToGrid w:val="0"/>
              <w:rPr>
                <w:kern w:val="0"/>
                <w:szCs w:val="21"/>
              </w:rPr>
            </w:pPr>
            <w:r>
              <w:rPr>
                <w:kern w:val="0"/>
                <w:szCs w:val="21"/>
              </w:rPr>
              <w:t>④加强对废水处理设施的运行管理，一旦出现事故性排放，应立即停止处理，</w:t>
            </w:r>
            <w:r>
              <w:rPr>
                <w:bCs/>
                <w:kern w:val="0"/>
                <w:szCs w:val="21"/>
              </w:rPr>
              <w:t>当污水处理系统发生故障，废水可暂存在猪舍下的粪污池内，保证事故污水不会对周边地表水体产生污染影响。</w:t>
            </w:r>
          </w:p>
          <w:p w14:paraId="4D468CBB">
            <w:pPr>
              <w:adjustRightInd w:val="0"/>
              <w:snapToGrid w:val="0"/>
              <w:rPr>
                <w:kern w:val="0"/>
                <w:szCs w:val="21"/>
              </w:rPr>
            </w:pPr>
            <w:r>
              <w:rPr>
                <w:kern w:val="0"/>
                <w:szCs w:val="21"/>
              </w:rPr>
              <w:t>⑤必须加强对污水处理站的运行管理、维修，应在生产中严格按照操作规程，避免废水事故性排放。</w:t>
            </w:r>
          </w:p>
          <w:p w14:paraId="55D7F365">
            <w:pPr>
              <w:adjustRightInd w:val="0"/>
              <w:snapToGrid w:val="0"/>
              <w:rPr>
                <w:kern w:val="0"/>
                <w:szCs w:val="21"/>
              </w:rPr>
            </w:pPr>
            <w:r>
              <w:rPr>
                <w:kern w:val="0"/>
                <w:szCs w:val="21"/>
              </w:rPr>
              <w:t>⑥定期对污水处理设备进行检查，是否存在开裂、渗漏，及时修补和发现问题，解决问题。</w:t>
            </w:r>
          </w:p>
          <w:p w14:paraId="5C799C0E">
            <w:pPr>
              <w:adjustRightInd w:val="0"/>
              <w:snapToGrid w:val="0"/>
              <w:rPr>
                <w:kern w:val="0"/>
                <w:szCs w:val="21"/>
              </w:rPr>
            </w:pPr>
            <w:r>
              <w:rPr>
                <w:kern w:val="0"/>
                <w:szCs w:val="21"/>
              </w:rPr>
              <w:t>⑧设计时，提高污水处理站的设计强度和抗破坏能力，污水处理站避开不良地质区域建设。</w:t>
            </w:r>
          </w:p>
          <w:p w14:paraId="4FD98525">
            <w:pPr>
              <w:adjustRightInd w:val="0"/>
              <w:snapToGrid w:val="0"/>
              <w:rPr>
                <w:kern w:val="0"/>
                <w:szCs w:val="21"/>
              </w:rPr>
            </w:pPr>
            <w:r>
              <w:rPr>
                <w:kern w:val="0"/>
                <w:szCs w:val="21"/>
              </w:rPr>
              <w:t>（2）沼气风险防范措施</w:t>
            </w:r>
          </w:p>
          <w:p w14:paraId="72DEC5EF">
            <w:pPr>
              <w:adjustRightInd w:val="0"/>
              <w:snapToGrid w:val="0"/>
              <w:rPr>
                <w:bCs/>
                <w:kern w:val="0"/>
                <w:szCs w:val="21"/>
              </w:rPr>
            </w:pPr>
            <w:r>
              <w:rPr>
                <w:kern w:val="0"/>
                <w:szCs w:val="21"/>
              </w:rPr>
              <w:t>①</w:t>
            </w:r>
            <w:r>
              <w:rPr>
                <w:bCs/>
                <w:kern w:val="0"/>
                <w:szCs w:val="21"/>
              </w:rPr>
              <w:t>确保输送导管上的阀门灵活、严密、不漏气。</w:t>
            </w:r>
          </w:p>
          <w:p w14:paraId="7E9D881E">
            <w:pPr>
              <w:adjustRightInd w:val="0"/>
              <w:snapToGrid w:val="0"/>
              <w:rPr>
                <w:bCs/>
                <w:kern w:val="0"/>
                <w:szCs w:val="21"/>
              </w:rPr>
            </w:pPr>
            <w:r>
              <w:rPr>
                <w:bCs/>
                <w:kern w:val="0"/>
                <w:szCs w:val="21"/>
              </w:rPr>
              <w:t>②导气管上应装压力表。压力过高应排出气体；压力不足时应停止使用，冲洗进料充气，以防止回火。</w:t>
            </w:r>
          </w:p>
          <w:p w14:paraId="6C7DF56D">
            <w:pPr>
              <w:adjustRightInd w:val="0"/>
              <w:snapToGrid w:val="0"/>
              <w:rPr>
                <w:bCs/>
                <w:kern w:val="0"/>
                <w:szCs w:val="21"/>
              </w:rPr>
            </w:pPr>
            <w:r>
              <w:rPr>
                <w:bCs/>
                <w:kern w:val="0"/>
                <w:szCs w:val="21"/>
              </w:rPr>
              <w:t>③使用、燃烧放空沼气必须与可燃物保持一定的安全距离，以保证安全。</w:t>
            </w:r>
          </w:p>
          <w:p w14:paraId="477F768F">
            <w:pPr>
              <w:adjustRightInd w:val="0"/>
              <w:snapToGrid w:val="0"/>
              <w:rPr>
                <w:bCs/>
                <w:kern w:val="0"/>
                <w:szCs w:val="21"/>
              </w:rPr>
            </w:pPr>
            <w:r>
              <w:rPr>
                <w:bCs/>
                <w:kern w:val="0"/>
                <w:szCs w:val="21"/>
              </w:rPr>
              <w:t>④安装甲烷泄漏检测仪，使用沼气时发现漏气，应立即打开门窗，熄灭室内各类火源，以防止沼气爆炸。</w:t>
            </w:r>
          </w:p>
          <w:p w14:paraId="68113E18">
            <w:pPr>
              <w:adjustRightInd w:val="0"/>
              <w:snapToGrid w:val="0"/>
              <w:rPr>
                <w:bCs/>
                <w:kern w:val="0"/>
                <w:szCs w:val="21"/>
              </w:rPr>
            </w:pPr>
            <w:r>
              <w:rPr>
                <w:bCs/>
                <w:kern w:val="0"/>
                <w:szCs w:val="21"/>
              </w:rPr>
              <w:t>⑤沼气池下池检修或清除沉渣时，必须提高警惕，事先采取安全措施，防止窒息和中毒事故发生。</w:t>
            </w:r>
          </w:p>
          <w:p w14:paraId="26A3430A">
            <w:pPr>
              <w:adjustRightInd w:val="0"/>
              <w:snapToGrid w:val="0"/>
              <w:rPr>
                <w:bCs/>
                <w:kern w:val="0"/>
                <w:szCs w:val="21"/>
              </w:rPr>
            </w:pPr>
            <w:r>
              <w:rPr>
                <w:bCs/>
                <w:kern w:val="0"/>
                <w:szCs w:val="21"/>
              </w:rPr>
              <w:t>⑥沼液池的设计应严格执行《规模化畜禽养殖场沼气工程设计规范》，产生的沼气经净化系统后方可进入后续利用阶段，净化系统处理后的沼气质量指标，应符合下列要求：甲烷含量55%以上，硫化氢含量小于20mg/m</w:t>
            </w:r>
            <w:r>
              <w:rPr>
                <w:bCs/>
                <w:kern w:val="0"/>
                <w:szCs w:val="21"/>
                <w:vertAlign w:val="superscript"/>
              </w:rPr>
              <w:t>3</w:t>
            </w:r>
            <w:r>
              <w:rPr>
                <w:bCs/>
                <w:kern w:val="0"/>
                <w:szCs w:val="21"/>
              </w:rPr>
              <w:t>。</w:t>
            </w:r>
          </w:p>
          <w:p w14:paraId="30179CC8">
            <w:pPr>
              <w:adjustRightInd w:val="0"/>
              <w:snapToGrid w:val="0"/>
              <w:rPr>
                <w:bCs/>
                <w:kern w:val="0"/>
                <w:szCs w:val="21"/>
              </w:rPr>
            </w:pPr>
            <w:r>
              <w:rPr>
                <w:bCs/>
                <w:kern w:val="0"/>
                <w:szCs w:val="21"/>
              </w:rPr>
              <w:t>⑦设备布置严格执行国这有关防火防爆的规范，设备之间保证有足够的安全距离，并按要求设置消防通道。</w:t>
            </w:r>
          </w:p>
          <w:p w14:paraId="25049A68">
            <w:pPr>
              <w:adjustRightInd w:val="0"/>
              <w:snapToGrid w:val="0"/>
              <w:rPr>
                <w:bCs/>
                <w:kern w:val="0"/>
                <w:szCs w:val="21"/>
              </w:rPr>
            </w:pPr>
            <w:r>
              <w:rPr>
                <w:bCs/>
                <w:kern w:val="0"/>
                <w:szCs w:val="21"/>
              </w:rPr>
              <w:t>⑧检测人员、厂区工作人员、管理人员、巡查人员及处置场所职工一旦发现安全隐患，都有责任及时报告，使事故隐患得到及时消除和有效监控。</w:t>
            </w:r>
          </w:p>
          <w:p w14:paraId="0DE11192">
            <w:pPr>
              <w:adjustRightInd w:val="0"/>
              <w:snapToGrid w:val="0"/>
              <w:rPr>
                <w:bCs/>
                <w:kern w:val="0"/>
                <w:szCs w:val="21"/>
              </w:rPr>
            </w:pPr>
            <w:r>
              <w:rPr>
                <w:bCs/>
                <w:kern w:val="0"/>
                <w:szCs w:val="21"/>
              </w:rPr>
              <w:t>⑨加强厂区沼气引发火灾与爆炸事故的危害性和有关的排险救灾知识的宣传，大力报道先进人物和事迹，充分发动员工积极参与预防监控工作。</w:t>
            </w:r>
          </w:p>
          <w:p w14:paraId="4DDCB2E7">
            <w:pPr>
              <w:adjustRightInd w:val="0"/>
              <w:snapToGrid w:val="0"/>
              <w:rPr>
                <w:bCs/>
                <w:kern w:val="0"/>
                <w:szCs w:val="21"/>
              </w:rPr>
            </w:pPr>
            <w:r>
              <w:rPr>
                <w:bCs/>
                <w:kern w:val="0"/>
                <w:szCs w:val="21"/>
              </w:rPr>
              <w:t>⑩在沼气池附近应设置事故柜和急救器材、救生器、防毒面具、急救用品用具等。</w:t>
            </w:r>
          </w:p>
          <w:p w14:paraId="52ABE70D">
            <w:pPr>
              <w:adjustRightInd w:val="0"/>
              <w:snapToGrid w:val="0"/>
              <w:rPr>
                <w:kern w:val="0"/>
                <w:szCs w:val="21"/>
              </w:rPr>
            </w:pPr>
            <w:r>
              <w:rPr>
                <w:kern w:val="0"/>
                <w:szCs w:val="21"/>
              </w:rPr>
              <w:t>（3）消毒剂风险防范措施</w:t>
            </w:r>
          </w:p>
          <w:p w14:paraId="1B5CD71F">
            <w:pPr>
              <w:adjustRightInd w:val="0"/>
              <w:snapToGrid w:val="0"/>
              <w:rPr>
                <w:kern w:val="0"/>
                <w:szCs w:val="21"/>
              </w:rPr>
            </w:pPr>
            <w:r>
              <w:rPr>
                <w:kern w:val="0"/>
                <w:szCs w:val="21"/>
              </w:rPr>
              <w:t>①购买小桶装消毒剂，避免发生大量泄漏；</w:t>
            </w:r>
          </w:p>
          <w:p w14:paraId="2C19E99B">
            <w:pPr>
              <w:adjustRightInd w:val="0"/>
              <w:snapToGrid w:val="0"/>
              <w:rPr>
                <w:kern w:val="0"/>
                <w:szCs w:val="21"/>
              </w:rPr>
            </w:pPr>
            <w:r>
              <w:rPr>
                <w:kern w:val="0"/>
                <w:szCs w:val="21"/>
              </w:rPr>
              <w:t>②即用即取，按量取用。安排专人负责管理消毒水的日常使用；</w:t>
            </w:r>
          </w:p>
          <w:p w14:paraId="3E243C95">
            <w:pPr>
              <w:adjustRightInd w:val="0"/>
              <w:snapToGrid w:val="0"/>
              <w:rPr>
                <w:kern w:val="0"/>
                <w:szCs w:val="21"/>
              </w:rPr>
            </w:pPr>
            <w:r>
              <w:rPr>
                <w:kern w:val="0"/>
                <w:szCs w:val="21"/>
              </w:rPr>
              <w:t>③储存室地面硬化，进行防渗处理，避免泄漏时渗入地下；</w:t>
            </w:r>
          </w:p>
          <w:p w14:paraId="7A758D1D">
            <w:pPr>
              <w:adjustRightInd w:val="0"/>
              <w:snapToGrid w:val="0"/>
              <w:rPr>
                <w:kern w:val="0"/>
                <w:szCs w:val="21"/>
              </w:rPr>
            </w:pPr>
            <w:r>
              <w:rPr>
                <w:kern w:val="0"/>
                <w:szCs w:val="21"/>
              </w:rPr>
              <w:t>④发生泄漏时，及时采取补救措施，使用大量清水冲洗，将高浓度消毒水稀释，减少对外环境的不利影响。</w:t>
            </w:r>
          </w:p>
          <w:p w14:paraId="7AF26576">
            <w:pPr>
              <w:adjustRightInd w:val="0"/>
              <w:snapToGrid w:val="0"/>
              <w:rPr>
                <w:kern w:val="0"/>
                <w:szCs w:val="21"/>
              </w:rPr>
            </w:pPr>
          </w:p>
        </w:tc>
      </w:tr>
    </w:tbl>
    <w:p w14:paraId="65037218">
      <w:pPr>
        <w:pStyle w:val="47"/>
        <w:rPr>
          <w:rFonts w:ascii="Times New Roman" w:hAnsi="Times New Roman" w:cs="Times New Roman"/>
        </w:rPr>
      </w:pPr>
    </w:p>
    <w:p w14:paraId="3DC8B7C2">
      <w:pPr>
        <w:adjustRightInd w:val="0"/>
        <w:snapToGrid w:val="0"/>
        <w:ind w:firstLine="480"/>
      </w:pPr>
    </w:p>
    <w:p w14:paraId="2146F227">
      <w:pPr>
        <w:spacing w:line="360" w:lineRule="auto"/>
        <w:rPr>
          <w:b/>
          <w:bCs/>
          <w:sz w:val="28"/>
          <w:szCs w:val="28"/>
        </w:rPr>
      </w:pPr>
    </w:p>
    <w:p w14:paraId="79877AA8">
      <w:pPr>
        <w:spacing w:line="360" w:lineRule="auto"/>
        <w:rPr>
          <w:b/>
          <w:bCs/>
          <w:sz w:val="28"/>
          <w:szCs w:val="28"/>
        </w:rPr>
      </w:pPr>
    </w:p>
    <w:p w14:paraId="462C2ADB">
      <w:pPr>
        <w:spacing w:line="360" w:lineRule="auto"/>
        <w:rPr>
          <w:b/>
          <w:bCs/>
          <w:sz w:val="28"/>
          <w:szCs w:val="28"/>
        </w:rPr>
        <w:sectPr>
          <w:pgSz w:w="11906" w:h="16838"/>
          <w:pgMar w:top="1440" w:right="1797" w:bottom="1361" w:left="1797" w:header="851" w:footer="1134" w:gutter="0"/>
          <w:cols w:space="720" w:num="1"/>
          <w:docGrid w:linePitch="312" w:charSpace="0"/>
        </w:sectPr>
      </w:pPr>
    </w:p>
    <w:p w14:paraId="6E2821A0">
      <w:pPr>
        <w:pStyle w:val="5"/>
        <w:spacing w:before="0" w:after="0" w:line="360" w:lineRule="auto"/>
        <w:rPr>
          <w:sz w:val="32"/>
          <w:szCs w:val="32"/>
        </w:rPr>
      </w:pPr>
      <w:bookmarkStart w:id="199" w:name="_Toc21741"/>
      <w:r>
        <w:rPr>
          <w:sz w:val="32"/>
          <w:szCs w:val="32"/>
        </w:rPr>
        <w:t>7环境保护措施及可行性分析</w:t>
      </w:r>
      <w:bookmarkEnd w:id="199"/>
    </w:p>
    <w:p w14:paraId="6C065F37">
      <w:pPr>
        <w:pStyle w:val="6"/>
        <w:spacing w:before="0" w:after="0" w:line="360" w:lineRule="auto"/>
        <w:rPr>
          <w:rFonts w:ascii="Times New Roman" w:hAnsi="Times New Roman" w:eastAsia="宋体"/>
          <w:sz w:val="30"/>
          <w:szCs w:val="30"/>
        </w:rPr>
      </w:pPr>
      <w:bookmarkStart w:id="200" w:name="_Toc13336"/>
      <w:r>
        <w:rPr>
          <w:rFonts w:ascii="Times New Roman" w:hAnsi="Times New Roman" w:eastAsia="宋体"/>
          <w:sz w:val="30"/>
          <w:szCs w:val="30"/>
        </w:rPr>
        <w:t>7.1施工期污染防治措施</w:t>
      </w:r>
      <w:bookmarkEnd w:id="200"/>
    </w:p>
    <w:p w14:paraId="6F616BC3">
      <w:pPr>
        <w:pStyle w:val="7"/>
        <w:spacing w:before="0" w:after="0" w:line="360" w:lineRule="auto"/>
        <w:rPr>
          <w:rFonts w:ascii="Times New Roman" w:hAnsi="Times New Roman"/>
          <w:sz w:val="28"/>
          <w:szCs w:val="28"/>
        </w:rPr>
      </w:pPr>
      <w:bookmarkStart w:id="201" w:name="_Toc475462991"/>
      <w:r>
        <w:rPr>
          <w:rFonts w:ascii="Times New Roman" w:hAnsi="Times New Roman"/>
          <w:sz w:val="28"/>
          <w:szCs w:val="28"/>
        </w:rPr>
        <w:t>7.1.1大气污染防治措施</w:t>
      </w:r>
      <w:bookmarkEnd w:id="201"/>
    </w:p>
    <w:p w14:paraId="3F671891">
      <w:pPr>
        <w:spacing w:line="360" w:lineRule="auto"/>
        <w:ind w:firstLine="480" w:firstLineChars="200"/>
        <w:rPr>
          <w:sz w:val="24"/>
        </w:rPr>
      </w:pPr>
      <w:r>
        <w:rPr>
          <w:sz w:val="24"/>
        </w:rPr>
        <w:t>（1）有风天气应进行洒水抑尘，减少扬尘产生量；遇到四级或四级以上大风天气，应停止土方作业，同时作业处覆盖塑料薄膜；尽量避免在大风天气下进行施工作业。</w:t>
      </w:r>
    </w:p>
    <w:p w14:paraId="1237005B">
      <w:pPr>
        <w:spacing w:line="360" w:lineRule="auto"/>
        <w:ind w:firstLine="480" w:firstLineChars="200"/>
        <w:rPr>
          <w:sz w:val="24"/>
        </w:rPr>
      </w:pPr>
      <w:r>
        <w:rPr>
          <w:sz w:val="24"/>
        </w:rPr>
        <w:t>（2）对较易起尘的散装物料（尤其是散装水泥、石灰、黄砂等）堆置应采用防尘布覆盖等有效的防尘措施进行防尘。</w:t>
      </w:r>
    </w:p>
    <w:p w14:paraId="4A2811D6">
      <w:pPr>
        <w:spacing w:line="360" w:lineRule="auto"/>
        <w:ind w:firstLine="480" w:firstLineChars="200"/>
        <w:rPr>
          <w:sz w:val="24"/>
        </w:rPr>
      </w:pPr>
      <w:r>
        <w:rPr>
          <w:sz w:val="24"/>
        </w:rPr>
        <w:t>（3）施工工程中产生的弃土、弃料及其他建筑垃圾，应集中堆放、及时清运。避免车辆超载、降低物料装卸高度；车辆运输建筑材料及建筑垃圾时必须加盖封闭运输，减少抛洒。</w:t>
      </w:r>
    </w:p>
    <w:p w14:paraId="3303ABDC">
      <w:pPr>
        <w:spacing w:line="360" w:lineRule="auto"/>
        <w:ind w:firstLine="480" w:firstLineChars="200"/>
        <w:rPr>
          <w:sz w:val="24"/>
        </w:rPr>
      </w:pPr>
      <w:r>
        <w:rPr>
          <w:sz w:val="24"/>
        </w:rPr>
        <w:t>（4）在施工场地安排专门员工对施工场地洒水以减少扬尘量，洒水次数根据天气状况而定，一般每天不少于2次；若遇到大风或干燥天气要适当增加洒水次数、施工场界设置不低于2.5m的施工围挡。</w:t>
      </w:r>
    </w:p>
    <w:p w14:paraId="361F190A">
      <w:pPr>
        <w:spacing w:line="360" w:lineRule="auto"/>
        <w:ind w:firstLine="480" w:firstLineChars="200"/>
        <w:rPr>
          <w:sz w:val="24"/>
        </w:rPr>
      </w:pPr>
      <w:r>
        <w:rPr>
          <w:sz w:val="24"/>
        </w:rPr>
        <w:t>（5）在基础施工期间，尽可能采取措施提高工程进度，并将土石方及时回填到指定地点，缩短堆放的危害周期。</w:t>
      </w:r>
    </w:p>
    <w:p w14:paraId="543D866F">
      <w:pPr>
        <w:spacing w:line="360" w:lineRule="auto"/>
        <w:ind w:firstLine="480" w:firstLineChars="200"/>
        <w:rPr>
          <w:sz w:val="24"/>
        </w:rPr>
      </w:pPr>
      <w:r>
        <w:rPr>
          <w:sz w:val="24"/>
        </w:rPr>
        <w:t>（6）对作业面和临时土堆适当洒水，保持一定的湿度，减小起尘量，施工便道应进行夯实硬化处理，减少起尘量。</w:t>
      </w:r>
    </w:p>
    <w:p w14:paraId="2CFE3FCF">
      <w:pPr>
        <w:spacing w:line="360" w:lineRule="auto"/>
        <w:ind w:firstLine="480" w:firstLineChars="200"/>
        <w:rPr>
          <w:sz w:val="24"/>
        </w:rPr>
      </w:pPr>
      <w:r>
        <w:rPr>
          <w:sz w:val="24"/>
        </w:rPr>
        <w:t>（7）场地内土堆、料堆要进行遮盖，防止扬尘的扩散。建议多用商品（湿）水泥和水泥预制品，尽量少用干水泥。</w:t>
      </w:r>
    </w:p>
    <w:p w14:paraId="19B59A4D">
      <w:pPr>
        <w:spacing w:line="360" w:lineRule="auto"/>
        <w:ind w:firstLine="480" w:firstLineChars="200"/>
        <w:rPr>
          <w:sz w:val="24"/>
        </w:rPr>
      </w:pPr>
      <w:r>
        <w:rPr>
          <w:sz w:val="24"/>
        </w:rPr>
        <w:t>（8）装修过程选择无毒或低毒的环保产品，坚决杜绝采用已被淘汰的涂料.</w:t>
      </w:r>
    </w:p>
    <w:p w14:paraId="6E0AEFCA">
      <w:pPr>
        <w:pStyle w:val="7"/>
        <w:spacing w:before="0" w:after="0" w:line="360" w:lineRule="auto"/>
        <w:rPr>
          <w:rFonts w:ascii="Times New Roman" w:hAnsi="Times New Roman"/>
          <w:sz w:val="28"/>
          <w:szCs w:val="28"/>
        </w:rPr>
      </w:pPr>
      <w:bookmarkStart w:id="202" w:name="_Toc475462992"/>
      <w:r>
        <w:rPr>
          <w:rFonts w:ascii="Times New Roman" w:hAnsi="Times New Roman"/>
          <w:sz w:val="28"/>
          <w:szCs w:val="28"/>
        </w:rPr>
        <w:t>7.1.2水环境污染防治措施</w:t>
      </w:r>
      <w:bookmarkEnd w:id="202"/>
    </w:p>
    <w:p w14:paraId="0407EF1F">
      <w:pPr>
        <w:spacing w:line="360" w:lineRule="auto"/>
        <w:ind w:left="17" w:firstLine="480" w:firstLineChars="200"/>
        <w:rPr>
          <w:sz w:val="24"/>
        </w:rPr>
      </w:pPr>
      <w:r>
        <w:rPr>
          <w:sz w:val="24"/>
        </w:rPr>
        <w:t>（1）施工废水设置临时沉淀池沉淀处理，回水用于场地混凝土养护，及泼洒在场地内，抑制扬尘的产生。部分燃油机械在运行和清洗过程中，还将产生少量的含油废水，经隔油（隔油池，1个，容积为1m</w:t>
      </w:r>
      <w:r>
        <w:rPr>
          <w:sz w:val="24"/>
          <w:vertAlign w:val="superscript"/>
        </w:rPr>
        <w:t>3</w:t>
      </w:r>
      <w:r>
        <w:rPr>
          <w:sz w:val="24"/>
        </w:rPr>
        <w:t>）处理后回用于施工用水。沼液输送管道防渗测试废水经沉淀后回用于施工场地洒水降尘。</w:t>
      </w:r>
    </w:p>
    <w:p w14:paraId="3DE05529">
      <w:pPr>
        <w:spacing w:line="360" w:lineRule="auto"/>
        <w:ind w:left="17" w:firstLine="480" w:firstLineChars="200"/>
        <w:rPr>
          <w:sz w:val="24"/>
        </w:rPr>
      </w:pPr>
      <w:r>
        <w:rPr>
          <w:sz w:val="24"/>
        </w:rPr>
        <w:t>（2）施工人员的生活废水使用临时旱厕，旱厕粪便由当地村民定期清掏作为农肥施用。</w:t>
      </w:r>
    </w:p>
    <w:p w14:paraId="57FB4D5F">
      <w:pPr>
        <w:spacing w:line="360" w:lineRule="auto"/>
        <w:ind w:left="17" w:firstLine="480" w:firstLineChars="200"/>
        <w:rPr>
          <w:sz w:val="24"/>
        </w:rPr>
      </w:pPr>
      <w:r>
        <w:rPr>
          <w:sz w:val="24"/>
        </w:rPr>
        <w:t>（3）施工期注意节约用水，减少废水产生量，禁止废水外排。</w:t>
      </w:r>
    </w:p>
    <w:p w14:paraId="10EA18AC">
      <w:pPr>
        <w:pStyle w:val="7"/>
        <w:spacing w:before="0" w:after="0" w:line="360" w:lineRule="auto"/>
        <w:rPr>
          <w:rFonts w:ascii="Times New Roman" w:hAnsi="Times New Roman"/>
          <w:sz w:val="28"/>
          <w:szCs w:val="28"/>
        </w:rPr>
      </w:pPr>
      <w:bookmarkStart w:id="203" w:name="_Toc475462993"/>
      <w:r>
        <w:rPr>
          <w:rFonts w:ascii="Times New Roman" w:hAnsi="Times New Roman"/>
          <w:sz w:val="28"/>
          <w:szCs w:val="28"/>
        </w:rPr>
        <w:t>7.1.3噪声污染防治措施</w:t>
      </w:r>
      <w:bookmarkEnd w:id="203"/>
    </w:p>
    <w:p w14:paraId="3A0F168F">
      <w:pPr>
        <w:spacing w:line="360" w:lineRule="auto"/>
        <w:ind w:left="17" w:firstLine="480" w:firstLineChars="200"/>
        <w:rPr>
          <w:sz w:val="24"/>
        </w:rPr>
      </w:pPr>
      <w:r>
        <w:rPr>
          <w:sz w:val="24"/>
        </w:rPr>
        <w:t>（1）施工单位应加强施工管理，尽量采用低噪声机械和先进的施工技术，从源头降低噪声强度。施工设备进场之前必须进行噪声检测，所有设备必须符合项目噪声控制要求。避免高噪声的设备同时开工作业。对产噪高的设备，建议在其外加盖简易棚。对钢管、摸板等构件装卸、搬运应该轻拿轻放，严禁抛掷，并辅以一定的减缓措施。</w:t>
      </w:r>
    </w:p>
    <w:p w14:paraId="0C8F3FCD">
      <w:pPr>
        <w:spacing w:line="360" w:lineRule="auto"/>
        <w:ind w:left="17" w:firstLine="480" w:firstLineChars="200"/>
        <w:rPr>
          <w:sz w:val="24"/>
        </w:rPr>
      </w:pPr>
      <w:r>
        <w:rPr>
          <w:sz w:val="24"/>
        </w:rPr>
        <w:t>（2）加强设备的维护，减少摩擦噪声，提高施工人员的环保意识，减小其在施工过程中的敲打噪声，并注意对施工机械定期进行维修保养，使机械设备保持最佳工作状态，使噪声影响降低到最小范围。对动力机械设备定期进行维修和养护，避免因松动部件振动或消声器损坏而加大设备工作时的声级。</w:t>
      </w:r>
    </w:p>
    <w:p w14:paraId="0AA46B44">
      <w:pPr>
        <w:spacing w:line="360" w:lineRule="auto"/>
        <w:ind w:left="17" w:firstLine="480" w:firstLineChars="200"/>
        <w:rPr>
          <w:sz w:val="24"/>
        </w:rPr>
      </w:pPr>
      <w:r>
        <w:rPr>
          <w:sz w:val="24"/>
        </w:rPr>
        <w:t>（3）加强车辆管理，进出车辆限速行驶，尽量压缩施工区的汽车数量和行车密度，控制汽车鸣笛，减轻交通噪声对周边环境的影响。禁鸣喇叭。</w:t>
      </w:r>
    </w:p>
    <w:p w14:paraId="4015B221">
      <w:pPr>
        <w:spacing w:line="360" w:lineRule="auto"/>
        <w:ind w:left="17" w:firstLine="480" w:firstLineChars="200"/>
        <w:rPr>
          <w:sz w:val="24"/>
        </w:rPr>
      </w:pPr>
      <w:r>
        <w:rPr>
          <w:sz w:val="24"/>
        </w:rPr>
        <w:t>（4）文明施工、施工场界设置不低于2.5m的施工围挡。</w:t>
      </w:r>
    </w:p>
    <w:p w14:paraId="237B2EB8">
      <w:pPr>
        <w:pStyle w:val="7"/>
        <w:spacing w:before="0" w:after="0" w:line="360" w:lineRule="auto"/>
        <w:rPr>
          <w:rFonts w:ascii="Times New Roman" w:hAnsi="Times New Roman"/>
          <w:sz w:val="28"/>
          <w:szCs w:val="28"/>
        </w:rPr>
      </w:pPr>
      <w:bookmarkStart w:id="204" w:name="_Toc475462994"/>
      <w:r>
        <w:rPr>
          <w:rFonts w:ascii="Times New Roman" w:hAnsi="Times New Roman"/>
          <w:sz w:val="28"/>
          <w:szCs w:val="28"/>
        </w:rPr>
        <w:t>7.1.4固体废弃物污染防治措施</w:t>
      </w:r>
      <w:bookmarkEnd w:id="204"/>
    </w:p>
    <w:p w14:paraId="542873B7">
      <w:pPr>
        <w:adjustRightInd w:val="0"/>
        <w:snapToGrid w:val="0"/>
        <w:spacing w:line="360" w:lineRule="auto"/>
        <w:ind w:firstLine="480" w:firstLineChars="200"/>
        <w:rPr>
          <w:sz w:val="24"/>
        </w:rPr>
      </w:pPr>
      <w:r>
        <w:rPr>
          <w:sz w:val="24"/>
        </w:rPr>
        <w:t>（1）项目施工人员产生的生活垃圾集中收集后，委托环卫部门统一清运。</w:t>
      </w:r>
    </w:p>
    <w:p w14:paraId="46FDCA95">
      <w:pPr>
        <w:adjustRightInd w:val="0"/>
        <w:snapToGrid w:val="0"/>
        <w:spacing w:line="360" w:lineRule="auto"/>
        <w:ind w:firstLine="480" w:firstLineChars="200"/>
        <w:rPr>
          <w:sz w:val="24"/>
        </w:rPr>
      </w:pPr>
      <w:r>
        <w:rPr>
          <w:sz w:val="24"/>
        </w:rPr>
        <w:t>（2）施工现场的建筑固废及时清运处理，避免二次污染。</w:t>
      </w:r>
    </w:p>
    <w:p w14:paraId="12EFC8F6">
      <w:pPr>
        <w:adjustRightInd w:val="0"/>
        <w:snapToGrid w:val="0"/>
        <w:spacing w:line="360" w:lineRule="auto"/>
        <w:ind w:firstLine="480" w:firstLineChars="200"/>
        <w:rPr>
          <w:sz w:val="24"/>
        </w:rPr>
      </w:pPr>
      <w:r>
        <w:rPr>
          <w:sz w:val="24"/>
        </w:rPr>
        <w:t>（3）工期基础开挖产生的土石方实现场内平衡，剥离表土临时堆存场内</w:t>
      </w:r>
      <w:bookmarkStart w:id="205" w:name="OLE_LINK10"/>
      <w:r>
        <w:rPr>
          <w:sz w:val="24"/>
        </w:rPr>
        <w:t>，用于后期绿化覆土，表土堆场采取拦挡及土工布覆盖</w:t>
      </w:r>
      <w:bookmarkEnd w:id="205"/>
      <w:r>
        <w:rPr>
          <w:sz w:val="24"/>
        </w:rPr>
        <w:t>。</w:t>
      </w:r>
    </w:p>
    <w:p w14:paraId="54D3C1C1">
      <w:pPr>
        <w:adjustRightInd w:val="0"/>
        <w:snapToGrid w:val="0"/>
        <w:spacing w:line="360" w:lineRule="auto"/>
        <w:ind w:firstLine="480" w:firstLineChars="200"/>
        <w:rPr>
          <w:sz w:val="24"/>
        </w:rPr>
      </w:pPr>
      <w:r>
        <w:rPr>
          <w:sz w:val="24"/>
        </w:rPr>
        <w:t>（4）施工产生的建筑垃圾应尽量回收可利用废物，不能回用的建筑垃圾用于场内道路铺设</w:t>
      </w:r>
      <w:r>
        <w:rPr>
          <w:kern w:val="0"/>
          <w:sz w:val="24"/>
        </w:rPr>
        <w:t>或按照《昆明市城市建筑垃圾管理实施办法》〔2011〕88号要求清运处置</w:t>
      </w:r>
      <w:r>
        <w:rPr>
          <w:sz w:val="24"/>
        </w:rPr>
        <w:t>，严禁随意堆弃。</w:t>
      </w:r>
    </w:p>
    <w:p w14:paraId="7D2E4304">
      <w:pPr>
        <w:pStyle w:val="7"/>
        <w:spacing w:before="0" w:after="0" w:line="360" w:lineRule="auto"/>
        <w:rPr>
          <w:rFonts w:ascii="Times New Roman" w:hAnsi="Times New Roman"/>
          <w:sz w:val="28"/>
          <w:szCs w:val="28"/>
        </w:rPr>
      </w:pPr>
      <w:r>
        <w:rPr>
          <w:rFonts w:ascii="Times New Roman" w:hAnsi="Times New Roman"/>
          <w:sz w:val="28"/>
          <w:szCs w:val="28"/>
        </w:rPr>
        <w:t>7.1.5生态保护措施</w:t>
      </w:r>
    </w:p>
    <w:p w14:paraId="075F5DF9">
      <w:pPr>
        <w:adjustRightInd w:val="0"/>
        <w:snapToGrid w:val="0"/>
        <w:spacing w:line="360" w:lineRule="auto"/>
        <w:ind w:firstLine="480" w:firstLineChars="200"/>
        <w:rPr>
          <w:sz w:val="24"/>
        </w:rPr>
      </w:pPr>
      <w:r>
        <w:rPr>
          <w:sz w:val="24"/>
        </w:rPr>
        <w:t>（1）严格按照划定的施工区范围和工程设计要求进行施工，提前做好有效的施工组织计划，合理安排施工时序，不对施工范围以外区域造成破坏。</w:t>
      </w:r>
    </w:p>
    <w:p w14:paraId="14994BAE">
      <w:pPr>
        <w:adjustRightInd w:val="0"/>
        <w:snapToGrid w:val="0"/>
        <w:spacing w:line="360" w:lineRule="auto"/>
        <w:ind w:firstLine="480" w:firstLineChars="200"/>
        <w:rPr>
          <w:sz w:val="24"/>
        </w:rPr>
      </w:pPr>
      <w:r>
        <w:rPr>
          <w:sz w:val="24"/>
        </w:rPr>
        <w:t>（2）严格施工管理，在工程施工区设立围挡，标明施工活动区域，并设置警示牌，对施工区外的土地、植被、水体进行严格保护。</w:t>
      </w:r>
    </w:p>
    <w:p w14:paraId="1BE60FF5">
      <w:pPr>
        <w:adjustRightInd w:val="0"/>
        <w:snapToGrid w:val="0"/>
        <w:spacing w:line="360" w:lineRule="auto"/>
        <w:ind w:firstLine="480" w:firstLineChars="200"/>
        <w:rPr>
          <w:sz w:val="24"/>
        </w:rPr>
      </w:pPr>
      <w:r>
        <w:rPr>
          <w:sz w:val="24"/>
        </w:rPr>
        <w:t>（3）严格施工管理，禁止施工工人对水体及其周边的环境造成破坏。</w:t>
      </w:r>
    </w:p>
    <w:p w14:paraId="7F4E97E4">
      <w:pPr>
        <w:adjustRightInd w:val="0"/>
        <w:snapToGrid w:val="0"/>
        <w:spacing w:line="360" w:lineRule="auto"/>
        <w:ind w:firstLine="480" w:firstLineChars="200"/>
        <w:rPr>
          <w:sz w:val="24"/>
        </w:rPr>
      </w:pPr>
      <w:r>
        <w:rPr>
          <w:sz w:val="24"/>
        </w:rPr>
        <w:t>（4）在施工中尽量减少对动物栖息地生境的破坏；加强施工人员对野生动物和生态环境的保护意识教育，对在施工中遇到的幼兽、幼鸟和鸟卵（蛋），应交给林业局的专业人员妥善处置，不得擅自处理；对施工中遇到的鸟窝（因砍伐树木）应移到非施工区的其他树上。</w:t>
      </w:r>
    </w:p>
    <w:p w14:paraId="5240F812">
      <w:pPr>
        <w:adjustRightInd w:val="0"/>
        <w:snapToGrid w:val="0"/>
        <w:spacing w:line="360" w:lineRule="auto"/>
        <w:ind w:firstLine="480" w:firstLineChars="200"/>
        <w:rPr>
          <w:sz w:val="24"/>
        </w:rPr>
      </w:pPr>
      <w:r>
        <w:rPr>
          <w:sz w:val="24"/>
        </w:rPr>
        <w:t>（5）在项目区污水处理站、停车场等周边加强绿化建设，控制水土流失，改善生态环境，遏制水土流失。</w:t>
      </w:r>
    </w:p>
    <w:p w14:paraId="226B0F69">
      <w:pPr>
        <w:adjustRightInd w:val="0"/>
        <w:snapToGrid w:val="0"/>
        <w:spacing w:line="360" w:lineRule="auto"/>
        <w:ind w:firstLine="480" w:firstLineChars="200"/>
        <w:rPr>
          <w:sz w:val="24"/>
        </w:rPr>
      </w:pPr>
      <w:r>
        <w:rPr>
          <w:sz w:val="24"/>
        </w:rPr>
        <w:t>（6）加强对工程施工的相关领导、技术人员和施工人员的环境保护教育与宣传，明确环境保护的重要性，自觉保护周围环境、自然资源。建议建设单位与施工单位共同协商制定相应的环境保护奖惩制度，明确各自的环境保护职责，提高施工主体的环境保护主人翁责任感。</w:t>
      </w:r>
    </w:p>
    <w:p w14:paraId="08C0B31E">
      <w:pPr>
        <w:adjustRightInd w:val="0"/>
        <w:snapToGrid w:val="0"/>
        <w:spacing w:line="360" w:lineRule="auto"/>
        <w:ind w:firstLine="480" w:firstLineChars="200"/>
        <w:rPr>
          <w:sz w:val="24"/>
        </w:rPr>
      </w:pPr>
      <w:r>
        <w:rPr>
          <w:sz w:val="24"/>
        </w:rPr>
        <w:t>（7）建设单位必须遵照土地管理相关法律法规的规定。</w:t>
      </w:r>
    </w:p>
    <w:p w14:paraId="230A6079">
      <w:pPr>
        <w:pStyle w:val="6"/>
        <w:spacing w:before="0" w:after="0" w:line="360" w:lineRule="auto"/>
        <w:rPr>
          <w:rFonts w:ascii="Times New Roman" w:hAnsi="Times New Roman" w:eastAsia="宋体"/>
          <w:sz w:val="30"/>
          <w:szCs w:val="30"/>
        </w:rPr>
      </w:pPr>
      <w:bookmarkStart w:id="206" w:name="_Toc212288588"/>
      <w:bookmarkStart w:id="207" w:name="_Toc334519457"/>
      <w:bookmarkStart w:id="208" w:name="_Toc402803437"/>
      <w:bookmarkStart w:id="209" w:name="_Toc28388"/>
      <w:r>
        <w:rPr>
          <w:rFonts w:ascii="Times New Roman" w:hAnsi="Times New Roman" w:eastAsia="宋体"/>
          <w:sz w:val="30"/>
          <w:szCs w:val="30"/>
        </w:rPr>
        <w:t>7.2</w:t>
      </w:r>
      <w:bookmarkEnd w:id="206"/>
      <w:bookmarkEnd w:id="207"/>
      <w:bookmarkEnd w:id="208"/>
      <w:r>
        <w:rPr>
          <w:rFonts w:ascii="Times New Roman" w:hAnsi="Times New Roman" w:eastAsia="宋体"/>
          <w:sz w:val="30"/>
          <w:szCs w:val="30"/>
        </w:rPr>
        <w:t>运营期污染防治措施</w:t>
      </w:r>
      <w:bookmarkEnd w:id="209"/>
    </w:p>
    <w:p w14:paraId="65133F1F">
      <w:pPr>
        <w:pStyle w:val="7"/>
        <w:spacing w:before="0" w:after="0" w:line="360" w:lineRule="auto"/>
        <w:rPr>
          <w:rFonts w:ascii="Times New Roman" w:hAnsi="Times New Roman"/>
          <w:sz w:val="28"/>
          <w:szCs w:val="28"/>
        </w:rPr>
      </w:pPr>
      <w:r>
        <w:rPr>
          <w:rFonts w:ascii="Times New Roman" w:hAnsi="Times New Roman"/>
          <w:sz w:val="28"/>
          <w:szCs w:val="28"/>
        </w:rPr>
        <w:t>7.2.1大气污染防治措施</w:t>
      </w:r>
    </w:p>
    <w:p w14:paraId="0BE28F61">
      <w:pPr>
        <w:pStyle w:val="8"/>
        <w:ind w:firstLine="482"/>
        <w:rPr>
          <w:sz w:val="24"/>
          <w:szCs w:val="24"/>
        </w:rPr>
      </w:pPr>
      <w:r>
        <w:rPr>
          <w:sz w:val="24"/>
          <w:szCs w:val="24"/>
        </w:rPr>
        <w:t>7.2.1.1大气污染防治措施</w:t>
      </w:r>
    </w:p>
    <w:p w14:paraId="54A4AFFB">
      <w:pPr>
        <w:spacing w:line="360" w:lineRule="auto"/>
        <w:ind w:firstLine="480" w:firstLineChars="200"/>
        <w:rPr>
          <w:sz w:val="24"/>
        </w:rPr>
      </w:pPr>
      <w:r>
        <w:rPr>
          <w:sz w:val="24"/>
        </w:rPr>
        <w:t>（1）养殖场环境质量及卫生控制应符合《畜禽场环境质量及卫生控制规范》（NY/T1167-2006）的有关要求；合理设计的猪舍，项目猪舍设置通风系统，污水沟全部加盖密封。猪舍内的猪粪采用干清粪的方式。</w:t>
      </w:r>
    </w:p>
    <w:p w14:paraId="28BC51C6">
      <w:pPr>
        <w:spacing w:line="360" w:lineRule="auto"/>
        <w:ind w:firstLine="480" w:firstLineChars="200"/>
        <w:rPr>
          <w:sz w:val="24"/>
        </w:rPr>
      </w:pPr>
      <w:r>
        <w:rPr>
          <w:sz w:val="24"/>
        </w:rPr>
        <w:t>（2）合理搭配饲料，并在饲料中添加1‰比例的益生素提高日粮消化率、减少干物质（蛋白质）排出量。</w:t>
      </w:r>
    </w:p>
    <w:p w14:paraId="43D42313">
      <w:pPr>
        <w:spacing w:line="360" w:lineRule="auto"/>
        <w:ind w:firstLine="480" w:firstLineChars="200"/>
        <w:rPr>
          <w:sz w:val="24"/>
        </w:rPr>
      </w:pPr>
      <w:r>
        <w:rPr>
          <w:sz w:val="24"/>
        </w:rPr>
        <w:t>（3）向粪便、猪舍投放锯末等含纤维素、木质素较多的吸附剂材料；</w:t>
      </w:r>
    </w:p>
    <w:p w14:paraId="7BF1A636">
      <w:pPr>
        <w:spacing w:line="360" w:lineRule="auto"/>
        <w:ind w:firstLine="480" w:firstLineChars="200"/>
        <w:rPr>
          <w:sz w:val="24"/>
        </w:rPr>
      </w:pPr>
      <w:r>
        <w:rPr>
          <w:sz w:val="24"/>
        </w:rPr>
        <w:t>（4）猪舍加强通风、粪尿定期清理、日常管理中杀菌消毒，保持舍内干燥，减少舍内粉尘、微生物。按照猪舍生猪养殖的相关技术要求，为减少病菌的滋生，粪水经管道收集进入固液分离机进行固液分离，减少猪舍恶臭。</w:t>
      </w:r>
    </w:p>
    <w:p w14:paraId="6935E660">
      <w:pPr>
        <w:spacing w:line="360" w:lineRule="auto"/>
        <w:ind w:firstLine="480" w:firstLineChars="200"/>
        <w:rPr>
          <w:bCs/>
          <w:sz w:val="24"/>
        </w:rPr>
      </w:pPr>
      <w:r>
        <w:rPr>
          <w:sz w:val="24"/>
        </w:rPr>
        <w:t>（5）</w:t>
      </w:r>
      <w:r>
        <w:rPr>
          <w:bCs/>
          <w:sz w:val="24"/>
        </w:rPr>
        <w:t>收集池、调节池、污水处理设施及沼液储存池进行加盖封闭；</w:t>
      </w:r>
    </w:p>
    <w:p w14:paraId="2123CA50">
      <w:pPr>
        <w:spacing w:line="360" w:lineRule="auto"/>
        <w:ind w:firstLine="480" w:firstLineChars="200"/>
        <w:rPr>
          <w:sz w:val="24"/>
        </w:rPr>
      </w:pPr>
      <w:r>
        <w:rPr>
          <w:bCs/>
          <w:sz w:val="24"/>
        </w:rPr>
        <w:t>（6）对收集池、调节池、污水处理设施及沼液储存池喷洒除臭剂，并加强污水处理站周围绿化。</w:t>
      </w:r>
    </w:p>
    <w:p w14:paraId="0D9C8197">
      <w:pPr>
        <w:spacing w:line="360" w:lineRule="auto"/>
        <w:ind w:firstLine="480" w:firstLineChars="200"/>
        <w:rPr>
          <w:sz w:val="24"/>
        </w:rPr>
      </w:pPr>
      <w:r>
        <w:rPr>
          <w:sz w:val="24"/>
        </w:rPr>
        <w:t>（7）固粪处理区封闭式+好氧堆肥+负压收集+过滤除臭装置对固粪处理区的恶臭气体进行处理。</w:t>
      </w:r>
    </w:p>
    <w:p w14:paraId="276EE0F1">
      <w:pPr>
        <w:spacing w:line="360" w:lineRule="auto"/>
        <w:ind w:firstLine="480" w:firstLineChars="200"/>
        <w:rPr>
          <w:kern w:val="0"/>
          <w:sz w:val="24"/>
          <w:lang w:bidi="en-US"/>
        </w:rPr>
      </w:pPr>
      <w:r>
        <w:rPr>
          <w:sz w:val="24"/>
        </w:rPr>
        <w:t>（8）无害化处理车间废气密闭设备+负压收集+光解催化氧化+15m排气筒排放</w:t>
      </w:r>
      <w:r>
        <w:rPr>
          <w:kern w:val="0"/>
          <w:sz w:val="24"/>
          <w:lang w:bidi="en-US"/>
        </w:rPr>
        <w:t>；</w:t>
      </w:r>
    </w:p>
    <w:p w14:paraId="07F9E98F">
      <w:pPr>
        <w:spacing w:line="360" w:lineRule="auto"/>
        <w:ind w:firstLine="480" w:firstLineChars="200"/>
        <w:rPr>
          <w:sz w:val="24"/>
        </w:rPr>
      </w:pPr>
      <w:r>
        <w:rPr>
          <w:sz w:val="24"/>
        </w:rPr>
        <w:t>（9）在项目区内宜种植高大常绿的乔木，并设置能吸收臭气、净化空气作用的绿化隔离带，以减少臭气对环境的影响。</w:t>
      </w:r>
    </w:p>
    <w:p w14:paraId="2EB2051E">
      <w:pPr>
        <w:pStyle w:val="8"/>
        <w:ind w:firstLine="482"/>
        <w:rPr>
          <w:sz w:val="24"/>
          <w:szCs w:val="24"/>
        </w:rPr>
      </w:pPr>
      <w:r>
        <w:rPr>
          <w:sz w:val="24"/>
          <w:szCs w:val="24"/>
        </w:rPr>
        <w:t>7.2.1.2大气污染防治措施</w:t>
      </w:r>
    </w:p>
    <w:p w14:paraId="2D91C3F1">
      <w:pPr>
        <w:pStyle w:val="35"/>
        <w:spacing w:before="1" w:line="364" w:lineRule="auto"/>
        <w:ind w:right="451" w:firstLine="480" w:firstLineChars="200"/>
        <w:rPr>
          <w:sz w:val="24"/>
          <w:szCs w:val="22"/>
        </w:rPr>
      </w:pPr>
      <w:r>
        <w:rPr>
          <w:sz w:val="24"/>
          <w:szCs w:val="22"/>
        </w:rPr>
        <w:t>（1）猪舍、污水处理、固粪处理区臭气</w:t>
      </w:r>
    </w:p>
    <w:p w14:paraId="51A3385F">
      <w:pPr>
        <w:pStyle w:val="35"/>
        <w:spacing w:before="1" w:line="364" w:lineRule="auto"/>
        <w:ind w:right="451" w:firstLine="480" w:firstLineChars="200"/>
        <w:rPr>
          <w:sz w:val="24"/>
          <w:szCs w:val="22"/>
        </w:rPr>
      </w:pPr>
      <w:r>
        <w:rPr>
          <w:sz w:val="24"/>
          <w:szCs w:val="22"/>
        </w:rPr>
        <w:t>按照《排污许可证申请与核发技术规范 畜禽养殖行业》（HJ1029-2019）畜禽养殖行业排污单位恶臭污染防治可行技术及控制要求见表 7.2-1。对照表 7.2-1， 本项目采取的防治措施为可行技术。</w:t>
      </w:r>
    </w:p>
    <w:p w14:paraId="1A19D121">
      <w:pPr>
        <w:pStyle w:val="994"/>
        <w:rPr>
          <w:rFonts w:hAnsi="Times New Roman"/>
        </w:rPr>
      </w:pPr>
      <w:r>
        <w:rPr>
          <w:rFonts w:hAnsi="Times New Roman"/>
        </w:rPr>
        <w:t>表 7</w:t>
      </w:r>
      <w:r>
        <w:rPr>
          <w:rFonts w:hAnsi="Times New Roman" w:eastAsia="Times New Roman"/>
        </w:rPr>
        <w:t>.2-</w:t>
      </w:r>
      <w:r>
        <w:rPr>
          <w:rFonts w:hAnsi="Times New Roman"/>
        </w:rPr>
        <w:t>1</w:t>
      </w:r>
      <w:r>
        <w:rPr>
          <w:rFonts w:hAnsi="Times New Roman" w:eastAsia="Times New Roman"/>
        </w:rPr>
        <w:t xml:space="preserve"> </w:t>
      </w:r>
      <w:r>
        <w:rPr>
          <w:rFonts w:hAnsi="Times New Roman"/>
        </w:rPr>
        <w:t>畜禽养殖行业排污单位恶臭污染防治可行技术与控制要求</w:t>
      </w:r>
    </w:p>
    <w:p w14:paraId="1BAE8BFB">
      <w:pPr>
        <w:pStyle w:val="35"/>
        <w:spacing w:before="9"/>
        <w:rPr>
          <w:b/>
          <w:sz w:val="7"/>
        </w:rPr>
      </w:pPr>
    </w:p>
    <w:tbl>
      <w:tblPr>
        <w:tblStyle w:val="8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5"/>
        <w:gridCol w:w="3194"/>
        <w:gridCol w:w="2629"/>
        <w:gridCol w:w="1661"/>
      </w:tblGrid>
      <w:tr w14:paraId="0D108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02" w:type="pct"/>
            <w:shd w:val="clear" w:color="auto" w:fill="D7D7D7"/>
            <w:noWrap w:val="0"/>
            <w:vAlign w:val="center"/>
          </w:tcPr>
          <w:p w14:paraId="6A72E500">
            <w:pPr>
              <w:pStyle w:val="1463"/>
              <w:spacing w:before="48" w:after="48"/>
              <w:rPr>
                <w:rFonts w:ascii="Times New Roman" w:hAnsi="Times New Roman"/>
                <w:b/>
              </w:rPr>
            </w:pPr>
            <w:r>
              <w:rPr>
                <w:rFonts w:ascii="Times New Roman" w:hAnsi="Times New Roman"/>
                <w:b/>
              </w:rPr>
              <w:t>主要生产</w:t>
            </w:r>
          </w:p>
          <w:p w14:paraId="4EADEACD">
            <w:pPr>
              <w:pStyle w:val="1463"/>
              <w:spacing w:before="48" w:after="48"/>
              <w:rPr>
                <w:rFonts w:ascii="Times New Roman" w:hAnsi="Times New Roman"/>
                <w:b/>
              </w:rPr>
            </w:pPr>
            <w:r>
              <w:rPr>
                <w:rFonts w:ascii="Times New Roman" w:hAnsi="Times New Roman"/>
                <w:b/>
              </w:rPr>
              <w:t>设施</w:t>
            </w:r>
          </w:p>
        </w:tc>
        <w:tc>
          <w:tcPr>
            <w:tcW w:w="1919" w:type="pct"/>
            <w:shd w:val="clear" w:color="auto" w:fill="D7D7D7"/>
            <w:noWrap w:val="0"/>
            <w:vAlign w:val="center"/>
          </w:tcPr>
          <w:p w14:paraId="719EC911">
            <w:pPr>
              <w:pStyle w:val="1463"/>
              <w:spacing w:before="48" w:after="48"/>
              <w:rPr>
                <w:rFonts w:ascii="Times New Roman" w:hAnsi="Times New Roman"/>
                <w:b/>
              </w:rPr>
            </w:pPr>
            <w:r>
              <w:rPr>
                <w:rFonts w:ascii="Times New Roman" w:hAnsi="Times New Roman"/>
                <w:b/>
              </w:rPr>
              <w:t>可行技术与控制要求</w:t>
            </w:r>
          </w:p>
        </w:tc>
        <w:tc>
          <w:tcPr>
            <w:tcW w:w="1580" w:type="pct"/>
            <w:shd w:val="clear" w:color="auto" w:fill="D7D7D7"/>
            <w:noWrap w:val="0"/>
            <w:vAlign w:val="center"/>
          </w:tcPr>
          <w:p w14:paraId="5F40CAED">
            <w:pPr>
              <w:pStyle w:val="1463"/>
              <w:spacing w:before="48" w:after="48"/>
              <w:rPr>
                <w:rFonts w:ascii="Times New Roman" w:hAnsi="Times New Roman"/>
                <w:b/>
              </w:rPr>
            </w:pPr>
            <w:r>
              <w:rPr>
                <w:rFonts w:ascii="Times New Roman" w:hAnsi="Times New Roman"/>
                <w:b/>
              </w:rPr>
              <w:t>本项目情况</w:t>
            </w:r>
          </w:p>
        </w:tc>
        <w:tc>
          <w:tcPr>
            <w:tcW w:w="998" w:type="pct"/>
            <w:shd w:val="clear" w:color="auto" w:fill="D7D7D7"/>
            <w:noWrap w:val="0"/>
            <w:vAlign w:val="center"/>
          </w:tcPr>
          <w:p w14:paraId="0F7FE6F1">
            <w:pPr>
              <w:pStyle w:val="1463"/>
              <w:spacing w:before="48" w:after="48"/>
              <w:rPr>
                <w:rFonts w:ascii="Times New Roman" w:hAnsi="Times New Roman"/>
                <w:b/>
                <w:lang w:eastAsia="zh-CN"/>
              </w:rPr>
            </w:pPr>
            <w:r>
              <w:rPr>
                <w:rFonts w:ascii="Times New Roman" w:hAnsi="Times New Roman"/>
                <w:b/>
                <w:lang w:eastAsia="zh-CN"/>
              </w:rPr>
              <w:t>满足情况</w:t>
            </w:r>
          </w:p>
        </w:tc>
      </w:tr>
      <w:tr w14:paraId="52E7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1" w:hRule="atLeast"/>
        </w:trPr>
        <w:tc>
          <w:tcPr>
            <w:tcW w:w="502" w:type="pct"/>
            <w:noWrap w:val="0"/>
            <w:vAlign w:val="top"/>
          </w:tcPr>
          <w:p w14:paraId="6F8F6335">
            <w:pPr>
              <w:pStyle w:val="1463"/>
              <w:spacing w:before="48" w:after="48"/>
              <w:rPr>
                <w:rFonts w:ascii="Times New Roman" w:hAnsi="Times New Roman"/>
              </w:rPr>
            </w:pPr>
          </w:p>
          <w:p w14:paraId="54BC251C">
            <w:pPr>
              <w:pStyle w:val="1463"/>
              <w:spacing w:before="48" w:after="48"/>
              <w:rPr>
                <w:rFonts w:ascii="Times New Roman" w:hAnsi="Times New Roman"/>
              </w:rPr>
            </w:pPr>
          </w:p>
          <w:p w14:paraId="041E544C">
            <w:pPr>
              <w:pStyle w:val="1463"/>
              <w:spacing w:before="48" w:after="48"/>
              <w:rPr>
                <w:rFonts w:ascii="Times New Roman" w:hAnsi="Times New Roman"/>
              </w:rPr>
            </w:pPr>
          </w:p>
          <w:p w14:paraId="726ED84B">
            <w:pPr>
              <w:pStyle w:val="1463"/>
              <w:spacing w:before="48" w:after="48"/>
              <w:rPr>
                <w:rFonts w:ascii="Times New Roman" w:hAnsi="Times New Roman"/>
              </w:rPr>
            </w:pPr>
            <w:r>
              <w:rPr>
                <w:rFonts w:ascii="Times New Roman" w:hAnsi="Times New Roman"/>
              </w:rPr>
              <w:t>养殖栏舍</w:t>
            </w:r>
          </w:p>
        </w:tc>
        <w:tc>
          <w:tcPr>
            <w:tcW w:w="1919" w:type="pct"/>
            <w:noWrap w:val="0"/>
            <w:vAlign w:val="top"/>
          </w:tcPr>
          <w:p w14:paraId="44962B65">
            <w:pPr>
              <w:pStyle w:val="1463"/>
              <w:numPr>
                <w:ilvl w:val="0"/>
                <w:numId w:val="83"/>
              </w:numPr>
              <w:spacing w:before="48" w:after="48"/>
              <w:ind w:firstLine="420" w:firstLineChars="200"/>
              <w:jc w:val="both"/>
              <w:rPr>
                <w:rFonts w:ascii="Times New Roman" w:hAnsi="Times New Roman"/>
              </w:rPr>
            </w:pPr>
            <w:r>
              <w:rPr>
                <w:rFonts w:ascii="Times New Roman" w:hAnsi="Times New Roman"/>
              </w:rPr>
              <w:t>选用益生菌配方饲料；</w:t>
            </w:r>
          </w:p>
          <w:p w14:paraId="1DC25F73">
            <w:pPr>
              <w:pStyle w:val="35"/>
              <w:ind w:firstLine="420" w:firstLineChars="200"/>
              <w:rPr>
                <w:szCs w:val="21"/>
              </w:rPr>
            </w:pPr>
            <w:r>
              <w:rPr>
                <w:szCs w:val="21"/>
              </w:rPr>
              <w:t>（2）及时清运污粪</w:t>
            </w:r>
          </w:p>
          <w:p w14:paraId="254B0884">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3</w:t>
            </w:r>
            <w:r>
              <w:rPr>
                <w:rFonts w:ascii="Times New Roman" w:hAnsi="Times New Roman"/>
                <w:lang w:eastAsia="zh-CN"/>
              </w:rPr>
              <w:t>）</w:t>
            </w:r>
            <w:r>
              <w:rPr>
                <w:rFonts w:ascii="Times New Roman" w:hAnsi="Times New Roman"/>
              </w:rPr>
              <w:t>向粪便或舍内投（铺）放吸附剂减少臭气的散发；</w:t>
            </w:r>
          </w:p>
          <w:p w14:paraId="7B8A7B49">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4</w:t>
            </w:r>
            <w:r>
              <w:rPr>
                <w:rFonts w:ascii="Times New Roman" w:hAnsi="Times New Roman"/>
                <w:lang w:eastAsia="zh-CN"/>
              </w:rPr>
              <w:t>）</w:t>
            </w:r>
            <w:r>
              <w:rPr>
                <w:rFonts w:ascii="Times New Roman" w:hAnsi="Times New Roman"/>
              </w:rPr>
              <w:t>投加或喷洒除臭剂；</w:t>
            </w:r>
          </w:p>
          <w:p w14:paraId="239720DC">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5</w:t>
            </w:r>
            <w:r>
              <w:rPr>
                <w:rFonts w:ascii="Times New Roman" w:hAnsi="Times New Roman"/>
                <w:lang w:eastAsia="zh-CN"/>
              </w:rPr>
              <w:t>）</w:t>
            </w:r>
            <w:r>
              <w:rPr>
                <w:rFonts w:ascii="Times New Roman" w:hAnsi="Times New Roman"/>
              </w:rPr>
              <w:t>集中</w:t>
            </w:r>
            <w:r>
              <w:rPr>
                <w:rFonts w:ascii="Times New Roman" w:hAnsi="Times New Roman"/>
                <w:lang w:val="en-US" w:eastAsia="zh-CN"/>
              </w:rPr>
              <w:t>通风排气经处理（喷淋法、生物洗涤法、吸收法等）</w:t>
            </w:r>
            <w:r>
              <w:rPr>
                <w:rFonts w:ascii="Times New Roman" w:hAnsi="Times New Roman"/>
              </w:rPr>
              <w:t>后排放；</w:t>
            </w:r>
          </w:p>
          <w:p w14:paraId="5FD3376A">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6</w:t>
            </w:r>
            <w:r>
              <w:rPr>
                <w:rFonts w:ascii="Times New Roman" w:hAnsi="Times New Roman"/>
                <w:lang w:eastAsia="zh-CN"/>
              </w:rPr>
              <w:t>）</w:t>
            </w:r>
            <w:r>
              <w:rPr>
                <w:rFonts w:ascii="Times New Roman" w:hAnsi="Times New Roman"/>
                <w:lang w:val="en-US" w:eastAsia="zh-CN"/>
              </w:rPr>
              <w:t>集中收集气体经处理（生物过滤法、生物洗涤法、吸收法等）</w:t>
            </w:r>
            <w:r>
              <w:rPr>
                <w:rFonts w:ascii="Times New Roman" w:hAnsi="Times New Roman"/>
              </w:rPr>
              <w:t>后</w:t>
            </w:r>
            <w:r>
              <w:rPr>
                <w:rFonts w:ascii="Times New Roman" w:hAnsi="Times New Roman"/>
                <w:lang w:val="en-US" w:eastAsia="zh-CN"/>
              </w:rPr>
              <w:t>由排气筒</w:t>
            </w:r>
            <w:r>
              <w:rPr>
                <w:rFonts w:ascii="Times New Roman" w:hAnsi="Times New Roman"/>
              </w:rPr>
              <w:t>排放。</w:t>
            </w:r>
          </w:p>
        </w:tc>
        <w:tc>
          <w:tcPr>
            <w:tcW w:w="1580" w:type="pct"/>
            <w:noWrap w:val="0"/>
            <w:vAlign w:val="top"/>
          </w:tcPr>
          <w:p w14:paraId="1C0685A7">
            <w:pPr>
              <w:pStyle w:val="1463"/>
              <w:spacing w:before="48" w:after="48"/>
              <w:ind w:firstLine="420" w:firstLineChars="200"/>
              <w:jc w:val="both"/>
              <w:rPr>
                <w:rFonts w:ascii="Times New Roman" w:hAnsi="Times New Roman"/>
                <w:lang w:val="en-US" w:eastAsia="zh-CN"/>
              </w:rPr>
            </w:pPr>
            <w:r>
              <w:rPr>
                <w:rFonts w:ascii="Times New Roman" w:hAnsi="Times New Roman"/>
                <w:lang w:eastAsia="zh-CN"/>
              </w:rPr>
              <w:t>（</w:t>
            </w:r>
            <w:r>
              <w:rPr>
                <w:rFonts w:ascii="Times New Roman" w:hAnsi="Times New Roman"/>
                <w:lang w:val="en-US" w:eastAsia="zh-CN"/>
              </w:rPr>
              <w:t>1</w:t>
            </w:r>
            <w:r>
              <w:rPr>
                <w:rFonts w:ascii="Times New Roman" w:hAnsi="Times New Roman"/>
                <w:lang w:eastAsia="zh-CN"/>
              </w:rPr>
              <w:t>）</w:t>
            </w:r>
            <w:r>
              <w:rPr>
                <w:rFonts w:ascii="Times New Roman" w:hAnsi="Times New Roman"/>
              </w:rPr>
              <w:t>猪舍内的猪粪采用干清粪的方式</w:t>
            </w:r>
            <w:r>
              <w:rPr>
                <w:rFonts w:ascii="Times New Roman" w:hAnsi="Times New Roman"/>
                <w:lang w:eastAsia="zh-CN"/>
              </w:rPr>
              <w:t>，</w:t>
            </w:r>
            <w:r>
              <w:rPr>
                <w:rFonts w:ascii="Times New Roman" w:hAnsi="Times New Roman"/>
                <w:lang w:val="en-US" w:eastAsia="zh-CN"/>
              </w:rPr>
              <w:t>日产日清；</w:t>
            </w:r>
          </w:p>
          <w:p w14:paraId="0A1DAA15">
            <w:pPr>
              <w:pStyle w:val="1463"/>
              <w:spacing w:before="48" w:after="48"/>
              <w:ind w:firstLine="420" w:firstLineChars="200"/>
              <w:jc w:val="both"/>
              <w:rPr>
                <w:rFonts w:ascii="Times New Roman" w:hAnsi="Times New Roman"/>
                <w:lang w:val="en-US" w:eastAsia="zh-CN"/>
              </w:rPr>
            </w:pPr>
            <w:r>
              <w:rPr>
                <w:rFonts w:ascii="Times New Roman" w:hAnsi="Times New Roman"/>
                <w:lang w:eastAsia="zh-CN"/>
              </w:rPr>
              <w:t>（</w:t>
            </w:r>
            <w:r>
              <w:rPr>
                <w:rFonts w:ascii="Times New Roman" w:hAnsi="Times New Roman"/>
                <w:lang w:val="en-US" w:eastAsia="zh-CN"/>
              </w:rPr>
              <w:t>2</w:t>
            </w:r>
            <w:r>
              <w:rPr>
                <w:rFonts w:ascii="Times New Roman" w:hAnsi="Times New Roman"/>
                <w:lang w:eastAsia="zh-CN"/>
              </w:rPr>
              <w:t>）</w:t>
            </w:r>
            <w:r>
              <w:rPr>
                <w:rFonts w:ascii="Times New Roman" w:hAnsi="Times New Roman"/>
              </w:rPr>
              <w:t>合理搭配饲料，并在饲料中添加1‰比例的益生素提高日粮消化率、减少干物质（蛋白质）排出量</w:t>
            </w:r>
            <w:r>
              <w:rPr>
                <w:rFonts w:ascii="Times New Roman" w:hAnsi="Times New Roman"/>
                <w:lang w:val="en-US" w:eastAsia="zh-CN"/>
              </w:rPr>
              <w:t xml:space="preserve"> ；</w:t>
            </w:r>
          </w:p>
          <w:p w14:paraId="4F8F8697">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3</w:t>
            </w:r>
            <w:r>
              <w:rPr>
                <w:rFonts w:ascii="Times New Roman" w:hAnsi="Times New Roman"/>
                <w:lang w:eastAsia="zh-CN"/>
              </w:rPr>
              <w:t>）</w:t>
            </w:r>
            <w:r>
              <w:rPr>
                <w:rFonts w:ascii="Times New Roman" w:hAnsi="Times New Roman"/>
              </w:rPr>
              <w:t>向粪便、猪舍投放锯末</w:t>
            </w:r>
            <w:r>
              <w:rPr>
                <w:rFonts w:ascii="Times New Roman" w:hAnsi="Times New Roman"/>
                <w:lang w:val="en-US" w:eastAsia="zh-CN"/>
              </w:rPr>
              <w:t>等</w:t>
            </w:r>
            <w:r>
              <w:rPr>
                <w:rFonts w:ascii="Times New Roman" w:hAnsi="Times New Roman"/>
              </w:rPr>
              <w:t>含纤维素、木质素较多的吸附剂材料</w:t>
            </w:r>
          </w:p>
          <w:p w14:paraId="6F49EEE5">
            <w:pPr>
              <w:pStyle w:val="1463"/>
              <w:spacing w:before="48" w:after="48"/>
              <w:ind w:firstLine="420" w:firstLineChars="200"/>
              <w:jc w:val="both"/>
              <w:rPr>
                <w:rFonts w:ascii="Times New Roman" w:hAnsi="Times New Roman"/>
                <w:lang w:val="en-US" w:eastAsia="zh-CN"/>
              </w:rPr>
            </w:pPr>
            <w:r>
              <w:rPr>
                <w:rFonts w:ascii="Times New Roman" w:hAnsi="Times New Roman"/>
                <w:lang w:eastAsia="zh-CN"/>
              </w:rPr>
              <w:t>（</w:t>
            </w:r>
            <w:r>
              <w:rPr>
                <w:rFonts w:ascii="Times New Roman" w:hAnsi="Times New Roman"/>
                <w:lang w:val="en-US" w:eastAsia="zh-CN"/>
              </w:rPr>
              <w:t>4</w:t>
            </w:r>
            <w:r>
              <w:rPr>
                <w:rFonts w:ascii="Times New Roman" w:hAnsi="Times New Roman"/>
                <w:lang w:eastAsia="zh-CN"/>
              </w:rPr>
              <w:t>）</w:t>
            </w:r>
            <w:r>
              <w:rPr>
                <w:rFonts w:ascii="Times New Roman" w:hAnsi="Times New Roman"/>
              </w:rPr>
              <w:t>猪舍加强通风、粪尿定期清理、日常管理中杀菌消毒，保持舍内干燥，</w:t>
            </w:r>
            <w:r>
              <w:rPr>
                <w:rFonts w:ascii="Times New Roman" w:hAnsi="Times New Roman"/>
                <w:lang w:val="en-US" w:eastAsia="zh-CN"/>
              </w:rPr>
              <w:t xml:space="preserve">   </w:t>
            </w:r>
          </w:p>
          <w:p w14:paraId="2CC0997F">
            <w:pPr>
              <w:pStyle w:val="1463"/>
              <w:spacing w:before="48" w:after="48"/>
              <w:ind w:firstLine="420" w:firstLineChars="200"/>
              <w:jc w:val="both"/>
              <w:rPr>
                <w:rFonts w:ascii="Times New Roman" w:hAnsi="Times New Roman"/>
              </w:rPr>
            </w:pPr>
          </w:p>
        </w:tc>
        <w:tc>
          <w:tcPr>
            <w:tcW w:w="998" w:type="pct"/>
            <w:noWrap w:val="0"/>
            <w:vAlign w:val="top"/>
          </w:tcPr>
          <w:p w14:paraId="1E8A715D">
            <w:pPr>
              <w:pStyle w:val="1463"/>
              <w:spacing w:before="48" w:after="48"/>
              <w:ind w:firstLine="420" w:firstLineChars="200"/>
              <w:jc w:val="both"/>
              <w:rPr>
                <w:rFonts w:ascii="Times New Roman" w:hAnsi="Times New Roman"/>
                <w:lang w:eastAsia="zh-CN"/>
              </w:rPr>
            </w:pPr>
            <w:r>
              <w:rPr>
                <w:rFonts w:ascii="Times New Roman" w:hAnsi="Times New Roman"/>
                <w:lang w:eastAsia="zh-CN"/>
              </w:rPr>
              <w:t>项目无组织控制措施可满足要求</w:t>
            </w:r>
          </w:p>
        </w:tc>
      </w:tr>
      <w:tr w14:paraId="40605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502" w:type="pct"/>
            <w:noWrap w:val="0"/>
            <w:vAlign w:val="top"/>
          </w:tcPr>
          <w:p w14:paraId="13A0987D">
            <w:pPr>
              <w:pStyle w:val="1463"/>
              <w:spacing w:before="48" w:after="48"/>
              <w:ind w:firstLine="420" w:firstLineChars="200"/>
              <w:jc w:val="both"/>
              <w:rPr>
                <w:rFonts w:ascii="Times New Roman" w:hAnsi="Times New Roman"/>
                <w:lang w:eastAsia="zh-CN"/>
              </w:rPr>
            </w:pPr>
          </w:p>
          <w:p w14:paraId="00BC6E7E">
            <w:pPr>
              <w:pStyle w:val="1463"/>
              <w:spacing w:before="48" w:after="48"/>
              <w:ind w:firstLine="420" w:firstLineChars="200"/>
              <w:jc w:val="both"/>
              <w:rPr>
                <w:rFonts w:ascii="Times New Roman" w:hAnsi="Times New Roman"/>
                <w:lang w:eastAsia="zh-CN"/>
              </w:rPr>
            </w:pPr>
          </w:p>
          <w:p w14:paraId="21738B87">
            <w:pPr>
              <w:pStyle w:val="1463"/>
              <w:spacing w:before="48" w:after="48"/>
              <w:ind w:firstLine="420" w:firstLineChars="200"/>
              <w:jc w:val="both"/>
              <w:rPr>
                <w:rFonts w:ascii="Times New Roman" w:hAnsi="Times New Roman"/>
                <w:lang w:eastAsia="zh-CN"/>
              </w:rPr>
            </w:pPr>
            <w:r>
              <w:rPr>
                <w:rFonts w:ascii="Times New Roman" w:hAnsi="Times New Roman"/>
                <w:lang w:eastAsia="zh-CN"/>
              </w:rPr>
              <w:t>固体粪污处理工程</w:t>
            </w:r>
          </w:p>
        </w:tc>
        <w:tc>
          <w:tcPr>
            <w:tcW w:w="1919" w:type="pct"/>
            <w:noWrap w:val="0"/>
            <w:vAlign w:val="top"/>
          </w:tcPr>
          <w:p w14:paraId="1F23E0E0">
            <w:pPr>
              <w:pStyle w:val="1463"/>
              <w:spacing w:before="48" w:after="48"/>
              <w:ind w:firstLine="420" w:firstLineChars="200"/>
              <w:jc w:val="both"/>
              <w:rPr>
                <w:rFonts w:ascii="Times New Roman" w:hAnsi="Times New Roman"/>
                <w:lang w:eastAsia="zh-CN"/>
              </w:rPr>
            </w:pPr>
            <w:r>
              <w:rPr>
                <w:rFonts w:ascii="Times New Roman" w:hAnsi="Times New Roman"/>
                <w:lang w:eastAsia="zh-CN"/>
              </w:rPr>
              <w:t>（</w:t>
            </w:r>
            <w:r>
              <w:rPr>
                <w:rFonts w:ascii="Times New Roman" w:hAnsi="Times New Roman"/>
                <w:lang w:val="en-US" w:eastAsia="zh-CN"/>
              </w:rPr>
              <w:t>1</w:t>
            </w:r>
            <w:r>
              <w:rPr>
                <w:rFonts w:ascii="Times New Roman" w:hAnsi="Times New Roman"/>
                <w:lang w:eastAsia="zh-CN"/>
              </w:rPr>
              <w:t>）定期喷洒除臭剂；</w:t>
            </w:r>
          </w:p>
          <w:p w14:paraId="3278CDAE">
            <w:pPr>
              <w:pStyle w:val="1463"/>
              <w:spacing w:before="48" w:after="48"/>
              <w:ind w:firstLine="420" w:firstLineChars="200"/>
              <w:jc w:val="both"/>
              <w:rPr>
                <w:rFonts w:ascii="Times New Roman" w:hAnsi="Times New Roman"/>
                <w:lang w:val="en-US" w:eastAsia="zh-CN"/>
              </w:rPr>
            </w:pPr>
            <w:r>
              <w:rPr>
                <w:rFonts w:ascii="Times New Roman" w:hAnsi="Times New Roman"/>
                <w:lang w:eastAsia="zh-CN"/>
              </w:rPr>
              <w:t>（</w:t>
            </w:r>
            <w:r>
              <w:rPr>
                <w:rFonts w:ascii="Times New Roman" w:hAnsi="Times New Roman"/>
                <w:lang w:val="en-US" w:eastAsia="zh-CN"/>
              </w:rPr>
              <w:t>2</w:t>
            </w:r>
            <w:r>
              <w:rPr>
                <w:rFonts w:ascii="Times New Roman" w:hAnsi="Times New Roman"/>
                <w:lang w:eastAsia="zh-CN"/>
              </w:rPr>
              <w:t>）</w:t>
            </w:r>
            <w:r>
              <w:rPr>
                <w:rFonts w:ascii="Times New Roman" w:hAnsi="Times New Roman"/>
                <w:lang w:val="en-US" w:eastAsia="zh-CN"/>
              </w:rPr>
              <w:t>及时清运固体粪污；</w:t>
            </w:r>
          </w:p>
          <w:p w14:paraId="758E4C80">
            <w:pPr>
              <w:pStyle w:val="1463"/>
              <w:spacing w:before="48" w:after="48"/>
              <w:ind w:firstLine="420" w:firstLineChars="200"/>
              <w:jc w:val="both"/>
              <w:rPr>
                <w:rFonts w:ascii="Times New Roman" w:hAnsi="Times New Roman"/>
                <w:lang w:val="en-US" w:eastAsia="zh-CN"/>
              </w:rPr>
            </w:pPr>
            <w:r>
              <w:rPr>
                <w:rFonts w:ascii="Times New Roman" w:hAnsi="Times New Roman"/>
                <w:lang w:val="en-US" w:eastAsia="zh-CN"/>
              </w:rPr>
              <w:t>（3）采用好氧或厌氧堆肥方式；</w:t>
            </w:r>
          </w:p>
          <w:p w14:paraId="5F6B5025">
            <w:pPr>
              <w:pStyle w:val="1463"/>
              <w:spacing w:before="48" w:after="48"/>
              <w:ind w:firstLine="420" w:firstLineChars="200"/>
              <w:jc w:val="both"/>
              <w:rPr>
                <w:rFonts w:ascii="Times New Roman" w:hAnsi="Times New Roman"/>
                <w:lang w:eastAsia="zh-CN"/>
              </w:rPr>
            </w:pPr>
            <w:r>
              <w:rPr>
                <w:rFonts w:ascii="Times New Roman" w:hAnsi="Times New Roman"/>
                <w:lang w:eastAsia="zh-CN"/>
              </w:rPr>
              <w:t>（</w:t>
            </w:r>
            <w:r>
              <w:rPr>
                <w:rFonts w:ascii="Times New Roman" w:hAnsi="Times New Roman"/>
                <w:lang w:val="en-US" w:eastAsia="zh-CN"/>
              </w:rPr>
              <w:t>4</w:t>
            </w:r>
            <w:r>
              <w:rPr>
                <w:rFonts w:ascii="Times New Roman" w:hAnsi="Times New Roman"/>
                <w:lang w:eastAsia="zh-CN"/>
              </w:rPr>
              <w:t>）</w:t>
            </w:r>
            <w:r>
              <w:rPr>
                <w:rFonts w:ascii="Times New Roman" w:hAnsi="Times New Roman"/>
                <w:lang w:val="en-US" w:eastAsia="zh-CN"/>
              </w:rPr>
              <w:t>集中收集气体经处理（生物过滤法、生物洗涤法、吸收法等）</w:t>
            </w:r>
            <w:r>
              <w:rPr>
                <w:rFonts w:ascii="Times New Roman" w:hAnsi="Times New Roman"/>
                <w:lang w:eastAsia="zh-CN"/>
              </w:rPr>
              <w:t>后</w:t>
            </w:r>
            <w:r>
              <w:rPr>
                <w:rFonts w:ascii="Times New Roman" w:hAnsi="Times New Roman"/>
                <w:lang w:val="en-US" w:eastAsia="zh-CN"/>
              </w:rPr>
              <w:t>由排气筒</w:t>
            </w:r>
            <w:r>
              <w:rPr>
                <w:rFonts w:ascii="Times New Roman" w:hAnsi="Times New Roman"/>
                <w:lang w:eastAsia="zh-CN"/>
              </w:rPr>
              <w:t>排放。</w:t>
            </w:r>
          </w:p>
        </w:tc>
        <w:tc>
          <w:tcPr>
            <w:tcW w:w="1580" w:type="pct"/>
            <w:noWrap w:val="0"/>
            <w:vAlign w:val="top"/>
          </w:tcPr>
          <w:p w14:paraId="74D9EFDE">
            <w:pPr>
              <w:pStyle w:val="1463"/>
              <w:spacing w:before="48" w:after="48"/>
              <w:ind w:firstLine="420" w:firstLineChars="200"/>
              <w:jc w:val="both"/>
              <w:rPr>
                <w:rFonts w:ascii="Times New Roman" w:hAnsi="Times New Roman"/>
              </w:rPr>
            </w:pPr>
            <w:r>
              <w:rPr>
                <w:rFonts w:ascii="Times New Roman" w:hAnsi="Times New Roman"/>
              </w:rPr>
              <w:t>固粪处理区封闭式</w:t>
            </w:r>
            <w:r>
              <w:rPr>
                <w:rFonts w:ascii="Times New Roman" w:hAnsi="Times New Roman"/>
                <w:lang w:val="en-US" w:eastAsia="zh-CN"/>
              </w:rPr>
              <w:t>+好氧堆肥</w:t>
            </w:r>
            <w:r>
              <w:rPr>
                <w:rFonts w:ascii="Times New Roman" w:hAnsi="Times New Roman"/>
              </w:rPr>
              <w:t>+负压收集+过滤除臭装置对固粪处理区的恶臭气体进行处理</w:t>
            </w:r>
          </w:p>
        </w:tc>
        <w:tc>
          <w:tcPr>
            <w:tcW w:w="998" w:type="pct"/>
            <w:noWrap w:val="0"/>
            <w:vAlign w:val="top"/>
          </w:tcPr>
          <w:p w14:paraId="7EB99B1B">
            <w:pPr>
              <w:pStyle w:val="1463"/>
              <w:spacing w:before="48" w:after="48"/>
              <w:ind w:firstLine="420" w:firstLineChars="200"/>
              <w:jc w:val="both"/>
              <w:rPr>
                <w:rFonts w:ascii="Times New Roman" w:hAnsi="Times New Roman"/>
                <w:lang w:eastAsia="zh-CN"/>
              </w:rPr>
            </w:pPr>
            <w:r>
              <w:rPr>
                <w:rFonts w:ascii="Times New Roman" w:hAnsi="Times New Roman"/>
                <w:lang w:eastAsia="zh-CN"/>
              </w:rPr>
              <w:t>满足要求</w:t>
            </w:r>
          </w:p>
        </w:tc>
      </w:tr>
      <w:tr w14:paraId="113A1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502" w:type="pct"/>
            <w:noWrap w:val="0"/>
            <w:vAlign w:val="top"/>
          </w:tcPr>
          <w:p w14:paraId="30B877A7">
            <w:pPr>
              <w:pStyle w:val="1463"/>
              <w:spacing w:before="48" w:after="48"/>
              <w:rPr>
                <w:rFonts w:ascii="Times New Roman" w:hAnsi="Times New Roman"/>
              </w:rPr>
            </w:pPr>
          </w:p>
          <w:p w14:paraId="461E37F9">
            <w:pPr>
              <w:pStyle w:val="1463"/>
              <w:spacing w:before="48" w:after="48"/>
              <w:rPr>
                <w:rFonts w:ascii="Times New Roman" w:hAnsi="Times New Roman"/>
              </w:rPr>
            </w:pPr>
            <w:r>
              <w:rPr>
                <w:rFonts w:ascii="Times New Roman" w:hAnsi="Times New Roman"/>
              </w:rPr>
              <w:t>废水处理工程</w:t>
            </w:r>
          </w:p>
        </w:tc>
        <w:tc>
          <w:tcPr>
            <w:tcW w:w="1919" w:type="pct"/>
            <w:noWrap w:val="0"/>
            <w:vAlign w:val="top"/>
          </w:tcPr>
          <w:p w14:paraId="1EC61462">
            <w:pPr>
              <w:pStyle w:val="1463"/>
              <w:spacing w:before="48" w:after="48"/>
              <w:ind w:firstLine="420" w:firstLineChars="200"/>
              <w:jc w:val="both"/>
              <w:rPr>
                <w:rFonts w:ascii="Times New Roman" w:hAnsi="Times New Roman"/>
                <w:lang w:val="en-US" w:eastAsia="zh-CN"/>
              </w:rPr>
            </w:pPr>
            <w:r>
              <w:rPr>
                <w:rFonts w:ascii="Times New Roman" w:hAnsi="Times New Roman"/>
                <w:lang w:val="en-US" w:eastAsia="zh-CN"/>
              </w:rPr>
              <w:t>（1）定期喷洒除臭剂；</w:t>
            </w:r>
          </w:p>
          <w:p w14:paraId="69B7778C">
            <w:pPr>
              <w:pStyle w:val="1463"/>
              <w:spacing w:before="48" w:after="48"/>
              <w:ind w:firstLine="420" w:firstLineChars="200"/>
              <w:jc w:val="both"/>
              <w:rPr>
                <w:rFonts w:ascii="Times New Roman" w:hAnsi="Times New Roman"/>
                <w:lang w:val="en-US" w:eastAsia="zh-CN"/>
              </w:rPr>
            </w:pPr>
            <w:r>
              <w:rPr>
                <w:rFonts w:ascii="Times New Roman" w:hAnsi="Times New Roman"/>
                <w:lang w:val="en-US" w:eastAsia="zh-CN"/>
              </w:rPr>
              <w:t>（2）废水处理设施加盖或加罩；</w:t>
            </w:r>
          </w:p>
          <w:p w14:paraId="25717BCF">
            <w:pPr>
              <w:pStyle w:val="1463"/>
              <w:spacing w:before="48" w:after="48"/>
              <w:ind w:firstLine="420" w:firstLineChars="200"/>
              <w:jc w:val="both"/>
              <w:rPr>
                <w:rFonts w:ascii="Times New Roman" w:hAnsi="Times New Roman"/>
              </w:rPr>
            </w:pPr>
            <w:r>
              <w:rPr>
                <w:rFonts w:ascii="Times New Roman" w:hAnsi="Times New Roman"/>
                <w:lang w:val="en-US" w:eastAsia="zh-CN"/>
              </w:rPr>
              <w:t>（3）集中收集气体经处理（生物过滤法、生物洗涤法、吸收法等）后由排气筒排放。</w:t>
            </w:r>
          </w:p>
        </w:tc>
        <w:tc>
          <w:tcPr>
            <w:tcW w:w="1580" w:type="pct"/>
            <w:noWrap w:val="0"/>
            <w:vAlign w:val="top"/>
          </w:tcPr>
          <w:p w14:paraId="3A858C1F">
            <w:pPr>
              <w:ind w:firstLine="420" w:firstLineChars="200"/>
              <w:rPr>
                <w:bCs/>
                <w:szCs w:val="21"/>
              </w:rPr>
            </w:pPr>
            <w:r>
              <w:rPr>
                <w:szCs w:val="21"/>
              </w:rPr>
              <w:t>（1）</w:t>
            </w:r>
            <w:r>
              <w:rPr>
                <w:bCs/>
                <w:szCs w:val="21"/>
              </w:rPr>
              <w:t>收集池、调节池、污水处理设施及沼液储存池进行加盖封闭；</w:t>
            </w:r>
          </w:p>
          <w:p w14:paraId="49FD50EE">
            <w:pPr>
              <w:ind w:firstLine="420" w:firstLineChars="200"/>
              <w:rPr>
                <w:szCs w:val="21"/>
              </w:rPr>
            </w:pPr>
            <w:r>
              <w:rPr>
                <w:bCs/>
                <w:szCs w:val="21"/>
              </w:rPr>
              <w:t>（2）对收集池、调节池、污水处理设施及沼液储存池喷洒除臭剂，并加强污水处理站周围绿化。</w:t>
            </w:r>
          </w:p>
          <w:p w14:paraId="56711E73">
            <w:pPr>
              <w:pStyle w:val="1463"/>
              <w:spacing w:before="48" w:after="48"/>
              <w:ind w:firstLine="420" w:firstLineChars="200"/>
              <w:jc w:val="both"/>
              <w:rPr>
                <w:rFonts w:ascii="Times New Roman" w:hAnsi="Times New Roman"/>
                <w:lang w:eastAsia="zh-CN"/>
              </w:rPr>
            </w:pPr>
          </w:p>
        </w:tc>
        <w:tc>
          <w:tcPr>
            <w:tcW w:w="998" w:type="pct"/>
            <w:noWrap w:val="0"/>
            <w:vAlign w:val="top"/>
          </w:tcPr>
          <w:p w14:paraId="1792A70B">
            <w:pPr>
              <w:pStyle w:val="1463"/>
              <w:spacing w:before="48" w:after="48"/>
              <w:ind w:firstLine="420" w:firstLineChars="200"/>
              <w:jc w:val="both"/>
              <w:rPr>
                <w:rFonts w:ascii="Times New Roman" w:hAnsi="Times New Roman"/>
                <w:lang w:eastAsia="zh-CN"/>
              </w:rPr>
            </w:pPr>
            <w:r>
              <w:rPr>
                <w:rFonts w:ascii="Times New Roman" w:hAnsi="Times New Roman"/>
                <w:lang w:eastAsia="zh-CN"/>
              </w:rPr>
              <w:t>满足要求</w:t>
            </w:r>
          </w:p>
        </w:tc>
      </w:tr>
      <w:tr w14:paraId="54B1B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502" w:type="pct"/>
            <w:noWrap w:val="0"/>
            <w:vAlign w:val="top"/>
          </w:tcPr>
          <w:p w14:paraId="64A87BF0">
            <w:pPr>
              <w:pStyle w:val="1463"/>
              <w:spacing w:before="48" w:after="48"/>
              <w:rPr>
                <w:rFonts w:ascii="Times New Roman" w:hAnsi="Times New Roman"/>
              </w:rPr>
            </w:pPr>
          </w:p>
          <w:p w14:paraId="4DB1A4EE">
            <w:pPr>
              <w:pStyle w:val="1463"/>
              <w:spacing w:before="48" w:after="48"/>
              <w:rPr>
                <w:rFonts w:ascii="Times New Roman" w:hAnsi="Times New Roman"/>
              </w:rPr>
            </w:pPr>
          </w:p>
          <w:p w14:paraId="0A68710D">
            <w:pPr>
              <w:pStyle w:val="1463"/>
              <w:spacing w:before="48" w:after="48"/>
              <w:rPr>
                <w:rFonts w:ascii="Times New Roman" w:hAnsi="Times New Roman"/>
              </w:rPr>
            </w:pPr>
            <w:r>
              <w:rPr>
                <w:rFonts w:ascii="Times New Roman" w:hAnsi="Times New Roman"/>
              </w:rPr>
              <w:t>全场</w:t>
            </w:r>
          </w:p>
        </w:tc>
        <w:tc>
          <w:tcPr>
            <w:tcW w:w="1919" w:type="pct"/>
            <w:noWrap w:val="0"/>
            <w:vAlign w:val="top"/>
          </w:tcPr>
          <w:p w14:paraId="43ACF5DF">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1</w:t>
            </w:r>
            <w:r>
              <w:rPr>
                <w:rFonts w:ascii="Times New Roman" w:hAnsi="Times New Roman"/>
                <w:lang w:eastAsia="zh-CN"/>
              </w:rPr>
              <w:t>）</w:t>
            </w:r>
            <w:r>
              <w:rPr>
                <w:rFonts w:ascii="Times New Roman" w:hAnsi="Times New Roman"/>
                <w:lang w:val="en-US" w:eastAsia="zh-CN"/>
              </w:rPr>
              <w:t>固体污粪</w:t>
            </w:r>
            <w:r>
              <w:rPr>
                <w:rFonts w:ascii="Times New Roman" w:hAnsi="Times New Roman"/>
              </w:rPr>
              <w:t>规范还田</w:t>
            </w:r>
            <w:r>
              <w:rPr>
                <w:rFonts w:ascii="Times New Roman" w:hAnsi="Times New Roman"/>
                <w:lang w:val="en-US" w:eastAsia="zh-CN"/>
              </w:rPr>
              <w:t>利用</w:t>
            </w:r>
            <w:r>
              <w:rPr>
                <w:rFonts w:ascii="Times New Roman" w:hAnsi="Times New Roman"/>
              </w:rPr>
              <w:t>；</w:t>
            </w:r>
          </w:p>
          <w:p w14:paraId="612754D8">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2</w:t>
            </w:r>
            <w:r>
              <w:rPr>
                <w:rFonts w:ascii="Times New Roman" w:hAnsi="Times New Roman"/>
                <w:lang w:eastAsia="zh-CN"/>
              </w:rPr>
              <w:t>）</w:t>
            </w:r>
            <w:r>
              <w:rPr>
                <w:rFonts w:ascii="Times New Roman" w:hAnsi="Times New Roman"/>
              </w:rPr>
              <w:t>场区运输道路全硬化、及时清扫、无积灰扬尘、定期洒水抑尘；</w:t>
            </w:r>
          </w:p>
          <w:p w14:paraId="77F749ED">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3</w:t>
            </w:r>
            <w:r>
              <w:rPr>
                <w:rFonts w:ascii="Times New Roman" w:hAnsi="Times New Roman"/>
                <w:lang w:eastAsia="zh-CN"/>
              </w:rPr>
              <w:t>）</w:t>
            </w:r>
            <w:r>
              <w:rPr>
                <w:rFonts w:ascii="Times New Roman" w:hAnsi="Times New Roman"/>
              </w:rPr>
              <w:t>加强厂区绿化；</w:t>
            </w:r>
          </w:p>
        </w:tc>
        <w:tc>
          <w:tcPr>
            <w:tcW w:w="1580" w:type="pct"/>
            <w:noWrap w:val="0"/>
            <w:vAlign w:val="top"/>
          </w:tcPr>
          <w:p w14:paraId="594ACF9F">
            <w:pPr>
              <w:pStyle w:val="1463"/>
              <w:spacing w:before="48" w:after="48"/>
              <w:ind w:firstLine="420" w:firstLineChars="200"/>
              <w:jc w:val="both"/>
              <w:rPr>
                <w:rFonts w:ascii="Times New Roman" w:hAnsi="Times New Roman"/>
              </w:rPr>
            </w:pPr>
            <w:r>
              <w:rPr>
                <w:rFonts w:ascii="Times New Roman" w:hAnsi="Times New Roman"/>
                <w:lang w:val="en-US" w:eastAsia="zh-CN"/>
              </w:rPr>
              <w:t>（1）固体污粪处理后用于苹果园施肥</w:t>
            </w:r>
            <w:r>
              <w:rPr>
                <w:rFonts w:ascii="Times New Roman" w:hAnsi="Times New Roman"/>
              </w:rPr>
              <w:t>；</w:t>
            </w:r>
          </w:p>
          <w:p w14:paraId="553D99E5">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2</w:t>
            </w:r>
            <w:r>
              <w:rPr>
                <w:rFonts w:ascii="Times New Roman" w:hAnsi="Times New Roman"/>
                <w:lang w:eastAsia="zh-CN"/>
              </w:rPr>
              <w:t>）</w:t>
            </w:r>
            <w:r>
              <w:rPr>
                <w:rFonts w:ascii="Times New Roman" w:hAnsi="Times New Roman"/>
              </w:rPr>
              <w:t>厂区道路硬化， 保持干净、定期洒水抑尘；</w:t>
            </w:r>
          </w:p>
          <w:p w14:paraId="13A594D3">
            <w:pPr>
              <w:pStyle w:val="1463"/>
              <w:spacing w:before="48" w:after="48"/>
              <w:ind w:firstLine="420" w:firstLineChars="200"/>
              <w:jc w:val="both"/>
              <w:rPr>
                <w:rFonts w:ascii="Times New Roman" w:hAnsi="Times New Roman"/>
              </w:rPr>
            </w:pPr>
            <w:r>
              <w:rPr>
                <w:rFonts w:ascii="Times New Roman" w:hAnsi="Times New Roman"/>
                <w:lang w:eastAsia="zh-CN"/>
              </w:rPr>
              <w:t>（</w:t>
            </w:r>
            <w:r>
              <w:rPr>
                <w:rFonts w:ascii="Times New Roman" w:hAnsi="Times New Roman"/>
                <w:lang w:val="en-US" w:eastAsia="zh-CN"/>
              </w:rPr>
              <w:t>3</w:t>
            </w:r>
            <w:r>
              <w:rPr>
                <w:rFonts w:ascii="Times New Roman" w:hAnsi="Times New Roman"/>
                <w:lang w:eastAsia="zh-CN"/>
              </w:rPr>
              <w:t>）</w:t>
            </w:r>
            <w:r>
              <w:rPr>
                <w:rFonts w:ascii="Times New Roman" w:hAnsi="Times New Roman"/>
              </w:rPr>
              <w:t>利用厂内植被形成自然绿化；</w:t>
            </w:r>
          </w:p>
        </w:tc>
        <w:tc>
          <w:tcPr>
            <w:tcW w:w="998" w:type="pct"/>
            <w:noWrap w:val="0"/>
            <w:vAlign w:val="top"/>
          </w:tcPr>
          <w:p w14:paraId="2BB48AFC">
            <w:pPr>
              <w:pStyle w:val="1463"/>
              <w:spacing w:before="48" w:after="48"/>
              <w:ind w:firstLine="420" w:firstLineChars="200"/>
              <w:jc w:val="both"/>
              <w:rPr>
                <w:rFonts w:ascii="Times New Roman" w:hAnsi="Times New Roman"/>
              </w:rPr>
            </w:pPr>
            <w:r>
              <w:rPr>
                <w:rFonts w:ascii="Times New Roman" w:hAnsi="Times New Roman"/>
                <w:lang w:eastAsia="zh-CN"/>
              </w:rPr>
              <w:t>满足要求</w:t>
            </w:r>
          </w:p>
        </w:tc>
      </w:tr>
    </w:tbl>
    <w:p w14:paraId="6D5B28D5">
      <w:pPr>
        <w:spacing w:line="360" w:lineRule="auto"/>
        <w:ind w:firstLine="480" w:firstLineChars="200"/>
        <w:rPr>
          <w:sz w:val="24"/>
        </w:rPr>
      </w:pPr>
      <w:r>
        <w:rPr>
          <w:sz w:val="24"/>
        </w:rPr>
        <w:t>综上，项目厂区恶臭气体处理技术均为</w:t>
      </w:r>
      <w:r>
        <w:rPr>
          <w:sz w:val="24"/>
          <w:szCs w:val="22"/>
        </w:rPr>
        <w:t>《排污许可证申请与核发技术规范 畜禽养殖行业》（HJ1029-2019）畜禽养殖行业排污单位恶臭污染防治可行技术中推荐技术，为可行性措施，项目厂区</w:t>
      </w:r>
      <w:r>
        <w:rPr>
          <w:sz w:val="24"/>
        </w:rPr>
        <w:t>恶臭气体处理措施经济可行。</w:t>
      </w:r>
    </w:p>
    <w:p w14:paraId="247BC779">
      <w:pPr>
        <w:spacing w:line="360" w:lineRule="auto"/>
        <w:ind w:firstLine="480" w:firstLineChars="200"/>
        <w:rPr>
          <w:sz w:val="24"/>
        </w:rPr>
      </w:pPr>
      <w:r>
        <w:rPr>
          <w:sz w:val="24"/>
        </w:rPr>
        <w:t>（2）无害化降解间恶臭气体</w:t>
      </w:r>
    </w:p>
    <w:p w14:paraId="3AFEA367">
      <w:pPr>
        <w:spacing w:line="360" w:lineRule="auto"/>
        <w:ind w:firstLine="475" w:firstLineChars="198"/>
        <w:rPr>
          <w:rFonts w:eastAsia="仿宋_GB2312"/>
          <w:b/>
          <w:sz w:val="32"/>
          <w:szCs w:val="32"/>
        </w:rPr>
      </w:pPr>
      <w:r>
        <w:rPr>
          <w:sz w:val="24"/>
        </w:rPr>
        <w:t>无害化降解机为密闭设备，设备内置有恶臭净化装置，恶臭净化装置采用光解催化氧化技术，在TiO2紫外光解催化氧化除臭设备内，高能紫外线光束与空气、TiO2反应产生的臭氧、·OH(羟基自由基)对恶臭气体进行协同分解氧化反应，同时大分子恶臭气体在紫外线作用下使其链结构断裂，使恶臭气体物质转化为无臭味的小分子化合物或者完全矿化，生成水和CO2，达标后经排风管排入大气，整个分解氧化过程在1秒内完成。</w:t>
      </w:r>
    </w:p>
    <w:p w14:paraId="6BFA4B81">
      <w:pPr>
        <w:spacing w:line="360" w:lineRule="auto"/>
        <w:ind w:firstLine="480" w:firstLineChars="200"/>
        <w:rPr>
          <w:sz w:val="24"/>
        </w:rPr>
      </w:pPr>
      <w:r>
        <w:rPr>
          <w:sz w:val="24"/>
        </w:rPr>
        <w:t>该技术已取得专利技术证书，排放的臭气极微量，该技术处理恶臭属成熟工艺，项目病死猪无害化处理恶臭气体经处理排放后对周围环境影响较小。</w:t>
      </w:r>
    </w:p>
    <w:p w14:paraId="15CD24D4">
      <w:pPr>
        <w:pStyle w:val="7"/>
        <w:spacing w:before="0" w:after="0" w:line="360" w:lineRule="auto"/>
        <w:rPr>
          <w:rFonts w:ascii="Times New Roman" w:hAnsi="Times New Roman"/>
          <w:sz w:val="28"/>
          <w:szCs w:val="28"/>
        </w:rPr>
      </w:pPr>
      <w:bookmarkStart w:id="210" w:name="_Toc402803438"/>
      <w:r>
        <w:rPr>
          <w:rFonts w:ascii="Times New Roman" w:hAnsi="Times New Roman"/>
          <w:sz w:val="28"/>
          <w:szCs w:val="28"/>
        </w:rPr>
        <w:t>7.2.2地表水污染防治措施</w:t>
      </w:r>
      <w:bookmarkEnd w:id="210"/>
      <w:r>
        <w:rPr>
          <w:rFonts w:ascii="Times New Roman" w:hAnsi="Times New Roman"/>
          <w:sz w:val="28"/>
          <w:szCs w:val="28"/>
        </w:rPr>
        <w:t>及其可行性</w:t>
      </w:r>
    </w:p>
    <w:p w14:paraId="7EBE8C93">
      <w:pPr>
        <w:pStyle w:val="8"/>
        <w:ind w:firstLine="562"/>
      </w:pPr>
      <w:r>
        <w:t>7.2.2.1地表水污染防治措施</w:t>
      </w:r>
    </w:p>
    <w:p w14:paraId="0CB3F1D4">
      <w:pPr>
        <w:spacing w:line="360" w:lineRule="auto"/>
        <w:ind w:firstLine="480" w:firstLineChars="200"/>
        <w:rPr>
          <w:sz w:val="24"/>
        </w:rPr>
      </w:pPr>
      <w:r>
        <w:rPr>
          <w:sz w:val="24"/>
        </w:rPr>
        <w:t>项目运营期水污染源主要为生产废水（猪尿、猪舍冲洗废水、猪粪发酵堆场渗滤液废水等）及职工生活污水，废水主要污染物为COD</w:t>
      </w:r>
      <w:r>
        <w:rPr>
          <w:sz w:val="24"/>
          <w:vertAlign w:val="subscript"/>
        </w:rPr>
        <w:t>cr</w:t>
      </w:r>
      <w:r>
        <w:rPr>
          <w:sz w:val="24"/>
        </w:rPr>
        <w:t>、氨氮、BOD</w:t>
      </w:r>
      <w:r>
        <w:rPr>
          <w:sz w:val="24"/>
          <w:vertAlign w:val="subscript"/>
        </w:rPr>
        <w:t>5</w:t>
      </w:r>
      <w:r>
        <w:rPr>
          <w:sz w:val="24"/>
        </w:rPr>
        <w:t>等。为保证废水不外排，减小运营期废水对环境影响，本项目采取以下废水污染防治措施：</w:t>
      </w:r>
    </w:p>
    <w:p w14:paraId="46B5CCA7">
      <w:pPr>
        <w:spacing w:line="360" w:lineRule="auto"/>
        <w:ind w:firstLine="480" w:firstLineChars="200"/>
        <w:rPr>
          <w:sz w:val="24"/>
        </w:rPr>
      </w:pPr>
      <w:r>
        <w:rPr>
          <w:sz w:val="24"/>
        </w:rPr>
        <w:t>（1）项目严格实行“雨污分流”，场区设置雨水沟和污水管、暗沟，场内雨水可通过雨水沟顺地势直接排出场外；污水经过污水沟收集后进入污水处理站；</w:t>
      </w:r>
    </w:p>
    <w:p w14:paraId="1BFD090F">
      <w:pPr>
        <w:spacing w:line="360" w:lineRule="auto"/>
        <w:ind w:firstLine="480" w:firstLineChars="200"/>
        <w:rPr>
          <w:sz w:val="24"/>
        </w:rPr>
      </w:pPr>
      <w:r>
        <w:rPr>
          <w:sz w:val="24"/>
        </w:rPr>
        <w:t>（2）项目在各养殖场地各建设一座污水处理站，共计5座污水处理站，生活污水及养殖废水收集后进入各自场地污水处理站处理，其中3号养殖场地及2号养殖场地的生活污水统一进入2号场地污水处理站处理；处理规模分别为1号地14m</w:t>
      </w:r>
      <w:r>
        <w:rPr>
          <w:sz w:val="24"/>
          <w:vertAlign w:val="superscript"/>
        </w:rPr>
        <w:t>3</w:t>
      </w:r>
      <w:r>
        <w:rPr>
          <w:sz w:val="24"/>
        </w:rPr>
        <w:t>/d，2号地28m</w:t>
      </w:r>
      <w:r>
        <w:rPr>
          <w:sz w:val="24"/>
          <w:vertAlign w:val="superscript"/>
        </w:rPr>
        <w:t>3</w:t>
      </w:r>
      <w:r>
        <w:rPr>
          <w:sz w:val="24"/>
        </w:rPr>
        <w:t>/d，3号地12m</w:t>
      </w:r>
      <w:r>
        <w:rPr>
          <w:sz w:val="24"/>
          <w:vertAlign w:val="superscript"/>
        </w:rPr>
        <w:t>3</w:t>
      </w:r>
      <w:r>
        <w:rPr>
          <w:sz w:val="24"/>
        </w:rPr>
        <w:t>/d，4号地31m</w:t>
      </w:r>
      <w:r>
        <w:rPr>
          <w:sz w:val="24"/>
          <w:vertAlign w:val="superscript"/>
        </w:rPr>
        <w:t>3</w:t>
      </w:r>
      <w:r>
        <w:rPr>
          <w:sz w:val="24"/>
        </w:rPr>
        <w:t>/d，5号地25m</w:t>
      </w:r>
      <w:r>
        <w:rPr>
          <w:sz w:val="24"/>
          <w:vertAlign w:val="superscript"/>
        </w:rPr>
        <w:t>3</w:t>
      </w:r>
      <w:r>
        <w:rPr>
          <w:sz w:val="24"/>
        </w:rPr>
        <w:t>/d。处理项目产生的生产废水及生活污水，废水经处理后达标后，处理后暂存于沼液暂存池采用罐车运至苹果园回用于自有苹果园灌溉，不外排。</w:t>
      </w:r>
    </w:p>
    <w:p w14:paraId="500B7B62">
      <w:pPr>
        <w:spacing w:line="360" w:lineRule="auto"/>
        <w:ind w:firstLine="480" w:firstLineChars="200"/>
        <w:rPr>
          <w:sz w:val="24"/>
        </w:rPr>
      </w:pPr>
      <w:r>
        <w:rPr>
          <w:sz w:val="24"/>
        </w:rPr>
        <w:t>（3）场区除绿化用地外应进行地面硬化和防渗处理；废水收集系统、无害化车间、固粪处理区、危废间防渗层的防渗性能应等效于厚度≥6m，渗透系数≤1.0×10</w:t>
      </w:r>
      <w:r>
        <w:rPr>
          <w:sz w:val="24"/>
          <w:vertAlign w:val="superscript"/>
        </w:rPr>
        <w:t>-10</w:t>
      </w:r>
      <w:r>
        <w:rPr>
          <w:sz w:val="24"/>
        </w:rPr>
        <w:t>cm/s的黏土层的防渗性能；生活垃圾收集点、药品间等等区域防渗层的防渗性能应等效于厚度≥1.5m，渗透系数≤1.0×10</w:t>
      </w:r>
      <w:r>
        <w:rPr>
          <w:sz w:val="24"/>
          <w:vertAlign w:val="superscript"/>
        </w:rPr>
        <w:t>-7</w:t>
      </w:r>
      <w:r>
        <w:rPr>
          <w:sz w:val="24"/>
        </w:rPr>
        <w:t>cm/s的黏土层的防渗性能；其他区域采用混凝土硬化设置。</w:t>
      </w:r>
    </w:p>
    <w:p w14:paraId="694E9503">
      <w:pPr>
        <w:spacing w:line="360" w:lineRule="auto"/>
        <w:ind w:firstLine="480" w:firstLineChars="200"/>
        <w:rPr>
          <w:sz w:val="24"/>
        </w:rPr>
      </w:pPr>
      <w:r>
        <w:rPr>
          <w:sz w:val="24"/>
        </w:rPr>
        <w:t>（4）固粪处理区、无害化处理车间封闭建设，设置顶棚、围堰防止污染物流失，固粪处理区设置渗滤液导排沟，渗滤液导入污水处理站处理；</w:t>
      </w:r>
    </w:p>
    <w:p w14:paraId="7724FB68">
      <w:pPr>
        <w:spacing w:line="360" w:lineRule="auto"/>
        <w:ind w:firstLine="480" w:firstLineChars="200"/>
        <w:rPr>
          <w:sz w:val="24"/>
        </w:rPr>
      </w:pPr>
      <w:r>
        <w:rPr>
          <w:sz w:val="24"/>
        </w:rPr>
        <w:t>（5）</w:t>
      </w:r>
      <w:r>
        <w:rPr>
          <w:bCs/>
          <w:sz w:val="24"/>
        </w:rPr>
        <w:t>当污水处理系统发生故障，废水可暂存在猪舍下的粪污池内</w:t>
      </w:r>
      <w:r>
        <w:rPr>
          <w:bCs/>
          <w:kern w:val="0"/>
          <w:sz w:val="24"/>
        </w:rPr>
        <w:t>，保证事故污水不会对周边地表水体产生污染影响</w:t>
      </w:r>
      <w:r>
        <w:rPr>
          <w:bCs/>
          <w:sz w:val="24"/>
        </w:rPr>
        <w:t>。</w:t>
      </w:r>
    </w:p>
    <w:p w14:paraId="5915DC76">
      <w:pPr>
        <w:spacing w:line="360" w:lineRule="auto"/>
        <w:ind w:firstLine="480" w:firstLineChars="200"/>
        <w:rPr>
          <w:sz w:val="24"/>
        </w:rPr>
      </w:pPr>
      <w:r>
        <w:rPr>
          <w:sz w:val="24"/>
        </w:rPr>
        <w:t>（6）项目设置的沼液储存池为</w:t>
      </w:r>
      <w:r>
        <w:rPr>
          <w:kern w:val="0"/>
          <w:sz w:val="24"/>
          <w:lang w:bidi="ar"/>
        </w:rPr>
        <w:t>1号地100m</w:t>
      </w:r>
      <w:r>
        <w:rPr>
          <w:kern w:val="0"/>
          <w:sz w:val="24"/>
          <w:vertAlign w:val="superscript"/>
          <w:lang w:bidi="ar"/>
        </w:rPr>
        <w:t>3</w:t>
      </w:r>
      <w:r>
        <w:rPr>
          <w:kern w:val="0"/>
          <w:sz w:val="24"/>
          <w:lang w:bidi="ar"/>
        </w:rPr>
        <w:t>，2号地200m</w:t>
      </w:r>
      <w:r>
        <w:rPr>
          <w:kern w:val="0"/>
          <w:sz w:val="24"/>
          <w:vertAlign w:val="superscript"/>
          <w:lang w:bidi="ar"/>
        </w:rPr>
        <w:t>3</w:t>
      </w:r>
      <w:r>
        <w:rPr>
          <w:kern w:val="0"/>
          <w:sz w:val="24"/>
          <w:lang w:bidi="ar"/>
        </w:rPr>
        <w:t>，3号地100m</w:t>
      </w:r>
      <w:r>
        <w:rPr>
          <w:kern w:val="0"/>
          <w:sz w:val="24"/>
          <w:vertAlign w:val="superscript"/>
          <w:lang w:bidi="ar"/>
        </w:rPr>
        <w:t>3</w:t>
      </w:r>
      <w:r>
        <w:rPr>
          <w:kern w:val="0"/>
          <w:sz w:val="24"/>
          <w:lang w:bidi="ar"/>
        </w:rPr>
        <w:t>，4号地250m</w:t>
      </w:r>
      <w:r>
        <w:rPr>
          <w:kern w:val="0"/>
          <w:sz w:val="24"/>
          <w:vertAlign w:val="superscript"/>
          <w:lang w:bidi="ar"/>
        </w:rPr>
        <w:t>3</w:t>
      </w:r>
      <w:r>
        <w:rPr>
          <w:kern w:val="0"/>
          <w:sz w:val="24"/>
          <w:lang w:bidi="ar"/>
        </w:rPr>
        <w:t>，5号地200m</w:t>
      </w:r>
      <w:r>
        <w:rPr>
          <w:kern w:val="0"/>
          <w:sz w:val="24"/>
          <w:vertAlign w:val="superscript"/>
          <w:lang w:bidi="ar"/>
        </w:rPr>
        <w:t>3</w:t>
      </w:r>
      <w:r>
        <w:rPr>
          <w:kern w:val="0"/>
          <w:sz w:val="24"/>
          <w:lang w:bidi="ar"/>
        </w:rPr>
        <w:t>，</w:t>
      </w:r>
      <w:r>
        <w:rPr>
          <w:sz w:val="24"/>
        </w:rPr>
        <w:t>同时在苹果园内设置1座9400m</w:t>
      </w:r>
      <w:r>
        <w:rPr>
          <w:sz w:val="24"/>
          <w:vertAlign w:val="superscript"/>
        </w:rPr>
        <w:t>3</w:t>
      </w:r>
      <w:r>
        <w:rPr>
          <w:sz w:val="24"/>
        </w:rPr>
        <w:t>的沼液储存池储存沼液，养殖场地各沼液储存池可满足场地内9~10天的沼液储存量，苹果园内储存池能够储存项目污水处理站100d以上的出水量。</w:t>
      </w:r>
    </w:p>
    <w:p w14:paraId="16F4DD74">
      <w:pPr>
        <w:spacing w:line="360" w:lineRule="auto"/>
        <w:ind w:firstLine="480" w:firstLineChars="200"/>
        <w:rPr>
          <w:bCs/>
          <w:sz w:val="24"/>
        </w:rPr>
      </w:pPr>
      <w:r>
        <w:rPr>
          <w:sz w:val="24"/>
        </w:rPr>
        <w:t>（7）</w:t>
      </w:r>
      <w:r>
        <w:rPr>
          <w:bCs/>
          <w:sz w:val="24"/>
        </w:rPr>
        <w:t>污水处理站布设于项目区海拔较低处，确保非正常情况下废水不会漫流到场区其他单元。</w:t>
      </w:r>
    </w:p>
    <w:p w14:paraId="4322D7A0">
      <w:pPr>
        <w:spacing w:line="360" w:lineRule="auto"/>
        <w:ind w:firstLine="480" w:firstLineChars="200"/>
        <w:rPr>
          <w:bCs/>
          <w:sz w:val="24"/>
        </w:rPr>
      </w:pPr>
      <w:r>
        <w:rPr>
          <w:bCs/>
          <w:sz w:val="24"/>
        </w:rPr>
        <w:t>（8）保证废水的有效收集，确保污水处理站的正常运行，严禁污废水的事故排放。</w:t>
      </w:r>
    </w:p>
    <w:p w14:paraId="40228058">
      <w:pPr>
        <w:spacing w:line="360" w:lineRule="auto"/>
        <w:ind w:firstLine="480" w:firstLineChars="200"/>
        <w:rPr>
          <w:bCs/>
          <w:sz w:val="24"/>
        </w:rPr>
      </w:pPr>
      <w:r>
        <w:rPr>
          <w:bCs/>
          <w:sz w:val="24"/>
        </w:rPr>
        <w:t>（9）加强污水处理站运行管理，定期检修、维护，确保污水处理站正常运行。农灌季节来临前，加强农灌管网的检修和维护，发现有损坏和泄漏应及时修理、更换，确保正常运行。</w:t>
      </w:r>
    </w:p>
    <w:p w14:paraId="63A9782A">
      <w:pPr>
        <w:pStyle w:val="8"/>
        <w:ind w:firstLine="562"/>
      </w:pPr>
      <w:r>
        <w:t>7.2.2.2地表水污染防治措施可行性</w:t>
      </w:r>
    </w:p>
    <w:p w14:paraId="310C3CD4">
      <w:pPr>
        <w:spacing w:line="360" w:lineRule="auto"/>
        <w:ind w:firstLine="480" w:firstLineChars="200"/>
        <w:rPr>
          <w:sz w:val="24"/>
        </w:rPr>
      </w:pPr>
      <w:r>
        <w:rPr>
          <w:sz w:val="24"/>
        </w:rPr>
        <w:t>（1）处理工艺可行性</w:t>
      </w:r>
    </w:p>
    <w:p w14:paraId="6E30B56B">
      <w:pPr>
        <w:spacing w:line="360" w:lineRule="auto"/>
        <w:ind w:firstLine="480" w:firstLineChars="200"/>
        <w:rPr>
          <w:sz w:val="24"/>
        </w:rPr>
      </w:pPr>
      <w:r>
        <w:rPr>
          <w:sz w:val="24"/>
        </w:rPr>
        <w:t>养猪废水的排放以有机污染物为主，废水中有机物、悬浮物和氨氮污染物浓度高，项目拟采取“平流气浮+调节池+沼气池（UASB反应器）+沼液储存池”，回用于苹果园灌溉，不外排。该工艺为成熟、设备简单、操作简便，已在国内众多高有机物废水处理中得到广泛应用。该工艺与原环境保护部发布的《畜禽养殖业污染治理工程技术规范》（HJ497-2009）推荐的污水处理工艺模式II一致，本项目总存栏量9300头，低于10000头规模，宜采用HJ497-2009中污水处理工艺模式II进行处理，根据《畜禽养殖业污染治理工程技术规范》（HJ497-2009），采用模式Ⅰ或模式Ⅱ处理工艺的，养殖场应位于非环境敏感区，周围的环境容量大，远离城市，有能源需求，周边有足够土地能够消纳全部的沼液、沼渣。模式Ⅱ工艺适用于能源需求不大，主要以进行污染物无害化处理、降低有机物浓度、减少沼液和沼渣消纳所需配套的土地面积为目的，且养殖场周围具有足够土地面积全部消纳低浓度沼液，并且有一定的土地轮作面积的情况。本项目不涉及敏感区，远离城市，员工生活可以全部利用产生的沼气，项目采用干清粪工艺，公司自有2800亩苹果园，有足够土地面积全部消纳低浓度沼液，项目污水处理产生的沼气可全部由工作人员日产生活消耗，并且有一定的土地轮作面积的情况。</w:t>
      </w:r>
    </w:p>
    <w:p w14:paraId="019E29EA">
      <w:pPr>
        <w:spacing w:line="360" w:lineRule="auto"/>
        <w:ind w:firstLine="480" w:firstLineChars="200"/>
        <w:rPr>
          <w:sz w:val="24"/>
        </w:rPr>
      </w:pPr>
      <w:r>
        <w:rPr>
          <w:sz w:val="24"/>
        </w:rPr>
        <w:t>根据上述分析，项目污水处理工艺是可行的。</w:t>
      </w:r>
    </w:p>
    <w:p w14:paraId="68388FD2">
      <w:pPr>
        <w:spacing w:line="360" w:lineRule="auto"/>
        <w:ind w:firstLine="480" w:firstLineChars="200"/>
        <w:rPr>
          <w:sz w:val="24"/>
        </w:rPr>
      </w:pPr>
      <w:r>
        <w:rPr>
          <w:sz w:val="24"/>
        </w:rPr>
        <w:t>（2）处理设施的规模</w:t>
      </w:r>
    </w:p>
    <w:p w14:paraId="7F0822BE">
      <w:pPr>
        <w:spacing w:line="360" w:lineRule="auto"/>
        <w:ind w:firstLine="480" w:firstLineChars="200"/>
        <w:rPr>
          <w:sz w:val="24"/>
        </w:rPr>
      </w:pPr>
      <w:r>
        <w:rPr>
          <w:sz w:val="24"/>
        </w:rPr>
        <w:t>项目生活、生产废水最大一次性排水量为</w:t>
      </w:r>
      <w:r>
        <w:rPr>
          <w:kern w:val="0"/>
          <w:sz w:val="24"/>
          <w:lang w:bidi="ar"/>
        </w:rPr>
        <w:t>90.52</w:t>
      </w:r>
      <w:r>
        <w:rPr>
          <w:sz w:val="24"/>
        </w:rPr>
        <w:t>m</w:t>
      </w:r>
      <w:r>
        <w:rPr>
          <w:sz w:val="24"/>
          <w:vertAlign w:val="superscript"/>
        </w:rPr>
        <w:t>3</w:t>
      </w:r>
      <w:r>
        <w:rPr>
          <w:sz w:val="24"/>
        </w:rPr>
        <w:t>/d。项目建设污水处理站总规模处理能力为110m</w:t>
      </w:r>
      <w:r>
        <w:rPr>
          <w:sz w:val="24"/>
          <w:vertAlign w:val="superscript"/>
        </w:rPr>
        <w:t>3</w:t>
      </w:r>
      <w:r>
        <w:rPr>
          <w:sz w:val="24"/>
        </w:rPr>
        <w:t>/d污水处理站，可满足项目污水处理需求。</w:t>
      </w:r>
    </w:p>
    <w:p w14:paraId="39080810">
      <w:pPr>
        <w:spacing w:line="360" w:lineRule="auto"/>
        <w:ind w:firstLine="480" w:firstLineChars="200"/>
        <w:rPr>
          <w:sz w:val="24"/>
        </w:rPr>
      </w:pPr>
      <w:commentRangeStart w:id="0"/>
      <w:r>
        <w:rPr>
          <w:sz w:val="24"/>
        </w:rPr>
        <w:t>（3）经济可行性分析</w:t>
      </w:r>
      <w:commentRangeEnd w:id="0"/>
      <w:r>
        <w:commentReference w:id="0"/>
      </w:r>
    </w:p>
    <w:p w14:paraId="291CBCEC">
      <w:pPr>
        <w:spacing w:line="360" w:lineRule="auto"/>
        <w:ind w:firstLine="480" w:firstLineChars="200"/>
        <w:rPr>
          <w:sz w:val="24"/>
        </w:rPr>
      </w:pPr>
      <w:r>
        <w:rPr>
          <w:sz w:val="24"/>
        </w:rPr>
        <w:t>经估算，项目污水处理站建设投资为180万元，运行费用平均为5万元/a。项目污水处理站建设投资适中，吨水处理费用较低，在经济方面是可行的。</w:t>
      </w:r>
    </w:p>
    <w:p w14:paraId="04F6E4DB">
      <w:pPr>
        <w:spacing w:line="360" w:lineRule="auto"/>
        <w:ind w:firstLine="480" w:firstLineChars="200"/>
        <w:rPr>
          <w:sz w:val="24"/>
        </w:rPr>
      </w:pPr>
      <w:r>
        <w:rPr>
          <w:sz w:val="24"/>
        </w:rPr>
        <w:t>（4）雨水外排及废水回用可行性</w:t>
      </w:r>
    </w:p>
    <w:p w14:paraId="79B0B727">
      <w:pPr>
        <w:spacing w:line="360" w:lineRule="auto"/>
        <w:ind w:firstLine="480" w:firstLineChars="200"/>
        <w:rPr>
          <w:sz w:val="24"/>
        </w:rPr>
      </w:pPr>
      <w:r>
        <w:rPr>
          <w:sz w:val="24"/>
        </w:rPr>
        <w:t>项目拟建设雨水沟和污水暗沟，雨季地表径流经过雨水沟顺地势外排至厂界外，而项目废水则通过污水管或暗沟排入污水处理站，经分析处理后废水能够达到《畜禽养殖业污染物排放标准》（GB18596-2001）中粪大肠菌群数及蛔虫卵指标。项目废水产生量为</w:t>
      </w:r>
      <w:r>
        <w:rPr>
          <w:kern w:val="0"/>
          <w:sz w:val="24"/>
          <w:lang w:bidi="ar"/>
        </w:rPr>
        <w:t>9995.36</w:t>
      </w:r>
      <w:r>
        <w:rPr>
          <w:sz w:val="24"/>
        </w:rPr>
        <w:t>m</w:t>
      </w:r>
      <w:r>
        <w:rPr>
          <w:sz w:val="24"/>
          <w:vertAlign w:val="superscript"/>
        </w:rPr>
        <w:t>3</w:t>
      </w:r>
      <w:r>
        <w:rPr>
          <w:sz w:val="24"/>
        </w:rPr>
        <w:t>/a，农灌面积约2800亩，经分析可完全消纳项目废水。故项目处理设施能保证雨水外排和废水回收利用。</w:t>
      </w:r>
    </w:p>
    <w:p w14:paraId="4B8CB912">
      <w:pPr>
        <w:pStyle w:val="7"/>
        <w:spacing w:before="0" w:after="0" w:line="360" w:lineRule="auto"/>
        <w:rPr>
          <w:rFonts w:ascii="Times New Roman" w:hAnsi="Times New Roman"/>
          <w:sz w:val="28"/>
          <w:szCs w:val="28"/>
        </w:rPr>
      </w:pPr>
      <w:r>
        <w:rPr>
          <w:rFonts w:ascii="Times New Roman" w:hAnsi="Times New Roman"/>
          <w:sz w:val="28"/>
          <w:szCs w:val="28"/>
        </w:rPr>
        <w:t>7.2.3地下水污染防治措施及可行性</w:t>
      </w:r>
    </w:p>
    <w:p w14:paraId="286446BF">
      <w:pPr>
        <w:pStyle w:val="8"/>
        <w:ind w:firstLine="562"/>
      </w:pPr>
      <w:r>
        <w:t>7.2.3.1 地下水污染防治措施</w:t>
      </w:r>
    </w:p>
    <w:p w14:paraId="45122CAF">
      <w:pPr>
        <w:spacing w:line="360" w:lineRule="auto"/>
        <w:ind w:firstLine="480" w:firstLineChars="200"/>
        <w:jc w:val="left"/>
        <w:rPr>
          <w:bCs/>
          <w:kern w:val="0"/>
          <w:sz w:val="24"/>
          <w:szCs w:val="22"/>
          <w:lang w:bidi="ar"/>
        </w:rPr>
      </w:pPr>
      <w:r>
        <w:rPr>
          <w:bCs/>
          <w:kern w:val="0"/>
          <w:sz w:val="24"/>
          <w:szCs w:val="22"/>
          <w:lang w:bidi="ar"/>
        </w:rPr>
        <w:t>根据项目区水文地质条件，结合项目自身特点，按照“源头控制、分区防控、污染监控、应急响应”相结合的原则，本环评提出以下地下水环境污染防治措施：</w:t>
      </w:r>
    </w:p>
    <w:p w14:paraId="18C9D0AB">
      <w:pPr>
        <w:adjustRightInd w:val="0"/>
        <w:snapToGrid w:val="0"/>
        <w:spacing w:line="360" w:lineRule="auto"/>
        <w:ind w:firstLine="482" w:firstLineChars="200"/>
        <w:jc w:val="left"/>
        <w:rPr>
          <w:b/>
          <w:bCs/>
        </w:rPr>
      </w:pPr>
      <w:r>
        <w:rPr>
          <w:b/>
          <w:bCs/>
          <w:kern w:val="0"/>
          <w:sz w:val="24"/>
          <w:lang w:bidi="ar"/>
        </w:rPr>
        <w:t>（1）源头控制措施</w:t>
      </w:r>
    </w:p>
    <w:p w14:paraId="72A28B7D">
      <w:pPr>
        <w:pStyle w:val="35"/>
        <w:spacing w:line="364" w:lineRule="auto"/>
        <w:ind w:right="333" w:firstLine="480" w:firstLineChars="200"/>
        <w:rPr>
          <w:bCs/>
          <w:kern w:val="0"/>
          <w:sz w:val="24"/>
          <w:szCs w:val="22"/>
          <w:lang w:bidi="ar"/>
        </w:rPr>
      </w:pPr>
      <w:r>
        <w:rPr>
          <w:bCs/>
          <w:kern w:val="0"/>
          <w:sz w:val="24"/>
          <w:szCs w:val="22"/>
          <w:lang w:bidi="ar"/>
        </w:rPr>
        <w:t>①对场内污水池严格按照规范进行设计，做好防渗，防漏工程，同时项目污水收集管道注意防泄漏、跑冒的检查的修补，防治污水泄漏对地下水造成污染。成立事故处理小组，一旦发生管道泄漏、防渗层破裂，立即组织人力、物力和财力加急进行维修，同时对泄漏的废水进行拦截、回收、转移，以防止污染地下水。</w:t>
      </w:r>
    </w:p>
    <w:p w14:paraId="34319FEC">
      <w:pPr>
        <w:pStyle w:val="35"/>
        <w:spacing w:before="3" w:line="360" w:lineRule="auto"/>
        <w:ind w:firstLine="480" w:firstLineChars="200"/>
        <w:rPr>
          <w:bCs/>
          <w:kern w:val="0"/>
          <w:sz w:val="24"/>
          <w:szCs w:val="22"/>
          <w:lang w:bidi="ar"/>
        </w:rPr>
      </w:pPr>
      <w:r>
        <w:rPr>
          <w:bCs/>
          <w:kern w:val="0"/>
          <w:sz w:val="24"/>
          <w:szCs w:val="22"/>
          <w:lang w:bidi="ar"/>
        </w:rPr>
        <w:t>②加强场区地面硬化，场内做好雨污分流。</w:t>
      </w:r>
    </w:p>
    <w:p w14:paraId="484896DF">
      <w:pPr>
        <w:spacing w:line="360" w:lineRule="auto"/>
        <w:ind w:firstLine="482" w:firstLineChars="200"/>
      </w:pPr>
      <w:r>
        <w:rPr>
          <w:b/>
          <w:bCs/>
          <w:kern w:val="0"/>
          <w:sz w:val="24"/>
          <w:lang w:bidi="ar"/>
        </w:rPr>
        <w:t>（2）分区防治措施</w:t>
      </w:r>
    </w:p>
    <w:p w14:paraId="0C259F33">
      <w:pPr>
        <w:pStyle w:val="35"/>
        <w:spacing w:after="0" w:line="360" w:lineRule="auto"/>
        <w:ind w:firstLine="480" w:firstLineChars="200"/>
        <w:rPr>
          <w:sz w:val="24"/>
        </w:rPr>
      </w:pPr>
      <w:r>
        <w:rPr>
          <w:sz w:val="24"/>
        </w:rPr>
        <w:t>将厂区按各功能单元所处的位置划分为重点防渗区、一般防渗区、简单防渗区三类地下水污染防治区域：</w:t>
      </w:r>
    </w:p>
    <w:p w14:paraId="0D9F90A8">
      <w:pPr>
        <w:pStyle w:val="35"/>
        <w:spacing w:after="0" w:line="360" w:lineRule="auto"/>
        <w:ind w:firstLine="480" w:firstLineChars="200"/>
        <w:rPr>
          <w:sz w:val="24"/>
        </w:rPr>
      </w:pPr>
      <w:r>
        <w:rPr>
          <w:sz w:val="24"/>
        </w:rPr>
        <w:t xml:space="preserve">①重点防渗区包括：对猪舍、粪污收集系统（包括猪舍下污粪尿储存池、粪污输送管道、污水收集管网）、 污水处理站（含沼液暂存池、集污池兼事故应急池）、堆肥间（包括堆肥间内的渗滤液收集沟）、无害化处理间、危废暂存间、划分为重点防渗区；防渗要求如下： </w:t>
      </w:r>
      <w:r>
        <w:rPr>
          <w:spacing w:val="-8"/>
          <w:sz w:val="24"/>
        </w:rPr>
        <w:t>重点污染区各单元</w:t>
      </w:r>
      <w:r>
        <w:rPr>
          <w:sz w:val="24"/>
        </w:rPr>
        <w:t>防渗层等效黏土防渗层 Mb≥6.0m，渗透系数≤10</w:t>
      </w:r>
      <w:r>
        <w:rPr>
          <w:sz w:val="24"/>
          <w:vertAlign w:val="superscript"/>
        </w:rPr>
        <w:t>-7</w:t>
      </w:r>
      <w:r>
        <w:rPr>
          <w:sz w:val="24"/>
        </w:rPr>
        <w:t>cm/s。</w:t>
      </w:r>
      <w:r>
        <w:rPr>
          <w:spacing w:val="-4"/>
          <w:sz w:val="24"/>
        </w:rPr>
        <w:t xml:space="preserve">污水处理池体采用池底及顶部覆膜采用 </w:t>
      </w:r>
      <w:r>
        <w:rPr>
          <w:rFonts w:eastAsia="Times New Roman"/>
          <w:sz w:val="24"/>
        </w:rPr>
        <w:t xml:space="preserve">PE </w:t>
      </w:r>
      <w:r>
        <w:rPr>
          <w:spacing w:val="-3"/>
          <w:sz w:val="24"/>
        </w:rPr>
        <w:t>复合材质，粪污输送全部采用管</w:t>
      </w:r>
      <w:r>
        <w:rPr>
          <w:spacing w:val="-9"/>
          <w:sz w:val="24"/>
        </w:rPr>
        <w:t>道输送，管道材料应根据输送的介质选择合适的材质，并做表面的防腐、防锈处</w:t>
      </w:r>
      <w:r>
        <w:rPr>
          <w:spacing w:val="-10"/>
          <w:sz w:val="24"/>
        </w:rPr>
        <w:t>理，减轻管道腐蚀造成的渗漏，并定期进行检查，防止跑冒滴漏现象发生。</w:t>
      </w:r>
      <w:r>
        <w:rPr>
          <w:sz w:val="24"/>
        </w:rPr>
        <w:t>危废暂存间、病死猪无害化处理间混凝土地面加铺防渗剂和人工材料（</w:t>
      </w:r>
      <w:r>
        <w:rPr>
          <w:rFonts w:eastAsia="Times New Roman"/>
          <w:sz w:val="24"/>
        </w:rPr>
        <w:t>HDPE</w:t>
      </w:r>
      <w:r>
        <w:rPr>
          <w:sz w:val="24"/>
        </w:rPr>
        <w:t>）</w:t>
      </w:r>
      <w:r>
        <w:rPr>
          <w:spacing w:val="-4"/>
          <w:sz w:val="24"/>
        </w:rPr>
        <w:t>防渗层，确</w:t>
      </w:r>
      <w:r>
        <w:rPr>
          <w:spacing w:val="-7"/>
          <w:sz w:val="24"/>
        </w:rPr>
        <w:t xml:space="preserve">保等效黏土防渗层 </w:t>
      </w:r>
      <w:r>
        <w:rPr>
          <w:rFonts w:eastAsia="Times New Roman"/>
          <w:sz w:val="24"/>
        </w:rPr>
        <w:t>Mb≥6.0m</w:t>
      </w:r>
      <w:r>
        <w:rPr>
          <w:sz w:val="24"/>
        </w:rPr>
        <w:t>，</w:t>
      </w:r>
      <w:r>
        <w:rPr>
          <w:rFonts w:eastAsia="Times New Roman"/>
          <w:sz w:val="24"/>
        </w:rPr>
        <w:t>K≤1×10</w:t>
      </w:r>
      <w:r>
        <w:rPr>
          <w:sz w:val="24"/>
          <w:vertAlign w:val="superscript"/>
        </w:rPr>
        <w:t>-7</w:t>
      </w:r>
      <w:r>
        <w:rPr>
          <w:rFonts w:eastAsia="Times New Roman"/>
          <w:position w:val="9"/>
          <w:sz w:val="24"/>
        </w:rPr>
        <w:t xml:space="preserve"> </w:t>
      </w:r>
      <w:r>
        <w:rPr>
          <w:rFonts w:eastAsia="Times New Roman"/>
          <w:sz w:val="24"/>
        </w:rPr>
        <w:t>cm/s</w:t>
      </w:r>
      <w:r>
        <w:rPr>
          <w:sz w:val="24"/>
        </w:rPr>
        <w:t>。</w:t>
      </w:r>
    </w:p>
    <w:p w14:paraId="52D1BD21">
      <w:pPr>
        <w:pStyle w:val="2078"/>
        <w:tabs>
          <w:tab w:val="left" w:pos="1621"/>
        </w:tabs>
        <w:spacing w:line="360" w:lineRule="auto"/>
        <w:ind w:firstLine="480"/>
        <w:rPr>
          <w:sz w:val="24"/>
        </w:rPr>
      </w:pPr>
      <w:r>
        <w:rPr>
          <w:sz w:val="24"/>
        </w:rPr>
        <w:t>②一般防渗区包括：化粪池、消毒物品存放间、消毒间划分为一般防渗区；。对一般防渗区采取的防渗措施：</w:t>
      </w:r>
      <w:r>
        <w:rPr>
          <w:spacing w:val="-7"/>
          <w:sz w:val="24"/>
        </w:rPr>
        <w:t xml:space="preserve">采取粘土铺底，等效黏土防渗层 </w:t>
      </w:r>
      <w:r>
        <w:rPr>
          <w:rFonts w:eastAsia="Times New Roman"/>
          <w:spacing w:val="-4"/>
          <w:sz w:val="24"/>
        </w:rPr>
        <w:t>Mb≥1.5m</w:t>
      </w:r>
      <w:r>
        <w:rPr>
          <w:spacing w:val="-4"/>
          <w:sz w:val="24"/>
        </w:rPr>
        <w:t>，</w:t>
      </w:r>
      <w:r>
        <w:rPr>
          <w:rFonts w:eastAsia="Times New Roman"/>
          <w:spacing w:val="-4"/>
          <w:sz w:val="24"/>
        </w:rPr>
        <w:t>K≤1×10</w:t>
      </w:r>
      <w:r>
        <w:rPr>
          <w:spacing w:val="-4"/>
          <w:sz w:val="24"/>
          <w:vertAlign w:val="superscript"/>
        </w:rPr>
        <w:t>-7</w:t>
      </w:r>
      <w:r>
        <w:rPr>
          <w:rFonts w:eastAsia="Times New Roman"/>
          <w:sz w:val="24"/>
        </w:rPr>
        <w:t>cm/s</w:t>
      </w:r>
      <w:r>
        <w:rPr>
          <w:sz w:val="24"/>
        </w:rPr>
        <w:t xml:space="preserve">， </w:t>
      </w:r>
      <w:r>
        <w:rPr>
          <w:spacing w:val="-11"/>
          <w:sz w:val="24"/>
        </w:rPr>
        <w:t xml:space="preserve">再在上层铺 </w:t>
      </w:r>
      <w:r>
        <w:rPr>
          <w:rFonts w:eastAsia="Times New Roman"/>
          <w:sz w:val="24"/>
        </w:rPr>
        <w:t xml:space="preserve">10~15cm </w:t>
      </w:r>
      <w:r>
        <w:rPr>
          <w:sz w:val="24"/>
        </w:rPr>
        <w:t>水泥进行硬化。</w:t>
      </w:r>
    </w:p>
    <w:p w14:paraId="22A1D64E">
      <w:pPr>
        <w:pStyle w:val="2078"/>
        <w:tabs>
          <w:tab w:val="left" w:pos="1621"/>
        </w:tabs>
        <w:spacing w:line="360" w:lineRule="auto"/>
        <w:ind w:firstLine="480"/>
        <w:rPr>
          <w:sz w:val="24"/>
        </w:rPr>
      </w:pPr>
      <w:r>
        <w:rPr>
          <w:sz w:val="24"/>
        </w:rPr>
        <w:t>③简单防渗区：饲料仓库、办公室生活等区域划分为简单防渗区，地面采用水泥硬化处理。</w:t>
      </w:r>
    </w:p>
    <w:p w14:paraId="04E4DCDF">
      <w:pPr>
        <w:pStyle w:val="35"/>
        <w:spacing w:after="0" w:line="360" w:lineRule="auto"/>
        <w:ind w:firstLine="480" w:firstLineChars="200"/>
        <w:rPr>
          <w:sz w:val="24"/>
        </w:rPr>
      </w:pPr>
      <w:r>
        <w:rPr>
          <w:sz w:val="24"/>
        </w:rPr>
        <w:t>（3）地下水监控措施</w:t>
      </w:r>
    </w:p>
    <w:p w14:paraId="1B61B883">
      <w:pPr>
        <w:spacing w:line="360" w:lineRule="auto"/>
        <w:ind w:firstLine="444" w:firstLineChars="200"/>
        <w:rPr>
          <w:sz w:val="24"/>
        </w:rPr>
      </w:pPr>
      <w:r>
        <w:rPr>
          <w:spacing w:val="-9"/>
          <w:sz w:val="24"/>
        </w:rPr>
        <w:t>①根据厂区周围地下水流向，</w:t>
      </w:r>
      <w:r>
        <w:rPr>
          <w:spacing w:val="-7"/>
          <w:sz w:val="24"/>
        </w:rPr>
        <w:t>各养殖区厂区下游</w:t>
      </w:r>
      <w:r>
        <w:rPr>
          <w:spacing w:val="-9"/>
          <w:sz w:val="24"/>
        </w:rPr>
        <w:t>20m位置各处布设一口长期观</w:t>
      </w:r>
      <w:r>
        <w:rPr>
          <w:sz w:val="24"/>
        </w:rPr>
        <w:t>测井，共计设置5口。由于现状设计污水处理设施下游无地下水井，本次设置的监测井需新建。</w:t>
      </w:r>
    </w:p>
    <w:p w14:paraId="62D265A6">
      <w:pPr>
        <w:spacing w:line="360" w:lineRule="auto"/>
        <w:ind w:firstLine="480" w:firstLineChars="200"/>
        <w:rPr>
          <w:sz w:val="24"/>
        </w:rPr>
      </w:pPr>
      <w:r>
        <w:rPr>
          <w:sz w:val="24"/>
        </w:rPr>
        <w:t>②制定地下水污染应急响应预案，若监测井中发现地下水有污染情况发生，企业需及时进行排查，项目区的各类粪污处理池、排污管道若发生渗漏，将废水暂存在猪舍下的粪污池内，待排查完毕后没有发生渗漏，将尿液重新打回储存，再以此类推进行下一个储尿池的排查。发现渗漏点后及时采取补救措施，避免污水继续下渗。同时在地下水流向上拦截并抽取地下污水到地面处理。</w:t>
      </w:r>
    </w:p>
    <w:p w14:paraId="4592F7F1">
      <w:pPr>
        <w:pStyle w:val="8"/>
        <w:ind w:firstLine="482"/>
        <w:rPr>
          <w:bCs/>
          <w:sz w:val="24"/>
          <w:szCs w:val="24"/>
        </w:rPr>
      </w:pPr>
      <w:r>
        <w:rPr>
          <w:bCs/>
          <w:sz w:val="24"/>
          <w:szCs w:val="24"/>
        </w:rPr>
        <w:t>7.2.3.2 地下水污染防治措施经济、技术可行性分析</w:t>
      </w:r>
    </w:p>
    <w:p w14:paraId="4E4E9ECB">
      <w:pPr>
        <w:pStyle w:val="10"/>
        <w:spacing w:line="360" w:lineRule="auto"/>
        <w:ind w:firstLine="480"/>
        <w:rPr>
          <w:bCs/>
          <w:kern w:val="10"/>
          <w:sz w:val="24"/>
        </w:rPr>
      </w:pPr>
      <w:r>
        <w:rPr>
          <w:bCs/>
          <w:kern w:val="10"/>
          <w:sz w:val="24"/>
        </w:rPr>
        <w:t>项目防渗分区及防渗要求均根据HJ610-2016《环境影响评价技术导则 地下水环境》及GB18597-2001《危险废物贮存污染控制标准》进行建设，各项防渗措施技术成熟、操作简便、效果好，能满足地下水污染防治的需要，在技术上是可行的。地下水污染防治措施建设完成后即可长时间稳定运行，后期维护费用低，在经济方面是可行的。</w:t>
      </w:r>
    </w:p>
    <w:p w14:paraId="5C412B1A">
      <w:pPr>
        <w:pStyle w:val="47"/>
        <w:rPr>
          <w:rFonts w:ascii="Times New Roman" w:hAnsi="Times New Roman" w:cs="Times New Roman"/>
        </w:rPr>
      </w:pPr>
    </w:p>
    <w:p w14:paraId="16DA5351">
      <w:pPr>
        <w:pStyle w:val="7"/>
        <w:spacing w:before="0" w:after="0" w:line="360" w:lineRule="auto"/>
        <w:rPr>
          <w:rFonts w:ascii="Times New Roman" w:hAnsi="Times New Roman"/>
          <w:sz w:val="28"/>
          <w:szCs w:val="28"/>
        </w:rPr>
      </w:pPr>
      <w:bookmarkStart w:id="211" w:name="_Toc402803439"/>
      <w:r>
        <w:rPr>
          <w:rFonts w:ascii="Times New Roman" w:hAnsi="Times New Roman"/>
          <w:sz w:val="28"/>
          <w:szCs w:val="28"/>
        </w:rPr>
        <w:t>7.2.4噪声污染防治措施</w:t>
      </w:r>
      <w:bookmarkEnd w:id="211"/>
    </w:p>
    <w:p w14:paraId="606BFD55">
      <w:pPr>
        <w:spacing w:line="360" w:lineRule="auto"/>
        <w:ind w:firstLine="482" w:firstLineChars="200"/>
        <w:rPr>
          <w:b/>
          <w:sz w:val="24"/>
        </w:rPr>
      </w:pPr>
      <w:r>
        <w:rPr>
          <w:b/>
          <w:sz w:val="24"/>
        </w:rPr>
        <w:t>7.4.1噪声防治措施</w:t>
      </w:r>
    </w:p>
    <w:p w14:paraId="6BB47AD5">
      <w:pPr>
        <w:spacing w:line="360" w:lineRule="auto"/>
        <w:ind w:firstLine="480" w:firstLineChars="200"/>
        <w:rPr>
          <w:sz w:val="24"/>
        </w:rPr>
      </w:pPr>
      <w:r>
        <w:rPr>
          <w:sz w:val="24"/>
        </w:rPr>
        <w:t>本项目运营期噪声主要是猪叫声、设备噪声及车辆噪声，噪声级在70～90dB（A）之间。因此，必须采取一定的降噪隔音措施。</w:t>
      </w:r>
    </w:p>
    <w:p w14:paraId="32D07FE8">
      <w:pPr>
        <w:spacing w:line="360" w:lineRule="auto"/>
        <w:ind w:firstLine="480" w:firstLineChars="200"/>
        <w:rPr>
          <w:sz w:val="24"/>
        </w:rPr>
      </w:pPr>
      <w:r>
        <w:rPr>
          <w:sz w:val="24"/>
        </w:rPr>
        <w:t>（1）在平面布置及施工建筑设计上尽量将噪声源集中，充分利用自身建筑物的屏蔽作用隔声。场区合理布局。</w:t>
      </w:r>
    </w:p>
    <w:p w14:paraId="0E87B17F">
      <w:pPr>
        <w:spacing w:line="360" w:lineRule="auto"/>
        <w:ind w:firstLine="480" w:firstLineChars="200"/>
        <w:rPr>
          <w:sz w:val="24"/>
        </w:rPr>
      </w:pPr>
      <w:r>
        <w:rPr>
          <w:sz w:val="24"/>
        </w:rPr>
        <w:t>（2）设计上尽量选用低噪声设备。</w:t>
      </w:r>
    </w:p>
    <w:p w14:paraId="056339E6">
      <w:pPr>
        <w:spacing w:line="360" w:lineRule="auto"/>
        <w:ind w:firstLine="480" w:firstLineChars="200"/>
        <w:rPr>
          <w:sz w:val="24"/>
        </w:rPr>
      </w:pPr>
      <w:r>
        <w:rPr>
          <w:sz w:val="24"/>
        </w:rPr>
        <w:t>（3）对产生高噪声设备采取建造隔声机房，将强声源与外界隔离，同时对设施结构进行改革。如：水泵设置在室内或者地下，减小噪声对环境影响；</w:t>
      </w:r>
    </w:p>
    <w:p w14:paraId="0475592A">
      <w:pPr>
        <w:spacing w:line="360" w:lineRule="auto"/>
        <w:ind w:firstLine="480" w:firstLineChars="200"/>
        <w:rPr>
          <w:sz w:val="24"/>
        </w:rPr>
      </w:pPr>
      <w:r>
        <w:rPr>
          <w:sz w:val="24"/>
        </w:rPr>
        <w:t>（4）为减少猪叫声对操作工人及周围环境的影响，尽可能满足猪只饮食需要，避免因饥饿或口渴而发出叫声；同时应减少外界噪声等对猪舍的干扰，避免因惊吓而造成猪只不安；</w:t>
      </w:r>
    </w:p>
    <w:p w14:paraId="677A9A24">
      <w:pPr>
        <w:spacing w:line="360" w:lineRule="auto"/>
        <w:ind w:firstLine="480" w:firstLineChars="200"/>
        <w:rPr>
          <w:sz w:val="24"/>
        </w:rPr>
      </w:pPr>
      <w:r>
        <w:rPr>
          <w:sz w:val="24"/>
        </w:rPr>
        <w:t>（5）猪舍四周加强绿化，场界四周种植高大乔木，加强对噪声的隔阻效果；</w:t>
      </w:r>
    </w:p>
    <w:p w14:paraId="2F059543">
      <w:pPr>
        <w:spacing w:line="360" w:lineRule="auto"/>
        <w:ind w:firstLine="480" w:firstLineChars="200"/>
        <w:rPr>
          <w:sz w:val="24"/>
        </w:rPr>
      </w:pPr>
      <w:r>
        <w:rPr>
          <w:sz w:val="24"/>
        </w:rPr>
        <w:t>（6）同时对运输过程中产生的噪声污染采取以下交通噪声管理措施：运输沿线靠近居民点时，禁止运输车辆鸣笛；运输车辆必须严格维修和保养，保持发动机在最佳状况下工作。运输车辆严禁超载。</w:t>
      </w:r>
    </w:p>
    <w:p w14:paraId="43A648C0">
      <w:pPr>
        <w:spacing w:line="360" w:lineRule="auto"/>
        <w:ind w:firstLine="482" w:firstLineChars="200"/>
        <w:rPr>
          <w:b/>
          <w:sz w:val="24"/>
        </w:rPr>
      </w:pPr>
      <w:r>
        <w:rPr>
          <w:b/>
          <w:sz w:val="24"/>
        </w:rPr>
        <w:t>7.4.2措施可行性</w:t>
      </w:r>
    </w:p>
    <w:p w14:paraId="6B26800E">
      <w:pPr>
        <w:spacing w:line="360" w:lineRule="auto"/>
        <w:ind w:firstLine="480" w:firstLineChars="200"/>
        <w:rPr>
          <w:sz w:val="24"/>
        </w:rPr>
      </w:pPr>
      <w:r>
        <w:rPr>
          <w:sz w:val="24"/>
        </w:rPr>
        <w:t>项目猪舍及污水处理站建设远离办公区及居民区，污水处理站各设备采用封闭处理，且项目建成后将在猪舍外进行大面积绿化，经过树木降噪和距离衰减后厂界噪声可满足《工业企业厂界环境噪声排放标准》（GB 12348-2008）2类区排放限值；周边居民点可满足《声环境质量标准》（GB3096-2008）2类标准。</w:t>
      </w:r>
    </w:p>
    <w:p w14:paraId="5F18E86A">
      <w:pPr>
        <w:spacing w:line="360" w:lineRule="auto"/>
        <w:ind w:firstLine="480" w:firstLineChars="200"/>
        <w:rPr>
          <w:sz w:val="24"/>
        </w:rPr>
      </w:pPr>
      <w:r>
        <w:rPr>
          <w:sz w:val="24"/>
        </w:rPr>
        <w:t>项目采取的噪声防治措施使用范围广、简单易行。在技术及经济方面是可行的。</w:t>
      </w:r>
    </w:p>
    <w:p w14:paraId="75B6AEEE">
      <w:pPr>
        <w:pStyle w:val="7"/>
        <w:spacing w:before="0" w:after="0" w:line="360" w:lineRule="auto"/>
        <w:rPr>
          <w:rFonts w:ascii="Times New Roman" w:hAnsi="Times New Roman"/>
          <w:sz w:val="28"/>
          <w:szCs w:val="28"/>
        </w:rPr>
      </w:pPr>
      <w:bookmarkStart w:id="212" w:name="_Toc402803440"/>
      <w:r>
        <w:rPr>
          <w:rFonts w:ascii="Times New Roman" w:hAnsi="Times New Roman"/>
          <w:sz w:val="28"/>
          <w:szCs w:val="28"/>
        </w:rPr>
        <w:t>7.2.5固体废物污染防治措施</w:t>
      </w:r>
      <w:bookmarkEnd w:id="212"/>
    </w:p>
    <w:p w14:paraId="576F5281">
      <w:pPr>
        <w:pStyle w:val="8"/>
        <w:ind w:firstLine="482"/>
        <w:rPr>
          <w:bCs/>
          <w:sz w:val="24"/>
          <w:szCs w:val="24"/>
        </w:rPr>
      </w:pPr>
      <w:r>
        <w:rPr>
          <w:bCs/>
          <w:sz w:val="24"/>
          <w:szCs w:val="24"/>
        </w:rPr>
        <w:t>7.2.5.1固体废弃物污染防治措施</w:t>
      </w:r>
    </w:p>
    <w:p w14:paraId="447AEA20">
      <w:pPr>
        <w:pStyle w:val="10"/>
        <w:spacing w:line="360" w:lineRule="auto"/>
        <w:ind w:firstLine="480"/>
        <w:rPr>
          <w:sz w:val="24"/>
        </w:rPr>
      </w:pPr>
      <w:r>
        <w:rPr>
          <w:sz w:val="24"/>
        </w:rPr>
        <w:t>对固体废物的污染防治，管理是关键。目前，国际上公认的对固体废物的环境管理原则有两项，即“三化”（减量化、资源化、无害化）原则和全过程管理原则，很多具体的管理原则措施都源于这两条基本原则。</w:t>
      </w:r>
    </w:p>
    <w:p w14:paraId="7709B137">
      <w:pPr>
        <w:pStyle w:val="8"/>
        <w:ind w:firstLine="482"/>
        <w:rPr>
          <w:bCs/>
          <w:sz w:val="24"/>
          <w:szCs w:val="24"/>
        </w:rPr>
      </w:pPr>
      <w:r>
        <w:rPr>
          <w:bCs/>
          <w:sz w:val="24"/>
          <w:szCs w:val="24"/>
        </w:rPr>
        <w:t>7.2.5.2固体废弃物污染防治措施经济、技术可行性分析</w:t>
      </w:r>
    </w:p>
    <w:p w14:paraId="2277307A">
      <w:pPr>
        <w:pStyle w:val="10"/>
        <w:spacing w:line="360" w:lineRule="auto"/>
        <w:ind w:firstLine="482"/>
        <w:rPr>
          <w:b/>
          <w:bCs/>
          <w:sz w:val="24"/>
        </w:rPr>
      </w:pPr>
      <w:r>
        <w:rPr>
          <w:b/>
          <w:bCs/>
          <w:sz w:val="24"/>
        </w:rPr>
        <w:t>（1）干清粪工艺及其经济可行性分析</w:t>
      </w:r>
    </w:p>
    <w:p w14:paraId="5A47FAF6">
      <w:pPr>
        <w:spacing w:line="360" w:lineRule="auto"/>
        <w:ind w:firstLine="480" w:firstLineChars="200"/>
        <w:rPr>
          <w:sz w:val="24"/>
        </w:rPr>
      </w:pPr>
      <w:r>
        <w:rPr>
          <w:sz w:val="24"/>
        </w:rPr>
        <w:t>干清粪工艺可尽量防止家禽粪便与污水混合，降低养殖废水中的污染物总量，减少地坪清洗用水量，降低养殖废水对污水处理工艺及设备的压力，达到简化粪污处理工艺及设备的目的。干清粪工艺可大大减少粪便在家禽舍内的存放时间，即减少粪便因得不到有效处置而降解产生大量NH</w:t>
      </w:r>
      <w:r>
        <w:rPr>
          <w:sz w:val="24"/>
          <w:vertAlign w:val="subscript"/>
        </w:rPr>
        <w:t>3</w:t>
      </w:r>
      <w:r>
        <w:rPr>
          <w:sz w:val="24"/>
        </w:rPr>
        <w:t>、H</w:t>
      </w:r>
      <w:r>
        <w:rPr>
          <w:sz w:val="24"/>
          <w:vertAlign w:val="subscript"/>
        </w:rPr>
        <w:t>2</w:t>
      </w:r>
      <w:r>
        <w:rPr>
          <w:sz w:val="24"/>
        </w:rPr>
        <w:t>S等恶臭气体，可从源头上减少恶臭气体排放量，减轻对周边环境的影响。干清粪工艺可减少家禽粪便营养物质流失，肥料价值高，便于高温堆肥或其他方式处置。</w:t>
      </w:r>
    </w:p>
    <w:p w14:paraId="0B410046">
      <w:pPr>
        <w:spacing w:line="360" w:lineRule="auto"/>
        <w:ind w:firstLine="480" w:firstLineChars="200"/>
        <w:rPr>
          <w:sz w:val="24"/>
        </w:rPr>
      </w:pPr>
      <w:r>
        <w:rPr>
          <w:sz w:val="24"/>
        </w:rPr>
        <w:t>干清粪工艺是比较理想的清粪工艺，采取有效措施将粪及时、单独清出，不与污水混合排出，并将产生的粪渣及时分离，项目采用干清粪工艺符合HJ497-2009《畜禽养殖业污染防治技术规范》要求。</w:t>
      </w:r>
    </w:p>
    <w:p w14:paraId="185C8D85">
      <w:pPr>
        <w:spacing w:line="360" w:lineRule="auto"/>
        <w:ind w:firstLine="480" w:firstLineChars="200"/>
        <w:rPr>
          <w:sz w:val="24"/>
        </w:rPr>
      </w:pPr>
      <w:r>
        <w:rPr>
          <w:sz w:val="24"/>
        </w:rPr>
        <w:t>人工干清粪方式减少了用水量，减少了机械设备的成本和维修费的投入，降低了粪便干化处理的成本，减少了粪便有效成分的流失，提高了粪便的可利用程度。</w:t>
      </w:r>
    </w:p>
    <w:p w14:paraId="6E50C3A2">
      <w:pPr>
        <w:tabs>
          <w:tab w:val="left" w:pos="7200"/>
        </w:tabs>
        <w:spacing w:line="360" w:lineRule="auto"/>
        <w:ind w:firstLine="480" w:firstLineChars="200"/>
        <w:rPr>
          <w:sz w:val="24"/>
        </w:rPr>
      </w:pPr>
      <w:r>
        <w:rPr>
          <w:sz w:val="24"/>
        </w:rPr>
        <w:t>综上所述，项目采用干清粪工艺经济、技术可行。</w:t>
      </w:r>
    </w:p>
    <w:p w14:paraId="5FB4D25A">
      <w:pPr>
        <w:pStyle w:val="10"/>
        <w:spacing w:line="360" w:lineRule="auto"/>
        <w:ind w:firstLine="482"/>
        <w:rPr>
          <w:b/>
          <w:bCs/>
          <w:sz w:val="24"/>
        </w:rPr>
      </w:pPr>
      <w:r>
        <w:rPr>
          <w:b/>
          <w:bCs/>
          <w:sz w:val="24"/>
        </w:rPr>
        <w:t>（2）猪舍粪便、沼渣处理措施可行性分析</w:t>
      </w:r>
    </w:p>
    <w:p w14:paraId="3B3DEB31">
      <w:pPr>
        <w:pStyle w:val="10"/>
        <w:spacing w:line="360" w:lineRule="auto"/>
        <w:ind w:firstLine="480"/>
        <w:rPr>
          <w:sz w:val="24"/>
        </w:rPr>
      </w:pPr>
      <w:r>
        <w:rPr>
          <w:sz w:val="24"/>
        </w:rPr>
        <w:t>①粪便暂存场设置合理性分析</w:t>
      </w:r>
    </w:p>
    <w:p w14:paraId="44C7ED62">
      <w:pPr>
        <w:pStyle w:val="10"/>
        <w:spacing w:line="360" w:lineRule="auto"/>
        <w:ind w:firstLine="480"/>
        <w:rPr>
          <w:sz w:val="24"/>
        </w:rPr>
      </w:pPr>
      <w:r>
        <w:rPr>
          <w:sz w:val="24"/>
        </w:rPr>
        <w:t>根据《畜禽养殖业污染治理工程技术规定》（HJ497-2009），新建、改建、扩建的畜禽养殖场应采用干清粪工艺，并且粪便应日产日清。粪污无害化处理后用于还田利用的，应设置专门的储存池，并且应具有防渗漏功能，配备防止降雨进入的措施。</w:t>
      </w:r>
    </w:p>
    <w:p w14:paraId="044498DB">
      <w:pPr>
        <w:tabs>
          <w:tab w:val="right" w:pos="8306"/>
        </w:tabs>
        <w:spacing w:line="360" w:lineRule="auto"/>
        <w:ind w:firstLine="480" w:firstLineChars="200"/>
        <w:rPr>
          <w:kern w:val="0"/>
          <w:sz w:val="24"/>
        </w:rPr>
      </w:pPr>
      <w:r>
        <w:rPr>
          <w:kern w:val="0"/>
          <w:sz w:val="24"/>
        </w:rPr>
        <w:t>项目在每个地块设有固粪堆肥处理区，各地块堆肥建筑面积如下表：</w:t>
      </w:r>
    </w:p>
    <w:p w14:paraId="1B1C7431">
      <w:pPr>
        <w:pStyle w:val="47"/>
        <w:jc w:val="center"/>
        <w:rPr>
          <w:rFonts w:ascii="Times New Roman" w:hAnsi="Times New Roman" w:cs="Times New Roman"/>
          <w:b/>
          <w:bCs/>
        </w:rPr>
      </w:pPr>
      <w:r>
        <w:rPr>
          <w:rFonts w:ascii="Times New Roman" w:hAnsi="Times New Roman" w:cs="Times New Roman"/>
          <w:b/>
          <w:bCs/>
          <w:kern w:val="0"/>
          <w:sz w:val="24"/>
        </w:rPr>
        <w:t>表7.2-2 堆肥场规模一览表</w:t>
      </w:r>
    </w:p>
    <w:tbl>
      <w:tblPr>
        <w:tblStyle w:val="87"/>
        <w:tblW w:w="4998" w:type="pct"/>
        <w:tblInd w:w="0" w:type="dxa"/>
        <w:tblLayout w:type="autofit"/>
        <w:tblCellMar>
          <w:top w:w="0" w:type="dxa"/>
          <w:left w:w="108" w:type="dxa"/>
          <w:bottom w:w="0" w:type="dxa"/>
          <w:right w:w="108" w:type="dxa"/>
        </w:tblCellMar>
      </w:tblPr>
      <w:tblGrid>
        <w:gridCol w:w="2842"/>
        <w:gridCol w:w="3075"/>
        <w:gridCol w:w="2608"/>
      </w:tblGrid>
      <w:tr w14:paraId="0528819A">
        <w:tblPrEx>
          <w:tblCellMar>
            <w:top w:w="0" w:type="dxa"/>
            <w:left w:w="108" w:type="dxa"/>
            <w:bottom w:w="0" w:type="dxa"/>
            <w:right w:w="108" w:type="dxa"/>
          </w:tblCellMar>
        </w:tblPrEx>
        <w:trPr>
          <w:trHeight w:val="270"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7BD41B4A">
            <w:pPr>
              <w:widowControl/>
              <w:jc w:val="center"/>
              <w:textAlignment w:val="center"/>
              <w:rPr>
                <w:szCs w:val="21"/>
              </w:rPr>
            </w:pPr>
            <w:r>
              <w:rPr>
                <w:kern w:val="0"/>
                <w:szCs w:val="21"/>
                <w:lang w:bidi="ar"/>
              </w:rPr>
              <w:t>地块位置</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17028C46">
            <w:pPr>
              <w:widowControl/>
              <w:jc w:val="center"/>
              <w:textAlignment w:val="center"/>
              <w:rPr>
                <w:szCs w:val="21"/>
              </w:rPr>
            </w:pPr>
            <w:r>
              <w:rPr>
                <w:kern w:val="0"/>
                <w:szCs w:val="21"/>
                <w:lang w:bidi="ar"/>
              </w:rPr>
              <w:t>发酵堆肥场面积（m</w:t>
            </w:r>
            <w:r>
              <w:rPr>
                <w:kern w:val="0"/>
                <w:szCs w:val="21"/>
                <w:vertAlign w:val="superscript"/>
                <w:lang w:bidi="ar"/>
              </w:rPr>
              <w:t>2</w:t>
            </w:r>
            <w:r>
              <w:rPr>
                <w:kern w:val="0"/>
                <w:szCs w:val="21"/>
                <w:lang w:bidi="ar"/>
              </w:rPr>
              <w:t>）</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6672E123">
            <w:pPr>
              <w:widowControl/>
              <w:jc w:val="center"/>
              <w:textAlignment w:val="center"/>
              <w:rPr>
                <w:szCs w:val="21"/>
              </w:rPr>
            </w:pPr>
            <w:r>
              <w:rPr>
                <w:kern w:val="0"/>
                <w:szCs w:val="21"/>
                <w:lang w:bidi="ar"/>
              </w:rPr>
              <w:t>堆肥容积（m</w:t>
            </w:r>
            <w:r>
              <w:rPr>
                <w:kern w:val="0"/>
                <w:szCs w:val="21"/>
                <w:vertAlign w:val="superscript"/>
                <w:lang w:bidi="ar"/>
              </w:rPr>
              <w:t>3</w:t>
            </w:r>
            <w:r>
              <w:rPr>
                <w:kern w:val="0"/>
                <w:szCs w:val="21"/>
                <w:lang w:bidi="ar"/>
              </w:rPr>
              <w:t>）</w:t>
            </w:r>
          </w:p>
        </w:tc>
      </w:tr>
      <w:tr w14:paraId="73185942">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4E896A12">
            <w:pPr>
              <w:widowControl/>
              <w:jc w:val="center"/>
              <w:textAlignment w:val="center"/>
              <w:rPr>
                <w:szCs w:val="21"/>
              </w:rPr>
            </w:pPr>
            <w:r>
              <w:rPr>
                <w:kern w:val="0"/>
                <w:szCs w:val="21"/>
                <w:lang w:bidi="ar"/>
              </w:rPr>
              <w:t>1号地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384A7DB3">
            <w:pPr>
              <w:widowControl/>
              <w:jc w:val="center"/>
              <w:textAlignment w:val="center"/>
              <w:rPr>
                <w:szCs w:val="21"/>
              </w:rPr>
            </w:pPr>
            <w:r>
              <w:rPr>
                <w:kern w:val="0"/>
                <w:szCs w:val="21"/>
                <w:lang w:bidi="ar"/>
              </w:rPr>
              <w:t>250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468692BA">
            <w:pPr>
              <w:widowControl/>
              <w:jc w:val="center"/>
              <w:textAlignment w:val="center"/>
              <w:rPr>
                <w:szCs w:val="21"/>
              </w:rPr>
            </w:pPr>
            <w:r>
              <w:rPr>
                <w:kern w:val="0"/>
                <w:szCs w:val="21"/>
                <w:lang w:bidi="ar"/>
              </w:rPr>
              <w:t>300</w:t>
            </w:r>
          </w:p>
        </w:tc>
      </w:tr>
      <w:tr w14:paraId="21CEDDE1">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644D04B2">
            <w:pPr>
              <w:widowControl/>
              <w:jc w:val="center"/>
              <w:textAlignment w:val="center"/>
              <w:rPr>
                <w:szCs w:val="21"/>
              </w:rPr>
            </w:pPr>
            <w:r>
              <w:rPr>
                <w:kern w:val="0"/>
                <w:szCs w:val="21"/>
                <w:lang w:bidi="ar"/>
              </w:rPr>
              <w:t>2号地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0B52A0B6">
            <w:pPr>
              <w:widowControl/>
              <w:jc w:val="center"/>
              <w:textAlignment w:val="center"/>
              <w:rPr>
                <w:szCs w:val="21"/>
              </w:rPr>
            </w:pPr>
            <w:r>
              <w:rPr>
                <w:kern w:val="0"/>
                <w:szCs w:val="21"/>
                <w:lang w:bidi="ar"/>
              </w:rPr>
              <w:t>500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6268045E">
            <w:pPr>
              <w:widowControl/>
              <w:jc w:val="center"/>
              <w:textAlignment w:val="center"/>
              <w:rPr>
                <w:szCs w:val="21"/>
              </w:rPr>
            </w:pPr>
            <w:r>
              <w:rPr>
                <w:kern w:val="0"/>
                <w:szCs w:val="21"/>
                <w:lang w:bidi="ar"/>
              </w:rPr>
              <w:t>600</w:t>
            </w:r>
          </w:p>
        </w:tc>
      </w:tr>
      <w:tr w14:paraId="1053BAEF">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1133C8DE">
            <w:pPr>
              <w:widowControl/>
              <w:jc w:val="center"/>
              <w:textAlignment w:val="center"/>
              <w:rPr>
                <w:szCs w:val="21"/>
              </w:rPr>
            </w:pPr>
            <w:r>
              <w:rPr>
                <w:kern w:val="0"/>
                <w:szCs w:val="21"/>
                <w:lang w:bidi="ar"/>
              </w:rPr>
              <w:t>3号地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65F0D6EC">
            <w:pPr>
              <w:widowControl/>
              <w:jc w:val="center"/>
              <w:textAlignment w:val="center"/>
              <w:rPr>
                <w:szCs w:val="21"/>
              </w:rPr>
            </w:pPr>
            <w:r>
              <w:rPr>
                <w:kern w:val="0"/>
                <w:szCs w:val="21"/>
                <w:lang w:bidi="ar"/>
              </w:rPr>
              <w:t>250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2C040E8F">
            <w:pPr>
              <w:widowControl/>
              <w:jc w:val="center"/>
              <w:textAlignment w:val="center"/>
              <w:rPr>
                <w:szCs w:val="21"/>
              </w:rPr>
            </w:pPr>
            <w:r>
              <w:rPr>
                <w:kern w:val="0"/>
                <w:szCs w:val="21"/>
                <w:lang w:bidi="ar"/>
              </w:rPr>
              <w:t>300</w:t>
            </w:r>
          </w:p>
        </w:tc>
      </w:tr>
      <w:tr w14:paraId="65CD96A9">
        <w:tblPrEx>
          <w:tblCellMar>
            <w:top w:w="0" w:type="dxa"/>
            <w:left w:w="108" w:type="dxa"/>
            <w:bottom w:w="0" w:type="dxa"/>
            <w:right w:w="108" w:type="dxa"/>
          </w:tblCellMar>
        </w:tblPrEx>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5C9D553D">
            <w:pPr>
              <w:widowControl/>
              <w:jc w:val="center"/>
              <w:textAlignment w:val="center"/>
              <w:rPr>
                <w:szCs w:val="21"/>
              </w:rPr>
            </w:pPr>
            <w:r>
              <w:rPr>
                <w:kern w:val="0"/>
                <w:szCs w:val="21"/>
                <w:lang w:bidi="ar"/>
              </w:rPr>
              <w:t>4号地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490DF685">
            <w:pPr>
              <w:widowControl/>
              <w:jc w:val="center"/>
              <w:textAlignment w:val="center"/>
              <w:rPr>
                <w:szCs w:val="21"/>
              </w:rPr>
            </w:pPr>
            <w:r>
              <w:rPr>
                <w:kern w:val="0"/>
                <w:szCs w:val="21"/>
                <w:lang w:bidi="ar"/>
              </w:rPr>
              <w:t>500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61C353FA">
            <w:pPr>
              <w:widowControl/>
              <w:jc w:val="center"/>
              <w:textAlignment w:val="center"/>
              <w:rPr>
                <w:szCs w:val="21"/>
              </w:rPr>
            </w:pPr>
            <w:r>
              <w:rPr>
                <w:kern w:val="0"/>
                <w:szCs w:val="21"/>
                <w:lang w:bidi="ar"/>
              </w:rPr>
              <w:t>600</w:t>
            </w:r>
          </w:p>
        </w:tc>
      </w:tr>
      <w:tr w14:paraId="7A537312">
        <w:trPr>
          <w:trHeight w:val="285" w:hRule="atLeast"/>
        </w:trPr>
        <w:tc>
          <w:tcPr>
            <w:tcW w:w="1666" w:type="pct"/>
            <w:tcBorders>
              <w:top w:val="single" w:color="000000" w:sz="4" w:space="0"/>
              <w:left w:val="single" w:color="000000" w:sz="4" w:space="0"/>
              <w:bottom w:val="single" w:color="000000" w:sz="4" w:space="0"/>
              <w:right w:val="single" w:color="000000" w:sz="4" w:space="0"/>
            </w:tcBorders>
            <w:noWrap/>
            <w:vAlign w:val="center"/>
          </w:tcPr>
          <w:p w14:paraId="14EAA354">
            <w:pPr>
              <w:widowControl/>
              <w:jc w:val="center"/>
              <w:textAlignment w:val="center"/>
              <w:rPr>
                <w:szCs w:val="21"/>
              </w:rPr>
            </w:pPr>
            <w:r>
              <w:rPr>
                <w:kern w:val="0"/>
                <w:szCs w:val="21"/>
                <w:lang w:bidi="ar"/>
              </w:rPr>
              <w:t>5号地</w:t>
            </w:r>
          </w:p>
        </w:tc>
        <w:tc>
          <w:tcPr>
            <w:tcW w:w="1803" w:type="pct"/>
            <w:tcBorders>
              <w:top w:val="single" w:color="000000" w:sz="4" w:space="0"/>
              <w:left w:val="single" w:color="000000" w:sz="4" w:space="0"/>
              <w:bottom w:val="single" w:color="000000" w:sz="4" w:space="0"/>
              <w:right w:val="single" w:color="000000" w:sz="4" w:space="0"/>
            </w:tcBorders>
            <w:noWrap/>
            <w:vAlign w:val="center"/>
          </w:tcPr>
          <w:p w14:paraId="008B7D99">
            <w:pPr>
              <w:widowControl/>
              <w:jc w:val="center"/>
              <w:textAlignment w:val="center"/>
              <w:rPr>
                <w:szCs w:val="21"/>
              </w:rPr>
            </w:pPr>
            <w:r>
              <w:rPr>
                <w:kern w:val="0"/>
                <w:szCs w:val="21"/>
                <w:lang w:bidi="ar"/>
              </w:rPr>
              <w:t>400</w:t>
            </w:r>
          </w:p>
        </w:tc>
        <w:tc>
          <w:tcPr>
            <w:tcW w:w="1529" w:type="pct"/>
            <w:tcBorders>
              <w:top w:val="single" w:color="000000" w:sz="4" w:space="0"/>
              <w:left w:val="single" w:color="000000" w:sz="4" w:space="0"/>
              <w:bottom w:val="single" w:color="000000" w:sz="4" w:space="0"/>
              <w:right w:val="single" w:color="000000" w:sz="4" w:space="0"/>
            </w:tcBorders>
            <w:noWrap/>
            <w:vAlign w:val="center"/>
          </w:tcPr>
          <w:p w14:paraId="4823F4EF">
            <w:pPr>
              <w:widowControl/>
              <w:jc w:val="center"/>
              <w:textAlignment w:val="center"/>
              <w:rPr>
                <w:szCs w:val="21"/>
              </w:rPr>
            </w:pPr>
            <w:r>
              <w:rPr>
                <w:kern w:val="0"/>
                <w:szCs w:val="21"/>
                <w:lang w:bidi="ar"/>
              </w:rPr>
              <w:t>480</w:t>
            </w:r>
          </w:p>
        </w:tc>
      </w:tr>
    </w:tbl>
    <w:p w14:paraId="0CDA88AA">
      <w:pPr>
        <w:pStyle w:val="10"/>
        <w:spacing w:line="360" w:lineRule="auto"/>
        <w:ind w:firstLine="480"/>
        <w:rPr>
          <w:sz w:val="24"/>
        </w:rPr>
      </w:pPr>
    </w:p>
    <w:p w14:paraId="3EF69ECD">
      <w:pPr>
        <w:pStyle w:val="10"/>
        <w:spacing w:line="360" w:lineRule="auto"/>
        <w:ind w:firstLine="480"/>
        <w:rPr>
          <w:sz w:val="24"/>
        </w:rPr>
      </w:pPr>
      <w:r>
        <w:rPr>
          <w:sz w:val="24"/>
        </w:rPr>
        <w:t>根据《畜禽规模养殖场粪污资源化利用设施建设规范（试行)》第八条规模养殖场干清粪或固液分离后的固体粪便可采用堆肥、沤肥、生产垫料等方式进行处理利用。固体粪便堆肥(生产垫料)宜采用条垛式、槽式、发酵仓、强制通风静态垛等好氧工艺，或其他适用技术，同时配套必要的混合、输送、搅拌、供氧等设施设备。猪场堆肥设施发酵容积不小于0.002 m</w:t>
      </w:r>
      <w:r>
        <w:rPr>
          <w:sz w:val="24"/>
          <w:vertAlign w:val="superscript"/>
        </w:rPr>
        <w:t>3</w:t>
      </w:r>
      <w:r>
        <w:rPr>
          <w:sz w:val="24"/>
        </w:rPr>
        <w:t>×发酵周期(天)×设计存栏量(头)，其它畜禽按GB18596 折算成猪的存栏量计算。</w:t>
      </w:r>
    </w:p>
    <w:p w14:paraId="3FF50B78">
      <w:pPr>
        <w:pStyle w:val="10"/>
        <w:spacing w:line="360" w:lineRule="auto"/>
        <w:ind w:firstLine="480"/>
        <w:rPr>
          <w:sz w:val="24"/>
        </w:rPr>
      </w:pPr>
      <w:r>
        <w:rPr>
          <w:sz w:val="24"/>
        </w:rPr>
        <w:t>本项目猪粪发酵周期15d左右，根据调查，公司苹果园每年施肥4次，按每季度施肥1次计算，则猪粪发酵后需在堆肥发酵场内暂存91d，则项目堆肥发酵场容积可行性计算如下：</w:t>
      </w:r>
    </w:p>
    <w:p w14:paraId="196C2852">
      <w:pPr>
        <w:pStyle w:val="10"/>
        <w:spacing w:line="360" w:lineRule="auto"/>
        <w:ind w:firstLine="482"/>
        <w:jc w:val="center"/>
        <w:rPr>
          <w:b/>
          <w:bCs/>
          <w:sz w:val="24"/>
        </w:rPr>
      </w:pPr>
      <w:r>
        <w:rPr>
          <w:b/>
          <w:bCs/>
          <w:sz w:val="24"/>
        </w:rPr>
        <w:t>表7.2-3 堆肥场容积合理性分析表</w:t>
      </w:r>
    </w:p>
    <w:tbl>
      <w:tblPr>
        <w:tblStyle w:val="87"/>
        <w:tblW w:w="8434" w:type="dxa"/>
        <w:tblInd w:w="93" w:type="dxa"/>
        <w:tblLayout w:type="autofit"/>
        <w:tblCellMar>
          <w:top w:w="0" w:type="dxa"/>
          <w:left w:w="108" w:type="dxa"/>
          <w:bottom w:w="0" w:type="dxa"/>
          <w:right w:w="108" w:type="dxa"/>
        </w:tblCellMar>
      </w:tblPr>
      <w:tblGrid>
        <w:gridCol w:w="1007"/>
        <w:gridCol w:w="2392"/>
        <w:gridCol w:w="1007"/>
        <w:gridCol w:w="1007"/>
        <w:gridCol w:w="1007"/>
        <w:gridCol w:w="1007"/>
        <w:gridCol w:w="1007"/>
      </w:tblGrid>
      <w:tr w14:paraId="6621B0F4">
        <w:tblPrEx>
          <w:tblCellMar>
            <w:top w:w="0" w:type="dxa"/>
            <w:left w:w="108" w:type="dxa"/>
            <w:bottom w:w="0" w:type="dxa"/>
            <w:right w:w="108" w:type="dxa"/>
          </w:tblCellMar>
        </w:tblPrEx>
        <w:trPr>
          <w:trHeight w:val="285" w:hRule="atLeast"/>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486AA91">
            <w:pPr>
              <w:widowControl/>
              <w:jc w:val="center"/>
              <w:textAlignment w:val="center"/>
              <w:rPr>
                <w:kern w:val="0"/>
                <w:szCs w:val="21"/>
                <w:lang w:bidi="ar"/>
              </w:rPr>
            </w:pPr>
            <w:r>
              <w:rPr>
                <w:kern w:val="0"/>
                <w:szCs w:val="21"/>
                <w:lang w:bidi="ar"/>
              </w:rPr>
              <w:t>地块</w:t>
            </w: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3F1C6479">
            <w:pPr>
              <w:widowControl/>
              <w:jc w:val="center"/>
              <w:textAlignment w:val="center"/>
              <w:rPr>
                <w:kern w:val="0"/>
                <w:szCs w:val="21"/>
                <w:lang w:bidi="ar"/>
              </w:rPr>
            </w:pPr>
            <w:r>
              <w:rPr>
                <w:kern w:val="0"/>
                <w:szCs w:val="21"/>
                <w:lang w:bidi="ar"/>
              </w:rPr>
              <w:t>养殖舍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46EF6CA6">
            <w:pPr>
              <w:widowControl/>
              <w:jc w:val="center"/>
              <w:textAlignment w:val="center"/>
              <w:rPr>
                <w:kern w:val="0"/>
                <w:szCs w:val="21"/>
                <w:lang w:bidi="ar"/>
              </w:rPr>
            </w:pPr>
            <w:r>
              <w:rPr>
                <w:kern w:val="0"/>
                <w:szCs w:val="21"/>
                <w:lang w:bidi="ar"/>
              </w:rPr>
              <w:t>存栏量（头）</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EB80733">
            <w:pPr>
              <w:widowControl/>
              <w:jc w:val="center"/>
              <w:textAlignment w:val="center"/>
              <w:rPr>
                <w:kern w:val="0"/>
                <w:szCs w:val="21"/>
                <w:lang w:bidi="ar"/>
              </w:rPr>
            </w:pPr>
            <w:r>
              <w:rPr>
                <w:kern w:val="0"/>
                <w:szCs w:val="21"/>
                <w:lang w:bidi="ar"/>
              </w:rPr>
              <w:t>猪粪暂存时间（d）</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7EA45722">
            <w:pPr>
              <w:widowControl/>
              <w:jc w:val="center"/>
              <w:textAlignment w:val="center"/>
              <w:rPr>
                <w:kern w:val="0"/>
                <w:szCs w:val="21"/>
                <w:lang w:bidi="ar"/>
              </w:rPr>
            </w:pPr>
            <w:r>
              <w:rPr>
                <w:szCs w:val="21"/>
              </w:rPr>
              <w:t>猪场堆肥设施最小发酵容积（m</w:t>
            </w:r>
            <w:r>
              <w:rPr>
                <w:szCs w:val="21"/>
                <w:vertAlign w:val="superscript"/>
              </w:rPr>
              <w:t>3</w:t>
            </w:r>
            <w:r>
              <w:rPr>
                <w:szCs w:val="21"/>
              </w:rPr>
              <w:t>）</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2FB91B5E">
            <w:pPr>
              <w:widowControl/>
              <w:jc w:val="center"/>
              <w:textAlignment w:val="center"/>
              <w:rPr>
                <w:kern w:val="0"/>
                <w:szCs w:val="21"/>
                <w:lang w:bidi="ar"/>
              </w:rPr>
            </w:pPr>
            <w:r>
              <w:rPr>
                <w:szCs w:val="21"/>
              </w:rPr>
              <w:t>猪场堆肥设施</w:t>
            </w:r>
            <w:r>
              <w:rPr>
                <w:kern w:val="0"/>
                <w:szCs w:val="21"/>
                <w:lang w:bidi="ar"/>
              </w:rPr>
              <w:t>实际</w:t>
            </w:r>
            <w:r>
              <w:rPr>
                <w:szCs w:val="21"/>
              </w:rPr>
              <w:t>发酵容积（m</w:t>
            </w:r>
            <w:r>
              <w:rPr>
                <w:szCs w:val="21"/>
                <w:vertAlign w:val="superscript"/>
              </w:rPr>
              <w:t>3</w:t>
            </w:r>
            <w:r>
              <w:rPr>
                <w:szCs w:val="21"/>
              </w:rPr>
              <w:t>）</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1143A757">
            <w:pPr>
              <w:widowControl/>
              <w:jc w:val="center"/>
              <w:textAlignment w:val="center"/>
              <w:rPr>
                <w:szCs w:val="21"/>
              </w:rPr>
            </w:pPr>
            <w:r>
              <w:rPr>
                <w:szCs w:val="21"/>
              </w:rPr>
              <w:t>规模满足情况</w:t>
            </w:r>
          </w:p>
        </w:tc>
      </w:tr>
      <w:tr w14:paraId="46548D8E">
        <w:tblPrEx>
          <w:tblCellMar>
            <w:top w:w="0" w:type="dxa"/>
            <w:left w:w="108" w:type="dxa"/>
            <w:bottom w:w="0" w:type="dxa"/>
            <w:right w:w="108" w:type="dxa"/>
          </w:tblCellMar>
        </w:tblPrEx>
        <w:trPr>
          <w:trHeight w:val="285" w:hRule="atLeast"/>
        </w:trPr>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4FFA93D8">
            <w:pPr>
              <w:widowControl/>
              <w:jc w:val="center"/>
              <w:textAlignment w:val="center"/>
              <w:rPr>
                <w:szCs w:val="21"/>
              </w:rPr>
            </w:pPr>
            <w:r>
              <w:rPr>
                <w:kern w:val="0"/>
                <w:szCs w:val="21"/>
                <w:lang w:bidi="ar"/>
              </w:rPr>
              <w:t>1号地</w:t>
            </w: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563B3A6F">
            <w:pPr>
              <w:widowControl/>
              <w:jc w:val="center"/>
              <w:textAlignment w:val="center"/>
              <w:rPr>
                <w:szCs w:val="21"/>
              </w:rPr>
            </w:pPr>
            <w:r>
              <w:rPr>
                <w:kern w:val="0"/>
                <w:szCs w:val="21"/>
                <w:lang w:bidi="ar"/>
              </w:rPr>
              <w:t>盛丰通风井位置1号舍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733D7418">
            <w:pPr>
              <w:widowControl/>
              <w:jc w:val="center"/>
              <w:textAlignment w:val="center"/>
              <w:rPr>
                <w:szCs w:val="21"/>
              </w:rPr>
            </w:pPr>
            <w:r>
              <w:rPr>
                <w:kern w:val="0"/>
                <w:szCs w:val="21"/>
                <w:lang w:bidi="ar"/>
              </w:rPr>
              <w:t>828</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C841ADA">
            <w:pPr>
              <w:widowControl/>
              <w:jc w:val="center"/>
              <w:textAlignment w:val="center"/>
              <w:rPr>
                <w:kern w:val="0"/>
                <w:szCs w:val="21"/>
                <w:lang w:bidi="ar"/>
              </w:rPr>
            </w:pPr>
            <w:r>
              <w:rPr>
                <w:kern w:val="0"/>
                <w:szCs w:val="21"/>
                <w:lang w:bidi="ar"/>
              </w:rPr>
              <w:t>91</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1ADC0DDD">
            <w:pPr>
              <w:widowControl/>
              <w:jc w:val="center"/>
              <w:textAlignment w:val="center"/>
              <w:rPr>
                <w:szCs w:val="21"/>
              </w:rPr>
            </w:pPr>
            <w:r>
              <w:rPr>
                <w:kern w:val="0"/>
                <w:szCs w:val="21"/>
                <w:lang w:bidi="ar"/>
              </w:rPr>
              <w:t xml:space="preserve">208 </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27ECD367">
            <w:pPr>
              <w:widowControl/>
              <w:jc w:val="center"/>
              <w:textAlignment w:val="center"/>
              <w:rPr>
                <w:szCs w:val="21"/>
              </w:rPr>
            </w:pPr>
            <w:r>
              <w:rPr>
                <w:kern w:val="0"/>
                <w:szCs w:val="21"/>
                <w:lang w:bidi="ar"/>
              </w:rPr>
              <w:t xml:space="preserve">250 </w:t>
            </w:r>
          </w:p>
        </w:tc>
        <w:tc>
          <w:tcPr>
            <w:tcW w:w="1007" w:type="dxa"/>
            <w:vMerge w:val="restart"/>
            <w:tcBorders>
              <w:top w:val="single" w:color="000000" w:sz="4" w:space="0"/>
              <w:left w:val="single" w:color="000000" w:sz="4" w:space="0"/>
              <w:right w:val="single" w:color="000000" w:sz="4" w:space="0"/>
            </w:tcBorders>
            <w:noWrap/>
            <w:vAlign w:val="center"/>
          </w:tcPr>
          <w:p w14:paraId="3701D5C6">
            <w:pPr>
              <w:widowControl/>
              <w:jc w:val="center"/>
              <w:textAlignment w:val="center"/>
              <w:rPr>
                <w:kern w:val="0"/>
                <w:szCs w:val="21"/>
                <w:lang w:bidi="ar"/>
              </w:rPr>
            </w:pPr>
            <w:r>
              <w:rPr>
                <w:szCs w:val="21"/>
              </w:rPr>
              <w:t>满足</w:t>
            </w:r>
          </w:p>
        </w:tc>
      </w:tr>
      <w:tr w14:paraId="1CB3C50B">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22BDC748">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1B964F48">
            <w:pPr>
              <w:widowControl/>
              <w:jc w:val="center"/>
              <w:textAlignment w:val="center"/>
              <w:rPr>
                <w:szCs w:val="21"/>
              </w:rPr>
            </w:pPr>
            <w:r>
              <w:rPr>
                <w:kern w:val="0"/>
                <w:szCs w:val="21"/>
                <w:lang w:bidi="ar"/>
              </w:rPr>
              <w:t>盛丰通风井位置2号舍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7E2E50FC">
            <w:pPr>
              <w:widowControl/>
              <w:jc w:val="center"/>
              <w:textAlignment w:val="center"/>
              <w:rPr>
                <w:szCs w:val="21"/>
              </w:rPr>
            </w:pPr>
            <w:r>
              <w:rPr>
                <w:kern w:val="0"/>
                <w:szCs w:val="21"/>
                <w:lang w:bidi="ar"/>
              </w:rPr>
              <w:t>315</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2DC49DE8">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2A699121">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647B746">
            <w:pPr>
              <w:jc w:val="center"/>
              <w:rPr>
                <w:szCs w:val="21"/>
              </w:rPr>
            </w:pPr>
          </w:p>
        </w:tc>
        <w:tc>
          <w:tcPr>
            <w:tcW w:w="1007" w:type="dxa"/>
            <w:vMerge w:val="continue"/>
            <w:tcBorders>
              <w:left w:val="single" w:color="000000" w:sz="4" w:space="0"/>
              <w:bottom w:val="single" w:color="000000" w:sz="4" w:space="0"/>
              <w:right w:val="single" w:color="000000" w:sz="4" w:space="0"/>
            </w:tcBorders>
            <w:noWrap/>
            <w:vAlign w:val="center"/>
          </w:tcPr>
          <w:p w14:paraId="3FD510D3">
            <w:pPr>
              <w:jc w:val="center"/>
              <w:rPr>
                <w:szCs w:val="21"/>
              </w:rPr>
            </w:pPr>
          </w:p>
        </w:tc>
      </w:tr>
      <w:tr w14:paraId="77ACE1D6">
        <w:trPr>
          <w:trHeight w:val="285" w:hRule="atLeast"/>
        </w:trPr>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67A0077A">
            <w:pPr>
              <w:widowControl/>
              <w:jc w:val="center"/>
              <w:textAlignment w:val="center"/>
              <w:rPr>
                <w:szCs w:val="21"/>
              </w:rPr>
            </w:pPr>
            <w:r>
              <w:rPr>
                <w:kern w:val="0"/>
                <w:szCs w:val="21"/>
                <w:lang w:bidi="ar"/>
              </w:rPr>
              <w:t>2号地</w:t>
            </w: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485271B3">
            <w:pPr>
              <w:widowControl/>
              <w:jc w:val="center"/>
              <w:textAlignment w:val="center"/>
              <w:rPr>
                <w:szCs w:val="21"/>
              </w:rPr>
            </w:pPr>
            <w:r>
              <w:rPr>
                <w:kern w:val="0"/>
                <w:szCs w:val="21"/>
                <w:lang w:bidi="ar"/>
              </w:rPr>
              <w:t>盛丰焦化楼位置1号舍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27E65D16">
            <w:pPr>
              <w:widowControl/>
              <w:jc w:val="center"/>
              <w:textAlignment w:val="center"/>
              <w:rPr>
                <w:szCs w:val="21"/>
              </w:rPr>
            </w:pPr>
            <w:r>
              <w:rPr>
                <w:kern w:val="0"/>
                <w:szCs w:val="21"/>
                <w:lang w:bidi="ar"/>
              </w:rPr>
              <w:t>643</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21007351">
            <w:pPr>
              <w:widowControl/>
              <w:jc w:val="center"/>
              <w:textAlignment w:val="center"/>
              <w:rPr>
                <w:kern w:val="0"/>
                <w:szCs w:val="21"/>
                <w:lang w:bidi="ar"/>
              </w:rPr>
            </w:pPr>
            <w:r>
              <w:rPr>
                <w:kern w:val="0"/>
                <w:szCs w:val="21"/>
                <w:lang w:bidi="ar"/>
              </w:rPr>
              <w:t>91</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4D0B5BBC">
            <w:pPr>
              <w:widowControl/>
              <w:jc w:val="center"/>
              <w:textAlignment w:val="center"/>
              <w:rPr>
                <w:szCs w:val="21"/>
              </w:rPr>
            </w:pPr>
            <w:r>
              <w:rPr>
                <w:kern w:val="0"/>
                <w:szCs w:val="21"/>
                <w:lang w:bidi="ar"/>
              </w:rPr>
              <w:t xml:space="preserve">440 </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3F935E26">
            <w:pPr>
              <w:widowControl/>
              <w:jc w:val="center"/>
              <w:textAlignment w:val="center"/>
              <w:rPr>
                <w:szCs w:val="21"/>
              </w:rPr>
            </w:pPr>
            <w:r>
              <w:rPr>
                <w:kern w:val="0"/>
                <w:szCs w:val="21"/>
                <w:lang w:bidi="ar"/>
              </w:rPr>
              <w:t xml:space="preserve">500 </w:t>
            </w:r>
          </w:p>
        </w:tc>
        <w:tc>
          <w:tcPr>
            <w:tcW w:w="1007" w:type="dxa"/>
            <w:vMerge w:val="restart"/>
            <w:tcBorders>
              <w:top w:val="single" w:color="000000" w:sz="4" w:space="0"/>
              <w:left w:val="single" w:color="000000" w:sz="4" w:space="0"/>
              <w:right w:val="single" w:color="000000" w:sz="4" w:space="0"/>
            </w:tcBorders>
            <w:noWrap/>
            <w:vAlign w:val="center"/>
          </w:tcPr>
          <w:p w14:paraId="03B9CA85">
            <w:pPr>
              <w:widowControl/>
              <w:jc w:val="center"/>
              <w:textAlignment w:val="center"/>
              <w:rPr>
                <w:kern w:val="0"/>
                <w:szCs w:val="21"/>
                <w:lang w:bidi="ar"/>
              </w:rPr>
            </w:pPr>
            <w:r>
              <w:rPr>
                <w:szCs w:val="21"/>
              </w:rPr>
              <w:t>满足</w:t>
            </w:r>
          </w:p>
        </w:tc>
      </w:tr>
      <w:tr w14:paraId="0CD29157">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922B1CD">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094DCCCB">
            <w:pPr>
              <w:widowControl/>
              <w:jc w:val="center"/>
              <w:textAlignment w:val="center"/>
              <w:rPr>
                <w:szCs w:val="21"/>
              </w:rPr>
            </w:pPr>
            <w:r>
              <w:rPr>
                <w:kern w:val="0"/>
                <w:szCs w:val="21"/>
                <w:lang w:bidi="ar"/>
              </w:rPr>
              <w:t>盛丰焦化楼位置2号舍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373D2214">
            <w:pPr>
              <w:widowControl/>
              <w:jc w:val="center"/>
              <w:textAlignment w:val="center"/>
              <w:rPr>
                <w:szCs w:val="21"/>
              </w:rPr>
            </w:pPr>
            <w:r>
              <w:rPr>
                <w:kern w:val="0"/>
                <w:szCs w:val="21"/>
                <w:lang w:bidi="ar"/>
              </w:rPr>
              <w:t>896</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2132A62">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45DE4BB7">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7B7B049B">
            <w:pPr>
              <w:jc w:val="center"/>
              <w:rPr>
                <w:szCs w:val="21"/>
              </w:rPr>
            </w:pPr>
          </w:p>
        </w:tc>
        <w:tc>
          <w:tcPr>
            <w:tcW w:w="1007" w:type="dxa"/>
            <w:vMerge w:val="continue"/>
            <w:tcBorders>
              <w:left w:val="single" w:color="000000" w:sz="4" w:space="0"/>
              <w:right w:val="single" w:color="000000" w:sz="4" w:space="0"/>
            </w:tcBorders>
            <w:noWrap/>
            <w:vAlign w:val="center"/>
          </w:tcPr>
          <w:p w14:paraId="573D32C6">
            <w:pPr>
              <w:jc w:val="center"/>
              <w:rPr>
                <w:szCs w:val="21"/>
              </w:rPr>
            </w:pPr>
          </w:p>
        </w:tc>
      </w:tr>
      <w:tr w14:paraId="688FF53A">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7C235BDF">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3B9A9BC3">
            <w:pPr>
              <w:widowControl/>
              <w:jc w:val="center"/>
              <w:textAlignment w:val="center"/>
              <w:rPr>
                <w:szCs w:val="21"/>
              </w:rPr>
            </w:pPr>
            <w:r>
              <w:rPr>
                <w:kern w:val="0"/>
                <w:szCs w:val="21"/>
                <w:lang w:bidi="ar"/>
              </w:rPr>
              <w:t>球场位置1单元</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3BF4B590">
            <w:pPr>
              <w:widowControl/>
              <w:jc w:val="center"/>
              <w:textAlignment w:val="center"/>
              <w:rPr>
                <w:szCs w:val="21"/>
              </w:rPr>
            </w:pPr>
            <w:r>
              <w:rPr>
                <w:kern w:val="0"/>
                <w:szCs w:val="21"/>
                <w:lang w:bidi="ar"/>
              </w:rPr>
              <w:t>326</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33C518F6">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1988189F">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1848475">
            <w:pPr>
              <w:jc w:val="center"/>
              <w:rPr>
                <w:szCs w:val="21"/>
              </w:rPr>
            </w:pPr>
          </w:p>
        </w:tc>
        <w:tc>
          <w:tcPr>
            <w:tcW w:w="1007" w:type="dxa"/>
            <w:vMerge w:val="continue"/>
            <w:tcBorders>
              <w:left w:val="single" w:color="000000" w:sz="4" w:space="0"/>
              <w:right w:val="single" w:color="000000" w:sz="4" w:space="0"/>
            </w:tcBorders>
            <w:noWrap/>
            <w:vAlign w:val="center"/>
          </w:tcPr>
          <w:p w14:paraId="37C8F3E9">
            <w:pPr>
              <w:jc w:val="center"/>
              <w:rPr>
                <w:szCs w:val="21"/>
              </w:rPr>
            </w:pPr>
          </w:p>
        </w:tc>
      </w:tr>
      <w:tr w14:paraId="457F7EF4">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0FDB45E4">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2EA2C857">
            <w:pPr>
              <w:widowControl/>
              <w:jc w:val="center"/>
              <w:textAlignment w:val="center"/>
              <w:rPr>
                <w:szCs w:val="21"/>
              </w:rPr>
            </w:pPr>
            <w:r>
              <w:rPr>
                <w:kern w:val="0"/>
                <w:szCs w:val="21"/>
                <w:lang w:bidi="ar"/>
              </w:rPr>
              <w:t>球场位置2单元</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55935112">
            <w:pPr>
              <w:widowControl/>
              <w:jc w:val="center"/>
              <w:textAlignment w:val="center"/>
              <w:rPr>
                <w:szCs w:val="21"/>
              </w:rPr>
            </w:pPr>
            <w:r>
              <w:rPr>
                <w:kern w:val="0"/>
                <w:szCs w:val="21"/>
                <w:lang w:bidi="ar"/>
              </w:rPr>
              <w:t>268</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FB7538A">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7B353586">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3AD738C8">
            <w:pPr>
              <w:jc w:val="center"/>
              <w:rPr>
                <w:szCs w:val="21"/>
              </w:rPr>
            </w:pPr>
          </w:p>
        </w:tc>
        <w:tc>
          <w:tcPr>
            <w:tcW w:w="1007" w:type="dxa"/>
            <w:vMerge w:val="continue"/>
            <w:tcBorders>
              <w:left w:val="single" w:color="000000" w:sz="4" w:space="0"/>
              <w:right w:val="single" w:color="000000" w:sz="4" w:space="0"/>
            </w:tcBorders>
            <w:noWrap/>
            <w:vAlign w:val="center"/>
          </w:tcPr>
          <w:p w14:paraId="4394C363">
            <w:pPr>
              <w:jc w:val="center"/>
              <w:rPr>
                <w:szCs w:val="21"/>
              </w:rPr>
            </w:pPr>
          </w:p>
        </w:tc>
      </w:tr>
      <w:tr w14:paraId="6FFA61E8">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1E3C14CB">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1B852897">
            <w:pPr>
              <w:widowControl/>
              <w:jc w:val="center"/>
              <w:textAlignment w:val="center"/>
              <w:rPr>
                <w:szCs w:val="21"/>
              </w:rPr>
            </w:pPr>
            <w:r>
              <w:rPr>
                <w:kern w:val="0"/>
                <w:szCs w:val="21"/>
                <w:lang w:bidi="ar"/>
              </w:rPr>
              <w:t>球场位置3单元</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6673B4BE">
            <w:pPr>
              <w:widowControl/>
              <w:jc w:val="center"/>
              <w:textAlignment w:val="center"/>
              <w:rPr>
                <w:szCs w:val="21"/>
              </w:rPr>
            </w:pPr>
            <w:r>
              <w:rPr>
                <w:kern w:val="0"/>
                <w:szCs w:val="21"/>
                <w:lang w:bidi="ar"/>
              </w:rPr>
              <w:t>287</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7F97EC8B">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54C5CFF7">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3781C3ED">
            <w:pPr>
              <w:jc w:val="center"/>
              <w:rPr>
                <w:szCs w:val="21"/>
              </w:rPr>
            </w:pPr>
          </w:p>
        </w:tc>
        <w:tc>
          <w:tcPr>
            <w:tcW w:w="1007" w:type="dxa"/>
            <w:vMerge w:val="continue"/>
            <w:tcBorders>
              <w:left w:val="single" w:color="000000" w:sz="4" w:space="0"/>
              <w:bottom w:val="single" w:color="000000" w:sz="4" w:space="0"/>
              <w:right w:val="single" w:color="000000" w:sz="4" w:space="0"/>
            </w:tcBorders>
            <w:noWrap/>
            <w:vAlign w:val="center"/>
          </w:tcPr>
          <w:p w14:paraId="4071D9BA">
            <w:pPr>
              <w:jc w:val="center"/>
              <w:rPr>
                <w:szCs w:val="21"/>
              </w:rPr>
            </w:pPr>
          </w:p>
        </w:tc>
      </w:tr>
      <w:tr w14:paraId="498589FA">
        <w:tblPrEx>
          <w:tblCellMar>
            <w:top w:w="0" w:type="dxa"/>
            <w:left w:w="108" w:type="dxa"/>
            <w:bottom w:w="0" w:type="dxa"/>
            <w:right w:w="108" w:type="dxa"/>
          </w:tblCellMar>
        </w:tblPrEx>
        <w:trPr>
          <w:trHeight w:val="285" w:hRule="atLeast"/>
        </w:trPr>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2764BCCA">
            <w:pPr>
              <w:widowControl/>
              <w:jc w:val="center"/>
              <w:textAlignment w:val="center"/>
              <w:rPr>
                <w:szCs w:val="21"/>
              </w:rPr>
            </w:pPr>
            <w:r>
              <w:rPr>
                <w:kern w:val="0"/>
                <w:szCs w:val="21"/>
                <w:lang w:bidi="ar"/>
              </w:rPr>
              <w:t>3号地</w:t>
            </w: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16F7E549">
            <w:pPr>
              <w:widowControl/>
              <w:jc w:val="center"/>
              <w:textAlignment w:val="center"/>
              <w:rPr>
                <w:szCs w:val="21"/>
              </w:rPr>
            </w:pPr>
            <w:r>
              <w:rPr>
                <w:kern w:val="0"/>
                <w:szCs w:val="21"/>
                <w:lang w:bidi="ar"/>
              </w:rPr>
              <w:t>老井位置1号舍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480065D0">
            <w:pPr>
              <w:widowControl/>
              <w:jc w:val="center"/>
              <w:textAlignment w:val="center"/>
              <w:rPr>
                <w:szCs w:val="21"/>
              </w:rPr>
            </w:pPr>
            <w:r>
              <w:rPr>
                <w:kern w:val="0"/>
                <w:szCs w:val="21"/>
                <w:lang w:bidi="ar"/>
              </w:rPr>
              <w:t>537</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765836E3">
            <w:pPr>
              <w:widowControl/>
              <w:jc w:val="center"/>
              <w:textAlignment w:val="center"/>
              <w:rPr>
                <w:kern w:val="0"/>
                <w:szCs w:val="21"/>
                <w:lang w:bidi="ar"/>
              </w:rPr>
            </w:pPr>
            <w:r>
              <w:rPr>
                <w:kern w:val="0"/>
                <w:szCs w:val="21"/>
                <w:lang w:bidi="ar"/>
              </w:rPr>
              <w:t>91</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2F74127E">
            <w:pPr>
              <w:widowControl/>
              <w:jc w:val="center"/>
              <w:textAlignment w:val="center"/>
              <w:rPr>
                <w:szCs w:val="21"/>
              </w:rPr>
            </w:pPr>
            <w:r>
              <w:rPr>
                <w:kern w:val="0"/>
                <w:szCs w:val="21"/>
                <w:lang w:bidi="ar"/>
              </w:rPr>
              <w:t xml:space="preserve">196 </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1E5A1392">
            <w:pPr>
              <w:widowControl/>
              <w:jc w:val="center"/>
              <w:textAlignment w:val="center"/>
              <w:rPr>
                <w:szCs w:val="21"/>
              </w:rPr>
            </w:pPr>
            <w:r>
              <w:rPr>
                <w:kern w:val="0"/>
                <w:szCs w:val="21"/>
                <w:lang w:bidi="ar"/>
              </w:rPr>
              <w:t xml:space="preserve">250 </w:t>
            </w:r>
          </w:p>
        </w:tc>
        <w:tc>
          <w:tcPr>
            <w:tcW w:w="1007" w:type="dxa"/>
            <w:vMerge w:val="restart"/>
            <w:tcBorders>
              <w:top w:val="single" w:color="000000" w:sz="4" w:space="0"/>
              <w:left w:val="single" w:color="000000" w:sz="4" w:space="0"/>
              <w:right w:val="single" w:color="000000" w:sz="4" w:space="0"/>
            </w:tcBorders>
            <w:noWrap/>
            <w:vAlign w:val="center"/>
          </w:tcPr>
          <w:p w14:paraId="29591C81">
            <w:pPr>
              <w:widowControl/>
              <w:jc w:val="center"/>
              <w:textAlignment w:val="center"/>
              <w:rPr>
                <w:kern w:val="0"/>
                <w:szCs w:val="21"/>
                <w:lang w:bidi="ar"/>
              </w:rPr>
            </w:pPr>
            <w:r>
              <w:rPr>
                <w:szCs w:val="21"/>
              </w:rPr>
              <w:t>满足</w:t>
            </w:r>
          </w:p>
        </w:tc>
      </w:tr>
      <w:tr w14:paraId="5652C485">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26EB9227">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251EF544">
            <w:pPr>
              <w:widowControl/>
              <w:jc w:val="center"/>
              <w:textAlignment w:val="center"/>
              <w:rPr>
                <w:szCs w:val="21"/>
              </w:rPr>
            </w:pPr>
            <w:r>
              <w:rPr>
                <w:kern w:val="0"/>
                <w:szCs w:val="21"/>
                <w:lang w:bidi="ar"/>
              </w:rPr>
              <w:t>老井位置2号舍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6CB4D5AF">
            <w:pPr>
              <w:widowControl/>
              <w:jc w:val="center"/>
              <w:textAlignment w:val="center"/>
              <w:rPr>
                <w:szCs w:val="21"/>
              </w:rPr>
            </w:pPr>
            <w:r>
              <w:rPr>
                <w:kern w:val="0"/>
                <w:szCs w:val="21"/>
                <w:lang w:bidi="ar"/>
              </w:rPr>
              <w:t>537</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5E89D83A">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3F758E9B">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0A6A6B7D">
            <w:pPr>
              <w:jc w:val="center"/>
              <w:rPr>
                <w:szCs w:val="21"/>
              </w:rPr>
            </w:pPr>
          </w:p>
        </w:tc>
        <w:tc>
          <w:tcPr>
            <w:tcW w:w="1007" w:type="dxa"/>
            <w:vMerge w:val="continue"/>
            <w:tcBorders>
              <w:left w:val="single" w:color="000000" w:sz="4" w:space="0"/>
              <w:bottom w:val="single" w:color="000000" w:sz="4" w:space="0"/>
              <w:right w:val="single" w:color="000000" w:sz="4" w:space="0"/>
            </w:tcBorders>
            <w:noWrap/>
            <w:vAlign w:val="center"/>
          </w:tcPr>
          <w:p w14:paraId="2063F8D8">
            <w:pPr>
              <w:jc w:val="center"/>
              <w:rPr>
                <w:szCs w:val="21"/>
              </w:rPr>
            </w:pPr>
          </w:p>
        </w:tc>
      </w:tr>
      <w:tr w14:paraId="6B4E26B3">
        <w:tblPrEx>
          <w:tblCellMar>
            <w:top w:w="0" w:type="dxa"/>
            <w:left w:w="108" w:type="dxa"/>
            <w:bottom w:w="0" w:type="dxa"/>
            <w:right w:w="108" w:type="dxa"/>
          </w:tblCellMar>
        </w:tblPrEx>
        <w:trPr>
          <w:trHeight w:val="285" w:hRule="atLeast"/>
        </w:trPr>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754450B1">
            <w:pPr>
              <w:widowControl/>
              <w:jc w:val="center"/>
              <w:textAlignment w:val="center"/>
              <w:rPr>
                <w:szCs w:val="21"/>
              </w:rPr>
            </w:pPr>
            <w:r>
              <w:rPr>
                <w:kern w:val="0"/>
                <w:szCs w:val="21"/>
                <w:lang w:bidi="ar"/>
              </w:rPr>
              <w:t>4号地</w:t>
            </w: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4C4A0853">
            <w:pPr>
              <w:widowControl/>
              <w:jc w:val="center"/>
              <w:textAlignment w:val="center"/>
              <w:rPr>
                <w:szCs w:val="21"/>
              </w:rPr>
            </w:pPr>
            <w:r>
              <w:rPr>
                <w:kern w:val="0"/>
                <w:szCs w:val="21"/>
                <w:lang w:bidi="ar"/>
              </w:rPr>
              <w:t>鑫旺板块1号舍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68E6767D">
            <w:pPr>
              <w:widowControl/>
              <w:jc w:val="center"/>
              <w:textAlignment w:val="center"/>
              <w:rPr>
                <w:szCs w:val="21"/>
              </w:rPr>
            </w:pPr>
            <w:r>
              <w:rPr>
                <w:kern w:val="0"/>
                <w:szCs w:val="21"/>
                <w:lang w:bidi="ar"/>
              </w:rPr>
              <w:t>896</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5A36C61C">
            <w:pPr>
              <w:widowControl/>
              <w:jc w:val="center"/>
              <w:textAlignment w:val="center"/>
              <w:rPr>
                <w:kern w:val="0"/>
                <w:szCs w:val="21"/>
                <w:lang w:bidi="ar"/>
              </w:rPr>
            </w:pPr>
            <w:r>
              <w:rPr>
                <w:kern w:val="0"/>
                <w:szCs w:val="21"/>
                <w:lang w:bidi="ar"/>
              </w:rPr>
              <w:t>91</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3F8F8AED">
            <w:pPr>
              <w:widowControl/>
              <w:jc w:val="center"/>
              <w:textAlignment w:val="center"/>
              <w:rPr>
                <w:szCs w:val="21"/>
              </w:rPr>
            </w:pPr>
            <w:r>
              <w:rPr>
                <w:kern w:val="0"/>
                <w:szCs w:val="21"/>
                <w:lang w:bidi="ar"/>
              </w:rPr>
              <w:t xml:space="preserve">476 </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73A17E16">
            <w:pPr>
              <w:widowControl/>
              <w:jc w:val="center"/>
              <w:textAlignment w:val="center"/>
              <w:rPr>
                <w:szCs w:val="21"/>
              </w:rPr>
            </w:pPr>
            <w:r>
              <w:rPr>
                <w:kern w:val="0"/>
                <w:szCs w:val="21"/>
                <w:lang w:bidi="ar"/>
              </w:rPr>
              <w:t xml:space="preserve">500 </w:t>
            </w:r>
          </w:p>
        </w:tc>
        <w:tc>
          <w:tcPr>
            <w:tcW w:w="1007" w:type="dxa"/>
            <w:vMerge w:val="restart"/>
            <w:tcBorders>
              <w:top w:val="single" w:color="000000" w:sz="4" w:space="0"/>
              <w:left w:val="single" w:color="000000" w:sz="4" w:space="0"/>
              <w:right w:val="single" w:color="000000" w:sz="4" w:space="0"/>
            </w:tcBorders>
            <w:noWrap/>
            <w:vAlign w:val="center"/>
          </w:tcPr>
          <w:p w14:paraId="5EEEFC43">
            <w:pPr>
              <w:widowControl/>
              <w:jc w:val="center"/>
              <w:textAlignment w:val="center"/>
              <w:rPr>
                <w:kern w:val="0"/>
                <w:szCs w:val="21"/>
                <w:lang w:bidi="ar"/>
              </w:rPr>
            </w:pPr>
            <w:r>
              <w:rPr>
                <w:szCs w:val="21"/>
              </w:rPr>
              <w:t>满足</w:t>
            </w:r>
          </w:p>
        </w:tc>
      </w:tr>
      <w:tr w14:paraId="726F2685">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5540B576">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1930A579">
            <w:pPr>
              <w:widowControl/>
              <w:jc w:val="center"/>
              <w:textAlignment w:val="center"/>
              <w:rPr>
                <w:szCs w:val="21"/>
              </w:rPr>
            </w:pPr>
            <w:r>
              <w:rPr>
                <w:kern w:val="0"/>
                <w:szCs w:val="21"/>
                <w:lang w:bidi="ar"/>
              </w:rPr>
              <w:t>鑫旺板块2号舍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5D08A440">
            <w:pPr>
              <w:widowControl/>
              <w:jc w:val="center"/>
              <w:textAlignment w:val="center"/>
              <w:rPr>
                <w:szCs w:val="21"/>
              </w:rPr>
            </w:pPr>
            <w:r>
              <w:rPr>
                <w:kern w:val="0"/>
                <w:szCs w:val="21"/>
                <w:lang w:bidi="ar"/>
              </w:rPr>
              <w:t>896</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18F328B1">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19EA4A56">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0D1E1BCD">
            <w:pPr>
              <w:jc w:val="center"/>
              <w:rPr>
                <w:szCs w:val="21"/>
              </w:rPr>
            </w:pPr>
          </w:p>
        </w:tc>
        <w:tc>
          <w:tcPr>
            <w:tcW w:w="1007" w:type="dxa"/>
            <w:vMerge w:val="continue"/>
            <w:tcBorders>
              <w:left w:val="single" w:color="000000" w:sz="4" w:space="0"/>
              <w:right w:val="single" w:color="000000" w:sz="4" w:space="0"/>
            </w:tcBorders>
            <w:noWrap/>
            <w:vAlign w:val="center"/>
          </w:tcPr>
          <w:p w14:paraId="44BD6873">
            <w:pPr>
              <w:jc w:val="center"/>
              <w:rPr>
                <w:szCs w:val="21"/>
              </w:rPr>
            </w:pPr>
          </w:p>
        </w:tc>
      </w:tr>
      <w:tr w14:paraId="67745601">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4E08D343">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3E194D1E">
            <w:pPr>
              <w:widowControl/>
              <w:jc w:val="center"/>
              <w:textAlignment w:val="center"/>
              <w:rPr>
                <w:szCs w:val="21"/>
              </w:rPr>
            </w:pPr>
            <w:r>
              <w:rPr>
                <w:kern w:val="0"/>
                <w:szCs w:val="21"/>
                <w:lang w:bidi="ar"/>
              </w:rPr>
              <w:t>鑫旺板块3号舍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1A788B63">
            <w:pPr>
              <w:widowControl/>
              <w:jc w:val="center"/>
              <w:textAlignment w:val="center"/>
              <w:rPr>
                <w:szCs w:val="21"/>
              </w:rPr>
            </w:pPr>
            <w:r>
              <w:rPr>
                <w:kern w:val="0"/>
                <w:szCs w:val="21"/>
                <w:lang w:bidi="ar"/>
              </w:rPr>
              <w:t>824</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544B7CD0">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0927F412">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50C8E56">
            <w:pPr>
              <w:jc w:val="center"/>
              <w:rPr>
                <w:szCs w:val="21"/>
              </w:rPr>
            </w:pPr>
          </w:p>
        </w:tc>
        <w:tc>
          <w:tcPr>
            <w:tcW w:w="1007" w:type="dxa"/>
            <w:vMerge w:val="continue"/>
            <w:tcBorders>
              <w:left w:val="single" w:color="000000" w:sz="4" w:space="0"/>
              <w:bottom w:val="single" w:color="000000" w:sz="4" w:space="0"/>
              <w:right w:val="single" w:color="000000" w:sz="4" w:space="0"/>
            </w:tcBorders>
            <w:noWrap/>
            <w:vAlign w:val="center"/>
          </w:tcPr>
          <w:p w14:paraId="40830AB6">
            <w:pPr>
              <w:jc w:val="center"/>
              <w:rPr>
                <w:szCs w:val="21"/>
              </w:rPr>
            </w:pPr>
          </w:p>
        </w:tc>
      </w:tr>
      <w:tr w14:paraId="284BCDBB">
        <w:tblPrEx>
          <w:tblCellMar>
            <w:top w:w="0" w:type="dxa"/>
            <w:left w:w="108" w:type="dxa"/>
            <w:bottom w:w="0" w:type="dxa"/>
            <w:right w:w="108" w:type="dxa"/>
          </w:tblCellMar>
        </w:tblPrEx>
        <w:trPr>
          <w:trHeight w:val="285" w:hRule="atLeast"/>
        </w:trPr>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731F6A64">
            <w:pPr>
              <w:widowControl/>
              <w:jc w:val="center"/>
              <w:textAlignment w:val="center"/>
              <w:rPr>
                <w:szCs w:val="21"/>
              </w:rPr>
            </w:pPr>
            <w:r>
              <w:rPr>
                <w:kern w:val="0"/>
                <w:szCs w:val="21"/>
                <w:lang w:bidi="ar"/>
              </w:rPr>
              <w:t>5号地</w:t>
            </w: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57EF7C2F">
            <w:pPr>
              <w:widowControl/>
              <w:jc w:val="center"/>
              <w:textAlignment w:val="center"/>
              <w:rPr>
                <w:szCs w:val="21"/>
              </w:rPr>
            </w:pPr>
            <w:r>
              <w:rPr>
                <w:kern w:val="0"/>
                <w:szCs w:val="21"/>
                <w:lang w:bidi="ar"/>
              </w:rPr>
              <w:t>大河边篮球场位置猪舍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12E6D14C">
            <w:pPr>
              <w:widowControl/>
              <w:jc w:val="center"/>
              <w:textAlignment w:val="center"/>
              <w:rPr>
                <w:szCs w:val="21"/>
              </w:rPr>
            </w:pPr>
            <w:r>
              <w:rPr>
                <w:kern w:val="0"/>
                <w:szCs w:val="21"/>
                <w:lang w:bidi="ar"/>
              </w:rPr>
              <w:t>742</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599D1B68">
            <w:pPr>
              <w:widowControl/>
              <w:jc w:val="center"/>
              <w:textAlignment w:val="center"/>
              <w:rPr>
                <w:kern w:val="0"/>
                <w:szCs w:val="21"/>
                <w:lang w:bidi="ar"/>
              </w:rPr>
            </w:pPr>
            <w:r>
              <w:rPr>
                <w:kern w:val="0"/>
                <w:szCs w:val="21"/>
                <w:lang w:bidi="ar"/>
              </w:rPr>
              <w:t>91</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78903704">
            <w:pPr>
              <w:widowControl/>
              <w:jc w:val="center"/>
              <w:textAlignment w:val="center"/>
              <w:rPr>
                <w:szCs w:val="21"/>
              </w:rPr>
            </w:pPr>
            <w:r>
              <w:rPr>
                <w:kern w:val="0"/>
                <w:szCs w:val="21"/>
                <w:lang w:bidi="ar"/>
              </w:rPr>
              <w:t xml:space="preserve">373 </w:t>
            </w:r>
          </w:p>
        </w:tc>
        <w:tc>
          <w:tcPr>
            <w:tcW w:w="1007" w:type="dxa"/>
            <w:vMerge w:val="restart"/>
            <w:tcBorders>
              <w:top w:val="single" w:color="000000" w:sz="4" w:space="0"/>
              <w:left w:val="single" w:color="000000" w:sz="4" w:space="0"/>
              <w:bottom w:val="single" w:color="000000" w:sz="4" w:space="0"/>
              <w:right w:val="single" w:color="000000" w:sz="4" w:space="0"/>
            </w:tcBorders>
            <w:noWrap/>
            <w:vAlign w:val="center"/>
          </w:tcPr>
          <w:p w14:paraId="49C08811">
            <w:pPr>
              <w:widowControl/>
              <w:jc w:val="center"/>
              <w:textAlignment w:val="center"/>
              <w:rPr>
                <w:szCs w:val="21"/>
              </w:rPr>
            </w:pPr>
            <w:r>
              <w:rPr>
                <w:kern w:val="0"/>
                <w:szCs w:val="21"/>
                <w:lang w:bidi="ar"/>
              </w:rPr>
              <w:t xml:space="preserve">400 </w:t>
            </w:r>
          </w:p>
        </w:tc>
        <w:tc>
          <w:tcPr>
            <w:tcW w:w="1007" w:type="dxa"/>
            <w:vMerge w:val="restart"/>
            <w:tcBorders>
              <w:top w:val="single" w:color="000000" w:sz="4" w:space="0"/>
              <w:left w:val="single" w:color="000000" w:sz="4" w:space="0"/>
              <w:right w:val="single" w:color="000000" w:sz="4" w:space="0"/>
            </w:tcBorders>
            <w:noWrap/>
            <w:vAlign w:val="center"/>
          </w:tcPr>
          <w:p w14:paraId="71F54662">
            <w:pPr>
              <w:widowControl/>
              <w:jc w:val="center"/>
              <w:textAlignment w:val="center"/>
              <w:rPr>
                <w:kern w:val="0"/>
                <w:szCs w:val="21"/>
                <w:lang w:bidi="ar"/>
              </w:rPr>
            </w:pPr>
            <w:r>
              <w:rPr>
                <w:szCs w:val="21"/>
              </w:rPr>
              <w:t>满足</w:t>
            </w:r>
          </w:p>
        </w:tc>
      </w:tr>
      <w:tr w14:paraId="07A1B291">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6D816B6">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6568995E">
            <w:pPr>
              <w:widowControl/>
              <w:jc w:val="center"/>
              <w:textAlignment w:val="center"/>
              <w:rPr>
                <w:szCs w:val="21"/>
              </w:rPr>
            </w:pPr>
            <w:r>
              <w:rPr>
                <w:kern w:val="0"/>
                <w:szCs w:val="21"/>
                <w:lang w:bidi="ar"/>
              </w:rPr>
              <w:t>大河边上煤仓位置1号舍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F7131D1">
            <w:pPr>
              <w:widowControl/>
              <w:jc w:val="center"/>
              <w:textAlignment w:val="center"/>
              <w:rPr>
                <w:szCs w:val="21"/>
              </w:rPr>
            </w:pPr>
            <w:r>
              <w:rPr>
                <w:kern w:val="0"/>
                <w:szCs w:val="21"/>
                <w:lang w:bidi="ar"/>
              </w:rPr>
              <w:t>305</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115AF85">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561F0C3">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A6F0CB9">
            <w:pPr>
              <w:jc w:val="center"/>
              <w:rPr>
                <w:szCs w:val="21"/>
              </w:rPr>
            </w:pPr>
          </w:p>
        </w:tc>
        <w:tc>
          <w:tcPr>
            <w:tcW w:w="1007" w:type="dxa"/>
            <w:vMerge w:val="continue"/>
            <w:tcBorders>
              <w:left w:val="single" w:color="000000" w:sz="4" w:space="0"/>
              <w:right w:val="single" w:color="000000" w:sz="4" w:space="0"/>
            </w:tcBorders>
            <w:noWrap/>
            <w:vAlign w:val="center"/>
          </w:tcPr>
          <w:p w14:paraId="0A6AEB76">
            <w:pPr>
              <w:jc w:val="center"/>
              <w:rPr>
                <w:szCs w:val="21"/>
              </w:rPr>
            </w:pPr>
          </w:p>
        </w:tc>
      </w:tr>
      <w:tr w14:paraId="03BFA067">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355F274E">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711E2F35">
            <w:pPr>
              <w:widowControl/>
              <w:jc w:val="center"/>
              <w:textAlignment w:val="center"/>
              <w:rPr>
                <w:szCs w:val="21"/>
              </w:rPr>
            </w:pPr>
            <w:r>
              <w:rPr>
                <w:kern w:val="0"/>
                <w:szCs w:val="21"/>
                <w:lang w:bidi="ar"/>
              </w:rPr>
              <w:t>大河边上煤仓位置2号舍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6D96D86C">
            <w:pPr>
              <w:widowControl/>
              <w:jc w:val="center"/>
              <w:textAlignment w:val="center"/>
              <w:rPr>
                <w:szCs w:val="21"/>
              </w:rPr>
            </w:pPr>
            <w:r>
              <w:rPr>
                <w:kern w:val="0"/>
                <w:szCs w:val="21"/>
                <w:lang w:bidi="ar"/>
              </w:rPr>
              <w:t>473</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0B1B18AC">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10CC39F3">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25FAFF52">
            <w:pPr>
              <w:jc w:val="center"/>
              <w:rPr>
                <w:szCs w:val="21"/>
              </w:rPr>
            </w:pPr>
          </w:p>
        </w:tc>
        <w:tc>
          <w:tcPr>
            <w:tcW w:w="1007" w:type="dxa"/>
            <w:vMerge w:val="continue"/>
            <w:tcBorders>
              <w:left w:val="single" w:color="000000" w:sz="4" w:space="0"/>
              <w:right w:val="single" w:color="000000" w:sz="4" w:space="0"/>
            </w:tcBorders>
            <w:noWrap/>
            <w:vAlign w:val="center"/>
          </w:tcPr>
          <w:p w14:paraId="7D61AA95">
            <w:pPr>
              <w:jc w:val="center"/>
              <w:rPr>
                <w:szCs w:val="21"/>
              </w:rPr>
            </w:pPr>
          </w:p>
        </w:tc>
      </w:tr>
      <w:tr w14:paraId="3733114F">
        <w:tblPrEx>
          <w:tblCellMar>
            <w:top w:w="0" w:type="dxa"/>
            <w:left w:w="108" w:type="dxa"/>
            <w:bottom w:w="0" w:type="dxa"/>
            <w:right w:w="108" w:type="dxa"/>
          </w:tblCellMar>
        </w:tblPrEx>
        <w:trPr>
          <w:trHeight w:val="285" w:hRule="atLeast"/>
        </w:trPr>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3140C5D2">
            <w:pPr>
              <w:jc w:val="center"/>
              <w:rPr>
                <w:szCs w:val="21"/>
              </w:rPr>
            </w:pPr>
          </w:p>
        </w:tc>
        <w:tc>
          <w:tcPr>
            <w:tcW w:w="2392" w:type="dxa"/>
            <w:tcBorders>
              <w:top w:val="single" w:color="000000" w:sz="4" w:space="0"/>
              <w:left w:val="single" w:color="000000" w:sz="4" w:space="0"/>
              <w:bottom w:val="single" w:color="000000" w:sz="4" w:space="0"/>
              <w:right w:val="single" w:color="000000" w:sz="4" w:space="0"/>
            </w:tcBorders>
            <w:noWrap/>
            <w:vAlign w:val="center"/>
          </w:tcPr>
          <w:p w14:paraId="4F4C5DEA">
            <w:pPr>
              <w:widowControl/>
              <w:jc w:val="center"/>
              <w:textAlignment w:val="center"/>
              <w:rPr>
                <w:szCs w:val="21"/>
              </w:rPr>
            </w:pPr>
            <w:r>
              <w:rPr>
                <w:kern w:val="0"/>
                <w:szCs w:val="21"/>
                <w:lang w:bidi="ar"/>
              </w:rPr>
              <w:t>大河边下煤仓位置猪舍</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7320589F">
            <w:pPr>
              <w:widowControl/>
              <w:jc w:val="center"/>
              <w:textAlignment w:val="center"/>
              <w:rPr>
                <w:szCs w:val="21"/>
              </w:rPr>
            </w:pPr>
            <w:r>
              <w:rPr>
                <w:kern w:val="0"/>
                <w:szCs w:val="21"/>
                <w:lang w:bidi="ar"/>
              </w:rPr>
              <w:t>529</w:t>
            </w:r>
          </w:p>
        </w:tc>
        <w:tc>
          <w:tcPr>
            <w:tcW w:w="1007" w:type="dxa"/>
            <w:tcBorders>
              <w:top w:val="single" w:color="000000" w:sz="4" w:space="0"/>
              <w:left w:val="single" w:color="000000" w:sz="4" w:space="0"/>
              <w:bottom w:val="single" w:color="000000" w:sz="4" w:space="0"/>
              <w:right w:val="single" w:color="000000" w:sz="4" w:space="0"/>
            </w:tcBorders>
            <w:noWrap/>
            <w:vAlign w:val="center"/>
          </w:tcPr>
          <w:p w14:paraId="68482A50">
            <w:pPr>
              <w:widowControl/>
              <w:jc w:val="center"/>
              <w:textAlignment w:val="center"/>
              <w:rPr>
                <w:kern w:val="0"/>
                <w:szCs w:val="21"/>
                <w:lang w:bidi="ar"/>
              </w:rPr>
            </w:pPr>
            <w:r>
              <w:rPr>
                <w:kern w:val="0"/>
                <w:szCs w:val="21"/>
                <w:lang w:bidi="ar"/>
              </w:rPr>
              <w:t>91</w:t>
            </w: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7F72075C">
            <w:pPr>
              <w:jc w:val="center"/>
              <w:rPr>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noWrap/>
            <w:vAlign w:val="center"/>
          </w:tcPr>
          <w:p w14:paraId="63316CA9">
            <w:pPr>
              <w:jc w:val="center"/>
              <w:rPr>
                <w:szCs w:val="21"/>
              </w:rPr>
            </w:pPr>
          </w:p>
        </w:tc>
        <w:tc>
          <w:tcPr>
            <w:tcW w:w="1007" w:type="dxa"/>
            <w:vMerge w:val="continue"/>
            <w:tcBorders>
              <w:left w:val="single" w:color="000000" w:sz="4" w:space="0"/>
              <w:bottom w:val="single" w:color="000000" w:sz="4" w:space="0"/>
              <w:right w:val="single" w:color="000000" w:sz="4" w:space="0"/>
            </w:tcBorders>
            <w:noWrap/>
            <w:vAlign w:val="center"/>
          </w:tcPr>
          <w:p w14:paraId="3F4EA613">
            <w:pPr>
              <w:jc w:val="center"/>
              <w:rPr>
                <w:szCs w:val="21"/>
              </w:rPr>
            </w:pPr>
          </w:p>
        </w:tc>
      </w:tr>
    </w:tbl>
    <w:p w14:paraId="6D606CAD">
      <w:pPr>
        <w:pStyle w:val="10"/>
        <w:spacing w:line="360" w:lineRule="auto"/>
        <w:ind w:firstLine="480"/>
        <w:rPr>
          <w:sz w:val="24"/>
        </w:rPr>
      </w:pPr>
      <w:r>
        <w:rPr>
          <w:sz w:val="24"/>
        </w:rPr>
        <w:t>根据上述分析，项目堆肥发酵场的规模设置满足《畜禽规模养殖场粪污资源化利用设施建设规范（试行)》中的要求。</w:t>
      </w:r>
    </w:p>
    <w:p w14:paraId="45A180A1">
      <w:pPr>
        <w:pStyle w:val="8"/>
        <w:ind w:firstLine="562"/>
      </w:pPr>
      <w:r>
        <w:t>7.2.5.3 区域畜禽粪污土地承载力分析</w:t>
      </w:r>
    </w:p>
    <w:p w14:paraId="64B40222">
      <w:pPr>
        <w:pStyle w:val="81"/>
        <w:shd w:val="clear" w:color="auto" w:fill="FFFFFF"/>
        <w:autoSpaceDE w:val="0"/>
        <w:autoSpaceDN w:val="0"/>
        <w:spacing w:before="0" w:beforeAutospacing="0" w:after="0" w:afterAutospacing="0" w:line="360" w:lineRule="auto"/>
        <w:ind w:firstLine="482" w:firstLineChars="200"/>
        <w:jc w:val="both"/>
        <w:rPr>
          <w:rFonts w:ascii="Times New Roman" w:hAnsi="Times New Roman" w:eastAsia="宋体"/>
          <w:color w:val="auto"/>
        </w:rPr>
      </w:pPr>
      <w:r>
        <w:rPr>
          <w:rFonts w:ascii="Times New Roman" w:hAnsi="Times New Roman" w:eastAsia="宋体"/>
          <w:b/>
          <w:bCs/>
          <w:color w:val="auto"/>
          <w:shd w:val="clear" w:color="auto" w:fill="FFFFFF"/>
        </w:rPr>
        <w:t>（1） 区域畜禽粪污土地承载力测算方法</w:t>
      </w:r>
    </w:p>
    <w:p w14:paraId="0E7C1859">
      <w:pPr>
        <w:widowControl/>
        <w:shd w:val="clear" w:color="auto" w:fill="FFFFFF"/>
        <w:autoSpaceDE w:val="0"/>
        <w:autoSpaceDN w:val="0"/>
        <w:spacing w:line="360" w:lineRule="auto"/>
        <w:ind w:firstLine="480" w:firstLineChars="200"/>
        <w:rPr>
          <w:sz w:val="24"/>
        </w:rPr>
      </w:pPr>
      <w:r>
        <w:rPr>
          <w:kern w:val="0"/>
          <w:sz w:val="24"/>
          <w:shd w:val="clear" w:color="auto" w:fill="FFFFFF"/>
          <w:lang w:bidi="ar"/>
        </w:rPr>
        <w:t> 区域畜禽粪污土地承载力等于区域植物粪肥养分需求量除以单位猪当量粪肥养分供给量（以猪当量计）。</w:t>
      </w:r>
    </w:p>
    <w:p w14:paraId="0092D0F3">
      <w:pPr>
        <w:pStyle w:val="81"/>
        <w:shd w:val="clear" w:color="auto" w:fill="FFFFFF"/>
        <w:autoSpaceDE w:val="0"/>
        <w:autoSpaceDN w:val="0"/>
        <w:spacing w:before="0" w:beforeAutospacing="0" w:after="0" w:afterAutospacing="0" w:line="360" w:lineRule="auto"/>
        <w:ind w:firstLine="482" w:firstLineChars="200"/>
        <w:jc w:val="both"/>
        <w:rPr>
          <w:rFonts w:ascii="Times New Roman" w:hAnsi="Times New Roman" w:eastAsia="宋体"/>
          <w:color w:val="auto"/>
        </w:rPr>
      </w:pPr>
      <w:r>
        <w:rPr>
          <w:rFonts w:ascii="Times New Roman" w:hAnsi="Times New Roman" w:eastAsia="宋体"/>
          <w:b/>
          <w:bCs/>
          <w:color w:val="auto"/>
          <w:shd w:val="clear" w:color="auto" w:fill="FFFFFF"/>
        </w:rPr>
        <w:t>（2） 区域植物养分需求量</w:t>
      </w:r>
    </w:p>
    <w:p w14:paraId="41EBE39B">
      <w:pPr>
        <w:widowControl/>
        <w:shd w:val="clear" w:color="auto" w:fill="FFFFFF"/>
        <w:autoSpaceDE w:val="0"/>
        <w:autoSpaceDN w:val="0"/>
        <w:spacing w:line="360" w:lineRule="auto"/>
        <w:ind w:firstLine="480" w:firstLineChars="200"/>
        <w:rPr>
          <w:kern w:val="0"/>
          <w:sz w:val="24"/>
          <w:shd w:val="clear" w:color="auto" w:fill="FFFFFF"/>
          <w:lang w:bidi="ar"/>
        </w:rPr>
      </w:pPr>
      <w:r>
        <w:rPr>
          <w:kern w:val="0"/>
          <w:sz w:val="24"/>
          <w:shd w:val="clear" w:color="auto" w:fill="FFFFFF"/>
          <w:lang w:bidi="ar"/>
        </w:rPr>
        <w:t>根据区域内各类植物（包括作物、人工牧草、人工林地等）的氮（磷）养分需求量测算，计算方法如下：</w:t>
      </w:r>
    </w:p>
    <w:p w14:paraId="59C133E0">
      <w:pPr>
        <w:widowControl/>
        <w:shd w:val="clear" w:color="auto" w:fill="FFFFFF"/>
        <w:autoSpaceDE w:val="0"/>
        <w:autoSpaceDN w:val="0"/>
        <w:spacing w:line="360" w:lineRule="auto"/>
        <w:rPr>
          <w:kern w:val="0"/>
          <w:sz w:val="24"/>
          <w:shd w:val="clear" w:color="auto" w:fill="FFFFFF"/>
          <w:lang w:bidi="ar"/>
        </w:rPr>
      </w:pPr>
      <w:r>
        <w:rPr>
          <w:kern w:val="0"/>
          <w:sz w:val="24"/>
          <w:shd w:val="clear" w:color="auto" w:fill="FFFFFF"/>
          <w:lang w:bidi="ar"/>
        </w:rPr>
        <w:object>
          <v:shape id="_x0000_i1045" o:spt="75" type="#_x0000_t75" style="height:15.3pt;width:438.4pt;" o:ole="t" filled="f" o:preferrelative="t" stroked="f" coordsize="21600,21600">
            <v:path/>
            <v:fill on="f" focussize="0,0"/>
            <v:stroke on="f"/>
            <v:imagedata r:id="rId49" o:title=""/>
            <o:lock v:ext="edit" aspectratio="t"/>
            <w10:wrap type="none"/>
            <w10:anchorlock/>
          </v:shape>
          <o:OLEObject Type="Embed" ProgID="Equation.KSEE3" ShapeID="_x0000_i1045" DrawAspect="Content" ObjectID="_1468075738" r:id="rId48">
            <o:LockedField>false</o:LockedField>
          </o:OLEObject>
        </w:object>
      </w:r>
      <w:r>
        <w:rPr>
          <w:kern w:val="0"/>
          <w:sz w:val="24"/>
          <w:shd w:val="clear" w:color="auto" w:fill="FFFFFF"/>
          <w:lang w:bidi="ar"/>
        </w:rPr>
        <w:t xml:space="preserve">   </w:t>
      </w:r>
    </w:p>
    <w:p w14:paraId="1BEAC696">
      <w:pPr>
        <w:widowControl/>
        <w:shd w:val="clear" w:color="auto" w:fill="FFFFFF"/>
        <w:autoSpaceDE w:val="0"/>
        <w:autoSpaceDN w:val="0"/>
        <w:spacing w:line="360" w:lineRule="auto"/>
        <w:rPr>
          <w:kern w:val="0"/>
          <w:sz w:val="24"/>
          <w:shd w:val="clear" w:color="auto" w:fill="FFFFFF"/>
          <w:lang w:bidi="ar"/>
        </w:rPr>
      </w:pPr>
      <w:r>
        <w:rPr>
          <w:kern w:val="0"/>
          <w:sz w:val="24"/>
          <w:shd w:val="clear" w:color="auto" w:fill="FFFFFF"/>
          <w:lang w:bidi="ar"/>
        </w:rPr>
        <w:t xml:space="preserve"> 不同植物单位产量（单位面积）适宜氮（磷）养分需求量可以通过分析该区域的土壤养分和田间试验获得，本项目主要种植作物为苹果单位产量适宜氮养分需求量取100kg/0.3kg。项目配套种植主要为苹果，共计2800亩（合186.67hm</w:t>
      </w:r>
      <w:r>
        <w:rPr>
          <w:kern w:val="0"/>
          <w:sz w:val="24"/>
          <w:shd w:val="clear" w:color="auto" w:fill="FFFFFF"/>
          <w:vertAlign w:val="superscript"/>
          <w:lang w:bidi="ar"/>
        </w:rPr>
        <w:t>2</w:t>
      </w:r>
      <w:r>
        <w:rPr>
          <w:kern w:val="0"/>
          <w:sz w:val="24"/>
          <w:shd w:val="clear" w:color="auto" w:fill="FFFFFF"/>
          <w:lang w:bidi="ar"/>
        </w:rPr>
        <w:t>），目标产量5600t；区域植物养分需求量为168000kg（氮）</w:t>
      </w:r>
    </w:p>
    <w:p w14:paraId="099A065E">
      <w:pPr>
        <w:pStyle w:val="81"/>
        <w:shd w:val="clear" w:color="auto" w:fill="FFFFFF"/>
        <w:autoSpaceDE w:val="0"/>
        <w:autoSpaceDN w:val="0"/>
        <w:spacing w:before="0" w:beforeAutospacing="0" w:after="0" w:afterAutospacing="0" w:line="360" w:lineRule="auto"/>
        <w:ind w:firstLine="482" w:firstLineChars="200"/>
        <w:jc w:val="both"/>
        <w:rPr>
          <w:rFonts w:ascii="Times New Roman" w:hAnsi="Times New Roman" w:eastAsia="宋体"/>
          <w:color w:val="auto"/>
        </w:rPr>
      </w:pPr>
      <w:r>
        <w:rPr>
          <w:rFonts w:ascii="Times New Roman" w:hAnsi="Times New Roman" w:eastAsia="宋体"/>
          <w:b/>
          <w:bCs/>
          <w:color w:val="auto"/>
          <w:shd w:val="clear" w:color="auto" w:fill="FFFFFF"/>
        </w:rPr>
        <w:t>(3)区域植物粪肥养分需求量</w:t>
      </w:r>
    </w:p>
    <w:p w14:paraId="69A657E6">
      <w:pPr>
        <w:pStyle w:val="81"/>
        <w:shd w:val="clear" w:color="auto" w:fill="FFFFFF"/>
        <w:autoSpaceDE w:val="0"/>
        <w:autoSpaceDN w:val="0"/>
        <w:spacing w:before="0" w:beforeAutospacing="0" w:after="0" w:afterAutospacing="0" w:line="360" w:lineRule="auto"/>
        <w:ind w:firstLine="480" w:firstLineChars="200"/>
        <w:jc w:val="both"/>
        <w:rPr>
          <w:rFonts w:ascii="Times New Roman" w:hAnsi="Times New Roman" w:eastAsia="宋体"/>
          <w:color w:val="auto"/>
          <w:shd w:val="clear" w:color="auto" w:fill="FFFFFF"/>
        </w:rPr>
      </w:pPr>
      <w:r>
        <w:rPr>
          <w:rFonts w:ascii="Times New Roman" w:hAnsi="Times New Roman" w:eastAsia="宋体"/>
          <w:color w:val="auto"/>
          <w:shd w:val="clear" w:color="auto" w:fill="FFFFFF"/>
        </w:rPr>
        <w:t>根据不同土壤肥力下，区域内植物氮（磷）总养分需求量中需要施肥的比例、粪肥占施肥比例和粪肥当季利用效率测算，计算方法如下：</w:t>
      </w:r>
    </w:p>
    <w:p w14:paraId="6955E2B2">
      <w:pPr>
        <w:pStyle w:val="81"/>
        <w:shd w:val="clear" w:color="auto" w:fill="FFFFFF"/>
        <w:autoSpaceDE w:val="0"/>
        <w:autoSpaceDN w:val="0"/>
        <w:spacing w:before="0" w:beforeAutospacing="0" w:after="0" w:afterAutospacing="0" w:line="360" w:lineRule="auto"/>
        <w:jc w:val="both"/>
        <w:rPr>
          <w:rFonts w:ascii="Times New Roman" w:hAnsi="Times New Roman" w:eastAsia="宋体"/>
          <w:color w:val="auto"/>
          <w:shd w:val="clear" w:color="auto" w:fill="FFFFFF"/>
        </w:rPr>
      </w:pPr>
      <w:r>
        <w:rPr>
          <w:rFonts w:ascii="Times New Roman" w:hAnsi="Times New Roman" w:eastAsia="宋体"/>
          <w:color w:val="auto"/>
          <w:position w:val="-26"/>
          <w:shd w:val="clear" w:color="auto" w:fill="FFFFFF"/>
          <w:lang w:bidi="ar"/>
        </w:rPr>
        <w:object>
          <v:shape id="_x0000_i1046" o:spt="75" type="#_x0000_t75" style="height:33pt;width:453pt;" o:ole="t" filled="f" o:preferrelative="t" stroked="f" coordsize="21600,21600">
            <v:path/>
            <v:fill on="f" focussize="0,0"/>
            <v:stroke on="f"/>
            <v:imagedata r:id="rId51" o:title=""/>
            <o:lock v:ext="edit" aspectratio="t"/>
            <w10:wrap type="none"/>
            <w10:anchorlock/>
          </v:shape>
          <o:OLEObject Type="Embed" ProgID="Equation.KSEE3" ShapeID="_x0000_i1046" DrawAspect="Content" ObjectID="_1468075739" r:id="rId50">
            <o:LockedField>false</o:LockedField>
          </o:OLEObject>
        </w:object>
      </w:r>
      <w:r>
        <w:rPr>
          <w:rFonts w:ascii="Times New Roman" w:hAnsi="Times New Roman"/>
          <w:color w:val="auto"/>
          <w:shd w:val="clear" w:color="auto" w:fill="FFFFFF"/>
          <w:lang w:bidi="ar"/>
        </w:rPr>
        <w:t xml:space="preserve">    </w:t>
      </w:r>
      <w:r>
        <w:rPr>
          <w:rFonts w:ascii="Times New Roman" w:hAnsi="Times New Roman" w:eastAsia="宋体"/>
          <w:color w:val="auto"/>
          <w:shd w:val="clear" w:color="auto" w:fill="FFFFFF"/>
        </w:rPr>
        <w:t>氮（磷）施肥供给养分占比根据土壤氮（磷）养分确定，土壤不同氮磷养分水平下的施肥占比推荐值见附表2，本项目取45%。</w:t>
      </w:r>
    </w:p>
    <w:p w14:paraId="54B3A575">
      <w:pPr>
        <w:pStyle w:val="81"/>
        <w:shd w:val="clear" w:color="auto" w:fill="FFFFFF"/>
        <w:autoSpaceDE w:val="0"/>
        <w:autoSpaceDN w:val="0"/>
        <w:spacing w:before="0" w:beforeAutospacing="0" w:after="0" w:afterAutospacing="0" w:line="360" w:lineRule="auto"/>
        <w:ind w:firstLine="480" w:firstLineChars="200"/>
        <w:jc w:val="both"/>
        <w:rPr>
          <w:rFonts w:ascii="Times New Roman" w:hAnsi="Times New Roman" w:eastAsia="宋体"/>
          <w:color w:val="auto"/>
        </w:rPr>
      </w:pPr>
      <w:r>
        <w:rPr>
          <w:rFonts w:ascii="Times New Roman" w:hAnsi="Times New Roman" w:eastAsia="宋体"/>
          <w:color w:val="auto"/>
          <w:shd w:val="clear" w:color="auto" w:fill="FFFFFF"/>
        </w:rPr>
        <w:t>不同区域的粪肥占施肥比例根据当地实际情况确定；粪肥中氮素当季利用率取值范围推荐值为25%—30%，本次取30%。</w:t>
      </w:r>
    </w:p>
    <w:p w14:paraId="2A1C624E">
      <w:pPr>
        <w:pStyle w:val="81"/>
        <w:shd w:val="clear" w:color="auto" w:fill="FFFFFF"/>
        <w:autoSpaceDE w:val="0"/>
        <w:autoSpaceDN w:val="0"/>
        <w:spacing w:before="0" w:beforeAutospacing="0" w:after="0" w:afterAutospacing="0" w:line="360" w:lineRule="auto"/>
        <w:ind w:firstLine="482" w:firstLineChars="200"/>
        <w:jc w:val="both"/>
        <w:rPr>
          <w:rFonts w:ascii="Times New Roman" w:hAnsi="Times New Roman" w:eastAsia="宋体"/>
          <w:color w:val="auto"/>
        </w:rPr>
      </w:pPr>
      <w:r>
        <w:rPr>
          <w:rFonts w:ascii="Times New Roman" w:hAnsi="Times New Roman" w:eastAsia="宋体"/>
          <w:b/>
          <w:bCs/>
          <w:color w:val="auto"/>
          <w:shd w:val="clear" w:color="auto" w:fill="FFFFFF"/>
        </w:rPr>
        <w:t>(4) 单位猪当量粪肥养分供给量</w:t>
      </w:r>
    </w:p>
    <w:p w14:paraId="2B556B3E">
      <w:pPr>
        <w:pStyle w:val="10"/>
        <w:spacing w:line="360" w:lineRule="auto"/>
        <w:ind w:firstLine="480"/>
        <w:rPr>
          <w:sz w:val="24"/>
          <w:shd w:val="clear" w:color="auto" w:fill="FFFFFF"/>
        </w:rPr>
      </w:pPr>
      <w:r>
        <w:rPr>
          <w:sz w:val="24"/>
          <w:shd w:val="clear" w:color="auto" w:fill="FFFFFF"/>
        </w:rPr>
        <w:t>综合考虑畜禽粪污养分在收集、处理和贮存过程中的损失，单位猪当量氮养分供给量为7.0kg，磷养分供给量为1.2kg。</w:t>
      </w:r>
    </w:p>
    <w:p w14:paraId="7A64B38D">
      <w:pPr>
        <w:pStyle w:val="10"/>
        <w:spacing w:line="360" w:lineRule="auto"/>
        <w:ind w:firstLine="480"/>
        <w:rPr>
          <w:sz w:val="24"/>
        </w:rPr>
      </w:pPr>
      <w:r>
        <w:rPr>
          <w:sz w:val="24"/>
          <w:shd w:val="clear" w:color="auto" w:fill="FFFFFF"/>
        </w:rPr>
        <w:t>根据计算</w:t>
      </w:r>
      <w:r>
        <w:rPr>
          <w:kern w:val="0"/>
          <w:sz w:val="24"/>
          <w:shd w:val="clear" w:color="auto" w:fill="FFFFFF"/>
          <w:lang w:bidi="ar"/>
        </w:rPr>
        <w:t> 区域畜禽粪污土地承载力为存栏量18000头猪生猪，本项目存栏量为9300头生猪。</w:t>
      </w:r>
      <w:r>
        <w:rPr>
          <w:sz w:val="24"/>
        </w:rPr>
        <w:t>项目猪粪经堆肥发酵及污水沼气处理后可完全用于苹果园施肥施肥。</w:t>
      </w:r>
    </w:p>
    <w:p w14:paraId="5CFE94BB">
      <w:pPr>
        <w:pStyle w:val="8"/>
        <w:ind w:firstLine="562"/>
      </w:pPr>
      <w:r>
        <w:t>7.2.5.4病死猪处理措施可行性分析</w:t>
      </w:r>
    </w:p>
    <w:p w14:paraId="6C97D8E1">
      <w:pPr>
        <w:pStyle w:val="10"/>
        <w:spacing w:line="360" w:lineRule="auto"/>
        <w:ind w:firstLine="480"/>
        <w:rPr>
          <w:sz w:val="24"/>
        </w:rPr>
      </w:pPr>
      <w:r>
        <w:rPr>
          <w:sz w:val="24"/>
        </w:rPr>
        <w:t>根据HJ/T81-2001《畜禽养殖业污染防治技术规范》的规定，病死畜禽应采取焚烧炉焚烧或填埋的方法。养殖场集中的地方应采取焚烧法，不具备条件的应采取设置两个或以上的安全填埋井。</w:t>
      </w:r>
    </w:p>
    <w:p w14:paraId="212E7E8F">
      <w:pPr>
        <w:pStyle w:val="35"/>
        <w:spacing w:after="0" w:line="360" w:lineRule="auto"/>
        <w:ind w:firstLine="480" w:firstLineChars="200"/>
        <w:rPr>
          <w:sz w:val="24"/>
        </w:rPr>
      </w:pPr>
      <w:r>
        <w:rPr>
          <w:sz w:val="24"/>
        </w:rPr>
        <w:t>①本项目处置方案</w:t>
      </w:r>
    </w:p>
    <w:p w14:paraId="4671AD01">
      <w:pPr>
        <w:spacing w:line="360" w:lineRule="auto"/>
        <w:ind w:firstLine="480" w:firstLineChars="200"/>
        <w:rPr>
          <w:sz w:val="24"/>
        </w:rPr>
      </w:pPr>
      <w:r>
        <w:rPr>
          <w:sz w:val="24"/>
        </w:rPr>
        <w:t>本项目病死猪近期采用益康生环保科技有限公司生产的无害化降解处理机进行处理（该设备已在温氏多个养殖场实际应用，效果良好），该无害化降解处理机采用全密封结构，应用目前最为先进的生物降解技术、充分利用微生物降解有机物的特性、持续高温杀灭病原微生物、微生物发酵等多种原理和技术，将有机物转变成有机肥原料外售，实现农业循环经济。在处理动物尸体过程中只排出水蒸汽和二氧化碳等无害气体，无废水和废渣排出，真正实现了无害化处理，可有效防止病菌传播。待石林县病死畜禽无害化处理项目建成后，委托石林县病死畜禽无害化处理项目处理。</w:t>
      </w:r>
    </w:p>
    <w:p w14:paraId="2F45BAB6">
      <w:pPr>
        <w:pStyle w:val="35"/>
        <w:spacing w:after="0" w:line="360" w:lineRule="auto"/>
        <w:ind w:firstLine="480" w:firstLineChars="200"/>
        <w:rPr>
          <w:sz w:val="24"/>
        </w:rPr>
      </w:pPr>
      <w:r>
        <w:rPr>
          <w:sz w:val="24"/>
        </w:rPr>
        <w:t>目前石林县病死畜禽无害化处理已取得环评批复，建设地点位于石林县圭山镇矣维哨村委会前哨村，项目中心地理坐标为：东经103°37′52.3″，北纬24°38′56.2″。项目位于石林县圭山镇，远期委托石林县病死畜禽无害化处理项目处理病死猪可行。</w:t>
      </w:r>
    </w:p>
    <w:p w14:paraId="261CDE67">
      <w:pPr>
        <w:pStyle w:val="35"/>
        <w:spacing w:after="0" w:line="360" w:lineRule="auto"/>
        <w:ind w:firstLine="480" w:firstLineChars="200"/>
        <w:rPr>
          <w:sz w:val="24"/>
        </w:rPr>
      </w:pPr>
      <w:r>
        <w:rPr>
          <w:sz w:val="24"/>
        </w:rPr>
        <w:t>②处理设备工艺及配套设施</w:t>
      </w:r>
    </w:p>
    <w:p w14:paraId="69BA4241">
      <w:pPr>
        <w:pStyle w:val="35"/>
        <w:spacing w:after="0" w:line="360" w:lineRule="auto"/>
        <w:ind w:right="330" w:firstLine="460" w:firstLineChars="200"/>
        <w:rPr>
          <w:sz w:val="24"/>
        </w:rPr>
      </w:pPr>
      <w:r>
        <w:rPr>
          <w:spacing w:val="-5"/>
          <w:sz w:val="24"/>
        </w:rPr>
        <w:t>无害化降解处理机处理工艺原理：综合利用微生物降解有机物的特性、持续高温杀灭病原微生物、微生物发酵等多种原理和技术，经过分切、绞碎、发酵、</w:t>
      </w:r>
      <w:r>
        <w:rPr>
          <w:spacing w:val="-10"/>
          <w:sz w:val="24"/>
        </w:rPr>
        <w:t>杀菌、干燥等多重工艺，把畜禽尸体等有机物快速降解，最终与添加的垫料经过</w:t>
      </w:r>
      <w:r>
        <w:rPr>
          <w:spacing w:val="-21"/>
          <w:position w:val="2"/>
          <w:sz w:val="24"/>
        </w:rPr>
        <w:t xml:space="preserve">混合、搅拌、分装等程序，生产出有机肥的重要原料，排除气体为 </w:t>
      </w:r>
      <w:r>
        <w:rPr>
          <w:rFonts w:eastAsia="Times New Roman"/>
          <w:position w:val="2"/>
          <w:sz w:val="24"/>
        </w:rPr>
        <w:t>H</w:t>
      </w:r>
      <w:r>
        <w:rPr>
          <w:rFonts w:eastAsia="Times New Roman"/>
          <w:sz w:val="24"/>
          <w:vertAlign w:val="subscript"/>
        </w:rPr>
        <w:t>2</w:t>
      </w:r>
      <w:r>
        <w:rPr>
          <w:rFonts w:eastAsia="Times New Roman"/>
          <w:position w:val="2"/>
          <w:sz w:val="24"/>
        </w:rPr>
        <w:t>O</w:t>
      </w:r>
      <w:r>
        <w:rPr>
          <w:position w:val="2"/>
          <w:sz w:val="24"/>
        </w:rPr>
        <w:t>和</w:t>
      </w:r>
      <w:r>
        <w:rPr>
          <w:rFonts w:eastAsia="Times New Roman"/>
          <w:position w:val="2"/>
          <w:sz w:val="24"/>
        </w:rPr>
        <w:t>CO</w:t>
      </w:r>
      <w:r>
        <w:rPr>
          <w:rFonts w:eastAsia="Times New Roman"/>
          <w:sz w:val="24"/>
          <w:vertAlign w:val="subscript"/>
        </w:rPr>
        <w:t>2</w:t>
      </w:r>
      <w:r>
        <w:rPr>
          <w:rFonts w:eastAsia="Times New Roman"/>
          <w:sz w:val="24"/>
        </w:rPr>
        <w:t xml:space="preserve"> </w:t>
      </w:r>
      <w:r>
        <w:rPr>
          <w:spacing w:val="-11"/>
          <w:position w:val="2"/>
          <w:sz w:val="24"/>
        </w:rPr>
        <w:t xml:space="preserve">， </w:t>
      </w:r>
      <w:r>
        <w:rPr>
          <w:sz w:val="24"/>
        </w:rPr>
        <w:t>实现农业循环经济。该设备有六大优势：</w:t>
      </w:r>
      <w:r>
        <w:rPr>
          <w:rFonts w:eastAsia="Times New Roman"/>
          <w:sz w:val="24"/>
        </w:rPr>
        <w:t>a.</w:t>
      </w:r>
      <w:r>
        <w:rPr>
          <w:sz w:val="24"/>
        </w:rPr>
        <w:t>无害化处理，无污染排放；</w:t>
      </w:r>
      <w:r>
        <w:rPr>
          <w:rFonts w:eastAsia="Times New Roman"/>
          <w:sz w:val="24"/>
        </w:rPr>
        <w:t>b.</w:t>
      </w:r>
      <w:r>
        <w:rPr>
          <w:sz w:val="24"/>
        </w:rPr>
        <w:t>适用范</w:t>
      </w:r>
      <w:r>
        <w:rPr>
          <w:spacing w:val="-15"/>
          <w:sz w:val="24"/>
        </w:rPr>
        <w:t>围广</w:t>
      </w:r>
      <w:r>
        <w:rPr>
          <w:sz w:val="24"/>
        </w:rPr>
        <w:t>（</w:t>
      </w:r>
      <w:r>
        <w:rPr>
          <w:spacing w:val="-9"/>
          <w:sz w:val="24"/>
        </w:rPr>
        <w:t>鸡、猪、鸭等</w:t>
      </w:r>
      <w:r>
        <w:rPr>
          <w:spacing w:val="-118"/>
          <w:sz w:val="24"/>
        </w:rPr>
        <w:t>）</w:t>
      </w:r>
      <w:r>
        <w:rPr>
          <w:spacing w:val="-29"/>
          <w:sz w:val="24"/>
        </w:rPr>
        <w:t>；</w:t>
      </w:r>
      <w:r>
        <w:rPr>
          <w:rFonts w:eastAsia="Times New Roman"/>
          <w:spacing w:val="-1"/>
          <w:sz w:val="24"/>
        </w:rPr>
        <w:t>c</w:t>
      </w:r>
      <w:r>
        <w:rPr>
          <w:rFonts w:eastAsia="Times New Roman"/>
          <w:sz w:val="24"/>
        </w:rPr>
        <w:t>.</w:t>
      </w:r>
      <w:r>
        <w:rPr>
          <w:spacing w:val="-6"/>
          <w:sz w:val="24"/>
        </w:rPr>
        <w:t>降解效率高</w:t>
      </w:r>
      <w:r>
        <w:rPr>
          <w:sz w:val="24"/>
        </w:rPr>
        <w:t>（</w:t>
      </w:r>
      <w:r>
        <w:rPr>
          <w:rFonts w:eastAsia="Times New Roman"/>
          <w:sz w:val="24"/>
        </w:rPr>
        <w:t>24</w:t>
      </w:r>
      <w:r>
        <w:rPr>
          <w:sz w:val="24"/>
        </w:rPr>
        <w:t>小时完成</w:t>
      </w:r>
      <w:r>
        <w:rPr>
          <w:spacing w:val="-120"/>
          <w:sz w:val="24"/>
        </w:rPr>
        <w:t>）</w:t>
      </w:r>
      <w:r>
        <w:rPr>
          <w:spacing w:val="-29"/>
          <w:sz w:val="24"/>
        </w:rPr>
        <w:t>；</w:t>
      </w:r>
      <w:r>
        <w:rPr>
          <w:rFonts w:eastAsia="Times New Roman"/>
          <w:sz w:val="24"/>
        </w:rPr>
        <w:t>d.</w:t>
      </w:r>
      <w:r>
        <w:rPr>
          <w:spacing w:val="-6"/>
          <w:sz w:val="24"/>
        </w:rPr>
        <w:t>处理彻底，灭活病毒，</w:t>
      </w:r>
      <w:r>
        <w:rPr>
          <w:sz w:val="24"/>
        </w:rPr>
        <w:t>阻断细菌及病毒传播；</w:t>
      </w:r>
      <w:r>
        <w:rPr>
          <w:rFonts w:eastAsia="Times New Roman"/>
          <w:spacing w:val="2"/>
          <w:sz w:val="24"/>
        </w:rPr>
        <w:t>e.</w:t>
      </w:r>
      <w:r>
        <w:rPr>
          <w:sz w:val="24"/>
        </w:rPr>
        <w:t>自动化程度高，操作简单；</w:t>
      </w:r>
      <w:r>
        <w:rPr>
          <w:rFonts w:eastAsia="Times New Roman"/>
          <w:sz w:val="24"/>
        </w:rPr>
        <w:t>f.</w:t>
      </w:r>
      <w:r>
        <w:rPr>
          <w:sz w:val="24"/>
        </w:rPr>
        <w:t>变废为宝，实现农业循环经济。</w:t>
      </w:r>
    </w:p>
    <w:p w14:paraId="605B6097">
      <w:pPr>
        <w:pStyle w:val="35"/>
        <w:spacing w:after="0" w:line="360" w:lineRule="auto"/>
        <w:ind w:firstLine="472" w:firstLineChars="200"/>
        <w:rPr>
          <w:sz w:val="24"/>
        </w:rPr>
      </w:pPr>
      <w:r>
        <w:rPr>
          <w:spacing w:val="-2"/>
          <w:sz w:val="24"/>
        </w:rPr>
        <w:t>本套无害化降解处理机的辅助原料为木糠和菌种，投入比例为木糠：</w:t>
      </w:r>
      <w:r>
        <w:rPr>
          <w:rFonts w:eastAsia="Times New Roman"/>
          <w:spacing w:val="-4"/>
          <w:sz w:val="24"/>
        </w:rPr>
        <w:t xml:space="preserve">0.05kg </w:t>
      </w:r>
      <w:r>
        <w:rPr>
          <w:sz w:val="24"/>
        </w:rPr>
        <w:t>木糠</w:t>
      </w:r>
      <w:r>
        <w:rPr>
          <w:rFonts w:eastAsia="Times New Roman"/>
          <w:sz w:val="24"/>
        </w:rPr>
        <w:t>/kg</w:t>
      </w:r>
      <w:r>
        <w:rPr>
          <w:sz w:val="24"/>
        </w:rPr>
        <w:t>尸体，菌种：</w:t>
      </w:r>
      <w:r>
        <w:rPr>
          <w:rFonts w:eastAsia="Times New Roman"/>
          <w:sz w:val="24"/>
        </w:rPr>
        <w:t xml:space="preserve">0.001kg </w:t>
      </w:r>
      <w:r>
        <w:rPr>
          <w:sz w:val="24"/>
        </w:rPr>
        <w:t>菌种</w:t>
      </w:r>
      <w:r>
        <w:rPr>
          <w:rFonts w:eastAsia="Times New Roman"/>
          <w:sz w:val="24"/>
        </w:rPr>
        <w:t>/kg</w:t>
      </w:r>
      <w:r>
        <w:rPr>
          <w:sz w:val="24"/>
        </w:rPr>
        <w:t>尸体。本项目不生产菌种，菌种来源于</w:t>
      </w:r>
      <w:r>
        <w:rPr>
          <w:spacing w:val="-8"/>
          <w:sz w:val="24"/>
        </w:rPr>
        <w:t>设备供应方配套提供，适用于动物尸体、有机垃圾，无需预处理，添加辅料一次</w:t>
      </w:r>
      <w:r>
        <w:rPr>
          <w:sz w:val="24"/>
        </w:rPr>
        <w:t>后，设备在降解过程中自动持续投放，过程中无需更换或添加菌种。</w:t>
      </w:r>
    </w:p>
    <w:p w14:paraId="300C9021">
      <w:pPr>
        <w:pStyle w:val="35"/>
        <w:spacing w:after="0" w:line="360" w:lineRule="auto"/>
        <w:ind w:firstLine="480" w:firstLineChars="200"/>
        <w:rPr>
          <w:sz w:val="24"/>
        </w:rPr>
      </w:pPr>
      <w:r>
        <w:rPr>
          <w:sz w:val="24"/>
        </w:rPr>
        <w:t>设备为一体化机器，配套设施主要为投料台阶、排气管。</w:t>
      </w:r>
    </w:p>
    <w:p w14:paraId="5D90AD33">
      <w:pPr>
        <w:pStyle w:val="35"/>
        <w:spacing w:after="0" w:line="360" w:lineRule="auto"/>
        <w:ind w:firstLine="480" w:firstLineChars="200"/>
        <w:rPr>
          <w:sz w:val="24"/>
        </w:rPr>
      </w:pPr>
      <w:r>
        <w:rPr>
          <w:sz w:val="24"/>
        </w:rPr>
        <w:t>③工艺可行性分析</w:t>
      </w:r>
    </w:p>
    <w:p w14:paraId="4C01FFE5">
      <w:pPr>
        <w:pStyle w:val="35"/>
        <w:spacing w:line="360" w:lineRule="auto"/>
        <w:ind w:right="451" w:firstLine="456" w:firstLineChars="200"/>
        <w:rPr>
          <w:spacing w:val="-6"/>
          <w:sz w:val="24"/>
        </w:rPr>
      </w:pPr>
      <w:r>
        <w:rPr>
          <w:spacing w:val="-6"/>
          <w:sz w:val="24"/>
        </w:rPr>
        <w:t>本项目处理工艺：</w:t>
      </w:r>
    </w:p>
    <w:p w14:paraId="4E25E660">
      <w:pPr>
        <w:pStyle w:val="35"/>
        <w:spacing w:after="0" w:line="360" w:lineRule="auto"/>
        <w:ind w:firstLine="456" w:firstLineChars="200"/>
        <w:rPr>
          <w:spacing w:val="-6"/>
          <w:sz w:val="24"/>
        </w:rPr>
      </w:pPr>
      <w:r>
        <w:rPr>
          <w:spacing w:val="-6"/>
          <w:sz w:val="24"/>
        </w:rPr>
        <w:t>处理原理：</w:t>
      </w:r>
    </w:p>
    <w:p w14:paraId="5928A34B">
      <w:pPr>
        <w:pStyle w:val="35"/>
        <w:spacing w:after="0" w:line="360" w:lineRule="auto"/>
        <w:ind w:firstLine="456" w:firstLineChars="200"/>
        <w:rPr>
          <w:spacing w:val="-6"/>
          <w:sz w:val="24"/>
        </w:rPr>
      </w:pPr>
      <w:r>
        <w:rPr>
          <w:spacing w:val="-6"/>
          <w:sz w:val="24"/>
        </w:rPr>
        <w:t>采用“高温生物发酵”技术，将病死动物尸体投入到处理机的料槽中，加入垫料（木屑或谷槺）及益生菌，经设备切割、粉碎、发酵、杀菌、干燥一次性完成，只需24小时，最终产物为有机肥原料。</w:t>
      </w:r>
    </w:p>
    <w:p w14:paraId="1518343F">
      <w:pPr>
        <w:pStyle w:val="35"/>
        <w:spacing w:after="0" w:line="360" w:lineRule="auto"/>
        <w:ind w:firstLine="456" w:firstLineChars="200"/>
        <w:rPr>
          <w:spacing w:val="-6"/>
          <w:sz w:val="24"/>
        </w:rPr>
      </w:pPr>
      <w:r>
        <w:rPr>
          <w:spacing w:val="-6"/>
          <w:sz w:val="24"/>
        </w:rPr>
        <w:t>工艺流程：</w:t>
      </w:r>
    </w:p>
    <w:p w14:paraId="4E11476B">
      <w:pPr>
        <w:pStyle w:val="35"/>
        <w:spacing w:after="0" w:line="360" w:lineRule="auto"/>
        <w:ind w:firstLine="456" w:firstLineChars="200"/>
        <w:rPr>
          <w:spacing w:val="-6"/>
          <w:sz w:val="24"/>
        </w:rPr>
      </w:pPr>
      <w:r>
        <w:rPr>
          <w:spacing w:val="-6"/>
          <w:sz w:val="24"/>
        </w:rPr>
        <w:drawing>
          <wp:inline distT="0" distB="0" distL="114300" distR="114300">
            <wp:extent cx="5299710" cy="657225"/>
            <wp:effectExtent l="0" t="0" r="15240" b="9525"/>
            <wp:docPr id="2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3"/>
                    <pic:cNvPicPr>
                      <a:picLocks noChangeAspect="1"/>
                    </pic:cNvPicPr>
                  </pic:nvPicPr>
                  <pic:blipFill>
                    <a:blip r:embed="rId52"/>
                    <a:stretch>
                      <a:fillRect/>
                    </a:stretch>
                  </pic:blipFill>
                  <pic:spPr>
                    <a:xfrm>
                      <a:off x="0" y="0"/>
                      <a:ext cx="5299710" cy="657225"/>
                    </a:xfrm>
                    <a:prstGeom prst="rect">
                      <a:avLst/>
                    </a:prstGeom>
                    <a:noFill/>
                    <a:ln>
                      <a:noFill/>
                    </a:ln>
                  </pic:spPr>
                </pic:pic>
              </a:graphicData>
            </a:graphic>
          </wp:inline>
        </w:drawing>
      </w:r>
    </w:p>
    <w:p w14:paraId="7E4A7B0B">
      <w:pPr>
        <w:pStyle w:val="35"/>
        <w:spacing w:after="0" w:line="360" w:lineRule="auto"/>
        <w:ind w:firstLine="456" w:firstLineChars="200"/>
        <w:rPr>
          <w:spacing w:val="-6"/>
          <w:sz w:val="24"/>
        </w:rPr>
      </w:pPr>
      <w:r>
        <w:rPr>
          <w:spacing w:val="-6"/>
          <w:sz w:val="24"/>
        </w:rPr>
        <w:t>工艺说明：</w:t>
      </w:r>
    </w:p>
    <w:p w14:paraId="76C01EF7">
      <w:pPr>
        <w:pStyle w:val="35"/>
        <w:spacing w:after="0" w:line="360" w:lineRule="auto"/>
        <w:ind w:firstLine="456" w:firstLineChars="200"/>
        <w:rPr>
          <w:spacing w:val="-6"/>
          <w:sz w:val="24"/>
        </w:rPr>
      </w:pPr>
      <w:r>
        <w:rPr>
          <w:spacing w:val="-6"/>
          <w:sz w:val="24"/>
        </w:rPr>
        <w:t>按照投入动物尸体重量的10-15%的比例投入水份在30%的辅料，按照500g/吨的标准加入益生菌。自动关闭后点击触摸屏按钮则按照设计程序运行。期间，可通过物料网系统查看设备运作是否正常。</w:t>
      </w:r>
    </w:p>
    <w:p w14:paraId="7DCE6A7B">
      <w:pPr>
        <w:pStyle w:val="35"/>
        <w:spacing w:after="0" w:line="360" w:lineRule="auto"/>
        <w:ind w:firstLine="456" w:firstLineChars="200"/>
        <w:rPr>
          <w:spacing w:val="-6"/>
          <w:sz w:val="24"/>
        </w:rPr>
      </w:pPr>
      <w:r>
        <w:rPr>
          <w:spacing w:val="-6"/>
          <w:sz w:val="24"/>
        </w:rPr>
        <w:t>箱体温度达到80℃～100℃，菌种通过自身分泌高活性的蛋白酶及脂肪酶等酶系，释放到细胞外部，并与动物尸体接触后发生酶解作用。全过程都处于发酵降解状态，时间为24小时。</w:t>
      </w:r>
    </w:p>
    <w:p w14:paraId="7B53CB9D">
      <w:pPr>
        <w:pStyle w:val="35"/>
        <w:spacing w:after="0" w:line="360" w:lineRule="auto"/>
        <w:ind w:firstLine="456" w:firstLineChars="200"/>
        <w:rPr>
          <w:spacing w:val="-6"/>
          <w:sz w:val="24"/>
        </w:rPr>
      </w:pPr>
      <w:r>
        <w:rPr>
          <w:spacing w:val="-6"/>
          <w:sz w:val="24"/>
        </w:rPr>
        <w:t>大多数细菌毒素在55-75℃范围内1小时被完全灭活。箱体温度达到80℃～100℃长达20小时以上，足以将细菌毒素进行完成灭活。</w:t>
      </w:r>
    </w:p>
    <w:p w14:paraId="3D1AD30E">
      <w:pPr>
        <w:pStyle w:val="35"/>
        <w:spacing w:after="0" w:line="360" w:lineRule="auto"/>
        <w:ind w:firstLine="456" w:firstLineChars="200"/>
        <w:rPr>
          <w:spacing w:val="-6"/>
          <w:sz w:val="24"/>
        </w:rPr>
      </w:pPr>
      <w:r>
        <w:rPr>
          <w:spacing w:val="-6"/>
          <w:sz w:val="24"/>
        </w:rPr>
        <w:t>菌种作用原理：</w:t>
      </w:r>
    </w:p>
    <w:p w14:paraId="35BE8934">
      <w:pPr>
        <w:pStyle w:val="35"/>
        <w:spacing w:after="0" w:line="360" w:lineRule="auto"/>
        <w:ind w:firstLine="456" w:firstLineChars="200"/>
        <w:rPr>
          <w:spacing w:val="-6"/>
          <w:sz w:val="24"/>
        </w:rPr>
      </w:pPr>
      <w:r>
        <w:rPr>
          <w:spacing w:val="-6"/>
          <w:sz w:val="24"/>
        </w:rPr>
        <w:t>菌种主要是通过自身分泌高活性的蛋白酶及脂肪酶等酶系，释放到细胞外部，并与动物尸体接触后发生酶解作用，将动物尸体中的主要成分：蛋白质、脂肪等高分子物质逐步酶解成为低分子物质如短肽及脂肪酸，并通过多次循环作用将短肽及脂肪酸进一步降解为氨基酸、乙酰辅酶A等单体如。这些单体物质进入菌种体内，被菌种体内的三羧酸循环等代谢途径彻底分解为二氧化碳、水等物质，从而实现动物尸体的降解，具体如下图：</w:t>
      </w:r>
    </w:p>
    <w:p w14:paraId="77367655">
      <w:pPr>
        <w:ind w:firstLine="643" w:firstLineChars="200"/>
        <w:rPr>
          <w:rFonts w:eastAsia="仿宋_GB2312"/>
          <w:b/>
          <w:sz w:val="32"/>
          <w:szCs w:val="32"/>
        </w:rPr>
      </w:pPr>
    </w:p>
    <w:p w14:paraId="3AA123DF">
      <w:pPr>
        <w:ind w:firstLine="643" w:firstLineChars="200"/>
        <w:rPr>
          <w:rFonts w:eastAsia="仿宋_GB2312"/>
          <w:b/>
          <w:sz w:val="32"/>
          <w:szCs w:val="32"/>
        </w:rPr>
      </w:pPr>
      <w:r>
        <w:rPr>
          <w:rFonts w:eastAsia="仿宋_GB2312"/>
          <w:b/>
          <w:sz w:val="32"/>
          <w:szCs w:val="32"/>
        </w:rPr>
        <mc:AlternateContent>
          <mc:Choice Requires="wpg">
            <w:drawing>
              <wp:anchor distT="0" distB="0" distL="114300" distR="114300" simplePos="0" relativeHeight="251804672" behindDoc="0" locked="0" layoutInCell="1" allowOverlap="1">
                <wp:simplePos x="0" y="0"/>
                <wp:positionH relativeFrom="column">
                  <wp:posOffset>61595</wp:posOffset>
                </wp:positionH>
                <wp:positionV relativeFrom="paragraph">
                  <wp:posOffset>163830</wp:posOffset>
                </wp:positionV>
                <wp:extent cx="4671060" cy="2356485"/>
                <wp:effectExtent l="0" t="4445" r="15240" b="20320"/>
                <wp:wrapNone/>
                <wp:docPr id="223" name="组合 2"/>
                <wp:cNvGraphicFramePr/>
                <a:graphic xmlns:a="http://schemas.openxmlformats.org/drawingml/2006/main">
                  <a:graphicData uri="http://schemas.microsoft.com/office/word/2010/wordprocessingGroup">
                    <wpg:wgp>
                      <wpg:cNvGrpSpPr/>
                      <wpg:grpSpPr>
                        <a:xfrm>
                          <a:off x="0" y="0"/>
                          <a:ext cx="4671060" cy="2356485"/>
                          <a:chOff x="2160" y="8148"/>
                          <a:chExt cx="7560" cy="4212"/>
                        </a:xfrm>
                      </wpg:grpSpPr>
                      <wps:wsp>
                        <wps:cNvPr id="170" name="文本框 3"/>
                        <wps:cNvSpPr txBox="1"/>
                        <wps:spPr>
                          <a:xfrm>
                            <a:off x="3689" y="8688"/>
                            <a:ext cx="536" cy="288"/>
                          </a:xfrm>
                          <a:prstGeom prst="rect">
                            <a:avLst/>
                          </a:prstGeom>
                          <a:solidFill>
                            <a:srgbClr val="FFFFFF"/>
                          </a:solidFill>
                          <a:ln>
                            <a:noFill/>
                          </a:ln>
                        </wps:spPr>
                        <wps:txbx>
                          <w:txbxContent>
                            <w:p w14:paraId="2362468C">
                              <w:pPr>
                                <w:autoSpaceDE w:val="0"/>
                                <w:autoSpaceDN w:val="0"/>
                                <w:adjustRightInd w:val="0"/>
                                <w:rPr>
                                  <w:rFonts w:ascii="Arial" w:hAnsi="Arial" w:cs="宋体"/>
                                  <w:b/>
                                  <w:bCs/>
                                  <w:color w:val="000000"/>
                                  <w:sz w:val="36"/>
                                  <w:szCs w:val="36"/>
                                  <w:lang w:val="zh-CN"/>
                                </w:rPr>
                              </w:pPr>
                            </w:p>
                          </w:txbxContent>
                        </wps:txbx>
                        <wps:bodyPr vert="horz" wrap="square" lIns="0" tIns="0" rIns="0" bIns="0" anchor="t" anchorCtr="0" upright="1"/>
                      </wps:wsp>
                      <wps:wsp>
                        <wps:cNvPr id="171" name="文本框 4"/>
                        <wps:cNvSpPr txBox="1"/>
                        <wps:spPr>
                          <a:xfrm>
                            <a:off x="2160" y="8906"/>
                            <a:ext cx="621" cy="310"/>
                          </a:xfrm>
                          <a:prstGeom prst="rect">
                            <a:avLst/>
                          </a:prstGeom>
                          <a:solidFill>
                            <a:srgbClr val="FFFFFF"/>
                          </a:solidFill>
                          <a:ln>
                            <a:noFill/>
                          </a:ln>
                        </wps:spPr>
                        <wps:txbx>
                          <w:txbxContent>
                            <w:p w14:paraId="338AD549">
                              <w:pPr>
                                <w:autoSpaceDE w:val="0"/>
                                <w:autoSpaceDN w:val="0"/>
                                <w:adjustRightInd w:val="0"/>
                                <w:jc w:val="center"/>
                                <w:rPr>
                                  <w:rFonts w:ascii="Arial" w:hAnsi="Arial" w:cs="宋体"/>
                                  <w:b/>
                                  <w:bCs/>
                                  <w:color w:val="000000"/>
                                  <w:sz w:val="36"/>
                                  <w:szCs w:val="36"/>
                                  <w:lang w:val="zh-CN"/>
                                </w:rPr>
                              </w:pPr>
                              <w:r>
                                <w:rPr>
                                  <w:rFonts w:hint="eastAsia" w:cs="宋体"/>
                                  <w:color w:val="000000"/>
                                  <w:sz w:val="18"/>
                                  <w:szCs w:val="18"/>
                                  <w:lang w:val="zh-CN"/>
                                </w:rPr>
                                <w:t>蛋白酶</w:t>
                              </w:r>
                            </w:p>
                          </w:txbxContent>
                        </wps:txbx>
                        <wps:bodyPr vert="horz" wrap="square" lIns="0" tIns="0" rIns="0" bIns="0" anchor="t" anchorCtr="0" upright="1"/>
                      </wps:wsp>
                      <wps:wsp>
                        <wps:cNvPr id="172" name="文本框 5"/>
                        <wps:cNvSpPr txBox="1"/>
                        <wps:spPr>
                          <a:xfrm>
                            <a:off x="4059" y="9579"/>
                            <a:ext cx="5661" cy="2781"/>
                          </a:xfrm>
                          <a:prstGeom prst="rect">
                            <a:avLst/>
                          </a:prstGeom>
                          <a:solidFill>
                            <a:srgbClr val="CCFFFF">
                              <a:alpha val="39000"/>
                            </a:srgbClr>
                          </a:solidFill>
                          <a:ln w="12700" cap="flat" cmpd="sng">
                            <a:solidFill>
                              <a:srgbClr val="000000"/>
                            </a:solidFill>
                            <a:prstDash val="lgDashDot"/>
                            <a:miter/>
                            <a:headEnd type="none" w="med" len="med"/>
                            <a:tailEnd type="none" w="med" len="med"/>
                          </a:ln>
                        </wps:spPr>
                        <wps:txbx>
                          <w:txbxContent>
                            <w:p w14:paraId="3FCD1EC0">
                              <w:pPr>
                                <w:autoSpaceDE w:val="0"/>
                                <w:autoSpaceDN w:val="0"/>
                                <w:adjustRightInd w:val="0"/>
                                <w:jc w:val="right"/>
                                <w:rPr>
                                  <w:rFonts w:ascii="Arial" w:hAnsi="Arial" w:cs="宋体"/>
                                  <w:bCs/>
                                  <w:color w:val="000000"/>
                                  <w:sz w:val="36"/>
                                  <w:szCs w:val="36"/>
                                  <w:lang w:val="zh-CN"/>
                                </w:rPr>
                              </w:pPr>
                            </w:p>
                          </w:txbxContent>
                        </wps:txbx>
                        <wps:bodyPr vert="horz" wrap="square" lIns="0" tIns="0" rIns="0" bIns="0" anchor="t" anchorCtr="0" upright="1"/>
                      </wps:wsp>
                      <wps:wsp>
                        <wps:cNvPr id="173" name="文本框 6"/>
                        <wps:cNvSpPr txBox="1"/>
                        <wps:spPr>
                          <a:xfrm>
                            <a:off x="4397" y="9942"/>
                            <a:ext cx="944" cy="899"/>
                          </a:xfrm>
                          <a:prstGeom prst="rect">
                            <a:avLst/>
                          </a:prstGeom>
                          <a:solidFill>
                            <a:srgbClr val="FFFF99">
                              <a:alpha val="39000"/>
                            </a:srgbClr>
                          </a:solidFill>
                          <a:ln w="9525" cap="flat" cmpd="sng">
                            <a:solidFill>
                              <a:srgbClr val="000000"/>
                            </a:solidFill>
                            <a:prstDash val="solid"/>
                            <a:miter/>
                            <a:headEnd type="none" w="med" len="med"/>
                            <a:tailEnd type="none" w="med" len="med"/>
                          </a:ln>
                        </wps:spPr>
                        <wps:txbx>
                          <w:txbxContent>
                            <w:p w14:paraId="474868C5">
                              <w:pPr>
                                <w:autoSpaceDE w:val="0"/>
                                <w:autoSpaceDN w:val="0"/>
                                <w:adjustRightInd w:val="0"/>
                                <w:rPr>
                                  <w:rFonts w:ascii="Arial" w:hAnsi="Arial" w:cs="宋体"/>
                                  <w:b/>
                                  <w:bCs/>
                                  <w:color w:val="000000"/>
                                  <w:sz w:val="36"/>
                                  <w:szCs w:val="36"/>
                                  <w:lang w:val="zh-CN"/>
                                </w:rPr>
                              </w:pPr>
                            </w:p>
                          </w:txbxContent>
                        </wps:txbx>
                        <wps:bodyPr vert="horz" wrap="square" lIns="0" tIns="0" rIns="0" bIns="0" anchor="t" anchorCtr="0" upright="1"/>
                      </wps:wsp>
                      <wps:wsp>
                        <wps:cNvPr id="174" name="文本框 7"/>
                        <wps:cNvSpPr txBox="1"/>
                        <wps:spPr>
                          <a:xfrm>
                            <a:off x="2464" y="8403"/>
                            <a:ext cx="792"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81E4CE">
                              <w:pPr>
                                <w:autoSpaceDE w:val="0"/>
                                <w:autoSpaceDN w:val="0"/>
                                <w:adjustRightInd w:val="0"/>
                                <w:jc w:val="center"/>
                                <w:rPr>
                                  <w:rFonts w:ascii="Arial" w:hAnsi="Arial" w:cs="宋体"/>
                                  <w:b/>
                                  <w:bCs/>
                                  <w:color w:val="000000"/>
                                  <w:sz w:val="18"/>
                                  <w:szCs w:val="18"/>
                                  <w:lang w:val="zh-CN"/>
                                </w:rPr>
                              </w:pPr>
                              <w:r>
                                <w:rPr>
                                  <w:rFonts w:hint="eastAsia" w:cs="宋体"/>
                                  <w:color w:val="000000"/>
                                  <w:sz w:val="18"/>
                                  <w:szCs w:val="18"/>
                                  <w:lang w:val="zh-CN"/>
                                </w:rPr>
                                <w:t>动物蛋白</w:t>
                              </w:r>
                            </w:p>
                          </w:txbxContent>
                        </wps:txbx>
                        <wps:bodyPr vert="horz" wrap="square" lIns="0" tIns="0" rIns="0" bIns="0" anchor="t" anchorCtr="0" upright="1"/>
                      </wps:wsp>
                      <wps:wsp>
                        <wps:cNvPr id="175" name="直线 8"/>
                        <wps:cNvSpPr/>
                        <wps:spPr>
                          <a:xfrm flipH="1">
                            <a:off x="2813" y="8744"/>
                            <a:ext cx="12" cy="442"/>
                          </a:xfrm>
                          <a:prstGeom prst="line">
                            <a:avLst/>
                          </a:prstGeom>
                          <a:ln w="9525" cap="flat" cmpd="sng">
                            <a:solidFill>
                              <a:srgbClr val="000000"/>
                            </a:solidFill>
                            <a:prstDash val="solid"/>
                            <a:headEnd type="none" w="med" len="med"/>
                            <a:tailEnd type="triangle" w="med" len="med"/>
                          </a:ln>
                        </wps:spPr>
                        <wps:bodyPr upright="1"/>
                      </wps:wsp>
                      <wps:wsp>
                        <wps:cNvPr id="176" name="文本框 9"/>
                        <wps:cNvSpPr txBox="1"/>
                        <wps:spPr>
                          <a:xfrm>
                            <a:off x="2466" y="9202"/>
                            <a:ext cx="635"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A822A">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氨基酸</w:t>
                              </w:r>
                            </w:p>
                          </w:txbxContent>
                        </wps:txbx>
                        <wps:bodyPr vert="horz" wrap="square" lIns="0" tIns="0" rIns="0" bIns="0" anchor="t" anchorCtr="0" upright="1"/>
                      </wps:wsp>
                      <wps:wsp>
                        <wps:cNvPr id="177" name="文本框 10"/>
                        <wps:cNvSpPr txBox="1"/>
                        <wps:spPr>
                          <a:xfrm>
                            <a:off x="3945" y="9202"/>
                            <a:ext cx="465"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10F46">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氨</w:t>
                              </w:r>
                            </w:p>
                          </w:txbxContent>
                        </wps:txbx>
                        <wps:bodyPr vert="horz" wrap="square" lIns="0" tIns="0" rIns="0" bIns="0" anchor="t" anchorCtr="0" upright="1"/>
                      </wps:wsp>
                      <wps:wsp>
                        <wps:cNvPr id="178" name="文本框 11"/>
                        <wps:cNvSpPr txBox="1"/>
                        <wps:spPr>
                          <a:xfrm>
                            <a:off x="4489" y="8148"/>
                            <a:ext cx="636"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055BF">
                              <w:pPr>
                                <w:autoSpaceDE w:val="0"/>
                                <w:autoSpaceDN w:val="0"/>
                                <w:adjustRightInd w:val="0"/>
                                <w:jc w:val="center"/>
                                <w:rPr>
                                  <w:rFonts w:ascii="Arial" w:hAnsi="Arial" w:cs="宋体"/>
                                  <w:b/>
                                  <w:bCs/>
                                  <w:color w:val="000000"/>
                                  <w:sz w:val="36"/>
                                  <w:szCs w:val="36"/>
                                  <w:lang w:val="zh-CN"/>
                                </w:rPr>
                              </w:pPr>
                              <w:r>
                                <w:rPr>
                                  <w:rFonts w:hint="eastAsia" w:cs="宋体"/>
                                  <w:color w:val="000000"/>
                                  <w:sz w:val="18"/>
                                  <w:szCs w:val="18"/>
                                  <w:lang w:val="zh-CN"/>
                                </w:rPr>
                                <w:t>乳酸菌</w:t>
                              </w:r>
                              <w:r>
                                <w:rPr>
                                  <w:rFonts w:hint="eastAsia" w:cs="宋体"/>
                                  <w:color w:val="000000"/>
                                  <w:lang w:val="zh-CN"/>
                                </w:rPr>
                                <w:t>菌</w:t>
                              </w:r>
                            </w:p>
                          </w:txbxContent>
                        </wps:txbx>
                        <wps:bodyPr vert="horz" wrap="square" lIns="0" tIns="0" rIns="0" bIns="0" anchor="t" anchorCtr="0" upright="1"/>
                      </wps:wsp>
                      <wps:wsp>
                        <wps:cNvPr id="179" name="文本框 12"/>
                        <wps:cNvSpPr txBox="1"/>
                        <wps:spPr>
                          <a:xfrm>
                            <a:off x="8944" y="8305"/>
                            <a:ext cx="635"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26C39">
                              <w:pPr>
                                <w:autoSpaceDE w:val="0"/>
                                <w:autoSpaceDN w:val="0"/>
                                <w:adjustRightInd w:val="0"/>
                                <w:jc w:val="center"/>
                                <w:rPr>
                                  <w:rFonts w:ascii="Arial" w:hAnsi="Arial" w:cs="宋体"/>
                                  <w:b/>
                                  <w:bCs/>
                                  <w:color w:val="000000"/>
                                  <w:sz w:val="36"/>
                                  <w:szCs w:val="36"/>
                                </w:rPr>
                              </w:pPr>
                              <w:r>
                                <w:rPr>
                                  <w:color w:val="000000"/>
                                </w:rPr>
                                <w:t>N</w:t>
                              </w:r>
                              <w:r>
                                <w:rPr>
                                  <w:color w:val="000000"/>
                                  <w:vertAlign w:val="subscript"/>
                                </w:rPr>
                                <w:t>2</w:t>
                              </w:r>
                            </w:p>
                          </w:txbxContent>
                        </wps:txbx>
                        <wps:bodyPr vert="horz" wrap="square" lIns="0" tIns="0" rIns="0" bIns="0" anchor="t" anchorCtr="0" upright="1"/>
                      </wps:wsp>
                      <wps:wsp>
                        <wps:cNvPr id="180" name="文本框 13"/>
                        <wps:cNvSpPr txBox="1"/>
                        <wps:spPr>
                          <a:xfrm>
                            <a:off x="2451" y="10187"/>
                            <a:ext cx="635"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A52EC">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脂肪</w:t>
                              </w:r>
                            </w:p>
                          </w:txbxContent>
                        </wps:txbx>
                        <wps:bodyPr vert="horz" wrap="square" lIns="0" tIns="0" rIns="0" bIns="0" anchor="t" anchorCtr="0" upright="1"/>
                      </wps:wsp>
                      <wps:wsp>
                        <wps:cNvPr id="181" name="直线 14"/>
                        <wps:cNvSpPr/>
                        <wps:spPr>
                          <a:xfrm flipV="1">
                            <a:off x="3095" y="9342"/>
                            <a:ext cx="814" cy="2"/>
                          </a:xfrm>
                          <a:prstGeom prst="line">
                            <a:avLst/>
                          </a:prstGeom>
                          <a:ln w="9525" cap="flat" cmpd="sng">
                            <a:solidFill>
                              <a:srgbClr val="000000"/>
                            </a:solidFill>
                            <a:prstDash val="solid"/>
                            <a:headEnd type="none" w="med" len="med"/>
                            <a:tailEnd type="triangle" w="med" len="med"/>
                          </a:ln>
                        </wps:spPr>
                        <wps:bodyPr upright="1"/>
                      </wps:wsp>
                      <wps:wsp>
                        <wps:cNvPr id="182" name="文本框 15"/>
                        <wps:cNvSpPr txBox="1"/>
                        <wps:spPr>
                          <a:xfrm>
                            <a:off x="3113" y="9008"/>
                            <a:ext cx="665" cy="295"/>
                          </a:xfrm>
                          <a:prstGeom prst="rect">
                            <a:avLst/>
                          </a:prstGeom>
                          <a:solidFill>
                            <a:srgbClr val="FFFFFF"/>
                          </a:solidFill>
                          <a:ln>
                            <a:noFill/>
                          </a:ln>
                        </wps:spPr>
                        <wps:txbx>
                          <w:txbxContent>
                            <w:p w14:paraId="1FFBB74A">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脱氨酶</w:t>
                              </w:r>
                            </w:p>
                          </w:txbxContent>
                        </wps:txbx>
                        <wps:bodyPr vert="horz" wrap="square" lIns="0" tIns="0" rIns="0" bIns="0" anchor="t" anchorCtr="0" upright="1"/>
                      </wps:wsp>
                      <wps:wsp>
                        <wps:cNvPr id="183" name="直线 16"/>
                        <wps:cNvSpPr/>
                        <wps:spPr>
                          <a:xfrm>
                            <a:off x="4763" y="8549"/>
                            <a:ext cx="2" cy="474"/>
                          </a:xfrm>
                          <a:prstGeom prst="line">
                            <a:avLst/>
                          </a:prstGeom>
                          <a:ln w="9525" cap="flat" cmpd="sng">
                            <a:solidFill>
                              <a:srgbClr val="000000"/>
                            </a:solidFill>
                            <a:prstDash val="solid"/>
                            <a:headEnd type="none" w="med" len="med"/>
                            <a:tailEnd type="triangle" w="med" len="med"/>
                          </a:ln>
                        </wps:spPr>
                        <wps:bodyPr upright="1"/>
                      </wps:wsp>
                      <wps:wsp>
                        <wps:cNvPr id="184" name="直线 17"/>
                        <wps:cNvSpPr/>
                        <wps:spPr>
                          <a:xfrm flipV="1">
                            <a:off x="4446" y="9346"/>
                            <a:ext cx="815" cy="1"/>
                          </a:xfrm>
                          <a:prstGeom prst="line">
                            <a:avLst/>
                          </a:prstGeom>
                          <a:ln w="9525" cap="flat" cmpd="sng">
                            <a:solidFill>
                              <a:srgbClr val="000000"/>
                            </a:solidFill>
                            <a:prstDash val="solid"/>
                            <a:headEnd type="none" w="med" len="med"/>
                            <a:tailEnd type="triangle" w="med" len="med"/>
                          </a:ln>
                        </wps:spPr>
                        <wps:bodyPr upright="1"/>
                      </wps:wsp>
                      <wps:wsp>
                        <wps:cNvPr id="185" name="文本框 18"/>
                        <wps:cNvSpPr txBox="1"/>
                        <wps:spPr>
                          <a:xfrm>
                            <a:off x="4478" y="9044"/>
                            <a:ext cx="665" cy="296"/>
                          </a:xfrm>
                          <a:prstGeom prst="rect">
                            <a:avLst/>
                          </a:prstGeom>
                          <a:solidFill>
                            <a:srgbClr val="FFFFFF"/>
                          </a:solidFill>
                          <a:ln>
                            <a:noFill/>
                          </a:ln>
                        </wps:spPr>
                        <wps:txbx>
                          <w:txbxContent>
                            <w:p w14:paraId="240281E6">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有机酸</w:t>
                              </w:r>
                            </w:p>
                          </w:txbxContent>
                        </wps:txbx>
                        <wps:bodyPr vert="horz" wrap="square" lIns="0" tIns="0" rIns="0" bIns="0" anchor="t" anchorCtr="0" upright="1"/>
                      </wps:wsp>
                      <wps:wsp>
                        <wps:cNvPr id="186" name="文本框 19"/>
                        <wps:cNvSpPr txBox="1"/>
                        <wps:spPr>
                          <a:xfrm>
                            <a:off x="5220" y="9189"/>
                            <a:ext cx="650" cy="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08CA6C">
                              <w:pPr>
                                <w:autoSpaceDE w:val="0"/>
                                <w:autoSpaceDN w:val="0"/>
                                <w:adjustRightInd w:val="0"/>
                                <w:jc w:val="center"/>
                                <w:rPr>
                                  <w:rFonts w:ascii="Arial" w:hAnsi="Arial" w:cs="宋体"/>
                                  <w:b/>
                                  <w:bCs/>
                                  <w:color w:val="000000"/>
                                  <w:sz w:val="18"/>
                                  <w:szCs w:val="18"/>
                                  <w:lang w:val="zh-CN"/>
                                </w:rPr>
                              </w:pPr>
                              <w:r>
                                <w:rPr>
                                  <w:rFonts w:hint="eastAsia" w:cs="宋体"/>
                                  <w:color w:val="000000"/>
                                  <w:sz w:val="18"/>
                                  <w:szCs w:val="18"/>
                                  <w:lang w:val="zh-CN"/>
                                </w:rPr>
                                <w:t>酸铵</w:t>
                              </w:r>
                            </w:p>
                          </w:txbxContent>
                        </wps:txbx>
                        <wps:bodyPr vert="horz" wrap="square" lIns="0" tIns="0" rIns="0" bIns="0" anchor="t" anchorCtr="0" upright="1"/>
                      </wps:wsp>
                      <wps:wsp>
                        <wps:cNvPr id="187" name="直线 20"/>
                        <wps:cNvSpPr/>
                        <wps:spPr>
                          <a:xfrm flipV="1">
                            <a:off x="5715" y="9349"/>
                            <a:ext cx="1166" cy="1"/>
                          </a:xfrm>
                          <a:prstGeom prst="line">
                            <a:avLst/>
                          </a:prstGeom>
                          <a:ln w="9525" cap="flat" cmpd="sng">
                            <a:solidFill>
                              <a:srgbClr val="000000"/>
                            </a:solidFill>
                            <a:prstDash val="solid"/>
                            <a:headEnd type="none" w="med" len="med"/>
                            <a:tailEnd type="triangle" w="med" len="med"/>
                          </a:ln>
                        </wps:spPr>
                        <wps:bodyPr upright="1"/>
                      </wps:wsp>
                      <wps:wsp>
                        <wps:cNvPr id="188" name="文本框 21"/>
                        <wps:cNvSpPr txBox="1"/>
                        <wps:spPr>
                          <a:xfrm>
                            <a:off x="5940" y="8772"/>
                            <a:ext cx="1000" cy="295"/>
                          </a:xfrm>
                          <a:prstGeom prst="rect">
                            <a:avLst/>
                          </a:prstGeom>
                          <a:solidFill>
                            <a:srgbClr val="FFFFFF"/>
                          </a:solidFill>
                          <a:ln>
                            <a:noFill/>
                          </a:ln>
                        </wps:spPr>
                        <wps:txbx>
                          <w:txbxContent>
                            <w:p w14:paraId="15458A83">
                              <w:pPr>
                                <w:autoSpaceDE w:val="0"/>
                                <w:autoSpaceDN w:val="0"/>
                                <w:adjustRightInd w:val="0"/>
                                <w:jc w:val="center"/>
                                <w:rPr>
                                  <w:rFonts w:ascii="Arial" w:hAnsi="Arial" w:cs="宋体"/>
                                  <w:b/>
                                  <w:bCs/>
                                  <w:color w:val="000000"/>
                                  <w:sz w:val="36"/>
                                  <w:szCs w:val="36"/>
                                  <w:lang w:val="zh-CN"/>
                                </w:rPr>
                              </w:pPr>
                              <w:r>
                                <w:rPr>
                                  <w:rFonts w:hint="eastAsia" w:cs="宋体"/>
                                  <w:color w:val="000000"/>
                                  <w:sz w:val="18"/>
                                  <w:szCs w:val="18"/>
                                  <w:lang w:val="zh-CN"/>
                                </w:rPr>
                                <w:t>亚硝酸细菌</w:t>
                              </w:r>
                            </w:p>
                          </w:txbxContent>
                        </wps:txbx>
                        <wps:bodyPr vert="horz" wrap="square" lIns="0" tIns="0" rIns="0" bIns="0" anchor="t" anchorCtr="0" upright="1"/>
                      </wps:wsp>
                      <wps:wsp>
                        <wps:cNvPr id="189" name="文本框 22"/>
                        <wps:cNvSpPr txBox="1"/>
                        <wps:spPr>
                          <a:xfrm>
                            <a:off x="6901" y="9153"/>
                            <a:ext cx="889" cy="3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2BD3E">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亚硝酸盐</w:t>
                              </w:r>
                            </w:p>
                          </w:txbxContent>
                        </wps:txbx>
                        <wps:bodyPr vert="horz" wrap="square" lIns="0" tIns="0" rIns="0" bIns="0" anchor="t" anchorCtr="0" upright="1"/>
                      </wps:wsp>
                      <wps:wsp>
                        <wps:cNvPr id="193" name="直线 23"/>
                        <wps:cNvSpPr/>
                        <wps:spPr>
                          <a:xfrm flipV="1">
                            <a:off x="7826" y="9340"/>
                            <a:ext cx="996" cy="1"/>
                          </a:xfrm>
                          <a:prstGeom prst="line">
                            <a:avLst/>
                          </a:prstGeom>
                          <a:ln w="9525" cap="flat" cmpd="sng">
                            <a:solidFill>
                              <a:srgbClr val="000000"/>
                            </a:solidFill>
                            <a:prstDash val="solid"/>
                            <a:headEnd type="none" w="med" len="med"/>
                            <a:tailEnd type="triangle" w="med" len="med"/>
                          </a:ln>
                        </wps:spPr>
                        <wps:bodyPr upright="1"/>
                      </wps:wsp>
                      <wps:wsp>
                        <wps:cNvPr id="194" name="文本框 24"/>
                        <wps:cNvSpPr txBox="1"/>
                        <wps:spPr>
                          <a:xfrm>
                            <a:off x="7863" y="8949"/>
                            <a:ext cx="874" cy="295"/>
                          </a:xfrm>
                          <a:prstGeom prst="rect">
                            <a:avLst/>
                          </a:prstGeom>
                          <a:solidFill>
                            <a:srgbClr val="FFFFFF"/>
                          </a:solidFill>
                          <a:ln>
                            <a:noFill/>
                          </a:ln>
                        </wps:spPr>
                        <wps:txbx>
                          <w:txbxContent>
                            <w:p w14:paraId="2BE20DEA">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 xml:space="preserve">  硝酸细菌</w:t>
                              </w:r>
                            </w:p>
                          </w:txbxContent>
                        </wps:txbx>
                        <wps:bodyPr vert="horz" wrap="square" lIns="0" tIns="0" rIns="0" bIns="0" anchor="t" anchorCtr="0" upright="1"/>
                      </wps:wsp>
                      <wps:wsp>
                        <wps:cNvPr id="195" name="文本框 25"/>
                        <wps:cNvSpPr txBox="1"/>
                        <wps:spPr>
                          <a:xfrm>
                            <a:off x="8829" y="9143"/>
                            <a:ext cx="889" cy="3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568C12">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硝酸盐</w:t>
                              </w:r>
                            </w:p>
                          </w:txbxContent>
                        </wps:txbx>
                        <wps:bodyPr vert="horz" wrap="square" lIns="0" tIns="0" rIns="0" bIns="0" anchor="t" anchorCtr="0" upright="1"/>
                      </wps:wsp>
                      <wps:wsp>
                        <wps:cNvPr id="196" name="直线 26"/>
                        <wps:cNvSpPr/>
                        <wps:spPr>
                          <a:xfrm flipV="1">
                            <a:off x="9273" y="8622"/>
                            <a:ext cx="2" cy="508"/>
                          </a:xfrm>
                          <a:prstGeom prst="line">
                            <a:avLst/>
                          </a:prstGeom>
                          <a:ln w="9525" cap="flat" cmpd="sng">
                            <a:solidFill>
                              <a:srgbClr val="000000"/>
                            </a:solidFill>
                            <a:prstDash val="solid"/>
                            <a:headEnd type="none" w="med" len="med"/>
                            <a:tailEnd type="triangle" w="med" len="med"/>
                          </a:ln>
                        </wps:spPr>
                        <wps:bodyPr upright="1"/>
                      </wps:wsp>
                      <wps:wsp>
                        <wps:cNvPr id="197" name="直线 27"/>
                        <wps:cNvSpPr/>
                        <wps:spPr>
                          <a:xfrm flipV="1">
                            <a:off x="3108" y="10347"/>
                            <a:ext cx="1280" cy="1"/>
                          </a:xfrm>
                          <a:prstGeom prst="line">
                            <a:avLst/>
                          </a:prstGeom>
                          <a:ln w="9525" cap="flat" cmpd="sng">
                            <a:solidFill>
                              <a:srgbClr val="000000"/>
                            </a:solidFill>
                            <a:prstDash val="solid"/>
                            <a:headEnd type="none" w="med" len="med"/>
                            <a:tailEnd type="triangle" w="med" len="med"/>
                          </a:ln>
                        </wps:spPr>
                        <wps:bodyPr upright="1"/>
                      </wps:wsp>
                      <wps:wsp>
                        <wps:cNvPr id="198" name="文本框 28"/>
                        <wps:cNvSpPr txBox="1"/>
                        <wps:spPr>
                          <a:xfrm>
                            <a:off x="3256" y="10418"/>
                            <a:ext cx="665" cy="295"/>
                          </a:xfrm>
                          <a:prstGeom prst="rect">
                            <a:avLst/>
                          </a:prstGeom>
                          <a:solidFill>
                            <a:srgbClr val="FFFFFF"/>
                          </a:solidFill>
                          <a:ln>
                            <a:noFill/>
                          </a:ln>
                        </wps:spPr>
                        <wps:txbx>
                          <w:txbxContent>
                            <w:p w14:paraId="377D02A7">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脂肪酶</w:t>
                              </w:r>
                            </w:p>
                          </w:txbxContent>
                        </wps:txbx>
                        <wps:bodyPr vert="horz" wrap="square" lIns="0" tIns="0" rIns="0" bIns="0" anchor="t" anchorCtr="0" upright="1"/>
                      </wps:wsp>
                      <wps:wsp>
                        <wps:cNvPr id="199" name="文本框 29"/>
                        <wps:cNvSpPr txBox="1"/>
                        <wps:spPr>
                          <a:xfrm>
                            <a:off x="2357" y="11964"/>
                            <a:ext cx="1297" cy="311"/>
                          </a:xfrm>
                          <a:prstGeom prst="rect">
                            <a:avLst/>
                          </a:prstGeom>
                          <a:solidFill>
                            <a:srgbClr val="FFFFFF"/>
                          </a:solidFill>
                          <a:ln>
                            <a:noFill/>
                          </a:ln>
                        </wps:spPr>
                        <wps:txbx>
                          <w:txbxContent>
                            <w:p w14:paraId="303F32A8">
                              <w:pPr>
                                <w:autoSpaceDE w:val="0"/>
                                <w:autoSpaceDN w:val="0"/>
                                <w:adjustRightInd w:val="0"/>
                                <w:jc w:val="center"/>
                                <w:rPr>
                                  <w:rFonts w:ascii="Arial" w:hAnsi="Arial" w:cs="宋体"/>
                                  <w:b/>
                                  <w:bCs/>
                                  <w:color w:val="000000"/>
                                  <w:sz w:val="36"/>
                                  <w:szCs w:val="36"/>
                                  <w:lang w:val="zh-CN"/>
                                </w:rPr>
                              </w:pPr>
                            </w:p>
                          </w:txbxContent>
                        </wps:txbx>
                        <wps:bodyPr vert="horz" wrap="square" lIns="0" tIns="0" rIns="0" bIns="0" anchor="t" anchorCtr="0" upright="1"/>
                      </wps:wsp>
                      <wps:wsp>
                        <wps:cNvPr id="200" name="文本框 30"/>
                        <wps:cNvSpPr txBox="1"/>
                        <wps:spPr>
                          <a:xfrm>
                            <a:off x="4519" y="10062"/>
                            <a:ext cx="693"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D1FDC8">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脂肪酸</w:t>
                              </w:r>
                            </w:p>
                          </w:txbxContent>
                        </wps:txbx>
                        <wps:bodyPr vert="horz" wrap="square" lIns="0" tIns="0" rIns="0" bIns="0" anchor="t" anchorCtr="0" upright="1"/>
                      </wps:wsp>
                      <wps:wsp>
                        <wps:cNvPr id="201" name="文本框 31"/>
                        <wps:cNvSpPr txBox="1"/>
                        <wps:spPr>
                          <a:xfrm>
                            <a:off x="4519" y="10426"/>
                            <a:ext cx="693"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92122B">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丙三醇</w:t>
                              </w:r>
                            </w:p>
                          </w:txbxContent>
                        </wps:txbx>
                        <wps:bodyPr vert="horz" wrap="square" lIns="0" tIns="0" rIns="0" bIns="0" anchor="t" anchorCtr="0" upright="1"/>
                      </wps:wsp>
                      <wps:wsp>
                        <wps:cNvPr id="202" name="直线 32"/>
                        <wps:cNvSpPr/>
                        <wps:spPr>
                          <a:xfrm flipV="1">
                            <a:off x="5232" y="10593"/>
                            <a:ext cx="815" cy="1"/>
                          </a:xfrm>
                          <a:prstGeom prst="line">
                            <a:avLst/>
                          </a:prstGeom>
                          <a:ln w="9525" cap="flat" cmpd="sng">
                            <a:solidFill>
                              <a:srgbClr val="000000"/>
                            </a:solidFill>
                            <a:prstDash val="solid"/>
                            <a:headEnd type="none" w="med" len="med"/>
                            <a:tailEnd type="triangle" w="med" len="med"/>
                          </a:ln>
                        </wps:spPr>
                        <wps:bodyPr upright="1"/>
                      </wps:wsp>
                      <wps:wsp>
                        <wps:cNvPr id="203" name="文本框 33"/>
                        <wps:cNvSpPr txBox="1"/>
                        <wps:spPr>
                          <a:xfrm>
                            <a:off x="6058" y="10459"/>
                            <a:ext cx="721" cy="3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75510">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丙酮酸</w:t>
                              </w:r>
                            </w:p>
                          </w:txbxContent>
                        </wps:txbx>
                        <wps:bodyPr vert="horz" wrap="square" lIns="0" tIns="0" rIns="0" bIns="0" anchor="t" anchorCtr="0" upright="1"/>
                      </wps:wsp>
                      <wps:wsp>
                        <wps:cNvPr id="204" name="直线 34"/>
                        <wps:cNvSpPr/>
                        <wps:spPr>
                          <a:xfrm flipV="1">
                            <a:off x="5204" y="10233"/>
                            <a:ext cx="2168" cy="0"/>
                          </a:xfrm>
                          <a:prstGeom prst="line">
                            <a:avLst/>
                          </a:prstGeom>
                          <a:ln w="9525" cap="flat" cmpd="sng">
                            <a:solidFill>
                              <a:srgbClr val="000000"/>
                            </a:solidFill>
                            <a:prstDash val="solid"/>
                            <a:headEnd type="none" w="med" len="med"/>
                            <a:tailEnd type="triangle" w="med" len="med"/>
                          </a:ln>
                        </wps:spPr>
                        <wps:bodyPr upright="1"/>
                      </wps:wsp>
                      <wps:wsp>
                        <wps:cNvPr id="205" name="文本框 35"/>
                        <wps:cNvSpPr txBox="1"/>
                        <wps:spPr>
                          <a:xfrm>
                            <a:off x="5805" y="9669"/>
                            <a:ext cx="890" cy="3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5F1E95">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有机酸</w:t>
                              </w:r>
                            </w:p>
                          </w:txbxContent>
                        </wps:txbx>
                        <wps:bodyPr vert="horz" wrap="square" lIns="0" tIns="0" rIns="0" bIns="0" anchor="t" anchorCtr="0" upright="1"/>
                      </wps:wsp>
                      <wps:wsp>
                        <wps:cNvPr id="206" name="自选图形 36"/>
                        <wps:cNvCnPr>
                          <a:stCxn id="156" idx="3"/>
                          <a:endCxn id="157" idx="1"/>
                        </wps:cNvCnPr>
                        <wps:spPr>
                          <a:xfrm rot="-5400000" flipH="1">
                            <a:off x="4342" y="8395"/>
                            <a:ext cx="504" cy="2359"/>
                          </a:xfrm>
                          <a:prstGeom prst="bentConnector2">
                            <a:avLst/>
                          </a:prstGeom>
                          <a:ln w="9525" cap="flat" cmpd="sng">
                            <a:solidFill>
                              <a:srgbClr val="000000"/>
                            </a:solidFill>
                            <a:prstDash val="solid"/>
                            <a:miter/>
                            <a:headEnd type="none" w="med" len="med"/>
                            <a:tailEnd type="triangle" w="med" len="med"/>
                          </a:ln>
                        </wps:spPr>
                        <wps:bodyPr/>
                      </wps:wsp>
                      <wps:wsp>
                        <wps:cNvPr id="207" name="椭圆 37"/>
                        <wps:cNvSpPr/>
                        <wps:spPr>
                          <a:xfrm>
                            <a:off x="7173" y="10017"/>
                            <a:ext cx="1394" cy="1571"/>
                          </a:xfrm>
                          <a:prstGeom prst="ellipse">
                            <a:avLst/>
                          </a:prstGeom>
                          <a:solidFill>
                            <a:srgbClr val="FFFFFF"/>
                          </a:solidFill>
                          <a:ln w="9525" cap="flat" cmpd="sng">
                            <a:solidFill>
                              <a:srgbClr val="000000"/>
                            </a:solidFill>
                            <a:prstDash val="solid"/>
                            <a:headEnd type="none" w="med" len="med"/>
                            <a:tailEnd type="none" w="med" len="med"/>
                          </a:ln>
                        </wps:spPr>
                        <wps:bodyPr vert="horz" wrap="square" anchor="t" anchorCtr="0" upright="1"/>
                      </wps:wsp>
                      <wps:wsp>
                        <wps:cNvPr id="208" name="直线 38"/>
                        <wps:cNvSpPr/>
                        <wps:spPr>
                          <a:xfrm>
                            <a:off x="6724" y="9807"/>
                            <a:ext cx="874" cy="180"/>
                          </a:xfrm>
                          <a:prstGeom prst="line">
                            <a:avLst/>
                          </a:prstGeom>
                          <a:ln w="9525" cap="flat" cmpd="sng">
                            <a:solidFill>
                              <a:srgbClr val="000000"/>
                            </a:solidFill>
                            <a:prstDash val="solid"/>
                            <a:headEnd type="none" w="med" len="med"/>
                            <a:tailEnd type="triangle" w="med" len="med"/>
                          </a:ln>
                        </wps:spPr>
                        <wps:bodyPr upright="1"/>
                      </wps:wsp>
                      <wps:wsp>
                        <wps:cNvPr id="209" name="任意多边形 39"/>
                        <wps:cNvSpPr/>
                        <wps:spPr>
                          <a:xfrm>
                            <a:off x="6781" y="10446"/>
                            <a:ext cx="479" cy="248"/>
                          </a:xfrm>
                          <a:custGeom>
                            <a:avLst/>
                            <a:gdLst/>
                            <a:ahLst/>
                            <a:cxnLst/>
                            <a:pathLst>
                              <a:path w="510" h="228">
                                <a:moveTo>
                                  <a:pt x="0" y="195"/>
                                </a:moveTo>
                                <a:cubicBezTo>
                                  <a:pt x="62" y="211"/>
                                  <a:pt x="125" y="228"/>
                                  <a:pt x="210" y="195"/>
                                </a:cubicBezTo>
                                <a:cubicBezTo>
                                  <a:pt x="295" y="162"/>
                                  <a:pt x="402" y="81"/>
                                  <a:pt x="510" y="0"/>
                                </a:cubicBezTo>
                              </a:path>
                            </a:pathLst>
                          </a:custGeom>
                          <a:noFill/>
                          <a:ln w="15875" cap="flat" cmpd="sng">
                            <a:solidFill>
                              <a:srgbClr val="000000"/>
                            </a:solidFill>
                            <a:prstDash val="solid"/>
                            <a:headEnd type="none" w="med" len="med"/>
                            <a:tailEnd type="none" w="med" len="med"/>
                          </a:ln>
                        </wps:spPr>
                        <wps:bodyPr vert="horz" wrap="square" anchor="t" anchorCtr="0" upright="1"/>
                      </wps:wsp>
                      <wps:wsp>
                        <wps:cNvPr id="210" name="文本框 40"/>
                        <wps:cNvSpPr txBox="1"/>
                        <wps:spPr>
                          <a:xfrm>
                            <a:off x="7276" y="10632"/>
                            <a:ext cx="1143" cy="311"/>
                          </a:xfrm>
                          <a:prstGeom prst="rect">
                            <a:avLst/>
                          </a:prstGeom>
                          <a:solidFill>
                            <a:srgbClr val="FFFFFF"/>
                          </a:solidFill>
                          <a:ln>
                            <a:noFill/>
                          </a:ln>
                        </wps:spPr>
                        <wps:txbx>
                          <w:txbxContent>
                            <w:p w14:paraId="5FF587B6">
                              <w:pPr>
                                <w:autoSpaceDE w:val="0"/>
                                <w:autoSpaceDN w:val="0"/>
                                <w:adjustRightInd w:val="0"/>
                                <w:jc w:val="center"/>
                                <w:rPr>
                                  <w:rFonts w:cs="宋体"/>
                                  <w:color w:val="000000"/>
                                  <w:lang w:val="zh-CN"/>
                                </w:rPr>
                              </w:pPr>
                              <w:r>
                                <w:rPr>
                                  <w:rFonts w:hint="eastAsia" w:cs="宋体"/>
                                  <w:color w:val="000000"/>
                                  <w:lang w:val="zh-CN"/>
                                </w:rPr>
                                <w:t>柠檬酸循环</w:t>
                              </w:r>
                            </w:p>
                            <w:p w14:paraId="1230BC91">
                              <w:pPr>
                                <w:autoSpaceDE w:val="0"/>
                                <w:autoSpaceDN w:val="0"/>
                                <w:adjustRightInd w:val="0"/>
                                <w:jc w:val="center"/>
                                <w:rPr>
                                  <w:rFonts w:cs="宋体"/>
                                  <w:color w:val="000000"/>
                                  <w:lang w:val="zh-CN"/>
                                </w:rPr>
                              </w:pPr>
                              <w:r>
                                <w:rPr>
                                  <w:rFonts w:hint="eastAsia" w:cs="宋体"/>
                                  <w:color w:val="000000"/>
                                  <w:lang w:val="zh-CN"/>
                                </w:rPr>
                                <w:t>（）</w:t>
                              </w:r>
                            </w:p>
                            <w:p w14:paraId="4A35AD87">
                              <w:pPr>
                                <w:autoSpaceDE w:val="0"/>
                                <w:autoSpaceDN w:val="0"/>
                                <w:adjustRightInd w:val="0"/>
                                <w:jc w:val="center"/>
                                <w:rPr>
                                  <w:rFonts w:ascii="Arial" w:hAnsi="Arial" w:cs="宋体"/>
                                  <w:b/>
                                  <w:bCs/>
                                  <w:color w:val="000000"/>
                                  <w:sz w:val="36"/>
                                  <w:szCs w:val="36"/>
                                  <w:lang w:val="zh-CN"/>
                                </w:rPr>
                              </w:pPr>
                            </w:p>
                          </w:txbxContent>
                        </wps:txbx>
                        <wps:bodyPr vert="horz" wrap="square" lIns="0" tIns="0" rIns="0" bIns="0" anchor="t" anchorCtr="0" upright="1"/>
                      </wps:wsp>
                      <wps:wsp>
                        <wps:cNvPr id="211" name="文本框 41"/>
                        <wps:cNvSpPr txBox="1"/>
                        <wps:spPr>
                          <a:xfrm>
                            <a:off x="8998" y="9987"/>
                            <a:ext cx="495" cy="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7C3FC">
                              <w:pPr>
                                <w:autoSpaceDE w:val="0"/>
                                <w:autoSpaceDN w:val="0"/>
                                <w:adjustRightInd w:val="0"/>
                                <w:jc w:val="center"/>
                                <w:rPr>
                                  <w:rFonts w:ascii="Arial" w:hAnsi="Arial" w:cs="宋体"/>
                                  <w:b/>
                                  <w:bCs/>
                                  <w:color w:val="000000"/>
                                  <w:sz w:val="36"/>
                                  <w:szCs w:val="36"/>
                                </w:rPr>
                              </w:pPr>
                              <w:r>
                                <w:rPr>
                                  <w:color w:val="000000"/>
                                </w:rPr>
                                <w:t>CO</w:t>
                              </w:r>
                              <w:r>
                                <w:rPr>
                                  <w:color w:val="000000"/>
                                  <w:vertAlign w:val="subscript"/>
                                </w:rPr>
                                <w:t>2</w:t>
                              </w:r>
                            </w:p>
                          </w:txbxContent>
                        </wps:txbx>
                        <wps:bodyPr vert="horz" wrap="square" lIns="0" tIns="0" rIns="0" bIns="0" anchor="t" anchorCtr="0" upright="1"/>
                      </wps:wsp>
                      <wps:wsp>
                        <wps:cNvPr id="212" name="任意多边形 42"/>
                        <wps:cNvSpPr/>
                        <wps:spPr>
                          <a:xfrm rot="9037742">
                            <a:off x="8385" y="10089"/>
                            <a:ext cx="546" cy="275"/>
                          </a:xfrm>
                          <a:custGeom>
                            <a:avLst/>
                            <a:gdLst/>
                            <a:ahLst/>
                            <a:cxnLst/>
                            <a:pathLst>
                              <a:path w="272" h="68">
                                <a:moveTo>
                                  <a:pt x="272" y="68"/>
                                </a:moveTo>
                                <a:cubicBezTo>
                                  <a:pt x="260" y="51"/>
                                  <a:pt x="249" y="34"/>
                                  <a:pt x="204" y="23"/>
                                </a:cubicBezTo>
                                <a:cubicBezTo>
                                  <a:pt x="159" y="12"/>
                                  <a:pt x="79" y="6"/>
                                  <a:pt x="0" y="0"/>
                                </a:cubicBezTo>
                              </a:path>
                            </a:pathLst>
                          </a:custGeom>
                          <a:noFill/>
                          <a:ln w="12700" cap="flat" cmpd="sng">
                            <a:solidFill>
                              <a:srgbClr val="000000"/>
                            </a:solidFill>
                            <a:prstDash val="solid"/>
                            <a:headEnd type="none" w="med" len="med"/>
                            <a:tailEnd type="triangle" w="med" len="med"/>
                          </a:ln>
                        </wps:spPr>
                        <wps:bodyPr vert="horz" wrap="square" anchor="t" anchorCtr="0" upright="1"/>
                      </wps:wsp>
                      <wps:wsp>
                        <wps:cNvPr id="213" name="任意多边形 43"/>
                        <wps:cNvSpPr/>
                        <wps:spPr>
                          <a:xfrm rot="-6830447">
                            <a:off x="7920" y="11525"/>
                            <a:ext cx="423" cy="335"/>
                          </a:xfrm>
                          <a:custGeom>
                            <a:avLst/>
                            <a:gdLst/>
                            <a:ahLst/>
                            <a:cxnLst/>
                            <a:pathLst>
                              <a:path w="272" h="68">
                                <a:moveTo>
                                  <a:pt x="272" y="68"/>
                                </a:moveTo>
                                <a:cubicBezTo>
                                  <a:pt x="260" y="51"/>
                                  <a:pt x="249" y="34"/>
                                  <a:pt x="204" y="23"/>
                                </a:cubicBezTo>
                                <a:cubicBezTo>
                                  <a:pt x="159" y="12"/>
                                  <a:pt x="79" y="6"/>
                                  <a:pt x="0" y="0"/>
                                </a:cubicBezTo>
                              </a:path>
                            </a:pathLst>
                          </a:custGeom>
                          <a:noFill/>
                          <a:ln w="12700" cap="flat" cmpd="sng">
                            <a:solidFill>
                              <a:srgbClr val="000000"/>
                            </a:solidFill>
                            <a:prstDash val="solid"/>
                            <a:headEnd type="none" w="med" len="med"/>
                            <a:tailEnd type="triangle" w="med" len="med"/>
                          </a:ln>
                        </wps:spPr>
                        <wps:bodyPr vert="horz" wrap="square" anchor="t" anchorCtr="0" upright="1"/>
                      </wps:wsp>
                      <wps:wsp>
                        <wps:cNvPr id="214" name="椭圆 44"/>
                        <wps:cNvSpPr/>
                        <wps:spPr>
                          <a:xfrm>
                            <a:off x="7250" y="11536"/>
                            <a:ext cx="402" cy="454"/>
                          </a:xfrm>
                          <a:prstGeom prst="ellipse">
                            <a:avLst/>
                          </a:prstGeom>
                          <a:solidFill>
                            <a:srgbClr val="FFFFFF"/>
                          </a:solidFill>
                          <a:ln w="12700" cap="flat" cmpd="sng">
                            <a:solidFill>
                              <a:srgbClr val="000000"/>
                            </a:solidFill>
                            <a:prstDash val="solid"/>
                            <a:headEnd type="none" w="med" len="med"/>
                            <a:tailEnd type="none" w="med" len="med"/>
                          </a:ln>
                        </wps:spPr>
                        <wps:txbx>
                          <w:txbxContent>
                            <w:p w14:paraId="459B4439">
                              <w:pPr>
                                <w:autoSpaceDE w:val="0"/>
                                <w:autoSpaceDN w:val="0"/>
                                <w:adjustRightInd w:val="0"/>
                                <w:jc w:val="center"/>
                                <w:rPr>
                                  <w:rFonts w:ascii="Arial" w:hAnsi="Arial" w:cs="宋体"/>
                                  <w:b/>
                                  <w:bCs/>
                                  <w:color w:val="000000"/>
                                  <w:sz w:val="36"/>
                                  <w:szCs w:val="36"/>
                                </w:rPr>
                              </w:pPr>
                              <w:r>
                                <w:rPr>
                                  <w:color w:val="000000"/>
                                  <w:sz w:val="24"/>
                                </w:rPr>
                                <w:t>O</w:t>
                              </w:r>
                              <w:r>
                                <w:rPr>
                                  <w:color w:val="000000"/>
                                  <w:sz w:val="24"/>
                                  <w:vertAlign w:val="subscript"/>
                                </w:rPr>
                                <w:t>2</w:t>
                              </w:r>
                            </w:p>
                          </w:txbxContent>
                        </wps:txbx>
                        <wps:bodyPr vert="horz" wrap="square" lIns="0" tIns="0" rIns="0" bIns="0" anchor="ctr" anchorCtr="0" upright="1"/>
                      </wps:wsp>
                      <wps:wsp>
                        <wps:cNvPr id="215" name="文本框 45"/>
                        <wps:cNvSpPr txBox="1"/>
                        <wps:spPr>
                          <a:xfrm>
                            <a:off x="7844" y="11967"/>
                            <a:ext cx="494" cy="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C4665E">
                              <w:pPr>
                                <w:autoSpaceDE w:val="0"/>
                                <w:autoSpaceDN w:val="0"/>
                                <w:adjustRightInd w:val="0"/>
                                <w:jc w:val="center"/>
                                <w:rPr>
                                  <w:rFonts w:ascii="Arial" w:hAnsi="Arial" w:cs="宋体"/>
                                  <w:b/>
                                  <w:bCs/>
                                  <w:color w:val="000000"/>
                                  <w:sz w:val="36"/>
                                  <w:szCs w:val="36"/>
                                </w:rPr>
                              </w:pPr>
                              <w:r>
                                <w:rPr>
                                  <w:color w:val="000000"/>
                                </w:rPr>
                                <w:t>H</w:t>
                              </w:r>
                              <w:r>
                                <w:rPr>
                                  <w:color w:val="000000"/>
                                  <w:vertAlign w:val="subscript"/>
                                </w:rPr>
                                <w:t>2</w:t>
                              </w:r>
                              <w:r>
                                <w:rPr>
                                  <w:color w:val="000000"/>
                                </w:rPr>
                                <w:t>O</w:t>
                              </w:r>
                            </w:p>
                          </w:txbxContent>
                        </wps:txbx>
                        <wps:bodyPr vert="horz" wrap="square" lIns="0" tIns="0" rIns="0" bIns="0" anchor="t" anchorCtr="0" upright="1"/>
                      </wps:wsp>
                      <wps:wsp>
                        <wps:cNvPr id="216" name="直线 46"/>
                        <wps:cNvSpPr/>
                        <wps:spPr>
                          <a:xfrm>
                            <a:off x="7713" y="11771"/>
                            <a:ext cx="284" cy="1"/>
                          </a:xfrm>
                          <a:prstGeom prst="line">
                            <a:avLst/>
                          </a:prstGeom>
                          <a:ln w="9525" cap="flat" cmpd="sng">
                            <a:solidFill>
                              <a:srgbClr val="000000"/>
                            </a:solidFill>
                            <a:prstDash val="solid"/>
                            <a:headEnd type="none" w="med" len="med"/>
                            <a:tailEnd type="triangle" w="med" len="med"/>
                          </a:ln>
                        </wps:spPr>
                        <wps:bodyPr upright="1"/>
                      </wps:wsp>
                      <wps:wsp>
                        <wps:cNvPr id="217" name="文本框 47"/>
                        <wps:cNvSpPr txBox="1"/>
                        <wps:spPr>
                          <a:xfrm>
                            <a:off x="8985" y="11516"/>
                            <a:ext cx="677" cy="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65100">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能量</w:t>
                              </w:r>
                            </w:p>
                          </w:txbxContent>
                        </wps:txbx>
                        <wps:bodyPr vert="horz" wrap="square" lIns="0" tIns="0" rIns="0" bIns="0" anchor="t" anchorCtr="0" upright="1"/>
                      </wps:wsp>
                      <wps:wsp>
                        <wps:cNvPr id="218" name="自选图形 48"/>
                        <wps:cNvSpPr/>
                        <wps:spPr>
                          <a:xfrm rot="2289012">
                            <a:off x="8100" y="11489"/>
                            <a:ext cx="1386" cy="302"/>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0000">
                              <a:alpha val="27000"/>
                            </a:srgbClr>
                          </a:solidFill>
                          <a:ln w="9525" cap="flat" cmpd="sng">
                            <a:solidFill>
                              <a:srgbClr val="FFFFFF"/>
                            </a:solidFill>
                            <a:prstDash val="solid"/>
                            <a:miter/>
                            <a:headEnd type="none" w="med" len="med"/>
                            <a:tailEnd type="none" w="med" len="med"/>
                          </a:ln>
                        </wps:spPr>
                        <wps:bodyPr vert="horz" wrap="square" anchor="ctr" anchorCtr="0" upright="1"/>
                      </wps:wsp>
                      <wps:wsp>
                        <wps:cNvPr id="219" name="文本框 49"/>
                        <wps:cNvSpPr txBox="1"/>
                        <wps:spPr>
                          <a:xfrm>
                            <a:off x="5723" y="12021"/>
                            <a:ext cx="1297" cy="312"/>
                          </a:xfrm>
                          <a:prstGeom prst="rect">
                            <a:avLst/>
                          </a:prstGeom>
                          <a:noFill/>
                          <a:ln>
                            <a:noFill/>
                          </a:ln>
                        </wps:spPr>
                        <wps:txbx>
                          <w:txbxContent>
                            <w:p w14:paraId="4AB28369">
                              <w:pPr>
                                <w:autoSpaceDE w:val="0"/>
                                <w:autoSpaceDN w:val="0"/>
                                <w:adjustRightInd w:val="0"/>
                                <w:jc w:val="center"/>
                                <w:rPr>
                                  <w:rFonts w:ascii="Arial" w:hAnsi="Arial" w:cs="宋体"/>
                                  <w:b/>
                                  <w:bCs/>
                                  <w:color w:val="000000"/>
                                  <w:sz w:val="36"/>
                                  <w:szCs w:val="36"/>
                                  <w:lang w:val="zh-CN"/>
                                </w:rPr>
                              </w:pPr>
                              <w:r>
                                <w:rPr>
                                  <w:rFonts w:hint="eastAsia" w:ascii="楷体_GB2312" w:eastAsia="楷体_GB2312" w:cs="楷体_GB2312"/>
                                  <w:b/>
                                  <w:bCs/>
                                  <w:color w:val="000000"/>
                                  <w:lang w:val="zh-CN"/>
                                </w:rPr>
                                <w:t>菌体细胞内</w:t>
                              </w:r>
                            </w:p>
                            <w:p w14:paraId="0BA3304D"/>
                          </w:txbxContent>
                        </wps:txbx>
                        <wps:bodyPr vert="horz" wrap="square" lIns="0" tIns="0" rIns="0" bIns="0" anchor="t" anchorCtr="0" upright="1"/>
                      </wps:wsp>
                      <wps:wsp>
                        <wps:cNvPr id="220" name="文本框 50"/>
                        <wps:cNvSpPr txBox="1"/>
                        <wps:spPr>
                          <a:xfrm>
                            <a:off x="8196" y="8688"/>
                            <a:ext cx="1072" cy="327"/>
                          </a:xfrm>
                          <a:prstGeom prst="rect">
                            <a:avLst/>
                          </a:prstGeom>
                          <a:noFill/>
                          <a:ln>
                            <a:noFill/>
                          </a:ln>
                        </wps:spPr>
                        <wps:txbx>
                          <w:txbxContent>
                            <w:p w14:paraId="4310D1E7">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反硝化细菌</w:t>
                              </w:r>
                            </w:p>
                          </w:txbxContent>
                        </wps:txbx>
                        <wps:bodyPr vert="horz" wrap="square" lIns="0" tIns="0" rIns="0" bIns="0" anchor="t" anchorCtr="0" upright="1"/>
                      </wps:wsp>
                      <wps:wsp>
                        <wps:cNvPr id="221" name="自选图形 51"/>
                        <wps:cNvCnPr>
                          <a:stCxn id="189" idx="0"/>
                          <a:endCxn id="179" idx="1"/>
                        </wps:cNvCnPr>
                        <wps:spPr>
                          <a:xfrm rot="-5400000">
                            <a:off x="7799" y="8008"/>
                            <a:ext cx="692" cy="1598"/>
                          </a:xfrm>
                          <a:prstGeom prst="bentConnector2">
                            <a:avLst/>
                          </a:prstGeom>
                          <a:ln w="9525" cap="flat" cmpd="sng">
                            <a:solidFill>
                              <a:srgbClr val="000000"/>
                            </a:solidFill>
                            <a:prstDash val="solid"/>
                            <a:miter/>
                            <a:headEnd type="none" w="med" len="med"/>
                            <a:tailEnd type="triangle" w="med" len="med"/>
                          </a:ln>
                        </wps:spPr>
                        <wps:bodyPr/>
                      </wps:wsp>
                      <wps:wsp>
                        <wps:cNvPr id="222" name="文本框 52"/>
                        <wps:cNvSpPr txBox="1"/>
                        <wps:spPr>
                          <a:xfrm>
                            <a:off x="7492" y="8148"/>
                            <a:ext cx="1072" cy="262"/>
                          </a:xfrm>
                          <a:prstGeom prst="rect">
                            <a:avLst/>
                          </a:prstGeom>
                          <a:noFill/>
                          <a:ln>
                            <a:noFill/>
                          </a:ln>
                        </wps:spPr>
                        <wps:txbx>
                          <w:txbxContent>
                            <w:p w14:paraId="4F50E6BB">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反硝化细菌</w:t>
                              </w:r>
                            </w:p>
                          </w:txbxContent>
                        </wps:txbx>
                        <wps:bodyPr vert="horz" wrap="square" lIns="0" tIns="0" rIns="0" bIns="0" anchor="t" anchorCtr="0" upright="1"/>
                      </wps:wsp>
                    </wpg:wgp>
                  </a:graphicData>
                </a:graphic>
              </wp:anchor>
            </w:drawing>
          </mc:Choice>
          <mc:Fallback>
            <w:pict>
              <v:group id="组合 2" o:spid="_x0000_s1026" o:spt="203" style="position:absolute;left:0pt;margin-left:4.85pt;margin-top:12.9pt;height:185.55pt;width:367.8pt;z-index:251804672;mso-width-relative:page;mso-height-relative:page;" coordorigin="2160,8148" coordsize="7560,4212" o:gfxdata="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">
                <o:lock v:ext="edit" aspectratio="f"/>
                <v:shape id="文本框 3" o:spid="_x0000_s1026" o:spt="202" type="#_x0000_t202" style="position:absolute;left:3689;top:8688;height:288;width:536;" fillcolor="#FFFFFF" filled="t" stroked="f" coordsize="21600,21600" o:gfxdata="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C+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2362468C">
                        <w:pPr>
                          <w:autoSpaceDE w:val="0"/>
                          <w:autoSpaceDN w:val="0"/>
                          <w:adjustRightInd w:val="0"/>
                          <w:rPr>
                            <w:rFonts w:ascii="Arial" w:hAnsi="Arial" w:cs="宋体"/>
                            <w:b/>
                            <w:bCs/>
                            <w:color w:val="000000"/>
                            <w:sz w:val="36"/>
                            <w:szCs w:val="36"/>
                            <w:lang w:val="zh-CN"/>
                          </w:rPr>
                        </w:pPr>
                      </w:p>
                    </w:txbxContent>
                  </v:textbox>
                </v:shape>
                <v:shape id="文本框 4" o:spid="_x0000_s1026" o:spt="202" type="#_x0000_t202" style="position:absolute;left:2160;top:8906;height:310;width:621;" fillcolor="#FFFFFF" filled="t" stroked="f" coordsize="21600,21600" o:gfxdata="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zZ2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38AD549">
                        <w:pPr>
                          <w:autoSpaceDE w:val="0"/>
                          <w:autoSpaceDN w:val="0"/>
                          <w:adjustRightInd w:val="0"/>
                          <w:jc w:val="center"/>
                          <w:rPr>
                            <w:rFonts w:ascii="Arial" w:hAnsi="Arial" w:cs="宋体"/>
                            <w:b/>
                            <w:bCs/>
                            <w:color w:val="000000"/>
                            <w:sz w:val="36"/>
                            <w:szCs w:val="36"/>
                            <w:lang w:val="zh-CN"/>
                          </w:rPr>
                        </w:pPr>
                        <w:r>
                          <w:rPr>
                            <w:rFonts w:hint="eastAsia" w:cs="宋体"/>
                            <w:color w:val="000000"/>
                            <w:sz w:val="18"/>
                            <w:szCs w:val="18"/>
                            <w:lang w:val="zh-CN"/>
                          </w:rPr>
                          <w:t>蛋白酶</w:t>
                        </w:r>
                      </w:p>
                    </w:txbxContent>
                  </v:textbox>
                </v:shape>
                <v:shape id="文本框 5" o:spid="_x0000_s1026" o:spt="202" type="#_x0000_t202" style="position:absolute;left:4059;top:9579;height:2781;width:5661;" fillcolor="#CCFFFF" filled="t" stroked="t" coordsize="21600,21600" o:gfxdata="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lY7rsAAADc&#10;AAAADwAAAAAAAAABACAAAAAiAAAAZHJzL2Rvd25yZXYueG1sUEsBAhQAFAAAAAgAh07iQDMvBZ47&#10;AAAAOQAAABAAAAAAAAAAAQAgAAAACgEAAGRycy9zaGFwZXhtbC54bWxQSwUGAAAAAAYABgBbAQAA&#10;tAMAAAAA&#10;">
                  <v:fill on="t" opacity="25559f" focussize="0,0"/>
                  <v:stroke weight="1pt" color="#000000" joinstyle="miter" dashstyle="longDashDot"/>
                  <v:imagedata o:title=""/>
                  <o:lock v:ext="edit" aspectratio="f"/>
                  <v:textbox inset="0mm,0mm,0mm,0mm">
                    <w:txbxContent>
                      <w:p w14:paraId="3FCD1EC0">
                        <w:pPr>
                          <w:autoSpaceDE w:val="0"/>
                          <w:autoSpaceDN w:val="0"/>
                          <w:adjustRightInd w:val="0"/>
                          <w:jc w:val="right"/>
                          <w:rPr>
                            <w:rFonts w:ascii="Arial" w:hAnsi="Arial" w:cs="宋体"/>
                            <w:bCs/>
                            <w:color w:val="000000"/>
                            <w:sz w:val="36"/>
                            <w:szCs w:val="36"/>
                            <w:lang w:val="zh-CN"/>
                          </w:rPr>
                        </w:pPr>
                      </w:p>
                    </w:txbxContent>
                  </v:textbox>
                </v:shape>
                <v:shape id="文本框 6" o:spid="_x0000_s1026" o:spt="202" type="#_x0000_t202" style="position:absolute;left:4397;top:9942;height:899;width:944;" fillcolor="#FFFF99" filled="t" stroked="t" coordsize="21600,21600" o:gfxdata="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It+yugAAANwA&#10;AAAPAAAAAAAAAAEAIAAAACIAAABkcnMvZG93bnJldi54bWxQSwECFAAUAAAACACHTuJAMy8FnjsA&#10;AAA5AAAAEAAAAAAAAAABACAAAAAJAQAAZHJzL3NoYXBleG1sLnhtbFBLBQYAAAAABgAGAFsBAACz&#10;AwAAAAA=&#10;">
                  <v:fill on="t" opacity="25559f" focussize="0,0"/>
                  <v:stroke color="#000000" joinstyle="miter"/>
                  <v:imagedata o:title=""/>
                  <o:lock v:ext="edit" aspectratio="f"/>
                  <v:textbox inset="0mm,0mm,0mm,0mm">
                    <w:txbxContent>
                      <w:p w14:paraId="474868C5">
                        <w:pPr>
                          <w:autoSpaceDE w:val="0"/>
                          <w:autoSpaceDN w:val="0"/>
                          <w:adjustRightInd w:val="0"/>
                          <w:rPr>
                            <w:rFonts w:ascii="Arial" w:hAnsi="Arial" w:cs="宋体"/>
                            <w:b/>
                            <w:bCs/>
                            <w:color w:val="000000"/>
                            <w:sz w:val="36"/>
                            <w:szCs w:val="36"/>
                            <w:lang w:val="zh-CN"/>
                          </w:rPr>
                        </w:pPr>
                      </w:p>
                    </w:txbxContent>
                  </v:textbox>
                </v:shape>
                <v:shape id="文本框 7" o:spid="_x0000_s1026" o:spt="202" type="#_x0000_t202" style="position:absolute;left:2464;top:8403;height:311;width:792;" fillcolor="#FFFFFF" filled="t" stroked="t" coordsize="21600,21600" o:gfxdata="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X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5881E4CE">
                        <w:pPr>
                          <w:autoSpaceDE w:val="0"/>
                          <w:autoSpaceDN w:val="0"/>
                          <w:adjustRightInd w:val="0"/>
                          <w:jc w:val="center"/>
                          <w:rPr>
                            <w:rFonts w:ascii="Arial" w:hAnsi="Arial" w:cs="宋体"/>
                            <w:b/>
                            <w:bCs/>
                            <w:color w:val="000000"/>
                            <w:sz w:val="18"/>
                            <w:szCs w:val="18"/>
                            <w:lang w:val="zh-CN"/>
                          </w:rPr>
                        </w:pPr>
                        <w:r>
                          <w:rPr>
                            <w:rFonts w:hint="eastAsia" w:cs="宋体"/>
                            <w:color w:val="000000"/>
                            <w:sz w:val="18"/>
                            <w:szCs w:val="18"/>
                            <w:lang w:val="zh-CN"/>
                          </w:rPr>
                          <w:t>动物蛋白</w:t>
                        </w:r>
                      </w:p>
                    </w:txbxContent>
                  </v:textbox>
                </v:shape>
                <v:line id="直线 8" o:spid="_x0000_s1026" o:spt="20" style="position:absolute;left:2813;top:8744;flip:x;height:442;width:12;" filled="f" stroked="t" coordsize="21600,21600" o:gfxdata="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iL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9" o:spid="_x0000_s1026" o:spt="202" type="#_x0000_t202" style="position:absolute;left:2466;top:9202;height:311;width:635;" fillcolor="#FFFFFF" filled="t" stroked="t" coordsize="21600,21600" o:gfxdata="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G+I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32AA822A">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氨基酸</w:t>
                        </w:r>
                      </w:p>
                    </w:txbxContent>
                  </v:textbox>
                </v:shape>
                <v:shape id="文本框 10" o:spid="_x0000_s1026" o:spt="202" type="#_x0000_t202" style="position:absolute;left:3945;top:9202;height:311;width:465;" fillcolor="#FFFFFF" filled="t" stroked="t" coordsize="21600,21600" o:gfxdata="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0e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16110F46">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氨</w:t>
                        </w:r>
                      </w:p>
                    </w:txbxContent>
                  </v:textbox>
                </v:shape>
                <v:shape id="文本框 11" o:spid="_x0000_s1026" o:spt="202" type="#_x0000_t202" style="position:absolute;left:4489;top:8148;height:312;width:636;" fillcolor="#FFFFFF" filled="t" stroked="t" coordsize="21600,21600" o:gfxdata="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j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566055BF">
                        <w:pPr>
                          <w:autoSpaceDE w:val="0"/>
                          <w:autoSpaceDN w:val="0"/>
                          <w:adjustRightInd w:val="0"/>
                          <w:jc w:val="center"/>
                          <w:rPr>
                            <w:rFonts w:ascii="Arial" w:hAnsi="Arial" w:cs="宋体"/>
                            <w:b/>
                            <w:bCs/>
                            <w:color w:val="000000"/>
                            <w:sz w:val="36"/>
                            <w:szCs w:val="36"/>
                            <w:lang w:val="zh-CN"/>
                          </w:rPr>
                        </w:pPr>
                        <w:r>
                          <w:rPr>
                            <w:rFonts w:hint="eastAsia" w:cs="宋体"/>
                            <w:color w:val="000000"/>
                            <w:sz w:val="18"/>
                            <w:szCs w:val="18"/>
                            <w:lang w:val="zh-CN"/>
                          </w:rPr>
                          <w:t>乳酸菌</w:t>
                        </w:r>
                        <w:r>
                          <w:rPr>
                            <w:rFonts w:hint="eastAsia" w:cs="宋体"/>
                            <w:color w:val="000000"/>
                            <w:lang w:val="zh-CN"/>
                          </w:rPr>
                          <w:t>菌</w:t>
                        </w:r>
                      </w:p>
                    </w:txbxContent>
                  </v:textbox>
                </v:shape>
                <v:shape id="文本框 12" o:spid="_x0000_s1026" o:spt="202" type="#_x0000_t202" style="position:absolute;left:8944;top:8305;height:311;width:635;" fillcolor="#FFFFFF" filled="t" stroked="t" coordsize="21600,21600" o:gfxdata="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hHZ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17D26C39">
                        <w:pPr>
                          <w:autoSpaceDE w:val="0"/>
                          <w:autoSpaceDN w:val="0"/>
                          <w:adjustRightInd w:val="0"/>
                          <w:jc w:val="center"/>
                          <w:rPr>
                            <w:rFonts w:ascii="Arial" w:hAnsi="Arial" w:cs="宋体"/>
                            <w:b/>
                            <w:bCs/>
                            <w:color w:val="000000"/>
                            <w:sz w:val="36"/>
                            <w:szCs w:val="36"/>
                          </w:rPr>
                        </w:pPr>
                        <w:r>
                          <w:rPr>
                            <w:color w:val="000000"/>
                          </w:rPr>
                          <w:t>N</w:t>
                        </w:r>
                        <w:r>
                          <w:rPr>
                            <w:color w:val="000000"/>
                            <w:vertAlign w:val="subscript"/>
                          </w:rPr>
                          <w:t>2</w:t>
                        </w:r>
                      </w:p>
                    </w:txbxContent>
                  </v:textbox>
                </v:shape>
                <v:shape id="文本框 13" o:spid="_x0000_s1026" o:spt="202" type="#_x0000_t202" style="position:absolute;left:2451;top:10187;height:311;width:635;" fillcolor="#FFFFFF" filled="t" stroked="t" coordsize="21600,21600" o:gfxdata="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uv2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0CDA52EC">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脂肪</w:t>
                        </w:r>
                      </w:p>
                    </w:txbxContent>
                  </v:textbox>
                </v:shape>
                <v:line id="直线 14" o:spid="_x0000_s1026" o:spt="20" style="position:absolute;left:3095;top:9342;flip:y;height:2;width:814;" filled="f" stroked="t" coordsize="21600,21600" o:gfxdata="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FT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5" o:spid="_x0000_s1026" o:spt="202" type="#_x0000_t202" style="position:absolute;left:3113;top:9008;height:295;width:665;" fillcolor="#FFFFFF" filled="t" stroked="f" coordsize="21600,21600" o:gfxdata="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0iTC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14:paraId="1FFBB74A">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脱氨酶</w:t>
                        </w:r>
                      </w:p>
                    </w:txbxContent>
                  </v:textbox>
                </v:shape>
                <v:line id="直线 16" o:spid="_x0000_s1026" o:spt="20" style="position:absolute;left:4763;top:8549;height:474;width:2;"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7" o:spid="_x0000_s1026" o:spt="20" style="position:absolute;left:4446;top:9346;flip:y;height:1;width:815;" filled="f" stroked="t" coordsize="21600,21600" o:gfxdata="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6/d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8" o:spid="_x0000_s1026" o:spt="202" type="#_x0000_t202" style="position:absolute;left:4478;top:9044;height:296;width:665;" fillcolor="#FFFFFF" filled="t" stroked="f" coordsize="21600,21600" o:gfxdata="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0RR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240281E6">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有机酸</w:t>
                        </w:r>
                      </w:p>
                    </w:txbxContent>
                  </v:textbox>
                </v:shape>
                <v:shape id="文本框 19" o:spid="_x0000_s1026" o:spt="202" type="#_x0000_t202" style="position:absolute;left:5220;top:9189;height:328;width:650;" fillcolor="#FFFFFF" filled="t" stroked="t" coordsize="21600,21600" o:gfxdata="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Okj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14:paraId="6A08CA6C">
                        <w:pPr>
                          <w:autoSpaceDE w:val="0"/>
                          <w:autoSpaceDN w:val="0"/>
                          <w:adjustRightInd w:val="0"/>
                          <w:jc w:val="center"/>
                          <w:rPr>
                            <w:rFonts w:ascii="Arial" w:hAnsi="Arial" w:cs="宋体"/>
                            <w:b/>
                            <w:bCs/>
                            <w:color w:val="000000"/>
                            <w:sz w:val="18"/>
                            <w:szCs w:val="18"/>
                            <w:lang w:val="zh-CN"/>
                          </w:rPr>
                        </w:pPr>
                        <w:r>
                          <w:rPr>
                            <w:rFonts w:hint="eastAsia" w:cs="宋体"/>
                            <w:color w:val="000000"/>
                            <w:sz w:val="18"/>
                            <w:szCs w:val="18"/>
                            <w:lang w:val="zh-CN"/>
                          </w:rPr>
                          <w:t>酸铵</w:t>
                        </w:r>
                      </w:p>
                    </w:txbxContent>
                  </v:textbox>
                </v:shape>
                <v:line id="直线 20" o:spid="_x0000_s1026" o:spt="20" style="position:absolute;left:5715;top:9349;flip:y;height:1;width:1166;" filled="f" stroked="t" coordsize="21600,21600" o:gfxdata="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Wk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1" o:spid="_x0000_s1026" o:spt="202" type="#_x0000_t202" style="position:absolute;left:5940;top:8772;height:295;width:1000;" fillcolor="#FFFFFF" filled="t" stroked="f" coordsize="21600,21600" o:gfxdata="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y+2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15458A83">
                        <w:pPr>
                          <w:autoSpaceDE w:val="0"/>
                          <w:autoSpaceDN w:val="0"/>
                          <w:adjustRightInd w:val="0"/>
                          <w:jc w:val="center"/>
                          <w:rPr>
                            <w:rFonts w:ascii="Arial" w:hAnsi="Arial" w:cs="宋体"/>
                            <w:b/>
                            <w:bCs/>
                            <w:color w:val="000000"/>
                            <w:sz w:val="36"/>
                            <w:szCs w:val="36"/>
                            <w:lang w:val="zh-CN"/>
                          </w:rPr>
                        </w:pPr>
                        <w:r>
                          <w:rPr>
                            <w:rFonts w:hint="eastAsia" w:cs="宋体"/>
                            <w:color w:val="000000"/>
                            <w:sz w:val="18"/>
                            <w:szCs w:val="18"/>
                            <w:lang w:val="zh-CN"/>
                          </w:rPr>
                          <w:t>亚硝酸细菌</w:t>
                        </w:r>
                      </w:p>
                    </w:txbxContent>
                  </v:textbox>
                </v:shape>
                <v:shape id="文本框 22" o:spid="_x0000_s1026" o:spt="202" type="#_x0000_t202" style="position:absolute;left:6901;top:9153;height:327;width:889;" fillcolor="#FFFFFF" filled="t" stroked="t" coordsize="21600,21600" o:gfxdata="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UQZ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6DF2BD3E">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亚硝酸盐</w:t>
                        </w:r>
                      </w:p>
                    </w:txbxContent>
                  </v:textbox>
                </v:shape>
                <v:line id="直线 23" o:spid="_x0000_s1026" o:spt="20" style="position:absolute;left:7826;top:9340;flip:y;height:1;width:996;" filled="f" stroked="t" coordsize="21600,21600" o:gfxdata="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n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4" o:spid="_x0000_s1026" o:spt="202" type="#_x0000_t202" style="position:absolute;left:7863;top:8949;height:295;width:874;" fillcolor="#FFFFFF" filled="t" stroked="f" coordsize="21600,21600" o:gfxdata="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IIg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2BE20DEA">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 xml:space="preserve">  硝酸细菌</w:t>
                        </w:r>
                      </w:p>
                    </w:txbxContent>
                  </v:textbox>
                </v:shape>
                <v:shape id="文本框 25" o:spid="_x0000_s1026" o:spt="202" type="#_x0000_t202" style="position:absolute;left:8829;top:9143;height:327;width:889;" fillcolor="#FFFFFF" filled="t" stroked="t" coordsize="21600,21600" o:gfxdata="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Z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68568C12">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硝酸盐</w:t>
                        </w:r>
                      </w:p>
                    </w:txbxContent>
                  </v:textbox>
                </v:shape>
                <v:line id="直线 26" o:spid="_x0000_s1026" o:spt="20" style="position:absolute;left:9273;top:8622;flip:y;height:508;width:2;" filled="f" stroked="t" coordsize="21600,21600" o:gfxdata="UEsDBAoAAAAAAIdO4kAAAAAAAAAAAAAAAAAEAAAAZHJzL1BLAwQUAAAACACHTuJAF6xabr0AAADc&#10;AAAADwAAAGRycy9kb3ducmV2LnhtbEVPTUvDQBC9C/6HZQRvZhPRYtJsexCFnkRbEbwN2WkSm52N&#10;u2NT/fVuodDbPN7n1MuDG9SeQuw9GyiyHBRx423PrYH3zfPNA6goyBYHz2TglyIsF5cXNVbWT/xG&#10;+7W0KoVwrNBAJzJWWsemI4cx8yNx4rY+OJQEQ6ttwCmFu0Hf5vlMO+w5NXQ40mNHzW794wyU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Fp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3108;top:10347;flip:y;height:1;width:1280;" filled="f" stroked="t" coordsize="21600,21600" o:gfxdata="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P/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8" o:spid="_x0000_s1026" o:spt="202" type="#_x0000_t202" style="position:absolute;left:3256;top:10418;height:295;width:665;" fillcolor="#FFFFFF" filled="t" stroked="f" coordsize="21600,21600" o:gfxdata="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UoB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377D02A7">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脂肪酶</w:t>
                        </w:r>
                      </w:p>
                    </w:txbxContent>
                  </v:textbox>
                </v:shape>
                <v:shape id="文本框 29" o:spid="_x0000_s1026" o:spt="202" type="#_x0000_t202" style="position:absolute;left:2357;top:11964;height:311;width:1297;" fillcolor="#FFFFFF" filled="t" stroked="f" coordsize="21600,21600" o:gfxdata="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Y2c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303F32A8">
                        <w:pPr>
                          <w:autoSpaceDE w:val="0"/>
                          <w:autoSpaceDN w:val="0"/>
                          <w:adjustRightInd w:val="0"/>
                          <w:jc w:val="center"/>
                          <w:rPr>
                            <w:rFonts w:ascii="Arial" w:hAnsi="Arial" w:cs="宋体"/>
                            <w:b/>
                            <w:bCs/>
                            <w:color w:val="000000"/>
                            <w:sz w:val="36"/>
                            <w:szCs w:val="36"/>
                            <w:lang w:val="zh-CN"/>
                          </w:rPr>
                        </w:pPr>
                      </w:p>
                    </w:txbxContent>
                  </v:textbox>
                </v:shape>
                <v:shape id="文本框 30" o:spid="_x0000_s1026" o:spt="202" type="#_x0000_t202" style="position:absolute;left:4519;top:10062;height:312;width:693;" fillcolor="#FFFFFF" filled="t" stroked="t" coordsize="21600,21600" o:gfxdata="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3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58D1FDC8">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脂肪酸</w:t>
                        </w:r>
                      </w:p>
                    </w:txbxContent>
                  </v:textbox>
                </v:shape>
                <v:shape id="文本框 31" o:spid="_x0000_s1026" o:spt="202" type="#_x0000_t202" style="position:absolute;left:4519;top:10426;height:311;width:693;" fillcolor="#FFFFFF" filled="t" stroked="t" coordsize="21600,21600" o:gfxdata="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Wh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4392122B">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丙三醇</w:t>
                        </w:r>
                      </w:p>
                    </w:txbxContent>
                  </v:textbox>
                </v:shape>
                <v:line id="直线 32" o:spid="_x0000_s1026" o:spt="20" style="position:absolute;left:5232;top:10593;flip:y;height:1;width:815;" filled="f" stroked="t" coordsize="21600,21600" o:gfxdata="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4qJ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3" o:spid="_x0000_s1026" o:spt="202" type="#_x0000_t202" style="position:absolute;left:6058;top:10459;height:327;width:721;" fillcolor="#FFFFFF" filled="t" stroked="t" coordsize="21600,21600" o:gfxdata="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1O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13B75510">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丙酮酸</w:t>
                        </w:r>
                      </w:p>
                    </w:txbxContent>
                  </v:textbox>
                </v:shape>
                <v:line id="直线 34" o:spid="_x0000_s1026" o:spt="20" style="position:absolute;left:5204;top:10233;flip:y;height:0;width:2168;" filled="f" stroked="t" coordsize="21600,21600" o:gfxdata="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dl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5" o:spid="_x0000_s1026" o:spt="202" type="#_x0000_t202" style="position:absolute;left:5805;top:9669;height:327;width:890;" fillcolor="#FFFFFF" filled="t" stroked="t" coordsize="21600,21600" o:gfxdata="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m5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445F1E95">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有机酸</w:t>
                        </w:r>
                      </w:p>
                    </w:txbxContent>
                  </v:textbox>
                </v:shape>
                <v:shape id="自选图形 36" o:spid="_x0000_s1026" o:spt="33" type="#_x0000_t33" style="position:absolute;left:4342;top:8395;flip:x;height:2359;width:504;rotation:5898240f;" filled="f" stroked="t" coordsize="21600,21600" o:gfxdata="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BGsb4A&#10;AADc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shape>
                <v:shape id="椭圆 37" o:spid="_x0000_s1026" o:spt="3" type="#_x0000_t3" style="position:absolute;left:7173;top:10017;height:1571;width:1394;" fillcolor="#FFFFFF" filled="t" stroked="t" coordsize="21600,21600" o:gfxdata="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OXa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38" o:spid="_x0000_s1026" o:spt="20" style="position:absolute;left:6724;top:9807;height:180;width:874;"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任意多边形 39" o:spid="_x0000_s1026" o:spt="100" style="position:absolute;left:6781;top:10446;height:248;width:479;" filled="f" stroked="t" coordsize="510,228" o:gfxdata="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wo1e/&#10;AAAA3AAAAA8AAAAAAAAAAQAgAAAAIgAAAGRycy9kb3ducmV2LnhtbFBLAQIUABQAAAAIAIdO4kAz&#10;LwWeOwAAADkAAAAQAAAAAAAAAAEAIAAAAA4BAABkcnMvc2hhcGV4bWwueG1sUEsFBgAAAAAGAAYA&#10;WwEAALgDAAAAAA==&#10;" path="m0,195c62,211,125,228,210,195c295,162,402,81,510,0e">
                  <v:fill on="f" focussize="0,0"/>
                  <v:stroke weight="1.25pt" color="#000000" joinstyle="round"/>
                  <v:imagedata o:title=""/>
                  <o:lock v:ext="edit" aspectratio="f"/>
                </v:shape>
                <v:shape id="文本框 40" o:spid="_x0000_s1026" o:spt="202" type="#_x0000_t202" style="position:absolute;left:7276;top:10632;height:311;width:1143;" fillcolor="#FFFFFF" filled="t" stroked="f" coordsize="21600,21600" o:gfxdata="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FRie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14:paraId="5FF587B6">
                        <w:pPr>
                          <w:autoSpaceDE w:val="0"/>
                          <w:autoSpaceDN w:val="0"/>
                          <w:adjustRightInd w:val="0"/>
                          <w:jc w:val="center"/>
                          <w:rPr>
                            <w:rFonts w:cs="宋体"/>
                            <w:color w:val="000000"/>
                            <w:lang w:val="zh-CN"/>
                          </w:rPr>
                        </w:pPr>
                        <w:r>
                          <w:rPr>
                            <w:rFonts w:hint="eastAsia" w:cs="宋体"/>
                            <w:color w:val="000000"/>
                            <w:lang w:val="zh-CN"/>
                          </w:rPr>
                          <w:t>柠檬酸循环</w:t>
                        </w:r>
                      </w:p>
                      <w:p w14:paraId="1230BC91">
                        <w:pPr>
                          <w:autoSpaceDE w:val="0"/>
                          <w:autoSpaceDN w:val="0"/>
                          <w:adjustRightInd w:val="0"/>
                          <w:jc w:val="center"/>
                          <w:rPr>
                            <w:rFonts w:cs="宋体"/>
                            <w:color w:val="000000"/>
                            <w:lang w:val="zh-CN"/>
                          </w:rPr>
                        </w:pPr>
                        <w:r>
                          <w:rPr>
                            <w:rFonts w:hint="eastAsia" w:cs="宋体"/>
                            <w:color w:val="000000"/>
                            <w:lang w:val="zh-CN"/>
                          </w:rPr>
                          <w:t>（）</w:t>
                        </w:r>
                      </w:p>
                      <w:p w14:paraId="4A35AD87">
                        <w:pPr>
                          <w:autoSpaceDE w:val="0"/>
                          <w:autoSpaceDN w:val="0"/>
                          <w:adjustRightInd w:val="0"/>
                          <w:jc w:val="center"/>
                          <w:rPr>
                            <w:rFonts w:ascii="Arial" w:hAnsi="Arial" w:cs="宋体"/>
                            <w:b/>
                            <w:bCs/>
                            <w:color w:val="000000"/>
                            <w:sz w:val="36"/>
                            <w:szCs w:val="36"/>
                            <w:lang w:val="zh-CN"/>
                          </w:rPr>
                        </w:pPr>
                      </w:p>
                    </w:txbxContent>
                  </v:textbox>
                </v:shape>
                <v:shape id="文本框 41" o:spid="_x0000_s1026" o:spt="202" type="#_x0000_t202" style="position:absolute;left:8998;top:9987;height:328;width:495;" fillcolor="#FFFFFF" filled="t" stroked="t" coordsize="21600,21600" o:gfxdata="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I/r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39B7C3FC">
                        <w:pPr>
                          <w:autoSpaceDE w:val="0"/>
                          <w:autoSpaceDN w:val="0"/>
                          <w:adjustRightInd w:val="0"/>
                          <w:jc w:val="center"/>
                          <w:rPr>
                            <w:rFonts w:ascii="Arial" w:hAnsi="Arial" w:cs="宋体"/>
                            <w:b/>
                            <w:bCs/>
                            <w:color w:val="000000"/>
                            <w:sz w:val="36"/>
                            <w:szCs w:val="36"/>
                          </w:rPr>
                        </w:pPr>
                        <w:r>
                          <w:rPr>
                            <w:color w:val="000000"/>
                          </w:rPr>
                          <w:t>CO</w:t>
                        </w:r>
                        <w:r>
                          <w:rPr>
                            <w:color w:val="000000"/>
                            <w:vertAlign w:val="subscript"/>
                          </w:rPr>
                          <w:t>2</w:t>
                        </w:r>
                      </w:p>
                    </w:txbxContent>
                  </v:textbox>
                </v:shape>
                <v:shape id="任意多边形 42" o:spid="_x0000_s1026" o:spt="100" style="position:absolute;left:8385;top:10089;height:275;width:546;rotation:9871624f;" filled="f" stroked="t" coordsize="272,68" o:gfxdata="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wXfugAAANwA&#10;AAAPAAAAAAAAAAEAIAAAACIAAABkcnMvZG93bnJldi54bWxQSwECFAAUAAAACACHTuJAMy8FnjsA&#10;AAA5AAAAEAAAAAAAAAABACAAAAAJAQAAZHJzL3NoYXBleG1sLnhtbFBLBQYAAAAABgAGAFsBAACz&#10;AwAAAAA=&#10;" path="m272,68c260,51,249,34,204,23c159,12,79,6,0,0e">
                  <v:fill on="f" focussize="0,0"/>
                  <v:stroke weight="1pt" color="#000000" joinstyle="round" endarrow="block"/>
                  <v:imagedata o:title=""/>
                  <o:lock v:ext="edit" aspectratio="f"/>
                </v:shape>
                <v:shape id="任意多边形 43" o:spid="_x0000_s1026" o:spt="100" style="position:absolute;left:7920;top:11525;height:335;width:423;rotation:-7460670f;" filled="f" stroked="t" coordsize="272,68" o:gfxdata="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8cPb4A&#10;AADcAAAADwAAAAAAAAABACAAAAAiAAAAZHJzL2Rvd25yZXYueG1sUEsBAhQAFAAAAAgAh07iQDMv&#10;BZ47AAAAOQAAABAAAAAAAAAAAQAgAAAADQEAAGRycy9zaGFwZXhtbC54bWxQSwUGAAAAAAYABgBb&#10;AQAAtwMAAAAA&#10;" path="m272,68c260,51,249,34,204,23c159,12,79,6,0,0e">
                  <v:fill on="f" focussize="0,0"/>
                  <v:stroke weight="1pt" color="#000000" joinstyle="round" endarrow="block"/>
                  <v:imagedata o:title=""/>
                  <o:lock v:ext="edit" aspectratio="f"/>
                </v:shape>
                <v:shape id="椭圆 44" o:spid="_x0000_s1026" o:spt="3" type="#_x0000_t3" style="position:absolute;left:7250;top:11536;height:454;width:402;v-text-anchor:middle;" fillcolor="#FFFFFF" filled="t" stroked="t" coordsize="21600,21600" o:gfxdata="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lHY&#10;wAAAANw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textbox inset="0mm,0mm,0mm,0mm">
                    <w:txbxContent>
                      <w:p w14:paraId="459B4439">
                        <w:pPr>
                          <w:autoSpaceDE w:val="0"/>
                          <w:autoSpaceDN w:val="0"/>
                          <w:adjustRightInd w:val="0"/>
                          <w:jc w:val="center"/>
                          <w:rPr>
                            <w:rFonts w:ascii="Arial" w:hAnsi="Arial" w:cs="宋体"/>
                            <w:b/>
                            <w:bCs/>
                            <w:color w:val="000000"/>
                            <w:sz w:val="36"/>
                            <w:szCs w:val="36"/>
                          </w:rPr>
                        </w:pPr>
                        <w:r>
                          <w:rPr>
                            <w:color w:val="000000"/>
                            <w:sz w:val="24"/>
                          </w:rPr>
                          <w:t>O</w:t>
                        </w:r>
                        <w:r>
                          <w:rPr>
                            <w:color w:val="000000"/>
                            <w:sz w:val="24"/>
                            <w:vertAlign w:val="subscript"/>
                          </w:rPr>
                          <w:t>2</w:t>
                        </w:r>
                      </w:p>
                    </w:txbxContent>
                  </v:textbox>
                </v:shape>
                <v:shape id="文本框 45" o:spid="_x0000_s1026" o:spt="202" type="#_x0000_t202" style="position:absolute;left:7844;top:11967;height:328;width:494;" fillcolor="#FFFFFF" filled="t" stroked="t" coordsize="21600,21600" o:gfxdata="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i5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2BC4665E">
                        <w:pPr>
                          <w:autoSpaceDE w:val="0"/>
                          <w:autoSpaceDN w:val="0"/>
                          <w:adjustRightInd w:val="0"/>
                          <w:jc w:val="center"/>
                          <w:rPr>
                            <w:rFonts w:ascii="Arial" w:hAnsi="Arial" w:cs="宋体"/>
                            <w:b/>
                            <w:bCs/>
                            <w:color w:val="000000"/>
                            <w:sz w:val="36"/>
                            <w:szCs w:val="36"/>
                          </w:rPr>
                        </w:pPr>
                        <w:r>
                          <w:rPr>
                            <w:color w:val="000000"/>
                          </w:rPr>
                          <w:t>H</w:t>
                        </w:r>
                        <w:r>
                          <w:rPr>
                            <w:color w:val="000000"/>
                            <w:vertAlign w:val="subscript"/>
                          </w:rPr>
                          <w:t>2</w:t>
                        </w:r>
                        <w:r>
                          <w:rPr>
                            <w:color w:val="000000"/>
                          </w:rPr>
                          <w:t>O</w:t>
                        </w:r>
                      </w:p>
                    </w:txbxContent>
                  </v:textbox>
                </v:shape>
                <v:line id="直线 46" o:spid="_x0000_s1026" o:spt="20" style="position:absolute;left:7713;top:11771;height:1;width:284;" filled="f" stroked="t" coordsize="21600,21600"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7" o:spid="_x0000_s1026" o:spt="202" type="#_x0000_t202" style="position:absolute;left:8985;top:11516;height:311;width:677;" fillcolor="#FFFFFF" filled="t" stroked="t" coordsize="21600,21600" o:gfxdata="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cN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7D265100">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能量</w:t>
                        </w:r>
                      </w:p>
                    </w:txbxContent>
                  </v:textbox>
                </v:shape>
                <v:shape id="自选图形 48" o:spid="_x0000_s1026" o:spt="100" style="position:absolute;left:8100;top:11489;height:302;width:1386;rotation:2500212f;v-text-anchor:middle;" fillcolor="#FF0000" filled="t" stroked="t" coordsize="21600,21600" o:gfxdata="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t1CS5AAAA3AAA&#10;AA8AAAAAAAAAAQAgAAAAIgAAAGRycy9kb3ducmV2LnhtbFBLAQIUABQAAAAIAIdO4kAzLwWeOwAA&#10;ADkAAAAQAAAAAAAAAAEAIAAAAAgBAABkcnMvc2hhcGV4bWwueG1sUEsFBgAAAAAGAAYAWwEAALID&#10;AAAAAA==&#10;" path="m16200,0l16200,5400,3375,5400,3375,16200,16200,16200,16200,21600,21600,10800xem1350,5400l1350,16200,2700,16200,2700,5400xem0,5400l0,16200,675,16200,675,5400xe">
                  <v:path o:connectlocs="16200,0;0,10800;16200,21600;21600,10800" o:connectangles="0,0,0,0"/>
                  <v:fill on="t" opacity="17695f" focussize="0,0"/>
                  <v:stroke color="#FFFFFF" joinstyle="miter"/>
                  <v:imagedata o:title=""/>
                  <o:lock v:ext="edit" aspectratio="f"/>
                </v:shape>
                <v:shape id="文本框 49" o:spid="_x0000_s1026" o:spt="202" type="#_x0000_t202" style="position:absolute;left:5723;top:12021;height:312;width:1297;"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B28369">
                        <w:pPr>
                          <w:autoSpaceDE w:val="0"/>
                          <w:autoSpaceDN w:val="0"/>
                          <w:adjustRightInd w:val="0"/>
                          <w:jc w:val="center"/>
                          <w:rPr>
                            <w:rFonts w:ascii="Arial" w:hAnsi="Arial" w:cs="宋体"/>
                            <w:b/>
                            <w:bCs/>
                            <w:color w:val="000000"/>
                            <w:sz w:val="36"/>
                            <w:szCs w:val="36"/>
                            <w:lang w:val="zh-CN"/>
                          </w:rPr>
                        </w:pPr>
                        <w:r>
                          <w:rPr>
                            <w:rFonts w:hint="eastAsia" w:ascii="楷体_GB2312" w:eastAsia="楷体_GB2312" w:cs="楷体_GB2312"/>
                            <w:b/>
                            <w:bCs/>
                            <w:color w:val="000000"/>
                            <w:lang w:val="zh-CN"/>
                          </w:rPr>
                          <w:t>菌体细胞内</w:t>
                        </w:r>
                      </w:p>
                      <w:p w14:paraId="0BA3304D"/>
                    </w:txbxContent>
                  </v:textbox>
                </v:shape>
                <v:shape id="文本框 50" o:spid="_x0000_s1026" o:spt="202" type="#_x0000_t202" style="position:absolute;left:8196;top:8688;height:327;width:1072;"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310D1E7">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反硝化细菌</w:t>
                        </w:r>
                      </w:p>
                    </w:txbxContent>
                  </v:textbox>
                </v:shape>
                <v:shape id="自选图形 51" o:spid="_x0000_s1026" o:spt="33" type="#_x0000_t33" style="position:absolute;left:7799;top:8008;height:1598;width:692;rotation:-5898240f;" filled="f" stroked="t" coordsize="21600,21600" o:gfxdata="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Xl8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shape id="文本框 52" o:spid="_x0000_s1026" o:spt="202" type="#_x0000_t202" style="position:absolute;left:7492;top:8148;height:262;width:1072;"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50E6BB">
                        <w:pPr>
                          <w:autoSpaceDE w:val="0"/>
                          <w:autoSpaceDN w:val="0"/>
                          <w:adjustRightInd w:val="0"/>
                          <w:jc w:val="center"/>
                          <w:rPr>
                            <w:rFonts w:ascii="Arial" w:hAnsi="Arial" w:cs="宋体"/>
                            <w:b/>
                            <w:bCs/>
                            <w:color w:val="000000"/>
                            <w:sz w:val="36"/>
                            <w:szCs w:val="36"/>
                            <w:lang w:val="zh-CN"/>
                          </w:rPr>
                        </w:pPr>
                        <w:r>
                          <w:rPr>
                            <w:rFonts w:hint="eastAsia" w:cs="宋体"/>
                            <w:color w:val="000000"/>
                            <w:lang w:val="zh-CN"/>
                          </w:rPr>
                          <w:t>反硝化细菌</w:t>
                        </w:r>
                      </w:p>
                    </w:txbxContent>
                  </v:textbox>
                </v:shape>
              </v:group>
            </w:pict>
          </mc:Fallback>
        </mc:AlternateContent>
      </w:r>
    </w:p>
    <w:p w14:paraId="1EDC0375">
      <w:pPr>
        <w:ind w:firstLine="643" w:firstLineChars="200"/>
        <w:rPr>
          <w:rFonts w:eastAsia="仿宋_GB2312"/>
          <w:b/>
          <w:sz w:val="32"/>
          <w:szCs w:val="32"/>
        </w:rPr>
      </w:pPr>
    </w:p>
    <w:p w14:paraId="600180B2">
      <w:pPr>
        <w:ind w:firstLine="643" w:firstLineChars="200"/>
        <w:rPr>
          <w:rFonts w:eastAsia="仿宋_GB2312"/>
          <w:b/>
          <w:sz w:val="32"/>
          <w:szCs w:val="32"/>
        </w:rPr>
      </w:pPr>
    </w:p>
    <w:p w14:paraId="417BB315">
      <w:pPr>
        <w:ind w:firstLine="643" w:firstLineChars="200"/>
        <w:rPr>
          <w:rFonts w:eastAsia="仿宋_GB2312"/>
          <w:b/>
          <w:sz w:val="32"/>
          <w:szCs w:val="32"/>
        </w:rPr>
      </w:pPr>
    </w:p>
    <w:p w14:paraId="5907574E">
      <w:pPr>
        <w:ind w:firstLine="643" w:firstLineChars="200"/>
        <w:rPr>
          <w:rFonts w:eastAsia="仿宋_GB2312"/>
          <w:b/>
          <w:sz w:val="32"/>
          <w:szCs w:val="32"/>
        </w:rPr>
      </w:pPr>
    </w:p>
    <w:p w14:paraId="6FFEDBE2">
      <w:pPr>
        <w:ind w:firstLine="643" w:firstLineChars="200"/>
        <w:rPr>
          <w:rFonts w:eastAsia="仿宋_GB2312"/>
          <w:b/>
          <w:sz w:val="32"/>
          <w:szCs w:val="32"/>
        </w:rPr>
      </w:pPr>
    </w:p>
    <w:p w14:paraId="67E9AEDF">
      <w:pPr>
        <w:rPr>
          <w:rFonts w:eastAsia="仿宋_GB2312"/>
          <w:b/>
          <w:sz w:val="32"/>
          <w:szCs w:val="32"/>
        </w:rPr>
      </w:pPr>
    </w:p>
    <w:p w14:paraId="51343820">
      <w:pPr>
        <w:ind w:firstLine="643" w:firstLineChars="200"/>
        <w:rPr>
          <w:rFonts w:eastAsia="仿宋_GB2312"/>
          <w:b/>
          <w:sz w:val="32"/>
          <w:szCs w:val="32"/>
        </w:rPr>
      </w:pPr>
    </w:p>
    <w:p w14:paraId="632444E4">
      <w:pPr>
        <w:ind w:firstLine="643" w:firstLineChars="200"/>
        <w:rPr>
          <w:rFonts w:eastAsia="仿宋_GB2312"/>
          <w:b/>
          <w:sz w:val="32"/>
          <w:szCs w:val="32"/>
        </w:rPr>
      </w:pPr>
    </w:p>
    <w:p w14:paraId="651D9644">
      <w:pPr>
        <w:ind w:firstLine="643" w:firstLineChars="200"/>
        <w:rPr>
          <w:rFonts w:eastAsia="仿宋_GB2312"/>
          <w:b/>
          <w:sz w:val="32"/>
          <w:szCs w:val="32"/>
        </w:rPr>
      </w:pPr>
    </w:p>
    <w:p w14:paraId="7E00C363">
      <w:pPr>
        <w:ind w:firstLine="643" w:firstLineChars="200"/>
        <w:rPr>
          <w:rFonts w:eastAsia="仿宋_GB2312"/>
          <w:b/>
          <w:sz w:val="32"/>
          <w:szCs w:val="32"/>
        </w:rPr>
      </w:pPr>
    </w:p>
    <w:p w14:paraId="3092F9E8">
      <w:pPr>
        <w:pStyle w:val="35"/>
        <w:spacing w:after="0" w:line="360" w:lineRule="auto"/>
        <w:ind w:firstLine="456" w:firstLineChars="200"/>
        <w:rPr>
          <w:spacing w:val="-6"/>
          <w:sz w:val="24"/>
        </w:rPr>
      </w:pPr>
      <w:r>
        <w:rPr>
          <w:spacing w:val="-6"/>
          <w:sz w:val="24"/>
        </w:rPr>
        <w:t>动物尸体降解机的主要菌种是耐高温菌种，菌种可以形成抗逆性极强的孢子，抵御高温、强酸强碱、高盐、紫外线等不利环境，特别是在100℃的高温条件下能存活半小时。因此在75-85℃的工作环境中，菌种还能发挥优良的降解作用，而病原菌在此温度条件下极易被高温杀灭，很快失活。</w:t>
      </w:r>
    </w:p>
    <w:p w14:paraId="4B0EDC65">
      <w:pPr>
        <w:pStyle w:val="35"/>
        <w:spacing w:line="360" w:lineRule="auto"/>
        <w:ind w:right="451" w:firstLine="456" w:firstLineChars="200"/>
      </w:pPr>
      <w:r>
        <w:rPr>
          <w:spacing w:val="-6"/>
          <w:sz w:val="24"/>
        </w:rPr>
        <w:t>目前动物尸体无害化处理的方式主要有焚烧、化制和深埋。各种处理工艺的</w:t>
      </w:r>
      <w:r>
        <w:rPr>
          <w:spacing w:val="-1"/>
          <w:sz w:val="24"/>
        </w:rPr>
        <w:t xml:space="preserve">比较见表 </w:t>
      </w:r>
      <w:r>
        <w:rPr>
          <w:sz w:val="24"/>
        </w:rPr>
        <w:t>7</w:t>
      </w:r>
      <w:r>
        <w:rPr>
          <w:rFonts w:eastAsia="Times New Roman"/>
          <w:sz w:val="24"/>
        </w:rPr>
        <w:t>.2-4</w:t>
      </w:r>
      <w:r>
        <w:rPr>
          <w:sz w:val="24"/>
        </w:rPr>
        <w:t>。</w:t>
      </w:r>
    </w:p>
    <w:p w14:paraId="468C78F7">
      <w:pPr>
        <w:tabs>
          <w:tab w:val="left" w:pos="1731"/>
        </w:tabs>
        <w:spacing w:before="19"/>
        <w:ind w:left="502"/>
        <w:jc w:val="center"/>
        <w:rPr>
          <w:b/>
        </w:rPr>
      </w:pPr>
      <w:r>
        <w:rPr>
          <w:b/>
        </w:rPr>
        <w:t>表</w:t>
      </w:r>
      <w:r>
        <w:rPr>
          <w:b/>
          <w:spacing w:val="-52"/>
        </w:rPr>
        <w:t xml:space="preserve"> </w:t>
      </w:r>
      <w:r>
        <w:rPr>
          <w:b/>
        </w:rPr>
        <w:t>7</w:t>
      </w:r>
      <w:r>
        <w:rPr>
          <w:rFonts w:eastAsia="Times New Roman"/>
          <w:b/>
        </w:rPr>
        <w:t>.2-4</w:t>
      </w:r>
      <w:r>
        <w:rPr>
          <w:b/>
        </w:rPr>
        <w:t xml:space="preserve"> 处理工艺</w:t>
      </w:r>
      <w:r>
        <w:rPr>
          <w:b/>
          <w:spacing w:val="-3"/>
        </w:rPr>
        <w:t>比较</w:t>
      </w:r>
    </w:p>
    <w:p w14:paraId="49F65875">
      <w:pPr>
        <w:pStyle w:val="35"/>
        <w:spacing w:before="9"/>
        <w:rPr>
          <w:b/>
          <w:sz w:val="7"/>
        </w:rPr>
      </w:pPr>
    </w:p>
    <w:tbl>
      <w:tblPr>
        <w:tblStyle w:val="8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8"/>
        <w:gridCol w:w="2199"/>
        <w:gridCol w:w="1663"/>
        <w:gridCol w:w="1663"/>
        <w:gridCol w:w="1664"/>
      </w:tblGrid>
      <w:tr w14:paraId="247A3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8" w:type="pct"/>
            <w:shd w:val="clear" w:color="auto" w:fill="D7D7D7"/>
            <w:noWrap w:val="0"/>
            <w:vAlign w:val="top"/>
          </w:tcPr>
          <w:p w14:paraId="28A500C2">
            <w:pPr>
              <w:pStyle w:val="2251"/>
              <w:autoSpaceDE/>
              <w:autoSpaceDN/>
              <w:spacing w:before="22"/>
              <w:ind w:left="141"/>
              <w:rPr>
                <w:rFonts w:ascii="Times New Roman" w:hAnsi="Times New Roman" w:cs="Times New Roman"/>
                <w:b/>
                <w:sz w:val="21"/>
              </w:rPr>
            </w:pPr>
            <w:r>
              <w:rPr>
                <w:rFonts w:ascii="Times New Roman" w:hAnsi="Times New Roman" w:cs="Times New Roman"/>
                <w:b/>
                <w:sz w:val="21"/>
              </w:rPr>
              <w:t>处理方法</w:t>
            </w:r>
          </w:p>
        </w:tc>
        <w:tc>
          <w:tcPr>
            <w:tcW w:w="1321" w:type="pct"/>
            <w:shd w:val="clear" w:color="auto" w:fill="D7D7D7"/>
            <w:noWrap w:val="0"/>
            <w:vAlign w:val="top"/>
          </w:tcPr>
          <w:p w14:paraId="26F33B9D">
            <w:pPr>
              <w:pStyle w:val="2251"/>
              <w:autoSpaceDE/>
              <w:autoSpaceDN/>
              <w:spacing w:before="22"/>
              <w:ind w:left="128" w:right="121"/>
              <w:jc w:val="center"/>
              <w:rPr>
                <w:rFonts w:ascii="Times New Roman" w:hAnsi="Times New Roman" w:cs="Times New Roman"/>
                <w:b/>
                <w:sz w:val="21"/>
              </w:rPr>
            </w:pPr>
            <w:r>
              <w:rPr>
                <w:rFonts w:ascii="Times New Roman" w:hAnsi="Times New Roman" w:cs="Times New Roman"/>
                <w:b/>
                <w:sz w:val="21"/>
              </w:rPr>
              <w:t>焚烧法</w:t>
            </w:r>
          </w:p>
        </w:tc>
        <w:tc>
          <w:tcPr>
            <w:tcW w:w="999" w:type="pct"/>
            <w:shd w:val="clear" w:color="auto" w:fill="D7D7D7"/>
            <w:noWrap w:val="0"/>
            <w:vAlign w:val="top"/>
          </w:tcPr>
          <w:p w14:paraId="77CE9B9F">
            <w:pPr>
              <w:pStyle w:val="2251"/>
              <w:autoSpaceDE/>
              <w:autoSpaceDN/>
              <w:spacing w:before="22"/>
              <w:ind w:left="72" w:right="70"/>
              <w:jc w:val="center"/>
              <w:rPr>
                <w:rFonts w:ascii="Times New Roman" w:hAnsi="Times New Roman" w:cs="Times New Roman"/>
                <w:b/>
                <w:sz w:val="21"/>
              </w:rPr>
            </w:pPr>
            <w:r>
              <w:rPr>
                <w:rFonts w:ascii="Times New Roman" w:hAnsi="Times New Roman" w:cs="Times New Roman"/>
                <w:b/>
                <w:sz w:val="21"/>
              </w:rPr>
              <w:t>化制</w:t>
            </w:r>
          </w:p>
        </w:tc>
        <w:tc>
          <w:tcPr>
            <w:tcW w:w="999" w:type="pct"/>
            <w:shd w:val="clear" w:color="auto" w:fill="D7D7D7"/>
            <w:noWrap w:val="0"/>
            <w:vAlign w:val="top"/>
          </w:tcPr>
          <w:p w14:paraId="049C5D74">
            <w:pPr>
              <w:pStyle w:val="2251"/>
              <w:autoSpaceDE/>
              <w:autoSpaceDN/>
              <w:spacing w:before="22"/>
              <w:ind w:left="70" w:right="70"/>
              <w:jc w:val="center"/>
              <w:rPr>
                <w:rFonts w:ascii="Times New Roman" w:hAnsi="Times New Roman" w:cs="Times New Roman"/>
                <w:b/>
                <w:sz w:val="21"/>
              </w:rPr>
            </w:pPr>
            <w:r>
              <w:rPr>
                <w:rFonts w:ascii="Times New Roman" w:hAnsi="Times New Roman" w:cs="Times New Roman"/>
                <w:b/>
                <w:sz w:val="21"/>
              </w:rPr>
              <w:t>深埋</w:t>
            </w:r>
          </w:p>
        </w:tc>
        <w:tc>
          <w:tcPr>
            <w:tcW w:w="1000" w:type="pct"/>
            <w:shd w:val="clear" w:color="auto" w:fill="D7D7D7"/>
            <w:noWrap w:val="0"/>
            <w:vAlign w:val="top"/>
          </w:tcPr>
          <w:p w14:paraId="6AF6E4B8">
            <w:pPr>
              <w:pStyle w:val="2251"/>
              <w:autoSpaceDE/>
              <w:autoSpaceDN/>
              <w:spacing w:before="22"/>
              <w:ind w:left="282" w:right="274"/>
              <w:jc w:val="center"/>
              <w:rPr>
                <w:rFonts w:ascii="Times New Roman" w:hAnsi="Times New Roman" w:cs="Times New Roman"/>
                <w:b/>
                <w:sz w:val="21"/>
              </w:rPr>
            </w:pPr>
            <w:r>
              <w:rPr>
                <w:rFonts w:ascii="Times New Roman" w:hAnsi="Times New Roman" w:cs="Times New Roman"/>
                <w:b/>
                <w:sz w:val="21"/>
              </w:rPr>
              <w:t>无害化处理</w:t>
            </w:r>
          </w:p>
        </w:tc>
      </w:tr>
      <w:tr w14:paraId="74F8A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678" w:type="pct"/>
            <w:noWrap w:val="0"/>
            <w:vAlign w:val="top"/>
          </w:tcPr>
          <w:p w14:paraId="046B93C0">
            <w:pPr>
              <w:pStyle w:val="2251"/>
              <w:autoSpaceDE/>
              <w:autoSpaceDN/>
              <w:rPr>
                <w:rFonts w:ascii="Times New Roman" w:hAnsi="Times New Roman" w:cs="Times New Roman"/>
                <w:b/>
                <w:sz w:val="20"/>
              </w:rPr>
            </w:pPr>
          </w:p>
          <w:p w14:paraId="5D3F4190">
            <w:pPr>
              <w:pStyle w:val="2251"/>
              <w:autoSpaceDE/>
              <w:autoSpaceDN/>
              <w:rPr>
                <w:rFonts w:ascii="Times New Roman" w:hAnsi="Times New Roman" w:cs="Times New Roman"/>
                <w:b/>
                <w:sz w:val="20"/>
              </w:rPr>
            </w:pPr>
          </w:p>
          <w:p w14:paraId="66CC8A6E">
            <w:pPr>
              <w:pStyle w:val="2251"/>
              <w:autoSpaceDE/>
              <w:autoSpaceDN/>
              <w:rPr>
                <w:rFonts w:ascii="Times New Roman" w:hAnsi="Times New Roman" w:cs="Times New Roman"/>
                <w:b/>
                <w:sz w:val="20"/>
              </w:rPr>
            </w:pPr>
          </w:p>
          <w:p w14:paraId="25EA33DC">
            <w:pPr>
              <w:pStyle w:val="2251"/>
              <w:autoSpaceDE/>
              <w:autoSpaceDN/>
              <w:spacing w:before="10"/>
              <w:rPr>
                <w:rFonts w:ascii="Times New Roman" w:hAnsi="Times New Roman" w:cs="Times New Roman"/>
                <w:b/>
                <w:sz w:val="14"/>
              </w:rPr>
            </w:pPr>
          </w:p>
          <w:p w14:paraId="055DC9DE">
            <w:pPr>
              <w:pStyle w:val="2251"/>
              <w:autoSpaceDE/>
              <w:autoSpaceDN/>
              <w:spacing w:before="1" w:line="278" w:lineRule="auto"/>
              <w:ind w:left="107" w:right="72"/>
              <w:rPr>
                <w:rFonts w:ascii="Times New Roman" w:hAnsi="Times New Roman" w:cs="Times New Roman"/>
                <w:sz w:val="21"/>
              </w:rPr>
            </w:pPr>
            <w:r>
              <w:rPr>
                <w:rFonts w:ascii="Times New Roman" w:hAnsi="Times New Roman" w:cs="Times New Roman"/>
                <w:sz w:val="21"/>
              </w:rPr>
              <w:t>技术及工艺特点</w:t>
            </w:r>
          </w:p>
        </w:tc>
        <w:tc>
          <w:tcPr>
            <w:tcW w:w="1321" w:type="pct"/>
            <w:noWrap w:val="0"/>
            <w:vAlign w:val="top"/>
          </w:tcPr>
          <w:p w14:paraId="07EE7148">
            <w:pPr>
              <w:pStyle w:val="2251"/>
              <w:autoSpaceDE/>
              <w:autoSpaceDN/>
              <w:rPr>
                <w:rFonts w:ascii="Times New Roman" w:hAnsi="Times New Roman" w:cs="Times New Roman"/>
                <w:b/>
                <w:sz w:val="20"/>
              </w:rPr>
            </w:pPr>
          </w:p>
          <w:p w14:paraId="0579EC50">
            <w:pPr>
              <w:pStyle w:val="2251"/>
              <w:autoSpaceDE/>
              <w:autoSpaceDN/>
              <w:rPr>
                <w:rFonts w:ascii="Times New Roman" w:hAnsi="Times New Roman" w:cs="Times New Roman"/>
                <w:b/>
                <w:sz w:val="20"/>
              </w:rPr>
            </w:pPr>
          </w:p>
          <w:p w14:paraId="760D8D24">
            <w:pPr>
              <w:pStyle w:val="2251"/>
              <w:autoSpaceDE/>
              <w:autoSpaceDN/>
              <w:spacing w:before="134" w:line="278" w:lineRule="auto"/>
              <w:ind w:left="107" w:right="96"/>
              <w:jc w:val="center"/>
              <w:rPr>
                <w:rFonts w:ascii="Times New Roman" w:hAnsi="Times New Roman" w:cs="Times New Roman"/>
                <w:sz w:val="21"/>
              </w:rPr>
            </w:pPr>
            <w:r>
              <w:rPr>
                <w:rFonts w:ascii="Times New Roman" w:hAnsi="Times New Roman" w:cs="Times New Roman"/>
                <w:spacing w:val="-3"/>
                <w:sz w:val="21"/>
              </w:rPr>
              <w:t>工艺较复杂；尸体切</w:t>
            </w:r>
            <w:r>
              <w:rPr>
                <w:rFonts w:ascii="Times New Roman" w:hAnsi="Times New Roman" w:cs="Times New Roman"/>
                <w:spacing w:val="-19"/>
                <w:sz w:val="21"/>
              </w:rPr>
              <w:t>割、焚烧，排放物</w:t>
            </w:r>
            <w:r>
              <w:rPr>
                <w:rFonts w:ascii="Times New Roman" w:hAnsi="Times New Roman" w:cs="Times New Roman"/>
                <w:spacing w:val="-3"/>
                <w:sz w:val="21"/>
              </w:rPr>
              <w:t>（</w:t>
            </w:r>
            <w:r>
              <w:rPr>
                <w:rFonts w:ascii="Times New Roman" w:hAnsi="Times New Roman" w:cs="Times New Roman"/>
                <w:spacing w:val="-13"/>
                <w:sz w:val="21"/>
              </w:rPr>
              <w:t>烟</w:t>
            </w:r>
            <w:r>
              <w:rPr>
                <w:rFonts w:ascii="Times New Roman" w:hAnsi="Times New Roman" w:cs="Times New Roman"/>
                <w:spacing w:val="-1"/>
                <w:sz w:val="21"/>
              </w:rPr>
              <w:t>气、粉尘</w:t>
            </w:r>
            <w:r>
              <w:rPr>
                <w:rFonts w:ascii="Times New Roman" w:hAnsi="Times New Roman" w:cs="Times New Roman"/>
                <w:sz w:val="21"/>
              </w:rPr>
              <w:t>）</w:t>
            </w:r>
            <w:r>
              <w:rPr>
                <w:rFonts w:ascii="Times New Roman" w:hAnsi="Times New Roman" w:cs="Times New Roman"/>
                <w:spacing w:val="-2"/>
                <w:sz w:val="21"/>
              </w:rPr>
              <w:t>处理，污</w:t>
            </w:r>
            <w:r>
              <w:rPr>
                <w:rFonts w:ascii="Times New Roman" w:hAnsi="Times New Roman" w:cs="Times New Roman"/>
                <w:spacing w:val="-3"/>
                <w:sz w:val="21"/>
              </w:rPr>
              <w:t>水等处理系统</w:t>
            </w:r>
          </w:p>
        </w:tc>
        <w:tc>
          <w:tcPr>
            <w:tcW w:w="999" w:type="pct"/>
            <w:noWrap w:val="0"/>
            <w:vAlign w:val="top"/>
          </w:tcPr>
          <w:p w14:paraId="12378654">
            <w:pPr>
              <w:pStyle w:val="2251"/>
              <w:autoSpaceDE/>
              <w:autoSpaceDN/>
              <w:spacing w:before="22" w:line="278" w:lineRule="auto"/>
              <w:ind w:left="105" w:right="70"/>
              <w:jc w:val="center"/>
              <w:rPr>
                <w:rFonts w:ascii="Times New Roman" w:hAnsi="Times New Roman" w:cs="Times New Roman"/>
                <w:sz w:val="21"/>
              </w:rPr>
            </w:pPr>
            <w:r>
              <w:rPr>
                <w:rFonts w:ascii="Times New Roman" w:hAnsi="Times New Roman" w:cs="Times New Roman"/>
                <w:spacing w:val="-5"/>
                <w:sz w:val="21"/>
              </w:rPr>
              <w:t xml:space="preserve">高温高压蒸煮， </w:t>
            </w:r>
            <w:r>
              <w:rPr>
                <w:rFonts w:ascii="Times New Roman" w:hAnsi="Times New Roman" w:cs="Times New Roman"/>
                <w:spacing w:val="-3"/>
                <w:sz w:val="21"/>
              </w:rPr>
              <w:t xml:space="preserve">干化或湿化处 </w:t>
            </w:r>
            <w:r>
              <w:rPr>
                <w:rFonts w:ascii="Times New Roman" w:hAnsi="Times New Roman" w:cs="Times New Roman"/>
                <w:spacing w:val="-6"/>
                <w:sz w:val="21"/>
              </w:rPr>
              <w:t>理技术。工艺较</w:t>
            </w:r>
            <w:r>
              <w:rPr>
                <w:rFonts w:ascii="Times New Roman" w:hAnsi="Times New Roman" w:cs="Times New Roman"/>
                <w:spacing w:val="-7"/>
                <w:sz w:val="21"/>
              </w:rPr>
              <w:t>复杂：尸体高温高压，破碎油水</w:t>
            </w:r>
            <w:r>
              <w:rPr>
                <w:rFonts w:ascii="Times New Roman" w:hAnsi="Times New Roman" w:cs="Times New Roman"/>
                <w:spacing w:val="-9"/>
                <w:sz w:val="21"/>
              </w:rPr>
              <w:t>分离，烘干，废</w:t>
            </w:r>
            <w:r>
              <w:rPr>
                <w:rFonts w:ascii="Times New Roman" w:hAnsi="Times New Roman" w:cs="Times New Roman"/>
                <w:spacing w:val="-7"/>
                <w:sz w:val="21"/>
              </w:rPr>
              <w:t>液污水处理等</w:t>
            </w:r>
          </w:p>
          <w:p w14:paraId="03A29AFE">
            <w:pPr>
              <w:pStyle w:val="2251"/>
              <w:autoSpaceDE/>
              <w:autoSpaceDN/>
              <w:spacing w:line="269" w:lineRule="exact"/>
              <w:ind w:left="76" w:right="70"/>
              <w:jc w:val="center"/>
              <w:rPr>
                <w:rFonts w:ascii="Times New Roman" w:hAnsi="Times New Roman" w:cs="Times New Roman"/>
                <w:sz w:val="21"/>
              </w:rPr>
            </w:pPr>
            <w:r>
              <w:rPr>
                <w:rFonts w:ascii="Times New Roman" w:hAnsi="Times New Roman" w:cs="Times New Roman"/>
                <w:sz w:val="21"/>
              </w:rPr>
              <w:t>系统。</w:t>
            </w:r>
          </w:p>
        </w:tc>
        <w:tc>
          <w:tcPr>
            <w:tcW w:w="999" w:type="pct"/>
            <w:noWrap w:val="0"/>
            <w:vAlign w:val="top"/>
          </w:tcPr>
          <w:p w14:paraId="35301950">
            <w:pPr>
              <w:pStyle w:val="2251"/>
              <w:autoSpaceDE/>
              <w:autoSpaceDN/>
              <w:rPr>
                <w:rFonts w:ascii="Times New Roman" w:hAnsi="Times New Roman" w:cs="Times New Roman"/>
                <w:b/>
              </w:rPr>
            </w:pPr>
          </w:p>
          <w:p w14:paraId="37CA9F00">
            <w:pPr>
              <w:pStyle w:val="2251"/>
              <w:autoSpaceDE/>
              <w:autoSpaceDN/>
              <w:rPr>
                <w:rFonts w:ascii="Times New Roman" w:hAnsi="Times New Roman" w:cs="Times New Roman"/>
                <w:b/>
              </w:rPr>
            </w:pPr>
          </w:p>
          <w:p w14:paraId="6C23C746">
            <w:pPr>
              <w:pStyle w:val="2251"/>
              <w:autoSpaceDE/>
              <w:autoSpaceDN/>
              <w:spacing w:before="8"/>
              <w:rPr>
                <w:rFonts w:ascii="Times New Roman" w:hAnsi="Times New Roman" w:cs="Times New Roman"/>
                <w:b/>
                <w:sz w:val="18"/>
              </w:rPr>
            </w:pPr>
          </w:p>
          <w:p w14:paraId="6C0C2B48">
            <w:pPr>
              <w:pStyle w:val="2251"/>
              <w:autoSpaceDE/>
              <w:autoSpaceDN/>
              <w:ind w:left="196"/>
              <w:rPr>
                <w:rFonts w:ascii="Times New Roman" w:hAnsi="Times New Roman" w:cs="Times New Roman"/>
                <w:sz w:val="21"/>
              </w:rPr>
            </w:pPr>
            <w:r>
              <w:rPr>
                <w:rFonts w:ascii="Times New Roman" w:hAnsi="Times New Roman" w:cs="Times New Roman"/>
                <w:spacing w:val="-18"/>
                <w:sz w:val="21"/>
              </w:rPr>
              <w:t xml:space="preserve">深埋 </w:t>
            </w:r>
            <w:r>
              <w:rPr>
                <w:rFonts w:ascii="Times New Roman" w:hAnsi="Times New Roman" w:eastAsia="Times New Roman" w:cs="Times New Roman"/>
                <w:sz w:val="21"/>
              </w:rPr>
              <w:t>1.5</w:t>
            </w:r>
            <w:r>
              <w:rPr>
                <w:rFonts w:ascii="Times New Roman" w:hAnsi="Times New Roman" w:eastAsia="Times New Roman" w:cs="Times New Roman"/>
                <w:spacing w:val="1"/>
                <w:sz w:val="21"/>
              </w:rPr>
              <w:t xml:space="preserve"> </w:t>
            </w:r>
            <w:r>
              <w:rPr>
                <w:rFonts w:ascii="Times New Roman" w:hAnsi="Times New Roman" w:cs="Times New Roman"/>
                <w:spacing w:val="-3"/>
                <w:sz w:val="21"/>
              </w:rPr>
              <w:t>米以</w:t>
            </w:r>
          </w:p>
          <w:p w14:paraId="7F875ADE">
            <w:pPr>
              <w:pStyle w:val="2251"/>
              <w:autoSpaceDE/>
              <w:autoSpaceDN/>
              <w:spacing w:before="43" w:line="278" w:lineRule="auto"/>
              <w:ind w:left="196" w:right="99"/>
              <w:rPr>
                <w:rFonts w:ascii="Times New Roman" w:hAnsi="Times New Roman" w:cs="Times New Roman"/>
                <w:sz w:val="21"/>
              </w:rPr>
            </w:pPr>
            <w:r>
              <w:rPr>
                <w:rFonts w:ascii="Times New Roman" w:hAnsi="Times New Roman" w:cs="Times New Roman"/>
                <w:spacing w:val="-27"/>
                <w:sz w:val="21"/>
              </w:rPr>
              <w:t xml:space="preserve">下，洒上 </w:t>
            </w:r>
            <w:r>
              <w:rPr>
                <w:rFonts w:ascii="Times New Roman" w:hAnsi="Times New Roman" w:eastAsia="Times New Roman" w:cs="Times New Roman"/>
                <w:sz w:val="21"/>
              </w:rPr>
              <w:t>2</w:t>
            </w:r>
            <w:r>
              <w:rPr>
                <w:rFonts w:ascii="Times New Roman" w:hAnsi="Times New Roman" w:eastAsia="Times New Roman" w:cs="Times New Roman"/>
                <w:spacing w:val="3"/>
                <w:sz w:val="21"/>
              </w:rPr>
              <w:t xml:space="preserve"> </w:t>
            </w:r>
            <w:r>
              <w:rPr>
                <w:rFonts w:ascii="Times New Roman" w:hAnsi="Times New Roman" w:cs="Times New Roman"/>
                <w:spacing w:val="-10"/>
                <w:sz w:val="21"/>
              </w:rPr>
              <w:t>公分</w:t>
            </w:r>
            <w:r>
              <w:rPr>
                <w:rFonts w:ascii="Times New Roman" w:hAnsi="Times New Roman" w:cs="Times New Roman"/>
                <w:spacing w:val="-2"/>
                <w:sz w:val="21"/>
              </w:rPr>
              <w:t>厚的生石灰层</w:t>
            </w:r>
          </w:p>
        </w:tc>
        <w:tc>
          <w:tcPr>
            <w:tcW w:w="1000" w:type="pct"/>
            <w:noWrap w:val="0"/>
            <w:vAlign w:val="top"/>
          </w:tcPr>
          <w:p w14:paraId="47743AD5">
            <w:pPr>
              <w:pStyle w:val="2251"/>
              <w:autoSpaceDE/>
              <w:autoSpaceDN/>
              <w:spacing w:before="179" w:line="278" w:lineRule="auto"/>
              <w:ind w:left="107" w:right="68"/>
              <w:jc w:val="center"/>
              <w:rPr>
                <w:rFonts w:ascii="Times New Roman" w:hAnsi="Times New Roman" w:cs="Times New Roman"/>
                <w:sz w:val="21"/>
              </w:rPr>
            </w:pPr>
            <w:r>
              <w:rPr>
                <w:rFonts w:ascii="Times New Roman" w:hAnsi="Times New Roman" w:cs="Times New Roman"/>
                <w:spacing w:val="-3"/>
                <w:sz w:val="21"/>
              </w:rPr>
              <w:t xml:space="preserve">利用微生物降 </w:t>
            </w:r>
            <w:r>
              <w:rPr>
                <w:rFonts w:ascii="Times New Roman" w:hAnsi="Times New Roman" w:cs="Times New Roman"/>
                <w:spacing w:val="-2"/>
                <w:sz w:val="21"/>
              </w:rPr>
              <w:t xml:space="preserve">解有机物的特 </w:t>
            </w:r>
            <w:r>
              <w:rPr>
                <w:rFonts w:ascii="Times New Roman" w:hAnsi="Times New Roman" w:cs="Times New Roman"/>
                <w:spacing w:val="-6"/>
                <w:sz w:val="21"/>
              </w:rPr>
              <w:t>性、持续高温杀灭病原微生物、</w:t>
            </w:r>
            <w:r>
              <w:rPr>
                <w:rFonts w:ascii="Times New Roman" w:hAnsi="Times New Roman" w:cs="Times New Roman"/>
                <w:spacing w:val="-2"/>
                <w:sz w:val="21"/>
              </w:rPr>
              <w:t xml:space="preserve">微生物发酵等 </w:t>
            </w:r>
            <w:r>
              <w:rPr>
                <w:rFonts w:ascii="Times New Roman" w:hAnsi="Times New Roman" w:cs="Times New Roman"/>
                <w:spacing w:val="-3"/>
                <w:sz w:val="21"/>
              </w:rPr>
              <w:t xml:space="preserve">多种原理和技 </w:t>
            </w:r>
            <w:r>
              <w:rPr>
                <w:rFonts w:ascii="Times New Roman" w:hAnsi="Times New Roman" w:cs="Times New Roman"/>
                <w:sz w:val="21"/>
              </w:rPr>
              <w:t>术</w:t>
            </w:r>
          </w:p>
        </w:tc>
      </w:tr>
      <w:tr w14:paraId="71C11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678" w:type="pct"/>
            <w:noWrap w:val="0"/>
            <w:vAlign w:val="top"/>
          </w:tcPr>
          <w:p w14:paraId="7C3A178F">
            <w:pPr>
              <w:pStyle w:val="2251"/>
              <w:autoSpaceDE/>
              <w:autoSpaceDN/>
              <w:spacing w:before="1"/>
              <w:rPr>
                <w:rFonts w:ascii="Times New Roman" w:hAnsi="Times New Roman" w:cs="Times New Roman"/>
                <w:b/>
                <w:sz w:val="26"/>
              </w:rPr>
            </w:pPr>
          </w:p>
          <w:p w14:paraId="3A394C13">
            <w:pPr>
              <w:pStyle w:val="2251"/>
              <w:autoSpaceDE/>
              <w:autoSpaceDN/>
              <w:spacing w:line="278" w:lineRule="auto"/>
              <w:ind w:left="107" w:right="94"/>
              <w:rPr>
                <w:rFonts w:ascii="Times New Roman" w:hAnsi="Times New Roman" w:cs="Times New Roman"/>
                <w:sz w:val="21"/>
              </w:rPr>
            </w:pPr>
            <w:r>
              <w:rPr>
                <w:rFonts w:ascii="Times New Roman" w:hAnsi="Times New Roman" w:cs="Times New Roman"/>
                <w:sz w:val="21"/>
              </w:rPr>
              <w:t>排放物及产物处理</w:t>
            </w:r>
          </w:p>
        </w:tc>
        <w:tc>
          <w:tcPr>
            <w:tcW w:w="1321" w:type="pct"/>
            <w:noWrap w:val="0"/>
            <w:vAlign w:val="top"/>
          </w:tcPr>
          <w:p w14:paraId="77FDB0BD">
            <w:pPr>
              <w:pStyle w:val="2251"/>
              <w:autoSpaceDE/>
              <w:autoSpaceDN/>
              <w:spacing w:before="22" w:line="278" w:lineRule="auto"/>
              <w:ind w:left="107" w:right="-15"/>
              <w:jc w:val="both"/>
              <w:rPr>
                <w:rFonts w:ascii="Times New Roman" w:hAnsi="Times New Roman" w:cs="Times New Roman"/>
                <w:sz w:val="21"/>
              </w:rPr>
            </w:pPr>
            <w:r>
              <w:rPr>
                <w:rFonts w:ascii="Times New Roman" w:hAnsi="Times New Roman" w:cs="Times New Roman"/>
                <w:spacing w:val="-5"/>
                <w:sz w:val="21"/>
              </w:rPr>
              <w:t>骨渣填埋处理；灰尘、</w:t>
            </w:r>
            <w:r>
              <w:rPr>
                <w:rFonts w:ascii="Times New Roman" w:hAnsi="Times New Roman" w:cs="Times New Roman"/>
                <w:spacing w:val="-7"/>
                <w:sz w:val="21"/>
              </w:rPr>
              <w:t>一氧化碳、氮氧化物、</w:t>
            </w:r>
            <w:r>
              <w:rPr>
                <w:rFonts w:ascii="Times New Roman" w:hAnsi="Times New Roman" w:cs="Times New Roman"/>
                <w:spacing w:val="-5"/>
                <w:sz w:val="21"/>
              </w:rPr>
              <w:t>重金属、酸性气体处</w:t>
            </w:r>
          </w:p>
          <w:p w14:paraId="1B67E194">
            <w:pPr>
              <w:pStyle w:val="2251"/>
              <w:autoSpaceDE/>
              <w:autoSpaceDN/>
              <w:spacing w:before="1"/>
              <w:ind w:left="357"/>
              <w:rPr>
                <w:rFonts w:ascii="Times New Roman" w:hAnsi="Times New Roman" w:cs="Times New Roman"/>
                <w:sz w:val="21"/>
              </w:rPr>
            </w:pPr>
            <w:r>
              <w:rPr>
                <w:rFonts w:ascii="Times New Roman" w:hAnsi="Times New Roman" w:cs="Times New Roman"/>
                <w:sz w:val="21"/>
              </w:rPr>
              <w:t>理；污水处理。</w:t>
            </w:r>
          </w:p>
        </w:tc>
        <w:tc>
          <w:tcPr>
            <w:tcW w:w="999" w:type="pct"/>
            <w:noWrap w:val="0"/>
            <w:vAlign w:val="top"/>
          </w:tcPr>
          <w:p w14:paraId="402C958B">
            <w:pPr>
              <w:pStyle w:val="2251"/>
              <w:autoSpaceDE/>
              <w:autoSpaceDN/>
              <w:spacing w:before="22" w:line="278" w:lineRule="auto"/>
              <w:ind w:left="105" w:right="96"/>
              <w:rPr>
                <w:rFonts w:ascii="Times New Roman" w:hAnsi="Times New Roman" w:cs="Times New Roman"/>
                <w:sz w:val="21"/>
              </w:rPr>
            </w:pPr>
            <w:r>
              <w:rPr>
                <w:rFonts w:ascii="Times New Roman" w:hAnsi="Times New Roman" w:cs="Times New Roman"/>
                <w:spacing w:val="-2"/>
                <w:sz w:val="21"/>
              </w:rPr>
              <w:t>尸体高温高压</w:t>
            </w:r>
            <w:r>
              <w:rPr>
                <w:rFonts w:ascii="Times New Roman" w:hAnsi="Times New Roman" w:cs="Times New Roman"/>
                <w:spacing w:val="-9"/>
                <w:sz w:val="21"/>
              </w:rPr>
              <w:t>处理；破碎油水分离处理；烘干</w:t>
            </w:r>
          </w:p>
          <w:p w14:paraId="0B513DD5">
            <w:pPr>
              <w:pStyle w:val="2251"/>
              <w:autoSpaceDE/>
              <w:autoSpaceDN/>
              <w:spacing w:before="1"/>
              <w:ind w:left="105"/>
              <w:rPr>
                <w:rFonts w:ascii="Times New Roman" w:hAnsi="Times New Roman" w:cs="Times New Roman"/>
                <w:sz w:val="21"/>
              </w:rPr>
            </w:pPr>
            <w:r>
              <w:rPr>
                <w:rFonts w:ascii="Times New Roman" w:hAnsi="Times New Roman" w:cs="Times New Roman"/>
                <w:spacing w:val="-3"/>
                <w:sz w:val="21"/>
              </w:rPr>
              <w:t>处废液污水处。</w:t>
            </w:r>
          </w:p>
        </w:tc>
        <w:tc>
          <w:tcPr>
            <w:tcW w:w="999" w:type="pct"/>
            <w:noWrap w:val="0"/>
            <w:vAlign w:val="top"/>
          </w:tcPr>
          <w:p w14:paraId="37190144">
            <w:pPr>
              <w:pStyle w:val="2251"/>
              <w:autoSpaceDE/>
              <w:autoSpaceDN/>
              <w:rPr>
                <w:rFonts w:ascii="Times New Roman" w:hAnsi="Times New Roman" w:cs="Times New Roman"/>
                <w:b/>
                <w:sz w:val="20"/>
              </w:rPr>
            </w:pPr>
          </w:p>
          <w:p w14:paraId="66AF038B">
            <w:pPr>
              <w:pStyle w:val="2251"/>
              <w:autoSpaceDE/>
              <w:autoSpaceDN/>
              <w:spacing w:before="3"/>
              <w:rPr>
                <w:rFonts w:ascii="Times New Roman" w:hAnsi="Times New Roman" w:cs="Times New Roman"/>
                <w:b/>
                <w:sz w:val="18"/>
              </w:rPr>
            </w:pPr>
          </w:p>
          <w:p w14:paraId="2E3505FA">
            <w:pPr>
              <w:pStyle w:val="2251"/>
              <w:autoSpaceDE/>
              <w:autoSpaceDN/>
              <w:jc w:val="center"/>
              <w:rPr>
                <w:rFonts w:ascii="Times New Roman" w:hAnsi="Times New Roman" w:cs="Times New Roman"/>
                <w:sz w:val="21"/>
              </w:rPr>
            </w:pPr>
            <w:r>
              <w:rPr>
                <w:rFonts w:ascii="Times New Roman" w:hAnsi="Times New Roman" w:cs="Times New Roman"/>
                <w:sz w:val="21"/>
              </w:rPr>
              <w:t>无</w:t>
            </w:r>
          </w:p>
        </w:tc>
        <w:tc>
          <w:tcPr>
            <w:tcW w:w="1000" w:type="pct"/>
            <w:noWrap w:val="0"/>
            <w:vAlign w:val="top"/>
          </w:tcPr>
          <w:p w14:paraId="2D6E3155">
            <w:pPr>
              <w:pStyle w:val="2251"/>
              <w:autoSpaceDE/>
              <w:autoSpaceDN/>
              <w:rPr>
                <w:rFonts w:ascii="Times New Roman" w:hAnsi="Times New Roman" w:cs="Times New Roman"/>
                <w:b/>
                <w:sz w:val="20"/>
              </w:rPr>
            </w:pPr>
          </w:p>
          <w:p w14:paraId="3377B0CB">
            <w:pPr>
              <w:pStyle w:val="2251"/>
              <w:autoSpaceDE/>
              <w:autoSpaceDN/>
              <w:spacing w:before="3"/>
              <w:rPr>
                <w:rFonts w:ascii="Times New Roman" w:hAnsi="Times New Roman" w:cs="Times New Roman"/>
                <w:b/>
                <w:sz w:val="18"/>
              </w:rPr>
            </w:pPr>
          </w:p>
          <w:p w14:paraId="3B84D4C6">
            <w:pPr>
              <w:pStyle w:val="2251"/>
              <w:autoSpaceDE/>
              <w:autoSpaceDN/>
              <w:ind w:left="282" w:right="272"/>
              <w:jc w:val="center"/>
              <w:rPr>
                <w:rFonts w:ascii="Times New Roman" w:hAnsi="Times New Roman" w:cs="Times New Roman"/>
                <w:sz w:val="21"/>
              </w:rPr>
            </w:pPr>
            <w:r>
              <w:rPr>
                <w:rFonts w:ascii="Times New Roman" w:hAnsi="Times New Roman" w:cs="Times New Roman"/>
                <w:sz w:val="21"/>
              </w:rPr>
              <w:t>有机肥料</w:t>
            </w:r>
          </w:p>
        </w:tc>
      </w:tr>
      <w:tr w14:paraId="6D47B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78" w:type="pct"/>
            <w:noWrap w:val="0"/>
            <w:vAlign w:val="top"/>
          </w:tcPr>
          <w:p w14:paraId="73AF9217">
            <w:pPr>
              <w:pStyle w:val="2251"/>
              <w:autoSpaceDE/>
              <w:autoSpaceDN/>
              <w:spacing w:before="25"/>
              <w:ind w:left="107"/>
              <w:rPr>
                <w:rFonts w:ascii="Times New Roman" w:hAnsi="Times New Roman" w:cs="Times New Roman"/>
                <w:sz w:val="21"/>
              </w:rPr>
            </w:pPr>
            <w:r>
              <w:rPr>
                <w:rFonts w:ascii="Times New Roman" w:hAnsi="Times New Roman" w:cs="Times New Roman"/>
                <w:sz w:val="21"/>
              </w:rPr>
              <w:t>异味环保</w:t>
            </w:r>
          </w:p>
          <w:p w14:paraId="2B38A0AE">
            <w:pPr>
              <w:pStyle w:val="2251"/>
              <w:autoSpaceDE/>
              <w:autoSpaceDN/>
              <w:spacing w:before="43"/>
              <w:ind w:left="107"/>
              <w:rPr>
                <w:rFonts w:ascii="Times New Roman" w:hAnsi="Times New Roman" w:cs="Times New Roman"/>
                <w:sz w:val="21"/>
              </w:rPr>
            </w:pPr>
            <w:r>
              <w:rPr>
                <w:rFonts w:ascii="Times New Roman" w:hAnsi="Times New Roman" w:cs="Times New Roman"/>
                <w:sz w:val="21"/>
              </w:rPr>
              <w:t>控制</w:t>
            </w:r>
          </w:p>
        </w:tc>
        <w:tc>
          <w:tcPr>
            <w:tcW w:w="1321" w:type="pct"/>
            <w:noWrap w:val="0"/>
            <w:vAlign w:val="top"/>
          </w:tcPr>
          <w:p w14:paraId="3DC6DBBE">
            <w:pPr>
              <w:pStyle w:val="2251"/>
              <w:autoSpaceDE/>
              <w:autoSpaceDN/>
              <w:spacing w:before="25"/>
              <w:ind w:left="130" w:right="121"/>
              <w:jc w:val="center"/>
              <w:rPr>
                <w:rFonts w:ascii="Times New Roman" w:hAnsi="Times New Roman" w:cs="Times New Roman"/>
                <w:sz w:val="21"/>
              </w:rPr>
            </w:pPr>
            <w:r>
              <w:rPr>
                <w:rFonts w:ascii="Times New Roman" w:hAnsi="Times New Roman" w:cs="Times New Roman"/>
                <w:sz w:val="21"/>
              </w:rPr>
              <w:t>异味明显，控制成本</w:t>
            </w:r>
          </w:p>
          <w:p w14:paraId="2F687BDA">
            <w:pPr>
              <w:pStyle w:val="2251"/>
              <w:autoSpaceDE/>
              <w:autoSpaceDN/>
              <w:spacing w:before="43"/>
              <w:ind w:left="7"/>
              <w:jc w:val="center"/>
              <w:rPr>
                <w:rFonts w:ascii="Times New Roman" w:hAnsi="Times New Roman" w:cs="Times New Roman"/>
                <w:sz w:val="21"/>
              </w:rPr>
            </w:pPr>
            <w:r>
              <w:rPr>
                <w:rFonts w:ascii="Times New Roman" w:hAnsi="Times New Roman" w:cs="Times New Roman"/>
                <w:sz w:val="21"/>
              </w:rPr>
              <w:t>高</w:t>
            </w:r>
          </w:p>
        </w:tc>
        <w:tc>
          <w:tcPr>
            <w:tcW w:w="999" w:type="pct"/>
            <w:noWrap w:val="0"/>
            <w:vAlign w:val="top"/>
          </w:tcPr>
          <w:p w14:paraId="1357636D">
            <w:pPr>
              <w:pStyle w:val="2251"/>
              <w:autoSpaceDE/>
              <w:autoSpaceDN/>
              <w:spacing w:before="25"/>
              <w:ind w:left="72" w:right="66"/>
              <w:jc w:val="center"/>
              <w:rPr>
                <w:rFonts w:ascii="Times New Roman" w:hAnsi="Times New Roman" w:cs="Times New Roman"/>
                <w:sz w:val="21"/>
              </w:rPr>
            </w:pPr>
            <w:r>
              <w:rPr>
                <w:rFonts w:ascii="Times New Roman" w:hAnsi="Times New Roman" w:cs="Times New Roman"/>
                <w:sz w:val="21"/>
              </w:rPr>
              <w:t>异味明显，控制</w:t>
            </w:r>
          </w:p>
          <w:p w14:paraId="11E77297">
            <w:pPr>
              <w:pStyle w:val="2251"/>
              <w:autoSpaceDE/>
              <w:autoSpaceDN/>
              <w:spacing w:before="43"/>
              <w:ind w:left="73" w:right="70"/>
              <w:jc w:val="center"/>
              <w:rPr>
                <w:rFonts w:ascii="Times New Roman" w:hAnsi="Times New Roman" w:cs="Times New Roman"/>
                <w:sz w:val="21"/>
              </w:rPr>
            </w:pPr>
            <w:r>
              <w:rPr>
                <w:rFonts w:ascii="Times New Roman" w:hAnsi="Times New Roman" w:cs="Times New Roman"/>
                <w:sz w:val="21"/>
              </w:rPr>
              <w:t>成本较高</w:t>
            </w:r>
          </w:p>
        </w:tc>
        <w:tc>
          <w:tcPr>
            <w:tcW w:w="999" w:type="pct"/>
            <w:noWrap w:val="0"/>
            <w:vAlign w:val="top"/>
          </w:tcPr>
          <w:p w14:paraId="0B1D3C85">
            <w:pPr>
              <w:pStyle w:val="2251"/>
              <w:autoSpaceDE/>
              <w:autoSpaceDN/>
              <w:spacing w:before="25"/>
              <w:ind w:left="104"/>
              <w:rPr>
                <w:rFonts w:ascii="Times New Roman" w:hAnsi="Times New Roman" w:cs="Times New Roman"/>
                <w:sz w:val="21"/>
              </w:rPr>
            </w:pPr>
            <w:r>
              <w:rPr>
                <w:rFonts w:ascii="Times New Roman" w:hAnsi="Times New Roman" w:cs="Times New Roman"/>
                <w:sz w:val="21"/>
              </w:rPr>
              <w:t>无异味，但污染</w:t>
            </w:r>
          </w:p>
          <w:p w14:paraId="7A568062">
            <w:pPr>
              <w:pStyle w:val="2251"/>
              <w:autoSpaceDE/>
              <w:autoSpaceDN/>
              <w:spacing w:before="43"/>
              <w:ind w:left="196"/>
              <w:rPr>
                <w:rFonts w:ascii="Times New Roman" w:hAnsi="Times New Roman" w:cs="Times New Roman"/>
                <w:sz w:val="21"/>
              </w:rPr>
            </w:pPr>
            <w:r>
              <w:rPr>
                <w:rFonts w:ascii="Times New Roman" w:hAnsi="Times New Roman" w:cs="Times New Roman"/>
                <w:sz w:val="21"/>
              </w:rPr>
              <w:t>地下水及土壤</w:t>
            </w:r>
          </w:p>
        </w:tc>
        <w:tc>
          <w:tcPr>
            <w:tcW w:w="1000" w:type="pct"/>
            <w:noWrap w:val="0"/>
            <w:vAlign w:val="top"/>
          </w:tcPr>
          <w:p w14:paraId="63781140">
            <w:pPr>
              <w:pStyle w:val="2251"/>
              <w:autoSpaceDE/>
              <w:autoSpaceDN/>
              <w:spacing w:before="1"/>
              <w:rPr>
                <w:rFonts w:ascii="Times New Roman" w:hAnsi="Times New Roman" w:cs="Times New Roman"/>
                <w:b/>
                <w:sz w:val="14"/>
              </w:rPr>
            </w:pPr>
          </w:p>
          <w:p w14:paraId="6DE6011A">
            <w:pPr>
              <w:pStyle w:val="2251"/>
              <w:autoSpaceDE/>
              <w:autoSpaceDN/>
              <w:ind w:left="8"/>
              <w:jc w:val="center"/>
              <w:rPr>
                <w:rFonts w:ascii="Times New Roman" w:hAnsi="Times New Roman" w:cs="Times New Roman"/>
                <w:sz w:val="21"/>
              </w:rPr>
            </w:pPr>
            <w:r>
              <w:rPr>
                <w:rFonts w:ascii="Times New Roman" w:hAnsi="Times New Roman" w:cs="Times New Roman"/>
                <w:sz w:val="21"/>
              </w:rPr>
              <w:t>无</w:t>
            </w:r>
          </w:p>
        </w:tc>
      </w:tr>
      <w:tr w14:paraId="4BBE3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8" w:type="pct"/>
            <w:noWrap w:val="0"/>
            <w:vAlign w:val="top"/>
          </w:tcPr>
          <w:p w14:paraId="51E79287">
            <w:pPr>
              <w:pStyle w:val="2251"/>
              <w:autoSpaceDE/>
              <w:autoSpaceDN/>
              <w:spacing w:before="22"/>
              <w:ind w:left="107"/>
              <w:rPr>
                <w:rFonts w:ascii="Times New Roman" w:hAnsi="Times New Roman" w:cs="Times New Roman"/>
                <w:sz w:val="21"/>
              </w:rPr>
            </w:pPr>
            <w:r>
              <w:rPr>
                <w:rFonts w:ascii="Times New Roman" w:hAnsi="Times New Roman" w:cs="Times New Roman"/>
                <w:sz w:val="21"/>
              </w:rPr>
              <w:t>占地</w:t>
            </w:r>
          </w:p>
        </w:tc>
        <w:tc>
          <w:tcPr>
            <w:tcW w:w="1321" w:type="pct"/>
            <w:noWrap w:val="0"/>
            <w:vAlign w:val="top"/>
          </w:tcPr>
          <w:p w14:paraId="76257212">
            <w:pPr>
              <w:pStyle w:val="2251"/>
              <w:autoSpaceDE/>
              <w:autoSpaceDN/>
              <w:spacing w:before="22"/>
              <w:ind w:left="7"/>
              <w:jc w:val="center"/>
              <w:rPr>
                <w:rFonts w:ascii="Times New Roman" w:hAnsi="Times New Roman" w:cs="Times New Roman"/>
                <w:sz w:val="21"/>
              </w:rPr>
            </w:pPr>
            <w:r>
              <w:rPr>
                <w:rFonts w:ascii="Times New Roman" w:hAnsi="Times New Roman" w:cs="Times New Roman"/>
                <w:sz w:val="21"/>
              </w:rPr>
              <w:t>大</w:t>
            </w:r>
          </w:p>
        </w:tc>
        <w:tc>
          <w:tcPr>
            <w:tcW w:w="999" w:type="pct"/>
            <w:noWrap w:val="0"/>
            <w:vAlign w:val="top"/>
          </w:tcPr>
          <w:p w14:paraId="378290A5">
            <w:pPr>
              <w:pStyle w:val="2251"/>
              <w:autoSpaceDE/>
              <w:autoSpaceDN/>
              <w:spacing w:before="22"/>
              <w:ind w:left="2"/>
              <w:jc w:val="center"/>
              <w:rPr>
                <w:rFonts w:ascii="Times New Roman" w:hAnsi="Times New Roman" w:cs="Times New Roman"/>
                <w:sz w:val="21"/>
              </w:rPr>
            </w:pPr>
            <w:r>
              <w:rPr>
                <w:rFonts w:ascii="Times New Roman" w:hAnsi="Times New Roman" w:cs="Times New Roman"/>
                <w:sz w:val="21"/>
              </w:rPr>
              <w:t>大</w:t>
            </w:r>
          </w:p>
        </w:tc>
        <w:tc>
          <w:tcPr>
            <w:tcW w:w="999" w:type="pct"/>
            <w:noWrap w:val="0"/>
            <w:vAlign w:val="top"/>
          </w:tcPr>
          <w:p w14:paraId="1878D87B">
            <w:pPr>
              <w:pStyle w:val="2251"/>
              <w:autoSpaceDE/>
              <w:autoSpaceDN/>
              <w:spacing w:before="22"/>
              <w:ind w:left="75" w:right="70"/>
              <w:jc w:val="center"/>
              <w:rPr>
                <w:rFonts w:ascii="Times New Roman" w:hAnsi="Times New Roman" w:cs="Times New Roman"/>
                <w:sz w:val="21"/>
              </w:rPr>
            </w:pPr>
            <w:r>
              <w:rPr>
                <w:rFonts w:ascii="Times New Roman" w:hAnsi="Times New Roman" w:cs="Times New Roman"/>
                <w:sz w:val="21"/>
              </w:rPr>
              <w:t>大且多</w:t>
            </w:r>
          </w:p>
        </w:tc>
        <w:tc>
          <w:tcPr>
            <w:tcW w:w="1000" w:type="pct"/>
            <w:noWrap w:val="0"/>
            <w:vAlign w:val="top"/>
          </w:tcPr>
          <w:p w14:paraId="338E1B64">
            <w:pPr>
              <w:pStyle w:val="2251"/>
              <w:autoSpaceDE/>
              <w:autoSpaceDN/>
              <w:spacing w:before="22"/>
              <w:ind w:left="8"/>
              <w:jc w:val="center"/>
              <w:rPr>
                <w:rFonts w:ascii="Times New Roman" w:hAnsi="Times New Roman" w:cs="Times New Roman"/>
                <w:sz w:val="21"/>
              </w:rPr>
            </w:pPr>
            <w:r>
              <w:rPr>
                <w:rFonts w:ascii="Times New Roman" w:hAnsi="Times New Roman" w:cs="Times New Roman"/>
                <w:sz w:val="21"/>
              </w:rPr>
              <w:t>小</w:t>
            </w:r>
          </w:p>
        </w:tc>
      </w:tr>
    </w:tbl>
    <w:p w14:paraId="58EF4F9F">
      <w:pPr>
        <w:spacing w:line="360" w:lineRule="auto"/>
        <w:ind w:firstLine="480" w:firstLineChars="200"/>
        <w:rPr>
          <w:sz w:val="24"/>
        </w:rPr>
      </w:pPr>
      <w:r>
        <w:rPr>
          <w:sz w:val="24"/>
        </w:rPr>
        <w:t>由上表可以看出，无害化处理机明显优于其他的处理方法，占地小，无二次污染物产生，产物能全部作为有机肥回用于农田。</w:t>
      </w:r>
    </w:p>
    <w:p w14:paraId="44C9BFD6">
      <w:pPr>
        <w:spacing w:line="360" w:lineRule="auto"/>
        <w:ind w:firstLine="480" w:firstLineChars="200"/>
        <w:rPr>
          <w:sz w:val="24"/>
        </w:rPr>
      </w:pPr>
      <w:r>
        <w:rPr>
          <w:sz w:val="24"/>
        </w:rPr>
        <w:t>④处理效果</w:t>
      </w:r>
    </w:p>
    <w:p w14:paraId="41683CD5">
      <w:pPr>
        <w:pStyle w:val="35"/>
        <w:spacing w:line="364" w:lineRule="auto"/>
        <w:ind w:right="331" w:firstLine="480" w:firstLineChars="200"/>
        <w:rPr>
          <w:sz w:val="24"/>
        </w:rPr>
      </w:pPr>
      <w:r>
        <w:rPr>
          <w:sz w:val="24"/>
        </w:rPr>
        <w:t>参考广东省出入境检验检疫局检验检疫技术中心卫生检疫实验室对动物尸体无害化降解处理机生物安全效果验证报告监测结果，未知死因的畜禽尸体样本经本处理机不同时间梯度的降解作用后，采集的固体样本中大肠杆菌、沙门氏菌等细菌及其病毒均为阴性，无害化降解机能达到较好的无害化降解处理效果，项目畜禽尸体处理后物质检测报告见附件</w:t>
      </w:r>
      <w:r>
        <w:rPr>
          <w:rFonts w:hint="eastAsia"/>
          <w:sz w:val="24"/>
        </w:rPr>
        <w:t>9</w:t>
      </w:r>
      <w:r>
        <w:rPr>
          <w:sz w:val="24"/>
        </w:rPr>
        <w:t>。</w:t>
      </w:r>
    </w:p>
    <w:p w14:paraId="1E743B79">
      <w:pPr>
        <w:spacing w:line="360" w:lineRule="auto"/>
        <w:ind w:firstLine="480" w:firstLineChars="200"/>
        <w:rPr>
          <w:sz w:val="24"/>
        </w:rPr>
      </w:pPr>
      <w:r>
        <w:rPr>
          <w:sz w:val="24"/>
        </w:rPr>
        <w:t>其他相关企业也使用了禽畜无害化处理机，如在广西北海市动监所无害化处理中心、广西陆川英平牧业有限公司、广西合浦屠宰厂、广西武鸣港越牧业有限公司中使用了该种机器，处理效果较好。</w:t>
      </w:r>
    </w:p>
    <w:p w14:paraId="4EC876FB">
      <w:pPr>
        <w:spacing w:line="360" w:lineRule="auto"/>
        <w:ind w:firstLine="480" w:firstLineChars="200"/>
        <w:rPr>
          <w:sz w:val="24"/>
        </w:rPr>
      </w:pPr>
      <w:r>
        <w:rPr>
          <w:sz w:val="24"/>
        </w:rPr>
        <w:t>益康生环保科技有限公司研发的病死畜禽无害化处理机，无害化处理机日处理1吨，型号9WJC-11。本项目年产病死猪20.384t/a，无害化处理机处理规模 1t/批，单次处理周期 24h，可满足要求，因此可根据项目需求定制一套无害化处理设备。结合本项目产生的病死猪的量及无害化处理设备的处理量，无害化处理机可完全满足处理量的要求。</w:t>
      </w:r>
    </w:p>
    <w:p w14:paraId="31865F20">
      <w:pPr>
        <w:spacing w:line="360" w:lineRule="auto"/>
        <w:ind w:firstLine="480" w:firstLineChars="200"/>
        <w:rPr>
          <w:sz w:val="24"/>
        </w:rPr>
      </w:pPr>
      <w:r>
        <w:rPr>
          <w:sz w:val="24"/>
        </w:rPr>
        <w:t>因此，本项目选择无害化降解处理机处理效果好，能够变废为宝，处理方法可行。</w:t>
      </w:r>
    </w:p>
    <w:p w14:paraId="743EF7D2">
      <w:pPr>
        <w:spacing w:line="360" w:lineRule="auto"/>
        <w:ind w:firstLine="480" w:firstLineChars="200"/>
        <w:rPr>
          <w:sz w:val="24"/>
        </w:rPr>
      </w:pPr>
      <w:r>
        <w:rPr>
          <w:sz w:val="24"/>
        </w:rPr>
        <w:t>⑤发生动物疫病的处置措施</w:t>
      </w:r>
    </w:p>
    <w:p w14:paraId="7AD6C675">
      <w:pPr>
        <w:spacing w:line="360" w:lineRule="auto"/>
        <w:ind w:firstLine="480" w:firstLineChars="200"/>
      </w:pPr>
      <w:r>
        <w:rPr>
          <w:sz w:val="24"/>
        </w:rPr>
        <w:t>因重大动物疫病及人畜共患病死亡的动物尸体和相关动物产品不得自行处理。若遇流行疫病，不得自行处理处置病死猪，应及时进行诊断，并尽快向当地畜牧兽医行政部门报告疫情，确认发生高致病性疫情时，应配合当地畜牧兽医管理部门，对养殖生猪实施严格的隔离、扑杀措施，全厂进行彻底的清洗消毒，疫病病死猪按当地畜牧兽医管理部门的要求处置。</w:t>
      </w:r>
    </w:p>
    <w:p w14:paraId="227A09C4">
      <w:pPr>
        <w:pStyle w:val="8"/>
        <w:ind w:firstLine="562"/>
      </w:pPr>
      <w:r>
        <w:t>7.2.5.5</w:t>
      </w:r>
      <w:r>
        <w:rPr>
          <w:rFonts w:hint="eastAsia"/>
        </w:rPr>
        <w:t>危险废物</w:t>
      </w:r>
      <w:r>
        <w:t>处理措施可行性分析</w:t>
      </w:r>
    </w:p>
    <w:p w14:paraId="7C264F57">
      <w:pPr>
        <w:pStyle w:val="10"/>
        <w:spacing w:line="360" w:lineRule="auto"/>
        <w:ind w:firstLine="480"/>
        <w:rPr>
          <w:sz w:val="24"/>
        </w:rPr>
      </w:pPr>
      <w:r>
        <w:rPr>
          <w:sz w:val="24"/>
        </w:rPr>
        <w:t>在养殖过程中需要注射一些疫苗，因此会产生医疗废物。经查《国家危险废物名录》（2016年8月1日），该部分固废属于危险废物，废物代码为</w:t>
      </w:r>
      <w:r>
        <w:rPr>
          <w:kern w:val="0"/>
          <w:szCs w:val="21"/>
          <w:lang w:bidi="ar"/>
        </w:rPr>
        <w:t>841-002-01</w:t>
      </w:r>
      <w:r>
        <w:rPr>
          <w:sz w:val="24"/>
        </w:rPr>
        <w:t>。项目生猪的防疫及医疗自行组织进行，医疗废物暂存于危废暂存间，定期委托有资质单位处置。</w:t>
      </w:r>
    </w:p>
    <w:p w14:paraId="7CF8DAAA">
      <w:pPr>
        <w:pStyle w:val="10"/>
        <w:spacing w:line="360" w:lineRule="auto"/>
        <w:ind w:firstLine="480"/>
        <w:rPr>
          <w:sz w:val="24"/>
        </w:rPr>
      </w:pPr>
      <w:r>
        <w:rPr>
          <w:sz w:val="24"/>
        </w:rPr>
        <w:t>UV光解处理过程会产生废弃的紫外灯管，属于《国家危险废物名录》（2021版）中所列的“HW29 含汞废物  900-023-29”，产生的废紫外灯管集中收集后，暂存于危废暂存间，定期交由有危废处置资质的单位进行清运处理，符合危废管理要求，处置合理。</w:t>
      </w:r>
    </w:p>
    <w:p w14:paraId="25D1D98E">
      <w:pPr>
        <w:adjustRightInd w:val="0"/>
        <w:snapToGrid w:val="0"/>
        <w:spacing w:line="360" w:lineRule="auto"/>
        <w:ind w:firstLine="480" w:firstLineChars="200"/>
        <w:rPr>
          <w:sz w:val="24"/>
        </w:rPr>
      </w:pPr>
      <w:r>
        <w:rPr>
          <w:sz w:val="24"/>
        </w:rPr>
        <w:t>按照相关要求设置危废暂存间，依照《危险废物贮存处置管理规定》对危废暂存间进行管理。</w:t>
      </w:r>
    </w:p>
    <w:p w14:paraId="63812439">
      <w:pPr>
        <w:adjustRightInd w:val="0"/>
        <w:snapToGrid w:val="0"/>
        <w:spacing w:line="360" w:lineRule="auto"/>
        <w:ind w:firstLine="482" w:firstLineChars="200"/>
        <w:rPr>
          <w:b/>
          <w:sz w:val="24"/>
        </w:rPr>
      </w:pPr>
      <w:r>
        <w:rPr>
          <w:b/>
          <w:sz w:val="24"/>
        </w:rPr>
        <w:t>①危废暂存间设置要求如下：</w:t>
      </w:r>
    </w:p>
    <w:p w14:paraId="0DDE0B97">
      <w:pPr>
        <w:adjustRightInd w:val="0"/>
        <w:snapToGrid w:val="0"/>
        <w:spacing w:line="360" w:lineRule="auto"/>
        <w:ind w:firstLine="480" w:firstLineChars="200"/>
        <w:rPr>
          <w:sz w:val="24"/>
        </w:rPr>
      </w:pPr>
      <w:r>
        <w:rPr>
          <w:sz w:val="24"/>
        </w:rPr>
        <w:t xml:space="preserve">a.危险废物贮存间必须要密闭建设，门口内侧设立围堰，地面应做好硬化及“三防”措施（防扬散、防流失、防渗漏）。 </w:t>
      </w:r>
    </w:p>
    <w:p w14:paraId="36C999C8">
      <w:pPr>
        <w:adjustRightInd w:val="0"/>
        <w:snapToGrid w:val="0"/>
        <w:spacing w:line="360" w:lineRule="auto"/>
        <w:ind w:firstLine="480" w:firstLineChars="200"/>
        <w:rPr>
          <w:sz w:val="24"/>
        </w:rPr>
      </w:pPr>
      <w:r>
        <w:rPr>
          <w:sz w:val="24"/>
        </w:rPr>
        <w:t xml:space="preserve">b.危险废物贮存间门口需张贴标准规范的危险废物标识和危废信息板，屋内张贴企业《危险废物管理制度》。 </w:t>
      </w:r>
    </w:p>
    <w:p w14:paraId="1FE9246D">
      <w:pPr>
        <w:adjustRightInd w:val="0"/>
        <w:snapToGrid w:val="0"/>
        <w:spacing w:line="360" w:lineRule="auto"/>
        <w:ind w:firstLine="480" w:firstLineChars="200"/>
        <w:rPr>
          <w:sz w:val="24"/>
        </w:rPr>
      </w:pPr>
      <w:r>
        <w:rPr>
          <w:sz w:val="24"/>
        </w:rPr>
        <w:t xml:space="preserve">c.危险废物贮存间需按照“双人双锁”制度管理。（两把钥匙分别由两个危废负责人管理，不得一人管理） </w:t>
      </w:r>
    </w:p>
    <w:p w14:paraId="46C70FFB">
      <w:pPr>
        <w:adjustRightInd w:val="0"/>
        <w:snapToGrid w:val="0"/>
        <w:spacing w:line="360" w:lineRule="auto"/>
        <w:ind w:firstLine="480" w:firstLineChars="200"/>
        <w:rPr>
          <w:sz w:val="24"/>
        </w:rPr>
      </w:pPr>
      <w:r>
        <w:rPr>
          <w:sz w:val="24"/>
        </w:rPr>
        <w:t xml:space="preserve">d.不同种类危险废物应有明显的过道划分，墙上张贴危废名称，液态危废需将成装容器放至防泄漏托盘内并在容器粘贴危险废物标签，固态危废包装需完好无破损并系挂危险废物标签，并安要求填写。 </w:t>
      </w:r>
    </w:p>
    <w:p w14:paraId="23F7A9F8">
      <w:pPr>
        <w:adjustRightInd w:val="0"/>
        <w:snapToGrid w:val="0"/>
        <w:spacing w:line="360" w:lineRule="auto"/>
        <w:ind w:firstLine="480" w:firstLineChars="200"/>
        <w:rPr>
          <w:sz w:val="24"/>
        </w:rPr>
      </w:pPr>
      <w:r>
        <w:rPr>
          <w:sz w:val="24"/>
        </w:rPr>
        <w:t xml:space="preserve">e.建立台账并悬挂于危废间内，转入及转出（处置、自利用）需要填写危废种类、数量、时间及负责人员姓名。 </w:t>
      </w:r>
    </w:p>
    <w:p w14:paraId="74789ACF">
      <w:pPr>
        <w:adjustRightInd w:val="0"/>
        <w:snapToGrid w:val="0"/>
        <w:spacing w:line="360" w:lineRule="auto"/>
        <w:ind w:firstLine="480" w:firstLineChars="200"/>
        <w:rPr>
          <w:sz w:val="24"/>
        </w:rPr>
      </w:pPr>
      <w:r>
        <w:rPr>
          <w:sz w:val="24"/>
        </w:rPr>
        <w:t>f.危险废物贮存间内禁止存放除危险废物及应急工具以他的其他物品。</w:t>
      </w:r>
    </w:p>
    <w:p w14:paraId="518B6743">
      <w:pPr>
        <w:adjustRightInd w:val="0"/>
        <w:snapToGrid w:val="0"/>
        <w:spacing w:line="360" w:lineRule="auto"/>
        <w:ind w:firstLine="482" w:firstLineChars="200"/>
        <w:rPr>
          <w:b/>
          <w:sz w:val="24"/>
        </w:rPr>
      </w:pPr>
      <w:r>
        <w:rPr>
          <w:b/>
          <w:sz w:val="24"/>
        </w:rPr>
        <w:t>②危险废物贮存处置管理规定要求如下：</w:t>
      </w:r>
    </w:p>
    <w:p w14:paraId="712F98D3">
      <w:pPr>
        <w:adjustRightInd w:val="0"/>
        <w:snapToGrid w:val="0"/>
        <w:spacing w:line="360" w:lineRule="auto"/>
        <w:ind w:firstLine="480" w:firstLineChars="200"/>
        <w:rPr>
          <w:sz w:val="24"/>
        </w:rPr>
      </w:pPr>
      <w:r>
        <w:rPr>
          <w:sz w:val="24"/>
        </w:rPr>
        <w:t xml:space="preserve">a.危险废物的容器和包装物以及收集、暂存、转移、处置危险废物的设施、场所，必须设置危险废物识别标志。 </w:t>
      </w:r>
    </w:p>
    <w:p w14:paraId="78E73103">
      <w:pPr>
        <w:adjustRightInd w:val="0"/>
        <w:snapToGrid w:val="0"/>
        <w:spacing w:line="360" w:lineRule="auto"/>
        <w:ind w:firstLine="480" w:firstLineChars="200"/>
        <w:rPr>
          <w:sz w:val="24"/>
        </w:rPr>
      </w:pPr>
      <w:r>
        <w:rPr>
          <w:sz w:val="24"/>
        </w:rPr>
        <w:t xml:space="preserve">b.禁止随意倾倒、堆置危险废物。 </w:t>
      </w:r>
    </w:p>
    <w:p w14:paraId="48E37136">
      <w:pPr>
        <w:adjustRightInd w:val="0"/>
        <w:snapToGrid w:val="0"/>
        <w:spacing w:line="360" w:lineRule="auto"/>
        <w:ind w:firstLine="480" w:firstLineChars="200"/>
        <w:rPr>
          <w:sz w:val="24"/>
        </w:rPr>
      </w:pPr>
      <w:r>
        <w:rPr>
          <w:sz w:val="24"/>
        </w:rPr>
        <w:t xml:space="preserve">c.禁止将危险废物混入非危险废物中收集、暂存、转移、处置，收集、贮存、转移危险废物时，严格按照危险废物特性分类进行，防止混合收集、贮存、运输、转移性质不相容且未经安全性处置的危险废物。 </w:t>
      </w:r>
    </w:p>
    <w:p w14:paraId="043D1FFE">
      <w:pPr>
        <w:adjustRightInd w:val="0"/>
        <w:snapToGrid w:val="0"/>
        <w:spacing w:line="360" w:lineRule="auto"/>
        <w:ind w:firstLine="480" w:firstLineChars="200"/>
        <w:rPr>
          <w:sz w:val="24"/>
        </w:rPr>
      </w:pPr>
      <w:r>
        <w:rPr>
          <w:sz w:val="24"/>
        </w:rPr>
        <w:t xml:space="preserve">d.需要转移危险废物时必须按照相关规定办理危险废物转移联单～未经批准不得进行转移。 </w:t>
      </w:r>
    </w:p>
    <w:p w14:paraId="2F376E50">
      <w:pPr>
        <w:adjustRightInd w:val="0"/>
        <w:snapToGrid w:val="0"/>
        <w:spacing w:line="360" w:lineRule="auto"/>
        <w:ind w:firstLine="480" w:firstLineChars="200"/>
        <w:rPr>
          <w:sz w:val="24"/>
        </w:rPr>
      </w:pPr>
      <w:r>
        <w:rPr>
          <w:sz w:val="24"/>
        </w:rPr>
        <w:t xml:space="preserve">e.根据生产实际情况安全、有效地处理好停车和处理紧急事故过程中产生的危险废物杜绝环境污染事故的发生。 </w:t>
      </w:r>
    </w:p>
    <w:p w14:paraId="577B6320">
      <w:pPr>
        <w:adjustRightInd w:val="0"/>
        <w:snapToGrid w:val="0"/>
        <w:spacing w:line="360" w:lineRule="auto"/>
        <w:ind w:firstLine="480" w:firstLineChars="200"/>
        <w:rPr>
          <w:sz w:val="24"/>
        </w:rPr>
      </w:pPr>
      <w:r>
        <w:rPr>
          <w:sz w:val="24"/>
        </w:rPr>
        <w:t xml:space="preserve">f.负责危险废物的收集、分类、标示和数量登记工作，在收集、分类、标示工作过程中要严格按照有关要求对操作人员进行必要的危害告知培训，督促操作人员佩戴必要的安全防护用品。 </w:t>
      </w:r>
    </w:p>
    <w:p w14:paraId="21BDEFA6">
      <w:pPr>
        <w:adjustRightInd w:val="0"/>
        <w:snapToGrid w:val="0"/>
        <w:spacing w:line="360" w:lineRule="auto"/>
        <w:ind w:firstLine="480" w:firstLineChars="200"/>
        <w:rPr>
          <w:sz w:val="24"/>
        </w:rPr>
      </w:pPr>
      <w:r>
        <w:rPr>
          <w:sz w:val="24"/>
        </w:rPr>
        <w:t xml:space="preserve">g.危险废物进行严格管理，进行详细的登记，填写《危险废物产生贮存台账》，并对危险废物的贮存量及时上报安全环保部。 </w:t>
      </w:r>
    </w:p>
    <w:p w14:paraId="695EF2E9">
      <w:pPr>
        <w:adjustRightInd w:val="0"/>
        <w:snapToGrid w:val="0"/>
        <w:spacing w:line="360" w:lineRule="auto"/>
        <w:ind w:firstLine="480" w:firstLineChars="200"/>
        <w:rPr>
          <w:sz w:val="24"/>
        </w:rPr>
      </w:pPr>
      <w:r>
        <w:rPr>
          <w:sz w:val="24"/>
        </w:rPr>
        <w:t xml:space="preserve">h.危险废物暂时贮存场所要加强管理定期巡检确保危险废物不扩散、不渗漏、不丢失等。 </w:t>
      </w:r>
    </w:p>
    <w:p w14:paraId="39947C31">
      <w:pPr>
        <w:adjustRightInd w:val="0"/>
        <w:snapToGrid w:val="0"/>
        <w:spacing w:line="360" w:lineRule="auto"/>
        <w:ind w:firstLine="480" w:firstLineChars="200"/>
        <w:rPr>
          <w:sz w:val="24"/>
        </w:rPr>
      </w:pPr>
      <w:r>
        <w:rPr>
          <w:sz w:val="24"/>
        </w:rPr>
        <w:t xml:space="preserve">i.危险废物产生时做好职工的劳动防护工作，禁止出现职业危害事故的发生，危险废物产生后要及时运至贮存场所进行贮存。 </w:t>
      </w:r>
    </w:p>
    <w:p w14:paraId="6DA7E3D6">
      <w:pPr>
        <w:adjustRightInd w:val="0"/>
        <w:snapToGrid w:val="0"/>
        <w:spacing w:line="360" w:lineRule="auto"/>
        <w:ind w:firstLine="480" w:firstLineChars="200"/>
        <w:rPr>
          <w:sz w:val="24"/>
        </w:rPr>
      </w:pPr>
      <w:r>
        <w:rPr>
          <w:sz w:val="24"/>
        </w:rPr>
        <w:t xml:space="preserve">j.应当制定危险废物事故应急救援预案定期进行事故演练。发生危险废物污染事故或者其他突发性事件应当按照应急预案消除或者减轻对环境的污染危害及时通知可能受到危害的部门和个人并及时向安全环保部报告接受调查处理。 </w:t>
      </w:r>
    </w:p>
    <w:p w14:paraId="610AC6F7">
      <w:pPr>
        <w:adjustRightInd w:val="0"/>
        <w:snapToGrid w:val="0"/>
        <w:spacing w:line="360" w:lineRule="auto"/>
        <w:ind w:firstLine="480" w:firstLineChars="200"/>
        <w:rPr>
          <w:sz w:val="24"/>
        </w:rPr>
      </w:pPr>
      <w:r>
        <w:rPr>
          <w:sz w:val="24"/>
        </w:rPr>
        <w:t xml:space="preserve">k.标识管理，危险废物的容器和包装物必须设置危险废物识别标志。收集、贮存、运输、利用、综合利用危险废物的设施、场所必须设置危险废物识别标志。 </w:t>
      </w:r>
    </w:p>
    <w:p w14:paraId="30F465ED">
      <w:pPr>
        <w:adjustRightInd w:val="0"/>
        <w:snapToGrid w:val="0"/>
        <w:spacing w:line="360" w:lineRule="auto"/>
        <w:ind w:firstLine="480" w:firstLineChars="200"/>
        <w:rPr>
          <w:sz w:val="24"/>
        </w:rPr>
      </w:pPr>
      <w:r>
        <w:rPr>
          <w:sz w:val="24"/>
        </w:rPr>
        <w:t>l.申报登记制度，车间产生的危险废物种类、性质、数量、浓度、转移(或综合利用)去向、危险废物的贮存、利用场所严格按照国家规定的内容和程序如实向安全环保部进行申报登记。危险废物的产生数量、去向必须有严格的台账记录，记录危险废物产生和流向情况，确保危险废物不非法流失合法利用或处置。</w:t>
      </w:r>
    </w:p>
    <w:p w14:paraId="54355A84">
      <w:pPr>
        <w:pStyle w:val="2078"/>
        <w:tabs>
          <w:tab w:val="left" w:pos="1650"/>
        </w:tabs>
        <w:spacing w:line="360" w:lineRule="auto"/>
        <w:ind w:firstLine="480"/>
        <w:rPr>
          <w:sz w:val="24"/>
          <w:szCs w:val="22"/>
        </w:rPr>
      </w:pPr>
      <w:r>
        <w:rPr>
          <w:sz w:val="24"/>
        </w:rPr>
        <w:t>J.</w:t>
      </w:r>
      <w:r>
        <w:rPr>
          <w:sz w:val="24"/>
          <w:szCs w:val="22"/>
        </w:rPr>
        <w:t>在危废暂存间内暂存时间最长不超过48小时。</w:t>
      </w:r>
    </w:p>
    <w:p w14:paraId="2AB60A0D">
      <w:pPr>
        <w:pStyle w:val="10"/>
        <w:spacing w:line="360" w:lineRule="auto"/>
        <w:ind w:firstLine="480"/>
        <w:rPr>
          <w:sz w:val="24"/>
        </w:rPr>
      </w:pPr>
      <w:r>
        <w:rPr>
          <w:sz w:val="24"/>
        </w:rPr>
        <w:t>采取以上措施后，医疗废物能被妥善处理，污染防治措施合理有效。</w:t>
      </w:r>
    </w:p>
    <w:p w14:paraId="13F28564">
      <w:pPr>
        <w:pStyle w:val="8"/>
        <w:ind w:firstLine="562"/>
      </w:pPr>
      <w:r>
        <w:t>7.2.5.6其他废物处理措施可行性分析</w:t>
      </w:r>
    </w:p>
    <w:p w14:paraId="2A4B5600">
      <w:pPr>
        <w:adjustRightInd w:val="0"/>
        <w:snapToGrid w:val="0"/>
        <w:spacing w:line="360" w:lineRule="auto"/>
        <w:ind w:firstLine="480" w:firstLineChars="200"/>
        <w:rPr>
          <w:sz w:val="24"/>
        </w:rPr>
      </w:pPr>
      <w:r>
        <w:rPr>
          <w:sz w:val="24"/>
        </w:rPr>
        <w:t>项目生活垃圾在项目区集中收集后，定期清运至周边村寨内生活垃圾收集房，妥善处置，沼气废脱硫剂统一收集由厂家回收，处置方式可行。</w:t>
      </w:r>
    </w:p>
    <w:p w14:paraId="4AC0E95C">
      <w:pPr>
        <w:pStyle w:val="7"/>
        <w:rPr>
          <w:rFonts w:ascii="Times New Roman" w:hAnsi="Times New Roman"/>
        </w:rPr>
      </w:pPr>
      <w:r>
        <w:rPr>
          <w:rFonts w:ascii="Times New Roman" w:hAnsi="Times New Roman"/>
        </w:rPr>
        <w:t>7.2.6土壤防治措施及其可行性分析</w:t>
      </w:r>
    </w:p>
    <w:p w14:paraId="34E8E2FA">
      <w:pPr>
        <w:pStyle w:val="35"/>
        <w:spacing w:after="0" w:line="360" w:lineRule="auto"/>
        <w:ind w:firstLine="480" w:firstLineChars="200"/>
        <w:rPr>
          <w:sz w:val="24"/>
          <w:lang w:bidi="zh-CN"/>
        </w:rPr>
      </w:pPr>
      <w:r>
        <w:rPr>
          <w:sz w:val="24"/>
          <w:lang w:bidi="zh-CN"/>
        </w:rPr>
        <w:t>1、源头控制措施</w:t>
      </w:r>
    </w:p>
    <w:p w14:paraId="405CBF21">
      <w:pPr>
        <w:pStyle w:val="35"/>
        <w:spacing w:after="0" w:line="360" w:lineRule="auto"/>
        <w:ind w:firstLine="480" w:firstLineChars="200"/>
        <w:rPr>
          <w:sz w:val="24"/>
          <w:lang w:bidi="zh-CN"/>
        </w:rPr>
      </w:pPr>
      <w:r>
        <w:rPr>
          <w:sz w:val="24"/>
          <w:lang w:bidi="zh-CN"/>
        </w:rPr>
        <w:t>项目实施清洁生产及各类废物循环利用，减少污染物的排放量；</w:t>
      </w:r>
    </w:p>
    <w:p w14:paraId="0FCB0630">
      <w:pPr>
        <w:pStyle w:val="35"/>
        <w:spacing w:after="0" w:line="360" w:lineRule="auto"/>
        <w:ind w:firstLine="480" w:firstLineChars="200"/>
        <w:rPr>
          <w:sz w:val="24"/>
          <w:lang w:bidi="zh-CN"/>
        </w:rPr>
      </w:pPr>
      <w:r>
        <w:rPr>
          <w:sz w:val="24"/>
          <w:lang w:bidi="zh-CN"/>
        </w:rPr>
        <w:t>生产工艺、管道、设备、污水储存及处理构筑物采取相应控制措施，防止污染物的跑、冒、滴、漏，将污染物泄漏的环境风险事故降到最低限度。</w:t>
      </w:r>
    </w:p>
    <w:p w14:paraId="5FD32A28">
      <w:pPr>
        <w:spacing w:line="360" w:lineRule="auto"/>
        <w:ind w:firstLine="480" w:firstLineChars="200"/>
        <w:rPr>
          <w:sz w:val="24"/>
          <w:lang w:bidi="zh-CN"/>
        </w:rPr>
      </w:pPr>
      <w:r>
        <w:rPr>
          <w:sz w:val="24"/>
          <w:lang w:bidi="zh-CN"/>
        </w:rPr>
        <w:t>采用干清粪工艺，减少废水、废气等产生及排放量。</w:t>
      </w:r>
    </w:p>
    <w:p w14:paraId="00B4644E">
      <w:pPr>
        <w:pStyle w:val="47"/>
        <w:spacing w:line="360" w:lineRule="auto"/>
        <w:ind w:firstLine="480" w:firstLineChars="200"/>
        <w:rPr>
          <w:rFonts w:ascii="Times New Roman" w:hAnsi="Times New Roman" w:cs="Times New Roman"/>
        </w:rPr>
      </w:pPr>
      <w:r>
        <w:rPr>
          <w:rFonts w:ascii="Times New Roman" w:hAnsi="Times New Roman" w:cs="Times New Roman"/>
          <w:sz w:val="24"/>
          <w:szCs w:val="24"/>
          <w:lang w:bidi="zh-CN"/>
        </w:rPr>
        <w:t>使用符合国家标准的饲料，防止饲料等带入相关污染因子。</w:t>
      </w:r>
    </w:p>
    <w:p w14:paraId="49CEE231">
      <w:pPr>
        <w:pStyle w:val="35"/>
        <w:spacing w:before="85" w:line="364" w:lineRule="auto"/>
        <w:ind w:right="256" w:firstLine="479"/>
        <w:rPr>
          <w:sz w:val="24"/>
          <w:lang w:bidi="zh-CN"/>
        </w:rPr>
      </w:pPr>
      <w:r>
        <w:rPr>
          <w:sz w:val="24"/>
          <w:lang w:bidi="zh-CN"/>
        </w:rPr>
        <w:t>2、过程防控措施</w:t>
      </w:r>
    </w:p>
    <w:p w14:paraId="61A436DA">
      <w:pPr>
        <w:pStyle w:val="35"/>
        <w:spacing w:after="0" w:line="360" w:lineRule="auto"/>
        <w:ind w:firstLine="480" w:firstLineChars="200"/>
        <w:rPr>
          <w:sz w:val="24"/>
          <w:lang w:bidi="zh-CN"/>
        </w:rPr>
      </w:pPr>
      <w:r>
        <w:rPr>
          <w:sz w:val="24"/>
          <w:lang w:bidi="zh-CN"/>
        </w:rPr>
        <w:t>拟建项目外排废气主要为氨、硫化氢，建议在厂界增加绿化措施，种植具有较强吸附能力的植物，以降低部分污染物大气沉降对周围环境的影响。</w:t>
      </w:r>
    </w:p>
    <w:p w14:paraId="4366D402">
      <w:pPr>
        <w:pStyle w:val="35"/>
        <w:spacing w:line="360" w:lineRule="auto"/>
        <w:ind w:firstLine="480" w:firstLineChars="200"/>
        <w:rPr>
          <w:sz w:val="24"/>
          <w:lang w:bidi="zh-CN"/>
        </w:rPr>
      </w:pPr>
      <w:r>
        <w:rPr>
          <w:sz w:val="24"/>
          <w:lang w:bidi="zh-CN"/>
        </w:rPr>
        <w:t>本项目除污水管道外，不涉及地下管线和管槽的问题；所有地下管线和管槽均采用防渗处理、对各管道接口采取进行良好密封等措施；一般工业固废暂存设施的防渗、防腐按照《一般工业固废贮存和填埋污染控制标准》（GB18599-2020）有关防渗要求进行建设，危险废物暂存间、无害化处置间、猪粪发酵堆场、污水处理站各类池体防渗、防腐按照重点防渗要求进行建设。通过以上措施，建设项目采取过程阻断、污染物消减和分区防控等措施，可以将项目对土壤环境造成的影响降到最低，措施可行。</w:t>
      </w:r>
    </w:p>
    <w:p w14:paraId="0F01684E">
      <w:pPr>
        <w:spacing w:line="360" w:lineRule="auto"/>
        <w:jc w:val="left"/>
        <w:outlineLvl w:val="1"/>
        <w:rPr>
          <w:b/>
          <w:bCs/>
          <w:kern w:val="0"/>
          <w:sz w:val="30"/>
          <w:szCs w:val="30"/>
        </w:rPr>
      </w:pPr>
      <w:bookmarkStart w:id="213" w:name="_Toc3275"/>
      <w:r>
        <w:rPr>
          <w:b/>
          <w:bCs/>
          <w:kern w:val="0"/>
          <w:sz w:val="30"/>
          <w:szCs w:val="30"/>
        </w:rPr>
        <w:t>7.3 项目环境保护措施汇总</w:t>
      </w:r>
      <w:bookmarkEnd w:id="213"/>
    </w:p>
    <w:p w14:paraId="69F9C291">
      <w:pPr>
        <w:spacing w:line="360" w:lineRule="auto"/>
        <w:ind w:firstLine="480" w:firstLineChars="200"/>
        <w:rPr>
          <w:sz w:val="24"/>
        </w:rPr>
      </w:pPr>
      <w:r>
        <w:rPr>
          <w:sz w:val="24"/>
        </w:rPr>
        <w:t>综上所述，本项目</w:t>
      </w:r>
      <w:r>
        <w:rPr>
          <w:rFonts w:hint="eastAsia"/>
          <w:sz w:val="24"/>
          <w:lang w:eastAsia="zh-CN"/>
        </w:rPr>
        <w:t>污染防治</w:t>
      </w:r>
      <w:bookmarkStart w:id="426" w:name="_GoBack"/>
      <w:bookmarkEnd w:id="426"/>
      <w:r>
        <w:rPr>
          <w:sz w:val="24"/>
        </w:rPr>
        <w:t>措施及预期治理效果详见表7.3-1。</w:t>
      </w:r>
    </w:p>
    <w:p w14:paraId="77A1BCD9">
      <w:pPr>
        <w:spacing w:line="360" w:lineRule="auto"/>
        <w:ind w:firstLine="480" w:firstLineChars="200"/>
        <w:rPr>
          <w:sz w:val="24"/>
        </w:rPr>
        <w:sectPr>
          <w:pgSz w:w="11906" w:h="16838"/>
          <w:pgMar w:top="1440" w:right="1797" w:bottom="1361" w:left="1797" w:header="851" w:footer="1134" w:gutter="0"/>
          <w:cols w:space="720" w:num="1"/>
          <w:docGrid w:linePitch="312" w:charSpace="0"/>
        </w:sectPr>
      </w:pPr>
    </w:p>
    <w:p w14:paraId="7B6F9B5E">
      <w:pPr>
        <w:jc w:val="center"/>
        <w:rPr>
          <w:b/>
          <w:szCs w:val="21"/>
        </w:rPr>
      </w:pPr>
      <w:r>
        <w:rPr>
          <w:b/>
          <w:szCs w:val="21"/>
        </w:rPr>
        <w:t>表7.3-1  主要污染物防治措施表</w:t>
      </w:r>
    </w:p>
    <w:tbl>
      <w:tblPr>
        <w:tblStyle w:val="8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146"/>
        <w:gridCol w:w="12055"/>
      </w:tblGrid>
      <w:tr w14:paraId="17DF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770" w:type="pct"/>
            <w:gridSpan w:val="2"/>
            <w:noWrap w:val="0"/>
            <w:vAlign w:val="center"/>
          </w:tcPr>
          <w:p w14:paraId="630AC233">
            <w:pPr>
              <w:jc w:val="center"/>
              <w:rPr>
                <w:b/>
                <w:szCs w:val="21"/>
              </w:rPr>
            </w:pPr>
            <w:r>
              <w:rPr>
                <w:b/>
                <w:szCs w:val="21"/>
              </w:rPr>
              <w:t>序号</w:t>
            </w:r>
          </w:p>
        </w:tc>
        <w:tc>
          <w:tcPr>
            <w:tcW w:w="4229" w:type="pct"/>
            <w:noWrap w:val="0"/>
            <w:vAlign w:val="center"/>
          </w:tcPr>
          <w:p w14:paraId="5D32E9B5">
            <w:pPr>
              <w:jc w:val="center"/>
              <w:rPr>
                <w:b/>
                <w:szCs w:val="21"/>
              </w:rPr>
            </w:pPr>
            <w:r>
              <w:rPr>
                <w:b/>
                <w:szCs w:val="21"/>
              </w:rPr>
              <w:t>治理措施</w:t>
            </w:r>
          </w:p>
        </w:tc>
      </w:tr>
      <w:tr w14:paraId="4987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restart"/>
            <w:noWrap w:val="0"/>
            <w:vAlign w:val="center"/>
          </w:tcPr>
          <w:p w14:paraId="7226EFD7">
            <w:pPr>
              <w:jc w:val="center"/>
              <w:rPr>
                <w:b/>
                <w:szCs w:val="21"/>
              </w:rPr>
            </w:pPr>
            <w:r>
              <w:rPr>
                <w:b/>
                <w:szCs w:val="21"/>
              </w:rPr>
              <w:t>施工期</w:t>
            </w:r>
          </w:p>
        </w:tc>
        <w:tc>
          <w:tcPr>
            <w:tcW w:w="402" w:type="pct"/>
            <w:noWrap w:val="0"/>
            <w:vAlign w:val="center"/>
          </w:tcPr>
          <w:p w14:paraId="24F60F89">
            <w:pPr>
              <w:jc w:val="center"/>
              <w:rPr>
                <w:szCs w:val="21"/>
              </w:rPr>
            </w:pPr>
            <w:r>
              <w:rPr>
                <w:szCs w:val="21"/>
              </w:rPr>
              <w:t>废气防治措施</w:t>
            </w:r>
          </w:p>
        </w:tc>
        <w:tc>
          <w:tcPr>
            <w:tcW w:w="4229" w:type="pct"/>
            <w:noWrap w:val="0"/>
            <w:vAlign w:val="center"/>
          </w:tcPr>
          <w:p w14:paraId="5FC5A32D">
            <w:pPr>
              <w:jc w:val="left"/>
              <w:rPr>
                <w:szCs w:val="21"/>
              </w:rPr>
            </w:pPr>
            <w:r>
              <w:rPr>
                <w:szCs w:val="21"/>
              </w:rPr>
              <w:t>1）有风天气应进行洒水抑尘，减少扬尘产生量；遇到四级或四级以上大风天气，应停止土方作业，同时作业处覆盖塑料薄膜；尽量避免在大风天气下进行施工作业。</w:t>
            </w:r>
          </w:p>
          <w:p w14:paraId="08A8243D">
            <w:pPr>
              <w:jc w:val="left"/>
              <w:rPr>
                <w:szCs w:val="21"/>
              </w:rPr>
            </w:pPr>
            <w:r>
              <w:rPr>
                <w:szCs w:val="21"/>
              </w:rPr>
              <w:t>2）对较易起尘的散装物料（尤其是散装水泥、石灰、黄砂等）堆置应采用防尘布覆盖等有效的防尘措施进行防尘。</w:t>
            </w:r>
          </w:p>
          <w:p w14:paraId="36189CD9">
            <w:pPr>
              <w:jc w:val="left"/>
              <w:rPr>
                <w:szCs w:val="21"/>
              </w:rPr>
            </w:pPr>
            <w:r>
              <w:rPr>
                <w:szCs w:val="21"/>
              </w:rPr>
              <w:t>3）施工工程中产生的弃土、弃料及其他建筑垃圾，应集中堆放、及时清运。避免车辆超载、降低物料装卸高度；车辆运输建筑材料及建筑垃圾时必须加盖封闭运输，减少抛洒。</w:t>
            </w:r>
          </w:p>
          <w:p w14:paraId="4EB1BF4F">
            <w:pPr>
              <w:jc w:val="left"/>
              <w:rPr>
                <w:szCs w:val="21"/>
              </w:rPr>
            </w:pPr>
            <w:r>
              <w:rPr>
                <w:szCs w:val="21"/>
              </w:rPr>
              <w:t>4）在施工场地安排专门员工对施工场地洒水以减少扬尘量，洒水次数根据天气状况而定，一般每天不少于2次；若遇到大风或干燥天气要适当增加洒水次数、施工场界设置不低于2.5m的施工围挡。</w:t>
            </w:r>
          </w:p>
          <w:p w14:paraId="196BD71B">
            <w:pPr>
              <w:jc w:val="left"/>
              <w:rPr>
                <w:szCs w:val="21"/>
              </w:rPr>
            </w:pPr>
            <w:r>
              <w:rPr>
                <w:szCs w:val="21"/>
              </w:rPr>
              <w:t>5）在基础施工期间，尽可能采取措施提高工程进度，并将土石方及时回填到指定地点，缩短堆放的危害周期。</w:t>
            </w:r>
          </w:p>
          <w:p w14:paraId="6A43549B">
            <w:pPr>
              <w:jc w:val="left"/>
              <w:rPr>
                <w:szCs w:val="21"/>
              </w:rPr>
            </w:pPr>
            <w:r>
              <w:rPr>
                <w:szCs w:val="21"/>
              </w:rPr>
              <w:t>6）对作业面和临时土堆适当洒水，保持一定的湿度，减小起尘量，施工便道应进行夯实硬化处理，减少起尘量。</w:t>
            </w:r>
          </w:p>
          <w:p w14:paraId="50FEBD2C">
            <w:pPr>
              <w:jc w:val="left"/>
              <w:rPr>
                <w:szCs w:val="21"/>
              </w:rPr>
            </w:pPr>
            <w:r>
              <w:rPr>
                <w:szCs w:val="21"/>
              </w:rPr>
              <w:t>7）场地内土堆、料堆要进行遮盖，防止扬尘的扩散。建议多用商品（湿）水泥和水泥预制品，尽量少用干水泥。</w:t>
            </w:r>
          </w:p>
          <w:p w14:paraId="73E20901">
            <w:pPr>
              <w:jc w:val="left"/>
              <w:rPr>
                <w:szCs w:val="21"/>
              </w:rPr>
            </w:pPr>
            <w:r>
              <w:rPr>
                <w:szCs w:val="21"/>
              </w:rPr>
              <w:t>8）装修过程选择无毒或低毒的环保产品，坚决杜绝采用已被淘汰的涂料；</w:t>
            </w:r>
          </w:p>
        </w:tc>
      </w:tr>
      <w:tr w14:paraId="2892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05E66658">
            <w:pPr>
              <w:jc w:val="center"/>
              <w:rPr>
                <w:b/>
                <w:szCs w:val="21"/>
              </w:rPr>
            </w:pPr>
          </w:p>
        </w:tc>
        <w:tc>
          <w:tcPr>
            <w:tcW w:w="402" w:type="pct"/>
            <w:noWrap w:val="0"/>
            <w:vAlign w:val="center"/>
          </w:tcPr>
          <w:p w14:paraId="6BBC239B">
            <w:pPr>
              <w:jc w:val="center"/>
              <w:rPr>
                <w:szCs w:val="21"/>
              </w:rPr>
            </w:pPr>
            <w:r>
              <w:rPr>
                <w:szCs w:val="21"/>
              </w:rPr>
              <w:t>废水防治措施</w:t>
            </w:r>
          </w:p>
        </w:tc>
        <w:tc>
          <w:tcPr>
            <w:tcW w:w="4229" w:type="pct"/>
            <w:noWrap w:val="0"/>
            <w:vAlign w:val="center"/>
          </w:tcPr>
          <w:p w14:paraId="505FB6C9">
            <w:pPr>
              <w:jc w:val="left"/>
              <w:rPr>
                <w:szCs w:val="21"/>
              </w:rPr>
            </w:pPr>
            <w:r>
              <w:rPr>
                <w:szCs w:val="21"/>
              </w:rPr>
              <w:t>1）施工废水设置临时沉淀池沉淀处理，回水用于场地混凝土养护，及泼洒在场地内，抑制扬尘的产生。部分燃油机械在运行和清洗过程中，还将产生少量的含油废水，经隔油（隔油池，1个，容积为1m</w:t>
            </w:r>
            <w:r>
              <w:rPr>
                <w:szCs w:val="21"/>
                <w:vertAlign w:val="superscript"/>
              </w:rPr>
              <w:t>3</w:t>
            </w:r>
            <w:r>
              <w:rPr>
                <w:szCs w:val="21"/>
              </w:rPr>
              <w:t>）处理后回用于施工用水。沼液输送管道防渗测试废水经沉淀后回用于施工场地洒水降尘。</w:t>
            </w:r>
          </w:p>
          <w:p w14:paraId="156E61E3">
            <w:pPr>
              <w:jc w:val="left"/>
              <w:rPr>
                <w:szCs w:val="21"/>
              </w:rPr>
            </w:pPr>
            <w:r>
              <w:rPr>
                <w:szCs w:val="21"/>
              </w:rPr>
              <w:t>2）施工人员的生活废水使用临时旱厕，旱厕粪便由当地村民定期清掏作为农肥施用。</w:t>
            </w:r>
          </w:p>
          <w:p w14:paraId="62934186">
            <w:pPr>
              <w:jc w:val="left"/>
              <w:rPr>
                <w:szCs w:val="21"/>
              </w:rPr>
            </w:pPr>
            <w:r>
              <w:rPr>
                <w:szCs w:val="21"/>
              </w:rPr>
              <w:t>3）施工期注意节约用水，减少废水产生量，禁止废水外排。</w:t>
            </w:r>
          </w:p>
        </w:tc>
      </w:tr>
      <w:tr w14:paraId="2683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63794881">
            <w:pPr>
              <w:jc w:val="center"/>
              <w:rPr>
                <w:b/>
                <w:szCs w:val="21"/>
              </w:rPr>
            </w:pPr>
          </w:p>
        </w:tc>
        <w:tc>
          <w:tcPr>
            <w:tcW w:w="402" w:type="pct"/>
            <w:noWrap w:val="0"/>
            <w:vAlign w:val="center"/>
          </w:tcPr>
          <w:p w14:paraId="5D10A8C0">
            <w:pPr>
              <w:jc w:val="center"/>
              <w:rPr>
                <w:szCs w:val="21"/>
              </w:rPr>
            </w:pPr>
            <w:r>
              <w:rPr>
                <w:szCs w:val="21"/>
              </w:rPr>
              <w:t>噪声环保措施</w:t>
            </w:r>
          </w:p>
        </w:tc>
        <w:tc>
          <w:tcPr>
            <w:tcW w:w="4229" w:type="pct"/>
            <w:noWrap w:val="0"/>
            <w:vAlign w:val="center"/>
          </w:tcPr>
          <w:p w14:paraId="47231DA1">
            <w:pPr>
              <w:jc w:val="left"/>
              <w:rPr>
                <w:szCs w:val="21"/>
              </w:rPr>
            </w:pPr>
            <w:r>
              <w:rPr>
                <w:szCs w:val="21"/>
              </w:rPr>
              <w:t>1）施工单位应加强施工管理，尽量采用低噪声机械和先进的施工技术，从源头降低噪声强度。施工设备进场之前必须进行噪声检测，所有设备必须符合项目噪声控制要求。避免高噪声的设备同时开工作业。对产噪高的设备，建议在其外加盖简易棚。对钢管、摸板等构件装卸、搬运应该轻拿轻放，严禁抛掷，并辅以一定的减缓措施。</w:t>
            </w:r>
          </w:p>
          <w:p w14:paraId="23CA74CC">
            <w:pPr>
              <w:jc w:val="left"/>
              <w:rPr>
                <w:szCs w:val="21"/>
              </w:rPr>
            </w:pPr>
            <w:r>
              <w:rPr>
                <w:szCs w:val="21"/>
              </w:rPr>
              <w:t>2）加强设备的维护，减少摩擦噪声，提高施工人员的环保意识，减小其在施工过程中的敲打噪声，并注意对施工机械定期进行维修保养，使机械设备保持最佳工作状态，使噪声影响降低到最小范围。对动力机械设备定期进行维修和养护，避免因松动部件振动或消声器损坏而加大设备工作时的声级。</w:t>
            </w:r>
          </w:p>
          <w:p w14:paraId="5219CA19">
            <w:pPr>
              <w:jc w:val="left"/>
              <w:rPr>
                <w:szCs w:val="21"/>
              </w:rPr>
            </w:pPr>
            <w:r>
              <w:rPr>
                <w:szCs w:val="21"/>
              </w:rPr>
              <w:t>3）加强车辆管理，进出车辆限速行驶，尽量压缩施工区的汽车数量和行车密度，控制汽车鸣笛，减轻交通噪声对周边环境的影响。禁鸣喇叭。</w:t>
            </w:r>
          </w:p>
          <w:p w14:paraId="7AF9B4CA">
            <w:pPr>
              <w:jc w:val="left"/>
              <w:rPr>
                <w:szCs w:val="21"/>
              </w:rPr>
            </w:pPr>
            <w:r>
              <w:rPr>
                <w:szCs w:val="21"/>
              </w:rPr>
              <w:t>4）文明施工、施工场界设置不低于2.5m的施工围挡。</w:t>
            </w:r>
          </w:p>
        </w:tc>
      </w:tr>
      <w:tr w14:paraId="69F5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0EF80199">
            <w:pPr>
              <w:jc w:val="center"/>
              <w:rPr>
                <w:b/>
                <w:szCs w:val="21"/>
              </w:rPr>
            </w:pPr>
          </w:p>
        </w:tc>
        <w:tc>
          <w:tcPr>
            <w:tcW w:w="402" w:type="pct"/>
            <w:noWrap w:val="0"/>
            <w:vAlign w:val="center"/>
          </w:tcPr>
          <w:p w14:paraId="6B85566C">
            <w:pPr>
              <w:jc w:val="center"/>
              <w:rPr>
                <w:b/>
                <w:szCs w:val="21"/>
              </w:rPr>
            </w:pPr>
            <w:r>
              <w:rPr>
                <w:szCs w:val="21"/>
              </w:rPr>
              <w:t>固废处置措施</w:t>
            </w:r>
          </w:p>
        </w:tc>
        <w:tc>
          <w:tcPr>
            <w:tcW w:w="4229" w:type="pct"/>
            <w:noWrap w:val="0"/>
            <w:vAlign w:val="center"/>
          </w:tcPr>
          <w:p w14:paraId="051554F7">
            <w:pPr>
              <w:jc w:val="left"/>
              <w:rPr>
                <w:szCs w:val="21"/>
              </w:rPr>
            </w:pPr>
            <w:r>
              <w:rPr>
                <w:szCs w:val="21"/>
              </w:rPr>
              <w:t>1）项目施工人员产生的生活垃圾集中收集后，委托环卫部门统一清运。</w:t>
            </w:r>
          </w:p>
          <w:p w14:paraId="409F0AC6">
            <w:pPr>
              <w:jc w:val="left"/>
              <w:rPr>
                <w:szCs w:val="21"/>
              </w:rPr>
            </w:pPr>
            <w:r>
              <w:rPr>
                <w:szCs w:val="21"/>
              </w:rPr>
              <w:t>2）施工现场的建筑固废及时清运处理，避免二次污染。</w:t>
            </w:r>
          </w:p>
          <w:p w14:paraId="53E929AC">
            <w:pPr>
              <w:jc w:val="left"/>
              <w:rPr>
                <w:szCs w:val="21"/>
              </w:rPr>
            </w:pPr>
            <w:r>
              <w:rPr>
                <w:szCs w:val="21"/>
              </w:rPr>
              <w:t>3）工期基础开挖产生的土石方实现场内平衡，剥离表土临时堆存场内，用于后期绿化覆土，表土堆场采取拦挡及土工布覆盖。</w:t>
            </w:r>
          </w:p>
          <w:p w14:paraId="2B07831D">
            <w:pPr>
              <w:jc w:val="left"/>
              <w:rPr>
                <w:szCs w:val="21"/>
              </w:rPr>
            </w:pPr>
            <w:r>
              <w:rPr>
                <w:szCs w:val="21"/>
              </w:rPr>
              <w:t>4）工产生的建筑垃圾应尽量回收可利用废物，不能回用的建筑垃圾用于场内道路铺设，或按照《昆明市城市建筑垃圾管理实施办法》〔2011〕88号清运处置；严禁随意堆弃。</w:t>
            </w:r>
          </w:p>
        </w:tc>
      </w:tr>
      <w:tr w14:paraId="1B97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5BA76BC9">
            <w:pPr>
              <w:jc w:val="center"/>
              <w:rPr>
                <w:b/>
                <w:szCs w:val="21"/>
              </w:rPr>
            </w:pPr>
          </w:p>
        </w:tc>
        <w:tc>
          <w:tcPr>
            <w:tcW w:w="402" w:type="pct"/>
            <w:noWrap w:val="0"/>
            <w:vAlign w:val="center"/>
          </w:tcPr>
          <w:p w14:paraId="46C5ACAD">
            <w:pPr>
              <w:jc w:val="center"/>
              <w:rPr>
                <w:szCs w:val="21"/>
              </w:rPr>
            </w:pPr>
            <w:r>
              <w:rPr>
                <w:szCs w:val="21"/>
              </w:rPr>
              <w:t>生态环境保护措施</w:t>
            </w:r>
          </w:p>
        </w:tc>
        <w:tc>
          <w:tcPr>
            <w:tcW w:w="4229" w:type="pct"/>
            <w:noWrap w:val="0"/>
            <w:vAlign w:val="center"/>
          </w:tcPr>
          <w:p w14:paraId="482A3C80">
            <w:pPr>
              <w:jc w:val="left"/>
              <w:rPr>
                <w:szCs w:val="21"/>
              </w:rPr>
            </w:pPr>
            <w:r>
              <w:rPr>
                <w:szCs w:val="21"/>
              </w:rPr>
              <w:t>1）严格按照划定的施工区范围和工程设计要求进行施工，提前做好有效的施工组织计划，合理安排施工时序，不对施工范围以外区域造成破坏。</w:t>
            </w:r>
          </w:p>
          <w:p w14:paraId="1A7EB5F6">
            <w:pPr>
              <w:jc w:val="left"/>
              <w:rPr>
                <w:szCs w:val="21"/>
              </w:rPr>
            </w:pPr>
            <w:r>
              <w:rPr>
                <w:szCs w:val="21"/>
              </w:rPr>
              <w:t>2）严格施工管理，在工程施工区设立围挡，标明施工活动区域，并设置警示牌，对施工区外的土地、植被、水体进行严格保护。</w:t>
            </w:r>
          </w:p>
          <w:p w14:paraId="30D38593">
            <w:pPr>
              <w:jc w:val="left"/>
              <w:rPr>
                <w:szCs w:val="21"/>
              </w:rPr>
            </w:pPr>
            <w:r>
              <w:rPr>
                <w:szCs w:val="21"/>
              </w:rPr>
              <w:t>3）严格施工管理，禁止施工工人对水体及其周边的环境造成破坏。</w:t>
            </w:r>
          </w:p>
          <w:p w14:paraId="187472B5">
            <w:pPr>
              <w:jc w:val="left"/>
              <w:rPr>
                <w:szCs w:val="21"/>
              </w:rPr>
            </w:pPr>
            <w:r>
              <w:rPr>
                <w:szCs w:val="21"/>
              </w:rPr>
              <w:t>4）在施工中尽量减少对动物栖息地生境的破坏；加强施工人员对野生动物和生态环境的保护意识教育，对在施工中遇到的幼兽、幼鸟和鸟卵（蛋），应交给林业局的专业人员妥善处置，不得擅自处理；对施工中遇到的鸟窝（因砍伐树木）应移到非施工区的其他树上。</w:t>
            </w:r>
          </w:p>
          <w:p w14:paraId="7339C7FF">
            <w:pPr>
              <w:jc w:val="left"/>
              <w:rPr>
                <w:szCs w:val="21"/>
              </w:rPr>
            </w:pPr>
            <w:r>
              <w:rPr>
                <w:szCs w:val="21"/>
              </w:rPr>
              <w:t>5）在项目区污水处理站、停车场等周边加强绿化建设，控制水土流失，改善生态环境，遏制水土流失。</w:t>
            </w:r>
          </w:p>
          <w:p w14:paraId="35650FF8">
            <w:pPr>
              <w:jc w:val="left"/>
              <w:rPr>
                <w:szCs w:val="21"/>
              </w:rPr>
            </w:pPr>
            <w:r>
              <w:rPr>
                <w:szCs w:val="21"/>
              </w:rPr>
              <w:t>6）加强对工程施工的相关领导、技术人员和施工人员的环境保护教育与宣传，明确环境保护的重要性，自觉保护周围环境、自然资源。建议建设单位与施工单位共同协商制定相应的环境保护奖惩制度，明确各自的环境保护职责，提高施工主体的环境保护主人翁责任感。</w:t>
            </w:r>
          </w:p>
          <w:p w14:paraId="35C40887">
            <w:pPr>
              <w:jc w:val="left"/>
              <w:rPr>
                <w:szCs w:val="21"/>
              </w:rPr>
            </w:pPr>
            <w:r>
              <w:rPr>
                <w:szCs w:val="21"/>
              </w:rPr>
              <w:t>7）建设单位必须遵照土地管理相关法律法规的规定。</w:t>
            </w:r>
          </w:p>
        </w:tc>
      </w:tr>
      <w:tr w14:paraId="0BD0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restart"/>
            <w:noWrap w:val="0"/>
            <w:vAlign w:val="center"/>
          </w:tcPr>
          <w:p w14:paraId="74141C19">
            <w:pPr>
              <w:jc w:val="center"/>
              <w:rPr>
                <w:b/>
                <w:szCs w:val="21"/>
              </w:rPr>
            </w:pPr>
            <w:r>
              <w:rPr>
                <w:b/>
                <w:szCs w:val="21"/>
              </w:rPr>
              <w:t>运营期</w:t>
            </w:r>
          </w:p>
        </w:tc>
        <w:tc>
          <w:tcPr>
            <w:tcW w:w="402" w:type="pct"/>
            <w:noWrap w:val="0"/>
            <w:vAlign w:val="center"/>
          </w:tcPr>
          <w:p w14:paraId="6CA68EF9">
            <w:pPr>
              <w:jc w:val="center"/>
              <w:rPr>
                <w:szCs w:val="21"/>
              </w:rPr>
            </w:pPr>
            <w:r>
              <w:rPr>
                <w:szCs w:val="21"/>
              </w:rPr>
              <w:t>废气</w:t>
            </w:r>
          </w:p>
        </w:tc>
        <w:tc>
          <w:tcPr>
            <w:tcW w:w="4229" w:type="pct"/>
            <w:noWrap w:val="0"/>
            <w:vAlign w:val="center"/>
          </w:tcPr>
          <w:p w14:paraId="2CFCD0F7">
            <w:pPr>
              <w:ind w:firstLine="420" w:firstLineChars="200"/>
              <w:rPr>
                <w:szCs w:val="21"/>
              </w:rPr>
            </w:pPr>
            <w:r>
              <w:rPr>
                <w:szCs w:val="21"/>
              </w:rPr>
              <w:t>（1）养殖场环境质量及卫生控制应符合《畜禽场环境质量及卫生控制规范》（NY/T1167-2006）的有关要求；合理设计的猪舍，项目猪舍设置通风系统，污水沟全部加盖密封。猪舍内的猪粪采用干清粪的方式，日产日清。</w:t>
            </w:r>
          </w:p>
          <w:p w14:paraId="3BC275EE">
            <w:pPr>
              <w:ind w:firstLine="420" w:firstLineChars="200"/>
              <w:rPr>
                <w:szCs w:val="21"/>
              </w:rPr>
            </w:pPr>
            <w:r>
              <w:rPr>
                <w:szCs w:val="21"/>
              </w:rPr>
              <w:t>（2）合理搭配饲料，并在饲料中添加1‰比例的益生素提高日粮消化率、减少干物质（蛋白质）排出量。</w:t>
            </w:r>
          </w:p>
          <w:p w14:paraId="0A8892AD">
            <w:pPr>
              <w:ind w:firstLine="420" w:firstLineChars="200"/>
              <w:rPr>
                <w:szCs w:val="21"/>
              </w:rPr>
            </w:pPr>
            <w:r>
              <w:rPr>
                <w:szCs w:val="21"/>
              </w:rPr>
              <w:t>（3）向粪便、猪舍投放锯末等含纤维素、木质素较多的吸附剂材料；</w:t>
            </w:r>
          </w:p>
          <w:p w14:paraId="560B705C">
            <w:pPr>
              <w:ind w:firstLine="420" w:firstLineChars="200"/>
              <w:rPr>
                <w:szCs w:val="21"/>
              </w:rPr>
            </w:pPr>
            <w:r>
              <w:rPr>
                <w:szCs w:val="21"/>
              </w:rPr>
              <w:t>（4）猪舍加强通风、粪尿定期清理、日常管理中杀菌消毒除臭，保持舍内干燥，减少舍内粉尘、微生物。按照猪舍生猪养殖的相关技术要求，为减少病菌的滋生，粪水经管道收集进入固液分离机进行固液分离，减少猪舍恶臭。</w:t>
            </w:r>
          </w:p>
          <w:p w14:paraId="61407FEB">
            <w:pPr>
              <w:ind w:firstLine="420" w:firstLineChars="200"/>
              <w:rPr>
                <w:bCs/>
                <w:szCs w:val="21"/>
              </w:rPr>
            </w:pPr>
            <w:r>
              <w:rPr>
                <w:szCs w:val="21"/>
              </w:rPr>
              <w:t>（5）</w:t>
            </w:r>
            <w:r>
              <w:rPr>
                <w:bCs/>
                <w:szCs w:val="21"/>
              </w:rPr>
              <w:t>收集池、调节池、污水处理设施及沼液储存池进行加盖封闭；</w:t>
            </w:r>
          </w:p>
          <w:p w14:paraId="0E2E6519">
            <w:pPr>
              <w:ind w:firstLine="420" w:firstLineChars="200"/>
              <w:rPr>
                <w:szCs w:val="21"/>
              </w:rPr>
            </w:pPr>
            <w:r>
              <w:rPr>
                <w:bCs/>
                <w:szCs w:val="21"/>
              </w:rPr>
              <w:t>（6）对收集池、调节池、污水处理设施及沼液储存池喷洒除臭剂，并加强污水处理站周围绿化。</w:t>
            </w:r>
          </w:p>
          <w:p w14:paraId="4B9EBFD3">
            <w:pPr>
              <w:ind w:firstLine="420" w:firstLineChars="200"/>
              <w:rPr>
                <w:szCs w:val="21"/>
              </w:rPr>
            </w:pPr>
            <w:r>
              <w:rPr>
                <w:szCs w:val="21"/>
              </w:rPr>
              <w:t>（7）固粪堆肥发酵区封闭式+好氧堆肥+负压收集+过滤除臭装置对固粪处理区的恶臭气体进行处理。</w:t>
            </w:r>
          </w:p>
          <w:p w14:paraId="2EFC816D">
            <w:pPr>
              <w:ind w:firstLine="420" w:firstLineChars="200"/>
              <w:rPr>
                <w:szCs w:val="21"/>
              </w:rPr>
            </w:pPr>
            <w:r>
              <w:rPr>
                <w:szCs w:val="21"/>
              </w:rPr>
              <w:t>（8）无害化处理车间废气密闭设备+负压收集+光解催化氧化+15m排气筒排放</w:t>
            </w:r>
            <w:r>
              <w:rPr>
                <w:kern w:val="0"/>
                <w:szCs w:val="21"/>
                <w:lang w:bidi="en-US"/>
              </w:rPr>
              <w:t>；</w:t>
            </w:r>
          </w:p>
          <w:p w14:paraId="507DB0C0">
            <w:pPr>
              <w:topLinePunct/>
              <w:ind w:firstLine="420" w:firstLineChars="200"/>
              <w:jc w:val="left"/>
              <w:rPr>
                <w:szCs w:val="21"/>
              </w:rPr>
            </w:pPr>
            <w:r>
              <w:rPr>
                <w:szCs w:val="21"/>
              </w:rPr>
              <w:t>（9）在项目区内宜种植高大常绿的乔木，并设置能吸收臭气、净化空气作用的绿化隔离带，以减少臭气对环境的影响。</w:t>
            </w:r>
          </w:p>
        </w:tc>
      </w:tr>
      <w:tr w14:paraId="7A22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0B9DAF41">
            <w:pPr>
              <w:jc w:val="center"/>
              <w:rPr>
                <w:szCs w:val="21"/>
              </w:rPr>
            </w:pPr>
          </w:p>
        </w:tc>
        <w:tc>
          <w:tcPr>
            <w:tcW w:w="402" w:type="pct"/>
            <w:noWrap w:val="0"/>
            <w:vAlign w:val="center"/>
          </w:tcPr>
          <w:p w14:paraId="74B4536B">
            <w:pPr>
              <w:jc w:val="center"/>
              <w:rPr>
                <w:szCs w:val="21"/>
              </w:rPr>
            </w:pPr>
            <w:r>
              <w:rPr>
                <w:szCs w:val="21"/>
              </w:rPr>
              <w:t>废水</w:t>
            </w:r>
          </w:p>
        </w:tc>
        <w:tc>
          <w:tcPr>
            <w:tcW w:w="4229" w:type="pct"/>
            <w:noWrap w:val="0"/>
            <w:vAlign w:val="center"/>
          </w:tcPr>
          <w:p w14:paraId="779C5B97">
            <w:pPr>
              <w:ind w:firstLine="420" w:firstLineChars="200"/>
              <w:rPr>
                <w:szCs w:val="21"/>
              </w:rPr>
            </w:pPr>
            <w:r>
              <w:rPr>
                <w:szCs w:val="21"/>
              </w:rPr>
              <w:t>（1）项目严格实行“雨污分流”，场区设置雨水沟和污水管、暗沟，场内雨水可通过雨水沟顺地势直接排出场外；污水经过污水沟收集后进入污水处理站；</w:t>
            </w:r>
          </w:p>
          <w:p w14:paraId="43D3AB0F">
            <w:pPr>
              <w:ind w:firstLine="420" w:firstLineChars="200"/>
              <w:rPr>
                <w:szCs w:val="21"/>
              </w:rPr>
            </w:pPr>
            <w:r>
              <w:rPr>
                <w:szCs w:val="21"/>
              </w:rPr>
              <w:t>（2）项目在各养殖场地各建设一座污水处理站，共计5座污水处理站，生活污水及养殖废水收集后进入各自场地污水处理站处理，其中3号养殖场地及2号养殖场地的生活污水统一进入2号场地污水处理站处理；处理规模分别为1号地14m</w:t>
            </w:r>
            <w:r>
              <w:rPr>
                <w:szCs w:val="21"/>
                <w:vertAlign w:val="superscript"/>
              </w:rPr>
              <w:t>3</w:t>
            </w:r>
            <w:r>
              <w:rPr>
                <w:szCs w:val="21"/>
              </w:rPr>
              <w:t>/d，2号地28m</w:t>
            </w:r>
            <w:r>
              <w:rPr>
                <w:szCs w:val="21"/>
                <w:vertAlign w:val="superscript"/>
              </w:rPr>
              <w:t>3</w:t>
            </w:r>
            <w:r>
              <w:rPr>
                <w:szCs w:val="21"/>
              </w:rPr>
              <w:t>/d，3号地12m</w:t>
            </w:r>
            <w:r>
              <w:rPr>
                <w:szCs w:val="21"/>
                <w:vertAlign w:val="superscript"/>
              </w:rPr>
              <w:t>3</w:t>
            </w:r>
            <w:r>
              <w:rPr>
                <w:szCs w:val="21"/>
              </w:rPr>
              <w:t>/d，4号地31m</w:t>
            </w:r>
            <w:r>
              <w:rPr>
                <w:szCs w:val="21"/>
                <w:vertAlign w:val="superscript"/>
              </w:rPr>
              <w:t>3</w:t>
            </w:r>
            <w:r>
              <w:rPr>
                <w:szCs w:val="21"/>
              </w:rPr>
              <w:t>/d，5号地25m</w:t>
            </w:r>
            <w:r>
              <w:rPr>
                <w:szCs w:val="21"/>
                <w:vertAlign w:val="superscript"/>
              </w:rPr>
              <w:t>3</w:t>
            </w:r>
            <w:r>
              <w:rPr>
                <w:szCs w:val="21"/>
              </w:rPr>
              <w:t>/d。处理项目产生的生产废水及生活污水，废水经处理后达标后，处理后暂存于沼液暂存池采用罐车运至苹果园回用于自有苹果园灌溉，不外排。</w:t>
            </w:r>
          </w:p>
          <w:p w14:paraId="232F530E">
            <w:pPr>
              <w:ind w:firstLine="420" w:firstLineChars="200"/>
              <w:rPr>
                <w:szCs w:val="21"/>
              </w:rPr>
            </w:pPr>
            <w:r>
              <w:rPr>
                <w:szCs w:val="21"/>
              </w:rPr>
              <w:t>（3）场区除绿化用地外应进行地面硬化和防渗处理；废水收集系统、无害化车间、固粪处理区、危废间防渗层的防渗性能应等效于厚度≥6m，渗透系数≤1.0×10</w:t>
            </w:r>
            <w:r>
              <w:rPr>
                <w:szCs w:val="21"/>
                <w:vertAlign w:val="superscript"/>
              </w:rPr>
              <w:t>-10</w:t>
            </w:r>
            <w:r>
              <w:rPr>
                <w:szCs w:val="21"/>
              </w:rPr>
              <w:t>cm/s的黏土层的防渗性能；生活垃圾收集点、药品间等等区域防渗层的防渗性能应等效于厚度≥1.5m，渗透系数≤1.0×10</w:t>
            </w:r>
            <w:r>
              <w:rPr>
                <w:szCs w:val="21"/>
                <w:vertAlign w:val="superscript"/>
              </w:rPr>
              <w:t>-7</w:t>
            </w:r>
            <w:r>
              <w:rPr>
                <w:szCs w:val="21"/>
              </w:rPr>
              <w:t>cm/s的黏土层的防渗性能；其他区域采用混凝土硬化设置。</w:t>
            </w:r>
          </w:p>
          <w:p w14:paraId="32307E5C">
            <w:pPr>
              <w:ind w:firstLine="420" w:firstLineChars="200"/>
              <w:rPr>
                <w:szCs w:val="21"/>
              </w:rPr>
            </w:pPr>
            <w:r>
              <w:rPr>
                <w:szCs w:val="21"/>
              </w:rPr>
              <w:t>（4）固粪处理区、无害化处理车间封闭建设，设置顶棚、围堰防止污染物流失，固粪处理区设置渗滤液导排沟，渗滤液导入污水处理站处理；</w:t>
            </w:r>
          </w:p>
          <w:p w14:paraId="53177CFC">
            <w:pPr>
              <w:ind w:firstLine="420" w:firstLineChars="200"/>
              <w:rPr>
                <w:szCs w:val="21"/>
              </w:rPr>
            </w:pPr>
            <w:r>
              <w:rPr>
                <w:szCs w:val="21"/>
              </w:rPr>
              <w:t>（5）</w:t>
            </w:r>
            <w:r>
              <w:rPr>
                <w:bCs/>
                <w:szCs w:val="21"/>
              </w:rPr>
              <w:t>当污水处理系统发生故障，废水可暂存在猪舍下的粪污池内</w:t>
            </w:r>
            <w:r>
              <w:rPr>
                <w:bCs/>
                <w:kern w:val="0"/>
                <w:szCs w:val="21"/>
              </w:rPr>
              <w:t>，保证事故污水不会对周边地表水体产生污染影响</w:t>
            </w:r>
            <w:r>
              <w:rPr>
                <w:bCs/>
                <w:szCs w:val="21"/>
              </w:rPr>
              <w:t>。</w:t>
            </w:r>
          </w:p>
          <w:p w14:paraId="1EF32DB9">
            <w:pPr>
              <w:ind w:firstLine="420" w:firstLineChars="200"/>
              <w:rPr>
                <w:szCs w:val="21"/>
              </w:rPr>
            </w:pPr>
            <w:r>
              <w:rPr>
                <w:szCs w:val="21"/>
              </w:rPr>
              <w:t>（6）在各养殖场地各各设置1个沼液储存池，项目设置的沼液储存池为</w:t>
            </w:r>
            <w:r>
              <w:rPr>
                <w:kern w:val="0"/>
                <w:szCs w:val="21"/>
                <w:lang w:bidi="ar"/>
              </w:rPr>
              <w:t>1号地100m</w:t>
            </w:r>
            <w:r>
              <w:rPr>
                <w:kern w:val="0"/>
                <w:szCs w:val="21"/>
                <w:vertAlign w:val="superscript"/>
                <w:lang w:bidi="ar"/>
              </w:rPr>
              <w:t>3</w:t>
            </w:r>
            <w:r>
              <w:rPr>
                <w:kern w:val="0"/>
                <w:szCs w:val="21"/>
                <w:lang w:bidi="ar"/>
              </w:rPr>
              <w:t>，2号地200m</w:t>
            </w:r>
            <w:r>
              <w:rPr>
                <w:kern w:val="0"/>
                <w:szCs w:val="21"/>
                <w:vertAlign w:val="superscript"/>
                <w:lang w:bidi="ar"/>
              </w:rPr>
              <w:t>3</w:t>
            </w:r>
            <w:r>
              <w:rPr>
                <w:kern w:val="0"/>
                <w:szCs w:val="21"/>
                <w:lang w:bidi="ar"/>
              </w:rPr>
              <w:t>，3号地100m</w:t>
            </w:r>
            <w:r>
              <w:rPr>
                <w:kern w:val="0"/>
                <w:szCs w:val="21"/>
                <w:vertAlign w:val="superscript"/>
                <w:lang w:bidi="ar"/>
              </w:rPr>
              <w:t>3</w:t>
            </w:r>
            <w:r>
              <w:rPr>
                <w:kern w:val="0"/>
                <w:szCs w:val="21"/>
                <w:lang w:bidi="ar"/>
              </w:rPr>
              <w:t>，4号地250m</w:t>
            </w:r>
            <w:r>
              <w:rPr>
                <w:kern w:val="0"/>
                <w:szCs w:val="21"/>
                <w:vertAlign w:val="superscript"/>
                <w:lang w:bidi="ar"/>
              </w:rPr>
              <w:t>3</w:t>
            </w:r>
            <w:r>
              <w:rPr>
                <w:kern w:val="0"/>
                <w:szCs w:val="21"/>
                <w:lang w:bidi="ar"/>
              </w:rPr>
              <w:t>，5号地200m</w:t>
            </w:r>
            <w:r>
              <w:rPr>
                <w:kern w:val="0"/>
                <w:szCs w:val="21"/>
                <w:vertAlign w:val="superscript"/>
                <w:lang w:bidi="ar"/>
              </w:rPr>
              <w:t>3</w:t>
            </w:r>
            <w:r>
              <w:rPr>
                <w:kern w:val="0"/>
                <w:szCs w:val="21"/>
                <w:lang w:bidi="ar"/>
              </w:rPr>
              <w:t>，</w:t>
            </w:r>
            <w:r>
              <w:rPr>
                <w:szCs w:val="21"/>
              </w:rPr>
              <w:t>同时在苹果园内设置1座9400m</w:t>
            </w:r>
            <w:r>
              <w:rPr>
                <w:szCs w:val="21"/>
                <w:vertAlign w:val="superscript"/>
              </w:rPr>
              <w:t>3</w:t>
            </w:r>
            <w:r>
              <w:rPr>
                <w:szCs w:val="21"/>
              </w:rPr>
              <w:t>的沼液储存池储存沼液。</w:t>
            </w:r>
          </w:p>
          <w:p w14:paraId="4C502802">
            <w:pPr>
              <w:ind w:firstLine="420" w:firstLineChars="200"/>
              <w:rPr>
                <w:bCs/>
                <w:szCs w:val="21"/>
              </w:rPr>
            </w:pPr>
            <w:r>
              <w:rPr>
                <w:szCs w:val="21"/>
              </w:rPr>
              <w:t>（7）</w:t>
            </w:r>
            <w:r>
              <w:rPr>
                <w:bCs/>
                <w:szCs w:val="21"/>
              </w:rPr>
              <w:t>污水处理站布设于项目区海拔较低处，确保非正常情况下废水不会漫流到场区其他单元。</w:t>
            </w:r>
          </w:p>
          <w:p w14:paraId="0F3C8017">
            <w:pPr>
              <w:ind w:firstLine="420" w:firstLineChars="200"/>
              <w:rPr>
                <w:bCs/>
                <w:szCs w:val="21"/>
              </w:rPr>
            </w:pPr>
            <w:r>
              <w:rPr>
                <w:bCs/>
                <w:szCs w:val="21"/>
              </w:rPr>
              <w:t>（8）保证废水的有效收集，确保污水处理站的正常运行，严禁污废水的事故排放。</w:t>
            </w:r>
          </w:p>
          <w:p w14:paraId="35C593A9">
            <w:pPr>
              <w:ind w:firstLine="420" w:firstLineChars="200"/>
              <w:rPr>
                <w:bCs/>
                <w:szCs w:val="21"/>
              </w:rPr>
            </w:pPr>
            <w:r>
              <w:rPr>
                <w:bCs/>
                <w:szCs w:val="21"/>
              </w:rPr>
              <w:t>（9）加强污水处理站运行管理，定期检修、维护，确保污水处理站正常运行。农灌季节来临前，加强农灌管网的检修和维护，发现有损坏和泄漏应及时修理、更换，确保正常运行。</w:t>
            </w:r>
          </w:p>
        </w:tc>
      </w:tr>
      <w:tr w14:paraId="6311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12" w:hRule="atLeast"/>
          <w:jc w:val="center"/>
        </w:trPr>
        <w:tc>
          <w:tcPr>
            <w:tcW w:w="368" w:type="pct"/>
            <w:vMerge w:val="continue"/>
            <w:noWrap w:val="0"/>
            <w:vAlign w:val="center"/>
          </w:tcPr>
          <w:p w14:paraId="6E0C5B7A">
            <w:pPr>
              <w:jc w:val="center"/>
              <w:rPr>
                <w:szCs w:val="21"/>
              </w:rPr>
            </w:pPr>
          </w:p>
        </w:tc>
        <w:tc>
          <w:tcPr>
            <w:tcW w:w="402" w:type="pct"/>
            <w:vMerge w:val="restart"/>
            <w:noWrap w:val="0"/>
            <w:vAlign w:val="center"/>
          </w:tcPr>
          <w:p w14:paraId="54A0BE86">
            <w:pPr>
              <w:jc w:val="center"/>
              <w:rPr>
                <w:szCs w:val="21"/>
              </w:rPr>
            </w:pPr>
            <w:r>
              <w:rPr>
                <w:szCs w:val="21"/>
              </w:rPr>
              <w:t>地下水防护</w:t>
            </w:r>
          </w:p>
        </w:tc>
        <w:tc>
          <w:tcPr>
            <w:tcW w:w="4229" w:type="pct"/>
            <w:vMerge w:val="restart"/>
            <w:noWrap w:val="0"/>
            <w:vAlign w:val="center"/>
          </w:tcPr>
          <w:p w14:paraId="48651909">
            <w:pPr>
              <w:adjustRightInd w:val="0"/>
              <w:snapToGrid w:val="0"/>
              <w:ind w:firstLine="422" w:firstLineChars="200"/>
              <w:jc w:val="left"/>
              <w:rPr>
                <w:b/>
                <w:bCs/>
                <w:szCs w:val="21"/>
              </w:rPr>
            </w:pPr>
            <w:r>
              <w:rPr>
                <w:b/>
                <w:bCs/>
                <w:kern w:val="0"/>
                <w:szCs w:val="21"/>
                <w:lang w:bidi="ar"/>
              </w:rPr>
              <w:t>（1）源头控制措施</w:t>
            </w:r>
          </w:p>
          <w:p w14:paraId="68C8DEAB">
            <w:pPr>
              <w:pStyle w:val="35"/>
              <w:ind w:right="333" w:firstLine="420" w:firstLineChars="200"/>
              <w:rPr>
                <w:bCs/>
                <w:kern w:val="0"/>
                <w:szCs w:val="21"/>
                <w:lang w:bidi="ar"/>
              </w:rPr>
            </w:pPr>
            <w:r>
              <w:rPr>
                <w:bCs/>
                <w:kern w:val="0"/>
                <w:szCs w:val="21"/>
                <w:lang w:bidi="ar"/>
              </w:rPr>
              <w:t>①对场内污水池严格按照规范进行设计，做好防渗，防漏工程，同时项目污水收集管道注意防泄漏、跑冒的检查的修补，防治污水泄漏对地下水造成污染。成立事故处理小组，一旦发生管道泄漏、防渗层破裂，立即组织人力、物力和财力加急进行维修，同时对泄漏的废水进行拦截、回收、转移，以防止污染地下水。</w:t>
            </w:r>
          </w:p>
          <w:p w14:paraId="53678C54">
            <w:pPr>
              <w:pStyle w:val="35"/>
              <w:spacing w:before="3"/>
              <w:ind w:firstLine="420" w:firstLineChars="200"/>
              <w:rPr>
                <w:bCs/>
                <w:kern w:val="0"/>
                <w:szCs w:val="21"/>
                <w:lang w:bidi="ar"/>
              </w:rPr>
            </w:pPr>
            <w:r>
              <w:rPr>
                <w:bCs/>
                <w:kern w:val="0"/>
                <w:szCs w:val="21"/>
                <w:lang w:bidi="ar"/>
              </w:rPr>
              <w:t>②加强场区地面硬化，场内做好雨污分流。</w:t>
            </w:r>
          </w:p>
          <w:p w14:paraId="58D248B2">
            <w:pPr>
              <w:ind w:firstLine="422" w:firstLineChars="200"/>
              <w:rPr>
                <w:szCs w:val="21"/>
              </w:rPr>
            </w:pPr>
            <w:r>
              <w:rPr>
                <w:b/>
                <w:bCs/>
                <w:kern w:val="0"/>
                <w:szCs w:val="21"/>
                <w:lang w:bidi="ar"/>
              </w:rPr>
              <w:t>（2）分区防治措施</w:t>
            </w:r>
          </w:p>
          <w:p w14:paraId="02B534D0">
            <w:pPr>
              <w:pStyle w:val="35"/>
              <w:spacing w:after="0"/>
              <w:ind w:firstLine="420" w:firstLineChars="200"/>
              <w:rPr>
                <w:szCs w:val="21"/>
              </w:rPr>
            </w:pPr>
            <w:r>
              <w:rPr>
                <w:szCs w:val="21"/>
              </w:rPr>
              <w:t>将厂区按各功能单元所处的位置划分为重点防渗区、一般防渗区、简单防渗区三类地下水污染防治区域：</w:t>
            </w:r>
          </w:p>
          <w:p w14:paraId="5B39D1D8">
            <w:pPr>
              <w:pStyle w:val="35"/>
              <w:spacing w:after="0"/>
              <w:ind w:firstLine="420" w:firstLineChars="200"/>
              <w:rPr>
                <w:szCs w:val="21"/>
              </w:rPr>
            </w:pPr>
            <w:r>
              <w:rPr>
                <w:szCs w:val="21"/>
              </w:rPr>
              <w:t xml:space="preserve">①重点防渗区包括：对猪舍、粪污收集系统（包括猪舍下污粪尿储存池、粪污输送管道、污水收集管网）、 污水处理站（含沼液暂存池、集污池兼事故应急池）、堆肥发酵间（包括堆肥间内的渗滤液收集沟）、无害化处理间、危废暂存间划分为重点防渗区；防渗要求如下： </w:t>
            </w:r>
            <w:r>
              <w:rPr>
                <w:spacing w:val="-8"/>
                <w:szCs w:val="21"/>
              </w:rPr>
              <w:t>重点污染区各单元</w:t>
            </w:r>
            <w:r>
              <w:rPr>
                <w:szCs w:val="21"/>
              </w:rPr>
              <w:t>防渗层等效黏土防渗层 Mb≥6.0m，渗透系数≤10</w:t>
            </w:r>
            <w:r>
              <w:rPr>
                <w:szCs w:val="21"/>
                <w:vertAlign w:val="superscript"/>
              </w:rPr>
              <w:t>-7</w:t>
            </w:r>
            <w:r>
              <w:rPr>
                <w:szCs w:val="21"/>
              </w:rPr>
              <w:t>cm/s。</w:t>
            </w:r>
            <w:r>
              <w:rPr>
                <w:spacing w:val="-4"/>
                <w:szCs w:val="21"/>
              </w:rPr>
              <w:t xml:space="preserve">污水处理池体采用池底及顶部覆膜采用 </w:t>
            </w:r>
            <w:r>
              <w:rPr>
                <w:rFonts w:eastAsia="Times New Roman"/>
                <w:szCs w:val="21"/>
              </w:rPr>
              <w:t xml:space="preserve">PE </w:t>
            </w:r>
            <w:r>
              <w:rPr>
                <w:spacing w:val="-3"/>
                <w:szCs w:val="21"/>
              </w:rPr>
              <w:t>复合材质，粪污输送全部采用管</w:t>
            </w:r>
            <w:r>
              <w:rPr>
                <w:spacing w:val="-9"/>
                <w:szCs w:val="21"/>
              </w:rPr>
              <w:t>道输送，管道材料应根据输送的介质选择合适的材质，并做表面的防腐、防锈处</w:t>
            </w:r>
            <w:r>
              <w:rPr>
                <w:spacing w:val="-10"/>
                <w:szCs w:val="21"/>
              </w:rPr>
              <w:t>理，减轻管道腐蚀造成的渗漏，并定期进行检查，防止跑冒滴漏现象发生。</w:t>
            </w:r>
            <w:r>
              <w:rPr>
                <w:szCs w:val="21"/>
              </w:rPr>
              <w:t>危废暂存间、病死猪无害化处理间混凝土地面加铺防渗剂和人工材料（</w:t>
            </w:r>
            <w:r>
              <w:rPr>
                <w:rFonts w:eastAsia="Times New Roman"/>
                <w:szCs w:val="21"/>
              </w:rPr>
              <w:t>HDPE</w:t>
            </w:r>
            <w:r>
              <w:rPr>
                <w:szCs w:val="21"/>
              </w:rPr>
              <w:t>）</w:t>
            </w:r>
            <w:r>
              <w:rPr>
                <w:spacing w:val="-4"/>
                <w:szCs w:val="21"/>
              </w:rPr>
              <w:t>防渗层，确</w:t>
            </w:r>
            <w:r>
              <w:rPr>
                <w:spacing w:val="-7"/>
                <w:szCs w:val="21"/>
              </w:rPr>
              <w:t xml:space="preserve">保等效黏土防渗层 </w:t>
            </w:r>
            <w:r>
              <w:rPr>
                <w:rFonts w:eastAsia="Times New Roman"/>
                <w:szCs w:val="21"/>
              </w:rPr>
              <w:t>Mb≥6.0m</w:t>
            </w:r>
            <w:r>
              <w:rPr>
                <w:szCs w:val="21"/>
              </w:rPr>
              <w:t>，</w:t>
            </w:r>
            <w:r>
              <w:rPr>
                <w:rFonts w:eastAsia="Times New Roman"/>
                <w:szCs w:val="21"/>
              </w:rPr>
              <w:t>K≤1×10</w:t>
            </w:r>
            <w:r>
              <w:rPr>
                <w:szCs w:val="21"/>
                <w:vertAlign w:val="superscript"/>
              </w:rPr>
              <w:t>-7</w:t>
            </w:r>
            <w:r>
              <w:rPr>
                <w:rFonts w:eastAsia="Times New Roman"/>
                <w:position w:val="9"/>
                <w:szCs w:val="21"/>
              </w:rPr>
              <w:t xml:space="preserve"> </w:t>
            </w:r>
            <w:r>
              <w:rPr>
                <w:rFonts w:eastAsia="Times New Roman"/>
                <w:szCs w:val="21"/>
              </w:rPr>
              <w:t>cm/s</w:t>
            </w:r>
            <w:r>
              <w:rPr>
                <w:szCs w:val="21"/>
              </w:rPr>
              <w:t>。</w:t>
            </w:r>
          </w:p>
          <w:p w14:paraId="534CE4EC">
            <w:pPr>
              <w:pStyle w:val="2078"/>
              <w:tabs>
                <w:tab w:val="left" w:pos="1621"/>
              </w:tabs>
              <w:rPr>
                <w:szCs w:val="21"/>
              </w:rPr>
            </w:pPr>
            <w:r>
              <w:rPr>
                <w:szCs w:val="21"/>
              </w:rPr>
              <w:t>②一般防渗区包括：化粪池、消毒物品存放间、消毒间划分为一般防渗区；对一般防渗区采取的防渗措施：</w:t>
            </w:r>
            <w:r>
              <w:rPr>
                <w:spacing w:val="-7"/>
                <w:szCs w:val="21"/>
              </w:rPr>
              <w:t xml:space="preserve">采取粘土铺底，等效黏土防渗层 </w:t>
            </w:r>
            <w:r>
              <w:rPr>
                <w:rFonts w:eastAsia="Times New Roman"/>
                <w:spacing w:val="-4"/>
                <w:szCs w:val="21"/>
              </w:rPr>
              <w:t>Mb≥1.5m</w:t>
            </w:r>
            <w:r>
              <w:rPr>
                <w:spacing w:val="-4"/>
                <w:szCs w:val="21"/>
              </w:rPr>
              <w:t>，</w:t>
            </w:r>
            <w:r>
              <w:rPr>
                <w:rFonts w:eastAsia="Times New Roman"/>
                <w:spacing w:val="-4"/>
                <w:szCs w:val="21"/>
              </w:rPr>
              <w:t>K≤1×10</w:t>
            </w:r>
            <w:r>
              <w:rPr>
                <w:spacing w:val="-4"/>
                <w:szCs w:val="21"/>
                <w:vertAlign w:val="superscript"/>
              </w:rPr>
              <w:t>-7</w:t>
            </w:r>
            <w:r>
              <w:rPr>
                <w:rFonts w:eastAsia="Times New Roman"/>
                <w:szCs w:val="21"/>
              </w:rPr>
              <w:t>cm/s</w:t>
            </w:r>
            <w:r>
              <w:rPr>
                <w:szCs w:val="21"/>
              </w:rPr>
              <w:t xml:space="preserve">， </w:t>
            </w:r>
            <w:r>
              <w:rPr>
                <w:spacing w:val="-11"/>
                <w:szCs w:val="21"/>
              </w:rPr>
              <w:t xml:space="preserve">再在上层铺 </w:t>
            </w:r>
            <w:r>
              <w:rPr>
                <w:rFonts w:eastAsia="Times New Roman"/>
                <w:szCs w:val="21"/>
              </w:rPr>
              <w:t xml:space="preserve">10~15cm </w:t>
            </w:r>
            <w:r>
              <w:rPr>
                <w:szCs w:val="21"/>
              </w:rPr>
              <w:t>水泥进行硬化。</w:t>
            </w:r>
          </w:p>
          <w:p w14:paraId="3B416A24">
            <w:pPr>
              <w:ind w:firstLine="420" w:firstLineChars="200"/>
              <w:rPr>
                <w:szCs w:val="21"/>
              </w:rPr>
            </w:pPr>
            <w:r>
              <w:rPr>
                <w:szCs w:val="21"/>
              </w:rPr>
              <w:t>③简单防渗区：饲料仓库、办公室生活等区域划分为简单防渗区，地面采用水泥硬化处理。</w:t>
            </w:r>
          </w:p>
        </w:tc>
      </w:tr>
      <w:tr w14:paraId="3888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312" w:hRule="atLeast"/>
          <w:jc w:val="center"/>
        </w:trPr>
        <w:tc>
          <w:tcPr>
            <w:tcW w:w="368" w:type="pct"/>
            <w:vMerge w:val="continue"/>
            <w:noWrap w:val="0"/>
            <w:vAlign w:val="center"/>
          </w:tcPr>
          <w:p w14:paraId="58957ACA">
            <w:pPr>
              <w:jc w:val="center"/>
              <w:rPr>
                <w:szCs w:val="21"/>
              </w:rPr>
            </w:pPr>
          </w:p>
        </w:tc>
        <w:tc>
          <w:tcPr>
            <w:tcW w:w="402" w:type="pct"/>
            <w:vMerge w:val="continue"/>
            <w:noWrap w:val="0"/>
            <w:vAlign w:val="center"/>
          </w:tcPr>
          <w:p w14:paraId="5215FB73">
            <w:pPr>
              <w:jc w:val="center"/>
              <w:rPr>
                <w:szCs w:val="21"/>
              </w:rPr>
            </w:pPr>
          </w:p>
        </w:tc>
        <w:tc>
          <w:tcPr>
            <w:tcW w:w="4229" w:type="pct"/>
            <w:vMerge w:val="continue"/>
            <w:noWrap w:val="0"/>
            <w:vAlign w:val="center"/>
          </w:tcPr>
          <w:p w14:paraId="56C3C472">
            <w:pPr>
              <w:rPr>
                <w:szCs w:val="21"/>
              </w:rPr>
            </w:pPr>
          </w:p>
        </w:tc>
      </w:tr>
      <w:tr w14:paraId="06D6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62885F19">
            <w:pPr>
              <w:jc w:val="center"/>
              <w:rPr>
                <w:szCs w:val="21"/>
              </w:rPr>
            </w:pPr>
          </w:p>
        </w:tc>
        <w:tc>
          <w:tcPr>
            <w:tcW w:w="402" w:type="pct"/>
            <w:noWrap w:val="0"/>
            <w:vAlign w:val="center"/>
          </w:tcPr>
          <w:p w14:paraId="6B73C3EF">
            <w:pPr>
              <w:jc w:val="center"/>
              <w:rPr>
                <w:szCs w:val="21"/>
              </w:rPr>
            </w:pPr>
            <w:r>
              <w:rPr>
                <w:szCs w:val="21"/>
              </w:rPr>
              <w:t>固废</w:t>
            </w:r>
          </w:p>
        </w:tc>
        <w:tc>
          <w:tcPr>
            <w:tcW w:w="4229" w:type="pct"/>
            <w:noWrap w:val="0"/>
            <w:vAlign w:val="center"/>
          </w:tcPr>
          <w:p w14:paraId="33862565">
            <w:pPr>
              <w:rPr>
                <w:szCs w:val="21"/>
              </w:rPr>
            </w:pPr>
            <w:r>
              <w:rPr>
                <w:szCs w:val="21"/>
              </w:rPr>
              <w:t>（1）项目采用干清粪工艺，清理的猪粪送至固粪处理区堆肥后作为自有苹果园有机肥使用；固粪处理区四周为围墙，并且设置顶棚，可防止雨水进入，地面防渗处理，并设置渗滤液导排沟，渗滤液引入污水处理站处理，防止污染地下水。</w:t>
            </w:r>
          </w:p>
          <w:p w14:paraId="4174E07A">
            <w:pPr>
              <w:rPr>
                <w:szCs w:val="21"/>
              </w:rPr>
            </w:pPr>
            <w:r>
              <w:rPr>
                <w:szCs w:val="21"/>
              </w:rPr>
              <w:t>（2）本项目生产过程中产生的病死猪近期通过无害化设备处理，无害化处理残渣运到固粪处理区堆肥处置后作为有机肥，远期委托石林县病死畜禽无害化处理项目处理。</w:t>
            </w:r>
          </w:p>
          <w:p w14:paraId="4508707F">
            <w:pPr>
              <w:rPr>
                <w:szCs w:val="21"/>
              </w:rPr>
            </w:pPr>
            <w:r>
              <w:rPr>
                <w:szCs w:val="21"/>
              </w:rPr>
              <w:t>（3）饲料残渣：项目饲料残渣运至固粪处理区堆放，处置后的有机肥作为自有苹果园有机肥使用。</w:t>
            </w:r>
          </w:p>
          <w:p w14:paraId="59811D9B">
            <w:pPr>
              <w:rPr>
                <w:szCs w:val="21"/>
              </w:rPr>
            </w:pPr>
            <w:r>
              <w:rPr>
                <w:szCs w:val="21"/>
              </w:rPr>
              <w:t>（4）沼渣：运至固粪处理区堆放，处置后的有机肥作为自有苹果园有机肥使用。</w:t>
            </w:r>
          </w:p>
          <w:p w14:paraId="6C669D13">
            <w:pPr>
              <w:rPr>
                <w:szCs w:val="21"/>
              </w:rPr>
            </w:pPr>
            <w:r>
              <w:rPr>
                <w:szCs w:val="21"/>
              </w:rPr>
              <w:t>（5）猪粪堆肥发酵区：</w:t>
            </w:r>
            <w:r>
              <w:rPr>
                <w:kern w:val="0"/>
                <w:szCs w:val="21"/>
                <w:lang w:bidi="ar"/>
              </w:rPr>
              <w:t>1号地盛丰通风井位置设置堆肥发酵区容积不小于250m</w:t>
            </w:r>
            <w:r>
              <w:rPr>
                <w:kern w:val="0"/>
                <w:szCs w:val="21"/>
                <w:vertAlign w:val="superscript"/>
                <w:lang w:bidi="ar"/>
              </w:rPr>
              <w:t>3</w:t>
            </w:r>
            <w:r>
              <w:rPr>
                <w:kern w:val="0"/>
                <w:szCs w:val="21"/>
                <w:lang w:bidi="ar"/>
              </w:rPr>
              <w:t>，2号盛丰焦化楼位置设置堆肥发酵区容积不小于500m</w:t>
            </w:r>
            <w:r>
              <w:rPr>
                <w:kern w:val="0"/>
                <w:szCs w:val="21"/>
                <w:vertAlign w:val="superscript"/>
                <w:lang w:bidi="ar"/>
              </w:rPr>
              <w:t>3</w:t>
            </w:r>
            <w:r>
              <w:rPr>
                <w:kern w:val="0"/>
                <w:szCs w:val="21"/>
                <w:lang w:bidi="ar"/>
              </w:rPr>
              <w:t>，3号老井位置设置堆肥发酵区容积不小于250m</w:t>
            </w:r>
            <w:r>
              <w:rPr>
                <w:kern w:val="0"/>
                <w:szCs w:val="21"/>
                <w:vertAlign w:val="superscript"/>
                <w:lang w:bidi="ar"/>
              </w:rPr>
              <w:t>3</w:t>
            </w:r>
            <w:r>
              <w:rPr>
                <w:kern w:val="0"/>
                <w:szCs w:val="21"/>
                <w:lang w:bidi="ar"/>
              </w:rPr>
              <w:t>，4号鑫旺板块位置设置堆肥发酵区容积不小于500m</w:t>
            </w:r>
            <w:r>
              <w:rPr>
                <w:kern w:val="0"/>
                <w:szCs w:val="21"/>
                <w:vertAlign w:val="superscript"/>
                <w:lang w:bidi="ar"/>
              </w:rPr>
              <w:t>3</w:t>
            </w:r>
            <w:r>
              <w:rPr>
                <w:kern w:val="0"/>
                <w:szCs w:val="21"/>
                <w:lang w:bidi="ar"/>
              </w:rPr>
              <w:t>，5号大河边位置设置堆肥发酵区容积不小于400m</w:t>
            </w:r>
            <w:r>
              <w:rPr>
                <w:kern w:val="0"/>
                <w:szCs w:val="21"/>
                <w:vertAlign w:val="superscript"/>
                <w:lang w:bidi="ar"/>
              </w:rPr>
              <w:t>3</w:t>
            </w:r>
            <w:r>
              <w:rPr>
                <w:kern w:val="0"/>
                <w:szCs w:val="21"/>
                <w:lang w:bidi="ar"/>
              </w:rPr>
              <w:t>。</w:t>
            </w:r>
          </w:p>
          <w:p w14:paraId="17D30900">
            <w:pPr>
              <w:rPr>
                <w:szCs w:val="21"/>
              </w:rPr>
            </w:pPr>
            <w:r>
              <w:rPr>
                <w:szCs w:val="21"/>
              </w:rPr>
              <w:t>（6）医疗废物：项目在各养殖场地内各设置1间医疗废物暂存间，共设置5间医疗废物暂存间，每间10m</w:t>
            </w:r>
            <w:r>
              <w:rPr>
                <w:szCs w:val="21"/>
                <w:vertAlign w:val="superscript"/>
              </w:rPr>
              <w:t>2</w:t>
            </w:r>
            <w:r>
              <w:rPr>
                <w:szCs w:val="21"/>
              </w:rPr>
              <w:t>，废疫苗、废注射器等医疗固废进行分类收集，暂存于危废间，定期委托有资质的单位处理。危废间严格按照危废管理要求设施，做好防渗，设置标识牌，做好管理台账。</w:t>
            </w:r>
          </w:p>
          <w:p w14:paraId="068D1899">
            <w:pPr>
              <w:rPr>
                <w:szCs w:val="21"/>
              </w:rPr>
            </w:pPr>
            <w:r>
              <w:rPr>
                <w:szCs w:val="21"/>
              </w:rPr>
              <w:t>（7）废弃包装材料：统一收集后定期外卖给废品收购商。</w:t>
            </w:r>
          </w:p>
          <w:p w14:paraId="745642EA">
            <w:pPr>
              <w:rPr>
                <w:szCs w:val="21"/>
              </w:rPr>
            </w:pPr>
            <w:r>
              <w:rPr>
                <w:szCs w:val="21"/>
              </w:rPr>
              <w:t>（8）废脱硫剂：由换料的生产厂家带走回收利用。</w:t>
            </w:r>
          </w:p>
          <w:p w14:paraId="3911135B">
            <w:pPr>
              <w:rPr>
                <w:szCs w:val="21"/>
              </w:rPr>
            </w:pPr>
            <w:r>
              <w:rPr>
                <w:szCs w:val="21"/>
              </w:rPr>
              <w:t>（9）职工生活垃圾：本项目设置垃圾桶、垃圾收集池，生活垃圾按可回收利用和不可回收利用分类收集，临时定点存放，统一收集后由环卫部门定期清运。</w:t>
            </w:r>
          </w:p>
          <w:p w14:paraId="51334FBA">
            <w:pPr>
              <w:rPr>
                <w:bCs/>
                <w:szCs w:val="21"/>
              </w:rPr>
            </w:pPr>
            <w:r>
              <w:rPr>
                <w:bCs/>
                <w:szCs w:val="21"/>
              </w:rPr>
              <w:t>（10）食堂厨余垃圾：厨余垃圾使用泔水桶收集后作为猪饲料。</w:t>
            </w:r>
          </w:p>
          <w:p w14:paraId="3E7F7BFF">
            <w:pPr>
              <w:rPr>
                <w:szCs w:val="21"/>
              </w:rPr>
            </w:pPr>
          </w:p>
        </w:tc>
      </w:tr>
      <w:tr w14:paraId="2352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7DA1786B">
            <w:pPr>
              <w:jc w:val="center"/>
              <w:rPr>
                <w:szCs w:val="21"/>
              </w:rPr>
            </w:pPr>
          </w:p>
        </w:tc>
        <w:tc>
          <w:tcPr>
            <w:tcW w:w="402" w:type="pct"/>
            <w:noWrap w:val="0"/>
            <w:vAlign w:val="center"/>
          </w:tcPr>
          <w:p w14:paraId="6E1FDBE8">
            <w:pPr>
              <w:jc w:val="center"/>
              <w:rPr>
                <w:szCs w:val="21"/>
              </w:rPr>
            </w:pPr>
            <w:r>
              <w:rPr>
                <w:szCs w:val="21"/>
              </w:rPr>
              <w:t>噪声</w:t>
            </w:r>
          </w:p>
        </w:tc>
        <w:tc>
          <w:tcPr>
            <w:tcW w:w="4229" w:type="pct"/>
            <w:noWrap w:val="0"/>
            <w:vAlign w:val="center"/>
          </w:tcPr>
          <w:p w14:paraId="5E227BF9">
            <w:pPr>
              <w:jc w:val="left"/>
              <w:rPr>
                <w:szCs w:val="21"/>
              </w:rPr>
            </w:pPr>
            <w:r>
              <w:rPr>
                <w:szCs w:val="21"/>
              </w:rPr>
              <w:t>（1）在平面布置及施工建筑设计上尽量将噪声源集中，充分利用自身建筑物的屏蔽作用隔声。场区合理布局。</w:t>
            </w:r>
          </w:p>
          <w:p w14:paraId="311AE9A5">
            <w:pPr>
              <w:jc w:val="left"/>
              <w:rPr>
                <w:szCs w:val="21"/>
              </w:rPr>
            </w:pPr>
            <w:r>
              <w:rPr>
                <w:szCs w:val="21"/>
              </w:rPr>
              <w:t>（2）设计上尽量选用低噪声设备。</w:t>
            </w:r>
          </w:p>
          <w:p w14:paraId="66618688">
            <w:pPr>
              <w:jc w:val="left"/>
              <w:rPr>
                <w:szCs w:val="21"/>
              </w:rPr>
            </w:pPr>
            <w:r>
              <w:rPr>
                <w:szCs w:val="21"/>
              </w:rPr>
              <w:t>（3）对产生高噪声设备采取建造隔声机房，将强声源与外界隔离，同时对设施结构进行改革。如：水泵设置在室内或者地下，减小噪声对环境影响；</w:t>
            </w:r>
          </w:p>
          <w:p w14:paraId="1C68450A">
            <w:pPr>
              <w:jc w:val="left"/>
              <w:rPr>
                <w:szCs w:val="21"/>
              </w:rPr>
            </w:pPr>
            <w:r>
              <w:rPr>
                <w:szCs w:val="21"/>
              </w:rPr>
              <w:t>（4）为减少猪叫声对操作工人及周围环境的影响，尽可能满足猪只饮食需要，避免因饥饿或口渴而发出叫声；同时应减少外界噪声等对猪舍的干扰，避免因惊吓而造成猪只不安；</w:t>
            </w:r>
          </w:p>
          <w:p w14:paraId="1EB1CD1C">
            <w:pPr>
              <w:jc w:val="left"/>
              <w:rPr>
                <w:szCs w:val="21"/>
              </w:rPr>
            </w:pPr>
            <w:r>
              <w:rPr>
                <w:szCs w:val="21"/>
              </w:rPr>
              <w:t>（5）猪舍四周加强绿化，场界四周种植高大乔木，加强对噪声的隔阻效果；</w:t>
            </w:r>
          </w:p>
          <w:p w14:paraId="0374CBDA">
            <w:pPr>
              <w:jc w:val="left"/>
              <w:rPr>
                <w:szCs w:val="21"/>
                <w:lang w:val="en-GB"/>
              </w:rPr>
            </w:pPr>
            <w:r>
              <w:rPr>
                <w:szCs w:val="21"/>
              </w:rPr>
              <w:t>（6）同时对运输过程中产生的噪声污染采取以下交通噪声管理措施：运输沿线靠近居民点时，禁止运输车辆鸣笛；运输车辆必须严格维修和保养，保持发动机在最佳状况下工作。运输车辆严禁超载。</w:t>
            </w:r>
          </w:p>
        </w:tc>
      </w:tr>
      <w:tr w14:paraId="3912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45B29A82">
            <w:pPr>
              <w:jc w:val="center"/>
              <w:rPr>
                <w:szCs w:val="21"/>
              </w:rPr>
            </w:pPr>
          </w:p>
        </w:tc>
        <w:tc>
          <w:tcPr>
            <w:tcW w:w="402" w:type="pct"/>
            <w:noWrap w:val="0"/>
            <w:vAlign w:val="center"/>
          </w:tcPr>
          <w:p w14:paraId="4F9DC214">
            <w:pPr>
              <w:ind w:left="-105" w:leftChars="-50" w:right="-105" w:rightChars="-50"/>
              <w:jc w:val="center"/>
              <w:rPr>
                <w:szCs w:val="21"/>
              </w:rPr>
            </w:pPr>
            <w:r>
              <w:rPr>
                <w:szCs w:val="21"/>
              </w:rPr>
              <w:t>环境风险</w:t>
            </w:r>
          </w:p>
        </w:tc>
        <w:tc>
          <w:tcPr>
            <w:tcW w:w="4229" w:type="pct"/>
            <w:noWrap w:val="0"/>
            <w:vAlign w:val="center"/>
          </w:tcPr>
          <w:p w14:paraId="523FB005">
            <w:pPr>
              <w:keepNext/>
              <w:keepLines/>
              <w:outlineLvl w:val="2"/>
              <w:rPr>
                <w:b/>
                <w:szCs w:val="21"/>
              </w:rPr>
            </w:pPr>
            <w:r>
              <w:rPr>
                <w:b/>
                <w:szCs w:val="21"/>
              </w:rPr>
              <w:t>1、废水非正常排放或泄露防范措施</w:t>
            </w:r>
          </w:p>
          <w:p w14:paraId="06B76F34">
            <w:pPr>
              <w:ind w:firstLine="476"/>
              <w:rPr>
                <w:spacing w:val="-1"/>
                <w:szCs w:val="21"/>
              </w:rPr>
            </w:pPr>
            <w:r>
              <w:rPr>
                <w:spacing w:val="-1"/>
                <w:szCs w:val="21"/>
              </w:rPr>
              <w:t>（1）养殖场的排水系统应实行雨水和污水收集输送系统分离，避免雨水进入污水处理系统。</w:t>
            </w:r>
          </w:p>
          <w:p w14:paraId="0AA283AF">
            <w:pPr>
              <w:ind w:firstLine="476"/>
              <w:rPr>
                <w:spacing w:val="-1"/>
                <w:szCs w:val="21"/>
              </w:rPr>
            </w:pPr>
            <w:r>
              <w:rPr>
                <w:spacing w:val="-1"/>
                <w:szCs w:val="21"/>
              </w:rPr>
              <w:t>（2）加强管理，猪舍产生的粪便做到日产日清，特别是雨天来临之前要及时清理干净。</w:t>
            </w:r>
          </w:p>
          <w:p w14:paraId="44FC7CE3">
            <w:pPr>
              <w:ind w:firstLine="476"/>
              <w:rPr>
                <w:spacing w:val="-1"/>
                <w:szCs w:val="21"/>
              </w:rPr>
            </w:pPr>
            <w:r>
              <w:rPr>
                <w:spacing w:val="-1"/>
                <w:szCs w:val="21"/>
              </w:rPr>
              <w:t>（3）合理设计猪舍，猪舍水泥地面应设置合适的坡度，以利于猪尿及冲洗水的排出；</w:t>
            </w:r>
          </w:p>
          <w:p w14:paraId="1BAA162E">
            <w:pPr>
              <w:ind w:firstLine="476"/>
              <w:rPr>
                <w:spacing w:val="-1"/>
                <w:szCs w:val="21"/>
              </w:rPr>
            </w:pPr>
            <w:r>
              <w:rPr>
                <w:spacing w:val="-1"/>
                <w:szCs w:val="21"/>
              </w:rPr>
              <w:t>（4）加强对废水处理系统的运行管理，一旦发现废水处理站出现事故不能正常运行，废水暂存在猪舍下方的粪污池内，暂不排放；及时进行废水处理站的维修，待排除故障、可正常运行后，再将废水排入污水处理系统。</w:t>
            </w:r>
          </w:p>
          <w:p w14:paraId="154ED0B6">
            <w:pPr>
              <w:ind w:firstLine="476"/>
              <w:rPr>
                <w:spacing w:val="-1"/>
                <w:szCs w:val="21"/>
              </w:rPr>
            </w:pPr>
            <w:r>
              <w:rPr>
                <w:spacing w:val="-1"/>
                <w:szCs w:val="21"/>
              </w:rPr>
              <w:t>（5）必须加强对污水处理站的运行管理、维修，应在生产中严格按照操作规程，避免废水事故性排放。</w:t>
            </w:r>
            <w:r>
              <w:rPr>
                <w:bCs/>
                <w:szCs w:val="21"/>
              </w:rPr>
              <w:t>殖舍粪尿暂存于猪舍下方的粪污池内，粪污池与猪舍相同长宽，深为1.2m，在距离池底0.8m处有底窗，最大可收集0.8m深的粪尿和冲洗废水，当污水处理系统发生故障，废水可暂存在粪污池内</w:t>
            </w:r>
            <w:r>
              <w:rPr>
                <w:bCs/>
                <w:kern w:val="0"/>
                <w:szCs w:val="21"/>
              </w:rPr>
              <w:t>，保证事故污水不会对周边环境产生污染影响</w:t>
            </w:r>
            <w:r>
              <w:rPr>
                <w:bCs/>
                <w:szCs w:val="21"/>
              </w:rPr>
              <w:t>；污水站的尾水储存池容积为9400m</w:t>
            </w:r>
            <w:r>
              <w:rPr>
                <w:bCs/>
                <w:szCs w:val="21"/>
                <w:vertAlign w:val="superscript"/>
              </w:rPr>
              <w:t>3</w:t>
            </w:r>
            <w:r>
              <w:rPr>
                <w:bCs/>
                <w:szCs w:val="21"/>
              </w:rPr>
              <w:t>，可以储存91天的沼液尾水，可以保证雨天和非农灌季节废水不外排。</w:t>
            </w:r>
          </w:p>
          <w:p w14:paraId="335CB6BF">
            <w:pPr>
              <w:ind w:firstLine="476"/>
              <w:rPr>
                <w:spacing w:val="-1"/>
                <w:szCs w:val="21"/>
              </w:rPr>
            </w:pPr>
            <w:r>
              <w:rPr>
                <w:spacing w:val="-1"/>
                <w:szCs w:val="21"/>
              </w:rPr>
              <w:t>（6）定期对污水处理设备进行检查，是否存在开裂、渗漏，及时修补和发现问题，解决问题。</w:t>
            </w:r>
          </w:p>
          <w:p w14:paraId="72CEE4CB">
            <w:pPr>
              <w:ind w:firstLine="476"/>
              <w:rPr>
                <w:spacing w:val="-1"/>
                <w:szCs w:val="21"/>
              </w:rPr>
            </w:pPr>
            <w:r>
              <w:rPr>
                <w:spacing w:val="-1"/>
                <w:szCs w:val="21"/>
              </w:rPr>
              <w:t>（7）设计时，提高污水处理站的设计强度和抗破坏能力，污水处理站避开不良地质区域建设。</w:t>
            </w:r>
          </w:p>
          <w:p w14:paraId="3DBFB4E4">
            <w:pPr>
              <w:keepNext/>
              <w:keepLines/>
              <w:outlineLvl w:val="2"/>
              <w:rPr>
                <w:b/>
                <w:szCs w:val="21"/>
              </w:rPr>
            </w:pPr>
            <w:r>
              <w:rPr>
                <w:b/>
                <w:szCs w:val="21"/>
              </w:rPr>
              <w:t>2、消毒剂泄漏事故风险防范措施</w:t>
            </w:r>
          </w:p>
          <w:p w14:paraId="5C733CD3">
            <w:pPr>
              <w:ind w:firstLine="476"/>
              <w:rPr>
                <w:spacing w:val="-1"/>
                <w:szCs w:val="21"/>
              </w:rPr>
            </w:pPr>
            <w:r>
              <w:rPr>
                <w:spacing w:val="-1"/>
                <w:szCs w:val="21"/>
              </w:rPr>
              <w:t>为防止消毒剂泄漏引发的环境风险事故，本环评提出如下风险防范措施：</w:t>
            </w:r>
          </w:p>
          <w:p w14:paraId="33418369">
            <w:pPr>
              <w:ind w:firstLine="476"/>
              <w:rPr>
                <w:spacing w:val="-1"/>
                <w:szCs w:val="21"/>
              </w:rPr>
            </w:pPr>
            <w:r>
              <w:rPr>
                <w:spacing w:val="-1"/>
                <w:szCs w:val="21"/>
              </w:rPr>
              <w:t>（1）购买小桶装消毒剂，避免发生大量泄漏；</w:t>
            </w:r>
          </w:p>
          <w:p w14:paraId="5E64AD52">
            <w:pPr>
              <w:ind w:firstLine="476"/>
              <w:rPr>
                <w:spacing w:val="-1"/>
                <w:szCs w:val="21"/>
              </w:rPr>
            </w:pPr>
            <w:r>
              <w:rPr>
                <w:spacing w:val="-1"/>
                <w:szCs w:val="21"/>
              </w:rPr>
              <w:t>（2）即用即取，按量取用。安排专人负责管理消毒水的日常使用；</w:t>
            </w:r>
          </w:p>
          <w:p w14:paraId="768DFB07">
            <w:pPr>
              <w:ind w:firstLine="476"/>
              <w:rPr>
                <w:spacing w:val="-1"/>
                <w:szCs w:val="21"/>
              </w:rPr>
            </w:pPr>
            <w:r>
              <w:rPr>
                <w:spacing w:val="-1"/>
                <w:szCs w:val="21"/>
              </w:rPr>
              <w:t>（3）储存室地面硬化，进行防渗处理，避免泄漏时渗入地下；</w:t>
            </w:r>
          </w:p>
          <w:p w14:paraId="31070C4B">
            <w:pPr>
              <w:ind w:firstLine="476"/>
              <w:rPr>
                <w:spacing w:val="-1"/>
                <w:szCs w:val="21"/>
              </w:rPr>
            </w:pPr>
            <w:r>
              <w:rPr>
                <w:spacing w:val="-1"/>
                <w:szCs w:val="21"/>
              </w:rPr>
              <w:t>（4）发生泄漏时，及时采取补救措施，使用大量清水冲洗，将高浓度消毒水稀释，减少对外环境的不利影响。</w:t>
            </w:r>
          </w:p>
          <w:p w14:paraId="02F6DE39">
            <w:pPr>
              <w:keepNext/>
              <w:keepLines/>
              <w:outlineLvl w:val="2"/>
              <w:rPr>
                <w:b/>
                <w:szCs w:val="21"/>
              </w:rPr>
            </w:pPr>
            <w:r>
              <w:rPr>
                <w:b/>
                <w:szCs w:val="21"/>
              </w:rPr>
              <w:t>3、沼气风险防范措施</w:t>
            </w:r>
          </w:p>
          <w:p w14:paraId="0A217B43">
            <w:pPr>
              <w:ind w:firstLine="476"/>
              <w:rPr>
                <w:bCs/>
                <w:spacing w:val="-1"/>
                <w:szCs w:val="21"/>
              </w:rPr>
            </w:pPr>
            <w:r>
              <w:rPr>
                <w:bCs/>
                <w:spacing w:val="-1"/>
                <w:szCs w:val="21"/>
              </w:rPr>
              <w:t>（1）确保输送导管上的阀门灵活、严密、不漏气。</w:t>
            </w:r>
          </w:p>
          <w:p w14:paraId="40AA8AE5">
            <w:pPr>
              <w:ind w:firstLine="476"/>
              <w:rPr>
                <w:bCs/>
                <w:spacing w:val="-1"/>
                <w:szCs w:val="21"/>
              </w:rPr>
            </w:pPr>
            <w:r>
              <w:rPr>
                <w:bCs/>
                <w:spacing w:val="-1"/>
                <w:szCs w:val="21"/>
              </w:rPr>
              <w:t>（2）导气管上应装压力表。压力过高应排出气体；压力不足时应停止使用，冲洗进料充气，以防止回火。</w:t>
            </w:r>
          </w:p>
          <w:p w14:paraId="5D98AD76">
            <w:pPr>
              <w:ind w:firstLine="476"/>
              <w:rPr>
                <w:bCs/>
                <w:spacing w:val="-1"/>
                <w:szCs w:val="21"/>
              </w:rPr>
            </w:pPr>
            <w:r>
              <w:rPr>
                <w:bCs/>
                <w:spacing w:val="-1"/>
                <w:szCs w:val="21"/>
              </w:rPr>
              <w:t>（3）使用、燃烧放空沼气必须与可燃物保持一定的安全距离，以保证安全。</w:t>
            </w:r>
          </w:p>
          <w:p w14:paraId="65722AA1">
            <w:pPr>
              <w:ind w:firstLine="476"/>
              <w:rPr>
                <w:bCs/>
                <w:spacing w:val="-1"/>
                <w:szCs w:val="21"/>
              </w:rPr>
            </w:pPr>
            <w:r>
              <w:rPr>
                <w:bCs/>
                <w:spacing w:val="-1"/>
                <w:szCs w:val="21"/>
              </w:rPr>
              <w:t>（4）安装甲烷泄漏检测仪，使用沼气时发现漏气，应立即打开门窗，熄灭室内各类火源，以防止沼气爆炸。</w:t>
            </w:r>
          </w:p>
          <w:p w14:paraId="4A38D9B3">
            <w:pPr>
              <w:ind w:firstLine="476"/>
              <w:rPr>
                <w:bCs/>
                <w:spacing w:val="-1"/>
                <w:szCs w:val="21"/>
              </w:rPr>
            </w:pPr>
            <w:r>
              <w:rPr>
                <w:bCs/>
                <w:spacing w:val="-1"/>
                <w:szCs w:val="21"/>
              </w:rPr>
              <w:t>（5）沼气池下池检修或清除沉渣时，必须提高警惕，事先采取安全措施，防止窒息和中毒事故发生。</w:t>
            </w:r>
          </w:p>
          <w:p w14:paraId="2DF2058B">
            <w:pPr>
              <w:ind w:firstLine="476"/>
              <w:rPr>
                <w:bCs/>
                <w:spacing w:val="-1"/>
                <w:szCs w:val="21"/>
              </w:rPr>
            </w:pPr>
            <w:r>
              <w:rPr>
                <w:bCs/>
                <w:spacing w:val="-1"/>
                <w:szCs w:val="21"/>
              </w:rPr>
              <w:t>（6）沼气池的设计应严格执行《规模化畜禽养殖场沼气工程设计规范》，产生的沼气经净化系统后方可进入后续利用阶段，净化系统处理后的沼气质量指标，应符合下列要求：甲烷含量55%以上，硫化氢含量小于20mg/m</w:t>
            </w:r>
            <w:r>
              <w:rPr>
                <w:bCs/>
                <w:spacing w:val="-1"/>
                <w:szCs w:val="21"/>
                <w:vertAlign w:val="superscript"/>
              </w:rPr>
              <w:t>3</w:t>
            </w:r>
            <w:r>
              <w:rPr>
                <w:bCs/>
                <w:spacing w:val="-1"/>
                <w:szCs w:val="21"/>
              </w:rPr>
              <w:t>。</w:t>
            </w:r>
          </w:p>
          <w:p w14:paraId="66DE839B">
            <w:pPr>
              <w:ind w:firstLine="476"/>
              <w:rPr>
                <w:bCs/>
                <w:spacing w:val="-1"/>
                <w:szCs w:val="21"/>
              </w:rPr>
            </w:pPr>
            <w:r>
              <w:rPr>
                <w:bCs/>
                <w:spacing w:val="-1"/>
                <w:szCs w:val="21"/>
              </w:rPr>
              <w:t>（7）设备布置严格执行国这有关防火防爆的规范，设备之间保证有足够的安全距离，并按要求设置消防通道。</w:t>
            </w:r>
          </w:p>
          <w:p w14:paraId="0358BC21">
            <w:pPr>
              <w:ind w:firstLine="476"/>
              <w:rPr>
                <w:bCs/>
                <w:spacing w:val="-1"/>
                <w:szCs w:val="21"/>
              </w:rPr>
            </w:pPr>
            <w:r>
              <w:rPr>
                <w:bCs/>
                <w:spacing w:val="-1"/>
                <w:szCs w:val="21"/>
              </w:rPr>
              <w:t>（8）检测人员、厂区工作人员、管理人员、巡查人员及处置场所职工一旦发现安全隐患，都有责任及时报告，使事故隐患得到及时消除和有效监控。</w:t>
            </w:r>
          </w:p>
          <w:p w14:paraId="1EBBF8C0">
            <w:pPr>
              <w:ind w:firstLine="476"/>
              <w:rPr>
                <w:bCs/>
                <w:spacing w:val="-1"/>
                <w:szCs w:val="21"/>
              </w:rPr>
            </w:pPr>
            <w:r>
              <w:rPr>
                <w:bCs/>
                <w:spacing w:val="-1"/>
                <w:szCs w:val="21"/>
              </w:rPr>
              <w:t>（9）加强厂区沼气引发火灾与爆炸事故的危害性和有关的排险救灾知识的宣传，大力报道先进人物和事迹，充分发动员工积极参与预防监控工作。</w:t>
            </w:r>
          </w:p>
          <w:p w14:paraId="799E4B20">
            <w:pPr>
              <w:ind w:firstLine="476"/>
              <w:rPr>
                <w:bCs/>
                <w:spacing w:val="-1"/>
                <w:szCs w:val="21"/>
              </w:rPr>
            </w:pPr>
            <w:r>
              <w:rPr>
                <w:bCs/>
                <w:spacing w:val="-1"/>
                <w:szCs w:val="21"/>
              </w:rPr>
              <w:t>（10）在沼气池附近应设置事故柜和急救器材、救生器、防毒面具、急救用品用具等。</w:t>
            </w:r>
          </w:p>
          <w:p w14:paraId="33B601E9">
            <w:pPr>
              <w:ind w:firstLine="476"/>
              <w:rPr>
                <w:bCs/>
                <w:spacing w:val="-1"/>
                <w:szCs w:val="21"/>
              </w:rPr>
            </w:pPr>
            <w:r>
              <w:rPr>
                <w:bCs/>
                <w:spacing w:val="-1"/>
                <w:szCs w:val="21"/>
              </w:rPr>
              <w:t>（11）</w:t>
            </w:r>
            <w:r>
              <w:rPr>
                <w:spacing w:val="-1"/>
                <w:szCs w:val="21"/>
              </w:rPr>
              <w:t>沼气燃烧火炬远离猪舍、办公区等建筑，严格执行国家有关防火防爆的规范、规定。</w:t>
            </w:r>
          </w:p>
          <w:p w14:paraId="1A794810">
            <w:pPr>
              <w:jc w:val="left"/>
              <w:rPr>
                <w:szCs w:val="21"/>
              </w:rPr>
            </w:pPr>
            <w:r>
              <w:rPr>
                <w:bCs/>
                <w:spacing w:val="-1"/>
                <w:szCs w:val="21"/>
              </w:rPr>
              <w:t>（12）在沼气池的进口管线上设置消焰器（阻火器），此外，在所有沼气与外界连通部位都安装消焰器。消焰器内填充了金属填料，当火焰通过消焰器填料间缝隙时，热量被吸收，气体温度降到燃点以下，达到消焰的目地。</w:t>
            </w:r>
          </w:p>
        </w:tc>
      </w:tr>
      <w:tr w14:paraId="06E0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jc w:val="center"/>
        </w:trPr>
        <w:tc>
          <w:tcPr>
            <w:tcW w:w="368" w:type="pct"/>
            <w:vMerge w:val="continue"/>
            <w:noWrap w:val="0"/>
            <w:vAlign w:val="center"/>
          </w:tcPr>
          <w:p w14:paraId="10D4D14D">
            <w:pPr>
              <w:jc w:val="center"/>
              <w:rPr>
                <w:szCs w:val="21"/>
              </w:rPr>
            </w:pPr>
          </w:p>
        </w:tc>
        <w:tc>
          <w:tcPr>
            <w:tcW w:w="402" w:type="pct"/>
            <w:noWrap w:val="0"/>
            <w:vAlign w:val="center"/>
          </w:tcPr>
          <w:p w14:paraId="178A60E4">
            <w:pPr>
              <w:ind w:left="-105" w:leftChars="-50" w:right="-105" w:rightChars="-50"/>
              <w:jc w:val="center"/>
              <w:rPr>
                <w:szCs w:val="21"/>
              </w:rPr>
            </w:pPr>
            <w:r>
              <w:rPr>
                <w:szCs w:val="21"/>
              </w:rPr>
              <w:t>其他</w:t>
            </w:r>
          </w:p>
        </w:tc>
        <w:tc>
          <w:tcPr>
            <w:tcW w:w="4229" w:type="pct"/>
            <w:noWrap w:val="0"/>
            <w:vAlign w:val="center"/>
          </w:tcPr>
          <w:p w14:paraId="3662867B">
            <w:pPr>
              <w:jc w:val="left"/>
              <w:rPr>
                <w:szCs w:val="21"/>
              </w:rPr>
            </w:pPr>
            <w:r>
              <w:rPr>
                <w:szCs w:val="21"/>
              </w:rPr>
              <w:t>各养殖区设置100m卫生防护距离</w:t>
            </w:r>
          </w:p>
        </w:tc>
      </w:tr>
    </w:tbl>
    <w:p w14:paraId="692082C8">
      <w:pPr>
        <w:spacing w:line="360" w:lineRule="auto"/>
        <w:ind w:firstLine="480" w:firstLineChars="200"/>
        <w:rPr>
          <w:sz w:val="24"/>
        </w:rPr>
      </w:pPr>
    </w:p>
    <w:p w14:paraId="458F670E">
      <w:pPr>
        <w:spacing w:line="360" w:lineRule="auto"/>
        <w:rPr>
          <w:sz w:val="24"/>
        </w:rPr>
        <w:sectPr>
          <w:pgSz w:w="16838" w:h="11906" w:orient="landscape"/>
          <w:pgMar w:top="1797" w:right="1361" w:bottom="1797" w:left="1440" w:header="851" w:footer="1134" w:gutter="0"/>
          <w:cols w:space="720" w:num="1"/>
          <w:docGrid w:linePitch="312" w:charSpace="0"/>
        </w:sectPr>
      </w:pPr>
    </w:p>
    <w:p w14:paraId="76E8CC04">
      <w:pPr>
        <w:pStyle w:val="5"/>
        <w:tabs>
          <w:tab w:val="left" w:pos="2895"/>
        </w:tabs>
        <w:spacing w:before="0" w:after="0" w:line="360" w:lineRule="auto"/>
        <w:rPr>
          <w:sz w:val="32"/>
          <w:szCs w:val="32"/>
        </w:rPr>
      </w:pPr>
      <w:bookmarkStart w:id="214" w:name="_Toc213594110"/>
      <w:bookmarkStart w:id="215" w:name="_Toc272251295"/>
      <w:bookmarkStart w:id="216" w:name="_Toc238908676"/>
      <w:bookmarkStart w:id="217" w:name="_Toc673"/>
      <w:bookmarkStart w:id="218" w:name="_Toc272251588"/>
      <w:r>
        <w:rPr>
          <w:sz w:val="32"/>
          <w:szCs w:val="32"/>
        </w:rPr>
        <w:t>8环境影响经济损益分析</w:t>
      </w:r>
      <w:bookmarkEnd w:id="214"/>
      <w:bookmarkEnd w:id="215"/>
      <w:bookmarkEnd w:id="216"/>
      <w:bookmarkEnd w:id="217"/>
      <w:bookmarkEnd w:id="218"/>
    </w:p>
    <w:p w14:paraId="0797BCA5">
      <w:pPr>
        <w:autoSpaceDE w:val="0"/>
        <w:autoSpaceDN w:val="0"/>
        <w:adjustRightInd w:val="0"/>
        <w:spacing w:line="360" w:lineRule="auto"/>
        <w:ind w:firstLine="480" w:firstLineChars="200"/>
        <w:jc w:val="left"/>
        <w:rPr>
          <w:sz w:val="24"/>
        </w:rPr>
      </w:pPr>
      <w:r>
        <w:rPr>
          <w:sz w:val="24"/>
        </w:rPr>
        <w:t>环境经济损益分析的主要任务是衡量项目所需投入的环保投资和所能收到的环境保护效果，因此在环境经济损益分析中除需计算用于控制污染的投资外，还要同时核算可能收到的环境与经济实效。但是同经济效益相比，环境效益不够直观难以用货币表征，因此本评价讲采用半定量与定性相结合的方法进行简要分析。</w:t>
      </w:r>
    </w:p>
    <w:p w14:paraId="36A4E9E5">
      <w:pPr>
        <w:pStyle w:val="6"/>
        <w:spacing w:before="0" w:after="0" w:line="360" w:lineRule="auto"/>
        <w:rPr>
          <w:rFonts w:ascii="Times New Roman" w:hAnsi="Times New Roman" w:eastAsia="宋体"/>
          <w:sz w:val="30"/>
          <w:szCs w:val="30"/>
        </w:rPr>
      </w:pPr>
      <w:bookmarkStart w:id="219" w:name="_Toc272251589"/>
      <w:bookmarkStart w:id="220" w:name="_Toc272251296"/>
      <w:bookmarkStart w:id="221" w:name="_Toc213594111"/>
      <w:bookmarkStart w:id="222" w:name="_Toc17196"/>
      <w:bookmarkStart w:id="223" w:name="_Toc238908677"/>
      <w:r>
        <w:rPr>
          <w:rFonts w:ascii="Times New Roman" w:hAnsi="Times New Roman" w:eastAsia="宋体"/>
          <w:sz w:val="30"/>
          <w:szCs w:val="30"/>
        </w:rPr>
        <w:t>8.1 环保投资估算</w:t>
      </w:r>
      <w:bookmarkEnd w:id="219"/>
      <w:bookmarkEnd w:id="220"/>
      <w:bookmarkEnd w:id="221"/>
      <w:bookmarkEnd w:id="222"/>
      <w:bookmarkEnd w:id="223"/>
    </w:p>
    <w:p w14:paraId="2993AEA9">
      <w:pPr>
        <w:autoSpaceDE w:val="0"/>
        <w:autoSpaceDN w:val="0"/>
        <w:adjustRightInd w:val="0"/>
        <w:spacing w:line="360" w:lineRule="auto"/>
        <w:ind w:firstLine="480" w:firstLineChars="200"/>
        <w:jc w:val="left"/>
        <w:rPr>
          <w:kern w:val="0"/>
          <w:sz w:val="24"/>
        </w:rPr>
      </w:pPr>
      <w:r>
        <w:rPr>
          <w:bCs/>
          <w:sz w:val="24"/>
        </w:rPr>
        <w:t>项目总投资4800万</w:t>
      </w:r>
      <w:r>
        <w:rPr>
          <w:sz w:val="24"/>
        </w:rPr>
        <w:t>元</w:t>
      </w:r>
      <w:r>
        <w:rPr>
          <w:bCs/>
          <w:sz w:val="24"/>
        </w:rPr>
        <w:t>，其中环保投资639.5万元，占总投资的13.32%，</w:t>
      </w:r>
      <w:r>
        <w:rPr>
          <w:sz w:val="24"/>
        </w:rPr>
        <w:t>项目环保设施投资主要用于建设废水处理设施、恶臭防治、降噪设施、固体废物收集、处置等。</w:t>
      </w:r>
      <w:r>
        <w:rPr>
          <w:bCs/>
          <w:sz w:val="24"/>
        </w:rPr>
        <w:t>环保投资的投入对项目建设和运营期对环境造成的影响起到消除或削减作用。环保投资由施工期环保投资、运营期环保投资和其他环保投资三部分组成，主要用于减少大气、噪声、废水及固废污染等对环境的影响。本项目环保投资一览表见</w:t>
      </w:r>
      <w:r>
        <w:rPr>
          <w:sz w:val="24"/>
        </w:rPr>
        <w:t>8.1-1</w:t>
      </w:r>
      <w:r>
        <w:rPr>
          <w:kern w:val="0"/>
          <w:sz w:val="24"/>
        </w:rPr>
        <w:t>。</w:t>
      </w:r>
    </w:p>
    <w:p w14:paraId="7E58885E">
      <w:pPr>
        <w:autoSpaceDE w:val="0"/>
        <w:autoSpaceDN w:val="0"/>
        <w:adjustRightInd w:val="0"/>
        <w:spacing w:line="360" w:lineRule="auto"/>
        <w:ind w:firstLine="480" w:firstLineChars="200"/>
        <w:jc w:val="left"/>
        <w:rPr>
          <w:kern w:val="0"/>
          <w:sz w:val="24"/>
        </w:rPr>
      </w:pPr>
    </w:p>
    <w:p w14:paraId="01EDF5B6">
      <w:pPr>
        <w:autoSpaceDE w:val="0"/>
        <w:autoSpaceDN w:val="0"/>
        <w:adjustRightInd w:val="0"/>
        <w:spacing w:line="360" w:lineRule="auto"/>
        <w:ind w:firstLine="480" w:firstLineChars="200"/>
        <w:jc w:val="left"/>
        <w:rPr>
          <w:kern w:val="0"/>
          <w:sz w:val="24"/>
        </w:rPr>
      </w:pPr>
    </w:p>
    <w:p w14:paraId="5AD2C8FB">
      <w:pPr>
        <w:autoSpaceDE w:val="0"/>
        <w:autoSpaceDN w:val="0"/>
        <w:adjustRightInd w:val="0"/>
        <w:spacing w:line="360" w:lineRule="auto"/>
        <w:ind w:firstLine="480" w:firstLineChars="200"/>
        <w:jc w:val="left"/>
        <w:rPr>
          <w:kern w:val="0"/>
          <w:sz w:val="24"/>
        </w:rPr>
      </w:pPr>
    </w:p>
    <w:p w14:paraId="2981E125">
      <w:pPr>
        <w:autoSpaceDE w:val="0"/>
        <w:autoSpaceDN w:val="0"/>
        <w:adjustRightInd w:val="0"/>
        <w:spacing w:line="360" w:lineRule="auto"/>
        <w:ind w:firstLine="480" w:firstLineChars="200"/>
        <w:jc w:val="left"/>
        <w:rPr>
          <w:kern w:val="0"/>
          <w:sz w:val="24"/>
        </w:rPr>
        <w:sectPr>
          <w:pgSz w:w="11906" w:h="16838"/>
          <w:pgMar w:top="1440" w:right="1797" w:bottom="1361" w:left="1797" w:header="851" w:footer="1134" w:gutter="0"/>
          <w:cols w:space="720" w:num="1"/>
          <w:docGrid w:linePitch="312" w:charSpace="0"/>
        </w:sectPr>
      </w:pPr>
    </w:p>
    <w:p w14:paraId="6049CB7C">
      <w:pPr>
        <w:shd w:val="clear" w:color="auto" w:fill="FFFFFF"/>
        <w:ind w:firstLine="422"/>
        <w:jc w:val="center"/>
        <w:rPr>
          <w:b/>
          <w:sz w:val="24"/>
        </w:rPr>
      </w:pPr>
      <w:r>
        <w:rPr>
          <w:b/>
          <w:sz w:val="24"/>
        </w:rPr>
        <w:t>表8.1-1  环保投资估算表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149"/>
        <w:gridCol w:w="6390"/>
        <w:gridCol w:w="2980"/>
        <w:gridCol w:w="1132"/>
        <w:gridCol w:w="1813"/>
      </w:tblGrid>
      <w:tr w14:paraId="4029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21" w:type="pct"/>
            <w:gridSpan w:val="3"/>
            <w:noWrap w:val="0"/>
            <w:vAlign w:val="center"/>
          </w:tcPr>
          <w:p w14:paraId="09BB7C9F">
            <w:pPr>
              <w:adjustRightInd w:val="0"/>
              <w:snapToGrid w:val="0"/>
              <w:jc w:val="center"/>
              <w:rPr>
                <w:b/>
                <w:bCs/>
                <w:szCs w:val="21"/>
              </w:rPr>
            </w:pPr>
            <w:r>
              <w:rPr>
                <w:b/>
                <w:bCs/>
                <w:szCs w:val="21"/>
              </w:rPr>
              <w:t>环保设施</w:t>
            </w:r>
          </w:p>
        </w:tc>
        <w:tc>
          <w:tcPr>
            <w:tcW w:w="1045" w:type="pct"/>
            <w:noWrap w:val="0"/>
            <w:vAlign w:val="center"/>
          </w:tcPr>
          <w:p w14:paraId="678784C9">
            <w:pPr>
              <w:adjustRightInd w:val="0"/>
              <w:snapToGrid w:val="0"/>
              <w:jc w:val="center"/>
              <w:rPr>
                <w:b/>
                <w:bCs/>
                <w:szCs w:val="21"/>
              </w:rPr>
            </w:pPr>
            <w:r>
              <w:rPr>
                <w:b/>
                <w:bCs/>
                <w:szCs w:val="21"/>
              </w:rPr>
              <w:t>位置</w:t>
            </w:r>
          </w:p>
        </w:tc>
        <w:tc>
          <w:tcPr>
            <w:tcW w:w="397" w:type="pct"/>
            <w:noWrap w:val="0"/>
            <w:vAlign w:val="center"/>
          </w:tcPr>
          <w:p w14:paraId="4046F827">
            <w:pPr>
              <w:adjustRightInd w:val="0"/>
              <w:snapToGrid w:val="0"/>
              <w:jc w:val="center"/>
              <w:rPr>
                <w:b/>
                <w:bCs/>
                <w:szCs w:val="21"/>
              </w:rPr>
            </w:pPr>
            <w:r>
              <w:rPr>
                <w:b/>
                <w:bCs/>
                <w:szCs w:val="21"/>
              </w:rPr>
              <w:t>数量</w:t>
            </w:r>
          </w:p>
        </w:tc>
        <w:tc>
          <w:tcPr>
            <w:tcW w:w="636" w:type="pct"/>
            <w:noWrap w:val="0"/>
            <w:vAlign w:val="center"/>
          </w:tcPr>
          <w:p w14:paraId="2DB70598">
            <w:pPr>
              <w:adjustRightInd w:val="0"/>
              <w:snapToGrid w:val="0"/>
              <w:jc w:val="center"/>
              <w:rPr>
                <w:b/>
                <w:bCs/>
                <w:szCs w:val="21"/>
              </w:rPr>
            </w:pPr>
            <w:r>
              <w:rPr>
                <w:b/>
                <w:bCs/>
                <w:szCs w:val="21"/>
              </w:rPr>
              <w:t>环保投资（万元）</w:t>
            </w:r>
          </w:p>
        </w:tc>
      </w:tr>
      <w:tr w14:paraId="3F22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277" w:type="pct"/>
            <w:vMerge w:val="restart"/>
            <w:noWrap w:val="0"/>
            <w:vAlign w:val="center"/>
          </w:tcPr>
          <w:p w14:paraId="383FE6B7">
            <w:pPr>
              <w:adjustRightInd w:val="0"/>
              <w:snapToGrid w:val="0"/>
              <w:jc w:val="center"/>
              <w:rPr>
                <w:b/>
                <w:bCs/>
                <w:szCs w:val="21"/>
              </w:rPr>
            </w:pPr>
            <w:bookmarkStart w:id="224" w:name="_Hlk426720069"/>
            <w:bookmarkStart w:id="225" w:name="OLE_LINK21" w:colFirst="4" w:colLast="4"/>
            <w:bookmarkStart w:id="226" w:name="OLE_LINK44" w:colFirst="4" w:colLast="5"/>
            <w:bookmarkStart w:id="227" w:name="OLE_LINK45" w:colFirst="4" w:colLast="5"/>
            <w:bookmarkStart w:id="228" w:name="OLE_LINK53" w:colFirst="4" w:colLast="4"/>
            <w:bookmarkStart w:id="229" w:name="_Hlk425386525"/>
            <w:r>
              <w:rPr>
                <w:b/>
                <w:bCs/>
                <w:szCs w:val="21"/>
              </w:rPr>
              <w:t>施工期</w:t>
            </w:r>
          </w:p>
        </w:tc>
        <w:tc>
          <w:tcPr>
            <w:tcW w:w="2643" w:type="pct"/>
            <w:gridSpan w:val="2"/>
            <w:noWrap w:val="0"/>
            <w:vAlign w:val="center"/>
          </w:tcPr>
          <w:p w14:paraId="31168FC2">
            <w:pPr>
              <w:jc w:val="center"/>
              <w:rPr>
                <w:szCs w:val="21"/>
              </w:rPr>
            </w:pPr>
            <w:r>
              <w:rPr>
                <w:szCs w:val="21"/>
              </w:rPr>
              <w:t>不低于2.5m临时施工围挡、遮盖物料的塑料布</w:t>
            </w:r>
          </w:p>
        </w:tc>
        <w:tc>
          <w:tcPr>
            <w:tcW w:w="1045" w:type="pct"/>
            <w:noWrap w:val="0"/>
            <w:vAlign w:val="center"/>
          </w:tcPr>
          <w:p w14:paraId="0F8F259D">
            <w:pPr>
              <w:adjustRightInd w:val="0"/>
              <w:snapToGrid w:val="0"/>
              <w:jc w:val="center"/>
              <w:rPr>
                <w:bCs/>
                <w:szCs w:val="21"/>
              </w:rPr>
            </w:pPr>
            <w:r>
              <w:rPr>
                <w:bCs/>
                <w:szCs w:val="21"/>
              </w:rPr>
              <w:t>施工边界</w:t>
            </w:r>
          </w:p>
        </w:tc>
        <w:tc>
          <w:tcPr>
            <w:tcW w:w="397" w:type="pct"/>
            <w:noWrap w:val="0"/>
            <w:vAlign w:val="center"/>
          </w:tcPr>
          <w:p w14:paraId="5D245043">
            <w:pPr>
              <w:jc w:val="center"/>
              <w:rPr>
                <w:szCs w:val="21"/>
              </w:rPr>
            </w:pPr>
            <w:r>
              <w:rPr>
                <w:szCs w:val="21"/>
              </w:rPr>
              <w:t>/</w:t>
            </w:r>
          </w:p>
        </w:tc>
        <w:tc>
          <w:tcPr>
            <w:tcW w:w="636" w:type="pct"/>
            <w:noWrap w:val="0"/>
            <w:vAlign w:val="center"/>
          </w:tcPr>
          <w:p w14:paraId="7A2EBEE6">
            <w:pPr>
              <w:jc w:val="center"/>
              <w:rPr>
                <w:szCs w:val="21"/>
              </w:rPr>
            </w:pPr>
            <w:r>
              <w:rPr>
                <w:szCs w:val="21"/>
              </w:rPr>
              <w:t>4</w:t>
            </w:r>
          </w:p>
        </w:tc>
      </w:tr>
      <w:tr w14:paraId="5D9D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7" w:type="pct"/>
            <w:vMerge w:val="continue"/>
            <w:noWrap w:val="0"/>
            <w:vAlign w:val="center"/>
          </w:tcPr>
          <w:p w14:paraId="7EF4A4EF">
            <w:pPr>
              <w:adjustRightInd w:val="0"/>
              <w:snapToGrid w:val="0"/>
              <w:jc w:val="center"/>
              <w:rPr>
                <w:b/>
                <w:bCs/>
                <w:szCs w:val="21"/>
              </w:rPr>
            </w:pPr>
          </w:p>
        </w:tc>
        <w:tc>
          <w:tcPr>
            <w:tcW w:w="2643" w:type="pct"/>
            <w:gridSpan w:val="2"/>
            <w:noWrap w:val="0"/>
            <w:vAlign w:val="center"/>
          </w:tcPr>
          <w:p w14:paraId="56C90601">
            <w:pPr>
              <w:jc w:val="center"/>
              <w:rPr>
                <w:szCs w:val="21"/>
              </w:rPr>
            </w:pPr>
            <w:r>
              <w:rPr>
                <w:szCs w:val="21"/>
              </w:rPr>
              <w:t>沉淀池</w:t>
            </w:r>
          </w:p>
        </w:tc>
        <w:tc>
          <w:tcPr>
            <w:tcW w:w="1045" w:type="pct"/>
            <w:noWrap w:val="0"/>
            <w:vAlign w:val="center"/>
          </w:tcPr>
          <w:p w14:paraId="1094AD9E">
            <w:pPr>
              <w:adjustRightInd w:val="0"/>
              <w:snapToGrid w:val="0"/>
              <w:jc w:val="center"/>
              <w:rPr>
                <w:bCs/>
                <w:szCs w:val="21"/>
              </w:rPr>
            </w:pPr>
            <w:r>
              <w:rPr>
                <w:bCs/>
                <w:szCs w:val="21"/>
              </w:rPr>
              <w:t>场地</w:t>
            </w:r>
          </w:p>
        </w:tc>
        <w:tc>
          <w:tcPr>
            <w:tcW w:w="397" w:type="pct"/>
            <w:noWrap w:val="0"/>
            <w:vAlign w:val="center"/>
          </w:tcPr>
          <w:p w14:paraId="007A593B">
            <w:pPr>
              <w:jc w:val="center"/>
              <w:rPr>
                <w:szCs w:val="21"/>
              </w:rPr>
            </w:pPr>
            <w:r>
              <w:rPr>
                <w:szCs w:val="21"/>
              </w:rPr>
              <w:t>5套</w:t>
            </w:r>
          </w:p>
        </w:tc>
        <w:tc>
          <w:tcPr>
            <w:tcW w:w="636" w:type="pct"/>
            <w:noWrap w:val="0"/>
            <w:vAlign w:val="center"/>
          </w:tcPr>
          <w:p w14:paraId="31FA1746">
            <w:pPr>
              <w:jc w:val="center"/>
              <w:rPr>
                <w:szCs w:val="21"/>
              </w:rPr>
            </w:pPr>
            <w:r>
              <w:rPr>
                <w:szCs w:val="21"/>
              </w:rPr>
              <w:t>3</w:t>
            </w:r>
          </w:p>
        </w:tc>
      </w:tr>
      <w:tr w14:paraId="1E3F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277" w:type="pct"/>
            <w:vMerge w:val="continue"/>
            <w:noWrap w:val="0"/>
            <w:vAlign w:val="center"/>
          </w:tcPr>
          <w:p w14:paraId="5E62EF6F">
            <w:pPr>
              <w:adjustRightInd w:val="0"/>
              <w:snapToGrid w:val="0"/>
              <w:jc w:val="center"/>
              <w:rPr>
                <w:b/>
                <w:bCs/>
                <w:szCs w:val="21"/>
              </w:rPr>
            </w:pPr>
          </w:p>
        </w:tc>
        <w:tc>
          <w:tcPr>
            <w:tcW w:w="2643" w:type="pct"/>
            <w:gridSpan w:val="2"/>
            <w:noWrap w:val="0"/>
            <w:vAlign w:val="center"/>
          </w:tcPr>
          <w:p w14:paraId="57E5A0BC">
            <w:pPr>
              <w:jc w:val="center"/>
              <w:rPr>
                <w:szCs w:val="21"/>
              </w:rPr>
            </w:pPr>
            <w:r>
              <w:rPr>
                <w:szCs w:val="21"/>
              </w:rPr>
              <w:t>洒水降尘、车辆清洗池</w:t>
            </w:r>
          </w:p>
        </w:tc>
        <w:tc>
          <w:tcPr>
            <w:tcW w:w="1045" w:type="pct"/>
            <w:noWrap w:val="0"/>
            <w:vAlign w:val="center"/>
          </w:tcPr>
          <w:p w14:paraId="681D4322">
            <w:pPr>
              <w:adjustRightInd w:val="0"/>
              <w:snapToGrid w:val="0"/>
              <w:jc w:val="center"/>
              <w:rPr>
                <w:bCs/>
                <w:szCs w:val="21"/>
              </w:rPr>
            </w:pPr>
            <w:r>
              <w:rPr>
                <w:bCs/>
                <w:szCs w:val="21"/>
              </w:rPr>
              <w:t>/</w:t>
            </w:r>
          </w:p>
        </w:tc>
        <w:tc>
          <w:tcPr>
            <w:tcW w:w="397" w:type="pct"/>
            <w:noWrap w:val="0"/>
            <w:vAlign w:val="center"/>
          </w:tcPr>
          <w:p w14:paraId="47B8CD1B">
            <w:pPr>
              <w:jc w:val="center"/>
              <w:rPr>
                <w:szCs w:val="21"/>
              </w:rPr>
            </w:pPr>
            <w:r>
              <w:rPr>
                <w:szCs w:val="21"/>
              </w:rPr>
              <w:t>5套</w:t>
            </w:r>
          </w:p>
        </w:tc>
        <w:tc>
          <w:tcPr>
            <w:tcW w:w="636" w:type="pct"/>
            <w:noWrap w:val="0"/>
            <w:vAlign w:val="center"/>
          </w:tcPr>
          <w:p w14:paraId="34919F2B">
            <w:pPr>
              <w:jc w:val="center"/>
              <w:rPr>
                <w:szCs w:val="21"/>
              </w:rPr>
            </w:pPr>
            <w:r>
              <w:rPr>
                <w:szCs w:val="21"/>
              </w:rPr>
              <w:t>3</w:t>
            </w:r>
          </w:p>
        </w:tc>
      </w:tr>
      <w:tr w14:paraId="2A46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7" w:type="pct"/>
            <w:vMerge w:val="continue"/>
            <w:noWrap w:val="0"/>
            <w:vAlign w:val="center"/>
          </w:tcPr>
          <w:p w14:paraId="1FF5826F">
            <w:pPr>
              <w:adjustRightInd w:val="0"/>
              <w:snapToGrid w:val="0"/>
              <w:jc w:val="center"/>
              <w:rPr>
                <w:b/>
                <w:bCs/>
                <w:szCs w:val="21"/>
              </w:rPr>
            </w:pPr>
          </w:p>
        </w:tc>
        <w:tc>
          <w:tcPr>
            <w:tcW w:w="2643" w:type="pct"/>
            <w:gridSpan w:val="2"/>
            <w:noWrap w:val="0"/>
            <w:vAlign w:val="center"/>
          </w:tcPr>
          <w:p w14:paraId="0DB5A93A">
            <w:pPr>
              <w:jc w:val="center"/>
              <w:rPr>
                <w:szCs w:val="21"/>
              </w:rPr>
            </w:pPr>
            <w:r>
              <w:rPr>
                <w:szCs w:val="21"/>
              </w:rPr>
              <w:t>场地生活垃圾桶</w:t>
            </w:r>
          </w:p>
        </w:tc>
        <w:tc>
          <w:tcPr>
            <w:tcW w:w="1045" w:type="pct"/>
            <w:noWrap w:val="0"/>
            <w:vAlign w:val="center"/>
          </w:tcPr>
          <w:p w14:paraId="01975906">
            <w:pPr>
              <w:adjustRightInd w:val="0"/>
              <w:snapToGrid w:val="0"/>
              <w:jc w:val="center"/>
              <w:rPr>
                <w:bCs/>
                <w:szCs w:val="21"/>
              </w:rPr>
            </w:pPr>
            <w:r>
              <w:rPr>
                <w:bCs/>
                <w:szCs w:val="21"/>
              </w:rPr>
              <w:t>场地</w:t>
            </w:r>
          </w:p>
        </w:tc>
        <w:tc>
          <w:tcPr>
            <w:tcW w:w="397" w:type="pct"/>
            <w:noWrap w:val="0"/>
            <w:vAlign w:val="center"/>
          </w:tcPr>
          <w:p w14:paraId="63A0EA0F">
            <w:pPr>
              <w:jc w:val="center"/>
              <w:rPr>
                <w:szCs w:val="21"/>
              </w:rPr>
            </w:pPr>
            <w:r>
              <w:rPr>
                <w:szCs w:val="21"/>
              </w:rPr>
              <w:t>5个</w:t>
            </w:r>
          </w:p>
        </w:tc>
        <w:tc>
          <w:tcPr>
            <w:tcW w:w="636" w:type="pct"/>
            <w:noWrap w:val="0"/>
            <w:vAlign w:val="center"/>
          </w:tcPr>
          <w:p w14:paraId="430801A4">
            <w:pPr>
              <w:jc w:val="center"/>
              <w:rPr>
                <w:szCs w:val="21"/>
              </w:rPr>
            </w:pPr>
            <w:r>
              <w:rPr>
                <w:szCs w:val="21"/>
              </w:rPr>
              <w:t>1</w:t>
            </w:r>
          </w:p>
        </w:tc>
      </w:tr>
      <w:tr w14:paraId="29A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7" w:type="pct"/>
            <w:vMerge w:val="continue"/>
            <w:noWrap w:val="0"/>
            <w:vAlign w:val="center"/>
          </w:tcPr>
          <w:p w14:paraId="5100046A">
            <w:pPr>
              <w:adjustRightInd w:val="0"/>
              <w:snapToGrid w:val="0"/>
              <w:jc w:val="center"/>
              <w:rPr>
                <w:b/>
                <w:bCs/>
                <w:szCs w:val="21"/>
              </w:rPr>
            </w:pPr>
          </w:p>
        </w:tc>
        <w:tc>
          <w:tcPr>
            <w:tcW w:w="2643" w:type="pct"/>
            <w:gridSpan w:val="2"/>
            <w:noWrap w:val="0"/>
            <w:vAlign w:val="center"/>
          </w:tcPr>
          <w:p w14:paraId="42F40CFC">
            <w:pPr>
              <w:jc w:val="center"/>
              <w:rPr>
                <w:szCs w:val="21"/>
              </w:rPr>
            </w:pPr>
            <w:r>
              <w:rPr>
                <w:szCs w:val="21"/>
              </w:rPr>
              <w:t>生活、建筑垃圾委托处置</w:t>
            </w:r>
          </w:p>
        </w:tc>
        <w:tc>
          <w:tcPr>
            <w:tcW w:w="1045" w:type="pct"/>
            <w:noWrap w:val="0"/>
            <w:vAlign w:val="center"/>
          </w:tcPr>
          <w:p w14:paraId="527BBD62">
            <w:pPr>
              <w:adjustRightInd w:val="0"/>
              <w:snapToGrid w:val="0"/>
              <w:jc w:val="center"/>
              <w:rPr>
                <w:bCs/>
                <w:szCs w:val="21"/>
              </w:rPr>
            </w:pPr>
            <w:r>
              <w:rPr>
                <w:bCs/>
                <w:szCs w:val="21"/>
              </w:rPr>
              <w:t>/</w:t>
            </w:r>
          </w:p>
        </w:tc>
        <w:tc>
          <w:tcPr>
            <w:tcW w:w="397" w:type="pct"/>
            <w:noWrap w:val="0"/>
            <w:vAlign w:val="center"/>
          </w:tcPr>
          <w:p w14:paraId="05EE20FB">
            <w:pPr>
              <w:jc w:val="center"/>
              <w:rPr>
                <w:szCs w:val="21"/>
              </w:rPr>
            </w:pPr>
            <w:r>
              <w:rPr>
                <w:szCs w:val="21"/>
              </w:rPr>
              <w:t>/</w:t>
            </w:r>
          </w:p>
        </w:tc>
        <w:tc>
          <w:tcPr>
            <w:tcW w:w="636" w:type="pct"/>
            <w:noWrap w:val="0"/>
            <w:vAlign w:val="center"/>
          </w:tcPr>
          <w:p w14:paraId="05DFDFD0">
            <w:pPr>
              <w:jc w:val="center"/>
              <w:rPr>
                <w:szCs w:val="21"/>
              </w:rPr>
            </w:pPr>
            <w:r>
              <w:rPr>
                <w:szCs w:val="21"/>
              </w:rPr>
              <w:t>2</w:t>
            </w:r>
          </w:p>
        </w:tc>
      </w:tr>
      <w:tr w14:paraId="1A0C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77" w:type="pct"/>
            <w:vMerge w:val="continue"/>
            <w:noWrap w:val="0"/>
            <w:vAlign w:val="center"/>
          </w:tcPr>
          <w:p w14:paraId="32DD8775">
            <w:pPr>
              <w:adjustRightInd w:val="0"/>
              <w:snapToGrid w:val="0"/>
              <w:jc w:val="center"/>
              <w:rPr>
                <w:b/>
                <w:bCs/>
                <w:szCs w:val="21"/>
              </w:rPr>
            </w:pPr>
          </w:p>
        </w:tc>
        <w:tc>
          <w:tcPr>
            <w:tcW w:w="2643" w:type="pct"/>
            <w:gridSpan w:val="2"/>
            <w:noWrap w:val="0"/>
            <w:vAlign w:val="center"/>
          </w:tcPr>
          <w:p w14:paraId="0A81C706">
            <w:pPr>
              <w:jc w:val="center"/>
              <w:rPr>
                <w:szCs w:val="21"/>
              </w:rPr>
            </w:pPr>
            <w:r>
              <w:rPr>
                <w:szCs w:val="21"/>
              </w:rPr>
              <w:t>隔声、减震、合理施工</w:t>
            </w:r>
          </w:p>
        </w:tc>
        <w:tc>
          <w:tcPr>
            <w:tcW w:w="1045" w:type="pct"/>
            <w:noWrap w:val="0"/>
            <w:vAlign w:val="center"/>
          </w:tcPr>
          <w:p w14:paraId="548F8082">
            <w:pPr>
              <w:adjustRightInd w:val="0"/>
              <w:snapToGrid w:val="0"/>
              <w:jc w:val="center"/>
              <w:rPr>
                <w:bCs/>
                <w:szCs w:val="21"/>
              </w:rPr>
            </w:pPr>
            <w:r>
              <w:rPr>
                <w:bCs/>
                <w:szCs w:val="21"/>
              </w:rPr>
              <w:t>场地</w:t>
            </w:r>
          </w:p>
        </w:tc>
        <w:tc>
          <w:tcPr>
            <w:tcW w:w="397" w:type="pct"/>
            <w:noWrap w:val="0"/>
            <w:vAlign w:val="center"/>
          </w:tcPr>
          <w:p w14:paraId="25218B6D">
            <w:pPr>
              <w:jc w:val="center"/>
              <w:rPr>
                <w:szCs w:val="21"/>
              </w:rPr>
            </w:pPr>
            <w:r>
              <w:rPr>
                <w:szCs w:val="21"/>
              </w:rPr>
              <w:t>/</w:t>
            </w:r>
          </w:p>
        </w:tc>
        <w:tc>
          <w:tcPr>
            <w:tcW w:w="636" w:type="pct"/>
            <w:noWrap w:val="0"/>
            <w:vAlign w:val="center"/>
          </w:tcPr>
          <w:p w14:paraId="4CB2243D">
            <w:pPr>
              <w:jc w:val="center"/>
              <w:rPr>
                <w:szCs w:val="21"/>
              </w:rPr>
            </w:pPr>
            <w:r>
              <w:rPr>
                <w:szCs w:val="21"/>
              </w:rPr>
              <w:t>2</w:t>
            </w:r>
          </w:p>
        </w:tc>
      </w:tr>
      <w:bookmarkEnd w:id="224"/>
      <w:bookmarkEnd w:id="225"/>
      <w:bookmarkEnd w:id="226"/>
      <w:bookmarkEnd w:id="227"/>
      <w:bookmarkEnd w:id="228"/>
      <w:bookmarkEnd w:id="229"/>
      <w:tr w14:paraId="17AE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7" w:type="pct"/>
            <w:vMerge w:val="restart"/>
            <w:noWrap w:val="0"/>
            <w:vAlign w:val="center"/>
          </w:tcPr>
          <w:p w14:paraId="00744EFE">
            <w:pPr>
              <w:adjustRightInd w:val="0"/>
              <w:snapToGrid w:val="0"/>
              <w:jc w:val="center"/>
              <w:rPr>
                <w:b/>
                <w:bCs/>
                <w:szCs w:val="21"/>
              </w:rPr>
            </w:pPr>
            <w:r>
              <w:rPr>
                <w:b/>
                <w:bCs/>
                <w:szCs w:val="21"/>
              </w:rPr>
              <w:t>运</w:t>
            </w:r>
          </w:p>
          <w:p w14:paraId="6BC9E100">
            <w:pPr>
              <w:adjustRightInd w:val="0"/>
              <w:snapToGrid w:val="0"/>
              <w:jc w:val="center"/>
              <w:rPr>
                <w:b/>
                <w:bCs/>
                <w:szCs w:val="21"/>
              </w:rPr>
            </w:pPr>
            <w:r>
              <w:rPr>
                <w:b/>
                <w:bCs/>
                <w:szCs w:val="21"/>
              </w:rPr>
              <w:t>营</w:t>
            </w:r>
          </w:p>
          <w:p w14:paraId="5E89293E">
            <w:pPr>
              <w:adjustRightInd w:val="0"/>
              <w:snapToGrid w:val="0"/>
              <w:jc w:val="center"/>
              <w:rPr>
                <w:bCs/>
                <w:szCs w:val="21"/>
              </w:rPr>
            </w:pPr>
            <w:r>
              <w:rPr>
                <w:b/>
                <w:bCs/>
                <w:szCs w:val="21"/>
              </w:rPr>
              <w:t>期</w:t>
            </w:r>
          </w:p>
        </w:tc>
        <w:tc>
          <w:tcPr>
            <w:tcW w:w="403" w:type="pct"/>
            <w:vMerge w:val="restart"/>
            <w:noWrap w:val="0"/>
            <w:vAlign w:val="center"/>
          </w:tcPr>
          <w:p w14:paraId="1811DF5A">
            <w:pPr>
              <w:adjustRightInd w:val="0"/>
              <w:snapToGrid w:val="0"/>
              <w:jc w:val="center"/>
              <w:rPr>
                <w:bCs/>
                <w:szCs w:val="21"/>
              </w:rPr>
            </w:pPr>
            <w:r>
              <w:rPr>
                <w:bCs/>
                <w:szCs w:val="21"/>
              </w:rPr>
              <w:t>废气治理措施</w:t>
            </w:r>
          </w:p>
        </w:tc>
        <w:tc>
          <w:tcPr>
            <w:tcW w:w="2240" w:type="pct"/>
            <w:noWrap w:val="0"/>
            <w:vAlign w:val="center"/>
          </w:tcPr>
          <w:p w14:paraId="6A5B3B6B">
            <w:pPr>
              <w:jc w:val="center"/>
              <w:rPr>
                <w:szCs w:val="21"/>
              </w:rPr>
            </w:pPr>
            <w:r>
              <w:rPr>
                <w:szCs w:val="21"/>
              </w:rPr>
              <w:t>合理设计的猪舍，设置通风系统；合理搭配饲料，及时清理猪粪，加强猪舍通风，向粪便、猪舍投放锯末等含纤维素、木质素较多的吸附剂材料喷洒除臭剂等措施；</w:t>
            </w:r>
          </w:p>
        </w:tc>
        <w:tc>
          <w:tcPr>
            <w:tcW w:w="1045" w:type="pct"/>
            <w:noWrap w:val="0"/>
            <w:vAlign w:val="center"/>
          </w:tcPr>
          <w:p w14:paraId="6D351266">
            <w:pPr>
              <w:ind w:left="-25" w:leftChars="-12" w:right="-34" w:rightChars="-16"/>
              <w:jc w:val="center"/>
              <w:rPr>
                <w:szCs w:val="21"/>
              </w:rPr>
            </w:pPr>
            <w:r>
              <w:rPr>
                <w:szCs w:val="21"/>
              </w:rPr>
              <w:t>猪舍</w:t>
            </w:r>
          </w:p>
        </w:tc>
        <w:tc>
          <w:tcPr>
            <w:tcW w:w="397" w:type="pct"/>
            <w:noWrap w:val="0"/>
            <w:vAlign w:val="center"/>
          </w:tcPr>
          <w:p w14:paraId="7ECAF03D">
            <w:pPr>
              <w:jc w:val="center"/>
              <w:rPr>
                <w:szCs w:val="21"/>
              </w:rPr>
            </w:pPr>
            <w:r>
              <w:rPr>
                <w:szCs w:val="21"/>
              </w:rPr>
              <w:t>16套</w:t>
            </w:r>
          </w:p>
        </w:tc>
        <w:tc>
          <w:tcPr>
            <w:tcW w:w="636" w:type="pct"/>
            <w:noWrap w:val="0"/>
            <w:vAlign w:val="center"/>
          </w:tcPr>
          <w:p w14:paraId="05DA89B2">
            <w:pPr>
              <w:jc w:val="center"/>
              <w:rPr>
                <w:szCs w:val="21"/>
              </w:rPr>
            </w:pPr>
            <w:r>
              <w:rPr>
                <w:szCs w:val="21"/>
              </w:rPr>
              <w:t>32.0</w:t>
            </w:r>
          </w:p>
        </w:tc>
      </w:tr>
      <w:tr w14:paraId="3963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7" w:type="pct"/>
            <w:vMerge w:val="continue"/>
            <w:noWrap w:val="0"/>
            <w:vAlign w:val="center"/>
          </w:tcPr>
          <w:p w14:paraId="3B96472C">
            <w:pPr>
              <w:adjustRightInd w:val="0"/>
              <w:snapToGrid w:val="0"/>
              <w:jc w:val="center"/>
              <w:rPr>
                <w:b/>
                <w:bCs/>
                <w:szCs w:val="21"/>
              </w:rPr>
            </w:pPr>
          </w:p>
        </w:tc>
        <w:tc>
          <w:tcPr>
            <w:tcW w:w="403" w:type="pct"/>
            <w:vMerge w:val="continue"/>
            <w:noWrap w:val="0"/>
            <w:vAlign w:val="center"/>
          </w:tcPr>
          <w:p w14:paraId="398F1E9D">
            <w:pPr>
              <w:adjustRightInd w:val="0"/>
              <w:snapToGrid w:val="0"/>
              <w:jc w:val="center"/>
              <w:rPr>
                <w:bCs/>
                <w:szCs w:val="21"/>
              </w:rPr>
            </w:pPr>
          </w:p>
        </w:tc>
        <w:tc>
          <w:tcPr>
            <w:tcW w:w="2240" w:type="pct"/>
            <w:noWrap w:val="0"/>
            <w:vAlign w:val="center"/>
          </w:tcPr>
          <w:p w14:paraId="28ACFCA5">
            <w:pPr>
              <w:jc w:val="center"/>
              <w:rPr>
                <w:szCs w:val="21"/>
              </w:rPr>
            </w:pPr>
            <w:r>
              <w:rPr>
                <w:bCs/>
                <w:szCs w:val="21"/>
              </w:rPr>
              <w:t>收集池、调节池、污水处理设施及沼液储存池进行加盖封闭</w:t>
            </w:r>
          </w:p>
        </w:tc>
        <w:tc>
          <w:tcPr>
            <w:tcW w:w="1045" w:type="pct"/>
            <w:noWrap w:val="0"/>
            <w:vAlign w:val="center"/>
          </w:tcPr>
          <w:p w14:paraId="6656A141">
            <w:pPr>
              <w:ind w:left="-25" w:leftChars="-12" w:right="-34" w:rightChars="-16"/>
              <w:jc w:val="center"/>
              <w:rPr>
                <w:szCs w:val="21"/>
              </w:rPr>
            </w:pPr>
            <w:r>
              <w:rPr>
                <w:szCs w:val="21"/>
              </w:rPr>
              <w:t>污水处理系统</w:t>
            </w:r>
          </w:p>
        </w:tc>
        <w:tc>
          <w:tcPr>
            <w:tcW w:w="397" w:type="pct"/>
            <w:noWrap w:val="0"/>
            <w:vAlign w:val="center"/>
          </w:tcPr>
          <w:p w14:paraId="6305E6B3">
            <w:pPr>
              <w:jc w:val="center"/>
              <w:rPr>
                <w:szCs w:val="21"/>
              </w:rPr>
            </w:pPr>
            <w:r>
              <w:rPr>
                <w:szCs w:val="21"/>
              </w:rPr>
              <w:t>5套</w:t>
            </w:r>
          </w:p>
        </w:tc>
        <w:tc>
          <w:tcPr>
            <w:tcW w:w="636" w:type="pct"/>
            <w:noWrap w:val="0"/>
            <w:vAlign w:val="center"/>
          </w:tcPr>
          <w:p w14:paraId="752B35ED">
            <w:pPr>
              <w:jc w:val="center"/>
              <w:rPr>
                <w:szCs w:val="21"/>
              </w:rPr>
            </w:pPr>
            <w:r>
              <w:rPr>
                <w:szCs w:val="21"/>
              </w:rPr>
              <w:t>5.0</w:t>
            </w:r>
          </w:p>
        </w:tc>
      </w:tr>
      <w:tr w14:paraId="0C33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7" w:type="pct"/>
            <w:vMerge w:val="continue"/>
            <w:noWrap w:val="0"/>
            <w:vAlign w:val="center"/>
          </w:tcPr>
          <w:p w14:paraId="0BDBB69E">
            <w:pPr>
              <w:adjustRightInd w:val="0"/>
              <w:snapToGrid w:val="0"/>
              <w:jc w:val="center"/>
              <w:rPr>
                <w:b/>
                <w:bCs/>
                <w:szCs w:val="21"/>
              </w:rPr>
            </w:pPr>
          </w:p>
        </w:tc>
        <w:tc>
          <w:tcPr>
            <w:tcW w:w="403" w:type="pct"/>
            <w:vMerge w:val="continue"/>
            <w:noWrap w:val="0"/>
            <w:vAlign w:val="center"/>
          </w:tcPr>
          <w:p w14:paraId="71D02B56">
            <w:pPr>
              <w:adjustRightInd w:val="0"/>
              <w:snapToGrid w:val="0"/>
              <w:jc w:val="center"/>
              <w:rPr>
                <w:bCs/>
                <w:szCs w:val="21"/>
              </w:rPr>
            </w:pPr>
          </w:p>
        </w:tc>
        <w:tc>
          <w:tcPr>
            <w:tcW w:w="2240" w:type="pct"/>
            <w:noWrap w:val="0"/>
            <w:vAlign w:val="center"/>
          </w:tcPr>
          <w:p w14:paraId="51226B46">
            <w:pPr>
              <w:jc w:val="center"/>
              <w:rPr>
                <w:szCs w:val="21"/>
              </w:rPr>
            </w:pPr>
            <w:r>
              <w:rPr>
                <w:szCs w:val="21"/>
              </w:rPr>
              <w:t>固粪处理区封闭式+好氧堆肥+负压收集+过滤除臭装置对固粪处理区的恶臭气体进行处理</w:t>
            </w:r>
          </w:p>
        </w:tc>
        <w:tc>
          <w:tcPr>
            <w:tcW w:w="1045" w:type="pct"/>
            <w:noWrap w:val="0"/>
            <w:vAlign w:val="center"/>
          </w:tcPr>
          <w:p w14:paraId="45F6BE7F">
            <w:pPr>
              <w:ind w:left="-25" w:leftChars="-12" w:right="-34" w:rightChars="-16"/>
              <w:jc w:val="center"/>
              <w:rPr>
                <w:szCs w:val="21"/>
              </w:rPr>
            </w:pPr>
            <w:r>
              <w:rPr>
                <w:szCs w:val="21"/>
              </w:rPr>
              <w:t>固粪处理区</w:t>
            </w:r>
          </w:p>
        </w:tc>
        <w:tc>
          <w:tcPr>
            <w:tcW w:w="397" w:type="pct"/>
            <w:noWrap w:val="0"/>
            <w:vAlign w:val="center"/>
          </w:tcPr>
          <w:p w14:paraId="5C4F36B5">
            <w:pPr>
              <w:jc w:val="center"/>
              <w:rPr>
                <w:szCs w:val="21"/>
              </w:rPr>
            </w:pPr>
            <w:r>
              <w:rPr>
                <w:szCs w:val="21"/>
              </w:rPr>
              <w:t>5套</w:t>
            </w:r>
          </w:p>
        </w:tc>
        <w:tc>
          <w:tcPr>
            <w:tcW w:w="636" w:type="pct"/>
            <w:noWrap w:val="0"/>
            <w:vAlign w:val="center"/>
          </w:tcPr>
          <w:p w14:paraId="333FE489">
            <w:pPr>
              <w:jc w:val="center"/>
              <w:rPr>
                <w:szCs w:val="21"/>
              </w:rPr>
            </w:pPr>
            <w:r>
              <w:rPr>
                <w:szCs w:val="21"/>
              </w:rPr>
              <w:t>30.0</w:t>
            </w:r>
          </w:p>
        </w:tc>
      </w:tr>
      <w:tr w14:paraId="05BF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7" w:type="pct"/>
            <w:vMerge w:val="continue"/>
            <w:noWrap w:val="0"/>
            <w:vAlign w:val="center"/>
          </w:tcPr>
          <w:p w14:paraId="3AF8715E">
            <w:pPr>
              <w:adjustRightInd w:val="0"/>
              <w:snapToGrid w:val="0"/>
              <w:jc w:val="center"/>
              <w:rPr>
                <w:b/>
                <w:bCs/>
                <w:szCs w:val="21"/>
              </w:rPr>
            </w:pPr>
          </w:p>
        </w:tc>
        <w:tc>
          <w:tcPr>
            <w:tcW w:w="403" w:type="pct"/>
            <w:vMerge w:val="continue"/>
            <w:noWrap w:val="0"/>
            <w:vAlign w:val="center"/>
          </w:tcPr>
          <w:p w14:paraId="179E0C77">
            <w:pPr>
              <w:adjustRightInd w:val="0"/>
              <w:snapToGrid w:val="0"/>
              <w:jc w:val="center"/>
              <w:rPr>
                <w:bCs/>
                <w:szCs w:val="21"/>
              </w:rPr>
            </w:pPr>
          </w:p>
        </w:tc>
        <w:tc>
          <w:tcPr>
            <w:tcW w:w="2240" w:type="pct"/>
            <w:noWrap w:val="0"/>
            <w:vAlign w:val="center"/>
          </w:tcPr>
          <w:p w14:paraId="037D4AE9">
            <w:pPr>
              <w:ind w:firstLine="420" w:firstLineChars="200"/>
              <w:rPr>
                <w:szCs w:val="21"/>
              </w:rPr>
            </w:pPr>
            <w:r>
              <w:rPr>
                <w:szCs w:val="21"/>
              </w:rPr>
              <w:t>无害化处理车间废气密闭设备+负压收集+光解催化氧化+15m排气筒排放</w:t>
            </w:r>
            <w:r>
              <w:rPr>
                <w:kern w:val="0"/>
                <w:szCs w:val="21"/>
                <w:lang w:bidi="en-US"/>
              </w:rPr>
              <w:t>；</w:t>
            </w:r>
          </w:p>
          <w:p w14:paraId="758604B8">
            <w:pPr>
              <w:jc w:val="center"/>
              <w:rPr>
                <w:szCs w:val="21"/>
              </w:rPr>
            </w:pPr>
          </w:p>
        </w:tc>
        <w:tc>
          <w:tcPr>
            <w:tcW w:w="1045" w:type="pct"/>
            <w:noWrap w:val="0"/>
            <w:vAlign w:val="center"/>
          </w:tcPr>
          <w:p w14:paraId="7689A8A5">
            <w:pPr>
              <w:ind w:left="-25" w:leftChars="-12" w:right="-34" w:rightChars="-16"/>
              <w:jc w:val="center"/>
              <w:rPr>
                <w:szCs w:val="21"/>
              </w:rPr>
            </w:pPr>
            <w:r>
              <w:rPr>
                <w:szCs w:val="21"/>
              </w:rPr>
              <w:t>无害化处理间</w:t>
            </w:r>
          </w:p>
        </w:tc>
        <w:tc>
          <w:tcPr>
            <w:tcW w:w="397" w:type="pct"/>
            <w:noWrap w:val="0"/>
            <w:vAlign w:val="center"/>
          </w:tcPr>
          <w:p w14:paraId="0511D5D4">
            <w:pPr>
              <w:jc w:val="center"/>
              <w:rPr>
                <w:szCs w:val="21"/>
              </w:rPr>
            </w:pPr>
            <w:r>
              <w:rPr>
                <w:szCs w:val="21"/>
              </w:rPr>
              <w:t>1套</w:t>
            </w:r>
          </w:p>
        </w:tc>
        <w:tc>
          <w:tcPr>
            <w:tcW w:w="636" w:type="pct"/>
            <w:noWrap w:val="0"/>
            <w:vAlign w:val="center"/>
          </w:tcPr>
          <w:p w14:paraId="432B35F7">
            <w:pPr>
              <w:jc w:val="center"/>
              <w:rPr>
                <w:szCs w:val="21"/>
              </w:rPr>
            </w:pPr>
            <w:r>
              <w:rPr>
                <w:szCs w:val="21"/>
              </w:rPr>
              <w:t>15</w:t>
            </w:r>
          </w:p>
        </w:tc>
      </w:tr>
      <w:tr w14:paraId="7B69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7" w:type="pct"/>
            <w:vMerge w:val="continue"/>
            <w:noWrap w:val="0"/>
            <w:vAlign w:val="center"/>
          </w:tcPr>
          <w:p w14:paraId="6552DF27">
            <w:pPr>
              <w:adjustRightInd w:val="0"/>
              <w:snapToGrid w:val="0"/>
              <w:jc w:val="center"/>
              <w:rPr>
                <w:b/>
                <w:bCs/>
                <w:szCs w:val="21"/>
              </w:rPr>
            </w:pPr>
          </w:p>
        </w:tc>
        <w:tc>
          <w:tcPr>
            <w:tcW w:w="403" w:type="pct"/>
            <w:vMerge w:val="continue"/>
            <w:noWrap w:val="0"/>
            <w:vAlign w:val="center"/>
          </w:tcPr>
          <w:p w14:paraId="0F2E9E53">
            <w:pPr>
              <w:adjustRightInd w:val="0"/>
              <w:snapToGrid w:val="0"/>
              <w:jc w:val="center"/>
              <w:rPr>
                <w:bCs/>
                <w:szCs w:val="21"/>
              </w:rPr>
            </w:pPr>
          </w:p>
        </w:tc>
        <w:tc>
          <w:tcPr>
            <w:tcW w:w="2240" w:type="pct"/>
            <w:noWrap w:val="0"/>
            <w:vAlign w:val="center"/>
          </w:tcPr>
          <w:p w14:paraId="45A49A5D">
            <w:pPr>
              <w:jc w:val="center"/>
              <w:rPr>
                <w:szCs w:val="21"/>
              </w:rPr>
            </w:pPr>
            <w:r>
              <w:rPr>
                <w:szCs w:val="21"/>
              </w:rPr>
              <w:t>沼气脱水脱硫装置，双膜储气袋</w:t>
            </w:r>
          </w:p>
        </w:tc>
        <w:tc>
          <w:tcPr>
            <w:tcW w:w="1045" w:type="pct"/>
            <w:noWrap w:val="0"/>
            <w:vAlign w:val="center"/>
          </w:tcPr>
          <w:p w14:paraId="4F26B958">
            <w:pPr>
              <w:ind w:left="-25" w:leftChars="-12" w:right="-34" w:rightChars="-16"/>
              <w:jc w:val="center"/>
              <w:rPr>
                <w:szCs w:val="21"/>
              </w:rPr>
            </w:pPr>
            <w:r>
              <w:rPr>
                <w:szCs w:val="21"/>
              </w:rPr>
              <w:t>沼气</w:t>
            </w:r>
          </w:p>
        </w:tc>
        <w:tc>
          <w:tcPr>
            <w:tcW w:w="397" w:type="pct"/>
            <w:noWrap w:val="0"/>
            <w:vAlign w:val="center"/>
          </w:tcPr>
          <w:p w14:paraId="2D82AB97">
            <w:pPr>
              <w:jc w:val="center"/>
              <w:rPr>
                <w:szCs w:val="21"/>
              </w:rPr>
            </w:pPr>
            <w:r>
              <w:rPr>
                <w:szCs w:val="21"/>
              </w:rPr>
              <w:t>5套</w:t>
            </w:r>
          </w:p>
        </w:tc>
        <w:tc>
          <w:tcPr>
            <w:tcW w:w="636" w:type="pct"/>
            <w:noWrap w:val="0"/>
            <w:vAlign w:val="center"/>
          </w:tcPr>
          <w:p w14:paraId="13B0DE25">
            <w:pPr>
              <w:jc w:val="center"/>
              <w:rPr>
                <w:szCs w:val="21"/>
              </w:rPr>
            </w:pPr>
            <w:r>
              <w:rPr>
                <w:szCs w:val="21"/>
              </w:rPr>
              <w:t>2.5</w:t>
            </w:r>
          </w:p>
        </w:tc>
      </w:tr>
      <w:tr w14:paraId="04A7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77" w:type="pct"/>
            <w:vMerge w:val="continue"/>
            <w:noWrap w:val="0"/>
            <w:vAlign w:val="center"/>
          </w:tcPr>
          <w:p w14:paraId="3B4FC45F">
            <w:pPr>
              <w:adjustRightInd w:val="0"/>
              <w:snapToGrid w:val="0"/>
              <w:jc w:val="center"/>
              <w:rPr>
                <w:bCs/>
                <w:szCs w:val="21"/>
              </w:rPr>
            </w:pPr>
          </w:p>
        </w:tc>
        <w:tc>
          <w:tcPr>
            <w:tcW w:w="403" w:type="pct"/>
            <w:vMerge w:val="continue"/>
            <w:noWrap w:val="0"/>
            <w:vAlign w:val="center"/>
          </w:tcPr>
          <w:p w14:paraId="5044EB6A">
            <w:pPr>
              <w:adjustRightInd w:val="0"/>
              <w:snapToGrid w:val="0"/>
              <w:jc w:val="center"/>
              <w:rPr>
                <w:bCs/>
                <w:szCs w:val="21"/>
              </w:rPr>
            </w:pPr>
          </w:p>
        </w:tc>
        <w:tc>
          <w:tcPr>
            <w:tcW w:w="2240" w:type="pct"/>
            <w:noWrap w:val="0"/>
            <w:vAlign w:val="center"/>
          </w:tcPr>
          <w:p w14:paraId="18339B71">
            <w:pPr>
              <w:jc w:val="center"/>
              <w:rPr>
                <w:szCs w:val="21"/>
              </w:rPr>
            </w:pPr>
            <w:r>
              <w:rPr>
                <w:szCs w:val="21"/>
              </w:rPr>
              <w:t>净化效率不低于60%的油烟净化装置，经处理后排放</w:t>
            </w:r>
          </w:p>
        </w:tc>
        <w:tc>
          <w:tcPr>
            <w:tcW w:w="1045" w:type="pct"/>
            <w:noWrap w:val="0"/>
            <w:vAlign w:val="center"/>
          </w:tcPr>
          <w:p w14:paraId="3CADE19D">
            <w:pPr>
              <w:jc w:val="center"/>
              <w:rPr>
                <w:szCs w:val="21"/>
              </w:rPr>
            </w:pPr>
            <w:r>
              <w:rPr>
                <w:szCs w:val="21"/>
              </w:rPr>
              <w:t>食堂</w:t>
            </w:r>
          </w:p>
        </w:tc>
        <w:tc>
          <w:tcPr>
            <w:tcW w:w="397" w:type="pct"/>
            <w:noWrap w:val="0"/>
            <w:vAlign w:val="center"/>
          </w:tcPr>
          <w:p w14:paraId="7EB20772">
            <w:pPr>
              <w:jc w:val="center"/>
              <w:rPr>
                <w:szCs w:val="21"/>
              </w:rPr>
            </w:pPr>
            <w:r>
              <w:rPr>
                <w:szCs w:val="21"/>
              </w:rPr>
              <w:t>1套</w:t>
            </w:r>
          </w:p>
        </w:tc>
        <w:tc>
          <w:tcPr>
            <w:tcW w:w="636" w:type="pct"/>
            <w:noWrap w:val="0"/>
            <w:vAlign w:val="center"/>
          </w:tcPr>
          <w:p w14:paraId="52258276">
            <w:pPr>
              <w:jc w:val="center"/>
              <w:rPr>
                <w:szCs w:val="21"/>
              </w:rPr>
            </w:pPr>
            <w:r>
              <w:rPr>
                <w:szCs w:val="21"/>
              </w:rPr>
              <w:t>2.0</w:t>
            </w:r>
          </w:p>
        </w:tc>
      </w:tr>
      <w:tr w14:paraId="463F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vMerge w:val="continue"/>
            <w:noWrap w:val="0"/>
            <w:vAlign w:val="center"/>
          </w:tcPr>
          <w:p w14:paraId="2ED3F796">
            <w:pPr>
              <w:adjustRightInd w:val="0"/>
              <w:snapToGrid w:val="0"/>
              <w:jc w:val="center"/>
              <w:rPr>
                <w:bCs/>
                <w:szCs w:val="21"/>
              </w:rPr>
            </w:pPr>
          </w:p>
        </w:tc>
        <w:tc>
          <w:tcPr>
            <w:tcW w:w="403" w:type="pct"/>
            <w:vMerge w:val="continue"/>
            <w:noWrap w:val="0"/>
            <w:vAlign w:val="center"/>
          </w:tcPr>
          <w:p w14:paraId="39EF9BAA">
            <w:pPr>
              <w:adjustRightInd w:val="0"/>
              <w:snapToGrid w:val="0"/>
              <w:jc w:val="center"/>
              <w:rPr>
                <w:bCs/>
                <w:szCs w:val="21"/>
              </w:rPr>
            </w:pPr>
          </w:p>
        </w:tc>
        <w:tc>
          <w:tcPr>
            <w:tcW w:w="2240" w:type="pct"/>
            <w:noWrap w:val="0"/>
            <w:vAlign w:val="center"/>
          </w:tcPr>
          <w:p w14:paraId="300CF4B8">
            <w:pPr>
              <w:jc w:val="center"/>
              <w:rPr>
                <w:szCs w:val="21"/>
              </w:rPr>
            </w:pPr>
            <w:r>
              <w:rPr>
                <w:szCs w:val="21"/>
              </w:rPr>
              <w:t>在项目区内宜种植高大常绿的乔木，并设置能吸收臭气、净化空气作用的绿化隔离带</w:t>
            </w:r>
          </w:p>
        </w:tc>
        <w:tc>
          <w:tcPr>
            <w:tcW w:w="1045" w:type="pct"/>
            <w:noWrap w:val="0"/>
            <w:vAlign w:val="center"/>
          </w:tcPr>
          <w:p w14:paraId="7A63813D">
            <w:pPr>
              <w:jc w:val="center"/>
              <w:rPr>
                <w:szCs w:val="21"/>
              </w:rPr>
            </w:pPr>
            <w:r>
              <w:rPr>
                <w:szCs w:val="21"/>
              </w:rPr>
              <w:t>厂区</w:t>
            </w:r>
          </w:p>
        </w:tc>
        <w:tc>
          <w:tcPr>
            <w:tcW w:w="397" w:type="pct"/>
            <w:noWrap w:val="0"/>
            <w:vAlign w:val="center"/>
          </w:tcPr>
          <w:p w14:paraId="4235D0D4">
            <w:pPr>
              <w:jc w:val="center"/>
              <w:rPr>
                <w:szCs w:val="21"/>
              </w:rPr>
            </w:pPr>
            <w:r>
              <w:rPr>
                <w:szCs w:val="21"/>
              </w:rPr>
              <w:t>5套</w:t>
            </w:r>
          </w:p>
        </w:tc>
        <w:tc>
          <w:tcPr>
            <w:tcW w:w="636" w:type="pct"/>
            <w:noWrap w:val="0"/>
            <w:vAlign w:val="center"/>
          </w:tcPr>
          <w:p w14:paraId="03AC7CBA">
            <w:pPr>
              <w:jc w:val="center"/>
              <w:rPr>
                <w:szCs w:val="21"/>
              </w:rPr>
            </w:pPr>
            <w:r>
              <w:rPr>
                <w:szCs w:val="21"/>
              </w:rPr>
              <w:t>10.0</w:t>
            </w:r>
          </w:p>
        </w:tc>
      </w:tr>
      <w:tr w14:paraId="148A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6A3A3764">
            <w:pPr>
              <w:adjustRightInd w:val="0"/>
              <w:snapToGrid w:val="0"/>
              <w:jc w:val="center"/>
              <w:rPr>
                <w:bCs/>
                <w:szCs w:val="21"/>
              </w:rPr>
            </w:pPr>
          </w:p>
        </w:tc>
        <w:tc>
          <w:tcPr>
            <w:tcW w:w="403" w:type="pct"/>
            <w:vMerge w:val="restart"/>
            <w:noWrap w:val="0"/>
            <w:vAlign w:val="center"/>
          </w:tcPr>
          <w:p w14:paraId="77D6FFE9">
            <w:pPr>
              <w:adjustRightInd w:val="0"/>
              <w:snapToGrid w:val="0"/>
              <w:jc w:val="center"/>
              <w:rPr>
                <w:bCs/>
                <w:szCs w:val="21"/>
              </w:rPr>
            </w:pPr>
            <w:r>
              <w:rPr>
                <w:bCs/>
                <w:szCs w:val="21"/>
              </w:rPr>
              <w:t>废水治理措施</w:t>
            </w:r>
          </w:p>
        </w:tc>
        <w:tc>
          <w:tcPr>
            <w:tcW w:w="2240" w:type="pct"/>
            <w:noWrap w:val="0"/>
            <w:vAlign w:val="center"/>
          </w:tcPr>
          <w:p w14:paraId="158A435A">
            <w:pPr>
              <w:jc w:val="center"/>
              <w:rPr>
                <w:szCs w:val="21"/>
              </w:rPr>
            </w:pPr>
            <w:r>
              <w:rPr>
                <w:szCs w:val="21"/>
              </w:rPr>
              <w:t>固液分离设备</w:t>
            </w:r>
          </w:p>
        </w:tc>
        <w:tc>
          <w:tcPr>
            <w:tcW w:w="1045" w:type="pct"/>
            <w:noWrap w:val="0"/>
            <w:vAlign w:val="center"/>
          </w:tcPr>
          <w:p w14:paraId="41609966">
            <w:pPr>
              <w:jc w:val="center"/>
              <w:rPr>
                <w:szCs w:val="21"/>
              </w:rPr>
            </w:pPr>
            <w:r>
              <w:rPr>
                <w:szCs w:val="21"/>
              </w:rPr>
              <w:t>污水处理站</w:t>
            </w:r>
          </w:p>
        </w:tc>
        <w:tc>
          <w:tcPr>
            <w:tcW w:w="397" w:type="pct"/>
            <w:noWrap w:val="0"/>
            <w:vAlign w:val="center"/>
          </w:tcPr>
          <w:p w14:paraId="5F67C15E">
            <w:pPr>
              <w:jc w:val="center"/>
              <w:rPr>
                <w:szCs w:val="21"/>
              </w:rPr>
            </w:pPr>
            <w:r>
              <w:rPr>
                <w:szCs w:val="21"/>
              </w:rPr>
              <w:t>5套</w:t>
            </w:r>
          </w:p>
        </w:tc>
        <w:tc>
          <w:tcPr>
            <w:tcW w:w="636" w:type="pct"/>
            <w:noWrap w:val="0"/>
            <w:vAlign w:val="center"/>
          </w:tcPr>
          <w:p w14:paraId="62583D8A">
            <w:pPr>
              <w:jc w:val="center"/>
              <w:rPr>
                <w:szCs w:val="21"/>
              </w:rPr>
            </w:pPr>
            <w:r>
              <w:rPr>
                <w:szCs w:val="21"/>
              </w:rPr>
              <w:t>20.0</w:t>
            </w:r>
          </w:p>
        </w:tc>
      </w:tr>
      <w:tr w14:paraId="3429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21D16FBA">
            <w:pPr>
              <w:adjustRightInd w:val="0"/>
              <w:snapToGrid w:val="0"/>
              <w:jc w:val="center"/>
              <w:rPr>
                <w:bCs/>
                <w:szCs w:val="21"/>
              </w:rPr>
            </w:pPr>
          </w:p>
        </w:tc>
        <w:tc>
          <w:tcPr>
            <w:tcW w:w="403" w:type="pct"/>
            <w:vMerge w:val="continue"/>
            <w:noWrap w:val="0"/>
            <w:vAlign w:val="center"/>
          </w:tcPr>
          <w:p w14:paraId="2A8461EF">
            <w:pPr>
              <w:adjustRightInd w:val="0"/>
              <w:snapToGrid w:val="0"/>
              <w:jc w:val="center"/>
              <w:rPr>
                <w:bCs/>
                <w:szCs w:val="21"/>
              </w:rPr>
            </w:pPr>
          </w:p>
        </w:tc>
        <w:tc>
          <w:tcPr>
            <w:tcW w:w="2240" w:type="pct"/>
            <w:noWrap w:val="0"/>
            <w:vAlign w:val="center"/>
          </w:tcPr>
          <w:p w14:paraId="6A7B19F0">
            <w:pPr>
              <w:rPr>
                <w:szCs w:val="21"/>
              </w:rPr>
            </w:pPr>
            <w:r>
              <w:rPr>
                <w:szCs w:val="21"/>
              </w:rPr>
              <w:t>雨污分流雨水沟：</w:t>
            </w:r>
            <w:r>
              <w:rPr>
                <w:kern w:val="0"/>
                <w:szCs w:val="21"/>
                <w:lang w:bidi="ar"/>
              </w:rPr>
              <w:t>1号地盛丰通风井位置390m，2号盛丰焦化楼位置580m，3号老井位置490m，4号鑫旺板块位置设置350m，5号大河边位置设置710m。</w:t>
            </w:r>
          </w:p>
          <w:p w14:paraId="7EB99FEB">
            <w:pPr>
              <w:jc w:val="center"/>
              <w:rPr>
                <w:szCs w:val="21"/>
              </w:rPr>
            </w:pPr>
          </w:p>
        </w:tc>
        <w:tc>
          <w:tcPr>
            <w:tcW w:w="1045" w:type="pct"/>
            <w:noWrap w:val="0"/>
            <w:vAlign w:val="center"/>
          </w:tcPr>
          <w:p w14:paraId="2F07A136">
            <w:pPr>
              <w:jc w:val="center"/>
              <w:rPr>
                <w:szCs w:val="21"/>
              </w:rPr>
            </w:pPr>
            <w:r>
              <w:rPr>
                <w:szCs w:val="21"/>
              </w:rPr>
              <w:t>各养殖地块外围</w:t>
            </w:r>
          </w:p>
        </w:tc>
        <w:tc>
          <w:tcPr>
            <w:tcW w:w="397" w:type="pct"/>
            <w:noWrap w:val="0"/>
            <w:vAlign w:val="center"/>
          </w:tcPr>
          <w:p w14:paraId="161F5C5C">
            <w:pPr>
              <w:jc w:val="center"/>
              <w:rPr>
                <w:szCs w:val="21"/>
              </w:rPr>
            </w:pPr>
            <w:r>
              <w:rPr>
                <w:szCs w:val="21"/>
              </w:rPr>
              <w:t>5套</w:t>
            </w:r>
          </w:p>
        </w:tc>
        <w:tc>
          <w:tcPr>
            <w:tcW w:w="636" w:type="pct"/>
            <w:noWrap w:val="0"/>
            <w:vAlign w:val="center"/>
          </w:tcPr>
          <w:p w14:paraId="376D9C58">
            <w:pPr>
              <w:jc w:val="center"/>
              <w:rPr>
                <w:szCs w:val="21"/>
              </w:rPr>
            </w:pPr>
            <w:r>
              <w:rPr>
                <w:szCs w:val="21"/>
              </w:rPr>
              <w:t>20.1</w:t>
            </w:r>
          </w:p>
        </w:tc>
      </w:tr>
      <w:tr w14:paraId="3D48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156F07F2">
            <w:pPr>
              <w:adjustRightInd w:val="0"/>
              <w:snapToGrid w:val="0"/>
              <w:jc w:val="center"/>
              <w:rPr>
                <w:bCs/>
                <w:szCs w:val="21"/>
              </w:rPr>
            </w:pPr>
          </w:p>
        </w:tc>
        <w:tc>
          <w:tcPr>
            <w:tcW w:w="403" w:type="pct"/>
            <w:vMerge w:val="continue"/>
            <w:noWrap w:val="0"/>
            <w:vAlign w:val="center"/>
          </w:tcPr>
          <w:p w14:paraId="4B5A5D82">
            <w:pPr>
              <w:adjustRightInd w:val="0"/>
              <w:snapToGrid w:val="0"/>
              <w:jc w:val="center"/>
              <w:rPr>
                <w:bCs/>
                <w:szCs w:val="21"/>
              </w:rPr>
            </w:pPr>
          </w:p>
        </w:tc>
        <w:tc>
          <w:tcPr>
            <w:tcW w:w="2240" w:type="pct"/>
            <w:noWrap w:val="0"/>
            <w:vAlign w:val="center"/>
          </w:tcPr>
          <w:p w14:paraId="463F213D">
            <w:pPr>
              <w:jc w:val="center"/>
              <w:rPr>
                <w:szCs w:val="21"/>
              </w:rPr>
            </w:pPr>
            <w:r>
              <w:rPr>
                <w:szCs w:val="21"/>
              </w:rPr>
              <w:t>污水管道</w:t>
            </w:r>
          </w:p>
        </w:tc>
        <w:tc>
          <w:tcPr>
            <w:tcW w:w="1045" w:type="pct"/>
            <w:noWrap w:val="0"/>
            <w:vAlign w:val="center"/>
          </w:tcPr>
          <w:p w14:paraId="520535C8">
            <w:pPr>
              <w:jc w:val="center"/>
              <w:rPr>
                <w:szCs w:val="21"/>
              </w:rPr>
            </w:pPr>
            <w:r>
              <w:rPr>
                <w:szCs w:val="21"/>
              </w:rPr>
              <w:t>场区</w:t>
            </w:r>
          </w:p>
        </w:tc>
        <w:tc>
          <w:tcPr>
            <w:tcW w:w="397" w:type="pct"/>
            <w:noWrap w:val="0"/>
            <w:vAlign w:val="center"/>
          </w:tcPr>
          <w:p w14:paraId="2ACF9655">
            <w:pPr>
              <w:jc w:val="center"/>
              <w:rPr>
                <w:szCs w:val="21"/>
              </w:rPr>
            </w:pPr>
            <w:r>
              <w:rPr>
                <w:szCs w:val="21"/>
              </w:rPr>
              <w:t>/</w:t>
            </w:r>
          </w:p>
        </w:tc>
        <w:tc>
          <w:tcPr>
            <w:tcW w:w="636" w:type="pct"/>
            <w:noWrap w:val="0"/>
            <w:vAlign w:val="center"/>
          </w:tcPr>
          <w:p w14:paraId="1C565D19">
            <w:pPr>
              <w:jc w:val="center"/>
              <w:rPr>
                <w:szCs w:val="21"/>
              </w:rPr>
            </w:pPr>
            <w:r>
              <w:rPr>
                <w:szCs w:val="21"/>
              </w:rPr>
              <w:t>10.0</w:t>
            </w:r>
          </w:p>
        </w:tc>
      </w:tr>
      <w:tr w14:paraId="6562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33334201">
            <w:pPr>
              <w:adjustRightInd w:val="0"/>
              <w:snapToGrid w:val="0"/>
              <w:jc w:val="center"/>
              <w:rPr>
                <w:bCs/>
                <w:szCs w:val="21"/>
              </w:rPr>
            </w:pPr>
          </w:p>
        </w:tc>
        <w:tc>
          <w:tcPr>
            <w:tcW w:w="403" w:type="pct"/>
            <w:vMerge w:val="continue"/>
            <w:noWrap w:val="0"/>
            <w:vAlign w:val="center"/>
          </w:tcPr>
          <w:p w14:paraId="16C060B4">
            <w:pPr>
              <w:adjustRightInd w:val="0"/>
              <w:snapToGrid w:val="0"/>
              <w:jc w:val="center"/>
              <w:rPr>
                <w:bCs/>
                <w:szCs w:val="21"/>
              </w:rPr>
            </w:pPr>
          </w:p>
        </w:tc>
        <w:tc>
          <w:tcPr>
            <w:tcW w:w="2240" w:type="pct"/>
            <w:noWrap w:val="0"/>
            <w:vAlign w:val="center"/>
          </w:tcPr>
          <w:p w14:paraId="0CA100A1">
            <w:pPr>
              <w:adjustRightInd w:val="0"/>
              <w:snapToGrid w:val="0"/>
              <w:jc w:val="center"/>
              <w:textAlignment w:val="center"/>
              <w:rPr>
                <w:szCs w:val="21"/>
              </w:rPr>
            </w:pPr>
            <w:r>
              <w:rPr>
                <w:szCs w:val="21"/>
              </w:rPr>
              <w:t>在各养殖场地各建设一座污水处理站，共计5座污水处理站，生活污水及养殖废水收集后进入各自场地污水处理站处理，其中3号养殖场地及2号养殖场地的生活污水统一进入2号场地污水处理站处理；处理规模分别为1号地14m</w:t>
            </w:r>
            <w:r>
              <w:rPr>
                <w:szCs w:val="21"/>
                <w:vertAlign w:val="superscript"/>
              </w:rPr>
              <w:t>3</w:t>
            </w:r>
            <w:r>
              <w:rPr>
                <w:szCs w:val="21"/>
              </w:rPr>
              <w:t>/d，2号地28m</w:t>
            </w:r>
            <w:r>
              <w:rPr>
                <w:szCs w:val="21"/>
                <w:vertAlign w:val="superscript"/>
              </w:rPr>
              <w:t>3</w:t>
            </w:r>
            <w:r>
              <w:rPr>
                <w:szCs w:val="21"/>
              </w:rPr>
              <w:t>/d，3号地12m</w:t>
            </w:r>
            <w:r>
              <w:rPr>
                <w:szCs w:val="21"/>
                <w:vertAlign w:val="superscript"/>
              </w:rPr>
              <w:t>3</w:t>
            </w:r>
            <w:r>
              <w:rPr>
                <w:szCs w:val="21"/>
              </w:rPr>
              <w:t>/d，4号地31m</w:t>
            </w:r>
            <w:r>
              <w:rPr>
                <w:szCs w:val="21"/>
                <w:vertAlign w:val="superscript"/>
              </w:rPr>
              <w:t>3</w:t>
            </w:r>
            <w:r>
              <w:rPr>
                <w:szCs w:val="21"/>
              </w:rPr>
              <w:t>/d，5号地25m</w:t>
            </w:r>
            <w:r>
              <w:rPr>
                <w:szCs w:val="21"/>
                <w:vertAlign w:val="superscript"/>
              </w:rPr>
              <w:t>3</w:t>
            </w:r>
            <w:r>
              <w:rPr>
                <w:szCs w:val="21"/>
              </w:rPr>
              <w:t>/d</w:t>
            </w:r>
          </w:p>
        </w:tc>
        <w:tc>
          <w:tcPr>
            <w:tcW w:w="1045" w:type="pct"/>
            <w:noWrap w:val="0"/>
            <w:vAlign w:val="center"/>
          </w:tcPr>
          <w:p w14:paraId="7035FAB9">
            <w:pPr>
              <w:adjustRightInd w:val="0"/>
              <w:snapToGrid w:val="0"/>
              <w:jc w:val="center"/>
              <w:rPr>
                <w:bCs/>
                <w:szCs w:val="21"/>
              </w:rPr>
            </w:pPr>
            <w:r>
              <w:rPr>
                <w:bCs/>
                <w:szCs w:val="21"/>
              </w:rPr>
              <w:t>污水处理站</w:t>
            </w:r>
          </w:p>
        </w:tc>
        <w:tc>
          <w:tcPr>
            <w:tcW w:w="397" w:type="pct"/>
            <w:noWrap w:val="0"/>
            <w:vAlign w:val="center"/>
          </w:tcPr>
          <w:p w14:paraId="1B9324DB">
            <w:pPr>
              <w:adjustRightInd w:val="0"/>
              <w:snapToGrid w:val="0"/>
              <w:jc w:val="center"/>
              <w:rPr>
                <w:bCs/>
                <w:szCs w:val="21"/>
              </w:rPr>
            </w:pPr>
            <w:r>
              <w:rPr>
                <w:bCs/>
                <w:szCs w:val="21"/>
              </w:rPr>
              <w:t>5套</w:t>
            </w:r>
          </w:p>
        </w:tc>
        <w:tc>
          <w:tcPr>
            <w:tcW w:w="636" w:type="pct"/>
            <w:noWrap w:val="0"/>
            <w:vAlign w:val="center"/>
          </w:tcPr>
          <w:p w14:paraId="5891DEAB">
            <w:pPr>
              <w:adjustRightInd w:val="0"/>
              <w:snapToGrid w:val="0"/>
              <w:jc w:val="center"/>
              <w:rPr>
                <w:bCs/>
                <w:szCs w:val="21"/>
              </w:rPr>
            </w:pPr>
            <w:r>
              <w:rPr>
                <w:bCs/>
                <w:szCs w:val="21"/>
              </w:rPr>
              <w:t>180.0</w:t>
            </w:r>
          </w:p>
        </w:tc>
      </w:tr>
      <w:tr w14:paraId="1F98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602036FB">
            <w:pPr>
              <w:adjustRightInd w:val="0"/>
              <w:snapToGrid w:val="0"/>
              <w:jc w:val="center"/>
              <w:rPr>
                <w:bCs/>
                <w:szCs w:val="21"/>
              </w:rPr>
            </w:pPr>
          </w:p>
        </w:tc>
        <w:tc>
          <w:tcPr>
            <w:tcW w:w="403" w:type="pct"/>
            <w:vMerge w:val="continue"/>
            <w:noWrap w:val="0"/>
            <w:vAlign w:val="center"/>
          </w:tcPr>
          <w:p w14:paraId="40E0CB5E">
            <w:pPr>
              <w:adjustRightInd w:val="0"/>
              <w:snapToGrid w:val="0"/>
              <w:jc w:val="center"/>
              <w:rPr>
                <w:bCs/>
                <w:szCs w:val="21"/>
              </w:rPr>
            </w:pPr>
          </w:p>
        </w:tc>
        <w:tc>
          <w:tcPr>
            <w:tcW w:w="2240" w:type="pct"/>
            <w:noWrap w:val="0"/>
            <w:vAlign w:val="center"/>
          </w:tcPr>
          <w:p w14:paraId="0F2AF2D2">
            <w:pPr>
              <w:adjustRightInd w:val="0"/>
              <w:snapToGrid w:val="0"/>
              <w:jc w:val="center"/>
              <w:textAlignment w:val="center"/>
              <w:rPr>
                <w:szCs w:val="21"/>
              </w:rPr>
            </w:pPr>
            <w:r>
              <w:rPr>
                <w:szCs w:val="21"/>
              </w:rPr>
              <w:t>在各养殖场地各各设置1个沼液储存池，项目设置的沼液储存池为</w:t>
            </w:r>
            <w:r>
              <w:rPr>
                <w:kern w:val="0"/>
                <w:szCs w:val="21"/>
                <w:lang w:bidi="ar"/>
              </w:rPr>
              <w:t>1号地100m</w:t>
            </w:r>
            <w:r>
              <w:rPr>
                <w:kern w:val="0"/>
                <w:szCs w:val="21"/>
                <w:vertAlign w:val="superscript"/>
                <w:lang w:bidi="ar"/>
              </w:rPr>
              <w:t>3</w:t>
            </w:r>
            <w:r>
              <w:rPr>
                <w:kern w:val="0"/>
                <w:szCs w:val="21"/>
                <w:lang w:bidi="ar"/>
              </w:rPr>
              <w:t>，2号地200m</w:t>
            </w:r>
            <w:r>
              <w:rPr>
                <w:kern w:val="0"/>
                <w:szCs w:val="21"/>
                <w:vertAlign w:val="superscript"/>
                <w:lang w:bidi="ar"/>
              </w:rPr>
              <w:t>3</w:t>
            </w:r>
            <w:r>
              <w:rPr>
                <w:kern w:val="0"/>
                <w:szCs w:val="21"/>
                <w:lang w:bidi="ar"/>
              </w:rPr>
              <w:t>，3号地100m</w:t>
            </w:r>
            <w:r>
              <w:rPr>
                <w:kern w:val="0"/>
                <w:szCs w:val="21"/>
                <w:vertAlign w:val="superscript"/>
                <w:lang w:bidi="ar"/>
              </w:rPr>
              <w:t>3</w:t>
            </w:r>
            <w:r>
              <w:rPr>
                <w:kern w:val="0"/>
                <w:szCs w:val="21"/>
                <w:lang w:bidi="ar"/>
              </w:rPr>
              <w:t>，4号地250m</w:t>
            </w:r>
            <w:r>
              <w:rPr>
                <w:kern w:val="0"/>
                <w:szCs w:val="21"/>
                <w:vertAlign w:val="superscript"/>
                <w:lang w:bidi="ar"/>
              </w:rPr>
              <w:t>3</w:t>
            </w:r>
            <w:r>
              <w:rPr>
                <w:kern w:val="0"/>
                <w:szCs w:val="21"/>
                <w:lang w:bidi="ar"/>
              </w:rPr>
              <w:t>，5号地200m</w:t>
            </w:r>
            <w:r>
              <w:rPr>
                <w:kern w:val="0"/>
                <w:szCs w:val="21"/>
                <w:vertAlign w:val="superscript"/>
                <w:lang w:bidi="ar"/>
              </w:rPr>
              <w:t>3</w:t>
            </w:r>
            <w:r>
              <w:rPr>
                <w:kern w:val="0"/>
                <w:szCs w:val="21"/>
                <w:lang w:bidi="ar"/>
              </w:rPr>
              <w:t>，</w:t>
            </w:r>
            <w:r>
              <w:rPr>
                <w:szCs w:val="21"/>
              </w:rPr>
              <w:t>同时在苹果园内设置1座9400m</w:t>
            </w:r>
            <w:r>
              <w:rPr>
                <w:szCs w:val="21"/>
                <w:vertAlign w:val="superscript"/>
              </w:rPr>
              <w:t>3</w:t>
            </w:r>
            <w:r>
              <w:rPr>
                <w:szCs w:val="21"/>
              </w:rPr>
              <w:t>的沼液储存池储存沼液</w:t>
            </w:r>
          </w:p>
        </w:tc>
        <w:tc>
          <w:tcPr>
            <w:tcW w:w="1045" w:type="pct"/>
            <w:noWrap w:val="0"/>
            <w:vAlign w:val="center"/>
          </w:tcPr>
          <w:p w14:paraId="114C946D">
            <w:pPr>
              <w:adjustRightInd w:val="0"/>
              <w:snapToGrid w:val="0"/>
              <w:jc w:val="center"/>
              <w:rPr>
                <w:bCs/>
                <w:szCs w:val="21"/>
              </w:rPr>
            </w:pPr>
            <w:r>
              <w:rPr>
                <w:bCs/>
                <w:szCs w:val="21"/>
              </w:rPr>
              <w:t>污水处理站</w:t>
            </w:r>
          </w:p>
        </w:tc>
        <w:tc>
          <w:tcPr>
            <w:tcW w:w="397" w:type="pct"/>
            <w:noWrap w:val="0"/>
            <w:vAlign w:val="center"/>
          </w:tcPr>
          <w:p w14:paraId="67537632">
            <w:pPr>
              <w:adjustRightInd w:val="0"/>
              <w:snapToGrid w:val="0"/>
              <w:jc w:val="center"/>
              <w:rPr>
                <w:bCs/>
                <w:szCs w:val="21"/>
              </w:rPr>
            </w:pPr>
            <w:r>
              <w:rPr>
                <w:bCs/>
                <w:szCs w:val="21"/>
              </w:rPr>
              <w:t>5个</w:t>
            </w:r>
          </w:p>
        </w:tc>
        <w:tc>
          <w:tcPr>
            <w:tcW w:w="636" w:type="pct"/>
            <w:noWrap w:val="0"/>
            <w:vAlign w:val="center"/>
          </w:tcPr>
          <w:p w14:paraId="77D034CA">
            <w:pPr>
              <w:adjustRightInd w:val="0"/>
              <w:snapToGrid w:val="0"/>
              <w:jc w:val="center"/>
              <w:rPr>
                <w:bCs/>
                <w:szCs w:val="21"/>
              </w:rPr>
            </w:pPr>
            <w:r>
              <w:rPr>
                <w:bCs/>
                <w:szCs w:val="21"/>
              </w:rPr>
              <w:t>42.0</w:t>
            </w:r>
          </w:p>
        </w:tc>
      </w:tr>
      <w:tr w14:paraId="1B27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08BFCDAB">
            <w:pPr>
              <w:adjustRightInd w:val="0"/>
              <w:snapToGrid w:val="0"/>
              <w:jc w:val="center"/>
              <w:rPr>
                <w:bCs/>
                <w:szCs w:val="21"/>
              </w:rPr>
            </w:pPr>
          </w:p>
        </w:tc>
        <w:tc>
          <w:tcPr>
            <w:tcW w:w="403" w:type="pct"/>
            <w:vMerge w:val="continue"/>
            <w:noWrap w:val="0"/>
            <w:vAlign w:val="center"/>
          </w:tcPr>
          <w:p w14:paraId="7B5754D5">
            <w:pPr>
              <w:adjustRightInd w:val="0"/>
              <w:snapToGrid w:val="0"/>
              <w:jc w:val="center"/>
              <w:rPr>
                <w:bCs/>
                <w:szCs w:val="21"/>
              </w:rPr>
            </w:pPr>
          </w:p>
        </w:tc>
        <w:tc>
          <w:tcPr>
            <w:tcW w:w="2240" w:type="pct"/>
            <w:noWrap w:val="0"/>
            <w:vAlign w:val="center"/>
          </w:tcPr>
          <w:p w14:paraId="27F303AF">
            <w:pPr>
              <w:adjustRightInd w:val="0"/>
              <w:snapToGrid w:val="0"/>
              <w:jc w:val="center"/>
              <w:textAlignment w:val="center"/>
              <w:rPr>
                <w:szCs w:val="21"/>
              </w:rPr>
            </w:pPr>
            <w:r>
              <w:rPr>
                <w:szCs w:val="21"/>
              </w:rPr>
              <w:t>固粪处理区渗滤液导流沟；</w:t>
            </w:r>
          </w:p>
        </w:tc>
        <w:tc>
          <w:tcPr>
            <w:tcW w:w="1045" w:type="pct"/>
            <w:noWrap w:val="0"/>
            <w:vAlign w:val="center"/>
          </w:tcPr>
          <w:p w14:paraId="79A3D77E">
            <w:pPr>
              <w:adjustRightInd w:val="0"/>
              <w:snapToGrid w:val="0"/>
              <w:jc w:val="center"/>
              <w:rPr>
                <w:bCs/>
                <w:szCs w:val="21"/>
              </w:rPr>
            </w:pPr>
            <w:r>
              <w:rPr>
                <w:bCs/>
                <w:szCs w:val="21"/>
              </w:rPr>
              <w:t>堆肥发酵场</w:t>
            </w:r>
          </w:p>
        </w:tc>
        <w:tc>
          <w:tcPr>
            <w:tcW w:w="397" w:type="pct"/>
            <w:noWrap w:val="0"/>
            <w:vAlign w:val="center"/>
          </w:tcPr>
          <w:p w14:paraId="3B53901A">
            <w:pPr>
              <w:adjustRightInd w:val="0"/>
              <w:snapToGrid w:val="0"/>
              <w:jc w:val="center"/>
              <w:rPr>
                <w:bCs/>
                <w:szCs w:val="21"/>
              </w:rPr>
            </w:pPr>
            <w:r>
              <w:rPr>
                <w:bCs/>
                <w:szCs w:val="21"/>
              </w:rPr>
              <w:t>480m</w:t>
            </w:r>
          </w:p>
        </w:tc>
        <w:tc>
          <w:tcPr>
            <w:tcW w:w="636" w:type="pct"/>
            <w:noWrap w:val="0"/>
            <w:vAlign w:val="center"/>
          </w:tcPr>
          <w:p w14:paraId="4E873A71">
            <w:pPr>
              <w:adjustRightInd w:val="0"/>
              <w:snapToGrid w:val="0"/>
              <w:jc w:val="center"/>
              <w:rPr>
                <w:bCs/>
                <w:szCs w:val="21"/>
              </w:rPr>
            </w:pPr>
            <w:r>
              <w:rPr>
                <w:bCs/>
                <w:szCs w:val="21"/>
              </w:rPr>
              <w:t>5.0</w:t>
            </w:r>
          </w:p>
        </w:tc>
      </w:tr>
      <w:tr w14:paraId="410F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5C3D889C">
            <w:pPr>
              <w:adjustRightInd w:val="0"/>
              <w:snapToGrid w:val="0"/>
              <w:jc w:val="center"/>
              <w:rPr>
                <w:bCs/>
                <w:szCs w:val="21"/>
              </w:rPr>
            </w:pPr>
          </w:p>
        </w:tc>
        <w:tc>
          <w:tcPr>
            <w:tcW w:w="403" w:type="pct"/>
            <w:vMerge w:val="continue"/>
            <w:noWrap w:val="0"/>
            <w:vAlign w:val="center"/>
          </w:tcPr>
          <w:p w14:paraId="0CEFFCD1">
            <w:pPr>
              <w:adjustRightInd w:val="0"/>
              <w:snapToGrid w:val="0"/>
              <w:jc w:val="center"/>
              <w:rPr>
                <w:bCs/>
                <w:szCs w:val="21"/>
              </w:rPr>
            </w:pPr>
          </w:p>
        </w:tc>
        <w:tc>
          <w:tcPr>
            <w:tcW w:w="2240" w:type="pct"/>
            <w:noWrap w:val="0"/>
            <w:vAlign w:val="center"/>
          </w:tcPr>
          <w:p w14:paraId="5F1E3557">
            <w:pPr>
              <w:adjustRightInd w:val="0"/>
              <w:snapToGrid w:val="0"/>
              <w:jc w:val="center"/>
              <w:textAlignment w:val="center"/>
              <w:rPr>
                <w:szCs w:val="21"/>
              </w:rPr>
            </w:pPr>
            <w:r>
              <w:rPr>
                <w:szCs w:val="21"/>
              </w:rPr>
              <w:t>固粪处理区、无害化处理车间封闭建设，设置顶棚、围堰防止污染物流失，</w:t>
            </w:r>
          </w:p>
        </w:tc>
        <w:tc>
          <w:tcPr>
            <w:tcW w:w="1045" w:type="pct"/>
            <w:noWrap w:val="0"/>
            <w:vAlign w:val="center"/>
          </w:tcPr>
          <w:p w14:paraId="352875C7">
            <w:pPr>
              <w:adjustRightInd w:val="0"/>
              <w:snapToGrid w:val="0"/>
              <w:jc w:val="center"/>
              <w:rPr>
                <w:bCs/>
                <w:szCs w:val="21"/>
              </w:rPr>
            </w:pPr>
            <w:r>
              <w:rPr>
                <w:bCs/>
                <w:szCs w:val="21"/>
              </w:rPr>
              <w:t>堆肥发酵场、无害化车间</w:t>
            </w:r>
          </w:p>
        </w:tc>
        <w:tc>
          <w:tcPr>
            <w:tcW w:w="397" w:type="pct"/>
            <w:noWrap w:val="0"/>
            <w:vAlign w:val="center"/>
          </w:tcPr>
          <w:p w14:paraId="7CFACA2F">
            <w:pPr>
              <w:adjustRightInd w:val="0"/>
              <w:snapToGrid w:val="0"/>
              <w:jc w:val="center"/>
              <w:rPr>
                <w:bCs/>
                <w:szCs w:val="21"/>
              </w:rPr>
            </w:pPr>
            <w:r>
              <w:rPr>
                <w:bCs/>
                <w:szCs w:val="21"/>
              </w:rPr>
              <w:t>6</w:t>
            </w:r>
          </w:p>
        </w:tc>
        <w:tc>
          <w:tcPr>
            <w:tcW w:w="636" w:type="pct"/>
            <w:noWrap w:val="0"/>
            <w:vAlign w:val="center"/>
          </w:tcPr>
          <w:p w14:paraId="2C5D945D">
            <w:pPr>
              <w:adjustRightInd w:val="0"/>
              <w:snapToGrid w:val="0"/>
              <w:jc w:val="center"/>
              <w:rPr>
                <w:bCs/>
                <w:szCs w:val="21"/>
              </w:rPr>
            </w:pPr>
            <w:r>
              <w:rPr>
                <w:bCs/>
                <w:szCs w:val="21"/>
              </w:rPr>
              <w:t>14.0</w:t>
            </w:r>
          </w:p>
        </w:tc>
      </w:tr>
      <w:tr w14:paraId="52C6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7" w:type="pct"/>
            <w:vMerge w:val="continue"/>
            <w:noWrap w:val="0"/>
            <w:vAlign w:val="center"/>
          </w:tcPr>
          <w:p w14:paraId="3232B439">
            <w:pPr>
              <w:adjustRightInd w:val="0"/>
              <w:snapToGrid w:val="0"/>
              <w:jc w:val="center"/>
              <w:rPr>
                <w:bCs/>
                <w:szCs w:val="21"/>
              </w:rPr>
            </w:pPr>
          </w:p>
        </w:tc>
        <w:tc>
          <w:tcPr>
            <w:tcW w:w="403" w:type="pct"/>
            <w:vMerge w:val="restart"/>
            <w:noWrap w:val="0"/>
            <w:vAlign w:val="center"/>
          </w:tcPr>
          <w:p w14:paraId="07F03D52">
            <w:pPr>
              <w:adjustRightInd w:val="0"/>
              <w:snapToGrid w:val="0"/>
              <w:jc w:val="center"/>
              <w:rPr>
                <w:bCs/>
                <w:szCs w:val="21"/>
              </w:rPr>
            </w:pPr>
            <w:r>
              <w:rPr>
                <w:bCs/>
                <w:szCs w:val="21"/>
              </w:rPr>
              <w:t>固体废物处理措施</w:t>
            </w:r>
          </w:p>
        </w:tc>
        <w:tc>
          <w:tcPr>
            <w:tcW w:w="2240" w:type="pct"/>
            <w:noWrap w:val="0"/>
            <w:vAlign w:val="center"/>
          </w:tcPr>
          <w:p w14:paraId="4A6B1A58">
            <w:pPr>
              <w:rPr>
                <w:szCs w:val="21"/>
              </w:rPr>
            </w:pPr>
            <w:r>
              <w:rPr>
                <w:kern w:val="0"/>
                <w:szCs w:val="21"/>
                <w:lang w:bidi="ar"/>
              </w:rPr>
              <w:t>1号地盛丰通风井位置设置堆肥发酵区容积不小于250m</w:t>
            </w:r>
            <w:r>
              <w:rPr>
                <w:kern w:val="0"/>
                <w:szCs w:val="21"/>
                <w:vertAlign w:val="superscript"/>
                <w:lang w:bidi="ar"/>
              </w:rPr>
              <w:t>3</w:t>
            </w:r>
            <w:r>
              <w:rPr>
                <w:kern w:val="0"/>
                <w:szCs w:val="21"/>
                <w:lang w:bidi="ar"/>
              </w:rPr>
              <w:t>，2号盛丰焦化楼位置设置堆肥发酵区容积不小于500m</w:t>
            </w:r>
            <w:r>
              <w:rPr>
                <w:kern w:val="0"/>
                <w:szCs w:val="21"/>
                <w:vertAlign w:val="superscript"/>
                <w:lang w:bidi="ar"/>
              </w:rPr>
              <w:t>3</w:t>
            </w:r>
            <w:r>
              <w:rPr>
                <w:kern w:val="0"/>
                <w:szCs w:val="21"/>
                <w:lang w:bidi="ar"/>
              </w:rPr>
              <w:t>，3号老井位置设置堆肥发酵区容积不小于250m</w:t>
            </w:r>
            <w:r>
              <w:rPr>
                <w:kern w:val="0"/>
                <w:szCs w:val="21"/>
                <w:vertAlign w:val="superscript"/>
                <w:lang w:bidi="ar"/>
              </w:rPr>
              <w:t>3</w:t>
            </w:r>
            <w:r>
              <w:rPr>
                <w:kern w:val="0"/>
                <w:szCs w:val="21"/>
                <w:lang w:bidi="ar"/>
              </w:rPr>
              <w:t>，4号鑫旺板块位置设置堆肥发酵区容积不小于500m</w:t>
            </w:r>
            <w:r>
              <w:rPr>
                <w:kern w:val="0"/>
                <w:szCs w:val="21"/>
                <w:vertAlign w:val="superscript"/>
                <w:lang w:bidi="ar"/>
              </w:rPr>
              <w:t>3</w:t>
            </w:r>
            <w:r>
              <w:rPr>
                <w:kern w:val="0"/>
                <w:szCs w:val="21"/>
                <w:lang w:bidi="ar"/>
              </w:rPr>
              <w:t>，5号大河边位置设置堆肥发酵区容积不小于400m</w:t>
            </w:r>
            <w:r>
              <w:rPr>
                <w:kern w:val="0"/>
                <w:szCs w:val="21"/>
                <w:vertAlign w:val="superscript"/>
                <w:lang w:bidi="ar"/>
              </w:rPr>
              <w:t>3</w:t>
            </w:r>
            <w:r>
              <w:rPr>
                <w:kern w:val="0"/>
                <w:szCs w:val="21"/>
                <w:lang w:bidi="ar"/>
              </w:rPr>
              <w:t>。</w:t>
            </w:r>
          </w:p>
        </w:tc>
        <w:tc>
          <w:tcPr>
            <w:tcW w:w="1045" w:type="pct"/>
            <w:noWrap w:val="0"/>
            <w:vAlign w:val="center"/>
          </w:tcPr>
          <w:p w14:paraId="08EC301B">
            <w:pPr>
              <w:adjustRightInd w:val="0"/>
              <w:snapToGrid w:val="0"/>
              <w:jc w:val="center"/>
              <w:rPr>
                <w:bCs/>
                <w:szCs w:val="21"/>
              </w:rPr>
            </w:pPr>
            <w:r>
              <w:rPr>
                <w:szCs w:val="21"/>
              </w:rPr>
              <w:t>猪粪堆肥发酵区：</w:t>
            </w:r>
          </w:p>
        </w:tc>
        <w:tc>
          <w:tcPr>
            <w:tcW w:w="397" w:type="pct"/>
            <w:noWrap w:val="0"/>
            <w:vAlign w:val="center"/>
          </w:tcPr>
          <w:p w14:paraId="1175770D">
            <w:pPr>
              <w:adjustRightInd w:val="0"/>
              <w:snapToGrid w:val="0"/>
              <w:jc w:val="center"/>
              <w:rPr>
                <w:bCs/>
                <w:szCs w:val="21"/>
              </w:rPr>
            </w:pPr>
            <w:r>
              <w:rPr>
                <w:bCs/>
                <w:szCs w:val="21"/>
              </w:rPr>
              <w:t>5套</w:t>
            </w:r>
          </w:p>
        </w:tc>
        <w:tc>
          <w:tcPr>
            <w:tcW w:w="636" w:type="pct"/>
            <w:noWrap w:val="0"/>
            <w:vAlign w:val="center"/>
          </w:tcPr>
          <w:p w14:paraId="62B0859F">
            <w:pPr>
              <w:adjustRightInd w:val="0"/>
              <w:snapToGrid w:val="0"/>
              <w:jc w:val="center"/>
              <w:rPr>
                <w:bCs/>
                <w:szCs w:val="21"/>
              </w:rPr>
            </w:pPr>
            <w:r>
              <w:rPr>
                <w:bCs/>
                <w:szCs w:val="21"/>
              </w:rPr>
              <w:t>19.0</w:t>
            </w:r>
          </w:p>
        </w:tc>
      </w:tr>
      <w:tr w14:paraId="5F79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7" w:type="pct"/>
            <w:vMerge w:val="continue"/>
            <w:noWrap w:val="0"/>
            <w:vAlign w:val="center"/>
          </w:tcPr>
          <w:p w14:paraId="194F7A00">
            <w:pPr>
              <w:adjustRightInd w:val="0"/>
              <w:snapToGrid w:val="0"/>
              <w:jc w:val="center"/>
              <w:rPr>
                <w:bCs/>
                <w:szCs w:val="21"/>
              </w:rPr>
            </w:pPr>
          </w:p>
        </w:tc>
        <w:tc>
          <w:tcPr>
            <w:tcW w:w="403" w:type="pct"/>
            <w:vMerge w:val="continue"/>
            <w:noWrap w:val="0"/>
            <w:vAlign w:val="center"/>
          </w:tcPr>
          <w:p w14:paraId="7BA4C526">
            <w:pPr>
              <w:adjustRightInd w:val="0"/>
              <w:snapToGrid w:val="0"/>
              <w:jc w:val="center"/>
              <w:rPr>
                <w:bCs/>
                <w:szCs w:val="21"/>
              </w:rPr>
            </w:pPr>
          </w:p>
        </w:tc>
        <w:tc>
          <w:tcPr>
            <w:tcW w:w="2240" w:type="pct"/>
            <w:noWrap w:val="0"/>
            <w:vAlign w:val="center"/>
          </w:tcPr>
          <w:p w14:paraId="2902EE8D">
            <w:pPr>
              <w:jc w:val="center"/>
              <w:rPr>
                <w:szCs w:val="21"/>
              </w:rPr>
            </w:pPr>
            <w:r>
              <w:rPr>
                <w:kern w:val="0"/>
                <w:szCs w:val="21"/>
                <w:lang w:bidi="ar"/>
              </w:rPr>
              <w:t>鑫旺板块设置</w:t>
            </w:r>
            <w:r>
              <w:rPr>
                <w:szCs w:val="21"/>
              </w:rPr>
              <w:t>无害化处理车间1间</w:t>
            </w:r>
          </w:p>
        </w:tc>
        <w:tc>
          <w:tcPr>
            <w:tcW w:w="1045" w:type="pct"/>
            <w:noWrap w:val="0"/>
            <w:vAlign w:val="center"/>
          </w:tcPr>
          <w:p w14:paraId="7DAEAAFA">
            <w:pPr>
              <w:jc w:val="center"/>
              <w:rPr>
                <w:szCs w:val="21"/>
              </w:rPr>
            </w:pPr>
            <w:r>
              <w:rPr>
                <w:szCs w:val="21"/>
              </w:rPr>
              <w:t>无害化处理车间</w:t>
            </w:r>
          </w:p>
        </w:tc>
        <w:tc>
          <w:tcPr>
            <w:tcW w:w="397" w:type="pct"/>
            <w:noWrap w:val="0"/>
            <w:vAlign w:val="center"/>
          </w:tcPr>
          <w:p w14:paraId="1267D01C">
            <w:pPr>
              <w:jc w:val="center"/>
              <w:rPr>
                <w:szCs w:val="21"/>
              </w:rPr>
            </w:pPr>
            <w:r>
              <w:rPr>
                <w:kern w:val="0"/>
                <w:szCs w:val="21"/>
              </w:rPr>
              <w:t>50m</w:t>
            </w:r>
            <w:r>
              <w:rPr>
                <w:kern w:val="0"/>
                <w:szCs w:val="21"/>
                <w:vertAlign w:val="superscript"/>
              </w:rPr>
              <w:t>2</w:t>
            </w:r>
          </w:p>
        </w:tc>
        <w:tc>
          <w:tcPr>
            <w:tcW w:w="636" w:type="pct"/>
            <w:noWrap w:val="0"/>
            <w:vAlign w:val="center"/>
          </w:tcPr>
          <w:p w14:paraId="0B109712">
            <w:pPr>
              <w:adjustRightInd w:val="0"/>
              <w:snapToGrid w:val="0"/>
              <w:jc w:val="center"/>
              <w:rPr>
                <w:bCs/>
                <w:szCs w:val="21"/>
              </w:rPr>
            </w:pPr>
            <w:r>
              <w:rPr>
                <w:bCs/>
                <w:szCs w:val="21"/>
              </w:rPr>
              <w:t>15.0</w:t>
            </w:r>
          </w:p>
        </w:tc>
      </w:tr>
      <w:tr w14:paraId="1D5B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7" w:type="pct"/>
            <w:vMerge w:val="continue"/>
            <w:noWrap w:val="0"/>
            <w:vAlign w:val="center"/>
          </w:tcPr>
          <w:p w14:paraId="61ABCA02">
            <w:pPr>
              <w:adjustRightInd w:val="0"/>
              <w:snapToGrid w:val="0"/>
              <w:jc w:val="center"/>
              <w:rPr>
                <w:bCs/>
                <w:szCs w:val="21"/>
              </w:rPr>
            </w:pPr>
          </w:p>
        </w:tc>
        <w:tc>
          <w:tcPr>
            <w:tcW w:w="403" w:type="pct"/>
            <w:vMerge w:val="continue"/>
            <w:noWrap w:val="0"/>
            <w:vAlign w:val="center"/>
          </w:tcPr>
          <w:p w14:paraId="714B5A47">
            <w:pPr>
              <w:adjustRightInd w:val="0"/>
              <w:snapToGrid w:val="0"/>
              <w:jc w:val="center"/>
              <w:rPr>
                <w:bCs/>
                <w:szCs w:val="21"/>
              </w:rPr>
            </w:pPr>
          </w:p>
        </w:tc>
        <w:tc>
          <w:tcPr>
            <w:tcW w:w="2240" w:type="pct"/>
            <w:noWrap w:val="0"/>
            <w:vAlign w:val="center"/>
          </w:tcPr>
          <w:p w14:paraId="5435D0B8">
            <w:pPr>
              <w:jc w:val="center"/>
              <w:rPr>
                <w:szCs w:val="21"/>
              </w:rPr>
            </w:pPr>
            <w:r>
              <w:rPr>
                <w:szCs w:val="21"/>
              </w:rPr>
              <w:t>各养殖场地内各设置1间医疗废物暂存间，共设置5间医疗废物暂存间，每间10m</w:t>
            </w:r>
            <w:r>
              <w:rPr>
                <w:szCs w:val="21"/>
                <w:vertAlign w:val="superscript"/>
              </w:rPr>
              <w:t>2</w:t>
            </w:r>
          </w:p>
        </w:tc>
        <w:tc>
          <w:tcPr>
            <w:tcW w:w="1045" w:type="pct"/>
            <w:noWrap w:val="0"/>
            <w:vAlign w:val="center"/>
          </w:tcPr>
          <w:p w14:paraId="7EC4F682">
            <w:pPr>
              <w:jc w:val="center"/>
              <w:rPr>
                <w:szCs w:val="21"/>
              </w:rPr>
            </w:pPr>
            <w:r>
              <w:rPr>
                <w:kern w:val="0"/>
                <w:szCs w:val="21"/>
              </w:rPr>
              <w:t>生产办公附属房内</w:t>
            </w:r>
          </w:p>
        </w:tc>
        <w:tc>
          <w:tcPr>
            <w:tcW w:w="397" w:type="pct"/>
            <w:noWrap w:val="0"/>
            <w:vAlign w:val="center"/>
          </w:tcPr>
          <w:p w14:paraId="1B460BB9">
            <w:pPr>
              <w:jc w:val="center"/>
              <w:rPr>
                <w:szCs w:val="21"/>
              </w:rPr>
            </w:pPr>
            <w:r>
              <w:rPr>
                <w:szCs w:val="21"/>
              </w:rPr>
              <w:t>5间</w:t>
            </w:r>
          </w:p>
        </w:tc>
        <w:tc>
          <w:tcPr>
            <w:tcW w:w="636" w:type="pct"/>
            <w:noWrap w:val="0"/>
            <w:vAlign w:val="center"/>
          </w:tcPr>
          <w:p w14:paraId="0E9DBE5D">
            <w:pPr>
              <w:adjustRightInd w:val="0"/>
              <w:snapToGrid w:val="0"/>
              <w:jc w:val="center"/>
              <w:rPr>
                <w:bCs/>
                <w:szCs w:val="21"/>
              </w:rPr>
            </w:pPr>
            <w:r>
              <w:rPr>
                <w:bCs/>
                <w:szCs w:val="21"/>
              </w:rPr>
              <w:t>5.0</w:t>
            </w:r>
          </w:p>
        </w:tc>
      </w:tr>
      <w:tr w14:paraId="5AF4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7" w:type="pct"/>
            <w:vMerge w:val="continue"/>
            <w:noWrap w:val="0"/>
            <w:vAlign w:val="center"/>
          </w:tcPr>
          <w:p w14:paraId="2589C32B">
            <w:pPr>
              <w:adjustRightInd w:val="0"/>
              <w:snapToGrid w:val="0"/>
              <w:jc w:val="center"/>
              <w:rPr>
                <w:bCs/>
                <w:szCs w:val="21"/>
              </w:rPr>
            </w:pPr>
          </w:p>
        </w:tc>
        <w:tc>
          <w:tcPr>
            <w:tcW w:w="403" w:type="pct"/>
            <w:vMerge w:val="continue"/>
            <w:noWrap w:val="0"/>
            <w:vAlign w:val="center"/>
          </w:tcPr>
          <w:p w14:paraId="15BD3864">
            <w:pPr>
              <w:adjustRightInd w:val="0"/>
              <w:snapToGrid w:val="0"/>
              <w:jc w:val="center"/>
              <w:rPr>
                <w:bCs/>
                <w:szCs w:val="21"/>
              </w:rPr>
            </w:pPr>
          </w:p>
        </w:tc>
        <w:tc>
          <w:tcPr>
            <w:tcW w:w="2240" w:type="pct"/>
            <w:noWrap w:val="0"/>
            <w:vAlign w:val="center"/>
          </w:tcPr>
          <w:p w14:paraId="683DC401">
            <w:pPr>
              <w:jc w:val="center"/>
              <w:rPr>
                <w:szCs w:val="21"/>
              </w:rPr>
            </w:pPr>
            <w:r>
              <w:rPr>
                <w:szCs w:val="21"/>
              </w:rPr>
              <w:t>生活垃圾收桶若干</w:t>
            </w:r>
          </w:p>
        </w:tc>
        <w:tc>
          <w:tcPr>
            <w:tcW w:w="1045" w:type="pct"/>
            <w:noWrap w:val="0"/>
            <w:vAlign w:val="center"/>
          </w:tcPr>
          <w:p w14:paraId="4D1FB0DE">
            <w:pPr>
              <w:jc w:val="center"/>
              <w:rPr>
                <w:szCs w:val="21"/>
              </w:rPr>
            </w:pPr>
            <w:r>
              <w:rPr>
                <w:kern w:val="0"/>
                <w:szCs w:val="21"/>
              </w:rPr>
              <w:t>办公生活区、食堂</w:t>
            </w:r>
          </w:p>
        </w:tc>
        <w:tc>
          <w:tcPr>
            <w:tcW w:w="397" w:type="pct"/>
            <w:noWrap w:val="0"/>
            <w:vAlign w:val="center"/>
          </w:tcPr>
          <w:p w14:paraId="3D366B18">
            <w:pPr>
              <w:jc w:val="center"/>
              <w:rPr>
                <w:szCs w:val="21"/>
              </w:rPr>
            </w:pPr>
            <w:r>
              <w:rPr>
                <w:bCs/>
                <w:szCs w:val="21"/>
              </w:rPr>
              <w:t>若干</w:t>
            </w:r>
          </w:p>
        </w:tc>
        <w:tc>
          <w:tcPr>
            <w:tcW w:w="636" w:type="pct"/>
            <w:noWrap w:val="0"/>
            <w:vAlign w:val="center"/>
          </w:tcPr>
          <w:p w14:paraId="4B292CC8">
            <w:pPr>
              <w:adjustRightInd w:val="0"/>
              <w:snapToGrid w:val="0"/>
              <w:jc w:val="center"/>
              <w:rPr>
                <w:bCs/>
                <w:szCs w:val="21"/>
              </w:rPr>
            </w:pPr>
            <w:r>
              <w:rPr>
                <w:bCs/>
                <w:szCs w:val="21"/>
              </w:rPr>
              <w:t>0.9</w:t>
            </w:r>
          </w:p>
        </w:tc>
      </w:tr>
      <w:tr w14:paraId="575A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7" w:type="pct"/>
            <w:vMerge w:val="continue"/>
            <w:noWrap w:val="0"/>
            <w:vAlign w:val="center"/>
          </w:tcPr>
          <w:p w14:paraId="5AD2D4BD">
            <w:pPr>
              <w:adjustRightInd w:val="0"/>
              <w:snapToGrid w:val="0"/>
              <w:jc w:val="center"/>
              <w:rPr>
                <w:bCs/>
                <w:szCs w:val="21"/>
              </w:rPr>
            </w:pPr>
          </w:p>
        </w:tc>
        <w:tc>
          <w:tcPr>
            <w:tcW w:w="403" w:type="pct"/>
            <w:vMerge w:val="continue"/>
            <w:noWrap w:val="0"/>
            <w:vAlign w:val="center"/>
          </w:tcPr>
          <w:p w14:paraId="6AD8E24D">
            <w:pPr>
              <w:adjustRightInd w:val="0"/>
              <w:snapToGrid w:val="0"/>
              <w:jc w:val="center"/>
              <w:rPr>
                <w:bCs/>
                <w:szCs w:val="21"/>
              </w:rPr>
            </w:pPr>
          </w:p>
        </w:tc>
        <w:tc>
          <w:tcPr>
            <w:tcW w:w="2240" w:type="pct"/>
            <w:noWrap w:val="0"/>
            <w:vAlign w:val="center"/>
          </w:tcPr>
          <w:p w14:paraId="207E4224">
            <w:pPr>
              <w:jc w:val="center"/>
              <w:rPr>
                <w:szCs w:val="21"/>
              </w:rPr>
            </w:pPr>
            <w:r>
              <w:rPr>
                <w:szCs w:val="21"/>
              </w:rPr>
              <w:t>废包装材料等一般固废暂存间5间</w:t>
            </w:r>
          </w:p>
        </w:tc>
        <w:tc>
          <w:tcPr>
            <w:tcW w:w="1045" w:type="pct"/>
            <w:noWrap w:val="0"/>
            <w:vAlign w:val="center"/>
          </w:tcPr>
          <w:p w14:paraId="7BFFED4D">
            <w:pPr>
              <w:jc w:val="center"/>
              <w:rPr>
                <w:kern w:val="0"/>
                <w:szCs w:val="21"/>
              </w:rPr>
            </w:pPr>
            <w:r>
              <w:rPr>
                <w:kern w:val="0"/>
                <w:szCs w:val="21"/>
              </w:rPr>
              <w:t>办公生活区</w:t>
            </w:r>
          </w:p>
        </w:tc>
        <w:tc>
          <w:tcPr>
            <w:tcW w:w="397" w:type="pct"/>
            <w:noWrap w:val="0"/>
            <w:vAlign w:val="center"/>
          </w:tcPr>
          <w:p w14:paraId="65D703DC">
            <w:pPr>
              <w:jc w:val="center"/>
              <w:rPr>
                <w:kern w:val="0"/>
                <w:szCs w:val="21"/>
              </w:rPr>
            </w:pPr>
            <w:r>
              <w:rPr>
                <w:szCs w:val="21"/>
              </w:rPr>
              <w:t>5间</w:t>
            </w:r>
          </w:p>
        </w:tc>
        <w:tc>
          <w:tcPr>
            <w:tcW w:w="636" w:type="pct"/>
            <w:noWrap w:val="0"/>
            <w:vAlign w:val="center"/>
          </w:tcPr>
          <w:p w14:paraId="77945C17">
            <w:pPr>
              <w:adjustRightInd w:val="0"/>
              <w:snapToGrid w:val="0"/>
              <w:jc w:val="center"/>
              <w:rPr>
                <w:bCs/>
                <w:szCs w:val="21"/>
              </w:rPr>
            </w:pPr>
            <w:r>
              <w:rPr>
                <w:bCs/>
                <w:szCs w:val="21"/>
              </w:rPr>
              <w:t>1.0</w:t>
            </w:r>
          </w:p>
        </w:tc>
      </w:tr>
      <w:tr w14:paraId="3036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77" w:type="pct"/>
            <w:vMerge w:val="continue"/>
            <w:noWrap w:val="0"/>
            <w:vAlign w:val="center"/>
          </w:tcPr>
          <w:p w14:paraId="5BF6A714">
            <w:pPr>
              <w:adjustRightInd w:val="0"/>
              <w:snapToGrid w:val="0"/>
              <w:jc w:val="center"/>
              <w:rPr>
                <w:bCs/>
                <w:szCs w:val="21"/>
              </w:rPr>
            </w:pPr>
          </w:p>
        </w:tc>
        <w:tc>
          <w:tcPr>
            <w:tcW w:w="403" w:type="pct"/>
            <w:noWrap w:val="0"/>
            <w:vAlign w:val="center"/>
          </w:tcPr>
          <w:p w14:paraId="64F68947">
            <w:pPr>
              <w:adjustRightInd w:val="0"/>
              <w:snapToGrid w:val="0"/>
              <w:jc w:val="center"/>
              <w:rPr>
                <w:bCs/>
                <w:szCs w:val="21"/>
              </w:rPr>
            </w:pPr>
            <w:r>
              <w:rPr>
                <w:bCs/>
                <w:szCs w:val="21"/>
              </w:rPr>
              <w:t>噪声治理</w:t>
            </w:r>
          </w:p>
        </w:tc>
        <w:tc>
          <w:tcPr>
            <w:tcW w:w="2240" w:type="pct"/>
            <w:noWrap w:val="0"/>
            <w:vAlign w:val="center"/>
          </w:tcPr>
          <w:p w14:paraId="549F7CD6">
            <w:pPr>
              <w:adjustRightInd w:val="0"/>
              <w:snapToGrid w:val="0"/>
              <w:jc w:val="center"/>
              <w:rPr>
                <w:bCs/>
                <w:szCs w:val="21"/>
              </w:rPr>
            </w:pPr>
            <w:r>
              <w:rPr>
                <w:bCs/>
                <w:szCs w:val="21"/>
              </w:rPr>
              <w:t>减振、消声、隔声等措施</w:t>
            </w:r>
          </w:p>
        </w:tc>
        <w:tc>
          <w:tcPr>
            <w:tcW w:w="1045" w:type="pct"/>
            <w:noWrap w:val="0"/>
            <w:vAlign w:val="center"/>
          </w:tcPr>
          <w:p w14:paraId="00922BEC">
            <w:pPr>
              <w:adjustRightInd w:val="0"/>
              <w:snapToGrid w:val="0"/>
              <w:jc w:val="center"/>
              <w:rPr>
                <w:bCs/>
                <w:szCs w:val="21"/>
              </w:rPr>
            </w:pPr>
            <w:r>
              <w:rPr>
                <w:bCs/>
                <w:szCs w:val="21"/>
              </w:rPr>
              <w:t>/</w:t>
            </w:r>
          </w:p>
        </w:tc>
        <w:tc>
          <w:tcPr>
            <w:tcW w:w="397" w:type="pct"/>
            <w:noWrap w:val="0"/>
            <w:vAlign w:val="center"/>
          </w:tcPr>
          <w:p w14:paraId="7241E9B6">
            <w:pPr>
              <w:adjustRightInd w:val="0"/>
              <w:snapToGrid w:val="0"/>
              <w:jc w:val="center"/>
              <w:rPr>
                <w:bCs/>
                <w:szCs w:val="21"/>
              </w:rPr>
            </w:pPr>
            <w:r>
              <w:rPr>
                <w:bCs/>
                <w:szCs w:val="21"/>
              </w:rPr>
              <w:t>若干</w:t>
            </w:r>
          </w:p>
        </w:tc>
        <w:tc>
          <w:tcPr>
            <w:tcW w:w="636" w:type="pct"/>
            <w:noWrap w:val="0"/>
            <w:vAlign w:val="center"/>
          </w:tcPr>
          <w:p w14:paraId="2F5630D7">
            <w:pPr>
              <w:adjustRightInd w:val="0"/>
              <w:snapToGrid w:val="0"/>
              <w:jc w:val="center"/>
              <w:rPr>
                <w:bCs/>
                <w:szCs w:val="21"/>
              </w:rPr>
            </w:pPr>
            <w:r>
              <w:rPr>
                <w:bCs/>
                <w:szCs w:val="21"/>
              </w:rPr>
              <w:t>20.0</w:t>
            </w:r>
          </w:p>
        </w:tc>
      </w:tr>
      <w:tr w14:paraId="5F0C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51258C09">
            <w:pPr>
              <w:adjustRightInd w:val="0"/>
              <w:snapToGrid w:val="0"/>
              <w:jc w:val="center"/>
              <w:rPr>
                <w:bCs/>
                <w:szCs w:val="21"/>
              </w:rPr>
            </w:pPr>
          </w:p>
        </w:tc>
        <w:tc>
          <w:tcPr>
            <w:tcW w:w="403" w:type="pct"/>
            <w:noWrap w:val="0"/>
            <w:vAlign w:val="center"/>
          </w:tcPr>
          <w:p w14:paraId="06AE5B90">
            <w:pPr>
              <w:adjustRightInd w:val="0"/>
              <w:snapToGrid w:val="0"/>
              <w:jc w:val="center"/>
              <w:rPr>
                <w:bCs/>
                <w:szCs w:val="21"/>
              </w:rPr>
            </w:pPr>
            <w:r>
              <w:rPr>
                <w:bCs/>
                <w:szCs w:val="21"/>
              </w:rPr>
              <w:t>风险</w:t>
            </w:r>
          </w:p>
        </w:tc>
        <w:tc>
          <w:tcPr>
            <w:tcW w:w="2240" w:type="pct"/>
            <w:noWrap w:val="0"/>
            <w:vAlign w:val="center"/>
          </w:tcPr>
          <w:p w14:paraId="34E3B02F">
            <w:pPr>
              <w:adjustRightInd w:val="0"/>
              <w:snapToGrid w:val="0"/>
              <w:jc w:val="center"/>
              <w:textAlignment w:val="center"/>
              <w:rPr>
                <w:szCs w:val="21"/>
              </w:rPr>
            </w:pPr>
            <w:r>
              <w:rPr>
                <w:szCs w:val="21"/>
              </w:rPr>
              <w:t>消防器材等，加强设备的维护，按规定定期对沼气储罐、管道系统进行密封性和压强测试；建立事故应急预案；加强操作人员的技术培训和岗位责任制教育</w:t>
            </w:r>
          </w:p>
        </w:tc>
        <w:tc>
          <w:tcPr>
            <w:tcW w:w="1045" w:type="pct"/>
            <w:noWrap w:val="0"/>
            <w:vAlign w:val="center"/>
          </w:tcPr>
          <w:p w14:paraId="57803F34">
            <w:pPr>
              <w:adjustRightInd w:val="0"/>
              <w:snapToGrid w:val="0"/>
              <w:jc w:val="center"/>
              <w:rPr>
                <w:bCs/>
                <w:szCs w:val="21"/>
              </w:rPr>
            </w:pPr>
            <w:r>
              <w:rPr>
                <w:bCs/>
                <w:szCs w:val="21"/>
              </w:rPr>
              <w:t>/</w:t>
            </w:r>
          </w:p>
        </w:tc>
        <w:tc>
          <w:tcPr>
            <w:tcW w:w="397" w:type="pct"/>
            <w:noWrap w:val="0"/>
            <w:vAlign w:val="center"/>
          </w:tcPr>
          <w:p w14:paraId="79C84F6B">
            <w:pPr>
              <w:adjustRightInd w:val="0"/>
              <w:snapToGrid w:val="0"/>
              <w:jc w:val="center"/>
              <w:rPr>
                <w:bCs/>
                <w:szCs w:val="21"/>
              </w:rPr>
            </w:pPr>
            <w:r>
              <w:rPr>
                <w:bCs/>
                <w:szCs w:val="21"/>
              </w:rPr>
              <w:t>/</w:t>
            </w:r>
          </w:p>
        </w:tc>
        <w:tc>
          <w:tcPr>
            <w:tcW w:w="636" w:type="pct"/>
            <w:noWrap w:val="0"/>
            <w:vAlign w:val="center"/>
          </w:tcPr>
          <w:p w14:paraId="32A48D7C">
            <w:pPr>
              <w:adjustRightInd w:val="0"/>
              <w:snapToGrid w:val="0"/>
              <w:jc w:val="center"/>
              <w:rPr>
                <w:bCs/>
                <w:szCs w:val="21"/>
              </w:rPr>
            </w:pPr>
            <w:r>
              <w:rPr>
                <w:bCs/>
                <w:szCs w:val="21"/>
              </w:rPr>
              <w:t>3.0</w:t>
            </w:r>
          </w:p>
        </w:tc>
      </w:tr>
      <w:tr w14:paraId="2FB7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76FF06E5">
            <w:pPr>
              <w:adjustRightInd w:val="0"/>
              <w:snapToGrid w:val="0"/>
              <w:jc w:val="center"/>
              <w:rPr>
                <w:bCs/>
                <w:szCs w:val="21"/>
              </w:rPr>
            </w:pPr>
          </w:p>
        </w:tc>
        <w:tc>
          <w:tcPr>
            <w:tcW w:w="403" w:type="pct"/>
            <w:vMerge w:val="restart"/>
            <w:noWrap w:val="0"/>
            <w:vAlign w:val="center"/>
          </w:tcPr>
          <w:p w14:paraId="7BD8356D">
            <w:pPr>
              <w:adjustRightInd w:val="0"/>
              <w:snapToGrid w:val="0"/>
              <w:jc w:val="center"/>
              <w:rPr>
                <w:bCs/>
                <w:szCs w:val="21"/>
              </w:rPr>
            </w:pPr>
            <w:r>
              <w:rPr>
                <w:bCs/>
                <w:szCs w:val="21"/>
              </w:rPr>
              <w:t>厂区防渗</w:t>
            </w:r>
          </w:p>
        </w:tc>
        <w:tc>
          <w:tcPr>
            <w:tcW w:w="2240" w:type="pct"/>
            <w:noWrap w:val="0"/>
            <w:vAlign w:val="center"/>
          </w:tcPr>
          <w:p w14:paraId="2DBA2C27">
            <w:pPr>
              <w:adjustRightInd w:val="0"/>
              <w:snapToGrid w:val="0"/>
              <w:jc w:val="center"/>
              <w:rPr>
                <w:szCs w:val="21"/>
              </w:rPr>
            </w:pPr>
            <w:r>
              <w:rPr>
                <w:szCs w:val="21"/>
              </w:rPr>
              <w:t>重点防渗区包括：</w:t>
            </w:r>
            <w:r>
              <w:rPr>
                <w:spacing w:val="-8"/>
                <w:szCs w:val="21"/>
              </w:rPr>
              <w:t>各单元</w:t>
            </w:r>
            <w:r>
              <w:rPr>
                <w:szCs w:val="21"/>
              </w:rPr>
              <w:t>防渗层等效黏土防渗层 Mb≥6.0m，渗透系数≤10</w:t>
            </w:r>
            <w:r>
              <w:rPr>
                <w:szCs w:val="21"/>
                <w:vertAlign w:val="superscript"/>
              </w:rPr>
              <w:t>-7</w:t>
            </w:r>
            <w:r>
              <w:rPr>
                <w:szCs w:val="21"/>
              </w:rPr>
              <w:t>cm/s</w:t>
            </w:r>
          </w:p>
        </w:tc>
        <w:tc>
          <w:tcPr>
            <w:tcW w:w="1045" w:type="pct"/>
            <w:noWrap w:val="0"/>
            <w:vAlign w:val="center"/>
          </w:tcPr>
          <w:p w14:paraId="562EB3AC">
            <w:pPr>
              <w:adjustRightInd w:val="0"/>
              <w:snapToGrid w:val="0"/>
              <w:jc w:val="center"/>
              <w:rPr>
                <w:bCs/>
                <w:szCs w:val="21"/>
              </w:rPr>
            </w:pPr>
            <w:r>
              <w:rPr>
                <w:szCs w:val="21"/>
              </w:rPr>
              <w:t>猪舍、粪污收集系统（包括猪舍下污粪尿储存池、粪污输送管道、污水收集管网）、 污水处理站（含沼液暂存池、集污池兼事故应急池）、堆肥发酵间（包括堆肥间内的渗滤液收集沟）、无害化处理间、危废暂存间</w:t>
            </w:r>
          </w:p>
        </w:tc>
        <w:tc>
          <w:tcPr>
            <w:tcW w:w="397" w:type="pct"/>
            <w:noWrap w:val="0"/>
            <w:vAlign w:val="center"/>
          </w:tcPr>
          <w:p w14:paraId="240B7C02">
            <w:pPr>
              <w:adjustRightInd w:val="0"/>
              <w:snapToGrid w:val="0"/>
              <w:jc w:val="center"/>
              <w:rPr>
                <w:bCs/>
                <w:szCs w:val="21"/>
              </w:rPr>
            </w:pPr>
            <w:r>
              <w:rPr>
                <w:bCs/>
                <w:szCs w:val="21"/>
              </w:rPr>
              <w:t>/</w:t>
            </w:r>
          </w:p>
        </w:tc>
        <w:tc>
          <w:tcPr>
            <w:tcW w:w="636" w:type="pct"/>
            <w:noWrap w:val="0"/>
            <w:vAlign w:val="center"/>
          </w:tcPr>
          <w:p w14:paraId="7173D248">
            <w:pPr>
              <w:adjustRightInd w:val="0"/>
              <w:snapToGrid w:val="0"/>
              <w:jc w:val="center"/>
              <w:rPr>
                <w:bCs/>
                <w:szCs w:val="21"/>
              </w:rPr>
            </w:pPr>
            <w:r>
              <w:rPr>
                <w:bCs/>
                <w:szCs w:val="21"/>
              </w:rPr>
              <w:t>95.0</w:t>
            </w:r>
          </w:p>
        </w:tc>
      </w:tr>
      <w:tr w14:paraId="1815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0F2984DD">
            <w:pPr>
              <w:adjustRightInd w:val="0"/>
              <w:snapToGrid w:val="0"/>
              <w:jc w:val="center"/>
              <w:rPr>
                <w:bCs/>
                <w:szCs w:val="21"/>
              </w:rPr>
            </w:pPr>
          </w:p>
        </w:tc>
        <w:tc>
          <w:tcPr>
            <w:tcW w:w="403" w:type="pct"/>
            <w:vMerge w:val="continue"/>
            <w:noWrap w:val="0"/>
            <w:vAlign w:val="center"/>
          </w:tcPr>
          <w:p w14:paraId="4D7C7F5E">
            <w:pPr>
              <w:adjustRightInd w:val="0"/>
              <w:snapToGrid w:val="0"/>
              <w:jc w:val="center"/>
              <w:rPr>
                <w:bCs/>
                <w:szCs w:val="21"/>
              </w:rPr>
            </w:pPr>
          </w:p>
        </w:tc>
        <w:tc>
          <w:tcPr>
            <w:tcW w:w="2240" w:type="pct"/>
            <w:noWrap w:val="0"/>
            <w:vAlign w:val="center"/>
          </w:tcPr>
          <w:p w14:paraId="0E511535">
            <w:pPr>
              <w:adjustRightInd w:val="0"/>
              <w:snapToGrid w:val="0"/>
              <w:jc w:val="center"/>
              <w:rPr>
                <w:bCs/>
                <w:szCs w:val="21"/>
              </w:rPr>
            </w:pPr>
            <w:r>
              <w:rPr>
                <w:szCs w:val="21"/>
              </w:rPr>
              <w:t>一般防渗区包括：</w:t>
            </w:r>
            <w:r>
              <w:rPr>
                <w:spacing w:val="-7"/>
                <w:szCs w:val="21"/>
              </w:rPr>
              <w:t xml:space="preserve">粘土铺底，等效黏土防渗层 </w:t>
            </w:r>
            <w:r>
              <w:rPr>
                <w:rFonts w:eastAsia="Times New Roman"/>
                <w:spacing w:val="-4"/>
                <w:szCs w:val="21"/>
              </w:rPr>
              <w:t>Mb≥1.5m</w:t>
            </w:r>
            <w:r>
              <w:rPr>
                <w:spacing w:val="-4"/>
                <w:szCs w:val="21"/>
              </w:rPr>
              <w:t>，</w:t>
            </w:r>
            <w:r>
              <w:rPr>
                <w:rFonts w:eastAsia="Times New Roman"/>
                <w:spacing w:val="-4"/>
                <w:szCs w:val="21"/>
              </w:rPr>
              <w:t>K≤1×10</w:t>
            </w:r>
            <w:r>
              <w:rPr>
                <w:spacing w:val="-4"/>
                <w:szCs w:val="21"/>
                <w:vertAlign w:val="superscript"/>
              </w:rPr>
              <w:t>-7</w:t>
            </w:r>
            <w:r>
              <w:rPr>
                <w:rFonts w:eastAsia="Times New Roman"/>
                <w:szCs w:val="21"/>
              </w:rPr>
              <w:t>cm/s</w:t>
            </w:r>
            <w:r>
              <w:rPr>
                <w:szCs w:val="21"/>
              </w:rPr>
              <w:t xml:space="preserve">， </w:t>
            </w:r>
            <w:r>
              <w:rPr>
                <w:spacing w:val="-11"/>
                <w:szCs w:val="21"/>
              </w:rPr>
              <w:t xml:space="preserve">再在上层铺 </w:t>
            </w:r>
            <w:r>
              <w:rPr>
                <w:rFonts w:eastAsia="Times New Roman"/>
                <w:szCs w:val="21"/>
              </w:rPr>
              <w:t xml:space="preserve">10~15cm </w:t>
            </w:r>
            <w:r>
              <w:rPr>
                <w:szCs w:val="21"/>
              </w:rPr>
              <w:t>水泥进行硬化</w:t>
            </w:r>
          </w:p>
        </w:tc>
        <w:tc>
          <w:tcPr>
            <w:tcW w:w="1045" w:type="pct"/>
            <w:noWrap w:val="0"/>
            <w:vAlign w:val="center"/>
          </w:tcPr>
          <w:p w14:paraId="75D4691C">
            <w:pPr>
              <w:adjustRightInd w:val="0"/>
              <w:snapToGrid w:val="0"/>
              <w:jc w:val="center"/>
              <w:rPr>
                <w:bCs/>
                <w:szCs w:val="21"/>
              </w:rPr>
            </w:pPr>
            <w:r>
              <w:rPr>
                <w:szCs w:val="21"/>
              </w:rPr>
              <w:t>化粪池、消毒物品存放间、消毒间</w:t>
            </w:r>
          </w:p>
        </w:tc>
        <w:tc>
          <w:tcPr>
            <w:tcW w:w="397" w:type="pct"/>
            <w:noWrap w:val="0"/>
            <w:vAlign w:val="center"/>
          </w:tcPr>
          <w:p w14:paraId="60F0E713">
            <w:pPr>
              <w:adjustRightInd w:val="0"/>
              <w:snapToGrid w:val="0"/>
              <w:jc w:val="center"/>
              <w:rPr>
                <w:bCs/>
                <w:szCs w:val="21"/>
              </w:rPr>
            </w:pPr>
            <w:r>
              <w:rPr>
                <w:bCs/>
                <w:szCs w:val="21"/>
              </w:rPr>
              <w:t>/</w:t>
            </w:r>
          </w:p>
        </w:tc>
        <w:tc>
          <w:tcPr>
            <w:tcW w:w="636" w:type="pct"/>
            <w:noWrap w:val="0"/>
            <w:vAlign w:val="center"/>
          </w:tcPr>
          <w:p w14:paraId="2F0D3BEC">
            <w:pPr>
              <w:adjustRightInd w:val="0"/>
              <w:snapToGrid w:val="0"/>
              <w:jc w:val="center"/>
              <w:rPr>
                <w:bCs/>
                <w:szCs w:val="21"/>
              </w:rPr>
            </w:pPr>
            <w:r>
              <w:rPr>
                <w:bCs/>
                <w:szCs w:val="21"/>
              </w:rPr>
              <w:t>48.0</w:t>
            </w:r>
          </w:p>
        </w:tc>
      </w:tr>
      <w:tr w14:paraId="0F5F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3AD4CFA5">
            <w:pPr>
              <w:adjustRightInd w:val="0"/>
              <w:snapToGrid w:val="0"/>
              <w:jc w:val="center"/>
              <w:rPr>
                <w:bCs/>
                <w:szCs w:val="21"/>
              </w:rPr>
            </w:pPr>
          </w:p>
        </w:tc>
        <w:tc>
          <w:tcPr>
            <w:tcW w:w="403" w:type="pct"/>
            <w:vMerge w:val="continue"/>
            <w:noWrap w:val="0"/>
            <w:vAlign w:val="center"/>
          </w:tcPr>
          <w:p w14:paraId="558FAA4F">
            <w:pPr>
              <w:adjustRightInd w:val="0"/>
              <w:snapToGrid w:val="0"/>
              <w:jc w:val="center"/>
              <w:rPr>
                <w:bCs/>
                <w:szCs w:val="21"/>
              </w:rPr>
            </w:pPr>
          </w:p>
        </w:tc>
        <w:tc>
          <w:tcPr>
            <w:tcW w:w="2240" w:type="pct"/>
            <w:noWrap w:val="0"/>
            <w:vAlign w:val="center"/>
          </w:tcPr>
          <w:p w14:paraId="78980D30">
            <w:pPr>
              <w:adjustRightInd w:val="0"/>
              <w:snapToGrid w:val="0"/>
              <w:jc w:val="center"/>
              <w:rPr>
                <w:bCs/>
                <w:szCs w:val="21"/>
              </w:rPr>
            </w:pPr>
            <w:r>
              <w:rPr>
                <w:szCs w:val="21"/>
              </w:rPr>
              <w:t>简单防渗区：地面采用水泥硬化</w:t>
            </w:r>
          </w:p>
        </w:tc>
        <w:tc>
          <w:tcPr>
            <w:tcW w:w="1045" w:type="pct"/>
            <w:noWrap w:val="0"/>
            <w:vAlign w:val="center"/>
          </w:tcPr>
          <w:p w14:paraId="121FA24F">
            <w:pPr>
              <w:adjustRightInd w:val="0"/>
              <w:snapToGrid w:val="0"/>
              <w:jc w:val="center"/>
              <w:rPr>
                <w:bCs/>
                <w:szCs w:val="21"/>
              </w:rPr>
            </w:pPr>
            <w:r>
              <w:rPr>
                <w:szCs w:val="21"/>
              </w:rPr>
              <w:t>饲料仓库、办公室生活等区域</w:t>
            </w:r>
          </w:p>
        </w:tc>
        <w:tc>
          <w:tcPr>
            <w:tcW w:w="397" w:type="pct"/>
            <w:noWrap w:val="0"/>
            <w:vAlign w:val="center"/>
          </w:tcPr>
          <w:p w14:paraId="69B81EB3">
            <w:pPr>
              <w:adjustRightInd w:val="0"/>
              <w:snapToGrid w:val="0"/>
              <w:jc w:val="center"/>
              <w:rPr>
                <w:bCs/>
                <w:szCs w:val="21"/>
              </w:rPr>
            </w:pPr>
            <w:r>
              <w:rPr>
                <w:bCs/>
                <w:szCs w:val="21"/>
              </w:rPr>
              <w:t>/</w:t>
            </w:r>
          </w:p>
        </w:tc>
        <w:tc>
          <w:tcPr>
            <w:tcW w:w="636" w:type="pct"/>
            <w:noWrap w:val="0"/>
            <w:vAlign w:val="center"/>
          </w:tcPr>
          <w:p w14:paraId="07749026">
            <w:pPr>
              <w:adjustRightInd w:val="0"/>
              <w:snapToGrid w:val="0"/>
              <w:jc w:val="center"/>
              <w:rPr>
                <w:bCs/>
                <w:szCs w:val="21"/>
              </w:rPr>
            </w:pPr>
            <w:r>
              <w:rPr>
                <w:bCs/>
                <w:szCs w:val="21"/>
              </w:rPr>
              <w:t>5.0</w:t>
            </w:r>
          </w:p>
        </w:tc>
      </w:tr>
      <w:tr w14:paraId="6645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7" w:type="pct"/>
            <w:vMerge w:val="continue"/>
            <w:noWrap w:val="0"/>
            <w:vAlign w:val="center"/>
          </w:tcPr>
          <w:p w14:paraId="1591245E">
            <w:pPr>
              <w:adjustRightInd w:val="0"/>
              <w:snapToGrid w:val="0"/>
              <w:jc w:val="center"/>
              <w:rPr>
                <w:bCs/>
                <w:szCs w:val="21"/>
              </w:rPr>
            </w:pPr>
          </w:p>
        </w:tc>
        <w:tc>
          <w:tcPr>
            <w:tcW w:w="403" w:type="pct"/>
            <w:vMerge w:val="continue"/>
            <w:noWrap w:val="0"/>
            <w:vAlign w:val="center"/>
          </w:tcPr>
          <w:p w14:paraId="33EE8C1C">
            <w:pPr>
              <w:adjustRightInd w:val="0"/>
              <w:snapToGrid w:val="0"/>
              <w:jc w:val="center"/>
              <w:rPr>
                <w:bCs/>
                <w:szCs w:val="21"/>
              </w:rPr>
            </w:pPr>
          </w:p>
        </w:tc>
        <w:tc>
          <w:tcPr>
            <w:tcW w:w="2240" w:type="pct"/>
            <w:noWrap w:val="0"/>
            <w:vAlign w:val="center"/>
          </w:tcPr>
          <w:p w14:paraId="5FD6687D">
            <w:pPr>
              <w:adjustRightInd w:val="0"/>
              <w:snapToGrid w:val="0"/>
              <w:jc w:val="center"/>
              <w:rPr>
                <w:bCs/>
                <w:szCs w:val="21"/>
              </w:rPr>
            </w:pPr>
            <w:r>
              <w:rPr>
                <w:szCs w:val="21"/>
              </w:rPr>
              <w:t>地下水监测井</w:t>
            </w:r>
          </w:p>
        </w:tc>
        <w:tc>
          <w:tcPr>
            <w:tcW w:w="1045" w:type="pct"/>
            <w:noWrap w:val="0"/>
            <w:vAlign w:val="center"/>
          </w:tcPr>
          <w:p w14:paraId="37CB92A7">
            <w:pPr>
              <w:adjustRightInd w:val="0"/>
              <w:snapToGrid w:val="0"/>
              <w:jc w:val="center"/>
              <w:rPr>
                <w:bCs/>
                <w:szCs w:val="21"/>
              </w:rPr>
            </w:pPr>
            <w:r>
              <w:rPr>
                <w:bCs/>
                <w:szCs w:val="21"/>
              </w:rPr>
              <w:t>每个养殖地块下游设置5眼地下水观测井</w:t>
            </w:r>
          </w:p>
        </w:tc>
        <w:tc>
          <w:tcPr>
            <w:tcW w:w="397" w:type="pct"/>
            <w:noWrap w:val="0"/>
            <w:vAlign w:val="center"/>
          </w:tcPr>
          <w:p w14:paraId="1B740A97">
            <w:pPr>
              <w:adjustRightInd w:val="0"/>
              <w:snapToGrid w:val="0"/>
              <w:jc w:val="center"/>
              <w:rPr>
                <w:bCs/>
                <w:szCs w:val="21"/>
              </w:rPr>
            </w:pPr>
          </w:p>
        </w:tc>
        <w:tc>
          <w:tcPr>
            <w:tcW w:w="636" w:type="pct"/>
            <w:noWrap w:val="0"/>
            <w:vAlign w:val="center"/>
          </w:tcPr>
          <w:p w14:paraId="491C3614">
            <w:pPr>
              <w:adjustRightInd w:val="0"/>
              <w:snapToGrid w:val="0"/>
              <w:jc w:val="center"/>
              <w:rPr>
                <w:bCs/>
                <w:szCs w:val="21"/>
              </w:rPr>
            </w:pPr>
            <w:r>
              <w:rPr>
                <w:bCs/>
                <w:szCs w:val="21"/>
              </w:rPr>
              <w:t>10.0</w:t>
            </w:r>
          </w:p>
        </w:tc>
      </w:tr>
      <w:tr w14:paraId="28BE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 w:type="pct"/>
            <w:vMerge w:val="continue"/>
            <w:noWrap w:val="0"/>
            <w:vAlign w:val="center"/>
          </w:tcPr>
          <w:p w14:paraId="422180A6">
            <w:pPr>
              <w:adjustRightInd w:val="0"/>
              <w:snapToGrid w:val="0"/>
              <w:jc w:val="center"/>
              <w:rPr>
                <w:bCs/>
                <w:szCs w:val="21"/>
              </w:rPr>
            </w:pPr>
          </w:p>
        </w:tc>
        <w:tc>
          <w:tcPr>
            <w:tcW w:w="2643" w:type="pct"/>
            <w:gridSpan w:val="2"/>
            <w:noWrap w:val="0"/>
            <w:vAlign w:val="center"/>
          </w:tcPr>
          <w:p w14:paraId="6CA7F02C">
            <w:pPr>
              <w:adjustRightInd w:val="0"/>
              <w:snapToGrid w:val="0"/>
              <w:jc w:val="center"/>
              <w:rPr>
                <w:bCs/>
                <w:szCs w:val="21"/>
              </w:rPr>
            </w:pPr>
            <w:r>
              <w:rPr>
                <w:bCs/>
                <w:szCs w:val="21"/>
              </w:rPr>
              <w:t>绿化</w:t>
            </w:r>
          </w:p>
        </w:tc>
        <w:tc>
          <w:tcPr>
            <w:tcW w:w="1045" w:type="pct"/>
            <w:noWrap w:val="0"/>
            <w:vAlign w:val="center"/>
          </w:tcPr>
          <w:p w14:paraId="3A7AC663">
            <w:pPr>
              <w:adjustRightInd w:val="0"/>
              <w:snapToGrid w:val="0"/>
              <w:jc w:val="center"/>
              <w:rPr>
                <w:bCs/>
                <w:szCs w:val="21"/>
              </w:rPr>
            </w:pPr>
            <w:r>
              <w:rPr>
                <w:bCs/>
                <w:szCs w:val="21"/>
              </w:rPr>
              <w:t>厂址及周边</w:t>
            </w:r>
          </w:p>
        </w:tc>
        <w:tc>
          <w:tcPr>
            <w:tcW w:w="397" w:type="pct"/>
            <w:noWrap w:val="0"/>
            <w:vAlign w:val="center"/>
          </w:tcPr>
          <w:p w14:paraId="6439D55C">
            <w:pPr>
              <w:adjustRightInd w:val="0"/>
              <w:snapToGrid w:val="0"/>
              <w:jc w:val="center"/>
              <w:rPr>
                <w:bCs/>
                <w:szCs w:val="21"/>
              </w:rPr>
            </w:pPr>
            <w:r>
              <w:rPr>
                <w:szCs w:val="21"/>
              </w:rPr>
              <w:t>约15</w:t>
            </w:r>
            <w:r>
              <w:rPr>
                <w:rFonts w:hint="eastAsia"/>
                <w:szCs w:val="21"/>
              </w:rPr>
              <w:t>0</w:t>
            </w:r>
            <w:r>
              <w:rPr>
                <w:szCs w:val="21"/>
              </w:rPr>
              <w:t>00m</w:t>
            </w:r>
            <w:r>
              <w:rPr>
                <w:szCs w:val="21"/>
                <w:vertAlign w:val="superscript"/>
              </w:rPr>
              <w:t>2</w:t>
            </w:r>
          </w:p>
        </w:tc>
        <w:tc>
          <w:tcPr>
            <w:tcW w:w="636" w:type="pct"/>
            <w:noWrap w:val="0"/>
            <w:vAlign w:val="center"/>
          </w:tcPr>
          <w:p w14:paraId="006C2690">
            <w:pPr>
              <w:adjustRightInd w:val="0"/>
              <w:snapToGrid w:val="0"/>
              <w:jc w:val="center"/>
              <w:rPr>
                <w:bCs/>
                <w:szCs w:val="21"/>
              </w:rPr>
            </w:pPr>
            <w:r>
              <w:rPr>
                <w:bCs/>
                <w:szCs w:val="21"/>
              </w:rPr>
              <w:t>15.0</w:t>
            </w:r>
          </w:p>
        </w:tc>
      </w:tr>
      <w:tr w14:paraId="2B49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3" w:type="pct"/>
            <w:gridSpan w:val="5"/>
            <w:noWrap w:val="0"/>
            <w:vAlign w:val="center"/>
          </w:tcPr>
          <w:p w14:paraId="7A450698">
            <w:pPr>
              <w:adjustRightInd w:val="0"/>
              <w:snapToGrid w:val="0"/>
              <w:jc w:val="center"/>
              <w:rPr>
                <w:bCs/>
                <w:szCs w:val="21"/>
              </w:rPr>
            </w:pPr>
            <w:r>
              <w:rPr>
                <w:bCs/>
                <w:szCs w:val="21"/>
              </w:rPr>
              <w:t>合计</w:t>
            </w:r>
          </w:p>
        </w:tc>
        <w:tc>
          <w:tcPr>
            <w:tcW w:w="636" w:type="pct"/>
            <w:noWrap w:val="0"/>
            <w:vAlign w:val="center"/>
          </w:tcPr>
          <w:p w14:paraId="609E1A3A">
            <w:pPr>
              <w:adjustRightInd w:val="0"/>
              <w:snapToGrid w:val="0"/>
              <w:jc w:val="center"/>
              <w:rPr>
                <w:bCs/>
                <w:szCs w:val="21"/>
              </w:rPr>
            </w:pPr>
            <w:r>
              <w:rPr>
                <w:bCs/>
                <w:szCs w:val="21"/>
              </w:rPr>
              <w:t>639.5</w:t>
            </w:r>
          </w:p>
        </w:tc>
      </w:tr>
    </w:tbl>
    <w:p w14:paraId="606FC366">
      <w:pPr>
        <w:autoSpaceDE w:val="0"/>
        <w:autoSpaceDN w:val="0"/>
        <w:adjustRightInd w:val="0"/>
        <w:spacing w:line="360" w:lineRule="auto"/>
        <w:ind w:firstLine="480" w:firstLineChars="200"/>
        <w:jc w:val="left"/>
        <w:rPr>
          <w:kern w:val="0"/>
          <w:sz w:val="24"/>
        </w:rPr>
        <w:sectPr>
          <w:pgSz w:w="16838" w:h="11906" w:orient="landscape"/>
          <w:pgMar w:top="1797" w:right="1361" w:bottom="1797" w:left="1440" w:header="851" w:footer="1134" w:gutter="0"/>
          <w:cols w:space="720" w:num="1"/>
          <w:docGrid w:linePitch="312" w:charSpace="0"/>
        </w:sectPr>
      </w:pPr>
    </w:p>
    <w:p w14:paraId="7A256FD4">
      <w:pPr>
        <w:pStyle w:val="6"/>
        <w:spacing w:before="0" w:after="0" w:line="360" w:lineRule="auto"/>
        <w:rPr>
          <w:rFonts w:ascii="Times New Roman" w:hAnsi="Times New Roman" w:eastAsia="宋体"/>
          <w:sz w:val="30"/>
          <w:szCs w:val="30"/>
        </w:rPr>
      </w:pPr>
      <w:bookmarkStart w:id="230" w:name="_Toc10586"/>
      <w:r>
        <w:rPr>
          <w:rFonts w:ascii="Times New Roman" w:hAnsi="Times New Roman" w:eastAsia="宋体"/>
          <w:sz w:val="30"/>
          <w:szCs w:val="30"/>
        </w:rPr>
        <w:t>8.2环保投资的环境效益</w:t>
      </w:r>
      <w:bookmarkEnd w:id="230"/>
    </w:p>
    <w:p w14:paraId="00E753A0">
      <w:pPr>
        <w:spacing w:line="360" w:lineRule="auto"/>
        <w:ind w:firstLine="480" w:firstLineChars="200"/>
        <w:rPr>
          <w:sz w:val="24"/>
        </w:rPr>
      </w:pPr>
      <w:r>
        <w:rPr>
          <w:sz w:val="24"/>
        </w:rPr>
        <w:t>工程的环保措施估算投资为639.5万元，以保证环保设施的落实和投用，这些环保设施的建成和正常运行，将带来较大的环境效益。</w:t>
      </w:r>
    </w:p>
    <w:p w14:paraId="28CE2489">
      <w:pPr>
        <w:spacing w:line="360" w:lineRule="auto"/>
        <w:ind w:firstLine="480" w:firstLineChars="200"/>
        <w:rPr>
          <w:sz w:val="24"/>
        </w:rPr>
      </w:pPr>
      <w:r>
        <w:rPr>
          <w:sz w:val="24"/>
        </w:rPr>
        <w:t>本项目运营后采用干清粪工艺，产生的污废水经沼气工程处理后产生沼液和沼渣，沼液运至苹果园作为有机肥使用，沼渣堆肥后运至苹果园作为有机肥使用，实现了运营期污染物的减量化、无害化、资源化处理，改善了周边农用地的土壤环境，只要项目方注意妥善处置项目运营过程中产生的污染物，项目的实施不会造成环境污染，具有一定环境效益。</w:t>
      </w:r>
    </w:p>
    <w:p w14:paraId="7117E1D6">
      <w:pPr>
        <w:pStyle w:val="6"/>
        <w:spacing w:before="0" w:after="0" w:line="360" w:lineRule="auto"/>
        <w:rPr>
          <w:rFonts w:ascii="Times New Roman" w:hAnsi="Times New Roman" w:eastAsia="宋体"/>
          <w:sz w:val="30"/>
          <w:szCs w:val="30"/>
        </w:rPr>
      </w:pPr>
      <w:bookmarkStart w:id="231" w:name="_Toc358894581"/>
      <w:bookmarkStart w:id="232" w:name="_Toc5520"/>
      <w:r>
        <w:rPr>
          <w:rFonts w:ascii="Times New Roman" w:hAnsi="Times New Roman" w:eastAsia="宋体"/>
          <w:sz w:val="30"/>
          <w:szCs w:val="30"/>
        </w:rPr>
        <w:t>8.3</w:t>
      </w:r>
      <w:bookmarkEnd w:id="231"/>
      <w:r>
        <w:rPr>
          <w:rFonts w:ascii="Times New Roman" w:hAnsi="Times New Roman" w:eastAsia="宋体"/>
          <w:sz w:val="30"/>
          <w:szCs w:val="30"/>
        </w:rPr>
        <w:t>经济效益分析</w:t>
      </w:r>
      <w:bookmarkEnd w:id="232"/>
    </w:p>
    <w:p w14:paraId="1FF1BE30">
      <w:pPr>
        <w:pStyle w:val="52"/>
        <w:rPr>
          <w:rFonts w:ascii="Times New Roman" w:hAnsi="Times New Roman"/>
          <w:szCs w:val="24"/>
        </w:rPr>
      </w:pPr>
      <w:r>
        <w:rPr>
          <w:rFonts w:ascii="Times New Roman" w:hAnsi="Times New Roman"/>
          <w:szCs w:val="24"/>
        </w:rPr>
        <w:t>本项目生产经营期年出栏商品猪18600头，以每头商品肥猪销售收入2000元计算，可实现年销售收入3720万元，以每头商品猪创纯收入800元计算，每年可实现养猪经济纯收入1488万元，为当地经济发展和产业结构调整作出贡献。</w:t>
      </w:r>
    </w:p>
    <w:p w14:paraId="784B405A">
      <w:pPr>
        <w:pStyle w:val="52"/>
        <w:rPr>
          <w:rFonts w:ascii="Times New Roman" w:hAnsi="Times New Roman"/>
          <w:bCs/>
        </w:rPr>
      </w:pPr>
      <w:r>
        <w:rPr>
          <w:rFonts w:ascii="Times New Roman" w:hAnsi="Times New Roman"/>
          <w:szCs w:val="24"/>
        </w:rPr>
        <w:t>由此可知，项目的实施适应了石林县经济发展的战略需要，促进了圭山镇的经济发展，增加了当地农户的收入，其经济效益是十分显著的。</w:t>
      </w:r>
    </w:p>
    <w:p w14:paraId="1F9DD093">
      <w:pPr>
        <w:pStyle w:val="6"/>
        <w:spacing w:before="0" w:after="0" w:line="360" w:lineRule="auto"/>
        <w:rPr>
          <w:rFonts w:ascii="Times New Roman" w:hAnsi="Times New Roman" w:eastAsia="宋体"/>
          <w:sz w:val="30"/>
          <w:szCs w:val="30"/>
        </w:rPr>
      </w:pPr>
      <w:bookmarkStart w:id="233" w:name="_Toc29212"/>
      <w:r>
        <w:rPr>
          <w:rFonts w:ascii="Times New Roman" w:hAnsi="Times New Roman" w:eastAsia="宋体"/>
          <w:sz w:val="30"/>
          <w:szCs w:val="30"/>
        </w:rPr>
        <w:t>8.4社会效益分析</w:t>
      </w:r>
      <w:bookmarkEnd w:id="233"/>
    </w:p>
    <w:p w14:paraId="4E5FBB16">
      <w:pPr>
        <w:pStyle w:val="52"/>
        <w:rPr>
          <w:rFonts w:ascii="Times New Roman" w:hAnsi="Times New Roman"/>
          <w:szCs w:val="24"/>
        </w:rPr>
      </w:pPr>
      <w:r>
        <w:rPr>
          <w:rFonts w:ascii="Times New Roman" w:hAnsi="Times New Roman"/>
          <w:szCs w:val="24"/>
        </w:rPr>
        <w:t>项目建成后，能加快和提高项目建设地区生猪养殖生产水平，显著提高饲养报酬率、出栏率和降低死亡率，从而缩短养殖生产饲养周期，降低饲养成本，产生可观的经济社会效益，为养殖场实现增产与增收，辐射带动周边群众发展标准化养猪，加快脱贫致富步伐起到积极的推动作用。此外，有一部分员工要在当地招聘，对缓解当地的就业压力，增加社会安定因素起到了积极作用。公司经济效益良好，项目建成后将为石林县的经济繁荣做出较大贡献。项目养殖生猪需要使用大量玉米、豆粕、麦麸等粗粮，该部分粗粮将从当地购买，有助于当地农民增收。该项目符合国家的产业政策和当地总体发展规划，生产过程中产生的污染物能得到有效控制，不会对周围居民及社会环境造成不良影响。</w:t>
      </w:r>
    </w:p>
    <w:p w14:paraId="3CDBF584">
      <w:pPr>
        <w:pStyle w:val="52"/>
        <w:rPr>
          <w:rFonts w:ascii="Times New Roman" w:hAnsi="Times New Roman"/>
          <w:bCs/>
        </w:rPr>
      </w:pPr>
      <w:r>
        <w:rPr>
          <w:rFonts w:ascii="Times New Roman" w:hAnsi="Times New Roman"/>
          <w:szCs w:val="24"/>
        </w:rPr>
        <w:t>因此该项目的建设具有良好的社会效益。</w:t>
      </w:r>
    </w:p>
    <w:p w14:paraId="1FF9E425">
      <w:pPr>
        <w:pStyle w:val="6"/>
        <w:spacing w:before="0" w:after="0" w:line="360" w:lineRule="auto"/>
        <w:rPr>
          <w:rFonts w:ascii="Times New Roman" w:hAnsi="Times New Roman" w:eastAsia="宋体"/>
          <w:sz w:val="30"/>
          <w:szCs w:val="30"/>
        </w:rPr>
      </w:pPr>
      <w:bookmarkStart w:id="234" w:name="_Toc358894582"/>
      <w:bookmarkStart w:id="235" w:name="_Toc16543"/>
      <w:r>
        <w:rPr>
          <w:rFonts w:ascii="Times New Roman" w:hAnsi="Times New Roman" w:eastAsia="宋体"/>
          <w:sz w:val="30"/>
          <w:szCs w:val="30"/>
        </w:rPr>
        <w:t>8.5小</w:t>
      </w:r>
      <w:bookmarkEnd w:id="234"/>
      <w:r>
        <w:rPr>
          <w:rFonts w:ascii="Times New Roman" w:hAnsi="Times New Roman" w:eastAsia="宋体"/>
          <w:sz w:val="30"/>
          <w:szCs w:val="30"/>
        </w:rPr>
        <w:t>结</w:t>
      </w:r>
      <w:bookmarkEnd w:id="235"/>
    </w:p>
    <w:p w14:paraId="5B4165BD">
      <w:pPr>
        <w:spacing w:line="360" w:lineRule="auto"/>
        <w:ind w:firstLine="480" w:firstLineChars="200"/>
        <w:rPr>
          <w:bCs/>
          <w:sz w:val="24"/>
        </w:rPr>
      </w:pPr>
      <w:r>
        <w:rPr>
          <w:bCs/>
          <w:sz w:val="24"/>
          <w:szCs w:val="28"/>
        </w:rPr>
        <w:t>通过对本项目的直接经济效益、社会效益、环境效益分析，本项目建设过程中只要严格执行国家规定的“三同时”制度，建成严格进行管理，保证相应环保设施的正常运行，本项目在进行污染防治、保证环境投资和治理效果的情况下， 对区域的环境影响将得到有限的减缓，能取得社会效益、经济效益和环境效益的统一、协调发展。</w:t>
      </w:r>
    </w:p>
    <w:p w14:paraId="0FD36742">
      <w:pPr>
        <w:spacing w:line="360" w:lineRule="auto"/>
        <w:ind w:firstLine="480" w:firstLineChars="200"/>
        <w:rPr>
          <w:bCs/>
          <w:sz w:val="24"/>
        </w:rPr>
      </w:pPr>
    </w:p>
    <w:p w14:paraId="062142A0">
      <w:pPr>
        <w:spacing w:line="360" w:lineRule="auto"/>
        <w:ind w:firstLine="480" w:firstLineChars="200"/>
        <w:rPr>
          <w:bCs/>
          <w:sz w:val="24"/>
        </w:rPr>
      </w:pPr>
    </w:p>
    <w:p w14:paraId="25135156">
      <w:pPr>
        <w:spacing w:line="360" w:lineRule="auto"/>
        <w:rPr>
          <w:sz w:val="24"/>
        </w:rPr>
        <w:sectPr>
          <w:pgSz w:w="11906" w:h="16838"/>
          <w:pgMar w:top="1440" w:right="1797" w:bottom="1361" w:left="1797" w:header="851" w:footer="1134" w:gutter="0"/>
          <w:cols w:space="720" w:num="1"/>
          <w:docGrid w:linePitch="312" w:charSpace="0"/>
        </w:sectPr>
      </w:pPr>
    </w:p>
    <w:p w14:paraId="489A9CC3">
      <w:pPr>
        <w:pStyle w:val="5"/>
        <w:tabs>
          <w:tab w:val="left" w:pos="2895"/>
        </w:tabs>
        <w:spacing w:before="0" w:after="0" w:line="360" w:lineRule="auto"/>
        <w:rPr>
          <w:sz w:val="32"/>
          <w:szCs w:val="32"/>
        </w:rPr>
      </w:pPr>
      <w:bookmarkStart w:id="236" w:name="_Toc402803441"/>
      <w:bookmarkStart w:id="237" w:name="_Toc4501"/>
      <w:bookmarkStart w:id="238" w:name="_Toc342903258"/>
      <w:r>
        <w:rPr>
          <w:sz w:val="32"/>
          <w:szCs w:val="32"/>
        </w:rPr>
        <w:t>9环境管理与监测计划</w:t>
      </w:r>
      <w:bookmarkEnd w:id="236"/>
      <w:bookmarkEnd w:id="237"/>
      <w:bookmarkEnd w:id="238"/>
    </w:p>
    <w:bookmarkEnd w:id="150"/>
    <w:bookmarkEnd w:id="151"/>
    <w:bookmarkEnd w:id="152"/>
    <w:bookmarkEnd w:id="153"/>
    <w:bookmarkEnd w:id="154"/>
    <w:bookmarkEnd w:id="155"/>
    <w:p w14:paraId="5DB6F84B">
      <w:pPr>
        <w:pStyle w:val="6"/>
        <w:spacing w:before="0" w:after="0" w:line="360" w:lineRule="auto"/>
        <w:rPr>
          <w:rFonts w:ascii="Times New Roman" w:hAnsi="Times New Roman"/>
          <w:sz w:val="30"/>
          <w:szCs w:val="30"/>
        </w:rPr>
      </w:pPr>
      <w:bookmarkStart w:id="239" w:name="_Toc28260"/>
      <w:bookmarkStart w:id="240" w:name="_Toc14476"/>
      <w:bookmarkStart w:id="241" w:name="_Toc18414"/>
      <w:bookmarkStart w:id="242" w:name="_Toc15212_WPSOffice_Level2"/>
      <w:bookmarkStart w:id="243" w:name="_Toc272251344"/>
      <w:bookmarkStart w:id="244" w:name="_Toc238908734"/>
      <w:bookmarkStart w:id="245" w:name="_Toc272251637"/>
      <w:r>
        <w:rPr>
          <w:rFonts w:ascii="Times New Roman" w:hAnsi="Times New Roman"/>
          <w:sz w:val="30"/>
          <w:szCs w:val="30"/>
        </w:rPr>
        <w:t>9.1 环境管理</w:t>
      </w:r>
      <w:bookmarkEnd w:id="239"/>
      <w:bookmarkEnd w:id="240"/>
      <w:bookmarkEnd w:id="241"/>
      <w:bookmarkEnd w:id="242"/>
    </w:p>
    <w:p w14:paraId="452E1BB4">
      <w:pPr>
        <w:spacing w:line="360" w:lineRule="auto"/>
        <w:outlineLvl w:val="2"/>
        <w:rPr>
          <w:b/>
          <w:bCs/>
          <w:sz w:val="28"/>
          <w:szCs w:val="28"/>
        </w:rPr>
      </w:pPr>
      <w:bookmarkStart w:id="246" w:name="_Toc17491"/>
      <w:bookmarkStart w:id="247" w:name="_Toc16765"/>
      <w:bookmarkStart w:id="248" w:name="_Toc30312_WPSOffice_Level3"/>
      <w:r>
        <w:rPr>
          <w:b/>
          <w:bCs/>
          <w:sz w:val="28"/>
          <w:szCs w:val="28"/>
        </w:rPr>
        <w:t>9.1.1 环境管理的目的</w:t>
      </w:r>
      <w:bookmarkEnd w:id="246"/>
      <w:bookmarkEnd w:id="247"/>
      <w:bookmarkEnd w:id="248"/>
    </w:p>
    <w:p w14:paraId="606E40A8">
      <w:pPr>
        <w:spacing w:line="360" w:lineRule="auto"/>
        <w:ind w:firstLine="480" w:firstLineChars="200"/>
        <w:rPr>
          <w:sz w:val="24"/>
        </w:rPr>
      </w:pPr>
      <w:r>
        <w:rPr>
          <w:sz w:val="24"/>
        </w:rPr>
        <w:t>环境管理的目的是对损害环境质量的人为活动施加影响，以协调经济与环境的关系，达到既发展经济满足人类的需要，又不超出环境容量的限值。环境管理是企业管理的一项重要内容。加强环境监督管理力度，是实现环境、生产、经济协调发展和走可持续发展道路的重要保证。实践证明，要解决好企业的环境问题，首先必需强化企业的环境管理，由于企业的产品产出与“三废”的排放是生产过程同时存在的两个方面。因此，企业的环境管理实质上是生产管理的主要内容之一，其目的是在发展生产的同时，对污染物的排放实行必要的控制，保护环境质量，以实现环境效益、社会效益、经济效益的统一。</w:t>
      </w:r>
    </w:p>
    <w:p w14:paraId="0419D49D">
      <w:pPr>
        <w:spacing w:line="360" w:lineRule="auto"/>
        <w:outlineLvl w:val="2"/>
        <w:rPr>
          <w:b/>
          <w:bCs/>
          <w:sz w:val="28"/>
          <w:szCs w:val="28"/>
        </w:rPr>
      </w:pPr>
      <w:bookmarkStart w:id="249" w:name="_Toc306973751"/>
      <w:bookmarkStart w:id="250" w:name="_Toc282440576"/>
      <w:bookmarkStart w:id="251" w:name="_Toc17164"/>
      <w:bookmarkStart w:id="252" w:name="_Toc447741661"/>
      <w:bookmarkStart w:id="253" w:name="_Toc6298_WPSOffice_Level3"/>
      <w:bookmarkStart w:id="254" w:name="_Toc2658"/>
      <w:r>
        <w:rPr>
          <w:b/>
          <w:bCs/>
          <w:sz w:val="28"/>
          <w:szCs w:val="28"/>
        </w:rPr>
        <w:t>9.1.2环境管理机构的设置</w:t>
      </w:r>
      <w:bookmarkEnd w:id="249"/>
      <w:bookmarkEnd w:id="250"/>
      <w:bookmarkEnd w:id="251"/>
      <w:bookmarkEnd w:id="252"/>
      <w:bookmarkEnd w:id="253"/>
      <w:bookmarkEnd w:id="254"/>
    </w:p>
    <w:p w14:paraId="60DCD1B5">
      <w:pPr>
        <w:spacing w:line="360" w:lineRule="auto"/>
        <w:ind w:firstLine="480" w:firstLineChars="200"/>
        <w:rPr>
          <w:sz w:val="24"/>
        </w:rPr>
      </w:pPr>
      <w:r>
        <w:rPr>
          <w:sz w:val="24"/>
        </w:rPr>
        <w:t>1、机构组成</w:t>
      </w:r>
    </w:p>
    <w:p w14:paraId="5FB8F423">
      <w:pPr>
        <w:spacing w:line="360" w:lineRule="auto"/>
        <w:ind w:firstLine="480" w:firstLineChars="200"/>
        <w:rPr>
          <w:sz w:val="24"/>
        </w:rPr>
      </w:pPr>
      <w:r>
        <w:rPr>
          <w:sz w:val="24"/>
        </w:rPr>
        <w:t>根据本项目的实际情况，建设施工阶段，工程指挥部应设专人负责环境保护事宜。工程投入运营后，养殖场下设环境管理小组对该项目环境管理和环境监控负责，并受项目主管单位及环保局的监督和指导。</w:t>
      </w:r>
    </w:p>
    <w:p w14:paraId="63C0E556">
      <w:pPr>
        <w:spacing w:line="360" w:lineRule="auto"/>
        <w:ind w:firstLine="480" w:firstLineChars="200"/>
        <w:rPr>
          <w:sz w:val="24"/>
        </w:rPr>
      </w:pPr>
      <w:r>
        <w:rPr>
          <w:sz w:val="24"/>
        </w:rPr>
        <w:t>2、环保机构定员</w:t>
      </w:r>
    </w:p>
    <w:p w14:paraId="2566D608">
      <w:pPr>
        <w:spacing w:line="360" w:lineRule="auto"/>
        <w:ind w:firstLine="480" w:firstLineChars="200"/>
        <w:rPr>
          <w:sz w:val="24"/>
        </w:rPr>
      </w:pPr>
      <w:r>
        <w:rPr>
          <w:sz w:val="24"/>
        </w:rPr>
        <w:t>施工期在建设工程指挥部设1～2名环境管理人员。运营期应在后勤管理部门下设专门的环保机构，并设专职的环保管理人员1名，污物处理设施操作人员3名，绿地养护人员1名。</w:t>
      </w:r>
    </w:p>
    <w:p w14:paraId="0A5190A7">
      <w:pPr>
        <w:spacing w:line="360" w:lineRule="auto"/>
        <w:outlineLvl w:val="2"/>
        <w:rPr>
          <w:b/>
          <w:bCs/>
          <w:sz w:val="28"/>
          <w:szCs w:val="28"/>
        </w:rPr>
      </w:pPr>
      <w:bookmarkStart w:id="255" w:name="_Toc6040"/>
      <w:bookmarkStart w:id="256" w:name="_Toc306973752"/>
      <w:bookmarkStart w:id="257" w:name="_Toc447741662"/>
      <w:bookmarkStart w:id="258" w:name="_Toc1919_WPSOffice_Level3"/>
      <w:bookmarkStart w:id="259" w:name="_Toc282440577"/>
      <w:bookmarkStart w:id="260" w:name="_Toc24417"/>
      <w:bookmarkStart w:id="261" w:name="_Toc311638635"/>
      <w:bookmarkStart w:id="262" w:name="_Toc311716656"/>
      <w:bookmarkStart w:id="263" w:name="_Toc247388320"/>
      <w:bookmarkStart w:id="264" w:name="_Toc275965142"/>
      <w:bookmarkStart w:id="265" w:name="_Toc311637234"/>
      <w:bookmarkStart w:id="266" w:name="_Toc322508035"/>
      <w:bookmarkStart w:id="267" w:name="_Toc321399784"/>
      <w:bookmarkStart w:id="268" w:name="_Toc311638537"/>
      <w:bookmarkStart w:id="269" w:name="_Toc241047357"/>
      <w:bookmarkStart w:id="270" w:name="_Toc233188728"/>
      <w:bookmarkStart w:id="271" w:name="_Toc275982797"/>
      <w:bookmarkStart w:id="272" w:name="_Toc289291591"/>
      <w:bookmarkStart w:id="273" w:name="_Toc327473071"/>
      <w:bookmarkStart w:id="274" w:name="_Toc3472_WPSOffice_Level3"/>
      <w:bookmarkStart w:id="275" w:name="_Toc4471"/>
      <w:bookmarkStart w:id="276" w:name="_Toc30216"/>
      <w:bookmarkStart w:id="277" w:name="_Toc26738"/>
      <w:r>
        <w:rPr>
          <w:b/>
          <w:bCs/>
          <w:sz w:val="28"/>
          <w:szCs w:val="28"/>
        </w:rPr>
        <w:t>9.1.3环境管理机构的职责</w:t>
      </w:r>
      <w:bookmarkEnd w:id="255"/>
      <w:bookmarkEnd w:id="256"/>
      <w:bookmarkEnd w:id="257"/>
      <w:bookmarkEnd w:id="258"/>
      <w:bookmarkEnd w:id="259"/>
      <w:bookmarkEnd w:id="260"/>
    </w:p>
    <w:p w14:paraId="6BDE726E">
      <w:pPr>
        <w:spacing w:line="360" w:lineRule="auto"/>
        <w:ind w:firstLine="480" w:firstLineChars="200"/>
        <w:rPr>
          <w:sz w:val="24"/>
        </w:rPr>
      </w:pPr>
      <w:r>
        <w:rPr>
          <w:sz w:val="24"/>
        </w:rPr>
        <w:t>1、贯彻、宣传国家的环保方针、政策和法律法规。</w:t>
      </w:r>
    </w:p>
    <w:p w14:paraId="703B1EF1">
      <w:pPr>
        <w:spacing w:line="360" w:lineRule="auto"/>
        <w:ind w:firstLine="480" w:firstLineChars="200"/>
        <w:rPr>
          <w:sz w:val="24"/>
        </w:rPr>
      </w:pPr>
      <w:r>
        <w:rPr>
          <w:sz w:val="24"/>
        </w:rPr>
        <w:t>2、制定项目环保管理制度。</w:t>
      </w:r>
    </w:p>
    <w:p w14:paraId="0F16CA0E">
      <w:pPr>
        <w:spacing w:line="360" w:lineRule="auto"/>
        <w:ind w:firstLine="480" w:firstLineChars="200"/>
        <w:rPr>
          <w:sz w:val="24"/>
        </w:rPr>
      </w:pPr>
      <w:r>
        <w:rPr>
          <w:sz w:val="24"/>
        </w:rPr>
        <w:t>3、监督检查项目执行“三同时”规定的情况。</w:t>
      </w:r>
    </w:p>
    <w:p w14:paraId="5B30E936">
      <w:pPr>
        <w:spacing w:line="360" w:lineRule="auto"/>
        <w:ind w:firstLine="480" w:firstLineChars="200"/>
        <w:rPr>
          <w:sz w:val="24"/>
        </w:rPr>
      </w:pPr>
      <w:r>
        <w:rPr>
          <w:sz w:val="24"/>
        </w:rPr>
        <w:t>4、定期进行环保设备检查、维修和保养工作，确保环保设施长期、稳定、达标运转。</w:t>
      </w:r>
    </w:p>
    <w:p w14:paraId="68B1BD61">
      <w:pPr>
        <w:spacing w:line="360" w:lineRule="auto"/>
        <w:ind w:firstLine="480" w:firstLineChars="200"/>
        <w:rPr>
          <w:sz w:val="24"/>
        </w:rPr>
      </w:pPr>
      <w:r>
        <w:rPr>
          <w:sz w:val="24"/>
        </w:rPr>
        <w:t>5、制定环保设施操作规程和物料投入环境管理台账记录的检查制度。</w:t>
      </w:r>
    </w:p>
    <w:p w14:paraId="75B228C3">
      <w:pPr>
        <w:spacing w:line="360" w:lineRule="auto"/>
        <w:ind w:firstLine="480" w:firstLineChars="200"/>
        <w:rPr>
          <w:sz w:val="24"/>
        </w:rPr>
      </w:pPr>
      <w:r>
        <w:rPr>
          <w:sz w:val="24"/>
        </w:rPr>
        <w:t>6、负责项目环保设施的日常运行管理工作。</w:t>
      </w:r>
    </w:p>
    <w:p w14:paraId="1D4F29C4">
      <w:pPr>
        <w:spacing w:line="360" w:lineRule="auto"/>
        <w:ind w:firstLine="480" w:firstLineChars="200"/>
        <w:rPr>
          <w:sz w:val="24"/>
        </w:rPr>
      </w:pPr>
      <w:r>
        <w:rPr>
          <w:sz w:val="24"/>
        </w:rPr>
        <w:t>7、负责对项目环保人员和其他工人进行环境保护教育，不断提高工人的环境意识和环保人员的业务素质。</w:t>
      </w:r>
    </w:p>
    <w:p w14:paraId="52F2FEA1">
      <w:pPr>
        <w:spacing w:line="360" w:lineRule="auto"/>
        <w:outlineLvl w:val="2"/>
        <w:rPr>
          <w:b/>
          <w:bCs/>
          <w:sz w:val="28"/>
          <w:szCs w:val="28"/>
        </w:rPr>
      </w:pPr>
      <w:bookmarkStart w:id="278" w:name="_Toc1235"/>
      <w:r>
        <w:rPr>
          <w:b/>
          <w:bCs/>
          <w:sz w:val="28"/>
          <w:szCs w:val="28"/>
        </w:rPr>
        <w:t>9.1.4环境管理</w:t>
      </w:r>
      <w:bookmarkEnd w:id="261"/>
      <w:bookmarkEnd w:id="262"/>
      <w:bookmarkEnd w:id="263"/>
      <w:bookmarkEnd w:id="264"/>
      <w:bookmarkEnd w:id="265"/>
      <w:bookmarkEnd w:id="266"/>
      <w:bookmarkEnd w:id="267"/>
      <w:bookmarkEnd w:id="268"/>
      <w:bookmarkEnd w:id="269"/>
      <w:bookmarkEnd w:id="270"/>
      <w:bookmarkEnd w:id="271"/>
      <w:bookmarkEnd w:id="272"/>
      <w:bookmarkEnd w:id="273"/>
      <w:r>
        <w:rPr>
          <w:b/>
          <w:bCs/>
          <w:sz w:val="28"/>
          <w:szCs w:val="28"/>
        </w:rPr>
        <w:t>要求</w:t>
      </w:r>
      <w:bookmarkEnd w:id="274"/>
      <w:bookmarkEnd w:id="275"/>
      <w:bookmarkEnd w:id="276"/>
      <w:bookmarkEnd w:id="277"/>
      <w:bookmarkEnd w:id="278"/>
    </w:p>
    <w:p w14:paraId="3A687984">
      <w:pPr>
        <w:spacing w:line="360" w:lineRule="auto"/>
        <w:ind w:firstLine="480" w:firstLineChars="200"/>
        <w:rPr>
          <w:sz w:val="24"/>
        </w:rPr>
      </w:pPr>
      <w:r>
        <w:rPr>
          <w:sz w:val="24"/>
        </w:rPr>
        <w:t>1、配合上级环保主管部门和环境监测机构做好项目监测和日常管理；</w:t>
      </w:r>
    </w:p>
    <w:p w14:paraId="5B25BD4B">
      <w:pPr>
        <w:spacing w:line="360" w:lineRule="auto"/>
        <w:ind w:firstLine="480" w:firstLineChars="200"/>
        <w:rPr>
          <w:sz w:val="24"/>
        </w:rPr>
      </w:pPr>
      <w:r>
        <w:rPr>
          <w:sz w:val="24"/>
        </w:rPr>
        <w:t>2、强化环保设施的管理，定期检查环保设施的运转情况，排除故障，保证环保设施的正常运转，保证污染物的达标排放。</w:t>
      </w:r>
    </w:p>
    <w:p w14:paraId="35FE2D0C">
      <w:pPr>
        <w:spacing w:line="360" w:lineRule="auto"/>
        <w:ind w:firstLine="480" w:firstLineChars="200"/>
        <w:rPr>
          <w:sz w:val="24"/>
        </w:rPr>
      </w:pPr>
      <w:r>
        <w:rPr>
          <w:sz w:val="24"/>
        </w:rPr>
        <w:t xml:space="preserve">3、加强厂区内及周围的绿化工作，制订绿化规划，尽量绿化厂区占地范围内的可绿化土地。 </w:t>
      </w:r>
    </w:p>
    <w:p w14:paraId="74E846B2">
      <w:pPr>
        <w:spacing w:line="360" w:lineRule="auto"/>
        <w:outlineLvl w:val="2"/>
        <w:rPr>
          <w:b/>
          <w:bCs/>
          <w:sz w:val="28"/>
          <w:szCs w:val="28"/>
        </w:rPr>
      </w:pPr>
      <w:bookmarkStart w:id="279" w:name="_Toc6494"/>
      <w:bookmarkStart w:id="280" w:name="_Toc306973753"/>
      <w:bookmarkStart w:id="281" w:name="_Toc18832_WPSOffice_Level3"/>
      <w:bookmarkStart w:id="282" w:name="_Toc282440578"/>
      <w:bookmarkStart w:id="283" w:name="_Toc447741663"/>
      <w:bookmarkStart w:id="284" w:name="_Toc29635"/>
      <w:r>
        <w:rPr>
          <w:b/>
          <w:bCs/>
          <w:sz w:val="28"/>
          <w:szCs w:val="28"/>
        </w:rPr>
        <w:t>9.1.5环境管理计划</w:t>
      </w:r>
      <w:bookmarkEnd w:id="279"/>
      <w:bookmarkEnd w:id="280"/>
      <w:bookmarkEnd w:id="281"/>
      <w:bookmarkEnd w:id="282"/>
      <w:bookmarkEnd w:id="283"/>
      <w:bookmarkEnd w:id="284"/>
    </w:p>
    <w:p w14:paraId="2E751243">
      <w:pPr>
        <w:spacing w:line="360" w:lineRule="auto"/>
        <w:ind w:firstLine="480" w:firstLineChars="200"/>
        <w:rPr>
          <w:sz w:val="24"/>
        </w:rPr>
      </w:pPr>
      <w:r>
        <w:rPr>
          <w:sz w:val="24"/>
        </w:rPr>
        <w:t>（1）施工期</w:t>
      </w:r>
    </w:p>
    <w:p w14:paraId="0E7A1A1F">
      <w:pPr>
        <w:spacing w:line="360" w:lineRule="auto"/>
        <w:ind w:firstLine="480" w:firstLineChars="200"/>
        <w:rPr>
          <w:sz w:val="24"/>
        </w:rPr>
      </w:pPr>
      <w:r>
        <w:rPr>
          <w:sz w:val="24"/>
        </w:rPr>
        <w:t>①环境管理机构对施工期环境保护工作全面负责，履行施工期各阶段环境管理职责。</w:t>
      </w:r>
    </w:p>
    <w:p w14:paraId="19733292">
      <w:pPr>
        <w:spacing w:line="360" w:lineRule="auto"/>
        <w:ind w:firstLine="480" w:firstLineChars="200"/>
        <w:rPr>
          <w:sz w:val="24"/>
        </w:rPr>
      </w:pPr>
      <w:r>
        <w:rPr>
          <w:sz w:val="24"/>
        </w:rPr>
        <w:t>②对施工队伍实行职责管理，要求施工队伍按要求文明施工，并做好监督、检查和教育工作。</w:t>
      </w:r>
    </w:p>
    <w:p w14:paraId="42088F33">
      <w:pPr>
        <w:spacing w:line="360" w:lineRule="auto"/>
        <w:ind w:firstLine="480" w:firstLineChars="200"/>
        <w:rPr>
          <w:sz w:val="24"/>
        </w:rPr>
      </w:pPr>
      <w:r>
        <w:rPr>
          <w:sz w:val="24"/>
        </w:rPr>
        <w:t>③按照环保主管部门的要求和本报告书中有关环境保护对策措施对施工程序和场地布置实施统一安排。</w:t>
      </w:r>
    </w:p>
    <w:p w14:paraId="5B3F3ECE">
      <w:pPr>
        <w:spacing w:line="360" w:lineRule="auto"/>
        <w:ind w:firstLine="480" w:firstLineChars="200"/>
        <w:rPr>
          <w:sz w:val="24"/>
        </w:rPr>
      </w:pPr>
      <w:r>
        <w:rPr>
          <w:sz w:val="24"/>
        </w:rPr>
        <w:t>④土建工程需要土石方的挖掘与运输、管道挖沟、施工建材机械等占地，对产生的扬尘应及时洒水，及时土石方回填，避免二次扬尘。</w:t>
      </w:r>
    </w:p>
    <w:p w14:paraId="4CABBC31">
      <w:pPr>
        <w:spacing w:line="360" w:lineRule="auto"/>
        <w:ind w:firstLine="480" w:firstLineChars="200"/>
        <w:rPr>
          <w:sz w:val="24"/>
        </w:rPr>
      </w:pPr>
      <w:r>
        <w:rPr>
          <w:sz w:val="24"/>
        </w:rPr>
        <w:t>⑤合理布置施工场内的机械和设备，合理安排施工时间，夜间禁止有产生较大噪声的施工作业。</w:t>
      </w:r>
    </w:p>
    <w:p w14:paraId="3F2E73E9">
      <w:pPr>
        <w:spacing w:line="360" w:lineRule="auto"/>
        <w:ind w:firstLine="480" w:firstLineChars="200"/>
        <w:rPr>
          <w:sz w:val="24"/>
        </w:rPr>
      </w:pPr>
      <w:r>
        <w:rPr>
          <w:sz w:val="24"/>
        </w:rPr>
        <w:t>⑥建设单位划拨环保设施专项建设资金，有效保障环保设施的顺利建设。</w:t>
      </w:r>
    </w:p>
    <w:p w14:paraId="7D4F4D62">
      <w:pPr>
        <w:spacing w:line="360" w:lineRule="auto"/>
        <w:ind w:firstLine="480" w:firstLineChars="200"/>
        <w:rPr>
          <w:sz w:val="24"/>
        </w:rPr>
      </w:pPr>
      <w:bookmarkStart w:id="285" w:name="_Toc447741664"/>
      <w:bookmarkStart w:id="286" w:name="_Toc282440579"/>
      <w:bookmarkStart w:id="287" w:name="_Toc306973754"/>
      <w:r>
        <w:rPr>
          <w:sz w:val="24"/>
        </w:rPr>
        <w:t>（2）运营期</w:t>
      </w:r>
      <w:bookmarkEnd w:id="285"/>
      <w:bookmarkEnd w:id="286"/>
      <w:bookmarkEnd w:id="287"/>
    </w:p>
    <w:p w14:paraId="18BB2BCB">
      <w:pPr>
        <w:spacing w:line="360" w:lineRule="auto"/>
        <w:ind w:firstLine="480" w:firstLineChars="200"/>
        <w:rPr>
          <w:sz w:val="24"/>
        </w:rPr>
      </w:pPr>
      <w:r>
        <w:rPr>
          <w:sz w:val="24"/>
        </w:rPr>
        <w:t>①建设单位设安环部，对各环保设施配备技术人员进行环保设备的正常运行管理、维护及维修。</w:t>
      </w:r>
    </w:p>
    <w:p w14:paraId="684DAB2A">
      <w:pPr>
        <w:spacing w:line="360" w:lineRule="auto"/>
        <w:ind w:firstLine="480" w:firstLineChars="200"/>
        <w:rPr>
          <w:sz w:val="24"/>
        </w:rPr>
      </w:pPr>
      <w:r>
        <w:rPr>
          <w:sz w:val="24"/>
        </w:rPr>
        <w:t>②根据国家环保政策、标准及环境监测要求，制定项目运行期环境管理规章制度、各种污染物排放指标。</w:t>
      </w:r>
    </w:p>
    <w:p w14:paraId="00F438BC">
      <w:pPr>
        <w:spacing w:line="360" w:lineRule="auto"/>
        <w:ind w:firstLine="480" w:firstLineChars="200"/>
        <w:rPr>
          <w:sz w:val="24"/>
        </w:rPr>
      </w:pPr>
      <w:r>
        <w:rPr>
          <w:sz w:val="24"/>
        </w:rPr>
        <w:t>③对厂区内的公建设施给水管网、生产设备进行定期维护和检修，确保公建设施的正常运行及管网畅通。</w:t>
      </w:r>
    </w:p>
    <w:p w14:paraId="1611F558">
      <w:pPr>
        <w:spacing w:line="360" w:lineRule="auto"/>
        <w:ind w:firstLine="480" w:firstLineChars="200"/>
        <w:rPr>
          <w:sz w:val="24"/>
        </w:rPr>
      </w:pPr>
      <w:r>
        <w:rPr>
          <w:sz w:val="24"/>
        </w:rPr>
        <w:t>④绿化能改善区域小气候和起到降噪除异味的作用，对养殖场内的绿地必须有专人管理、养护。</w:t>
      </w:r>
    </w:p>
    <w:p w14:paraId="05C427B6">
      <w:pPr>
        <w:spacing w:line="360" w:lineRule="auto"/>
        <w:ind w:firstLine="480" w:firstLineChars="200"/>
        <w:rPr>
          <w:sz w:val="24"/>
        </w:rPr>
      </w:pPr>
      <w:r>
        <w:rPr>
          <w:sz w:val="24"/>
        </w:rPr>
        <w:t>⑤建设单位设安环部，并每年向其划拨环保设施运行维护费用，企业效益较好，可保障其环保设施运行维护经费。</w:t>
      </w:r>
    </w:p>
    <w:p w14:paraId="478E8458">
      <w:pPr>
        <w:spacing w:line="360" w:lineRule="auto"/>
        <w:outlineLvl w:val="2"/>
        <w:rPr>
          <w:b/>
          <w:bCs/>
          <w:sz w:val="28"/>
          <w:szCs w:val="28"/>
        </w:rPr>
      </w:pPr>
      <w:bookmarkStart w:id="288" w:name="_Toc32726"/>
      <w:bookmarkStart w:id="289" w:name="_Toc6055_WPSOffice_Level3"/>
      <w:bookmarkStart w:id="290" w:name="_Toc12422"/>
      <w:r>
        <w:rPr>
          <w:b/>
          <w:bCs/>
          <w:sz w:val="28"/>
          <w:szCs w:val="28"/>
        </w:rPr>
        <w:t>9.1.6</w:t>
      </w:r>
      <w:bookmarkEnd w:id="288"/>
      <w:r>
        <w:rPr>
          <w:b/>
          <w:bCs/>
          <w:sz w:val="28"/>
          <w:szCs w:val="28"/>
        </w:rPr>
        <w:t>环境管理台帐</w:t>
      </w:r>
      <w:bookmarkEnd w:id="289"/>
      <w:bookmarkEnd w:id="290"/>
    </w:p>
    <w:p w14:paraId="7E4E3B6B">
      <w:pPr>
        <w:spacing w:line="360" w:lineRule="auto"/>
        <w:ind w:firstLine="480" w:firstLineChars="200"/>
        <w:rPr>
          <w:sz w:val="24"/>
        </w:rPr>
      </w:pPr>
      <w:r>
        <w:rPr>
          <w:sz w:val="24"/>
        </w:rPr>
        <w:t>畜禽养殖业在运行过程中需记录的台账内容有养殖种类、养殖规模、实际存栏量、清粪方式、粪污处理方式、废水处理方式、肥料产生量、肥料去向及量为多少。猪舍除臭的菌种、垫料等投放量，特别是针对菌种和垫料的添加时间及添加量每次均应记录，垫料清除及垫料投放时间和量。猪舍、粪便暂存场、废水处理系统在投放生物除臭剂过程中若投放量未发生变化，每月记录一次，发生变化，每次记录一次。</w:t>
      </w:r>
    </w:p>
    <w:p w14:paraId="1C8CBBD1">
      <w:pPr>
        <w:spacing w:line="360" w:lineRule="auto"/>
        <w:ind w:firstLine="480" w:firstLineChars="200"/>
        <w:rPr>
          <w:sz w:val="24"/>
        </w:rPr>
      </w:pPr>
      <w:r>
        <w:rPr>
          <w:sz w:val="24"/>
        </w:rPr>
        <w:t>公司环保台帐或报表保管年期为三年。外单位人员借阅，必须经主管领导批准。</w:t>
      </w:r>
    </w:p>
    <w:p w14:paraId="3F06CF8B">
      <w:pPr>
        <w:spacing w:line="360" w:lineRule="auto"/>
        <w:outlineLvl w:val="1"/>
        <w:rPr>
          <w:b/>
          <w:bCs/>
          <w:sz w:val="30"/>
          <w:szCs w:val="30"/>
        </w:rPr>
      </w:pPr>
      <w:bookmarkStart w:id="291" w:name="_Toc7689"/>
      <w:bookmarkStart w:id="292" w:name="_Toc465"/>
      <w:bookmarkStart w:id="293" w:name="_Toc6829"/>
      <w:bookmarkStart w:id="294" w:name="_Toc6483"/>
      <w:bookmarkStart w:id="295" w:name="_Toc6421"/>
      <w:bookmarkStart w:id="296" w:name="_Toc611"/>
      <w:bookmarkStart w:id="297" w:name="_Toc8465_WPSOffice_Level2"/>
      <w:r>
        <w:rPr>
          <w:b/>
          <w:bCs/>
          <w:sz w:val="30"/>
          <w:szCs w:val="30"/>
        </w:rPr>
        <w:t>9.2污染物排放管理要求</w:t>
      </w:r>
      <w:bookmarkEnd w:id="291"/>
      <w:bookmarkEnd w:id="292"/>
      <w:bookmarkEnd w:id="293"/>
      <w:bookmarkEnd w:id="294"/>
      <w:bookmarkEnd w:id="295"/>
      <w:bookmarkEnd w:id="296"/>
      <w:bookmarkEnd w:id="297"/>
    </w:p>
    <w:p w14:paraId="4B6FFB0E">
      <w:pPr>
        <w:spacing w:line="360" w:lineRule="auto"/>
        <w:outlineLvl w:val="2"/>
        <w:rPr>
          <w:b/>
          <w:bCs/>
          <w:sz w:val="28"/>
          <w:szCs w:val="28"/>
        </w:rPr>
      </w:pPr>
      <w:bookmarkStart w:id="298" w:name="_Toc17859"/>
      <w:bookmarkStart w:id="299" w:name="_Toc31732_WPSOffice_Level3"/>
      <w:bookmarkStart w:id="300" w:name="_Toc17703"/>
      <w:r>
        <w:rPr>
          <w:b/>
          <w:bCs/>
          <w:sz w:val="28"/>
          <w:szCs w:val="28"/>
        </w:rPr>
        <w:t>9.2.1污染物排放清单</w:t>
      </w:r>
      <w:bookmarkEnd w:id="298"/>
      <w:bookmarkEnd w:id="299"/>
      <w:bookmarkEnd w:id="300"/>
    </w:p>
    <w:p w14:paraId="2C3FCBA6">
      <w:pPr>
        <w:spacing w:line="360" w:lineRule="auto"/>
        <w:ind w:firstLine="480" w:firstLineChars="200"/>
        <w:rPr>
          <w:sz w:val="24"/>
        </w:rPr>
      </w:pPr>
      <w:r>
        <w:rPr>
          <w:sz w:val="24"/>
        </w:rPr>
        <w:t>项目污染物排放清单见表9.2-1。</w:t>
      </w:r>
    </w:p>
    <w:p w14:paraId="38AFC208">
      <w:pPr>
        <w:pStyle w:val="35"/>
        <w:rPr>
          <w:sz w:val="24"/>
        </w:rPr>
      </w:pPr>
    </w:p>
    <w:p w14:paraId="5F063E2F">
      <w:pPr>
        <w:sectPr>
          <w:pgSz w:w="11906" w:h="16838"/>
          <w:pgMar w:top="1417" w:right="1417" w:bottom="1417" w:left="1417" w:header="851" w:footer="992" w:gutter="0"/>
          <w:cols w:space="720" w:num="1"/>
          <w:docGrid w:type="lines" w:linePitch="312" w:charSpace="0"/>
        </w:sectPr>
      </w:pPr>
    </w:p>
    <w:p w14:paraId="7017E306">
      <w:pPr>
        <w:jc w:val="center"/>
        <w:rPr>
          <w:b/>
          <w:bCs/>
          <w:sz w:val="24"/>
        </w:rPr>
      </w:pPr>
      <w:r>
        <w:rPr>
          <w:b/>
          <w:bCs/>
          <w:sz w:val="24"/>
        </w:rPr>
        <w:t>表9.2-1  污染物排放清单</w:t>
      </w:r>
    </w:p>
    <w:tbl>
      <w:tblPr>
        <w:tblStyle w:val="87"/>
        <w:tblW w:w="14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748"/>
        <w:gridCol w:w="931"/>
        <w:gridCol w:w="868"/>
        <w:gridCol w:w="987"/>
        <w:gridCol w:w="1225"/>
        <w:gridCol w:w="1441"/>
        <w:gridCol w:w="4472"/>
        <w:gridCol w:w="1562"/>
        <w:gridCol w:w="36"/>
        <w:gridCol w:w="1600"/>
      </w:tblGrid>
      <w:tr w14:paraId="5E7E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7" w:hRule="atLeast"/>
          <w:jc w:val="center"/>
        </w:trPr>
        <w:tc>
          <w:tcPr>
            <w:tcW w:w="622" w:type="dxa"/>
            <w:vMerge w:val="restart"/>
            <w:shd w:val="pct10" w:color="auto" w:fill="auto"/>
            <w:noWrap w:val="0"/>
            <w:vAlign w:val="center"/>
          </w:tcPr>
          <w:p w14:paraId="2ED153C5">
            <w:pPr>
              <w:pStyle w:val="85"/>
              <w:spacing w:after="0"/>
              <w:ind w:left="-105" w:leftChars="-50" w:right="-105" w:rightChars="-50" w:firstLine="0" w:firstLineChars="0"/>
              <w:jc w:val="center"/>
              <w:rPr>
                <w:szCs w:val="21"/>
              </w:rPr>
            </w:pPr>
            <w:r>
              <w:rPr>
                <w:szCs w:val="21"/>
              </w:rPr>
              <w:t>污染因子</w:t>
            </w:r>
          </w:p>
        </w:tc>
        <w:tc>
          <w:tcPr>
            <w:tcW w:w="1679" w:type="dxa"/>
            <w:gridSpan w:val="2"/>
            <w:vMerge w:val="restart"/>
            <w:shd w:val="pct10" w:color="auto" w:fill="auto"/>
            <w:noWrap w:val="0"/>
            <w:vAlign w:val="center"/>
          </w:tcPr>
          <w:p w14:paraId="5646CAB2">
            <w:pPr>
              <w:pStyle w:val="85"/>
              <w:spacing w:after="0"/>
              <w:ind w:left="-105" w:leftChars="-50" w:right="-105" w:rightChars="-50" w:firstLine="0" w:firstLineChars="0"/>
              <w:jc w:val="center"/>
              <w:rPr>
                <w:szCs w:val="21"/>
              </w:rPr>
            </w:pPr>
            <w:r>
              <w:rPr>
                <w:szCs w:val="21"/>
              </w:rPr>
              <w:t>污染源</w:t>
            </w:r>
          </w:p>
        </w:tc>
        <w:tc>
          <w:tcPr>
            <w:tcW w:w="1855" w:type="dxa"/>
            <w:gridSpan w:val="2"/>
            <w:vMerge w:val="restart"/>
            <w:shd w:val="pct10" w:color="auto" w:fill="auto"/>
            <w:noWrap w:val="0"/>
            <w:vAlign w:val="center"/>
          </w:tcPr>
          <w:p w14:paraId="06E50229">
            <w:pPr>
              <w:pStyle w:val="85"/>
              <w:spacing w:after="0"/>
              <w:ind w:left="-105" w:leftChars="-50" w:right="-105" w:rightChars="-50" w:firstLine="0" w:firstLineChars="0"/>
              <w:jc w:val="center"/>
              <w:rPr>
                <w:szCs w:val="21"/>
              </w:rPr>
            </w:pPr>
            <w:r>
              <w:rPr>
                <w:szCs w:val="21"/>
              </w:rPr>
              <w:t>污染物名称</w:t>
            </w:r>
          </w:p>
        </w:tc>
        <w:tc>
          <w:tcPr>
            <w:tcW w:w="2666" w:type="dxa"/>
            <w:gridSpan w:val="2"/>
            <w:shd w:val="pct10" w:color="auto" w:fill="auto"/>
            <w:noWrap w:val="0"/>
            <w:vAlign w:val="center"/>
          </w:tcPr>
          <w:p w14:paraId="24FBAD39">
            <w:pPr>
              <w:pStyle w:val="85"/>
              <w:spacing w:after="0"/>
              <w:ind w:left="-105" w:leftChars="-50" w:right="-105" w:rightChars="-50" w:firstLine="0" w:firstLineChars="0"/>
              <w:jc w:val="center"/>
              <w:rPr>
                <w:szCs w:val="21"/>
              </w:rPr>
            </w:pPr>
            <w:r>
              <w:rPr>
                <w:szCs w:val="21"/>
              </w:rPr>
              <w:t>产生情况</w:t>
            </w:r>
          </w:p>
        </w:tc>
        <w:tc>
          <w:tcPr>
            <w:tcW w:w="4472" w:type="dxa"/>
            <w:vMerge w:val="restart"/>
            <w:shd w:val="pct10" w:color="auto" w:fill="auto"/>
            <w:noWrap w:val="0"/>
            <w:vAlign w:val="center"/>
          </w:tcPr>
          <w:p w14:paraId="1145DFC9">
            <w:pPr>
              <w:pStyle w:val="85"/>
              <w:spacing w:after="0"/>
              <w:ind w:left="-105" w:leftChars="-50" w:right="-105" w:rightChars="-50" w:firstLine="0" w:firstLineChars="0"/>
              <w:jc w:val="center"/>
              <w:rPr>
                <w:szCs w:val="21"/>
              </w:rPr>
            </w:pPr>
            <w:r>
              <w:rPr>
                <w:szCs w:val="21"/>
              </w:rPr>
              <w:t>处理方式</w:t>
            </w:r>
          </w:p>
        </w:tc>
        <w:tc>
          <w:tcPr>
            <w:tcW w:w="3198" w:type="dxa"/>
            <w:gridSpan w:val="3"/>
            <w:shd w:val="pct10" w:color="auto" w:fill="auto"/>
            <w:noWrap w:val="0"/>
            <w:vAlign w:val="center"/>
          </w:tcPr>
          <w:p w14:paraId="7AEDF6A7">
            <w:pPr>
              <w:pStyle w:val="85"/>
              <w:spacing w:after="0"/>
              <w:ind w:left="-105" w:leftChars="-50" w:right="-105" w:rightChars="-50" w:firstLine="0" w:firstLineChars="0"/>
              <w:jc w:val="center"/>
              <w:rPr>
                <w:szCs w:val="21"/>
              </w:rPr>
            </w:pPr>
            <w:r>
              <w:rPr>
                <w:szCs w:val="21"/>
              </w:rPr>
              <w:t>排放情况</w:t>
            </w:r>
          </w:p>
        </w:tc>
      </w:tr>
      <w:tr w14:paraId="2303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7" w:hRule="atLeast"/>
          <w:jc w:val="center"/>
        </w:trPr>
        <w:tc>
          <w:tcPr>
            <w:tcW w:w="622" w:type="dxa"/>
            <w:vMerge w:val="continue"/>
            <w:shd w:val="pct10" w:color="auto" w:fill="auto"/>
            <w:noWrap w:val="0"/>
            <w:vAlign w:val="center"/>
          </w:tcPr>
          <w:p w14:paraId="1B18DA8C">
            <w:pPr>
              <w:pStyle w:val="85"/>
              <w:spacing w:after="0"/>
              <w:ind w:left="-105" w:leftChars="-50" w:right="-105" w:rightChars="-50" w:firstLine="0" w:firstLineChars="0"/>
              <w:jc w:val="center"/>
              <w:rPr>
                <w:szCs w:val="21"/>
              </w:rPr>
            </w:pPr>
          </w:p>
        </w:tc>
        <w:tc>
          <w:tcPr>
            <w:tcW w:w="1679" w:type="dxa"/>
            <w:gridSpan w:val="2"/>
            <w:vMerge w:val="continue"/>
            <w:shd w:val="pct10" w:color="auto" w:fill="auto"/>
            <w:noWrap w:val="0"/>
            <w:vAlign w:val="center"/>
          </w:tcPr>
          <w:p w14:paraId="662A375E">
            <w:pPr>
              <w:pStyle w:val="85"/>
              <w:spacing w:after="0"/>
              <w:ind w:left="-105" w:leftChars="-50" w:right="-105" w:rightChars="-50" w:firstLine="0" w:firstLineChars="0"/>
              <w:jc w:val="center"/>
              <w:rPr>
                <w:szCs w:val="21"/>
              </w:rPr>
            </w:pPr>
          </w:p>
        </w:tc>
        <w:tc>
          <w:tcPr>
            <w:tcW w:w="1855" w:type="dxa"/>
            <w:gridSpan w:val="2"/>
            <w:vMerge w:val="continue"/>
            <w:shd w:val="pct10" w:color="auto" w:fill="auto"/>
            <w:noWrap w:val="0"/>
            <w:vAlign w:val="center"/>
          </w:tcPr>
          <w:p w14:paraId="7508AAAA">
            <w:pPr>
              <w:pStyle w:val="85"/>
              <w:spacing w:after="0"/>
              <w:ind w:left="-105" w:leftChars="-50" w:right="-105" w:rightChars="-50" w:firstLine="0" w:firstLineChars="0"/>
              <w:jc w:val="center"/>
              <w:rPr>
                <w:szCs w:val="21"/>
              </w:rPr>
            </w:pPr>
          </w:p>
        </w:tc>
        <w:tc>
          <w:tcPr>
            <w:tcW w:w="1225" w:type="dxa"/>
            <w:shd w:val="pct10" w:color="auto" w:fill="auto"/>
            <w:noWrap w:val="0"/>
            <w:vAlign w:val="center"/>
          </w:tcPr>
          <w:p w14:paraId="3A801547">
            <w:pPr>
              <w:pStyle w:val="85"/>
              <w:spacing w:after="0"/>
              <w:ind w:left="-105" w:leftChars="-50" w:right="-105" w:rightChars="-50" w:firstLine="0" w:firstLineChars="0"/>
              <w:jc w:val="center"/>
              <w:rPr>
                <w:szCs w:val="21"/>
              </w:rPr>
            </w:pPr>
            <w:r>
              <w:rPr>
                <w:szCs w:val="21"/>
              </w:rPr>
              <w:t>浓度</w:t>
            </w:r>
          </w:p>
        </w:tc>
        <w:tc>
          <w:tcPr>
            <w:tcW w:w="1441" w:type="dxa"/>
            <w:shd w:val="pct10" w:color="auto" w:fill="auto"/>
            <w:noWrap w:val="0"/>
            <w:vAlign w:val="center"/>
          </w:tcPr>
          <w:p w14:paraId="602E6164">
            <w:pPr>
              <w:pStyle w:val="85"/>
              <w:spacing w:after="0"/>
              <w:ind w:left="-105" w:leftChars="-50" w:right="-105" w:rightChars="-50" w:firstLine="0" w:firstLineChars="0"/>
              <w:jc w:val="center"/>
              <w:rPr>
                <w:szCs w:val="21"/>
              </w:rPr>
            </w:pPr>
            <w:r>
              <w:rPr>
                <w:szCs w:val="21"/>
              </w:rPr>
              <w:t>产生量</w:t>
            </w:r>
          </w:p>
        </w:tc>
        <w:tc>
          <w:tcPr>
            <w:tcW w:w="4472" w:type="dxa"/>
            <w:vMerge w:val="continue"/>
            <w:shd w:val="pct10" w:color="auto" w:fill="auto"/>
            <w:noWrap w:val="0"/>
            <w:vAlign w:val="center"/>
          </w:tcPr>
          <w:p w14:paraId="439CF24B">
            <w:pPr>
              <w:pStyle w:val="85"/>
              <w:spacing w:after="0"/>
              <w:ind w:left="-105" w:leftChars="-50" w:right="-105" w:rightChars="-50" w:firstLine="0" w:firstLineChars="0"/>
              <w:jc w:val="center"/>
              <w:rPr>
                <w:szCs w:val="21"/>
              </w:rPr>
            </w:pPr>
          </w:p>
        </w:tc>
        <w:tc>
          <w:tcPr>
            <w:tcW w:w="1598" w:type="dxa"/>
            <w:gridSpan w:val="2"/>
            <w:shd w:val="pct10" w:color="auto" w:fill="auto"/>
            <w:noWrap w:val="0"/>
            <w:vAlign w:val="center"/>
          </w:tcPr>
          <w:p w14:paraId="321D7AF2">
            <w:pPr>
              <w:pStyle w:val="85"/>
              <w:spacing w:after="0"/>
              <w:ind w:left="-105" w:leftChars="-50" w:right="-105" w:rightChars="-50" w:firstLine="0" w:firstLineChars="0"/>
              <w:jc w:val="center"/>
              <w:rPr>
                <w:szCs w:val="21"/>
              </w:rPr>
            </w:pPr>
            <w:r>
              <w:rPr>
                <w:szCs w:val="21"/>
              </w:rPr>
              <w:t>浓度</w:t>
            </w:r>
          </w:p>
        </w:tc>
        <w:tc>
          <w:tcPr>
            <w:tcW w:w="1600" w:type="dxa"/>
            <w:shd w:val="pct10" w:color="auto" w:fill="auto"/>
            <w:noWrap w:val="0"/>
            <w:vAlign w:val="center"/>
          </w:tcPr>
          <w:p w14:paraId="73AA99D9">
            <w:pPr>
              <w:pStyle w:val="85"/>
              <w:spacing w:after="0"/>
              <w:ind w:left="-105" w:leftChars="-50" w:right="-105" w:rightChars="-50" w:firstLine="0" w:firstLineChars="0"/>
              <w:jc w:val="center"/>
              <w:rPr>
                <w:szCs w:val="21"/>
              </w:rPr>
            </w:pPr>
            <w:r>
              <w:rPr>
                <w:szCs w:val="21"/>
              </w:rPr>
              <w:t>排放量</w:t>
            </w:r>
          </w:p>
        </w:tc>
      </w:tr>
      <w:tr w14:paraId="6CE7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restart"/>
            <w:noWrap w:val="0"/>
            <w:vAlign w:val="center"/>
          </w:tcPr>
          <w:p w14:paraId="5A82EEA1">
            <w:pPr>
              <w:pStyle w:val="85"/>
              <w:spacing w:after="0"/>
              <w:ind w:left="-105" w:leftChars="-50" w:right="-105" w:rightChars="-50" w:firstLine="0" w:firstLineChars="0"/>
              <w:jc w:val="center"/>
              <w:rPr>
                <w:szCs w:val="21"/>
              </w:rPr>
            </w:pPr>
            <w:r>
              <w:rPr>
                <w:szCs w:val="21"/>
              </w:rPr>
              <w:t>废气</w:t>
            </w:r>
          </w:p>
        </w:tc>
        <w:tc>
          <w:tcPr>
            <w:tcW w:w="748" w:type="dxa"/>
            <w:vMerge w:val="restart"/>
            <w:noWrap w:val="0"/>
            <w:vAlign w:val="center"/>
          </w:tcPr>
          <w:p w14:paraId="3CB51769">
            <w:pPr>
              <w:pStyle w:val="85"/>
              <w:spacing w:after="0"/>
              <w:ind w:left="-105" w:leftChars="-50" w:right="-105" w:rightChars="-50" w:firstLine="0" w:firstLineChars="0"/>
              <w:jc w:val="center"/>
              <w:rPr>
                <w:szCs w:val="21"/>
              </w:rPr>
            </w:pPr>
            <w:r>
              <w:rPr>
                <w:szCs w:val="21"/>
              </w:rPr>
              <w:t>无组织</w:t>
            </w:r>
          </w:p>
          <w:p w14:paraId="008CED81">
            <w:pPr>
              <w:pStyle w:val="85"/>
              <w:spacing w:after="0"/>
              <w:ind w:left="-105" w:leftChars="-50" w:right="-105" w:rightChars="-50" w:firstLine="0" w:firstLineChars="0"/>
              <w:jc w:val="center"/>
              <w:rPr>
                <w:szCs w:val="21"/>
              </w:rPr>
            </w:pPr>
            <w:r>
              <w:rPr>
                <w:szCs w:val="21"/>
              </w:rPr>
              <w:t>有组织</w:t>
            </w:r>
          </w:p>
        </w:tc>
        <w:tc>
          <w:tcPr>
            <w:tcW w:w="931" w:type="dxa"/>
            <w:vMerge w:val="restart"/>
            <w:noWrap w:val="0"/>
            <w:vAlign w:val="center"/>
          </w:tcPr>
          <w:p w14:paraId="30ECB409">
            <w:pPr>
              <w:pStyle w:val="85"/>
              <w:spacing w:after="0"/>
              <w:ind w:left="-105" w:leftChars="-50" w:right="-105" w:rightChars="-50" w:firstLine="0" w:firstLineChars="0"/>
              <w:jc w:val="center"/>
              <w:rPr>
                <w:szCs w:val="21"/>
              </w:rPr>
            </w:pPr>
            <w:r>
              <w:rPr>
                <w:kern w:val="0"/>
                <w:szCs w:val="21"/>
                <w:lang w:bidi="ar"/>
              </w:rPr>
              <w:t>1号地（盛丰通风井位置）</w:t>
            </w:r>
            <w:r>
              <w:rPr>
                <w:szCs w:val="21"/>
              </w:rPr>
              <w:t>猪舍</w:t>
            </w:r>
          </w:p>
        </w:tc>
        <w:tc>
          <w:tcPr>
            <w:tcW w:w="1855" w:type="dxa"/>
            <w:gridSpan w:val="2"/>
            <w:noWrap w:val="0"/>
            <w:vAlign w:val="center"/>
          </w:tcPr>
          <w:p w14:paraId="6634B1E4">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3A949443">
            <w:pPr>
              <w:adjustRightInd w:val="0"/>
              <w:snapToGrid w:val="0"/>
              <w:jc w:val="center"/>
              <w:rPr>
                <w:szCs w:val="21"/>
              </w:rPr>
            </w:pPr>
            <w:r>
              <w:rPr>
                <w:szCs w:val="21"/>
              </w:rPr>
              <w:t>/</w:t>
            </w:r>
          </w:p>
        </w:tc>
        <w:tc>
          <w:tcPr>
            <w:tcW w:w="1441" w:type="dxa"/>
            <w:noWrap w:val="0"/>
            <w:vAlign w:val="center"/>
          </w:tcPr>
          <w:p w14:paraId="36182E9A">
            <w:pPr>
              <w:widowControl/>
              <w:jc w:val="center"/>
              <w:textAlignment w:val="center"/>
              <w:rPr>
                <w:szCs w:val="21"/>
              </w:rPr>
            </w:pPr>
            <w:r>
              <w:rPr>
                <w:kern w:val="0"/>
                <w:szCs w:val="21"/>
                <w:lang w:bidi="ar"/>
              </w:rPr>
              <w:t>1.8239</w:t>
            </w:r>
          </w:p>
        </w:tc>
        <w:tc>
          <w:tcPr>
            <w:tcW w:w="4472" w:type="dxa"/>
            <w:vMerge w:val="restart"/>
            <w:noWrap w:val="0"/>
            <w:vAlign w:val="center"/>
          </w:tcPr>
          <w:p w14:paraId="476954D4">
            <w:pPr>
              <w:widowControl/>
              <w:textAlignment w:val="center"/>
              <w:rPr>
                <w:szCs w:val="21"/>
              </w:rPr>
            </w:pPr>
            <w:r>
              <w:rPr>
                <w:szCs w:val="21"/>
              </w:rPr>
              <w:t>①饲料中添加抑菌剂、并采用低氮饲料喂养猪只；</w:t>
            </w:r>
          </w:p>
          <w:p w14:paraId="3B7F8DAF">
            <w:pPr>
              <w:pStyle w:val="35"/>
              <w:rPr>
                <w:szCs w:val="21"/>
              </w:rPr>
            </w:pPr>
            <w:r>
              <w:rPr>
                <w:szCs w:val="21"/>
              </w:rPr>
              <w:t>②向粪便、猪舍投放锯末等含纤维素、木质素较多的吸附剂材料；</w:t>
            </w:r>
          </w:p>
          <w:p w14:paraId="5CC2E67A">
            <w:pPr>
              <w:widowControl/>
              <w:textAlignment w:val="center"/>
              <w:rPr>
                <w:szCs w:val="21"/>
              </w:rPr>
            </w:pPr>
            <w:r>
              <w:rPr>
                <w:szCs w:val="21"/>
              </w:rPr>
              <w:t>③向猪舍定期喷洒化学除臭剂；</w:t>
            </w:r>
          </w:p>
          <w:p w14:paraId="3DFFDF69">
            <w:pPr>
              <w:widowControl/>
              <w:textAlignment w:val="center"/>
              <w:rPr>
                <w:szCs w:val="21"/>
              </w:rPr>
            </w:pPr>
            <w:r>
              <w:rPr>
                <w:szCs w:val="21"/>
              </w:rPr>
              <w:t>④采用干清粪工艺，粪污日产日清。</w:t>
            </w:r>
          </w:p>
          <w:p w14:paraId="2207D9B0">
            <w:pPr>
              <w:widowControl/>
              <w:jc w:val="center"/>
              <w:textAlignment w:val="center"/>
              <w:rPr>
                <w:szCs w:val="21"/>
              </w:rPr>
            </w:pPr>
          </w:p>
        </w:tc>
        <w:tc>
          <w:tcPr>
            <w:tcW w:w="1598" w:type="dxa"/>
            <w:gridSpan w:val="2"/>
            <w:noWrap w:val="0"/>
            <w:vAlign w:val="center"/>
          </w:tcPr>
          <w:p w14:paraId="7CB9D255">
            <w:pPr>
              <w:widowControl/>
              <w:jc w:val="center"/>
              <w:textAlignment w:val="center"/>
              <w:rPr>
                <w:szCs w:val="21"/>
              </w:rPr>
            </w:pPr>
            <w:r>
              <w:rPr>
                <w:szCs w:val="21"/>
              </w:rPr>
              <w:t>/</w:t>
            </w:r>
          </w:p>
        </w:tc>
        <w:tc>
          <w:tcPr>
            <w:tcW w:w="1600" w:type="dxa"/>
            <w:noWrap w:val="0"/>
            <w:vAlign w:val="center"/>
          </w:tcPr>
          <w:p w14:paraId="0A8FC737">
            <w:pPr>
              <w:widowControl/>
              <w:jc w:val="center"/>
              <w:textAlignment w:val="center"/>
              <w:rPr>
                <w:szCs w:val="21"/>
              </w:rPr>
            </w:pPr>
            <w:r>
              <w:rPr>
                <w:kern w:val="0"/>
                <w:szCs w:val="21"/>
                <w:lang w:bidi="ar"/>
              </w:rPr>
              <w:t>0.0912</w:t>
            </w:r>
          </w:p>
        </w:tc>
      </w:tr>
      <w:tr w14:paraId="4BD1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jc w:val="center"/>
        </w:trPr>
        <w:tc>
          <w:tcPr>
            <w:tcW w:w="622" w:type="dxa"/>
            <w:vMerge w:val="continue"/>
            <w:noWrap w:val="0"/>
            <w:vAlign w:val="center"/>
          </w:tcPr>
          <w:p w14:paraId="431FB84C">
            <w:pPr>
              <w:pStyle w:val="85"/>
              <w:spacing w:after="0"/>
              <w:ind w:left="-105" w:leftChars="-50" w:right="-105" w:rightChars="-50" w:firstLine="0" w:firstLineChars="0"/>
              <w:jc w:val="center"/>
              <w:rPr>
                <w:szCs w:val="21"/>
              </w:rPr>
            </w:pPr>
          </w:p>
        </w:tc>
        <w:tc>
          <w:tcPr>
            <w:tcW w:w="748" w:type="dxa"/>
            <w:vMerge w:val="continue"/>
            <w:noWrap w:val="0"/>
            <w:vAlign w:val="center"/>
          </w:tcPr>
          <w:p w14:paraId="0E683778">
            <w:pPr>
              <w:pStyle w:val="85"/>
              <w:spacing w:after="0"/>
              <w:ind w:left="-105" w:leftChars="-50" w:right="-105" w:rightChars="-50" w:firstLine="0" w:firstLineChars="0"/>
              <w:jc w:val="center"/>
              <w:rPr>
                <w:szCs w:val="21"/>
              </w:rPr>
            </w:pPr>
          </w:p>
        </w:tc>
        <w:tc>
          <w:tcPr>
            <w:tcW w:w="931" w:type="dxa"/>
            <w:vMerge w:val="continue"/>
            <w:noWrap w:val="0"/>
            <w:vAlign w:val="center"/>
          </w:tcPr>
          <w:p w14:paraId="708970B2">
            <w:pPr>
              <w:pStyle w:val="85"/>
              <w:spacing w:after="0"/>
              <w:ind w:left="-105" w:leftChars="-50" w:right="-105" w:rightChars="-50" w:firstLine="0" w:firstLineChars="0"/>
              <w:jc w:val="center"/>
              <w:rPr>
                <w:szCs w:val="21"/>
              </w:rPr>
            </w:pPr>
          </w:p>
        </w:tc>
        <w:tc>
          <w:tcPr>
            <w:tcW w:w="1855" w:type="dxa"/>
            <w:gridSpan w:val="2"/>
            <w:noWrap w:val="0"/>
            <w:vAlign w:val="center"/>
          </w:tcPr>
          <w:p w14:paraId="3B5394F1">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1CD51480">
            <w:pPr>
              <w:adjustRightInd w:val="0"/>
              <w:snapToGrid w:val="0"/>
              <w:jc w:val="center"/>
              <w:rPr>
                <w:szCs w:val="21"/>
              </w:rPr>
            </w:pPr>
            <w:r>
              <w:rPr>
                <w:szCs w:val="21"/>
              </w:rPr>
              <w:t>/</w:t>
            </w:r>
          </w:p>
        </w:tc>
        <w:tc>
          <w:tcPr>
            <w:tcW w:w="1441" w:type="dxa"/>
            <w:noWrap w:val="0"/>
            <w:vAlign w:val="center"/>
          </w:tcPr>
          <w:p w14:paraId="42DCDB7D">
            <w:pPr>
              <w:widowControl/>
              <w:jc w:val="center"/>
              <w:textAlignment w:val="center"/>
              <w:rPr>
                <w:szCs w:val="21"/>
              </w:rPr>
            </w:pPr>
            <w:r>
              <w:rPr>
                <w:kern w:val="0"/>
                <w:szCs w:val="21"/>
                <w:lang w:bidi="ar"/>
              </w:rPr>
              <w:t>0.1782</w:t>
            </w:r>
          </w:p>
        </w:tc>
        <w:tc>
          <w:tcPr>
            <w:tcW w:w="4472" w:type="dxa"/>
            <w:vMerge w:val="continue"/>
            <w:noWrap w:val="0"/>
            <w:vAlign w:val="center"/>
          </w:tcPr>
          <w:p w14:paraId="3E15ABEE">
            <w:pPr>
              <w:widowControl/>
              <w:jc w:val="center"/>
              <w:textAlignment w:val="center"/>
              <w:rPr>
                <w:szCs w:val="21"/>
              </w:rPr>
            </w:pPr>
          </w:p>
        </w:tc>
        <w:tc>
          <w:tcPr>
            <w:tcW w:w="1598" w:type="dxa"/>
            <w:gridSpan w:val="2"/>
            <w:noWrap w:val="0"/>
            <w:vAlign w:val="center"/>
          </w:tcPr>
          <w:p w14:paraId="68F8319E">
            <w:pPr>
              <w:widowControl/>
              <w:jc w:val="center"/>
              <w:textAlignment w:val="center"/>
              <w:rPr>
                <w:szCs w:val="21"/>
              </w:rPr>
            </w:pPr>
            <w:r>
              <w:rPr>
                <w:szCs w:val="21"/>
              </w:rPr>
              <w:t>/</w:t>
            </w:r>
          </w:p>
        </w:tc>
        <w:tc>
          <w:tcPr>
            <w:tcW w:w="1600" w:type="dxa"/>
            <w:noWrap w:val="0"/>
            <w:vAlign w:val="center"/>
          </w:tcPr>
          <w:p w14:paraId="3D2A9C78">
            <w:pPr>
              <w:widowControl/>
              <w:jc w:val="center"/>
              <w:textAlignment w:val="center"/>
              <w:rPr>
                <w:szCs w:val="21"/>
              </w:rPr>
            </w:pPr>
            <w:r>
              <w:rPr>
                <w:kern w:val="0"/>
                <w:szCs w:val="21"/>
                <w:lang w:bidi="ar"/>
              </w:rPr>
              <w:t>0.0089</w:t>
            </w:r>
          </w:p>
        </w:tc>
      </w:tr>
      <w:tr w14:paraId="3376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23FCFB82">
            <w:pPr>
              <w:pStyle w:val="85"/>
              <w:spacing w:after="0"/>
              <w:ind w:left="-105" w:leftChars="-50" w:right="-105" w:rightChars="-50" w:firstLine="0" w:firstLineChars="0"/>
              <w:jc w:val="center"/>
              <w:rPr>
                <w:szCs w:val="21"/>
              </w:rPr>
            </w:pPr>
          </w:p>
        </w:tc>
        <w:tc>
          <w:tcPr>
            <w:tcW w:w="748" w:type="dxa"/>
            <w:vMerge w:val="continue"/>
            <w:noWrap w:val="0"/>
            <w:vAlign w:val="center"/>
          </w:tcPr>
          <w:p w14:paraId="2B247EB9">
            <w:pPr>
              <w:pStyle w:val="85"/>
              <w:spacing w:after="0"/>
              <w:ind w:left="-105" w:leftChars="-50" w:right="-105" w:rightChars="-50" w:firstLine="0" w:firstLineChars="0"/>
              <w:jc w:val="center"/>
              <w:rPr>
                <w:szCs w:val="21"/>
              </w:rPr>
            </w:pPr>
          </w:p>
        </w:tc>
        <w:tc>
          <w:tcPr>
            <w:tcW w:w="931" w:type="dxa"/>
            <w:vMerge w:val="restart"/>
            <w:noWrap w:val="0"/>
            <w:vAlign w:val="center"/>
          </w:tcPr>
          <w:p w14:paraId="02E05B32">
            <w:pPr>
              <w:pStyle w:val="85"/>
              <w:spacing w:after="0"/>
              <w:ind w:left="-105" w:leftChars="-50" w:right="-105" w:rightChars="-50" w:firstLine="0" w:firstLineChars="0"/>
              <w:jc w:val="center"/>
              <w:rPr>
                <w:szCs w:val="21"/>
              </w:rPr>
            </w:pPr>
            <w:r>
              <w:rPr>
                <w:kern w:val="0"/>
                <w:szCs w:val="21"/>
                <w:lang w:bidi="ar"/>
              </w:rPr>
              <w:t>2号（盛丰焦化楼位置）猪舍</w:t>
            </w:r>
          </w:p>
        </w:tc>
        <w:tc>
          <w:tcPr>
            <w:tcW w:w="1855" w:type="dxa"/>
            <w:gridSpan w:val="2"/>
            <w:noWrap w:val="0"/>
            <w:vAlign w:val="center"/>
          </w:tcPr>
          <w:p w14:paraId="6E2B13BE">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00C82438">
            <w:pPr>
              <w:adjustRightInd w:val="0"/>
              <w:snapToGrid w:val="0"/>
              <w:jc w:val="center"/>
              <w:rPr>
                <w:szCs w:val="21"/>
              </w:rPr>
            </w:pPr>
            <w:r>
              <w:rPr>
                <w:szCs w:val="21"/>
              </w:rPr>
              <w:t>/</w:t>
            </w:r>
          </w:p>
        </w:tc>
        <w:tc>
          <w:tcPr>
            <w:tcW w:w="1441" w:type="dxa"/>
            <w:noWrap w:val="0"/>
            <w:vAlign w:val="center"/>
          </w:tcPr>
          <w:p w14:paraId="3B507CD0">
            <w:pPr>
              <w:widowControl/>
              <w:jc w:val="center"/>
              <w:textAlignment w:val="center"/>
              <w:rPr>
                <w:szCs w:val="21"/>
              </w:rPr>
            </w:pPr>
            <w:r>
              <w:rPr>
                <w:kern w:val="0"/>
                <w:szCs w:val="21"/>
                <w:lang w:bidi="ar"/>
              </w:rPr>
              <w:t>3.8626</w:t>
            </w:r>
          </w:p>
        </w:tc>
        <w:tc>
          <w:tcPr>
            <w:tcW w:w="4472" w:type="dxa"/>
            <w:vMerge w:val="continue"/>
            <w:noWrap w:val="0"/>
            <w:vAlign w:val="center"/>
          </w:tcPr>
          <w:p w14:paraId="13A5E637">
            <w:pPr>
              <w:widowControl/>
              <w:jc w:val="center"/>
              <w:textAlignment w:val="center"/>
              <w:rPr>
                <w:szCs w:val="21"/>
              </w:rPr>
            </w:pPr>
          </w:p>
        </w:tc>
        <w:tc>
          <w:tcPr>
            <w:tcW w:w="1598" w:type="dxa"/>
            <w:gridSpan w:val="2"/>
            <w:noWrap w:val="0"/>
            <w:vAlign w:val="center"/>
          </w:tcPr>
          <w:p w14:paraId="292799F4">
            <w:pPr>
              <w:widowControl/>
              <w:jc w:val="center"/>
              <w:textAlignment w:val="center"/>
              <w:rPr>
                <w:szCs w:val="21"/>
              </w:rPr>
            </w:pPr>
            <w:r>
              <w:rPr>
                <w:szCs w:val="21"/>
              </w:rPr>
              <w:t>/</w:t>
            </w:r>
          </w:p>
        </w:tc>
        <w:tc>
          <w:tcPr>
            <w:tcW w:w="1600" w:type="dxa"/>
            <w:noWrap w:val="0"/>
            <w:vAlign w:val="center"/>
          </w:tcPr>
          <w:p w14:paraId="791DB7DD">
            <w:pPr>
              <w:widowControl/>
              <w:jc w:val="center"/>
              <w:textAlignment w:val="center"/>
              <w:rPr>
                <w:szCs w:val="21"/>
              </w:rPr>
            </w:pPr>
            <w:r>
              <w:rPr>
                <w:kern w:val="0"/>
                <w:szCs w:val="21"/>
                <w:lang w:bidi="ar"/>
              </w:rPr>
              <w:t>0.1931</w:t>
            </w:r>
          </w:p>
        </w:tc>
      </w:tr>
      <w:tr w14:paraId="29E3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5F31858A">
            <w:pPr>
              <w:ind w:left="-105" w:leftChars="-50" w:right="-105" w:rightChars="-50"/>
              <w:jc w:val="center"/>
              <w:rPr>
                <w:szCs w:val="21"/>
              </w:rPr>
            </w:pPr>
          </w:p>
        </w:tc>
        <w:tc>
          <w:tcPr>
            <w:tcW w:w="748" w:type="dxa"/>
            <w:vMerge w:val="continue"/>
            <w:noWrap w:val="0"/>
            <w:vAlign w:val="center"/>
          </w:tcPr>
          <w:p w14:paraId="7BBA0F8F">
            <w:pPr>
              <w:ind w:left="-105" w:leftChars="-50" w:right="-105" w:rightChars="-50"/>
              <w:jc w:val="center"/>
              <w:rPr>
                <w:szCs w:val="21"/>
              </w:rPr>
            </w:pPr>
          </w:p>
        </w:tc>
        <w:tc>
          <w:tcPr>
            <w:tcW w:w="931" w:type="dxa"/>
            <w:vMerge w:val="continue"/>
            <w:noWrap w:val="0"/>
            <w:vAlign w:val="center"/>
          </w:tcPr>
          <w:p w14:paraId="109A6315">
            <w:pPr>
              <w:ind w:left="-105" w:leftChars="-50" w:right="-105" w:rightChars="-50"/>
              <w:jc w:val="center"/>
              <w:rPr>
                <w:szCs w:val="21"/>
              </w:rPr>
            </w:pPr>
          </w:p>
        </w:tc>
        <w:tc>
          <w:tcPr>
            <w:tcW w:w="1855" w:type="dxa"/>
            <w:gridSpan w:val="2"/>
            <w:noWrap w:val="0"/>
            <w:vAlign w:val="center"/>
          </w:tcPr>
          <w:p w14:paraId="657D10A3">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640A38E9">
            <w:pPr>
              <w:ind w:left="-105" w:leftChars="-50" w:right="-105" w:rightChars="-50"/>
              <w:jc w:val="center"/>
              <w:rPr>
                <w:szCs w:val="21"/>
              </w:rPr>
            </w:pPr>
            <w:r>
              <w:rPr>
                <w:szCs w:val="21"/>
              </w:rPr>
              <w:t>/</w:t>
            </w:r>
          </w:p>
        </w:tc>
        <w:tc>
          <w:tcPr>
            <w:tcW w:w="1441" w:type="dxa"/>
            <w:noWrap w:val="0"/>
            <w:vAlign w:val="center"/>
          </w:tcPr>
          <w:p w14:paraId="4DA765CF">
            <w:pPr>
              <w:widowControl/>
              <w:jc w:val="center"/>
              <w:textAlignment w:val="center"/>
              <w:rPr>
                <w:szCs w:val="21"/>
              </w:rPr>
            </w:pPr>
            <w:r>
              <w:rPr>
                <w:kern w:val="0"/>
                <w:szCs w:val="21"/>
                <w:lang w:bidi="ar"/>
              </w:rPr>
              <w:t>0.3775</w:t>
            </w:r>
          </w:p>
        </w:tc>
        <w:tc>
          <w:tcPr>
            <w:tcW w:w="4472" w:type="dxa"/>
            <w:vMerge w:val="continue"/>
            <w:noWrap w:val="0"/>
            <w:vAlign w:val="center"/>
          </w:tcPr>
          <w:p w14:paraId="5DB3CACD">
            <w:pPr>
              <w:ind w:left="-105" w:leftChars="-50" w:right="-105" w:rightChars="-50"/>
              <w:jc w:val="center"/>
              <w:rPr>
                <w:szCs w:val="21"/>
              </w:rPr>
            </w:pPr>
          </w:p>
        </w:tc>
        <w:tc>
          <w:tcPr>
            <w:tcW w:w="1598" w:type="dxa"/>
            <w:gridSpan w:val="2"/>
            <w:noWrap w:val="0"/>
            <w:vAlign w:val="center"/>
          </w:tcPr>
          <w:p w14:paraId="2F7F206D">
            <w:pPr>
              <w:ind w:left="-105" w:leftChars="-50" w:right="-105" w:rightChars="-50"/>
              <w:jc w:val="center"/>
              <w:rPr>
                <w:szCs w:val="21"/>
              </w:rPr>
            </w:pPr>
            <w:r>
              <w:rPr>
                <w:szCs w:val="21"/>
              </w:rPr>
              <w:t>/</w:t>
            </w:r>
          </w:p>
        </w:tc>
        <w:tc>
          <w:tcPr>
            <w:tcW w:w="1600" w:type="dxa"/>
            <w:noWrap w:val="0"/>
            <w:vAlign w:val="center"/>
          </w:tcPr>
          <w:p w14:paraId="551CE51A">
            <w:pPr>
              <w:widowControl/>
              <w:jc w:val="center"/>
              <w:textAlignment w:val="center"/>
              <w:rPr>
                <w:szCs w:val="21"/>
              </w:rPr>
            </w:pPr>
            <w:r>
              <w:rPr>
                <w:kern w:val="0"/>
                <w:szCs w:val="21"/>
                <w:lang w:bidi="ar"/>
              </w:rPr>
              <w:t>0.0189</w:t>
            </w:r>
          </w:p>
        </w:tc>
      </w:tr>
      <w:tr w14:paraId="092B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61430736">
            <w:pPr>
              <w:ind w:left="-105" w:leftChars="-50" w:right="-105" w:rightChars="-50"/>
              <w:jc w:val="center"/>
              <w:rPr>
                <w:szCs w:val="21"/>
              </w:rPr>
            </w:pPr>
          </w:p>
        </w:tc>
        <w:tc>
          <w:tcPr>
            <w:tcW w:w="748" w:type="dxa"/>
            <w:vMerge w:val="continue"/>
            <w:noWrap w:val="0"/>
            <w:vAlign w:val="center"/>
          </w:tcPr>
          <w:p w14:paraId="129B27F8">
            <w:pPr>
              <w:ind w:left="-105" w:leftChars="-50" w:right="-105" w:rightChars="-50"/>
              <w:jc w:val="center"/>
              <w:rPr>
                <w:szCs w:val="21"/>
              </w:rPr>
            </w:pPr>
          </w:p>
        </w:tc>
        <w:tc>
          <w:tcPr>
            <w:tcW w:w="931" w:type="dxa"/>
            <w:vMerge w:val="restart"/>
            <w:noWrap w:val="0"/>
            <w:vAlign w:val="center"/>
          </w:tcPr>
          <w:p w14:paraId="0E758C80">
            <w:pPr>
              <w:ind w:left="-105" w:leftChars="-50" w:right="-105" w:rightChars="-50"/>
              <w:jc w:val="center"/>
              <w:rPr>
                <w:szCs w:val="21"/>
              </w:rPr>
            </w:pPr>
            <w:r>
              <w:rPr>
                <w:kern w:val="0"/>
                <w:szCs w:val="21"/>
                <w:lang w:bidi="ar"/>
              </w:rPr>
              <w:t>3号地（老井位置）猪舍</w:t>
            </w:r>
          </w:p>
        </w:tc>
        <w:tc>
          <w:tcPr>
            <w:tcW w:w="1855" w:type="dxa"/>
            <w:gridSpan w:val="2"/>
            <w:noWrap w:val="0"/>
            <w:vAlign w:val="center"/>
          </w:tcPr>
          <w:p w14:paraId="29AB2E77">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123CC687">
            <w:pPr>
              <w:ind w:left="-105" w:leftChars="-50" w:right="-105" w:rightChars="-50"/>
              <w:jc w:val="center"/>
              <w:rPr>
                <w:szCs w:val="21"/>
              </w:rPr>
            </w:pPr>
            <w:r>
              <w:rPr>
                <w:szCs w:val="21"/>
              </w:rPr>
              <w:t>/</w:t>
            </w:r>
          </w:p>
        </w:tc>
        <w:tc>
          <w:tcPr>
            <w:tcW w:w="1441" w:type="dxa"/>
            <w:noWrap w:val="0"/>
            <w:vAlign w:val="center"/>
          </w:tcPr>
          <w:p w14:paraId="6CC12BA6">
            <w:pPr>
              <w:widowControl/>
              <w:jc w:val="center"/>
              <w:textAlignment w:val="center"/>
              <w:rPr>
                <w:szCs w:val="21"/>
              </w:rPr>
            </w:pPr>
            <w:r>
              <w:rPr>
                <w:kern w:val="0"/>
                <w:szCs w:val="21"/>
                <w:lang w:bidi="ar"/>
              </w:rPr>
              <w:t>1.7156</w:t>
            </w:r>
          </w:p>
        </w:tc>
        <w:tc>
          <w:tcPr>
            <w:tcW w:w="4472" w:type="dxa"/>
            <w:vMerge w:val="continue"/>
            <w:noWrap w:val="0"/>
            <w:vAlign w:val="center"/>
          </w:tcPr>
          <w:p w14:paraId="659D95F9">
            <w:pPr>
              <w:ind w:left="-105" w:leftChars="-50" w:right="-105" w:rightChars="-50"/>
              <w:jc w:val="center"/>
              <w:rPr>
                <w:szCs w:val="21"/>
              </w:rPr>
            </w:pPr>
          </w:p>
        </w:tc>
        <w:tc>
          <w:tcPr>
            <w:tcW w:w="1598" w:type="dxa"/>
            <w:gridSpan w:val="2"/>
            <w:noWrap w:val="0"/>
            <w:vAlign w:val="center"/>
          </w:tcPr>
          <w:p w14:paraId="5D113813">
            <w:pPr>
              <w:ind w:left="-105" w:leftChars="-50" w:right="-105" w:rightChars="-50"/>
              <w:jc w:val="center"/>
              <w:rPr>
                <w:szCs w:val="21"/>
              </w:rPr>
            </w:pPr>
            <w:r>
              <w:rPr>
                <w:szCs w:val="21"/>
              </w:rPr>
              <w:t>/</w:t>
            </w:r>
          </w:p>
        </w:tc>
        <w:tc>
          <w:tcPr>
            <w:tcW w:w="1600" w:type="dxa"/>
            <w:noWrap w:val="0"/>
            <w:vAlign w:val="center"/>
          </w:tcPr>
          <w:p w14:paraId="18110929">
            <w:pPr>
              <w:widowControl/>
              <w:jc w:val="center"/>
              <w:textAlignment w:val="center"/>
              <w:rPr>
                <w:szCs w:val="21"/>
              </w:rPr>
            </w:pPr>
            <w:r>
              <w:rPr>
                <w:kern w:val="0"/>
                <w:szCs w:val="21"/>
                <w:lang w:bidi="ar"/>
              </w:rPr>
              <w:t>0.0858</w:t>
            </w:r>
          </w:p>
        </w:tc>
      </w:tr>
      <w:tr w14:paraId="0B64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0FAFFE53">
            <w:pPr>
              <w:ind w:left="-105" w:leftChars="-50" w:right="-105" w:rightChars="-50"/>
              <w:jc w:val="center"/>
              <w:rPr>
                <w:szCs w:val="21"/>
              </w:rPr>
            </w:pPr>
          </w:p>
        </w:tc>
        <w:tc>
          <w:tcPr>
            <w:tcW w:w="748" w:type="dxa"/>
            <w:vMerge w:val="continue"/>
            <w:noWrap w:val="0"/>
            <w:vAlign w:val="center"/>
          </w:tcPr>
          <w:p w14:paraId="4F836231">
            <w:pPr>
              <w:ind w:left="-105" w:leftChars="-50" w:right="-105" w:rightChars="-50"/>
              <w:jc w:val="center"/>
              <w:rPr>
                <w:szCs w:val="21"/>
              </w:rPr>
            </w:pPr>
          </w:p>
        </w:tc>
        <w:tc>
          <w:tcPr>
            <w:tcW w:w="931" w:type="dxa"/>
            <w:vMerge w:val="continue"/>
            <w:noWrap w:val="0"/>
            <w:vAlign w:val="center"/>
          </w:tcPr>
          <w:p w14:paraId="7FE21989">
            <w:pPr>
              <w:ind w:left="-105" w:leftChars="-50" w:right="-105" w:rightChars="-50"/>
              <w:jc w:val="center"/>
              <w:rPr>
                <w:szCs w:val="21"/>
              </w:rPr>
            </w:pPr>
          </w:p>
        </w:tc>
        <w:tc>
          <w:tcPr>
            <w:tcW w:w="1855" w:type="dxa"/>
            <w:gridSpan w:val="2"/>
            <w:noWrap w:val="0"/>
            <w:vAlign w:val="center"/>
          </w:tcPr>
          <w:p w14:paraId="279050D5">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52F16244">
            <w:pPr>
              <w:ind w:left="-105" w:leftChars="-50" w:right="-105" w:rightChars="-50"/>
              <w:jc w:val="center"/>
              <w:rPr>
                <w:szCs w:val="21"/>
              </w:rPr>
            </w:pPr>
            <w:r>
              <w:rPr>
                <w:szCs w:val="21"/>
              </w:rPr>
              <w:t>/</w:t>
            </w:r>
          </w:p>
        </w:tc>
        <w:tc>
          <w:tcPr>
            <w:tcW w:w="1441" w:type="dxa"/>
            <w:noWrap w:val="0"/>
            <w:vAlign w:val="center"/>
          </w:tcPr>
          <w:p w14:paraId="00A711BB">
            <w:pPr>
              <w:widowControl/>
              <w:jc w:val="center"/>
              <w:textAlignment w:val="center"/>
              <w:rPr>
                <w:szCs w:val="21"/>
              </w:rPr>
            </w:pPr>
            <w:r>
              <w:rPr>
                <w:kern w:val="0"/>
                <w:szCs w:val="21"/>
                <w:lang w:bidi="ar"/>
              </w:rPr>
              <w:t>0.1676</w:t>
            </w:r>
          </w:p>
        </w:tc>
        <w:tc>
          <w:tcPr>
            <w:tcW w:w="4472" w:type="dxa"/>
            <w:vMerge w:val="continue"/>
            <w:noWrap w:val="0"/>
            <w:vAlign w:val="center"/>
          </w:tcPr>
          <w:p w14:paraId="0617C93A">
            <w:pPr>
              <w:ind w:left="-105" w:leftChars="-50" w:right="-105" w:rightChars="-50"/>
              <w:jc w:val="center"/>
              <w:rPr>
                <w:szCs w:val="21"/>
              </w:rPr>
            </w:pPr>
          </w:p>
        </w:tc>
        <w:tc>
          <w:tcPr>
            <w:tcW w:w="1598" w:type="dxa"/>
            <w:gridSpan w:val="2"/>
            <w:noWrap w:val="0"/>
            <w:vAlign w:val="center"/>
          </w:tcPr>
          <w:p w14:paraId="04331D0D">
            <w:pPr>
              <w:ind w:left="-105" w:leftChars="-50" w:right="-105" w:rightChars="-50"/>
              <w:jc w:val="center"/>
              <w:rPr>
                <w:szCs w:val="21"/>
              </w:rPr>
            </w:pPr>
            <w:r>
              <w:rPr>
                <w:szCs w:val="21"/>
              </w:rPr>
              <w:t>/</w:t>
            </w:r>
          </w:p>
        </w:tc>
        <w:tc>
          <w:tcPr>
            <w:tcW w:w="1600" w:type="dxa"/>
            <w:noWrap w:val="0"/>
            <w:vAlign w:val="center"/>
          </w:tcPr>
          <w:p w14:paraId="7C0EA1D2">
            <w:pPr>
              <w:widowControl/>
              <w:jc w:val="center"/>
              <w:textAlignment w:val="center"/>
              <w:rPr>
                <w:szCs w:val="21"/>
              </w:rPr>
            </w:pPr>
            <w:r>
              <w:rPr>
                <w:kern w:val="0"/>
                <w:szCs w:val="21"/>
                <w:lang w:bidi="ar"/>
              </w:rPr>
              <w:t>0.0084</w:t>
            </w:r>
          </w:p>
        </w:tc>
      </w:tr>
      <w:tr w14:paraId="63FE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41029A0A">
            <w:pPr>
              <w:ind w:left="-105" w:leftChars="-50" w:right="-105" w:rightChars="-50"/>
              <w:jc w:val="center"/>
              <w:rPr>
                <w:szCs w:val="21"/>
              </w:rPr>
            </w:pPr>
          </w:p>
        </w:tc>
        <w:tc>
          <w:tcPr>
            <w:tcW w:w="748" w:type="dxa"/>
            <w:vMerge w:val="continue"/>
            <w:noWrap w:val="0"/>
            <w:vAlign w:val="center"/>
          </w:tcPr>
          <w:p w14:paraId="56B30B1D">
            <w:pPr>
              <w:ind w:left="-105" w:leftChars="-50" w:right="-105" w:rightChars="-50"/>
              <w:jc w:val="center"/>
              <w:rPr>
                <w:szCs w:val="21"/>
              </w:rPr>
            </w:pPr>
          </w:p>
        </w:tc>
        <w:tc>
          <w:tcPr>
            <w:tcW w:w="931" w:type="dxa"/>
            <w:vMerge w:val="restart"/>
            <w:noWrap w:val="0"/>
            <w:vAlign w:val="center"/>
          </w:tcPr>
          <w:p w14:paraId="140167DC">
            <w:pPr>
              <w:ind w:left="-105" w:leftChars="-50" w:right="-105" w:rightChars="-50"/>
              <w:jc w:val="center"/>
              <w:rPr>
                <w:szCs w:val="21"/>
              </w:rPr>
            </w:pPr>
            <w:r>
              <w:rPr>
                <w:kern w:val="0"/>
                <w:szCs w:val="21"/>
                <w:lang w:bidi="ar"/>
              </w:rPr>
              <w:t>4号地（鑫旺板块位置）猪舍</w:t>
            </w:r>
          </w:p>
        </w:tc>
        <w:tc>
          <w:tcPr>
            <w:tcW w:w="1855" w:type="dxa"/>
            <w:gridSpan w:val="2"/>
            <w:noWrap w:val="0"/>
            <w:vAlign w:val="center"/>
          </w:tcPr>
          <w:p w14:paraId="1B7506CB">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616197E9">
            <w:pPr>
              <w:ind w:left="-105" w:leftChars="-50" w:right="-105" w:rightChars="-50"/>
              <w:jc w:val="center"/>
              <w:rPr>
                <w:szCs w:val="21"/>
              </w:rPr>
            </w:pPr>
            <w:r>
              <w:rPr>
                <w:szCs w:val="21"/>
              </w:rPr>
              <w:t>/</w:t>
            </w:r>
          </w:p>
        </w:tc>
        <w:tc>
          <w:tcPr>
            <w:tcW w:w="1441" w:type="dxa"/>
            <w:noWrap w:val="0"/>
            <w:vAlign w:val="center"/>
          </w:tcPr>
          <w:p w14:paraId="6D1A2D66">
            <w:pPr>
              <w:widowControl/>
              <w:jc w:val="center"/>
              <w:textAlignment w:val="center"/>
              <w:rPr>
                <w:szCs w:val="21"/>
              </w:rPr>
            </w:pPr>
            <w:r>
              <w:rPr>
                <w:kern w:val="0"/>
                <w:szCs w:val="21"/>
                <w:lang w:bidi="ar"/>
              </w:rPr>
              <w:t>4.1745</w:t>
            </w:r>
          </w:p>
        </w:tc>
        <w:tc>
          <w:tcPr>
            <w:tcW w:w="4472" w:type="dxa"/>
            <w:vMerge w:val="continue"/>
            <w:noWrap w:val="0"/>
            <w:vAlign w:val="center"/>
          </w:tcPr>
          <w:p w14:paraId="1F9FC441">
            <w:pPr>
              <w:ind w:left="-105" w:leftChars="-50" w:right="-105" w:rightChars="-50"/>
              <w:jc w:val="center"/>
              <w:rPr>
                <w:szCs w:val="21"/>
              </w:rPr>
            </w:pPr>
          </w:p>
        </w:tc>
        <w:tc>
          <w:tcPr>
            <w:tcW w:w="1598" w:type="dxa"/>
            <w:gridSpan w:val="2"/>
            <w:noWrap w:val="0"/>
            <w:vAlign w:val="center"/>
          </w:tcPr>
          <w:p w14:paraId="0C03D2D0">
            <w:pPr>
              <w:ind w:left="-105" w:leftChars="-50" w:right="-105" w:rightChars="-50"/>
              <w:jc w:val="center"/>
              <w:rPr>
                <w:szCs w:val="21"/>
              </w:rPr>
            </w:pPr>
            <w:r>
              <w:rPr>
                <w:szCs w:val="21"/>
              </w:rPr>
              <w:t>/</w:t>
            </w:r>
          </w:p>
        </w:tc>
        <w:tc>
          <w:tcPr>
            <w:tcW w:w="1600" w:type="dxa"/>
            <w:noWrap w:val="0"/>
            <w:vAlign w:val="center"/>
          </w:tcPr>
          <w:p w14:paraId="18482FED">
            <w:pPr>
              <w:widowControl/>
              <w:jc w:val="center"/>
              <w:textAlignment w:val="center"/>
              <w:rPr>
                <w:szCs w:val="21"/>
              </w:rPr>
            </w:pPr>
            <w:r>
              <w:rPr>
                <w:kern w:val="0"/>
                <w:szCs w:val="21"/>
                <w:lang w:bidi="ar"/>
              </w:rPr>
              <w:t>0.2087</w:t>
            </w:r>
          </w:p>
        </w:tc>
      </w:tr>
      <w:tr w14:paraId="7EFA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2BD94254">
            <w:pPr>
              <w:ind w:left="-105" w:leftChars="-50" w:right="-105" w:rightChars="-50"/>
              <w:jc w:val="center"/>
              <w:rPr>
                <w:szCs w:val="21"/>
              </w:rPr>
            </w:pPr>
          </w:p>
        </w:tc>
        <w:tc>
          <w:tcPr>
            <w:tcW w:w="748" w:type="dxa"/>
            <w:vMerge w:val="continue"/>
            <w:noWrap w:val="0"/>
            <w:vAlign w:val="center"/>
          </w:tcPr>
          <w:p w14:paraId="5F7865D8">
            <w:pPr>
              <w:ind w:left="-105" w:leftChars="-50" w:right="-105" w:rightChars="-50"/>
              <w:jc w:val="center"/>
              <w:rPr>
                <w:szCs w:val="21"/>
              </w:rPr>
            </w:pPr>
          </w:p>
        </w:tc>
        <w:tc>
          <w:tcPr>
            <w:tcW w:w="931" w:type="dxa"/>
            <w:vMerge w:val="continue"/>
            <w:noWrap w:val="0"/>
            <w:vAlign w:val="center"/>
          </w:tcPr>
          <w:p w14:paraId="2CD148A7">
            <w:pPr>
              <w:ind w:left="-105" w:leftChars="-50" w:right="-105" w:rightChars="-50"/>
              <w:jc w:val="center"/>
              <w:rPr>
                <w:szCs w:val="21"/>
              </w:rPr>
            </w:pPr>
          </w:p>
        </w:tc>
        <w:tc>
          <w:tcPr>
            <w:tcW w:w="1855" w:type="dxa"/>
            <w:gridSpan w:val="2"/>
            <w:noWrap w:val="0"/>
            <w:vAlign w:val="center"/>
          </w:tcPr>
          <w:p w14:paraId="63BBC991">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455655CD">
            <w:pPr>
              <w:ind w:left="-105" w:leftChars="-50" w:right="-105" w:rightChars="-50"/>
              <w:jc w:val="center"/>
              <w:rPr>
                <w:szCs w:val="21"/>
              </w:rPr>
            </w:pPr>
            <w:r>
              <w:rPr>
                <w:szCs w:val="21"/>
              </w:rPr>
              <w:t>/</w:t>
            </w:r>
          </w:p>
        </w:tc>
        <w:tc>
          <w:tcPr>
            <w:tcW w:w="1441" w:type="dxa"/>
            <w:noWrap w:val="0"/>
            <w:vAlign w:val="center"/>
          </w:tcPr>
          <w:p w14:paraId="3E33722F">
            <w:pPr>
              <w:widowControl/>
              <w:jc w:val="center"/>
              <w:textAlignment w:val="center"/>
              <w:rPr>
                <w:szCs w:val="21"/>
              </w:rPr>
            </w:pPr>
            <w:r>
              <w:rPr>
                <w:kern w:val="0"/>
                <w:szCs w:val="21"/>
                <w:lang w:bidi="ar"/>
              </w:rPr>
              <w:t>0.4079</w:t>
            </w:r>
          </w:p>
        </w:tc>
        <w:tc>
          <w:tcPr>
            <w:tcW w:w="4472" w:type="dxa"/>
            <w:vMerge w:val="continue"/>
            <w:noWrap w:val="0"/>
            <w:vAlign w:val="center"/>
          </w:tcPr>
          <w:p w14:paraId="5F74D49D">
            <w:pPr>
              <w:ind w:left="-105" w:leftChars="-50" w:right="-105" w:rightChars="-50"/>
              <w:jc w:val="center"/>
              <w:rPr>
                <w:szCs w:val="21"/>
              </w:rPr>
            </w:pPr>
          </w:p>
        </w:tc>
        <w:tc>
          <w:tcPr>
            <w:tcW w:w="1598" w:type="dxa"/>
            <w:gridSpan w:val="2"/>
            <w:noWrap w:val="0"/>
            <w:vAlign w:val="center"/>
          </w:tcPr>
          <w:p w14:paraId="1B265B03">
            <w:pPr>
              <w:ind w:left="-105" w:leftChars="-50" w:right="-105" w:rightChars="-50"/>
              <w:jc w:val="center"/>
              <w:rPr>
                <w:szCs w:val="21"/>
              </w:rPr>
            </w:pPr>
            <w:r>
              <w:rPr>
                <w:szCs w:val="21"/>
              </w:rPr>
              <w:t>/</w:t>
            </w:r>
          </w:p>
        </w:tc>
        <w:tc>
          <w:tcPr>
            <w:tcW w:w="1600" w:type="dxa"/>
            <w:noWrap w:val="0"/>
            <w:vAlign w:val="center"/>
          </w:tcPr>
          <w:p w14:paraId="6BD71DB8">
            <w:pPr>
              <w:widowControl/>
              <w:jc w:val="center"/>
              <w:textAlignment w:val="center"/>
              <w:rPr>
                <w:szCs w:val="21"/>
              </w:rPr>
            </w:pPr>
            <w:r>
              <w:rPr>
                <w:kern w:val="0"/>
                <w:szCs w:val="21"/>
                <w:lang w:bidi="ar"/>
              </w:rPr>
              <w:t>0.0204</w:t>
            </w:r>
          </w:p>
        </w:tc>
      </w:tr>
      <w:tr w14:paraId="4E8F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0E212385">
            <w:pPr>
              <w:ind w:left="-105" w:leftChars="-50" w:right="-105" w:rightChars="-50"/>
              <w:jc w:val="center"/>
              <w:rPr>
                <w:szCs w:val="21"/>
              </w:rPr>
            </w:pPr>
          </w:p>
        </w:tc>
        <w:tc>
          <w:tcPr>
            <w:tcW w:w="748" w:type="dxa"/>
            <w:vMerge w:val="continue"/>
            <w:noWrap w:val="0"/>
            <w:vAlign w:val="center"/>
          </w:tcPr>
          <w:p w14:paraId="3EE0428C">
            <w:pPr>
              <w:ind w:left="-105" w:leftChars="-50" w:right="-105" w:rightChars="-50"/>
              <w:jc w:val="center"/>
              <w:rPr>
                <w:szCs w:val="21"/>
              </w:rPr>
            </w:pPr>
          </w:p>
        </w:tc>
        <w:tc>
          <w:tcPr>
            <w:tcW w:w="931" w:type="dxa"/>
            <w:vMerge w:val="restart"/>
            <w:noWrap w:val="0"/>
            <w:vAlign w:val="center"/>
          </w:tcPr>
          <w:p w14:paraId="37604A5A">
            <w:pPr>
              <w:ind w:left="-105" w:leftChars="-50" w:right="-105" w:rightChars="-50"/>
              <w:jc w:val="center"/>
              <w:rPr>
                <w:szCs w:val="21"/>
              </w:rPr>
            </w:pPr>
            <w:r>
              <w:rPr>
                <w:kern w:val="0"/>
                <w:szCs w:val="21"/>
                <w:lang w:bidi="ar"/>
              </w:rPr>
              <w:t>5号地（大河边位置）猪舍</w:t>
            </w:r>
          </w:p>
        </w:tc>
        <w:tc>
          <w:tcPr>
            <w:tcW w:w="1855" w:type="dxa"/>
            <w:gridSpan w:val="2"/>
            <w:noWrap w:val="0"/>
            <w:vAlign w:val="center"/>
          </w:tcPr>
          <w:p w14:paraId="70F8B0D6">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7BADD71E">
            <w:pPr>
              <w:ind w:left="-105" w:leftChars="-50" w:right="-105" w:rightChars="-50"/>
              <w:jc w:val="center"/>
              <w:rPr>
                <w:szCs w:val="21"/>
              </w:rPr>
            </w:pPr>
            <w:r>
              <w:rPr>
                <w:szCs w:val="21"/>
              </w:rPr>
              <w:t>/</w:t>
            </w:r>
          </w:p>
        </w:tc>
        <w:tc>
          <w:tcPr>
            <w:tcW w:w="1441" w:type="dxa"/>
            <w:noWrap w:val="0"/>
            <w:vAlign w:val="center"/>
          </w:tcPr>
          <w:p w14:paraId="244E52C7">
            <w:pPr>
              <w:widowControl/>
              <w:jc w:val="center"/>
              <w:textAlignment w:val="center"/>
              <w:rPr>
                <w:szCs w:val="21"/>
              </w:rPr>
            </w:pPr>
            <w:r>
              <w:rPr>
                <w:kern w:val="0"/>
                <w:szCs w:val="21"/>
                <w:lang w:bidi="ar"/>
              </w:rPr>
              <w:t>3.2700</w:t>
            </w:r>
          </w:p>
        </w:tc>
        <w:tc>
          <w:tcPr>
            <w:tcW w:w="4472" w:type="dxa"/>
            <w:vMerge w:val="continue"/>
            <w:noWrap w:val="0"/>
            <w:vAlign w:val="center"/>
          </w:tcPr>
          <w:p w14:paraId="321F2845">
            <w:pPr>
              <w:ind w:left="-105" w:leftChars="-50" w:right="-105" w:rightChars="-50"/>
              <w:jc w:val="center"/>
              <w:rPr>
                <w:szCs w:val="21"/>
              </w:rPr>
            </w:pPr>
          </w:p>
        </w:tc>
        <w:tc>
          <w:tcPr>
            <w:tcW w:w="1598" w:type="dxa"/>
            <w:gridSpan w:val="2"/>
            <w:noWrap w:val="0"/>
            <w:vAlign w:val="center"/>
          </w:tcPr>
          <w:p w14:paraId="3933F5AF">
            <w:pPr>
              <w:ind w:left="-105" w:leftChars="-50" w:right="-105" w:rightChars="-50"/>
              <w:jc w:val="center"/>
              <w:rPr>
                <w:szCs w:val="21"/>
              </w:rPr>
            </w:pPr>
            <w:r>
              <w:rPr>
                <w:szCs w:val="21"/>
              </w:rPr>
              <w:t>/</w:t>
            </w:r>
          </w:p>
        </w:tc>
        <w:tc>
          <w:tcPr>
            <w:tcW w:w="1600" w:type="dxa"/>
            <w:noWrap w:val="0"/>
            <w:vAlign w:val="center"/>
          </w:tcPr>
          <w:p w14:paraId="67E7E50E">
            <w:pPr>
              <w:widowControl/>
              <w:jc w:val="center"/>
              <w:textAlignment w:val="center"/>
              <w:rPr>
                <w:szCs w:val="21"/>
              </w:rPr>
            </w:pPr>
            <w:r>
              <w:rPr>
                <w:kern w:val="0"/>
                <w:szCs w:val="21"/>
                <w:lang w:bidi="ar"/>
              </w:rPr>
              <w:t>0.1635</w:t>
            </w:r>
          </w:p>
        </w:tc>
      </w:tr>
      <w:tr w14:paraId="76EF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57B8805D">
            <w:pPr>
              <w:ind w:left="-105" w:leftChars="-50" w:right="-105" w:rightChars="-50"/>
              <w:jc w:val="center"/>
              <w:rPr>
                <w:szCs w:val="21"/>
              </w:rPr>
            </w:pPr>
          </w:p>
        </w:tc>
        <w:tc>
          <w:tcPr>
            <w:tcW w:w="748" w:type="dxa"/>
            <w:vMerge w:val="continue"/>
            <w:noWrap w:val="0"/>
            <w:vAlign w:val="center"/>
          </w:tcPr>
          <w:p w14:paraId="4E5A1879">
            <w:pPr>
              <w:ind w:left="-105" w:leftChars="-50" w:right="-105" w:rightChars="-50"/>
              <w:jc w:val="center"/>
              <w:rPr>
                <w:szCs w:val="21"/>
              </w:rPr>
            </w:pPr>
          </w:p>
        </w:tc>
        <w:tc>
          <w:tcPr>
            <w:tcW w:w="931" w:type="dxa"/>
            <w:vMerge w:val="continue"/>
            <w:noWrap w:val="0"/>
            <w:vAlign w:val="center"/>
          </w:tcPr>
          <w:p w14:paraId="5BA78FE7">
            <w:pPr>
              <w:ind w:left="-105" w:leftChars="-50" w:right="-105" w:rightChars="-50"/>
              <w:jc w:val="center"/>
              <w:rPr>
                <w:szCs w:val="21"/>
              </w:rPr>
            </w:pPr>
          </w:p>
        </w:tc>
        <w:tc>
          <w:tcPr>
            <w:tcW w:w="1855" w:type="dxa"/>
            <w:gridSpan w:val="2"/>
            <w:noWrap w:val="0"/>
            <w:vAlign w:val="center"/>
          </w:tcPr>
          <w:p w14:paraId="71A7FB5D">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3C5C7772">
            <w:pPr>
              <w:ind w:left="-105" w:leftChars="-50" w:right="-105" w:rightChars="-50"/>
              <w:jc w:val="center"/>
              <w:rPr>
                <w:szCs w:val="21"/>
              </w:rPr>
            </w:pPr>
            <w:r>
              <w:rPr>
                <w:szCs w:val="21"/>
              </w:rPr>
              <w:t>/</w:t>
            </w:r>
          </w:p>
        </w:tc>
        <w:tc>
          <w:tcPr>
            <w:tcW w:w="1441" w:type="dxa"/>
            <w:noWrap w:val="0"/>
            <w:vAlign w:val="center"/>
          </w:tcPr>
          <w:p w14:paraId="30E2AB19">
            <w:pPr>
              <w:widowControl/>
              <w:jc w:val="center"/>
              <w:textAlignment w:val="center"/>
              <w:rPr>
                <w:szCs w:val="21"/>
              </w:rPr>
            </w:pPr>
            <w:r>
              <w:rPr>
                <w:kern w:val="0"/>
                <w:szCs w:val="21"/>
                <w:lang w:bidi="ar"/>
              </w:rPr>
              <w:t>0.3195</w:t>
            </w:r>
          </w:p>
        </w:tc>
        <w:tc>
          <w:tcPr>
            <w:tcW w:w="4472" w:type="dxa"/>
            <w:vMerge w:val="continue"/>
            <w:noWrap w:val="0"/>
            <w:vAlign w:val="center"/>
          </w:tcPr>
          <w:p w14:paraId="4B90A956">
            <w:pPr>
              <w:ind w:left="-105" w:leftChars="-50" w:right="-105" w:rightChars="-50"/>
              <w:jc w:val="center"/>
              <w:rPr>
                <w:szCs w:val="21"/>
              </w:rPr>
            </w:pPr>
          </w:p>
        </w:tc>
        <w:tc>
          <w:tcPr>
            <w:tcW w:w="1598" w:type="dxa"/>
            <w:gridSpan w:val="2"/>
            <w:noWrap w:val="0"/>
            <w:vAlign w:val="center"/>
          </w:tcPr>
          <w:p w14:paraId="06ECE791">
            <w:pPr>
              <w:ind w:left="-105" w:leftChars="-50" w:right="-105" w:rightChars="-50"/>
              <w:jc w:val="center"/>
              <w:rPr>
                <w:szCs w:val="21"/>
              </w:rPr>
            </w:pPr>
            <w:r>
              <w:rPr>
                <w:szCs w:val="21"/>
              </w:rPr>
              <w:t>/</w:t>
            </w:r>
          </w:p>
        </w:tc>
        <w:tc>
          <w:tcPr>
            <w:tcW w:w="1600" w:type="dxa"/>
            <w:noWrap w:val="0"/>
            <w:vAlign w:val="center"/>
          </w:tcPr>
          <w:p w14:paraId="22C52292">
            <w:pPr>
              <w:widowControl/>
              <w:jc w:val="center"/>
              <w:textAlignment w:val="center"/>
              <w:rPr>
                <w:szCs w:val="21"/>
              </w:rPr>
            </w:pPr>
            <w:r>
              <w:rPr>
                <w:kern w:val="0"/>
                <w:szCs w:val="21"/>
                <w:lang w:bidi="ar"/>
              </w:rPr>
              <w:t>0.0160</w:t>
            </w:r>
          </w:p>
        </w:tc>
      </w:tr>
      <w:tr w14:paraId="0D0A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77" w:hRule="atLeast"/>
          <w:jc w:val="center"/>
        </w:trPr>
        <w:tc>
          <w:tcPr>
            <w:tcW w:w="622" w:type="dxa"/>
            <w:vMerge w:val="continue"/>
            <w:noWrap w:val="0"/>
            <w:vAlign w:val="center"/>
          </w:tcPr>
          <w:p w14:paraId="23E1E682">
            <w:pPr>
              <w:ind w:left="-105" w:leftChars="-50" w:right="-105" w:rightChars="-50"/>
              <w:jc w:val="center"/>
              <w:rPr>
                <w:szCs w:val="21"/>
              </w:rPr>
            </w:pPr>
          </w:p>
        </w:tc>
        <w:tc>
          <w:tcPr>
            <w:tcW w:w="748" w:type="dxa"/>
            <w:vMerge w:val="continue"/>
            <w:noWrap w:val="0"/>
            <w:vAlign w:val="center"/>
          </w:tcPr>
          <w:p w14:paraId="335A3175">
            <w:pPr>
              <w:ind w:left="-105" w:leftChars="-50" w:right="-105" w:rightChars="-50"/>
              <w:jc w:val="center"/>
              <w:rPr>
                <w:szCs w:val="21"/>
              </w:rPr>
            </w:pPr>
          </w:p>
        </w:tc>
        <w:tc>
          <w:tcPr>
            <w:tcW w:w="931" w:type="dxa"/>
            <w:vMerge w:val="restart"/>
            <w:noWrap w:val="0"/>
            <w:vAlign w:val="center"/>
          </w:tcPr>
          <w:p w14:paraId="4EE3EB3A">
            <w:pPr>
              <w:pStyle w:val="85"/>
              <w:spacing w:after="0"/>
              <w:ind w:left="-105" w:leftChars="-50" w:right="-105" w:rightChars="-50" w:firstLine="0" w:firstLineChars="0"/>
              <w:jc w:val="center"/>
              <w:rPr>
                <w:szCs w:val="21"/>
              </w:rPr>
            </w:pPr>
            <w:r>
              <w:rPr>
                <w:kern w:val="0"/>
                <w:szCs w:val="21"/>
                <w:lang w:bidi="ar"/>
              </w:rPr>
              <w:t>1号地（盛丰通风井位置）</w:t>
            </w:r>
            <w:r>
              <w:rPr>
                <w:szCs w:val="21"/>
              </w:rPr>
              <w:t>污水处理站</w:t>
            </w:r>
          </w:p>
        </w:tc>
        <w:tc>
          <w:tcPr>
            <w:tcW w:w="1855" w:type="dxa"/>
            <w:gridSpan w:val="2"/>
            <w:noWrap w:val="0"/>
            <w:vAlign w:val="center"/>
          </w:tcPr>
          <w:p w14:paraId="6DCEE9E9">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6AB8686E">
            <w:pPr>
              <w:ind w:left="-105" w:leftChars="-50" w:right="-105" w:rightChars="-50"/>
              <w:jc w:val="center"/>
              <w:rPr>
                <w:szCs w:val="21"/>
              </w:rPr>
            </w:pPr>
            <w:r>
              <w:rPr>
                <w:szCs w:val="21"/>
              </w:rPr>
              <w:t>/</w:t>
            </w:r>
          </w:p>
        </w:tc>
        <w:tc>
          <w:tcPr>
            <w:tcW w:w="1441" w:type="dxa"/>
            <w:noWrap w:val="0"/>
            <w:vAlign w:val="center"/>
          </w:tcPr>
          <w:p w14:paraId="69CB4B12">
            <w:pPr>
              <w:widowControl/>
              <w:jc w:val="center"/>
              <w:textAlignment w:val="center"/>
              <w:rPr>
                <w:szCs w:val="21"/>
              </w:rPr>
            </w:pPr>
            <w:r>
              <w:rPr>
                <w:kern w:val="0"/>
                <w:szCs w:val="21"/>
                <w:lang w:bidi="ar"/>
              </w:rPr>
              <w:t>0.0053</w:t>
            </w:r>
          </w:p>
        </w:tc>
        <w:tc>
          <w:tcPr>
            <w:tcW w:w="4472" w:type="dxa"/>
            <w:vMerge w:val="restart"/>
            <w:noWrap w:val="0"/>
            <w:vAlign w:val="center"/>
          </w:tcPr>
          <w:p w14:paraId="444F615D">
            <w:pPr>
              <w:ind w:left="-105" w:leftChars="-50" w:right="-105" w:rightChars="-50"/>
              <w:jc w:val="center"/>
              <w:rPr>
                <w:szCs w:val="21"/>
              </w:rPr>
            </w:pPr>
            <w:r>
              <w:rPr>
                <w:bCs/>
                <w:szCs w:val="21"/>
              </w:rPr>
              <w:t>收集池、调节池、污水处理设施及沼液储存池进行加盖封闭，同时喷洒除臭剂，并加强污水处理站周围绿化，</w:t>
            </w:r>
          </w:p>
        </w:tc>
        <w:tc>
          <w:tcPr>
            <w:tcW w:w="1598" w:type="dxa"/>
            <w:gridSpan w:val="2"/>
            <w:noWrap w:val="0"/>
            <w:vAlign w:val="center"/>
          </w:tcPr>
          <w:p w14:paraId="28159742">
            <w:pPr>
              <w:ind w:left="-105" w:leftChars="-50" w:right="-105" w:rightChars="-50"/>
              <w:jc w:val="center"/>
              <w:rPr>
                <w:szCs w:val="21"/>
              </w:rPr>
            </w:pPr>
            <w:r>
              <w:rPr>
                <w:szCs w:val="21"/>
              </w:rPr>
              <w:t>/</w:t>
            </w:r>
          </w:p>
        </w:tc>
        <w:tc>
          <w:tcPr>
            <w:tcW w:w="1600" w:type="dxa"/>
            <w:noWrap w:val="0"/>
            <w:vAlign w:val="center"/>
          </w:tcPr>
          <w:p w14:paraId="0B756F15">
            <w:pPr>
              <w:widowControl/>
              <w:jc w:val="center"/>
              <w:textAlignment w:val="center"/>
              <w:rPr>
                <w:szCs w:val="21"/>
              </w:rPr>
            </w:pPr>
            <w:r>
              <w:rPr>
                <w:kern w:val="0"/>
                <w:szCs w:val="21"/>
                <w:lang w:bidi="ar"/>
              </w:rPr>
              <w:t>0.0016</w:t>
            </w:r>
          </w:p>
        </w:tc>
      </w:tr>
      <w:tr w14:paraId="2BF3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2A523BE2">
            <w:pPr>
              <w:ind w:left="-105" w:leftChars="-50" w:right="-105" w:rightChars="-50"/>
              <w:jc w:val="center"/>
              <w:rPr>
                <w:szCs w:val="21"/>
              </w:rPr>
            </w:pPr>
          </w:p>
        </w:tc>
        <w:tc>
          <w:tcPr>
            <w:tcW w:w="748" w:type="dxa"/>
            <w:vMerge w:val="continue"/>
            <w:noWrap w:val="0"/>
            <w:vAlign w:val="center"/>
          </w:tcPr>
          <w:p w14:paraId="43D0F576">
            <w:pPr>
              <w:ind w:left="-105" w:leftChars="-50" w:right="-105" w:rightChars="-50"/>
              <w:jc w:val="center"/>
              <w:rPr>
                <w:szCs w:val="21"/>
              </w:rPr>
            </w:pPr>
          </w:p>
        </w:tc>
        <w:tc>
          <w:tcPr>
            <w:tcW w:w="931" w:type="dxa"/>
            <w:vMerge w:val="continue"/>
            <w:noWrap w:val="0"/>
            <w:vAlign w:val="center"/>
          </w:tcPr>
          <w:p w14:paraId="78D941E6">
            <w:pPr>
              <w:ind w:left="-105" w:leftChars="-50" w:right="-105" w:rightChars="-50"/>
              <w:jc w:val="center"/>
              <w:rPr>
                <w:szCs w:val="21"/>
              </w:rPr>
            </w:pPr>
          </w:p>
        </w:tc>
        <w:tc>
          <w:tcPr>
            <w:tcW w:w="1855" w:type="dxa"/>
            <w:gridSpan w:val="2"/>
            <w:noWrap w:val="0"/>
            <w:vAlign w:val="center"/>
          </w:tcPr>
          <w:p w14:paraId="214BC651">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2EC56AD1">
            <w:pPr>
              <w:ind w:left="-105" w:leftChars="-50" w:right="-105" w:rightChars="-50"/>
              <w:jc w:val="center"/>
              <w:rPr>
                <w:szCs w:val="21"/>
              </w:rPr>
            </w:pPr>
            <w:r>
              <w:rPr>
                <w:szCs w:val="21"/>
              </w:rPr>
              <w:t>/</w:t>
            </w:r>
          </w:p>
        </w:tc>
        <w:tc>
          <w:tcPr>
            <w:tcW w:w="1441" w:type="dxa"/>
            <w:noWrap w:val="0"/>
            <w:vAlign w:val="center"/>
          </w:tcPr>
          <w:p w14:paraId="150BEA33">
            <w:pPr>
              <w:widowControl/>
              <w:jc w:val="center"/>
              <w:textAlignment w:val="center"/>
              <w:rPr>
                <w:szCs w:val="21"/>
              </w:rPr>
            </w:pPr>
            <w:r>
              <w:rPr>
                <w:kern w:val="0"/>
                <w:szCs w:val="21"/>
                <w:lang w:bidi="ar"/>
              </w:rPr>
              <w:t>0.0002</w:t>
            </w:r>
          </w:p>
        </w:tc>
        <w:tc>
          <w:tcPr>
            <w:tcW w:w="4472" w:type="dxa"/>
            <w:vMerge w:val="continue"/>
            <w:noWrap w:val="0"/>
            <w:vAlign w:val="center"/>
          </w:tcPr>
          <w:p w14:paraId="1F78132A">
            <w:pPr>
              <w:ind w:left="-105" w:leftChars="-50" w:right="-105" w:rightChars="-50"/>
              <w:jc w:val="center"/>
              <w:rPr>
                <w:szCs w:val="21"/>
              </w:rPr>
            </w:pPr>
          </w:p>
        </w:tc>
        <w:tc>
          <w:tcPr>
            <w:tcW w:w="1598" w:type="dxa"/>
            <w:gridSpan w:val="2"/>
            <w:noWrap w:val="0"/>
            <w:vAlign w:val="center"/>
          </w:tcPr>
          <w:p w14:paraId="6956A6E2">
            <w:pPr>
              <w:ind w:left="-105" w:leftChars="-50" w:right="-105" w:rightChars="-50"/>
              <w:jc w:val="center"/>
              <w:rPr>
                <w:szCs w:val="21"/>
              </w:rPr>
            </w:pPr>
            <w:r>
              <w:rPr>
                <w:szCs w:val="21"/>
              </w:rPr>
              <w:t>/</w:t>
            </w:r>
          </w:p>
        </w:tc>
        <w:tc>
          <w:tcPr>
            <w:tcW w:w="1600" w:type="dxa"/>
            <w:noWrap w:val="0"/>
            <w:vAlign w:val="center"/>
          </w:tcPr>
          <w:p w14:paraId="77D7F02E">
            <w:pPr>
              <w:widowControl/>
              <w:jc w:val="center"/>
              <w:textAlignment w:val="center"/>
              <w:rPr>
                <w:szCs w:val="21"/>
              </w:rPr>
            </w:pPr>
            <w:r>
              <w:rPr>
                <w:kern w:val="0"/>
                <w:szCs w:val="21"/>
                <w:lang w:bidi="ar"/>
              </w:rPr>
              <w:t>0.00006</w:t>
            </w:r>
          </w:p>
        </w:tc>
      </w:tr>
      <w:tr w14:paraId="266E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4A109687">
            <w:pPr>
              <w:ind w:left="-105" w:leftChars="-50" w:right="-105" w:rightChars="-50"/>
              <w:jc w:val="center"/>
              <w:rPr>
                <w:szCs w:val="21"/>
              </w:rPr>
            </w:pPr>
          </w:p>
        </w:tc>
        <w:tc>
          <w:tcPr>
            <w:tcW w:w="748" w:type="dxa"/>
            <w:vMerge w:val="continue"/>
            <w:noWrap w:val="0"/>
            <w:vAlign w:val="center"/>
          </w:tcPr>
          <w:p w14:paraId="32D25AEF">
            <w:pPr>
              <w:ind w:left="-105" w:leftChars="-50" w:right="-105" w:rightChars="-50"/>
              <w:jc w:val="center"/>
              <w:rPr>
                <w:szCs w:val="21"/>
              </w:rPr>
            </w:pPr>
          </w:p>
        </w:tc>
        <w:tc>
          <w:tcPr>
            <w:tcW w:w="931" w:type="dxa"/>
            <w:vMerge w:val="restart"/>
            <w:noWrap w:val="0"/>
            <w:vAlign w:val="center"/>
          </w:tcPr>
          <w:p w14:paraId="5057B604">
            <w:pPr>
              <w:pStyle w:val="85"/>
              <w:spacing w:after="0"/>
              <w:ind w:left="-105" w:leftChars="-50" w:right="-105" w:rightChars="-50" w:firstLine="0" w:firstLineChars="0"/>
              <w:jc w:val="center"/>
              <w:rPr>
                <w:szCs w:val="21"/>
              </w:rPr>
            </w:pPr>
            <w:r>
              <w:rPr>
                <w:kern w:val="0"/>
                <w:szCs w:val="21"/>
                <w:lang w:bidi="ar"/>
              </w:rPr>
              <w:t>2号（盛丰焦化楼位置）</w:t>
            </w:r>
            <w:r>
              <w:rPr>
                <w:szCs w:val="21"/>
              </w:rPr>
              <w:t>污水处理站</w:t>
            </w:r>
          </w:p>
        </w:tc>
        <w:tc>
          <w:tcPr>
            <w:tcW w:w="1855" w:type="dxa"/>
            <w:gridSpan w:val="2"/>
            <w:noWrap w:val="0"/>
            <w:vAlign w:val="center"/>
          </w:tcPr>
          <w:p w14:paraId="6C65E66E">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25956DC3">
            <w:pPr>
              <w:ind w:left="-105" w:leftChars="-50" w:right="-105" w:rightChars="-50"/>
              <w:jc w:val="center"/>
              <w:rPr>
                <w:szCs w:val="21"/>
              </w:rPr>
            </w:pPr>
            <w:r>
              <w:rPr>
                <w:szCs w:val="21"/>
              </w:rPr>
              <w:t>/</w:t>
            </w:r>
          </w:p>
        </w:tc>
        <w:tc>
          <w:tcPr>
            <w:tcW w:w="1441" w:type="dxa"/>
            <w:noWrap w:val="0"/>
            <w:vAlign w:val="center"/>
          </w:tcPr>
          <w:p w14:paraId="4E1B6E2D">
            <w:pPr>
              <w:widowControl/>
              <w:jc w:val="center"/>
              <w:textAlignment w:val="center"/>
              <w:rPr>
                <w:szCs w:val="21"/>
              </w:rPr>
            </w:pPr>
            <w:r>
              <w:rPr>
                <w:kern w:val="0"/>
                <w:szCs w:val="21"/>
                <w:lang w:bidi="ar"/>
              </w:rPr>
              <w:t>0.012</w:t>
            </w:r>
          </w:p>
        </w:tc>
        <w:tc>
          <w:tcPr>
            <w:tcW w:w="4472" w:type="dxa"/>
            <w:vMerge w:val="continue"/>
            <w:noWrap w:val="0"/>
            <w:vAlign w:val="center"/>
          </w:tcPr>
          <w:p w14:paraId="3B1B048C">
            <w:pPr>
              <w:ind w:left="-105" w:leftChars="-50" w:right="-105" w:rightChars="-50"/>
              <w:jc w:val="center"/>
              <w:rPr>
                <w:szCs w:val="21"/>
              </w:rPr>
            </w:pPr>
          </w:p>
        </w:tc>
        <w:tc>
          <w:tcPr>
            <w:tcW w:w="1598" w:type="dxa"/>
            <w:gridSpan w:val="2"/>
            <w:noWrap w:val="0"/>
            <w:vAlign w:val="center"/>
          </w:tcPr>
          <w:p w14:paraId="57FA1A4E">
            <w:pPr>
              <w:ind w:left="-105" w:leftChars="-50" w:right="-105" w:rightChars="-50"/>
              <w:jc w:val="center"/>
              <w:rPr>
                <w:szCs w:val="21"/>
              </w:rPr>
            </w:pPr>
            <w:r>
              <w:rPr>
                <w:szCs w:val="21"/>
              </w:rPr>
              <w:t>/</w:t>
            </w:r>
          </w:p>
        </w:tc>
        <w:tc>
          <w:tcPr>
            <w:tcW w:w="1600" w:type="dxa"/>
            <w:noWrap w:val="0"/>
            <w:vAlign w:val="center"/>
          </w:tcPr>
          <w:p w14:paraId="43B9AFB0">
            <w:pPr>
              <w:widowControl/>
              <w:jc w:val="center"/>
              <w:textAlignment w:val="center"/>
              <w:rPr>
                <w:szCs w:val="21"/>
              </w:rPr>
            </w:pPr>
            <w:r>
              <w:rPr>
                <w:kern w:val="0"/>
                <w:szCs w:val="21"/>
                <w:lang w:bidi="ar"/>
              </w:rPr>
              <w:t>0.0036</w:t>
            </w:r>
          </w:p>
        </w:tc>
      </w:tr>
      <w:tr w14:paraId="5D53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0" w:hRule="atLeast"/>
          <w:jc w:val="center"/>
        </w:trPr>
        <w:tc>
          <w:tcPr>
            <w:tcW w:w="622" w:type="dxa"/>
            <w:vMerge w:val="continue"/>
            <w:noWrap w:val="0"/>
            <w:vAlign w:val="center"/>
          </w:tcPr>
          <w:p w14:paraId="572A1C6D">
            <w:pPr>
              <w:ind w:left="-105" w:leftChars="-50" w:right="-105" w:rightChars="-50"/>
              <w:jc w:val="center"/>
              <w:rPr>
                <w:szCs w:val="21"/>
              </w:rPr>
            </w:pPr>
          </w:p>
        </w:tc>
        <w:tc>
          <w:tcPr>
            <w:tcW w:w="748" w:type="dxa"/>
            <w:vMerge w:val="continue"/>
            <w:noWrap w:val="0"/>
            <w:vAlign w:val="center"/>
          </w:tcPr>
          <w:p w14:paraId="6EF49655">
            <w:pPr>
              <w:ind w:left="-105" w:leftChars="-50" w:right="-105" w:rightChars="-50"/>
              <w:jc w:val="center"/>
              <w:rPr>
                <w:szCs w:val="21"/>
              </w:rPr>
            </w:pPr>
          </w:p>
        </w:tc>
        <w:tc>
          <w:tcPr>
            <w:tcW w:w="931" w:type="dxa"/>
            <w:vMerge w:val="continue"/>
            <w:noWrap w:val="0"/>
            <w:vAlign w:val="center"/>
          </w:tcPr>
          <w:p w14:paraId="287A4A70">
            <w:pPr>
              <w:ind w:left="-105" w:leftChars="-50" w:right="-105" w:rightChars="-50"/>
              <w:jc w:val="center"/>
              <w:rPr>
                <w:szCs w:val="21"/>
              </w:rPr>
            </w:pPr>
          </w:p>
        </w:tc>
        <w:tc>
          <w:tcPr>
            <w:tcW w:w="1855" w:type="dxa"/>
            <w:gridSpan w:val="2"/>
            <w:noWrap w:val="0"/>
            <w:vAlign w:val="center"/>
          </w:tcPr>
          <w:p w14:paraId="7BD92846">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267E04DE">
            <w:pPr>
              <w:ind w:left="-105" w:leftChars="-50" w:right="-105" w:rightChars="-50"/>
              <w:jc w:val="center"/>
              <w:rPr>
                <w:szCs w:val="21"/>
              </w:rPr>
            </w:pPr>
            <w:r>
              <w:rPr>
                <w:szCs w:val="21"/>
              </w:rPr>
              <w:t>/</w:t>
            </w:r>
          </w:p>
        </w:tc>
        <w:tc>
          <w:tcPr>
            <w:tcW w:w="1441" w:type="dxa"/>
            <w:noWrap w:val="0"/>
            <w:vAlign w:val="center"/>
          </w:tcPr>
          <w:p w14:paraId="74D2AB05">
            <w:pPr>
              <w:widowControl/>
              <w:jc w:val="center"/>
              <w:textAlignment w:val="center"/>
              <w:rPr>
                <w:szCs w:val="21"/>
              </w:rPr>
            </w:pPr>
            <w:r>
              <w:rPr>
                <w:kern w:val="0"/>
                <w:szCs w:val="21"/>
                <w:lang w:bidi="ar"/>
              </w:rPr>
              <w:t>0.0005</w:t>
            </w:r>
          </w:p>
        </w:tc>
        <w:tc>
          <w:tcPr>
            <w:tcW w:w="4472" w:type="dxa"/>
            <w:vMerge w:val="continue"/>
            <w:noWrap w:val="0"/>
            <w:vAlign w:val="center"/>
          </w:tcPr>
          <w:p w14:paraId="6B702F21">
            <w:pPr>
              <w:ind w:left="-105" w:leftChars="-50" w:right="-105" w:rightChars="-50"/>
              <w:jc w:val="center"/>
              <w:rPr>
                <w:szCs w:val="21"/>
              </w:rPr>
            </w:pPr>
          </w:p>
        </w:tc>
        <w:tc>
          <w:tcPr>
            <w:tcW w:w="1598" w:type="dxa"/>
            <w:gridSpan w:val="2"/>
            <w:noWrap w:val="0"/>
            <w:vAlign w:val="center"/>
          </w:tcPr>
          <w:p w14:paraId="7642B51E">
            <w:pPr>
              <w:ind w:left="-105" w:leftChars="-50" w:right="-105" w:rightChars="-50"/>
              <w:jc w:val="center"/>
              <w:rPr>
                <w:szCs w:val="21"/>
              </w:rPr>
            </w:pPr>
            <w:r>
              <w:rPr>
                <w:szCs w:val="21"/>
              </w:rPr>
              <w:t>/</w:t>
            </w:r>
          </w:p>
        </w:tc>
        <w:tc>
          <w:tcPr>
            <w:tcW w:w="1600" w:type="dxa"/>
            <w:noWrap w:val="0"/>
            <w:vAlign w:val="center"/>
          </w:tcPr>
          <w:p w14:paraId="6011686D">
            <w:pPr>
              <w:widowControl/>
              <w:jc w:val="center"/>
              <w:textAlignment w:val="center"/>
              <w:rPr>
                <w:szCs w:val="21"/>
              </w:rPr>
            </w:pPr>
            <w:r>
              <w:rPr>
                <w:kern w:val="0"/>
                <w:szCs w:val="21"/>
                <w:lang w:bidi="ar"/>
              </w:rPr>
              <w:t>0.00014</w:t>
            </w:r>
          </w:p>
        </w:tc>
      </w:tr>
      <w:tr w14:paraId="447A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jc w:val="center"/>
        </w:trPr>
        <w:tc>
          <w:tcPr>
            <w:tcW w:w="622" w:type="dxa"/>
            <w:vMerge w:val="continue"/>
            <w:noWrap w:val="0"/>
            <w:vAlign w:val="center"/>
          </w:tcPr>
          <w:p w14:paraId="1F6E76AC">
            <w:pPr>
              <w:pStyle w:val="85"/>
              <w:spacing w:after="0"/>
              <w:ind w:left="-105" w:leftChars="-50" w:right="-105" w:rightChars="-50" w:firstLine="0" w:firstLineChars="0"/>
              <w:jc w:val="center"/>
              <w:rPr>
                <w:szCs w:val="21"/>
              </w:rPr>
            </w:pPr>
          </w:p>
        </w:tc>
        <w:tc>
          <w:tcPr>
            <w:tcW w:w="748" w:type="dxa"/>
            <w:vMerge w:val="continue"/>
            <w:noWrap w:val="0"/>
            <w:vAlign w:val="center"/>
          </w:tcPr>
          <w:p w14:paraId="4856FDC6">
            <w:pPr>
              <w:pStyle w:val="85"/>
              <w:spacing w:after="0"/>
              <w:ind w:left="-105" w:leftChars="-50" w:right="-105" w:rightChars="-50" w:firstLine="0" w:firstLineChars="0"/>
              <w:jc w:val="center"/>
              <w:rPr>
                <w:szCs w:val="21"/>
              </w:rPr>
            </w:pPr>
          </w:p>
        </w:tc>
        <w:tc>
          <w:tcPr>
            <w:tcW w:w="931" w:type="dxa"/>
            <w:vMerge w:val="restart"/>
            <w:noWrap w:val="0"/>
            <w:vAlign w:val="center"/>
          </w:tcPr>
          <w:p w14:paraId="52D4D343">
            <w:pPr>
              <w:ind w:left="-105" w:leftChars="-50" w:right="-105" w:rightChars="-50"/>
              <w:jc w:val="center"/>
              <w:rPr>
                <w:szCs w:val="21"/>
              </w:rPr>
            </w:pPr>
            <w:r>
              <w:rPr>
                <w:kern w:val="0"/>
                <w:szCs w:val="21"/>
                <w:lang w:bidi="ar"/>
              </w:rPr>
              <w:t>3号地（老井位置）</w:t>
            </w:r>
            <w:r>
              <w:rPr>
                <w:szCs w:val="21"/>
              </w:rPr>
              <w:t>污水处理站</w:t>
            </w:r>
          </w:p>
        </w:tc>
        <w:tc>
          <w:tcPr>
            <w:tcW w:w="1855" w:type="dxa"/>
            <w:gridSpan w:val="2"/>
            <w:noWrap w:val="0"/>
            <w:vAlign w:val="center"/>
          </w:tcPr>
          <w:p w14:paraId="519DFCE3">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5C08B608">
            <w:pPr>
              <w:rPr>
                <w:szCs w:val="21"/>
              </w:rPr>
            </w:pPr>
            <w:r>
              <w:rPr>
                <w:szCs w:val="21"/>
              </w:rPr>
              <w:t>/</w:t>
            </w:r>
          </w:p>
        </w:tc>
        <w:tc>
          <w:tcPr>
            <w:tcW w:w="1441" w:type="dxa"/>
            <w:noWrap w:val="0"/>
            <w:vAlign w:val="center"/>
          </w:tcPr>
          <w:p w14:paraId="5CD5DA90">
            <w:pPr>
              <w:widowControl/>
              <w:jc w:val="center"/>
              <w:textAlignment w:val="center"/>
              <w:rPr>
                <w:szCs w:val="21"/>
              </w:rPr>
            </w:pPr>
            <w:r>
              <w:rPr>
                <w:kern w:val="0"/>
                <w:szCs w:val="21"/>
                <w:lang w:bidi="ar"/>
              </w:rPr>
              <w:t>0.0045</w:t>
            </w:r>
          </w:p>
        </w:tc>
        <w:tc>
          <w:tcPr>
            <w:tcW w:w="4472" w:type="dxa"/>
            <w:vMerge w:val="continue"/>
            <w:noWrap w:val="0"/>
            <w:vAlign w:val="center"/>
          </w:tcPr>
          <w:p w14:paraId="7623F3A9">
            <w:pPr>
              <w:ind w:left="-105" w:leftChars="-50" w:right="-105" w:rightChars="-50"/>
              <w:jc w:val="center"/>
              <w:rPr>
                <w:szCs w:val="21"/>
              </w:rPr>
            </w:pPr>
          </w:p>
        </w:tc>
        <w:tc>
          <w:tcPr>
            <w:tcW w:w="1598" w:type="dxa"/>
            <w:gridSpan w:val="2"/>
            <w:noWrap w:val="0"/>
            <w:vAlign w:val="center"/>
          </w:tcPr>
          <w:p w14:paraId="6978EBDC">
            <w:pPr>
              <w:pStyle w:val="1463"/>
              <w:rPr>
                <w:rFonts w:ascii="Times New Roman" w:hAnsi="Times New Roman"/>
                <w:bCs w:val="0"/>
              </w:rPr>
            </w:pPr>
            <w:r>
              <w:rPr>
                <w:rFonts w:ascii="Times New Roman" w:hAnsi="Times New Roman"/>
                <w:bCs w:val="0"/>
                <w:lang w:val="en-US" w:eastAsia="zh-CN"/>
              </w:rPr>
              <w:t>/</w:t>
            </w:r>
          </w:p>
        </w:tc>
        <w:tc>
          <w:tcPr>
            <w:tcW w:w="1600" w:type="dxa"/>
            <w:noWrap w:val="0"/>
            <w:vAlign w:val="center"/>
          </w:tcPr>
          <w:p w14:paraId="67D3EED0">
            <w:pPr>
              <w:widowControl/>
              <w:jc w:val="center"/>
              <w:textAlignment w:val="center"/>
              <w:rPr>
                <w:szCs w:val="21"/>
              </w:rPr>
            </w:pPr>
            <w:r>
              <w:rPr>
                <w:kern w:val="0"/>
                <w:szCs w:val="21"/>
                <w:lang w:bidi="ar"/>
              </w:rPr>
              <w:t>0.0014</w:t>
            </w:r>
          </w:p>
        </w:tc>
      </w:tr>
      <w:tr w14:paraId="4BF3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jc w:val="center"/>
        </w:trPr>
        <w:tc>
          <w:tcPr>
            <w:tcW w:w="622" w:type="dxa"/>
            <w:vMerge w:val="continue"/>
            <w:noWrap w:val="0"/>
            <w:vAlign w:val="center"/>
          </w:tcPr>
          <w:p w14:paraId="41DE3159">
            <w:pPr>
              <w:pStyle w:val="85"/>
              <w:spacing w:after="0"/>
              <w:ind w:left="-105" w:leftChars="-50" w:right="-105" w:rightChars="-50" w:firstLine="0" w:firstLineChars="0"/>
              <w:jc w:val="center"/>
              <w:rPr>
                <w:szCs w:val="21"/>
              </w:rPr>
            </w:pPr>
          </w:p>
        </w:tc>
        <w:tc>
          <w:tcPr>
            <w:tcW w:w="748" w:type="dxa"/>
            <w:vMerge w:val="continue"/>
            <w:noWrap w:val="0"/>
            <w:vAlign w:val="center"/>
          </w:tcPr>
          <w:p w14:paraId="3C788922">
            <w:pPr>
              <w:pStyle w:val="85"/>
              <w:spacing w:after="0"/>
              <w:ind w:left="-105" w:leftChars="-50" w:right="-105" w:rightChars="-50" w:firstLine="0" w:firstLineChars="0"/>
              <w:jc w:val="center"/>
              <w:rPr>
                <w:szCs w:val="21"/>
              </w:rPr>
            </w:pPr>
          </w:p>
        </w:tc>
        <w:tc>
          <w:tcPr>
            <w:tcW w:w="931" w:type="dxa"/>
            <w:vMerge w:val="continue"/>
            <w:noWrap w:val="0"/>
            <w:vAlign w:val="center"/>
          </w:tcPr>
          <w:p w14:paraId="3C401473">
            <w:pPr>
              <w:pStyle w:val="85"/>
              <w:spacing w:after="0"/>
              <w:ind w:left="-105" w:leftChars="-50" w:right="-105" w:rightChars="-50" w:firstLine="0" w:firstLineChars="0"/>
              <w:jc w:val="center"/>
              <w:rPr>
                <w:szCs w:val="21"/>
              </w:rPr>
            </w:pPr>
          </w:p>
        </w:tc>
        <w:tc>
          <w:tcPr>
            <w:tcW w:w="1855" w:type="dxa"/>
            <w:gridSpan w:val="2"/>
            <w:noWrap w:val="0"/>
            <w:vAlign w:val="center"/>
          </w:tcPr>
          <w:p w14:paraId="52537BBC">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355EC1E2">
            <w:pPr>
              <w:rPr>
                <w:szCs w:val="21"/>
              </w:rPr>
            </w:pPr>
            <w:r>
              <w:rPr>
                <w:szCs w:val="21"/>
              </w:rPr>
              <w:t>/</w:t>
            </w:r>
          </w:p>
        </w:tc>
        <w:tc>
          <w:tcPr>
            <w:tcW w:w="1441" w:type="dxa"/>
            <w:noWrap w:val="0"/>
            <w:vAlign w:val="center"/>
          </w:tcPr>
          <w:p w14:paraId="48D9936A">
            <w:pPr>
              <w:widowControl/>
              <w:jc w:val="center"/>
              <w:textAlignment w:val="center"/>
              <w:rPr>
                <w:szCs w:val="21"/>
              </w:rPr>
            </w:pPr>
            <w:r>
              <w:rPr>
                <w:kern w:val="0"/>
                <w:szCs w:val="21"/>
                <w:lang w:bidi="ar"/>
              </w:rPr>
              <w:t>0.0002</w:t>
            </w:r>
          </w:p>
        </w:tc>
        <w:tc>
          <w:tcPr>
            <w:tcW w:w="4472" w:type="dxa"/>
            <w:vMerge w:val="continue"/>
            <w:noWrap w:val="0"/>
            <w:vAlign w:val="center"/>
          </w:tcPr>
          <w:p w14:paraId="11F5D32C">
            <w:pPr>
              <w:ind w:left="-105" w:leftChars="-50" w:right="-105" w:rightChars="-50"/>
              <w:jc w:val="center"/>
              <w:rPr>
                <w:szCs w:val="21"/>
              </w:rPr>
            </w:pPr>
          </w:p>
        </w:tc>
        <w:tc>
          <w:tcPr>
            <w:tcW w:w="1598" w:type="dxa"/>
            <w:gridSpan w:val="2"/>
            <w:noWrap w:val="0"/>
            <w:vAlign w:val="center"/>
          </w:tcPr>
          <w:p w14:paraId="5A5C8173">
            <w:pPr>
              <w:pStyle w:val="1463"/>
              <w:rPr>
                <w:rFonts w:ascii="Times New Roman" w:hAnsi="Times New Roman"/>
                <w:bCs w:val="0"/>
              </w:rPr>
            </w:pPr>
            <w:r>
              <w:rPr>
                <w:rFonts w:ascii="Times New Roman" w:hAnsi="Times New Roman"/>
                <w:bCs w:val="0"/>
                <w:lang w:val="en-US" w:eastAsia="zh-CN"/>
              </w:rPr>
              <w:t>/</w:t>
            </w:r>
          </w:p>
        </w:tc>
        <w:tc>
          <w:tcPr>
            <w:tcW w:w="1600" w:type="dxa"/>
            <w:noWrap w:val="0"/>
            <w:vAlign w:val="center"/>
          </w:tcPr>
          <w:p w14:paraId="54E0866C">
            <w:pPr>
              <w:widowControl/>
              <w:jc w:val="center"/>
              <w:textAlignment w:val="center"/>
              <w:rPr>
                <w:szCs w:val="21"/>
              </w:rPr>
            </w:pPr>
            <w:r>
              <w:rPr>
                <w:kern w:val="0"/>
                <w:szCs w:val="21"/>
                <w:lang w:bidi="ar"/>
              </w:rPr>
              <w:t>0.00005</w:t>
            </w:r>
          </w:p>
        </w:tc>
      </w:tr>
      <w:tr w14:paraId="2384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06" w:hRule="atLeast"/>
          <w:jc w:val="center"/>
        </w:trPr>
        <w:tc>
          <w:tcPr>
            <w:tcW w:w="622" w:type="dxa"/>
            <w:vMerge w:val="continue"/>
            <w:noWrap w:val="0"/>
            <w:vAlign w:val="center"/>
          </w:tcPr>
          <w:p w14:paraId="22376BA5">
            <w:pPr>
              <w:pStyle w:val="85"/>
              <w:spacing w:after="0"/>
              <w:ind w:left="-105" w:leftChars="-50" w:right="-105" w:rightChars="-50" w:firstLine="0" w:firstLineChars="0"/>
              <w:jc w:val="center"/>
              <w:rPr>
                <w:szCs w:val="21"/>
              </w:rPr>
            </w:pPr>
          </w:p>
        </w:tc>
        <w:tc>
          <w:tcPr>
            <w:tcW w:w="748" w:type="dxa"/>
            <w:vMerge w:val="continue"/>
            <w:noWrap w:val="0"/>
            <w:vAlign w:val="center"/>
          </w:tcPr>
          <w:p w14:paraId="2F2165DC">
            <w:pPr>
              <w:pStyle w:val="85"/>
              <w:spacing w:after="0"/>
              <w:ind w:left="-105" w:leftChars="-50" w:right="-105" w:rightChars="-50" w:firstLine="0" w:firstLineChars="0"/>
              <w:jc w:val="center"/>
              <w:rPr>
                <w:szCs w:val="21"/>
              </w:rPr>
            </w:pPr>
          </w:p>
        </w:tc>
        <w:tc>
          <w:tcPr>
            <w:tcW w:w="931" w:type="dxa"/>
            <w:vMerge w:val="restart"/>
            <w:noWrap w:val="0"/>
            <w:vAlign w:val="center"/>
          </w:tcPr>
          <w:p w14:paraId="60F8CAA7">
            <w:pPr>
              <w:ind w:left="-105" w:leftChars="-50" w:right="-105" w:rightChars="-50"/>
              <w:jc w:val="center"/>
              <w:rPr>
                <w:szCs w:val="21"/>
              </w:rPr>
            </w:pPr>
            <w:r>
              <w:rPr>
                <w:kern w:val="0"/>
                <w:szCs w:val="21"/>
                <w:lang w:bidi="ar"/>
              </w:rPr>
              <w:t>4号地（鑫旺板块位置）</w:t>
            </w:r>
            <w:r>
              <w:rPr>
                <w:szCs w:val="21"/>
              </w:rPr>
              <w:t>污水处理站</w:t>
            </w:r>
          </w:p>
        </w:tc>
        <w:tc>
          <w:tcPr>
            <w:tcW w:w="1855" w:type="dxa"/>
            <w:gridSpan w:val="2"/>
            <w:noWrap w:val="0"/>
            <w:vAlign w:val="center"/>
          </w:tcPr>
          <w:p w14:paraId="72D5DF2F">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651FB644">
            <w:pPr>
              <w:rPr>
                <w:szCs w:val="21"/>
              </w:rPr>
            </w:pPr>
            <w:r>
              <w:rPr>
                <w:szCs w:val="21"/>
              </w:rPr>
              <w:t>/</w:t>
            </w:r>
          </w:p>
        </w:tc>
        <w:tc>
          <w:tcPr>
            <w:tcW w:w="1441" w:type="dxa"/>
            <w:noWrap w:val="0"/>
            <w:vAlign w:val="center"/>
          </w:tcPr>
          <w:p w14:paraId="062FA21A">
            <w:pPr>
              <w:widowControl/>
              <w:jc w:val="center"/>
              <w:textAlignment w:val="center"/>
              <w:rPr>
                <w:szCs w:val="21"/>
              </w:rPr>
            </w:pPr>
            <w:r>
              <w:rPr>
                <w:kern w:val="0"/>
                <w:szCs w:val="21"/>
                <w:lang w:bidi="ar"/>
              </w:rPr>
              <w:t>0.0118</w:t>
            </w:r>
          </w:p>
        </w:tc>
        <w:tc>
          <w:tcPr>
            <w:tcW w:w="4472" w:type="dxa"/>
            <w:vMerge w:val="continue"/>
            <w:noWrap w:val="0"/>
            <w:vAlign w:val="center"/>
          </w:tcPr>
          <w:p w14:paraId="4139B48E">
            <w:pPr>
              <w:ind w:left="-105" w:leftChars="-50" w:right="-105" w:rightChars="-50"/>
              <w:jc w:val="center"/>
              <w:rPr>
                <w:szCs w:val="21"/>
              </w:rPr>
            </w:pPr>
          </w:p>
        </w:tc>
        <w:tc>
          <w:tcPr>
            <w:tcW w:w="1598" w:type="dxa"/>
            <w:gridSpan w:val="2"/>
            <w:noWrap w:val="0"/>
            <w:vAlign w:val="center"/>
          </w:tcPr>
          <w:p w14:paraId="26F41F94">
            <w:pPr>
              <w:pStyle w:val="1463"/>
              <w:rPr>
                <w:rFonts w:ascii="Times New Roman" w:hAnsi="Times New Roman"/>
                <w:bCs w:val="0"/>
                <w:lang w:val="en-US" w:eastAsia="zh-CN"/>
              </w:rPr>
            </w:pPr>
            <w:r>
              <w:rPr>
                <w:rFonts w:ascii="Times New Roman" w:hAnsi="Times New Roman"/>
                <w:bCs w:val="0"/>
                <w:lang w:val="en-US" w:eastAsia="zh-CN"/>
              </w:rPr>
              <w:t>/</w:t>
            </w:r>
          </w:p>
        </w:tc>
        <w:tc>
          <w:tcPr>
            <w:tcW w:w="1600" w:type="dxa"/>
            <w:noWrap w:val="0"/>
            <w:vAlign w:val="center"/>
          </w:tcPr>
          <w:p w14:paraId="231E8356">
            <w:pPr>
              <w:widowControl/>
              <w:jc w:val="center"/>
              <w:textAlignment w:val="center"/>
              <w:rPr>
                <w:szCs w:val="21"/>
              </w:rPr>
            </w:pPr>
            <w:r>
              <w:rPr>
                <w:kern w:val="0"/>
                <w:szCs w:val="21"/>
                <w:lang w:bidi="ar"/>
              </w:rPr>
              <w:t>0.0035</w:t>
            </w:r>
          </w:p>
        </w:tc>
      </w:tr>
      <w:tr w14:paraId="4FE3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06" w:hRule="atLeast"/>
          <w:jc w:val="center"/>
        </w:trPr>
        <w:tc>
          <w:tcPr>
            <w:tcW w:w="622" w:type="dxa"/>
            <w:vMerge w:val="continue"/>
            <w:noWrap w:val="0"/>
            <w:vAlign w:val="center"/>
          </w:tcPr>
          <w:p w14:paraId="2213529C">
            <w:pPr>
              <w:pStyle w:val="1463"/>
              <w:rPr>
                <w:rFonts w:ascii="Times New Roman" w:hAnsi="Times New Roman"/>
              </w:rPr>
            </w:pPr>
          </w:p>
        </w:tc>
        <w:tc>
          <w:tcPr>
            <w:tcW w:w="748" w:type="dxa"/>
            <w:vMerge w:val="continue"/>
            <w:noWrap w:val="0"/>
            <w:vAlign w:val="center"/>
          </w:tcPr>
          <w:p w14:paraId="0246C83C">
            <w:pPr>
              <w:pStyle w:val="1463"/>
              <w:rPr>
                <w:rFonts w:ascii="Times New Roman" w:hAnsi="Times New Roman"/>
              </w:rPr>
            </w:pPr>
          </w:p>
        </w:tc>
        <w:tc>
          <w:tcPr>
            <w:tcW w:w="931" w:type="dxa"/>
            <w:vMerge w:val="continue"/>
            <w:noWrap w:val="0"/>
            <w:vAlign w:val="center"/>
          </w:tcPr>
          <w:p w14:paraId="1221103B">
            <w:pPr>
              <w:pStyle w:val="1463"/>
              <w:rPr>
                <w:rFonts w:ascii="Times New Roman" w:hAnsi="Times New Roman"/>
                <w:bCs w:val="0"/>
              </w:rPr>
            </w:pPr>
          </w:p>
        </w:tc>
        <w:tc>
          <w:tcPr>
            <w:tcW w:w="1855" w:type="dxa"/>
            <w:gridSpan w:val="2"/>
            <w:noWrap w:val="0"/>
            <w:vAlign w:val="center"/>
          </w:tcPr>
          <w:p w14:paraId="0F847547">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6617AF70">
            <w:pPr>
              <w:rPr>
                <w:szCs w:val="21"/>
              </w:rPr>
            </w:pPr>
            <w:r>
              <w:rPr>
                <w:szCs w:val="21"/>
              </w:rPr>
              <w:t>/</w:t>
            </w:r>
          </w:p>
        </w:tc>
        <w:tc>
          <w:tcPr>
            <w:tcW w:w="1441" w:type="dxa"/>
            <w:noWrap w:val="0"/>
            <w:vAlign w:val="center"/>
          </w:tcPr>
          <w:p w14:paraId="3FCA37D3">
            <w:pPr>
              <w:widowControl/>
              <w:jc w:val="center"/>
              <w:textAlignment w:val="center"/>
              <w:rPr>
                <w:szCs w:val="21"/>
              </w:rPr>
            </w:pPr>
            <w:r>
              <w:rPr>
                <w:kern w:val="0"/>
                <w:szCs w:val="21"/>
                <w:lang w:bidi="ar"/>
              </w:rPr>
              <w:t>0.045</w:t>
            </w:r>
          </w:p>
        </w:tc>
        <w:tc>
          <w:tcPr>
            <w:tcW w:w="4472" w:type="dxa"/>
            <w:vMerge w:val="continue"/>
            <w:noWrap w:val="0"/>
            <w:vAlign w:val="center"/>
          </w:tcPr>
          <w:p w14:paraId="060AEA2F">
            <w:pPr>
              <w:pStyle w:val="1463"/>
              <w:rPr>
                <w:rFonts w:ascii="Times New Roman" w:hAnsi="Times New Roman"/>
                <w:bCs w:val="0"/>
              </w:rPr>
            </w:pPr>
          </w:p>
        </w:tc>
        <w:tc>
          <w:tcPr>
            <w:tcW w:w="1598" w:type="dxa"/>
            <w:gridSpan w:val="2"/>
            <w:noWrap w:val="0"/>
            <w:vAlign w:val="center"/>
          </w:tcPr>
          <w:p w14:paraId="07AC601E">
            <w:pPr>
              <w:pStyle w:val="1463"/>
              <w:rPr>
                <w:rFonts w:ascii="Times New Roman" w:hAnsi="Times New Roman"/>
                <w:bCs w:val="0"/>
              </w:rPr>
            </w:pPr>
            <w:r>
              <w:rPr>
                <w:rFonts w:ascii="Times New Roman" w:hAnsi="Times New Roman"/>
                <w:bCs w:val="0"/>
                <w:lang w:val="en-US" w:eastAsia="zh-CN"/>
              </w:rPr>
              <w:t>/</w:t>
            </w:r>
          </w:p>
        </w:tc>
        <w:tc>
          <w:tcPr>
            <w:tcW w:w="1600" w:type="dxa"/>
            <w:noWrap w:val="0"/>
            <w:vAlign w:val="center"/>
          </w:tcPr>
          <w:p w14:paraId="605560F0">
            <w:pPr>
              <w:widowControl/>
              <w:jc w:val="center"/>
              <w:textAlignment w:val="center"/>
              <w:rPr>
                <w:szCs w:val="21"/>
              </w:rPr>
            </w:pPr>
            <w:r>
              <w:rPr>
                <w:kern w:val="0"/>
                <w:szCs w:val="21"/>
                <w:lang w:bidi="ar"/>
              </w:rPr>
              <w:t>0.00014</w:t>
            </w:r>
          </w:p>
        </w:tc>
      </w:tr>
      <w:tr w14:paraId="699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06" w:hRule="atLeast"/>
          <w:jc w:val="center"/>
        </w:trPr>
        <w:tc>
          <w:tcPr>
            <w:tcW w:w="622" w:type="dxa"/>
            <w:vMerge w:val="continue"/>
            <w:noWrap w:val="0"/>
            <w:vAlign w:val="center"/>
          </w:tcPr>
          <w:p w14:paraId="4E69E9E0">
            <w:pPr>
              <w:pStyle w:val="1463"/>
              <w:rPr>
                <w:rFonts w:ascii="Times New Roman" w:hAnsi="Times New Roman"/>
                <w:bCs w:val="0"/>
              </w:rPr>
            </w:pPr>
          </w:p>
        </w:tc>
        <w:tc>
          <w:tcPr>
            <w:tcW w:w="748" w:type="dxa"/>
            <w:vMerge w:val="continue"/>
            <w:noWrap w:val="0"/>
            <w:vAlign w:val="center"/>
          </w:tcPr>
          <w:p w14:paraId="319BF73E">
            <w:pPr>
              <w:pStyle w:val="1463"/>
              <w:rPr>
                <w:rFonts w:ascii="Times New Roman" w:hAnsi="Times New Roman"/>
                <w:bCs w:val="0"/>
              </w:rPr>
            </w:pPr>
          </w:p>
        </w:tc>
        <w:tc>
          <w:tcPr>
            <w:tcW w:w="931" w:type="dxa"/>
            <w:vMerge w:val="restart"/>
            <w:noWrap w:val="0"/>
            <w:vAlign w:val="center"/>
          </w:tcPr>
          <w:p w14:paraId="29E253AA">
            <w:pPr>
              <w:ind w:left="-105" w:leftChars="-50" w:right="-105" w:rightChars="-50"/>
              <w:jc w:val="center"/>
              <w:rPr>
                <w:szCs w:val="21"/>
              </w:rPr>
            </w:pPr>
            <w:r>
              <w:rPr>
                <w:kern w:val="0"/>
                <w:szCs w:val="21"/>
                <w:lang w:bidi="ar"/>
              </w:rPr>
              <w:t>5号地（大河边位置）</w:t>
            </w:r>
            <w:r>
              <w:rPr>
                <w:szCs w:val="21"/>
              </w:rPr>
              <w:t>污水处理站</w:t>
            </w:r>
          </w:p>
        </w:tc>
        <w:tc>
          <w:tcPr>
            <w:tcW w:w="1855" w:type="dxa"/>
            <w:gridSpan w:val="2"/>
            <w:noWrap w:val="0"/>
            <w:vAlign w:val="center"/>
          </w:tcPr>
          <w:p w14:paraId="12E21936">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5B7A2304">
            <w:pPr>
              <w:rPr>
                <w:szCs w:val="21"/>
              </w:rPr>
            </w:pPr>
            <w:r>
              <w:rPr>
                <w:szCs w:val="21"/>
              </w:rPr>
              <w:t>/</w:t>
            </w:r>
          </w:p>
        </w:tc>
        <w:tc>
          <w:tcPr>
            <w:tcW w:w="1441" w:type="dxa"/>
            <w:noWrap w:val="0"/>
            <w:vAlign w:val="center"/>
          </w:tcPr>
          <w:p w14:paraId="02E46553">
            <w:pPr>
              <w:widowControl/>
              <w:jc w:val="center"/>
              <w:textAlignment w:val="center"/>
              <w:rPr>
                <w:szCs w:val="21"/>
              </w:rPr>
            </w:pPr>
            <w:r>
              <w:rPr>
                <w:kern w:val="0"/>
                <w:szCs w:val="21"/>
                <w:lang w:bidi="ar"/>
              </w:rPr>
              <w:t>0.0102</w:t>
            </w:r>
          </w:p>
        </w:tc>
        <w:tc>
          <w:tcPr>
            <w:tcW w:w="4472" w:type="dxa"/>
            <w:vMerge w:val="continue"/>
            <w:noWrap w:val="0"/>
            <w:vAlign w:val="center"/>
          </w:tcPr>
          <w:p w14:paraId="7AAEB8E4">
            <w:pPr>
              <w:pStyle w:val="1463"/>
              <w:rPr>
                <w:rFonts w:ascii="Times New Roman" w:hAnsi="Times New Roman"/>
                <w:bCs w:val="0"/>
              </w:rPr>
            </w:pPr>
          </w:p>
        </w:tc>
        <w:tc>
          <w:tcPr>
            <w:tcW w:w="1598" w:type="dxa"/>
            <w:gridSpan w:val="2"/>
            <w:noWrap w:val="0"/>
            <w:vAlign w:val="center"/>
          </w:tcPr>
          <w:p w14:paraId="1DD91B7F">
            <w:pPr>
              <w:pStyle w:val="1463"/>
              <w:rPr>
                <w:rFonts w:ascii="Times New Roman" w:hAnsi="Times New Roman"/>
                <w:bCs w:val="0"/>
              </w:rPr>
            </w:pPr>
            <w:r>
              <w:rPr>
                <w:rFonts w:ascii="Times New Roman" w:hAnsi="Times New Roman"/>
                <w:bCs w:val="0"/>
                <w:lang w:val="en-US" w:eastAsia="zh-CN"/>
              </w:rPr>
              <w:t>/</w:t>
            </w:r>
          </w:p>
        </w:tc>
        <w:tc>
          <w:tcPr>
            <w:tcW w:w="1600" w:type="dxa"/>
            <w:noWrap w:val="0"/>
            <w:vAlign w:val="center"/>
          </w:tcPr>
          <w:p w14:paraId="66B1D8B6">
            <w:pPr>
              <w:widowControl/>
              <w:jc w:val="center"/>
              <w:textAlignment w:val="center"/>
              <w:rPr>
                <w:szCs w:val="21"/>
              </w:rPr>
            </w:pPr>
            <w:r>
              <w:rPr>
                <w:kern w:val="0"/>
                <w:szCs w:val="21"/>
                <w:lang w:bidi="ar"/>
              </w:rPr>
              <w:t>0.0031</w:t>
            </w:r>
          </w:p>
        </w:tc>
      </w:tr>
      <w:tr w14:paraId="3901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06" w:hRule="atLeast"/>
          <w:jc w:val="center"/>
        </w:trPr>
        <w:tc>
          <w:tcPr>
            <w:tcW w:w="622" w:type="dxa"/>
            <w:vMerge w:val="continue"/>
            <w:noWrap w:val="0"/>
            <w:vAlign w:val="center"/>
          </w:tcPr>
          <w:p w14:paraId="30E79E2E">
            <w:pPr>
              <w:pStyle w:val="1463"/>
              <w:rPr>
                <w:rFonts w:ascii="Times New Roman" w:hAnsi="Times New Roman"/>
                <w:bCs w:val="0"/>
              </w:rPr>
            </w:pPr>
          </w:p>
        </w:tc>
        <w:tc>
          <w:tcPr>
            <w:tcW w:w="748" w:type="dxa"/>
            <w:vMerge w:val="continue"/>
            <w:noWrap w:val="0"/>
            <w:vAlign w:val="center"/>
          </w:tcPr>
          <w:p w14:paraId="52CFC05E">
            <w:pPr>
              <w:pStyle w:val="1463"/>
              <w:rPr>
                <w:rFonts w:ascii="Times New Roman" w:hAnsi="Times New Roman"/>
                <w:bCs w:val="0"/>
              </w:rPr>
            </w:pPr>
          </w:p>
        </w:tc>
        <w:tc>
          <w:tcPr>
            <w:tcW w:w="931" w:type="dxa"/>
            <w:vMerge w:val="continue"/>
            <w:noWrap w:val="0"/>
            <w:vAlign w:val="center"/>
          </w:tcPr>
          <w:p w14:paraId="1A7DECDA">
            <w:pPr>
              <w:pStyle w:val="1463"/>
              <w:rPr>
                <w:rFonts w:ascii="Times New Roman" w:hAnsi="Times New Roman"/>
                <w:bCs w:val="0"/>
              </w:rPr>
            </w:pPr>
          </w:p>
        </w:tc>
        <w:tc>
          <w:tcPr>
            <w:tcW w:w="1855" w:type="dxa"/>
            <w:gridSpan w:val="2"/>
            <w:noWrap w:val="0"/>
            <w:vAlign w:val="center"/>
          </w:tcPr>
          <w:p w14:paraId="44EC21B4">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09B9DADF">
            <w:pPr>
              <w:rPr>
                <w:szCs w:val="21"/>
              </w:rPr>
            </w:pPr>
            <w:r>
              <w:rPr>
                <w:szCs w:val="21"/>
              </w:rPr>
              <w:t>/</w:t>
            </w:r>
          </w:p>
        </w:tc>
        <w:tc>
          <w:tcPr>
            <w:tcW w:w="1441" w:type="dxa"/>
            <w:noWrap w:val="0"/>
            <w:vAlign w:val="center"/>
          </w:tcPr>
          <w:p w14:paraId="09AA32DF">
            <w:pPr>
              <w:widowControl/>
              <w:jc w:val="center"/>
              <w:textAlignment w:val="center"/>
              <w:rPr>
                <w:szCs w:val="21"/>
              </w:rPr>
            </w:pPr>
            <w:r>
              <w:rPr>
                <w:kern w:val="0"/>
                <w:szCs w:val="21"/>
                <w:lang w:bidi="ar"/>
              </w:rPr>
              <w:t>0.0335</w:t>
            </w:r>
          </w:p>
        </w:tc>
        <w:tc>
          <w:tcPr>
            <w:tcW w:w="4472" w:type="dxa"/>
            <w:vMerge w:val="continue"/>
            <w:noWrap w:val="0"/>
            <w:vAlign w:val="center"/>
          </w:tcPr>
          <w:p w14:paraId="19B58B49">
            <w:pPr>
              <w:pStyle w:val="1463"/>
              <w:rPr>
                <w:rFonts w:ascii="Times New Roman" w:hAnsi="Times New Roman"/>
                <w:bCs w:val="0"/>
              </w:rPr>
            </w:pPr>
          </w:p>
        </w:tc>
        <w:tc>
          <w:tcPr>
            <w:tcW w:w="1598" w:type="dxa"/>
            <w:gridSpan w:val="2"/>
            <w:noWrap w:val="0"/>
            <w:vAlign w:val="center"/>
          </w:tcPr>
          <w:p w14:paraId="40C34973">
            <w:pPr>
              <w:pStyle w:val="1463"/>
              <w:rPr>
                <w:rFonts w:ascii="Times New Roman" w:hAnsi="Times New Roman"/>
                <w:bCs w:val="0"/>
              </w:rPr>
            </w:pPr>
            <w:r>
              <w:rPr>
                <w:rFonts w:ascii="Times New Roman" w:hAnsi="Times New Roman"/>
                <w:bCs w:val="0"/>
                <w:lang w:val="en-US" w:eastAsia="zh-CN"/>
              </w:rPr>
              <w:t>/</w:t>
            </w:r>
          </w:p>
        </w:tc>
        <w:tc>
          <w:tcPr>
            <w:tcW w:w="1600" w:type="dxa"/>
            <w:noWrap w:val="0"/>
            <w:vAlign w:val="center"/>
          </w:tcPr>
          <w:p w14:paraId="677DA9B0">
            <w:pPr>
              <w:widowControl/>
              <w:jc w:val="center"/>
              <w:textAlignment w:val="center"/>
              <w:rPr>
                <w:szCs w:val="21"/>
              </w:rPr>
            </w:pPr>
            <w:r>
              <w:rPr>
                <w:kern w:val="0"/>
                <w:szCs w:val="21"/>
                <w:lang w:bidi="ar"/>
              </w:rPr>
              <w:t>0.00012</w:t>
            </w:r>
          </w:p>
        </w:tc>
      </w:tr>
      <w:tr w14:paraId="704D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0C367ADC">
            <w:pPr>
              <w:pStyle w:val="1463"/>
              <w:rPr>
                <w:rFonts w:ascii="Times New Roman" w:hAnsi="Times New Roman"/>
                <w:bCs w:val="0"/>
              </w:rPr>
            </w:pPr>
          </w:p>
        </w:tc>
        <w:tc>
          <w:tcPr>
            <w:tcW w:w="748" w:type="dxa"/>
            <w:vMerge w:val="continue"/>
            <w:noWrap w:val="0"/>
            <w:vAlign w:val="center"/>
          </w:tcPr>
          <w:p w14:paraId="5970A315">
            <w:pPr>
              <w:pStyle w:val="1463"/>
              <w:rPr>
                <w:rFonts w:ascii="Times New Roman" w:hAnsi="Times New Roman"/>
                <w:bCs w:val="0"/>
              </w:rPr>
            </w:pPr>
          </w:p>
        </w:tc>
        <w:tc>
          <w:tcPr>
            <w:tcW w:w="931" w:type="dxa"/>
            <w:vMerge w:val="restart"/>
            <w:noWrap w:val="0"/>
            <w:vAlign w:val="center"/>
          </w:tcPr>
          <w:p w14:paraId="1CFF8250">
            <w:pPr>
              <w:pStyle w:val="85"/>
              <w:spacing w:after="0"/>
              <w:ind w:left="-105" w:leftChars="-50" w:right="-105" w:rightChars="-50" w:firstLine="0" w:firstLineChars="0"/>
              <w:jc w:val="center"/>
              <w:rPr>
                <w:szCs w:val="21"/>
              </w:rPr>
            </w:pPr>
            <w:r>
              <w:rPr>
                <w:kern w:val="0"/>
                <w:szCs w:val="21"/>
                <w:lang w:bidi="ar"/>
              </w:rPr>
              <w:t>1号地（盛丰通风井位置）</w:t>
            </w:r>
            <w:r>
              <w:rPr>
                <w:szCs w:val="21"/>
              </w:rPr>
              <w:t>堆肥发酵间</w:t>
            </w:r>
          </w:p>
        </w:tc>
        <w:tc>
          <w:tcPr>
            <w:tcW w:w="1855" w:type="dxa"/>
            <w:gridSpan w:val="2"/>
            <w:noWrap w:val="0"/>
            <w:vAlign w:val="center"/>
          </w:tcPr>
          <w:p w14:paraId="46963B6A">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7B17BB1C">
            <w:pPr>
              <w:rPr>
                <w:szCs w:val="21"/>
              </w:rPr>
            </w:pPr>
            <w:r>
              <w:rPr>
                <w:szCs w:val="21"/>
              </w:rPr>
              <w:t>/</w:t>
            </w:r>
          </w:p>
        </w:tc>
        <w:tc>
          <w:tcPr>
            <w:tcW w:w="1441" w:type="dxa"/>
            <w:noWrap w:val="0"/>
            <w:vAlign w:val="center"/>
          </w:tcPr>
          <w:p w14:paraId="76F14B73">
            <w:pPr>
              <w:widowControl/>
              <w:jc w:val="right"/>
              <w:textAlignment w:val="center"/>
              <w:rPr>
                <w:kern w:val="0"/>
                <w:szCs w:val="21"/>
                <w:lang w:bidi="ar"/>
              </w:rPr>
            </w:pPr>
            <w:r>
              <w:rPr>
                <w:kern w:val="0"/>
                <w:szCs w:val="21"/>
                <w:lang w:bidi="ar"/>
              </w:rPr>
              <w:t xml:space="preserve">0.4745 </w:t>
            </w:r>
          </w:p>
        </w:tc>
        <w:tc>
          <w:tcPr>
            <w:tcW w:w="4472" w:type="dxa"/>
            <w:vMerge w:val="restart"/>
            <w:noWrap w:val="0"/>
            <w:vAlign w:val="center"/>
          </w:tcPr>
          <w:p w14:paraId="2D1CC4D2">
            <w:pPr>
              <w:pStyle w:val="1463"/>
              <w:rPr>
                <w:rFonts w:ascii="Times New Roman" w:hAnsi="Times New Roman"/>
                <w:bCs w:val="0"/>
              </w:rPr>
            </w:pPr>
            <w:r>
              <w:rPr>
                <w:rFonts w:ascii="Times New Roman" w:hAnsi="Times New Roman"/>
                <w:bCs w:val="0"/>
                <w:lang w:val="en-US" w:eastAsia="zh-CN"/>
              </w:rPr>
              <w:t>好氧堆肥+喷洒除臭剂+负压收集+</w:t>
            </w:r>
            <w:r>
              <w:rPr>
                <w:rFonts w:ascii="Times New Roman" w:hAnsi="Times New Roman"/>
                <w:bCs w:val="0"/>
              </w:rPr>
              <w:t>UV光解+水帘生物除臭装置</w:t>
            </w:r>
          </w:p>
        </w:tc>
        <w:tc>
          <w:tcPr>
            <w:tcW w:w="1598" w:type="dxa"/>
            <w:gridSpan w:val="2"/>
            <w:noWrap w:val="0"/>
            <w:vAlign w:val="center"/>
          </w:tcPr>
          <w:p w14:paraId="472BCEC5">
            <w:pPr>
              <w:pStyle w:val="1463"/>
              <w:rPr>
                <w:rFonts w:ascii="Times New Roman" w:hAnsi="Times New Roman"/>
                <w:bCs w:val="0"/>
              </w:rPr>
            </w:pPr>
            <w:r>
              <w:rPr>
                <w:rFonts w:ascii="Times New Roman" w:hAnsi="Times New Roman"/>
                <w:bCs w:val="0"/>
                <w:lang w:val="en-US" w:eastAsia="zh-CN"/>
              </w:rPr>
              <w:t>/</w:t>
            </w:r>
          </w:p>
        </w:tc>
        <w:tc>
          <w:tcPr>
            <w:tcW w:w="1600" w:type="dxa"/>
            <w:noWrap w:val="0"/>
            <w:vAlign w:val="center"/>
          </w:tcPr>
          <w:p w14:paraId="3B9744B0">
            <w:pPr>
              <w:widowControl/>
              <w:jc w:val="right"/>
              <w:textAlignment w:val="center"/>
              <w:rPr>
                <w:kern w:val="0"/>
                <w:szCs w:val="21"/>
                <w:lang w:bidi="ar"/>
              </w:rPr>
            </w:pPr>
            <w:r>
              <w:rPr>
                <w:kern w:val="0"/>
                <w:szCs w:val="21"/>
                <w:lang w:bidi="ar"/>
              </w:rPr>
              <w:t xml:space="preserve">0.0475 </w:t>
            </w:r>
          </w:p>
        </w:tc>
      </w:tr>
      <w:tr w14:paraId="49E4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21CC9FB3">
            <w:pPr>
              <w:widowControl/>
              <w:jc w:val="center"/>
              <w:textAlignment w:val="center"/>
              <w:rPr>
                <w:szCs w:val="21"/>
              </w:rPr>
            </w:pPr>
          </w:p>
        </w:tc>
        <w:tc>
          <w:tcPr>
            <w:tcW w:w="748" w:type="dxa"/>
            <w:vMerge w:val="continue"/>
            <w:noWrap w:val="0"/>
            <w:vAlign w:val="center"/>
          </w:tcPr>
          <w:p w14:paraId="092E1ACC">
            <w:pPr>
              <w:widowControl/>
              <w:jc w:val="center"/>
              <w:textAlignment w:val="center"/>
              <w:rPr>
                <w:szCs w:val="21"/>
              </w:rPr>
            </w:pPr>
          </w:p>
        </w:tc>
        <w:tc>
          <w:tcPr>
            <w:tcW w:w="931" w:type="dxa"/>
            <w:vMerge w:val="continue"/>
            <w:noWrap w:val="0"/>
            <w:vAlign w:val="center"/>
          </w:tcPr>
          <w:p w14:paraId="20EE0B0C">
            <w:pPr>
              <w:widowControl/>
              <w:jc w:val="center"/>
              <w:textAlignment w:val="center"/>
              <w:rPr>
                <w:szCs w:val="21"/>
              </w:rPr>
            </w:pPr>
          </w:p>
        </w:tc>
        <w:tc>
          <w:tcPr>
            <w:tcW w:w="1855" w:type="dxa"/>
            <w:gridSpan w:val="2"/>
            <w:noWrap w:val="0"/>
            <w:vAlign w:val="center"/>
          </w:tcPr>
          <w:p w14:paraId="7C96832D">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385902E1">
            <w:pPr>
              <w:widowControl/>
              <w:jc w:val="center"/>
              <w:textAlignment w:val="center"/>
              <w:rPr>
                <w:szCs w:val="21"/>
              </w:rPr>
            </w:pPr>
            <w:r>
              <w:rPr>
                <w:szCs w:val="21"/>
              </w:rPr>
              <w:t>/</w:t>
            </w:r>
          </w:p>
        </w:tc>
        <w:tc>
          <w:tcPr>
            <w:tcW w:w="1441" w:type="dxa"/>
            <w:noWrap w:val="0"/>
            <w:vAlign w:val="center"/>
          </w:tcPr>
          <w:p w14:paraId="721C5C1A">
            <w:pPr>
              <w:widowControl/>
              <w:jc w:val="right"/>
              <w:textAlignment w:val="center"/>
              <w:rPr>
                <w:szCs w:val="21"/>
              </w:rPr>
            </w:pPr>
            <w:r>
              <w:rPr>
                <w:kern w:val="0"/>
                <w:szCs w:val="21"/>
                <w:lang w:bidi="ar"/>
              </w:rPr>
              <w:t xml:space="preserve">0.0292 </w:t>
            </w:r>
          </w:p>
        </w:tc>
        <w:tc>
          <w:tcPr>
            <w:tcW w:w="4472" w:type="dxa"/>
            <w:vMerge w:val="continue"/>
            <w:noWrap w:val="0"/>
            <w:vAlign w:val="center"/>
          </w:tcPr>
          <w:p w14:paraId="178B9978">
            <w:pPr>
              <w:widowControl/>
              <w:jc w:val="center"/>
              <w:textAlignment w:val="center"/>
              <w:rPr>
                <w:szCs w:val="21"/>
              </w:rPr>
            </w:pPr>
          </w:p>
        </w:tc>
        <w:tc>
          <w:tcPr>
            <w:tcW w:w="1598" w:type="dxa"/>
            <w:gridSpan w:val="2"/>
            <w:noWrap w:val="0"/>
            <w:vAlign w:val="center"/>
          </w:tcPr>
          <w:p w14:paraId="307825F2">
            <w:pPr>
              <w:widowControl/>
              <w:jc w:val="center"/>
              <w:textAlignment w:val="center"/>
              <w:rPr>
                <w:szCs w:val="21"/>
              </w:rPr>
            </w:pPr>
            <w:r>
              <w:rPr>
                <w:szCs w:val="21"/>
              </w:rPr>
              <w:t>/</w:t>
            </w:r>
          </w:p>
        </w:tc>
        <w:tc>
          <w:tcPr>
            <w:tcW w:w="1600" w:type="dxa"/>
            <w:noWrap w:val="0"/>
            <w:vAlign w:val="center"/>
          </w:tcPr>
          <w:p w14:paraId="7DD53969">
            <w:pPr>
              <w:widowControl/>
              <w:jc w:val="right"/>
              <w:textAlignment w:val="center"/>
              <w:rPr>
                <w:szCs w:val="21"/>
              </w:rPr>
            </w:pPr>
            <w:r>
              <w:rPr>
                <w:kern w:val="0"/>
                <w:szCs w:val="21"/>
                <w:lang w:bidi="ar"/>
              </w:rPr>
              <w:t xml:space="preserve">0.0027 </w:t>
            </w:r>
          </w:p>
        </w:tc>
      </w:tr>
      <w:tr w14:paraId="6209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257A8F7B">
            <w:pPr>
              <w:widowControl/>
              <w:jc w:val="center"/>
              <w:textAlignment w:val="center"/>
              <w:rPr>
                <w:szCs w:val="21"/>
              </w:rPr>
            </w:pPr>
          </w:p>
        </w:tc>
        <w:tc>
          <w:tcPr>
            <w:tcW w:w="748" w:type="dxa"/>
            <w:vMerge w:val="continue"/>
            <w:noWrap w:val="0"/>
            <w:vAlign w:val="center"/>
          </w:tcPr>
          <w:p w14:paraId="0CFF3AC8">
            <w:pPr>
              <w:widowControl/>
              <w:jc w:val="center"/>
              <w:textAlignment w:val="center"/>
              <w:rPr>
                <w:szCs w:val="21"/>
              </w:rPr>
            </w:pPr>
          </w:p>
        </w:tc>
        <w:tc>
          <w:tcPr>
            <w:tcW w:w="931" w:type="dxa"/>
            <w:vMerge w:val="restart"/>
            <w:noWrap w:val="0"/>
            <w:vAlign w:val="center"/>
          </w:tcPr>
          <w:p w14:paraId="36B4B2AB">
            <w:pPr>
              <w:pStyle w:val="85"/>
              <w:spacing w:after="0"/>
              <w:ind w:left="-105" w:leftChars="-50" w:right="-105" w:rightChars="-50" w:firstLine="0" w:firstLineChars="0"/>
              <w:jc w:val="center"/>
              <w:rPr>
                <w:szCs w:val="21"/>
              </w:rPr>
            </w:pPr>
            <w:r>
              <w:rPr>
                <w:kern w:val="0"/>
                <w:szCs w:val="21"/>
                <w:lang w:bidi="ar"/>
              </w:rPr>
              <w:t>2号（盛丰焦化楼位置）</w:t>
            </w:r>
            <w:r>
              <w:rPr>
                <w:szCs w:val="21"/>
              </w:rPr>
              <w:t>堆肥发酵间</w:t>
            </w:r>
          </w:p>
        </w:tc>
        <w:tc>
          <w:tcPr>
            <w:tcW w:w="1855" w:type="dxa"/>
            <w:gridSpan w:val="2"/>
            <w:noWrap w:val="0"/>
            <w:vAlign w:val="center"/>
          </w:tcPr>
          <w:p w14:paraId="7CED2384">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2CDE4B01">
            <w:pPr>
              <w:widowControl/>
              <w:jc w:val="center"/>
              <w:textAlignment w:val="center"/>
              <w:rPr>
                <w:szCs w:val="21"/>
              </w:rPr>
            </w:pPr>
            <w:r>
              <w:rPr>
                <w:szCs w:val="21"/>
              </w:rPr>
              <w:t>/</w:t>
            </w:r>
          </w:p>
        </w:tc>
        <w:tc>
          <w:tcPr>
            <w:tcW w:w="1441" w:type="dxa"/>
            <w:noWrap w:val="0"/>
            <w:vAlign w:val="center"/>
          </w:tcPr>
          <w:p w14:paraId="5BD99F19">
            <w:pPr>
              <w:widowControl/>
              <w:jc w:val="right"/>
              <w:textAlignment w:val="center"/>
              <w:rPr>
                <w:szCs w:val="21"/>
              </w:rPr>
            </w:pPr>
            <w:r>
              <w:rPr>
                <w:kern w:val="0"/>
                <w:szCs w:val="21"/>
                <w:lang w:bidi="ar"/>
              </w:rPr>
              <w:t xml:space="preserve">0.9490 </w:t>
            </w:r>
          </w:p>
        </w:tc>
        <w:tc>
          <w:tcPr>
            <w:tcW w:w="4472" w:type="dxa"/>
            <w:vMerge w:val="continue"/>
            <w:noWrap w:val="0"/>
            <w:vAlign w:val="center"/>
          </w:tcPr>
          <w:p w14:paraId="2292D344">
            <w:pPr>
              <w:widowControl/>
              <w:jc w:val="center"/>
              <w:textAlignment w:val="center"/>
              <w:rPr>
                <w:szCs w:val="21"/>
              </w:rPr>
            </w:pPr>
          </w:p>
        </w:tc>
        <w:tc>
          <w:tcPr>
            <w:tcW w:w="1598" w:type="dxa"/>
            <w:gridSpan w:val="2"/>
            <w:noWrap w:val="0"/>
            <w:vAlign w:val="center"/>
          </w:tcPr>
          <w:p w14:paraId="33BCD997">
            <w:pPr>
              <w:widowControl/>
              <w:jc w:val="center"/>
              <w:textAlignment w:val="center"/>
              <w:rPr>
                <w:szCs w:val="21"/>
              </w:rPr>
            </w:pPr>
            <w:r>
              <w:rPr>
                <w:szCs w:val="21"/>
              </w:rPr>
              <w:t>/</w:t>
            </w:r>
          </w:p>
        </w:tc>
        <w:tc>
          <w:tcPr>
            <w:tcW w:w="1600" w:type="dxa"/>
            <w:noWrap w:val="0"/>
            <w:vAlign w:val="center"/>
          </w:tcPr>
          <w:p w14:paraId="28989B81">
            <w:pPr>
              <w:widowControl/>
              <w:jc w:val="right"/>
              <w:textAlignment w:val="center"/>
              <w:rPr>
                <w:szCs w:val="21"/>
              </w:rPr>
            </w:pPr>
            <w:r>
              <w:rPr>
                <w:kern w:val="0"/>
                <w:szCs w:val="21"/>
                <w:lang w:bidi="ar"/>
              </w:rPr>
              <w:t xml:space="preserve">0.0949 </w:t>
            </w:r>
          </w:p>
        </w:tc>
      </w:tr>
      <w:tr w14:paraId="2482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40ACB18B">
            <w:pPr>
              <w:widowControl/>
              <w:jc w:val="center"/>
              <w:textAlignment w:val="center"/>
              <w:rPr>
                <w:szCs w:val="21"/>
              </w:rPr>
            </w:pPr>
          </w:p>
        </w:tc>
        <w:tc>
          <w:tcPr>
            <w:tcW w:w="748" w:type="dxa"/>
            <w:vMerge w:val="continue"/>
            <w:noWrap w:val="0"/>
            <w:vAlign w:val="center"/>
          </w:tcPr>
          <w:p w14:paraId="098FF4BC">
            <w:pPr>
              <w:widowControl/>
              <w:jc w:val="center"/>
              <w:textAlignment w:val="center"/>
              <w:rPr>
                <w:szCs w:val="21"/>
              </w:rPr>
            </w:pPr>
          </w:p>
        </w:tc>
        <w:tc>
          <w:tcPr>
            <w:tcW w:w="931" w:type="dxa"/>
            <w:vMerge w:val="continue"/>
            <w:noWrap w:val="0"/>
            <w:vAlign w:val="center"/>
          </w:tcPr>
          <w:p w14:paraId="1321AADA">
            <w:pPr>
              <w:widowControl/>
              <w:jc w:val="center"/>
              <w:textAlignment w:val="center"/>
              <w:rPr>
                <w:szCs w:val="21"/>
              </w:rPr>
            </w:pPr>
          </w:p>
        </w:tc>
        <w:tc>
          <w:tcPr>
            <w:tcW w:w="1855" w:type="dxa"/>
            <w:gridSpan w:val="2"/>
            <w:noWrap w:val="0"/>
            <w:vAlign w:val="center"/>
          </w:tcPr>
          <w:p w14:paraId="1549802F">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561F1B61">
            <w:pPr>
              <w:widowControl/>
              <w:jc w:val="center"/>
              <w:textAlignment w:val="center"/>
              <w:rPr>
                <w:szCs w:val="21"/>
              </w:rPr>
            </w:pPr>
            <w:r>
              <w:rPr>
                <w:szCs w:val="21"/>
              </w:rPr>
              <w:t>/</w:t>
            </w:r>
          </w:p>
        </w:tc>
        <w:tc>
          <w:tcPr>
            <w:tcW w:w="1441" w:type="dxa"/>
            <w:noWrap w:val="0"/>
            <w:vAlign w:val="center"/>
          </w:tcPr>
          <w:p w14:paraId="15B659E5">
            <w:pPr>
              <w:widowControl/>
              <w:jc w:val="right"/>
              <w:textAlignment w:val="center"/>
              <w:rPr>
                <w:szCs w:val="21"/>
              </w:rPr>
            </w:pPr>
            <w:r>
              <w:rPr>
                <w:kern w:val="0"/>
                <w:szCs w:val="21"/>
                <w:lang w:bidi="ar"/>
              </w:rPr>
              <w:t xml:space="preserve">0.0548 </w:t>
            </w:r>
          </w:p>
        </w:tc>
        <w:tc>
          <w:tcPr>
            <w:tcW w:w="4472" w:type="dxa"/>
            <w:vMerge w:val="continue"/>
            <w:noWrap w:val="0"/>
            <w:vAlign w:val="center"/>
          </w:tcPr>
          <w:p w14:paraId="61B7BC7D">
            <w:pPr>
              <w:widowControl/>
              <w:jc w:val="center"/>
              <w:textAlignment w:val="center"/>
              <w:rPr>
                <w:szCs w:val="21"/>
              </w:rPr>
            </w:pPr>
          </w:p>
        </w:tc>
        <w:tc>
          <w:tcPr>
            <w:tcW w:w="1598" w:type="dxa"/>
            <w:gridSpan w:val="2"/>
            <w:noWrap w:val="0"/>
            <w:vAlign w:val="center"/>
          </w:tcPr>
          <w:p w14:paraId="40C9DDEC">
            <w:pPr>
              <w:widowControl/>
              <w:jc w:val="center"/>
              <w:textAlignment w:val="center"/>
              <w:rPr>
                <w:szCs w:val="21"/>
              </w:rPr>
            </w:pPr>
            <w:r>
              <w:rPr>
                <w:szCs w:val="21"/>
              </w:rPr>
              <w:t>/</w:t>
            </w:r>
          </w:p>
        </w:tc>
        <w:tc>
          <w:tcPr>
            <w:tcW w:w="1600" w:type="dxa"/>
            <w:noWrap w:val="0"/>
            <w:vAlign w:val="center"/>
          </w:tcPr>
          <w:p w14:paraId="75E5F11C">
            <w:pPr>
              <w:widowControl/>
              <w:jc w:val="right"/>
              <w:textAlignment w:val="center"/>
              <w:rPr>
                <w:szCs w:val="21"/>
              </w:rPr>
            </w:pPr>
            <w:r>
              <w:rPr>
                <w:kern w:val="0"/>
                <w:szCs w:val="21"/>
                <w:lang w:bidi="ar"/>
              </w:rPr>
              <w:t xml:space="preserve">0.0055 </w:t>
            </w:r>
          </w:p>
        </w:tc>
      </w:tr>
      <w:tr w14:paraId="4028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35F09B79">
            <w:pPr>
              <w:widowControl/>
              <w:jc w:val="center"/>
              <w:textAlignment w:val="center"/>
              <w:rPr>
                <w:szCs w:val="21"/>
              </w:rPr>
            </w:pPr>
          </w:p>
        </w:tc>
        <w:tc>
          <w:tcPr>
            <w:tcW w:w="748" w:type="dxa"/>
            <w:vMerge w:val="continue"/>
            <w:noWrap w:val="0"/>
            <w:vAlign w:val="center"/>
          </w:tcPr>
          <w:p w14:paraId="33D67DC1">
            <w:pPr>
              <w:widowControl/>
              <w:jc w:val="center"/>
              <w:textAlignment w:val="center"/>
              <w:rPr>
                <w:szCs w:val="21"/>
              </w:rPr>
            </w:pPr>
          </w:p>
        </w:tc>
        <w:tc>
          <w:tcPr>
            <w:tcW w:w="931" w:type="dxa"/>
            <w:vMerge w:val="restart"/>
            <w:noWrap w:val="0"/>
            <w:vAlign w:val="center"/>
          </w:tcPr>
          <w:p w14:paraId="05ABA126">
            <w:pPr>
              <w:ind w:left="-105" w:leftChars="-50" w:right="-105" w:rightChars="-50"/>
              <w:jc w:val="center"/>
              <w:rPr>
                <w:szCs w:val="21"/>
              </w:rPr>
            </w:pPr>
            <w:r>
              <w:rPr>
                <w:kern w:val="0"/>
                <w:szCs w:val="21"/>
                <w:lang w:bidi="ar"/>
              </w:rPr>
              <w:t>3号地（老井位置）</w:t>
            </w:r>
            <w:r>
              <w:rPr>
                <w:szCs w:val="21"/>
              </w:rPr>
              <w:t>堆肥发酵间</w:t>
            </w:r>
          </w:p>
        </w:tc>
        <w:tc>
          <w:tcPr>
            <w:tcW w:w="1855" w:type="dxa"/>
            <w:gridSpan w:val="2"/>
            <w:noWrap w:val="0"/>
            <w:vAlign w:val="center"/>
          </w:tcPr>
          <w:p w14:paraId="7678AE1A">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314C9155">
            <w:pPr>
              <w:widowControl/>
              <w:jc w:val="center"/>
              <w:textAlignment w:val="center"/>
              <w:rPr>
                <w:szCs w:val="21"/>
              </w:rPr>
            </w:pPr>
            <w:r>
              <w:rPr>
                <w:szCs w:val="21"/>
              </w:rPr>
              <w:t>/</w:t>
            </w:r>
          </w:p>
        </w:tc>
        <w:tc>
          <w:tcPr>
            <w:tcW w:w="1441" w:type="dxa"/>
            <w:noWrap w:val="0"/>
            <w:vAlign w:val="center"/>
          </w:tcPr>
          <w:p w14:paraId="61BA5698">
            <w:pPr>
              <w:widowControl/>
              <w:jc w:val="right"/>
              <w:textAlignment w:val="center"/>
              <w:rPr>
                <w:szCs w:val="21"/>
              </w:rPr>
            </w:pPr>
            <w:r>
              <w:rPr>
                <w:kern w:val="0"/>
                <w:szCs w:val="21"/>
                <w:lang w:bidi="ar"/>
              </w:rPr>
              <w:t xml:space="preserve">0.4745 </w:t>
            </w:r>
          </w:p>
        </w:tc>
        <w:tc>
          <w:tcPr>
            <w:tcW w:w="4472" w:type="dxa"/>
            <w:vMerge w:val="continue"/>
            <w:noWrap w:val="0"/>
            <w:vAlign w:val="center"/>
          </w:tcPr>
          <w:p w14:paraId="6D7B24D7">
            <w:pPr>
              <w:widowControl/>
              <w:jc w:val="center"/>
              <w:textAlignment w:val="center"/>
              <w:rPr>
                <w:szCs w:val="21"/>
              </w:rPr>
            </w:pPr>
          </w:p>
        </w:tc>
        <w:tc>
          <w:tcPr>
            <w:tcW w:w="1598" w:type="dxa"/>
            <w:gridSpan w:val="2"/>
            <w:noWrap w:val="0"/>
            <w:vAlign w:val="center"/>
          </w:tcPr>
          <w:p w14:paraId="77ACCE0F">
            <w:pPr>
              <w:widowControl/>
              <w:jc w:val="center"/>
              <w:textAlignment w:val="center"/>
              <w:rPr>
                <w:szCs w:val="21"/>
              </w:rPr>
            </w:pPr>
            <w:r>
              <w:rPr>
                <w:szCs w:val="21"/>
              </w:rPr>
              <w:t>/</w:t>
            </w:r>
          </w:p>
        </w:tc>
        <w:tc>
          <w:tcPr>
            <w:tcW w:w="1600" w:type="dxa"/>
            <w:noWrap w:val="0"/>
            <w:vAlign w:val="center"/>
          </w:tcPr>
          <w:p w14:paraId="5EBBB3E6">
            <w:pPr>
              <w:widowControl/>
              <w:jc w:val="right"/>
              <w:textAlignment w:val="center"/>
              <w:rPr>
                <w:szCs w:val="21"/>
              </w:rPr>
            </w:pPr>
            <w:r>
              <w:rPr>
                <w:kern w:val="0"/>
                <w:szCs w:val="21"/>
                <w:lang w:bidi="ar"/>
              </w:rPr>
              <w:t xml:space="preserve">0.0475 </w:t>
            </w:r>
          </w:p>
        </w:tc>
      </w:tr>
      <w:tr w14:paraId="5C58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02CB0159">
            <w:pPr>
              <w:widowControl/>
              <w:jc w:val="center"/>
              <w:textAlignment w:val="center"/>
              <w:rPr>
                <w:szCs w:val="21"/>
              </w:rPr>
            </w:pPr>
          </w:p>
        </w:tc>
        <w:tc>
          <w:tcPr>
            <w:tcW w:w="748" w:type="dxa"/>
            <w:vMerge w:val="continue"/>
            <w:noWrap w:val="0"/>
            <w:vAlign w:val="center"/>
          </w:tcPr>
          <w:p w14:paraId="7ECA8B95">
            <w:pPr>
              <w:widowControl/>
              <w:jc w:val="center"/>
              <w:textAlignment w:val="center"/>
              <w:rPr>
                <w:szCs w:val="21"/>
              </w:rPr>
            </w:pPr>
          </w:p>
        </w:tc>
        <w:tc>
          <w:tcPr>
            <w:tcW w:w="931" w:type="dxa"/>
            <w:vMerge w:val="continue"/>
            <w:noWrap w:val="0"/>
            <w:vAlign w:val="center"/>
          </w:tcPr>
          <w:p w14:paraId="6AE77358">
            <w:pPr>
              <w:widowControl/>
              <w:jc w:val="center"/>
              <w:textAlignment w:val="center"/>
              <w:rPr>
                <w:szCs w:val="21"/>
              </w:rPr>
            </w:pPr>
          </w:p>
        </w:tc>
        <w:tc>
          <w:tcPr>
            <w:tcW w:w="1855" w:type="dxa"/>
            <w:gridSpan w:val="2"/>
            <w:noWrap w:val="0"/>
            <w:vAlign w:val="center"/>
          </w:tcPr>
          <w:p w14:paraId="60477395">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7C12DF3F">
            <w:pPr>
              <w:widowControl/>
              <w:jc w:val="center"/>
              <w:textAlignment w:val="center"/>
              <w:rPr>
                <w:szCs w:val="21"/>
              </w:rPr>
            </w:pPr>
            <w:r>
              <w:rPr>
                <w:szCs w:val="21"/>
              </w:rPr>
              <w:t>/</w:t>
            </w:r>
          </w:p>
        </w:tc>
        <w:tc>
          <w:tcPr>
            <w:tcW w:w="1441" w:type="dxa"/>
            <w:noWrap w:val="0"/>
            <w:vAlign w:val="center"/>
          </w:tcPr>
          <w:p w14:paraId="63C76DED">
            <w:pPr>
              <w:widowControl/>
              <w:jc w:val="right"/>
              <w:textAlignment w:val="center"/>
              <w:rPr>
                <w:szCs w:val="21"/>
              </w:rPr>
            </w:pPr>
            <w:r>
              <w:rPr>
                <w:kern w:val="0"/>
                <w:szCs w:val="21"/>
                <w:lang w:bidi="ar"/>
              </w:rPr>
              <w:t xml:space="preserve">0.0292 </w:t>
            </w:r>
          </w:p>
        </w:tc>
        <w:tc>
          <w:tcPr>
            <w:tcW w:w="4472" w:type="dxa"/>
            <w:vMerge w:val="continue"/>
            <w:noWrap w:val="0"/>
            <w:vAlign w:val="center"/>
          </w:tcPr>
          <w:p w14:paraId="3DC68542">
            <w:pPr>
              <w:widowControl/>
              <w:jc w:val="center"/>
              <w:textAlignment w:val="center"/>
              <w:rPr>
                <w:szCs w:val="21"/>
              </w:rPr>
            </w:pPr>
          </w:p>
        </w:tc>
        <w:tc>
          <w:tcPr>
            <w:tcW w:w="1598" w:type="dxa"/>
            <w:gridSpan w:val="2"/>
            <w:noWrap w:val="0"/>
            <w:vAlign w:val="center"/>
          </w:tcPr>
          <w:p w14:paraId="06AA83C7">
            <w:pPr>
              <w:widowControl/>
              <w:jc w:val="center"/>
              <w:textAlignment w:val="center"/>
              <w:rPr>
                <w:szCs w:val="21"/>
              </w:rPr>
            </w:pPr>
            <w:r>
              <w:rPr>
                <w:szCs w:val="21"/>
              </w:rPr>
              <w:t>/</w:t>
            </w:r>
          </w:p>
        </w:tc>
        <w:tc>
          <w:tcPr>
            <w:tcW w:w="1600" w:type="dxa"/>
            <w:noWrap w:val="0"/>
            <w:vAlign w:val="center"/>
          </w:tcPr>
          <w:p w14:paraId="0A5E2BDB">
            <w:pPr>
              <w:widowControl/>
              <w:jc w:val="right"/>
              <w:textAlignment w:val="center"/>
              <w:rPr>
                <w:szCs w:val="21"/>
              </w:rPr>
            </w:pPr>
            <w:r>
              <w:rPr>
                <w:kern w:val="0"/>
                <w:szCs w:val="21"/>
                <w:lang w:bidi="ar"/>
              </w:rPr>
              <w:t xml:space="preserve">0.0027 </w:t>
            </w:r>
          </w:p>
        </w:tc>
      </w:tr>
      <w:tr w14:paraId="4411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5301076B">
            <w:pPr>
              <w:widowControl/>
              <w:jc w:val="center"/>
              <w:textAlignment w:val="center"/>
              <w:rPr>
                <w:szCs w:val="21"/>
              </w:rPr>
            </w:pPr>
          </w:p>
        </w:tc>
        <w:tc>
          <w:tcPr>
            <w:tcW w:w="748" w:type="dxa"/>
            <w:vMerge w:val="continue"/>
            <w:noWrap w:val="0"/>
            <w:vAlign w:val="center"/>
          </w:tcPr>
          <w:p w14:paraId="12C42D67">
            <w:pPr>
              <w:widowControl/>
              <w:jc w:val="center"/>
              <w:textAlignment w:val="center"/>
              <w:rPr>
                <w:szCs w:val="21"/>
              </w:rPr>
            </w:pPr>
          </w:p>
        </w:tc>
        <w:tc>
          <w:tcPr>
            <w:tcW w:w="931" w:type="dxa"/>
            <w:vMerge w:val="restart"/>
            <w:noWrap w:val="0"/>
            <w:vAlign w:val="center"/>
          </w:tcPr>
          <w:p w14:paraId="69DF3C99">
            <w:pPr>
              <w:ind w:left="-105" w:leftChars="-50" w:right="-105" w:rightChars="-50"/>
              <w:jc w:val="center"/>
              <w:rPr>
                <w:szCs w:val="21"/>
              </w:rPr>
            </w:pPr>
            <w:r>
              <w:rPr>
                <w:kern w:val="0"/>
                <w:szCs w:val="21"/>
                <w:lang w:bidi="ar"/>
              </w:rPr>
              <w:t>4号地（鑫旺板块位置）</w:t>
            </w:r>
            <w:r>
              <w:rPr>
                <w:szCs w:val="21"/>
              </w:rPr>
              <w:t>堆肥发酵间</w:t>
            </w:r>
          </w:p>
        </w:tc>
        <w:tc>
          <w:tcPr>
            <w:tcW w:w="1855" w:type="dxa"/>
            <w:gridSpan w:val="2"/>
            <w:noWrap w:val="0"/>
            <w:vAlign w:val="center"/>
          </w:tcPr>
          <w:p w14:paraId="60E10907">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48C89FDF">
            <w:pPr>
              <w:widowControl/>
              <w:jc w:val="center"/>
              <w:textAlignment w:val="center"/>
              <w:rPr>
                <w:szCs w:val="21"/>
              </w:rPr>
            </w:pPr>
            <w:r>
              <w:rPr>
                <w:szCs w:val="21"/>
              </w:rPr>
              <w:t>/</w:t>
            </w:r>
          </w:p>
        </w:tc>
        <w:tc>
          <w:tcPr>
            <w:tcW w:w="1441" w:type="dxa"/>
            <w:noWrap w:val="0"/>
            <w:vAlign w:val="center"/>
          </w:tcPr>
          <w:p w14:paraId="64203388">
            <w:pPr>
              <w:widowControl/>
              <w:jc w:val="right"/>
              <w:textAlignment w:val="center"/>
              <w:rPr>
                <w:szCs w:val="21"/>
              </w:rPr>
            </w:pPr>
            <w:r>
              <w:rPr>
                <w:kern w:val="0"/>
                <w:szCs w:val="21"/>
                <w:lang w:bidi="ar"/>
              </w:rPr>
              <w:t xml:space="preserve">0.9490 </w:t>
            </w:r>
          </w:p>
        </w:tc>
        <w:tc>
          <w:tcPr>
            <w:tcW w:w="4472" w:type="dxa"/>
            <w:vMerge w:val="continue"/>
            <w:noWrap w:val="0"/>
            <w:vAlign w:val="center"/>
          </w:tcPr>
          <w:p w14:paraId="708B1C7E">
            <w:pPr>
              <w:widowControl/>
              <w:jc w:val="center"/>
              <w:textAlignment w:val="center"/>
              <w:rPr>
                <w:szCs w:val="21"/>
              </w:rPr>
            </w:pPr>
          </w:p>
        </w:tc>
        <w:tc>
          <w:tcPr>
            <w:tcW w:w="1598" w:type="dxa"/>
            <w:gridSpan w:val="2"/>
            <w:noWrap w:val="0"/>
            <w:vAlign w:val="center"/>
          </w:tcPr>
          <w:p w14:paraId="305CCE58">
            <w:pPr>
              <w:widowControl/>
              <w:jc w:val="center"/>
              <w:textAlignment w:val="center"/>
              <w:rPr>
                <w:szCs w:val="21"/>
              </w:rPr>
            </w:pPr>
            <w:r>
              <w:rPr>
                <w:szCs w:val="21"/>
              </w:rPr>
              <w:t>/</w:t>
            </w:r>
          </w:p>
        </w:tc>
        <w:tc>
          <w:tcPr>
            <w:tcW w:w="1600" w:type="dxa"/>
            <w:noWrap w:val="0"/>
            <w:vAlign w:val="center"/>
          </w:tcPr>
          <w:p w14:paraId="46B6505E">
            <w:pPr>
              <w:widowControl/>
              <w:jc w:val="right"/>
              <w:textAlignment w:val="center"/>
              <w:rPr>
                <w:szCs w:val="21"/>
              </w:rPr>
            </w:pPr>
            <w:r>
              <w:rPr>
                <w:kern w:val="0"/>
                <w:szCs w:val="21"/>
                <w:lang w:bidi="ar"/>
              </w:rPr>
              <w:t xml:space="preserve">0.0949 </w:t>
            </w:r>
          </w:p>
        </w:tc>
      </w:tr>
      <w:tr w14:paraId="71EF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57AB6C3E">
            <w:pPr>
              <w:widowControl/>
              <w:jc w:val="center"/>
              <w:textAlignment w:val="center"/>
              <w:rPr>
                <w:szCs w:val="21"/>
              </w:rPr>
            </w:pPr>
          </w:p>
        </w:tc>
        <w:tc>
          <w:tcPr>
            <w:tcW w:w="748" w:type="dxa"/>
            <w:vMerge w:val="continue"/>
            <w:noWrap w:val="0"/>
            <w:vAlign w:val="center"/>
          </w:tcPr>
          <w:p w14:paraId="4D9C371A">
            <w:pPr>
              <w:widowControl/>
              <w:jc w:val="center"/>
              <w:textAlignment w:val="center"/>
              <w:rPr>
                <w:szCs w:val="21"/>
              </w:rPr>
            </w:pPr>
          </w:p>
        </w:tc>
        <w:tc>
          <w:tcPr>
            <w:tcW w:w="931" w:type="dxa"/>
            <w:vMerge w:val="continue"/>
            <w:noWrap w:val="0"/>
            <w:vAlign w:val="center"/>
          </w:tcPr>
          <w:p w14:paraId="566E6B71">
            <w:pPr>
              <w:widowControl/>
              <w:jc w:val="center"/>
              <w:textAlignment w:val="center"/>
              <w:rPr>
                <w:szCs w:val="21"/>
              </w:rPr>
            </w:pPr>
          </w:p>
        </w:tc>
        <w:tc>
          <w:tcPr>
            <w:tcW w:w="1855" w:type="dxa"/>
            <w:gridSpan w:val="2"/>
            <w:noWrap w:val="0"/>
            <w:vAlign w:val="center"/>
          </w:tcPr>
          <w:p w14:paraId="380938C0">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6A81E5FE">
            <w:pPr>
              <w:widowControl/>
              <w:jc w:val="center"/>
              <w:textAlignment w:val="center"/>
              <w:rPr>
                <w:szCs w:val="21"/>
              </w:rPr>
            </w:pPr>
            <w:r>
              <w:rPr>
                <w:szCs w:val="21"/>
              </w:rPr>
              <w:t>/</w:t>
            </w:r>
          </w:p>
        </w:tc>
        <w:tc>
          <w:tcPr>
            <w:tcW w:w="1441" w:type="dxa"/>
            <w:noWrap w:val="0"/>
            <w:vAlign w:val="center"/>
          </w:tcPr>
          <w:p w14:paraId="22443B82">
            <w:pPr>
              <w:widowControl/>
              <w:jc w:val="right"/>
              <w:textAlignment w:val="center"/>
              <w:rPr>
                <w:szCs w:val="21"/>
              </w:rPr>
            </w:pPr>
            <w:r>
              <w:rPr>
                <w:kern w:val="0"/>
                <w:szCs w:val="21"/>
                <w:lang w:bidi="ar"/>
              </w:rPr>
              <w:t xml:space="preserve">0.0548 </w:t>
            </w:r>
          </w:p>
        </w:tc>
        <w:tc>
          <w:tcPr>
            <w:tcW w:w="4472" w:type="dxa"/>
            <w:vMerge w:val="continue"/>
            <w:noWrap w:val="0"/>
            <w:vAlign w:val="center"/>
          </w:tcPr>
          <w:p w14:paraId="7F776458">
            <w:pPr>
              <w:widowControl/>
              <w:jc w:val="center"/>
              <w:textAlignment w:val="center"/>
              <w:rPr>
                <w:szCs w:val="21"/>
              </w:rPr>
            </w:pPr>
          </w:p>
        </w:tc>
        <w:tc>
          <w:tcPr>
            <w:tcW w:w="1598" w:type="dxa"/>
            <w:gridSpan w:val="2"/>
            <w:noWrap w:val="0"/>
            <w:vAlign w:val="center"/>
          </w:tcPr>
          <w:p w14:paraId="37A23298">
            <w:pPr>
              <w:widowControl/>
              <w:jc w:val="center"/>
              <w:textAlignment w:val="center"/>
              <w:rPr>
                <w:szCs w:val="21"/>
              </w:rPr>
            </w:pPr>
            <w:r>
              <w:rPr>
                <w:szCs w:val="21"/>
              </w:rPr>
              <w:t>/</w:t>
            </w:r>
          </w:p>
        </w:tc>
        <w:tc>
          <w:tcPr>
            <w:tcW w:w="1600" w:type="dxa"/>
            <w:noWrap w:val="0"/>
            <w:vAlign w:val="center"/>
          </w:tcPr>
          <w:p w14:paraId="04A0B926">
            <w:pPr>
              <w:widowControl/>
              <w:jc w:val="right"/>
              <w:textAlignment w:val="center"/>
              <w:rPr>
                <w:szCs w:val="21"/>
              </w:rPr>
            </w:pPr>
            <w:r>
              <w:rPr>
                <w:kern w:val="0"/>
                <w:szCs w:val="21"/>
                <w:lang w:bidi="ar"/>
              </w:rPr>
              <w:t xml:space="preserve">0.0055 </w:t>
            </w:r>
          </w:p>
        </w:tc>
      </w:tr>
      <w:tr w14:paraId="04E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6412F088">
            <w:pPr>
              <w:widowControl/>
              <w:jc w:val="center"/>
              <w:textAlignment w:val="center"/>
              <w:rPr>
                <w:szCs w:val="21"/>
              </w:rPr>
            </w:pPr>
          </w:p>
        </w:tc>
        <w:tc>
          <w:tcPr>
            <w:tcW w:w="748" w:type="dxa"/>
            <w:vMerge w:val="continue"/>
            <w:noWrap w:val="0"/>
            <w:vAlign w:val="center"/>
          </w:tcPr>
          <w:p w14:paraId="23A4B04F">
            <w:pPr>
              <w:widowControl/>
              <w:jc w:val="center"/>
              <w:textAlignment w:val="center"/>
              <w:rPr>
                <w:szCs w:val="21"/>
              </w:rPr>
            </w:pPr>
          </w:p>
        </w:tc>
        <w:tc>
          <w:tcPr>
            <w:tcW w:w="931" w:type="dxa"/>
            <w:vMerge w:val="restart"/>
            <w:noWrap w:val="0"/>
            <w:vAlign w:val="center"/>
          </w:tcPr>
          <w:p w14:paraId="1526F642">
            <w:pPr>
              <w:ind w:left="-105" w:leftChars="-50" w:right="-105" w:rightChars="-50"/>
              <w:jc w:val="center"/>
              <w:rPr>
                <w:szCs w:val="21"/>
              </w:rPr>
            </w:pPr>
            <w:r>
              <w:rPr>
                <w:kern w:val="0"/>
                <w:szCs w:val="21"/>
                <w:lang w:bidi="ar"/>
              </w:rPr>
              <w:t>5号地（大河边位置）</w:t>
            </w:r>
            <w:r>
              <w:rPr>
                <w:szCs w:val="21"/>
              </w:rPr>
              <w:t>堆肥发酵间</w:t>
            </w:r>
          </w:p>
        </w:tc>
        <w:tc>
          <w:tcPr>
            <w:tcW w:w="1855" w:type="dxa"/>
            <w:gridSpan w:val="2"/>
            <w:noWrap w:val="0"/>
            <w:vAlign w:val="center"/>
          </w:tcPr>
          <w:p w14:paraId="408E1BFE">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542AB7FD">
            <w:pPr>
              <w:widowControl/>
              <w:jc w:val="center"/>
              <w:textAlignment w:val="center"/>
              <w:rPr>
                <w:szCs w:val="21"/>
              </w:rPr>
            </w:pPr>
            <w:r>
              <w:rPr>
                <w:szCs w:val="21"/>
              </w:rPr>
              <w:t>/</w:t>
            </w:r>
          </w:p>
        </w:tc>
        <w:tc>
          <w:tcPr>
            <w:tcW w:w="1441" w:type="dxa"/>
            <w:noWrap w:val="0"/>
            <w:vAlign w:val="center"/>
          </w:tcPr>
          <w:p w14:paraId="268DB56D">
            <w:pPr>
              <w:widowControl/>
              <w:jc w:val="right"/>
              <w:textAlignment w:val="center"/>
              <w:rPr>
                <w:szCs w:val="21"/>
              </w:rPr>
            </w:pPr>
            <w:r>
              <w:rPr>
                <w:kern w:val="0"/>
                <w:szCs w:val="21"/>
                <w:lang w:bidi="ar"/>
              </w:rPr>
              <w:t xml:space="preserve">0.7592 </w:t>
            </w:r>
          </w:p>
        </w:tc>
        <w:tc>
          <w:tcPr>
            <w:tcW w:w="4472" w:type="dxa"/>
            <w:vMerge w:val="continue"/>
            <w:noWrap w:val="0"/>
            <w:vAlign w:val="center"/>
          </w:tcPr>
          <w:p w14:paraId="039904C7">
            <w:pPr>
              <w:widowControl/>
              <w:jc w:val="center"/>
              <w:textAlignment w:val="center"/>
              <w:rPr>
                <w:szCs w:val="21"/>
              </w:rPr>
            </w:pPr>
          </w:p>
        </w:tc>
        <w:tc>
          <w:tcPr>
            <w:tcW w:w="1598" w:type="dxa"/>
            <w:gridSpan w:val="2"/>
            <w:noWrap w:val="0"/>
            <w:vAlign w:val="center"/>
          </w:tcPr>
          <w:p w14:paraId="77A3665E">
            <w:pPr>
              <w:widowControl/>
              <w:jc w:val="center"/>
              <w:textAlignment w:val="center"/>
              <w:rPr>
                <w:szCs w:val="21"/>
              </w:rPr>
            </w:pPr>
            <w:r>
              <w:rPr>
                <w:szCs w:val="21"/>
              </w:rPr>
              <w:t>/</w:t>
            </w:r>
          </w:p>
        </w:tc>
        <w:tc>
          <w:tcPr>
            <w:tcW w:w="1600" w:type="dxa"/>
            <w:noWrap w:val="0"/>
            <w:vAlign w:val="center"/>
          </w:tcPr>
          <w:p w14:paraId="1DBBF71C">
            <w:pPr>
              <w:widowControl/>
              <w:jc w:val="right"/>
              <w:textAlignment w:val="center"/>
              <w:rPr>
                <w:szCs w:val="21"/>
              </w:rPr>
            </w:pPr>
            <w:r>
              <w:rPr>
                <w:kern w:val="0"/>
                <w:szCs w:val="21"/>
                <w:lang w:bidi="ar"/>
              </w:rPr>
              <w:t xml:space="preserve">0.0759 </w:t>
            </w:r>
          </w:p>
        </w:tc>
      </w:tr>
      <w:tr w14:paraId="4B3C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0FE6C453">
            <w:pPr>
              <w:widowControl/>
              <w:jc w:val="center"/>
              <w:textAlignment w:val="center"/>
              <w:rPr>
                <w:szCs w:val="21"/>
              </w:rPr>
            </w:pPr>
          </w:p>
        </w:tc>
        <w:tc>
          <w:tcPr>
            <w:tcW w:w="748" w:type="dxa"/>
            <w:vMerge w:val="continue"/>
            <w:noWrap w:val="0"/>
            <w:vAlign w:val="center"/>
          </w:tcPr>
          <w:p w14:paraId="220C1545">
            <w:pPr>
              <w:widowControl/>
              <w:jc w:val="center"/>
              <w:textAlignment w:val="center"/>
              <w:rPr>
                <w:szCs w:val="21"/>
              </w:rPr>
            </w:pPr>
          </w:p>
        </w:tc>
        <w:tc>
          <w:tcPr>
            <w:tcW w:w="931" w:type="dxa"/>
            <w:vMerge w:val="continue"/>
            <w:noWrap w:val="0"/>
            <w:vAlign w:val="center"/>
          </w:tcPr>
          <w:p w14:paraId="14C2AD4A">
            <w:pPr>
              <w:widowControl/>
              <w:jc w:val="center"/>
              <w:textAlignment w:val="center"/>
              <w:rPr>
                <w:szCs w:val="21"/>
              </w:rPr>
            </w:pPr>
          </w:p>
        </w:tc>
        <w:tc>
          <w:tcPr>
            <w:tcW w:w="1855" w:type="dxa"/>
            <w:gridSpan w:val="2"/>
            <w:noWrap w:val="0"/>
            <w:vAlign w:val="center"/>
          </w:tcPr>
          <w:p w14:paraId="661EF798">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4EFA9C9E">
            <w:pPr>
              <w:widowControl/>
              <w:jc w:val="center"/>
              <w:textAlignment w:val="center"/>
              <w:rPr>
                <w:szCs w:val="21"/>
              </w:rPr>
            </w:pPr>
            <w:r>
              <w:rPr>
                <w:szCs w:val="21"/>
              </w:rPr>
              <w:t>/</w:t>
            </w:r>
          </w:p>
        </w:tc>
        <w:tc>
          <w:tcPr>
            <w:tcW w:w="1441" w:type="dxa"/>
            <w:noWrap w:val="0"/>
            <w:vAlign w:val="center"/>
          </w:tcPr>
          <w:p w14:paraId="6832441F">
            <w:pPr>
              <w:widowControl/>
              <w:jc w:val="right"/>
              <w:textAlignment w:val="center"/>
              <w:rPr>
                <w:szCs w:val="21"/>
              </w:rPr>
            </w:pPr>
            <w:r>
              <w:rPr>
                <w:kern w:val="0"/>
                <w:szCs w:val="21"/>
                <w:lang w:bidi="ar"/>
              </w:rPr>
              <w:t xml:space="preserve">0.0438 </w:t>
            </w:r>
          </w:p>
        </w:tc>
        <w:tc>
          <w:tcPr>
            <w:tcW w:w="4472" w:type="dxa"/>
            <w:vMerge w:val="continue"/>
            <w:noWrap w:val="0"/>
            <w:vAlign w:val="center"/>
          </w:tcPr>
          <w:p w14:paraId="7384967D">
            <w:pPr>
              <w:widowControl/>
              <w:jc w:val="center"/>
              <w:textAlignment w:val="center"/>
              <w:rPr>
                <w:szCs w:val="21"/>
              </w:rPr>
            </w:pPr>
          </w:p>
        </w:tc>
        <w:tc>
          <w:tcPr>
            <w:tcW w:w="1598" w:type="dxa"/>
            <w:gridSpan w:val="2"/>
            <w:noWrap w:val="0"/>
            <w:vAlign w:val="center"/>
          </w:tcPr>
          <w:p w14:paraId="6228E129">
            <w:pPr>
              <w:widowControl/>
              <w:jc w:val="center"/>
              <w:textAlignment w:val="center"/>
              <w:rPr>
                <w:szCs w:val="21"/>
              </w:rPr>
            </w:pPr>
            <w:r>
              <w:rPr>
                <w:szCs w:val="21"/>
              </w:rPr>
              <w:t>/</w:t>
            </w:r>
          </w:p>
        </w:tc>
        <w:tc>
          <w:tcPr>
            <w:tcW w:w="1600" w:type="dxa"/>
            <w:noWrap w:val="0"/>
            <w:vAlign w:val="center"/>
          </w:tcPr>
          <w:p w14:paraId="00595789">
            <w:pPr>
              <w:widowControl/>
              <w:jc w:val="right"/>
              <w:textAlignment w:val="center"/>
              <w:rPr>
                <w:szCs w:val="21"/>
              </w:rPr>
            </w:pPr>
            <w:r>
              <w:rPr>
                <w:kern w:val="0"/>
                <w:szCs w:val="21"/>
                <w:lang w:bidi="ar"/>
              </w:rPr>
              <w:t xml:space="preserve">0.0044 </w:t>
            </w:r>
          </w:p>
        </w:tc>
      </w:tr>
      <w:tr w14:paraId="0C13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2D5B3862">
            <w:pPr>
              <w:widowControl/>
              <w:jc w:val="center"/>
              <w:textAlignment w:val="center"/>
              <w:rPr>
                <w:szCs w:val="21"/>
              </w:rPr>
            </w:pPr>
          </w:p>
        </w:tc>
        <w:tc>
          <w:tcPr>
            <w:tcW w:w="748" w:type="dxa"/>
            <w:vMerge w:val="continue"/>
            <w:noWrap w:val="0"/>
            <w:vAlign w:val="center"/>
          </w:tcPr>
          <w:p w14:paraId="6AAD3CA4">
            <w:pPr>
              <w:widowControl/>
              <w:jc w:val="center"/>
              <w:textAlignment w:val="center"/>
              <w:rPr>
                <w:szCs w:val="21"/>
              </w:rPr>
            </w:pPr>
          </w:p>
        </w:tc>
        <w:tc>
          <w:tcPr>
            <w:tcW w:w="931" w:type="dxa"/>
            <w:vMerge w:val="restart"/>
            <w:noWrap w:val="0"/>
            <w:vAlign w:val="center"/>
          </w:tcPr>
          <w:p w14:paraId="69FB5648">
            <w:pPr>
              <w:widowControl/>
              <w:jc w:val="center"/>
              <w:textAlignment w:val="center"/>
              <w:rPr>
                <w:szCs w:val="21"/>
              </w:rPr>
            </w:pPr>
            <w:r>
              <w:rPr>
                <w:szCs w:val="21"/>
              </w:rPr>
              <w:t>无组织排放合计</w:t>
            </w:r>
          </w:p>
        </w:tc>
        <w:tc>
          <w:tcPr>
            <w:tcW w:w="1855" w:type="dxa"/>
            <w:gridSpan w:val="2"/>
            <w:noWrap w:val="0"/>
            <w:vAlign w:val="center"/>
          </w:tcPr>
          <w:p w14:paraId="6BCC8D1F">
            <w:pPr>
              <w:pStyle w:val="85"/>
              <w:spacing w:after="0"/>
              <w:ind w:left="-105" w:leftChars="-50" w:right="-105" w:rightChars="-50" w:firstLine="0" w:firstLineChars="0"/>
              <w:jc w:val="center"/>
              <w:rPr>
                <w:szCs w:val="21"/>
              </w:rPr>
            </w:pPr>
            <w:r>
              <w:rPr>
                <w:szCs w:val="21"/>
              </w:rPr>
              <w:t>NH</w:t>
            </w:r>
            <w:r>
              <w:rPr>
                <w:szCs w:val="21"/>
                <w:vertAlign w:val="subscript"/>
              </w:rPr>
              <w:t>3</w:t>
            </w:r>
          </w:p>
        </w:tc>
        <w:tc>
          <w:tcPr>
            <w:tcW w:w="1225" w:type="dxa"/>
            <w:noWrap w:val="0"/>
            <w:vAlign w:val="center"/>
          </w:tcPr>
          <w:p w14:paraId="747C1C0B">
            <w:pPr>
              <w:widowControl/>
              <w:jc w:val="center"/>
              <w:textAlignment w:val="center"/>
              <w:rPr>
                <w:szCs w:val="21"/>
              </w:rPr>
            </w:pPr>
            <w:r>
              <w:rPr>
                <w:szCs w:val="21"/>
              </w:rPr>
              <w:t>/</w:t>
            </w:r>
          </w:p>
        </w:tc>
        <w:tc>
          <w:tcPr>
            <w:tcW w:w="1441" w:type="dxa"/>
            <w:noWrap w:val="0"/>
            <w:vAlign w:val="center"/>
          </w:tcPr>
          <w:p w14:paraId="171DD1CD">
            <w:pPr>
              <w:widowControl/>
              <w:jc w:val="right"/>
              <w:textAlignment w:val="center"/>
              <w:rPr>
                <w:kern w:val="0"/>
                <w:szCs w:val="21"/>
                <w:lang w:bidi="ar"/>
              </w:rPr>
            </w:pPr>
            <w:r>
              <w:rPr>
                <w:kern w:val="0"/>
                <w:szCs w:val="21"/>
                <w:lang w:bidi="ar"/>
              </w:rPr>
              <w:t>18.4966</w:t>
            </w:r>
          </w:p>
        </w:tc>
        <w:tc>
          <w:tcPr>
            <w:tcW w:w="4472" w:type="dxa"/>
            <w:noWrap w:val="0"/>
            <w:vAlign w:val="center"/>
          </w:tcPr>
          <w:p w14:paraId="1B47F858">
            <w:pPr>
              <w:jc w:val="center"/>
              <w:rPr>
                <w:szCs w:val="21"/>
              </w:rPr>
            </w:pPr>
          </w:p>
        </w:tc>
        <w:tc>
          <w:tcPr>
            <w:tcW w:w="1598" w:type="dxa"/>
            <w:gridSpan w:val="2"/>
            <w:noWrap w:val="0"/>
            <w:vAlign w:val="center"/>
          </w:tcPr>
          <w:p w14:paraId="0A5E548B">
            <w:pPr>
              <w:jc w:val="center"/>
              <w:rPr>
                <w:szCs w:val="21"/>
              </w:rPr>
            </w:pPr>
            <w:r>
              <w:rPr>
                <w:szCs w:val="21"/>
              </w:rPr>
              <w:t>/</w:t>
            </w:r>
          </w:p>
        </w:tc>
        <w:tc>
          <w:tcPr>
            <w:tcW w:w="1600" w:type="dxa"/>
            <w:noWrap w:val="0"/>
            <w:vAlign w:val="center"/>
          </w:tcPr>
          <w:p w14:paraId="225434DE">
            <w:pPr>
              <w:widowControl/>
              <w:jc w:val="right"/>
              <w:textAlignment w:val="center"/>
              <w:rPr>
                <w:kern w:val="0"/>
                <w:szCs w:val="21"/>
                <w:lang w:bidi="ar"/>
              </w:rPr>
            </w:pPr>
            <w:r>
              <w:rPr>
                <w:kern w:val="0"/>
                <w:szCs w:val="21"/>
                <w:lang w:bidi="ar"/>
              </w:rPr>
              <w:t>1.1162</w:t>
            </w:r>
          </w:p>
        </w:tc>
      </w:tr>
      <w:tr w14:paraId="2339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2" w:hRule="atLeast"/>
          <w:jc w:val="center"/>
        </w:trPr>
        <w:tc>
          <w:tcPr>
            <w:tcW w:w="622" w:type="dxa"/>
            <w:vMerge w:val="continue"/>
            <w:noWrap w:val="0"/>
            <w:vAlign w:val="center"/>
          </w:tcPr>
          <w:p w14:paraId="6A5890D9">
            <w:pPr>
              <w:widowControl/>
              <w:jc w:val="center"/>
              <w:textAlignment w:val="center"/>
              <w:rPr>
                <w:szCs w:val="21"/>
              </w:rPr>
            </w:pPr>
          </w:p>
        </w:tc>
        <w:tc>
          <w:tcPr>
            <w:tcW w:w="748" w:type="dxa"/>
            <w:vMerge w:val="continue"/>
            <w:noWrap w:val="0"/>
            <w:vAlign w:val="center"/>
          </w:tcPr>
          <w:p w14:paraId="433EFDB6">
            <w:pPr>
              <w:widowControl/>
              <w:jc w:val="center"/>
              <w:textAlignment w:val="center"/>
              <w:rPr>
                <w:szCs w:val="21"/>
              </w:rPr>
            </w:pPr>
          </w:p>
        </w:tc>
        <w:tc>
          <w:tcPr>
            <w:tcW w:w="931" w:type="dxa"/>
            <w:vMerge w:val="continue"/>
            <w:noWrap w:val="0"/>
            <w:vAlign w:val="center"/>
          </w:tcPr>
          <w:p w14:paraId="281AD7B7">
            <w:pPr>
              <w:widowControl/>
              <w:jc w:val="center"/>
              <w:textAlignment w:val="center"/>
              <w:rPr>
                <w:szCs w:val="21"/>
              </w:rPr>
            </w:pPr>
          </w:p>
        </w:tc>
        <w:tc>
          <w:tcPr>
            <w:tcW w:w="1855" w:type="dxa"/>
            <w:gridSpan w:val="2"/>
            <w:noWrap w:val="0"/>
            <w:vAlign w:val="center"/>
          </w:tcPr>
          <w:p w14:paraId="79DDF23B">
            <w:pPr>
              <w:pStyle w:val="85"/>
              <w:spacing w:after="0"/>
              <w:ind w:left="-105" w:leftChars="-50" w:right="-105" w:rightChars="-50" w:firstLine="0" w:firstLineChars="0"/>
              <w:jc w:val="center"/>
              <w:rPr>
                <w:szCs w:val="21"/>
              </w:rPr>
            </w:pPr>
            <w:r>
              <w:rPr>
                <w:szCs w:val="21"/>
              </w:rPr>
              <w:t>H</w:t>
            </w:r>
            <w:r>
              <w:rPr>
                <w:szCs w:val="21"/>
                <w:vertAlign w:val="subscript"/>
              </w:rPr>
              <w:t>2</w:t>
            </w:r>
            <w:r>
              <w:rPr>
                <w:szCs w:val="21"/>
              </w:rPr>
              <w:t>S</w:t>
            </w:r>
          </w:p>
        </w:tc>
        <w:tc>
          <w:tcPr>
            <w:tcW w:w="1225" w:type="dxa"/>
            <w:noWrap w:val="0"/>
            <w:vAlign w:val="center"/>
          </w:tcPr>
          <w:p w14:paraId="2A053B3B">
            <w:pPr>
              <w:widowControl/>
              <w:jc w:val="center"/>
              <w:textAlignment w:val="center"/>
              <w:rPr>
                <w:szCs w:val="21"/>
              </w:rPr>
            </w:pPr>
            <w:r>
              <w:rPr>
                <w:szCs w:val="21"/>
              </w:rPr>
              <w:t>/</w:t>
            </w:r>
          </w:p>
        </w:tc>
        <w:tc>
          <w:tcPr>
            <w:tcW w:w="1441" w:type="dxa"/>
            <w:noWrap w:val="0"/>
            <w:vAlign w:val="center"/>
          </w:tcPr>
          <w:p w14:paraId="156C5C57">
            <w:pPr>
              <w:widowControl/>
              <w:jc w:val="right"/>
              <w:textAlignment w:val="center"/>
              <w:rPr>
                <w:kern w:val="0"/>
                <w:szCs w:val="21"/>
                <w:lang w:bidi="ar"/>
              </w:rPr>
            </w:pPr>
            <w:r>
              <w:rPr>
                <w:kern w:val="0"/>
                <w:szCs w:val="21"/>
                <w:lang w:bidi="ar"/>
              </w:rPr>
              <w:t>1.5637</w:t>
            </w:r>
          </w:p>
        </w:tc>
        <w:tc>
          <w:tcPr>
            <w:tcW w:w="4472" w:type="dxa"/>
            <w:noWrap w:val="0"/>
            <w:vAlign w:val="center"/>
          </w:tcPr>
          <w:p w14:paraId="1B1A8873">
            <w:pPr>
              <w:jc w:val="center"/>
              <w:rPr>
                <w:szCs w:val="21"/>
              </w:rPr>
            </w:pPr>
          </w:p>
        </w:tc>
        <w:tc>
          <w:tcPr>
            <w:tcW w:w="1598" w:type="dxa"/>
            <w:gridSpan w:val="2"/>
            <w:noWrap w:val="0"/>
            <w:vAlign w:val="center"/>
          </w:tcPr>
          <w:p w14:paraId="4590567A">
            <w:pPr>
              <w:jc w:val="center"/>
              <w:rPr>
                <w:szCs w:val="21"/>
              </w:rPr>
            </w:pPr>
            <w:r>
              <w:rPr>
                <w:szCs w:val="21"/>
              </w:rPr>
              <w:t>/</w:t>
            </w:r>
          </w:p>
        </w:tc>
        <w:tc>
          <w:tcPr>
            <w:tcW w:w="1600" w:type="dxa"/>
            <w:noWrap w:val="0"/>
            <w:vAlign w:val="center"/>
          </w:tcPr>
          <w:p w14:paraId="58EC76B9">
            <w:pPr>
              <w:widowControl/>
              <w:jc w:val="right"/>
              <w:textAlignment w:val="center"/>
              <w:rPr>
                <w:kern w:val="0"/>
                <w:szCs w:val="21"/>
                <w:lang w:bidi="ar"/>
              </w:rPr>
            </w:pPr>
            <w:r>
              <w:rPr>
                <w:kern w:val="0"/>
                <w:szCs w:val="21"/>
                <w:lang w:bidi="ar"/>
              </w:rPr>
              <w:t>0.08501</w:t>
            </w:r>
          </w:p>
        </w:tc>
      </w:tr>
      <w:tr w14:paraId="6355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jc w:val="center"/>
        </w:trPr>
        <w:tc>
          <w:tcPr>
            <w:tcW w:w="622" w:type="dxa"/>
            <w:vMerge w:val="continue"/>
            <w:noWrap w:val="0"/>
            <w:vAlign w:val="center"/>
          </w:tcPr>
          <w:p w14:paraId="538CB7C9">
            <w:pPr>
              <w:pStyle w:val="85"/>
              <w:spacing w:after="0"/>
              <w:ind w:left="-105" w:leftChars="-50" w:right="-105" w:rightChars="-50" w:firstLine="0" w:firstLineChars="0"/>
              <w:jc w:val="center"/>
              <w:rPr>
                <w:szCs w:val="21"/>
              </w:rPr>
            </w:pPr>
          </w:p>
        </w:tc>
        <w:tc>
          <w:tcPr>
            <w:tcW w:w="748" w:type="dxa"/>
            <w:vMerge w:val="continue"/>
            <w:noWrap w:val="0"/>
            <w:vAlign w:val="center"/>
          </w:tcPr>
          <w:p w14:paraId="7BEEC550">
            <w:pPr>
              <w:pStyle w:val="85"/>
              <w:spacing w:after="0"/>
              <w:ind w:left="-105" w:leftChars="-50" w:right="-105" w:rightChars="-50" w:firstLine="0" w:firstLineChars="0"/>
              <w:jc w:val="center"/>
              <w:rPr>
                <w:szCs w:val="21"/>
              </w:rPr>
            </w:pPr>
          </w:p>
        </w:tc>
        <w:tc>
          <w:tcPr>
            <w:tcW w:w="931" w:type="dxa"/>
            <w:vMerge w:val="restart"/>
            <w:noWrap w:val="0"/>
            <w:vAlign w:val="center"/>
          </w:tcPr>
          <w:p w14:paraId="5A268D36">
            <w:pPr>
              <w:pStyle w:val="85"/>
              <w:spacing w:after="0"/>
              <w:ind w:left="-105" w:leftChars="-50" w:right="-105" w:rightChars="-50" w:firstLine="0" w:firstLineChars="0"/>
              <w:jc w:val="center"/>
              <w:rPr>
                <w:szCs w:val="21"/>
              </w:rPr>
            </w:pPr>
            <w:r>
              <w:rPr>
                <w:kern w:val="0"/>
                <w:szCs w:val="21"/>
                <w:lang w:bidi="ar"/>
              </w:rPr>
              <w:t>病死猪无害化处理</w:t>
            </w:r>
          </w:p>
        </w:tc>
        <w:tc>
          <w:tcPr>
            <w:tcW w:w="1855" w:type="dxa"/>
            <w:gridSpan w:val="2"/>
            <w:noWrap w:val="0"/>
            <w:vAlign w:val="center"/>
          </w:tcPr>
          <w:p w14:paraId="495296B0">
            <w:pPr>
              <w:widowControl/>
              <w:jc w:val="center"/>
              <w:textAlignment w:val="center"/>
              <w:rPr>
                <w:szCs w:val="21"/>
              </w:rPr>
            </w:pPr>
            <w:r>
              <w:rPr>
                <w:kern w:val="0"/>
                <w:szCs w:val="21"/>
                <w:lang w:bidi="ar"/>
              </w:rPr>
              <w:t>NH</w:t>
            </w:r>
            <w:r>
              <w:rPr>
                <w:rStyle w:val="848"/>
                <w:rFonts w:ascii="Times New Roman" w:hAnsi="Times New Roman" w:cs="Times New Roman"/>
                <w:color w:val="auto"/>
                <w:sz w:val="21"/>
                <w:szCs w:val="21"/>
                <w:lang w:bidi="ar"/>
              </w:rPr>
              <w:t>3</w:t>
            </w:r>
          </w:p>
        </w:tc>
        <w:tc>
          <w:tcPr>
            <w:tcW w:w="1225" w:type="dxa"/>
            <w:noWrap w:val="0"/>
            <w:vAlign w:val="center"/>
          </w:tcPr>
          <w:p w14:paraId="7E323F0E">
            <w:pPr>
              <w:widowControl/>
              <w:jc w:val="center"/>
              <w:textAlignment w:val="center"/>
              <w:rPr>
                <w:szCs w:val="21"/>
              </w:rPr>
            </w:pPr>
            <w:r>
              <w:rPr>
                <w:kern w:val="0"/>
                <w:szCs w:val="21"/>
                <w:lang w:bidi="ar"/>
              </w:rPr>
              <w:t>3.56</w:t>
            </w:r>
            <w:r>
              <w:rPr>
                <w:szCs w:val="21"/>
              </w:rPr>
              <w:t>mg/m</w:t>
            </w:r>
            <w:r>
              <w:rPr>
                <w:szCs w:val="21"/>
                <w:vertAlign w:val="superscript"/>
              </w:rPr>
              <w:t>3</w:t>
            </w:r>
          </w:p>
        </w:tc>
        <w:tc>
          <w:tcPr>
            <w:tcW w:w="1441" w:type="dxa"/>
            <w:noWrap w:val="0"/>
            <w:vAlign w:val="center"/>
          </w:tcPr>
          <w:p w14:paraId="19B0AC27">
            <w:pPr>
              <w:widowControl/>
              <w:jc w:val="center"/>
              <w:textAlignment w:val="center"/>
              <w:rPr>
                <w:kern w:val="44"/>
                <w:szCs w:val="21"/>
              </w:rPr>
            </w:pPr>
            <w:r>
              <w:rPr>
                <w:kern w:val="44"/>
                <w:szCs w:val="21"/>
              </w:rPr>
              <w:t>0.1247t/a</w:t>
            </w:r>
          </w:p>
        </w:tc>
        <w:tc>
          <w:tcPr>
            <w:tcW w:w="4472" w:type="dxa"/>
            <w:vMerge w:val="restart"/>
            <w:noWrap w:val="0"/>
            <w:vAlign w:val="center"/>
          </w:tcPr>
          <w:p w14:paraId="2AD8C630">
            <w:pPr>
              <w:ind w:left="-105" w:leftChars="-50" w:right="-105" w:rightChars="-50"/>
              <w:jc w:val="center"/>
              <w:rPr>
                <w:szCs w:val="21"/>
              </w:rPr>
            </w:pPr>
            <w:r>
              <w:rPr>
                <w:szCs w:val="21"/>
              </w:rPr>
              <w:t>催化氧化+除臭液+15m高空排放</w:t>
            </w:r>
          </w:p>
        </w:tc>
        <w:tc>
          <w:tcPr>
            <w:tcW w:w="1598" w:type="dxa"/>
            <w:gridSpan w:val="2"/>
            <w:noWrap w:val="0"/>
            <w:vAlign w:val="center"/>
          </w:tcPr>
          <w:p w14:paraId="33774FF1">
            <w:pPr>
              <w:widowControl/>
              <w:jc w:val="center"/>
              <w:textAlignment w:val="center"/>
              <w:rPr>
                <w:szCs w:val="21"/>
              </w:rPr>
            </w:pPr>
            <w:r>
              <w:rPr>
                <w:kern w:val="0"/>
                <w:szCs w:val="21"/>
                <w:lang w:bidi="ar"/>
              </w:rPr>
              <w:t>0.89</w:t>
            </w:r>
            <w:r>
              <w:rPr>
                <w:szCs w:val="21"/>
              </w:rPr>
              <w:t>mg/m</w:t>
            </w:r>
            <w:r>
              <w:rPr>
                <w:szCs w:val="21"/>
                <w:vertAlign w:val="superscript"/>
              </w:rPr>
              <w:t>3</w:t>
            </w:r>
          </w:p>
        </w:tc>
        <w:tc>
          <w:tcPr>
            <w:tcW w:w="1600" w:type="dxa"/>
            <w:noWrap w:val="0"/>
            <w:vAlign w:val="center"/>
          </w:tcPr>
          <w:p w14:paraId="14B5A291">
            <w:pPr>
              <w:widowControl/>
              <w:jc w:val="center"/>
              <w:textAlignment w:val="center"/>
              <w:rPr>
                <w:kern w:val="44"/>
                <w:szCs w:val="21"/>
              </w:rPr>
            </w:pPr>
            <w:r>
              <w:rPr>
                <w:kern w:val="44"/>
                <w:szCs w:val="21"/>
              </w:rPr>
              <w:t>0.0312 t/a</w:t>
            </w:r>
          </w:p>
        </w:tc>
      </w:tr>
      <w:tr w14:paraId="3100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1" w:hRule="atLeast"/>
          <w:jc w:val="center"/>
        </w:trPr>
        <w:tc>
          <w:tcPr>
            <w:tcW w:w="622" w:type="dxa"/>
            <w:vMerge w:val="continue"/>
            <w:noWrap w:val="0"/>
            <w:vAlign w:val="center"/>
          </w:tcPr>
          <w:p w14:paraId="3BB49176">
            <w:pPr>
              <w:pStyle w:val="85"/>
              <w:spacing w:after="0"/>
              <w:ind w:left="-105" w:leftChars="-50" w:right="-105" w:rightChars="-50" w:firstLine="0" w:firstLineChars="0"/>
              <w:jc w:val="center"/>
              <w:rPr>
                <w:szCs w:val="21"/>
              </w:rPr>
            </w:pPr>
          </w:p>
        </w:tc>
        <w:tc>
          <w:tcPr>
            <w:tcW w:w="748" w:type="dxa"/>
            <w:vMerge w:val="continue"/>
            <w:noWrap w:val="0"/>
            <w:vAlign w:val="center"/>
          </w:tcPr>
          <w:p w14:paraId="7E672CA8">
            <w:pPr>
              <w:pStyle w:val="85"/>
              <w:spacing w:after="0"/>
              <w:ind w:left="-105" w:leftChars="-50" w:right="-105" w:rightChars="-50" w:firstLine="0" w:firstLineChars="0"/>
              <w:jc w:val="center"/>
              <w:rPr>
                <w:szCs w:val="21"/>
              </w:rPr>
            </w:pPr>
          </w:p>
        </w:tc>
        <w:tc>
          <w:tcPr>
            <w:tcW w:w="931" w:type="dxa"/>
            <w:vMerge w:val="continue"/>
            <w:noWrap w:val="0"/>
            <w:vAlign w:val="center"/>
          </w:tcPr>
          <w:p w14:paraId="1D2D1413">
            <w:pPr>
              <w:pStyle w:val="85"/>
              <w:spacing w:after="0"/>
              <w:ind w:left="-105" w:leftChars="-50" w:right="-105" w:rightChars="-50" w:firstLine="0" w:firstLineChars="0"/>
              <w:jc w:val="center"/>
              <w:rPr>
                <w:szCs w:val="21"/>
              </w:rPr>
            </w:pPr>
          </w:p>
        </w:tc>
        <w:tc>
          <w:tcPr>
            <w:tcW w:w="1855" w:type="dxa"/>
            <w:gridSpan w:val="2"/>
            <w:noWrap w:val="0"/>
            <w:vAlign w:val="center"/>
          </w:tcPr>
          <w:p w14:paraId="773D8D16">
            <w:pPr>
              <w:widowControl/>
              <w:jc w:val="center"/>
              <w:textAlignment w:val="center"/>
              <w:rPr>
                <w:szCs w:val="21"/>
              </w:rPr>
            </w:pPr>
            <w:r>
              <w:rPr>
                <w:kern w:val="0"/>
                <w:szCs w:val="21"/>
                <w:lang w:bidi="ar"/>
              </w:rPr>
              <w:t>甲硫醇</w:t>
            </w:r>
          </w:p>
        </w:tc>
        <w:tc>
          <w:tcPr>
            <w:tcW w:w="1225" w:type="dxa"/>
            <w:noWrap w:val="0"/>
            <w:vAlign w:val="center"/>
          </w:tcPr>
          <w:p w14:paraId="60924C76">
            <w:pPr>
              <w:widowControl/>
              <w:jc w:val="center"/>
              <w:textAlignment w:val="center"/>
              <w:rPr>
                <w:szCs w:val="21"/>
              </w:rPr>
            </w:pPr>
            <w:r>
              <w:rPr>
                <w:kern w:val="0"/>
                <w:szCs w:val="21"/>
                <w:lang w:bidi="ar"/>
              </w:rPr>
              <w:t>0.68</w:t>
            </w:r>
            <w:r>
              <w:rPr>
                <w:szCs w:val="21"/>
              </w:rPr>
              <w:t>mg/m</w:t>
            </w:r>
            <w:r>
              <w:rPr>
                <w:szCs w:val="21"/>
                <w:vertAlign w:val="superscript"/>
              </w:rPr>
              <w:t>3</w:t>
            </w:r>
          </w:p>
        </w:tc>
        <w:tc>
          <w:tcPr>
            <w:tcW w:w="1441" w:type="dxa"/>
            <w:noWrap w:val="0"/>
            <w:vAlign w:val="center"/>
          </w:tcPr>
          <w:p w14:paraId="5AE165A6">
            <w:pPr>
              <w:widowControl/>
              <w:jc w:val="center"/>
              <w:textAlignment w:val="center"/>
              <w:rPr>
                <w:kern w:val="44"/>
                <w:szCs w:val="21"/>
              </w:rPr>
            </w:pPr>
            <w:r>
              <w:rPr>
                <w:kern w:val="44"/>
                <w:szCs w:val="21"/>
              </w:rPr>
              <w:t>0.0238t/a</w:t>
            </w:r>
          </w:p>
        </w:tc>
        <w:tc>
          <w:tcPr>
            <w:tcW w:w="4472" w:type="dxa"/>
            <w:vMerge w:val="continue"/>
            <w:noWrap w:val="0"/>
            <w:vAlign w:val="center"/>
          </w:tcPr>
          <w:p w14:paraId="37CF5E8E">
            <w:pPr>
              <w:ind w:left="-105" w:leftChars="-50" w:right="-105" w:rightChars="-50"/>
              <w:jc w:val="center"/>
              <w:rPr>
                <w:szCs w:val="21"/>
              </w:rPr>
            </w:pPr>
          </w:p>
        </w:tc>
        <w:tc>
          <w:tcPr>
            <w:tcW w:w="1598" w:type="dxa"/>
            <w:gridSpan w:val="2"/>
            <w:noWrap w:val="0"/>
            <w:vAlign w:val="center"/>
          </w:tcPr>
          <w:p w14:paraId="25A17D89">
            <w:pPr>
              <w:widowControl/>
              <w:jc w:val="center"/>
              <w:textAlignment w:val="center"/>
              <w:rPr>
                <w:szCs w:val="21"/>
              </w:rPr>
            </w:pPr>
            <w:r>
              <w:rPr>
                <w:kern w:val="0"/>
                <w:szCs w:val="21"/>
                <w:lang w:bidi="ar"/>
              </w:rPr>
              <w:t>0.170</w:t>
            </w:r>
            <w:r>
              <w:rPr>
                <w:szCs w:val="21"/>
              </w:rPr>
              <w:t>mg/m</w:t>
            </w:r>
            <w:r>
              <w:rPr>
                <w:szCs w:val="21"/>
                <w:vertAlign w:val="superscript"/>
              </w:rPr>
              <w:t>3</w:t>
            </w:r>
          </w:p>
        </w:tc>
        <w:tc>
          <w:tcPr>
            <w:tcW w:w="1600" w:type="dxa"/>
            <w:noWrap w:val="0"/>
            <w:vAlign w:val="center"/>
          </w:tcPr>
          <w:p w14:paraId="14DAD2A0">
            <w:pPr>
              <w:widowControl/>
              <w:jc w:val="center"/>
              <w:textAlignment w:val="center"/>
              <w:rPr>
                <w:kern w:val="44"/>
                <w:szCs w:val="21"/>
              </w:rPr>
            </w:pPr>
            <w:r>
              <w:rPr>
                <w:kern w:val="44"/>
                <w:szCs w:val="21"/>
              </w:rPr>
              <w:t>0.0060t/a</w:t>
            </w:r>
          </w:p>
        </w:tc>
      </w:tr>
      <w:tr w14:paraId="3B4B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1" w:hRule="atLeast"/>
          <w:jc w:val="center"/>
        </w:trPr>
        <w:tc>
          <w:tcPr>
            <w:tcW w:w="622" w:type="dxa"/>
            <w:vMerge w:val="continue"/>
            <w:noWrap w:val="0"/>
            <w:vAlign w:val="center"/>
          </w:tcPr>
          <w:p w14:paraId="260B8AC0">
            <w:pPr>
              <w:widowControl/>
              <w:jc w:val="center"/>
              <w:textAlignment w:val="center"/>
              <w:rPr>
                <w:szCs w:val="21"/>
              </w:rPr>
            </w:pPr>
          </w:p>
        </w:tc>
        <w:tc>
          <w:tcPr>
            <w:tcW w:w="748" w:type="dxa"/>
            <w:vMerge w:val="continue"/>
            <w:noWrap w:val="0"/>
            <w:vAlign w:val="center"/>
          </w:tcPr>
          <w:p w14:paraId="0709B7C6">
            <w:pPr>
              <w:widowControl/>
              <w:jc w:val="center"/>
              <w:textAlignment w:val="center"/>
              <w:rPr>
                <w:szCs w:val="21"/>
              </w:rPr>
            </w:pPr>
          </w:p>
        </w:tc>
        <w:tc>
          <w:tcPr>
            <w:tcW w:w="931" w:type="dxa"/>
            <w:vMerge w:val="continue"/>
            <w:noWrap w:val="0"/>
            <w:vAlign w:val="center"/>
          </w:tcPr>
          <w:p w14:paraId="3AD86967">
            <w:pPr>
              <w:widowControl/>
              <w:jc w:val="center"/>
              <w:textAlignment w:val="center"/>
              <w:rPr>
                <w:szCs w:val="21"/>
              </w:rPr>
            </w:pPr>
          </w:p>
        </w:tc>
        <w:tc>
          <w:tcPr>
            <w:tcW w:w="1855" w:type="dxa"/>
            <w:gridSpan w:val="2"/>
            <w:noWrap w:val="0"/>
            <w:vAlign w:val="center"/>
          </w:tcPr>
          <w:p w14:paraId="4F09B7ED">
            <w:pPr>
              <w:widowControl/>
              <w:jc w:val="center"/>
              <w:textAlignment w:val="center"/>
              <w:rPr>
                <w:kern w:val="0"/>
                <w:szCs w:val="21"/>
                <w:lang w:bidi="ar"/>
              </w:rPr>
            </w:pPr>
            <w:r>
              <w:rPr>
                <w:kern w:val="0"/>
                <w:szCs w:val="21"/>
                <w:lang w:bidi="ar"/>
              </w:rPr>
              <w:t>二甲二硫</w:t>
            </w:r>
          </w:p>
        </w:tc>
        <w:tc>
          <w:tcPr>
            <w:tcW w:w="1225" w:type="dxa"/>
            <w:noWrap w:val="0"/>
            <w:vAlign w:val="center"/>
          </w:tcPr>
          <w:p w14:paraId="06E3197E">
            <w:pPr>
              <w:widowControl/>
              <w:jc w:val="center"/>
              <w:textAlignment w:val="center"/>
              <w:rPr>
                <w:kern w:val="0"/>
                <w:szCs w:val="21"/>
                <w:lang w:bidi="ar"/>
              </w:rPr>
            </w:pPr>
            <w:r>
              <w:rPr>
                <w:kern w:val="0"/>
                <w:szCs w:val="21"/>
                <w:lang w:bidi="ar"/>
              </w:rPr>
              <w:t>0.252</w:t>
            </w:r>
            <w:r>
              <w:rPr>
                <w:szCs w:val="21"/>
              </w:rPr>
              <w:t>mg/m</w:t>
            </w:r>
            <w:r>
              <w:rPr>
                <w:szCs w:val="21"/>
                <w:vertAlign w:val="superscript"/>
              </w:rPr>
              <w:t>3</w:t>
            </w:r>
          </w:p>
        </w:tc>
        <w:tc>
          <w:tcPr>
            <w:tcW w:w="1441" w:type="dxa"/>
            <w:noWrap w:val="0"/>
            <w:vAlign w:val="center"/>
          </w:tcPr>
          <w:p w14:paraId="3B2DD6AF">
            <w:pPr>
              <w:widowControl/>
              <w:jc w:val="center"/>
              <w:textAlignment w:val="center"/>
              <w:rPr>
                <w:kern w:val="44"/>
                <w:szCs w:val="21"/>
              </w:rPr>
            </w:pPr>
            <w:r>
              <w:rPr>
                <w:kern w:val="44"/>
                <w:szCs w:val="21"/>
              </w:rPr>
              <w:t>0.0088t/a</w:t>
            </w:r>
          </w:p>
        </w:tc>
        <w:tc>
          <w:tcPr>
            <w:tcW w:w="4472" w:type="dxa"/>
            <w:vMerge w:val="continue"/>
            <w:noWrap w:val="0"/>
            <w:vAlign w:val="center"/>
          </w:tcPr>
          <w:p w14:paraId="23E10DE7">
            <w:pPr>
              <w:widowControl/>
              <w:jc w:val="center"/>
              <w:textAlignment w:val="center"/>
              <w:rPr>
                <w:kern w:val="0"/>
                <w:szCs w:val="21"/>
                <w:lang w:bidi="ar"/>
              </w:rPr>
            </w:pPr>
          </w:p>
        </w:tc>
        <w:tc>
          <w:tcPr>
            <w:tcW w:w="1598" w:type="dxa"/>
            <w:gridSpan w:val="2"/>
            <w:noWrap w:val="0"/>
            <w:vAlign w:val="center"/>
          </w:tcPr>
          <w:p w14:paraId="46132F80">
            <w:pPr>
              <w:widowControl/>
              <w:jc w:val="center"/>
              <w:textAlignment w:val="center"/>
              <w:rPr>
                <w:kern w:val="0"/>
                <w:szCs w:val="21"/>
                <w:lang w:bidi="ar"/>
              </w:rPr>
            </w:pPr>
            <w:r>
              <w:rPr>
                <w:kern w:val="0"/>
                <w:szCs w:val="21"/>
                <w:lang w:bidi="ar"/>
              </w:rPr>
              <w:t>0.063</w:t>
            </w:r>
            <w:r>
              <w:rPr>
                <w:szCs w:val="21"/>
              </w:rPr>
              <w:t>mg/m</w:t>
            </w:r>
            <w:r>
              <w:rPr>
                <w:szCs w:val="21"/>
                <w:vertAlign w:val="superscript"/>
              </w:rPr>
              <w:t>3</w:t>
            </w:r>
          </w:p>
        </w:tc>
        <w:tc>
          <w:tcPr>
            <w:tcW w:w="1600" w:type="dxa"/>
            <w:noWrap w:val="0"/>
            <w:vAlign w:val="center"/>
          </w:tcPr>
          <w:p w14:paraId="709B23EA">
            <w:pPr>
              <w:widowControl/>
              <w:jc w:val="center"/>
              <w:textAlignment w:val="center"/>
              <w:rPr>
                <w:kern w:val="44"/>
                <w:szCs w:val="21"/>
              </w:rPr>
            </w:pPr>
            <w:r>
              <w:rPr>
                <w:kern w:val="44"/>
                <w:szCs w:val="21"/>
              </w:rPr>
              <w:t>0.0022t/a</w:t>
            </w:r>
          </w:p>
        </w:tc>
      </w:tr>
      <w:tr w14:paraId="58C1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1" w:hRule="atLeast"/>
          <w:jc w:val="center"/>
        </w:trPr>
        <w:tc>
          <w:tcPr>
            <w:tcW w:w="622" w:type="dxa"/>
            <w:vMerge w:val="continue"/>
            <w:noWrap w:val="0"/>
            <w:vAlign w:val="center"/>
          </w:tcPr>
          <w:p w14:paraId="709B9B86">
            <w:pPr>
              <w:widowControl/>
              <w:jc w:val="center"/>
              <w:textAlignment w:val="center"/>
              <w:rPr>
                <w:kern w:val="0"/>
                <w:szCs w:val="21"/>
                <w:lang w:bidi="ar"/>
              </w:rPr>
            </w:pPr>
          </w:p>
        </w:tc>
        <w:tc>
          <w:tcPr>
            <w:tcW w:w="748" w:type="dxa"/>
            <w:vMerge w:val="continue"/>
            <w:noWrap w:val="0"/>
            <w:vAlign w:val="center"/>
          </w:tcPr>
          <w:p w14:paraId="157D7E99">
            <w:pPr>
              <w:widowControl/>
              <w:jc w:val="center"/>
              <w:textAlignment w:val="center"/>
              <w:rPr>
                <w:kern w:val="0"/>
                <w:szCs w:val="21"/>
                <w:lang w:bidi="ar"/>
              </w:rPr>
            </w:pPr>
          </w:p>
        </w:tc>
        <w:tc>
          <w:tcPr>
            <w:tcW w:w="931" w:type="dxa"/>
            <w:vMerge w:val="continue"/>
            <w:noWrap w:val="0"/>
            <w:vAlign w:val="center"/>
          </w:tcPr>
          <w:p w14:paraId="24729A01">
            <w:pPr>
              <w:widowControl/>
              <w:jc w:val="center"/>
              <w:textAlignment w:val="center"/>
              <w:rPr>
                <w:kern w:val="0"/>
                <w:szCs w:val="21"/>
                <w:lang w:bidi="ar"/>
              </w:rPr>
            </w:pPr>
          </w:p>
        </w:tc>
        <w:tc>
          <w:tcPr>
            <w:tcW w:w="1855" w:type="dxa"/>
            <w:gridSpan w:val="2"/>
            <w:noWrap w:val="0"/>
            <w:vAlign w:val="center"/>
          </w:tcPr>
          <w:p w14:paraId="3A5A95E7">
            <w:pPr>
              <w:widowControl/>
              <w:jc w:val="center"/>
              <w:textAlignment w:val="center"/>
              <w:rPr>
                <w:kern w:val="0"/>
                <w:szCs w:val="21"/>
                <w:lang w:bidi="ar"/>
              </w:rPr>
            </w:pPr>
            <w:r>
              <w:rPr>
                <w:kern w:val="0"/>
                <w:szCs w:val="21"/>
                <w:lang w:bidi="ar"/>
              </w:rPr>
              <w:t>臭气浓度（无量纲）</w:t>
            </w:r>
          </w:p>
        </w:tc>
        <w:tc>
          <w:tcPr>
            <w:tcW w:w="1225" w:type="dxa"/>
            <w:noWrap w:val="0"/>
            <w:vAlign w:val="center"/>
          </w:tcPr>
          <w:p w14:paraId="4470609B">
            <w:pPr>
              <w:widowControl/>
              <w:jc w:val="center"/>
              <w:textAlignment w:val="center"/>
              <w:rPr>
                <w:kern w:val="0"/>
                <w:szCs w:val="21"/>
                <w:lang w:bidi="ar"/>
              </w:rPr>
            </w:pPr>
            <w:r>
              <w:rPr>
                <w:kern w:val="0"/>
                <w:szCs w:val="21"/>
                <w:lang w:bidi="ar"/>
              </w:rPr>
              <w:t>2920</w:t>
            </w:r>
          </w:p>
        </w:tc>
        <w:tc>
          <w:tcPr>
            <w:tcW w:w="1441" w:type="dxa"/>
            <w:noWrap w:val="0"/>
            <w:vAlign w:val="center"/>
          </w:tcPr>
          <w:p w14:paraId="5F522F8C">
            <w:pPr>
              <w:widowControl/>
              <w:jc w:val="center"/>
              <w:textAlignment w:val="center"/>
              <w:rPr>
                <w:kern w:val="0"/>
                <w:szCs w:val="21"/>
                <w:lang w:bidi="ar"/>
              </w:rPr>
            </w:pPr>
            <w:r>
              <w:rPr>
                <w:kern w:val="0"/>
                <w:szCs w:val="21"/>
                <w:lang w:bidi="ar"/>
              </w:rPr>
              <w:t>/</w:t>
            </w:r>
          </w:p>
        </w:tc>
        <w:tc>
          <w:tcPr>
            <w:tcW w:w="4472" w:type="dxa"/>
            <w:vMerge w:val="continue"/>
            <w:noWrap w:val="0"/>
            <w:vAlign w:val="center"/>
          </w:tcPr>
          <w:p w14:paraId="5E0E36AD">
            <w:pPr>
              <w:widowControl/>
              <w:jc w:val="center"/>
              <w:textAlignment w:val="center"/>
              <w:rPr>
                <w:kern w:val="0"/>
                <w:szCs w:val="21"/>
                <w:lang w:bidi="ar"/>
              </w:rPr>
            </w:pPr>
          </w:p>
        </w:tc>
        <w:tc>
          <w:tcPr>
            <w:tcW w:w="1598" w:type="dxa"/>
            <w:gridSpan w:val="2"/>
            <w:noWrap w:val="0"/>
            <w:vAlign w:val="center"/>
          </w:tcPr>
          <w:p w14:paraId="3531B94A">
            <w:pPr>
              <w:widowControl/>
              <w:jc w:val="center"/>
              <w:textAlignment w:val="center"/>
              <w:rPr>
                <w:kern w:val="0"/>
                <w:szCs w:val="21"/>
                <w:lang w:bidi="ar"/>
              </w:rPr>
            </w:pPr>
            <w:r>
              <w:rPr>
                <w:kern w:val="0"/>
                <w:szCs w:val="21"/>
                <w:lang w:bidi="ar"/>
              </w:rPr>
              <w:t>730</w:t>
            </w:r>
          </w:p>
        </w:tc>
        <w:tc>
          <w:tcPr>
            <w:tcW w:w="1600" w:type="dxa"/>
            <w:noWrap w:val="0"/>
            <w:vAlign w:val="center"/>
          </w:tcPr>
          <w:p w14:paraId="47D28291">
            <w:pPr>
              <w:widowControl/>
              <w:jc w:val="center"/>
              <w:textAlignment w:val="center"/>
              <w:rPr>
                <w:kern w:val="0"/>
                <w:szCs w:val="21"/>
                <w:lang w:bidi="ar"/>
              </w:rPr>
            </w:pPr>
          </w:p>
        </w:tc>
      </w:tr>
      <w:tr w14:paraId="165C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46443F0C">
            <w:pPr>
              <w:pStyle w:val="85"/>
              <w:spacing w:after="0"/>
              <w:ind w:left="-105" w:leftChars="-50" w:right="-105" w:rightChars="-50" w:firstLine="0" w:firstLineChars="0"/>
              <w:jc w:val="center"/>
              <w:rPr>
                <w:szCs w:val="21"/>
              </w:rPr>
            </w:pPr>
          </w:p>
        </w:tc>
        <w:tc>
          <w:tcPr>
            <w:tcW w:w="1679" w:type="dxa"/>
            <w:gridSpan w:val="2"/>
            <w:noWrap w:val="0"/>
            <w:vAlign w:val="center"/>
          </w:tcPr>
          <w:p w14:paraId="6AADBBB7">
            <w:pPr>
              <w:pStyle w:val="85"/>
              <w:spacing w:after="0"/>
              <w:ind w:left="-105" w:leftChars="-50" w:right="-105" w:rightChars="-50" w:firstLine="0" w:firstLineChars="0"/>
              <w:jc w:val="center"/>
              <w:rPr>
                <w:szCs w:val="21"/>
              </w:rPr>
            </w:pPr>
            <w:r>
              <w:rPr>
                <w:szCs w:val="21"/>
              </w:rPr>
              <w:t>厨房</w:t>
            </w:r>
          </w:p>
        </w:tc>
        <w:tc>
          <w:tcPr>
            <w:tcW w:w="1855" w:type="dxa"/>
            <w:gridSpan w:val="2"/>
            <w:noWrap w:val="0"/>
            <w:vAlign w:val="center"/>
          </w:tcPr>
          <w:p w14:paraId="09B36AD9">
            <w:pPr>
              <w:pStyle w:val="85"/>
              <w:spacing w:after="0"/>
              <w:ind w:left="-105" w:leftChars="-50" w:right="-105" w:rightChars="-50" w:firstLine="0" w:firstLineChars="0"/>
              <w:jc w:val="center"/>
              <w:rPr>
                <w:szCs w:val="21"/>
              </w:rPr>
            </w:pPr>
            <w:r>
              <w:rPr>
                <w:szCs w:val="21"/>
              </w:rPr>
              <w:t>油烟</w:t>
            </w:r>
          </w:p>
        </w:tc>
        <w:tc>
          <w:tcPr>
            <w:tcW w:w="1225" w:type="dxa"/>
            <w:noWrap w:val="0"/>
            <w:vAlign w:val="center"/>
          </w:tcPr>
          <w:p w14:paraId="7BBDE4CC">
            <w:pPr>
              <w:ind w:left="-105" w:leftChars="-50" w:right="-105" w:rightChars="-50"/>
              <w:jc w:val="center"/>
              <w:rPr>
                <w:szCs w:val="21"/>
              </w:rPr>
            </w:pPr>
            <w:r>
              <w:rPr>
                <w:szCs w:val="21"/>
              </w:rPr>
              <w:t>/</w:t>
            </w:r>
          </w:p>
        </w:tc>
        <w:tc>
          <w:tcPr>
            <w:tcW w:w="1441" w:type="dxa"/>
            <w:noWrap w:val="0"/>
            <w:vAlign w:val="center"/>
          </w:tcPr>
          <w:p w14:paraId="5F56E403">
            <w:pPr>
              <w:ind w:left="-105" w:leftChars="-50" w:right="-105" w:rightChars="-50"/>
              <w:jc w:val="center"/>
              <w:rPr>
                <w:szCs w:val="21"/>
              </w:rPr>
            </w:pPr>
            <w:r>
              <w:rPr>
                <w:szCs w:val="21"/>
              </w:rPr>
              <w:t>0.0084t/a</w:t>
            </w:r>
          </w:p>
        </w:tc>
        <w:tc>
          <w:tcPr>
            <w:tcW w:w="4472" w:type="dxa"/>
            <w:noWrap w:val="0"/>
            <w:vAlign w:val="center"/>
          </w:tcPr>
          <w:p w14:paraId="3D468A83">
            <w:pPr>
              <w:ind w:left="-105" w:leftChars="-50" w:right="-105" w:rightChars="-50"/>
              <w:jc w:val="center"/>
              <w:rPr>
                <w:szCs w:val="21"/>
              </w:rPr>
            </w:pPr>
            <w:r>
              <w:rPr>
                <w:szCs w:val="21"/>
              </w:rPr>
              <w:t>油烟净化设施净化</w:t>
            </w:r>
          </w:p>
        </w:tc>
        <w:tc>
          <w:tcPr>
            <w:tcW w:w="1598" w:type="dxa"/>
            <w:gridSpan w:val="2"/>
            <w:noWrap w:val="0"/>
            <w:vAlign w:val="center"/>
          </w:tcPr>
          <w:p w14:paraId="34BE8555">
            <w:pPr>
              <w:ind w:left="-105" w:leftChars="-50" w:right="-105" w:rightChars="-50"/>
              <w:jc w:val="center"/>
              <w:rPr>
                <w:szCs w:val="21"/>
                <w:lang w:bidi="ar"/>
              </w:rPr>
            </w:pPr>
            <w:r>
              <w:rPr>
                <w:szCs w:val="21"/>
              </w:rPr>
              <w:t>1.53mg/m</w:t>
            </w:r>
            <w:r>
              <w:rPr>
                <w:szCs w:val="21"/>
                <w:vertAlign w:val="superscript"/>
              </w:rPr>
              <w:t>3</w:t>
            </w:r>
          </w:p>
        </w:tc>
        <w:tc>
          <w:tcPr>
            <w:tcW w:w="1600" w:type="dxa"/>
            <w:noWrap w:val="0"/>
            <w:vAlign w:val="center"/>
          </w:tcPr>
          <w:p w14:paraId="2C49945B">
            <w:pPr>
              <w:ind w:left="-105" w:leftChars="-50" w:right="-105" w:rightChars="-50"/>
              <w:jc w:val="center"/>
              <w:rPr>
                <w:szCs w:val="21"/>
                <w:lang w:bidi="ar"/>
              </w:rPr>
            </w:pPr>
            <w:r>
              <w:rPr>
                <w:szCs w:val="21"/>
              </w:rPr>
              <w:t>0.0036t/a</w:t>
            </w:r>
          </w:p>
        </w:tc>
      </w:tr>
      <w:tr w14:paraId="3903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restart"/>
            <w:noWrap w:val="0"/>
            <w:vAlign w:val="center"/>
          </w:tcPr>
          <w:p w14:paraId="24382B6F">
            <w:pPr>
              <w:pStyle w:val="85"/>
              <w:spacing w:after="0"/>
              <w:ind w:left="-105" w:leftChars="-50" w:right="-105" w:rightChars="-50" w:firstLine="0" w:firstLineChars="0"/>
              <w:jc w:val="center"/>
              <w:rPr>
                <w:szCs w:val="21"/>
              </w:rPr>
            </w:pPr>
            <w:r>
              <w:rPr>
                <w:szCs w:val="21"/>
              </w:rPr>
              <w:t>废水</w:t>
            </w:r>
          </w:p>
        </w:tc>
        <w:tc>
          <w:tcPr>
            <w:tcW w:w="1679" w:type="dxa"/>
            <w:gridSpan w:val="2"/>
            <w:vMerge w:val="restart"/>
            <w:noWrap w:val="0"/>
            <w:vAlign w:val="center"/>
          </w:tcPr>
          <w:p w14:paraId="2D369FF9">
            <w:pPr>
              <w:pStyle w:val="85"/>
              <w:spacing w:after="0"/>
              <w:ind w:left="-105" w:leftChars="-50" w:right="-105" w:rightChars="-50" w:firstLine="0" w:firstLineChars="0"/>
              <w:jc w:val="center"/>
              <w:rPr>
                <w:szCs w:val="21"/>
              </w:rPr>
            </w:pPr>
            <w:r>
              <w:rPr>
                <w:kern w:val="0"/>
                <w:szCs w:val="21"/>
                <w:lang w:bidi="ar"/>
              </w:rPr>
              <w:t>1号地（盛丰通风井位置）</w:t>
            </w:r>
            <w:r>
              <w:rPr>
                <w:szCs w:val="21"/>
              </w:rPr>
              <w:t>废水</w:t>
            </w:r>
          </w:p>
        </w:tc>
        <w:tc>
          <w:tcPr>
            <w:tcW w:w="868" w:type="dxa"/>
            <w:vMerge w:val="restart"/>
            <w:noWrap w:val="0"/>
            <w:vAlign w:val="center"/>
          </w:tcPr>
          <w:p w14:paraId="7B5ED9CD">
            <w:pPr>
              <w:pStyle w:val="85"/>
              <w:spacing w:after="0"/>
              <w:ind w:left="-105" w:leftChars="-50" w:right="-105" w:rightChars="-50" w:firstLine="0" w:firstLineChars="0"/>
              <w:jc w:val="center"/>
              <w:rPr>
                <w:szCs w:val="21"/>
              </w:rPr>
            </w:pPr>
            <w:r>
              <w:rPr>
                <w:szCs w:val="21"/>
              </w:rPr>
              <w:t>混合污水</w:t>
            </w:r>
          </w:p>
        </w:tc>
        <w:tc>
          <w:tcPr>
            <w:tcW w:w="987" w:type="dxa"/>
            <w:noWrap w:val="0"/>
            <w:vAlign w:val="center"/>
          </w:tcPr>
          <w:p w14:paraId="4ED0779C">
            <w:pPr>
              <w:widowControl/>
              <w:jc w:val="center"/>
              <w:textAlignment w:val="center"/>
              <w:rPr>
                <w:szCs w:val="21"/>
              </w:rPr>
            </w:pPr>
            <w:r>
              <w:rPr>
                <w:kern w:val="0"/>
                <w:szCs w:val="21"/>
                <w:lang w:bidi="ar"/>
              </w:rPr>
              <w:t>废水量</w:t>
            </w:r>
          </w:p>
        </w:tc>
        <w:tc>
          <w:tcPr>
            <w:tcW w:w="1225" w:type="dxa"/>
            <w:noWrap w:val="0"/>
            <w:vAlign w:val="center"/>
          </w:tcPr>
          <w:p w14:paraId="6E5D4448">
            <w:pPr>
              <w:jc w:val="center"/>
              <w:rPr>
                <w:szCs w:val="21"/>
              </w:rPr>
            </w:pPr>
            <w:r>
              <w:rPr>
                <w:rFonts w:hint="eastAsia"/>
                <w:szCs w:val="21"/>
              </w:rPr>
              <w:t>/</w:t>
            </w:r>
          </w:p>
        </w:tc>
        <w:tc>
          <w:tcPr>
            <w:tcW w:w="1441" w:type="dxa"/>
            <w:noWrap w:val="0"/>
            <w:vAlign w:val="center"/>
          </w:tcPr>
          <w:p w14:paraId="49B1E6C3">
            <w:pPr>
              <w:widowControl/>
              <w:jc w:val="center"/>
              <w:textAlignment w:val="center"/>
              <w:rPr>
                <w:szCs w:val="21"/>
              </w:rPr>
            </w:pPr>
            <w:r>
              <w:rPr>
                <w:kern w:val="0"/>
                <w:szCs w:val="21"/>
                <w:lang w:bidi="ar"/>
              </w:rPr>
              <w:t>1215.6</w:t>
            </w:r>
          </w:p>
        </w:tc>
        <w:tc>
          <w:tcPr>
            <w:tcW w:w="4472" w:type="dxa"/>
            <w:vMerge w:val="restart"/>
            <w:noWrap w:val="0"/>
            <w:vAlign w:val="center"/>
          </w:tcPr>
          <w:p w14:paraId="5ED88474">
            <w:pPr>
              <w:ind w:left="-105" w:leftChars="-50" w:right="-105" w:rightChars="-50"/>
              <w:jc w:val="center"/>
              <w:rPr>
                <w:szCs w:val="21"/>
              </w:rPr>
            </w:pPr>
            <w:r>
              <w:rPr>
                <w:szCs w:val="21"/>
              </w:rPr>
              <w:t>集中收集+固液分离+平流气浮+调节池+沼气池（UASB反应器）+沼液储存池储存后罐车云至苹果园回用</w:t>
            </w:r>
          </w:p>
        </w:tc>
        <w:tc>
          <w:tcPr>
            <w:tcW w:w="1562" w:type="dxa"/>
            <w:noWrap w:val="0"/>
            <w:vAlign w:val="center"/>
          </w:tcPr>
          <w:p w14:paraId="68A8B4AF">
            <w:pPr>
              <w:jc w:val="center"/>
              <w:rPr>
                <w:szCs w:val="21"/>
              </w:rPr>
            </w:pPr>
            <w:r>
              <w:rPr>
                <w:szCs w:val="21"/>
              </w:rPr>
              <w:t>/</w:t>
            </w:r>
          </w:p>
        </w:tc>
        <w:tc>
          <w:tcPr>
            <w:tcW w:w="1636" w:type="dxa"/>
            <w:gridSpan w:val="2"/>
            <w:noWrap w:val="0"/>
            <w:vAlign w:val="center"/>
          </w:tcPr>
          <w:p w14:paraId="5C8E8CB9">
            <w:pPr>
              <w:widowControl/>
              <w:jc w:val="center"/>
              <w:textAlignment w:val="center"/>
              <w:rPr>
                <w:szCs w:val="21"/>
              </w:rPr>
            </w:pPr>
            <w:r>
              <w:rPr>
                <w:kern w:val="0"/>
                <w:szCs w:val="21"/>
                <w:lang w:bidi="ar"/>
              </w:rPr>
              <w:t>1215.6</w:t>
            </w:r>
          </w:p>
        </w:tc>
      </w:tr>
      <w:tr w14:paraId="69FD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62" w:hRule="atLeast"/>
          <w:jc w:val="center"/>
        </w:trPr>
        <w:tc>
          <w:tcPr>
            <w:tcW w:w="622" w:type="dxa"/>
            <w:vMerge w:val="continue"/>
            <w:noWrap w:val="0"/>
            <w:vAlign w:val="center"/>
          </w:tcPr>
          <w:p w14:paraId="4D0AEADE">
            <w:pPr>
              <w:pStyle w:val="85"/>
              <w:spacing w:after="0"/>
              <w:ind w:left="-105" w:leftChars="-50" w:right="-105" w:rightChars="-50" w:firstLine="0" w:firstLineChars="0"/>
              <w:jc w:val="center"/>
              <w:rPr>
                <w:szCs w:val="21"/>
              </w:rPr>
            </w:pPr>
          </w:p>
        </w:tc>
        <w:tc>
          <w:tcPr>
            <w:tcW w:w="1679" w:type="dxa"/>
            <w:gridSpan w:val="2"/>
            <w:vMerge w:val="continue"/>
            <w:noWrap w:val="0"/>
            <w:vAlign w:val="center"/>
          </w:tcPr>
          <w:p w14:paraId="22BD1274">
            <w:pPr>
              <w:pStyle w:val="85"/>
              <w:spacing w:after="0"/>
              <w:ind w:left="-105" w:leftChars="-50" w:right="-105" w:rightChars="-50" w:firstLine="0" w:firstLineChars="0"/>
              <w:jc w:val="center"/>
              <w:rPr>
                <w:szCs w:val="21"/>
              </w:rPr>
            </w:pPr>
          </w:p>
        </w:tc>
        <w:tc>
          <w:tcPr>
            <w:tcW w:w="868" w:type="dxa"/>
            <w:vMerge w:val="continue"/>
            <w:noWrap w:val="0"/>
            <w:vAlign w:val="center"/>
          </w:tcPr>
          <w:p w14:paraId="660C408B">
            <w:pPr>
              <w:pStyle w:val="446"/>
              <w:ind w:left="-105" w:leftChars="-50" w:right="-105" w:rightChars="-50"/>
              <w:rPr>
                <w:rFonts w:ascii="Times New Roman" w:hAnsi="Times New Roman"/>
                <w:szCs w:val="21"/>
              </w:rPr>
            </w:pPr>
          </w:p>
        </w:tc>
        <w:tc>
          <w:tcPr>
            <w:tcW w:w="987" w:type="dxa"/>
            <w:noWrap w:val="0"/>
            <w:vAlign w:val="center"/>
          </w:tcPr>
          <w:p w14:paraId="6EC4740D">
            <w:pPr>
              <w:widowControl/>
              <w:jc w:val="center"/>
              <w:textAlignment w:val="center"/>
              <w:rPr>
                <w:szCs w:val="21"/>
              </w:rPr>
            </w:pPr>
            <w:r>
              <w:rPr>
                <w:kern w:val="0"/>
                <w:szCs w:val="21"/>
                <w:lang w:bidi="ar"/>
              </w:rPr>
              <w:t>CODcr</w:t>
            </w:r>
          </w:p>
        </w:tc>
        <w:tc>
          <w:tcPr>
            <w:tcW w:w="1225" w:type="dxa"/>
            <w:noWrap w:val="0"/>
            <w:vAlign w:val="center"/>
          </w:tcPr>
          <w:p w14:paraId="7F86F5F2">
            <w:pPr>
              <w:widowControl/>
              <w:jc w:val="center"/>
              <w:textAlignment w:val="center"/>
              <w:rPr>
                <w:kern w:val="0"/>
                <w:szCs w:val="21"/>
                <w:lang w:bidi="ar"/>
              </w:rPr>
            </w:pPr>
            <w:r>
              <w:rPr>
                <w:kern w:val="0"/>
                <w:szCs w:val="21"/>
                <w:lang w:bidi="ar"/>
              </w:rPr>
              <w:t>2640</w:t>
            </w:r>
          </w:p>
        </w:tc>
        <w:tc>
          <w:tcPr>
            <w:tcW w:w="1441" w:type="dxa"/>
            <w:noWrap w:val="0"/>
            <w:vAlign w:val="center"/>
          </w:tcPr>
          <w:p w14:paraId="017B94E7">
            <w:pPr>
              <w:widowControl/>
              <w:jc w:val="center"/>
              <w:textAlignment w:val="center"/>
              <w:rPr>
                <w:szCs w:val="21"/>
              </w:rPr>
            </w:pPr>
            <w:r>
              <w:rPr>
                <w:kern w:val="0"/>
                <w:szCs w:val="21"/>
                <w:lang w:bidi="ar"/>
              </w:rPr>
              <w:t xml:space="preserve">3.2092 </w:t>
            </w:r>
          </w:p>
        </w:tc>
        <w:tc>
          <w:tcPr>
            <w:tcW w:w="4472" w:type="dxa"/>
            <w:vMerge w:val="continue"/>
            <w:noWrap w:val="0"/>
            <w:vAlign w:val="center"/>
          </w:tcPr>
          <w:p w14:paraId="64DDBDDD">
            <w:pPr>
              <w:ind w:left="-105" w:leftChars="-50" w:right="-105" w:rightChars="-50"/>
              <w:jc w:val="center"/>
              <w:rPr>
                <w:szCs w:val="21"/>
              </w:rPr>
            </w:pPr>
          </w:p>
        </w:tc>
        <w:tc>
          <w:tcPr>
            <w:tcW w:w="1562" w:type="dxa"/>
            <w:noWrap w:val="0"/>
            <w:vAlign w:val="center"/>
          </w:tcPr>
          <w:p w14:paraId="0B503C23">
            <w:pPr>
              <w:widowControl/>
              <w:jc w:val="center"/>
              <w:textAlignment w:val="center"/>
              <w:rPr>
                <w:kern w:val="0"/>
                <w:szCs w:val="21"/>
                <w:lang w:bidi="ar"/>
              </w:rPr>
            </w:pPr>
            <w:r>
              <w:rPr>
                <w:kern w:val="0"/>
                <w:szCs w:val="21"/>
                <w:lang w:bidi="ar"/>
              </w:rPr>
              <w:t>161.7</w:t>
            </w:r>
          </w:p>
        </w:tc>
        <w:tc>
          <w:tcPr>
            <w:tcW w:w="1636" w:type="dxa"/>
            <w:gridSpan w:val="2"/>
            <w:noWrap w:val="0"/>
            <w:vAlign w:val="center"/>
          </w:tcPr>
          <w:p w14:paraId="0DAAC0EA">
            <w:pPr>
              <w:widowControl/>
              <w:jc w:val="center"/>
              <w:textAlignment w:val="center"/>
              <w:rPr>
                <w:szCs w:val="21"/>
              </w:rPr>
            </w:pPr>
            <w:r>
              <w:rPr>
                <w:kern w:val="0"/>
                <w:szCs w:val="21"/>
                <w:lang w:bidi="ar"/>
              </w:rPr>
              <w:t xml:space="preserve">0.1777 </w:t>
            </w:r>
          </w:p>
        </w:tc>
      </w:tr>
      <w:tr w14:paraId="763B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34BECEBF">
            <w:pPr>
              <w:pStyle w:val="85"/>
              <w:spacing w:after="0"/>
              <w:ind w:left="-105" w:leftChars="-50" w:right="-105" w:rightChars="-50" w:firstLine="0" w:firstLineChars="0"/>
              <w:jc w:val="center"/>
              <w:rPr>
                <w:szCs w:val="21"/>
              </w:rPr>
            </w:pPr>
          </w:p>
        </w:tc>
        <w:tc>
          <w:tcPr>
            <w:tcW w:w="1679" w:type="dxa"/>
            <w:gridSpan w:val="2"/>
            <w:vMerge w:val="continue"/>
            <w:noWrap w:val="0"/>
            <w:vAlign w:val="center"/>
          </w:tcPr>
          <w:p w14:paraId="2008DC91">
            <w:pPr>
              <w:pStyle w:val="85"/>
              <w:spacing w:after="0"/>
              <w:ind w:left="-105" w:leftChars="-50" w:right="-105" w:rightChars="-50" w:firstLine="0" w:firstLineChars="0"/>
              <w:jc w:val="center"/>
              <w:rPr>
                <w:szCs w:val="21"/>
              </w:rPr>
            </w:pPr>
          </w:p>
        </w:tc>
        <w:tc>
          <w:tcPr>
            <w:tcW w:w="868" w:type="dxa"/>
            <w:vMerge w:val="continue"/>
            <w:noWrap w:val="0"/>
            <w:vAlign w:val="center"/>
          </w:tcPr>
          <w:p w14:paraId="2E157910">
            <w:pPr>
              <w:pStyle w:val="446"/>
              <w:ind w:left="-105" w:leftChars="-50" w:right="-105" w:rightChars="-50"/>
              <w:rPr>
                <w:rFonts w:ascii="Times New Roman" w:hAnsi="Times New Roman"/>
                <w:szCs w:val="21"/>
              </w:rPr>
            </w:pPr>
          </w:p>
        </w:tc>
        <w:tc>
          <w:tcPr>
            <w:tcW w:w="987" w:type="dxa"/>
            <w:noWrap w:val="0"/>
            <w:vAlign w:val="center"/>
          </w:tcPr>
          <w:p w14:paraId="7D319D8E">
            <w:pPr>
              <w:widowControl/>
              <w:jc w:val="center"/>
              <w:textAlignment w:val="center"/>
              <w:rPr>
                <w:szCs w:val="21"/>
              </w:rPr>
            </w:pPr>
            <w:r>
              <w:rPr>
                <w:kern w:val="0"/>
                <w:szCs w:val="21"/>
                <w:lang w:bidi="ar"/>
              </w:rPr>
              <w:t>BOD</w:t>
            </w:r>
            <w:r>
              <w:rPr>
                <w:kern w:val="0"/>
                <w:szCs w:val="21"/>
                <w:vertAlign w:val="subscript"/>
                <w:lang w:bidi="ar"/>
              </w:rPr>
              <w:t>5</w:t>
            </w:r>
          </w:p>
        </w:tc>
        <w:tc>
          <w:tcPr>
            <w:tcW w:w="1225" w:type="dxa"/>
            <w:noWrap w:val="0"/>
            <w:vAlign w:val="center"/>
          </w:tcPr>
          <w:p w14:paraId="119881DC">
            <w:pPr>
              <w:widowControl/>
              <w:jc w:val="center"/>
              <w:textAlignment w:val="center"/>
              <w:rPr>
                <w:kern w:val="0"/>
                <w:szCs w:val="21"/>
                <w:lang w:bidi="ar"/>
              </w:rPr>
            </w:pPr>
            <w:r>
              <w:rPr>
                <w:kern w:val="0"/>
                <w:szCs w:val="21"/>
                <w:lang w:bidi="ar"/>
              </w:rPr>
              <w:t>1500</w:t>
            </w:r>
          </w:p>
        </w:tc>
        <w:tc>
          <w:tcPr>
            <w:tcW w:w="1441" w:type="dxa"/>
            <w:noWrap w:val="0"/>
            <w:vAlign w:val="center"/>
          </w:tcPr>
          <w:p w14:paraId="491B1292">
            <w:pPr>
              <w:widowControl/>
              <w:jc w:val="center"/>
              <w:textAlignment w:val="center"/>
              <w:rPr>
                <w:szCs w:val="21"/>
              </w:rPr>
            </w:pPr>
            <w:r>
              <w:rPr>
                <w:kern w:val="0"/>
                <w:szCs w:val="21"/>
                <w:lang w:bidi="ar"/>
              </w:rPr>
              <w:t xml:space="preserve">1.8234 </w:t>
            </w:r>
          </w:p>
        </w:tc>
        <w:tc>
          <w:tcPr>
            <w:tcW w:w="4472" w:type="dxa"/>
            <w:vMerge w:val="continue"/>
            <w:noWrap w:val="0"/>
            <w:vAlign w:val="center"/>
          </w:tcPr>
          <w:p w14:paraId="0EE41E16">
            <w:pPr>
              <w:ind w:left="-105" w:leftChars="-50" w:right="-105" w:rightChars="-50"/>
              <w:jc w:val="center"/>
              <w:rPr>
                <w:szCs w:val="21"/>
              </w:rPr>
            </w:pPr>
          </w:p>
        </w:tc>
        <w:tc>
          <w:tcPr>
            <w:tcW w:w="1562" w:type="dxa"/>
            <w:noWrap w:val="0"/>
            <w:vAlign w:val="center"/>
          </w:tcPr>
          <w:p w14:paraId="50179FC1">
            <w:pPr>
              <w:widowControl/>
              <w:jc w:val="center"/>
              <w:textAlignment w:val="center"/>
              <w:rPr>
                <w:kern w:val="0"/>
                <w:szCs w:val="21"/>
                <w:lang w:bidi="ar"/>
              </w:rPr>
            </w:pPr>
            <w:r>
              <w:rPr>
                <w:kern w:val="0"/>
                <w:szCs w:val="21"/>
                <w:lang w:bidi="ar"/>
              </w:rPr>
              <w:t>84</w:t>
            </w:r>
          </w:p>
        </w:tc>
        <w:tc>
          <w:tcPr>
            <w:tcW w:w="1636" w:type="dxa"/>
            <w:gridSpan w:val="2"/>
            <w:noWrap w:val="0"/>
            <w:vAlign w:val="center"/>
          </w:tcPr>
          <w:p w14:paraId="020CC730">
            <w:pPr>
              <w:widowControl/>
              <w:jc w:val="center"/>
              <w:textAlignment w:val="center"/>
              <w:rPr>
                <w:szCs w:val="21"/>
              </w:rPr>
            </w:pPr>
            <w:r>
              <w:rPr>
                <w:kern w:val="0"/>
                <w:szCs w:val="21"/>
                <w:lang w:bidi="ar"/>
              </w:rPr>
              <w:t xml:space="preserve">0.0923 </w:t>
            </w:r>
          </w:p>
        </w:tc>
      </w:tr>
      <w:tr w14:paraId="2B9E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jc w:val="center"/>
        </w:trPr>
        <w:tc>
          <w:tcPr>
            <w:tcW w:w="622" w:type="dxa"/>
            <w:vMerge w:val="continue"/>
            <w:noWrap w:val="0"/>
            <w:vAlign w:val="center"/>
          </w:tcPr>
          <w:p w14:paraId="45F24652">
            <w:pPr>
              <w:pStyle w:val="85"/>
              <w:spacing w:after="0"/>
              <w:ind w:left="-105" w:leftChars="-50" w:right="-105" w:rightChars="-50" w:firstLine="0" w:firstLineChars="0"/>
              <w:jc w:val="center"/>
              <w:rPr>
                <w:szCs w:val="21"/>
              </w:rPr>
            </w:pPr>
          </w:p>
        </w:tc>
        <w:tc>
          <w:tcPr>
            <w:tcW w:w="1679" w:type="dxa"/>
            <w:gridSpan w:val="2"/>
            <w:vMerge w:val="continue"/>
            <w:noWrap w:val="0"/>
            <w:vAlign w:val="center"/>
          </w:tcPr>
          <w:p w14:paraId="79C542F3">
            <w:pPr>
              <w:pStyle w:val="85"/>
              <w:spacing w:after="0"/>
              <w:ind w:left="-105" w:leftChars="-50" w:right="-105" w:rightChars="-50" w:firstLine="0" w:firstLineChars="0"/>
              <w:jc w:val="center"/>
              <w:rPr>
                <w:szCs w:val="21"/>
              </w:rPr>
            </w:pPr>
          </w:p>
        </w:tc>
        <w:tc>
          <w:tcPr>
            <w:tcW w:w="868" w:type="dxa"/>
            <w:vMerge w:val="continue"/>
            <w:noWrap w:val="0"/>
            <w:vAlign w:val="center"/>
          </w:tcPr>
          <w:p w14:paraId="41CBB95E">
            <w:pPr>
              <w:pStyle w:val="446"/>
              <w:ind w:left="-105" w:leftChars="-50" w:right="-105" w:rightChars="-50"/>
              <w:rPr>
                <w:rFonts w:ascii="Times New Roman" w:hAnsi="Times New Roman"/>
                <w:szCs w:val="21"/>
              </w:rPr>
            </w:pPr>
          </w:p>
        </w:tc>
        <w:tc>
          <w:tcPr>
            <w:tcW w:w="987" w:type="dxa"/>
            <w:noWrap w:val="0"/>
            <w:vAlign w:val="center"/>
          </w:tcPr>
          <w:p w14:paraId="4D4996A5">
            <w:pPr>
              <w:widowControl/>
              <w:jc w:val="center"/>
              <w:textAlignment w:val="center"/>
              <w:rPr>
                <w:szCs w:val="21"/>
              </w:rPr>
            </w:pPr>
            <w:r>
              <w:rPr>
                <w:kern w:val="0"/>
                <w:szCs w:val="21"/>
                <w:lang w:bidi="ar"/>
              </w:rPr>
              <w:t>SS</w:t>
            </w:r>
          </w:p>
        </w:tc>
        <w:tc>
          <w:tcPr>
            <w:tcW w:w="1225" w:type="dxa"/>
            <w:noWrap w:val="0"/>
            <w:vAlign w:val="center"/>
          </w:tcPr>
          <w:p w14:paraId="6568AB5B">
            <w:pPr>
              <w:widowControl/>
              <w:jc w:val="center"/>
              <w:textAlignment w:val="center"/>
              <w:rPr>
                <w:kern w:val="0"/>
                <w:szCs w:val="21"/>
                <w:lang w:bidi="ar"/>
              </w:rPr>
            </w:pPr>
            <w:r>
              <w:rPr>
                <w:kern w:val="0"/>
                <w:szCs w:val="21"/>
                <w:lang w:bidi="ar"/>
              </w:rPr>
              <w:t>3300</w:t>
            </w:r>
          </w:p>
        </w:tc>
        <w:tc>
          <w:tcPr>
            <w:tcW w:w="1441" w:type="dxa"/>
            <w:noWrap w:val="0"/>
            <w:vAlign w:val="center"/>
          </w:tcPr>
          <w:p w14:paraId="7BDCC244">
            <w:pPr>
              <w:widowControl/>
              <w:jc w:val="center"/>
              <w:textAlignment w:val="center"/>
              <w:rPr>
                <w:szCs w:val="21"/>
              </w:rPr>
            </w:pPr>
            <w:r>
              <w:rPr>
                <w:kern w:val="0"/>
                <w:szCs w:val="21"/>
                <w:lang w:bidi="ar"/>
              </w:rPr>
              <w:t xml:space="preserve">4.0115 </w:t>
            </w:r>
          </w:p>
        </w:tc>
        <w:tc>
          <w:tcPr>
            <w:tcW w:w="4472" w:type="dxa"/>
            <w:vMerge w:val="continue"/>
            <w:noWrap w:val="0"/>
            <w:vAlign w:val="center"/>
          </w:tcPr>
          <w:p w14:paraId="49100690">
            <w:pPr>
              <w:ind w:left="-105" w:leftChars="-50" w:right="-105" w:rightChars="-50"/>
              <w:jc w:val="center"/>
              <w:rPr>
                <w:szCs w:val="21"/>
              </w:rPr>
            </w:pPr>
          </w:p>
        </w:tc>
        <w:tc>
          <w:tcPr>
            <w:tcW w:w="1562" w:type="dxa"/>
            <w:noWrap w:val="0"/>
            <w:vAlign w:val="center"/>
          </w:tcPr>
          <w:p w14:paraId="5F4289E2">
            <w:pPr>
              <w:widowControl/>
              <w:jc w:val="center"/>
              <w:textAlignment w:val="center"/>
              <w:rPr>
                <w:kern w:val="0"/>
                <w:szCs w:val="21"/>
                <w:lang w:bidi="ar"/>
              </w:rPr>
            </w:pPr>
            <w:r>
              <w:rPr>
                <w:kern w:val="0"/>
                <w:szCs w:val="21"/>
                <w:lang w:bidi="ar"/>
              </w:rPr>
              <w:t>118.8</w:t>
            </w:r>
          </w:p>
        </w:tc>
        <w:tc>
          <w:tcPr>
            <w:tcW w:w="1636" w:type="dxa"/>
            <w:gridSpan w:val="2"/>
            <w:noWrap w:val="0"/>
            <w:vAlign w:val="center"/>
          </w:tcPr>
          <w:p w14:paraId="0DC0D913">
            <w:pPr>
              <w:widowControl/>
              <w:jc w:val="center"/>
              <w:textAlignment w:val="center"/>
              <w:rPr>
                <w:szCs w:val="21"/>
              </w:rPr>
            </w:pPr>
            <w:r>
              <w:rPr>
                <w:kern w:val="0"/>
                <w:szCs w:val="21"/>
                <w:lang w:bidi="ar"/>
              </w:rPr>
              <w:t xml:space="preserve">0.1305 </w:t>
            </w:r>
          </w:p>
        </w:tc>
      </w:tr>
      <w:tr w14:paraId="24E2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6" w:hRule="atLeast"/>
          <w:jc w:val="center"/>
        </w:trPr>
        <w:tc>
          <w:tcPr>
            <w:tcW w:w="622" w:type="dxa"/>
            <w:vMerge w:val="continue"/>
            <w:noWrap w:val="0"/>
            <w:vAlign w:val="center"/>
          </w:tcPr>
          <w:p w14:paraId="1289373A">
            <w:pPr>
              <w:pStyle w:val="85"/>
              <w:spacing w:after="0"/>
              <w:ind w:left="-105" w:leftChars="-50" w:right="-105" w:rightChars="-50" w:firstLine="0" w:firstLineChars="0"/>
              <w:jc w:val="center"/>
              <w:rPr>
                <w:szCs w:val="21"/>
              </w:rPr>
            </w:pPr>
          </w:p>
        </w:tc>
        <w:tc>
          <w:tcPr>
            <w:tcW w:w="1679" w:type="dxa"/>
            <w:gridSpan w:val="2"/>
            <w:vMerge w:val="continue"/>
            <w:noWrap w:val="0"/>
            <w:vAlign w:val="center"/>
          </w:tcPr>
          <w:p w14:paraId="37805636">
            <w:pPr>
              <w:pStyle w:val="85"/>
              <w:spacing w:after="0"/>
              <w:ind w:left="-105" w:leftChars="-50" w:right="-105" w:rightChars="-50" w:firstLine="0" w:firstLineChars="0"/>
              <w:jc w:val="center"/>
              <w:rPr>
                <w:szCs w:val="21"/>
              </w:rPr>
            </w:pPr>
          </w:p>
        </w:tc>
        <w:tc>
          <w:tcPr>
            <w:tcW w:w="868" w:type="dxa"/>
            <w:vMerge w:val="continue"/>
            <w:noWrap w:val="0"/>
            <w:vAlign w:val="center"/>
          </w:tcPr>
          <w:p w14:paraId="38E00D6A">
            <w:pPr>
              <w:pStyle w:val="446"/>
              <w:ind w:left="-105" w:leftChars="-50" w:right="-105" w:rightChars="-50"/>
              <w:rPr>
                <w:rFonts w:ascii="Times New Roman" w:hAnsi="Times New Roman"/>
                <w:szCs w:val="21"/>
              </w:rPr>
            </w:pPr>
          </w:p>
        </w:tc>
        <w:tc>
          <w:tcPr>
            <w:tcW w:w="987" w:type="dxa"/>
            <w:noWrap w:val="0"/>
            <w:vAlign w:val="center"/>
          </w:tcPr>
          <w:p w14:paraId="4470C09E">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225" w:type="dxa"/>
            <w:noWrap w:val="0"/>
            <w:vAlign w:val="center"/>
          </w:tcPr>
          <w:p w14:paraId="1893A6C6">
            <w:pPr>
              <w:widowControl/>
              <w:jc w:val="center"/>
              <w:textAlignment w:val="center"/>
              <w:rPr>
                <w:kern w:val="0"/>
                <w:szCs w:val="21"/>
                <w:lang w:bidi="ar"/>
              </w:rPr>
            </w:pPr>
            <w:r>
              <w:rPr>
                <w:kern w:val="0"/>
                <w:szCs w:val="21"/>
                <w:lang w:bidi="ar"/>
              </w:rPr>
              <w:t>261</w:t>
            </w:r>
          </w:p>
        </w:tc>
        <w:tc>
          <w:tcPr>
            <w:tcW w:w="1441" w:type="dxa"/>
            <w:noWrap w:val="0"/>
            <w:vAlign w:val="center"/>
          </w:tcPr>
          <w:p w14:paraId="027E8953">
            <w:pPr>
              <w:widowControl/>
              <w:jc w:val="center"/>
              <w:textAlignment w:val="center"/>
              <w:rPr>
                <w:szCs w:val="21"/>
              </w:rPr>
            </w:pPr>
            <w:r>
              <w:rPr>
                <w:kern w:val="0"/>
                <w:szCs w:val="21"/>
                <w:lang w:bidi="ar"/>
              </w:rPr>
              <w:t xml:space="preserve">0.3173 </w:t>
            </w:r>
          </w:p>
        </w:tc>
        <w:tc>
          <w:tcPr>
            <w:tcW w:w="4472" w:type="dxa"/>
            <w:vMerge w:val="continue"/>
            <w:noWrap w:val="0"/>
            <w:vAlign w:val="center"/>
          </w:tcPr>
          <w:p w14:paraId="5B52790D">
            <w:pPr>
              <w:ind w:left="-105" w:leftChars="-50" w:right="-105" w:rightChars="-50"/>
              <w:jc w:val="center"/>
              <w:rPr>
                <w:szCs w:val="21"/>
              </w:rPr>
            </w:pPr>
          </w:p>
        </w:tc>
        <w:tc>
          <w:tcPr>
            <w:tcW w:w="1562" w:type="dxa"/>
            <w:noWrap w:val="0"/>
            <w:vAlign w:val="center"/>
          </w:tcPr>
          <w:p w14:paraId="5E7BF7FD">
            <w:pPr>
              <w:widowControl/>
              <w:jc w:val="center"/>
              <w:textAlignment w:val="center"/>
              <w:rPr>
                <w:kern w:val="0"/>
                <w:szCs w:val="21"/>
                <w:lang w:bidi="ar"/>
              </w:rPr>
            </w:pPr>
            <w:r>
              <w:rPr>
                <w:kern w:val="0"/>
                <w:szCs w:val="21"/>
                <w:lang w:bidi="ar"/>
              </w:rPr>
              <w:t>169.13</w:t>
            </w:r>
          </w:p>
        </w:tc>
        <w:tc>
          <w:tcPr>
            <w:tcW w:w="1636" w:type="dxa"/>
            <w:gridSpan w:val="2"/>
            <w:noWrap w:val="0"/>
            <w:vAlign w:val="center"/>
          </w:tcPr>
          <w:p w14:paraId="315C23FC">
            <w:pPr>
              <w:widowControl/>
              <w:jc w:val="center"/>
              <w:textAlignment w:val="center"/>
              <w:rPr>
                <w:szCs w:val="21"/>
              </w:rPr>
            </w:pPr>
            <w:r>
              <w:rPr>
                <w:kern w:val="0"/>
                <w:szCs w:val="21"/>
                <w:lang w:bidi="ar"/>
              </w:rPr>
              <w:t xml:space="preserve">0.1858 </w:t>
            </w:r>
          </w:p>
        </w:tc>
      </w:tr>
      <w:tr w14:paraId="5BBF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6" w:hRule="atLeast"/>
          <w:jc w:val="center"/>
        </w:trPr>
        <w:tc>
          <w:tcPr>
            <w:tcW w:w="622" w:type="dxa"/>
            <w:vMerge w:val="continue"/>
            <w:noWrap w:val="0"/>
            <w:vAlign w:val="center"/>
          </w:tcPr>
          <w:p w14:paraId="39D11B17">
            <w:pPr>
              <w:pStyle w:val="85"/>
              <w:spacing w:after="0"/>
              <w:ind w:left="-105" w:leftChars="-50" w:right="-105" w:rightChars="-50" w:firstLine="0" w:firstLineChars="0"/>
              <w:jc w:val="center"/>
              <w:rPr>
                <w:szCs w:val="21"/>
              </w:rPr>
            </w:pPr>
          </w:p>
        </w:tc>
        <w:tc>
          <w:tcPr>
            <w:tcW w:w="1679" w:type="dxa"/>
            <w:gridSpan w:val="2"/>
            <w:vMerge w:val="continue"/>
            <w:noWrap w:val="0"/>
            <w:vAlign w:val="center"/>
          </w:tcPr>
          <w:p w14:paraId="21F1C7D3">
            <w:pPr>
              <w:pStyle w:val="85"/>
              <w:spacing w:after="0"/>
              <w:ind w:left="-105" w:leftChars="-50" w:right="-105" w:rightChars="-50" w:firstLine="0" w:firstLineChars="0"/>
              <w:jc w:val="center"/>
              <w:rPr>
                <w:szCs w:val="21"/>
              </w:rPr>
            </w:pPr>
          </w:p>
        </w:tc>
        <w:tc>
          <w:tcPr>
            <w:tcW w:w="868" w:type="dxa"/>
            <w:vMerge w:val="continue"/>
            <w:noWrap w:val="0"/>
            <w:vAlign w:val="center"/>
          </w:tcPr>
          <w:p w14:paraId="25A9C1A5">
            <w:pPr>
              <w:pStyle w:val="446"/>
              <w:ind w:left="-105" w:leftChars="-50" w:right="-105" w:rightChars="-50"/>
              <w:rPr>
                <w:rFonts w:ascii="Times New Roman" w:hAnsi="Times New Roman"/>
                <w:szCs w:val="21"/>
              </w:rPr>
            </w:pPr>
          </w:p>
        </w:tc>
        <w:tc>
          <w:tcPr>
            <w:tcW w:w="987" w:type="dxa"/>
            <w:noWrap w:val="0"/>
            <w:vAlign w:val="center"/>
          </w:tcPr>
          <w:p w14:paraId="11E18065">
            <w:pPr>
              <w:widowControl/>
              <w:jc w:val="center"/>
              <w:textAlignment w:val="center"/>
              <w:rPr>
                <w:szCs w:val="21"/>
              </w:rPr>
            </w:pPr>
            <w:r>
              <w:rPr>
                <w:kern w:val="0"/>
                <w:szCs w:val="21"/>
                <w:lang w:bidi="ar"/>
              </w:rPr>
              <w:t>TN</w:t>
            </w:r>
          </w:p>
        </w:tc>
        <w:tc>
          <w:tcPr>
            <w:tcW w:w="1225" w:type="dxa"/>
            <w:noWrap w:val="0"/>
            <w:vAlign w:val="center"/>
          </w:tcPr>
          <w:p w14:paraId="0D054513">
            <w:pPr>
              <w:widowControl/>
              <w:jc w:val="center"/>
              <w:textAlignment w:val="center"/>
              <w:rPr>
                <w:kern w:val="0"/>
                <w:szCs w:val="21"/>
                <w:lang w:bidi="ar"/>
              </w:rPr>
            </w:pPr>
            <w:r>
              <w:rPr>
                <w:kern w:val="0"/>
                <w:szCs w:val="21"/>
                <w:lang w:bidi="ar"/>
              </w:rPr>
              <w:t>370</w:t>
            </w:r>
          </w:p>
        </w:tc>
        <w:tc>
          <w:tcPr>
            <w:tcW w:w="1441" w:type="dxa"/>
            <w:noWrap w:val="0"/>
            <w:vAlign w:val="center"/>
          </w:tcPr>
          <w:p w14:paraId="2E027C5C">
            <w:pPr>
              <w:widowControl/>
              <w:jc w:val="center"/>
              <w:textAlignment w:val="center"/>
              <w:rPr>
                <w:kern w:val="0"/>
                <w:szCs w:val="21"/>
                <w:lang w:bidi="ar"/>
              </w:rPr>
            </w:pPr>
            <w:r>
              <w:rPr>
                <w:kern w:val="0"/>
                <w:szCs w:val="21"/>
                <w:lang w:bidi="ar"/>
              </w:rPr>
              <w:t xml:space="preserve">0.4498 </w:t>
            </w:r>
          </w:p>
        </w:tc>
        <w:tc>
          <w:tcPr>
            <w:tcW w:w="4472" w:type="dxa"/>
            <w:vMerge w:val="continue"/>
            <w:noWrap w:val="0"/>
            <w:vAlign w:val="center"/>
          </w:tcPr>
          <w:p w14:paraId="3D6D7B49">
            <w:pPr>
              <w:ind w:left="-105" w:leftChars="-50" w:right="-105" w:rightChars="-50"/>
              <w:jc w:val="center"/>
              <w:rPr>
                <w:szCs w:val="21"/>
              </w:rPr>
            </w:pPr>
          </w:p>
        </w:tc>
        <w:tc>
          <w:tcPr>
            <w:tcW w:w="1562" w:type="dxa"/>
            <w:noWrap w:val="0"/>
            <w:vAlign w:val="center"/>
          </w:tcPr>
          <w:p w14:paraId="3F664E70">
            <w:pPr>
              <w:widowControl/>
              <w:jc w:val="center"/>
              <w:textAlignment w:val="center"/>
              <w:rPr>
                <w:kern w:val="0"/>
                <w:szCs w:val="21"/>
                <w:lang w:bidi="ar"/>
              </w:rPr>
            </w:pPr>
            <w:r>
              <w:rPr>
                <w:kern w:val="0"/>
                <w:szCs w:val="21"/>
                <w:lang w:bidi="ar"/>
              </w:rPr>
              <w:t>263.06</w:t>
            </w:r>
          </w:p>
        </w:tc>
        <w:tc>
          <w:tcPr>
            <w:tcW w:w="1636" w:type="dxa"/>
            <w:gridSpan w:val="2"/>
            <w:noWrap w:val="0"/>
            <w:vAlign w:val="center"/>
          </w:tcPr>
          <w:p w14:paraId="40EE214C">
            <w:pPr>
              <w:widowControl/>
              <w:jc w:val="center"/>
              <w:textAlignment w:val="center"/>
              <w:rPr>
                <w:szCs w:val="21"/>
              </w:rPr>
            </w:pPr>
            <w:r>
              <w:rPr>
                <w:kern w:val="0"/>
                <w:szCs w:val="21"/>
                <w:lang w:bidi="ar"/>
              </w:rPr>
              <w:t xml:space="preserve">0.2891 </w:t>
            </w:r>
          </w:p>
        </w:tc>
      </w:tr>
      <w:tr w14:paraId="5C37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73F452B3">
            <w:pPr>
              <w:pStyle w:val="85"/>
              <w:spacing w:after="0"/>
              <w:ind w:left="-105" w:leftChars="-50" w:right="-105" w:rightChars="-50" w:firstLine="0" w:firstLineChars="0"/>
              <w:jc w:val="center"/>
              <w:rPr>
                <w:szCs w:val="21"/>
              </w:rPr>
            </w:pPr>
          </w:p>
        </w:tc>
        <w:tc>
          <w:tcPr>
            <w:tcW w:w="1679" w:type="dxa"/>
            <w:gridSpan w:val="2"/>
            <w:vMerge w:val="continue"/>
            <w:noWrap w:val="0"/>
            <w:vAlign w:val="center"/>
          </w:tcPr>
          <w:p w14:paraId="3EC7F301">
            <w:pPr>
              <w:pStyle w:val="85"/>
              <w:spacing w:after="0"/>
              <w:ind w:left="-105" w:leftChars="-50" w:right="-105" w:rightChars="-50" w:firstLine="0" w:firstLineChars="0"/>
              <w:jc w:val="center"/>
              <w:rPr>
                <w:szCs w:val="21"/>
              </w:rPr>
            </w:pPr>
          </w:p>
        </w:tc>
        <w:tc>
          <w:tcPr>
            <w:tcW w:w="868" w:type="dxa"/>
            <w:vMerge w:val="continue"/>
            <w:noWrap w:val="0"/>
            <w:vAlign w:val="center"/>
          </w:tcPr>
          <w:p w14:paraId="3F9CE1EB">
            <w:pPr>
              <w:pStyle w:val="446"/>
              <w:ind w:left="-105" w:leftChars="-50" w:right="-105" w:rightChars="-50"/>
              <w:rPr>
                <w:rFonts w:ascii="Times New Roman" w:hAnsi="Times New Roman"/>
                <w:szCs w:val="21"/>
              </w:rPr>
            </w:pPr>
          </w:p>
        </w:tc>
        <w:tc>
          <w:tcPr>
            <w:tcW w:w="987" w:type="dxa"/>
            <w:noWrap w:val="0"/>
            <w:vAlign w:val="center"/>
          </w:tcPr>
          <w:p w14:paraId="1F7068C5">
            <w:pPr>
              <w:widowControl/>
              <w:jc w:val="center"/>
              <w:textAlignment w:val="center"/>
              <w:rPr>
                <w:szCs w:val="21"/>
              </w:rPr>
            </w:pPr>
            <w:r>
              <w:rPr>
                <w:kern w:val="0"/>
                <w:szCs w:val="21"/>
                <w:lang w:bidi="ar"/>
              </w:rPr>
              <w:t>TP</w:t>
            </w:r>
          </w:p>
        </w:tc>
        <w:tc>
          <w:tcPr>
            <w:tcW w:w="1225" w:type="dxa"/>
            <w:noWrap w:val="0"/>
            <w:vAlign w:val="center"/>
          </w:tcPr>
          <w:p w14:paraId="17F48B5E">
            <w:pPr>
              <w:widowControl/>
              <w:jc w:val="center"/>
              <w:textAlignment w:val="center"/>
              <w:rPr>
                <w:kern w:val="0"/>
                <w:szCs w:val="21"/>
                <w:lang w:bidi="ar"/>
              </w:rPr>
            </w:pPr>
            <w:r>
              <w:rPr>
                <w:kern w:val="0"/>
                <w:szCs w:val="21"/>
                <w:lang w:bidi="ar"/>
              </w:rPr>
              <w:t>127</w:t>
            </w:r>
          </w:p>
        </w:tc>
        <w:tc>
          <w:tcPr>
            <w:tcW w:w="1441" w:type="dxa"/>
            <w:noWrap w:val="0"/>
            <w:vAlign w:val="center"/>
          </w:tcPr>
          <w:p w14:paraId="2FB36188">
            <w:pPr>
              <w:widowControl/>
              <w:jc w:val="center"/>
              <w:textAlignment w:val="center"/>
              <w:rPr>
                <w:kern w:val="0"/>
                <w:szCs w:val="21"/>
                <w:lang w:bidi="ar"/>
              </w:rPr>
            </w:pPr>
            <w:r>
              <w:rPr>
                <w:kern w:val="0"/>
                <w:szCs w:val="21"/>
                <w:lang w:bidi="ar"/>
              </w:rPr>
              <w:t xml:space="preserve">0.1544 </w:t>
            </w:r>
          </w:p>
        </w:tc>
        <w:tc>
          <w:tcPr>
            <w:tcW w:w="4472" w:type="dxa"/>
            <w:vMerge w:val="continue"/>
            <w:noWrap w:val="0"/>
            <w:vAlign w:val="center"/>
          </w:tcPr>
          <w:p w14:paraId="337F3CED">
            <w:pPr>
              <w:ind w:left="-105" w:leftChars="-50" w:right="-105" w:rightChars="-50"/>
              <w:jc w:val="center"/>
              <w:rPr>
                <w:szCs w:val="21"/>
              </w:rPr>
            </w:pPr>
          </w:p>
        </w:tc>
        <w:tc>
          <w:tcPr>
            <w:tcW w:w="1562" w:type="dxa"/>
            <w:noWrap w:val="0"/>
            <w:vAlign w:val="center"/>
          </w:tcPr>
          <w:p w14:paraId="7704781C">
            <w:pPr>
              <w:widowControl/>
              <w:jc w:val="center"/>
              <w:textAlignment w:val="center"/>
              <w:rPr>
                <w:kern w:val="0"/>
                <w:szCs w:val="21"/>
                <w:lang w:bidi="ar"/>
              </w:rPr>
            </w:pPr>
            <w:r>
              <w:rPr>
                <w:kern w:val="0"/>
                <w:szCs w:val="21"/>
                <w:lang w:bidi="ar"/>
              </w:rPr>
              <w:t>22.75</w:t>
            </w:r>
          </w:p>
        </w:tc>
        <w:tc>
          <w:tcPr>
            <w:tcW w:w="1636" w:type="dxa"/>
            <w:gridSpan w:val="2"/>
            <w:noWrap w:val="0"/>
            <w:vAlign w:val="center"/>
          </w:tcPr>
          <w:p w14:paraId="019D0F4C">
            <w:pPr>
              <w:widowControl/>
              <w:jc w:val="center"/>
              <w:textAlignment w:val="center"/>
              <w:rPr>
                <w:szCs w:val="21"/>
              </w:rPr>
            </w:pPr>
            <w:r>
              <w:rPr>
                <w:kern w:val="0"/>
                <w:szCs w:val="21"/>
                <w:lang w:bidi="ar"/>
              </w:rPr>
              <w:t xml:space="preserve">0.0250 </w:t>
            </w:r>
          </w:p>
        </w:tc>
      </w:tr>
      <w:tr w14:paraId="5138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6868AC5E">
            <w:pPr>
              <w:ind w:left="-105" w:leftChars="-50" w:right="-105" w:rightChars="-50"/>
              <w:jc w:val="center"/>
              <w:rPr>
                <w:szCs w:val="21"/>
              </w:rPr>
            </w:pPr>
          </w:p>
        </w:tc>
        <w:tc>
          <w:tcPr>
            <w:tcW w:w="1679" w:type="dxa"/>
            <w:gridSpan w:val="2"/>
            <w:vMerge w:val="restart"/>
            <w:noWrap w:val="0"/>
            <w:vAlign w:val="center"/>
          </w:tcPr>
          <w:p w14:paraId="2B9D609E">
            <w:pPr>
              <w:pStyle w:val="85"/>
              <w:spacing w:after="0"/>
              <w:ind w:left="-105" w:leftChars="-50" w:right="-105" w:rightChars="-50" w:firstLine="0" w:firstLineChars="0"/>
              <w:jc w:val="center"/>
              <w:rPr>
                <w:szCs w:val="21"/>
              </w:rPr>
            </w:pPr>
            <w:r>
              <w:rPr>
                <w:kern w:val="0"/>
                <w:szCs w:val="21"/>
                <w:lang w:bidi="ar"/>
              </w:rPr>
              <w:t>2号（盛丰焦化楼位置）</w:t>
            </w:r>
            <w:r>
              <w:rPr>
                <w:szCs w:val="21"/>
              </w:rPr>
              <w:t>废水</w:t>
            </w:r>
          </w:p>
        </w:tc>
        <w:tc>
          <w:tcPr>
            <w:tcW w:w="868" w:type="dxa"/>
            <w:vMerge w:val="restart"/>
            <w:noWrap w:val="0"/>
            <w:vAlign w:val="center"/>
          </w:tcPr>
          <w:p w14:paraId="1664A0E2">
            <w:pPr>
              <w:pStyle w:val="85"/>
              <w:spacing w:after="0"/>
              <w:ind w:left="-105" w:leftChars="-50" w:right="-105" w:rightChars="-50" w:firstLine="0" w:firstLineChars="0"/>
              <w:jc w:val="center"/>
              <w:rPr>
                <w:szCs w:val="21"/>
              </w:rPr>
            </w:pPr>
            <w:r>
              <w:rPr>
                <w:szCs w:val="21"/>
              </w:rPr>
              <w:t>混合污水</w:t>
            </w:r>
          </w:p>
        </w:tc>
        <w:tc>
          <w:tcPr>
            <w:tcW w:w="987" w:type="dxa"/>
            <w:noWrap w:val="0"/>
            <w:vAlign w:val="center"/>
          </w:tcPr>
          <w:p w14:paraId="67B20B88">
            <w:pPr>
              <w:widowControl/>
              <w:jc w:val="center"/>
              <w:textAlignment w:val="center"/>
              <w:rPr>
                <w:szCs w:val="21"/>
              </w:rPr>
            </w:pPr>
            <w:r>
              <w:rPr>
                <w:kern w:val="0"/>
                <w:szCs w:val="21"/>
                <w:lang w:bidi="ar"/>
              </w:rPr>
              <w:t>废水量</w:t>
            </w:r>
          </w:p>
        </w:tc>
        <w:tc>
          <w:tcPr>
            <w:tcW w:w="1225" w:type="dxa"/>
            <w:noWrap w:val="0"/>
            <w:vAlign w:val="center"/>
          </w:tcPr>
          <w:p w14:paraId="2248BE69">
            <w:pPr>
              <w:jc w:val="center"/>
              <w:rPr>
                <w:rFonts w:hint="eastAsia"/>
                <w:szCs w:val="21"/>
              </w:rPr>
            </w:pPr>
            <w:r>
              <w:rPr>
                <w:rFonts w:hint="eastAsia"/>
                <w:szCs w:val="21"/>
              </w:rPr>
              <w:t>/</w:t>
            </w:r>
          </w:p>
        </w:tc>
        <w:tc>
          <w:tcPr>
            <w:tcW w:w="1441" w:type="dxa"/>
            <w:noWrap w:val="0"/>
            <w:vAlign w:val="center"/>
          </w:tcPr>
          <w:p w14:paraId="270D78A5">
            <w:pPr>
              <w:widowControl/>
              <w:jc w:val="center"/>
              <w:textAlignment w:val="center"/>
              <w:rPr>
                <w:szCs w:val="21"/>
              </w:rPr>
            </w:pPr>
            <w:r>
              <w:rPr>
                <w:kern w:val="0"/>
                <w:szCs w:val="21"/>
                <w:lang w:bidi="ar"/>
              </w:rPr>
              <w:t>2735.78</w:t>
            </w:r>
          </w:p>
        </w:tc>
        <w:tc>
          <w:tcPr>
            <w:tcW w:w="4472" w:type="dxa"/>
            <w:vMerge w:val="restart"/>
            <w:noWrap w:val="0"/>
            <w:vAlign w:val="center"/>
          </w:tcPr>
          <w:p w14:paraId="22EEC8A1">
            <w:pPr>
              <w:ind w:left="-105" w:leftChars="-50" w:right="-105" w:rightChars="-50"/>
              <w:jc w:val="center"/>
              <w:rPr>
                <w:szCs w:val="21"/>
              </w:rPr>
            </w:pPr>
            <w:r>
              <w:rPr>
                <w:szCs w:val="21"/>
              </w:rPr>
              <w:t>集中收集+固液分离+平流气浮+调节池+沼气池（UASB反应器）+沼液储存池储存后罐车云至苹果园回用</w:t>
            </w:r>
          </w:p>
        </w:tc>
        <w:tc>
          <w:tcPr>
            <w:tcW w:w="1562" w:type="dxa"/>
            <w:noWrap w:val="0"/>
            <w:vAlign w:val="center"/>
          </w:tcPr>
          <w:p w14:paraId="1F8F0BE1">
            <w:pPr>
              <w:jc w:val="center"/>
              <w:rPr>
                <w:szCs w:val="21"/>
              </w:rPr>
            </w:pPr>
            <w:r>
              <w:rPr>
                <w:szCs w:val="21"/>
              </w:rPr>
              <w:t>/</w:t>
            </w:r>
          </w:p>
        </w:tc>
        <w:tc>
          <w:tcPr>
            <w:tcW w:w="1636" w:type="dxa"/>
            <w:gridSpan w:val="2"/>
            <w:noWrap w:val="0"/>
            <w:vAlign w:val="center"/>
          </w:tcPr>
          <w:p w14:paraId="68590C1E">
            <w:pPr>
              <w:widowControl/>
              <w:jc w:val="center"/>
              <w:textAlignment w:val="center"/>
              <w:rPr>
                <w:szCs w:val="21"/>
              </w:rPr>
            </w:pPr>
            <w:r>
              <w:rPr>
                <w:kern w:val="0"/>
                <w:szCs w:val="21"/>
                <w:lang w:bidi="ar"/>
              </w:rPr>
              <w:t>2735.78</w:t>
            </w:r>
          </w:p>
        </w:tc>
      </w:tr>
      <w:tr w14:paraId="0FFB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68739A29">
            <w:pPr>
              <w:ind w:left="-105" w:leftChars="-50" w:right="-105" w:rightChars="-50"/>
              <w:jc w:val="center"/>
              <w:rPr>
                <w:szCs w:val="21"/>
              </w:rPr>
            </w:pPr>
          </w:p>
        </w:tc>
        <w:tc>
          <w:tcPr>
            <w:tcW w:w="1679" w:type="dxa"/>
            <w:gridSpan w:val="2"/>
            <w:vMerge w:val="continue"/>
            <w:noWrap w:val="0"/>
            <w:vAlign w:val="center"/>
          </w:tcPr>
          <w:p w14:paraId="6924F93F">
            <w:pPr>
              <w:ind w:left="-105" w:leftChars="-50" w:right="-105" w:rightChars="-50"/>
              <w:jc w:val="center"/>
              <w:rPr>
                <w:szCs w:val="21"/>
              </w:rPr>
            </w:pPr>
          </w:p>
        </w:tc>
        <w:tc>
          <w:tcPr>
            <w:tcW w:w="868" w:type="dxa"/>
            <w:vMerge w:val="continue"/>
            <w:noWrap w:val="0"/>
            <w:vAlign w:val="center"/>
          </w:tcPr>
          <w:p w14:paraId="61B62205">
            <w:pPr>
              <w:ind w:left="-105" w:leftChars="-50" w:right="-105" w:rightChars="-50"/>
              <w:jc w:val="center"/>
              <w:rPr>
                <w:szCs w:val="21"/>
              </w:rPr>
            </w:pPr>
          </w:p>
        </w:tc>
        <w:tc>
          <w:tcPr>
            <w:tcW w:w="987" w:type="dxa"/>
            <w:noWrap w:val="0"/>
            <w:vAlign w:val="center"/>
          </w:tcPr>
          <w:p w14:paraId="679F7BDD">
            <w:pPr>
              <w:widowControl/>
              <w:jc w:val="center"/>
              <w:textAlignment w:val="center"/>
              <w:rPr>
                <w:szCs w:val="21"/>
              </w:rPr>
            </w:pPr>
            <w:r>
              <w:rPr>
                <w:kern w:val="0"/>
                <w:szCs w:val="21"/>
                <w:lang w:bidi="ar"/>
              </w:rPr>
              <w:t>CODcr</w:t>
            </w:r>
          </w:p>
        </w:tc>
        <w:tc>
          <w:tcPr>
            <w:tcW w:w="1225" w:type="dxa"/>
            <w:noWrap w:val="0"/>
            <w:vAlign w:val="center"/>
          </w:tcPr>
          <w:p w14:paraId="5FFCC31D">
            <w:pPr>
              <w:widowControl/>
              <w:jc w:val="center"/>
              <w:textAlignment w:val="center"/>
              <w:rPr>
                <w:szCs w:val="21"/>
              </w:rPr>
            </w:pPr>
            <w:r>
              <w:rPr>
                <w:kern w:val="0"/>
                <w:szCs w:val="21"/>
                <w:lang w:bidi="ar"/>
              </w:rPr>
              <w:t>2640</w:t>
            </w:r>
          </w:p>
        </w:tc>
        <w:tc>
          <w:tcPr>
            <w:tcW w:w="1441" w:type="dxa"/>
            <w:noWrap w:val="0"/>
            <w:vAlign w:val="center"/>
          </w:tcPr>
          <w:p w14:paraId="717C1BE2">
            <w:pPr>
              <w:widowControl/>
              <w:jc w:val="center"/>
              <w:textAlignment w:val="center"/>
              <w:rPr>
                <w:szCs w:val="21"/>
              </w:rPr>
            </w:pPr>
            <w:r>
              <w:rPr>
                <w:kern w:val="0"/>
                <w:szCs w:val="21"/>
                <w:lang w:bidi="ar"/>
              </w:rPr>
              <w:t xml:space="preserve">7.2225 </w:t>
            </w:r>
          </w:p>
        </w:tc>
        <w:tc>
          <w:tcPr>
            <w:tcW w:w="4472" w:type="dxa"/>
            <w:vMerge w:val="continue"/>
            <w:noWrap w:val="0"/>
            <w:vAlign w:val="center"/>
          </w:tcPr>
          <w:p w14:paraId="0AAC1145">
            <w:pPr>
              <w:ind w:left="-105" w:leftChars="-50" w:right="-105" w:rightChars="-50"/>
              <w:jc w:val="center"/>
              <w:rPr>
                <w:szCs w:val="21"/>
              </w:rPr>
            </w:pPr>
          </w:p>
        </w:tc>
        <w:tc>
          <w:tcPr>
            <w:tcW w:w="1562" w:type="dxa"/>
            <w:noWrap w:val="0"/>
            <w:vAlign w:val="center"/>
          </w:tcPr>
          <w:p w14:paraId="74DE0C3B">
            <w:pPr>
              <w:widowControl/>
              <w:jc w:val="center"/>
              <w:textAlignment w:val="center"/>
              <w:rPr>
                <w:szCs w:val="21"/>
              </w:rPr>
            </w:pPr>
            <w:r>
              <w:rPr>
                <w:kern w:val="0"/>
                <w:szCs w:val="21"/>
                <w:lang w:bidi="ar"/>
              </w:rPr>
              <w:t>161.7</w:t>
            </w:r>
          </w:p>
        </w:tc>
        <w:tc>
          <w:tcPr>
            <w:tcW w:w="1636" w:type="dxa"/>
            <w:gridSpan w:val="2"/>
            <w:noWrap w:val="0"/>
            <w:vAlign w:val="center"/>
          </w:tcPr>
          <w:p w14:paraId="6B3F3AA3">
            <w:pPr>
              <w:widowControl/>
              <w:jc w:val="center"/>
              <w:textAlignment w:val="center"/>
              <w:rPr>
                <w:szCs w:val="21"/>
              </w:rPr>
            </w:pPr>
            <w:r>
              <w:rPr>
                <w:kern w:val="0"/>
                <w:szCs w:val="21"/>
                <w:lang w:bidi="ar"/>
              </w:rPr>
              <w:t xml:space="preserve">0.4424 </w:t>
            </w:r>
          </w:p>
        </w:tc>
      </w:tr>
      <w:tr w14:paraId="2B0B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1E8729C7">
            <w:pPr>
              <w:ind w:left="-105" w:leftChars="-50" w:right="-105" w:rightChars="-50"/>
              <w:jc w:val="center"/>
              <w:rPr>
                <w:szCs w:val="21"/>
              </w:rPr>
            </w:pPr>
          </w:p>
        </w:tc>
        <w:tc>
          <w:tcPr>
            <w:tcW w:w="1679" w:type="dxa"/>
            <w:gridSpan w:val="2"/>
            <w:vMerge w:val="continue"/>
            <w:noWrap w:val="0"/>
            <w:vAlign w:val="center"/>
          </w:tcPr>
          <w:p w14:paraId="7EAD70F1">
            <w:pPr>
              <w:ind w:left="-105" w:leftChars="-50" w:right="-105" w:rightChars="-50"/>
              <w:jc w:val="center"/>
              <w:rPr>
                <w:szCs w:val="21"/>
              </w:rPr>
            </w:pPr>
          </w:p>
        </w:tc>
        <w:tc>
          <w:tcPr>
            <w:tcW w:w="868" w:type="dxa"/>
            <w:vMerge w:val="continue"/>
            <w:noWrap w:val="0"/>
            <w:vAlign w:val="center"/>
          </w:tcPr>
          <w:p w14:paraId="64961F99">
            <w:pPr>
              <w:ind w:left="-105" w:leftChars="-50" w:right="-105" w:rightChars="-50"/>
              <w:jc w:val="center"/>
              <w:rPr>
                <w:szCs w:val="21"/>
              </w:rPr>
            </w:pPr>
          </w:p>
        </w:tc>
        <w:tc>
          <w:tcPr>
            <w:tcW w:w="987" w:type="dxa"/>
            <w:noWrap w:val="0"/>
            <w:vAlign w:val="center"/>
          </w:tcPr>
          <w:p w14:paraId="60EB762F">
            <w:pPr>
              <w:widowControl/>
              <w:jc w:val="center"/>
              <w:textAlignment w:val="center"/>
              <w:rPr>
                <w:szCs w:val="21"/>
              </w:rPr>
            </w:pPr>
            <w:r>
              <w:rPr>
                <w:kern w:val="0"/>
                <w:szCs w:val="21"/>
                <w:lang w:bidi="ar"/>
              </w:rPr>
              <w:t>BOD</w:t>
            </w:r>
            <w:r>
              <w:rPr>
                <w:kern w:val="0"/>
                <w:szCs w:val="21"/>
                <w:vertAlign w:val="subscript"/>
                <w:lang w:bidi="ar"/>
              </w:rPr>
              <w:t>5</w:t>
            </w:r>
          </w:p>
        </w:tc>
        <w:tc>
          <w:tcPr>
            <w:tcW w:w="1225" w:type="dxa"/>
            <w:noWrap w:val="0"/>
            <w:vAlign w:val="center"/>
          </w:tcPr>
          <w:p w14:paraId="614A70BA">
            <w:pPr>
              <w:widowControl/>
              <w:jc w:val="center"/>
              <w:textAlignment w:val="center"/>
              <w:rPr>
                <w:szCs w:val="21"/>
              </w:rPr>
            </w:pPr>
            <w:r>
              <w:rPr>
                <w:kern w:val="0"/>
                <w:szCs w:val="21"/>
                <w:lang w:bidi="ar"/>
              </w:rPr>
              <w:t>1500</w:t>
            </w:r>
          </w:p>
        </w:tc>
        <w:tc>
          <w:tcPr>
            <w:tcW w:w="1441" w:type="dxa"/>
            <w:noWrap w:val="0"/>
            <w:vAlign w:val="center"/>
          </w:tcPr>
          <w:p w14:paraId="3543C7A5">
            <w:pPr>
              <w:widowControl/>
              <w:jc w:val="center"/>
              <w:textAlignment w:val="center"/>
              <w:rPr>
                <w:szCs w:val="21"/>
              </w:rPr>
            </w:pPr>
            <w:r>
              <w:rPr>
                <w:kern w:val="0"/>
                <w:szCs w:val="21"/>
                <w:lang w:bidi="ar"/>
              </w:rPr>
              <w:t xml:space="preserve">4.1037 </w:t>
            </w:r>
          </w:p>
        </w:tc>
        <w:tc>
          <w:tcPr>
            <w:tcW w:w="4472" w:type="dxa"/>
            <w:vMerge w:val="continue"/>
            <w:noWrap w:val="0"/>
            <w:vAlign w:val="center"/>
          </w:tcPr>
          <w:p w14:paraId="2A5D80D2">
            <w:pPr>
              <w:ind w:left="-105" w:leftChars="-50" w:right="-105" w:rightChars="-50"/>
              <w:jc w:val="center"/>
              <w:rPr>
                <w:szCs w:val="21"/>
              </w:rPr>
            </w:pPr>
          </w:p>
        </w:tc>
        <w:tc>
          <w:tcPr>
            <w:tcW w:w="1562" w:type="dxa"/>
            <w:noWrap w:val="0"/>
            <w:vAlign w:val="center"/>
          </w:tcPr>
          <w:p w14:paraId="7B2E36A7">
            <w:pPr>
              <w:widowControl/>
              <w:jc w:val="center"/>
              <w:textAlignment w:val="center"/>
              <w:rPr>
                <w:szCs w:val="21"/>
              </w:rPr>
            </w:pPr>
            <w:r>
              <w:rPr>
                <w:kern w:val="0"/>
                <w:szCs w:val="21"/>
                <w:lang w:bidi="ar"/>
              </w:rPr>
              <w:t>84</w:t>
            </w:r>
          </w:p>
        </w:tc>
        <w:tc>
          <w:tcPr>
            <w:tcW w:w="1636" w:type="dxa"/>
            <w:gridSpan w:val="2"/>
            <w:noWrap w:val="0"/>
            <w:vAlign w:val="center"/>
          </w:tcPr>
          <w:p w14:paraId="2710E905">
            <w:pPr>
              <w:widowControl/>
              <w:jc w:val="center"/>
              <w:textAlignment w:val="center"/>
              <w:rPr>
                <w:szCs w:val="21"/>
              </w:rPr>
            </w:pPr>
            <w:r>
              <w:rPr>
                <w:kern w:val="0"/>
                <w:szCs w:val="21"/>
                <w:lang w:bidi="ar"/>
              </w:rPr>
              <w:t xml:space="preserve">0.2298 </w:t>
            </w:r>
          </w:p>
        </w:tc>
      </w:tr>
      <w:tr w14:paraId="0034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BEA6B18">
            <w:pPr>
              <w:ind w:left="-105" w:leftChars="-50" w:right="-105" w:rightChars="-50"/>
              <w:jc w:val="center"/>
              <w:rPr>
                <w:szCs w:val="21"/>
              </w:rPr>
            </w:pPr>
          </w:p>
        </w:tc>
        <w:tc>
          <w:tcPr>
            <w:tcW w:w="1679" w:type="dxa"/>
            <w:gridSpan w:val="2"/>
            <w:vMerge w:val="continue"/>
            <w:noWrap w:val="0"/>
            <w:vAlign w:val="center"/>
          </w:tcPr>
          <w:p w14:paraId="5FDB826B">
            <w:pPr>
              <w:ind w:left="-105" w:leftChars="-50" w:right="-105" w:rightChars="-50"/>
              <w:jc w:val="center"/>
              <w:rPr>
                <w:szCs w:val="21"/>
              </w:rPr>
            </w:pPr>
          </w:p>
        </w:tc>
        <w:tc>
          <w:tcPr>
            <w:tcW w:w="868" w:type="dxa"/>
            <w:vMerge w:val="continue"/>
            <w:noWrap w:val="0"/>
            <w:vAlign w:val="center"/>
          </w:tcPr>
          <w:p w14:paraId="026BE5BF">
            <w:pPr>
              <w:ind w:left="-105" w:leftChars="-50" w:right="-105" w:rightChars="-50"/>
              <w:jc w:val="center"/>
              <w:rPr>
                <w:szCs w:val="21"/>
              </w:rPr>
            </w:pPr>
          </w:p>
        </w:tc>
        <w:tc>
          <w:tcPr>
            <w:tcW w:w="987" w:type="dxa"/>
            <w:noWrap w:val="0"/>
            <w:vAlign w:val="center"/>
          </w:tcPr>
          <w:p w14:paraId="19575953">
            <w:pPr>
              <w:widowControl/>
              <w:jc w:val="center"/>
              <w:textAlignment w:val="center"/>
              <w:rPr>
                <w:szCs w:val="21"/>
              </w:rPr>
            </w:pPr>
            <w:r>
              <w:rPr>
                <w:kern w:val="0"/>
                <w:szCs w:val="21"/>
                <w:lang w:bidi="ar"/>
              </w:rPr>
              <w:t>SS</w:t>
            </w:r>
          </w:p>
        </w:tc>
        <w:tc>
          <w:tcPr>
            <w:tcW w:w="1225" w:type="dxa"/>
            <w:noWrap w:val="0"/>
            <w:vAlign w:val="center"/>
          </w:tcPr>
          <w:p w14:paraId="0A54E2CB">
            <w:pPr>
              <w:widowControl/>
              <w:jc w:val="center"/>
              <w:textAlignment w:val="center"/>
              <w:rPr>
                <w:szCs w:val="21"/>
              </w:rPr>
            </w:pPr>
            <w:r>
              <w:rPr>
                <w:kern w:val="0"/>
                <w:szCs w:val="21"/>
                <w:lang w:bidi="ar"/>
              </w:rPr>
              <w:t>3300</w:t>
            </w:r>
          </w:p>
        </w:tc>
        <w:tc>
          <w:tcPr>
            <w:tcW w:w="1441" w:type="dxa"/>
            <w:noWrap w:val="0"/>
            <w:vAlign w:val="center"/>
          </w:tcPr>
          <w:p w14:paraId="498A13FA">
            <w:pPr>
              <w:widowControl/>
              <w:jc w:val="center"/>
              <w:textAlignment w:val="center"/>
              <w:rPr>
                <w:szCs w:val="21"/>
              </w:rPr>
            </w:pPr>
            <w:r>
              <w:rPr>
                <w:kern w:val="0"/>
                <w:szCs w:val="21"/>
                <w:lang w:bidi="ar"/>
              </w:rPr>
              <w:t xml:space="preserve">9.0281 </w:t>
            </w:r>
          </w:p>
        </w:tc>
        <w:tc>
          <w:tcPr>
            <w:tcW w:w="4472" w:type="dxa"/>
            <w:vMerge w:val="continue"/>
            <w:noWrap w:val="0"/>
            <w:vAlign w:val="center"/>
          </w:tcPr>
          <w:p w14:paraId="36EF5941">
            <w:pPr>
              <w:ind w:left="-105" w:leftChars="-50" w:right="-105" w:rightChars="-50"/>
              <w:jc w:val="center"/>
              <w:rPr>
                <w:szCs w:val="21"/>
              </w:rPr>
            </w:pPr>
          </w:p>
        </w:tc>
        <w:tc>
          <w:tcPr>
            <w:tcW w:w="1562" w:type="dxa"/>
            <w:noWrap w:val="0"/>
            <w:vAlign w:val="center"/>
          </w:tcPr>
          <w:p w14:paraId="2175779B">
            <w:pPr>
              <w:widowControl/>
              <w:jc w:val="center"/>
              <w:textAlignment w:val="center"/>
              <w:rPr>
                <w:szCs w:val="21"/>
              </w:rPr>
            </w:pPr>
            <w:r>
              <w:rPr>
                <w:kern w:val="0"/>
                <w:szCs w:val="21"/>
                <w:lang w:bidi="ar"/>
              </w:rPr>
              <w:t>118.8</w:t>
            </w:r>
          </w:p>
        </w:tc>
        <w:tc>
          <w:tcPr>
            <w:tcW w:w="1636" w:type="dxa"/>
            <w:gridSpan w:val="2"/>
            <w:noWrap w:val="0"/>
            <w:vAlign w:val="center"/>
          </w:tcPr>
          <w:p w14:paraId="528AA177">
            <w:pPr>
              <w:widowControl/>
              <w:jc w:val="center"/>
              <w:textAlignment w:val="center"/>
              <w:rPr>
                <w:szCs w:val="21"/>
              </w:rPr>
            </w:pPr>
            <w:r>
              <w:rPr>
                <w:kern w:val="0"/>
                <w:szCs w:val="21"/>
                <w:lang w:bidi="ar"/>
              </w:rPr>
              <w:t xml:space="preserve">0.3250 </w:t>
            </w:r>
          </w:p>
        </w:tc>
      </w:tr>
      <w:tr w14:paraId="26F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6F574841">
            <w:pPr>
              <w:ind w:left="-105" w:leftChars="-50" w:right="-105" w:rightChars="-50"/>
              <w:jc w:val="center"/>
              <w:rPr>
                <w:szCs w:val="21"/>
              </w:rPr>
            </w:pPr>
          </w:p>
        </w:tc>
        <w:tc>
          <w:tcPr>
            <w:tcW w:w="1679" w:type="dxa"/>
            <w:gridSpan w:val="2"/>
            <w:vMerge w:val="continue"/>
            <w:noWrap w:val="0"/>
            <w:vAlign w:val="center"/>
          </w:tcPr>
          <w:p w14:paraId="0AAE99D1">
            <w:pPr>
              <w:ind w:left="-105" w:leftChars="-50" w:right="-105" w:rightChars="-50"/>
              <w:jc w:val="center"/>
              <w:rPr>
                <w:szCs w:val="21"/>
              </w:rPr>
            </w:pPr>
          </w:p>
        </w:tc>
        <w:tc>
          <w:tcPr>
            <w:tcW w:w="868" w:type="dxa"/>
            <w:vMerge w:val="continue"/>
            <w:noWrap w:val="0"/>
            <w:vAlign w:val="center"/>
          </w:tcPr>
          <w:p w14:paraId="0AE8CE8B">
            <w:pPr>
              <w:ind w:left="-105" w:leftChars="-50" w:right="-105" w:rightChars="-50"/>
              <w:jc w:val="center"/>
              <w:rPr>
                <w:szCs w:val="21"/>
              </w:rPr>
            </w:pPr>
          </w:p>
        </w:tc>
        <w:tc>
          <w:tcPr>
            <w:tcW w:w="987" w:type="dxa"/>
            <w:noWrap w:val="0"/>
            <w:vAlign w:val="center"/>
          </w:tcPr>
          <w:p w14:paraId="75669259">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225" w:type="dxa"/>
            <w:noWrap w:val="0"/>
            <w:vAlign w:val="center"/>
          </w:tcPr>
          <w:p w14:paraId="320022F2">
            <w:pPr>
              <w:widowControl/>
              <w:jc w:val="center"/>
              <w:textAlignment w:val="center"/>
              <w:rPr>
                <w:szCs w:val="21"/>
              </w:rPr>
            </w:pPr>
            <w:r>
              <w:rPr>
                <w:kern w:val="0"/>
                <w:szCs w:val="21"/>
                <w:lang w:bidi="ar"/>
              </w:rPr>
              <w:t>261</w:t>
            </w:r>
          </w:p>
        </w:tc>
        <w:tc>
          <w:tcPr>
            <w:tcW w:w="1441" w:type="dxa"/>
            <w:noWrap w:val="0"/>
            <w:vAlign w:val="center"/>
          </w:tcPr>
          <w:p w14:paraId="1DD72A73">
            <w:pPr>
              <w:widowControl/>
              <w:jc w:val="center"/>
              <w:textAlignment w:val="center"/>
              <w:rPr>
                <w:szCs w:val="21"/>
              </w:rPr>
            </w:pPr>
            <w:r>
              <w:rPr>
                <w:kern w:val="0"/>
                <w:szCs w:val="21"/>
                <w:lang w:bidi="ar"/>
              </w:rPr>
              <w:t xml:space="preserve">0.7140 </w:t>
            </w:r>
          </w:p>
        </w:tc>
        <w:tc>
          <w:tcPr>
            <w:tcW w:w="4472" w:type="dxa"/>
            <w:vMerge w:val="continue"/>
            <w:noWrap w:val="0"/>
            <w:vAlign w:val="center"/>
          </w:tcPr>
          <w:p w14:paraId="081A00B4">
            <w:pPr>
              <w:ind w:left="-105" w:leftChars="-50" w:right="-105" w:rightChars="-50"/>
              <w:jc w:val="center"/>
              <w:rPr>
                <w:szCs w:val="21"/>
              </w:rPr>
            </w:pPr>
          </w:p>
        </w:tc>
        <w:tc>
          <w:tcPr>
            <w:tcW w:w="1562" w:type="dxa"/>
            <w:noWrap w:val="0"/>
            <w:vAlign w:val="center"/>
          </w:tcPr>
          <w:p w14:paraId="42842EB0">
            <w:pPr>
              <w:widowControl/>
              <w:jc w:val="center"/>
              <w:textAlignment w:val="center"/>
              <w:rPr>
                <w:szCs w:val="21"/>
              </w:rPr>
            </w:pPr>
            <w:r>
              <w:rPr>
                <w:kern w:val="0"/>
                <w:szCs w:val="21"/>
                <w:lang w:bidi="ar"/>
              </w:rPr>
              <w:t>169.13</w:t>
            </w:r>
          </w:p>
        </w:tc>
        <w:tc>
          <w:tcPr>
            <w:tcW w:w="1636" w:type="dxa"/>
            <w:gridSpan w:val="2"/>
            <w:noWrap w:val="0"/>
            <w:vAlign w:val="center"/>
          </w:tcPr>
          <w:p w14:paraId="6400B44F">
            <w:pPr>
              <w:widowControl/>
              <w:jc w:val="center"/>
              <w:textAlignment w:val="center"/>
              <w:rPr>
                <w:szCs w:val="21"/>
              </w:rPr>
            </w:pPr>
            <w:r>
              <w:rPr>
                <w:kern w:val="0"/>
                <w:szCs w:val="21"/>
                <w:lang w:bidi="ar"/>
              </w:rPr>
              <w:t xml:space="preserve">0.4627 </w:t>
            </w:r>
          </w:p>
        </w:tc>
      </w:tr>
      <w:tr w14:paraId="76BE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104E5E92">
            <w:pPr>
              <w:ind w:left="-105" w:leftChars="-50" w:right="-105" w:rightChars="-50"/>
              <w:jc w:val="center"/>
              <w:rPr>
                <w:szCs w:val="21"/>
              </w:rPr>
            </w:pPr>
          </w:p>
        </w:tc>
        <w:tc>
          <w:tcPr>
            <w:tcW w:w="1679" w:type="dxa"/>
            <w:gridSpan w:val="2"/>
            <w:vMerge w:val="continue"/>
            <w:noWrap w:val="0"/>
            <w:vAlign w:val="center"/>
          </w:tcPr>
          <w:p w14:paraId="13C7123E">
            <w:pPr>
              <w:ind w:left="-105" w:leftChars="-50" w:right="-105" w:rightChars="-50"/>
              <w:jc w:val="center"/>
              <w:rPr>
                <w:szCs w:val="21"/>
              </w:rPr>
            </w:pPr>
          </w:p>
        </w:tc>
        <w:tc>
          <w:tcPr>
            <w:tcW w:w="868" w:type="dxa"/>
            <w:vMerge w:val="continue"/>
            <w:noWrap w:val="0"/>
            <w:vAlign w:val="center"/>
          </w:tcPr>
          <w:p w14:paraId="1A5BD0E2">
            <w:pPr>
              <w:ind w:left="-105" w:leftChars="-50" w:right="-105" w:rightChars="-50"/>
              <w:jc w:val="center"/>
              <w:rPr>
                <w:szCs w:val="21"/>
              </w:rPr>
            </w:pPr>
          </w:p>
        </w:tc>
        <w:tc>
          <w:tcPr>
            <w:tcW w:w="987" w:type="dxa"/>
            <w:noWrap w:val="0"/>
            <w:vAlign w:val="center"/>
          </w:tcPr>
          <w:p w14:paraId="2D737C3E">
            <w:pPr>
              <w:widowControl/>
              <w:jc w:val="center"/>
              <w:textAlignment w:val="center"/>
              <w:rPr>
                <w:szCs w:val="21"/>
              </w:rPr>
            </w:pPr>
            <w:r>
              <w:rPr>
                <w:kern w:val="0"/>
                <w:szCs w:val="21"/>
                <w:lang w:bidi="ar"/>
              </w:rPr>
              <w:t>TN</w:t>
            </w:r>
          </w:p>
        </w:tc>
        <w:tc>
          <w:tcPr>
            <w:tcW w:w="1225" w:type="dxa"/>
            <w:noWrap w:val="0"/>
            <w:vAlign w:val="center"/>
          </w:tcPr>
          <w:p w14:paraId="00C60515">
            <w:pPr>
              <w:widowControl/>
              <w:jc w:val="center"/>
              <w:textAlignment w:val="center"/>
              <w:rPr>
                <w:szCs w:val="21"/>
              </w:rPr>
            </w:pPr>
            <w:r>
              <w:rPr>
                <w:kern w:val="0"/>
                <w:szCs w:val="21"/>
                <w:lang w:bidi="ar"/>
              </w:rPr>
              <w:t>370</w:t>
            </w:r>
          </w:p>
        </w:tc>
        <w:tc>
          <w:tcPr>
            <w:tcW w:w="1441" w:type="dxa"/>
            <w:noWrap w:val="0"/>
            <w:vAlign w:val="center"/>
          </w:tcPr>
          <w:p w14:paraId="0C42F686">
            <w:pPr>
              <w:widowControl/>
              <w:jc w:val="center"/>
              <w:textAlignment w:val="center"/>
              <w:rPr>
                <w:szCs w:val="21"/>
              </w:rPr>
            </w:pPr>
            <w:r>
              <w:rPr>
                <w:kern w:val="0"/>
                <w:szCs w:val="21"/>
                <w:lang w:bidi="ar"/>
              </w:rPr>
              <w:t xml:space="preserve">1.0122 </w:t>
            </w:r>
          </w:p>
        </w:tc>
        <w:tc>
          <w:tcPr>
            <w:tcW w:w="4472" w:type="dxa"/>
            <w:vMerge w:val="continue"/>
            <w:noWrap w:val="0"/>
            <w:vAlign w:val="center"/>
          </w:tcPr>
          <w:p w14:paraId="5C7AB9A4">
            <w:pPr>
              <w:ind w:left="-105" w:leftChars="-50" w:right="-105" w:rightChars="-50"/>
              <w:jc w:val="center"/>
              <w:rPr>
                <w:szCs w:val="21"/>
              </w:rPr>
            </w:pPr>
          </w:p>
        </w:tc>
        <w:tc>
          <w:tcPr>
            <w:tcW w:w="1562" w:type="dxa"/>
            <w:noWrap w:val="0"/>
            <w:vAlign w:val="center"/>
          </w:tcPr>
          <w:p w14:paraId="206DB5BC">
            <w:pPr>
              <w:widowControl/>
              <w:jc w:val="center"/>
              <w:textAlignment w:val="center"/>
              <w:rPr>
                <w:szCs w:val="21"/>
              </w:rPr>
            </w:pPr>
            <w:r>
              <w:rPr>
                <w:kern w:val="0"/>
                <w:szCs w:val="21"/>
                <w:lang w:bidi="ar"/>
              </w:rPr>
              <w:t>263.06</w:t>
            </w:r>
          </w:p>
        </w:tc>
        <w:tc>
          <w:tcPr>
            <w:tcW w:w="1636" w:type="dxa"/>
            <w:gridSpan w:val="2"/>
            <w:noWrap w:val="0"/>
            <w:vAlign w:val="center"/>
          </w:tcPr>
          <w:p w14:paraId="724D5490">
            <w:pPr>
              <w:widowControl/>
              <w:jc w:val="center"/>
              <w:textAlignment w:val="center"/>
              <w:rPr>
                <w:szCs w:val="21"/>
              </w:rPr>
            </w:pPr>
            <w:r>
              <w:rPr>
                <w:kern w:val="0"/>
                <w:szCs w:val="21"/>
                <w:lang w:bidi="ar"/>
              </w:rPr>
              <w:t xml:space="preserve">0.7197 </w:t>
            </w:r>
          </w:p>
        </w:tc>
      </w:tr>
      <w:tr w14:paraId="715C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5FAD0B3E">
            <w:pPr>
              <w:ind w:left="-105" w:leftChars="-50" w:right="-105" w:rightChars="-50"/>
              <w:jc w:val="center"/>
              <w:rPr>
                <w:szCs w:val="21"/>
              </w:rPr>
            </w:pPr>
          </w:p>
        </w:tc>
        <w:tc>
          <w:tcPr>
            <w:tcW w:w="1679" w:type="dxa"/>
            <w:gridSpan w:val="2"/>
            <w:vMerge w:val="continue"/>
            <w:noWrap w:val="0"/>
            <w:vAlign w:val="center"/>
          </w:tcPr>
          <w:p w14:paraId="3C74550E">
            <w:pPr>
              <w:ind w:left="-105" w:leftChars="-50" w:right="-105" w:rightChars="-50"/>
              <w:jc w:val="center"/>
              <w:rPr>
                <w:szCs w:val="21"/>
              </w:rPr>
            </w:pPr>
          </w:p>
        </w:tc>
        <w:tc>
          <w:tcPr>
            <w:tcW w:w="868" w:type="dxa"/>
            <w:vMerge w:val="continue"/>
            <w:noWrap w:val="0"/>
            <w:vAlign w:val="center"/>
          </w:tcPr>
          <w:p w14:paraId="25F4099E">
            <w:pPr>
              <w:ind w:left="-105" w:leftChars="-50" w:right="-105" w:rightChars="-50"/>
              <w:jc w:val="center"/>
              <w:rPr>
                <w:szCs w:val="21"/>
              </w:rPr>
            </w:pPr>
          </w:p>
        </w:tc>
        <w:tc>
          <w:tcPr>
            <w:tcW w:w="987" w:type="dxa"/>
            <w:noWrap w:val="0"/>
            <w:vAlign w:val="center"/>
          </w:tcPr>
          <w:p w14:paraId="14620293">
            <w:pPr>
              <w:widowControl/>
              <w:jc w:val="center"/>
              <w:textAlignment w:val="center"/>
              <w:rPr>
                <w:szCs w:val="21"/>
              </w:rPr>
            </w:pPr>
            <w:r>
              <w:rPr>
                <w:kern w:val="0"/>
                <w:szCs w:val="21"/>
                <w:lang w:bidi="ar"/>
              </w:rPr>
              <w:t>TP</w:t>
            </w:r>
          </w:p>
        </w:tc>
        <w:tc>
          <w:tcPr>
            <w:tcW w:w="1225" w:type="dxa"/>
            <w:noWrap w:val="0"/>
            <w:vAlign w:val="center"/>
          </w:tcPr>
          <w:p w14:paraId="7B4B86D2">
            <w:pPr>
              <w:widowControl/>
              <w:jc w:val="center"/>
              <w:textAlignment w:val="center"/>
              <w:rPr>
                <w:szCs w:val="21"/>
              </w:rPr>
            </w:pPr>
            <w:r>
              <w:rPr>
                <w:kern w:val="0"/>
                <w:szCs w:val="21"/>
                <w:lang w:bidi="ar"/>
              </w:rPr>
              <w:t>127</w:t>
            </w:r>
          </w:p>
        </w:tc>
        <w:tc>
          <w:tcPr>
            <w:tcW w:w="1441" w:type="dxa"/>
            <w:noWrap w:val="0"/>
            <w:vAlign w:val="center"/>
          </w:tcPr>
          <w:p w14:paraId="3A0E7EC0">
            <w:pPr>
              <w:widowControl/>
              <w:jc w:val="center"/>
              <w:textAlignment w:val="center"/>
              <w:rPr>
                <w:szCs w:val="21"/>
              </w:rPr>
            </w:pPr>
            <w:r>
              <w:rPr>
                <w:kern w:val="0"/>
                <w:szCs w:val="21"/>
                <w:lang w:bidi="ar"/>
              </w:rPr>
              <w:t xml:space="preserve">0.3474 </w:t>
            </w:r>
          </w:p>
        </w:tc>
        <w:tc>
          <w:tcPr>
            <w:tcW w:w="4472" w:type="dxa"/>
            <w:vMerge w:val="continue"/>
            <w:noWrap w:val="0"/>
            <w:vAlign w:val="center"/>
          </w:tcPr>
          <w:p w14:paraId="107B9674">
            <w:pPr>
              <w:ind w:left="-105" w:leftChars="-50" w:right="-105" w:rightChars="-50"/>
              <w:jc w:val="center"/>
              <w:rPr>
                <w:szCs w:val="21"/>
              </w:rPr>
            </w:pPr>
          </w:p>
        </w:tc>
        <w:tc>
          <w:tcPr>
            <w:tcW w:w="1562" w:type="dxa"/>
            <w:noWrap w:val="0"/>
            <w:vAlign w:val="center"/>
          </w:tcPr>
          <w:p w14:paraId="78A20385">
            <w:pPr>
              <w:widowControl/>
              <w:jc w:val="center"/>
              <w:textAlignment w:val="center"/>
              <w:rPr>
                <w:szCs w:val="21"/>
              </w:rPr>
            </w:pPr>
            <w:r>
              <w:rPr>
                <w:kern w:val="0"/>
                <w:szCs w:val="21"/>
                <w:lang w:bidi="ar"/>
              </w:rPr>
              <w:t>22.75</w:t>
            </w:r>
          </w:p>
        </w:tc>
        <w:tc>
          <w:tcPr>
            <w:tcW w:w="1636" w:type="dxa"/>
            <w:gridSpan w:val="2"/>
            <w:noWrap w:val="0"/>
            <w:vAlign w:val="center"/>
          </w:tcPr>
          <w:p w14:paraId="242A0B58">
            <w:pPr>
              <w:widowControl/>
              <w:jc w:val="center"/>
              <w:textAlignment w:val="center"/>
              <w:rPr>
                <w:szCs w:val="21"/>
              </w:rPr>
            </w:pPr>
            <w:r>
              <w:rPr>
                <w:kern w:val="0"/>
                <w:szCs w:val="21"/>
                <w:lang w:bidi="ar"/>
              </w:rPr>
              <w:t xml:space="preserve">0.0622 </w:t>
            </w:r>
          </w:p>
        </w:tc>
      </w:tr>
      <w:tr w14:paraId="29B4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22DFE2B6">
            <w:pPr>
              <w:ind w:left="-105" w:leftChars="-50" w:right="-105" w:rightChars="-50"/>
              <w:jc w:val="center"/>
              <w:rPr>
                <w:szCs w:val="21"/>
              </w:rPr>
            </w:pPr>
          </w:p>
        </w:tc>
        <w:tc>
          <w:tcPr>
            <w:tcW w:w="1679" w:type="dxa"/>
            <w:gridSpan w:val="2"/>
            <w:vMerge w:val="restart"/>
            <w:noWrap w:val="0"/>
            <w:vAlign w:val="center"/>
          </w:tcPr>
          <w:p w14:paraId="413EFD5D">
            <w:pPr>
              <w:ind w:left="-105" w:leftChars="-50" w:right="-105" w:rightChars="-50"/>
              <w:jc w:val="center"/>
              <w:rPr>
                <w:szCs w:val="21"/>
              </w:rPr>
            </w:pPr>
            <w:r>
              <w:rPr>
                <w:kern w:val="0"/>
                <w:szCs w:val="21"/>
                <w:lang w:bidi="ar"/>
              </w:rPr>
              <w:t>3号地（老井位置）</w:t>
            </w:r>
            <w:r>
              <w:rPr>
                <w:szCs w:val="21"/>
              </w:rPr>
              <w:t>废水</w:t>
            </w:r>
          </w:p>
        </w:tc>
        <w:tc>
          <w:tcPr>
            <w:tcW w:w="868" w:type="dxa"/>
            <w:vMerge w:val="restart"/>
            <w:noWrap w:val="0"/>
            <w:vAlign w:val="center"/>
          </w:tcPr>
          <w:p w14:paraId="65A7430A">
            <w:pPr>
              <w:ind w:left="-105" w:leftChars="-50" w:right="-105" w:rightChars="-50"/>
              <w:jc w:val="center"/>
              <w:rPr>
                <w:szCs w:val="21"/>
              </w:rPr>
            </w:pPr>
            <w:r>
              <w:rPr>
                <w:szCs w:val="21"/>
              </w:rPr>
              <w:t>混合污水</w:t>
            </w:r>
          </w:p>
        </w:tc>
        <w:tc>
          <w:tcPr>
            <w:tcW w:w="987" w:type="dxa"/>
            <w:noWrap w:val="0"/>
            <w:vAlign w:val="center"/>
          </w:tcPr>
          <w:p w14:paraId="44694F3C">
            <w:pPr>
              <w:widowControl/>
              <w:jc w:val="center"/>
              <w:textAlignment w:val="center"/>
              <w:rPr>
                <w:szCs w:val="21"/>
              </w:rPr>
            </w:pPr>
            <w:r>
              <w:rPr>
                <w:kern w:val="0"/>
                <w:szCs w:val="21"/>
                <w:lang w:bidi="ar"/>
              </w:rPr>
              <w:t>废水量</w:t>
            </w:r>
          </w:p>
        </w:tc>
        <w:tc>
          <w:tcPr>
            <w:tcW w:w="1225" w:type="dxa"/>
            <w:noWrap w:val="0"/>
            <w:vAlign w:val="center"/>
          </w:tcPr>
          <w:p w14:paraId="1422455F">
            <w:pPr>
              <w:jc w:val="center"/>
              <w:rPr>
                <w:rFonts w:hint="eastAsia"/>
                <w:szCs w:val="21"/>
              </w:rPr>
            </w:pPr>
            <w:r>
              <w:rPr>
                <w:rFonts w:hint="eastAsia"/>
                <w:szCs w:val="21"/>
              </w:rPr>
              <w:t>/</w:t>
            </w:r>
          </w:p>
        </w:tc>
        <w:tc>
          <w:tcPr>
            <w:tcW w:w="1441" w:type="dxa"/>
            <w:noWrap w:val="0"/>
            <w:vAlign w:val="center"/>
          </w:tcPr>
          <w:p w14:paraId="64A703E1">
            <w:pPr>
              <w:widowControl/>
              <w:jc w:val="center"/>
              <w:textAlignment w:val="center"/>
              <w:rPr>
                <w:szCs w:val="21"/>
              </w:rPr>
            </w:pPr>
            <w:r>
              <w:rPr>
                <w:kern w:val="0"/>
                <w:szCs w:val="21"/>
                <w:lang w:bidi="ar"/>
              </w:rPr>
              <w:t>1033.52</w:t>
            </w:r>
          </w:p>
        </w:tc>
        <w:tc>
          <w:tcPr>
            <w:tcW w:w="4472" w:type="dxa"/>
            <w:vMerge w:val="restart"/>
            <w:noWrap w:val="0"/>
            <w:vAlign w:val="center"/>
          </w:tcPr>
          <w:p w14:paraId="1F1D056F">
            <w:pPr>
              <w:ind w:left="-105" w:leftChars="-50" w:right="-105" w:rightChars="-50"/>
              <w:jc w:val="center"/>
              <w:rPr>
                <w:szCs w:val="21"/>
              </w:rPr>
            </w:pPr>
            <w:r>
              <w:rPr>
                <w:szCs w:val="21"/>
              </w:rPr>
              <w:t>集中收集+固液分离+平流气浮+调节池+沼气池（UASB反应器）+沼液储存池储存后罐车云至苹果园回用</w:t>
            </w:r>
          </w:p>
        </w:tc>
        <w:tc>
          <w:tcPr>
            <w:tcW w:w="1562" w:type="dxa"/>
            <w:noWrap w:val="0"/>
            <w:vAlign w:val="center"/>
          </w:tcPr>
          <w:p w14:paraId="51C04F3D">
            <w:pPr>
              <w:jc w:val="center"/>
              <w:rPr>
                <w:szCs w:val="21"/>
              </w:rPr>
            </w:pPr>
            <w:r>
              <w:rPr>
                <w:szCs w:val="21"/>
              </w:rPr>
              <w:t>/</w:t>
            </w:r>
          </w:p>
        </w:tc>
        <w:tc>
          <w:tcPr>
            <w:tcW w:w="1636" w:type="dxa"/>
            <w:gridSpan w:val="2"/>
            <w:noWrap w:val="0"/>
            <w:vAlign w:val="center"/>
          </w:tcPr>
          <w:p w14:paraId="10845D94">
            <w:pPr>
              <w:widowControl/>
              <w:jc w:val="center"/>
              <w:textAlignment w:val="center"/>
              <w:rPr>
                <w:szCs w:val="21"/>
              </w:rPr>
            </w:pPr>
            <w:r>
              <w:rPr>
                <w:kern w:val="0"/>
                <w:szCs w:val="21"/>
                <w:lang w:bidi="ar"/>
              </w:rPr>
              <w:t>1033.52</w:t>
            </w:r>
          </w:p>
        </w:tc>
      </w:tr>
      <w:tr w14:paraId="2BD0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9C3E276">
            <w:pPr>
              <w:ind w:left="-105" w:leftChars="-50" w:right="-105" w:rightChars="-50"/>
              <w:jc w:val="center"/>
              <w:rPr>
                <w:szCs w:val="21"/>
              </w:rPr>
            </w:pPr>
          </w:p>
        </w:tc>
        <w:tc>
          <w:tcPr>
            <w:tcW w:w="1679" w:type="dxa"/>
            <w:gridSpan w:val="2"/>
            <w:vMerge w:val="continue"/>
            <w:noWrap w:val="0"/>
            <w:vAlign w:val="center"/>
          </w:tcPr>
          <w:p w14:paraId="6242857F">
            <w:pPr>
              <w:ind w:left="-105" w:leftChars="-50" w:right="-105" w:rightChars="-50"/>
              <w:jc w:val="center"/>
              <w:rPr>
                <w:szCs w:val="21"/>
              </w:rPr>
            </w:pPr>
          </w:p>
        </w:tc>
        <w:tc>
          <w:tcPr>
            <w:tcW w:w="868" w:type="dxa"/>
            <w:vMerge w:val="continue"/>
            <w:noWrap w:val="0"/>
            <w:vAlign w:val="center"/>
          </w:tcPr>
          <w:p w14:paraId="02C51E74">
            <w:pPr>
              <w:ind w:left="-105" w:leftChars="-50" w:right="-105" w:rightChars="-50"/>
              <w:jc w:val="center"/>
              <w:rPr>
                <w:szCs w:val="21"/>
              </w:rPr>
            </w:pPr>
          </w:p>
        </w:tc>
        <w:tc>
          <w:tcPr>
            <w:tcW w:w="987" w:type="dxa"/>
            <w:noWrap w:val="0"/>
            <w:vAlign w:val="center"/>
          </w:tcPr>
          <w:p w14:paraId="17629291">
            <w:pPr>
              <w:widowControl/>
              <w:jc w:val="center"/>
              <w:textAlignment w:val="center"/>
              <w:rPr>
                <w:szCs w:val="21"/>
              </w:rPr>
            </w:pPr>
            <w:r>
              <w:rPr>
                <w:kern w:val="0"/>
                <w:szCs w:val="21"/>
                <w:lang w:bidi="ar"/>
              </w:rPr>
              <w:t>CODcr</w:t>
            </w:r>
          </w:p>
        </w:tc>
        <w:tc>
          <w:tcPr>
            <w:tcW w:w="1225" w:type="dxa"/>
            <w:noWrap w:val="0"/>
            <w:vAlign w:val="center"/>
          </w:tcPr>
          <w:p w14:paraId="6D583122">
            <w:pPr>
              <w:widowControl/>
              <w:jc w:val="center"/>
              <w:textAlignment w:val="center"/>
              <w:rPr>
                <w:szCs w:val="21"/>
              </w:rPr>
            </w:pPr>
            <w:r>
              <w:rPr>
                <w:kern w:val="0"/>
                <w:szCs w:val="21"/>
                <w:lang w:bidi="ar"/>
              </w:rPr>
              <w:t>2640</w:t>
            </w:r>
          </w:p>
        </w:tc>
        <w:tc>
          <w:tcPr>
            <w:tcW w:w="1441" w:type="dxa"/>
            <w:noWrap w:val="0"/>
            <w:vAlign w:val="center"/>
          </w:tcPr>
          <w:p w14:paraId="19076F3F">
            <w:pPr>
              <w:widowControl/>
              <w:jc w:val="center"/>
              <w:textAlignment w:val="center"/>
              <w:rPr>
                <w:szCs w:val="21"/>
              </w:rPr>
            </w:pPr>
            <w:r>
              <w:rPr>
                <w:kern w:val="0"/>
                <w:szCs w:val="21"/>
                <w:lang w:bidi="ar"/>
              </w:rPr>
              <w:t xml:space="preserve">2.7285 </w:t>
            </w:r>
          </w:p>
        </w:tc>
        <w:tc>
          <w:tcPr>
            <w:tcW w:w="4472" w:type="dxa"/>
            <w:vMerge w:val="continue"/>
            <w:noWrap w:val="0"/>
            <w:vAlign w:val="center"/>
          </w:tcPr>
          <w:p w14:paraId="4DA7A574">
            <w:pPr>
              <w:ind w:left="-105" w:leftChars="-50" w:right="-105" w:rightChars="-50"/>
              <w:jc w:val="center"/>
              <w:rPr>
                <w:szCs w:val="21"/>
              </w:rPr>
            </w:pPr>
          </w:p>
        </w:tc>
        <w:tc>
          <w:tcPr>
            <w:tcW w:w="1562" w:type="dxa"/>
            <w:noWrap w:val="0"/>
            <w:vAlign w:val="center"/>
          </w:tcPr>
          <w:p w14:paraId="66C1EE1D">
            <w:pPr>
              <w:widowControl/>
              <w:jc w:val="center"/>
              <w:textAlignment w:val="center"/>
              <w:rPr>
                <w:szCs w:val="21"/>
              </w:rPr>
            </w:pPr>
            <w:r>
              <w:rPr>
                <w:kern w:val="0"/>
                <w:szCs w:val="21"/>
                <w:lang w:bidi="ar"/>
              </w:rPr>
              <w:t>161.7</w:t>
            </w:r>
          </w:p>
        </w:tc>
        <w:tc>
          <w:tcPr>
            <w:tcW w:w="1636" w:type="dxa"/>
            <w:gridSpan w:val="2"/>
            <w:noWrap w:val="0"/>
            <w:vAlign w:val="center"/>
          </w:tcPr>
          <w:p w14:paraId="3224C086">
            <w:pPr>
              <w:widowControl/>
              <w:jc w:val="center"/>
              <w:textAlignment w:val="center"/>
              <w:rPr>
                <w:szCs w:val="21"/>
              </w:rPr>
            </w:pPr>
            <w:r>
              <w:rPr>
                <w:kern w:val="0"/>
                <w:szCs w:val="21"/>
                <w:lang w:bidi="ar"/>
              </w:rPr>
              <w:t xml:space="preserve">0.1671 </w:t>
            </w:r>
          </w:p>
        </w:tc>
      </w:tr>
      <w:tr w14:paraId="60D1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01FBC3B9">
            <w:pPr>
              <w:ind w:left="-105" w:leftChars="-50" w:right="-105" w:rightChars="-50"/>
              <w:jc w:val="center"/>
              <w:rPr>
                <w:szCs w:val="21"/>
              </w:rPr>
            </w:pPr>
          </w:p>
        </w:tc>
        <w:tc>
          <w:tcPr>
            <w:tcW w:w="1679" w:type="dxa"/>
            <w:gridSpan w:val="2"/>
            <w:vMerge w:val="continue"/>
            <w:noWrap w:val="0"/>
            <w:vAlign w:val="center"/>
          </w:tcPr>
          <w:p w14:paraId="29BDDF67">
            <w:pPr>
              <w:ind w:left="-105" w:leftChars="-50" w:right="-105" w:rightChars="-50"/>
              <w:jc w:val="center"/>
              <w:rPr>
                <w:szCs w:val="21"/>
              </w:rPr>
            </w:pPr>
          </w:p>
        </w:tc>
        <w:tc>
          <w:tcPr>
            <w:tcW w:w="868" w:type="dxa"/>
            <w:vMerge w:val="continue"/>
            <w:noWrap w:val="0"/>
            <w:vAlign w:val="center"/>
          </w:tcPr>
          <w:p w14:paraId="43074BF4">
            <w:pPr>
              <w:ind w:left="-105" w:leftChars="-50" w:right="-105" w:rightChars="-50"/>
              <w:jc w:val="center"/>
              <w:rPr>
                <w:szCs w:val="21"/>
              </w:rPr>
            </w:pPr>
          </w:p>
        </w:tc>
        <w:tc>
          <w:tcPr>
            <w:tcW w:w="987" w:type="dxa"/>
            <w:noWrap w:val="0"/>
            <w:vAlign w:val="center"/>
          </w:tcPr>
          <w:p w14:paraId="00AB3C0C">
            <w:pPr>
              <w:widowControl/>
              <w:jc w:val="center"/>
              <w:textAlignment w:val="center"/>
              <w:rPr>
                <w:szCs w:val="21"/>
              </w:rPr>
            </w:pPr>
            <w:r>
              <w:rPr>
                <w:kern w:val="0"/>
                <w:szCs w:val="21"/>
                <w:lang w:bidi="ar"/>
              </w:rPr>
              <w:t>BOD</w:t>
            </w:r>
            <w:r>
              <w:rPr>
                <w:kern w:val="0"/>
                <w:szCs w:val="21"/>
                <w:vertAlign w:val="subscript"/>
                <w:lang w:bidi="ar"/>
              </w:rPr>
              <w:t>5</w:t>
            </w:r>
          </w:p>
        </w:tc>
        <w:tc>
          <w:tcPr>
            <w:tcW w:w="1225" w:type="dxa"/>
            <w:noWrap w:val="0"/>
            <w:vAlign w:val="center"/>
          </w:tcPr>
          <w:p w14:paraId="2CCEA1E8">
            <w:pPr>
              <w:widowControl/>
              <w:jc w:val="center"/>
              <w:textAlignment w:val="center"/>
              <w:rPr>
                <w:szCs w:val="21"/>
              </w:rPr>
            </w:pPr>
            <w:r>
              <w:rPr>
                <w:kern w:val="0"/>
                <w:szCs w:val="21"/>
                <w:lang w:bidi="ar"/>
              </w:rPr>
              <w:t>1500</w:t>
            </w:r>
          </w:p>
        </w:tc>
        <w:tc>
          <w:tcPr>
            <w:tcW w:w="1441" w:type="dxa"/>
            <w:noWrap w:val="0"/>
            <w:vAlign w:val="center"/>
          </w:tcPr>
          <w:p w14:paraId="74D4F0F4">
            <w:pPr>
              <w:widowControl/>
              <w:jc w:val="center"/>
              <w:textAlignment w:val="center"/>
              <w:rPr>
                <w:szCs w:val="21"/>
              </w:rPr>
            </w:pPr>
            <w:r>
              <w:rPr>
                <w:kern w:val="0"/>
                <w:szCs w:val="21"/>
                <w:lang w:bidi="ar"/>
              </w:rPr>
              <w:t xml:space="preserve">1.5503 </w:t>
            </w:r>
          </w:p>
        </w:tc>
        <w:tc>
          <w:tcPr>
            <w:tcW w:w="4472" w:type="dxa"/>
            <w:vMerge w:val="continue"/>
            <w:noWrap w:val="0"/>
            <w:vAlign w:val="center"/>
          </w:tcPr>
          <w:p w14:paraId="3CAE89C0">
            <w:pPr>
              <w:ind w:left="-105" w:leftChars="-50" w:right="-105" w:rightChars="-50"/>
              <w:jc w:val="center"/>
              <w:rPr>
                <w:szCs w:val="21"/>
              </w:rPr>
            </w:pPr>
          </w:p>
        </w:tc>
        <w:tc>
          <w:tcPr>
            <w:tcW w:w="1598" w:type="dxa"/>
            <w:gridSpan w:val="2"/>
            <w:noWrap w:val="0"/>
            <w:vAlign w:val="center"/>
          </w:tcPr>
          <w:p w14:paraId="0A2444CA">
            <w:pPr>
              <w:widowControl/>
              <w:jc w:val="center"/>
              <w:textAlignment w:val="center"/>
              <w:rPr>
                <w:szCs w:val="21"/>
              </w:rPr>
            </w:pPr>
            <w:r>
              <w:rPr>
                <w:kern w:val="0"/>
                <w:szCs w:val="21"/>
                <w:lang w:bidi="ar"/>
              </w:rPr>
              <w:t>84</w:t>
            </w:r>
          </w:p>
        </w:tc>
        <w:tc>
          <w:tcPr>
            <w:tcW w:w="1600" w:type="dxa"/>
            <w:noWrap w:val="0"/>
            <w:vAlign w:val="center"/>
          </w:tcPr>
          <w:p w14:paraId="3F9E0914">
            <w:pPr>
              <w:widowControl/>
              <w:jc w:val="center"/>
              <w:textAlignment w:val="center"/>
              <w:rPr>
                <w:szCs w:val="21"/>
              </w:rPr>
            </w:pPr>
            <w:r>
              <w:rPr>
                <w:kern w:val="0"/>
                <w:szCs w:val="21"/>
                <w:lang w:bidi="ar"/>
              </w:rPr>
              <w:t xml:space="preserve">0.0868 </w:t>
            </w:r>
          </w:p>
        </w:tc>
      </w:tr>
      <w:tr w14:paraId="26E9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A1D2040">
            <w:pPr>
              <w:ind w:left="-105" w:leftChars="-50" w:right="-105" w:rightChars="-50"/>
              <w:jc w:val="center"/>
              <w:rPr>
                <w:szCs w:val="21"/>
              </w:rPr>
            </w:pPr>
          </w:p>
        </w:tc>
        <w:tc>
          <w:tcPr>
            <w:tcW w:w="1679" w:type="dxa"/>
            <w:gridSpan w:val="2"/>
            <w:vMerge w:val="continue"/>
            <w:noWrap w:val="0"/>
            <w:vAlign w:val="center"/>
          </w:tcPr>
          <w:p w14:paraId="4AE6F9AC">
            <w:pPr>
              <w:ind w:left="-105" w:leftChars="-50" w:right="-105" w:rightChars="-50"/>
              <w:jc w:val="center"/>
              <w:rPr>
                <w:szCs w:val="21"/>
              </w:rPr>
            </w:pPr>
          </w:p>
        </w:tc>
        <w:tc>
          <w:tcPr>
            <w:tcW w:w="868" w:type="dxa"/>
            <w:vMerge w:val="continue"/>
            <w:noWrap w:val="0"/>
            <w:vAlign w:val="center"/>
          </w:tcPr>
          <w:p w14:paraId="409439E6">
            <w:pPr>
              <w:ind w:left="-105" w:leftChars="-50" w:right="-105" w:rightChars="-50"/>
              <w:jc w:val="center"/>
              <w:rPr>
                <w:szCs w:val="21"/>
              </w:rPr>
            </w:pPr>
          </w:p>
        </w:tc>
        <w:tc>
          <w:tcPr>
            <w:tcW w:w="987" w:type="dxa"/>
            <w:noWrap w:val="0"/>
            <w:vAlign w:val="center"/>
          </w:tcPr>
          <w:p w14:paraId="5790BFBF">
            <w:pPr>
              <w:widowControl/>
              <w:jc w:val="center"/>
              <w:textAlignment w:val="center"/>
              <w:rPr>
                <w:szCs w:val="21"/>
              </w:rPr>
            </w:pPr>
            <w:r>
              <w:rPr>
                <w:kern w:val="0"/>
                <w:szCs w:val="21"/>
                <w:lang w:bidi="ar"/>
              </w:rPr>
              <w:t>SS</w:t>
            </w:r>
          </w:p>
        </w:tc>
        <w:tc>
          <w:tcPr>
            <w:tcW w:w="1225" w:type="dxa"/>
            <w:noWrap w:val="0"/>
            <w:vAlign w:val="center"/>
          </w:tcPr>
          <w:p w14:paraId="5C13327F">
            <w:pPr>
              <w:widowControl/>
              <w:jc w:val="center"/>
              <w:textAlignment w:val="center"/>
              <w:rPr>
                <w:szCs w:val="21"/>
              </w:rPr>
            </w:pPr>
            <w:r>
              <w:rPr>
                <w:kern w:val="0"/>
                <w:szCs w:val="21"/>
                <w:lang w:bidi="ar"/>
              </w:rPr>
              <w:t>3300</w:t>
            </w:r>
          </w:p>
        </w:tc>
        <w:tc>
          <w:tcPr>
            <w:tcW w:w="1441" w:type="dxa"/>
            <w:noWrap w:val="0"/>
            <w:vAlign w:val="center"/>
          </w:tcPr>
          <w:p w14:paraId="11A3684A">
            <w:pPr>
              <w:widowControl/>
              <w:jc w:val="center"/>
              <w:textAlignment w:val="center"/>
              <w:rPr>
                <w:szCs w:val="21"/>
              </w:rPr>
            </w:pPr>
            <w:r>
              <w:rPr>
                <w:kern w:val="0"/>
                <w:szCs w:val="21"/>
                <w:lang w:bidi="ar"/>
              </w:rPr>
              <w:t xml:space="preserve">3.4106 </w:t>
            </w:r>
          </w:p>
        </w:tc>
        <w:tc>
          <w:tcPr>
            <w:tcW w:w="4472" w:type="dxa"/>
            <w:vMerge w:val="continue"/>
            <w:noWrap w:val="0"/>
            <w:vAlign w:val="center"/>
          </w:tcPr>
          <w:p w14:paraId="014CAA86">
            <w:pPr>
              <w:ind w:left="-105" w:leftChars="-50" w:right="-105" w:rightChars="-50"/>
              <w:jc w:val="center"/>
              <w:rPr>
                <w:szCs w:val="21"/>
              </w:rPr>
            </w:pPr>
          </w:p>
        </w:tc>
        <w:tc>
          <w:tcPr>
            <w:tcW w:w="1598" w:type="dxa"/>
            <w:gridSpan w:val="2"/>
            <w:noWrap w:val="0"/>
            <w:vAlign w:val="center"/>
          </w:tcPr>
          <w:p w14:paraId="0D311B4D">
            <w:pPr>
              <w:widowControl/>
              <w:jc w:val="center"/>
              <w:textAlignment w:val="center"/>
              <w:rPr>
                <w:szCs w:val="21"/>
              </w:rPr>
            </w:pPr>
            <w:r>
              <w:rPr>
                <w:kern w:val="0"/>
                <w:szCs w:val="21"/>
                <w:lang w:bidi="ar"/>
              </w:rPr>
              <w:t>118.8</w:t>
            </w:r>
          </w:p>
        </w:tc>
        <w:tc>
          <w:tcPr>
            <w:tcW w:w="1600" w:type="dxa"/>
            <w:noWrap w:val="0"/>
            <w:vAlign w:val="center"/>
          </w:tcPr>
          <w:p w14:paraId="6F75DB50">
            <w:pPr>
              <w:widowControl/>
              <w:jc w:val="center"/>
              <w:textAlignment w:val="center"/>
              <w:rPr>
                <w:szCs w:val="21"/>
              </w:rPr>
            </w:pPr>
            <w:r>
              <w:rPr>
                <w:kern w:val="0"/>
                <w:szCs w:val="21"/>
                <w:lang w:bidi="ar"/>
              </w:rPr>
              <w:t xml:space="preserve">0.1228 </w:t>
            </w:r>
          </w:p>
        </w:tc>
      </w:tr>
      <w:tr w14:paraId="2F71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47E0D3A2">
            <w:pPr>
              <w:ind w:left="-105" w:leftChars="-50" w:right="-105" w:rightChars="-50"/>
              <w:jc w:val="center"/>
              <w:rPr>
                <w:szCs w:val="21"/>
              </w:rPr>
            </w:pPr>
          </w:p>
        </w:tc>
        <w:tc>
          <w:tcPr>
            <w:tcW w:w="1679" w:type="dxa"/>
            <w:gridSpan w:val="2"/>
            <w:vMerge w:val="continue"/>
            <w:noWrap w:val="0"/>
            <w:vAlign w:val="center"/>
          </w:tcPr>
          <w:p w14:paraId="2E1E8DE3">
            <w:pPr>
              <w:ind w:left="-105" w:leftChars="-50" w:right="-105" w:rightChars="-50"/>
              <w:jc w:val="center"/>
              <w:rPr>
                <w:szCs w:val="21"/>
              </w:rPr>
            </w:pPr>
          </w:p>
        </w:tc>
        <w:tc>
          <w:tcPr>
            <w:tcW w:w="868" w:type="dxa"/>
            <w:vMerge w:val="continue"/>
            <w:noWrap w:val="0"/>
            <w:vAlign w:val="center"/>
          </w:tcPr>
          <w:p w14:paraId="2DEAB367">
            <w:pPr>
              <w:ind w:left="-105" w:leftChars="-50" w:right="-105" w:rightChars="-50"/>
              <w:jc w:val="center"/>
              <w:rPr>
                <w:szCs w:val="21"/>
              </w:rPr>
            </w:pPr>
          </w:p>
        </w:tc>
        <w:tc>
          <w:tcPr>
            <w:tcW w:w="987" w:type="dxa"/>
            <w:noWrap w:val="0"/>
            <w:vAlign w:val="center"/>
          </w:tcPr>
          <w:p w14:paraId="622DCFFC">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225" w:type="dxa"/>
            <w:noWrap w:val="0"/>
            <w:vAlign w:val="center"/>
          </w:tcPr>
          <w:p w14:paraId="01A31D89">
            <w:pPr>
              <w:widowControl/>
              <w:jc w:val="center"/>
              <w:textAlignment w:val="center"/>
              <w:rPr>
                <w:szCs w:val="21"/>
              </w:rPr>
            </w:pPr>
            <w:r>
              <w:rPr>
                <w:kern w:val="0"/>
                <w:szCs w:val="21"/>
                <w:lang w:bidi="ar"/>
              </w:rPr>
              <w:t>261</w:t>
            </w:r>
          </w:p>
        </w:tc>
        <w:tc>
          <w:tcPr>
            <w:tcW w:w="1441" w:type="dxa"/>
            <w:noWrap w:val="0"/>
            <w:vAlign w:val="center"/>
          </w:tcPr>
          <w:p w14:paraId="3BDFD337">
            <w:pPr>
              <w:widowControl/>
              <w:jc w:val="center"/>
              <w:textAlignment w:val="center"/>
              <w:rPr>
                <w:szCs w:val="21"/>
              </w:rPr>
            </w:pPr>
            <w:r>
              <w:rPr>
                <w:kern w:val="0"/>
                <w:szCs w:val="21"/>
                <w:lang w:bidi="ar"/>
              </w:rPr>
              <w:t xml:space="preserve">0.2697 </w:t>
            </w:r>
          </w:p>
        </w:tc>
        <w:tc>
          <w:tcPr>
            <w:tcW w:w="4472" w:type="dxa"/>
            <w:vMerge w:val="continue"/>
            <w:noWrap w:val="0"/>
            <w:vAlign w:val="center"/>
          </w:tcPr>
          <w:p w14:paraId="77633FFE">
            <w:pPr>
              <w:ind w:left="-105" w:leftChars="-50" w:right="-105" w:rightChars="-50"/>
              <w:jc w:val="center"/>
              <w:rPr>
                <w:szCs w:val="21"/>
              </w:rPr>
            </w:pPr>
          </w:p>
        </w:tc>
        <w:tc>
          <w:tcPr>
            <w:tcW w:w="1598" w:type="dxa"/>
            <w:gridSpan w:val="2"/>
            <w:noWrap w:val="0"/>
            <w:vAlign w:val="center"/>
          </w:tcPr>
          <w:p w14:paraId="3DA8D52C">
            <w:pPr>
              <w:widowControl/>
              <w:jc w:val="center"/>
              <w:textAlignment w:val="center"/>
              <w:rPr>
                <w:szCs w:val="21"/>
              </w:rPr>
            </w:pPr>
            <w:r>
              <w:rPr>
                <w:kern w:val="0"/>
                <w:szCs w:val="21"/>
                <w:lang w:bidi="ar"/>
              </w:rPr>
              <w:t>169.13</w:t>
            </w:r>
          </w:p>
        </w:tc>
        <w:tc>
          <w:tcPr>
            <w:tcW w:w="1600" w:type="dxa"/>
            <w:noWrap w:val="0"/>
            <w:vAlign w:val="center"/>
          </w:tcPr>
          <w:p w14:paraId="5681DB3B">
            <w:pPr>
              <w:widowControl/>
              <w:jc w:val="center"/>
              <w:textAlignment w:val="center"/>
              <w:rPr>
                <w:szCs w:val="21"/>
              </w:rPr>
            </w:pPr>
            <w:r>
              <w:rPr>
                <w:kern w:val="0"/>
                <w:szCs w:val="21"/>
                <w:lang w:bidi="ar"/>
              </w:rPr>
              <w:t xml:space="preserve">0.1748 </w:t>
            </w:r>
          </w:p>
        </w:tc>
      </w:tr>
      <w:tr w14:paraId="59D7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9C1A2B0">
            <w:pPr>
              <w:ind w:left="-105" w:leftChars="-50" w:right="-105" w:rightChars="-50"/>
              <w:jc w:val="center"/>
              <w:rPr>
                <w:szCs w:val="21"/>
              </w:rPr>
            </w:pPr>
          </w:p>
        </w:tc>
        <w:tc>
          <w:tcPr>
            <w:tcW w:w="1679" w:type="dxa"/>
            <w:gridSpan w:val="2"/>
            <w:vMerge w:val="continue"/>
            <w:noWrap w:val="0"/>
            <w:vAlign w:val="center"/>
          </w:tcPr>
          <w:p w14:paraId="1596BF65">
            <w:pPr>
              <w:ind w:left="-105" w:leftChars="-50" w:right="-105" w:rightChars="-50"/>
              <w:jc w:val="center"/>
              <w:rPr>
                <w:szCs w:val="21"/>
              </w:rPr>
            </w:pPr>
          </w:p>
        </w:tc>
        <w:tc>
          <w:tcPr>
            <w:tcW w:w="868" w:type="dxa"/>
            <w:vMerge w:val="continue"/>
            <w:noWrap w:val="0"/>
            <w:vAlign w:val="center"/>
          </w:tcPr>
          <w:p w14:paraId="12BAECC0">
            <w:pPr>
              <w:ind w:left="-105" w:leftChars="-50" w:right="-105" w:rightChars="-50"/>
              <w:jc w:val="center"/>
              <w:rPr>
                <w:szCs w:val="21"/>
              </w:rPr>
            </w:pPr>
          </w:p>
        </w:tc>
        <w:tc>
          <w:tcPr>
            <w:tcW w:w="987" w:type="dxa"/>
            <w:noWrap w:val="0"/>
            <w:vAlign w:val="center"/>
          </w:tcPr>
          <w:p w14:paraId="68D8AA96">
            <w:pPr>
              <w:widowControl/>
              <w:jc w:val="center"/>
              <w:textAlignment w:val="center"/>
              <w:rPr>
                <w:szCs w:val="21"/>
              </w:rPr>
            </w:pPr>
            <w:r>
              <w:rPr>
                <w:kern w:val="0"/>
                <w:szCs w:val="21"/>
                <w:lang w:bidi="ar"/>
              </w:rPr>
              <w:t>TN</w:t>
            </w:r>
          </w:p>
        </w:tc>
        <w:tc>
          <w:tcPr>
            <w:tcW w:w="1225" w:type="dxa"/>
            <w:noWrap w:val="0"/>
            <w:vAlign w:val="center"/>
          </w:tcPr>
          <w:p w14:paraId="2554836D">
            <w:pPr>
              <w:widowControl/>
              <w:jc w:val="center"/>
              <w:textAlignment w:val="center"/>
              <w:rPr>
                <w:szCs w:val="21"/>
              </w:rPr>
            </w:pPr>
            <w:r>
              <w:rPr>
                <w:kern w:val="0"/>
                <w:szCs w:val="21"/>
                <w:lang w:bidi="ar"/>
              </w:rPr>
              <w:t>370</w:t>
            </w:r>
          </w:p>
        </w:tc>
        <w:tc>
          <w:tcPr>
            <w:tcW w:w="1441" w:type="dxa"/>
            <w:noWrap w:val="0"/>
            <w:vAlign w:val="center"/>
          </w:tcPr>
          <w:p w14:paraId="745272A2">
            <w:pPr>
              <w:widowControl/>
              <w:jc w:val="center"/>
              <w:textAlignment w:val="center"/>
              <w:rPr>
                <w:szCs w:val="21"/>
              </w:rPr>
            </w:pPr>
            <w:r>
              <w:rPr>
                <w:kern w:val="0"/>
                <w:szCs w:val="21"/>
                <w:lang w:bidi="ar"/>
              </w:rPr>
              <w:t xml:space="preserve">0.3824 </w:t>
            </w:r>
          </w:p>
        </w:tc>
        <w:tc>
          <w:tcPr>
            <w:tcW w:w="4472" w:type="dxa"/>
            <w:vMerge w:val="continue"/>
            <w:noWrap w:val="0"/>
            <w:vAlign w:val="center"/>
          </w:tcPr>
          <w:p w14:paraId="5E7AE2AE">
            <w:pPr>
              <w:ind w:left="-105" w:leftChars="-50" w:right="-105" w:rightChars="-50"/>
              <w:jc w:val="center"/>
              <w:rPr>
                <w:szCs w:val="21"/>
              </w:rPr>
            </w:pPr>
          </w:p>
        </w:tc>
        <w:tc>
          <w:tcPr>
            <w:tcW w:w="1598" w:type="dxa"/>
            <w:gridSpan w:val="2"/>
            <w:noWrap w:val="0"/>
            <w:vAlign w:val="center"/>
          </w:tcPr>
          <w:p w14:paraId="3E88D5D1">
            <w:pPr>
              <w:widowControl/>
              <w:jc w:val="center"/>
              <w:textAlignment w:val="center"/>
              <w:rPr>
                <w:szCs w:val="21"/>
              </w:rPr>
            </w:pPr>
            <w:r>
              <w:rPr>
                <w:kern w:val="0"/>
                <w:szCs w:val="21"/>
                <w:lang w:bidi="ar"/>
              </w:rPr>
              <w:t>263.06</w:t>
            </w:r>
          </w:p>
        </w:tc>
        <w:tc>
          <w:tcPr>
            <w:tcW w:w="1600" w:type="dxa"/>
            <w:noWrap w:val="0"/>
            <w:vAlign w:val="center"/>
          </w:tcPr>
          <w:p w14:paraId="14F8F091">
            <w:pPr>
              <w:widowControl/>
              <w:jc w:val="center"/>
              <w:textAlignment w:val="center"/>
              <w:rPr>
                <w:szCs w:val="21"/>
              </w:rPr>
            </w:pPr>
            <w:r>
              <w:rPr>
                <w:kern w:val="0"/>
                <w:szCs w:val="21"/>
                <w:lang w:bidi="ar"/>
              </w:rPr>
              <w:t xml:space="preserve">0.2719 </w:t>
            </w:r>
          </w:p>
        </w:tc>
      </w:tr>
      <w:tr w14:paraId="39AD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2908F2FF">
            <w:pPr>
              <w:ind w:left="-105" w:leftChars="-50" w:right="-105" w:rightChars="-50"/>
              <w:jc w:val="center"/>
              <w:rPr>
                <w:szCs w:val="21"/>
              </w:rPr>
            </w:pPr>
          </w:p>
        </w:tc>
        <w:tc>
          <w:tcPr>
            <w:tcW w:w="1679" w:type="dxa"/>
            <w:gridSpan w:val="2"/>
            <w:vMerge w:val="continue"/>
            <w:noWrap w:val="0"/>
            <w:vAlign w:val="center"/>
          </w:tcPr>
          <w:p w14:paraId="6C3DC53A">
            <w:pPr>
              <w:ind w:left="-105" w:leftChars="-50" w:right="-105" w:rightChars="-50"/>
              <w:jc w:val="center"/>
              <w:rPr>
                <w:szCs w:val="21"/>
              </w:rPr>
            </w:pPr>
          </w:p>
        </w:tc>
        <w:tc>
          <w:tcPr>
            <w:tcW w:w="868" w:type="dxa"/>
            <w:vMerge w:val="continue"/>
            <w:noWrap w:val="0"/>
            <w:vAlign w:val="center"/>
          </w:tcPr>
          <w:p w14:paraId="4B769B7C">
            <w:pPr>
              <w:ind w:left="-105" w:leftChars="-50" w:right="-105" w:rightChars="-50"/>
              <w:jc w:val="center"/>
              <w:rPr>
                <w:szCs w:val="21"/>
              </w:rPr>
            </w:pPr>
          </w:p>
        </w:tc>
        <w:tc>
          <w:tcPr>
            <w:tcW w:w="987" w:type="dxa"/>
            <w:noWrap w:val="0"/>
            <w:vAlign w:val="center"/>
          </w:tcPr>
          <w:p w14:paraId="3E006831">
            <w:pPr>
              <w:widowControl/>
              <w:jc w:val="center"/>
              <w:textAlignment w:val="center"/>
              <w:rPr>
                <w:szCs w:val="21"/>
              </w:rPr>
            </w:pPr>
            <w:r>
              <w:rPr>
                <w:kern w:val="0"/>
                <w:szCs w:val="21"/>
                <w:lang w:bidi="ar"/>
              </w:rPr>
              <w:t>TP</w:t>
            </w:r>
          </w:p>
        </w:tc>
        <w:tc>
          <w:tcPr>
            <w:tcW w:w="1225" w:type="dxa"/>
            <w:noWrap w:val="0"/>
            <w:vAlign w:val="center"/>
          </w:tcPr>
          <w:p w14:paraId="70A082ED">
            <w:pPr>
              <w:widowControl/>
              <w:jc w:val="center"/>
              <w:textAlignment w:val="center"/>
              <w:rPr>
                <w:szCs w:val="21"/>
              </w:rPr>
            </w:pPr>
            <w:r>
              <w:rPr>
                <w:kern w:val="0"/>
                <w:szCs w:val="21"/>
                <w:lang w:bidi="ar"/>
              </w:rPr>
              <w:t>127</w:t>
            </w:r>
          </w:p>
        </w:tc>
        <w:tc>
          <w:tcPr>
            <w:tcW w:w="1441" w:type="dxa"/>
            <w:noWrap w:val="0"/>
            <w:vAlign w:val="center"/>
          </w:tcPr>
          <w:p w14:paraId="72AB9360">
            <w:pPr>
              <w:widowControl/>
              <w:jc w:val="center"/>
              <w:textAlignment w:val="center"/>
              <w:rPr>
                <w:szCs w:val="21"/>
              </w:rPr>
            </w:pPr>
            <w:r>
              <w:rPr>
                <w:kern w:val="0"/>
                <w:szCs w:val="21"/>
                <w:lang w:bidi="ar"/>
              </w:rPr>
              <w:t xml:space="preserve">0.1313 </w:t>
            </w:r>
          </w:p>
        </w:tc>
        <w:tc>
          <w:tcPr>
            <w:tcW w:w="4472" w:type="dxa"/>
            <w:vMerge w:val="continue"/>
            <w:noWrap w:val="0"/>
            <w:vAlign w:val="center"/>
          </w:tcPr>
          <w:p w14:paraId="501C4C5D">
            <w:pPr>
              <w:ind w:left="-105" w:leftChars="-50" w:right="-105" w:rightChars="-50"/>
              <w:jc w:val="center"/>
              <w:rPr>
                <w:szCs w:val="21"/>
              </w:rPr>
            </w:pPr>
          </w:p>
        </w:tc>
        <w:tc>
          <w:tcPr>
            <w:tcW w:w="1598" w:type="dxa"/>
            <w:gridSpan w:val="2"/>
            <w:noWrap w:val="0"/>
            <w:vAlign w:val="center"/>
          </w:tcPr>
          <w:p w14:paraId="397706FC">
            <w:pPr>
              <w:widowControl/>
              <w:jc w:val="center"/>
              <w:textAlignment w:val="center"/>
              <w:rPr>
                <w:szCs w:val="21"/>
              </w:rPr>
            </w:pPr>
            <w:r>
              <w:rPr>
                <w:kern w:val="0"/>
                <w:szCs w:val="21"/>
                <w:lang w:bidi="ar"/>
              </w:rPr>
              <w:t>22.75</w:t>
            </w:r>
          </w:p>
        </w:tc>
        <w:tc>
          <w:tcPr>
            <w:tcW w:w="1600" w:type="dxa"/>
            <w:noWrap w:val="0"/>
            <w:vAlign w:val="center"/>
          </w:tcPr>
          <w:p w14:paraId="7254787F">
            <w:pPr>
              <w:widowControl/>
              <w:jc w:val="center"/>
              <w:textAlignment w:val="center"/>
              <w:rPr>
                <w:szCs w:val="21"/>
              </w:rPr>
            </w:pPr>
            <w:r>
              <w:rPr>
                <w:kern w:val="0"/>
                <w:szCs w:val="21"/>
                <w:lang w:bidi="ar"/>
              </w:rPr>
              <w:t xml:space="preserve">0.0235 </w:t>
            </w:r>
          </w:p>
        </w:tc>
      </w:tr>
      <w:tr w14:paraId="6091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124FD261">
            <w:pPr>
              <w:ind w:left="-105" w:leftChars="-50" w:right="-105" w:rightChars="-50"/>
              <w:jc w:val="center"/>
              <w:rPr>
                <w:szCs w:val="21"/>
              </w:rPr>
            </w:pPr>
          </w:p>
        </w:tc>
        <w:tc>
          <w:tcPr>
            <w:tcW w:w="1679" w:type="dxa"/>
            <w:gridSpan w:val="2"/>
            <w:vMerge w:val="restart"/>
            <w:noWrap w:val="0"/>
            <w:vAlign w:val="center"/>
          </w:tcPr>
          <w:p w14:paraId="667291D0">
            <w:pPr>
              <w:ind w:left="-105" w:leftChars="-50" w:right="-105" w:rightChars="-50"/>
              <w:jc w:val="center"/>
              <w:rPr>
                <w:szCs w:val="21"/>
              </w:rPr>
            </w:pPr>
            <w:r>
              <w:rPr>
                <w:kern w:val="0"/>
                <w:szCs w:val="21"/>
                <w:lang w:bidi="ar"/>
              </w:rPr>
              <w:t>4号地（鑫旺板块位置）</w:t>
            </w:r>
            <w:r>
              <w:rPr>
                <w:szCs w:val="21"/>
              </w:rPr>
              <w:t>废水</w:t>
            </w:r>
          </w:p>
        </w:tc>
        <w:tc>
          <w:tcPr>
            <w:tcW w:w="868" w:type="dxa"/>
            <w:vMerge w:val="restart"/>
            <w:noWrap w:val="0"/>
            <w:vAlign w:val="center"/>
          </w:tcPr>
          <w:p w14:paraId="425BC18D">
            <w:pPr>
              <w:ind w:left="-105" w:leftChars="-50" w:right="-105" w:rightChars="-50"/>
              <w:jc w:val="center"/>
              <w:rPr>
                <w:szCs w:val="21"/>
              </w:rPr>
            </w:pPr>
            <w:r>
              <w:rPr>
                <w:szCs w:val="21"/>
              </w:rPr>
              <w:t>混合污水</w:t>
            </w:r>
          </w:p>
        </w:tc>
        <w:tc>
          <w:tcPr>
            <w:tcW w:w="987" w:type="dxa"/>
            <w:noWrap w:val="0"/>
            <w:vAlign w:val="center"/>
          </w:tcPr>
          <w:p w14:paraId="3AA51E2D">
            <w:pPr>
              <w:widowControl/>
              <w:jc w:val="center"/>
              <w:textAlignment w:val="center"/>
              <w:rPr>
                <w:szCs w:val="21"/>
              </w:rPr>
            </w:pPr>
            <w:r>
              <w:rPr>
                <w:kern w:val="0"/>
                <w:szCs w:val="21"/>
                <w:lang w:bidi="ar"/>
              </w:rPr>
              <w:t>废水量</w:t>
            </w:r>
          </w:p>
        </w:tc>
        <w:tc>
          <w:tcPr>
            <w:tcW w:w="1225" w:type="dxa"/>
            <w:noWrap w:val="0"/>
            <w:vAlign w:val="center"/>
          </w:tcPr>
          <w:p w14:paraId="2680A2C9">
            <w:pPr>
              <w:jc w:val="center"/>
              <w:rPr>
                <w:rFonts w:hint="eastAsia"/>
                <w:szCs w:val="21"/>
              </w:rPr>
            </w:pPr>
            <w:r>
              <w:rPr>
                <w:rFonts w:hint="eastAsia"/>
                <w:szCs w:val="21"/>
              </w:rPr>
              <w:t>/</w:t>
            </w:r>
          </w:p>
        </w:tc>
        <w:tc>
          <w:tcPr>
            <w:tcW w:w="1441" w:type="dxa"/>
            <w:noWrap w:val="0"/>
            <w:vAlign w:val="center"/>
          </w:tcPr>
          <w:p w14:paraId="2B14BD50">
            <w:pPr>
              <w:widowControl/>
              <w:jc w:val="center"/>
              <w:textAlignment w:val="center"/>
              <w:rPr>
                <w:szCs w:val="21"/>
              </w:rPr>
            </w:pPr>
            <w:r>
              <w:rPr>
                <w:kern w:val="0"/>
                <w:szCs w:val="21"/>
                <w:lang w:bidi="ar"/>
              </w:rPr>
              <w:t>2690.11</w:t>
            </w:r>
          </w:p>
        </w:tc>
        <w:tc>
          <w:tcPr>
            <w:tcW w:w="4472" w:type="dxa"/>
            <w:vMerge w:val="restart"/>
            <w:noWrap w:val="0"/>
            <w:vAlign w:val="center"/>
          </w:tcPr>
          <w:p w14:paraId="246B8F12">
            <w:pPr>
              <w:ind w:left="-105" w:leftChars="-50" w:right="-105" w:rightChars="-50"/>
              <w:jc w:val="center"/>
              <w:rPr>
                <w:szCs w:val="21"/>
              </w:rPr>
            </w:pPr>
            <w:r>
              <w:rPr>
                <w:szCs w:val="21"/>
              </w:rPr>
              <w:t>集中收集+固液分离+平流气浮+调节池+沼气池（UASB反应器）+沼液储存池储存后罐车云至苹果园回用</w:t>
            </w:r>
          </w:p>
        </w:tc>
        <w:tc>
          <w:tcPr>
            <w:tcW w:w="1598" w:type="dxa"/>
            <w:gridSpan w:val="2"/>
            <w:noWrap w:val="0"/>
            <w:vAlign w:val="center"/>
          </w:tcPr>
          <w:p w14:paraId="504BE0DC">
            <w:pPr>
              <w:jc w:val="center"/>
              <w:rPr>
                <w:szCs w:val="21"/>
              </w:rPr>
            </w:pPr>
            <w:r>
              <w:rPr>
                <w:szCs w:val="21"/>
              </w:rPr>
              <w:t>/</w:t>
            </w:r>
          </w:p>
        </w:tc>
        <w:tc>
          <w:tcPr>
            <w:tcW w:w="1600" w:type="dxa"/>
            <w:noWrap w:val="0"/>
            <w:vAlign w:val="center"/>
          </w:tcPr>
          <w:p w14:paraId="27DF7F2D">
            <w:pPr>
              <w:widowControl/>
              <w:jc w:val="center"/>
              <w:textAlignment w:val="center"/>
              <w:rPr>
                <w:szCs w:val="21"/>
              </w:rPr>
            </w:pPr>
            <w:r>
              <w:rPr>
                <w:kern w:val="0"/>
                <w:szCs w:val="21"/>
                <w:lang w:bidi="ar"/>
              </w:rPr>
              <w:t>2690.11</w:t>
            </w:r>
          </w:p>
        </w:tc>
      </w:tr>
      <w:tr w14:paraId="7A57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546952E8">
            <w:pPr>
              <w:ind w:left="-105" w:leftChars="-50" w:right="-105" w:rightChars="-50"/>
              <w:jc w:val="center"/>
              <w:rPr>
                <w:szCs w:val="21"/>
              </w:rPr>
            </w:pPr>
          </w:p>
        </w:tc>
        <w:tc>
          <w:tcPr>
            <w:tcW w:w="1679" w:type="dxa"/>
            <w:gridSpan w:val="2"/>
            <w:vMerge w:val="continue"/>
            <w:noWrap w:val="0"/>
            <w:vAlign w:val="center"/>
          </w:tcPr>
          <w:p w14:paraId="17BB86F5">
            <w:pPr>
              <w:ind w:left="-105" w:leftChars="-50" w:right="-105" w:rightChars="-50"/>
              <w:jc w:val="center"/>
              <w:rPr>
                <w:szCs w:val="21"/>
              </w:rPr>
            </w:pPr>
          </w:p>
        </w:tc>
        <w:tc>
          <w:tcPr>
            <w:tcW w:w="868" w:type="dxa"/>
            <w:vMerge w:val="continue"/>
            <w:noWrap w:val="0"/>
            <w:vAlign w:val="center"/>
          </w:tcPr>
          <w:p w14:paraId="429A3702">
            <w:pPr>
              <w:ind w:left="-105" w:leftChars="-50" w:right="-105" w:rightChars="-50"/>
              <w:jc w:val="center"/>
              <w:rPr>
                <w:szCs w:val="21"/>
              </w:rPr>
            </w:pPr>
          </w:p>
        </w:tc>
        <w:tc>
          <w:tcPr>
            <w:tcW w:w="987" w:type="dxa"/>
            <w:noWrap w:val="0"/>
            <w:vAlign w:val="center"/>
          </w:tcPr>
          <w:p w14:paraId="69EDF147">
            <w:pPr>
              <w:widowControl/>
              <w:jc w:val="center"/>
              <w:textAlignment w:val="center"/>
              <w:rPr>
                <w:szCs w:val="21"/>
              </w:rPr>
            </w:pPr>
            <w:r>
              <w:rPr>
                <w:kern w:val="0"/>
                <w:szCs w:val="21"/>
                <w:lang w:bidi="ar"/>
              </w:rPr>
              <w:t>CODcr</w:t>
            </w:r>
          </w:p>
        </w:tc>
        <w:tc>
          <w:tcPr>
            <w:tcW w:w="1225" w:type="dxa"/>
            <w:noWrap w:val="0"/>
            <w:vAlign w:val="center"/>
          </w:tcPr>
          <w:p w14:paraId="6EC8C7BC">
            <w:pPr>
              <w:widowControl/>
              <w:jc w:val="center"/>
              <w:textAlignment w:val="center"/>
              <w:rPr>
                <w:szCs w:val="21"/>
              </w:rPr>
            </w:pPr>
            <w:r>
              <w:rPr>
                <w:kern w:val="0"/>
                <w:szCs w:val="21"/>
                <w:lang w:bidi="ar"/>
              </w:rPr>
              <w:t>2640</w:t>
            </w:r>
          </w:p>
        </w:tc>
        <w:tc>
          <w:tcPr>
            <w:tcW w:w="1441" w:type="dxa"/>
            <w:noWrap w:val="0"/>
            <w:vAlign w:val="center"/>
          </w:tcPr>
          <w:p w14:paraId="78F7261D">
            <w:pPr>
              <w:widowControl/>
              <w:jc w:val="center"/>
              <w:textAlignment w:val="center"/>
              <w:rPr>
                <w:szCs w:val="21"/>
              </w:rPr>
            </w:pPr>
            <w:r>
              <w:rPr>
                <w:kern w:val="0"/>
                <w:szCs w:val="21"/>
                <w:lang w:bidi="ar"/>
              </w:rPr>
              <w:t xml:space="preserve">7.1019 </w:t>
            </w:r>
          </w:p>
        </w:tc>
        <w:tc>
          <w:tcPr>
            <w:tcW w:w="4472" w:type="dxa"/>
            <w:vMerge w:val="continue"/>
            <w:noWrap w:val="0"/>
            <w:vAlign w:val="center"/>
          </w:tcPr>
          <w:p w14:paraId="2011D1D2">
            <w:pPr>
              <w:ind w:left="-105" w:leftChars="-50" w:right="-105" w:rightChars="-50"/>
              <w:jc w:val="center"/>
              <w:rPr>
                <w:szCs w:val="21"/>
              </w:rPr>
            </w:pPr>
          </w:p>
        </w:tc>
        <w:tc>
          <w:tcPr>
            <w:tcW w:w="1598" w:type="dxa"/>
            <w:gridSpan w:val="2"/>
            <w:noWrap w:val="0"/>
            <w:vAlign w:val="center"/>
          </w:tcPr>
          <w:p w14:paraId="6E08BBA0">
            <w:pPr>
              <w:widowControl/>
              <w:jc w:val="center"/>
              <w:textAlignment w:val="center"/>
              <w:rPr>
                <w:szCs w:val="21"/>
              </w:rPr>
            </w:pPr>
            <w:r>
              <w:rPr>
                <w:kern w:val="0"/>
                <w:szCs w:val="21"/>
                <w:lang w:bidi="ar"/>
              </w:rPr>
              <w:t>161.7</w:t>
            </w:r>
          </w:p>
        </w:tc>
        <w:tc>
          <w:tcPr>
            <w:tcW w:w="1600" w:type="dxa"/>
            <w:noWrap w:val="0"/>
            <w:vAlign w:val="center"/>
          </w:tcPr>
          <w:p w14:paraId="1AACA3B9">
            <w:pPr>
              <w:widowControl/>
              <w:jc w:val="center"/>
              <w:textAlignment w:val="center"/>
              <w:rPr>
                <w:szCs w:val="21"/>
              </w:rPr>
            </w:pPr>
            <w:r>
              <w:rPr>
                <w:kern w:val="0"/>
                <w:szCs w:val="21"/>
                <w:lang w:bidi="ar"/>
              </w:rPr>
              <w:t xml:space="preserve">0.4350 </w:t>
            </w:r>
          </w:p>
        </w:tc>
      </w:tr>
      <w:tr w14:paraId="1072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4EB2337D">
            <w:pPr>
              <w:ind w:left="-105" w:leftChars="-50" w:right="-105" w:rightChars="-50"/>
              <w:jc w:val="center"/>
              <w:rPr>
                <w:szCs w:val="21"/>
              </w:rPr>
            </w:pPr>
          </w:p>
        </w:tc>
        <w:tc>
          <w:tcPr>
            <w:tcW w:w="1679" w:type="dxa"/>
            <w:gridSpan w:val="2"/>
            <w:vMerge w:val="continue"/>
            <w:noWrap w:val="0"/>
            <w:vAlign w:val="center"/>
          </w:tcPr>
          <w:p w14:paraId="54BF79B0">
            <w:pPr>
              <w:ind w:left="-105" w:leftChars="-50" w:right="-105" w:rightChars="-50"/>
              <w:jc w:val="center"/>
              <w:rPr>
                <w:szCs w:val="21"/>
              </w:rPr>
            </w:pPr>
          </w:p>
        </w:tc>
        <w:tc>
          <w:tcPr>
            <w:tcW w:w="868" w:type="dxa"/>
            <w:vMerge w:val="continue"/>
            <w:noWrap w:val="0"/>
            <w:vAlign w:val="center"/>
          </w:tcPr>
          <w:p w14:paraId="48C35B97">
            <w:pPr>
              <w:ind w:left="-105" w:leftChars="-50" w:right="-105" w:rightChars="-50"/>
              <w:jc w:val="center"/>
              <w:rPr>
                <w:szCs w:val="21"/>
              </w:rPr>
            </w:pPr>
          </w:p>
        </w:tc>
        <w:tc>
          <w:tcPr>
            <w:tcW w:w="987" w:type="dxa"/>
            <w:noWrap w:val="0"/>
            <w:vAlign w:val="center"/>
          </w:tcPr>
          <w:p w14:paraId="6EB7ECCF">
            <w:pPr>
              <w:widowControl/>
              <w:jc w:val="center"/>
              <w:textAlignment w:val="center"/>
              <w:rPr>
                <w:szCs w:val="21"/>
              </w:rPr>
            </w:pPr>
            <w:r>
              <w:rPr>
                <w:kern w:val="0"/>
                <w:szCs w:val="21"/>
                <w:lang w:bidi="ar"/>
              </w:rPr>
              <w:t>BOD</w:t>
            </w:r>
            <w:r>
              <w:rPr>
                <w:kern w:val="0"/>
                <w:szCs w:val="21"/>
                <w:vertAlign w:val="subscript"/>
                <w:lang w:bidi="ar"/>
              </w:rPr>
              <w:t>5</w:t>
            </w:r>
          </w:p>
        </w:tc>
        <w:tc>
          <w:tcPr>
            <w:tcW w:w="1225" w:type="dxa"/>
            <w:noWrap w:val="0"/>
            <w:vAlign w:val="center"/>
          </w:tcPr>
          <w:p w14:paraId="240C2B67">
            <w:pPr>
              <w:widowControl/>
              <w:jc w:val="center"/>
              <w:textAlignment w:val="center"/>
              <w:rPr>
                <w:szCs w:val="21"/>
              </w:rPr>
            </w:pPr>
            <w:r>
              <w:rPr>
                <w:kern w:val="0"/>
                <w:szCs w:val="21"/>
                <w:lang w:bidi="ar"/>
              </w:rPr>
              <w:t>1500</w:t>
            </w:r>
          </w:p>
        </w:tc>
        <w:tc>
          <w:tcPr>
            <w:tcW w:w="1441" w:type="dxa"/>
            <w:noWrap w:val="0"/>
            <w:vAlign w:val="center"/>
          </w:tcPr>
          <w:p w14:paraId="2AF105E4">
            <w:pPr>
              <w:widowControl/>
              <w:jc w:val="center"/>
              <w:textAlignment w:val="center"/>
              <w:rPr>
                <w:szCs w:val="21"/>
              </w:rPr>
            </w:pPr>
            <w:r>
              <w:rPr>
                <w:kern w:val="0"/>
                <w:szCs w:val="21"/>
                <w:lang w:bidi="ar"/>
              </w:rPr>
              <w:t xml:space="preserve">4.0352 </w:t>
            </w:r>
          </w:p>
        </w:tc>
        <w:tc>
          <w:tcPr>
            <w:tcW w:w="4472" w:type="dxa"/>
            <w:vMerge w:val="continue"/>
            <w:noWrap w:val="0"/>
            <w:vAlign w:val="center"/>
          </w:tcPr>
          <w:p w14:paraId="480C1D00">
            <w:pPr>
              <w:ind w:left="-105" w:leftChars="-50" w:right="-105" w:rightChars="-50"/>
              <w:jc w:val="center"/>
              <w:rPr>
                <w:szCs w:val="21"/>
              </w:rPr>
            </w:pPr>
          </w:p>
        </w:tc>
        <w:tc>
          <w:tcPr>
            <w:tcW w:w="1598" w:type="dxa"/>
            <w:gridSpan w:val="2"/>
            <w:noWrap w:val="0"/>
            <w:vAlign w:val="center"/>
          </w:tcPr>
          <w:p w14:paraId="665E8693">
            <w:pPr>
              <w:widowControl/>
              <w:jc w:val="center"/>
              <w:textAlignment w:val="center"/>
              <w:rPr>
                <w:szCs w:val="21"/>
              </w:rPr>
            </w:pPr>
            <w:r>
              <w:rPr>
                <w:kern w:val="0"/>
                <w:szCs w:val="21"/>
                <w:lang w:bidi="ar"/>
              </w:rPr>
              <w:t>84</w:t>
            </w:r>
          </w:p>
        </w:tc>
        <w:tc>
          <w:tcPr>
            <w:tcW w:w="1600" w:type="dxa"/>
            <w:noWrap w:val="0"/>
            <w:vAlign w:val="center"/>
          </w:tcPr>
          <w:p w14:paraId="37BD1B58">
            <w:pPr>
              <w:widowControl/>
              <w:jc w:val="center"/>
              <w:textAlignment w:val="center"/>
              <w:rPr>
                <w:szCs w:val="21"/>
              </w:rPr>
            </w:pPr>
            <w:r>
              <w:rPr>
                <w:kern w:val="0"/>
                <w:szCs w:val="21"/>
                <w:lang w:bidi="ar"/>
              </w:rPr>
              <w:t xml:space="preserve">0.2260 </w:t>
            </w:r>
          </w:p>
        </w:tc>
      </w:tr>
      <w:tr w14:paraId="0116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29FE841A">
            <w:pPr>
              <w:ind w:left="-105" w:leftChars="-50" w:right="-105" w:rightChars="-50"/>
              <w:jc w:val="center"/>
              <w:rPr>
                <w:szCs w:val="21"/>
              </w:rPr>
            </w:pPr>
          </w:p>
        </w:tc>
        <w:tc>
          <w:tcPr>
            <w:tcW w:w="1679" w:type="dxa"/>
            <w:gridSpan w:val="2"/>
            <w:vMerge w:val="continue"/>
            <w:noWrap w:val="0"/>
            <w:vAlign w:val="center"/>
          </w:tcPr>
          <w:p w14:paraId="24E6F1B9">
            <w:pPr>
              <w:ind w:left="-105" w:leftChars="-50" w:right="-105" w:rightChars="-50"/>
              <w:jc w:val="center"/>
              <w:rPr>
                <w:szCs w:val="21"/>
              </w:rPr>
            </w:pPr>
          </w:p>
        </w:tc>
        <w:tc>
          <w:tcPr>
            <w:tcW w:w="868" w:type="dxa"/>
            <w:vMerge w:val="continue"/>
            <w:noWrap w:val="0"/>
            <w:vAlign w:val="center"/>
          </w:tcPr>
          <w:p w14:paraId="78CA0062">
            <w:pPr>
              <w:ind w:left="-105" w:leftChars="-50" w:right="-105" w:rightChars="-50"/>
              <w:jc w:val="center"/>
              <w:rPr>
                <w:szCs w:val="21"/>
              </w:rPr>
            </w:pPr>
          </w:p>
        </w:tc>
        <w:tc>
          <w:tcPr>
            <w:tcW w:w="987" w:type="dxa"/>
            <w:noWrap w:val="0"/>
            <w:vAlign w:val="center"/>
          </w:tcPr>
          <w:p w14:paraId="15040B26">
            <w:pPr>
              <w:widowControl/>
              <w:jc w:val="center"/>
              <w:textAlignment w:val="center"/>
              <w:rPr>
                <w:szCs w:val="21"/>
              </w:rPr>
            </w:pPr>
            <w:r>
              <w:rPr>
                <w:kern w:val="0"/>
                <w:szCs w:val="21"/>
                <w:lang w:bidi="ar"/>
              </w:rPr>
              <w:t>SS</w:t>
            </w:r>
          </w:p>
        </w:tc>
        <w:tc>
          <w:tcPr>
            <w:tcW w:w="1225" w:type="dxa"/>
            <w:noWrap w:val="0"/>
            <w:vAlign w:val="center"/>
          </w:tcPr>
          <w:p w14:paraId="0BFECDA4">
            <w:pPr>
              <w:widowControl/>
              <w:jc w:val="center"/>
              <w:textAlignment w:val="center"/>
              <w:rPr>
                <w:szCs w:val="21"/>
              </w:rPr>
            </w:pPr>
            <w:r>
              <w:rPr>
                <w:kern w:val="0"/>
                <w:szCs w:val="21"/>
                <w:lang w:bidi="ar"/>
              </w:rPr>
              <w:t>3300</w:t>
            </w:r>
          </w:p>
        </w:tc>
        <w:tc>
          <w:tcPr>
            <w:tcW w:w="1441" w:type="dxa"/>
            <w:noWrap w:val="0"/>
            <w:vAlign w:val="center"/>
          </w:tcPr>
          <w:p w14:paraId="3089729E">
            <w:pPr>
              <w:widowControl/>
              <w:jc w:val="center"/>
              <w:textAlignment w:val="center"/>
              <w:rPr>
                <w:szCs w:val="21"/>
              </w:rPr>
            </w:pPr>
            <w:r>
              <w:rPr>
                <w:kern w:val="0"/>
                <w:szCs w:val="21"/>
                <w:lang w:bidi="ar"/>
              </w:rPr>
              <w:t xml:space="preserve">8.8774 </w:t>
            </w:r>
          </w:p>
        </w:tc>
        <w:tc>
          <w:tcPr>
            <w:tcW w:w="4472" w:type="dxa"/>
            <w:vMerge w:val="continue"/>
            <w:noWrap w:val="0"/>
            <w:vAlign w:val="center"/>
          </w:tcPr>
          <w:p w14:paraId="64214FA8">
            <w:pPr>
              <w:ind w:left="-105" w:leftChars="-50" w:right="-105" w:rightChars="-50"/>
              <w:jc w:val="center"/>
              <w:rPr>
                <w:szCs w:val="21"/>
              </w:rPr>
            </w:pPr>
          </w:p>
        </w:tc>
        <w:tc>
          <w:tcPr>
            <w:tcW w:w="1598" w:type="dxa"/>
            <w:gridSpan w:val="2"/>
            <w:noWrap w:val="0"/>
            <w:vAlign w:val="center"/>
          </w:tcPr>
          <w:p w14:paraId="618E85D0">
            <w:pPr>
              <w:widowControl/>
              <w:jc w:val="center"/>
              <w:textAlignment w:val="center"/>
              <w:rPr>
                <w:szCs w:val="21"/>
              </w:rPr>
            </w:pPr>
            <w:r>
              <w:rPr>
                <w:kern w:val="0"/>
                <w:szCs w:val="21"/>
                <w:lang w:bidi="ar"/>
              </w:rPr>
              <w:t>118.8</w:t>
            </w:r>
          </w:p>
        </w:tc>
        <w:tc>
          <w:tcPr>
            <w:tcW w:w="1600" w:type="dxa"/>
            <w:noWrap w:val="0"/>
            <w:vAlign w:val="center"/>
          </w:tcPr>
          <w:p w14:paraId="3AA93249">
            <w:pPr>
              <w:widowControl/>
              <w:jc w:val="center"/>
              <w:textAlignment w:val="center"/>
              <w:rPr>
                <w:szCs w:val="21"/>
              </w:rPr>
            </w:pPr>
            <w:r>
              <w:rPr>
                <w:kern w:val="0"/>
                <w:szCs w:val="21"/>
                <w:lang w:bidi="ar"/>
              </w:rPr>
              <w:t xml:space="preserve">0.3196 </w:t>
            </w:r>
          </w:p>
        </w:tc>
      </w:tr>
      <w:tr w14:paraId="3F05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21269777">
            <w:pPr>
              <w:ind w:left="-105" w:leftChars="-50" w:right="-105" w:rightChars="-50"/>
              <w:jc w:val="center"/>
              <w:rPr>
                <w:szCs w:val="21"/>
              </w:rPr>
            </w:pPr>
          </w:p>
        </w:tc>
        <w:tc>
          <w:tcPr>
            <w:tcW w:w="1679" w:type="dxa"/>
            <w:gridSpan w:val="2"/>
            <w:vMerge w:val="continue"/>
            <w:noWrap w:val="0"/>
            <w:vAlign w:val="center"/>
          </w:tcPr>
          <w:p w14:paraId="00300C0E">
            <w:pPr>
              <w:ind w:left="-105" w:leftChars="-50" w:right="-105" w:rightChars="-50"/>
              <w:jc w:val="center"/>
              <w:rPr>
                <w:szCs w:val="21"/>
              </w:rPr>
            </w:pPr>
          </w:p>
        </w:tc>
        <w:tc>
          <w:tcPr>
            <w:tcW w:w="868" w:type="dxa"/>
            <w:vMerge w:val="continue"/>
            <w:noWrap w:val="0"/>
            <w:vAlign w:val="center"/>
          </w:tcPr>
          <w:p w14:paraId="4ADABAA9">
            <w:pPr>
              <w:ind w:left="-105" w:leftChars="-50" w:right="-105" w:rightChars="-50"/>
              <w:jc w:val="center"/>
              <w:rPr>
                <w:szCs w:val="21"/>
              </w:rPr>
            </w:pPr>
          </w:p>
        </w:tc>
        <w:tc>
          <w:tcPr>
            <w:tcW w:w="987" w:type="dxa"/>
            <w:noWrap w:val="0"/>
            <w:vAlign w:val="center"/>
          </w:tcPr>
          <w:p w14:paraId="018F06D0">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225" w:type="dxa"/>
            <w:noWrap w:val="0"/>
            <w:vAlign w:val="center"/>
          </w:tcPr>
          <w:p w14:paraId="72370AB2">
            <w:pPr>
              <w:widowControl/>
              <w:jc w:val="center"/>
              <w:textAlignment w:val="center"/>
              <w:rPr>
                <w:szCs w:val="21"/>
              </w:rPr>
            </w:pPr>
            <w:r>
              <w:rPr>
                <w:kern w:val="0"/>
                <w:szCs w:val="21"/>
                <w:lang w:bidi="ar"/>
              </w:rPr>
              <w:t>261</w:t>
            </w:r>
          </w:p>
        </w:tc>
        <w:tc>
          <w:tcPr>
            <w:tcW w:w="1441" w:type="dxa"/>
            <w:noWrap w:val="0"/>
            <w:vAlign w:val="center"/>
          </w:tcPr>
          <w:p w14:paraId="56C4F475">
            <w:pPr>
              <w:widowControl/>
              <w:jc w:val="center"/>
              <w:textAlignment w:val="center"/>
              <w:rPr>
                <w:szCs w:val="21"/>
              </w:rPr>
            </w:pPr>
            <w:r>
              <w:rPr>
                <w:kern w:val="0"/>
                <w:szCs w:val="21"/>
                <w:lang w:bidi="ar"/>
              </w:rPr>
              <w:t xml:space="preserve">0.7021 </w:t>
            </w:r>
          </w:p>
        </w:tc>
        <w:tc>
          <w:tcPr>
            <w:tcW w:w="4472" w:type="dxa"/>
            <w:vMerge w:val="continue"/>
            <w:noWrap w:val="0"/>
            <w:vAlign w:val="center"/>
          </w:tcPr>
          <w:p w14:paraId="019A205D">
            <w:pPr>
              <w:ind w:left="-105" w:leftChars="-50" w:right="-105" w:rightChars="-50"/>
              <w:jc w:val="center"/>
              <w:rPr>
                <w:szCs w:val="21"/>
              </w:rPr>
            </w:pPr>
          </w:p>
        </w:tc>
        <w:tc>
          <w:tcPr>
            <w:tcW w:w="1598" w:type="dxa"/>
            <w:gridSpan w:val="2"/>
            <w:noWrap w:val="0"/>
            <w:vAlign w:val="center"/>
          </w:tcPr>
          <w:p w14:paraId="7DCDD937">
            <w:pPr>
              <w:widowControl/>
              <w:jc w:val="center"/>
              <w:textAlignment w:val="center"/>
              <w:rPr>
                <w:szCs w:val="21"/>
              </w:rPr>
            </w:pPr>
            <w:r>
              <w:rPr>
                <w:kern w:val="0"/>
                <w:szCs w:val="21"/>
                <w:lang w:bidi="ar"/>
              </w:rPr>
              <w:t>169.13</w:t>
            </w:r>
          </w:p>
        </w:tc>
        <w:tc>
          <w:tcPr>
            <w:tcW w:w="1600" w:type="dxa"/>
            <w:noWrap w:val="0"/>
            <w:vAlign w:val="center"/>
          </w:tcPr>
          <w:p w14:paraId="103C9DFD">
            <w:pPr>
              <w:widowControl/>
              <w:jc w:val="center"/>
              <w:textAlignment w:val="center"/>
              <w:rPr>
                <w:szCs w:val="21"/>
              </w:rPr>
            </w:pPr>
            <w:r>
              <w:rPr>
                <w:kern w:val="0"/>
                <w:szCs w:val="21"/>
                <w:lang w:bidi="ar"/>
              </w:rPr>
              <w:t xml:space="preserve">0.4550 </w:t>
            </w:r>
          </w:p>
        </w:tc>
      </w:tr>
      <w:tr w14:paraId="707E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9BF0FCD">
            <w:pPr>
              <w:ind w:left="-105" w:leftChars="-50" w:right="-105" w:rightChars="-50"/>
              <w:jc w:val="center"/>
              <w:rPr>
                <w:szCs w:val="21"/>
              </w:rPr>
            </w:pPr>
          </w:p>
        </w:tc>
        <w:tc>
          <w:tcPr>
            <w:tcW w:w="1679" w:type="dxa"/>
            <w:gridSpan w:val="2"/>
            <w:vMerge w:val="continue"/>
            <w:noWrap w:val="0"/>
            <w:vAlign w:val="center"/>
          </w:tcPr>
          <w:p w14:paraId="730DDD3A">
            <w:pPr>
              <w:ind w:left="-105" w:leftChars="-50" w:right="-105" w:rightChars="-50"/>
              <w:jc w:val="center"/>
              <w:rPr>
                <w:szCs w:val="21"/>
              </w:rPr>
            </w:pPr>
          </w:p>
        </w:tc>
        <w:tc>
          <w:tcPr>
            <w:tcW w:w="868" w:type="dxa"/>
            <w:vMerge w:val="continue"/>
            <w:noWrap w:val="0"/>
            <w:vAlign w:val="center"/>
          </w:tcPr>
          <w:p w14:paraId="36F56F79">
            <w:pPr>
              <w:ind w:left="-105" w:leftChars="-50" w:right="-105" w:rightChars="-50"/>
              <w:jc w:val="center"/>
              <w:rPr>
                <w:szCs w:val="21"/>
              </w:rPr>
            </w:pPr>
          </w:p>
        </w:tc>
        <w:tc>
          <w:tcPr>
            <w:tcW w:w="987" w:type="dxa"/>
            <w:noWrap w:val="0"/>
            <w:vAlign w:val="center"/>
          </w:tcPr>
          <w:p w14:paraId="507AC004">
            <w:pPr>
              <w:widowControl/>
              <w:jc w:val="center"/>
              <w:textAlignment w:val="center"/>
              <w:rPr>
                <w:szCs w:val="21"/>
              </w:rPr>
            </w:pPr>
            <w:r>
              <w:rPr>
                <w:kern w:val="0"/>
                <w:szCs w:val="21"/>
                <w:lang w:bidi="ar"/>
              </w:rPr>
              <w:t>TN</w:t>
            </w:r>
          </w:p>
        </w:tc>
        <w:tc>
          <w:tcPr>
            <w:tcW w:w="1225" w:type="dxa"/>
            <w:noWrap w:val="0"/>
            <w:vAlign w:val="center"/>
          </w:tcPr>
          <w:p w14:paraId="6459E2F1">
            <w:pPr>
              <w:widowControl/>
              <w:jc w:val="center"/>
              <w:textAlignment w:val="center"/>
              <w:rPr>
                <w:szCs w:val="21"/>
              </w:rPr>
            </w:pPr>
            <w:r>
              <w:rPr>
                <w:kern w:val="0"/>
                <w:szCs w:val="21"/>
                <w:lang w:bidi="ar"/>
              </w:rPr>
              <w:t>370</w:t>
            </w:r>
          </w:p>
        </w:tc>
        <w:tc>
          <w:tcPr>
            <w:tcW w:w="1441" w:type="dxa"/>
            <w:noWrap w:val="0"/>
            <w:vAlign w:val="center"/>
          </w:tcPr>
          <w:p w14:paraId="2EDBA2E1">
            <w:pPr>
              <w:widowControl/>
              <w:jc w:val="center"/>
              <w:textAlignment w:val="center"/>
              <w:rPr>
                <w:szCs w:val="21"/>
              </w:rPr>
            </w:pPr>
            <w:r>
              <w:rPr>
                <w:kern w:val="0"/>
                <w:szCs w:val="21"/>
                <w:lang w:bidi="ar"/>
              </w:rPr>
              <w:t xml:space="preserve">0.9953 </w:t>
            </w:r>
          </w:p>
        </w:tc>
        <w:tc>
          <w:tcPr>
            <w:tcW w:w="4472" w:type="dxa"/>
            <w:vMerge w:val="continue"/>
            <w:noWrap w:val="0"/>
            <w:vAlign w:val="center"/>
          </w:tcPr>
          <w:p w14:paraId="6F76D356">
            <w:pPr>
              <w:ind w:left="-105" w:leftChars="-50" w:right="-105" w:rightChars="-50"/>
              <w:jc w:val="center"/>
              <w:rPr>
                <w:szCs w:val="21"/>
              </w:rPr>
            </w:pPr>
          </w:p>
        </w:tc>
        <w:tc>
          <w:tcPr>
            <w:tcW w:w="1598" w:type="dxa"/>
            <w:gridSpan w:val="2"/>
            <w:noWrap w:val="0"/>
            <w:vAlign w:val="center"/>
          </w:tcPr>
          <w:p w14:paraId="394A3A4E">
            <w:pPr>
              <w:widowControl/>
              <w:jc w:val="center"/>
              <w:textAlignment w:val="center"/>
              <w:rPr>
                <w:szCs w:val="21"/>
              </w:rPr>
            </w:pPr>
            <w:r>
              <w:rPr>
                <w:kern w:val="0"/>
                <w:szCs w:val="21"/>
                <w:lang w:bidi="ar"/>
              </w:rPr>
              <w:t>263.06</w:t>
            </w:r>
          </w:p>
        </w:tc>
        <w:tc>
          <w:tcPr>
            <w:tcW w:w="1600" w:type="dxa"/>
            <w:noWrap w:val="0"/>
            <w:vAlign w:val="center"/>
          </w:tcPr>
          <w:p w14:paraId="39530E14">
            <w:pPr>
              <w:widowControl/>
              <w:jc w:val="center"/>
              <w:textAlignment w:val="center"/>
              <w:rPr>
                <w:szCs w:val="21"/>
              </w:rPr>
            </w:pPr>
            <w:r>
              <w:rPr>
                <w:kern w:val="0"/>
                <w:szCs w:val="21"/>
                <w:lang w:bidi="ar"/>
              </w:rPr>
              <w:t xml:space="preserve">0.7077 </w:t>
            </w:r>
          </w:p>
        </w:tc>
      </w:tr>
      <w:tr w14:paraId="4032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06FB1C03">
            <w:pPr>
              <w:ind w:left="-105" w:leftChars="-50" w:right="-105" w:rightChars="-50"/>
              <w:jc w:val="center"/>
              <w:rPr>
                <w:szCs w:val="21"/>
              </w:rPr>
            </w:pPr>
          </w:p>
        </w:tc>
        <w:tc>
          <w:tcPr>
            <w:tcW w:w="1679" w:type="dxa"/>
            <w:gridSpan w:val="2"/>
            <w:vMerge w:val="continue"/>
            <w:noWrap w:val="0"/>
            <w:vAlign w:val="center"/>
          </w:tcPr>
          <w:p w14:paraId="0609F75A">
            <w:pPr>
              <w:ind w:left="-105" w:leftChars="-50" w:right="-105" w:rightChars="-50"/>
              <w:jc w:val="center"/>
              <w:rPr>
                <w:szCs w:val="21"/>
              </w:rPr>
            </w:pPr>
          </w:p>
        </w:tc>
        <w:tc>
          <w:tcPr>
            <w:tcW w:w="868" w:type="dxa"/>
            <w:vMerge w:val="continue"/>
            <w:noWrap w:val="0"/>
            <w:vAlign w:val="center"/>
          </w:tcPr>
          <w:p w14:paraId="5EC3A794">
            <w:pPr>
              <w:ind w:left="-105" w:leftChars="-50" w:right="-105" w:rightChars="-50"/>
              <w:jc w:val="center"/>
              <w:rPr>
                <w:szCs w:val="21"/>
              </w:rPr>
            </w:pPr>
          </w:p>
        </w:tc>
        <w:tc>
          <w:tcPr>
            <w:tcW w:w="987" w:type="dxa"/>
            <w:noWrap w:val="0"/>
            <w:vAlign w:val="center"/>
          </w:tcPr>
          <w:p w14:paraId="74C95363">
            <w:pPr>
              <w:widowControl/>
              <w:jc w:val="center"/>
              <w:textAlignment w:val="center"/>
              <w:rPr>
                <w:szCs w:val="21"/>
              </w:rPr>
            </w:pPr>
            <w:r>
              <w:rPr>
                <w:kern w:val="0"/>
                <w:szCs w:val="21"/>
                <w:lang w:bidi="ar"/>
              </w:rPr>
              <w:t>TP</w:t>
            </w:r>
          </w:p>
        </w:tc>
        <w:tc>
          <w:tcPr>
            <w:tcW w:w="1225" w:type="dxa"/>
            <w:noWrap w:val="0"/>
            <w:vAlign w:val="center"/>
          </w:tcPr>
          <w:p w14:paraId="0360382B">
            <w:pPr>
              <w:widowControl/>
              <w:jc w:val="center"/>
              <w:textAlignment w:val="center"/>
              <w:rPr>
                <w:szCs w:val="21"/>
              </w:rPr>
            </w:pPr>
            <w:r>
              <w:rPr>
                <w:kern w:val="0"/>
                <w:szCs w:val="21"/>
                <w:lang w:bidi="ar"/>
              </w:rPr>
              <w:t>127</w:t>
            </w:r>
          </w:p>
        </w:tc>
        <w:tc>
          <w:tcPr>
            <w:tcW w:w="1441" w:type="dxa"/>
            <w:noWrap w:val="0"/>
            <w:vAlign w:val="center"/>
          </w:tcPr>
          <w:p w14:paraId="28EECE64">
            <w:pPr>
              <w:widowControl/>
              <w:jc w:val="center"/>
              <w:textAlignment w:val="center"/>
              <w:rPr>
                <w:szCs w:val="21"/>
              </w:rPr>
            </w:pPr>
            <w:r>
              <w:rPr>
                <w:kern w:val="0"/>
                <w:szCs w:val="21"/>
                <w:lang w:bidi="ar"/>
              </w:rPr>
              <w:t xml:space="preserve">0.3416 </w:t>
            </w:r>
          </w:p>
        </w:tc>
        <w:tc>
          <w:tcPr>
            <w:tcW w:w="4472" w:type="dxa"/>
            <w:vMerge w:val="continue"/>
            <w:noWrap w:val="0"/>
            <w:vAlign w:val="center"/>
          </w:tcPr>
          <w:p w14:paraId="73D43152">
            <w:pPr>
              <w:ind w:left="-105" w:leftChars="-50" w:right="-105" w:rightChars="-50"/>
              <w:jc w:val="center"/>
              <w:rPr>
                <w:szCs w:val="21"/>
              </w:rPr>
            </w:pPr>
          </w:p>
        </w:tc>
        <w:tc>
          <w:tcPr>
            <w:tcW w:w="1598" w:type="dxa"/>
            <w:gridSpan w:val="2"/>
            <w:noWrap w:val="0"/>
            <w:vAlign w:val="center"/>
          </w:tcPr>
          <w:p w14:paraId="50D41231">
            <w:pPr>
              <w:widowControl/>
              <w:jc w:val="center"/>
              <w:textAlignment w:val="center"/>
              <w:rPr>
                <w:szCs w:val="21"/>
              </w:rPr>
            </w:pPr>
            <w:r>
              <w:rPr>
                <w:kern w:val="0"/>
                <w:szCs w:val="21"/>
                <w:lang w:bidi="ar"/>
              </w:rPr>
              <w:t>22.75</w:t>
            </w:r>
          </w:p>
        </w:tc>
        <w:tc>
          <w:tcPr>
            <w:tcW w:w="1600" w:type="dxa"/>
            <w:noWrap w:val="0"/>
            <w:vAlign w:val="center"/>
          </w:tcPr>
          <w:p w14:paraId="02C5E8EF">
            <w:pPr>
              <w:widowControl/>
              <w:jc w:val="center"/>
              <w:textAlignment w:val="center"/>
              <w:rPr>
                <w:szCs w:val="21"/>
              </w:rPr>
            </w:pPr>
            <w:r>
              <w:rPr>
                <w:kern w:val="0"/>
                <w:szCs w:val="21"/>
                <w:lang w:bidi="ar"/>
              </w:rPr>
              <w:t xml:space="preserve">0.0612 </w:t>
            </w:r>
          </w:p>
        </w:tc>
      </w:tr>
      <w:tr w14:paraId="21D2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08DAEB9D">
            <w:pPr>
              <w:ind w:left="-105" w:leftChars="-50" w:right="-105" w:rightChars="-50"/>
              <w:jc w:val="center"/>
              <w:rPr>
                <w:szCs w:val="21"/>
              </w:rPr>
            </w:pPr>
          </w:p>
        </w:tc>
        <w:tc>
          <w:tcPr>
            <w:tcW w:w="1679" w:type="dxa"/>
            <w:gridSpan w:val="2"/>
            <w:vMerge w:val="restart"/>
            <w:noWrap w:val="0"/>
            <w:vAlign w:val="center"/>
          </w:tcPr>
          <w:p w14:paraId="5B86076E">
            <w:pPr>
              <w:ind w:left="-105" w:leftChars="-50" w:right="-105" w:rightChars="-50"/>
              <w:jc w:val="center"/>
              <w:rPr>
                <w:szCs w:val="21"/>
              </w:rPr>
            </w:pPr>
            <w:r>
              <w:rPr>
                <w:kern w:val="0"/>
                <w:szCs w:val="21"/>
                <w:lang w:bidi="ar"/>
              </w:rPr>
              <w:t>5号地（大河边位置）</w:t>
            </w:r>
            <w:r>
              <w:rPr>
                <w:szCs w:val="21"/>
              </w:rPr>
              <w:t>废水</w:t>
            </w:r>
          </w:p>
        </w:tc>
        <w:tc>
          <w:tcPr>
            <w:tcW w:w="868" w:type="dxa"/>
            <w:vMerge w:val="restart"/>
            <w:noWrap w:val="0"/>
            <w:vAlign w:val="center"/>
          </w:tcPr>
          <w:p w14:paraId="4B2025D5">
            <w:pPr>
              <w:ind w:left="-105" w:leftChars="-50" w:right="-105" w:rightChars="-50"/>
              <w:jc w:val="center"/>
              <w:rPr>
                <w:szCs w:val="21"/>
              </w:rPr>
            </w:pPr>
            <w:r>
              <w:rPr>
                <w:szCs w:val="21"/>
              </w:rPr>
              <w:t>混合污水</w:t>
            </w:r>
          </w:p>
        </w:tc>
        <w:tc>
          <w:tcPr>
            <w:tcW w:w="987" w:type="dxa"/>
            <w:noWrap w:val="0"/>
            <w:vAlign w:val="center"/>
          </w:tcPr>
          <w:p w14:paraId="7D7CFB93">
            <w:pPr>
              <w:widowControl/>
              <w:jc w:val="center"/>
              <w:textAlignment w:val="center"/>
              <w:rPr>
                <w:szCs w:val="21"/>
              </w:rPr>
            </w:pPr>
            <w:r>
              <w:rPr>
                <w:kern w:val="0"/>
                <w:szCs w:val="21"/>
                <w:lang w:bidi="ar"/>
              </w:rPr>
              <w:t>废水量</w:t>
            </w:r>
          </w:p>
        </w:tc>
        <w:tc>
          <w:tcPr>
            <w:tcW w:w="1225" w:type="dxa"/>
            <w:noWrap w:val="0"/>
            <w:vAlign w:val="center"/>
          </w:tcPr>
          <w:p w14:paraId="7B2F1F5F">
            <w:pPr>
              <w:jc w:val="center"/>
              <w:rPr>
                <w:szCs w:val="21"/>
              </w:rPr>
            </w:pPr>
          </w:p>
        </w:tc>
        <w:tc>
          <w:tcPr>
            <w:tcW w:w="1441" w:type="dxa"/>
            <w:noWrap w:val="0"/>
            <w:vAlign w:val="center"/>
          </w:tcPr>
          <w:p w14:paraId="3D9449CA">
            <w:pPr>
              <w:widowControl/>
              <w:jc w:val="center"/>
              <w:textAlignment w:val="center"/>
              <w:rPr>
                <w:szCs w:val="21"/>
              </w:rPr>
            </w:pPr>
            <w:r>
              <w:rPr>
                <w:kern w:val="0"/>
                <w:szCs w:val="21"/>
                <w:lang w:bidi="ar"/>
              </w:rPr>
              <w:t>2320.36</w:t>
            </w:r>
          </w:p>
        </w:tc>
        <w:tc>
          <w:tcPr>
            <w:tcW w:w="4472" w:type="dxa"/>
            <w:vMerge w:val="restart"/>
            <w:noWrap w:val="0"/>
            <w:vAlign w:val="center"/>
          </w:tcPr>
          <w:p w14:paraId="1CA9C688">
            <w:pPr>
              <w:ind w:left="-105" w:leftChars="-50" w:right="-105" w:rightChars="-50"/>
              <w:jc w:val="center"/>
              <w:rPr>
                <w:szCs w:val="21"/>
              </w:rPr>
            </w:pPr>
            <w:r>
              <w:rPr>
                <w:szCs w:val="21"/>
              </w:rPr>
              <w:t>集中收集+固液分离+平流气浮+调节池+沼气池（UASB反应器）+沼液储存池储存后罐车云至苹果园回用</w:t>
            </w:r>
          </w:p>
        </w:tc>
        <w:tc>
          <w:tcPr>
            <w:tcW w:w="1598" w:type="dxa"/>
            <w:gridSpan w:val="2"/>
            <w:noWrap w:val="0"/>
            <w:vAlign w:val="center"/>
          </w:tcPr>
          <w:p w14:paraId="3F25186D">
            <w:pPr>
              <w:jc w:val="center"/>
              <w:rPr>
                <w:szCs w:val="21"/>
              </w:rPr>
            </w:pPr>
            <w:r>
              <w:rPr>
                <w:szCs w:val="21"/>
              </w:rPr>
              <w:t>/</w:t>
            </w:r>
          </w:p>
        </w:tc>
        <w:tc>
          <w:tcPr>
            <w:tcW w:w="1600" w:type="dxa"/>
            <w:noWrap w:val="0"/>
            <w:vAlign w:val="center"/>
          </w:tcPr>
          <w:p w14:paraId="0B6A1D34">
            <w:pPr>
              <w:widowControl/>
              <w:jc w:val="center"/>
              <w:textAlignment w:val="center"/>
              <w:rPr>
                <w:szCs w:val="21"/>
              </w:rPr>
            </w:pPr>
            <w:r>
              <w:rPr>
                <w:kern w:val="0"/>
                <w:szCs w:val="21"/>
                <w:lang w:bidi="ar"/>
              </w:rPr>
              <w:t>2320.36</w:t>
            </w:r>
          </w:p>
        </w:tc>
      </w:tr>
      <w:tr w14:paraId="5DFD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26A743E7">
            <w:pPr>
              <w:ind w:left="-105" w:leftChars="-50" w:right="-105" w:rightChars="-50"/>
              <w:jc w:val="center"/>
              <w:rPr>
                <w:szCs w:val="21"/>
              </w:rPr>
            </w:pPr>
          </w:p>
        </w:tc>
        <w:tc>
          <w:tcPr>
            <w:tcW w:w="1679" w:type="dxa"/>
            <w:gridSpan w:val="2"/>
            <w:vMerge w:val="continue"/>
            <w:noWrap w:val="0"/>
            <w:vAlign w:val="center"/>
          </w:tcPr>
          <w:p w14:paraId="687267C2">
            <w:pPr>
              <w:ind w:left="-105" w:leftChars="-50" w:right="-105" w:rightChars="-50"/>
              <w:jc w:val="center"/>
              <w:rPr>
                <w:szCs w:val="21"/>
              </w:rPr>
            </w:pPr>
          </w:p>
        </w:tc>
        <w:tc>
          <w:tcPr>
            <w:tcW w:w="868" w:type="dxa"/>
            <w:vMerge w:val="continue"/>
            <w:noWrap w:val="0"/>
            <w:vAlign w:val="center"/>
          </w:tcPr>
          <w:p w14:paraId="40E0D500">
            <w:pPr>
              <w:ind w:left="-105" w:leftChars="-50" w:right="-105" w:rightChars="-50"/>
              <w:jc w:val="center"/>
              <w:rPr>
                <w:szCs w:val="21"/>
              </w:rPr>
            </w:pPr>
          </w:p>
        </w:tc>
        <w:tc>
          <w:tcPr>
            <w:tcW w:w="987" w:type="dxa"/>
            <w:noWrap w:val="0"/>
            <w:vAlign w:val="center"/>
          </w:tcPr>
          <w:p w14:paraId="6FF42CAE">
            <w:pPr>
              <w:widowControl/>
              <w:jc w:val="center"/>
              <w:textAlignment w:val="center"/>
              <w:rPr>
                <w:szCs w:val="21"/>
              </w:rPr>
            </w:pPr>
            <w:r>
              <w:rPr>
                <w:kern w:val="0"/>
                <w:szCs w:val="21"/>
                <w:lang w:bidi="ar"/>
              </w:rPr>
              <w:t>CODcr</w:t>
            </w:r>
          </w:p>
        </w:tc>
        <w:tc>
          <w:tcPr>
            <w:tcW w:w="1225" w:type="dxa"/>
            <w:noWrap w:val="0"/>
            <w:vAlign w:val="center"/>
          </w:tcPr>
          <w:p w14:paraId="34AAADB9">
            <w:pPr>
              <w:widowControl/>
              <w:jc w:val="center"/>
              <w:textAlignment w:val="center"/>
              <w:rPr>
                <w:szCs w:val="21"/>
              </w:rPr>
            </w:pPr>
            <w:r>
              <w:rPr>
                <w:kern w:val="0"/>
                <w:szCs w:val="21"/>
                <w:lang w:bidi="ar"/>
              </w:rPr>
              <w:t>2640</w:t>
            </w:r>
          </w:p>
        </w:tc>
        <w:tc>
          <w:tcPr>
            <w:tcW w:w="1441" w:type="dxa"/>
            <w:noWrap w:val="0"/>
            <w:vAlign w:val="center"/>
          </w:tcPr>
          <w:p w14:paraId="0B72A270">
            <w:pPr>
              <w:widowControl/>
              <w:jc w:val="center"/>
              <w:textAlignment w:val="center"/>
              <w:rPr>
                <w:szCs w:val="21"/>
              </w:rPr>
            </w:pPr>
            <w:r>
              <w:rPr>
                <w:kern w:val="0"/>
                <w:szCs w:val="21"/>
                <w:lang w:bidi="ar"/>
              </w:rPr>
              <w:t>6.1257504</w:t>
            </w:r>
          </w:p>
        </w:tc>
        <w:tc>
          <w:tcPr>
            <w:tcW w:w="4472" w:type="dxa"/>
            <w:vMerge w:val="continue"/>
            <w:noWrap w:val="0"/>
            <w:vAlign w:val="center"/>
          </w:tcPr>
          <w:p w14:paraId="0673EC28">
            <w:pPr>
              <w:ind w:left="-105" w:leftChars="-50" w:right="-105" w:rightChars="-50"/>
              <w:jc w:val="center"/>
              <w:rPr>
                <w:szCs w:val="21"/>
              </w:rPr>
            </w:pPr>
          </w:p>
        </w:tc>
        <w:tc>
          <w:tcPr>
            <w:tcW w:w="1598" w:type="dxa"/>
            <w:gridSpan w:val="2"/>
            <w:noWrap w:val="0"/>
            <w:vAlign w:val="center"/>
          </w:tcPr>
          <w:p w14:paraId="4734CBC9">
            <w:pPr>
              <w:widowControl/>
              <w:jc w:val="center"/>
              <w:textAlignment w:val="center"/>
              <w:rPr>
                <w:szCs w:val="21"/>
              </w:rPr>
            </w:pPr>
            <w:r>
              <w:rPr>
                <w:kern w:val="0"/>
                <w:szCs w:val="21"/>
                <w:lang w:bidi="ar"/>
              </w:rPr>
              <w:t>161.7</w:t>
            </w:r>
          </w:p>
        </w:tc>
        <w:tc>
          <w:tcPr>
            <w:tcW w:w="1600" w:type="dxa"/>
            <w:noWrap w:val="0"/>
            <w:vAlign w:val="center"/>
          </w:tcPr>
          <w:p w14:paraId="1D7E876B">
            <w:pPr>
              <w:widowControl/>
              <w:jc w:val="center"/>
              <w:textAlignment w:val="center"/>
              <w:rPr>
                <w:szCs w:val="21"/>
              </w:rPr>
            </w:pPr>
            <w:r>
              <w:rPr>
                <w:kern w:val="0"/>
                <w:szCs w:val="21"/>
                <w:lang w:bidi="ar"/>
              </w:rPr>
              <w:t>0.3752</w:t>
            </w:r>
          </w:p>
        </w:tc>
      </w:tr>
      <w:tr w14:paraId="51F2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7BAE88E4">
            <w:pPr>
              <w:ind w:left="-105" w:leftChars="-50" w:right="-105" w:rightChars="-50"/>
              <w:jc w:val="center"/>
              <w:rPr>
                <w:szCs w:val="21"/>
              </w:rPr>
            </w:pPr>
          </w:p>
        </w:tc>
        <w:tc>
          <w:tcPr>
            <w:tcW w:w="1679" w:type="dxa"/>
            <w:gridSpan w:val="2"/>
            <w:vMerge w:val="continue"/>
            <w:noWrap w:val="0"/>
            <w:vAlign w:val="center"/>
          </w:tcPr>
          <w:p w14:paraId="66F01900">
            <w:pPr>
              <w:ind w:left="-105" w:leftChars="-50" w:right="-105" w:rightChars="-50"/>
              <w:jc w:val="center"/>
              <w:rPr>
                <w:szCs w:val="21"/>
              </w:rPr>
            </w:pPr>
          </w:p>
        </w:tc>
        <w:tc>
          <w:tcPr>
            <w:tcW w:w="868" w:type="dxa"/>
            <w:vMerge w:val="continue"/>
            <w:noWrap w:val="0"/>
            <w:vAlign w:val="center"/>
          </w:tcPr>
          <w:p w14:paraId="06762398">
            <w:pPr>
              <w:ind w:left="-105" w:leftChars="-50" w:right="-105" w:rightChars="-50"/>
              <w:jc w:val="center"/>
              <w:rPr>
                <w:szCs w:val="21"/>
              </w:rPr>
            </w:pPr>
          </w:p>
        </w:tc>
        <w:tc>
          <w:tcPr>
            <w:tcW w:w="987" w:type="dxa"/>
            <w:noWrap w:val="0"/>
            <w:vAlign w:val="center"/>
          </w:tcPr>
          <w:p w14:paraId="02294BF8">
            <w:pPr>
              <w:widowControl/>
              <w:jc w:val="center"/>
              <w:textAlignment w:val="center"/>
              <w:rPr>
                <w:szCs w:val="21"/>
              </w:rPr>
            </w:pPr>
            <w:r>
              <w:rPr>
                <w:kern w:val="0"/>
                <w:szCs w:val="21"/>
                <w:lang w:bidi="ar"/>
              </w:rPr>
              <w:t>BOD</w:t>
            </w:r>
            <w:r>
              <w:rPr>
                <w:kern w:val="0"/>
                <w:szCs w:val="21"/>
                <w:vertAlign w:val="subscript"/>
                <w:lang w:bidi="ar"/>
              </w:rPr>
              <w:t>5</w:t>
            </w:r>
          </w:p>
        </w:tc>
        <w:tc>
          <w:tcPr>
            <w:tcW w:w="1225" w:type="dxa"/>
            <w:noWrap w:val="0"/>
            <w:vAlign w:val="center"/>
          </w:tcPr>
          <w:p w14:paraId="6D825C9C">
            <w:pPr>
              <w:widowControl/>
              <w:jc w:val="center"/>
              <w:textAlignment w:val="center"/>
              <w:rPr>
                <w:szCs w:val="21"/>
              </w:rPr>
            </w:pPr>
            <w:r>
              <w:rPr>
                <w:kern w:val="0"/>
                <w:szCs w:val="21"/>
                <w:lang w:bidi="ar"/>
              </w:rPr>
              <w:t>1500</w:t>
            </w:r>
          </w:p>
        </w:tc>
        <w:tc>
          <w:tcPr>
            <w:tcW w:w="1441" w:type="dxa"/>
            <w:noWrap w:val="0"/>
            <w:vAlign w:val="center"/>
          </w:tcPr>
          <w:p w14:paraId="19095797">
            <w:pPr>
              <w:widowControl/>
              <w:jc w:val="center"/>
              <w:textAlignment w:val="center"/>
              <w:rPr>
                <w:szCs w:val="21"/>
              </w:rPr>
            </w:pPr>
            <w:r>
              <w:rPr>
                <w:kern w:val="0"/>
                <w:szCs w:val="21"/>
                <w:lang w:bidi="ar"/>
              </w:rPr>
              <w:t xml:space="preserve">3.4805 </w:t>
            </w:r>
          </w:p>
        </w:tc>
        <w:tc>
          <w:tcPr>
            <w:tcW w:w="4472" w:type="dxa"/>
            <w:vMerge w:val="continue"/>
            <w:noWrap w:val="0"/>
            <w:vAlign w:val="center"/>
          </w:tcPr>
          <w:p w14:paraId="3CB5FC64">
            <w:pPr>
              <w:ind w:left="-105" w:leftChars="-50" w:right="-105" w:rightChars="-50"/>
              <w:jc w:val="center"/>
              <w:rPr>
                <w:szCs w:val="21"/>
              </w:rPr>
            </w:pPr>
          </w:p>
        </w:tc>
        <w:tc>
          <w:tcPr>
            <w:tcW w:w="1598" w:type="dxa"/>
            <w:gridSpan w:val="2"/>
            <w:noWrap w:val="0"/>
            <w:vAlign w:val="center"/>
          </w:tcPr>
          <w:p w14:paraId="1238F846">
            <w:pPr>
              <w:widowControl/>
              <w:jc w:val="center"/>
              <w:textAlignment w:val="center"/>
              <w:rPr>
                <w:szCs w:val="21"/>
              </w:rPr>
            </w:pPr>
            <w:r>
              <w:rPr>
                <w:kern w:val="0"/>
                <w:szCs w:val="21"/>
                <w:lang w:bidi="ar"/>
              </w:rPr>
              <w:t>84</w:t>
            </w:r>
          </w:p>
        </w:tc>
        <w:tc>
          <w:tcPr>
            <w:tcW w:w="1600" w:type="dxa"/>
            <w:noWrap w:val="0"/>
            <w:vAlign w:val="center"/>
          </w:tcPr>
          <w:p w14:paraId="65DD0895">
            <w:pPr>
              <w:widowControl/>
              <w:jc w:val="center"/>
              <w:textAlignment w:val="center"/>
              <w:rPr>
                <w:szCs w:val="21"/>
              </w:rPr>
            </w:pPr>
            <w:r>
              <w:rPr>
                <w:kern w:val="0"/>
                <w:szCs w:val="21"/>
                <w:lang w:bidi="ar"/>
              </w:rPr>
              <w:t xml:space="preserve">0.1949 </w:t>
            </w:r>
          </w:p>
        </w:tc>
      </w:tr>
      <w:tr w14:paraId="297C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00599083">
            <w:pPr>
              <w:ind w:left="-105" w:leftChars="-50" w:right="-105" w:rightChars="-50"/>
              <w:jc w:val="center"/>
              <w:rPr>
                <w:szCs w:val="21"/>
              </w:rPr>
            </w:pPr>
          </w:p>
        </w:tc>
        <w:tc>
          <w:tcPr>
            <w:tcW w:w="1679" w:type="dxa"/>
            <w:gridSpan w:val="2"/>
            <w:vMerge w:val="continue"/>
            <w:noWrap w:val="0"/>
            <w:vAlign w:val="center"/>
          </w:tcPr>
          <w:p w14:paraId="7C54AC7F">
            <w:pPr>
              <w:ind w:left="-105" w:leftChars="-50" w:right="-105" w:rightChars="-50"/>
              <w:jc w:val="center"/>
              <w:rPr>
                <w:szCs w:val="21"/>
              </w:rPr>
            </w:pPr>
          </w:p>
        </w:tc>
        <w:tc>
          <w:tcPr>
            <w:tcW w:w="868" w:type="dxa"/>
            <w:vMerge w:val="continue"/>
            <w:noWrap w:val="0"/>
            <w:vAlign w:val="center"/>
          </w:tcPr>
          <w:p w14:paraId="162C1E14">
            <w:pPr>
              <w:ind w:left="-105" w:leftChars="-50" w:right="-105" w:rightChars="-50"/>
              <w:jc w:val="center"/>
              <w:rPr>
                <w:szCs w:val="21"/>
              </w:rPr>
            </w:pPr>
          </w:p>
        </w:tc>
        <w:tc>
          <w:tcPr>
            <w:tcW w:w="987" w:type="dxa"/>
            <w:noWrap w:val="0"/>
            <w:vAlign w:val="center"/>
          </w:tcPr>
          <w:p w14:paraId="0616220A">
            <w:pPr>
              <w:widowControl/>
              <w:jc w:val="center"/>
              <w:textAlignment w:val="center"/>
              <w:rPr>
                <w:szCs w:val="21"/>
              </w:rPr>
            </w:pPr>
            <w:r>
              <w:rPr>
                <w:kern w:val="0"/>
                <w:szCs w:val="21"/>
                <w:lang w:bidi="ar"/>
              </w:rPr>
              <w:t>SS</w:t>
            </w:r>
          </w:p>
        </w:tc>
        <w:tc>
          <w:tcPr>
            <w:tcW w:w="1225" w:type="dxa"/>
            <w:noWrap w:val="0"/>
            <w:vAlign w:val="center"/>
          </w:tcPr>
          <w:p w14:paraId="0FCAA22A">
            <w:pPr>
              <w:widowControl/>
              <w:jc w:val="center"/>
              <w:textAlignment w:val="center"/>
              <w:rPr>
                <w:szCs w:val="21"/>
              </w:rPr>
            </w:pPr>
            <w:r>
              <w:rPr>
                <w:kern w:val="0"/>
                <w:szCs w:val="21"/>
                <w:lang w:bidi="ar"/>
              </w:rPr>
              <w:t>3300</w:t>
            </w:r>
          </w:p>
        </w:tc>
        <w:tc>
          <w:tcPr>
            <w:tcW w:w="1441" w:type="dxa"/>
            <w:noWrap w:val="0"/>
            <w:vAlign w:val="center"/>
          </w:tcPr>
          <w:p w14:paraId="6575AF11">
            <w:pPr>
              <w:widowControl/>
              <w:jc w:val="center"/>
              <w:textAlignment w:val="center"/>
              <w:rPr>
                <w:szCs w:val="21"/>
              </w:rPr>
            </w:pPr>
            <w:r>
              <w:rPr>
                <w:kern w:val="0"/>
                <w:szCs w:val="21"/>
                <w:lang w:bidi="ar"/>
              </w:rPr>
              <w:t xml:space="preserve">7.6572 </w:t>
            </w:r>
          </w:p>
        </w:tc>
        <w:tc>
          <w:tcPr>
            <w:tcW w:w="4472" w:type="dxa"/>
            <w:vMerge w:val="continue"/>
            <w:noWrap w:val="0"/>
            <w:vAlign w:val="center"/>
          </w:tcPr>
          <w:p w14:paraId="32F3B1B0">
            <w:pPr>
              <w:ind w:left="-105" w:leftChars="-50" w:right="-105" w:rightChars="-50"/>
              <w:jc w:val="center"/>
              <w:rPr>
                <w:szCs w:val="21"/>
              </w:rPr>
            </w:pPr>
          </w:p>
        </w:tc>
        <w:tc>
          <w:tcPr>
            <w:tcW w:w="1598" w:type="dxa"/>
            <w:gridSpan w:val="2"/>
            <w:noWrap w:val="0"/>
            <w:vAlign w:val="center"/>
          </w:tcPr>
          <w:p w14:paraId="5DBEC1F4">
            <w:pPr>
              <w:widowControl/>
              <w:jc w:val="center"/>
              <w:textAlignment w:val="center"/>
              <w:rPr>
                <w:szCs w:val="21"/>
              </w:rPr>
            </w:pPr>
            <w:r>
              <w:rPr>
                <w:kern w:val="0"/>
                <w:szCs w:val="21"/>
                <w:lang w:bidi="ar"/>
              </w:rPr>
              <w:t>118.8</w:t>
            </w:r>
          </w:p>
        </w:tc>
        <w:tc>
          <w:tcPr>
            <w:tcW w:w="1600" w:type="dxa"/>
            <w:noWrap w:val="0"/>
            <w:vAlign w:val="center"/>
          </w:tcPr>
          <w:p w14:paraId="0CB55668">
            <w:pPr>
              <w:widowControl/>
              <w:jc w:val="center"/>
              <w:textAlignment w:val="center"/>
              <w:rPr>
                <w:szCs w:val="21"/>
              </w:rPr>
            </w:pPr>
            <w:r>
              <w:rPr>
                <w:kern w:val="0"/>
                <w:szCs w:val="21"/>
                <w:lang w:bidi="ar"/>
              </w:rPr>
              <w:t xml:space="preserve">0.2757 </w:t>
            </w:r>
          </w:p>
        </w:tc>
      </w:tr>
      <w:tr w14:paraId="32DD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193DD42">
            <w:pPr>
              <w:ind w:left="-105" w:leftChars="-50" w:right="-105" w:rightChars="-50"/>
              <w:jc w:val="center"/>
              <w:rPr>
                <w:szCs w:val="21"/>
              </w:rPr>
            </w:pPr>
          </w:p>
        </w:tc>
        <w:tc>
          <w:tcPr>
            <w:tcW w:w="1679" w:type="dxa"/>
            <w:gridSpan w:val="2"/>
            <w:vMerge w:val="continue"/>
            <w:noWrap w:val="0"/>
            <w:vAlign w:val="center"/>
          </w:tcPr>
          <w:p w14:paraId="5EB343DF">
            <w:pPr>
              <w:ind w:left="-105" w:leftChars="-50" w:right="-105" w:rightChars="-50"/>
              <w:jc w:val="center"/>
              <w:rPr>
                <w:szCs w:val="21"/>
              </w:rPr>
            </w:pPr>
          </w:p>
        </w:tc>
        <w:tc>
          <w:tcPr>
            <w:tcW w:w="868" w:type="dxa"/>
            <w:vMerge w:val="continue"/>
            <w:noWrap w:val="0"/>
            <w:vAlign w:val="center"/>
          </w:tcPr>
          <w:p w14:paraId="4DCF5FA3">
            <w:pPr>
              <w:ind w:left="-105" w:leftChars="-50" w:right="-105" w:rightChars="-50"/>
              <w:jc w:val="center"/>
              <w:rPr>
                <w:szCs w:val="21"/>
              </w:rPr>
            </w:pPr>
          </w:p>
        </w:tc>
        <w:tc>
          <w:tcPr>
            <w:tcW w:w="987" w:type="dxa"/>
            <w:noWrap w:val="0"/>
            <w:vAlign w:val="center"/>
          </w:tcPr>
          <w:p w14:paraId="1D499807">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225" w:type="dxa"/>
            <w:noWrap w:val="0"/>
            <w:vAlign w:val="center"/>
          </w:tcPr>
          <w:p w14:paraId="7868DF65">
            <w:pPr>
              <w:widowControl/>
              <w:jc w:val="center"/>
              <w:textAlignment w:val="center"/>
              <w:rPr>
                <w:szCs w:val="21"/>
              </w:rPr>
            </w:pPr>
            <w:r>
              <w:rPr>
                <w:kern w:val="0"/>
                <w:szCs w:val="21"/>
                <w:lang w:bidi="ar"/>
              </w:rPr>
              <w:t>261</w:t>
            </w:r>
          </w:p>
        </w:tc>
        <w:tc>
          <w:tcPr>
            <w:tcW w:w="1441" w:type="dxa"/>
            <w:noWrap w:val="0"/>
            <w:vAlign w:val="center"/>
          </w:tcPr>
          <w:p w14:paraId="3E77F8FB">
            <w:pPr>
              <w:widowControl/>
              <w:jc w:val="center"/>
              <w:textAlignment w:val="center"/>
              <w:rPr>
                <w:szCs w:val="21"/>
              </w:rPr>
            </w:pPr>
            <w:r>
              <w:rPr>
                <w:kern w:val="0"/>
                <w:szCs w:val="21"/>
                <w:lang w:bidi="ar"/>
              </w:rPr>
              <w:t xml:space="preserve">0.6056 </w:t>
            </w:r>
          </w:p>
        </w:tc>
        <w:tc>
          <w:tcPr>
            <w:tcW w:w="4472" w:type="dxa"/>
            <w:vMerge w:val="continue"/>
            <w:noWrap w:val="0"/>
            <w:vAlign w:val="center"/>
          </w:tcPr>
          <w:p w14:paraId="5E92C8CE">
            <w:pPr>
              <w:ind w:left="-105" w:leftChars="-50" w:right="-105" w:rightChars="-50"/>
              <w:jc w:val="center"/>
              <w:rPr>
                <w:szCs w:val="21"/>
              </w:rPr>
            </w:pPr>
          </w:p>
        </w:tc>
        <w:tc>
          <w:tcPr>
            <w:tcW w:w="1598" w:type="dxa"/>
            <w:gridSpan w:val="2"/>
            <w:noWrap w:val="0"/>
            <w:vAlign w:val="center"/>
          </w:tcPr>
          <w:p w14:paraId="3C61CFFE">
            <w:pPr>
              <w:widowControl/>
              <w:jc w:val="center"/>
              <w:textAlignment w:val="center"/>
              <w:rPr>
                <w:szCs w:val="21"/>
              </w:rPr>
            </w:pPr>
            <w:r>
              <w:rPr>
                <w:kern w:val="0"/>
                <w:szCs w:val="21"/>
                <w:lang w:bidi="ar"/>
              </w:rPr>
              <w:t>169.13</w:t>
            </w:r>
          </w:p>
        </w:tc>
        <w:tc>
          <w:tcPr>
            <w:tcW w:w="1600" w:type="dxa"/>
            <w:noWrap w:val="0"/>
            <w:vAlign w:val="center"/>
          </w:tcPr>
          <w:p w14:paraId="4A141E17">
            <w:pPr>
              <w:widowControl/>
              <w:jc w:val="center"/>
              <w:textAlignment w:val="center"/>
              <w:rPr>
                <w:szCs w:val="21"/>
              </w:rPr>
            </w:pPr>
            <w:r>
              <w:rPr>
                <w:kern w:val="0"/>
                <w:szCs w:val="21"/>
                <w:lang w:bidi="ar"/>
              </w:rPr>
              <w:t xml:space="preserve">0.3924 </w:t>
            </w:r>
          </w:p>
        </w:tc>
      </w:tr>
      <w:tr w14:paraId="5FF0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7DA41C07">
            <w:pPr>
              <w:ind w:left="-105" w:leftChars="-50" w:right="-105" w:rightChars="-50"/>
              <w:jc w:val="center"/>
              <w:rPr>
                <w:szCs w:val="21"/>
              </w:rPr>
            </w:pPr>
          </w:p>
        </w:tc>
        <w:tc>
          <w:tcPr>
            <w:tcW w:w="1679" w:type="dxa"/>
            <w:gridSpan w:val="2"/>
            <w:vMerge w:val="continue"/>
            <w:noWrap w:val="0"/>
            <w:vAlign w:val="center"/>
          </w:tcPr>
          <w:p w14:paraId="008399DE">
            <w:pPr>
              <w:ind w:left="-105" w:leftChars="-50" w:right="-105" w:rightChars="-50"/>
              <w:jc w:val="center"/>
              <w:rPr>
                <w:szCs w:val="21"/>
              </w:rPr>
            </w:pPr>
          </w:p>
        </w:tc>
        <w:tc>
          <w:tcPr>
            <w:tcW w:w="868" w:type="dxa"/>
            <w:vMerge w:val="continue"/>
            <w:noWrap w:val="0"/>
            <w:vAlign w:val="center"/>
          </w:tcPr>
          <w:p w14:paraId="5DA59835">
            <w:pPr>
              <w:ind w:left="-105" w:leftChars="-50" w:right="-105" w:rightChars="-50"/>
              <w:jc w:val="center"/>
              <w:rPr>
                <w:szCs w:val="21"/>
              </w:rPr>
            </w:pPr>
          </w:p>
        </w:tc>
        <w:tc>
          <w:tcPr>
            <w:tcW w:w="987" w:type="dxa"/>
            <w:noWrap w:val="0"/>
            <w:vAlign w:val="center"/>
          </w:tcPr>
          <w:p w14:paraId="538D0D22">
            <w:pPr>
              <w:widowControl/>
              <w:jc w:val="center"/>
              <w:textAlignment w:val="center"/>
              <w:rPr>
                <w:szCs w:val="21"/>
              </w:rPr>
            </w:pPr>
            <w:r>
              <w:rPr>
                <w:kern w:val="0"/>
                <w:szCs w:val="21"/>
                <w:lang w:bidi="ar"/>
              </w:rPr>
              <w:t>TN</w:t>
            </w:r>
          </w:p>
        </w:tc>
        <w:tc>
          <w:tcPr>
            <w:tcW w:w="1225" w:type="dxa"/>
            <w:noWrap w:val="0"/>
            <w:vAlign w:val="center"/>
          </w:tcPr>
          <w:p w14:paraId="54956985">
            <w:pPr>
              <w:widowControl/>
              <w:jc w:val="center"/>
              <w:textAlignment w:val="center"/>
              <w:rPr>
                <w:szCs w:val="21"/>
              </w:rPr>
            </w:pPr>
            <w:r>
              <w:rPr>
                <w:kern w:val="0"/>
                <w:szCs w:val="21"/>
                <w:lang w:bidi="ar"/>
              </w:rPr>
              <w:t>370</w:t>
            </w:r>
          </w:p>
        </w:tc>
        <w:tc>
          <w:tcPr>
            <w:tcW w:w="1441" w:type="dxa"/>
            <w:noWrap w:val="0"/>
            <w:vAlign w:val="center"/>
          </w:tcPr>
          <w:p w14:paraId="5C7D7EC5">
            <w:pPr>
              <w:widowControl/>
              <w:jc w:val="center"/>
              <w:textAlignment w:val="center"/>
              <w:rPr>
                <w:szCs w:val="21"/>
              </w:rPr>
            </w:pPr>
            <w:r>
              <w:rPr>
                <w:kern w:val="0"/>
                <w:szCs w:val="21"/>
                <w:lang w:bidi="ar"/>
              </w:rPr>
              <w:t xml:space="preserve">0.8585 </w:t>
            </w:r>
          </w:p>
        </w:tc>
        <w:tc>
          <w:tcPr>
            <w:tcW w:w="4472" w:type="dxa"/>
            <w:vMerge w:val="continue"/>
            <w:noWrap w:val="0"/>
            <w:vAlign w:val="center"/>
          </w:tcPr>
          <w:p w14:paraId="4F7D992A">
            <w:pPr>
              <w:ind w:left="-105" w:leftChars="-50" w:right="-105" w:rightChars="-50"/>
              <w:jc w:val="center"/>
              <w:rPr>
                <w:szCs w:val="21"/>
              </w:rPr>
            </w:pPr>
          </w:p>
        </w:tc>
        <w:tc>
          <w:tcPr>
            <w:tcW w:w="1598" w:type="dxa"/>
            <w:gridSpan w:val="2"/>
            <w:noWrap w:val="0"/>
            <w:vAlign w:val="center"/>
          </w:tcPr>
          <w:p w14:paraId="3C3AD680">
            <w:pPr>
              <w:widowControl/>
              <w:jc w:val="center"/>
              <w:textAlignment w:val="center"/>
              <w:rPr>
                <w:szCs w:val="21"/>
              </w:rPr>
            </w:pPr>
            <w:r>
              <w:rPr>
                <w:kern w:val="0"/>
                <w:szCs w:val="21"/>
                <w:lang w:bidi="ar"/>
              </w:rPr>
              <w:t>263.06</w:t>
            </w:r>
          </w:p>
        </w:tc>
        <w:tc>
          <w:tcPr>
            <w:tcW w:w="1600" w:type="dxa"/>
            <w:noWrap w:val="0"/>
            <w:vAlign w:val="center"/>
          </w:tcPr>
          <w:p w14:paraId="6005662B">
            <w:pPr>
              <w:widowControl/>
              <w:jc w:val="center"/>
              <w:textAlignment w:val="center"/>
              <w:rPr>
                <w:szCs w:val="21"/>
              </w:rPr>
            </w:pPr>
            <w:r>
              <w:rPr>
                <w:kern w:val="0"/>
                <w:szCs w:val="21"/>
                <w:lang w:bidi="ar"/>
              </w:rPr>
              <w:t xml:space="preserve">0.6104 </w:t>
            </w:r>
          </w:p>
        </w:tc>
      </w:tr>
      <w:tr w14:paraId="5C69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F521B20">
            <w:pPr>
              <w:ind w:left="-105" w:leftChars="-50" w:right="-105" w:rightChars="-50"/>
              <w:jc w:val="center"/>
              <w:rPr>
                <w:szCs w:val="21"/>
              </w:rPr>
            </w:pPr>
          </w:p>
        </w:tc>
        <w:tc>
          <w:tcPr>
            <w:tcW w:w="1679" w:type="dxa"/>
            <w:gridSpan w:val="2"/>
            <w:vMerge w:val="continue"/>
            <w:noWrap w:val="0"/>
            <w:vAlign w:val="center"/>
          </w:tcPr>
          <w:p w14:paraId="2C5B3FDC">
            <w:pPr>
              <w:ind w:left="-105" w:leftChars="-50" w:right="-105" w:rightChars="-50"/>
              <w:jc w:val="center"/>
              <w:rPr>
                <w:szCs w:val="21"/>
              </w:rPr>
            </w:pPr>
          </w:p>
        </w:tc>
        <w:tc>
          <w:tcPr>
            <w:tcW w:w="868" w:type="dxa"/>
            <w:vMerge w:val="continue"/>
            <w:noWrap w:val="0"/>
            <w:vAlign w:val="center"/>
          </w:tcPr>
          <w:p w14:paraId="267F9EFE">
            <w:pPr>
              <w:ind w:left="-105" w:leftChars="-50" w:right="-105" w:rightChars="-50"/>
              <w:jc w:val="center"/>
              <w:rPr>
                <w:szCs w:val="21"/>
              </w:rPr>
            </w:pPr>
          </w:p>
        </w:tc>
        <w:tc>
          <w:tcPr>
            <w:tcW w:w="987" w:type="dxa"/>
            <w:noWrap w:val="0"/>
            <w:vAlign w:val="center"/>
          </w:tcPr>
          <w:p w14:paraId="446ED2EA">
            <w:pPr>
              <w:widowControl/>
              <w:jc w:val="center"/>
              <w:textAlignment w:val="center"/>
              <w:rPr>
                <w:szCs w:val="21"/>
              </w:rPr>
            </w:pPr>
            <w:r>
              <w:rPr>
                <w:kern w:val="0"/>
                <w:szCs w:val="21"/>
                <w:lang w:bidi="ar"/>
              </w:rPr>
              <w:t>TP</w:t>
            </w:r>
          </w:p>
        </w:tc>
        <w:tc>
          <w:tcPr>
            <w:tcW w:w="1225" w:type="dxa"/>
            <w:noWrap w:val="0"/>
            <w:vAlign w:val="center"/>
          </w:tcPr>
          <w:p w14:paraId="74505EB9">
            <w:pPr>
              <w:widowControl/>
              <w:jc w:val="center"/>
              <w:textAlignment w:val="center"/>
              <w:rPr>
                <w:szCs w:val="21"/>
              </w:rPr>
            </w:pPr>
            <w:r>
              <w:rPr>
                <w:kern w:val="0"/>
                <w:szCs w:val="21"/>
                <w:lang w:bidi="ar"/>
              </w:rPr>
              <w:t>127</w:t>
            </w:r>
          </w:p>
        </w:tc>
        <w:tc>
          <w:tcPr>
            <w:tcW w:w="1441" w:type="dxa"/>
            <w:noWrap w:val="0"/>
            <w:vAlign w:val="center"/>
          </w:tcPr>
          <w:p w14:paraId="41C6BEB3">
            <w:pPr>
              <w:widowControl/>
              <w:jc w:val="center"/>
              <w:textAlignment w:val="center"/>
              <w:rPr>
                <w:szCs w:val="21"/>
              </w:rPr>
            </w:pPr>
            <w:r>
              <w:rPr>
                <w:kern w:val="0"/>
                <w:szCs w:val="21"/>
                <w:lang w:bidi="ar"/>
              </w:rPr>
              <w:t xml:space="preserve">0.2947 </w:t>
            </w:r>
          </w:p>
        </w:tc>
        <w:tc>
          <w:tcPr>
            <w:tcW w:w="4472" w:type="dxa"/>
            <w:vMerge w:val="continue"/>
            <w:noWrap w:val="0"/>
            <w:vAlign w:val="center"/>
          </w:tcPr>
          <w:p w14:paraId="72BF087E">
            <w:pPr>
              <w:ind w:left="-105" w:leftChars="-50" w:right="-105" w:rightChars="-50"/>
              <w:jc w:val="center"/>
              <w:rPr>
                <w:szCs w:val="21"/>
              </w:rPr>
            </w:pPr>
          </w:p>
        </w:tc>
        <w:tc>
          <w:tcPr>
            <w:tcW w:w="1598" w:type="dxa"/>
            <w:gridSpan w:val="2"/>
            <w:noWrap w:val="0"/>
            <w:vAlign w:val="center"/>
          </w:tcPr>
          <w:p w14:paraId="2DFFD44C">
            <w:pPr>
              <w:widowControl/>
              <w:jc w:val="center"/>
              <w:textAlignment w:val="center"/>
              <w:rPr>
                <w:szCs w:val="21"/>
              </w:rPr>
            </w:pPr>
            <w:r>
              <w:rPr>
                <w:kern w:val="0"/>
                <w:szCs w:val="21"/>
                <w:lang w:bidi="ar"/>
              </w:rPr>
              <w:t>22.75</w:t>
            </w:r>
          </w:p>
        </w:tc>
        <w:tc>
          <w:tcPr>
            <w:tcW w:w="1600" w:type="dxa"/>
            <w:noWrap w:val="0"/>
            <w:vAlign w:val="center"/>
          </w:tcPr>
          <w:p w14:paraId="32D51382">
            <w:pPr>
              <w:widowControl/>
              <w:jc w:val="center"/>
              <w:textAlignment w:val="center"/>
              <w:rPr>
                <w:szCs w:val="21"/>
              </w:rPr>
            </w:pPr>
            <w:r>
              <w:rPr>
                <w:kern w:val="0"/>
                <w:szCs w:val="21"/>
                <w:lang w:bidi="ar"/>
              </w:rPr>
              <w:t xml:space="preserve">0.0528 </w:t>
            </w:r>
          </w:p>
        </w:tc>
      </w:tr>
      <w:tr w14:paraId="0073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48218BFF">
            <w:pPr>
              <w:ind w:left="-105" w:leftChars="-50" w:right="-105" w:rightChars="-50"/>
              <w:jc w:val="center"/>
              <w:rPr>
                <w:szCs w:val="21"/>
              </w:rPr>
            </w:pPr>
          </w:p>
        </w:tc>
        <w:tc>
          <w:tcPr>
            <w:tcW w:w="1679" w:type="dxa"/>
            <w:gridSpan w:val="2"/>
            <w:vMerge w:val="restart"/>
            <w:noWrap w:val="0"/>
            <w:vAlign w:val="center"/>
          </w:tcPr>
          <w:p w14:paraId="4C1D7ADB">
            <w:pPr>
              <w:ind w:left="-105" w:leftChars="-50" w:right="-105" w:rightChars="-50"/>
              <w:jc w:val="center"/>
              <w:rPr>
                <w:szCs w:val="21"/>
              </w:rPr>
            </w:pPr>
            <w:r>
              <w:rPr>
                <w:szCs w:val="21"/>
              </w:rPr>
              <w:t>合计总废水</w:t>
            </w:r>
          </w:p>
        </w:tc>
        <w:tc>
          <w:tcPr>
            <w:tcW w:w="1855" w:type="dxa"/>
            <w:gridSpan w:val="2"/>
            <w:noWrap w:val="0"/>
            <w:vAlign w:val="center"/>
          </w:tcPr>
          <w:p w14:paraId="257FEF95">
            <w:pPr>
              <w:widowControl/>
              <w:jc w:val="center"/>
              <w:textAlignment w:val="center"/>
              <w:rPr>
                <w:szCs w:val="21"/>
              </w:rPr>
            </w:pPr>
            <w:r>
              <w:rPr>
                <w:kern w:val="0"/>
                <w:szCs w:val="21"/>
                <w:lang w:bidi="ar"/>
              </w:rPr>
              <w:t>废水量</w:t>
            </w:r>
          </w:p>
        </w:tc>
        <w:tc>
          <w:tcPr>
            <w:tcW w:w="1225" w:type="dxa"/>
            <w:noWrap w:val="0"/>
            <w:vAlign w:val="bottom"/>
          </w:tcPr>
          <w:p w14:paraId="380ECC47">
            <w:pPr>
              <w:ind w:left="-105" w:leftChars="-50" w:right="-105" w:rightChars="-50"/>
              <w:jc w:val="center"/>
              <w:rPr>
                <w:szCs w:val="21"/>
              </w:rPr>
            </w:pPr>
            <w:r>
              <w:rPr>
                <w:szCs w:val="21"/>
              </w:rPr>
              <w:t>/</w:t>
            </w:r>
          </w:p>
        </w:tc>
        <w:tc>
          <w:tcPr>
            <w:tcW w:w="1441" w:type="dxa"/>
            <w:noWrap w:val="0"/>
            <w:vAlign w:val="center"/>
          </w:tcPr>
          <w:p w14:paraId="2EB30DB1">
            <w:pPr>
              <w:widowControl/>
              <w:jc w:val="right"/>
              <w:textAlignment w:val="center"/>
              <w:rPr>
                <w:szCs w:val="21"/>
              </w:rPr>
            </w:pPr>
            <w:r>
              <w:rPr>
                <w:kern w:val="0"/>
                <w:szCs w:val="21"/>
                <w:lang w:bidi="ar"/>
              </w:rPr>
              <w:t xml:space="preserve">9995.3700 </w:t>
            </w:r>
          </w:p>
        </w:tc>
        <w:tc>
          <w:tcPr>
            <w:tcW w:w="4472" w:type="dxa"/>
            <w:vMerge w:val="restart"/>
            <w:noWrap w:val="0"/>
            <w:vAlign w:val="center"/>
          </w:tcPr>
          <w:p w14:paraId="214CE8B2">
            <w:pPr>
              <w:ind w:left="-105" w:leftChars="-50" w:right="-105" w:rightChars="-50"/>
              <w:jc w:val="center"/>
              <w:rPr>
                <w:szCs w:val="21"/>
              </w:rPr>
            </w:pPr>
            <w:r>
              <w:rPr>
                <w:szCs w:val="21"/>
              </w:rPr>
              <w:t>集中收集+固液分离+平流气浮+调节池+沼气池（UASB反应器）+沼液储存池储存后罐车云至苹果园回用</w:t>
            </w:r>
          </w:p>
        </w:tc>
        <w:tc>
          <w:tcPr>
            <w:tcW w:w="1598" w:type="dxa"/>
            <w:gridSpan w:val="2"/>
            <w:noWrap w:val="0"/>
            <w:vAlign w:val="bottom"/>
          </w:tcPr>
          <w:p w14:paraId="68493B89">
            <w:pPr>
              <w:ind w:left="-105" w:leftChars="-50" w:right="-105" w:rightChars="-50"/>
              <w:jc w:val="center"/>
              <w:rPr>
                <w:szCs w:val="21"/>
              </w:rPr>
            </w:pPr>
            <w:r>
              <w:rPr>
                <w:szCs w:val="21"/>
              </w:rPr>
              <w:t>/</w:t>
            </w:r>
          </w:p>
        </w:tc>
        <w:tc>
          <w:tcPr>
            <w:tcW w:w="1600" w:type="dxa"/>
            <w:noWrap w:val="0"/>
            <w:vAlign w:val="center"/>
          </w:tcPr>
          <w:p w14:paraId="3D667119">
            <w:pPr>
              <w:widowControl/>
              <w:jc w:val="right"/>
              <w:textAlignment w:val="center"/>
              <w:rPr>
                <w:szCs w:val="21"/>
              </w:rPr>
            </w:pPr>
            <w:r>
              <w:rPr>
                <w:kern w:val="0"/>
                <w:szCs w:val="21"/>
                <w:lang w:bidi="ar"/>
              </w:rPr>
              <w:t xml:space="preserve">9995.3700 </w:t>
            </w:r>
          </w:p>
        </w:tc>
      </w:tr>
      <w:tr w14:paraId="4483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6C9714D9">
            <w:pPr>
              <w:ind w:left="-105" w:leftChars="-50" w:right="-105" w:rightChars="-50"/>
              <w:jc w:val="center"/>
              <w:rPr>
                <w:szCs w:val="21"/>
              </w:rPr>
            </w:pPr>
          </w:p>
        </w:tc>
        <w:tc>
          <w:tcPr>
            <w:tcW w:w="1679" w:type="dxa"/>
            <w:gridSpan w:val="2"/>
            <w:vMerge w:val="continue"/>
            <w:noWrap w:val="0"/>
            <w:vAlign w:val="center"/>
          </w:tcPr>
          <w:p w14:paraId="3819FBC5">
            <w:pPr>
              <w:ind w:left="-105" w:leftChars="-50" w:right="-105" w:rightChars="-50"/>
              <w:jc w:val="center"/>
              <w:rPr>
                <w:szCs w:val="21"/>
              </w:rPr>
            </w:pPr>
          </w:p>
        </w:tc>
        <w:tc>
          <w:tcPr>
            <w:tcW w:w="1855" w:type="dxa"/>
            <w:gridSpan w:val="2"/>
            <w:noWrap w:val="0"/>
            <w:vAlign w:val="center"/>
          </w:tcPr>
          <w:p w14:paraId="65F0C900">
            <w:pPr>
              <w:widowControl/>
              <w:jc w:val="center"/>
              <w:textAlignment w:val="center"/>
              <w:rPr>
                <w:szCs w:val="21"/>
              </w:rPr>
            </w:pPr>
            <w:r>
              <w:rPr>
                <w:kern w:val="0"/>
                <w:szCs w:val="21"/>
                <w:lang w:bidi="ar"/>
              </w:rPr>
              <w:t>CODcr</w:t>
            </w:r>
          </w:p>
        </w:tc>
        <w:tc>
          <w:tcPr>
            <w:tcW w:w="1225" w:type="dxa"/>
            <w:noWrap w:val="0"/>
            <w:vAlign w:val="bottom"/>
          </w:tcPr>
          <w:p w14:paraId="424DB5C4">
            <w:pPr>
              <w:ind w:left="-105" w:leftChars="-50" w:right="-105" w:rightChars="-50"/>
              <w:jc w:val="center"/>
              <w:rPr>
                <w:szCs w:val="21"/>
              </w:rPr>
            </w:pPr>
            <w:r>
              <w:rPr>
                <w:szCs w:val="21"/>
              </w:rPr>
              <w:t>/</w:t>
            </w:r>
          </w:p>
        </w:tc>
        <w:tc>
          <w:tcPr>
            <w:tcW w:w="1441" w:type="dxa"/>
            <w:noWrap w:val="0"/>
            <w:vAlign w:val="center"/>
          </w:tcPr>
          <w:p w14:paraId="582CB952">
            <w:pPr>
              <w:widowControl/>
              <w:jc w:val="right"/>
              <w:textAlignment w:val="center"/>
              <w:rPr>
                <w:szCs w:val="21"/>
              </w:rPr>
            </w:pPr>
            <w:r>
              <w:rPr>
                <w:kern w:val="0"/>
                <w:szCs w:val="21"/>
                <w:lang w:bidi="ar"/>
              </w:rPr>
              <w:t xml:space="preserve">26.3878 </w:t>
            </w:r>
          </w:p>
        </w:tc>
        <w:tc>
          <w:tcPr>
            <w:tcW w:w="4472" w:type="dxa"/>
            <w:vMerge w:val="continue"/>
            <w:noWrap w:val="0"/>
            <w:vAlign w:val="center"/>
          </w:tcPr>
          <w:p w14:paraId="758A8733">
            <w:pPr>
              <w:ind w:left="-105" w:leftChars="-50" w:right="-105" w:rightChars="-50"/>
              <w:jc w:val="center"/>
              <w:rPr>
                <w:szCs w:val="21"/>
              </w:rPr>
            </w:pPr>
          </w:p>
        </w:tc>
        <w:tc>
          <w:tcPr>
            <w:tcW w:w="1598" w:type="dxa"/>
            <w:gridSpan w:val="2"/>
            <w:noWrap w:val="0"/>
            <w:vAlign w:val="bottom"/>
          </w:tcPr>
          <w:p w14:paraId="7FD4FEE6">
            <w:pPr>
              <w:ind w:left="-105" w:leftChars="-50" w:right="-105" w:rightChars="-50"/>
              <w:jc w:val="center"/>
              <w:rPr>
                <w:szCs w:val="21"/>
              </w:rPr>
            </w:pPr>
            <w:r>
              <w:rPr>
                <w:szCs w:val="21"/>
              </w:rPr>
              <w:t>/</w:t>
            </w:r>
          </w:p>
        </w:tc>
        <w:tc>
          <w:tcPr>
            <w:tcW w:w="1600" w:type="dxa"/>
            <w:noWrap w:val="0"/>
            <w:vAlign w:val="center"/>
          </w:tcPr>
          <w:p w14:paraId="761429BB">
            <w:pPr>
              <w:widowControl/>
              <w:jc w:val="right"/>
              <w:textAlignment w:val="center"/>
              <w:rPr>
                <w:szCs w:val="21"/>
              </w:rPr>
            </w:pPr>
            <w:r>
              <w:rPr>
                <w:kern w:val="0"/>
                <w:szCs w:val="21"/>
                <w:lang w:bidi="ar"/>
              </w:rPr>
              <w:t xml:space="preserve">1.5974 </w:t>
            </w:r>
          </w:p>
        </w:tc>
      </w:tr>
      <w:tr w14:paraId="6460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3E25D31">
            <w:pPr>
              <w:ind w:left="-105" w:leftChars="-50" w:right="-105" w:rightChars="-50"/>
              <w:jc w:val="center"/>
              <w:rPr>
                <w:szCs w:val="21"/>
              </w:rPr>
            </w:pPr>
          </w:p>
        </w:tc>
        <w:tc>
          <w:tcPr>
            <w:tcW w:w="1679" w:type="dxa"/>
            <w:gridSpan w:val="2"/>
            <w:vMerge w:val="continue"/>
            <w:noWrap w:val="0"/>
            <w:vAlign w:val="center"/>
          </w:tcPr>
          <w:p w14:paraId="3AA33605">
            <w:pPr>
              <w:ind w:left="-105" w:leftChars="-50" w:right="-105" w:rightChars="-50"/>
              <w:jc w:val="center"/>
              <w:rPr>
                <w:szCs w:val="21"/>
              </w:rPr>
            </w:pPr>
          </w:p>
        </w:tc>
        <w:tc>
          <w:tcPr>
            <w:tcW w:w="1855" w:type="dxa"/>
            <w:gridSpan w:val="2"/>
            <w:noWrap w:val="0"/>
            <w:vAlign w:val="center"/>
          </w:tcPr>
          <w:p w14:paraId="7E1E1C1F">
            <w:pPr>
              <w:widowControl/>
              <w:jc w:val="center"/>
              <w:textAlignment w:val="center"/>
              <w:rPr>
                <w:szCs w:val="21"/>
              </w:rPr>
            </w:pPr>
            <w:r>
              <w:rPr>
                <w:kern w:val="0"/>
                <w:szCs w:val="21"/>
                <w:lang w:bidi="ar"/>
              </w:rPr>
              <w:t>BOD</w:t>
            </w:r>
            <w:r>
              <w:rPr>
                <w:kern w:val="0"/>
                <w:szCs w:val="21"/>
                <w:vertAlign w:val="subscript"/>
                <w:lang w:bidi="ar"/>
              </w:rPr>
              <w:t>5</w:t>
            </w:r>
          </w:p>
        </w:tc>
        <w:tc>
          <w:tcPr>
            <w:tcW w:w="1225" w:type="dxa"/>
            <w:noWrap w:val="0"/>
            <w:vAlign w:val="bottom"/>
          </w:tcPr>
          <w:p w14:paraId="47291467">
            <w:pPr>
              <w:ind w:left="-105" w:leftChars="-50" w:right="-105" w:rightChars="-50"/>
              <w:jc w:val="center"/>
              <w:rPr>
                <w:szCs w:val="21"/>
              </w:rPr>
            </w:pPr>
            <w:r>
              <w:rPr>
                <w:szCs w:val="21"/>
              </w:rPr>
              <w:t>/</w:t>
            </w:r>
          </w:p>
        </w:tc>
        <w:tc>
          <w:tcPr>
            <w:tcW w:w="1441" w:type="dxa"/>
            <w:noWrap w:val="0"/>
            <w:vAlign w:val="center"/>
          </w:tcPr>
          <w:p w14:paraId="6BBD8E28">
            <w:pPr>
              <w:widowControl/>
              <w:jc w:val="right"/>
              <w:textAlignment w:val="center"/>
              <w:rPr>
                <w:szCs w:val="21"/>
              </w:rPr>
            </w:pPr>
            <w:r>
              <w:rPr>
                <w:kern w:val="0"/>
                <w:szCs w:val="21"/>
                <w:lang w:bidi="ar"/>
              </w:rPr>
              <w:t xml:space="preserve">14.9931 </w:t>
            </w:r>
          </w:p>
        </w:tc>
        <w:tc>
          <w:tcPr>
            <w:tcW w:w="4472" w:type="dxa"/>
            <w:vMerge w:val="continue"/>
            <w:noWrap w:val="0"/>
            <w:vAlign w:val="center"/>
          </w:tcPr>
          <w:p w14:paraId="4032E621">
            <w:pPr>
              <w:ind w:left="-105" w:leftChars="-50" w:right="-105" w:rightChars="-50"/>
              <w:jc w:val="center"/>
              <w:rPr>
                <w:szCs w:val="21"/>
              </w:rPr>
            </w:pPr>
          </w:p>
        </w:tc>
        <w:tc>
          <w:tcPr>
            <w:tcW w:w="1598" w:type="dxa"/>
            <w:gridSpan w:val="2"/>
            <w:noWrap w:val="0"/>
            <w:vAlign w:val="bottom"/>
          </w:tcPr>
          <w:p w14:paraId="1473DA93">
            <w:pPr>
              <w:ind w:left="-105" w:leftChars="-50" w:right="-105" w:rightChars="-50"/>
              <w:jc w:val="center"/>
              <w:rPr>
                <w:szCs w:val="21"/>
              </w:rPr>
            </w:pPr>
            <w:r>
              <w:rPr>
                <w:szCs w:val="21"/>
              </w:rPr>
              <w:t>/</w:t>
            </w:r>
          </w:p>
        </w:tc>
        <w:tc>
          <w:tcPr>
            <w:tcW w:w="1600" w:type="dxa"/>
            <w:noWrap w:val="0"/>
            <w:vAlign w:val="center"/>
          </w:tcPr>
          <w:p w14:paraId="0D3643F0">
            <w:pPr>
              <w:widowControl/>
              <w:jc w:val="right"/>
              <w:textAlignment w:val="center"/>
              <w:rPr>
                <w:szCs w:val="21"/>
              </w:rPr>
            </w:pPr>
            <w:r>
              <w:rPr>
                <w:kern w:val="0"/>
                <w:szCs w:val="21"/>
                <w:lang w:bidi="ar"/>
              </w:rPr>
              <w:t xml:space="preserve">0.8298 </w:t>
            </w:r>
          </w:p>
        </w:tc>
      </w:tr>
      <w:tr w14:paraId="57F6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492FD5B5">
            <w:pPr>
              <w:ind w:left="-105" w:leftChars="-50" w:right="-105" w:rightChars="-50"/>
              <w:jc w:val="center"/>
              <w:rPr>
                <w:szCs w:val="21"/>
              </w:rPr>
            </w:pPr>
          </w:p>
        </w:tc>
        <w:tc>
          <w:tcPr>
            <w:tcW w:w="1679" w:type="dxa"/>
            <w:gridSpan w:val="2"/>
            <w:vMerge w:val="continue"/>
            <w:noWrap w:val="0"/>
            <w:vAlign w:val="center"/>
          </w:tcPr>
          <w:p w14:paraId="570808B8">
            <w:pPr>
              <w:ind w:left="-105" w:leftChars="-50" w:right="-105" w:rightChars="-50"/>
              <w:jc w:val="center"/>
              <w:rPr>
                <w:szCs w:val="21"/>
              </w:rPr>
            </w:pPr>
          </w:p>
        </w:tc>
        <w:tc>
          <w:tcPr>
            <w:tcW w:w="1855" w:type="dxa"/>
            <w:gridSpan w:val="2"/>
            <w:noWrap w:val="0"/>
            <w:vAlign w:val="center"/>
          </w:tcPr>
          <w:p w14:paraId="3472AB82">
            <w:pPr>
              <w:widowControl/>
              <w:jc w:val="center"/>
              <w:textAlignment w:val="center"/>
              <w:rPr>
                <w:szCs w:val="21"/>
              </w:rPr>
            </w:pPr>
            <w:r>
              <w:rPr>
                <w:kern w:val="0"/>
                <w:szCs w:val="21"/>
                <w:lang w:bidi="ar"/>
              </w:rPr>
              <w:t>SS</w:t>
            </w:r>
          </w:p>
        </w:tc>
        <w:tc>
          <w:tcPr>
            <w:tcW w:w="1225" w:type="dxa"/>
            <w:noWrap w:val="0"/>
            <w:vAlign w:val="bottom"/>
          </w:tcPr>
          <w:p w14:paraId="33BBCEF2">
            <w:pPr>
              <w:ind w:left="-105" w:leftChars="-50" w:right="-105" w:rightChars="-50"/>
              <w:jc w:val="center"/>
              <w:rPr>
                <w:szCs w:val="21"/>
              </w:rPr>
            </w:pPr>
            <w:r>
              <w:rPr>
                <w:szCs w:val="21"/>
              </w:rPr>
              <w:t>/</w:t>
            </w:r>
          </w:p>
        </w:tc>
        <w:tc>
          <w:tcPr>
            <w:tcW w:w="1441" w:type="dxa"/>
            <w:noWrap w:val="0"/>
            <w:vAlign w:val="center"/>
          </w:tcPr>
          <w:p w14:paraId="705832FC">
            <w:pPr>
              <w:widowControl/>
              <w:jc w:val="right"/>
              <w:textAlignment w:val="center"/>
              <w:rPr>
                <w:szCs w:val="21"/>
              </w:rPr>
            </w:pPr>
            <w:r>
              <w:rPr>
                <w:kern w:val="0"/>
                <w:szCs w:val="21"/>
                <w:lang w:bidi="ar"/>
              </w:rPr>
              <w:t xml:space="preserve">32.9847 </w:t>
            </w:r>
          </w:p>
        </w:tc>
        <w:tc>
          <w:tcPr>
            <w:tcW w:w="4472" w:type="dxa"/>
            <w:vMerge w:val="continue"/>
            <w:noWrap w:val="0"/>
            <w:vAlign w:val="center"/>
          </w:tcPr>
          <w:p w14:paraId="0875D8BC">
            <w:pPr>
              <w:ind w:left="-105" w:leftChars="-50" w:right="-105" w:rightChars="-50"/>
              <w:jc w:val="center"/>
              <w:rPr>
                <w:szCs w:val="21"/>
              </w:rPr>
            </w:pPr>
          </w:p>
        </w:tc>
        <w:tc>
          <w:tcPr>
            <w:tcW w:w="1598" w:type="dxa"/>
            <w:gridSpan w:val="2"/>
            <w:noWrap w:val="0"/>
            <w:vAlign w:val="bottom"/>
          </w:tcPr>
          <w:p w14:paraId="28F5874C">
            <w:pPr>
              <w:ind w:left="-105" w:leftChars="-50" w:right="-105" w:rightChars="-50"/>
              <w:jc w:val="center"/>
              <w:rPr>
                <w:szCs w:val="21"/>
              </w:rPr>
            </w:pPr>
            <w:r>
              <w:rPr>
                <w:szCs w:val="21"/>
              </w:rPr>
              <w:t>/</w:t>
            </w:r>
          </w:p>
        </w:tc>
        <w:tc>
          <w:tcPr>
            <w:tcW w:w="1600" w:type="dxa"/>
            <w:noWrap w:val="0"/>
            <w:vAlign w:val="center"/>
          </w:tcPr>
          <w:p w14:paraId="55B72012">
            <w:pPr>
              <w:widowControl/>
              <w:jc w:val="right"/>
              <w:textAlignment w:val="center"/>
              <w:rPr>
                <w:szCs w:val="21"/>
              </w:rPr>
            </w:pPr>
            <w:r>
              <w:rPr>
                <w:kern w:val="0"/>
                <w:szCs w:val="21"/>
                <w:lang w:bidi="ar"/>
              </w:rPr>
              <w:t xml:space="preserve">1.1736 </w:t>
            </w:r>
          </w:p>
        </w:tc>
      </w:tr>
      <w:tr w14:paraId="5823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246C949B">
            <w:pPr>
              <w:ind w:left="-105" w:leftChars="-50" w:right="-105" w:rightChars="-50"/>
              <w:jc w:val="center"/>
              <w:rPr>
                <w:szCs w:val="21"/>
              </w:rPr>
            </w:pPr>
          </w:p>
        </w:tc>
        <w:tc>
          <w:tcPr>
            <w:tcW w:w="1679" w:type="dxa"/>
            <w:gridSpan w:val="2"/>
            <w:vMerge w:val="continue"/>
            <w:noWrap w:val="0"/>
            <w:vAlign w:val="center"/>
          </w:tcPr>
          <w:p w14:paraId="6DC39206">
            <w:pPr>
              <w:ind w:left="-105" w:leftChars="-50" w:right="-105" w:rightChars="-50"/>
              <w:jc w:val="center"/>
              <w:rPr>
                <w:szCs w:val="21"/>
              </w:rPr>
            </w:pPr>
          </w:p>
        </w:tc>
        <w:tc>
          <w:tcPr>
            <w:tcW w:w="1855" w:type="dxa"/>
            <w:gridSpan w:val="2"/>
            <w:noWrap w:val="0"/>
            <w:vAlign w:val="center"/>
          </w:tcPr>
          <w:p w14:paraId="783C6EDD">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1225" w:type="dxa"/>
            <w:noWrap w:val="0"/>
            <w:vAlign w:val="bottom"/>
          </w:tcPr>
          <w:p w14:paraId="2985DF3D">
            <w:pPr>
              <w:ind w:left="-105" w:leftChars="-50" w:right="-105" w:rightChars="-50"/>
              <w:jc w:val="center"/>
              <w:rPr>
                <w:szCs w:val="21"/>
              </w:rPr>
            </w:pPr>
            <w:r>
              <w:rPr>
                <w:szCs w:val="21"/>
              </w:rPr>
              <w:t>/</w:t>
            </w:r>
          </w:p>
        </w:tc>
        <w:tc>
          <w:tcPr>
            <w:tcW w:w="1441" w:type="dxa"/>
            <w:noWrap w:val="0"/>
            <w:vAlign w:val="center"/>
          </w:tcPr>
          <w:p w14:paraId="13C79370">
            <w:pPr>
              <w:widowControl/>
              <w:jc w:val="right"/>
              <w:textAlignment w:val="center"/>
              <w:rPr>
                <w:szCs w:val="21"/>
              </w:rPr>
            </w:pPr>
            <w:r>
              <w:rPr>
                <w:kern w:val="0"/>
                <w:szCs w:val="21"/>
                <w:lang w:bidi="ar"/>
              </w:rPr>
              <w:t xml:space="preserve">2.6088 </w:t>
            </w:r>
          </w:p>
        </w:tc>
        <w:tc>
          <w:tcPr>
            <w:tcW w:w="4472" w:type="dxa"/>
            <w:vMerge w:val="continue"/>
            <w:noWrap w:val="0"/>
            <w:vAlign w:val="center"/>
          </w:tcPr>
          <w:p w14:paraId="269034C0">
            <w:pPr>
              <w:ind w:left="-105" w:leftChars="-50" w:right="-105" w:rightChars="-50"/>
              <w:jc w:val="center"/>
              <w:rPr>
                <w:szCs w:val="21"/>
              </w:rPr>
            </w:pPr>
          </w:p>
        </w:tc>
        <w:tc>
          <w:tcPr>
            <w:tcW w:w="1598" w:type="dxa"/>
            <w:gridSpan w:val="2"/>
            <w:noWrap w:val="0"/>
            <w:vAlign w:val="bottom"/>
          </w:tcPr>
          <w:p w14:paraId="260C9E52">
            <w:pPr>
              <w:ind w:left="-105" w:leftChars="-50" w:right="-105" w:rightChars="-50"/>
              <w:jc w:val="center"/>
              <w:rPr>
                <w:szCs w:val="21"/>
              </w:rPr>
            </w:pPr>
            <w:r>
              <w:rPr>
                <w:szCs w:val="21"/>
              </w:rPr>
              <w:t>/</w:t>
            </w:r>
          </w:p>
        </w:tc>
        <w:tc>
          <w:tcPr>
            <w:tcW w:w="1600" w:type="dxa"/>
            <w:noWrap w:val="0"/>
            <w:vAlign w:val="center"/>
          </w:tcPr>
          <w:p w14:paraId="7988FEF6">
            <w:pPr>
              <w:widowControl/>
              <w:jc w:val="right"/>
              <w:textAlignment w:val="center"/>
              <w:rPr>
                <w:szCs w:val="21"/>
              </w:rPr>
            </w:pPr>
            <w:r>
              <w:rPr>
                <w:kern w:val="0"/>
                <w:szCs w:val="21"/>
                <w:lang w:bidi="ar"/>
              </w:rPr>
              <w:t xml:space="preserve">1.6708 </w:t>
            </w:r>
          </w:p>
        </w:tc>
      </w:tr>
      <w:tr w14:paraId="3EB6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7D7CF9CB">
            <w:pPr>
              <w:ind w:left="-105" w:leftChars="-50" w:right="-105" w:rightChars="-50"/>
              <w:jc w:val="center"/>
              <w:rPr>
                <w:szCs w:val="21"/>
              </w:rPr>
            </w:pPr>
          </w:p>
        </w:tc>
        <w:tc>
          <w:tcPr>
            <w:tcW w:w="1679" w:type="dxa"/>
            <w:gridSpan w:val="2"/>
            <w:vMerge w:val="continue"/>
            <w:noWrap w:val="0"/>
            <w:vAlign w:val="center"/>
          </w:tcPr>
          <w:p w14:paraId="383E963E">
            <w:pPr>
              <w:ind w:left="-105" w:leftChars="-50" w:right="-105" w:rightChars="-50"/>
              <w:jc w:val="center"/>
              <w:rPr>
                <w:szCs w:val="21"/>
              </w:rPr>
            </w:pPr>
          </w:p>
        </w:tc>
        <w:tc>
          <w:tcPr>
            <w:tcW w:w="1855" w:type="dxa"/>
            <w:gridSpan w:val="2"/>
            <w:noWrap w:val="0"/>
            <w:vAlign w:val="center"/>
          </w:tcPr>
          <w:p w14:paraId="4E20A455">
            <w:pPr>
              <w:widowControl/>
              <w:jc w:val="center"/>
              <w:textAlignment w:val="center"/>
              <w:rPr>
                <w:szCs w:val="21"/>
              </w:rPr>
            </w:pPr>
            <w:r>
              <w:rPr>
                <w:kern w:val="0"/>
                <w:szCs w:val="21"/>
                <w:lang w:bidi="ar"/>
              </w:rPr>
              <w:t>TN</w:t>
            </w:r>
          </w:p>
        </w:tc>
        <w:tc>
          <w:tcPr>
            <w:tcW w:w="1225" w:type="dxa"/>
            <w:noWrap w:val="0"/>
            <w:vAlign w:val="bottom"/>
          </w:tcPr>
          <w:p w14:paraId="3604BCDA">
            <w:pPr>
              <w:ind w:left="-105" w:leftChars="-50" w:right="-105" w:rightChars="-50"/>
              <w:jc w:val="center"/>
              <w:rPr>
                <w:szCs w:val="21"/>
              </w:rPr>
            </w:pPr>
            <w:r>
              <w:rPr>
                <w:szCs w:val="21"/>
              </w:rPr>
              <w:t>/</w:t>
            </w:r>
          </w:p>
        </w:tc>
        <w:tc>
          <w:tcPr>
            <w:tcW w:w="1441" w:type="dxa"/>
            <w:noWrap w:val="0"/>
            <w:vAlign w:val="center"/>
          </w:tcPr>
          <w:p w14:paraId="1DCB9C2C">
            <w:pPr>
              <w:widowControl/>
              <w:jc w:val="right"/>
              <w:textAlignment w:val="center"/>
              <w:rPr>
                <w:szCs w:val="21"/>
              </w:rPr>
            </w:pPr>
            <w:r>
              <w:rPr>
                <w:kern w:val="0"/>
                <w:szCs w:val="21"/>
                <w:lang w:bidi="ar"/>
              </w:rPr>
              <w:t xml:space="preserve">3.6983 </w:t>
            </w:r>
          </w:p>
        </w:tc>
        <w:tc>
          <w:tcPr>
            <w:tcW w:w="4472" w:type="dxa"/>
            <w:vMerge w:val="continue"/>
            <w:noWrap w:val="0"/>
            <w:vAlign w:val="center"/>
          </w:tcPr>
          <w:p w14:paraId="3EC5B8F4">
            <w:pPr>
              <w:ind w:left="-105" w:leftChars="-50" w:right="-105" w:rightChars="-50"/>
              <w:jc w:val="center"/>
              <w:rPr>
                <w:szCs w:val="21"/>
              </w:rPr>
            </w:pPr>
          </w:p>
        </w:tc>
        <w:tc>
          <w:tcPr>
            <w:tcW w:w="1598" w:type="dxa"/>
            <w:gridSpan w:val="2"/>
            <w:noWrap w:val="0"/>
            <w:vAlign w:val="bottom"/>
          </w:tcPr>
          <w:p w14:paraId="284C51F5">
            <w:pPr>
              <w:ind w:left="-105" w:leftChars="-50" w:right="-105" w:rightChars="-50"/>
              <w:jc w:val="center"/>
              <w:rPr>
                <w:szCs w:val="21"/>
              </w:rPr>
            </w:pPr>
            <w:r>
              <w:rPr>
                <w:szCs w:val="21"/>
              </w:rPr>
              <w:t>/</w:t>
            </w:r>
          </w:p>
        </w:tc>
        <w:tc>
          <w:tcPr>
            <w:tcW w:w="1600" w:type="dxa"/>
            <w:noWrap w:val="0"/>
            <w:vAlign w:val="center"/>
          </w:tcPr>
          <w:p w14:paraId="60DEAF02">
            <w:pPr>
              <w:widowControl/>
              <w:jc w:val="right"/>
              <w:textAlignment w:val="center"/>
              <w:rPr>
                <w:szCs w:val="21"/>
              </w:rPr>
            </w:pPr>
            <w:r>
              <w:rPr>
                <w:kern w:val="0"/>
                <w:szCs w:val="21"/>
                <w:lang w:bidi="ar"/>
              </w:rPr>
              <w:t xml:space="preserve">2.5987 </w:t>
            </w:r>
          </w:p>
        </w:tc>
      </w:tr>
      <w:tr w14:paraId="38D1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 w:hRule="atLeast"/>
          <w:jc w:val="center"/>
        </w:trPr>
        <w:tc>
          <w:tcPr>
            <w:tcW w:w="622" w:type="dxa"/>
            <w:vMerge w:val="continue"/>
            <w:noWrap w:val="0"/>
            <w:vAlign w:val="center"/>
          </w:tcPr>
          <w:p w14:paraId="35A5A4E6">
            <w:pPr>
              <w:ind w:left="-105" w:leftChars="-50" w:right="-105" w:rightChars="-50"/>
              <w:jc w:val="center"/>
              <w:rPr>
                <w:szCs w:val="21"/>
              </w:rPr>
            </w:pPr>
          </w:p>
        </w:tc>
        <w:tc>
          <w:tcPr>
            <w:tcW w:w="1679" w:type="dxa"/>
            <w:gridSpan w:val="2"/>
            <w:vMerge w:val="continue"/>
            <w:noWrap w:val="0"/>
            <w:vAlign w:val="center"/>
          </w:tcPr>
          <w:p w14:paraId="305A9BAB">
            <w:pPr>
              <w:ind w:left="-105" w:leftChars="-50" w:right="-105" w:rightChars="-50"/>
              <w:jc w:val="center"/>
              <w:rPr>
                <w:szCs w:val="21"/>
              </w:rPr>
            </w:pPr>
          </w:p>
        </w:tc>
        <w:tc>
          <w:tcPr>
            <w:tcW w:w="1855" w:type="dxa"/>
            <w:gridSpan w:val="2"/>
            <w:noWrap w:val="0"/>
            <w:vAlign w:val="center"/>
          </w:tcPr>
          <w:p w14:paraId="5BDBB416">
            <w:pPr>
              <w:widowControl/>
              <w:jc w:val="center"/>
              <w:textAlignment w:val="center"/>
              <w:rPr>
                <w:szCs w:val="21"/>
              </w:rPr>
            </w:pPr>
            <w:r>
              <w:rPr>
                <w:kern w:val="0"/>
                <w:szCs w:val="21"/>
                <w:lang w:bidi="ar"/>
              </w:rPr>
              <w:t>TP</w:t>
            </w:r>
          </w:p>
        </w:tc>
        <w:tc>
          <w:tcPr>
            <w:tcW w:w="1225" w:type="dxa"/>
            <w:noWrap w:val="0"/>
            <w:vAlign w:val="bottom"/>
          </w:tcPr>
          <w:p w14:paraId="20C03A15">
            <w:pPr>
              <w:ind w:left="-105" w:leftChars="-50" w:right="-105" w:rightChars="-50"/>
              <w:jc w:val="center"/>
              <w:rPr>
                <w:szCs w:val="21"/>
              </w:rPr>
            </w:pPr>
            <w:r>
              <w:rPr>
                <w:szCs w:val="21"/>
              </w:rPr>
              <w:t>/</w:t>
            </w:r>
          </w:p>
        </w:tc>
        <w:tc>
          <w:tcPr>
            <w:tcW w:w="1441" w:type="dxa"/>
            <w:noWrap w:val="0"/>
            <w:vAlign w:val="center"/>
          </w:tcPr>
          <w:p w14:paraId="001B2CCF">
            <w:pPr>
              <w:widowControl/>
              <w:jc w:val="right"/>
              <w:textAlignment w:val="center"/>
              <w:rPr>
                <w:szCs w:val="21"/>
              </w:rPr>
            </w:pPr>
            <w:r>
              <w:rPr>
                <w:kern w:val="0"/>
                <w:szCs w:val="21"/>
                <w:lang w:bidi="ar"/>
              </w:rPr>
              <w:t xml:space="preserve">1.2694 </w:t>
            </w:r>
          </w:p>
        </w:tc>
        <w:tc>
          <w:tcPr>
            <w:tcW w:w="4472" w:type="dxa"/>
            <w:vMerge w:val="continue"/>
            <w:noWrap w:val="0"/>
            <w:vAlign w:val="center"/>
          </w:tcPr>
          <w:p w14:paraId="4980D7C5">
            <w:pPr>
              <w:ind w:left="-105" w:leftChars="-50" w:right="-105" w:rightChars="-50"/>
              <w:jc w:val="center"/>
              <w:rPr>
                <w:szCs w:val="21"/>
              </w:rPr>
            </w:pPr>
          </w:p>
        </w:tc>
        <w:tc>
          <w:tcPr>
            <w:tcW w:w="1598" w:type="dxa"/>
            <w:gridSpan w:val="2"/>
            <w:noWrap w:val="0"/>
            <w:vAlign w:val="bottom"/>
          </w:tcPr>
          <w:p w14:paraId="035F0DDB">
            <w:pPr>
              <w:ind w:left="-105" w:leftChars="-50" w:right="-105" w:rightChars="-50"/>
              <w:jc w:val="center"/>
              <w:rPr>
                <w:szCs w:val="21"/>
              </w:rPr>
            </w:pPr>
            <w:r>
              <w:rPr>
                <w:szCs w:val="21"/>
              </w:rPr>
              <w:t>/</w:t>
            </w:r>
          </w:p>
        </w:tc>
        <w:tc>
          <w:tcPr>
            <w:tcW w:w="1600" w:type="dxa"/>
            <w:noWrap w:val="0"/>
            <w:vAlign w:val="center"/>
          </w:tcPr>
          <w:p w14:paraId="232F3EAA">
            <w:pPr>
              <w:widowControl/>
              <w:jc w:val="right"/>
              <w:textAlignment w:val="center"/>
              <w:rPr>
                <w:szCs w:val="21"/>
              </w:rPr>
            </w:pPr>
            <w:r>
              <w:rPr>
                <w:kern w:val="0"/>
                <w:szCs w:val="21"/>
                <w:lang w:bidi="ar"/>
              </w:rPr>
              <w:t xml:space="preserve">0.2247 </w:t>
            </w:r>
          </w:p>
        </w:tc>
      </w:tr>
      <w:tr w14:paraId="2B97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jc w:val="center"/>
        </w:trPr>
        <w:tc>
          <w:tcPr>
            <w:tcW w:w="622" w:type="dxa"/>
            <w:noWrap w:val="0"/>
            <w:vAlign w:val="center"/>
          </w:tcPr>
          <w:p w14:paraId="1262BB9A">
            <w:pPr>
              <w:pStyle w:val="85"/>
              <w:spacing w:after="0"/>
              <w:ind w:left="-105" w:leftChars="-50" w:right="-105" w:rightChars="-50" w:firstLine="0" w:firstLineChars="0"/>
              <w:jc w:val="center"/>
              <w:rPr>
                <w:szCs w:val="21"/>
              </w:rPr>
            </w:pPr>
            <w:r>
              <w:rPr>
                <w:szCs w:val="21"/>
              </w:rPr>
              <w:t>噪声</w:t>
            </w:r>
          </w:p>
        </w:tc>
        <w:tc>
          <w:tcPr>
            <w:tcW w:w="1679" w:type="dxa"/>
            <w:gridSpan w:val="2"/>
            <w:noWrap w:val="0"/>
            <w:vAlign w:val="center"/>
          </w:tcPr>
          <w:p w14:paraId="3D2A7ABC">
            <w:pPr>
              <w:pStyle w:val="85"/>
              <w:spacing w:after="0"/>
              <w:ind w:left="-105" w:leftChars="-50" w:right="-105" w:rightChars="-50" w:firstLine="0" w:firstLineChars="0"/>
              <w:jc w:val="center"/>
              <w:rPr>
                <w:szCs w:val="21"/>
              </w:rPr>
            </w:pPr>
            <w:r>
              <w:rPr>
                <w:szCs w:val="21"/>
              </w:rPr>
              <w:t>家禽叫声及设备运行</w:t>
            </w:r>
          </w:p>
        </w:tc>
        <w:tc>
          <w:tcPr>
            <w:tcW w:w="1855" w:type="dxa"/>
            <w:gridSpan w:val="2"/>
            <w:noWrap w:val="0"/>
            <w:vAlign w:val="center"/>
          </w:tcPr>
          <w:p w14:paraId="154461E3">
            <w:pPr>
              <w:pStyle w:val="446"/>
              <w:ind w:left="-105" w:leftChars="-50" w:right="-105" w:rightChars="-50"/>
              <w:rPr>
                <w:rFonts w:ascii="Times New Roman" w:hAnsi="Times New Roman"/>
                <w:szCs w:val="21"/>
              </w:rPr>
            </w:pPr>
            <w:r>
              <w:rPr>
                <w:rFonts w:ascii="Times New Roman" w:hAnsi="Times New Roman"/>
                <w:szCs w:val="21"/>
              </w:rPr>
              <w:t>噪声</w:t>
            </w:r>
          </w:p>
        </w:tc>
        <w:tc>
          <w:tcPr>
            <w:tcW w:w="1225" w:type="dxa"/>
            <w:noWrap w:val="0"/>
            <w:vAlign w:val="center"/>
          </w:tcPr>
          <w:p w14:paraId="024C4384">
            <w:pPr>
              <w:ind w:left="-105" w:leftChars="-50" w:right="-105" w:rightChars="-50"/>
              <w:jc w:val="center"/>
              <w:rPr>
                <w:szCs w:val="21"/>
              </w:rPr>
            </w:pPr>
            <w:r>
              <w:rPr>
                <w:szCs w:val="21"/>
              </w:rPr>
              <w:t>/</w:t>
            </w:r>
          </w:p>
        </w:tc>
        <w:tc>
          <w:tcPr>
            <w:tcW w:w="1441" w:type="dxa"/>
            <w:noWrap w:val="0"/>
            <w:vAlign w:val="center"/>
          </w:tcPr>
          <w:p w14:paraId="2979B60A">
            <w:pPr>
              <w:ind w:left="-105" w:leftChars="-50" w:right="-105" w:rightChars="-50"/>
              <w:jc w:val="center"/>
              <w:rPr>
                <w:szCs w:val="21"/>
              </w:rPr>
            </w:pPr>
            <w:r>
              <w:rPr>
                <w:szCs w:val="21"/>
              </w:rPr>
              <w:t>60~95</w:t>
            </w:r>
          </w:p>
        </w:tc>
        <w:tc>
          <w:tcPr>
            <w:tcW w:w="4472" w:type="dxa"/>
            <w:noWrap w:val="0"/>
            <w:vAlign w:val="center"/>
          </w:tcPr>
          <w:p w14:paraId="76F3A946">
            <w:pPr>
              <w:ind w:left="-105" w:leftChars="-50" w:right="-105" w:rightChars="-50"/>
              <w:jc w:val="center"/>
              <w:rPr>
                <w:szCs w:val="21"/>
              </w:rPr>
            </w:pPr>
            <w:r>
              <w:rPr>
                <w:szCs w:val="21"/>
              </w:rPr>
              <w:t>建筑隔声、加装减震垫、柔性连接、加强管理</w:t>
            </w:r>
          </w:p>
        </w:tc>
        <w:tc>
          <w:tcPr>
            <w:tcW w:w="1598" w:type="dxa"/>
            <w:gridSpan w:val="2"/>
            <w:noWrap w:val="0"/>
            <w:vAlign w:val="center"/>
          </w:tcPr>
          <w:p w14:paraId="4A2D0A5C">
            <w:pPr>
              <w:ind w:left="-105" w:leftChars="-50" w:right="-105" w:rightChars="-50"/>
              <w:jc w:val="center"/>
              <w:rPr>
                <w:szCs w:val="21"/>
              </w:rPr>
            </w:pPr>
            <w:r>
              <w:rPr>
                <w:szCs w:val="21"/>
              </w:rPr>
              <w:t>60~95</w:t>
            </w:r>
          </w:p>
        </w:tc>
        <w:tc>
          <w:tcPr>
            <w:tcW w:w="1600" w:type="dxa"/>
            <w:noWrap w:val="0"/>
            <w:vAlign w:val="center"/>
          </w:tcPr>
          <w:p w14:paraId="389570F0">
            <w:pPr>
              <w:ind w:left="-105" w:leftChars="-50" w:right="-105" w:rightChars="-50"/>
              <w:jc w:val="center"/>
              <w:rPr>
                <w:szCs w:val="21"/>
              </w:rPr>
            </w:pPr>
            <w:r>
              <w:rPr>
                <w:szCs w:val="21"/>
              </w:rPr>
              <w:t>/</w:t>
            </w:r>
          </w:p>
        </w:tc>
      </w:tr>
      <w:tr w14:paraId="5617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restart"/>
            <w:noWrap w:val="0"/>
            <w:vAlign w:val="center"/>
          </w:tcPr>
          <w:p w14:paraId="1244289D">
            <w:pPr>
              <w:pStyle w:val="85"/>
              <w:spacing w:after="0"/>
              <w:ind w:right="-105" w:rightChars="-50" w:firstLine="0" w:firstLineChars="0"/>
              <w:jc w:val="center"/>
              <w:rPr>
                <w:szCs w:val="21"/>
              </w:rPr>
            </w:pPr>
            <w:r>
              <w:rPr>
                <w:szCs w:val="21"/>
              </w:rPr>
              <w:t>固废</w:t>
            </w:r>
          </w:p>
        </w:tc>
        <w:tc>
          <w:tcPr>
            <w:tcW w:w="1679" w:type="dxa"/>
            <w:gridSpan w:val="2"/>
            <w:noWrap w:val="0"/>
            <w:vAlign w:val="center"/>
          </w:tcPr>
          <w:p w14:paraId="52BBAB59">
            <w:pPr>
              <w:ind w:left="-105" w:leftChars="-50" w:right="-105" w:rightChars="-50"/>
              <w:jc w:val="center"/>
              <w:rPr>
                <w:szCs w:val="21"/>
              </w:rPr>
            </w:pPr>
            <w:r>
              <w:rPr>
                <w:szCs w:val="21"/>
              </w:rPr>
              <w:t>猪舍</w:t>
            </w:r>
          </w:p>
        </w:tc>
        <w:tc>
          <w:tcPr>
            <w:tcW w:w="1855" w:type="dxa"/>
            <w:gridSpan w:val="2"/>
            <w:noWrap w:val="0"/>
            <w:vAlign w:val="center"/>
          </w:tcPr>
          <w:p w14:paraId="49DF8887">
            <w:pPr>
              <w:widowControl/>
              <w:jc w:val="center"/>
              <w:textAlignment w:val="center"/>
              <w:rPr>
                <w:szCs w:val="21"/>
              </w:rPr>
            </w:pPr>
            <w:r>
              <w:rPr>
                <w:kern w:val="0"/>
                <w:szCs w:val="21"/>
                <w:lang w:bidi="ar"/>
              </w:rPr>
              <w:t>疾病防疫产生的医疗废物</w:t>
            </w:r>
          </w:p>
        </w:tc>
        <w:tc>
          <w:tcPr>
            <w:tcW w:w="2666" w:type="dxa"/>
            <w:gridSpan w:val="2"/>
            <w:noWrap w:val="0"/>
            <w:vAlign w:val="center"/>
          </w:tcPr>
          <w:p w14:paraId="5476CC60">
            <w:pPr>
              <w:widowControl/>
              <w:jc w:val="center"/>
              <w:textAlignment w:val="center"/>
              <w:rPr>
                <w:szCs w:val="21"/>
              </w:rPr>
            </w:pPr>
            <w:r>
              <w:rPr>
                <w:kern w:val="0"/>
                <w:szCs w:val="21"/>
                <w:lang w:bidi="ar"/>
              </w:rPr>
              <w:t>1.247</w:t>
            </w:r>
          </w:p>
        </w:tc>
        <w:tc>
          <w:tcPr>
            <w:tcW w:w="4472" w:type="dxa"/>
            <w:noWrap w:val="0"/>
            <w:vAlign w:val="center"/>
          </w:tcPr>
          <w:p w14:paraId="40CAD223">
            <w:pPr>
              <w:widowControl/>
              <w:jc w:val="center"/>
              <w:textAlignment w:val="center"/>
              <w:rPr>
                <w:szCs w:val="21"/>
              </w:rPr>
            </w:pPr>
            <w:r>
              <w:rPr>
                <w:kern w:val="0"/>
                <w:szCs w:val="21"/>
                <w:lang w:bidi="ar"/>
              </w:rPr>
              <w:t>厂内危废库暂存，委托第三方有资质公司处理</w:t>
            </w:r>
          </w:p>
        </w:tc>
        <w:tc>
          <w:tcPr>
            <w:tcW w:w="3198" w:type="dxa"/>
            <w:gridSpan w:val="3"/>
            <w:noWrap w:val="0"/>
            <w:vAlign w:val="center"/>
          </w:tcPr>
          <w:p w14:paraId="0319579C">
            <w:pPr>
              <w:pStyle w:val="85"/>
              <w:spacing w:after="0"/>
              <w:ind w:left="-105" w:leftChars="-50" w:right="-105" w:rightChars="-50" w:firstLine="0" w:firstLineChars="0"/>
              <w:jc w:val="center"/>
              <w:rPr>
                <w:szCs w:val="21"/>
              </w:rPr>
            </w:pPr>
            <w:r>
              <w:rPr>
                <w:szCs w:val="21"/>
              </w:rPr>
              <w:t>0</w:t>
            </w:r>
          </w:p>
        </w:tc>
      </w:tr>
      <w:tr w14:paraId="6A95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4D968164">
            <w:pPr>
              <w:pStyle w:val="85"/>
              <w:spacing w:after="0"/>
              <w:ind w:right="-105" w:rightChars="-50" w:firstLine="0" w:firstLineChars="0"/>
              <w:jc w:val="center"/>
              <w:rPr>
                <w:szCs w:val="21"/>
              </w:rPr>
            </w:pPr>
          </w:p>
        </w:tc>
        <w:tc>
          <w:tcPr>
            <w:tcW w:w="1679" w:type="dxa"/>
            <w:gridSpan w:val="2"/>
            <w:noWrap w:val="0"/>
            <w:vAlign w:val="center"/>
          </w:tcPr>
          <w:p w14:paraId="4FEAF9DA">
            <w:pPr>
              <w:ind w:left="-105" w:leftChars="-50" w:right="-105" w:rightChars="-50"/>
              <w:jc w:val="center"/>
              <w:rPr>
                <w:szCs w:val="21"/>
              </w:rPr>
            </w:pPr>
            <w:r>
              <w:rPr>
                <w:szCs w:val="21"/>
              </w:rPr>
              <w:t>猪舍</w:t>
            </w:r>
          </w:p>
        </w:tc>
        <w:tc>
          <w:tcPr>
            <w:tcW w:w="1855" w:type="dxa"/>
            <w:gridSpan w:val="2"/>
            <w:noWrap w:val="0"/>
            <w:vAlign w:val="center"/>
          </w:tcPr>
          <w:p w14:paraId="4657F597">
            <w:pPr>
              <w:widowControl/>
              <w:jc w:val="center"/>
              <w:textAlignment w:val="center"/>
              <w:rPr>
                <w:szCs w:val="21"/>
              </w:rPr>
            </w:pPr>
            <w:r>
              <w:rPr>
                <w:kern w:val="0"/>
                <w:szCs w:val="21"/>
                <w:lang w:bidi="ar"/>
              </w:rPr>
              <w:t>猪粪</w:t>
            </w:r>
          </w:p>
        </w:tc>
        <w:tc>
          <w:tcPr>
            <w:tcW w:w="2666" w:type="dxa"/>
            <w:gridSpan w:val="2"/>
            <w:noWrap w:val="0"/>
            <w:vAlign w:val="center"/>
          </w:tcPr>
          <w:p w14:paraId="44106AAA">
            <w:pPr>
              <w:widowControl/>
              <w:jc w:val="center"/>
              <w:textAlignment w:val="center"/>
              <w:rPr>
                <w:szCs w:val="21"/>
              </w:rPr>
            </w:pPr>
            <w:r>
              <w:rPr>
                <w:kern w:val="0"/>
                <w:szCs w:val="21"/>
                <w:lang w:bidi="ar"/>
              </w:rPr>
              <w:t>4209.18</w:t>
            </w:r>
          </w:p>
        </w:tc>
        <w:tc>
          <w:tcPr>
            <w:tcW w:w="4472" w:type="dxa"/>
            <w:noWrap w:val="0"/>
            <w:vAlign w:val="center"/>
          </w:tcPr>
          <w:p w14:paraId="2E6DDC43">
            <w:pPr>
              <w:widowControl/>
              <w:jc w:val="center"/>
              <w:textAlignment w:val="center"/>
              <w:rPr>
                <w:szCs w:val="21"/>
              </w:rPr>
            </w:pPr>
            <w:r>
              <w:rPr>
                <w:kern w:val="0"/>
                <w:szCs w:val="21"/>
                <w:lang w:bidi="ar"/>
              </w:rPr>
              <w:t>固粪处理区进行好氧堆肥后用于企业自有苹果园施肥</w:t>
            </w:r>
          </w:p>
        </w:tc>
        <w:tc>
          <w:tcPr>
            <w:tcW w:w="3198" w:type="dxa"/>
            <w:gridSpan w:val="3"/>
            <w:noWrap w:val="0"/>
            <w:vAlign w:val="center"/>
          </w:tcPr>
          <w:p w14:paraId="53774075">
            <w:pPr>
              <w:pStyle w:val="85"/>
              <w:spacing w:after="0"/>
              <w:ind w:left="-105" w:leftChars="-50" w:right="-105" w:rightChars="-50" w:firstLine="0" w:firstLineChars="0"/>
              <w:jc w:val="center"/>
              <w:rPr>
                <w:szCs w:val="21"/>
              </w:rPr>
            </w:pPr>
            <w:r>
              <w:rPr>
                <w:szCs w:val="21"/>
              </w:rPr>
              <w:t>0</w:t>
            </w:r>
          </w:p>
        </w:tc>
      </w:tr>
      <w:tr w14:paraId="2EC9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0FEC575E">
            <w:pPr>
              <w:pStyle w:val="85"/>
              <w:spacing w:after="0"/>
              <w:ind w:right="-105" w:rightChars="-50" w:firstLine="0" w:firstLineChars="0"/>
              <w:jc w:val="center"/>
              <w:rPr>
                <w:szCs w:val="21"/>
              </w:rPr>
            </w:pPr>
          </w:p>
        </w:tc>
        <w:tc>
          <w:tcPr>
            <w:tcW w:w="1679" w:type="dxa"/>
            <w:gridSpan w:val="2"/>
            <w:noWrap w:val="0"/>
            <w:vAlign w:val="center"/>
          </w:tcPr>
          <w:p w14:paraId="48E1F1B3">
            <w:pPr>
              <w:ind w:left="-105" w:leftChars="-50" w:right="-105" w:rightChars="-50"/>
              <w:jc w:val="center"/>
              <w:rPr>
                <w:szCs w:val="21"/>
              </w:rPr>
            </w:pPr>
            <w:r>
              <w:rPr>
                <w:szCs w:val="21"/>
              </w:rPr>
              <w:t>猪舍</w:t>
            </w:r>
          </w:p>
        </w:tc>
        <w:tc>
          <w:tcPr>
            <w:tcW w:w="1855" w:type="dxa"/>
            <w:gridSpan w:val="2"/>
            <w:noWrap w:val="0"/>
            <w:vAlign w:val="center"/>
          </w:tcPr>
          <w:p w14:paraId="793EF362">
            <w:pPr>
              <w:widowControl/>
              <w:jc w:val="center"/>
              <w:textAlignment w:val="center"/>
              <w:rPr>
                <w:szCs w:val="21"/>
              </w:rPr>
            </w:pPr>
            <w:r>
              <w:rPr>
                <w:kern w:val="0"/>
                <w:szCs w:val="21"/>
                <w:lang w:bidi="ar"/>
              </w:rPr>
              <w:t>饲料残渣</w:t>
            </w:r>
          </w:p>
        </w:tc>
        <w:tc>
          <w:tcPr>
            <w:tcW w:w="2666" w:type="dxa"/>
            <w:gridSpan w:val="2"/>
            <w:noWrap w:val="0"/>
            <w:vAlign w:val="center"/>
          </w:tcPr>
          <w:p w14:paraId="62095DCD">
            <w:pPr>
              <w:widowControl/>
              <w:jc w:val="center"/>
              <w:textAlignment w:val="center"/>
              <w:rPr>
                <w:szCs w:val="21"/>
              </w:rPr>
            </w:pPr>
            <w:r>
              <w:rPr>
                <w:kern w:val="0"/>
                <w:szCs w:val="21"/>
                <w:lang w:bidi="ar"/>
              </w:rPr>
              <w:t>28.05</w:t>
            </w:r>
          </w:p>
        </w:tc>
        <w:tc>
          <w:tcPr>
            <w:tcW w:w="4472" w:type="dxa"/>
            <w:noWrap w:val="0"/>
            <w:vAlign w:val="center"/>
          </w:tcPr>
          <w:p w14:paraId="515E1E9E">
            <w:pPr>
              <w:widowControl/>
              <w:jc w:val="center"/>
              <w:textAlignment w:val="center"/>
              <w:rPr>
                <w:szCs w:val="21"/>
              </w:rPr>
            </w:pPr>
            <w:r>
              <w:rPr>
                <w:kern w:val="0"/>
                <w:szCs w:val="21"/>
                <w:lang w:bidi="ar"/>
              </w:rPr>
              <w:t>进行好氧堆肥后用于企业自有苹果园施肥</w:t>
            </w:r>
          </w:p>
        </w:tc>
        <w:tc>
          <w:tcPr>
            <w:tcW w:w="3198" w:type="dxa"/>
            <w:gridSpan w:val="3"/>
            <w:noWrap w:val="0"/>
            <w:vAlign w:val="center"/>
          </w:tcPr>
          <w:p w14:paraId="61CE8320">
            <w:pPr>
              <w:pStyle w:val="85"/>
              <w:spacing w:after="0"/>
              <w:ind w:left="-105" w:leftChars="-50" w:right="-105" w:rightChars="-50" w:firstLine="0" w:firstLineChars="0"/>
              <w:jc w:val="center"/>
              <w:rPr>
                <w:szCs w:val="21"/>
              </w:rPr>
            </w:pPr>
            <w:r>
              <w:rPr>
                <w:szCs w:val="21"/>
              </w:rPr>
              <w:t>0</w:t>
            </w:r>
          </w:p>
        </w:tc>
      </w:tr>
      <w:tr w14:paraId="6157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50738B65">
            <w:pPr>
              <w:pStyle w:val="85"/>
              <w:spacing w:after="0"/>
              <w:ind w:right="-105" w:rightChars="-50" w:firstLine="0" w:firstLineChars="0"/>
              <w:jc w:val="center"/>
              <w:rPr>
                <w:szCs w:val="21"/>
              </w:rPr>
            </w:pPr>
          </w:p>
        </w:tc>
        <w:tc>
          <w:tcPr>
            <w:tcW w:w="1679" w:type="dxa"/>
            <w:gridSpan w:val="2"/>
            <w:noWrap w:val="0"/>
            <w:vAlign w:val="center"/>
          </w:tcPr>
          <w:p w14:paraId="3415A8BF">
            <w:pPr>
              <w:ind w:left="-105" w:leftChars="-50" w:right="-105" w:rightChars="-50"/>
              <w:jc w:val="center"/>
              <w:rPr>
                <w:szCs w:val="21"/>
              </w:rPr>
            </w:pPr>
            <w:r>
              <w:rPr>
                <w:szCs w:val="21"/>
              </w:rPr>
              <w:t>污水处理</w:t>
            </w:r>
          </w:p>
        </w:tc>
        <w:tc>
          <w:tcPr>
            <w:tcW w:w="1855" w:type="dxa"/>
            <w:gridSpan w:val="2"/>
            <w:noWrap w:val="0"/>
            <w:vAlign w:val="center"/>
          </w:tcPr>
          <w:p w14:paraId="2B27F3A2">
            <w:pPr>
              <w:widowControl/>
              <w:jc w:val="center"/>
              <w:textAlignment w:val="center"/>
              <w:rPr>
                <w:szCs w:val="21"/>
              </w:rPr>
            </w:pPr>
            <w:r>
              <w:rPr>
                <w:kern w:val="0"/>
                <w:szCs w:val="21"/>
                <w:lang w:bidi="ar"/>
              </w:rPr>
              <w:t>沼渣</w:t>
            </w:r>
          </w:p>
        </w:tc>
        <w:tc>
          <w:tcPr>
            <w:tcW w:w="2666" w:type="dxa"/>
            <w:gridSpan w:val="2"/>
            <w:noWrap w:val="0"/>
            <w:vAlign w:val="center"/>
          </w:tcPr>
          <w:p w14:paraId="1DFF3B85">
            <w:pPr>
              <w:widowControl/>
              <w:jc w:val="center"/>
              <w:textAlignment w:val="center"/>
              <w:rPr>
                <w:szCs w:val="21"/>
              </w:rPr>
            </w:pPr>
            <w:r>
              <w:rPr>
                <w:kern w:val="0"/>
                <w:szCs w:val="21"/>
                <w:lang w:bidi="ar"/>
              </w:rPr>
              <w:t>99.95</w:t>
            </w:r>
          </w:p>
        </w:tc>
        <w:tc>
          <w:tcPr>
            <w:tcW w:w="4472" w:type="dxa"/>
            <w:noWrap w:val="0"/>
            <w:vAlign w:val="center"/>
          </w:tcPr>
          <w:p w14:paraId="21BCC95B">
            <w:pPr>
              <w:widowControl/>
              <w:jc w:val="center"/>
              <w:textAlignment w:val="center"/>
              <w:rPr>
                <w:szCs w:val="21"/>
              </w:rPr>
            </w:pPr>
            <w:r>
              <w:rPr>
                <w:kern w:val="0"/>
                <w:szCs w:val="21"/>
                <w:lang w:bidi="ar"/>
              </w:rPr>
              <w:t>进行好氧堆肥后用于企业自有苹果园施肥</w:t>
            </w:r>
          </w:p>
        </w:tc>
        <w:tc>
          <w:tcPr>
            <w:tcW w:w="3198" w:type="dxa"/>
            <w:gridSpan w:val="3"/>
            <w:noWrap w:val="0"/>
            <w:vAlign w:val="center"/>
          </w:tcPr>
          <w:p w14:paraId="50959047">
            <w:pPr>
              <w:pStyle w:val="85"/>
              <w:spacing w:after="0"/>
              <w:ind w:left="-105" w:leftChars="-50" w:right="-105" w:rightChars="-50" w:firstLine="0" w:firstLineChars="0"/>
              <w:jc w:val="center"/>
              <w:rPr>
                <w:szCs w:val="21"/>
              </w:rPr>
            </w:pPr>
            <w:r>
              <w:rPr>
                <w:szCs w:val="21"/>
              </w:rPr>
              <w:t>0</w:t>
            </w:r>
          </w:p>
        </w:tc>
      </w:tr>
      <w:tr w14:paraId="55B8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71277795">
            <w:pPr>
              <w:pStyle w:val="85"/>
              <w:spacing w:after="0"/>
              <w:ind w:right="-105" w:rightChars="-50" w:firstLine="0" w:firstLineChars="0"/>
              <w:jc w:val="center"/>
              <w:rPr>
                <w:szCs w:val="21"/>
              </w:rPr>
            </w:pPr>
          </w:p>
        </w:tc>
        <w:tc>
          <w:tcPr>
            <w:tcW w:w="1679" w:type="dxa"/>
            <w:gridSpan w:val="2"/>
            <w:noWrap w:val="0"/>
            <w:vAlign w:val="center"/>
          </w:tcPr>
          <w:p w14:paraId="0CEAE1B7">
            <w:pPr>
              <w:ind w:left="-105" w:leftChars="-50" w:right="-105" w:rightChars="-50"/>
              <w:jc w:val="center"/>
              <w:rPr>
                <w:szCs w:val="21"/>
              </w:rPr>
            </w:pPr>
            <w:r>
              <w:rPr>
                <w:szCs w:val="21"/>
              </w:rPr>
              <w:t>办公生活</w:t>
            </w:r>
          </w:p>
        </w:tc>
        <w:tc>
          <w:tcPr>
            <w:tcW w:w="1855" w:type="dxa"/>
            <w:gridSpan w:val="2"/>
            <w:noWrap w:val="0"/>
            <w:vAlign w:val="center"/>
          </w:tcPr>
          <w:p w14:paraId="5C7C1B1F">
            <w:pPr>
              <w:widowControl/>
              <w:jc w:val="center"/>
              <w:textAlignment w:val="center"/>
              <w:rPr>
                <w:szCs w:val="21"/>
              </w:rPr>
            </w:pPr>
            <w:r>
              <w:rPr>
                <w:kern w:val="0"/>
                <w:szCs w:val="21"/>
                <w:lang w:bidi="ar"/>
              </w:rPr>
              <w:t>废弃包装材料</w:t>
            </w:r>
          </w:p>
        </w:tc>
        <w:tc>
          <w:tcPr>
            <w:tcW w:w="2666" w:type="dxa"/>
            <w:gridSpan w:val="2"/>
            <w:noWrap w:val="0"/>
            <w:vAlign w:val="center"/>
          </w:tcPr>
          <w:p w14:paraId="650FA29B">
            <w:pPr>
              <w:widowControl/>
              <w:jc w:val="center"/>
              <w:textAlignment w:val="center"/>
              <w:rPr>
                <w:szCs w:val="21"/>
              </w:rPr>
            </w:pPr>
            <w:r>
              <w:rPr>
                <w:kern w:val="0"/>
                <w:szCs w:val="21"/>
                <w:lang w:bidi="ar"/>
              </w:rPr>
              <w:t>2</w:t>
            </w:r>
          </w:p>
        </w:tc>
        <w:tc>
          <w:tcPr>
            <w:tcW w:w="4472" w:type="dxa"/>
            <w:noWrap w:val="0"/>
            <w:vAlign w:val="center"/>
          </w:tcPr>
          <w:p w14:paraId="5AC4D839">
            <w:pPr>
              <w:widowControl/>
              <w:jc w:val="center"/>
              <w:textAlignment w:val="center"/>
              <w:rPr>
                <w:szCs w:val="21"/>
              </w:rPr>
            </w:pPr>
            <w:r>
              <w:rPr>
                <w:kern w:val="0"/>
                <w:szCs w:val="21"/>
                <w:lang w:bidi="ar"/>
              </w:rPr>
              <w:t>统一收集外售</w:t>
            </w:r>
          </w:p>
        </w:tc>
        <w:tc>
          <w:tcPr>
            <w:tcW w:w="3198" w:type="dxa"/>
            <w:gridSpan w:val="3"/>
            <w:noWrap w:val="0"/>
            <w:vAlign w:val="center"/>
          </w:tcPr>
          <w:p w14:paraId="5375192B">
            <w:pPr>
              <w:pStyle w:val="85"/>
              <w:spacing w:after="0"/>
              <w:ind w:left="-105" w:leftChars="-50" w:right="-105" w:rightChars="-50" w:firstLine="0" w:firstLineChars="0"/>
              <w:jc w:val="center"/>
              <w:rPr>
                <w:szCs w:val="21"/>
              </w:rPr>
            </w:pPr>
            <w:r>
              <w:rPr>
                <w:szCs w:val="21"/>
              </w:rPr>
              <w:t>0</w:t>
            </w:r>
          </w:p>
        </w:tc>
      </w:tr>
      <w:tr w14:paraId="4A99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69F1B03B">
            <w:pPr>
              <w:pStyle w:val="85"/>
              <w:spacing w:after="0"/>
              <w:ind w:right="-105" w:rightChars="-50" w:firstLine="0" w:firstLineChars="0"/>
              <w:jc w:val="center"/>
              <w:rPr>
                <w:szCs w:val="21"/>
              </w:rPr>
            </w:pPr>
          </w:p>
        </w:tc>
        <w:tc>
          <w:tcPr>
            <w:tcW w:w="1679" w:type="dxa"/>
            <w:gridSpan w:val="2"/>
            <w:noWrap w:val="0"/>
            <w:vAlign w:val="center"/>
          </w:tcPr>
          <w:p w14:paraId="7600604B">
            <w:pPr>
              <w:ind w:left="-105" w:leftChars="-50" w:right="-105" w:rightChars="-50"/>
              <w:jc w:val="center"/>
              <w:rPr>
                <w:szCs w:val="21"/>
              </w:rPr>
            </w:pPr>
            <w:r>
              <w:rPr>
                <w:szCs w:val="21"/>
              </w:rPr>
              <w:t>沼气净化</w:t>
            </w:r>
          </w:p>
        </w:tc>
        <w:tc>
          <w:tcPr>
            <w:tcW w:w="1855" w:type="dxa"/>
            <w:gridSpan w:val="2"/>
            <w:noWrap w:val="0"/>
            <w:vAlign w:val="center"/>
          </w:tcPr>
          <w:p w14:paraId="428101CD">
            <w:pPr>
              <w:widowControl/>
              <w:jc w:val="center"/>
              <w:textAlignment w:val="center"/>
              <w:rPr>
                <w:szCs w:val="21"/>
              </w:rPr>
            </w:pPr>
            <w:r>
              <w:rPr>
                <w:kern w:val="0"/>
                <w:szCs w:val="21"/>
                <w:lang w:bidi="ar"/>
              </w:rPr>
              <w:t>废脱硫剂</w:t>
            </w:r>
          </w:p>
        </w:tc>
        <w:tc>
          <w:tcPr>
            <w:tcW w:w="2666" w:type="dxa"/>
            <w:gridSpan w:val="2"/>
            <w:noWrap w:val="0"/>
            <w:vAlign w:val="center"/>
          </w:tcPr>
          <w:p w14:paraId="1E4AF40F">
            <w:pPr>
              <w:widowControl/>
              <w:jc w:val="center"/>
              <w:textAlignment w:val="center"/>
              <w:rPr>
                <w:szCs w:val="21"/>
              </w:rPr>
            </w:pPr>
            <w:r>
              <w:rPr>
                <w:kern w:val="0"/>
                <w:szCs w:val="21"/>
                <w:lang w:bidi="ar"/>
              </w:rPr>
              <w:t>0.3</w:t>
            </w:r>
          </w:p>
        </w:tc>
        <w:tc>
          <w:tcPr>
            <w:tcW w:w="4472" w:type="dxa"/>
            <w:noWrap w:val="0"/>
            <w:vAlign w:val="center"/>
          </w:tcPr>
          <w:p w14:paraId="174F69E1">
            <w:pPr>
              <w:widowControl/>
              <w:jc w:val="center"/>
              <w:textAlignment w:val="center"/>
              <w:rPr>
                <w:szCs w:val="21"/>
              </w:rPr>
            </w:pPr>
            <w:r>
              <w:rPr>
                <w:kern w:val="0"/>
                <w:szCs w:val="21"/>
                <w:lang w:bidi="ar"/>
              </w:rPr>
              <w:t>统一收集由厂家回收</w:t>
            </w:r>
          </w:p>
        </w:tc>
        <w:tc>
          <w:tcPr>
            <w:tcW w:w="3198" w:type="dxa"/>
            <w:gridSpan w:val="3"/>
            <w:noWrap w:val="0"/>
            <w:vAlign w:val="center"/>
          </w:tcPr>
          <w:p w14:paraId="420A37FB">
            <w:pPr>
              <w:ind w:left="-105" w:leftChars="-50" w:right="-105" w:rightChars="-50"/>
              <w:jc w:val="center"/>
              <w:rPr>
                <w:szCs w:val="21"/>
              </w:rPr>
            </w:pPr>
            <w:r>
              <w:rPr>
                <w:szCs w:val="21"/>
              </w:rPr>
              <w:t>0</w:t>
            </w:r>
          </w:p>
        </w:tc>
      </w:tr>
      <w:tr w14:paraId="1D9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7E91109D">
            <w:pPr>
              <w:pStyle w:val="85"/>
              <w:spacing w:after="0"/>
              <w:ind w:right="-105" w:rightChars="-50" w:firstLine="0" w:firstLineChars="0"/>
              <w:jc w:val="center"/>
              <w:rPr>
                <w:szCs w:val="21"/>
              </w:rPr>
            </w:pPr>
          </w:p>
        </w:tc>
        <w:tc>
          <w:tcPr>
            <w:tcW w:w="1679" w:type="dxa"/>
            <w:gridSpan w:val="2"/>
            <w:noWrap w:val="0"/>
            <w:vAlign w:val="center"/>
          </w:tcPr>
          <w:p w14:paraId="32CEEBC8">
            <w:pPr>
              <w:ind w:left="-105" w:leftChars="-50" w:right="-105" w:rightChars="-50"/>
              <w:jc w:val="center"/>
              <w:rPr>
                <w:szCs w:val="21"/>
              </w:rPr>
            </w:pPr>
            <w:r>
              <w:rPr>
                <w:szCs w:val="21"/>
              </w:rPr>
              <w:t>猪舍</w:t>
            </w:r>
          </w:p>
        </w:tc>
        <w:tc>
          <w:tcPr>
            <w:tcW w:w="1855" w:type="dxa"/>
            <w:gridSpan w:val="2"/>
            <w:noWrap w:val="0"/>
            <w:vAlign w:val="center"/>
          </w:tcPr>
          <w:p w14:paraId="07DF8ADC">
            <w:pPr>
              <w:widowControl/>
              <w:jc w:val="center"/>
              <w:textAlignment w:val="center"/>
              <w:rPr>
                <w:szCs w:val="21"/>
              </w:rPr>
            </w:pPr>
            <w:r>
              <w:rPr>
                <w:kern w:val="0"/>
                <w:szCs w:val="21"/>
                <w:lang w:bidi="ar"/>
              </w:rPr>
              <w:t>病死猪</w:t>
            </w:r>
          </w:p>
        </w:tc>
        <w:tc>
          <w:tcPr>
            <w:tcW w:w="2666" w:type="dxa"/>
            <w:gridSpan w:val="2"/>
            <w:noWrap w:val="0"/>
            <w:vAlign w:val="center"/>
          </w:tcPr>
          <w:p w14:paraId="55082559">
            <w:pPr>
              <w:widowControl/>
              <w:jc w:val="center"/>
              <w:textAlignment w:val="center"/>
              <w:rPr>
                <w:szCs w:val="21"/>
              </w:rPr>
            </w:pPr>
            <w:r>
              <w:rPr>
                <w:kern w:val="0"/>
                <w:szCs w:val="21"/>
                <w:lang w:bidi="ar"/>
              </w:rPr>
              <w:t>20.384</w:t>
            </w:r>
          </w:p>
        </w:tc>
        <w:tc>
          <w:tcPr>
            <w:tcW w:w="4472" w:type="dxa"/>
            <w:noWrap w:val="0"/>
            <w:vAlign w:val="center"/>
          </w:tcPr>
          <w:p w14:paraId="3BF1856C">
            <w:pPr>
              <w:widowControl/>
              <w:jc w:val="center"/>
              <w:textAlignment w:val="center"/>
              <w:rPr>
                <w:szCs w:val="21"/>
              </w:rPr>
            </w:pPr>
            <w:r>
              <w:rPr>
                <w:kern w:val="0"/>
                <w:szCs w:val="21"/>
                <w:lang w:bidi="ar"/>
              </w:rPr>
              <w:t>无害化处理后与猪粪一同进行好氧堆肥后用于企业自有苹果园施肥</w:t>
            </w:r>
          </w:p>
        </w:tc>
        <w:tc>
          <w:tcPr>
            <w:tcW w:w="3198" w:type="dxa"/>
            <w:gridSpan w:val="3"/>
            <w:noWrap w:val="0"/>
            <w:vAlign w:val="center"/>
          </w:tcPr>
          <w:p w14:paraId="0E9447F7">
            <w:pPr>
              <w:ind w:left="-105" w:leftChars="-50" w:right="-105" w:rightChars="-50"/>
              <w:jc w:val="center"/>
              <w:rPr>
                <w:szCs w:val="21"/>
              </w:rPr>
            </w:pPr>
          </w:p>
        </w:tc>
      </w:tr>
      <w:tr w14:paraId="7A97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2A4CCA78">
            <w:pPr>
              <w:pStyle w:val="85"/>
              <w:spacing w:after="0"/>
              <w:ind w:right="-105" w:rightChars="-50" w:firstLine="0" w:firstLineChars="0"/>
              <w:jc w:val="center"/>
              <w:rPr>
                <w:szCs w:val="21"/>
              </w:rPr>
            </w:pPr>
          </w:p>
        </w:tc>
        <w:tc>
          <w:tcPr>
            <w:tcW w:w="1679" w:type="dxa"/>
            <w:gridSpan w:val="2"/>
            <w:noWrap w:val="0"/>
            <w:vAlign w:val="center"/>
          </w:tcPr>
          <w:p w14:paraId="442A81A8">
            <w:pPr>
              <w:ind w:left="-105" w:leftChars="-50" w:right="-105" w:rightChars="-50"/>
              <w:jc w:val="center"/>
              <w:rPr>
                <w:szCs w:val="21"/>
              </w:rPr>
            </w:pPr>
            <w:r>
              <w:rPr>
                <w:szCs w:val="21"/>
              </w:rPr>
              <w:t>办公生活</w:t>
            </w:r>
          </w:p>
        </w:tc>
        <w:tc>
          <w:tcPr>
            <w:tcW w:w="1855" w:type="dxa"/>
            <w:gridSpan w:val="2"/>
            <w:noWrap w:val="0"/>
            <w:vAlign w:val="center"/>
          </w:tcPr>
          <w:p w14:paraId="3BA9EF02">
            <w:pPr>
              <w:widowControl/>
              <w:jc w:val="center"/>
              <w:textAlignment w:val="center"/>
              <w:rPr>
                <w:szCs w:val="21"/>
              </w:rPr>
            </w:pPr>
            <w:r>
              <w:rPr>
                <w:kern w:val="0"/>
                <w:szCs w:val="21"/>
                <w:lang w:bidi="ar"/>
              </w:rPr>
              <w:t>职工生活垃圾</w:t>
            </w:r>
          </w:p>
        </w:tc>
        <w:tc>
          <w:tcPr>
            <w:tcW w:w="2666" w:type="dxa"/>
            <w:gridSpan w:val="2"/>
            <w:noWrap w:val="0"/>
            <w:vAlign w:val="center"/>
          </w:tcPr>
          <w:p w14:paraId="1E5F9242">
            <w:pPr>
              <w:widowControl/>
              <w:jc w:val="center"/>
              <w:textAlignment w:val="center"/>
              <w:rPr>
                <w:szCs w:val="21"/>
              </w:rPr>
            </w:pPr>
            <w:r>
              <w:rPr>
                <w:rFonts w:hint="eastAsia"/>
                <w:kern w:val="0"/>
                <w:szCs w:val="21"/>
                <w:lang w:bidi="ar"/>
              </w:rPr>
              <w:t>13.14</w:t>
            </w:r>
          </w:p>
        </w:tc>
        <w:tc>
          <w:tcPr>
            <w:tcW w:w="4472" w:type="dxa"/>
            <w:noWrap w:val="0"/>
            <w:vAlign w:val="center"/>
          </w:tcPr>
          <w:p w14:paraId="69332201">
            <w:pPr>
              <w:widowControl/>
              <w:jc w:val="center"/>
              <w:textAlignment w:val="center"/>
              <w:rPr>
                <w:szCs w:val="21"/>
              </w:rPr>
            </w:pPr>
            <w:r>
              <w:rPr>
                <w:kern w:val="0"/>
                <w:szCs w:val="21"/>
                <w:lang w:bidi="ar"/>
              </w:rPr>
              <w:t>统一收集，按当地环卫部门要求处置</w:t>
            </w:r>
          </w:p>
        </w:tc>
        <w:tc>
          <w:tcPr>
            <w:tcW w:w="3198" w:type="dxa"/>
            <w:gridSpan w:val="3"/>
            <w:noWrap w:val="0"/>
            <w:vAlign w:val="center"/>
          </w:tcPr>
          <w:p w14:paraId="247054E8">
            <w:pPr>
              <w:ind w:left="-105" w:leftChars="-50" w:right="-105" w:rightChars="-50"/>
              <w:jc w:val="center"/>
              <w:rPr>
                <w:szCs w:val="21"/>
              </w:rPr>
            </w:pPr>
          </w:p>
        </w:tc>
      </w:tr>
      <w:tr w14:paraId="2937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jc w:val="center"/>
        </w:trPr>
        <w:tc>
          <w:tcPr>
            <w:tcW w:w="622" w:type="dxa"/>
            <w:vMerge w:val="continue"/>
            <w:noWrap w:val="0"/>
            <w:vAlign w:val="center"/>
          </w:tcPr>
          <w:p w14:paraId="20FEF3CB">
            <w:pPr>
              <w:pStyle w:val="85"/>
              <w:spacing w:after="0"/>
              <w:ind w:right="-105" w:rightChars="-50" w:firstLine="0" w:firstLineChars="0"/>
              <w:jc w:val="center"/>
              <w:rPr>
                <w:szCs w:val="21"/>
              </w:rPr>
            </w:pPr>
          </w:p>
        </w:tc>
        <w:tc>
          <w:tcPr>
            <w:tcW w:w="1679" w:type="dxa"/>
            <w:gridSpan w:val="2"/>
            <w:noWrap w:val="0"/>
            <w:vAlign w:val="center"/>
          </w:tcPr>
          <w:p w14:paraId="1723E8F2">
            <w:pPr>
              <w:ind w:left="-105" w:leftChars="-50" w:right="-105" w:rightChars="-50"/>
              <w:jc w:val="center"/>
              <w:rPr>
                <w:szCs w:val="21"/>
              </w:rPr>
            </w:pPr>
            <w:r>
              <w:rPr>
                <w:szCs w:val="21"/>
              </w:rPr>
              <w:t>办公生活</w:t>
            </w:r>
          </w:p>
        </w:tc>
        <w:tc>
          <w:tcPr>
            <w:tcW w:w="1855" w:type="dxa"/>
            <w:gridSpan w:val="2"/>
            <w:noWrap w:val="0"/>
            <w:vAlign w:val="center"/>
          </w:tcPr>
          <w:p w14:paraId="5BF4AFD8">
            <w:pPr>
              <w:widowControl/>
              <w:jc w:val="center"/>
              <w:textAlignment w:val="center"/>
              <w:rPr>
                <w:szCs w:val="21"/>
              </w:rPr>
            </w:pPr>
            <w:r>
              <w:rPr>
                <w:kern w:val="0"/>
                <w:szCs w:val="21"/>
                <w:lang w:bidi="ar"/>
              </w:rPr>
              <w:t>食堂厨余垃圾</w:t>
            </w:r>
          </w:p>
        </w:tc>
        <w:tc>
          <w:tcPr>
            <w:tcW w:w="2666" w:type="dxa"/>
            <w:gridSpan w:val="2"/>
            <w:noWrap w:val="0"/>
            <w:vAlign w:val="center"/>
          </w:tcPr>
          <w:p w14:paraId="00195E55">
            <w:pPr>
              <w:widowControl/>
              <w:jc w:val="center"/>
              <w:textAlignment w:val="center"/>
              <w:rPr>
                <w:szCs w:val="21"/>
              </w:rPr>
            </w:pPr>
            <w:r>
              <w:rPr>
                <w:kern w:val="0"/>
                <w:szCs w:val="21"/>
                <w:lang w:bidi="ar"/>
              </w:rPr>
              <w:t>2.263</w:t>
            </w:r>
          </w:p>
        </w:tc>
        <w:tc>
          <w:tcPr>
            <w:tcW w:w="4472" w:type="dxa"/>
            <w:noWrap w:val="0"/>
            <w:vAlign w:val="center"/>
          </w:tcPr>
          <w:p w14:paraId="7950945A">
            <w:pPr>
              <w:widowControl/>
              <w:jc w:val="center"/>
              <w:textAlignment w:val="center"/>
              <w:rPr>
                <w:szCs w:val="21"/>
              </w:rPr>
            </w:pPr>
            <w:r>
              <w:rPr>
                <w:kern w:val="0"/>
                <w:szCs w:val="21"/>
                <w:lang w:bidi="ar"/>
              </w:rPr>
              <w:t>作为生猪养殖饲料</w:t>
            </w:r>
          </w:p>
        </w:tc>
        <w:tc>
          <w:tcPr>
            <w:tcW w:w="3198" w:type="dxa"/>
            <w:gridSpan w:val="3"/>
            <w:noWrap w:val="0"/>
            <w:vAlign w:val="center"/>
          </w:tcPr>
          <w:p w14:paraId="18AFD23A">
            <w:pPr>
              <w:ind w:left="-105" w:leftChars="-50" w:right="-105" w:rightChars="-50"/>
              <w:jc w:val="center"/>
              <w:rPr>
                <w:szCs w:val="21"/>
              </w:rPr>
            </w:pPr>
          </w:p>
        </w:tc>
      </w:tr>
    </w:tbl>
    <w:p w14:paraId="6B20B1D7">
      <w:pPr>
        <w:pStyle w:val="47"/>
        <w:rPr>
          <w:rFonts w:ascii="Times New Roman" w:hAnsi="Times New Roman" w:cs="Times New Roman"/>
        </w:rPr>
      </w:pPr>
    </w:p>
    <w:p w14:paraId="068FDF00">
      <w:pPr>
        <w:pStyle w:val="35"/>
      </w:pPr>
    </w:p>
    <w:p w14:paraId="0ED2F972">
      <w:pPr>
        <w:sectPr>
          <w:pgSz w:w="16838" w:h="11906" w:orient="landscape"/>
          <w:pgMar w:top="1417" w:right="1417" w:bottom="1417" w:left="1417" w:header="851" w:footer="992" w:gutter="0"/>
          <w:cols w:space="720" w:num="1"/>
          <w:docGrid w:type="lines" w:linePitch="312" w:charSpace="0"/>
        </w:sectPr>
      </w:pPr>
    </w:p>
    <w:p w14:paraId="7A80822D">
      <w:pPr>
        <w:spacing w:line="360" w:lineRule="auto"/>
        <w:outlineLvl w:val="2"/>
        <w:rPr>
          <w:b/>
          <w:bCs/>
          <w:sz w:val="28"/>
          <w:szCs w:val="28"/>
        </w:rPr>
      </w:pPr>
      <w:bookmarkStart w:id="301" w:name="_Toc426116619"/>
      <w:bookmarkStart w:id="302" w:name="_Toc20304_WPSOffice_Level3"/>
      <w:bookmarkStart w:id="303" w:name="_Toc5101"/>
      <w:r>
        <w:rPr>
          <w:b/>
          <w:bCs/>
          <w:sz w:val="28"/>
          <w:szCs w:val="28"/>
        </w:rPr>
        <w:t xml:space="preserve">9.2.2 </w:t>
      </w:r>
      <w:bookmarkEnd w:id="301"/>
      <w:r>
        <w:rPr>
          <w:b/>
          <w:bCs/>
          <w:sz w:val="28"/>
          <w:szCs w:val="28"/>
        </w:rPr>
        <w:t>污染物排放总量控制</w:t>
      </w:r>
      <w:bookmarkEnd w:id="302"/>
      <w:bookmarkEnd w:id="303"/>
    </w:p>
    <w:p w14:paraId="3DB90648">
      <w:pPr>
        <w:pStyle w:val="8"/>
        <w:ind w:firstLine="482"/>
        <w:rPr>
          <w:bCs/>
          <w:sz w:val="24"/>
          <w:szCs w:val="24"/>
        </w:rPr>
      </w:pPr>
      <w:bookmarkStart w:id="304" w:name="_Toc362802025"/>
      <w:bookmarkStart w:id="305" w:name="_Toc433026358"/>
      <w:r>
        <w:rPr>
          <w:bCs/>
          <w:sz w:val="24"/>
          <w:szCs w:val="24"/>
        </w:rPr>
        <w:t>9.2.2.1 总量控制原则</w:t>
      </w:r>
      <w:bookmarkEnd w:id="304"/>
      <w:bookmarkEnd w:id="305"/>
    </w:p>
    <w:p w14:paraId="5C8B38A9">
      <w:pPr>
        <w:tabs>
          <w:tab w:val="left" w:pos="2430"/>
        </w:tabs>
        <w:spacing w:line="360" w:lineRule="auto"/>
        <w:ind w:firstLine="480" w:firstLineChars="200"/>
        <w:rPr>
          <w:sz w:val="24"/>
        </w:rPr>
      </w:pPr>
      <w:r>
        <w:rPr>
          <w:sz w:val="24"/>
        </w:rPr>
        <w:t>（1）污染物达标排放原则；</w:t>
      </w:r>
    </w:p>
    <w:p w14:paraId="3FDC2730">
      <w:pPr>
        <w:tabs>
          <w:tab w:val="left" w:pos="2430"/>
        </w:tabs>
        <w:spacing w:line="360" w:lineRule="auto"/>
        <w:ind w:firstLine="480" w:firstLineChars="200"/>
        <w:rPr>
          <w:sz w:val="24"/>
        </w:rPr>
      </w:pPr>
      <w:r>
        <w:rPr>
          <w:sz w:val="24"/>
        </w:rPr>
        <w:t>（2）污染物排放后符合环境质量标准的规定，并对环境有相应改善的原则；</w:t>
      </w:r>
    </w:p>
    <w:p w14:paraId="1F119F62">
      <w:pPr>
        <w:spacing w:line="360" w:lineRule="auto"/>
        <w:ind w:firstLine="480" w:firstLineChars="200"/>
        <w:rPr>
          <w:sz w:val="24"/>
        </w:rPr>
      </w:pPr>
      <w:r>
        <w:rPr>
          <w:sz w:val="24"/>
        </w:rPr>
        <w:t>（3）技术上可行，促进可持续发展的原则。</w:t>
      </w:r>
    </w:p>
    <w:p w14:paraId="3C4D7F11">
      <w:pPr>
        <w:pStyle w:val="8"/>
        <w:ind w:firstLine="482"/>
        <w:rPr>
          <w:bCs/>
          <w:sz w:val="24"/>
          <w:szCs w:val="24"/>
        </w:rPr>
      </w:pPr>
      <w:r>
        <w:rPr>
          <w:bCs/>
          <w:sz w:val="24"/>
          <w:szCs w:val="24"/>
        </w:rPr>
        <w:t>9.2.2.2 总量控制因子</w:t>
      </w:r>
    </w:p>
    <w:p w14:paraId="2E68E61B">
      <w:pPr>
        <w:spacing w:line="360" w:lineRule="auto"/>
        <w:ind w:firstLine="480" w:firstLineChars="200"/>
        <w:rPr>
          <w:sz w:val="24"/>
        </w:rPr>
      </w:pPr>
      <w:r>
        <w:rPr>
          <w:sz w:val="24"/>
        </w:rPr>
        <w:t>化学需氧量、氨氮、二氧化硫、氮氧化物共计四项主要污染物实施国家总量控制，统一要求、统一考核。</w:t>
      </w:r>
    </w:p>
    <w:p w14:paraId="22F4CE57">
      <w:pPr>
        <w:pStyle w:val="8"/>
        <w:ind w:firstLine="482"/>
        <w:rPr>
          <w:bCs/>
          <w:sz w:val="24"/>
          <w:szCs w:val="24"/>
        </w:rPr>
      </w:pPr>
      <w:bookmarkStart w:id="306" w:name="_Toc433026360"/>
      <w:bookmarkStart w:id="307" w:name="_Toc362802027"/>
      <w:r>
        <w:rPr>
          <w:bCs/>
          <w:sz w:val="24"/>
          <w:szCs w:val="24"/>
        </w:rPr>
        <w:t>9.2.2.3 总量控制建议指标</w:t>
      </w:r>
      <w:bookmarkEnd w:id="306"/>
      <w:bookmarkEnd w:id="307"/>
    </w:p>
    <w:p w14:paraId="171D9B33">
      <w:pPr>
        <w:spacing w:line="360" w:lineRule="auto"/>
        <w:ind w:firstLine="480" w:firstLineChars="200"/>
        <w:rPr>
          <w:sz w:val="24"/>
        </w:rPr>
      </w:pPr>
      <w:r>
        <w:rPr>
          <w:sz w:val="24"/>
        </w:rPr>
        <w:t>本项目无组织排放废气污染物主要为NH</w:t>
      </w:r>
      <w:r>
        <w:rPr>
          <w:sz w:val="24"/>
          <w:vertAlign w:val="subscript"/>
        </w:rPr>
        <w:t>3</w:t>
      </w:r>
      <w:r>
        <w:rPr>
          <w:sz w:val="24"/>
        </w:rPr>
        <w:t>、H</w:t>
      </w:r>
      <w:r>
        <w:rPr>
          <w:sz w:val="24"/>
          <w:vertAlign w:val="subscript"/>
        </w:rPr>
        <w:t>2</w:t>
      </w:r>
      <w:r>
        <w:rPr>
          <w:sz w:val="24"/>
        </w:rPr>
        <w:t>S，故不设大气污染物排放总量。</w:t>
      </w:r>
    </w:p>
    <w:p w14:paraId="0AB24D88">
      <w:pPr>
        <w:spacing w:line="360" w:lineRule="auto"/>
        <w:ind w:firstLine="480" w:firstLineChars="200"/>
        <w:rPr>
          <w:sz w:val="24"/>
        </w:rPr>
      </w:pPr>
      <w:r>
        <w:rPr>
          <w:sz w:val="24"/>
        </w:rPr>
        <w:t>本项目废水经收集后进入污水处理站处理后回用于公司自有苹果园灌溉，不外排，故不设废水污染物排放总量。</w:t>
      </w:r>
    </w:p>
    <w:p w14:paraId="18A6C69D">
      <w:pPr>
        <w:spacing w:line="360" w:lineRule="auto"/>
        <w:ind w:firstLine="480" w:firstLineChars="200"/>
        <w:rPr>
          <w:sz w:val="24"/>
        </w:rPr>
      </w:pPr>
      <w:r>
        <w:rPr>
          <w:sz w:val="24"/>
        </w:rPr>
        <w:t>本项目产生的猪粪、沼渣、饲料残渣、病死猪、生活垃圾、食堂泔水、医疗废物均得到合理处置，不外排。</w:t>
      </w:r>
    </w:p>
    <w:p w14:paraId="5931B89A">
      <w:pPr>
        <w:spacing w:line="360" w:lineRule="auto"/>
        <w:outlineLvl w:val="1"/>
        <w:rPr>
          <w:b/>
          <w:bCs/>
          <w:sz w:val="30"/>
          <w:szCs w:val="30"/>
        </w:rPr>
      </w:pPr>
      <w:bookmarkStart w:id="308" w:name="_Toc20390"/>
      <w:bookmarkStart w:id="309" w:name="_Toc12431"/>
      <w:bookmarkStart w:id="310" w:name="_Toc802"/>
      <w:bookmarkStart w:id="311" w:name="_Toc3293_WPSOffice_Level2"/>
      <w:bookmarkStart w:id="312" w:name="_Toc32116"/>
      <w:bookmarkStart w:id="313" w:name="_Toc22272"/>
      <w:bookmarkStart w:id="314" w:name="_Toc11045"/>
      <w:r>
        <w:rPr>
          <w:b/>
          <w:bCs/>
          <w:sz w:val="30"/>
          <w:szCs w:val="30"/>
        </w:rPr>
        <w:t>9.3环境信息公开</w:t>
      </w:r>
      <w:bookmarkEnd w:id="308"/>
      <w:bookmarkEnd w:id="309"/>
      <w:bookmarkEnd w:id="310"/>
      <w:bookmarkEnd w:id="311"/>
      <w:bookmarkEnd w:id="312"/>
      <w:bookmarkEnd w:id="313"/>
      <w:bookmarkEnd w:id="314"/>
    </w:p>
    <w:p w14:paraId="5AC90453">
      <w:pPr>
        <w:spacing w:line="360" w:lineRule="auto"/>
        <w:outlineLvl w:val="2"/>
        <w:rPr>
          <w:b/>
          <w:bCs/>
          <w:sz w:val="28"/>
          <w:szCs w:val="28"/>
        </w:rPr>
      </w:pPr>
      <w:bookmarkStart w:id="315" w:name="_Toc25032"/>
      <w:bookmarkStart w:id="316" w:name="_Toc16967_WPSOffice_Level3"/>
      <w:bookmarkStart w:id="317" w:name="_Toc2436"/>
      <w:r>
        <w:rPr>
          <w:b/>
          <w:bCs/>
          <w:sz w:val="28"/>
          <w:szCs w:val="28"/>
        </w:rPr>
        <w:t>9.3.1公开内容</w:t>
      </w:r>
      <w:bookmarkEnd w:id="315"/>
      <w:bookmarkEnd w:id="316"/>
      <w:bookmarkEnd w:id="317"/>
    </w:p>
    <w:p w14:paraId="04719FF9">
      <w:pPr>
        <w:spacing w:line="360" w:lineRule="auto"/>
        <w:ind w:firstLine="480" w:firstLineChars="200"/>
        <w:rPr>
          <w:sz w:val="24"/>
        </w:rPr>
      </w:pPr>
      <w:r>
        <w:rPr>
          <w:sz w:val="24"/>
        </w:rPr>
        <w:t>根据《企业事业单位环境信息公开办法》（环保部令第31号），本项目为重点排污单位之外的企业事业单位，重点排污单位之外的企业事业单位可以参照本办法第九条、第十条和第十一条的规定公开其环境信息。</w:t>
      </w:r>
    </w:p>
    <w:p w14:paraId="3127995A">
      <w:pPr>
        <w:spacing w:line="360" w:lineRule="auto"/>
        <w:ind w:firstLine="480" w:firstLineChars="200"/>
        <w:rPr>
          <w:sz w:val="24"/>
        </w:rPr>
      </w:pPr>
      <w:r>
        <w:rPr>
          <w:sz w:val="24"/>
        </w:rPr>
        <w:t>本项目公开的环境信息如下：</w:t>
      </w:r>
    </w:p>
    <w:p w14:paraId="709C6EF9">
      <w:pPr>
        <w:pStyle w:val="35"/>
        <w:spacing w:after="0" w:line="360" w:lineRule="auto"/>
        <w:ind w:firstLine="479"/>
        <w:rPr>
          <w:sz w:val="24"/>
        </w:rPr>
      </w:pPr>
      <w:bookmarkStart w:id="318" w:name="_Toc27851"/>
      <w:bookmarkStart w:id="319" w:name="_Toc22797_WPSOffice_Level3"/>
      <w:r>
        <w:rPr>
          <w:rFonts w:eastAsia="Times New Roman"/>
          <w:sz w:val="24"/>
        </w:rPr>
        <w:t>1</w:t>
      </w:r>
      <w:r>
        <w:rPr>
          <w:sz w:val="24"/>
        </w:rPr>
        <w:t>、公布方式：企业通过对外网站或报纸、广播、电视、厂区外的电子屏幕等便于公众知晓的方式公开自行监测信息。</w:t>
      </w:r>
    </w:p>
    <w:p w14:paraId="3D5479F8">
      <w:pPr>
        <w:pStyle w:val="35"/>
        <w:spacing w:after="0" w:line="360" w:lineRule="auto"/>
        <w:ind w:firstLine="480" w:firstLineChars="200"/>
        <w:rPr>
          <w:sz w:val="24"/>
        </w:rPr>
      </w:pPr>
      <w:r>
        <w:rPr>
          <w:rFonts w:eastAsia="Times New Roman"/>
          <w:sz w:val="24"/>
        </w:rPr>
        <w:t>2</w:t>
      </w:r>
      <w:r>
        <w:rPr>
          <w:sz w:val="24"/>
        </w:rPr>
        <w:t>、公开内容</w:t>
      </w:r>
    </w:p>
    <w:p w14:paraId="71EADD2C">
      <w:pPr>
        <w:pStyle w:val="35"/>
        <w:spacing w:after="0" w:line="360" w:lineRule="auto"/>
        <w:ind w:firstLine="479"/>
        <w:rPr>
          <w:sz w:val="24"/>
        </w:rPr>
      </w:pPr>
      <w:r>
        <w:rPr>
          <w:sz w:val="24"/>
        </w:rPr>
        <w:t>①基础信息：企业名称、法人代表、所属行业、地理位置、生产周期、联系方式、委托监测机构名称等；</w:t>
      </w:r>
    </w:p>
    <w:p w14:paraId="62992F69">
      <w:pPr>
        <w:pStyle w:val="35"/>
        <w:spacing w:after="0" w:line="360" w:lineRule="auto"/>
        <w:ind w:firstLine="480" w:firstLineChars="200"/>
        <w:rPr>
          <w:sz w:val="24"/>
        </w:rPr>
      </w:pPr>
      <w:r>
        <w:rPr>
          <w:sz w:val="24"/>
        </w:rPr>
        <w:t>②自行监测方案</w:t>
      </w:r>
    </w:p>
    <w:p w14:paraId="1EFC6C87">
      <w:pPr>
        <w:pStyle w:val="35"/>
        <w:spacing w:after="0" w:line="360" w:lineRule="auto"/>
        <w:ind w:firstLine="479"/>
        <w:rPr>
          <w:sz w:val="24"/>
        </w:rPr>
      </w:pPr>
      <w:r>
        <w:rPr>
          <w:sz w:val="24"/>
        </w:rPr>
        <w:t>③自行监测结果：全部监测点位、监测时间、污染物种类及浓度、标准限值、达标情况、污染物排放方式及排放去向等。</w:t>
      </w:r>
    </w:p>
    <w:p w14:paraId="49A995C3">
      <w:pPr>
        <w:pStyle w:val="35"/>
        <w:spacing w:after="0" w:line="360" w:lineRule="auto"/>
        <w:ind w:firstLine="480" w:firstLineChars="200"/>
        <w:rPr>
          <w:sz w:val="24"/>
        </w:rPr>
      </w:pPr>
      <w:r>
        <w:rPr>
          <w:sz w:val="24"/>
        </w:rPr>
        <w:t>④未开展自行监测的原因；</w:t>
      </w:r>
    </w:p>
    <w:p w14:paraId="6C3B34E2">
      <w:pPr>
        <w:pStyle w:val="35"/>
        <w:spacing w:after="0" w:line="360" w:lineRule="auto"/>
        <w:ind w:firstLine="480" w:firstLineChars="200"/>
        <w:rPr>
          <w:sz w:val="24"/>
        </w:rPr>
      </w:pPr>
      <w:r>
        <w:rPr>
          <w:sz w:val="24"/>
        </w:rPr>
        <w:t>⑤污染源监测年度报告。</w:t>
      </w:r>
    </w:p>
    <w:p w14:paraId="0DF21586">
      <w:pPr>
        <w:pStyle w:val="35"/>
        <w:spacing w:after="0" w:line="360" w:lineRule="auto"/>
        <w:ind w:firstLine="479"/>
        <w:rPr>
          <w:sz w:val="24"/>
        </w:rPr>
      </w:pPr>
      <w:r>
        <w:rPr>
          <w:rFonts w:eastAsia="Times New Roman"/>
          <w:sz w:val="24"/>
        </w:rPr>
        <w:t>3</w:t>
      </w:r>
      <w:r>
        <w:rPr>
          <w:spacing w:val="-6"/>
          <w:sz w:val="24"/>
        </w:rPr>
        <w:t>、公布时限：企业基础信息应随监测数据一并公布，基础信息、监测方案如</w:t>
      </w:r>
      <w:r>
        <w:rPr>
          <w:spacing w:val="-5"/>
          <w:sz w:val="24"/>
        </w:rPr>
        <w:t xml:space="preserve">有调整变化时，应于变更后的 </w:t>
      </w:r>
      <w:r>
        <w:rPr>
          <w:rFonts w:eastAsia="Times New Roman"/>
          <w:sz w:val="24"/>
        </w:rPr>
        <w:t xml:space="preserve">5 </w:t>
      </w:r>
      <w:r>
        <w:rPr>
          <w:sz w:val="24"/>
        </w:rPr>
        <w:t>日内公布最新内容；</w:t>
      </w:r>
    </w:p>
    <w:p w14:paraId="157E5C9E">
      <w:pPr>
        <w:pStyle w:val="35"/>
        <w:spacing w:after="0" w:line="360" w:lineRule="auto"/>
        <w:ind w:firstLine="479"/>
        <w:rPr>
          <w:sz w:val="24"/>
        </w:rPr>
      </w:pPr>
      <w:r>
        <w:rPr>
          <w:sz w:val="24"/>
        </w:rPr>
        <w:t>手工监测数据应于每次检测完成后的次日公布；自动监测数据应实时公布监</w:t>
      </w:r>
      <w:r>
        <w:rPr>
          <w:spacing w:val="-2"/>
          <w:sz w:val="24"/>
        </w:rPr>
        <w:t xml:space="preserve">测结果，其中废水自动监测设备为每 </w:t>
      </w:r>
      <w:r>
        <w:rPr>
          <w:rFonts w:eastAsia="Times New Roman"/>
          <w:sz w:val="24"/>
        </w:rPr>
        <w:t xml:space="preserve">2 </w:t>
      </w:r>
      <w:r>
        <w:rPr>
          <w:spacing w:val="-3"/>
          <w:sz w:val="24"/>
        </w:rPr>
        <w:t xml:space="preserve">小时均值，废气自动监测设备为每 </w:t>
      </w:r>
      <w:r>
        <w:rPr>
          <w:rFonts w:eastAsia="Times New Roman"/>
          <w:sz w:val="24"/>
        </w:rPr>
        <w:t xml:space="preserve">1 </w:t>
      </w:r>
      <w:r>
        <w:rPr>
          <w:spacing w:val="-8"/>
          <w:sz w:val="24"/>
        </w:rPr>
        <w:t>小时</w:t>
      </w:r>
      <w:r>
        <w:rPr>
          <w:sz w:val="24"/>
        </w:rPr>
        <w:t>均值。</w:t>
      </w:r>
    </w:p>
    <w:p w14:paraId="7C8E7174">
      <w:pPr>
        <w:pStyle w:val="35"/>
        <w:spacing w:after="0" w:line="360" w:lineRule="auto"/>
        <w:rPr>
          <w:sz w:val="24"/>
        </w:rPr>
      </w:pPr>
      <w:r>
        <w:rPr>
          <w:sz w:val="24"/>
        </w:rPr>
        <w:t>每年一月底公布上年度自行监测年度报告。</w:t>
      </w:r>
    </w:p>
    <w:p w14:paraId="0DAA9E84">
      <w:pPr>
        <w:spacing w:line="360" w:lineRule="auto"/>
        <w:outlineLvl w:val="2"/>
        <w:rPr>
          <w:b/>
          <w:bCs/>
          <w:sz w:val="28"/>
          <w:szCs w:val="28"/>
        </w:rPr>
      </w:pPr>
      <w:bookmarkStart w:id="320" w:name="_Toc28507"/>
      <w:r>
        <w:rPr>
          <w:b/>
          <w:bCs/>
          <w:sz w:val="28"/>
          <w:szCs w:val="28"/>
        </w:rPr>
        <w:t>9.3.2公开方式</w:t>
      </w:r>
      <w:bookmarkEnd w:id="318"/>
      <w:bookmarkEnd w:id="319"/>
      <w:bookmarkEnd w:id="320"/>
    </w:p>
    <w:p w14:paraId="139C8FD3">
      <w:pPr>
        <w:spacing w:line="360" w:lineRule="auto"/>
        <w:ind w:firstLine="480" w:firstLineChars="200"/>
        <w:rPr>
          <w:sz w:val="24"/>
        </w:rPr>
      </w:pPr>
      <w:r>
        <w:rPr>
          <w:sz w:val="24"/>
        </w:rPr>
        <w:t>建设单位应当通过其网站、企业事业单位环境信息公开平台或者当地报刊等便于公众知晓的方式公开环境信息，同时可以采取以下一种或者几种方式予以公开：</w:t>
      </w:r>
    </w:p>
    <w:p w14:paraId="08C319CA">
      <w:pPr>
        <w:spacing w:line="360" w:lineRule="auto"/>
        <w:ind w:firstLine="480" w:firstLineChars="200"/>
        <w:rPr>
          <w:sz w:val="24"/>
        </w:rPr>
      </w:pPr>
      <w:r>
        <w:rPr>
          <w:sz w:val="24"/>
        </w:rPr>
        <w:t>（一）公告或者公开发行的信息专刊；</w:t>
      </w:r>
    </w:p>
    <w:p w14:paraId="777C7AF5">
      <w:pPr>
        <w:spacing w:line="360" w:lineRule="auto"/>
        <w:ind w:firstLine="480" w:firstLineChars="200"/>
        <w:rPr>
          <w:sz w:val="24"/>
        </w:rPr>
      </w:pPr>
      <w:r>
        <w:rPr>
          <w:sz w:val="24"/>
        </w:rPr>
        <w:t>（二）广播、电视等新闻媒体；</w:t>
      </w:r>
    </w:p>
    <w:p w14:paraId="25466F7F">
      <w:pPr>
        <w:spacing w:line="360" w:lineRule="auto"/>
        <w:ind w:firstLine="480" w:firstLineChars="200"/>
        <w:rPr>
          <w:sz w:val="24"/>
        </w:rPr>
      </w:pPr>
      <w:r>
        <w:rPr>
          <w:sz w:val="24"/>
        </w:rPr>
        <w:t>（三）信息公开服务、监督热线电话；</w:t>
      </w:r>
    </w:p>
    <w:p w14:paraId="3901A636">
      <w:pPr>
        <w:spacing w:line="360" w:lineRule="auto"/>
        <w:ind w:firstLine="480" w:firstLineChars="200"/>
        <w:rPr>
          <w:sz w:val="24"/>
        </w:rPr>
      </w:pPr>
      <w:r>
        <w:rPr>
          <w:sz w:val="24"/>
        </w:rPr>
        <w:t>（四）企业资料索取点、信息公开栏、信息亭、电子屏幕、电子触摸屏等场所或者设施；</w:t>
      </w:r>
    </w:p>
    <w:p w14:paraId="650AF257">
      <w:pPr>
        <w:spacing w:line="360" w:lineRule="auto"/>
        <w:ind w:firstLine="480" w:firstLineChars="200"/>
        <w:rPr>
          <w:sz w:val="24"/>
        </w:rPr>
      </w:pPr>
      <w:r>
        <w:rPr>
          <w:sz w:val="24"/>
        </w:rPr>
        <w:t>（五）其他便于公众及时、准确获得信息的方式。</w:t>
      </w:r>
    </w:p>
    <w:p w14:paraId="72C07E67">
      <w:pPr>
        <w:pStyle w:val="6"/>
        <w:spacing w:before="0" w:after="0" w:line="360" w:lineRule="auto"/>
        <w:rPr>
          <w:rFonts w:ascii="Times New Roman" w:hAnsi="Times New Roman"/>
          <w:sz w:val="30"/>
          <w:szCs w:val="30"/>
        </w:rPr>
      </w:pPr>
      <w:bookmarkStart w:id="321" w:name="_Toc384904835"/>
      <w:bookmarkStart w:id="322" w:name="_Toc11292_WPSOffice_Level2"/>
      <w:bookmarkStart w:id="323" w:name="_Toc325012996"/>
      <w:bookmarkStart w:id="324" w:name="_Toc32530"/>
      <w:bookmarkStart w:id="325" w:name="_Toc14801"/>
      <w:bookmarkStart w:id="326" w:name="_Toc6257"/>
      <w:r>
        <w:rPr>
          <w:rFonts w:ascii="Times New Roman" w:hAnsi="Times New Roman"/>
          <w:sz w:val="30"/>
          <w:szCs w:val="30"/>
        </w:rPr>
        <w:t>9.4环境监理</w:t>
      </w:r>
      <w:bookmarkEnd w:id="321"/>
      <w:bookmarkEnd w:id="322"/>
      <w:bookmarkEnd w:id="323"/>
      <w:bookmarkEnd w:id="324"/>
      <w:bookmarkEnd w:id="325"/>
      <w:bookmarkEnd w:id="326"/>
    </w:p>
    <w:p w14:paraId="3607A68E">
      <w:pPr>
        <w:spacing w:line="360" w:lineRule="auto"/>
        <w:ind w:firstLine="480" w:firstLineChars="200"/>
        <w:rPr>
          <w:sz w:val="24"/>
        </w:rPr>
      </w:pPr>
      <w:r>
        <w:rPr>
          <w:sz w:val="24"/>
        </w:rPr>
        <w:t>依据云南省环境保护厅要求，建设项目应在建设过程中进行环境监理。环境监理是了解建设项目在施工期和运行期的排污和影响情况，并制定相应措施，使其影响减少到最低程度，同时通过监测数据的调查分析，制定出相应的项目管理政策和提供决策依据。</w:t>
      </w:r>
    </w:p>
    <w:p w14:paraId="0F0DD624">
      <w:pPr>
        <w:keepNext/>
        <w:keepLines/>
        <w:numPr>
          <w:ilvl w:val="2"/>
          <w:numId w:val="0"/>
        </w:numPr>
        <w:tabs>
          <w:tab w:val="left" w:pos="88"/>
          <w:tab w:val="left" w:pos="567"/>
        </w:tabs>
        <w:spacing w:line="360" w:lineRule="auto"/>
        <w:jc w:val="left"/>
        <w:outlineLvl w:val="2"/>
        <w:rPr>
          <w:b/>
          <w:bCs/>
          <w:kern w:val="0"/>
          <w:sz w:val="28"/>
          <w:szCs w:val="32"/>
        </w:rPr>
      </w:pPr>
      <w:bookmarkStart w:id="327" w:name="_Toc30583_WPSOffice_Level3"/>
      <w:bookmarkStart w:id="328" w:name="_Toc384904836"/>
      <w:bookmarkStart w:id="329" w:name="_Toc8205"/>
      <w:r>
        <w:rPr>
          <w:b/>
          <w:bCs/>
          <w:kern w:val="0"/>
          <w:sz w:val="28"/>
          <w:szCs w:val="32"/>
        </w:rPr>
        <w:t>9.4.1 环境监理的目的</w:t>
      </w:r>
      <w:bookmarkEnd w:id="327"/>
      <w:bookmarkEnd w:id="328"/>
      <w:bookmarkEnd w:id="329"/>
    </w:p>
    <w:p w14:paraId="04E7EFF4">
      <w:pPr>
        <w:spacing w:line="360" w:lineRule="auto"/>
        <w:ind w:firstLine="480"/>
        <w:rPr>
          <w:sz w:val="24"/>
        </w:rPr>
      </w:pPr>
      <w:r>
        <w:rPr>
          <w:sz w:val="24"/>
        </w:rPr>
        <w:t>建设项目环境监理是指环境监理机构受项目建设单位委托，依据环境影响评价文件及环境保护行政主管部门批复、环境监理合同，对项目施工建设实行的环境保护监督管理。</w:t>
      </w:r>
    </w:p>
    <w:p w14:paraId="5B5E40E4">
      <w:pPr>
        <w:adjustRightInd w:val="0"/>
        <w:snapToGrid w:val="0"/>
        <w:spacing w:line="360" w:lineRule="auto"/>
        <w:ind w:firstLine="480" w:firstLineChars="200"/>
        <w:rPr>
          <w:sz w:val="24"/>
        </w:rPr>
      </w:pPr>
      <w:r>
        <w:rPr>
          <w:bCs/>
          <w:sz w:val="24"/>
        </w:rPr>
        <w:t>环境监理是</w:t>
      </w:r>
      <w:r>
        <w:rPr>
          <w:sz w:val="24"/>
        </w:rPr>
        <w:t>建设项目管理的需要，为保证“三同时”的实施和验收把好关；</w:t>
      </w:r>
      <w:r>
        <w:rPr>
          <w:bCs/>
          <w:sz w:val="24"/>
        </w:rPr>
        <w:t>环境监理是</w:t>
      </w:r>
      <w:r>
        <w:rPr>
          <w:sz w:val="24"/>
        </w:rPr>
        <w:t>建设单位自身的需要，可以帮助业主及时发现问题，并指导其解决；</w:t>
      </w:r>
      <w:r>
        <w:rPr>
          <w:bCs/>
          <w:sz w:val="24"/>
        </w:rPr>
        <w:t>环境监理是</w:t>
      </w:r>
      <w:r>
        <w:rPr>
          <w:sz w:val="24"/>
        </w:rPr>
        <w:t>公众要求的需要，如有扰民问题便于及时得到解决。依据国家、云南省相关部门制定的法律、法规、技术标准，以及经批准的设计文件和依法签订的建立、施工承包合同，按环境监理服务的范围和内容，履行环境监理义务，独立、公正、科学、有效地服务于本工程，实施全面环境监理，使工程在设计、施工、运营等方面达到环境保护要求，有效控制工程环境污染及生态破坏，保证施工合同中有关环境保护的合同条款得到落实。</w:t>
      </w:r>
    </w:p>
    <w:p w14:paraId="20FD21A5">
      <w:pPr>
        <w:keepNext/>
        <w:keepLines/>
        <w:spacing w:line="360" w:lineRule="auto"/>
        <w:outlineLvl w:val="2"/>
        <w:rPr>
          <w:b/>
          <w:bCs/>
          <w:sz w:val="28"/>
          <w:szCs w:val="28"/>
        </w:rPr>
      </w:pPr>
      <w:bookmarkStart w:id="330" w:name="_Toc384904838"/>
      <w:bookmarkStart w:id="331" w:name="_Toc8296"/>
      <w:bookmarkStart w:id="332" w:name="_Toc8_WPSOffice_Level3"/>
      <w:r>
        <w:rPr>
          <w:b/>
          <w:bCs/>
          <w:sz w:val="28"/>
          <w:szCs w:val="28"/>
        </w:rPr>
        <w:t>9.4.2 环境监理内容</w:t>
      </w:r>
      <w:bookmarkEnd w:id="330"/>
      <w:bookmarkEnd w:id="331"/>
      <w:bookmarkEnd w:id="332"/>
    </w:p>
    <w:p w14:paraId="480FADB3">
      <w:pPr>
        <w:spacing w:line="360" w:lineRule="auto"/>
        <w:ind w:firstLine="482"/>
        <w:rPr>
          <w:sz w:val="24"/>
        </w:rPr>
      </w:pPr>
      <w:r>
        <w:rPr>
          <w:sz w:val="24"/>
        </w:rPr>
        <w:t>环境监理主要包括施工期环境保护达标监理、生态保护措施监理和环保设施监理：环境保护达标监理是监督检查项目施工建设过程中各种污染因子达到环境保护标准要求的情况；生态保护措施监理是监督检查项目施工建设过程中自然生态保护和恢复措施、水土保护措施及自然保护区、风景名胜区、水源保护区等环境敏感保护目标的保护措施落实情况。</w:t>
      </w:r>
    </w:p>
    <w:p w14:paraId="2DEEC23E">
      <w:pPr>
        <w:spacing w:line="360" w:lineRule="auto"/>
        <w:ind w:firstLine="482"/>
        <w:rPr>
          <w:sz w:val="24"/>
        </w:rPr>
      </w:pPr>
      <w:r>
        <w:rPr>
          <w:sz w:val="24"/>
        </w:rPr>
        <w:t>根据施工时段的具体内容不同，环境监理可分为3个阶段进行，即施工准备阶段、施工阶段、交工以及缺陷责任期。</w:t>
      </w:r>
    </w:p>
    <w:p w14:paraId="62154147">
      <w:pPr>
        <w:spacing w:line="360" w:lineRule="auto"/>
        <w:ind w:firstLine="482"/>
        <w:rPr>
          <w:sz w:val="24"/>
        </w:rPr>
      </w:pPr>
      <w:r>
        <w:rPr>
          <w:sz w:val="24"/>
        </w:rPr>
        <w:t>（1）施工准备阶段</w:t>
      </w:r>
    </w:p>
    <w:p w14:paraId="25FDFB33">
      <w:pPr>
        <w:spacing w:line="360" w:lineRule="auto"/>
        <w:ind w:firstLine="482"/>
        <w:rPr>
          <w:sz w:val="24"/>
        </w:rPr>
      </w:pPr>
      <w:r>
        <w:rPr>
          <w:sz w:val="24"/>
        </w:rPr>
        <w:t>这一阶段的监理任务主要是编制环境监理细则，审核施工合同中的环保条款、承包商施工期环境管理计划和施工组织设计中的环保措施，核实工程占地和准备工作，审核施工物料的堆放是否符合环保要求。</w:t>
      </w:r>
    </w:p>
    <w:p w14:paraId="27BE9650">
      <w:pPr>
        <w:spacing w:line="360" w:lineRule="auto"/>
        <w:ind w:firstLine="482"/>
        <w:rPr>
          <w:sz w:val="24"/>
        </w:rPr>
      </w:pPr>
      <w:r>
        <w:rPr>
          <w:sz w:val="24"/>
        </w:rPr>
        <w:t>如建设项目已开工建设，则要补充环境监理评估，具体内容是：工程进展情况、采取的环保措施追记；检查环保设施是否落实；环保工程是否满足环评设计要求；是否有遗留的环境问题，提出解决措施及计划安排。</w:t>
      </w:r>
    </w:p>
    <w:p w14:paraId="1C2B9515">
      <w:pPr>
        <w:spacing w:line="360" w:lineRule="auto"/>
        <w:ind w:firstLine="482"/>
        <w:rPr>
          <w:sz w:val="24"/>
        </w:rPr>
      </w:pPr>
      <w:r>
        <w:rPr>
          <w:sz w:val="24"/>
        </w:rPr>
        <w:t>（2）施工阶段</w:t>
      </w:r>
    </w:p>
    <w:p w14:paraId="7AACA66A">
      <w:pPr>
        <w:spacing w:line="360" w:lineRule="auto"/>
        <w:ind w:firstLine="482"/>
        <w:rPr>
          <w:sz w:val="24"/>
        </w:rPr>
      </w:pPr>
      <w:r>
        <w:rPr>
          <w:sz w:val="24"/>
        </w:rPr>
        <w:t>施工过程的环境监理其内容主要是督促施工单位落实环境影响报告中提出的各项环境保护措施，规范施工过程。本项目施工阶段主要的环境监理要点如下表所示，环境监理人员根据要点进行监理，及时纠正不规范的操作。鉴于本项目的特殊性，即存在大量的隐蔽工程（如各区域的防渗工程、地下工程内容等），而且上述隐蔽工程为项目运行期间非常关键的环保措施。因此，本项目的施工期监理应该做好隐蔽工程建设及监理台账（影像资料）等的收集与保存，以便环卫部门监管。</w:t>
      </w:r>
    </w:p>
    <w:p w14:paraId="26A4F115">
      <w:pPr>
        <w:spacing w:line="360" w:lineRule="auto"/>
        <w:ind w:firstLine="482"/>
        <w:rPr>
          <w:sz w:val="24"/>
        </w:rPr>
      </w:pPr>
      <w:r>
        <w:rPr>
          <w:sz w:val="24"/>
        </w:rPr>
        <w:t>（3）交工及缺陷负责期阶段</w:t>
      </w:r>
    </w:p>
    <w:p w14:paraId="531E41BE">
      <w:pPr>
        <w:spacing w:line="360" w:lineRule="auto"/>
        <w:ind w:firstLine="482"/>
        <w:rPr>
          <w:sz w:val="24"/>
        </w:rPr>
      </w:pPr>
      <w:r>
        <w:rPr>
          <w:sz w:val="24"/>
        </w:rPr>
        <w:t xml:space="preserve">这一阶段的工作主要是工程竣工环境保护验收的相关资料的汇总、环保工程的施工等以及缺陷责任期阶段针对施工场地清理的监理。  </w:t>
      </w:r>
    </w:p>
    <w:p w14:paraId="24BD1AE8">
      <w:pPr>
        <w:jc w:val="center"/>
        <w:rPr>
          <w:rFonts w:eastAsia="黑体"/>
          <w:bCs/>
          <w:sz w:val="24"/>
        </w:rPr>
      </w:pPr>
      <w:r>
        <w:rPr>
          <w:b/>
          <w:sz w:val="24"/>
        </w:rPr>
        <w:t>表9.4-1  施工期环境监理内容</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064"/>
        <w:gridCol w:w="588"/>
        <w:gridCol w:w="589"/>
        <w:gridCol w:w="550"/>
      </w:tblGrid>
      <w:tr w14:paraId="528B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shd w:val="pct10" w:color="auto" w:fill="auto"/>
            <w:noWrap w:val="0"/>
            <w:vAlign w:val="center"/>
          </w:tcPr>
          <w:p w14:paraId="5EDF7EF2">
            <w:pPr>
              <w:adjustRightInd w:val="0"/>
              <w:snapToGrid w:val="0"/>
              <w:ind w:left="-71" w:leftChars="-34" w:right="-71" w:rightChars="-34"/>
              <w:jc w:val="center"/>
              <w:rPr>
                <w:b/>
                <w:bCs/>
                <w:szCs w:val="21"/>
              </w:rPr>
            </w:pPr>
            <w:r>
              <w:rPr>
                <w:b/>
                <w:bCs/>
                <w:szCs w:val="21"/>
              </w:rPr>
              <w:t>环境影响</w:t>
            </w:r>
          </w:p>
        </w:tc>
        <w:tc>
          <w:tcPr>
            <w:tcW w:w="7064" w:type="dxa"/>
            <w:shd w:val="pct10" w:color="auto" w:fill="auto"/>
            <w:noWrap w:val="0"/>
            <w:vAlign w:val="center"/>
          </w:tcPr>
          <w:p w14:paraId="223C0372">
            <w:pPr>
              <w:adjustRightInd w:val="0"/>
              <w:snapToGrid w:val="0"/>
              <w:ind w:left="-71" w:leftChars="-34" w:right="-71" w:rightChars="-34"/>
              <w:jc w:val="center"/>
              <w:rPr>
                <w:b/>
                <w:bCs/>
                <w:szCs w:val="21"/>
              </w:rPr>
            </w:pPr>
            <w:r>
              <w:rPr>
                <w:b/>
                <w:bCs/>
                <w:szCs w:val="21"/>
              </w:rPr>
              <w:t>环境监理重点具体内容</w:t>
            </w:r>
          </w:p>
        </w:tc>
        <w:tc>
          <w:tcPr>
            <w:tcW w:w="588" w:type="dxa"/>
            <w:shd w:val="pct10" w:color="auto" w:fill="auto"/>
            <w:noWrap w:val="0"/>
            <w:vAlign w:val="center"/>
          </w:tcPr>
          <w:p w14:paraId="130A870A">
            <w:pPr>
              <w:adjustRightInd w:val="0"/>
              <w:snapToGrid w:val="0"/>
              <w:ind w:left="-105" w:leftChars="-50" w:right="-105" w:rightChars="-50"/>
              <w:jc w:val="center"/>
              <w:rPr>
                <w:b/>
                <w:bCs/>
                <w:szCs w:val="21"/>
              </w:rPr>
            </w:pPr>
            <w:r>
              <w:rPr>
                <w:b/>
                <w:bCs/>
                <w:szCs w:val="21"/>
              </w:rPr>
              <w:t>实施机构</w:t>
            </w:r>
          </w:p>
        </w:tc>
        <w:tc>
          <w:tcPr>
            <w:tcW w:w="589" w:type="dxa"/>
            <w:shd w:val="pct10" w:color="auto" w:fill="auto"/>
            <w:noWrap w:val="0"/>
            <w:vAlign w:val="center"/>
          </w:tcPr>
          <w:p w14:paraId="3105BE2E">
            <w:pPr>
              <w:adjustRightInd w:val="0"/>
              <w:snapToGrid w:val="0"/>
              <w:ind w:left="-105" w:leftChars="-50" w:right="-105" w:rightChars="-50"/>
              <w:jc w:val="center"/>
              <w:rPr>
                <w:b/>
                <w:bCs/>
                <w:szCs w:val="21"/>
              </w:rPr>
            </w:pPr>
            <w:r>
              <w:rPr>
                <w:b/>
                <w:bCs/>
                <w:szCs w:val="21"/>
              </w:rPr>
              <w:t>负责机构</w:t>
            </w:r>
          </w:p>
        </w:tc>
        <w:tc>
          <w:tcPr>
            <w:tcW w:w="550" w:type="dxa"/>
            <w:shd w:val="pct10" w:color="auto" w:fill="auto"/>
            <w:noWrap w:val="0"/>
            <w:vAlign w:val="center"/>
          </w:tcPr>
          <w:p w14:paraId="60383D1B">
            <w:pPr>
              <w:adjustRightInd w:val="0"/>
              <w:snapToGrid w:val="0"/>
              <w:ind w:left="-105" w:leftChars="-50" w:right="-105" w:rightChars="-50"/>
              <w:jc w:val="center"/>
              <w:rPr>
                <w:b/>
                <w:bCs/>
                <w:szCs w:val="21"/>
              </w:rPr>
            </w:pPr>
            <w:r>
              <w:rPr>
                <w:b/>
                <w:bCs/>
                <w:szCs w:val="21"/>
              </w:rPr>
              <w:t>监督机构</w:t>
            </w:r>
          </w:p>
        </w:tc>
      </w:tr>
      <w:tr w14:paraId="2AF3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367C2EF4">
            <w:pPr>
              <w:adjustRightInd w:val="0"/>
              <w:snapToGrid w:val="0"/>
              <w:ind w:left="-71" w:leftChars="-34" w:right="-71" w:rightChars="-34"/>
              <w:jc w:val="center"/>
              <w:rPr>
                <w:szCs w:val="21"/>
              </w:rPr>
            </w:pPr>
            <w:r>
              <w:rPr>
                <w:szCs w:val="21"/>
              </w:rPr>
              <w:t>废水</w:t>
            </w:r>
          </w:p>
        </w:tc>
        <w:tc>
          <w:tcPr>
            <w:tcW w:w="7064" w:type="dxa"/>
            <w:noWrap w:val="0"/>
            <w:vAlign w:val="top"/>
          </w:tcPr>
          <w:p w14:paraId="0965CCF6">
            <w:pPr>
              <w:adjustRightInd w:val="0"/>
              <w:snapToGrid w:val="0"/>
              <w:ind w:left="-71" w:leftChars="-34" w:right="-71" w:rightChars="-34" w:firstLine="420" w:firstLineChars="200"/>
              <w:rPr>
                <w:szCs w:val="21"/>
              </w:rPr>
            </w:pPr>
            <w:r>
              <w:rPr>
                <w:szCs w:val="21"/>
              </w:rPr>
              <w:t>1.施工现场不设施工人员驻地，施工人员生活污水（洗手废水）要集中排入收集设施，统一处理，回用于施工场地洒水降尘，不外排；</w:t>
            </w:r>
          </w:p>
          <w:p w14:paraId="0A468F57">
            <w:pPr>
              <w:adjustRightInd w:val="0"/>
              <w:snapToGrid w:val="0"/>
              <w:ind w:left="-71" w:leftChars="-34" w:right="-71" w:rightChars="-34" w:firstLine="420" w:firstLineChars="200"/>
              <w:rPr>
                <w:szCs w:val="21"/>
              </w:rPr>
            </w:pPr>
            <w:r>
              <w:rPr>
                <w:szCs w:val="21"/>
              </w:rPr>
              <w:t>2.施工现场应建造沉淀池等污水临时处理设施，施工废水及地表径流要集中排入收集设施，统一处理，回用于施工场地洒水降尘，不外排。</w:t>
            </w:r>
          </w:p>
        </w:tc>
        <w:tc>
          <w:tcPr>
            <w:tcW w:w="588" w:type="dxa"/>
            <w:vMerge w:val="restart"/>
            <w:noWrap w:val="0"/>
            <w:vAlign w:val="center"/>
          </w:tcPr>
          <w:p w14:paraId="0DCC5583">
            <w:pPr>
              <w:adjustRightInd w:val="0"/>
              <w:snapToGrid w:val="0"/>
              <w:ind w:left="-105" w:leftChars="-50" w:right="-105" w:rightChars="-50"/>
              <w:jc w:val="center"/>
              <w:rPr>
                <w:szCs w:val="21"/>
              </w:rPr>
            </w:pPr>
            <w:r>
              <w:rPr>
                <w:szCs w:val="21"/>
              </w:rPr>
              <w:t>施工单位</w:t>
            </w:r>
          </w:p>
        </w:tc>
        <w:tc>
          <w:tcPr>
            <w:tcW w:w="589" w:type="dxa"/>
            <w:vMerge w:val="restart"/>
            <w:noWrap w:val="0"/>
            <w:vAlign w:val="center"/>
          </w:tcPr>
          <w:p w14:paraId="58DE9515">
            <w:pPr>
              <w:adjustRightInd w:val="0"/>
              <w:snapToGrid w:val="0"/>
              <w:ind w:left="-105" w:leftChars="-50" w:right="-105" w:rightChars="-50"/>
              <w:jc w:val="center"/>
              <w:rPr>
                <w:szCs w:val="21"/>
              </w:rPr>
            </w:pPr>
            <w:r>
              <w:rPr>
                <w:szCs w:val="21"/>
              </w:rPr>
              <w:t>建设单位</w:t>
            </w:r>
          </w:p>
        </w:tc>
        <w:tc>
          <w:tcPr>
            <w:tcW w:w="550" w:type="dxa"/>
            <w:vMerge w:val="restart"/>
            <w:noWrap w:val="0"/>
            <w:vAlign w:val="center"/>
          </w:tcPr>
          <w:p w14:paraId="08FFDF09">
            <w:pPr>
              <w:adjustRightInd w:val="0"/>
              <w:snapToGrid w:val="0"/>
              <w:ind w:left="-105" w:leftChars="-50" w:right="-105" w:rightChars="-50"/>
              <w:jc w:val="center"/>
              <w:rPr>
                <w:szCs w:val="21"/>
              </w:rPr>
            </w:pPr>
            <w:r>
              <w:rPr>
                <w:szCs w:val="21"/>
              </w:rPr>
              <w:t>施工监理单位</w:t>
            </w:r>
          </w:p>
        </w:tc>
      </w:tr>
      <w:tr w14:paraId="09A2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509FE0AC">
            <w:pPr>
              <w:adjustRightInd w:val="0"/>
              <w:snapToGrid w:val="0"/>
              <w:ind w:left="-71" w:leftChars="-34" w:right="-71" w:rightChars="-34"/>
              <w:jc w:val="center"/>
              <w:rPr>
                <w:szCs w:val="21"/>
              </w:rPr>
            </w:pPr>
            <w:r>
              <w:rPr>
                <w:szCs w:val="21"/>
              </w:rPr>
              <w:t>废气</w:t>
            </w:r>
          </w:p>
        </w:tc>
        <w:tc>
          <w:tcPr>
            <w:tcW w:w="7064" w:type="dxa"/>
            <w:noWrap w:val="0"/>
            <w:vAlign w:val="top"/>
          </w:tcPr>
          <w:p w14:paraId="361CA22E">
            <w:pPr>
              <w:adjustRightInd w:val="0"/>
              <w:snapToGrid w:val="0"/>
              <w:ind w:left="-71" w:leftChars="-34" w:right="-71" w:rightChars="-34" w:firstLine="420" w:firstLineChars="200"/>
              <w:rPr>
                <w:szCs w:val="21"/>
              </w:rPr>
            </w:pPr>
            <w:r>
              <w:rPr>
                <w:szCs w:val="21"/>
              </w:rPr>
              <w:t>1.施工期场地周围设置2.5m高的施工围挡；</w:t>
            </w:r>
          </w:p>
          <w:p w14:paraId="32151F8E">
            <w:pPr>
              <w:adjustRightInd w:val="0"/>
              <w:snapToGrid w:val="0"/>
              <w:ind w:left="-71" w:leftChars="-34" w:right="-71" w:rightChars="-34" w:firstLine="420" w:firstLineChars="200"/>
              <w:rPr>
                <w:szCs w:val="21"/>
              </w:rPr>
            </w:pPr>
            <w:r>
              <w:rPr>
                <w:szCs w:val="21"/>
              </w:rPr>
              <w:t>2.项目混凝土搅拌设备和砂石料等需放于侧风向，砂石料用土工布覆盖；</w:t>
            </w:r>
          </w:p>
          <w:p w14:paraId="2611598E">
            <w:pPr>
              <w:adjustRightInd w:val="0"/>
              <w:snapToGrid w:val="0"/>
              <w:ind w:left="-71" w:leftChars="-34" w:right="-71" w:rightChars="-34" w:firstLine="420" w:firstLineChars="200"/>
              <w:rPr>
                <w:szCs w:val="21"/>
              </w:rPr>
            </w:pPr>
            <w:r>
              <w:rPr>
                <w:szCs w:val="21"/>
              </w:rPr>
              <w:t>3.施工场地每天定期洒水，在旱季风大时应加大洒水量和洒水频次；</w:t>
            </w:r>
          </w:p>
          <w:p w14:paraId="1FF5EFD1">
            <w:pPr>
              <w:adjustRightInd w:val="0"/>
              <w:snapToGrid w:val="0"/>
              <w:ind w:left="-71" w:leftChars="-34" w:right="-71" w:rightChars="-34" w:firstLine="420" w:firstLineChars="200"/>
              <w:rPr>
                <w:szCs w:val="21"/>
              </w:rPr>
            </w:pPr>
            <w:r>
              <w:rPr>
                <w:szCs w:val="21"/>
              </w:rPr>
              <w:t>4.建筑材料统一堆放，砂石料堆场应用土工布遮盖，水泥尽量设置于单独的房间内，减少粉尘量，并尽量减少搬运环节，搬运时做到轻举轻放，防止包装袋破裂；</w:t>
            </w:r>
          </w:p>
          <w:p w14:paraId="5CDBDA0E">
            <w:pPr>
              <w:adjustRightInd w:val="0"/>
              <w:snapToGrid w:val="0"/>
              <w:ind w:left="-71" w:leftChars="-34" w:right="-71" w:rightChars="-34" w:firstLine="420" w:firstLineChars="200"/>
              <w:rPr>
                <w:szCs w:val="21"/>
              </w:rPr>
            </w:pPr>
            <w:r>
              <w:rPr>
                <w:szCs w:val="21"/>
              </w:rPr>
              <w:t>5.开挖时，土石方需尽快送至低洼处回填压实，能种植绿化树木的地方先采取植被保护，以防被雨水冲刷，形成水土流失；</w:t>
            </w:r>
          </w:p>
          <w:p w14:paraId="40CEC44C">
            <w:pPr>
              <w:adjustRightInd w:val="0"/>
              <w:snapToGrid w:val="0"/>
              <w:ind w:left="-71" w:leftChars="-34" w:right="-71" w:rightChars="-34" w:firstLine="420" w:firstLineChars="200"/>
              <w:rPr>
                <w:szCs w:val="21"/>
              </w:rPr>
            </w:pPr>
            <w:r>
              <w:rPr>
                <w:szCs w:val="21"/>
              </w:rPr>
              <w:t>6.车辆运输建筑材料及建筑垃圾时必须封闭运输，减少抛洒。同时，车辆进出装卸场地时应用水将轮胎冲洗并限速行驶；</w:t>
            </w:r>
          </w:p>
          <w:p w14:paraId="40F3E939">
            <w:pPr>
              <w:adjustRightInd w:val="0"/>
              <w:snapToGrid w:val="0"/>
              <w:ind w:left="-71" w:leftChars="-34" w:right="-71" w:rightChars="-34" w:firstLine="420" w:firstLineChars="200"/>
              <w:rPr>
                <w:szCs w:val="21"/>
              </w:rPr>
            </w:pPr>
            <w:r>
              <w:rPr>
                <w:szCs w:val="21"/>
              </w:rPr>
              <w:t>7.不得从建筑物高处向下倾倒垃圾；</w:t>
            </w:r>
          </w:p>
          <w:p w14:paraId="3376DEFF">
            <w:pPr>
              <w:adjustRightInd w:val="0"/>
              <w:snapToGrid w:val="0"/>
              <w:ind w:left="-71" w:leftChars="-34" w:right="-71" w:rightChars="-34" w:firstLine="420" w:firstLineChars="200"/>
              <w:rPr>
                <w:szCs w:val="21"/>
              </w:rPr>
            </w:pPr>
            <w:r>
              <w:rPr>
                <w:szCs w:val="21"/>
              </w:rPr>
              <w:t>8.加强对机械、车辆的维修保养，保持机械设备正常，减少颗粒物排放。</w:t>
            </w:r>
          </w:p>
        </w:tc>
        <w:tc>
          <w:tcPr>
            <w:tcW w:w="588" w:type="dxa"/>
            <w:vMerge w:val="continue"/>
            <w:noWrap w:val="0"/>
            <w:vAlign w:val="top"/>
          </w:tcPr>
          <w:p w14:paraId="65ED4C35">
            <w:pPr>
              <w:adjustRightInd w:val="0"/>
              <w:snapToGrid w:val="0"/>
              <w:rPr>
                <w:szCs w:val="21"/>
              </w:rPr>
            </w:pPr>
          </w:p>
        </w:tc>
        <w:tc>
          <w:tcPr>
            <w:tcW w:w="589" w:type="dxa"/>
            <w:vMerge w:val="continue"/>
            <w:noWrap w:val="0"/>
            <w:vAlign w:val="top"/>
          </w:tcPr>
          <w:p w14:paraId="7A27B6BC">
            <w:pPr>
              <w:adjustRightInd w:val="0"/>
              <w:snapToGrid w:val="0"/>
              <w:rPr>
                <w:szCs w:val="21"/>
              </w:rPr>
            </w:pPr>
          </w:p>
        </w:tc>
        <w:tc>
          <w:tcPr>
            <w:tcW w:w="550" w:type="dxa"/>
            <w:vMerge w:val="continue"/>
            <w:noWrap w:val="0"/>
            <w:vAlign w:val="top"/>
          </w:tcPr>
          <w:p w14:paraId="6516029B">
            <w:pPr>
              <w:adjustRightInd w:val="0"/>
              <w:snapToGrid w:val="0"/>
              <w:rPr>
                <w:szCs w:val="21"/>
              </w:rPr>
            </w:pPr>
          </w:p>
        </w:tc>
      </w:tr>
      <w:tr w14:paraId="0CF4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19340C56">
            <w:pPr>
              <w:adjustRightInd w:val="0"/>
              <w:snapToGrid w:val="0"/>
              <w:ind w:left="-71" w:leftChars="-34" w:right="-71" w:rightChars="-34"/>
              <w:jc w:val="center"/>
              <w:rPr>
                <w:szCs w:val="21"/>
              </w:rPr>
            </w:pPr>
            <w:r>
              <w:rPr>
                <w:szCs w:val="21"/>
              </w:rPr>
              <w:t>噪声</w:t>
            </w:r>
          </w:p>
        </w:tc>
        <w:tc>
          <w:tcPr>
            <w:tcW w:w="7064" w:type="dxa"/>
            <w:noWrap w:val="0"/>
            <w:vAlign w:val="top"/>
          </w:tcPr>
          <w:p w14:paraId="300C68F9">
            <w:pPr>
              <w:adjustRightInd w:val="0"/>
              <w:snapToGrid w:val="0"/>
              <w:ind w:left="-71" w:leftChars="-34" w:right="-71" w:rightChars="-34" w:firstLine="420" w:firstLineChars="200"/>
              <w:rPr>
                <w:szCs w:val="21"/>
              </w:rPr>
            </w:pPr>
            <w:r>
              <w:rPr>
                <w:szCs w:val="21"/>
              </w:rPr>
              <w:t>1.控制施工时间，禁止夜间施工，严禁施工噪声扰民。</w:t>
            </w:r>
          </w:p>
          <w:p w14:paraId="6B50A8CF">
            <w:pPr>
              <w:adjustRightInd w:val="0"/>
              <w:snapToGrid w:val="0"/>
              <w:ind w:left="-71" w:leftChars="-34" w:right="-71" w:rightChars="-34" w:firstLine="420" w:firstLineChars="200"/>
              <w:rPr>
                <w:szCs w:val="21"/>
              </w:rPr>
            </w:pPr>
            <w:r>
              <w:rPr>
                <w:szCs w:val="21"/>
              </w:rPr>
              <w:t>2.重型设备施工时，提前向当地环保主管部门申报。</w:t>
            </w:r>
          </w:p>
          <w:p w14:paraId="2EE3031E">
            <w:pPr>
              <w:adjustRightInd w:val="0"/>
              <w:snapToGrid w:val="0"/>
              <w:ind w:left="-71" w:leftChars="-34" w:right="-71" w:rightChars="-34" w:firstLine="420" w:firstLineChars="200"/>
              <w:rPr>
                <w:szCs w:val="21"/>
              </w:rPr>
            </w:pPr>
            <w:r>
              <w:rPr>
                <w:szCs w:val="21"/>
              </w:rPr>
              <w:t>3.加强对施工机械的维护保养，以避免由于设备性能差而增大机械噪声的现象发生。</w:t>
            </w:r>
          </w:p>
          <w:p w14:paraId="13BE5104">
            <w:pPr>
              <w:adjustRightInd w:val="0"/>
              <w:snapToGrid w:val="0"/>
              <w:ind w:left="-71" w:leftChars="-34" w:right="-71" w:rightChars="-34" w:firstLine="420" w:firstLineChars="200"/>
              <w:rPr>
                <w:szCs w:val="21"/>
              </w:rPr>
            </w:pPr>
            <w:r>
              <w:rPr>
                <w:szCs w:val="21"/>
              </w:rPr>
              <w:t>4.大型设备运输路线避让居民区，同时减速慢行。</w:t>
            </w:r>
          </w:p>
        </w:tc>
        <w:tc>
          <w:tcPr>
            <w:tcW w:w="588" w:type="dxa"/>
            <w:vMerge w:val="continue"/>
            <w:noWrap w:val="0"/>
            <w:vAlign w:val="top"/>
          </w:tcPr>
          <w:p w14:paraId="1B1114A4">
            <w:pPr>
              <w:adjustRightInd w:val="0"/>
              <w:snapToGrid w:val="0"/>
              <w:rPr>
                <w:szCs w:val="21"/>
              </w:rPr>
            </w:pPr>
          </w:p>
        </w:tc>
        <w:tc>
          <w:tcPr>
            <w:tcW w:w="589" w:type="dxa"/>
            <w:vMerge w:val="continue"/>
            <w:noWrap w:val="0"/>
            <w:vAlign w:val="top"/>
          </w:tcPr>
          <w:p w14:paraId="448622DA">
            <w:pPr>
              <w:adjustRightInd w:val="0"/>
              <w:snapToGrid w:val="0"/>
              <w:rPr>
                <w:szCs w:val="21"/>
              </w:rPr>
            </w:pPr>
          </w:p>
        </w:tc>
        <w:tc>
          <w:tcPr>
            <w:tcW w:w="550" w:type="dxa"/>
            <w:vMerge w:val="continue"/>
            <w:noWrap w:val="0"/>
            <w:vAlign w:val="top"/>
          </w:tcPr>
          <w:p w14:paraId="636D057E">
            <w:pPr>
              <w:adjustRightInd w:val="0"/>
              <w:snapToGrid w:val="0"/>
              <w:rPr>
                <w:szCs w:val="21"/>
              </w:rPr>
            </w:pPr>
          </w:p>
        </w:tc>
      </w:tr>
      <w:tr w14:paraId="75B5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dxa"/>
            <w:noWrap w:val="0"/>
            <w:vAlign w:val="center"/>
          </w:tcPr>
          <w:p w14:paraId="235E5BD5">
            <w:pPr>
              <w:adjustRightInd w:val="0"/>
              <w:snapToGrid w:val="0"/>
              <w:ind w:left="-71" w:leftChars="-34" w:right="-71" w:rightChars="-34"/>
              <w:jc w:val="center"/>
              <w:rPr>
                <w:szCs w:val="21"/>
              </w:rPr>
            </w:pPr>
            <w:r>
              <w:rPr>
                <w:szCs w:val="21"/>
              </w:rPr>
              <w:t>固废</w:t>
            </w:r>
          </w:p>
        </w:tc>
        <w:tc>
          <w:tcPr>
            <w:tcW w:w="7064" w:type="dxa"/>
            <w:noWrap w:val="0"/>
            <w:vAlign w:val="top"/>
          </w:tcPr>
          <w:p w14:paraId="144A33E7">
            <w:pPr>
              <w:adjustRightInd w:val="0"/>
              <w:snapToGrid w:val="0"/>
              <w:ind w:left="-71" w:leftChars="-34" w:right="-71" w:rightChars="-34" w:firstLine="420" w:firstLineChars="200"/>
              <w:rPr>
                <w:szCs w:val="21"/>
              </w:rPr>
            </w:pPr>
            <w:r>
              <w:rPr>
                <w:szCs w:val="21"/>
              </w:rPr>
              <w:t>1.土石方用于低洼处回填，不存在外运土石方，无弃土产生。</w:t>
            </w:r>
          </w:p>
          <w:p w14:paraId="6835CFD5">
            <w:pPr>
              <w:adjustRightInd w:val="0"/>
              <w:snapToGrid w:val="0"/>
              <w:ind w:left="-71" w:leftChars="-34" w:right="-71" w:rightChars="-34" w:firstLine="420" w:firstLineChars="200"/>
              <w:rPr>
                <w:szCs w:val="21"/>
              </w:rPr>
            </w:pPr>
            <w:r>
              <w:rPr>
                <w:szCs w:val="21"/>
              </w:rPr>
              <w:t>2.建筑垃圾通过分类集中堆存、回收利用，可回收利用部分的材料可回收处理，剩余部分运输至指定的建筑垃圾堆放填埋场。</w:t>
            </w:r>
          </w:p>
          <w:p w14:paraId="5C76DF79">
            <w:pPr>
              <w:adjustRightInd w:val="0"/>
              <w:snapToGrid w:val="0"/>
              <w:ind w:left="-71" w:leftChars="-34" w:right="-71" w:rightChars="-34" w:firstLine="420" w:firstLineChars="200"/>
              <w:rPr>
                <w:szCs w:val="21"/>
              </w:rPr>
            </w:pPr>
            <w:r>
              <w:rPr>
                <w:szCs w:val="21"/>
              </w:rPr>
              <w:t>3.生活垃圾收集于垃圾桶内，定期清运至附近村寨内生活垃圾收集房内，由环卫部门统一清运处置。</w:t>
            </w:r>
          </w:p>
        </w:tc>
        <w:tc>
          <w:tcPr>
            <w:tcW w:w="588" w:type="dxa"/>
            <w:vMerge w:val="continue"/>
            <w:noWrap w:val="0"/>
            <w:vAlign w:val="top"/>
          </w:tcPr>
          <w:p w14:paraId="1A2FF7AF">
            <w:pPr>
              <w:adjustRightInd w:val="0"/>
              <w:snapToGrid w:val="0"/>
              <w:rPr>
                <w:szCs w:val="21"/>
              </w:rPr>
            </w:pPr>
          </w:p>
        </w:tc>
        <w:tc>
          <w:tcPr>
            <w:tcW w:w="589" w:type="dxa"/>
            <w:vMerge w:val="continue"/>
            <w:noWrap w:val="0"/>
            <w:vAlign w:val="top"/>
          </w:tcPr>
          <w:p w14:paraId="52F415E3">
            <w:pPr>
              <w:adjustRightInd w:val="0"/>
              <w:snapToGrid w:val="0"/>
              <w:rPr>
                <w:szCs w:val="21"/>
              </w:rPr>
            </w:pPr>
          </w:p>
        </w:tc>
        <w:tc>
          <w:tcPr>
            <w:tcW w:w="550" w:type="dxa"/>
            <w:vMerge w:val="continue"/>
            <w:noWrap w:val="0"/>
            <w:vAlign w:val="top"/>
          </w:tcPr>
          <w:p w14:paraId="36FC2E73">
            <w:pPr>
              <w:adjustRightInd w:val="0"/>
              <w:snapToGrid w:val="0"/>
              <w:rPr>
                <w:szCs w:val="21"/>
              </w:rPr>
            </w:pPr>
          </w:p>
        </w:tc>
      </w:tr>
      <w:tr w14:paraId="1EF9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97" w:type="dxa"/>
            <w:noWrap w:val="0"/>
            <w:vAlign w:val="center"/>
          </w:tcPr>
          <w:p w14:paraId="2EB873C7">
            <w:pPr>
              <w:adjustRightInd w:val="0"/>
              <w:snapToGrid w:val="0"/>
              <w:ind w:left="-71" w:leftChars="-34" w:right="-71" w:rightChars="-34"/>
              <w:jc w:val="center"/>
              <w:rPr>
                <w:szCs w:val="21"/>
              </w:rPr>
            </w:pPr>
            <w:r>
              <w:rPr>
                <w:szCs w:val="21"/>
              </w:rPr>
              <w:t>生态</w:t>
            </w:r>
          </w:p>
        </w:tc>
        <w:tc>
          <w:tcPr>
            <w:tcW w:w="7064" w:type="dxa"/>
            <w:noWrap w:val="0"/>
            <w:vAlign w:val="top"/>
          </w:tcPr>
          <w:p w14:paraId="2746E097">
            <w:pPr>
              <w:adjustRightInd w:val="0"/>
              <w:snapToGrid w:val="0"/>
              <w:ind w:left="-71" w:leftChars="-34" w:right="-71" w:rightChars="-34" w:firstLine="420" w:firstLineChars="200"/>
              <w:rPr>
                <w:szCs w:val="21"/>
              </w:rPr>
            </w:pPr>
            <w:r>
              <w:rPr>
                <w:szCs w:val="21"/>
              </w:rPr>
              <w:t>1.水土保持，按照水土流失防治分区落实具体实施并进行绿化；</w:t>
            </w:r>
          </w:p>
          <w:p w14:paraId="6AE636D2">
            <w:pPr>
              <w:adjustRightInd w:val="0"/>
              <w:snapToGrid w:val="0"/>
              <w:ind w:left="-71" w:leftChars="-34" w:right="-71" w:rightChars="-34" w:firstLine="420" w:firstLineChars="200"/>
              <w:rPr>
                <w:szCs w:val="21"/>
              </w:rPr>
            </w:pPr>
            <w:r>
              <w:rPr>
                <w:szCs w:val="21"/>
              </w:rPr>
              <w:t>2.采取生态补偿措施，进行植被恢复，提高植被覆盖度。</w:t>
            </w:r>
          </w:p>
        </w:tc>
        <w:tc>
          <w:tcPr>
            <w:tcW w:w="588" w:type="dxa"/>
            <w:vMerge w:val="continue"/>
            <w:noWrap w:val="0"/>
            <w:vAlign w:val="top"/>
          </w:tcPr>
          <w:p w14:paraId="454F5EBC">
            <w:pPr>
              <w:adjustRightInd w:val="0"/>
              <w:snapToGrid w:val="0"/>
              <w:rPr>
                <w:szCs w:val="21"/>
              </w:rPr>
            </w:pPr>
          </w:p>
        </w:tc>
        <w:tc>
          <w:tcPr>
            <w:tcW w:w="589" w:type="dxa"/>
            <w:vMerge w:val="continue"/>
            <w:noWrap w:val="0"/>
            <w:vAlign w:val="top"/>
          </w:tcPr>
          <w:p w14:paraId="75F8B670">
            <w:pPr>
              <w:adjustRightInd w:val="0"/>
              <w:snapToGrid w:val="0"/>
              <w:rPr>
                <w:szCs w:val="21"/>
              </w:rPr>
            </w:pPr>
          </w:p>
        </w:tc>
        <w:tc>
          <w:tcPr>
            <w:tcW w:w="550" w:type="dxa"/>
            <w:vMerge w:val="continue"/>
            <w:noWrap w:val="0"/>
            <w:vAlign w:val="top"/>
          </w:tcPr>
          <w:p w14:paraId="50DF95AA">
            <w:pPr>
              <w:adjustRightInd w:val="0"/>
              <w:snapToGrid w:val="0"/>
              <w:rPr>
                <w:szCs w:val="21"/>
              </w:rPr>
            </w:pPr>
          </w:p>
        </w:tc>
      </w:tr>
      <w:tr w14:paraId="34E6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97" w:type="dxa"/>
            <w:noWrap w:val="0"/>
            <w:vAlign w:val="center"/>
          </w:tcPr>
          <w:p w14:paraId="16698AB2">
            <w:pPr>
              <w:adjustRightInd w:val="0"/>
              <w:snapToGrid w:val="0"/>
              <w:ind w:left="-71" w:leftChars="-34" w:right="-71" w:rightChars="-34"/>
              <w:jc w:val="center"/>
              <w:rPr>
                <w:szCs w:val="21"/>
              </w:rPr>
            </w:pPr>
            <w:r>
              <w:rPr>
                <w:szCs w:val="21"/>
              </w:rPr>
              <w:t>地下水防渗措施</w:t>
            </w:r>
          </w:p>
        </w:tc>
        <w:tc>
          <w:tcPr>
            <w:tcW w:w="7064" w:type="dxa"/>
            <w:noWrap w:val="0"/>
            <w:vAlign w:val="top"/>
          </w:tcPr>
          <w:p w14:paraId="04A6B319">
            <w:pPr>
              <w:adjustRightInd w:val="0"/>
              <w:snapToGrid w:val="0"/>
              <w:ind w:left="-71" w:leftChars="-34" w:right="-71" w:rightChars="-34" w:firstLine="420" w:firstLineChars="200"/>
              <w:rPr>
                <w:szCs w:val="21"/>
              </w:rPr>
            </w:pPr>
            <w:r>
              <w:rPr>
                <w:szCs w:val="21"/>
              </w:rPr>
              <w:t>施工期监理应该做好隐蔽工程建设及监理台账（影像资料）等的收集与保存，以便环卫部门监管。</w:t>
            </w:r>
          </w:p>
          <w:p w14:paraId="3C597158">
            <w:pPr>
              <w:pStyle w:val="35"/>
              <w:spacing w:after="0"/>
              <w:ind w:firstLine="404" w:firstLineChars="200"/>
              <w:rPr>
                <w:szCs w:val="21"/>
              </w:rPr>
            </w:pPr>
            <w:r>
              <w:rPr>
                <w:spacing w:val="-4"/>
                <w:szCs w:val="21"/>
              </w:rPr>
              <w:t>1、重点防渗区：</w:t>
            </w:r>
            <w:r>
              <w:rPr>
                <w:szCs w:val="21"/>
              </w:rPr>
              <w:t>混凝土地面加铺防渗剂和人工材料（</w:t>
            </w:r>
            <w:r>
              <w:rPr>
                <w:rFonts w:eastAsia="Times New Roman"/>
                <w:szCs w:val="21"/>
              </w:rPr>
              <w:t>HDPE</w:t>
            </w:r>
            <w:r>
              <w:rPr>
                <w:szCs w:val="21"/>
              </w:rPr>
              <w:t>）</w:t>
            </w:r>
            <w:r>
              <w:rPr>
                <w:spacing w:val="-4"/>
                <w:szCs w:val="21"/>
              </w:rPr>
              <w:t>防渗层，确</w:t>
            </w:r>
            <w:r>
              <w:rPr>
                <w:spacing w:val="-7"/>
                <w:szCs w:val="21"/>
              </w:rPr>
              <w:t xml:space="preserve">保等效黏土防渗层 </w:t>
            </w:r>
            <w:r>
              <w:rPr>
                <w:rFonts w:eastAsia="Times New Roman"/>
                <w:szCs w:val="21"/>
              </w:rPr>
              <w:t>Mb≥6.0m</w:t>
            </w:r>
            <w:r>
              <w:rPr>
                <w:szCs w:val="21"/>
              </w:rPr>
              <w:t>，</w:t>
            </w:r>
            <w:r>
              <w:rPr>
                <w:rFonts w:eastAsia="Times New Roman"/>
                <w:szCs w:val="21"/>
              </w:rPr>
              <w:t>K≤1×10</w:t>
            </w:r>
            <w:r>
              <w:rPr>
                <w:szCs w:val="21"/>
                <w:vertAlign w:val="superscript"/>
              </w:rPr>
              <w:t>-7</w:t>
            </w:r>
            <w:r>
              <w:rPr>
                <w:rFonts w:eastAsia="Times New Roman"/>
                <w:position w:val="9"/>
                <w:szCs w:val="21"/>
              </w:rPr>
              <w:t xml:space="preserve"> </w:t>
            </w:r>
            <w:r>
              <w:rPr>
                <w:rFonts w:eastAsia="Times New Roman"/>
                <w:szCs w:val="21"/>
              </w:rPr>
              <w:t>cm/s</w:t>
            </w:r>
            <w:r>
              <w:rPr>
                <w:szCs w:val="21"/>
              </w:rPr>
              <w:t>。</w:t>
            </w:r>
          </w:p>
          <w:p w14:paraId="52802376">
            <w:pPr>
              <w:pStyle w:val="35"/>
              <w:spacing w:after="0"/>
              <w:ind w:firstLine="420" w:firstLineChars="200"/>
              <w:rPr>
                <w:szCs w:val="21"/>
              </w:rPr>
            </w:pPr>
            <w:r>
              <w:rPr>
                <w:szCs w:val="21"/>
              </w:rPr>
              <w:t>2、 对一般防渗区采取的防渗措施：</w:t>
            </w:r>
          </w:p>
          <w:p w14:paraId="29A869CC">
            <w:pPr>
              <w:pStyle w:val="35"/>
              <w:spacing w:after="0"/>
              <w:ind w:firstLine="392" w:firstLineChars="200"/>
              <w:rPr>
                <w:szCs w:val="21"/>
              </w:rPr>
            </w:pPr>
            <w:r>
              <w:rPr>
                <w:spacing w:val="-7"/>
                <w:szCs w:val="21"/>
              </w:rPr>
              <w:t xml:space="preserve">一般防渗区地面采取粘土铺底，等效黏土防渗层 </w:t>
            </w:r>
            <w:r>
              <w:rPr>
                <w:rFonts w:eastAsia="Times New Roman"/>
                <w:spacing w:val="-4"/>
                <w:szCs w:val="21"/>
              </w:rPr>
              <w:t>Mb≥1.5m</w:t>
            </w:r>
            <w:r>
              <w:rPr>
                <w:spacing w:val="-4"/>
                <w:szCs w:val="21"/>
              </w:rPr>
              <w:t>，</w:t>
            </w:r>
            <w:r>
              <w:rPr>
                <w:rFonts w:eastAsia="Times New Roman"/>
                <w:spacing w:val="-4"/>
                <w:szCs w:val="21"/>
              </w:rPr>
              <w:t>K≤1×10</w:t>
            </w:r>
            <w:r>
              <w:rPr>
                <w:spacing w:val="-4"/>
                <w:szCs w:val="21"/>
                <w:vertAlign w:val="superscript"/>
              </w:rPr>
              <w:t>-7</w:t>
            </w:r>
            <w:r>
              <w:rPr>
                <w:rFonts w:eastAsia="Times New Roman"/>
                <w:szCs w:val="21"/>
              </w:rPr>
              <w:t>cm/s</w:t>
            </w:r>
            <w:r>
              <w:rPr>
                <w:szCs w:val="21"/>
              </w:rPr>
              <w:t xml:space="preserve">， </w:t>
            </w:r>
            <w:r>
              <w:rPr>
                <w:spacing w:val="-11"/>
                <w:szCs w:val="21"/>
              </w:rPr>
              <w:t xml:space="preserve">再在上层铺 </w:t>
            </w:r>
            <w:r>
              <w:rPr>
                <w:rFonts w:eastAsia="Times New Roman"/>
                <w:szCs w:val="21"/>
              </w:rPr>
              <w:t xml:space="preserve">10~15cm </w:t>
            </w:r>
            <w:r>
              <w:rPr>
                <w:szCs w:val="21"/>
              </w:rPr>
              <w:t>水泥进行硬化。</w:t>
            </w:r>
          </w:p>
          <w:p w14:paraId="6C179E47">
            <w:pPr>
              <w:ind w:firstLine="420" w:firstLineChars="200"/>
              <w:rPr>
                <w:szCs w:val="21"/>
              </w:rPr>
            </w:pPr>
            <w:r>
              <w:rPr>
                <w:kern w:val="10"/>
                <w:szCs w:val="21"/>
              </w:rPr>
              <w:t>3.简单防渗区：</w:t>
            </w:r>
            <w:r>
              <w:rPr>
                <w:szCs w:val="21"/>
                <w:lang w:bidi="ar"/>
              </w:rPr>
              <w:t>根据</w:t>
            </w:r>
            <w:r>
              <w:rPr>
                <w:szCs w:val="21"/>
              </w:rPr>
              <w:t>HJ610-2016《环境影响评价技术导则 地下水环境》，</w:t>
            </w:r>
            <w:r>
              <w:rPr>
                <w:szCs w:val="21"/>
                <w:lang w:bidi="ar"/>
              </w:rPr>
              <w:t>办公生活区等地面水泥硬化处理。</w:t>
            </w:r>
          </w:p>
        </w:tc>
        <w:tc>
          <w:tcPr>
            <w:tcW w:w="588" w:type="dxa"/>
            <w:vMerge w:val="continue"/>
            <w:noWrap w:val="0"/>
            <w:vAlign w:val="top"/>
          </w:tcPr>
          <w:p w14:paraId="6782C6A8">
            <w:pPr>
              <w:adjustRightInd w:val="0"/>
              <w:snapToGrid w:val="0"/>
              <w:rPr>
                <w:szCs w:val="21"/>
              </w:rPr>
            </w:pPr>
          </w:p>
        </w:tc>
        <w:tc>
          <w:tcPr>
            <w:tcW w:w="589" w:type="dxa"/>
            <w:vMerge w:val="continue"/>
            <w:noWrap w:val="0"/>
            <w:vAlign w:val="top"/>
          </w:tcPr>
          <w:p w14:paraId="01D04952">
            <w:pPr>
              <w:adjustRightInd w:val="0"/>
              <w:snapToGrid w:val="0"/>
              <w:rPr>
                <w:szCs w:val="21"/>
              </w:rPr>
            </w:pPr>
          </w:p>
        </w:tc>
        <w:tc>
          <w:tcPr>
            <w:tcW w:w="550" w:type="dxa"/>
            <w:vMerge w:val="continue"/>
            <w:noWrap w:val="0"/>
            <w:vAlign w:val="top"/>
          </w:tcPr>
          <w:p w14:paraId="3E1F375F">
            <w:pPr>
              <w:adjustRightInd w:val="0"/>
              <w:snapToGrid w:val="0"/>
              <w:rPr>
                <w:szCs w:val="21"/>
              </w:rPr>
            </w:pPr>
          </w:p>
        </w:tc>
      </w:tr>
    </w:tbl>
    <w:p w14:paraId="1B63A0E7">
      <w:pPr>
        <w:pStyle w:val="6"/>
        <w:spacing w:before="0" w:after="0" w:line="360" w:lineRule="auto"/>
        <w:rPr>
          <w:rFonts w:ascii="Times New Roman" w:hAnsi="Times New Roman"/>
          <w:sz w:val="30"/>
          <w:szCs w:val="30"/>
        </w:rPr>
      </w:pPr>
      <w:bookmarkStart w:id="333" w:name="_Toc30941"/>
      <w:bookmarkStart w:id="334" w:name="_Toc14945"/>
      <w:bookmarkStart w:id="335" w:name="_Toc6971_WPSOffice_Level2"/>
      <w:bookmarkStart w:id="336" w:name="_Toc23970"/>
      <w:r>
        <w:rPr>
          <w:rFonts w:ascii="Times New Roman" w:hAnsi="Times New Roman"/>
          <w:sz w:val="30"/>
          <w:szCs w:val="30"/>
        </w:rPr>
        <w:t>9.5环境监测计划</w:t>
      </w:r>
      <w:bookmarkEnd w:id="333"/>
      <w:bookmarkEnd w:id="334"/>
      <w:bookmarkEnd w:id="335"/>
      <w:bookmarkEnd w:id="336"/>
    </w:p>
    <w:p w14:paraId="53C3D67C">
      <w:pPr>
        <w:spacing w:line="360" w:lineRule="auto"/>
        <w:outlineLvl w:val="2"/>
        <w:rPr>
          <w:b/>
          <w:bCs/>
          <w:sz w:val="28"/>
          <w:szCs w:val="28"/>
        </w:rPr>
      </w:pPr>
      <w:bookmarkStart w:id="337" w:name="_Toc32555_WPSOffice_Level3"/>
      <w:bookmarkStart w:id="338" w:name="_Toc12644"/>
      <w:bookmarkStart w:id="339" w:name="_Toc447741670"/>
      <w:bookmarkStart w:id="340" w:name="_Toc3207"/>
      <w:bookmarkStart w:id="341" w:name="_Toc306973756"/>
      <w:bookmarkStart w:id="342" w:name="_Toc282440581"/>
      <w:r>
        <w:rPr>
          <w:b/>
          <w:bCs/>
          <w:sz w:val="28"/>
          <w:szCs w:val="28"/>
        </w:rPr>
        <w:t>9.5.1监测目的</w:t>
      </w:r>
      <w:bookmarkEnd w:id="337"/>
      <w:bookmarkEnd w:id="338"/>
      <w:bookmarkEnd w:id="339"/>
      <w:bookmarkEnd w:id="340"/>
      <w:bookmarkEnd w:id="341"/>
      <w:bookmarkEnd w:id="342"/>
    </w:p>
    <w:p w14:paraId="04C647CC">
      <w:pPr>
        <w:pStyle w:val="10"/>
        <w:spacing w:line="360" w:lineRule="auto"/>
        <w:ind w:firstLine="480"/>
        <w:rPr>
          <w:sz w:val="24"/>
        </w:rPr>
      </w:pPr>
      <w:r>
        <w:rPr>
          <w:sz w:val="24"/>
        </w:rPr>
        <w:t>1、检查、跟踪项目投产后运行过程中各项环保措施的实施情况和效果，掌握环境质量的变化动态；</w:t>
      </w:r>
    </w:p>
    <w:p w14:paraId="1BB35398">
      <w:pPr>
        <w:pStyle w:val="10"/>
        <w:spacing w:line="360" w:lineRule="auto"/>
        <w:ind w:firstLine="480"/>
        <w:rPr>
          <w:sz w:val="24"/>
        </w:rPr>
      </w:pPr>
      <w:r>
        <w:rPr>
          <w:sz w:val="24"/>
        </w:rPr>
        <w:t>2、了解项目环境工程设施的运行状况，确保设施的正常运行；</w:t>
      </w:r>
    </w:p>
    <w:p w14:paraId="3AAF102D">
      <w:pPr>
        <w:pStyle w:val="10"/>
        <w:spacing w:line="360" w:lineRule="auto"/>
        <w:ind w:firstLine="480"/>
        <w:rPr>
          <w:sz w:val="24"/>
        </w:rPr>
      </w:pPr>
      <w:r>
        <w:rPr>
          <w:sz w:val="24"/>
        </w:rPr>
        <w:t>3、了解项目有关的环境质量监控实施情况；</w:t>
      </w:r>
    </w:p>
    <w:p w14:paraId="739DC233">
      <w:pPr>
        <w:pStyle w:val="10"/>
        <w:spacing w:line="360" w:lineRule="auto"/>
        <w:ind w:firstLine="480"/>
        <w:rPr>
          <w:sz w:val="24"/>
        </w:rPr>
      </w:pPr>
      <w:r>
        <w:rPr>
          <w:sz w:val="24"/>
        </w:rPr>
        <w:t>4、为改善项目周围区域环境质量提供技术支持。</w:t>
      </w:r>
    </w:p>
    <w:p w14:paraId="53A1C2A3">
      <w:pPr>
        <w:spacing w:line="360" w:lineRule="auto"/>
        <w:outlineLvl w:val="2"/>
        <w:rPr>
          <w:b/>
          <w:bCs/>
          <w:sz w:val="28"/>
          <w:szCs w:val="28"/>
        </w:rPr>
      </w:pPr>
      <w:bookmarkStart w:id="343" w:name="_Toc13338"/>
      <w:bookmarkStart w:id="344" w:name="_Toc19887_WPSOffice_Level3"/>
      <w:bookmarkStart w:id="345" w:name="_Toc306973757"/>
      <w:bookmarkStart w:id="346" w:name="_Toc282440582"/>
      <w:bookmarkStart w:id="347" w:name="_Toc8787"/>
      <w:bookmarkStart w:id="348" w:name="_Toc447741671"/>
      <w:r>
        <w:rPr>
          <w:b/>
          <w:bCs/>
          <w:sz w:val="28"/>
          <w:szCs w:val="28"/>
        </w:rPr>
        <w:t>9.5.2监测机构</w:t>
      </w:r>
      <w:bookmarkEnd w:id="343"/>
      <w:bookmarkEnd w:id="344"/>
      <w:bookmarkEnd w:id="345"/>
      <w:bookmarkEnd w:id="346"/>
      <w:bookmarkEnd w:id="347"/>
      <w:bookmarkEnd w:id="348"/>
    </w:p>
    <w:p w14:paraId="53B328B6">
      <w:pPr>
        <w:pStyle w:val="10"/>
        <w:spacing w:line="360" w:lineRule="auto"/>
        <w:ind w:firstLine="480"/>
        <w:rPr>
          <w:sz w:val="24"/>
        </w:rPr>
      </w:pPr>
      <w:r>
        <w:rPr>
          <w:sz w:val="24"/>
        </w:rPr>
        <w:t>环境监测工作，是环境管理工作的基础，能及时真实地反映企业排污状况及对环境的污染状况，有利于各级政府部门，特别是环保主管部门的管理工作的顺利开展，有利于环保主管部门对辖区环保的协调统一。</w:t>
      </w:r>
    </w:p>
    <w:p w14:paraId="491EA87B">
      <w:pPr>
        <w:pStyle w:val="10"/>
        <w:spacing w:line="360" w:lineRule="auto"/>
        <w:ind w:firstLine="480"/>
        <w:rPr>
          <w:sz w:val="24"/>
        </w:rPr>
      </w:pPr>
      <w:r>
        <w:rPr>
          <w:sz w:val="24"/>
        </w:rPr>
        <w:t>本项目运营期环境监测应委托具备资质的单位进行监测。</w:t>
      </w:r>
    </w:p>
    <w:p w14:paraId="04C8CA95">
      <w:pPr>
        <w:spacing w:line="360" w:lineRule="auto"/>
        <w:outlineLvl w:val="2"/>
        <w:rPr>
          <w:b/>
          <w:bCs/>
          <w:sz w:val="28"/>
          <w:szCs w:val="28"/>
        </w:rPr>
      </w:pPr>
      <w:bookmarkStart w:id="349" w:name="_Toc15445"/>
      <w:bookmarkStart w:id="350" w:name="_Toc447741672"/>
      <w:bookmarkStart w:id="351" w:name="_Toc306973758"/>
      <w:bookmarkStart w:id="352" w:name="_Toc25181_WPSOffice_Level3"/>
      <w:bookmarkStart w:id="353" w:name="_Toc14050"/>
      <w:bookmarkStart w:id="354" w:name="_Toc282440583"/>
      <w:r>
        <w:rPr>
          <w:b/>
          <w:bCs/>
          <w:sz w:val="28"/>
          <w:szCs w:val="28"/>
        </w:rPr>
        <w:t>9.5.3施工期环境监测计划</w:t>
      </w:r>
      <w:bookmarkEnd w:id="349"/>
      <w:bookmarkEnd w:id="350"/>
      <w:bookmarkEnd w:id="351"/>
      <w:bookmarkEnd w:id="352"/>
      <w:bookmarkEnd w:id="353"/>
      <w:bookmarkEnd w:id="354"/>
    </w:p>
    <w:p w14:paraId="70695BF4">
      <w:pPr>
        <w:pStyle w:val="10"/>
        <w:spacing w:line="360" w:lineRule="auto"/>
        <w:ind w:firstLine="480"/>
        <w:rPr>
          <w:sz w:val="24"/>
        </w:rPr>
      </w:pPr>
      <w:r>
        <w:rPr>
          <w:sz w:val="24"/>
        </w:rPr>
        <w:t>由于本项目工程土方量很小，施工建设时间短，施工期的工作量比较小。项目建设在施工期对外环境的影响比较小，因此本环评在此不做项目施工期的环境监测计划。</w:t>
      </w:r>
    </w:p>
    <w:p w14:paraId="73DC70AD">
      <w:pPr>
        <w:spacing w:line="360" w:lineRule="auto"/>
        <w:outlineLvl w:val="2"/>
        <w:rPr>
          <w:b/>
          <w:bCs/>
          <w:sz w:val="28"/>
          <w:szCs w:val="28"/>
        </w:rPr>
      </w:pPr>
      <w:bookmarkStart w:id="355" w:name="_Toc306973759"/>
      <w:bookmarkStart w:id="356" w:name="_Toc447741673"/>
      <w:bookmarkStart w:id="357" w:name="_Toc18251"/>
      <w:bookmarkStart w:id="358" w:name="_Toc21246"/>
      <w:bookmarkStart w:id="359" w:name="_Toc5651_WPSOffice_Level3"/>
      <w:bookmarkStart w:id="360" w:name="_Toc282440584"/>
      <w:r>
        <w:rPr>
          <w:b/>
          <w:bCs/>
          <w:sz w:val="28"/>
          <w:szCs w:val="28"/>
        </w:rPr>
        <w:t>9.5.4运营期环境监测计划</w:t>
      </w:r>
      <w:bookmarkEnd w:id="355"/>
      <w:bookmarkEnd w:id="356"/>
      <w:bookmarkEnd w:id="357"/>
      <w:bookmarkEnd w:id="358"/>
      <w:bookmarkEnd w:id="359"/>
      <w:bookmarkEnd w:id="360"/>
    </w:p>
    <w:p w14:paraId="3CF403AB">
      <w:pPr>
        <w:pStyle w:val="10"/>
        <w:spacing w:line="360" w:lineRule="auto"/>
        <w:ind w:firstLine="480"/>
        <w:rPr>
          <w:sz w:val="24"/>
        </w:rPr>
      </w:pPr>
      <w:bookmarkStart w:id="361" w:name="_Toc289464660"/>
      <w:r>
        <w:rPr>
          <w:sz w:val="24"/>
        </w:rPr>
        <w:t>为有效地了解建设项目在生产过程中其产污情况和环境现状，为保证建设项目的污染物控制在国家规定范围之内，确保建设项目实现可持续发展，保障职工的身体健康，项目投入营运后，应对建设项目环境影响较大的主要为废气、噪声、地下水，建议进行的监测、监督。</w:t>
      </w:r>
    </w:p>
    <w:bookmarkEnd w:id="361"/>
    <w:p w14:paraId="0D1A2780">
      <w:pPr>
        <w:spacing w:line="360" w:lineRule="auto"/>
        <w:ind w:firstLine="480" w:firstLineChars="200"/>
        <w:rPr>
          <w:sz w:val="24"/>
        </w:rPr>
      </w:pPr>
      <w:r>
        <w:rPr>
          <w:sz w:val="24"/>
        </w:rPr>
        <w:t>（1）污染源监测计划</w:t>
      </w:r>
    </w:p>
    <w:p w14:paraId="05CE1420">
      <w:pPr>
        <w:spacing w:line="360" w:lineRule="auto"/>
        <w:ind w:firstLine="480" w:firstLineChars="200"/>
        <w:rPr>
          <w:sz w:val="24"/>
        </w:rPr>
      </w:pPr>
      <w:r>
        <w:rPr>
          <w:sz w:val="24"/>
        </w:rPr>
        <w:t>根据项目污染物产生特点，确定环境监测的内容如下：</w:t>
      </w:r>
    </w:p>
    <w:p w14:paraId="00BE6771">
      <w:pPr>
        <w:spacing w:line="360" w:lineRule="auto"/>
        <w:ind w:firstLine="480" w:firstLineChars="200"/>
        <w:rPr>
          <w:sz w:val="24"/>
        </w:rPr>
      </w:pPr>
      <w:r>
        <w:rPr>
          <w:sz w:val="24"/>
        </w:rPr>
        <w:t>监测计划见表9.5-1。</w:t>
      </w:r>
    </w:p>
    <w:p w14:paraId="04D2AC6A">
      <w:pPr>
        <w:jc w:val="center"/>
        <w:rPr>
          <w:b/>
          <w:sz w:val="24"/>
          <w:lang w:bidi="ar"/>
        </w:rPr>
      </w:pPr>
      <w:r>
        <w:rPr>
          <w:b/>
          <w:sz w:val="24"/>
          <w:lang w:bidi="ar"/>
        </w:rPr>
        <w:t>表9.5-1 污染源自行监测计划</w:t>
      </w:r>
    </w:p>
    <w:tbl>
      <w:tblPr>
        <w:tblStyle w:val="87"/>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1004"/>
        <w:gridCol w:w="1079"/>
        <w:gridCol w:w="1565"/>
        <w:gridCol w:w="1102"/>
        <w:gridCol w:w="2704"/>
        <w:gridCol w:w="1211"/>
      </w:tblGrid>
      <w:tr w14:paraId="7C6B0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17" w:type="dxa"/>
            <w:shd w:val="clear" w:color="auto" w:fill="D7D7D7"/>
            <w:noWrap w:val="0"/>
            <w:vAlign w:val="center"/>
          </w:tcPr>
          <w:p w14:paraId="5D4D6541">
            <w:pPr>
              <w:pStyle w:val="2251"/>
              <w:autoSpaceDE/>
              <w:autoSpaceDN/>
              <w:jc w:val="center"/>
              <w:rPr>
                <w:rFonts w:ascii="Times New Roman" w:hAnsi="Times New Roman" w:cs="Times New Roman"/>
                <w:b/>
                <w:bCs/>
                <w:sz w:val="21"/>
              </w:rPr>
            </w:pPr>
            <w:r>
              <w:rPr>
                <w:rFonts w:ascii="Times New Roman" w:hAnsi="Times New Roman" w:cs="Times New Roman"/>
                <w:b/>
                <w:bCs/>
                <w:sz w:val="21"/>
              </w:rPr>
              <w:t>序号</w:t>
            </w:r>
          </w:p>
        </w:tc>
        <w:tc>
          <w:tcPr>
            <w:tcW w:w="1004" w:type="dxa"/>
            <w:shd w:val="clear" w:color="auto" w:fill="D7D7D7"/>
            <w:noWrap w:val="0"/>
            <w:vAlign w:val="center"/>
          </w:tcPr>
          <w:p w14:paraId="5BBDD18B">
            <w:pPr>
              <w:pStyle w:val="2251"/>
              <w:autoSpaceDE/>
              <w:autoSpaceDN/>
              <w:jc w:val="center"/>
              <w:rPr>
                <w:rFonts w:ascii="Times New Roman" w:hAnsi="Times New Roman" w:cs="Times New Roman"/>
                <w:b/>
                <w:bCs/>
                <w:sz w:val="21"/>
              </w:rPr>
            </w:pPr>
            <w:r>
              <w:rPr>
                <w:rFonts w:ascii="Times New Roman" w:hAnsi="Times New Roman" w:cs="Times New Roman"/>
                <w:b/>
                <w:bCs/>
                <w:sz w:val="21"/>
              </w:rPr>
              <w:t>污染源名称</w:t>
            </w:r>
          </w:p>
        </w:tc>
        <w:tc>
          <w:tcPr>
            <w:tcW w:w="1079" w:type="dxa"/>
            <w:shd w:val="clear" w:color="auto" w:fill="D7D7D7"/>
            <w:noWrap w:val="0"/>
            <w:vAlign w:val="center"/>
          </w:tcPr>
          <w:p w14:paraId="4E55BEAA">
            <w:pPr>
              <w:pStyle w:val="2251"/>
              <w:autoSpaceDE/>
              <w:autoSpaceDN/>
              <w:jc w:val="center"/>
              <w:rPr>
                <w:rFonts w:ascii="Times New Roman" w:hAnsi="Times New Roman" w:cs="Times New Roman"/>
                <w:b/>
                <w:bCs/>
                <w:sz w:val="21"/>
              </w:rPr>
            </w:pPr>
            <w:r>
              <w:rPr>
                <w:rFonts w:ascii="Times New Roman" w:hAnsi="Times New Roman" w:cs="Times New Roman"/>
                <w:b/>
                <w:bCs/>
                <w:sz w:val="21"/>
              </w:rPr>
              <w:t>监测点位</w:t>
            </w:r>
          </w:p>
        </w:tc>
        <w:tc>
          <w:tcPr>
            <w:tcW w:w="1565" w:type="dxa"/>
            <w:shd w:val="clear" w:color="auto" w:fill="D7D7D7"/>
            <w:noWrap w:val="0"/>
            <w:vAlign w:val="center"/>
          </w:tcPr>
          <w:p w14:paraId="21697D4A">
            <w:pPr>
              <w:pStyle w:val="2251"/>
              <w:autoSpaceDE/>
              <w:autoSpaceDN/>
              <w:jc w:val="center"/>
              <w:rPr>
                <w:rFonts w:ascii="Times New Roman" w:hAnsi="Times New Roman" w:cs="Times New Roman"/>
                <w:b/>
                <w:bCs/>
                <w:sz w:val="21"/>
              </w:rPr>
            </w:pPr>
            <w:r>
              <w:rPr>
                <w:rFonts w:ascii="Times New Roman" w:hAnsi="Times New Roman" w:cs="Times New Roman"/>
                <w:b/>
                <w:bCs/>
                <w:sz w:val="21"/>
              </w:rPr>
              <w:t>监测因子</w:t>
            </w:r>
          </w:p>
        </w:tc>
        <w:tc>
          <w:tcPr>
            <w:tcW w:w="1102" w:type="dxa"/>
            <w:shd w:val="clear" w:color="auto" w:fill="D7D7D7"/>
            <w:noWrap w:val="0"/>
            <w:vAlign w:val="center"/>
          </w:tcPr>
          <w:p w14:paraId="7C035A78">
            <w:pPr>
              <w:pStyle w:val="2251"/>
              <w:autoSpaceDE/>
              <w:autoSpaceDN/>
              <w:jc w:val="center"/>
              <w:rPr>
                <w:rFonts w:ascii="Times New Roman" w:hAnsi="Times New Roman" w:cs="Times New Roman"/>
                <w:b/>
                <w:bCs/>
                <w:sz w:val="21"/>
              </w:rPr>
            </w:pPr>
            <w:r>
              <w:rPr>
                <w:rFonts w:ascii="Times New Roman" w:hAnsi="Times New Roman" w:cs="Times New Roman"/>
                <w:b/>
                <w:bCs/>
                <w:sz w:val="21"/>
              </w:rPr>
              <w:t>监测频次</w:t>
            </w:r>
          </w:p>
        </w:tc>
        <w:tc>
          <w:tcPr>
            <w:tcW w:w="2704" w:type="dxa"/>
            <w:shd w:val="clear" w:color="auto" w:fill="D7D7D7"/>
            <w:noWrap w:val="0"/>
            <w:vAlign w:val="center"/>
          </w:tcPr>
          <w:p w14:paraId="1E541BC9">
            <w:pPr>
              <w:pStyle w:val="2251"/>
              <w:autoSpaceDE/>
              <w:autoSpaceDN/>
              <w:jc w:val="center"/>
              <w:rPr>
                <w:rFonts w:ascii="Times New Roman" w:hAnsi="Times New Roman" w:cs="Times New Roman"/>
                <w:b/>
                <w:bCs/>
                <w:sz w:val="21"/>
              </w:rPr>
            </w:pPr>
            <w:r>
              <w:rPr>
                <w:rFonts w:ascii="Times New Roman" w:hAnsi="Times New Roman" w:cs="Times New Roman"/>
                <w:b/>
                <w:bCs/>
                <w:sz w:val="21"/>
              </w:rPr>
              <w:t>监测分析方法、采集与处理方法</w:t>
            </w:r>
          </w:p>
        </w:tc>
        <w:tc>
          <w:tcPr>
            <w:tcW w:w="1211" w:type="dxa"/>
            <w:shd w:val="clear" w:color="auto" w:fill="D7D7D7"/>
            <w:noWrap w:val="0"/>
            <w:vAlign w:val="center"/>
          </w:tcPr>
          <w:p w14:paraId="575B3771">
            <w:pPr>
              <w:pStyle w:val="2251"/>
              <w:autoSpaceDE/>
              <w:autoSpaceDN/>
              <w:jc w:val="center"/>
              <w:rPr>
                <w:rFonts w:ascii="Times New Roman" w:hAnsi="Times New Roman" w:cs="Times New Roman"/>
                <w:b/>
                <w:bCs/>
                <w:sz w:val="21"/>
              </w:rPr>
            </w:pPr>
            <w:r>
              <w:rPr>
                <w:rFonts w:ascii="Times New Roman" w:hAnsi="Times New Roman" w:cs="Times New Roman"/>
                <w:b/>
                <w:bCs/>
                <w:sz w:val="21"/>
              </w:rPr>
              <w:t>测试要求</w:t>
            </w:r>
          </w:p>
        </w:tc>
      </w:tr>
      <w:tr w14:paraId="66C4E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417" w:type="dxa"/>
            <w:noWrap w:val="0"/>
            <w:vAlign w:val="center"/>
          </w:tcPr>
          <w:p w14:paraId="045BEEDA">
            <w:pPr>
              <w:pStyle w:val="2251"/>
              <w:autoSpaceDE/>
              <w:autoSpaceDN/>
              <w:jc w:val="center"/>
              <w:rPr>
                <w:rFonts w:ascii="Times New Roman" w:hAnsi="Times New Roman" w:cs="Times New Roman"/>
              </w:rPr>
            </w:pPr>
          </w:p>
          <w:p w14:paraId="24D8905E">
            <w:pPr>
              <w:pStyle w:val="2251"/>
              <w:autoSpaceDE/>
              <w:autoSpaceDN/>
              <w:jc w:val="center"/>
              <w:rPr>
                <w:rFonts w:ascii="Times New Roman" w:hAnsi="Times New Roman" w:cs="Times New Roman"/>
                <w:sz w:val="21"/>
              </w:rPr>
            </w:pPr>
          </w:p>
          <w:p w14:paraId="2F81DDA5">
            <w:pPr>
              <w:pStyle w:val="2251"/>
              <w:autoSpaceDE/>
              <w:autoSpaceDN/>
              <w:jc w:val="center"/>
              <w:rPr>
                <w:rFonts w:ascii="Times New Roman" w:hAnsi="Times New Roman" w:cs="Times New Roman"/>
                <w:sz w:val="21"/>
              </w:rPr>
            </w:pPr>
            <w:r>
              <w:rPr>
                <w:rFonts w:ascii="Times New Roman" w:hAnsi="Times New Roman" w:cs="Times New Roman"/>
                <w:sz w:val="21"/>
              </w:rPr>
              <w:t>1</w:t>
            </w:r>
          </w:p>
        </w:tc>
        <w:tc>
          <w:tcPr>
            <w:tcW w:w="1004" w:type="dxa"/>
            <w:noWrap w:val="0"/>
            <w:vAlign w:val="center"/>
          </w:tcPr>
          <w:p w14:paraId="777F5A02">
            <w:pPr>
              <w:pStyle w:val="2251"/>
              <w:autoSpaceDE/>
              <w:autoSpaceDN/>
              <w:jc w:val="center"/>
              <w:rPr>
                <w:rFonts w:ascii="Times New Roman" w:hAnsi="Times New Roman" w:cs="Times New Roman"/>
                <w:sz w:val="20"/>
              </w:rPr>
            </w:pPr>
          </w:p>
          <w:p w14:paraId="792EA59F">
            <w:pPr>
              <w:pStyle w:val="2251"/>
              <w:autoSpaceDE/>
              <w:autoSpaceDN/>
              <w:jc w:val="center"/>
              <w:rPr>
                <w:rFonts w:ascii="Times New Roman" w:hAnsi="Times New Roman" w:cs="Times New Roman"/>
              </w:rPr>
            </w:pPr>
          </w:p>
          <w:p w14:paraId="261BEE88">
            <w:pPr>
              <w:pStyle w:val="2251"/>
              <w:autoSpaceDE/>
              <w:autoSpaceDN/>
              <w:jc w:val="center"/>
              <w:rPr>
                <w:rFonts w:ascii="Times New Roman" w:hAnsi="Times New Roman" w:cs="Times New Roman"/>
                <w:sz w:val="21"/>
              </w:rPr>
            </w:pPr>
            <w:r>
              <w:rPr>
                <w:rFonts w:ascii="Times New Roman" w:hAnsi="Times New Roman" w:cs="Times New Roman"/>
                <w:sz w:val="21"/>
              </w:rPr>
              <w:t>无组织废气</w:t>
            </w:r>
          </w:p>
        </w:tc>
        <w:tc>
          <w:tcPr>
            <w:tcW w:w="1079" w:type="dxa"/>
            <w:noWrap w:val="0"/>
            <w:vAlign w:val="center"/>
          </w:tcPr>
          <w:p w14:paraId="7EA1E319">
            <w:pPr>
              <w:pStyle w:val="2251"/>
              <w:autoSpaceDE/>
              <w:autoSpaceDN/>
              <w:jc w:val="center"/>
              <w:rPr>
                <w:rFonts w:ascii="Times New Roman" w:hAnsi="Times New Roman" w:cs="Times New Roman"/>
                <w:sz w:val="20"/>
              </w:rPr>
            </w:pPr>
          </w:p>
          <w:p w14:paraId="3C695B08">
            <w:pPr>
              <w:pStyle w:val="2251"/>
              <w:autoSpaceDE/>
              <w:autoSpaceDN/>
              <w:jc w:val="center"/>
              <w:rPr>
                <w:rFonts w:ascii="Times New Roman" w:hAnsi="Times New Roman" w:cs="Times New Roman"/>
                <w:sz w:val="21"/>
              </w:rPr>
            </w:pPr>
            <w:r>
              <w:rPr>
                <w:rFonts w:ascii="Times New Roman" w:hAnsi="Times New Roman" w:cs="Times New Roman"/>
                <w:sz w:val="21"/>
              </w:rPr>
              <w:t>厂界</w:t>
            </w:r>
          </w:p>
        </w:tc>
        <w:tc>
          <w:tcPr>
            <w:tcW w:w="1565" w:type="dxa"/>
            <w:noWrap w:val="0"/>
            <w:vAlign w:val="center"/>
          </w:tcPr>
          <w:p w14:paraId="608B7D25">
            <w:pPr>
              <w:pStyle w:val="2251"/>
              <w:autoSpaceDE/>
              <w:autoSpaceDN/>
              <w:jc w:val="center"/>
              <w:rPr>
                <w:rFonts w:ascii="Times New Roman" w:hAnsi="Times New Roman" w:cs="Times New Roman"/>
                <w:sz w:val="24"/>
              </w:rPr>
            </w:pPr>
          </w:p>
          <w:p w14:paraId="7792A5DD">
            <w:pPr>
              <w:pStyle w:val="2251"/>
              <w:autoSpaceDE/>
              <w:autoSpaceDN/>
              <w:jc w:val="center"/>
              <w:rPr>
                <w:rFonts w:ascii="Times New Roman" w:hAnsi="Times New Roman" w:cs="Times New Roman"/>
                <w:sz w:val="18"/>
              </w:rPr>
            </w:pPr>
          </w:p>
          <w:p w14:paraId="32A62D15">
            <w:pPr>
              <w:pStyle w:val="2251"/>
              <w:autoSpaceDE/>
              <w:autoSpaceDN/>
              <w:jc w:val="center"/>
              <w:rPr>
                <w:rFonts w:ascii="Times New Roman" w:hAnsi="Times New Roman" w:eastAsia="Times New Roman" w:cs="Times New Roman"/>
                <w:sz w:val="21"/>
              </w:rPr>
            </w:pPr>
            <w:r>
              <w:rPr>
                <w:rFonts w:ascii="Times New Roman" w:hAnsi="Times New Roman" w:cs="Times New Roman"/>
                <w:spacing w:val="-17"/>
                <w:sz w:val="21"/>
              </w:rPr>
              <w:t>臭气浓度、</w:t>
            </w:r>
            <w:r>
              <w:rPr>
                <w:rFonts w:ascii="Times New Roman" w:hAnsi="Times New Roman" w:eastAsia="Times New Roman" w:cs="Times New Roman"/>
                <w:sz w:val="21"/>
              </w:rPr>
              <w:t>NH</w:t>
            </w:r>
            <w:r>
              <w:rPr>
                <w:rFonts w:ascii="Times New Roman" w:hAnsi="Times New Roman" w:eastAsia="Times New Roman" w:cs="Times New Roman"/>
                <w:sz w:val="21"/>
                <w:vertAlign w:val="subscript"/>
              </w:rPr>
              <w:t>3</w:t>
            </w:r>
            <w:r>
              <w:rPr>
                <w:rFonts w:ascii="Times New Roman" w:hAnsi="Times New Roman" w:cs="Times New Roman"/>
                <w:spacing w:val="-77"/>
                <w:sz w:val="21"/>
              </w:rPr>
              <w:t>、</w:t>
            </w:r>
            <w:r>
              <w:rPr>
                <w:rFonts w:ascii="Times New Roman" w:hAnsi="Times New Roman" w:eastAsia="Times New Roman" w:cs="Times New Roman"/>
                <w:sz w:val="21"/>
              </w:rPr>
              <w:t>H</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S</w:t>
            </w:r>
          </w:p>
        </w:tc>
        <w:tc>
          <w:tcPr>
            <w:tcW w:w="1102" w:type="dxa"/>
            <w:noWrap w:val="0"/>
            <w:vAlign w:val="center"/>
          </w:tcPr>
          <w:p w14:paraId="2B5E423B">
            <w:pPr>
              <w:pStyle w:val="2251"/>
              <w:autoSpaceDE/>
              <w:autoSpaceDN/>
              <w:jc w:val="center"/>
              <w:rPr>
                <w:rFonts w:ascii="Times New Roman" w:hAnsi="Times New Roman" w:cs="Times New Roman"/>
              </w:rPr>
            </w:pPr>
          </w:p>
          <w:p w14:paraId="3056F42D">
            <w:pPr>
              <w:pStyle w:val="2251"/>
              <w:autoSpaceDE/>
              <w:autoSpaceDN/>
              <w:jc w:val="center"/>
              <w:rPr>
                <w:rFonts w:ascii="Times New Roman" w:hAnsi="Times New Roman" w:cs="Times New Roman"/>
                <w:sz w:val="20"/>
              </w:rPr>
            </w:pPr>
          </w:p>
          <w:p w14:paraId="37F0C44B">
            <w:pPr>
              <w:pStyle w:val="2251"/>
              <w:autoSpaceDE/>
              <w:autoSpaceDN/>
              <w:jc w:val="center"/>
              <w:rPr>
                <w:rFonts w:ascii="Times New Roman" w:hAnsi="Times New Roman" w:cs="Times New Roman"/>
                <w:sz w:val="21"/>
              </w:rPr>
            </w:pPr>
            <w:r>
              <w:rPr>
                <w:rFonts w:ascii="Times New Roman" w:hAnsi="Times New Roman" w:cs="Times New Roman"/>
                <w:sz w:val="21"/>
              </w:rPr>
              <w:t xml:space="preserve">每年 </w:t>
            </w:r>
            <w:r>
              <w:rPr>
                <w:rFonts w:ascii="Times New Roman" w:hAnsi="Times New Roman" w:eastAsia="Times New Roman" w:cs="Times New Roman"/>
                <w:sz w:val="21"/>
              </w:rPr>
              <w:t xml:space="preserve">1 </w:t>
            </w:r>
            <w:r>
              <w:rPr>
                <w:rFonts w:ascii="Times New Roman" w:hAnsi="Times New Roman" w:cs="Times New Roman"/>
                <w:sz w:val="21"/>
              </w:rPr>
              <w:t>次</w:t>
            </w:r>
          </w:p>
        </w:tc>
        <w:tc>
          <w:tcPr>
            <w:tcW w:w="2704" w:type="dxa"/>
            <w:vMerge w:val="restart"/>
            <w:noWrap w:val="0"/>
            <w:vAlign w:val="center"/>
          </w:tcPr>
          <w:p w14:paraId="2EF998F1">
            <w:pPr>
              <w:pStyle w:val="2251"/>
              <w:autoSpaceDE/>
              <w:autoSpaceDN/>
              <w:jc w:val="center"/>
              <w:rPr>
                <w:rFonts w:ascii="Times New Roman" w:hAnsi="Times New Roman" w:cs="Times New Roman"/>
                <w:sz w:val="21"/>
              </w:rPr>
            </w:pPr>
            <w:r>
              <w:rPr>
                <w:rFonts w:ascii="Times New Roman" w:hAnsi="Times New Roman" w:cs="Times New Roman"/>
                <w:spacing w:val="-5"/>
                <w:sz w:val="21"/>
              </w:rPr>
              <w:t>按照《空气和废气监测分析方法》</w:t>
            </w:r>
            <w:r>
              <w:rPr>
                <w:rFonts w:ascii="Times New Roman" w:hAnsi="Times New Roman" w:eastAsia="Times New Roman" w:cs="Times New Roman"/>
                <w:sz w:val="21"/>
              </w:rPr>
              <w:t>(</w:t>
            </w:r>
            <w:r>
              <w:rPr>
                <w:rFonts w:ascii="Times New Roman" w:hAnsi="Times New Roman" w:cs="Times New Roman"/>
                <w:spacing w:val="-2"/>
                <w:sz w:val="21"/>
              </w:rPr>
              <w:t>第四版</w:t>
            </w:r>
            <w:r>
              <w:rPr>
                <w:rFonts w:ascii="Times New Roman" w:hAnsi="Times New Roman" w:eastAsia="Times New Roman" w:cs="Times New Roman"/>
                <w:sz w:val="21"/>
              </w:rPr>
              <w:t>)</w:t>
            </w:r>
            <w:r>
              <w:rPr>
                <w:rFonts w:ascii="Times New Roman" w:hAnsi="Times New Roman" w:cs="Times New Roman"/>
                <w:sz w:val="21"/>
              </w:rPr>
              <w:t>《环境监测技术规范》、《固定源废气监测技术规范》（</w:t>
            </w:r>
            <w:r>
              <w:rPr>
                <w:rFonts w:ascii="Times New Roman" w:hAnsi="Times New Roman" w:eastAsia="Times New Roman" w:cs="Times New Roman"/>
                <w:sz w:val="21"/>
              </w:rPr>
              <w:t>HJ/T397-2007</w:t>
            </w:r>
            <w:r>
              <w:rPr>
                <w:rFonts w:ascii="Times New Roman" w:hAnsi="Times New Roman" w:cs="Times New Roman"/>
                <w:sz w:val="21"/>
              </w:rPr>
              <w:t>）、《固定污染源监测质量保证与质量控制技术规定》</w:t>
            </w:r>
          </w:p>
          <w:p w14:paraId="642DBBF4">
            <w:pPr>
              <w:pStyle w:val="2251"/>
              <w:autoSpaceDE/>
              <w:autoSpaceDN/>
              <w:jc w:val="center"/>
              <w:rPr>
                <w:rFonts w:ascii="Times New Roman" w:hAnsi="Times New Roman" w:cs="Times New Roman"/>
                <w:sz w:val="21"/>
              </w:rPr>
            </w:pPr>
            <w:r>
              <w:rPr>
                <w:rFonts w:ascii="Times New Roman" w:hAnsi="Times New Roman" w:cs="Times New Roman"/>
                <w:sz w:val="21"/>
              </w:rPr>
              <w:t>（</w:t>
            </w:r>
            <w:r>
              <w:rPr>
                <w:rFonts w:ascii="Times New Roman" w:hAnsi="Times New Roman" w:eastAsia="Times New Roman" w:cs="Times New Roman"/>
                <w:sz w:val="21"/>
              </w:rPr>
              <w:t>HJ/T373-2007</w:t>
            </w:r>
            <w:r>
              <w:rPr>
                <w:rFonts w:ascii="Times New Roman" w:hAnsi="Times New Roman" w:cs="Times New Roman"/>
                <w:sz w:val="21"/>
              </w:rPr>
              <w:t>）的有关规定进行</w:t>
            </w:r>
          </w:p>
        </w:tc>
        <w:tc>
          <w:tcPr>
            <w:tcW w:w="1211" w:type="dxa"/>
            <w:noWrap w:val="0"/>
            <w:vAlign w:val="center"/>
          </w:tcPr>
          <w:p w14:paraId="5F2C6988">
            <w:pPr>
              <w:pStyle w:val="2251"/>
              <w:autoSpaceDE/>
              <w:autoSpaceDN/>
              <w:jc w:val="center"/>
              <w:rPr>
                <w:rFonts w:ascii="Times New Roman" w:hAnsi="Times New Roman" w:cs="Times New Roman"/>
                <w:sz w:val="20"/>
              </w:rPr>
            </w:pPr>
          </w:p>
          <w:p w14:paraId="7BDFC887">
            <w:pPr>
              <w:pStyle w:val="2251"/>
              <w:autoSpaceDE/>
              <w:autoSpaceDN/>
              <w:jc w:val="center"/>
              <w:rPr>
                <w:rFonts w:ascii="Times New Roman" w:hAnsi="Times New Roman" w:cs="Times New Roman"/>
                <w:sz w:val="21"/>
              </w:rPr>
            </w:pPr>
            <w:r>
              <w:rPr>
                <w:rFonts w:ascii="Times New Roman" w:hAnsi="Times New Roman" w:cs="Times New Roman"/>
                <w:spacing w:val="-15"/>
                <w:sz w:val="21"/>
              </w:rPr>
              <w:t>记录工况、生产负荷等</w:t>
            </w:r>
          </w:p>
        </w:tc>
      </w:tr>
      <w:tr w14:paraId="2D16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417" w:type="dxa"/>
            <w:noWrap w:val="0"/>
            <w:vAlign w:val="center"/>
          </w:tcPr>
          <w:p w14:paraId="26878CDE">
            <w:pPr>
              <w:pStyle w:val="2251"/>
              <w:autoSpaceDE/>
              <w:autoSpaceDN/>
              <w:jc w:val="center"/>
              <w:rPr>
                <w:rFonts w:ascii="Times New Roman" w:hAnsi="Times New Roman" w:cs="Times New Roman"/>
                <w:sz w:val="21"/>
              </w:rPr>
            </w:pPr>
            <w:r>
              <w:rPr>
                <w:rFonts w:ascii="Times New Roman" w:hAnsi="Times New Roman" w:cs="Times New Roman"/>
                <w:sz w:val="21"/>
              </w:rPr>
              <w:t>2</w:t>
            </w:r>
          </w:p>
        </w:tc>
        <w:tc>
          <w:tcPr>
            <w:tcW w:w="1004" w:type="dxa"/>
            <w:noWrap w:val="0"/>
            <w:vAlign w:val="center"/>
          </w:tcPr>
          <w:p w14:paraId="2015A159">
            <w:pPr>
              <w:pStyle w:val="2251"/>
              <w:autoSpaceDE/>
              <w:autoSpaceDN/>
              <w:jc w:val="center"/>
              <w:rPr>
                <w:rFonts w:ascii="Times New Roman" w:hAnsi="Times New Roman" w:cs="Times New Roman"/>
                <w:sz w:val="21"/>
              </w:rPr>
            </w:pPr>
            <w:r>
              <w:rPr>
                <w:rFonts w:ascii="Times New Roman" w:hAnsi="Times New Roman" w:cs="Times New Roman"/>
                <w:sz w:val="21"/>
              </w:rPr>
              <w:t>有组织废气</w:t>
            </w:r>
          </w:p>
        </w:tc>
        <w:tc>
          <w:tcPr>
            <w:tcW w:w="1079" w:type="dxa"/>
            <w:noWrap w:val="0"/>
            <w:vAlign w:val="center"/>
          </w:tcPr>
          <w:p w14:paraId="0F64AF97">
            <w:pPr>
              <w:pStyle w:val="2251"/>
              <w:autoSpaceDE/>
              <w:autoSpaceDN/>
              <w:jc w:val="center"/>
              <w:rPr>
                <w:rFonts w:ascii="Times New Roman" w:hAnsi="Times New Roman" w:cs="Times New Roman"/>
                <w:sz w:val="21"/>
              </w:rPr>
            </w:pPr>
            <w:r>
              <w:rPr>
                <w:rFonts w:ascii="Times New Roman" w:hAnsi="Times New Roman" w:cs="Times New Roman"/>
                <w:sz w:val="21"/>
              </w:rPr>
              <w:t>病死猪无害化处置废气排放口</w:t>
            </w:r>
          </w:p>
        </w:tc>
        <w:tc>
          <w:tcPr>
            <w:tcW w:w="1565" w:type="dxa"/>
            <w:noWrap w:val="0"/>
            <w:vAlign w:val="center"/>
          </w:tcPr>
          <w:p w14:paraId="5E521317">
            <w:pPr>
              <w:pStyle w:val="2251"/>
              <w:autoSpaceDE/>
              <w:autoSpaceDN/>
              <w:jc w:val="center"/>
              <w:rPr>
                <w:rFonts w:ascii="Times New Roman" w:hAnsi="Times New Roman" w:cs="Times New Roman"/>
                <w:spacing w:val="-17"/>
                <w:sz w:val="21"/>
              </w:rPr>
            </w:pPr>
            <w:r>
              <w:rPr>
                <w:rFonts w:ascii="Times New Roman" w:hAnsi="Times New Roman" w:cs="Times New Roman"/>
                <w:spacing w:val="-17"/>
                <w:sz w:val="21"/>
              </w:rPr>
              <w:t>臭气浓度、</w:t>
            </w:r>
            <w:r>
              <w:rPr>
                <w:rFonts w:ascii="Times New Roman" w:hAnsi="Times New Roman" w:eastAsia="Times New Roman" w:cs="Times New Roman"/>
                <w:sz w:val="21"/>
              </w:rPr>
              <w:t>NH</w:t>
            </w:r>
            <w:r>
              <w:rPr>
                <w:rFonts w:ascii="Times New Roman" w:hAnsi="Times New Roman" w:eastAsia="Times New Roman" w:cs="Times New Roman"/>
                <w:sz w:val="21"/>
                <w:vertAlign w:val="subscript"/>
              </w:rPr>
              <w:t>3</w:t>
            </w:r>
            <w:r>
              <w:rPr>
                <w:rFonts w:ascii="Times New Roman" w:hAnsi="Times New Roman" w:cs="Times New Roman"/>
                <w:spacing w:val="-77"/>
                <w:sz w:val="21"/>
              </w:rPr>
              <w:t>、</w:t>
            </w:r>
            <w:r>
              <w:rPr>
                <w:rFonts w:ascii="Times New Roman" w:hAnsi="Times New Roman" w:eastAsia="Times New Roman" w:cs="Times New Roman"/>
                <w:sz w:val="21"/>
              </w:rPr>
              <w:t>H</w:t>
            </w:r>
            <w:r>
              <w:rPr>
                <w:rFonts w:ascii="Times New Roman" w:hAnsi="Times New Roman" w:eastAsia="Times New Roman" w:cs="Times New Roman"/>
                <w:sz w:val="21"/>
                <w:vertAlign w:val="subscript"/>
              </w:rPr>
              <w:t>2</w:t>
            </w:r>
            <w:r>
              <w:rPr>
                <w:rFonts w:ascii="Times New Roman" w:hAnsi="Times New Roman" w:eastAsia="Times New Roman" w:cs="Times New Roman"/>
                <w:sz w:val="21"/>
              </w:rPr>
              <w:t>S</w:t>
            </w:r>
            <w:r>
              <w:rPr>
                <w:rFonts w:ascii="Times New Roman" w:hAnsi="Times New Roman" w:cs="Times New Roman"/>
                <w:sz w:val="21"/>
              </w:rPr>
              <w:t>、二甲二硫</w:t>
            </w:r>
          </w:p>
        </w:tc>
        <w:tc>
          <w:tcPr>
            <w:tcW w:w="1102" w:type="dxa"/>
            <w:noWrap w:val="0"/>
            <w:vAlign w:val="center"/>
          </w:tcPr>
          <w:p w14:paraId="15D14D95">
            <w:pPr>
              <w:pStyle w:val="2251"/>
              <w:autoSpaceDE/>
              <w:autoSpaceDN/>
              <w:jc w:val="center"/>
              <w:rPr>
                <w:rFonts w:ascii="Times New Roman" w:hAnsi="Times New Roman" w:cs="Times New Roman"/>
                <w:sz w:val="21"/>
              </w:rPr>
            </w:pPr>
            <w:r>
              <w:rPr>
                <w:rFonts w:ascii="Times New Roman" w:hAnsi="Times New Roman" w:cs="Times New Roman"/>
                <w:sz w:val="21"/>
              </w:rPr>
              <w:t xml:space="preserve">每半年 </w:t>
            </w:r>
            <w:r>
              <w:rPr>
                <w:rFonts w:ascii="Times New Roman" w:hAnsi="Times New Roman" w:eastAsia="Times New Roman" w:cs="Times New Roman"/>
                <w:sz w:val="21"/>
              </w:rPr>
              <w:t xml:space="preserve">1 </w:t>
            </w:r>
            <w:r>
              <w:rPr>
                <w:rFonts w:ascii="Times New Roman" w:hAnsi="Times New Roman" w:cs="Times New Roman"/>
                <w:sz w:val="21"/>
              </w:rPr>
              <w:t>次</w:t>
            </w:r>
          </w:p>
        </w:tc>
        <w:tc>
          <w:tcPr>
            <w:tcW w:w="2704" w:type="dxa"/>
            <w:vMerge w:val="continue"/>
            <w:noWrap w:val="0"/>
            <w:vAlign w:val="center"/>
          </w:tcPr>
          <w:p w14:paraId="1B959323">
            <w:pPr>
              <w:pStyle w:val="2251"/>
              <w:autoSpaceDE/>
              <w:autoSpaceDN/>
              <w:jc w:val="center"/>
              <w:rPr>
                <w:rFonts w:ascii="Times New Roman" w:hAnsi="Times New Roman" w:cs="Times New Roman"/>
                <w:sz w:val="21"/>
              </w:rPr>
            </w:pPr>
          </w:p>
        </w:tc>
        <w:tc>
          <w:tcPr>
            <w:tcW w:w="1211" w:type="dxa"/>
            <w:noWrap w:val="0"/>
            <w:vAlign w:val="center"/>
          </w:tcPr>
          <w:p w14:paraId="033953BD">
            <w:pPr>
              <w:pStyle w:val="2251"/>
              <w:autoSpaceDE/>
              <w:autoSpaceDN/>
              <w:jc w:val="center"/>
              <w:rPr>
                <w:rFonts w:ascii="Times New Roman" w:hAnsi="Times New Roman" w:cs="Times New Roman"/>
                <w:spacing w:val="-15"/>
                <w:sz w:val="21"/>
              </w:rPr>
            </w:pPr>
            <w:r>
              <w:rPr>
                <w:rFonts w:ascii="Times New Roman" w:hAnsi="Times New Roman" w:cs="Times New Roman"/>
                <w:spacing w:val="-15"/>
                <w:sz w:val="21"/>
              </w:rPr>
              <w:t>记录工况、生产负荷等</w:t>
            </w:r>
          </w:p>
        </w:tc>
      </w:tr>
      <w:tr w14:paraId="3171D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417" w:type="dxa"/>
            <w:vMerge w:val="restart"/>
            <w:noWrap w:val="0"/>
            <w:vAlign w:val="center"/>
          </w:tcPr>
          <w:p w14:paraId="51BEDEBF">
            <w:pPr>
              <w:pStyle w:val="2251"/>
              <w:autoSpaceDE/>
              <w:autoSpaceDN/>
              <w:jc w:val="center"/>
              <w:rPr>
                <w:rFonts w:ascii="Times New Roman" w:hAnsi="Times New Roman" w:cs="Times New Roman"/>
              </w:rPr>
            </w:pPr>
          </w:p>
          <w:p w14:paraId="523F5A2C">
            <w:pPr>
              <w:pStyle w:val="2251"/>
              <w:autoSpaceDE/>
              <w:autoSpaceDN/>
              <w:jc w:val="center"/>
              <w:rPr>
                <w:rFonts w:ascii="Times New Roman" w:hAnsi="Times New Roman" w:cs="Times New Roman"/>
                <w:sz w:val="21"/>
              </w:rPr>
            </w:pPr>
          </w:p>
          <w:p w14:paraId="0C4CE5B7">
            <w:pPr>
              <w:pStyle w:val="2251"/>
              <w:autoSpaceDE/>
              <w:autoSpaceDN/>
              <w:jc w:val="center"/>
              <w:rPr>
                <w:rFonts w:ascii="Times New Roman" w:hAnsi="Times New Roman" w:cs="Times New Roman"/>
                <w:sz w:val="21"/>
              </w:rPr>
            </w:pPr>
            <w:r>
              <w:rPr>
                <w:rFonts w:ascii="Times New Roman" w:hAnsi="Times New Roman" w:cs="Times New Roman"/>
                <w:sz w:val="21"/>
              </w:rPr>
              <w:t>3</w:t>
            </w:r>
          </w:p>
        </w:tc>
        <w:tc>
          <w:tcPr>
            <w:tcW w:w="1004" w:type="dxa"/>
            <w:vMerge w:val="restart"/>
            <w:noWrap w:val="0"/>
            <w:vAlign w:val="center"/>
          </w:tcPr>
          <w:p w14:paraId="79D74009">
            <w:pPr>
              <w:pStyle w:val="2251"/>
              <w:autoSpaceDE/>
              <w:autoSpaceDN/>
              <w:jc w:val="center"/>
              <w:rPr>
                <w:rFonts w:ascii="Times New Roman" w:hAnsi="Times New Roman" w:cs="Times New Roman"/>
                <w:sz w:val="20"/>
              </w:rPr>
            </w:pPr>
          </w:p>
          <w:p w14:paraId="495C1C08">
            <w:pPr>
              <w:pStyle w:val="2251"/>
              <w:autoSpaceDE/>
              <w:autoSpaceDN/>
              <w:jc w:val="center"/>
              <w:rPr>
                <w:rFonts w:ascii="Times New Roman" w:hAnsi="Times New Roman" w:cs="Times New Roman"/>
              </w:rPr>
            </w:pPr>
          </w:p>
          <w:p w14:paraId="6870A06E">
            <w:pPr>
              <w:pStyle w:val="2251"/>
              <w:autoSpaceDE/>
              <w:autoSpaceDN/>
              <w:jc w:val="center"/>
              <w:rPr>
                <w:rFonts w:ascii="Times New Roman" w:hAnsi="Times New Roman" w:cs="Times New Roman"/>
                <w:sz w:val="21"/>
              </w:rPr>
            </w:pPr>
            <w:r>
              <w:rPr>
                <w:rFonts w:ascii="Times New Roman" w:hAnsi="Times New Roman" w:cs="Times New Roman"/>
                <w:sz w:val="21"/>
              </w:rPr>
              <w:t>项目废水</w:t>
            </w:r>
          </w:p>
        </w:tc>
        <w:tc>
          <w:tcPr>
            <w:tcW w:w="1079" w:type="dxa"/>
            <w:vMerge w:val="restart"/>
            <w:noWrap w:val="0"/>
            <w:vAlign w:val="center"/>
          </w:tcPr>
          <w:p w14:paraId="2E3EE57A">
            <w:pPr>
              <w:pStyle w:val="2251"/>
              <w:autoSpaceDE/>
              <w:autoSpaceDN/>
              <w:jc w:val="center"/>
              <w:rPr>
                <w:rFonts w:ascii="Times New Roman" w:hAnsi="Times New Roman" w:cs="Times New Roman"/>
                <w:sz w:val="20"/>
              </w:rPr>
            </w:pPr>
          </w:p>
          <w:p w14:paraId="0C83C5E4">
            <w:pPr>
              <w:pStyle w:val="2251"/>
              <w:autoSpaceDE/>
              <w:autoSpaceDN/>
              <w:jc w:val="center"/>
              <w:rPr>
                <w:rFonts w:ascii="Times New Roman" w:hAnsi="Times New Roman" w:cs="Times New Roman"/>
              </w:rPr>
            </w:pPr>
          </w:p>
          <w:p w14:paraId="3E68686D">
            <w:pPr>
              <w:pStyle w:val="2251"/>
              <w:autoSpaceDE/>
              <w:autoSpaceDN/>
              <w:jc w:val="center"/>
              <w:rPr>
                <w:rFonts w:ascii="Times New Roman" w:hAnsi="Times New Roman" w:cs="Times New Roman"/>
                <w:sz w:val="21"/>
              </w:rPr>
            </w:pPr>
            <w:r>
              <w:rPr>
                <w:rFonts w:ascii="Times New Roman" w:hAnsi="Times New Roman" w:cs="Times New Roman"/>
                <w:sz w:val="21"/>
              </w:rPr>
              <w:t>厂区废水处理站进出口</w:t>
            </w:r>
          </w:p>
        </w:tc>
        <w:tc>
          <w:tcPr>
            <w:tcW w:w="1565" w:type="dxa"/>
            <w:noWrap w:val="0"/>
            <w:vAlign w:val="center"/>
          </w:tcPr>
          <w:p w14:paraId="73583138">
            <w:pPr>
              <w:pStyle w:val="2251"/>
              <w:autoSpaceDE/>
              <w:autoSpaceDN/>
              <w:jc w:val="center"/>
              <w:rPr>
                <w:rFonts w:ascii="Times New Roman" w:hAnsi="Times New Roman" w:cs="Times New Roman"/>
                <w:sz w:val="21"/>
              </w:rPr>
            </w:pPr>
            <w:r>
              <w:rPr>
                <w:rFonts w:ascii="Times New Roman" w:hAnsi="Times New Roman" w:cs="Times New Roman"/>
                <w:sz w:val="21"/>
              </w:rPr>
              <w:t>废水量、</w:t>
            </w:r>
            <w:r>
              <w:rPr>
                <w:rFonts w:ascii="Times New Roman" w:hAnsi="Times New Roman" w:eastAsia="Times New Roman" w:cs="Times New Roman"/>
                <w:sz w:val="21"/>
              </w:rPr>
              <w:t>pH</w:t>
            </w:r>
            <w:r>
              <w:rPr>
                <w:rFonts w:ascii="Times New Roman" w:hAnsi="Times New Roman" w:cs="Times New Roman"/>
                <w:sz w:val="21"/>
              </w:rPr>
              <w:t>、</w:t>
            </w:r>
            <w:r>
              <w:rPr>
                <w:rFonts w:ascii="Times New Roman" w:hAnsi="Times New Roman" w:eastAsia="Times New Roman" w:cs="Times New Roman"/>
                <w:sz w:val="21"/>
              </w:rPr>
              <w:t xml:space="preserve">COD </w:t>
            </w:r>
            <w:r>
              <w:rPr>
                <w:rFonts w:ascii="Times New Roman" w:hAnsi="Times New Roman" w:cs="Times New Roman"/>
                <w:sz w:val="21"/>
              </w:rPr>
              <w:t>氨氮、</w:t>
            </w:r>
            <w:r>
              <w:rPr>
                <w:rFonts w:ascii="Times New Roman" w:hAnsi="Times New Roman" w:eastAsia="Times New Roman" w:cs="Times New Roman"/>
                <w:sz w:val="21"/>
              </w:rPr>
              <w:t>BOD</w:t>
            </w:r>
            <w:r>
              <w:rPr>
                <w:rFonts w:ascii="Times New Roman" w:hAnsi="Times New Roman" w:eastAsia="Times New Roman" w:cs="Times New Roman"/>
                <w:sz w:val="21"/>
                <w:vertAlign w:val="subscript"/>
              </w:rPr>
              <w:t>5</w:t>
            </w:r>
            <w:r>
              <w:rPr>
                <w:rFonts w:ascii="Times New Roman" w:hAnsi="Times New Roman" w:cs="Times New Roman"/>
                <w:sz w:val="21"/>
              </w:rPr>
              <w:t>、</w:t>
            </w:r>
            <w:r>
              <w:rPr>
                <w:rFonts w:ascii="Times New Roman" w:hAnsi="Times New Roman" w:eastAsia="Times New Roman" w:cs="Times New Roman"/>
                <w:sz w:val="21"/>
              </w:rPr>
              <w:t>SS</w:t>
            </w:r>
            <w:r>
              <w:rPr>
                <w:rFonts w:ascii="Times New Roman" w:hAnsi="Times New Roman" w:cs="Times New Roman"/>
                <w:sz w:val="21"/>
              </w:rPr>
              <w:t>、</w:t>
            </w:r>
          </w:p>
          <w:p w14:paraId="1CCF4DFF">
            <w:pPr>
              <w:pStyle w:val="2251"/>
              <w:autoSpaceDE/>
              <w:autoSpaceDN/>
              <w:jc w:val="center"/>
              <w:rPr>
                <w:rFonts w:ascii="Times New Roman" w:hAnsi="Times New Roman" w:cs="Times New Roman"/>
                <w:sz w:val="21"/>
              </w:rPr>
            </w:pPr>
            <w:r>
              <w:rPr>
                <w:rFonts w:ascii="Times New Roman" w:hAnsi="Times New Roman" w:cs="Times New Roman"/>
                <w:sz w:val="21"/>
              </w:rPr>
              <w:t>总氮、总磷</w:t>
            </w:r>
          </w:p>
        </w:tc>
        <w:tc>
          <w:tcPr>
            <w:tcW w:w="1102" w:type="dxa"/>
            <w:noWrap w:val="0"/>
            <w:vAlign w:val="center"/>
          </w:tcPr>
          <w:p w14:paraId="134453E4">
            <w:pPr>
              <w:pStyle w:val="2251"/>
              <w:autoSpaceDE/>
              <w:autoSpaceDN/>
              <w:jc w:val="center"/>
              <w:rPr>
                <w:rFonts w:ascii="Times New Roman" w:hAnsi="Times New Roman" w:cs="Times New Roman"/>
                <w:sz w:val="21"/>
              </w:rPr>
            </w:pPr>
          </w:p>
          <w:p w14:paraId="424C2706">
            <w:pPr>
              <w:pStyle w:val="2251"/>
              <w:autoSpaceDE/>
              <w:autoSpaceDN/>
              <w:jc w:val="center"/>
              <w:rPr>
                <w:rFonts w:ascii="Times New Roman" w:hAnsi="Times New Roman" w:cs="Times New Roman"/>
                <w:sz w:val="21"/>
              </w:rPr>
            </w:pPr>
            <w:r>
              <w:rPr>
                <w:rFonts w:ascii="Times New Roman" w:hAnsi="Times New Roman" w:cs="Times New Roman"/>
                <w:sz w:val="21"/>
              </w:rPr>
              <w:t>每季度监测一次</w:t>
            </w:r>
          </w:p>
        </w:tc>
        <w:tc>
          <w:tcPr>
            <w:tcW w:w="2704" w:type="dxa"/>
            <w:vMerge w:val="restart"/>
            <w:noWrap w:val="0"/>
            <w:vAlign w:val="center"/>
          </w:tcPr>
          <w:p w14:paraId="3C15DADC">
            <w:pPr>
              <w:pStyle w:val="2251"/>
              <w:autoSpaceDE/>
              <w:autoSpaceDN/>
              <w:jc w:val="center"/>
              <w:rPr>
                <w:rFonts w:ascii="Times New Roman" w:hAnsi="Times New Roman" w:cs="Times New Roman"/>
                <w:sz w:val="21"/>
              </w:rPr>
            </w:pPr>
            <w:r>
              <w:rPr>
                <w:rFonts w:ascii="Times New Roman" w:hAnsi="Times New Roman" w:cs="Times New Roman"/>
                <w:spacing w:val="-11"/>
                <w:sz w:val="21"/>
              </w:rPr>
              <w:t>照国家环保局颁发的</w:t>
            </w:r>
            <w:r>
              <w:rPr>
                <w:rFonts w:ascii="Times New Roman" w:hAnsi="Times New Roman" w:cs="Times New Roman"/>
                <w:spacing w:val="-6"/>
                <w:sz w:val="21"/>
              </w:rPr>
              <w:t>《水和废水监测分析方</w:t>
            </w:r>
            <w:r>
              <w:rPr>
                <w:rFonts w:ascii="Times New Roman" w:hAnsi="Times New Roman" w:cs="Times New Roman"/>
                <w:sz w:val="21"/>
              </w:rPr>
              <w:t>法》</w:t>
            </w:r>
            <w:r>
              <w:rPr>
                <w:rFonts w:ascii="Times New Roman" w:hAnsi="Times New Roman" w:cs="Times New Roman"/>
                <w:spacing w:val="-3"/>
                <w:sz w:val="21"/>
              </w:rPr>
              <w:t>（</w:t>
            </w:r>
            <w:r>
              <w:rPr>
                <w:rFonts w:ascii="Times New Roman" w:hAnsi="Times New Roman" w:cs="Times New Roman"/>
                <w:spacing w:val="-2"/>
                <w:sz w:val="21"/>
              </w:rPr>
              <w:t>第四版</w:t>
            </w:r>
            <w:r>
              <w:rPr>
                <w:rFonts w:ascii="Times New Roman" w:hAnsi="Times New Roman" w:cs="Times New Roman"/>
                <w:spacing w:val="-3"/>
                <w:sz w:val="21"/>
              </w:rPr>
              <w:t>）相关方法及国家新颁布监测方法中的方法执行</w:t>
            </w:r>
          </w:p>
        </w:tc>
        <w:tc>
          <w:tcPr>
            <w:tcW w:w="1211" w:type="dxa"/>
            <w:vMerge w:val="restart"/>
            <w:noWrap w:val="0"/>
            <w:vAlign w:val="center"/>
          </w:tcPr>
          <w:p w14:paraId="4FEBDA6A">
            <w:pPr>
              <w:pStyle w:val="2251"/>
              <w:autoSpaceDE/>
              <w:autoSpaceDN/>
              <w:jc w:val="center"/>
              <w:rPr>
                <w:rFonts w:ascii="Times New Roman" w:hAnsi="Times New Roman" w:cs="Times New Roman"/>
                <w:sz w:val="20"/>
              </w:rPr>
            </w:pPr>
          </w:p>
          <w:p w14:paraId="0396F1E5">
            <w:pPr>
              <w:pStyle w:val="2251"/>
              <w:autoSpaceDE/>
              <w:autoSpaceDN/>
              <w:jc w:val="center"/>
              <w:rPr>
                <w:rFonts w:ascii="Times New Roman" w:hAnsi="Times New Roman" w:cs="Times New Roman"/>
              </w:rPr>
            </w:pPr>
          </w:p>
          <w:p w14:paraId="4801A755">
            <w:pPr>
              <w:pStyle w:val="2251"/>
              <w:autoSpaceDE/>
              <w:autoSpaceDN/>
              <w:jc w:val="center"/>
              <w:rPr>
                <w:rFonts w:ascii="Times New Roman" w:hAnsi="Times New Roman" w:cs="Times New Roman"/>
                <w:sz w:val="21"/>
              </w:rPr>
            </w:pPr>
            <w:r>
              <w:rPr>
                <w:rFonts w:ascii="Times New Roman" w:hAnsi="Times New Roman" w:cs="Times New Roman"/>
                <w:sz w:val="21"/>
              </w:rPr>
              <w:t>记录废水量</w:t>
            </w:r>
          </w:p>
        </w:tc>
      </w:tr>
      <w:tr w14:paraId="2438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17" w:type="dxa"/>
            <w:vMerge w:val="continue"/>
            <w:tcBorders>
              <w:top w:val="nil"/>
            </w:tcBorders>
            <w:noWrap w:val="0"/>
            <w:vAlign w:val="center"/>
          </w:tcPr>
          <w:p w14:paraId="03D75E5D">
            <w:pPr>
              <w:jc w:val="center"/>
              <w:rPr>
                <w:sz w:val="2"/>
                <w:szCs w:val="2"/>
              </w:rPr>
            </w:pPr>
          </w:p>
        </w:tc>
        <w:tc>
          <w:tcPr>
            <w:tcW w:w="1004" w:type="dxa"/>
            <w:vMerge w:val="continue"/>
            <w:tcBorders>
              <w:top w:val="nil"/>
            </w:tcBorders>
            <w:noWrap w:val="0"/>
            <w:vAlign w:val="center"/>
          </w:tcPr>
          <w:p w14:paraId="11B0D6A8">
            <w:pPr>
              <w:jc w:val="center"/>
              <w:rPr>
                <w:sz w:val="2"/>
                <w:szCs w:val="2"/>
              </w:rPr>
            </w:pPr>
          </w:p>
        </w:tc>
        <w:tc>
          <w:tcPr>
            <w:tcW w:w="1079" w:type="dxa"/>
            <w:vMerge w:val="continue"/>
            <w:tcBorders>
              <w:top w:val="nil"/>
            </w:tcBorders>
            <w:noWrap w:val="0"/>
            <w:vAlign w:val="center"/>
          </w:tcPr>
          <w:p w14:paraId="0B48B535">
            <w:pPr>
              <w:jc w:val="center"/>
              <w:rPr>
                <w:sz w:val="2"/>
                <w:szCs w:val="2"/>
              </w:rPr>
            </w:pPr>
          </w:p>
        </w:tc>
        <w:tc>
          <w:tcPr>
            <w:tcW w:w="1565" w:type="dxa"/>
            <w:noWrap w:val="0"/>
            <w:vAlign w:val="center"/>
          </w:tcPr>
          <w:p w14:paraId="5764B095">
            <w:pPr>
              <w:pStyle w:val="2251"/>
              <w:autoSpaceDE/>
              <w:autoSpaceDN/>
              <w:jc w:val="center"/>
              <w:rPr>
                <w:rFonts w:ascii="Times New Roman" w:hAnsi="Times New Roman" w:cs="Times New Roman"/>
                <w:sz w:val="21"/>
              </w:rPr>
            </w:pPr>
            <w:r>
              <w:rPr>
                <w:rFonts w:ascii="Times New Roman" w:hAnsi="Times New Roman" w:cs="Times New Roman"/>
                <w:spacing w:val="-10"/>
                <w:sz w:val="21"/>
              </w:rPr>
              <w:t>全盐量、粪大肠菌群</w:t>
            </w:r>
            <w:r>
              <w:rPr>
                <w:rFonts w:ascii="Times New Roman" w:hAnsi="Times New Roman" w:cs="Times New Roman"/>
                <w:sz w:val="21"/>
              </w:rPr>
              <w:t>数等</w:t>
            </w:r>
          </w:p>
        </w:tc>
        <w:tc>
          <w:tcPr>
            <w:tcW w:w="1102" w:type="dxa"/>
            <w:noWrap w:val="0"/>
            <w:vAlign w:val="center"/>
          </w:tcPr>
          <w:p w14:paraId="167B6E9F">
            <w:pPr>
              <w:pStyle w:val="2251"/>
              <w:autoSpaceDE/>
              <w:autoSpaceDN/>
              <w:jc w:val="center"/>
              <w:rPr>
                <w:rFonts w:ascii="Times New Roman" w:hAnsi="Times New Roman" w:cs="Times New Roman"/>
                <w:sz w:val="21"/>
              </w:rPr>
            </w:pPr>
            <w:r>
              <w:rPr>
                <w:rFonts w:ascii="Times New Roman" w:hAnsi="Times New Roman" w:cs="Times New Roman"/>
                <w:sz w:val="21"/>
              </w:rPr>
              <w:t>每年一次</w:t>
            </w:r>
          </w:p>
        </w:tc>
        <w:tc>
          <w:tcPr>
            <w:tcW w:w="2704" w:type="dxa"/>
            <w:vMerge w:val="continue"/>
            <w:tcBorders>
              <w:top w:val="nil"/>
            </w:tcBorders>
            <w:noWrap w:val="0"/>
            <w:vAlign w:val="center"/>
          </w:tcPr>
          <w:p w14:paraId="6C5B2C8A">
            <w:pPr>
              <w:jc w:val="center"/>
              <w:rPr>
                <w:sz w:val="2"/>
                <w:szCs w:val="2"/>
              </w:rPr>
            </w:pPr>
          </w:p>
        </w:tc>
        <w:tc>
          <w:tcPr>
            <w:tcW w:w="1211" w:type="dxa"/>
            <w:vMerge w:val="continue"/>
            <w:tcBorders>
              <w:top w:val="nil"/>
            </w:tcBorders>
            <w:noWrap w:val="0"/>
            <w:vAlign w:val="center"/>
          </w:tcPr>
          <w:p w14:paraId="26135FFA">
            <w:pPr>
              <w:jc w:val="center"/>
              <w:rPr>
                <w:sz w:val="2"/>
                <w:szCs w:val="2"/>
              </w:rPr>
            </w:pPr>
          </w:p>
        </w:tc>
      </w:tr>
      <w:tr w14:paraId="04FC9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7" w:type="dxa"/>
            <w:noWrap w:val="0"/>
            <w:vAlign w:val="center"/>
          </w:tcPr>
          <w:p w14:paraId="75F5520A">
            <w:pPr>
              <w:pStyle w:val="2251"/>
              <w:autoSpaceDE/>
              <w:autoSpaceDN/>
              <w:jc w:val="center"/>
              <w:rPr>
                <w:rFonts w:ascii="Times New Roman" w:hAnsi="Times New Roman" w:cs="Times New Roman"/>
                <w:sz w:val="21"/>
              </w:rPr>
            </w:pPr>
            <w:r>
              <w:rPr>
                <w:rFonts w:ascii="Times New Roman" w:hAnsi="Times New Roman" w:cs="Times New Roman"/>
                <w:sz w:val="21"/>
              </w:rPr>
              <w:t>4</w:t>
            </w:r>
          </w:p>
        </w:tc>
        <w:tc>
          <w:tcPr>
            <w:tcW w:w="1004" w:type="dxa"/>
            <w:noWrap w:val="0"/>
            <w:vAlign w:val="center"/>
          </w:tcPr>
          <w:p w14:paraId="5629636F">
            <w:pPr>
              <w:pStyle w:val="2251"/>
              <w:autoSpaceDE/>
              <w:autoSpaceDN/>
              <w:jc w:val="center"/>
              <w:rPr>
                <w:rFonts w:ascii="Times New Roman" w:hAnsi="Times New Roman" w:cs="Times New Roman"/>
                <w:sz w:val="21"/>
              </w:rPr>
            </w:pPr>
            <w:r>
              <w:rPr>
                <w:rFonts w:ascii="Times New Roman" w:hAnsi="Times New Roman" w:cs="Times New Roman"/>
                <w:sz w:val="21"/>
              </w:rPr>
              <w:t>噪声</w:t>
            </w:r>
          </w:p>
        </w:tc>
        <w:tc>
          <w:tcPr>
            <w:tcW w:w="1079" w:type="dxa"/>
            <w:noWrap w:val="0"/>
            <w:vAlign w:val="center"/>
          </w:tcPr>
          <w:p w14:paraId="10C9FE67">
            <w:pPr>
              <w:pStyle w:val="2251"/>
              <w:autoSpaceDE/>
              <w:autoSpaceDN/>
              <w:jc w:val="center"/>
              <w:rPr>
                <w:rFonts w:ascii="Times New Roman" w:hAnsi="Times New Roman" w:cs="Times New Roman"/>
                <w:sz w:val="21"/>
              </w:rPr>
            </w:pPr>
            <w:r>
              <w:rPr>
                <w:rFonts w:ascii="Times New Roman" w:hAnsi="Times New Roman" w:cs="Times New Roman"/>
                <w:sz w:val="21"/>
              </w:rPr>
              <w:t xml:space="preserve">厂界外 </w:t>
            </w:r>
            <w:r>
              <w:rPr>
                <w:rFonts w:ascii="Times New Roman" w:hAnsi="Times New Roman" w:eastAsia="Times New Roman" w:cs="Times New Roman"/>
                <w:sz w:val="21"/>
              </w:rPr>
              <w:t xml:space="preserve">1m </w:t>
            </w:r>
            <w:r>
              <w:rPr>
                <w:rFonts w:ascii="Times New Roman" w:hAnsi="Times New Roman" w:cs="Times New Roman"/>
                <w:sz w:val="21"/>
              </w:rPr>
              <w:t>处</w:t>
            </w:r>
          </w:p>
        </w:tc>
        <w:tc>
          <w:tcPr>
            <w:tcW w:w="1565" w:type="dxa"/>
            <w:noWrap w:val="0"/>
            <w:vAlign w:val="center"/>
          </w:tcPr>
          <w:p w14:paraId="75E1F706">
            <w:pPr>
              <w:pStyle w:val="2251"/>
              <w:autoSpaceDE/>
              <w:autoSpaceDN/>
              <w:jc w:val="center"/>
              <w:rPr>
                <w:rFonts w:ascii="Times New Roman" w:hAnsi="Times New Roman" w:cs="Times New Roman"/>
                <w:sz w:val="21"/>
              </w:rPr>
            </w:pPr>
            <w:r>
              <w:rPr>
                <w:rFonts w:ascii="Times New Roman" w:hAnsi="Times New Roman" w:cs="Times New Roman"/>
                <w:sz w:val="21"/>
              </w:rPr>
              <w:t>Leq(A)</w:t>
            </w:r>
          </w:p>
        </w:tc>
        <w:tc>
          <w:tcPr>
            <w:tcW w:w="1102" w:type="dxa"/>
            <w:noWrap w:val="0"/>
            <w:vAlign w:val="center"/>
          </w:tcPr>
          <w:p w14:paraId="33A75623">
            <w:pPr>
              <w:pStyle w:val="2251"/>
              <w:autoSpaceDE/>
              <w:autoSpaceDN/>
              <w:jc w:val="center"/>
              <w:rPr>
                <w:rFonts w:ascii="Times New Roman" w:hAnsi="Times New Roman" w:cs="Times New Roman"/>
                <w:sz w:val="21"/>
              </w:rPr>
            </w:pPr>
            <w:r>
              <w:rPr>
                <w:rFonts w:ascii="Times New Roman" w:hAnsi="Times New Roman" w:cs="Times New Roman"/>
                <w:sz w:val="21"/>
              </w:rPr>
              <w:t>每季度至少监测一次</w:t>
            </w:r>
          </w:p>
        </w:tc>
        <w:tc>
          <w:tcPr>
            <w:tcW w:w="2704" w:type="dxa"/>
            <w:noWrap w:val="0"/>
            <w:vAlign w:val="center"/>
          </w:tcPr>
          <w:p w14:paraId="661F61EA">
            <w:pPr>
              <w:pStyle w:val="2251"/>
              <w:autoSpaceDE/>
              <w:autoSpaceDN/>
              <w:jc w:val="center"/>
              <w:rPr>
                <w:rFonts w:ascii="Times New Roman" w:hAnsi="Times New Roman" w:cs="Times New Roman"/>
                <w:sz w:val="21"/>
              </w:rPr>
            </w:pPr>
            <w:r>
              <w:rPr>
                <w:rFonts w:ascii="Times New Roman" w:hAnsi="Times New Roman" w:cs="Times New Roman"/>
                <w:sz w:val="21"/>
              </w:rPr>
              <w:t>《工业企业厂界环境噪声排放标准》(GB3096-2008)</w:t>
            </w:r>
          </w:p>
        </w:tc>
        <w:tc>
          <w:tcPr>
            <w:tcW w:w="1211" w:type="dxa"/>
            <w:noWrap w:val="0"/>
            <w:vAlign w:val="center"/>
          </w:tcPr>
          <w:p w14:paraId="2C657282">
            <w:pPr>
              <w:pStyle w:val="2251"/>
              <w:autoSpaceDE/>
              <w:autoSpaceDN/>
              <w:jc w:val="center"/>
              <w:rPr>
                <w:rFonts w:ascii="Times New Roman" w:hAnsi="Times New Roman" w:cs="Times New Roman"/>
                <w:sz w:val="21"/>
              </w:rPr>
            </w:pPr>
            <w:r>
              <w:rPr>
                <w:rFonts w:ascii="Times New Roman" w:hAnsi="Times New Roman" w:cs="Times New Roman"/>
                <w:sz w:val="21"/>
              </w:rPr>
              <w:t>--</w:t>
            </w:r>
          </w:p>
        </w:tc>
      </w:tr>
    </w:tbl>
    <w:p w14:paraId="322ECE1F">
      <w:pPr>
        <w:autoSpaceDE w:val="0"/>
        <w:autoSpaceDN w:val="0"/>
        <w:adjustRightInd w:val="0"/>
        <w:spacing w:line="360" w:lineRule="auto"/>
        <w:ind w:firstLine="480" w:firstLineChars="200"/>
        <w:jc w:val="left"/>
        <w:rPr>
          <w:kern w:val="0"/>
          <w:sz w:val="24"/>
        </w:rPr>
      </w:pPr>
      <w:r>
        <w:rPr>
          <w:kern w:val="0"/>
          <w:sz w:val="24"/>
        </w:rPr>
        <w:t>（2）地下水污染监测措施</w:t>
      </w:r>
    </w:p>
    <w:p w14:paraId="00AADBA7">
      <w:pPr>
        <w:autoSpaceDE w:val="0"/>
        <w:autoSpaceDN w:val="0"/>
        <w:adjustRightInd w:val="0"/>
        <w:spacing w:line="360" w:lineRule="auto"/>
        <w:ind w:firstLine="480" w:firstLineChars="200"/>
        <w:jc w:val="left"/>
        <w:rPr>
          <w:kern w:val="0"/>
          <w:sz w:val="24"/>
        </w:rPr>
      </w:pPr>
      <w:r>
        <w:rPr>
          <w:kern w:val="0"/>
          <w:sz w:val="24"/>
        </w:rPr>
        <w:t>为了及时准确地掌握项目厂区及其周围地下水环境质量状况，项目在拟建项目区建立地下水监控体系，包括建立完善的监测制度、配备先进的检测仪器和设备，科学、合理设置地下水污染监控井，及时发现，及时控制。</w:t>
      </w:r>
    </w:p>
    <w:p w14:paraId="5316BC53">
      <w:pPr>
        <w:pStyle w:val="1347"/>
        <w:widowControl/>
        <w:jc w:val="both"/>
        <w:rPr>
          <w:szCs w:val="24"/>
        </w:rPr>
      </w:pPr>
      <w:r>
        <w:rPr>
          <w:szCs w:val="24"/>
        </w:rPr>
        <w:t>参考HJ610-2016《环境影响评价技术导则</w:t>
      </w:r>
      <w:r>
        <w:t xml:space="preserve"> </w:t>
      </w:r>
      <w:r>
        <w:rPr>
          <w:szCs w:val="24"/>
        </w:rPr>
        <w:t>地下水环境》、HJ/T 164-2004《地下水环境监测技术规范》等标准和规范，结合工程区含水层和地下水径流特征，考虑潜在污染源、环境保护目标等因素，布置地下水监测点。</w:t>
      </w:r>
    </w:p>
    <w:p w14:paraId="7AE87F4E">
      <w:pPr>
        <w:pStyle w:val="1347"/>
        <w:widowControl/>
        <w:jc w:val="both"/>
        <w:rPr>
          <w:szCs w:val="24"/>
        </w:rPr>
      </w:pPr>
      <w:r>
        <w:rPr>
          <w:szCs w:val="24"/>
        </w:rPr>
        <w:t>本项目地下水评价等级为三级，跟踪监测点数量一般应不少于1个，应至少在项目场地下游布置1个。根据现场勘查，本次评价提出在污水处理站场地地下水流向下游厂界处新建1口跟踪监测井。</w:t>
      </w:r>
    </w:p>
    <w:p w14:paraId="3C8869E0">
      <w:pPr>
        <w:autoSpaceDE w:val="0"/>
        <w:autoSpaceDN w:val="0"/>
        <w:adjustRightInd w:val="0"/>
        <w:spacing w:line="360" w:lineRule="auto"/>
        <w:ind w:firstLine="480" w:firstLineChars="200"/>
        <w:jc w:val="left"/>
        <w:rPr>
          <w:kern w:val="0"/>
          <w:sz w:val="24"/>
        </w:rPr>
      </w:pPr>
      <w:r>
        <w:rPr>
          <w:kern w:val="0"/>
          <w:sz w:val="24"/>
        </w:rPr>
        <w:t>地下水监测计划、监测孔位置、孔深、监测井结构、监测层位、监测项目、监测频率等详见表9.5-2。</w:t>
      </w:r>
    </w:p>
    <w:p w14:paraId="0713DC7B">
      <w:pPr>
        <w:jc w:val="center"/>
        <w:rPr>
          <w:rFonts w:eastAsia="黑体"/>
          <w:bCs/>
          <w:sz w:val="24"/>
        </w:rPr>
      </w:pPr>
      <w:r>
        <w:rPr>
          <w:b/>
          <w:sz w:val="24"/>
        </w:rPr>
        <w:t>表9.5-2 地下水监测计划表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217"/>
        <w:gridCol w:w="4261"/>
        <w:gridCol w:w="862"/>
        <w:gridCol w:w="912"/>
        <w:gridCol w:w="838"/>
      </w:tblGrid>
      <w:tr w14:paraId="3C35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shd w:val="pct10" w:color="auto" w:fill="auto"/>
            <w:noWrap w:val="0"/>
            <w:vAlign w:val="center"/>
          </w:tcPr>
          <w:p w14:paraId="6D371992">
            <w:pPr>
              <w:pStyle w:val="1361"/>
              <w:widowControl/>
              <w:ind w:left="-71" w:leftChars="-34" w:right="-71" w:rightChars="-34"/>
              <w:rPr>
                <w:b/>
                <w:bCs/>
                <w:sz w:val="21"/>
              </w:rPr>
            </w:pPr>
            <w:r>
              <w:rPr>
                <w:b/>
                <w:bCs/>
                <w:sz w:val="21"/>
              </w:rPr>
              <w:t>监测井</w:t>
            </w:r>
          </w:p>
          <w:p w14:paraId="0891C065">
            <w:pPr>
              <w:pStyle w:val="1361"/>
              <w:widowControl/>
              <w:ind w:left="-71" w:leftChars="-34" w:right="-71" w:rightChars="-34"/>
              <w:rPr>
                <w:b/>
                <w:bCs/>
              </w:rPr>
            </w:pPr>
            <w:r>
              <w:rPr>
                <w:b/>
                <w:bCs/>
                <w:sz w:val="21"/>
              </w:rPr>
              <w:t>编号</w:t>
            </w:r>
          </w:p>
        </w:tc>
        <w:tc>
          <w:tcPr>
            <w:tcW w:w="1217" w:type="dxa"/>
            <w:shd w:val="pct10" w:color="auto" w:fill="auto"/>
            <w:noWrap w:val="0"/>
            <w:vAlign w:val="center"/>
          </w:tcPr>
          <w:p w14:paraId="59038324">
            <w:pPr>
              <w:pStyle w:val="1361"/>
              <w:widowControl/>
              <w:ind w:left="-71" w:leftChars="-34" w:right="-71" w:rightChars="-34"/>
              <w:rPr>
                <w:b/>
                <w:bCs/>
              </w:rPr>
            </w:pPr>
            <w:r>
              <w:rPr>
                <w:b/>
                <w:bCs/>
                <w:sz w:val="21"/>
              </w:rPr>
              <w:t>区位</w:t>
            </w:r>
          </w:p>
        </w:tc>
        <w:tc>
          <w:tcPr>
            <w:tcW w:w="4261" w:type="dxa"/>
            <w:shd w:val="pct10" w:color="auto" w:fill="auto"/>
            <w:noWrap w:val="0"/>
            <w:vAlign w:val="center"/>
          </w:tcPr>
          <w:p w14:paraId="072E4DD2">
            <w:pPr>
              <w:autoSpaceDE w:val="0"/>
              <w:autoSpaceDN w:val="0"/>
              <w:adjustRightInd w:val="0"/>
              <w:ind w:left="-71" w:leftChars="-34" w:right="-71" w:rightChars="-34"/>
              <w:jc w:val="center"/>
              <w:rPr>
                <w:b/>
                <w:bCs/>
                <w:kern w:val="0"/>
                <w:szCs w:val="21"/>
              </w:rPr>
            </w:pPr>
            <w:r>
              <w:rPr>
                <w:b/>
                <w:bCs/>
                <w:kern w:val="0"/>
                <w:szCs w:val="21"/>
              </w:rPr>
              <w:t>监测项目</w:t>
            </w:r>
          </w:p>
        </w:tc>
        <w:tc>
          <w:tcPr>
            <w:tcW w:w="862" w:type="dxa"/>
            <w:shd w:val="pct10" w:color="auto" w:fill="auto"/>
            <w:noWrap w:val="0"/>
            <w:vAlign w:val="center"/>
          </w:tcPr>
          <w:p w14:paraId="1FED27C0">
            <w:pPr>
              <w:autoSpaceDE w:val="0"/>
              <w:autoSpaceDN w:val="0"/>
              <w:adjustRightInd w:val="0"/>
              <w:ind w:left="-71" w:leftChars="-34" w:right="-71" w:rightChars="-34"/>
              <w:jc w:val="center"/>
              <w:rPr>
                <w:b/>
                <w:bCs/>
                <w:kern w:val="0"/>
                <w:szCs w:val="21"/>
              </w:rPr>
            </w:pPr>
            <w:r>
              <w:rPr>
                <w:b/>
                <w:bCs/>
                <w:kern w:val="0"/>
                <w:szCs w:val="21"/>
              </w:rPr>
              <w:t>监测</w:t>
            </w:r>
          </w:p>
          <w:p w14:paraId="2AE9245A">
            <w:pPr>
              <w:autoSpaceDE w:val="0"/>
              <w:autoSpaceDN w:val="0"/>
              <w:adjustRightInd w:val="0"/>
              <w:ind w:left="-71" w:leftChars="-34" w:right="-71" w:rightChars="-34"/>
              <w:jc w:val="center"/>
              <w:rPr>
                <w:b/>
                <w:bCs/>
                <w:kern w:val="0"/>
                <w:szCs w:val="21"/>
              </w:rPr>
            </w:pPr>
            <w:r>
              <w:rPr>
                <w:b/>
                <w:bCs/>
                <w:kern w:val="0"/>
                <w:szCs w:val="21"/>
              </w:rPr>
              <w:t>层位</w:t>
            </w:r>
          </w:p>
        </w:tc>
        <w:tc>
          <w:tcPr>
            <w:tcW w:w="912" w:type="dxa"/>
            <w:shd w:val="pct10" w:color="auto" w:fill="auto"/>
            <w:noWrap w:val="0"/>
            <w:vAlign w:val="center"/>
          </w:tcPr>
          <w:p w14:paraId="6CBD8A38">
            <w:pPr>
              <w:autoSpaceDE w:val="0"/>
              <w:autoSpaceDN w:val="0"/>
              <w:adjustRightInd w:val="0"/>
              <w:ind w:left="-71" w:leftChars="-34" w:right="-71" w:rightChars="-34"/>
              <w:jc w:val="center"/>
              <w:rPr>
                <w:b/>
                <w:bCs/>
                <w:kern w:val="0"/>
                <w:szCs w:val="21"/>
              </w:rPr>
            </w:pPr>
            <w:r>
              <w:rPr>
                <w:b/>
                <w:bCs/>
                <w:kern w:val="0"/>
                <w:szCs w:val="21"/>
              </w:rPr>
              <w:t>监测</w:t>
            </w:r>
          </w:p>
          <w:p w14:paraId="6122BC38">
            <w:pPr>
              <w:autoSpaceDE w:val="0"/>
              <w:autoSpaceDN w:val="0"/>
              <w:adjustRightInd w:val="0"/>
              <w:ind w:left="-71" w:leftChars="-34" w:right="-71" w:rightChars="-34"/>
              <w:jc w:val="center"/>
              <w:rPr>
                <w:b/>
                <w:bCs/>
                <w:kern w:val="0"/>
                <w:szCs w:val="21"/>
              </w:rPr>
            </w:pPr>
            <w:r>
              <w:rPr>
                <w:b/>
                <w:bCs/>
                <w:kern w:val="0"/>
                <w:szCs w:val="21"/>
              </w:rPr>
              <w:t>频率</w:t>
            </w:r>
          </w:p>
        </w:tc>
        <w:tc>
          <w:tcPr>
            <w:tcW w:w="838" w:type="dxa"/>
            <w:shd w:val="pct10" w:color="auto" w:fill="auto"/>
            <w:noWrap w:val="0"/>
            <w:vAlign w:val="center"/>
          </w:tcPr>
          <w:p w14:paraId="107E3244">
            <w:pPr>
              <w:autoSpaceDE w:val="0"/>
              <w:autoSpaceDN w:val="0"/>
              <w:adjustRightInd w:val="0"/>
              <w:ind w:left="-71" w:leftChars="-34" w:right="-71" w:rightChars="-34"/>
              <w:jc w:val="center"/>
              <w:rPr>
                <w:b/>
                <w:bCs/>
                <w:kern w:val="0"/>
                <w:szCs w:val="21"/>
              </w:rPr>
            </w:pPr>
            <w:r>
              <w:rPr>
                <w:b/>
                <w:bCs/>
                <w:kern w:val="0"/>
                <w:szCs w:val="21"/>
              </w:rPr>
              <w:t>监测</w:t>
            </w:r>
          </w:p>
          <w:p w14:paraId="6C750BA6">
            <w:pPr>
              <w:autoSpaceDE w:val="0"/>
              <w:autoSpaceDN w:val="0"/>
              <w:adjustRightInd w:val="0"/>
              <w:ind w:left="-71" w:leftChars="-34" w:right="-71" w:rightChars="-34"/>
              <w:jc w:val="center"/>
              <w:rPr>
                <w:b/>
                <w:bCs/>
                <w:kern w:val="0"/>
                <w:szCs w:val="21"/>
              </w:rPr>
            </w:pPr>
            <w:r>
              <w:rPr>
                <w:b/>
                <w:bCs/>
                <w:kern w:val="0"/>
                <w:szCs w:val="21"/>
              </w:rPr>
              <w:t>单位</w:t>
            </w:r>
          </w:p>
        </w:tc>
      </w:tr>
      <w:tr w14:paraId="7731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94" w:type="dxa"/>
            <w:noWrap w:val="0"/>
            <w:vAlign w:val="center"/>
          </w:tcPr>
          <w:p w14:paraId="0D4171D6">
            <w:pPr>
              <w:pStyle w:val="1361"/>
              <w:widowControl/>
              <w:ind w:left="-71" w:leftChars="-34" w:right="-71" w:rightChars="-34"/>
              <w:rPr>
                <w:spacing w:val="8"/>
                <w:sz w:val="21"/>
              </w:rPr>
            </w:pPr>
            <w:r>
              <w:rPr>
                <w:sz w:val="21"/>
              </w:rPr>
              <w:t>1#</w:t>
            </w:r>
          </w:p>
        </w:tc>
        <w:tc>
          <w:tcPr>
            <w:tcW w:w="1217" w:type="dxa"/>
            <w:noWrap w:val="0"/>
            <w:vAlign w:val="center"/>
          </w:tcPr>
          <w:p w14:paraId="6B03CE5C">
            <w:pPr>
              <w:autoSpaceDE w:val="0"/>
              <w:autoSpaceDN w:val="0"/>
              <w:adjustRightInd w:val="0"/>
              <w:ind w:left="-71" w:leftChars="-34" w:right="-71" w:rightChars="-34"/>
              <w:jc w:val="center"/>
              <w:rPr>
                <w:kern w:val="0"/>
                <w:szCs w:val="21"/>
              </w:rPr>
            </w:pPr>
            <w:r>
              <w:rPr>
                <w:kern w:val="0"/>
                <w:szCs w:val="21"/>
              </w:rPr>
              <w:t>污水处理站</w:t>
            </w:r>
          </w:p>
          <w:p w14:paraId="63C5664A">
            <w:pPr>
              <w:autoSpaceDE w:val="0"/>
              <w:autoSpaceDN w:val="0"/>
              <w:adjustRightInd w:val="0"/>
              <w:ind w:left="-71" w:leftChars="-34" w:right="-71" w:rightChars="-34"/>
              <w:jc w:val="center"/>
              <w:rPr>
                <w:spacing w:val="8"/>
                <w:szCs w:val="21"/>
              </w:rPr>
            </w:pPr>
            <w:r>
              <w:rPr>
                <w:kern w:val="0"/>
                <w:szCs w:val="21"/>
              </w:rPr>
              <w:t>地下水下游厂界处</w:t>
            </w:r>
          </w:p>
        </w:tc>
        <w:tc>
          <w:tcPr>
            <w:tcW w:w="4261" w:type="dxa"/>
            <w:noWrap w:val="0"/>
            <w:vAlign w:val="center"/>
          </w:tcPr>
          <w:p w14:paraId="452D838F">
            <w:pPr>
              <w:autoSpaceDE w:val="0"/>
              <w:autoSpaceDN w:val="0"/>
              <w:adjustRightInd w:val="0"/>
              <w:ind w:left="-71" w:leftChars="-34" w:right="-71" w:rightChars="-34"/>
              <w:jc w:val="center"/>
              <w:rPr>
                <w:kern w:val="0"/>
                <w:szCs w:val="21"/>
              </w:rPr>
            </w:pPr>
            <w:r>
              <w:rPr>
                <w:spacing w:val="8"/>
                <w:szCs w:val="21"/>
              </w:rPr>
              <w:t>pH、总硬度、溶解性总固体、硫酸盐、氯化物、氨氮、耗氧量、总大肠菌群、细菌总数、亚硝酸盐、硝酸盐、水位测量</w:t>
            </w:r>
          </w:p>
        </w:tc>
        <w:tc>
          <w:tcPr>
            <w:tcW w:w="862" w:type="dxa"/>
            <w:noWrap w:val="0"/>
            <w:vAlign w:val="center"/>
          </w:tcPr>
          <w:p w14:paraId="31915421">
            <w:pPr>
              <w:autoSpaceDE w:val="0"/>
              <w:autoSpaceDN w:val="0"/>
              <w:adjustRightInd w:val="0"/>
              <w:ind w:left="-71" w:leftChars="-34" w:right="-71" w:rightChars="-34"/>
              <w:jc w:val="center"/>
              <w:rPr>
                <w:kern w:val="0"/>
                <w:szCs w:val="21"/>
              </w:rPr>
            </w:pPr>
            <w:r>
              <w:rPr>
                <w:kern w:val="0"/>
                <w:szCs w:val="21"/>
              </w:rPr>
              <w:t>裂隙水</w:t>
            </w:r>
          </w:p>
        </w:tc>
        <w:tc>
          <w:tcPr>
            <w:tcW w:w="912" w:type="dxa"/>
            <w:noWrap w:val="0"/>
            <w:vAlign w:val="center"/>
          </w:tcPr>
          <w:p w14:paraId="7591A98E">
            <w:pPr>
              <w:autoSpaceDE w:val="0"/>
              <w:autoSpaceDN w:val="0"/>
              <w:adjustRightInd w:val="0"/>
              <w:ind w:left="-71" w:leftChars="-34" w:right="-71" w:rightChars="-34"/>
              <w:jc w:val="center"/>
              <w:rPr>
                <w:kern w:val="0"/>
                <w:szCs w:val="21"/>
              </w:rPr>
            </w:pPr>
            <w:r>
              <w:rPr>
                <w:kern w:val="0"/>
                <w:szCs w:val="21"/>
              </w:rPr>
              <w:t>每年</w:t>
            </w:r>
          </w:p>
          <w:p w14:paraId="2BBF4BFB">
            <w:pPr>
              <w:autoSpaceDE w:val="0"/>
              <w:autoSpaceDN w:val="0"/>
              <w:adjustRightInd w:val="0"/>
              <w:ind w:left="-71" w:leftChars="-34" w:right="-71" w:rightChars="-34"/>
              <w:jc w:val="center"/>
              <w:rPr>
                <w:kern w:val="0"/>
                <w:szCs w:val="21"/>
              </w:rPr>
            </w:pPr>
            <w:r>
              <w:rPr>
                <w:kern w:val="0"/>
                <w:szCs w:val="21"/>
              </w:rPr>
              <w:t>一次</w:t>
            </w:r>
          </w:p>
        </w:tc>
        <w:tc>
          <w:tcPr>
            <w:tcW w:w="838" w:type="dxa"/>
            <w:noWrap w:val="0"/>
            <w:vAlign w:val="center"/>
          </w:tcPr>
          <w:p w14:paraId="52E10614">
            <w:pPr>
              <w:autoSpaceDE w:val="0"/>
              <w:autoSpaceDN w:val="0"/>
              <w:adjustRightInd w:val="0"/>
              <w:ind w:left="-71" w:leftChars="-34" w:right="-71" w:rightChars="-34"/>
              <w:jc w:val="center"/>
              <w:rPr>
                <w:kern w:val="0"/>
                <w:szCs w:val="21"/>
              </w:rPr>
            </w:pPr>
            <w:r>
              <w:rPr>
                <w:kern w:val="0"/>
                <w:szCs w:val="21"/>
              </w:rPr>
              <w:t>委托有资质单位</w:t>
            </w:r>
          </w:p>
        </w:tc>
      </w:tr>
    </w:tbl>
    <w:p w14:paraId="473EC5FA">
      <w:pPr>
        <w:spacing w:line="360" w:lineRule="auto"/>
        <w:ind w:firstLine="480" w:firstLineChars="200"/>
        <w:rPr>
          <w:sz w:val="24"/>
          <w:lang w:bidi="zh-CN"/>
        </w:rPr>
      </w:pPr>
      <w:r>
        <w:rPr>
          <w:sz w:val="24"/>
          <w:lang w:bidi="zh-CN"/>
        </w:rPr>
        <w:t>上述监测结果应按项目有关规定及时建立档案，并定期向建设单位安全环保部门汇报，对于常规监测数据应该进行公开，特别是对项目所在区域的公众进行公开，满足法律中关于知情权的要求。</w:t>
      </w:r>
    </w:p>
    <w:p w14:paraId="15A96B0B">
      <w:pPr>
        <w:autoSpaceDE w:val="0"/>
        <w:autoSpaceDN w:val="0"/>
        <w:adjustRightInd w:val="0"/>
        <w:spacing w:line="360" w:lineRule="auto"/>
        <w:ind w:firstLine="480" w:firstLineChars="200"/>
        <w:jc w:val="left"/>
        <w:rPr>
          <w:kern w:val="0"/>
          <w:sz w:val="24"/>
        </w:rPr>
      </w:pPr>
      <w:r>
        <w:rPr>
          <w:kern w:val="0"/>
          <w:sz w:val="24"/>
        </w:rPr>
        <w:t>④监测数据管理</w:t>
      </w:r>
    </w:p>
    <w:p w14:paraId="62FF2572">
      <w:pPr>
        <w:autoSpaceDE w:val="0"/>
        <w:autoSpaceDN w:val="0"/>
        <w:adjustRightInd w:val="0"/>
        <w:spacing w:line="360" w:lineRule="auto"/>
        <w:ind w:firstLine="480" w:firstLineChars="200"/>
        <w:jc w:val="left"/>
        <w:rPr>
          <w:kern w:val="0"/>
          <w:sz w:val="24"/>
        </w:rPr>
      </w:pPr>
      <w:r>
        <w:rPr>
          <w:kern w:val="0"/>
          <w:sz w:val="24"/>
        </w:rPr>
        <w:t>以上监测结果应按项目有关规定及时建立档案，并定期向厂安全环保部门汇报，对于常规监测数据应该进行公开，特别是对项目所在区域的居民进行公开，满足法律中关于知情权的要求。如发现异常或发生事故，加密监测频次，改为每天监测一次，并分析污染原因，确定泄露污染源，及时采取相应应急措施。</w:t>
      </w:r>
    </w:p>
    <w:p w14:paraId="72296B78">
      <w:pPr>
        <w:spacing w:line="360" w:lineRule="auto"/>
        <w:ind w:firstLine="480" w:firstLineChars="200"/>
        <w:rPr>
          <w:sz w:val="24"/>
        </w:rPr>
      </w:pPr>
      <w:r>
        <w:rPr>
          <w:sz w:val="24"/>
        </w:rPr>
        <w:t>⑤风险应急措施</w:t>
      </w:r>
    </w:p>
    <w:p w14:paraId="02CA7BF6">
      <w:pPr>
        <w:spacing w:line="360" w:lineRule="auto"/>
        <w:ind w:firstLine="480" w:firstLineChars="200"/>
        <w:rPr>
          <w:sz w:val="24"/>
        </w:rPr>
      </w:pPr>
      <w:r>
        <w:rPr>
          <w:sz w:val="24"/>
        </w:rPr>
        <w:t>为了防止风险事故状态下对地下水产生污染，项目采用水力控制措施应对，一旦事故状态下产生地下水污染，厂区下游1眼监测井启动抽水，形成降落漏斗，形成水力调控屏障，以降低或消除对厂区以外的下游地下水的影响。具体措施为：在厂区下游布设1眼抽水井（正常状态下可以用作常规监测），在地下水污染事故状态下启动抽水，抽出的水进入污水处理厂进行处理，达标后排放。</w:t>
      </w:r>
    </w:p>
    <w:p w14:paraId="1B9FCBC4">
      <w:pPr>
        <w:pStyle w:val="6"/>
        <w:spacing w:before="0" w:after="0" w:line="360" w:lineRule="auto"/>
        <w:rPr>
          <w:rFonts w:ascii="Times New Roman" w:hAnsi="Times New Roman"/>
          <w:sz w:val="30"/>
          <w:szCs w:val="30"/>
        </w:rPr>
      </w:pPr>
      <w:bookmarkStart w:id="362" w:name="_Toc3674_WPSOffice_Level2"/>
      <w:bookmarkStart w:id="363" w:name="_Toc28163"/>
      <w:bookmarkStart w:id="364" w:name="_Toc325012997"/>
      <w:bookmarkStart w:id="365" w:name="_Toc27684"/>
      <w:bookmarkStart w:id="366" w:name="_Toc31741"/>
      <w:bookmarkStart w:id="367" w:name="_Toc384904840"/>
      <w:r>
        <w:rPr>
          <w:rFonts w:ascii="Times New Roman" w:hAnsi="Times New Roman"/>
          <w:sz w:val="30"/>
          <w:szCs w:val="30"/>
        </w:rPr>
        <w:t>9.6“三同时”验收一览表</w:t>
      </w:r>
      <w:bookmarkEnd w:id="362"/>
      <w:bookmarkEnd w:id="363"/>
      <w:bookmarkEnd w:id="364"/>
      <w:bookmarkEnd w:id="365"/>
      <w:bookmarkEnd w:id="366"/>
      <w:bookmarkEnd w:id="367"/>
    </w:p>
    <w:p w14:paraId="31F41344">
      <w:pPr>
        <w:spacing w:line="360" w:lineRule="auto"/>
        <w:ind w:right="105" w:rightChars="50" w:firstLine="480"/>
        <w:rPr>
          <w:bCs/>
          <w:snapToGrid w:val="0"/>
          <w:kern w:val="0"/>
          <w:sz w:val="24"/>
        </w:rPr>
      </w:pPr>
      <w:r>
        <w:rPr>
          <w:bCs/>
          <w:snapToGrid w:val="0"/>
          <w:kern w:val="0"/>
          <w:sz w:val="24"/>
        </w:rPr>
        <w:t>本项目所有环保设施均应与主体工程同时设计、同时施工、同时投产，工程竣工后应进行竣工环保验收。</w:t>
      </w:r>
    </w:p>
    <w:p w14:paraId="183AAAAB">
      <w:pPr>
        <w:spacing w:line="360" w:lineRule="auto"/>
        <w:ind w:right="105" w:rightChars="50" w:firstLine="480"/>
        <w:rPr>
          <w:bCs/>
          <w:snapToGrid w:val="0"/>
          <w:kern w:val="0"/>
          <w:sz w:val="24"/>
        </w:rPr>
      </w:pPr>
      <w:r>
        <w:rPr>
          <w:bCs/>
          <w:snapToGrid w:val="0"/>
          <w:kern w:val="0"/>
          <w:sz w:val="24"/>
        </w:rPr>
        <w:t>按照国务院2017年10月1日发布执行的《建设项目环境保护管理条例》第十七条规定“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0FFB3B11">
      <w:pPr>
        <w:spacing w:line="360" w:lineRule="auto"/>
        <w:ind w:right="105" w:rightChars="50" w:firstLine="480"/>
        <w:rPr>
          <w:bCs/>
          <w:snapToGrid w:val="0"/>
          <w:kern w:val="0"/>
          <w:sz w:val="24"/>
        </w:rPr>
      </w:pPr>
      <w:r>
        <w:rPr>
          <w:bCs/>
          <w:snapToGrid w:val="0"/>
          <w:kern w:val="0"/>
          <w:sz w:val="24"/>
        </w:rPr>
        <w:t>按照环保部2017年11月20日发的“《建设项目竣工环境保护验收管理办法》国环规环评【2017】4号”文件要求：本项目建设完成后，建设单位应当应当按照本办法规定的程序和标准，组织对配套建设的环境保护设施进行验收，编制验收报告（验收报告分为验收监测（调查）报告、验收意见和其他需要说明的事项等三项内容），公开相关信息，接受社会监督，确保建设项目需要配套建设的环境保护设施与主体工程同时投产或者使用，并对验收内容、结论和所公开信息的真实性、准确性和完整性负责，不得在验收过程中弄虚作假。验收监测报告编制完成后，建设单位应组织成立验收工作组，工作组由建设单位、设计单位、施工单位、监理单位、环境影响报告书（表）编制单位、验收监测报告编制单位等代表和专业技术专家组组成，在取得验收合格意见后方可正式投入使用和生产。竣工验收相关信息须依法通过网站或其他便于公众知晓的方式向社会公开，建设单位公开信息的同时，应当向所在地县级以上环境保护主管部门报送相关信息，并接受监督检查。验收报告公示期满后5个工作日内，建设单位应当登录“全国建设项目竣工环境保护验收信息平台”填报建设项目基本信息、环境保护设施验收情况等相关信息，环境保护主管部门对上述信息予以公开。</w:t>
      </w:r>
    </w:p>
    <w:p w14:paraId="3A78194A">
      <w:pPr>
        <w:spacing w:line="360" w:lineRule="auto"/>
        <w:ind w:right="105" w:rightChars="50" w:firstLine="480"/>
        <w:rPr>
          <w:bCs/>
          <w:snapToGrid w:val="0"/>
          <w:kern w:val="0"/>
          <w:sz w:val="24"/>
        </w:rPr>
      </w:pPr>
      <w:r>
        <w:rPr>
          <w:bCs/>
          <w:snapToGrid w:val="0"/>
          <w:kern w:val="0"/>
          <w:sz w:val="24"/>
        </w:rPr>
        <w:t>项目环境保护“三同时”竣工验收内容情况见表9.6-1。</w:t>
      </w:r>
    </w:p>
    <w:p w14:paraId="1CF4277A">
      <w:pPr>
        <w:jc w:val="center"/>
        <w:rPr>
          <w:b/>
          <w:sz w:val="24"/>
        </w:rPr>
      </w:pPr>
    </w:p>
    <w:p w14:paraId="38C552C9">
      <w:pPr>
        <w:jc w:val="center"/>
        <w:rPr>
          <w:b/>
          <w:sz w:val="24"/>
        </w:rPr>
        <w:sectPr>
          <w:pgSz w:w="11906" w:h="16838"/>
          <w:pgMar w:top="1417" w:right="1417" w:bottom="1417" w:left="1417" w:header="851" w:footer="992" w:gutter="0"/>
          <w:cols w:space="720" w:num="1"/>
          <w:docGrid w:type="lines" w:linePitch="312" w:charSpace="0"/>
        </w:sectPr>
      </w:pPr>
    </w:p>
    <w:p w14:paraId="27F8962F">
      <w:pPr>
        <w:jc w:val="center"/>
        <w:rPr>
          <w:b/>
          <w:sz w:val="24"/>
        </w:rPr>
      </w:pPr>
      <w:r>
        <w:rPr>
          <w:b/>
          <w:sz w:val="24"/>
        </w:rPr>
        <w:t>表9.6-1  项目环境保护“三同时”竣工验收一览表</w:t>
      </w:r>
    </w:p>
    <w:tbl>
      <w:tblPr>
        <w:tblStyle w:val="87"/>
        <w:tblpPr w:leftFromText="180" w:rightFromText="180" w:vertAnchor="text" w:horzAnchor="page" w:tblpX="1330" w:tblpY="328"/>
        <w:tblOverlap w:val="neve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1"/>
        <w:gridCol w:w="1935"/>
        <w:gridCol w:w="2797"/>
        <w:gridCol w:w="5018"/>
        <w:gridCol w:w="3939"/>
      </w:tblGrid>
      <w:tr w14:paraId="04CE98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tcBorders>
              <w:bottom w:val="single" w:color="auto" w:sz="4" w:space="0"/>
              <w:right w:val="single" w:color="auto" w:sz="4" w:space="0"/>
            </w:tcBorders>
            <w:shd w:val="pct10" w:color="auto" w:fill="auto"/>
            <w:noWrap w:val="0"/>
            <w:vAlign w:val="center"/>
          </w:tcPr>
          <w:p w14:paraId="54CA4AD5">
            <w:pPr>
              <w:spacing w:line="0" w:lineRule="atLeast"/>
              <w:ind w:left="-71" w:leftChars="-34" w:right="-71" w:rightChars="-34"/>
              <w:jc w:val="center"/>
              <w:textAlignment w:val="baseline"/>
              <w:rPr>
                <w:b/>
                <w:bCs/>
                <w:szCs w:val="21"/>
              </w:rPr>
            </w:pPr>
            <w:r>
              <w:rPr>
                <w:b/>
                <w:bCs/>
                <w:szCs w:val="21"/>
              </w:rPr>
              <w:t>类别</w:t>
            </w:r>
          </w:p>
        </w:tc>
        <w:tc>
          <w:tcPr>
            <w:tcW w:w="1935" w:type="dxa"/>
            <w:tcBorders>
              <w:left w:val="single" w:color="auto" w:sz="4" w:space="0"/>
              <w:bottom w:val="single" w:color="auto" w:sz="4" w:space="0"/>
              <w:right w:val="single" w:color="auto" w:sz="4" w:space="0"/>
            </w:tcBorders>
            <w:shd w:val="pct10" w:color="auto" w:fill="auto"/>
            <w:noWrap w:val="0"/>
            <w:vAlign w:val="center"/>
          </w:tcPr>
          <w:p w14:paraId="17941B58">
            <w:pPr>
              <w:spacing w:line="0" w:lineRule="atLeast"/>
              <w:ind w:left="-71" w:leftChars="-34" w:right="-71" w:rightChars="-34"/>
              <w:jc w:val="center"/>
              <w:textAlignment w:val="baseline"/>
              <w:rPr>
                <w:b/>
                <w:bCs/>
                <w:szCs w:val="21"/>
              </w:rPr>
            </w:pPr>
            <w:r>
              <w:rPr>
                <w:b/>
                <w:bCs/>
                <w:szCs w:val="21"/>
              </w:rPr>
              <w:t>处理对象</w:t>
            </w:r>
          </w:p>
        </w:tc>
        <w:tc>
          <w:tcPr>
            <w:tcW w:w="2797" w:type="dxa"/>
            <w:tcBorders>
              <w:left w:val="single" w:color="auto" w:sz="4" w:space="0"/>
              <w:bottom w:val="single" w:color="auto" w:sz="4" w:space="0"/>
              <w:right w:val="single" w:color="auto" w:sz="4" w:space="0"/>
            </w:tcBorders>
            <w:shd w:val="pct10" w:color="auto" w:fill="auto"/>
            <w:noWrap w:val="0"/>
            <w:vAlign w:val="center"/>
          </w:tcPr>
          <w:p w14:paraId="237650C0">
            <w:pPr>
              <w:spacing w:line="0" w:lineRule="atLeast"/>
              <w:ind w:left="-71" w:leftChars="-34" w:right="-71" w:rightChars="-34"/>
              <w:jc w:val="center"/>
              <w:textAlignment w:val="baseline"/>
              <w:rPr>
                <w:b/>
                <w:bCs/>
                <w:szCs w:val="21"/>
              </w:rPr>
            </w:pPr>
            <w:r>
              <w:rPr>
                <w:b/>
                <w:bCs/>
                <w:szCs w:val="21"/>
              </w:rPr>
              <w:t>污染源</w:t>
            </w:r>
          </w:p>
        </w:tc>
        <w:tc>
          <w:tcPr>
            <w:tcW w:w="5018" w:type="dxa"/>
            <w:tcBorders>
              <w:left w:val="single" w:color="auto" w:sz="4" w:space="0"/>
              <w:bottom w:val="single" w:color="auto" w:sz="4" w:space="0"/>
              <w:right w:val="single" w:color="auto" w:sz="4" w:space="0"/>
            </w:tcBorders>
            <w:shd w:val="pct10" w:color="auto" w:fill="auto"/>
            <w:noWrap w:val="0"/>
            <w:vAlign w:val="center"/>
          </w:tcPr>
          <w:p w14:paraId="16C0A8C3">
            <w:pPr>
              <w:spacing w:line="0" w:lineRule="atLeast"/>
              <w:ind w:left="-71" w:leftChars="-34" w:right="-71" w:rightChars="-34"/>
              <w:jc w:val="center"/>
              <w:textAlignment w:val="baseline"/>
              <w:rPr>
                <w:b/>
                <w:bCs/>
                <w:szCs w:val="21"/>
                <w:highlight w:val="yellow"/>
              </w:rPr>
            </w:pPr>
            <w:r>
              <w:rPr>
                <w:b/>
                <w:bCs/>
                <w:szCs w:val="21"/>
              </w:rPr>
              <w:t>措施</w:t>
            </w:r>
          </w:p>
        </w:tc>
        <w:tc>
          <w:tcPr>
            <w:tcW w:w="3939" w:type="dxa"/>
            <w:tcBorders>
              <w:left w:val="single" w:color="auto" w:sz="4" w:space="0"/>
              <w:bottom w:val="single" w:color="auto" w:sz="4" w:space="0"/>
            </w:tcBorders>
            <w:shd w:val="pct10" w:color="auto" w:fill="auto"/>
            <w:noWrap w:val="0"/>
            <w:vAlign w:val="center"/>
          </w:tcPr>
          <w:p w14:paraId="14216F2B">
            <w:pPr>
              <w:widowControl/>
              <w:spacing w:line="0" w:lineRule="atLeast"/>
              <w:ind w:left="-71" w:leftChars="-34" w:right="-71" w:rightChars="-34"/>
              <w:jc w:val="center"/>
              <w:rPr>
                <w:b/>
                <w:bCs/>
                <w:szCs w:val="21"/>
              </w:rPr>
            </w:pPr>
            <w:r>
              <w:rPr>
                <w:b/>
                <w:bCs/>
                <w:szCs w:val="21"/>
              </w:rPr>
              <w:t>执行标准</w:t>
            </w:r>
          </w:p>
        </w:tc>
      </w:tr>
      <w:tr w14:paraId="07BEE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restart"/>
            <w:tcBorders>
              <w:top w:val="single" w:color="auto" w:sz="4" w:space="0"/>
              <w:bottom w:val="single" w:color="auto" w:sz="4" w:space="0"/>
              <w:right w:val="single" w:color="auto" w:sz="4" w:space="0"/>
            </w:tcBorders>
            <w:noWrap w:val="0"/>
            <w:vAlign w:val="center"/>
          </w:tcPr>
          <w:p w14:paraId="4F4C4008">
            <w:pPr>
              <w:spacing w:line="0" w:lineRule="atLeast"/>
              <w:ind w:left="-71" w:leftChars="-34" w:right="-71" w:rightChars="-34"/>
              <w:jc w:val="center"/>
              <w:rPr>
                <w:szCs w:val="21"/>
              </w:rPr>
            </w:pPr>
            <w:r>
              <w:rPr>
                <w:szCs w:val="21"/>
              </w:rPr>
              <w:t>废气</w:t>
            </w:r>
          </w:p>
        </w:tc>
        <w:tc>
          <w:tcPr>
            <w:tcW w:w="1935" w:type="dxa"/>
            <w:vMerge w:val="restart"/>
            <w:tcBorders>
              <w:top w:val="single" w:color="auto" w:sz="4" w:space="0"/>
              <w:left w:val="single" w:color="auto" w:sz="4" w:space="0"/>
              <w:right w:val="single" w:color="auto" w:sz="4" w:space="0"/>
            </w:tcBorders>
            <w:noWrap w:val="0"/>
            <w:vAlign w:val="center"/>
          </w:tcPr>
          <w:p w14:paraId="58D1A87B">
            <w:pPr>
              <w:spacing w:line="0" w:lineRule="atLeast"/>
              <w:ind w:left="-71" w:leftChars="-34" w:right="-71" w:rightChars="-34"/>
              <w:jc w:val="center"/>
              <w:rPr>
                <w:szCs w:val="21"/>
              </w:rPr>
            </w:pPr>
            <w:r>
              <w:rPr>
                <w:szCs w:val="21"/>
              </w:rPr>
              <w:t>恶臭气体</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6790C194">
            <w:pPr>
              <w:spacing w:line="0" w:lineRule="atLeast"/>
              <w:ind w:left="-71" w:leftChars="-34" w:right="-71" w:rightChars="-34"/>
              <w:jc w:val="center"/>
              <w:rPr>
                <w:szCs w:val="21"/>
              </w:rPr>
            </w:pPr>
            <w:r>
              <w:rPr>
                <w:szCs w:val="21"/>
              </w:rPr>
              <w:t>养殖、污水处理工程等恶臭</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4150B007">
            <w:pPr>
              <w:ind w:firstLine="420" w:firstLineChars="200"/>
              <w:rPr>
                <w:szCs w:val="21"/>
              </w:rPr>
            </w:pPr>
            <w:r>
              <w:rPr>
                <w:szCs w:val="21"/>
              </w:rPr>
              <w:t>（1）养殖场环境质量及卫生控制应符合《畜禽场环境质量及卫生控制规范》（NY/T1167-2006）的有关要求；猪粪采用干清粪的方式，日产日清。</w:t>
            </w:r>
          </w:p>
          <w:p w14:paraId="67AA21BF">
            <w:pPr>
              <w:ind w:firstLine="420" w:firstLineChars="200"/>
              <w:rPr>
                <w:szCs w:val="21"/>
              </w:rPr>
            </w:pPr>
            <w:r>
              <w:rPr>
                <w:szCs w:val="21"/>
              </w:rPr>
              <w:t>（2）合理搭配饲料，并在饲料中添加1‰比例的益生素提高日粮消化率、减少干物质（蛋白质）排出量。</w:t>
            </w:r>
          </w:p>
          <w:p w14:paraId="796F490B">
            <w:pPr>
              <w:ind w:firstLine="420" w:firstLineChars="200"/>
              <w:rPr>
                <w:szCs w:val="21"/>
              </w:rPr>
            </w:pPr>
            <w:r>
              <w:rPr>
                <w:szCs w:val="21"/>
              </w:rPr>
              <w:t>（3）向粪便、猪舍投放锯末等含纤维素、木质素较多的吸附剂材料；</w:t>
            </w:r>
          </w:p>
          <w:p w14:paraId="77D57357">
            <w:pPr>
              <w:ind w:firstLine="420" w:firstLineChars="200"/>
              <w:rPr>
                <w:szCs w:val="21"/>
              </w:rPr>
            </w:pPr>
            <w:r>
              <w:rPr>
                <w:szCs w:val="21"/>
              </w:rPr>
              <w:t>（4）猪舍定期喷洒除臭剂。</w:t>
            </w:r>
          </w:p>
          <w:p w14:paraId="7DDBAE2B">
            <w:pPr>
              <w:ind w:firstLine="420" w:firstLineChars="200"/>
              <w:rPr>
                <w:szCs w:val="21"/>
              </w:rPr>
            </w:pPr>
            <w:r>
              <w:rPr>
                <w:szCs w:val="21"/>
              </w:rPr>
              <w:t>（5）固粪堆肥发酵区封闭式+好氧堆肥+负压收集+过滤除臭装置对固粪处理区的恶臭气体进行处理。</w:t>
            </w:r>
          </w:p>
          <w:p w14:paraId="76CFA868">
            <w:pPr>
              <w:ind w:firstLine="420" w:firstLineChars="200"/>
              <w:rPr>
                <w:szCs w:val="21"/>
              </w:rPr>
            </w:pPr>
            <w:r>
              <w:rPr>
                <w:szCs w:val="21"/>
              </w:rPr>
              <w:t>（6）无害化处理车间废气密闭设备+负压收集+光解催化氧化+15m排气筒排放</w:t>
            </w:r>
            <w:r>
              <w:rPr>
                <w:kern w:val="0"/>
                <w:szCs w:val="21"/>
                <w:lang w:bidi="en-US"/>
              </w:rPr>
              <w:t>；</w:t>
            </w:r>
          </w:p>
          <w:p w14:paraId="136C9A16">
            <w:pPr>
              <w:spacing w:line="0" w:lineRule="atLeast"/>
              <w:ind w:left="-71" w:leftChars="-34" w:right="-71" w:rightChars="-34" w:firstLine="420" w:firstLineChars="200"/>
              <w:rPr>
                <w:szCs w:val="21"/>
                <w:highlight w:val="yellow"/>
              </w:rPr>
            </w:pPr>
            <w:r>
              <w:rPr>
                <w:szCs w:val="21"/>
              </w:rPr>
              <w:t>（7）在项目区内宜种植高大常绿的乔木，并设置能吸收臭气、净化空气作用的绿化隔离带，以减少臭气对环境的影响。</w:t>
            </w:r>
          </w:p>
        </w:tc>
        <w:tc>
          <w:tcPr>
            <w:tcW w:w="3939" w:type="dxa"/>
            <w:vMerge w:val="restart"/>
            <w:tcBorders>
              <w:top w:val="single" w:color="auto" w:sz="4" w:space="0"/>
              <w:left w:val="single" w:color="auto" w:sz="4" w:space="0"/>
            </w:tcBorders>
            <w:noWrap w:val="0"/>
            <w:vAlign w:val="center"/>
          </w:tcPr>
          <w:p w14:paraId="3F09B049">
            <w:pPr>
              <w:ind w:left="-71" w:leftChars="-34" w:right="-71" w:rightChars="-34" w:firstLine="420" w:firstLineChars="200"/>
              <w:rPr>
                <w:szCs w:val="21"/>
              </w:rPr>
            </w:pPr>
            <w:r>
              <w:rPr>
                <w:szCs w:val="21"/>
              </w:rPr>
              <w:t>无组织排放达到《恶臭污染物排放标准》GB14554-93中无组织排放场界标准值二级新建要求，即：</w:t>
            </w:r>
            <w:r>
              <w:rPr>
                <w:szCs w:val="21"/>
                <w:lang w:val="pt-BR"/>
              </w:rPr>
              <w:t>H</w:t>
            </w:r>
            <w:r>
              <w:rPr>
                <w:szCs w:val="21"/>
                <w:vertAlign w:val="subscript"/>
                <w:lang w:val="pt-BR"/>
              </w:rPr>
              <w:t>2</w:t>
            </w:r>
            <w:r>
              <w:rPr>
                <w:szCs w:val="21"/>
                <w:lang w:val="pt-BR"/>
              </w:rPr>
              <w:t>S：0.06mg/m</w:t>
            </w:r>
            <w:r>
              <w:rPr>
                <w:szCs w:val="21"/>
                <w:vertAlign w:val="superscript"/>
                <w:lang w:val="pt-BR"/>
              </w:rPr>
              <w:t>3</w:t>
            </w:r>
            <w:r>
              <w:rPr>
                <w:szCs w:val="21"/>
                <w:lang w:val="pt-BR"/>
              </w:rPr>
              <w:t>；NH3：1.5mg/m</w:t>
            </w:r>
            <w:r>
              <w:rPr>
                <w:szCs w:val="21"/>
                <w:vertAlign w:val="superscript"/>
                <w:lang w:val="pt-BR"/>
              </w:rPr>
              <w:t>3</w:t>
            </w:r>
            <w:r>
              <w:rPr>
                <w:szCs w:val="21"/>
              </w:rPr>
              <w:t>厂界臭气浓度达到《畜禽养殖业污染物排放标准》（</w:t>
            </w:r>
            <w:r>
              <w:rPr>
                <w:rFonts w:eastAsia="Times New Roman"/>
                <w:szCs w:val="21"/>
              </w:rPr>
              <w:t>GB18596-2001</w:t>
            </w:r>
            <w:r>
              <w:rPr>
                <w:szCs w:val="21"/>
              </w:rPr>
              <w:t>）中70的要求。</w:t>
            </w:r>
          </w:p>
          <w:p w14:paraId="1C80B880">
            <w:pPr>
              <w:ind w:left="-71" w:leftChars="-34" w:right="-71" w:rightChars="-34" w:firstLine="420" w:firstLineChars="200"/>
              <w:rPr>
                <w:rFonts w:eastAsia="Calibri"/>
                <w:szCs w:val="21"/>
              </w:rPr>
            </w:pPr>
            <w:r>
              <w:rPr>
                <w:szCs w:val="21"/>
              </w:rPr>
              <w:t>有组织排放达到《恶臭污染物排放标准》GB14554-93中表2中15高排气筒要求，即：</w:t>
            </w:r>
            <w:r>
              <w:rPr>
                <w:szCs w:val="21"/>
                <w:lang w:val="pt-BR"/>
              </w:rPr>
              <w:t>H</w:t>
            </w:r>
            <w:r>
              <w:rPr>
                <w:szCs w:val="21"/>
                <w:vertAlign w:val="subscript"/>
                <w:lang w:val="pt-BR"/>
              </w:rPr>
              <w:t>2</w:t>
            </w:r>
            <w:r>
              <w:rPr>
                <w:szCs w:val="21"/>
                <w:lang w:val="pt-BR"/>
              </w:rPr>
              <w:t>S：</w:t>
            </w:r>
            <w:r>
              <w:rPr>
                <w:szCs w:val="21"/>
              </w:rPr>
              <w:t>0.33k</w:t>
            </w:r>
            <w:r>
              <w:rPr>
                <w:szCs w:val="21"/>
                <w:lang w:val="pt-BR"/>
              </w:rPr>
              <w:t>g/</w:t>
            </w:r>
            <w:r>
              <w:rPr>
                <w:szCs w:val="21"/>
              </w:rPr>
              <w:t>h</w:t>
            </w:r>
            <w:r>
              <w:rPr>
                <w:szCs w:val="21"/>
                <w:lang w:val="pt-BR"/>
              </w:rPr>
              <w:t>；NH</w:t>
            </w:r>
            <w:r>
              <w:rPr>
                <w:szCs w:val="21"/>
                <w:vertAlign w:val="subscript"/>
                <w:lang w:val="pt-BR"/>
              </w:rPr>
              <w:t>3</w:t>
            </w:r>
            <w:r>
              <w:rPr>
                <w:szCs w:val="21"/>
                <w:lang w:val="pt-BR"/>
              </w:rPr>
              <w:t>：</w:t>
            </w:r>
            <w:r>
              <w:rPr>
                <w:szCs w:val="21"/>
              </w:rPr>
              <w:t>4.9k</w:t>
            </w:r>
            <w:r>
              <w:rPr>
                <w:szCs w:val="21"/>
                <w:lang w:val="pt-BR"/>
              </w:rPr>
              <w:t>g/</w:t>
            </w:r>
            <w:r>
              <w:rPr>
                <w:szCs w:val="21"/>
              </w:rPr>
              <w:t>h</w:t>
            </w:r>
          </w:p>
        </w:tc>
      </w:tr>
      <w:tr w14:paraId="436BD2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49D39B93">
            <w:pPr>
              <w:spacing w:line="0" w:lineRule="atLeast"/>
              <w:ind w:left="-71" w:leftChars="-34" w:right="-71" w:rightChars="-34"/>
              <w:jc w:val="center"/>
              <w:rPr>
                <w:szCs w:val="21"/>
              </w:rPr>
            </w:pPr>
          </w:p>
        </w:tc>
        <w:tc>
          <w:tcPr>
            <w:tcW w:w="1935" w:type="dxa"/>
            <w:vMerge w:val="continue"/>
            <w:tcBorders>
              <w:left w:val="single" w:color="auto" w:sz="4" w:space="0"/>
              <w:right w:val="single" w:color="auto" w:sz="4" w:space="0"/>
            </w:tcBorders>
            <w:noWrap w:val="0"/>
            <w:vAlign w:val="center"/>
          </w:tcPr>
          <w:p w14:paraId="37928655">
            <w:pPr>
              <w:spacing w:line="0" w:lineRule="atLeast"/>
              <w:ind w:left="-71" w:leftChars="-34" w:right="-71" w:rightChars="-34"/>
              <w:jc w:val="center"/>
              <w:rPr>
                <w:szCs w:val="21"/>
              </w:rPr>
            </w:pPr>
          </w:p>
        </w:tc>
        <w:tc>
          <w:tcPr>
            <w:tcW w:w="2797" w:type="dxa"/>
            <w:tcBorders>
              <w:top w:val="single" w:color="auto" w:sz="4" w:space="0"/>
              <w:left w:val="single" w:color="auto" w:sz="4" w:space="0"/>
              <w:bottom w:val="single" w:color="auto" w:sz="4" w:space="0"/>
              <w:right w:val="single" w:color="auto" w:sz="4" w:space="0"/>
            </w:tcBorders>
            <w:noWrap w:val="0"/>
            <w:vAlign w:val="center"/>
          </w:tcPr>
          <w:p w14:paraId="01E86F54">
            <w:pPr>
              <w:spacing w:line="0" w:lineRule="atLeast"/>
              <w:ind w:left="-71" w:leftChars="-34" w:right="-71" w:rightChars="-34"/>
              <w:jc w:val="center"/>
              <w:rPr>
                <w:szCs w:val="21"/>
              </w:rPr>
            </w:pPr>
            <w:r>
              <w:rPr>
                <w:szCs w:val="21"/>
              </w:rPr>
              <w:t>污水处理站</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1DE95699">
            <w:pPr>
              <w:ind w:firstLine="420" w:firstLineChars="200"/>
              <w:rPr>
                <w:bCs/>
                <w:szCs w:val="21"/>
              </w:rPr>
            </w:pPr>
            <w:r>
              <w:rPr>
                <w:szCs w:val="21"/>
              </w:rPr>
              <w:t>（1）</w:t>
            </w:r>
            <w:r>
              <w:rPr>
                <w:bCs/>
                <w:szCs w:val="21"/>
              </w:rPr>
              <w:t>收集池、调节池、污水处理设施及沼液储存池进行加盖封闭；</w:t>
            </w:r>
          </w:p>
          <w:p w14:paraId="45A3DF1D">
            <w:pPr>
              <w:spacing w:line="0" w:lineRule="atLeast"/>
              <w:ind w:left="-71" w:leftChars="-34" w:right="-71" w:rightChars="-34"/>
              <w:jc w:val="center"/>
              <w:rPr>
                <w:spacing w:val="-6"/>
                <w:kern w:val="0"/>
                <w:szCs w:val="21"/>
              </w:rPr>
            </w:pPr>
            <w:r>
              <w:rPr>
                <w:bCs/>
                <w:szCs w:val="21"/>
              </w:rPr>
              <w:t xml:space="preserve">    （2）对收集池、调节池、污水处理设施及沼液储存池喷洒除臭剂，并加强污水处理站周围绿化。</w:t>
            </w:r>
          </w:p>
        </w:tc>
        <w:tc>
          <w:tcPr>
            <w:tcW w:w="3939" w:type="dxa"/>
            <w:vMerge w:val="continue"/>
            <w:tcBorders>
              <w:left w:val="single" w:color="auto" w:sz="4" w:space="0"/>
            </w:tcBorders>
            <w:noWrap w:val="0"/>
            <w:vAlign w:val="center"/>
          </w:tcPr>
          <w:p w14:paraId="5ABD7D04">
            <w:pPr>
              <w:spacing w:line="0" w:lineRule="atLeast"/>
              <w:ind w:left="-71" w:leftChars="-34" w:right="-71" w:rightChars="-34"/>
              <w:jc w:val="center"/>
              <w:rPr>
                <w:szCs w:val="21"/>
              </w:rPr>
            </w:pPr>
          </w:p>
        </w:tc>
      </w:tr>
      <w:tr w14:paraId="5D818C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31FFC545">
            <w:pPr>
              <w:spacing w:line="0" w:lineRule="atLeast"/>
              <w:ind w:left="-71" w:leftChars="-34" w:right="-71" w:rightChars="-34"/>
              <w:jc w:val="center"/>
              <w:rPr>
                <w:szCs w:val="21"/>
              </w:rPr>
            </w:pPr>
          </w:p>
        </w:tc>
        <w:tc>
          <w:tcPr>
            <w:tcW w:w="1935" w:type="dxa"/>
            <w:vMerge w:val="continue"/>
            <w:tcBorders>
              <w:left w:val="single" w:color="auto" w:sz="4" w:space="0"/>
              <w:bottom w:val="single" w:color="auto" w:sz="4" w:space="0"/>
              <w:right w:val="single" w:color="auto" w:sz="4" w:space="0"/>
            </w:tcBorders>
            <w:noWrap w:val="0"/>
            <w:vAlign w:val="center"/>
          </w:tcPr>
          <w:p w14:paraId="7D7CEF0A">
            <w:pPr>
              <w:spacing w:line="0" w:lineRule="atLeast"/>
              <w:ind w:left="-71" w:leftChars="-34" w:right="-71" w:rightChars="-34"/>
              <w:jc w:val="center"/>
              <w:rPr>
                <w:szCs w:val="21"/>
              </w:rPr>
            </w:pPr>
          </w:p>
        </w:tc>
        <w:tc>
          <w:tcPr>
            <w:tcW w:w="2797" w:type="dxa"/>
            <w:tcBorders>
              <w:top w:val="single" w:color="auto" w:sz="4" w:space="0"/>
              <w:left w:val="single" w:color="auto" w:sz="4" w:space="0"/>
              <w:bottom w:val="single" w:color="auto" w:sz="4" w:space="0"/>
              <w:right w:val="single" w:color="auto" w:sz="4" w:space="0"/>
            </w:tcBorders>
            <w:noWrap w:val="0"/>
            <w:vAlign w:val="center"/>
          </w:tcPr>
          <w:p w14:paraId="19B5AD28">
            <w:pPr>
              <w:spacing w:line="0" w:lineRule="atLeast"/>
              <w:ind w:left="-71" w:leftChars="-34" w:right="-71" w:rightChars="-34"/>
              <w:jc w:val="center"/>
              <w:rPr>
                <w:szCs w:val="21"/>
              </w:rPr>
            </w:pPr>
            <w:r>
              <w:rPr>
                <w:szCs w:val="21"/>
              </w:rPr>
              <w:t>无害化处理处置</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71018279">
            <w:pPr>
              <w:spacing w:line="0" w:lineRule="atLeast"/>
              <w:ind w:left="-71" w:leftChars="-34" w:right="-71" w:rightChars="-34"/>
              <w:jc w:val="center"/>
              <w:rPr>
                <w:szCs w:val="21"/>
              </w:rPr>
            </w:pPr>
            <w:r>
              <w:rPr>
                <w:szCs w:val="21"/>
              </w:rPr>
              <w:t>密闭设备+负压收集+光解催化氧化+15m排气筒排放</w:t>
            </w:r>
          </w:p>
        </w:tc>
        <w:tc>
          <w:tcPr>
            <w:tcW w:w="3939" w:type="dxa"/>
            <w:vMerge w:val="continue"/>
            <w:tcBorders>
              <w:left w:val="single" w:color="auto" w:sz="4" w:space="0"/>
              <w:bottom w:val="single" w:color="auto" w:sz="4" w:space="0"/>
            </w:tcBorders>
            <w:noWrap w:val="0"/>
            <w:vAlign w:val="center"/>
          </w:tcPr>
          <w:p w14:paraId="6F1CD4A3">
            <w:pPr>
              <w:spacing w:line="0" w:lineRule="atLeast"/>
              <w:ind w:left="-71" w:leftChars="-34" w:right="-71" w:rightChars="-34"/>
              <w:jc w:val="center"/>
              <w:rPr>
                <w:szCs w:val="21"/>
              </w:rPr>
            </w:pPr>
          </w:p>
        </w:tc>
      </w:tr>
      <w:tr w14:paraId="4A834B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top w:val="single" w:color="auto" w:sz="4" w:space="0"/>
              <w:bottom w:val="single" w:color="auto" w:sz="4" w:space="0"/>
              <w:right w:val="single" w:color="auto" w:sz="4" w:space="0"/>
            </w:tcBorders>
            <w:noWrap w:val="0"/>
            <w:vAlign w:val="center"/>
          </w:tcPr>
          <w:p w14:paraId="651450CA">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CF9E242">
            <w:pPr>
              <w:spacing w:line="0" w:lineRule="atLeast"/>
              <w:ind w:left="-71" w:leftChars="-34" w:right="-71" w:rightChars="-34"/>
              <w:jc w:val="center"/>
              <w:rPr>
                <w:szCs w:val="21"/>
              </w:rPr>
            </w:pPr>
            <w:r>
              <w:rPr>
                <w:szCs w:val="21"/>
              </w:rPr>
              <w:t>油烟净化设施及</w:t>
            </w:r>
          </w:p>
          <w:p w14:paraId="5C81D1A3">
            <w:pPr>
              <w:spacing w:line="0" w:lineRule="atLeast"/>
              <w:ind w:left="-71" w:leftChars="-34" w:right="-71" w:rightChars="-34"/>
              <w:jc w:val="center"/>
              <w:rPr>
                <w:szCs w:val="21"/>
              </w:rPr>
            </w:pPr>
            <w:r>
              <w:rPr>
                <w:szCs w:val="21"/>
              </w:rPr>
              <w:t>排气筒</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5E211D7A">
            <w:pPr>
              <w:spacing w:line="0" w:lineRule="atLeast"/>
              <w:ind w:left="-71" w:leftChars="-34" w:right="-71" w:rightChars="-34"/>
              <w:jc w:val="center"/>
              <w:rPr>
                <w:szCs w:val="21"/>
              </w:rPr>
            </w:pPr>
            <w:r>
              <w:rPr>
                <w:szCs w:val="21"/>
              </w:rPr>
              <w:t>食堂油烟</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4B06E406">
            <w:pPr>
              <w:spacing w:line="0" w:lineRule="atLeast"/>
              <w:ind w:left="-71" w:leftChars="-34" w:right="-71" w:rightChars="-34"/>
              <w:jc w:val="center"/>
              <w:rPr>
                <w:szCs w:val="21"/>
                <w:highlight w:val="yellow"/>
              </w:rPr>
            </w:pPr>
            <w:r>
              <w:rPr>
                <w:szCs w:val="21"/>
              </w:rPr>
              <w:t>设油烟净化器及高于自身建筑物1.5m的排气筒</w:t>
            </w:r>
          </w:p>
        </w:tc>
        <w:tc>
          <w:tcPr>
            <w:tcW w:w="3939" w:type="dxa"/>
            <w:tcBorders>
              <w:top w:val="single" w:color="auto" w:sz="4" w:space="0"/>
              <w:left w:val="single" w:color="auto" w:sz="4" w:space="0"/>
              <w:bottom w:val="single" w:color="auto" w:sz="4" w:space="0"/>
            </w:tcBorders>
            <w:noWrap w:val="0"/>
            <w:vAlign w:val="center"/>
          </w:tcPr>
          <w:p w14:paraId="76198005">
            <w:pPr>
              <w:spacing w:line="0" w:lineRule="atLeast"/>
              <w:ind w:left="-71" w:leftChars="-34" w:right="-71" w:rightChars="-34"/>
              <w:jc w:val="center"/>
              <w:rPr>
                <w:szCs w:val="21"/>
                <w:lang w:val="pt-BR"/>
              </w:rPr>
            </w:pPr>
            <w:r>
              <w:rPr>
                <w:szCs w:val="21"/>
              </w:rPr>
              <w:t>GB18483-2001《饮食业油烟排放标准(试行)》油烟最高允许排放浓度：2.0mg/m</w:t>
            </w:r>
            <w:r>
              <w:rPr>
                <w:szCs w:val="21"/>
                <w:vertAlign w:val="superscript"/>
              </w:rPr>
              <w:t>3</w:t>
            </w:r>
          </w:p>
        </w:tc>
      </w:tr>
      <w:tr w14:paraId="48FC5B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restart"/>
            <w:tcBorders>
              <w:top w:val="single" w:color="auto" w:sz="4" w:space="0"/>
              <w:right w:val="single" w:color="auto" w:sz="4" w:space="0"/>
            </w:tcBorders>
            <w:noWrap w:val="0"/>
            <w:vAlign w:val="center"/>
          </w:tcPr>
          <w:p w14:paraId="28FD4B78">
            <w:pPr>
              <w:spacing w:line="0" w:lineRule="atLeast"/>
              <w:ind w:left="-71" w:leftChars="-34" w:right="-71" w:rightChars="-34"/>
              <w:jc w:val="center"/>
              <w:rPr>
                <w:szCs w:val="21"/>
              </w:rPr>
            </w:pPr>
            <w:r>
              <w:rPr>
                <w:szCs w:val="21"/>
              </w:rPr>
              <w:t>废水</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9C5DC03">
            <w:pPr>
              <w:spacing w:line="0" w:lineRule="atLeast"/>
              <w:ind w:left="-71" w:leftChars="-34" w:right="-71" w:rightChars="-34"/>
              <w:jc w:val="center"/>
              <w:rPr>
                <w:szCs w:val="21"/>
              </w:rPr>
            </w:pPr>
            <w:r>
              <w:rPr>
                <w:szCs w:val="21"/>
              </w:rPr>
              <w:t>排污沟渠</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298BB73B">
            <w:pPr>
              <w:spacing w:line="0" w:lineRule="atLeast"/>
              <w:ind w:left="-71" w:leftChars="-34" w:right="-71" w:rightChars="-34"/>
              <w:jc w:val="center"/>
              <w:rPr>
                <w:szCs w:val="21"/>
              </w:rPr>
            </w:pPr>
            <w:r>
              <w:rPr>
                <w:szCs w:val="21"/>
              </w:rPr>
              <w:t>养殖废水</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026E1E29">
            <w:pPr>
              <w:spacing w:line="0" w:lineRule="atLeast"/>
              <w:ind w:left="-71" w:leftChars="-34" w:right="-71" w:rightChars="-34"/>
              <w:jc w:val="center"/>
              <w:rPr>
                <w:szCs w:val="21"/>
              </w:rPr>
            </w:pPr>
            <w:r>
              <w:rPr>
                <w:szCs w:val="21"/>
              </w:rPr>
              <w:t>猪舍、办公生活区与污水处理站相连</w:t>
            </w:r>
          </w:p>
        </w:tc>
        <w:tc>
          <w:tcPr>
            <w:tcW w:w="3939" w:type="dxa"/>
            <w:vMerge w:val="restart"/>
            <w:tcBorders>
              <w:top w:val="single" w:color="auto" w:sz="4" w:space="0"/>
              <w:left w:val="single" w:color="auto" w:sz="4" w:space="0"/>
            </w:tcBorders>
            <w:noWrap w:val="0"/>
            <w:vAlign w:val="center"/>
          </w:tcPr>
          <w:p w14:paraId="2B03525F">
            <w:pPr>
              <w:spacing w:line="0" w:lineRule="atLeast"/>
              <w:ind w:left="-71" w:leftChars="-34" w:right="-71" w:rightChars="-34"/>
              <w:jc w:val="center"/>
              <w:rPr>
                <w:bCs/>
                <w:szCs w:val="21"/>
              </w:rPr>
            </w:pPr>
            <w:r>
              <w:rPr>
                <w:szCs w:val="21"/>
              </w:rPr>
              <w:t>废水集中收集</w:t>
            </w:r>
          </w:p>
        </w:tc>
      </w:tr>
      <w:tr w14:paraId="05F262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4119C2EF">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AFCB4F7">
            <w:pPr>
              <w:spacing w:line="0" w:lineRule="atLeast"/>
              <w:ind w:left="-71" w:leftChars="-34" w:right="-71" w:rightChars="-34"/>
              <w:jc w:val="center"/>
              <w:rPr>
                <w:szCs w:val="21"/>
              </w:rPr>
            </w:pPr>
            <w:r>
              <w:rPr>
                <w:szCs w:val="21"/>
              </w:rPr>
              <w:t>排污管道</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277704A4">
            <w:pPr>
              <w:spacing w:line="0" w:lineRule="atLeast"/>
              <w:ind w:left="-71" w:leftChars="-34" w:right="-71" w:rightChars="-34"/>
              <w:jc w:val="center"/>
              <w:rPr>
                <w:szCs w:val="21"/>
              </w:rPr>
            </w:pPr>
            <w:r>
              <w:rPr>
                <w:szCs w:val="21"/>
              </w:rPr>
              <w:t>生活污水</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5CDAEDA0">
            <w:pPr>
              <w:spacing w:line="0" w:lineRule="atLeast"/>
              <w:ind w:left="-71" w:leftChars="-34" w:right="-71" w:rightChars="-34"/>
              <w:jc w:val="center"/>
              <w:rPr>
                <w:szCs w:val="21"/>
              </w:rPr>
            </w:pPr>
            <w:r>
              <w:rPr>
                <w:szCs w:val="21"/>
              </w:rPr>
              <w:t>生活污水接入综合污水处理站处理</w:t>
            </w:r>
          </w:p>
        </w:tc>
        <w:tc>
          <w:tcPr>
            <w:tcW w:w="3939" w:type="dxa"/>
            <w:vMerge w:val="continue"/>
            <w:tcBorders>
              <w:left w:val="single" w:color="auto" w:sz="4" w:space="0"/>
              <w:bottom w:val="single" w:color="auto" w:sz="4" w:space="0"/>
            </w:tcBorders>
            <w:noWrap w:val="0"/>
            <w:vAlign w:val="center"/>
          </w:tcPr>
          <w:p w14:paraId="65131CC8">
            <w:pPr>
              <w:spacing w:line="0" w:lineRule="atLeast"/>
              <w:ind w:left="-71" w:leftChars="-34" w:right="-71" w:rightChars="-34"/>
              <w:jc w:val="center"/>
              <w:rPr>
                <w:bCs/>
                <w:szCs w:val="21"/>
              </w:rPr>
            </w:pPr>
          </w:p>
        </w:tc>
      </w:tr>
      <w:tr w14:paraId="5FBFC8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41A73F04">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12E0FD6F">
            <w:pPr>
              <w:spacing w:line="0" w:lineRule="atLeast"/>
              <w:ind w:left="-71" w:leftChars="-34" w:right="-71" w:rightChars="-34"/>
              <w:jc w:val="center"/>
              <w:rPr>
                <w:szCs w:val="21"/>
              </w:rPr>
            </w:pPr>
            <w:r>
              <w:rPr>
                <w:szCs w:val="21"/>
              </w:rPr>
              <w:t>隔油池</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4CA46A08">
            <w:pPr>
              <w:spacing w:line="0" w:lineRule="atLeast"/>
              <w:ind w:left="-71" w:leftChars="-34" w:right="-71" w:rightChars="-34"/>
              <w:jc w:val="center"/>
              <w:rPr>
                <w:szCs w:val="21"/>
              </w:rPr>
            </w:pPr>
            <w:r>
              <w:rPr>
                <w:szCs w:val="21"/>
              </w:rPr>
              <w:t>食堂废水</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263A71C8">
            <w:pPr>
              <w:spacing w:line="0" w:lineRule="atLeast"/>
              <w:ind w:left="-71" w:leftChars="-34" w:right="-71" w:rightChars="-34"/>
              <w:jc w:val="center"/>
              <w:rPr>
                <w:szCs w:val="21"/>
              </w:rPr>
            </w:pPr>
            <w:r>
              <w:rPr>
                <w:szCs w:val="21"/>
              </w:rPr>
              <w:t>每个地块设置容积不小于0.25m</w:t>
            </w:r>
            <w:r>
              <w:rPr>
                <w:szCs w:val="21"/>
                <w:vertAlign w:val="superscript"/>
              </w:rPr>
              <w:t>3</w:t>
            </w:r>
          </w:p>
        </w:tc>
        <w:tc>
          <w:tcPr>
            <w:tcW w:w="3939" w:type="dxa"/>
            <w:vMerge w:val="restart"/>
            <w:tcBorders>
              <w:top w:val="single" w:color="auto" w:sz="4" w:space="0"/>
              <w:left w:val="single" w:color="auto" w:sz="4" w:space="0"/>
            </w:tcBorders>
            <w:noWrap w:val="0"/>
            <w:vAlign w:val="center"/>
          </w:tcPr>
          <w:p w14:paraId="1F7DB9C8">
            <w:pPr>
              <w:spacing w:line="0" w:lineRule="atLeast"/>
              <w:ind w:left="-71" w:leftChars="-34" w:right="-71" w:rightChars="-34"/>
              <w:jc w:val="center"/>
              <w:rPr>
                <w:szCs w:val="21"/>
              </w:rPr>
            </w:pPr>
            <w:r>
              <w:rPr>
                <w:szCs w:val="21"/>
              </w:rPr>
              <w:t>废水不外排，回用水达到GB/T18920-2002《城市污水再生利用 城市杂用水水质》中绿化标准</w:t>
            </w:r>
          </w:p>
        </w:tc>
      </w:tr>
      <w:tr w14:paraId="20821C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58AD6421">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E182F09">
            <w:pPr>
              <w:spacing w:line="0" w:lineRule="atLeast"/>
              <w:ind w:left="-71" w:leftChars="-34" w:right="-71" w:rightChars="-34"/>
              <w:jc w:val="center"/>
              <w:rPr>
                <w:szCs w:val="21"/>
              </w:rPr>
            </w:pPr>
            <w:r>
              <w:rPr>
                <w:szCs w:val="21"/>
              </w:rPr>
              <w:t>猪舍</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06CA3B0A">
            <w:pPr>
              <w:ind w:firstLine="420" w:firstLineChars="200"/>
              <w:rPr>
                <w:szCs w:val="21"/>
              </w:rPr>
            </w:pPr>
            <w:r>
              <w:rPr>
                <w:szCs w:val="21"/>
              </w:rPr>
              <w:t>猪舍废水</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198517BC">
            <w:pPr>
              <w:ind w:firstLine="420" w:firstLineChars="200"/>
              <w:rPr>
                <w:szCs w:val="21"/>
              </w:rPr>
            </w:pPr>
            <w:r>
              <w:rPr>
                <w:szCs w:val="21"/>
              </w:rPr>
              <w:t>养殖舍粪尿暂存于猪舍下方的粪污池内，粪污池与猪舍相同长宽，深为1.2m，在距离池底0.8m处有底窗，最大可收集0.8m深的粪尿和冲洗废水</w:t>
            </w:r>
          </w:p>
        </w:tc>
        <w:tc>
          <w:tcPr>
            <w:tcW w:w="3939" w:type="dxa"/>
            <w:vMerge w:val="continue"/>
            <w:tcBorders>
              <w:left w:val="single" w:color="auto" w:sz="4" w:space="0"/>
            </w:tcBorders>
            <w:noWrap w:val="0"/>
            <w:vAlign w:val="center"/>
          </w:tcPr>
          <w:p w14:paraId="52DA2292">
            <w:pPr>
              <w:spacing w:line="0" w:lineRule="atLeast"/>
              <w:ind w:left="-71" w:leftChars="-34" w:right="-71" w:rightChars="-34"/>
              <w:jc w:val="center"/>
              <w:rPr>
                <w:szCs w:val="21"/>
              </w:rPr>
            </w:pPr>
          </w:p>
        </w:tc>
      </w:tr>
      <w:tr w14:paraId="4AC491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7711E50D">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452FE4D">
            <w:pPr>
              <w:spacing w:line="0" w:lineRule="atLeast"/>
              <w:ind w:left="-71" w:leftChars="-34" w:right="-71" w:rightChars="-34"/>
              <w:jc w:val="center"/>
              <w:rPr>
                <w:szCs w:val="21"/>
              </w:rPr>
            </w:pPr>
            <w:r>
              <w:rPr>
                <w:szCs w:val="21"/>
              </w:rPr>
              <w:t>污水处理站</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0258B632">
            <w:pPr>
              <w:spacing w:line="0" w:lineRule="atLeast"/>
              <w:ind w:left="-71" w:leftChars="-34" w:right="-71" w:rightChars="-34"/>
              <w:jc w:val="center"/>
              <w:rPr>
                <w:szCs w:val="21"/>
              </w:rPr>
            </w:pPr>
            <w:r>
              <w:rPr>
                <w:szCs w:val="21"/>
              </w:rPr>
              <w:t>综合废水</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622FBDB1">
            <w:pPr>
              <w:ind w:firstLine="420" w:firstLineChars="200"/>
              <w:rPr>
                <w:szCs w:val="21"/>
              </w:rPr>
            </w:pPr>
            <w:r>
              <w:rPr>
                <w:szCs w:val="21"/>
              </w:rPr>
              <w:t>项目在各养殖场地各建设一座污水处理站，共计5座污水处理站，生活污水及养殖废水收集后进入各自场地污水处理站处理，其中3号养殖场地及2号养殖场地的生活污水统一进入2号场地污水处理站处理；处理规模分别为1号地14m</w:t>
            </w:r>
            <w:r>
              <w:rPr>
                <w:szCs w:val="21"/>
                <w:vertAlign w:val="superscript"/>
              </w:rPr>
              <w:t>3</w:t>
            </w:r>
            <w:r>
              <w:rPr>
                <w:szCs w:val="21"/>
              </w:rPr>
              <w:t>/d，2号地28m</w:t>
            </w:r>
            <w:r>
              <w:rPr>
                <w:szCs w:val="21"/>
                <w:vertAlign w:val="superscript"/>
              </w:rPr>
              <w:t>3</w:t>
            </w:r>
            <w:r>
              <w:rPr>
                <w:szCs w:val="21"/>
              </w:rPr>
              <w:t>/d，3号地12m</w:t>
            </w:r>
            <w:r>
              <w:rPr>
                <w:szCs w:val="21"/>
                <w:vertAlign w:val="superscript"/>
              </w:rPr>
              <w:t>3</w:t>
            </w:r>
            <w:r>
              <w:rPr>
                <w:szCs w:val="21"/>
              </w:rPr>
              <w:t>/d，4号地31m</w:t>
            </w:r>
            <w:r>
              <w:rPr>
                <w:szCs w:val="21"/>
                <w:vertAlign w:val="superscript"/>
              </w:rPr>
              <w:t>3</w:t>
            </w:r>
            <w:r>
              <w:rPr>
                <w:szCs w:val="21"/>
              </w:rPr>
              <w:t>/d，5号地25m</w:t>
            </w:r>
            <w:r>
              <w:rPr>
                <w:szCs w:val="21"/>
                <w:vertAlign w:val="superscript"/>
              </w:rPr>
              <w:t>3</w:t>
            </w:r>
            <w:r>
              <w:rPr>
                <w:szCs w:val="21"/>
              </w:rPr>
              <w:t>/d。处理项目产生的生产废水及生活污水，废水经处理后达标后，处理后暂存于沼液暂存池采用罐车运至苹果园回用于自有苹果园灌溉，不外排。</w:t>
            </w:r>
          </w:p>
        </w:tc>
        <w:tc>
          <w:tcPr>
            <w:tcW w:w="3939" w:type="dxa"/>
            <w:vMerge w:val="continue"/>
            <w:tcBorders>
              <w:left w:val="single" w:color="auto" w:sz="4" w:space="0"/>
            </w:tcBorders>
            <w:noWrap w:val="0"/>
            <w:vAlign w:val="center"/>
          </w:tcPr>
          <w:p w14:paraId="6567D40E">
            <w:pPr>
              <w:spacing w:line="0" w:lineRule="atLeast"/>
              <w:ind w:left="-71" w:leftChars="-34" w:right="-71" w:rightChars="-34"/>
              <w:jc w:val="center"/>
              <w:rPr>
                <w:szCs w:val="21"/>
              </w:rPr>
            </w:pPr>
          </w:p>
        </w:tc>
      </w:tr>
      <w:tr w14:paraId="27FE41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7CF67992">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D6B76FF">
            <w:pPr>
              <w:spacing w:line="0" w:lineRule="atLeast"/>
              <w:ind w:left="-71" w:leftChars="-34" w:right="-71" w:rightChars="-34"/>
              <w:jc w:val="center"/>
              <w:rPr>
                <w:szCs w:val="21"/>
              </w:rPr>
            </w:pPr>
            <w:r>
              <w:rPr>
                <w:szCs w:val="21"/>
              </w:rPr>
              <w:t>沼液暂存池</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13765F2F">
            <w:pPr>
              <w:spacing w:line="0" w:lineRule="atLeast"/>
              <w:ind w:left="-71" w:leftChars="-34" w:right="-71" w:rightChars="-34"/>
              <w:jc w:val="center"/>
              <w:rPr>
                <w:szCs w:val="21"/>
              </w:rPr>
            </w:pPr>
            <w:r>
              <w:rPr>
                <w:szCs w:val="21"/>
              </w:rPr>
              <w:t>沼液</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6813B11D">
            <w:pPr>
              <w:ind w:firstLine="420" w:firstLineChars="200"/>
              <w:rPr>
                <w:szCs w:val="21"/>
              </w:rPr>
            </w:pPr>
            <w:r>
              <w:rPr>
                <w:szCs w:val="21"/>
              </w:rPr>
              <w:t>在各养殖场地各各设置1个沼液储存池，项目设置的沼液储存池为</w:t>
            </w:r>
            <w:r>
              <w:rPr>
                <w:kern w:val="0"/>
                <w:szCs w:val="21"/>
                <w:lang w:bidi="ar"/>
              </w:rPr>
              <w:t>1号地100m</w:t>
            </w:r>
            <w:r>
              <w:rPr>
                <w:kern w:val="0"/>
                <w:szCs w:val="21"/>
                <w:vertAlign w:val="superscript"/>
                <w:lang w:bidi="ar"/>
              </w:rPr>
              <w:t>3</w:t>
            </w:r>
            <w:r>
              <w:rPr>
                <w:kern w:val="0"/>
                <w:szCs w:val="21"/>
                <w:lang w:bidi="ar"/>
              </w:rPr>
              <w:t>，2号地200m</w:t>
            </w:r>
            <w:r>
              <w:rPr>
                <w:kern w:val="0"/>
                <w:szCs w:val="21"/>
                <w:vertAlign w:val="superscript"/>
                <w:lang w:bidi="ar"/>
              </w:rPr>
              <w:t>3</w:t>
            </w:r>
            <w:r>
              <w:rPr>
                <w:kern w:val="0"/>
                <w:szCs w:val="21"/>
                <w:lang w:bidi="ar"/>
              </w:rPr>
              <w:t>，3号地100m</w:t>
            </w:r>
            <w:r>
              <w:rPr>
                <w:kern w:val="0"/>
                <w:szCs w:val="21"/>
                <w:vertAlign w:val="superscript"/>
                <w:lang w:bidi="ar"/>
              </w:rPr>
              <w:t>3</w:t>
            </w:r>
            <w:r>
              <w:rPr>
                <w:kern w:val="0"/>
                <w:szCs w:val="21"/>
                <w:lang w:bidi="ar"/>
              </w:rPr>
              <w:t>，4号地250m</w:t>
            </w:r>
            <w:r>
              <w:rPr>
                <w:kern w:val="0"/>
                <w:szCs w:val="21"/>
                <w:vertAlign w:val="superscript"/>
                <w:lang w:bidi="ar"/>
              </w:rPr>
              <w:t>3</w:t>
            </w:r>
            <w:r>
              <w:rPr>
                <w:kern w:val="0"/>
                <w:szCs w:val="21"/>
                <w:lang w:bidi="ar"/>
              </w:rPr>
              <w:t>，5号地200m</w:t>
            </w:r>
            <w:r>
              <w:rPr>
                <w:kern w:val="0"/>
                <w:szCs w:val="21"/>
                <w:vertAlign w:val="superscript"/>
                <w:lang w:bidi="ar"/>
              </w:rPr>
              <w:t>3</w:t>
            </w:r>
            <w:r>
              <w:rPr>
                <w:kern w:val="0"/>
                <w:szCs w:val="21"/>
                <w:lang w:bidi="ar"/>
              </w:rPr>
              <w:t>，</w:t>
            </w:r>
            <w:r>
              <w:rPr>
                <w:szCs w:val="21"/>
              </w:rPr>
              <w:t>同时在苹果园内设置1座9400m</w:t>
            </w:r>
            <w:r>
              <w:rPr>
                <w:szCs w:val="21"/>
                <w:vertAlign w:val="superscript"/>
              </w:rPr>
              <w:t>3</w:t>
            </w:r>
            <w:r>
              <w:rPr>
                <w:szCs w:val="21"/>
              </w:rPr>
              <w:t>的沼液储存池储存沼液。</w:t>
            </w:r>
          </w:p>
        </w:tc>
        <w:tc>
          <w:tcPr>
            <w:tcW w:w="3939" w:type="dxa"/>
            <w:vMerge w:val="continue"/>
            <w:tcBorders>
              <w:left w:val="single" w:color="auto" w:sz="4" w:space="0"/>
              <w:bottom w:val="single" w:color="auto" w:sz="4" w:space="0"/>
            </w:tcBorders>
            <w:noWrap w:val="0"/>
            <w:vAlign w:val="center"/>
          </w:tcPr>
          <w:p w14:paraId="49950824">
            <w:pPr>
              <w:spacing w:line="0" w:lineRule="atLeast"/>
              <w:ind w:left="-71" w:leftChars="-34" w:right="-71" w:rightChars="-34"/>
              <w:jc w:val="center"/>
              <w:rPr>
                <w:szCs w:val="21"/>
              </w:rPr>
            </w:pPr>
          </w:p>
        </w:tc>
      </w:tr>
      <w:tr w14:paraId="7DAE60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2ACA17FA">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064D8D3">
            <w:pPr>
              <w:spacing w:line="0" w:lineRule="atLeast"/>
              <w:ind w:left="-71" w:leftChars="-34" w:right="-71" w:rightChars="-34"/>
              <w:jc w:val="center"/>
              <w:rPr>
                <w:szCs w:val="21"/>
              </w:rPr>
            </w:pPr>
            <w:r>
              <w:rPr>
                <w:szCs w:val="21"/>
              </w:rPr>
              <w:t>雨水</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38022C8B">
            <w:pPr>
              <w:spacing w:line="0" w:lineRule="atLeast"/>
              <w:ind w:left="-71" w:leftChars="-34" w:right="-71" w:rightChars="-34"/>
              <w:jc w:val="center"/>
              <w:rPr>
                <w:szCs w:val="21"/>
              </w:rPr>
            </w:pPr>
            <w:r>
              <w:rPr>
                <w:szCs w:val="21"/>
              </w:rPr>
              <w:t>初期雨水</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4A57D8DA">
            <w:pPr>
              <w:spacing w:line="0" w:lineRule="atLeast"/>
              <w:ind w:left="-71" w:leftChars="-34" w:right="-71" w:rightChars="-34"/>
              <w:jc w:val="center"/>
              <w:rPr>
                <w:szCs w:val="21"/>
              </w:rPr>
            </w:pPr>
            <w:r>
              <w:rPr>
                <w:szCs w:val="21"/>
              </w:rPr>
              <w:t>场区设置雨水沟和污水管、暗沟，场内雨水可通过雨水沟顺地势直接排出场外；污水经过污水沟收集后进入污水处理站；</w:t>
            </w:r>
          </w:p>
        </w:tc>
        <w:tc>
          <w:tcPr>
            <w:tcW w:w="3939" w:type="dxa"/>
            <w:tcBorders>
              <w:left w:val="single" w:color="auto" w:sz="4" w:space="0"/>
              <w:bottom w:val="single" w:color="auto" w:sz="4" w:space="0"/>
            </w:tcBorders>
            <w:noWrap w:val="0"/>
            <w:vAlign w:val="center"/>
          </w:tcPr>
          <w:p w14:paraId="15DCF7EF">
            <w:pPr>
              <w:spacing w:line="0" w:lineRule="atLeast"/>
              <w:ind w:left="-71" w:leftChars="-34" w:right="-71" w:rightChars="-34"/>
              <w:jc w:val="center"/>
              <w:rPr>
                <w:szCs w:val="21"/>
              </w:rPr>
            </w:pPr>
            <w:r>
              <w:rPr>
                <w:szCs w:val="21"/>
              </w:rPr>
              <w:t>初期雨水不外排</w:t>
            </w:r>
          </w:p>
        </w:tc>
      </w:tr>
      <w:tr w14:paraId="4A9218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4" w:space="0"/>
            </w:tcBorders>
            <w:noWrap w:val="0"/>
            <w:vAlign w:val="center"/>
          </w:tcPr>
          <w:p w14:paraId="19DCC22E">
            <w:pPr>
              <w:spacing w:line="0" w:lineRule="atLeast"/>
              <w:ind w:left="-71" w:leftChars="-34" w:right="-71" w:rightChars="-34"/>
              <w:jc w:val="center"/>
              <w:rPr>
                <w:szCs w:val="21"/>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73D1E2C">
            <w:pPr>
              <w:spacing w:line="0" w:lineRule="atLeast"/>
              <w:ind w:left="-71" w:leftChars="-34" w:right="-71" w:rightChars="-34"/>
              <w:jc w:val="center"/>
              <w:rPr>
                <w:szCs w:val="21"/>
              </w:rPr>
            </w:pPr>
            <w:r>
              <w:rPr>
                <w:szCs w:val="21"/>
              </w:rPr>
              <w:t>固粪渗滤液</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0F39E099">
            <w:pPr>
              <w:spacing w:line="0" w:lineRule="atLeast"/>
              <w:ind w:left="-71" w:leftChars="-34" w:right="-71" w:rightChars="-34"/>
              <w:jc w:val="center"/>
              <w:rPr>
                <w:szCs w:val="21"/>
              </w:rPr>
            </w:pPr>
            <w:r>
              <w:rPr>
                <w:szCs w:val="21"/>
              </w:rPr>
              <w:t>渗滤液导排沟</w:t>
            </w:r>
          </w:p>
        </w:tc>
        <w:tc>
          <w:tcPr>
            <w:tcW w:w="5018" w:type="dxa"/>
            <w:tcBorders>
              <w:top w:val="single" w:color="auto" w:sz="4" w:space="0"/>
              <w:left w:val="single" w:color="auto" w:sz="4" w:space="0"/>
              <w:bottom w:val="single" w:color="auto" w:sz="4" w:space="0"/>
              <w:right w:val="single" w:color="auto" w:sz="4" w:space="0"/>
            </w:tcBorders>
            <w:noWrap w:val="0"/>
            <w:vAlign w:val="center"/>
          </w:tcPr>
          <w:p w14:paraId="0B308A70">
            <w:pPr>
              <w:spacing w:line="0" w:lineRule="atLeast"/>
              <w:ind w:left="-71" w:leftChars="-34" w:right="-71" w:rightChars="-34"/>
              <w:jc w:val="center"/>
              <w:rPr>
                <w:szCs w:val="21"/>
              </w:rPr>
            </w:pPr>
            <w:r>
              <w:rPr>
                <w:szCs w:val="21"/>
              </w:rPr>
              <w:t>固粪处理区、无害化处理车间封闭建设，设置顶棚、围堰防止污染物流失，固粪处理区设置渗滤液导排沟，渗滤液导入污水处理站处理；</w:t>
            </w:r>
          </w:p>
        </w:tc>
        <w:tc>
          <w:tcPr>
            <w:tcW w:w="3939" w:type="dxa"/>
            <w:tcBorders>
              <w:left w:val="single" w:color="auto" w:sz="4" w:space="0"/>
              <w:bottom w:val="single" w:color="auto" w:sz="4" w:space="0"/>
            </w:tcBorders>
            <w:noWrap w:val="0"/>
            <w:vAlign w:val="center"/>
          </w:tcPr>
          <w:p w14:paraId="5959258A">
            <w:pPr>
              <w:spacing w:line="0" w:lineRule="atLeast"/>
              <w:ind w:left="-71" w:leftChars="-34" w:right="-71" w:rightChars="-34"/>
              <w:jc w:val="center"/>
              <w:rPr>
                <w:szCs w:val="21"/>
              </w:rPr>
            </w:pPr>
          </w:p>
        </w:tc>
      </w:tr>
      <w:tr w14:paraId="241A5F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restart"/>
            <w:tcBorders>
              <w:top w:val="single" w:color="auto" w:sz="4" w:space="0"/>
            </w:tcBorders>
            <w:noWrap w:val="0"/>
            <w:vAlign w:val="center"/>
          </w:tcPr>
          <w:p w14:paraId="455BBA8E">
            <w:pPr>
              <w:spacing w:line="0" w:lineRule="atLeast"/>
              <w:ind w:left="-71" w:leftChars="-34" w:right="-71" w:rightChars="-34"/>
              <w:jc w:val="center"/>
              <w:rPr>
                <w:szCs w:val="21"/>
              </w:rPr>
            </w:pPr>
            <w:r>
              <w:rPr>
                <w:szCs w:val="21"/>
              </w:rPr>
              <w:t>噪声</w:t>
            </w:r>
          </w:p>
        </w:tc>
        <w:tc>
          <w:tcPr>
            <w:tcW w:w="1935" w:type="dxa"/>
            <w:vMerge w:val="restart"/>
            <w:noWrap w:val="0"/>
            <w:vAlign w:val="center"/>
          </w:tcPr>
          <w:p w14:paraId="46A700A9">
            <w:pPr>
              <w:spacing w:line="0" w:lineRule="atLeast"/>
              <w:ind w:left="-71" w:leftChars="-34" w:right="-71" w:rightChars="-34"/>
              <w:jc w:val="center"/>
              <w:rPr>
                <w:szCs w:val="21"/>
              </w:rPr>
            </w:pPr>
            <w:r>
              <w:rPr>
                <w:szCs w:val="21"/>
              </w:rPr>
              <w:t>降噪措施</w:t>
            </w:r>
          </w:p>
        </w:tc>
        <w:tc>
          <w:tcPr>
            <w:tcW w:w="2797" w:type="dxa"/>
            <w:tcBorders>
              <w:bottom w:val="single" w:color="auto" w:sz="4" w:space="0"/>
            </w:tcBorders>
            <w:noWrap w:val="0"/>
            <w:vAlign w:val="center"/>
          </w:tcPr>
          <w:p w14:paraId="5D7E34BA">
            <w:pPr>
              <w:spacing w:line="0" w:lineRule="atLeast"/>
              <w:ind w:left="-174" w:leftChars="-83" w:right="-174" w:rightChars="-83"/>
              <w:jc w:val="center"/>
              <w:rPr>
                <w:szCs w:val="21"/>
              </w:rPr>
            </w:pPr>
            <w:r>
              <w:rPr>
                <w:szCs w:val="21"/>
              </w:rPr>
              <w:t>猪叫声</w:t>
            </w:r>
          </w:p>
        </w:tc>
        <w:tc>
          <w:tcPr>
            <w:tcW w:w="5018" w:type="dxa"/>
            <w:tcBorders>
              <w:bottom w:val="single" w:color="auto" w:sz="4" w:space="0"/>
            </w:tcBorders>
            <w:noWrap w:val="0"/>
            <w:vAlign w:val="center"/>
          </w:tcPr>
          <w:p w14:paraId="2FEC1DFA">
            <w:pPr>
              <w:spacing w:line="0" w:lineRule="atLeast"/>
              <w:ind w:left="-71" w:leftChars="-34" w:right="-71" w:rightChars="-34"/>
              <w:jc w:val="center"/>
              <w:rPr>
                <w:szCs w:val="21"/>
              </w:rPr>
            </w:pPr>
            <w:r>
              <w:rPr>
                <w:szCs w:val="21"/>
              </w:rPr>
              <w:t>喂足饲料和水，避免饥渴及突发性噪声</w:t>
            </w:r>
          </w:p>
        </w:tc>
        <w:tc>
          <w:tcPr>
            <w:tcW w:w="3939" w:type="dxa"/>
            <w:vMerge w:val="restart"/>
            <w:noWrap w:val="0"/>
            <w:vAlign w:val="center"/>
          </w:tcPr>
          <w:p w14:paraId="1A5C932C">
            <w:pPr>
              <w:spacing w:line="0" w:lineRule="atLeast"/>
              <w:ind w:left="-71" w:leftChars="-34" w:right="-71" w:rightChars="-34"/>
              <w:jc w:val="center"/>
              <w:rPr>
                <w:szCs w:val="21"/>
              </w:rPr>
            </w:pPr>
            <w:r>
              <w:rPr>
                <w:szCs w:val="21"/>
              </w:rPr>
              <w:t>GB12348-2008《工业企业厂界环境噪声排放标准》2类标准，即：昼间60dB（A）；夜间50dB（A）</w:t>
            </w:r>
          </w:p>
        </w:tc>
      </w:tr>
      <w:tr w14:paraId="5F3648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0F2E521B">
            <w:pPr>
              <w:spacing w:line="0" w:lineRule="atLeast"/>
              <w:ind w:left="-71" w:leftChars="-34" w:right="-71" w:rightChars="-34"/>
              <w:jc w:val="center"/>
              <w:rPr>
                <w:szCs w:val="21"/>
              </w:rPr>
            </w:pPr>
          </w:p>
        </w:tc>
        <w:tc>
          <w:tcPr>
            <w:tcW w:w="1935" w:type="dxa"/>
            <w:vMerge w:val="continue"/>
            <w:noWrap w:val="0"/>
            <w:vAlign w:val="center"/>
          </w:tcPr>
          <w:p w14:paraId="50CC7086">
            <w:pPr>
              <w:spacing w:line="0" w:lineRule="atLeast"/>
              <w:ind w:left="-71" w:leftChars="-34" w:right="-71" w:rightChars="-34"/>
              <w:jc w:val="center"/>
              <w:rPr>
                <w:szCs w:val="21"/>
              </w:rPr>
            </w:pPr>
          </w:p>
        </w:tc>
        <w:tc>
          <w:tcPr>
            <w:tcW w:w="2797" w:type="dxa"/>
            <w:tcBorders>
              <w:top w:val="single" w:color="auto" w:sz="4" w:space="0"/>
            </w:tcBorders>
            <w:noWrap w:val="0"/>
            <w:vAlign w:val="center"/>
          </w:tcPr>
          <w:p w14:paraId="3522282B">
            <w:pPr>
              <w:spacing w:line="0" w:lineRule="atLeast"/>
              <w:ind w:left="-174" w:leftChars="-83" w:right="-174" w:rightChars="-83"/>
              <w:jc w:val="center"/>
              <w:rPr>
                <w:spacing w:val="8"/>
                <w:szCs w:val="21"/>
              </w:rPr>
            </w:pPr>
            <w:r>
              <w:rPr>
                <w:spacing w:val="8"/>
                <w:szCs w:val="21"/>
              </w:rPr>
              <w:t>猪舍通风、固粪堆肥发酵废气处理设备及污水处理站设备等噪声</w:t>
            </w:r>
          </w:p>
        </w:tc>
        <w:tc>
          <w:tcPr>
            <w:tcW w:w="5018" w:type="dxa"/>
            <w:tcBorders>
              <w:top w:val="single" w:color="auto" w:sz="4" w:space="0"/>
            </w:tcBorders>
            <w:noWrap w:val="0"/>
            <w:vAlign w:val="center"/>
          </w:tcPr>
          <w:p w14:paraId="5CBE0179">
            <w:pPr>
              <w:spacing w:line="0" w:lineRule="atLeast"/>
              <w:ind w:left="-71" w:leftChars="-34" w:right="-71" w:rightChars="-34"/>
              <w:jc w:val="center"/>
              <w:rPr>
                <w:szCs w:val="21"/>
              </w:rPr>
            </w:pPr>
            <w:r>
              <w:rPr>
                <w:szCs w:val="21"/>
              </w:rPr>
              <w:t>选低噪声设备；采取减震、消声、隔声、合理布局等降噪措施</w:t>
            </w:r>
          </w:p>
        </w:tc>
        <w:tc>
          <w:tcPr>
            <w:tcW w:w="3939" w:type="dxa"/>
            <w:vMerge w:val="continue"/>
            <w:noWrap w:val="0"/>
            <w:vAlign w:val="center"/>
          </w:tcPr>
          <w:p w14:paraId="496E5578">
            <w:pPr>
              <w:spacing w:line="0" w:lineRule="atLeast"/>
              <w:ind w:left="-71" w:leftChars="-34" w:right="-71" w:rightChars="-34"/>
              <w:jc w:val="center"/>
              <w:rPr>
                <w:szCs w:val="21"/>
              </w:rPr>
            </w:pPr>
          </w:p>
        </w:tc>
      </w:tr>
      <w:tr w14:paraId="58341E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restart"/>
            <w:noWrap w:val="0"/>
            <w:vAlign w:val="center"/>
          </w:tcPr>
          <w:p w14:paraId="0B6169DB">
            <w:pPr>
              <w:spacing w:line="0" w:lineRule="atLeast"/>
              <w:ind w:left="-71" w:leftChars="-34" w:right="-71" w:rightChars="-34"/>
              <w:jc w:val="center"/>
              <w:rPr>
                <w:szCs w:val="21"/>
              </w:rPr>
            </w:pPr>
            <w:r>
              <w:rPr>
                <w:szCs w:val="21"/>
              </w:rPr>
              <w:t>固废</w:t>
            </w:r>
          </w:p>
        </w:tc>
        <w:tc>
          <w:tcPr>
            <w:tcW w:w="1935" w:type="dxa"/>
            <w:noWrap w:val="0"/>
            <w:vAlign w:val="center"/>
          </w:tcPr>
          <w:p w14:paraId="39CDAD44">
            <w:pPr>
              <w:ind w:left="-105" w:leftChars="-50" w:right="-105" w:rightChars="-50"/>
              <w:jc w:val="center"/>
              <w:rPr>
                <w:spacing w:val="8"/>
                <w:szCs w:val="21"/>
              </w:rPr>
            </w:pPr>
            <w:r>
              <w:rPr>
                <w:szCs w:val="21"/>
              </w:rPr>
              <w:t>猪舍</w:t>
            </w:r>
          </w:p>
        </w:tc>
        <w:tc>
          <w:tcPr>
            <w:tcW w:w="2797" w:type="dxa"/>
            <w:noWrap w:val="0"/>
            <w:vAlign w:val="center"/>
          </w:tcPr>
          <w:p w14:paraId="19FB0152">
            <w:pPr>
              <w:widowControl/>
              <w:jc w:val="center"/>
              <w:textAlignment w:val="center"/>
              <w:rPr>
                <w:spacing w:val="8"/>
                <w:szCs w:val="21"/>
              </w:rPr>
            </w:pPr>
            <w:r>
              <w:rPr>
                <w:kern w:val="0"/>
                <w:szCs w:val="21"/>
                <w:lang w:bidi="ar"/>
              </w:rPr>
              <w:t>疾病防疫产生的医疗废物</w:t>
            </w:r>
          </w:p>
        </w:tc>
        <w:tc>
          <w:tcPr>
            <w:tcW w:w="5018" w:type="dxa"/>
            <w:noWrap w:val="0"/>
            <w:vAlign w:val="center"/>
          </w:tcPr>
          <w:p w14:paraId="2560203D">
            <w:pPr>
              <w:widowControl/>
              <w:jc w:val="center"/>
              <w:textAlignment w:val="center"/>
              <w:rPr>
                <w:szCs w:val="21"/>
              </w:rPr>
            </w:pPr>
            <w:r>
              <w:rPr>
                <w:kern w:val="0"/>
                <w:szCs w:val="21"/>
                <w:lang w:bidi="ar"/>
              </w:rPr>
              <w:t>厂内危废库暂存，委托第三方有资质公司处理</w:t>
            </w:r>
          </w:p>
        </w:tc>
        <w:tc>
          <w:tcPr>
            <w:tcW w:w="3939" w:type="dxa"/>
            <w:vMerge w:val="restart"/>
            <w:noWrap w:val="0"/>
            <w:vAlign w:val="center"/>
          </w:tcPr>
          <w:p w14:paraId="41124594">
            <w:pPr>
              <w:spacing w:line="0" w:lineRule="atLeast"/>
              <w:ind w:left="-71" w:leftChars="-34" w:right="-71" w:rightChars="-34"/>
              <w:jc w:val="center"/>
              <w:rPr>
                <w:szCs w:val="21"/>
              </w:rPr>
            </w:pPr>
            <w:r>
              <w:rPr>
                <w:szCs w:val="21"/>
              </w:rPr>
              <w:t>100%合理处置</w:t>
            </w:r>
          </w:p>
        </w:tc>
      </w:tr>
      <w:tr w14:paraId="5AED3F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72937A28">
            <w:pPr>
              <w:spacing w:line="0" w:lineRule="atLeast"/>
              <w:ind w:left="-71" w:leftChars="-34" w:right="-71" w:rightChars="-34"/>
              <w:jc w:val="center"/>
              <w:rPr>
                <w:szCs w:val="21"/>
              </w:rPr>
            </w:pPr>
          </w:p>
        </w:tc>
        <w:tc>
          <w:tcPr>
            <w:tcW w:w="1935" w:type="dxa"/>
            <w:noWrap w:val="0"/>
            <w:vAlign w:val="center"/>
          </w:tcPr>
          <w:p w14:paraId="6BA119E8">
            <w:pPr>
              <w:ind w:left="-105" w:leftChars="-50" w:right="-105" w:rightChars="-50"/>
              <w:jc w:val="center"/>
              <w:rPr>
                <w:spacing w:val="8"/>
                <w:szCs w:val="21"/>
              </w:rPr>
            </w:pPr>
            <w:r>
              <w:rPr>
                <w:szCs w:val="21"/>
              </w:rPr>
              <w:t>猪舍</w:t>
            </w:r>
          </w:p>
        </w:tc>
        <w:tc>
          <w:tcPr>
            <w:tcW w:w="2797" w:type="dxa"/>
            <w:noWrap w:val="0"/>
            <w:vAlign w:val="center"/>
          </w:tcPr>
          <w:p w14:paraId="4CE2DD3E">
            <w:pPr>
              <w:widowControl/>
              <w:jc w:val="center"/>
              <w:textAlignment w:val="center"/>
              <w:rPr>
                <w:spacing w:val="8"/>
                <w:szCs w:val="21"/>
              </w:rPr>
            </w:pPr>
            <w:r>
              <w:rPr>
                <w:kern w:val="0"/>
                <w:szCs w:val="21"/>
                <w:lang w:bidi="ar"/>
              </w:rPr>
              <w:t>猪粪</w:t>
            </w:r>
          </w:p>
        </w:tc>
        <w:tc>
          <w:tcPr>
            <w:tcW w:w="5018" w:type="dxa"/>
            <w:noWrap w:val="0"/>
            <w:vAlign w:val="center"/>
          </w:tcPr>
          <w:p w14:paraId="12C80452">
            <w:pPr>
              <w:widowControl/>
              <w:jc w:val="center"/>
              <w:textAlignment w:val="center"/>
              <w:rPr>
                <w:szCs w:val="21"/>
              </w:rPr>
            </w:pPr>
            <w:r>
              <w:rPr>
                <w:kern w:val="0"/>
                <w:szCs w:val="21"/>
                <w:lang w:bidi="ar"/>
              </w:rPr>
              <w:t>1号地盛丰通风井位置设置堆肥发酵区容积不小于250m</w:t>
            </w:r>
            <w:r>
              <w:rPr>
                <w:kern w:val="0"/>
                <w:szCs w:val="21"/>
                <w:vertAlign w:val="superscript"/>
                <w:lang w:bidi="ar"/>
              </w:rPr>
              <w:t>3</w:t>
            </w:r>
            <w:r>
              <w:rPr>
                <w:kern w:val="0"/>
                <w:szCs w:val="21"/>
                <w:lang w:bidi="ar"/>
              </w:rPr>
              <w:t>，2号盛丰焦化楼位置设置堆肥发酵区容积不小于500m</w:t>
            </w:r>
            <w:r>
              <w:rPr>
                <w:kern w:val="0"/>
                <w:szCs w:val="21"/>
                <w:vertAlign w:val="superscript"/>
                <w:lang w:bidi="ar"/>
              </w:rPr>
              <w:t>3</w:t>
            </w:r>
            <w:r>
              <w:rPr>
                <w:kern w:val="0"/>
                <w:szCs w:val="21"/>
                <w:lang w:bidi="ar"/>
              </w:rPr>
              <w:t>，3号老井位置设置堆肥发酵区容积不小于250m</w:t>
            </w:r>
            <w:r>
              <w:rPr>
                <w:kern w:val="0"/>
                <w:szCs w:val="21"/>
                <w:vertAlign w:val="superscript"/>
                <w:lang w:bidi="ar"/>
              </w:rPr>
              <w:t>3</w:t>
            </w:r>
            <w:r>
              <w:rPr>
                <w:kern w:val="0"/>
                <w:szCs w:val="21"/>
                <w:lang w:bidi="ar"/>
              </w:rPr>
              <w:t>，4号鑫旺板块位置设置堆肥发酵区容积不小于500m</w:t>
            </w:r>
            <w:r>
              <w:rPr>
                <w:kern w:val="0"/>
                <w:szCs w:val="21"/>
                <w:vertAlign w:val="superscript"/>
                <w:lang w:bidi="ar"/>
              </w:rPr>
              <w:t>3</w:t>
            </w:r>
            <w:r>
              <w:rPr>
                <w:kern w:val="0"/>
                <w:szCs w:val="21"/>
                <w:lang w:bidi="ar"/>
              </w:rPr>
              <w:t>，5号大河边位置设置堆肥发酵区容积不小于400m</w:t>
            </w:r>
            <w:r>
              <w:rPr>
                <w:kern w:val="0"/>
                <w:szCs w:val="21"/>
                <w:vertAlign w:val="superscript"/>
                <w:lang w:bidi="ar"/>
              </w:rPr>
              <w:t>3</w:t>
            </w:r>
            <w:r>
              <w:rPr>
                <w:kern w:val="0"/>
                <w:szCs w:val="21"/>
                <w:lang w:bidi="ar"/>
              </w:rPr>
              <w:t>，固粪进行好氧堆肥后用于企业自有苹果园施肥</w:t>
            </w:r>
          </w:p>
        </w:tc>
        <w:tc>
          <w:tcPr>
            <w:tcW w:w="3939" w:type="dxa"/>
            <w:vMerge w:val="continue"/>
            <w:noWrap w:val="0"/>
            <w:vAlign w:val="center"/>
          </w:tcPr>
          <w:p w14:paraId="2AA0B02C">
            <w:pPr>
              <w:spacing w:line="0" w:lineRule="atLeast"/>
              <w:ind w:left="-71" w:leftChars="-34" w:right="-71" w:rightChars="-34"/>
              <w:jc w:val="center"/>
              <w:rPr>
                <w:szCs w:val="21"/>
              </w:rPr>
            </w:pPr>
          </w:p>
        </w:tc>
      </w:tr>
      <w:tr w14:paraId="72723D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7CBDE351">
            <w:pPr>
              <w:spacing w:line="0" w:lineRule="atLeast"/>
              <w:ind w:left="-71" w:leftChars="-34" w:right="-71" w:rightChars="-34"/>
              <w:jc w:val="center"/>
              <w:rPr>
                <w:szCs w:val="21"/>
              </w:rPr>
            </w:pPr>
          </w:p>
        </w:tc>
        <w:tc>
          <w:tcPr>
            <w:tcW w:w="1935" w:type="dxa"/>
            <w:noWrap w:val="0"/>
            <w:vAlign w:val="center"/>
          </w:tcPr>
          <w:p w14:paraId="278F979E">
            <w:pPr>
              <w:ind w:left="-105" w:leftChars="-50" w:right="-105" w:rightChars="-50"/>
              <w:jc w:val="center"/>
              <w:rPr>
                <w:spacing w:val="8"/>
                <w:szCs w:val="21"/>
              </w:rPr>
            </w:pPr>
            <w:r>
              <w:rPr>
                <w:szCs w:val="21"/>
              </w:rPr>
              <w:t>猪舍</w:t>
            </w:r>
          </w:p>
        </w:tc>
        <w:tc>
          <w:tcPr>
            <w:tcW w:w="2797" w:type="dxa"/>
            <w:noWrap w:val="0"/>
            <w:vAlign w:val="center"/>
          </w:tcPr>
          <w:p w14:paraId="49AFDB47">
            <w:pPr>
              <w:widowControl/>
              <w:jc w:val="center"/>
              <w:textAlignment w:val="center"/>
              <w:rPr>
                <w:spacing w:val="8"/>
                <w:szCs w:val="21"/>
              </w:rPr>
            </w:pPr>
            <w:r>
              <w:rPr>
                <w:kern w:val="0"/>
                <w:szCs w:val="21"/>
                <w:lang w:bidi="ar"/>
              </w:rPr>
              <w:t>饲料残渣</w:t>
            </w:r>
          </w:p>
        </w:tc>
        <w:tc>
          <w:tcPr>
            <w:tcW w:w="5018" w:type="dxa"/>
            <w:noWrap w:val="0"/>
            <w:vAlign w:val="center"/>
          </w:tcPr>
          <w:p w14:paraId="4EEE4E17">
            <w:pPr>
              <w:widowControl/>
              <w:jc w:val="center"/>
              <w:textAlignment w:val="center"/>
              <w:rPr>
                <w:szCs w:val="21"/>
              </w:rPr>
            </w:pPr>
            <w:r>
              <w:rPr>
                <w:kern w:val="0"/>
                <w:szCs w:val="21"/>
                <w:lang w:bidi="ar"/>
              </w:rPr>
              <w:t>进行好氧堆肥后用于企业自有苹果园施肥</w:t>
            </w:r>
          </w:p>
        </w:tc>
        <w:tc>
          <w:tcPr>
            <w:tcW w:w="3939" w:type="dxa"/>
            <w:vMerge w:val="continue"/>
            <w:noWrap w:val="0"/>
            <w:vAlign w:val="center"/>
          </w:tcPr>
          <w:p w14:paraId="1C133891">
            <w:pPr>
              <w:spacing w:line="0" w:lineRule="atLeast"/>
              <w:ind w:left="-71" w:leftChars="-34" w:right="-71" w:rightChars="-34"/>
              <w:jc w:val="center"/>
              <w:rPr>
                <w:szCs w:val="21"/>
              </w:rPr>
            </w:pPr>
          </w:p>
        </w:tc>
      </w:tr>
      <w:tr w14:paraId="217D1C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29FE3ED2">
            <w:pPr>
              <w:spacing w:line="0" w:lineRule="atLeast"/>
              <w:ind w:left="-71" w:leftChars="-34" w:right="-71" w:rightChars="-34"/>
              <w:jc w:val="center"/>
              <w:rPr>
                <w:szCs w:val="21"/>
              </w:rPr>
            </w:pPr>
          </w:p>
        </w:tc>
        <w:tc>
          <w:tcPr>
            <w:tcW w:w="1935" w:type="dxa"/>
            <w:tcBorders>
              <w:bottom w:val="single" w:color="auto" w:sz="4" w:space="0"/>
            </w:tcBorders>
            <w:noWrap w:val="0"/>
            <w:vAlign w:val="center"/>
          </w:tcPr>
          <w:p w14:paraId="0495D74C">
            <w:pPr>
              <w:ind w:left="-105" w:leftChars="-50" w:right="-105" w:rightChars="-50"/>
              <w:jc w:val="center"/>
              <w:rPr>
                <w:spacing w:val="8"/>
                <w:szCs w:val="21"/>
              </w:rPr>
            </w:pPr>
            <w:r>
              <w:rPr>
                <w:szCs w:val="21"/>
              </w:rPr>
              <w:t>污水处理</w:t>
            </w:r>
          </w:p>
        </w:tc>
        <w:tc>
          <w:tcPr>
            <w:tcW w:w="2797" w:type="dxa"/>
            <w:tcBorders>
              <w:bottom w:val="single" w:color="auto" w:sz="4" w:space="0"/>
            </w:tcBorders>
            <w:noWrap w:val="0"/>
            <w:vAlign w:val="center"/>
          </w:tcPr>
          <w:p w14:paraId="29C01CAA">
            <w:pPr>
              <w:widowControl/>
              <w:jc w:val="center"/>
              <w:textAlignment w:val="center"/>
              <w:rPr>
                <w:spacing w:val="8"/>
                <w:szCs w:val="21"/>
              </w:rPr>
            </w:pPr>
            <w:r>
              <w:rPr>
                <w:kern w:val="0"/>
                <w:szCs w:val="21"/>
                <w:lang w:bidi="ar"/>
              </w:rPr>
              <w:t>沼渣</w:t>
            </w:r>
          </w:p>
        </w:tc>
        <w:tc>
          <w:tcPr>
            <w:tcW w:w="5018" w:type="dxa"/>
            <w:tcBorders>
              <w:bottom w:val="single" w:color="auto" w:sz="4" w:space="0"/>
            </w:tcBorders>
            <w:noWrap w:val="0"/>
            <w:vAlign w:val="center"/>
          </w:tcPr>
          <w:p w14:paraId="7C0082E9">
            <w:pPr>
              <w:widowControl/>
              <w:jc w:val="center"/>
              <w:textAlignment w:val="center"/>
              <w:rPr>
                <w:szCs w:val="21"/>
              </w:rPr>
            </w:pPr>
            <w:r>
              <w:rPr>
                <w:kern w:val="0"/>
                <w:szCs w:val="21"/>
                <w:lang w:bidi="ar"/>
              </w:rPr>
              <w:t>进行好氧堆肥后用于企业自有苹果园施肥</w:t>
            </w:r>
          </w:p>
        </w:tc>
        <w:tc>
          <w:tcPr>
            <w:tcW w:w="3939" w:type="dxa"/>
            <w:vMerge w:val="continue"/>
            <w:noWrap w:val="0"/>
            <w:vAlign w:val="center"/>
          </w:tcPr>
          <w:p w14:paraId="1B3526D8">
            <w:pPr>
              <w:spacing w:line="0" w:lineRule="atLeast"/>
              <w:ind w:left="-71" w:leftChars="-34" w:right="-71" w:rightChars="-34"/>
              <w:jc w:val="center"/>
              <w:rPr>
                <w:szCs w:val="21"/>
              </w:rPr>
            </w:pPr>
          </w:p>
        </w:tc>
      </w:tr>
      <w:tr w14:paraId="793058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6143C276">
            <w:pPr>
              <w:spacing w:line="0" w:lineRule="atLeast"/>
              <w:ind w:left="-71" w:leftChars="-34" w:right="-71" w:rightChars="-34"/>
              <w:jc w:val="center"/>
              <w:rPr>
                <w:szCs w:val="21"/>
              </w:rPr>
            </w:pPr>
          </w:p>
        </w:tc>
        <w:tc>
          <w:tcPr>
            <w:tcW w:w="1935" w:type="dxa"/>
            <w:tcBorders>
              <w:top w:val="single" w:color="auto" w:sz="4" w:space="0"/>
              <w:bottom w:val="single" w:color="auto" w:sz="4" w:space="0"/>
            </w:tcBorders>
            <w:noWrap w:val="0"/>
            <w:vAlign w:val="center"/>
          </w:tcPr>
          <w:p w14:paraId="0EA0253C">
            <w:pPr>
              <w:ind w:left="-105" w:leftChars="-50" w:right="-105" w:rightChars="-50"/>
              <w:jc w:val="center"/>
              <w:rPr>
                <w:spacing w:val="8"/>
                <w:szCs w:val="21"/>
              </w:rPr>
            </w:pPr>
            <w:r>
              <w:rPr>
                <w:szCs w:val="21"/>
              </w:rPr>
              <w:t>办公生活</w:t>
            </w:r>
          </w:p>
        </w:tc>
        <w:tc>
          <w:tcPr>
            <w:tcW w:w="2797" w:type="dxa"/>
            <w:tcBorders>
              <w:top w:val="single" w:color="auto" w:sz="4" w:space="0"/>
              <w:bottom w:val="single" w:color="auto" w:sz="4" w:space="0"/>
            </w:tcBorders>
            <w:noWrap w:val="0"/>
            <w:vAlign w:val="center"/>
          </w:tcPr>
          <w:p w14:paraId="72618D16">
            <w:pPr>
              <w:widowControl/>
              <w:jc w:val="center"/>
              <w:textAlignment w:val="center"/>
              <w:rPr>
                <w:spacing w:val="8"/>
                <w:szCs w:val="21"/>
              </w:rPr>
            </w:pPr>
            <w:r>
              <w:rPr>
                <w:kern w:val="0"/>
                <w:szCs w:val="21"/>
                <w:lang w:bidi="ar"/>
              </w:rPr>
              <w:t>废弃包装材料</w:t>
            </w:r>
          </w:p>
        </w:tc>
        <w:tc>
          <w:tcPr>
            <w:tcW w:w="5018" w:type="dxa"/>
            <w:tcBorders>
              <w:top w:val="single" w:color="auto" w:sz="4" w:space="0"/>
              <w:bottom w:val="single" w:color="auto" w:sz="4" w:space="0"/>
            </w:tcBorders>
            <w:noWrap w:val="0"/>
            <w:vAlign w:val="center"/>
          </w:tcPr>
          <w:p w14:paraId="5114A774">
            <w:pPr>
              <w:widowControl/>
              <w:jc w:val="center"/>
              <w:textAlignment w:val="center"/>
              <w:rPr>
                <w:szCs w:val="21"/>
              </w:rPr>
            </w:pPr>
            <w:r>
              <w:rPr>
                <w:kern w:val="0"/>
                <w:szCs w:val="21"/>
                <w:lang w:bidi="ar"/>
              </w:rPr>
              <w:t>统一收集外售</w:t>
            </w:r>
          </w:p>
        </w:tc>
        <w:tc>
          <w:tcPr>
            <w:tcW w:w="3939" w:type="dxa"/>
            <w:vMerge w:val="continue"/>
            <w:noWrap w:val="0"/>
            <w:vAlign w:val="center"/>
          </w:tcPr>
          <w:p w14:paraId="2DF68D49">
            <w:pPr>
              <w:spacing w:line="0" w:lineRule="atLeast"/>
              <w:ind w:left="-71" w:leftChars="-34" w:right="-71" w:rightChars="-34"/>
              <w:jc w:val="center"/>
              <w:rPr>
                <w:szCs w:val="21"/>
              </w:rPr>
            </w:pPr>
          </w:p>
        </w:tc>
      </w:tr>
      <w:tr w14:paraId="2234A2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14C18B07">
            <w:pPr>
              <w:spacing w:line="0" w:lineRule="atLeast"/>
              <w:ind w:left="-71" w:leftChars="-34" w:right="-71" w:rightChars="-34"/>
              <w:jc w:val="center"/>
              <w:rPr>
                <w:szCs w:val="21"/>
              </w:rPr>
            </w:pPr>
          </w:p>
        </w:tc>
        <w:tc>
          <w:tcPr>
            <w:tcW w:w="1935" w:type="dxa"/>
            <w:tcBorders>
              <w:top w:val="single" w:color="auto" w:sz="4" w:space="0"/>
              <w:bottom w:val="single" w:color="auto" w:sz="4" w:space="0"/>
            </w:tcBorders>
            <w:noWrap w:val="0"/>
            <w:vAlign w:val="center"/>
          </w:tcPr>
          <w:p w14:paraId="1191ECFA">
            <w:pPr>
              <w:ind w:left="-105" w:leftChars="-50" w:right="-105" w:rightChars="-50"/>
              <w:jc w:val="center"/>
              <w:rPr>
                <w:spacing w:val="8"/>
                <w:szCs w:val="21"/>
              </w:rPr>
            </w:pPr>
            <w:r>
              <w:rPr>
                <w:szCs w:val="21"/>
              </w:rPr>
              <w:t>沼气净化</w:t>
            </w:r>
          </w:p>
        </w:tc>
        <w:tc>
          <w:tcPr>
            <w:tcW w:w="2797" w:type="dxa"/>
            <w:tcBorders>
              <w:top w:val="single" w:color="auto" w:sz="4" w:space="0"/>
              <w:bottom w:val="single" w:color="auto" w:sz="4" w:space="0"/>
            </w:tcBorders>
            <w:noWrap w:val="0"/>
            <w:vAlign w:val="center"/>
          </w:tcPr>
          <w:p w14:paraId="57471612">
            <w:pPr>
              <w:widowControl/>
              <w:jc w:val="center"/>
              <w:textAlignment w:val="center"/>
              <w:rPr>
                <w:spacing w:val="8"/>
                <w:szCs w:val="21"/>
              </w:rPr>
            </w:pPr>
            <w:r>
              <w:rPr>
                <w:kern w:val="0"/>
                <w:szCs w:val="21"/>
                <w:lang w:bidi="ar"/>
              </w:rPr>
              <w:t>废脱硫剂</w:t>
            </w:r>
          </w:p>
        </w:tc>
        <w:tc>
          <w:tcPr>
            <w:tcW w:w="5018" w:type="dxa"/>
            <w:tcBorders>
              <w:top w:val="single" w:color="auto" w:sz="4" w:space="0"/>
              <w:bottom w:val="single" w:color="auto" w:sz="4" w:space="0"/>
            </w:tcBorders>
            <w:noWrap w:val="0"/>
            <w:vAlign w:val="center"/>
          </w:tcPr>
          <w:p w14:paraId="4C0D1E6D">
            <w:pPr>
              <w:widowControl/>
              <w:jc w:val="center"/>
              <w:textAlignment w:val="center"/>
              <w:rPr>
                <w:szCs w:val="21"/>
              </w:rPr>
            </w:pPr>
            <w:r>
              <w:rPr>
                <w:kern w:val="0"/>
                <w:szCs w:val="21"/>
                <w:lang w:bidi="ar"/>
              </w:rPr>
              <w:t>统一收集由厂家回收</w:t>
            </w:r>
          </w:p>
        </w:tc>
        <w:tc>
          <w:tcPr>
            <w:tcW w:w="3939" w:type="dxa"/>
            <w:vMerge w:val="continue"/>
            <w:noWrap w:val="0"/>
            <w:vAlign w:val="center"/>
          </w:tcPr>
          <w:p w14:paraId="5BF7CBEF">
            <w:pPr>
              <w:spacing w:line="0" w:lineRule="atLeast"/>
              <w:ind w:left="-71" w:leftChars="-34" w:right="-71" w:rightChars="-34"/>
              <w:jc w:val="center"/>
              <w:rPr>
                <w:szCs w:val="21"/>
              </w:rPr>
            </w:pPr>
          </w:p>
        </w:tc>
      </w:tr>
      <w:tr w14:paraId="49F788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576C9C5C">
            <w:pPr>
              <w:spacing w:line="0" w:lineRule="atLeast"/>
              <w:ind w:left="-71" w:leftChars="-34" w:right="-71" w:rightChars="-34"/>
              <w:jc w:val="center"/>
              <w:rPr>
                <w:szCs w:val="21"/>
              </w:rPr>
            </w:pPr>
          </w:p>
        </w:tc>
        <w:tc>
          <w:tcPr>
            <w:tcW w:w="1935" w:type="dxa"/>
            <w:tcBorders>
              <w:top w:val="single" w:color="auto" w:sz="4" w:space="0"/>
              <w:bottom w:val="single" w:color="auto" w:sz="4" w:space="0"/>
            </w:tcBorders>
            <w:noWrap w:val="0"/>
            <w:vAlign w:val="center"/>
          </w:tcPr>
          <w:p w14:paraId="66FF586D">
            <w:pPr>
              <w:ind w:left="-105" w:leftChars="-50" w:right="-105" w:rightChars="-50"/>
              <w:jc w:val="center"/>
              <w:rPr>
                <w:szCs w:val="21"/>
              </w:rPr>
            </w:pPr>
            <w:r>
              <w:rPr>
                <w:szCs w:val="21"/>
              </w:rPr>
              <w:t>猪舍</w:t>
            </w:r>
          </w:p>
        </w:tc>
        <w:tc>
          <w:tcPr>
            <w:tcW w:w="2797" w:type="dxa"/>
            <w:tcBorders>
              <w:top w:val="single" w:color="auto" w:sz="4" w:space="0"/>
              <w:bottom w:val="single" w:color="auto" w:sz="4" w:space="0"/>
            </w:tcBorders>
            <w:noWrap w:val="0"/>
            <w:vAlign w:val="center"/>
          </w:tcPr>
          <w:p w14:paraId="724C4643">
            <w:pPr>
              <w:widowControl/>
              <w:jc w:val="center"/>
              <w:textAlignment w:val="center"/>
              <w:rPr>
                <w:szCs w:val="21"/>
              </w:rPr>
            </w:pPr>
            <w:r>
              <w:rPr>
                <w:kern w:val="0"/>
                <w:szCs w:val="21"/>
                <w:lang w:bidi="ar"/>
              </w:rPr>
              <w:t>病死猪</w:t>
            </w:r>
          </w:p>
        </w:tc>
        <w:tc>
          <w:tcPr>
            <w:tcW w:w="5018" w:type="dxa"/>
            <w:tcBorders>
              <w:top w:val="single" w:color="auto" w:sz="4" w:space="0"/>
              <w:bottom w:val="single" w:color="auto" w:sz="4" w:space="0"/>
            </w:tcBorders>
            <w:noWrap w:val="0"/>
            <w:vAlign w:val="center"/>
          </w:tcPr>
          <w:p w14:paraId="573DDC67">
            <w:pPr>
              <w:widowControl/>
              <w:jc w:val="center"/>
              <w:textAlignment w:val="center"/>
              <w:rPr>
                <w:szCs w:val="21"/>
              </w:rPr>
            </w:pPr>
            <w:r>
              <w:rPr>
                <w:kern w:val="0"/>
                <w:szCs w:val="21"/>
                <w:lang w:bidi="ar"/>
              </w:rPr>
              <w:t>无害化处理后与猪粪一同进行好氧堆肥后用于企业自有苹果园施肥</w:t>
            </w:r>
          </w:p>
        </w:tc>
        <w:tc>
          <w:tcPr>
            <w:tcW w:w="3939" w:type="dxa"/>
            <w:noWrap w:val="0"/>
            <w:vAlign w:val="center"/>
          </w:tcPr>
          <w:p w14:paraId="4550A8A8">
            <w:pPr>
              <w:spacing w:line="0" w:lineRule="atLeast"/>
              <w:ind w:left="-71" w:leftChars="-34" w:right="-71" w:rightChars="-34"/>
              <w:jc w:val="center"/>
              <w:rPr>
                <w:szCs w:val="21"/>
              </w:rPr>
            </w:pPr>
          </w:p>
        </w:tc>
      </w:tr>
      <w:tr w14:paraId="08FBB6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0AAE7DE8">
            <w:pPr>
              <w:spacing w:line="0" w:lineRule="atLeast"/>
              <w:ind w:left="-71" w:leftChars="-34" w:right="-71" w:rightChars="-34"/>
              <w:jc w:val="center"/>
              <w:rPr>
                <w:szCs w:val="21"/>
              </w:rPr>
            </w:pPr>
          </w:p>
        </w:tc>
        <w:tc>
          <w:tcPr>
            <w:tcW w:w="1935" w:type="dxa"/>
            <w:tcBorders>
              <w:top w:val="single" w:color="auto" w:sz="4" w:space="0"/>
              <w:bottom w:val="single" w:color="auto" w:sz="4" w:space="0"/>
            </w:tcBorders>
            <w:noWrap w:val="0"/>
            <w:vAlign w:val="center"/>
          </w:tcPr>
          <w:p w14:paraId="7025D33C">
            <w:pPr>
              <w:ind w:left="-105" w:leftChars="-50" w:right="-105" w:rightChars="-50"/>
              <w:jc w:val="center"/>
              <w:rPr>
                <w:szCs w:val="21"/>
              </w:rPr>
            </w:pPr>
            <w:r>
              <w:rPr>
                <w:szCs w:val="21"/>
              </w:rPr>
              <w:t>办公生活</w:t>
            </w:r>
          </w:p>
        </w:tc>
        <w:tc>
          <w:tcPr>
            <w:tcW w:w="2797" w:type="dxa"/>
            <w:tcBorders>
              <w:top w:val="single" w:color="auto" w:sz="4" w:space="0"/>
              <w:bottom w:val="single" w:color="auto" w:sz="4" w:space="0"/>
            </w:tcBorders>
            <w:noWrap w:val="0"/>
            <w:vAlign w:val="center"/>
          </w:tcPr>
          <w:p w14:paraId="26E287A6">
            <w:pPr>
              <w:widowControl/>
              <w:jc w:val="center"/>
              <w:textAlignment w:val="center"/>
              <w:rPr>
                <w:szCs w:val="21"/>
              </w:rPr>
            </w:pPr>
            <w:r>
              <w:rPr>
                <w:kern w:val="0"/>
                <w:szCs w:val="21"/>
                <w:lang w:bidi="ar"/>
              </w:rPr>
              <w:t>职工生活垃圾</w:t>
            </w:r>
          </w:p>
        </w:tc>
        <w:tc>
          <w:tcPr>
            <w:tcW w:w="5018" w:type="dxa"/>
            <w:tcBorders>
              <w:top w:val="single" w:color="auto" w:sz="4" w:space="0"/>
              <w:bottom w:val="single" w:color="auto" w:sz="4" w:space="0"/>
            </w:tcBorders>
            <w:noWrap w:val="0"/>
            <w:vAlign w:val="center"/>
          </w:tcPr>
          <w:p w14:paraId="1BFDDF22">
            <w:pPr>
              <w:widowControl/>
              <w:jc w:val="center"/>
              <w:textAlignment w:val="center"/>
              <w:rPr>
                <w:szCs w:val="21"/>
              </w:rPr>
            </w:pPr>
            <w:r>
              <w:rPr>
                <w:kern w:val="0"/>
                <w:szCs w:val="21"/>
                <w:lang w:bidi="ar"/>
              </w:rPr>
              <w:t>统一收集，按当地环卫部门要求处置</w:t>
            </w:r>
          </w:p>
        </w:tc>
        <w:tc>
          <w:tcPr>
            <w:tcW w:w="3939" w:type="dxa"/>
            <w:noWrap w:val="0"/>
            <w:vAlign w:val="center"/>
          </w:tcPr>
          <w:p w14:paraId="6EDBB00C">
            <w:pPr>
              <w:spacing w:line="0" w:lineRule="atLeast"/>
              <w:ind w:left="-71" w:leftChars="-34" w:right="-71" w:rightChars="-34"/>
              <w:jc w:val="center"/>
              <w:rPr>
                <w:szCs w:val="21"/>
              </w:rPr>
            </w:pPr>
          </w:p>
        </w:tc>
      </w:tr>
      <w:tr w14:paraId="7A1F4D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noWrap w:val="0"/>
            <w:vAlign w:val="center"/>
          </w:tcPr>
          <w:p w14:paraId="16CAF833">
            <w:pPr>
              <w:spacing w:line="0" w:lineRule="atLeast"/>
              <w:ind w:left="-71" w:leftChars="-34" w:right="-71" w:rightChars="-34"/>
              <w:jc w:val="center"/>
              <w:rPr>
                <w:szCs w:val="21"/>
              </w:rPr>
            </w:pPr>
          </w:p>
        </w:tc>
        <w:tc>
          <w:tcPr>
            <w:tcW w:w="1935" w:type="dxa"/>
            <w:tcBorders>
              <w:top w:val="single" w:color="auto" w:sz="4" w:space="0"/>
              <w:bottom w:val="single" w:color="auto" w:sz="4" w:space="0"/>
            </w:tcBorders>
            <w:noWrap w:val="0"/>
            <w:vAlign w:val="center"/>
          </w:tcPr>
          <w:p w14:paraId="364E1507">
            <w:pPr>
              <w:ind w:left="-105" w:leftChars="-50" w:right="-105" w:rightChars="-50"/>
              <w:jc w:val="center"/>
              <w:rPr>
                <w:szCs w:val="21"/>
              </w:rPr>
            </w:pPr>
            <w:r>
              <w:rPr>
                <w:szCs w:val="21"/>
              </w:rPr>
              <w:t>办公生活</w:t>
            </w:r>
          </w:p>
        </w:tc>
        <w:tc>
          <w:tcPr>
            <w:tcW w:w="2797" w:type="dxa"/>
            <w:tcBorders>
              <w:top w:val="single" w:color="auto" w:sz="4" w:space="0"/>
              <w:bottom w:val="single" w:color="auto" w:sz="4" w:space="0"/>
            </w:tcBorders>
            <w:noWrap w:val="0"/>
            <w:vAlign w:val="center"/>
          </w:tcPr>
          <w:p w14:paraId="28CE342A">
            <w:pPr>
              <w:widowControl/>
              <w:jc w:val="center"/>
              <w:textAlignment w:val="center"/>
              <w:rPr>
                <w:szCs w:val="21"/>
              </w:rPr>
            </w:pPr>
            <w:r>
              <w:rPr>
                <w:kern w:val="0"/>
                <w:szCs w:val="21"/>
                <w:lang w:bidi="ar"/>
              </w:rPr>
              <w:t>食堂厨余垃圾</w:t>
            </w:r>
          </w:p>
        </w:tc>
        <w:tc>
          <w:tcPr>
            <w:tcW w:w="5018" w:type="dxa"/>
            <w:tcBorders>
              <w:top w:val="single" w:color="auto" w:sz="4" w:space="0"/>
              <w:bottom w:val="single" w:color="auto" w:sz="4" w:space="0"/>
            </w:tcBorders>
            <w:noWrap w:val="0"/>
            <w:vAlign w:val="center"/>
          </w:tcPr>
          <w:p w14:paraId="2FD348FE">
            <w:pPr>
              <w:widowControl/>
              <w:jc w:val="center"/>
              <w:textAlignment w:val="center"/>
              <w:rPr>
                <w:szCs w:val="21"/>
              </w:rPr>
            </w:pPr>
            <w:r>
              <w:rPr>
                <w:kern w:val="0"/>
                <w:szCs w:val="21"/>
                <w:lang w:bidi="ar"/>
              </w:rPr>
              <w:t>作为生猪养殖饲料</w:t>
            </w:r>
          </w:p>
        </w:tc>
        <w:tc>
          <w:tcPr>
            <w:tcW w:w="3939" w:type="dxa"/>
            <w:noWrap w:val="0"/>
            <w:vAlign w:val="center"/>
          </w:tcPr>
          <w:p w14:paraId="5B096E6E">
            <w:pPr>
              <w:spacing w:line="0" w:lineRule="atLeast"/>
              <w:ind w:left="-71" w:leftChars="-34" w:right="-71" w:rightChars="-34"/>
              <w:jc w:val="center"/>
              <w:rPr>
                <w:szCs w:val="21"/>
              </w:rPr>
            </w:pPr>
          </w:p>
        </w:tc>
      </w:tr>
      <w:tr w14:paraId="17F851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restart"/>
            <w:noWrap w:val="0"/>
            <w:vAlign w:val="center"/>
          </w:tcPr>
          <w:p w14:paraId="1983BBD2">
            <w:pPr>
              <w:spacing w:line="0" w:lineRule="atLeast"/>
              <w:ind w:left="-71" w:leftChars="-34" w:right="-71" w:rightChars="-34"/>
              <w:jc w:val="center"/>
              <w:rPr>
                <w:szCs w:val="21"/>
              </w:rPr>
            </w:pPr>
            <w:r>
              <w:rPr>
                <w:szCs w:val="21"/>
              </w:rPr>
              <w:t>地下水污染防治</w:t>
            </w:r>
          </w:p>
        </w:tc>
        <w:tc>
          <w:tcPr>
            <w:tcW w:w="1935" w:type="dxa"/>
            <w:noWrap w:val="0"/>
            <w:vAlign w:val="center"/>
          </w:tcPr>
          <w:p w14:paraId="5451F679">
            <w:pPr>
              <w:spacing w:line="0" w:lineRule="atLeast"/>
              <w:ind w:left="-71" w:leftChars="-34" w:right="-71" w:rightChars="-34"/>
              <w:jc w:val="center"/>
              <w:rPr>
                <w:szCs w:val="21"/>
              </w:rPr>
            </w:pPr>
            <w:r>
              <w:rPr>
                <w:szCs w:val="21"/>
              </w:rPr>
              <w:t>防渗工程</w:t>
            </w:r>
          </w:p>
        </w:tc>
        <w:tc>
          <w:tcPr>
            <w:tcW w:w="7815" w:type="dxa"/>
            <w:gridSpan w:val="2"/>
            <w:noWrap w:val="0"/>
            <w:vAlign w:val="center"/>
          </w:tcPr>
          <w:p w14:paraId="7CF08BF8">
            <w:pPr>
              <w:pStyle w:val="35"/>
              <w:spacing w:after="0" w:line="360" w:lineRule="auto"/>
              <w:ind w:firstLine="420" w:firstLineChars="200"/>
              <w:rPr>
                <w:szCs w:val="21"/>
              </w:rPr>
            </w:pPr>
            <w:r>
              <w:rPr>
                <w:szCs w:val="21"/>
              </w:rPr>
              <w:t xml:space="preserve">①重点防渗区包括：对猪舍、粪污收集系统（包括猪舍下污粪尿储存池、粪污输送管道、污水收集管网）、 污水处理站（含沼液暂存池、集污池兼事故应急池）、堆肥间（包括堆肥间内的渗滤液收集沟）、无害化处理间、危废暂存间、划分为重点防渗区；防渗要求如下： </w:t>
            </w:r>
            <w:r>
              <w:rPr>
                <w:spacing w:val="-8"/>
                <w:szCs w:val="21"/>
              </w:rPr>
              <w:t>重点污染区各单元</w:t>
            </w:r>
            <w:r>
              <w:rPr>
                <w:szCs w:val="21"/>
              </w:rPr>
              <w:t>防渗层等效黏土防渗层 Mb≥6.0m，渗透系数≤10</w:t>
            </w:r>
            <w:r>
              <w:rPr>
                <w:szCs w:val="21"/>
                <w:vertAlign w:val="superscript"/>
              </w:rPr>
              <w:t>-7</w:t>
            </w:r>
            <w:r>
              <w:rPr>
                <w:szCs w:val="21"/>
              </w:rPr>
              <w:t>cm/s。</w:t>
            </w:r>
            <w:r>
              <w:rPr>
                <w:spacing w:val="-4"/>
                <w:szCs w:val="21"/>
              </w:rPr>
              <w:t xml:space="preserve">污水处理池体采用池底及顶部覆膜采用 </w:t>
            </w:r>
            <w:r>
              <w:rPr>
                <w:rFonts w:eastAsia="Times New Roman"/>
                <w:szCs w:val="21"/>
              </w:rPr>
              <w:t xml:space="preserve">PE </w:t>
            </w:r>
            <w:r>
              <w:rPr>
                <w:spacing w:val="-3"/>
                <w:szCs w:val="21"/>
              </w:rPr>
              <w:t>复合材质，粪污输送全部采用管</w:t>
            </w:r>
            <w:r>
              <w:rPr>
                <w:spacing w:val="-9"/>
                <w:szCs w:val="21"/>
              </w:rPr>
              <w:t>道输送，管道材料应根据输送的介质选择合适的材质，并做表面的防腐、防锈处</w:t>
            </w:r>
            <w:r>
              <w:rPr>
                <w:spacing w:val="-10"/>
                <w:szCs w:val="21"/>
              </w:rPr>
              <w:t>理，减轻管道腐蚀造成的渗漏，并定期进行检查，防止跑冒滴漏现象发生。</w:t>
            </w:r>
            <w:r>
              <w:rPr>
                <w:szCs w:val="21"/>
              </w:rPr>
              <w:t>危废暂存间、病死猪无害化处理间混凝土地面加铺防渗剂和人工材料（</w:t>
            </w:r>
            <w:r>
              <w:rPr>
                <w:rFonts w:eastAsia="Times New Roman"/>
                <w:szCs w:val="21"/>
              </w:rPr>
              <w:t>HDPE</w:t>
            </w:r>
            <w:r>
              <w:rPr>
                <w:szCs w:val="21"/>
              </w:rPr>
              <w:t>）</w:t>
            </w:r>
            <w:r>
              <w:rPr>
                <w:spacing w:val="-4"/>
                <w:szCs w:val="21"/>
              </w:rPr>
              <w:t>防渗层，确</w:t>
            </w:r>
            <w:r>
              <w:rPr>
                <w:spacing w:val="-7"/>
                <w:szCs w:val="21"/>
              </w:rPr>
              <w:t xml:space="preserve">保等效黏土防渗层 </w:t>
            </w:r>
            <w:r>
              <w:rPr>
                <w:rFonts w:eastAsia="Times New Roman"/>
                <w:szCs w:val="21"/>
              </w:rPr>
              <w:t>Mb≥6.0m</w:t>
            </w:r>
            <w:r>
              <w:rPr>
                <w:szCs w:val="21"/>
              </w:rPr>
              <w:t>，</w:t>
            </w:r>
            <w:r>
              <w:rPr>
                <w:rFonts w:eastAsia="Times New Roman"/>
                <w:szCs w:val="21"/>
              </w:rPr>
              <w:t>K≤1×10</w:t>
            </w:r>
            <w:r>
              <w:rPr>
                <w:szCs w:val="21"/>
                <w:vertAlign w:val="superscript"/>
              </w:rPr>
              <w:t>-7</w:t>
            </w:r>
            <w:r>
              <w:rPr>
                <w:rFonts w:eastAsia="Times New Roman"/>
                <w:position w:val="9"/>
                <w:szCs w:val="21"/>
              </w:rPr>
              <w:t xml:space="preserve"> </w:t>
            </w:r>
            <w:r>
              <w:rPr>
                <w:rFonts w:eastAsia="Times New Roman"/>
                <w:szCs w:val="21"/>
              </w:rPr>
              <w:t>cm/s</w:t>
            </w:r>
            <w:r>
              <w:rPr>
                <w:szCs w:val="21"/>
              </w:rPr>
              <w:t>。</w:t>
            </w:r>
          </w:p>
          <w:p w14:paraId="73789D64">
            <w:pPr>
              <w:pStyle w:val="2078"/>
              <w:tabs>
                <w:tab w:val="left" w:pos="1621"/>
              </w:tabs>
              <w:spacing w:line="360" w:lineRule="auto"/>
              <w:rPr>
                <w:szCs w:val="21"/>
              </w:rPr>
            </w:pPr>
            <w:r>
              <w:rPr>
                <w:szCs w:val="21"/>
              </w:rPr>
              <w:t>②一般防渗区包括：化粪池、消毒物品存放间、消毒间划分为一般防渗区；。对一般防渗区采取的防渗措施：</w:t>
            </w:r>
            <w:r>
              <w:rPr>
                <w:spacing w:val="-7"/>
                <w:szCs w:val="21"/>
              </w:rPr>
              <w:t xml:space="preserve">采取粘土铺底，等效黏土防渗层 </w:t>
            </w:r>
            <w:r>
              <w:rPr>
                <w:rFonts w:eastAsia="Times New Roman"/>
                <w:spacing w:val="-4"/>
                <w:szCs w:val="21"/>
              </w:rPr>
              <w:t>Mb≥1.5m</w:t>
            </w:r>
            <w:r>
              <w:rPr>
                <w:spacing w:val="-4"/>
                <w:szCs w:val="21"/>
              </w:rPr>
              <w:t>，</w:t>
            </w:r>
            <w:r>
              <w:rPr>
                <w:rFonts w:eastAsia="Times New Roman"/>
                <w:spacing w:val="-4"/>
                <w:szCs w:val="21"/>
              </w:rPr>
              <w:t>K≤1×10</w:t>
            </w:r>
            <w:r>
              <w:rPr>
                <w:spacing w:val="-4"/>
                <w:szCs w:val="21"/>
                <w:vertAlign w:val="superscript"/>
              </w:rPr>
              <w:t>-7</w:t>
            </w:r>
            <w:r>
              <w:rPr>
                <w:rFonts w:eastAsia="Times New Roman"/>
                <w:szCs w:val="21"/>
              </w:rPr>
              <w:t>cm/s</w:t>
            </w:r>
            <w:r>
              <w:rPr>
                <w:szCs w:val="21"/>
              </w:rPr>
              <w:t xml:space="preserve">， </w:t>
            </w:r>
            <w:r>
              <w:rPr>
                <w:spacing w:val="-11"/>
                <w:szCs w:val="21"/>
              </w:rPr>
              <w:t xml:space="preserve">再在上层铺 </w:t>
            </w:r>
            <w:r>
              <w:rPr>
                <w:rFonts w:eastAsia="Times New Roman"/>
                <w:szCs w:val="21"/>
              </w:rPr>
              <w:t xml:space="preserve">10~15cm </w:t>
            </w:r>
            <w:r>
              <w:rPr>
                <w:szCs w:val="21"/>
              </w:rPr>
              <w:t>水泥进行硬化。</w:t>
            </w:r>
          </w:p>
          <w:p w14:paraId="43E2B9C6">
            <w:pPr>
              <w:pStyle w:val="2078"/>
              <w:tabs>
                <w:tab w:val="left" w:pos="1621"/>
              </w:tabs>
              <w:spacing w:line="360" w:lineRule="auto"/>
              <w:rPr>
                <w:szCs w:val="21"/>
              </w:rPr>
            </w:pPr>
            <w:r>
              <w:rPr>
                <w:szCs w:val="21"/>
              </w:rPr>
              <w:t>③简单防渗区：饲料仓库、办公室生活等区域划分为简单防渗区，地面采用水泥硬化处理。</w:t>
            </w:r>
          </w:p>
        </w:tc>
        <w:tc>
          <w:tcPr>
            <w:tcW w:w="3939" w:type="dxa"/>
            <w:noWrap w:val="0"/>
            <w:vAlign w:val="center"/>
          </w:tcPr>
          <w:p w14:paraId="1892F2CD">
            <w:pPr>
              <w:spacing w:line="0" w:lineRule="atLeast"/>
              <w:ind w:left="-71" w:leftChars="-34" w:right="-71" w:rightChars="-34"/>
              <w:jc w:val="center"/>
              <w:rPr>
                <w:szCs w:val="21"/>
              </w:rPr>
            </w:pPr>
            <w:r>
              <w:rPr>
                <w:szCs w:val="21"/>
              </w:rPr>
              <w:t>达HJ610-2016《环境影响评价技术导则 地下水环境》及</w:t>
            </w:r>
            <w:r>
              <w:rPr>
                <w:kern w:val="10"/>
                <w:szCs w:val="21"/>
              </w:rPr>
              <w:t>GB18597-2001《危险废物贮存污染控制标准》中防渗相关要求</w:t>
            </w:r>
          </w:p>
        </w:tc>
      </w:tr>
      <w:tr w14:paraId="6EE50F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531" w:type="dxa"/>
            <w:vMerge w:val="continue"/>
            <w:tcBorders>
              <w:bottom w:val="single" w:color="auto" w:sz="4" w:space="0"/>
            </w:tcBorders>
            <w:noWrap w:val="0"/>
            <w:vAlign w:val="center"/>
          </w:tcPr>
          <w:p w14:paraId="2EFA90A8">
            <w:pPr>
              <w:spacing w:line="0" w:lineRule="atLeast"/>
              <w:ind w:left="-71" w:leftChars="-34" w:right="-71" w:rightChars="-34"/>
              <w:jc w:val="center"/>
              <w:rPr>
                <w:szCs w:val="21"/>
              </w:rPr>
            </w:pPr>
          </w:p>
        </w:tc>
        <w:tc>
          <w:tcPr>
            <w:tcW w:w="1935" w:type="dxa"/>
            <w:tcBorders>
              <w:bottom w:val="single" w:color="auto" w:sz="4" w:space="0"/>
            </w:tcBorders>
            <w:noWrap w:val="0"/>
            <w:vAlign w:val="center"/>
          </w:tcPr>
          <w:p w14:paraId="5AA2868B">
            <w:pPr>
              <w:spacing w:line="0" w:lineRule="atLeast"/>
              <w:ind w:left="-71" w:leftChars="-34" w:right="-71" w:rightChars="-34"/>
              <w:jc w:val="center"/>
              <w:rPr>
                <w:szCs w:val="21"/>
              </w:rPr>
            </w:pPr>
            <w:r>
              <w:rPr>
                <w:szCs w:val="21"/>
              </w:rPr>
              <w:t>监测跟踪计划</w:t>
            </w:r>
          </w:p>
        </w:tc>
        <w:tc>
          <w:tcPr>
            <w:tcW w:w="7815" w:type="dxa"/>
            <w:gridSpan w:val="2"/>
            <w:tcBorders>
              <w:bottom w:val="single" w:color="auto" w:sz="4" w:space="0"/>
            </w:tcBorders>
            <w:noWrap w:val="0"/>
            <w:vAlign w:val="center"/>
          </w:tcPr>
          <w:p w14:paraId="09419792">
            <w:pPr>
              <w:spacing w:line="240" w:lineRule="exact"/>
              <w:ind w:left="-71" w:leftChars="-34" w:right="-71" w:rightChars="-34"/>
              <w:jc w:val="center"/>
              <w:rPr>
                <w:szCs w:val="21"/>
              </w:rPr>
            </w:pPr>
            <w:r>
              <w:rPr>
                <w:spacing w:val="-7"/>
                <w:szCs w:val="21"/>
              </w:rPr>
              <w:t>各养殖区厂区下游</w:t>
            </w:r>
            <w:r>
              <w:rPr>
                <w:spacing w:val="-9"/>
                <w:szCs w:val="21"/>
              </w:rPr>
              <w:t>20m位置各处布设一口长期观</w:t>
            </w:r>
            <w:r>
              <w:rPr>
                <w:szCs w:val="21"/>
              </w:rPr>
              <w:t>测井，共计设置5口</w:t>
            </w:r>
            <w:r>
              <w:rPr>
                <w:bCs/>
                <w:spacing w:val="4"/>
                <w:szCs w:val="21"/>
              </w:rPr>
              <w:t>，开展场地及附近地区的地下水动态监测工作，对地下水水位、水质进行定时监测</w:t>
            </w:r>
          </w:p>
        </w:tc>
        <w:tc>
          <w:tcPr>
            <w:tcW w:w="3939" w:type="dxa"/>
            <w:tcBorders>
              <w:bottom w:val="single" w:color="auto" w:sz="4" w:space="0"/>
            </w:tcBorders>
            <w:noWrap w:val="0"/>
            <w:vAlign w:val="center"/>
          </w:tcPr>
          <w:p w14:paraId="22AED409">
            <w:pPr>
              <w:spacing w:line="0" w:lineRule="atLeast"/>
              <w:ind w:left="-71" w:leftChars="-34" w:right="-71" w:rightChars="-34"/>
              <w:jc w:val="center"/>
              <w:rPr>
                <w:szCs w:val="21"/>
              </w:rPr>
            </w:pPr>
            <w:r>
              <w:rPr>
                <w:szCs w:val="21"/>
              </w:rPr>
              <w:t>/</w:t>
            </w:r>
          </w:p>
        </w:tc>
      </w:tr>
      <w:tr w14:paraId="11B5B9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531" w:type="dxa"/>
            <w:noWrap w:val="0"/>
            <w:vAlign w:val="center"/>
          </w:tcPr>
          <w:p w14:paraId="3B4F2ACB">
            <w:pPr>
              <w:spacing w:line="0" w:lineRule="atLeast"/>
              <w:ind w:left="-71" w:leftChars="-34" w:right="-71" w:rightChars="-34"/>
              <w:jc w:val="center"/>
              <w:rPr>
                <w:szCs w:val="21"/>
              </w:rPr>
            </w:pPr>
            <w:r>
              <w:rPr>
                <w:szCs w:val="21"/>
              </w:rPr>
              <w:t>土壤</w:t>
            </w:r>
          </w:p>
        </w:tc>
        <w:tc>
          <w:tcPr>
            <w:tcW w:w="1935" w:type="dxa"/>
            <w:tcBorders>
              <w:bottom w:val="single" w:color="auto" w:sz="4" w:space="0"/>
            </w:tcBorders>
            <w:noWrap w:val="0"/>
            <w:vAlign w:val="center"/>
          </w:tcPr>
          <w:p w14:paraId="2C15AF30">
            <w:pPr>
              <w:spacing w:line="240" w:lineRule="exact"/>
              <w:ind w:left="-71" w:leftChars="-34" w:right="-71" w:rightChars="-34"/>
              <w:jc w:val="center"/>
              <w:rPr>
                <w:bCs/>
                <w:spacing w:val="4"/>
                <w:szCs w:val="21"/>
              </w:rPr>
            </w:pPr>
            <w:r>
              <w:rPr>
                <w:bCs/>
                <w:spacing w:val="4"/>
                <w:szCs w:val="21"/>
              </w:rPr>
              <w:t>厂区</w:t>
            </w:r>
          </w:p>
        </w:tc>
        <w:tc>
          <w:tcPr>
            <w:tcW w:w="7815" w:type="dxa"/>
            <w:gridSpan w:val="2"/>
            <w:noWrap w:val="0"/>
            <w:vAlign w:val="center"/>
          </w:tcPr>
          <w:p w14:paraId="4FFF0504">
            <w:pPr>
              <w:pStyle w:val="35"/>
              <w:spacing w:after="0" w:line="360" w:lineRule="auto"/>
              <w:ind w:firstLine="420" w:firstLineChars="200"/>
              <w:rPr>
                <w:szCs w:val="21"/>
                <w:lang w:bidi="zh-CN"/>
              </w:rPr>
            </w:pPr>
            <w:r>
              <w:rPr>
                <w:szCs w:val="21"/>
                <w:lang w:bidi="zh-CN"/>
              </w:rPr>
              <w:t>1、源头控制措施</w:t>
            </w:r>
          </w:p>
          <w:p w14:paraId="6B7E588B">
            <w:pPr>
              <w:pStyle w:val="35"/>
              <w:spacing w:after="0" w:line="360" w:lineRule="auto"/>
              <w:ind w:firstLine="420" w:firstLineChars="200"/>
              <w:rPr>
                <w:szCs w:val="21"/>
                <w:lang w:bidi="zh-CN"/>
              </w:rPr>
            </w:pPr>
            <w:r>
              <w:rPr>
                <w:szCs w:val="21"/>
                <w:lang w:bidi="zh-CN"/>
              </w:rPr>
              <w:t>项目实施清洁生产及各类废物循环利用，减少污染物的排放量；</w:t>
            </w:r>
          </w:p>
          <w:p w14:paraId="1DD832E9">
            <w:pPr>
              <w:pStyle w:val="35"/>
              <w:spacing w:after="0" w:line="360" w:lineRule="auto"/>
              <w:ind w:firstLine="420" w:firstLineChars="200"/>
              <w:rPr>
                <w:szCs w:val="21"/>
                <w:lang w:bidi="zh-CN"/>
              </w:rPr>
            </w:pPr>
            <w:r>
              <w:rPr>
                <w:szCs w:val="21"/>
                <w:lang w:bidi="zh-CN"/>
              </w:rPr>
              <w:t>生产工艺、管道、设备、污水储存及处理构筑物采取相应控制措施，防止污染物的跑、冒、滴、漏，将污染物泄漏的环境风险事故降到最低限度。</w:t>
            </w:r>
          </w:p>
          <w:p w14:paraId="0F38E35C">
            <w:pPr>
              <w:spacing w:line="360" w:lineRule="auto"/>
              <w:ind w:firstLine="420" w:firstLineChars="200"/>
              <w:rPr>
                <w:szCs w:val="21"/>
                <w:lang w:bidi="zh-CN"/>
              </w:rPr>
            </w:pPr>
            <w:r>
              <w:rPr>
                <w:szCs w:val="21"/>
                <w:lang w:bidi="zh-CN"/>
              </w:rPr>
              <w:t>采用干清粪工艺，减少废水、废气等产生及排放量。</w:t>
            </w:r>
          </w:p>
          <w:p w14:paraId="514EE398">
            <w:pPr>
              <w:pStyle w:val="47"/>
              <w:spacing w:line="360" w:lineRule="auto"/>
              <w:ind w:firstLine="420" w:firstLineChars="200"/>
              <w:rPr>
                <w:rFonts w:ascii="Times New Roman" w:hAnsi="Times New Roman" w:cs="Times New Roman"/>
              </w:rPr>
            </w:pPr>
            <w:r>
              <w:rPr>
                <w:rFonts w:ascii="Times New Roman" w:hAnsi="Times New Roman" w:cs="Times New Roman"/>
                <w:lang w:bidi="zh-CN"/>
              </w:rPr>
              <w:t>使用符合国家标准的饲料，防止饲料等带入相关污染因子。</w:t>
            </w:r>
          </w:p>
          <w:p w14:paraId="49DA9C80">
            <w:pPr>
              <w:pStyle w:val="35"/>
              <w:spacing w:before="85" w:line="364" w:lineRule="auto"/>
              <w:ind w:right="256" w:firstLine="479"/>
              <w:rPr>
                <w:szCs w:val="21"/>
                <w:lang w:bidi="zh-CN"/>
              </w:rPr>
            </w:pPr>
            <w:r>
              <w:rPr>
                <w:szCs w:val="21"/>
                <w:lang w:bidi="zh-CN"/>
              </w:rPr>
              <w:t>2、过程防控措施</w:t>
            </w:r>
          </w:p>
          <w:p w14:paraId="61EBC951">
            <w:pPr>
              <w:pStyle w:val="35"/>
              <w:spacing w:after="0" w:line="360" w:lineRule="auto"/>
              <w:ind w:firstLine="420" w:firstLineChars="200"/>
              <w:rPr>
                <w:bCs/>
                <w:spacing w:val="4"/>
                <w:szCs w:val="21"/>
              </w:rPr>
            </w:pPr>
            <w:r>
              <w:rPr>
                <w:szCs w:val="21"/>
                <w:lang w:bidi="zh-CN"/>
              </w:rPr>
              <w:t>本项目除污水管道外，不涉及地下管线和管槽的问题；所有地下管线和管槽均采用防渗处理、对各管道接口采取进行良好密封等措施；一般工业固废暂存设施的防渗、防腐按照《一般工业固废贮存和填埋污染控制标准》（GB18599-2020）有关防渗要求进行建设，危险废物暂存间、无害化处置间、猪粪发酵堆场、污水处理站各类池体防渗、防腐按照重点防渗要求进行建设。</w:t>
            </w:r>
          </w:p>
        </w:tc>
        <w:tc>
          <w:tcPr>
            <w:tcW w:w="3939" w:type="dxa"/>
            <w:noWrap w:val="0"/>
            <w:vAlign w:val="center"/>
          </w:tcPr>
          <w:p w14:paraId="7C762570">
            <w:pPr>
              <w:spacing w:line="0" w:lineRule="atLeast"/>
              <w:ind w:left="-71" w:leftChars="-34" w:right="-71" w:rightChars="-34"/>
              <w:jc w:val="center"/>
              <w:rPr>
                <w:bCs/>
                <w:spacing w:val="4"/>
                <w:szCs w:val="21"/>
              </w:rPr>
            </w:pPr>
            <w:r>
              <w:rPr>
                <w:bCs/>
                <w:spacing w:val="4"/>
                <w:szCs w:val="21"/>
              </w:rPr>
              <w:t>达到《土壤环境质量标准-建设用地土壤污染风险管控标准》（GB36600-2018）第二类项目筛选值要求</w:t>
            </w:r>
          </w:p>
        </w:tc>
      </w:tr>
      <w:tr w14:paraId="36CA5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 w:hRule="atLeast"/>
        </w:trPr>
        <w:tc>
          <w:tcPr>
            <w:tcW w:w="531" w:type="dxa"/>
            <w:tcBorders>
              <w:top w:val="single" w:color="auto" w:sz="4" w:space="0"/>
            </w:tcBorders>
            <w:noWrap w:val="0"/>
            <w:vAlign w:val="center"/>
          </w:tcPr>
          <w:p w14:paraId="0C904153">
            <w:pPr>
              <w:spacing w:line="0" w:lineRule="atLeast"/>
              <w:ind w:left="-71" w:leftChars="-34" w:right="-71" w:rightChars="-34"/>
              <w:jc w:val="center"/>
              <w:rPr>
                <w:szCs w:val="21"/>
              </w:rPr>
            </w:pPr>
            <w:r>
              <w:rPr>
                <w:szCs w:val="21"/>
              </w:rPr>
              <w:t>生态</w:t>
            </w:r>
          </w:p>
        </w:tc>
        <w:tc>
          <w:tcPr>
            <w:tcW w:w="1935" w:type="dxa"/>
            <w:tcBorders>
              <w:top w:val="single" w:color="auto" w:sz="4" w:space="0"/>
            </w:tcBorders>
            <w:noWrap w:val="0"/>
            <w:vAlign w:val="center"/>
          </w:tcPr>
          <w:p w14:paraId="7BC7BBDB">
            <w:pPr>
              <w:spacing w:line="0" w:lineRule="atLeast"/>
              <w:ind w:left="-71" w:leftChars="-34" w:right="-71" w:rightChars="-34"/>
              <w:jc w:val="center"/>
              <w:rPr>
                <w:szCs w:val="21"/>
              </w:rPr>
            </w:pPr>
            <w:r>
              <w:rPr>
                <w:szCs w:val="21"/>
              </w:rPr>
              <w:t>绿化</w:t>
            </w:r>
          </w:p>
        </w:tc>
        <w:tc>
          <w:tcPr>
            <w:tcW w:w="7815" w:type="dxa"/>
            <w:gridSpan w:val="2"/>
            <w:tcBorders>
              <w:top w:val="single" w:color="auto" w:sz="4" w:space="0"/>
            </w:tcBorders>
            <w:noWrap w:val="0"/>
            <w:vAlign w:val="center"/>
          </w:tcPr>
          <w:p w14:paraId="6783AEBF">
            <w:pPr>
              <w:spacing w:line="240" w:lineRule="exact"/>
              <w:ind w:left="-71" w:leftChars="-34" w:right="-71" w:rightChars="-34"/>
              <w:jc w:val="center"/>
              <w:rPr>
                <w:bCs/>
                <w:spacing w:val="4"/>
                <w:szCs w:val="21"/>
              </w:rPr>
            </w:pPr>
            <w:r>
              <w:rPr>
                <w:szCs w:val="21"/>
              </w:rPr>
              <w:t>养猪场周边及场内空地进行绿化</w:t>
            </w:r>
          </w:p>
        </w:tc>
        <w:tc>
          <w:tcPr>
            <w:tcW w:w="3939" w:type="dxa"/>
            <w:tcBorders>
              <w:top w:val="single" w:color="auto" w:sz="4" w:space="0"/>
            </w:tcBorders>
            <w:noWrap w:val="0"/>
            <w:vAlign w:val="center"/>
          </w:tcPr>
          <w:p w14:paraId="39A5AB1A">
            <w:pPr>
              <w:spacing w:line="0" w:lineRule="atLeast"/>
              <w:ind w:left="-71" w:leftChars="-34" w:right="-71" w:rightChars="-34"/>
              <w:jc w:val="center"/>
              <w:rPr>
                <w:szCs w:val="21"/>
              </w:rPr>
            </w:pPr>
            <w:r>
              <w:rPr>
                <w:szCs w:val="21"/>
              </w:rPr>
              <w:t>生态环境质量不下降</w:t>
            </w:r>
          </w:p>
        </w:tc>
      </w:tr>
      <w:tr w14:paraId="340880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restart"/>
            <w:tcBorders>
              <w:top w:val="single" w:color="auto" w:sz="6" w:space="0"/>
              <w:right w:val="single" w:color="auto" w:sz="6" w:space="0"/>
            </w:tcBorders>
            <w:noWrap w:val="0"/>
            <w:vAlign w:val="center"/>
          </w:tcPr>
          <w:p w14:paraId="0C62A4AB">
            <w:pPr>
              <w:spacing w:line="0" w:lineRule="atLeast"/>
              <w:ind w:left="-71" w:leftChars="-34" w:right="-71" w:rightChars="-34"/>
              <w:jc w:val="center"/>
              <w:rPr>
                <w:szCs w:val="21"/>
              </w:rPr>
            </w:pPr>
            <w:r>
              <w:rPr>
                <w:szCs w:val="21"/>
              </w:rPr>
              <w:t>环境管理</w:t>
            </w:r>
          </w:p>
        </w:tc>
        <w:tc>
          <w:tcPr>
            <w:tcW w:w="1935" w:type="dxa"/>
            <w:tcBorders>
              <w:top w:val="single" w:color="auto" w:sz="6" w:space="0"/>
              <w:left w:val="single" w:color="auto" w:sz="6" w:space="0"/>
              <w:bottom w:val="single" w:color="auto" w:sz="6" w:space="0"/>
              <w:right w:val="single" w:color="auto" w:sz="6" w:space="0"/>
            </w:tcBorders>
            <w:noWrap w:val="0"/>
            <w:vAlign w:val="center"/>
          </w:tcPr>
          <w:p w14:paraId="4C892617">
            <w:pPr>
              <w:spacing w:line="0" w:lineRule="atLeast"/>
              <w:ind w:left="-71" w:leftChars="-34" w:right="-71" w:rightChars="-34"/>
              <w:jc w:val="center"/>
              <w:rPr>
                <w:szCs w:val="21"/>
              </w:rPr>
            </w:pPr>
            <w:r>
              <w:rPr>
                <w:szCs w:val="21"/>
              </w:rPr>
              <w:t>环境管理</w:t>
            </w:r>
          </w:p>
        </w:tc>
        <w:tc>
          <w:tcPr>
            <w:tcW w:w="7815" w:type="dxa"/>
            <w:gridSpan w:val="2"/>
            <w:tcBorders>
              <w:top w:val="single" w:color="auto" w:sz="6" w:space="0"/>
              <w:left w:val="single" w:color="auto" w:sz="6" w:space="0"/>
              <w:bottom w:val="single" w:color="auto" w:sz="6" w:space="0"/>
              <w:right w:val="single" w:color="auto" w:sz="6" w:space="0"/>
            </w:tcBorders>
            <w:noWrap w:val="0"/>
            <w:vAlign w:val="center"/>
          </w:tcPr>
          <w:p w14:paraId="1DF1DEEE">
            <w:pPr>
              <w:spacing w:line="0" w:lineRule="atLeast"/>
              <w:ind w:left="-71" w:leftChars="-34" w:right="-71" w:rightChars="-34"/>
              <w:jc w:val="center"/>
              <w:rPr>
                <w:bCs/>
                <w:spacing w:val="4"/>
                <w:szCs w:val="21"/>
              </w:rPr>
            </w:pPr>
            <w:r>
              <w:rPr>
                <w:bCs/>
                <w:spacing w:val="4"/>
                <w:szCs w:val="21"/>
              </w:rPr>
              <w:t>设置环保机构，建立健全各项环境管理制度，制定工作计划，提出管理要求</w:t>
            </w:r>
          </w:p>
        </w:tc>
        <w:tc>
          <w:tcPr>
            <w:tcW w:w="3939" w:type="dxa"/>
            <w:tcBorders>
              <w:top w:val="single" w:color="auto" w:sz="6" w:space="0"/>
              <w:left w:val="single" w:color="auto" w:sz="6" w:space="0"/>
              <w:bottom w:val="single" w:color="auto" w:sz="6" w:space="0"/>
            </w:tcBorders>
            <w:noWrap w:val="0"/>
            <w:vAlign w:val="center"/>
          </w:tcPr>
          <w:p w14:paraId="5AD30BAF">
            <w:pPr>
              <w:spacing w:line="0" w:lineRule="atLeast"/>
              <w:ind w:left="-71" w:leftChars="-34" w:right="-71" w:rightChars="-34"/>
              <w:jc w:val="center"/>
              <w:rPr>
                <w:szCs w:val="21"/>
              </w:rPr>
            </w:pPr>
            <w:r>
              <w:rPr>
                <w:szCs w:val="21"/>
              </w:rPr>
              <w:t>/</w:t>
            </w:r>
          </w:p>
        </w:tc>
      </w:tr>
      <w:tr w14:paraId="1E43D2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6" w:space="0"/>
            </w:tcBorders>
            <w:noWrap w:val="0"/>
            <w:vAlign w:val="center"/>
          </w:tcPr>
          <w:p w14:paraId="32EB8CF2">
            <w:pPr>
              <w:spacing w:line="0" w:lineRule="atLeast"/>
              <w:ind w:left="-71" w:leftChars="-34" w:right="-71" w:rightChars="-34"/>
              <w:jc w:val="center"/>
              <w:rPr>
                <w:szCs w:val="21"/>
              </w:rPr>
            </w:pPr>
          </w:p>
        </w:tc>
        <w:tc>
          <w:tcPr>
            <w:tcW w:w="1935" w:type="dxa"/>
            <w:tcBorders>
              <w:top w:val="single" w:color="auto" w:sz="6" w:space="0"/>
              <w:left w:val="single" w:color="auto" w:sz="6" w:space="0"/>
              <w:bottom w:val="single" w:color="auto" w:sz="6" w:space="0"/>
              <w:right w:val="single" w:color="auto" w:sz="6" w:space="0"/>
            </w:tcBorders>
            <w:noWrap w:val="0"/>
            <w:vAlign w:val="center"/>
          </w:tcPr>
          <w:p w14:paraId="101D224D">
            <w:pPr>
              <w:spacing w:line="0" w:lineRule="atLeast"/>
              <w:ind w:left="-71" w:leftChars="-34" w:right="-71" w:rightChars="-34"/>
              <w:jc w:val="center"/>
              <w:rPr>
                <w:szCs w:val="21"/>
              </w:rPr>
            </w:pPr>
            <w:r>
              <w:rPr>
                <w:szCs w:val="21"/>
              </w:rPr>
              <w:t>环境监测</w:t>
            </w:r>
          </w:p>
        </w:tc>
        <w:tc>
          <w:tcPr>
            <w:tcW w:w="7815" w:type="dxa"/>
            <w:gridSpan w:val="2"/>
            <w:tcBorders>
              <w:top w:val="single" w:color="auto" w:sz="6" w:space="0"/>
              <w:left w:val="single" w:color="auto" w:sz="6" w:space="0"/>
              <w:bottom w:val="single" w:color="auto" w:sz="6" w:space="0"/>
              <w:right w:val="single" w:color="auto" w:sz="6" w:space="0"/>
            </w:tcBorders>
            <w:noWrap w:val="0"/>
            <w:vAlign w:val="center"/>
          </w:tcPr>
          <w:p w14:paraId="33D2247F">
            <w:pPr>
              <w:spacing w:line="0" w:lineRule="atLeast"/>
              <w:ind w:left="-71" w:leftChars="-34" w:right="-71" w:rightChars="-34"/>
              <w:jc w:val="center"/>
              <w:rPr>
                <w:bCs/>
                <w:spacing w:val="4"/>
                <w:szCs w:val="21"/>
              </w:rPr>
            </w:pPr>
            <w:r>
              <w:rPr>
                <w:bCs/>
                <w:spacing w:val="4"/>
                <w:szCs w:val="21"/>
              </w:rPr>
              <w:t>委托有资质单位定期对厂区环境质量及污染源进行监测；及时掌握生产运行情况，及时反馈、及时解决；配合环保部门做好环境监管工作</w:t>
            </w:r>
          </w:p>
        </w:tc>
        <w:tc>
          <w:tcPr>
            <w:tcW w:w="3939" w:type="dxa"/>
            <w:tcBorders>
              <w:top w:val="single" w:color="auto" w:sz="6" w:space="0"/>
              <w:left w:val="single" w:color="auto" w:sz="6" w:space="0"/>
              <w:bottom w:val="single" w:color="auto" w:sz="6" w:space="0"/>
            </w:tcBorders>
            <w:noWrap w:val="0"/>
            <w:vAlign w:val="center"/>
          </w:tcPr>
          <w:p w14:paraId="411EA4E9">
            <w:pPr>
              <w:spacing w:line="0" w:lineRule="atLeast"/>
              <w:ind w:left="-71" w:leftChars="-34" w:right="-71" w:rightChars="-34"/>
              <w:jc w:val="center"/>
              <w:rPr>
                <w:szCs w:val="21"/>
              </w:rPr>
            </w:pPr>
            <w:r>
              <w:rPr>
                <w:szCs w:val="21"/>
              </w:rPr>
              <w:t>/</w:t>
            </w:r>
          </w:p>
        </w:tc>
      </w:tr>
      <w:tr w14:paraId="36E6D6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1" w:type="dxa"/>
            <w:vMerge w:val="continue"/>
            <w:tcBorders>
              <w:right w:val="single" w:color="auto" w:sz="6" w:space="0"/>
            </w:tcBorders>
            <w:noWrap w:val="0"/>
            <w:vAlign w:val="center"/>
          </w:tcPr>
          <w:p w14:paraId="644775F3">
            <w:pPr>
              <w:spacing w:line="0" w:lineRule="atLeast"/>
              <w:ind w:left="-71" w:leftChars="-34" w:right="-71" w:rightChars="-34"/>
              <w:jc w:val="center"/>
              <w:rPr>
                <w:szCs w:val="21"/>
              </w:rPr>
            </w:pPr>
          </w:p>
        </w:tc>
        <w:tc>
          <w:tcPr>
            <w:tcW w:w="1935" w:type="dxa"/>
            <w:tcBorders>
              <w:top w:val="single" w:color="auto" w:sz="6" w:space="0"/>
              <w:left w:val="single" w:color="auto" w:sz="6" w:space="0"/>
              <w:right w:val="single" w:color="auto" w:sz="6" w:space="0"/>
            </w:tcBorders>
            <w:noWrap w:val="0"/>
            <w:vAlign w:val="center"/>
          </w:tcPr>
          <w:p w14:paraId="3D6ECB27">
            <w:pPr>
              <w:spacing w:line="0" w:lineRule="atLeast"/>
              <w:ind w:left="-71" w:leftChars="-34" w:right="-71" w:rightChars="-34"/>
              <w:jc w:val="center"/>
              <w:rPr>
                <w:szCs w:val="21"/>
              </w:rPr>
            </w:pPr>
            <w:r>
              <w:rPr>
                <w:szCs w:val="21"/>
              </w:rPr>
              <w:t>三同时</w:t>
            </w:r>
          </w:p>
        </w:tc>
        <w:tc>
          <w:tcPr>
            <w:tcW w:w="7815" w:type="dxa"/>
            <w:gridSpan w:val="2"/>
            <w:tcBorders>
              <w:top w:val="single" w:color="auto" w:sz="6" w:space="0"/>
              <w:left w:val="single" w:color="auto" w:sz="6" w:space="0"/>
              <w:right w:val="single" w:color="auto" w:sz="6" w:space="0"/>
            </w:tcBorders>
            <w:noWrap w:val="0"/>
            <w:vAlign w:val="center"/>
          </w:tcPr>
          <w:p w14:paraId="27F18878">
            <w:pPr>
              <w:spacing w:line="0" w:lineRule="atLeast"/>
              <w:ind w:left="-71" w:leftChars="-34" w:right="-71" w:rightChars="-34"/>
              <w:jc w:val="center"/>
              <w:rPr>
                <w:bCs/>
                <w:spacing w:val="4"/>
                <w:szCs w:val="21"/>
              </w:rPr>
            </w:pPr>
            <w:r>
              <w:rPr>
                <w:bCs/>
                <w:spacing w:val="4"/>
                <w:szCs w:val="21"/>
              </w:rPr>
              <w:t>坚决执行“三同时”制度，做到主体工程和环保工程同时设计、施工和运行</w:t>
            </w:r>
          </w:p>
        </w:tc>
        <w:tc>
          <w:tcPr>
            <w:tcW w:w="3939" w:type="dxa"/>
            <w:tcBorders>
              <w:top w:val="single" w:color="auto" w:sz="6" w:space="0"/>
              <w:left w:val="single" w:color="auto" w:sz="6" w:space="0"/>
            </w:tcBorders>
            <w:noWrap w:val="0"/>
            <w:vAlign w:val="center"/>
          </w:tcPr>
          <w:p w14:paraId="0FBACDF3">
            <w:pPr>
              <w:spacing w:line="0" w:lineRule="atLeast"/>
              <w:ind w:left="-71" w:leftChars="-34" w:right="-71" w:rightChars="-34"/>
              <w:jc w:val="center"/>
              <w:rPr>
                <w:szCs w:val="21"/>
              </w:rPr>
            </w:pPr>
            <w:r>
              <w:rPr>
                <w:szCs w:val="21"/>
              </w:rPr>
              <w:t>/</w:t>
            </w:r>
          </w:p>
        </w:tc>
      </w:tr>
    </w:tbl>
    <w:p w14:paraId="1628CDC9">
      <w:pPr>
        <w:pStyle w:val="5"/>
        <w:tabs>
          <w:tab w:val="left" w:pos="2895"/>
        </w:tabs>
        <w:spacing w:before="0" w:after="0" w:line="360" w:lineRule="auto"/>
        <w:rPr>
          <w:sz w:val="32"/>
          <w:szCs w:val="32"/>
        </w:rPr>
        <w:sectPr>
          <w:pgSz w:w="16838" w:h="11906" w:orient="landscape"/>
          <w:pgMar w:top="1797" w:right="1440" w:bottom="1797" w:left="1361" w:header="851" w:footer="992" w:gutter="0"/>
          <w:cols w:space="720" w:num="1"/>
          <w:docGrid w:linePitch="312" w:charSpace="0"/>
        </w:sectPr>
      </w:pPr>
    </w:p>
    <w:p w14:paraId="2163FD00">
      <w:pPr>
        <w:pStyle w:val="5"/>
        <w:tabs>
          <w:tab w:val="left" w:pos="2895"/>
        </w:tabs>
        <w:spacing w:before="0" w:after="0" w:line="360" w:lineRule="auto"/>
        <w:rPr>
          <w:sz w:val="32"/>
          <w:szCs w:val="32"/>
        </w:rPr>
      </w:pPr>
      <w:bookmarkStart w:id="368" w:name="_Toc3857"/>
      <w:r>
        <w:rPr>
          <w:sz w:val="32"/>
          <w:szCs w:val="32"/>
        </w:rPr>
        <w:t>10环境影响评价结论</w:t>
      </w:r>
      <w:bookmarkEnd w:id="243"/>
      <w:bookmarkEnd w:id="244"/>
      <w:bookmarkEnd w:id="245"/>
      <w:bookmarkEnd w:id="368"/>
    </w:p>
    <w:p w14:paraId="0B764D26">
      <w:pPr>
        <w:pStyle w:val="6"/>
        <w:spacing w:before="0" w:after="0" w:line="360" w:lineRule="auto"/>
        <w:rPr>
          <w:rFonts w:ascii="Times New Roman" w:hAnsi="Times New Roman" w:eastAsia="宋体"/>
          <w:sz w:val="30"/>
          <w:szCs w:val="30"/>
        </w:rPr>
      </w:pPr>
      <w:bookmarkStart w:id="369" w:name="_Toc238908735"/>
      <w:bookmarkStart w:id="370" w:name="_Toc272251638"/>
      <w:bookmarkStart w:id="371" w:name="_Toc272251345"/>
      <w:bookmarkStart w:id="372" w:name="_Toc9290"/>
      <w:r>
        <w:rPr>
          <w:rFonts w:ascii="Times New Roman" w:hAnsi="Times New Roman" w:eastAsia="宋体"/>
          <w:sz w:val="30"/>
          <w:szCs w:val="30"/>
        </w:rPr>
        <w:t>10.1 项目概况</w:t>
      </w:r>
      <w:bookmarkEnd w:id="369"/>
      <w:bookmarkEnd w:id="370"/>
      <w:bookmarkEnd w:id="371"/>
      <w:bookmarkEnd w:id="372"/>
    </w:p>
    <w:p w14:paraId="20C50C71">
      <w:pPr>
        <w:pStyle w:val="85"/>
        <w:overflowPunct w:val="0"/>
        <w:adjustRightInd w:val="0"/>
        <w:snapToGrid w:val="0"/>
        <w:spacing w:after="0" w:line="360" w:lineRule="auto"/>
        <w:ind w:firstLine="480" w:firstLineChars="200"/>
        <w:jc w:val="left"/>
        <w:rPr>
          <w:sz w:val="24"/>
        </w:rPr>
      </w:pPr>
      <w:r>
        <w:rPr>
          <w:sz w:val="24"/>
        </w:rPr>
        <w:t>石林源美养殖场项目位于</w:t>
      </w:r>
      <w:r>
        <w:rPr>
          <w:snapToGrid w:val="0"/>
          <w:sz w:val="24"/>
        </w:rPr>
        <w:t>昆明市石林彝族自治县圭山镇法块村委会法块村，普拉河村委会上寨村</w:t>
      </w:r>
      <w:r>
        <w:rPr>
          <w:sz w:val="24"/>
        </w:rPr>
        <w:t>，总占地面积</w:t>
      </w:r>
      <w:r>
        <w:rPr>
          <w:snapToGrid w:val="0"/>
          <w:sz w:val="24"/>
        </w:rPr>
        <w:t>77332.56m</w:t>
      </w:r>
      <w:r>
        <w:rPr>
          <w:sz w:val="24"/>
          <w:vertAlign w:val="superscript"/>
        </w:rPr>
        <w:t>2</w:t>
      </w:r>
      <w:r>
        <w:rPr>
          <w:sz w:val="24"/>
        </w:rPr>
        <w:t>（116亩），分为两个区块，6块场地，其中：地块一占地面积36026.3m</w:t>
      </w:r>
      <w:r>
        <w:rPr>
          <w:sz w:val="24"/>
          <w:vertAlign w:val="superscript"/>
        </w:rPr>
        <w:t>2</w:t>
      </w:r>
      <w:r>
        <w:rPr>
          <w:sz w:val="24"/>
        </w:rPr>
        <w:t>（54.04亩），分为4块场地；地块二占地面积41592.92m</w:t>
      </w:r>
      <w:r>
        <w:rPr>
          <w:sz w:val="24"/>
          <w:vertAlign w:val="superscript"/>
        </w:rPr>
        <w:t>2</w:t>
      </w:r>
      <w:r>
        <w:rPr>
          <w:sz w:val="24"/>
        </w:rPr>
        <w:t>（62.39亩），分为2块场地；主要建设内容：主要建设育肥舍15栋，配套建设管理用房、环保设施等，厂内配套建设病死猪无害化处理区。生产规模年出栏商品猪18600头（存栏9300头），其中地块一年出栏商品猪9600头，地块二年出栏商品猪9000头，项目只进行仔猪育肥，仔猪外购，不养殖种猪。总投资4000万元。</w:t>
      </w:r>
    </w:p>
    <w:p w14:paraId="529B81A9">
      <w:pPr>
        <w:pStyle w:val="6"/>
        <w:spacing w:before="0" w:after="0" w:line="360" w:lineRule="auto"/>
        <w:rPr>
          <w:rFonts w:ascii="Times New Roman" w:hAnsi="Times New Roman" w:eastAsia="宋体"/>
          <w:sz w:val="30"/>
          <w:szCs w:val="30"/>
        </w:rPr>
      </w:pPr>
      <w:bookmarkStart w:id="373" w:name="_Toc28324"/>
      <w:r>
        <w:rPr>
          <w:rFonts w:ascii="Times New Roman" w:hAnsi="Times New Roman" w:eastAsia="宋体"/>
          <w:sz w:val="30"/>
          <w:szCs w:val="30"/>
        </w:rPr>
        <w:t>10.2产业政策符合性</w:t>
      </w:r>
      <w:bookmarkEnd w:id="373"/>
    </w:p>
    <w:p w14:paraId="682D7DC8">
      <w:pPr>
        <w:pStyle w:val="677"/>
        <w:ind w:firstLine="480"/>
        <w:rPr>
          <w:rFonts w:ascii="Times New Roman" w:hAnsi="Times New Roman"/>
          <w:szCs w:val="24"/>
          <w:lang w:eastAsia="zh-CN"/>
        </w:rPr>
      </w:pPr>
      <w:r>
        <w:rPr>
          <w:rFonts w:ascii="Times New Roman" w:hAnsi="Times New Roman"/>
          <w:szCs w:val="24"/>
        </w:rPr>
        <w:t>根据国家发改委《产业结构调整指导目录（</w:t>
      </w:r>
      <w:r>
        <w:rPr>
          <w:rFonts w:ascii="Times New Roman" w:hAnsi="Times New Roman"/>
          <w:szCs w:val="24"/>
          <w:lang w:eastAsia="zh-CN"/>
        </w:rPr>
        <w:t>2019</w:t>
      </w:r>
      <w:r>
        <w:rPr>
          <w:rFonts w:ascii="Times New Roman" w:hAnsi="Times New Roman"/>
          <w:szCs w:val="24"/>
        </w:rPr>
        <w:t>年本）》，本项目符合鼓励类中“农林类”中第</w:t>
      </w:r>
      <w:r>
        <w:rPr>
          <w:rFonts w:ascii="Times New Roman" w:hAnsi="Times New Roman"/>
          <w:szCs w:val="24"/>
          <w:lang w:eastAsia="zh-CN"/>
        </w:rPr>
        <w:t>4</w:t>
      </w:r>
      <w:r>
        <w:rPr>
          <w:rFonts w:ascii="Times New Roman" w:hAnsi="Times New Roman"/>
          <w:szCs w:val="24"/>
        </w:rPr>
        <w:t>条“畜禽标准化规模养殖技术开发与运用”</w:t>
      </w:r>
      <w:r>
        <w:rPr>
          <w:rFonts w:ascii="Times New Roman" w:hAnsi="Times New Roman"/>
          <w:szCs w:val="24"/>
          <w:lang w:eastAsia="zh-CN"/>
        </w:rPr>
        <w:t>、</w:t>
      </w:r>
      <w:r>
        <w:rPr>
          <w:rFonts w:ascii="Times New Roman" w:hAnsi="Times New Roman"/>
          <w:szCs w:val="24"/>
        </w:rPr>
        <w:t>第</w:t>
      </w:r>
      <w:r>
        <w:rPr>
          <w:rFonts w:ascii="Times New Roman" w:hAnsi="Times New Roman"/>
          <w:szCs w:val="24"/>
          <w:lang w:eastAsia="zh-CN"/>
        </w:rPr>
        <w:t>53</w:t>
      </w:r>
      <w:r>
        <w:rPr>
          <w:rFonts w:ascii="Times New Roman" w:hAnsi="Times New Roman"/>
          <w:szCs w:val="24"/>
        </w:rPr>
        <w:t>条</w:t>
      </w:r>
      <w:r>
        <w:rPr>
          <w:rFonts w:ascii="Times New Roman" w:hAnsi="Times New Roman"/>
          <w:szCs w:val="24"/>
          <w:lang w:eastAsia="zh-CN"/>
        </w:rPr>
        <w:t>“畜禽养殖废弃物处理和资源化利用（畜禽粪污肥料化、能源化、基料化和垫料化利用，病死畜禽无害化处理）”</w:t>
      </w:r>
      <w:r>
        <w:rPr>
          <w:rFonts w:ascii="Times New Roman" w:hAnsi="Times New Roman"/>
          <w:szCs w:val="24"/>
        </w:rPr>
        <w:t>，属于鼓励类，不属于限制类和淘汰类。因此，本项目符合国家产业政策。</w:t>
      </w:r>
    </w:p>
    <w:p w14:paraId="76E42DD4">
      <w:pPr>
        <w:spacing w:line="360" w:lineRule="auto"/>
        <w:ind w:firstLine="482"/>
        <w:rPr>
          <w:sz w:val="24"/>
        </w:rPr>
      </w:pPr>
      <w:r>
        <w:rPr>
          <w:sz w:val="24"/>
        </w:rPr>
        <w:t>2021年4月15日，本项目已在全国投资项目在线审批监管平台申报并取得投资项目备案证，项目代码：2104-530126-89-01-311126，</w:t>
      </w:r>
      <w:r>
        <w:rPr>
          <w:kern w:val="0"/>
          <w:sz w:val="24"/>
        </w:rPr>
        <w:t>本项目符合产业政策。</w:t>
      </w:r>
    </w:p>
    <w:p w14:paraId="333D700A">
      <w:pPr>
        <w:pStyle w:val="6"/>
        <w:spacing w:before="0" w:after="0" w:line="360" w:lineRule="auto"/>
        <w:rPr>
          <w:rFonts w:ascii="Times New Roman" w:hAnsi="Times New Roman" w:eastAsia="宋体"/>
          <w:sz w:val="30"/>
          <w:szCs w:val="30"/>
        </w:rPr>
      </w:pPr>
      <w:bookmarkStart w:id="374" w:name="_Toc22514"/>
      <w:r>
        <w:rPr>
          <w:rFonts w:ascii="Times New Roman" w:hAnsi="Times New Roman" w:eastAsia="宋体"/>
          <w:sz w:val="30"/>
          <w:szCs w:val="30"/>
        </w:rPr>
        <w:t>10.3项目选址的环境可行性</w:t>
      </w:r>
      <w:bookmarkEnd w:id="374"/>
    </w:p>
    <w:p w14:paraId="657426A5">
      <w:pPr>
        <w:spacing w:line="360" w:lineRule="auto"/>
        <w:ind w:firstLine="480" w:firstLineChars="200"/>
        <w:rPr>
          <w:sz w:val="24"/>
        </w:rPr>
      </w:pPr>
      <w:r>
        <w:rPr>
          <w:sz w:val="24"/>
        </w:rPr>
        <w:t>项目为新建项目选址不涉及自然保护区、风景名胜区、饮用水源保护区等法定环境敏感区和特殊功能生态区；项目不位于石林县城市建成区，居民区位于厂址上风向，项目上风向关心点距离项目较远；项目建设取得了石林县发展和改革局备案，项目选址不敏感，无限制本工程建设的重大环境因子。</w:t>
      </w:r>
    </w:p>
    <w:p w14:paraId="07D5A961">
      <w:pPr>
        <w:spacing w:line="360" w:lineRule="auto"/>
        <w:ind w:firstLine="480" w:firstLineChars="200"/>
        <w:rPr>
          <w:sz w:val="24"/>
        </w:rPr>
      </w:pPr>
      <w:r>
        <w:rPr>
          <w:sz w:val="24"/>
        </w:rPr>
        <w:t>项目选址不在《畜禽养殖污染防治技术规范》（HJ/T81-2001）及《畜禽养殖业污染治理工程技术规范》（HJ497-2009）规定的禁建区域，且场界与禁建区域边界的最小距离大于500m，符合《畜禽养殖业污染防治技术规范》、《畜禽规模养殖污染防治条例》、《畜禽养殖污染防治管理办法》及《畜禽养殖业污染治理工程技术规范》中的选址要求。该项目选址不在石林县划定的畜禽养殖禁养区和限养区。</w:t>
      </w:r>
    </w:p>
    <w:p w14:paraId="491BA260">
      <w:pPr>
        <w:spacing w:line="360" w:lineRule="auto"/>
        <w:ind w:firstLine="480" w:firstLineChars="200"/>
        <w:rPr>
          <w:sz w:val="24"/>
        </w:rPr>
      </w:pPr>
      <w:r>
        <w:rPr>
          <w:sz w:val="24"/>
        </w:rPr>
        <w:t>通过认真落实本报告书提出的对策措施，厂址的选择从环境保护的角度看是可行的。</w:t>
      </w:r>
    </w:p>
    <w:p w14:paraId="43AB7C81">
      <w:pPr>
        <w:pStyle w:val="6"/>
        <w:spacing w:before="0" w:after="0" w:line="360" w:lineRule="auto"/>
        <w:rPr>
          <w:rFonts w:ascii="Times New Roman" w:hAnsi="Times New Roman" w:eastAsia="宋体"/>
          <w:sz w:val="30"/>
          <w:szCs w:val="30"/>
        </w:rPr>
      </w:pPr>
      <w:bookmarkStart w:id="375" w:name="_Toc20389"/>
      <w:bookmarkStart w:id="376" w:name="_Toc272251639"/>
      <w:bookmarkStart w:id="377" w:name="_Toc272251346"/>
      <w:bookmarkStart w:id="378" w:name="_Toc238908736"/>
      <w:r>
        <w:rPr>
          <w:rFonts w:ascii="Times New Roman" w:hAnsi="Times New Roman" w:eastAsia="宋体"/>
          <w:sz w:val="30"/>
          <w:szCs w:val="30"/>
        </w:rPr>
        <w:t>10.4环境质量现状评价结论</w:t>
      </w:r>
      <w:bookmarkEnd w:id="375"/>
      <w:bookmarkEnd w:id="376"/>
      <w:bookmarkEnd w:id="377"/>
      <w:bookmarkEnd w:id="378"/>
    </w:p>
    <w:p w14:paraId="6979862A">
      <w:pPr>
        <w:pStyle w:val="7"/>
        <w:spacing w:before="0" w:after="0" w:line="360" w:lineRule="auto"/>
        <w:rPr>
          <w:rFonts w:ascii="Times New Roman" w:hAnsi="Times New Roman"/>
          <w:sz w:val="28"/>
          <w:szCs w:val="28"/>
        </w:rPr>
      </w:pPr>
      <w:bookmarkStart w:id="379" w:name="_Toc272251640"/>
      <w:bookmarkStart w:id="380" w:name="_Toc238908737"/>
      <w:bookmarkStart w:id="381" w:name="_Toc272251347"/>
      <w:r>
        <w:rPr>
          <w:rFonts w:ascii="Times New Roman" w:hAnsi="Times New Roman"/>
          <w:sz w:val="28"/>
          <w:szCs w:val="28"/>
        </w:rPr>
        <w:t>10.4.1大气环境质量现状</w:t>
      </w:r>
      <w:bookmarkEnd w:id="379"/>
      <w:bookmarkEnd w:id="380"/>
      <w:bookmarkEnd w:id="381"/>
    </w:p>
    <w:p w14:paraId="4BA3C2D8">
      <w:pPr>
        <w:pStyle w:val="36"/>
        <w:widowControl/>
        <w:spacing w:line="360" w:lineRule="auto"/>
        <w:rPr>
          <w:rFonts w:ascii="Times New Roman" w:hAnsi="Times New Roman"/>
        </w:rPr>
      </w:pPr>
      <w:bookmarkStart w:id="382" w:name="_Toc238908738"/>
      <w:r>
        <w:rPr>
          <w:rFonts w:ascii="Times New Roman" w:hAnsi="Times New Roman"/>
          <w:kern w:val="0"/>
        </w:rPr>
        <w:t>根据昆明市环境保护局发布的《2020年昆明市生态环境状况公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判定</w:t>
      </w:r>
      <w:r>
        <w:rPr>
          <w:rFonts w:ascii="Times New Roman" w:hAnsi="Times New Roman"/>
        </w:rPr>
        <w:t>项目所在区域属于达标区。根据监测结果项目区H</w:t>
      </w:r>
      <w:r>
        <w:rPr>
          <w:rFonts w:ascii="Times New Roman" w:hAnsi="Times New Roman"/>
          <w:vertAlign w:val="subscript"/>
        </w:rPr>
        <w:t>2</w:t>
      </w:r>
      <w:r>
        <w:rPr>
          <w:rFonts w:ascii="Times New Roman" w:hAnsi="Times New Roman"/>
        </w:rPr>
        <w:t>S、NH</w:t>
      </w:r>
      <w:r>
        <w:rPr>
          <w:rFonts w:ascii="Times New Roman" w:hAnsi="Times New Roman"/>
          <w:vertAlign w:val="subscript"/>
        </w:rPr>
        <w:t>3</w:t>
      </w:r>
      <w:r>
        <w:rPr>
          <w:rFonts w:ascii="Times New Roman" w:hAnsi="Times New Roman"/>
        </w:rPr>
        <w:t>的小时平均浓度满足《环境影响评价技术导则 大气环境》（HJ2.2-2018）中附录D中其他污染物空气质量浓度参考限值，说明该区域大气环境能满足《环境空气质量标准》（GB 3095-2012）二级标准质量要求。可见，评价区域环境空气质量较好。</w:t>
      </w:r>
    </w:p>
    <w:p w14:paraId="20AF2BF8">
      <w:pPr>
        <w:pStyle w:val="7"/>
        <w:spacing w:before="0" w:after="0" w:line="360" w:lineRule="auto"/>
        <w:rPr>
          <w:rFonts w:ascii="Times New Roman" w:hAnsi="Times New Roman"/>
          <w:sz w:val="28"/>
          <w:szCs w:val="28"/>
        </w:rPr>
      </w:pPr>
      <w:bookmarkStart w:id="383" w:name="_Toc272251348"/>
      <w:bookmarkStart w:id="384" w:name="_Toc272251641"/>
      <w:r>
        <w:rPr>
          <w:rFonts w:ascii="Times New Roman" w:hAnsi="Times New Roman"/>
          <w:sz w:val="28"/>
          <w:szCs w:val="28"/>
        </w:rPr>
        <w:t>10.4.2地表水环境质量现状</w:t>
      </w:r>
      <w:bookmarkEnd w:id="382"/>
      <w:bookmarkEnd w:id="383"/>
      <w:bookmarkEnd w:id="384"/>
    </w:p>
    <w:p w14:paraId="0BF390BC">
      <w:pPr>
        <w:pStyle w:val="36"/>
        <w:spacing w:line="360" w:lineRule="auto"/>
        <w:rPr>
          <w:rFonts w:ascii="Times New Roman" w:hAnsi="Times New Roman"/>
        </w:rPr>
      </w:pPr>
      <w:r>
        <w:rPr>
          <w:rFonts w:ascii="Times New Roman" w:hAnsi="Times New Roman"/>
        </w:rPr>
        <w:t>通过对项目现场勘查和环境调查，项目区位于石林县东部，所在位置属于普拉河流域，普拉河为白马河上游在石林境内名称，项目区养殖场地一距离普拉河（白马河）约50m，场地二距普拉河（白马河）约1600m，场地二养殖场之间有一季节性溪流，由东北向西南汇集，最终进入普拉河（白马河）。水环境目标为II类水；本次环评期间在</w:t>
      </w:r>
      <w:r>
        <w:rPr>
          <w:rFonts w:ascii="Times New Roman" w:hAnsi="Times New Roman"/>
          <w:bCs/>
        </w:rPr>
        <w:t>W1普拉河项目养殖地块一上游500m、W2普拉河项目养殖地块一下游1500m、W3项目养殖地块二旁溪沟上游500m、W4项目养殖地块二旁溪沟下游1500m，</w:t>
      </w:r>
      <w:r>
        <w:rPr>
          <w:rFonts w:ascii="Times New Roman" w:hAnsi="Times New Roman"/>
        </w:rPr>
        <w:t>共设置4个检测点对地表水质进行了监测，根据检测结果，项目区地表水断面监测数据均符合《地表水环境质量标准》(GB3838—2002)中II类水质要求，项目区水环境质量现状较好。</w:t>
      </w:r>
    </w:p>
    <w:p w14:paraId="4B4E4354">
      <w:pPr>
        <w:pStyle w:val="7"/>
        <w:spacing w:before="0" w:after="0" w:line="360" w:lineRule="auto"/>
        <w:rPr>
          <w:rFonts w:ascii="Times New Roman" w:hAnsi="Times New Roman"/>
          <w:sz w:val="28"/>
          <w:szCs w:val="28"/>
        </w:rPr>
      </w:pPr>
      <w:bookmarkStart w:id="385" w:name="_Toc272251642"/>
      <w:bookmarkStart w:id="386" w:name="_Toc238908739"/>
      <w:bookmarkStart w:id="387" w:name="_Toc272251349"/>
      <w:r>
        <w:rPr>
          <w:rFonts w:ascii="Times New Roman" w:hAnsi="Times New Roman"/>
          <w:sz w:val="28"/>
          <w:szCs w:val="28"/>
        </w:rPr>
        <w:t>10.4.3地下水环境质量现状</w:t>
      </w:r>
      <w:bookmarkEnd w:id="385"/>
      <w:bookmarkEnd w:id="386"/>
      <w:bookmarkEnd w:id="387"/>
    </w:p>
    <w:p w14:paraId="5AE68B95">
      <w:pPr>
        <w:spacing w:line="360" w:lineRule="auto"/>
        <w:ind w:firstLine="480"/>
        <w:jc w:val="left"/>
        <w:rPr>
          <w:kern w:val="0"/>
          <w:sz w:val="24"/>
          <w:szCs w:val="22"/>
          <w:lang w:bidi="ar"/>
        </w:rPr>
      </w:pPr>
      <w:r>
        <w:rPr>
          <w:kern w:val="0"/>
          <w:sz w:val="24"/>
          <w:szCs w:val="22"/>
          <w:lang w:bidi="ar"/>
        </w:rPr>
        <w:t>根据调查了解，项目区周边的村寨均通设市政自来水作为饮用水，根据《石林彝族自治县七角塘水库等十七个集中式饮用水源地保护范围划界方案》项目所在区域列入该次集中式饮用水水源保护划定范围的有圭山水库，距离项目区较远，且在项目区上游，项目区周边的的取水井及泉点主要用于旱时农田灌溉，项目区周边居民生活用水均为市政自来水，引自圭山水库；经现场调查和有关资料，项目所在区域地下水分水岭和地表水分水岭基本一致，其运移方向也与地形坡向等基本一致，在接收大气降水补给后，自高处向低处运移，区域不属于生活供水水源地准保护区、不属于热水、矿泉水、温泉等特殊地下水源保护区、也不属于补给径流区，场地内无分散居民饮用水源等其它环境敏感区，则项目场地地下水敏感程度为不敏感。</w:t>
      </w:r>
    </w:p>
    <w:p w14:paraId="3BAEA53C">
      <w:pPr>
        <w:widowControl/>
        <w:spacing w:line="360" w:lineRule="auto"/>
        <w:ind w:firstLine="480" w:firstLineChars="200"/>
        <w:jc w:val="left"/>
        <w:rPr>
          <w:sz w:val="24"/>
        </w:rPr>
      </w:pPr>
      <w:r>
        <w:rPr>
          <w:sz w:val="24"/>
        </w:rPr>
        <w:t>建设单位委托云南环绿环境检测技术有限公司对项目周边泉点及水井进行了地下水监测，监测点位为拟建项目地块一内水井DW1</w:t>
      </w:r>
      <w:r>
        <w:rPr>
          <w:bCs/>
          <w:sz w:val="24"/>
        </w:rPr>
        <w:t>、</w:t>
      </w:r>
      <w:r>
        <w:rPr>
          <w:sz w:val="24"/>
        </w:rPr>
        <w:t>拟建项目地块一下游泉点</w:t>
      </w:r>
      <w:r>
        <w:rPr>
          <w:bCs/>
          <w:sz w:val="24"/>
        </w:rPr>
        <w:t>DW2、芋头得村水井DW3、</w:t>
      </w:r>
      <w:r>
        <w:rPr>
          <w:sz w:val="24"/>
        </w:rPr>
        <w:t>拟建项目地块二南侧养殖区内泉点DW4、拟建项目地块二北侧养殖区上游泉点DW5；根据监测结果，项目区域地下水水质现状满足《地下水质量标准》（GB/T14848－2017）表1中Ⅲ类水质标准。</w:t>
      </w:r>
    </w:p>
    <w:p w14:paraId="7A2145FA">
      <w:pPr>
        <w:pStyle w:val="7"/>
        <w:spacing w:before="0" w:after="0" w:line="360" w:lineRule="auto"/>
        <w:rPr>
          <w:rFonts w:ascii="Times New Roman" w:hAnsi="Times New Roman"/>
          <w:sz w:val="28"/>
          <w:szCs w:val="28"/>
        </w:rPr>
      </w:pPr>
      <w:r>
        <w:rPr>
          <w:rFonts w:ascii="Times New Roman" w:hAnsi="Times New Roman"/>
          <w:sz w:val="28"/>
          <w:szCs w:val="28"/>
        </w:rPr>
        <w:t>10.4.4声环境质量现状</w:t>
      </w:r>
    </w:p>
    <w:p w14:paraId="71C6AAC8">
      <w:pPr>
        <w:pStyle w:val="36"/>
        <w:widowControl/>
        <w:spacing w:line="360" w:lineRule="auto"/>
        <w:rPr>
          <w:rFonts w:ascii="Times New Roman" w:hAnsi="Times New Roman"/>
          <w:kern w:val="0"/>
        </w:rPr>
      </w:pPr>
      <w:bookmarkStart w:id="388" w:name="_Toc272251350"/>
      <w:bookmarkStart w:id="389" w:name="_Toc272251643"/>
      <w:bookmarkStart w:id="390" w:name="_Toc238908740"/>
      <w:r>
        <w:rPr>
          <w:rFonts w:ascii="Times New Roman" w:hAnsi="Times New Roman"/>
          <w:kern w:val="0"/>
        </w:rPr>
        <w:t>项目在东南西北厂界共设置4个监测点，监测结果表明厂界噪声远小于GB3096-2008《声环境质量标准》2类区标准要求（昼间≤60dB(A)，夜间50dB(A)），声环境质量现状</w:t>
      </w:r>
      <w:r>
        <w:rPr>
          <w:rFonts w:ascii="Times New Roman" w:hAnsi="Times New Roman"/>
        </w:rPr>
        <w:t>良好</w:t>
      </w:r>
      <w:r>
        <w:rPr>
          <w:rFonts w:ascii="Times New Roman" w:hAnsi="Times New Roman"/>
          <w:kern w:val="0"/>
        </w:rPr>
        <w:t>，能满足功能区要求。</w:t>
      </w:r>
    </w:p>
    <w:p w14:paraId="3BD348AB">
      <w:pPr>
        <w:pStyle w:val="7"/>
        <w:spacing w:before="0" w:after="0" w:line="360" w:lineRule="auto"/>
        <w:rPr>
          <w:rFonts w:ascii="Times New Roman" w:hAnsi="Times New Roman"/>
          <w:kern w:val="0"/>
        </w:rPr>
      </w:pPr>
      <w:r>
        <w:rPr>
          <w:rFonts w:ascii="Times New Roman" w:hAnsi="Times New Roman"/>
          <w:sz w:val="28"/>
          <w:szCs w:val="28"/>
        </w:rPr>
        <w:t>10.4.5土壤环境质量现状</w:t>
      </w:r>
    </w:p>
    <w:p w14:paraId="72720179">
      <w:pPr>
        <w:pStyle w:val="36"/>
        <w:widowControl/>
        <w:spacing w:line="360" w:lineRule="auto"/>
        <w:rPr>
          <w:rFonts w:ascii="Times New Roman" w:hAnsi="Times New Roman"/>
          <w:kern w:val="0"/>
        </w:rPr>
      </w:pPr>
      <w:r>
        <w:rPr>
          <w:rFonts w:ascii="Times New Roman" w:hAnsi="Times New Roman"/>
          <w:kern w:val="0"/>
        </w:rPr>
        <w:t>为了解项目区域内土壤环境现状情况，</w:t>
      </w:r>
      <w:r>
        <w:rPr>
          <w:rFonts w:ascii="Times New Roman" w:hAnsi="Times New Roman"/>
          <w:lang w:bidi="ar"/>
        </w:rPr>
        <w:t>建设单位于</w:t>
      </w:r>
      <w:r>
        <w:rPr>
          <w:rFonts w:ascii="Times New Roman" w:hAnsi="Times New Roman"/>
          <w:spacing w:val="-6"/>
        </w:rPr>
        <w:t>2021年3月28日至30日</w:t>
      </w:r>
      <w:r>
        <w:rPr>
          <w:rFonts w:ascii="Times New Roman" w:hAnsi="Times New Roman"/>
          <w:lang w:bidi="ar"/>
        </w:rPr>
        <w:t>委托云南环绿环境检测技术服务有限公司对区域土壤进行了取样监测，</w:t>
      </w:r>
      <w:r>
        <w:rPr>
          <w:rFonts w:ascii="Times New Roman" w:hAnsi="Times New Roman"/>
          <w:kern w:val="0"/>
        </w:rPr>
        <w:t>检测点位为T1（拟建项目地块一北侧养殖区）、T2（拟建项目地块一南侧养殖区）、T3（拟建项目地块一东侧养殖区）、T4（拟建项目地块二北侧养殖区）、T5（拟建项目地块二南侧养殖区东部）、T6（拟建项目地块二东侧养殖区西部），共6个检测点位；</w:t>
      </w:r>
      <w:r>
        <w:rPr>
          <w:rFonts w:ascii="Times New Roman" w:hAnsi="Times New Roman"/>
        </w:rPr>
        <w:t>根据监测结果拟建场地及周边监测点处表层土土样中各项指标均满足</w:t>
      </w:r>
      <w:r>
        <w:rPr>
          <w:rFonts w:ascii="Times New Roman" w:hAnsi="Times New Roman"/>
          <w:kern w:val="0"/>
        </w:rPr>
        <w:t>《土壤环境质量农用地土壤污染风险管控标准（试行）》（GB15618-2018）</w:t>
      </w:r>
      <w:r>
        <w:rPr>
          <w:rFonts w:ascii="Times New Roman" w:hAnsi="Times New Roman"/>
        </w:rPr>
        <w:t>表1 中筛选值标准。</w:t>
      </w:r>
      <w:r>
        <w:rPr>
          <w:rFonts w:ascii="Times New Roman" w:hAnsi="Times New Roman"/>
          <w:bCs/>
        </w:rPr>
        <w:t>项目区土壤未出现盐化、酸化或碱化现象，</w:t>
      </w:r>
      <w:r>
        <w:rPr>
          <w:rFonts w:ascii="Times New Roman" w:hAnsi="Times New Roman"/>
        </w:rPr>
        <w:t>现状土壤未受到污染，项目区土壤环境质量较好。</w:t>
      </w:r>
    </w:p>
    <w:p w14:paraId="34CE0D8F">
      <w:pPr>
        <w:pStyle w:val="7"/>
        <w:spacing w:before="0" w:after="0" w:line="360" w:lineRule="auto"/>
        <w:rPr>
          <w:rFonts w:ascii="Times New Roman" w:hAnsi="Times New Roman"/>
          <w:sz w:val="28"/>
          <w:szCs w:val="28"/>
        </w:rPr>
      </w:pPr>
      <w:r>
        <w:rPr>
          <w:rFonts w:ascii="Times New Roman" w:hAnsi="Times New Roman"/>
          <w:sz w:val="28"/>
          <w:szCs w:val="28"/>
        </w:rPr>
        <w:t>10.4.6生态环境质量现状</w:t>
      </w:r>
    </w:p>
    <w:p w14:paraId="79F3A8B0">
      <w:pPr>
        <w:pStyle w:val="36"/>
        <w:widowControl/>
        <w:spacing w:line="360" w:lineRule="auto"/>
        <w:rPr>
          <w:rFonts w:ascii="Times New Roman" w:hAnsi="Times New Roman"/>
        </w:rPr>
      </w:pPr>
      <w:r>
        <w:rPr>
          <w:rFonts w:ascii="Times New Roman" w:hAnsi="Times New Roman"/>
          <w:kern w:val="10"/>
        </w:rPr>
        <w:t>项目区位于</w:t>
      </w:r>
      <w:r>
        <w:rPr>
          <w:rFonts w:ascii="Times New Roman" w:hAnsi="Times New Roman"/>
        </w:rPr>
        <w:t>石林彝族自治县圭山镇海邑村</w:t>
      </w:r>
      <w:r>
        <w:rPr>
          <w:rFonts w:ascii="Times New Roman" w:hAnsi="Times New Roman"/>
          <w:kern w:val="10"/>
        </w:rPr>
        <w:t>，项目区现状主要为坡耕地（种植烤烟、玉米）、荒草地、少量的果树林地等。植被覆盖一般。据现场调查，评价区域内无珍稀、濒危野生动植物。</w:t>
      </w:r>
      <w:r>
        <w:rPr>
          <w:rFonts w:ascii="Times New Roman" w:hAnsi="Times New Roman"/>
          <w:kern w:val="10"/>
          <w:lang/>
        </w:rPr>
        <w:t>项目所在区域野生动物有麻雀、燕子、蛇等，水生及两爬动物有青蛙、蟾蜍等，草本植物有喜旱莲子草、紫茎泽兰等杂草，生物多样性组成较为简单。</w:t>
      </w:r>
      <w:r>
        <w:rPr>
          <w:rFonts w:ascii="Times New Roman" w:hAnsi="Times New Roman"/>
        </w:rPr>
        <w:t>区域内没有国家和省级重点保护的野生植物、濒危植物等；未发现国家和省级重点保护的野生动物、濒危物种。</w:t>
      </w:r>
    </w:p>
    <w:p w14:paraId="5B7586D3">
      <w:pPr>
        <w:pStyle w:val="36"/>
        <w:widowControl/>
        <w:spacing w:line="360" w:lineRule="auto"/>
        <w:rPr>
          <w:rFonts w:ascii="Times New Roman" w:hAnsi="Times New Roman"/>
        </w:rPr>
      </w:pPr>
      <w:r>
        <w:rPr>
          <w:rFonts w:ascii="Times New Roman" w:hAnsi="Times New Roman"/>
        </w:rPr>
        <w:t>评价内无风景名胜区、文化古迹和自然保护区。</w:t>
      </w:r>
    </w:p>
    <w:p w14:paraId="4D70EFC1">
      <w:pPr>
        <w:pStyle w:val="6"/>
        <w:spacing w:before="0" w:after="0" w:line="360" w:lineRule="auto"/>
        <w:rPr>
          <w:rFonts w:ascii="Times New Roman" w:hAnsi="Times New Roman" w:eastAsia="宋体"/>
          <w:sz w:val="30"/>
          <w:szCs w:val="30"/>
        </w:rPr>
      </w:pPr>
      <w:bookmarkStart w:id="391" w:name="_Toc26532"/>
      <w:r>
        <w:rPr>
          <w:rFonts w:ascii="Times New Roman" w:hAnsi="Times New Roman" w:eastAsia="宋体"/>
          <w:sz w:val="30"/>
          <w:szCs w:val="30"/>
        </w:rPr>
        <w:t>10.5 环境影响评价结论</w:t>
      </w:r>
      <w:bookmarkEnd w:id="388"/>
      <w:bookmarkEnd w:id="389"/>
      <w:bookmarkEnd w:id="390"/>
      <w:bookmarkEnd w:id="391"/>
    </w:p>
    <w:p w14:paraId="00D1879F">
      <w:pPr>
        <w:pStyle w:val="7"/>
        <w:spacing w:before="0" w:after="0" w:line="360" w:lineRule="auto"/>
        <w:rPr>
          <w:rFonts w:ascii="Times New Roman" w:hAnsi="Times New Roman"/>
          <w:sz w:val="28"/>
          <w:szCs w:val="28"/>
        </w:rPr>
      </w:pPr>
      <w:bookmarkStart w:id="392" w:name="_Toc238908741"/>
      <w:bookmarkStart w:id="393" w:name="_Toc272251644"/>
      <w:bookmarkStart w:id="394" w:name="_Toc272251351"/>
      <w:r>
        <w:rPr>
          <w:rFonts w:ascii="Times New Roman" w:hAnsi="Times New Roman"/>
          <w:sz w:val="28"/>
          <w:szCs w:val="28"/>
        </w:rPr>
        <w:t>10.5.1大气环境影响评价结论</w:t>
      </w:r>
      <w:bookmarkEnd w:id="392"/>
      <w:bookmarkEnd w:id="393"/>
      <w:bookmarkEnd w:id="394"/>
    </w:p>
    <w:p w14:paraId="1CA32AAD">
      <w:pPr>
        <w:pStyle w:val="10"/>
        <w:spacing w:line="360" w:lineRule="auto"/>
        <w:ind w:firstLine="480"/>
        <w:rPr>
          <w:kern w:val="0"/>
          <w:sz w:val="24"/>
        </w:rPr>
      </w:pPr>
      <w:r>
        <w:rPr>
          <w:kern w:val="0"/>
          <w:sz w:val="24"/>
        </w:rPr>
        <w:t>（一）施工期</w:t>
      </w:r>
    </w:p>
    <w:p w14:paraId="3C0CF374">
      <w:pPr>
        <w:pStyle w:val="10"/>
        <w:spacing w:line="360" w:lineRule="auto"/>
        <w:ind w:firstLine="480"/>
        <w:rPr>
          <w:sz w:val="24"/>
        </w:rPr>
      </w:pPr>
      <w:r>
        <w:rPr>
          <w:sz w:val="24"/>
        </w:rPr>
        <w:t>通过空气环境影响分析，项目施工期对大气环境造成影响的主要是施工粉尘扬尘（TSP 和 PM</w:t>
      </w:r>
      <w:r>
        <w:rPr>
          <w:sz w:val="24"/>
          <w:vertAlign w:val="subscript"/>
        </w:rPr>
        <w:t>10</w:t>
      </w:r>
      <w:r>
        <w:rPr>
          <w:sz w:val="24"/>
        </w:rPr>
        <w:t>），由于项目建设地点周围500m范围内无环境保护目标，故影响对象主要是场区工人及周围自然植被，以及运输车辆运行道路沿边的居民住户和绿化植被，但项目通过给施工场界做好围挡、使用防尘网、施工场区洒水降尘、文明施工以及建筑材料采用湿法运输、顶部覆盖篷布、车辆减速慢性等措施后，施工期扬尘对周边环境的影响是可以接受的。而施工机械尾气、装修材料挥发物以及厨房废气，通过自然稀释、扩散对评价区域环境空气影响不大。综合分析，项目施工期通过严格落实环保措施，该项目建筑施工产生的环境空气影响是可以控制的，且随着施工期的结束而逐渐减弱、消失。</w:t>
      </w:r>
    </w:p>
    <w:p w14:paraId="0615C8AC">
      <w:pPr>
        <w:pStyle w:val="10"/>
        <w:spacing w:line="360" w:lineRule="auto"/>
        <w:ind w:firstLine="480"/>
        <w:rPr>
          <w:kern w:val="0"/>
          <w:sz w:val="24"/>
        </w:rPr>
      </w:pPr>
      <w:r>
        <w:rPr>
          <w:kern w:val="0"/>
          <w:sz w:val="24"/>
        </w:rPr>
        <w:t>（二）运营期</w:t>
      </w:r>
    </w:p>
    <w:p w14:paraId="5B20F4B0">
      <w:pPr>
        <w:widowControl/>
        <w:spacing w:line="360" w:lineRule="auto"/>
        <w:ind w:firstLine="480" w:firstLineChars="200"/>
        <w:jc w:val="left"/>
        <w:rPr>
          <w:sz w:val="24"/>
        </w:rPr>
      </w:pPr>
      <w:r>
        <w:rPr>
          <w:sz w:val="24"/>
        </w:rPr>
        <w:t>项目正常生产情况下，</w:t>
      </w:r>
      <w:r>
        <w:rPr>
          <w:bCs/>
          <w:sz w:val="24"/>
        </w:rPr>
        <w:t>本</w:t>
      </w:r>
      <w:r>
        <w:rPr>
          <w:sz w:val="24"/>
          <w:lang w:bidi="ar"/>
        </w:rPr>
        <w:t>项目养殖地块中</w:t>
      </w:r>
      <w:r>
        <w:rPr>
          <w:kern w:val="0"/>
          <w:sz w:val="24"/>
          <w:lang w:bidi="ar"/>
        </w:rPr>
        <w:t>无组织排放污染物中，1号地（盛丰通风井位置）NH</w:t>
      </w:r>
      <w:r>
        <w:rPr>
          <w:kern w:val="0"/>
          <w:sz w:val="24"/>
          <w:vertAlign w:val="subscript"/>
          <w:lang w:bidi="ar"/>
        </w:rPr>
        <w:t>3</w:t>
      </w:r>
      <w:r>
        <w:rPr>
          <w:sz w:val="24"/>
          <w:lang w:bidi="ar"/>
        </w:rPr>
        <w:t>最大落地浓度</w:t>
      </w:r>
      <w:r>
        <w:rPr>
          <w:kern w:val="0"/>
          <w:sz w:val="24"/>
          <w:lang w:bidi="ar"/>
        </w:rPr>
        <w:t>10.698ug/m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 0.813444ug/m</w:t>
      </w:r>
      <w:r>
        <w:rPr>
          <w:kern w:val="0"/>
          <w:sz w:val="24"/>
          <w:vertAlign w:val="superscript"/>
          <w:lang w:bidi="ar"/>
        </w:rPr>
        <w:t>3</w:t>
      </w:r>
      <w:r>
        <w:rPr>
          <w:kern w:val="0"/>
          <w:sz w:val="24"/>
          <w:lang w:bidi="ar"/>
        </w:rPr>
        <w:t>，</w:t>
      </w:r>
      <w:r>
        <w:rPr>
          <w:sz w:val="24"/>
          <w:lang w:bidi="ar"/>
        </w:rPr>
        <w:t>占标率分别为</w:t>
      </w:r>
      <w:r>
        <w:rPr>
          <w:kern w:val="0"/>
          <w:sz w:val="24"/>
          <w:lang w:bidi="ar"/>
        </w:rPr>
        <w:t>5.35</w:t>
      </w:r>
      <w:r>
        <w:rPr>
          <w:sz w:val="24"/>
          <w:lang w:bidi="ar"/>
        </w:rPr>
        <w:t>％、</w:t>
      </w:r>
      <w:r>
        <w:rPr>
          <w:kern w:val="0"/>
          <w:sz w:val="24"/>
          <w:lang w:bidi="ar"/>
        </w:rPr>
        <w:t>8.13</w:t>
      </w:r>
      <w:r>
        <w:rPr>
          <w:sz w:val="24"/>
          <w:lang w:bidi="ar"/>
        </w:rPr>
        <w:t>％，占标率均小于10％；</w:t>
      </w:r>
      <w:r>
        <w:rPr>
          <w:kern w:val="0"/>
          <w:sz w:val="24"/>
          <w:lang w:bidi="ar"/>
        </w:rPr>
        <w:t>2号地（盛丰焦化楼位置）NH</w:t>
      </w:r>
      <w:r>
        <w:rPr>
          <w:kern w:val="0"/>
          <w:sz w:val="24"/>
          <w:vertAlign w:val="subscript"/>
          <w:lang w:bidi="ar"/>
        </w:rPr>
        <w:t>3</w:t>
      </w:r>
      <w:r>
        <w:rPr>
          <w:sz w:val="24"/>
          <w:lang w:bidi="ar"/>
        </w:rPr>
        <w:t>最大落地浓度</w:t>
      </w:r>
      <w:r>
        <w:rPr>
          <w:kern w:val="0"/>
          <w:sz w:val="24"/>
          <w:lang w:bidi="ar"/>
        </w:rPr>
        <w:t>16.843ug/m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S0.982783ug/m</w:t>
      </w:r>
      <w:r>
        <w:rPr>
          <w:kern w:val="0"/>
          <w:sz w:val="24"/>
          <w:vertAlign w:val="superscript"/>
          <w:lang w:bidi="ar"/>
        </w:rPr>
        <w:t>3</w:t>
      </w:r>
      <w:r>
        <w:rPr>
          <w:kern w:val="0"/>
          <w:sz w:val="24"/>
          <w:lang w:bidi="ar"/>
        </w:rPr>
        <w:t>，</w:t>
      </w:r>
      <w:r>
        <w:rPr>
          <w:sz w:val="24"/>
          <w:lang w:bidi="ar"/>
        </w:rPr>
        <w:t>占标率分别为</w:t>
      </w:r>
      <w:r>
        <w:rPr>
          <w:kern w:val="0"/>
          <w:sz w:val="24"/>
          <w:lang w:bidi="ar"/>
        </w:rPr>
        <w:t>8.42</w:t>
      </w:r>
      <w:r>
        <w:rPr>
          <w:sz w:val="24"/>
          <w:lang w:bidi="ar"/>
        </w:rPr>
        <w:t>％、</w:t>
      </w:r>
      <w:r>
        <w:rPr>
          <w:kern w:val="0"/>
          <w:sz w:val="24"/>
          <w:lang w:bidi="ar"/>
        </w:rPr>
        <w:t>9.83</w:t>
      </w:r>
      <w:r>
        <w:rPr>
          <w:sz w:val="24"/>
          <w:lang w:bidi="ar"/>
        </w:rPr>
        <w:t>％，占标率均小于10％；</w:t>
      </w:r>
      <w:r>
        <w:rPr>
          <w:kern w:val="0"/>
          <w:sz w:val="24"/>
          <w:lang w:bidi="ar"/>
        </w:rPr>
        <w:t>3号地（老井位置）NH</w:t>
      </w:r>
      <w:r>
        <w:rPr>
          <w:kern w:val="0"/>
          <w:sz w:val="24"/>
          <w:vertAlign w:val="subscript"/>
          <w:lang w:bidi="ar"/>
        </w:rPr>
        <w:t>3</w:t>
      </w:r>
      <w:r>
        <w:rPr>
          <w:sz w:val="24"/>
          <w:lang w:bidi="ar"/>
        </w:rPr>
        <w:t>最大落地浓度</w:t>
      </w:r>
      <w:r>
        <w:rPr>
          <w:kern w:val="0"/>
          <w:sz w:val="24"/>
          <w:lang w:bidi="ar"/>
        </w:rPr>
        <w:t>10.817ug/m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S0.614861ug/m</w:t>
      </w:r>
      <w:r>
        <w:rPr>
          <w:kern w:val="0"/>
          <w:sz w:val="24"/>
          <w:vertAlign w:val="superscript"/>
          <w:lang w:bidi="ar"/>
        </w:rPr>
        <w:t>3</w:t>
      </w:r>
      <w:r>
        <w:rPr>
          <w:kern w:val="0"/>
          <w:sz w:val="24"/>
          <w:lang w:bidi="ar"/>
        </w:rPr>
        <w:t>，</w:t>
      </w:r>
      <w:r>
        <w:rPr>
          <w:sz w:val="24"/>
          <w:lang w:bidi="ar"/>
        </w:rPr>
        <w:t>占标率分别为</w:t>
      </w:r>
      <w:r>
        <w:rPr>
          <w:kern w:val="0"/>
          <w:sz w:val="24"/>
          <w:lang w:bidi="ar"/>
        </w:rPr>
        <w:t>5.41</w:t>
      </w:r>
      <w:r>
        <w:rPr>
          <w:sz w:val="24"/>
          <w:lang w:bidi="ar"/>
        </w:rPr>
        <w:t>％、</w:t>
      </w:r>
      <w:r>
        <w:rPr>
          <w:kern w:val="0"/>
          <w:sz w:val="24"/>
          <w:lang w:bidi="ar"/>
        </w:rPr>
        <w:t>6.15</w:t>
      </w:r>
      <w:r>
        <w:rPr>
          <w:sz w:val="24"/>
          <w:lang w:bidi="ar"/>
        </w:rPr>
        <w:t>％，占标率均小于10％；</w:t>
      </w:r>
      <w:r>
        <w:rPr>
          <w:kern w:val="0"/>
          <w:sz w:val="24"/>
          <w:lang w:bidi="ar"/>
        </w:rPr>
        <w:t>4号地（鑫旺板块）NH</w:t>
      </w:r>
      <w:r>
        <w:rPr>
          <w:kern w:val="0"/>
          <w:sz w:val="24"/>
          <w:vertAlign w:val="subscript"/>
          <w:lang w:bidi="ar"/>
        </w:rPr>
        <w:t>3</w:t>
      </w:r>
      <w:r>
        <w:rPr>
          <w:sz w:val="24"/>
          <w:lang w:bidi="ar"/>
        </w:rPr>
        <w:t>最大落地浓度</w:t>
      </w:r>
      <w:r>
        <w:rPr>
          <w:kern w:val="0"/>
          <w:sz w:val="24"/>
          <w:lang w:bidi="ar"/>
        </w:rPr>
        <w:t>16.843ug/m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S0.976148ug/m</w:t>
      </w:r>
      <w:r>
        <w:rPr>
          <w:kern w:val="0"/>
          <w:sz w:val="24"/>
          <w:vertAlign w:val="superscript"/>
          <w:lang w:bidi="ar"/>
        </w:rPr>
        <w:t>3</w:t>
      </w:r>
      <w:r>
        <w:rPr>
          <w:kern w:val="0"/>
          <w:sz w:val="24"/>
          <w:lang w:bidi="ar"/>
        </w:rPr>
        <w:t>，</w:t>
      </w:r>
      <w:r>
        <w:rPr>
          <w:sz w:val="24"/>
          <w:lang w:bidi="ar"/>
        </w:rPr>
        <w:t>占标率分别为</w:t>
      </w:r>
      <w:r>
        <w:rPr>
          <w:kern w:val="0"/>
          <w:sz w:val="24"/>
          <w:lang w:bidi="ar"/>
        </w:rPr>
        <w:t>8.42</w:t>
      </w:r>
      <w:r>
        <w:rPr>
          <w:sz w:val="24"/>
          <w:lang w:bidi="ar"/>
        </w:rPr>
        <w:t>％、</w:t>
      </w:r>
      <w:r>
        <w:rPr>
          <w:kern w:val="0"/>
          <w:sz w:val="24"/>
          <w:lang w:bidi="ar"/>
        </w:rPr>
        <w:t>9.76</w:t>
      </w:r>
      <w:r>
        <w:rPr>
          <w:sz w:val="24"/>
          <w:lang w:bidi="ar"/>
        </w:rPr>
        <w:t>％，占标率均小于10％；</w:t>
      </w:r>
      <w:r>
        <w:rPr>
          <w:kern w:val="0"/>
          <w:sz w:val="24"/>
          <w:lang w:bidi="ar"/>
        </w:rPr>
        <w:t>5号地（大河边板块）NH</w:t>
      </w:r>
      <w:r>
        <w:rPr>
          <w:kern w:val="0"/>
          <w:sz w:val="24"/>
          <w:vertAlign w:val="subscript"/>
          <w:lang w:bidi="ar"/>
        </w:rPr>
        <w:t>3</w:t>
      </w:r>
      <w:r>
        <w:rPr>
          <w:sz w:val="24"/>
          <w:lang w:bidi="ar"/>
        </w:rPr>
        <w:t>最大落地浓度</w:t>
      </w:r>
      <w:r>
        <w:rPr>
          <w:kern w:val="0"/>
          <w:sz w:val="24"/>
          <w:lang w:bidi="ar"/>
        </w:rPr>
        <w:t>14.43ug/m</w:t>
      </w:r>
      <w:r>
        <w:rPr>
          <w:kern w:val="0"/>
          <w:sz w:val="24"/>
          <w:vertAlign w:val="superscript"/>
          <w:lang w:bidi="ar"/>
        </w:rPr>
        <w:t>3</w:t>
      </w:r>
      <w:r>
        <w:rPr>
          <w:kern w:val="0"/>
          <w:sz w:val="24"/>
          <w:lang w:bidi="ar"/>
        </w:rPr>
        <w:t>，H</w:t>
      </w:r>
      <w:r>
        <w:rPr>
          <w:kern w:val="0"/>
          <w:sz w:val="24"/>
          <w:vertAlign w:val="subscript"/>
          <w:lang w:bidi="ar"/>
        </w:rPr>
        <w:t>2</w:t>
      </w:r>
      <w:r>
        <w:rPr>
          <w:kern w:val="0"/>
          <w:sz w:val="24"/>
          <w:lang w:bidi="ar"/>
        </w:rPr>
        <w:t>S0.836522ug/m</w:t>
      </w:r>
      <w:r>
        <w:rPr>
          <w:kern w:val="0"/>
          <w:sz w:val="24"/>
          <w:vertAlign w:val="superscript"/>
          <w:lang w:bidi="ar"/>
        </w:rPr>
        <w:t>3</w:t>
      </w:r>
      <w:r>
        <w:rPr>
          <w:kern w:val="0"/>
          <w:sz w:val="24"/>
          <w:lang w:bidi="ar"/>
        </w:rPr>
        <w:t>，</w:t>
      </w:r>
      <w:r>
        <w:rPr>
          <w:sz w:val="24"/>
          <w:lang w:bidi="ar"/>
        </w:rPr>
        <w:t>占标率分别为</w:t>
      </w:r>
      <w:r>
        <w:rPr>
          <w:kern w:val="0"/>
          <w:sz w:val="24"/>
          <w:lang w:bidi="ar"/>
        </w:rPr>
        <w:t>7.22</w:t>
      </w:r>
      <w:r>
        <w:rPr>
          <w:sz w:val="24"/>
          <w:lang w:bidi="ar"/>
        </w:rPr>
        <w:t>％、</w:t>
      </w:r>
      <w:r>
        <w:rPr>
          <w:kern w:val="0"/>
          <w:sz w:val="24"/>
          <w:lang w:bidi="ar"/>
        </w:rPr>
        <w:t>8.37</w:t>
      </w:r>
      <w:r>
        <w:rPr>
          <w:sz w:val="24"/>
          <w:lang w:bidi="ar"/>
        </w:rPr>
        <w:t>％，占标率均小于10％；无害化处置有组织排放</w:t>
      </w:r>
      <w:r>
        <w:rPr>
          <w:kern w:val="0"/>
          <w:sz w:val="24"/>
          <w:lang w:bidi="ar"/>
        </w:rPr>
        <w:t>NH</w:t>
      </w:r>
      <w:r>
        <w:rPr>
          <w:kern w:val="0"/>
          <w:sz w:val="24"/>
          <w:vertAlign w:val="subscript"/>
          <w:lang w:bidi="ar"/>
        </w:rPr>
        <w:t>3</w:t>
      </w:r>
      <w:r>
        <w:rPr>
          <w:sz w:val="24"/>
          <w:lang w:bidi="ar"/>
        </w:rPr>
        <w:t>最大落地浓度</w:t>
      </w:r>
      <w:r>
        <w:rPr>
          <w:kern w:val="0"/>
          <w:sz w:val="24"/>
          <w:lang w:bidi="ar"/>
        </w:rPr>
        <w:t>4.8774ug/m</w:t>
      </w:r>
      <w:r>
        <w:rPr>
          <w:kern w:val="0"/>
          <w:sz w:val="24"/>
          <w:vertAlign w:val="superscript"/>
          <w:lang w:bidi="ar"/>
        </w:rPr>
        <w:t>3</w:t>
      </w:r>
      <w:r>
        <w:rPr>
          <w:kern w:val="0"/>
          <w:sz w:val="24"/>
          <w:lang w:bidi="ar"/>
        </w:rPr>
        <w:t>，</w:t>
      </w:r>
      <w:r>
        <w:rPr>
          <w:sz w:val="24"/>
          <w:lang w:bidi="ar"/>
        </w:rPr>
        <w:t>占标率为</w:t>
      </w:r>
      <w:r>
        <w:rPr>
          <w:kern w:val="0"/>
          <w:sz w:val="24"/>
          <w:lang w:bidi="ar"/>
        </w:rPr>
        <w:t>2.44</w:t>
      </w:r>
      <w:r>
        <w:rPr>
          <w:sz w:val="24"/>
          <w:lang w:bidi="ar"/>
        </w:rPr>
        <w:t>％，</w:t>
      </w:r>
      <w:r>
        <w:rPr>
          <w:kern w:val="0"/>
          <w:sz w:val="24"/>
          <w:lang w:bidi="ar"/>
        </w:rPr>
        <w:t>满足《环境影响评价技术导则 大气环境》（</w:t>
      </w:r>
      <w:r>
        <w:rPr>
          <w:rFonts w:eastAsia="TimesNewRomanPSMT"/>
          <w:kern w:val="0"/>
          <w:sz w:val="24"/>
          <w:lang w:bidi="ar"/>
        </w:rPr>
        <w:t>HJ2.2-2018</w:t>
      </w:r>
      <w:r>
        <w:rPr>
          <w:kern w:val="0"/>
          <w:sz w:val="24"/>
          <w:lang w:bidi="ar"/>
        </w:rPr>
        <w:t xml:space="preserve">）附录 </w:t>
      </w:r>
      <w:r>
        <w:rPr>
          <w:rFonts w:eastAsia="TimesNewRomanPSMT"/>
          <w:kern w:val="0"/>
          <w:sz w:val="24"/>
          <w:lang w:bidi="ar"/>
        </w:rPr>
        <w:t xml:space="preserve">D </w:t>
      </w:r>
      <w:r>
        <w:rPr>
          <w:kern w:val="0"/>
          <w:sz w:val="24"/>
          <w:lang w:bidi="ar"/>
        </w:rPr>
        <w:t xml:space="preserve">其他污染物环境空气质量浓度参考限值。 </w:t>
      </w:r>
      <w:r>
        <w:rPr>
          <w:sz w:val="24"/>
        </w:rPr>
        <w:t>根据《环境影响评价技术导则 大气环境》(HJ2.2-2018)的要求，项目大气评价等级为二级。</w:t>
      </w:r>
    </w:p>
    <w:p w14:paraId="02C3428B">
      <w:pPr>
        <w:spacing w:line="360" w:lineRule="auto"/>
        <w:ind w:firstLine="480" w:firstLineChars="200"/>
        <w:rPr>
          <w:sz w:val="24"/>
        </w:rPr>
      </w:pPr>
      <w:r>
        <w:rPr>
          <w:sz w:val="24"/>
        </w:rPr>
        <w:t>项目区有组织排放大气污染物最大浓度出现距离为246m，所有污染物最大落地浓度均达标。无组织排放大气污染物最大浓度出现距离为52m，项目排放NH</w:t>
      </w:r>
      <w:r>
        <w:rPr>
          <w:sz w:val="24"/>
          <w:vertAlign w:val="subscript"/>
        </w:rPr>
        <w:t>3</w:t>
      </w:r>
      <w:r>
        <w:rPr>
          <w:sz w:val="24"/>
        </w:rPr>
        <w:t>、H</w:t>
      </w:r>
      <w:r>
        <w:rPr>
          <w:sz w:val="24"/>
          <w:vertAlign w:val="subscript"/>
        </w:rPr>
        <w:t>2</w:t>
      </w:r>
      <w:r>
        <w:rPr>
          <w:sz w:val="24"/>
        </w:rPr>
        <w:t>S的落地浓度均能满足</w:t>
      </w:r>
      <w:r>
        <w:rPr>
          <w:bCs/>
          <w:sz w:val="24"/>
        </w:rPr>
        <w:t>《环境影响评价技术导则 大气环境》（HJ2.2-2018）附录D氨、硫化氢的浓度参考限值要求，即</w:t>
      </w:r>
      <w:r>
        <w:rPr>
          <w:sz w:val="24"/>
        </w:rPr>
        <w:t>H</w:t>
      </w:r>
      <w:r>
        <w:rPr>
          <w:sz w:val="24"/>
          <w:vertAlign w:val="subscript"/>
        </w:rPr>
        <w:t>2</w:t>
      </w:r>
      <w:r>
        <w:rPr>
          <w:sz w:val="24"/>
        </w:rPr>
        <w:t>S≤0.01mg/m</w:t>
      </w:r>
      <w:r>
        <w:rPr>
          <w:sz w:val="24"/>
          <w:vertAlign w:val="superscript"/>
        </w:rPr>
        <w:t>3</w:t>
      </w:r>
      <w:r>
        <w:rPr>
          <w:sz w:val="24"/>
        </w:rPr>
        <w:t>、NH</w:t>
      </w:r>
      <w:r>
        <w:rPr>
          <w:sz w:val="24"/>
          <w:vertAlign w:val="subscript"/>
        </w:rPr>
        <w:t>3</w:t>
      </w:r>
      <w:r>
        <w:rPr>
          <w:sz w:val="24"/>
        </w:rPr>
        <w:t>≤0.2mg/m</w:t>
      </w:r>
      <w:r>
        <w:rPr>
          <w:sz w:val="24"/>
          <w:vertAlign w:val="superscript"/>
        </w:rPr>
        <w:t>3</w:t>
      </w:r>
      <w:r>
        <w:rPr>
          <w:sz w:val="24"/>
        </w:rPr>
        <w:t>；项目运行期大气污染物排放对周边居民点影响较小。</w:t>
      </w:r>
    </w:p>
    <w:p w14:paraId="1D4700CC">
      <w:pPr>
        <w:spacing w:line="360" w:lineRule="auto"/>
        <w:ind w:firstLine="480" w:firstLineChars="200"/>
        <w:rPr>
          <w:sz w:val="24"/>
        </w:rPr>
      </w:pPr>
      <w:r>
        <w:rPr>
          <w:sz w:val="24"/>
        </w:rPr>
        <w:t>根据污染排放量核算结果，有组织排放的NH</w:t>
      </w:r>
      <w:r>
        <w:rPr>
          <w:sz w:val="24"/>
          <w:vertAlign w:val="subscript"/>
        </w:rPr>
        <w:t>3</w:t>
      </w:r>
      <w:r>
        <w:rPr>
          <w:sz w:val="24"/>
        </w:rPr>
        <w:t>核算年排放量为0.0315t/a、无组织排放的NH</w:t>
      </w:r>
      <w:r>
        <w:rPr>
          <w:sz w:val="24"/>
          <w:vertAlign w:val="subscript"/>
        </w:rPr>
        <w:t>3</w:t>
      </w:r>
      <w:r>
        <w:rPr>
          <w:sz w:val="24"/>
        </w:rPr>
        <w:t>年排放量为1.1162t/a、无组织排放的H</w:t>
      </w:r>
      <w:r>
        <w:rPr>
          <w:sz w:val="24"/>
          <w:vertAlign w:val="subscript"/>
        </w:rPr>
        <w:t>2</w:t>
      </w:r>
      <w:r>
        <w:rPr>
          <w:sz w:val="24"/>
        </w:rPr>
        <w:t>S核算年排放量为</w:t>
      </w:r>
      <w:r>
        <w:rPr>
          <w:kern w:val="0"/>
          <w:sz w:val="24"/>
          <w:lang w:bidi="ar"/>
        </w:rPr>
        <w:t>0.0850</w:t>
      </w:r>
      <w:r>
        <w:rPr>
          <w:sz w:val="24"/>
        </w:rPr>
        <w:t>t/a。项目正常生产情况下废气经处理后达标外排，外排污染物对环境空气的影响较小，在可接受的范围内。</w:t>
      </w:r>
    </w:p>
    <w:p w14:paraId="6DAC7D0D">
      <w:pPr>
        <w:pStyle w:val="7"/>
        <w:spacing w:before="0" w:after="0" w:line="360" w:lineRule="auto"/>
        <w:rPr>
          <w:rFonts w:ascii="Times New Roman" w:hAnsi="Times New Roman"/>
          <w:sz w:val="28"/>
          <w:szCs w:val="28"/>
        </w:rPr>
      </w:pPr>
      <w:bookmarkStart w:id="395" w:name="_Toc272251352"/>
      <w:bookmarkStart w:id="396" w:name="_Toc238908742"/>
      <w:bookmarkStart w:id="397" w:name="_Toc272251645"/>
      <w:r>
        <w:rPr>
          <w:rFonts w:ascii="Times New Roman" w:hAnsi="Times New Roman"/>
          <w:sz w:val="28"/>
          <w:szCs w:val="28"/>
        </w:rPr>
        <w:t>10.5.2地表水环境影响评价结论</w:t>
      </w:r>
      <w:bookmarkEnd w:id="395"/>
      <w:bookmarkEnd w:id="396"/>
      <w:bookmarkEnd w:id="397"/>
    </w:p>
    <w:p w14:paraId="1223BE77">
      <w:pPr>
        <w:spacing w:line="360" w:lineRule="auto"/>
        <w:ind w:firstLine="480" w:firstLineChars="200"/>
        <w:rPr>
          <w:kern w:val="0"/>
          <w:sz w:val="24"/>
        </w:rPr>
      </w:pPr>
      <w:bookmarkStart w:id="398" w:name="_Toc238908743"/>
      <w:r>
        <w:rPr>
          <w:kern w:val="0"/>
          <w:sz w:val="24"/>
        </w:rPr>
        <w:t>（一）施工期</w:t>
      </w:r>
    </w:p>
    <w:p w14:paraId="01127180">
      <w:pPr>
        <w:pStyle w:val="1801"/>
        <w:adjustRightInd/>
        <w:snapToGrid/>
        <w:ind w:firstLine="480"/>
        <w:rPr>
          <w:rFonts w:ascii="Times New Roman"/>
          <w:kern w:val="0"/>
        </w:rPr>
      </w:pPr>
      <w:r>
        <w:rPr>
          <w:rFonts w:ascii="Times New Roman"/>
        </w:rPr>
        <w:t>项目拟设施工废水沉淀池、排水沟，施工过程中产生的废水经排水沟引入沉淀池处理后回用于施工过程或使用抽水机抽至周边雨水沟外排；施工人员生活粪便污水排入旱厕清掏处置，洗手、洗脸等清洁污水用于场地降尘。施工废水产生量不大，对地表水体的影响属短期影响，施工结束后即可终止，不会对地表水体产生大的影响。</w:t>
      </w:r>
    </w:p>
    <w:p w14:paraId="3AEF8419">
      <w:pPr>
        <w:spacing w:line="360" w:lineRule="auto"/>
        <w:ind w:firstLine="480" w:firstLineChars="200"/>
        <w:rPr>
          <w:kern w:val="0"/>
          <w:sz w:val="24"/>
        </w:rPr>
      </w:pPr>
      <w:r>
        <w:rPr>
          <w:kern w:val="0"/>
          <w:sz w:val="24"/>
        </w:rPr>
        <w:t>（二）运营期</w:t>
      </w:r>
    </w:p>
    <w:p w14:paraId="6D5E3971">
      <w:pPr>
        <w:pStyle w:val="1801"/>
        <w:ind w:firstLine="480"/>
        <w:rPr>
          <w:rFonts w:ascii="Times New Roman"/>
          <w:bCs/>
          <w:kern w:val="0"/>
        </w:rPr>
      </w:pPr>
      <w:bookmarkStart w:id="399" w:name="_Toc272251353"/>
      <w:bookmarkStart w:id="400" w:name="_Toc272251646"/>
      <w:r>
        <w:rPr>
          <w:rFonts w:ascii="Times New Roman"/>
          <w:kern w:val="0"/>
        </w:rPr>
        <w:t>项目投产后，排水采用雨污分流制。项目产生的废水主要包括猪舍猪尿、猪舍清洗废水、猪粪发酵渗滤液等生产废水、除臭废水及员工办公生活废水等。项目建设污水处理站一套，</w:t>
      </w:r>
      <w:r>
        <w:rPr>
          <w:rFonts w:ascii="Times New Roman"/>
        </w:rPr>
        <w:t>采取“平流气浮+调节池+沼气池（UASB反应器）+沼液储存池”，处理后达到《畜禽粪便还田技术规范》（GB/T25246-2010）中表2的规定，用槽车运至公司自有苹果园作为苹果园灌溉使用，</w:t>
      </w:r>
      <w:r>
        <w:rPr>
          <w:rFonts w:ascii="Times New Roman"/>
          <w:bCs/>
          <w:kern w:val="0"/>
        </w:rPr>
        <w:t>废水不外排，处理措施可行，不会对地表水产生影响。</w:t>
      </w:r>
    </w:p>
    <w:p w14:paraId="5A335237">
      <w:pPr>
        <w:pStyle w:val="1801"/>
        <w:ind w:firstLine="480"/>
        <w:rPr>
          <w:rFonts w:ascii="Times New Roman"/>
          <w:bCs/>
          <w:kern w:val="0"/>
          <w:highlight w:val="yellow"/>
        </w:rPr>
      </w:pPr>
      <w:r>
        <w:rPr>
          <w:rFonts w:ascii="Times New Roman"/>
          <w:bCs/>
        </w:rPr>
        <w:t>当污水处理系统发生故障，废水可暂存在猪舍下的粪污池内</w:t>
      </w:r>
      <w:r>
        <w:rPr>
          <w:rFonts w:ascii="Times New Roman"/>
          <w:bCs/>
          <w:kern w:val="0"/>
        </w:rPr>
        <w:t>，保证事故污水不会对周边地表水体产生污染影响；</w:t>
      </w:r>
      <w:r>
        <w:rPr>
          <w:rFonts w:ascii="Times New Roman"/>
          <w:bCs/>
        </w:rPr>
        <w:t>待故障排除后，将污水处理达标后回用。</w:t>
      </w:r>
    </w:p>
    <w:p w14:paraId="676E9E56">
      <w:pPr>
        <w:pStyle w:val="7"/>
        <w:spacing w:before="0" w:after="0" w:line="360" w:lineRule="auto"/>
        <w:rPr>
          <w:rFonts w:ascii="Times New Roman" w:hAnsi="Times New Roman"/>
          <w:sz w:val="28"/>
          <w:szCs w:val="28"/>
        </w:rPr>
      </w:pPr>
      <w:r>
        <w:rPr>
          <w:rFonts w:ascii="Times New Roman" w:hAnsi="Times New Roman"/>
          <w:sz w:val="28"/>
          <w:szCs w:val="28"/>
        </w:rPr>
        <w:t>10.5.3地下水环境影响评价结论</w:t>
      </w:r>
    </w:p>
    <w:p w14:paraId="328B932B">
      <w:pPr>
        <w:spacing w:line="440" w:lineRule="exact"/>
        <w:ind w:firstLine="480" w:firstLineChars="200"/>
        <w:rPr>
          <w:sz w:val="24"/>
        </w:rPr>
      </w:pPr>
      <w:r>
        <w:rPr>
          <w:sz w:val="24"/>
        </w:rPr>
        <w:t>拟建项目为生猪养殖场项目，项目的主体生产设施和装置基本置于地面上，属于相对污废水渗漏或泄漏易于发现和易处理的区域；地下水类型主要为第四系松散层孔隙水，区域地下水主要接受大气降水补给，动态变化呈季节性，含水层间水力联系不密切。在项目建设过程中，猪舍、污水处理站、固粪处理区和无害化处理车间、医疗固废暂存间、截排水沟等区域按照《环境影响评价技术导则-地下水环境》（HJ610-2016）中的防渗要求进行防渗设计，厂区采取防渗措施的情况下，项目正常运行过程中产生的污废水、固废等污染物发生渗漏或泄漏的可能性较小，即在建设期做好厂区的污染防渗措施，运行期加强维护和管理情况下，污废水、固废发生渗漏或泄漏造成地下水污染的可能性较小，项目建设运营对地下水环境的影响是可控的。</w:t>
      </w:r>
      <w:r>
        <w:rPr>
          <w:snapToGrid w:val="0"/>
          <w:sz w:val="24"/>
        </w:rPr>
        <w:t>非正常工况下对地下水可能造成的影响主要是由于出现泄漏、溢流，导致污染物进入包气带并最终到达浅层地下水。</w:t>
      </w:r>
      <w:r>
        <w:rPr>
          <w:bCs/>
          <w:sz w:val="24"/>
        </w:rPr>
        <w:t>污染物通过土层垂直下渗首先经过表土，再进入包气带，在包气带污水可以得到一定程度的净化，尤其是有机污染物。不能被净化或固定的污染物随入渗水进入地下水层。废水中的COD在粘性土中的吸附（去除）率为：包气带厚度为1.0m时，去除率达80%-90%，当包气带厚度在2.0m时，去除率可达95%以上。这说明废水在下渗过程中，逐渐被包气带物质粘土所吸附降解，只有极少部分进入含水层。根据现场情况，项目区包气带</w:t>
      </w:r>
      <w:r>
        <w:rPr>
          <w:kern w:val="0"/>
          <w:sz w:val="24"/>
          <w:szCs w:val="22"/>
          <w:lang w:bidi="ar"/>
        </w:rPr>
        <w:t>由冲积、残坡积的亚砂土、砾石、细砂组成。厚度为（5-10m），一般6m左右</w:t>
      </w:r>
      <w:r>
        <w:rPr>
          <w:bCs/>
          <w:sz w:val="24"/>
        </w:rPr>
        <w:t>，在采取相关防渗措施后，项目的建设对区域浅层地下水影响较小。根据环评调查，项目区周边村民饮用水均来自市政自来水，水源为圭山水库，本项目运行不会影响周边村民用水。项目的建设</w:t>
      </w:r>
      <w:r>
        <w:rPr>
          <w:sz w:val="24"/>
        </w:rPr>
        <w:t>对地下水环境的影响从环保上来说是可接受的。</w:t>
      </w:r>
    </w:p>
    <w:p w14:paraId="6F81A5C1">
      <w:pPr>
        <w:pStyle w:val="7"/>
        <w:spacing w:before="0" w:after="0" w:line="360" w:lineRule="auto"/>
        <w:rPr>
          <w:rFonts w:ascii="Times New Roman" w:hAnsi="Times New Roman"/>
          <w:sz w:val="28"/>
          <w:szCs w:val="28"/>
        </w:rPr>
      </w:pPr>
      <w:r>
        <w:rPr>
          <w:rFonts w:ascii="Times New Roman" w:hAnsi="Times New Roman"/>
          <w:sz w:val="28"/>
          <w:szCs w:val="28"/>
        </w:rPr>
        <w:t>10.5.4声环境影响评价结论</w:t>
      </w:r>
      <w:bookmarkEnd w:id="398"/>
      <w:bookmarkEnd w:id="399"/>
      <w:bookmarkEnd w:id="400"/>
    </w:p>
    <w:p w14:paraId="569B8946">
      <w:pPr>
        <w:spacing w:line="360" w:lineRule="auto"/>
        <w:ind w:firstLine="480" w:firstLineChars="200"/>
        <w:rPr>
          <w:sz w:val="24"/>
        </w:rPr>
      </w:pPr>
      <w:r>
        <w:rPr>
          <w:sz w:val="24"/>
        </w:rPr>
        <w:t>（一）施工期</w:t>
      </w:r>
    </w:p>
    <w:p w14:paraId="32A901C9">
      <w:pPr>
        <w:pStyle w:val="901"/>
        <w:ind w:firstLine="480"/>
        <w:rPr>
          <w:rFonts w:ascii="Times New Roman"/>
        </w:rPr>
      </w:pPr>
      <w:r>
        <w:rPr>
          <w:rFonts w:ascii="Times New Roman"/>
          <w:kern w:val="0"/>
        </w:rPr>
        <w:t>项目施工内容主要是基础施工、主体结构施工、设备安装、绿化等。</w:t>
      </w:r>
      <w:r>
        <w:rPr>
          <w:rFonts w:ascii="Times New Roman"/>
        </w:rPr>
        <w:t>为最大限度减少施工噪声对周边环境的影响，施工单位应做好噪声污染防治措施，严格加强施工管理，选用低噪声设备，合理安排设备摆放位置。本项目施工期产生的噪声对保护目标将产生一定的影响，在采取一定的污染防治后，能够有效减轻施工噪声对保护目标的影响。</w:t>
      </w:r>
    </w:p>
    <w:p w14:paraId="57965437">
      <w:pPr>
        <w:spacing w:line="360" w:lineRule="auto"/>
        <w:ind w:firstLine="480" w:firstLineChars="200"/>
        <w:rPr>
          <w:sz w:val="24"/>
        </w:rPr>
      </w:pPr>
      <w:r>
        <w:rPr>
          <w:sz w:val="24"/>
        </w:rPr>
        <w:t>（二）运营期</w:t>
      </w:r>
    </w:p>
    <w:p w14:paraId="333C6C95">
      <w:pPr>
        <w:tabs>
          <w:tab w:val="right" w:pos="8306"/>
        </w:tabs>
        <w:spacing w:line="360" w:lineRule="auto"/>
        <w:ind w:firstLine="480" w:firstLineChars="200"/>
        <w:rPr>
          <w:sz w:val="24"/>
        </w:rPr>
      </w:pPr>
      <w:r>
        <w:rPr>
          <w:sz w:val="24"/>
        </w:rPr>
        <w:t>根据项目平面布置，项目建成后，根据项目平面布置，项目建成后，根据上表预测结果，项目场界噪声能够达到（GB12348-2008）《工业企业厂界环境噪声排放标准》2类标准要求。</w:t>
      </w:r>
    </w:p>
    <w:p w14:paraId="6984F1D7">
      <w:pPr>
        <w:tabs>
          <w:tab w:val="right" w:pos="8306"/>
        </w:tabs>
        <w:spacing w:line="360" w:lineRule="auto"/>
        <w:ind w:firstLine="480" w:firstLineChars="200"/>
        <w:rPr>
          <w:sz w:val="24"/>
        </w:rPr>
      </w:pPr>
      <w:r>
        <w:rPr>
          <w:sz w:val="24"/>
        </w:rPr>
        <w:t>距离项目区最近的敏感点为大河边养殖地块东侧法块村，与项目最近距离295m，，且中间有高大山体相隔，项目猪舍及各配套设施距离厂界较远，经距离衰减、植被阻隔等降噪后，对敏感点基本无影响。</w:t>
      </w:r>
    </w:p>
    <w:p w14:paraId="6A015B22">
      <w:pPr>
        <w:tabs>
          <w:tab w:val="right" w:pos="8306"/>
        </w:tabs>
        <w:spacing w:line="360" w:lineRule="auto"/>
        <w:ind w:firstLine="480" w:firstLineChars="200"/>
        <w:rPr>
          <w:sz w:val="24"/>
        </w:rPr>
      </w:pPr>
      <w:r>
        <w:rPr>
          <w:sz w:val="24"/>
        </w:rPr>
        <w:t>项目运营期厂界噪声能够达到（GB12348-2008）《工业企业厂界环境噪声排放标准》2类标准要求，噪声评价范围内无敏感点，不会改变敏感点的声环境现状，对声环境影响较小。</w:t>
      </w:r>
    </w:p>
    <w:p w14:paraId="096F8758">
      <w:pPr>
        <w:pStyle w:val="7"/>
        <w:spacing w:before="0" w:after="0" w:line="360" w:lineRule="auto"/>
        <w:rPr>
          <w:rFonts w:ascii="Times New Roman" w:hAnsi="Times New Roman"/>
          <w:sz w:val="28"/>
          <w:szCs w:val="28"/>
        </w:rPr>
      </w:pPr>
      <w:bookmarkStart w:id="401" w:name="_Toc272251647"/>
      <w:bookmarkStart w:id="402" w:name="_Toc238908744"/>
      <w:bookmarkStart w:id="403" w:name="_Toc272251354"/>
      <w:r>
        <w:rPr>
          <w:rFonts w:ascii="Times New Roman" w:hAnsi="Times New Roman"/>
          <w:sz w:val="28"/>
          <w:szCs w:val="28"/>
        </w:rPr>
        <w:t>10.5.5 固体废物环境影响评价结论</w:t>
      </w:r>
      <w:bookmarkEnd w:id="401"/>
      <w:bookmarkEnd w:id="402"/>
      <w:bookmarkEnd w:id="403"/>
    </w:p>
    <w:p w14:paraId="169152E8">
      <w:pPr>
        <w:spacing w:line="360" w:lineRule="auto"/>
        <w:ind w:firstLine="480" w:firstLineChars="200"/>
        <w:rPr>
          <w:sz w:val="24"/>
        </w:rPr>
      </w:pPr>
      <w:r>
        <w:rPr>
          <w:sz w:val="24"/>
        </w:rPr>
        <w:t>（一）施工期</w:t>
      </w:r>
    </w:p>
    <w:p w14:paraId="3C24F871">
      <w:pPr>
        <w:pStyle w:val="10"/>
        <w:spacing w:line="360" w:lineRule="auto"/>
        <w:ind w:firstLine="480"/>
        <w:rPr>
          <w:kern w:val="0"/>
          <w:sz w:val="24"/>
        </w:rPr>
      </w:pPr>
      <w:r>
        <w:rPr>
          <w:kern w:val="0"/>
          <w:sz w:val="24"/>
        </w:rPr>
        <w:t>项目施工期产生的固体废弃物主要为场地开挖建设产生的土石方、建筑垃圾、施工人员产生的生活垃圾。产生的土石方全部用于项目场地平整、压实；建筑垃圾</w:t>
      </w:r>
      <w:r>
        <w:rPr>
          <w:sz w:val="24"/>
        </w:rPr>
        <w:t>可回收的部分出售给有资质的废品收购站，不可回收部分运至场地周边低洼处填埋；施工人员</w:t>
      </w:r>
      <w:r>
        <w:rPr>
          <w:kern w:val="0"/>
          <w:sz w:val="24"/>
        </w:rPr>
        <w:t>生活垃圾集中收集后统一处理。施工期固废处置率为100%，对周围环境影响不大。</w:t>
      </w:r>
    </w:p>
    <w:p w14:paraId="231ACE4B">
      <w:pPr>
        <w:spacing w:line="360" w:lineRule="auto"/>
        <w:ind w:firstLine="480" w:firstLineChars="200"/>
        <w:rPr>
          <w:sz w:val="24"/>
        </w:rPr>
      </w:pPr>
      <w:r>
        <w:rPr>
          <w:sz w:val="24"/>
        </w:rPr>
        <w:t>（二）运营期</w:t>
      </w:r>
    </w:p>
    <w:p w14:paraId="6F5EB2A3">
      <w:pPr>
        <w:spacing w:line="360" w:lineRule="auto"/>
        <w:ind w:firstLine="480" w:firstLineChars="200"/>
        <w:rPr>
          <w:sz w:val="24"/>
        </w:rPr>
      </w:pPr>
      <w:r>
        <w:rPr>
          <w:sz w:val="24"/>
        </w:rPr>
        <w:t>猪粪、料残渣、污泥送至固粪处理区堆肥处置后，作为有机肥</w:t>
      </w:r>
      <w:r>
        <w:rPr>
          <w:bCs/>
          <w:sz w:val="24"/>
        </w:rPr>
        <w:t>使用</w:t>
      </w:r>
      <w:r>
        <w:rPr>
          <w:sz w:val="24"/>
        </w:rPr>
        <w:t>；废弃包装材料统一收集后定期外卖给废品收购商；废脱硫剂属于一般性固体废物，由换料的生产厂家带走回收利用；病死猪无害化处理后，送至固粪处理区堆肥处置。医疗废物等危险废物定期交由有资质的单位处置；职工生活垃圾分类收集至厂区设置的生活垃圾收集点，临时定点存放，由环卫部门统一处理。</w:t>
      </w:r>
    </w:p>
    <w:p w14:paraId="23F735B7">
      <w:pPr>
        <w:spacing w:line="360" w:lineRule="auto"/>
        <w:ind w:firstLine="480" w:firstLineChars="200"/>
        <w:rPr>
          <w:sz w:val="24"/>
        </w:rPr>
      </w:pPr>
      <w:r>
        <w:rPr>
          <w:sz w:val="24"/>
        </w:rPr>
        <w:t>综上所述，本项目固体废弃物均能得到有效处置，且去向明确，对环境影响较小。</w:t>
      </w:r>
    </w:p>
    <w:p w14:paraId="27869C98">
      <w:pPr>
        <w:pStyle w:val="6"/>
        <w:spacing w:before="0" w:after="0" w:line="360" w:lineRule="auto"/>
        <w:rPr>
          <w:rFonts w:ascii="Times New Roman" w:hAnsi="Times New Roman" w:eastAsia="宋体"/>
          <w:sz w:val="30"/>
          <w:szCs w:val="30"/>
        </w:rPr>
      </w:pPr>
      <w:bookmarkStart w:id="404" w:name="_Toc272251648"/>
      <w:bookmarkStart w:id="405" w:name="_Toc5265"/>
      <w:bookmarkStart w:id="406" w:name="_Toc225671254"/>
      <w:bookmarkStart w:id="407" w:name="_Toc272251355"/>
      <w:bookmarkStart w:id="408" w:name="_Toc238908745"/>
      <w:r>
        <w:rPr>
          <w:rFonts w:ascii="Times New Roman" w:hAnsi="Times New Roman" w:eastAsia="宋体"/>
          <w:sz w:val="30"/>
          <w:szCs w:val="30"/>
        </w:rPr>
        <w:t>10.6环境风险评价结论</w:t>
      </w:r>
      <w:bookmarkEnd w:id="404"/>
      <w:bookmarkEnd w:id="405"/>
      <w:bookmarkEnd w:id="406"/>
      <w:bookmarkEnd w:id="407"/>
      <w:bookmarkEnd w:id="408"/>
    </w:p>
    <w:p w14:paraId="482F70B4">
      <w:pPr>
        <w:adjustRightInd w:val="0"/>
        <w:snapToGrid w:val="0"/>
        <w:spacing w:line="360" w:lineRule="auto"/>
        <w:ind w:firstLine="480" w:firstLineChars="200"/>
        <w:rPr>
          <w:sz w:val="24"/>
          <w:szCs w:val="28"/>
        </w:rPr>
      </w:pPr>
      <w:r>
        <w:rPr>
          <w:sz w:val="24"/>
          <w:szCs w:val="28"/>
        </w:rPr>
        <w:t>本项目工艺过程主要风险为危险物料为沼气。项目不涉及重大危险源。根据对各装置和设备的危险性分析，本项目的潜在风险事故是物料泄漏以及火灾、爆炸引起次生危害。采取相关措施后项目环境风险可以接受，但是生产过程中必须加强安全管理，防范重大事故，建立有效的应急预案可降低重大事故的损失。企业应在设计、建设和今后的操作运行中，认真落实各项有效的安全措施，加强安全管理，保障安全生产。</w:t>
      </w:r>
    </w:p>
    <w:p w14:paraId="079FE3D3">
      <w:pPr>
        <w:adjustRightInd w:val="0"/>
        <w:snapToGrid w:val="0"/>
        <w:spacing w:line="360" w:lineRule="auto"/>
        <w:ind w:firstLine="480" w:firstLineChars="200"/>
        <w:rPr>
          <w:sz w:val="24"/>
          <w:szCs w:val="28"/>
        </w:rPr>
      </w:pPr>
      <w:r>
        <w:rPr>
          <w:sz w:val="24"/>
          <w:szCs w:val="28"/>
        </w:rPr>
        <w:t>总之，项目运营过程中只要企业严格落实本次环境影响评价提出的风险防范措施与管理要求，项目环境风险和事故风险可以接受。</w:t>
      </w:r>
    </w:p>
    <w:p w14:paraId="7ED7E2B5">
      <w:pPr>
        <w:pStyle w:val="6"/>
        <w:spacing w:before="0" w:after="0" w:line="360" w:lineRule="auto"/>
        <w:rPr>
          <w:rFonts w:ascii="Times New Roman" w:hAnsi="Times New Roman" w:eastAsia="宋体"/>
          <w:sz w:val="30"/>
          <w:szCs w:val="30"/>
        </w:rPr>
      </w:pPr>
      <w:bookmarkStart w:id="409" w:name="_Toc238908750"/>
      <w:bookmarkStart w:id="410" w:name="_Toc272251651"/>
      <w:bookmarkStart w:id="411" w:name="_Toc6265"/>
      <w:bookmarkStart w:id="412" w:name="_Toc272251358"/>
      <w:r>
        <w:rPr>
          <w:rFonts w:ascii="Times New Roman" w:hAnsi="Times New Roman" w:eastAsia="宋体"/>
          <w:sz w:val="30"/>
          <w:szCs w:val="30"/>
        </w:rPr>
        <w:t>10.7总量控制指标</w:t>
      </w:r>
      <w:bookmarkEnd w:id="409"/>
      <w:bookmarkEnd w:id="410"/>
      <w:bookmarkEnd w:id="411"/>
      <w:bookmarkEnd w:id="412"/>
    </w:p>
    <w:p w14:paraId="26CD1B46">
      <w:pPr>
        <w:spacing w:line="360" w:lineRule="auto"/>
        <w:ind w:firstLine="480" w:firstLineChars="200"/>
        <w:rPr>
          <w:sz w:val="24"/>
        </w:rPr>
      </w:pPr>
      <w:bookmarkStart w:id="413" w:name="_Toc272251364"/>
      <w:bookmarkStart w:id="414" w:name="_Toc225671265"/>
      <w:bookmarkStart w:id="415" w:name="_Toc272251657"/>
      <w:bookmarkStart w:id="416" w:name="_Toc238908756"/>
      <w:r>
        <w:rPr>
          <w:sz w:val="24"/>
        </w:rPr>
        <w:t>本项目无组织排放废气污染物主要为NH</w:t>
      </w:r>
      <w:r>
        <w:rPr>
          <w:sz w:val="24"/>
          <w:vertAlign w:val="subscript"/>
        </w:rPr>
        <w:t>3</w:t>
      </w:r>
      <w:r>
        <w:rPr>
          <w:sz w:val="24"/>
        </w:rPr>
        <w:t>、H</w:t>
      </w:r>
      <w:r>
        <w:rPr>
          <w:sz w:val="24"/>
          <w:vertAlign w:val="subscript"/>
        </w:rPr>
        <w:t>2</w:t>
      </w:r>
      <w:r>
        <w:rPr>
          <w:sz w:val="24"/>
        </w:rPr>
        <w:t>S，故不设大气污染物排放总量。</w:t>
      </w:r>
    </w:p>
    <w:p w14:paraId="0CE3C725">
      <w:pPr>
        <w:spacing w:line="360" w:lineRule="auto"/>
        <w:ind w:firstLine="480" w:firstLineChars="200"/>
        <w:rPr>
          <w:sz w:val="24"/>
        </w:rPr>
      </w:pPr>
      <w:r>
        <w:rPr>
          <w:sz w:val="24"/>
        </w:rPr>
        <w:t>本项目废水经收集后进入污水处理站处理后回用于公司自有苹果园灌溉，不外排，故不设废水污染物排放总量。</w:t>
      </w:r>
    </w:p>
    <w:p w14:paraId="3ED942B8">
      <w:pPr>
        <w:spacing w:line="360" w:lineRule="auto"/>
        <w:ind w:firstLine="480" w:firstLineChars="200"/>
        <w:rPr>
          <w:sz w:val="24"/>
        </w:rPr>
      </w:pPr>
      <w:r>
        <w:rPr>
          <w:sz w:val="24"/>
        </w:rPr>
        <w:t>本项目产生的猪粪、沼渣、饲料残渣、病死猪、生活垃圾、食堂泔水、医疗废物均得到合理处置，不外排。</w:t>
      </w:r>
    </w:p>
    <w:p w14:paraId="51C560C3">
      <w:pPr>
        <w:pStyle w:val="6"/>
        <w:spacing w:before="0" w:after="0" w:line="360" w:lineRule="auto"/>
        <w:rPr>
          <w:rFonts w:ascii="Times New Roman" w:hAnsi="Times New Roman" w:eastAsia="宋体"/>
          <w:sz w:val="30"/>
          <w:szCs w:val="30"/>
        </w:rPr>
      </w:pPr>
      <w:bookmarkStart w:id="417" w:name="_Toc28779"/>
      <w:r>
        <w:rPr>
          <w:rFonts w:ascii="Times New Roman" w:hAnsi="Times New Roman" w:eastAsia="宋体"/>
          <w:sz w:val="30"/>
          <w:szCs w:val="30"/>
        </w:rPr>
        <w:t>10.8公众调查结论</w:t>
      </w:r>
      <w:bookmarkEnd w:id="413"/>
      <w:bookmarkEnd w:id="414"/>
      <w:bookmarkEnd w:id="415"/>
      <w:bookmarkEnd w:id="416"/>
      <w:r>
        <w:rPr>
          <w:rFonts w:ascii="Times New Roman" w:hAnsi="Times New Roman" w:eastAsia="宋体"/>
          <w:sz w:val="30"/>
          <w:szCs w:val="30"/>
        </w:rPr>
        <w:t>及采纳情况</w:t>
      </w:r>
      <w:bookmarkEnd w:id="417"/>
    </w:p>
    <w:p w14:paraId="1DA3EAB0">
      <w:pPr>
        <w:spacing w:line="360" w:lineRule="auto"/>
        <w:ind w:firstLine="480" w:firstLineChars="200"/>
        <w:rPr>
          <w:sz w:val="24"/>
        </w:rPr>
      </w:pPr>
      <w:r>
        <w:rPr>
          <w:sz w:val="24"/>
        </w:rPr>
        <w:t>本次公众参与调查按《环境影响评价公众参与办法》(生态环境部令)要求，公众参与采取了两次网络公示、两次报纸公示、一次现场公示等方式，调查对象范围主要是环境影响评价范围内的公民、法人和其他组织意见，环境影响评价范围是指以项目为中心，边长为5千米的矩形区域。</w:t>
      </w:r>
      <w:r>
        <w:rPr>
          <w:sz w:val="24"/>
          <w:lang w:bidi="ar"/>
        </w:rPr>
        <w:t>2021年3月1日，建设单位按照《环境影响评价公众参与办法》（生态环境部令第4号）的规定，在网络平台（环评爱好者论坛）向社会公众第一次公示了项目信息。</w:t>
      </w:r>
    </w:p>
    <w:p w14:paraId="7D84B9AB">
      <w:pPr>
        <w:spacing w:line="360" w:lineRule="auto"/>
        <w:ind w:firstLine="480" w:firstLineChars="200"/>
        <w:rPr>
          <w:sz w:val="24"/>
        </w:rPr>
      </w:pPr>
      <w:r>
        <w:rPr>
          <w:sz w:val="24"/>
        </w:rPr>
        <w:t>2019年11月12日~2019年11月25日，</w:t>
      </w:r>
      <w:r>
        <w:rPr>
          <w:sz w:val="24"/>
          <w:lang w:bidi="ar"/>
        </w:rPr>
        <w:t>建设单位按照《环境影响评价公众参与办法》（生态环境部令第4号）的规定，在网络平台（环评爱好者论坛）、报纸（云南</w:t>
      </w:r>
      <w:r>
        <w:rPr>
          <w:rFonts w:hint="eastAsia"/>
          <w:sz w:val="24"/>
          <w:lang w:bidi="ar"/>
        </w:rPr>
        <w:t>民族</w:t>
      </w:r>
      <w:r>
        <w:rPr>
          <w:sz w:val="24"/>
          <w:lang w:bidi="ar"/>
        </w:rPr>
        <w:t>时报）、项目周边村寨（普拉河村委会、法块村委会等）信息公示栏向社会公众第二次公示了项目信息。</w:t>
      </w:r>
    </w:p>
    <w:p w14:paraId="26E13394">
      <w:pPr>
        <w:adjustRightInd w:val="0"/>
        <w:snapToGrid w:val="0"/>
        <w:spacing w:line="360" w:lineRule="auto"/>
        <w:ind w:firstLine="522"/>
        <w:rPr>
          <w:sz w:val="24"/>
        </w:rPr>
      </w:pPr>
      <w:r>
        <w:rPr>
          <w:sz w:val="24"/>
          <w:lang w:bidi="ar"/>
        </w:rPr>
        <w:t>征求意见期间，均未收到公众对本项目建设的反馈意见。</w:t>
      </w:r>
    </w:p>
    <w:p w14:paraId="75D0E559">
      <w:pPr>
        <w:pStyle w:val="6"/>
        <w:spacing w:before="0" w:after="0" w:line="360" w:lineRule="auto"/>
        <w:rPr>
          <w:rFonts w:ascii="Times New Roman" w:hAnsi="Times New Roman" w:eastAsia="宋体"/>
          <w:sz w:val="30"/>
          <w:szCs w:val="30"/>
        </w:rPr>
      </w:pPr>
      <w:bookmarkStart w:id="418" w:name="_Toc29323"/>
      <w:bookmarkStart w:id="419" w:name="_Toc272251658"/>
      <w:bookmarkStart w:id="420" w:name="_Toc238908757"/>
      <w:bookmarkStart w:id="421" w:name="_Toc272251365"/>
      <w:r>
        <w:rPr>
          <w:rFonts w:ascii="Times New Roman" w:hAnsi="Times New Roman" w:eastAsia="宋体"/>
          <w:sz w:val="30"/>
          <w:szCs w:val="30"/>
        </w:rPr>
        <w:t>10.9综合结论</w:t>
      </w:r>
      <w:bookmarkEnd w:id="418"/>
      <w:bookmarkEnd w:id="419"/>
      <w:bookmarkEnd w:id="420"/>
      <w:bookmarkEnd w:id="421"/>
    </w:p>
    <w:p w14:paraId="0CD362B2">
      <w:pPr>
        <w:spacing w:line="360" w:lineRule="auto"/>
        <w:ind w:firstLine="480" w:firstLineChars="200"/>
        <w:rPr>
          <w:sz w:val="24"/>
        </w:rPr>
      </w:pPr>
      <w:r>
        <w:rPr>
          <w:sz w:val="24"/>
        </w:rPr>
        <w:t>石林源美农业发展有限公司石林源美养殖场项目符合国家产业政策以及行业技术规范，符合当地环境保护规划以及经济发展规划，项目基础支撑条件较好。通过预测和评价，本项目施工期及运行期的环境影响都较小。在采取严格的管理及环保措施后，对周围环境影响程度小，不会改变当地环境功能等级。本项目符合《畜禽养殖业污染防治技术规范》选址要求，选址不涉及环境敏感区。同时，石林县农业农村局出具证明：本项目选址不在《石林彝族自治县“四全”工作方案》规定的畜禽养殖禁养区、限养区范围内；项目占地不涉及基本农田。</w:t>
      </w:r>
    </w:p>
    <w:p w14:paraId="53E66B8C">
      <w:pPr>
        <w:spacing w:line="360" w:lineRule="auto"/>
        <w:ind w:firstLine="480" w:firstLineChars="200"/>
        <w:rPr>
          <w:sz w:val="24"/>
        </w:rPr>
      </w:pPr>
      <w:r>
        <w:rPr>
          <w:sz w:val="24"/>
        </w:rPr>
        <w:t>环评认为，只要云南石林牧原农牧有限公司石林一场生猪养殖项目在建设和运营过程中，严格执行国家环保政策和各项规章管理制度，根据公众调查，项目区周围公众均支持项目建设，建设单位在采纳公众意见及要求的同时，在按“三同时”要求严格落实可研及本环评提出的各项污染控制对策措施的条件下，</w:t>
      </w:r>
      <w:r>
        <w:rPr>
          <w:b/>
          <w:sz w:val="24"/>
        </w:rPr>
        <w:t>该项目从环境保护的角度来看是可行的</w:t>
      </w:r>
      <w:r>
        <w:rPr>
          <w:sz w:val="24"/>
        </w:rPr>
        <w:t>。</w:t>
      </w:r>
    </w:p>
    <w:p w14:paraId="1F2A01CC">
      <w:pPr>
        <w:pStyle w:val="6"/>
        <w:spacing w:before="0" w:after="0" w:line="360" w:lineRule="auto"/>
        <w:rPr>
          <w:rFonts w:ascii="Times New Roman" w:hAnsi="Times New Roman" w:eastAsia="宋体"/>
          <w:sz w:val="30"/>
          <w:szCs w:val="30"/>
        </w:rPr>
      </w:pPr>
      <w:bookmarkStart w:id="422" w:name="_Toc482972324"/>
      <w:bookmarkStart w:id="423" w:name="_Toc510091960"/>
      <w:bookmarkStart w:id="424" w:name="_Toc11172854"/>
      <w:bookmarkStart w:id="425" w:name="_Toc28534"/>
      <w:r>
        <w:rPr>
          <w:rFonts w:ascii="Times New Roman" w:hAnsi="Times New Roman" w:eastAsia="宋体"/>
          <w:sz w:val="30"/>
          <w:szCs w:val="30"/>
        </w:rPr>
        <w:t>11.10建议</w:t>
      </w:r>
      <w:bookmarkEnd w:id="422"/>
      <w:bookmarkEnd w:id="423"/>
      <w:bookmarkEnd w:id="424"/>
      <w:bookmarkEnd w:id="425"/>
    </w:p>
    <w:p w14:paraId="59CB3FE3">
      <w:pPr>
        <w:spacing w:line="360" w:lineRule="auto"/>
        <w:ind w:firstLine="480" w:firstLineChars="200"/>
        <w:rPr>
          <w:sz w:val="24"/>
        </w:rPr>
      </w:pPr>
      <w:r>
        <w:rPr>
          <w:sz w:val="24"/>
        </w:rPr>
        <w:t>（1）加强日常环境监督管理及检查维修工作，确保污染治理设施正常运行，保证污染物达标排放，杜绝非正常排放。</w:t>
      </w:r>
    </w:p>
    <w:p w14:paraId="025BBAF1">
      <w:pPr>
        <w:spacing w:line="360" w:lineRule="auto"/>
        <w:ind w:firstLine="480" w:firstLineChars="200"/>
        <w:rPr>
          <w:sz w:val="24"/>
        </w:rPr>
      </w:pPr>
      <w:r>
        <w:rPr>
          <w:sz w:val="24"/>
        </w:rPr>
        <w:t>（2）加强安全生产管理工作，制定相应得应急预案，避免发生重大环境安全事故。</w:t>
      </w:r>
    </w:p>
    <w:p w14:paraId="356F6DFE">
      <w:pPr>
        <w:spacing w:line="360" w:lineRule="auto"/>
        <w:ind w:firstLine="480" w:firstLineChars="200"/>
        <w:rPr>
          <w:sz w:val="24"/>
        </w:rPr>
      </w:pPr>
      <w:r>
        <w:rPr>
          <w:sz w:val="24"/>
        </w:rPr>
        <w:t>（3）加强职工技能培训，强化岗位操作训练，提高职工整体素质，保证环保措施真正落实。</w:t>
      </w:r>
    </w:p>
    <w:p w14:paraId="2BBD60C9">
      <w:pPr>
        <w:spacing w:line="360" w:lineRule="auto"/>
        <w:ind w:firstLine="480" w:firstLineChars="200"/>
        <w:rPr>
          <w:sz w:val="24"/>
        </w:rPr>
      </w:pPr>
      <w:r>
        <w:rPr>
          <w:sz w:val="24"/>
        </w:rPr>
        <w:t>（4）项目投产后，应报相关环境管理部门进行“三同时”验收，验收合格后方可投入生产。</w:t>
      </w:r>
    </w:p>
    <w:p w14:paraId="3034BC62">
      <w:pPr>
        <w:pStyle w:val="10"/>
        <w:spacing w:line="360" w:lineRule="auto"/>
        <w:ind w:firstLine="480"/>
        <w:rPr>
          <w:sz w:val="24"/>
        </w:rPr>
      </w:pPr>
    </w:p>
    <w:p w14:paraId="2275D003">
      <w:pPr>
        <w:pStyle w:val="10"/>
        <w:spacing w:line="360" w:lineRule="auto"/>
        <w:ind w:firstLine="480"/>
        <w:rPr>
          <w:sz w:val="24"/>
        </w:rPr>
      </w:pPr>
    </w:p>
    <w:sectPr>
      <w:pgSz w:w="11906" w:h="16838"/>
      <w:pgMar w:top="1440" w:right="1797" w:bottom="1361" w:left="1797" w:header="851" w:footer="992"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Prison Break" w:date="2021-11-10T11:09:00Z" w:initials="">
    <w:p w14:paraId="447BF819">
      <w:pPr>
        <w:pStyle w:val="2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47BF81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Black">
    <w:panose1 w:val="020B0A04020102020204"/>
    <w:charset w:val="00"/>
    <w:family w:val="swiss"/>
    <w:pitch w:val="default"/>
    <w:sig w:usb0="A00002AF" w:usb1="400078FB" w:usb2="00000000" w:usb3="00000000" w:csb0="6000009F" w:csb1="DFD7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modern"/>
    <w:pitch w:val="default"/>
    <w:sig w:usb0="00000000" w:usb1="00000000" w:usb2="00000000" w:usb3="00000000" w:csb0="00040001" w:csb1="00000000"/>
  </w:font>
  <w:font w:name="楷体_GB2312">
    <w:altName w:val="楷体"/>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A00002FF" w:usb1="28CFFCFA" w:usb2="00000016" w:usb3="00000000" w:csb0="00100001"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287" w:usb1="00000800" w:usb2="00000000" w:usb3="00000000" w:csb0="2000009F" w:csb1="DFD70000"/>
  </w:font>
  <w:font w:name="汉鼎简书宋">
    <w:altName w:val="宋体"/>
    <w:panose1 w:val="02010609010101010101"/>
    <w:charset w:val="86"/>
    <w:family w:val="modern"/>
    <w:pitch w:val="default"/>
    <w:sig w:usb0="00000001" w:usb1="080E0000" w:usb2="00000010" w:usb3="00000000" w:csb0="00040000" w:csb1="00000000"/>
  </w:font>
  <w:font w:name="Arial Unicode MS">
    <w:panose1 w:val="020B0604020202020204"/>
    <w:charset w:val="86"/>
    <w:family w:val="swiss"/>
    <w:pitch w:val="default"/>
    <w:sig w:usb0="F7FFAEFF" w:usb1="F9DFFFFF" w:usb2="0000007F" w:usb3="00000000" w:csb0="203F01FF" w:csb1="DFFF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AngsanaUPC">
    <w:altName w:val="DejaVu Math TeX Gyre"/>
    <w:panose1 w:val="02020603050405020304"/>
    <w:charset w:val="00"/>
    <w:family w:val="roman"/>
    <w:pitch w:val="default"/>
    <w:sig w:usb0="81000003" w:usb1="00000000" w:usb2="00000000" w:usb3="00000000" w:csb0="00010001" w:csb1="00000000"/>
  </w:font>
  <w:font w:name="CG Times (WN)">
    <w:altName w:val="Times New Roman"/>
    <w:panose1 w:val="00000000000000000000"/>
    <w:charset w:val="00"/>
    <w:family w:val="roman"/>
    <w:pitch w:val="default"/>
    <w:sig w:usb0="00000003" w:usb1="00000000" w:usb2="00000000" w:usb3="00000000" w:csb0="00000001" w:csb1="00000000"/>
  </w:font>
  <w:font w:name="Times">
    <w:altName w:val="Times New Roman"/>
    <w:panose1 w:val="02020603050405020304"/>
    <w:charset w:val="00"/>
    <w:family w:val="roman"/>
    <w:pitch w:val="default"/>
    <w:sig w:usb0="E0002AFF" w:usb1="C0007841" w:usb2="00000009" w:usb3="00000000" w:csb0="000001FF" w:csb1="00000000"/>
  </w:font>
  <w:font w:name="幼圆">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TimesNewRoman">
    <w:altName w:val="微软雅黑"/>
    <w:panose1 w:val="00000000000000000000"/>
    <w:charset w:val="00"/>
    <w:family w:val="auto"/>
    <w:pitch w:val="default"/>
    <w:sig w:usb0="00000000" w:usb1="00000000" w:usb2="00000000" w:usb3="00000000" w:csb0="00040001" w:csb1="00000000"/>
  </w:font>
  <w:font w:name="Plotter">
    <w:altName w:val="Lucida Console"/>
    <w:panose1 w:val="00000000000000000000"/>
    <w:charset w:val="00"/>
    <w:family w:val="modern"/>
    <w:pitch w:val="default"/>
    <w:sig w:usb0="00000000" w:usb1="00000000" w:usb2="00000000" w:usb3="00000000" w:csb0="00000001" w:csb1="00000000"/>
  </w:font>
  <w:font w:name="方正黑体_GBK">
    <w:altName w:val="Arial Unicode MS"/>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ӗԲ">
    <w:altName w:val="Times New Roman"/>
    <w:panose1 w:val="00000000000000000000"/>
    <w:charset w:val="00"/>
    <w:family w:val="roman"/>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Batang">
    <w:altName w:val="Malgun Gothic"/>
    <w:panose1 w:val="02030600000101010101"/>
    <w:charset w:val="81"/>
    <w:family w:val="roman"/>
    <w:pitch w:val="default"/>
    <w:sig w:usb0="B00002AF" w:usb1="69D77CFB" w:usb2="00000030" w:usb3="00000000" w:csb0="4008009F" w:csb1="DFD70000"/>
  </w:font>
  <w:font w:name="華康細圓體">
    <w:altName w:val="Microsoft JhengHei"/>
    <w:panose1 w:val="00000000000000000000"/>
    <w:charset w:val="88"/>
    <w:family w:val="modern"/>
    <w:pitch w:val="default"/>
    <w:sig w:usb0="00000001" w:usb1="08080000" w:usb2="00000010" w:usb3="00000000" w:csb0="00100000" w:csb1="00000000"/>
  </w:font>
  <w:font w:name="MS Mincho">
    <w:altName w:val="MS UI Gothic"/>
    <w:panose1 w:val="02020609040205080304"/>
    <w:charset w:val="80"/>
    <w:family w:val="modern"/>
    <w:pitch w:val="default"/>
    <w:sig w:usb0="E00002FF" w:usb1="6AC7FDFB" w:usb2="00000012" w:usb3="00000000" w:csb0="4002009F" w:csb1="DFD7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Baskerville Old Face">
    <w:altName w:val="Segoe Print"/>
    <w:panose1 w:val="02020602080505020303"/>
    <w:charset w:val="00"/>
    <w:family w:val="roman"/>
    <w:pitch w:val="default"/>
    <w:sig w:usb0="00000003" w:usb1="00000000" w:usb2="00000000" w:usb3="00000000" w:csb0="20000001" w:csb1="00000000"/>
  </w:font>
  <w:font w:name="華康楷書體W5">
    <w:altName w:val="宋体"/>
    <w:panose1 w:val="00000000000000000000"/>
    <w:charset w:val="88"/>
    <w:family w:val="script"/>
    <w:pitch w:val="default"/>
    <w:sig w:usb0="00000001" w:usb1="08080000" w:usb2="00000010" w:usb3="00000000" w:csb0="00100000" w:csb1="00000000"/>
  </w:font>
  <w:font w:name="Tms Rmn">
    <w:altName w:val="Segoe Print"/>
    <w:panose1 w:val="02020603040505020304"/>
    <w:charset w:val="00"/>
    <w:family w:val="roman"/>
    <w:pitch w:val="default"/>
    <w:sig w:usb0="00000003" w:usb1="00000000" w:usb2="00000000" w:usb3="00000000" w:csb0="00000001" w:csb1="00000000"/>
  </w:font>
  <w:font w:name="仿宋体">
    <w:altName w:val="宋体"/>
    <w:panose1 w:val="00000000000000000000"/>
    <w:charset w:val="86"/>
    <w:family w:val="roman"/>
    <w:pitch w:val="default"/>
    <w:sig w:usb0="00000001" w:usb1="080E0000" w:usb2="00000010" w:usb3="00000000" w:csb0="00040000" w:csb1="00000000"/>
  </w:font>
  <w:font w:name="MS Sans Serif">
    <w:altName w:val="Arial"/>
    <w:panose1 w:val="00000000000000000000"/>
    <w:charset w:val="00"/>
    <w:family w:val="swiss"/>
    <w:pitch w:val="default"/>
    <w:sig w:usb0="00000003" w:usb1="00000000" w:usb2="00000000" w:usb3="00000000" w:csb0="00000001" w:csb1="00000000"/>
  </w:font>
  <w:font w:name="Symusic">
    <w:panose1 w:val="00000400000000000000"/>
    <w:charset w:val="00"/>
    <w:family w:val="auto"/>
    <w:pitch w:val="default"/>
    <w:sig w:usb0="00000001" w:usb1="00000000" w:usb2="00000000" w:usb3="00000000" w:csb0="000001FF" w:csb1="00000000"/>
  </w:font>
  <w:font w:name="Century Gothic">
    <w:panose1 w:val="020B0502020202020204"/>
    <w:charset w:val="00"/>
    <w:family w:val="swiss"/>
    <w:pitch w:val="default"/>
    <w:sig w:usb0="00000287" w:usb1="00000000" w:usb2="00000000" w:usb3="00000000" w:csb0="2000009F" w:csb1="DFD70000"/>
  </w:font>
  <w:font w:name="方正大标宋_GBK">
    <w:altName w:val="黑体"/>
    <w:panose1 w:val="00000000000000000000"/>
    <w:charset w:val="86"/>
    <w:family w:val="script"/>
    <w:pitch w:val="default"/>
    <w:sig w:usb0="00000001" w:usb1="080E0000" w:usb2="00000010" w:usb3="00000000" w:csb0="00040000" w:csb1="00000000"/>
  </w:font>
  <w:font w:name="DFKai-SB">
    <w:altName w:val="Microsoft JhengHei Light"/>
    <w:panose1 w:val="03000509000000000000"/>
    <w:charset w:val="88"/>
    <w:family w:val="script"/>
    <w:pitch w:val="default"/>
    <w:sig w:usb0="00000003" w:usb1="082E0000" w:usb2="00000016" w:usb3="00000000" w:csb0="00100001" w:csb1="00000000"/>
  </w:font>
  <w:font w:name="方正宋三简体">
    <w:altName w:val="宋体"/>
    <w:panose1 w:val="02010601030101010101"/>
    <w:charset w:val="86"/>
    <w:family w:val="auto"/>
    <w:pitch w:val="default"/>
    <w:sig w:usb0="00000001" w:usb1="080E0000" w:usb2="00000000" w:usb3="00000000" w:csb0="00040000" w:csb1="00000000"/>
  </w:font>
  <w:font w:name="Garamond">
    <w:altName w:val="RomanS_IV50"/>
    <w:panose1 w:val="02020404030301010803"/>
    <w:charset w:val="00"/>
    <w:family w:val="roman"/>
    <w:pitch w:val="default"/>
    <w:sig w:usb0="00000287" w:usb1="00000000" w:usb2="00000000" w:usb3="00000000" w:csb0="0000009F" w:csb1="DFD70000"/>
  </w:font>
  <w:font w:name="”“Times New Roman”“">
    <w:altName w:val="宋体"/>
    <w:panose1 w:val="00000000000000000000"/>
    <w:charset w:val="86"/>
    <w:family w:val="roman"/>
    <w:pitch w:val="default"/>
    <w:sig w:usb0="00000001" w:usb1="080E0000" w:usb2="00000010" w:usb3="00000000" w:csb0="00040000" w:csb1="00000000"/>
  </w:font>
  <w:font w:name="方正书宋简体">
    <w:altName w:val="宋体"/>
    <w:panose1 w:val="02010601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KSOF722E2DD2">
    <w:panose1 w:val="020B0704020202020204"/>
    <w:charset w:val="00"/>
    <w:family w:val="auto"/>
    <w:pitch w:val="default"/>
    <w:sig w:usb0="00000001"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5D8D59FA">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RomanS_IV50">
    <w:panose1 w:val="02000400000000000000"/>
    <w:charset w:val="00"/>
    <w:family w:val="auto"/>
    <w:pitch w:val="default"/>
    <w:sig w:usb0="00000207" w:usb1="00000000" w:usb2="00000000" w:usb3="00000000" w:csb0="000001FF" w:csb1="00000000"/>
  </w:font>
  <w:font w:name="Microsoft JhengHei">
    <w:panose1 w:val="020B0604030504040204"/>
    <w:charset w:val="88"/>
    <w:family w:val="auto"/>
    <w:pitch w:val="default"/>
    <w:sig w:usb0="000002A7" w:usb1="28CF4400" w:usb2="00000016" w:usb3="00000000" w:csb0="00100009" w:csb1="00000000"/>
  </w:font>
  <w:font w:name="KSOF94C736B2">
    <w:panose1 w:val="020B0604020202020204"/>
    <w:charset w:val="86"/>
    <w:family w:val="auto"/>
    <w:pitch w:val="default"/>
    <w:sig w:usb0="00000001" w:usb1="00000000" w:usb2="00000000" w:usb3="00000000" w:csb0="00040001" w:csb1="00000000"/>
  </w:font>
  <w:font w:name="Lucida Console">
    <w:panose1 w:val="020B0609040504020204"/>
    <w:charset w:val="00"/>
    <w:family w:val="auto"/>
    <w:pitch w:val="default"/>
    <w:sig w:usb0="8000028F" w:usb1="00001800" w:usb2="00000000" w:usb3="00000000" w:csb0="0000001F" w:csb1="D7D70000"/>
  </w:font>
  <w:font w:name="KSOF3D47F291">
    <w:panose1 w:val="020B0604020202020204"/>
    <w:charset w:val="00"/>
    <w:family w:val="auto"/>
    <w:pitch w:val="default"/>
    <w:sig w:usb0="00000001"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 w:name="DejaVu Math TeX Gyre">
    <w:panose1 w:val="02000503000000000000"/>
    <w:charset w:val="00"/>
    <w:family w:val="auto"/>
    <w:pitch w:val="default"/>
    <w:sig w:usb0="A10000EF" w:usb1="4201F9EE" w:usb2="02000000" w:usb3="00000000" w:csb0="60000193" w:csb1="0DD40000"/>
  </w:font>
  <w:font w:name="Malgun Gothic">
    <w:panose1 w:val="020B0503020000020004"/>
    <w:charset w:val="81"/>
    <w:family w:val="auto"/>
    <w:pitch w:val="default"/>
    <w:sig w:usb0="9000002F" w:usb1="29D77CFB" w:usb2="00000012" w:usb3="00000000" w:csb0="00080001" w:csb1="00000000"/>
  </w:font>
  <w:font w:name="MS UI Gothic">
    <w:panose1 w:val="020B0600070205080204"/>
    <w:charset w:val="80"/>
    <w:family w:val="auto"/>
    <w:pitch w:val="default"/>
    <w:sig w:usb0="E00002FF" w:usb1="6AC7FDFB" w:usb2="08000012" w:usb3="00000000" w:csb0="4002009F" w:csb1="DFD7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C3F67">
    <w:pPr>
      <w:pStyle w:val="56"/>
      <w:framePr w:wrap="around" w:vAnchor="text" w:hAnchor="margin" w:xAlign="center" w:y="1"/>
      <w:rPr>
        <w:rStyle w:val="99"/>
      </w:rPr>
    </w:pPr>
    <w:r>
      <w:fldChar w:fldCharType="begin"/>
    </w:r>
    <w:r>
      <w:rPr>
        <w:rStyle w:val="99"/>
      </w:rPr>
      <w:instrText xml:space="preserve">PAGE  </w:instrText>
    </w:r>
    <w:r>
      <w:fldChar w:fldCharType="separate"/>
    </w:r>
    <w:r>
      <w:rPr>
        <w:rStyle w:val="99"/>
        <w:lang/>
      </w:rPr>
      <w:t>119</w:t>
    </w:r>
    <w:r>
      <w:fldChar w:fldCharType="end"/>
    </w:r>
  </w:p>
  <w:p w14:paraId="02DA9AEE">
    <w:pPr>
      <w:pStyle w:val="56"/>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828B9">
    <w:pPr>
      <w:pStyle w:val="56"/>
      <w:framePr w:wrap="around" w:vAnchor="text" w:hAnchor="margin" w:xAlign="center" w:y="1"/>
      <w:rPr>
        <w:rStyle w:val="99"/>
      </w:rPr>
    </w:pPr>
    <w:r>
      <w:fldChar w:fldCharType="begin"/>
    </w:r>
    <w:r>
      <w:rPr>
        <w:rStyle w:val="99"/>
      </w:rPr>
      <w:instrText xml:space="preserve">PAGE  </w:instrText>
    </w:r>
    <w:r>
      <w:fldChar w:fldCharType="separate"/>
    </w:r>
    <w:r>
      <w:fldChar w:fldCharType="end"/>
    </w:r>
  </w:p>
  <w:p w14:paraId="555C8BBC">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0B1D">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4341">
    <w:pPr>
      <w:pStyle w:val="56"/>
      <w:framePr w:wrap="around" w:vAnchor="text" w:hAnchor="margin" w:xAlign="center" w:y="1"/>
      <w:rPr>
        <w:rStyle w:val="99"/>
      </w:rPr>
    </w:pPr>
    <w:r>
      <w:fldChar w:fldCharType="begin"/>
    </w:r>
    <w:r>
      <w:rPr>
        <w:rStyle w:val="99"/>
      </w:rPr>
      <w:instrText xml:space="preserve">PAGE  </w:instrText>
    </w:r>
    <w:r>
      <w:fldChar w:fldCharType="separate"/>
    </w:r>
    <w:r>
      <w:rPr>
        <w:rStyle w:val="99"/>
      </w:rPr>
      <w:t>115</w:t>
    </w:r>
    <w:r>
      <w:fldChar w:fldCharType="end"/>
    </w:r>
  </w:p>
  <w:p w14:paraId="358CF48B">
    <w:pPr>
      <w:pStyle w:val="5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75CC5">
    <w:pPr>
      <w:pStyle w:val="56"/>
      <w:framePr w:wrap="around" w:vAnchor="text" w:hAnchor="margin" w:xAlign="center" w:y="1"/>
      <w:rPr>
        <w:rStyle w:val="99"/>
      </w:rPr>
    </w:pPr>
    <w:r>
      <w:fldChar w:fldCharType="begin"/>
    </w:r>
    <w:r>
      <w:rPr>
        <w:rStyle w:val="99"/>
      </w:rPr>
      <w:instrText xml:space="preserve">PAGE  </w:instrText>
    </w:r>
    <w:r>
      <w:fldChar w:fldCharType="separate"/>
    </w:r>
    <w:r>
      <w:rPr>
        <w:rStyle w:val="99"/>
        <w:lang/>
      </w:rPr>
      <w:t>245</w:t>
    </w:r>
    <w:r>
      <w:fldChar w:fldCharType="end"/>
    </w:r>
  </w:p>
  <w:p w14:paraId="7F8F7A20">
    <w:pPr>
      <w:pStyle w:val="5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1C95C">
    <w:pPr>
      <w:pStyle w:val="56"/>
      <w:framePr w:wrap="around" w:vAnchor="text" w:hAnchor="margin" w:xAlign="center" w:y="1"/>
      <w:rPr>
        <w:rStyle w:val="99"/>
      </w:rPr>
    </w:pPr>
    <w:r>
      <w:fldChar w:fldCharType="begin"/>
    </w:r>
    <w:r>
      <w:rPr>
        <w:rStyle w:val="99"/>
      </w:rPr>
      <w:instrText xml:space="preserve">PAGE  </w:instrText>
    </w:r>
    <w:r>
      <w:fldChar w:fldCharType="separate"/>
    </w:r>
    <w:r>
      <w:fldChar w:fldCharType="end"/>
    </w:r>
  </w:p>
  <w:p w14:paraId="42CA4E9E">
    <w:pPr>
      <w:pStyle w:val="5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4549">
    <w:pPr>
      <w:pStyle w:val="58"/>
      <w:rPr>
        <w:rFonts w:hint="eastAsia"/>
        <w:sz w:val="21"/>
        <w:szCs w:val="21"/>
      </w:rPr>
    </w:pPr>
    <w:r>
      <w:rPr>
        <w:rFonts w:hint="eastAsia"/>
        <w:sz w:val="21"/>
        <w:szCs w:val="21"/>
      </w:rPr>
      <w:t>石林源美养殖场项目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68678">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BE3F6">
    <w:pPr>
      <w:pStyle w:val="5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BBCE8"/>
    <w:multiLevelType w:val="singleLevel"/>
    <w:tmpl w:val="92DBBCE8"/>
    <w:lvl w:ilvl="0" w:tentative="0">
      <w:start w:val="2"/>
      <w:numFmt w:val="decimal"/>
      <w:pStyle w:val="208"/>
      <w:suff w:val="nothing"/>
      <w:lvlText w:val="（%1）"/>
      <w:lvlJc w:val="left"/>
      <w:pPr>
        <w:ind w:left="0" w:firstLine="0"/>
      </w:pPr>
    </w:lvl>
  </w:abstractNum>
  <w:abstractNum w:abstractNumId="1">
    <w:nsid w:val="9BDD2C1A"/>
    <w:multiLevelType w:val="singleLevel"/>
    <w:tmpl w:val="9BDD2C1A"/>
    <w:lvl w:ilvl="0" w:tentative="0">
      <w:start w:val="1"/>
      <w:numFmt w:val="decimal"/>
      <w:suff w:val="nothing"/>
      <w:lvlText w:val="（%1）"/>
      <w:lvlJc w:val="left"/>
    </w:lvl>
  </w:abstractNum>
  <w:abstractNum w:abstractNumId="2">
    <w:nsid w:val="00000001"/>
    <w:multiLevelType w:val="multilevel"/>
    <w:tmpl w:val="00000001"/>
    <w:lvl w:ilvl="0" w:tentative="0">
      <w:start w:val="1"/>
      <w:numFmt w:val="decimal"/>
      <w:pStyle w:val="748"/>
      <w:suff w:val="space"/>
      <w:lvlText w:val="5.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3"/>
    <w:multiLevelType w:val="multilevel"/>
    <w:tmpl w:val="00000003"/>
    <w:lvl w:ilvl="0" w:tentative="0">
      <w:start w:val="1"/>
      <w:numFmt w:val="decimal"/>
      <w:pStyle w:val="1210"/>
      <w:suff w:val="space"/>
      <w:lvlText w:val="1.5.%1"/>
      <w:lvlJc w:val="left"/>
      <w:pPr>
        <w:ind w:left="0" w:firstLine="0"/>
      </w:pPr>
      <w:rPr>
        <w:rFonts w:hint="default" w:ascii="Times New Roman" w:hAnsi="Times New Roman" w:eastAsia="黑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4"/>
    <w:multiLevelType w:val="multilevel"/>
    <w:tmpl w:val="00000004"/>
    <w:lvl w:ilvl="0" w:tentative="0">
      <w:start w:val="1"/>
      <w:numFmt w:val="decimal"/>
      <w:pStyle w:val="540"/>
      <w:lvlText w:val="10.2.2.%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multilevel"/>
    <w:tmpl w:val="00000007"/>
    <w:lvl w:ilvl="0" w:tentative="0">
      <w:start w:val="1"/>
      <w:numFmt w:val="decimal"/>
      <w:pStyle w:val="1188"/>
      <w:suff w:val="space"/>
      <w:lvlText w:val="13.1.%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9"/>
    <w:multiLevelType w:val="multilevel"/>
    <w:tmpl w:val="00000009"/>
    <w:lvl w:ilvl="0" w:tentative="0">
      <w:start w:val="1"/>
      <w:numFmt w:val="decimal"/>
      <w:pStyle w:val="1192"/>
      <w:suff w:val="space"/>
      <w:lvlText w:val="4.1.%1"/>
      <w:lvlJc w:val="left"/>
      <w:pPr>
        <w:ind w:left="0" w:firstLine="482"/>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0000000A"/>
    <w:multiLevelType w:val="multilevel"/>
    <w:tmpl w:val="0000000A"/>
    <w:lvl w:ilvl="0" w:tentative="0">
      <w:start w:val="1"/>
      <w:numFmt w:val="decimal"/>
      <w:pStyle w:val="310"/>
      <w:suff w:val="space"/>
      <w:lvlText w:val="4.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D"/>
    <w:multiLevelType w:val="multilevel"/>
    <w:tmpl w:val="0000000D"/>
    <w:lvl w:ilvl="0" w:tentative="0">
      <w:start w:val="1"/>
      <w:numFmt w:val="decimal"/>
      <w:pStyle w:val="1204"/>
      <w:suff w:val="space"/>
      <w:lvlText w:val="6.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E"/>
    <w:multiLevelType w:val="multilevel"/>
    <w:tmpl w:val="0000000E"/>
    <w:lvl w:ilvl="0" w:tentative="0">
      <w:start w:val="1"/>
      <w:numFmt w:val="decimal"/>
      <w:pStyle w:val="2478"/>
      <w:suff w:val="space"/>
      <w:lvlText w:val="11.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F"/>
    <w:multiLevelType w:val="multilevel"/>
    <w:tmpl w:val="0000000F"/>
    <w:lvl w:ilvl="0" w:tentative="0">
      <w:start w:val="1"/>
      <w:numFmt w:val="decimal"/>
      <w:pStyle w:val="316"/>
      <w:suff w:val="space"/>
      <w:lvlText w:val="11.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0"/>
    <w:multiLevelType w:val="multilevel"/>
    <w:tmpl w:val="00000010"/>
    <w:lvl w:ilvl="0" w:tentative="0">
      <w:start w:val="1"/>
      <w:numFmt w:val="decimal"/>
      <w:pStyle w:val="597"/>
      <w:suff w:val="space"/>
      <w:lvlText w:val="8.3.%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11"/>
    <w:multiLevelType w:val="multilevel"/>
    <w:tmpl w:val="00000011"/>
    <w:lvl w:ilvl="0" w:tentative="0">
      <w:start w:val="1"/>
      <w:numFmt w:val="decimal"/>
      <w:pStyle w:val="539"/>
      <w:suff w:val="space"/>
      <w:lvlText w:val="5.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12"/>
    <w:multiLevelType w:val="multilevel"/>
    <w:tmpl w:val="00000012"/>
    <w:lvl w:ilvl="0" w:tentative="0">
      <w:start w:val="1"/>
      <w:numFmt w:val="decimal"/>
      <w:pStyle w:val="1226"/>
      <w:suff w:val="space"/>
      <w:lvlText w:val="9.2.%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13"/>
    <w:multiLevelType w:val="multilevel"/>
    <w:tmpl w:val="00000013"/>
    <w:lvl w:ilvl="0" w:tentative="0">
      <w:start w:val="1"/>
      <w:numFmt w:val="decimal"/>
      <w:pStyle w:val="761"/>
      <w:suff w:val="space"/>
      <w:lvlText w:val="7.3.%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14"/>
    <w:multiLevelType w:val="multilevel"/>
    <w:tmpl w:val="00000014"/>
    <w:lvl w:ilvl="0" w:tentative="0">
      <w:start w:val="1"/>
      <w:numFmt w:val="decimal"/>
      <w:pStyle w:val="709"/>
      <w:suff w:val="space"/>
      <w:lvlText w:val="6.1.%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15"/>
    <w:multiLevelType w:val="multilevel"/>
    <w:tmpl w:val="00000015"/>
    <w:lvl w:ilvl="0" w:tentative="0">
      <w:start w:val="1"/>
      <w:numFmt w:val="decimal"/>
      <w:pStyle w:val="1212"/>
      <w:suff w:val="space"/>
      <w:lvlText w:val="2.1.%1"/>
      <w:lvlJc w:val="left"/>
      <w:pPr>
        <w:ind w:left="0" w:firstLine="482"/>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7">
    <w:nsid w:val="00000016"/>
    <w:multiLevelType w:val="multilevel"/>
    <w:tmpl w:val="00000016"/>
    <w:lvl w:ilvl="0" w:tentative="0">
      <w:start w:val="1"/>
      <w:numFmt w:val="decimal"/>
      <w:pStyle w:val="737"/>
      <w:suff w:val="space"/>
      <w:lvlText w:val="9.3.%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18"/>
    <w:multiLevelType w:val="multilevel"/>
    <w:tmpl w:val="00000018"/>
    <w:lvl w:ilvl="0" w:tentative="0">
      <w:start w:val="1"/>
      <w:numFmt w:val="decimal"/>
      <w:pStyle w:val="1232"/>
      <w:suff w:val="space"/>
      <w:lvlText w:val="14.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19"/>
    <w:multiLevelType w:val="multilevel"/>
    <w:tmpl w:val="00000019"/>
    <w:lvl w:ilvl="0" w:tentative="0">
      <w:start w:val="1"/>
      <w:numFmt w:val="decimal"/>
      <w:pStyle w:val="699"/>
      <w:suff w:val="space"/>
      <w:lvlText w:val="4.7.%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1A"/>
    <w:multiLevelType w:val="multilevel"/>
    <w:tmpl w:val="0000001A"/>
    <w:lvl w:ilvl="0" w:tentative="0">
      <w:start w:val="1"/>
      <w:numFmt w:val="decimal"/>
      <w:pStyle w:val="727"/>
      <w:suff w:val="space"/>
      <w:lvlText w:val="5.4.%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000001B"/>
    <w:multiLevelType w:val="multilevel"/>
    <w:tmpl w:val="0000001B"/>
    <w:lvl w:ilvl="0" w:tentative="0">
      <w:start w:val="1"/>
      <w:numFmt w:val="decimal"/>
      <w:pStyle w:val="547"/>
      <w:suff w:val="space"/>
      <w:lvlText w:val="9.6.6.%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000001C"/>
    <w:multiLevelType w:val="multilevel"/>
    <w:tmpl w:val="0000001C"/>
    <w:lvl w:ilvl="0" w:tentative="0">
      <w:start w:val="1"/>
      <w:numFmt w:val="decimal"/>
      <w:pStyle w:val="622"/>
      <w:suff w:val="space"/>
      <w:lvlText w:val="1.3.%1"/>
      <w:lvlJc w:val="left"/>
      <w:pPr>
        <w:ind w:left="0" w:firstLine="0"/>
      </w:pPr>
      <w:rPr>
        <w:rFonts w:hint="default" w:ascii="Times New Roman" w:hAnsi="Times New Roman" w:eastAsia="黑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0000001E"/>
    <w:multiLevelType w:val="multilevel"/>
    <w:tmpl w:val="0000001E"/>
    <w:lvl w:ilvl="0" w:tentative="0">
      <w:start w:val="1"/>
      <w:numFmt w:val="decimal"/>
      <w:pStyle w:val="1224"/>
      <w:suff w:val="space"/>
      <w:lvlText w:val="11.%1"/>
      <w:lvlJc w:val="left"/>
      <w:pPr>
        <w:ind w:left="0" w:firstLine="562"/>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4">
    <w:nsid w:val="0000001F"/>
    <w:multiLevelType w:val="multilevel"/>
    <w:tmpl w:val="0000001F"/>
    <w:lvl w:ilvl="0" w:tentative="0">
      <w:start w:val="1"/>
      <w:numFmt w:val="decimal"/>
      <w:pStyle w:val="182"/>
      <w:suff w:val="space"/>
      <w:lvlText w:val="1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00000020"/>
    <w:multiLevelType w:val="multilevel"/>
    <w:tmpl w:val="00000020"/>
    <w:lvl w:ilvl="0" w:tentative="0">
      <w:start w:val="1"/>
      <w:numFmt w:val="decimal"/>
      <w:pStyle w:val="695"/>
      <w:lvlText w:val="2.%1"/>
      <w:lvlJc w:val="left"/>
      <w:pPr>
        <w:ind w:left="840" w:hanging="420"/>
      </w:pPr>
    </w:lvl>
    <w:lvl w:ilvl="1" w:tentative="0">
      <w:start w:val="1"/>
      <w:numFmt w:val="decimal"/>
      <w:suff w:val="nothing"/>
      <w:lvlText w:val="（%2）"/>
      <w:lvlJc w:val="left"/>
      <w:pPr>
        <w:ind w:left="45" w:firstLine="90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00000021"/>
    <w:multiLevelType w:val="multilevel"/>
    <w:tmpl w:val="00000021"/>
    <w:lvl w:ilvl="0" w:tentative="0">
      <w:start w:val="1"/>
      <w:numFmt w:val="decimal"/>
      <w:pStyle w:val="1222"/>
      <w:suff w:val="space"/>
      <w:lvlText w:val="2.5.6.%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00000024"/>
    <w:multiLevelType w:val="multilevel"/>
    <w:tmpl w:val="00000024"/>
    <w:lvl w:ilvl="0" w:tentative="0">
      <w:start w:val="1"/>
      <w:numFmt w:val="decimal"/>
      <w:pStyle w:val="567"/>
      <w:suff w:val="space"/>
      <w:lvlText w:val="16.4.%1"/>
      <w:lvlJc w:val="left"/>
      <w:pPr>
        <w:ind w:left="0" w:firstLine="482"/>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8">
    <w:nsid w:val="0000002C"/>
    <w:multiLevelType w:val="multilevel"/>
    <w:tmpl w:val="0000002C"/>
    <w:lvl w:ilvl="0" w:tentative="0">
      <w:start w:val="1"/>
      <w:numFmt w:val="decimal"/>
      <w:pStyle w:val="559"/>
      <w:suff w:val="space"/>
      <w:lvlText w:val="17.%1"/>
      <w:lvlJc w:val="left"/>
      <w:pPr>
        <w:ind w:left="0" w:firstLine="562"/>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9">
    <w:nsid w:val="0000002F"/>
    <w:multiLevelType w:val="multilevel"/>
    <w:tmpl w:val="0000002F"/>
    <w:lvl w:ilvl="0" w:tentative="0">
      <w:start w:val="1"/>
      <w:numFmt w:val="decimal"/>
      <w:pStyle w:val="713"/>
      <w:suff w:val="space"/>
      <w:lvlText w:val="16.%1"/>
      <w:lvlJc w:val="left"/>
      <w:pPr>
        <w:ind w:left="0" w:firstLine="562"/>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0">
    <w:nsid w:val="00000030"/>
    <w:multiLevelType w:val="multilevel"/>
    <w:tmpl w:val="00000030"/>
    <w:lvl w:ilvl="0" w:tentative="0">
      <w:start w:val="1"/>
      <w:numFmt w:val="decimal"/>
      <w:pStyle w:val="1228"/>
      <w:suff w:val="space"/>
      <w:lvlText w:val="2.4.6.%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0000031"/>
    <w:multiLevelType w:val="multilevel"/>
    <w:tmpl w:val="00000031"/>
    <w:lvl w:ilvl="0" w:tentative="0">
      <w:start w:val="1"/>
      <w:numFmt w:val="decimal"/>
      <w:pStyle w:val="399"/>
      <w:suff w:val="space"/>
      <w:lvlText w:val="12.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0000032"/>
    <w:multiLevelType w:val="multilevel"/>
    <w:tmpl w:val="00000032"/>
    <w:lvl w:ilvl="0" w:tentative="0">
      <w:start w:val="1"/>
      <w:numFmt w:val="decimal"/>
      <w:pStyle w:val="689"/>
      <w:suff w:val="space"/>
      <w:lvlText w:val="13.4.%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00000033"/>
    <w:multiLevelType w:val="multilevel"/>
    <w:tmpl w:val="00000033"/>
    <w:lvl w:ilvl="0" w:tentative="0">
      <w:start w:val="1"/>
      <w:numFmt w:val="decimal"/>
      <w:pStyle w:val="1202"/>
      <w:suff w:val="space"/>
      <w:lvlText w:val="1.8.%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0000034"/>
    <w:multiLevelType w:val="multilevel"/>
    <w:tmpl w:val="00000034"/>
    <w:lvl w:ilvl="0" w:tentative="0">
      <w:start w:val="1"/>
      <w:numFmt w:val="decimal"/>
      <w:pStyle w:val="180"/>
      <w:suff w:val="space"/>
      <w:lvlText w:val="2.4.%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00000035"/>
    <w:multiLevelType w:val="multilevel"/>
    <w:tmpl w:val="00000035"/>
    <w:lvl w:ilvl="0" w:tentative="0">
      <w:start w:val="1"/>
      <w:numFmt w:val="decimal"/>
      <w:pStyle w:val="555"/>
      <w:suff w:val="space"/>
      <w:lvlText w:val="10.%1"/>
      <w:lvlJc w:val="left"/>
      <w:pPr>
        <w:ind w:left="0" w:firstLine="562"/>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6">
    <w:nsid w:val="00000036"/>
    <w:multiLevelType w:val="multilevel"/>
    <w:tmpl w:val="00000036"/>
    <w:lvl w:ilvl="0" w:tentative="0">
      <w:start w:val="1"/>
      <w:numFmt w:val="decimal"/>
      <w:pStyle w:val="1196"/>
      <w:lvlText w:val="5.%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00000037"/>
    <w:multiLevelType w:val="multilevel"/>
    <w:tmpl w:val="00000037"/>
    <w:lvl w:ilvl="0" w:tentative="0">
      <w:start w:val="1"/>
      <w:numFmt w:val="decimal"/>
      <w:pStyle w:val="729"/>
      <w:suff w:val="space"/>
      <w:lvlText w:val="1.7.%1"/>
      <w:lvlJc w:val="left"/>
      <w:pPr>
        <w:ind w:left="0" w:firstLine="482"/>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8">
    <w:nsid w:val="00000038"/>
    <w:multiLevelType w:val="multilevel"/>
    <w:tmpl w:val="00000038"/>
    <w:lvl w:ilvl="0" w:tentative="0">
      <w:start w:val="1"/>
      <w:numFmt w:val="decimal"/>
      <w:pStyle w:val="721"/>
      <w:suff w:val="space"/>
      <w:lvlText w:val="9.6.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00000039"/>
    <w:multiLevelType w:val="multilevel"/>
    <w:tmpl w:val="00000039"/>
    <w:lvl w:ilvl="0" w:tentative="0">
      <w:start w:val="1"/>
      <w:numFmt w:val="decimal"/>
      <w:pStyle w:val="1184"/>
      <w:suff w:val="space"/>
      <w:lvlText w:val="12.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000003A"/>
    <w:multiLevelType w:val="multilevel"/>
    <w:tmpl w:val="0000003A"/>
    <w:lvl w:ilvl="0" w:tentative="0">
      <w:start w:val="1"/>
      <w:numFmt w:val="decimal"/>
      <w:pStyle w:val="194"/>
      <w:suff w:val="space"/>
      <w:lvlText w:val="2.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0000003B"/>
    <w:multiLevelType w:val="multilevel"/>
    <w:tmpl w:val="0000003B"/>
    <w:lvl w:ilvl="0" w:tentative="0">
      <w:start w:val="1"/>
      <w:numFmt w:val="decimal"/>
      <w:pStyle w:val="802"/>
      <w:suff w:val="space"/>
      <w:lvlText w:val="4.7.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0000003C"/>
    <w:multiLevelType w:val="multilevel"/>
    <w:tmpl w:val="0000003C"/>
    <w:lvl w:ilvl="0" w:tentative="0">
      <w:start w:val="1"/>
      <w:numFmt w:val="decimal"/>
      <w:pStyle w:val="198"/>
      <w:suff w:val="space"/>
      <w:lvlText w:val="13.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00000041"/>
    <w:multiLevelType w:val="multilevel"/>
    <w:tmpl w:val="00000041"/>
    <w:lvl w:ilvl="0" w:tentative="0">
      <w:start w:val="1"/>
      <w:numFmt w:val="decimal"/>
      <w:pStyle w:val="750"/>
      <w:suff w:val="space"/>
      <w:lvlText w:val="5.1.%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00000043"/>
    <w:multiLevelType w:val="multilevel"/>
    <w:tmpl w:val="00000043"/>
    <w:lvl w:ilvl="0" w:tentative="0">
      <w:start w:val="1"/>
      <w:numFmt w:val="decimal"/>
      <w:pStyle w:val="1206"/>
      <w:suff w:val="space"/>
      <w:lvlText w:val="9.6.%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00000044"/>
    <w:multiLevelType w:val="multilevel"/>
    <w:tmpl w:val="00000044"/>
    <w:lvl w:ilvl="0" w:tentative="0">
      <w:start w:val="1"/>
      <w:numFmt w:val="decimal"/>
      <w:pStyle w:val="181"/>
      <w:suff w:val="space"/>
      <w:lvlText w:val="15.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00000046"/>
    <w:multiLevelType w:val="multilevel"/>
    <w:tmpl w:val="00000046"/>
    <w:lvl w:ilvl="0" w:tentative="0">
      <w:start w:val="1"/>
      <w:numFmt w:val="decimal"/>
      <w:pStyle w:val="624"/>
      <w:suff w:val="space"/>
      <w:lvlText w:val="4.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00000047"/>
    <w:multiLevelType w:val="multilevel"/>
    <w:tmpl w:val="00000047"/>
    <w:lvl w:ilvl="0" w:tentative="0">
      <w:start w:val="1"/>
      <w:numFmt w:val="decimal"/>
      <w:pStyle w:val="322"/>
      <w:suff w:val="space"/>
      <w:lvlText w:val="3.3.%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0000004A"/>
    <w:multiLevelType w:val="multilevel"/>
    <w:tmpl w:val="0000004A"/>
    <w:lvl w:ilvl="0" w:tentative="0">
      <w:start w:val="1"/>
      <w:numFmt w:val="decimalEnclosedCircle"/>
      <w:pStyle w:val="123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0000004B"/>
    <w:multiLevelType w:val="multilevel"/>
    <w:tmpl w:val="0000004B"/>
    <w:lvl w:ilvl="0" w:tentative="0">
      <w:start w:val="1"/>
      <w:numFmt w:val="decimal"/>
      <w:pStyle w:val="837"/>
      <w:lvlText w:val="2.1.7.%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0000004C"/>
    <w:multiLevelType w:val="multilevel"/>
    <w:tmpl w:val="0000004C"/>
    <w:lvl w:ilvl="0" w:tentative="0">
      <w:start w:val="1"/>
      <w:numFmt w:val="decimal"/>
      <w:pStyle w:val="757"/>
      <w:lvlText w:val="4.%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1">
    <w:nsid w:val="0000004D"/>
    <w:multiLevelType w:val="multilevel"/>
    <w:tmpl w:val="0000004D"/>
    <w:lvl w:ilvl="0" w:tentative="0">
      <w:start w:val="1"/>
      <w:numFmt w:val="decimal"/>
      <w:pStyle w:val="1216"/>
      <w:suff w:val="space"/>
      <w:lvlText w:val="7.%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0000004E"/>
    <w:multiLevelType w:val="multilevel"/>
    <w:tmpl w:val="0000004E"/>
    <w:lvl w:ilvl="0" w:tentative="0">
      <w:start w:val="1"/>
      <w:numFmt w:val="decimal"/>
      <w:pStyle w:val="698"/>
      <w:suff w:val="space"/>
      <w:lvlText w:val="15.1.%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0000004F"/>
    <w:multiLevelType w:val="multilevel"/>
    <w:tmpl w:val="0000004F"/>
    <w:lvl w:ilvl="0" w:tentative="0">
      <w:start w:val="1"/>
      <w:numFmt w:val="decimal"/>
      <w:pStyle w:val="715"/>
      <w:suff w:val="space"/>
      <w:lvlText w:val="12.4.%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00000050"/>
    <w:multiLevelType w:val="multilevel"/>
    <w:tmpl w:val="00000050"/>
    <w:lvl w:ilvl="0" w:tentative="0">
      <w:start w:val="1"/>
      <w:numFmt w:val="decimal"/>
      <w:pStyle w:val="1220"/>
      <w:lvlText w:val="9.%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00000051"/>
    <w:multiLevelType w:val="multilevel"/>
    <w:tmpl w:val="00000051"/>
    <w:lvl w:ilvl="0" w:tentative="0">
      <w:start w:val="1"/>
      <w:numFmt w:val="decimal"/>
      <w:pStyle w:val="1200"/>
      <w:suff w:val="space"/>
      <w:lvlText w:val="10.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00000052"/>
    <w:multiLevelType w:val="multilevel"/>
    <w:tmpl w:val="00000052"/>
    <w:lvl w:ilvl="0" w:tentative="0">
      <w:start w:val="1"/>
      <w:numFmt w:val="decimal"/>
      <w:pStyle w:val="1190"/>
      <w:suff w:val="space"/>
      <w:lvlText w:val="13.%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00000053"/>
    <w:multiLevelType w:val="multilevel"/>
    <w:tmpl w:val="00000053"/>
    <w:lvl w:ilvl="0" w:tentative="0">
      <w:start w:val="1"/>
      <w:numFmt w:val="decimal"/>
      <w:pStyle w:val="202"/>
      <w:suff w:val="space"/>
      <w:lvlText w:val="2.6.%1"/>
      <w:lvlJc w:val="left"/>
      <w:pPr>
        <w:ind w:left="0" w:firstLine="482"/>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8">
    <w:nsid w:val="00000054"/>
    <w:multiLevelType w:val="multilevel"/>
    <w:tmpl w:val="00000054"/>
    <w:lvl w:ilvl="0" w:tentative="0">
      <w:start w:val="1"/>
      <w:numFmt w:val="decimal"/>
      <w:pStyle w:val="1208"/>
      <w:suff w:val="space"/>
      <w:lvlText w:val="4.1.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00000055"/>
    <w:multiLevelType w:val="multilevel"/>
    <w:tmpl w:val="00000055"/>
    <w:lvl w:ilvl="0" w:tentative="0">
      <w:start w:val="1"/>
      <w:numFmt w:val="decimal"/>
      <w:pStyle w:val="711"/>
      <w:suff w:val="space"/>
      <w:lvlText w:val="13.3.%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00000057"/>
    <w:multiLevelType w:val="multilevel"/>
    <w:tmpl w:val="00000057"/>
    <w:lvl w:ilvl="0" w:tentative="0">
      <w:start w:val="1"/>
      <w:numFmt w:val="decimal"/>
      <w:pStyle w:val="1186"/>
      <w:suff w:val="space"/>
      <w:lvlText w:val="6.%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00000058"/>
    <w:multiLevelType w:val="multilevel"/>
    <w:tmpl w:val="00000058"/>
    <w:lvl w:ilvl="0" w:tentative="0">
      <w:start w:val="1"/>
      <w:numFmt w:val="decimal"/>
      <w:pStyle w:val="693"/>
      <w:suff w:val="space"/>
      <w:lvlText w:val="13.5.%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00000059"/>
    <w:multiLevelType w:val="multilevel"/>
    <w:tmpl w:val="00000059"/>
    <w:lvl w:ilvl="0" w:tentative="0">
      <w:start w:val="1"/>
      <w:numFmt w:val="decimal"/>
      <w:pStyle w:val="1250"/>
      <w:suff w:val="space"/>
      <w:lvlText w:val="17.1.%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0000005B"/>
    <w:multiLevelType w:val="multilevel"/>
    <w:tmpl w:val="0000005B"/>
    <w:lvl w:ilvl="0" w:tentative="0">
      <w:start w:val="1"/>
      <w:numFmt w:val="decimal"/>
      <w:pStyle w:val="725"/>
      <w:suff w:val="space"/>
      <w:lvlText w:val="8.4.%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0000005C"/>
    <w:multiLevelType w:val="multilevel"/>
    <w:tmpl w:val="0000005C"/>
    <w:lvl w:ilvl="0" w:tentative="0">
      <w:start w:val="1"/>
      <w:numFmt w:val="decimal"/>
      <w:pStyle w:val="201"/>
      <w:suff w:val="space"/>
      <w:lvlText w:val="6.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0000005D"/>
    <w:multiLevelType w:val="multilevel"/>
    <w:tmpl w:val="0000005D"/>
    <w:lvl w:ilvl="0" w:tentative="0">
      <w:start w:val="1"/>
      <w:numFmt w:val="decimal"/>
      <w:pStyle w:val="735"/>
      <w:suff w:val="space"/>
      <w:lvlText w:val="16.3.%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0000005E"/>
    <w:multiLevelType w:val="multilevel"/>
    <w:tmpl w:val="0000005E"/>
    <w:lvl w:ilvl="0" w:tentative="0">
      <w:start w:val="1"/>
      <w:numFmt w:val="decimal"/>
      <w:pStyle w:val="703"/>
      <w:suff w:val="space"/>
      <w:lvlText w:val="16.2.%1"/>
      <w:lvlJc w:val="left"/>
      <w:pPr>
        <w:ind w:left="0" w:firstLine="482"/>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7">
    <w:nsid w:val="00000061"/>
    <w:multiLevelType w:val="multilevel"/>
    <w:tmpl w:val="00000061"/>
    <w:lvl w:ilvl="0" w:tentative="0">
      <w:start w:val="1"/>
      <w:numFmt w:val="decimal"/>
      <w:pStyle w:val="360"/>
      <w:suff w:val="space"/>
      <w:lvlText w:val="9.6.3.%1"/>
      <w:lvlJc w:val="left"/>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00000063"/>
    <w:multiLevelType w:val="multilevel"/>
    <w:tmpl w:val="00000063"/>
    <w:lvl w:ilvl="0" w:tentative="0">
      <w:start w:val="1"/>
      <w:numFmt w:val="decimal"/>
      <w:pStyle w:val="754"/>
      <w:suff w:val="space"/>
      <w:lvlText w:val="4.4.%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00000064"/>
    <w:multiLevelType w:val="multilevel"/>
    <w:tmpl w:val="00000064"/>
    <w:lvl w:ilvl="0" w:tentative="0">
      <w:start w:val="1"/>
      <w:numFmt w:val="decimal"/>
      <w:pStyle w:val="1214"/>
      <w:suff w:val="space"/>
      <w:lvlText w:val="4.3.%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00000068"/>
    <w:multiLevelType w:val="multilevel"/>
    <w:tmpl w:val="00000068"/>
    <w:lvl w:ilvl="0" w:tentative="0">
      <w:start w:val="1"/>
      <w:numFmt w:val="decimal"/>
      <w:pStyle w:val="619"/>
      <w:suff w:val="space"/>
      <w:lvlText w:val="2.3.%1"/>
      <w:lvlJc w:val="left"/>
      <w:pPr>
        <w:ind w:left="0" w:firstLine="482"/>
      </w:pPr>
    </w:lvl>
    <w:lvl w:ilvl="1" w:tentative="0">
      <w:start w:val="1"/>
      <w:numFmt w:val="decimalEnclosedCircle"/>
      <w:lvlText w:val="%2"/>
      <w:lvlJc w:val="left"/>
      <w:pPr>
        <w:ind w:left="1262" w:hanging="36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1">
    <w:nsid w:val="00000069"/>
    <w:multiLevelType w:val="multilevel"/>
    <w:tmpl w:val="00000069"/>
    <w:lvl w:ilvl="0" w:tentative="0">
      <w:start w:val="1"/>
      <w:numFmt w:val="decimal"/>
      <w:pStyle w:val="1198"/>
      <w:suff w:val="space"/>
      <w:lvlText w:val="14.1.%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0000006B"/>
    <w:multiLevelType w:val="multilevel"/>
    <w:tmpl w:val="0000006B"/>
    <w:lvl w:ilvl="0" w:tentative="0">
      <w:start w:val="1"/>
      <w:numFmt w:val="decimal"/>
      <w:pStyle w:val="834"/>
      <w:suff w:val="space"/>
      <w:lvlText w:val="1.4.%1"/>
      <w:lvlJc w:val="left"/>
      <w:pPr>
        <w:ind w:left="0" w:firstLine="0"/>
      </w:pPr>
      <w:rPr>
        <w:rFonts w:hint="default" w:ascii="Times New Roman" w:hAnsi="Times New Roman" w:eastAsia="黑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19B438F3"/>
    <w:multiLevelType w:val="multilevel"/>
    <w:tmpl w:val="19B438F3"/>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289E72BF"/>
    <w:multiLevelType w:val="multilevel"/>
    <w:tmpl w:val="289E72BF"/>
    <w:lvl w:ilvl="0" w:tentative="0">
      <w:start w:val="1"/>
      <w:numFmt w:val="decimal"/>
      <w:pStyle w:val="315"/>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5">
    <w:nsid w:val="3A271C0B"/>
    <w:multiLevelType w:val="multilevel"/>
    <w:tmpl w:val="3A271C0B"/>
    <w:lvl w:ilvl="0" w:tentative="0">
      <w:start w:val="1"/>
      <w:numFmt w:val="decimal"/>
      <w:pStyle w:val="1182"/>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3B2F28CE"/>
    <w:multiLevelType w:val="multilevel"/>
    <w:tmpl w:val="3B2F28CE"/>
    <w:lvl w:ilvl="0" w:tentative="0">
      <w:start w:val="1"/>
      <w:numFmt w:val="decimal"/>
      <w:pStyle w:val="671"/>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7">
    <w:nsid w:val="3B655B7C"/>
    <w:multiLevelType w:val="singleLevel"/>
    <w:tmpl w:val="3B655B7C"/>
    <w:lvl w:ilvl="0" w:tentative="0">
      <w:start w:val="1"/>
      <w:numFmt w:val="decimal"/>
      <w:suff w:val="nothing"/>
      <w:lvlText w:val="（%1）"/>
      <w:lvlJc w:val="left"/>
    </w:lvl>
  </w:abstractNum>
  <w:abstractNum w:abstractNumId="78">
    <w:nsid w:val="49881EE7"/>
    <w:multiLevelType w:val="multilevel"/>
    <w:tmpl w:val="49881EE7"/>
    <w:lvl w:ilvl="0" w:tentative="0">
      <w:start w:val="1"/>
      <w:numFmt w:val="decimal"/>
      <w:pStyle w:val="691"/>
      <w:lvlText w:val="%1."/>
      <w:lvlJc w:val="left"/>
      <w:pPr>
        <w:tabs>
          <w:tab w:val="left" w:pos="980"/>
        </w:tabs>
        <w:ind w:left="980" w:hanging="42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79">
    <w:nsid w:val="504103F1"/>
    <w:multiLevelType w:val="multilevel"/>
    <w:tmpl w:val="504103F1"/>
    <w:lvl w:ilvl="0" w:tentative="0">
      <w:start w:val="1"/>
      <w:numFmt w:val="decimal"/>
      <w:pStyle w:val="608"/>
      <w:suff w:val="space"/>
      <w:lvlText w:val="7.2.%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9F2A3FC"/>
    <w:multiLevelType w:val="multilevel"/>
    <w:tmpl w:val="59F2A3FC"/>
    <w:lvl w:ilvl="0" w:tentative="0">
      <w:start w:val="1"/>
      <w:numFmt w:val="decimal"/>
      <w:suff w:val="nothing"/>
      <w:lvlText w:val="%1、"/>
      <w:lvlJc w:val="left"/>
      <w:pPr>
        <w:ind w:left="0" w:firstLine="0"/>
      </w:pPr>
    </w:lvl>
    <w:lvl w:ilvl="1" w:tentative="0">
      <w:start w:val="1"/>
      <w:numFmt w:val="lowerLetter"/>
      <w:lvlText w:val="%2)"/>
      <w:lvlJc w:val="left"/>
      <w:pPr>
        <w:tabs>
          <w:tab w:val="left" w:pos="1319"/>
        </w:tabs>
        <w:ind w:left="1319" w:hanging="420"/>
      </w:pPr>
    </w:lvl>
    <w:lvl w:ilvl="2" w:tentative="0">
      <w:start w:val="1"/>
      <w:numFmt w:val="lowerRoman"/>
      <w:lvlText w:val="%3."/>
      <w:lvlJc w:val="right"/>
      <w:pPr>
        <w:tabs>
          <w:tab w:val="left" w:pos="1739"/>
        </w:tabs>
        <w:ind w:left="1739" w:hanging="420"/>
      </w:pPr>
    </w:lvl>
    <w:lvl w:ilvl="3" w:tentative="0">
      <w:start w:val="1"/>
      <w:numFmt w:val="decimal"/>
      <w:lvlText w:val="%4."/>
      <w:lvlJc w:val="left"/>
      <w:pPr>
        <w:tabs>
          <w:tab w:val="left" w:pos="2159"/>
        </w:tabs>
        <w:ind w:left="2159" w:hanging="420"/>
      </w:pPr>
    </w:lvl>
    <w:lvl w:ilvl="4" w:tentative="0">
      <w:start w:val="1"/>
      <w:numFmt w:val="lowerLetter"/>
      <w:lvlText w:val="%5)"/>
      <w:lvlJc w:val="left"/>
      <w:pPr>
        <w:tabs>
          <w:tab w:val="left" w:pos="2579"/>
        </w:tabs>
        <w:ind w:left="2579" w:hanging="420"/>
      </w:pPr>
    </w:lvl>
    <w:lvl w:ilvl="5" w:tentative="0">
      <w:start w:val="1"/>
      <w:numFmt w:val="lowerRoman"/>
      <w:lvlText w:val="%6."/>
      <w:lvlJc w:val="right"/>
      <w:pPr>
        <w:tabs>
          <w:tab w:val="left" w:pos="2999"/>
        </w:tabs>
        <w:ind w:left="2999" w:hanging="420"/>
      </w:pPr>
    </w:lvl>
    <w:lvl w:ilvl="6" w:tentative="0">
      <w:start w:val="1"/>
      <w:numFmt w:val="decimal"/>
      <w:lvlText w:val="%7."/>
      <w:lvlJc w:val="left"/>
      <w:pPr>
        <w:tabs>
          <w:tab w:val="left" w:pos="3419"/>
        </w:tabs>
        <w:ind w:left="3419" w:hanging="420"/>
      </w:pPr>
    </w:lvl>
    <w:lvl w:ilvl="7" w:tentative="0">
      <w:start w:val="1"/>
      <w:numFmt w:val="lowerLetter"/>
      <w:lvlText w:val="%8)"/>
      <w:lvlJc w:val="left"/>
      <w:pPr>
        <w:tabs>
          <w:tab w:val="left" w:pos="3839"/>
        </w:tabs>
        <w:ind w:left="3839" w:hanging="420"/>
      </w:pPr>
    </w:lvl>
    <w:lvl w:ilvl="8" w:tentative="0">
      <w:start w:val="1"/>
      <w:numFmt w:val="lowerRoman"/>
      <w:lvlText w:val="%9."/>
      <w:lvlJc w:val="right"/>
      <w:pPr>
        <w:tabs>
          <w:tab w:val="left" w:pos="4259"/>
        </w:tabs>
        <w:ind w:left="4259" w:hanging="420"/>
      </w:pPr>
    </w:lvl>
  </w:abstractNum>
  <w:abstractNum w:abstractNumId="81">
    <w:nsid w:val="5F306CD9"/>
    <w:multiLevelType w:val="multilevel"/>
    <w:tmpl w:val="5F306CD9"/>
    <w:lvl w:ilvl="0" w:tentative="0">
      <w:start w:val="1"/>
      <w:numFmt w:val="bullet"/>
      <w:lvlText w:val=""/>
      <w:lvlJc w:val="left"/>
      <w:pPr>
        <w:tabs>
          <w:tab w:val="left" w:pos="881"/>
        </w:tabs>
        <w:ind w:left="881"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2">
    <w:nsid w:val="7F123A5E"/>
    <w:multiLevelType w:val="multilevel"/>
    <w:tmpl w:val="7F123A5E"/>
    <w:lvl w:ilvl="0" w:tentative="0">
      <w:start w:val="1"/>
      <w:numFmt w:val="decimal"/>
      <w:pStyle w:val="197"/>
      <w:lvlText w:val="（%1）"/>
      <w:lvlJc w:val="left"/>
      <w:pPr>
        <w:tabs>
          <w:tab w:val="left" w:pos="1200"/>
        </w:tabs>
        <w:ind w:left="1200" w:hanging="7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lvlOverride w:ilvl="0">
      <w:startOverride w:val="1"/>
    </w:lvlOverride>
  </w:num>
  <w:num w:numId="80">
    <w:abstractNumId w:val="73"/>
  </w:num>
  <w:num w:numId="81">
    <w:abstractNumId w:val="77"/>
  </w:num>
  <w:num w:numId="82">
    <w:abstractNumId w:val="8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rison Break">
    <w15:presenceInfo w15:providerId="None" w15:userId="Prison Bre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3ZmI1MmVmMTAyYTAxZDNmNGY3MGJmYzZjZDU5ZDEifQ=="/>
  </w:docVars>
  <w:rsids>
    <w:rsidRoot w:val="00172A27"/>
    <w:rsid w:val="00000A7F"/>
    <w:rsid w:val="00000CBA"/>
    <w:rsid w:val="00001FDD"/>
    <w:rsid w:val="00002429"/>
    <w:rsid w:val="00003E30"/>
    <w:rsid w:val="00005346"/>
    <w:rsid w:val="00006C11"/>
    <w:rsid w:val="00007AFC"/>
    <w:rsid w:val="00007E93"/>
    <w:rsid w:val="00010651"/>
    <w:rsid w:val="00010765"/>
    <w:rsid w:val="00010998"/>
    <w:rsid w:val="0001178B"/>
    <w:rsid w:val="0001250A"/>
    <w:rsid w:val="00012634"/>
    <w:rsid w:val="0001280A"/>
    <w:rsid w:val="0001289C"/>
    <w:rsid w:val="00012DED"/>
    <w:rsid w:val="0001343B"/>
    <w:rsid w:val="00013892"/>
    <w:rsid w:val="000144CC"/>
    <w:rsid w:val="0001522C"/>
    <w:rsid w:val="00015920"/>
    <w:rsid w:val="000160F8"/>
    <w:rsid w:val="000206DC"/>
    <w:rsid w:val="00020E3F"/>
    <w:rsid w:val="00021B10"/>
    <w:rsid w:val="00021E56"/>
    <w:rsid w:val="000226E5"/>
    <w:rsid w:val="000233EB"/>
    <w:rsid w:val="00024B97"/>
    <w:rsid w:val="0002523F"/>
    <w:rsid w:val="00025E44"/>
    <w:rsid w:val="000261F8"/>
    <w:rsid w:val="00026396"/>
    <w:rsid w:val="00026D82"/>
    <w:rsid w:val="0002774D"/>
    <w:rsid w:val="00030397"/>
    <w:rsid w:val="00030F8A"/>
    <w:rsid w:val="000317BE"/>
    <w:rsid w:val="0003197A"/>
    <w:rsid w:val="0003374E"/>
    <w:rsid w:val="000353F4"/>
    <w:rsid w:val="0003557E"/>
    <w:rsid w:val="000357E6"/>
    <w:rsid w:val="00035A0A"/>
    <w:rsid w:val="00036335"/>
    <w:rsid w:val="000364B0"/>
    <w:rsid w:val="00037547"/>
    <w:rsid w:val="00037872"/>
    <w:rsid w:val="00037A1E"/>
    <w:rsid w:val="00037B56"/>
    <w:rsid w:val="00037EEF"/>
    <w:rsid w:val="00040490"/>
    <w:rsid w:val="0004122B"/>
    <w:rsid w:val="0004414D"/>
    <w:rsid w:val="000443BE"/>
    <w:rsid w:val="00045F5B"/>
    <w:rsid w:val="000474CA"/>
    <w:rsid w:val="000503B3"/>
    <w:rsid w:val="00051BA7"/>
    <w:rsid w:val="0005281F"/>
    <w:rsid w:val="000531CC"/>
    <w:rsid w:val="0005449D"/>
    <w:rsid w:val="000569C0"/>
    <w:rsid w:val="000575AC"/>
    <w:rsid w:val="000602CC"/>
    <w:rsid w:val="000608C2"/>
    <w:rsid w:val="00060E0D"/>
    <w:rsid w:val="00060F73"/>
    <w:rsid w:val="0006229C"/>
    <w:rsid w:val="00063289"/>
    <w:rsid w:val="00063A53"/>
    <w:rsid w:val="00063C73"/>
    <w:rsid w:val="000641AE"/>
    <w:rsid w:val="00064203"/>
    <w:rsid w:val="00064977"/>
    <w:rsid w:val="00064D54"/>
    <w:rsid w:val="0006505D"/>
    <w:rsid w:val="000654A3"/>
    <w:rsid w:val="00066229"/>
    <w:rsid w:val="000669BF"/>
    <w:rsid w:val="00071518"/>
    <w:rsid w:val="000728C6"/>
    <w:rsid w:val="00072F70"/>
    <w:rsid w:val="00073DDF"/>
    <w:rsid w:val="00074699"/>
    <w:rsid w:val="000746E6"/>
    <w:rsid w:val="00074C9F"/>
    <w:rsid w:val="00076F47"/>
    <w:rsid w:val="00077516"/>
    <w:rsid w:val="00077F13"/>
    <w:rsid w:val="00082124"/>
    <w:rsid w:val="000848A1"/>
    <w:rsid w:val="00084CBF"/>
    <w:rsid w:val="00085EEA"/>
    <w:rsid w:val="00086C36"/>
    <w:rsid w:val="00086ED9"/>
    <w:rsid w:val="00087273"/>
    <w:rsid w:val="000872D7"/>
    <w:rsid w:val="000906F3"/>
    <w:rsid w:val="00090951"/>
    <w:rsid w:val="00091932"/>
    <w:rsid w:val="00091C1E"/>
    <w:rsid w:val="000921CF"/>
    <w:rsid w:val="0009305F"/>
    <w:rsid w:val="00093638"/>
    <w:rsid w:val="00093B0D"/>
    <w:rsid w:val="000943A5"/>
    <w:rsid w:val="00096237"/>
    <w:rsid w:val="000962FA"/>
    <w:rsid w:val="000A07D2"/>
    <w:rsid w:val="000A0D78"/>
    <w:rsid w:val="000A21EA"/>
    <w:rsid w:val="000A2BD9"/>
    <w:rsid w:val="000A2FF7"/>
    <w:rsid w:val="000A3455"/>
    <w:rsid w:val="000A676B"/>
    <w:rsid w:val="000B0649"/>
    <w:rsid w:val="000B06B7"/>
    <w:rsid w:val="000B1D2D"/>
    <w:rsid w:val="000B1E57"/>
    <w:rsid w:val="000B1F01"/>
    <w:rsid w:val="000B2809"/>
    <w:rsid w:val="000B420D"/>
    <w:rsid w:val="000B42E9"/>
    <w:rsid w:val="000B43FA"/>
    <w:rsid w:val="000B6064"/>
    <w:rsid w:val="000B69E5"/>
    <w:rsid w:val="000B7688"/>
    <w:rsid w:val="000C000D"/>
    <w:rsid w:val="000C00A7"/>
    <w:rsid w:val="000C01A0"/>
    <w:rsid w:val="000C049E"/>
    <w:rsid w:val="000C1476"/>
    <w:rsid w:val="000C19A9"/>
    <w:rsid w:val="000C22F6"/>
    <w:rsid w:val="000C24D6"/>
    <w:rsid w:val="000C265C"/>
    <w:rsid w:val="000C3E0D"/>
    <w:rsid w:val="000C56EA"/>
    <w:rsid w:val="000C6E28"/>
    <w:rsid w:val="000D055F"/>
    <w:rsid w:val="000D074B"/>
    <w:rsid w:val="000D0C0E"/>
    <w:rsid w:val="000D173A"/>
    <w:rsid w:val="000D1BBE"/>
    <w:rsid w:val="000D1E83"/>
    <w:rsid w:val="000D2B64"/>
    <w:rsid w:val="000D30A8"/>
    <w:rsid w:val="000D30E9"/>
    <w:rsid w:val="000D4B22"/>
    <w:rsid w:val="000D605A"/>
    <w:rsid w:val="000D66D6"/>
    <w:rsid w:val="000D6A4F"/>
    <w:rsid w:val="000D6B44"/>
    <w:rsid w:val="000D7A29"/>
    <w:rsid w:val="000D7DC3"/>
    <w:rsid w:val="000E0A36"/>
    <w:rsid w:val="000E1A5B"/>
    <w:rsid w:val="000E25F1"/>
    <w:rsid w:val="000E2AF9"/>
    <w:rsid w:val="000E4645"/>
    <w:rsid w:val="000E5DAC"/>
    <w:rsid w:val="000E6BDA"/>
    <w:rsid w:val="000E6C4D"/>
    <w:rsid w:val="000E7328"/>
    <w:rsid w:val="000E7D8B"/>
    <w:rsid w:val="000F016B"/>
    <w:rsid w:val="000F0575"/>
    <w:rsid w:val="000F0789"/>
    <w:rsid w:val="000F49CF"/>
    <w:rsid w:val="000F5657"/>
    <w:rsid w:val="000F57AE"/>
    <w:rsid w:val="000F5A2F"/>
    <w:rsid w:val="000F5B38"/>
    <w:rsid w:val="000F61E7"/>
    <w:rsid w:val="000F746E"/>
    <w:rsid w:val="001003FC"/>
    <w:rsid w:val="00100950"/>
    <w:rsid w:val="0010100D"/>
    <w:rsid w:val="00101860"/>
    <w:rsid w:val="001018CC"/>
    <w:rsid w:val="00101CA7"/>
    <w:rsid w:val="0010210D"/>
    <w:rsid w:val="001025F6"/>
    <w:rsid w:val="001028D1"/>
    <w:rsid w:val="00103B30"/>
    <w:rsid w:val="00103B3C"/>
    <w:rsid w:val="00104D60"/>
    <w:rsid w:val="0010506D"/>
    <w:rsid w:val="001054AB"/>
    <w:rsid w:val="001059C4"/>
    <w:rsid w:val="00105D8E"/>
    <w:rsid w:val="00105F24"/>
    <w:rsid w:val="001065EB"/>
    <w:rsid w:val="00106A56"/>
    <w:rsid w:val="00106D4C"/>
    <w:rsid w:val="00110169"/>
    <w:rsid w:val="00110309"/>
    <w:rsid w:val="00111160"/>
    <w:rsid w:val="001113C8"/>
    <w:rsid w:val="00111430"/>
    <w:rsid w:val="00111B2D"/>
    <w:rsid w:val="00111F15"/>
    <w:rsid w:val="001125EB"/>
    <w:rsid w:val="00113513"/>
    <w:rsid w:val="00113572"/>
    <w:rsid w:val="00113576"/>
    <w:rsid w:val="00113939"/>
    <w:rsid w:val="00114C7C"/>
    <w:rsid w:val="0011522D"/>
    <w:rsid w:val="001152AB"/>
    <w:rsid w:val="001159F2"/>
    <w:rsid w:val="0011725A"/>
    <w:rsid w:val="001201D8"/>
    <w:rsid w:val="0012037B"/>
    <w:rsid w:val="00120501"/>
    <w:rsid w:val="0012090C"/>
    <w:rsid w:val="00120E25"/>
    <w:rsid w:val="0012206D"/>
    <w:rsid w:val="00122126"/>
    <w:rsid w:val="001253C1"/>
    <w:rsid w:val="001258AC"/>
    <w:rsid w:val="00125BF6"/>
    <w:rsid w:val="001269DB"/>
    <w:rsid w:val="00127733"/>
    <w:rsid w:val="001278F0"/>
    <w:rsid w:val="001305D7"/>
    <w:rsid w:val="0013060B"/>
    <w:rsid w:val="00130A93"/>
    <w:rsid w:val="00131277"/>
    <w:rsid w:val="0013228B"/>
    <w:rsid w:val="00132620"/>
    <w:rsid w:val="00133D24"/>
    <w:rsid w:val="00134759"/>
    <w:rsid w:val="0013694E"/>
    <w:rsid w:val="001371EF"/>
    <w:rsid w:val="00137A40"/>
    <w:rsid w:val="00140630"/>
    <w:rsid w:val="00140747"/>
    <w:rsid w:val="00141307"/>
    <w:rsid w:val="00143178"/>
    <w:rsid w:val="00143C14"/>
    <w:rsid w:val="001441BF"/>
    <w:rsid w:val="00144774"/>
    <w:rsid w:val="0014540A"/>
    <w:rsid w:val="00145448"/>
    <w:rsid w:val="00145CFD"/>
    <w:rsid w:val="0014636C"/>
    <w:rsid w:val="001516BD"/>
    <w:rsid w:val="00151E6F"/>
    <w:rsid w:val="00152AED"/>
    <w:rsid w:val="00152F9F"/>
    <w:rsid w:val="001538CE"/>
    <w:rsid w:val="00153D1C"/>
    <w:rsid w:val="001540D7"/>
    <w:rsid w:val="00155677"/>
    <w:rsid w:val="00155833"/>
    <w:rsid w:val="00155844"/>
    <w:rsid w:val="00157244"/>
    <w:rsid w:val="001601B9"/>
    <w:rsid w:val="001606F0"/>
    <w:rsid w:val="00161337"/>
    <w:rsid w:val="0016173A"/>
    <w:rsid w:val="00161DF0"/>
    <w:rsid w:val="00162719"/>
    <w:rsid w:val="00162CBF"/>
    <w:rsid w:val="00163C82"/>
    <w:rsid w:val="00164DAA"/>
    <w:rsid w:val="0016535D"/>
    <w:rsid w:val="001653F2"/>
    <w:rsid w:val="001657FB"/>
    <w:rsid w:val="0016655D"/>
    <w:rsid w:val="001671CE"/>
    <w:rsid w:val="00167BB2"/>
    <w:rsid w:val="00170167"/>
    <w:rsid w:val="00170562"/>
    <w:rsid w:val="00170BA8"/>
    <w:rsid w:val="00170BB2"/>
    <w:rsid w:val="00170EB3"/>
    <w:rsid w:val="00170F8E"/>
    <w:rsid w:val="001726C5"/>
    <w:rsid w:val="00172943"/>
    <w:rsid w:val="00173121"/>
    <w:rsid w:val="001731A1"/>
    <w:rsid w:val="001748AA"/>
    <w:rsid w:val="001756D3"/>
    <w:rsid w:val="00175730"/>
    <w:rsid w:val="00175BF6"/>
    <w:rsid w:val="001762AC"/>
    <w:rsid w:val="00177081"/>
    <w:rsid w:val="001818CA"/>
    <w:rsid w:val="00181E36"/>
    <w:rsid w:val="00181E69"/>
    <w:rsid w:val="001824DA"/>
    <w:rsid w:val="00182F51"/>
    <w:rsid w:val="0018305D"/>
    <w:rsid w:val="001832F2"/>
    <w:rsid w:val="00183EEF"/>
    <w:rsid w:val="0018525B"/>
    <w:rsid w:val="001856B1"/>
    <w:rsid w:val="00186BA1"/>
    <w:rsid w:val="00187147"/>
    <w:rsid w:val="00187464"/>
    <w:rsid w:val="001901B0"/>
    <w:rsid w:val="00190EF2"/>
    <w:rsid w:val="0019167B"/>
    <w:rsid w:val="00192DFB"/>
    <w:rsid w:val="001940C0"/>
    <w:rsid w:val="0019454E"/>
    <w:rsid w:val="001946A3"/>
    <w:rsid w:val="001946D6"/>
    <w:rsid w:val="00194CB6"/>
    <w:rsid w:val="001951C0"/>
    <w:rsid w:val="00195A7F"/>
    <w:rsid w:val="00195F14"/>
    <w:rsid w:val="001964D0"/>
    <w:rsid w:val="00196BDA"/>
    <w:rsid w:val="001A0496"/>
    <w:rsid w:val="001A182B"/>
    <w:rsid w:val="001A1D85"/>
    <w:rsid w:val="001A4241"/>
    <w:rsid w:val="001A5452"/>
    <w:rsid w:val="001A5624"/>
    <w:rsid w:val="001A607A"/>
    <w:rsid w:val="001A769A"/>
    <w:rsid w:val="001A7E94"/>
    <w:rsid w:val="001B0A08"/>
    <w:rsid w:val="001B0C1C"/>
    <w:rsid w:val="001B107E"/>
    <w:rsid w:val="001B164B"/>
    <w:rsid w:val="001B1902"/>
    <w:rsid w:val="001B28E2"/>
    <w:rsid w:val="001B2EA7"/>
    <w:rsid w:val="001B2F35"/>
    <w:rsid w:val="001B31FB"/>
    <w:rsid w:val="001B32F6"/>
    <w:rsid w:val="001B36CF"/>
    <w:rsid w:val="001B3B3B"/>
    <w:rsid w:val="001B3D83"/>
    <w:rsid w:val="001B3E24"/>
    <w:rsid w:val="001B3E3A"/>
    <w:rsid w:val="001B416E"/>
    <w:rsid w:val="001B48DE"/>
    <w:rsid w:val="001B4AC0"/>
    <w:rsid w:val="001B4BCC"/>
    <w:rsid w:val="001B4E2B"/>
    <w:rsid w:val="001B5557"/>
    <w:rsid w:val="001B56B5"/>
    <w:rsid w:val="001B5AC9"/>
    <w:rsid w:val="001B5D1F"/>
    <w:rsid w:val="001B6234"/>
    <w:rsid w:val="001B6687"/>
    <w:rsid w:val="001B6C7F"/>
    <w:rsid w:val="001B7962"/>
    <w:rsid w:val="001C065C"/>
    <w:rsid w:val="001C0ECE"/>
    <w:rsid w:val="001C22DE"/>
    <w:rsid w:val="001C22E0"/>
    <w:rsid w:val="001C27D8"/>
    <w:rsid w:val="001C3032"/>
    <w:rsid w:val="001C3EBB"/>
    <w:rsid w:val="001C42EC"/>
    <w:rsid w:val="001C5406"/>
    <w:rsid w:val="001C6024"/>
    <w:rsid w:val="001C7823"/>
    <w:rsid w:val="001C7B56"/>
    <w:rsid w:val="001D04B1"/>
    <w:rsid w:val="001D0D82"/>
    <w:rsid w:val="001D125C"/>
    <w:rsid w:val="001D1D65"/>
    <w:rsid w:val="001D2369"/>
    <w:rsid w:val="001D4A78"/>
    <w:rsid w:val="001D5050"/>
    <w:rsid w:val="001D571B"/>
    <w:rsid w:val="001D6994"/>
    <w:rsid w:val="001D72FF"/>
    <w:rsid w:val="001D7E74"/>
    <w:rsid w:val="001E04C3"/>
    <w:rsid w:val="001E0B7B"/>
    <w:rsid w:val="001E0E73"/>
    <w:rsid w:val="001E1DF3"/>
    <w:rsid w:val="001E1F16"/>
    <w:rsid w:val="001E2099"/>
    <w:rsid w:val="001E30F0"/>
    <w:rsid w:val="001E4875"/>
    <w:rsid w:val="001E5E62"/>
    <w:rsid w:val="001E5F89"/>
    <w:rsid w:val="001E60A5"/>
    <w:rsid w:val="001E6F8C"/>
    <w:rsid w:val="001F003D"/>
    <w:rsid w:val="001F00F2"/>
    <w:rsid w:val="001F0B2F"/>
    <w:rsid w:val="001F19CA"/>
    <w:rsid w:val="001F2086"/>
    <w:rsid w:val="001F2612"/>
    <w:rsid w:val="001F3F4B"/>
    <w:rsid w:val="001F4070"/>
    <w:rsid w:val="001F532B"/>
    <w:rsid w:val="001F555C"/>
    <w:rsid w:val="001F5D5F"/>
    <w:rsid w:val="001F6625"/>
    <w:rsid w:val="001F6921"/>
    <w:rsid w:val="001F7A86"/>
    <w:rsid w:val="001F7A95"/>
    <w:rsid w:val="002016C5"/>
    <w:rsid w:val="00202126"/>
    <w:rsid w:val="002026C7"/>
    <w:rsid w:val="002026F1"/>
    <w:rsid w:val="00202F4B"/>
    <w:rsid w:val="00203AB5"/>
    <w:rsid w:val="00203B7D"/>
    <w:rsid w:val="00203BA6"/>
    <w:rsid w:val="002043C1"/>
    <w:rsid w:val="00204AA4"/>
    <w:rsid w:val="00205134"/>
    <w:rsid w:val="00205170"/>
    <w:rsid w:val="002051D5"/>
    <w:rsid w:val="00205326"/>
    <w:rsid w:val="002059B5"/>
    <w:rsid w:val="00205E59"/>
    <w:rsid w:val="00206F45"/>
    <w:rsid w:val="00207EA4"/>
    <w:rsid w:val="00211A05"/>
    <w:rsid w:val="00211BAB"/>
    <w:rsid w:val="00211E76"/>
    <w:rsid w:val="00213AC2"/>
    <w:rsid w:val="00214A85"/>
    <w:rsid w:val="00215099"/>
    <w:rsid w:val="00215E23"/>
    <w:rsid w:val="0021780E"/>
    <w:rsid w:val="00217811"/>
    <w:rsid w:val="00220691"/>
    <w:rsid w:val="00220A1D"/>
    <w:rsid w:val="002215DB"/>
    <w:rsid w:val="00221996"/>
    <w:rsid w:val="00221EBC"/>
    <w:rsid w:val="00222644"/>
    <w:rsid w:val="00222E8F"/>
    <w:rsid w:val="00224091"/>
    <w:rsid w:val="00225A30"/>
    <w:rsid w:val="00227453"/>
    <w:rsid w:val="002275B6"/>
    <w:rsid w:val="00227653"/>
    <w:rsid w:val="00227C32"/>
    <w:rsid w:val="00231F8E"/>
    <w:rsid w:val="00232EEA"/>
    <w:rsid w:val="00233D1F"/>
    <w:rsid w:val="0023581C"/>
    <w:rsid w:val="00235A32"/>
    <w:rsid w:val="00236900"/>
    <w:rsid w:val="00236B5F"/>
    <w:rsid w:val="002378A9"/>
    <w:rsid w:val="00240183"/>
    <w:rsid w:val="002404EE"/>
    <w:rsid w:val="0024109E"/>
    <w:rsid w:val="00241EAC"/>
    <w:rsid w:val="00241FA2"/>
    <w:rsid w:val="00242517"/>
    <w:rsid w:val="0024257F"/>
    <w:rsid w:val="00242BC7"/>
    <w:rsid w:val="00243D00"/>
    <w:rsid w:val="00245437"/>
    <w:rsid w:val="002454BF"/>
    <w:rsid w:val="00245B79"/>
    <w:rsid w:val="00246C11"/>
    <w:rsid w:val="00247CBE"/>
    <w:rsid w:val="00251A24"/>
    <w:rsid w:val="00252E48"/>
    <w:rsid w:val="00255777"/>
    <w:rsid w:val="00255B5D"/>
    <w:rsid w:val="00255BB9"/>
    <w:rsid w:val="00255F9C"/>
    <w:rsid w:val="00256596"/>
    <w:rsid w:val="002568BC"/>
    <w:rsid w:val="00260BBA"/>
    <w:rsid w:val="00260DCE"/>
    <w:rsid w:val="002616AE"/>
    <w:rsid w:val="00262BFB"/>
    <w:rsid w:val="00263078"/>
    <w:rsid w:val="00263966"/>
    <w:rsid w:val="00264D61"/>
    <w:rsid w:val="00265A7B"/>
    <w:rsid w:val="00265C23"/>
    <w:rsid w:val="00266893"/>
    <w:rsid w:val="002678DD"/>
    <w:rsid w:val="00267B5F"/>
    <w:rsid w:val="0027200E"/>
    <w:rsid w:val="002722A4"/>
    <w:rsid w:val="002726AA"/>
    <w:rsid w:val="00272963"/>
    <w:rsid w:val="00272989"/>
    <w:rsid w:val="00272A9A"/>
    <w:rsid w:val="00272FD3"/>
    <w:rsid w:val="002735FD"/>
    <w:rsid w:val="0027428F"/>
    <w:rsid w:val="002743FF"/>
    <w:rsid w:val="002752ED"/>
    <w:rsid w:val="00275C41"/>
    <w:rsid w:val="0027609F"/>
    <w:rsid w:val="002765DA"/>
    <w:rsid w:val="002800AE"/>
    <w:rsid w:val="00280C45"/>
    <w:rsid w:val="002823EA"/>
    <w:rsid w:val="00282EDD"/>
    <w:rsid w:val="002836E5"/>
    <w:rsid w:val="00283E6C"/>
    <w:rsid w:val="002849C7"/>
    <w:rsid w:val="00286960"/>
    <w:rsid w:val="002873B9"/>
    <w:rsid w:val="002874CE"/>
    <w:rsid w:val="0028770B"/>
    <w:rsid w:val="00287A4C"/>
    <w:rsid w:val="00287E8C"/>
    <w:rsid w:val="00292E9B"/>
    <w:rsid w:val="002931A0"/>
    <w:rsid w:val="002949D1"/>
    <w:rsid w:val="002968C3"/>
    <w:rsid w:val="0029768C"/>
    <w:rsid w:val="002A16D4"/>
    <w:rsid w:val="002A1C29"/>
    <w:rsid w:val="002A2104"/>
    <w:rsid w:val="002A265A"/>
    <w:rsid w:val="002A2EFA"/>
    <w:rsid w:val="002A447C"/>
    <w:rsid w:val="002A4805"/>
    <w:rsid w:val="002A4951"/>
    <w:rsid w:val="002A5A65"/>
    <w:rsid w:val="002A5E7A"/>
    <w:rsid w:val="002A732C"/>
    <w:rsid w:val="002A7F48"/>
    <w:rsid w:val="002B04FF"/>
    <w:rsid w:val="002B0A29"/>
    <w:rsid w:val="002B0AC4"/>
    <w:rsid w:val="002B222A"/>
    <w:rsid w:val="002B3030"/>
    <w:rsid w:val="002B4141"/>
    <w:rsid w:val="002B48B2"/>
    <w:rsid w:val="002B5D04"/>
    <w:rsid w:val="002B6306"/>
    <w:rsid w:val="002B770F"/>
    <w:rsid w:val="002C02E2"/>
    <w:rsid w:val="002C1943"/>
    <w:rsid w:val="002C1CA3"/>
    <w:rsid w:val="002C1F71"/>
    <w:rsid w:val="002C2A69"/>
    <w:rsid w:val="002C4C40"/>
    <w:rsid w:val="002C4FAD"/>
    <w:rsid w:val="002C5B39"/>
    <w:rsid w:val="002C5C05"/>
    <w:rsid w:val="002C5D12"/>
    <w:rsid w:val="002C67EE"/>
    <w:rsid w:val="002C6A7D"/>
    <w:rsid w:val="002C70BB"/>
    <w:rsid w:val="002C7B22"/>
    <w:rsid w:val="002D069D"/>
    <w:rsid w:val="002D0886"/>
    <w:rsid w:val="002D18D8"/>
    <w:rsid w:val="002D1C4C"/>
    <w:rsid w:val="002D255E"/>
    <w:rsid w:val="002D2E31"/>
    <w:rsid w:val="002D3279"/>
    <w:rsid w:val="002D3485"/>
    <w:rsid w:val="002D39CC"/>
    <w:rsid w:val="002D3B0A"/>
    <w:rsid w:val="002D43AB"/>
    <w:rsid w:val="002D49F6"/>
    <w:rsid w:val="002D4FEA"/>
    <w:rsid w:val="002D54EB"/>
    <w:rsid w:val="002D558E"/>
    <w:rsid w:val="002D6001"/>
    <w:rsid w:val="002D677C"/>
    <w:rsid w:val="002D678B"/>
    <w:rsid w:val="002D68A2"/>
    <w:rsid w:val="002D7B6D"/>
    <w:rsid w:val="002D7BFF"/>
    <w:rsid w:val="002E0924"/>
    <w:rsid w:val="002E1956"/>
    <w:rsid w:val="002E2397"/>
    <w:rsid w:val="002E24EC"/>
    <w:rsid w:val="002E26D1"/>
    <w:rsid w:val="002E3013"/>
    <w:rsid w:val="002E3EDB"/>
    <w:rsid w:val="002E3F94"/>
    <w:rsid w:val="002E4BA2"/>
    <w:rsid w:val="002E7BC1"/>
    <w:rsid w:val="002E7D80"/>
    <w:rsid w:val="002E7E10"/>
    <w:rsid w:val="002F15EC"/>
    <w:rsid w:val="002F2D07"/>
    <w:rsid w:val="002F2EED"/>
    <w:rsid w:val="002F3CC8"/>
    <w:rsid w:val="002F525C"/>
    <w:rsid w:val="002F5A70"/>
    <w:rsid w:val="002F5CBA"/>
    <w:rsid w:val="002F703D"/>
    <w:rsid w:val="002F7779"/>
    <w:rsid w:val="002F7B15"/>
    <w:rsid w:val="003014EF"/>
    <w:rsid w:val="0030196D"/>
    <w:rsid w:val="0030225E"/>
    <w:rsid w:val="00302908"/>
    <w:rsid w:val="003038A1"/>
    <w:rsid w:val="00303997"/>
    <w:rsid w:val="003044AE"/>
    <w:rsid w:val="00306268"/>
    <w:rsid w:val="00306C5B"/>
    <w:rsid w:val="003079FF"/>
    <w:rsid w:val="00310C9F"/>
    <w:rsid w:val="00311380"/>
    <w:rsid w:val="00312E92"/>
    <w:rsid w:val="00314485"/>
    <w:rsid w:val="00315E7C"/>
    <w:rsid w:val="00316D63"/>
    <w:rsid w:val="00316D76"/>
    <w:rsid w:val="00316E76"/>
    <w:rsid w:val="003174C9"/>
    <w:rsid w:val="00320AEE"/>
    <w:rsid w:val="00320DCB"/>
    <w:rsid w:val="0032159B"/>
    <w:rsid w:val="00322996"/>
    <w:rsid w:val="00322FA2"/>
    <w:rsid w:val="003234BF"/>
    <w:rsid w:val="0032366A"/>
    <w:rsid w:val="0032490B"/>
    <w:rsid w:val="00324AB9"/>
    <w:rsid w:val="00325247"/>
    <w:rsid w:val="00325F99"/>
    <w:rsid w:val="003268E6"/>
    <w:rsid w:val="0032751F"/>
    <w:rsid w:val="0033005A"/>
    <w:rsid w:val="003304C1"/>
    <w:rsid w:val="003308B6"/>
    <w:rsid w:val="00330D0D"/>
    <w:rsid w:val="00331BDB"/>
    <w:rsid w:val="00331CD7"/>
    <w:rsid w:val="0033238E"/>
    <w:rsid w:val="00332B08"/>
    <w:rsid w:val="00332E4D"/>
    <w:rsid w:val="00332FD3"/>
    <w:rsid w:val="00334A15"/>
    <w:rsid w:val="00334C30"/>
    <w:rsid w:val="00334D0B"/>
    <w:rsid w:val="00335AE9"/>
    <w:rsid w:val="00336E70"/>
    <w:rsid w:val="00337E92"/>
    <w:rsid w:val="0034068C"/>
    <w:rsid w:val="003412F5"/>
    <w:rsid w:val="0034188C"/>
    <w:rsid w:val="0034440E"/>
    <w:rsid w:val="003457A3"/>
    <w:rsid w:val="00345C2C"/>
    <w:rsid w:val="00345CAB"/>
    <w:rsid w:val="003468A7"/>
    <w:rsid w:val="003468E5"/>
    <w:rsid w:val="00346934"/>
    <w:rsid w:val="00346F3A"/>
    <w:rsid w:val="00347046"/>
    <w:rsid w:val="00347E1F"/>
    <w:rsid w:val="0035079F"/>
    <w:rsid w:val="003510B9"/>
    <w:rsid w:val="00351498"/>
    <w:rsid w:val="003514B8"/>
    <w:rsid w:val="003523E0"/>
    <w:rsid w:val="00353FE8"/>
    <w:rsid w:val="00354420"/>
    <w:rsid w:val="00354ADF"/>
    <w:rsid w:val="00355C18"/>
    <w:rsid w:val="00356056"/>
    <w:rsid w:val="003561F6"/>
    <w:rsid w:val="003573AC"/>
    <w:rsid w:val="003604D1"/>
    <w:rsid w:val="00360F56"/>
    <w:rsid w:val="00362049"/>
    <w:rsid w:val="003631C3"/>
    <w:rsid w:val="00363751"/>
    <w:rsid w:val="003639E3"/>
    <w:rsid w:val="00363BEF"/>
    <w:rsid w:val="00364108"/>
    <w:rsid w:val="0036428B"/>
    <w:rsid w:val="00364DA0"/>
    <w:rsid w:val="00365116"/>
    <w:rsid w:val="00366621"/>
    <w:rsid w:val="0036670D"/>
    <w:rsid w:val="00366A6A"/>
    <w:rsid w:val="00366E71"/>
    <w:rsid w:val="00367E0F"/>
    <w:rsid w:val="00367E74"/>
    <w:rsid w:val="00370762"/>
    <w:rsid w:val="003708BB"/>
    <w:rsid w:val="0037176F"/>
    <w:rsid w:val="00372047"/>
    <w:rsid w:val="00373D45"/>
    <w:rsid w:val="00374A70"/>
    <w:rsid w:val="003761E1"/>
    <w:rsid w:val="00376F53"/>
    <w:rsid w:val="003772D0"/>
    <w:rsid w:val="003775F8"/>
    <w:rsid w:val="00381B4C"/>
    <w:rsid w:val="00383AFE"/>
    <w:rsid w:val="0038406C"/>
    <w:rsid w:val="003856FE"/>
    <w:rsid w:val="003858AC"/>
    <w:rsid w:val="00385AD2"/>
    <w:rsid w:val="00385C10"/>
    <w:rsid w:val="003865ED"/>
    <w:rsid w:val="003876EC"/>
    <w:rsid w:val="00390CC0"/>
    <w:rsid w:val="00391424"/>
    <w:rsid w:val="00391620"/>
    <w:rsid w:val="003926BF"/>
    <w:rsid w:val="00392B05"/>
    <w:rsid w:val="00392B21"/>
    <w:rsid w:val="00392BDD"/>
    <w:rsid w:val="00393502"/>
    <w:rsid w:val="0039352E"/>
    <w:rsid w:val="003939FD"/>
    <w:rsid w:val="0039491B"/>
    <w:rsid w:val="0039794A"/>
    <w:rsid w:val="00397A3B"/>
    <w:rsid w:val="00397BDA"/>
    <w:rsid w:val="003A0129"/>
    <w:rsid w:val="003A0553"/>
    <w:rsid w:val="003A0A6E"/>
    <w:rsid w:val="003A0B7A"/>
    <w:rsid w:val="003A276C"/>
    <w:rsid w:val="003A4137"/>
    <w:rsid w:val="003A44AB"/>
    <w:rsid w:val="003A4C4B"/>
    <w:rsid w:val="003A4F64"/>
    <w:rsid w:val="003A582D"/>
    <w:rsid w:val="003A58CD"/>
    <w:rsid w:val="003A5DE7"/>
    <w:rsid w:val="003A7158"/>
    <w:rsid w:val="003A747A"/>
    <w:rsid w:val="003A7B71"/>
    <w:rsid w:val="003B063E"/>
    <w:rsid w:val="003B0828"/>
    <w:rsid w:val="003B4853"/>
    <w:rsid w:val="003B4905"/>
    <w:rsid w:val="003B4FBA"/>
    <w:rsid w:val="003B5AC8"/>
    <w:rsid w:val="003B60B5"/>
    <w:rsid w:val="003B6AD8"/>
    <w:rsid w:val="003B79F2"/>
    <w:rsid w:val="003C046F"/>
    <w:rsid w:val="003C08FE"/>
    <w:rsid w:val="003C1AF4"/>
    <w:rsid w:val="003C1B51"/>
    <w:rsid w:val="003C1B7D"/>
    <w:rsid w:val="003C1C74"/>
    <w:rsid w:val="003C3018"/>
    <w:rsid w:val="003C4409"/>
    <w:rsid w:val="003C5069"/>
    <w:rsid w:val="003C63EC"/>
    <w:rsid w:val="003C68B2"/>
    <w:rsid w:val="003C68DC"/>
    <w:rsid w:val="003C6A5F"/>
    <w:rsid w:val="003C6B92"/>
    <w:rsid w:val="003C6EED"/>
    <w:rsid w:val="003C739C"/>
    <w:rsid w:val="003D0095"/>
    <w:rsid w:val="003D0B3E"/>
    <w:rsid w:val="003D2298"/>
    <w:rsid w:val="003D2335"/>
    <w:rsid w:val="003D39E4"/>
    <w:rsid w:val="003D3F03"/>
    <w:rsid w:val="003D49F0"/>
    <w:rsid w:val="003D4DA3"/>
    <w:rsid w:val="003D4FDE"/>
    <w:rsid w:val="003D5853"/>
    <w:rsid w:val="003E0A93"/>
    <w:rsid w:val="003E1176"/>
    <w:rsid w:val="003E150B"/>
    <w:rsid w:val="003E1F8A"/>
    <w:rsid w:val="003E3FB7"/>
    <w:rsid w:val="003E5284"/>
    <w:rsid w:val="003E60E2"/>
    <w:rsid w:val="003E6A39"/>
    <w:rsid w:val="003E6A4A"/>
    <w:rsid w:val="003E6C44"/>
    <w:rsid w:val="003F0903"/>
    <w:rsid w:val="003F187B"/>
    <w:rsid w:val="003F2856"/>
    <w:rsid w:val="003F2B35"/>
    <w:rsid w:val="003F3172"/>
    <w:rsid w:val="003F33D8"/>
    <w:rsid w:val="003F4457"/>
    <w:rsid w:val="003F6A07"/>
    <w:rsid w:val="003F6D89"/>
    <w:rsid w:val="003F73DC"/>
    <w:rsid w:val="003F7475"/>
    <w:rsid w:val="00400428"/>
    <w:rsid w:val="00400851"/>
    <w:rsid w:val="0040087F"/>
    <w:rsid w:val="00400CA2"/>
    <w:rsid w:val="004010D6"/>
    <w:rsid w:val="00401135"/>
    <w:rsid w:val="004016A8"/>
    <w:rsid w:val="00401AD5"/>
    <w:rsid w:val="00401E3D"/>
    <w:rsid w:val="004021DD"/>
    <w:rsid w:val="00402995"/>
    <w:rsid w:val="0040306E"/>
    <w:rsid w:val="00403291"/>
    <w:rsid w:val="004079F0"/>
    <w:rsid w:val="00407C73"/>
    <w:rsid w:val="00410470"/>
    <w:rsid w:val="004107BB"/>
    <w:rsid w:val="00410912"/>
    <w:rsid w:val="00410F62"/>
    <w:rsid w:val="00412A61"/>
    <w:rsid w:val="00413016"/>
    <w:rsid w:val="00413071"/>
    <w:rsid w:val="00413D3E"/>
    <w:rsid w:val="00413E1A"/>
    <w:rsid w:val="004145FB"/>
    <w:rsid w:val="00415D1D"/>
    <w:rsid w:val="004167AB"/>
    <w:rsid w:val="004169D9"/>
    <w:rsid w:val="0042048E"/>
    <w:rsid w:val="004209B7"/>
    <w:rsid w:val="00421C76"/>
    <w:rsid w:val="00423E05"/>
    <w:rsid w:val="00424AF8"/>
    <w:rsid w:val="00424C57"/>
    <w:rsid w:val="0042553C"/>
    <w:rsid w:val="00426036"/>
    <w:rsid w:val="00426234"/>
    <w:rsid w:val="00427000"/>
    <w:rsid w:val="00430393"/>
    <w:rsid w:val="004309B6"/>
    <w:rsid w:val="00430CFC"/>
    <w:rsid w:val="004334AF"/>
    <w:rsid w:val="0043352C"/>
    <w:rsid w:val="0043585D"/>
    <w:rsid w:val="00435ED8"/>
    <w:rsid w:val="00436D00"/>
    <w:rsid w:val="00437055"/>
    <w:rsid w:val="00437F1C"/>
    <w:rsid w:val="00440D09"/>
    <w:rsid w:val="00442A67"/>
    <w:rsid w:val="00442FA5"/>
    <w:rsid w:val="00443A99"/>
    <w:rsid w:val="00445843"/>
    <w:rsid w:val="00445AD3"/>
    <w:rsid w:val="00445D96"/>
    <w:rsid w:val="0044795C"/>
    <w:rsid w:val="00447B21"/>
    <w:rsid w:val="004504E3"/>
    <w:rsid w:val="00451125"/>
    <w:rsid w:val="00451697"/>
    <w:rsid w:val="00451DB5"/>
    <w:rsid w:val="00453291"/>
    <w:rsid w:val="004535A7"/>
    <w:rsid w:val="004535EF"/>
    <w:rsid w:val="004546F0"/>
    <w:rsid w:val="00454887"/>
    <w:rsid w:val="004556D3"/>
    <w:rsid w:val="004559F6"/>
    <w:rsid w:val="00455E69"/>
    <w:rsid w:val="004563C0"/>
    <w:rsid w:val="00457AEA"/>
    <w:rsid w:val="004609FA"/>
    <w:rsid w:val="00460A80"/>
    <w:rsid w:val="00462DC6"/>
    <w:rsid w:val="00463F74"/>
    <w:rsid w:val="00464D34"/>
    <w:rsid w:val="004651BE"/>
    <w:rsid w:val="004679CE"/>
    <w:rsid w:val="00467CC5"/>
    <w:rsid w:val="00467ECF"/>
    <w:rsid w:val="004707F1"/>
    <w:rsid w:val="004714C0"/>
    <w:rsid w:val="00471644"/>
    <w:rsid w:val="004719BA"/>
    <w:rsid w:val="00473285"/>
    <w:rsid w:val="004734AA"/>
    <w:rsid w:val="004754A4"/>
    <w:rsid w:val="004804FC"/>
    <w:rsid w:val="00481125"/>
    <w:rsid w:val="0048210C"/>
    <w:rsid w:val="00483820"/>
    <w:rsid w:val="00483FF5"/>
    <w:rsid w:val="00484366"/>
    <w:rsid w:val="00486121"/>
    <w:rsid w:val="00486793"/>
    <w:rsid w:val="00486831"/>
    <w:rsid w:val="004878A8"/>
    <w:rsid w:val="004878BB"/>
    <w:rsid w:val="00487CEE"/>
    <w:rsid w:val="004900D9"/>
    <w:rsid w:val="00491359"/>
    <w:rsid w:val="00491662"/>
    <w:rsid w:val="00493816"/>
    <w:rsid w:val="00493DFB"/>
    <w:rsid w:val="004942F8"/>
    <w:rsid w:val="00494443"/>
    <w:rsid w:val="00494910"/>
    <w:rsid w:val="00495E32"/>
    <w:rsid w:val="00496B47"/>
    <w:rsid w:val="004971CC"/>
    <w:rsid w:val="00497264"/>
    <w:rsid w:val="00497EDA"/>
    <w:rsid w:val="004A0028"/>
    <w:rsid w:val="004A048D"/>
    <w:rsid w:val="004A10FD"/>
    <w:rsid w:val="004A2A66"/>
    <w:rsid w:val="004A3825"/>
    <w:rsid w:val="004A43E9"/>
    <w:rsid w:val="004A5673"/>
    <w:rsid w:val="004A6F30"/>
    <w:rsid w:val="004A7078"/>
    <w:rsid w:val="004A7BC5"/>
    <w:rsid w:val="004B29D6"/>
    <w:rsid w:val="004B369A"/>
    <w:rsid w:val="004B3815"/>
    <w:rsid w:val="004B38C3"/>
    <w:rsid w:val="004B3FD3"/>
    <w:rsid w:val="004B62C1"/>
    <w:rsid w:val="004C1931"/>
    <w:rsid w:val="004C1F1F"/>
    <w:rsid w:val="004C23D7"/>
    <w:rsid w:val="004C28AB"/>
    <w:rsid w:val="004C3D21"/>
    <w:rsid w:val="004C3D45"/>
    <w:rsid w:val="004C4973"/>
    <w:rsid w:val="004C49CC"/>
    <w:rsid w:val="004C5064"/>
    <w:rsid w:val="004C5803"/>
    <w:rsid w:val="004C5B89"/>
    <w:rsid w:val="004C65AC"/>
    <w:rsid w:val="004D07BF"/>
    <w:rsid w:val="004D119E"/>
    <w:rsid w:val="004D1226"/>
    <w:rsid w:val="004D13B1"/>
    <w:rsid w:val="004D1836"/>
    <w:rsid w:val="004D19AA"/>
    <w:rsid w:val="004D1C3D"/>
    <w:rsid w:val="004D29EF"/>
    <w:rsid w:val="004D2C15"/>
    <w:rsid w:val="004D56A0"/>
    <w:rsid w:val="004D5D0A"/>
    <w:rsid w:val="004D668E"/>
    <w:rsid w:val="004D6D9A"/>
    <w:rsid w:val="004D6E56"/>
    <w:rsid w:val="004D741A"/>
    <w:rsid w:val="004E01EE"/>
    <w:rsid w:val="004E076B"/>
    <w:rsid w:val="004E1C0E"/>
    <w:rsid w:val="004E24B2"/>
    <w:rsid w:val="004E2B05"/>
    <w:rsid w:val="004E2C53"/>
    <w:rsid w:val="004E2FE2"/>
    <w:rsid w:val="004E3AE9"/>
    <w:rsid w:val="004E46FE"/>
    <w:rsid w:val="004E5925"/>
    <w:rsid w:val="004E616D"/>
    <w:rsid w:val="004E6603"/>
    <w:rsid w:val="004E6D54"/>
    <w:rsid w:val="004E6F14"/>
    <w:rsid w:val="004E6F3E"/>
    <w:rsid w:val="004E6F4C"/>
    <w:rsid w:val="004E76D8"/>
    <w:rsid w:val="004F0CBC"/>
    <w:rsid w:val="004F0FF7"/>
    <w:rsid w:val="004F123C"/>
    <w:rsid w:val="004F256B"/>
    <w:rsid w:val="004F33BF"/>
    <w:rsid w:val="004F37C7"/>
    <w:rsid w:val="004F4881"/>
    <w:rsid w:val="004F647B"/>
    <w:rsid w:val="004F7108"/>
    <w:rsid w:val="004F7342"/>
    <w:rsid w:val="004F7761"/>
    <w:rsid w:val="004F77DC"/>
    <w:rsid w:val="005005DA"/>
    <w:rsid w:val="00500D81"/>
    <w:rsid w:val="0050166E"/>
    <w:rsid w:val="00501E0B"/>
    <w:rsid w:val="0050223E"/>
    <w:rsid w:val="00502A0D"/>
    <w:rsid w:val="0050536A"/>
    <w:rsid w:val="0050536D"/>
    <w:rsid w:val="00505AA0"/>
    <w:rsid w:val="00505F7C"/>
    <w:rsid w:val="00506E2F"/>
    <w:rsid w:val="00507800"/>
    <w:rsid w:val="00510A70"/>
    <w:rsid w:val="00511687"/>
    <w:rsid w:val="00513C9E"/>
    <w:rsid w:val="00513DB5"/>
    <w:rsid w:val="005157D6"/>
    <w:rsid w:val="00515C7C"/>
    <w:rsid w:val="005162FF"/>
    <w:rsid w:val="00516331"/>
    <w:rsid w:val="00516931"/>
    <w:rsid w:val="00517512"/>
    <w:rsid w:val="00520441"/>
    <w:rsid w:val="00520D17"/>
    <w:rsid w:val="00521351"/>
    <w:rsid w:val="0052158D"/>
    <w:rsid w:val="00521922"/>
    <w:rsid w:val="00521FC7"/>
    <w:rsid w:val="00522817"/>
    <w:rsid w:val="0052366E"/>
    <w:rsid w:val="00523703"/>
    <w:rsid w:val="00523756"/>
    <w:rsid w:val="005249A2"/>
    <w:rsid w:val="00524E77"/>
    <w:rsid w:val="00527652"/>
    <w:rsid w:val="005312CD"/>
    <w:rsid w:val="00531A91"/>
    <w:rsid w:val="00531F3D"/>
    <w:rsid w:val="00531F6A"/>
    <w:rsid w:val="005322F4"/>
    <w:rsid w:val="00532E97"/>
    <w:rsid w:val="0053329F"/>
    <w:rsid w:val="005336D4"/>
    <w:rsid w:val="00533AB9"/>
    <w:rsid w:val="00533C89"/>
    <w:rsid w:val="00533D50"/>
    <w:rsid w:val="005346C9"/>
    <w:rsid w:val="005351DC"/>
    <w:rsid w:val="00535839"/>
    <w:rsid w:val="0053648C"/>
    <w:rsid w:val="00537B78"/>
    <w:rsid w:val="00540B83"/>
    <w:rsid w:val="00540DA9"/>
    <w:rsid w:val="00541A15"/>
    <w:rsid w:val="005422BC"/>
    <w:rsid w:val="00542F19"/>
    <w:rsid w:val="00543CE4"/>
    <w:rsid w:val="00544A7C"/>
    <w:rsid w:val="00544B8F"/>
    <w:rsid w:val="005452D0"/>
    <w:rsid w:val="0054566F"/>
    <w:rsid w:val="0054623A"/>
    <w:rsid w:val="00546A8B"/>
    <w:rsid w:val="00551353"/>
    <w:rsid w:val="00551AC0"/>
    <w:rsid w:val="00551FC6"/>
    <w:rsid w:val="00552940"/>
    <w:rsid w:val="00552ED7"/>
    <w:rsid w:val="0055311D"/>
    <w:rsid w:val="00553809"/>
    <w:rsid w:val="005538BA"/>
    <w:rsid w:val="00553E61"/>
    <w:rsid w:val="005548EA"/>
    <w:rsid w:val="00554C1A"/>
    <w:rsid w:val="005552DC"/>
    <w:rsid w:val="0055569E"/>
    <w:rsid w:val="00555FE8"/>
    <w:rsid w:val="005573FA"/>
    <w:rsid w:val="00557B49"/>
    <w:rsid w:val="00560F62"/>
    <w:rsid w:val="0056115B"/>
    <w:rsid w:val="005615DB"/>
    <w:rsid w:val="005617D1"/>
    <w:rsid w:val="00562B8A"/>
    <w:rsid w:val="00562DD7"/>
    <w:rsid w:val="00563968"/>
    <w:rsid w:val="00563FBD"/>
    <w:rsid w:val="0056411D"/>
    <w:rsid w:val="0056454B"/>
    <w:rsid w:val="005648C9"/>
    <w:rsid w:val="00564A22"/>
    <w:rsid w:val="00564EB8"/>
    <w:rsid w:val="00565179"/>
    <w:rsid w:val="005679B9"/>
    <w:rsid w:val="00571241"/>
    <w:rsid w:val="00572257"/>
    <w:rsid w:val="00573A22"/>
    <w:rsid w:val="00573A96"/>
    <w:rsid w:val="00573AD5"/>
    <w:rsid w:val="00574D45"/>
    <w:rsid w:val="00575878"/>
    <w:rsid w:val="005758C5"/>
    <w:rsid w:val="00575F20"/>
    <w:rsid w:val="00580CD1"/>
    <w:rsid w:val="005817C7"/>
    <w:rsid w:val="00581A25"/>
    <w:rsid w:val="005826E9"/>
    <w:rsid w:val="00584165"/>
    <w:rsid w:val="005864DB"/>
    <w:rsid w:val="00586FCD"/>
    <w:rsid w:val="0058740B"/>
    <w:rsid w:val="0058776F"/>
    <w:rsid w:val="005908C1"/>
    <w:rsid w:val="00592B1A"/>
    <w:rsid w:val="005932A7"/>
    <w:rsid w:val="005939B0"/>
    <w:rsid w:val="00595772"/>
    <w:rsid w:val="00595DAF"/>
    <w:rsid w:val="005965E1"/>
    <w:rsid w:val="005965F3"/>
    <w:rsid w:val="00597366"/>
    <w:rsid w:val="00597534"/>
    <w:rsid w:val="00597FDA"/>
    <w:rsid w:val="005A05A8"/>
    <w:rsid w:val="005A11C3"/>
    <w:rsid w:val="005A1747"/>
    <w:rsid w:val="005A1756"/>
    <w:rsid w:val="005A239B"/>
    <w:rsid w:val="005A274F"/>
    <w:rsid w:val="005A27BE"/>
    <w:rsid w:val="005A28D8"/>
    <w:rsid w:val="005A2CD8"/>
    <w:rsid w:val="005A33FE"/>
    <w:rsid w:val="005A3992"/>
    <w:rsid w:val="005A6556"/>
    <w:rsid w:val="005A75E6"/>
    <w:rsid w:val="005A7991"/>
    <w:rsid w:val="005B0E7E"/>
    <w:rsid w:val="005B11FA"/>
    <w:rsid w:val="005B193C"/>
    <w:rsid w:val="005B23AC"/>
    <w:rsid w:val="005B32EB"/>
    <w:rsid w:val="005B5785"/>
    <w:rsid w:val="005B702C"/>
    <w:rsid w:val="005B70BF"/>
    <w:rsid w:val="005B7ED1"/>
    <w:rsid w:val="005C2277"/>
    <w:rsid w:val="005C33D6"/>
    <w:rsid w:val="005C359A"/>
    <w:rsid w:val="005C4142"/>
    <w:rsid w:val="005C456D"/>
    <w:rsid w:val="005C6001"/>
    <w:rsid w:val="005C7948"/>
    <w:rsid w:val="005C7E37"/>
    <w:rsid w:val="005D0642"/>
    <w:rsid w:val="005D2DDD"/>
    <w:rsid w:val="005D31C3"/>
    <w:rsid w:val="005D338E"/>
    <w:rsid w:val="005D3799"/>
    <w:rsid w:val="005D37CB"/>
    <w:rsid w:val="005D420D"/>
    <w:rsid w:val="005D4258"/>
    <w:rsid w:val="005D447A"/>
    <w:rsid w:val="005D46D4"/>
    <w:rsid w:val="005D530F"/>
    <w:rsid w:val="005D5AEE"/>
    <w:rsid w:val="005D5C13"/>
    <w:rsid w:val="005D5F98"/>
    <w:rsid w:val="005D6455"/>
    <w:rsid w:val="005D6DC0"/>
    <w:rsid w:val="005D77AA"/>
    <w:rsid w:val="005D7A15"/>
    <w:rsid w:val="005E071C"/>
    <w:rsid w:val="005E0F14"/>
    <w:rsid w:val="005E1B42"/>
    <w:rsid w:val="005E1D78"/>
    <w:rsid w:val="005E1F13"/>
    <w:rsid w:val="005E203D"/>
    <w:rsid w:val="005E34C0"/>
    <w:rsid w:val="005E3526"/>
    <w:rsid w:val="005E43D0"/>
    <w:rsid w:val="005E47D0"/>
    <w:rsid w:val="005E490A"/>
    <w:rsid w:val="005E4AD6"/>
    <w:rsid w:val="005E5369"/>
    <w:rsid w:val="005E5700"/>
    <w:rsid w:val="005E5DD1"/>
    <w:rsid w:val="005E62CA"/>
    <w:rsid w:val="005E7EA5"/>
    <w:rsid w:val="005F0CB5"/>
    <w:rsid w:val="005F1027"/>
    <w:rsid w:val="005F2470"/>
    <w:rsid w:val="005F30A8"/>
    <w:rsid w:val="005F3BA6"/>
    <w:rsid w:val="005F5B2C"/>
    <w:rsid w:val="005F675A"/>
    <w:rsid w:val="005F6964"/>
    <w:rsid w:val="005F6AC4"/>
    <w:rsid w:val="005F793B"/>
    <w:rsid w:val="005F7C94"/>
    <w:rsid w:val="0060016F"/>
    <w:rsid w:val="0060090C"/>
    <w:rsid w:val="006016C6"/>
    <w:rsid w:val="00602C5B"/>
    <w:rsid w:val="00603472"/>
    <w:rsid w:val="006060A1"/>
    <w:rsid w:val="00606779"/>
    <w:rsid w:val="0060678C"/>
    <w:rsid w:val="006071E8"/>
    <w:rsid w:val="00607BAC"/>
    <w:rsid w:val="00607F19"/>
    <w:rsid w:val="006100C9"/>
    <w:rsid w:val="00610CD7"/>
    <w:rsid w:val="0061267D"/>
    <w:rsid w:val="006129A4"/>
    <w:rsid w:val="00612CE7"/>
    <w:rsid w:val="006130AF"/>
    <w:rsid w:val="00613F0A"/>
    <w:rsid w:val="00614825"/>
    <w:rsid w:val="006148CB"/>
    <w:rsid w:val="00615303"/>
    <w:rsid w:val="006167C1"/>
    <w:rsid w:val="00616F2E"/>
    <w:rsid w:val="00617014"/>
    <w:rsid w:val="00617CF2"/>
    <w:rsid w:val="00617FA5"/>
    <w:rsid w:val="00620670"/>
    <w:rsid w:val="00620BEA"/>
    <w:rsid w:val="00620F3F"/>
    <w:rsid w:val="00621D08"/>
    <w:rsid w:val="0062202B"/>
    <w:rsid w:val="0062221B"/>
    <w:rsid w:val="006226C7"/>
    <w:rsid w:val="00622F8D"/>
    <w:rsid w:val="00623608"/>
    <w:rsid w:val="00623A6F"/>
    <w:rsid w:val="00623DBA"/>
    <w:rsid w:val="00625694"/>
    <w:rsid w:val="006260BF"/>
    <w:rsid w:val="00626957"/>
    <w:rsid w:val="00630504"/>
    <w:rsid w:val="00631DE2"/>
    <w:rsid w:val="00634825"/>
    <w:rsid w:val="00634A4A"/>
    <w:rsid w:val="00634AB6"/>
    <w:rsid w:val="00635611"/>
    <w:rsid w:val="00635943"/>
    <w:rsid w:val="00636BDE"/>
    <w:rsid w:val="00636E1C"/>
    <w:rsid w:val="00637206"/>
    <w:rsid w:val="00640C52"/>
    <w:rsid w:val="00641D42"/>
    <w:rsid w:val="00641F84"/>
    <w:rsid w:val="0064286F"/>
    <w:rsid w:val="00642CB4"/>
    <w:rsid w:val="00642DFF"/>
    <w:rsid w:val="00643049"/>
    <w:rsid w:val="006443BD"/>
    <w:rsid w:val="00645057"/>
    <w:rsid w:val="006457C4"/>
    <w:rsid w:val="00645954"/>
    <w:rsid w:val="0064656D"/>
    <w:rsid w:val="00647520"/>
    <w:rsid w:val="0064754B"/>
    <w:rsid w:val="0064779D"/>
    <w:rsid w:val="006501DB"/>
    <w:rsid w:val="006505F8"/>
    <w:rsid w:val="006510DD"/>
    <w:rsid w:val="00651698"/>
    <w:rsid w:val="006516C7"/>
    <w:rsid w:val="00651865"/>
    <w:rsid w:val="00651B80"/>
    <w:rsid w:val="006531C2"/>
    <w:rsid w:val="00653993"/>
    <w:rsid w:val="00654568"/>
    <w:rsid w:val="00654DC2"/>
    <w:rsid w:val="006570B0"/>
    <w:rsid w:val="0065741F"/>
    <w:rsid w:val="00657FDE"/>
    <w:rsid w:val="00660053"/>
    <w:rsid w:val="0066024D"/>
    <w:rsid w:val="006612A7"/>
    <w:rsid w:val="00661730"/>
    <w:rsid w:val="00661B75"/>
    <w:rsid w:val="00661B8A"/>
    <w:rsid w:val="00662839"/>
    <w:rsid w:val="00663B24"/>
    <w:rsid w:val="0066479D"/>
    <w:rsid w:val="00664C5F"/>
    <w:rsid w:val="00665A2D"/>
    <w:rsid w:val="00665CA6"/>
    <w:rsid w:val="00666170"/>
    <w:rsid w:val="006702CA"/>
    <w:rsid w:val="006706A5"/>
    <w:rsid w:val="0067128D"/>
    <w:rsid w:val="0067217A"/>
    <w:rsid w:val="00672CC0"/>
    <w:rsid w:val="00673341"/>
    <w:rsid w:val="0067344C"/>
    <w:rsid w:val="00673FAB"/>
    <w:rsid w:val="00674293"/>
    <w:rsid w:val="006746E7"/>
    <w:rsid w:val="00675806"/>
    <w:rsid w:val="00676E5B"/>
    <w:rsid w:val="0067717C"/>
    <w:rsid w:val="00677F50"/>
    <w:rsid w:val="00681498"/>
    <w:rsid w:val="00681B7E"/>
    <w:rsid w:val="006829F5"/>
    <w:rsid w:val="00682C1C"/>
    <w:rsid w:val="0068323D"/>
    <w:rsid w:val="00686B01"/>
    <w:rsid w:val="0068703E"/>
    <w:rsid w:val="006871E5"/>
    <w:rsid w:val="006877F1"/>
    <w:rsid w:val="006901D9"/>
    <w:rsid w:val="00690675"/>
    <w:rsid w:val="00692F85"/>
    <w:rsid w:val="00693A9A"/>
    <w:rsid w:val="00693CE9"/>
    <w:rsid w:val="00694C3C"/>
    <w:rsid w:val="0069505F"/>
    <w:rsid w:val="006951DE"/>
    <w:rsid w:val="0069586D"/>
    <w:rsid w:val="00695900"/>
    <w:rsid w:val="00696391"/>
    <w:rsid w:val="00696435"/>
    <w:rsid w:val="006964F8"/>
    <w:rsid w:val="00696CA6"/>
    <w:rsid w:val="006A11AC"/>
    <w:rsid w:val="006A294B"/>
    <w:rsid w:val="006A48B5"/>
    <w:rsid w:val="006A49C7"/>
    <w:rsid w:val="006A743D"/>
    <w:rsid w:val="006B0272"/>
    <w:rsid w:val="006B03B6"/>
    <w:rsid w:val="006B0DCF"/>
    <w:rsid w:val="006B0F3F"/>
    <w:rsid w:val="006B10E4"/>
    <w:rsid w:val="006B2A3A"/>
    <w:rsid w:val="006B2CD9"/>
    <w:rsid w:val="006B345C"/>
    <w:rsid w:val="006B354C"/>
    <w:rsid w:val="006B3EC5"/>
    <w:rsid w:val="006B468F"/>
    <w:rsid w:val="006B471A"/>
    <w:rsid w:val="006B47FA"/>
    <w:rsid w:val="006B4B1A"/>
    <w:rsid w:val="006B4C7C"/>
    <w:rsid w:val="006B4E9D"/>
    <w:rsid w:val="006B5BC7"/>
    <w:rsid w:val="006B7052"/>
    <w:rsid w:val="006C082B"/>
    <w:rsid w:val="006C1A33"/>
    <w:rsid w:val="006C25E7"/>
    <w:rsid w:val="006C2C7F"/>
    <w:rsid w:val="006C3188"/>
    <w:rsid w:val="006C36DE"/>
    <w:rsid w:val="006C3833"/>
    <w:rsid w:val="006C3876"/>
    <w:rsid w:val="006C38D6"/>
    <w:rsid w:val="006C38FD"/>
    <w:rsid w:val="006C3E22"/>
    <w:rsid w:val="006C40E2"/>
    <w:rsid w:val="006C5CE1"/>
    <w:rsid w:val="006C63E7"/>
    <w:rsid w:val="006C76F8"/>
    <w:rsid w:val="006C7E86"/>
    <w:rsid w:val="006D26D9"/>
    <w:rsid w:val="006D2F0C"/>
    <w:rsid w:val="006D3412"/>
    <w:rsid w:val="006D3807"/>
    <w:rsid w:val="006D3D15"/>
    <w:rsid w:val="006D42A6"/>
    <w:rsid w:val="006D42D0"/>
    <w:rsid w:val="006D675F"/>
    <w:rsid w:val="006D753F"/>
    <w:rsid w:val="006D7CA0"/>
    <w:rsid w:val="006E0C0C"/>
    <w:rsid w:val="006E1659"/>
    <w:rsid w:val="006E1674"/>
    <w:rsid w:val="006E3D66"/>
    <w:rsid w:val="006E4497"/>
    <w:rsid w:val="006E530C"/>
    <w:rsid w:val="006E5526"/>
    <w:rsid w:val="006E5A7A"/>
    <w:rsid w:val="006E6061"/>
    <w:rsid w:val="006E6BCC"/>
    <w:rsid w:val="006E6BD4"/>
    <w:rsid w:val="006E736D"/>
    <w:rsid w:val="006E77D1"/>
    <w:rsid w:val="006F1477"/>
    <w:rsid w:val="006F459D"/>
    <w:rsid w:val="006F460E"/>
    <w:rsid w:val="00700447"/>
    <w:rsid w:val="00700B3A"/>
    <w:rsid w:val="0070101C"/>
    <w:rsid w:val="00701244"/>
    <w:rsid w:val="00701751"/>
    <w:rsid w:val="007028A6"/>
    <w:rsid w:val="00704782"/>
    <w:rsid w:val="00705EA5"/>
    <w:rsid w:val="00705F16"/>
    <w:rsid w:val="0070607B"/>
    <w:rsid w:val="00706539"/>
    <w:rsid w:val="007065C3"/>
    <w:rsid w:val="00706B7B"/>
    <w:rsid w:val="00707B12"/>
    <w:rsid w:val="00710F41"/>
    <w:rsid w:val="00711202"/>
    <w:rsid w:val="0071127E"/>
    <w:rsid w:val="00711A2D"/>
    <w:rsid w:val="00711DBF"/>
    <w:rsid w:val="00712251"/>
    <w:rsid w:val="00712386"/>
    <w:rsid w:val="0071271B"/>
    <w:rsid w:val="00712B1B"/>
    <w:rsid w:val="00714FB3"/>
    <w:rsid w:val="00715754"/>
    <w:rsid w:val="00716884"/>
    <w:rsid w:val="007168A5"/>
    <w:rsid w:val="0072027B"/>
    <w:rsid w:val="00720649"/>
    <w:rsid w:val="00720928"/>
    <w:rsid w:val="00721A2D"/>
    <w:rsid w:val="00721CC4"/>
    <w:rsid w:val="00722B0B"/>
    <w:rsid w:val="00723734"/>
    <w:rsid w:val="00724F22"/>
    <w:rsid w:val="00726413"/>
    <w:rsid w:val="007268B7"/>
    <w:rsid w:val="00727430"/>
    <w:rsid w:val="00730062"/>
    <w:rsid w:val="007303CA"/>
    <w:rsid w:val="00730772"/>
    <w:rsid w:val="00731FE9"/>
    <w:rsid w:val="00733FBC"/>
    <w:rsid w:val="00734FBD"/>
    <w:rsid w:val="007350F5"/>
    <w:rsid w:val="00735842"/>
    <w:rsid w:val="00736354"/>
    <w:rsid w:val="007371C5"/>
    <w:rsid w:val="00737341"/>
    <w:rsid w:val="00737DD3"/>
    <w:rsid w:val="00740083"/>
    <w:rsid w:val="0074145A"/>
    <w:rsid w:val="007417E0"/>
    <w:rsid w:val="00741CC1"/>
    <w:rsid w:val="0074227A"/>
    <w:rsid w:val="0074257B"/>
    <w:rsid w:val="007444C1"/>
    <w:rsid w:val="007444F1"/>
    <w:rsid w:val="007445C4"/>
    <w:rsid w:val="007447E6"/>
    <w:rsid w:val="007455FC"/>
    <w:rsid w:val="00745B00"/>
    <w:rsid w:val="00745B8D"/>
    <w:rsid w:val="00747E39"/>
    <w:rsid w:val="00747E40"/>
    <w:rsid w:val="007514F8"/>
    <w:rsid w:val="00751F78"/>
    <w:rsid w:val="00753108"/>
    <w:rsid w:val="00753A9F"/>
    <w:rsid w:val="00754259"/>
    <w:rsid w:val="007542BA"/>
    <w:rsid w:val="00754560"/>
    <w:rsid w:val="00754605"/>
    <w:rsid w:val="00755936"/>
    <w:rsid w:val="00755D79"/>
    <w:rsid w:val="007605D2"/>
    <w:rsid w:val="00760BEE"/>
    <w:rsid w:val="007618EC"/>
    <w:rsid w:val="00761A07"/>
    <w:rsid w:val="00761A4D"/>
    <w:rsid w:val="00761F7E"/>
    <w:rsid w:val="007620E0"/>
    <w:rsid w:val="00762143"/>
    <w:rsid w:val="00763D34"/>
    <w:rsid w:val="007644E0"/>
    <w:rsid w:val="00764584"/>
    <w:rsid w:val="00764F16"/>
    <w:rsid w:val="00765735"/>
    <w:rsid w:val="007660D2"/>
    <w:rsid w:val="00766CCD"/>
    <w:rsid w:val="00766EF7"/>
    <w:rsid w:val="0077059A"/>
    <w:rsid w:val="0077126B"/>
    <w:rsid w:val="00771821"/>
    <w:rsid w:val="007720A3"/>
    <w:rsid w:val="0077234A"/>
    <w:rsid w:val="00772990"/>
    <w:rsid w:val="00772E48"/>
    <w:rsid w:val="0077393F"/>
    <w:rsid w:val="00774C93"/>
    <w:rsid w:val="0077577E"/>
    <w:rsid w:val="00775881"/>
    <w:rsid w:val="00775A0B"/>
    <w:rsid w:val="00777433"/>
    <w:rsid w:val="007804DC"/>
    <w:rsid w:val="00780B2E"/>
    <w:rsid w:val="00780C74"/>
    <w:rsid w:val="0078130E"/>
    <w:rsid w:val="00781804"/>
    <w:rsid w:val="007818FC"/>
    <w:rsid w:val="0078256F"/>
    <w:rsid w:val="007833B5"/>
    <w:rsid w:val="007834C6"/>
    <w:rsid w:val="00783B02"/>
    <w:rsid w:val="00784D50"/>
    <w:rsid w:val="00790341"/>
    <w:rsid w:val="00790B37"/>
    <w:rsid w:val="00790FD3"/>
    <w:rsid w:val="00791F8D"/>
    <w:rsid w:val="0079251E"/>
    <w:rsid w:val="00792C82"/>
    <w:rsid w:val="0079318D"/>
    <w:rsid w:val="00793CBC"/>
    <w:rsid w:val="00793D51"/>
    <w:rsid w:val="00793DF5"/>
    <w:rsid w:val="0079412A"/>
    <w:rsid w:val="00794F4B"/>
    <w:rsid w:val="007953EA"/>
    <w:rsid w:val="007979AD"/>
    <w:rsid w:val="007A0AA1"/>
    <w:rsid w:val="007A1006"/>
    <w:rsid w:val="007A11B3"/>
    <w:rsid w:val="007A141B"/>
    <w:rsid w:val="007A1E83"/>
    <w:rsid w:val="007A25BA"/>
    <w:rsid w:val="007A2E9B"/>
    <w:rsid w:val="007A35E6"/>
    <w:rsid w:val="007A46A1"/>
    <w:rsid w:val="007A4F5A"/>
    <w:rsid w:val="007A580A"/>
    <w:rsid w:val="007A581F"/>
    <w:rsid w:val="007A6639"/>
    <w:rsid w:val="007A6A62"/>
    <w:rsid w:val="007A6B8B"/>
    <w:rsid w:val="007A6D79"/>
    <w:rsid w:val="007A6EB4"/>
    <w:rsid w:val="007B01EF"/>
    <w:rsid w:val="007B23DD"/>
    <w:rsid w:val="007B2E3C"/>
    <w:rsid w:val="007B4047"/>
    <w:rsid w:val="007B42A6"/>
    <w:rsid w:val="007B4337"/>
    <w:rsid w:val="007B543E"/>
    <w:rsid w:val="007B6BDA"/>
    <w:rsid w:val="007B6C4A"/>
    <w:rsid w:val="007B736D"/>
    <w:rsid w:val="007B75FC"/>
    <w:rsid w:val="007B7EB0"/>
    <w:rsid w:val="007B7FD7"/>
    <w:rsid w:val="007C0AA2"/>
    <w:rsid w:val="007C1621"/>
    <w:rsid w:val="007C2175"/>
    <w:rsid w:val="007C4F8D"/>
    <w:rsid w:val="007C66B7"/>
    <w:rsid w:val="007C6E02"/>
    <w:rsid w:val="007C6F00"/>
    <w:rsid w:val="007C75C7"/>
    <w:rsid w:val="007D026F"/>
    <w:rsid w:val="007D5139"/>
    <w:rsid w:val="007D594A"/>
    <w:rsid w:val="007D5E3E"/>
    <w:rsid w:val="007D63E2"/>
    <w:rsid w:val="007D66EF"/>
    <w:rsid w:val="007D6926"/>
    <w:rsid w:val="007D76E0"/>
    <w:rsid w:val="007E06E6"/>
    <w:rsid w:val="007E0892"/>
    <w:rsid w:val="007E0E46"/>
    <w:rsid w:val="007E1C35"/>
    <w:rsid w:val="007E228E"/>
    <w:rsid w:val="007E2E41"/>
    <w:rsid w:val="007E3641"/>
    <w:rsid w:val="007E3DC0"/>
    <w:rsid w:val="007E588C"/>
    <w:rsid w:val="007E58F3"/>
    <w:rsid w:val="007E654E"/>
    <w:rsid w:val="007E6C22"/>
    <w:rsid w:val="007E7032"/>
    <w:rsid w:val="007E7408"/>
    <w:rsid w:val="007E7816"/>
    <w:rsid w:val="007E7E15"/>
    <w:rsid w:val="007F0365"/>
    <w:rsid w:val="007F049A"/>
    <w:rsid w:val="007F0B37"/>
    <w:rsid w:val="007F121B"/>
    <w:rsid w:val="007F4045"/>
    <w:rsid w:val="007F4A9D"/>
    <w:rsid w:val="007F4C17"/>
    <w:rsid w:val="007F60F5"/>
    <w:rsid w:val="007F619C"/>
    <w:rsid w:val="007F6337"/>
    <w:rsid w:val="007F6777"/>
    <w:rsid w:val="007F7822"/>
    <w:rsid w:val="008004DC"/>
    <w:rsid w:val="0080060F"/>
    <w:rsid w:val="008021EF"/>
    <w:rsid w:val="00802949"/>
    <w:rsid w:val="00802BE6"/>
    <w:rsid w:val="0080379D"/>
    <w:rsid w:val="008042EB"/>
    <w:rsid w:val="008045A3"/>
    <w:rsid w:val="008048E1"/>
    <w:rsid w:val="00805310"/>
    <w:rsid w:val="00805D7C"/>
    <w:rsid w:val="00806233"/>
    <w:rsid w:val="00806995"/>
    <w:rsid w:val="0081015C"/>
    <w:rsid w:val="008103CA"/>
    <w:rsid w:val="00810A27"/>
    <w:rsid w:val="0081128E"/>
    <w:rsid w:val="00811F3F"/>
    <w:rsid w:val="0081226D"/>
    <w:rsid w:val="0081266B"/>
    <w:rsid w:val="008131BC"/>
    <w:rsid w:val="0081379B"/>
    <w:rsid w:val="008143C1"/>
    <w:rsid w:val="00814F21"/>
    <w:rsid w:val="008157BD"/>
    <w:rsid w:val="00815E19"/>
    <w:rsid w:val="00815FAD"/>
    <w:rsid w:val="008207E9"/>
    <w:rsid w:val="008214A4"/>
    <w:rsid w:val="008220E0"/>
    <w:rsid w:val="00823540"/>
    <w:rsid w:val="00823F28"/>
    <w:rsid w:val="00825855"/>
    <w:rsid w:val="008260E2"/>
    <w:rsid w:val="0082720D"/>
    <w:rsid w:val="008308DE"/>
    <w:rsid w:val="00831079"/>
    <w:rsid w:val="008314E0"/>
    <w:rsid w:val="008315AB"/>
    <w:rsid w:val="00831852"/>
    <w:rsid w:val="00831FE9"/>
    <w:rsid w:val="008322CA"/>
    <w:rsid w:val="008324E9"/>
    <w:rsid w:val="008326C5"/>
    <w:rsid w:val="008328F6"/>
    <w:rsid w:val="00832F9B"/>
    <w:rsid w:val="0083459B"/>
    <w:rsid w:val="00834AB7"/>
    <w:rsid w:val="00836E30"/>
    <w:rsid w:val="008372BE"/>
    <w:rsid w:val="00837537"/>
    <w:rsid w:val="008377CE"/>
    <w:rsid w:val="00837D9C"/>
    <w:rsid w:val="00837FFB"/>
    <w:rsid w:val="00840515"/>
    <w:rsid w:val="00840A54"/>
    <w:rsid w:val="00840D0D"/>
    <w:rsid w:val="00842DFD"/>
    <w:rsid w:val="00843BD4"/>
    <w:rsid w:val="00843C6F"/>
    <w:rsid w:val="008440C2"/>
    <w:rsid w:val="008444EC"/>
    <w:rsid w:val="00844618"/>
    <w:rsid w:val="00844EE1"/>
    <w:rsid w:val="00845D0E"/>
    <w:rsid w:val="00845DA0"/>
    <w:rsid w:val="008460C8"/>
    <w:rsid w:val="008461EB"/>
    <w:rsid w:val="00846752"/>
    <w:rsid w:val="008468B7"/>
    <w:rsid w:val="00852D32"/>
    <w:rsid w:val="00853756"/>
    <w:rsid w:val="00853F9F"/>
    <w:rsid w:val="008544D1"/>
    <w:rsid w:val="00854703"/>
    <w:rsid w:val="00854B52"/>
    <w:rsid w:val="0085612B"/>
    <w:rsid w:val="0085645E"/>
    <w:rsid w:val="008565C2"/>
    <w:rsid w:val="00856EE6"/>
    <w:rsid w:val="00860C7C"/>
    <w:rsid w:val="0086136B"/>
    <w:rsid w:val="00861E67"/>
    <w:rsid w:val="00862B7E"/>
    <w:rsid w:val="00862D8A"/>
    <w:rsid w:val="008635A8"/>
    <w:rsid w:val="0086389C"/>
    <w:rsid w:val="00863D54"/>
    <w:rsid w:val="00863F4F"/>
    <w:rsid w:val="008649F3"/>
    <w:rsid w:val="008654AE"/>
    <w:rsid w:val="00866659"/>
    <w:rsid w:val="0086667B"/>
    <w:rsid w:val="00866703"/>
    <w:rsid w:val="00866A38"/>
    <w:rsid w:val="00866B1B"/>
    <w:rsid w:val="008672C2"/>
    <w:rsid w:val="00867E84"/>
    <w:rsid w:val="008704AD"/>
    <w:rsid w:val="0087138B"/>
    <w:rsid w:val="00872451"/>
    <w:rsid w:val="008726C6"/>
    <w:rsid w:val="008728F0"/>
    <w:rsid w:val="00872BE6"/>
    <w:rsid w:val="00872E5B"/>
    <w:rsid w:val="00873E2B"/>
    <w:rsid w:val="00874F77"/>
    <w:rsid w:val="00875B2D"/>
    <w:rsid w:val="0087663F"/>
    <w:rsid w:val="008769AB"/>
    <w:rsid w:val="00877475"/>
    <w:rsid w:val="00877CB1"/>
    <w:rsid w:val="00877D4A"/>
    <w:rsid w:val="0088040F"/>
    <w:rsid w:val="008804C1"/>
    <w:rsid w:val="00880EB6"/>
    <w:rsid w:val="00881EFC"/>
    <w:rsid w:val="0088387A"/>
    <w:rsid w:val="00883C5B"/>
    <w:rsid w:val="008841CC"/>
    <w:rsid w:val="00884C2F"/>
    <w:rsid w:val="00884C7E"/>
    <w:rsid w:val="008860AF"/>
    <w:rsid w:val="008863C0"/>
    <w:rsid w:val="0088772F"/>
    <w:rsid w:val="00887AC8"/>
    <w:rsid w:val="00890513"/>
    <w:rsid w:val="00890998"/>
    <w:rsid w:val="00892427"/>
    <w:rsid w:val="0089418B"/>
    <w:rsid w:val="00894457"/>
    <w:rsid w:val="00894A5E"/>
    <w:rsid w:val="0089600C"/>
    <w:rsid w:val="00897366"/>
    <w:rsid w:val="00897DC8"/>
    <w:rsid w:val="008A018B"/>
    <w:rsid w:val="008A1741"/>
    <w:rsid w:val="008A21A0"/>
    <w:rsid w:val="008A2A1F"/>
    <w:rsid w:val="008A2C1A"/>
    <w:rsid w:val="008A2CF4"/>
    <w:rsid w:val="008A38FC"/>
    <w:rsid w:val="008A3AA2"/>
    <w:rsid w:val="008A409A"/>
    <w:rsid w:val="008A4661"/>
    <w:rsid w:val="008A5316"/>
    <w:rsid w:val="008A539F"/>
    <w:rsid w:val="008A5A19"/>
    <w:rsid w:val="008A5F87"/>
    <w:rsid w:val="008A6822"/>
    <w:rsid w:val="008A7476"/>
    <w:rsid w:val="008A7C92"/>
    <w:rsid w:val="008B01DB"/>
    <w:rsid w:val="008B1580"/>
    <w:rsid w:val="008B1B57"/>
    <w:rsid w:val="008B205B"/>
    <w:rsid w:val="008B2AC6"/>
    <w:rsid w:val="008B31B6"/>
    <w:rsid w:val="008B3302"/>
    <w:rsid w:val="008B3B1E"/>
    <w:rsid w:val="008B4670"/>
    <w:rsid w:val="008B4ED4"/>
    <w:rsid w:val="008B5920"/>
    <w:rsid w:val="008B6CC4"/>
    <w:rsid w:val="008B7C88"/>
    <w:rsid w:val="008B7F83"/>
    <w:rsid w:val="008C0CEB"/>
    <w:rsid w:val="008C27B1"/>
    <w:rsid w:val="008C38A0"/>
    <w:rsid w:val="008C4143"/>
    <w:rsid w:val="008C5445"/>
    <w:rsid w:val="008C596A"/>
    <w:rsid w:val="008C661A"/>
    <w:rsid w:val="008C69A7"/>
    <w:rsid w:val="008C6D4A"/>
    <w:rsid w:val="008C6F0E"/>
    <w:rsid w:val="008C7BAF"/>
    <w:rsid w:val="008D03E0"/>
    <w:rsid w:val="008D1CE4"/>
    <w:rsid w:val="008D1FA4"/>
    <w:rsid w:val="008D235F"/>
    <w:rsid w:val="008D32C3"/>
    <w:rsid w:val="008D35C5"/>
    <w:rsid w:val="008D39E0"/>
    <w:rsid w:val="008D48C4"/>
    <w:rsid w:val="008D4A58"/>
    <w:rsid w:val="008D509D"/>
    <w:rsid w:val="008D6126"/>
    <w:rsid w:val="008D7588"/>
    <w:rsid w:val="008D7C21"/>
    <w:rsid w:val="008E0240"/>
    <w:rsid w:val="008E028F"/>
    <w:rsid w:val="008E0660"/>
    <w:rsid w:val="008E1917"/>
    <w:rsid w:val="008E1AC6"/>
    <w:rsid w:val="008E1F43"/>
    <w:rsid w:val="008E3E69"/>
    <w:rsid w:val="008E43D6"/>
    <w:rsid w:val="008E5460"/>
    <w:rsid w:val="008E63A4"/>
    <w:rsid w:val="008E6982"/>
    <w:rsid w:val="008E6A33"/>
    <w:rsid w:val="008E7826"/>
    <w:rsid w:val="008F0A79"/>
    <w:rsid w:val="008F27A6"/>
    <w:rsid w:val="008F2B39"/>
    <w:rsid w:val="008F2B3A"/>
    <w:rsid w:val="008F383B"/>
    <w:rsid w:val="008F3B7A"/>
    <w:rsid w:val="008F736D"/>
    <w:rsid w:val="009014CB"/>
    <w:rsid w:val="009016EA"/>
    <w:rsid w:val="00901E9F"/>
    <w:rsid w:val="00902260"/>
    <w:rsid w:val="00902767"/>
    <w:rsid w:val="00902C48"/>
    <w:rsid w:val="00902CEF"/>
    <w:rsid w:val="00902E34"/>
    <w:rsid w:val="00903638"/>
    <w:rsid w:val="009041B6"/>
    <w:rsid w:val="00904478"/>
    <w:rsid w:val="00904BA5"/>
    <w:rsid w:val="00905B01"/>
    <w:rsid w:val="009075F0"/>
    <w:rsid w:val="00910A4F"/>
    <w:rsid w:val="0091247D"/>
    <w:rsid w:val="009143FB"/>
    <w:rsid w:val="00914CC3"/>
    <w:rsid w:val="00914D43"/>
    <w:rsid w:val="00915E9E"/>
    <w:rsid w:val="009175E8"/>
    <w:rsid w:val="009177E6"/>
    <w:rsid w:val="00917A2D"/>
    <w:rsid w:val="00917B9F"/>
    <w:rsid w:val="00917CEB"/>
    <w:rsid w:val="00917DCA"/>
    <w:rsid w:val="00920A9D"/>
    <w:rsid w:val="0092427A"/>
    <w:rsid w:val="00925316"/>
    <w:rsid w:val="0092599B"/>
    <w:rsid w:val="00927BBD"/>
    <w:rsid w:val="00927C51"/>
    <w:rsid w:val="00927D38"/>
    <w:rsid w:val="009313A3"/>
    <w:rsid w:val="00931425"/>
    <w:rsid w:val="009315A9"/>
    <w:rsid w:val="009323A6"/>
    <w:rsid w:val="009335E6"/>
    <w:rsid w:val="00933B1B"/>
    <w:rsid w:val="00934149"/>
    <w:rsid w:val="00935493"/>
    <w:rsid w:val="00935C4E"/>
    <w:rsid w:val="009365B0"/>
    <w:rsid w:val="00936CF8"/>
    <w:rsid w:val="00937CDF"/>
    <w:rsid w:val="00940694"/>
    <w:rsid w:val="0094087C"/>
    <w:rsid w:val="00940F3F"/>
    <w:rsid w:val="00941C03"/>
    <w:rsid w:val="009429D6"/>
    <w:rsid w:val="00943512"/>
    <w:rsid w:val="00943BFE"/>
    <w:rsid w:val="00943C0D"/>
    <w:rsid w:val="00945E78"/>
    <w:rsid w:val="00946863"/>
    <w:rsid w:val="00946986"/>
    <w:rsid w:val="00947D7D"/>
    <w:rsid w:val="009502E4"/>
    <w:rsid w:val="00951769"/>
    <w:rsid w:val="009517A7"/>
    <w:rsid w:val="00951B7F"/>
    <w:rsid w:val="00951C1D"/>
    <w:rsid w:val="00954026"/>
    <w:rsid w:val="0095416C"/>
    <w:rsid w:val="00955B18"/>
    <w:rsid w:val="00956987"/>
    <w:rsid w:val="00957156"/>
    <w:rsid w:val="009571DB"/>
    <w:rsid w:val="00957593"/>
    <w:rsid w:val="0095761B"/>
    <w:rsid w:val="009608C6"/>
    <w:rsid w:val="00960BE2"/>
    <w:rsid w:val="00960D54"/>
    <w:rsid w:val="00962BCB"/>
    <w:rsid w:val="009635C6"/>
    <w:rsid w:val="00964238"/>
    <w:rsid w:val="00964965"/>
    <w:rsid w:val="00964F3D"/>
    <w:rsid w:val="00964F93"/>
    <w:rsid w:val="009652C1"/>
    <w:rsid w:val="0096581C"/>
    <w:rsid w:val="009658AC"/>
    <w:rsid w:val="0096677C"/>
    <w:rsid w:val="0096716E"/>
    <w:rsid w:val="0096761A"/>
    <w:rsid w:val="00967D2E"/>
    <w:rsid w:val="00967F66"/>
    <w:rsid w:val="00967FB1"/>
    <w:rsid w:val="009703A2"/>
    <w:rsid w:val="009703DE"/>
    <w:rsid w:val="00970D03"/>
    <w:rsid w:val="00970D98"/>
    <w:rsid w:val="00970F08"/>
    <w:rsid w:val="009712E4"/>
    <w:rsid w:val="00971509"/>
    <w:rsid w:val="00971BAE"/>
    <w:rsid w:val="00972516"/>
    <w:rsid w:val="00973EC3"/>
    <w:rsid w:val="009741C8"/>
    <w:rsid w:val="0097482F"/>
    <w:rsid w:val="009759A0"/>
    <w:rsid w:val="00976743"/>
    <w:rsid w:val="00976B52"/>
    <w:rsid w:val="00980506"/>
    <w:rsid w:val="00980E4C"/>
    <w:rsid w:val="009816B1"/>
    <w:rsid w:val="00981C63"/>
    <w:rsid w:val="00981FB5"/>
    <w:rsid w:val="00982599"/>
    <w:rsid w:val="009828DC"/>
    <w:rsid w:val="00983E6D"/>
    <w:rsid w:val="00985FE7"/>
    <w:rsid w:val="009863F2"/>
    <w:rsid w:val="009864CD"/>
    <w:rsid w:val="00986867"/>
    <w:rsid w:val="009876FD"/>
    <w:rsid w:val="00990156"/>
    <w:rsid w:val="00990D40"/>
    <w:rsid w:val="00990D6B"/>
    <w:rsid w:val="00992E9B"/>
    <w:rsid w:val="00994E03"/>
    <w:rsid w:val="00995059"/>
    <w:rsid w:val="009970B5"/>
    <w:rsid w:val="00997781"/>
    <w:rsid w:val="00997FA5"/>
    <w:rsid w:val="009A1D31"/>
    <w:rsid w:val="009A239B"/>
    <w:rsid w:val="009A3A8D"/>
    <w:rsid w:val="009A3BFF"/>
    <w:rsid w:val="009A3ED8"/>
    <w:rsid w:val="009A4458"/>
    <w:rsid w:val="009A4935"/>
    <w:rsid w:val="009A4E44"/>
    <w:rsid w:val="009A5660"/>
    <w:rsid w:val="009A5C45"/>
    <w:rsid w:val="009A6A9F"/>
    <w:rsid w:val="009A6E46"/>
    <w:rsid w:val="009B0593"/>
    <w:rsid w:val="009B1A1C"/>
    <w:rsid w:val="009B32FF"/>
    <w:rsid w:val="009B356D"/>
    <w:rsid w:val="009B4802"/>
    <w:rsid w:val="009B4E99"/>
    <w:rsid w:val="009B517E"/>
    <w:rsid w:val="009B5887"/>
    <w:rsid w:val="009B6422"/>
    <w:rsid w:val="009C069F"/>
    <w:rsid w:val="009C155F"/>
    <w:rsid w:val="009C1AD1"/>
    <w:rsid w:val="009C1DAA"/>
    <w:rsid w:val="009C207D"/>
    <w:rsid w:val="009C2926"/>
    <w:rsid w:val="009C2B5B"/>
    <w:rsid w:val="009C3CDD"/>
    <w:rsid w:val="009C4852"/>
    <w:rsid w:val="009C4CB6"/>
    <w:rsid w:val="009C52BE"/>
    <w:rsid w:val="009C52CF"/>
    <w:rsid w:val="009C555F"/>
    <w:rsid w:val="009C5863"/>
    <w:rsid w:val="009C7A2B"/>
    <w:rsid w:val="009D018A"/>
    <w:rsid w:val="009D0298"/>
    <w:rsid w:val="009D2A5E"/>
    <w:rsid w:val="009D2A78"/>
    <w:rsid w:val="009D3247"/>
    <w:rsid w:val="009D365E"/>
    <w:rsid w:val="009D566A"/>
    <w:rsid w:val="009D669C"/>
    <w:rsid w:val="009D6EEB"/>
    <w:rsid w:val="009E02DF"/>
    <w:rsid w:val="009E05D2"/>
    <w:rsid w:val="009E0A1C"/>
    <w:rsid w:val="009E0AAB"/>
    <w:rsid w:val="009E25D2"/>
    <w:rsid w:val="009E3A42"/>
    <w:rsid w:val="009E3AD5"/>
    <w:rsid w:val="009E3ADC"/>
    <w:rsid w:val="009E5002"/>
    <w:rsid w:val="009E50F6"/>
    <w:rsid w:val="009E51E8"/>
    <w:rsid w:val="009F020E"/>
    <w:rsid w:val="009F0DF4"/>
    <w:rsid w:val="009F0EDD"/>
    <w:rsid w:val="009F181D"/>
    <w:rsid w:val="009F1B8A"/>
    <w:rsid w:val="009F217E"/>
    <w:rsid w:val="009F267E"/>
    <w:rsid w:val="009F272D"/>
    <w:rsid w:val="009F4CDB"/>
    <w:rsid w:val="009F5BFD"/>
    <w:rsid w:val="009F78AE"/>
    <w:rsid w:val="009F7C80"/>
    <w:rsid w:val="00A00B2F"/>
    <w:rsid w:val="00A01641"/>
    <w:rsid w:val="00A02178"/>
    <w:rsid w:val="00A027C5"/>
    <w:rsid w:val="00A033F1"/>
    <w:rsid w:val="00A0361B"/>
    <w:rsid w:val="00A0472C"/>
    <w:rsid w:val="00A04A98"/>
    <w:rsid w:val="00A04CFE"/>
    <w:rsid w:val="00A0708A"/>
    <w:rsid w:val="00A07675"/>
    <w:rsid w:val="00A07ABB"/>
    <w:rsid w:val="00A07BB3"/>
    <w:rsid w:val="00A07DB6"/>
    <w:rsid w:val="00A10AA1"/>
    <w:rsid w:val="00A10E49"/>
    <w:rsid w:val="00A11055"/>
    <w:rsid w:val="00A11093"/>
    <w:rsid w:val="00A13143"/>
    <w:rsid w:val="00A14692"/>
    <w:rsid w:val="00A14C91"/>
    <w:rsid w:val="00A1575E"/>
    <w:rsid w:val="00A15BE4"/>
    <w:rsid w:val="00A166A8"/>
    <w:rsid w:val="00A16EF0"/>
    <w:rsid w:val="00A17FD2"/>
    <w:rsid w:val="00A20E2F"/>
    <w:rsid w:val="00A21792"/>
    <w:rsid w:val="00A2217A"/>
    <w:rsid w:val="00A240DB"/>
    <w:rsid w:val="00A245A0"/>
    <w:rsid w:val="00A24B89"/>
    <w:rsid w:val="00A24BE9"/>
    <w:rsid w:val="00A25990"/>
    <w:rsid w:val="00A2714D"/>
    <w:rsid w:val="00A279BE"/>
    <w:rsid w:val="00A27B44"/>
    <w:rsid w:val="00A309B4"/>
    <w:rsid w:val="00A326EF"/>
    <w:rsid w:val="00A329CF"/>
    <w:rsid w:val="00A34390"/>
    <w:rsid w:val="00A3478B"/>
    <w:rsid w:val="00A34921"/>
    <w:rsid w:val="00A360E2"/>
    <w:rsid w:val="00A36A61"/>
    <w:rsid w:val="00A3713E"/>
    <w:rsid w:val="00A37A8C"/>
    <w:rsid w:val="00A42E5A"/>
    <w:rsid w:val="00A42E80"/>
    <w:rsid w:val="00A43075"/>
    <w:rsid w:val="00A4435F"/>
    <w:rsid w:val="00A45054"/>
    <w:rsid w:val="00A456A6"/>
    <w:rsid w:val="00A45E7F"/>
    <w:rsid w:val="00A47364"/>
    <w:rsid w:val="00A50BEB"/>
    <w:rsid w:val="00A51168"/>
    <w:rsid w:val="00A51347"/>
    <w:rsid w:val="00A515DD"/>
    <w:rsid w:val="00A51815"/>
    <w:rsid w:val="00A53279"/>
    <w:rsid w:val="00A533BA"/>
    <w:rsid w:val="00A544FF"/>
    <w:rsid w:val="00A55267"/>
    <w:rsid w:val="00A56BEA"/>
    <w:rsid w:val="00A5749B"/>
    <w:rsid w:val="00A574F3"/>
    <w:rsid w:val="00A57CD3"/>
    <w:rsid w:val="00A60EEA"/>
    <w:rsid w:val="00A61159"/>
    <w:rsid w:val="00A6130F"/>
    <w:rsid w:val="00A61CAB"/>
    <w:rsid w:val="00A61D7E"/>
    <w:rsid w:val="00A62949"/>
    <w:rsid w:val="00A629D6"/>
    <w:rsid w:val="00A63EC5"/>
    <w:rsid w:val="00A64C9A"/>
    <w:rsid w:val="00A65186"/>
    <w:rsid w:val="00A65635"/>
    <w:rsid w:val="00A65833"/>
    <w:rsid w:val="00A65DFD"/>
    <w:rsid w:val="00A67040"/>
    <w:rsid w:val="00A67056"/>
    <w:rsid w:val="00A71101"/>
    <w:rsid w:val="00A715E1"/>
    <w:rsid w:val="00A7179C"/>
    <w:rsid w:val="00A717E3"/>
    <w:rsid w:val="00A71C3D"/>
    <w:rsid w:val="00A7256E"/>
    <w:rsid w:val="00A7386B"/>
    <w:rsid w:val="00A747BA"/>
    <w:rsid w:val="00A75563"/>
    <w:rsid w:val="00A75F08"/>
    <w:rsid w:val="00A769AC"/>
    <w:rsid w:val="00A76A53"/>
    <w:rsid w:val="00A779C8"/>
    <w:rsid w:val="00A800B3"/>
    <w:rsid w:val="00A80280"/>
    <w:rsid w:val="00A80281"/>
    <w:rsid w:val="00A80A07"/>
    <w:rsid w:val="00A80D4F"/>
    <w:rsid w:val="00A8125E"/>
    <w:rsid w:val="00A8153B"/>
    <w:rsid w:val="00A8170B"/>
    <w:rsid w:val="00A817DC"/>
    <w:rsid w:val="00A81F90"/>
    <w:rsid w:val="00A82586"/>
    <w:rsid w:val="00A82797"/>
    <w:rsid w:val="00A83CA9"/>
    <w:rsid w:val="00A9016E"/>
    <w:rsid w:val="00A90997"/>
    <w:rsid w:val="00A90BA7"/>
    <w:rsid w:val="00A90BE6"/>
    <w:rsid w:val="00A915E0"/>
    <w:rsid w:val="00A917B4"/>
    <w:rsid w:val="00A91BB6"/>
    <w:rsid w:val="00A9249F"/>
    <w:rsid w:val="00A953EF"/>
    <w:rsid w:val="00A968E4"/>
    <w:rsid w:val="00A96CA5"/>
    <w:rsid w:val="00A97ECE"/>
    <w:rsid w:val="00AA00B0"/>
    <w:rsid w:val="00AA10D9"/>
    <w:rsid w:val="00AA1781"/>
    <w:rsid w:val="00AA1A37"/>
    <w:rsid w:val="00AA5327"/>
    <w:rsid w:val="00AB0456"/>
    <w:rsid w:val="00AB15CC"/>
    <w:rsid w:val="00AB186B"/>
    <w:rsid w:val="00AB18C7"/>
    <w:rsid w:val="00AB1E14"/>
    <w:rsid w:val="00AB221A"/>
    <w:rsid w:val="00AB278C"/>
    <w:rsid w:val="00AB431F"/>
    <w:rsid w:val="00AB4449"/>
    <w:rsid w:val="00AB453B"/>
    <w:rsid w:val="00AB4633"/>
    <w:rsid w:val="00AB4C7F"/>
    <w:rsid w:val="00AB59FA"/>
    <w:rsid w:val="00AB5C28"/>
    <w:rsid w:val="00AB5CE4"/>
    <w:rsid w:val="00AB6EBE"/>
    <w:rsid w:val="00AB7069"/>
    <w:rsid w:val="00AB7C16"/>
    <w:rsid w:val="00AC1165"/>
    <w:rsid w:val="00AC17B9"/>
    <w:rsid w:val="00AC1915"/>
    <w:rsid w:val="00AC20EB"/>
    <w:rsid w:val="00AC31FA"/>
    <w:rsid w:val="00AC335C"/>
    <w:rsid w:val="00AC469B"/>
    <w:rsid w:val="00AC5325"/>
    <w:rsid w:val="00AC7E37"/>
    <w:rsid w:val="00AD1225"/>
    <w:rsid w:val="00AD1459"/>
    <w:rsid w:val="00AD288D"/>
    <w:rsid w:val="00AD2CFE"/>
    <w:rsid w:val="00AD3237"/>
    <w:rsid w:val="00AD3D01"/>
    <w:rsid w:val="00AD59FB"/>
    <w:rsid w:val="00AD5A6D"/>
    <w:rsid w:val="00AD7F4B"/>
    <w:rsid w:val="00AE08F6"/>
    <w:rsid w:val="00AE1D06"/>
    <w:rsid w:val="00AE1F49"/>
    <w:rsid w:val="00AE2480"/>
    <w:rsid w:val="00AE2508"/>
    <w:rsid w:val="00AE3A7D"/>
    <w:rsid w:val="00AE5F47"/>
    <w:rsid w:val="00AE6476"/>
    <w:rsid w:val="00AE6CE6"/>
    <w:rsid w:val="00AE7749"/>
    <w:rsid w:val="00AF0EAC"/>
    <w:rsid w:val="00AF26F1"/>
    <w:rsid w:val="00AF2AE5"/>
    <w:rsid w:val="00AF4B92"/>
    <w:rsid w:val="00AF5517"/>
    <w:rsid w:val="00AF5613"/>
    <w:rsid w:val="00AF6602"/>
    <w:rsid w:val="00AF678E"/>
    <w:rsid w:val="00AF6BB2"/>
    <w:rsid w:val="00AF7209"/>
    <w:rsid w:val="00AF7335"/>
    <w:rsid w:val="00AF79F2"/>
    <w:rsid w:val="00AF7ADD"/>
    <w:rsid w:val="00AF7D0F"/>
    <w:rsid w:val="00B00464"/>
    <w:rsid w:val="00B009C3"/>
    <w:rsid w:val="00B00CDD"/>
    <w:rsid w:val="00B010A2"/>
    <w:rsid w:val="00B011AC"/>
    <w:rsid w:val="00B01AB9"/>
    <w:rsid w:val="00B02293"/>
    <w:rsid w:val="00B041C9"/>
    <w:rsid w:val="00B04543"/>
    <w:rsid w:val="00B04ED1"/>
    <w:rsid w:val="00B054B8"/>
    <w:rsid w:val="00B055BF"/>
    <w:rsid w:val="00B05F6E"/>
    <w:rsid w:val="00B0634A"/>
    <w:rsid w:val="00B065FB"/>
    <w:rsid w:val="00B06613"/>
    <w:rsid w:val="00B069B8"/>
    <w:rsid w:val="00B06B13"/>
    <w:rsid w:val="00B06B40"/>
    <w:rsid w:val="00B07C1E"/>
    <w:rsid w:val="00B11228"/>
    <w:rsid w:val="00B114A1"/>
    <w:rsid w:val="00B11EAC"/>
    <w:rsid w:val="00B12E99"/>
    <w:rsid w:val="00B1358E"/>
    <w:rsid w:val="00B139F2"/>
    <w:rsid w:val="00B16657"/>
    <w:rsid w:val="00B20748"/>
    <w:rsid w:val="00B20997"/>
    <w:rsid w:val="00B20F7C"/>
    <w:rsid w:val="00B20FFD"/>
    <w:rsid w:val="00B2117C"/>
    <w:rsid w:val="00B22112"/>
    <w:rsid w:val="00B22447"/>
    <w:rsid w:val="00B23B35"/>
    <w:rsid w:val="00B24999"/>
    <w:rsid w:val="00B2569A"/>
    <w:rsid w:val="00B25902"/>
    <w:rsid w:val="00B25E68"/>
    <w:rsid w:val="00B27182"/>
    <w:rsid w:val="00B27653"/>
    <w:rsid w:val="00B277F6"/>
    <w:rsid w:val="00B27D08"/>
    <w:rsid w:val="00B27F23"/>
    <w:rsid w:val="00B301F3"/>
    <w:rsid w:val="00B3110F"/>
    <w:rsid w:val="00B31336"/>
    <w:rsid w:val="00B316CE"/>
    <w:rsid w:val="00B31CEA"/>
    <w:rsid w:val="00B31E84"/>
    <w:rsid w:val="00B323C4"/>
    <w:rsid w:val="00B32B96"/>
    <w:rsid w:val="00B335A5"/>
    <w:rsid w:val="00B3361C"/>
    <w:rsid w:val="00B336EE"/>
    <w:rsid w:val="00B3423A"/>
    <w:rsid w:val="00B34CEA"/>
    <w:rsid w:val="00B350D0"/>
    <w:rsid w:val="00B35324"/>
    <w:rsid w:val="00B355F0"/>
    <w:rsid w:val="00B360D9"/>
    <w:rsid w:val="00B372AE"/>
    <w:rsid w:val="00B375C1"/>
    <w:rsid w:val="00B37BDF"/>
    <w:rsid w:val="00B405FD"/>
    <w:rsid w:val="00B41225"/>
    <w:rsid w:val="00B417CA"/>
    <w:rsid w:val="00B41EE3"/>
    <w:rsid w:val="00B422B3"/>
    <w:rsid w:val="00B423F3"/>
    <w:rsid w:val="00B4241B"/>
    <w:rsid w:val="00B42436"/>
    <w:rsid w:val="00B43409"/>
    <w:rsid w:val="00B434EA"/>
    <w:rsid w:val="00B435CE"/>
    <w:rsid w:val="00B4400D"/>
    <w:rsid w:val="00B44DF5"/>
    <w:rsid w:val="00B4660B"/>
    <w:rsid w:val="00B46884"/>
    <w:rsid w:val="00B4735F"/>
    <w:rsid w:val="00B507B3"/>
    <w:rsid w:val="00B51BE9"/>
    <w:rsid w:val="00B51C69"/>
    <w:rsid w:val="00B52F56"/>
    <w:rsid w:val="00B539E7"/>
    <w:rsid w:val="00B54D7D"/>
    <w:rsid w:val="00B55358"/>
    <w:rsid w:val="00B554CC"/>
    <w:rsid w:val="00B573FD"/>
    <w:rsid w:val="00B574D6"/>
    <w:rsid w:val="00B61124"/>
    <w:rsid w:val="00B62077"/>
    <w:rsid w:val="00B63CAD"/>
    <w:rsid w:val="00B64D74"/>
    <w:rsid w:val="00B65E7D"/>
    <w:rsid w:val="00B66635"/>
    <w:rsid w:val="00B67A89"/>
    <w:rsid w:val="00B67B9C"/>
    <w:rsid w:val="00B70A34"/>
    <w:rsid w:val="00B70AE3"/>
    <w:rsid w:val="00B71F75"/>
    <w:rsid w:val="00B72257"/>
    <w:rsid w:val="00B72E0A"/>
    <w:rsid w:val="00B736B9"/>
    <w:rsid w:val="00B74046"/>
    <w:rsid w:val="00B74C76"/>
    <w:rsid w:val="00B7688B"/>
    <w:rsid w:val="00B77470"/>
    <w:rsid w:val="00B7780C"/>
    <w:rsid w:val="00B77E0A"/>
    <w:rsid w:val="00B80467"/>
    <w:rsid w:val="00B80C2A"/>
    <w:rsid w:val="00B80D7E"/>
    <w:rsid w:val="00B82294"/>
    <w:rsid w:val="00B82546"/>
    <w:rsid w:val="00B83046"/>
    <w:rsid w:val="00B833DE"/>
    <w:rsid w:val="00B8438A"/>
    <w:rsid w:val="00B849CC"/>
    <w:rsid w:val="00B854AB"/>
    <w:rsid w:val="00B85E7D"/>
    <w:rsid w:val="00B861E9"/>
    <w:rsid w:val="00B864E0"/>
    <w:rsid w:val="00B90558"/>
    <w:rsid w:val="00B9236A"/>
    <w:rsid w:val="00B92D07"/>
    <w:rsid w:val="00B93FED"/>
    <w:rsid w:val="00B94A45"/>
    <w:rsid w:val="00B95660"/>
    <w:rsid w:val="00B95726"/>
    <w:rsid w:val="00B96899"/>
    <w:rsid w:val="00B970EA"/>
    <w:rsid w:val="00B9752B"/>
    <w:rsid w:val="00BA01D9"/>
    <w:rsid w:val="00BA023D"/>
    <w:rsid w:val="00BA1099"/>
    <w:rsid w:val="00BA1106"/>
    <w:rsid w:val="00BA166C"/>
    <w:rsid w:val="00BA3CBC"/>
    <w:rsid w:val="00BA3FE3"/>
    <w:rsid w:val="00BA6226"/>
    <w:rsid w:val="00BA6582"/>
    <w:rsid w:val="00BA6AE7"/>
    <w:rsid w:val="00BA6C79"/>
    <w:rsid w:val="00BA6EBB"/>
    <w:rsid w:val="00BA7391"/>
    <w:rsid w:val="00BB0085"/>
    <w:rsid w:val="00BB05AF"/>
    <w:rsid w:val="00BB10F7"/>
    <w:rsid w:val="00BB2D03"/>
    <w:rsid w:val="00BB2DAC"/>
    <w:rsid w:val="00BB342F"/>
    <w:rsid w:val="00BB3CF8"/>
    <w:rsid w:val="00BB4C48"/>
    <w:rsid w:val="00BB58A9"/>
    <w:rsid w:val="00BB5AD2"/>
    <w:rsid w:val="00BB5D8F"/>
    <w:rsid w:val="00BB5F13"/>
    <w:rsid w:val="00BC0C57"/>
    <w:rsid w:val="00BC11E8"/>
    <w:rsid w:val="00BC1550"/>
    <w:rsid w:val="00BC22A8"/>
    <w:rsid w:val="00BC2376"/>
    <w:rsid w:val="00BC3DEF"/>
    <w:rsid w:val="00BC43BE"/>
    <w:rsid w:val="00BC4A12"/>
    <w:rsid w:val="00BC4F38"/>
    <w:rsid w:val="00BC4FEE"/>
    <w:rsid w:val="00BC6FB9"/>
    <w:rsid w:val="00BD1861"/>
    <w:rsid w:val="00BD1C56"/>
    <w:rsid w:val="00BD1D01"/>
    <w:rsid w:val="00BD1E9C"/>
    <w:rsid w:val="00BD3C5B"/>
    <w:rsid w:val="00BD42C2"/>
    <w:rsid w:val="00BD43A1"/>
    <w:rsid w:val="00BD44A7"/>
    <w:rsid w:val="00BD47FB"/>
    <w:rsid w:val="00BD50D3"/>
    <w:rsid w:val="00BD5523"/>
    <w:rsid w:val="00BD5DA5"/>
    <w:rsid w:val="00BD68A1"/>
    <w:rsid w:val="00BD6C83"/>
    <w:rsid w:val="00BD6DD5"/>
    <w:rsid w:val="00BD6FE1"/>
    <w:rsid w:val="00BD7925"/>
    <w:rsid w:val="00BE2237"/>
    <w:rsid w:val="00BE2431"/>
    <w:rsid w:val="00BE24B1"/>
    <w:rsid w:val="00BE3801"/>
    <w:rsid w:val="00BE3C6D"/>
    <w:rsid w:val="00BE423A"/>
    <w:rsid w:val="00BE5A3B"/>
    <w:rsid w:val="00BE600D"/>
    <w:rsid w:val="00BE60D9"/>
    <w:rsid w:val="00BE6A46"/>
    <w:rsid w:val="00BE6E09"/>
    <w:rsid w:val="00BE6F45"/>
    <w:rsid w:val="00BE7166"/>
    <w:rsid w:val="00BF0137"/>
    <w:rsid w:val="00BF04A2"/>
    <w:rsid w:val="00BF13F9"/>
    <w:rsid w:val="00BF16C1"/>
    <w:rsid w:val="00BF1EBD"/>
    <w:rsid w:val="00BF20A5"/>
    <w:rsid w:val="00BF3D9E"/>
    <w:rsid w:val="00BF44DF"/>
    <w:rsid w:val="00BF4672"/>
    <w:rsid w:val="00BF5D32"/>
    <w:rsid w:val="00BF5E7B"/>
    <w:rsid w:val="00BF5EC3"/>
    <w:rsid w:val="00BF618C"/>
    <w:rsid w:val="00BF61DD"/>
    <w:rsid w:val="00BF62B3"/>
    <w:rsid w:val="00BF64EC"/>
    <w:rsid w:val="00BF6E2E"/>
    <w:rsid w:val="00C003B1"/>
    <w:rsid w:val="00C00BD6"/>
    <w:rsid w:val="00C01226"/>
    <w:rsid w:val="00C0171E"/>
    <w:rsid w:val="00C01729"/>
    <w:rsid w:val="00C023AA"/>
    <w:rsid w:val="00C025F6"/>
    <w:rsid w:val="00C0265E"/>
    <w:rsid w:val="00C02A01"/>
    <w:rsid w:val="00C03174"/>
    <w:rsid w:val="00C03A01"/>
    <w:rsid w:val="00C04966"/>
    <w:rsid w:val="00C0497B"/>
    <w:rsid w:val="00C04BAC"/>
    <w:rsid w:val="00C064BE"/>
    <w:rsid w:val="00C10317"/>
    <w:rsid w:val="00C10380"/>
    <w:rsid w:val="00C10D7C"/>
    <w:rsid w:val="00C115B3"/>
    <w:rsid w:val="00C11D76"/>
    <w:rsid w:val="00C11EB1"/>
    <w:rsid w:val="00C12AC7"/>
    <w:rsid w:val="00C12C4B"/>
    <w:rsid w:val="00C130F6"/>
    <w:rsid w:val="00C13423"/>
    <w:rsid w:val="00C137AB"/>
    <w:rsid w:val="00C14088"/>
    <w:rsid w:val="00C1431B"/>
    <w:rsid w:val="00C16025"/>
    <w:rsid w:val="00C162BD"/>
    <w:rsid w:val="00C165B7"/>
    <w:rsid w:val="00C16BC1"/>
    <w:rsid w:val="00C17121"/>
    <w:rsid w:val="00C17402"/>
    <w:rsid w:val="00C20132"/>
    <w:rsid w:val="00C20C2D"/>
    <w:rsid w:val="00C21A8F"/>
    <w:rsid w:val="00C21D0F"/>
    <w:rsid w:val="00C2229F"/>
    <w:rsid w:val="00C23CE0"/>
    <w:rsid w:val="00C2496B"/>
    <w:rsid w:val="00C24EC9"/>
    <w:rsid w:val="00C25822"/>
    <w:rsid w:val="00C26040"/>
    <w:rsid w:val="00C274F0"/>
    <w:rsid w:val="00C2772B"/>
    <w:rsid w:val="00C30424"/>
    <w:rsid w:val="00C31E8E"/>
    <w:rsid w:val="00C3224F"/>
    <w:rsid w:val="00C32DD6"/>
    <w:rsid w:val="00C33822"/>
    <w:rsid w:val="00C345DF"/>
    <w:rsid w:val="00C34A04"/>
    <w:rsid w:val="00C3557A"/>
    <w:rsid w:val="00C358D7"/>
    <w:rsid w:val="00C35C68"/>
    <w:rsid w:val="00C364C3"/>
    <w:rsid w:val="00C3680B"/>
    <w:rsid w:val="00C41350"/>
    <w:rsid w:val="00C41DF5"/>
    <w:rsid w:val="00C43348"/>
    <w:rsid w:val="00C4499E"/>
    <w:rsid w:val="00C44DC0"/>
    <w:rsid w:val="00C44F48"/>
    <w:rsid w:val="00C45B9F"/>
    <w:rsid w:val="00C4690F"/>
    <w:rsid w:val="00C46C81"/>
    <w:rsid w:val="00C46E9A"/>
    <w:rsid w:val="00C47296"/>
    <w:rsid w:val="00C50B1E"/>
    <w:rsid w:val="00C529BA"/>
    <w:rsid w:val="00C52D09"/>
    <w:rsid w:val="00C5330B"/>
    <w:rsid w:val="00C535E0"/>
    <w:rsid w:val="00C544D6"/>
    <w:rsid w:val="00C549A2"/>
    <w:rsid w:val="00C54B43"/>
    <w:rsid w:val="00C553E2"/>
    <w:rsid w:val="00C5573B"/>
    <w:rsid w:val="00C57096"/>
    <w:rsid w:val="00C5764D"/>
    <w:rsid w:val="00C6054E"/>
    <w:rsid w:val="00C6079D"/>
    <w:rsid w:val="00C60F71"/>
    <w:rsid w:val="00C60FBA"/>
    <w:rsid w:val="00C61080"/>
    <w:rsid w:val="00C612B8"/>
    <w:rsid w:val="00C61AC4"/>
    <w:rsid w:val="00C62424"/>
    <w:rsid w:val="00C626B2"/>
    <w:rsid w:val="00C62726"/>
    <w:rsid w:val="00C62C03"/>
    <w:rsid w:val="00C631B7"/>
    <w:rsid w:val="00C63F7D"/>
    <w:rsid w:val="00C64E1C"/>
    <w:rsid w:val="00C6532D"/>
    <w:rsid w:val="00C65E02"/>
    <w:rsid w:val="00C66F46"/>
    <w:rsid w:val="00C672A8"/>
    <w:rsid w:val="00C7001C"/>
    <w:rsid w:val="00C70EC4"/>
    <w:rsid w:val="00C7155F"/>
    <w:rsid w:val="00C72C3B"/>
    <w:rsid w:val="00C730D5"/>
    <w:rsid w:val="00C73531"/>
    <w:rsid w:val="00C741BA"/>
    <w:rsid w:val="00C74F64"/>
    <w:rsid w:val="00C75AA5"/>
    <w:rsid w:val="00C760AF"/>
    <w:rsid w:val="00C778A3"/>
    <w:rsid w:val="00C81505"/>
    <w:rsid w:val="00C81745"/>
    <w:rsid w:val="00C817EF"/>
    <w:rsid w:val="00C81A28"/>
    <w:rsid w:val="00C81E83"/>
    <w:rsid w:val="00C83D5A"/>
    <w:rsid w:val="00C849E3"/>
    <w:rsid w:val="00C85172"/>
    <w:rsid w:val="00C8568B"/>
    <w:rsid w:val="00C86267"/>
    <w:rsid w:val="00C8643A"/>
    <w:rsid w:val="00C86E12"/>
    <w:rsid w:val="00C86F2E"/>
    <w:rsid w:val="00C8797F"/>
    <w:rsid w:val="00C87C9E"/>
    <w:rsid w:val="00C87DE7"/>
    <w:rsid w:val="00C900E5"/>
    <w:rsid w:val="00C90360"/>
    <w:rsid w:val="00C907B4"/>
    <w:rsid w:val="00C909B4"/>
    <w:rsid w:val="00C90B00"/>
    <w:rsid w:val="00C913AD"/>
    <w:rsid w:val="00C9211F"/>
    <w:rsid w:val="00C926EA"/>
    <w:rsid w:val="00C92853"/>
    <w:rsid w:val="00C92A1F"/>
    <w:rsid w:val="00C92BB4"/>
    <w:rsid w:val="00C9410E"/>
    <w:rsid w:val="00C945B2"/>
    <w:rsid w:val="00C94A49"/>
    <w:rsid w:val="00C94CA9"/>
    <w:rsid w:val="00C94F94"/>
    <w:rsid w:val="00C95A3C"/>
    <w:rsid w:val="00C96A50"/>
    <w:rsid w:val="00C978EC"/>
    <w:rsid w:val="00CA0D52"/>
    <w:rsid w:val="00CA120C"/>
    <w:rsid w:val="00CA195C"/>
    <w:rsid w:val="00CA2409"/>
    <w:rsid w:val="00CA28AB"/>
    <w:rsid w:val="00CA29E0"/>
    <w:rsid w:val="00CA3E2B"/>
    <w:rsid w:val="00CA43CF"/>
    <w:rsid w:val="00CA4F29"/>
    <w:rsid w:val="00CA531E"/>
    <w:rsid w:val="00CA5B8B"/>
    <w:rsid w:val="00CA5D2E"/>
    <w:rsid w:val="00CA62C0"/>
    <w:rsid w:val="00CA6F10"/>
    <w:rsid w:val="00CB0357"/>
    <w:rsid w:val="00CB1DAA"/>
    <w:rsid w:val="00CB1FEF"/>
    <w:rsid w:val="00CB20AF"/>
    <w:rsid w:val="00CB2D98"/>
    <w:rsid w:val="00CB3386"/>
    <w:rsid w:val="00CB3D27"/>
    <w:rsid w:val="00CB3EE9"/>
    <w:rsid w:val="00CB4D14"/>
    <w:rsid w:val="00CB57B6"/>
    <w:rsid w:val="00CB57CB"/>
    <w:rsid w:val="00CB61DE"/>
    <w:rsid w:val="00CB6F0C"/>
    <w:rsid w:val="00CB7836"/>
    <w:rsid w:val="00CB7C2E"/>
    <w:rsid w:val="00CB7F2C"/>
    <w:rsid w:val="00CC09BB"/>
    <w:rsid w:val="00CC10F4"/>
    <w:rsid w:val="00CC1A92"/>
    <w:rsid w:val="00CC1DE7"/>
    <w:rsid w:val="00CC2AE1"/>
    <w:rsid w:val="00CC343F"/>
    <w:rsid w:val="00CC3EB2"/>
    <w:rsid w:val="00CC484B"/>
    <w:rsid w:val="00CC4C32"/>
    <w:rsid w:val="00CC4F90"/>
    <w:rsid w:val="00CC6000"/>
    <w:rsid w:val="00CC6D03"/>
    <w:rsid w:val="00CC6F3D"/>
    <w:rsid w:val="00CC743B"/>
    <w:rsid w:val="00CC7BFD"/>
    <w:rsid w:val="00CD027E"/>
    <w:rsid w:val="00CD09C8"/>
    <w:rsid w:val="00CD1663"/>
    <w:rsid w:val="00CD171E"/>
    <w:rsid w:val="00CD289C"/>
    <w:rsid w:val="00CD2CCD"/>
    <w:rsid w:val="00CD2EA1"/>
    <w:rsid w:val="00CE018A"/>
    <w:rsid w:val="00CE0523"/>
    <w:rsid w:val="00CE079B"/>
    <w:rsid w:val="00CE0D25"/>
    <w:rsid w:val="00CE2846"/>
    <w:rsid w:val="00CE37A8"/>
    <w:rsid w:val="00CE4562"/>
    <w:rsid w:val="00CE509E"/>
    <w:rsid w:val="00CE5877"/>
    <w:rsid w:val="00CE6AF1"/>
    <w:rsid w:val="00CE700B"/>
    <w:rsid w:val="00CE79BF"/>
    <w:rsid w:val="00CF02C2"/>
    <w:rsid w:val="00CF08B9"/>
    <w:rsid w:val="00CF2050"/>
    <w:rsid w:val="00CF2940"/>
    <w:rsid w:val="00CF3DFC"/>
    <w:rsid w:val="00CF6A2C"/>
    <w:rsid w:val="00CF6A7D"/>
    <w:rsid w:val="00CF6DB2"/>
    <w:rsid w:val="00CF6F83"/>
    <w:rsid w:val="00CF73FB"/>
    <w:rsid w:val="00CF7C0F"/>
    <w:rsid w:val="00D000C1"/>
    <w:rsid w:val="00D00CCD"/>
    <w:rsid w:val="00D0190B"/>
    <w:rsid w:val="00D024F5"/>
    <w:rsid w:val="00D02D99"/>
    <w:rsid w:val="00D0462C"/>
    <w:rsid w:val="00D04B09"/>
    <w:rsid w:val="00D04BB8"/>
    <w:rsid w:val="00D05022"/>
    <w:rsid w:val="00D0619A"/>
    <w:rsid w:val="00D062FF"/>
    <w:rsid w:val="00D06D28"/>
    <w:rsid w:val="00D071B9"/>
    <w:rsid w:val="00D10C95"/>
    <w:rsid w:val="00D1146F"/>
    <w:rsid w:val="00D11D62"/>
    <w:rsid w:val="00D12644"/>
    <w:rsid w:val="00D1296C"/>
    <w:rsid w:val="00D1312B"/>
    <w:rsid w:val="00D146BB"/>
    <w:rsid w:val="00D148D7"/>
    <w:rsid w:val="00D150A4"/>
    <w:rsid w:val="00D15223"/>
    <w:rsid w:val="00D15C77"/>
    <w:rsid w:val="00D15D15"/>
    <w:rsid w:val="00D16EE4"/>
    <w:rsid w:val="00D205DC"/>
    <w:rsid w:val="00D208C3"/>
    <w:rsid w:val="00D20CB9"/>
    <w:rsid w:val="00D22639"/>
    <w:rsid w:val="00D22EA0"/>
    <w:rsid w:val="00D23009"/>
    <w:rsid w:val="00D235C2"/>
    <w:rsid w:val="00D24BA6"/>
    <w:rsid w:val="00D252B4"/>
    <w:rsid w:val="00D27842"/>
    <w:rsid w:val="00D30C39"/>
    <w:rsid w:val="00D30E68"/>
    <w:rsid w:val="00D31B6E"/>
    <w:rsid w:val="00D31CD6"/>
    <w:rsid w:val="00D32612"/>
    <w:rsid w:val="00D32D2F"/>
    <w:rsid w:val="00D32D3B"/>
    <w:rsid w:val="00D331B2"/>
    <w:rsid w:val="00D33587"/>
    <w:rsid w:val="00D3539E"/>
    <w:rsid w:val="00D370B9"/>
    <w:rsid w:val="00D37FD6"/>
    <w:rsid w:val="00D40500"/>
    <w:rsid w:val="00D40842"/>
    <w:rsid w:val="00D40B25"/>
    <w:rsid w:val="00D41159"/>
    <w:rsid w:val="00D41404"/>
    <w:rsid w:val="00D420F4"/>
    <w:rsid w:val="00D427E5"/>
    <w:rsid w:val="00D42DE3"/>
    <w:rsid w:val="00D42F8D"/>
    <w:rsid w:val="00D44E93"/>
    <w:rsid w:val="00D45C38"/>
    <w:rsid w:val="00D47E07"/>
    <w:rsid w:val="00D47F2E"/>
    <w:rsid w:val="00D50CDC"/>
    <w:rsid w:val="00D50CF1"/>
    <w:rsid w:val="00D50EB5"/>
    <w:rsid w:val="00D52C96"/>
    <w:rsid w:val="00D52CDB"/>
    <w:rsid w:val="00D530B5"/>
    <w:rsid w:val="00D535A2"/>
    <w:rsid w:val="00D5388B"/>
    <w:rsid w:val="00D544F1"/>
    <w:rsid w:val="00D545CB"/>
    <w:rsid w:val="00D557CD"/>
    <w:rsid w:val="00D56380"/>
    <w:rsid w:val="00D5674B"/>
    <w:rsid w:val="00D56FEC"/>
    <w:rsid w:val="00D61374"/>
    <w:rsid w:val="00D61B65"/>
    <w:rsid w:val="00D61BB2"/>
    <w:rsid w:val="00D627D2"/>
    <w:rsid w:val="00D63FED"/>
    <w:rsid w:val="00D6453E"/>
    <w:rsid w:val="00D64923"/>
    <w:rsid w:val="00D64EE0"/>
    <w:rsid w:val="00D64F4A"/>
    <w:rsid w:val="00D6545F"/>
    <w:rsid w:val="00D66EC8"/>
    <w:rsid w:val="00D70219"/>
    <w:rsid w:val="00D70884"/>
    <w:rsid w:val="00D714D0"/>
    <w:rsid w:val="00D71577"/>
    <w:rsid w:val="00D7168E"/>
    <w:rsid w:val="00D719C8"/>
    <w:rsid w:val="00D71A43"/>
    <w:rsid w:val="00D7342C"/>
    <w:rsid w:val="00D73F57"/>
    <w:rsid w:val="00D745A7"/>
    <w:rsid w:val="00D75393"/>
    <w:rsid w:val="00D75A19"/>
    <w:rsid w:val="00D75B63"/>
    <w:rsid w:val="00D75D49"/>
    <w:rsid w:val="00D75ED8"/>
    <w:rsid w:val="00D762E5"/>
    <w:rsid w:val="00D7652F"/>
    <w:rsid w:val="00D76701"/>
    <w:rsid w:val="00D76C3F"/>
    <w:rsid w:val="00D76CF6"/>
    <w:rsid w:val="00D76D27"/>
    <w:rsid w:val="00D802FB"/>
    <w:rsid w:val="00D8054B"/>
    <w:rsid w:val="00D805DF"/>
    <w:rsid w:val="00D80901"/>
    <w:rsid w:val="00D80C3D"/>
    <w:rsid w:val="00D81CCC"/>
    <w:rsid w:val="00D827AB"/>
    <w:rsid w:val="00D82916"/>
    <w:rsid w:val="00D82C2E"/>
    <w:rsid w:val="00D84A46"/>
    <w:rsid w:val="00D85177"/>
    <w:rsid w:val="00D8559A"/>
    <w:rsid w:val="00D8691A"/>
    <w:rsid w:val="00D86F99"/>
    <w:rsid w:val="00D87418"/>
    <w:rsid w:val="00D90255"/>
    <w:rsid w:val="00D90609"/>
    <w:rsid w:val="00D90EE4"/>
    <w:rsid w:val="00D92021"/>
    <w:rsid w:val="00D946FF"/>
    <w:rsid w:val="00D95A6D"/>
    <w:rsid w:val="00D95B23"/>
    <w:rsid w:val="00D95CAC"/>
    <w:rsid w:val="00D964B1"/>
    <w:rsid w:val="00D97058"/>
    <w:rsid w:val="00D97B57"/>
    <w:rsid w:val="00DA0E8B"/>
    <w:rsid w:val="00DA0E8C"/>
    <w:rsid w:val="00DA1743"/>
    <w:rsid w:val="00DA1E0F"/>
    <w:rsid w:val="00DA21D7"/>
    <w:rsid w:val="00DA237A"/>
    <w:rsid w:val="00DA28E9"/>
    <w:rsid w:val="00DA33DA"/>
    <w:rsid w:val="00DA3A7F"/>
    <w:rsid w:val="00DA4403"/>
    <w:rsid w:val="00DA462B"/>
    <w:rsid w:val="00DA4D20"/>
    <w:rsid w:val="00DA563D"/>
    <w:rsid w:val="00DA5F77"/>
    <w:rsid w:val="00DA625A"/>
    <w:rsid w:val="00DA7714"/>
    <w:rsid w:val="00DA776A"/>
    <w:rsid w:val="00DB107E"/>
    <w:rsid w:val="00DB190D"/>
    <w:rsid w:val="00DB1B9B"/>
    <w:rsid w:val="00DB2709"/>
    <w:rsid w:val="00DB27A5"/>
    <w:rsid w:val="00DB3A8C"/>
    <w:rsid w:val="00DB720A"/>
    <w:rsid w:val="00DC2A01"/>
    <w:rsid w:val="00DC2C46"/>
    <w:rsid w:val="00DC2D22"/>
    <w:rsid w:val="00DC3D68"/>
    <w:rsid w:val="00DC447F"/>
    <w:rsid w:val="00DC4DAC"/>
    <w:rsid w:val="00DC4FA9"/>
    <w:rsid w:val="00DC57C3"/>
    <w:rsid w:val="00DC5AFD"/>
    <w:rsid w:val="00DC5C51"/>
    <w:rsid w:val="00DC5F59"/>
    <w:rsid w:val="00DC666D"/>
    <w:rsid w:val="00DC6CBC"/>
    <w:rsid w:val="00DC79D5"/>
    <w:rsid w:val="00DD0DE2"/>
    <w:rsid w:val="00DD108C"/>
    <w:rsid w:val="00DD17F4"/>
    <w:rsid w:val="00DD1B73"/>
    <w:rsid w:val="00DD1CC5"/>
    <w:rsid w:val="00DD3425"/>
    <w:rsid w:val="00DD3675"/>
    <w:rsid w:val="00DD37DA"/>
    <w:rsid w:val="00DD434D"/>
    <w:rsid w:val="00DD4B70"/>
    <w:rsid w:val="00DD6A81"/>
    <w:rsid w:val="00DD728D"/>
    <w:rsid w:val="00DD7659"/>
    <w:rsid w:val="00DD77FA"/>
    <w:rsid w:val="00DD79F3"/>
    <w:rsid w:val="00DE2D43"/>
    <w:rsid w:val="00DE3ED8"/>
    <w:rsid w:val="00DE4469"/>
    <w:rsid w:val="00DE56C2"/>
    <w:rsid w:val="00DE5889"/>
    <w:rsid w:val="00DE5DB6"/>
    <w:rsid w:val="00DE7C20"/>
    <w:rsid w:val="00DE7C33"/>
    <w:rsid w:val="00DF06C6"/>
    <w:rsid w:val="00DF1E79"/>
    <w:rsid w:val="00DF2823"/>
    <w:rsid w:val="00DF2A68"/>
    <w:rsid w:val="00DF2B69"/>
    <w:rsid w:val="00DF34B6"/>
    <w:rsid w:val="00DF3502"/>
    <w:rsid w:val="00DF3C1C"/>
    <w:rsid w:val="00DF40B7"/>
    <w:rsid w:val="00DF5429"/>
    <w:rsid w:val="00DF5CC8"/>
    <w:rsid w:val="00DF6A3C"/>
    <w:rsid w:val="00E0035D"/>
    <w:rsid w:val="00E00EB7"/>
    <w:rsid w:val="00E01ADD"/>
    <w:rsid w:val="00E03309"/>
    <w:rsid w:val="00E04D2C"/>
    <w:rsid w:val="00E0792E"/>
    <w:rsid w:val="00E07E6B"/>
    <w:rsid w:val="00E07F55"/>
    <w:rsid w:val="00E106ED"/>
    <w:rsid w:val="00E10835"/>
    <w:rsid w:val="00E10AB6"/>
    <w:rsid w:val="00E10F87"/>
    <w:rsid w:val="00E11C53"/>
    <w:rsid w:val="00E11EB0"/>
    <w:rsid w:val="00E13BA5"/>
    <w:rsid w:val="00E13BB1"/>
    <w:rsid w:val="00E14329"/>
    <w:rsid w:val="00E14734"/>
    <w:rsid w:val="00E1485D"/>
    <w:rsid w:val="00E1618E"/>
    <w:rsid w:val="00E163C2"/>
    <w:rsid w:val="00E16853"/>
    <w:rsid w:val="00E16BD8"/>
    <w:rsid w:val="00E16E75"/>
    <w:rsid w:val="00E17848"/>
    <w:rsid w:val="00E2153B"/>
    <w:rsid w:val="00E21D4E"/>
    <w:rsid w:val="00E226E0"/>
    <w:rsid w:val="00E2286A"/>
    <w:rsid w:val="00E22BC8"/>
    <w:rsid w:val="00E24753"/>
    <w:rsid w:val="00E254F3"/>
    <w:rsid w:val="00E26329"/>
    <w:rsid w:val="00E26923"/>
    <w:rsid w:val="00E30A04"/>
    <w:rsid w:val="00E31BE2"/>
    <w:rsid w:val="00E31EBE"/>
    <w:rsid w:val="00E320F3"/>
    <w:rsid w:val="00E32BF6"/>
    <w:rsid w:val="00E32FBA"/>
    <w:rsid w:val="00E3370C"/>
    <w:rsid w:val="00E33C7C"/>
    <w:rsid w:val="00E3676A"/>
    <w:rsid w:val="00E36DCC"/>
    <w:rsid w:val="00E3719D"/>
    <w:rsid w:val="00E406A8"/>
    <w:rsid w:val="00E40844"/>
    <w:rsid w:val="00E40E3C"/>
    <w:rsid w:val="00E41436"/>
    <w:rsid w:val="00E41967"/>
    <w:rsid w:val="00E41E0B"/>
    <w:rsid w:val="00E42274"/>
    <w:rsid w:val="00E42A47"/>
    <w:rsid w:val="00E44759"/>
    <w:rsid w:val="00E451F7"/>
    <w:rsid w:val="00E45EAB"/>
    <w:rsid w:val="00E45FED"/>
    <w:rsid w:val="00E46E1A"/>
    <w:rsid w:val="00E46FE7"/>
    <w:rsid w:val="00E47F27"/>
    <w:rsid w:val="00E503F2"/>
    <w:rsid w:val="00E507F4"/>
    <w:rsid w:val="00E52789"/>
    <w:rsid w:val="00E5324B"/>
    <w:rsid w:val="00E5326F"/>
    <w:rsid w:val="00E53732"/>
    <w:rsid w:val="00E53D0B"/>
    <w:rsid w:val="00E613DF"/>
    <w:rsid w:val="00E61D4A"/>
    <w:rsid w:val="00E6232D"/>
    <w:rsid w:val="00E63069"/>
    <w:rsid w:val="00E63787"/>
    <w:rsid w:val="00E637D1"/>
    <w:rsid w:val="00E63BE6"/>
    <w:rsid w:val="00E64B8F"/>
    <w:rsid w:val="00E66CBF"/>
    <w:rsid w:val="00E66E37"/>
    <w:rsid w:val="00E66E6D"/>
    <w:rsid w:val="00E67360"/>
    <w:rsid w:val="00E7047C"/>
    <w:rsid w:val="00E70753"/>
    <w:rsid w:val="00E713ED"/>
    <w:rsid w:val="00E71549"/>
    <w:rsid w:val="00E717C6"/>
    <w:rsid w:val="00E723F8"/>
    <w:rsid w:val="00E731F5"/>
    <w:rsid w:val="00E73F09"/>
    <w:rsid w:val="00E74B1A"/>
    <w:rsid w:val="00E75C1E"/>
    <w:rsid w:val="00E808FB"/>
    <w:rsid w:val="00E80FD8"/>
    <w:rsid w:val="00E8146F"/>
    <w:rsid w:val="00E81A81"/>
    <w:rsid w:val="00E82105"/>
    <w:rsid w:val="00E82B3B"/>
    <w:rsid w:val="00E832D7"/>
    <w:rsid w:val="00E8345C"/>
    <w:rsid w:val="00E834C0"/>
    <w:rsid w:val="00E8477E"/>
    <w:rsid w:val="00E84C3E"/>
    <w:rsid w:val="00E86BC9"/>
    <w:rsid w:val="00E876F7"/>
    <w:rsid w:val="00E877D8"/>
    <w:rsid w:val="00E9007E"/>
    <w:rsid w:val="00E90B9F"/>
    <w:rsid w:val="00E90E19"/>
    <w:rsid w:val="00E91752"/>
    <w:rsid w:val="00E9217E"/>
    <w:rsid w:val="00E930EC"/>
    <w:rsid w:val="00E936E7"/>
    <w:rsid w:val="00E93B0C"/>
    <w:rsid w:val="00E93B66"/>
    <w:rsid w:val="00E9424B"/>
    <w:rsid w:val="00E948C0"/>
    <w:rsid w:val="00E95054"/>
    <w:rsid w:val="00E96180"/>
    <w:rsid w:val="00E96376"/>
    <w:rsid w:val="00E96D8D"/>
    <w:rsid w:val="00E972D5"/>
    <w:rsid w:val="00E97920"/>
    <w:rsid w:val="00EA01CE"/>
    <w:rsid w:val="00EA24E4"/>
    <w:rsid w:val="00EA2C17"/>
    <w:rsid w:val="00EA3137"/>
    <w:rsid w:val="00EA3968"/>
    <w:rsid w:val="00EA426F"/>
    <w:rsid w:val="00EA433F"/>
    <w:rsid w:val="00EA48EB"/>
    <w:rsid w:val="00EA5DAB"/>
    <w:rsid w:val="00EA6E36"/>
    <w:rsid w:val="00EA770B"/>
    <w:rsid w:val="00EA7A3F"/>
    <w:rsid w:val="00EA7D66"/>
    <w:rsid w:val="00EA7EB7"/>
    <w:rsid w:val="00EB03B1"/>
    <w:rsid w:val="00EB103C"/>
    <w:rsid w:val="00EB1FFF"/>
    <w:rsid w:val="00EB2E0E"/>
    <w:rsid w:val="00EB2FDA"/>
    <w:rsid w:val="00EB38BE"/>
    <w:rsid w:val="00EB4E72"/>
    <w:rsid w:val="00EB5649"/>
    <w:rsid w:val="00EB5B2B"/>
    <w:rsid w:val="00EB5CCF"/>
    <w:rsid w:val="00EB5D25"/>
    <w:rsid w:val="00EB637C"/>
    <w:rsid w:val="00EC090E"/>
    <w:rsid w:val="00EC1F65"/>
    <w:rsid w:val="00EC206A"/>
    <w:rsid w:val="00EC22A7"/>
    <w:rsid w:val="00EC29CF"/>
    <w:rsid w:val="00EC351D"/>
    <w:rsid w:val="00EC3778"/>
    <w:rsid w:val="00EC4E03"/>
    <w:rsid w:val="00EC59EC"/>
    <w:rsid w:val="00EC6439"/>
    <w:rsid w:val="00EC7ADC"/>
    <w:rsid w:val="00EC7D8E"/>
    <w:rsid w:val="00EC7EB0"/>
    <w:rsid w:val="00ED045E"/>
    <w:rsid w:val="00ED0D99"/>
    <w:rsid w:val="00ED0ED7"/>
    <w:rsid w:val="00ED294A"/>
    <w:rsid w:val="00ED2C36"/>
    <w:rsid w:val="00ED2DFE"/>
    <w:rsid w:val="00ED3472"/>
    <w:rsid w:val="00ED3B67"/>
    <w:rsid w:val="00ED4A7F"/>
    <w:rsid w:val="00ED54C0"/>
    <w:rsid w:val="00ED5BFD"/>
    <w:rsid w:val="00ED6209"/>
    <w:rsid w:val="00ED6641"/>
    <w:rsid w:val="00ED69A1"/>
    <w:rsid w:val="00ED6C70"/>
    <w:rsid w:val="00ED6DFC"/>
    <w:rsid w:val="00ED7B7F"/>
    <w:rsid w:val="00EE07EC"/>
    <w:rsid w:val="00EE0C23"/>
    <w:rsid w:val="00EE175D"/>
    <w:rsid w:val="00EE1B81"/>
    <w:rsid w:val="00EE2072"/>
    <w:rsid w:val="00EE3E08"/>
    <w:rsid w:val="00EE4114"/>
    <w:rsid w:val="00EE4912"/>
    <w:rsid w:val="00EE5067"/>
    <w:rsid w:val="00EE50FC"/>
    <w:rsid w:val="00EF2538"/>
    <w:rsid w:val="00EF3020"/>
    <w:rsid w:val="00EF38C7"/>
    <w:rsid w:val="00EF450B"/>
    <w:rsid w:val="00EF4875"/>
    <w:rsid w:val="00EF55D3"/>
    <w:rsid w:val="00EF6C8B"/>
    <w:rsid w:val="00EF74FB"/>
    <w:rsid w:val="00EF7D75"/>
    <w:rsid w:val="00F03196"/>
    <w:rsid w:val="00F0319F"/>
    <w:rsid w:val="00F044D5"/>
    <w:rsid w:val="00F0468D"/>
    <w:rsid w:val="00F0477C"/>
    <w:rsid w:val="00F052FA"/>
    <w:rsid w:val="00F0610B"/>
    <w:rsid w:val="00F064D1"/>
    <w:rsid w:val="00F0756D"/>
    <w:rsid w:val="00F07D1F"/>
    <w:rsid w:val="00F12278"/>
    <w:rsid w:val="00F13726"/>
    <w:rsid w:val="00F14EB3"/>
    <w:rsid w:val="00F16371"/>
    <w:rsid w:val="00F178DA"/>
    <w:rsid w:val="00F17938"/>
    <w:rsid w:val="00F20471"/>
    <w:rsid w:val="00F20529"/>
    <w:rsid w:val="00F20D80"/>
    <w:rsid w:val="00F20F02"/>
    <w:rsid w:val="00F21B23"/>
    <w:rsid w:val="00F23960"/>
    <w:rsid w:val="00F23EA2"/>
    <w:rsid w:val="00F24534"/>
    <w:rsid w:val="00F25F5A"/>
    <w:rsid w:val="00F268E6"/>
    <w:rsid w:val="00F27167"/>
    <w:rsid w:val="00F2745E"/>
    <w:rsid w:val="00F3032E"/>
    <w:rsid w:val="00F3035C"/>
    <w:rsid w:val="00F303B1"/>
    <w:rsid w:val="00F30CDB"/>
    <w:rsid w:val="00F31C5F"/>
    <w:rsid w:val="00F331F5"/>
    <w:rsid w:val="00F33D1E"/>
    <w:rsid w:val="00F34564"/>
    <w:rsid w:val="00F34A1A"/>
    <w:rsid w:val="00F352F8"/>
    <w:rsid w:val="00F3595F"/>
    <w:rsid w:val="00F365D6"/>
    <w:rsid w:val="00F36D4C"/>
    <w:rsid w:val="00F3762D"/>
    <w:rsid w:val="00F37E13"/>
    <w:rsid w:val="00F37E45"/>
    <w:rsid w:val="00F4120B"/>
    <w:rsid w:val="00F41218"/>
    <w:rsid w:val="00F42B56"/>
    <w:rsid w:val="00F434E1"/>
    <w:rsid w:val="00F45181"/>
    <w:rsid w:val="00F467EC"/>
    <w:rsid w:val="00F47C6D"/>
    <w:rsid w:val="00F50341"/>
    <w:rsid w:val="00F50B6A"/>
    <w:rsid w:val="00F51535"/>
    <w:rsid w:val="00F52F3F"/>
    <w:rsid w:val="00F5343E"/>
    <w:rsid w:val="00F53BF2"/>
    <w:rsid w:val="00F55744"/>
    <w:rsid w:val="00F5715B"/>
    <w:rsid w:val="00F57A91"/>
    <w:rsid w:val="00F602F7"/>
    <w:rsid w:val="00F60D0C"/>
    <w:rsid w:val="00F60D62"/>
    <w:rsid w:val="00F61381"/>
    <w:rsid w:val="00F6285B"/>
    <w:rsid w:val="00F63B69"/>
    <w:rsid w:val="00F6421B"/>
    <w:rsid w:val="00F64ACB"/>
    <w:rsid w:val="00F64D19"/>
    <w:rsid w:val="00F7065B"/>
    <w:rsid w:val="00F72167"/>
    <w:rsid w:val="00F728B5"/>
    <w:rsid w:val="00F72B48"/>
    <w:rsid w:val="00F72CE3"/>
    <w:rsid w:val="00F734D2"/>
    <w:rsid w:val="00F7397C"/>
    <w:rsid w:val="00F73ECC"/>
    <w:rsid w:val="00F746E7"/>
    <w:rsid w:val="00F75050"/>
    <w:rsid w:val="00F75715"/>
    <w:rsid w:val="00F76271"/>
    <w:rsid w:val="00F76A18"/>
    <w:rsid w:val="00F80002"/>
    <w:rsid w:val="00F80B6B"/>
    <w:rsid w:val="00F80CC8"/>
    <w:rsid w:val="00F81A21"/>
    <w:rsid w:val="00F81D23"/>
    <w:rsid w:val="00F83E43"/>
    <w:rsid w:val="00F86FCC"/>
    <w:rsid w:val="00F87F55"/>
    <w:rsid w:val="00F90E8A"/>
    <w:rsid w:val="00F90F66"/>
    <w:rsid w:val="00F91C34"/>
    <w:rsid w:val="00F92CBF"/>
    <w:rsid w:val="00F9457F"/>
    <w:rsid w:val="00F94BD1"/>
    <w:rsid w:val="00F95493"/>
    <w:rsid w:val="00F967DC"/>
    <w:rsid w:val="00F96F1C"/>
    <w:rsid w:val="00F971B9"/>
    <w:rsid w:val="00F97B41"/>
    <w:rsid w:val="00F97B68"/>
    <w:rsid w:val="00FA12A3"/>
    <w:rsid w:val="00FA134B"/>
    <w:rsid w:val="00FA2080"/>
    <w:rsid w:val="00FA2097"/>
    <w:rsid w:val="00FA2564"/>
    <w:rsid w:val="00FA25D6"/>
    <w:rsid w:val="00FA2636"/>
    <w:rsid w:val="00FA3063"/>
    <w:rsid w:val="00FA3294"/>
    <w:rsid w:val="00FA39FF"/>
    <w:rsid w:val="00FA4441"/>
    <w:rsid w:val="00FA462D"/>
    <w:rsid w:val="00FA5395"/>
    <w:rsid w:val="00FA5AC7"/>
    <w:rsid w:val="00FA5BE0"/>
    <w:rsid w:val="00FA5CC0"/>
    <w:rsid w:val="00FA6238"/>
    <w:rsid w:val="00FA62D8"/>
    <w:rsid w:val="00FA7BEF"/>
    <w:rsid w:val="00FA7F5F"/>
    <w:rsid w:val="00FB0801"/>
    <w:rsid w:val="00FB24B6"/>
    <w:rsid w:val="00FB3241"/>
    <w:rsid w:val="00FB3E2E"/>
    <w:rsid w:val="00FB42A6"/>
    <w:rsid w:val="00FB46D8"/>
    <w:rsid w:val="00FB5359"/>
    <w:rsid w:val="00FB575F"/>
    <w:rsid w:val="00FB66BA"/>
    <w:rsid w:val="00FB73C2"/>
    <w:rsid w:val="00FB761A"/>
    <w:rsid w:val="00FC000A"/>
    <w:rsid w:val="00FC035E"/>
    <w:rsid w:val="00FC21EB"/>
    <w:rsid w:val="00FC2AF6"/>
    <w:rsid w:val="00FC3014"/>
    <w:rsid w:val="00FC3C68"/>
    <w:rsid w:val="00FC3CAB"/>
    <w:rsid w:val="00FC3D7A"/>
    <w:rsid w:val="00FC464C"/>
    <w:rsid w:val="00FC4DB6"/>
    <w:rsid w:val="00FC55FF"/>
    <w:rsid w:val="00FC6249"/>
    <w:rsid w:val="00FC6294"/>
    <w:rsid w:val="00FD06F2"/>
    <w:rsid w:val="00FD1A3D"/>
    <w:rsid w:val="00FD27E8"/>
    <w:rsid w:val="00FD2862"/>
    <w:rsid w:val="00FD3092"/>
    <w:rsid w:val="00FD327A"/>
    <w:rsid w:val="00FD36AD"/>
    <w:rsid w:val="00FD3A11"/>
    <w:rsid w:val="00FD3A85"/>
    <w:rsid w:val="00FD3BF5"/>
    <w:rsid w:val="00FD3EFA"/>
    <w:rsid w:val="00FD4741"/>
    <w:rsid w:val="00FD4F83"/>
    <w:rsid w:val="00FD617E"/>
    <w:rsid w:val="00FD651F"/>
    <w:rsid w:val="00FD6916"/>
    <w:rsid w:val="00FE015A"/>
    <w:rsid w:val="00FE0CDE"/>
    <w:rsid w:val="00FE13C8"/>
    <w:rsid w:val="00FE1700"/>
    <w:rsid w:val="00FE1CF4"/>
    <w:rsid w:val="00FE221D"/>
    <w:rsid w:val="00FE4F18"/>
    <w:rsid w:val="00FE571F"/>
    <w:rsid w:val="00FE580F"/>
    <w:rsid w:val="00FE60D4"/>
    <w:rsid w:val="00FE6810"/>
    <w:rsid w:val="00FE6CFB"/>
    <w:rsid w:val="00FE78F3"/>
    <w:rsid w:val="00FE7F78"/>
    <w:rsid w:val="00FF07FC"/>
    <w:rsid w:val="00FF161C"/>
    <w:rsid w:val="00FF180A"/>
    <w:rsid w:val="00FF217A"/>
    <w:rsid w:val="00FF25C8"/>
    <w:rsid w:val="00FF263F"/>
    <w:rsid w:val="00FF2FC7"/>
    <w:rsid w:val="00FF42FE"/>
    <w:rsid w:val="00FF4ED2"/>
    <w:rsid w:val="00FF4F6C"/>
    <w:rsid w:val="00FF55E4"/>
    <w:rsid w:val="00FF5FB8"/>
    <w:rsid w:val="00FF6ABE"/>
    <w:rsid w:val="00FF77F0"/>
    <w:rsid w:val="00FF7BFB"/>
    <w:rsid w:val="03FE1A6B"/>
    <w:rsid w:val="055501B0"/>
    <w:rsid w:val="0A933AAF"/>
    <w:rsid w:val="0AF8655B"/>
    <w:rsid w:val="0B04548B"/>
    <w:rsid w:val="0BAA2F9F"/>
    <w:rsid w:val="0DCF46A0"/>
    <w:rsid w:val="11C955BB"/>
    <w:rsid w:val="12C60C86"/>
    <w:rsid w:val="1379197F"/>
    <w:rsid w:val="14B256DE"/>
    <w:rsid w:val="16281C82"/>
    <w:rsid w:val="16FB07E6"/>
    <w:rsid w:val="1770465A"/>
    <w:rsid w:val="18FD4B2D"/>
    <w:rsid w:val="1A1D761B"/>
    <w:rsid w:val="1BB767BE"/>
    <w:rsid w:val="1F13445C"/>
    <w:rsid w:val="20D90D6E"/>
    <w:rsid w:val="212E6D04"/>
    <w:rsid w:val="22AC2544"/>
    <w:rsid w:val="22CE7428"/>
    <w:rsid w:val="24143830"/>
    <w:rsid w:val="25C7505E"/>
    <w:rsid w:val="26851621"/>
    <w:rsid w:val="271764DF"/>
    <w:rsid w:val="28FF6504"/>
    <w:rsid w:val="2A5E1821"/>
    <w:rsid w:val="2A616638"/>
    <w:rsid w:val="2BB74E88"/>
    <w:rsid w:val="304B0938"/>
    <w:rsid w:val="357635F2"/>
    <w:rsid w:val="38116E36"/>
    <w:rsid w:val="39C36765"/>
    <w:rsid w:val="3AED6BFA"/>
    <w:rsid w:val="3C596A22"/>
    <w:rsid w:val="3D53589F"/>
    <w:rsid w:val="41DB5E21"/>
    <w:rsid w:val="428871FF"/>
    <w:rsid w:val="430D67A3"/>
    <w:rsid w:val="43714998"/>
    <w:rsid w:val="447633D3"/>
    <w:rsid w:val="4609799D"/>
    <w:rsid w:val="46C2567F"/>
    <w:rsid w:val="46E73323"/>
    <w:rsid w:val="479C3CF9"/>
    <w:rsid w:val="494B50F8"/>
    <w:rsid w:val="49EA22B7"/>
    <w:rsid w:val="4C087393"/>
    <w:rsid w:val="4E425A81"/>
    <w:rsid w:val="4E9A48E8"/>
    <w:rsid w:val="4F2008F0"/>
    <w:rsid w:val="4F473A81"/>
    <w:rsid w:val="4FF61675"/>
    <w:rsid w:val="502648A9"/>
    <w:rsid w:val="510B4837"/>
    <w:rsid w:val="523F201D"/>
    <w:rsid w:val="547619AC"/>
    <w:rsid w:val="54EE1809"/>
    <w:rsid w:val="55006D2D"/>
    <w:rsid w:val="555C5EF9"/>
    <w:rsid w:val="59825501"/>
    <w:rsid w:val="59D61E19"/>
    <w:rsid w:val="5AAF6FE4"/>
    <w:rsid w:val="5B013977"/>
    <w:rsid w:val="5C960077"/>
    <w:rsid w:val="5E0C3A59"/>
    <w:rsid w:val="5E534506"/>
    <w:rsid w:val="5E9A5399"/>
    <w:rsid w:val="610B1C8D"/>
    <w:rsid w:val="6179365E"/>
    <w:rsid w:val="62123C83"/>
    <w:rsid w:val="63113A17"/>
    <w:rsid w:val="639C683C"/>
    <w:rsid w:val="64F379BE"/>
    <w:rsid w:val="675F2048"/>
    <w:rsid w:val="69CF41D2"/>
    <w:rsid w:val="6C4C6278"/>
    <w:rsid w:val="6F8871E1"/>
    <w:rsid w:val="70427DDE"/>
    <w:rsid w:val="73862B7B"/>
    <w:rsid w:val="73C506BD"/>
    <w:rsid w:val="744210B2"/>
    <w:rsid w:val="74816E80"/>
    <w:rsid w:val="757F3376"/>
    <w:rsid w:val="75B848B8"/>
    <w:rsid w:val="767074A4"/>
    <w:rsid w:val="779330F9"/>
    <w:rsid w:val="77CB212C"/>
    <w:rsid w:val="787276B4"/>
    <w:rsid w:val="7A851AE4"/>
    <w:rsid w:val="7B161F7A"/>
    <w:rsid w:val="7D954A8A"/>
    <w:rsid w:val="7DB506D5"/>
    <w:rsid w:val="7EB86690"/>
    <w:rsid w:val="7F0E1324"/>
    <w:rsid w:val="7F2D21D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5">
    <w:name w:val="heading 1"/>
    <w:basedOn w:val="1"/>
    <w:next w:val="1"/>
    <w:link w:val="115"/>
    <w:qFormat/>
    <w:uiPriority w:val="0"/>
    <w:pPr>
      <w:keepNext/>
      <w:keepLines/>
      <w:spacing w:before="340" w:beforeLines="0" w:after="330" w:afterLines="0" w:line="578" w:lineRule="auto"/>
      <w:outlineLvl w:val="0"/>
    </w:pPr>
    <w:rPr>
      <w:b/>
      <w:bCs/>
      <w:kern w:val="44"/>
      <w:sz w:val="44"/>
      <w:szCs w:val="44"/>
    </w:rPr>
  </w:style>
  <w:style w:type="paragraph" w:styleId="6">
    <w:name w:val="heading 2"/>
    <w:basedOn w:val="1"/>
    <w:next w:val="1"/>
    <w:link w:val="116"/>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7">
    <w:name w:val="heading 3"/>
    <w:basedOn w:val="1"/>
    <w:next w:val="1"/>
    <w:link w:val="117"/>
    <w:qFormat/>
    <w:uiPriority w:val="0"/>
    <w:pPr>
      <w:keepNext/>
      <w:keepLines/>
      <w:spacing w:before="260" w:beforeLines="0" w:after="260" w:afterLines="0" w:line="416" w:lineRule="auto"/>
      <w:outlineLvl w:val="2"/>
    </w:pPr>
    <w:rPr>
      <w:rFonts w:ascii="Calibri" w:hAnsi="Calibri"/>
      <w:b/>
      <w:bCs/>
      <w:sz w:val="32"/>
      <w:szCs w:val="32"/>
    </w:rPr>
  </w:style>
  <w:style w:type="paragraph" w:styleId="8">
    <w:name w:val="heading 4"/>
    <w:basedOn w:val="1"/>
    <w:next w:val="1"/>
    <w:link w:val="118"/>
    <w:qFormat/>
    <w:uiPriority w:val="0"/>
    <w:pPr>
      <w:keepNext/>
      <w:keepLines/>
      <w:spacing w:beforeLines="0" w:afterLines="0" w:line="360" w:lineRule="auto"/>
      <w:ind w:firstLine="723" w:firstLineChars="200"/>
      <w:outlineLvl w:val="3"/>
    </w:pPr>
    <w:rPr>
      <w:b/>
      <w:sz w:val="28"/>
      <w:szCs w:val="20"/>
    </w:rPr>
  </w:style>
  <w:style w:type="paragraph" w:styleId="9">
    <w:name w:val="heading 5"/>
    <w:basedOn w:val="1"/>
    <w:next w:val="10"/>
    <w:link w:val="119"/>
    <w:qFormat/>
    <w:uiPriority w:val="0"/>
    <w:pPr>
      <w:keepNext/>
      <w:keepLines/>
      <w:tabs>
        <w:tab w:val="left" w:pos="992"/>
      </w:tabs>
      <w:spacing w:before="280" w:after="290" w:line="376" w:lineRule="auto"/>
      <w:ind w:left="992" w:hanging="992"/>
      <w:outlineLvl w:val="4"/>
    </w:pPr>
    <w:rPr>
      <w:b/>
      <w:sz w:val="28"/>
      <w:szCs w:val="20"/>
    </w:rPr>
  </w:style>
  <w:style w:type="paragraph" w:styleId="11">
    <w:name w:val="heading 6"/>
    <w:basedOn w:val="1"/>
    <w:next w:val="10"/>
    <w:link w:val="121"/>
    <w:qFormat/>
    <w:uiPriority w:val="0"/>
    <w:pPr>
      <w:keepNext/>
      <w:keepLines/>
      <w:tabs>
        <w:tab w:val="left" w:pos="1152"/>
      </w:tabs>
      <w:spacing w:before="240" w:after="64" w:line="320" w:lineRule="auto"/>
      <w:ind w:left="1152" w:hanging="1152"/>
      <w:outlineLvl w:val="5"/>
    </w:pPr>
    <w:rPr>
      <w:rFonts w:ascii="Arial" w:hAnsi="Arial" w:eastAsia="黑体"/>
      <w:b/>
      <w:sz w:val="24"/>
      <w:szCs w:val="20"/>
    </w:rPr>
  </w:style>
  <w:style w:type="paragraph" w:styleId="12">
    <w:name w:val="heading 7"/>
    <w:basedOn w:val="1"/>
    <w:next w:val="10"/>
    <w:link w:val="122"/>
    <w:qFormat/>
    <w:uiPriority w:val="0"/>
    <w:pPr>
      <w:keepNext/>
      <w:keepLines/>
      <w:tabs>
        <w:tab w:val="left" w:pos="2520"/>
      </w:tabs>
      <w:spacing w:before="240" w:after="64" w:line="320" w:lineRule="auto"/>
      <w:ind w:left="1296" w:hanging="1296"/>
      <w:outlineLvl w:val="6"/>
    </w:pPr>
    <w:rPr>
      <w:b/>
      <w:sz w:val="24"/>
      <w:szCs w:val="20"/>
    </w:rPr>
  </w:style>
  <w:style w:type="paragraph" w:styleId="13">
    <w:name w:val="heading 8"/>
    <w:basedOn w:val="1"/>
    <w:next w:val="10"/>
    <w:link w:val="123"/>
    <w:qFormat/>
    <w:uiPriority w:val="0"/>
    <w:pPr>
      <w:keepNext/>
      <w:keepLines/>
      <w:tabs>
        <w:tab w:val="left" w:pos="2880"/>
      </w:tabs>
      <w:spacing w:before="240" w:after="64" w:line="320" w:lineRule="auto"/>
      <w:ind w:left="1440" w:hanging="1440"/>
      <w:outlineLvl w:val="7"/>
    </w:pPr>
    <w:rPr>
      <w:rFonts w:ascii="Arial" w:hAnsi="Arial" w:eastAsia="黑体"/>
      <w:sz w:val="24"/>
      <w:szCs w:val="20"/>
    </w:rPr>
  </w:style>
  <w:style w:type="paragraph" w:styleId="14">
    <w:name w:val="heading 9"/>
    <w:basedOn w:val="1"/>
    <w:next w:val="10"/>
    <w:link w:val="124"/>
    <w:qFormat/>
    <w:uiPriority w:val="0"/>
    <w:pPr>
      <w:keepNext/>
      <w:keepLines/>
      <w:tabs>
        <w:tab w:val="left" w:pos="2880"/>
      </w:tabs>
      <w:spacing w:before="240" w:after="64" w:line="320" w:lineRule="auto"/>
      <w:ind w:left="1584" w:hanging="1584"/>
      <w:outlineLvl w:val="8"/>
    </w:pPr>
    <w:rPr>
      <w:rFonts w:ascii="Arial" w:hAnsi="Arial" w:eastAsia="黑体"/>
      <w:szCs w:val="20"/>
    </w:rPr>
  </w:style>
  <w:style w:type="character" w:default="1" w:styleId="96">
    <w:name w:val="Default Paragraph Font"/>
    <w:uiPriority w:val="0"/>
  </w:style>
  <w:style w:type="table" w:default="1" w:styleId="87">
    <w:name w:val="Normal Table"/>
    <w:semiHidden/>
    <w:uiPriority w:val="0"/>
    <w:tblPr>
      <w:tblStyle w:val="87"/>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Arial Black" w:hAnsi="Arial Black"/>
      <w:color w:val="000000"/>
      <w:sz w:val="24"/>
      <w:szCs w:val="24"/>
      <w:lang w:val="en-US" w:eastAsia="zh-CN" w:bidi="ar-SA"/>
    </w:rPr>
  </w:style>
  <w:style w:type="paragraph" w:customStyle="1" w:styleId="3">
    <w:name w:val="纯文本1"/>
    <w:basedOn w:val="1"/>
    <w:qFormat/>
    <w:uiPriority w:val="0"/>
    <w:pPr>
      <w:adjustRightInd w:val="0"/>
    </w:pPr>
    <w:rPr>
      <w:rFonts w:ascii="宋体" w:hAnsi="Courier New"/>
      <w:szCs w:val="20"/>
    </w:rPr>
  </w:style>
  <w:style w:type="paragraph" w:styleId="4">
    <w:name w:val="macro"/>
    <w:link w:val="114"/>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styleId="10">
    <w:name w:val="Normal Indent"/>
    <w:basedOn w:val="1"/>
    <w:link w:val="120"/>
    <w:qFormat/>
    <w:uiPriority w:val="0"/>
    <w:pPr>
      <w:ind w:firstLine="420" w:firstLineChars="200"/>
    </w:pPr>
  </w:style>
  <w:style w:type="paragraph" w:styleId="15">
    <w:name w:val="List 3"/>
    <w:basedOn w:val="1"/>
    <w:uiPriority w:val="0"/>
    <w:pPr>
      <w:ind w:left="100" w:leftChars="400" w:hanging="200" w:hangingChars="200"/>
    </w:pPr>
  </w:style>
  <w:style w:type="paragraph" w:styleId="16">
    <w:name w:val="toc 7"/>
    <w:basedOn w:val="1"/>
    <w:next w:val="1"/>
    <w:uiPriority w:val="0"/>
    <w:pPr>
      <w:ind w:left="1260"/>
      <w:jc w:val="left"/>
    </w:pPr>
    <w:rPr>
      <w:sz w:val="18"/>
      <w:szCs w:val="18"/>
    </w:rPr>
  </w:style>
  <w:style w:type="paragraph" w:styleId="17">
    <w:name w:val="List Number 2"/>
    <w:basedOn w:val="1"/>
    <w:uiPriority w:val="0"/>
    <w:pPr>
      <w:tabs>
        <w:tab w:val="left" w:pos="1440"/>
      </w:tabs>
      <w:spacing w:line="360" w:lineRule="auto"/>
      <w:jc w:val="left"/>
    </w:pPr>
    <w:rPr>
      <w:sz w:val="24"/>
    </w:rPr>
  </w:style>
  <w:style w:type="paragraph" w:styleId="18">
    <w:name w:val="table of authorities"/>
    <w:basedOn w:val="1"/>
    <w:next w:val="1"/>
    <w:uiPriority w:val="0"/>
    <w:pPr>
      <w:ind w:left="420" w:leftChars="200"/>
    </w:pPr>
  </w:style>
  <w:style w:type="paragraph" w:styleId="19">
    <w:name w:val="Note Heading"/>
    <w:basedOn w:val="1"/>
    <w:next w:val="1"/>
    <w:link w:val="125"/>
    <w:uiPriority w:val="0"/>
    <w:pPr>
      <w:jc w:val="center"/>
    </w:pPr>
    <w:rPr>
      <w:rFonts w:ascii="Calibri" w:hAnsi="Calibri"/>
      <w:szCs w:val="20"/>
    </w:rPr>
  </w:style>
  <w:style w:type="paragraph" w:styleId="20">
    <w:name w:val="List Bullet 4"/>
    <w:basedOn w:val="1"/>
    <w:uiPriority w:val="0"/>
    <w:pPr>
      <w:tabs>
        <w:tab w:val="left" w:pos="360"/>
      </w:tabs>
      <w:spacing w:line="360" w:lineRule="auto"/>
      <w:jc w:val="left"/>
    </w:pPr>
    <w:rPr>
      <w:sz w:val="24"/>
    </w:rPr>
  </w:style>
  <w:style w:type="paragraph" w:styleId="21">
    <w:name w:val="index 8"/>
    <w:basedOn w:val="1"/>
    <w:next w:val="1"/>
    <w:uiPriority w:val="0"/>
    <w:pPr>
      <w:jc w:val="center"/>
    </w:pPr>
  </w:style>
  <w:style w:type="paragraph" w:styleId="22">
    <w:name w:val="E-mail Signature"/>
    <w:basedOn w:val="1"/>
    <w:link w:val="126"/>
    <w:uiPriority w:val="0"/>
    <w:pPr>
      <w:spacing w:line="360" w:lineRule="auto"/>
      <w:ind w:firstLine="420"/>
      <w:jc w:val="left"/>
    </w:pPr>
    <w:rPr>
      <w:rFonts w:ascii="Calibri" w:hAnsi="Calibri"/>
      <w:sz w:val="24"/>
    </w:rPr>
  </w:style>
  <w:style w:type="paragraph" w:styleId="23">
    <w:name w:val="List Number"/>
    <w:basedOn w:val="8"/>
    <w:uiPriority w:val="0"/>
    <w:pPr>
      <w:keepNext w:val="0"/>
      <w:autoSpaceDE w:val="0"/>
      <w:autoSpaceDN w:val="0"/>
      <w:adjustRightInd w:val="0"/>
      <w:spacing w:before="0" w:beforeLines="0" w:after="0" w:afterLines="0" w:line="480" w:lineRule="exact"/>
      <w:ind w:firstLine="471"/>
      <w:jc w:val="left"/>
    </w:pPr>
    <w:rPr>
      <w:rFonts w:eastAsia="宋体"/>
      <w:snapToGrid w:val="0"/>
      <w:sz w:val="24"/>
      <w:szCs w:val="24"/>
      <w:lang w:val="eu-ES"/>
    </w:rPr>
  </w:style>
  <w:style w:type="paragraph" w:styleId="24">
    <w:name w:val="caption"/>
    <w:basedOn w:val="1"/>
    <w:next w:val="1"/>
    <w:qFormat/>
    <w:uiPriority w:val="0"/>
    <w:pPr>
      <w:snapToGrid w:val="0"/>
      <w:ind w:firstLine="482"/>
      <w:jc w:val="center"/>
    </w:pPr>
    <w:rPr>
      <w:b/>
      <w:bCs/>
      <w:sz w:val="24"/>
    </w:rPr>
  </w:style>
  <w:style w:type="paragraph" w:styleId="25">
    <w:name w:val="List Bullet"/>
    <w:basedOn w:val="1"/>
    <w:uiPriority w:val="0"/>
    <w:pPr>
      <w:tabs>
        <w:tab w:val="left" w:pos="360"/>
      </w:tabs>
      <w:spacing w:line="360" w:lineRule="auto"/>
      <w:jc w:val="left"/>
    </w:pPr>
    <w:rPr>
      <w:sz w:val="24"/>
    </w:rPr>
  </w:style>
  <w:style w:type="paragraph" w:styleId="26">
    <w:name w:val="envelope address"/>
    <w:basedOn w:val="1"/>
    <w:uiPriority w:val="0"/>
    <w:pPr>
      <w:snapToGrid w:val="0"/>
      <w:spacing w:line="360" w:lineRule="auto"/>
      <w:ind w:left="100" w:leftChars="1400" w:firstLine="420"/>
      <w:jc w:val="left"/>
    </w:pPr>
    <w:rPr>
      <w:rFonts w:ascii="Arial" w:hAnsi="Arial" w:cs="Arial"/>
      <w:sz w:val="24"/>
    </w:rPr>
  </w:style>
  <w:style w:type="paragraph" w:styleId="27">
    <w:name w:val="Document Map"/>
    <w:basedOn w:val="1"/>
    <w:link w:val="127"/>
    <w:uiPriority w:val="0"/>
    <w:pPr>
      <w:shd w:val="clear" w:color="auto" w:fill="000080"/>
    </w:pPr>
  </w:style>
  <w:style w:type="paragraph" w:styleId="28">
    <w:name w:val="toa heading"/>
    <w:basedOn w:val="1"/>
    <w:next w:val="1"/>
    <w:uiPriority w:val="0"/>
    <w:pPr>
      <w:spacing w:before="120" w:beforeLines="0" w:line="360" w:lineRule="auto"/>
      <w:ind w:firstLine="465"/>
    </w:pPr>
    <w:rPr>
      <w:rFonts w:ascii="Arial" w:hAnsi="Arial"/>
      <w:sz w:val="24"/>
      <w:szCs w:val="20"/>
    </w:rPr>
  </w:style>
  <w:style w:type="paragraph" w:styleId="29">
    <w:name w:val="annotation text"/>
    <w:basedOn w:val="1"/>
    <w:link w:val="128"/>
    <w:qFormat/>
    <w:uiPriority w:val="0"/>
    <w:pPr>
      <w:widowControl/>
      <w:jc w:val="left"/>
    </w:pPr>
    <w:rPr>
      <w:kern w:val="0"/>
      <w:sz w:val="28"/>
      <w:szCs w:val="20"/>
    </w:rPr>
  </w:style>
  <w:style w:type="paragraph" w:styleId="30">
    <w:name w:val="index 6"/>
    <w:basedOn w:val="1"/>
    <w:next w:val="1"/>
    <w:uiPriority w:val="0"/>
    <w:pPr>
      <w:ind w:left="1260" w:hanging="210"/>
      <w:jc w:val="left"/>
    </w:pPr>
    <w:rPr>
      <w:rFonts w:ascii="Times New Roman" w:hAnsi="Times New Roman"/>
      <w:szCs w:val="20"/>
    </w:rPr>
  </w:style>
  <w:style w:type="paragraph" w:styleId="31">
    <w:name w:val="Salutation"/>
    <w:basedOn w:val="1"/>
    <w:next w:val="1"/>
    <w:link w:val="129"/>
    <w:uiPriority w:val="0"/>
    <w:pPr>
      <w:spacing w:line="360" w:lineRule="auto"/>
    </w:pPr>
    <w:rPr>
      <w:rFonts w:ascii="Calibri" w:hAnsi="Calibri" w:eastAsia="仿宋_GB2312"/>
      <w:sz w:val="28"/>
      <w:szCs w:val="28"/>
    </w:rPr>
  </w:style>
  <w:style w:type="paragraph" w:styleId="32">
    <w:name w:val="Body Text 3"/>
    <w:basedOn w:val="1"/>
    <w:link w:val="130"/>
    <w:uiPriority w:val="0"/>
    <w:pPr>
      <w:spacing w:after="120" w:afterLines="0"/>
    </w:pPr>
    <w:rPr>
      <w:sz w:val="16"/>
      <w:szCs w:val="16"/>
    </w:rPr>
  </w:style>
  <w:style w:type="paragraph" w:styleId="33">
    <w:name w:val="Closing"/>
    <w:basedOn w:val="1"/>
    <w:link w:val="131"/>
    <w:uiPriority w:val="0"/>
    <w:pPr>
      <w:spacing w:line="360" w:lineRule="auto"/>
      <w:ind w:left="100" w:leftChars="2100" w:firstLine="420"/>
      <w:jc w:val="left"/>
    </w:pPr>
    <w:rPr>
      <w:rFonts w:ascii="Calibri" w:hAnsi="Calibri"/>
      <w:sz w:val="24"/>
    </w:rPr>
  </w:style>
  <w:style w:type="paragraph" w:styleId="34">
    <w:name w:val="List Bullet 3"/>
    <w:basedOn w:val="1"/>
    <w:uiPriority w:val="0"/>
    <w:pPr>
      <w:tabs>
        <w:tab w:val="left" w:pos="360"/>
      </w:tabs>
      <w:spacing w:line="360" w:lineRule="auto"/>
      <w:jc w:val="left"/>
    </w:pPr>
    <w:rPr>
      <w:sz w:val="24"/>
    </w:rPr>
  </w:style>
  <w:style w:type="paragraph" w:styleId="35">
    <w:name w:val="Body Text"/>
    <w:basedOn w:val="1"/>
    <w:next w:val="1"/>
    <w:link w:val="132"/>
    <w:uiPriority w:val="0"/>
    <w:pPr>
      <w:spacing w:after="120" w:afterLines="0"/>
    </w:pPr>
  </w:style>
  <w:style w:type="paragraph" w:styleId="36">
    <w:name w:val="Body Text Indent"/>
    <w:basedOn w:val="1"/>
    <w:next w:val="37"/>
    <w:link w:val="133"/>
    <w:uiPriority w:val="0"/>
    <w:pPr>
      <w:spacing w:line="460" w:lineRule="exact"/>
      <w:ind w:firstLine="480" w:firstLineChars="200"/>
    </w:pPr>
    <w:rPr>
      <w:rFonts w:ascii="宋体" w:hAnsi="宋体"/>
      <w:sz w:val="24"/>
    </w:rPr>
  </w:style>
  <w:style w:type="paragraph" w:customStyle="1" w:styleId="37">
    <w:name w:val="样式 正文文字缩进 + 小四 首行缩进:  2 字符"/>
    <w:qFormat/>
    <w:uiPriority w:val="0"/>
    <w:pPr>
      <w:widowControl w:val="0"/>
      <w:tabs>
        <w:tab w:val="left" w:pos="0"/>
      </w:tabs>
      <w:spacing w:line="600" w:lineRule="exact"/>
      <w:jc w:val="center"/>
    </w:pPr>
    <w:rPr>
      <w:b/>
      <w:kern w:val="2"/>
      <w:sz w:val="21"/>
      <w:szCs w:val="24"/>
      <w:u w:val="double"/>
      <w:lang w:val="en-US" w:eastAsia="zh-CN" w:bidi="ar-SA"/>
    </w:rPr>
  </w:style>
  <w:style w:type="paragraph" w:styleId="38">
    <w:name w:val="List Number 3"/>
    <w:basedOn w:val="1"/>
    <w:uiPriority w:val="0"/>
    <w:pPr>
      <w:tabs>
        <w:tab w:val="left" w:pos="360"/>
      </w:tabs>
      <w:spacing w:line="360" w:lineRule="auto"/>
      <w:jc w:val="left"/>
    </w:pPr>
    <w:rPr>
      <w:sz w:val="24"/>
    </w:rPr>
  </w:style>
  <w:style w:type="paragraph" w:styleId="39">
    <w:name w:val="List 2"/>
    <w:basedOn w:val="1"/>
    <w:uiPriority w:val="0"/>
    <w:pPr>
      <w:spacing w:line="360" w:lineRule="auto"/>
      <w:ind w:left="100" w:leftChars="200" w:hanging="200" w:hangingChars="200"/>
    </w:pPr>
    <w:rPr>
      <w:rFonts w:ascii="宋体"/>
      <w:sz w:val="24"/>
    </w:rPr>
  </w:style>
  <w:style w:type="paragraph" w:styleId="40">
    <w:name w:val="List Continue"/>
    <w:basedOn w:val="1"/>
    <w:uiPriority w:val="0"/>
    <w:pPr>
      <w:spacing w:after="120" w:afterLines="0" w:line="360" w:lineRule="auto"/>
      <w:ind w:left="420" w:leftChars="200" w:firstLine="420"/>
      <w:jc w:val="left"/>
    </w:pPr>
    <w:rPr>
      <w:sz w:val="24"/>
    </w:rPr>
  </w:style>
  <w:style w:type="paragraph" w:styleId="41">
    <w:name w:val="Block Text"/>
    <w:basedOn w:val="1"/>
    <w:uiPriority w:val="0"/>
    <w:pPr>
      <w:spacing w:after="120" w:afterLines="0"/>
      <w:ind w:left="1440" w:leftChars="700" w:right="1440" w:rightChars="700"/>
    </w:pPr>
  </w:style>
  <w:style w:type="paragraph" w:styleId="42">
    <w:name w:val="List Bullet 2"/>
    <w:basedOn w:val="1"/>
    <w:uiPriority w:val="0"/>
    <w:pPr>
      <w:spacing w:line="360" w:lineRule="auto"/>
      <w:ind w:firstLine="536" w:firstLineChars="223"/>
    </w:pPr>
    <w:rPr>
      <w:b/>
      <w:bCs/>
      <w:snapToGrid w:val="0"/>
      <w:color w:val="000000"/>
      <w:kern w:val="0"/>
      <w:sz w:val="24"/>
      <w:szCs w:val="20"/>
      <w:lang/>
    </w:rPr>
  </w:style>
  <w:style w:type="paragraph" w:styleId="43">
    <w:name w:val="HTML Address"/>
    <w:basedOn w:val="1"/>
    <w:link w:val="134"/>
    <w:uiPriority w:val="0"/>
    <w:pPr>
      <w:spacing w:line="360" w:lineRule="auto"/>
      <w:ind w:firstLine="420"/>
      <w:jc w:val="left"/>
    </w:pPr>
    <w:rPr>
      <w:rFonts w:ascii="Calibri" w:hAnsi="Calibri"/>
      <w:i/>
      <w:iCs/>
      <w:sz w:val="24"/>
    </w:rPr>
  </w:style>
  <w:style w:type="paragraph" w:styleId="44">
    <w:name w:val="index 4"/>
    <w:basedOn w:val="1"/>
    <w:next w:val="1"/>
    <w:uiPriority w:val="0"/>
    <w:pPr>
      <w:ind w:left="600" w:leftChars="600"/>
    </w:pPr>
  </w:style>
  <w:style w:type="paragraph" w:styleId="45">
    <w:name w:val="toc 5"/>
    <w:basedOn w:val="1"/>
    <w:next w:val="1"/>
    <w:uiPriority w:val="0"/>
    <w:pPr>
      <w:ind w:left="840"/>
      <w:jc w:val="left"/>
    </w:pPr>
    <w:rPr>
      <w:sz w:val="18"/>
      <w:szCs w:val="18"/>
    </w:rPr>
  </w:style>
  <w:style w:type="paragraph" w:styleId="46">
    <w:name w:val="toc 3"/>
    <w:basedOn w:val="1"/>
    <w:next w:val="1"/>
    <w:uiPriority w:val="0"/>
    <w:pPr>
      <w:ind w:left="420"/>
      <w:jc w:val="left"/>
    </w:pPr>
    <w:rPr>
      <w:i/>
      <w:iCs/>
      <w:sz w:val="20"/>
      <w:szCs w:val="20"/>
    </w:rPr>
  </w:style>
  <w:style w:type="paragraph" w:styleId="47">
    <w:name w:val="Plain Text"/>
    <w:basedOn w:val="1"/>
    <w:next w:val="2"/>
    <w:link w:val="135"/>
    <w:uiPriority w:val="0"/>
    <w:rPr>
      <w:rFonts w:ascii="宋体" w:hAnsi="Courier New" w:cs="Courier New"/>
      <w:szCs w:val="21"/>
    </w:rPr>
  </w:style>
  <w:style w:type="paragraph" w:styleId="48">
    <w:name w:val="List Bullet 5"/>
    <w:basedOn w:val="1"/>
    <w:uiPriority w:val="0"/>
    <w:pPr>
      <w:tabs>
        <w:tab w:val="left" w:pos="360"/>
      </w:tabs>
      <w:spacing w:line="360" w:lineRule="auto"/>
      <w:jc w:val="left"/>
    </w:pPr>
    <w:rPr>
      <w:sz w:val="24"/>
    </w:rPr>
  </w:style>
  <w:style w:type="paragraph" w:styleId="49">
    <w:name w:val="List Number 4"/>
    <w:basedOn w:val="1"/>
    <w:uiPriority w:val="0"/>
    <w:pPr>
      <w:tabs>
        <w:tab w:val="left" w:pos="360"/>
      </w:tabs>
      <w:spacing w:line="360" w:lineRule="auto"/>
      <w:jc w:val="left"/>
    </w:pPr>
    <w:rPr>
      <w:sz w:val="24"/>
    </w:rPr>
  </w:style>
  <w:style w:type="paragraph" w:styleId="50">
    <w:name w:val="toc 8"/>
    <w:basedOn w:val="1"/>
    <w:next w:val="1"/>
    <w:uiPriority w:val="0"/>
    <w:pPr>
      <w:ind w:left="1470"/>
      <w:jc w:val="left"/>
    </w:pPr>
    <w:rPr>
      <w:sz w:val="18"/>
      <w:szCs w:val="18"/>
    </w:rPr>
  </w:style>
  <w:style w:type="paragraph" w:styleId="51">
    <w:name w:val="Date"/>
    <w:basedOn w:val="1"/>
    <w:next w:val="1"/>
    <w:link w:val="136"/>
    <w:uiPriority w:val="0"/>
    <w:rPr>
      <w:rFonts w:ascii="Calibri" w:hAnsi="Calibri"/>
      <w:szCs w:val="20"/>
    </w:rPr>
  </w:style>
  <w:style w:type="paragraph" w:styleId="52">
    <w:name w:val="Body Text Indent 2"/>
    <w:basedOn w:val="1"/>
    <w:link w:val="137"/>
    <w:uiPriority w:val="0"/>
    <w:pPr>
      <w:spacing w:line="360" w:lineRule="auto"/>
      <w:ind w:firstLine="480" w:firstLineChars="200"/>
    </w:pPr>
    <w:rPr>
      <w:rFonts w:ascii="宋体" w:hAnsi="宋体"/>
      <w:sz w:val="24"/>
      <w:szCs w:val="28"/>
    </w:rPr>
  </w:style>
  <w:style w:type="paragraph" w:styleId="53">
    <w:name w:val="endnote text"/>
    <w:basedOn w:val="1"/>
    <w:link w:val="138"/>
    <w:uiPriority w:val="0"/>
    <w:pPr>
      <w:snapToGrid w:val="0"/>
      <w:spacing w:line="480" w:lineRule="exact"/>
      <w:ind w:firstLine="471"/>
      <w:jc w:val="left"/>
    </w:pPr>
    <w:rPr>
      <w:rFonts w:ascii="Arial" w:hAnsi="Arial"/>
      <w:bCs/>
      <w:snapToGrid w:val="0"/>
      <w:sz w:val="24"/>
      <w:lang w:val="eu-ES"/>
    </w:rPr>
  </w:style>
  <w:style w:type="paragraph" w:styleId="54">
    <w:name w:val="List Continue 5"/>
    <w:basedOn w:val="1"/>
    <w:uiPriority w:val="0"/>
    <w:pPr>
      <w:spacing w:after="120" w:afterLines="0" w:line="360" w:lineRule="auto"/>
      <w:ind w:left="2100" w:leftChars="1000" w:firstLine="420"/>
      <w:jc w:val="left"/>
    </w:pPr>
    <w:rPr>
      <w:sz w:val="24"/>
    </w:rPr>
  </w:style>
  <w:style w:type="paragraph" w:styleId="55">
    <w:name w:val="Balloon Text"/>
    <w:basedOn w:val="1"/>
    <w:link w:val="139"/>
    <w:uiPriority w:val="0"/>
    <w:rPr>
      <w:sz w:val="18"/>
      <w:szCs w:val="18"/>
    </w:rPr>
  </w:style>
  <w:style w:type="paragraph" w:styleId="56">
    <w:name w:val="footer"/>
    <w:basedOn w:val="1"/>
    <w:link w:val="140"/>
    <w:uiPriority w:val="0"/>
    <w:pPr>
      <w:tabs>
        <w:tab w:val="center" w:pos="4153"/>
        <w:tab w:val="right" w:pos="8306"/>
      </w:tabs>
      <w:snapToGrid w:val="0"/>
      <w:jc w:val="left"/>
    </w:pPr>
    <w:rPr>
      <w:sz w:val="18"/>
      <w:szCs w:val="18"/>
    </w:rPr>
  </w:style>
  <w:style w:type="paragraph" w:styleId="57">
    <w:name w:val="envelope return"/>
    <w:basedOn w:val="1"/>
    <w:uiPriority w:val="0"/>
    <w:pPr>
      <w:snapToGrid w:val="0"/>
      <w:spacing w:line="360" w:lineRule="auto"/>
      <w:ind w:firstLine="420"/>
      <w:jc w:val="left"/>
    </w:pPr>
    <w:rPr>
      <w:rFonts w:ascii="Arial" w:hAnsi="Arial" w:cs="Arial"/>
      <w:sz w:val="24"/>
    </w:rPr>
  </w:style>
  <w:style w:type="paragraph" w:styleId="58">
    <w:name w:val="header"/>
    <w:basedOn w:val="1"/>
    <w:link w:val="141"/>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42"/>
    <w:uiPriority w:val="0"/>
    <w:pPr>
      <w:spacing w:line="360" w:lineRule="auto"/>
      <w:ind w:left="100" w:leftChars="2100" w:firstLine="420"/>
      <w:jc w:val="left"/>
    </w:pPr>
    <w:rPr>
      <w:rFonts w:ascii="Calibri" w:hAnsi="Calibri"/>
      <w:sz w:val="24"/>
    </w:rPr>
  </w:style>
  <w:style w:type="paragraph" w:styleId="60">
    <w:name w:val="toc 1"/>
    <w:basedOn w:val="1"/>
    <w:next w:val="1"/>
    <w:uiPriority w:val="39"/>
    <w:pPr>
      <w:tabs>
        <w:tab w:val="right" w:leader="dot" w:pos="8302"/>
      </w:tabs>
      <w:spacing w:before="120" w:beforeLines="0" w:after="120" w:afterLines="0"/>
      <w:jc w:val="center"/>
    </w:pPr>
    <w:rPr>
      <w:b/>
      <w:bCs/>
      <w:caps/>
      <w:sz w:val="24"/>
    </w:rPr>
  </w:style>
  <w:style w:type="paragraph" w:styleId="61">
    <w:name w:val="List Continue 4"/>
    <w:basedOn w:val="1"/>
    <w:uiPriority w:val="0"/>
    <w:pPr>
      <w:spacing w:after="120" w:afterLines="0" w:line="360" w:lineRule="auto"/>
      <w:ind w:left="1680" w:leftChars="800" w:firstLine="420"/>
      <w:jc w:val="left"/>
    </w:pPr>
    <w:rPr>
      <w:sz w:val="24"/>
    </w:rPr>
  </w:style>
  <w:style w:type="paragraph" w:styleId="62">
    <w:name w:val="toc 4"/>
    <w:basedOn w:val="1"/>
    <w:next w:val="1"/>
    <w:uiPriority w:val="0"/>
    <w:pPr>
      <w:ind w:left="630"/>
      <w:jc w:val="left"/>
    </w:pPr>
    <w:rPr>
      <w:sz w:val="18"/>
      <w:szCs w:val="18"/>
    </w:rPr>
  </w:style>
  <w:style w:type="paragraph" w:styleId="63">
    <w:name w:val="index heading"/>
    <w:basedOn w:val="1"/>
    <w:next w:val="64"/>
    <w:uiPriority w:val="0"/>
  </w:style>
  <w:style w:type="paragraph" w:styleId="64">
    <w:name w:val="index 1"/>
    <w:basedOn w:val="1"/>
    <w:next w:val="1"/>
    <w:uiPriority w:val="0"/>
    <w:pPr>
      <w:ind w:left="210" w:hanging="210"/>
      <w:jc w:val="center"/>
    </w:pPr>
  </w:style>
  <w:style w:type="paragraph" w:styleId="65">
    <w:name w:val="Subtitle"/>
    <w:basedOn w:val="1"/>
    <w:link w:val="143"/>
    <w:qFormat/>
    <w:uiPriority w:val="0"/>
    <w:pPr>
      <w:spacing w:before="240" w:beforeLines="0" w:after="240" w:afterLines="0" w:line="360" w:lineRule="auto"/>
      <w:ind w:firstLine="420"/>
      <w:jc w:val="center"/>
      <w:outlineLvl w:val="1"/>
    </w:pPr>
    <w:rPr>
      <w:rFonts w:ascii="Arial" w:hAnsi="Arial" w:cs="Arial"/>
      <w:b/>
      <w:bCs/>
      <w:kern w:val="28"/>
      <w:sz w:val="24"/>
      <w:szCs w:val="32"/>
    </w:rPr>
  </w:style>
  <w:style w:type="paragraph" w:styleId="66">
    <w:name w:val="List Number 5"/>
    <w:basedOn w:val="1"/>
    <w:uiPriority w:val="0"/>
    <w:pPr>
      <w:tabs>
        <w:tab w:val="left" w:pos="360"/>
      </w:tabs>
      <w:spacing w:line="360" w:lineRule="auto"/>
      <w:jc w:val="left"/>
    </w:pPr>
    <w:rPr>
      <w:sz w:val="24"/>
    </w:rPr>
  </w:style>
  <w:style w:type="paragraph" w:styleId="67">
    <w:name w:val="List"/>
    <w:basedOn w:val="1"/>
    <w:link w:val="144"/>
    <w:uiPriority w:val="0"/>
    <w:pPr>
      <w:ind w:left="200" w:hanging="200" w:hangingChars="200"/>
    </w:pPr>
  </w:style>
  <w:style w:type="paragraph" w:styleId="68">
    <w:name w:val="footnote text"/>
    <w:basedOn w:val="1"/>
    <w:link w:val="145"/>
    <w:uiPriority w:val="0"/>
    <w:pPr>
      <w:snapToGrid w:val="0"/>
      <w:jc w:val="left"/>
    </w:pPr>
    <w:rPr>
      <w:rFonts w:ascii="Calibri" w:hAnsi="Calibri"/>
      <w:sz w:val="18"/>
      <w:szCs w:val="18"/>
    </w:rPr>
  </w:style>
  <w:style w:type="paragraph" w:styleId="69">
    <w:name w:val="toc 6"/>
    <w:basedOn w:val="1"/>
    <w:next w:val="1"/>
    <w:uiPriority w:val="0"/>
    <w:pPr>
      <w:ind w:left="1050"/>
      <w:jc w:val="left"/>
    </w:pPr>
    <w:rPr>
      <w:sz w:val="18"/>
      <w:szCs w:val="18"/>
    </w:rPr>
  </w:style>
  <w:style w:type="paragraph" w:styleId="70">
    <w:name w:val="List 5"/>
    <w:basedOn w:val="1"/>
    <w:uiPriority w:val="0"/>
    <w:pPr>
      <w:spacing w:line="360" w:lineRule="auto"/>
      <w:ind w:left="100" w:leftChars="800" w:hanging="200" w:hangingChars="200"/>
      <w:jc w:val="left"/>
    </w:pPr>
    <w:rPr>
      <w:sz w:val="24"/>
    </w:rPr>
  </w:style>
  <w:style w:type="paragraph" w:styleId="71">
    <w:name w:val="Body Text Indent 3"/>
    <w:basedOn w:val="1"/>
    <w:link w:val="146"/>
    <w:uiPriority w:val="0"/>
    <w:pPr>
      <w:spacing w:line="360" w:lineRule="auto"/>
      <w:ind w:firstLine="464" w:firstLineChars="200"/>
    </w:pPr>
    <w:rPr>
      <w:rFonts w:ascii="宋体" w:hAnsi="宋体"/>
      <w:spacing w:val="-4"/>
      <w:sz w:val="24"/>
    </w:rPr>
  </w:style>
  <w:style w:type="paragraph" w:styleId="72">
    <w:name w:val="index 9"/>
    <w:basedOn w:val="1"/>
    <w:next w:val="1"/>
    <w:uiPriority w:val="0"/>
    <w:pPr>
      <w:suppressAutoHyphens/>
      <w:adjustRightInd w:val="0"/>
      <w:spacing w:line="300" w:lineRule="auto"/>
      <w:ind w:left="3360"/>
    </w:pPr>
    <w:rPr>
      <w:rFonts w:ascii="仿宋_GB2312" w:hAnsi="Times New Roman" w:eastAsia="仿宋_GB2312"/>
      <w:kern w:val="28"/>
      <w:sz w:val="24"/>
      <w:szCs w:val="20"/>
    </w:rPr>
  </w:style>
  <w:style w:type="paragraph" w:styleId="73">
    <w:name w:val="table of figures"/>
    <w:basedOn w:val="1"/>
    <w:next w:val="1"/>
    <w:uiPriority w:val="0"/>
    <w:pPr>
      <w:ind w:left="420" w:hanging="420"/>
      <w:jc w:val="left"/>
    </w:pPr>
    <w:rPr>
      <w:b/>
      <w:bCs/>
      <w:sz w:val="20"/>
      <w:szCs w:val="20"/>
    </w:rPr>
  </w:style>
  <w:style w:type="paragraph" w:styleId="74">
    <w:name w:val="toc 2"/>
    <w:basedOn w:val="1"/>
    <w:next w:val="1"/>
    <w:uiPriority w:val="39"/>
    <w:pPr>
      <w:tabs>
        <w:tab w:val="right" w:leader="dot" w:pos="8302"/>
      </w:tabs>
      <w:ind w:left="210"/>
      <w:jc w:val="left"/>
    </w:pPr>
    <w:rPr>
      <w:smallCaps/>
      <w:sz w:val="20"/>
      <w:szCs w:val="20"/>
      <w:lang/>
    </w:rPr>
  </w:style>
  <w:style w:type="paragraph" w:styleId="75">
    <w:name w:val="toc 9"/>
    <w:basedOn w:val="1"/>
    <w:next w:val="1"/>
    <w:uiPriority w:val="0"/>
    <w:pPr>
      <w:ind w:left="1680"/>
      <w:jc w:val="left"/>
    </w:pPr>
    <w:rPr>
      <w:sz w:val="18"/>
      <w:szCs w:val="18"/>
    </w:rPr>
  </w:style>
  <w:style w:type="paragraph" w:styleId="76">
    <w:name w:val="Body Text 2"/>
    <w:basedOn w:val="1"/>
    <w:link w:val="147"/>
    <w:uiPriority w:val="0"/>
    <w:pPr>
      <w:spacing w:after="120" w:afterLines="0" w:line="480" w:lineRule="auto"/>
    </w:pPr>
  </w:style>
  <w:style w:type="paragraph" w:styleId="77">
    <w:name w:val="List 4"/>
    <w:basedOn w:val="1"/>
    <w:uiPriority w:val="0"/>
    <w:pPr>
      <w:spacing w:line="360" w:lineRule="auto"/>
      <w:ind w:left="1680" w:hanging="420"/>
    </w:pPr>
    <w:rPr>
      <w:sz w:val="24"/>
      <w:szCs w:val="20"/>
    </w:rPr>
  </w:style>
  <w:style w:type="paragraph" w:styleId="78">
    <w:name w:val="List Continue 2"/>
    <w:basedOn w:val="1"/>
    <w:uiPriority w:val="0"/>
    <w:pPr>
      <w:tabs>
        <w:tab w:val="left" w:pos="0"/>
      </w:tabs>
      <w:spacing w:after="120" w:afterLines="0" w:line="360" w:lineRule="auto"/>
      <w:ind w:left="840" w:leftChars="400"/>
    </w:pPr>
    <w:rPr>
      <w:rFonts w:ascii="宋体"/>
      <w:sz w:val="28"/>
      <w:szCs w:val="28"/>
    </w:rPr>
  </w:style>
  <w:style w:type="paragraph" w:styleId="79">
    <w:name w:val="Message Header"/>
    <w:basedOn w:val="1"/>
    <w:link w:val="148"/>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jc w:val="left"/>
    </w:pPr>
    <w:rPr>
      <w:rFonts w:ascii="Arial" w:hAnsi="Arial" w:cs="Arial"/>
      <w:sz w:val="24"/>
    </w:rPr>
  </w:style>
  <w:style w:type="paragraph" w:styleId="80">
    <w:name w:val="HTML Preformatted"/>
    <w:basedOn w:val="1"/>
    <w:link w:val="149"/>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color w:val="000000"/>
      <w:kern w:val="0"/>
      <w:sz w:val="20"/>
      <w:szCs w:val="20"/>
    </w:rPr>
  </w:style>
  <w:style w:type="paragraph" w:styleId="81">
    <w:name w:val="Normal (Web)"/>
    <w:basedOn w:val="1"/>
    <w:link w:val="150"/>
    <w:qFormat/>
    <w:uiPriority w:val="0"/>
    <w:pPr>
      <w:widowControl/>
      <w:spacing w:before="100" w:beforeLines="0" w:beforeAutospacing="1" w:after="100" w:afterLines="0" w:afterAutospacing="1"/>
      <w:jc w:val="left"/>
    </w:pPr>
    <w:rPr>
      <w:rFonts w:ascii="宋体" w:hAnsi="宋体" w:eastAsia="仿宋_GB2312"/>
      <w:color w:val="000000"/>
      <w:kern w:val="0"/>
      <w:sz w:val="24"/>
    </w:rPr>
  </w:style>
  <w:style w:type="paragraph" w:styleId="82">
    <w:name w:val="List Continue 3"/>
    <w:basedOn w:val="1"/>
    <w:uiPriority w:val="0"/>
    <w:pPr>
      <w:spacing w:after="120" w:afterLines="0" w:line="360" w:lineRule="auto"/>
      <w:ind w:left="1260" w:leftChars="600" w:firstLine="420"/>
      <w:jc w:val="left"/>
    </w:pPr>
    <w:rPr>
      <w:sz w:val="24"/>
    </w:rPr>
  </w:style>
  <w:style w:type="paragraph" w:styleId="83">
    <w:name w:val="Title"/>
    <w:basedOn w:val="1"/>
    <w:link w:val="151"/>
    <w:qFormat/>
    <w:uiPriority w:val="0"/>
    <w:pPr>
      <w:spacing w:before="240" w:beforeLines="0" w:after="260" w:afterLines="0"/>
      <w:outlineLvl w:val="0"/>
    </w:pPr>
    <w:rPr>
      <w:rFonts w:ascii="宋体" w:hAnsi="宋体"/>
      <w:b/>
      <w:kern w:val="0"/>
      <w:sz w:val="32"/>
      <w:szCs w:val="20"/>
    </w:rPr>
  </w:style>
  <w:style w:type="paragraph" w:styleId="84">
    <w:name w:val="annotation subject"/>
    <w:basedOn w:val="29"/>
    <w:next w:val="29"/>
    <w:link w:val="152"/>
    <w:uiPriority w:val="0"/>
    <w:pPr>
      <w:widowControl w:val="0"/>
    </w:pPr>
    <w:rPr>
      <w:rFonts w:ascii="Calibri" w:hAnsi="Calibri"/>
      <w:b/>
      <w:bCs/>
      <w:kern w:val="2"/>
      <w:sz w:val="21"/>
      <w:szCs w:val="24"/>
    </w:rPr>
  </w:style>
  <w:style w:type="paragraph" w:styleId="85">
    <w:name w:val="Body Text First Indent"/>
    <w:basedOn w:val="35"/>
    <w:next w:val="1"/>
    <w:link w:val="153"/>
    <w:uiPriority w:val="0"/>
    <w:pPr>
      <w:ind w:firstLine="420" w:firstLineChars="100"/>
    </w:pPr>
  </w:style>
  <w:style w:type="paragraph" w:styleId="86">
    <w:name w:val="Body Text First Indent 2"/>
    <w:basedOn w:val="36"/>
    <w:next w:val="85"/>
    <w:link w:val="154"/>
    <w:uiPriority w:val="0"/>
    <w:pPr>
      <w:spacing w:after="120" w:afterLines="0" w:line="240" w:lineRule="auto"/>
      <w:ind w:left="420" w:leftChars="200" w:firstLine="420"/>
    </w:pPr>
    <w:rPr>
      <w:rFonts w:ascii="Times New Roman" w:hAnsi="Times New Roman"/>
    </w:rPr>
  </w:style>
  <w:style w:type="table" w:styleId="88">
    <w:name w:val="Table Grid"/>
    <w:basedOn w:val="87"/>
    <w:uiPriority w:val="99"/>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uiPriority w:val="0"/>
    <w:pPr>
      <w:widowControl w:val="0"/>
      <w:jc w:val="both"/>
    </w:pPr>
    <w:rPr>
      <w:sz w:val="21"/>
    </w:rPr>
    <w:tblPr>
      <w:tblStyle w:val="8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styleId="90">
    <w:name w:val="Table Elegant"/>
    <w:basedOn w:val="87"/>
    <w:uiPriority w:val="0"/>
    <w:pPr>
      <w:widowControl w:val="0"/>
      <w:jc w:val="both"/>
    </w:pPr>
    <w:tblPr>
      <w:tblStyle w:val="87"/>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7"/>
      </w:tblPr>
      <w:tcPr>
        <w:tcBorders>
          <w:top w:val="nil"/>
          <w:left w:val="nil"/>
          <w:bottom w:val="nil"/>
          <w:right w:val="nil"/>
          <w:insideH w:val="nil"/>
          <w:insideV w:val="nil"/>
          <w:tl2br w:val="nil"/>
          <w:tr2bl w:val="nil"/>
        </w:tcBorders>
      </w:tcPr>
    </w:tblStylePr>
  </w:style>
  <w:style w:type="table" w:styleId="91">
    <w:name w:val="Table Contemporary"/>
    <w:basedOn w:val="87"/>
    <w:uiPriority w:val="0"/>
    <w:pPr>
      <w:widowControl w:val="0"/>
      <w:jc w:val="center"/>
    </w:pPr>
    <w:rPr>
      <w:rFonts w:ascii="宋体" w:hAnsi="Times New Roman"/>
      <w:szCs w:val="21"/>
    </w:rPr>
    <w:tblPr>
      <w:tblStyle w:val="87"/>
      <w:tblBorders>
        <w:top w:val="single" w:color="000080" w:sz="12" w:space="0"/>
        <w:left w:val="single" w:color="000080" w:sz="12" w:space="0"/>
        <w:bottom w:val="single" w:color="000080" w:sz="12" w:space="0"/>
        <w:right w:val="single" w:color="000080" w:sz="12" w:space="0"/>
        <w:insideH w:val="single" w:color="000080" w:sz="6" w:space="0"/>
        <w:insideV w:val="single" w:color="000080" w:sz="6" w:space="0"/>
      </w:tblBorders>
    </w:tblPr>
    <w:tcPr>
      <w:shd w:val="clear" w:color="auto" w:fill="F3F3F3"/>
      <w:vAlign w:val="center"/>
    </w:tcPr>
    <w:tblStylePr w:type="firstRow">
      <w:rPr>
        <w:b/>
        <w:bCs/>
        <w:color w:val="auto"/>
      </w:rPr>
      <w:tblPr>
        <w:tblStyle w:val="87"/>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Style w:val="87"/>
      </w:tblPr>
      <w:tcPr>
        <w:tcBorders>
          <w:top w:val="nil"/>
          <w:left w:val="nil"/>
          <w:bottom w:val="nil"/>
          <w:right w:val="nil"/>
          <w:insideH w:val="nil"/>
          <w:insideV w:val="nil"/>
          <w:tl2br w:val="nil"/>
          <w:tr2bl w:val="nil"/>
        </w:tcBorders>
        <w:shd w:val="pct5" w:color="000000" w:fill="FFFFFF"/>
      </w:tcPr>
    </w:tblStylePr>
    <w:tblStylePr w:type="band2Horz">
      <w:rPr>
        <w:color w:val="auto"/>
      </w:rPr>
      <w:tblPr>
        <w:tblStyle w:val="87"/>
      </w:tblPr>
      <w:tcPr>
        <w:tcBorders>
          <w:top w:val="nil"/>
          <w:left w:val="nil"/>
          <w:bottom w:val="nil"/>
          <w:right w:val="nil"/>
          <w:insideH w:val="nil"/>
          <w:insideV w:val="nil"/>
          <w:tl2br w:val="nil"/>
          <w:tr2bl w:val="nil"/>
        </w:tcBorders>
        <w:shd w:val="pct20" w:color="000000" w:fill="FFFFFF"/>
      </w:tcPr>
    </w:tblStylePr>
  </w:style>
  <w:style w:type="table" w:styleId="92">
    <w:name w:val="Table Grid 1"/>
    <w:basedOn w:val="87"/>
    <w:uiPriority w:val="0"/>
    <w:pPr>
      <w:widowControl w:val="0"/>
      <w:jc w:val="both"/>
    </w:pPr>
    <w:tblPr>
      <w:tblStyle w:val="87"/>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7"/>
      </w:tblPr>
      <w:tcPr>
        <w:tcBorders>
          <w:top w:val="nil"/>
          <w:left w:val="nil"/>
          <w:bottom w:val="nil"/>
          <w:right w:val="nil"/>
          <w:insideH w:val="nil"/>
          <w:insideV w:val="nil"/>
          <w:tl2br w:val="nil"/>
          <w:tr2bl w:val="nil"/>
        </w:tcBorders>
      </w:tcPr>
    </w:tblStylePr>
    <w:tblStylePr w:type="lastCol">
      <w:rPr>
        <w:i/>
        <w:iCs/>
      </w:rPr>
      <w:tblPr>
        <w:tblStyle w:val="87"/>
      </w:tblPr>
      <w:tcPr>
        <w:tcBorders>
          <w:top w:val="nil"/>
          <w:left w:val="nil"/>
          <w:bottom w:val="nil"/>
          <w:right w:val="nil"/>
          <w:insideH w:val="nil"/>
          <w:insideV w:val="nil"/>
          <w:tl2br w:val="nil"/>
          <w:tr2bl w:val="nil"/>
        </w:tcBorders>
      </w:tcPr>
    </w:tblStylePr>
    <w:tblStylePr w:type="nwCell">
      <w:tblPr>
        <w:tblStyle w:val="87"/>
      </w:tblPr>
      <w:tcPr>
        <w:tcBorders>
          <w:top w:val="nil"/>
          <w:left w:val="nil"/>
          <w:bottom w:val="nil"/>
          <w:right w:val="nil"/>
          <w:insideH w:val="nil"/>
          <w:insideV w:val="nil"/>
          <w:tl2br w:val="single" w:color="000000" w:sz="6" w:space="0"/>
          <w:tr2bl w:val="nil"/>
        </w:tcBorders>
      </w:tcPr>
    </w:tblStylePr>
  </w:style>
  <w:style w:type="table" w:styleId="93">
    <w:name w:val="Table Grid 5"/>
    <w:basedOn w:val="87"/>
    <w:uiPriority w:val="0"/>
    <w:pPr>
      <w:widowControl w:val="0"/>
      <w:jc w:val="both"/>
    </w:pPr>
    <w:tblPr>
      <w:tblStyle w:val="87"/>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87"/>
      </w:tblPr>
      <w:tcPr>
        <w:tcBorders>
          <w:top w:val="nil"/>
          <w:left w:val="single" w:color="000000" w:sz="12" w:space="0"/>
          <w:bottom w:val="nil"/>
          <w:right w:val="nil"/>
          <w:insideH w:val="nil"/>
          <w:insideV w:val="nil"/>
          <w:tl2br w:val="nil"/>
          <w:tr2bl w:val="nil"/>
        </w:tcBorders>
      </w:tcPr>
    </w:tblStylePr>
    <w:tblStylePr w:type="lastRow">
      <w:rPr>
        <w:b/>
        <w:bCs/>
      </w:rPr>
      <w:tblPr>
        <w:tblStyle w:val="87"/>
      </w:tblPr>
      <w:tcPr>
        <w:tcBorders>
          <w:top w:val="nil"/>
          <w:left w:val="nil"/>
          <w:bottom w:val="nil"/>
          <w:right w:val="nil"/>
          <w:insideH w:val="nil"/>
          <w:insideV w:val="nil"/>
          <w:tl2br w:val="nil"/>
          <w:tr2bl w:val="nil"/>
        </w:tcBorders>
      </w:tcPr>
    </w:tblStylePr>
    <w:tblStylePr w:type="lastCol">
      <w:rPr>
        <w:b/>
        <w:bCs/>
      </w:rPr>
      <w:tblPr>
        <w:tblStyle w:val="87"/>
      </w:tblPr>
      <w:tcPr>
        <w:tcBorders>
          <w:top w:val="nil"/>
          <w:left w:val="nil"/>
          <w:bottom w:val="nil"/>
          <w:right w:val="nil"/>
          <w:insideH w:val="nil"/>
          <w:insideV w:val="nil"/>
          <w:tl2br w:val="nil"/>
          <w:tr2bl w:val="nil"/>
        </w:tcBorders>
      </w:tcPr>
    </w:tblStylePr>
    <w:tblStylePr w:type="nwCell">
      <w:tblPr>
        <w:tblStyle w:val="87"/>
      </w:tblPr>
      <w:tcPr>
        <w:tcBorders>
          <w:top w:val="nil"/>
          <w:left w:val="nil"/>
          <w:bottom w:val="nil"/>
          <w:right w:val="nil"/>
          <w:insideH w:val="nil"/>
          <w:insideV w:val="nil"/>
          <w:tl2br w:val="single" w:color="000000" w:sz="6" w:space="0"/>
          <w:tr2bl w:val="nil"/>
        </w:tcBorders>
      </w:tcPr>
    </w:tblStylePr>
  </w:style>
  <w:style w:type="table" w:styleId="94">
    <w:name w:val="Table Grid 7"/>
    <w:basedOn w:val="87"/>
    <w:uiPriority w:val="0"/>
    <w:pPr>
      <w:widowControl w:val="0"/>
      <w:jc w:val="both"/>
    </w:pPr>
    <w:rPr>
      <w:b/>
      <w:bCs/>
    </w:rPr>
    <w:tblPr>
      <w:tblStyle w:val="87"/>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blStyle w:val="87"/>
      </w:tblPr>
      <w:tcPr>
        <w:tcBorders>
          <w:top w:val="nil"/>
          <w:left w:val="single" w:color="000000" w:sz="12" w:space="0"/>
          <w:bottom w:val="nil"/>
          <w:right w:val="nil"/>
          <w:insideH w:val="nil"/>
          <w:insideV w:val="nil"/>
          <w:tl2br w:val="nil"/>
          <w:tr2bl w:val="nil"/>
        </w:tcBorders>
      </w:tcPr>
    </w:tblStylePr>
    <w:tblStylePr w:type="lastRow">
      <w:rPr>
        <w:b w:val="0"/>
        <w:bCs w:val="0"/>
      </w:rPr>
      <w:tblPr>
        <w:tblStyle w:val="87"/>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87"/>
      </w:tblPr>
      <w:tcPr>
        <w:tcBorders>
          <w:top w:val="nil"/>
          <w:left w:val="nil"/>
          <w:bottom w:val="nil"/>
          <w:right w:val="nil"/>
          <w:insideH w:val="nil"/>
          <w:insideV w:val="nil"/>
          <w:tl2br w:val="nil"/>
          <w:tr2bl w:val="nil"/>
        </w:tcBorders>
      </w:tcPr>
    </w:tblStylePr>
    <w:tblStylePr w:type="lastCol">
      <w:rPr>
        <w:b w:val="0"/>
        <w:bCs w:val="0"/>
      </w:rPr>
      <w:tblPr>
        <w:tblStyle w:val="87"/>
      </w:tblPr>
      <w:tcPr>
        <w:tcBorders>
          <w:top w:val="nil"/>
          <w:left w:val="nil"/>
          <w:bottom w:val="nil"/>
          <w:right w:val="nil"/>
          <w:insideH w:val="nil"/>
          <w:insideV w:val="nil"/>
          <w:tl2br w:val="nil"/>
          <w:tr2bl w:val="nil"/>
        </w:tcBorders>
      </w:tcPr>
    </w:tblStylePr>
    <w:tblStylePr w:type="nwCell">
      <w:tblPr>
        <w:tblStyle w:val="87"/>
      </w:tblPr>
      <w:tcPr>
        <w:tcBorders>
          <w:top w:val="nil"/>
          <w:left w:val="nil"/>
          <w:bottom w:val="nil"/>
          <w:right w:val="nil"/>
          <w:insideH w:val="nil"/>
          <w:insideV w:val="nil"/>
          <w:tl2br w:val="single" w:color="000000" w:sz="6" w:space="0"/>
          <w:tr2bl w:val="nil"/>
        </w:tcBorders>
      </w:tcPr>
    </w:tblStylePr>
  </w:style>
  <w:style w:type="table" w:styleId="95">
    <w:name w:val="Table Professional"/>
    <w:basedOn w:val="87"/>
    <w:uiPriority w:val="0"/>
    <w:pPr>
      <w:widowControl w:val="0"/>
      <w:jc w:val="both"/>
    </w:pPr>
    <w:tblPr>
      <w:tblStyle w:val="87"/>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blStyle w:val="87"/>
      </w:tblPr>
      <w:tcPr>
        <w:tcBorders>
          <w:top w:val="nil"/>
          <w:left w:val="nil"/>
          <w:bottom w:val="nil"/>
          <w:right w:val="nil"/>
          <w:insideH w:val="nil"/>
          <w:insideV w:val="nil"/>
          <w:tl2br w:val="nil"/>
          <w:tr2bl w:val="nil"/>
        </w:tcBorders>
        <w:shd w:val="solid" w:color="000000" w:fill="FFFFFF"/>
      </w:tcPr>
    </w:tblStylePr>
  </w:style>
  <w:style w:type="character" w:styleId="97">
    <w:name w:val="Strong"/>
    <w:qFormat/>
    <w:uiPriority w:val="0"/>
    <w:rPr>
      <w:b/>
      <w:bCs/>
    </w:rPr>
  </w:style>
  <w:style w:type="character" w:styleId="98">
    <w:name w:val="endnote reference"/>
    <w:uiPriority w:val="0"/>
    <w:rPr>
      <w:vertAlign w:val="superscript"/>
    </w:rPr>
  </w:style>
  <w:style w:type="character" w:styleId="99">
    <w:name w:val="page number"/>
    <w:basedOn w:val="96"/>
    <w:uiPriority w:val="0"/>
  </w:style>
  <w:style w:type="character" w:styleId="100">
    <w:name w:val="FollowedHyperlink"/>
    <w:uiPriority w:val="0"/>
    <w:rPr>
      <w:color w:val="800080"/>
      <w:u w:val="single"/>
    </w:rPr>
  </w:style>
  <w:style w:type="character" w:styleId="101">
    <w:name w:val="Emphasis"/>
    <w:qFormat/>
    <w:uiPriority w:val="0"/>
    <w:rPr>
      <w:rFonts w:ascii="Arial Black" w:hAnsi="Arial Black"/>
      <w:sz w:val="18"/>
      <w:lang w:eastAsia="ja-JP"/>
    </w:rPr>
  </w:style>
  <w:style w:type="character" w:styleId="102">
    <w:name w:val="line number"/>
    <w:basedOn w:val="96"/>
    <w:uiPriority w:val="0"/>
  </w:style>
  <w:style w:type="character" w:styleId="103">
    <w:name w:val="HTML Definition"/>
    <w:uiPriority w:val="0"/>
    <w:rPr>
      <w:i/>
      <w:iCs/>
    </w:rPr>
  </w:style>
  <w:style w:type="character" w:styleId="104">
    <w:name w:val="HTML Typewriter"/>
    <w:uiPriority w:val="0"/>
    <w:rPr>
      <w:rFonts w:ascii="宋体" w:hAnsi="宋体" w:eastAsia="宋体"/>
      <w:sz w:val="18"/>
    </w:rPr>
  </w:style>
  <w:style w:type="character" w:styleId="105">
    <w:name w:val="HTML Acronym"/>
    <w:basedOn w:val="96"/>
    <w:uiPriority w:val="0"/>
  </w:style>
  <w:style w:type="character" w:styleId="106">
    <w:name w:val="HTML Variable"/>
    <w:uiPriority w:val="0"/>
    <w:rPr>
      <w:i/>
      <w:iCs/>
    </w:rPr>
  </w:style>
  <w:style w:type="character" w:styleId="107">
    <w:name w:val="Hyperlink"/>
    <w:uiPriority w:val="99"/>
    <w:rPr>
      <w:color w:val="0000FF"/>
      <w:u w:val="single"/>
    </w:rPr>
  </w:style>
  <w:style w:type="character" w:styleId="108">
    <w:name w:val="HTML Code"/>
    <w:uiPriority w:val="0"/>
    <w:rPr>
      <w:rFonts w:hint="default" w:ascii="Courier New" w:hAnsi="Courier New" w:eastAsia="宋体" w:cs="Courier New"/>
      <w:spacing w:val="0"/>
      <w:sz w:val="20"/>
      <w:szCs w:val="20"/>
      <w:bdr w:val="single" w:color="CCCCCC" w:sz="6" w:space="0"/>
      <w:shd w:val="clear" w:color="auto" w:fill="EEEEEE"/>
    </w:rPr>
  </w:style>
  <w:style w:type="character" w:styleId="109">
    <w:name w:val="annotation reference"/>
    <w:uiPriority w:val="0"/>
    <w:rPr>
      <w:sz w:val="21"/>
      <w:szCs w:val="21"/>
    </w:rPr>
  </w:style>
  <w:style w:type="character" w:styleId="110">
    <w:name w:val="HTML Cite"/>
    <w:uiPriority w:val="0"/>
    <w:rPr>
      <w:i/>
      <w:iCs/>
    </w:rPr>
  </w:style>
  <w:style w:type="character" w:styleId="111">
    <w:name w:val="footnote reference"/>
    <w:uiPriority w:val="0"/>
    <w:rPr>
      <w:vertAlign w:val="superscript"/>
    </w:rPr>
  </w:style>
  <w:style w:type="character" w:styleId="112">
    <w:name w:val="HTML Keyboard"/>
    <w:uiPriority w:val="0"/>
    <w:rPr>
      <w:rFonts w:ascii="Courier New" w:hAnsi="Courier New" w:cs="Courier New"/>
      <w:sz w:val="20"/>
      <w:szCs w:val="20"/>
    </w:rPr>
  </w:style>
  <w:style w:type="character" w:styleId="113">
    <w:name w:val="HTML Sample"/>
    <w:uiPriority w:val="0"/>
    <w:rPr>
      <w:rFonts w:ascii="Courier New" w:hAnsi="Courier New"/>
    </w:rPr>
  </w:style>
  <w:style w:type="character" w:customStyle="1" w:styleId="114">
    <w:name w:val="宏文本 Char"/>
    <w:link w:val="4"/>
    <w:locked/>
    <w:uiPriority w:val="0"/>
    <w:rPr>
      <w:rFonts w:ascii="Courier New" w:hAnsi="Courier New" w:cs="Courier New"/>
      <w:kern w:val="2"/>
      <w:sz w:val="24"/>
      <w:szCs w:val="24"/>
      <w:lang w:val="en-US" w:eastAsia="zh-CN" w:bidi="ar-SA"/>
    </w:rPr>
  </w:style>
  <w:style w:type="character" w:customStyle="1" w:styleId="115">
    <w:name w:val="标题 1 Char2"/>
    <w:link w:val="5"/>
    <w:uiPriority w:val="0"/>
    <w:rPr>
      <w:rFonts w:eastAsia="宋体"/>
      <w:b/>
      <w:bCs/>
      <w:kern w:val="44"/>
      <w:sz w:val="44"/>
      <w:szCs w:val="44"/>
      <w:lang w:val="en-US" w:eastAsia="zh-CN" w:bidi="ar-SA"/>
    </w:rPr>
  </w:style>
  <w:style w:type="character" w:customStyle="1" w:styleId="116">
    <w:name w:val="标题 2 Char3"/>
    <w:link w:val="6"/>
    <w:uiPriority w:val="0"/>
    <w:rPr>
      <w:rFonts w:ascii="Arial" w:hAnsi="Arial" w:eastAsia="黑体"/>
      <w:b/>
      <w:bCs/>
      <w:kern w:val="2"/>
      <w:sz w:val="32"/>
      <w:szCs w:val="32"/>
      <w:lang w:val="en-US" w:eastAsia="zh-CN" w:bidi="ar-SA"/>
    </w:rPr>
  </w:style>
  <w:style w:type="character" w:customStyle="1" w:styleId="117">
    <w:name w:val="标题 3 Char3"/>
    <w:link w:val="7"/>
    <w:locked/>
    <w:uiPriority w:val="0"/>
    <w:rPr>
      <w:rFonts w:ascii="Calibri" w:hAnsi="Calibri" w:eastAsia="宋体"/>
      <w:b/>
      <w:bCs/>
      <w:kern w:val="2"/>
      <w:sz w:val="32"/>
      <w:szCs w:val="32"/>
      <w:lang w:val="en-US" w:eastAsia="zh-CN" w:bidi="ar-SA"/>
    </w:rPr>
  </w:style>
  <w:style w:type="character" w:customStyle="1" w:styleId="118">
    <w:name w:val="标题 4 Char3"/>
    <w:link w:val="8"/>
    <w:uiPriority w:val="0"/>
    <w:rPr>
      <w:rFonts w:ascii="Times New Roman" w:hAnsi="Times New Roman" w:eastAsia="宋体"/>
      <w:b/>
      <w:kern w:val="2"/>
      <w:sz w:val="28"/>
      <w:lang w:val="en-US" w:eastAsia="zh-CN" w:bidi="ar-SA"/>
    </w:rPr>
  </w:style>
  <w:style w:type="character" w:customStyle="1" w:styleId="119">
    <w:name w:val="标题 5 Char3"/>
    <w:link w:val="9"/>
    <w:uiPriority w:val="0"/>
    <w:rPr>
      <w:b/>
      <w:kern w:val="2"/>
      <w:sz w:val="28"/>
    </w:rPr>
  </w:style>
  <w:style w:type="character" w:customStyle="1" w:styleId="120">
    <w:name w:val="正文缩进 Char2"/>
    <w:link w:val="10"/>
    <w:uiPriority w:val="0"/>
    <w:rPr>
      <w:rFonts w:eastAsia="宋体"/>
      <w:kern w:val="2"/>
      <w:sz w:val="21"/>
      <w:szCs w:val="24"/>
      <w:lang w:val="en-US" w:eastAsia="zh-CN" w:bidi="ar-SA"/>
    </w:rPr>
  </w:style>
  <w:style w:type="character" w:customStyle="1" w:styleId="121">
    <w:name w:val="标题 6 Char2"/>
    <w:link w:val="11"/>
    <w:uiPriority w:val="0"/>
    <w:rPr>
      <w:rFonts w:ascii="Arial" w:hAnsi="Arial" w:eastAsia="黑体"/>
      <w:b/>
      <w:kern w:val="2"/>
      <w:sz w:val="24"/>
    </w:rPr>
  </w:style>
  <w:style w:type="character" w:customStyle="1" w:styleId="122">
    <w:name w:val="标题 7 Char2"/>
    <w:link w:val="12"/>
    <w:uiPriority w:val="0"/>
    <w:rPr>
      <w:b/>
      <w:kern w:val="2"/>
      <w:sz w:val="24"/>
    </w:rPr>
  </w:style>
  <w:style w:type="character" w:customStyle="1" w:styleId="123">
    <w:name w:val="标题 8 Char2"/>
    <w:link w:val="13"/>
    <w:uiPriority w:val="0"/>
    <w:rPr>
      <w:rFonts w:ascii="Arial" w:hAnsi="Arial" w:eastAsia="黑体"/>
      <w:kern w:val="2"/>
      <w:sz w:val="24"/>
    </w:rPr>
  </w:style>
  <w:style w:type="character" w:customStyle="1" w:styleId="124">
    <w:name w:val="标题 9 Char2"/>
    <w:link w:val="14"/>
    <w:uiPriority w:val="0"/>
    <w:rPr>
      <w:rFonts w:ascii="Arial" w:hAnsi="Arial" w:eastAsia="黑体"/>
      <w:kern w:val="2"/>
      <w:sz w:val="21"/>
    </w:rPr>
  </w:style>
  <w:style w:type="character" w:customStyle="1" w:styleId="125">
    <w:name w:val="注释标题 Char"/>
    <w:link w:val="19"/>
    <w:locked/>
    <w:uiPriority w:val="0"/>
    <w:rPr>
      <w:rFonts w:ascii="Calibri" w:hAnsi="Calibri" w:eastAsia="宋体"/>
      <w:kern w:val="2"/>
      <w:sz w:val="21"/>
      <w:lang w:val="en-US" w:eastAsia="zh-CN" w:bidi="ar-SA"/>
    </w:rPr>
  </w:style>
  <w:style w:type="character" w:customStyle="1" w:styleId="126">
    <w:name w:val="电子邮件签名 Char"/>
    <w:link w:val="22"/>
    <w:locked/>
    <w:uiPriority w:val="0"/>
    <w:rPr>
      <w:rFonts w:ascii="Calibri" w:hAnsi="Calibri" w:eastAsia="宋体"/>
      <w:kern w:val="2"/>
      <w:sz w:val="24"/>
      <w:szCs w:val="24"/>
      <w:lang w:val="en-US" w:eastAsia="zh-CN" w:bidi="ar-SA"/>
    </w:rPr>
  </w:style>
  <w:style w:type="character" w:customStyle="1" w:styleId="127">
    <w:name w:val="文档结构图 Char2"/>
    <w:link w:val="27"/>
    <w:uiPriority w:val="0"/>
    <w:rPr>
      <w:rFonts w:eastAsia="宋体"/>
      <w:kern w:val="2"/>
      <w:sz w:val="21"/>
      <w:szCs w:val="24"/>
      <w:lang w:val="en-US" w:eastAsia="zh-CN" w:bidi="ar-SA"/>
    </w:rPr>
  </w:style>
  <w:style w:type="character" w:customStyle="1" w:styleId="128">
    <w:name w:val="批注文字 Char2"/>
    <w:link w:val="29"/>
    <w:uiPriority w:val="0"/>
    <w:rPr>
      <w:rFonts w:eastAsia="宋体"/>
      <w:sz w:val="28"/>
      <w:lang w:val="en-US" w:eastAsia="zh-CN" w:bidi="ar-SA"/>
    </w:rPr>
  </w:style>
  <w:style w:type="character" w:customStyle="1" w:styleId="129">
    <w:name w:val="称呼 Char1"/>
    <w:link w:val="31"/>
    <w:locked/>
    <w:uiPriority w:val="0"/>
    <w:rPr>
      <w:rFonts w:ascii="Calibri" w:hAnsi="Calibri" w:eastAsia="仿宋_GB2312"/>
      <w:kern w:val="2"/>
      <w:sz w:val="28"/>
      <w:szCs w:val="28"/>
      <w:lang w:val="en-US" w:eastAsia="zh-CN" w:bidi="ar-SA"/>
    </w:rPr>
  </w:style>
  <w:style w:type="character" w:customStyle="1" w:styleId="130">
    <w:name w:val="正文文本 3 Char1"/>
    <w:link w:val="32"/>
    <w:uiPriority w:val="0"/>
    <w:rPr>
      <w:rFonts w:eastAsia="宋体"/>
      <w:kern w:val="2"/>
      <w:sz w:val="16"/>
      <w:szCs w:val="16"/>
      <w:lang w:val="en-US" w:eastAsia="zh-CN" w:bidi="ar-SA"/>
    </w:rPr>
  </w:style>
  <w:style w:type="character" w:customStyle="1" w:styleId="131">
    <w:name w:val="结束语 Char1"/>
    <w:link w:val="33"/>
    <w:locked/>
    <w:uiPriority w:val="0"/>
    <w:rPr>
      <w:rFonts w:ascii="Calibri" w:hAnsi="Calibri" w:eastAsia="宋体"/>
      <w:kern w:val="2"/>
      <w:sz w:val="24"/>
      <w:szCs w:val="24"/>
      <w:lang w:val="en-US" w:eastAsia="zh-CN" w:bidi="ar-SA"/>
    </w:rPr>
  </w:style>
  <w:style w:type="character" w:customStyle="1" w:styleId="132">
    <w:name w:val="正文文本 Char1"/>
    <w:link w:val="35"/>
    <w:uiPriority w:val="0"/>
    <w:rPr>
      <w:rFonts w:eastAsia="宋体"/>
      <w:kern w:val="2"/>
      <w:sz w:val="21"/>
      <w:szCs w:val="24"/>
      <w:lang w:val="en-US" w:eastAsia="zh-CN" w:bidi="ar-SA"/>
    </w:rPr>
  </w:style>
  <w:style w:type="character" w:customStyle="1" w:styleId="133">
    <w:name w:val="正文文本缩进 Char4"/>
    <w:link w:val="36"/>
    <w:uiPriority w:val="0"/>
    <w:rPr>
      <w:rFonts w:ascii="宋体" w:hAnsi="宋体" w:eastAsia="宋体"/>
      <w:kern w:val="2"/>
      <w:sz w:val="24"/>
      <w:szCs w:val="24"/>
      <w:lang w:val="en-US" w:eastAsia="zh-CN" w:bidi="ar-SA"/>
    </w:rPr>
  </w:style>
  <w:style w:type="character" w:customStyle="1" w:styleId="134">
    <w:name w:val="HTML 地址 Char"/>
    <w:link w:val="43"/>
    <w:locked/>
    <w:uiPriority w:val="0"/>
    <w:rPr>
      <w:rFonts w:ascii="Calibri" w:hAnsi="Calibri" w:eastAsia="宋体"/>
      <w:i/>
      <w:iCs/>
      <w:kern w:val="2"/>
      <w:sz w:val="24"/>
      <w:szCs w:val="24"/>
      <w:lang w:val="en-US" w:eastAsia="zh-CN" w:bidi="ar-SA"/>
    </w:rPr>
  </w:style>
  <w:style w:type="character" w:customStyle="1" w:styleId="135">
    <w:name w:val="纯文本 Char4"/>
    <w:link w:val="47"/>
    <w:uiPriority w:val="0"/>
    <w:rPr>
      <w:rFonts w:ascii="宋体" w:hAnsi="Courier New" w:eastAsia="宋体" w:cs="Courier New"/>
      <w:kern w:val="2"/>
      <w:sz w:val="21"/>
      <w:szCs w:val="21"/>
      <w:lang w:val="en-US" w:eastAsia="zh-CN" w:bidi="ar-SA"/>
    </w:rPr>
  </w:style>
  <w:style w:type="character" w:customStyle="1" w:styleId="136">
    <w:name w:val="日期 Char2"/>
    <w:link w:val="51"/>
    <w:locked/>
    <w:uiPriority w:val="0"/>
    <w:rPr>
      <w:rFonts w:ascii="Calibri" w:hAnsi="Calibri" w:eastAsia="宋体"/>
      <w:kern w:val="2"/>
      <w:sz w:val="21"/>
      <w:lang w:val="en-US" w:eastAsia="zh-CN" w:bidi="ar-SA"/>
    </w:rPr>
  </w:style>
  <w:style w:type="character" w:customStyle="1" w:styleId="137">
    <w:name w:val="正文文本缩进 2 Char1"/>
    <w:link w:val="52"/>
    <w:uiPriority w:val="0"/>
    <w:rPr>
      <w:rFonts w:ascii="宋体" w:hAnsi="宋体" w:eastAsia="宋体"/>
      <w:kern w:val="2"/>
      <w:sz w:val="24"/>
      <w:szCs w:val="28"/>
      <w:lang w:val="en-US" w:eastAsia="zh-CN" w:bidi="ar-SA"/>
    </w:rPr>
  </w:style>
  <w:style w:type="character" w:customStyle="1" w:styleId="138">
    <w:name w:val="尾注文本 Char1"/>
    <w:link w:val="53"/>
    <w:locked/>
    <w:uiPriority w:val="0"/>
    <w:rPr>
      <w:rFonts w:ascii="Arial" w:hAnsi="Arial" w:eastAsia="宋体"/>
      <w:bCs/>
      <w:snapToGrid w:val="0"/>
      <w:kern w:val="2"/>
      <w:sz w:val="24"/>
      <w:szCs w:val="24"/>
      <w:lang w:val="eu-ES" w:bidi="ar-SA"/>
    </w:rPr>
  </w:style>
  <w:style w:type="character" w:customStyle="1" w:styleId="139">
    <w:name w:val="批注框文本 Char2"/>
    <w:link w:val="55"/>
    <w:uiPriority w:val="0"/>
    <w:rPr>
      <w:rFonts w:eastAsia="宋体"/>
      <w:kern w:val="2"/>
      <w:sz w:val="18"/>
      <w:szCs w:val="18"/>
      <w:lang w:val="en-US" w:eastAsia="zh-CN" w:bidi="ar-SA"/>
    </w:rPr>
  </w:style>
  <w:style w:type="character" w:customStyle="1" w:styleId="140">
    <w:name w:val="页脚 Char2"/>
    <w:link w:val="56"/>
    <w:uiPriority w:val="0"/>
    <w:rPr>
      <w:rFonts w:eastAsia="宋体"/>
      <w:kern w:val="2"/>
      <w:sz w:val="18"/>
      <w:szCs w:val="18"/>
      <w:lang w:val="en-US" w:eastAsia="zh-CN" w:bidi="ar-SA"/>
    </w:rPr>
  </w:style>
  <w:style w:type="character" w:customStyle="1" w:styleId="141">
    <w:name w:val="页眉 Char2"/>
    <w:link w:val="58"/>
    <w:uiPriority w:val="0"/>
    <w:rPr>
      <w:rFonts w:eastAsia="宋体"/>
      <w:kern w:val="2"/>
      <w:sz w:val="18"/>
      <w:szCs w:val="18"/>
      <w:lang w:val="en-US" w:eastAsia="zh-CN" w:bidi="ar-SA"/>
    </w:rPr>
  </w:style>
  <w:style w:type="character" w:customStyle="1" w:styleId="142">
    <w:name w:val="签名 Char"/>
    <w:link w:val="59"/>
    <w:locked/>
    <w:uiPriority w:val="0"/>
    <w:rPr>
      <w:rFonts w:ascii="Calibri" w:hAnsi="Calibri" w:eastAsia="宋体"/>
      <w:kern w:val="2"/>
      <w:sz w:val="24"/>
      <w:szCs w:val="24"/>
      <w:lang w:val="en-US" w:eastAsia="zh-CN" w:bidi="ar-SA"/>
    </w:rPr>
  </w:style>
  <w:style w:type="character" w:customStyle="1" w:styleId="143">
    <w:name w:val="副标题 Char"/>
    <w:link w:val="65"/>
    <w:locked/>
    <w:uiPriority w:val="0"/>
    <w:rPr>
      <w:rFonts w:ascii="Arial" w:hAnsi="Arial" w:eastAsia="宋体" w:cs="Arial"/>
      <w:b/>
      <w:bCs/>
      <w:kern w:val="28"/>
      <w:sz w:val="24"/>
      <w:szCs w:val="32"/>
      <w:lang w:val="en-US" w:eastAsia="zh-CN" w:bidi="ar-SA"/>
    </w:rPr>
  </w:style>
  <w:style w:type="character" w:customStyle="1" w:styleId="144">
    <w:name w:val="列表 Char1"/>
    <w:link w:val="67"/>
    <w:uiPriority w:val="0"/>
    <w:rPr>
      <w:rFonts w:eastAsia="宋体"/>
      <w:kern w:val="2"/>
      <w:sz w:val="21"/>
      <w:szCs w:val="24"/>
      <w:lang w:val="en-US" w:eastAsia="zh-CN" w:bidi="ar-SA"/>
    </w:rPr>
  </w:style>
  <w:style w:type="character" w:customStyle="1" w:styleId="145">
    <w:name w:val="脚注文本 Char"/>
    <w:link w:val="68"/>
    <w:locked/>
    <w:uiPriority w:val="0"/>
    <w:rPr>
      <w:rFonts w:ascii="Calibri" w:hAnsi="Calibri" w:eastAsia="宋体"/>
      <w:kern w:val="2"/>
      <w:sz w:val="18"/>
      <w:szCs w:val="18"/>
      <w:lang w:val="en-US" w:eastAsia="zh-CN" w:bidi="ar-SA"/>
    </w:rPr>
  </w:style>
  <w:style w:type="character" w:customStyle="1" w:styleId="146">
    <w:name w:val="正文文本缩进 3 Char1"/>
    <w:link w:val="71"/>
    <w:uiPriority w:val="0"/>
    <w:rPr>
      <w:rFonts w:ascii="宋体" w:hAnsi="宋体" w:eastAsia="宋体"/>
      <w:spacing w:val="-4"/>
      <w:kern w:val="2"/>
      <w:sz w:val="24"/>
      <w:szCs w:val="24"/>
      <w:lang w:val="en-US" w:eastAsia="zh-CN" w:bidi="ar-SA"/>
    </w:rPr>
  </w:style>
  <w:style w:type="character" w:customStyle="1" w:styleId="147">
    <w:name w:val="正文文本 2 Char1"/>
    <w:link w:val="76"/>
    <w:uiPriority w:val="0"/>
    <w:rPr>
      <w:rFonts w:eastAsia="宋体"/>
      <w:kern w:val="2"/>
      <w:sz w:val="21"/>
      <w:szCs w:val="24"/>
      <w:lang w:val="en-US" w:eastAsia="zh-CN" w:bidi="ar-SA"/>
    </w:rPr>
  </w:style>
  <w:style w:type="character" w:customStyle="1" w:styleId="148">
    <w:name w:val="信息标题 Char"/>
    <w:link w:val="79"/>
    <w:locked/>
    <w:uiPriority w:val="0"/>
    <w:rPr>
      <w:rFonts w:ascii="Arial" w:hAnsi="Arial" w:eastAsia="宋体" w:cs="Arial"/>
      <w:kern w:val="2"/>
      <w:sz w:val="24"/>
      <w:szCs w:val="24"/>
      <w:lang w:val="en-US" w:eastAsia="zh-CN" w:bidi="ar-SA"/>
    </w:rPr>
  </w:style>
  <w:style w:type="character" w:customStyle="1" w:styleId="149">
    <w:name w:val="HTML 预设格式 Char1"/>
    <w:link w:val="80"/>
    <w:locked/>
    <w:uiPriority w:val="0"/>
    <w:rPr>
      <w:rFonts w:ascii="黑体" w:hAnsi="Courier New" w:eastAsia="黑体" w:cs="Courier New"/>
      <w:color w:val="000000"/>
      <w:lang w:val="en-US" w:eastAsia="zh-CN" w:bidi="ar-SA"/>
    </w:rPr>
  </w:style>
  <w:style w:type="character" w:customStyle="1" w:styleId="150">
    <w:name w:val="普通(网站) Char"/>
    <w:link w:val="81"/>
    <w:locked/>
    <w:uiPriority w:val="0"/>
    <w:rPr>
      <w:rFonts w:ascii="宋体" w:hAnsi="宋体" w:eastAsia="仿宋_GB2312"/>
      <w:color w:val="000000"/>
      <w:sz w:val="24"/>
      <w:szCs w:val="24"/>
      <w:lang w:val="en-US" w:eastAsia="zh-CN" w:bidi="ar-SA"/>
    </w:rPr>
  </w:style>
  <w:style w:type="character" w:customStyle="1" w:styleId="151">
    <w:name w:val="标题 Char3"/>
    <w:link w:val="83"/>
    <w:uiPriority w:val="0"/>
    <w:rPr>
      <w:rFonts w:ascii="宋体" w:hAnsi="宋体" w:eastAsia="宋体"/>
      <w:b/>
      <w:sz w:val="32"/>
      <w:lang w:val="en-US" w:eastAsia="zh-CN" w:bidi="ar-SA"/>
    </w:rPr>
  </w:style>
  <w:style w:type="character" w:customStyle="1" w:styleId="152">
    <w:name w:val="批注主题 Char1"/>
    <w:link w:val="84"/>
    <w:locked/>
    <w:uiPriority w:val="0"/>
    <w:rPr>
      <w:rFonts w:ascii="Calibri" w:hAnsi="Calibri" w:eastAsia="宋体"/>
      <w:b/>
      <w:bCs/>
      <w:kern w:val="2"/>
      <w:sz w:val="21"/>
      <w:szCs w:val="24"/>
      <w:lang w:val="en-US" w:eastAsia="zh-CN" w:bidi="ar-SA"/>
    </w:rPr>
  </w:style>
  <w:style w:type="character" w:customStyle="1" w:styleId="153">
    <w:name w:val="正文首行缩进 Char2"/>
    <w:link w:val="85"/>
    <w:uiPriority w:val="0"/>
    <w:rPr>
      <w:rFonts w:eastAsia="宋体"/>
      <w:kern w:val="2"/>
      <w:sz w:val="21"/>
      <w:szCs w:val="24"/>
      <w:lang w:val="en-US" w:eastAsia="zh-CN" w:bidi="ar-SA"/>
    </w:rPr>
  </w:style>
  <w:style w:type="character" w:customStyle="1" w:styleId="154">
    <w:name w:val="正文首行缩进 2 Char1"/>
    <w:link w:val="86"/>
    <w:uiPriority w:val="0"/>
    <w:rPr>
      <w:rFonts w:eastAsia="宋体"/>
      <w:kern w:val="2"/>
      <w:sz w:val="24"/>
      <w:szCs w:val="24"/>
      <w:lang w:val="en-US" w:eastAsia="zh-CN" w:bidi="ar-SA"/>
    </w:rPr>
  </w:style>
  <w:style w:type="character" w:customStyle="1" w:styleId="155">
    <w:name w:val="p12grey1"/>
    <w:uiPriority w:val="0"/>
    <w:rPr>
      <w:rFonts w:hint="default" w:ascii="ˎ̥" w:hAnsi="ˎ̥"/>
      <w:color w:val="666666"/>
      <w:sz w:val="14"/>
      <w:u w:val="none"/>
    </w:rPr>
  </w:style>
  <w:style w:type="character" w:customStyle="1" w:styleId="156">
    <w:name w:val="font01"/>
    <w:basedOn w:val="96"/>
    <w:uiPriority w:val="0"/>
    <w:rPr>
      <w:rFonts w:hint="eastAsia" w:ascii="宋体" w:hAnsi="宋体" w:eastAsia="宋体"/>
      <w:color w:val="000000"/>
      <w:sz w:val="24"/>
      <w:szCs w:val="24"/>
      <w:u w:val="none"/>
    </w:rPr>
  </w:style>
  <w:style w:type="character" w:customStyle="1" w:styleId="157">
    <w:name w:val="H6 Char Char"/>
    <w:uiPriority w:val="0"/>
    <w:rPr>
      <w:rFonts w:eastAsia="仿宋_GB2312"/>
      <w:bCs/>
      <w:kern w:val="2"/>
      <w:sz w:val="24"/>
      <w:szCs w:val="24"/>
      <w:lang w:val="en-US" w:eastAsia="zh-CN" w:bidi="ar-SA"/>
    </w:rPr>
  </w:style>
  <w:style w:type="character" w:customStyle="1" w:styleId="158">
    <w:name w:val="样式2 Char"/>
    <w:link w:val="159"/>
    <w:uiPriority w:val="0"/>
    <w:rPr>
      <w:rFonts w:ascii="宋体" w:eastAsia="宋体"/>
      <w:b/>
      <w:bCs/>
      <w:kern w:val="44"/>
      <w:sz w:val="44"/>
      <w:szCs w:val="44"/>
      <w:lang w:val="en-US" w:eastAsia="zh-CN" w:bidi="ar-SA"/>
    </w:rPr>
  </w:style>
  <w:style w:type="paragraph" w:customStyle="1" w:styleId="159">
    <w:name w:val="样式2"/>
    <w:basedOn w:val="5"/>
    <w:link w:val="158"/>
    <w:uiPriority w:val="0"/>
    <w:rPr>
      <w:rFonts w:ascii="宋体"/>
    </w:rPr>
  </w:style>
  <w:style w:type="character" w:customStyle="1" w:styleId="160">
    <w:name w:val="style111"/>
    <w:uiPriority w:val="0"/>
    <w:rPr>
      <w:rFonts w:ascii="宋体" w:hAnsi="宋体" w:eastAsia="宋体" w:cs="宋体"/>
      <w:kern w:val="2"/>
      <w:sz w:val="21"/>
      <w:szCs w:val="21"/>
      <w:lang w:val="en-US" w:eastAsia="zh-CN" w:bidi="ar-SA"/>
    </w:rPr>
  </w:style>
  <w:style w:type="character" w:customStyle="1" w:styleId="161">
    <w:name w:val="表格内容 Char1"/>
    <w:link w:val="162"/>
    <w:uiPriority w:val="0"/>
    <w:rPr>
      <w:rFonts w:eastAsia="宋体"/>
      <w:kern w:val="2"/>
      <w:sz w:val="21"/>
      <w:szCs w:val="24"/>
      <w:lang w:val="en-US" w:eastAsia="zh-CN" w:bidi="ar-SA"/>
    </w:rPr>
  </w:style>
  <w:style w:type="paragraph" w:customStyle="1" w:styleId="162">
    <w:name w:val="表格内容"/>
    <w:basedOn w:val="1"/>
    <w:link w:val="161"/>
    <w:uiPriority w:val="0"/>
    <w:pPr>
      <w:spacing w:line="300" w:lineRule="auto"/>
      <w:jc w:val="center"/>
    </w:pPr>
  </w:style>
  <w:style w:type="character" w:customStyle="1" w:styleId="163">
    <w:name w:val="样式 仿宋_GB2312 四号1"/>
    <w:uiPriority w:val="0"/>
    <w:rPr>
      <w:rFonts w:ascii="黑体" w:hAnsi="Arial" w:eastAsia="黑体" w:cs="Arial"/>
      <w:bCs/>
      <w:kern w:val="2"/>
      <w:sz w:val="24"/>
      <w:szCs w:val="24"/>
      <w:lang w:val="en-US" w:eastAsia="zh-CN" w:bidi="ar-SA"/>
    </w:rPr>
  </w:style>
  <w:style w:type="character" w:customStyle="1" w:styleId="164">
    <w:name w:val="标准样式 Char1"/>
    <w:link w:val="165"/>
    <w:uiPriority w:val="0"/>
    <w:rPr>
      <w:rFonts w:ascii="宋体" w:eastAsia="宋体"/>
      <w:kern w:val="2"/>
      <w:sz w:val="28"/>
      <w:szCs w:val="24"/>
      <w:lang w:val="en-US" w:eastAsia="zh-CN" w:bidi="ar-SA"/>
    </w:rPr>
  </w:style>
  <w:style w:type="paragraph" w:customStyle="1" w:styleId="165">
    <w:name w:val="标准样式"/>
    <w:basedOn w:val="1"/>
    <w:link w:val="164"/>
    <w:uiPriority w:val="0"/>
    <w:pPr>
      <w:spacing w:line="600" w:lineRule="exact"/>
      <w:ind w:firstLine="567"/>
    </w:pPr>
    <w:rPr>
      <w:rFonts w:ascii="宋体"/>
      <w:sz w:val="28"/>
    </w:rPr>
  </w:style>
  <w:style w:type="character" w:customStyle="1" w:styleId="166">
    <w:name w:val="font201"/>
    <w:uiPriority w:val="0"/>
    <w:rPr>
      <w:spacing w:val="300"/>
    </w:rPr>
  </w:style>
  <w:style w:type="character" w:customStyle="1" w:styleId="167">
    <w:name w:val="样式 黑色 首行缩进:  2 字符 Char Char"/>
    <w:link w:val="168"/>
    <w:uiPriority w:val="0"/>
    <w:rPr>
      <w:rFonts w:eastAsia="宋体" w:cs="宋体"/>
      <w:color w:val="000000"/>
      <w:kern w:val="2"/>
      <w:sz w:val="24"/>
      <w:lang w:val="en-US" w:eastAsia="zh-CN" w:bidi="ar-SA"/>
    </w:rPr>
  </w:style>
  <w:style w:type="paragraph" w:customStyle="1" w:styleId="168">
    <w:name w:val="样式 黑色 首行缩进:  2 字符"/>
    <w:basedOn w:val="1"/>
    <w:link w:val="167"/>
    <w:uiPriority w:val="0"/>
    <w:pPr>
      <w:snapToGrid w:val="0"/>
      <w:spacing w:line="360" w:lineRule="auto"/>
      <w:ind w:firstLine="502" w:firstLineChars="200"/>
    </w:pPr>
    <w:rPr>
      <w:rFonts w:cs="宋体"/>
      <w:color w:val="000000"/>
      <w:sz w:val="24"/>
      <w:szCs w:val="20"/>
    </w:rPr>
  </w:style>
  <w:style w:type="character" w:customStyle="1" w:styleId="169">
    <w:name w:val="p15"/>
    <w:basedOn w:val="96"/>
    <w:uiPriority w:val="0"/>
  </w:style>
  <w:style w:type="character" w:customStyle="1" w:styleId="170">
    <w:name w:val="样式 标题 3 + 小四 Char"/>
    <w:link w:val="171"/>
    <w:uiPriority w:val="0"/>
    <w:rPr>
      <w:rFonts w:eastAsia="宋体"/>
      <w:b/>
      <w:bCs/>
      <w:kern w:val="2"/>
      <w:sz w:val="24"/>
      <w:szCs w:val="24"/>
      <w:lang w:val="en-US" w:eastAsia="zh-CN" w:bidi="ar-SA"/>
    </w:rPr>
  </w:style>
  <w:style w:type="paragraph" w:customStyle="1" w:styleId="171">
    <w:name w:val="样式 标题 3 + 小四"/>
    <w:basedOn w:val="7"/>
    <w:link w:val="170"/>
    <w:uiPriority w:val="0"/>
    <w:pPr>
      <w:adjustRightInd w:val="0"/>
      <w:snapToGrid w:val="0"/>
      <w:spacing w:beforeLines="100" w:afterLines="50" w:line="360" w:lineRule="auto"/>
    </w:pPr>
    <w:rPr>
      <w:sz w:val="24"/>
      <w:szCs w:val="24"/>
    </w:rPr>
  </w:style>
  <w:style w:type="character" w:customStyle="1" w:styleId="172">
    <w:name w:val="样式 正文 + 首行缩进:  2 字符 + 宋体 四号 Char"/>
    <w:uiPriority w:val="0"/>
    <w:rPr>
      <w:rFonts w:ascii="宋体" w:hAnsi="宋体" w:eastAsia="宋体" w:cs="宋体"/>
      <w:kern w:val="2"/>
      <w:sz w:val="28"/>
      <w:szCs w:val="24"/>
      <w:lang w:val="en-US" w:eastAsia="zh-CN" w:bidi="ar-SA"/>
    </w:rPr>
  </w:style>
  <w:style w:type="character" w:customStyle="1" w:styleId="173">
    <w:name w:val="表底说明 Char Char"/>
    <w:uiPriority w:val="0"/>
    <w:rPr>
      <w:rFonts w:eastAsia="宋体"/>
      <w:kern w:val="2"/>
      <w:sz w:val="18"/>
      <w:szCs w:val="24"/>
      <w:lang w:val="en-US" w:eastAsia="zh-CN" w:bidi="ar-SA"/>
    </w:rPr>
  </w:style>
  <w:style w:type="character" w:customStyle="1" w:styleId="174">
    <w:name w:val="表头 Char Char Char"/>
    <w:uiPriority w:val="0"/>
    <w:rPr>
      <w:rFonts w:ascii="黑体" w:eastAsia="黑体"/>
      <w:b/>
      <w:kern w:val="2"/>
      <w:sz w:val="24"/>
      <w:lang w:val="en-US" w:eastAsia="zh-CN" w:bidi="ar-SA"/>
    </w:rPr>
  </w:style>
  <w:style w:type="character" w:customStyle="1" w:styleId="175">
    <w:name w:val="样式 正文首行缩进 2 + 首行缩进:  2 字符1 Char1"/>
    <w:uiPriority w:val="0"/>
    <w:rPr>
      <w:rFonts w:ascii="黑体" w:hAnsi="Arial" w:eastAsia="宋体" w:cs="宋体"/>
      <w:bCs/>
      <w:kern w:val="2"/>
      <w:sz w:val="24"/>
      <w:szCs w:val="24"/>
      <w:lang w:val="en-US" w:eastAsia="zh-CN" w:bidi="ar-SA"/>
    </w:rPr>
  </w:style>
  <w:style w:type="character" w:customStyle="1" w:styleId="176">
    <w:name w:val="样式 正文2 + Char Char"/>
    <w:link w:val="177"/>
    <w:uiPriority w:val="0"/>
    <w:rPr>
      <w:rFonts w:eastAsia="宋体"/>
      <w:sz w:val="28"/>
      <w:szCs w:val="28"/>
      <w:lang w:val="en-US" w:eastAsia="zh-CN" w:bidi="ar-SA"/>
    </w:rPr>
  </w:style>
  <w:style w:type="paragraph" w:customStyle="1" w:styleId="177">
    <w:name w:val="样式 正文2 +"/>
    <w:basedOn w:val="10"/>
    <w:link w:val="176"/>
    <w:uiPriority w:val="0"/>
    <w:pPr>
      <w:tabs>
        <w:tab w:val="left" w:pos="5366"/>
      </w:tabs>
      <w:spacing w:line="600" w:lineRule="exact"/>
      <w:ind w:firstLine="200"/>
    </w:pPr>
    <w:rPr>
      <w:kern w:val="0"/>
      <w:sz w:val="28"/>
      <w:szCs w:val="28"/>
    </w:rPr>
  </w:style>
  <w:style w:type="character" w:customStyle="1" w:styleId="178">
    <w:name w:val="8.3.1 Char Char"/>
    <w:basedOn w:val="179"/>
    <w:link w:val="182"/>
    <w:locked/>
    <w:uiPriority w:val="0"/>
  </w:style>
  <w:style w:type="character" w:customStyle="1" w:styleId="179">
    <w:name w:val="9.3. Char Char"/>
    <w:link w:val="180"/>
    <w:locked/>
    <w:uiPriority w:val="0"/>
    <w:rPr>
      <w:rFonts w:eastAsia="黑体"/>
      <w:b/>
      <w:bCs/>
      <w:sz w:val="24"/>
      <w:szCs w:val="24"/>
    </w:rPr>
  </w:style>
  <w:style w:type="paragraph" w:customStyle="1" w:styleId="180">
    <w:name w:val="9.3."/>
    <w:basedOn w:val="181"/>
    <w:link w:val="179"/>
    <w:uiPriority w:val="0"/>
    <w:pPr>
      <w:numPr>
        <w:ilvl w:val="0"/>
        <w:numId w:val="1"/>
      </w:numPr>
    </w:pPr>
  </w:style>
  <w:style w:type="paragraph" w:customStyle="1" w:styleId="181">
    <w:name w:val="2.4."/>
    <w:basedOn w:val="1"/>
    <w:link w:val="183"/>
    <w:uiPriority w:val="0"/>
    <w:pPr>
      <w:numPr>
        <w:ilvl w:val="0"/>
        <w:numId w:val="2"/>
      </w:numPr>
      <w:spacing w:line="360" w:lineRule="auto"/>
      <w:outlineLvl w:val="2"/>
    </w:pPr>
    <w:rPr>
      <w:rFonts w:eastAsia="黑体"/>
      <w:b/>
      <w:bCs/>
      <w:kern w:val="0"/>
      <w:sz w:val="24"/>
    </w:rPr>
  </w:style>
  <w:style w:type="paragraph" w:customStyle="1" w:styleId="182">
    <w:name w:val="8.3.1"/>
    <w:basedOn w:val="180"/>
    <w:link w:val="178"/>
    <w:uiPriority w:val="0"/>
    <w:pPr>
      <w:numPr>
        <w:ilvl w:val="0"/>
        <w:numId w:val="3"/>
      </w:numPr>
    </w:pPr>
  </w:style>
  <w:style w:type="character" w:customStyle="1" w:styleId="183">
    <w:name w:val="2.4. Char Char"/>
    <w:link w:val="181"/>
    <w:locked/>
    <w:uiPriority w:val="0"/>
    <w:rPr>
      <w:rFonts w:eastAsia="黑体"/>
      <w:b/>
      <w:bCs/>
      <w:sz w:val="24"/>
      <w:szCs w:val="24"/>
    </w:rPr>
  </w:style>
  <w:style w:type="character" w:customStyle="1" w:styleId="184">
    <w:name w:val="HBZW"/>
    <w:uiPriority w:val="0"/>
    <w:rPr>
      <w:rFonts w:ascii="宋体" w:hAnsi="宋体" w:eastAsia="宋体" w:cs="宋体"/>
      <w:kern w:val="0"/>
      <w:sz w:val="24"/>
      <w:szCs w:val="24"/>
      <w:lang w:val="en-US" w:eastAsia="zh-CN" w:bidi="ar-SA"/>
    </w:rPr>
  </w:style>
  <w:style w:type="character" w:customStyle="1" w:styleId="185">
    <w:name w:val="gailan-ti1"/>
    <w:uiPriority w:val="0"/>
    <w:rPr>
      <w:rFonts w:hint="default" w:ascii="ˎ̥" w:hAnsi="ˎ̥"/>
      <w:b/>
      <w:color w:val="FF6000"/>
      <w:sz w:val="21"/>
      <w:u w:val="none"/>
    </w:rPr>
  </w:style>
  <w:style w:type="character" w:customStyle="1" w:styleId="186">
    <w:name w:val="第二节"/>
    <w:uiPriority w:val="0"/>
    <w:rPr>
      <w:rFonts w:ascii="黑体" w:eastAsia="黑体"/>
      <w:sz w:val="36"/>
    </w:rPr>
  </w:style>
  <w:style w:type="character" w:customStyle="1" w:styleId="187">
    <w:name w:val="样式 首行缩进:  1.01 厘米 Char"/>
    <w:uiPriority w:val="0"/>
    <w:rPr>
      <w:rFonts w:ascii="宋体" w:hAnsi="宋体" w:eastAsia="宋体" w:cs="宋体"/>
      <w:kern w:val="2"/>
      <w:sz w:val="24"/>
      <w:szCs w:val="24"/>
      <w:lang w:val="en-US" w:eastAsia="zh-CN" w:bidi="ar-SA"/>
    </w:rPr>
  </w:style>
  <w:style w:type="character" w:customStyle="1" w:styleId="188">
    <w:name w:val="样式 (西文) Times New Roman 四号 首行缩进:  2 字符 Char Char"/>
    <w:link w:val="189"/>
    <w:uiPriority w:val="0"/>
    <w:rPr>
      <w:rFonts w:hAnsi="Calibri" w:eastAsia="宋体" w:cs="宋体"/>
      <w:kern w:val="2"/>
      <w:sz w:val="28"/>
      <w:lang w:val="en-US" w:eastAsia="zh-CN" w:bidi="ar-SA"/>
    </w:rPr>
  </w:style>
  <w:style w:type="paragraph" w:customStyle="1" w:styleId="189">
    <w:name w:val="样式 (西文) Times New Roman 四号 首行缩进:  2 字符"/>
    <w:basedOn w:val="1"/>
    <w:link w:val="188"/>
    <w:uiPriority w:val="0"/>
    <w:pPr>
      <w:ind w:firstLine="560" w:firstLineChars="200"/>
    </w:pPr>
    <w:rPr>
      <w:rFonts w:hAnsi="Calibri" w:cs="宋体"/>
      <w:sz w:val="28"/>
      <w:szCs w:val="20"/>
    </w:rPr>
  </w:style>
  <w:style w:type="character" w:customStyle="1" w:styleId="190">
    <w:name w:val="hb1 Char"/>
    <w:link w:val="191"/>
    <w:uiPriority w:val="0"/>
    <w:rPr>
      <w:rFonts w:eastAsia="黑体"/>
      <w:b/>
      <w:sz w:val="32"/>
      <w:szCs w:val="32"/>
      <w:lang w:val="en-US" w:eastAsia="zh-CN" w:bidi="ar-SA"/>
    </w:rPr>
  </w:style>
  <w:style w:type="paragraph" w:customStyle="1" w:styleId="191">
    <w:name w:val="hb1"/>
    <w:link w:val="190"/>
    <w:uiPriority w:val="0"/>
    <w:pPr>
      <w:spacing w:beforeLines="100" w:afterLines="100"/>
      <w:jc w:val="center"/>
      <w:outlineLvl w:val="0"/>
    </w:pPr>
    <w:rPr>
      <w:rFonts w:eastAsia="黑体"/>
      <w:b/>
      <w:sz w:val="32"/>
      <w:szCs w:val="32"/>
      <w:lang w:val="en-US" w:eastAsia="zh-CN" w:bidi="ar-SA"/>
    </w:rPr>
  </w:style>
  <w:style w:type="character" w:customStyle="1" w:styleId="192">
    <w:name w:val="样式 标题 1标题 1 CharHead 1wsa一、标题 111h1Part'DocumentH1标题一文... Char Char"/>
    <w:uiPriority w:val="0"/>
    <w:rPr>
      <w:rFonts w:eastAsia="黑体"/>
      <w:bCs/>
      <w:kern w:val="2"/>
      <w:sz w:val="32"/>
      <w:szCs w:val="24"/>
      <w:lang w:val="en-US" w:eastAsia="zh-CN" w:bidi="ar-SA"/>
    </w:rPr>
  </w:style>
  <w:style w:type="character" w:customStyle="1" w:styleId="193">
    <w:name w:val="4.4. Char Char"/>
    <w:link w:val="194"/>
    <w:locked/>
    <w:uiPriority w:val="0"/>
    <w:rPr>
      <w:rFonts w:eastAsia="黑体"/>
      <w:b/>
      <w:bCs/>
      <w:sz w:val="24"/>
      <w:szCs w:val="24"/>
    </w:rPr>
  </w:style>
  <w:style w:type="paragraph" w:customStyle="1" w:styleId="194">
    <w:name w:val="4.4."/>
    <w:basedOn w:val="1"/>
    <w:link w:val="193"/>
    <w:uiPriority w:val="0"/>
    <w:pPr>
      <w:numPr>
        <w:ilvl w:val="0"/>
        <w:numId w:val="4"/>
      </w:numPr>
      <w:spacing w:line="360" w:lineRule="auto"/>
      <w:outlineLvl w:val="2"/>
    </w:pPr>
    <w:rPr>
      <w:rFonts w:eastAsia="黑体"/>
      <w:b/>
      <w:bCs/>
      <w:kern w:val="0"/>
      <w:sz w:val="24"/>
    </w:rPr>
  </w:style>
  <w:style w:type="character" w:customStyle="1" w:styleId="195">
    <w:name w:val="12.5.1 Char Char"/>
    <w:basedOn w:val="196"/>
    <w:link w:val="198"/>
    <w:locked/>
    <w:uiPriority w:val="0"/>
  </w:style>
  <w:style w:type="character" w:customStyle="1" w:styleId="196">
    <w:name w:val="13.5. Char Char"/>
    <w:link w:val="197"/>
    <w:locked/>
    <w:uiPriority w:val="0"/>
    <w:rPr>
      <w:rFonts w:eastAsia="黑体"/>
      <w:b/>
      <w:bCs/>
      <w:sz w:val="24"/>
      <w:szCs w:val="24"/>
    </w:rPr>
  </w:style>
  <w:style w:type="paragraph" w:customStyle="1" w:styleId="197">
    <w:name w:val="13.5."/>
    <w:basedOn w:val="1"/>
    <w:link w:val="196"/>
    <w:uiPriority w:val="0"/>
    <w:pPr>
      <w:numPr>
        <w:ilvl w:val="0"/>
        <w:numId w:val="5"/>
      </w:numPr>
      <w:spacing w:line="360" w:lineRule="auto"/>
      <w:outlineLvl w:val="2"/>
    </w:pPr>
    <w:rPr>
      <w:rFonts w:eastAsia="黑体"/>
      <w:b/>
      <w:bCs/>
      <w:kern w:val="0"/>
      <w:sz w:val="24"/>
    </w:rPr>
  </w:style>
  <w:style w:type="paragraph" w:customStyle="1" w:styleId="198">
    <w:name w:val="12.5.1"/>
    <w:basedOn w:val="197"/>
    <w:link w:val="195"/>
    <w:uiPriority w:val="0"/>
    <w:pPr>
      <w:numPr>
        <w:ilvl w:val="0"/>
        <w:numId w:val="6"/>
      </w:numPr>
    </w:pPr>
  </w:style>
  <w:style w:type="character" w:customStyle="1" w:styleId="199">
    <w:name w:val="12.1 Char Char"/>
    <w:basedOn w:val="200"/>
    <w:link w:val="202"/>
    <w:locked/>
    <w:uiPriority w:val="0"/>
  </w:style>
  <w:style w:type="character" w:customStyle="1" w:styleId="200">
    <w:name w:val="13. Char Char"/>
    <w:link w:val="201"/>
    <w:locked/>
    <w:uiPriority w:val="0"/>
    <w:rPr>
      <w:rFonts w:eastAsia="黑体"/>
      <w:b/>
      <w:bCs/>
      <w:sz w:val="28"/>
      <w:szCs w:val="32"/>
    </w:rPr>
  </w:style>
  <w:style w:type="paragraph" w:customStyle="1" w:styleId="201">
    <w:name w:val="13."/>
    <w:basedOn w:val="6"/>
    <w:link w:val="200"/>
    <w:uiPriority w:val="0"/>
    <w:pPr>
      <w:numPr>
        <w:ilvl w:val="0"/>
        <w:numId w:val="7"/>
      </w:numPr>
      <w:spacing w:before="0" w:after="0" w:line="360" w:lineRule="auto"/>
    </w:pPr>
    <w:rPr>
      <w:rFonts w:ascii="Times New Roman" w:hAnsi="Times New Roman"/>
      <w:kern w:val="0"/>
      <w:sz w:val="28"/>
    </w:rPr>
  </w:style>
  <w:style w:type="paragraph" w:customStyle="1" w:styleId="202">
    <w:name w:val="12.1"/>
    <w:basedOn w:val="201"/>
    <w:link w:val="199"/>
    <w:uiPriority w:val="0"/>
    <w:pPr>
      <w:numPr>
        <w:ilvl w:val="0"/>
        <w:numId w:val="8"/>
      </w:numPr>
    </w:pPr>
  </w:style>
  <w:style w:type="character" w:customStyle="1" w:styleId="203">
    <w:name w:val="7表格(治) Char Char"/>
    <w:uiPriority w:val="0"/>
    <w:rPr>
      <w:rFonts w:eastAsia="楷体_GB2312" w:cs="宋体"/>
      <w:kern w:val="2"/>
      <w:sz w:val="21"/>
      <w:szCs w:val="36"/>
      <w:lang w:val="en-US" w:eastAsia="zh-CN" w:bidi="ar-SA"/>
    </w:rPr>
  </w:style>
  <w:style w:type="character" w:customStyle="1" w:styleId="204">
    <w:name w:val="报告表正文 Char Char"/>
    <w:link w:val="205"/>
    <w:uiPriority w:val="0"/>
    <w:rPr>
      <w:rFonts w:eastAsia="宋体"/>
      <w:kern w:val="1"/>
      <w:sz w:val="24"/>
      <w:lang w:val="en-US" w:eastAsia="ar-SA" w:bidi="ar-SA"/>
    </w:rPr>
  </w:style>
  <w:style w:type="paragraph" w:customStyle="1" w:styleId="205">
    <w:name w:val="报告表正文"/>
    <w:basedOn w:val="1"/>
    <w:link w:val="204"/>
    <w:uiPriority w:val="0"/>
    <w:pPr>
      <w:suppressAutoHyphens/>
      <w:spacing w:line="312" w:lineRule="auto"/>
      <w:ind w:left="113" w:right="113" w:firstLine="482"/>
      <w:jc w:val="left"/>
      <w:textAlignment w:val="baseline"/>
    </w:pPr>
    <w:rPr>
      <w:kern w:val="1"/>
      <w:sz w:val="24"/>
      <w:szCs w:val="20"/>
      <w:lang w:eastAsia="ar-SA"/>
    </w:rPr>
  </w:style>
  <w:style w:type="character" w:customStyle="1" w:styleId="206">
    <w:name w:val="可研-节标题 Char Char"/>
    <w:uiPriority w:val="0"/>
    <w:rPr>
      <w:rFonts w:hint="eastAsia" w:ascii="黑体" w:hAnsi="宋体" w:eastAsia="黑体"/>
      <w:b/>
      <w:bCs/>
      <w:sz w:val="28"/>
      <w:szCs w:val="28"/>
      <w:lang w:val="en-US" w:eastAsia="zh-CN" w:bidi="ar-SA"/>
    </w:rPr>
  </w:style>
  <w:style w:type="character" w:customStyle="1" w:styleId="207">
    <w:name w:val="2.1 Char Char"/>
    <w:link w:val="208"/>
    <w:locked/>
    <w:uiPriority w:val="0"/>
    <w:rPr>
      <w:b/>
      <w:bCs/>
      <w:spacing w:val="-8"/>
      <w:kern w:val="2"/>
      <w:sz w:val="28"/>
      <w:szCs w:val="32"/>
    </w:rPr>
  </w:style>
  <w:style w:type="paragraph" w:customStyle="1" w:styleId="208">
    <w:name w:val="2.1"/>
    <w:basedOn w:val="209"/>
    <w:link w:val="207"/>
    <w:uiPriority w:val="0"/>
    <w:pPr>
      <w:keepNext/>
      <w:keepLines/>
      <w:numPr>
        <w:ilvl w:val="0"/>
        <w:numId w:val="9"/>
      </w:numPr>
      <w:spacing w:before="120" w:after="120" w:line="480" w:lineRule="exact"/>
      <w:ind w:firstLineChars="0"/>
      <w:outlineLvl w:val="1"/>
    </w:pPr>
    <w:rPr>
      <w:rFonts w:ascii="Times New Roman" w:hAnsi="Times New Roman"/>
      <w:b/>
      <w:bCs/>
      <w:sz w:val="28"/>
      <w:szCs w:val="32"/>
    </w:rPr>
  </w:style>
  <w:style w:type="paragraph" w:customStyle="1" w:styleId="209">
    <w:name w:val="我的标题2"/>
    <w:basedOn w:val="1"/>
    <w:link w:val="210"/>
    <w:uiPriority w:val="0"/>
    <w:pPr>
      <w:spacing w:line="300" w:lineRule="exact"/>
      <w:ind w:firstLine="23" w:firstLineChars="14"/>
    </w:pPr>
    <w:rPr>
      <w:rFonts w:ascii="Calibri" w:hAnsi="Calibri"/>
      <w:spacing w:val="-8"/>
      <w:sz w:val="18"/>
      <w:szCs w:val="18"/>
    </w:rPr>
  </w:style>
  <w:style w:type="character" w:customStyle="1" w:styleId="210">
    <w:name w:val="我的标题2 Char Char"/>
    <w:link w:val="209"/>
    <w:locked/>
    <w:uiPriority w:val="0"/>
    <w:rPr>
      <w:rFonts w:ascii="Calibri" w:hAnsi="Calibri" w:eastAsia="宋体"/>
      <w:spacing w:val="-8"/>
      <w:kern w:val="2"/>
      <w:sz w:val="18"/>
      <w:szCs w:val="18"/>
      <w:lang w:val="en-US" w:eastAsia="zh-CN" w:bidi="ar-SA"/>
    </w:rPr>
  </w:style>
  <w:style w:type="character" w:customStyle="1" w:styleId="211">
    <w:name w:val="样式1 Char"/>
    <w:uiPriority w:val="0"/>
    <w:rPr>
      <w:rFonts w:hint="eastAsia" w:ascii="楷体_GB2312" w:eastAsia="楷体_GB2312"/>
      <w:kern w:val="2"/>
      <w:sz w:val="21"/>
      <w:lang w:val="en-US" w:eastAsia="zh-CN" w:bidi="ar-SA"/>
    </w:rPr>
  </w:style>
  <w:style w:type="character" w:customStyle="1" w:styleId="212">
    <w:name w:val="标题 4 Char1"/>
    <w:uiPriority w:val="0"/>
    <w:rPr>
      <w:rFonts w:hint="default" w:ascii="Arial" w:hAnsi="Arial" w:eastAsia="黑体" w:cs="Arial"/>
      <w:bCs/>
      <w:kern w:val="2"/>
      <w:sz w:val="21"/>
      <w:szCs w:val="28"/>
      <w:lang w:val="en-US" w:eastAsia="zh-CN" w:bidi="ar-SA"/>
    </w:rPr>
  </w:style>
  <w:style w:type="character" w:customStyle="1" w:styleId="213">
    <w:name w:val="标题 8 Char"/>
    <w:uiPriority w:val="0"/>
    <w:rPr>
      <w:rFonts w:hint="eastAsia" w:ascii="宋体" w:hAnsi="宋体" w:eastAsia="宋体" w:cs="宋体"/>
      <w:kern w:val="2"/>
      <w:sz w:val="28"/>
      <w:szCs w:val="21"/>
    </w:rPr>
  </w:style>
  <w:style w:type="character" w:customStyle="1" w:styleId="214">
    <w:name w:val="1正文 Char Char"/>
    <w:uiPriority w:val="0"/>
    <w:rPr>
      <w:rFonts w:hint="eastAsia" w:ascii="宋体" w:hAnsi="宋体" w:eastAsia="宋体"/>
      <w:w w:val="90"/>
      <w:kern w:val="2"/>
      <w:sz w:val="24"/>
      <w:szCs w:val="24"/>
      <w:lang w:val="en-US" w:eastAsia="zh-CN" w:bidi="ar-SA"/>
    </w:rPr>
  </w:style>
  <w:style w:type="character" w:customStyle="1" w:styleId="215">
    <w:name w:val="MB3 Char"/>
    <w:uiPriority w:val="0"/>
    <w:rPr>
      <w:rFonts w:hint="eastAsia" w:ascii="宋体" w:hAnsi="宋体" w:eastAsia="宋体"/>
      <w:b/>
      <w:bCs/>
      <w:kern w:val="2"/>
      <w:sz w:val="24"/>
      <w:szCs w:val="32"/>
      <w:lang w:val="en-US" w:eastAsia="zh-CN" w:bidi="ar-SA"/>
    </w:rPr>
  </w:style>
  <w:style w:type="character" w:customStyle="1" w:styleId="216">
    <w:name w:val="样式 正文1 + 首行缩进:  2 字符 Char"/>
    <w:uiPriority w:val="0"/>
    <w:rPr>
      <w:rFonts w:hint="eastAsia" w:ascii="宋体" w:hAnsi="宋体" w:eastAsia="宋体" w:cs="宋体"/>
      <w:kern w:val="2"/>
      <w:sz w:val="24"/>
      <w:szCs w:val="24"/>
      <w:lang w:val="en-US" w:eastAsia="zh-CN" w:bidi="ar-SA"/>
    </w:rPr>
  </w:style>
  <w:style w:type="character" w:customStyle="1" w:styleId="217">
    <w:name w:val="'Document Char"/>
    <w:uiPriority w:val="0"/>
    <w:rPr>
      <w:rFonts w:hint="eastAsia" w:ascii="宋体" w:hAnsi="宋体" w:eastAsia="宋体"/>
      <w:b/>
      <w:bCs/>
      <w:kern w:val="44"/>
      <w:sz w:val="44"/>
      <w:szCs w:val="44"/>
      <w:lang w:val="en-US" w:eastAsia="zh-CN" w:bidi="ar-SA"/>
    </w:rPr>
  </w:style>
  <w:style w:type="character" w:customStyle="1" w:styleId="218">
    <w:name w:val="页脚 Char"/>
    <w:uiPriority w:val="0"/>
    <w:rPr>
      <w:kern w:val="2"/>
      <w:sz w:val="18"/>
      <w:szCs w:val="18"/>
    </w:rPr>
  </w:style>
  <w:style w:type="character" w:customStyle="1" w:styleId="219">
    <w:name w:val="标题 7 Char"/>
    <w:uiPriority w:val="0"/>
    <w:rPr>
      <w:rFonts w:hint="eastAsia" w:ascii="宋体" w:hAnsi="宋体" w:eastAsia="宋体" w:cs="宋体"/>
      <w:kern w:val="2"/>
      <w:sz w:val="28"/>
      <w:szCs w:val="21"/>
    </w:rPr>
  </w:style>
  <w:style w:type="character" w:customStyle="1" w:styleId="220">
    <w:name w:val="样式 日期 + 宋体 Char"/>
    <w:uiPriority w:val="0"/>
    <w:rPr>
      <w:rFonts w:hint="eastAsia" w:ascii="宋体" w:hAnsi="宋体" w:eastAsia="宋体"/>
      <w:kern w:val="2"/>
      <w:sz w:val="28"/>
      <w:lang w:val="en-GB" w:eastAsia="zh-CN" w:bidi="ar-SA"/>
    </w:rPr>
  </w:style>
  <w:style w:type="character" w:customStyle="1" w:styleId="221">
    <w:name w:val="标题 9 Char"/>
    <w:uiPriority w:val="0"/>
    <w:rPr>
      <w:rFonts w:hint="eastAsia" w:ascii="宋体" w:hAnsi="宋体" w:eastAsia="宋体" w:cs="宋体"/>
      <w:kern w:val="2"/>
      <w:sz w:val="28"/>
      <w:szCs w:val="21"/>
    </w:rPr>
  </w:style>
  <w:style w:type="character" w:customStyle="1" w:styleId="222">
    <w:name w:val="正文文本缩进 3 Char"/>
    <w:uiPriority w:val="0"/>
    <w:rPr>
      <w:rFonts w:hint="eastAsia" w:ascii="宋体" w:hAnsi="宋体" w:eastAsia="宋体"/>
      <w:snapToGrid w:val="0"/>
      <w:kern w:val="24"/>
      <w:sz w:val="28"/>
      <w:szCs w:val="24"/>
    </w:rPr>
  </w:style>
  <w:style w:type="character" w:customStyle="1" w:styleId="223">
    <w:name w:val="表格内容 Char Char"/>
    <w:uiPriority w:val="0"/>
    <w:rPr>
      <w:rFonts w:hint="default" w:ascii="Arial" w:hAnsi="Arial" w:eastAsia="仿宋_GB2312" w:cs="Arial"/>
      <w:sz w:val="24"/>
    </w:rPr>
  </w:style>
  <w:style w:type="character" w:customStyle="1" w:styleId="224">
    <w:name w:val="textclass"/>
    <w:basedOn w:val="96"/>
    <w:uiPriority w:val="0"/>
  </w:style>
  <w:style w:type="character" w:customStyle="1" w:styleId="225">
    <w:name w:val="尾注文本 Char"/>
    <w:uiPriority w:val="0"/>
    <w:rPr>
      <w:kern w:val="2"/>
      <w:sz w:val="24"/>
    </w:rPr>
  </w:style>
  <w:style w:type="character" w:customStyle="1" w:styleId="226">
    <w:name w:val="表格 Char Char Char"/>
    <w:uiPriority w:val="0"/>
    <w:rPr>
      <w:rFonts w:hint="eastAsia" w:ascii="宋体" w:hAnsi="宋体" w:eastAsia="宋体"/>
      <w:sz w:val="28"/>
      <w:lang w:val="en-US" w:eastAsia="zh-CN" w:bidi="ar-SA"/>
    </w:rPr>
  </w:style>
  <w:style w:type="character" w:customStyle="1" w:styleId="227">
    <w:name w:val="11.4. Char Char"/>
    <w:link w:val="228"/>
    <w:locked/>
    <w:uiPriority w:val="0"/>
    <w:rPr>
      <w:rFonts w:ascii="Tahoma" w:hAnsi="Tahoma" w:eastAsia="微软雅黑"/>
      <w:b/>
      <w:bCs/>
      <w:sz w:val="22"/>
      <w:szCs w:val="22"/>
      <w:lang w:val="en-US" w:eastAsia="zh-CN" w:bidi="ar-SA"/>
    </w:rPr>
  </w:style>
  <w:style w:type="paragraph" w:customStyle="1" w:styleId="228">
    <w:name w:val="11.4."/>
    <w:basedOn w:val="1"/>
    <w:link w:val="227"/>
    <w:uiPriority w:val="0"/>
    <w:pPr>
      <w:widowControl/>
      <w:adjustRightInd w:val="0"/>
      <w:snapToGrid w:val="0"/>
      <w:spacing w:after="200"/>
      <w:jc w:val="left"/>
    </w:pPr>
    <w:rPr>
      <w:rFonts w:ascii="Tahoma" w:hAnsi="Tahoma" w:eastAsia="微软雅黑"/>
      <w:b/>
      <w:bCs/>
      <w:kern w:val="0"/>
      <w:sz w:val="22"/>
      <w:szCs w:val="22"/>
    </w:rPr>
  </w:style>
  <w:style w:type="character" w:customStyle="1" w:styleId="229">
    <w:name w:val="14bv11"/>
    <w:uiPriority w:val="0"/>
    <w:rPr>
      <w:b/>
      <w:color w:val="6595D6"/>
      <w:sz w:val="21"/>
      <w:u w:val="none"/>
    </w:rPr>
  </w:style>
  <w:style w:type="character" w:customStyle="1" w:styleId="230">
    <w:name w:val="样式2 Char1"/>
    <w:uiPriority w:val="0"/>
    <w:rPr>
      <w:rFonts w:hint="default" w:ascii="Arial" w:hAnsi="Arial" w:eastAsia="宋体" w:cs="Arial"/>
      <w:kern w:val="2"/>
      <w:sz w:val="24"/>
      <w:lang w:val="en-US" w:eastAsia="zh-CN"/>
    </w:rPr>
  </w:style>
  <w:style w:type="character" w:customStyle="1" w:styleId="231">
    <w:name w:val="Char Char13"/>
    <w:uiPriority w:val="0"/>
    <w:rPr>
      <w:rFonts w:hint="eastAsia" w:ascii="宋体" w:hAnsi="宋体" w:eastAsia="宋体"/>
      <w:sz w:val="24"/>
      <w:lang w:val="en-US" w:eastAsia="zh-CN"/>
    </w:rPr>
  </w:style>
  <w:style w:type="character" w:customStyle="1" w:styleId="232">
    <w:name w:val="9.6.4. Char Char"/>
    <w:link w:val="233"/>
    <w:locked/>
    <w:uiPriority w:val="0"/>
    <w:rPr>
      <w:rFonts w:ascii="Tahoma" w:hAnsi="Tahoma" w:eastAsia="微软雅黑"/>
      <w:sz w:val="22"/>
      <w:szCs w:val="22"/>
      <w:lang w:val="en-US" w:eastAsia="zh-CN" w:bidi="ar-SA"/>
    </w:rPr>
  </w:style>
  <w:style w:type="paragraph" w:customStyle="1" w:styleId="233">
    <w:name w:val="9.6.4."/>
    <w:basedOn w:val="1"/>
    <w:link w:val="232"/>
    <w:uiPriority w:val="0"/>
    <w:pPr>
      <w:widowControl/>
      <w:adjustRightInd w:val="0"/>
      <w:snapToGrid w:val="0"/>
      <w:spacing w:after="200"/>
      <w:jc w:val="left"/>
    </w:pPr>
    <w:rPr>
      <w:rFonts w:ascii="Tahoma" w:hAnsi="Tahoma" w:eastAsia="微软雅黑"/>
      <w:kern w:val="0"/>
      <w:sz w:val="22"/>
      <w:szCs w:val="22"/>
    </w:rPr>
  </w:style>
  <w:style w:type="character" w:customStyle="1" w:styleId="234">
    <w:name w:val="标题 2 Char Char"/>
    <w:uiPriority w:val="0"/>
    <w:rPr>
      <w:rFonts w:hint="default" w:ascii="Arial" w:hAnsi="Arial" w:eastAsia="黑体" w:cs="Arial"/>
      <w:b/>
      <w:bCs/>
      <w:kern w:val="2"/>
      <w:sz w:val="32"/>
      <w:szCs w:val="32"/>
      <w:lang w:val="en-US" w:eastAsia="zh-CN" w:bidi="ar-SA"/>
    </w:rPr>
  </w:style>
  <w:style w:type="character" w:customStyle="1" w:styleId="235">
    <w:name w:val="6.3.1 Char Char"/>
    <w:link w:val="236"/>
    <w:locked/>
    <w:uiPriority w:val="0"/>
    <w:rPr>
      <w:rFonts w:ascii="Tahoma" w:hAnsi="Tahoma" w:eastAsia="微软雅黑"/>
      <w:b/>
      <w:sz w:val="22"/>
      <w:szCs w:val="22"/>
      <w:lang w:val="en-US" w:eastAsia="zh-CN" w:bidi="ar-SA"/>
    </w:rPr>
  </w:style>
  <w:style w:type="paragraph" w:customStyle="1" w:styleId="236">
    <w:name w:val="6.3.1"/>
    <w:basedOn w:val="1"/>
    <w:link w:val="235"/>
    <w:uiPriority w:val="0"/>
    <w:pPr>
      <w:widowControl/>
      <w:adjustRightInd w:val="0"/>
      <w:snapToGrid w:val="0"/>
      <w:spacing w:after="200"/>
      <w:jc w:val="left"/>
    </w:pPr>
    <w:rPr>
      <w:rFonts w:ascii="Tahoma" w:hAnsi="Tahoma" w:eastAsia="微软雅黑"/>
      <w:b/>
      <w:kern w:val="0"/>
      <w:sz w:val="22"/>
      <w:szCs w:val="22"/>
    </w:rPr>
  </w:style>
  <w:style w:type="character" w:customStyle="1" w:styleId="237">
    <w:name w:val="未命名51"/>
    <w:uiPriority w:val="0"/>
    <w:rPr>
      <w:sz w:val="23"/>
    </w:rPr>
  </w:style>
  <w:style w:type="character" w:customStyle="1" w:styleId="238">
    <w:name w:val="纯文本 Char Char"/>
    <w:uiPriority w:val="0"/>
    <w:rPr>
      <w:rFonts w:hint="eastAsia" w:ascii="宋体" w:hAnsi="Courier New" w:eastAsia="宋体"/>
      <w:kern w:val="2"/>
      <w:sz w:val="21"/>
      <w:lang w:val="en-US" w:eastAsia="zh-CN" w:bidi="ar-SA"/>
    </w:rPr>
  </w:style>
  <w:style w:type="character" w:customStyle="1" w:styleId="239">
    <w:name w:val="Char Char4"/>
    <w:uiPriority w:val="0"/>
    <w:rPr>
      <w:rFonts w:hint="default" w:ascii="Times New Roman" w:hAnsi="Times New Roman" w:cs="Times New Roman"/>
      <w:kern w:val="2"/>
      <w:sz w:val="24"/>
      <w:szCs w:val="28"/>
    </w:rPr>
  </w:style>
  <w:style w:type="character" w:customStyle="1" w:styleId="240">
    <w:name w:val="0000样式 小四"/>
    <w:qFormat/>
    <w:uiPriority w:val="0"/>
    <w:rPr>
      <w:sz w:val="24"/>
    </w:rPr>
  </w:style>
  <w:style w:type="character" w:customStyle="1" w:styleId="241">
    <w:name w:val="font71"/>
    <w:qFormat/>
    <w:uiPriority w:val="0"/>
    <w:rPr>
      <w:rFonts w:hint="default" w:ascii="Times New Roman" w:hAnsi="Times New Roman" w:cs="Times New Roman"/>
      <w:b/>
      <w:color w:val="000000"/>
      <w:sz w:val="21"/>
      <w:szCs w:val="21"/>
      <w:u w:val="none"/>
    </w:rPr>
  </w:style>
  <w:style w:type="character" w:customStyle="1" w:styleId="242">
    <w:name w:val="正文文本缩进 3 Char Char Char"/>
    <w:uiPriority w:val="0"/>
    <w:rPr>
      <w:rFonts w:hint="eastAsia" w:ascii="宋体" w:hAnsi="宋体" w:eastAsia="宋体"/>
      <w:kern w:val="2"/>
      <w:sz w:val="16"/>
      <w:lang w:val="en-US" w:eastAsia="zh-CN"/>
    </w:rPr>
  </w:style>
  <w:style w:type="character" w:customStyle="1" w:styleId="243">
    <w:name w:val="Table caption (2)1"/>
    <w:qFormat/>
    <w:uiPriority w:val="0"/>
    <w:rPr>
      <w:rFonts w:ascii="MingLiU" w:hAnsi="MingLiU" w:eastAsia="MingLiU" w:cs="MingLiU"/>
      <w:b/>
      <w:bCs/>
      <w:color w:val="000000"/>
      <w:spacing w:val="0"/>
      <w:w w:val="100"/>
      <w:position w:val="0"/>
      <w:sz w:val="22"/>
      <w:szCs w:val="22"/>
      <w:lang w:val="zh-TW"/>
    </w:rPr>
  </w:style>
  <w:style w:type="character" w:customStyle="1" w:styleId="244">
    <w:name w:val="正文2 Char Char"/>
    <w:uiPriority w:val="0"/>
    <w:rPr>
      <w:rFonts w:hint="eastAsia" w:ascii="宋体" w:hAnsi="宋体" w:eastAsia="宋体"/>
      <w:kern w:val="2"/>
      <w:sz w:val="24"/>
    </w:rPr>
  </w:style>
  <w:style w:type="character" w:customStyle="1" w:styleId="245">
    <w:name w:val="书籍标题1"/>
    <w:uiPriority w:val="0"/>
    <w:rPr>
      <w:rFonts w:hint="default" w:ascii="Cambria" w:hAnsi="Cambria" w:eastAsia="宋体"/>
      <w:b/>
      <w:i/>
      <w:sz w:val="24"/>
      <w:szCs w:val="24"/>
    </w:rPr>
  </w:style>
  <w:style w:type="character" w:customStyle="1" w:styleId="246">
    <w:name w:val="样式4 Char Char Char"/>
    <w:uiPriority w:val="0"/>
    <w:rPr>
      <w:rFonts w:hint="default" w:ascii="Arial" w:hAnsi="Arial" w:eastAsia="宋体" w:cs="Arial"/>
      <w:kern w:val="2"/>
      <w:sz w:val="24"/>
      <w:lang w:val="en-US" w:eastAsia="zh-CN"/>
    </w:rPr>
  </w:style>
  <w:style w:type="character" w:customStyle="1" w:styleId="247">
    <w:name w:val="图表注 Char Char"/>
    <w:uiPriority w:val="0"/>
    <w:rPr>
      <w:rFonts w:hint="eastAsia" w:ascii="宋体" w:hAnsi="Arial" w:eastAsia="宋体" w:cs="Arial"/>
      <w:kern w:val="2"/>
      <w:sz w:val="21"/>
      <w:szCs w:val="24"/>
      <w:lang w:val="en-US" w:eastAsia="zh-CN" w:bidi="ar-SA"/>
    </w:rPr>
  </w:style>
  <w:style w:type="character" w:customStyle="1" w:styleId="248">
    <w:name w:val="no7"/>
    <w:uiPriority w:val="0"/>
    <w:rPr>
      <w:sz w:val="18"/>
      <w:szCs w:val="18"/>
    </w:rPr>
  </w:style>
  <w:style w:type="character" w:customStyle="1" w:styleId="249">
    <w:name w:val="no6"/>
    <w:uiPriority w:val="0"/>
    <w:rPr>
      <w:sz w:val="18"/>
      <w:szCs w:val="18"/>
    </w:rPr>
  </w:style>
  <w:style w:type="character" w:customStyle="1" w:styleId="250">
    <w:name w:val="charchar3"/>
    <w:uiPriority w:val="0"/>
    <w:rPr>
      <w:rFonts w:hint="default" w:ascii="Times New Roman" w:hAnsi="Times New Roman" w:cs="Times New Roman"/>
      <w:b/>
    </w:rPr>
  </w:style>
  <w:style w:type="character" w:customStyle="1" w:styleId="251">
    <w:name w:val="bds_more1"/>
    <w:uiPriority w:val="0"/>
    <w:rPr>
      <w:rFonts w:hint="eastAsia" w:ascii="宋体" w:hAnsi="宋体" w:eastAsia="宋体" w:cs="宋体"/>
      <w:sz w:val="18"/>
      <w:szCs w:val="18"/>
    </w:rPr>
  </w:style>
  <w:style w:type="character" w:customStyle="1" w:styleId="252">
    <w:name w:val="orange"/>
    <w:uiPriority w:val="0"/>
    <w:rPr>
      <w:color w:val="3FB58F"/>
      <w:sz w:val="18"/>
      <w:szCs w:val="18"/>
    </w:rPr>
  </w:style>
  <w:style w:type="character" w:customStyle="1" w:styleId="253">
    <w:name w:val="charchar4"/>
    <w:uiPriority w:val="0"/>
    <w:rPr>
      <w:rFonts w:hint="default" w:ascii="Times New Roman" w:hAnsi="Times New Roman" w:cs="Times New Roman"/>
      <w:shd w:val="clear" w:color="auto" w:fill="000080"/>
    </w:rPr>
  </w:style>
  <w:style w:type="character" w:customStyle="1" w:styleId="254">
    <w:name w:val="font31"/>
    <w:basedOn w:val="96"/>
    <w:uiPriority w:val="0"/>
    <w:rPr>
      <w:rFonts w:hint="default" w:ascii="Times New Roman" w:hAnsi="Times New Roman" w:cs="Times New Roman"/>
      <w:color w:val="000000"/>
      <w:sz w:val="21"/>
      <w:szCs w:val="21"/>
      <w:u w:val="none"/>
    </w:rPr>
  </w:style>
  <w:style w:type="character" w:customStyle="1" w:styleId="255">
    <w:name w:val="正文(首行缩进) Char2"/>
    <w:uiPriority w:val="0"/>
    <w:rPr>
      <w:rFonts w:hint="eastAsia" w:ascii="黑体" w:hAnsi="黑体" w:eastAsia="黑体"/>
      <w:bCs/>
      <w:snapToGrid w:val="0"/>
      <w:color w:val="000000"/>
      <w:kern w:val="2"/>
      <w:sz w:val="24"/>
      <w:szCs w:val="20"/>
      <w:lang w:val="en-US" w:eastAsia="zh-CN" w:bidi="ar-SA"/>
    </w:rPr>
  </w:style>
  <w:style w:type="character" w:customStyle="1" w:styleId="256">
    <w:name w:val="Char Char35"/>
    <w:uiPriority w:val="0"/>
    <w:rPr>
      <w:rFonts w:hint="eastAsia" w:ascii="宋体" w:hAnsi="宋体" w:eastAsia="宋体"/>
      <w:kern w:val="2"/>
      <w:sz w:val="21"/>
      <w:szCs w:val="21"/>
      <w:lang w:val="en-US" w:eastAsia="zh-CN" w:bidi="ar-SA"/>
    </w:rPr>
  </w:style>
  <w:style w:type="character" w:customStyle="1" w:styleId="257">
    <w:name w:val="word1"/>
    <w:uiPriority w:val="0"/>
    <w:rPr>
      <w:color w:val="000000"/>
      <w:sz w:val="21"/>
      <w:szCs w:val="21"/>
      <w:u w:val="none"/>
    </w:rPr>
  </w:style>
  <w:style w:type="character" w:customStyle="1" w:styleId="258">
    <w:name w:val="普通文字 Char Char Char Char Char C Char Char Char Char Char Char Char"/>
    <w:uiPriority w:val="0"/>
    <w:rPr>
      <w:rFonts w:hint="eastAsia" w:ascii="宋体" w:hAnsi="Courier New" w:eastAsia="宋体" w:cs="宋体"/>
      <w:kern w:val="2"/>
      <w:sz w:val="28"/>
      <w:szCs w:val="24"/>
      <w:lang w:val="en-US" w:eastAsia="zh-CN" w:bidi="ar-SA"/>
    </w:rPr>
  </w:style>
  <w:style w:type="character" w:customStyle="1" w:styleId="259">
    <w:name w:val="bds_more2"/>
    <w:uiPriority w:val="0"/>
    <w:rPr>
      <w:sz w:val="18"/>
      <w:szCs w:val="18"/>
    </w:rPr>
  </w:style>
  <w:style w:type="character" w:customStyle="1" w:styleId="260">
    <w:name w:val="bds_nopic1"/>
    <w:uiPriority w:val="0"/>
    <w:rPr>
      <w:sz w:val="18"/>
      <w:szCs w:val="18"/>
    </w:rPr>
  </w:style>
  <w:style w:type="character" w:customStyle="1" w:styleId="261">
    <w:name w:val="表格文字 Char Char"/>
    <w:uiPriority w:val="0"/>
    <w:rPr>
      <w:rFonts w:hint="eastAsia" w:ascii="仿宋_GB2312" w:hAnsi="Arial Black" w:eastAsia="仿宋_GB2312"/>
      <w:kern w:val="44"/>
      <w:sz w:val="24"/>
      <w:szCs w:val="24"/>
      <w:lang w:bidi="ar-SA"/>
    </w:rPr>
  </w:style>
  <w:style w:type="character" w:customStyle="1" w:styleId="262">
    <w:name w:val="文本框五号 Char Char Char"/>
    <w:uiPriority w:val="0"/>
    <w:rPr>
      <w:rFonts w:hint="eastAsia" w:ascii="宋体" w:hAnsi="宋体" w:eastAsia="仿宋_GB2312" w:cs="Courier New"/>
      <w:kern w:val="2"/>
      <w:sz w:val="21"/>
      <w:szCs w:val="21"/>
      <w:lang w:val="en-US" w:eastAsia="zh-CN" w:bidi="ar-SA"/>
    </w:rPr>
  </w:style>
  <w:style w:type="character" w:customStyle="1" w:styleId="263">
    <w:name w:val="标题1 Char Char"/>
    <w:uiPriority w:val="0"/>
    <w:rPr>
      <w:rFonts w:hint="eastAsia" w:ascii="黑体" w:hAnsi="黑体" w:eastAsia="黑体"/>
      <w:b/>
      <w:bCs/>
      <w:color w:val="FF0000"/>
      <w:kern w:val="44"/>
      <w:sz w:val="32"/>
      <w:szCs w:val="44"/>
      <w:lang w:val="en-US" w:eastAsia="zh-CN" w:bidi="ar-SA"/>
    </w:rPr>
  </w:style>
  <w:style w:type="character" w:customStyle="1" w:styleId="264">
    <w:name w:val="表名 Char"/>
    <w:uiPriority w:val="0"/>
    <w:rPr>
      <w:rFonts w:hint="eastAsia" w:ascii="宋体" w:hAnsi="宋体" w:eastAsia="宋体"/>
      <w:b/>
      <w:sz w:val="24"/>
      <w:szCs w:val="20"/>
      <w:lang w:val="en-US" w:eastAsia="zh-CN" w:bidi="ar-SA"/>
    </w:rPr>
  </w:style>
  <w:style w:type="character" w:customStyle="1" w:styleId="265">
    <w:name w:val="章1"/>
    <w:uiPriority w:val="0"/>
    <w:rPr>
      <w:rFonts w:hint="eastAsia" w:ascii="宋体" w:hAnsi="宋体" w:eastAsia="宋体"/>
      <w:b/>
      <w:bCs/>
      <w:kern w:val="44"/>
      <w:sz w:val="44"/>
      <w:szCs w:val="44"/>
      <w:lang w:val="en-US" w:eastAsia="zh-CN" w:bidi="ar-SA"/>
    </w:rPr>
  </w:style>
  <w:style w:type="character" w:customStyle="1" w:styleId="266">
    <w:name w:val="表文字 Char Char"/>
    <w:uiPriority w:val="0"/>
    <w:rPr>
      <w:sz w:val="24"/>
    </w:rPr>
  </w:style>
  <w:style w:type="character" w:customStyle="1" w:styleId="267">
    <w:name w:val="样式 宋体 四号 黑色2"/>
    <w:uiPriority w:val="0"/>
    <w:rPr>
      <w:rFonts w:hint="eastAsia" w:ascii="宋体" w:hAnsi="宋体" w:eastAsia="宋体"/>
      <w:color w:val="000000"/>
      <w:sz w:val="24"/>
      <w:szCs w:val="28"/>
    </w:rPr>
  </w:style>
  <w:style w:type="character" w:customStyle="1" w:styleId="268">
    <w:name w:val="px141"/>
    <w:uiPriority w:val="0"/>
    <w:rPr>
      <w:sz w:val="21"/>
      <w:szCs w:val="21"/>
    </w:rPr>
  </w:style>
  <w:style w:type="character" w:customStyle="1" w:styleId="269">
    <w:name w:val="正文文本缩进 Char1"/>
    <w:uiPriority w:val="0"/>
    <w:rPr>
      <w:kern w:val="2"/>
      <w:sz w:val="21"/>
      <w:szCs w:val="22"/>
    </w:rPr>
  </w:style>
  <w:style w:type="character" w:customStyle="1" w:styleId="270">
    <w:name w:val="样式5 Char1"/>
    <w:uiPriority w:val="0"/>
    <w:rPr>
      <w:rFonts w:hint="eastAsia" w:ascii="宋体" w:hAnsi="宋体" w:eastAsia="宋体"/>
      <w:kern w:val="2"/>
      <w:sz w:val="24"/>
      <w:szCs w:val="24"/>
      <w:lang w:val="en-US" w:eastAsia="zh-CN" w:bidi="ar-SA"/>
    </w:rPr>
  </w:style>
  <w:style w:type="character" w:customStyle="1" w:styleId="271">
    <w:name w:val="textbig1"/>
    <w:uiPriority w:val="0"/>
    <w:rPr>
      <w:sz w:val="18"/>
      <w:szCs w:val="18"/>
    </w:rPr>
  </w:style>
  <w:style w:type="character" w:customStyle="1" w:styleId="272">
    <w:name w:val="CM15 Char Char"/>
    <w:uiPriority w:val="0"/>
    <w:rPr>
      <w:rFonts w:hint="eastAsia" w:ascii="宋体" w:hAnsi="宋体" w:eastAsia="宋体" w:cs="宋体"/>
      <w:sz w:val="24"/>
      <w:szCs w:val="24"/>
    </w:rPr>
  </w:style>
  <w:style w:type="character" w:customStyle="1" w:styleId="273">
    <w:name w:val="Heading 2 Char"/>
    <w:uiPriority w:val="0"/>
    <w:rPr>
      <w:rFonts w:hint="default" w:ascii="Arial" w:hAnsi="Arial" w:eastAsia="黑体" w:cs="Times New Roman"/>
      <w:b/>
      <w:bCs/>
      <w:kern w:val="2"/>
      <w:sz w:val="32"/>
      <w:szCs w:val="32"/>
      <w:lang w:val="en-US" w:eastAsia="zh-CN" w:bidi="ar-SA"/>
    </w:rPr>
  </w:style>
  <w:style w:type="character" w:customStyle="1" w:styleId="274">
    <w:name w:val="样式24 Char Char"/>
    <w:uiPriority w:val="0"/>
    <w:rPr>
      <w:rFonts w:hint="eastAsia" w:ascii="宋体" w:hAnsi="宋体" w:eastAsia="宋体" w:cs="宋体"/>
      <w:color w:val="000000"/>
      <w:sz w:val="24"/>
    </w:rPr>
  </w:style>
  <w:style w:type="character" w:customStyle="1" w:styleId="275">
    <w:name w:val="文档结构图 Char"/>
    <w:uiPriority w:val="0"/>
    <w:rPr>
      <w:rFonts w:hint="eastAsia" w:ascii="宋体" w:hAnsi="宋体" w:eastAsia="宋体"/>
      <w:kern w:val="2"/>
      <w:sz w:val="18"/>
      <w:szCs w:val="18"/>
    </w:rPr>
  </w:style>
  <w:style w:type="character" w:customStyle="1" w:styleId="276">
    <w:name w:val="正文缩进 Char3"/>
    <w:uiPriority w:val="0"/>
    <w:rPr>
      <w:rFonts w:hint="eastAsia" w:ascii="宋体" w:hAnsi="宋体" w:eastAsia="宋体"/>
      <w:kern w:val="2"/>
      <w:sz w:val="21"/>
      <w:lang w:val="en-US" w:eastAsia="zh-CN" w:bidi="ar-SA"/>
    </w:rPr>
  </w:style>
  <w:style w:type="character" w:customStyle="1" w:styleId="277">
    <w:name w:val="样式 仿宋_GB2312 小四2"/>
    <w:uiPriority w:val="0"/>
    <w:rPr>
      <w:rFonts w:hint="default" w:ascii="Times New Roman" w:hAnsi="Times New Roman" w:eastAsia="仿宋_GB2312" w:cs="Courier New"/>
      <w:kern w:val="2"/>
      <w:sz w:val="24"/>
      <w:szCs w:val="24"/>
      <w:lang w:val="en-US" w:eastAsia="zh-CN" w:bidi="ar-SA"/>
    </w:rPr>
  </w:style>
  <w:style w:type="character" w:customStyle="1" w:styleId="278">
    <w:name w:val="文本框小四 Char Char"/>
    <w:uiPriority w:val="0"/>
    <w:rPr>
      <w:rFonts w:hint="eastAsia" w:ascii="宋体" w:hAnsi="宋体" w:eastAsia="仿宋_GB2312" w:cs="Courier New"/>
      <w:kern w:val="2"/>
      <w:sz w:val="24"/>
      <w:szCs w:val="24"/>
      <w:lang w:val="en-US" w:eastAsia="zh-CN" w:bidi="ar-SA"/>
    </w:rPr>
  </w:style>
  <w:style w:type="character" w:customStyle="1" w:styleId="279">
    <w:name w:val="表格表头 Char Char"/>
    <w:uiPriority w:val="0"/>
    <w:rPr>
      <w:rFonts w:hint="eastAsia" w:ascii="宋体" w:hAnsi="宋体" w:eastAsia="宋体" w:cs="宋体"/>
      <w:b/>
      <w:bCs/>
      <w:kern w:val="2"/>
      <w:sz w:val="21"/>
    </w:rPr>
  </w:style>
  <w:style w:type="character" w:customStyle="1" w:styleId="280">
    <w:name w:val="1 Char"/>
    <w:locked/>
    <w:uiPriority w:val="0"/>
    <w:rPr>
      <w:rFonts w:hint="eastAsia" w:ascii="宋体" w:hAnsi="宋体" w:eastAsia="宋体"/>
      <w:kern w:val="2"/>
      <w:sz w:val="24"/>
      <w:szCs w:val="24"/>
      <w:lang w:val="en-US" w:eastAsia="zh-CN" w:bidi="ar-SA"/>
    </w:rPr>
  </w:style>
  <w:style w:type="character" w:customStyle="1" w:styleId="281">
    <w:name w:val="仿宋体正文 Char Char"/>
    <w:uiPriority w:val="0"/>
    <w:rPr>
      <w:rFonts w:hint="eastAsia" w:ascii="宋体" w:hAnsi="宋体" w:eastAsia="仿宋_GB2312" w:cs="宋体"/>
      <w:sz w:val="28"/>
      <w:szCs w:val="24"/>
    </w:rPr>
  </w:style>
  <w:style w:type="character" w:customStyle="1" w:styleId="282">
    <w:name w:val="批注主题 Char"/>
    <w:uiPriority w:val="0"/>
    <w:rPr>
      <w:b/>
      <w:bCs/>
      <w:kern w:val="2"/>
      <w:sz w:val="21"/>
      <w:szCs w:val="22"/>
    </w:rPr>
  </w:style>
  <w:style w:type="character" w:customStyle="1" w:styleId="283">
    <w:name w:val="Char Char15"/>
    <w:uiPriority w:val="0"/>
    <w:rPr>
      <w:rFonts w:ascii="宋体" w:hAnsi="宋体" w:eastAsia="宋体"/>
      <w:b/>
      <w:bCs/>
      <w:sz w:val="24"/>
      <w:szCs w:val="24"/>
      <w:lang w:val="en-US" w:eastAsia="zh-CN" w:bidi="ar-SA"/>
    </w:rPr>
  </w:style>
  <w:style w:type="character" w:customStyle="1" w:styleId="284">
    <w:name w:val="标题 5 Char"/>
    <w:uiPriority w:val="0"/>
    <w:rPr>
      <w:b/>
      <w:bCs/>
      <w:kern w:val="2"/>
      <w:sz w:val="28"/>
      <w:szCs w:val="28"/>
    </w:rPr>
  </w:style>
  <w:style w:type="character" w:customStyle="1" w:styleId="285">
    <w:name w:val="正文崔 Char Char"/>
    <w:uiPriority w:val="0"/>
    <w:rPr>
      <w:bCs/>
      <w:spacing w:val="14"/>
      <w:kern w:val="2"/>
      <w:sz w:val="24"/>
      <w:szCs w:val="24"/>
    </w:rPr>
  </w:style>
  <w:style w:type="character" w:customStyle="1" w:styleId="286">
    <w:name w:val="HTML 预设格式 Char"/>
    <w:uiPriority w:val="0"/>
    <w:rPr>
      <w:rFonts w:hint="eastAsia" w:ascii="宋体" w:hAnsi="宋体" w:eastAsia="宋体" w:cs="宋体"/>
      <w:sz w:val="24"/>
      <w:szCs w:val="24"/>
    </w:rPr>
  </w:style>
  <w:style w:type="character" w:customStyle="1" w:styleId="287">
    <w:name w:val="表文 Char Char"/>
    <w:uiPriority w:val="0"/>
    <w:rPr>
      <w:rFonts w:hint="eastAsia" w:ascii="宋体" w:hAnsi="宋体" w:eastAsia="宋体"/>
      <w:kern w:val="2"/>
      <w:sz w:val="21"/>
    </w:rPr>
  </w:style>
  <w:style w:type="character" w:customStyle="1" w:styleId="288">
    <w:name w:val="样式 样式 小四 段前: 7.8 磅 段后: 7.8 磅 行距: 1.5 倍行距 + 首行缩进:  2 字符 Char Char"/>
    <w:uiPriority w:val="0"/>
    <w:rPr>
      <w:rFonts w:hint="eastAsia" w:ascii="宋体" w:hAnsi="宋体" w:eastAsia="宋体"/>
      <w:color w:val="000000"/>
      <w:kern w:val="2"/>
      <w:sz w:val="24"/>
      <w:szCs w:val="24"/>
    </w:rPr>
  </w:style>
  <w:style w:type="character" w:customStyle="1" w:styleId="289">
    <w:name w:val="16"/>
    <w:uiPriority w:val="0"/>
    <w:rPr>
      <w:rFonts w:hint="default" w:ascii="Arial" w:hAnsi="Arial" w:eastAsia="宋体" w:cs="Arial"/>
      <w:b/>
      <w:bCs/>
      <w:kern w:val="2"/>
      <w:sz w:val="28"/>
      <w:szCs w:val="28"/>
    </w:rPr>
  </w:style>
  <w:style w:type="character" w:customStyle="1" w:styleId="290">
    <w:name w:val="样式4 Char1"/>
    <w:basedOn w:val="210"/>
    <w:uiPriority w:val="0"/>
  </w:style>
  <w:style w:type="character" w:customStyle="1" w:styleId="291">
    <w:name w:val="标题 1 Char Char1"/>
    <w:uiPriority w:val="0"/>
    <w:rPr>
      <w:rFonts w:hint="default" w:ascii="Arial" w:hAnsi="Arial" w:eastAsia="宋体" w:cs="Arial"/>
      <w:sz w:val="24"/>
      <w:lang w:val="en-US" w:eastAsia="zh-CN"/>
    </w:rPr>
  </w:style>
  <w:style w:type="character" w:customStyle="1" w:styleId="292">
    <w:name w:val="正文（首行缩进两字） Char Char Char Char1 Char"/>
    <w:uiPriority w:val="0"/>
    <w:rPr>
      <w:rFonts w:hint="default" w:ascii="Arial" w:hAnsi="Arial" w:cs="Arial"/>
      <w:kern w:val="2"/>
      <w:sz w:val="24"/>
    </w:rPr>
  </w:style>
  <w:style w:type="character" w:customStyle="1" w:styleId="293">
    <w:name w:val="标题 1 Char Char Char1"/>
    <w:uiPriority w:val="0"/>
    <w:rPr>
      <w:rFonts w:hint="default" w:ascii="Arial" w:hAnsi="Arial" w:eastAsia="宋体" w:cs="Arial"/>
      <w:sz w:val="24"/>
      <w:lang w:val="en-US" w:eastAsia="zh-CN"/>
    </w:rPr>
  </w:style>
  <w:style w:type="character" w:customStyle="1" w:styleId="294">
    <w:name w:val="headline-content"/>
    <w:uiPriority w:val="0"/>
    <w:rPr>
      <w:sz w:val="28"/>
      <w:szCs w:val="28"/>
    </w:rPr>
  </w:style>
  <w:style w:type="character" w:customStyle="1" w:styleId="295">
    <w:name w:val="标题 3 Char2"/>
    <w:uiPriority w:val="0"/>
    <w:rPr>
      <w:rFonts w:hint="eastAsia" w:ascii="黑体" w:hAnsi="黑体" w:eastAsia="黑体"/>
      <w:b/>
      <w:kern w:val="2"/>
      <w:sz w:val="24"/>
    </w:rPr>
  </w:style>
  <w:style w:type="character" w:customStyle="1" w:styleId="296">
    <w:name w:val="11p1"/>
    <w:uiPriority w:val="0"/>
    <w:rPr>
      <w:sz w:val="21"/>
      <w:szCs w:val="21"/>
    </w:rPr>
  </w:style>
  <w:style w:type="character" w:customStyle="1" w:styleId="297">
    <w:name w:val="wj样式 Char Char"/>
    <w:uiPriority w:val="0"/>
    <w:rPr>
      <w:spacing w:val="14"/>
      <w:kern w:val="2"/>
      <w:sz w:val="24"/>
      <w:szCs w:val="24"/>
    </w:rPr>
  </w:style>
  <w:style w:type="character" w:customStyle="1" w:styleId="298">
    <w:name w:val="Body text + Spacing 0 pt5"/>
    <w:qFormat/>
    <w:uiPriority w:val="0"/>
    <w:rPr>
      <w:rFonts w:ascii="MingLiU" w:hAnsi="MingLiU" w:eastAsia="MingLiU" w:cs="MingLiU"/>
      <w:color w:val="000000"/>
      <w:spacing w:val="0"/>
      <w:w w:val="100"/>
      <w:position w:val="0"/>
      <w:sz w:val="22"/>
      <w:szCs w:val="22"/>
      <w:lang w:val="zh-TW"/>
    </w:rPr>
  </w:style>
  <w:style w:type="character" w:customStyle="1" w:styleId="299">
    <w:name w:val="p131"/>
    <w:uiPriority w:val="0"/>
    <w:rPr>
      <w:b/>
      <w:color w:val="FF6600"/>
      <w:sz w:val="28"/>
    </w:rPr>
  </w:style>
  <w:style w:type="character" w:customStyle="1" w:styleId="300">
    <w:name w:val="表1 Char Char"/>
    <w:uiPriority w:val="0"/>
    <w:rPr>
      <w:rFonts w:hint="default" w:ascii="Times New Roman" w:hAnsi="Times New Roman" w:eastAsia="黑体" w:cs="Times New Roman"/>
      <w:spacing w:val="10"/>
      <w:kern w:val="2"/>
      <w:sz w:val="24"/>
    </w:rPr>
  </w:style>
  <w:style w:type="character" w:customStyle="1" w:styleId="301">
    <w:name w:val="Char Char7"/>
    <w:uiPriority w:val="0"/>
    <w:rPr>
      <w:rFonts w:hint="default" w:ascii="Cambria" w:hAnsi="Cambria" w:eastAsia="宋体" w:cs="Times New Roman"/>
      <w:b/>
      <w:bCs/>
      <w:kern w:val="2"/>
      <w:sz w:val="32"/>
      <w:szCs w:val="32"/>
    </w:rPr>
  </w:style>
  <w:style w:type="character" w:customStyle="1" w:styleId="302">
    <w:name w:val="正式文本 Char Char"/>
    <w:uiPriority w:val="0"/>
    <w:rPr>
      <w:rFonts w:ascii="Arial Narrow" w:hAnsi="Arial Narrow" w:eastAsia="汉鼎简书宋"/>
      <w:kern w:val="2"/>
      <w:sz w:val="24"/>
      <w:szCs w:val="24"/>
      <w:lang w:val="en-US" w:eastAsia="zh-CN" w:bidi="ar-SA"/>
    </w:rPr>
  </w:style>
  <w:style w:type="character" w:customStyle="1" w:styleId="303">
    <w:name w:val="标题 3 Char Char2"/>
    <w:uiPriority w:val="0"/>
    <w:rPr>
      <w:rFonts w:hint="eastAsia" w:ascii="宋体" w:hAnsi="宋体" w:eastAsia="宋体"/>
      <w:b/>
      <w:kern w:val="2"/>
      <w:sz w:val="24"/>
      <w:lang w:val="en-US" w:eastAsia="zh-CN"/>
    </w:rPr>
  </w:style>
  <w:style w:type="character" w:customStyle="1" w:styleId="304">
    <w:name w:val="f14"/>
    <w:basedOn w:val="96"/>
    <w:uiPriority w:val="0"/>
  </w:style>
  <w:style w:type="character" w:customStyle="1" w:styleId="305">
    <w:name w:val="aaa Char"/>
    <w:link w:val="306"/>
    <w:uiPriority w:val="0"/>
    <w:rPr>
      <w:rFonts w:eastAsia="宋体"/>
      <w:sz w:val="24"/>
      <w:lang w:val="en-US" w:eastAsia="zh-CN" w:bidi="ar-SA"/>
    </w:rPr>
  </w:style>
  <w:style w:type="paragraph" w:customStyle="1" w:styleId="306">
    <w:name w:val="aaa"/>
    <w:basedOn w:val="1"/>
    <w:link w:val="305"/>
    <w:uiPriority w:val="0"/>
    <w:pPr>
      <w:snapToGrid w:val="0"/>
      <w:spacing w:line="360" w:lineRule="auto"/>
      <w:ind w:firstLine="480" w:firstLineChars="200"/>
    </w:pPr>
    <w:rPr>
      <w:kern w:val="0"/>
      <w:sz w:val="24"/>
      <w:szCs w:val="20"/>
    </w:rPr>
  </w:style>
  <w:style w:type="character" w:customStyle="1" w:styleId="307">
    <w:name w:val="txt18"/>
    <w:basedOn w:val="96"/>
    <w:uiPriority w:val="0"/>
  </w:style>
  <w:style w:type="character" w:customStyle="1" w:styleId="308">
    <w:name w:val="Char Char25"/>
    <w:uiPriority w:val="0"/>
    <w:rPr>
      <w:rFonts w:eastAsia="宋体"/>
      <w:b/>
      <w:bCs/>
      <w:kern w:val="44"/>
      <w:sz w:val="44"/>
      <w:szCs w:val="44"/>
      <w:lang w:val="en-US" w:eastAsia="zh-CN" w:bidi="ar-SA"/>
    </w:rPr>
  </w:style>
  <w:style w:type="character" w:customStyle="1" w:styleId="309">
    <w:name w:val="11. Char Char"/>
    <w:link w:val="310"/>
    <w:locked/>
    <w:uiPriority w:val="0"/>
    <w:rPr>
      <w:rFonts w:eastAsia="黑体"/>
      <w:b/>
      <w:sz w:val="28"/>
      <w:szCs w:val="28"/>
    </w:rPr>
  </w:style>
  <w:style w:type="paragraph" w:customStyle="1" w:styleId="310">
    <w:name w:val="11."/>
    <w:basedOn w:val="311"/>
    <w:link w:val="309"/>
    <w:uiPriority w:val="0"/>
    <w:pPr>
      <w:numPr>
        <w:ilvl w:val="0"/>
        <w:numId w:val="10"/>
      </w:numPr>
      <w:tabs>
        <w:tab w:val="left" w:pos="5400"/>
      </w:tabs>
      <w:ind w:firstLineChars="0"/>
      <w:outlineLvl w:val="1"/>
    </w:pPr>
    <w:rPr>
      <w:rFonts w:eastAsia="黑体"/>
      <w:b/>
      <w:szCs w:val="28"/>
    </w:rPr>
  </w:style>
  <w:style w:type="paragraph" w:customStyle="1" w:styleId="311">
    <w:name w:val="好正文"/>
    <w:basedOn w:val="1"/>
    <w:link w:val="312"/>
    <w:uiPriority w:val="0"/>
    <w:pPr>
      <w:tabs>
        <w:tab w:val="left" w:pos="5400"/>
      </w:tabs>
      <w:spacing w:line="360" w:lineRule="auto"/>
      <w:ind w:firstLine="200" w:firstLineChars="200"/>
    </w:pPr>
    <w:rPr>
      <w:kern w:val="0"/>
      <w:sz w:val="28"/>
    </w:rPr>
  </w:style>
  <w:style w:type="character" w:customStyle="1" w:styleId="312">
    <w:name w:val="好正文 Char Char"/>
    <w:link w:val="311"/>
    <w:locked/>
    <w:uiPriority w:val="0"/>
    <w:rPr>
      <w:sz w:val="28"/>
      <w:szCs w:val="24"/>
      <w:lang w:bidi="ar-SA"/>
    </w:rPr>
  </w:style>
  <w:style w:type="character" w:customStyle="1" w:styleId="313">
    <w:name w:val="13.1.1 Char Char"/>
    <w:basedOn w:val="314"/>
    <w:link w:val="316"/>
    <w:locked/>
    <w:uiPriority w:val="0"/>
  </w:style>
  <w:style w:type="character" w:customStyle="1" w:styleId="314">
    <w:name w:val="13.2 Char Char"/>
    <w:link w:val="315"/>
    <w:locked/>
    <w:uiPriority w:val="0"/>
    <w:rPr>
      <w:rFonts w:eastAsia="黑体"/>
      <w:b/>
      <w:bCs/>
      <w:sz w:val="24"/>
      <w:szCs w:val="24"/>
    </w:rPr>
  </w:style>
  <w:style w:type="paragraph" w:customStyle="1" w:styleId="315">
    <w:name w:val="13.2"/>
    <w:basedOn w:val="7"/>
    <w:link w:val="314"/>
    <w:uiPriority w:val="0"/>
    <w:pPr>
      <w:numPr>
        <w:ilvl w:val="0"/>
        <w:numId w:val="11"/>
      </w:numPr>
      <w:spacing w:before="0" w:after="0" w:line="412" w:lineRule="auto"/>
    </w:pPr>
    <w:rPr>
      <w:rFonts w:eastAsia="黑体"/>
      <w:kern w:val="0"/>
      <w:sz w:val="24"/>
      <w:szCs w:val="24"/>
    </w:rPr>
  </w:style>
  <w:style w:type="paragraph" w:customStyle="1" w:styleId="316">
    <w:name w:val="13.1.1"/>
    <w:basedOn w:val="315"/>
    <w:link w:val="313"/>
    <w:uiPriority w:val="0"/>
    <w:pPr>
      <w:numPr>
        <w:ilvl w:val="0"/>
        <w:numId w:val="12"/>
      </w:numPr>
    </w:pPr>
  </w:style>
  <w:style w:type="character" w:customStyle="1" w:styleId="317">
    <w:name w:val="样式 宋体 四号 首行缩进:  1.02 厘米 Char Char"/>
    <w:link w:val="318"/>
    <w:uiPriority w:val="0"/>
    <w:rPr>
      <w:rFonts w:ascii="宋体" w:hAnsi="宋体" w:eastAsia="宋体" w:cs="宋体"/>
      <w:kern w:val="2"/>
      <w:sz w:val="28"/>
      <w:lang w:val="en-US" w:eastAsia="zh-CN" w:bidi="ar-SA"/>
    </w:rPr>
  </w:style>
  <w:style w:type="paragraph" w:customStyle="1" w:styleId="318">
    <w:name w:val="样式 宋体 四号 首行缩进:  1.02 厘米"/>
    <w:basedOn w:val="1"/>
    <w:link w:val="317"/>
    <w:uiPriority w:val="0"/>
    <w:pPr>
      <w:ind w:firstLine="200" w:firstLineChars="200"/>
    </w:pPr>
    <w:rPr>
      <w:rFonts w:ascii="宋体" w:hAnsi="宋体" w:cs="宋体"/>
      <w:sz w:val="28"/>
      <w:szCs w:val="20"/>
    </w:rPr>
  </w:style>
  <w:style w:type="character" w:customStyle="1" w:styleId="319">
    <w:name w:val="标题 3 Char1"/>
    <w:aliases w:val="标题 3 Char1 Char Char Char1,标题 3 Char,标题 13 Char,标题 31 Char,标题 3 Char Char Char,level_3 Char,PIM 3 Char,Level 3 Head Char,Heading 3 - old Char,sect1.2.3 Char,sect1.2.31 Char,标题 13 Char2,标题 13 Char Char1,Level 3 Head Char1"/>
    <w:uiPriority w:val="0"/>
    <w:rPr>
      <w:rFonts w:ascii="Arial Unicode MS" w:hAnsi="Arial Unicode MS" w:eastAsia="Arial Unicode MS" w:cs="Arial Unicode MS"/>
      <w:b/>
      <w:bCs/>
      <w:color w:val="000000"/>
      <w:sz w:val="27"/>
      <w:szCs w:val="27"/>
      <w:lang w:val="en-US" w:eastAsia="zh-CN" w:bidi="ar-SA"/>
    </w:rPr>
  </w:style>
  <w:style w:type="character" w:customStyle="1" w:styleId="320">
    <w:name w:val="qatitle1"/>
    <w:uiPriority w:val="0"/>
    <w:rPr>
      <w:color w:val="0033CC"/>
      <w:sz w:val="22"/>
      <w:szCs w:val="22"/>
      <w:u w:val="single"/>
    </w:rPr>
  </w:style>
  <w:style w:type="character" w:customStyle="1" w:styleId="321">
    <w:name w:val="1.4 Char Char"/>
    <w:link w:val="322"/>
    <w:locked/>
    <w:uiPriority w:val="0"/>
    <w:rPr>
      <w:rFonts w:eastAsia="黑体"/>
      <w:b/>
      <w:bCs/>
      <w:sz w:val="24"/>
      <w:szCs w:val="24"/>
    </w:rPr>
  </w:style>
  <w:style w:type="paragraph" w:customStyle="1" w:styleId="322">
    <w:name w:val="1.4"/>
    <w:basedOn w:val="323"/>
    <w:link w:val="321"/>
    <w:uiPriority w:val="0"/>
    <w:pPr>
      <w:keepNext/>
      <w:keepLines/>
      <w:numPr>
        <w:ilvl w:val="0"/>
        <w:numId w:val="13"/>
      </w:numPr>
      <w:spacing w:line="360" w:lineRule="auto"/>
      <w:ind w:firstLineChars="0"/>
      <w:outlineLvl w:val="2"/>
    </w:pPr>
    <w:rPr>
      <w:rFonts w:eastAsia="黑体"/>
      <w:b/>
      <w:bCs/>
      <w:kern w:val="0"/>
    </w:rPr>
  </w:style>
  <w:style w:type="paragraph" w:customStyle="1" w:styleId="323">
    <w:name w:val="我的正文"/>
    <w:basedOn w:val="1"/>
    <w:link w:val="324"/>
    <w:qFormat/>
    <w:uiPriority w:val="0"/>
    <w:pPr>
      <w:spacing w:line="440" w:lineRule="exact"/>
      <w:ind w:firstLine="538" w:firstLineChars="192"/>
    </w:pPr>
    <w:rPr>
      <w:sz w:val="24"/>
    </w:rPr>
  </w:style>
  <w:style w:type="character" w:customStyle="1" w:styleId="324">
    <w:name w:val="我的正文 Char"/>
    <w:link w:val="323"/>
    <w:qFormat/>
    <w:uiPriority w:val="0"/>
    <w:rPr>
      <w:rFonts w:eastAsia="宋体"/>
      <w:kern w:val="2"/>
      <w:sz w:val="24"/>
      <w:szCs w:val="24"/>
      <w:lang w:val="en-US" w:eastAsia="zh-CN" w:bidi="ar-SA"/>
    </w:rPr>
  </w:style>
  <w:style w:type="character" w:customStyle="1" w:styleId="325">
    <w:name w:val="hb2 Char Char"/>
    <w:uiPriority w:val="0"/>
    <w:rPr>
      <w:rFonts w:eastAsia="宋体"/>
      <w:b/>
      <w:bCs/>
      <w:sz w:val="24"/>
      <w:szCs w:val="24"/>
      <w:lang w:val="en-US" w:eastAsia="zh-CN" w:bidi="ar-SA"/>
    </w:rPr>
  </w:style>
  <w:style w:type="character" w:customStyle="1" w:styleId="326">
    <w:name w:val="1正文段落 Char"/>
    <w:uiPriority w:val="0"/>
    <w:rPr>
      <w:rFonts w:eastAsia="宋体"/>
      <w:snapToGrid w:val="0"/>
      <w:sz w:val="24"/>
      <w:szCs w:val="24"/>
      <w:lang w:val="en-US" w:eastAsia="zh-CN" w:bidi="ar-SA"/>
    </w:rPr>
  </w:style>
  <w:style w:type="character" w:customStyle="1" w:styleId="327">
    <w:name w:val="3标题(治) Char"/>
    <w:link w:val="328"/>
    <w:locked/>
    <w:uiPriority w:val="0"/>
    <w:rPr>
      <w:rFonts w:eastAsia="黑体"/>
      <w:b/>
      <w:bCs/>
      <w:kern w:val="2"/>
      <w:sz w:val="28"/>
      <w:szCs w:val="32"/>
      <w:lang w:val="en-US" w:eastAsia="zh-CN" w:bidi="ar-SA"/>
    </w:rPr>
  </w:style>
  <w:style w:type="paragraph" w:customStyle="1" w:styleId="328">
    <w:name w:val="3标题(治)"/>
    <w:basedOn w:val="7"/>
    <w:link w:val="327"/>
    <w:uiPriority w:val="0"/>
    <w:pPr>
      <w:spacing w:before="0" w:after="0" w:line="360" w:lineRule="auto"/>
      <w:textAlignment w:val="baseline"/>
      <w:outlineLvl w:val="1"/>
    </w:pPr>
    <w:rPr>
      <w:rFonts w:eastAsia="黑体"/>
      <w:sz w:val="28"/>
    </w:rPr>
  </w:style>
  <w:style w:type="character" w:customStyle="1" w:styleId="329">
    <w:name w:val="列表编号 5 Char Char"/>
    <w:uiPriority w:val="0"/>
    <w:rPr>
      <w:rFonts w:eastAsia="宋体"/>
      <w:kern w:val="2"/>
      <w:sz w:val="24"/>
      <w:szCs w:val="24"/>
      <w:lang w:val="en-US" w:eastAsia="zh-CN" w:bidi="ar-SA"/>
    </w:rPr>
  </w:style>
  <w:style w:type="character" w:customStyle="1" w:styleId="330">
    <w:name w:val="textindent"/>
    <w:basedOn w:val="96"/>
    <w:uiPriority w:val="0"/>
  </w:style>
  <w:style w:type="character" w:customStyle="1" w:styleId="331">
    <w:name w:val="unnamed11"/>
    <w:uiPriority w:val="0"/>
    <w:rPr>
      <w:rFonts w:ascii="宋体" w:hAnsi="宋体" w:eastAsia="宋体" w:cs="宋体"/>
      <w:color w:val="000000"/>
      <w:kern w:val="2"/>
      <w:sz w:val="21"/>
      <w:szCs w:val="21"/>
      <w:lang w:val="en-US" w:eastAsia="zh-CN" w:bidi="ar-SA"/>
    </w:rPr>
  </w:style>
  <w:style w:type="character" w:customStyle="1" w:styleId="332">
    <w:name w:val="纯文本 Char1"/>
    <w:uiPriority w:val="0"/>
    <w:rPr>
      <w:rFonts w:ascii="宋体" w:hAnsi="Courier New" w:eastAsia="宋体"/>
      <w:kern w:val="2"/>
      <w:sz w:val="21"/>
      <w:lang w:val="en-US" w:eastAsia="zh-CN" w:bidi="ar-SA"/>
    </w:rPr>
  </w:style>
  <w:style w:type="character" w:customStyle="1" w:styleId="333">
    <w:name w:val="样式 标题 3 Char Char"/>
    <w:link w:val="334"/>
    <w:uiPriority w:val="0"/>
    <w:rPr>
      <w:rFonts w:ascii="宋体" w:hAnsi="宋体" w:eastAsia="宋体"/>
      <w:b/>
      <w:bCs/>
      <w:spacing w:val="20"/>
      <w:kern w:val="11"/>
      <w:sz w:val="28"/>
      <w:lang w:val="zh-CN" w:eastAsia="zh-CN" w:bidi="ar-SA"/>
    </w:rPr>
  </w:style>
  <w:style w:type="paragraph" w:customStyle="1" w:styleId="334">
    <w:name w:val="样式 标题 3"/>
    <w:basedOn w:val="7"/>
    <w:link w:val="333"/>
    <w:uiPriority w:val="0"/>
    <w:pPr>
      <w:numPr>
        <w:ilvl w:val="0"/>
        <w:numId w:val="0"/>
      </w:numPr>
      <w:tabs>
        <w:tab w:val="left" w:pos="720"/>
      </w:tabs>
      <w:spacing w:line="360" w:lineRule="auto"/>
    </w:pPr>
    <w:rPr>
      <w:rFonts w:ascii="宋体" w:hAnsi="宋体"/>
      <w:spacing w:val="20"/>
      <w:kern w:val="11"/>
      <w:sz w:val="28"/>
      <w:szCs w:val="20"/>
      <w:lang w:val="zh-CN"/>
    </w:rPr>
  </w:style>
  <w:style w:type="character" w:customStyle="1" w:styleId="335">
    <w:name w:val="【表中文字】 Char"/>
    <w:link w:val="336"/>
    <w:locked/>
    <w:uiPriority w:val="0"/>
    <w:rPr>
      <w:rFonts w:ascii="宋体" w:hAnsi="宋体" w:eastAsia="宋体"/>
      <w:lang w:bidi="ar-SA"/>
    </w:rPr>
  </w:style>
  <w:style w:type="paragraph" w:customStyle="1" w:styleId="336">
    <w:name w:val="【表中文字】"/>
    <w:basedOn w:val="1"/>
    <w:link w:val="335"/>
    <w:uiPriority w:val="0"/>
    <w:pPr>
      <w:jc w:val="center"/>
    </w:pPr>
    <w:rPr>
      <w:rFonts w:ascii="宋体" w:hAnsi="宋体"/>
      <w:kern w:val="0"/>
      <w:sz w:val="20"/>
      <w:szCs w:val="20"/>
    </w:rPr>
  </w:style>
  <w:style w:type="character" w:customStyle="1" w:styleId="337">
    <w:name w:val="三级标题 Char"/>
    <w:link w:val="338"/>
    <w:uiPriority w:val="0"/>
    <w:rPr>
      <w:rFonts w:ascii="宋体" w:hAnsi="宋体" w:eastAsia="宋体" w:cs="Arial Unicode MS"/>
      <w:b/>
      <w:bCs/>
      <w:kern w:val="2"/>
      <w:sz w:val="24"/>
      <w:szCs w:val="24"/>
      <w:lang w:val="en-US" w:eastAsia="zh-CN" w:bidi="ar-SA"/>
    </w:rPr>
  </w:style>
  <w:style w:type="paragraph" w:customStyle="1" w:styleId="338">
    <w:name w:val="三级标题"/>
    <w:basedOn w:val="7"/>
    <w:link w:val="337"/>
    <w:uiPriority w:val="0"/>
    <w:pPr>
      <w:spacing w:beforeLines="50" w:afterLines="50" w:line="360" w:lineRule="auto"/>
    </w:pPr>
    <w:rPr>
      <w:rFonts w:ascii="宋体" w:hAnsi="宋体" w:cs="Arial Unicode MS"/>
      <w:sz w:val="24"/>
      <w:szCs w:val="24"/>
    </w:rPr>
  </w:style>
  <w:style w:type="character" w:customStyle="1" w:styleId="339">
    <w:name w:val="样式 正文1 + 首行缩进:  2 字符 Char3"/>
    <w:link w:val="340"/>
    <w:locked/>
    <w:uiPriority w:val="0"/>
    <w:rPr>
      <w:rFonts w:ascii="宋体" w:hAnsi="宋体" w:eastAsia="宋体"/>
      <w:sz w:val="24"/>
      <w:szCs w:val="24"/>
      <w:lang w:bidi="ar-SA"/>
    </w:rPr>
  </w:style>
  <w:style w:type="paragraph" w:customStyle="1" w:styleId="340">
    <w:name w:val="样式 正文1 + 首行缩进:  2 字符"/>
    <w:basedOn w:val="1"/>
    <w:link w:val="339"/>
    <w:uiPriority w:val="0"/>
    <w:pPr>
      <w:spacing w:line="360" w:lineRule="auto"/>
      <w:ind w:firstLine="200" w:firstLineChars="200"/>
    </w:pPr>
    <w:rPr>
      <w:rFonts w:ascii="宋体" w:hAnsi="宋体"/>
      <w:kern w:val="0"/>
      <w:sz w:val="24"/>
    </w:rPr>
  </w:style>
  <w:style w:type="character" w:customStyle="1" w:styleId="341">
    <w:name w:val="纯文本 Char2"/>
    <w:uiPriority w:val="0"/>
    <w:rPr>
      <w:rFonts w:ascii="宋体" w:hAnsi="Courier New" w:eastAsia="宋体"/>
      <w:kern w:val="2"/>
      <w:sz w:val="21"/>
      <w:lang w:val="en-US" w:eastAsia="zh-CN" w:bidi="ar-SA"/>
    </w:rPr>
  </w:style>
  <w:style w:type="character" w:customStyle="1" w:styleId="342">
    <w:name w:val="p12grey"/>
    <w:basedOn w:val="96"/>
    <w:uiPriority w:val="0"/>
  </w:style>
  <w:style w:type="character" w:customStyle="1" w:styleId="343">
    <w:name w:val="myfont11"/>
    <w:uiPriority w:val="0"/>
    <w:rPr>
      <w:rFonts w:hint="default" w:ascii="_x000B__x000C_" w:hAnsi="_x000B__x000C_"/>
      <w:color w:val="000000"/>
      <w:sz w:val="18"/>
      <w:szCs w:val="18"/>
    </w:rPr>
  </w:style>
  <w:style w:type="character" w:customStyle="1" w:styleId="344">
    <w:name w:val="Char Char"/>
    <w:uiPriority w:val="0"/>
    <w:rPr>
      <w:rFonts w:eastAsia="宋体"/>
      <w:kern w:val="2"/>
      <w:sz w:val="21"/>
      <w:szCs w:val="24"/>
      <w:lang w:val="en-US" w:eastAsia="zh-CN" w:bidi="ar-SA"/>
    </w:rPr>
  </w:style>
  <w:style w:type="character" w:customStyle="1" w:styleId="345">
    <w:name w:val="(use for figures) Char"/>
    <w:aliases w:val="(figure) Char Char"/>
    <w:uiPriority w:val="0"/>
    <w:rPr>
      <w:rFonts w:ascii="Arial" w:hAnsi="Arial" w:eastAsia="黑体"/>
      <w:kern w:val="2"/>
      <w:sz w:val="24"/>
      <w:szCs w:val="24"/>
      <w:lang w:val="en-US" w:eastAsia="zh-CN" w:bidi="ar-SA"/>
    </w:rPr>
  </w:style>
  <w:style w:type="character" w:customStyle="1" w:styleId="346">
    <w:name w:val="样式 第三标题 + 宋体 Char Char"/>
    <w:uiPriority w:val="0"/>
    <w:rPr>
      <w:rFonts w:ascii="宋体" w:hAnsi="宋体" w:eastAsia="宋体"/>
      <w:b/>
      <w:bCs/>
      <w:color w:val="000000"/>
      <w:kern w:val="2"/>
      <w:sz w:val="32"/>
      <w:szCs w:val="32"/>
      <w:lang w:val="en-US" w:eastAsia="zh-CN" w:bidi="ar-SA"/>
    </w:rPr>
  </w:style>
  <w:style w:type="character" w:customStyle="1" w:styleId="347">
    <w:name w:val="图号 Char"/>
    <w:link w:val="348"/>
    <w:uiPriority w:val="0"/>
    <w:rPr>
      <w:rFonts w:ascii="宋体" w:hAnsi="宋体" w:eastAsia="宋体" w:cs="宋体"/>
      <w:b/>
      <w:bCs/>
      <w:kern w:val="32"/>
      <w:sz w:val="24"/>
      <w:szCs w:val="24"/>
      <w:lang w:val="en-US" w:eastAsia="zh-CN" w:bidi="ar-SA"/>
    </w:rPr>
  </w:style>
  <w:style w:type="paragraph" w:customStyle="1" w:styleId="348">
    <w:name w:val="图号"/>
    <w:basedOn w:val="64"/>
    <w:link w:val="347"/>
    <w:uiPriority w:val="0"/>
    <w:pPr>
      <w:adjustRightInd w:val="0"/>
      <w:spacing w:line="529" w:lineRule="exact"/>
      <w:ind w:left="198" w:firstLine="0"/>
      <w:jc w:val="both"/>
      <w:textAlignment w:val="baseline"/>
    </w:pPr>
    <w:rPr>
      <w:rFonts w:ascii="宋体" w:hAnsi="宋体" w:cs="宋体"/>
      <w:b/>
      <w:bCs/>
      <w:kern w:val="32"/>
      <w:sz w:val="24"/>
    </w:rPr>
  </w:style>
  <w:style w:type="character" w:customStyle="1" w:styleId="349">
    <w:name w:val="正文文本缩进 2 Char"/>
    <w:uiPriority w:val="0"/>
    <w:rPr>
      <w:rFonts w:eastAsia="宋体"/>
      <w:kern w:val="2"/>
      <w:sz w:val="21"/>
      <w:szCs w:val="24"/>
      <w:lang w:val="en-US" w:eastAsia="zh-CN" w:bidi="ar-SA"/>
    </w:rPr>
  </w:style>
  <w:style w:type="character" w:customStyle="1" w:styleId="350">
    <w:name w:val="表格文字 Char1"/>
    <w:uiPriority w:val="0"/>
    <w:rPr>
      <w:rFonts w:eastAsia="宋体"/>
      <w:bCs/>
      <w:sz w:val="21"/>
      <w:szCs w:val="21"/>
      <w:lang w:val="en-US" w:eastAsia="zh-CN" w:bidi="ar-SA"/>
    </w:rPr>
  </w:style>
  <w:style w:type="character" w:customStyle="1" w:styleId="351">
    <w:name w:val="H3 Char1"/>
    <w:aliases w:val="H31 Char,H32 Char,H33 Char,H311 Char,H321 Char,H34 Char,H35 Char,H36 Char,H37 Char,H38 Char,H39 Char,H310 Char,H312 Char,H313 Char,H314 Char,H315 Char,H316 Char,H317 Char,H318 Char,H319 Char,H320 Char,H322 Char,H323 Char,H324 Char,H325 Char,小节标"/>
    <w:uiPriority w:val="0"/>
    <w:rPr>
      <w:rFonts w:eastAsia="宋体"/>
      <w:b/>
      <w:kern w:val="2"/>
      <w:sz w:val="30"/>
      <w:lang w:val="en-US" w:eastAsia="zh-CN"/>
    </w:rPr>
  </w:style>
  <w:style w:type="character" w:customStyle="1" w:styleId="352">
    <w:name w:val="Body text"/>
    <w:uiPriority w:val="0"/>
    <w:rPr>
      <w:rFonts w:ascii="MingLiU" w:eastAsia="MingLiU" w:cs="MingLiU"/>
      <w:spacing w:val="12"/>
      <w:sz w:val="20"/>
      <w:szCs w:val="20"/>
      <w:u w:val="none"/>
      <w:lang w:bidi="ar-SA"/>
    </w:rPr>
  </w:style>
  <w:style w:type="character" w:customStyle="1" w:styleId="353">
    <w:name w:val="样式 标题 3 + (西文) 宋体 Char Char"/>
    <w:uiPriority w:val="0"/>
    <w:rPr>
      <w:rFonts w:ascii="宋体" w:hAnsi="宋体" w:cs="宋体"/>
      <w:b/>
      <w:bCs/>
      <w:snapToGrid/>
      <w:sz w:val="24"/>
      <w:szCs w:val="24"/>
      <w:lang w:val="eu-ES"/>
    </w:rPr>
  </w:style>
  <w:style w:type="character" w:customStyle="1" w:styleId="354">
    <w:name w:val="表头ok Char"/>
    <w:link w:val="355"/>
    <w:locked/>
    <w:uiPriority w:val="0"/>
    <w:rPr>
      <w:sz w:val="24"/>
      <w:lang w:bidi="ar-SA"/>
    </w:rPr>
  </w:style>
  <w:style w:type="paragraph" w:customStyle="1" w:styleId="355">
    <w:name w:val="表头ok"/>
    <w:basedOn w:val="1"/>
    <w:link w:val="354"/>
    <w:uiPriority w:val="0"/>
    <w:pPr>
      <w:autoSpaceDE w:val="0"/>
      <w:autoSpaceDN w:val="0"/>
      <w:adjustRightInd w:val="0"/>
      <w:snapToGrid w:val="0"/>
      <w:spacing w:beforeLines="50" w:afterLines="50"/>
      <w:jc w:val="center"/>
    </w:pPr>
    <w:rPr>
      <w:kern w:val="0"/>
      <w:sz w:val="24"/>
      <w:szCs w:val="20"/>
    </w:rPr>
  </w:style>
  <w:style w:type="character" w:customStyle="1" w:styleId="356">
    <w:name w:val="样式7 Char Char"/>
    <w:link w:val="357"/>
    <w:uiPriority w:val="0"/>
    <w:rPr>
      <w:rFonts w:ascii="宋体" w:hAnsi="宋体" w:eastAsia="宋体"/>
      <w:kern w:val="2"/>
      <w:sz w:val="24"/>
      <w:szCs w:val="24"/>
      <w:lang w:val="en-US" w:eastAsia="zh-CN" w:bidi="ar-SA"/>
    </w:rPr>
  </w:style>
  <w:style w:type="paragraph" w:customStyle="1" w:styleId="357">
    <w:name w:val="样式7"/>
    <w:basedOn w:val="10"/>
    <w:link w:val="356"/>
    <w:uiPriority w:val="0"/>
    <w:pPr>
      <w:spacing w:line="360" w:lineRule="auto"/>
      <w:ind w:firstLine="480"/>
    </w:pPr>
    <w:rPr>
      <w:rFonts w:ascii="宋体" w:hAnsi="宋体"/>
      <w:sz w:val="24"/>
    </w:rPr>
  </w:style>
  <w:style w:type="character" w:customStyle="1" w:styleId="358">
    <w:name w:val="样式4 Char"/>
    <w:locked/>
    <w:uiPriority w:val="0"/>
    <w:rPr>
      <w:rFonts w:ascii="宋体" w:hAnsi="宋体" w:eastAsia="宋体"/>
      <w:b/>
      <w:bCs/>
      <w:sz w:val="32"/>
      <w:szCs w:val="32"/>
      <w:lang w:bidi="ar-SA"/>
    </w:rPr>
  </w:style>
  <w:style w:type="character" w:customStyle="1" w:styleId="359">
    <w:name w:val="2.5.6. Char Char"/>
    <w:link w:val="360"/>
    <w:locked/>
    <w:uiPriority w:val="0"/>
    <w:rPr>
      <w:b/>
      <w:bCs/>
      <w:sz w:val="24"/>
      <w:szCs w:val="24"/>
    </w:rPr>
  </w:style>
  <w:style w:type="paragraph" w:customStyle="1" w:styleId="360">
    <w:name w:val="2.5.6."/>
    <w:basedOn w:val="1"/>
    <w:link w:val="359"/>
    <w:uiPriority w:val="0"/>
    <w:pPr>
      <w:numPr>
        <w:ilvl w:val="0"/>
        <w:numId w:val="14"/>
      </w:numPr>
      <w:tabs>
        <w:tab w:val="left" w:pos="5124"/>
      </w:tabs>
      <w:spacing w:line="360" w:lineRule="auto"/>
      <w:outlineLvl w:val="3"/>
    </w:pPr>
    <w:rPr>
      <w:b/>
      <w:bCs/>
      <w:kern w:val="0"/>
      <w:sz w:val="24"/>
    </w:rPr>
  </w:style>
  <w:style w:type="character" w:customStyle="1" w:styleId="361">
    <w:name w:val="f9wen1"/>
    <w:uiPriority w:val="0"/>
    <w:rPr>
      <w:spacing w:val="12"/>
      <w:sz w:val="18"/>
      <w:szCs w:val="18"/>
      <w:u w:val="none"/>
    </w:rPr>
  </w:style>
  <w:style w:type="character" w:customStyle="1" w:styleId="362">
    <w:name w:val="hb2 Char"/>
    <w:link w:val="363"/>
    <w:uiPriority w:val="0"/>
    <w:rPr>
      <w:rFonts w:eastAsia="宋体"/>
      <w:b/>
      <w:bCs/>
      <w:sz w:val="24"/>
      <w:szCs w:val="24"/>
      <w:lang w:val="en-US" w:eastAsia="zh-CN" w:bidi="ar-SA"/>
    </w:rPr>
  </w:style>
  <w:style w:type="paragraph" w:customStyle="1" w:styleId="363">
    <w:name w:val="hb2"/>
    <w:basedOn w:val="6"/>
    <w:link w:val="362"/>
    <w:uiPriority w:val="0"/>
    <w:pPr>
      <w:adjustRightInd w:val="0"/>
      <w:spacing w:before="120" w:after="120" w:line="416" w:lineRule="atLeast"/>
      <w:textAlignment w:val="baseline"/>
    </w:pPr>
    <w:rPr>
      <w:rFonts w:ascii="Times New Roman" w:hAnsi="Times New Roman" w:eastAsia="宋体"/>
      <w:kern w:val="0"/>
      <w:sz w:val="24"/>
      <w:szCs w:val="24"/>
    </w:rPr>
  </w:style>
  <w:style w:type="character" w:customStyle="1" w:styleId="364">
    <w:name w:val="copyright1"/>
    <w:uiPriority w:val="0"/>
    <w:rPr>
      <w:rFonts w:hint="default" w:ascii="_x000B__x000C_" w:hAnsi="_x000B__x000C_"/>
      <w:color w:val="000000"/>
    </w:rPr>
  </w:style>
  <w:style w:type="character" w:customStyle="1" w:styleId="365">
    <w:name w:val="aspmaker1"/>
    <w:uiPriority w:val="0"/>
    <w:rPr>
      <w:rFonts w:hint="default" w:ascii="Verdana" w:hAnsi="Verdana"/>
      <w:sz w:val="20"/>
      <w:szCs w:val="20"/>
    </w:rPr>
  </w:style>
  <w:style w:type="character" w:customStyle="1" w:styleId="366">
    <w:name w:val="wangxy Char"/>
    <w:link w:val="367"/>
    <w:locked/>
    <w:uiPriority w:val="0"/>
    <w:rPr>
      <w:spacing w:val="14"/>
      <w:sz w:val="24"/>
      <w:szCs w:val="24"/>
      <w:lang w:bidi="ar-SA"/>
    </w:rPr>
  </w:style>
  <w:style w:type="paragraph" w:customStyle="1" w:styleId="367">
    <w:name w:val="wangxy"/>
    <w:basedOn w:val="1"/>
    <w:link w:val="366"/>
    <w:uiPriority w:val="0"/>
    <w:pPr>
      <w:spacing w:beforeLines="50" w:afterLines="50" w:line="360" w:lineRule="auto"/>
      <w:ind w:firstLine="200" w:firstLineChars="200"/>
    </w:pPr>
    <w:rPr>
      <w:spacing w:val="14"/>
      <w:kern w:val="0"/>
      <w:sz w:val="24"/>
    </w:rPr>
  </w:style>
  <w:style w:type="character" w:customStyle="1" w:styleId="368">
    <w:name w:val="正文缩进 Char4"/>
    <w:aliases w:val="表格标题 Char3,正文（首行缩进两字）1 Char3,正文缩进1 Char3,正文（首行缩进两字） Char Char Char Char Char Char Char Char3,文本条款 Char3,特点 Char3,表正文 Char3,正文非缩进 Char4,s4 Char4,正文不缩进 Char3,悬挂 Char3,identication Char3,Body text ident 1 Char3,段落正文缩进 Char3,段落正文 Char3,标题4 Char3"/>
    <w:uiPriority w:val="0"/>
    <w:rPr>
      <w:rFonts w:eastAsia="宋体"/>
      <w:b/>
      <w:color w:val="000000"/>
      <w:kern w:val="24"/>
      <w:sz w:val="24"/>
      <w:szCs w:val="24"/>
      <w:lang w:val="en-US" w:eastAsia="zh-CN" w:bidi="ar-SA"/>
    </w:rPr>
  </w:style>
  <w:style w:type="character" w:customStyle="1" w:styleId="369">
    <w:name w:val="表题 Char Char Char Char Char"/>
    <w:link w:val="370"/>
    <w:uiPriority w:val="0"/>
    <w:rPr>
      <w:rFonts w:eastAsia="宋体"/>
      <w:b/>
      <w:kern w:val="2"/>
      <w:sz w:val="24"/>
      <w:lang w:val="en-US" w:eastAsia="zh-CN" w:bidi="ar-SA"/>
    </w:rPr>
  </w:style>
  <w:style w:type="paragraph" w:customStyle="1" w:styleId="370">
    <w:name w:val="表题 Char Char Char"/>
    <w:basedOn w:val="19"/>
    <w:link w:val="369"/>
    <w:uiPriority w:val="0"/>
    <w:pPr>
      <w:spacing w:before="15" w:beforeLines="5"/>
    </w:pPr>
    <w:rPr>
      <w:b/>
      <w:sz w:val="24"/>
    </w:rPr>
  </w:style>
  <w:style w:type="character" w:customStyle="1" w:styleId="371">
    <w:name w:val="样式 宋体 四号 行距: 1.5 倍行距 Char Char"/>
    <w:link w:val="372"/>
    <w:uiPriority w:val="0"/>
    <w:rPr>
      <w:rFonts w:ascii="宋体" w:hAnsi="宋体" w:eastAsia="宋体" w:cs="宋体"/>
      <w:kern w:val="2"/>
      <w:sz w:val="28"/>
      <w:lang w:val="en-US" w:eastAsia="zh-CN" w:bidi="ar-SA"/>
    </w:rPr>
  </w:style>
  <w:style w:type="paragraph" w:customStyle="1" w:styleId="372">
    <w:name w:val="样式 宋体 四号 行距: 1.5 倍行距"/>
    <w:basedOn w:val="1"/>
    <w:link w:val="371"/>
    <w:uiPriority w:val="0"/>
    <w:pPr>
      <w:spacing w:line="360" w:lineRule="auto"/>
      <w:ind w:left="88" w:leftChars="42" w:firstLine="538" w:firstLineChars="192"/>
    </w:pPr>
    <w:rPr>
      <w:rFonts w:ascii="宋体" w:hAnsi="宋体" w:cs="宋体"/>
      <w:sz w:val="28"/>
      <w:szCs w:val="20"/>
    </w:rPr>
  </w:style>
  <w:style w:type="character" w:customStyle="1" w:styleId="373">
    <w:name w:val="表文字居中 Char Char"/>
    <w:link w:val="374"/>
    <w:uiPriority w:val="0"/>
    <w:rPr>
      <w:rFonts w:hAnsi="宋体"/>
      <w:kern w:val="2"/>
      <w:sz w:val="21"/>
      <w:szCs w:val="21"/>
      <w:lang w:bidi="ar-SA"/>
    </w:rPr>
  </w:style>
  <w:style w:type="paragraph" w:customStyle="1" w:styleId="374">
    <w:name w:val="表文字居中"/>
    <w:basedOn w:val="1"/>
    <w:link w:val="373"/>
    <w:uiPriority w:val="0"/>
    <w:pPr>
      <w:adjustRightInd w:val="0"/>
      <w:snapToGrid w:val="0"/>
      <w:jc w:val="center"/>
    </w:pPr>
    <w:rPr>
      <w:rFonts w:hAnsi="宋体"/>
      <w:szCs w:val="21"/>
    </w:rPr>
  </w:style>
  <w:style w:type="character" w:customStyle="1" w:styleId="375">
    <w:name w:val="样式 样式 样式 正文1 + 首行缩进:  2 字符 + (符号) 宋体 首行缩进:  2 字符 + 首行缩进:  2 字符 Char"/>
    <w:link w:val="376"/>
    <w:locked/>
    <w:uiPriority w:val="0"/>
    <w:rPr>
      <w:rFonts w:ascii="宋体" w:hAnsi="宋体" w:eastAsia="宋体"/>
      <w:snapToGrid w:val="0"/>
      <w:sz w:val="24"/>
      <w:szCs w:val="24"/>
      <w:lang w:bidi="ar-SA"/>
    </w:rPr>
  </w:style>
  <w:style w:type="paragraph" w:customStyle="1" w:styleId="376">
    <w:name w:val="样式 样式 样式 正文1 + 首行缩进:  2 字符 + (符号) 宋体 首行缩进:  2 字符 + 首行缩进:  2 字符"/>
    <w:basedOn w:val="1"/>
    <w:link w:val="375"/>
    <w:uiPriority w:val="0"/>
    <w:pPr>
      <w:snapToGrid w:val="0"/>
      <w:spacing w:line="360" w:lineRule="auto"/>
      <w:ind w:firstLine="480" w:firstLineChars="200"/>
    </w:pPr>
    <w:rPr>
      <w:rFonts w:ascii="宋体" w:hAnsi="宋体"/>
      <w:snapToGrid w:val="0"/>
      <w:kern w:val="0"/>
      <w:sz w:val="24"/>
    </w:rPr>
  </w:style>
  <w:style w:type="character" w:customStyle="1" w:styleId="377">
    <w:name w:val="明显引用 Char"/>
    <w:link w:val="378"/>
    <w:uiPriority w:val="0"/>
    <w:rPr>
      <w:rFonts w:ascii="Calibri" w:hAnsi="Calibri" w:eastAsia="宋体"/>
      <w:b/>
      <w:bCs/>
      <w:i/>
      <w:iCs/>
      <w:color w:val="4F81BD"/>
      <w:sz w:val="22"/>
      <w:szCs w:val="22"/>
      <w:lang w:val="en-US" w:eastAsia="en-US" w:bidi="en-US"/>
    </w:rPr>
  </w:style>
  <w:style w:type="paragraph" w:styleId="378">
    <w:name w:val="Intense Quote"/>
    <w:basedOn w:val="1"/>
    <w:next w:val="1"/>
    <w:link w:val="377"/>
    <w:qFormat/>
    <w:uiPriority w:val="0"/>
    <w:pPr>
      <w:widowControl/>
      <w:pBdr>
        <w:bottom w:val="single" w:color="4F81BD" w:sz="4" w:space="4"/>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379">
    <w:name w:val="表头 Char2"/>
    <w:locked/>
    <w:uiPriority w:val="0"/>
    <w:rPr>
      <w:rFonts w:ascii="宋体" w:hAnsi="宋体" w:eastAsia="宋体"/>
      <w:spacing w:val="-20"/>
      <w:sz w:val="24"/>
      <w:szCs w:val="24"/>
      <w:lang w:bidi="ar-SA"/>
    </w:rPr>
  </w:style>
  <w:style w:type="character" w:customStyle="1" w:styleId="380">
    <w:name w:val="样式5 Char3"/>
    <w:locked/>
    <w:uiPriority w:val="0"/>
    <w:rPr>
      <w:rFonts w:ascii="宋体" w:hAnsi="宋体" w:eastAsia="宋体"/>
      <w:sz w:val="24"/>
      <w:szCs w:val="24"/>
      <w:lang w:bidi="ar-SA"/>
    </w:rPr>
  </w:style>
  <w:style w:type="character" w:customStyle="1" w:styleId="381">
    <w:name w:val="自动表头 Char Char"/>
    <w:uiPriority w:val="0"/>
    <w:rPr>
      <w:rFonts w:ascii="黑体" w:eastAsia="宋体"/>
      <w:b/>
      <w:bCs/>
      <w:kern w:val="2"/>
      <w:sz w:val="21"/>
      <w:szCs w:val="21"/>
      <w:lang w:val="en-US" w:eastAsia="zh-CN" w:bidi="ar-SA"/>
    </w:rPr>
  </w:style>
  <w:style w:type="character" w:customStyle="1" w:styleId="382">
    <w:name w:val="样式 表格 + 宋体 五号 Char Char"/>
    <w:uiPriority w:val="0"/>
    <w:rPr>
      <w:rFonts w:ascii="黑体" w:hAnsi="Arial" w:eastAsia="黑体" w:cs="Arial"/>
      <w:bCs/>
      <w:kern w:val="2"/>
      <w:sz w:val="21"/>
      <w:szCs w:val="24"/>
      <w:lang w:val="en-US" w:eastAsia="zh-CN" w:bidi="ar-SA"/>
    </w:rPr>
  </w:style>
  <w:style w:type="character" w:customStyle="1" w:styleId="383">
    <w:name w:val="bds_more"/>
    <w:uiPriority w:val="0"/>
    <w:rPr>
      <w:sz w:val="18"/>
      <w:szCs w:val="18"/>
    </w:rPr>
  </w:style>
  <w:style w:type="character" w:customStyle="1" w:styleId="384">
    <w:name w:val="body1"/>
    <w:uiPriority w:val="0"/>
    <w:rPr>
      <w:sz w:val="21"/>
      <w:szCs w:val="21"/>
    </w:rPr>
  </w:style>
  <w:style w:type="character" w:customStyle="1" w:styleId="385">
    <w:name w:val="14"/>
    <w:basedOn w:val="96"/>
    <w:uiPriority w:val="0"/>
  </w:style>
  <w:style w:type="character" w:customStyle="1" w:styleId="386">
    <w:name w:val="样式 标题 1标题 11章标题 1b1 + (中文) 宋体 Char"/>
    <w:link w:val="387"/>
    <w:uiPriority w:val="0"/>
    <w:rPr>
      <w:rFonts w:eastAsia="黑体"/>
      <w:b/>
      <w:bCs/>
      <w:kern w:val="2"/>
      <w:sz w:val="32"/>
      <w:szCs w:val="32"/>
      <w:lang w:val="en-US" w:eastAsia="zh-CN" w:bidi="ar-SA"/>
    </w:rPr>
  </w:style>
  <w:style w:type="paragraph" w:customStyle="1" w:styleId="387">
    <w:name w:val="样式 标题 1标题 11章标题 1b1 + (中文) 宋体"/>
    <w:basedOn w:val="5"/>
    <w:link w:val="386"/>
    <w:uiPriority w:val="0"/>
    <w:pPr>
      <w:keepLines w:val="0"/>
      <w:tabs>
        <w:tab w:val="left" w:pos="0"/>
      </w:tabs>
      <w:spacing w:before="0" w:after="0" w:line="480" w:lineRule="auto"/>
      <w:jc w:val="left"/>
    </w:pPr>
    <w:rPr>
      <w:rFonts w:eastAsia="黑体"/>
      <w:kern w:val="2"/>
      <w:sz w:val="32"/>
      <w:szCs w:val="32"/>
    </w:rPr>
  </w:style>
  <w:style w:type="character" w:customStyle="1" w:styleId="388">
    <w:name w:val="我的二级 Char"/>
    <w:link w:val="389"/>
    <w:locked/>
    <w:uiPriority w:val="0"/>
    <w:rPr>
      <w:rFonts w:ascii="Arial" w:hAnsi="Arial" w:eastAsia="黑体" w:cs="Arial"/>
      <w:bCs/>
      <w:color w:val="000000"/>
      <w:sz w:val="30"/>
      <w:szCs w:val="32"/>
      <w:lang w:bidi="ar-SA"/>
    </w:rPr>
  </w:style>
  <w:style w:type="paragraph" w:customStyle="1" w:styleId="389">
    <w:name w:val="我的二级"/>
    <w:basedOn w:val="6"/>
    <w:link w:val="388"/>
    <w:uiPriority w:val="0"/>
    <w:pPr>
      <w:widowControl/>
      <w:tabs>
        <w:tab w:val="left" w:pos="576"/>
      </w:tabs>
      <w:adjustRightInd w:val="0"/>
      <w:snapToGrid w:val="0"/>
      <w:spacing w:before="0" w:beforeLines="50" w:after="0" w:afterLines="50" w:line="360" w:lineRule="auto"/>
      <w:ind w:left="1152" w:hanging="576"/>
      <w:jc w:val="left"/>
    </w:pPr>
    <w:rPr>
      <w:rFonts w:cs="Arial"/>
      <w:b w:val="0"/>
      <w:color w:val="000000"/>
      <w:kern w:val="0"/>
      <w:sz w:val="30"/>
    </w:rPr>
  </w:style>
  <w:style w:type="character" w:customStyle="1" w:styleId="390">
    <w:name w:val="正文首行缩进 Char Char"/>
    <w:uiPriority w:val="0"/>
    <w:rPr>
      <w:rFonts w:eastAsia="宋体"/>
      <w:kern w:val="2"/>
      <w:sz w:val="24"/>
      <w:szCs w:val="24"/>
      <w:lang w:val="en-US" w:eastAsia="zh-CN" w:bidi="ar-SA"/>
    </w:rPr>
  </w:style>
  <w:style w:type="character" w:customStyle="1" w:styleId="391">
    <w:name w:val="dxj正文 Char Char"/>
    <w:uiPriority w:val="0"/>
    <w:rPr>
      <w:rFonts w:eastAsia="宋体"/>
      <w:kern w:val="2"/>
      <w:sz w:val="24"/>
      <w:szCs w:val="24"/>
      <w:lang w:val="en-US" w:eastAsia="zh-CN" w:bidi="ar-SA"/>
    </w:rPr>
  </w:style>
  <w:style w:type="character" w:customStyle="1" w:styleId="392">
    <w:name w:val="无间隔 Char"/>
    <w:link w:val="393"/>
    <w:qFormat/>
    <w:uiPriority w:val="0"/>
    <w:rPr>
      <w:kern w:val="2"/>
      <w:sz w:val="24"/>
      <w:lang w:val="en-US" w:eastAsia="zh-CN" w:bidi="ar-SA"/>
    </w:rPr>
  </w:style>
  <w:style w:type="paragraph" w:styleId="393">
    <w:name w:val="No Spacing"/>
    <w:link w:val="392"/>
    <w:qFormat/>
    <w:uiPriority w:val="0"/>
    <w:pPr>
      <w:widowControl w:val="0"/>
      <w:ind w:firstLine="465"/>
      <w:jc w:val="both"/>
    </w:pPr>
    <w:rPr>
      <w:kern w:val="2"/>
      <w:sz w:val="24"/>
      <w:lang w:val="en-US" w:eastAsia="zh-CN" w:bidi="ar-SA"/>
    </w:rPr>
  </w:style>
  <w:style w:type="character" w:customStyle="1" w:styleId="394">
    <w:name w:val="方案正文 Char Char"/>
    <w:link w:val="395"/>
    <w:uiPriority w:val="0"/>
    <w:rPr>
      <w:kern w:val="2"/>
      <w:sz w:val="24"/>
      <w:szCs w:val="22"/>
    </w:rPr>
  </w:style>
  <w:style w:type="paragraph" w:customStyle="1" w:styleId="395">
    <w:name w:val="方案正文"/>
    <w:basedOn w:val="1"/>
    <w:link w:val="394"/>
    <w:qFormat/>
    <w:uiPriority w:val="0"/>
    <w:pPr>
      <w:widowControl/>
      <w:topLinePunct/>
      <w:spacing w:line="460" w:lineRule="exact"/>
      <w:jc w:val="left"/>
    </w:pPr>
    <w:rPr>
      <w:sz w:val="24"/>
      <w:szCs w:val="22"/>
    </w:rPr>
  </w:style>
  <w:style w:type="character" w:customStyle="1" w:styleId="396">
    <w:name w:val="正文(首行缩进) 111111111111"/>
    <w:uiPriority w:val="0"/>
    <w:rPr>
      <w:rFonts w:eastAsia="宋体"/>
      <w:snapToGrid w:val="0"/>
      <w:sz w:val="24"/>
      <w:szCs w:val="24"/>
      <w:lang w:val="en-US" w:eastAsia="zh-CN" w:bidi="ar-SA"/>
    </w:rPr>
  </w:style>
  <w:style w:type="character" w:customStyle="1" w:styleId="397">
    <w:name w:val=" Char Char3"/>
    <w:uiPriority w:val="0"/>
    <w:rPr>
      <w:rFonts w:eastAsia="宋体"/>
      <w:kern w:val="2"/>
      <w:sz w:val="18"/>
      <w:szCs w:val="18"/>
      <w:lang w:val="en-US" w:eastAsia="zh-CN" w:bidi="ar-SA"/>
    </w:rPr>
  </w:style>
  <w:style w:type="character" w:customStyle="1" w:styleId="398">
    <w:name w:val="11.5. Char Char"/>
    <w:basedOn w:val="195"/>
    <w:link w:val="399"/>
    <w:locked/>
    <w:uiPriority w:val="0"/>
  </w:style>
  <w:style w:type="paragraph" w:customStyle="1" w:styleId="399">
    <w:name w:val="11.5."/>
    <w:basedOn w:val="198"/>
    <w:link w:val="398"/>
    <w:uiPriority w:val="0"/>
    <w:pPr>
      <w:numPr>
        <w:ilvl w:val="0"/>
        <w:numId w:val="15"/>
      </w:numPr>
    </w:pPr>
  </w:style>
  <w:style w:type="character" w:customStyle="1" w:styleId="400">
    <w:name w:val="正文缩进 Char"/>
    <w:qFormat/>
    <w:uiPriority w:val="0"/>
    <w:rPr>
      <w:rFonts w:eastAsia="宋体"/>
      <w:kern w:val="2"/>
      <w:sz w:val="21"/>
      <w:lang w:val="en-US" w:eastAsia="zh-CN" w:bidi="ar-SA"/>
    </w:rPr>
  </w:style>
  <w:style w:type="character" w:customStyle="1" w:styleId="401">
    <w:name w:val="sn Char Char"/>
    <w:link w:val="402"/>
    <w:uiPriority w:val="0"/>
    <w:rPr>
      <w:rFonts w:eastAsia="宋体"/>
      <w:kern w:val="2"/>
      <w:sz w:val="24"/>
      <w:szCs w:val="24"/>
      <w:lang w:val="en-US" w:eastAsia="zh-CN" w:bidi="ar-SA"/>
    </w:rPr>
  </w:style>
  <w:style w:type="paragraph" w:customStyle="1" w:styleId="402">
    <w:name w:val="sn"/>
    <w:basedOn w:val="85"/>
    <w:link w:val="401"/>
    <w:uiPriority w:val="0"/>
    <w:pPr>
      <w:spacing w:line="360" w:lineRule="auto"/>
      <w:ind w:firstLine="480" w:firstLineChars="200"/>
    </w:pPr>
    <w:rPr>
      <w:sz w:val="24"/>
    </w:rPr>
  </w:style>
  <w:style w:type="character" w:customStyle="1" w:styleId="403">
    <w:name w:val="grame"/>
    <w:basedOn w:val="96"/>
    <w:uiPriority w:val="0"/>
  </w:style>
  <w:style w:type="character" w:customStyle="1" w:styleId="404">
    <w:name w:val="列表(L) Char Char"/>
    <w:link w:val="405"/>
    <w:uiPriority w:val="0"/>
    <w:rPr>
      <w:rFonts w:eastAsia="宋体"/>
      <w:kern w:val="2"/>
      <w:sz w:val="21"/>
      <w:lang w:val="en-US" w:eastAsia="zh-CN" w:bidi="ar-SA"/>
    </w:rPr>
  </w:style>
  <w:style w:type="paragraph" w:customStyle="1" w:styleId="405">
    <w:name w:val="列表(L)"/>
    <w:basedOn w:val="67"/>
    <w:link w:val="404"/>
    <w:uiPriority w:val="0"/>
    <w:pPr>
      <w:snapToGrid w:val="0"/>
      <w:ind w:left="0" w:firstLine="0" w:firstLineChars="0"/>
    </w:pPr>
    <w:rPr>
      <w:szCs w:val="20"/>
    </w:rPr>
  </w:style>
  <w:style w:type="character" w:customStyle="1" w:styleId="406">
    <w:name w:val="Heading 4 Char"/>
    <w:uiPriority w:val="0"/>
    <w:rPr>
      <w:rFonts w:hint="default" w:ascii="Cambria" w:hAnsi="Cambria" w:eastAsia="宋体" w:cs="Times New Roman"/>
      <w:b/>
      <w:bCs/>
      <w:kern w:val="2"/>
      <w:sz w:val="28"/>
      <w:szCs w:val="28"/>
    </w:rPr>
  </w:style>
  <w:style w:type="character" w:customStyle="1" w:styleId="407">
    <w:name w:val="样式5 Char"/>
    <w:locked/>
    <w:uiPriority w:val="0"/>
    <w:rPr>
      <w:b/>
      <w:bCs/>
      <w:color w:val="000000"/>
      <w:sz w:val="24"/>
      <w:szCs w:val="24"/>
      <w:lang w:val="zh-CN"/>
    </w:rPr>
  </w:style>
  <w:style w:type="character" w:customStyle="1" w:styleId="408">
    <w:name w:val="图号 Char Char"/>
    <w:uiPriority w:val="0"/>
    <w:rPr>
      <w:rFonts w:ascii="宋体" w:hAnsi="宋体" w:eastAsia="宋体" w:cs="宋体"/>
      <w:b/>
      <w:bCs/>
      <w:kern w:val="32"/>
      <w:sz w:val="24"/>
      <w:szCs w:val="24"/>
      <w:lang w:val="en-US" w:eastAsia="zh-CN" w:bidi="ar-SA"/>
    </w:rPr>
  </w:style>
  <w:style w:type="character" w:customStyle="1" w:styleId="409">
    <w:name w:val="正文格式 Char"/>
    <w:link w:val="410"/>
    <w:locked/>
    <w:uiPriority w:val="0"/>
    <w:rPr>
      <w:rFonts w:ascii="宋体" w:hAnsi="宋体" w:eastAsia="宋体"/>
      <w:sz w:val="24"/>
      <w:szCs w:val="24"/>
      <w:lang w:bidi="ar-SA"/>
    </w:rPr>
  </w:style>
  <w:style w:type="paragraph" w:customStyle="1" w:styleId="410">
    <w:name w:val="正文格式"/>
    <w:basedOn w:val="1"/>
    <w:link w:val="409"/>
    <w:uiPriority w:val="0"/>
    <w:pPr>
      <w:spacing w:line="360" w:lineRule="auto"/>
      <w:ind w:firstLine="544" w:firstLineChars="200"/>
    </w:pPr>
    <w:rPr>
      <w:rFonts w:ascii="宋体" w:hAnsi="宋体"/>
      <w:kern w:val="0"/>
      <w:sz w:val="24"/>
    </w:rPr>
  </w:style>
  <w:style w:type="character" w:customStyle="1" w:styleId="411">
    <w:name w:val="Char Char23"/>
    <w:uiPriority w:val="0"/>
    <w:rPr>
      <w:rFonts w:eastAsia="宋体"/>
      <w:b/>
      <w:bCs/>
      <w:kern w:val="2"/>
      <w:sz w:val="32"/>
      <w:szCs w:val="32"/>
      <w:lang w:val="en-US" w:eastAsia="zh-CN" w:bidi="ar-SA"/>
    </w:rPr>
  </w:style>
  <w:style w:type="character" w:customStyle="1" w:styleId="412">
    <w:name w:val="at_4"/>
    <w:basedOn w:val="96"/>
    <w:uiPriority w:val="0"/>
  </w:style>
  <w:style w:type="character" w:customStyle="1" w:styleId="413">
    <w:name w:val="正文部分 Char"/>
    <w:link w:val="414"/>
    <w:locked/>
    <w:uiPriority w:val="0"/>
    <w:rPr>
      <w:rFonts w:ascii="宋体" w:hAnsi="宋体" w:eastAsia="宋体" w:cs="宋体"/>
      <w:bCs/>
      <w:sz w:val="32"/>
      <w:szCs w:val="32"/>
      <w:lang w:val="en-US" w:eastAsia="zh-CN" w:bidi="ar-SA"/>
    </w:rPr>
  </w:style>
  <w:style w:type="paragraph" w:customStyle="1" w:styleId="414">
    <w:name w:val="正文部分"/>
    <w:basedOn w:val="1"/>
    <w:link w:val="413"/>
    <w:uiPriority w:val="0"/>
    <w:pPr>
      <w:adjustRightInd w:val="0"/>
      <w:snapToGrid w:val="0"/>
      <w:spacing w:line="500" w:lineRule="exact"/>
      <w:ind w:firstLine="200" w:firstLineChars="200"/>
      <w:jc w:val="left"/>
    </w:pPr>
    <w:rPr>
      <w:rFonts w:ascii="宋体" w:hAnsi="宋体" w:cs="宋体"/>
      <w:bCs/>
      <w:kern w:val="0"/>
      <w:sz w:val="32"/>
      <w:szCs w:val="32"/>
    </w:rPr>
  </w:style>
  <w:style w:type="character" w:customStyle="1" w:styleId="415">
    <w:name w:val="6表(图)头(治) Char"/>
    <w:link w:val="416"/>
    <w:uiPriority w:val="0"/>
    <w:rPr>
      <w:rFonts w:eastAsia="黑体"/>
      <w:b/>
      <w:sz w:val="28"/>
      <w:szCs w:val="28"/>
      <w:lang w:val="en-US" w:eastAsia="zh-CN" w:bidi="ar-SA"/>
    </w:rPr>
  </w:style>
  <w:style w:type="paragraph" w:customStyle="1" w:styleId="416">
    <w:name w:val="6表(图)头(治)"/>
    <w:next w:val="1"/>
    <w:link w:val="415"/>
    <w:uiPriority w:val="0"/>
    <w:pPr>
      <w:widowControl w:val="0"/>
      <w:jc w:val="center"/>
    </w:pPr>
    <w:rPr>
      <w:rFonts w:eastAsia="黑体"/>
      <w:b/>
      <w:sz w:val="28"/>
      <w:szCs w:val="28"/>
      <w:lang w:val="en-US" w:eastAsia="zh-CN" w:bidi="ar-SA"/>
    </w:rPr>
  </w:style>
  <w:style w:type="character" w:customStyle="1" w:styleId="417">
    <w:name w:val="Char Char14"/>
    <w:uiPriority w:val="0"/>
    <w:rPr>
      <w:rFonts w:ascii="Arial" w:hAnsi="Arial" w:eastAsia="黑体"/>
      <w:sz w:val="24"/>
      <w:szCs w:val="24"/>
      <w:lang w:val="en-US" w:eastAsia="zh-CN" w:bidi="ar-SA"/>
    </w:rPr>
  </w:style>
  <w:style w:type="character" w:customStyle="1" w:styleId="418">
    <w:name w:val="正文YHY Char"/>
    <w:link w:val="419"/>
    <w:uiPriority w:val="0"/>
    <w:rPr>
      <w:rFonts w:eastAsia="宋体"/>
      <w:kern w:val="2"/>
      <w:sz w:val="24"/>
      <w:szCs w:val="24"/>
      <w:lang w:val="en-US" w:eastAsia="zh-CN" w:bidi="ar-SA"/>
    </w:rPr>
  </w:style>
  <w:style w:type="paragraph" w:customStyle="1" w:styleId="419">
    <w:name w:val="正文YHY"/>
    <w:basedOn w:val="1"/>
    <w:link w:val="418"/>
    <w:uiPriority w:val="0"/>
    <w:pPr>
      <w:spacing w:beforeLines="50" w:afterLines="50" w:line="360" w:lineRule="auto"/>
      <w:ind w:firstLine="200" w:firstLineChars="200"/>
    </w:pPr>
    <w:rPr>
      <w:sz w:val="24"/>
    </w:rPr>
  </w:style>
  <w:style w:type="character" w:customStyle="1" w:styleId="420">
    <w:name w:val="自动A Char Char"/>
    <w:uiPriority w:val="0"/>
    <w:rPr>
      <w:rFonts w:eastAsia="宋体"/>
      <w:color w:val="000000"/>
      <w:sz w:val="24"/>
      <w:lang w:val="en-US" w:eastAsia="zh-CN" w:bidi="ar-SA"/>
    </w:rPr>
  </w:style>
  <w:style w:type="character" w:customStyle="1" w:styleId="421">
    <w:name w:val="样式 hb3 + Char"/>
    <w:link w:val="422"/>
    <w:uiPriority w:val="0"/>
    <w:rPr>
      <w:rFonts w:eastAsia="宋体"/>
      <w:b/>
      <w:bCs/>
      <w:sz w:val="24"/>
      <w:szCs w:val="24"/>
      <w:lang w:val="en-US" w:eastAsia="zh-CN" w:bidi="ar-SA"/>
    </w:rPr>
  </w:style>
  <w:style w:type="paragraph" w:customStyle="1" w:styleId="422">
    <w:name w:val="样式 hb3 +"/>
    <w:basedOn w:val="423"/>
    <w:link w:val="421"/>
    <w:uiPriority w:val="0"/>
    <w:pPr>
      <w:keepNext/>
      <w:keepLines/>
      <w:widowControl w:val="0"/>
      <w:adjustRightInd w:val="0"/>
      <w:spacing w:beforeLines="0" w:afterLines="0" w:line="240" w:lineRule="auto"/>
      <w:textAlignment w:val="baseline"/>
    </w:pPr>
    <w:rPr>
      <w:bCs/>
      <w:kern w:val="0"/>
    </w:rPr>
  </w:style>
  <w:style w:type="paragraph" w:customStyle="1" w:styleId="423">
    <w:name w:val="hb3"/>
    <w:uiPriority w:val="0"/>
    <w:pPr>
      <w:spacing w:beforeLines="100" w:afterLines="50" w:line="360" w:lineRule="auto"/>
      <w:outlineLvl w:val="2"/>
    </w:pPr>
    <w:rPr>
      <w:b/>
      <w:kern w:val="2"/>
      <w:sz w:val="24"/>
      <w:szCs w:val="24"/>
      <w:lang w:val="en-US" w:eastAsia="zh-CN" w:bidi="ar-SA"/>
    </w:rPr>
  </w:style>
  <w:style w:type="character" w:customStyle="1" w:styleId="424">
    <w:name w:val="zw1"/>
    <w:uiPriority w:val="0"/>
    <w:rPr>
      <w:rFonts w:hint="eastAsia" w:ascii="宋体" w:hAnsi="宋体" w:eastAsia="宋体"/>
      <w:sz w:val="22"/>
      <w:szCs w:val="22"/>
    </w:rPr>
  </w:style>
  <w:style w:type="character" w:customStyle="1" w:styleId="425">
    <w:name w:val="Body Text 2 Char Char"/>
    <w:uiPriority w:val="0"/>
    <w:rPr>
      <w:rFonts w:eastAsia="宋体"/>
      <w:kern w:val="2"/>
      <w:sz w:val="24"/>
      <w:szCs w:val="24"/>
      <w:lang w:val="en-US" w:eastAsia="zh-CN" w:bidi="ar-SA"/>
    </w:rPr>
  </w:style>
  <w:style w:type="character" w:customStyle="1" w:styleId="426">
    <w:name w:val="zi"/>
    <w:basedOn w:val="96"/>
    <w:uiPriority w:val="0"/>
  </w:style>
  <w:style w:type="character" w:customStyle="1" w:styleId="427">
    <w:name w:val="Char Char21"/>
    <w:uiPriority w:val="0"/>
    <w:rPr>
      <w:rFonts w:eastAsia="宋体"/>
      <w:b/>
      <w:kern w:val="2"/>
      <w:sz w:val="27"/>
      <w:szCs w:val="24"/>
      <w:lang w:val="en-US" w:eastAsia="zh-CN" w:bidi="ar-SA"/>
    </w:rPr>
  </w:style>
  <w:style w:type="character" w:customStyle="1" w:styleId="428">
    <w:name w:val="样式 标题 3H3B HeadReHead 3 WSAh3标题 3 Char标题 3 Char Char标题 3... Char Char"/>
    <w:link w:val="429"/>
    <w:uiPriority w:val="0"/>
    <w:rPr>
      <w:rFonts w:eastAsia="宋体"/>
      <w:b/>
      <w:bCs/>
      <w:sz w:val="28"/>
      <w:szCs w:val="28"/>
      <w:lang w:val="en-US" w:eastAsia="zh-CN" w:bidi="ar-SA"/>
    </w:rPr>
  </w:style>
  <w:style w:type="paragraph" w:customStyle="1" w:styleId="429">
    <w:name w:val="样式 标题 3H3B HeadReHead 3 WSAh3标题 3 Char标题 3 Char Char标题 3..."/>
    <w:basedOn w:val="7"/>
    <w:link w:val="428"/>
    <w:uiPriority w:val="0"/>
    <w:pPr>
      <w:adjustRightInd w:val="0"/>
      <w:spacing w:before="50" w:beforeLines="0" w:after="0" w:afterLines="0" w:line="360" w:lineRule="auto"/>
      <w:jc w:val="left"/>
    </w:pPr>
    <w:rPr>
      <w:kern w:val="0"/>
      <w:sz w:val="28"/>
      <w:szCs w:val="28"/>
    </w:rPr>
  </w:style>
  <w:style w:type="character" w:customStyle="1" w:styleId="430">
    <w:name w:val="font51"/>
    <w:uiPriority w:val="0"/>
    <w:rPr>
      <w:rFonts w:hint="default" w:ascii="Times New Roman" w:hAnsi="Times New Roman" w:cs="Times New Roman"/>
      <w:color w:val="000000"/>
      <w:u w:val="none"/>
    </w:rPr>
  </w:style>
  <w:style w:type="character" w:customStyle="1" w:styleId="431">
    <w:name w:val="样式 标题 3 + 宋体1 Char Char"/>
    <w:link w:val="432"/>
    <w:uiPriority w:val="0"/>
    <w:rPr>
      <w:rFonts w:ascii="宋体" w:hAnsi="宋体" w:eastAsia="宋体"/>
      <w:kern w:val="28"/>
      <w:sz w:val="28"/>
      <w:lang w:val="en-US" w:eastAsia="zh-CN" w:bidi="ar-SA"/>
    </w:rPr>
  </w:style>
  <w:style w:type="paragraph" w:customStyle="1" w:styleId="432">
    <w:name w:val="样式 标题 3 + 宋体1"/>
    <w:basedOn w:val="7"/>
    <w:link w:val="431"/>
    <w:uiPriority w:val="0"/>
    <w:pPr>
      <w:tabs>
        <w:tab w:val="left" w:pos="1050"/>
      </w:tabs>
      <w:adjustRightInd w:val="0"/>
      <w:snapToGrid w:val="0"/>
      <w:spacing w:before="0" w:beforeLines="0" w:after="0" w:afterLines="0" w:line="416" w:lineRule="atLeast"/>
      <w:textAlignment w:val="baseline"/>
    </w:pPr>
    <w:rPr>
      <w:rFonts w:ascii="宋体" w:hAnsi="宋体"/>
      <w:b w:val="0"/>
      <w:bCs w:val="0"/>
      <w:kern w:val="28"/>
      <w:sz w:val="28"/>
      <w:szCs w:val="20"/>
    </w:rPr>
  </w:style>
  <w:style w:type="character" w:customStyle="1" w:styleId="433">
    <w:name w:val="style81"/>
    <w:uiPriority w:val="0"/>
    <w:rPr>
      <w:rFonts w:hint="eastAsia" w:ascii="宋体" w:hAnsi="宋体" w:eastAsia="黑体" w:cs="宋体"/>
      <w:kern w:val="2"/>
      <w:sz w:val="24"/>
      <w:szCs w:val="24"/>
      <w:lang w:val="en-US" w:eastAsia="zh-CN" w:bidi="ar-SA"/>
    </w:rPr>
  </w:style>
  <w:style w:type="character" w:customStyle="1" w:styleId="434">
    <w:name w:val="四级标题 Char"/>
    <w:uiPriority w:val="0"/>
    <w:rPr>
      <w:rFonts w:ascii="宋体" w:hAnsi="宋体" w:eastAsia="宋体"/>
      <w:bCs/>
      <w:kern w:val="2"/>
      <w:sz w:val="24"/>
      <w:szCs w:val="24"/>
      <w:lang w:val="en-US" w:eastAsia="zh-CN" w:bidi="ar-SA"/>
    </w:rPr>
  </w:style>
  <w:style w:type="character" w:customStyle="1" w:styleId="435">
    <w:name w:val="my table header Char Char"/>
    <w:uiPriority w:val="0"/>
    <w:rPr>
      <w:rFonts w:ascii="黑体" w:hAnsi="黑体" w:eastAsia="黑体" w:cs="宋体"/>
      <w:b/>
      <w:bCs/>
      <w:kern w:val="2"/>
      <w:sz w:val="24"/>
      <w:szCs w:val="24"/>
      <w:lang w:val="en-US" w:eastAsia="zh-CN" w:bidi="ar-SA"/>
    </w:rPr>
  </w:style>
  <w:style w:type="character" w:customStyle="1" w:styleId="436">
    <w:name w:val="样式 题注 Char + 黑体 小四"/>
    <w:uiPriority w:val="0"/>
    <w:rPr>
      <w:rFonts w:ascii="黑体" w:hAnsi="黑体" w:eastAsia="黑体" w:cs="Arial"/>
      <w:bCs/>
      <w:kern w:val="2"/>
      <w:sz w:val="36"/>
      <w:szCs w:val="36"/>
      <w:lang w:val="en-US" w:eastAsia="zh-CN" w:bidi="ar-SA"/>
    </w:rPr>
  </w:style>
  <w:style w:type="character" w:customStyle="1" w:styleId="437">
    <w:name w:val="样式 宋体 四号 Char Char"/>
    <w:link w:val="438"/>
    <w:uiPriority w:val="0"/>
    <w:rPr>
      <w:rFonts w:ascii="宋体" w:hAnsi="宋体" w:eastAsia="宋体" w:cs="宋体"/>
      <w:kern w:val="2"/>
      <w:sz w:val="28"/>
      <w:lang w:val="en-US" w:eastAsia="zh-CN" w:bidi="ar-SA"/>
    </w:rPr>
  </w:style>
  <w:style w:type="paragraph" w:customStyle="1" w:styleId="438">
    <w:name w:val="样式 宋体 四号"/>
    <w:basedOn w:val="1"/>
    <w:link w:val="437"/>
    <w:uiPriority w:val="0"/>
    <w:pPr>
      <w:ind w:firstLine="560" w:firstLineChars="200"/>
    </w:pPr>
    <w:rPr>
      <w:rFonts w:ascii="宋体" w:hAnsi="宋体" w:cs="宋体"/>
      <w:sz w:val="28"/>
      <w:szCs w:val="20"/>
    </w:rPr>
  </w:style>
  <w:style w:type="character" w:customStyle="1" w:styleId="439">
    <w:name w:val="样式 标题 2 + 非加粗 Char Char"/>
    <w:link w:val="440"/>
    <w:uiPriority w:val="0"/>
    <w:rPr>
      <w:rFonts w:eastAsia="宋体"/>
      <w:b/>
      <w:bCs/>
      <w:kern w:val="2"/>
      <w:sz w:val="24"/>
      <w:szCs w:val="24"/>
      <w:lang w:val="en-US" w:eastAsia="zh-CN" w:bidi="ar-SA"/>
    </w:rPr>
  </w:style>
  <w:style w:type="paragraph" w:customStyle="1" w:styleId="440">
    <w:name w:val="样式 标题 2 + 非加粗"/>
    <w:basedOn w:val="6"/>
    <w:link w:val="439"/>
    <w:uiPriority w:val="0"/>
    <w:pPr>
      <w:spacing w:line="312" w:lineRule="auto"/>
      <w:jc w:val="left"/>
    </w:pPr>
    <w:rPr>
      <w:rFonts w:ascii="Times New Roman" w:hAnsi="Times New Roman" w:eastAsia="宋体"/>
      <w:sz w:val="24"/>
      <w:szCs w:val="24"/>
    </w:rPr>
  </w:style>
  <w:style w:type="character" w:customStyle="1" w:styleId="441">
    <w:name w:val="zhei1"/>
    <w:uiPriority w:val="0"/>
    <w:rPr>
      <w:color w:val="4C4545"/>
      <w:sz w:val="21"/>
      <w:szCs w:val="21"/>
      <w:u w:val="none"/>
    </w:rPr>
  </w:style>
  <w:style w:type="character" w:customStyle="1" w:styleId="442">
    <w:name w:val="正文首行缩进（本文） Char Char"/>
    <w:uiPriority w:val="0"/>
    <w:rPr>
      <w:rFonts w:ascii="宋体" w:hAnsi="宋体" w:eastAsia="宋体" w:cs="Courier New"/>
      <w:kern w:val="2"/>
      <w:sz w:val="28"/>
      <w:szCs w:val="28"/>
      <w:lang w:val="en-US" w:eastAsia="zh-CN" w:bidi="ar-SA"/>
    </w:rPr>
  </w:style>
  <w:style w:type="character" w:customStyle="1" w:styleId="443">
    <w:name w:val="表格式 Char"/>
    <w:link w:val="444"/>
    <w:locked/>
    <w:uiPriority w:val="0"/>
    <w:rPr>
      <w:rFonts w:ascii="宋体" w:hAnsi="宋体" w:eastAsia="宋体"/>
      <w:color w:val="000000"/>
      <w:kern w:val="2"/>
      <w:sz w:val="21"/>
      <w:szCs w:val="21"/>
      <w:lang w:val="en-US" w:eastAsia="zh-CN" w:bidi="ar-SA"/>
    </w:rPr>
  </w:style>
  <w:style w:type="paragraph" w:customStyle="1" w:styleId="444">
    <w:name w:val="表格式"/>
    <w:basedOn w:val="1"/>
    <w:link w:val="443"/>
    <w:uiPriority w:val="0"/>
    <w:pPr>
      <w:jc w:val="center"/>
    </w:pPr>
    <w:rPr>
      <w:rFonts w:ascii="宋体" w:hAnsi="宋体"/>
      <w:color w:val="000000"/>
      <w:szCs w:val="21"/>
    </w:rPr>
  </w:style>
  <w:style w:type="character" w:customStyle="1" w:styleId="445">
    <w:name w:val="表格正文 Char Char"/>
    <w:link w:val="446"/>
    <w:uiPriority w:val="0"/>
    <w:rPr>
      <w:rFonts w:ascii="宋体" w:hAnsi="宋体" w:eastAsia="宋体"/>
      <w:snapToGrid w:val="0"/>
      <w:spacing w:val="4"/>
      <w:w w:val="90"/>
      <w:sz w:val="21"/>
      <w:szCs w:val="24"/>
      <w:lang w:val="en-US" w:eastAsia="zh-CN" w:bidi="ar-SA"/>
    </w:rPr>
  </w:style>
  <w:style w:type="paragraph" w:customStyle="1" w:styleId="446">
    <w:name w:val="表格正文"/>
    <w:basedOn w:val="1"/>
    <w:next w:val="1"/>
    <w:link w:val="445"/>
    <w:uiPriority w:val="0"/>
    <w:pPr>
      <w:adjustRightInd w:val="0"/>
      <w:snapToGrid w:val="0"/>
      <w:jc w:val="center"/>
      <w:textAlignment w:val="baseline"/>
    </w:pPr>
    <w:rPr>
      <w:rFonts w:ascii="宋体" w:hAnsi="宋体"/>
      <w:snapToGrid w:val="0"/>
      <w:spacing w:val="4"/>
      <w:w w:val="90"/>
      <w:kern w:val="0"/>
    </w:rPr>
  </w:style>
  <w:style w:type="character" w:customStyle="1" w:styleId="447">
    <w:name w:val="h31"/>
    <w:uiPriority w:val="0"/>
    <w:rPr>
      <w:sz w:val="21"/>
      <w:szCs w:val="21"/>
    </w:rPr>
  </w:style>
  <w:style w:type="character" w:customStyle="1" w:styleId="448">
    <w:name w:val="样式 正文文本缩进 + 非加宽量 / 紧缩量 Char Char"/>
    <w:link w:val="449"/>
    <w:uiPriority w:val="0"/>
    <w:rPr>
      <w:rFonts w:eastAsia="宋体"/>
      <w:kern w:val="2"/>
      <w:sz w:val="28"/>
      <w:szCs w:val="28"/>
      <w:lang w:val="en-US" w:eastAsia="zh-CN" w:bidi="ar-SA"/>
    </w:rPr>
  </w:style>
  <w:style w:type="paragraph" w:customStyle="1" w:styleId="449">
    <w:name w:val="样式 正文文本缩进 + 非加宽量 / 紧缩量 Char"/>
    <w:basedOn w:val="36"/>
    <w:link w:val="448"/>
    <w:uiPriority w:val="0"/>
    <w:pPr>
      <w:spacing w:line="360" w:lineRule="auto"/>
      <w:ind w:firstLine="560"/>
    </w:pPr>
    <w:rPr>
      <w:rFonts w:ascii="Times New Roman" w:hAnsi="Times New Roman"/>
      <w:sz w:val="28"/>
      <w:szCs w:val="28"/>
    </w:rPr>
  </w:style>
  <w:style w:type="character" w:customStyle="1" w:styleId="450">
    <w:name w:val="Body text + AngsanaUPC29"/>
    <w:aliases w:val="14 pt27,Bold40,Spacing 0 pt220"/>
    <w:uiPriority w:val="0"/>
    <w:rPr>
      <w:rFonts w:ascii="AngsanaUPC" w:hAnsi="AngsanaUPC" w:eastAsia="MingLiU" w:cs="AngsanaUPC"/>
      <w:b/>
      <w:bCs/>
      <w:spacing w:val="11"/>
      <w:sz w:val="28"/>
      <w:szCs w:val="28"/>
      <w:lang w:val="en-US" w:eastAsia="en-US" w:bidi="ar-SA"/>
    </w:rPr>
  </w:style>
  <w:style w:type="character" w:customStyle="1" w:styleId="451">
    <w:name w:val="little"/>
    <w:basedOn w:val="96"/>
    <w:uiPriority w:val="0"/>
  </w:style>
  <w:style w:type="character" w:customStyle="1" w:styleId="452">
    <w:name w:val="未命名1"/>
    <w:basedOn w:val="96"/>
    <w:uiPriority w:val="0"/>
  </w:style>
  <w:style w:type="character" w:customStyle="1" w:styleId="453">
    <w:name w:val="未命名11"/>
    <w:uiPriority w:val="0"/>
    <w:rPr>
      <w:rFonts w:hint="eastAsia" w:ascii="宋体" w:hAnsi="宋体" w:eastAsia="宋体"/>
      <w:sz w:val="18"/>
      <w:szCs w:val="18"/>
    </w:rPr>
  </w:style>
  <w:style w:type="character" w:customStyle="1" w:styleId="454">
    <w:name w:val="at_3"/>
    <w:basedOn w:val="96"/>
    <w:uiPriority w:val="0"/>
  </w:style>
  <w:style w:type="character" w:customStyle="1" w:styleId="455">
    <w:name w:val="正文文字缩进 Char Char"/>
    <w:uiPriority w:val="0"/>
    <w:rPr>
      <w:rFonts w:eastAsia="宋体"/>
      <w:kern w:val="2"/>
      <w:sz w:val="21"/>
      <w:szCs w:val="24"/>
      <w:lang w:val="en-US" w:eastAsia="zh-CN" w:bidi="ar-SA"/>
    </w:rPr>
  </w:style>
  <w:style w:type="character" w:customStyle="1" w:styleId="456">
    <w:name w:val="标题 2 Char Char1"/>
    <w:aliases w:val="标题 21 Char3,标题 12 Char3,1 Char2,节 Char2,H2 Char1,Se Char3,Head wsa2 Char3,标题 1.1 Char1,My title 2 Char1,Heading 2 Char Char1,二级 Char1,Heading 2 Hidden Char1,Heading 2 CCBS Char1,PA Major Section Char1,heading 2 Char1,HD2 Char1,h2 Char1"/>
    <w:uiPriority w:val="0"/>
    <w:rPr>
      <w:rFonts w:ascii="黑体" w:hAnsi="Arial" w:eastAsia="黑体" w:cs="宋体"/>
      <w:bCs/>
      <w:snapToGrid w:val="0"/>
      <w:kern w:val="2"/>
      <w:sz w:val="28"/>
      <w:szCs w:val="28"/>
      <w:lang w:val="eu-ES" w:eastAsia="zh-CN" w:bidi="ar-SA"/>
    </w:rPr>
  </w:style>
  <w:style w:type="character" w:customStyle="1" w:styleId="457">
    <w:name w:val="正文样式1 Char Char"/>
    <w:link w:val="458"/>
    <w:uiPriority w:val="0"/>
    <w:rPr>
      <w:rFonts w:ascii="宋体" w:hAnsi="宋体" w:eastAsia="仿宋_GB2312"/>
      <w:snapToGrid/>
      <w:sz w:val="24"/>
      <w:lang w:val="en-US" w:eastAsia="zh-CN" w:bidi="ar-SA"/>
    </w:rPr>
  </w:style>
  <w:style w:type="paragraph" w:customStyle="1" w:styleId="458">
    <w:name w:val="正文样式1"/>
    <w:basedOn w:val="1"/>
    <w:link w:val="457"/>
    <w:uiPriority w:val="0"/>
    <w:pPr>
      <w:adjustRightInd w:val="0"/>
      <w:spacing w:line="288" w:lineRule="auto"/>
      <w:ind w:left="479" w:leftChars="228" w:firstLine="420"/>
      <w:textAlignment w:val="baseline"/>
    </w:pPr>
    <w:rPr>
      <w:rFonts w:ascii="宋体" w:hAnsi="宋体" w:eastAsia="仿宋_GB2312"/>
      <w:kern w:val="0"/>
      <w:sz w:val="24"/>
      <w:szCs w:val="20"/>
    </w:rPr>
  </w:style>
  <w:style w:type="character" w:customStyle="1" w:styleId="459">
    <w:name w:val="px14"/>
    <w:basedOn w:val="96"/>
    <w:uiPriority w:val="0"/>
  </w:style>
  <w:style w:type="character" w:customStyle="1" w:styleId="460">
    <w:name w:val="样式 首行缩进:  1.01 厘米 Char Char"/>
    <w:uiPriority w:val="0"/>
    <w:rPr>
      <w:rFonts w:ascii="宋体" w:hAnsi="宋体" w:eastAsia="宋体" w:cs="宋体"/>
      <w:kern w:val="2"/>
      <w:sz w:val="24"/>
      <w:szCs w:val="24"/>
      <w:lang w:val="en-US" w:eastAsia="zh-CN" w:bidi="ar-SA"/>
    </w:rPr>
  </w:style>
  <w:style w:type="character" w:customStyle="1" w:styleId="461">
    <w:name w:val="4标题(治) Char"/>
    <w:link w:val="462"/>
    <w:uiPriority w:val="0"/>
    <w:rPr>
      <w:rFonts w:eastAsia="黑体"/>
      <w:b/>
      <w:sz w:val="24"/>
      <w:lang w:val="en-US" w:eastAsia="zh-CN" w:bidi="ar-SA"/>
    </w:rPr>
  </w:style>
  <w:style w:type="paragraph" w:customStyle="1" w:styleId="462">
    <w:name w:val="4标题(治)"/>
    <w:basedOn w:val="1"/>
    <w:next w:val="1"/>
    <w:link w:val="461"/>
    <w:uiPriority w:val="0"/>
    <w:pPr>
      <w:adjustRightInd w:val="0"/>
      <w:snapToGrid w:val="0"/>
      <w:spacing w:line="360" w:lineRule="auto"/>
      <w:textAlignment w:val="baseline"/>
      <w:outlineLvl w:val="2"/>
    </w:pPr>
    <w:rPr>
      <w:rFonts w:eastAsia="黑体"/>
      <w:b/>
      <w:kern w:val="0"/>
      <w:sz w:val="24"/>
      <w:szCs w:val="20"/>
    </w:rPr>
  </w:style>
  <w:style w:type="character" w:customStyle="1" w:styleId="463">
    <w:name w:val="码头正文 Char Char"/>
    <w:link w:val="464"/>
    <w:uiPriority w:val="0"/>
    <w:rPr>
      <w:rFonts w:ascii="宋体" w:hAnsi="宋体" w:eastAsia="宋体"/>
      <w:color w:val="FF6600"/>
      <w:sz w:val="24"/>
      <w:u w:val="none" w:color="000000"/>
      <w:lang w:val="en-US" w:eastAsia="zh-CN" w:bidi="ar-SA"/>
    </w:rPr>
  </w:style>
  <w:style w:type="paragraph" w:customStyle="1" w:styleId="464">
    <w:name w:val="码头正文"/>
    <w:basedOn w:val="10"/>
    <w:link w:val="463"/>
    <w:uiPriority w:val="0"/>
    <w:pPr>
      <w:spacing w:line="360" w:lineRule="auto"/>
      <w:ind w:firstLine="480"/>
    </w:pPr>
    <w:rPr>
      <w:rFonts w:ascii="宋体" w:hAnsi="宋体"/>
      <w:color w:val="FF6600"/>
      <w:kern w:val="0"/>
      <w:sz w:val="24"/>
      <w:szCs w:val="20"/>
      <w:u w:val="none" w:color="000000"/>
    </w:rPr>
  </w:style>
  <w:style w:type="character" w:customStyle="1" w:styleId="465">
    <w:name w:val="表标题 Char Char Char Char"/>
    <w:link w:val="466"/>
    <w:uiPriority w:val="0"/>
    <w:rPr>
      <w:rFonts w:eastAsia="宋体"/>
      <w:b/>
      <w:kern w:val="2"/>
      <w:sz w:val="24"/>
      <w:lang w:val="en-US" w:eastAsia="zh-CN" w:bidi="ar-SA"/>
    </w:rPr>
  </w:style>
  <w:style w:type="paragraph" w:customStyle="1" w:styleId="466">
    <w:name w:val="表标题 Char Char"/>
    <w:basedOn w:val="1"/>
    <w:link w:val="465"/>
    <w:uiPriority w:val="0"/>
    <w:pPr>
      <w:adjustRightInd w:val="0"/>
      <w:snapToGrid w:val="0"/>
      <w:spacing w:before="40" w:beforeLines="0" w:after="156" w:afterLines="50" w:line="400" w:lineRule="atLeast"/>
      <w:jc w:val="center"/>
    </w:pPr>
    <w:rPr>
      <w:b/>
      <w:sz w:val="24"/>
      <w:szCs w:val="20"/>
    </w:rPr>
  </w:style>
  <w:style w:type="character" w:customStyle="1" w:styleId="467">
    <w:name w:val="标题 11 Char2"/>
    <w:aliases w:val="Head 1wsa Char2,h1 Char2,一、 Char2,标题2 Char2,Part Char2,'Document Char2,章 Char2,Ch Char2,H1 Char2,章标题 1 Char2,-*+ Char2,1st level Char2,Section Head Char2,l1 Char2,b1 Char2,章节标题 Char2,标题yjm1 Char2,标题zsc1 Char2,物探标题 1 Char2,1标题 1 Char2"/>
    <w:uiPriority w:val="0"/>
    <w:rPr>
      <w:rFonts w:ascii="Arial" w:hAnsi="Arial" w:eastAsia="黑体" w:cs="Arial"/>
      <w:kern w:val="44"/>
      <w:sz w:val="30"/>
      <w:szCs w:val="44"/>
      <w:lang w:val="en-US" w:eastAsia="zh-CN" w:bidi="ar-SA"/>
    </w:rPr>
  </w:style>
  <w:style w:type="character" w:customStyle="1" w:styleId="468">
    <w:name w:val="(use for tables) Char"/>
    <w:aliases w:val="标 Char Char"/>
    <w:uiPriority w:val="0"/>
    <w:rPr>
      <w:rFonts w:ascii="Arial" w:hAnsi="Arial" w:eastAsia="黑体"/>
      <w:kern w:val="2"/>
      <w:sz w:val="21"/>
      <w:szCs w:val="21"/>
      <w:lang w:val="en-US" w:eastAsia="zh-CN" w:bidi="ar-SA"/>
    </w:rPr>
  </w:style>
  <w:style w:type="character" w:customStyle="1" w:styleId="469">
    <w:name w:val="5文章(治) Char"/>
    <w:link w:val="470"/>
    <w:uiPriority w:val="0"/>
    <w:rPr>
      <w:rFonts w:eastAsia="楷体_GB2312"/>
      <w:kern w:val="2"/>
      <w:sz w:val="28"/>
      <w:lang w:val="en-US" w:eastAsia="zh-CN" w:bidi="ar-SA"/>
    </w:rPr>
  </w:style>
  <w:style w:type="paragraph" w:customStyle="1" w:styleId="470">
    <w:name w:val="5文章(治)"/>
    <w:basedOn w:val="1"/>
    <w:link w:val="469"/>
    <w:uiPriority w:val="0"/>
    <w:pPr>
      <w:spacing w:line="360" w:lineRule="auto"/>
      <w:ind w:firstLine="560" w:firstLineChars="200"/>
    </w:pPr>
    <w:rPr>
      <w:rFonts w:eastAsia="楷体_GB2312"/>
      <w:sz w:val="28"/>
      <w:szCs w:val="20"/>
    </w:rPr>
  </w:style>
  <w:style w:type="character" w:customStyle="1" w:styleId="471">
    <w:name w:val="3标题(治) Char Char"/>
    <w:uiPriority w:val="0"/>
    <w:rPr>
      <w:rFonts w:eastAsia="黑体"/>
      <w:b/>
      <w:bCs/>
      <w:kern w:val="2"/>
      <w:sz w:val="28"/>
      <w:szCs w:val="32"/>
      <w:lang w:val="en-US" w:eastAsia="zh-CN" w:bidi="ar-SA"/>
    </w:rPr>
  </w:style>
  <w:style w:type="character" w:customStyle="1" w:styleId="472">
    <w:name w:val="正文首行缩进 Char Char Char"/>
    <w:aliases w:val="正文首行缩进 Char1,正文首行缩进21,可研-正文首行缩进 Char1"/>
    <w:uiPriority w:val="0"/>
    <w:rPr>
      <w:rFonts w:ascii="宋体" w:hAnsi="宋体" w:eastAsia="宋体"/>
      <w:kern w:val="2"/>
      <w:sz w:val="24"/>
      <w:szCs w:val="24"/>
      <w:lang w:val="en-US" w:eastAsia="zh-CN" w:bidi="ar-SA"/>
    </w:rPr>
  </w:style>
  <w:style w:type="character" w:customStyle="1" w:styleId="473">
    <w:name w:val="样式 正文首行缩进 + 宋体 小四 行距: 1.5 倍行距 Char1"/>
    <w:uiPriority w:val="0"/>
    <w:rPr>
      <w:rFonts w:ascii="黑体" w:hAnsi="Arial" w:eastAsia="黑体" w:cs="Arial"/>
      <w:bCs/>
      <w:kern w:val="2"/>
      <w:sz w:val="24"/>
      <w:szCs w:val="24"/>
      <w:lang w:val="en-US" w:eastAsia="zh-CN" w:bidi="ar-SA"/>
    </w:rPr>
  </w:style>
  <w:style w:type="character" w:customStyle="1" w:styleId="474">
    <w:name w:val="魏秀珍  报告正文1 Char Char"/>
    <w:link w:val="475"/>
    <w:uiPriority w:val="0"/>
    <w:rPr>
      <w:rFonts w:ascii="宋体" w:eastAsia="宋体"/>
      <w:kern w:val="2"/>
      <w:sz w:val="24"/>
      <w:lang w:val="en-US" w:eastAsia="zh-CN" w:bidi="ar-SA"/>
    </w:rPr>
  </w:style>
  <w:style w:type="paragraph" w:customStyle="1" w:styleId="475">
    <w:name w:val="魏秀珍  报告正文1"/>
    <w:basedOn w:val="1"/>
    <w:link w:val="474"/>
    <w:uiPriority w:val="0"/>
    <w:pPr>
      <w:adjustRightInd w:val="0"/>
      <w:snapToGrid w:val="0"/>
      <w:spacing w:line="360" w:lineRule="auto"/>
      <w:ind w:firstLine="200" w:firstLineChars="200"/>
    </w:pPr>
    <w:rPr>
      <w:rFonts w:ascii="宋体"/>
      <w:sz w:val="24"/>
      <w:szCs w:val="20"/>
    </w:rPr>
  </w:style>
  <w:style w:type="character" w:customStyle="1" w:styleId="476">
    <w:name w:val="font1"/>
    <w:uiPriority w:val="0"/>
    <w:rPr>
      <w:sz w:val="18"/>
      <w:szCs w:val="18"/>
      <w:u w:val="none"/>
    </w:rPr>
  </w:style>
  <w:style w:type="character" w:customStyle="1" w:styleId="477">
    <w:name w:val="样式 题注 + 宋体 五号 加粗 Char Char"/>
    <w:link w:val="478"/>
    <w:uiPriority w:val="0"/>
    <w:rPr>
      <w:rFonts w:ascii="Arial" w:hAnsi="Arial" w:eastAsia="宋体" w:cs="Arial"/>
      <w:spacing w:val="-10"/>
      <w:kern w:val="2"/>
      <w:sz w:val="18"/>
      <w:szCs w:val="18"/>
      <w:lang w:val="en-US" w:eastAsia="zh-CN" w:bidi="ar-SA"/>
    </w:rPr>
  </w:style>
  <w:style w:type="paragraph" w:customStyle="1" w:styleId="478">
    <w:name w:val="样式 题注 + 宋体 五号 加粗"/>
    <w:basedOn w:val="24"/>
    <w:link w:val="477"/>
    <w:uiPriority w:val="0"/>
    <w:pPr>
      <w:snapToGrid/>
      <w:spacing w:line="240" w:lineRule="exact"/>
      <w:ind w:firstLine="0"/>
    </w:pPr>
    <w:rPr>
      <w:rFonts w:ascii="Arial" w:hAnsi="Arial" w:cs="Arial"/>
      <w:b w:val="0"/>
      <w:bCs w:val="0"/>
      <w:spacing w:val="-10"/>
      <w:sz w:val="18"/>
      <w:szCs w:val="18"/>
    </w:rPr>
  </w:style>
  <w:style w:type="character" w:customStyle="1" w:styleId="479">
    <w:name w:val="txt181"/>
    <w:uiPriority w:val="0"/>
    <w:rPr>
      <w:rFonts w:hint="eastAsia" w:ascii="宋体" w:hAnsi="宋体" w:eastAsia="宋体"/>
      <w:b/>
      <w:bCs/>
      <w:sz w:val="38"/>
      <w:szCs w:val="38"/>
      <w:u w:val="none"/>
    </w:rPr>
  </w:style>
  <w:style w:type="character" w:customStyle="1" w:styleId="480">
    <w:name w:val="lh-2em"/>
    <w:uiPriority w:val="0"/>
    <w:rPr>
      <w:rFonts w:ascii="宋体" w:hAnsi="宋体" w:eastAsia="宋体" w:cs="宋体"/>
      <w:kern w:val="2"/>
      <w:sz w:val="24"/>
      <w:szCs w:val="24"/>
      <w:lang w:val="en-US" w:eastAsia="zh-CN" w:bidi="ar-SA"/>
    </w:rPr>
  </w:style>
  <w:style w:type="character" w:customStyle="1" w:styleId="481">
    <w:name w:val="文章标题 Char"/>
    <w:aliases w:val="一、 Char,章节 Char,H1 Char,Otsikko 1 Char,Eia标题1－1 Char,标题 1 Char1,Head 1wsa Char,h1 Char,h1 Char Char,h1 Char1,标题2 Char,Part Char,'Document Char Char Char,'Document Char Char,1.标题 1 Char,标题 111 Char,标题 11 Char,标题 1 Char Char Char Char Char Char"/>
    <w:uiPriority w:val="0"/>
    <w:rPr>
      <w:rFonts w:cs="Arial"/>
      <w:bCs/>
      <w:lang w:val="en-US"/>
    </w:rPr>
  </w:style>
  <w:style w:type="character" w:customStyle="1" w:styleId="482">
    <w:name w:val="dxj标题2 Char"/>
    <w:link w:val="483"/>
    <w:uiPriority w:val="0"/>
    <w:rPr>
      <w:rFonts w:eastAsia="黑体"/>
      <w:bCs/>
      <w:kern w:val="2"/>
      <w:sz w:val="28"/>
      <w:szCs w:val="32"/>
      <w:lang w:val="en-US" w:eastAsia="zh-CN" w:bidi="ar-SA"/>
    </w:rPr>
  </w:style>
  <w:style w:type="paragraph" w:customStyle="1" w:styleId="483">
    <w:name w:val="dxj标题2"/>
    <w:basedOn w:val="6"/>
    <w:link w:val="482"/>
    <w:uiPriority w:val="0"/>
    <w:pPr>
      <w:spacing w:before="0" w:after="0" w:line="360" w:lineRule="auto"/>
      <w:jc w:val="left"/>
    </w:pPr>
    <w:rPr>
      <w:rFonts w:ascii="Times New Roman" w:hAnsi="Times New Roman"/>
      <w:b w:val="0"/>
      <w:sz w:val="28"/>
    </w:rPr>
  </w:style>
  <w:style w:type="character" w:customStyle="1" w:styleId="484">
    <w:name w:val="文章正文 Char Char"/>
    <w:uiPriority w:val="0"/>
    <w:rPr>
      <w:rFonts w:ascii="宋体" w:hAnsi="宋体" w:eastAsia="宋体"/>
      <w:kern w:val="2"/>
      <w:sz w:val="24"/>
      <w:szCs w:val="24"/>
      <w:lang w:val="en-US" w:eastAsia="zh-CN" w:bidi="ar-SA"/>
    </w:rPr>
  </w:style>
  <w:style w:type="character" w:customStyle="1" w:styleId="485">
    <w:name w:val="正文 Char"/>
    <w:link w:val="486"/>
    <w:uiPriority w:val="0"/>
    <w:rPr>
      <w:rFonts w:ascii="Arial" w:hAnsi="Arial" w:eastAsia="宋体"/>
      <w:bCs/>
      <w:snapToGrid w:val="0"/>
      <w:sz w:val="24"/>
      <w:szCs w:val="24"/>
      <w:lang w:val="eu-ES" w:bidi="ar-SA"/>
    </w:rPr>
  </w:style>
  <w:style w:type="paragraph" w:customStyle="1" w:styleId="486">
    <w:name w:val="正文3"/>
    <w:basedOn w:val="36"/>
    <w:link w:val="485"/>
    <w:uiPriority w:val="0"/>
    <w:pPr>
      <w:spacing w:after="120" w:afterLines="0" w:line="324" w:lineRule="auto"/>
    </w:pPr>
    <w:rPr>
      <w:rFonts w:ascii="Arial" w:hAnsi="Arial"/>
      <w:bCs/>
      <w:snapToGrid w:val="0"/>
      <w:kern w:val="0"/>
      <w:lang w:val="eu-ES"/>
    </w:rPr>
  </w:style>
  <w:style w:type="character" w:customStyle="1" w:styleId="487">
    <w:name w:val="页眉1 Char"/>
    <w:aliases w:val="页眉2 Char,页眉R Char,Header1 Char,g Char1,even Char Char1"/>
    <w:uiPriority w:val="0"/>
    <w:rPr>
      <w:rFonts w:eastAsia="宋体"/>
      <w:kern w:val="2"/>
      <w:sz w:val="18"/>
      <w:szCs w:val="18"/>
      <w:lang w:val="en-US" w:eastAsia="zh-CN" w:bidi="ar-SA"/>
    </w:rPr>
  </w:style>
  <w:style w:type="character" w:customStyle="1" w:styleId="488">
    <w:name w:val="defaultfont1"/>
    <w:basedOn w:val="96"/>
    <w:uiPriority w:val="0"/>
  </w:style>
  <w:style w:type="character" w:customStyle="1" w:styleId="489">
    <w:name w:val="正文样式 Char"/>
    <w:uiPriority w:val="0"/>
    <w:rPr>
      <w:rFonts w:ascii="宋体" w:hAnsi="宋体" w:eastAsia="宋体"/>
      <w:color w:val="000000"/>
      <w:kern w:val="2"/>
      <w:sz w:val="24"/>
      <w:szCs w:val="24"/>
      <w:lang w:val="en-US" w:eastAsia="zh-CN" w:bidi="ar-SA"/>
    </w:rPr>
  </w:style>
  <w:style w:type="character" w:customStyle="1" w:styleId="490">
    <w:name w:val="第一节"/>
    <w:uiPriority w:val="0"/>
    <w:rPr>
      <w:rFonts w:eastAsia="黑体"/>
      <w:b/>
      <w:bCs/>
      <w:spacing w:val="0"/>
      <w:position w:val="0"/>
      <w:sz w:val="44"/>
    </w:rPr>
  </w:style>
  <w:style w:type="character" w:customStyle="1" w:styleId="491">
    <w:name w:val="font9pt"/>
    <w:basedOn w:val="96"/>
    <w:uiPriority w:val="0"/>
  </w:style>
  <w:style w:type="character" w:customStyle="1" w:styleId="492">
    <w:name w:val="15"/>
    <w:uiPriority w:val="0"/>
    <w:rPr>
      <w:rFonts w:ascii="宋体" w:hAnsi="宋体" w:eastAsia="宋体" w:cs="Times New Roman"/>
      <w:sz w:val="28"/>
      <w:szCs w:val="28"/>
    </w:rPr>
  </w:style>
  <w:style w:type="character" w:customStyle="1" w:styleId="493">
    <w:name w:val="style141"/>
    <w:uiPriority w:val="0"/>
    <w:rPr>
      <w:color w:val="FF0000"/>
    </w:rPr>
  </w:style>
  <w:style w:type="character" w:customStyle="1" w:styleId="494">
    <w:name w:val="H3 Char2"/>
    <w:aliases w:val="H31 Char1,H32 Char1,H33 Char1,H311 Char1,H321 Char1,H34 Char1,H35 Char1,H36 Char1,H37 Char1,H38 Char1,H39 Char1,H310 Char1,H312 Char1,H313 Char1,H314 Char1,H315 Char1,H316 Char1,H317 Char1,H318 Char1,H319 Char1,H320 Char1,H322 Char1,H323 Char1"/>
    <w:uiPriority w:val="0"/>
    <w:rPr>
      <w:rFonts w:eastAsia="宋体"/>
      <w:b/>
      <w:kern w:val="2"/>
      <w:sz w:val="32"/>
      <w:lang w:val="en-US" w:eastAsia="zh-CN"/>
    </w:rPr>
  </w:style>
  <w:style w:type="character" w:customStyle="1" w:styleId="495">
    <w:name w:val="表－居中列 Char Char"/>
    <w:link w:val="496"/>
    <w:uiPriority w:val="0"/>
    <w:rPr>
      <w:rFonts w:ascii="宋体" w:hAnsi="宋体" w:eastAsia="宋体" w:cs="Arial"/>
      <w:kern w:val="2"/>
      <w:sz w:val="21"/>
      <w:szCs w:val="21"/>
      <w:lang w:val="en-US" w:eastAsia="ja-JP" w:bidi="ar-SA"/>
    </w:rPr>
  </w:style>
  <w:style w:type="paragraph" w:customStyle="1" w:styleId="496">
    <w:name w:val="表－居中列"/>
    <w:basedOn w:val="1"/>
    <w:link w:val="495"/>
    <w:uiPriority w:val="0"/>
    <w:pPr>
      <w:suppressLineNumbers/>
      <w:suppressAutoHyphens/>
      <w:snapToGrid w:val="0"/>
      <w:spacing w:before="60" w:beforeLines="0" w:after="60" w:afterLines="0"/>
      <w:jc w:val="center"/>
    </w:pPr>
    <w:rPr>
      <w:rFonts w:ascii="宋体" w:hAnsi="宋体" w:cs="Arial"/>
      <w:szCs w:val="21"/>
      <w:lang w:eastAsia="ja-JP"/>
    </w:rPr>
  </w:style>
  <w:style w:type="character" w:customStyle="1" w:styleId="497">
    <w:name w:val="样式 宋体 13.5 磅"/>
    <w:uiPriority w:val="0"/>
    <w:rPr>
      <w:rFonts w:ascii="宋体" w:hAnsi="宋体"/>
      <w:sz w:val="28"/>
    </w:rPr>
  </w:style>
  <w:style w:type="character" w:customStyle="1" w:styleId="498">
    <w:name w:val="t_tag"/>
    <w:basedOn w:val="96"/>
    <w:uiPriority w:val="0"/>
  </w:style>
  <w:style w:type="character" w:customStyle="1" w:styleId="499">
    <w:name w:val="正文正文正文 1.5 倍行距 Char"/>
    <w:link w:val="500"/>
    <w:semiHidden/>
    <w:uiPriority w:val="0"/>
    <w:rPr>
      <w:rFonts w:ascii="宋体" w:hAnsi="宋体" w:eastAsia="宋体" w:cs="宋体"/>
      <w:sz w:val="24"/>
      <w:lang w:val="en-US" w:eastAsia="zh-CN" w:bidi="ar-SA"/>
    </w:rPr>
  </w:style>
  <w:style w:type="paragraph" w:customStyle="1" w:styleId="500">
    <w:name w:val="正文正文正文 1.5 倍行距"/>
    <w:basedOn w:val="1"/>
    <w:link w:val="499"/>
    <w:semiHidden/>
    <w:uiPriority w:val="0"/>
    <w:pPr>
      <w:spacing w:line="360" w:lineRule="auto"/>
      <w:ind w:firstLine="480" w:firstLineChars="200"/>
    </w:pPr>
    <w:rPr>
      <w:rFonts w:ascii="宋体" w:hAnsi="宋体" w:cs="宋体"/>
      <w:kern w:val="0"/>
      <w:sz w:val="24"/>
      <w:szCs w:val="20"/>
    </w:rPr>
  </w:style>
  <w:style w:type="character" w:customStyle="1" w:styleId="501">
    <w:name w:val="报告 Char Char"/>
    <w:link w:val="502"/>
    <w:uiPriority w:val="0"/>
    <w:rPr>
      <w:rFonts w:eastAsia="宋体"/>
      <w:kern w:val="2"/>
      <w:sz w:val="24"/>
      <w:lang w:val="en-US" w:eastAsia="zh-CN" w:bidi="ar-SA"/>
    </w:rPr>
  </w:style>
  <w:style w:type="paragraph" w:customStyle="1" w:styleId="502">
    <w:name w:val="报告"/>
    <w:basedOn w:val="1"/>
    <w:link w:val="501"/>
    <w:uiPriority w:val="0"/>
    <w:pPr>
      <w:adjustRightInd w:val="0"/>
      <w:spacing w:line="360" w:lineRule="auto"/>
      <w:ind w:firstLine="505"/>
      <w:textAlignment w:val="baseline"/>
    </w:pPr>
    <w:rPr>
      <w:sz w:val="24"/>
      <w:szCs w:val="20"/>
    </w:rPr>
  </w:style>
  <w:style w:type="character" w:customStyle="1" w:styleId="503">
    <w:name w:val="样式2 Char Char"/>
    <w:uiPriority w:val="0"/>
    <w:rPr>
      <w:rFonts w:ascii="仿宋_GB2312" w:hAnsi="宋体" w:eastAsia="仿宋_GB2312"/>
      <w:color w:val="000000"/>
      <w:kern w:val="2"/>
      <w:sz w:val="28"/>
      <w:szCs w:val="28"/>
      <w:lang w:val="en-US" w:eastAsia="zh-CN" w:bidi="ar-SA"/>
    </w:rPr>
  </w:style>
  <w:style w:type="character" w:customStyle="1" w:styleId="504">
    <w:name w:val="标题 1 Char Char Char"/>
    <w:uiPriority w:val="0"/>
    <w:rPr>
      <w:rFonts w:eastAsia="仿宋_GB2312"/>
      <w:b/>
      <w:kern w:val="28"/>
      <w:sz w:val="30"/>
      <w:lang w:val="en-US" w:eastAsia="zh-CN"/>
    </w:rPr>
  </w:style>
  <w:style w:type="character" w:customStyle="1" w:styleId="505">
    <w:name w:val="字体 Char Char"/>
    <w:link w:val="506"/>
    <w:uiPriority w:val="0"/>
    <w:rPr>
      <w:rFonts w:ascii="宋体" w:hAnsi="宋体" w:eastAsia="宋体"/>
      <w:snapToGrid w:val="0"/>
      <w:sz w:val="24"/>
      <w:szCs w:val="24"/>
      <w:lang w:bidi="ar-SA"/>
    </w:rPr>
  </w:style>
  <w:style w:type="paragraph" w:customStyle="1" w:styleId="506">
    <w:name w:val="字体"/>
    <w:basedOn w:val="1"/>
    <w:link w:val="505"/>
    <w:uiPriority w:val="0"/>
    <w:pPr>
      <w:adjustRightInd w:val="0"/>
      <w:snapToGrid w:val="0"/>
      <w:spacing w:line="360" w:lineRule="auto"/>
      <w:ind w:firstLine="480" w:firstLineChars="200"/>
      <w:jc w:val="left"/>
    </w:pPr>
    <w:rPr>
      <w:rFonts w:ascii="宋体" w:hAnsi="宋体"/>
      <w:snapToGrid w:val="0"/>
      <w:kern w:val="0"/>
      <w:sz w:val="24"/>
    </w:rPr>
  </w:style>
  <w:style w:type="character" w:customStyle="1" w:styleId="507">
    <w:name w:val="样式 样式 样式 样式 正文 首行缩进 + 首行缩进:  2 字符 行距: 单倍行距 + 首行缩进:  2 字符 + 小四 首行...2 Char"/>
    <w:link w:val="508"/>
    <w:uiPriority w:val="0"/>
    <w:rPr>
      <w:rFonts w:ascii="Arial" w:hAnsi="Arial" w:eastAsia="宋体" w:cs="宋体"/>
      <w:kern w:val="2"/>
      <w:sz w:val="24"/>
      <w:lang w:val="en-US" w:eastAsia="zh-CN" w:bidi="ar-SA"/>
    </w:rPr>
  </w:style>
  <w:style w:type="paragraph" w:customStyle="1" w:styleId="508">
    <w:name w:val="样式 样式 样式 样式 正文 首行缩进 + 首行缩进:  2 字符 行距: 单倍行距 + 首行缩进:  2 字符 + 小四 首行...2"/>
    <w:basedOn w:val="1"/>
    <w:link w:val="507"/>
    <w:uiPriority w:val="0"/>
    <w:pPr>
      <w:spacing w:line="312" w:lineRule="auto"/>
      <w:ind w:firstLine="480" w:firstLineChars="200"/>
    </w:pPr>
    <w:rPr>
      <w:rFonts w:ascii="Arial" w:hAnsi="Arial" w:cs="宋体"/>
      <w:sz w:val="24"/>
      <w:szCs w:val="20"/>
    </w:rPr>
  </w:style>
  <w:style w:type="character" w:customStyle="1" w:styleId="509">
    <w:name w:val="页眉R Char Char"/>
    <w:uiPriority w:val="0"/>
    <w:rPr>
      <w:rFonts w:eastAsia="楷体_GB2312"/>
      <w:kern w:val="2"/>
      <w:sz w:val="18"/>
      <w:szCs w:val="18"/>
      <w:lang w:val="en-US" w:eastAsia="zh-CN" w:bidi="ar-SA"/>
    </w:rPr>
  </w:style>
  <w:style w:type="character" w:customStyle="1" w:styleId="510">
    <w:name w:val="my table header Char"/>
    <w:uiPriority w:val="0"/>
    <w:rPr>
      <w:rFonts w:ascii="黑体" w:hAnsi="黑体" w:eastAsia="黑体" w:cs="宋体"/>
      <w:b/>
      <w:bCs/>
      <w:kern w:val="2"/>
      <w:sz w:val="24"/>
      <w:szCs w:val="24"/>
      <w:lang w:val="en-US" w:eastAsia="zh-CN" w:bidi="ar-SA"/>
    </w:rPr>
  </w:style>
  <w:style w:type="character" w:customStyle="1" w:styleId="511">
    <w:name w:val="text2"/>
    <w:basedOn w:val="96"/>
    <w:uiPriority w:val="0"/>
  </w:style>
  <w:style w:type="character" w:customStyle="1" w:styleId="512">
    <w:name w:val="article1"/>
    <w:uiPriority w:val="0"/>
    <w:rPr>
      <w:color w:val="454545"/>
      <w:sz w:val="21"/>
      <w:szCs w:val="21"/>
      <w:u w:val="none"/>
    </w:rPr>
  </w:style>
  <w:style w:type="character" w:customStyle="1" w:styleId="513">
    <w:name w:val="se"/>
    <w:basedOn w:val="96"/>
    <w:uiPriority w:val="0"/>
  </w:style>
  <w:style w:type="character" w:customStyle="1" w:styleId="514">
    <w:name w:val="正 文 Char Char"/>
    <w:link w:val="515"/>
    <w:uiPriority w:val="0"/>
    <w:rPr>
      <w:rFonts w:ascii="Arial" w:hAnsi="Arial"/>
      <w:kern w:val="2"/>
      <w:sz w:val="24"/>
      <w:lang w:val="en-US" w:eastAsia="zh-CN" w:bidi="ar-SA"/>
    </w:rPr>
  </w:style>
  <w:style w:type="paragraph" w:customStyle="1" w:styleId="515">
    <w:name w:val="正 文"/>
    <w:link w:val="514"/>
    <w:uiPriority w:val="0"/>
    <w:pPr>
      <w:widowControl w:val="0"/>
      <w:spacing w:line="480" w:lineRule="exact"/>
      <w:ind w:firstLine="471"/>
      <w:jc w:val="both"/>
    </w:pPr>
    <w:rPr>
      <w:rFonts w:ascii="Arial" w:hAnsi="Arial"/>
      <w:kern w:val="2"/>
      <w:sz w:val="24"/>
      <w:lang w:val="en-US" w:eastAsia="zh-CN" w:bidi="ar-SA"/>
    </w:rPr>
  </w:style>
  <w:style w:type="character" w:customStyle="1" w:styleId="516">
    <w:name w:val="样式 黑色 首行缩进:  1.01 厘米 行距: 固定值 30 磅 Char Char"/>
    <w:link w:val="517"/>
    <w:uiPriority w:val="0"/>
    <w:rPr>
      <w:rFonts w:ascii="宋体" w:hAnsi="宋体" w:eastAsia="宋体" w:cs="宋体"/>
      <w:color w:val="000000"/>
      <w:kern w:val="2"/>
      <w:sz w:val="28"/>
      <w:lang w:val="en-US" w:eastAsia="zh-CN" w:bidi="ar-SA"/>
    </w:rPr>
  </w:style>
  <w:style w:type="paragraph" w:customStyle="1" w:styleId="517">
    <w:name w:val="样式 黑色 首行缩进:  1.01 厘米 行距: 固定值 30 磅"/>
    <w:basedOn w:val="1"/>
    <w:link w:val="516"/>
    <w:uiPriority w:val="0"/>
    <w:pPr>
      <w:spacing w:line="600" w:lineRule="exact"/>
      <w:ind w:firstLine="573"/>
    </w:pPr>
    <w:rPr>
      <w:rFonts w:ascii="宋体" w:hAnsi="宋体" w:cs="宋体"/>
      <w:color w:val="000000"/>
      <w:sz w:val="28"/>
      <w:szCs w:val="20"/>
    </w:rPr>
  </w:style>
  <w:style w:type="character" w:customStyle="1" w:styleId="518">
    <w:name w:val="正文 Char Char"/>
    <w:uiPriority w:val="0"/>
    <w:rPr>
      <w:rFonts w:ascii="宋体" w:hAnsi="宋体" w:eastAsia="宋体" w:cs="宋体"/>
      <w:kern w:val="2"/>
      <w:sz w:val="24"/>
      <w:szCs w:val="24"/>
      <w:lang w:val="en-US" w:eastAsia="zh-CN" w:bidi="ar-SA"/>
    </w:rPr>
  </w:style>
  <w:style w:type="character" w:customStyle="1" w:styleId="519">
    <w:name w:val="样式 标题 5 + Arial Char Char"/>
    <w:link w:val="520"/>
    <w:uiPriority w:val="0"/>
    <w:rPr>
      <w:rFonts w:ascii="Arial" w:hAnsi="Arial" w:eastAsia="宋体"/>
      <w:b/>
      <w:kern w:val="2"/>
      <w:sz w:val="28"/>
      <w:lang w:val="en-US" w:eastAsia="zh-CN" w:bidi="ar-SA"/>
    </w:rPr>
  </w:style>
  <w:style w:type="paragraph" w:customStyle="1" w:styleId="520">
    <w:name w:val="样式 标题 5 + Arial"/>
    <w:basedOn w:val="9"/>
    <w:link w:val="519"/>
    <w:uiPriority w:val="0"/>
    <w:pPr>
      <w:numPr>
        <w:ilvl w:val="4"/>
        <w:numId w:val="0"/>
      </w:numPr>
      <w:tabs>
        <w:tab w:val="left" w:pos="1008"/>
        <w:tab w:val="clear" w:pos="992"/>
      </w:tabs>
      <w:spacing w:line="372" w:lineRule="auto"/>
      <w:ind w:left="1008" w:hanging="1008"/>
    </w:pPr>
    <w:rPr>
      <w:rFonts w:ascii="Arial" w:hAnsi="Arial"/>
    </w:rPr>
  </w:style>
  <w:style w:type="character" w:customStyle="1" w:styleId="521">
    <w:name w:val="样式4 Char Char"/>
    <w:link w:val="522"/>
    <w:uiPriority w:val="0"/>
    <w:rPr>
      <w:rFonts w:eastAsia="宋体"/>
      <w:kern w:val="2"/>
      <w:sz w:val="21"/>
      <w:szCs w:val="24"/>
      <w:lang w:val="en-US" w:eastAsia="zh-CN" w:bidi="ar-SA"/>
    </w:rPr>
  </w:style>
  <w:style w:type="paragraph" w:customStyle="1" w:styleId="522">
    <w:name w:val="样式4"/>
    <w:basedOn w:val="1"/>
    <w:link w:val="521"/>
    <w:uiPriority w:val="0"/>
  </w:style>
  <w:style w:type="character" w:customStyle="1" w:styleId="523">
    <w:name w:val="Char Char2"/>
    <w:uiPriority w:val="0"/>
    <w:rPr>
      <w:rFonts w:ascii="宋体" w:hAnsi="Courier New" w:eastAsia="宋体" w:cs="Courier New"/>
      <w:kern w:val="2"/>
      <w:sz w:val="21"/>
      <w:szCs w:val="21"/>
      <w:lang w:val="en-US" w:eastAsia="zh-CN" w:bidi="ar-SA"/>
    </w:rPr>
  </w:style>
  <w:style w:type="character" w:customStyle="1" w:styleId="524">
    <w:name w:val="style3"/>
    <w:basedOn w:val="96"/>
    <w:uiPriority w:val="0"/>
  </w:style>
  <w:style w:type="character" w:customStyle="1" w:styleId="525">
    <w:name w:val="表格1 Char1"/>
    <w:link w:val="526"/>
    <w:uiPriority w:val="0"/>
    <w:rPr>
      <w:rFonts w:ascii="CG Times (WN)" w:eastAsia="宋体"/>
      <w:b/>
      <w:bCs/>
      <w:sz w:val="24"/>
      <w:lang w:val="en-US" w:eastAsia="zh-CN" w:bidi="ar-SA"/>
    </w:rPr>
  </w:style>
  <w:style w:type="paragraph" w:customStyle="1" w:styleId="526">
    <w:name w:val="表格1"/>
    <w:basedOn w:val="1"/>
    <w:link w:val="525"/>
    <w:uiPriority w:val="0"/>
    <w:pPr>
      <w:adjustRightInd w:val="0"/>
      <w:spacing w:line="360" w:lineRule="atLeast"/>
      <w:jc w:val="center"/>
      <w:textAlignment w:val="baseline"/>
    </w:pPr>
    <w:rPr>
      <w:rFonts w:ascii="CG Times (WN)"/>
      <w:b/>
      <w:bCs/>
      <w:kern w:val="0"/>
      <w:sz w:val="24"/>
      <w:szCs w:val="20"/>
    </w:rPr>
  </w:style>
  <w:style w:type="character" w:customStyle="1" w:styleId="527">
    <w:name w:val="样式 样式 样式 样式 样式 样式 样式 123 + 自动设置 首行缩进:  2 字符 + 首行缩进:  2 字符 + 黑色 首... Char Char"/>
    <w:uiPriority w:val="0"/>
    <w:rPr>
      <w:rFonts w:ascii="宋体" w:hAnsi="宋体" w:eastAsia="宋体" w:cs="宋体"/>
      <w:kern w:val="2"/>
      <w:sz w:val="28"/>
      <w:szCs w:val="28"/>
      <w:lang w:val="en-US" w:eastAsia="zh-CN" w:bidi="ar-SA"/>
    </w:rPr>
  </w:style>
  <w:style w:type="character" w:customStyle="1" w:styleId="528">
    <w:name w:val="xw0 xs1 xg1"/>
    <w:basedOn w:val="96"/>
    <w:uiPriority w:val="0"/>
  </w:style>
  <w:style w:type="character" w:customStyle="1" w:styleId="529">
    <w:name w:val="样式 标题 2标题 21标题 121标题 2 Char1 Char节H2节标题 1.1节标题 1.1 Char... Char"/>
    <w:link w:val="530"/>
    <w:uiPriority w:val="0"/>
    <w:rPr>
      <w:rFonts w:ascii="黑体" w:eastAsia="黑体" w:cs="宋体"/>
      <w:b/>
      <w:bCs/>
      <w:color w:val="000000"/>
      <w:sz w:val="28"/>
      <w:lang w:val="en-US" w:eastAsia="zh-CN" w:bidi="ar-SA"/>
    </w:rPr>
  </w:style>
  <w:style w:type="paragraph" w:customStyle="1" w:styleId="530">
    <w:name w:val="样式 标题 2标题 21标题 121标题 2 Char1 Char节H2节标题 1.1节标题 1.1 Char..."/>
    <w:basedOn w:val="6"/>
    <w:link w:val="529"/>
    <w:uiPriority w:val="0"/>
    <w:pPr>
      <w:keepNext w:val="0"/>
      <w:keepLines w:val="0"/>
      <w:widowControl/>
      <w:tabs>
        <w:tab w:val="left" w:pos="576"/>
      </w:tabs>
      <w:adjustRightInd w:val="0"/>
      <w:spacing w:before="120" w:after="120" w:line="360" w:lineRule="auto"/>
      <w:ind w:left="576" w:hanging="576"/>
      <w:jc w:val="left"/>
      <w:textAlignment w:val="baseline"/>
    </w:pPr>
    <w:rPr>
      <w:rFonts w:ascii="黑体" w:hAnsi="Times New Roman" w:cs="宋体"/>
      <w:color w:val="000000"/>
      <w:kern w:val="0"/>
      <w:sz w:val="28"/>
      <w:szCs w:val="20"/>
    </w:rPr>
  </w:style>
  <w:style w:type="character" w:customStyle="1" w:styleId="531">
    <w:name w:val="纯文本 Char"/>
    <w:uiPriority w:val="0"/>
    <w:rPr>
      <w:rFonts w:ascii="宋体" w:hAnsi="Courier New"/>
      <w:szCs w:val="21"/>
      <w:lang w:eastAsia="en-US"/>
    </w:rPr>
  </w:style>
  <w:style w:type="character" w:customStyle="1" w:styleId="532">
    <w:name w:val="样式17 Char Char"/>
    <w:link w:val="533"/>
    <w:uiPriority w:val="0"/>
    <w:rPr>
      <w:rFonts w:ascii="黑体" w:hAnsi="宋体" w:eastAsia="黑体"/>
      <w:bCs/>
      <w:kern w:val="2"/>
      <w:sz w:val="21"/>
      <w:szCs w:val="21"/>
      <w:lang w:val="en-US" w:eastAsia="zh-CN" w:bidi="ar-SA"/>
    </w:rPr>
  </w:style>
  <w:style w:type="paragraph" w:customStyle="1" w:styleId="533">
    <w:name w:val="样式17"/>
    <w:basedOn w:val="1"/>
    <w:link w:val="532"/>
    <w:uiPriority w:val="0"/>
    <w:pPr>
      <w:adjustRightInd w:val="0"/>
      <w:snapToGrid w:val="0"/>
      <w:spacing w:line="360" w:lineRule="auto"/>
      <w:jc w:val="center"/>
    </w:pPr>
    <w:rPr>
      <w:rFonts w:ascii="黑体" w:hAnsi="宋体" w:eastAsia="黑体"/>
      <w:bCs/>
      <w:szCs w:val="21"/>
    </w:rPr>
  </w:style>
  <w:style w:type="character" w:customStyle="1" w:styleId="534">
    <w:name w:val="main"/>
    <w:basedOn w:val="96"/>
    <w:uiPriority w:val="0"/>
  </w:style>
  <w:style w:type="character" w:customStyle="1" w:styleId="535">
    <w:name w:val="big"/>
    <w:basedOn w:val="96"/>
    <w:uiPriority w:val="0"/>
  </w:style>
  <w:style w:type="character" w:customStyle="1" w:styleId="536">
    <w:name w:val="1正文段落 Char Char"/>
    <w:link w:val="537"/>
    <w:uiPriority w:val="0"/>
    <w:rPr>
      <w:rFonts w:eastAsia="宋体"/>
      <w:snapToGrid w:val="0"/>
      <w:sz w:val="24"/>
      <w:szCs w:val="24"/>
      <w:lang w:val="en-US" w:eastAsia="zh-CN" w:bidi="ar-SA"/>
    </w:rPr>
  </w:style>
  <w:style w:type="paragraph" w:customStyle="1" w:styleId="537">
    <w:name w:val="1正文段落"/>
    <w:basedOn w:val="1"/>
    <w:link w:val="536"/>
    <w:uiPriority w:val="0"/>
    <w:pPr>
      <w:spacing w:line="360" w:lineRule="auto"/>
      <w:ind w:firstLine="480" w:firstLineChars="200"/>
      <w:jc w:val="left"/>
    </w:pPr>
    <w:rPr>
      <w:snapToGrid w:val="0"/>
      <w:kern w:val="0"/>
      <w:sz w:val="24"/>
    </w:rPr>
  </w:style>
  <w:style w:type="character" w:customStyle="1" w:styleId="538">
    <w:name w:val="17.1. Char Char"/>
    <w:link w:val="539"/>
    <w:locked/>
    <w:uiPriority w:val="0"/>
    <w:rPr>
      <w:rFonts w:eastAsia="黑体"/>
      <w:b/>
      <w:bCs/>
      <w:sz w:val="24"/>
      <w:szCs w:val="24"/>
    </w:rPr>
  </w:style>
  <w:style w:type="paragraph" w:customStyle="1" w:styleId="539">
    <w:name w:val="17.1."/>
    <w:basedOn w:val="540"/>
    <w:link w:val="538"/>
    <w:uiPriority w:val="0"/>
    <w:pPr>
      <w:numPr>
        <w:ilvl w:val="0"/>
        <w:numId w:val="16"/>
      </w:numPr>
      <w:tabs>
        <w:tab w:val="left" w:pos="5400"/>
      </w:tabs>
      <w:outlineLvl w:val="2"/>
    </w:pPr>
    <w:rPr>
      <w:sz w:val="24"/>
      <w:szCs w:val="24"/>
    </w:rPr>
  </w:style>
  <w:style w:type="paragraph" w:customStyle="1" w:styleId="540">
    <w:name w:val="17."/>
    <w:basedOn w:val="311"/>
    <w:link w:val="541"/>
    <w:uiPriority w:val="0"/>
    <w:pPr>
      <w:numPr>
        <w:ilvl w:val="0"/>
        <w:numId w:val="17"/>
      </w:numPr>
      <w:ind w:firstLine="0" w:firstLineChars="0"/>
      <w:outlineLvl w:val="1"/>
    </w:pPr>
    <w:rPr>
      <w:rFonts w:eastAsia="黑体"/>
      <w:b/>
      <w:bCs/>
      <w:szCs w:val="28"/>
    </w:rPr>
  </w:style>
  <w:style w:type="character" w:customStyle="1" w:styleId="541">
    <w:name w:val="17. Char Char"/>
    <w:link w:val="540"/>
    <w:locked/>
    <w:uiPriority w:val="0"/>
    <w:rPr>
      <w:rFonts w:eastAsia="黑体"/>
      <w:b/>
      <w:bCs/>
      <w:sz w:val="28"/>
      <w:szCs w:val="28"/>
    </w:rPr>
  </w:style>
  <w:style w:type="character" w:customStyle="1" w:styleId="542">
    <w:name w:val="缩进 Char Char"/>
    <w:link w:val="543"/>
    <w:uiPriority w:val="0"/>
    <w:rPr>
      <w:rFonts w:eastAsia="宋体"/>
      <w:color w:val="000000"/>
      <w:kern w:val="2"/>
      <w:sz w:val="24"/>
      <w:szCs w:val="21"/>
      <w:lang w:val="en-US" w:eastAsia="zh-CN" w:bidi="ar-SA"/>
    </w:rPr>
  </w:style>
  <w:style w:type="paragraph" w:customStyle="1" w:styleId="543">
    <w:name w:val="缩进"/>
    <w:basedOn w:val="1"/>
    <w:link w:val="542"/>
    <w:uiPriority w:val="0"/>
    <w:pPr>
      <w:autoSpaceDE w:val="0"/>
      <w:autoSpaceDN w:val="0"/>
      <w:adjustRightInd w:val="0"/>
      <w:spacing w:line="400" w:lineRule="atLeast"/>
      <w:ind w:firstLine="425"/>
      <w:textAlignment w:val="baseline"/>
    </w:pPr>
    <w:rPr>
      <w:color w:val="000000"/>
      <w:sz w:val="24"/>
      <w:szCs w:val="21"/>
    </w:rPr>
  </w:style>
  <w:style w:type="character" w:customStyle="1" w:styleId="544">
    <w:name w:val="j12"/>
    <w:basedOn w:val="96"/>
    <w:uiPriority w:val="0"/>
  </w:style>
  <w:style w:type="character" w:customStyle="1" w:styleId="545">
    <w:name w:val="批注文字 Char"/>
    <w:uiPriority w:val="0"/>
    <w:rPr>
      <w:kern w:val="2"/>
      <w:sz w:val="21"/>
    </w:rPr>
  </w:style>
  <w:style w:type="character" w:customStyle="1" w:styleId="546">
    <w:name w:val="4.2.1 Char Char"/>
    <w:link w:val="547"/>
    <w:locked/>
    <w:uiPriority w:val="0"/>
    <w:rPr>
      <w:rFonts w:eastAsia="黑体"/>
      <w:b/>
      <w:bCs/>
      <w:sz w:val="24"/>
    </w:rPr>
  </w:style>
  <w:style w:type="paragraph" w:customStyle="1" w:styleId="547">
    <w:name w:val="4.2.1"/>
    <w:basedOn w:val="1"/>
    <w:link w:val="546"/>
    <w:uiPriority w:val="0"/>
    <w:pPr>
      <w:numPr>
        <w:ilvl w:val="0"/>
        <w:numId w:val="18"/>
      </w:numPr>
      <w:spacing w:line="360" w:lineRule="auto"/>
      <w:outlineLvl w:val="2"/>
    </w:pPr>
    <w:rPr>
      <w:rFonts w:eastAsia="黑体"/>
      <w:b/>
      <w:bCs/>
      <w:kern w:val="0"/>
      <w:sz w:val="24"/>
      <w:szCs w:val="20"/>
    </w:rPr>
  </w:style>
  <w:style w:type="character" w:customStyle="1" w:styleId="548">
    <w:name w:val="样式 四号 Char Char"/>
    <w:link w:val="549"/>
    <w:uiPriority w:val="0"/>
    <w:rPr>
      <w:rFonts w:eastAsia="宋体" w:cs="宋体"/>
      <w:kern w:val="2"/>
      <w:sz w:val="28"/>
      <w:lang w:val="en-US" w:eastAsia="zh-CN" w:bidi="ar-SA"/>
    </w:rPr>
  </w:style>
  <w:style w:type="paragraph" w:customStyle="1" w:styleId="549">
    <w:name w:val="样式 四号"/>
    <w:basedOn w:val="1"/>
    <w:link w:val="548"/>
    <w:uiPriority w:val="0"/>
    <w:pPr>
      <w:ind w:firstLine="200" w:firstLineChars="200"/>
    </w:pPr>
    <w:rPr>
      <w:rFonts w:cs="宋体"/>
      <w:sz w:val="28"/>
      <w:szCs w:val="20"/>
    </w:rPr>
  </w:style>
  <w:style w:type="character" w:customStyle="1" w:styleId="550">
    <w:name w:val="样式 样式 正文@ + 首行缩进:  2 字符 字距调整小四 紧缩量  0.2 磅 + 首行缩进:  2 字符 Char"/>
    <w:link w:val="551"/>
    <w:locked/>
    <w:uiPriority w:val="0"/>
    <w:rPr>
      <w:rFonts w:ascii="宋体" w:hAnsi="宋体" w:eastAsia="宋体"/>
      <w:kern w:val="24"/>
      <w:sz w:val="24"/>
      <w:szCs w:val="24"/>
      <w:lang w:bidi="ar-SA"/>
    </w:rPr>
  </w:style>
  <w:style w:type="paragraph" w:customStyle="1" w:styleId="551">
    <w:name w:val="样式 样式 正文@ + 首行缩进:  2 字符 字距调整小四 紧缩量  0.2 磅 + 首行缩进:  2 字符"/>
    <w:basedOn w:val="1"/>
    <w:link w:val="550"/>
    <w:uiPriority w:val="0"/>
    <w:pPr>
      <w:spacing w:line="360" w:lineRule="auto"/>
      <w:ind w:firstLine="480" w:firstLineChars="200"/>
    </w:pPr>
    <w:rPr>
      <w:rFonts w:ascii="宋体" w:hAnsi="宋体"/>
      <w:kern w:val="24"/>
      <w:sz w:val="24"/>
    </w:rPr>
  </w:style>
  <w:style w:type="character" w:customStyle="1" w:styleId="552">
    <w:name w:val="2标题(治) Char"/>
    <w:link w:val="553"/>
    <w:uiPriority w:val="0"/>
    <w:rPr>
      <w:rFonts w:eastAsia="黑体"/>
      <w:b/>
      <w:bCs/>
      <w:kern w:val="2"/>
      <w:sz w:val="32"/>
      <w:szCs w:val="32"/>
      <w:lang w:val="en-US" w:eastAsia="zh-CN" w:bidi="ar-SA"/>
    </w:rPr>
  </w:style>
  <w:style w:type="paragraph" w:customStyle="1" w:styleId="553">
    <w:name w:val="2标题(治)"/>
    <w:basedOn w:val="6"/>
    <w:link w:val="552"/>
    <w:uiPriority w:val="0"/>
    <w:pPr>
      <w:spacing w:before="120" w:after="0" w:line="360" w:lineRule="auto"/>
      <w:outlineLvl w:val="0"/>
    </w:pPr>
    <w:rPr>
      <w:rFonts w:ascii="Times New Roman" w:hAnsi="Times New Roman"/>
    </w:rPr>
  </w:style>
  <w:style w:type="character" w:customStyle="1" w:styleId="554">
    <w:name w:val="9. Char Char"/>
    <w:link w:val="555"/>
    <w:locked/>
    <w:uiPriority w:val="0"/>
    <w:rPr>
      <w:rFonts w:eastAsia="黑体"/>
      <w:b/>
      <w:bCs/>
      <w:sz w:val="28"/>
      <w:szCs w:val="28"/>
    </w:rPr>
  </w:style>
  <w:style w:type="paragraph" w:customStyle="1" w:styleId="555">
    <w:name w:val="9."/>
    <w:basedOn w:val="181"/>
    <w:link w:val="554"/>
    <w:uiPriority w:val="0"/>
    <w:pPr>
      <w:numPr>
        <w:ilvl w:val="0"/>
        <w:numId w:val="19"/>
      </w:numPr>
      <w:outlineLvl w:val="1"/>
    </w:pPr>
    <w:rPr>
      <w:sz w:val="28"/>
      <w:szCs w:val="28"/>
    </w:rPr>
  </w:style>
  <w:style w:type="character" w:customStyle="1" w:styleId="556">
    <w:name w:val="7表格(治) Char"/>
    <w:link w:val="557"/>
    <w:uiPriority w:val="0"/>
    <w:rPr>
      <w:rFonts w:eastAsia="楷体_GB2312" w:cs="宋体"/>
      <w:kern w:val="2"/>
      <w:sz w:val="21"/>
      <w:szCs w:val="36"/>
      <w:lang w:val="en-US" w:eastAsia="zh-CN" w:bidi="ar-SA"/>
    </w:rPr>
  </w:style>
  <w:style w:type="paragraph" w:customStyle="1" w:styleId="557">
    <w:name w:val="7表格(治)"/>
    <w:link w:val="556"/>
    <w:uiPriority w:val="0"/>
    <w:pPr>
      <w:widowControl w:val="0"/>
      <w:tabs>
        <w:tab w:val="center" w:pos="4153"/>
        <w:tab w:val="right" w:pos="8306"/>
      </w:tabs>
      <w:suppressAutoHyphens/>
      <w:snapToGrid w:val="0"/>
      <w:jc w:val="center"/>
    </w:pPr>
    <w:rPr>
      <w:rFonts w:eastAsia="楷体_GB2312" w:cs="宋体"/>
      <w:kern w:val="2"/>
      <w:sz w:val="21"/>
      <w:szCs w:val="36"/>
      <w:lang w:val="en-US" w:eastAsia="zh-CN" w:bidi="ar-SA"/>
    </w:rPr>
  </w:style>
  <w:style w:type="character" w:customStyle="1" w:styleId="558">
    <w:name w:val="14.1. Char Char"/>
    <w:link w:val="559"/>
    <w:locked/>
    <w:uiPriority w:val="0"/>
    <w:rPr>
      <w:rFonts w:eastAsia="黑体"/>
      <w:b/>
      <w:bCs/>
      <w:sz w:val="24"/>
      <w:szCs w:val="24"/>
    </w:rPr>
  </w:style>
  <w:style w:type="paragraph" w:customStyle="1" w:styleId="559">
    <w:name w:val="14.1."/>
    <w:basedOn w:val="1"/>
    <w:link w:val="558"/>
    <w:uiPriority w:val="0"/>
    <w:pPr>
      <w:numPr>
        <w:ilvl w:val="0"/>
        <w:numId w:val="20"/>
      </w:numPr>
      <w:spacing w:line="480" w:lineRule="exact"/>
      <w:outlineLvl w:val="2"/>
    </w:pPr>
    <w:rPr>
      <w:rFonts w:eastAsia="黑体"/>
      <w:b/>
      <w:bCs/>
      <w:kern w:val="0"/>
      <w:sz w:val="24"/>
    </w:rPr>
  </w:style>
  <w:style w:type="character" w:customStyle="1" w:styleId="560">
    <w:name w:val="自动A Char"/>
    <w:link w:val="561"/>
    <w:uiPriority w:val="0"/>
    <w:rPr>
      <w:rFonts w:eastAsia="宋体"/>
      <w:color w:val="000000"/>
      <w:sz w:val="24"/>
      <w:lang w:val="en-US" w:eastAsia="zh-CN" w:bidi="ar-SA"/>
    </w:rPr>
  </w:style>
  <w:style w:type="paragraph" w:customStyle="1" w:styleId="561">
    <w:name w:val="自动A"/>
    <w:basedOn w:val="562"/>
    <w:link w:val="560"/>
    <w:uiPriority w:val="0"/>
    <w:pPr>
      <w:spacing w:beforeLines="50" w:afterLines="50"/>
    </w:pPr>
    <w:rPr>
      <w:rFonts w:ascii="Times New Roman" w:hAnsi="Times New Roman" w:cs="Times New Roman"/>
      <w:kern w:val="0"/>
      <w:szCs w:val="20"/>
    </w:rPr>
  </w:style>
  <w:style w:type="paragraph" w:customStyle="1" w:styleId="562">
    <w:name w:val="样式1"/>
    <w:basedOn w:val="1"/>
    <w:link w:val="563"/>
    <w:uiPriority w:val="0"/>
    <w:pPr>
      <w:spacing w:line="360" w:lineRule="auto"/>
      <w:ind w:firstLine="480" w:firstLineChars="200"/>
    </w:pPr>
    <w:rPr>
      <w:rFonts w:ascii="Arial" w:hAnsi="Arial" w:cs="Arial"/>
      <w:color w:val="000000"/>
      <w:sz w:val="24"/>
    </w:rPr>
  </w:style>
  <w:style w:type="character" w:customStyle="1" w:styleId="563">
    <w:name w:val="样式1 Char Char"/>
    <w:link w:val="562"/>
    <w:uiPriority w:val="0"/>
    <w:rPr>
      <w:rFonts w:ascii="Arial" w:hAnsi="Arial" w:eastAsia="宋体" w:cs="Arial"/>
      <w:color w:val="000000"/>
      <w:kern w:val="2"/>
      <w:sz w:val="24"/>
      <w:szCs w:val="24"/>
      <w:lang w:val="en-US" w:eastAsia="zh-CN" w:bidi="ar-SA"/>
    </w:rPr>
  </w:style>
  <w:style w:type="character" w:customStyle="1" w:styleId="564">
    <w:name w:val="ui-bz-bg-hover"/>
    <w:uiPriority w:val="0"/>
    <w:rPr>
      <w:sz w:val="18"/>
      <w:szCs w:val="18"/>
      <w:shd w:val="clear" w:color="auto" w:fill="000000"/>
    </w:rPr>
  </w:style>
  <w:style w:type="character" w:customStyle="1" w:styleId="565">
    <w:name w:val="标题 12 Char2"/>
    <w:aliases w:val="标题 2 Char Char Char2,Se Char2,Head wsa2 Char2,Chapter Char2,Chapter Title Char2,节标题 Char2,标题 2 Char Char Char Char Char Char3,标题 2 Char Char Char Char Char Char Char2,标题 2 Char Char Char Char Char Char Char Char Char Char2,标题 21 Char2"/>
    <w:uiPriority w:val="0"/>
    <w:rPr>
      <w:rFonts w:ascii="Arial" w:hAnsi="Arial" w:eastAsia="黑体"/>
      <w:b/>
      <w:bCs/>
      <w:kern w:val="2"/>
      <w:sz w:val="28"/>
      <w:szCs w:val="32"/>
      <w:lang w:val="en-US" w:eastAsia="zh-CN" w:bidi="ar-SA"/>
    </w:rPr>
  </w:style>
  <w:style w:type="character" w:customStyle="1" w:styleId="566">
    <w:name w:val="15. Char Char"/>
    <w:link w:val="567"/>
    <w:locked/>
    <w:uiPriority w:val="0"/>
    <w:rPr>
      <w:rFonts w:eastAsia="黑体"/>
      <w:b/>
      <w:bCs/>
      <w:sz w:val="28"/>
      <w:szCs w:val="28"/>
    </w:rPr>
  </w:style>
  <w:style w:type="paragraph" w:customStyle="1" w:styleId="567">
    <w:name w:val="15."/>
    <w:basedOn w:val="1"/>
    <w:link w:val="566"/>
    <w:uiPriority w:val="0"/>
    <w:pPr>
      <w:numPr>
        <w:ilvl w:val="0"/>
        <w:numId w:val="21"/>
      </w:numPr>
      <w:spacing w:line="480" w:lineRule="exact"/>
      <w:outlineLvl w:val="1"/>
    </w:pPr>
    <w:rPr>
      <w:rFonts w:eastAsia="黑体"/>
      <w:b/>
      <w:bCs/>
      <w:kern w:val="0"/>
      <w:sz w:val="28"/>
      <w:szCs w:val="28"/>
    </w:rPr>
  </w:style>
  <w:style w:type="character" w:customStyle="1" w:styleId="568">
    <w:name w:val="Normal Char"/>
    <w:link w:val="569"/>
    <w:locked/>
    <w:uiPriority w:val="0"/>
    <w:rPr>
      <w:rFonts w:ascii="宋体" w:hAnsi="宋体"/>
      <w:sz w:val="24"/>
      <w:lang w:val="en-US" w:eastAsia="zh-CN" w:bidi="ar-SA"/>
    </w:rPr>
  </w:style>
  <w:style w:type="paragraph" w:customStyle="1" w:styleId="569">
    <w:name w:val="Normal1"/>
    <w:link w:val="568"/>
    <w:uiPriority w:val="0"/>
    <w:pPr>
      <w:widowControl w:val="0"/>
      <w:adjustRightInd w:val="0"/>
      <w:spacing w:line="315" w:lineRule="atLeast"/>
    </w:pPr>
    <w:rPr>
      <w:rFonts w:ascii="宋体" w:hAnsi="宋体"/>
      <w:sz w:val="24"/>
      <w:lang w:val="en-US" w:eastAsia="zh-CN" w:bidi="ar-SA"/>
    </w:rPr>
  </w:style>
  <w:style w:type="character" w:customStyle="1" w:styleId="570">
    <w:name w:val="dectext1"/>
    <w:uiPriority w:val="0"/>
    <w:rPr>
      <w:rFonts w:hint="eastAsia" w:ascii="宋体" w:hAnsi="宋体" w:eastAsia="宋体"/>
      <w:color w:val="333333"/>
      <w:sz w:val="21"/>
      <w:u w:val="none"/>
    </w:rPr>
  </w:style>
  <w:style w:type="character" w:customStyle="1" w:styleId="571">
    <w:name w:val="表、图名 Char"/>
    <w:link w:val="572"/>
    <w:locked/>
    <w:uiPriority w:val="0"/>
    <w:rPr>
      <w:rFonts w:ascii="Calibri" w:hAnsi="Calibri" w:eastAsia="仿宋_GB2312"/>
      <w:kern w:val="2"/>
      <w:sz w:val="24"/>
      <w:szCs w:val="24"/>
      <w:lang w:val="en-US" w:eastAsia="zh-CN" w:bidi="ar-SA"/>
    </w:rPr>
  </w:style>
  <w:style w:type="paragraph" w:customStyle="1" w:styleId="572">
    <w:name w:val="表、图名"/>
    <w:basedOn w:val="1"/>
    <w:link w:val="571"/>
    <w:uiPriority w:val="0"/>
    <w:pPr>
      <w:adjustRightInd w:val="0"/>
      <w:snapToGrid w:val="0"/>
      <w:ind w:left="-6"/>
      <w:jc w:val="center"/>
    </w:pPr>
    <w:rPr>
      <w:rFonts w:ascii="Calibri" w:hAnsi="Calibri" w:eastAsia="仿宋_GB2312"/>
      <w:sz w:val="24"/>
    </w:rPr>
  </w:style>
  <w:style w:type="character" w:customStyle="1" w:styleId="573">
    <w:name w:val="样式 (西文) Arial (中文) 楷体_GB2312"/>
    <w:uiPriority w:val="0"/>
    <w:rPr>
      <w:rFonts w:ascii="宋体" w:hAnsi="Arial" w:eastAsia="宋体"/>
      <w:color w:val="auto"/>
      <w:spacing w:val="8"/>
      <w:w w:val="100"/>
      <w:kern w:val="0"/>
      <w:position w:val="0"/>
      <w:sz w:val="24"/>
      <w:szCs w:val="24"/>
      <w:u w:val="none"/>
      <w:vertAlign w:val="baseline"/>
    </w:rPr>
  </w:style>
  <w:style w:type="character" w:customStyle="1" w:styleId="574">
    <w:name w:val="样式3 Char"/>
    <w:uiPriority w:val="0"/>
    <w:rPr>
      <w:rFonts w:ascii="宋体" w:hAnsi="宋体" w:eastAsia="宋体"/>
      <w:sz w:val="28"/>
      <w:szCs w:val="30"/>
      <w:lang w:val="en-US" w:eastAsia="zh-CN" w:bidi="ar-SA"/>
    </w:rPr>
  </w:style>
  <w:style w:type="character" w:customStyle="1" w:styleId="575">
    <w:name w:val="样式 样式 黑色 首行缩进:  2 字符 + 首行缩进:  2 字符1 Char Char"/>
    <w:link w:val="576"/>
    <w:uiPriority w:val="0"/>
    <w:rPr>
      <w:rFonts w:ascii="宋体" w:hAnsi="宋体" w:eastAsia="宋体" w:cs="宋体"/>
      <w:color w:val="000000"/>
      <w:kern w:val="2"/>
      <w:sz w:val="28"/>
      <w:lang w:val="en-US" w:eastAsia="zh-CN" w:bidi="ar-SA"/>
    </w:rPr>
  </w:style>
  <w:style w:type="paragraph" w:customStyle="1" w:styleId="576">
    <w:name w:val="样式 样式 黑色 首行缩进:  2 字符 + 首行缩进:  2 字符1"/>
    <w:basedOn w:val="1"/>
    <w:link w:val="575"/>
    <w:uiPriority w:val="0"/>
    <w:pPr>
      <w:ind w:firstLine="200" w:firstLineChars="200"/>
    </w:pPr>
    <w:rPr>
      <w:rFonts w:ascii="宋体" w:hAnsi="宋体" w:cs="宋体"/>
      <w:color w:val="000000"/>
      <w:sz w:val="28"/>
      <w:szCs w:val="20"/>
    </w:rPr>
  </w:style>
  <w:style w:type="character" w:customStyle="1" w:styleId="577">
    <w:name w:val="表格文字2 Char"/>
    <w:link w:val="578"/>
    <w:locked/>
    <w:uiPriority w:val="0"/>
    <w:rPr>
      <w:rFonts w:ascii="Arial" w:hAnsi="Arial" w:eastAsia="宋体"/>
      <w:kern w:val="2"/>
      <w:sz w:val="24"/>
      <w:lang w:val="en-US" w:eastAsia="zh-CN" w:bidi="ar-SA"/>
    </w:rPr>
  </w:style>
  <w:style w:type="paragraph" w:customStyle="1" w:styleId="578">
    <w:name w:val="表格文字2"/>
    <w:basedOn w:val="1"/>
    <w:link w:val="577"/>
    <w:uiPriority w:val="0"/>
    <w:pPr>
      <w:adjustRightInd w:val="0"/>
      <w:snapToGrid w:val="0"/>
      <w:ind w:left="-105" w:leftChars="-50" w:right="-105" w:rightChars="-50"/>
      <w:jc w:val="center"/>
      <w:textAlignment w:val="baseline"/>
    </w:pPr>
    <w:rPr>
      <w:rFonts w:ascii="Arial" w:hAnsi="Arial"/>
      <w:sz w:val="24"/>
      <w:szCs w:val="20"/>
    </w:rPr>
  </w:style>
  <w:style w:type="character" w:customStyle="1" w:styleId="579">
    <w:name w:val="ggtitle"/>
    <w:basedOn w:val="96"/>
    <w:uiPriority w:val="0"/>
  </w:style>
  <w:style w:type="character" w:customStyle="1" w:styleId="580">
    <w:name w:val="正文文本缩进 3 Char2"/>
    <w:locked/>
    <w:uiPriority w:val="0"/>
    <w:rPr>
      <w:rFonts w:ascii="宋体" w:hAnsi="宋体" w:eastAsia="宋体"/>
      <w:sz w:val="16"/>
      <w:szCs w:val="16"/>
      <w:lang w:bidi="ar-SA"/>
    </w:rPr>
  </w:style>
  <w:style w:type="character" w:customStyle="1" w:styleId="581">
    <w:name w:val="text_edit editable-title"/>
    <w:basedOn w:val="96"/>
    <w:uiPriority w:val="0"/>
  </w:style>
  <w:style w:type="character" w:customStyle="1" w:styleId="582">
    <w:name w:val="表格注释 Char"/>
    <w:link w:val="583"/>
    <w:locked/>
    <w:uiPriority w:val="0"/>
    <w:rPr>
      <w:rFonts w:ascii="宋体" w:hAnsi="宋体" w:eastAsia="宋体"/>
      <w:spacing w:val="12"/>
      <w:kern w:val="28"/>
      <w:sz w:val="18"/>
      <w:lang w:bidi="ar-SA"/>
    </w:rPr>
  </w:style>
  <w:style w:type="paragraph" w:customStyle="1" w:styleId="583">
    <w:name w:val="表格注释"/>
    <w:basedOn w:val="1"/>
    <w:link w:val="582"/>
    <w:uiPriority w:val="0"/>
    <w:pPr>
      <w:autoSpaceDE w:val="0"/>
      <w:autoSpaceDN w:val="0"/>
      <w:adjustRightInd w:val="0"/>
      <w:snapToGrid w:val="0"/>
      <w:spacing w:before="40" w:after="40" w:line="360" w:lineRule="auto"/>
      <w:ind w:firstLine="408" w:firstLineChars="200"/>
    </w:pPr>
    <w:rPr>
      <w:rFonts w:ascii="宋体" w:hAnsi="宋体"/>
      <w:spacing w:val="12"/>
      <w:kern w:val="28"/>
      <w:sz w:val="18"/>
      <w:szCs w:val="20"/>
    </w:rPr>
  </w:style>
  <w:style w:type="character" w:customStyle="1" w:styleId="584">
    <w:name w:val="表内容 Char"/>
    <w:link w:val="585"/>
    <w:locked/>
    <w:uiPriority w:val="0"/>
    <w:rPr>
      <w:rFonts w:ascii="Calibri" w:hAnsi="Calibri" w:eastAsia="宋体"/>
      <w:kern w:val="2"/>
      <w:sz w:val="21"/>
      <w:lang w:val="en-US" w:eastAsia="zh-CN" w:bidi="ar-SA"/>
    </w:rPr>
  </w:style>
  <w:style w:type="paragraph" w:customStyle="1" w:styleId="585">
    <w:name w:val="表内容"/>
    <w:basedOn w:val="1"/>
    <w:next w:val="1"/>
    <w:link w:val="584"/>
    <w:uiPriority w:val="0"/>
    <w:pPr>
      <w:spacing w:line="320" w:lineRule="exact"/>
      <w:jc w:val="center"/>
    </w:pPr>
    <w:rPr>
      <w:rFonts w:ascii="Calibri" w:hAnsi="Calibri"/>
      <w:szCs w:val="20"/>
    </w:rPr>
  </w:style>
  <w:style w:type="character" w:customStyle="1" w:styleId="586">
    <w:name w:val="样式5 Char Char"/>
    <w:link w:val="587"/>
    <w:uiPriority w:val="0"/>
    <w:rPr>
      <w:rFonts w:eastAsia="仿宋_GB2312"/>
      <w:kern w:val="2"/>
      <w:sz w:val="21"/>
      <w:szCs w:val="24"/>
      <w:lang w:val="en-US" w:eastAsia="zh-CN" w:bidi="ar-SA"/>
    </w:rPr>
  </w:style>
  <w:style w:type="paragraph" w:customStyle="1" w:styleId="587">
    <w:name w:val="样式5"/>
    <w:basedOn w:val="67"/>
    <w:link w:val="586"/>
    <w:uiPriority w:val="0"/>
    <w:pPr>
      <w:ind w:left="482" w:firstLine="0" w:firstLineChars="0"/>
    </w:pPr>
    <w:rPr>
      <w:rFonts w:eastAsia="仿宋_GB2312"/>
    </w:rPr>
  </w:style>
  <w:style w:type="character" w:customStyle="1" w:styleId="588">
    <w:name w:val="样式 标题 6 Char"/>
    <w:link w:val="589"/>
    <w:locked/>
    <w:uiPriority w:val="0"/>
    <w:rPr>
      <w:rFonts w:ascii="宋体" w:hAnsi="宋体" w:eastAsia="宋体"/>
      <w:snapToGrid w:val="0"/>
      <w:sz w:val="28"/>
      <w:lang w:bidi="ar-SA"/>
    </w:rPr>
  </w:style>
  <w:style w:type="paragraph" w:customStyle="1" w:styleId="589">
    <w:name w:val="样式 标题 6"/>
    <w:basedOn w:val="11"/>
    <w:link w:val="588"/>
    <w:uiPriority w:val="0"/>
    <w:pPr>
      <w:keepLines w:val="0"/>
      <w:tabs>
        <w:tab w:val="clear" w:pos="1152"/>
      </w:tabs>
      <w:adjustRightInd w:val="0"/>
      <w:snapToGrid w:val="0"/>
      <w:spacing w:before="0" w:after="0" w:line="360" w:lineRule="auto"/>
      <w:ind w:left="0" w:firstLine="560" w:firstLineChars="200"/>
    </w:pPr>
    <w:rPr>
      <w:rFonts w:ascii="宋体" w:hAnsi="宋体" w:eastAsia="宋体"/>
      <w:b w:val="0"/>
      <w:snapToGrid w:val="0"/>
      <w:kern w:val="0"/>
      <w:sz w:val="28"/>
    </w:rPr>
  </w:style>
  <w:style w:type="character" w:customStyle="1" w:styleId="590">
    <w:name w:val="Char Char22"/>
    <w:uiPriority w:val="0"/>
    <w:rPr>
      <w:rFonts w:ascii="Arial" w:hAnsi="Arial" w:eastAsia="黑体"/>
      <w:b/>
      <w:bCs/>
      <w:kern w:val="2"/>
      <w:sz w:val="28"/>
      <w:szCs w:val="28"/>
      <w:lang w:val="en-US" w:eastAsia="zh-CN" w:bidi="ar-SA"/>
    </w:rPr>
  </w:style>
  <w:style w:type="character" w:customStyle="1" w:styleId="591">
    <w:name w:val="标题 2 Char2"/>
    <w:locked/>
    <w:uiPriority w:val="0"/>
    <w:rPr>
      <w:rFonts w:ascii="Arial" w:hAnsi="Arial" w:eastAsia="黑体"/>
      <w:b/>
      <w:bCs/>
      <w:kern w:val="2"/>
      <w:sz w:val="32"/>
      <w:szCs w:val="32"/>
      <w:lang w:val="en-US" w:eastAsia="zh-CN" w:bidi="ar-SA"/>
    </w:rPr>
  </w:style>
  <w:style w:type="character" w:customStyle="1" w:styleId="592">
    <w:name w:val="报告书正文 Char"/>
    <w:link w:val="593"/>
    <w:uiPriority w:val="0"/>
    <w:rPr>
      <w:rFonts w:eastAsia="宋体"/>
      <w:kern w:val="2"/>
      <w:sz w:val="24"/>
      <w:szCs w:val="24"/>
      <w:lang w:val="en-US" w:eastAsia="zh-CN" w:bidi="ar-SA"/>
    </w:rPr>
  </w:style>
  <w:style w:type="paragraph" w:customStyle="1" w:styleId="593">
    <w:name w:val="报告书正文"/>
    <w:basedOn w:val="1"/>
    <w:link w:val="592"/>
    <w:qFormat/>
    <w:uiPriority w:val="0"/>
    <w:pPr>
      <w:spacing w:after="60" w:line="500" w:lineRule="exact"/>
      <w:ind w:firstLine="200" w:firstLineChars="200"/>
    </w:pPr>
    <w:rPr>
      <w:sz w:val="24"/>
    </w:rPr>
  </w:style>
  <w:style w:type="character" w:customStyle="1" w:styleId="594">
    <w:name w:val="标题 13 Char Char"/>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595">
    <w:name w:val="14p2"/>
    <w:uiPriority w:val="0"/>
    <w:rPr>
      <w:color w:val="666666"/>
      <w:sz w:val="21"/>
      <w:szCs w:val="21"/>
    </w:rPr>
  </w:style>
  <w:style w:type="character" w:customStyle="1" w:styleId="596">
    <w:name w:val="8.4.1 Char Char"/>
    <w:basedOn w:val="178"/>
    <w:link w:val="597"/>
    <w:locked/>
    <w:uiPriority w:val="0"/>
  </w:style>
  <w:style w:type="paragraph" w:customStyle="1" w:styleId="597">
    <w:name w:val="8.4.1"/>
    <w:basedOn w:val="182"/>
    <w:link w:val="596"/>
    <w:uiPriority w:val="0"/>
    <w:pPr>
      <w:numPr>
        <w:ilvl w:val="0"/>
        <w:numId w:val="22"/>
      </w:numPr>
    </w:pPr>
  </w:style>
  <w:style w:type="character" w:customStyle="1" w:styleId="598">
    <w:name w:val="自动2 Char"/>
    <w:link w:val="599"/>
    <w:uiPriority w:val="0"/>
    <w:rPr>
      <w:rFonts w:ascii="黑体" w:hAnsi="Arial" w:eastAsia="黑体"/>
      <w:b/>
      <w:bCs/>
      <w:color w:val="000000"/>
      <w:kern w:val="2"/>
      <w:sz w:val="28"/>
      <w:szCs w:val="28"/>
    </w:rPr>
  </w:style>
  <w:style w:type="paragraph" w:customStyle="1" w:styleId="599">
    <w:name w:val="自动2"/>
    <w:basedOn w:val="600"/>
    <w:link w:val="598"/>
    <w:uiPriority w:val="0"/>
    <w:pPr>
      <w:tabs>
        <w:tab w:val="left" w:pos="630"/>
      </w:tabs>
      <w:spacing w:beforeLines="0" w:afterLines="0"/>
      <w:ind w:left="1050" w:hanging="1050"/>
    </w:pPr>
    <w:rPr>
      <w:color w:val="000000"/>
    </w:rPr>
  </w:style>
  <w:style w:type="paragraph" w:customStyle="1" w:styleId="600">
    <w:name w:val="二级标题"/>
    <w:basedOn w:val="6"/>
    <w:uiPriority w:val="0"/>
    <w:pPr>
      <w:spacing w:beforeLines="50" w:afterLines="50" w:line="360" w:lineRule="auto"/>
    </w:pPr>
    <w:rPr>
      <w:rFonts w:ascii="黑体"/>
      <w:sz w:val="28"/>
      <w:szCs w:val="28"/>
    </w:rPr>
  </w:style>
  <w:style w:type="character" w:customStyle="1" w:styleId="601">
    <w:name w:val="标题 2 Char Char Char Char Char Char C"/>
    <w:uiPriority w:val="0"/>
    <w:rPr>
      <w:rFonts w:ascii="宋体" w:hAnsi="Arial"/>
      <w:b/>
      <w:sz w:val="28"/>
    </w:rPr>
  </w:style>
  <w:style w:type="character" w:customStyle="1" w:styleId="602">
    <w:name w:val="首行缩进 Char Char"/>
    <w:uiPriority w:val="0"/>
    <w:rPr>
      <w:rFonts w:ascii="宋体" w:hAnsi="Times" w:eastAsia="宋体"/>
      <w:bCs/>
      <w:kern w:val="44"/>
      <w:sz w:val="24"/>
      <w:szCs w:val="24"/>
      <w:lang w:val="en-US" w:eastAsia="zh-CN" w:bidi="ar-SA"/>
    </w:rPr>
  </w:style>
  <w:style w:type="character" w:customStyle="1" w:styleId="603">
    <w:name w:val="contentfont1"/>
    <w:uiPriority w:val="0"/>
    <w:rPr>
      <w:sz w:val="19"/>
      <w:szCs w:val="19"/>
    </w:rPr>
  </w:style>
  <w:style w:type="character" w:customStyle="1" w:styleId="604">
    <w:name w:val="正文段落 Char1"/>
    <w:link w:val="605"/>
    <w:uiPriority w:val="0"/>
    <w:rPr>
      <w:bCs/>
      <w:kern w:val="2"/>
      <w:sz w:val="24"/>
      <w:szCs w:val="24"/>
      <w:lang w:val="en-US" w:eastAsia="zh-CN" w:bidi="ar-SA"/>
    </w:rPr>
  </w:style>
  <w:style w:type="paragraph" w:customStyle="1" w:styleId="605">
    <w:name w:val="正文段落"/>
    <w:link w:val="604"/>
    <w:uiPriority w:val="0"/>
    <w:pPr>
      <w:spacing w:before="93" w:beforeLines="30" w:after="93" w:afterLines="30" w:line="300" w:lineRule="auto"/>
      <w:ind w:firstLine="200" w:firstLineChars="200"/>
    </w:pPr>
    <w:rPr>
      <w:bCs/>
      <w:kern w:val="2"/>
      <w:sz w:val="24"/>
      <w:szCs w:val="24"/>
      <w:lang w:val="en-US" w:eastAsia="zh-CN" w:bidi="ar-SA"/>
    </w:rPr>
  </w:style>
  <w:style w:type="character" w:customStyle="1" w:styleId="606">
    <w:name w:val="desctext1"/>
    <w:uiPriority w:val="0"/>
    <w:rPr>
      <w:spacing w:val="15"/>
      <w:sz w:val="18"/>
      <w:szCs w:val="18"/>
    </w:rPr>
  </w:style>
  <w:style w:type="character" w:customStyle="1" w:styleId="607">
    <w:name w:val="6.5. Char Char"/>
    <w:link w:val="608"/>
    <w:locked/>
    <w:uiPriority w:val="0"/>
    <w:rPr>
      <w:rFonts w:eastAsia="黑体"/>
      <w:b/>
      <w:bCs/>
      <w:sz w:val="24"/>
      <w:szCs w:val="24"/>
    </w:rPr>
  </w:style>
  <w:style w:type="paragraph" w:customStyle="1" w:styleId="608">
    <w:name w:val="6.5."/>
    <w:basedOn w:val="1"/>
    <w:link w:val="607"/>
    <w:uiPriority w:val="0"/>
    <w:pPr>
      <w:numPr>
        <w:ilvl w:val="0"/>
        <w:numId w:val="23"/>
      </w:numPr>
      <w:spacing w:line="360" w:lineRule="auto"/>
      <w:outlineLvl w:val="2"/>
    </w:pPr>
    <w:rPr>
      <w:rFonts w:eastAsia="黑体"/>
      <w:b/>
      <w:bCs/>
      <w:kern w:val="0"/>
      <w:sz w:val="24"/>
    </w:rPr>
  </w:style>
  <w:style w:type="character" w:customStyle="1" w:styleId="609">
    <w:name w:val="文本框五号 Char Char Char Char"/>
    <w:uiPriority w:val="0"/>
    <w:rPr>
      <w:rFonts w:hint="eastAsia" w:ascii="宋体" w:hAnsi="宋体" w:eastAsia="仿宋_GB2312" w:cs="Courier New"/>
      <w:kern w:val="2"/>
      <w:sz w:val="21"/>
      <w:szCs w:val="21"/>
      <w:lang w:val="en-US" w:eastAsia="zh-CN" w:bidi="ar-SA"/>
    </w:rPr>
  </w:style>
  <w:style w:type="character" w:customStyle="1" w:styleId="610">
    <w:name w:val="正文文字 Char Char Char"/>
    <w:aliases w:val="正文文字 Char Char1,表中文字 Char Char"/>
    <w:uiPriority w:val="0"/>
    <w:rPr>
      <w:rFonts w:ascii="宋体" w:hAnsi="宋体" w:eastAsia="宋体"/>
      <w:sz w:val="24"/>
      <w:szCs w:val="24"/>
      <w:lang w:val="en-US" w:eastAsia="zh-CN" w:bidi="ar-SA"/>
    </w:rPr>
  </w:style>
  <w:style w:type="character" w:customStyle="1" w:styleId="611">
    <w:name w:val="no52"/>
    <w:uiPriority w:val="0"/>
    <w:rPr>
      <w:sz w:val="18"/>
      <w:szCs w:val="18"/>
    </w:rPr>
  </w:style>
  <w:style w:type="character" w:customStyle="1" w:styleId="612">
    <w:name w:val="样式hb4 Char Char"/>
    <w:link w:val="613"/>
    <w:uiPriority w:val="0"/>
    <w:rPr>
      <w:bCs/>
      <w:snapToGrid w:val="0"/>
      <w:sz w:val="24"/>
      <w:szCs w:val="24"/>
      <w:lang w:val="en-US" w:eastAsia="zh-CN" w:bidi="ar-SA"/>
    </w:rPr>
  </w:style>
  <w:style w:type="paragraph" w:customStyle="1" w:styleId="613">
    <w:name w:val="样式hb4"/>
    <w:basedOn w:val="1"/>
    <w:link w:val="612"/>
    <w:uiPriority w:val="0"/>
    <w:pPr>
      <w:keepNext/>
      <w:keepLines/>
      <w:topLinePunct/>
      <w:adjustRightInd w:val="0"/>
      <w:snapToGrid w:val="0"/>
      <w:spacing w:before="156" w:after="156"/>
      <w:outlineLvl w:val="3"/>
    </w:pPr>
    <w:rPr>
      <w:bCs/>
      <w:snapToGrid w:val="0"/>
      <w:kern w:val="0"/>
      <w:sz w:val="24"/>
    </w:rPr>
  </w:style>
  <w:style w:type="character" w:customStyle="1" w:styleId="614">
    <w:name w:val="3.4. Char Char"/>
    <w:link w:val="615"/>
    <w:locked/>
    <w:uiPriority w:val="0"/>
    <w:rPr>
      <w:rFonts w:ascii="黑体" w:hAnsi="黑体" w:eastAsia="黑体"/>
      <w:b/>
      <w:sz w:val="24"/>
      <w:lang w:bidi="ar-SA"/>
    </w:rPr>
  </w:style>
  <w:style w:type="paragraph" w:customStyle="1" w:styleId="615">
    <w:name w:val="3.4."/>
    <w:basedOn w:val="1"/>
    <w:link w:val="614"/>
    <w:uiPriority w:val="0"/>
    <w:pPr>
      <w:spacing w:line="500" w:lineRule="exact"/>
      <w:outlineLvl w:val="2"/>
    </w:pPr>
    <w:rPr>
      <w:rFonts w:ascii="黑体" w:hAnsi="黑体" w:eastAsia="黑体"/>
      <w:b/>
      <w:kern w:val="0"/>
      <w:sz w:val="24"/>
      <w:szCs w:val="20"/>
    </w:rPr>
  </w:style>
  <w:style w:type="character" w:customStyle="1" w:styleId="616">
    <w:name w:val="about-left1"/>
    <w:uiPriority w:val="0"/>
    <w:rPr>
      <w:color w:val="3A3A3A"/>
      <w:spacing w:val="15"/>
      <w:sz w:val="18"/>
      <w:szCs w:val="18"/>
      <w:u w:val="none"/>
    </w:rPr>
  </w:style>
  <w:style w:type="character" w:customStyle="1" w:styleId="617">
    <w:name w:val="样式10 Char Char"/>
    <w:uiPriority w:val="0"/>
    <w:rPr>
      <w:rFonts w:ascii="宋体" w:hAnsi="宋体" w:eastAsia="宋体"/>
      <w:b/>
      <w:bCs/>
      <w:kern w:val="2"/>
      <w:sz w:val="24"/>
      <w:szCs w:val="24"/>
      <w:lang w:val="en-US" w:eastAsia="zh-CN" w:bidi="ar-SA"/>
    </w:rPr>
  </w:style>
  <w:style w:type="character" w:customStyle="1" w:styleId="618">
    <w:name w:val="2.5. Char Char"/>
    <w:link w:val="619"/>
    <w:locked/>
    <w:uiPriority w:val="0"/>
    <w:rPr>
      <w:rFonts w:eastAsia="黑体"/>
      <w:b/>
      <w:bCs/>
      <w:sz w:val="24"/>
      <w:szCs w:val="24"/>
    </w:rPr>
  </w:style>
  <w:style w:type="paragraph" w:customStyle="1" w:styleId="619">
    <w:name w:val="2.5."/>
    <w:basedOn w:val="208"/>
    <w:link w:val="618"/>
    <w:uiPriority w:val="0"/>
    <w:pPr>
      <w:numPr>
        <w:ilvl w:val="0"/>
        <w:numId w:val="24"/>
      </w:numPr>
      <w:spacing w:before="0" w:after="0" w:line="360" w:lineRule="auto"/>
      <w:outlineLvl w:val="2"/>
    </w:pPr>
    <w:rPr>
      <w:rFonts w:eastAsia="黑体"/>
      <w:spacing w:val="0"/>
      <w:kern w:val="0"/>
      <w:sz w:val="24"/>
      <w:szCs w:val="24"/>
    </w:rPr>
  </w:style>
  <w:style w:type="character" w:customStyle="1" w:styleId="620">
    <w:name w:val="slink1"/>
    <w:uiPriority w:val="0"/>
    <w:rPr>
      <w:rFonts w:hint="default" w:ascii="ˎ̥" w:hAnsi="ˎ̥"/>
      <w:sz w:val="18"/>
      <w:szCs w:val="18"/>
      <w:u w:val="none"/>
    </w:rPr>
  </w:style>
  <w:style w:type="character" w:customStyle="1" w:styleId="621">
    <w:name w:val="2.1.8.1 Char Char"/>
    <w:link w:val="622"/>
    <w:locked/>
    <w:uiPriority w:val="0"/>
    <w:rPr>
      <w:rFonts w:hAnsi="宋体"/>
      <w:b/>
      <w:sz w:val="24"/>
      <w:szCs w:val="24"/>
    </w:rPr>
  </w:style>
  <w:style w:type="paragraph" w:customStyle="1" w:styleId="622">
    <w:name w:val="2.1.8.1"/>
    <w:basedOn w:val="1"/>
    <w:link w:val="621"/>
    <w:uiPriority w:val="0"/>
    <w:pPr>
      <w:numPr>
        <w:ilvl w:val="0"/>
        <w:numId w:val="25"/>
      </w:numPr>
      <w:spacing w:line="480" w:lineRule="exact"/>
      <w:outlineLvl w:val="3"/>
    </w:pPr>
    <w:rPr>
      <w:rFonts w:hAnsi="宋体"/>
      <w:b/>
      <w:kern w:val="0"/>
      <w:sz w:val="24"/>
    </w:rPr>
  </w:style>
  <w:style w:type="character" w:customStyle="1" w:styleId="623">
    <w:name w:val="4.2. Char Char"/>
    <w:link w:val="624"/>
    <w:locked/>
    <w:uiPriority w:val="0"/>
    <w:rPr>
      <w:rFonts w:eastAsia="黑体"/>
      <w:b/>
      <w:bCs/>
      <w:sz w:val="24"/>
      <w:szCs w:val="24"/>
    </w:rPr>
  </w:style>
  <w:style w:type="paragraph" w:customStyle="1" w:styleId="624">
    <w:name w:val="4.2."/>
    <w:basedOn w:val="1"/>
    <w:link w:val="623"/>
    <w:uiPriority w:val="0"/>
    <w:pPr>
      <w:numPr>
        <w:ilvl w:val="0"/>
        <w:numId w:val="26"/>
      </w:numPr>
      <w:spacing w:line="360" w:lineRule="auto"/>
      <w:outlineLvl w:val="2"/>
    </w:pPr>
    <w:rPr>
      <w:rFonts w:eastAsia="黑体"/>
      <w:b/>
      <w:bCs/>
      <w:kern w:val="0"/>
      <w:sz w:val="24"/>
    </w:rPr>
  </w:style>
  <w:style w:type="character" w:customStyle="1" w:styleId="625">
    <w:name w:val="charchar8"/>
    <w:uiPriority w:val="0"/>
    <w:rPr>
      <w:rFonts w:hint="default" w:ascii="Times New Roman" w:hAnsi="Times New Roman" w:cs="Times New Roman"/>
      <w:b/>
    </w:rPr>
  </w:style>
  <w:style w:type="character" w:customStyle="1" w:styleId="626">
    <w:name w:val="标题 2 Char"/>
    <w:uiPriority w:val="0"/>
    <w:rPr>
      <w:rFonts w:eastAsia="黑体"/>
      <w:b/>
      <w:snapToGrid w:val="0"/>
      <w:color w:val="000000"/>
      <w:spacing w:val="8"/>
      <w:sz w:val="32"/>
      <w:lang w:val="en-US" w:eastAsia="zh-CN" w:bidi="ar-SA"/>
    </w:rPr>
  </w:style>
  <w:style w:type="character" w:customStyle="1" w:styleId="627">
    <w:name w:val="标题 1 Char"/>
    <w:uiPriority w:val="0"/>
    <w:rPr>
      <w:rFonts w:eastAsia="宋体"/>
      <w:b/>
      <w:bCs/>
      <w:kern w:val="44"/>
      <w:sz w:val="44"/>
      <w:szCs w:val="44"/>
      <w:lang w:val="en-US" w:eastAsia="zh-CN" w:bidi="ar-SA"/>
    </w:rPr>
  </w:style>
  <w:style w:type="character" w:customStyle="1" w:styleId="628">
    <w:name w:val="表样式1 Char Char"/>
    <w:link w:val="629"/>
    <w:locked/>
    <w:uiPriority w:val="0"/>
    <w:rPr>
      <w:rFonts w:ascii="宋体" w:hAnsi="宋体" w:eastAsia="宋体"/>
      <w:szCs w:val="21"/>
      <w:lang w:bidi="ar-SA"/>
    </w:rPr>
  </w:style>
  <w:style w:type="paragraph" w:customStyle="1" w:styleId="629">
    <w:name w:val="表样式1"/>
    <w:basedOn w:val="1"/>
    <w:link w:val="628"/>
    <w:uiPriority w:val="0"/>
    <w:pPr>
      <w:jc w:val="center"/>
    </w:pPr>
    <w:rPr>
      <w:rFonts w:ascii="宋体" w:hAnsi="宋体"/>
      <w:kern w:val="0"/>
      <w:sz w:val="20"/>
      <w:szCs w:val="21"/>
    </w:rPr>
  </w:style>
  <w:style w:type="character" w:customStyle="1" w:styleId="630">
    <w:name w:val="标题 4 Char"/>
    <w:uiPriority w:val="0"/>
    <w:rPr>
      <w:rFonts w:hint="default" w:ascii="Cambria" w:hAnsi="Cambria" w:eastAsia="宋体" w:cs="Times New Roman"/>
      <w:b/>
      <w:bCs/>
      <w:kern w:val="2"/>
      <w:sz w:val="28"/>
      <w:szCs w:val="28"/>
    </w:rPr>
  </w:style>
  <w:style w:type="character" w:customStyle="1" w:styleId="631">
    <w:name w:val="正文1 Char1"/>
    <w:locked/>
    <w:uiPriority w:val="0"/>
    <w:rPr>
      <w:rFonts w:ascii="宋体" w:hAnsi="宋体" w:eastAsia="宋体"/>
      <w:sz w:val="28"/>
      <w:szCs w:val="30"/>
      <w:lang w:bidi="ar-SA"/>
    </w:rPr>
  </w:style>
  <w:style w:type="character" w:customStyle="1" w:styleId="632">
    <w:name w:val="第二标题 Char Char"/>
    <w:uiPriority w:val="0"/>
    <w:rPr>
      <w:rFonts w:ascii="Arial" w:hAnsi="Arial" w:eastAsia="黑体"/>
      <w:b/>
      <w:bCs/>
      <w:kern w:val="2"/>
      <w:sz w:val="36"/>
      <w:szCs w:val="36"/>
      <w:lang w:val="en-US" w:eastAsia="zh-CN" w:bidi="ar-SA"/>
    </w:rPr>
  </w:style>
  <w:style w:type="character" w:customStyle="1" w:styleId="633">
    <w:name w:val="表格内文字 Char"/>
    <w:link w:val="634"/>
    <w:locked/>
    <w:uiPriority w:val="0"/>
    <w:rPr>
      <w:rFonts w:ascii="仿宋_GB2312" w:hAnsi="宋体" w:eastAsia="仿宋_GB2312"/>
      <w:w w:val="90"/>
      <w:kern w:val="18"/>
      <w:sz w:val="24"/>
      <w:lang w:val="en-US" w:eastAsia="zh-CN" w:bidi="ar-SA"/>
    </w:rPr>
  </w:style>
  <w:style w:type="paragraph" w:customStyle="1" w:styleId="634">
    <w:name w:val="表格内文字"/>
    <w:basedOn w:val="1"/>
    <w:link w:val="633"/>
    <w:uiPriority w:val="0"/>
    <w:pPr>
      <w:widowControl/>
      <w:tabs>
        <w:tab w:val="left" w:pos="0"/>
      </w:tabs>
      <w:snapToGrid w:val="0"/>
      <w:jc w:val="center"/>
    </w:pPr>
    <w:rPr>
      <w:rFonts w:ascii="仿宋_GB2312" w:hAnsi="宋体" w:eastAsia="仿宋_GB2312"/>
      <w:w w:val="90"/>
      <w:kern w:val="18"/>
      <w:sz w:val="24"/>
      <w:szCs w:val="20"/>
    </w:rPr>
  </w:style>
  <w:style w:type="character" w:customStyle="1" w:styleId="635">
    <w:name w:val="正文（首行缩进两字） Char Char Char2"/>
    <w:aliases w:val="表格标题 Char Char Char Char,表格标题 Char Char Char Char Char Char,表格标题 Char Char,正文（首行缩进两字） Char1 Char,正文（首行缩进两字） Char Char Char1 Char"/>
    <w:uiPriority w:val="0"/>
    <w:rPr>
      <w:rFonts w:eastAsia="幼圆"/>
      <w:sz w:val="24"/>
      <w:lang w:bidi="ar-SA"/>
    </w:rPr>
  </w:style>
  <w:style w:type="character" w:customStyle="1" w:styleId="636">
    <w:name w:val="页眉 Char1"/>
    <w:locked/>
    <w:uiPriority w:val="0"/>
    <w:rPr>
      <w:sz w:val="18"/>
      <w:szCs w:val="18"/>
      <w:lang w:bidi="ar-SA"/>
    </w:rPr>
  </w:style>
  <w:style w:type="character" w:customStyle="1" w:styleId="637">
    <w:name w:val="+正文 Char"/>
    <w:link w:val="638"/>
    <w:locked/>
    <w:uiPriority w:val="0"/>
    <w:rPr>
      <w:sz w:val="28"/>
      <w:szCs w:val="28"/>
      <w:lang w:bidi="ar-SA"/>
    </w:rPr>
  </w:style>
  <w:style w:type="paragraph" w:customStyle="1" w:styleId="638">
    <w:name w:val="+正文"/>
    <w:basedOn w:val="1"/>
    <w:link w:val="637"/>
    <w:uiPriority w:val="0"/>
    <w:pPr>
      <w:spacing w:line="360" w:lineRule="auto"/>
      <w:ind w:firstLine="200" w:firstLineChars="200"/>
    </w:pPr>
    <w:rPr>
      <w:kern w:val="0"/>
      <w:sz w:val="28"/>
      <w:szCs w:val="28"/>
    </w:rPr>
  </w:style>
  <w:style w:type="character" w:customStyle="1" w:styleId="639">
    <w:name w:val="报告正文 Char"/>
    <w:locked/>
    <w:uiPriority w:val="0"/>
    <w:rPr>
      <w:rFonts w:ascii="宋体" w:hAnsi="宋体" w:eastAsia="宋体"/>
      <w:spacing w:val="10"/>
      <w:sz w:val="24"/>
      <w:szCs w:val="24"/>
      <w:lang w:bidi="ar-SA"/>
    </w:rPr>
  </w:style>
  <w:style w:type="character" w:customStyle="1" w:styleId="640">
    <w:name w:val="批注框文本 Char1"/>
    <w:locked/>
    <w:uiPriority w:val="0"/>
    <w:rPr>
      <w:sz w:val="18"/>
      <w:szCs w:val="18"/>
      <w:lang w:bidi="ar-SA"/>
    </w:rPr>
  </w:style>
  <w:style w:type="character" w:customStyle="1" w:styleId="641">
    <w:name w:val="表文 Char"/>
    <w:link w:val="642"/>
    <w:locked/>
    <w:uiPriority w:val="0"/>
    <w:rPr>
      <w:sz w:val="21"/>
      <w:lang w:val="en-US" w:eastAsia="zh-CN" w:bidi="ar-SA"/>
    </w:rPr>
  </w:style>
  <w:style w:type="paragraph" w:customStyle="1" w:styleId="642">
    <w:name w:val="表文"/>
    <w:link w:val="641"/>
    <w:uiPriority w:val="0"/>
    <w:pPr>
      <w:jc w:val="both"/>
    </w:pPr>
    <w:rPr>
      <w:sz w:val="21"/>
      <w:lang w:val="en-US" w:eastAsia="zh-CN" w:bidi="ar-SA"/>
    </w:rPr>
  </w:style>
  <w:style w:type="character" w:customStyle="1" w:styleId="643">
    <w:name w:val="样式24 Char"/>
    <w:link w:val="644"/>
    <w:locked/>
    <w:uiPriority w:val="0"/>
    <w:rPr>
      <w:rFonts w:ascii="宋体" w:hAnsi="宋体" w:eastAsia="黑体"/>
      <w:kern w:val="2"/>
      <w:sz w:val="28"/>
      <w:szCs w:val="28"/>
      <w:lang w:bidi="ar-SA"/>
    </w:rPr>
  </w:style>
  <w:style w:type="paragraph" w:customStyle="1" w:styleId="644">
    <w:name w:val="样式24"/>
    <w:basedOn w:val="1"/>
    <w:link w:val="643"/>
    <w:uiPriority w:val="0"/>
    <w:pPr>
      <w:keepNext/>
      <w:keepLines/>
      <w:tabs>
        <w:tab w:val="left" w:pos="360"/>
        <w:tab w:val="left" w:pos="540"/>
      </w:tabs>
      <w:spacing w:before="156" w:beforeLines="50" w:after="156" w:afterLines="50" w:line="360" w:lineRule="auto"/>
      <w:ind w:left="840" w:hanging="420"/>
      <w:outlineLvl w:val="1"/>
    </w:pPr>
    <w:rPr>
      <w:rFonts w:ascii="宋体" w:hAnsi="宋体" w:eastAsia="黑体"/>
      <w:sz w:val="28"/>
      <w:szCs w:val="28"/>
    </w:rPr>
  </w:style>
  <w:style w:type="character" w:customStyle="1" w:styleId="645">
    <w:name w:val="样式 首行缩进:  2 字符 Char"/>
    <w:locked/>
    <w:uiPriority w:val="0"/>
    <w:rPr>
      <w:rFonts w:ascii="宋体" w:hAnsi="宋体" w:eastAsia="宋体"/>
      <w:sz w:val="24"/>
      <w:lang w:bidi="ar-SA"/>
    </w:rPr>
  </w:style>
  <w:style w:type="character" w:customStyle="1" w:styleId="646">
    <w:name w:val="专业网格 Char"/>
    <w:link w:val="647"/>
    <w:locked/>
    <w:uiPriority w:val="0"/>
    <w:rPr>
      <w:rFonts w:ascii="Calibri" w:hAnsi="Calibri" w:eastAsia="宋体"/>
      <w:kern w:val="2"/>
      <w:sz w:val="21"/>
      <w:szCs w:val="21"/>
      <w:lang w:val="en-US" w:eastAsia="zh-CN" w:bidi="ar-SA"/>
    </w:rPr>
  </w:style>
  <w:style w:type="paragraph" w:customStyle="1" w:styleId="647">
    <w:name w:val="表格样式"/>
    <w:basedOn w:val="1"/>
    <w:link w:val="646"/>
    <w:uiPriority w:val="0"/>
    <w:pPr>
      <w:jc w:val="center"/>
    </w:pPr>
    <w:rPr>
      <w:rFonts w:ascii="Calibri" w:hAnsi="Calibri"/>
      <w:szCs w:val="21"/>
    </w:rPr>
  </w:style>
  <w:style w:type="character" w:customStyle="1" w:styleId="648">
    <w:name w:val="方案正文 Char"/>
    <w:locked/>
    <w:uiPriority w:val="0"/>
    <w:rPr>
      <w:spacing w:val="14"/>
      <w:sz w:val="24"/>
      <w:lang w:bidi="ar-SA"/>
    </w:rPr>
  </w:style>
  <w:style w:type="character" w:customStyle="1" w:styleId="649">
    <w:name w:val="标题 5 Char2"/>
    <w:locked/>
    <w:uiPriority w:val="0"/>
    <w:rPr>
      <w:rFonts w:ascii="等线" w:hAnsi="等线" w:eastAsia="宋体" w:cs="宋体"/>
      <w:sz w:val="24"/>
      <w:szCs w:val="24"/>
      <w:lang w:val="en-US" w:eastAsia="zh-CN" w:bidi="ar-SA"/>
    </w:rPr>
  </w:style>
  <w:style w:type="character" w:customStyle="1" w:styleId="650">
    <w:name w:val="文档结构图 Char1"/>
    <w:locked/>
    <w:uiPriority w:val="0"/>
    <w:rPr>
      <w:rFonts w:ascii="宋体" w:hAnsi="Tahoma" w:eastAsia="宋体"/>
      <w:sz w:val="18"/>
      <w:szCs w:val="18"/>
      <w:lang w:bidi="ar-SA"/>
    </w:rPr>
  </w:style>
  <w:style w:type="character" w:customStyle="1" w:styleId="651">
    <w:name w:val="样式 两端对齐 首行缩进:  2 字符 Char"/>
    <w:link w:val="652"/>
    <w:semiHidden/>
    <w:locked/>
    <w:uiPriority w:val="0"/>
    <w:rPr>
      <w:rFonts w:ascii="宋体" w:hAnsi="宋体" w:eastAsia="宋体"/>
      <w:sz w:val="28"/>
      <w:szCs w:val="28"/>
      <w:lang w:bidi="ar-SA"/>
    </w:rPr>
  </w:style>
  <w:style w:type="paragraph" w:customStyle="1" w:styleId="652">
    <w:name w:val="样式 两端对齐 首行缩进:  2 字符"/>
    <w:basedOn w:val="1"/>
    <w:link w:val="651"/>
    <w:semiHidden/>
    <w:uiPriority w:val="0"/>
    <w:pPr>
      <w:widowControl/>
      <w:ind w:firstLine="560" w:firstLineChars="200"/>
    </w:pPr>
    <w:rPr>
      <w:rFonts w:ascii="宋体" w:hAnsi="宋体"/>
      <w:kern w:val="0"/>
      <w:sz w:val="28"/>
      <w:szCs w:val="28"/>
    </w:rPr>
  </w:style>
  <w:style w:type="character" w:customStyle="1" w:styleId="653">
    <w:name w:val="我的标题3 Char Char"/>
    <w:link w:val="654"/>
    <w:locked/>
    <w:uiPriority w:val="0"/>
    <w:rPr>
      <w:rFonts w:ascii="Calibri" w:hAnsi="Calibri" w:eastAsia="宋体"/>
      <w:b/>
      <w:kern w:val="2"/>
      <w:sz w:val="28"/>
      <w:szCs w:val="24"/>
      <w:lang w:val="en-US" w:eastAsia="zh-CN" w:bidi="ar-SA"/>
    </w:rPr>
  </w:style>
  <w:style w:type="paragraph" w:customStyle="1" w:styleId="654">
    <w:name w:val="我的标题3"/>
    <w:basedOn w:val="1"/>
    <w:link w:val="653"/>
    <w:uiPriority w:val="0"/>
    <w:rPr>
      <w:rFonts w:ascii="Calibri" w:hAnsi="Calibri"/>
      <w:b/>
      <w:sz w:val="28"/>
    </w:rPr>
  </w:style>
  <w:style w:type="character" w:customStyle="1" w:styleId="655">
    <w:name w:val="Char Char Char Char Char1"/>
    <w:link w:val="656"/>
    <w:locked/>
    <w:uiPriority w:val="0"/>
    <w:rPr>
      <w:rFonts w:ascii="宋体" w:hAnsi="宋体" w:eastAsia="宋体" w:cs="宋体"/>
      <w:kern w:val="2"/>
      <w:sz w:val="24"/>
      <w:szCs w:val="24"/>
      <w:lang w:val="en-US" w:eastAsia="zh-CN" w:bidi="ar-SA"/>
    </w:rPr>
  </w:style>
  <w:style w:type="paragraph" w:customStyle="1" w:styleId="656">
    <w:name w:val="Char Char Char Char1"/>
    <w:basedOn w:val="1"/>
    <w:link w:val="655"/>
    <w:uiPriority w:val="0"/>
    <w:pPr>
      <w:spacing w:line="360" w:lineRule="auto"/>
      <w:ind w:firstLine="200" w:firstLineChars="200"/>
    </w:pPr>
    <w:rPr>
      <w:rFonts w:ascii="宋体" w:hAnsi="宋体" w:cs="宋体"/>
      <w:sz w:val="24"/>
    </w:rPr>
  </w:style>
  <w:style w:type="character" w:customStyle="1" w:styleId="657">
    <w:name w:val="标题 6 Char1"/>
    <w:locked/>
    <w:uiPriority w:val="0"/>
    <w:rPr>
      <w:rFonts w:ascii="Arial" w:hAnsi="Arial" w:eastAsia="黑体"/>
      <w:b/>
      <w:bCs/>
      <w:kern w:val="2"/>
      <w:sz w:val="24"/>
      <w:szCs w:val="24"/>
      <w:lang w:val="en-US" w:eastAsia="zh-CN" w:bidi="ar-SA"/>
    </w:rPr>
  </w:style>
  <w:style w:type="character" w:customStyle="1" w:styleId="658">
    <w:name w:val="表文字 Char"/>
    <w:link w:val="659"/>
    <w:locked/>
    <w:uiPriority w:val="0"/>
    <w:rPr>
      <w:rFonts w:ascii="Calibri" w:hAnsi="Calibri" w:eastAsia="宋体"/>
      <w:kern w:val="2"/>
      <w:sz w:val="21"/>
      <w:lang w:val="en-US" w:eastAsia="zh-CN" w:bidi="ar-SA"/>
    </w:rPr>
  </w:style>
  <w:style w:type="paragraph" w:customStyle="1" w:styleId="659">
    <w:name w:val="表文字"/>
    <w:basedOn w:val="1"/>
    <w:link w:val="658"/>
    <w:uiPriority w:val="0"/>
    <w:pPr>
      <w:spacing w:line="320" w:lineRule="exact"/>
      <w:jc w:val="center"/>
    </w:pPr>
    <w:rPr>
      <w:rFonts w:ascii="Calibri" w:hAnsi="Calibri"/>
      <w:szCs w:val="20"/>
    </w:rPr>
  </w:style>
  <w:style w:type="character" w:customStyle="1" w:styleId="660">
    <w:name w:val="正文样式 Char Char Char Char Char"/>
    <w:link w:val="661"/>
    <w:locked/>
    <w:uiPriority w:val="0"/>
    <w:rPr>
      <w:rFonts w:ascii="宋体" w:hAnsi="宋体" w:eastAsia="宋体"/>
      <w:sz w:val="28"/>
      <w:lang w:bidi="ar-SA"/>
    </w:rPr>
  </w:style>
  <w:style w:type="paragraph" w:customStyle="1" w:styleId="661">
    <w:name w:val="正文样式 Char Char Char Char"/>
    <w:basedOn w:val="1"/>
    <w:link w:val="660"/>
    <w:uiPriority w:val="0"/>
    <w:pPr>
      <w:ind w:firstLine="560" w:firstLineChars="200"/>
    </w:pPr>
    <w:rPr>
      <w:rFonts w:ascii="宋体" w:hAnsi="宋体"/>
      <w:kern w:val="0"/>
      <w:sz w:val="28"/>
      <w:szCs w:val="20"/>
    </w:rPr>
  </w:style>
  <w:style w:type="character" w:customStyle="1" w:styleId="662">
    <w:name w:val="表内格式 Char1"/>
    <w:link w:val="663"/>
    <w:semiHidden/>
    <w:locked/>
    <w:uiPriority w:val="0"/>
    <w:rPr>
      <w:rFonts w:ascii="Calibri" w:hAnsi="Calibri" w:eastAsia="宋体"/>
      <w:kern w:val="2"/>
      <w:sz w:val="18"/>
      <w:lang w:val="en-US" w:eastAsia="zh-CN" w:bidi="ar-SA"/>
    </w:rPr>
  </w:style>
  <w:style w:type="paragraph" w:customStyle="1" w:styleId="663">
    <w:name w:val="表内格式"/>
    <w:basedOn w:val="1"/>
    <w:link w:val="662"/>
    <w:uiPriority w:val="0"/>
    <w:pPr>
      <w:jc w:val="center"/>
    </w:pPr>
    <w:rPr>
      <w:rFonts w:ascii="Calibri" w:hAnsi="Calibri"/>
      <w:sz w:val="18"/>
      <w:szCs w:val="20"/>
    </w:rPr>
  </w:style>
  <w:style w:type="character" w:customStyle="1" w:styleId="664">
    <w:name w:val="环评正文 Char"/>
    <w:link w:val="665"/>
    <w:locked/>
    <w:uiPriority w:val="0"/>
    <w:rPr>
      <w:rFonts w:ascii="Calibri" w:hAnsi="Calibri" w:eastAsia="宋体"/>
      <w:kern w:val="2"/>
      <w:sz w:val="24"/>
      <w:szCs w:val="24"/>
      <w:lang w:val="en-US" w:eastAsia="zh-CN" w:bidi="ar-SA"/>
    </w:rPr>
  </w:style>
  <w:style w:type="paragraph" w:customStyle="1" w:styleId="665">
    <w:name w:val="环评正文"/>
    <w:basedOn w:val="1"/>
    <w:link w:val="664"/>
    <w:uiPriority w:val="0"/>
    <w:pPr>
      <w:spacing w:line="360" w:lineRule="auto"/>
      <w:ind w:firstLine="200" w:firstLineChars="200"/>
    </w:pPr>
    <w:rPr>
      <w:rFonts w:ascii="Calibri" w:hAnsi="Calibri"/>
      <w:sz w:val="24"/>
    </w:rPr>
  </w:style>
  <w:style w:type="character" w:customStyle="1" w:styleId="666">
    <w:name w:val="表格内容 Char"/>
    <w:aliases w:val="孙普文字 Char,普通文字 Char Char Char Char Char Char1,纯文本 Char Char Char Char1,纯文本 Char Char Char Char Char,普通文字 Char Char Char Char Char Char Char,文字缩进 Char"/>
    <w:locked/>
    <w:uiPriority w:val="0"/>
    <w:rPr>
      <w:rFonts w:ascii="Arial Narrow" w:hAnsi="Arial Narrow" w:eastAsia="华文中宋"/>
      <w:b/>
      <w:sz w:val="24"/>
      <w:szCs w:val="28"/>
      <w:lang w:bidi="ar-SA"/>
    </w:rPr>
  </w:style>
  <w:style w:type="character" w:customStyle="1" w:styleId="667">
    <w:name w:val="正文文本 Char"/>
    <w:locked/>
    <w:uiPriority w:val="0"/>
    <w:rPr>
      <w:rFonts w:ascii="Tahoma" w:hAnsi="Tahoma" w:eastAsia="微软雅黑"/>
      <w:sz w:val="22"/>
      <w:lang w:val="en-US" w:eastAsia="zh-CN" w:bidi="ar-SA"/>
    </w:rPr>
  </w:style>
  <w:style w:type="character" w:customStyle="1" w:styleId="668">
    <w:name w:val="表格文字112 Char"/>
    <w:link w:val="669"/>
    <w:locked/>
    <w:uiPriority w:val="0"/>
    <w:rPr>
      <w:sz w:val="21"/>
      <w:szCs w:val="24"/>
      <w:lang w:bidi="ar-SA"/>
    </w:rPr>
  </w:style>
  <w:style w:type="paragraph" w:customStyle="1" w:styleId="669">
    <w:name w:val="表格文字112"/>
    <w:basedOn w:val="1"/>
    <w:link w:val="668"/>
    <w:uiPriority w:val="0"/>
    <w:pPr>
      <w:wordWrap w:val="0"/>
      <w:autoSpaceDE w:val="0"/>
      <w:autoSpaceDN w:val="0"/>
      <w:adjustRightInd w:val="0"/>
      <w:jc w:val="center"/>
    </w:pPr>
    <w:rPr>
      <w:kern w:val="0"/>
    </w:rPr>
  </w:style>
  <w:style w:type="character" w:customStyle="1" w:styleId="670">
    <w:name w:val="12.1.1 Char Char"/>
    <w:basedOn w:val="314"/>
    <w:link w:val="671"/>
    <w:locked/>
    <w:uiPriority w:val="0"/>
  </w:style>
  <w:style w:type="paragraph" w:customStyle="1" w:styleId="671">
    <w:name w:val="12.1.1"/>
    <w:basedOn w:val="315"/>
    <w:link w:val="670"/>
    <w:uiPriority w:val="0"/>
    <w:pPr>
      <w:numPr>
        <w:ilvl w:val="0"/>
        <w:numId w:val="27"/>
      </w:numPr>
      <w:spacing w:line="360" w:lineRule="auto"/>
    </w:pPr>
  </w:style>
  <w:style w:type="character" w:customStyle="1" w:styleId="672">
    <w:name w:val="表号 Char"/>
    <w:locked/>
    <w:uiPriority w:val="0"/>
    <w:rPr>
      <w:rFonts w:ascii="宋体" w:hAnsi="宋体" w:eastAsia="宋体"/>
      <w:sz w:val="24"/>
      <w:szCs w:val="24"/>
      <w:lang w:bidi="ar-SA"/>
    </w:rPr>
  </w:style>
  <w:style w:type="character" w:customStyle="1" w:styleId="673">
    <w:name w:val="样式 标题 4 + 段前: 0.5 行 段后: 0.5 行 Char"/>
    <w:link w:val="674"/>
    <w:locked/>
    <w:uiPriority w:val="0"/>
    <w:rPr>
      <w:rFonts w:ascii="黑体" w:hAnsi="Courier New" w:eastAsia="黑体"/>
      <w:kern w:val="44"/>
      <w:sz w:val="24"/>
      <w:lang w:bidi="ar-SA"/>
    </w:rPr>
  </w:style>
  <w:style w:type="paragraph" w:customStyle="1" w:styleId="674">
    <w:name w:val="样式 标题 4 + 段前: 0.5 行 段后: 0.5 行"/>
    <w:basedOn w:val="8"/>
    <w:link w:val="673"/>
    <w:uiPriority w:val="0"/>
    <w:pPr>
      <w:keepLines w:val="0"/>
      <w:spacing w:before="0" w:beforeLines="50" w:after="0" w:afterLines="50" w:line="240" w:lineRule="auto"/>
    </w:pPr>
    <w:rPr>
      <w:rFonts w:ascii="黑体" w:hAnsi="Courier New" w:eastAsia="黑体"/>
      <w:b w:val="0"/>
      <w:kern w:val="44"/>
      <w:sz w:val="24"/>
    </w:rPr>
  </w:style>
  <w:style w:type="character" w:customStyle="1" w:styleId="675">
    <w:name w:val="纯文本 Char3"/>
    <w:locked/>
    <w:uiPriority w:val="0"/>
    <w:rPr>
      <w:rFonts w:ascii="宋体" w:hAnsi="Courier New" w:eastAsia="宋体"/>
      <w:szCs w:val="21"/>
      <w:lang w:bidi="ar-SA"/>
    </w:rPr>
  </w:style>
  <w:style w:type="character" w:customStyle="1" w:styleId="676">
    <w:name w:val="正本文字 Char"/>
    <w:link w:val="677"/>
    <w:locked/>
    <w:uiPriority w:val="0"/>
    <w:rPr>
      <w:rFonts w:ascii="宋体" w:hAnsi="宋体" w:eastAsia="宋体"/>
      <w:kern w:val="18"/>
      <w:sz w:val="24"/>
      <w:lang w:bidi="ar-SA"/>
    </w:rPr>
  </w:style>
  <w:style w:type="paragraph" w:customStyle="1" w:styleId="677">
    <w:name w:val="正本文字"/>
    <w:basedOn w:val="1"/>
    <w:link w:val="676"/>
    <w:qFormat/>
    <w:uiPriority w:val="0"/>
    <w:pPr>
      <w:adjustRightInd w:val="0"/>
      <w:snapToGrid w:val="0"/>
      <w:spacing w:line="360" w:lineRule="auto"/>
      <w:ind w:firstLine="200" w:firstLineChars="200"/>
      <w:jc w:val="left"/>
    </w:pPr>
    <w:rPr>
      <w:rFonts w:ascii="宋体" w:hAnsi="宋体"/>
      <w:kern w:val="18"/>
      <w:sz w:val="24"/>
      <w:szCs w:val="20"/>
    </w:rPr>
  </w:style>
  <w:style w:type="character" w:customStyle="1" w:styleId="678">
    <w:name w:val="无悬挂正文5号 Char"/>
    <w:link w:val="679"/>
    <w:locked/>
    <w:uiPriority w:val="0"/>
    <w:rPr>
      <w:rFonts w:ascii="宋体" w:hAnsi="宋体" w:eastAsia="宋体"/>
      <w:szCs w:val="24"/>
      <w:lang w:bidi="ar-SA"/>
    </w:rPr>
  </w:style>
  <w:style w:type="paragraph" w:customStyle="1" w:styleId="679">
    <w:name w:val="无悬挂正文5号"/>
    <w:basedOn w:val="1"/>
    <w:link w:val="678"/>
    <w:uiPriority w:val="0"/>
    <w:pPr>
      <w:jc w:val="center"/>
    </w:pPr>
    <w:rPr>
      <w:rFonts w:ascii="宋体" w:hAnsi="宋体"/>
      <w:kern w:val="0"/>
      <w:sz w:val="20"/>
    </w:rPr>
  </w:style>
  <w:style w:type="character" w:customStyle="1" w:styleId="680">
    <w:name w:val="正文崔 Char"/>
    <w:link w:val="681"/>
    <w:locked/>
    <w:uiPriority w:val="0"/>
    <w:rPr>
      <w:rFonts w:ascii="宋体" w:hAnsi="宋体" w:eastAsia="宋体"/>
      <w:bCs/>
      <w:spacing w:val="14"/>
      <w:sz w:val="24"/>
      <w:szCs w:val="24"/>
      <w:lang w:bidi="ar-SA"/>
    </w:rPr>
  </w:style>
  <w:style w:type="paragraph" w:customStyle="1" w:styleId="681">
    <w:name w:val="正文崔"/>
    <w:basedOn w:val="76"/>
    <w:link w:val="680"/>
    <w:uiPriority w:val="0"/>
    <w:pPr>
      <w:adjustRightInd w:val="0"/>
      <w:snapToGrid w:val="0"/>
      <w:spacing w:beforeLines="50" w:line="360" w:lineRule="auto"/>
      <w:ind w:firstLine="200" w:firstLineChars="200"/>
    </w:pPr>
    <w:rPr>
      <w:rFonts w:ascii="宋体" w:hAnsi="宋体"/>
      <w:bCs/>
      <w:spacing w:val="14"/>
      <w:kern w:val="0"/>
      <w:sz w:val="24"/>
    </w:rPr>
  </w:style>
  <w:style w:type="character" w:customStyle="1" w:styleId="682">
    <w:name w:val="图表正文 Char"/>
    <w:link w:val="683"/>
    <w:locked/>
    <w:uiPriority w:val="0"/>
    <w:rPr>
      <w:rFonts w:ascii="宋体" w:hAnsi="宋体" w:eastAsia="宋体"/>
      <w:snapToGrid w:val="0"/>
      <w:sz w:val="21"/>
      <w:szCs w:val="24"/>
      <w:lang w:val="en-US" w:eastAsia="zh-CN" w:bidi="ar-SA"/>
    </w:rPr>
  </w:style>
  <w:style w:type="paragraph" w:customStyle="1" w:styleId="683">
    <w:name w:val="图表正文"/>
    <w:basedOn w:val="1"/>
    <w:link w:val="682"/>
    <w:uiPriority w:val="0"/>
    <w:pPr>
      <w:widowControl/>
      <w:spacing w:line="360" w:lineRule="atLeast"/>
      <w:ind w:firstLine="420" w:firstLineChars="200"/>
      <w:jc w:val="center"/>
    </w:pPr>
    <w:rPr>
      <w:rFonts w:ascii="宋体" w:hAnsi="宋体"/>
      <w:snapToGrid w:val="0"/>
      <w:kern w:val="0"/>
    </w:rPr>
  </w:style>
  <w:style w:type="character" w:customStyle="1" w:styleId="684">
    <w:name w:val="Body text + 6.5 pt"/>
    <w:aliases w:val="Spacing 0 pt213"/>
    <w:uiPriority w:val="0"/>
    <w:rPr>
      <w:rFonts w:ascii="MingLiU" w:eastAsia="MingLiU" w:cs="MingLiU"/>
      <w:spacing w:val="0"/>
      <w:sz w:val="13"/>
      <w:szCs w:val="13"/>
      <w:u w:val="none"/>
      <w:lang w:val="en-US" w:eastAsia="en-US" w:bidi="ar-SA"/>
    </w:rPr>
  </w:style>
  <w:style w:type="character" w:customStyle="1" w:styleId="685">
    <w:name w:val="lh15 m"/>
    <w:basedOn w:val="96"/>
    <w:uiPriority w:val="0"/>
  </w:style>
  <w:style w:type="character" w:customStyle="1" w:styleId="686">
    <w:name w:val="图表标题 Char"/>
    <w:link w:val="687"/>
    <w:locked/>
    <w:uiPriority w:val="0"/>
    <w:rPr>
      <w:rFonts w:ascii="Calibri" w:hAnsi="Calibri" w:eastAsia="宋体"/>
      <w:b/>
      <w:kern w:val="2"/>
      <w:sz w:val="28"/>
      <w:lang w:val="en-US" w:eastAsia="zh-CN" w:bidi="ar-SA"/>
    </w:rPr>
  </w:style>
  <w:style w:type="paragraph" w:customStyle="1" w:styleId="687">
    <w:name w:val="图表标题"/>
    <w:basedOn w:val="1"/>
    <w:link w:val="686"/>
    <w:uiPriority w:val="0"/>
    <w:pPr>
      <w:spacing w:before="160" w:beforeLines="0" w:after="160" w:afterLines="0" w:line="440" w:lineRule="exact"/>
      <w:jc w:val="center"/>
    </w:pPr>
    <w:rPr>
      <w:rFonts w:ascii="Calibri" w:hAnsi="Calibri"/>
      <w:b/>
      <w:sz w:val="28"/>
      <w:szCs w:val="20"/>
    </w:rPr>
  </w:style>
  <w:style w:type="character" w:customStyle="1" w:styleId="688">
    <w:name w:val="6.1. Char Char"/>
    <w:link w:val="689"/>
    <w:locked/>
    <w:uiPriority w:val="0"/>
    <w:rPr>
      <w:rFonts w:eastAsia="黑体"/>
      <w:b/>
      <w:bCs/>
      <w:sz w:val="24"/>
      <w:szCs w:val="24"/>
    </w:rPr>
  </w:style>
  <w:style w:type="paragraph" w:customStyle="1" w:styleId="689">
    <w:name w:val="6.1."/>
    <w:basedOn w:val="1"/>
    <w:link w:val="688"/>
    <w:uiPriority w:val="0"/>
    <w:pPr>
      <w:numPr>
        <w:ilvl w:val="0"/>
        <w:numId w:val="28"/>
      </w:numPr>
      <w:tabs>
        <w:tab w:val="left" w:pos="5124"/>
      </w:tabs>
      <w:spacing w:line="360" w:lineRule="auto"/>
      <w:outlineLvl w:val="2"/>
    </w:pPr>
    <w:rPr>
      <w:rFonts w:eastAsia="黑体"/>
      <w:b/>
      <w:bCs/>
      <w:kern w:val="0"/>
      <w:sz w:val="24"/>
    </w:rPr>
  </w:style>
  <w:style w:type="character" w:customStyle="1" w:styleId="690">
    <w:name w:val="13.4. Char Char"/>
    <w:link w:val="691"/>
    <w:locked/>
    <w:uiPriority w:val="0"/>
    <w:rPr>
      <w:rFonts w:eastAsia="黑体"/>
      <w:b/>
      <w:bCs/>
      <w:sz w:val="24"/>
      <w:szCs w:val="24"/>
    </w:rPr>
  </w:style>
  <w:style w:type="paragraph" w:customStyle="1" w:styleId="691">
    <w:name w:val="13.4."/>
    <w:basedOn w:val="7"/>
    <w:link w:val="690"/>
    <w:uiPriority w:val="0"/>
    <w:pPr>
      <w:numPr>
        <w:ilvl w:val="0"/>
        <w:numId w:val="29"/>
      </w:numPr>
      <w:spacing w:before="0" w:after="0" w:line="360" w:lineRule="auto"/>
    </w:pPr>
    <w:rPr>
      <w:rFonts w:eastAsia="黑体"/>
      <w:kern w:val="0"/>
      <w:sz w:val="24"/>
      <w:szCs w:val="24"/>
    </w:rPr>
  </w:style>
  <w:style w:type="character" w:customStyle="1" w:styleId="692">
    <w:name w:val="6.2. Char Char"/>
    <w:link w:val="693"/>
    <w:locked/>
    <w:uiPriority w:val="0"/>
    <w:rPr>
      <w:rFonts w:eastAsia="黑体"/>
      <w:b/>
      <w:sz w:val="24"/>
    </w:rPr>
  </w:style>
  <w:style w:type="paragraph" w:customStyle="1" w:styleId="693">
    <w:name w:val="6.2."/>
    <w:basedOn w:val="47"/>
    <w:link w:val="692"/>
    <w:uiPriority w:val="0"/>
    <w:pPr>
      <w:numPr>
        <w:ilvl w:val="0"/>
        <w:numId w:val="30"/>
      </w:numPr>
      <w:adjustRightInd w:val="0"/>
      <w:spacing w:line="480" w:lineRule="exact"/>
      <w:jc w:val="left"/>
      <w:outlineLvl w:val="2"/>
    </w:pPr>
    <w:rPr>
      <w:rFonts w:ascii="Times New Roman" w:hAnsi="Times New Roman" w:eastAsia="黑体" w:cs="Times New Roman"/>
      <w:b/>
      <w:kern w:val="0"/>
      <w:sz w:val="24"/>
      <w:szCs w:val="20"/>
    </w:rPr>
  </w:style>
  <w:style w:type="character" w:customStyle="1" w:styleId="694">
    <w:name w:val="13.3.1 Char Char"/>
    <w:basedOn w:val="690"/>
    <w:link w:val="695"/>
    <w:locked/>
    <w:uiPriority w:val="0"/>
  </w:style>
  <w:style w:type="paragraph" w:customStyle="1" w:styleId="695">
    <w:name w:val="13.3.1"/>
    <w:basedOn w:val="691"/>
    <w:link w:val="694"/>
    <w:uiPriority w:val="0"/>
    <w:pPr>
      <w:numPr>
        <w:ilvl w:val="0"/>
        <w:numId w:val="31"/>
      </w:numPr>
    </w:pPr>
  </w:style>
  <w:style w:type="character" w:customStyle="1" w:styleId="696">
    <w:name w:val="7.3.1 Char Char"/>
    <w:basedOn w:val="697"/>
    <w:link w:val="699"/>
    <w:locked/>
    <w:uiPriority w:val="0"/>
  </w:style>
  <w:style w:type="character" w:customStyle="1" w:styleId="697">
    <w:name w:val="7.2. Char Char"/>
    <w:basedOn w:val="183"/>
    <w:link w:val="698"/>
    <w:locked/>
    <w:uiPriority w:val="0"/>
  </w:style>
  <w:style w:type="paragraph" w:customStyle="1" w:styleId="698">
    <w:name w:val="7.2."/>
    <w:basedOn w:val="181"/>
    <w:link w:val="697"/>
    <w:uiPriority w:val="0"/>
    <w:pPr>
      <w:numPr>
        <w:ilvl w:val="0"/>
        <w:numId w:val="32"/>
      </w:numPr>
    </w:pPr>
  </w:style>
  <w:style w:type="paragraph" w:customStyle="1" w:styleId="699">
    <w:name w:val="7.3.1"/>
    <w:basedOn w:val="698"/>
    <w:link w:val="696"/>
    <w:uiPriority w:val="0"/>
    <w:pPr>
      <w:numPr>
        <w:ilvl w:val="0"/>
        <w:numId w:val="33"/>
      </w:numPr>
    </w:pPr>
  </w:style>
  <w:style w:type="character" w:customStyle="1" w:styleId="700">
    <w:name w:val="环评表格正文 Char"/>
    <w:link w:val="701"/>
    <w:locked/>
    <w:uiPriority w:val="0"/>
    <w:rPr>
      <w:szCs w:val="21"/>
      <w:lang w:bidi="ar-SA"/>
    </w:rPr>
  </w:style>
  <w:style w:type="paragraph" w:customStyle="1" w:styleId="701">
    <w:name w:val="环评表格正文"/>
    <w:basedOn w:val="1"/>
    <w:link w:val="700"/>
    <w:uiPriority w:val="0"/>
    <w:pPr>
      <w:jc w:val="center"/>
    </w:pPr>
    <w:rPr>
      <w:kern w:val="0"/>
      <w:sz w:val="20"/>
      <w:szCs w:val="21"/>
    </w:rPr>
  </w:style>
  <w:style w:type="character" w:customStyle="1" w:styleId="702">
    <w:name w:val="3.2. Char Char"/>
    <w:link w:val="703"/>
    <w:locked/>
    <w:uiPriority w:val="0"/>
    <w:rPr>
      <w:rFonts w:eastAsia="黑体"/>
      <w:b/>
      <w:bCs/>
      <w:sz w:val="24"/>
      <w:szCs w:val="24"/>
    </w:rPr>
  </w:style>
  <w:style w:type="paragraph" w:customStyle="1" w:styleId="703">
    <w:name w:val="3.2."/>
    <w:basedOn w:val="1"/>
    <w:link w:val="702"/>
    <w:uiPriority w:val="0"/>
    <w:pPr>
      <w:numPr>
        <w:ilvl w:val="0"/>
        <w:numId w:val="34"/>
      </w:numPr>
      <w:spacing w:line="360" w:lineRule="auto"/>
      <w:outlineLvl w:val="2"/>
    </w:pPr>
    <w:rPr>
      <w:rFonts w:eastAsia="黑体"/>
      <w:b/>
      <w:bCs/>
      <w:kern w:val="0"/>
      <w:sz w:val="24"/>
    </w:rPr>
  </w:style>
  <w:style w:type="character" w:customStyle="1" w:styleId="704">
    <w:name w:val="样式 样式 正文@ + 首行缩进:  2 字符 + 首行缩进:  2 字符 Char"/>
    <w:link w:val="705"/>
    <w:locked/>
    <w:uiPriority w:val="0"/>
    <w:rPr>
      <w:rFonts w:ascii="宋体" w:hAnsi="宋体" w:eastAsia="宋体"/>
      <w:sz w:val="24"/>
      <w:lang w:bidi="ar-SA"/>
    </w:rPr>
  </w:style>
  <w:style w:type="paragraph" w:customStyle="1" w:styleId="705">
    <w:name w:val="样式 样式 正文@ + 首行缩进:  2 字符 + 首行缩进:  2 字符"/>
    <w:basedOn w:val="1"/>
    <w:link w:val="704"/>
    <w:uiPriority w:val="0"/>
    <w:pPr>
      <w:spacing w:line="312" w:lineRule="auto"/>
      <w:ind w:firstLine="200" w:firstLineChars="200"/>
    </w:pPr>
    <w:rPr>
      <w:rFonts w:ascii="宋体" w:hAnsi="宋体"/>
      <w:kern w:val="0"/>
      <w:sz w:val="24"/>
      <w:szCs w:val="20"/>
    </w:rPr>
  </w:style>
  <w:style w:type="character" w:customStyle="1" w:styleId="706">
    <w:name w:val="文本正文 Char Char"/>
    <w:link w:val="707"/>
    <w:locked/>
    <w:uiPriority w:val="0"/>
    <w:rPr>
      <w:sz w:val="24"/>
      <w:szCs w:val="24"/>
      <w:lang w:bidi="ar-SA"/>
    </w:rPr>
  </w:style>
  <w:style w:type="paragraph" w:customStyle="1" w:styleId="707">
    <w:name w:val="文本正文"/>
    <w:basedOn w:val="1"/>
    <w:link w:val="706"/>
    <w:uiPriority w:val="0"/>
    <w:pPr>
      <w:snapToGrid w:val="0"/>
      <w:spacing w:beforeLines="50" w:line="360" w:lineRule="auto"/>
      <w:ind w:firstLine="480" w:firstLineChars="200"/>
      <w:jc w:val="left"/>
    </w:pPr>
    <w:rPr>
      <w:kern w:val="0"/>
      <w:sz w:val="24"/>
    </w:rPr>
  </w:style>
  <w:style w:type="character" w:customStyle="1" w:styleId="708">
    <w:name w:val="10.2.1.1 Char Char"/>
    <w:link w:val="709"/>
    <w:locked/>
    <w:uiPriority w:val="0"/>
    <w:rPr>
      <w:rFonts w:eastAsia="黑体"/>
      <w:b/>
      <w:sz w:val="24"/>
    </w:rPr>
  </w:style>
  <w:style w:type="paragraph" w:customStyle="1" w:styleId="709">
    <w:name w:val="10.2.1.1"/>
    <w:basedOn w:val="1"/>
    <w:link w:val="708"/>
    <w:uiPriority w:val="0"/>
    <w:pPr>
      <w:numPr>
        <w:ilvl w:val="0"/>
        <w:numId w:val="35"/>
      </w:numPr>
      <w:spacing w:line="360" w:lineRule="auto"/>
      <w:outlineLvl w:val="3"/>
    </w:pPr>
    <w:rPr>
      <w:rFonts w:eastAsia="黑体"/>
      <w:b/>
      <w:kern w:val="0"/>
      <w:sz w:val="24"/>
      <w:szCs w:val="20"/>
    </w:rPr>
  </w:style>
  <w:style w:type="character" w:customStyle="1" w:styleId="710">
    <w:name w:val="4.6.2. Char Char"/>
    <w:link w:val="711"/>
    <w:locked/>
    <w:uiPriority w:val="0"/>
    <w:rPr>
      <w:rFonts w:hAnsi="宋体"/>
      <w:b/>
      <w:bCs/>
      <w:sz w:val="24"/>
      <w:szCs w:val="24"/>
    </w:rPr>
  </w:style>
  <w:style w:type="paragraph" w:customStyle="1" w:styleId="711">
    <w:name w:val="4.6.2."/>
    <w:basedOn w:val="1"/>
    <w:link w:val="710"/>
    <w:uiPriority w:val="0"/>
    <w:pPr>
      <w:numPr>
        <w:ilvl w:val="0"/>
        <w:numId w:val="36"/>
      </w:numPr>
      <w:spacing w:line="360" w:lineRule="auto"/>
      <w:outlineLvl w:val="3"/>
    </w:pPr>
    <w:rPr>
      <w:rFonts w:hAnsi="宋体"/>
      <w:b/>
      <w:bCs/>
      <w:kern w:val="0"/>
      <w:sz w:val="24"/>
    </w:rPr>
  </w:style>
  <w:style w:type="character" w:customStyle="1" w:styleId="712">
    <w:name w:val="11.2. Char Char"/>
    <w:link w:val="713"/>
    <w:locked/>
    <w:uiPriority w:val="0"/>
    <w:rPr>
      <w:rFonts w:eastAsia="黑体"/>
      <w:b/>
      <w:sz w:val="24"/>
      <w:szCs w:val="24"/>
    </w:rPr>
  </w:style>
  <w:style w:type="paragraph" w:customStyle="1" w:styleId="713">
    <w:name w:val="11.2."/>
    <w:basedOn w:val="311"/>
    <w:link w:val="712"/>
    <w:uiPriority w:val="0"/>
    <w:pPr>
      <w:numPr>
        <w:ilvl w:val="0"/>
        <w:numId w:val="37"/>
      </w:numPr>
      <w:ind w:firstLineChars="0"/>
      <w:outlineLvl w:val="2"/>
    </w:pPr>
    <w:rPr>
      <w:rFonts w:eastAsia="黑体"/>
      <w:b/>
      <w:sz w:val="24"/>
    </w:rPr>
  </w:style>
  <w:style w:type="character" w:customStyle="1" w:styleId="714">
    <w:name w:val="1.7 Char Char"/>
    <w:link w:val="715"/>
    <w:locked/>
    <w:uiPriority w:val="0"/>
    <w:rPr>
      <w:rFonts w:eastAsia="黑体"/>
      <w:b/>
      <w:color w:val="000000"/>
      <w:sz w:val="24"/>
    </w:rPr>
  </w:style>
  <w:style w:type="paragraph" w:customStyle="1" w:styleId="715">
    <w:name w:val="1.7"/>
    <w:basedOn w:val="10"/>
    <w:link w:val="714"/>
    <w:uiPriority w:val="0"/>
    <w:pPr>
      <w:numPr>
        <w:ilvl w:val="0"/>
        <w:numId w:val="38"/>
      </w:numPr>
      <w:tabs>
        <w:tab w:val="left" w:pos="0"/>
      </w:tabs>
      <w:spacing w:line="360" w:lineRule="auto"/>
      <w:ind w:firstLineChars="0"/>
      <w:outlineLvl w:val="2"/>
    </w:pPr>
    <w:rPr>
      <w:rFonts w:eastAsia="黑体"/>
      <w:b/>
      <w:color w:val="000000"/>
      <w:kern w:val="0"/>
      <w:sz w:val="24"/>
      <w:szCs w:val="20"/>
    </w:rPr>
  </w:style>
  <w:style w:type="character" w:customStyle="1" w:styleId="716">
    <w:name w:val="5.1. Char Char"/>
    <w:link w:val="717"/>
    <w:locked/>
    <w:uiPriority w:val="0"/>
    <w:rPr>
      <w:rFonts w:ascii="黑体" w:hAnsi="黑体" w:eastAsia="黑体"/>
      <w:b/>
      <w:sz w:val="24"/>
      <w:lang w:bidi="ar-SA"/>
    </w:rPr>
  </w:style>
  <w:style w:type="paragraph" w:customStyle="1" w:styleId="717">
    <w:name w:val="5.1."/>
    <w:basedOn w:val="1"/>
    <w:link w:val="716"/>
    <w:uiPriority w:val="0"/>
    <w:pPr>
      <w:spacing w:line="500" w:lineRule="exact"/>
      <w:outlineLvl w:val="2"/>
    </w:pPr>
    <w:rPr>
      <w:rFonts w:ascii="黑体" w:hAnsi="黑体" w:eastAsia="黑体"/>
      <w:b/>
      <w:kern w:val="0"/>
      <w:sz w:val="24"/>
      <w:szCs w:val="20"/>
    </w:rPr>
  </w:style>
  <w:style w:type="character" w:customStyle="1" w:styleId="718">
    <w:name w:val="样式 代建人投标样本正文 + 非加粗 Char Char"/>
    <w:link w:val="719"/>
    <w:locked/>
    <w:uiPriority w:val="0"/>
    <w:rPr>
      <w:b/>
      <w:szCs w:val="21"/>
      <w:lang w:bidi="ar-SA"/>
    </w:rPr>
  </w:style>
  <w:style w:type="paragraph" w:customStyle="1" w:styleId="719">
    <w:name w:val="样式 代建人投标样本正文 + 非加粗"/>
    <w:basedOn w:val="1"/>
    <w:link w:val="718"/>
    <w:uiPriority w:val="0"/>
    <w:pPr>
      <w:spacing w:before="120" w:after="210" w:line="440" w:lineRule="exact"/>
      <w:ind w:left="2799" w:leftChars="1119" w:firstLine="398" w:firstLineChars="159"/>
    </w:pPr>
    <w:rPr>
      <w:b/>
      <w:kern w:val="0"/>
      <w:sz w:val="20"/>
      <w:szCs w:val="21"/>
    </w:rPr>
  </w:style>
  <w:style w:type="character" w:customStyle="1" w:styleId="720">
    <w:name w:val="4.1.5. Char Char"/>
    <w:link w:val="721"/>
    <w:locked/>
    <w:uiPriority w:val="0"/>
    <w:rPr>
      <w:b/>
      <w:bCs/>
      <w:sz w:val="24"/>
      <w:szCs w:val="24"/>
    </w:rPr>
  </w:style>
  <w:style w:type="paragraph" w:customStyle="1" w:styleId="721">
    <w:name w:val="4.1.5."/>
    <w:basedOn w:val="1"/>
    <w:link w:val="720"/>
    <w:uiPriority w:val="0"/>
    <w:pPr>
      <w:numPr>
        <w:ilvl w:val="0"/>
        <w:numId w:val="39"/>
      </w:numPr>
      <w:spacing w:line="360" w:lineRule="auto"/>
      <w:jc w:val="left"/>
      <w:outlineLvl w:val="3"/>
    </w:pPr>
    <w:rPr>
      <w:b/>
      <w:bCs/>
      <w:kern w:val="0"/>
      <w:sz w:val="24"/>
    </w:rPr>
  </w:style>
  <w:style w:type="character" w:customStyle="1" w:styleId="722">
    <w:name w:val="标题 14 Char Char"/>
    <w:uiPriority w:val="0"/>
    <w:rPr>
      <w:rFonts w:ascii="宋体" w:hAnsi="宋体" w:eastAsia="宋体"/>
      <w:b/>
      <w:sz w:val="24"/>
      <w:lang w:val="en-US" w:eastAsia="zh-CN" w:bidi="ar-SA"/>
    </w:rPr>
  </w:style>
  <w:style w:type="character" w:customStyle="1" w:styleId="723">
    <w:name w:val="no42"/>
    <w:uiPriority w:val="0"/>
    <w:rPr>
      <w:sz w:val="18"/>
      <w:szCs w:val="18"/>
    </w:rPr>
  </w:style>
  <w:style w:type="character" w:customStyle="1" w:styleId="724">
    <w:name w:val="16. Char Char"/>
    <w:link w:val="725"/>
    <w:locked/>
    <w:uiPriority w:val="0"/>
    <w:rPr>
      <w:rFonts w:eastAsia="黑体"/>
      <w:b/>
      <w:bCs/>
      <w:sz w:val="28"/>
      <w:szCs w:val="28"/>
    </w:rPr>
  </w:style>
  <w:style w:type="paragraph" w:customStyle="1" w:styleId="725">
    <w:name w:val="16."/>
    <w:basedOn w:val="1"/>
    <w:link w:val="724"/>
    <w:uiPriority w:val="0"/>
    <w:pPr>
      <w:numPr>
        <w:ilvl w:val="0"/>
        <w:numId w:val="40"/>
      </w:numPr>
      <w:spacing w:line="480" w:lineRule="exact"/>
      <w:outlineLvl w:val="1"/>
    </w:pPr>
    <w:rPr>
      <w:rFonts w:eastAsia="黑体"/>
      <w:b/>
      <w:bCs/>
      <w:kern w:val="0"/>
      <w:sz w:val="28"/>
      <w:szCs w:val="28"/>
    </w:rPr>
  </w:style>
  <w:style w:type="character" w:customStyle="1" w:styleId="726">
    <w:name w:val="10.2.1 Char Char"/>
    <w:basedOn w:val="697"/>
    <w:link w:val="727"/>
    <w:locked/>
    <w:uiPriority w:val="0"/>
  </w:style>
  <w:style w:type="paragraph" w:customStyle="1" w:styleId="727">
    <w:name w:val="10.2.1"/>
    <w:basedOn w:val="698"/>
    <w:link w:val="726"/>
    <w:uiPriority w:val="0"/>
    <w:pPr>
      <w:numPr>
        <w:ilvl w:val="0"/>
        <w:numId w:val="41"/>
      </w:numPr>
    </w:pPr>
  </w:style>
  <w:style w:type="character" w:customStyle="1" w:styleId="728">
    <w:name w:val="4. Char Char"/>
    <w:link w:val="729"/>
    <w:locked/>
    <w:uiPriority w:val="0"/>
    <w:rPr>
      <w:rFonts w:eastAsia="黑体"/>
      <w:b/>
      <w:bCs/>
      <w:sz w:val="28"/>
      <w:szCs w:val="28"/>
    </w:rPr>
  </w:style>
  <w:style w:type="paragraph" w:customStyle="1" w:styleId="729">
    <w:name w:val="4."/>
    <w:basedOn w:val="1"/>
    <w:link w:val="728"/>
    <w:uiPriority w:val="0"/>
    <w:pPr>
      <w:numPr>
        <w:ilvl w:val="0"/>
        <w:numId w:val="42"/>
      </w:numPr>
      <w:spacing w:line="360" w:lineRule="auto"/>
      <w:outlineLvl w:val="1"/>
    </w:pPr>
    <w:rPr>
      <w:rFonts w:eastAsia="黑体"/>
      <w:b/>
      <w:bCs/>
      <w:kern w:val="0"/>
      <w:sz w:val="28"/>
      <w:szCs w:val="28"/>
    </w:rPr>
  </w:style>
  <w:style w:type="character" w:customStyle="1" w:styleId="730">
    <w:name w:val="环科院正文 Char"/>
    <w:link w:val="731"/>
    <w:locked/>
    <w:uiPriority w:val="0"/>
    <w:rPr>
      <w:rFonts w:ascii="宋体" w:hAnsi="宋体" w:eastAsia="宋体"/>
      <w:snapToGrid w:val="0"/>
      <w:color w:val="000000"/>
      <w:sz w:val="24"/>
      <w:szCs w:val="24"/>
      <w:lang w:bidi="ar-SA"/>
    </w:rPr>
  </w:style>
  <w:style w:type="paragraph" w:customStyle="1" w:styleId="731">
    <w:name w:val="环科院正文"/>
    <w:basedOn w:val="1"/>
    <w:link w:val="730"/>
    <w:uiPriority w:val="0"/>
    <w:pPr>
      <w:snapToGrid w:val="0"/>
      <w:spacing w:line="480" w:lineRule="exact"/>
      <w:ind w:firstLine="480" w:firstLineChars="200"/>
      <w:jc w:val="left"/>
    </w:pPr>
    <w:rPr>
      <w:rFonts w:ascii="宋体" w:hAnsi="宋体"/>
      <w:snapToGrid w:val="0"/>
      <w:color w:val="000000"/>
      <w:kern w:val="0"/>
      <w:sz w:val="24"/>
    </w:rPr>
  </w:style>
  <w:style w:type="character" w:customStyle="1" w:styleId="732">
    <w:name w:val="表内容@ Char"/>
    <w:link w:val="733"/>
    <w:locked/>
    <w:uiPriority w:val="0"/>
    <w:rPr>
      <w:rFonts w:ascii="宋体" w:hAnsi="宋体" w:eastAsia="宋体"/>
      <w:szCs w:val="21"/>
      <w:lang w:bidi="ar-SA"/>
    </w:rPr>
  </w:style>
  <w:style w:type="paragraph" w:customStyle="1" w:styleId="733">
    <w:name w:val="表内容@"/>
    <w:basedOn w:val="1"/>
    <w:link w:val="732"/>
    <w:uiPriority w:val="0"/>
    <w:pPr>
      <w:adjustRightInd w:val="0"/>
      <w:jc w:val="center"/>
    </w:pPr>
    <w:rPr>
      <w:rFonts w:ascii="宋体" w:hAnsi="宋体"/>
      <w:kern w:val="0"/>
      <w:sz w:val="20"/>
      <w:szCs w:val="21"/>
    </w:rPr>
  </w:style>
  <w:style w:type="character" w:customStyle="1" w:styleId="734">
    <w:name w:val="16.2. Char Char"/>
    <w:link w:val="735"/>
    <w:locked/>
    <w:uiPriority w:val="0"/>
    <w:rPr>
      <w:rFonts w:eastAsia="黑体"/>
      <w:b/>
      <w:bCs/>
      <w:sz w:val="24"/>
      <w:szCs w:val="24"/>
    </w:rPr>
  </w:style>
  <w:style w:type="paragraph" w:customStyle="1" w:styleId="735">
    <w:name w:val="16.2."/>
    <w:basedOn w:val="1"/>
    <w:link w:val="734"/>
    <w:uiPriority w:val="0"/>
    <w:pPr>
      <w:numPr>
        <w:ilvl w:val="0"/>
        <w:numId w:val="43"/>
      </w:numPr>
      <w:spacing w:line="480" w:lineRule="exact"/>
      <w:outlineLvl w:val="2"/>
    </w:pPr>
    <w:rPr>
      <w:rFonts w:eastAsia="黑体"/>
      <w:b/>
      <w:bCs/>
      <w:kern w:val="0"/>
      <w:sz w:val="24"/>
    </w:rPr>
  </w:style>
  <w:style w:type="character" w:customStyle="1" w:styleId="736">
    <w:name w:val="4.5. Char Char"/>
    <w:link w:val="737"/>
    <w:locked/>
    <w:uiPriority w:val="0"/>
    <w:rPr>
      <w:rFonts w:eastAsia="黑体"/>
      <w:b/>
      <w:bCs/>
      <w:sz w:val="24"/>
      <w:szCs w:val="24"/>
    </w:rPr>
  </w:style>
  <w:style w:type="paragraph" w:customStyle="1" w:styleId="737">
    <w:name w:val="4.5."/>
    <w:basedOn w:val="1"/>
    <w:link w:val="736"/>
    <w:uiPriority w:val="0"/>
    <w:pPr>
      <w:numPr>
        <w:ilvl w:val="0"/>
        <w:numId w:val="44"/>
      </w:numPr>
      <w:spacing w:line="360" w:lineRule="auto"/>
      <w:jc w:val="left"/>
    </w:pPr>
    <w:rPr>
      <w:rFonts w:eastAsia="黑体"/>
      <w:b/>
      <w:bCs/>
      <w:kern w:val="0"/>
      <w:sz w:val="24"/>
    </w:rPr>
  </w:style>
  <w:style w:type="character" w:customStyle="1" w:styleId="738">
    <w:name w:val=" Char Char16"/>
    <w:uiPriority w:val="0"/>
    <w:rPr>
      <w:rFonts w:ascii="Arial" w:hAnsi="Arial" w:eastAsia="黑体"/>
      <w:b/>
      <w:kern w:val="2"/>
      <w:sz w:val="26"/>
      <w:szCs w:val="24"/>
      <w:lang w:val="en-US" w:eastAsia="zh-CN" w:bidi="ar-SA"/>
    </w:rPr>
  </w:style>
  <w:style w:type="character" w:customStyle="1" w:styleId="739">
    <w:name w:val="正文（YHY-GDB) Char Char"/>
    <w:link w:val="740"/>
    <w:uiPriority w:val="0"/>
    <w:rPr>
      <w:rFonts w:eastAsia="宋体"/>
      <w:kern w:val="2"/>
      <w:sz w:val="24"/>
      <w:szCs w:val="24"/>
      <w:lang w:val="en-US" w:eastAsia="zh-CN" w:bidi="ar-SA"/>
    </w:rPr>
  </w:style>
  <w:style w:type="paragraph" w:customStyle="1" w:styleId="740">
    <w:name w:val="正文（YHY-GDB)"/>
    <w:basedOn w:val="1"/>
    <w:link w:val="739"/>
    <w:uiPriority w:val="0"/>
    <w:pPr>
      <w:spacing w:before="156" w:beforeLines="50" w:after="156" w:afterLines="50" w:line="360" w:lineRule="auto"/>
      <w:ind w:firstLine="200" w:firstLineChars="200"/>
    </w:pPr>
    <w:rPr>
      <w:sz w:val="24"/>
    </w:rPr>
  </w:style>
  <w:style w:type="character" w:customStyle="1" w:styleId="741">
    <w:name w:val="highlight1"/>
    <w:uiPriority w:val="0"/>
    <w:rPr>
      <w:sz w:val="21"/>
      <w:szCs w:val="21"/>
    </w:rPr>
  </w:style>
  <w:style w:type="character" w:customStyle="1" w:styleId="742">
    <w:name w:val=" Char Char12"/>
    <w:uiPriority w:val="0"/>
    <w:rPr>
      <w:rFonts w:eastAsia="宋体"/>
      <w:kern w:val="2"/>
      <w:sz w:val="18"/>
      <w:szCs w:val="18"/>
      <w:lang w:val="en-US" w:eastAsia="zh-CN" w:bidi="ar-SA"/>
    </w:rPr>
  </w:style>
  <w:style w:type="character" w:customStyle="1" w:styleId="743">
    <w:name w:val="表头 Char"/>
    <w:uiPriority w:val="0"/>
    <w:rPr>
      <w:rFonts w:eastAsia="仿宋_GB2312"/>
      <w:b/>
      <w:sz w:val="30"/>
      <w:szCs w:val="24"/>
      <w:lang w:val="en-US" w:eastAsia="zh-CN" w:bidi="ar-SA"/>
    </w:rPr>
  </w:style>
  <w:style w:type="character" w:customStyle="1" w:styleId="744">
    <w:name w:val="我的正文 Char Char1"/>
    <w:uiPriority w:val="0"/>
    <w:rPr>
      <w:rFonts w:hint="eastAsia" w:ascii="宋体" w:hAnsi="宋体" w:eastAsia="宋体"/>
      <w:kern w:val="2"/>
      <w:sz w:val="24"/>
      <w:szCs w:val="24"/>
      <w:lang w:val="en-US" w:eastAsia="zh-CN" w:bidi="ar-SA"/>
    </w:rPr>
  </w:style>
  <w:style w:type="character" w:customStyle="1" w:styleId="745">
    <w:name w:val="ps141"/>
    <w:uiPriority w:val="0"/>
    <w:rPr>
      <w:color w:val="333333"/>
      <w:sz w:val="21"/>
      <w:szCs w:val="21"/>
      <w:u w:val="none"/>
    </w:rPr>
  </w:style>
  <w:style w:type="character" w:customStyle="1" w:styleId="746">
    <w:name w:val="表标题 Char Char Char Char Char"/>
    <w:uiPriority w:val="0"/>
    <w:rPr>
      <w:rFonts w:ascii="Times New Roman" w:hAnsi="Times New Roman" w:eastAsia="楷体_GB2312"/>
      <w:b/>
      <w:sz w:val="24"/>
    </w:rPr>
  </w:style>
  <w:style w:type="character" w:customStyle="1" w:styleId="747">
    <w:name w:val="5. Char Char"/>
    <w:link w:val="748"/>
    <w:locked/>
    <w:uiPriority w:val="0"/>
    <w:rPr>
      <w:rFonts w:eastAsia="黑体"/>
      <w:b/>
      <w:bCs/>
      <w:sz w:val="28"/>
      <w:szCs w:val="28"/>
    </w:rPr>
  </w:style>
  <w:style w:type="paragraph" w:customStyle="1" w:styleId="748">
    <w:name w:val="5."/>
    <w:basedOn w:val="1"/>
    <w:link w:val="747"/>
    <w:uiPriority w:val="0"/>
    <w:pPr>
      <w:numPr>
        <w:ilvl w:val="0"/>
        <w:numId w:val="45"/>
      </w:numPr>
      <w:spacing w:line="360" w:lineRule="auto"/>
      <w:outlineLvl w:val="1"/>
    </w:pPr>
    <w:rPr>
      <w:rFonts w:eastAsia="黑体"/>
      <w:b/>
      <w:bCs/>
      <w:kern w:val="0"/>
      <w:sz w:val="28"/>
      <w:szCs w:val="28"/>
    </w:rPr>
  </w:style>
  <w:style w:type="character" w:customStyle="1" w:styleId="749">
    <w:name w:val="9.6. Char Char"/>
    <w:link w:val="750"/>
    <w:locked/>
    <w:uiPriority w:val="0"/>
    <w:rPr>
      <w:rFonts w:eastAsia="黑体"/>
      <w:b/>
      <w:bCs/>
      <w:sz w:val="24"/>
      <w:szCs w:val="24"/>
    </w:rPr>
  </w:style>
  <w:style w:type="paragraph" w:customStyle="1" w:styleId="750">
    <w:name w:val="9.6."/>
    <w:basedOn w:val="181"/>
    <w:link w:val="749"/>
    <w:uiPriority w:val="0"/>
    <w:pPr>
      <w:numPr>
        <w:ilvl w:val="0"/>
        <w:numId w:val="46"/>
      </w:numPr>
    </w:pPr>
  </w:style>
  <w:style w:type="character" w:customStyle="1" w:styleId="751">
    <w:name w:val="标题2 Char Char"/>
    <w:uiPriority w:val="0"/>
    <w:rPr>
      <w:rFonts w:hint="default" w:ascii="Arial" w:hAnsi="Arial" w:eastAsia="黑体" w:cs="Arial"/>
      <w:bCs/>
      <w:color w:val="auto"/>
      <w:kern w:val="2"/>
      <w:sz w:val="30"/>
      <w:szCs w:val="32"/>
      <w:lang w:val="en-US" w:eastAsia="zh-CN" w:bidi="ar-SA"/>
    </w:rPr>
  </w:style>
  <w:style w:type="character" w:customStyle="1" w:styleId="752">
    <w:name w:val="三级标题 Char Char"/>
    <w:uiPriority w:val="0"/>
    <w:rPr>
      <w:rFonts w:ascii="宋体" w:hAnsi="宋体" w:eastAsia="宋体" w:cs="Arial Unicode MS"/>
      <w:b/>
      <w:kern w:val="2"/>
      <w:sz w:val="24"/>
      <w:szCs w:val="24"/>
      <w:lang w:val="en-US" w:eastAsia="zh-CN" w:bidi="ar-SA"/>
    </w:rPr>
  </w:style>
  <w:style w:type="character" w:customStyle="1" w:styleId="753">
    <w:name w:val="16.3. Char Char"/>
    <w:link w:val="754"/>
    <w:locked/>
    <w:uiPriority w:val="0"/>
    <w:rPr>
      <w:rFonts w:eastAsia="黑体"/>
      <w:b/>
      <w:bCs/>
      <w:sz w:val="24"/>
      <w:szCs w:val="24"/>
    </w:rPr>
  </w:style>
  <w:style w:type="paragraph" w:customStyle="1" w:styleId="754">
    <w:name w:val="16.3."/>
    <w:basedOn w:val="1"/>
    <w:link w:val="753"/>
    <w:uiPriority w:val="0"/>
    <w:pPr>
      <w:numPr>
        <w:ilvl w:val="0"/>
        <w:numId w:val="47"/>
      </w:numPr>
      <w:spacing w:line="480" w:lineRule="exact"/>
      <w:outlineLvl w:val="2"/>
    </w:pPr>
    <w:rPr>
      <w:rFonts w:eastAsia="黑体"/>
      <w:b/>
      <w:bCs/>
      <w:kern w:val="0"/>
      <w:sz w:val="24"/>
    </w:rPr>
  </w:style>
  <w:style w:type="character" w:customStyle="1" w:styleId="755">
    <w:name w:val="main1"/>
    <w:uiPriority w:val="0"/>
    <w:rPr>
      <w:rFonts w:hint="default" w:ascii="_x000B__x000C_" w:hAnsi="_x000B__x000C_"/>
      <w:color w:val="0033CC"/>
      <w:sz w:val="18"/>
      <w:szCs w:val="18"/>
    </w:rPr>
  </w:style>
  <w:style w:type="character" w:customStyle="1" w:styleId="756">
    <w:name w:val="15.2. Char Char"/>
    <w:link w:val="757"/>
    <w:locked/>
    <w:uiPriority w:val="0"/>
    <w:rPr>
      <w:rFonts w:eastAsia="黑体"/>
      <w:b/>
      <w:bCs/>
      <w:sz w:val="24"/>
      <w:szCs w:val="24"/>
    </w:rPr>
  </w:style>
  <w:style w:type="paragraph" w:customStyle="1" w:styleId="757">
    <w:name w:val="15.2."/>
    <w:basedOn w:val="1"/>
    <w:link w:val="756"/>
    <w:uiPriority w:val="0"/>
    <w:pPr>
      <w:numPr>
        <w:ilvl w:val="0"/>
        <w:numId w:val="48"/>
      </w:numPr>
      <w:spacing w:line="480" w:lineRule="exact"/>
      <w:outlineLvl w:val="2"/>
    </w:pPr>
    <w:rPr>
      <w:rFonts w:eastAsia="黑体"/>
      <w:b/>
      <w:bCs/>
      <w:kern w:val="0"/>
      <w:sz w:val="24"/>
    </w:rPr>
  </w:style>
  <w:style w:type="character" w:customStyle="1" w:styleId="758">
    <w:name w:val="style11"/>
    <w:uiPriority w:val="0"/>
    <w:rPr>
      <w:b/>
      <w:bCs/>
      <w:color w:val="041D56"/>
      <w:sz w:val="24"/>
      <w:szCs w:val="24"/>
    </w:rPr>
  </w:style>
  <w:style w:type="character" w:customStyle="1" w:styleId="759">
    <w:name w:val="bfont1"/>
    <w:uiPriority w:val="0"/>
    <w:rPr>
      <w:b/>
      <w:bCs/>
    </w:rPr>
  </w:style>
  <w:style w:type="character" w:customStyle="1" w:styleId="760">
    <w:name w:val="9.6.5. Char Char"/>
    <w:link w:val="761"/>
    <w:locked/>
    <w:uiPriority w:val="0"/>
    <w:rPr>
      <w:b/>
      <w:sz w:val="24"/>
      <w:szCs w:val="24"/>
    </w:rPr>
  </w:style>
  <w:style w:type="paragraph" w:customStyle="1" w:styleId="761">
    <w:name w:val="9.6.5."/>
    <w:basedOn w:val="311"/>
    <w:link w:val="760"/>
    <w:uiPriority w:val="0"/>
    <w:pPr>
      <w:numPr>
        <w:ilvl w:val="0"/>
        <w:numId w:val="49"/>
      </w:numPr>
      <w:ind w:firstLineChars="0"/>
      <w:outlineLvl w:val="3"/>
    </w:pPr>
    <w:rPr>
      <w:b/>
      <w:sz w:val="24"/>
    </w:rPr>
  </w:style>
  <w:style w:type="character" w:customStyle="1" w:styleId="762">
    <w:name w:val="标题 1文章 Char Char"/>
    <w:uiPriority w:val="0"/>
    <w:rPr>
      <w:rFonts w:ascii="宋体" w:hAnsi="宋体" w:cs="宋体"/>
      <w:b/>
      <w:bCs/>
      <w:sz w:val="44"/>
      <w:lang w:val="en-US"/>
    </w:rPr>
  </w:style>
  <w:style w:type="character" w:customStyle="1" w:styleId="763">
    <w:name w:val="报告 Char"/>
    <w:locked/>
    <w:uiPriority w:val="0"/>
    <w:rPr>
      <w:rFonts w:ascii="TimesNewRoman" w:hAnsi="TimesNewRoman" w:eastAsia="宋体"/>
      <w:sz w:val="24"/>
      <w:lang w:bidi="ar-SA"/>
    </w:rPr>
  </w:style>
  <w:style w:type="character" w:customStyle="1" w:styleId="764">
    <w:name w:val="样式18 Char Char"/>
    <w:link w:val="765"/>
    <w:uiPriority w:val="0"/>
    <w:rPr>
      <w:rFonts w:ascii="宋体" w:hAnsi="宋体" w:eastAsia="宋体"/>
      <w:sz w:val="28"/>
      <w:szCs w:val="28"/>
      <w:lang w:val="en-US" w:eastAsia="zh-CN" w:bidi="ar-SA"/>
    </w:rPr>
  </w:style>
  <w:style w:type="paragraph" w:customStyle="1" w:styleId="765">
    <w:name w:val="样式18"/>
    <w:basedOn w:val="1"/>
    <w:link w:val="764"/>
    <w:uiPriority w:val="0"/>
    <w:pPr>
      <w:spacing w:before="156" w:beforeLines="50" w:after="156" w:afterLines="50" w:line="360" w:lineRule="auto"/>
      <w:ind w:right="25" w:rightChars="12" w:firstLine="480" w:firstLineChars="200"/>
    </w:pPr>
    <w:rPr>
      <w:rFonts w:ascii="宋体" w:hAnsi="宋体"/>
      <w:kern w:val="0"/>
      <w:sz w:val="28"/>
      <w:szCs w:val="28"/>
    </w:rPr>
  </w:style>
  <w:style w:type="character" w:customStyle="1" w:styleId="766">
    <w:name w:val="样式 正文文字 + 首行缩进:  2 字符 行距: 最小值 24 磅 Char"/>
    <w:link w:val="767"/>
    <w:locked/>
    <w:uiPriority w:val="0"/>
    <w:rPr>
      <w:rFonts w:ascii="宋体" w:hAnsi="宋体" w:eastAsia="宋体"/>
      <w:sz w:val="24"/>
      <w:lang w:bidi="ar-SA"/>
    </w:rPr>
  </w:style>
  <w:style w:type="paragraph" w:customStyle="1" w:styleId="767">
    <w:name w:val="样式 正文文字 + 首行缩进:  2 字符 行距: 最小值 24 磅"/>
    <w:basedOn w:val="1"/>
    <w:link w:val="766"/>
    <w:uiPriority w:val="0"/>
    <w:pPr>
      <w:adjustRightInd w:val="0"/>
      <w:snapToGrid w:val="0"/>
      <w:spacing w:line="480" w:lineRule="atLeast"/>
      <w:ind w:firstLine="480" w:firstLineChars="200"/>
    </w:pPr>
    <w:rPr>
      <w:rFonts w:ascii="宋体" w:hAnsi="宋体"/>
      <w:kern w:val="0"/>
      <w:sz w:val="24"/>
      <w:szCs w:val="20"/>
    </w:rPr>
  </w:style>
  <w:style w:type="character" w:customStyle="1" w:styleId="768">
    <w:name w:val="正文 + 首行缩进:  2 字符 Char Char Char Char"/>
    <w:uiPriority w:val="0"/>
    <w:rPr>
      <w:rFonts w:ascii="宋体" w:hAnsi="宋体" w:eastAsia="宋体" w:cs="宋体"/>
      <w:kern w:val="2"/>
      <w:sz w:val="24"/>
      <w:szCs w:val="24"/>
      <w:lang w:val="en-US" w:eastAsia="zh-CN" w:bidi="ar-SA"/>
    </w:rPr>
  </w:style>
  <w:style w:type="character" w:customStyle="1" w:styleId="769">
    <w:name w:val="样式 标题 3ReHead 3 WSAh3B HeadH3..条标题1.1.1BSH-3b333rd le... Char Char"/>
    <w:link w:val="770"/>
    <w:uiPriority w:val="0"/>
    <w:rPr>
      <w:rFonts w:ascii="宋体" w:hAnsi="宋体" w:eastAsia="宋体"/>
      <w:b/>
      <w:bCs/>
      <w:snapToGrid w:val="0"/>
      <w:sz w:val="24"/>
      <w:lang w:val="en-US" w:eastAsia="zh-CN" w:bidi="ar-SA"/>
    </w:rPr>
  </w:style>
  <w:style w:type="paragraph" w:customStyle="1" w:styleId="770">
    <w:name w:val="样式 标题 3ReHead 3 WSAh3B HeadH3..条标题1.1.1BSH-3b333rd le..."/>
    <w:basedOn w:val="7"/>
    <w:link w:val="769"/>
    <w:uiPriority w:val="0"/>
    <w:pPr>
      <w:keepLines w:val="0"/>
      <w:numPr>
        <w:ilvl w:val="0"/>
        <w:numId w:val="0"/>
      </w:numPr>
      <w:tabs>
        <w:tab w:val="left" w:pos="480"/>
        <w:tab w:val="left" w:pos="720"/>
        <w:tab w:val="left" w:pos="960"/>
        <w:tab w:val="left" w:pos="1134"/>
        <w:tab w:val="left" w:pos="3600"/>
      </w:tabs>
      <w:adjustRightInd w:val="0"/>
      <w:snapToGrid w:val="0"/>
      <w:spacing w:before="240" w:beforeLines="0" w:after="156" w:afterLines="50" w:line="360" w:lineRule="auto"/>
      <w:ind w:left="2" w:hanging="2" w:hangingChars="1"/>
    </w:pPr>
    <w:rPr>
      <w:rFonts w:ascii="宋体" w:hAnsi="宋体"/>
      <w:snapToGrid w:val="0"/>
      <w:kern w:val="0"/>
      <w:sz w:val="24"/>
      <w:szCs w:val="20"/>
    </w:rPr>
  </w:style>
  <w:style w:type="character" w:customStyle="1" w:styleId="771">
    <w:name w:val="content1"/>
    <w:uiPriority w:val="0"/>
    <w:rPr>
      <w:sz w:val="21"/>
      <w:szCs w:val="21"/>
    </w:rPr>
  </w:style>
  <w:style w:type="character" w:customStyle="1" w:styleId="772">
    <w:name w:val="1-正文 Char"/>
    <w:link w:val="773"/>
    <w:locked/>
    <w:uiPriority w:val="0"/>
    <w:rPr>
      <w:rFonts w:ascii="宋体" w:hAnsi="宋体" w:eastAsia="宋体"/>
      <w:sz w:val="24"/>
      <w:szCs w:val="24"/>
      <w:lang w:bidi="ar-SA"/>
    </w:rPr>
  </w:style>
  <w:style w:type="paragraph" w:customStyle="1" w:styleId="773">
    <w:name w:val="1-正文"/>
    <w:basedOn w:val="1"/>
    <w:link w:val="772"/>
    <w:uiPriority w:val="0"/>
    <w:pPr>
      <w:spacing w:line="360" w:lineRule="auto"/>
      <w:ind w:firstLine="480" w:firstLineChars="200"/>
      <w:jc w:val="left"/>
    </w:pPr>
    <w:rPr>
      <w:rFonts w:ascii="宋体" w:hAnsi="宋体"/>
      <w:kern w:val="0"/>
      <w:sz w:val="24"/>
    </w:rPr>
  </w:style>
  <w:style w:type="character" w:customStyle="1" w:styleId="774">
    <w:name w:val="表编号 Char Char"/>
    <w:link w:val="775"/>
    <w:uiPriority w:val="0"/>
    <w:rPr>
      <w:b/>
      <w:kern w:val="2"/>
      <w:sz w:val="24"/>
      <w:szCs w:val="24"/>
      <w:lang w:bidi="ar-SA"/>
    </w:rPr>
  </w:style>
  <w:style w:type="paragraph" w:customStyle="1" w:styleId="775">
    <w:name w:val="表编号"/>
    <w:basedOn w:val="1"/>
    <w:link w:val="774"/>
    <w:uiPriority w:val="0"/>
    <w:pPr>
      <w:adjustRightInd w:val="0"/>
      <w:snapToGrid w:val="0"/>
      <w:ind w:left="2694" w:hanging="567"/>
      <w:jc w:val="center"/>
    </w:pPr>
    <w:rPr>
      <w:b/>
      <w:sz w:val="24"/>
    </w:rPr>
  </w:style>
  <w:style w:type="character" w:customStyle="1" w:styleId="776">
    <w:name w:val="表格 Char"/>
    <w:link w:val="777"/>
    <w:locked/>
    <w:uiPriority w:val="0"/>
    <w:rPr>
      <w:rFonts w:ascii="宋体" w:hAnsi="宋体" w:eastAsia="宋体"/>
      <w:b/>
      <w:kern w:val="2"/>
      <w:sz w:val="32"/>
      <w:szCs w:val="24"/>
      <w:lang w:val="en-US" w:eastAsia="zh-CN" w:bidi="ar-SA"/>
    </w:rPr>
  </w:style>
  <w:style w:type="paragraph" w:customStyle="1" w:styleId="777">
    <w:name w:val="表格"/>
    <w:basedOn w:val="10"/>
    <w:next w:val="1"/>
    <w:link w:val="776"/>
    <w:qFormat/>
    <w:uiPriority w:val="0"/>
    <w:pPr>
      <w:adjustRightInd w:val="0"/>
      <w:spacing w:after="120" w:afterLines="0"/>
      <w:ind w:firstLine="0" w:firstLineChars="0"/>
      <w:textAlignment w:val="center"/>
    </w:pPr>
    <w:rPr>
      <w:rFonts w:ascii="宋体" w:hAnsi="宋体"/>
      <w:b/>
      <w:sz w:val="32"/>
    </w:rPr>
  </w:style>
  <w:style w:type="character" w:customStyle="1" w:styleId="778">
    <w:name w:val="textcontents1"/>
    <w:uiPriority w:val="0"/>
    <w:rPr>
      <w:color w:val="000000"/>
      <w:sz w:val="21"/>
      <w:szCs w:val="21"/>
    </w:rPr>
  </w:style>
  <w:style w:type="character" w:customStyle="1" w:styleId="779">
    <w:name w:val="headline-content2"/>
    <w:basedOn w:val="96"/>
    <w:uiPriority w:val="0"/>
  </w:style>
  <w:style w:type="character" w:customStyle="1" w:styleId="780">
    <w:name w:val="正文1 Char"/>
    <w:uiPriority w:val="0"/>
    <w:rPr>
      <w:rFonts w:eastAsia="宋体"/>
      <w:kern w:val="2"/>
      <w:sz w:val="24"/>
      <w:szCs w:val="24"/>
      <w:lang w:val="en-US" w:eastAsia="zh-CN" w:bidi="ar-SA"/>
    </w:rPr>
  </w:style>
  <w:style w:type="character" w:customStyle="1" w:styleId="781">
    <w:name w:val="样式 题注 + 加粗 Char Char"/>
    <w:link w:val="782"/>
    <w:uiPriority w:val="0"/>
    <w:rPr>
      <w:rFonts w:ascii="Arial" w:hAnsi="Arial" w:eastAsia="宋体" w:cs="Arial"/>
      <w:b/>
      <w:bCs/>
      <w:spacing w:val="-10"/>
      <w:kern w:val="2"/>
      <w:sz w:val="18"/>
      <w:szCs w:val="18"/>
      <w:lang w:val="en-US" w:eastAsia="zh-CN" w:bidi="ar-SA"/>
    </w:rPr>
  </w:style>
  <w:style w:type="paragraph" w:customStyle="1" w:styleId="782">
    <w:name w:val="样式 题注 + 加粗"/>
    <w:basedOn w:val="24"/>
    <w:link w:val="781"/>
    <w:uiPriority w:val="0"/>
    <w:pPr>
      <w:snapToGrid/>
      <w:spacing w:line="240" w:lineRule="exact"/>
      <w:ind w:firstLine="0"/>
    </w:pPr>
    <w:rPr>
      <w:rFonts w:ascii="Arial" w:hAnsi="Arial" w:cs="Arial"/>
      <w:spacing w:val="-10"/>
      <w:sz w:val="18"/>
      <w:szCs w:val="18"/>
    </w:rPr>
  </w:style>
  <w:style w:type="character" w:customStyle="1" w:styleId="783">
    <w:name w:val="表格表头 Char"/>
    <w:link w:val="784"/>
    <w:locked/>
    <w:uiPriority w:val="0"/>
    <w:rPr>
      <w:rFonts w:ascii="宋体" w:hAnsi="宋体" w:eastAsia="宋体" w:cs="宋体"/>
      <w:b/>
      <w:bCs/>
      <w:snapToGrid w:val="0"/>
      <w:kern w:val="28"/>
      <w:sz w:val="21"/>
      <w:szCs w:val="21"/>
      <w:lang w:val="sq-AL" w:eastAsia="zh-CN" w:bidi="ar-SA"/>
    </w:rPr>
  </w:style>
  <w:style w:type="paragraph" w:customStyle="1" w:styleId="784">
    <w:name w:val="表格表头"/>
    <w:basedOn w:val="1"/>
    <w:link w:val="783"/>
    <w:uiPriority w:val="0"/>
    <w:pPr>
      <w:snapToGrid w:val="0"/>
      <w:spacing w:line="360" w:lineRule="auto"/>
      <w:jc w:val="center"/>
    </w:pPr>
    <w:rPr>
      <w:rFonts w:ascii="宋体" w:hAnsi="宋体" w:cs="宋体"/>
      <w:b/>
      <w:bCs/>
      <w:snapToGrid w:val="0"/>
      <w:kern w:val="28"/>
      <w:szCs w:val="21"/>
      <w:lang w:val="sq-AL"/>
    </w:rPr>
  </w:style>
  <w:style w:type="character" w:customStyle="1" w:styleId="785">
    <w:name w:val="样式 四号 右侧:  -0.26 厘米 Char Char"/>
    <w:link w:val="786"/>
    <w:uiPriority w:val="0"/>
    <w:rPr>
      <w:rFonts w:eastAsia="宋体" w:cs="宋体"/>
      <w:kern w:val="2"/>
      <w:sz w:val="28"/>
      <w:lang w:val="en-US" w:eastAsia="zh-CN" w:bidi="ar-SA"/>
    </w:rPr>
  </w:style>
  <w:style w:type="paragraph" w:customStyle="1" w:styleId="786">
    <w:name w:val="样式 四号 右侧:  -0.26 厘米"/>
    <w:basedOn w:val="1"/>
    <w:link w:val="785"/>
    <w:uiPriority w:val="0"/>
    <w:pPr>
      <w:spacing w:line="360" w:lineRule="auto"/>
      <w:ind w:firstLine="200" w:firstLineChars="200"/>
    </w:pPr>
    <w:rPr>
      <w:rFonts w:cs="宋体"/>
      <w:sz w:val="28"/>
      <w:szCs w:val="20"/>
    </w:rPr>
  </w:style>
  <w:style w:type="character" w:customStyle="1" w:styleId="787">
    <w:name w:val="标题3"/>
    <w:basedOn w:val="96"/>
    <w:uiPriority w:val="0"/>
  </w:style>
  <w:style w:type="character" w:customStyle="1" w:styleId="788">
    <w:name w:val="实德题注 Char Char"/>
    <w:uiPriority w:val="0"/>
    <w:rPr>
      <w:rFonts w:ascii="黑体" w:hAnsi="Arial" w:eastAsia="宋体" w:cs="宋体"/>
      <w:bCs/>
      <w:color w:val="000000"/>
      <w:kern w:val="2"/>
      <w:sz w:val="24"/>
      <w:szCs w:val="24"/>
      <w:lang w:val="en-US" w:eastAsia="zh-CN" w:bidi="ar-SA"/>
    </w:rPr>
  </w:style>
  <w:style w:type="character" w:customStyle="1" w:styleId="789">
    <w:name w:val="正文样式 Char Char"/>
    <w:link w:val="790"/>
    <w:uiPriority w:val="0"/>
    <w:rPr>
      <w:rFonts w:ascii="黑体" w:eastAsia="黑体"/>
      <w:spacing w:val="4"/>
      <w:kern w:val="2"/>
      <w:sz w:val="24"/>
      <w:lang w:val="en-US" w:eastAsia="zh-CN" w:bidi="ar-SA"/>
    </w:rPr>
  </w:style>
  <w:style w:type="paragraph" w:customStyle="1" w:styleId="790">
    <w:name w:val="正文样式"/>
    <w:basedOn w:val="1"/>
    <w:link w:val="789"/>
    <w:uiPriority w:val="0"/>
    <w:pPr>
      <w:tabs>
        <w:tab w:val="left" w:pos="1440"/>
        <w:tab w:val="left" w:pos="4368"/>
      </w:tabs>
      <w:spacing w:before="312" w:beforeLines="100" w:line="300" w:lineRule="auto"/>
      <w:ind w:firstLine="493"/>
    </w:pPr>
    <w:rPr>
      <w:rFonts w:ascii="黑体" w:eastAsia="黑体"/>
      <w:spacing w:val="4"/>
      <w:sz w:val="24"/>
      <w:szCs w:val="20"/>
    </w:rPr>
  </w:style>
  <w:style w:type="character" w:customStyle="1" w:styleId="791">
    <w:name w:val="图表标题 Char Char"/>
    <w:uiPriority w:val="0"/>
    <w:rPr>
      <w:rFonts w:hint="eastAsia" w:ascii="宋体" w:hAnsi="宋体" w:eastAsia="宋体" w:cs="宋体"/>
      <w:sz w:val="24"/>
      <w:szCs w:val="24"/>
    </w:rPr>
  </w:style>
  <w:style w:type="character" w:customStyle="1" w:styleId="792">
    <w:name w:val=" Char Char7"/>
    <w:uiPriority w:val="0"/>
    <w:rPr>
      <w:rFonts w:eastAsia="黑体"/>
      <w:bCs/>
      <w:color w:val="000000"/>
      <w:kern w:val="2"/>
      <w:sz w:val="24"/>
      <w:szCs w:val="24"/>
      <w:lang w:val="zh-CN" w:eastAsia="zh-CN" w:bidi="ar-SA"/>
    </w:rPr>
  </w:style>
  <w:style w:type="character" w:customStyle="1" w:styleId="793">
    <w:name w:val="style91"/>
    <w:uiPriority w:val="0"/>
    <w:rPr>
      <w:sz w:val="20"/>
      <w:szCs w:val="20"/>
    </w:rPr>
  </w:style>
  <w:style w:type="character" w:customStyle="1" w:styleId="794">
    <w:name w:val="样式 图号 + 宋体 Char"/>
    <w:basedOn w:val="347"/>
    <w:link w:val="795"/>
    <w:uiPriority w:val="0"/>
  </w:style>
  <w:style w:type="paragraph" w:customStyle="1" w:styleId="795">
    <w:name w:val="样式 图号 + 宋体"/>
    <w:basedOn w:val="348"/>
    <w:link w:val="794"/>
    <w:uiPriority w:val="0"/>
    <w:pPr>
      <w:ind w:firstLine="200" w:firstLineChars="200"/>
    </w:pPr>
  </w:style>
  <w:style w:type="character" w:customStyle="1" w:styleId="796">
    <w:name w:val="我的样式1.3.1 Char Char"/>
    <w:link w:val="797"/>
    <w:locked/>
    <w:uiPriority w:val="0"/>
    <w:rPr>
      <w:rFonts w:ascii="Calibri" w:hAnsi="Calibri" w:eastAsia="宋体"/>
      <w:b/>
      <w:bCs/>
      <w:color w:val="000000"/>
      <w:kern w:val="2"/>
      <w:sz w:val="24"/>
      <w:szCs w:val="24"/>
      <w:lang w:val="zh-CN" w:eastAsia="zh-CN" w:bidi="ar-SA"/>
    </w:rPr>
  </w:style>
  <w:style w:type="paragraph" w:customStyle="1" w:styleId="797">
    <w:name w:val="我的样式1.3.1"/>
    <w:basedOn w:val="654"/>
    <w:link w:val="796"/>
    <w:uiPriority w:val="0"/>
    <w:pPr>
      <w:keepNext/>
      <w:keepLines/>
      <w:spacing w:line="360" w:lineRule="auto"/>
      <w:outlineLvl w:val="2"/>
    </w:pPr>
    <w:rPr>
      <w:rFonts w:ascii="Calibri" w:hAnsi="Calibri"/>
      <w:bCs/>
      <w:color w:val="000000"/>
      <w:sz w:val="24"/>
      <w:lang w:val="zh-CN"/>
    </w:rPr>
  </w:style>
  <w:style w:type="character" w:customStyle="1" w:styleId="798">
    <w:name w:val="样式 首行缩进:  2 字符 Char Char"/>
    <w:link w:val="799"/>
    <w:uiPriority w:val="0"/>
    <w:rPr>
      <w:rFonts w:eastAsia="宋体" w:cs="宋体"/>
      <w:kern w:val="2"/>
      <w:sz w:val="24"/>
      <w:lang w:val="en-US" w:eastAsia="zh-CN" w:bidi="ar-SA"/>
    </w:rPr>
  </w:style>
  <w:style w:type="paragraph" w:customStyle="1" w:styleId="799">
    <w:name w:val="样式 首行缩进:  2 字符"/>
    <w:basedOn w:val="1"/>
    <w:link w:val="798"/>
    <w:uiPriority w:val="0"/>
    <w:pPr>
      <w:snapToGrid w:val="0"/>
      <w:spacing w:line="360" w:lineRule="auto"/>
      <w:ind w:firstLine="480" w:firstLineChars="200"/>
    </w:pPr>
    <w:rPr>
      <w:rFonts w:cs="宋体"/>
      <w:sz w:val="24"/>
      <w:szCs w:val="20"/>
    </w:rPr>
  </w:style>
  <w:style w:type="character" w:customStyle="1" w:styleId="800">
    <w:name w:val="样式 hb3 + Char Char"/>
    <w:uiPriority w:val="0"/>
    <w:rPr>
      <w:rFonts w:eastAsia="宋体"/>
      <w:b/>
      <w:bCs/>
      <w:sz w:val="24"/>
      <w:szCs w:val="24"/>
      <w:lang w:val="en-US" w:eastAsia="zh-CN" w:bidi="ar-SA"/>
    </w:rPr>
  </w:style>
  <w:style w:type="character" w:customStyle="1" w:styleId="801">
    <w:name w:val="5.4. Char Char"/>
    <w:link w:val="802"/>
    <w:locked/>
    <w:uiPriority w:val="0"/>
    <w:rPr>
      <w:rFonts w:eastAsia="黑体"/>
      <w:b/>
      <w:sz w:val="24"/>
    </w:rPr>
  </w:style>
  <w:style w:type="paragraph" w:customStyle="1" w:styleId="802">
    <w:name w:val="5.4."/>
    <w:basedOn w:val="47"/>
    <w:link w:val="801"/>
    <w:uiPriority w:val="0"/>
    <w:pPr>
      <w:numPr>
        <w:ilvl w:val="0"/>
        <w:numId w:val="50"/>
      </w:numPr>
      <w:adjustRightInd w:val="0"/>
      <w:spacing w:line="480" w:lineRule="exact"/>
      <w:jc w:val="left"/>
      <w:outlineLvl w:val="2"/>
    </w:pPr>
    <w:rPr>
      <w:rFonts w:ascii="Times New Roman" w:hAnsi="Times New Roman" w:eastAsia="黑体" w:cs="Times New Roman"/>
      <w:b/>
      <w:kern w:val="0"/>
      <w:sz w:val="24"/>
      <w:szCs w:val="20"/>
    </w:rPr>
  </w:style>
  <w:style w:type="character" w:customStyle="1" w:styleId="803">
    <w:name w:val="dxj表头 Char Char"/>
    <w:uiPriority w:val="0"/>
    <w:rPr>
      <w:rFonts w:eastAsia="黑体"/>
      <w:kern w:val="2"/>
      <w:sz w:val="21"/>
      <w:szCs w:val="21"/>
      <w:lang w:val="en-US" w:eastAsia="zh-CN" w:bidi="ar-SA"/>
    </w:rPr>
  </w:style>
  <w:style w:type="character" w:customStyle="1" w:styleId="804">
    <w:name w:val="样式 标题 1标题 1 CharHead 1wsa一、标题 111h1Part'DocumentH1标题一文...1 Char Char"/>
    <w:link w:val="805"/>
    <w:uiPriority w:val="0"/>
    <w:rPr>
      <w:rFonts w:eastAsia="黑体"/>
      <w:bCs/>
      <w:kern w:val="2"/>
      <w:sz w:val="32"/>
      <w:szCs w:val="24"/>
      <w:lang w:val="en-US" w:eastAsia="zh-CN" w:bidi="ar-SA"/>
    </w:rPr>
  </w:style>
  <w:style w:type="paragraph" w:customStyle="1" w:styleId="805">
    <w:name w:val="样式 标题 1标题 1 CharHead 1wsa一、标题 111h1Part'DocumentH1标题一文...1"/>
    <w:basedOn w:val="5"/>
    <w:link w:val="804"/>
    <w:uiPriority w:val="0"/>
    <w:pPr>
      <w:keepLines w:val="0"/>
      <w:spacing w:before="240" w:beforeLines="0" w:after="240" w:afterLines="0" w:line="240" w:lineRule="auto"/>
      <w:jc w:val="center"/>
    </w:pPr>
    <w:rPr>
      <w:rFonts w:eastAsia="黑体"/>
      <w:b w:val="0"/>
      <w:kern w:val="2"/>
      <w:sz w:val="32"/>
      <w:szCs w:val="24"/>
    </w:rPr>
  </w:style>
  <w:style w:type="character" w:customStyle="1" w:styleId="806">
    <w:name w:val="Heading 3 Char"/>
    <w:uiPriority w:val="0"/>
    <w:rPr>
      <w:rFonts w:eastAsia="宋体"/>
      <w:b/>
      <w:bCs/>
      <w:kern w:val="2"/>
      <w:sz w:val="24"/>
      <w:szCs w:val="32"/>
      <w:lang w:val="en-US" w:eastAsia="zh-CN" w:bidi="ar-SA"/>
    </w:rPr>
  </w:style>
  <w:style w:type="character" w:customStyle="1" w:styleId="807">
    <w:name w:val="my-class"/>
    <w:uiPriority w:val="0"/>
    <w:rPr>
      <w:sz w:val="18"/>
      <w:szCs w:val="18"/>
    </w:rPr>
  </w:style>
  <w:style w:type="character" w:customStyle="1" w:styleId="808">
    <w:name w:val="标题3 Char"/>
    <w:uiPriority w:val="0"/>
    <w:rPr>
      <w:rFonts w:ascii="宋体" w:hAnsi="宋体" w:eastAsia="宋体"/>
      <w:b/>
      <w:kern w:val="2"/>
      <w:sz w:val="28"/>
      <w:lang w:val="en-US" w:eastAsia="zh-CN" w:bidi="ar-SA"/>
    </w:rPr>
  </w:style>
  <w:style w:type="character" w:customStyle="1" w:styleId="809">
    <w:name w:val="bodyfont1"/>
    <w:uiPriority w:val="0"/>
    <w:rPr>
      <w:rFonts w:ascii="宋体" w:hAnsi="宋体" w:eastAsia="宋体" w:cs="宋体"/>
      <w:spacing w:val="360"/>
      <w:kern w:val="2"/>
      <w:sz w:val="21"/>
      <w:szCs w:val="21"/>
      <w:lang w:val="en-US" w:eastAsia="zh-CN" w:bidi="ar-SA"/>
    </w:rPr>
  </w:style>
  <w:style w:type="character" w:customStyle="1" w:styleId="810">
    <w:name w:val="文本匡小五号 Char Char Char"/>
    <w:uiPriority w:val="0"/>
    <w:rPr>
      <w:rFonts w:hint="eastAsia" w:ascii="宋体" w:hAnsi="宋体" w:eastAsia="仿宋_GB2312" w:cs="Courier New"/>
      <w:kern w:val="2"/>
      <w:sz w:val="18"/>
      <w:szCs w:val="24"/>
      <w:lang w:val="en-US" w:eastAsia="zh-CN" w:bidi="ar-SA"/>
    </w:rPr>
  </w:style>
  <w:style w:type="character" w:customStyle="1" w:styleId="811">
    <w:name w:val="Char Char16"/>
    <w:uiPriority w:val="0"/>
    <w:rPr>
      <w:rFonts w:eastAsia="宋体"/>
      <w:sz w:val="28"/>
      <w:lang w:val="en-US" w:eastAsia="zh-CN" w:bidi="ar-SA"/>
    </w:rPr>
  </w:style>
  <w:style w:type="character" w:customStyle="1" w:styleId="812">
    <w:name w:val="样式 标题1 + 黑色 Char Char"/>
    <w:link w:val="813"/>
    <w:uiPriority w:val="0"/>
    <w:rPr>
      <w:rFonts w:eastAsia="宋体"/>
      <w:b/>
      <w:color w:val="000000"/>
      <w:kern w:val="2"/>
      <w:sz w:val="21"/>
      <w:lang w:val="en-US" w:eastAsia="zh-CN" w:bidi="ar-SA"/>
    </w:rPr>
  </w:style>
  <w:style w:type="paragraph" w:customStyle="1" w:styleId="813">
    <w:name w:val="样式 标题1 + 黑色"/>
    <w:basedOn w:val="60"/>
    <w:link w:val="812"/>
    <w:uiPriority w:val="0"/>
    <w:pPr>
      <w:tabs>
        <w:tab w:val="clear" w:pos="8302"/>
      </w:tabs>
      <w:jc w:val="left"/>
    </w:pPr>
    <w:rPr>
      <w:bCs w:val="0"/>
      <w:caps w:val="0"/>
      <w:color w:val="000000"/>
      <w:sz w:val="21"/>
      <w:szCs w:val="20"/>
    </w:rPr>
  </w:style>
  <w:style w:type="character" w:customStyle="1" w:styleId="814">
    <w:name w:val="样式 题注题注 Char + 宋体 Char Char"/>
    <w:link w:val="815"/>
    <w:uiPriority w:val="0"/>
    <w:rPr>
      <w:rFonts w:ascii="宋体" w:hAnsi="宋体" w:eastAsia="宋体" w:cs="黑体"/>
      <w:kern w:val="2"/>
      <w:sz w:val="18"/>
      <w:szCs w:val="21"/>
      <w:lang w:val="en-US" w:eastAsia="zh-CN" w:bidi="ar-SA"/>
    </w:rPr>
  </w:style>
  <w:style w:type="paragraph" w:customStyle="1" w:styleId="815">
    <w:name w:val="样式 题注题注 Char + 宋体"/>
    <w:basedOn w:val="24"/>
    <w:link w:val="814"/>
    <w:uiPriority w:val="0"/>
    <w:pPr>
      <w:snapToGrid/>
      <w:spacing w:before="120" w:beforeLines="0" w:after="120" w:afterLines="0" w:line="480" w:lineRule="exact"/>
      <w:ind w:firstLine="0"/>
    </w:pPr>
    <w:rPr>
      <w:rFonts w:ascii="宋体" w:hAnsi="宋体" w:cs="黑体"/>
      <w:b w:val="0"/>
      <w:bCs w:val="0"/>
      <w:sz w:val="18"/>
      <w:szCs w:val="21"/>
    </w:rPr>
  </w:style>
  <w:style w:type="character" w:customStyle="1" w:styleId="816">
    <w:name w:val="标题 3（7.3.1） Char Char"/>
    <w:link w:val="817"/>
    <w:uiPriority w:val="0"/>
    <w:rPr>
      <w:rFonts w:eastAsia="黑体" w:cs="宋体"/>
      <w:b/>
      <w:bCs/>
      <w:kern w:val="2"/>
      <w:sz w:val="30"/>
      <w:szCs w:val="28"/>
      <w:lang w:val="en-US" w:eastAsia="zh-CN" w:bidi="ar-SA"/>
    </w:rPr>
  </w:style>
  <w:style w:type="paragraph" w:customStyle="1" w:styleId="817">
    <w:name w:val="标题 3（7.3.1）"/>
    <w:basedOn w:val="7"/>
    <w:link w:val="816"/>
    <w:uiPriority w:val="0"/>
    <w:pPr>
      <w:adjustRightInd w:val="0"/>
      <w:snapToGrid w:val="0"/>
      <w:spacing w:before="0" w:beforeLines="0" w:after="0" w:afterLines="0" w:line="360" w:lineRule="auto"/>
      <w:jc w:val="left"/>
    </w:pPr>
    <w:rPr>
      <w:rFonts w:eastAsia="黑体" w:cs="宋体"/>
      <w:sz w:val="30"/>
      <w:szCs w:val="28"/>
    </w:rPr>
  </w:style>
  <w:style w:type="character" w:customStyle="1" w:styleId="818">
    <w:name w:val="样式 标题 1 + 黑体 小三 非加粗 Char"/>
    <w:link w:val="819"/>
    <w:uiPriority w:val="0"/>
    <w:rPr>
      <w:rFonts w:ascii="黑体" w:hAnsi="黑体" w:eastAsia="黑体"/>
      <w:kern w:val="44"/>
      <w:sz w:val="30"/>
      <w:szCs w:val="44"/>
      <w:lang w:val="en-US" w:eastAsia="zh-CN" w:bidi="ar-SA"/>
    </w:rPr>
  </w:style>
  <w:style w:type="paragraph" w:customStyle="1" w:styleId="819">
    <w:name w:val="样式 标题 1 + 黑体 小三 非加粗"/>
    <w:basedOn w:val="5"/>
    <w:link w:val="818"/>
    <w:uiPriority w:val="0"/>
    <w:pPr>
      <w:tabs>
        <w:tab w:val="left" w:pos="360"/>
      </w:tabs>
      <w:spacing w:line="576" w:lineRule="auto"/>
      <w:ind w:left="360" w:hanging="360"/>
    </w:pPr>
    <w:rPr>
      <w:rFonts w:ascii="黑体" w:hAnsi="黑体" w:eastAsia="黑体"/>
      <w:b w:val="0"/>
      <w:bCs w:val="0"/>
      <w:sz w:val="30"/>
    </w:rPr>
  </w:style>
  <w:style w:type="character" w:customStyle="1" w:styleId="820">
    <w:name w:val="Char Char Char2"/>
    <w:uiPriority w:val="0"/>
    <w:rPr>
      <w:rFonts w:eastAsia="宋体"/>
      <w:kern w:val="2"/>
      <w:sz w:val="18"/>
      <w:szCs w:val="18"/>
      <w:lang w:val="en-US" w:eastAsia="zh-CN" w:bidi="ar-SA"/>
    </w:rPr>
  </w:style>
  <w:style w:type="character" w:customStyle="1" w:styleId="821">
    <w:name w:val="Footer-Even Char1"/>
    <w:aliases w:val="fo Char1,footer odd Char1,odd Char1,footer Final Char,123YJ Char Char1"/>
    <w:uiPriority w:val="0"/>
    <w:rPr>
      <w:rFonts w:eastAsia="宋体"/>
      <w:kern w:val="2"/>
      <w:sz w:val="18"/>
      <w:szCs w:val="18"/>
      <w:lang w:val="en-US" w:eastAsia="zh-CN" w:bidi="ar-SA"/>
    </w:rPr>
  </w:style>
  <w:style w:type="character" w:customStyle="1" w:styleId="822">
    <w:name w:val="org_name2"/>
    <w:uiPriority w:val="0"/>
    <w:rPr>
      <w:sz w:val="18"/>
      <w:szCs w:val="18"/>
    </w:rPr>
  </w:style>
  <w:style w:type="character" w:customStyle="1" w:styleId="823">
    <w:name w:val="文本 Char Char"/>
    <w:uiPriority w:val="0"/>
    <w:rPr>
      <w:rFonts w:ascii="宋体" w:hAnsi="宋体" w:eastAsia="宋体"/>
      <w:snapToGrid w:val="0"/>
      <w:sz w:val="24"/>
      <w:szCs w:val="24"/>
      <w:lang w:bidi="ar-SA"/>
    </w:rPr>
  </w:style>
  <w:style w:type="character" w:customStyle="1" w:styleId="824">
    <w:name w:val="我的正文 Char Char"/>
    <w:uiPriority w:val="0"/>
    <w:rPr>
      <w:rFonts w:ascii="宋体" w:hAnsi="宋体" w:eastAsia="宋体" w:cs="宋体"/>
      <w:kern w:val="2"/>
      <w:sz w:val="28"/>
      <w:szCs w:val="24"/>
      <w:lang w:val="en-US" w:eastAsia="zh-CN" w:bidi="ar-SA"/>
    </w:rPr>
  </w:style>
  <w:style w:type="character" w:customStyle="1" w:styleId="825">
    <w:name w:val="apple-converted-space"/>
    <w:basedOn w:val="96"/>
    <w:uiPriority w:val="0"/>
  </w:style>
  <w:style w:type="character" w:customStyle="1" w:styleId="826">
    <w:name w:val="样1 Char"/>
    <w:link w:val="827"/>
    <w:locked/>
    <w:uiPriority w:val="0"/>
    <w:rPr>
      <w:rFonts w:eastAsia="宋体"/>
      <w:sz w:val="24"/>
      <w:lang w:val="en-US" w:eastAsia="zh-CN" w:bidi="ar-SA"/>
    </w:rPr>
  </w:style>
  <w:style w:type="paragraph" w:customStyle="1" w:styleId="827">
    <w:name w:val="样1"/>
    <w:basedOn w:val="1"/>
    <w:link w:val="826"/>
    <w:uiPriority w:val="0"/>
    <w:pPr>
      <w:autoSpaceDE w:val="0"/>
      <w:autoSpaceDN w:val="0"/>
      <w:adjustRightInd w:val="0"/>
      <w:spacing w:line="360" w:lineRule="auto"/>
      <w:ind w:right="232"/>
      <w:jc w:val="center"/>
      <w:textAlignment w:val="bottom"/>
    </w:pPr>
    <w:rPr>
      <w:kern w:val="0"/>
      <w:sz w:val="24"/>
      <w:szCs w:val="20"/>
    </w:rPr>
  </w:style>
  <w:style w:type="character" w:customStyle="1" w:styleId="828">
    <w:name w:val="hx21"/>
    <w:uiPriority w:val="0"/>
    <w:rPr>
      <w:sz w:val="18"/>
      <w:szCs w:val="18"/>
    </w:rPr>
  </w:style>
  <w:style w:type="character" w:customStyle="1" w:styleId="829">
    <w:name w:val="CJ 文本111 Char Char"/>
    <w:link w:val="830"/>
    <w:uiPriority w:val="0"/>
    <w:rPr>
      <w:rFonts w:eastAsia="宋体"/>
      <w:kern w:val="2"/>
      <w:sz w:val="24"/>
      <w:lang w:val="en-US" w:eastAsia="zh-CN" w:bidi="ar-SA"/>
    </w:rPr>
  </w:style>
  <w:style w:type="paragraph" w:customStyle="1" w:styleId="830">
    <w:name w:val="CJ 文本111"/>
    <w:basedOn w:val="36"/>
    <w:link w:val="829"/>
    <w:uiPriority w:val="0"/>
    <w:pPr>
      <w:spacing w:line="360" w:lineRule="auto"/>
      <w:ind w:firstLine="200"/>
      <w:jc w:val="left"/>
    </w:pPr>
    <w:rPr>
      <w:rFonts w:ascii="Times New Roman" w:hAnsi="Times New Roman"/>
      <w:szCs w:val="20"/>
    </w:rPr>
  </w:style>
  <w:style w:type="character" w:customStyle="1" w:styleId="831">
    <w:name w:val="题注 Char1"/>
    <w:aliases w:val="题注 Char Char"/>
    <w:uiPriority w:val="0"/>
    <w:rPr>
      <w:rFonts w:ascii="宋体" w:hAnsi="宋体" w:eastAsia="宋体" w:cs="Arial"/>
      <w:kern w:val="2"/>
      <w:sz w:val="24"/>
      <w:szCs w:val="32"/>
      <w:lang w:val="en-US" w:eastAsia="zh-CN" w:bidi="ar-SA"/>
    </w:rPr>
  </w:style>
  <w:style w:type="character" w:customStyle="1" w:styleId="832">
    <w:name w:val="p14"/>
    <w:basedOn w:val="96"/>
    <w:uiPriority w:val="0"/>
  </w:style>
  <w:style w:type="character" w:customStyle="1" w:styleId="833">
    <w:name w:val="4.3. Char Char"/>
    <w:link w:val="834"/>
    <w:locked/>
    <w:uiPriority w:val="0"/>
    <w:rPr>
      <w:rFonts w:eastAsia="黑体"/>
      <w:b/>
      <w:bCs/>
      <w:sz w:val="24"/>
      <w:szCs w:val="24"/>
    </w:rPr>
  </w:style>
  <w:style w:type="paragraph" w:customStyle="1" w:styleId="834">
    <w:name w:val="4.3."/>
    <w:basedOn w:val="1"/>
    <w:link w:val="833"/>
    <w:uiPriority w:val="0"/>
    <w:pPr>
      <w:numPr>
        <w:ilvl w:val="0"/>
        <w:numId w:val="51"/>
      </w:numPr>
      <w:spacing w:line="360" w:lineRule="auto"/>
      <w:outlineLvl w:val="2"/>
    </w:pPr>
    <w:rPr>
      <w:rFonts w:eastAsia="黑体"/>
      <w:b/>
      <w:bCs/>
      <w:kern w:val="0"/>
      <w:sz w:val="24"/>
    </w:rPr>
  </w:style>
  <w:style w:type="character" w:customStyle="1" w:styleId="835">
    <w:name w:val="Char Char9"/>
    <w:uiPriority w:val="0"/>
    <w:rPr>
      <w:rFonts w:hint="eastAsia" w:ascii="宋体" w:hAnsi="宋体" w:eastAsia="宋体"/>
      <w:kern w:val="2"/>
      <w:sz w:val="18"/>
      <w:szCs w:val="18"/>
      <w:lang w:val="en-US" w:eastAsia="zh-CN" w:bidi="ar-SA"/>
    </w:rPr>
  </w:style>
  <w:style w:type="character" w:customStyle="1" w:styleId="836">
    <w:name w:val="10. Char Char"/>
    <w:link w:val="837"/>
    <w:locked/>
    <w:uiPriority w:val="0"/>
    <w:rPr>
      <w:rFonts w:eastAsia="黑体"/>
      <w:b/>
      <w:sz w:val="28"/>
      <w:szCs w:val="28"/>
    </w:rPr>
  </w:style>
  <w:style w:type="paragraph" w:customStyle="1" w:styleId="837">
    <w:name w:val="10."/>
    <w:basedOn w:val="311"/>
    <w:link w:val="836"/>
    <w:uiPriority w:val="0"/>
    <w:pPr>
      <w:numPr>
        <w:ilvl w:val="0"/>
        <w:numId w:val="52"/>
      </w:numPr>
      <w:ind w:firstLine="0" w:firstLineChars="0"/>
      <w:outlineLvl w:val="1"/>
    </w:pPr>
    <w:rPr>
      <w:rFonts w:eastAsia="黑体"/>
      <w:b/>
      <w:szCs w:val="28"/>
    </w:rPr>
  </w:style>
  <w:style w:type="character" w:customStyle="1" w:styleId="838">
    <w:name w:val="样式 宋体 四号1"/>
    <w:uiPriority w:val="0"/>
    <w:rPr>
      <w:rFonts w:ascii="Times New Roman" w:hAnsi="Times New Roman"/>
      <w:sz w:val="28"/>
    </w:rPr>
  </w:style>
  <w:style w:type="character" w:customStyle="1" w:styleId="839">
    <w:name w:val="contenttext11"/>
    <w:uiPriority w:val="0"/>
    <w:rPr>
      <w:rFonts w:hint="eastAsia" w:ascii="宋体" w:hAnsi="宋体" w:eastAsia="宋体"/>
      <w:color w:val="000000"/>
      <w:sz w:val="24"/>
      <w:szCs w:val="24"/>
    </w:rPr>
  </w:style>
  <w:style w:type="character" w:customStyle="1" w:styleId="840">
    <w:name w:val="样式 正文文本缩进 3 + 行距: 1.5 倍行距 Char Char"/>
    <w:link w:val="841"/>
    <w:uiPriority w:val="0"/>
    <w:rPr>
      <w:rFonts w:ascii="宋体" w:eastAsia="宋体" w:cs="宋体"/>
      <w:kern w:val="2"/>
      <w:sz w:val="28"/>
      <w:lang w:val="en-US" w:eastAsia="zh-CN" w:bidi="ar-SA"/>
    </w:rPr>
  </w:style>
  <w:style w:type="paragraph" w:customStyle="1" w:styleId="841">
    <w:name w:val="样式 正文文本缩进 3 + 行距: 1.5 倍行距"/>
    <w:basedOn w:val="71"/>
    <w:link w:val="840"/>
    <w:uiPriority w:val="0"/>
    <w:pPr>
      <w:ind w:firstLine="200"/>
    </w:pPr>
    <w:rPr>
      <w:rFonts w:hAnsi="Times New Roman" w:cs="宋体"/>
      <w:spacing w:val="0"/>
      <w:sz w:val="28"/>
      <w:szCs w:val="20"/>
    </w:rPr>
  </w:style>
  <w:style w:type="character" w:customStyle="1" w:styleId="842">
    <w:name w:val="标题4 Char1"/>
    <w:aliases w:val="正文不缩进 Char,s4 Char1,正文2 Char,正文缩进 Char Char,表格标题 Char,正文（首行缩进两字） Char Char Char Char Char Char Char Char,Standardeinz Char,Standardeinz1 Char,首行缩进两字 Char,正文缩进1 Char,特点标题 Char,Body Text 2 Char,正文文字 21 Char,s4 Char Char,表正文 Char,正文非缩进 Char,段1 Ch"/>
    <w:uiPriority w:val="0"/>
    <w:rPr>
      <w:rFonts w:eastAsia="宋体"/>
      <w:kern w:val="2"/>
      <w:sz w:val="21"/>
      <w:szCs w:val="24"/>
      <w:lang w:val="en-US" w:eastAsia="zh-CN" w:bidi="ar-SA"/>
    </w:rPr>
  </w:style>
  <w:style w:type="character" w:customStyle="1" w:styleId="843">
    <w:name w:val="样式 标题 2H2SeHead wsa21标题 1.1. + Times New Roman Char Char"/>
    <w:link w:val="844"/>
    <w:uiPriority w:val="0"/>
    <w:rPr>
      <w:rFonts w:eastAsia="宋体"/>
      <w:b/>
      <w:bCs/>
      <w:sz w:val="30"/>
      <w:szCs w:val="30"/>
      <w:lang w:val="en-US" w:eastAsia="zh-CN" w:bidi="ar-SA"/>
    </w:rPr>
  </w:style>
  <w:style w:type="paragraph" w:customStyle="1" w:styleId="844">
    <w:name w:val="样式 标题 2H2SeHead wsa21标题 1.1. + Times New Roman"/>
    <w:basedOn w:val="6"/>
    <w:link w:val="843"/>
    <w:uiPriority w:val="0"/>
    <w:pPr>
      <w:keepNext w:val="0"/>
      <w:keepLines w:val="0"/>
      <w:adjustRightInd w:val="0"/>
      <w:snapToGrid w:val="0"/>
      <w:spacing w:before="312" w:beforeLines="100" w:after="156" w:afterLines="50" w:line="360" w:lineRule="auto"/>
    </w:pPr>
    <w:rPr>
      <w:rFonts w:ascii="Times New Roman" w:hAnsi="Times New Roman" w:eastAsia="宋体"/>
      <w:kern w:val="0"/>
      <w:sz w:val="30"/>
      <w:szCs w:val="30"/>
    </w:rPr>
  </w:style>
  <w:style w:type="character" w:customStyle="1" w:styleId="845">
    <w:name w:val="ico-jiang"/>
    <w:uiPriority w:val="0"/>
    <w:rPr>
      <w:sz w:val="18"/>
      <w:szCs w:val="18"/>
    </w:rPr>
  </w:style>
  <w:style w:type="character" w:customStyle="1" w:styleId="846">
    <w:name w:val="top-icon"/>
    <w:uiPriority w:val="0"/>
    <w:rPr>
      <w:sz w:val="18"/>
      <w:szCs w:val="18"/>
    </w:rPr>
  </w:style>
  <w:style w:type="character" w:customStyle="1" w:styleId="847">
    <w:name w:val="font2"/>
    <w:uiPriority w:val="0"/>
    <w:rPr>
      <w:color w:val="336633"/>
      <w:sz w:val="21"/>
    </w:rPr>
  </w:style>
  <w:style w:type="character" w:customStyle="1" w:styleId="848">
    <w:name w:val="font11"/>
    <w:basedOn w:val="96"/>
    <w:uiPriority w:val="0"/>
    <w:rPr>
      <w:rFonts w:hint="default" w:ascii="Arial" w:hAnsi="Arial" w:cs="Arial"/>
      <w:color w:val="000000"/>
      <w:sz w:val="24"/>
      <w:szCs w:val="24"/>
      <w:u w:val="none"/>
    </w:rPr>
  </w:style>
  <w:style w:type="character" w:customStyle="1" w:styleId="849">
    <w:name w:val="样式 宋体 小四"/>
    <w:uiPriority w:val="0"/>
    <w:rPr>
      <w:rFonts w:ascii="宋体" w:hAnsi="宋体"/>
      <w:sz w:val="24"/>
    </w:rPr>
  </w:style>
  <w:style w:type="character" w:customStyle="1" w:styleId="850">
    <w:name w:val="My table tailer Char"/>
    <w:uiPriority w:val="0"/>
    <w:rPr>
      <w:rFonts w:ascii="宋体" w:hAnsi="宋体" w:eastAsia="宋体" w:cs="宋体"/>
      <w:spacing w:val="-1"/>
      <w:kern w:val="2"/>
      <w:sz w:val="21"/>
      <w:szCs w:val="21"/>
      <w:lang w:val="en-US" w:bidi="ar-SA"/>
    </w:rPr>
  </w:style>
  <w:style w:type="character" w:customStyle="1" w:styleId="851">
    <w:name w:val="样式 正文 + 首行缩进:  2 字符 + 宋体 四号 Char Char"/>
    <w:uiPriority w:val="0"/>
    <w:rPr>
      <w:rFonts w:ascii="宋体" w:hAnsi="宋体" w:eastAsia="宋体" w:cs="宋体"/>
      <w:kern w:val="2"/>
      <w:sz w:val="28"/>
      <w:szCs w:val="24"/>
      <w:lang w:val="en-US" w:eastAsia="zh-CN" w:bidi="ar-SA"/>
    </w:rPr>
  </w:style>
  <w:style w:type="character" w:customStyle="1" w:styleId="852">
    <w:name w:val="二级标题 Char Char"/>
    <w:uiPriority w:val="0"/>
    <w:rPr>
      <w:rFonts w:ascii="黑体" w:hAnsi="Arial" w:eastAsia="黑体"/>
      <w:b/>
      <w:bCs/>
      <w:kern w:val="2"/>
      <w:sz w:val="28"/>
      <w:szCs w:val="28"/>
      <w:lang w:val="en-US" w:eastAsia="zh-CN" w:bidi="ar-SA"/>
    </w:rPr>
  </w:style>
  <w:style w:type="character" w:customStyle="1" w:styleId="853">
    <w:name w:val="报告正文 Char1"/>
    <w:uiPriority w:val="0"/>
    <w:rPr>
      <w:rFonts w:hint="eastAsia" w:ascii="仿宋_GB2312" w:eastAsia="仿宋_GB2312"/>
      <w:spacing w:val="-2"/>
      <w:kern w:val="2"/>
      <w:sz w:val="24"/>
    </w:rPr>
  </w:style>
  <w:style w:type="character" w:customStyle="1" w:styleId="854">
    <w:name w:val="mainfirst1"/>
    <w:uiPriority w:val="0"/>
    <w:rPr>
      <w:rFonts w:hint="eastAsia" w:ascii="宋体" w:hAnsi="宋体" w:eastAsia="黑体" w:cs="宋体"/>
      <w:b/>
      <w:bCs/>
      <w:color w:val="FF0000"/>
      <w:kern w:val="2"/>
      <w:sz w:val="36"/>
      <w:szCs w:val="36"/>
      <w:lang w:val="en-US" w:eastAsia="zh-CN" w:bidi="ar-SA"/>
    </w:rPr>
  </w:style>
  <w:style w:type="character" w:customStyle="1" w:styleId="855">
    <w:name w:val="标题 4 Char Char1"/>
    <w:uiPriority w:val="0"/>
    <w:rPr>
      <w:rFonts w:hint="eastAsia" w:ascii="黑体" w:hAnsi="黑体" w:eastAsia="黑体"/>
      <w:bCs/>
      <w:kern w:val="2"/>
      <w:sz w:val="24"/>
      <w:szCs w:val="24"/>
      <w:lang w:val="en-US" w:eastAsia="zh-CN" w:bidi="ar-SA"/>
    </w:rPr>
  </w:style>
  <w:style w:type="character" w:customStyle="1" w:styleId="856">
    <w:name w:val="样式 (西文) 宋体 字距调整小五 加宽量  0.2 磅"/>
    <w:uiPriority w:val="0"/>
    <w:rPr>
      <w:rFonts w:ascii="楷体_GB2312" w:hAnsi="宋体" w:eastAsia="楷体_GB2312"/>
      <w:color w:val="auto"/>
      <w:spacing w:val="4"/>
      <w:kern w:val="18"/>
      <w:sz w:val="24"/>
      <w:szCs w:val="24"/>
    </w:rPr>
  </w:style>
  <w:style w:type="character" w:customStyle="1" w:styleId="857">
    <w:name w:val="neiyetest1"/>
    <w:uiPriority w:val="0"/>
    <w:rPr>
      <w:rFonts w:hint="default" w:ascii="ˎ̥" w:hAnsi="ˎ̥"/>
      <w:color w:val="000000"/>
      <w:sz w:val="20"/>
      <w:szCs w:val="20"/>
    </w:rPr>
  </w:style>
  <w:style w:type="character" w:customStyle="1" w:styleId="858">
    <w:name w:val="样式6 Char Char"/>
    <w:link w:val="859"/>
    <w:uiPriority w:val="0"/>
    <w:rPr>
      <w:rFonts w:ascii="宋体" w:eastAsia="宋体"/>
      <w:b/>
      <w:bCs/>
      <w:kern w:val="2"/>
      <w:sz w:val="24"/>
      <w:szCs w:val="28"/>
      <w:lang w:val="en-US" w:eastAsia="zh-CN" w:bidi="ar-SA"/>
    </w:rPr>
  </w:style>
  <w:style w:type="paragraph" w:customStyle="1" w:styleId="859">
    <w:name w:val="样式6"/>
    <w:basedOn w:val="8"/>
    <w:link w:val="858"/>
    <w:uiPriority w:val="0"/>
    <w:pPr>
      <w:spacing w:before="100" w:beforeLines="0" w:after="100" w:afterLines="0" w:line="377" w:lineRule="auto"/>
    </w:pPr>
    <w:rPr>
      <w:rFonts w:ascii="宋体"/>
      <w:bCs/>
      <w:sz w:val="24"/>
      <w:szCs w:val="28"/>
    </w:rPr>
  </w:style>
  <w:style w:type="character" w:customStyle="1" w:styleId="860">
    <w:name w:val="样式3 Char Char"/>
    <w:link w:val="861"/>
    <w:uiPriority w:val="0"/>
    <w:rPr>
      <w:rFonts w:ascii="宋体" w:eastAsia="宋体"/>
      <w:kern w:val="2"/>
      <w:sz w:val="21"/>
      <w:szCs w:val="28"/>
      <w:lang w:val="en-US" w:eastAsia="zh-CN" w:bidi="ar-SA"/>
    </w:rPr>
  </w:style>
  <w:style w:type="paragraph" w:customStyle="1" w:styleId="861">
    <w:name w:val="样式3"/>
    <w:basedOn w:val="67"/>
    <w:link w:val="860"/>
    <w:uiPriority w:val="0"/>
    <w:pPr>
      <w:adjustRightInd w:val="0"/>
      <w:snapToGrid w:val="0"/>
      <w:spacing w:line="400" w:lineRule="exact"/>
      <w:ind w:left="0" w:firstLine="0" w:firstLineChars="0"/>
      <w:jc w:val="center"/>
    </w:pPr>
    <w:rPr>
      <w:rFonts w:ascii="宋体"/>
      <w:szCs w:val="28"/>
    </w:rPr>
  </w:style>
  <w:style w:type="character" w:customStyle="1" w:styleId="862">
    <w:name w:val="正文1"/>
    <w:uiPriority w:val="0"/>
    <w:rPr>
      <w:rFonts w:hint="eastAsia" w:ascii="宋体" w:hAnsi="宋体" w:eastAsia="宋体"/>
      <w:sz w:val="22"/>
      <w:szCs w:val="22"/>
    </w:rPr>
  </w:style>
  <w:style w:type="character" w:customStyle="1" w:styleId="863">
    <w:name w:val="样式 标题 2SeHead wsa2ChapterChapter TitleH21标题 1.1节1.1标题 2... Char Char"/>
    <w:link w:val="864"/>
    <w:uiPriority w:val="0"/>
    <w:rPr>
      <w:rFonts w:ascii="宋体" w:hAnsi="Arial" w:eastAsia="宋体" w:cs="宋体"/>
      <w:b/>
      <w:bCs/>
      <w:snapToGrid w:val="0"/>
      <w:kern w:val="2"/>
      <w:sz w:val="28"/>
      <w:szCs w:val="32"/>
      <w:lang w:val="en-US" w:eastAsia="zh-CN" w:bidi="ar-SA"/>
    </w:rPr>
  </w:style>
  <w:style w:type="paragraph" w:customStyle="1" w:styleId="864">
    <w:name w:val="样式 标题 2SeHead wsa2ChapterChapter TitleH21标题 1.1节1.1标题 2..."/>
    <w:basedOn w:val="6"/>
    <w:link w:val="863"/>
    <w:uiPriority w:val="0"/>
    <w:pPr>
      <w:widowControl/>
      <w:tabs>
        <w:tab w:val="left" w:pos="540"/>
        <w:tab w:val="left" w:pos="720"/>
        <w:tab w:val="left" w:pos="1380"/>
      </w:tabs>
      <w:adjustRightInd w:val="0"/>
      <w:spacing w:before="200" w:beforeLines="0" w:after="0" w:afterLines="0" w:line="360" w:lineRule="auto"/>
      <w:ind w:hanging="960"/>
    </w:pPr>
    <w:rPr>
      <w:rFonts w:ascii="宋体" w:eastAsia="宋体" w:cs="宋体"/>
      <w:snapToGrid w:val="0"/>
      <w:sz w:val="28"/>
    </w:rPr>
  </w:style>
  <w:style w:type="character" w:customStyle="1" w:styleId="865">
    <w:name w:val=" Char Char2"/>
    <w:aliases w:val="普通文字 Char Char3,普通文字 Char Char Char Char3,普通文字 Char Char Char Char Char Char Char Char Char2,普通文字 Char Char Char Char Char Char Char Char3,普通文字 Char Char Char Char Char2,普通文字 Char Char Char2,正文文字缩进 31 Char1,普通文字 Char3,表内文字 Char1"/>
    <w:uiPriority w:val="0"/>
    <w:rPr>
      <w:rFonts w:ascii="宋体" w:hAnsi="Courier New" w:eastAsia="宋体" w:cs="Courier New"/>
      <w:kern w:val="2"/>
      <w:sz w:val="21"/>
      <w:szCs w:val="21"/>
      <w:lang w:val="en-US" w:eastAsia="zh-CN" w:bidi="ar-SA"/>
    </w:rPr>
  </w:style>
  <w:style w:type="character" w:customStyle="1" w:styleId="866">
    <w:name w:val="样式13 Char Char"/>
    <w:link w:val="867"/>
    <w:uiPriority w:val="0"/>
    <w:rPr>
      <w:rFonts w:eastAsia="黑体"/>
      <w:sz w:val="24"/>
      <w:szCs w:val="32"/>
    </w:rPr>
  </w:style>
  <w:style w:type="paragraph" w:customStyle="1" w:styleId="867">
    <w:name w:val="样式13"/>
    <w:basedOn w:val="868"/>
    <w:link w:val="866"/>
    <w:uiPriority w:val="0"/>
    <w:pPr>
      <w:tabs>
        <w:tab w:val="left" w:pos="1260"/>
      </w:tabs>
      <w:spacing w:beforeLines="0" w:afterLines="0"/>
      <w:ind w:left="1260" w:hanging="420"/>
    </w:pPr>
  </w:style>
  <w:style w:type="paragraph" w:customStyle="1" w:styleId="868">
    <w:name w:val="样式21"/>
    <w:basedOn w:val="1"/>
    <w:uiPriority w:val="0"/>
    <w:pPr>
      <w:keepNext/>
      <w:keepLines/>
      <w:tabs>
        <w:tab w:val="left" w:pos="360"/>
        <w:tab w:val="left" w:pos="540"/>
        <w:tab w:val="left" w:pos="1605"/>
      </w:tabs>
      <w:spacing w:before="156" w:beforeLines="50" w:after="156" w:afterLines="50" w:line="360" w:lineRule="auto"/>
      <w:ind w:left="1234" w:hanging="709"/>
      <w:outlineLvl w:val="2"/>
    </w:pPr>
    <w:rPr>
      <w:rFonts w:eastAsia="黑体"/>
      <w:kern w:val="0"/>
      <w:sz w:val="24"/>
      <w:szCs w:val="32"/>
      <w:lang/>
    </w:rPr>
  </w:style>
  <w:style w:type="character" w:customStyle="1" w:styleId="869">
    <w:name w:val="123YJ Char Char"/>
    <w:uiPriority w:val="0"/>
    <w:rPr>
      <w:rFonts w:eastAsia="宋体"/>
      <w:kern w:val="2"/>
      <w:sz w:val="18"/>
      <w:lang w:val="en-US" w:eastAsia="zh-CN" w:bidi="ar-SA"/>
    </w:rPr>
  </w:style>
  <w:style w:type="character" w:customStyle="1" w:styleId="870">
    <w:name w:val="文章正文 Char1"/>
    <w:uiPriority w:val="0"/>
    <w:rPr>
      <w:rFonts w:ascii="宋体" w:hAnsi="宋体" w:eastAsia="宋体"/>
      <w:kern w:val="2"/>
      <w:sz w:val="24"/>
      <w:szCs w:val="24"/>
      <w:lang w:val="en-US" w:eastAsia="zh-CN" w:bidi="ar-SA"/>
    </w:rPr>
  </w:style>
  <w:style w:type="character" w:customStyle="1" w:styleId="871">
    <w:name w:val="text11"/>
    <w:basedOn w:val="96"/>
    <w:uiPriority w:val="0"/>
  </w:style>
  <w:style w:type="character" w:customStyle="1" w:styleId="872">
    <w:name w:val="5文章(治) Char1"/>
    <w:uiPriority w:val="0"/>
    <w:rPr>
      <w:rFonts w:ascii="Arial" w:hAnsi="Arial" w:cs="Tahoma"/>
      <w:snapToGrid w:val="0"/>
      <w:sz w:val="24"/>
      <w:szCs w:val="21"/>
    </w:rPr>
  </w:style>
  <w:style w:type="character" w:customStyle="1" w:styleId="873">
    <w:name w:val="魏秀珍报告正文 Char Char"/>
    <w:link w:val="874"/>
    <w:uiPriority w:val="0"/>
    <w:rPr>
      <w:rFonts w:hAnsi="宋体" w:eastAsia="宋体"/>
      <w:kern w:val="2"/>
      <w:sz w:val="24"/>
      <w:lang w:val="zh-Hans" w:eastAsia="zh-CN" w:bidi="ar-SA"/>
    </w:rPr>
  </w:style>
  <w:style w:type="paragraph" w:customStyle="1" w:styleId="874">
    <w:name w:val="魏秀珍报告正文"/>
    <w:basedOn w:val="1"/>
    <w:link w:val="873"/>
    <w:uiPriority w:val="0"/>
    <w:pPr>
      <w:adjustRightInd w:val="0"/>
      <w:snapToGrid w:val="0"/>
      <w:spacing w:line="360" w:lineRule="auto"/>
      <w:ind w:firstLine="480" w:firstLineChars="200"/>
      <w:jc w:val="left"/>
    </w:pPr>
    <w:rPr>
      <w:rFonts w:hAnsi="宋体"/>
      <w:sz w:val="24"/>
      <w:szCs w:val="20"/>
      <w:lang w:val="zh-Hans"/>
    </w:rPr>
  </w:style>
  <w:style w:type="character" w:customStyle="1" w:styleId="875">
    <w:name w:val="c0033991"/>
    <w:uiPriority w:val="0"/>
    <w:rPr>
      <w:color w:val="003399"/>
      <w:sz w:val="18"/>
      <w:u w:val="none"/>
    </w:rPr>
  </w:style>
  <w:style w:type="character" w:customStyle="1" w:styleId="876">
    <w:name w:val="unnamed31"/>
    <w:uiPriority w:val="0"/>
    <w:rPr>
      <w:color w:val="000000"/>
      <w:sz w:val="20"/>
      <w:szCs w:val="20"/>
      <w:u w:val="none"/>
    </w:rPr>
  </w:style>
  <w:style w:type="character" w:customStyle="1" w:styleId="877">
    <w:name w:val="font21"/>
    <w:basedOn w:val="96"/>
    <w:uiPriority w:val="0"/>
    <w:rPr>
      <w:rFonts w:hint="eastAsia" w:ascii="宋体" w:hAnsi="宋体" w:eastAsia="宋体"/>
      <w:color w:val="000000"/>
      <w:sz w:val="21"/>
    </w:rPr>
  </w:style>
  <w:style w:type="character" w:customStyle="1" w:styleId="878">
    <w:name w:val="puntext"/>
    <w:basedOn w:val="96"/>
    <w:uiPriority w:val="0"/>
  </w:style>
  <w:style w:type="character" w:customStyle="1" w:styleId="879">
    <w:name w:val="zhenwen141"/>
    <w:uiPriority w:val="0"/>
    <w:rPr>
      <w:rFonts w:hint="default" w:ascii="ˎ̥" w:hAnsi="ˎ̥" w:eastAsia="黑体" w:cs="Courier New"/>
      <w:kern w:val="2"/>
      <w:sz w:val="18"/>
      <w:szCs w:val="18"/>
      <w:lang w:val="en-US" w:eastAsia="zh-CN" w:bidi="ar-SA"/>
    </w:rPr>
  </w:style>
  <w:style w:type="character" w:customStyle="1" w:styleId="880">
    <w:name w:val="样式 标题 3标题 3 Char Char Char标题 3 Char Char Char Char Char Char标... Char Char"/>
    <w:link w:val="881"/>
    <w:uiPriority w:val="0"/>
    <w:rPr>
      <w:rFonts w:ascii="Plotter" w:hAnsi="Plotter" w:eastAsia="宋体"/>
      <w:b/>
      <w:kern w:val="2"/>
      <w:sz w:val="24"/>
      <w:lang w:val="en-US" w:eastAsia="zh-CN" w:bidi="ar-SA"/>
    </w:rPr>
  </w:style>
  <w:style w:type="paragraph" w:customStyle="1" w:styleId="881">
    <w:name w:val="样式 标题 3标题 3 Char Char Char标题 3 Char Char Char Char Char Char标..."/>
    <w:basedOn w:val="7"/>
    <w:link w:val="880"/>
    <w:uiPriority w:val="0"/>
    <w:pPr>
      <w:tabs>
        <w:tab w:val="left" w:pos="720"/>
      </w:tabs>
      <w:spacing w:before="0" w:beforeLines="0" w:after="0" w:afterLines="0" w:line="360" w:lineRule="auto"/>
    </w:pPr>
    <w:rPr>
      <w:rFonts w:ascii="Plotter" w:hAnsi="Plotter"/>
      <w:bCs w:val="0"/>
      <w:sz w:val="24"/>
      <w:szCs w:val="20"/>
    </w:rPr>
  </w:style>
  <w:style w:type="character" w:customStyle="1" w:styleId="882">
    <w:name w:val="样式20 Char Char"/>
    <w:link w:val="883"/>
    <w:uiPriority w:val="0"/>
    <w:rPr>
      <w:rFonts w:hAnsi="宋体" w:eastAsia="宋体"/>
      <w:kern w:val="2"/>
      <w:sz w:val="24"/>
      <w:szCs w:val="24"/>
      <w:lang w:val="en-US" w:eastAsia="zh-CN" w:bidi="ar-SA"/>
    </w:rPr>
  </w:style>
  <w:style w:type="paragraph" w:customStyle="1" w:styleId="883">
    <w:name w:val="样式20"/>
    <w:basedOn w:val="1"/>
    <w:link w:val="882"/>
    <w:uiPriority w:val="0"/>
    <w:pPr>
      <w:spacing w:line="360" w:lineRule="auto"/>
      <w:ind w:firstLine="480" w:firstLineChars="200"/>
    </w:pPr>
    <w:rPr>
      <w:rFonts w:hAnsi="宋体"/>
      <w:sz w:val="24"/>
    </w:rPr>
  </w:style>
  <w:style w:type="character" w:customStyle="1" w:styleId="884">
    <w:name w:val="样式 正文文本缩进 + 非加宽量 / 紧缩量 Char Char Char"/>
    <w:uiPriority w:val="0"/>
    <w:rPr>
      <w:rFonts w:eastAsia="宋体"/>
      <w:kern w:val="2"/>
      <w:sz w:val="28"/>
      <w:szCs w:val="28"/>
      <w:lang w:val="en-US" w:eastAsia="zh-CN" w:bidi="ar-SA"/>
    </w:rPr>
  </w:style>
  <w:style w:type="character" w:customStyle="1" w:styleId="885">
    <w:name w:val="Body text_"/>
    <w:link w:val="886"/>
    <w:uiPriority w:val="0"/>
    <w:rPr>
      <w:rFonts w:ascii="MingLiU" w:eastAsia="MingLiU"/>
      <w:spacing w:val="12"/>
      <w:lang w:bidi="ar-SA"/>
    </w:rPr>
  </w:style>
  <w:style w:type="paragraph" w:customStyle="1" w:styleId="886">
    <w:name w:val="Body text1"/>
    <w:basedOn w:val="1"/>
    <w:link w:val="885"/>
    <w:uiPriority w:val="0"/>
    <w:pPr>
      <w:shd w:val="clear" w:color="auto" w:fill="FFFFFF"/>
      <w:spacing w:before="240" w:line="466" w:lineRule="exact"/>
      <w:ind w:hanging="720"/>
      <w:jc w:val="distribute"/>
    </w:pPr>
    <w:rPr>
      <w:rFonts w:ascii="MingLiU" w:eastAsia="MingLiU"/>
      <w:spacing w:val="12"/>
      <w:kern w:val="0"/>
      <w:sz w:val="20"/>
      <w:szCs w:val="20"/>
    </w:rPr>
  </w:style>
  <w:style w:type="character" w:customStyle="1" w:styleId="887">
    <w:name w:val="样式 标题 3三级标题 + Char Char"/>
    <w:link w:val="888"/>
    <w:uiPriority w:val="0"/>
    <w:rPr>
      <w:rFonts w:ascii="黑体" w:hAnsi="宋体" w:eastAsia="黑体"/>
      <w:sz w:val="28"/>
      <w:szCs w:val="28"/>
      <w:lang w:val="en-US" w:eastAsia="zh-CN" w:bidi="ar-SA"/>
    </w:rPr>
  </w:style>
  <w:style w:type="paragraph" w:customStyle="1" w:styleId="888">
    <w:name w:val="样式 标题 3三级标题 +"/>
    <w:basedOn w:val="7"/>
    <w:link w:val="887"/>
    <w:uiPriority w:val="0"/>
    <w:pPr>
      <w:spacing w:before="120" w:beforeLines="0" w:after="120" w:afterLines="0" w:line="360" w:lineRule="auto"/>
      <w:ind w:firstLine="200" w:firstLineChars="200"/>
      <w:jc w:val="left"/>
    </w:pPr>
    <w:rPr>
      <w:rFonts w:ascii="黑体" w:hAnsi="宋体" w:eastAsia="黑体"/>
      <w:b w:val="0"/>
      <w:bCs w:val="0"/>
      <w:kern w:val="0"/>
      <w:sz w:val="28"/>
      <w:szCs w:val="28"/>
    </w:rPr>
  </w:style>
  <w:style w:type="character" w:customStyle="1" w:styleId="889">
    <w:name w:val="标题 1 Char Char"/>
    <w:uiPriority w:val="0"/>
    <w:rPr>
      <w:rFonts w:eastAsia="宋体"/>
      <w:kern w:val="2"/>
      <w:sz w:val="28"/>
      <w:szCs w:val="24"/>
      <w:lang w:val="en-US" w:eastAsia="zh-CN" w:bidi="ar-SA"/>
    </w:rPr>
  </w:style>
  <w:style w:type="character" w:customStyle="1" w:styleId="890">
    <w:name w:val="正文(首行缩进) Char1"/>
    <w:link w:val="891"/>
    <w:uiPriority w:val="0"/>
    <w:rPr>
      <w:rFonts w:ascii="宋体" w:hAnsi="宋体" w:eastAsia="宋体"/>
      <w:snapToGrid w:val="0"/>
      <w:sz w:val="24"/>
      <w:szCs w:val="24"/>
      <w:lang w:val="en-US" w:eastAsia="zh-CN" w:bidi="ar-SA"/>
    </w:rPr>
  </w:style>
  <w:style w:type="paragraph" w:customStyle="1" w:styleId="891">
    <w:name w:val="正文(首行缩进)"/>
    <w:basedOn w:val="1"/>
    <w:link w:val="890"/>
    <w:uiPriority w:val="0"/>
    <w:pPr>
      <w:spacing w:line="360" w:lineRule="auto"/>
      <w:ind w:firstLine="510"/>
    </w:pPr>
    <w:rPr>
      <w:rFonts w:ascii="宋体" w:hAnsi="宋体"/>
      <w:snapToGrid w:val="0"/>
      <w:kern w:val="0"/>
      <w:sz w:val="24"/>
    </w:rPr>
  </w:style>
  <w:style w:type="character" w:customStyle="1" w:styleId="892">
    <w:name w:val="武正文 Char"/>
    <w:link w:val="893"/>
    <w:uiPriority w:val="0"/>
    <w:rPr>
      <w:rFonts w:hAnsi="宋体" w:eastAsia="宋体"/>
      <w:color w:val="000000"/>
      <w:sz w:val="28"/>
      <w:szCs w:val="24"/>
      <w:lang w:val="en-US" w:eastAsia="zh-CN" w:bidi="ar-SA"/>
    </w:rPr>
  </w:style>
  <w:style w:type="paragraph" w:customStyle="1" w:styleId="893">
    <w:name w:val="武正文"/>
    <w:basedOn w:val="1"/>
    <w:link w:val="892"/>
    <w:uiPriority w:val="0"/>
    <w:pPr>
      <w:spacing w:line="600" w:lineRule="exact"/>
      <w:ind w:firstLine="200" w:firstLineChars="200"/>
    </w:pPr>
    <w:rPr>
      <w:rFonts w:hAnsi="宋体"/>
      <w:color w:val="000000"/>
      <w:kern w:val="0"/>
      <w:sz w:val="28"/>
    </w:rPr>
  </w:style>
  <w:style w:type="character" w:customStyle="1" w:styleId="894">
    <w:name w:val="3zw1"/>
    <w:uiPriority w:val="0"/>
    <w:rPr>
      <w:color w:val="000000"/>
      <w:sz w:val="21"/>
      <w:szCs w:val="21"/>
    </w:rPr>
  </w:style>
  <w:style w:type="character" w:customStyle="1" w:styleId="895">
    <w:name w:val="dxj表头 Char"/>
    <w:link w:val="896"/>
    <w:uiPriority w:val="0"/>
    <w:rPr>
      <w:rFonts w:eastAsia="黑体"/>
      <w:kern w:val="2"/>
      <w:sz w:val="21"/>
      <w:szCs w:val="21"/>
      <w:lang w:val="en-US" w:eastAsia="zh-CN" w:bidi="ar-SA"/>
    </w:rPr>
  </w:style>
  <w:style w:type="paragraph" w:customStyle="1" w:styleId="896">
    <w:name w:val="dxj表头"/>
    <w:basedOn w:val="1"/>
    <w:link w:val="895"/>
    <w:uiPriority w:val="0"/>
    <w:pPr>
      <w:spacing w:line="360" w:lineRule="auto"/>
      <w:jc w:val="center"/>
    </w:pPr>
    <w:rPr>
      <w:rFonts w:eastAsia="黑体"/>
      <w:szCs w:val="21"/>
    </w:rPr>
  </w:style>
  <w:style w:type="character" w:customStyle="1" w:styleId="897">
    <w:name w:val="标题 2 Char Char Char1"/>
    <w:aliases w:val="节标题 1.1 Char Char Char Char,标题 12 Char1,Se Char1,Head wsa2 Char1,Chapter Char1,Chapter Title Char1,节标题 Char1,标题 2 Char Char Char Char Char Char2,标题 2 Char Char Char Char Char Char Char1,标题 21 Char1"/>
    <w:uiPriority w:val="0"/>
    <w:rPr>
      <w:rFonts w:eastAsia="宋体"/>
      <w:b/>
      <w:bCs/>
      <w:kern w:val="2"/>
      <w:sz w:val="30"/>
      <w:szCs w:val="30"/>
      <w:lang w:val="en-US" w:eastAsia="zh-CN" w:bidi="ar-SA"/>
    </w:rPr>
  </w:style>
  <w:style w:type="character" w:customStyle="1" w:styleId="898">
    <w:name w:val="标题 4 Char Char Char Char Char Char Char Char Char Char Char Char Char Char Char Char Char Char Char"/>
    <w:aliases w:val="标题 4 Char Char Char Char Char Char Char Char Char Char Char Char Char Char Char Char Char Char Char Char Char Char Char"/>
    <w:uiPriority w:val="0"/>
    <w:rPr>
      <w:rFonts w:ascii="Arial" w:hAnsi="Arial" w:eastAsia="黑体"/>
      <w:b/>
      <w:bCs/>
      <w:snapToGrid w:val="0"/>
      <w:sz w:val="24"/>
      <w:szCs w:val="28"/>
      <w:lang w:val="en-US" w:eastAsia="zh-CN" w:bidi="ar-SA"/>
    </w:rPr>
  </w:style>
  <w:style w:type="character" w:customStyle="1" w:styleId="899">
    <w:name w:val="下标"/>
    <w:uiPriority w:val="0"/>
    <w:rPr>
      <w:rFonts w:ascii="Times New Roman" w:hAnsi="Times New Roman" w:eastAsia="宋体"/>
      <w:spacing w:val="0"/>
      <w:position w:val="-7"/>
      <w:sz w:val="18"/>
    </w:rPr>
  </w:style>
  <w:style w:type="character" w:customStyle="1" w:styleId="900">
    <w:name w:val="报告正文 Char Char Char Char"/>
    <w:link w:val="901"/>
    <w:uiPriority w:val="0"/>
    <w:rPr>
      <w:rFonts w:ascii="宋体" w:eastAsia="宋体"/>
      <w:kern w:val="2"/>
      <w:sz w:val="24"/>
      <w:lang w:val="en-US" w:eastAsia="zh-CN" w:bidi="ar-SA"/>
    </w:rPr>
  </w:style>
  <w:style w:type="paragraph" w:customStyle="1" w:styleId="901">
    <w:name w:val="报告正文"/>
    <w:basedOn w:val="1"/>
    <w:link w:val="900"/>
    <w:uiPriority w:val="0"/>
    <w:pPr>
      <w:adjustRightInd w:val="0"/>
      <w:snapToGrid w:val="0"/>
      <w:spacing w:line="360" w:lineRule="auto"/>
      <w:ind w:firstLine="200" w:firstLineChars="200"/>
    </w:pPr>
    <w:rPr>
      <w:rFonts w:ascii="宋体"/>
      <w:sz w:val="24"/>
      <w:szCs w:val="20"/>
    </w:rPr>
  </w:style>
  <w:style w:type="character" w:customStyle="1" w:styleId="902">
    <w:name w:val="自动2 Char Char"/>
    <w:uiPriority w:val="0"/>
    <w:rPr>
      <w:rFonts w:ascii="黑体" w:hAnsi="Arial" w:eastAsia="黑体"/>
      <w:b/>
      <w:bCs/>
      <w:color w:val="000000"/>
      <w:kern w:val="2"/>
      <w:sz w:val="28"/>
      <w:szCs w:val="28"/>
      <w:lang w:val="en-US" w:eastAsia="zh-CN" w:bidi="ar-SA"/>
    </w:rPr>
  </w:style>
  <w:style w:type="character" w:customStyle="1" w:styleId="903">
    <w:name w:val="正文文字缩进 21 Char Char"/>
    <w:uiPriority w:val="0"/>
    <w:rPr>
      <w:rFonts w:ascii="宋体" w:hAnsi="宋体" w:eastAsia="宋体"/>
      <w:color w:val="FF0000"/>
      <w:kern w:val="2"/>
      <w:sz w:val="24"/>
      <w:szCs w:val="28"/>
      <w:lang w:val="en-US" w:eastAsia="zh-CN" w:bidi="ar-SA"/>
    </w:rPr>
  </w:style>
  <w:style w:type="character" w:customStyle="1" w:styleId="904">
    <w:name w:val="居中表内文 Char Char"/>
    <w:link w:val="905"/>
    <w:uiPriority w:val="0"/>
    <w:rPr>
      <w:rFonts w:eastAsia="宋体" w:cs="宋体"/>
      <w:kern w:val="2"/>
      <w:sz w:val="18"/>
      <w:lang w:val="en-US" w:eastAsia="zh-CN" w:bidi="ar-SA"/>
    </w:rPr>
  </w:style>
  <w:style w:type="paragraph" w:customStyle="1" w:styleId="905">
    <w:name w:val="居中表内文"/>
    <w:basedOn w:val="1"/>
    <w:link w:val="904"/>
    <w:uiPriority w:val="0"/>
    <w:pPr>
      <w:jc w:val="center"/>
    </w:pPr>
    <w:rPr>
      <w:rFonts w:cs="宋体"/>
      <w:sz w:val="18"/>
      <w:szCs w:val="20"/>
    </w:rPr>
  </w:style>
  <w:style w:type="character" w:customStyle="1" w:styleId="906">
    <w:name w:val="图表正文 Char Char"/>
    <w:uiPriority w:val="0"/>
    <w:rPr>
      <w:rFonts w:ascii="宋体" w:hAnsi="宋体" w:eastAsia="宋体"/>
      <w:snapToGrid w:val="0"/>
      <w:sz w:val="21"/>
      <w:szCs w:val="24"/>
      <w:lang w:val="en-US" w:eastAsia="zh-CN" w:bidi="ar-SA"/>
    </w:rPr>
  </w:style>
  <w:style w:type="character" w:customStyle="1" w:styleId="907">
    <w:name w:val="表头1 Char Char"/>
    <w:link w:val="908"/>
    <w:uiPriority w:val="0"/>
    <w:rPr>
      <w:rFonts w:ascii="宋体" w:hAnsi="宋体"/>
      <w:b/>
      <w:bCs/>
      <w:kern w:val="2"/>
      <w:sz w:val="24"/>
      <w:szCs w:val="24"/>
      <w:lang w:val="en-US" w:eastAsia="zh-CN" w:bidi="ar-SA"/>
    </w:rPr>
  </w:style>
  <w:style w:type="paragraph" w:customStyle="1" w:styleId="908">
    <w:name w:val="表头1"/>
    <w:next w:val="1"/>
    <w:link w:val="907"/>
    <w:uiPriority w:val="0"/>
    <w:pPr>
      <w:spacing w:line="360" w:lineRule="auto"/>
      <w:ind w:firstLine="422"/>
      <w:jc w:val="center"/>
    </w:pPr>
    <w:rPr>
      <w:rFonts w:ascii="宋体" w:hAnsi="宋体"/>
      <w:b/>
      <w:bCs/>
      <w:kern w:val="2"/>
      <w:sz w:val="24"/>
      <w:szCs w:val="24"/>
      <w:lang w:val="en-US" w:eastAsia="zh-CN" w:bidi="ar-SA"/>
    </w:rPr>
  </w:style>
  <w:style w:type="character" w:customStyle="1" w:styleId="909">
    <w:name w:val="bt11"/>
    <w:uiPriority w:val="0"/>
    <w:rPr>
      <w:rFonts w:hint="eastAsia" w:ascii="黑体" w:eastAsia="黑体"/>
      <w:color w:val="000000"/>
      <w:sz w:val="28"/>
      <w:szCs w:val="28"/>
    </w:rPr>
  </w:style>
  <w:style w:type="character" w:customStyle="1" w:styleId="910">
    <w:name w:val="H6 Char Char1"/>
    <w:uiPriority w:val="0"/>
    <w:rPr>
      <w:rFonts w:ascii="Arial" w:hAnsi="Arial" w:eastAsia="黑体"/>
      <w:b/>
      <w:bCs/>
      <w:kern w:val="2"/>
      <w:sz w:val="24"/>
      <w:szCs w:val="24"/>
      <w:lang w:val="en-US" w:eastAsia="zh-CN" w:bidi="ar-SA"/>
    </w:rPr>
  </w:style>
  <w:style w:type="character" w:customStyle="1" w:styleId="911">
    <w:name w:val="正文(首行缩进) Char Char"/>
    <w:uiPriority w:val="0"/>
    <w:rPr>
      <w:rFonts w:ascii="宋体" w:hAnsi="宋体" w:eastAsia="宋体"/>
      <w:kern w:val="24"/>
      <w:sz w:val="24"/>
      <w:lang w:val="en-US" w:eastAsia="zh-CN" w:bidi="ar-SA"/>
    </w:rPr>
  </w:style>
  <w:style w:type="character" w:customStyle="1" w:styleId="91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link w:val="913"/>
    <w:uiPriority w:val="0"/>
    <w:rPr>
      <w:rFonts w:eastAsia="仿宋_GB2312"/>
      <w:b/>
      <w:bCs/>
      <w:kern w:val="2"/>
      <w:sz w:val="28"/>
      <w:szCs w:val="28"/>
      <w:lang w:bidi="ar-SA"/>
    </w:rPr>
  </w:style>
  <w:style w:type="paragraph" w:customStyle="1" w:styleId="913">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link w:val="912"/>
    <w:uiPriority w:val="0"/>
    <w:pPr>
      <w:keepNext/>
      <w:keepLines/>
      <w:spacing w:line="360" w:lineRule="auto"/>
      <w:ind w:firstLine="200" w:firstLineChars="200"/>
      <w:jc w:val="left"/>
      <w:outlineLvl w:val="3"/>
    </w:pPr>
    <w:rPr>
      <w:rFonts w:eastAsia="仿宋_GB2312"/>
      <w:b/>
      <w:bCs/>
      <w:sz w:val="28"/>
      <w:szCs w:val="28"/>
    </w:rPr>
  </w:style>
  <w:style w:type="character" w:customStyle="1" w:styleId="914">
    <w:name w:val="样式11111 Char"/>
    <w:link w:val="915"/>
    <w:uiPriority w:val="0"/>
    <w:rPr>
      <w:rFonts w:eastAsia="宋体"/>
      <w:color w:val="000000"/>
      <w:kern w:val="2"/>
      <w:sz w:val="24"/>
      <w:szCs w:val="24"/>
      <w:lang w:val="en-US" w:eastAsia="zh-CN" w:bidi="ar-SA"/>
    </w:rPr>
  </w:style>
  <w:style w:type="paragraph" w:customStyle="1" w:styleId="915">
    <w:name w:val="样式11111"/>
    <w:basedOn w:val="1"/>
    <w:link w:val="914"/>
    <w:uiPriority w:val="0"/>
    <w:pPr>
      <w:spacing w:beforeLines="50" w:afterLines="50" w:line="360" w:lineRule="auto"/>
      <w:ind w:firstLine="480" w:firstLineChars="200"/>
    </w:pPr>
    <w:rPr>
      <w:color w:val="000000"/>
      <w:sz w:val="24"/>
    </w:rPr>
  </w:style>
  <w:style w:type="character" w:customStyle="1" w:styleId="916">
    <w:name w:val="6表(图)头(治) Char Char"/>
    <w:uiPriority w:val="0"/>
    <w:rPr>
      <w:rFonts w:eastAsia="黑体"/>
      <w:b/>
      <w:sz w:val="28"/>
      <w:szCs w:val="28"/>
      <w:lang w:val="en-US" w:eastAsia="zh-CN" w:bidi="ar-SA"/>
    </w:rPr>
  </w:style>
  <w:style w:type="character" w:customStyle="1" w:styleId="917">
    <w:name w:val="My table tailer Char Char"/>
    <w:uiPriority w:val="0"/>
    <w:rPr>
      <w:rFonts w:ascii="宋体" w:hAnsi="宋体" w:eastAsia="宋体" w:cs="宋体"/>
      <w:spacing w:val="-1"/>
      <w:kern w:val="2"/>
      <w:sz w:val="21"/>
      <w:szCs w:val="21"/>
      <w:lang w:val="en-US" w:bidi="ar-SA"/>
    </w:rPr>
  </w:style>
  <w:style w:type="character" w:customStyle="1" w:styleId="918">
    <w:name w:val="dxj正文 Char"/>
    <w:link w:val="919"/>
    <w:uiPriority w:val="0"/>
    <w:rPr>
      <w:rFonts w:eastAsia="宋体"/>
      <w:kern w:val="2"/>
      <w:sz w:val="24"/>
      <w:szCs w:val="24"/>
      <w:lang w:val="en-US" w:eastAsia="zh-CN" w:bidi="ar-SA"/>
    </w:rPr>
  </w:style>
  <w:style w:type="paragraph" w:customStyle="1" w:styleId="919">
    <w:name w:val="dxj正文"/>
    <w:basedOn w:val="1"/>
    <w:link w:val="918"/>
    <w:uiPriority w:val="0"/>
    <w:pPr>
      <w:spacing w:line="360" w:lineRule="auto"/>
      <w:ind w:firstLine="200" w:firstLineChars="200"/>
    </w:pPr>
    <w:rPr>
      <w:sz w:val="24"/>
    </w:rPr>
  </w:style>
  <w:style w:type="character" w:customStyle="1" w:styleId="920">
    <w:name w:val="hei141"/>
    <w:uiPriority w:val="0"/>
    <w:rPr>
      <w:color w:val="000000"/>
      <w:sz w:val="23"/>
      <w:szCs w:val="23"/>
    </w:rPr>
  </w:style>
  <w:style w:type="character" w:customStyle="1" w:styleId="921">
    <w:name w:val=" Char Char2 Char Char"/>
    <w:uiPriority w:val="0"/>
    <w:rPr>
      <w:kern w:val="2"/>
      <w:sz w:val="18"/>
      <w:szCs w:val="18"/>
    </w:rPr>
  </w:style>
  <w:style w:type="character" w:customStyle="1" w:styleId="922">
    <w:name w:val="样式 样式 样式 样式 样式 样式 样式 123 + 自动设置 首行缩进:  2 字符 + 首行缩进:  2 字符 + 黑色 首... Char Char Char Char"/>
    <w:uiPriority w:val="0"/>
    <w:rPr>
      <w:rFonts w:ascii="宋体" w:hAnsi="宋体" w:eastAsia="宋体" w:cs="宋体"/>
      <w:kern w:val="2"/>
      <w:sz w:val="28"/>
      <w:szCs w:val="28"/>
      <w:lang w:val="en-US" w:eastAsia="zh-CN" w:bidi="ar-SA"/>
    </w:rPr>
  </w:style>
  <w:style w:type="character" w:customStyle="1" w:styleId="923">
    <w:name w:val="样式14 Char Char"/>
    <w:link w:val="924"/>
    <w:uiPriority w:val="0"/>
    <w:rPr>
      <w:rFonts w:eastAsia="宋体"/>
      <w:sz w:val="24"/>
      <w:szCs w:val="24"/>
      <w:lang w:val="en-US" w:eastAsia="zh-CN" w:bidi="ar-SA"/>
    </w:rPr>
  </w:style>
  <w:style w:type="paragraph" w:customStyle="1" w:styleId="924">
    <w:name w:val="样式14"/>
    <w:basedOn w:val="1"/>
    <w:link w:val="923"/>
    <w:uiPriority w:val="0"/>
    <w:pPr>
      <w:adjustRightInd w:val="0"/>
      <w:snapToGrid w:val="0"/>
      <w:spacing w:line="360" w:lineRule="auto"/>
      <w:ind w:firstLine="480" w:firstLineChars="200"/>
    </w:pPr>
    <w:rPr>
      <w:kern w:val="0"/>
      <w:sz w:val="24"/>
    </w:rPr>
  </w:style>
  <w:style w:type="character" w:customStyle="1" w:styleId="925">
    <w:name w:val="样式 标题 6 + 自动设置 Char"/>
    <w:uiPriority w:val="0"/>
    <w:rPr>
      <w:rFonts w:hint="eastAsia" w:ascii="Times New Roman" w:hAnsi="Times New Roman" w:eastAsia="宋体"/>
      <w:snapToGrid w:val="0"/>
      <w:color w:val="000000"/>
      <w:sz w:val="24"/>
      <w:lang w:val="en-US" w:eastAsia="zh-CN"/>
    </w:rPr>
  </w:style>
  <w:style w:type="character" w:customStyle="1" w:styleId="926">
    <w:name w:val="postbody1"/>
    <w:uiPriority w:val="0"/>
    <w:rPr>
      <w:sz w:val="21"/>
      <w:szCs w:val="21"/>
    </w:rPr>
  </w:style>
  <w:style w:type="character" w:customStyle="1" w:styleId="927">
    <w:name w:val="列表 3 Char Char"/>
    <w:uiPriority w:val="0"/>
    <w:rPr>
      <w:rFonts w:eastAsia="仿宋_GB2312"/>
      <w:kern w:val="2"/>
      <w:sz w:val="24"/>
      <w:szCs w:val="24"/>
      <w:lang w:val="en-US" w:eastAsia="zh-CN" w:bidi="ar-SA"/>
    </w:rPr>
  </w:style>
  <w:style w:type="character" w:customStyle="1" w:styleId="928">
    <w:name w:val="unnamed21"/>
    <w:uiPriority w:val="0"/>
    <w:rPr>
      <w:rFonts w:ascii="宋体" w:hAnsi="宋体" w:eastAsia="宋体" w:cs="宋体"/>
      <w:color w:val="000000"/>
      <w:spacing w:val="330"/>
      <w:kern w:val="2"/>
      <w:sz w:val="21"/>
      <w:szCs w:val="21"/>
      <w:u w:val="none"/>
      <w:lang w:val="en-US" w:eastAsia="zh-CN" w:bidi="ar-SA"/>
    </w:rPr>
  </w:style>
  <w:style w:type="character" w:customStyle="1" w:styleId="929">
    <w:name w:val="样式 小四 首行缩进:  0.85 厘米 行距: 1.5 倍行距 Char Char"/>
    <w:uiPriority w:val="0"/>
    <w:rPr>
      <w:rFonts w:ascii="黑体" w:hAnsi="Arial" w:eastAsia="宋体" w:cs="宋体"/>
      <w:bCs/>
      <w:kern w:val="2"/>
      <w:sz w:val="24"/>
      <w:szCs w:val="24"/>
      <w:lang w:val="en-US" w:eastAsia="zh-CN" w:bidi="ar-SA"/>
    </w:rPr>
  </w:style>
  <w:style w:type="character" w:customStyle="1" w:styleId="930">
    <w:name w:val="(一) Char"/>
    <w:aliases w:val="条，(一) Char Char"/>
    <w:uiPriority w:val="0"/>
    <w:rPr>
      <w:rFonts w:ascii="Arial" w:hAnsi="Arial" w:eastAsia="黑体"/>
      <w:b/>
      <w:bCs/>
      <w:kern w:val="2"/>
      <w:sz w:val="28"/>
      <w:szCs w:val="28"/>
      <w:lang w:val="en-US" w:eastAsia="zh-CN" w:bidi="ar-SA"/>
    </w:rPr>
  </w:style>
  <w:style w:type="character" w:customStyle="1" w:styleId="931">
    <w:name w:val="题注-彭林 Char Char"/>
    <w:link w:val="932"/>
    <w:uiPriority w:val="0"/>
    <w:rPr>
      <w:rFonts w:ascii="Arial" w:hAnsi="Arial" w:eastAsia="宋体" w:cs="黑体"/>
      <w:kern w:val="2"/>
      <w:sz w:val="18"/>
      <w:szCs w:val="21"/>
      <w:lang w:val="en-US" w:eastAsia="zh-CN" w:bidi="ar-SA"/>
    </w:rPr>
  </w:style>
  <w:style w:type="paragraph" w:customStyle="1" w:styleId="932">
    <w:name w:val="题注-彭林"/>
    <w:basedOn w:val="24"/>
    <w:link w:val="931"/>
    <w:uiPriority w:val="0"/>
    <w:pPr>
      <w:snapToGrid/>
      <w:spacing w:line="240" w:lineRule="exact"/>
      <w:ind w:firstLine="0"/>
    </w:pPr>
    <w:rPr>
      <w:rFonts w:ascii="Arial" w:hAnsi="Arial" w:cs="黑体"/>
      <w:b w:val="0"/>
      <w:bCs w:val="0"/>
      <w:sz w:val="18"/>
      <w:szCs w:val="21"/>
    </w:rPr>
  </w:style>
  <w:style w:type="character" w:customStyle="1" w:styleId="933">
    <w:name w:val="样式16 Char Char"/>
    <w:link w:val="934"/>
    <w:uiPriority w:val="0"/>
    <w:rPr>
      <w:rFonts w:ascii="黑体" w:hAnsi="宋体" w:eastAsia="黑体"/>
      <w:bCs/>
      <w:kern w:val="2"/>
      <w:sz w:val="21"/>
      <w:szCs w:val="21"/>
      <w:lang w:val="en-US" w:eastAsia="zh-CN" w:bidi="ar-SA"/>
    </w:rPr>
  </w:style>
  <w:style w:type="paragraph" w:customStyle="1" w:styleId="934">
    <w:name w:val="样式16"/>
    <w:basedOn w:val="1"/>
    <w:link w:val="933"/>
    <w:uiPriority w:val="0"/>
    <w:pPr>
      <w:adjustRightInd w:val="0"/>
      <w:snapToGrid w:val="0"/>
      <w:spacing w:line="360" w:lineRule="auto"/>
      <w:jc w:val="center"/>
    </w:pPr>
    <w:rPr>
      <w:rFonts w:ascii="黑体" w:hAnsi="宋体" w:eastAsia="黑体"/>
      <w:bCs/>
      <w:szCs w:val="21"/>
    </w:rPr>
  </w:style>
  <w:style w:type="character" w:customStyle="1" w:styleId="935">
    <w:name w:val="文章正文 Char"/>
    <w:link w:val="936"/>
    <w:uiPriority w:val="0"/>
    <w:rPr>
      <w:rFonts w:ascii="宋体" w:hAnsi="宋体" w:eastAsia="宋体"/>
      <w:kern w:val="2"/>
      <w:sz w:val="24"/>
      <w:szCs w:val="24"/>
      <w:lang w:val="en-US" w:eastAsia="zh-CN" w:bidi="ar-SA"/>
    </w:rPr>
  </w:style>
  <w:style w:type="paragraph" w:customStyle="1" w:styleId="936">
    <w:name w:val="文章正文"/>
    <w:basedOn w:val="1"/>
    <w:link w:val="935"/>
    <w:uiPriority w:val="0"/>
    <w:pPr>
      <w:spacing w:beforeLines="50" w:afterLines="50" w:line="360" w:lineRule="auto"/>
      <w:ind w:firstLine="480" w:firstLineChars="200"/>
    </w:pPr>
    <w:rPr>
      <w:rFonts w:ascii="宋体" w:hAnsi="宋体"/>
      <w:sz w:val="24"/>
    </w:rPr>
  </w:style>
  <w:style w:type="character" w:customStyle="1" w:styleId="937">
    <w:name w:val="Char Char24"/>
    <w:uiPriority w:val="0"/>
    <w:rPr>
      <w:rFonts w:ascii="Arial" w:hAnsi="Arial" w:eastAsia="黑体"/>
      <w:b/>
      <w:bCs/>
      <w:kern w:val="2"/>
      <w:sz w:val="32"/>
      <w:szCs w:val="32"/>
      <w:lang w:val="en-US" w:eastAsia="zh-CN" w:bidi="ar-SA"/>
    </w:rPr>
  </w:style>
  <w:style w:type="character" w:customStyle="1" w:styleId="938">
    <w:name w:val="样式11111 Char Char"/>
    <w:uiPriority w:val="0"/>
    <w:rPr>
      <w:rFonts w:eastAsia="宋体"/>
      <w:color w:val="000000"/>
      <w:kern w:val="2"/>
      <w:sz w:val="24"/>
      <w:szCs w:val="24"/>
      <w:lang w:val="en-US" w:eastAsia="zh-CN" w:bidi="ar-SA"/>
    </w:rPr>
  </w:style>
  <w:style w:type="character" w:customStyle="1" w:styleId="939">
    <w:name w:val="正文# Char Char"/>
    <w:uiPriority w:val="0"/>
    <w:rPr>
      <w:kern w:val="2"/>
      <w:sz w:val="24"/>
    </w:rPr>
  </w:style>
  <w:style w:type="character" w:customStyle="1" w:styleId="940">
    <w:name w:val="Char Char3"/>
    <w:uiPriority w:val="0"/>
    <w:rPr>
      <w:rFonts w:eastAsia="宋体"/>
      <w:kern w:val="2"/>
      <w:sz w:val="18"/>
      <w:szCs w:val="18"/>
      <w:lang w:val="en-US" w:eastAsia="zh-CN" w:bidi="ar-SA"/>
    </w:rPr>
  </w:style>
  <w:style w:type="character" w:customStyle="1" w:styleId="941">
    <w:name w:val="6.4.1 Char Char"/>
    <w:link w:val="942"/>
    <w:locked/>
    <w:uiPriority w:val="0"/>
    <w:rPr>
      <w:rFonts w:ascii="Tahoma" w:hAnsi="Tahoma" w:eastAsia="微软雅黑"/>
      <w:sz w:val="22"/>
      <w:szCs w:val="22"/>
      <w:lang w:val="en-US" w:eastAsia="zh-CN" w:bidi="ar-SA"/>
    </w:rPr>
  </w:style>
  <w:style w:type="paragraph" w:customStyle="1" w:styleId="942">
    <w:name w:val="6.4.1"/>
    <w:basedOn w:val="1"/>
    <w:link w:val="941"/>
    <w:uiPriority w:val="0"/>
    <w:pPr>
      <w:widowControl/>
      <w:adjustRightInd w:val="0"/>
      <w:snapToGrid w:val="0"/>
      <w:spacing w:after="200"/>
      <w:jc w:val="left"/>
    </w:pPr>
    <w:rPr>
      <w:rFonts w:ascii="Tahoma" w:hAnsi="Tahoma" w:eastAsia="微软雅黑"/>
      <w:kern w:val="0"/>
      <w:sz w:val="22"/>
      <w:szCs w:val="22"/>
    </w:rPr>
  </w:style>
  <w:style w:type="character" w:customStyle="1" w:styleId="943">
    <w:name w:val="style9"/>
    <w:uiPriority w:val="0"/>
    <w:rPr>
      <w:rFonts w:ascii="宋体" w:hAnsi="宋体" w:eastAsia="宋体" w:cs="宋体"/>
      <w:kern w:val="2"/>
      <w:sz w:val="24"/>
      <w:szCs w:val="24"/>
      <w:lang w:val="en-US" w:eastAsia="zh-CN" w:bidi="ar-SA"/>
    </w:rPr>
  </w:style>
  <w:style w:type="character" w:customStyle="1" w:styleId="944">
    <w:name w:val="style31"/>
    <w:uiPriority w:val="0"/>
    <w:rPr>
      <w:color w:val="000000"/>
      <w:spacing w:val="474"/>
      <w:sz w:val="27"/>
      <w:szCs w:val="27"/>
    </w:rPr>
  </w:style>
  <w:style w:type="character" w:customStyle="1" w:styleId="945">
    <w:name w:val="table-xiayou"/>
    <w:uiPriority w:val="0"/>
    <w:rPr>
      <w:rFonts w:ascii="宋体" w:hAnsi="宋体" w:eastAsia="黑体" w:cs="Courier New"/>
      <w:kern w:val="2"/>
      <w:sz w:val="24"/>
      <w:szCs w:val="32"/>
      <w:lang w:val="en-US" w:eastAsia="zh-CN" w:bidi="ar-SA"/>
    </w:rPr>
  </w:style>
  <w:style w:type="character" w:customStyle="1" w:styleId="946">
    <w:name w:val="正文01 Char"/>
    <w:uiPriority w:val="0"/>
    <w:rPr>
      <w:rFonts w:hint="default" w:ascii="Arial" w:hAnsi="Arial" w:cs="Arial"/>
      <w:color w:val="000000"/>
      <w:kern w:val="2"/>
      <w:sz w:val="24"/>
    </w:rPr>
  </w:style>
  <w:style w:type="character" w:customStyle="1" w:styleId="947">
    <w:name w:val="5文章(治) Char Char"/>
    <w:uiPriority w:val="0"/>
    <w:rPr>
      <w:rFonts w:ascii="Arial" w:hAnsi="Arial" w:eastAsia="宋体"/>
      <w:kern w:val="2"/>
      <w:sz w:val="24"/>
      <w:lang w:val="en-US" w:eastAsia="zh-CN" w:bidi="ar-SA"/>
    </w:rPr>
  </w:style>
  <w:style w:type="character" w:customStyle="1" w:styleId="948">
    <w:name w:val="标题 2 Char Char Char Char"/>
    <w:uiPriority w:val="0"/>
    <w:rPr>
      <w:rFonts w:ascii="宋体" w:hAnsi="宋体" w:eastAsia="宋体" w:cs="Arial"/>
      <w:b/>
      <w:bCs/>
      <w:spacing w:val="6"/>
      <w:kern w:val="2"/>
      <w:sz w:val="30"/>
      <w:szCs w:val="30"/>
      <w:lang w:val="en-US" w:eastAsia="zh-CN" w:bidi="ar-SA"/>
    </w:rPr>
  </w:style>
  <w:style w:type="character" w:customStyle="1" w:styleId="949">
    <w:name w:val="段 Char"/>
    <w:aliases w:val="h4 sub sub heading Char"/>
    <w:link w:val="950"/>
    <w:uiPriority w:val="0"/>
    <w:rPr>
      <w:rFonts w:ascii="宋体"/>
      <w:sz w:val="21"/>
      <w:lang w:val="en-US" w:eastAsia="zh-CN" w:bidi="ar-SA"/>
    </w:rPr>
  </w:style>
  <w:style w:type="paragraph" w:customStyle="1" w:styleId="950">
    <w:name w:val="段"/>
    <w:link w:val="949"/>
    <w:uiPriority w:val="0"/>
    <w:pPr>
      <w:autoSpaceDE w:val="0"/>
      <w:autoSpaceDN w:val="0"/>
      <w:ind w:firstLine="200" w:firstLineChars="200"/>
      <w:jc w:val="both"/>
    </w:pPr>
    <w:rPr>
      <w:rFonts w:ascii="宋体"/>
      <w:sz w:val="21"/>
      <w:lang w:val="en-US" w:eastAsia="zh-CN" w:bidi="ar-SA"/>
    </w:rPr>
  </w:style>
  <w:style w:type="character" w:customStyle="1" w:styleId="951">
    <w:name w:val="bt21"/>
    <w:uiPriority w:val="0"/>
    <w:rPr>
      <w:rFonts w:hint="eastAsia" w:ascii="黑体" w:eastAsia="黑体"/>
      <w:sz w:val="24"/>
      <w:szCs w:val="24"/>
    </w:rPr>
  </w:style>
  <w:style w:type="character" w:customStyle="1" w:styleId="952">
    <w:name w:val="H3 Char"/>
    <w:aliases w:val="B Head Char,标题 3 Char Char Char Char Char Char Char,标题 3 Char Char Char1,Re Char,Head 3 WSA Char,h3 Char1,标题 3 Char Char1,条标题1.1.1 Char,Section Char,BSH-3 Char,b3 Char,3 Char,3rd level Char,l3 Char,CT Char,h3 Char Char1,h3 Char Char Char,.. Char"/>
    <w:uiPriority w:val="0"/>
    <w:rPr>
      <w:rFonts w:ascii="宋体" w:hAnsi="宋体" w:eastAsia="宋体"/>
      <w:b/>
      <w:bCs/>
      <w:kern w:val="2"/>
      <w:sz w:val="24"/>
      <w:szCs w:val="32"/>
      <w:lang w:val="en-US" w:eastAsia="zh-CN" w:bidi="ar-SA"/>
    </w:rPr>
  </w:style>
  <w:style w:type="character" w:customStyle="1" w:styleId="953">
    <w:name w:val="样式 hb1 + Times New Roman Char"/>
    <w:link w:val="954"/>
    <w:uiPriority w:val="0"/>
    <w:rPr>
      <w:rFonts w:eastAsia="宋体"/>
      <w:b/>
      <w:kern w:val="2"/>
      <w:sz w:val="32"/>
      <w:szCs w:val="32"/>
      <w:lang w:val="en-US" w:eastAsia="zh-CN" w:bidi="ar-SA"/>
    </w:rPr>
  </w:style>
  <w:style w:type="paragraph" w:customStyle="1" w:styleId="954">
    <w:name w:val="样式 hb1 + Times New Roman"/>
    <w:basedOn w:val="191"/>
    <w:link w:val="953"/>
    <w:uiPriority w:val="0"/>
    <w:pPr>
      <w:keepNext/>
      <w:keepLines/>
      <w:widowControl w:val="0"/>
      <w:topLinePunct/>
      <w:adjustRightInd w:val="0"/>
      <w:spacing w:beforeLines="0" w:afterLines="0" w:line="240" w:lineRule="atLeast"/>
      <w:textAlignment w:val="baseline"/>
    </w:pPr>
    <w:rPr>
      <w:rFonts w:eastAsia="宋体"/>
      <w:kern w:val="2"/>
    </w:rPr>
  </w:style>
  <w:style w:type="character" w:customStyle="1" w:styleId="955">
    <w:name w:val="样式 样式 仿宋_GB2312 四号 黑色 首行缩进:  0.99 厘米 行距: 1.5 倍行距 + 首行缩进:  2 字符 Char Char"/>
    <w:uiPriority w:val="0"/>
    <w:rPr>
      <w:rFonts w:ascii="仿宋_GB2312" w:eastAsia="仿宋_GB2312" w:cs="宋体"/>
      <w:color w:val="000000"/>
      <w:kern w:val="2"/>
      <w:sz w:val="24"/>
      <w:lang w:val="en-US" w:eastAsia="zh-CN" w:bidi="ar-SA"/>
    </w:rPr>
  </w:style>
  <w:style w:type="character" w:customStyle="1" w:styleId="956">
    <w:name w:val="d1"/>
    <w:uiPriority w:val="0"/>
    <w:rPr>
      <w:sz w:val="10"/>
      <w:szCs w:val="10"/>
    </w:rPr>
  </w:style>
  <w:style w:type="character" w:customStyle="1" w:styleId="957">
    <w:name w:val="apple-style-span"/>
    <w:basedOn w:val="96"/>
    <w:uiPriority w:val="0"/>
  </w:style>
  <w:style w:type="character" w:customStyle="1" w:styleId="958">
    <w:name w:val="contents"/>
    <w:uiPriority w:val="0"/>
    <w:rPr>
      <w:rFonts w:ascii="宋体" w:hAnsi="宋体" w:eastAsia="黑体" w:cs="Courier New"/>
      <w:kern w:val="2"/>
      <w:sz w:val="24"/>
      <w:szCs w:val="32"/>
      <w:lang w:val="en-US" w:eastAsia="zh-CN" w:bidi="ar-SA"/>
    </w:rPr>
  </w:style>
  <w:style w:type="character" w:customStyle="1" w:styleId="959">
    <w:name w:val="君邦正文 Char1"/>
    <w:link w:val="960"/>
    <w:uiPriority w:val="0"/>
    <w:rPr>
      <w:snapToGrid w:val="0"/>
      <w:sz w:val="24"/>
      <w:lang w:val="en-US" w:eastAsia="zh-CN" w:bidi="ar-SA"/>
    </w:rPr>
  </w:style>
  <w:style w:type="paragraph" w:customStyle="1" w:styleId="960">
    <w:name w:val="君邦正文"/>
    <w:link w:val="959"/>
    <w:uiPriority w:val="0"/>
    <w:pPr>
      <w:spacing w:after="60" w:line="360" w:lineRule="auto"/>
      <w:ind w:firstLine="480" w:firstLineChars="200"/>
      <w:jc w:val="both"/>
    </w:pPr>
    <w:rPr>
      <w:snapToGrid w:val="0"/>
      <w:sz w:val="24"/>
      <w:lang w:val="en-US" w:eastAsia="zh-CN" w:bidi="ar-SA"/>
    </w:rPr>
  </w:style>
  <w:style w:type="character" w:customStyle="1" w:styleId="961">
    <w:name w:val="海南化工城正文 Char Char"/>
    <w:uiPriority w:val="0"/>
    <w:rPr>
      <w:rFonts w:ascii="宋体" w:hAnsi="宋体" w:eastAsia="宋体" w:cs="宋体"/>
      <w:kern w:val="2"/>
      <w:sz w:val="24"/>
      <w:lang w:val="en-US" w:eastAsia="zh-CN" w:bidi="ar-SA"/>
    </w:rPr>
  </w:style>
  <w:style w:type="character" w:customStyle="1" w:styleId="962">
    <w:name w:val="green1"/>
    <w:uiPriority w:val="0"/>
    <w:rPr>
      <w:b/>
      <w:bCs/>
      <w:color w:val="8AC300"/>
    </w:rPr>
  </w:style>
  <w:style w:type="character" w:customStyle="1" w:styleId="963">
    <w:name w:val="样式 标题 1 + 黑体 小三 非加粗 Char Char"/>
    <w:uiPriority w:val="0"/>
    <w:rPr>
      <w:rFonts w:ascii="黑体" w:hAnsi="黑体" w:eastAsia="黑体"/>
      <w:b/>
      <w:bCs/>
      <w:kern w:val="44"/>
      <w:sz w:val="30"/>
      <w:szCs w:val="44"/>
      <w:lang w:val="en-US" w:eastAsia="zh-CN" w:bidi="ar-SA"/>
    </w:rPr>
  </w:style>
  <w:style w:type="character" w:customStyle="1" w:styleId="964">
    <w:name w:val="正文(首行缩进)宋旭峰 Char Char"/>
    <w:link w:val="965"/>
    <w:uiPriority w:val="0"/>
    <w:rPr>
      <w:rFonts w:eastAsia="宋体"/>
      <w:snapToGrid w:val="0"/>
      <w:sz w:val="24"/>
      <w:szCs w:val="24"/>
      <w:lang w:val="en-US" w:eastAsia="zh-CN" w:bidi="ar-SA"/>
    </w:rPr>
  </w:style>
  <w:style w:type="paragraph" w:customStyle="1" w:styleId="965">
    <w:name w:val="正文(首行缩进)宋旭峰"/>
    <w:basedOn w:val="10"/>
    <w:link w:val="964"/>
    <w:uiPriority w:val="0"/>
    <w:pPr>
      <w:snapToGrid w:val="0"/>
      <w:spacing w:line="360" w:lineRule="auto"/>
      <w:ind w:firstLine="480"/>
    </w:pPr>
    <w:rPr>
      <w:snapToGrid w:val="0"/>
      <w:kern w:val="0"/>
      <w:sz w:val="24"/>
    </w:rPr>
  </w:style>
  <w:style w:type="character" w:customStyle="1" w:styleId="966">
    <w:name w:val=" Char Char Char"/>
    <w:uiPriority w:val="0"/>
    <w:rPr>
      <w:rFonts w:eastAsia="宋体"/>
      <w:kern w:val="2"/>
      <w:sz w:val="18"/>
      <w:szCs w:val="18"/>
      <w:lang w:val="en-US" w:eastAsia="zh-CN" w:bidi="ar-SA"/>
    </w:rPr>
  </w:style>
  <w:style w:type="character" w:customStyle="1" w:styleId="967">
    <w:name w:val="info1"/>
    <w:uiPriority w:val="0"/>
    <w:rPr>
      <w:spacing w:val="15"/>
      <w:sz w:val="21"/>
      <w:szCs w:val="21"/>
    </w:rPr>
  </w:style>
  <w:style w:type="character" w:customStyle="1" w:styleId="968">
    <w:name w:val="105pt12h1"/>
    <w:uiPriority w:val="0"/>
    <w:rPr>
      <w:sz w:val="21"/>
      <w:szCs w:val="21"/>
    </w:rPr>
  </w:style>
  <w:style w:type="character" w:customStyle="1" w:styleId="969">
    <w:name w:val="报告正文 Char Char Char Char Char"/>
    <w:uiPriority w:val="0"/>
    <w:rPr>
      <w:rFonts w:ascii="宋体" w:eastAsia="宋体"/>
      <w:kern w:val="2"/>
      <w:sz w:val="24"/>
      <w:lang w:val="en-US" w:eastAsia="zh-CN" w:bidi="ar-SA"/>
    </w:rPr>
  </w:style>
  <w:style w:type="character" w:customStyle="1" w:styleId="970">
    <w:name w:val=" Char Char21"/>
    <w:uiPriority w:val="0"/>
    <w:rPr>
      <w:rFonts w:eastAsia="宋体"/>
      <w:color w:val="000000"/>
      <w:kern w:val="2"/>
      <w:sz w:val="24"/>
      <w:lang w:val="en-US" w:eastAsia="zh-CN" w:bidi="ar-SA"/>
    </w:rPr>
  </w:style>
  <w:style w:type="character" w:customStyle="1" w:styleId="971">
    <w:name w:val="Char Char18"/>
    <w:uiPriority w:val="0"/>
    <w:rPr>
      <w:rFonts w:ascii="Arial" w:hAnsi="Arial" w:eastAsia="黑体"/>
      <w:b/>
      <w:bCs/>
      <w:sz w:val="24"/>
      <w:szCs w:val="24"/>
      <w:lang w:val="en-US" w:eastAsia="zh-CN" w:bidi="ar-SA"/>
    </w:rPr>
  </w:style>
  <w:style w:type="character" w:customStyle="1" w:styleId="972">
    <w:name w:val="正式文本 Char"/>
    <w:link w:val="973"/>
    <w:uiPriority w:val="0"/>
    <w:rPr>
      <w:rFonts w:ascii="Arial Narrow" w:hAnsi="Arial Narrow" w:eastAsia="汉鼎简书宋"/>
      <w:kern w:val="2"/>
      <w:sz w:val="24"/>
      <w:szCs w:val="24"/>
      <w:lang w:val="en-US" w:eastAsia="zh-CN" w:bidi="ar-SA"/>
    </w:rPr>
  </w:style>
  <w:style w:type="paragraph" w:customStyle="1" w:styleId="973">
    <w:name w:val="正式文本"/>
    <w:basedOn w:val="1"/>
    <w:link w:val="972"/>
    <w:uiPriority w:val="0"/>
    <w:pPr>
      <w:spacing w:line="500" w:lineRule="exact"/>
      <w:ind w:firstLine="200" w:firstLineChars="200"/>
    </w:pPr>
    <w:rPr>
      <w:rFonts w:ascii="Arial Narrow" w:hAnsi="Arial Narrow" w:eastAsia="汉鼎简书宋"/>
      <w:sz w:val="24"/>
    </w:rPr>
  </w:style>
  <w:style w:type="character" w:customStyle="1" w:styleId="974">
    <w:name w:val="样式 标题 2标题 2 Char Char + 宋体1 Char Char"/>
    <w:link w:val="975"/>
    <w:uiPriority w:val="0"/>
    <w:rPr>
      <w:rFonts w:ascii="宋体" w:hAnsi="宋体" w:eastAsia="宋体"/>
      <w:b/>
      <w:sz w:val="28"/>
      <w:lang w:bidi="ar-SA"/>
    </w:rPr>
  </w:style>
  <w:style w:type="paragraph" w:customStyle="1" w:styleId="975">
    <w:name w:val="样式 标题 2标题 2 Char Char + 宋体1"/>
    <w:basedOn w:val="6"/>
    <w:link w:val="974"/>
    <w:uiPriority w:val="0"/>
    <w:pPr>
      <w:keepLines w:val="0"/>
      <w:widowControl/>
      <w:tabs>
        <w:tab w:val="right" w:pos="8640"/>
      </w:tabs>
      <w:overflowPunct w:val="0"/>
      <w:autoSpaceDE w:val="0"/>
      <w:autoSpaceDN w:val="0"/>
      <w:adjustRightInd w:val="0"/>
      <w:spacing w:before="0" w:beforeLines="0" w:after="0" w:afterLines="0" w:line="440" w:lineRule="exact"/>
      <w:jc w:val="left"/>
      <w:textAlignment w:val="baseline"/>
    </w:pPr>
    <w:rPr>
      <w:rFonts w:ascii="宋体" w:hAnsi="宋体" w:eastAsia="宋体"/>
      <w:bCs w:val="0"/>
      <w:kern w:val="0"/>
      <w:sz w:val="28"/>
      <w:szCs w:val="20"/>
    </w:rPr>
  </w:style>
  <w:style w:type="character" w:customStyle="1" w:styleId="976">
    <w:name w:val="样式 样式 宋体 四号 黑色 左侧:  0.32 厘米 行距: 1.5 倍行距 + 首行缩进:  2 字符2 Char"/>
    <w:link w:val="977"/>
    <w:uiPriority w:val="0"/>
    <w:rPr>
      <w:rFonts w:eastAsia="宋体" w:cs="宋体"/>
      <w:kern w:val="2"/>
      <w:sz w:val="28"/>
      <w:szCs w:val="28"/>
      <w:lang w:val="en-US" w:eastAsia="zh-CN" w:bidi="ar-SA"/>
    </w:rPr>
  </w:style>
  <w:style w:type="paragraph" w:customStyle="1" w:styleId="977">
    <w:name w:val="样式 样式 宋体 四号 黑色 左侧:  0.32 厘米 行距: 1.5 倍行距 + 首行缩进:  2 字符2"/>
    <w:basedOn w:val="1"/>
    <w:link w:val="976"/>
    <w:uiPriority w:val="0"/>
    <w:pPr>
      <w:spacing w:line="360" w:lineRule="auto"/>
      <w:ind w:firstLine="560" w:firstLineChars="200"/>
    </w:pPr>
    <w:rPr>
      <w:rFonts w:cs="宋体"/>
      <w:sz w:val="28"/>
      <w:szCs w:val="28"/>
    </w:rPr>
  </w:style>
  <w:style w:type="character" w:customStyle="1" w:styleId="978">
    <w:name w:val="正文文本缩进 Char"/>
    <w:uiPriority w:val="0"/>
    <w:rPr>
      <w:rFonts w:eastAsia="宋体"/>
      <w:kern w:val="2"/>
      <w:sz w:val="21"/>
      <w:szCs w:val="24"/>
      <w:lang w:val="en-US" w:eastAsia="zh-CN" w:bidi="ar-SA"/>
    </w:rPr>
  </w:style>
  <w:style w:type="character" w:customStyle="1" w:styleId="979">
    <w:name w:val="纯文本 Char Char1"/>
    <w:aliases w:val="普通文字 Char Char1,普通文字 Char Char Char Char1,普通文字 Char Char Char Char Char Char Char Char Char,普通文字 Char Char Char Char Char Char Char Char1,普通文字 Char1,普通文字 Char Char Char Char Char,正文文字( 首段缩进两字） Char Char Char Char,表格文字 Char,Plain Text Char"/>
    <w:qFormat/>
    <w:uiPriority w:val="0"/>
    <w:rPr>
      <w:rFonts w:ascii="宋体" w:hAnsi="Courier New" w:eastAsia="宋体" w:cs="Courier New"/>
      <w:bCs/>
      <w:kern w:val="2"/>
      <w:sz w:val="24"/>
      <w:szCs w:val="24"/>
      <w:lang w:val="en-US" w:eastAsia="zh-CN" w:bidi="ar-SA"/>
    </w:rPr>
  </w:style>
  <w:style w:type="character" w:customStyle="1" w:styleId="980">
    <w:name w:val="表格名称 Char Char"/>
    <w:uiPriority w:val="0"/>
    <w:rPr>
      <w:rFonts w:ascii="黑体" w:hAnsi="宋体" w:eastAsia="黑体" w:cs="宋体"/>
      <w:bCs/>
      <w:snapToGrid w:val="0"/>
      <w:kern w:val="18"/>
      <w:sz w:val="24"/>
      <w:szCs w:val="24"/>
      <w:lang w:val="eu-ES" w:eastAsia="zh-CN" w:bidi="ar-SA"/>
    </w:rPr>
  </w:style>
  <w:style w:type="character" w:customStyle="1" w:styleId="981">
    <w:name w:val="普通文字 Char Char Char Char Char Char Char Char Char Char Char Char Char Char"/>
    <w:aliases w:val="普通文字 Char Char Char Char Char Char Char Char Char Char Char Char C Char Char Char"/>
    <w:uiPriority w:val="0"/>
    <w:rPr>
      <w:rFonts w:ascii="宋体" w:hAnsi="Courier New" w:eastAsia="宋体"/>
      <w:kern w:val="2"/>
      <w:sz w:val="28"/>
      <w:lang w:val="en-US" w:eastAsia="zh-CN" w:bidi="ar-SA"/>
    </w:rPr>
  </w:style>
  <w:style w:type="character" w:customStyle="1" w:styleId="982">
    <w:name w:val="标号标题 Char Char"/>
    <w:link w:val="983"/>
    <w:uiPriority w:val="0"/>
    <w:rPr>
      <w:rFonts w:ascii="黑体" w:eastAsia="黑体"/>
      <w:kern w:val="2"/>
      <w:sz w:val="24"/>
      <w:szCs w:val="24"/>
      <w:lang w:val="en-US" w:eastAsia="zh-CN" w:bidi="ar-SA"/>
    </w:rPr>
  </w:style>
  <w:style w:type="paragraph" w:customStyle="1" w:styleId="983">
    <w:name w:val="标号标题"/>
    <w:basedOn w:val="1"/>
    <w:link w:val="982"/>
    <w:uiPriority w:val="0"/>
    <w:pPr>
      <w:spacing w:before="240" w:beforeLines="0" w:after="240" w:afterLines="0" w:line="360" w:lineRule="auto"/>
      <w:jc w:val="center"/>
    </w:pPr>
    <w:rPr>
      <w:rFonts w:ascii="黑体" w:eastAsia="黑体"/>
      <w:sz w:val="24"/>
    </w:rPr>
  </w:style>
  <w:style w:type="character" w:customStyle="1" w:styleId="984">
    <w:name w:val="p13z1"/>
    <w:uiPriority w:val="0"/>
    <w:rPr>
      <w:spacing w:val="0"/>
      <w:sz w:val="20"/>
      <w:szCs w:val="20"/>
    </w:rPr>
  </w:style>
  <w:style w:type="character" w:customStyle="1" w:styleId="985">
    <w:name w:val="样式 13.5 磅"/>
    <w:uiPriority w:val="0"/>
    <w:rPr>
      <w:sz w:val="28"/>
    </w:rPr>
  </w:style>
  <w:style w:type="character" w:customStyle="1" w:styleId="986">
    <w:name w:val="表头 Char Char"/>
    <w:uiPriority w:val="0"/>
    <w:rPr>
      <w:rFonts w:ascii="黑体" w:eastAsia="黑体"/>
      <w:b/>
      <w:bCs/>
      <w:kern w:val="2"/>
      <w:sz w:val="24"/>
      <w:szCs w:val="24"/>
      <w:lang w:val="en-US" w:eastAsia="zh-CN" w:bidi="ar-SA"/>
    </w:rPr>
  </w:style>
  <w:style w:type="character" w:customStyle="1" w:styleId="987">
    <w:name w:val="titlefont"/>
    <w:basedOn w:val="96"/>
    <w:uiPriority w:val="0"/>
  </w:style>
  <w:style w:type="character" w:customStyle="1" w:styleId="988">
    <w:name w:val="1标题2级 Char Char"/>
    <w:link w:val="989"/>
    <w:uiPriority w:val="0"/>
    <w:rPr>
      <w:rFonts w:eastAsia="黑体"/>
      <w:b/>
      <w:kern w:val="2"/>
      <w:sz w:val="28"/>
      <w:lang w:val="en-US" w:eastAsia="zh-CN" w:bidi="ar-SA"/>
    </w:rPr>
  </w:style>
  <w:style w:type="paragraph" w:customStyle="1" w:styleId="989">
    <w:name w:val="1标题2级"/>
    <w:basedOn w:val="1"/>
    <w:link w:val="988"/>
    <w:uiPriority w:val="0"/>
    <w:pPr>
      <w:keepNext/>
      <w:snapToGrid w:val="0"/>
      <w:spacing w:line="420" w:lineRule="auto"/>
      <w:outlineLvl w:val="1"/>
    </w:pPr>
    <w:rPr>
      <w:rFonts w:eastAsia="黑体"/>
      <w:b/>
      <w:sz w:val="28"/>
      <w:szCs w:val="20"/>
    </w:rPr>
  </w:style>
  <w:style w:type="character" w:customStyle="1" w:styleId="990">
    <w:name w:val="09表格题头 Char Char"/>
    <w:link w:val="991"/>
    <w:uiPriority w:val="0"/>
    <w:rPr>
      <w:rFonts w:eastAsia="宋体" w:cs="宋体"/>
      <w:b/>
      <w:bCs/>
      <w:kern w:val="2"/>
      <w:sz w:val="21"/>
      <w:lang w:val="en-US" w:eastAsia="zh-CN" w:bidi="ar-SA"/>
    </w:rPr>
  </w:style>
  <w:style w:type="paragraph" w:customStyle="1" w:styleId="991">
    <w:name w:val="09表格题头"/>
    <w:basedOn w:val="1"/>
    <w:link w:val="990"/>
    <w:uiPriority w:val="0"/>
    <w:pPr>
      <w:spacing w:before="156" w:beforeLines="50"/>
      <w:jc w:val="left"/>
    </w:pPr>
    <w:rPr>
      <w:rFonts w:cs="宋体"/>
      <w:b/>
      <w:bCs/>
      <w:szCs w:val="20"/>
    </w:rPr>
  </w:style>
  <w:style w:type="character" w:customStyle="1" w:styleId="992">
    <w:name w:val="search_content1"/>
    <w:uiPriority w:val="0"/>
    <w:rPr>
      <w:sz w:val="22"/>
    </w:rPr>
  </w:style>
  <w:style w:type="character" w:customStyle="1" w:styleId="993">
    <w:name w:val="表头 Char1"/>
    <w:link w:val="994"/>
    <w:uiPriority w:val="0"/>
    <w:rPr>
      <w:rFonts w:hAnsi="宋体" w:eastAsia="宋体"/>
      <w:b/>
      <w:bCs/>
      <w:sz w:val="24"/>
      <w:szCs w:val="24"/>
      <w:lang w:val="en-US" w:eastAsia="zh-CN" w:bidi="ar-SA"/>
    </w:rPr>
  </w:style>
  <w:style w:type="paragraph" w:customStyle="1" w:styleId="994">
    <w:name w:val="表头"/>
    <w:basedOn w:val="10"/>
    <w:next w:val="1"/>
    <w:link w:val="993"/>
    <w:uiPriority w:val="0"/>
    <w:pPr>
      <w:tabs>
        <w:tab w:val="left" w:pos="3480"/>
      </w:tabs>
      <w:autoSpaceDE w:val="0"/>
      <w:autoSpaceDN w:val="0"/>
      <w:adjustRightInd w:val="0"/>
      <w:ind w:left="0" w:leftChars="0" w:firstLine="0" w:firstLineChars="0"/>
      <w:jc w:val="center"/>
      <w:textAlignment w:val="baseline"/>
    </w:pPr>
    <w:rPr>
      <w:rFonts w:hAnsi="宋体"/>
      <w:b/>
      <w:bCs/>
      <w:kern w:val="0"/>
      <w:sz w:val="24"/>
    </w:rPr>
  </w:style>
  <w:style w:type="character" w:customStyle="1" w:styleId="995">
    <w:name w:val="正文首行缩进 Char"/>
    <w:link w:val="996"/>
    <w:uiPriority w:val="0"/>
    <w:rPr>
      <w:rFonts w:eastAsia="宋体"/>
      <w:kern w:val="2"/>
      <w:sz w:val="21"/>
      <w:szCs w:val="24"/>
      <w:lang w:val="en-US" w:eastAsia="zh-CN" w:bidi="ar-SA"/>
    </w:rPr>
  </w:style>
  <w:style w:type="paragraph" w:customStyle="1" w:styleId="996">
    <w:name w:val="_Style 888"/>
    <w:basedOn w:val="35"/>
    <w:next w:val="85"/>
    <w:link w:val="995"/>
    <w:uiPriority w:val="0"/>
    <w:pPr>
      <w:ind w:firstLine="420" w:firstLineChars="100"/>
    </w:pPr>
  </w:style>
  <w:style w:type="character" w:customStyle="1" w:styleId="997">
    <w:name w:val="表号 Char2"/>
    <w:link w:val="998"/>
    <w:uiPriority w:val="0"/>
    <w:rPr>
      <w:rFonts w:eastAsia="Times New Roman"/>
      <w:sz w:val="21"/>
      <w:lang w:val="en-US" w:eastAsia="zh-CN" w:bidi="ar-SA"/>
    </w:rPr>
  </w:style>
  <w:style w:type="paragraph" w:customStyle="1" w:styleId="998">
    <w:name w:val="表号"/>
    <w:link w:val="997"/>
    <w:uiPriority w:val="0"/>
    <w:pPr>
      <w:outlineLvl w:val="4"/>
    </w:pPr>
    <w:rPr>
      <w:rFonts w:eastAsia="Times New Roman"/>
      <w:sz w:val="21"/>
      <w:lang w:val="en-US" w:eastAsia="zh-CN" w:bidi="ar-SA"/>
    </w:rPr>
  </w:style>
  <w:style w:type="character" w:customStyle="1" w:styleId="999">
    <w:name w:val="正文 + 首行缩进:  2 字符 Char Char"/>
    <w:uiPriority w:val="0"/>
    <w:rPr>
      <w:rFonts w:ascii="宋体" w:hAnsi="宋体" w:eastAsia="宋体" w:cs="宋体"/>
      <w:kern w:val="2"/>
      <w:sz w:val="24"/>
      <w:szCs w:val="24"/>
      <w:lang w:val="en-US" w:eastAsia="zh-CN" w:bidi="ar-SA"/>
    </w:rPr>
  </w:style>
  <w:style w:type="character" w:customStyle="1" w:styleId="1000">
    <w:name w:val="样式 hb1 + Times New Roman Char Char"/>
    <w:uiPriority w:val="0"/>
    <w:rPr>
      <w:rFonts w:eastAsia="宋体"/>
      <w:b/>
      <w:kern w:val="2"/>
      <w:sz w:val="32"/>
      <w:szCs w:val="32"/>
      <w:lang w:val="en-US" w:eastAsia="zh-CN" w:bidi="ar-SA"/>
    </w:rPr>
  </w:style>
  <w:style w:type="character" w:customStyle="1" w:styleId="1001">
    <w:name w:val="二级标题 Char"/>
    <w:uiPriority w:val="0"/>
    <w:rPr>
      <w:rFonts w:ascii="黑体" w:hAnsi="Arial" w:eastAsia="黑体"/>
      <w:b/>
      <w:bCs/>
      <w:kern w:val="2"/>
      <w:sz w:val="28"/>
      <w:szCs w:val="28"/>
      <w:lang w:val="en-US" w:eastAsia="zh-CN" w:bidi="ar-SA"/>
    </w:rPr>
  </w:style>
  <w:style w:type="character" w:customStyle="1" w:styleId="1002">
    <w:name w:val="hb1 Char Char"/>
    <w:uiPriority w:val="0"/>
    <w:rPr>
      <w:rFonts w:eastAsia="黑体"/>
      <w:b/>
      <w:sz w:val="32"/>
      <w:szCs w:val="32"/>
      <w:lang w:val="en-US" w:eastAsia="zh-CN" w:bidi="ar-SA"/>
    </w:rPr>
  </w:style>
  <w:style w:type="character" w:customStyle="1" w:styleId="1003">
    <w:name w:val="样式 Times New Roman Char Char"/>
    <w:link w:val="1004"/>
    <w:uiPriority w:val="0"/>
    <w:rPr>
      <w:rFonts w:ascii="宋体" w:eastAsia="宋体" w:cs="宋体"/>
      <w:kern w:val="2"/>
      <w:sz w:val="28"/>
      <w:lang w:val="en-US" w:eastAsia="zh-CN" w:bidi="ar-SA"/>
    </w:rPr>
  </w:style>
  <w:style w:type="paragraph" w:customStyle="1" w:styleId="1004">
    <w:name w:val="样式 Times New Roman"/>
    <w:basedOn w:val="1"/>
    <w:link w:val="1003"/>
    <w:uiPriority w:val="0"/>
    <w:pPr>
      <w:ind w:firstLine="200" w:firstLineChars="200"/>
    </w:pPr>
    <w:rPr>
      <w:rFonts w:ascii="宋体" w:cs="宋体"/>
      <w:sz w:val="28"/>
      <w:szCs w:val="20"/>
    </w:rPr>
  </w:style>
  <w:style w:type="character" w:customStyle="1" w:styleId="1005">
    <w:name w:val="样式6 Char"/>
    <w:uiPriority w:val="0"/>
    <w:rPr>
      <w:rFonts w:ascii="Calibri" w:hAnsi="Calibri" w:eastAsia="宋体"/>
      <w:color w:val="000000"/>
      <w:kern w:val="2"/>
      <w:sz w:val="24"/>
      <w:szCs w:val="22"/>
      <w:lang w:bidi="ar-SA"/>
    </w:rPr>
  </w:style>
  <w:style w:type="character" w:customStyle="1" w:styleId="1006">
    <w:name w:val="zfgb_xl_xbt"/>
    <w:basedOn w:val="96"/>
    <w:uiPriority w:val="0"/>
  </w:style>
  <w:style w:type="character" w:customStyle="1" w:styleId="1007">
    <w:name w:val="style21"/>
    <w:uiPriority w:val="0"/>
    <w:rPr>
      <w:rFonts w:ascii="宋体" w:hAnsi="宋体" w:eastAsia="黑体" w:cs="Courier New"/>
      <w:color w:val="0000A0"/>
      <w:kern w:val="2"/>
      <w:sz w:val="33"/>
      <w:szCs w:val="33"/>
      <w:lang w:val="en-US" w:eastAsia="zh-CN" w:bidi="ar-SA"/>
    </w:rPr>
  </w:style>
  <w:style w:type="character" w:customStyle="1" w:styleId="1008">
    <w:name w:val="四级标题 Char Char"/>
    <w:uiPriority w:val="0"/>
    <w:rPr>
      <w:rFonts w:ascii="宋体" w:hAnsi="宋体" w:eastAsia="宋体"/>
      <w:bCs/>
      <w:kern w:val="2"/>
      <w:sz w:val="24"/>
      <w:szCs w:val="24"/>
      <w:lang w:val="en-US" w:eastAsia="zh-CN" w:bidi="ar-SA"/>
    </w:rPr>
  </w:style>
  <w:style w:type="character" w:customStyle="1" w:styleId="1009">
    <w:name w:val="正文文字( 首段缩进两字） Char Char"/>
    <w:uiPriority w:val="0"/>
    <w:rPr>
      <w:rFonts w:eastAsia="宋体"/>
      <w:kern w:val="2"/>
      <w:sz w:val="21"/>
      <w:szCs w:val="24"/>
      <w:lang w:val="en-US" w:eastAsia="zh-CN" w:bidi="ar-SA"/>
    </w:rPr>
  </w:style>
  <w:style w:type="character" w:customStyle="1" w:styleId="1010">
    <w:name w:val="表格1 Char Char"/>
    <w:uiPriority w:val="0"/>
    <w:rPr>
      <w:rFonts w:eastAsia="宋体"/>
      <w:kern w:val="2"/>
      <w:sz w:val="21"/>
      <w:szCs w:val="24"/>
      <w:lang w:val="en-US" w:eastAsia="zh-CN" w:bidi="ar-SA"/>
    </w:rPr>
  </w:style>
  <w:style w:type="character" w:customStyle="1" w:styleId="1011">
    <w:name w:val="正文段落 Char Char Char Char"/>
    <w:link w:val="1012"/>
    <w:uiPriority w:val="0"/>
    <w:rPr>
      <w:rFonts w:eastAsia="宋体"/>
      <w:kern w:val="2"/>
      <w:sz w:val="24"/>
      <w:szCs w:val="24"/>
      <w:lang w:val="en-US" w:eastAsia="zh-CN" w:bidi="ar-SA"/>
    </w:rPr>
  </w:style>
  <w:style w:type="paragraph" w:customStyle="1" w:styleId="1012">
    <w:name w:val="正文段落 Char Char"/>
    <w:basedOn w:val="1"/>
    <w:link w:val="1011"/>
    <w:uiPriority w:val="0"/>
    <w:pPr>
      <w:widowControl/>
      <w:spacing w:line="360" w:lineRule="auto"/>
      <w:jc w:val="left"/>
    </w:pPr>
    <w:rPr>
      <w:sz w:val="24"/>
    </w:rPr>
  </w:style>
  <w:style w:type="character" w:customStyle="1" w:styleId="1013">
    <w:name w:val="样式 图号 + 宋体 Char Char"/>
    <w:basedOn w:val="408"/>
    <w:uiPriority w:val="0"/>
  </w:style>
  <w:style w:type="character" w:customStyle="1" w:styleId="1014">
    <w:name w:val="第三标题 Char Char"/>
    <w:uiPriority w:val="0"/>
    <w:rPr>
      <w:rFonts w:ascii="Arial" w:hAnsi="Arial" w:eastAsia="宋体"/>
      <w:b/>
      <w:bCs/>
      <w:color w:val="000000"/>
      <w:kern w:val="2"/>
      <w:sz w:val="32"/>
      <w:szCs w:val="32"/>
      <w:lang w:val="en-US" w:eastAsia="zh-CN" w:bidi="ar-SA"/>
    </w:rPr>
  </w:style>
  <w:style w:type="character" w:customStyle="1" w:styleId="1015">
    <w:name w:val="标题1 Char + 方正黑体_GBK 小三"/>
    <w:uiPriority w:val="0"/>
    <w:rPr>
      <w:rFonts w:ascii="Times New Roman" w:hAnsi="Times New Roman" w:eastAsia="方正黑体_GBK"/>
      <w:b/>
      <w:kern w:val="28"/>
      <w:sz w:val="32"/>
      <w:lang w:val="en-US" w:eastAsia="zh-CN"/>
    </w:rPr>
  </w:style>
  <w:style w:type="character" w:customStyle="1" w:styleId="1016">
    <w:name w:val="样式 标题 3 + 宋体 四号 Char Char Char Char Char"/>
    <w:uiPriority w:val="0"/>
    <w:rPr>
      <w:rFonts w:ascii="宋体" w:hAnsi="宋体" w:eastAsia="宋体"/>
      <w:b/>
      <w:bCs/>
      <w:kern w:val="2"/>
      <w:sz w:val="28"/>
      <w:szCs w:val="28"/>
      <w:lang w:val="en-US" w:eastAsia="zh-CN" w:bidi="ar-SA"/>
    </w:rPr>
  </w:style>
  <w:style w:type="character" w:customStyle="1" w:styleId="1017">
    <w:name w:val="news_c_da"/>
    <w:basedOn w:val="96"/>
    <w:uiPriority w:val="0"/>
  </w:style>
  <w:style w:type="character" w:customStyle="1" w:styleId="1018">
    <w:name w:val="正文普宁 Char Char Char"/>
    <w:link w:val="1019"/>
    <w:uiPriority w:val="0"/>
    <w:rPr>
      <w:rFonts w:eastAsia="宋体"/>
      <w:kern w:val="2"/>
      <w:sz w:val="21"/>
      <w:szCs w:val="24"/>
      <w:lang w:val="en-US" w:eastAsia="zh-CN" w:bidi="ar-SA"/>
    </w:rPr>
  </w:style>
  <w:style w:type="paragraph" w:customStyle="1" w:styleId="1019">
    <w:name w:val="正文普宁 Char"/>
    <w:basedOn w:val="1"/>
    <w:link w:val="1018"/>
    <w:uiPriority w:val="0"/>
    <w:pPr>
      <w:spacing w:after="156" w:afterLines="50"/>
      <w:ind w:firstLine="200" w:firstLineChars="200"/>
    </w:pPr>
  </w:style>
  <w:style w:type="character" w:customStyle="1" w:styleId="1020">
    <w:name w:val="第一条1"/>
    <w:uiPriority w:val="0"/>
    <w:rPr>
      <w:rFonts w:hint="eastAsia" w:ascii="黑体" w:eastAsia="黑体"/>
      <w:sz w:val="24"/>
    </w:rPr>
  </w:style>
  <w:style w:type="character" w:customStyle="1" w:styleId="1021">
    <w:name w:val="Char Char20"/>
    <w:uiPriority w:val="0"/>
    <w:rPr>
      <w:rFonts w:eastAsia="宋体"/>
      <w:kern w:val="2"/>
      <w:sz w:val="24"/>
      <w:szCs w:val="24"/>
      <w:lang w:val="en-US" w:eastAsia="zh-CN" w:bidi="ar-SA"/>
    </w:rPr>
  </w:style>
  <w:style w:type="character" w:customStyle="1" w:styleId="1022">
    <w:name w:val="标题 Char Char"/>
    <w:uiPriority w:val="0"/>
    <w:rPr>
      <w:rFonts w:ascii="宋体" w:hAnsi="宋体" w:cs="宋体"/>
      <w:b/>
      <w:bCs/>
      <w:sz w:val="44"/>
      <w:lang w:val="en-US"/>
    </w:rPr>
  </w:style>
  <w:style w:type="character" w:customStyle="1" w:styleId="1023">
    <w:name w:val="title"/>
    <w:basedOn w:val="96"/>
    <w:uiPriority w:val="0"/>
  </w:style>
  <w:style w:type="character" w:customStyle="1" w:styleId="1024">
    <w:name w:val="标题 5 Char Char"/>
    <w:uiPriority w:val="0"/>
    <w:rPr>
      <w:rFonts w:eastAsia="宋体"/>
      <w:b/>
      <w:kern w:val="2"/>
      <w:sz w:val="28"/>
      <w:lang w:val="en-US" w:eastAsia="zh-CN" w:bidi="ar-SA"/>
    </w:rPr>
  </w:style>
  <w:style w:type="character" w:customStyle="1" w:styleId="1025">
    <w:name w:val="自动表头 Char"/>
    <w:link w:val="1026"/>
    <w:uiPriority w:val="0"/>
    <w:rPr>
      <w:rFonts w:ascii="黑体" w:eastAsia="宋体"/>
      <w:b/>
      <w:bCs/>
      <w:kern w:val="2"/>
      <w:sz w:val="21"/>
      <w:szCs w:val="21"/>
      <w:lang w:val="en-US" w:eastAsia="zh-CN" w:bidi="ar-SA"/>
    </w:rPr>
  </w:style>
  <w:style w:type="paragraph" w:customStyle="1" w:styleId="1026">
    <w:name w:val="自动表头"/>
    <w:basedOn w:val="994"/>
    <w:link w:val="1025"/>
    <w:uiPriority w:val="0"/>
    <w:pPr>
      <w:tabs>
        <w:tab w:val="clear" w:pos="3480"/>
      </w:tabs>
      <w:spacing w:before="120" w:beforeLines="50" w:afterLines="50"/>
      <w:ind w:firstLine="422" w:firstLineChars="200"/>
      <w:jc w:val="both"/>
      <w:textAlignment w:val="auto"/>
    </w:pPr>
    <w:rPr>
      <w:rFonts w:ascii="黑体" w:hAnsi="Times New Roman"/>
      <w:kern w:val="2"/>
      <w:sz w:val="21"/>
      <w:szCs w:val="21"/>
    </w:rPr>
  </w:style>
  <w:style w:type="character" w:customStyle="1" w:styleId="1027">
    <w:name w:val="f141"/>
    <w:uiPriority w:val="0"/>
    <w:rPr>
      <w:rFonts w:hint="eastAsia" w:ascii="宋体" w:hAnsi="宋体" w:eastAsia="宋体" w:cs="Courier New"/>
      <w:kern w:val="2"/>
      <w:sz w:val="21"/>
      <w:szCs w:val="21"/>
      <w:lang w:val="en-US" w:eastAsia="zh-CN" w:bidi="ar-SA"/>
    </w:rPr>
  </w:style>
  <w:style w:type="character" w:customStyle="1" w:styleId="1028">
    <w:name w:val="样式 标题 2SeHead wsa2H21标题 1.1Chapter TitleChapter节标题 1.1h... Char Char"/>
    <w:link w:val="1029"/>
    <w:uiPriority w:val="0"/>
    <w:rPr>
      <w:rFonts w:eastAsia="方正黑体_GBK"/>
      <w:b/>
      <w:kern w:val="2"/>
      <w:sz w:val="30"/>
      <w:lang w:val="en-US" w:eastAsia="zh-CN" w:bidi="ar-SA"/>
    </w:rPr>
  </w:style>
  <w:style w:type="paragraph" w:customStyle="1" w:styleId="1029">
    <w:name w:val="样式 标题 2SeHead wsa2H21标题 1.1Chapter TitleChapter节标题 1.1h..."/>
    <w:basedOn w:val="989"/>
    <w:next w:val="1030"/>
    <w:link w:val="1028"/>
    <w:uiPriority w:val="0"/>
    <w:rPr>
      <w:rFonts w:eastAsia="方正黑体_GBK"/>
      <w:sz w:val="30"/>
    </w:rPr>
  </w:style>
  <w:style w:type="paragraph" w:customStyle="1" w:styleId="1030">
    <w:name w:val="样式 标题 2"/>
    <w:basedOn w:val="6"/>
    <w:uiPriority w:val="0"/>
    <w:pPr>
      <w:adjustRightInd w:val="0"/>
      <w:spacing w:before="163" w:beforeLines="0" w:after="0" w:afterLines="0" w:line="360" w:lineRule="auto"/>
    </w:pPr>
    <w:rPr>
      <w:rFonts w:ascii="仿宋_GB2312" w:hAnsi="宋体" w:eastAsia="仿宋_GB2312"/>
      <w:sz w:val="30"/>
      <w:szCs w:val="20"/>
    </w:rPr>
  </w:style>
  <w:style w:type="character" w:customStyle="1" w:styleId="1031">
    <w:name w:val="引用 Char"/>
    <w:link w:val="1032"/>
    <w:uiPriority w:val="0"/>
    <w:rPr>
      <w:rFonts w:ascii="Calibri" w:hAnsi="Calibri" w:eastAsia="宋体"/>
      <w:i/>
      <w:iCs/>
      <w:color w:val="000000"/>
      <w:sz w:val="22"/>
      <w:szCs w:val="22"/>
      <w:lang w:val="en-US" w:eastAsia="en-US" w:bidi="en-US"/>
    </w:rPr>
  </w:style>
  <w:style w:type="paragraph" w:styleId="1032">
    <w:name w:val="Quote"/>
    <w:basedOn w:val="1"/>
    <w:next w:val="1"/>
    <w:link w:val="1031"/>
    <w:qFormat/>
    <w:uiPriority w:val="0"/>
    <w:pPr>
      <w:widowControl/>
      <w:spacing w:after="200" w:line="276" w:lineRule="auto"/>
      <w:jc w:val="left"/>
    </w:pPr>
    <w:rPr>
      <w:rFonts w:ascii="Calibri" w:hAnsi="Calibri"/>
      <w:i/>
      <w:iCs/>
      <w:color w:val="000000"/>
      <w:kern w:val="0"/>
      <w:sz w:val="22"/>
      <w:szCs w:val="22"/>
      <w:lang w:eastAsia="en-US" w:bidi="en-US"/>
    </w:rPr>
  </w:style>
  <w:style w:type="character" w:customStyle="1" w:styleId="1033">
    <w:name w:val="样式 (中文) 仿宋_GB2312 四号"/>
    <w:uiPriority w:val="0"/>
    <w:rPr>
      <w:rFonts w:eastAsia="宋体"/>
      <w:sz w:val="28"/>
    </w:rPr>
  </w:style>
  <w:style w:type="character" w:customStyle="1" w:styleId="1034">
    <w:name w:val=" Char Char4"/>
    <w:uiPriority w:val="0"/>
    <w:rPr>
      <w:rFonts w:eastAsia="宋体"/>
      <w:kern w:val="2"/>
      <w:sz w:val="24"/>
      <w:szCs w:val="28"/>
      <w:lang w:val="en-US" w:eastAsia="zh-CN" w:bidi="ar-SA"/>
    </w:rPr>
  </w:style>
  <w:style w:type="character" w:customStyle="1" w:styleId="1035">
    <w:name w:val="样式 宋体 13.5 磅1"/>
    <w:uiPriority w:val="0"/>
    <w:rPr>
      <w:rFonts w:ascii="宋体" w:hAnsi="宋体"/>
      <w:sz w:val="28"/>
    </w:rPr>
  </w:style>
  <w:style w:type="character" w:customStyle="1" w:styleId="1036">
    <w:name w:val="样式 首行缩进:  2 字符1 Char"/>
    <w:link w:val="1037"/>
    <w:uiPriority w:val="0"/>
    <w:rPr>
      <w:rFonts w:eastAsia="宋体" w:cs="宋体"/>
      <w:kern w:val="2"/>
      <w:sz w:val="24"/>
      <w:lang w:val="en-US" w:eastAsia="zh-CN" w:bidi="ar-SA"/>
    </w:rPr>
  </w:style>
  <w:style w:type="paragraph" w:customStyle="1" w:styleId="1037">
    <w:name w:val="样式 首行缩进:  2 字符1"/>
    <w:basedOn w:val="1"/>
    <w:link w:val="1036"/>
    <w:uiPriority w:val="0"/>
    <w:pPr>
      <w:snapToGrid w:val="0"/>
      <w:spacing w:line="360" w:lineRule="auto"/>
      <w:ind w:firstLine="480" w:firstLineChars="200"/>
    </w:pPr>
    <w:rPr>
      <w:rFonts w:cs="宋体"/>
      <w:sz w:val="24"/>
      <w:szCs w:val="20"/>
    </w:rPr>
  </w:style>
  <w:style w:type="character" w:customStyle="1" w:styleId="1038">
    <w:name w:val="标题 Char"/>
    <w:uiPriority w:val="0"/>
    <w:rPr>
      <w:rFonts w:ascii="Arial" w:hAnsi="Arial" w:eastAsia="宋体" w:cs="Arial"/>
      <w:b/>
      <w:bCs/>
      <w:color w:val="000000"/>
      <w:kern w:val="2"/>
      <w:sz w:val="32"/>
      <w:szCs w:val="32"/>
      <w:lang w:val="en-US" w:eastAsia="zh-CN" w:bidi="ar-SA"/>
    </w:rPr>
  </w:style>
  <w:style w:type="character" w:customStyle="1" w:styleId="1039">
    <w:name w:val="正文01 Char1"/>
    <w:link w:val="1040"/>
    <w:locked/>
    <w:uiPriority w:val="0"/>
    <w:rPr>
      <w:rFonts w:ascii="Calibri" w:hAnsi="Calibri" w:eastAsia="宋体"/>
      <w:kern w:val="2"/>
      <w:sz w:val="27"/>
      <w:lang w:val="en-US" w:eastAsia="zh-CN" w:bidi="ar-SA"/>
    </w:rPr>
  </w:style>
  <w:style w:type="paragraph" w:customStyle="1" w:styleId="1040">
    <w:name w:val="正文01"/>
    <w:basedOn w:val="1"/>
    <w:link w:val="1039"/>
    <w:uiPriority w:val="0"/>
    <w:pPr>
      <w:spacing w:before="60" w:beforeLines="0" w:line="460" w:lineRule="exact"/>
      <w:ind w:firstLine="539"/>
    </w:pPr>
    <w:rPr>
      <w:rFonts w:ascii="Calibri" w:hAnsi="Calibri"/>
      <w:sz w:val="27"/>
      <w:szCs w:val="20"/>
    </w:rPr>
  </w:style>
  <w:style w:type="character" w:customStyle="1" w:styleId="1041">
    <w:name w:val="表标题 Char"/>
    <w:link w:val="1042"/>
    <w:qFormat/>
    <w:locked/>
    <w:uiPriority w:val="0"/>
    <w:rPr>
      <w:rFonts w:ascii="宋体" w:hAnsi="Calibri" w:eastAsia="宋体"/>
      <w:b/>
      <w:sz w:val="24"/>
      <w:lang w:val="en-US" w:eastAsia="zh-CN" w:bidi="ar-SA"/>
    </w:rPr>
  </w:style>
  <w:style w:type="paragraph" w:customStyle="1" w:styleId="1042">
    <w:name w:val="表标题"/>
    <w:basedOn w:val="1"/>
    <w:link w:val="1041"/>
    <w:qFormat/>
    <w:uiPriority w:val="0"/>
    <w:pPr>
      <w:adjustRightInd w:val="0"/>
      <w:spacing w:before="60" w:beforeLines="0" w:line="394" w:lineRule="atLeast"/>
      <w:jc w:val="center"/>
      <w:textAlignment w:val="baseline"/>
    </w:pPr>
    <w:rPr>
      <w:rFonts w:ascii="宋体" w:hAnsi="Calibri"/>
      <w:b/>
      <w:kern w:val="0"/>
      <w:sz w:val="24"/>
      <w:szCs w:val="20"/>
    </w:rPr>
  </w:style>
  <w:style w:type="character" w:customStyle="1" w:styleId="1043">
    <w:name w:val="我的标题1 Char Char"/>
    <w:link w:val="1044"/>
    <w:locked/>
    <w:uiPriority w:val="0"/>
    <w:rPr>
      <w:rFonts w:ascii="黑体" w:hAnsi="Calibri" w:eastAsia="黑体"/>
      <w:kern w:val="2"/>
      <w:sz w:val="32"/>
      <w:szCs w:val="24"/>
      <w:lang w:val="en-US" w:eastAsia="zh-CN" w:bidi="ar-SA"/>
    </w:rPr>
  </w:style>
  <w:style w:type="paragraph" w:customStyle="1" w:styleId="1044">
    <w:name w:val="我的标题1"/>
    <w:basedOn w:val="1"/>
    <w:link w:val="1043"/>
    <w:uiPriority w:val="0"/>
    <w:pPr>
      <w:spacing w:line="460" w:lineRule="exact"/>
      <w:ind w:firstLine="192" w:firstLineChars="192"/>
      <w:outlineLvl w:val="0"/>
    </w:pPr>
    <w:rPr>
      <w:rFonts w:ascii="黑体" w:hAnsi="Calibri" w:eastAsia="黑体"/>
      <w:sz w:val="32"/>
    </w:rPr>
  </w:style>
  <w:style w:type="character" w:customStyle="1" w:styleId="1045">
    <w:name w:val="表1 Char"/>
    <w:link w:val="1046"/>
    <w:locked/>
    <w:uiPriority w:val="0"/>
    <w:rPr>
      <w:rFonts w:ascii="Calibri" w:hAnsi="Calibri" w:eastAsia="宋体"/>
      <w:sz w:val="24"/>
      <w:lang w:val="en-US" w:eastAsia="zh-CN" w:bidi="ar-SA"/>
    </w:rPr>
  </w:style>
  <w:style w:type="paragraph" w:customStyle="1" w:styleId="1046">
    <w:name w:val="表1"/>
    <w:basedOn w:val="1"/>
    <w:next w:val="1"/>
    <w:link w:val="1045"/>
    <w:uiPriority w:val="0"/>
    <w:pPr>
      <w:keepNext/>
      <w:widowControl/>
      <w:autoSpaceDE w:val="0"/>
      <w:autoSpaceDN w:val="0"/>
      <w:adjustRightInd w:val="0"/>
      <w:spacing w:before="60" w:beforeLines="0" w:after="60" w:afterLines="0"/>
      <w:jc w:val="left"/>
      <w:textAlignment w:val="baseline"/>
    </w:pPr>
    <w:rPr>
      <w:rFonts w:ascii="Calibri" w:hAnsi="Calibri"/>
      <w:kern w:val="0"/>
      <w:sz w:val="24"/>
      <w:szCs w:val="20"/>
    </w:rPr>
  </w:style>
  <w:style w:type="character" w:customStyle="1" w:styleId="1047">
    <w:name w:val="新正文样式 Char"/>
    <w:link w:val="1048"/>
    <w:locked/>
    <w:uiPriority w:val="0"/>
    <w:rPr>
      <w:rFonts w:ascii="Calibri" w:hAnsi="Calibri" w:eastAsia="宋体"/>
      <w:spacing w:val="20"/>
      <w:kern w:val="2"/>
      <w:sz w:val="24"/>
      <w:lang w:val="en-US" w:eastAsia="zh-CN" w:bidi="ar-SA"/>
    </w:rPr>
  </w:style>
  <w:style w:type="paragraph" w:customStyle="1" w:styleId="1048">
    <w:name w:val="新正文样式"/>
    <w:basedOn w:val="1"/>
    <w:link w:val="1047"/>
    <w:uiPriority w:val="0"/>
    <w:pPr>
      <w:tabs>
        <w:tab w:val="left" w:pos="567"/>
      </w:tabs>
      <w:spacing w:line="360" w:lineRule="auto"/>
      <w:ind w:firstLine="567"/>
    </w:pPr>
    <w:rPr>
      <w:rFonts w:ascii="Calibri" w:hAnsi="Calibri"/>
      <w:spacing w:val="20"/>
      <w:sz w:val="24"/>
      <w:szCs w:val="20"/>
    </w:rPr>
  </w:style>
  <w:style w:type="character" w:customStyle="1" w:styleId="1049">
    <w:name w:val="表 头 Char"/>
    <w:link w:val="1050"/>
    <w:locked/>
    <w:uiPriority w:val="0"/>
    <w:rPr>
      <w:rFonts w:ascii="Calibri" w:hAnsi="Calibri" w:eastAsia="黑体"/>
      <w:spacing w:val="10"/>
      <w:sz w:val="24"/>
      <w:lang w:val="en-US" w:eastAsia="zh-CN" w:bidi="ar-SA"/>
    </w:rPr>
  </w:style>
  <w:style w:type="paragraph" w:customStyle="1" w:styleId="1050">
    <w:name w:val="表 头"/>
    <w:basedOn w:val="1"/>
    <w:link w:val="1049"/>
    <w:uiPriority w:val="0"/>
    <w:pPr>
      <w:adjustRightInd w:val="0"/>
      <w:spacing w:before="120" w:beforeLines="0" w:after="120" w:afterLines="0" w:line="360" w:lineRule="atLeast"/>
      <w:jc w:val="center"/>
    </w:pPr>
    <w:rPr>
      <w:rFonts w:ascii="Calibri" w:hAnsi="Calibri" w:eastAsia="黑体"/>
      <w:spacing w:val="10"/>
      <w:kern w:val="0"/>
      <w:sz w:val="24"/>
      <w:szCs w:val="20"/>
    </w:rPr>
  </w:style>
  <w:style w:type="character" w:customStyle="1" w:styleId="1051">
    <w:name w:val="表头文字 Char"/>
    <w:link w:val="1052"/>
    <w:uiPriority w:val="0"/>
    <w:rPr>
      <w:rFonts w:ascii="黑体" w:hAnsi="宋体" w:eastAsia="黑体"/>
      <w:kern w:val="2"/>
      <w:sz w:val="24"/>
      <w:lang w:val="en-US" w:eastAsia="zh-CN" w:bidi="ar-SA"/>
    </w:rPr>
  </w:style>
  <w:style w:type="paragraph" w:customStyle="1" w:styleId="1052">
    <w:name w:val="表头文字"/>
    <w:basedOn w:val="1"/>
    <w:link w:val="1051"/>
    <w:uiPriority w:val="0"/>
    <w:pPr>
      <w:spacing w:beforeLines="100" w:line="400" w:lineRule="exact"/>
      <w:jc w:val="center"/>
    </w:pPr>
    <w:rPr>
      <w:rFonts w:ascii="黑体" w:hAnsi="宋体" w:eastAsia="黑体"/>
      <w:sz w:val="24"/>
      <w:szCs w:val="20"/>
    </w:rPr>
  </w:style>
  <w:style w:type="character" w:customStyle="1" w:styleId="1053">
    <w:name w:val="标题 4 Char2"/>
    <w:locked/>
    <w:uiPriority w:val="0"/>
    <w:rPr>
      <w:rFonts w:ascii="等线 Light" w:hAnsi="等线 Light" w:eastAsia="等线 Light" w:cs="宋体"/>
      <w:b/>
      <w:bCs/>
      <w:kern w:val="2"/>
      <w:sz w:val="28"/>
      <w:szCs w:val="28"/>
      <w:lang w:val="en-US" w:eastAsia="zh-CN" w:bidi="ar-SA"/>
    </w:rPr>
  </w:style>
  <w:style w:type="character" w:customStyle="1" w:styleId="1054">
    <w:name w:val="标题 7 Char1"/>
    <w:locked/>
    <w:uiPriority w:val="0"/>
    <w:rPr>
      <w:rFonts w:eastAsia="宋体"/>
      <w:b/>
      <w:bCs/>
      <w:kern w:val="2"/>
      <w:sz w:val="24"/>
      <w:szCs w:val="24"/>
      <w:lang w:val="en-US" w:eastAsia="zh-CN" w:bidi="ar-SA"/>
    </w:rPr>
  </w:style>
  <w:style w:type="character" w:customStyle="1" w:styleId="1055">
    <w:name w:val="标题 8 Char1"/>
    <w:locked/>
    <w:uiPriority w:val="0"/>
    <w:rPr>
      <w:rFonts w:ascii="Arial" w:hAnsi="Arial" w:eastAsia="黑体"/>
      <w:kern w:val="2"/>
      <w:sz w:val="24"/>
      <w:szCs w:val="24"/>
      <w:lang w:val="en-US" w:eastAsia="zh-CN" w:bidi="ar-SA"/>
    </w:rPr>
  </w:style>
  <w:style w:type="character" w:customStyle="1" w:styleId="1056">
    <w:name w:val="标题 9 Char1"/>
    <w:locked/>
    <w:uiPriority w:val="0"/>
    <w:rPr>
      <w:rFonts w:ascii="Arial" w:hAnsi="Arial" w:eastAsia="黑体"/>
      <w:kern w:val="2"/>
      <w:sz w:val="21"/>
      <w:szCs w:val="21"/>
      <w:lang w:val="en-US" w:eastAsia="zh-CN" w:bidi="ar-SA"/>
    </w:rPr>
  </w:style>
  <w:style w:type="character" w:customStyle="1" w:styleId="1057">
    <w:name w:val="正文缩进 Char1"/>
    <w:locked/>
    <w:uiPriority w:val="0"/>
    <w:rPr>
      <w:rFonts w:ascii="宋体" w:hAnsi="宋体" w:eastAsia="宋体"/>
      <w:szCs w:val="24"/>
      <w:lang w:bidi="ar-SA"/>
    </w:rPr>
  </w:style>
  <w:style w:type="character" w:customStyle="1" w:styleId="1058">
    <w:name w:val="批注文字 Char1"/>
    <w:locked/>
    <w:uiPriority w:val="0"/>
    <w:rPr>
      <w:rFonts w:ascii="Tahoma" w:hAnsi="Tahoma" w:eastAsia="微软雅黑" w:cs="Tahoma"/>
      <w:sz w:val="22"/>
      <w:lang w:bidi="ar-SA"/>
    </w:rPr>
  </w:style>
  <w:style w:type="character" w:customStyle="1" w:styleId="1059">
    <w:name w:val="页脚 Char1"/>
    <w:locked/>
    <w:uiPriority w:val="0"/>
    <w:rPr>
      <w:sz w:val="18"/>
      <w:szCs w:val="18"/>
      <w:lang w:bidi="ar-SA"/>
    </w:rPr>
  </w:style>
  <w:style w:type="character" w:customStyle="1" w:styleId="1060">
    <w:name w:val="列表 Char"/>
    <w:locked/>
    <w:uiPriority w:val="0"/>
    <w:rPr>
      <w:rFonts w:ascii="宋体" w:hAnsi="宋体" w:eastAsia="宋体"/>
      <w:lang w:bidi="ar-SA"/>
    </w:rPr>
  </w:style>
  <w:style w:type="character" w:customStyle="1" w:styleId="1061">
    <w:name w:val="标题 Char2"/>
    <w:locked/>
    <w:uiPriority w:val="0"/>
    <w:rPr>
      <w:rFonts w:ascii="Cambria" w:hAnsi="Cambria" w:eastAsia="宋体"/>
      <w:b/>
      <w:bCs/>
      <w:sz w:val="32"/>
      <w:szCs w:val="32"/>
      <w:lang w:bidi="ar-SA"/>
    </w:rPr>
  </w:style>
  <w:style w:type="character" w:customStyle="1" w:styleId="1062">
    <w:name w:val="正文文本缩进 Char3"/>
    <w:locked/>
    <w:uiPriority w:val="0"/>
    <w:rPr>
      <w:rFonts w:ascii="Tahoma" w:hAnsi="Tahoma" w:eastAsia="微软雅黑" w:cs="Tahoma"/>
      <w:sz w:val="22"/>
      <w:szCs w:val="22"/>
      <w:lang w:val="en-US" w:eastAsia="zh-CN" w:bidi="ar-SA"/>
    </w:rPr>
  </w:style>
  <w:style w:type="character" w:customStyle="1" w:styleId="1063">
    <w:name w:val="正文文本 2 Char2"/>
    <w:locked/>
    <w:uiPriority w:val="0"/>
    <w:rPr>
      <w:rFonts w:ascii="宋体" w:hAnsi="宋体" w:eastAsia="宋体"/>
      <w:spacing w:val="-20"/>
      <w:sz w:val="18"/>
      <w:szCs w:val="24"/>
      <w:lang w:bidi="ar-SA"/>
    </w:rPr>
  </w:style>
  <w:style w:type="character" w:customStyle="1" w:styleId="1064">
    <w:name w:val="正文文本 3 Char2"/>
    <w:locked/>
    <w:uiPriority w:val="0"/>
    <w:rPr>
      <w:rFonts w:ascii="宋体" w:hAnsi="宋体" w:eastAsia="宋体"/>
      <w:sz w:val="16"/>
      <w:szCs w:val="16"/>
      <w:lang w:bidi="ar-SA"/>
    </w:rPr>
  </w:style>
  <w:style w:type="character" w:customStyle="1" w:styleId="1065">
    <w:name w:val="正文文本缩进 2 Char2"/>
    <w:locked/>
    <w:uiPriority w:val="0"/>
    <w:rPr>
      <w:rFonts w:ascii="等线" w:hAnsi="等线" w:eastAsia="等线"/>
      <w:kern w:val="2"/>
      <w:sz w:val="21"/>
      <w:szCs w:val="22"/>
      <w:lang w:val="en-US" w:eastAsia="zh-CN" w:bidi="ar-SA"/>
    </w:rPr>
  </w:style>
  <w:style w:type="character" w:customStyle="1" w:styleId="1066">
    <w:name w:val="表格-小五 Char"/>
    <w:link w:val="1067"/>
    <w:locked/>
    <w:uiPriority w:val="0"/>
    <w:rPr>
      <w:rFonts w:ascii="宋体" w:hAnsi="宋体" w:eastAsia="宋体"/>
      <w:sz w:val="18"/>
      <w:szCs w:val="21"/>
      <w:lang w:bidi="ar-SA"/>
    </w:rPr>
  </w:style>
  <w:style w:type="paragraph" w:customStyle="1" w:styleId="1067">
    <w:name w:val="表格-小五"/>
    <w:basedOn w:val="1"/>
    <w:link w:val="1066"/>
    <w:uiPriority w:val="0"/>
    <w:pPr>
      <w:widowControl/>
      <w:spacing w:line="260" w:lineRule="exact"/>
      <w:jc w:val="left"/>
    </w:pPr>
    <w:rPr>
      <w:rFonts w:ascii="宋体" w:hAnsi="宋体"/>
      <w:kern w:val="0"/>
      <w:sz w:val="18"/>
      <w:szCs w:val="21"/>
    </w:rPr>
  </w:style>
  <w:style w:type="character" w:customStyle="1" w:styleId="1068">
    <w:name w:val="【标题3】 Char"/>
    <w:link w:val="1069"/>
    <w:locked/>
    <w:uiPriority w:val="0"/>
    <w:rPr>
      <w:b/>
      <w:bCs/>
      <w:sz w:val="28"/>
      <w:lang w:bidi="ar-SA"/>
    </w:rPr>
  </w:style>
  <w:style w:type="paragraph" w:customStyle="1" w:styleId="1069">
    <w:name w:val="【标题3】"/>
    <w:basedOn w:val="7"/>
    <w:link w:val="1068"/>
    <w:uiPriority w:val="0"/>
    <w:pPr>
      <w:keepNext w:val="0"/>
      <w:adjustRightInd w:val="0"/>
      <w:snapToGrid w:val="0"/>
      <w:spacing w:before="0" w:beforeLines="50" w:after="0" w:afterLines="25" w:line="360" w:lineRule="auto"/>
      <w:ind w:left="1628" w:hanging="814" w:hangingChars="338"/>
    </w:pPr>
    <w:rPr>
      <w:kern w:val="0"/>
      <w:sz w:val="28"/>
      <w:szCs w:val="20"/>
    </w:rPr>
  </w:style>
  <w:style w:type="character" w:customStyle="1" w:styleId="1070">
    <w:name w:val="【表头】 Char"/>
    <w:link w:val="1071"/>
    <w:locked/>
    <w:uiPriority w:val="0"/>
    <w:rPr>
      <w:rFonts w:ascii="黑体" w:hAnsi="黑体" w:eastAsia="黑体"/>
      <w:sz w:val="24"/>
      <w:lang w:bidi="ar-SA"/>
    </w:rPr>
  </w:style>
  <w:style w:type="paragraph" w:customStyle="1" w:styleId="1071">
    <w:name w:val="【表头】"/>
    <w:basedOn w:val="1"/>
    <w:link w:val="1070"/>
    <w:uiPriority w:val="0"/>
    <w:pPr>
      <w:spacing w:line="460" w:lineRule="exact"/>
      <w:jc w:val="center"/>
    </w:pPr>
    <w:rPr>
      <w:rFonts w:ascii="黑体" w:hAnsi="黑体" w:eastAsia="黑体"/>
      <w:kern w:val="0"/>
      <w:sz w:val="24"/>
      <w:szCs w:val="20"/>
    </w:rPr>
  </w:style>
  <w:style w:type="character" w:customStyle="1" w:styleId="1072">
    <w:name w:val="样式 正文文本缩进 2 + (中文) 宋体 Char"/>
    <w:link w:val="1073"/>
    <w:locked/>
    <w:uiPriority w:val="0"/>
    <w:rPr>
      <w:spacing w:val="14"/>
      <w:sz w:val="24"/>
      <w:szCs w:val="24"/>
      <w:lang w:bidi="ar-SA"/>
    </w:rPr>
  </w:style>
  <w:style w:type="paragraph" w:customStyle="1" w:styleId="1073">
    <w:name w:val="样式 正文文本缩进 2 + (中文) 宋体"/>
    <w:basedOn w:val="1"/>
    <w:link w:val="1072"/>
    <w:uiPriority w:val="0"/>
    <w:pPr>
      <w:spacing w:beforeLines="50" w:line="360" w:lineRule="auto"/>
      <w:ind w:firstLine="536" w:firstLineChars="200"/>
    </w:pPr>
    <w:rPr>
      <w:spacing w:val="14"/>
      <w:kern w:val="0"/>
      <w:sz w:val="24"/>
    </w:rPr>
  </w:style>
  <w:style w:type="character" w:customStyle="1" w:styleId="1074">
    <w:name w:val="正文首行缩进 2 + Times New Roman Char"/>
    <w:link w:val="1075"/>
    <w:locked/>
    <w:uiPriority w:val="0"/>
    <w:rPr>
      <w:rFonts w:ascii="黑体" w:hAnsi="黑体" w:eastAsia="黑体"/>
      <w:sz w:val="28"/>
      <w:szCs w:val="28"/>
      <w:lang w:bidi="ar-SA"/>
    </w:rPr>
  </w:style>
  <w:style w:type="paragraph" w:customStyle="1" w:styleId="1075">
    <w:name w:val="正文首行缩进 2 + Times New Roman"/>
    <w:basedOn w:val="1"/>
    <w:link w:val="1074"/>
    <w:uiPriority w:val="0"/>
    <w:pPr>
      <w:tabs>
        <w:tab w:val="left" w:pos="0"/>
        <w:tab w:val="left" w:pos="870"/>
        <w:tab w:val="left" w:pos="3150"/>
      </w:tabs>
      <w:autoSpaceDE w:val="0"/>
      <w:autoSpaceDN w:val="0"/>
      <w:spacing w:beforeLines="50" w:afterLines="50" w:line="540" w:lineRule="exact"/>
      <w:jc w:val="center"/>
    </w:pPr>
    <w:rPr>
      <w:rFonts w:ascii="黑体" w:hAnsi="黑体" w:eastAsia="黑体"/>
      <w:kern w:val="0"/>
      <w:sz w:val="28"/>
      <w:szCs w:val="28"/>
    </w:rPr>
  </w:style>
  <w:style w:type="character" w:customStyle="1" w:styleId="1076">
    <w:name w:val="仿宋体正文 Char"/>
    <w:link w:val="1077"/>
    <w:locked/>
    <w:uiPriority w:val="0"/>
    <w:rPr>
      <w:rFonts w:ascii="宋体" w:hAnsi="宋体" w:eastAsia="仿宋_GB2312"/>
      <w:sz w:val="28"/>
      <w:szCs w:val="24"/>
      <w:lang w:bidi="ar-SA"/>
    </w:rPr>
  </w:style>
  <w:style w:type="paragraph" w:customStyle="1" w:styleId="1077">
    <w:name w:val="仿宋体正文"/>
    <w:basedOn w:val="1"/>
    <w:link w:val="1076"/>
    <w:uiPriority w:val="0"/>
    <w:pPr>
      <w:widowControl/>
      <w:snapToGrid w:val="0"/>
      <w:spacing w:line="360" w:lineRule="auto"/>
      <w:jc w:val="left"/>
    </w:pPr>
    <w:rPr>
      <w:rFonts w:ascii="宋体" w:hAnsi="宋体" w:eastAsia="仿宋_GB2312"/>
      <w:kern w:val="0"/>
      <w:sz w:val="28"/>
    </w:rPr>
  </w:style>
  <w:style w:type="character" w:customStyle="1" w:styleId="1078">
    <w:name w:val="方案正文样式 Char"/>
    <w:link w:val="1079"/>
    <w:locked/>
    <w:uiPriority w:val="0"/>
    <w:rPr>
      <w:rFonts w:ascii="宋体" w:hAnsi="宋体" w:eastAsia="宋体"/>
      <w:snapToGrid w:val="0"/>
      <w:sz w:val="24"/>
      <w:szCs w:val="24"/>
      <w:lang w:bidi="ar-SA"/>
    </w:rPr>
  </w:style>
  <w:style w:type="paragraph" w:customStyle="1" w:styleId="1079">
    <w:name w:val="方案正文样式"/>
    <w:basedOn w:val="1"/>
    <w:link w:val="1078"/>
    <w:uiPriority w:val="0"/>
    <w:pPr>
      <w:adjustRightInd w:val="0"/>
      <w:snapToGrid w:val="0"/>
      <w:spacing w:line="360" w:lineRule="auto"/>
      <w:ind w:firstLine="454"/>
    </w:pPr>
    <w:rPr>
      <w:rFonts w:ascii="宋体" w:hAnsi="宋体"/>
      <w:snapToGrid w:val="0"/>
      <w:kern w:val="0"/>
      <w:sz w:val="24"/>
    </w:rPr>
  </w:style>
  <w:style w:type="character" w:customStyle="1" w:styleId="1080">
    <w:name w:val="wj样式 Char"/>
    <w:link w:val="1081"/>
    <w:locked/>
    <w:uiPriority w:val="0"/>
    <w:rPr>
      <w:rFonts w:ascii="宋体" w:hAnsi="宋体" w:eastAsia="宋体"/>
      <w:spacing w:val="14"/>
      <w:sz w:val="24"/>
      <w:szCs w:val="24"/>
      <w:lang w:bidi="ar-SA"/>
    </w:rPr>
  </w:style>
  <w:style w:type="paragraph" w:customStyle="1" w:styleId="1081">
    <w:name w:val="wj样式"/>
    <w:basedOn w:val="1"/>
    <w:next w:val="1"/>
    <w:link w:val="1080"/>
    <w:uiPriority w:val="0"/>
    <w:pPr>
      <w:spacing w:line="360" w:lineRule="auto"/>
      <w:ind w:firstLine="200" w:firstLineChars="200"/>
    </w:pPr>
    <w:rPr>
      <w:rFonts w:ascii="宋体" w:hAnsi="宋体"/>
      <w:spacing w:val="14"/>
      <w:kern w:val="0"/>
      <w:sz w:val="24"/>
    </w:rPr>
  </w:style>
  <w:style w:type="character" w:customStyle="1" w:styleId="1082">
    <w:name w:val="缩进 Char"/>
    <w:locked/>
    <w:uiPriority w:val="0"/>
    <w:rPr>
      <w:rFonts w:ascii="宋体" w:hAnsi="宋体" w:eastAsia="宋体"/>
      <w:sz w:val="24"/>
      <w:lang w:bidi="ar-SA"/>
    </w:rPr>
  </w:style>
  <w:style w:type="character" w:customStyle="1" w:styleId="1083">
    <w:name w:val="楷体样式 正文文本 Char"/>
    <w:link w:val="1084"/>
    <w:locked/>
    <w:uiPriority w:val="0"/>
    <w:rPr>
      <w:rFonts w:ascii="楷体_GB2312" w:eastAsia="楷体_GB2312"/>
      <w:sz w:val="28"/>
      <w:lang w:bidi="ar-SA"/>
    </w:rPr>
  </w:style>
  <w:style w:type="paragraph" w:customStyle="1" w:styleId="1084">
    <w:name w:val="楷体样式 正文文本"/>
    <w:basedOn w:val="1"/>
    <w:link w:val="1083"/>
    <w:uiPriority w:val="0"/>
    <w:pPr>
      <w:snapToGrid w:val="0"/>
      <w:spacing w:line="360" w:lineRule="auto"/>
      <w:ind w:firstLine="560" w:firstLineChars="200"/>
    </w:pPr>
    <w:rPr>
      <w:rFonts w:ascii="楷体_GB2312" w:eastAsia="楷体_GB2312"/>
      <w:kern w:val="0"/>
      <w:sz w:val="28"/>
      <w:szCs w:val="20"/>
    </w:rPr>
  </w:style>
  <w:style w:type="character" w:customStyle="1" w:styleId="1085">
    <w:name w:val="SB标题1 Char"/>
    <w:link w:val="1086"/>
    <w:locked/>
    <w:uiPriority w:val="0"/>
    <w:rPr>
      <w:rFonts w:ascii="黑体" w:hAnsi="黑体" w:eastAsia="黑体"/>
      <w:sz w:val="32"/>
      <w:lang w:bidi="ar-SA"/>
    </w:rPr>
  </w:style>
  <w:style w:type="paragraph" w:customStyle="1" w:styleId="1086">
    <w:name w:val="SB标题1"/>
    <w:basedOn w:val="1"/>
    <w:link w:val="1085"/>
    <w:uiPriority w:val="0"/>
    <w:pPr>
      <w:spacing w:before="156" w:after="156" w:line="360" w:lineRule="auto"/>
      <w:jc w:val="center"/>
      <w:outlineLvl w:val="0"/>
    </w:pPr>
    <w:rPr>
      <w:rFonts w:ascii="黑体" w:hAnsi="黑体" w:eastAsia="黑体"/>
      <w:kern w:val="0"/>
      <w:sz w:val="32"/>
      <w:szCs w:val="20"/>
    </w:rPr>
  </w:style>
  <w:style w:type="character" w:customStyle="1" w:styleId="1087">
    <w:name w:val="样式 样式 小四 段前: 7.8 磅 段后: 7.8 磅 行距: 1.5 倍行距 + 首行缩进:  2 字符 Char"/>
    <w:link w:val="1088"/>
    <w:locked/>
    <w:uiPriority w:val="0"/>
    <w:rPr>
      <w:rFonts w:ascii="宋体" w:hAnsi="宋体" w:eastAsia="宋体"/>
      <w:spacing w:val="-4"/>
      <w:sz w:val="24"/>
      <w:szCs w:val="24"/>
      <w:lang w:bidi="ar-SA"/>
    </w:rPr>
  </w:style>
  <w:style w:type="paragraph" w:customStyle="1" w:styleId="1088">
    <w:name w:val="样式 样式 小四 段前: 7.8 磅 段后: 7.8 磅 行距: 1.5 倍行距 + 首行缩进:  2 字符"/>
    <w:basedOn w:val="1"/>
    <w:link w:val="1087"/>
    <w:uiPriority w:val="0"/>
    <w:pPr>
      <w:spacing w:line="360" w:lineRule="auto"/>
      <w:ind w:firstLine="464" w:firstLineChars="200"/>
    </w:pPr>
    <w:rPr>
      <w:rFonts w:ascii="宋体" w:hAnsi="宋体"/>
      <w:spacing w:val="-4"/>
      <w:kern w:val="0"/>
      <w:sz w:val="24"/>
    </w:rPr>
  </w:style>
  <w:style w:type="character" w:customStyle="1" w:styleId="1089">
    <w:name w:val="CM15 Char"/>
    <w:link w:val="1090"/>
    <w:locked/>
    <w:uiPriority w:val="0"/>
    <w:rPr>
      <w:rFonts w:ascii="宋体" w:hAnsi="宋体" w:eastAsia="宋体"/>
      <w:sz w:val="24"/>
      <w:szCs w:val="24"/>
      <w:lang w:bidi="ar-SA"/>
    </w:rPr>
  </w:style>
  <w:style w:type="paragraph" w:customStyle="1" w:styleId="1090">
    <w:name w:val="CM15"/>
    <w:basedOn w:val="1"/>
    <w:next w:val="1"/>
    <w:link w:val="1089"/>
    <w:uiPriority w:val="0"/>
    <w:pPr>
      <w:autoSpaceDE w:val="0"/>
      <w:autoSpaceDN w:val="0"/>
      <w:adjustRightInd w:val="0"/>
      <w:spacing w:line="513" w:lineRule="atLeast"/>
      <w:jc w:val="left"/>
    </w:pPr>
    <w:rPr>
      <w:rFonts w:ascii="宋体" w:hAnsi="宋体"/>
      <w:kern w:val="0"/>
      <w:sz w:val="24"/>
    </w:rPr>
  </w:style>
  <w:style w:type="character" w:customStyle="1" w:styleId="1091">
    <w:name w:val="样式 样式 【正文】 + 首行缩进:  2 字符 行距: 1.5 倍行距 + 首行缩进:  2 字符 Char"/>
    <w:link w:val="1092"/>
    <w:locked/>
    <w:uiPriority w:val="0"/>
    <w:rPr>
      <w:rFonts w:ascii="宋体" w:hAnsi="宋体" w:eastAsia="宋体"/>
      <w:sz w:val="24"/>
      <w:lang w:bidi="ar-SA"/>
    </w:rPr>
  </w:style>
  <w:style w:type="paragraph" w:customStyle="1" w:styleId="1092">
    <w:name w:val="样式 样式 【正文】 + 首行缩进:  2 字符 行距: 1.5 倍行距 + 首行缩进:  2 字符"/>
    <w:basedOn w:val="1"/>
    <w:link w:val="1091"/>
    <w:uiPriority w:val="0"/>
    <w:pPr>
      <w:spacing w:line="360" w:lineRule="auto"/>
      <w:ind w:firstLine="200" w:firstLineChars="200"/>
    </w:pPr>
    <w:rPr>
      <w:rFonts w:ascii="宋体" w:hAnsi="宋体"/>
      <w:kern w:val="0"/>
      <w:sz w:val="24"/>
      <w:szCs w:val="20"/>
    </w:rPr>
  </w:style>
  <w:style w:type="character" w:customStyle="1" w:styleId="1093">
    <w:name w:val="样式 标题3 + 自动设置1 Char"/>
    <w:link w:val="1094"/>
    <w:locked/>
    <w:uiPriority w:val="0"/>
    <w:rPr>
      <w:rFonts w:ascii="黑体" w:hAnsi="黑体" w:eastAsia="黑体"/>
      <w:b/>
      <w:bCs/>
      <w:color w:val="339966"/>
      <w:sz w:val="24"/>
      <w:szCs w:val="24"/>
      <w:lang w:bidi="ar-SA"/>
    </w:rPr>
  </w:style>
  <w:style w:type="paragraph" w:customStyle="1" w:styleId="1094">
    <w:name w:val="样式 标题3 + 自动设置1"/>
    <w:basedOn w:val="1"/>
    <w:link w:val="1093"/>
    <w:uiPriority w:val="0"/>
    <w:pPr>
      <w:keepNext/>
      <w:keepLines/>
      <w:adjustRightInd w:val="0"/>
      <w:snapToGrid w:val="0"/>
      <w:spacing w:beforeLines="50" w:afterLines="50" w:line="360" w:lineRule="auto"/>
      <w:outlineLvl w:val="2"/>
    </w:pPr>
    <w:rPr>
      <w:rFonts w:ascii="黑体" w:hAnsi="黑体" w:eastAsia="黑体"/>
      <w:b/>
      <w:bCs/>
      <w:color w:val="339966"/>
      <w:kern w:val="0"/>
      <w:sz w:val="24"/>
    </w:rPr>
  </w:style>
  <w:style w:type="character" w:customStyle="1" w:styleId="1095">
    <w:name w:val="HZZH正文 Char"/>
    <w:link w:val="1096"/>
    <w:locked/>
    <w:uiPriority w:val="0"/>
    <w:rPr>
      <w:rFonts w:ascii="宋体" w:hAnsi="宋体" w:eastAsia="宋体"/>
      <w:color w:val="3366FF"/>
      <w:sz w:val="24"/>
      <w:szCs w:val="24"/>
      <w:lang w:bidi="ar-SA"/>
    </w:rPr>
  </w:style>
  <w:style w:type="paragraph" w:customStyle="1" w:styleId="1096">
    <w:name w:val="HZZH正文"/>
    <w:basedOn w:val="1"/>
    <w:link w:val="1095"/>
    <w:uiPriority w:val="0"/>
    <w:pPr>
      <w:spacing w:before="240" w:line="360" w:lineRule="auto"/>
      <w:ind w:firstLine="480" w:firstLineChars="200"/>
    </w:pPr>
    <w:rPr>
      <w:rFonts w:ascii="宋体" w:hAnsi="宋体"/>
      <w:color w:val="3366FF"/>
      <w:kern w:val="0"/>
      <w:sz w:val="24"/>
    </w:rPr>
  </w:style>
  <w:style w:type="character" w:customStyle="1" w:styleId="1097">
    <w:name w:val="三级 Char Char"/>
    <w:link w:val="1098"/>
    <w:locked/>
    <w:uiPriority w:val="0"/>
    <w:rPr>
      <w:rFonts w:ascii="黑体" w:hAnsi="黑体" w:eastAsia="黑体"/>
      <w:bCs/>
      <w:sz w:val="24"/>
      <w:lang w:bidi="ar-SA"/>
    </w:rPr>
  </w:style>
  <w:style w:type="paragraph" w:customStyle="1" w:styleId="1098">
    <w:name w:val="三级"/>
    <w:basedOn w:val="7"/>
    <w:link w:val="1097"/>
    <w:uiPriority w:val="0"/>
    <w:pPr>
      <w:spacing w:before="0" w:after="0" w:line="480" w:lineRule="auto"/>
    </w:pPr>
    <w:rPr>
      <w:rFonts w:ascii="黑体" w:hAnsi="黑体" w:eastAsia="黑体"/>
      <w:b w:val="0"/>
      <w:kern w:val="0"/>
      <w:sz w:val="24"/>
      <w:szCs w:val="20"/>
    </w:rPr>
  </w:style>
  <w:style w:type="character" w:customStyle="1" w:styleId="1099">
    <w:name w:val="【正文】 Char"/>
    <w:link w:val="1100"/>
    <w:locked/>
    <w:uiPriority w:val="0"/>
    <w:rPr>
      <w:rFonts w:ascii="宋体" w:hAnsi="宋体" w:eastAsia="宋体"/>
      <w:sz w:val="24"/>
      <w:lang w:bidi="ar-SA"/>
    </w:rPr>
  </w:style>
  <w:style w:type="paragraph" w:customStyle="1" w:styleId="1100">
    <w:name w:val="【正文】"/>
    <w:basedOn w:val="1"/>
    <w:link w:val="1099"/>
    <w:qFormat/>
    <w:uiPriority w:val="0"/>
    <w:pPr>
      <w:spacing w:line="440" w:lineRule="exact"/>
      <w:ind w:firstLine="544" w:firstLineChars="200"/>
    </w:pPr>
    <w:rPr>
      <w:rFonts w:ascii="宋体" w:hAnsi="宋体"/>
      <w:kern w:val="0"/>
      <w:sz w:val="24"/>
      <w:szCs w:val="20"/>
    </w:rPr>
  </w:style>
  <w:style w:type="character" w:customStyle="1" w:styleId="1101">
    <w:name w:val="1正文 Char"/>
    <w:link w:val="1102"/>
    <w:locked/>
    <w:uiPriority w:val="0"/>
    <w:rPr>
      <w:rFonts w:ascii="楷体_GB2312" w:eastAsia="楷体_GB2312"/>
      <w:sz w:val="30"/>
      <w:szCs w:val="30"/>
      <w:lang w:bidi="ar-SA"/>
    </w:rPr>
  </w:style>
  <w:style w:type="paragraph" w:customStyle="1" w:styleId="1102">
    <w:name w:val="1正文"/>
    <w:basedOn w:val="1"/>
    <w:link w:val="1101"/>
    <w:uiPriority w:val="0"/>
    <w:pPr>
      <w:spacing w:line="500" w:lineRule="exact"/>
      <w:ind w:firstLine="588" w:firstLineChars="196"/>
    </w:pPr>
    <w:rPr>
      <w:rFonts w:ascii="楷体_GB2312" w:eastAsia="楷体_GB2312"/>
      <w:kern w:val="0"/>
      <w:sz w:val="30"/>
      <w:szCs w:val="30"/>
    </w:rPr>
  </w:style>
  <w:style w:type="character" w:customStyle="1" w:styleId="1103">
    <w:name w:val="正文* Char"/>
    <w:basedOn w:val="1101"/>
    <w:link w:val="1104"/>
    <w:locked/>
    <w:uiPriority w:val="0"/>
  </w:style>
  <w:style w:type="paragraph" w:customStyle="1" w:styleId="1104">
    <w:name w:val="正文*"/>
    <w:basedOn w:val="1102"/>
    <w:link w:val="1103"/>
    <w:uiPriority w:val="0"/>
  </w:style>
  <w:style w:type="character" w:customStyle="1" w:styleId="1105">
    <w:name w:val="4级 Char"/>
    <w:link w:val="1106"/>
    <w:locked/>
    <w:uiPriority w:val="0"/>
    <w:rPr>
      <w:bCs/>
      <w:sz w:val="24"/>
      <w:lang w:bidi="ar-SA"/>
    </w:rPr>
  </w:style>
  <w:style w:type="paragraph" w:customStyle="1" w:styleId="1106">
    <w:name w:val="4级"/>
    <w:basedOn w:val="8"/>
    <w:link w:val="1105"/>
    <w:uiPriority w:val="0"/>
    <w:pPr>
      <w:spacing w:before="0" w:beforeLines="50" w:after="0" w:afterLines="50" w:line="360" w:lineRule="auto"/>
    </w:pPr>
    <w:rPr>
      <w:b w:val="0"/>
      <w:bCs/>
      <w:kern w:val="0"/>
      <w:sz w:val="24"/>
    </w:rPr>
  </w:style>
  <w:style w:type="character" w:customStyle="1" w:styleId="1107">
    <w:name w:val="SB正文 Char"/>
    <w:link w:val="1108"/>
    <w:locked/>
    <w:uiPriority w:val="0"/>
    <w:rPr>
      <w:rFonts w:ascii="宋体" w:hAnsi="宋体" w:eastAsia="宋体"/>
      <w:sz w:val="24"/>
      <w:lang w:bidi="ar-SA"/>
    </w:rPr>
  </w:style>
  <w:style w:type="paragraph" w:customStyle="1" w:styleId="1108">
    <w:name w:val="SB正文"/>
    <w:basedOn w:val="1"/>
    <w:link w:val="1107"/>
    <w:uiPriority w:val="0"/>
    <w:pPr>
      <w:spacing w:beforeLines="20" w:afterLines="20" w:line="360" w:lineRule="auto"/>
      <w:ind w:firstLine="200" w:firstLineChars="200"/>
    </w:pPr>
    <w:rPr>
      <w:rFonts w:ascii="宋体" w:hAnsi="宋体"/>
      <w:kern w:val="0"/>
      <w:sz w:val="24"/>
      <w:szCs w:val="20"/>
    </w:rPr>
  </w:style>
  <w:style w:type="character" w:customStyle="1" w:styleId="1109">
    <w:name w:val="样式 小四 段前: 7.8 磅 段后: 7.8 磅 行距: 1.5 倍行距 Char"/>
    <w:link w:val="1110"/>
    <w:locked/>
    <w:uiPriority w:val="0"/>
    <w:rPr>
      <w:spacing w:val="20"/>
      <w:sz w:val="24"/>
      <w:szCs w:val="24"/>
      <w:lang w:bidi="ar-SA"/>
    </w:rPr>
  </w:style>
  <w:style w:type="paragraph" w:customStyle="1" w:styleId="1110">
    <w:name w:val="样式 小四 段前: 7.8 磅 段后: 7.8 磅 行距: 1.5 倍行距"/>
    <w:basedOn w:val="1"/>
    <w:link w:val="1109"/>
    <w:uiPriority w:val="0"/>
    <w:pPr>
      <w:spacing w:before="156" w:after="156" w:line="360" w:lineRule="auto"/>
      <w:ind w:firstLine="560" w:firstLineChars="200"/>
    </w:pPr>
    <w:rPr>
      <w:spacing w:val="20"/>
      <w:kern w:val="0"/>
      <w:sz w:val="24"/>
    </w:rPr>
  </w:style>
  <w:style w:type="character" w:customStyle="1" w:styleId="1111">
    <w:name w:val="样式7 Char"/>
    <w:locked/>
    <w:uiPriority w:val="0"/>
    <w:rPr>
      <w:rFonts w:ascii="宋体" w:hAnsi="宋体" w:eastAsia="宋体"/>
      <w:sz w:val="24"/>
      <w:lang w:bidi="ar-SA"/>
    </w:rPr>
  </w:style>
  <w:style w:type="character" w:customStyle="1" w:styleId="1112">
    <w:name w:val="正文# Char"/>
    <w:link w:val="1113"/>
    <w:locked/>
    <w:uiPriority w:val="0"/>
    <w:rPr>
      <w:rFonts w:ascii="宋体" w:hAnsi="宋体" w:eastAsia="宋体"/>
      <w:sz w:val="24"/>
      <w:lang w:bidi="ar-SA"/>
    </w:rPr>
  </w:style>
  <w:style w:type="paragraph" w:customStyle="1" w:styleId="1113">
    <w:name w:val="正文#"/>
    <w:basedOn w:val="1"/>
    <w:link w:val="1112"/>
    <w:uiPriority w:val="0"/>
    <w:pPr>
      <w:tabs>
        <w:tab w:val="left" w:pos="987"/>
      </w:tabs>
      <w:spacing w:line="360" w:lineRule="auto"/>
      <w:ind w:left="987" w:firstLine="480" w:firstLineChars="200"/>
    </w:pPr>
    <w:rPr>
      <w:rFonts w:ascii="宋体" w:hAnsi="宋体"/>
      <w:kern w:val="0"/>
      <w:sz w:val="24"/>
      <w:szCs w:val="20"/>
    </w:rPr>
  </w:style>
  <w:style w:type="character" w:customStyle="1" w:styleId="1114">
    <w:name w:val="Body Text Indent 3 Char"/>
    <w:link w:val="1115"/>
    <w:locked/>
    <w:uiPriority w:val="0"/>
    <w:rPr>
      <w:rFonts w:ascii="宋体" w:hAnsi="宋体" w:eastAsia="宋体"/>
      <w:sz w:val="24"/>
      <w:lang w:bidi="ar-SA"/>
    </w:rPr>
  </w:style>
  <w:style w:type="paragraph" w:customStyle="1" w:styleId="1115">
    <w:name w:val="正文文本缩进 31"/>
    <w:basedOn w:val="1"/>
    <w:link w:val="1114"/>
    <w:uiPriority w:val="0"/>
    <w:pPr>
      <w:adjustRightInd w:val="0"/>
      <w:spacing w:line="360" w:lineRule="atLeast"/>
      <w:ind w:firstLine="480" w:firstLineChars="200"/>
    </w:pPr>
    <w:rPr>
      <w:rFonts w:ascii="宋体" w:hAnsi="宋体"/>
      <w:kern w:val="0"/>
      <w:sz w:val="24"/>
      <w:szCs w:val="20"/>
    </w:rPr>
  </w:style>
  <w:style w:type="character" w:customStyle="1" w:styleId="1116">
    <w:name w:val="【标题4】 Char"/>
    <w:link w:val="1117"/>
    <w:locked/>
    <w:uiPriority w:val="0"/>
    <w:rPr>
      <w:b/>
      <w:bCs/>
      <w:sz w:val="24"/>
      <w:szCs w:val="24"/>
      <w:lang w:bidi="en-US"/>
    </w:rPr>
  </w:style>
  <w:style w:type="paragraph" w:customStyle="1" w:styleId="1117">
    <w:name w:val="【标题4】"/>
    <w:basedOn w:val="1"/>
    <w:link w:val="1116"/>
    <w:uiPriority w:val="0"/>
    <w:pPr>
      <w:keepLines/>
      <w:adjustRightInd w:val="0"/>
      <w:snapToGrid w:val="0"/>
      <w:spacing w:beforeLines="50" w:line="360" w:lineRule="auto"/>
      <w:ind w:left="1710" w:hanging="855" w:hangingChars="355"/>
      <w:jc w:val="left"/>
      <w:outlineLvl w:val="3"/>
    </w:pPr>
    <w:rPr>
      <w:b/>
      <w:bCs/>
      <w:kern w:val="0"/>
      <w:sz w:val="24"/>
      <w:lang w:bidi="en-US"/>
    </w:rPr>
  </w:style>
  <w:style w:type="character" w:customStyle="1" w:styleId="1118">
    <w:name w:val="李晓燕正文样式 Char"/>
    <w:link w:val="1119"/>
    <w:locked/>
    <w:uiPriority w:val="0"/>
    <w:rPr>
      <w:rFonts w:ascii="宋体" w:hAnsi="宋体" w:eastAsia="宋体"/>
      <w:b/>
      <w:bCs/>
      <w:sz w:val="24"/>
      <w:szCs w:val="24"/>
      <w:lang w:bidi="ar-SA"/>
    </w:rPr>
  </w:style>
  <w:style w:type="paragraph" w:customStyle="1" w:styleId="1119">
    <w:name w:val="李晓燕正文样式"/>
    <w:basedOn w:val="35"/>
    <w:link w:val="1118"/>
    <w:uiPriority w:val="0"/>
    <w:pPr>
      <w:widowControl/>
      <w:autoSpaceDE w:val="0"/>
      <w:autoSpaceDN w:val="0"/>
      <w:adjustRightInd w:val="0"/>
      <w:spacing w:after="0" w:line="360" w:lineRule="auto"/>
      <w:ind w:right="210"/>
    </w:pPr>
    <w:rPr>
      <w:rFonts w:ascii="宋体" w:hAnsi="宋体"/>
      <w:b/>
      <w:bCs/>
      <w:kern w:val="0"/>
      <w:sz w:val="24"/>
    </w:rPr>
  </w:style>
  <w:style w:type="character" w:customStyle="1" w:styleId="1120">
    <w:name w:val="表头 Char Char Char Char Char"/>
    <w:link w:val="1121"/>
    <w:locked/>
    <w:uiPriority w:val="0"/>
    <w:rPr>
      <w:rFonts w:ascii="宋体" w:hAnsi="宋体" w:eastAsia="宋体"/>
      <w:b/>
      <w:bCs/>
      <w:sz w:val="28"/>
      <w:szCs w:val="21"/>
      <w:lang w:bidi="ar-SA"/>
    </w:rPr>
  </w:style>
  <w:style w:type="paragraph" w:customStyle="1" w:styleId="1121">
    <w:name w:val="表头 Char Char Char Char"/>
    <w:basedOn w:val="1"/>
    <w:link w:val="1120"/>
    <w:uiPriority w:val="0"/>
    <w:pPr>
      <w:spacing w:line="360" w:lineRule="auto"/>
      <w:jc w:val="center"/>
    </w:pPr>
    <w:rPr>
      <w:rFonts w:ascii="宋体" w:hAnsi="宋体"/>
      <w:b/>
      <w:bCs/>
      <w:kern w:val="0"/>
      <w:sz w:val="28"/>
      <w:szCs w:val="21"/>
    </w:rPr>
  </w:style>
  <w:style w:type="character" w:customStyle="1" w:styleId="1122">
    <w:name w:val="填表4小中单倍行距 Char"/>
    <w:link w:val="1123"/>
    <w:locked/>
    <w:uiPriority w:val="0"/>
    <w:rPr>
      <w:rFonts w:ascii="宋体" w:hAnsi="宋体" w:eastAsia="宋体"/>
      <w:sz w:val="24"/>
      <w:lang w:bidi="ar-SA"/>
    </w:rPr>
  </w:style>
  <w:style w:type="paragraph" w:customStyle="1" w:styleId="1123">
    <w:name w:val="填表4小中单倍行距"/>
    <w:basedOn w:val="1"/>
    <w:link w:val="1122"/>
    <w:uiPriority w:val="0"/>
    <w:pPr>
      <w:jc w:val="center"/>
    </w:pPr>
    <w:rPr>
      <w:rFonts w:ascii="宋体" w:hAnsi="宋体"/>
      <w:kern w:val="0"/>
      <w:sz w:val="24"/>
      <w:szCs w:val="20"/>
    </w:rPr>
  </w:style>
  <w:style w:type="character" w:customStyle="1" w:styleId="1124">
    <w:name w:val="表格正文 Char"/>
    <w:locked/>
    <w:uiPriority w:val="0"/>
    <w:rPr>
      <w:rFonts w:ascii="楷体_GB2312" w:eastAsia="楷体_GB2312"/>
      <w:sz w:val="24"/>
      <w:lang w:bidi="ar-SA"/>
    </w:rPr>
  </w:style>
  <w:style w:type="character" w:customStyle="1" w:styleId="1125">
    <w:name w:val="syh3级标题 Char Char"/>
    <w:link w:val="1126"/>
    <w:locked/>
    <w:uiPriority w:val="0"/>
    <w:rPr>
      <w:rFonts w:ascii="宋体" w:hAnsi="宋体" w:eastAsia="宋体"/>
      <w:b/>
      <w:sz w:val="24"/>
      <w:szCs w:val="24"/>
      <w:lang w:bidi="ar-SA"/>
    </w:rPr>
  </w:style>
  <w:style w:type="paragraph" w:customStyle="1" w:styleId="1126">
    <w:name w:val="syh3级标题"/>
    <w:basedOn w:val="1"/>
    <w:link w:val="1125"/>
    <w:uiPriority w:val="0"/>
    <w:pPr>
      <w:keepNext/>
      <w:widowControl/>
      <w:spacing w:line="520" w:lineRule="exact"/>
      <w:jc w:val="left"/>
      <w:outlineLvl w:val="2"/>
    </w:pPr>
    <w:rPr>
      <w:rFonts w:ascii="宋体" w:hAnsi="宋体"/>
      <w:b/>
      <w:kern w:val="0"/>
      <w:sz w:val="24"/>
    </w:rPr>
  </w:style>
  <w:style w:type="character" w:customStyle="1" w:styleId="1127">
    <w:name w:val="样式 小四 首行缩进:  1.01 厘米 行距: 1.5 倍行距 Char"/>
    <w:link w:val="1128"/>
    <w:locked/>
    <w:uiPriority w:val="0"/>
    <w:rPr>
      <w:rFonts w:ascii="宋体" w:hAnsi="宋体" w:eastAsia="宋体"/>
      <w:sz w:val="24"/>
      <w:lang w:bidi="ar-SA"/>
    </w:rPr>
  </w:style>
  <w:style w:type="paragraph" w:customStyle="1" w:styleId="1128">
    <w:name w:val="样式 小四 首行缩进:  1.01 厘米 行距: 1.5 倍行距"/>
    <w:basedOn w:val="1"/>
    <w:link w:val="1127"/>
    <w:uiPriority w:val="0"/>
    <w:pPr>
      <w:adjustRightInd w:val="0"/>
      <w:spacing w:line="360" w:lineRule="auto"/>
      <w:ind w:firstLine="570"/>
      <w:jc w:val="left"/>
    </w:pPr>
    <w:rPr>
      <w:rFonts w:ascii="宋体" w:hAnsi="宋体"/>
      <w:kern w:val="0"/>
      <w:sz w:val="24"/>
      <w:szCs w:val="20"/>
    </w:rPr>
  </w:style>
  <w:style w:type="character" w:customStyle="1" w:styleId="1129">
    <w:name w:val="lff Char"/>
    <w:link w:val="1130"/>
    <w:locked/>
    <w:uiPriority w:val="0"/>
    <w:rPr>
      <w:rFonts w:ascii="宋体" w:hAnsi="宋体" w:eastAsia="宋体"/>
      <w:b/>
      <w:color w:val="0000FF"/>
      <w:szCs w:val="21"/>
      <w:lang w:bidi="ar-SA"/>
    </w:rPr>
  </w:style>
  <w:style w:type="paragraph" w:customStyle="1" w:styleId="1130">
    <w:name w:val="lff"/>
    <w:basedOn w:val="85"/>
    <w:link w:val="1129"/>
    <w:uiPriority w:val="0"/>
    <w:pPr>
      <w:snapToGrid w:val="0"/>
      <w:spacing w:after="0" w:line="360" w:lineRule="auto"/>
      <w:ind w:firstLine="422" w:firstLineChars="200"/>
    </w:pPr>
    <w:rPr>
      <w:rFonts w:ascii="宋体" w:hAnsi="宋体"/>
      <w:b/>
      <w:color w:val="0000FF"/>
      <w:kern w:val="0"/>
      <w:sz w:val="20"/>
      <w:szCs w:val="21"/>
    </w:rPr>
  </w:style>
  <w:style w:type="character" w:customStyle="1" w:styleId="1131">
    <w:name w:val="可研报告标题4 Char"/>
    <w:link w:val="1132"/>
    <w:locked/>
    <w:uiPriority w:val="0"/>
    <w:rPr>
      <w:rFonts w:ascii="黑体" w:hAnsi="黑体" w:eastAsia="黑体"/>
      <w:b/>
      <w:sz w:val="28"/>
      <w:lang w:bidi="ar-SA"/>
    </w:rPr>
  </w:style>
  <w:style w:type="paragraph" w:customStyle="1" w:styleId="1132">
    <w:name w:val="可研报告标题4"/>
    <w:basedOn w:val="1"/>
    <w:next w:val="1"/>
    <w:link w:val="1131"/>
    <w:uiPriority w:val="0"/>
    <w:pPr>
      <w:spacing w:line="360" w:lineRule="auto"/>
    </w:pPr>
    <w:rPr>
      <w:rFonts w:ascii="黑体" w:hAnsi="黑体" w:eastAsia="黑体"/>
      <w:b/>
      <w:kern w:val="0"/>
      <w:sz w:val="28"/>
      <w:szCs w:val="20"/>
    </w:rPr>
  </w:style>
  <w:style w:type="character" w:customStyle="1" w:styleId="1133">
    <w:name w:val="表中文字 Char1"/>
    <w:link w:val="1134"/>
    <w:locked/>
    <w:uiPriority w:val="0"/>
    <w:rPr>
      <w:rFonts w:ascii="宋体" w:hAnsi="宋体" w:eastAsia="宋体"/>
      <w:lang w:bidi="ar-SA"/>
    </w:rPr>
  </w:style>
  <w:style w:type="paragraph" w:customStyle="1" w:styleId="1134">
    <w:name w:val="表中文字"/>
    <w:basedOn w:val="1"/>
    <w:link w:val="1133"/>
    <w:uiPriority w:val="0"/>
    <w:pPr>
      <w:snapToGrid w:val="0"/>
      <w:spacing w:line="320" w:lineRule="exact"/>
      <w:jc w:val="center"/>
    </w:pPr>
    <w:rPr>
      <w:rFonts w:ascii="宋体" w:hAnsi="宋体"/>
      <w:kern w:val="0"/>
      <w:sz w:val="20"/>
      <w:szCs w:val="20"/>
    </w:rPr>
  </w:style>
  <w:style w:type="character" w:customStyle="1" w:styleId="1135">
    <w:name w:val="T正文 Char"/>
    <w:link w:val="1136"/>
    <w:locked/>
    <w:uiPriority w:val="0"/>
    <w:rPr>
      <w:rFonts w:ascii="楷体_GB2312" w:eastAsia="楷体_GB2312"/>
      <w:sz w:val="24"/>
      <w:szCs w:val="24"/>
      <w:lang w:bidi="ar-SA"/>
    </w:rPr>
  </w:style>
  <w:style w:type="paragraph" w:customStyle="1" w:styleId="1136">
    <w:name w:val="T正文"/>
    <w:basedOn w:val="1"/>
    <w:next w:val="1"/>
    <w:link w:val="1135"/>
    <w:uiPriority w:val="0"/>
    <w:pPr>
      <w:autoSpaceDE w:val="0"/>
      <w:autoSpaceDN w:val="0"/>
      <w:adjustRightInd w:val="0"/>
      <w:jc w:val="left"/>
    </w:pPr>
    <w:rPr>
      <w:rFonts w:ascii="楷体_GB2312" w:eastAsia="楷体_GB2312"/>
      <w:kern w:val="0"/>
      <w:sz w:val="24"/>
    </w:rPr>
  </w:style>
  <w:style w:type="character" w:customStyle="1" w:styleId="1137">
    <w:name w:val="表名 Char Char"/>
    <w:link w:val="1138"/>
    <w:locked/>
    <w:uiPriority w:val="0"/>
    <w:rPr>
      <w:rFonts w:ascii="宋体" w:hAnsi="宋体"/>
      <w:b/>
      <w:i/>
      <w:sz w:val="24"/>
      <w:szCs w:val="24"/>
      <w:lang w:val="en-US" w:eastAsia="zh-CN" w:bidi="ar-SA"/>
    </w:rPr>
  </w:style>
  <w:style w:type="paragraph" w:customStyle="1" w:styleId="1138">
    <w:name w:val="表名"/>
    <w:link w:val="1137"/>
    <w:uiPriority w:val="0"/>
    <w:pPr>
      <w:widowControl w:val="0"/>
      <w:adjustRightInd w:val="0"/>
      <w:spacing w:line="336" w:lineRule="auto"/>
      <w:jc w:val="center"/>
    </w:pPr>
    <w:rPr>
      <w:rFonts w:ascii="宋体" w:hAnsi="宋体"/>
      <w:b/>
      <w:i/>
      <w:sz w:val="24"/>
      <w:szCs w:val="24"/>
      <w:lang w:val="en-US" w:eastAsia="zh-CN" w:bidi="ar-SA"/>
    </w:rPr>
  </w:style>
  <w:style w:type="character" w:customStyle="1" w:styleId="1139">
    <w:name w:val="农贸市场正文 Char"/>
    <w:link w:val="1140"/>
    <w:locked/>
    <w:uiPriority w:val="0"/>
    <w:rPr>
      <w:snapToGrid w:val="0"/>
      <w:color w:val="000000"/>
      <w:sz w:val="24"/>
      <w:lang w:bidi="ar-SA"/>
    </w:rPr>
  </w:style>
  <w:style w:type="paragraph" w:customStyle="1" w:styleId="1140">
    <w:name w:val="农贸市场正文"/>
    <w:basedOn w:val="1"/>
    <w:link w:val="1139"/>
    <w:uiPriority w:val="0"/>
    <w:pPr>
      <w:snapToGrid w:val="0"/>
      <w:spacing w:line="360" w:lineRule="auto"/>
      <w:ind w:firstLine="200" w:firstLineChars="200"/>
      <w:jc w:val="left"/>
    </w:pPr>
    <w:rPr>
      <w:snapToGrid w:val="0"/>
      <w:color w:val="000000"/>
      <w:kern w:val="0"/>
      <w:sz w:val="24"/>
      <w:szCs w:val="20"/>
    </w:rPr>
  </w:style>
  <w:style w:type="character" w:customStyle="1" w:styleId="1141">
    <w:name w:val="农贸市场一级标题 Char"/>
    <w:link w:val="1142"/>
    <w:locked/>
    <w:uiPriority w:val="0"/>
    <w:rPr>
      <w:b/>
      <w:sz w:val="32"/>
      <w:lang w:bidi="ar-SA"/>
    </w:rPr>
  </w:style>
  <w:style w:type="paragraph" w:customStyle="1" w:styleId="1142">
    <w:name w:val="农贸市场一级标题"/>
    <w:basedOn w:val="1"/>
    <w:link w:val="1141"/>
    <w:uiPriority w:val="0"/>
    <w:pPr>
      <w:spacing w:beforeLines="150" w:afterLines="150" w:line="360" w:lineRule="auto"/>
      <w:jc w:val="left"/>
      <w:outlineLvl w:val="0"/>
    </w:pPr>
    <w:rPr>
      <w:b/>
      <w:kern w:val="0"/>
      <w:sz w:val="32"/>
      <w:szCs w:val="20"/>
    </w:rPr>
  </w:style>
  <w:style w:type="character" w:customStyle="1" w:styleId="1143">
    <w:name w:val="表格1 Char"/>
    <w:locked/>
    <w:uiPriority w:val="0"/>
    <w:rPr>
      <w:rFonts w:ascii="宋体" w:hAnsi="宋体" w:eastAsia="宋体"/>
      <w:sz w:val="24"/>
      <w:lang w:bidi="ar-SA"/>
    </w:rPr>
  </w:style>
  <w:style w:type="character" w:customStyle="1" w:styleId="1144">
    <w:name w:val="表蕊 Char1"/>
    <w:link w:val="1145"/>
    <w:locked/>
    <w:uiPriority w:val="0"/>
    <w:rPr>
      <w:rFonts w:ascii="楷体_GB2312" w:eastAsia="楷体_GB2312"/>
      <w:spacing w:val="-10"/>
      <w:lang w:bidi="ar-SA"/>
    </w:rPr>
  </w:style>
  <w:style w:type="paragraph" w:customStyle="1" w:styleId="1145">
    <w:name w:val="表蕊"/>
    <w:basedOn w:val="1"/>
    <w:link w:val="1144"/>
    <w:uiPriority w:val="0"/>
    <w:pPr>
      <w:adjustRightInd w:val="0"/>
      <w:spacing w:line="320" w:lineRule="atLeast"/>
      <w:jc w:val="left"/>
    </w:pPr>
    <w:rPr>
      <w:rFonts w:ascii="楷体_GB2312" w:eastAsia="楷体_GB2312"/>
      <w:spacing w:val="-10"/>
      <w:kern w:val="0"/>
      <w:sz w:val="20"/>
      <w:szCs w:val="20"/>
    </w:rPr>
  </w:style>
  <w:style w:type="character" w:customStyle="1" w:styleId="1146">
    <w:name w:val="表头1 Char"/>
    <w:locked/>
    <w:uiPriority w:val="0"/>
    <w:rPr>
      <w:rFonts w:ascii="黑体" w:hAnsi="黑体" w:eastAsia="黑体"/>
      <w:szCs w:val="21"/>
      <w:lang w:bidi="ar-SA"/>
    </w:rPr>
  </w:style>
  <w:style w:type="character" w:customStyle="1" w:styleId="1147">
    <w:name w:val="样式 标题 3 + 蓝色 行距: 1.5 倍行距 Char"/>
    <w:link w:val="1148"/>
    <w:locked/>
    <w:uiPriority w:val="0"/>
    <w:rPr>
      <w:rFonts w:ascii="黑体" w:hAnsi="黑体" w:eastAsia="黑体"/>
      <w:b/>
      <w:bCs/>
      <w:color w:val="0000FF"/>
      <w:sz w:val="24"/>
      <w:szCs w:val="24"/>
      <w:lang w:bidi="ar-SA"/>
    </w:rPr>
  </w:style>
  <w:style w:type="paragraph" w:customStyle="1" w:styleId="1148">
    <w:name w:val="样式 标题 3 + 蓝色 行距: 1.5 倍行距"/>
    <w:basedOn w:val="7"/>
    <w:link w:val="1147"/>
    <w:uiPriority w:val="0"/>
    <w:pPr>
      <w:adjustRightInd w:val="0"/>
      <w:spacing w:before="0" w:after="120" w:line="360" w:lineRule="auto"/>
    </w:pPr>
    <w:rPr>
      <w:rFonts w:ascii="黑体" w:hAnsi="黑体" w:eastAsia="黑体"/>
      <w:color w:val="0000FF"/>
      <w:kern w:val="0"/>
      <w:sz w:val="24"/>
      <w:szCs w:val="24"/>
    </w:rPr>
  </w:style>
  <w:style w:type="character" w:customStyle="1" w:styleId="1149">
    <w:name w:val="正文+段落 Char"/>
    <w:link w:val="1150"/>
    <w:locked/>
    <w:uiPriority w:val="0"/>
    <w:rPr>
      <w:snapToGrid w:val="0"/>
      <w:sz w:val="24"/>
      <w:szCs w:val="28"/>
      <w:lang w:bidi="ar-SA"/>
    </w:rPr>
  </w:style>
  <w:style w:type="paragraph" w:customStyle="1" w:styleId="1150">
    <w:name w:val="正文+段落"/>
    <w:basedOn w:val="1"/>
    <w:link w:val="1149"/>
    <w:uiPriority w:val="0"/>
    <w:pPr>
      <w:snapToGrid w:val="0"/>
      <w:spacing w:line="360" w:lineRule="auto"/>
      <w:ind w:firstLine="480" w:firstLineChars="200"/>
    </w:pPr>
    <w:rPr>
      <w:snapToGrid w:val="0"/>
      <w:kern w:val="0"/>
      <w:sz w:val="24"/>
      <w:szCs w:val="28"/>
    </w:rPr>
  </w:style>
  <w:style w:type="character" w:customStyle="1" w:styleId="1151">
    <w:name w:val="正文文本（使用1） Char"/>
    <w:link w:val="1152"/>
    <w:locked/>
    <w:uiPriority w:val="0"/>
    <w:rPr>
      <w:rFonts w:ascii="宋体" w:hAnsi="宋体" w:eastAsia="宋体"/>
      <w:color w:val="0000FF"/>
      <w:sz w:val="24"/>
      <w:szCs w:val="24"/>
      <w:lang w:bidi="ar-SA"/>
    </w:rPr>
  </w:style>
  <w:style w:type="paragraph" w:customStyle="1" w:styleId="1152">
    <w:name w:val="正文文本（使用1）"/>
    <w:basedOn w:val="1"/>
    <w:link w:val="1151"/>
    <w:uiPriority w:val="0"/>
    <w:pPr>
      <w:adjustRightInd w:val="0"/>
      <w:snapToGrid w:val="0"/>
      <w:spacing w:line="520" w:lineRule="exact"/>
      <w:ind w:firstLine="480" w:firstLineChars="200"/>
    </w:pPr>
    <w:rPr>
      <w:rFonts w:ascii="宋体" w:hAnsi="宋体"/>
      <w:color w:val="0000FF"/>
      <w:kern w:val="0"/>
      <w:sz w:val="24"/>
    </w:rPr>
  </w:style>
  <w:style w:type="character" w:customStyle="1" w:styleId="1153">
    <w:name w:val="环科院标题2 Char"/>
    <w:link w:val="1154"/>
    <w:locked/>
    <w:uiPriority w:val="0"/>
    <w:rPr>
      <w:rFonts w:ascii="宋体" w:hAnsi="宋体" w:eastAsia="宋体"/>
      <w:b/>
      <w:bCs/>
      <w:sz w:val="28"/>
      <w:szCs w:val="28"/>
      <w:lang w:bidi="ar-SA"/>
    </w:rPr>
  </w:style>
  <w:style w:type="paragraph" w:customStyle="1" w:styleId="1154">
    <w:name w:val="环科院标题2"/>
    <w:basedOn w:val="6"/>
    <w:link w:val="1153"/>
    <w:uiPriority w:val="0"/>
    <w:pPr>
      <w:tabs>
        <w:tab w:val="left" w:pos="360"/>
      </w:tabs>
      <w:spacing w:before="120" w:after="0" w:line="240" w:lineRule="auto"/>
      <w:jc w:val="left"/>
    </w:pPr>
    <w:rPr>
      <w:rFonts w:ascii="宋体" w:hAnsi="宋体" w:eastAsia="宋体"/>
      <w:kern w:val="0"/>
      <w:sz w:val="28"/>
      <w:szCs w:val="28"/>
    </w:rPr>
  </w:style>
  <w:style w:type="character" w:customStyle="1" w:styleId="1155">
    <w:name w:val="花东-第一小节 Char Char"/>
    <w:link w:val="1156"/>
    <w:locked/>
    <w:uiPriority w:val="0"/>
    <w:rPr>
      <w:b/>
      <w:sz w:val="28"/>
      <w:szCs w:val="24"/>
      <w:lang w:bidi="ar-SA"/>
    </w:rPr>
  </w:style>
  <w:style w:type="paragraph" w:customStyle="1" w:styleId="1156">
    <w:name w:val="花东-第一小节"/>
    <w:basedOn w:val="1"/>
    <w:link w:val="1155"/>
    <w:uiPriority w:val="0"/>
    <w:pPr>
      <w:adjustRightInd w:val="0"/>
      <w:spacing w:line="312" w:lineRule="auto"/>
    </w:pPr>
    <w:rPr>
      <w:b/>
      <w:kern w:val="0"/>
      <w:sz w:val="28"/>
    </w:rPr>
  </w:style>
  <w:style w:type="character" w:customStyle="1" w:styleId="1157">
    <w:name w:val="正文 首行缩进:  2 字符 Char Char"/>
    <w:link w:val="1158"/>
    <w:locked/>
    <w:uiPriority w:val="0"/>
    <w:rPr>
      <w:sz w:val="24"/>
      <w:lang w:bidi="ar-SA"/>
    </w:rPr>
  </w:style>
  <w:style w:type="paragraph" w:customStyle="1" w:styleId="1158">
    <w:name w:val="正文 首行缩进:  2 字符"/>
    <w:basedOn w:val="1"/>
    <w:link w:val="1157"/>
    <w:uiPriority w:val="0"/>
    <w:pPr>
      <w:adjustRightInd w:val="0"/>
      <w:spacing w:line="336" w:lineRule="auto"/>
      <w:ind w:firstLine="200" w:firstLineChars="200"/>
    </w:pPr>
    <w:rPr>
      <w:kern w:val="0"/>
      <w:sz w:val="24"/>
      <w:szCs w:val="20"/>
    </w:rPr>
  </w:style>
  <w:style w:type="character" w:customStyle="1" w:styleId="1159">
    <w:name w:val="框图文字 Char Char"/>
    <w:link w:val="1160"/>
    <w:locked/>
    <w:uiPriority w:val="0"/>
    <w:rPr>
      <w:spacing w:val="-20"/>
      <w:lang w:bidi="ar-SA"/>
    </w:rPr>
  </w:style>
  <w:style w:type="paragraph" w:customStyle="1" w:styleId="1160">
    <w:name w:val="框图文字"/>
    <w:basedOn w:val="1"/>
    <w:link w:val="1159"/>
    <w:uiPriority w:val="0"/>
    <w:pPr>
      <w:snapToGrid w:val="0"/>
      <w:spacing w:line="160" w:lineRule="atLeast"/>
      <w:jc w:val="center"/>
    </w:pPr>
    <w:rPr>
      <w:spacing w:val="-20"/>
      <w:kern w:val="0"/>
      <w:sz w:val="20"/>
      <w:szCs w:val="20"/>
    </w:rPr>
  </w:style>
  <w:style w:type="character" w:customStyle="1" w:styleId="1161">
    <w:name w:val="表格-RED Char"/>
    <w:link w:val="1162"/>
    <w:locked/>
    <w:uiPriority w:val="0"/>
    <w:rPr>
      <w:rFonts w:ascii="宋体" w:hAnsi="宋体"/>
      <w:sz w:val="18"/>
      <w:szCs w:val="18"/>
      <w:lang w:val="en-US" w:eastAsia="zh-CN" w:bidi="ar-SA"/>
    </w:rPr>
  </w:style>
  <w:style w:type="paragraph" w:customStyle="1" w:styleId="1162">
    <w:name w:val="表格-RED"/>
    <w:link w:val="1161"/>
    <w:uiPriority w:val="0"/>
    <w:pPr>
      <w:jc w:val="center"/>
    </w:pPr>
    <w:rPr>
      <w:rFonts w:ascii="宋体" w:hAnsi="宋体"/>
      <w:sz w:val="18"/>
      <w:szCs w:val="18"/>
      <w:lang w:val="en-US" w:eastAsia="zh-CN" w:bidi="ar-SA"/>
    </w:rPr>
  </w:style>
  <w:style w:type="character" w:customStyle="1" w:styleId="1163">
    <w:name w:val="cucd-0 Char"/>
    <w:link w:val="1164"/>
    <w:locked/>
    <w:uiPriority w:val="0"/>
    <w:rPr>
      <w:rFonts w:eastAsia="Times New Roman"/>
      <w:sz w:val="24"/>
      <w:szCs w:val="24"/>
      <w:lang w:val="en-US" w:eastAsia="zh-CN" w:bidi="ar-SA"/>
    </w:rPr>
  </w:style>
  <w:style w:type="paragraph" w:customStyle="1" w:styleId="1164">
    <w:name w:val="cucd-0"/>
    <w:link w:val="1163"/>
    <w:uiPriority w:val="0"/>
    <w:pPr>
      <w:spacing w:line="360" w:lineRule="auto"/>
      <w:ind w:firstLine="480" w:firstLineChars="200"/>
    </w:pPr>
    <w:rPr>
      <w:rFonts w:eastAsia="Times New Roman"/>
      <w:sz w:val="24"/>
      <w:szCs w:val="24"/>
      <w:lang w:val="en-US" w:eastAsia="zh-CN" w:bidi="ar-SA"/>
    </w:rPr>
  </w:style>
  <w:style w:type="character" w:customStyle="1" w:styleId="1165">
    <w:name w:val="环评表格标题 Char"/>
    <w:link w:val="1166"/>
    <w:locked/>
    <w:uiPriority w:val="0"/>
    <w:rPr>
      <w:rFonts w:ascii="黑体" w:hAnsi="黑体" w:eastAsia="黑体"/>
      <w:b/>
      <w:sz w:val="28"/>
      <w:szCs w:val="21"/>
      <w:lang w:bidi="ar-SA"/>
    </w:rPr>
  </w:style>
  <w:style w:type="paragraph" w:customStyle="1" w:styleId="1166">
    <w:name w:val="环评表格标题"/>
    <w:basedOn w:val="1"/>
    <w:link w:val="1165"/>
    <w:uiPriority w:val="0"/>
    <w:pPr>
      <w:jc w:val="center"/>
    </w:pPr>
    <w:rPr>
      <w:rFonts w:ascii="黑体" w:hAnsi="黑体" w:eastAsia="黑体"/>
      <w:b/>
      <w:kern w:val="0"/>
      <w:sz w:val="28"/>
      <w:szCs w:val="21"/>
    </w:rPr>
  </w:style>
  <w:style w:type="character" w:customStyle="1" w:styleId="1167">
    <w:name w:val="正文1 Char Char"/>
    <w:link w:val="1168"/>
    <w:locked/>
    <w:uiPriority w:val="0"/>
    <w:rPr>
      <w:sz w:val="24"/>
      <w:lang w:bidi="ar-SA"/>
    </w:rPr>
  </w:style>
  <w:style w:type="paragraph" w:customStyle="1" w:styleId="1168">
    <w:name w:val="正文11"/>
    <w:basedOn w:val="1"/>
    <w:link w:val="1167"/>
    <w:uiPriority w:val="0"/>
    <w:pPr>
      <w:spacing w:line="360" w:lineRule="auto"/>
      <w:ind w:firstLine="420"/>
    </w:pPr>
    <w:rPr>
      <w:kern w:val="0"/>
      <w:sz w:val="24"/>
      <w:szCs w:val="20"/>
    </w:rPr>
  </w:style>
  <w:style w:type="character" w:customStyle="1" w:styleId="1169">
    <w:name w:val="环科院表格标题 Char"/>
    <w:link w:val="1170"/>
    <w:locked/>
    <w:uiPriority w:val="0"/>
    <w:rPr>
      <w:rFonts w:ascii="宋体" w:hAnsi="宋体" w:eastAsia="宋体"/>
      <w:b/>
      <w:sz w:val="24"/>
      <w:szCs w:val="24"/>
      <w:lang w:bidi="ar-SA"/>
    </w:rPr>
  </w:style>
  <w:style w:type="paragraph" w:customStyle="1" w:styleId="1170">
    <w:name w:val="环科院表格标题"/>
    <w:basedOn w:val="1"/>
    <w:link w:val="1169"/>
    <w:uiPriority w:val="0"/>
    <w:pPr>
      <w:spacing w:beforeLines="50" w:line="260" w:lineRule="atLeast"/>
      <w:jc w:val="center"/>
    </w:pPr>
    <w:rPr>
      <w:rFonts w:ascii="宋体" w:hAnsi="宋体"/>
      <w:b/>
      <w:kern w:val="0"/>
      <w:sz w:val="24"/>
    </w:rPr>
  </w:style>
  <w:style w:type="character" w:customStyle="1" w:styleId="1171">
    <w:name w:val="标题3（使用1） Char"/>
    <w:link w:val="1172"/>
    <w:locked/>
    <w:uiPriority w:val="0"/>
    <w:rPr>
      <w:rFonts w:ascii="黑体" w:hAnsi="黑体" w:eastAsia="黑体"/>
      <w:bCs/>
      <w:sz w:val="24"/>
      <w:szCs w:val="28"/>
      <w:lang w:bidi="ar-SA"/>
    </w:rPr>
  </w:style>
  <w:style w:type="paragraph" w:customStyle="1" w:styleId="1172">
    <w:name w:val="标题3（使用1）"/>
    <w:basedOn w:val="7"/>
    <w:link w:val="1171"/>
    <w:uiPriority w:val="0"/>
    <w:pPr>
      <w:adjustRightInd w:val="0"/>
      <w:spacing w:before="0" w:beforeLines="50" w:after="0" w:line="360" w:lineRule="auto"/>
    </w:pPr>
    <w:rPr>
      <w:rFonts w:ascii="黑体" w:hAnsi="黑体" w:eastAsia="黑体"/>
      <w:b w:val="0"/>
      <w:kern w:val="0"/>
      <w:sz w:val="24"/>
      <w:szCs w:val="28"/>
    </w:rPr>
  </w:style>
  <w:style w:type="character" w:customStyle="1" w:styleId="1173">
    <w:name w:val="正常段落 Char"/>
    <w:link w:val="1174"/>
    <w:locked/>
    <w:uiPriority w:val="0"/>
    <w:rPr>
      <w:rFonts w:ascii="宋体" w:hAnsi="宋体" w:eastAsia="宋体"/>
      <w:sz w:val="24"/>
      <w:lang w:bidi="ar-SA"/>
    </w:rPr>
  </w:style>
  <w:style w:type="paragraph" w:customStyle="1" w:styleId="1174">
    <w:name w:val="正常段落"/>
    <w:basedOn w:val="10"/>
    <w:link w:val="1173"/>
    <w:qFormat/>
    <w:uiPriority w:val="0"/>
    <w:pPr>
      <w:spacing w:line="440" w:lineRule="exact"/>
      <w:ind w:firstLine="0" w:firstLineChars="0"/>
    </w:pPr>
    <w:rPr>
      <w:rFonts w:ascii="宋体" w:hAnsi="宋体"/>
      <w:kern w:val="0"/>
      <w:sz w:val="24"/>
      <w:szCs w:val="20"/>
    </w:rPr>
  </w:style>
  <w:style w:type="character" w:customStyle="1" w:styleId="1175">
    <w:name w:val="正文-RED Char"/>
    <w:link w:val="1176"/>
    <w:locked/>
    <w:uiPriority w:val="0"/>
    <w:rPr>
      <w:rFonts w:eastAsia="Times New Roman"/>
      <w:sz w:val="28"/>
      <w:lang w:val="en-US" w:eastAsia="zh-CN" w:bidi="ar-SA"/>
    </w:rPr>
  </w:style>
  <w:style w:type="paragraph" w:customStyle="1" w:styleId="1176">
    <w:name w:val="正文-RED"/>
    <w:link w:val="1175"/>
    <w:uiPriority w:val="0"/>
    <w:pPr>
      <w:spacing w:line="360" w:lineRule="auto"/>
      <w:ind w:firstLine="420"/>
    </w:pPr>
    <w:rPr>
      <w:rFonts w:eastAsia="Times New Roman"/>
      <w:sz w:val="28"/>
      <w:lang w:val="en-US" w:eastAsia="zh-CN" w:bidi="ar-SA"/>
    </w:rPr>
  </w:style>
  <w:style w:type="character" w:customStyle="1" w:styleId="1177">
    <w:name w:val="表格标题（使用1） Char"/>
    <w:link w:val="1178"/>
    <w:locked/>
    <w:uiPriority w:val="0"/>
    <w:rPr>
      <w:rFonts w:ascii="宋体" w:hAnsi="宋体" w:eastAsia="宋体"/>
      <w:b/>
      <w:bCs/>
      <w:sz w:val="24"/>
      <w:szCs w:val="24"/>
      <w:lang w:bidi="ar-SA"/>
    </w:rPr>
  </w:style>
  <w:style w:type="paragraph" w:customStyle="1" w:styleId="1178">
    <w:name w:val="表格标题（使用1）"/>
    <w:basedOn w:val="1"/>
    <w:link w:val="1177"/>
    <w:uiPriority w:val="0"/>
    <w:pPr>
      <w:adjustRightInd w:val="0"/>
      <w:spacing w:line="360" w:lineRule="auto"/>
      <w:jc w:val="center"/>
    </w:pPr>
    <w:rPr>
      <w:rFonts w:ascii="宋体" w:hAnsi="宋体"/>
      <w:b/>
      <w:bCs/>
      <w:kern w:val="0"/>
      <w:sz w:val="24"/>
    </w:rPr>
  </w:style>
  <w:style w:type="character" w:customStyle="1" w:styleId="1179">
    <w:name w:val="花东-第一节 Char Char"/>
    <w:link w:val="1180"/>
    <w:locked/>
    <w:uiPriority w:val="0"/>
    <w:rPr>
      <w:rFonts w:ascii="黑体" w:hAnsi="黑体" w:eastAsia="黑体"/>
      <w:sz w:val="36"/>
      <w:szCs w:val="24"/>
      <w:lang w:bidi="ar-SA"/>
    </w:rPr>
  </w:style>
  <w:style w:type="paragraph" w:customStyle="1" w:styleId="1180">
    <w:name w:val="花东-第一节"/>
    <w:basedOn w:val="1"/>
    <w:link w:val="1179"/>
    <w:uiPriority w:val="0"/>
    <w:pPr>
      <w:adjustRightInd w:val="0"/>
      <w:spacing w:line="432" w:lineRule="auto"/>
    </w:pPr>
    <w:rPr>
      <w:rFonts w:ascii="黑体" w:hAnsi="黑体" w:eastAsia="黑体"/>
      <w:kern w:val="0"/>
      <w:sz w:val="36"/>
    </w:rPr>
  </w:style>
  <w:style w:type="character" w:customStyle="1" w:styleId="1181">
    <w:name w:val="12.4.1 Char Char"/>
    <w:basedOn w:val="690"/>
    <w:link w:val="1182"/>
    <w:locked/>
    <w:uiPriority w:val="0"/>
  </w:style>
  <w:style w:type="paragraph" w:customStyle="1" w:styleId="1182">
    <w:name w:val="12.4.1"/>
    <w:basedOn w:val="691"/>
    <w:link w:val="1181"/>
    <w:uiPriority w:val="0"/>
    <w:pPr>
      <w:numPr>
        <w:ilvl w:val="0"/>
        <w:numId w:val="53"/>
      </w:numPr>
    </w:pPr>
  </w:style>
  <w:style w:type="character" w:customStyle="1" w:styleId="1183">
    <w:name w:val="6. Char Char"/>
    <w:link w:val="1184"/>
    <w:locked/>
    <w:uiPriority w:val="0"/>
    <w:rPr>
      <w:rFonts w:eastAsia="黑体"/>
      <w:b/>
      <w:bCs/>
      <w:sz w:val="28"/>
      <w:szCs w:val="28"/>
    </w:rPr>
  </w:style>
  <w:style w:type="paragraph" w:customStyle="1" w:styleId="1184">
    <w:name w:val="6."/>
    <w:basedOn w:val="1"/>
    <w:link w:val="1183"/>
    <w:uiPriority w:val="0"/>
    <w:pPr>
      <w:numPr>
        <w:ilvl w:val="0"/>
        <w:numId w:val="54"/>
      </w:numPr>
      <w:tabs>
        <w:tab w:val="left" w:pos="5124"/>
      </w:tabs>
      <w:spacing w:line="360" w:lineRule="auto"/>
      <w:jc w:val="left"/>
      <w:outlineLvl w:val="1"/>
    </w:pPr>
    <w:rPr>
      <w:rFonts w:eastAsia="黑体"/>
      <w:b/>
      <w:bCs/>
      <w:kern w:val="0"/>
      <w:sz w:val="28"/>
      <w:szCs w:val="28"/>
    </w:rPr>
  </w:style>
  <w:style w:type="character" w:customStyle="1" w:styleId="1185">
    <w:name w:val="4.1. Char Char"/>
    <w:link w:val="1186"/>
    <w:locked/>
    <w:uiPriority w:val="0"/>
    <w:rPr>
      <w:rFonts w:eastAsia="黑体"/>
      <w:b/>
      <w:bCs/>
      <w:sz w:val="24"/>
      <w:szCs w:val="24"/>
    </w:rPr>
  </w:style>
  <w:style w:type="paragraph" w:customStyle="1" w:styleId="1186">
    <w:name w:val="4.1."/>
    <w:basedOn w:val="1"/>
    <w:link w:val="1185"/>
    <w:uiPriority w:val="0"/>
    <w:pPr>
      <w:numPr>
        <w:ilvl w:val="0"/>
        <w:numId w:val="55"/>
      </w:numPr>
      <w:spacing w:line="360" w:lineRule="auto"/>
      <w:outlineLvl w:val="2"/>
    </w:pPr>
    <w:rPr>
      <w:rFonts w:eastAsia="黑体"/>
      <w:b/>
      <w:bCs/>
      <w:kern w:val="0"/>
      <w:sz w:val="24"/>
    </w:rPr>
  </w:style>
  <w:style w:type="character" w:customStyle="1" w:styleId="1187">
    <w:name w:val="5.2. Char Char"/>
    <w:link w:val="1188"/>
    <w:locked/>
    <w:uiPriority w:val="0"/>
    <w:rPr>
      <w:rFonts w:eastAsia="黑体"/>
      <w:b/>
      <w:bCs/>
      <w:sz w:val="24"/>
      <w:szCs w:val="24"/>
    </w:rPr>
  </w:style>
  <w:style w:type="paragraph" w:customStyle="1" w:styleId="1188">
    <w:name w:val="5.2."/>
    <w:basedOn w:val="1"/>
    <w:link w:val="1187"/>
    <w:uiPriority w:val="0"/>
    <w:pPr>
      <w:numPr>
        <w:ilvl w:val="0"/>
        <w:numId w:val="56"/>
      </w:numPr>
      <w:spacing w:line="500" w:lineRule="exact"/>
      <w:outlineLvl w:val="2"/>
    </w:pPr>
    <w:rPr>
      <w:rFonts w:eastAsia="黑体"/>
      <w:b/>
      <w:bCs/>
      <w:kern w:val="0"/>
      <w:sz w:val="24"/>
    </w:rPr>
  </w:style>
  <w:style w:type="character" w:customStyle="1" w:styleId="1189">
    <w:name w:val="15.1.1 Char Char"/>
    <w:basedOn w:val="756"/>
    <w:link w:val="1190"/>
    <w:locked/>
    <w:uiPriority w:val="0"/>
  </w:style>
  <w:style w:type="paragraph" w:customStyle="1" w:styleId="1190">
    <w:name w:val="15.1.1"/>
    <w:basedOn w:val="757"/>
    <w:link w:val="1189"/>
    <w:uiPriority w:val="0"/>
    <w:pPr>
      <w:numPr>
        <w:ilvl w:val="0"/>
        <w:numId w:val="57"/>
      </w:numPr>
    </w:pPr>
  </w:style>
  <w:style w:type="character" w:customStyle="1" w:styleId="1191">
    <w:name w:val="4.6. Char Char"/>
    <w:link w:val="1192"/>
    <w:locked/>
    <w:uiPriority w:val="0"/>
    <w:rPr>
      <w:rFonts w:eastAsia="黑体"/>
      <w:b/>
      <w:bCs/>
      <w:sz w:val="24"/>
      <w:szCs w:val="24"/>
    </w:rPr>
  </w:style>
  <w:style w:type="paragraph" w:customStyle="1" w:styleId="1192">
    <w:name w:val="4.6."/>
    <w:basedOn w:val="1"/>
    <w:link w:val="1191"/>
    <w:uiPriority w:val="0"/>
    <w:pPr>
      <w:numPr>
        <w:ilvl w:val="0"/>
        <w:numId w:val="58"/>
      </w:numPr>
      <w:spacing w:line="360" w:lineRule="auto"/>
      <w:outlineLvl w:val="2"/>
    </w:pPr>
    <w:rPr>
      <w:rFonts w:eastAsia="黑体"/>
      <w:b/>
      <w:bCs/>
      <w:kern w:val="0"/>
      <w:sz w:val="24"/>
    </w:rPr>
  </w:style>
  <w:style w:type="character" w:customStyle="1" w:styleId="1193">
    <w:name w:val="正文内容 Char1"/>
    <w:link w:val="1194"/>
    <w:locked/>
    <w:uiPriority w:val="0"/>
    <w:rPr>
      <w:rFonts w:ascii="宋体" w:hAnsi="宋体" w:eastAsia="宋体"/>
      <w:sz w:val="24"/>
      <w:lang w:bidi="ar-SA"/>
    </w:rPr>
  </w:style>
  <w:style w:type="paragraph" w:customStyle="1" w:styleId="1194">
    <w:name w:val="正文内容"/>
    <w:basedOn w:val="1"/>
    <w:link w:val="1193"/>
    <w:uiPriority w:val="0"/>
    <w:pPr>
      <w:spacing w:line="360" w:lineRule="auto"/>
      <w:ind w:firstLine="200" w:firstLineChars="200"/>
    </w:pPr>
    <w:rPr>
      <w:rFonts w:ascii="宋体" w:hAnsi="宋体"/>
      <w:kern w:val="0"/>
      <w:sz w:val="24"/>
      <w:szCs w:val="20"/>
    </w:rPr>
  </w:style>
  <w:style w:type="character" w:customStyle="1" w:styleId="1195">
    <w:name w:val="5.2.1 Char Char"/>
    <w:basedOn w:val="1187"/>
    <w:link w:val="1196"/>
    <w:locked/>
    <w:uiPriority w:val="0"/>
  </w:style>
  <w:style w:type="paragraph" w:customStyle="1" w:styleId="1196">
    <w:name w:val="5.2.1"/>
    <w:basedOn w:val="1188"/>
    <w:link w:val="1195"/>
    <w:uiPriority w:val="0"/>
    <w:pPr>
      <w:numPr>
        <w:ilvl w:val="0"/>
        <w:numId w:val="59"/>
      </w:numPr>
    </w:pPr>
  </w:style>
  <w:style w:type="character" w:customStyle="1" w:styleId="1197">
    <w:name w:val="1-8 Char Char"/>
    <w:link w:val="1198"/>
    <w:locked/>
    <w:uiPriority w:val="0"/>
    <w:rPr>
      <w:rFonts w:eastAsia="黑体"/>
      <w:b/>
      <w:bCs/>
      <w:sz w:val="24"/>
      <w:szCs w:val="24"/>
    </w:rPr>
  </w:style>
  <w:style w:type="paragraph" w:customStyle="1" w:styleId="1198">
    <w:name w:val="1-8"/>
    <w:basedOn w:val="209"/>
    <w:link w:val="1197"/>
    <w:uiPriority w:val="0"/>
    <w:pPr>
      <w:keepNext/>
      <w:keepLines/>
      <w:numPr>
        <w:ilvl w:val="0"/>
        <w:numId w:val="60"/>
      </w:numPr>
      <w:spacing w:line="360" w:lineRule="auto"/>
      <w:ind w:firstLineChars="0"/>
      <w:outlineLvl w:val="2"/>
    </w:pPr>
    <w:rPr>
      <w:rFonts w:eastAsia="黑体"/>
      <w:b/>
      <w:bCs/>
      <w:spacing w:val="0"/>
      <w:kern w:val="0"/>
      <w:sz w:val="24"/>
      <w:szCs w:val="24"/>
    </w:rPr>
  </w:style>
  <w:style w:type="character" w:customStyle="1" w:styleId="1199">
    <w:name w:val="3.1. Char Char"/>
    <w:link w:val="1200"/>
    <w:locked/>
    <w:uiPriority w:val="0"/>
    <w:rPr>
      <w:rFonts w:eastAsia="黑体"/>
      <w:b/>
      <w:bCs/>
      <w:sz w:val="24"/>
      <w:szCs w:val="24"/>
    </w:rPr>
  </w:style>
  <w:style w:type="paragraph" w:customStyle="1" w:styleId="1200">
    <w:name w:val="3.1."/>
    <w:basedOn w:val="1"/>
    <w:link w:val="1199"/>
    <w:uiPriority w:val="0"/>
    <w:pPr>
      <w:numPr>
        <w:ilvl w:val="0"/>
        <w:numId w:val="61"/>
      </w:numPr>
      <w:tabs>
        <w:tab w:val="left" w:pos="5124"/>
      </w:tabs>
      <w:spacing w:line="360" w:lineRule="auto"/>
      <w:outlineLvl w:val="2"/>
    </w:pPr>
    <w:rPr>
      <w:rFonts w:eastAsia="黑体"/>
      <w:b/>
      <w:bCs/>
      <w:kern w:val="0"/>
      <w:sz w:val="24"/>
    </w:rPr>
  </w:style>
  <w:style w:type="character" w:customStyle="1" w:styleId="1201">
    <w:name w:val="1.3 Char Char"/>
    <w:link w:val="1202"/>
    <w:locked/>
    <w:uiPriority w:val="0"/>
    <w:rPr>
      <w:rFonts w:eastAsia="黑体"/>
      <w:b/>
      <w:color w:val="000000"/>
      <w:sz w:val="24"/>
    </w:rPr>
  </w:style>
  <w:style w:type="paragraph" w:customStyle="1" w:styleId="1202">
    <w:name w:val="1.3"/>
    <w:basedOn w:val="10"/>
    <w:link w:val="1201"/>
    <w:uiPriority w:val="0"/>
    <w:pPr>
      <w:numPr>
        <w:ilvl w:val="0"/>
        <w:numId w:val="62"/>
      </w:numPr>
      <w:tabs>
        <w:tab w:val="left" w:pos="0"/>
      </w:tabs>
      <w:spacing w:line="480" w:lineRule="exact"/>
      <w:ind w:firstLineChars="0"/>
      <w:jc w:val="left"/>
    </w:pPr>
    <w:rPr>
      <w:rFonts w:eastAsia="黑体"/>
      <w:b/>
      <w:color w:val="000000"/>
      <w:kern w:val="0"/>
      <w:sz w:val="24"/>
      <w:szCs w:val="20"/>
    </w:rPr>
  </w:style>
  <w:style w:type="character" w:customStyle="1" w:styleId="1203">
    <w:name w:val="2.6. Char Char"/>
    <w:link w:val="1204"/>
    <w:locked/>
    <w:uiPriority w:val="0"/>
    <w:rPr>
      <w:rFonts w:eastAsia="黑体"/>
      <w:b/>
      <w:bCs/>
      <w:sz w:val="24"/>
      <w:szCs w:val="24"/>
    </w:rPr>
  </w:style>
  <w:style w:type="paragraph" w:customStyle="1" w:styleId="1204">
    <w:name w:val="2.6."/>
    <w:basedOn w:val="1"/>
    <w:link w:val="1203"/>
    <w:uiPriority w:val="0"/>
    <w:pPr>
      <w:numPr>
        <w:ilvl w:val="0"/>
        <w:numId w:val="63"/>
      </w:numPr>
      <w:tabs>
        <w:tab w:val="left" w:pos="5124"/>
      </w:tabs>
      <w:spacing w:line="360" w:lineRule="auto"/>
      <w:outlineLvl w:val="2"/>
    </w:pPr>
    <w:rPr>
      <w:rFonts w:eastAsia="黑体"/>
      <w:b/>
      <w:bCs/>
      <w:kern w:val="0"/>
      <w:sz w:val="24"/>
    </w:rPr>
  </w:style>
  <w:style w:type="character" w:customStyle="1" w:styleId="1205">
    <w:name w:val="1.5 Char Char"/>
    <w:link w:val="1206"/>
    <w:locked/>
    <w:uiPriority w:val="0"/>
    <w:rPr>
      <w:rFonts w:eastAsia="黑体"/>
      <w:b/>
      <w:bCs/>
      <w:sz w:val="24"/>
      <w:szCs w:val="24"/>
    </w:rPr>
  </w:style>
  <w:style w:type="paragraph" w:customStyle="1" w:styleId="1206">
    <w:name w:val="1.5"/>
    <w:basedOn w:val="209"/>
    <w:link w:val="1205"/>
    <w:uiPriority w:val="0"/>
    <w:pPr>
      <w:keepNext/>
      <w:keepLines/>
      <w:numPr>
        <w:ilvl w:val="0"/>
        <w:numId w:val="64"/>
      </w:numPr>
      <w:spacing w:line="440" w:lineRule="exact"/>
      <w:ind w:firstLineChars="0"/>
      <w:outlineLvl w:val="2"/>
    </w:pPr>
    <w:rPr>
      <w:rFonts w:eastAsia="黑体"/>
      <w:b/>
      <w:bCs/>
      <w:spacing w:val="0"/>
      <w:kern w:val="0"/>
      <w:sz w:val="24"/>
      <w:szCs w:val="24"/>
    </w:rPr>
  </w:style>
  <w:style w:type="character" w:customStyle="1" w:styleId="1207">
    <w:name w:val="2.1. Char Char"/>
    <w:link w:val="1208"/>
    <w:locked/>
    <w:uiPriority w:val="0"/>
    <w:rPr>
      <w:rFonts w:eastAsia="黑体"/>
      <w:b/>
      <w:color w:val="000000"/>
      <w:sz w:val="24"/>
    </w:rPr>
  </w:style>
  <w:style w:type="paragraph" w:customStyle="1" w:styleId="1208">
    <w:name w:val="2.1."/>
    <w:basedOn w:val="10"/>
    <w:link w:val="1207"/>
    <w:uiPriority w:val="0"/>
    <w:pPr>
      <w:numPr>
        <w:ilvl w:val="0"/>
        <w:numId w:val="65"/>
      </w:numPr>
      <w:tabs>
        <w:tab w:val="left" w:pos="0"/>
      </w:tabs>
      <w:spacing w:line="360" w:lineRule="auto"/>
      <w:ind w:firstLineChars="0"/>
      <w:outlineLvl w:val="2"/>
    </w:pPr>
    <w:rPr>
      <w:rFonts w:eastAsia="黑体"/>
      <w:b/>
      <w:color w:val="000000"/>
      <w:kern w:val="0"/>
      <w:sz w:val="24"/>
      <w:szCs w:val="20"/>
    </w:rPr>
  </w:style>
  <w:style w:type="character" w:customStyle="1" w:styleId="1209">
    <w:name w:val="9.6.6. Char Char"/>
    <w:link w:val="1210"/>
    <w:locked/>
    <w:uiPriority w:val="0"/>
    <w:rPr>
      <w:rFonts w:eastAsia="黑体"/>
      <w:b/>
      <w:bCs/>
      <w:sz w:val="24"/>
      <w:szCs w:val="24"/>
    </w:rPr>
  </w:style>
  <w:style w:type="paragraph" w:customStyle="1" w:styleId="1210">
    <w:name w:val="9.6.6."/>
    <w:basedOn w:val="750"/>
    <w:link w:val="1209"/>
    <w:uiPriority w:val="0"/>
    <w:pPr>
      <w:numPr>
        <w:ilvl w:val="0"/>
        <w:numId w:val="66"/>
      </w:numPr>
      <w:outlineLvl w:val="3"/>
    </w:pPr>
  </w:style>
  <w:style w:type="character" w:customStyle="1" w:styleId="1211">
    <w:name w:val="9.6.3. Char Char"/>
    <w:link w:val="1212"/>
    <w:locked/>
    <w:uiPriority w:val="0"/>
    <w:rPr>
      <w:rFonts w:eastAsia="黑体"/>
      <w:b/>
      <w:bCs/>
      <w:sz w:val="24"/>
      <w:szCs w:val="24"/>
    </w:rPr>
  </w:style>
  <w:style w:type="paragraph" w:customStyle="1" w:styleId="1212">
    <w:name w:val="9.6.3."/>
    <w:basedOn w:val="181"/>
    <w:link w:val="1211"/>
    <w:uiPriority w:val="0"/>
    <w:pPr>
      <w:numPr>
        <w:ilvl w:val="0"/>
        <w:numId w:val="67"/>
      </w:numPr>
      <w:outlineLvl w:val="3"/>
    </w:pPr>
  </w:style>
  <w:style w:type="character" w:customStyle="1" w:styleId="1213">
    <w:name w:val="7. Char Char"/>
    <w:link w:val="1214"/>
    <w:locked/>
    <w:uiPriority w:val="0"/>
    <w:rPr>
      <w:rFonts w:eastAsia="黑体"/>
      <w:b/>
      <w:bCs/>
      <w:sz w:val="28"/>
      <w:szCs w:val="28"/>
    </w:rPr>
  </w:style>
  <w:style w:type="paragraph" w:customStyle="1" w:styleId="1214">
    <w:name w:val="7."/>
    <w:basedOn w:val="181"/>
    <w:link w:val="1213"/>
    <w:uiPriority w:val="0"/>
    <w:pPr>
      <w:numPr>
        <w:ilvl w:val="0"/>
        <w:numId w:val="68"/>
      </w:numPr>
      <w:jc w:val="left"/>
      <w:outlineLvl w:val="1"/>
    </w:pPr>
    <w:rPr>
      <w:sz w:val="28"/>
      <w:szCs w:val="28"/>
    </w:rPr>
  </w:style>
  <w:style w:type="character" w:customStyle="1" w:styleId="1215">
    <w:name w:val="9.2. Char Char"/>
    <w:basedOn w:val="179"/>
    <w:link w:val="1216"/>
    <w:locked/>
    <w:uiPriority w:val="0"/>
  </w:style>
  <w:style w:type="paragraph" w:customStyle="1" w:styleId="1216">
    <w:name w:val="9.2."/>
    <w:basedOn w:val="180"/>
    <w:link w:val="1215"/>
    <w:uiPriority w:val="0"/>
    <w:pPr>
      <w:numPr>
        <w:ilvl w:val="0"/>
        <w:numId w:val="69"/>
      </w:numPr>
    </w:pPr>
  </w:style>
  <w:style w:type="character" w:customStyle="1" w:styleId="1217">
    <w:name w:val="水库正文 Char Char"/>
    <w:link w:val="1218"/>
    <w:locked/>
    <w:uiPriority w:val="0"/>
    <w:rPr>
      <w:color w:val="000000"/>
      <w:sz w:val="28"/>
      <w:szCs w:val="28"/>
      <w:lang w:bidi="ar-SA"/>
    </w:rPr>
  </w:style>
  <w:style w:type="paragraph" w:customStyle="1" w:styleId="1218">
    <w:name w:val="水库正文"/>
    <w:basedOn w:val="1"/>
    <w:next w:val="1"/>
    <w:link w:val="1217"/>
    <w:uiPriority w:val="0"/>
    <w:pPr>
      <w:wordWrap w:val="0"/>
      <w:topLinePunct/>
      <w:snapToGrid w:val="0"/>
      <w:spacing w:line="500" w:lineRule="atLeast"/>
      <w:ind w:firstLine="560" w:firstLineChars="200"/>
      <w:jc w:val="left"/>
    </w:pPr>
    <w:rPr>
      <w:color w:val="000000"/>
      <w:kern w:val="0"/>
      <w:sz w:val="28"/>
      <w:szCs w:val="28"/>
    </w:rPr>
  </w:style>
  <w:style w:type="character" w:customStyle="1" w:styleId="1219">
    <w:name w:val="2.4.6. Char Char"/>
    <w:link w:val="1220"/>
    <w:locked/>
    <w:uiPriority w:val="0"/>
    <w:rPr>
      <w:b/>
      <w:bCs/>
      <w:sz w:val="24"/>
      <w:szCs w:val="24"/>
    </w:rPr>
  </w:style>
  <w:style w:type="paragraph" w:customStyle="1" w:styleId="1220">
    <w:name w:val="2.4.6."/>
    <w:basedOn w:val="1"/>
    <w:link w:val="1219"/>
    <w:uiPriority w:val="0"/>
    <w:pPr>
      <w:numPr>
        <w:ilvl w:val="0"/>
        <w:numId w:val="70"/>
      </w:numPr>
      <w:spacing w:line="360" w:lineRule="auto"/>
      <w:jc w:val="left"/>
      <w:outlineLvl w:val="3"/>
    </w:pPr>
    <w:rPr>
      <w:b/>
      <w:bCs/>
      <w:kern w:val="0"/>
      <w:sz w:val="24"/>
    </w:rPr>
  </w:style>
  <w:style w:type="character" w:customStyle="1" w:styleId="1221">
    <w:name w:val="5.5. Char Char"/>
    <w:link w:val="1222"/>
    <w:locked/>
    <w:uiPriority w:val="0"/>
    <w:rPr>
      <w:rFonts w:eastAsia="黑体"/>
      <w:b/>
      <w:sz w:val="24"/>
    </w:rPr>
  </w:style>
  <w:style w:type="paragraph" w:customStyle="1" w:styleId="1222">
    <w:name w:val="5.5."/>
    <w:basedOn w:val="47"/>
    <w:link w:val="1221"/>
    <w:uiPriority w:val="0"/>
    <w:pPr>
      <w:numPr>
        <w:ilvl w:val="0"/>
        <w:numId w:val="71"/>
      </w:numPr>
      <w:adjustRightInd w:val="0"/>
      <w:spacing w:line="480" w:lineRule="exact"/>
      <w:jc w:val="left"/>
      <w:outlineLvl w:val="2"/>
    </w:pPr>
    <w:rPr>
      <w:rFonts w:ascii="Times New Roman" w:hAnsi="Times New Roman" w:eastAsia="黑体" w:cs="Times New Roman"/>
      <w:b/>
      <w:kern w:val="0"/>
      <w:sz w:val="24"/>
      <w:szCs w:val="20"/>
    </w:rPr>
  </w:style>
  <w:style w:type="character" w:customStyle="1" w:styleId="1223">
    <w:name w:val="16.4. Char Char"/>
    <w:link w:val="1224"/>
    <w:locked/>
    <w:uiPriority w:val="0"/>
    <w:rPr>
      <w:rFonts w:eastAsia="黑体"/>
      <w:b/>
      <w:bCs/>
      <w:sz w:val="24"/>
      <w:szCs w:val="24"/>
    </w:rPr>
  </w:style>
  <w:style w:type="paragraph" w:customStyle="1" w:styleId="1224">
    <w:name w:val="16.4."/>
    <w:basedOn w:val="1"/>
    <w:link w:val="1223"/>
    <w:uiPriority w:val="0"/>
    <w:pPr>
      <w:numPr>
        <w:ilvl w:val="0"/>
        <w:numId w:val="72"/>
      </w:numPr>
      <w:spacing w:line="480" w:lineRule="exact"/>
      <w:outlineLvl w:val="2"/>
    </w:pPr>
    <w:rPr>
      <w:rFonts w:eastAsia="黑体"/>
      <w:b/>
      <w:bCs/>
      <w:kern w:val="0"/>
      <w:sz w:val="24"/>
    </w:rPr>
  </w:style>
  <w:style w:type="character" w:customStyle="1" w:styleId="1225">
    <w:name w:val="圈1 Char Char"/>
    <w:link w:val="1226"/>
    <w:locked/>
    <w:uiPriority w:val="0"/>
    <w:rPr>
      <w:sz w:val="24"/>
    </w:rPr>
  </w:style>
  <w:style w:type="paragraph" w:customStyle="1" w:styleId="1226">
    <w:name w:val="圈1"/>
    <w:basedOn w:val="1"/>
    <w:link w:val="1225"/>
    <w:uiPriority w:val="0"/>
    <w:pPr>
      <w:numPr>
        <w:ilvl w:val="0"/>
        <w:numId w:val="73"/>
      </w:numPr>
      <w:spacing w:line="360" w:lineRule="auto"/>
    </w:pPr>
    <w:rPr>
      <w:kern w:val="0"/>
      <w:sz w:val="24"/>
      <w:szCs w:val="20"/>
    </w:rPr>
  </w:style>
  <w:style w:type="character" w:customStyle="1" w:styleId="1227">
    <w:name w:val="14.2.1 Char Char"/>
    <w:basedOn w:val="558"/>
    <w:link w:val="1228"/>
    <w:locked/>
    <w:uiPriority w:val="0"/>
  </w:style>
  <w:style w:type="paragraph" w:customStyle="1" w:styleId="1228">
    <w:name w:val="14.2.1"/>
    <w:basedOn w:val="559"/>
    <w:link w:val="1227"/>
    <w:uiPriority w:val="0"/>
    <w:pPr>
      <w:numPr>
        <w:ilvl w:val="0"/>
        <w:numId w:val="74"/>
      </w:numPr>
    </w:pPr>
  </w:style>
  <w:style w:type="character" w:customStyle="1" w:styleId="1229">
    <w:name w:val="3. Char Char"/>
    <w:link w:val="1230"/>
    <w:locked/>
    <w:uiPriority w:val="0"/>
    <w:rPr>
      <w:rFonts w:eastAsia="黑体"/>
      <w:b/>
      <w:bCs/>
      <w:sz w:val="28"/>
      <w:szCs w:val="24"/>
    </w:rPr>
  </w:style>
  <w:style w:type="paragraph" w:customStyle="1" w:styleId="1230">
    <w:name w:val="3."/>
    <w:basedOn w:val="1"/>
    <w:link w:val="1229"/>
    <w:uiPriority w:val="0"/>
    <w:pPr>
      <w:numPr>
        <w:ilvl w:val="0"/>
        <w:numId w:val="75"/>
      </w:numPr>
      <w:tabs>
        <w:tab w:val="left" w:pos="5124"/>
      </w:tabs>
      <w:spacing w:before="120" w:after="120" w:line="360" w:lineRule="auto"/>
      <w:outlineLvl w:val="1"/>
    </w:pPr>
    <w:rPr>
      <w:rFonts w:eastAsia="黑体"/>
      <w:b/>
      <w:bCs/>
      <w:kern w:val="0"/>
      <w:sz w:val="28"/>
    </w:rPr>
  </w:style>
  <w:style w:type="character" w:customStyle="1" w:styleId="1231">
    <w:name w:val="8. Char Char"/>
    <w:link w:val="1232"/>
    <w:locked/>
    <w:uiPriority w:val="0"/>
    <w:rPr>
      <w:rFonts w:eastAsia="黑体"/>
      <w:b/>
      <w:bCs/>
      <w:sz w:val="28"/>
      <w:szCs w:val="30"/>
    </w:rPr>
  </w:style>
  <w:style w:type="paragraph" w:customStyle="1" w:styleId="1232">
    <w:name w:val="8."/>
    <w:basedOn w:val="1"/>
    <w:link w:val="1231"/>
    <w:uiPriority w:val="0"/>
    <w:pPr>
      <w:numPr>
        <w:ilvl w:val="0"/>
        <w:numId w:val="76"/>
      </w:numPr>
      <w:spacing w:line="360" w:lineRule="auto"/>
    </w:pPr>
    <w:rPr>
      <w:rFonts w:eastAsia="黑体"/>
      <w:b/>
      <w:bCs/>
      <w:kern w:val="0"/>
      <w:sz w:val="28"/>
      <w:szCs w:val="30"/>
    </w:rPr>
  </w:style>
  <w:style w:type="character" w:customStyle="1" w:styleId="1233">
    <w:name w:val="样式 标题 1@1.标题 1H1Chapter Headline章chap标题 章Charb1章节标题MB... Char"/>
    <w:link w:val="1234"/>
    <w:locked/>
    <w:uiPriority w:val="0"/>
    <w:rPr>
      <w:rFonts w:ascii="宋体" w:hAnsi="宋体" w:eastAsia="宋体"/>
      <w:b/>
      <w:bCs/>
      <w:sz w:val="30"/>
      <w:lang w:bidi="ar-SA"/>
    </w:rPr>
  </w:style>
  <w:style w:type="paragraph" w:customStyle="1" w:styleId="1234">
    <w:name w:val="样式 标题 1@1.标题 1H1Chapter Headline章chap标题 章Charb1章节标题MB..."/>
    <w:basedOn w:val="5"/>
    <w:link w:val="1233"/>
    <w:uiPriority w:val="0"/>
    <w:pPr>
      <w:keepNext w:val="0"/>
      <w:keepLines w:val="0"/>
      <w:spacing w:before="0" w:beforeLines="50" w:after="0" w:afterLines="50" w:line="360" w:lineRule="auto"/>
      <w:ind w:left="850" w:hanging="425"/>
    </w:pPr>
    <w:rPr>
      <w:rFonts w:ascii="宋体" w:hAnsi="宋体"/>
      <w:kern w:val="0"/>
      <w:sz w:val="30"/>
      <w:szCs w:val="20"/>
    </w:rPr>
  </w:style>
  <w:style w:type="character" w:customStyle="1" w:styleId="1235">
    <w:name w:val="正文@ Char"/>
    <w:link w:val="1236"/>
    <w:locked/>
    <w:uiPriority w:val="0"/>
    <w:rPr>
      <w:rFonts w:ascii="宋体" w:hAnsi="宋体" w:eastAsia="宋体"/>
      <w:sz w:val="24"/>
      <w:lang w:bidi="ar-SA"/>
    </w:rPr>
  </w:style>
  <w:style w:type="paragraph" w:customStyle="1" w:styleId="1236">
    <w:name w:val="正文@"/>
    <w:basedOn w:val="1"/>
    <w:link w:val="1235"/>
    <w:uiPriority w:val="0"/>
    <w:pPr>
      <w:spacing w:line="360" w:lineRule="auto"/>
      <w:ind w:firstLine="200" w:firstLineChars="200"/>
    </w:pPr>
    <w:rPr>
      <w:rFonts w:ascii="宋体" w:hAnsi="宋体"/>
      <w:kern w:val="0"/>
      <w:sz w:val="24"/>
      <w:szCs w:val="20"/>
    </w:rPr>
  </w:style>
  <w:style w:type="character" w:customStyle="1" w:styleId="1237">
    <w:name w:val="样式 表图头@ + 段前: 0.5 行 Char"/>
    <w:link w:val="1238"/>
    <w:locked/>
    <w:uiPriority w:val="0"/>
    <w:rPr>
      <w:rFonts w:ascii="宋体" w:hAnsi="宋体" w:eastAsia="宋体"/>
      <w:lang w:bidi="ar-SA"/>
    </w:rPr>
  </w:style>
  <w:style w:type="paragraph" w:customStyle="1" w:styleId="1238">
    <w:name w:val="样式 表图头@ + 段前: 0.5 行"/>
    <w:basedOn w:val="1"/>
    <w:link w:val="1237"/>
    <w:uiPriority w:val="0"/>
    <w:pPr>
      <w:adjustRightInd w:val="0"/>
      <w:jc w:val="center"/>
    </w:pPr>
    <w:rPr>
      <w:rFonts w:ascii="宋体" w:hAnsi="宋体"/>
      <w:kern w:val="0"/>
      <w:sz w:val="20"/>
      <w:szCs w:val="20"/>
    </w:rPr>
  </w:style>
  <w:style w:type="character" w:customStyle="1" w:styleId="1239">
    <w:name w:val="样式 正文@ + 黑色 图案: 清除 (白色) Char"/>
    <w:link w:val="1240"/>
    <w:locked/>
    <w:uiPriority w:val="0"/>
    <w:rPr>
      <w:rFonts w:ascii="宋体" w:hAnsi="宋体" w:eastAsia="宋体"/>
      <w:color w:val="000000"/>
      <w:sz w:val="24"/>
      <w:lang w:bidi="ar-SA"/>
    </w:rPr>
  </w:style>
  <w:style w:type="paragraph" w:customStyle="1" w:styleId="1240">
    <w:name w:val="样式 正文@ + 黑色 图案: 清除 (白色)"/>
    <w:basedOn w:val="1236"/>
    <w:link w:val="1239"/>
    <w:uiPriority w:val="0"/>
    <w:rPr>
      <w:color w:val="000000"/>
    </w:rPr>
  </w:style>
  <w:style w:type="character" w:customStyle="1" w:styleId="1241">
    <w:name w:val="天赫正文 Char"/>
    <w:link w:val="1242"/>
    <w:locked/>
    <w:uiPriority w:val="0"/>
    <w:rPr>
      <w:rFonts w:ascii="宋体" w:hAnsi="宋体" w:eastAsia="宋体"/>
      <w:sz w:val="24"/>
      <w:lang w:bidi="ar-SA"/>
    </w:rPr>
  </w:style>
  <w:style w:type="paragraph" w:customStyle="1" w:styleId="1242">
    <w:name w:val="天赫正文"/>
    <w:basedOn w:val="85"/>
    <w:link w:val="1241"/>
    <w:uiPriority w:val="0"/>
    <w:pPr>
      <w:spacing w:after="0" w:line="480" w:lineRule="exact"/>
      <w:ind w:firstLine="480" w:firstLineChars="200"/>
    </w:pPr>
    <w:rPr>
      <w:rFonts w:ascii="宋体" w:hAnsi="宋体"/>
      <w:kern w:val="0"/>
      <w:sz w:val="24"/>
      <w:szCs w:val="20"/>
    </w:rPr>
  </w:style>
  <w:style w:type="character" w:customStyle="1" w:styleId="1243">
    <w:name w:val="宋体 13 磅 行距: 固定值 24 磅 Char"/>
    <w:link w:val="1244"/>
    <w:locked/>
    <w:uiPriority w:val="0"/>
    <w:rPr>
      <w:rFonts w:ascii="宋体" w:hAnsi="宋体" w:eastAsia="宋体"/>
      <w:sz w:val="26"/>
      <w:lang w:bidi="ar-SA"/>
    </w:rPr>
  </w:style>
  <w:style w:type="paragraph" w:customStyle="1" w:styleId="1244">
    <w:name w:val="宋体 13 磅 行距: 固定值 24 磅"/>
    <w:basedOn w:val="1"/>
    <w:link w:val="1243"/>
    <w:uiPriority w:val="0"/>
    <w:pPr>
      <w:spacing w:line="480" w:lineRule="exact"/>
      <w:ind w:firstLine="520" w:firstLineChars="200"/>
    </w:pPr>
    <w:rPr>
      <w:rFonts w:ascii="宋体" w:hAnsi="宋体"/>
      <w:kern w:val="0"/>
      <w:sz w:val="26"/>
      <w:szCs w:val="20"/>
    </w:rPr>
  </w:style>
  <w:style w:type="character" w:customStyle="1" w:styleId="1245">
    <w:name w:val="首行缩进 Char"/>
    <w:link w:val="1246"/>
    <w:locked/>
    <w:uiPriority w:val="0"/>
    <w:rPr>
      <w:rFonts w:ascii="宋体" w:hAnsi="Times" w:eastAsia="宋体"/>
      <w:kern w:val="44"/>
      <w:sz w:val="24"/>
      <w:lang w:bidi="ar-SA"/>
    </w:rPr>
  </w:style>
  <w:style w:type="paragraph" w:customStyle="1" w:styleId="1246">
    <w:name w:val="首行缩进"/>
    <w:basedOn w:val="1"/>
    <w:link w:val="1245"/>
    <w:uiPriority w:val="0"/>
    <w:pPr>
      <w:adjustRightInd w:val="0"/>
      <w:spacing w:line="360" w:lineRule="auto"/>
      <w:ind w:firstLine="200" w:firstLineChars="200"/>
      <w:jc w:val="left"/>
    </w:pPr>
    <w:rPr>
      <w:rFonts w:ascii="宋体" w:hAnsi="Times"/>
      <w:kern w:val="44"/>
      <w:sz w:val="24"/>
      <w:szCs w:val="20"/>
    </w:rPr>
  </w:style>
  <w:style w:type="character" w:customStyle="1" w:styleId="1247">
    <w:name w:val="热电厂正文 Char"/>
    <w:link w:val="1248"/>
    <w:locked/>
    <w:uiPriority w:val="0"/>
    <w:rPr>
      <w:sz w:val="24"/>
      <w:lang w:bidi="ar-SA"/>
    </w:rPr>
  </w:style>
  <w:style w:type="paragraph" w:customStyle="1" w:styleId="1248">
    <w:name w:val="热电厂正文"/>
    <w:basedOn w:val="1"/>
    <w:link w:val="1247"/>
    <w:uiPriority w:val="0"/>
    <w:pPr>
      <w:spacing w:line="440" w:lineRule="exact"/>
      <w:ind w:firstLine="480" w:firstLineChars="200"/>
    </w:pPr>
    <w:rPr>
      <w:kern w:val="0"/>
      <w:sz w:val="24"/>
      <w:szCs w:val="20"/>
    </w:rPr>
  </w:style>
  <w:style w:type="character" w:customStyle="1" w:styleId="1249">
    <w:name w:val="单项编号 Char"/>
    <w:link w:val="1250"/>
    <w:locked/>
    <w:uiPriority w:val="0"/>
    <w:rPr>
      <w:sz w:val="24"/>
      <w:szCs w:val="24"/>
    </w:rPr>
  </w:style>
  <w:style w:type="paragraph" w:customStyle="1" w:styleId="1250">
    <w:name w:val="单项编号"/>
    <w:basedOn w:val="1251"/>
    <w:link w:val="1249"/>
    <w:uiPriority w:val="0"/>
    <w:pPr>
      <w:numPr>
        <w:ilvl w:val="0"/>
        <w:numId w:val="77"/>
      </w:numPr>
      <w:spacing w:line="360" w:lineRule="auto"/>
      <w:ind w:firstLineChars="0"/>
    </w:pPr>
    <w:rPr>
      <w:kern w:val="0"/>
      <w:szCs w:val="24"/>
    </w:rPr>
  </w:style>
  <w:style w:type="paragraph" w:customStyle="1" w:styleId="1251">
    <w:name w:val="正"/>
    <w:basedOn w:val="1"/>
    <w:uiPriority w:val="0"/>
    <w:pPr>
      <w:ind w:firstLine="200" w:firstLineChars="200"/>
    </w:pPr>
    <w:rPr>
      <w:rFonts w:ascii="Times New Roman" w:hAnsi="Times New Roman"/>
      <w:sz w:val="24"/>
      <w:szCs w:val="20"/>
    </w:rPr>
  </w:style>
  <w:style w:type="character" w:customStyle="1" w:styleId="1252">
    <w:name w:val="金山正文 Char"/>
    <w:link w:val="1253"/>
    <w:locked/>
    <w:uiPriority w:val="0"/>
    <w:rPr>
      <w:rFonts w:ascii="宋体" w:hAnsi="宋体" w:eastAsia="宋体"/>
      <w:color w:val="000000"/>
      <w:sz w:val="24"/>
      <w:szCs w:val="24"/>
      <w:lang w:bidi="ar-SA"/>
    </w:rPr>
  </w:style>
  <w:style w:type="paragraph" w:customStyle="1" w:styleId="1253">
    <w:name w:val="金山正文"/>
    <w:basedOn w:val="1"/>
    <w:link w:val="1252"/>
    <w:uiPriority w:val="0"/>
    <w:pPr>
      <w:spacing w:line="520" w:lineRule="exact"/>
      <w:ind w:firstLine="200" w:firstLineChars="200"/>
      <w:jc w:val="left"/>
    </w:pPr>
    <w:rPr>
      <w:rFonts w:ascii="宋体" w:hAnsi="宋体"/>
      <w:color w:val="000000"/>
      <w:kern w:val="0"/>
      <w:sz w:val="24"/>
    </w:rPr>
  </w:style>
  <w:style w:type="character" w:customStyle="1" w:styleId="1254">
    <w:name w:val="font61"/>
    <w:uiPriority w:val="0"/>
    <w:rPr>
      <w:rFonts w:hint="default" w:ascii="Times New Roman" w:hAnsi="Times New Roman" w:cs="Times New Roman"/>
      <w:color w:val="000000"/>
      <w:u w:val="none"/>
    </w:rPr>
  </w:style>
  <w:style w:type="character" w:customStyle="1" w:styleId="1255">
    <w:name w:val="t-tag"/>
    <w:uiPriority w:val="0"/>
    <w:rPr>
      <w:color w:val="FFFFFF"/>
      <w:sz w:val="18"/>
      <w:szCs w:val="18"/>
      <w:shd w:val="clear" w:color="auto" w:fill="FE8833"/>
    </w:rPr>
  </w:style>
  <w:style w:type="character" w:customStyle="1" w:styleId="1256">
    <w:name w:val="bds_nopic2"/>
    <w:uiPriority w:val="0"/>
    <w:rPr>
      <w:sz w:val="18"/>
      <w:szCs w:val="18"/>
    </w:rPr>
  </w:style>
  <w:style w:type="character" w:customStyle="1" w:styleId="1257">
    <w:name w:val="charchar2"/>
    <w:uiPriority w:val="0"/>
    <w:rPr>
      <w:rFonts w:hint="default" w:ascii="Times New Roman" w:hAnsi="Times New Roman" w:cs="Times New Roman"/>
    </w:rPr>
  </w:style>
  <w:style w:type="character" w:customStyle="1" w:styleId="1258">
    <w:name w:val="bds_nopic"/>
    <w:uiPriority w:val="0"/>
    <w:rPr>
      <w:sz w:val="18"/>
      <w:szCs w:val="18"/>
    </w:rPr>
  </w:style>
  <w:style w:type="character" w:customStyle="1" w:styleId="1259">
    <w:name w:val="ico-jiang2"/>
    <w:uiPriority w:val="0"/>
    <w:rPr>
      <w:sz w:val="18"/>
      <w:szCs w:val="18"/>
    </w:rPr>
  </w:style>
  <w:style w:type="character" w:customStyle="1" w:styleId="1260">
    <w:name w:val="tip10"/>
    <w:uiPriority w:val="0"/>
    <w:rPr>
      <w:vanish/>
      <w:color w:val="FF0000"/>
      <w:sz w:val="18"/>
      <w:szCs w:val="18"/>
    </w:rPr>
  </w:style>
  <w:style w:type="character" w:customStyle="1" w:styleId="1261">
    <w:name w:val="charchar7"/>
    <w:uiPriority w:val="0"/>
    <w:rPr>
      <w:rFonts w:hint="default" w:ascii="Arial" w:hAnsi="Arial" w:cs="Arial"/>
      <w:b/>
    </w:rPr>
  </w:style>
  <w:style w:type="character" w:customStyle="1" w:styleId="1262">
    <w:name w:val="ico-jiang3"/>
    <w:uiPriority w:val="0"/>
    <w:rPr>
      <w:sz w:val="18"/>
      <w:szCs w:val="18"/>
    </w:rPr>
  </w:style>
  <w:style w:type="character" w:customStyle="1" w:styleId="1263">
    <w:name w:val="ui-bz-bg-hover1"/>
    <w:uiPriority w:val="0"/>
    <w:rPr>
      <w:sz w:val="18"/>
      <w:szCs w:val="18"/>
    </w:rPr>
  </w:style>
  <w:style w:type="character" w:customStyle="1" w:styleId="1264">
    <w:name w:val="正文文字1 Char"/>
    <w:uiPriority w:val="0"/>
    <w:rPr>
      <w:rFonts w:hint="eastAsia" w:ascii="宋体" w:hAnsi="宋体" w:eastAsia="宋体"/>
      <w:kern w:val="2"/>
      <w:sz w:val="21"/>
      <w:szCs w:val="24"/>
      <w:lang w:val="en-US" w:eastAsia="zh-CN" w:bidi="ar-SA"/>
    </w:rPr>
  </w:style>
  <w:style w:type="character" w:customStyle="1" w:styleId="1265">
    <w:name w:val="f-star"/>
    <w:uiPriority w:val="0"/>
    <w:rPr>
      <w:color w:val="999999"/>
      <w:sz w:val="21"/>
      <w:szCs w:val="21"/>
    </w:rPr>
  </w:style>
  <w:style w:type="character" w:customStyle="1" w:styleId="1266">
    <w:name w:val="charchar6"/>
    <w:uiPriority w:val="0"/>
    <w:rPr>
      <w:rFonts w:hint="default" w:ascii="Times New Roman" w:hAnsi="Times New Roman" w:cs="Times New Roman"/>
      <w:b/>
    </w:rPr>
  </w:style>
  <w:style w:type="character" w:customStyle="1" w:styleId="1267">
    <w:name w:val="日期 Char1"/>
    <w:uiPriority w:val="0"/>
    <w:rPr>
      <w:rFonts w:hint="default" w:ascii="Tahoma" w:hAnsi="Tahoma" w:cs="Tahoma"/>
    </w:rPr>
  </w:style>
  <w:style w:type="character" w:customStyle="1" w:styleId="1268">
    <w:name w:val="标题2"/>
    <w:basedOn w:val="96"/>
    <w:uiPriority w:val="0"/>
  </w:style>
  <w:style w:type="character" w:customStyle="1" w:styleId="1269">
    <w:name w:val="我的标题 Char Char"/>
    <w:link w:val="1270"/>
    <w:locked/>
    <w:uiPriority w:val="0"/>
    <w:rPr>
      <w:rFonts w:ascii="Tahoma" w:hAnsi="Tahoma" w:eastAsia="微软雅黑"/>
      <w:sz w:val="22"/>
      <w:szCs w:val="22"/>
      <w:lang w:val="en-US" w:eastAsia="zh-CN" w:bidi="ar-SA"/>
    </w:rPr>
  </w:style>
  <w:style w:type="paragraph" w:customStyle="1" w:styleId="1270">
    <w:name w:val="我的标题"/>
    <w:basedOn w:val="1"/>
    <w:link w:val="1269"/>
    <w:uiPriority w:val="0"/>
    <w:pPr>
      <w:widowControl/>
      <w:adjustRightInd w:val="0"/>
      <w:snapToGrid w:val="0"/>
      <w:spacing w:after="200"/>
      <w:jc w:val="left"/>
    </w:pPr>
    <w:rPr>
      <w:rFonts w:ascii="Tahoma" w:hAnsi="Tahoma" w:eastAsia="微软雅黑"/>
      <w:kern w:val="0"/>
      <w:sz w:val="22"/>
      <w:szCs w:val="22"/>
    </w:rPr>
  </w:style>
  <w:style w:type="character" w:customStyle="1" w:styleId="1271">
    <w:name w:val="SB表标题 Char"/>
    <w:link w:val="1272"/>
    <w:locked/>
    <w:uiPriority w:val="0"/>
    <w:rPr>
      <w:rFonts w:ascii="Tahoma" w:hAnsi="Tahoma" w:eastAsia="微软雅黑"/>
      <w:sz w:val="22"/>
      <w:szCs w:val="22"/>
      <w:lang w:val="en-US" w:eastAsia="zh-CN" w:bidi="ar-SA"/>
    </w:rPr>
  </w:style>
  <w:style w:type="paragraph" w:customStyle="1" w:styleId="1272">
    <w:name w:val="SB表标题"/>
    <w:basedOn w:val="1"/>
    <w:link w:val="1271"/>
    <w:uiPriority w:val="0"/>
    <w:pPr>
      <w:widowControl/>
      <w:adjustRightInd w:val="0"/>
      <w:snapToGrid w:val="0"/>
      <w:spacing w:after="200"/>
      <w:jc w:val="left"/>
    </w:pPr>
    <w:rPr>
      <w:rFonts w:ascii="Tahoma" w:hAnsi="Tahoma" w:eastAsia="微软雅黑"/>
      <w:kern w:val="0"/>
      <w:sz w:val="22"/>
      <w:szCs w:val="22"/>
    </w:rPr>
  </w:style>
  <w:style w:type="character" w:customStyle="1" w:styleId="1273">
    <w:name w:val="Char Char6"/>
    <w:uiPriority w:val="0"/>
    <w:rPr>
      <w:rFonts w:hint="eastAsia" w:ascii="宋体" w:hAnsi="宋体" w:eastAsia="宋体"/>
      <w:b/>
      <w:bCs/>
      <w:kern w:val="2"/>
      <w:sz w:val="32"/>
      <w:szCs w:val="32"/>
      <w:lang w:val="en-US" w:eastAsia="zh-CN" w:bidi="ar-SA"/>
    </w:rPr>
  </w:style>
  <w:style w:type="character" w:customStyle="1" w:styleId="1274">
    <w:name w:val="标题 字符1"/>
    <w:uiPriority w:val="0"/>
    <w:rPr>
      <w:rFonts w:hint="default" w:ascii="等线 Light" w:hAnsi="等线 Light" w:eastAsia="等线 Light" w:cs="Times New Roman"/>
      <w:b/>
      <w:bCs/>
      <w:kern w:val="0"/>
      <w:sz w:val="32"/>
      <w:szCs w:val="32"/>
    </w:rPr>
  </w:style>
  <w:style w:type="character" w:customStyle="1" w:styleId="1275">
    <w:name w:val="标题 Char1"/>
    <w:uiPriority w:val="0"/>
    <w:rPr>
      <w:rFonts w:hint="default" w:ascii="等线 Light" w:hAnsi="等线 Light" w:eastAsia="宋体" w:cs="Times New Roman"/>
      <w:b/>
      <w:bCs/>
      <w:sz w:val="32"/>
      <w:szCs w:val="32"/>
    </w:rPr>
  </w:style>
  <w:style w:type="character" w:customStyle="1" w:styleId="1276">
    <w:name w:val="Char Char5"/>
    <w:uiPriority w:val="0"/>
    <w:rPr>
      <w:rFonts w:hint="eastAsia" w:ascii="宋体" w:hAnsi="宋体" w:eastAsia="宋体"/>
      <w:spacing w:val="-20"/>
      <w:kern w:val="2"/>
      <w:sz w:val="18"/>
      <w:szCs w:val="24"/>
      <w:lang w:val="en-US" w:eastAsia="zh-CN" w:bidi="ar-SA"/>
    </w:rPr>
  </w:style>
  <w:style w:type="character" w:customStyle="1" w:styleId="1277">
    <w:name w:val="副标题 Char1"/>
    <w:uiPriority w:val="0"/>
    <w:rPr>
      <w:rFonts w:hint="default" w:ascii="等线 Light" w:hAnsi="等线 Light" w:eastAsia="宋体" w:cs="Times New Roman"/>
      <w:b/>
      <w:bCs/>
      <w:kern w:val="28"/>
      <w:sz w:val="32"/>
      <w:szCs w:val="32"/>
    </w:rPr>
  </w:style>
  <w:style w:type="character" w:customStyle="1" w:styleId="1278">
    <w:name w:val="ourfont1"/>
    <w:uiPriority w:val="0"/>
    <w:rPr>
      <w:color w:val="000000"/>
      <w:sz w:val="18"/>
      <w:szCs w:val="18"/>
    </w:rPr>
  </w:style>
  <w:style w:type="character" w:customStyle="1" w:styleId="1279">
    <w:name w:val="HD正文1 Char"/>
    <w:uiPriority w:val="0"/>
    <w:rPr>
      <w:rFonts w:hint="eastAsia" w:ascii="宋体" w:hAnsi="宋体" w:eastAsia="宋体"/>
      <w:kern w:val="2"/>
      <w:sz w:val="24"/>
      <w:szCs w:val="24"/>
      <w:lang w:val="en-US" w:eastAsia="zh-CN" w:bidi="ar-SA"/>
    </w:rPr>
  </w:style>
  <w:style w:type="character" w:customStyle="1" w:styleId="1280">
    <w:name w:val="副标题 字符1"/>
    <w:uiPriority w:val="0"/>
    <w:rPr>
      <w:b/>
      <w:bCs/>
      <w:kern w:val="28"/>
      <w:sz w:val="32"/>
      <w:szCs w:val="32"/>
    </w:rPr>
  </w:style>
  <w:style w:type="character" w:customStyle="1" w:styleId="1281">
    <w:name w:val="样式 样式 正文1 + 首行缩进:  2 字符 + 首行缩进:  2 字符 Char"/>
    <w:link w:val="1282"/>
    <w:locked/>
    <w:uiPriority w:val="0"/>
    <w:rPr>
      <w:rFonts w:ascii="Tahoma" w:hAnsi="Tahoma" w:eastAsia="微软雅黑"/>
      <w:sz w:val="22"/>
      <w:szCs w:val="22"/>
      <w:lang w:val="en-US" w:eastAsia="zh-CN" w:bidi="ar-SA"/>
    </w:rPr>
  </w:style>
  <w:style w:type="paragraph" w:customStyle="1" w:styleId="1282">
    <w:name w:val="样式 样式 正文1 + 首行缩进:  2 字符 + 首行缩进:  2 字符"/>
    <w:basedOn w:val="1"/>
    <w:link w:val="1281"/>
    <w:uiPriority w:val="0"/>
    <w:pPr>
      <w:widowControl/>
      <w:adjustRightInd w:val="0"/>
      <w:snapToGrid w:val="0"/>
      <w:spacing w:after="200"/>
      <w:jc w:val="left"/>
    </w:pPr>
    <w:rPr>
      <w:rFonts w:ascii="Tahoma" w:hAnsi="Tahoma" w:eastAsia="微软雅黑"/>
      <w:kern w:val="0"/>
      <w:sz w:val="22"/>
      <w:szCs w:val="22"/>
    </w:rPr>
  </w:style>
  <w:style w:type="character" w:customStyle="1" w:styleId="1283">
    <w:name w:val="no5"/>
    <w:uiPriority w:val="0"/>
    <w:rPr>
      <w:sz w:val="18"/>
      <w:szCs w:val="18"/>
    </w:rPr>
  </w:style>
  <w:style w:type="character" w:customStyle="1" w:styleId="1284">
    <w:name w:val="orange6"/>
    <w:uiPriority w:val="0"/>
    <w:rPr>
      <w:color w:val="3FB58F"/>
      <w:sz w:val="18"/>
      <w:szCs w:val="18"/>
    </w:rPr>
  </w:style>
  <w:style w:type="character" w:customStyle="1" w:styleId="1285">
    <w:name w:val="正文（首行缩进两字） Char Char8"/>
    <w:uiPriority w:val="0"/>
    <w:rPr>
      <w:rFonts w:hint="eastAsia" w:ascii="宋体" w:hAnsi="宋体" w:eastAsia="宋体"/>
      <w:kern w:val="2"/>
      <w:sz w:val="21"/>
      <w:lang w:val="en-US" w:eastAsia="zh-CN" w:bidi="ar-SA"/>
    </w:rPr>
  </w:style>
  <w:style w:type="character" w:customStyle="1" w:styleId="1286">
    <w:name w:val="charchar5"/>
    <w:uiPriority w:val="0"/>
    <w:rPr>
      <w:rFonts w:hint="default" w:ascii="Times New Roman" w:hAnsi="Times New Roman" w:cs="Times New Roman"/>
    </w:rPr>
  </w:style>
  <w:style w:type="character" w:customStyle="1" w:styleId="1287">
    <w:name w:val="my-notice1"/>
    <w:uiPriority w:val="0"/>
    <w:rPr>
      <w:sz w:val="18"/>
      <w:szCs w:val="18"/>
    </w:rPr>
  </w:style>
  <w:style w:type="character" w:customStyle="1" w:styleId="1288">
    <w:name w:val="font41"/>
    <w:basedOn w:val="96"/>
    <w:uiPriority w:val="0"/>
    <w:rPr>
      <w:rFonts w:hint="eastAsia" w:ascii="宋体" w:hAnsi="宋体" w:eastAsia="宋体" w:cs="宋体"/>
      <w:color w:val="000000"/>
      <w:sz w:val="21"/>
      <w:szCs w:val="21"/>
      <w:u w:val="none"/>
    </w:rPr>
  </w:style>
  <w:style w:type="character" w:customStyle="1" w:styleId="1289">
    <w:name w:val="charchar1"/>
    <w:uiPriority w:val="0"/>
    <w:rPr>
      <w:rFonts w:hint="default" w:ascii="Times New Roman" w:hAnsi="Times New Roman" w:cs="Times New Roman"/>
    </w:rPr>
  </w:style>
  <w:style w:type="character" w:customStyle="1" w:styleId="1290">
    <w:name w:val="章节标题 Char"/>
    <w:uiPriority w:val="0"/>
    <w:rPr>
      <w:rFonts w:hint="eastAsia" w:ascii="黑体" w:hAnsi="宋体" w:eastAsia="黑体" w:cs="宋体"/>
      <w:kern w:val="2"/>
      <w:sz w:val="32"/>
      <w:szCs w:val="24"/>
      <w:lang w:val="en-US" w:eastAsia="zh-CN" w:bidi="ar-SA"/>
    </w:rPr>
  </w:style>
  <w:style w:type="character" w:customStyle="1" w:styleId="1291">
    <w:name w:val="样式 黑体 小四"/>
    <w:uiPriority w:val="0"/>
    <w:rPr>
      <w:rFonts w:hint="eastAsia" w:ascii="黑体" w:hAnsi="黑体" w:eastAsia="黑体"/>
      <w:sz w:val="24"/>
      <w:szCs w:val="20"/>
    </w:rPr>
  </w:style>
  <w:style w:type="character" w:customStyle="1" w:styleId="1292">
    <w:name w:val="正文（首行缩进两字） Char"/>
    <w:uiPriority w:val="0"/>
    <w:rPr>
      <w:rFonts w:hint="eastAsia" w:ascii="宋体" w:hAnsi="宋体" w:eastAsia="宋体" w:cs="宋体"/>
      <w:kern w:val="2"/>
      <w:sz w:val="30"/>
      <w:szCs w:val="24"/>
      <w:lang w:val="en-US" w:eastAsia="zh-CN" w:bidi="ar-SA"/>
    </w:rPr>
  </w:style>
  <w:style w:type="character" w:customStyle="1" w:styleId="1293">
    <w:name w:val="Header Char"/>
    <w:uiPriority w:val="0"/>
    <w:rPr>
      <w:rFonts w:hint="default" w:ascii="Times New Roman" w:hAnsi="Times New Roman" w:cs="Times New Roman"/>
      <w:kern w:val="2"/>
      <w:sz w:val="18"/>
      <w:szCs w:val="18"/>
    </w:rPr>
  </w:style>
  <w:style w:type="character" w:customStyle="1" w:styleId="1294">
    <w:name w:val="unnamed2"/>
    <w:uiPriority w:val="0"/>
    <w:rPr>
      <w:szCs w:val="20"/>
    </w:rPr>
  </w:style>
  <w:style w:type="character" w:customStyle="1" w:styleId="1295">
    <w:name w:val="new-title1"/>
    <w:uiPriority w:val="0"/>
    <w:rPr>
      <w:b/>
      <w:bCs/>
      <w:color w:val="FF0000"/>
      <w:sz w:val="24"/>
      <w:szCs w:val="24"/>
    </w:rPr>
  </w:style>
  <w:style w:type="character" w:customStyle="1" w:styleId="1296">
    <w:name w:val="表格 Char Char"/>
    <w:qFormat/>
    <w:locked/>
    <w:uiPriority w:val="99"/>
    <w:rPr>
      <w:sz w:val="24"/>
    </w:rPr>
  </w:style>
  <w:style w:type="character" w:customStyle="1" w:styleId="1297">
    <w:name w:val="正文首行缩进 2 Char"/>
    <w:uiPriority w:val="0"/>
    <w:rPr>
      <w:rFonts w:hint="default" w:ascii="Arial" w:hAnsi="Arial" w:eastAsia="宋体" w:cs="Courier New"/>
      <w:snapToGrid w:val="0"/>
      <w:kern w:val="2"/>
      <w:sz w:val="28"/>
      <w:szCs w:val="32"/>
      <w:lang w:val="en-US" w:eastAsia="zh-CN" w:bidi="ar-SA"/>
    </w:rPr>
  </w:style>
  <w:style w:type="character" w:customStyle="1" w:styleId="1298">
    <w:name w:val="正文(首行缩进) Char"/>
    <w:uiPriority w:val="0"/>
    <w:rPr>
      <w:rFonts w:hint="eastAsia" w:ascii="宋体" w:hAnsi="宋体" w:eastAsia="宋体"/>
      <w:snapToGrid w:val="0"/>
      <w:color w:val="000000"/>
      <w:sz w:val="24"/>
      <w:szCs w:val="24"/>
      <w:lang w:val="en-US" w:eastAsia="zh-CN" w:bidi="ar-SA"/>
    </w:rPr>
  </w:style>
  <w:style w:type="character" w:customStyle="1" w:styleId="1299">
    <w:name w:val="文本框五号1.5倍行距 Char Char"/>
    <w:uiPriority w:val="0"/>
    <w:rPr>
      <w:rFonts w:hint="eastAsia" w:ascii="宋体" w:hAnsi="宋体" w:eastAsia="仿宋_GB2312" w:cs="Courier New"/>
      <w:kern w:val="2"/>
      <w:sz w:val="21"/>
      <w:szCs w:val="21"/>
      <w:lang w:val="en-US" w:eastAsia="zh-CN" w:bidi="ar-SA"/>
    </w:rPr>
  </w:style>
  <w:style w:type="character" w:customStyle="1" w:styleId="1300">
    <w:name w:val="表内文字 Char"/>
    <w:uiPriority w:val="0"/>
    <w:rPr>
      <w:rFonts w:hint="eastAsia" w:ascii="宋体" w:hAnsi="Courier New" w:eastAsia="宋体"/>
      <w:kern w:val="2"/>
      <w:sz w:val="28"/>
      <w:szCs w:val="20"/>
      <w:lang w:val="en-US" w:eastAsia="zh-CN" w:bidi="ar-SA"/>
    </w:rPr>
  </w:style>
  <w:style w:type="character" w:customStyle="1" w:styleId="1301">
    <w:name w:val="样式 仿宋_GB2312 小四 黑色"/>
    <w:uiPriority w:val="0"/>
    <w:rPr>
      <w:rFonts w:hint="default" w:ascii="Times New Roman" w:hAnsi="Times New Roman" w:eastAsia="仿宋_GB2312" w:cs="Courier New"/>
      <w:color w:val="000000"/>
      <w:kern w:val="2"/>
      <w:sz w:val="24"/>
      <w:szCs w:val="24"/>
      <w:lang w:val="en-US" w:eastAsia="zh-CN" w:bidi="ar-SA"/>
    </w:rPr>
  </w:style>
  <w:style w:type="character" w:customStyle="1" w:styleId="1302">
    <w:name w:val="Footer Char"/>
    <w:uiPriority w:val="0"/>
    <w:rPr>
      <w:rFonts w:hint="default" w:ascii="Times New Roman" w:hAnsi="Times New Roman" w:cs="Times New Roman"/>
      <w:kern w:val="2"/>
      <w:sz w:val="18"/>
      <w:szCs w:val="18"/>
    </w:rPr>
  </w:style>
  <w:style w:type="character" w:customStyle="1" w:styleId="1303">
    <w:name w:val="font81"/>
    <w:uiPriority w:val="0"/>
    <w:rPr>
      <w:rFonts w:hint="default" w:ascii="Times New Roman" w:hAnsi="Times New Roman" w:cs="Times New Roman"/>
      <w:color w:val="0070C0"/>
      <w:sz w:val="18"/>
      <w:szCs w:val="18"/>
      <w:u w:val="none"/>
      <w:vertAlign w:val="superscript"/>
    </w:rPr>
  </w:style>
  <w:style w:type="character" w:customStyle="1" w:styleId="1304">
    <w:name w:val="c1"/>
    <w:uiPriority w:val="0"/>
    <w:rPr>
      <w:rFonts w:hint="default" w:ascii="ˎ̥" w:hAnsi="ˎ̥"/>
      <w:color w:val="000000"/>
      <w:sz w:val="21"/>
      <w:szCs w:val="21"/>
      <w:u w:val="none"/>
    </w:rPr>
  </w:style>
  <w:style w:type="character" w:customStyle="1" w:styleId="1305">
    <w:name w:val="纯文本1 Char"/>
    <w:uiPriority w:val="0"/>
    <w:rPr>
      <w:rFonts w:hint="eastAsia" w:ascii="宋体" w:hAnsi="Courier New" w:eastAsia="宋体"/>
      <w:kern w:val="2"/>
      <w:sz w:val="21"/>
      <w:szCs w:val="20"/>
      <w:lang w:val="en-US" w:eastAsia="zh-CN" w:bidi="ar-SA"/>
    </w:rPr>
  </w:style>
  <w:style w:type="character" w:customStyle="1" w:styleId="1306">
    <w:name w:val="样式 (西文) 宋体 (中文) 仿宋_GB2312 黑色"/>
    <w:uiPriority w:val="0"/>
    <w:rPr>
      <w:rFonts w:hint="default" w:ascii="Times New Roman" w:hAnsi="Times New Roman" w:eastAsia="仿宋_GB2312" w:cs="Courier New"/>
      <w:color w:val="000000"/>
      <w:kern w:val="2"/>
      <w:sz w:val="32"/>
      <w:szCs w:val="32"/>
      <w:lang w:val="en-US" w:eastAsia="zh-CN" w:bidi="ar-SA"/>
    </w:rPr>
  </w:style>
  <w:style w:type="character" w:customStyle="1" w:styleId="1307">
    <w:name w:val="redfont"/>
    <w:uiPriority w:val="0"/>
    <w:rPr>
      <w:rFonts w:hint="eastAsia" w:ascii="宋体" w:hAnsi="宋体" w:eastAsia="黑体" w:cs="宋体"/>
      <w:kern w:val="2"/>
      <w:sz w:val="28"/>
      <w:szCs w:val="24"/>
      <w:lang w:val="en-US" w:eastAsia="zh-CN" w:bidi="ar-SA"/>
    </w:rPr>
  </w:style>
  <w:style w:type="character" w:customStyle="1" w:styleId="1308">
    <w:name w:val="Body Text First Indent Char"/>
    <w:uiPriority w:val="0"/>
    <w:rPr>
      <w:rFonts w:ascii="Tahoma" w:hAnsi="Tahoma" w:eastAsia="宋体"/>
      <w:kern w:val="2"/>
      <w:sz w:val="21"/>
      <w:szCs w:val="24"/>
      <w:lang w:val="en-US" w:eastAsia="zh-CN" w:bidi="ar-SA"/>
    </w:rPr>
  </w:style>
  <w:style w:type="character" w:customStyle="1" w:styleId="1309">
    <w:name w:val="样式 标题 4 + 段前: 0.5 行 段后: 0.5 行 Char Char"/>
    <w:uiPriority w:val="0"/>
    <w:rPr>
      <w:rFonts w:hint="eastAsia" w:ascii="黑体" w:hAnsi="Courier New" w:eastAsia="黑体" w:cs="宋体"/>
      <w:bCs/>
      <w:kern w:val="44"/>
      <w:sz w:val="24"/>
    </w:rPr>
  </w:style>
  <w:style w:type="character" w:customStyle="1" w:styleId="1310">
    <w:name w:val="表文字 Char1"/>
    <w:uiPriority w:val="0"/>
    <w:rPr>
      <w:rFonts w:hint="eastAsia" w:ascii="宋体" w:hAnsi="宋体" w:eastAsia="宋体"/>
      <w:kern w:val="2"/>
      <w:sz w:val="21"/>
      <w:szCs w:val="21"/>
      <w:lang w:val="en-US" w:eastAsia="zh-CN" w:bidi="ar-SA"/>
    </w:rPr>
  </w:style>
  <w:style w:type="character" w:customStyle="1" w:styleId="1311">
    <w:name w:val="正文文本缩进 Char2"/>
    <w:uiPriority w:val="0"/>
    <w:rPr>
      <w:rFonts w:hint="eastAsia" w:ascii="宋体" w:hAnsi="宋体" w:eastAsia="宋体"/>
      <w:kern w:val="2"/>
      <w:sz w:val="21"/>
      <w:szCs w:val="24"/>
      <w:lang w:val="en-US" w:eastAsia="zh-CN" w:bidi="ar-SA"/>
    </w:rPr>
  </w:style>
  <w:style w:type="character" w:customStyle="1" w:styleId="1312">
    <w:name w:val="Char Char12"/>
    <w:uiPriority w:val="0"/>
    <w:rPr>
      <w:rFonts w:hint="eastAsia" w:ascii="宋体" w:hAnsi="宋体" w:eastAsia="宋体"/>
      <w:kern w:val="2"/>
      <w:sz w:val="28"/>
      <w:szCs w:val="28"/>
      <w:lang w:val="en-US" w:eastAsia="zh-CN" w:bidi="ar-SA"/>
    </w:rPr>
  </w:style>
  <w:style w:type="character" w:customStyle="1" w:styleId="1313">
    <w:name w:val="表内容 Char Char"/>
    <w:uiPriority w:val="0"/>
    <w:rPr>
      <w:rFonts w:hint="eastAsia" w:ascii="宋体" w:hAnsi="宋体" w:eastAsia="宋体" w:cs="宋体"/>
      <w:spacing w:val="14"/>
      <w:kern w:val="2"/>
      <w:sz w:val="21"/>
    </w:rPr>
  </w:style>
  <w:style w:type="character" w:customStyle="1" w:styleId="1314">
    <w:name w:val="标题 6 Char"/>
    <w:uiPriority w:val="0"/>
    <w:rPr>
      <w:rFonts w:hint="eastAsia" w:ascii="宋体" w:hAnsi="宋体" w:eastAsia="仿宋_GB2312" w:cs="宋体"/>
      <w:kern w:val="2"/>
      <w:sz w:val="24"/>
      <w:szCs w:val="21"/>
    </w:rPr>
  </w:style>
  <w:style w:type="character" w:customStyle="1" w:styleId="1315">
    <w:name w:val="填表4小中单倍行距 Char Char"/>
    <w:uiPriority w:val="0"/>
    <w:rPr>
      <w:rFonts w:hint="eastAsia" w:ascii="宋体" w:hAnsi="宋体" w:eastAsia="宋体" w:cs="宋体"/>
      <w:kern w:val="2"/>
      <w:sz w:val="24"/>
    </w:rPr>
  </w:style>
  <w:style w:type="character" w:customStyle="1" w:styleId="1316">
    <w:name w:val="样式 标题3 + 自动设置1 Char Char"/>
    <w:uiPriority w:val="0"/>
    <w:rPr>
      <w:rFonts w:hint="eastAsia" w:ascii="黑体" w:hAnsi="黑体" w:eastAsia="黑体" w:cs="宋体"/>
      <w:b/>
      <w:bCs/>
      <w:sz w:val="24"/>
      <w:szCs w:val="24"/>
    </w:rPr>
  </w:style>
  <w:style w:type="character" w:customStyle="1" w:styleId="1317">
    <w:name w:val="正文文本 3 Char"/>
    <w:uiPriority w:val="0"/>
    <w:rPr>
      <w:kern w:val="2"/>
      <w:sz w:val="16"/>
      <w:szCs w:val="16"/>
    </w:rPr>
  </w:style>
  <w:style w:type="character" w:customStyle="1" w:styleId="1318">
    <w:name w:val="结束语 Char"/>
    <w:qFormat/>
    <w:uiPriority w:val="0"/>
    <w:rPr>
      <w:kern w:val="2"/>
      <w:sz w:val="28"/>
      <w:szCs w:val="28"/>
    </w:rPr>
  </w:style>
  <w:style w:type="character" w:customStyle="1" w:styleId="1319">
    <w:name w:val="页眉 Char"/>
    <w:uiPriority w:val="0"/>
    <w:rPr>
      <w:kern w:val="2"/>
      <w:sz w:val="18"/>
      <w:szCs w:val="18"/>
    </w:rPr>
  </w:style>
  <w:style w:type="character" w:customStyle="1" w:styleId="1320">
    <w:name w:val="日期 Char"/>
    <w:uiPriority w:val="0"/>
    <w:rPr>
      <w:kern w:val="2"/>
      <w:sz w:val="24"/>
    </w:rPr>
  </w:style>
  <w:style w:type="character" w:customStyle="1" w:styleId="1321">
    <w:name w:val="正文格式 Char Char"/>
    <w:uiPriority w:val="0"/>
    <w:rPr>
      <w:rFonts w:hint="eastAsia" w:ascii="宋体" w:hAnsi="宋体" w:eastAsia="宋体" w:cs="宋体"/>
      <w:kern w:val="2"/>
      <w:sz w:val="24"/>
      <w:szCs w:val="24"/>
    </w:rPr>
  </w:style>
  <w:style w:type="character" w:customStyle="1" w:styleId="1322">
    <w:name w:val="style110"/>
    <w:uiPriority w:val="0"/>
    <w:rPr>
      <w:sz w:val="28"/>
      <w:szCs w:val="28"/>
    </w:rPr>
  </w:style>
  <w:style w:type="character" w:customStyle="1" w:styleId="1323">
    <w:name w:val="Char Char10"/>
    <w:uiPriority w:val="0"/>
    <w:rPr>
      <w:rFonts w:hint="eastAsia" w:ascii="宋体" w:hAnsi="宋体" w:eastAsia="宋体"/>
      <w:kern w:val="2"/>
      <w:sz w:val="21"/>
      <w:szCs w:val="24"/>
      <w:lang w:val="en-US" w:eastAsia="zh-CN" w:bidi="ar-SA"/>
    </w:rPr>
  </w:style>
  <w:style w:type="character" w:customStyle="1" w:styleId="1324">
    <w:name w:val="正文* Char Char"/>
    <w:uiPriority w:val="0"/>
    <w:rPr>
      <w:rFonts w:hint="eastAsia" w:ascii="楷体_GB2312" w:eastAsia="楷体_GB2312"/>
      <w:w w:val="90"/>
      <w:kern w:val="2"/>
      <w:sz w:val="30"/>
      <w:szCs w:val="30"/>
      <w:lang w:val="en-US" w:eastAsia="zh-CN" w:bidi="ar-SA"/>
    </w:rPr>
  </w:style>
  <w:style w:type="character" w:customStyle="1" w:styleId="1325">
    <w:name w:val="批注框文本 Char"/>
    <w:uiPriority w:val="99"/>
    <w:rPr>
      <w:kern w:val="2"/>
      <w:sz w:val="18"/>
      <w:szCs w:val="18"/>
    </w:rPr>
  </w:style>
  <w:style w:type="character" w:customStyle="1" w:styleId="1326">
    <w:name w:val="标题 5 Char1"/>
    <w:uiPriority w:val="0"/>
    <w:rPr>
      <w:b/>
      <w:kern w:val="2"/>
      <w:sz w:val="28"/>
    </w:rPr>
  </w:style>
  <w:style w:type="character" w:customStyle="1" w:styleId="1327">
    <w:name w:val="3级标题"/>
    <w:uiPriority w:val="0"/>
    <w:rPr>
      <w:b/>
      <w:sz w:val="28"/>
      <w:szCs w:val="28"/>
    </w:rPr>
  </w:style>
  <w:style w:type="character" w:customStyle="1" w:styleId="1328">
    <w:name w:val="正文文本 2 Char"/>
    <w:uiPriority w:val="0"/>
    <w:rPr>
      <w:rFonts w:hint="default" w:ascii="Times New Roman" w:hAnsi="Times New Roman" w:cs="Times New Roman"/>
      <w:kern w:val="2"/>
      <w:sz w:val="21"/>
      <w:szCs w:val="24"/>
    </w:rPr>
  </w:style>
  <w:style w:type="character" w:customStyle="1" w:styleId="1329">
    <w:name w:val="+正文 Char Char"/>
    <w:uiPriority w:val="0"/>
    <w:rPr>
      <w:kern w:val="2"/>
      <w:sz w:val="28"/>
      <w:szCs w:val="28"/>
    </w:rPr>
  </w:style>
  <w:style w:type="character" w:customStyle="1" w:styleId="1330">
    <w:name w:val="称呼 Char"/>
    <w:uiPriority w:val="0"/>
    <w:rPr>
      <w:sz w:val="24"/>
    </w:rPr>
  </w:style>
  <w:style w:type="character" w:customStyle="1" w:styleId="1331">
    <w:name w:val="14. Char Char"/>
    <w:link w:val="1332"/>
    <w:locked/>
    <w:uiPriority w:val="0"/>
    <w:rPr>
      <w:rFonts w:ascii="Tahoma" w:hAnsi="Tahoma" w:eastAsia="微软雅黑"/>
      <w:sz w:val="22"/>
      <w:szCs w:val="22"/>
      <w:lang w:val="en-US" w:eastAsia="zh-CN" w:bidi="ar-SA"/>
    </w:rPr>
  </w:style>
  <w:style w:type="paragraph" w:customStyle="1" w:styleId="1332">
    <w:name w:val="14."/>
    <w:basedOn w:val="1"/>
    <w:link w:val="1331"/>
    <w:uiPriority w:val="0"/>
    <w:pPr>
      <w:widowControl/>
      <w:adjustRightInd w:val="0"/>
      <w:snapToGrid w:val="0"/>
      <w:spacing w:after="200"/>
      <w:jc w:val="left"/>
    </w:pPr>
    <w:rPr>
      <w:rFonts w:ascii="Tahoma" w:hAnsi="Tahoma" w:eastAsia="微软雅黑"/>
      <w:kern w:val="0"/>
      <w:sz w:val="22"/>
      <w:szCs w:val="22"/>
    </w:rPr>
  </w:style>
  <w:style w:type="character" w:customStyle="1" w:styleId="1333">
    <w:name w:val="报告书正文 Char Char"/>
    <w:uiPriority w:val="0"/>
    <w:rPr>
      <w:color w:val="000000"/>
      <w:kern w:val="2"/>
      <w:sz w:val="24"/>
      <w:szCs w:val="24"/>
    </w:rPr>
  </w:style>
  <w:style w:type="character" w:customStyle="1" w:styleId="1334">
    <w:name w:val="正文缩进1 Char1"/>
    <w:uiPriority w:val="0"/>
    <w:rPr>
      <w:rFonts w:hint="eastAsia" w:ascii="宋体" w:hAnsi="宋体" w:eastAsia="宋体"/>
      <w:kern w:val="2"/>
      <w:sz w:val="21"/>
      <w:lang w:val="en-US" w:eastAsia="zh-CN" w:bidi="ar-SA"/>
    </w:rPr>
  </w:style>
  <w:style w:type="character" w:customStyle="1" w:styleId="1335">
    <w:name w:val="标题 2 Char1"/>
    <w:uiPriority w:val="0"/>
    <w:rPr>
      <w:rFonts w:hint="default" w:ascii="Arial" w:hAnsi="Arial" w:eastAsia="黑体" w:cs="Arial"/>
      <w:b/>
      <w:kern w:val="2"/>
      <w:sz w:val="32"/>
      <w:lang w:val="en-US" w:eastAsia="zh-CN"/>
    </w:rPr>
  </w:style>
  <w:style w:type="character" w:customStyle="1" w:styleId="1336">
    <w:name w:val="content3"/>
    <w:basedOn w:val="96"/>
    <w:uiPriority w:val="0"/>
  </w:style>
  <w:style w:type="character" w:customStyle="1" w:styleId="1337">
    <w:name w:val="heading1"/>
    <w:uiPriority w:val="0"/>
    <w:rPr>
      <w:rFonts w:hint="default" w:ascii="ӗԲ" w:hAnsi="ӗԲ"/>
      <w:b/>
      <w:i/>
      <w:color w:val="000000"/>
      <w:sz w:val="32"/>
    </w:rPr>
  </w:style>
  <w:style w:type="character" w:customStyle="1" w:styleId="1338">
    <w:name w:val="example2"/>
    <w:basedOn w:val="96"/>
    <w:uiPriority w:val="0"/>
  </w:style>
  <w:style w:type="character" w:customStyle="1" w:styleId="1339">
    <w:name w:val="批注文字 字符"/>
    <w:semiHidden/>
    <w:qFormat/>
    <w:uiPriority w:val="0"/>
    <w:rPr>
      <w:rFonts w:ascii="Times New Roman" w:hAnsi="Times New Roman" w:eastAsia="宋体" w:cs="Times New Roman"/>
      <w:kern w:val="0"/>
      <w:sz w:val="20"/>
      <w:szCs w:val="24"/>
    </w:rPr>
  </w:style>
  <w:style w:type="character" w:customStyle="1" w:styleId="1340">
    <w:name w:val="样式 居中 Char"/>
    <w:link w:val="1341"/>
    <w:qFormat/>
    <w:uiPriority w:val="0"/>
    <w:rPr>
      <w:rFonts w:ascii="Times New Roman" w:hAnsi="Times New Roman"/>
      <w:kern w:val="2"/>
      <w:sz w:val="24"/>
    </w:rPr>
  </w:style>
  <w:style w:type="paragraph" w:customStyle="1" w:styleId="1341">
    <w:name w:val="样式 居中"/>
    <w:basedOn w:val="1"/>
    <w:link w:val="1340"/>
    <w:qFormat/>
    <w:uiPriority w:val="0"/>
    <w:pPr>
      <w:adjustRightInd w:val="0"/>
      <w:snapToGrid w:val="0"/>
      <w:spacing w:line="440" w:lineRule="atLeast"/>
      <w:ind w:firstLine="200" w:firstLineChars="200"/>
      <w:jc w:val="center"/>
    </w:pPr>
    <w:rPr>
      <w:sz w:val="24"/>
      <w:szCs w:val="20"/>
    </w:rPr>
  </w:style>
  <w:style w:type="character" w:customStyle="1" w:styleId="1342">
    <w:name w:val="报告书正文 Char2"/>
    <w:qFormat/>
    <w:uiPriority w:val="0"/>
    <w:rPr>
      <w:sz w:val="24"/>
    </w:rPr>
  </w:style>
  <w:style w:type="character" w:customStyle="1" w:styleId="1343">
    <w:name w:val="正常段落 Char Char"/>
    <w:qFormat/>
    <w:uiPriority w:val="0"/>
    <w:rPr>
      <w:rFonts w:ascii="宋体" w:hAnsi="宋体"/>
      <w:sz w:val="24"/>
    </w:rPr>
  </w:style>
  <w:style w:type="paragraph" w:customStyle="1" w:styleId="1344">
    <w:name w:val="封面落款"/>
    <w:basedOn w:val="1345"/>
    <w:uiPriority w:val="0"/>
    <w:pPr>
      <w:jc w:val="center"/>
    </w:pPr>
    <w:rPr>
      <w:rFonts w:ascii="华文新魏" w:eastAsia="华文新魏" w:cs="宋体"/>
      <w:w w:val="100"/>
      <w:sz w:val="44"/>
      <w:szCs w:val="20"/>
    </w:rPr>
  </w:style>
  <w:style w:type="paragraph" w:customStyle="1" w:styleId="1345">
    <w:name w:val="封面标题"/>
    <w:basedOn w:val="1"/>
    <w:qFormat/>
    <w:uiPriority w:val="0"/>
    <w:rPr>
      <w:rFonts w:ascii="华文中宋" w:hAnsi="华文中宋" w:eastAsia="华文中宋"/>
      <w:w w:val="150"/>
      <w:sz w:val="28"/>
      <w:szCs w:val="28"/>
    </w:rPr>
  </w:style>
  <w:style w:type="paragraph" w:customStyle="1" w:styleId="1346">
    <w:name w:val="Body text2"/>
    <w:basedOn w:val="1"/>
    <w:qFormat/>
    <w:uiPriority w:val="0"/>
    <w:pPr>
      <w:shd w:val="clear" w:color="auto" w:fill="FFFFFF"/>
      <w:spacing w:line="0" w:lineRule="atLeast"/>
    </w:pPr>
    <w:rPr>
      <w:rFonts w:ascii="MingLiU" w:hAnsi="MingLiU" w:eastAsia="MingLiU" w:cs="Times New Roman"/>
      <w:color w:val="auto"/>
      <w:spacing w:val="10"/>
      <w:sz w:val="22"/>
      <w:szCs w:val="22"/>
    </w:rPr>
  </w:style>
  <w:style w:type="paragraph" w:customStyle="1" w:styleId="1347">
    <w:name w:val="zwb-正文"/>
    <w:basedOn w:val="1"/>
    <w:qFormat/>
    <w:uiPriority w:val="0"/>
    <w:pPr>
      <w:keepNext w:val="0"/>
      <w:keepLines w:val="0"/>
      <w:widowControl w:val="0"/>
      <w:suppressLineNumbers w:val="0"/>
      <w:spacing w:before="0" w:beforeAutospacing="0" w:after="0" w:afterAutospacing="0" w:line="360" w:lineRule="auto"/>
      <w:ind w:left="0" w:right="0" w:firstLine="480" w:firstLineChars="200"/>
      <w:jc w:val="left"/>
    </w:pPr>
    <w:rPr>
      <w:rFonts w:hint="default" w:ascii="Times New Roman" w:hAnsi="Times New Roman" w:eastAsia="宋体" w:cs="Times New Roman"/>
      <w:kern w:val="0"/>
      <w:sz w:val="24"/>
      <w:szCs w:val="22"/>
      <w:lang w:val="en-US" w:eastAsia="zh-CN" w:bidi="ar"/>
    </w:rPr>
  </w:style>
  <w:style w:type="paragraph" w:customStyle="1" w:styleId="1348">
    <w:name w:val="表内左齐"/>
    <w:basedOn w:val="1"/>
    <w:next w:val="36"/>
    <w:uiPriority w:val="0"/>
    <w:pPr>
      <w:snapToGrid w:val="0"/>
      <w:spacing w:line="360" w:lineRule="auto"/>
      <w:ind w:firstLine="480" w:firstLineChars="200"/>
    </w:pPr>
    <w:rPr>
      <w:sz w:val="24"/>
    </w:rPr>
  </w:style>
  <w:style w:type="paragraph" w:customStyle="1" w:styleId="1349">
    <w:name w:val="样式 标题 2标题 21标题 121 + Times New Roman 非加粗 段前: 6 磅 段后: 8 磅 ..."/>
    <w:basedOn w:val="1"/>
    <w:uiPriority w:val="0"/>
    <w:rPr>
      <w:sz w:val="28"/>
    </w:rPr>
  </w:style>
  <w:style w:type="paragraph" w:customStyle="1" w:styleId="1350">
    <w:name w:val="一级条标题"/>
    <w:basedOn w:val="1351"/>
    <w:next w:val="1"/>
    <w:uiPriority w:val="0"/>
    <w:pPr>
      <w:tabs>
        <w:tab w:val="left" w:pos="1287"/>
      </w:tabs>
      <w:spacing w:before="0" w:beforeLines="0" w:after="0" w:afterLines="0"/>
      <w:ind w:left="0" w:firstLine="567"/>
      <w:outlineLvl w:val="2"/>
    </w:pPr>
  </w:style>
  <w:style w:type="paragraph" w:customStyle="1" w:styleId="1351">
    <w:name w:val="章标题"/>
    <w:next w:val="1"/>
    <w:uiPriority w:val="0"/>
    <w:pPr>
      <w:tabs>
        <w:tab w:val="left" w:pos="675"/>
        <w:tab w:val="left" w:pos="903"/>
      </w:tabs>
      <w:spacing w:before="50" w:after="50"/>
      <w:ind w:left="903" w:hanging="315"/>
      <w:jc w:val="both"/>
      <w:outlineLvl w:val="1"/>
    </w:pPr>
    <w:rPr>
      <w:rFonts w:ascii="黑体" w:eastAsia="黑体"/>
      <w:sz w:val="21"/>
      <w:szCs w:val="21"/>
      <w:lang w:val="en-US" w:eastAsia="zh-CN" w:bidi="ar-SA"/>
    </w:rPr>
  </w:style>
  <w:style w:type="paragraph" w:customStyle="1" w:styleId="1352">
    <w:name w:val="Char Char Char Char Char Char Char Char Char Char Char Char Char Char Char Char Char Char Char Char Char Char Char Char Char Char Char Char Char Char Char Char Char Char Char Char Char Char Char Char Char Char"/>
    <w:basedOn w:val="1"/>
    <w:uiPriority w:val="0"/>
    <w:rPr>
      <w:rFonts w:ascii="宋体" w:hAnsi="Times New Roman"/>
      <w:kern w:val="0"/>
      <w:sz w:val="34"/>
      <w:szCs w:val="20"/>
    </w:rPr>
  </w:style>
  <w:style w:type="paragraph" w:customStyle="1" w:styleId="1353">
    <w:name w:val=" Char2"/>
    <w:basedOn w:val="1"/>
    <w:uiPriority w:val="0"/>
    <w:pPr>
      <w:spacing w:line="360" w:lineRule="auto"/>
      <w:ind w:firstLine="200" w:firstLineChars="200"/>
    </w:pPr>
    <w:rPr>
      <w:rFonts w:ascii="宋体" w:hAnsi="宋体" w:cs="宋体"/>
      <w:sz w:val="24"/>
    </w:rPr>
  </w:style>
  <w:style w:type="paragraph" w:customStyle="1" w:styleId="1354">
    <w:name w:val="bb"/>
    <w:basedOn w:val="1"/>
    <w:uiPriority w:val="0"/>
    <w:pPr>
      <w:tabs>
        <w:tab w:val="left" w:pos="425"/>
      </w:tabs>
      <w:ind w:left="425" w:hanging="425"/>
    </w:pPr>
    <w:rPr>
      <w:rFonts w:ascii="宋体"/>
      <w:sz w:val="28"/>
      <w:szCs w:val="20"/>
    </w:rPr>
  </w:style>
  <w:style w:type="paragraph" w:customStyle="1" w:styleId="1355">
    <w:name w:val="正文 New New New New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356">
    <w:name w:val="样式 标题 4标题 14 + 加粗 无下划线 自动设置 段前: 3 磅 段后: 10 磅3"/>
    <w:basedOn w:val="8"/>
    <w:next w:val="1357"/>
    <w:uiPriority w:val="0"/>
    <w:pPr>
      <w:keepLines w:val="0"/>
      <w:adjustRightInd w:val="0"/>
      <w:snapToGrid w:val="0"/>
      <w:spacing w:before="60" w:after="200" w:line="240" w:lineRule="auto"/>
    </w:pPr>
    <w:rPr>
      <w:rFonts w:ascii="Times New Roman" w:hAnsi="Times New Roman" w:eastAsia="宋体" w:cs="宋体"/>
      <w:bCs/>
      <w:sz w:val="24"/>
      <w:szCs w:val="20"/>
    </w:rPr>
  </w:style>
  <w:style w:type="paragraph" w:customStyle="1" w:styleId="1357">
    <w:name w:val="样式 样式 标题 4标题 14 + 自动设置 + 无下划线"/>
    <w:basedOn w:val="1358"/>
    <w:uiPriority w:val="0"/>
    <w:pPr>
      <w:tabs>
        <w:tab w:val="left" w:pos="1680"/>
      </w:tabs>
      <w:ind w:left="1680" w:hanging="420"/>
    </w:pPr>
    <w:rPr>
      <w:u w:val="none"/>
    </w:rPr>
  </w:style>
  <w:style w:type="paragraph" w:customStyle="1" w:styleId="1358">
    <w:name w:val="样式 标题 4标题 14 + 自动设置"/>
    <w:basedOn w:val="8"/>
    <w:uiPriority w:val="0"/>
    <w:pPr>
      <w:keepLines w:val="0"/>
      <w:adjustRightInd w:val="0"/>
      <w:snapToGrid w:val="0"/>
      <w:spacing w:before="0" w:after="0" w:line="240" w:lineRule="auto"/>
    </w:pPr>
    <w:rPr>
      <w:rFonts w:ascii="Times New Roman" w:hAnsi="Times New Roman"/>
      <w:b w:val="0"/>
      <w:sz w:val="24"/>
      <w:u w:val="single"/>
    </w:rPr>
  </w:style>
  <w:style w:type="paragraph" w:customStyle="1" w:styleId="1359">
    <w:name w:val="正文(首行缩进2字)"/>
    <w:basedOn w:val="1"/>
    <w:next w:val="1"/>
    <w:uiPriority w:val="0"/>
    <w:pPr>
      <w:adjustRightInd w:val="0"/>
      <w:spacing w:line="360" w:lineRule="auto"/>
      <w:ind w:firstLine="560" w:firstLineChars="200"/>
      <w:jc w:val="left"/>
      <w:textAlignment w:val="baseline"/>
    </w:pPr>
    <w:rPr>
      <w:kern w:val="0"/>
      <w:sz w:val="28"/>
      <w:szCs w:val="20"/>
    </w:rPr>
  </w:style>
  <w:style w:type="paragraph" w:customStyle="1" w:styleId="1360">
    <w:name w:val="Table caption (2)2"/>
    <w:basedOn w:val="1"/>
    <w:qFormat/>
    <w:uiPriority w:val="0"/>
    <w:pPr>
      <w:shd w:val="clear" w:color="auto" w:fill="FFFFFF"/>
      <w:spacing w:line="0" w:lineRule="atLeast"/>
    </w:pPr>
    <w:rPr>
      <w:rFonts w:ascii="MingLiU" w:hAnsi="MingLiU" w:eastAsia="MingLiU"/>
      <w:b/>
      <w:bCs/>
      <w:kern w:val="0"/>
      <w:sz w:val="22"/>
      <w:szCs w:val="22"/>
    </w:rPr>
  </w:style>
  <w:style w:type="paragraph" w:customStyle="1" w:styleId="1361">
    <w:name w:val="陈表格中内容，两端对齐"/>
    <w:basedOn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0"/>
      <w:sz w:val="24"/>
      <w:szCs w:val="21"/>
      <w:lang w:val="en-US" w:eastAsia="zh-CN" w:bidi="ar"/>
    </w:rPr>
  </w:style>
  <w:style w:type="paragraph" w:customStyle="1" w:styleId="1362">
    <w:name w:val="表头图表"/>
    <w:qFormat/>
    <w:uiPriority w:val="0"/>
    <w:pPr>
      <w:widowControl w:val="0"/>
      <w:autoSpaceDE w:val="0"/>
      <w:autoSpaceDN w:val="0"/>
      <w:adjustRightInd w:val="0"/>
      <w:snapToGrid w:val="0"/>
      <w:jc w:val="center"/>
    </w:pPr>
    <w:rPr>
      <w:rFonts w:ascii="仿宋" w:hAnsi="仿宋" w:cs="宋体"/>
      <w:color w:val="000000"/>
      <w:kern w:val="2"/>
      <w:sz w:val="28"/>
      <w:szCs w:val="24"/>
      <w:lang w:val="en-US" w:eastAsia="zh-CN" w:bidi="ar-SA"/>
    </w:rPr>
  </w:style>
  <w:style w:type="paragraph" w:customStyle="1" w:styleId="1363">
    <w:name w:val="xl26"/>
    <w:basedOn w:val="1"/>
    <w:uiPriority w:val="0"/>
    <w:pPr>
      <w:widowControl/>
      <w:pBdr>
        <w:left w:val="single" w:color="auto" w:sz="4" w:space="0"/>
        <w:bottom w:val="single" w:color="auto" w:sz="4" w:space="0"/>
        <w:right w:val="single" w:color="auto" w:sz="4" w:space="0"/>
      </w:pBdr>
      <w:spacing w:before="100" w:beforeLines="0" w:after="100" w:afterLines="0"/>
      <w:textAlignment w:val="top"/>
    </w:pPr>
    <w:rPr>
      <w:rFonts w:ascii="Arial Unicode MS" w:hAnsi="Arial Unicode MS" w:eastAsia="Arial Unicode MS"/>
      <w:kern w:val="0"/>
    </w:rPr>
  </w:style>
  <w:style w:type="paragraph" w:customStyle="1" w:styleId="1364">
    <w:name w:val="样式 左侧:  2 字符"/>
    <w:basedOn w:val="1"/>
    <w:uiPriority w:val="0"/>
    <w:pPr>
      <w:spacing w:line="360" w:lineRule="auto"/>
      <w:ind w:firstLine="480" w:firstLineChars="200"/>
    </w:pPr>
    <w:rPr>
      <w:rFonts w:ascii="宋体" w:hAnsi="宋体"/>
      <w:sz w:val="24"/>
      <w:szCs w:val="20"/>
    </w:rPr>
  </w:style>
  <w:style w:type="paragraph" w:customStyle="1" w:styleId="1365">
    <w:name w:val="Char Char Char Char Char Char Char Char Char Char Char Char2"/>
    <w:basedOn w:val="1"/>
    <w:uiPriority w:val="0"/>
    <w:pPr>
      <w:spacing w:line="360" w:lineRule="auto"/>
      <w:ind w:firstLine="200" w:firstLineChars="200"/>
    </w:pPr>
    <w:rPr>
      <w:rFonts w:ascii="宋体" w:hAnsi="宋体" w:cs="宋体"/>
      <w:sz w:val="24"/>
    </w:rPr>
  </w:style>
  <w:style w:type="paragraph" w:customStyle="1" w:styleId="1366">
    <w:name w:val="样式 正文文本缩进 3 + 小四 段前: 6 磅 段后: 6 磅 行距: 1.5 倍行距"/>
    <w:basedOn w:val="71"/>
    <w:uiPriority w:val="0"/>
    <w:pPr>
      <w:adjustRightInd w:val="0"/>
      <w:snapToGrid w:val="0"/>
      <w:spacing w:before="120" w:after="120"/>
      <w:ind w:firstLine="480"/>
    </w:pPr>
    <w:rPr>
      <w:rFonts w:ascii="Times New Roman" w:hAnsi="Times New Roman" w:cs="宋体"/>
      <w:spacing w:val="0"/>
      <w:szCs w:val="20"/>
    </w:rPr>
  </w:style>
  <w:style w:type="paragraph" w:customStyle="1" w:styleId="1367">
    <w:name w:val="pic-info"/>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368">
    <w:name w:val="标题样式2"/>
    <w:basedOn w:val="1"/>
    <w:uiPriority w:val="0"/>
    <w:pPr>
      <w:adjustRightInd w:val="0"/>
      <w:spacing w:line="480" w:lineRule="atLeast"/>
    </w:pPr>
    <w:rPr>
      <w:rFonts w:ascii="新宋体" w:hAnsi="新宋体" w:eastAsia="仿宋_GB2312"/>
      <w:kern w:val="0"/>
      <w:sz w:val="28"/>
      <w:szCs w:val="20"/>
    </w:rPr>
  </w:style>
  <w:style w:type="paragraph" w:customStyle="1" w:styleId="1369">
    <w:name w:val="_Style 10"/>
    <w:basedOn w:val="1"/>
    <w:uiPriority w:val="0"/>
    <w:pPr>
      <w:ind w:firstLine="420" w:firstLineChars="200"/>
    </w:pPr>
    <w:rPr>
      <w:rFonts w:ascii="Times New Roman" w:hAnsi="Times New Roman"/>
      <w:szCs w:val="22"/>
    </w:rPr>
  </w:style>
  <w:style w:type="paragraph" w:customStyle="1" w:styleId="1370">
    <w:name w:val="Char1 Char Char Char"/>
    <w:basedOn w:val="1"/>
    <w:semiHidden/>
    <w:uiPriority w:val="0"/>
    <w:pPr>
      <w:widowControl/>
      <w:spacing w:after="160" w:line="240" w:lineRule="exact"/>
      <w:jc w:val="left"/>
    </w:pPr>
    <w:rPr>
      <w:rFonts w:ascii="Verdana" w:hAnsi="Verdana"/>
      <w:kern w:val="0"/>
      <w:sz w:val="20"/>
      <w:szCs w:val="20"/>
      <w:lang w:eastAsia="en-US"/>
    </w:rPr>
  </w:style>
  <w:style w:type="paragraph" w:customStyle="1" w:styleId="1371">
    <w:name w:val="表格A"/>
    <w:basedOn w:val="1"/>
    <w:uiPriority w:val="0"/>
    <w:pPr>
      <w:snapToGrid w:val="0"/>
      <w:spacing w:line="400" w:lineRule="exact"/>
      <w:jc w:val="center"/>
    </w:pPr>
    <w:rPr>
      <w:rFonts w:ascii="Times New Roman" w:hAnsi="Times New Roman"/>
      <w:sz w:val="28"/>
    </w:rPr>
  </w:style>
  <w:style w:type="paragraph" w:customStyle="1" w:styleId="1372">
    <w:name w:val="图表号及标题"/>
    <w:basedOn w:val="10"/>
    <w:uiPriority w:val="0"/>
    <w:pPr>
      <w:spacing w:line="500" w:lineRule="exact"/>
      <w:ind w:firstLine="0" w:firstLineChars="0"/>
      <w:jc w:val="center"/>
    </w:pPr>
    <w:rPr>
      <w:rFonts w:ascii="黑体" w:hAnsi="宋体" w:eastAsia="黑体"/>
      <w:kern w:val="0"/>
      <w:sz w:val="24"/>
      <w:szCs w:val="20"/>
    </w:rPr>
  </w:style>
  <w:style w:type="paragraph" w:customStyle="1" w:styleId="1373">
    <w:name w:val="txtBox Char"/>
    <w:basedOn w:val="1"/>
    <w:uiPriority w:val="0"/>
    <w:pPr>
      <w:jc w:val="center"/>
    </w:pPr>
    <w:rPr>
      <w:rFonts w:ascii="Times New Roman" w:hAnsi="Times New Roman"/>
    </w:rPr>
  </w:style>
  <w:style w:type="paragraph" w:customStyle="1" w:styleId="1374">
    <w:name w:val="样式 样式 正文2 + + 首行缩进:  2 字符"/>
    <w:basedOn w:val="1"/>
    <w:uiPriority w:val="0"/>
    <w:pPr>
      <w:tabs>
        <w:tab w:val="left" w:pos="5366"/>
      </w:tabs>
      <w:ind w:firstLine="560" w:firstLineChars="200"/>
    </w:pPr>
    <w:rPr>
      <w:rFonts w:ascii="宋体" w:cs="宋体"/>
      <w:kern w:val="0"/>
      <w:sz w:val="28"/>
      <w:szCs w:val="20"/>
    </w:rPr>
  </w:style>
  <w:style w:type="paragraph" w:customStyle="1" w:styleId="1375">
    <w:name w:val="xl53"/>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hint="eastAsia" w:ascii="黑体" w:hAnsi="Arial Unicode MS" w:eastAsia="黑体"/>
      <w:b/>
      <w:kern w:val="0"/>
      <w:sz w:val="28"/>
      <w:szCs w:val="20"/>
    </w:rPr>
  </w:style>
  <w:style w:type="paragraph" w:customStyle="1" w:styleId="1376">
    <w:name w:val="Char Char1 Char Char Char Char Char Char Char Char Char Char Char Char Char Char Char Char Char Char Char Char Char Char Char Char Char Char Char Char Char Char1 Char Char Char Char Char Char Char Char Char Char Char Char Char Char Char Char"/>
    <w:basedOn w:val="1"/>
    <w:uiPriority w:val="0"/>
  </w:style>
  <w:style w:type="paragraph" w:customStyle="1" w:styleId="1377">
    <w:name w:val=" Char Char Char Char Char Char Char Char Char Char"/>
    <w:basedOn w:val="1"/>
    <w:uiPriority w:val="0"/>
    <w:rPr>
      <w:szCs w:val="21"/>
    </w:rPr>
  </w:style>
  <w:style w:type="paragraph" w:customStyle="1" w:styleId="1378">
    <w:name w:val="明显引用1"/>
    <w:next w:val="1"/>
    <w:qFormat/>
    <w:uiPriority w:val="0"/>
    <w:pPr>
      <w:wordWrap w:val="0"/>
      <w:spacing w:before="360" w:after="360"/>
      <w:ind w:left="950" w:right="950"/>
      <w:jc w:val="center"/>
    </w:pPr>
    <w:rPr>
      <w:i/>
      <w:sz w:val="21"/>
      <w:lang w:val="en-US" w:eastAsia="zh-CN" w:bidi="ar-SA"/>
    </w:rPr>
  </w:style>
  <w:style w:type="paragraph" w:customStyle="1" w:styleId="1379">
    <w:name w:val="样式 样式 样式 标题 3标题 13标题 3 Char1 Char Char Char标题 31ReHead 3 WSAh3B...."/>
    <w:basedOn w:val="1"/>
    <w:uiPriority w:val="0"/>
    <w:pPr>
      <w:keepNext/>
      <w:keepLines/>
      <w:spacing w:before="156" w:beforeLines="50" w:after="156" w:afterLines="50" w:line="460" w:lineRule="exact"/>
      <w:outlineLvl w:val="2"/>
    </w:pPr>
    <w:rPr>
      <w:rFonts w:cs="宋体"/>
      <w:b/>
      <w:bCs/>
      <w:color w:val="000000"/>
      <w:sz w:val="24"/>
      <w:szCs w:val="20"/>
    </w:rPr>
  </w:style>
  <w:style w:type="paragraph" w:customStyle="1" w:styleId="1380">
    <w:name w:val="左侧"/>
    <w:uiPriority w:val="0"/>
    <w:pPr>
      <w:spacing w:line="280" w:lineRule="exact"/>
      <w:jc w:val="center"/>
    </w:pPr>
    <w:rPr>
      <w:rFonts w:ascii="Batang" w:hAnsi="Batang"/>
      <w:color w:val="000000"/>
      <w:sz w:val="21"/>
      <w:lang w:val="en-US" w:eastAsia="zh-CN" w:bidi="ar-SA"/>
    </w:rPr>
  </w:style>
  <w:style w:type="paragraph" w:customStyle="1" w:styleId="1381">
    <w:name w:val="表头文字1"/>
    <w:basedOn w:val="1"/>
    <w:uiPriority w:val="0"/>
    <w:pPr>
      <w:spacing w:line="400" w:lineRule="exact"/>
      <w:jc w:val="center"/>
    </w:pPr>
    <w:rPr>
      <w:rFonts w:ascii="宋体" w:hAnsi="宋体"/>
      <w:bCs/>
      <w:sz w:val="24"/>
    </w:rPr>
  </w:style>
  <w:style w:type="paragraph" w:customStyle="1" w:styleId="1382">
    <w:name w:val="样式 标题 1文章标题一、章节H1Otsikko 1Eia标题1－1 + 首行缩进:  0 厘米"/>
    <w:basedOn w:val="5"/>
    <w:next w:val="1"/>
    <w:uiPriority w:val="0"/>
    <w:pPr>
      <w:keepNext w:val="0"/>
      <w:keepLines w:val="0"/>
      <w:tabs>
        <w:tab w:val="left" w:pos="360"/>
      </w:tabs>
      <w:autoSpaceDN w:val="0"/>
      <w:spacing w:before="156" w:beforeLines="50" w:after="156" w:afterLines="50" w:line="520" w:lineRule="exact"/>
      <w:ind w:left="360" w:hanging="360"/>
      <w:contextualSpacing/>
      <w:textAlignment w:val="baseline"/>
    </w:pPr>
    <w:rPr>
      <w:rFonts w:ascii="黑体" w:hAnsi="Arial" w:eastAsia="黑体" w:cs="宋体"/>
      <w:b w:val="0"/>
      <w:bCs w:val="0"/>
      <w:snapToGrid w:val="0"/>
      <w:kern w:val="2"/>
      <w:sz w:val="36"/>
      <w:szCs w:val="20"/>
      <w:lang w:val="eu-ES"/>
    </w:rPr>
  </w:style>
  <w:style w:type="paragraph" w:customStyle="1" w:styleId="1383">
    <w:name w:val=" Char Char Char Char Char Char Char"/>
    <w:basedOn w:val="1"/>
    <w:uiPriority w:val="0"/>
    <w:pPr>
      <w:snapToGrid w:val="0"/>
      <w:spacing w:line="440" w:lineRule="atLeast"/>
    </w:pPr>
    <w:rPr>
      <w:rFonts w:ascii="宋体"/>
      <w:sz w:val="24"/>
    </w:rPr>
  </w:style>
  <w:style w:type="paragraph" w:customStyle="1" w:styleId="1384">
    <w:name w:val="Char Char11"/>
    <w:basedOn w:val="1"/>
    <w:uiPriority w:val="0"/>
    <w:pPr>
      <w:tabs>
        <w:tab w:val="left" w:pos="360"/>
      </w:tabs>
      <w:spacing w:line="360" w:lineRule="auto"/>
      <w:ind w:left="360" w:hanging="360"/>
    </w:pPr>
    <w:rPr>
      <w:rFonts w:ascii="宋体" w:hAnsi="宋体" w:cs="宋体"/>
      <w:sz w:val="24"/>
    </w:rPr>
  </w:style>
  <w:style w:type="paragraph" w:customStyle="1" w:styleId="1385">
    <w:name w:val="Char Char Char Char Char Char Char Char Char Char Char Char Char"/>
    <w:basedOn w:val="1"/>
    <w:uiPriority w:val="0"/>
    <w:pPr>
      <w:spacing w:line="480" w:lineRule="exact"/>
    </w:pPr>
  </w:style>
  <w:style w:type="paragraph" w:customStyle="1" w:styleId="1386">
    <w:name w:val="表格 32"/>
    <w:basedOn w:val="1"/>
    <w:uiPriority w:val="0"/>
    <w:pPr>
      <w:autoSpaceDE w:val="0"/>
      <w:autoSpaceDN w:val="0"/>
      <w:adjustRightInd w:val="0"/>
      <w:spacing w:line="0" w:lineRule="atLeast"/>
      <w:jc w:val="center"/>
      <w:textAlignment w:val="baseline"/>
    </w:pPr>
    <w:rPr>
      <w:rFonts w:eastAsia="仿宋_GB2312"/>
      <w:kern w:val="0"/>
      <w:sz w:val="24"/>
      <w:szCs w:val="20"/>
      <w:lang/>
    </w:rPr>
  </w:style>
  <w:style w:type="paragraph" w:customStyle="1" w:styleId="1387">
    <w:name w:val="正文文本缩进1"/>
    <w:basedOn w:val="1"/>
    <w:uiPriority w:val="0"/>
    <w:pPr>
      <w:spacing w:line="520" w:lineRule="exact"/>
      <w:ind w:firstLine="540"/>
    </w:pPr>
    <w:rPr>
      <w:sz w:val="28"/>
      <w:szCs w:val="28"/>
    </w:rPr>
  </w:style>
  <w:style w:type="paragraph" w:customStyle="1" w:styleId="1388">
    <w:name w:val="默认段落字体 Para Char Char Char Char"/>
    <w:basedOn w:val="1"/>
    <w:uiPriority w:val="0"/>
    <w:pPr>
      <w:spacing w:line="360" w:lineRule="auto"/>
      <w:ind w:firstLine="200" w:firstLineChars="200"/>
    </w:pPr>
    <w:rPr>
      <w:rFonts w:ascii="宋体" w:hAnsi="宋体" w:cs="宋体"/>
      <w:sz w:val="24"/>
    </w:rPr>
  </w:style>
  <w:style w:type="paragraph" w:customStyle="1" w:styleId="1389">
    <w:name w:val="列出段落5"/>
    <w:basedOn w:val="1"/>
    <w:uiPriority w:val="0"/>
    <w:pPr>
      <w:autoSpaceDE w:val="0"/>
      <w:autoSpaceDN w:val="0"/>
      <w:ind w:left="1704" w:hanging="601"/>
      <w:jc w:val="left"/>
    </w:pPr>
    <w:rPr>
      <w:rFonts w:ascii="宋体" w:hAnsi="宋体" w:cs="宋体"/>
      <w:kern w:val="0"/>
      <w:sz w:val="22"/>
      <w:szCs w:val="22"/>
    </w:rPr>
  </w:style>
  <w:style w:type="paragraph" w:customStyle="1" w:styleId="1390">
    <w:name w:val="报告表格内中"/>
    <w:basedOn w:val="1"/>
    <w:uiPriority w:val="0"/>
    <w:pPr>
      <w:spacing w:before="100" w:beforeLines="0" w:beforeAutospacing="1"/>
      <w:jc w:val="center"/>
    </w:pPr>
    <w:rPr>
      <w:sz w:val="24"/>
    </w:rPr>
  </w:style>
  <w:style w:type="paragraph" w:customStyle="1" w:styleId="1391">
    <w:name w:val="无间隔1"/>
    <w:uiPriority w:val="0"/>
    <w:pPr>
      <w:widowControl w:val="0"/>
      <w:jc w:val="center"/>
    </w:pPr>
    <w:rPr>
      <w:rFonts w:cs="黑体"/>
      <w:kern w:val="2"/>
      <w:sz w:val="21"/>
      <w:szCs w:val="22"/>
      <w:lang w:val="en-US" w:eastAsia="zh-CN" w:bidi="ar-SA"/>
    </w:rPr>
  </w:style>
  <w:style w:type="paragraph" w:customStyle="1" w:styleId="1392">
    <w:name w:val="plain text"/>
    <w:basedOn w:val="1"/>
    <w:uiPriority w:val="0"/>
    <w:rPr>
      <w:rFonts w:ascii="宋体" w:hAnsi="Courier New" w:cs="宋体"/>
      <w:szCs w:val="21"/>
    </w:rPr>
  </w:style>
  <w:style w:type="paragraph" w:customStyle="1" w:styleId="1393">
    <w:name w:val="xl58"/>
    <w:basedOn w:val="1"/>
    <w:uiPriority w:val="0"/>
    <w:pPr>
      <w:widowControl/>
      <w:pBdr>
        <w:left w:val="single" w:color="auto" w:sz="8" w:space="0"/>
        <w:bottom w:val="single" w:color="auto" w:sz="8" w:space="0"/>
        <w:right w:val="single" w:color="auto" w:sz="8" w:space="0"/>
      </w:pBdr>
      <w:shd w:val="clear" w:color="auto" w:fill="FF99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1394">
    <w:name w:val="圖"/>
    <w:basedOn w:val="36"/>
    <w:uiPriority w:val="0"/>
    <w:pPr>
      <w:adjustRightInd w:val="0"/>
      <w:spacing w:line="360" w:lineRule="exact"/>
      <w:ind w:firstLine="840" w:firstLineChars="0"/>
      <w:jc w:val="center"/>
      <w:textAlignment w:val="baseline"/>
    </w:pPr>
    <w:rPr>
      <w:rFonts w:ascii="Arial" w:hAnsi="Arial" w:eastAsia="華康細圓體"/>
      <w:kern w:val="0"/>
      <w:sz w:val="22"/>
      <w:szCs w:val="20"/>
      <w:lang w:eastAsia="zh-TW"/>
    </w:rPr>
  </w:style>
  <w:style w:type="paragraph" w:customStyle="1" w:styleId="1395">
    <w:name w:val="样式 标题 4 + 四号"/>
    <w:basedOn w:val="8"/>
    <w:uiPriority w:val="0"/>
    <w:pPr>
      <w:widowControl/>
      <w:snapToGrid w:val="0"/>
      <w:spacing w:before="60" w:after="60" w:line="480" w:lineRule="atLeast"/>
      <w:ind w:firstLine="200" w:firstLineChars="200"/>
    </w:pPr>
    <w:rPr>
      <w:rFonts w:ascii="Times New Roman" w:hAnsi="Times New Roman" w:eastAsia="宋体"/>
      <w:b w:val="0"/>
      <w:sz w:val="24"/>
    </w:rPr>
  </w:style>
  <w:style w:type="paragraph" w:customStyle="1" w:styleId="1396">
    <w:name w:val="couv"/>
    <w:basedOn w:val="1"/>
    <w:uiPriority w:val="0"/>
    <w:pPr>
      <w:widowControl/>
      <w:spacing w:before="120" w:after="120"/>
      <w:ind w:firstLine="200" w:firstLineChars="200"/>
      <w:jc w:val="center"/>
    </w:pPr>
    <w:rPr>
      <w:rFonts w:ascii="宋体" w:hAnsi="Times New Roman"/>
      <w:b/>
      <w:kern w:val="0"/>
      <w:sz w:val="40"/>
      <w:szCs w:val="20"/>
      <w:lang w:val="en-GB"/>
    </w:rPr>
  </w:style>
  <w:style w:type="paragraph" w:customStyle="1" w:styleId="1397">
    <w:name w:val="样式 标题 1 + 小四"/>
    <w:basedOn w:val="5"/>
    <w:uiPriority w:val="0"/>
    <w:pPr>
      <w:tabs>
        <w:tab w:val="left" w:pos="420"/>
      </w:tabs>
      <w:spacing w:before="120" w:after="240" w:line="0" w:lineRule="atLeast"/>
      <w:ind w:left="420" w:hanging="420"/>
      <w:jc w:val="center"/>
    </w:pPr>
    <w:rPr>
      <w:sz w:val="30"/>
      <w:szCs w:val="20"/>
    </w:rPr>
  </w:style>
  <w:style w:type="paragraph" w:customStyle="1" w:styleId="1398">
    <w:name w:val="样式 表格 32 + 首行缩进:  2 字符"/>
    <w:basedOn w:val="1386"/>
    <w:uiPriority w:val="0"/>
    <w:rPr>
      <w:rFonts w:eastAsia="宋体"/>
      <w:sz w:val="21"/>
      <w:szCs w:val="21"/>
    </w:rPr>
  </w:style>
  <w:style w:type="paragraph" w:customStyle="1" w:styleId="1399">
    <w:name w:val="样式 标题 3 + (西文) 黑体 (符号) Times New Roman 黑色"/>
    <w:basedOn w:val="7"/>
    <w:uiPriority w:val="0"/>
    <w:pPr>
      <w:spacing w:before="120" w:beforeLines="0" w:after="120" w:afterLines="0" w:line="240" w:lineRule="auto"/>
      <w:ind w:firstLine="200" w:firstLineChars="200"/>
    </w:pPr>
    <w:rPr>
      <w:rFonts w:ascii="黑体" w:hAnsi="黑体" w:eastAsia="黑体"/>
      <w:b w:val="0"/>
      <w:bCs w:val="0"/>
      <w:color w:val="000000"/>
      <w:kern w:val="0"/>
      <w:sz w:val="28"/>
      <w:szCs w:val="28"/>
    </w:rPr>
  </w:style>
  <w:style w:type="paragraph" w:customStyle="1" w:styleId="1400">
    <w:name w:val="电镀表"/>
    <w:basedOn w:val="1"/>
    <w:uiPriority w:val="0"/>
    <w:pPr>
      <w:autoSpaceDE w:val="0"/>
      <w:autoSpaceDN w:val="0"/>
      <w:adjustRightInd w:val="0"/>
      <w:spacing w:line="0" w:lineRule="atLeast"/>
      <w:jc w:val="center"/>
      <w:textAlignment w:val="center"/>
    </w:pPr>
    <w:rPr>
      <w:color w:val="000000"/>
      <w:kern w:val="0"/>
      <w:szCs w:val="21"/>
    </w:rPr>
  </w:style>
  <w:style w:type="paragraph" w:customStyle="1" w:styleId="1401">
    <w:name w:val="正文宋体四号字"/>
    <w:basedOn w:val="1"/>
    <w:uiPriority w:val="0"/>
    <w:pPr>
      <w:adjustRightInd w:val="0"/>
      <w:spacing w:line="560" w:lineRule="exact"/>
      <w:ind w:firstLine="567"/>
    </w:pPr>
    <w:rPr>
      <w:rFonts w:ascii="Arial" w:hAnsi="Arial"/>
      <w:spacing w:val="2"/>
      <w:kern w:val="0"/>
      <w:sz w:val="28"/>
      <w:szCs w:val="20"/>
    </w:rPr>
  </w:style>
  <w:style w:type="paragraph" w:customStyle="1" w:styleId="1402">
    <w:name w:val=" Char2 Char Char Char Char Char Char Char Char Char"/>
    <w:basedOn w:val="1"/>
    <w:uiPriority w:val="0"/>
    <w:pPr>
      <w:spacing w:line="360" w:lineRule="auto"/>
      <w:ind w:firstLine="200" w:firstLineChars="200"/>
    </w:pPr>
    <w:rPr>
      <w:rFonts w:ascii="宋体" w:hAnsi="宋体" w:cs="宋体"/>
      <w:sz w:val="24"/>
    </w:rPr>
  </w:style>
  <w:style w:type="paragraph" w:customStyle="1" w:styleId="1403">
    <w:name w:val="表内字"/>
    <w:basedOn w:val="35"/>
    <w:uiPriority w:val="0"/>
    <w:pPr>
      <w:widowControl/>
      <w:overflowPunct w:val="0"/>
      <w:autoSpaceDE w:val="0"/>
      <w:autoSpaceDN w:val="0"/>
      <w:adjustRightInd w:val="0"/>
      <w:spacing w:before="120" w:beforeLines="0" w:after="0" w:afterLines="0"/>
      <w:jc w:val="left"/>
      <w:textAlignment w:val="baseline"/>
    </w:pPr>
    <w:rPr>
      <w:rFonts w:ascii="Arial" w:hAnsi="Arial"/>
      <w:spacing w:val="8"/>
      <w:kern w:val="0"/>
      <w:sz w:val="24"/>
      <w:szCs w:val="20"/>
    </w:rPr>
  </w:style>
  <w:style w:type="paragraph" w:customStyle="1" w:styleId="1404">
    <w:name w:val="正文 11"/>
    <w:basedOn w:val="1"/>
    <w:uiPriority w:val="0"/>
    <w:pPr>
      <w:spacing w:line="500" w:lineRule="exact"/>
      <w:ind w:firstLine="567"/>
    </w:pPr>
    <w:rPr>
      <w:rFonts w:ascii="幼圆" w:eastAsia="幼圆"/>
      <w:sz w:val="28"/>
      <w:szCs w:val="20"/>
    </w:rPr>
  </w:style>
  <w:style w:type="paragraph" w:customStyle="1" w:styleId="1405">
    <w:name w:val="图表名称"/>
    <w:basedOn w:val="85"/>
    <w:next w:val="85"/>
    <w:uiPriority w:val="0"/>
    <w:pPr>
      <w:ind w:firstLine="0" w:firstLineChars="0"/>
      <w:jc w:val="center"/>
    </w:pPr>
    <w:rPr>
      <w:b/>
      <w:sz w:val="24"/>
    </w:rPr>
  </w:style>
  <w:style w:type="paragraph" w:customStyle="1" w:styleId="1406">
    <w:name w:val="8"/>
    <w:basedOn w:val="1"/>
    <w:next w:val="76"/>
    <w:uiPriority w:val="0"/>
    <w:pPr>
      <w:spacing w:line="336" w:lineRule="auto"/>
    </w:pPr>
    <w:rPr>
      <w:spacing w:val="10"/>
      <w:sz w:val="24"/>
      <w:szCs w:val="20"/>
    </w:rPr>
  </w:style>
  <w:style w:type="paragraph" w:customStyle="1" w:styleId="1407">
    <w:name w:val="正文标准样式"/>
    <w:basedOn w:val="1"/>
    <w:uiPriority w:val="0"/>
    <w:pPr>
      <w:adjustRightInd w:val="0"/>
      <w:spacing w:line="300" w:lineRule="auto"/>
      <w:ind w:firstLine="482"/>
      <w:textAlignment w:val="baseline"/>
    </w:pPr>
    <w:rPr>
      <w:kern w:val="0"/>
      <w:sz w:val="24"/>
      <w:szCs w:val="20"/>
    </w:rPr>
  </w:style>
  <w:style w:type="paragraph" w:customStyle="1" w:styleId="1408">
    <w:name w:val="Char2 Char Char Char Char Char Char"/>
    <w:basedOn w:val="1"/>
    <w:uiPriority w:val="0"/>
    <w:rPr>
      <w:rFonts w:ascii="Times New Roman" w:hAnsi="Times New Roman"/>
      <w:szCs w:val="20"/>
    </w:rPr>
  </w:style>
  <w:style w:type="paragraph" w:customStyle="1" w:styleId="1409">
    <w:name w:val="样式 标题 1文章标题一、章节H1Otsikko 1Eia标题1－1 + 段前: 0.5 行 段后: 0.5 行"/>
    <w:basedOn w:val="5"/>
    <w:next w:val="1"/>
    <w:uiPriority w:val="0"/>
    <w:pPr>
      <w:keepNext w:val="0"/>
      <w:keepLines w:val="0"/>
      <w:autoSpaceDN w:val="0"/>
      <w:spacing w:before="156" w:beforeLines="50" w:after="156" w:afterLines="50" w:line="520" w:lineRule="exact"/>
      <w:ind w:firstLine="471"/>
      <w:contextualSpacing/>
      <w:jc w:val="left"/>
      <w:textAlignment w:val="baseline"/>
    </w:pPr>
    <w:rPr>
      <w:rFonts w:ascii="黑体" w:hAnsi="Arial" w:eastAsia="黑体" w:cs="宋体"/>
      <w:b w:val="0"/>
      <w:bCs w:val="0"/>
      <w:snapToGrid w:val="0"/>
      <w:kern w:val="2"/>
      <w:sz w:val="36"/>
      <w:szCs w:val="20"/>
      <w:lang w:val="eu-ES"/>
    </w:rPr>
  </w:style>
  <w:style w:type="paragraph" w:customStyle="1" w:styleId="1410">
    <w:name w:val="图名"/>
    <w:basedOn w:val="1"/>
    <w:uiPriority w:val="0"/>
    <w:pPr>
      <w:snapToGrid w:val="0"/>
      <w:spacing w:line="300" w:lineRule="auto"/>
      <w:ind w:firstLine="200" w:firstLineChars="200"/>
      <w:jc w:val="center"/>
    </w:pPr>
    <w:rPr>
      <w:b/>
      <w:spacing w:val="10"/>
      <w:sz w:val="24"/>
    </w:rPr>
  </w:style>
  <w:style w:type="paragraph" w:customStyle="1" w:styleId="1411">
    <w:name w:val="正文段落A"/>
    <w:basedOn w:val="1"/>
    <w:uiPriority w:val="0"/>
    <w:pPr>
      <w:widowControl/>
      <w:spacing w:line="360" w:lineRule="auto"/>
      <w:ind w:left="360" w:hanging="360" w:hangingChars="150"/>
      <w:jc w:val="left"/>
    </w:pPr>
    <w:rPr>
      <w:rFonts w:cs="宋体"/>
      <w:kern w:val="0"/>
      <w:sz w:val="24"/>
      <w:szCs w:val="20"/>
    </w:rPr>
  </w:style>
  <w:style w:type="paragraph" w:customStyle="1" w:styleId="1412">
    <w:name w:val="可研-表格正文"/>
    <w:basedOn w:val="1413"/>
    <w:uiPriority w:val="0"/>
    <w:pPr>
      <w:ind w:firstLine="0" w:firstLineChars="0"/>
    </w:pPr>
    <w:rPr>
      <w:sz w:val="24"/>
    </w:rPr>
  </w:style>
  <w:style w:type="paragraph" w:customStyle="1" w:styleId="1413">
    <w:name w:val="可研-正文"/>
    <w:basedOn w:val="1"/>
    <w:uiPriority w:val="0"/>
    <w:pPr>
      <w:ind w:firstLine="200" w:firstLineChars="200"/>
    </w:pPr>
    <w:rPr>
      <w:rFonts w:ascii="宋体"/>
      <w:sz w:val="28"/>
    </w:rPr>
  </w:style>
  <w:style w:type="paragraph" w:customStyle="1" w:styleId="1414">
    <w:name w:val="_Style 114"/>
    <w:basedOn w:val="1"/>
    <w:uiPriority w:val="0"/>
    <w:pPr>
      <w:snapToGrid w:val="0"/>
      <w:spacing w:line="360" w:lineRule="auto"/>
      <w:ind w:firstLine="200" w:firstLineChars="200"/>
    </w:pPr>
    <w:rPr>
      <w:rFonts w:hAnsi="宋体"/>
      <w:szCs w:val="20"/>
    </w:rPr>
  </w:style>
  <w:style w:type="paragraph" w:customStyle="1" w:styleId="1415">
    <w:name w:val="样式15 Char"/>
    <w:basedOn w:val="1"/>
    <w:uiPriority w:val="0"/>
    <w:pPr>
      <w:spacing w:line="360" w:lineRule="auto"/>
      <w:ind w:firstLine="560" w:firstLineChars="200"/>
    </w:pPr>
    <w:rPr>
      <w:sz w:val="28"/>
      <w:szCs w:val="28"/>
    </w:rPr>
  </w:style>
  <w:style w:type="paragraph" w:customStyle="1" w:styleId="1416">
    <w:name w:val="default"/>
    <w:basedOn w:val="1"/>
    <w:uiPriority w:val="0"/>
    <w:pPr>
      <w:widowControl/>
      <w:spacing w:before="100" w:beforeAutospacing="1" w:after="100" w:afterAutospacing="1"/>
      <w:jc w:val="left"/>
    </w:pPr>
    <w:rPr>
      <w:rFonts w:ascii="宋体" w:hAnsi="宋体" w:cs="宋体"/>
      <w:kern w:val="0"/>
      <w:sz w:val="24"/>
    </w:rPr>
  </w:style>
  <w:style w:type="paragraph" w:customStyle="1" w:styleId="1417">
    <w:name w:val="xl99"/>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1418">
    <w:name w:val="xl42"/>
    <w:basedOn w:val="1"/>
    <w:uiPriority w:val="0"/>
    <w:pPr>
      <w:widowControl/>
      <w:pBdr>
        <w:top w:val="single" w:color="auto" w:sz="8" w:space="0"/>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eastAsia="Arial Unicode MS"/>
      <w:kern w:val="0"/>
      <w:sz w:val="24"/>
      <w:szCs w:val="20"/>
    </w:rPr>
  </w:style>
  <w:style w:type="paragraph" w:customStyle="1" w:styleId="1419">
    <w:name w:val="4"/>
    <w:basedOn w:val="1"/>
    <w:next w:val="32"/>
    <w:uiPriority w:val="0"/>
    <w:rPr>
      <w:rFonts w:ascii="宋体"/>
      <w:sz w:val="24"/>
      <w:szCs w:val="20"/>
    </w:rPr>
  </w:style>
  <w:style w:type="paragraph" w:customStyle="1" w:styleId="1420">
    <w:name w:val="文本框1"/>
    <w:basedOn w:val="1"/>
    <w:uiPriority w:val="0"/>
    <w:rPr>
      <w:rFonts w:ascii="宋体" w:hAnsi="宋体"/>
      <w:sz w:val="24"/>
      <w:szCs w:val="20"/>
    </w:rPr>
  </w:style>
  <w:style w:type="paragraph" w:customStyle="1" w:styleId="1421">
    <w:name w:val="表的内容"/>
    <w:basedOn w:val="1"/>
    <w:next w:val="1"/>
    <w:uiPriority w:val="0"/>
    <w:rPr>
      <w:position w:val="-20"/>
    </w:rPr>
  </w:style>
  <w:style w:type="paragraph" w:customStyle="1" w:styleId="1422">
    <w:name w:val="1 Char Char Char Char"/>
    <w:basedOn w:val="1"/>
    <w:uiPriority w:val="0"/>
    <w:rPr>
      <w:rFonts w:ascii="Times New Roman" w:hAnsi="Times New Roman"/>
    </w:rPr>
  </w:style>
  <w:style w:type="paragraph" w:customStyle="1" w:styleId="1423">
    <w:name w:val="样式 小四 加粗"/>
    <w:basedOn w:val="1"/>
    <w:uiPriority w:val="0"/>
    <w:pPr>
      <w:spacing w:line="360" w:lineRule="auto"/>
    </w:pPr>
    <w:rPr>
      <w:rFonts w:cs="宋体"/>
      <w:b/>
      <w:bCs/>
      <w:sz w:val="24"/>
      <w:szCs w:val="20"/>
    </w:rPr>
  </w:style>
  <w:style w:type="paragraph" w:customStyle="1" w:styleId="1424">
    <w:name w:val="样式 表格 + 居中"/>
    <w:basedOn w:val="1"/>
    <w:uiPriority w:val="0"/>
    <w:pPr>
      <w:kinsoku w:val="0"/>
      <w:overflowPunct w:val="0"/>
      <w:adjustRightInd w:val="0"/>
      <w:snapToGrid w:val="0"/>
      <w:jc w:val="center"/>
    </w:pPr>
    <w:rPr>
      <w:rFonts w:ascii="宋体" w:hAnsi="Times New Roman"/>
      <w:color w:val="000000"/>
      <w:kern w:val="0"/>
      <w:sz w:val="24"/>
      <w:szCs w:val="20"/>
    </w:rPr>
  </w:style>
  <w:style w:type="paragraph" w:customStyle="1" w:styleId="1425">
    <w:name w:val="大表内容"/>
    <w:uiPriority w:val="0"/>
    <w:pPr>
      <w:snapToGrid w:val="0"/>
      <w:jc w:val="center"/>
    </w:pPr>
    <w:rPr>
      <w:sz w:val="21"/>
      <w:lang w:val="en-US" w:eastAsia="zh-CN" w:bidi="ar-SA"/>
    </w:rPr>
  </w:style>
  <w:style w:type="paragraph" w:customStyle="1" w:styleId="1426">
    <w:name w:val="z3"/>
    <w:basedOn w:val="7"/>
    <w:uiPriority w:val="0"/>
    <w:pPr>
      <w:numPr>
        <w:ilvl w:val="0"/>
        <w:numId w:val="0"/>
      </w:numPr>
      <w:tabs>
        <w:tab w:val="left" w:pos="720"/>
      </w:tabs>
      <w:spacing w:before="0" w:beforeLines="0" w:after="0" w:afterLines="0" w:line="360" w:lineRule="auto"/>
      <w:jc w:val="left"/>
    </w:pPr>
    <w:rPr>
      <w:rFonts w:ascii="楷体_GB2312" w:eastAsia="楷体_GB2312"/>
      <w:b w:val="0"/>
      <w:color w:val="000000"/>
      <w:sz w:val="30"/>
    </w:rPr>
  </w:style>
  <w:style w:type="paragraph" w:customStyle="1" w:styleId="1427">
    <w:name w:val="图表1"/>
    <w:basedOn w:val="1"/>
    <w:uiPriority w:val="0"/>
    <w:pPr>
      <w:widowControl/>
      <w:overflowPunct w:val="0"/>
      <w:autoSpaceDE w:val="0"/>
      <w:autoSpaceDN w:val="0"/>
      <w:adjustRightInd w:val="0"/>
      <w:spacing w:before="60" w:after="60"/>
      <w:jc w:val="center"/>
      <w:textAlignment w:val="baseline"/>
    </w:pPr>
    <w:rPr>
      <w:rFonts w:ascii="宋体"/>
      <w:kern w:val="28"/>
      <w:sz w:val="20"/>
      <w:szCs w:val="20"/>
    </w:rPr>
  </w:style>
  <w:style w:type="paragraph" w:customStyle="1" w:styleId="1428">
    <w:name w:val="前言、引言标题"/>
    <w:next w:val="1"/>
    <w:uiPriority w:val="0"/>
    <w:pPr>
      <w:shd w:val="clear" w:color="FFFFFF" w:fill="FFFFFF"/>
      <w:tabs>
        <w:tab w:val="left" w:pos="903"/>
      </w:tabs>
      <w:spacing w:before="640" w:after="560"/>
      <w:ind w:left="903" w:hanging="315"/>
      <w:jc w:val="center"/>
      <w:outlineLvl w:val="0"/>
    </w:pPr>
    <w:rPr>
      <w:rFonts w:ascii="黑体" w:eastAsia="黑体"/>
      <w:sz w:val="32"/>
      <w:lang w:val="en-US" w:eastAsia="zh-CN" w:bidi="ar-SA"/>
    </w:rPr>
  </w:style>
  <w:style w:type="paragraph" w:customStyle="1" w:styleId="1429">
    <w:name w:val="正文0"/>
    <w:basedOn w:val="1"/>
    <w:uiPriority w:val="0"/>
    <w:pPr>
      <w:tabs>
        <w:tab w:val="left" w:pos="1560"/>
      </w:tabs>
      <w:spacing w:before="300" w:after="300"/>
      <w:ind w:left="1560" w:hanging="720"/>
    </w:pPr>
    <w:rPr>
      <w:rFonts w:ascii="Times New Roman" w:hAnsi="Times New Roman"/>
      <w:b/>
      <w:sz w:val="30"/>
    </w:rPr>
  </w:style>
  <w:style w:type="paragraph" w:customStyle="1" w:styleId="1430">
    <w:name w:val="样式 样式 样式 四号 居中 + 首行缩进:  2 字符 + 首行缩进:  2 字符"/>
    <w:basedOn w:val="1"/>
    <w:uiPriority w:val="0"/>
    <w:pPr>
      <w:spacing w:line="360" w:lineRule="auto"/>
      <w:ind w:firstLine="200" w:firstLineChars="200"/>
    </w:pPr>
    <w:rPr>
      <w:rFonts w:cs="宋体"/>
      <w:sz w:val="28"/>
      <w:szCs w:val="20"/>
    </w:rPr>
  </w:style>
  <w:style w:type="paragraph" w:customStyle="1" w:styleId="1431">
    <w:name w:val="正文（韶关规划）"/>
    <w:basedOn w:val="86"/>
    <w:uiPriority w:val="0"/>
    <w:pPr>
      <w:tabs>
        <w:tab w:val="left" w:pos="7996"/>
      </w:tabs>
      <w:autoSpaceDE w:val="0"/>
      <w:autoSpaceDN w:val="0"/>
      <w:adjustRightInd w:val="0"/>
      <w:snapToGrid w:val="0"/>
      <w:spacing w:before="156" w:beforeLines="50" w:line="360" w:lineRule="auto"/>
      <w:ind w:left="0" w:leftChars="0" w:firstLine="480"/>
    </w:pPr>
    <w:rPr>
      <w:color w:val="000000"/>
    </w:rPr>
  </w:style>
  <w:style w:type="paragraph" w:customStyle="1" w:styleId="1432">
    <w:name w:val="xl24"/>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eastAsia="Arial Unicode MS"/>
      <w:kern w:val="0"/>
      <w:szCs w:val="21"/>
    </w:rPr>
  </w:style>
  <w:style w:type="paragraph" w:customStyle="1" w:styleId="1433">
    <w:name w:val="川岛插图"/>
    <w:basedOn w:val="1"/>
    <w:uiPriority w:val="0"/>
    <w:pPr>
      <w:spacing w:line="360" w:lineRule="auto"/>
      <w:ind w:firstLine="480" w:firstLineChars="200"/>
      <w:jc w:val="center"/>
    </w:pPr>
    <w:rPr>
      <w:color w:val="000000"/>
      <w:sz w:val="24"/>
      <w:szCs w:val="20"/>
    </w:rPr>
  </w:style>
  <w:style w:type="paragraph" w:customStyle="1" w:styleId="1434">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435">
    <w:name w:val="unnamed1"/>
    <w:basedOn w:val="1"/>
    <w:uiPriority w:val="0"/>
    <w:pPr>
      <w:widowControl/>
      <w:spacing w:before="100" w:beforeLines="0" w:beforeAutospacing="1" w:after="100" w:afterLines="0" w:afterAutospacing="1"/>
      <w:jc w:val="left"/>
    </w:pPr>
    <w:rPr>
      <w:rFonts w:ascii="Arial Unicode MS" w:hAnsi="Arial Unicode MS"/>
      <w:kern w:val="0"/>
      <w:sz w:val="24"/>
    </w:rPr>
  </w:style>
  <w:style w:type="paragraph" w:customStyle="1" w:styleId="1436">
    <w:name w:val="Date1"/>
    <w:basedOn w:val="1"/>
    <w:next w:val="1"/>
    <w:uiPriority w:val="0"/>
    <w:pPr>
      <w:adjustRightInd w:val="0"/>
    </w:pPr>
    <w:rPr>
      <w:rFonts w:ascii="Times New Roman" w:hAnsi="Times New Roman"/>
      <w:sz w:val="24"/>
      <w:szCs w:val="20"/>
    </w:rPr>
  </w:style>
  <w:style w:type="paragraph" w:customStyle="1" w:styleId="1437">
    <w:name w:val="样式 1标题3级 + 段前: 0.1 行"/>
    <w:basedOn w:val="1"/>
    <w:uiPriority w:val="0"/>
    <w:pPr>
      <w:keepNext/>
      <w:snapToGrid w:val="0"/>
      <w:spacing w:before="120" w:beforeLines="0" w:line="420" w:lineRule="auto"/>
      <w:outlineLvl w:val="2"/>
    </w:pPr>
    <w:rPr>
      <w:rFonts w:eastAsia="黑体"/>
      <w:b/>
      <w:sz w:val="24"/>
      <w:szCs w:val="20"/>
    </w:rPr>
  </w:style>
  <w:style w:type="paragraph" w:customStyle="1" w:styleId="1438">
    <w:name w:val="样式 正文(首行缩进) + 8 磅 加粗 首行缩进:  2 字符1"/>
    <w:basedOn w:val="1"/>
    <w:uiPriority w:val="0"/>
    <w:pPr>
      <w:adjustRightInd w:val="0"/>
      <w:snapToGrid w:val="0"/>
      <w:ind w:firstLine="200" w:firstLineChars="200"/>
    </w:pPr>
    <w:rPr>
      <w:rFonts w:ascii="宋体" w:hAnsi="Times New Roman" w:cs="宋体"/>
      <w:b/>
      <w:bCs/>
      <w:kern w:val="0"/>
      <w:sz w:val="16"/>
      <w:szCs w:val="20"/>
    </w:rPr>
  </w:style>
  <w:style w:type="paragraph" w:customStyle="1" w:styleId="1439">
    <w:name w:val="列表2"/>
    <w:basedOn w:val="67"/>
    <w:uiPriority w:val="0"/>
    <w:pPr>
      <w:adjustRightInd w:val="0"/>
      <w:snapToGrid w:val="0"/>
      <w:spacing w:line="400" w:lineRule="exact"/>
      <w:ind w:left="0" w:firstLine="0" w:firstLineChars="0"/>
    </w:pPr>
    <w:rPr>
      <w:kern w:val="0"/>
      <w:sz w:val="24"/>
      <w:szCs w:val="20"/>
    </w:rPr>
  </w:style>
  <w:style w:type="paragraph" w:customStyle="1" w:styleId="1440">
    <w:name w:val="样式 标题 2标题 12标题 2 Char CharSeHead wsa2ChapterChapter Title..."/>
    <w:basedOn w:val="6"/>
    <w:uiPriority w:val="0"/>
    <w:pPr>
      <w:spacing w:before="156" w:after="0" w:line="360" w:lineRule="auto"/>
    </w:pPr>
    <w:rPr>
      <w:rFonts w:ascii="Times New Roman" w:hAnsi="Times New Roman" w:cs="宋体"/>
      <w:sz w:val="28"/>
      <w:szCs w:val="20"/>
    </w:rPr>
  </w:style>
  <w:style w:type="paragraph" w:customStyle="1" w:styleId="1441">
    <w:name w:val="健牛正文"/>
    <w:basedOn w:val="1"/>
    <w:uiPriority w:val="0"/>
    <w:pPr>
      <w:spacing w:line="480" w:lineRule="exact"/>
      <w:ind w:firstLine="560" w:firstLineChars="200"/>
    </w:pPr>
    <w:rPr>
      <w:rFonts w:ascii="Times New Roman" w:hAnsi="Times New Roman"/>
      <w:sz w:val="28"/>
      <w:szCs w:val="28"/>
    </w:rPr>
  </w:style>
  <w:style w:type="paragraph" w:customStyle="1" w:styleId="1442">
    <w:name w:val="样式 标题 2 + 首行缩进:  2 字符"/>
    <w:basedOn w:val="6"/>
    <w:uiPriority w:val="0"/>
    <w:pPr>
      <w:tabs>
        <w:tab w:val="left" w:pos="360"/>
      </w:tabs>
      <w:spacing w:before="0" w:after="0" w:line="300" w:lineRule="auto"/>
      <w:ind w:left="360" w:hanging="360"/>
    </w:pPr>
    <w:rPr>
      <w:rFonts w:cs="宋体"/>
      <w:b w:val="0"/>
      <w:sz w:val="30"/>
      <w:szCs w:val="20"/>
    </w:rPr>
  </w:style>
  <w:style w:type="paragraph" w:customStyle="1" w:styleId="1443">
    <w:name w:val="標準インデント　2"/>
    <w:basedOn w:val="10"/>
    <w:uiPriority w:val="0"/>
    <w:pPr>
      <w:overflowPunct w:val="0"/>
      <w:autoSpaceDE w:val="0"/>
      <w:autoSpaceDN w:val="0"/>
      <w:adjustRightInd w:val="0"/>
      <w:ind w:left="2900" w:hanging="2038" w:firstLineChars="0"/>
      <w:jc w:val="left"/>
    </w:pPr>
    <w:rPr>
      <w:rFonts w:hint="eastAsia" w:ascii="宋体" w:hAnsi="宋体" w:eastAsia="MS Mincho"/>
      <w:kern w:val="0"/>
      <w:sz w:val="20"/>
      <w:szCs w:val="20"/>
      <w:lang w:eastAsia="ja-JP"/>
    </w:rPr>
  </w:style>
  <w:style w:type="paragraph" w:customStyle="1" w:styleId="1444">
    <w:name w:val="ENUM"/>
    <w:basedOn w:val="1"/>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1445">
    <w:name w:val="自制正文1"/>
    <w:basedOn w:val="1"/>
    <w:next w:val="1"/>
    <w:uiPriority w:val="0"/>
    <w:pPr>
      <w:adjustRightInd w:val="0"/>
      <w:snapToGrid w:val="0"/>
      <w:spacing w:line="300" w:lineRule="auto"/>
    </w:pPr>
    <w:rPr>
      <w:sz w:val="24"/>
    </w:rPr>
  </w:style>
  <w:style w:type="paragraph" w:customStyle="1" w:styleId="1446">
    <w:name w:val="xl36"/>
    <w:basedOn w:val="1"/>
    <w:uiPriority w:val="0"/>
    <w:pPr>
      <w:widowControl/>
      <w:pBdr>
        <w:bottom w:val="single" w:color="auto" w:sz="4" w:space="0"/>
        <w:right w:val="single" w:color="auto" w:sz="4" w:space="0"/>
      </w:pBdr>
      <w:spacing w:before="100" w:beforeLines="0" w:beforeAutospacing="1" w:after="100" w:afterLines="0" w:afterAutospacing="1"/>
      <w:jc w:val="center"/>
    </w:pPr>
    <w:rPr>
      <w:kern w:val="0"/>
      <w:szCs w:val="21"/>
    </w:rPr>
  </w:style>
  <w:style w:type="paragraph" w:customStyle="1" w:styleId="1447">
    <w:name w:val="Char Char Char11"/>
    <w:basedOn w:val="1"/>
    <w:uiPriority w:val="0"/>
    <w:pPr>
      <w:spacing w:before="312" w:beforeLines="100"/>
    </w:pPr>
  </w:style>
  <w:style w:type="paragraph" w:customStyle="1" w:styleId="1448">
    <w:name w:val="样式 表格 + 宋体 居中"/>
    <w:basedOn w:val="777"/>
    <w:uiPriority w:val="0"/>
    <w:pPr>
      <w:adjustRightInd/>
      <w:spacing w:after="0" w:afterLines="0" w:line="360" w:lineRule="auto"/>
      <w:jc w:val="center"/>
    </w:pPr>
  </w:style>
  <w:style w:type="paragraph" w:customStyle="1" w:styleId="1449">
    <w:name w:val="3"/>
    <w:basedOn w:val="36"/>
    <w:next w:val="86"/>
    <w:qFormat/>
    <w:uiPriority w:val="0"/>
    <w:pPr>
      <w:spacing w:after="120" w:line="240" w:lineRule="auto"/>
      <w:ind w:left="420" w:leftChars="200" w:firstLine="420"/>
    </w:pPr>
    <w:rPr>
      <w:rFonts w:ascii="Arial" w:hAnsi="Times New Roman" w:eastAsia="楷体_GB2312"/>
      <w:spacing w:val="-6"/>
      <w:sz w:val="28"/>
      <w:szCs w:val="20"/>
    </w:rPr>
  </w:style>
  <w:style w:type="paragraph" w:customStyle="1" w:styleId="1450">
    <w:name w:val="0"/>
    <w:basedOn w:val="1"/>
    <w:uiPriority w:val="0"/>
    <w:pPr>
      <w:widowControl/>
      <w:spacing w:line="360" w:lineRule="auto"/>
    </w:pPr>
    <w:rPr>
      <w:rFonts w:ascii="宋体" w:hAnsi="宋体" w:cs="宋体"/>
      <w:kern w:val="0"/>
      <w:sz w:val="24"/>
    </w:rPr>
  </w:style>
  <w:style w:type="paragraph" w:customStyle="1" w:styleId="1451">
    <w:name w:val="样式 标题 2 + 段前: 6 磅 段后: 6 磅 行距: 最小值 24 磅"/>
    <w:basedOn w:val="6"/>
    <w:uiPriority w:val="0"/>
    <w:pPr>
      <w:adjustRightInd w:val="0"/>
      <w:snapToGrid w:val="0"/>
      <w:spacing w:before="120" w:after="120" w:line="480" w:lineRule="atLeast"/>
    </w:pPr>
    <w:rPr>
      <w:rFonts w:ascii="Times New Roman" w:hAnsi="Times New Roman" w:eastAsia="宋体"/>
      <w:b w:val="0"/>
      <w:bCs w:val="0"/>
      <w:sz w:val="30"/>
      <w:szCs w:val="20"/>
    </w:rPr>
  </w:style>
  <w:style w:type="paragraph" w:customStyle="1" w:styleId="1452">
    <w:name w:val="表格 33"/>
    <w:basedOn w:val="1"/>
    <w:uiPriority w:val="0"/>
    <w:pPr>
      <w:autoSpaceDE w:val="0"/>
      <w:autoSpaceDN w:val="0"/>
      <w:adjustRightInd w:val="0"/>
      <w:jc w:val="center"/>
      <w:textAlignment w:val="baseline"/>
    </w:pPr>
    <w:rPr>
      <w:rFonts w:eastAsia="楷体"/>
      <w:kern w:val="0"/>
      <w:szCs w:val="20"/>
    </w:rPr>
  </w:style>
  <w:style w:type="paragraph" w:customStyle="1" w:styleId="1453">
    <w:name w:val="正文 New New New New New New New New New New New New New New New New"/>
    <w:uiPriority w:val="0"/>
    <w:pPr>
      <w:widowControl w:val="0"/>
      <w:jc w:val="both"/>
    </w:pPr>
    <w:rPr>
      <w:kern w:val="2"/>
      <w:sz w:val="21"/>
      <w:szCs w:val="24"/>
      <w:lang w:val="en-US" w:eastAsia="zh-CN" w:bidi="ar-SA"/>
    </w:rPr>
  </w:style>
  <w:style w:type="paragraph" w:customStyle="1" w:styleId="1454">
    <w:name w:val="text1"/>
    <w:basedOn w:val="1"/>
    <w:uiPriority w:val="0"/>
    <w:pPr>
      <w:widowControl/>
      <w:spacing w:before="100" w:beforeLines="0" w:beforeAutospacing="1" w:after="100" w:afterLines="0" w:afterAutospacing="1"/>
      <w:jc w:val="left"/>
    </w:pPr>
    <w:rPr>
      <w:rFonts w:ascii="宋体" w:hAnsi="宋体" w:cs="宋体"/>
      <w:snapToGrid w:val="0"/>
      <w:kern w:val="0"/>
      <w:sz w:val="24"/>
      <w:lang w:val="eu-ES"/>
    </w:rPr>
  </w:style>
  <w:style w:type="paragraph" w:customStyle="1" w:styleId="1455">
    <w:name w:val="正文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456">
    <w:name w:val="二级条标题"/>
    <w:basedOn w:val="1350"/>
    <w:next w:val="1"/>
    <w:uiPriority w:val="0"/>
    <w:pPr>
      <w:ind w:left="675" w:hanging="255"/>
      <w:outlineLvl w:val="3"/>
    </w:pPr>
  </w:style>
  <w:style w:type="paragraph" w:customStyle="1" w:styleId="1457">
    <w:name w:val="篇名"/>
    <w:basedOn w:val="1"/>
    <w:next w:val="1"/>
    <w:uiPriority w:val="0"/>
    <w:pPr>
      <w:adjustRightInd w:val="0"/>
      <w:snapToGrid w:val="0"/>
      <w:spacing w:before="120" w:beforeLines="0" w:after="240" w:afterLines="0" w:line="400" w:lineRule="exact"/>
      <w:ind w:firstLine="567" w:firstLineChars="200"/>
      <w:jc w:val="center"/>
      <w:textAlignment w:val="baseline"/>
    </w:pPr>
    <w:rPr>
      <w:rFonts w:ascii="黑体" w:hAnsi="Courier New" w:eastAsia="黑体"/>
      <w:kern w:val="0"/>
      <w:sz w:val="32"/>
      <w:szCs w:val="20"/>
    </w:rPr>
  </w:style>
  <w:style w:type="paragraph" w:customStyle="1" w:styleId="1458">
    <w:name w:val="Char Char Char Char Char Char Char Char Char Char Char Char Char Char Char Char Char Char Char Char Char Char"/>
    <w:basedOn w:val="1"/>
    <w:next w:val="1"/>
    <w:uiPriority w:val="0"/>
    <w:pPr>
      <w:spacing w:line="360" w:lineRule="auto"/>
      <w:ind w:firstLine="200" w:firstLineChars="200"/>
    </w:pPr>
    <w:rPr>
      <w:rFonts w:ascii="宋体" w:hAnsi="宋体" w:cs="宋体"/>
      <w:sz w:val="24"/>
    </w:rPr>
  </w:style>
  <w:style w:type="paragraph" w:customStyle="1" w:styleId="1459">
    <w:name w:val="Plain Text1"/>
    <w:basedOn w:val="1"/>
    <w:uiPriority w:val="0"/>
    <w:pPr>
      <w:adjustRightInd w:val="0"/>
      <w:spacing w:line="360" w:lineRule="auto"/>
      <w:ind w:firstLine="465"/>
      <w:textAlignment w:val="baseline"/>
    </w:pPr>
    <w:rPr>
      <w:rFonts w:ascii="宋体" w:hAnsi="Courier New"/>
      <w:sz w:val="24"/>
      <w:szCs w:val="20"/>
    </w:rPr>
  </w:style>
  <w:style w:type="paragraph" w:customStyle="1" w:styleId="1460">
    <w:name w:val="文档二级标题"/>
    <w:basedOn w:val="1"/>
    <w:uiPriority w:val="0"/>
    <w:rPr>
      <w:rFonts w:ascii="黑体" w:hAnsi="华文仿宋" w:eastAsia="黑体"/>
      <w:sz w:val="28"/>
    </w:rPr>
  </w:style>
  <w:style w:type="paragraph" w:customStyle="1" w:styleId="1461">
    <w:name w:val="环正文"/>
    <w:basedOn w:val="1"/>
    <w:uiPriority w:val="0"/>
    <w:pPr>
      <w:widowControl/>
      <w:suppressAutoHyphens/>
      <w:adjustRightInd w:val="0"/>
      <w:spacing w:line="240" w:lineRule="atLeast"/>
      <w:ind w:firstLine="512" w:firstLineChars="187"/>
    </w:pPr>
    <w:rPr>
      <w:rFonts w:ascii="宋体" w:hAnsi="宋体" w:cs="宋体"/>
      <w:szCs w:val="21"/>
    </w:rPr>
  </w:style>
  <w:style w:type="paragraph" w:customStyle="1" w:styleId="1462">
    <w:name w:val="方框图文字"/>
    <w:basedOn w:val="1463"/>
    <w:uiPriority w:val="0"/>
    <w:pPr>
      <w:spacing w:before="0" w:beforeLines="0" w:after="0" w:afterLines="0" w:line="0" w:lineRule="atLeast"/>
    </w:pPr>
    <w:rPr>
      <w:rFonts w:hint="eastAsia"/>
      <w:bCs w:val="0"/>
      <w:kern w:val="0"/>
      <w:sz w:val="15"/>
      <w:lang/>
    </w:rPr>
  </w:style>
  <w:style w:type="paragraph" w:customStyle="1" w:styleId="1463">
    <w:name w:val="表格文字"/>
    <w:basedOn w:val="1"/>
    <w:next w:val="35"/>
    <w:qFormat/>
    <w:uiPriority w:val="0"/>
    <w:pPr>
      <w:tabs>
        <w:tab w:val="left" w:pos="0"/>
      </w:tabs>
      <w:spacing w:before="62" w:beforeLines="20" w:after="62" w:afterLines="20"/>
      <w:jc w:val="center"/>
    </w:pPr>
    <w:rPr>
      <w:rFonts w:ascii="宋体" w:hAnsi="宋体"/>
      <w:bCs/>
      <w:szCs w:val="21"/>
      <w:lang w:val="eu-ES"/>
    </w:rPr>
  </w:style>
  <w:style w:type="paragraph" w:customStyle="1" w:styleId="1464">
    <w:name w:val="正文四号缩进"/>
    <w:basedOn w:val="1"/>
    <w:uiPriority w:val="0"/>
    <w:pPr>
      <w:spacing w:after="156" w:afterLines="50"/>
      <w:ind w:firstLine="200" w:firstLineChars="200"/>
    </w:pPr>
    <w:rPr>
      <w:rFonts w:ascii="宋体"/>
      <w:spacing w:val="10"/>
      <w:sz w:val="24"/>
      <w:szCs w:val="28"/>
    </w:rPr>
  </w:style>
  <w:style w:type="paragraph" w:customStyle="1" w:styleId="1465">
    <w:name w:val="样式1.1.1"/>
    <w:basedOn w:val="1"/>
    <w:uiPriority w:val="0"/>
    <w:pPr>
      <w:spacing w:line="460" w:lineRule="exact"/>
    </w:pPr>
    <w:rPr>
      <w:bCs/>
      <w:sz w:val="24"/>
      <w:szCs w:val="21"/>
    </w:rPr>
  </w:style>
  <w:style w:type="paragraph" w:customStyle="1" w:styleId="1466">
    <w:name w:val="正文仿宋"/>
    <w:basedOn w:val="1"/>
    <w:uiPriority w:val="0"/>
    <w:pPr>
      <w:adjustRightInd w:val="0"/>
      <w:snapToGrid w:val="0"/>
      <w:spacing w:line="360" w:lineRule="auto"/>
      <w:ind w:firstLine="567"/>
    </w:pPr>
    <w:rPr>
      <w:rFonts w:eastAsia="仿宋_GB2312"/>
      <w:snapToGrid w:val="0"/>
      <w:kern w:val="0"/>
      <w:sz w:val="24"/>
      <w:szCs w:val="20"/>
    </w:rPr>
  </w:style>
  <w:style w:type="paragraph" w:customStyle="1" w:styleId="1467">
    <w:name w:val="表格 3"/>
    <w:basedOn w:val="1"/>
    <w:uiPriority w:val="0"/>
    <w:pPr>
      <w:keepNext/>
      <w:autoSpaceDE w:val="0"/>
      <w:autoSpaceDN w:val="0"/>
      <w:adjustRightInd w:val="0"/>
      <w:jc w:val="center"/>
    </w:pPr>
    <w:rPr>
      <w:rFonts w:ascii="宋体" w:hAnsi="宋体"/>
      <w:bCs/>
      <w:iCs/>
      <w:kern w:val="0"/>
      <w:sz w:val="18"/>
      <w:szCs w:val="18"/>
      <w:lang/>
    </w:rPr>
  </w:style>
  <w:style w:type="paragraph" w:customStyle="1" w:styleId="1468">
    <w:name w:val=" Char Char Char1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1469">
    <w:name w:val="form_first"/>
    <w:basedOn w:val="1"/>
    <w:uiPriority w:val="0"/>
    <w:pPr>
      <w:autoSpaceDE w:val="0"/>
      <w:autoSpaceDN w:val="0"/>
      <w:adjustRightInd w:val="0"/>
      <w:spacing w:line="360" w:lineRule="auto"/>
      <w:jc w:val="center"/>
    </w:pPr>
    <w:rPr>
      <w:color w:val="000000"/>
      <w:kern w:val="0"/>
      <w:szCs w:val="20"/>
    </w:rPr>
  </w:style>
  <w:style w:type="paragraph" w:customStyle="1" w:styleId="1470">
    <w:name w:val="样式 标题 1 + 段前: 0.5 行 段后: 0.5 行"/>
    <w:basedOn w:val="5"/>
    <w:uiPriority w:val="0"/>
    <w:pPr>
      <w:spacing w:before="156" w:beforeLines="50" w:after="156" w:afterLines="50" w:line="520" w:lineRule="exact"/>
      <w:textAlignment w:val="center"/>
    </w:pPr>
    <w:rPr>
      <w:rFonts w:eastAsia="黑体" w:cs="宋体"/>
      <w:b w:val="0"/>
      <w:bCs w:val="0"/>
      <w:sz w:val="36"/>
      <w:szCs w:val="20"/>
    </w:rPr>
  </w:style>
  <w:style w:type="paragraph" w:customStyle="1" w:styleId="1471">
    <w:name w:val="样式 样式 标题 4Subsection + 首行缩进:  2 字符 + 左侧:  0.85 厘米 悬挂缩进: 8.64 字符"/>
    <w:basedOn w:val="1472"/>
    <w:uiPriority w:val="0"/>
    <w:pPr>
      <w:ind w:left="862" w:hanging="862"/>
    </w:pPr>
    <w:rPr>
      <w:rFonts w:cs="宋体"/>
      <w:b/>
      <w:bCs/>
    </w:rPr>
  </w:style>
  <w:style w:type="paragraph" w:customStyle="1" w:styleId="1472">
    <w:name w:val="样式 标题 4Subsection + 首行缩进:  2 字符"/>
    <w:basedOn w:val="8"/>
    <w:uiPriority w:val="0"/>
    <w:pPr>
      <w:snapToGrid w:val="0"/>
      <w:spacing w:before="0" w:beforeLines="0" w:after="0" w:afterLines="0" w:line="360" w:lineRule="auto"/>
    </w:pPr>
    <w:rPr>
      <w:b w:val="0"/>
      <w:sz w:val="24"/>
    </w:rPr>
  </w:style>
  <w:style w:type="paragraph" w:customStyle="1" w:styleId="1473">
    <w:name w:val="正文并列"/>
    <w:basedOn w:val="1"/>
    <w:next w:val="1"/>
    <w:uiPriority w:val="0"/>
    <w:pPr>
      <w:snapToGrid w:val="0"/>
      <w:spacing w:line="400" w:lineRule="exact"/>
      <w:ind w:firstLine="200" w:firstLineChars="200"/>
    </w:pPr>
    <w:rPr>
      <w:sz w:val="24"/>
      <w:szCs w:val="20"/>
    </w:rPr>
  </w:style>
  <w:style w:type="paragraph" w:customStyle="1" w:styleId="1474">
    <w:name w:val="文章大标题"/>
    <w:basedOn w:val="1"/>
    <w:uiPriority w:val="0"/>
    <w:pPr>
      <w:spacing w:beforeLines="100" w:afterLines="100" w:line="520" w:lineRule="exact"/>
      <w:jc w:val="center"/>
      <w:outlineLvl w:val="0"/>
    </w:pPr>
    <w:rPr>
      <w:rFonts w:eastAsia="黑体" w:cs="宋体"/>
      <w:sz w:val="36"/>
      <w:szCs w:val="20"/>
    </w:rPr>
  </w:style>
  <w:style w:type="paragraph" w:customStyle="1" w:styleId="1475">
    <w:name w:val="正文 New New New New New New New New New New New New New New New New New New New"/>
    <w:uiPriority w:val="0"/>
    <w:pPr>
      <w:widowControl w:val="0"/>
      <w:jc w:val="both"/>
    </w:pPr>
    <w:rPr>
      <w:kern w:val="2"/>
      <w:sz w:val="21"/>
      <w:szCs w:val="24"/>
      <w:lang w:val="en-US" w:eastAsia="zh-CN" w:bidi="ar-SA"/>
    </w:rPr>
  </w:style>
  <w:style w:type="paragraph" w:customStyle="1" w:styleId="1476">
    <w:name w:val="xl44"/>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1477">
    <w:name w:val="TabHead"/>
    <w:basedOn w:val="1"/>
    <w:uiPriority w:val="0"/>
    <w:pPr>
      <w:spacing w:line="360" w:lineRule="auto"/>
      <w:ind w:firstLine="480" w:firstLineChars="200"/>
      <w:jc w:val="center"/>
    </w:pPr>
    <w:rPr>
      <w:rFonts w:ascii="Times New Roman" w:hAnsi="Times New Roman"/>
      <w:sz w:val="24"/>
    </w:rPr>
  </w:style>
  <w:style w:type="paragraph" w:customStyle="1" w:styleId="1478">
    <w:name w:val="项目符号2"/>
    <w:basedOn w:val="1"/>
    <w:uiPriority w:val="0"/>
    <w:pPr>
      <w:tabs>
        <w:tab w:val="left" w:pos="720"/>
      </w:tabs>
      <w:overflowPunct w:val="0"/>
      <w:snapToGrid w:val="0"/>
      <w:spacing w:line="480" w:lineRule="exact"/>
      <w:ind w:left="720" w:hanging="720"/>
    </w:pPr>
    <w:rPr>
      <w:rFonts w:ascii="Arial" w:hAnsi="Arial" w:eastAsia="仿宋_GB2312"/>
      <w:sz w:val="28"/>
      <w:szCs w:val="20"/>
    </w:rPr>
  </w:style>
  <w:style w:type="paragraph" w:customStyle="1" w:styleId="1479">
    <w:name w:val="注解"/>
    <w:basedOn w:val="1"/>
    <w:uiPriority w:val="0"/>
    <w:pPr>
      <w:adjustRightInd w:val="0"/>
      <w:snapToGrid w:val="0"/>
      <w:ind w:left="624" w:right="170" w:hanging="454"/>
    </w:pPr>
    <w:rPr>
      <w:rFonts w:ascii="宋体" w:hAnsi="宋体"/>
      <w:color w:val="000000"/>
      <w:sz w:val="15"/>
      <w:szCs w:val="20"/>
    </w:rPr>
  </w:style>
  <w:style w:type="paragraph" w:customStyle="1" w:styleId="1480">
    <w:name w:val="样式 标题 3 + 段前: 0.5 行"/>
    <w:basedOn w:val="7"/>
    <w:uiPriority w:val="0"/>
    <w:pPr>
      <w:keepNext w:val="0"/>
      <w:keepLines w:val="0"/>
      <w:spacing w:before="0" w:after="0" w:line="240" w:lineRule="exact"/>
      <w:jc w:val="center"/>
      <w:outlineLvl w:val="9"/>
    </w:pPr>
    <w:rPr>
      <w:rFonts w:ascii="Times New Roman" w:hAnsi="Times New Roman" w:eastAsia="黑体"/>
      <w:b w:val="0"/>
      <w:bCs w:val="0"/>
      <w:color w:val="000000"/>
      <w:sz w:val="21"/>
      <w:szCs w:val="20"/>
    </w:rPr>
  </w:style>
  <w:style w:type="paragraph" w:customStyle="1" w:styleId="1481">
    <w:name w:val="样式 标题 4Heading4Subsection四MB4 + 左侧:  0 厘米 首行缩进:  0 厘米"/>
    <w:basedOn w:val="8"/>
    <w:uiPriority w:val="0"/>
    <w:pPr>
      <w:tabs>
        <w:tab w:val="left" w:pos="1680"/>
      </w:tabs>
      <w:adjustRightInd w:val="0"/>
      <w:snapToGrid w:val="0"/>
      <w:spacing w:before="0" w:after="0" w:line="360" w:lineRule="auto"/>
    </w:pPr>
    <w:rPr>
      <w:rFonts w:eastAsia="宋体"/>
      <w:bCs/>
      <w:sz w:val="24"/>
    </w:rPr>
  </w:style>
  <w:style w:type="paragraph" w:customStyle="1" w:styleId="1482">
    <w:name w:val=" Char1"/>
    <w:basedOn w:val="1"/>
    <w:uiPriority w:val="0"/>
    <w:pPr>
      <w:spacing w:line="360" w:lineRule="auto"/>
      <w:ind w:firstLine="200" w:firstLineChars="200"/>
    </w:pPr>
    <w:rPr>
      <w:rFonts w:ascii="宋体" w:hAnsi="宋体" w:cs="宋体"/>
      <w:sz w:val="24"/>
    </w:rPr>
  </w:style>
  <w:style w:type="paragraph" w:customStyle="1" w:styleId="1483">
    <w:name w:val="xl39"/>
    <w:basedOn w:val="1"/>
    <w:uiPriority w:val="0"/>
    <w:pPr>
      <w:widowControl/>
      <w:pBdr>
        <w:top w:val="single" w:color="auto" w:sz="8" w:space="0"/>
        <w:left w:val="single" w:color="auto" w:sz="8" w:space="0"/>
        <w:right w:val="single" w:color="auto" w:sz="8" w:space="0"/>
      </w:pBdr>
      <w:shd w:val="clear" w:color="auto" w:fill="CCFF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1484">
    <w:name w:val="样式 标题 1 Char Char + 段前: 2 行 段后: 0.5 行"/>
    <w:basedOn w:val="5"/>
    <w:uiPriority w:val="0"/>
    <w:pPr>
      <w:keepLines w:val="0"/>
      <w:spacing w:before="312" w:beforeLines="100" w:after="312" w:afterLines="100" w:line="500" w:lineRule="exact"/>
      <w:jc w:val="center"/>
    </w:pPr>
    <w:rPr>
      <w:rFonts w:cs="宋体"/>
      <w:spacing w:val="4"/>
      <w:kern w:val="2"/>
      <w:szCs w:val="20"/>
    </w:rPr>
  </w:style>
  <w:style w:type="paragraph" w:customStyle="1" w:styleId="1485">
    <w:name w:val="Char Char Char Char Char Char Char Char Char Char1"/>
    <w:basedOn w:val="1"/>
    <w:uiPriority w:val="0"/>
    <w:pPr>
      <w:spacing w:line="360" w:lineRule="auto"/>
      <w:ind w:firstLine="200" w:firstLineChars="200"/>
    </w:pPr>
    <w:rPr>
      <w:rFonts w:ascii="宋体" w:hAnsi="宋体" w:cs="宋体"/>
      <w:kern w:val="0"/>
      <w:sz w:val="24"/>
      <w:szCs w:val="20"/>
    </w:rPr>
  </w:style>
  <w:style w:type="paragraph" w:customStyle="1" w:styleId="1486">
    <w:name w:val="表正文2"/>
    <w:basedOn w:val="1"/>
    <w:uiPriority w:val="0"/>
    <w:pPr>
      <w:adjustRightInd w:val="0"/>
      <w:snapToGrid w:val="0"/>
      <w:jc w:val="center"/>
    </w:pPr>
    <w:rPr>
      <w:rFonts w:hAnsi="宋体"/>
      <w:szCs w:val="21"/>
    </w:rPr>
  </w:style>
  <w:style w:type="paragraph" w:customStyle="1" w:styleId="1487">
    <w:name w:val="1标题1级"/>
    <w:basedOn w:val="1"/>
    <w:uiPriority w:val="0"/>
    <w:pPr>
      <w:keepNext/>
      <w:snapToGrid w:val="0"/>
      <w:spacing w:line="360" w:lineRule="auto"/>
      <w:outlineLvl w:val="0"/>
    </w:pPr>
    <w:rPr>
      <w:rFonts w:eastAsia="黑体"/>
      <w:b/>
      <w:sz w:val="30"/>
      <w:szCs w:val="20"/>
    </w:rPr>
  </w:style>
  <w:style w:type="paragraph" w:customStyle="1" w:styleId="1488">
    <w:name w:val="文本正式"/>
    <w:basedOn w:val="1"/>
    <w:uiPriority w:val="0"/>
    <w:pPr>
      <w:spacing w:line="360" w:lineRule="auto"/>
      <w:ind w:firstLine="480" w:firstLineChars="200"/>
    </w:pPr>
    <w:rPr>
      <w:sz w:val="24"/>
      <w:szCs w:val="20"/>
    </w:rPr>
  </w:style>
  <w:style w:type="paragraph" w:customStyle="1" w:styleId="1489">
    <w:name w:val="样式 标题 2标题 21标题 121标题 2 Char1 Char节H2节标题 1.1节标题 1.1 Char...1"/>
    <w:basedOn w:val="6"/>
    <w:uiPriority w:val="0"/>
    <w:pPr>
      <w:keepNext w:val="0"/>
      <w:keepLines w:val="0"/>
      <w:widowControl/>
      <w:adjustRightInd w:val="0"/>
      <w:spacing w:line="360" w:lineRule="auto"/>
      <w:jc w:val="left"/>
      <w:textAlignment w:val="baseline"/>
    </w:pPr>
    <w:rPr>
      <w:rFonts w:ascii="黑体" w:hAnsi="黑体" w:cs="宋体"/>
      <w:color w:val="000000"/>
      <w:kern w:val="0"/>
      <w:sz w:val="28"/>
      <w:szCs w:val="20"/>
    </w:rPr>
  </w:style>
  <w:style w:type="paragraph" w:customStyle="1" w:styleId="1490">
    <w:name w:val="xl51"/>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hint="eastAsia" w:ascii="黑体" w:hAnsi="Arial Unicode MS" w:eastAsia="黑体"/>
      <w:b/>
      <w:kern w:val="0"/>
      <w:sz w:val="28"/>
      <w:szCs w:val="20"/>
    </w:rPr>
  </w:style>
  <w:style w:type="paragraph" w:customStyle="1" w:styleId="1491">
    <w:name w:val="T表格"/>
    <w:uiPriority w:val="0"/>
    <w:pPr>
      <w:widowControl w:val="0"/>
      <w:tabs>
        <w:tab w:val="left" w:pos="0"/>
      </w:tabs>
      <w:adjustRightInd w:val="0"/>
      <w:snapToGrid w:val="0"/>
      <w:jc w:val="center"/>
    </w:pPr>
    <w:rPr>
      <w:rFonts w:ascii="宋体" w:hAnsi="宋体"/>
      <w:color w:val="000000"/>
      <w:kern w:val="2"/>
      <w:sz w:val="24"/>
      <w:szCs w:val="24"/>
      <w:lang w:val="en-US" w:eastAsia="zh-CN" w:bidi="ar-SA"/>
    </w:rPr>
  </w:style>
  <w:style w:type="paragraph" w:customStyle="1" w:styleId="1492">
    <w:name w:val="样式 宋体 五号 加粗 居中"/>
    <w:basedOn w:val="1"/>
    <w:uiPriority w:val="0"/>
    <w:pPr>
      <w:spacing w:line="360" w:lineRule="auto"/>
      <w:jc w:val="center"/>
    </w:pPr>
    <w:rPr>
      <w:rFonts w:ascii="宋体" w:hAnsi="宋体" w:cs="宋体"/>
      <w:b/>
      <w:bCs/>
      <w:szCs w:val="20"/>
    </w:rPr>
  </w:style>
  <w:style w:type="paragraph" w:customStyle="1" w:styleId="1493">
    <w:name w:val="题注2"/>
    <w:basedOn w:val="24"/>
    <w:next w:val="1494"/>
    <w:uiPriority w:val="0"/>
    <w:pPr>
      <w:snapToGrid/>
      <w:spacing w:line="324" w:lineRule="auto"/>
      <w:ind w:firstLine="400" w:firstLineChars="200"/>
      <w:jc w:val="both"/>
    </w:pPr>
    <w:rPr>
      <w:rFonts w:ascii="Arial" w:hAnsi="Arial"/>
      <w:b w:val="0"/>
      <w:bCs w:val="0"/>
      <w:color w:val="000000"/>
      <w:sz w:val="21"/>
      <w:szCs w:val="20"/>
    </w:rPr>
  </w:style>
  <w:style w:type="paragraph" w:customStyle="1" w:styleId="1494">
    <w:name w:val="样式 题注 + 居中"/>
    <w:basedOn w:val="24"/>
    <w:uiPriority w:val="0"/>
    <w:pPr>
      <w:snapToGrid/>
      <w:spacing w:line="324" w:lineRule="auto"/>
      <w:ind w:firstLine="0"/>
      <w:jc w:val="both"/>
    </w:pPr>
    <w:rPr>
      <w:rFonts w:ascii="Arial" w:hAnsi="Arial"/>
      <w:bCs w:val="0"/>
      <w:color w:val="000000"/>
      <w:sz w:val="21"/>
      <w:szCs w:val="20"/>
    </w:rPr>
  </w:style>
  <w:style w:type="paragraph" w:customStyle="1" w:styleId="1495">
    <w:name w:val="块项目"/>
    <w:next w:val="85"/>
    <w:uiPriority w:val="0"/>
    <w:pPr>
      <w:tabs>
        <w:tab w:val="left" w:pos="900"/>
        <w:tab w:val="left" w:pos="976"/>
      </w:tabs>
      <w:spacing w:before="120" w:after="120" w:line="360" w:lineRule="auto"/>
      <w:ind w:left="992" w:hanging="527"/>
    </w:pPr>
    <w:rPr>
      <w:b/>
      <w:spacing w:val="20"/>
      <w:sz w:val="24"/>
      <w:lang w:val="en-US" w:eastAsia="zh-CN" w:bidi="ar-SA"/>
    </w:rPr>
  </w:style>
  <w:style w:type="paragraph" w:customStyle="1" w:styleId="1496">
    <w:name w:val="样式 样式 样式 标题 3标题 3 Char条标题1.1.1ReHead 3 WSAh3BSH-3H3b333rd le... ..."/>
    <w:basedOn w:val="1497"/>
    <w:uiPriority w:val="0"/>
    <w:pPr>
      <w:spacing w:before="120" w:beforeLines="0" w:after="120" w:afterLines="0"/>
    </w:pPr>
    <w:rPr>
      <w:bCs w:val="0"/>
    </w:rPr>
  </w:style>
  <w:style w:type="paragraph" w:customStyle="1" w:styleId="1497">
    <w:name w:val="样式 样式 标题 3标题 3 Char条标题1.1.1ReHead 3 WSAh3BSH-3H3b333rd le... + (..."/>
    <w:basedOn w:val="1498"/>
    <w:uiPriority w:val="0"/>
    <w:pPr>
      <w:spacing w:before="0" w:beforeLines="0" w:after="0" w:afterLines="0" w:line="240" w:lineRule="auto"/>
    </w:pPr>
    <w:rPr>
      <w:rFonts w:cs="宋体"/>
      <w:bCs/>
      <w:szCs w:val="20"/>
    </w:rPr>
  </w:style>
  <w:style w:type="paragraph" w:customStyle="1" w:styleId="1498">
    <w:name w:val="样式 标题 3标题 3 Char条标题1.1.1ReHead 3 WSAh3BSH-3H3b333rd le..."/>
    <w:basedOn w:val="7"/>
    <w:uiPriority w:val="0"/>
    <w:pPr>
      <w:spacing w:before="120" w:beforeLines="0" w:after="120" w:afterLines="0" w:line="360" w:lineRule="auto"/>
      <w:ind w:firstLine="200" w:firstLineChars="200"/>
    </w:pPr>
    <w:rPr>
      <w:rFonts w:eastAsia="黑体"/>
      <w:b w:val="0"/>
      <w:bCs w:val="0"/>
      <w:sz w:val="28"/>
    </w:rPr>
  </w:style>
  <w:style w:type="paragraph" w:customStyle="1" w:styleId="1499">
    <w:name w:val="000 正文"/>
    <w:basedOn w:val="1"/>
    <w:uiPriority w:val="0"/>
    <w:pPr>
      <w:spacing w:before="156" w:beforeLines="50" w:after="156" w:afterLines="50" w:line="324" w:lineRule="auto"/>
      <w:ind w:firstLine="200" w:firstLineChars="200"/>
    </w:pPr>
    <w:rPr>
      <w:sz w:val="24"/>
    </w:rPr>
  </w:style>
  <w:style w:type="paragraph" w:customStyle="1" w:styleId="1500">
    <w:name w:val="标格文字"/>
    <w:basedOn w:val="1"/>
    <w:next w:val="10"/>
    <w:uiPriority w:val="0"/>
    <w:pPr>
      <w:spacing w:before="60" w:beforeLines="0" w:after="60" w:afterLines="0"/>
    </w:pPr>
    <w:rPr>
      <w:szCs w:val="20"/>
    </w:rPr>
  </w:style>
  <w:style w:type="paragraph" w:customStyle="1" w:styleId="1501">
    <w:name w:val=" Char Char1 Char Char Char Char Char Char Char Char Char Char Char Char Char Char Char Char Char Char Char Char1 Char"/>
    <w:basedOn w:val="1"/>
    <w:uiPriority w:val="0"/>
    <w:pPr>
      <w:spacing w:line="360" w:lineRule="auto"/>
      <w:ind w:firstLine="200" w:firstLineChars="200"/>
    </w:pPr>
    <w:rPr>
      <w:rFonts w:ascii="宋体" w:hAnsi="宋体" w:cs="宋体"/>
      <w:sz w:val="24"/>
    </w:rPr>
  </w:style>
  <w:style w:type="paragraph" w:customStyle="1" w:styleId="1502">
    <w:name w:val="1文章"/>
    <w:basedOn w:val="1"/>
    <w:uiPriority w:val="0"/>
    <w:pPr>
      <w:snapToGrid w:val="0"/>
      <w:spacing w:line="420" w:lineRule="auto"/>
      <w:ind w:firstLine="454"/>
      <w:outlineLvl w:val="4"/>
    </w:pPr>
    <w:rPr>
      <w:spacing w:val="4"/>
      <w:sz w:val="24"/>
    </w:rPr>
  </w:style>
  <w:style w:type="paragraph" w:customStyle="1" w:styleId="1503">
    <w:name w:val="封面文字"/>
    <w:uiPriority w:val="0"/>
    <w:rPr>
      <w:sz w:val="28"/>
      <w:lang w:val="en-US" w:eastAsia="zh-CN" w:bidi="ar-SA"/>
    </w:rPr>
  </w:style>
  <w:style w:type="paragraph" w:customStyle="1" w:styleId="1504">
    <w:name w:val="文本框"/>
    <w:basedOn w:val="1"/>
    <w:uiPriority w:val="0"/>
    <w:pPr>
      <w:adjustRightInd w:val="0"/>
      <w:snapToGrid w:val="0"/>
      <w:spacing w:line="300" w:lineRule="exact"/>
      <w:jc w:val="center"/>
    </w:pPr>
    <w:rPr>
      <w:rFonts w:ascii="Times New Roman" w:hAnsi="Times New Roman"/>
      <w:sz w:val="24"/>
    </w:rPr>
  </w:style>
  <w:style w:type="paragraph" w:customStyle="1" w:styleId="1505">
    <w:name w:val="无间隔211"/>
    <w:uiPriority w:val="0"/>
    <w:pPr>
      <w:widowControl w:val="0"/>
      <w:jc w:val="both"/>
    </w:pPr>
    <w:rPr>
      <w:kern w:val="2"/>
      <w:sz w:val="21"/>
      <w:szCs w:val="22"/>
      <w:lang w:val="en-US" w:eastAsia="zh-CN" w:bidi="ar-SA"/>
    </w:rPr>
  </w:style>
  <w:style w:type="paragraph" w:customStyle="1" w:styleId="1506">
    <w:name w:val="样式 标题 2二级标题标题 lxb2标题21.1H2h2第一层条二级标题 Char单位名4.1SeHea..."/>
    <w:basedOn w:val="593"/>
    <w:next w:val="593"/>
    <w:uiPriority w:val="0"/>
    <w:pPr>
      <w:spacing w:after="0" w:line="360" w:lineRule="auto"/>
      <w:ind w:firstLine="0" w:firstLineChars="0"/>
    </w:pPr>
    <w:rPr>
      <w:rFonts w:hint="eastAsia" w:ascii="宋体" w:hAnsi="宋体" w:eastAsia="黑体" w:cs="宋体"/>
      <w:b/>
      <w:kern w:val="0"/>
      <w:lang/>
    </w:rPr>
  </w:style>
  <w:style w:type="paragraph" w:customStyle="1" w:styleId="1507">
    <w:name w:val=" Char Char Char1 Char Char Char Char Char Char Char Char Char Char Char Char Char Char Char Char Char Char Char Char Char Char Char Char Char Char Char Char Char Char Char"/>
    <w:basedOn w:val="1"/>
    <w:uiPriority w:val="0"/>
  </w:style>
  <w:style w:type="paragraph" w:customStyle="1" w:styleId="1508">
    <w:name w:val=" Char Char4 Char Char Char Char Char Char Char Char Char Char"/>
    <w:basedOn w:val="1"/>
    <w:semiHidden/>
    <w:uiPriority w:val="0"/>
    <w:rPr>
      <w:rFonts w:ascii="Times New Roman" w:hAnsi="Times New Roman" w:eastAsia="仿宋_GB2312"/>
      <w:sz w:val="28"/>
    </w:rPr>
  </w:style>
  <w:style w:type="paragraph" w:customStyle="1" w:styleId="1509">
    <w:name w:val="样式 正文文本缩进 + 小四 非加粗 非倾斜 行距: 固定值 20 磅"/>
    <w:basedOn w:val="36"/>
    <w:uiPriority w:val="0"/>
    <w:pPr>
      <w:spacing w:line="440" w:lineRule="exact"/>
      <w:ind w:firstLine="454" w:firstLineChars="0"/>
    </w:pPr>
    <w:rPr>
      <w:rFonts w:ascii="Times New Roman" w:hAnsi="Times New Roman" w:cs="Tahoma"/>
      <w:szCs w:val="20"/>
    </w:rPr>
  </w:style>
  <w:style w:type="paragraph" w:customStyle="1" w:styleId="1510">
    <w:name w:val="cm1"/>
    <w:basedOn w:val="1"/>
    <w:uiPriority w:val="0"/>
    <w:pPr>
      <w:widowControl/>
      <w:spacing w:before="100" w:beforeAutospacing="1" w:after="100" w:afterAutospacing="1"/>
      <w:jc w:val="left"/>
    </w:pPr>
    <w:rPr>
      <w:rFonts w:ascii="宋体" w:hAnsi="宋体" w:cs="宋体"/>
      <w:kern w:val="0"/>
      <w:sz w:val="24"/>
      <w:szCs w:val="20"/>
    </w:rPr>
  </w:style>
  <w:style w:type="paragraph" w:customStyle="1" w:styleId="1511">
    <w:name w:val="Char"/>
    <w:basedOn w:val="1"/>
    <w:uiPriority w:val="0"/>
    <w:pPr>
      <w:snapToGrid w:val="0"/>
      <w:spacing w:line="440" w:lineRule="atLeast"/>
    </w:pPr>
    <w:rPr>
      <w:szCs w:val="20"/>
    </w:rPr>
  </w:style>
  <w:style w:type="paragraph" w:customStyle="1" w:styleId="1512">
    <w:name w:val="Char6"/>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513">
    <w:name w:val="样式 标题 3标题2条标题1.1.1标题 3 Char Charh3H3level_3PIM 3Level 3 ... +......"/>
    <w:basedOn w:val="1"/>
    <w:uiPriority w:val="0"/>
    <w:pPr>
      <w:keepNext/>
      <w:keepLines/>
      <w:spacing w:before="120" w:beforeLines="0" w:after="120" w:afterLines="0" w:line="600" w:lineRule="exact"/>
      <w:ind w:firstLine="560" w:firstLineChars="200"/>
      <w:outlineLvl w:val="2"/>
    </w:pPr>
    <w:rPr>
      <w:rFonts w:ascii="黑体" w:hAnsi="Calibri" w:eastAsia="黑体" w:cs="宋体"/>
      <w:sz w:val="28"/>
      <w:szCs w:val="20"/>
    </w:rPr>
  </w:style>
  <w:style w:type="paragraph" w:customStyle="1" w:styleId="1514">
    <w:name w:val="Char Char1 Char"/>
    <w:basedOn w:val="1"/>
    <w:uiPriority w:val="0"/>
  </w:style>
  <w:style w:type="paragraph" w:customStyle="1" w:styleId="1515">
    <w:name w:val="xl40"/>
    <w:basedOn w:val="1"/>
    <w:uiPriority w:val="0"/>
    <w:pPr>
      <w:widowControl/>
      <w:pBdr>
        <w:left w:val="single" w:color="auto" w:sz="8" w:space="0"/>
        <w:right w:val="single" w:color="auto" w:sz="8" w:space="0"/>
      </w:pBdr>
      <w:shd w:val="clear" w:color="auto" w:fill="CCFF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1516">
    <w:name w:val="表格內文1"/>
    <w:basedOn w:val="1"/>
    <w:uiPriority w:val="0"/>
    <w:pPr>
      <w:tabs>
        <w:tab w:val="left" w:pos="227"/>
      </w:tabs>
      <w:adjustRightInd w:val="0"/>
      <w:snapToGrid w:val="0"/>
      <w:spacing w:line="240" w:lineRule="atLeast"/>
    </w:pPr>
    <w:rPr>
      <w:rFonts w:ascii="Baskerville Old Face" w:hAnsi="Baskerville Old Face" w:eastAsia="華康楷書體W5"/>
      <w:snapToGrid w:val="0"/>
      <w:kern w:val="0"/>
      <w:sz w:val="24"/>
      <w:szCs w:val="20"/>
      <w:lang w:eastAsia="zh-TW"/>
    </w:rPr>
  </w:style>
  <w:style w:type="paragraph" w:customStyle="1" w:styleId="1517">
    <w:name w:val="银洲湖规划表标题"/>
    <w:basedOn w:val="1"/>
    <w:uiPriority w:val="0"/>
    <w:pPr>
      <w:spacing w:before="156" w:beforeLines="50" w:after="156" w:afterLines="50"/>
      <w:jc w:val="center"/>
    </w:pPr>
    <w:rPr>
      <w:b/>
      <w:bCs/>
      <w:kern w:val="0"/>
      <w:sz w:val="24"/>
      <w:lang w:val="en-GB"/>
    </w:rPr>
  </w:style>
  <w:style w:type="paragraph" w:customStyle="1" w:styleId="1518">
    <w:name w:val="xl41"/>
    <w:basedOn w:val="1"/>
    <w:uiPriority w:val="0"/>
    <w:pPr>
      <w:widowControl/>
      <w:pBdr>
        <w:left w:val="single" w:color="auto" w:sz="8" w:space="0"/>
        <w:bottom w:val="single" w:color="auto" w:sz="8" w:space="0"/>
        <w:right w:val="single" w:color="auto" w:sz="8" w:space="0"/>
      </w:pBdr>
      <w:shd w:val="clear" w:color="auto" w:fill="CCFF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1519">
    <w:name w:val="content"/>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520">
    <w:name w:val="reader-word-layer reader-word-s1-1"/>
    <w:basedOn w:val="1"/>
    <w:uiPriority w:val="0"/>
    <w:pPr>
      <w:widowControl/>
      <w:spacing w:before="100" w:beforeAutospacing="1" w:after="100" w:afterAutospacing="1"/>
      <w:jc w:val="left"/>
    </w:pPr>
    <w:rPr>
      <w:rFonts w:ascii="宋体" w:hAnsi="宋体" w:cs="宋体"/>
      <w:kern w:val="0"/>
      <w:sz w:val="24"/>
    </w:rPr>
  </w:style>
  <w:style w:type="paragraph" w:customStyle="1" w:styleId="1521">
    <w:name w:val="样式 样式 小五 首行缩进: 0字符 + 首行缩进:  0字符"/>
    <w:basedOn w:val="1522"/>
    <w:uiPriority w:val="0"/>
    <w:pPr>
      <w:ind w:firstLine="480"/>
    </w:pPr>
  </w:style>
  <w:style w:type="paragraph" w:customStyle="1" w:styleId="1522">
    <w:name w:val="样式 小五 首行缩进: 0字符"/>
    <w:basedOn w:val="1"/>
    <w:uiPriority w:val="0"/>
    <w:pPr>
      <w:snapToGrid w:val="0"/>
      <w:spacing w:line="360" w:lineRule="auto"/>
      <w:ind w:firstLine="360" w:firstLineChars="200"/>
    </w:pPr>
    <w:rPr>
      <w:rFonts w:cs="宋体"/>
      <w:sz w:val="18"/>
      <w:szCs w:val="20"/>
    </w:rPr>
  </w:style>
  <w:style w:type="paragraph" w:customStyle="1" w:styleId="1523">
    <w:name w:val=" Char Char Char Char"/>
    <w:basedOn w:val="1"/>
    <w:uiPriority w:val="0"/>
    <w:rPr>
      <w:sz w:val="24"/>
    </w:rPr>
  </w:style>
  <w:style w:type="paragraph" w:customStyle="1" w:styleId="1524">
    <w:name w:val="样式 样式1 + 居中"/>
    <w:basedOn w:val="1"/>
    <w:uiPriority w:val="0"/>
    <w:pPr>
      <w:jc w:val="center"/>
    </w:pPr>
    <w:rPr>
      <w:szCs w:val="20"/>
    </w:rPr>
  </w:style>
  <w:style w:type="paragraph" w:customStyle="1" w:styleId="1525">
    <w:name w:val="List Paragraph"/>
    <w:basedOn w:val="1"/>
    <w:uiPriority w:val="0"/>
    <w:pPr>
      <w:spacing w:line="240" w:lineRule="atLeast"/>
      <w:ind w:firstLine="420" w:firstLineChars="200"/>
    </w:pPr>
    <w:rPr>
      <w:rFonts w:ascii="Calibri" w:hAnsi="Calibri"/>
      <w:szCs w:val="22"/>
    </w:rPr>
  </w:style>
  <w:style w:type="paragraph" w:customStyle="1" w:styleId="1526">
    <w:name w:val="xl38"/>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1527">
    <w:name w:val="Char1"/>
    <w:basedOn w:val="1"/>
    <w:uiPriority w:val="0"/>
    <w:pPr>
      <w:snapToGrid w:val="0"/>
      <w:spacing w:line="360" w:lineRule="auto"/>
      <w:ind w:firstLine="529" w:firstLineChars="200"/>
    </w:pPr>
    <w:rPr>
      <w:rFonts w:ascii="宋体" w:hAnsi="宋体"/>
      <w:b/>
    </w:rPr>
  </w:style>
  <w:style w:type="paragraph" w:customStyle="1" w:styleId="1528">
    <w:name w:val="表格3"/>
    <w:basedOn w:val="1"/>
    <w:uiPriority w:val="0"/>
    <w:pPr>
      <w:spacing w:line="240" w:lineRule="exact"/>
      <w:jc w:val="center"/>
    </w:pPr>
    <w:rPr>
      <w:szCs w:val="20"/>
    </w:rPr>
  </w:style>
  <w:style w:type="paragraph" w:customStyle="1" w:styleId="1529">
    <w:name w:val="样式 样式 首行缩进:  2 字符 + 宋体 首行缩进:  2 字符"/>
    <w:basedOn w:val="1"/>
    <w:uiPriority w:val="0"/>
    <w:pPr>
      <w:adjustRightInd w:val="0"/>
      <w:snapToGrid w:val="0"/>
      <w:jc w:val="center"/>
    </w:pPr>
    <w:rPr>
      <w:b/>
      <w:color w:val="000000"/>
      <w:szCs w:val="21"/>
    </w:rPr>
  </w:style>
  <w:style w:type="paragraph" w:customStyle="1" w:styleId="1530">
    <w:name w:val="p5"/>
    <w:basedOn w:val="1"/>
    <w:uiPriority w:val="0"/>
    <w:pPr>
      <w:widowControl/>
      <w:tabs>
        <w:tab w:val="left" w:pos="720"/>
      </w:tabs>
      <w:spacing w:line="280" w:lineRule="atLeast"/>
    </w:pPr>
    <w:rPr>
      <w:snapToGrid w:val="0"/>
      <w:kern w:val="0"/>
      <w:sz w:val="24"/>
      <w:szCs w:val="20"/>
      <w:lang w:val="de-DE" w:eastAsia="de-DE"/>
    </w:rPr>
  </w:style>
  <w:style w:type="paragraph" w:customStyle="1" w:styleId="1531">
    <w:name w:val="WPS Plain"/>
    <w:uiPriority w:val="0"/>
    <w:rPr>
      <w:lang w:val="en-US" w:eastAsia="zh-CN" w:bidi="ar-SA"/>
    </w:rPr>
  </w:style>
  <w:style w:type="paragraph" w:customStyle="1" w:styleId="1532">
    <w:name w:val=" Char Char Char Char Char Char1 Char"/>
    <w:basedOn w:val="1"/>
    <w:uiPriority w:val="0"/>
    <w:pPr>
      <w:tabs>
        <w:tab w:val="left" w:pos="360"/>
      </w:tabs>
      <w:spacing w:line="360" w:lineRule="auto"/>
      <w:ind w:firstLine="482"/>
    </w:pPr>
    <w:rPr>
      <w:rFonts w:ascii="Tahoma" w:hAnsi="Tahoma" w:eastAsia="黑体"/>
      <w:szCs w:val="21"/>
    </w:rPr>
  </w:style>
  <w:style w:type="paragraph" w:customStyle="1" w:styleId="1533">
    <w:name w:val="样式11"/>
    <w:basedOn w:val="47"/>
    <w:uiPriority w:val="0"/>
    <w:pPr>
      <w:spacing w:line="300" w:lineRule="auto"/>
      <w:jc w:val="center"/>
    </w:pPr>
    <w:rPr>
      <w:rFonts w:hAnsi="Times New Roman" w:cs="Times New Roman"/>
      <w:szCs w:val="24"/>
    </w:rPr>
  </w:style>
  <w:style w:type="paragraph" w:customStyle="1" w:styleId="1534">
    <w:name w:val="Char Char Char1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1535">
    <w:name w:val="正文2 Char Char Char"/>
    <w:basedOn w:val="1"/>
    <w:uiPriority w:val="0"/>
    <w:pPr>
      <w:widowControl/>
      <w:spacing w:before="100" w:beforeAutospacing="1" w:after="100" w:afterAutospacing="1"/>
      <w:ind w:firstLine="200" w:firstLineChars="200"/>
    </w:pPr>
    <w:rPr>
      <w:kern w:val="0"/>
      <w:sz w:val="24"/>
      <w:szCs w:val="21"/>
    </w:rPr>
  </w:style>
  <w:style w:type="paragraph" w:customStyle="1" w:styleId="1536">
    <w:name w:val="文档标题"/>
    <w:basedOn w:val="1"/>
    <w:uiPriority w:val="0"/>
    <w:pPr>
      <w:jc w:val="center"/>
    </w:pPr>
    <w:rPr>
      <w:rFonts w:ascii="黑体" w:hAnsi="华文仿宋" w:eastAsia="黑体"/>
      <w:sz w:val="36"/>
    </w:rPr>
  </w:style>
  <w:style w:type="paragraph" w:customStyle="1" w:styleId="1537">
    <w:name w:val="样式 表 + 宋体"/>
    <w:basedOn w:val="1"/>
    <w:uiPriority w:val="0"/>
    <w:pPr>
      <w:tabs>
        <w:tab w:val="left" w:pos="1904"/>
      </w:tabs>
      <w:jc w:val="center"/>
    </w:pPr>
    <w:rPr>
      <w:rFonts w:ascii="宋体" w:hAnsi="宋体"/>
      <w:kern w:val="28"/>
      <w:szCs w:val="20"/>
    </w:rPr>
  </w:style>
  <w:style w:type="paragraph" w:customStyle="1" w:styleId="1538">
    <w:name w:val="表格五中"/>
    <w:uiPriority w:val="0"/>
    <w:pPr>
      <w:adjustRightInd w:val="0"/>
      <w:snapToGrid w:val="0"/>
      <w:spacing w:line="240" w:lineRule="atLeast"/>
      <w:jc w:val="center"/>
    </w:pPr>
    <w:rPr>
      <w:sz w:val="21"/>
      <w:lang w:val="en-US" w:eastAsia="zh-CN" w:bidi="ar-SA"/>
    </w:rPr>
  </w:style>
  <w:style w:type="paragraph" w:customStyle="1" w:styleId="1539">
    <w:name w:val="text-1"/>
    <w:basedOn w:val="1"/>
    <w:uiPriority w:val="0"/>
    <w:pPr>
      <w:ind w:firstLine="680"/>
    </w:pPr>
    <w:rPr>
      <w:sz w:val="28"/>
      <w:szCs w:val="20"/>
    </w:rPr>
  </w:style>
  <w:style w:type="paragraph" w:customStyle="1" w:styleId="1540">
    <w:name w:val="font6"/>
    <w:basedOn w:val="1"/>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1541">
    <w:name w:val="样式 正文缩进1 + 首行缩进:  2 字符"/>
    <w:basedOn w:val="1"/>
    <w:uiPriority w:val="0"/>
    <w:pPr>
      <w:spacing w:line="360" w:lineRule="auto"/>
      <w:ind w:firstLine="480" w:firstLineChars="200"/>
    </w:pPr>
    <w:rPr>
      <w:rFonts w:ascii="宋体" w:cs="宋体"/>
      <w:sz w:val="24"/>
      <w:szCs w:val="20"/>
    </w:rPr>
  </w:style>
  <w:style w:type="paragraph" w:customStyle="1" w:styleId="1542">
    <w:name w:val="GM"/>
    <w:basedOn w:val="5"/>
    <w:uiPriority w:val="0"/>
    <w:pPr>
      <w:keepLines w:val="0"/>
      <w:widowControl/>
      <w:tabs>
        <w:tab w:val="left" w:pos="2260"/>
        <w:tab w:val="left" w:pos="2820"/>
        <w:tab w:val="left" w:pos="3420"/>
      </w:tabs>
      <w:adjustRightInd w:val="0"/>
      <w:snapToGrid w:val="0"/>
      <w:spacing w:before="240" w:after="0" w:line="240" w:lineRule="auto"/>
      <w:ind w:left="851" w:right="-28" w:hanging="851"/>
    </w:pPr>
    <w:rPr>
      <w:rFonts w:ascii="Arial" w:hAnsi="Arial"/>
      <w:bCs w:val="0"/>
      <w:kern w:val="0"/>
      <w:sz w:val="22"/>
      <w:szCs w:val="20"/>
      <w:lang w:val="en-GB"/>
    </w:rPr>
  </w:style>
  <w:style w:type="paragraph" w:customStyle="1" w:styleId="1543">
    <w:name w:val="日期11"/>
    <w:basedOn w:val="1"/>
    <w:next w:val="1"/>
    <w:uiPriority w:val="0"/>
    <w:pPr>
      <w:autoSpaceDE w:val="0"/>
      <w:autoSpaceDN w:val="0"/>
      <w:adjustRightInd w:val="0"/>
      <w:textAlignment w:val="baseline"/>
    </w:pPr>
    <w:rPr>
      <w:spacing w:val="5"/>
      <w:kern w:val="0"/>
      <w:sz w:val="24"/>
      <w:szCs w:val="20"/>
    </w:rPr>
  </w:style>
  <w:style w:type="paragraph" w:customStyle="1" w:styleId="1544">
    <w:name w:val="正文文本缩进 33"/>
    <w:basedOn w:val="1"/>
    <w:uiPriority w:val="0"/>
    <w:pPr>
      <w:adjustRightInd w:val="0"/>
      <w:spacing w:line="480" w:lineRule="exact"/>
      <w:ind w:firstLine="570"/>
    </w:pPr>
    <w:rPr>
      <w:rFonts w:ascii="Times New Roman" w:hAnsi="宋体"/>
      <w:sz w:val="24"/>
      <w:szCs w:val="20"/>
    </w:rPr>
  </w:style>
  <w:style w:type="paragraph" w:customStyle="1" w:styleId="1545">
    <w:name w:val="Char15 Char Char Char Char Char"/>
    <w:basedOn w:val="7"/>
    <w:uiPriority w:val="0"/>
    <w:pPr>
      <w:tabs>
        <w:tab w:val="left" w:pos="360"/>
        <w:tab w:val="left" w:pos="900"/>
      </w:tabs>
      <w:snapToGrid w:val="0"/>
      <w:spacing w:before="120" w:after="120" w:line="360" w:lineRule="auto"/>
      <w:ind w:left="542" w:leftChars="-12" w:firstLine="200" w:firstLineChars="200"/>
      <w:jc w:val="left"/>
    </w:pPr>
    <w:rPr>
      <w:rFonts w:ascii="Times New Roman" w:hAnsi="Times New Roman"/>
    </w:rPr>
  </w:style>
  <w:style w:type="paragraph" w:customStyle="1" w:styleId="1546">
    <w:name w:val="文章"/>
    <w:basedOn w:val="36"/>
    <w:uiPriority w:val="0"/>
    <w:pPr>
      <w:spacing w:beforeLines="50" w:after="120" w:afterLines="50" w:line="360" w:lineRule="auto"/>
    </w:pPr>
    <w:rPr>
      <w:rFonts w:ascii="Times New Roman" w:hAnsi="Times New Roman"/>
      <w:kern w:val="0"/>
    </w:rPr>
  </w:style>
  <w:style w:type="paragraph" w:customStyle="1" w:styleId="1547">
    <w:name w:val="报告表"/>
    <w:basedOn w:val="1"/>
    <w:uiPriority w:val="0"/>
    <w:pPr>
      <w:adjustRightInd w:val="0"/>
      <w:snapToGrid w:val="0"/>
      <w:spacing w:line="520" w:lineRule="atLeast"/>
      <w:ind w:firstLine="560" w:firstLineChars="200"/>
    </w:pPr>
    <w:rPr>
      <w:rFonts w:ascii="Times New Roman" w:hAnsi="Times New Roman" w:eastAsia="仿宋_GB2312"/>
      <w:sz w:val="28"/>
      <w:szCs w:val="28"/>
    </w:rPr>
  </w:style>
  <w:style w:type="paragraph" w:customStyle="1" w:styleId="1548">
    <w:name w:val="xl64"/>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szCs w:val="20"/>
    </w:rPr>
  </w:style>
  <w:style w:type="paragraph" w:customStyle="1" w:styleId="1549">
    <w:name w:val="样式 正文文字 + 两端对齐 首行缩进:  0.92 厘米 行距: 单倍行距"/>
    <w:basedOn w:val="35"/>
    <w:uiPriority w:val="0"/>
    <w:pPr>
      <w:spacing w:after="0"/>
      <w:ind w:firstLine="522"/>
    </w:pPr>
    <w:rPr>
      <w:rFonts w:ascii="宋体" w:hAnsi="宋体"/>
      <w:sz w:val="28"/>
      <w:szCs w:val="20"/>
    </w:rPr>
  </w:style>
  <w:style w:type="paragraph" w:customStyle="1" w:styleId="1550">
    <w:name w:val="文档一级标题"/>
    <w:basedOn w:val="1"/>
    <w:uiPriority w:val="0"/>
    <w:rPr>
      <w:rFonts w:ascii="黑体" w:hAnsi="华文仿宋" w:eastAsia="黑体"/>
      <w:sz w:val="28"/>
    </w:rPr>
  </w:style>
  <w:style w:type="paragraph" w:customStyle="1" w:styleId="1551">
    <w:name w:val="表底说明"/>
    <w:basedOn w:val="1"/>
    <w:uiPriority w:val="0"/>
    <w:rPr>
      <w:sz w:val="18"/>
    </w:rPr>
  </w:style>
  <w:style w:type="paragraph" w:customStyle="1" w:styleId="1552">
    <w:name w:val="样式 标题 3 + 首行缩进:  2 字符 段前: 8.15 磅 段后: 8.15 磅3"/>
    <w:basedOn w:val="7"/>
    <w:uiPriority w:val="0"/>
    <w:pPr>
      <w:spacing w:before="163" w:beforeLines="0" w:after="163" w:afterLines="0" w:line="240" w:lineRule="atLeast"/>
      <w:jc w:val="left"/>
    </w:pPr>
    <w:rPr>
      <w:rFonts w:ascii="Arial Unicode MS" w:hAnsi="Arial Unicode MS" w:eastAsia="黑体"/>
      <w:sz w:val="24"/>
      <w:szCs w:val="24"/>
    </w:rPr>
  </w:style>
  <w:style w:type="paragraph" w:customStyle="1" w:styleId="1553">
    <w:name w:val="xl22"/>
    <w:basedOn w:val="1"/>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1554">
    <w:name w:val="Normal New New New"/>
    <w:uiPriority w:val="0"/>
    <w:pPr>
      <w:jc w:val="both"/>
    </w:pPr>
    <w:rPr>
      <w:kern w:val="2"/>
      <w:sz w:val="21"/>
      <w:lang w:val="en-US" w:eastAsia="zh-CN" w:bidi="ar-SA"/>
    </w:rPr>
  </w:style>
  <w:style w:type="paragraph" w:customStyle="1" w:styleId="1555">
    <w:name w:val="样式 标题 1标题 11一、 + (中文) 黑体 小二 非加粗 段前: 5 磅 段后: 5 磅 行距: 单倍行距"/>
    <w:basedOn w:val="5"/>
    <w:uiPriority w:val="0"/>
    <w:pPr>
      <w:spacing w:before="100" w:after="100" w:line="240" w:lineRule="auto"/>
    </w:pPr>
    <w:rPr>
      <w:rFonts w:eastAsia="黑体" w:cs="宋体"/>
      <w:b w:val="0"/>
      <w:bCs w:val="0"/>
      <w:sz w:val="36"/>
      <w:szCs w:val="20"/>
    </w:rPr>
  </w:style>
  <w:style w:type="paragraph" w:customStyle="1" w:styleId="1556">
    <w:name w:val="标题 1penglin"/>
    <w:basedOn w:val="1"/>
    <w:uiPriority w:val="0"/>
    <w:pPr>
      <w:tabs>
        <w:tab w:val="left" w:pos="432"/>
      </w:tabs>
      <w:ind w:left="432" w:hanging="432"/>
    </w:pPr>
    <w:rPr>
      <w:sz w:val="24"/>
    </w:rPr>
  </w:style>
  <w:style w:type="paragraph" w:customStyle="1" w:styleId="1557">
    <w:name w:val="样式 (西文) Times New Roman (中文) 黑体 居中 行距: 1.5 倍行距"/>
    <w:basedOn w:val="1"/>
    <w:uiPriority w:val="0"/>
    <w:pPr>
      <w:spacing w:line="360" w:lineRule="auto"/>
      <w:jc w:val="center"/>
    </w:pPr>
    <w:rPr>
      <w:rFonts w:ascii="Times New Roman" w:hAnsi="Times New Roman" w:eastAsia="黑体" w:cs="宋体"/>
    </w:rPr>
  </w:style>
  <w:style w:type="paragraph" w:customStyle="1" w:styleId="1558">
    <w:name w:val="表格文字（居中）"/>
    <w:basedOn w:val="1"/>
    <w:uiPriority w:val="0"/>
    <w:pPr>
      <w:jc w:val="center"/>
    </w:pPr>
    <w:rPr>
      <w:szCs w:val="21"/>
    </w:rPr>
  </w:style>
  <w:style w:type="paragraph" w:customStyle="1" w:styleId="1559">
    <w:name w:val="麦志勤标题六"/>
    <w:basedOn w:val="1"/>
    <w:uiPriority w:val="0"/>
    <w:pPr>
      <w:adjustRightInd w:val="0"/>
      <w:snapToGrid w:val="0"/>
      <w:spacing w:before="312" w:beforeLines="100" w:line="300" w:lineRule="auto"/>
      <w:ind w:firstLine="200" w:firstLineChars="200"/>
    </w:pPr>
    <w:rPr>
      <w:rFonts w:ascii="黑体" w:hAnsi="宋体" w:eastAsia="黑体"/>
      <w:sz w:val="24"/>
      <w:szCs w:val="20"/>
    </w:rPr>
  </w:style>
  <w:style w:type="paragraph" w:customStyle="1" w:styleId="1560">
    <w:name w:val="正文正1"/>
    <w:basedOn w:val="1"/>
    <w:uiPriority w:val="0"/>
    <w:pPr>
      <w:tabs>
        <w:tab w:val="left" w:pos="0"/>
      </w:tabs>
      <w:spacing w:line="540" w:lineRule="exact"/>
      <w:jc w:val="center"/>
    </w:pPr>
    <w:rPr>
      <w:rFonts w:ascii="Times New Roman" w:hAnsi="Times New Roman"/>
      <w:kern w:val="0"/>
      <w:sz w:val="24"/>
      <w:szCs w:val="20"/>
    </w:rPr>
  </w:style>
  <w:style w:type="paragraph" w:customStyle="1" w:styleId="1561">
    <w:name w:val="第3层"/>
    <w:basedOn w:val="7"/>
    <w:uiPriority w:val="0"/>
    <w:pPr>
      <w:spacing w:before="0" w:after="0" w:line="500" w:lineRule="exact"/>
      <w:jc w:val="left"/>
    </w:pPr>
    <w:rPr>
      <w:rFonts w:ascii="宋体" w:hAnsi="宋体"/>
      <w:sz w:val="24"/>
    </w:rPr>
  </w:style>
  <w:style w:type="paragraph" w:customStyle="1" w:styleId="1562">
    <w:name w:val="标题 1文章"/>
    <w:basedOn w:val="5"/>
    <w:next w:val="1"/>
    <w:uiPriority w:val="0"/>
    <w:pPr>
      <w:keepNext w:val="0"/>
      <w:keepLines w:val="0"/>
      <w:autoSpaceDN w:val="0"/>
      <w:adjustRightInd w:val="0"/>
      <w:spacing w:before="312" w:beforeLines="100" w:after="312" w:afterLines="100" w:line="360" w:lineRule="auto"/>
      <w:contextualSpacing/>
      <w:textAlignment w:val="baseline"/>
      <w:outlineLvl w:val="1"/>
    </w:pPr>
    <w:rPr>
      <w:rFonts w:ascii="黑体" w:eastAsia="黑体" w:cs="宋体"/>
      <w:bCs w:val="0"/>
      <w:snapToGrid w:val="0"/>
      <w:spacing w:val="4"/>
      <w:kern w:val="0"/>
      <w:sz w:val="48"/>
      <w:szCs w:val="48"/>
      <w:lang w:val="eu-ES"/>
    </w:rPr>
  </w:style>
  <w:style w:type="paragraph" w:customStyle="1" w:styleId="1563">
    <w:name w:val="报告表格内文"/>
    <w:basedOn w:val="41"/>
    <w:uiPriority w:val="0"/>
    <w:pPr>
      <w:tabs>
        <w:tab w:val="left" w:pos="0"/>
      </w:tabs>
      <w:adjustRightInd w:val="0"/>
      <w:spacing w:after="0" w:line="400" w:lineRule="exact"/>
      <w:ind w:left="0" w:leftChars="0" w:right="0" w:rightChars="0"/>
      <w:jc w:val="center"/>
    </w:pPr>
    <w:rPr>
      <w:bCs/>
      <w:color w:val="000000"/>
    </w:rPr>
  </w:style>
  <w:style w:type="paragraph" w:customStyle="1" w:styleId="1564">
    <w:name w:val="样式 标题 3 + 宋体 小四 非加粗"/>
    <w:basedOn w:val="7"/>
    <w:uiPriority w:val="0"/>
    <w:pPr>
      <w:tabs>
        <w:tab w:val="left" w:pos="1260"/>
      </w:tabs>
      <w:spacing w:line="415" w:lineRule="auto"/>
      <w:ind w:left="1260" w:hanging="420"/>
    </w:pPr>
    <w:rPr>
      <w:rFonts w:ascii="宋体" w:hAnsi="宋体"/>
      <w:b w:val="0"/>
      <w:bCs w:val="0"/>
      <w:sz w:val="24"/>
    </w:rPr>
  </w:style>
  <w:style w:type="paragraph" w:customStyle="1" w:styleId="1565">
    <w:name w:val="表1表2"/>
    <w:basedOn w:val="1"/>
    <w:uiPriority w:val="0"/>
    <w:pPr>
      <w:autoSpaceDE w:val="0"/>
      <w:autoSpaceDN w:val="0"/>
      <w:adjustRightInd w:val="0"/>
      <w:spacing w:line="360" w:lineRule="auto"/>
      <w:jc w:val="center"/>
      <w:textAlignment w:val="center"/>
    </w:pPr>
    <w:rPr>
      <w:rFonts w:eastAsia="仿宋_GB2312"/>
      <w:kern w:val="0"/>
      <w:sz w:val="24"/>
      <w:szCs w:val="21"/>
    </w:rPr>
  </w:style>
  <w:style w:type="paragraph" w:customStyle="1" w:styleId="1566">
    <w:name w:val="xl35"/>
    <w:basedOn w:val="1"/>
    <w:uiPriority w:val="0"/>
    <w:pPr>
      <w:widowControl/>
      <w:pBdr>
        <w:bottom w:val="single" w:color="auto" w:sz="4" w:space="0"/>
        <w:right w:val="single" w:color="auto" w:sz="4" w:space="0"/>
      </w:pBdr>
      <w:spacing w:before="100" w:beforeLines="0" w:beforeAutospacing="1" w:after="100" w:afterLines="0" w:afterAutospacing="1"/>
      <w:jc w:val="center"/>
    </w:pPr>
    <w:rPr>
      <w:color w:val="FF0000"/>
      <w:kern w:val="0"/>
      <w:szCs w:val="21"/>
    </w:rPr>
  </w:style>
  <w:style w:type="paragraph" w:customStyle="1" w:styleId="1567">
    <w:name w:val="表体"/>
    <w:basedOn w:val="1"/>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568">
    <w:name w:val="正文1-1"/>
    <w:basedOn w:val="1"/>
    <w:next w:val="1"/>
    <w:uiPriority w:val="0"/>
    <w:pPr>
      <w:widowControl/>
      <w:adjustRightInd w:val="0"/>
      <w:snapToGrid w:val="0"/>
      <w:spacing w:line="360" w:lineRule="auto"/>
      <w:ind w:firstLine="200" w:firstLineChars="200"/>
      <w:jc w:val="left"/>
    </w:pPr>
    <w:rPr>
      <w:kern w:val="0"/>
      <w:sz w:val="24"/>
      <w:szCs w:val="20"/>
    </w:rPr>
  </w:style>
  <w:style w:type="paragraph" w:customStyle="1" w:styleId="1569">
    <w:name w:val="Char1 Char Char1 Char"/>
    <w:basedOn w:val="1"/>
    <w:uiPriority w:val="0"/>
    <w:pPr>
      <w:adjustRightInd w:val="0"/>
      <w:snapToGrid w:val="0"/>
      <w:spacing w:line="400" w:lineRule="exact"/>
      <w:ind w:firstLine="200" w:firstLineChars="200"/>
    </w:pPr>
    <w:rPr>
      <w:sz w:val="24"/>
      <w:szCs w:val="20"/>
    </w:rPr>
  </w:style>
  <w:style w:type="paragraph" w:customStyle="1" w:styleId="1570">
    <w:name w:val="样式 图表标题 + 加粗 段前: 0.5 行 段后: 0.5 行"/>
    <w:basedOn w:val="1"/>
    <w:uiPriority w:val="0"/>
    <w:pPr>
      <w:spacing w:before="156" w:beforeLines="50" w:after="156" w:afterLines="50" w:line="440" w:lineRule="exact"/>
      <w:jc w:val="center"/>
    </w:pPr>
    <w:rPr>
      <w:rFonts w:cs="宋体"/>
      <w:b/>
      <w:bCs/>
      <w:sz w:val="24"/>
      <w:szCs w:val="20"/>
    </w:rPr>
  </w:style>
  <w:style w:type="paragraph" w:customStyle="1" w:styleId="1571">
    <w:name w:val="四级条标题"/>
    <w:basedOn w:val="1572"/>
    <w:next w:val="1"/>
    <w:uiPriority w:val="0"/>
    <w:pPr>
      <w:tabs>
        <w:tab w:val="left" w:pos="1287"/>
      </w:tabs>
      <w:outlineLvl w:val="5"/>
    </w:pPr>
  </w:style>
  <w:style w:type="paragraph" w:customStyle="1" w:styleId="1572">
    <w:name w:val="三级条标题"/>
    <w:basedOn w:val="1456"/>
    <w:next w:val="1"/>
    <w:uiPriority w:val="0"/>
    <w:pPr>
      <w:outlineLvl w:val="4"/>
    </w:pPr>
  </w:style>
  <w:style w:type="paragraph" w:customStyle="1" w:styleId="1573">
    <w:name w:val="五级条标题"/>
    <w:basedOn w:val="1571"/>
    <w:next w:val="1"/>
    <w:uiPriority w:val="0"/>
    <w:pPr>
      <w:tabs>
        <w:tab w:val="left" w:pos="360"/>
      </w:tabs>
      <w:ind w:left="0" w:firstLine="0"/>
      <w:outlineLvl w:val="6"/>
    </w:pPr>
    <w:rPr>
      <w:szCs w:val="20"/>
    </w:rPr>
  </w:style>
  <w:style w:type="paragraph" w:customStyle="1" w:styleId="1574">
    <w:name w:val="图文文字"/>
    <w:basedOn w:val="1"/>
    <w:uiPriority w:val="0"/>
    <w:pPr>
      <w:jc w:val="center"/>
    </w:pPr>
    <w:rPr>
      <w:rFonts w:ascii="宋体" w:hAnsi="宋体"/>
      <w:szCs w:val="18"/>
    </w:rPr>
  </w:style>
  <w:style w:type="paragraph" w:customStyle="1" w:styleId="1575">
    <w:name w:val="ST20_1"/>
    <w:basedOn w:val="1"/>
    <w:uiPriority w:val="0"/>
    <w:pPr>
      <w:autoSpaceDE w:val="0"/>
      <w:autoSpaceDN w:val="0"/>
      <w:adjustRightInd w:val="0"/>
      <w:spacing w:line="312" w:lineRule="atLeast"/>
      <w:jc w:val="center"/>
      <w:textAlignment w:val="baseline"/>
    </w:pPr>
    <w:rPr>
      <w:rFonts w:ascii="宋体" w:hAnsi="Tms Rmn"/>
      <w:kern w:val="0"/>
      <w:sz w:val="24"/>
    </w:rPr>
  </w:style>
  <w:style w:type="paragraph" w:customStyle="1" w:styleId="1576">
    <w:name w:val="Char Char1 Char Char Char Char Char Char Char Char Char Char Char Char Char Char Char Char Char Char Char Char Char Char Char Char Char Char Char Char Char Char"/>
    <w:basedOn w:val="1"/>
    <w:uiPriority w:val="0"/>
  </w:style>
  <w:style w:type="paragraph" w:customStyle="1" w:styleId="1577">
    <w:name w:val="样式 标题 2SeHead wsa2ChapterChapter Title + 四号 段后: 2.5 磅 行距: ..."/>
    <w:basedOn w:val="6"/>
    <w:uiPriority w:val="0"/>
    <w:pPr>
      <w:adjustRightInd w:val="0"/>
      <w:spacing w:before="240" w:beforeLines="0" w:after="50" w:afterLines="0" w:line="360" w:lineRule="auto"/>
      <w:textAlignment w:val="baseline"/>
    </w:pPr>
    <w:rPr>
      <w:rFonts w:ascii="宋体" w:hAnsi="Times New Roman" w:eastAsia="宋体" w:cs="宋体"/>
      <w:color w:val="000000"/>
      <w:kern w:val="0"/>
      <w:szCs w:val="20"/>
    </w:rPr>
  </w:style>
  <w:style w:type="paragraph" w:customStyle="1" w:styleId="1578">
    <w:name w:val="正文文本 211"/>
    <w:basedOn w:val="1"/>
    <w:uiPriority w:val="0"/>
    <w:pPr>
      <w:adjustRightInd w:val="0"/>
      <w:spacing w:line="432" w:lineRule="auto"/>
      <w:ind w:firstLine="480"/>
    </w:pPr>
    <w:rPr>
      <w:rFonts w:ascii="Times New Roman" w:hAnsi="Times New Roman"/>
      <w:sz w:val="24"/>
      <w:szCs w:val="20"/>
    </w:rPr>
  </w:style>
  <w:style w:type="paragraph" w:customStyle="1" w:styleId="1579">
    <w:name w:val="文本框五号"/>
    <w:uiPriority w:val="0"/>
    <w:pPr>
      <w:adjustRightInd w:val="0"/>
      <w:snapToGrid w:val="0"/>
      <w:spacing w:line="240" w:lineRule="atLeast"/>
      <w:jc w:val="center"/>
    </w:pPr>
    <w:rPr>
      <w:rFonts w:eastAsia="仿宋_GB2312"/>
      <w:kern w:val="2"/>
      <w:sz w:val="21"/>
      <w:szCs w:val="21"/>
      <w:lang w:val="en-US" w:eastAsia="zh-CN" w:bidi="ar-SA"/>
    </w:rPr>
  </w:style>
  <w:style w:type="paragraph" w:customStyle="1" w:styleId="1580">
    <w:name w:val="正文 New New New New New New New New New New New New New New"/>
    <w:uiPriority w:val="0"/>
    <w:pPr>
      <w:widowControl w:val="0"/>
      <w:jc w:val="both"/>
    </w:pPr>
    <w:rPr>
      <w:kern w:val="2"/>
      <w:sz w:val="21"/>
      <w:szCs w:val="24"/>
      <w:lang w:val="en-US" w:eastAsia="zh-CN" w:bidi="ar-SA"/>
    </w:rPr>
  </w:style>
  <w:style w:type="paragraph" w:customStyle="1" w:styleId="1581">
    <w:name w:val="小3黑顶"/>
    <w:basedOn w:val="6"/>
    <w:uiPriority w:val="0"/>
    <w:pPr>
      <w:spacing w:before="156" w:beforeLines="50" w:after="156" w:afterLines="50" w:line="360" w:lineRule="auto"/>
    </w:pPr>
    <w:rPr>
      <w:rFonts w:ascii="黑体" w:hAnsi="宋体" w:eastAsia="宋体"/>
      <w:bCs w:val="0"/>
      <w:sz w:val="30"/>
      <w:szCs w:val="20"/>
    </w:rPr>
  </w:style>
  <w:style w:type="paragraph" w:customStyle="1" w:styleId="1582">
    <w:name w:val="表格，内容"/>
    <w:basedOn w:val="1"/>
    <w:uiPriority w:val="0"/>
    <w:pPr>
      <w:jc w:val="center"/>
    </w:pPr>
    <w:rPr>
      <w:spacing w:val="10"/>
      <w:kern w:val="44"/>
    </w:rPr>
  </w:style>
  <w:style w:type="paragraph" w:customStyle="1" w:styleId="1583">
    <w:name w:val="三"/>
    <w:basedOn w:val="1"/>
    <w:uiPriority w:val="0"/>
    <w:rPr>
      <w:rFonts w:ascii="宋体" w:hAnsi="Times New Roman"/>
      <w:sz w:val="24"/>
      <w:szCs w:val="20"/>
    </w:rPr>
  </w:style>
  <w:style w:type="paragraph" w:customStyle="1" w:styleId="1584">
    <w:name w:val="正文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585">
    <w:name w:val=" Char Char Char2 Char"/>
    <w:basedOn w:val="1"/>
    <w:uiPriority w:val="0"/>
  </w:style>
  <w:style w:type="paragraph" w:customStyle="1" w:styleId="1586">
    <w:name w:val="标 题 2"/>
    <w:basedOn w:val="6"/>
    <w:uiPriority w:val="0"/>
    <w:pPr>
      <w:keepNext w:val="0"/>
      <w:keepLines w:val="0"/>
      <w:autoSpaceDE w:val="0"/>
      <w:autoSpaceDN w:val="0"/>
      <w:adjustRightInd w:val="0"/>
      <w:snapToGrid w:val="0"/>
      <w:spacing w:before="163" w:beforeLines="0" w:after="163" w:afterLines="0" w:line="520" w:lineRule="exact"/>
      <w:textAlignment w:val="baseline"/>
    </w:pPr>
    <w:rPr>
      <w:rFonts w:ascii="黑体" w:hAnsi="宋体" w:eastAsia="宋体"/>
      <w:b w:val="0"/>
      <w:snapToGrid w:val="0"/>
      <w:sz w:val="30"/>
      <w:szCs w:val="20"/>
      <w:lang w:val="eu-ES"/>
    </w:rPr>
  </w:style>
  <w:style w:type="paragraph" w:customStyle="1" w:styleId="1587">
    <w:name w:val="1"/>
    <w:basedOn w:val="1"/>
    <w:next w:val="76"/>
    <w:uiPriority w:val="0"/>
    <w:pPr>
      <w:spacing w:line="420" w:lineRule="exact"/>
    </w:pPr>
    <w:rPr>
      <w:sz w:val="24"/>
    </w:rPr>
  </w:style>
  <w:style w:type="paragraph" w:customStyle="1" w:styleId="1588">
    <w:name w:val="Char Char Char1 Char2"/>
    <w:basedOn w:val="1"/>
    <w:uiPriority w:val="0"/>
    <w:rPr>
      <w:rFonts w:ascii="宋体" w:hAnsi="Times New Roman"/>
      <w:kern w:val="0"/>
      <w:sz w:val="34"/>
      <w:szCs w:val="20"/>
    </w:rPr>
  </w:style>
  <w:style w:type="paragraph" w:customStyle="1" w:styleId="1589">
    <w:name w:val="Char Char Char Char Char Char Char Char Char1 Char"/>
    <w:basedOn w:val="1"/>
    <w:uiPriority w:val="0"/>
  </w:style>
  <w:style w:type="paragraph" w:customStyle="1" w:styleId="1590">
    <w:name w:val="第四节"/>
    <w:basedOn w:val="1"/>
    <w:uiPriority w:val="0"/>
    <w:pPr>
      <w:spacing w:before="468" w:beforeLines="150" w:line="360" w:lineRule="auto"/>
      <w:ind w:firstLine="358" w:firstLineChars="119"/>
      <w:jc w:val="left"/>
    </w:pPr>
    <w:rPr>
      <w:rFonts w:eastAsia="黑体"/>
      <w:b/>
      <w:bCs/>
      <w:kern w:val="0"/>
      <w:sz w:val="30"/>
    </w:rPr>
  </w:style>
  <w:style w:type="paragraph" w:customStyle="1" w:styleId="1591">
    <w:name w:val="2级别"/>
    <w:basedOn w:val="600"/>
    <w:uiPriority w:val="0"/>
    <w:pPr>
      <w:spacing w:before="120" w:after="120"/>
    </w:pPr>
    <w:rPr>
      <w:color w:val="000000"/>
    </w:rPr>
  </w:style>
  <w:style w:type="paragraph" w:customStyle="1" w:styleId="1592">
    <w:name w:val="样式 小初 加粗 阴影 居中 段前: 7.8 磅 段后: 7.8 磅"/>
    <w:basedOn w:val="1"/>
    <w:uiPriority w:val="0"/>
    <w:pPr>
      <w:jc w:val="center"/>
    </w:pPr>
    <w:rPr>
      <w:b/>
      <w:sz w:val="72"/>
      <w:szCs w:val="20"/>
      <w14:shadow w14:blurRad="50800" w14:dist="38100" w14:dir="2700000" w14:sx="100000" w14:sy="100000" w14:kx="0" w14:ky="0" w14:algn="tl">
        <w14:srgbClr w14:val="000000">
          <w14:alpha w14:val="60000"/>
        </w14:srgbClr>
      </w14:shadow>
    </w:rPr>
  </w:style>
  <w:style w:type="paragraph" w:customStyle="1" w:styleId="1593">
    <w:name w:val="样式 1标题2级 + 左  -0.85 字符"/>
    <w:basedOn w:val="989"/>
    <w:uiPriority w:val="0"/>
    <w:pPr>
      <w:spacing w:before="312" w:beforeLines="100"/>
      <w:ind w:left="-85" w:leftChars="-85" w:firstLine="63" w:firstLineChars="63"/>
    </w:pPr>
  </w:style>
  <w:style w:type="paragraph" w:customStyle="1" w:styleId="1594">
    <w:name w:val="样式 Arial 小四 行距: 1.5 倍行距"/>
    <w:basedOn w:val="1"/>
    <w:uiPriority w:val="0"/>
    <w:pPr>
      <w:spacing w:line="360" w:lineRule="auto"/>
      <w:ind w:firstLine="480" w:firstLineChars="200"/>
    </w:pPr>
    <w:rPr>
      <w:sz w:val="24"/>
      <w:szCs w:val="20"/>
    </w:rPr>
  </w:style>
  <w:style w:type="paragraph" w:customStyle="1" w:styleId="1595">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596">
    <w:name w:val="样式 首行缩进:  1.01 厘米"/>
    <w:basedOn w:val="1"/>
    <w:uiPriority w:val="0"/>
    <w:pPr>
      <w:spacing w:line="460" w:lineRule="exact"/>
      <w:jc w:val="center"/>
    </w:pPr>
    <w:rPr>
      <w:rFonts w:ascii="黑体" w:eastAsia="黑体"/>
      <w:sz w:val="28"/>
      <w:szCs w:val="28"/>
    </w:rPr>
  </w:style>
  <w:style w:type="paragraph" w:customStyle="1" w:styleId="1597">
    <w:name w:val="样式 标题 3 + (西文) 宋体"/>
    <w:basedOn w:val="7"/>
    <w:next w:val="1"/>
    <w:uiPriority w:val="0"/>
    <w:pPr>
      <w:numPr>
        <w:ilvl w:val="0"/>
        <w:numId w:val="0"/>
      </w:numPr>
      <w:autoSpaceDN w:val="0"/>
      <w:adjustRightInd w:val="0"/>
      <w:spacing w:before="0" w:beforeLines="0" w:after="0" w:afterLines="0" w:line="520" w:lineRule="exact"/>
      <w:ind w:firstLine="471"/>
      <w:contextualSpacing/>
      <w:textAlignment w:val="baseline"/>
    </w:pPr>
    <w:rPr>
      <w:rFonts w:ascii="宋体" w:hAnsi="宋体" w:eastAsia="黑体" w:cs="宋体"/>
      <w:b w:val="0"/>
      <w:bCs w:val="0"/>
      <w:snapToGrid w:val="0"/>
      <w:sz w:val="24"/>
      <w:szCs w:val="24"/>
      <w:lang w:val="eu-ES"/>
    </w:rPr>
  </w:style>
  <w:style w:type="paragraph" w:customStyle="1" w:styleId="1598">
    <w:name w:val="自制表格"/>
    <w:basedOn w:val="1"/>
    <w:next w:val="1"/>
    <w:uiPriority w:val="0"/>
    <w:pPr>
      <w:spacing w:after="120" w:afterLines="0" w:line="360" w:lineRule="auto"/>
    </w:pPr>
    <w:rPr>
      <w:rFonts w:ascii="宋体"/>
      <w:kern w:val="10"/>
      <w:sz w:val="28"/>
      <w:szCs w:val="20"/>
    </w:rPr>
  </w:style>
  <w:style w:type="paragraph" w:customStyle="1" w:styleId="1599">
    <w:name w:val="_Style 28"/>
    <w:basedOn w:val="1"/>
    <w:uiPriority w:val="0"/>
    <w:pPr>
      <w:widowControl/>
      <w:spacing w:after="160" w:line="240" w:lineRule="exact"/>
      <w:jc w:val="left"/>
    </w:pPr>
    <w:rPr>
      <w:rFonts w:ascii="Times New Roman" w:hAnsi="Times New Roman"/>
      <w:szCs w:val="20"/>
    </w:rPr>
  </w:style>
  <w:style w:type="paragraph" w:customStyle="1" w:styleId="1600">
    <w:name w:val="zhang正文 + 仿宋_GB2312"/>
    <w:basedOn w:val="1"/>
    <w:uiPriority w:val="0"/>
    <w:pPr>
      <w:adjustRightInd w:val="0"/>
      <w:spacing w:before="50" w:beforeLines="0" w:after="50" w:afterLines="0" w:line="500" w:lineRule="exact"/>
      <w:ind w:firstLine="620" w:firstLineChars="200"/>
    </w:pPr>
    <w:rPr>
      <w:rFonts w:ascii="仿宋_GB2312" w:hAnsi="宋体" w:eastAsia="仿宋_GB2312" w:cs="宋体"/>
      <w:spacing w:val="15"/>
      <w:kern w:val="0"/>
      <w:sz w:val="28"/>
      <w:szCs w:val="28"/>
    </w:rPr>
  </w:style>
  <w:style w:type="paragraph" w:customStyle="1" w:styleId="1601">
    <w:name w:val="表内"/>
    <w:uiPriority w:val="0"/>
    <w:pPr>
      <w:adjustRightInd w:val="0"/>
      <w:snapToGrid w:val="0"/>
      <w:ind w:left="-105" w:leftChars="-50" w:right="-105" w:rightChars="-50"/>
      <w:jc w:val="center"/>
    </w:pPr>
    <w:rPr>
      <w:sz w:val="21"/>
      <w:lang w:val="en-US" w:eastAsia="zh-CN" w:bidi="ar-SA"/>
    </w:rPr>
  </w:style>
  <w:style w:type="paragraph" w:customStyle="1" w:styleId="1602">
    <w:name w:val="正文 + 首行缩进:  2 字符 Char"/>
    <w:basedOn w:val="1"/>
    <w:uiPriority w:val="0"/>
    <w:pPr>
      <w:ind w:firstLine="480" w:firstLineChars="200"/>
    </w:pPr>
    <w:rPr>
      <w:rFonts w:cs="宋体"/>
      <w:sz w:val="24"/>
      <w:szCs w:val="20"/>
    </w:rPr>
  </w:style>
  <w:style w:type="paragraph" w:customStyle="1" w:styleId="1603">
    <w:name w:val="正文 New New New"/>
    <w:uiPriority w:val="0"/>
    <w:pPr>
      <w:widowControl w:val="0"/>
      <w:jc w:val="both"/>
    </w:pPr>
    <w:rPr>
      <w:kern w:val="2"/>
      <w:sz w:val="21"/>
      <w:szCs w:val="24"/>
      <w:lang w:val="en-US" w:eastAsia="zh-CN" w:bidi="ar-SA"/>
    </w:rPr>
  </w:style>
  <w:style w:type="paragraph" w:customStyle="1" w:styleId="1604">
    <w:name w:val="样式 正文 +"/>
    <w:basedOn w:val="1"/>
    <w:uiPriority w:val="0"/>
    <w:pPr>
      <w:spacing w:line="360" w:lineRule="auto"/>
      <w:ind w:firstLine="480" w:firstLineChars="200"/>
    </w:pPr>
    <w:rPr>
      <w:rFonts w:ascii="Verdana" w:hAnsi="Verdana"/>
      <w:sz w:val="24"/>
    </w:rPr>
  </w:style>
  <w:style w:type="paragraph" w:customStyle="1" w:styleId="1605">
    <w:name w:val="标题 4 New New"/>
    <w:basedOn w:val="1"/>
    <w:next w:val="1"/>
    <w:uiPriority w:val="0"/>
    <w:pPr>
      <w:keepNext/>
      <w:keepLines/>
      <w:spacing w:before="280" w:after="290" w:line="376" w:lineRule="auto"/>
      <w:outlineLvl w:val="3"/>
    </w:pPr>
    <w:rPr>
      <w:rFonts w:ascii="Arial" w:hAnsi="Arial" w:eastAsia="黑体"/>
      <w:b/>
      <w:bCs/>
      <w:sz w:val="28"/>
      <w:szCs w:val="28"/>
    </w:rPr>
  </w:style>
  <w:style w:type="paragraph" w:customStyle="1" w:styleId="1606">
    <w:name w:val="样式 标题 2H2SeHead wsa2标题 1.1标题 2 Char Char Char Char Char标题 ..."/>
    <w:basedOn w:val="6"/>
    <w:uiPriority w:val="0"/>
    <w:pPr>
      <w:tabs>
        <w:tab w:val="left" w:pos="567"/>
      </w:tabs>
      <w:spacing w:before="120" w:beforeLines="0" w:after="120" w:afterLines="0" w:line="360" w:lineRule="auto"/>
      <w:ind w:left="567" w:hanging="567"/>
    </w:pPr>
    <w:rPr>
      <w:rFonts w:ascii="黑体"/>
      <w:b w:val="0"/>
      <w:bCs w:val="0"/>
      <w:szCs w:val="20"/>
    </w:rPr>
  </w:style>
  <w:style w:type="paragraph" w:customStyle="1" w:styleId="1607">
    <w:name w:val="正文图五"/>
    <w:basedOn w:val="1"/>
    <w:uiPriority w:val="0"/>
    <w:pPr>
      <w:adjustRightInd w:val="0"/>
      <w:snapToGrid w:val="0"/>
      <w:jc w:val="center"/>
    </w:pPr>
    <w:rPr>
      <w:rFonts w:eastAsia="仿宋_GB2312"/>
      <w:snapToGrid w:val="0"/>
      <w:spacing w:val="6"/>
      <w:szCs w:val="20"/>
    </w:rPr>
  </w:style>
  <w:style w:type="paragraph" w:customStyle="1" w:styleId="1608">
    <w:name w:val="p17"/>
    <w:basedOn w:val="1"/>
    <w:uiPriority w:val="0"/>
    <w:pPr>
      <w:widowControl/>
    </w:pPr>
    <w:rPr>
      <w:kern w:val="0"/>
      <w:sz w:val="24"/>
      <w:szCs w:val="20"/>
    </w:rPr>
  </w:style>
  <w:style w:type="paragraph" w:customStyle="1" w:styleId="1609">
    <w:name w:val="Char1 Char Char"/>
    <w:basedOn w:val="1"/>
    <w:uiPriority w:val="0"/>
    <w:pPr>
      <w:widowControl/>
      <w:spacing w:after="160" w:line="240" w:lineRule="exact"/>
      <w:jc w:val="left"/>
    </w:pPr>
    <w:rPr>
      <w:rFonts w:ascii="Verdana" w:hAnsi="Verdana"/>
      <w:kern w:val="0"/>
      <w:sz w:val="20"/>
      <w:szCs w:val="20"/>
      <w:lang w:eastAsia="en-US"/>
    </w:rPr>
  </w:style>
  <w:style w:type="paragraph" w:customStyle="1" w:styleId="1610">
    <w:name w:val="正文 + 首行缩进:  2 字符"/>
    <w:basedOn w:val="1"/>
    <w:uiPriority w:val="0"/>
    <w:pPr>
      <w:spacing w:line="360" w:lineRule="auto"/>
      <w:ind w:firstLine="480" w:firstLineChars="200"/>
    </w:pPr>
    <w:rPr>
      <w:sz w:val="24"/>
      <w:szCs w:val="20"/>
    </w:rPr>
  </w:style>
  <w:style w:type="paragraph" w:customStyle="1" w:styleId="1611">
    <w:name w:val="标题3 Char Char Char Char"/>
    <w:basedOn w:val="1"/>
    <w:uiPriority w:val="0"/>
    <w:pPr>
      <w:spacing w:line="560" w:lineRule="exact"/>
    </w:pPr>
    <w:rPr>
      <w:rFonts w:eastAsia="黑体"/>
      <w:sz w:val="30"/>
      <w:szCs w:val="30"/>
    </w:rPr>
  </w:style>
  <w:style w:type="paragraph" w:customStyle="1" w:styleId="1612">
    <w:name w:val="样式 标题 1 + 三号 行距: 最小值 24 磅"/>
    <w:basedOn w:val="5"/>
    <w:uiPriority w:val="0"/>
    <w:pPr>
      <w:tabs>
        <w:tab w:val="left" w:pos="425"/>
      </w:tabs>
      <w:spacing w:after="600" w:line="480" w:lineRule="atLeast"/>
      <w:ind w:left="425" w:hanging="425"/>
      <w:jc w:val="center"/>
    </w:pPr>
    <w:rPr>
      <w:rFonts w:cs="宋体"/>
    </w:rPr>
  </w:style>
  <w:style w:type="paragraph" w:customStyle="1" w:styleId="1613">
    <w:name w:val="_Style 141"/>
    <w:uiPriority w:val="0"/>
    <w:rPr>
      <w:rFonts w:cs="Arial"/>
      <w:lang w:val="en-US" w:eastAsia="zh-CN" w:bidi="ar-SA"/>
    </w:rPr>
  </w:style>
  <w:style w:type="paragraph" w:customStyle="1" w:styleId="1614">
    <w:name w:val=" Char Char Char Char Char Char1 Char Char Char1 Char Char Char1 Char Char Char Char Char Char Char Char Char Char"/>
    <w:basedOn w:val="1"/>
    <w:next w:val="1"/>
    <w:uiPriority w:val="0"/>
    <w:pPr>
      <w:spacing w:line="360" w:lineRule="auto"/>
      <w:ind w:firstLine="200" w:firstLineChars="200"/>
    </w:pPr>
    <w:rPr>
      <w:rFonts w:ascii="宋体" w:hAnsi="宋体"/>
      <w:sz w:val="24"/>
      <w:szCs w:val="20"/>
    </w:rPr>
  </w:style>
  <w:style w:type="paragraph" w:customStyle="1" w:styleId="1615">
    <w:name w:val="样式 标题 4标题 14 + 加粗 无下划线 自动设置 段前: 3 磅 段后: 10 磅1"/>
    <w:basedOn w:val="8"/>
    <w:uiPriority w:val="0"/>
    <w:pPr>
      <w:keepLines w:val="0"/>
      <w:tabs>
        <w:tab w:val="left" w:pos="1620"/>
      </w:tabs>
      <w:adjustRightInd w:val="0"/>
      <w:snapToGrid w:val="0"/>
      <w:spacing w:before="60" w:after="200" w:line="240" w:lineRule="auto"/>
      <w:ind w:left="1620" w:hanging="360"/>
    </w:pPr>
    <w:rPr>
      <w:rFonts w:ascii="Times New Roman" w:hAnsi="Times New Roman" w:eastAsia="宋体"/>
      <w:bCs/>
      <w:sz w:val="24"/>
      <w:szCs w:val="20"/>
    </w:rPr>
  </w:style>
  <w:style w:type="paragraph" w:customStyle="1" w:styleId="1616">
    <w:name w:val="Char Char8"/>
    <w:basedOn w:val="1"/>
    <w:uiPriority w:val="0"/>
    <w:pPr>
      <w:widowControl/>
      <w:spacing w:after="160" w:line="240" w:lineRule="exact"/>
      <w:jc w:val="left"/>
    </w:pPr>
    <w:rPr>
      <w:rFonts w:ascii="Times New Roman" w:hAnsi="Times New Roman"/>
      <w:szCs w:val="20"/>
    </w:rPr>
  </w:style>
  <w:style w:type="paragraph" w:customStyle="1" w:styleId="1617">
    <w:name w:val="无间隔21"/>
    <w:uiPriority w:val="0"/>
    <w:pPr>
      <w:widowControl w:val="0"/>
      <w:jc w:val="both"/>
    </w:pPr>
    <w:rPr>
      <w:kern w:val="2"/>
      <w:sz w:val="21"/>
      <w:szCs w:val="22"/>
      <w:lang w:val="en-US" w:eastAsia="zh-CN" w:bidi="ar-SA"/>
    </w:rPr>
  </w:style>
  <w:style w:type="paragraph" w:customStyle="1" w:styleId="1618">
    <w:name w:val="夏1，正文仿3"/>
    <w:basedOn w:val="1"/>
    <w:uiPriority w:val="0"/>
    <w:pPr>
      <w:snapToGrid w:val="0"/>
      <w:spacing w:before="20" w:beforeLines="0" w:line="288" w:lineRule="auto"/>
      <w:ind w:firstLine="675"/>
    </w:pPr>
    <w:rPr>
      <w:rFonts w:ascii="仿宋_GB2312" w:eastAsia="仿宋_GB2312"/>
      <w:snapToGrid w:val="0"/>
      <w:spacing w:val="4"/>
      <w:kern w:val="0"/>
      <w:sz w:val="32"/>
      <w:lang w:val="eu-ES"/>
    </w:rPr>
  </w:style>
  <w:style w:type="paragraph" w:customStyle="1" w:styleId="1619">
    <w:name w:val="样式 标题 1 + 首行缩进:  2 字符"/>
    <w:basedOn w:val="5"/>
    <w:uiPriority w:val="0"/>
    <w:pPr>
      <w:tabs>
        <w:tab w:val="left" w:pos="360"/>
      </w:tabs>
      <w:spacing w:before="0" w:after="0" w:line="300" w:lineRule="auto"/>
      <w:ind w:left="360" w:hanging="360"/>
    </w:pPr>
    <w:rPr>
      <w:rFonts w:eastAsia="黑体" w:cs="宋体"/>
      <w:b w:val="0"/>
      <w:sz w:val="32"/>
      <w:szCs w:val="32"/>
    </w:rPr>
  </w:style>
  <w:style w:type="paragraph" w:customStyle="1" w:styleId="1620">
    <w:name w:val="无间隔3"/>
    <w:uiPriority w:val="0"/>
    <w:pPr>
      <w:widowControl w:val="0"/>
      <w:jc w:val="both"/>
    </w:pPr>
    <w:rPr>
      <w:kern w:val="2"/>
      <w:sz w:val="21"/>
      <w:szCs w:val="22"/>
      <w:lang w:val="en-US" w:eastAsia="zh-CN" w:bidi="ar-SA"/>
    </w:rPr>
  </w:style>
  <w:style w:type="paragraph" w:customStyle="1" w:styleId="1621">
    <w:name w:val="样式 正文文本 + 首行缩进:  0.8 厘米"/>
    <w:basedOn w:val="35"/>
    <w:uiPriority w:val="0"/>
    <w:pPr>
      <w:spacing w:after="0" w:line="360" w:lineRule="auto"/>
      <w:ind w:firstLine="200" w:firstLineChars="200"/>
    </w:pPr>
    <w:rPr>
      <w:rFonts w:ascii="仿宋_GB2312" w:hAnsi="宋体" w:eastAsia="仿宋_GB2312"/>
      <w:spacing w:val="-8"/>
      <w:kern w:val="0"/>
      <w:sz w:val="28"/>
      <w:szCs w:val="28"/>
    </w:rPr>
  </w:style>
  <w:style w:type="paragraph" w:customStyle="1" w:styleId="1622">
    <w:name w:val="文本框文字"/>
    <w:basedOn w:val="1"/>
    <w:uiPriority w:val="0"/>
    <w:pPr>
      <w:jc w:val="center"/>
    </w:pPr>
  </w:style>
  <w:style w:type="paragraph" w:customStyle="1" w:styleId="1623">
    <w:name w:val="小四表文居中"/>
    <w:uiPriority w:val="0"/>
    <w:pPr>
      <w:widowControl w:val="0"/>
      <w:jc w:val="center"/>
    </w:pPr>
    <w:rPr>
      <w:rFonts w:ascii="仿宋_GB2312" w:eastAsia="仿宋_GB2312" w:cs="仿宋_GB2312"/>
      <w:kern w:val="2"/>
      <w:sz w:val="24"/>
      <w:szCs w:val="24"/>
      <w:lang w:val="en-US" w:eastAsia="zh-CN" w:bidi="ar-SA"/>
    </w:rPr>
  </w:style>
  <w:style w:type="paragraph" w:customStyle="1" w:styleId="1624">
    <w:name w:val="xl29"/>
    <w:basedOn w:val="1"/>
    <w:uiPriority w:val="0"/>
    <w:pPr>
      <w:widowControl/>
      <w:pBdr>
        <w:right w:val="single" w:color="auto" w:sz="4" w:space="0"/>
      </w:pBdr>
      <w:spacing w:before="100" w:beforeLines="0" w:beforeAutospacing="1" w:after="100" w:afterLines="0" w:afterAutospacing="1"/>
      <w:jc w:val="center"/>
    </w:pPr>
    <w:rPr>
      <w:kern w:val="0"/>
      <w:szCs w:val="21"/>
    </w:rPr>
  </w:style>
  <w:style w:type="paragraph" w:customStyle="1" w:styleId="1625">
    <w:name w:val="自动4"/>
    <w:basedOn w:val="1"/>
    <w:uiPriority w:val="0"/>
    <w:pPr>
      <w:keepNext/>
      <w:keepLines/>
      <w:tabs>
        <w:tab w:val="left" w:pos="1131"/>
      </w:tabs>
      <w:spacing w:beforeLines="50" w:afterLines="50" w:line="360" w:lineRule="auto"/>
      <w:outlineLvl w:val="3"/>
    </w:pPr>
    <w:rPr>
      <w:rFonts w:ascii="宋体" w:hAnsi="宋体"/>
      <w:bCs/>
      <w:color w:val="000000"/>
      <w:sz w:val="24"/>
    </w:rPr>
  </w:style>
  <w:style w:type="paragraph" w:customStyle="1" w:styleId="1626">
    <w:name w:val="样式 四号 行距: 固定值 25 磅 首行缩进:  2 字符"/>
    <w:basedOn w:val="1"/>
    <w:uiPriority w:val="0"/>
    <w:pPr>
      <w:spacing w:line="540" w:lineRule="exact"/>
      <w:ind w:firstLine="200" w:firstLineChars="200"/>
    </w:pPr>
    <w:rPr>
      <w:w w:val="90"/>
      <w:sz w:val="28"/>
      <w:szCs w:val="20"/>
    </w:rPr>
  </w:style>
  <w:style w:type="paragraph" w:customStyle="1" w:styleId="1627">
    <w:name w:val="正文 New New New New New New New New New New New New New New New New New New"/>
    <w:uiPriority w:val="0"/>
    <w:pPr>
      <w:widowControl w:val="0"/>
      <w:jc w:val="both"/>
    </w:pPr>
    <w:rPr>
      <w:kern w:val="2"/>
      <w:sz w:val="21"/>
      <w:szCs w:val="24"/>
      <w:lang w:val="en-US" w:eastAsia="zh-CN" w:bidi="ar-SA"/>
    </w:rPr>
  </w:style>
  <w:style w:type="paragraph" w:customStyle="1" w:styleId="1628">
    <w:name w:val="Char1 Char Char Char3"/>
    <w:basedOn w:val="1"/>
    <w:uiPriority w:val="0"/>
    <w:pPr>
      <w:widowControl/>
      <w:spacing w:after="160" w:line="240" w:lineRule="exact"/>
      <w:jc w:val="left"/>
    </w:pPr>
    <w:rPr>
      <w:rFonts w:ascii="Verdana" w:hAnsi="Verdana"/>
      <w:kern w:val="0"/>
      <w:sz w:val="20"/>
      <w:szCs w:val="20"/>
      <w:lang w:eastAsia="en-US"/>
    </w:rPr>
  </w:style>
  <w:style w:type="paragraph" w:customStyle="1" w:styleId="1629">
    <w:name w:val="样式 标题 2 + (西文) Times New Roman (中文) 楷体_GB2312 自动设置 段前: 13 磅 ..."/>
    <w:basedOn w:val="6"/>
    <w:uiPriority w:val="0"/>
    <w:pPr>
      <w:keepNext w:val="0"/>
      <w:keepLines w:val="0"/>
      <w:overflowPunct w:val="0"/>
      <w:spacing w:before="240" w:beforeLines="0" w:after="240" w:afterLines="0" w:line="360" w:lineRule="auto"/>
      <w:jc w:val="center"/>
    </w:pPr>
    <w:rPr>
      <w:rFonts w:ascii="Times New Roman" w:hAnsi="Times New Roman" w:eastAsia="楷体_GB2312" w:cs="宋体"/>
      <w:szCs w:val="20"/>
    </w:rPr>
  </w:style>
  <w:style w:type="paragraph" w:customStyle="1" w:styleId="1630">
    <w:name w:val="表格32"/>
    <w:basedOn w:val="777"/>
    <w:uiPriority w:val="0"/>
    <w:pPr>
      <w:spacing w:after="0" w:afterLines="0"/>
      <w:ind w:firstLine="480" w:firstLineChars="200"/>
      <w:jc w:val="center"/>
    </w:pPr>
    <w:rPr>
      <w:rFonts w:eastAsia="仿宋_GB2312"/>
      <w:szCs w:val="24"/>
    </w:rPr>
  </w:style>
  <w:style w:type="paragraph" w:customStyle="1" w:styleId="1631">
    <w:name w:val="预案正文"/>
    <w:basedOn w:val="1"/>
    <w:uiPriority w:val="0"/>
    <w:pPr>
      <w:adjustRightInd w:val="0"/>
      <w:snapToGrid w:val="0"/>
      <w:spacing w:line="300" w:lineRule="auto"/>
      <w:ind w:firstLine="200" w:firstLineChars="200"/>
    </w:pPr>
    <w:rPr>
      <w:rFonts w:ascii="Times New Roman" w:hAnsi="Times New Roman" w:eastAsia="仿宋"/>
      <w:sz w:val="24"/>
      <w:szCs w:val="22"/>
    </w:rPr>
  </w:style>
  <w:style w:type="paragraph" w:customStyle="1" w:styleId="1632">
    <w:name w:val=" Char Char1 Char Char Char Char Char Char Char Char Char Char Char Char Char Char Char Char Char Char Char Char Char Char Char Char Char"/>
    <w:basedOn w:val="1"/>
    <w:uiPriority w:val="0"/>
  </w:style>
  <w:style w:type="paragraph" w:customStyle="1" w:styleId="1633">
    <w:name w:val="正文 New New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634">
    <w:name w:val="表格 23"/>
    <w:basedOn w:val="1"/>
    <w:uiPriority w:val="0"/>
    <w:pPr>
      <w:autoSpaceDE w:val="0"/>
      <w:autoSpaceDN w:val="0"/>
      <w:adjustRightInd w:val="0"/>
      <w:spacing w:line="360" w:lineRule="auto"/>
      <w:ind w:firstLine="200" w:firstLineChars="200"/>
      <w:jc w:val="center"/>
    </w:pPr>
    <w:rPr>
      <w:rFonts w:eastAsia="仿宋体"/>
      <w:kern w:val="0"/>
      <w:sz w:val="24"/>
    </w:rPr>
  </w:style>
  <w:style w:type="paragraph" w:customStyle="1" w:styleId="1635">
    <w:name w:val="麦志勤表格标题"/>
    <w:basedOn w:val="1"/>
    <w:uiPriority w:val="0"/>
    <w:pPr>
      <w:adjustRightInd w:val="0"/>
      <w:snapToGrid w:val="0"/>
      <w:spacing w:before="156" w:beforeLines="50" w:after="62" w:afterLines="20" w:line="300" w:lineRule="auto"/>
      <w:jc w:val="center"/>
    </w:pPr>
    <w:rPr>
      <w:rFonts w:ascii="宋体" w:hAnsi="宋体"/>
      <w:sz w:val="24"/>
      <w:szCs w:val="20"/>
    </w:rPr>
  </w:style>
  <w:style w:type="paragraph" w:customStyle="1" w:styleId="1636">
    <w:name w:val="样式 标题 2标题 21标题 121 + Times New Roman 小三 非加粗 黑色 段前: 8 磅 段...3"/>
    <w:basedOn w:val="1"/>
    <w:uiPriority w:val="0"/>
    <w:pPr>
      <w:tabs>
        <w:tab w:val="left" w:pos="1320"/>
      </w:tabs>
      <w:ind w:left="1320" w:hanging="420"/>
    </w:pPr>
    <w:rPr>
      <w:sz w:val="28"/>
    </w:rPr>
  </w:style>
  <w:style w:type="paragraph" w:customStyle="1" w:styleId="1637">
    <w:name w:val="样式 样式 标题 3 + 宋体 黑色 首行缩进:  2 字符 段前: 6 磅 段后: 6 磅 行距: 最小值 24 磅 + 首行..."/>
    <w:basedOn w:val="1638"/>
    <w:uiPriority w:val="0"/>
    <w:pPr>
      <w:ind w:firstLine="562"/>
    </w:pPr>
    <w:rPr>
      <w:rFonts w:ascii="Times New Roman" w:hAnsi="Times New Roman"/>
    </w:rPr>
  </w:style>
  <w:style w:type="paragraph" w:customStyle="1" w:styleId="1638">
    <w:name w:val="样式 标题 3 + 宋体 黑色 首行缩进:  2 字符 段前: 6 磅 段后: 6 磅 行距: 最小值 24 磅"/>
    <w:basedOn w:val="7"/>
    <w:uiPriority w:val="0"/>
    <w:pPr>
      <w:adjustRightInd w:val="0"/>
      <w:snapToGrid w:val="0"/>
      <w:spacing w:before="120" w:after="120" w:line="480" w:lineRule="atLeast"/>
      <w:ind w:firstLine="200" w:firstLineChars="200"/>
    </w:pPr>
    <w:rPr>
      <w:rFonts w:ascii="宋体" w:hAnsi="宋体" w:eastAsia="黑体"/>
      <w:bCs w:val="0"/>
      <w:color w:val="000000"/>
      <w:sz w:val="28"/>
      <w:szCs w:val="20"/>
    </w:rPr>
  </w:style>
  <w:style w:type="paragraph" w:customStyle="1" w:styleId="1639">
    <w:name w:val="责任页"/>
    <w:basedOn w:val="1"/>
    <w:uiPriority w:val="0"/>
    <w:pPr>
      <w:snapToGrid w:val="0"/>
      <w:spacing w:line="300" w:lineRule="auto"/>
    </w:pPr>
    <w:rPr>
      <w:rFonts w:ascii="楷体_GB2312" w:eastAsia="楷体_GB2312"/>
      <w:b/>
      <w:sz w:val="28"/>
      <w:szCs w:val="28"/>
    </w:rPr>
  </w:style>
  <w:style w:type="paragraph" w:customStyle="1" w:styleId="1640">
    <w:name w:val="表格2"/>
    <w:basedOn w:val="1"/>
    <w:next w:val="1"/>
    <w:uiPriority w:val="0"/>
    <w:pPr>
      <w:topLinePunct/>
      <w:autoSpaceDE w:val="0"/>
      <w:autoSpaceDN w:val="0"/>
      <w:adjustRightInd w:val="0"/>
      <w:jc w:val="center"/>
      <w:textAlignment w:val="baseline"/>
    </w:pPr>
    <w:rPr>
      <w:rFonts w:eastAsia="仿宋体"/>
      <w:kern w:val="0"/>
      <w:sz w:val="24"/>
      <w:szCs w:val="20"/>
    </w:rPr>
  </w:style>
  <w:style w:type="paragraph" w:customStyle="1" w:styleId="1641">
    <w:name w:val="Char Char Char1 Char Char Char Char Char Char Char Char Char Char Char Char Char Char Char Char Char Char Char Char Char Char Char Char Char Char Char Char Char Char Char"/>
    <w:basedOn w:val="1"/>
    <w:uiPriority w:val="0"/>
  </w:style>
  <w:style w:type="paragraph" w:customStyle="1" w:styleId="1642">
    <w:name w:val="魏秀珍标题4"/>
    <w:basedOn w:val="8"/>
    <w:uiPriority w:val="0"/>
    <w:pPr>
      <w:adjustRightInd w:val="0"/>
      <w:snapToGrid w:val="0"/>
      <w:spacing w:before="120" w:beforeLines="0" w:after="120" w:afterLines="0" w:line="360" w:lineRule="auto"/>
      <w:jc w:val="left"/>
    </w:pPr>
    <w:rPr>
      <w:rFonts w:ascii="Times New Roman" w:hAnsi="Times New Roman"/>
      <w:bCs/>
      <w:sz w:val="24"/>
      <w:szCs w:val="24"/>
    </w:rPr>
  </w:style>
  <w:style w:type="paragraph" w:customStyle="1" w:styleId="1643">
    <w:name w:val="Char Char Char Char Char Char Char Char Char Char Char Char1"/>
    <w:basedOn w:val="1"/>
    <w:uiPriority w:val="0"/>
    <w:pPr>
      <w:spacing w:line="360" w:lineRule="auto"/>
      <w:ind w:firstLine="200" w:firstLineChars="200"/>
    </w:pPr>
    <w:rPr>
      <w:rFonts w:ascii="宋体" w:hAnsi="宋体" w:cs="宋体"/>
      <w:sz w:val="24"/>
    </w:rPr>
  </w:style>
  <w:style w:type="paragraph" w:customStyle="1" w:styleId="1644">
    <w:name w:val="_Style 2"/>
    <w:uiPriority w:val="0"/>
    <w:pPr>
      <w:widowControl w:val="0"/>
      <w:jc w:val="both"/>
    </w:pPr>
    <w:rPr>
      <w:kern w:val="2"/>
      <w:sz w:val="21"/>
      <w:szCs w:val="22"/>
      <w:lang w:val="en-US" w:eastAsia="zh-CN" w:bidi="ar-SA"/>
    </w:rPr>
  </w:style>
  <w:style w:type="paragraph" w:customStyle="1" w:styleId="1645">
    <w:name w:val="图"/>
    <w:basedOn w:val="1"/>
    <w:uiPriority w:val="0"/>
    <w:pPr>
      <w:widowControl/>
      <w:tabs>
        <w:tab w:val="left" w:pos="352"/>
      </w:tabs>
      <w:overflowPunct w:val="0"/>
      <w:autoSpaceDE w:val="0"/>
      <w:autoSpaceDN w:val="0"/>
      <w:adjustRightInd w:val="0"/>
      <w:jc w:val="center"/>
      <w:textAlignment w:val="bottom"/>
    </w:pPr>
    <w:rPr>
      <w:rFonts w:ascii="宋体" w:hAnsi="宋体"/>
      <w:kern w:val="0"/>
      <w:szCs w:val="20"/>
    </w:rPr>
  </w:style>
  <w:style w:type="paragraph" w:customStyle="1" w:styleId="1646">
    <w:name w:val="华2，标题2，黑体3号"/>
    <w:basedOn w:val="1618"/>
    <w:next w:val="1618"/>
    <w:uiPriority w:val="0"/>
    <w:pPr>
      <w:spacing w:before="60" w:beforeLines="0"/>
      <w:jc w:val="left"/>
      <w:outlineLvl w:val="1"/>
    </w:pPr>
    <w:rPr>
      <w:rFonts w:ascii="黑体" w:hAnsi="Arial" w:eastAsia="黑体"/>
      <w:lang w:val="en-US"/>
    </w:rPr>
  </w:style>
  <w:style w:type="paragraph" w:customStyle="1" w:styleId="1647">
    <w:name w:val="封面1"/>
    <w:basedOn w:val="1"/>
    <w:uiPriority w:val="0"/>
    <w:pPr>
      <w:spacing w:line="300" w:lineRule="auto"/>
      <w:jc w:val="left"/>
    </w:pPr>
    <w:rPr>
      <w:b/>
      <w:bCs/>
      <w:color w:val="000000"/>
      <w:sz w:val="32"/>
      <w:bdr w:val="single" w:color="auto" w:sz="4" w:space="0"/>
    </w:rPr>
  </w:style>
  <w:style w:type="paragraph" w:customStyle="1" w:styleId="1648">
    <w:name w:val="圆点"/>
    <w:uiPriority w:val="0"/>
    <w:pPr>
      <w:tabs>
        <w:tab w:val="left" w:pos="425"/>
        <w:tab w:val="left" w:pos="1242"/>
      </w:tabs>
      <w:snapToGrid w:val="0"/>
      <w:spacing w:line="360" w:lineRule="auto"/>
      <w:ind w:left="1196" w:hanging="476"/>
    </w:pPr>
    <w:rPr>
      <w:rFonts w:ascii="宋体" w:hAnsi="宋体"/>
      <w:snapToGrid w:val="0"/>
      <w:sz w:val="24"/>
      <w:lang w:val="en-US" w:eastAsia="zh-CN" w:bidi="ar-SA"/>
    </w:rPr>
  </w:style>
  <w:style w:type="paragraph" w:customStyle="1" w:styleId="1649">
    <w:name w:val="二级标题 Char Char Char"/>
    <w:basedOn w:val="1"/>
    <w:next w:val="1"/>
    <w:uiPriority w:val="0"/>
    <w:pPr>
      <w:spacing w:line="529" w:lineRule="exact"/>
      <w:ind w:firstLine="200" w:firstLineChars="200"/>
    </w:pPr>
    <w:rPr>
      <w:rFonts w:ascii="宋体" w:hAnsi="宋体" w:cs="宋体"/>
      <w:sz w:val="24"/>
    </w:rPr>
  </w:style>
  <w:style w:type="paragraph" w:customStyle="1" w:styleId="1650">
    <w:name w:val="样式 纯文本 + 首行缩进:  2 字符 Char Char Char Char Char Char Char Char Char Char Char Char Char Char Char Char Char Char Char Char Char Char Char Char"/>
    <w:basedOn w:val="47"/>
    <w:uiPriority w:val="0"/>
    <w:pPr>
      <w:spacing w:line="360" w:lineRule="auto"/>
    </w:pPr>
    <w:rPr>
      <w:rFonts w:cs="Times New Roman"/>
      <w:kern w:val="0"/>
      <w:szCs w:val="20"/>
    </w:rPr>
  </w:style>
  <w:style w:type="paragraph" w:customStyle="1" w:styleId="1651">
    <w:name w:val="样式 宋体 13.5 磅 首行缩进:  1.1 厘米 行距: 1.5 倍行距"/>
    <w:basedOn w:val="1"/>
    <w:uiPriority w:val="0"/>
    <w:pPr>
      <w:spacing w:line="360" w:lineRule="auto"/>
      <w:ind w:firstLine="560" w:firstLineChars="200"/>
    </w:pPr>
    <w:rPr>
      <w:kern w:val="20"/>
      <w:sz w:val="28"/>
      <w:szCs w:val="20"/>
    </w:rPr>
  </w:style>
  <w:style w:type="paragraph" w:customStyle="1" w:styleId="1652">
    <w:name w:val="环标3"/>
    <w:basedOn w:val="1461"/>
    <w:next w:val="1461"/>
    <w:uiPriority w:val="0"/>
    <w:pPr>
      <w:keepNext/>
      <w:keepLines/>
      <w:tabs>
        <w:tab w:val="left" w:pos="5094"/>
      </w:tabs>
      <w:suppressAutoHyphens w:val="0"/>
      <w:spacing w:line="312" w:lineRule="atLeast"/>
      <w:ind w:right="-11" w:firstLine="0" w:firstLineChars="0"/>
      <w:outlineLvl w:val="2"/>
    </w:pPr>
    <w:rPr>
      <w:rFonts w:cs="Times New Roman"/>
      <w:kern w:val="0"/>
      <w:sz w:val="24"/>
      <w:szCs w:val="20"/>
    </w:rPr>
  </w:style>
  <w:style w:type="paragraph" w:customStyle="1" w:styleId="1653">
    <w:name w:val="标题1"/>
    <w:basedOn w:val="1"/>
    <w:uiPriority w:val="0"/>
    <w:pPr>
      <w:spacing w:line="360" w:lineRule="auto"/>
    </w:pPr>
    <w:rPr>
      <w:rFonts w:ascii="宋体" w:hAnsi="宋体"/>
      <w:sz w:val="24"/>
    </w:rPr>
  </w:style>
  <w:style w:type="paragraph" w:customStyle="1" w:styleId="1654">
    <w:name w:val="样式 样式 段前: 4.65 磅 行距: 多倍行距 1.15 字行 + 首行缩进:  2 字符"/>
    <w:basedOn w:val="1"/>
    <w:uiPriority w:val="0"/>
    <w:pPr>
      <w:spacing w:before="93" w:beforeLines="0" w:line="312" w:lineRule="auto"/>
      <w:ind w:firstLine="200" w:firstLineChars="200"/>
    </w:pPr>
    <w:rPr>
      <w:rFonts w:cs="宋体"/>
      <w:sz w:val="24"/>
      <w:szCs w:val="20"/>
    </w:rPr>
  </w:style>
  <w:style w:type="paragraph" w:customStyle="1" w:styleId="1655">
    <w:name w:val="xl45"/>
    <w:basedOn w:val="1"/>
    <w:uiPriority w:val="0"/>
    <w:pPr>
      <w:widowControl/>
      <w:pBdr>
        <w:left w:val="single" w:color="auto" w:sz="8" w:space="0"/>
        <w:bottom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1656">
    <w:name w:val="Char Char2 Char Char"/>
    <w:basedOn w:val="1"/>
    <w:uiPriority w:val="0"/>
    <w:pPr>
      <w:keepNext/>
      <w:keepLines/>
      <w:spacing w:before="340" w:after="330" w:line="578" w:lineRule="auto"/>
      <w:outlineLvl w:val="0"/>
    </w:pPr>
    <w:rPr>
      <w:rFonts w:eastAsia="黑体"/>
      <w:bCs/>
      <w:spacing w:val="20"/>
      <w:kern w:val="72"/>
      <w:sz w:val="30"/>
      <w:szCs w:val="30"/>
    </w:rPr>
  </w:style>
  <w:style w:type="paragraph" w:customStyle="1" w:styleId="1657">
    <w:name w:val="样式 图表 + 首行缩进:  2 字符1"/>
    <w:basedOn w:val="1"/>
    <w:uiPriority w:val="0"/>
    <w:pPr>
      <w:adjustRightInd w:val="0"/>
      <w:snapToGrid w:val="0"/>
      <w:spacing w:beforeLines="20" w:afterLines="20"/>
      <w:ind w:left="-102" w:leftChars="-50" w:right="-105" w:rightChars="-50" w:hanging="3"/>
      <w:jc w:val="center"/>
    </w:pPr>
    <w:rPr>
      <w:rFonts w:ascii="宋体" w:hAnsi="Times New Roman" w:eastAsia="仿宋_GB2312"/>
      <w:color w:val="000000"/>
      <w:kern w:val="0"/>
      <w:sz w:val="34"/>
      <w:szCs w:val="20"/>
    </w:rPr>
  </w:style>
  <w:style w:type="paragraph" w:customStyle="1" w:styleId="1658">
    <w:name w:val="样式 标题 3ReHead 3 WSAh3h3 Char + 左侧:  0 厘米 行距: 1.5 倍行距"/>
    <w:basedOn w:val="7"/>
    <w:uiPriority w:val="0"/>
    <w:pPr>
      <w:numPr>
        <w:ilvl w:val="0"/>
        <w:numId w:val="0"/>
      </w:numPr>
      <w:tabs>
        <w:tab w:val="left" w:pos="720"/>
      </w:tabs>
      <w:adjustRightInd w:val="0"/>
      <w:snapToGrid w:val="0"/>
      <w:spacing w:before="100" w:beforeLines="0" w:beforeAutospacing="1" w:after="100" w:afterLines="0" w:afterAutospacing="1" w:line="360" w:lineRule="auto"/>
      <w:ind w:left="720" w:hanging="720"/>
      <w:textAlignment w:val="baseline"/>
    </w:pPr>
    <w:rPr>
      <w:rFonts w:ascii="宋体" w:cs="宋体"/>
      <w:kern w:val="0"/>
      <w:sz w:val="24"/>
      <w:szCs w:val="20"/>
    </w:rPr>
  </w:style>
  <w:style w:type="paragraph" w:customStyle="1" w:styleId="1659">
    <w:name w:val="样式 标题 4 + 首行缩进:  2 字符1"/>
    <w:basedOn w:val="8"/>
    <w:uiPriority w:val="0"/>
    <w:pPr>
      <w:adjustRightInd w:val="0"/>
      <w:snapToGrid w:val="0"/>
      <w:spacing w:before="0" w:after="0" w:line="480" w:lineRule="atLeast"/>
      <w:ind w:firstLine="480" w:firstLineChars="200"/>
    </w:pPr>
    <w:rPr>
      <w:rFonts w:eastAsia="宋体"/>
      <w:sz w:val="24"/>
    </w:rPr>
  </w:style>
  <w:style w:type="paragraph" w:customStyle="1" w:styleId="1660">
    <w:name w:val="表内小四中"/>
    <w:uiPriority w:val="0"/>
    <w:pPr>
      <w:adjustRightInd w:val="0"/>
      <w:ind w:left="-50"/>
      <w:jc w:val="center"/>
      <w:textAlignment w:val="baseline"/>
    </w:pPr>
    <w:rPr>
      <w:sz w:val="24"/>
      <w:lang w:val="en-US" w:eastAsia="zh-CN" w:bidi="ar-SA"/>
    </w:rPr>
  </w:style>
  <w:style w:type="paragraph" w:customStyle="1" w:styleId="1661">
    <w:name w:val="Char Char Char Char Char Char1 Char1 Char Char Char Char Char Char1"/>
    <w:basedOn w:val="1"/>
    <w:uiPriority w:val="0"/>
    <w:pPr>
      <w:ind w:left="510"/>
    </w:pPr>
    <w:rPr>
      <w:szCs w:val="21"/>
    </w:rPr>
  </w:style>
  <w:style w:type="paragraph" w:customStyle="1" w:styleId="1662">
    <w:name w:val=" Char1 Char Char1 Char"/>
    <w:basedOn w:val="1"/>
    <w:uiPriority w:val="0"/>
    <w:pPr>
      <w:adjustRightInd w:val="0"/>
      <w:snapToGrid w:val="0"/>
      <w:spacing w:line="400" w:lineRule="exact"/>
      <w:ind w:firstLine="200" w:firstLineChars="200"/>
    </w:pPr>
    <w:rPr>
      <w:sz w:val="24"/>
      <w:szCs w:val="20"/>
    </w:rPr>
  </w:style>
  <w:style w:type="paragraph" w:customStyle="1" w:styleId="1663">
    <w:name w:val="修订11"/>
    <w:uiPriority w:val="0"/>
    <w:rPr>
      <w:kern w:val="2"/>
      <w:sz w:val="24"/>
      <w:lang w:val="en-US" w:eastAsia="zh-CN" w:bidi="ar-SA"/>
    </w:rPr>
  </w:style>
  <w:style w:type="paragraph" w:customStyle="1" w:styleId="1664">
    <w:name w:val="麦志勤正文"/>
    <w:basedOn w:val="1"/>
    <w:uiPriority w:val="0"/>
    <w:pPr>
      <w:adjustRightInd w:val="0"/>
      <w:snapToGrid w:val="0"/>
      <w:spacing w:before="62" w:beforeLines="20" w:line="300" w:lineRule="auto"/>
      <w:ind w:firstLine="200" w:firstLineChars="200"/>
    </w:pPr>
    <w:rPr>
      <w:rFonts w:ascii="宋体" w:hAnsi="宋体"/>
      <w:sz w:val="24"/>
      <w:szCs w:val="20"/>
    </w:rPr>
  </w:style>
  <w:style w:type="paragraph" w:customStyle="1" w:styleId="1665">
    <w:name w:val="节名"/>
    <w:basedOn w:val="1"/>
    <w:uiPriority w:val="0"/>
    <w:pPr>
      <w:adjustRightInd w:val="0"/>
      <w:spacing w:line="360" w:lineRule="auto"/>
      <w:textAlignment w:val="baseline"/>
    </w:pPr>
    <w:rPr>
      <w:rFonts w:eastAsia="黑体"/>
      <w:b/>
      <w:kern w:val="0"/>
      <w:sz w:val="28"/>
      <w:szCs w:val="20"/>
    </w:rPr>
  </w:style>
  <w:style w:type="paragraph" w:customStyle="1" w:styleId="1666">
    <w:name w:val="样式 正文（首行缩进两字） + 宋体 小四 加粗 行距: 固定值 24 磅"/>
    <w:basedOn w:val="10"/>
    <w:uiPriority w:val="0"/>
    <w:pPr>
      <w:adjustRightInd w:val="0"/>
      <w:spacing w:line="480" w:lineRule="exact"/>
      <w:ind w:firstLine="480"/>
    </w:pPr>
    <w:rPr>
      <w:rFonts w:hint="eastAsia" w:ascii="宋体" w:hAnsi="宋体"/>
      <w:kern w:val="0"/>
      <w:sz w:val="24"/>
      <w:szCs w:val="20"/>
      <w:lang w:val="en-GB"/>
    </w:rPr>
  </w:style>
  <w:style w:type="paragraph" w:customStyle="1" w:styleId="1667">
    <w:name w:val="报告标题2"/>
    <w:basedOn w:val="6"/>
    <w:uiPriority w:val="0"/>
    <w:pPr>
      <w:tabs>
        <w:tab w:val="left" w:pos="0"/>
      </w:tabs>
      <w:spacing w:beforeLines="50" w:after="0" w:line="360" w:lineRule="auto"/>
      <w:jc w:val="left"/>
    </w:pPr>
    <w:rPr>
      <w:rFonts w:eastAsia="宋体"/>
      <w:bCs w:val="0"/>
      <w:color w:val="000000"/>
      <w:sz w:val="28"/>
    </w:rPr>
  </w:style>
  <w:style w:type="paragraph" w:customStyle="1" w:styleId="1668">
    <w:name w:val="封面4"/>
    <w:basedOn w:val="1"/>
    <w:uiPriority w:val="0"/>
    <w:pPr>
      <w:snapToGrid w:val="0"/>
      <w:jc w:val="center"/>
    </w:pPr>
    <w:rPr>
      <w:b/>
      <w:bCs/>
      <w:color w:val="000000"/>
      <w:sz w:val="36"/>
      <w:bdr w:val="single" w:color="auto" w:sz="4" w:space="0"/>
    </w:rPr>
  </w:style>
  <w:style w:type="paragraph" w:customStyle="1" w:styleId="1669">
    <w:name w:val=" Char Char1 Char Char Char Char Char Char Char Char Char Char Char Char Char Char Char Char Char Char Char Char Char Char Char Char Char Char Char Char Char Char1 Char"/>
    <w:basedOn w:val="1"/>
    <w:uiPriority w:val="0"/>
  </w:style>
  <w:style w:type="paragraph" w:customStyle="1" w:styleId="1670">
    <w:name w:val="样式 宋体 小四 行距: 1.5 倍行距"/>
    <w:basedOn w:val="1"/>
    <w:uiPriority w:val="0"/>
    <w:pPr>
      <w:spacing w:line="360" w:lineRule="auto"/>
      <w:ind w:firstLine="480" w:firstLineChars="200"/>
    </w:pPr>
    <w:rPr>
      <w:rFonts w:ascii="宋体" w:hAnsi="宋体" w:cs="宋体"/>
      <w:sz w:val="24"/>
      <w:szCs w:val="20"/>
    </w:rPr>
  </w:style>
  <w:style w:type="paragraph" w:customStyle="1" w:styleId="1671">
    <w:name w:val="样式 标题 1标题 1 CharHead 1wsa一、标题 111h1Part'DocumentH1标题一文..."/>
    <w:basedOn w:val="5"/>
    <w:uiPriority w:val="0"/>
    <w:pPr>
      <w:keepLines w:val="0"/>
      <w:spacing w:before="240" w:beforeLines="0" w:after="240" w:afterLines="0" w:line="360" w:lineRule="auto"/>
      <w:jc w:val="center"/>
    </w:pPr>
    <w:rPr>
      <w:rFonts w:eastAsia="黑体"/>
      <w:b w:val="0"/>
      <w:kern w:val="2"/>
      <w:sz w:val="32"/>
      <w:szCs w:val="24"/>
    </w:rPr>
  </w:style>
  <w:style w:type="paragraph" w:customStyle="1" w:styleId="1672">
    <w:name w:val="Char Char Char1"/>
    <w:basedOn w:val="1"/>
    <w:uiPriority w:val="0"/>
    <w:pPr>
      <w:spacing w:before="312" w:beforeLines="100"/>
    </w:pPr>
  </w:style>
  <w:style w:type="paragraph" w:customStyle="1" w:styleId="1673">
    <w:name w:val="Char1 Char Char Char1"/>
    <w:basedOn w:val="1"/>
    <w:uiPriority w:val="0"/>
    <w:pPr>
      <w:snapToGrid w:val="0"/>
      <w:spacing w:line="360" w:lineRule="auto"/>
      <w:ind w:firstLine="529" w:firstLineChars="200"/>
    </w:pPr>
    <w:rPr>
      <w:rFonts w:ascii="宋体" w:hAnsi="宋体"/>
      <w:b/>
      <w:szCs w:val="20"/>
    </w:rPr>
  </w:style>
  <w:style w:type="paragraph" w:customStyle="1" w:styleId="1674">
    <w:name w:val=" Char Char Char Char Char Char Char Char Char Char Char Char Char Char Char Char Char Char Char Char Char Char Char Char Char Char Char Char Char Char Char Char Char Char Char Char Char"/>
    <w:basedOn w:val="1"/>
    <w:uiPriority w:val="0"/>
    <w:pPr>
      <w:spacing w:line="480" w:lineRule="exact"/>
    </w:pPr>
  </w:style>
  <w:style w:type="paragraph" w:customStyle="1" w:styleId="1675">
    <w:name w:val="可研-表格标题"/>
    <w:basedOn w:val="1413"/>
    <w:next w:val="1412"/>
    <w:uiPriority w:val="0"/>
    <w:pPr>
      <w:ind w:firstLine="0" w:firstLineChars="0"/>
      <w:jc w:val="center"/>
    </w:pPr>
    <w:rPr>
      <w:b/>
      <w:sz w:val="24"/>
    </w:rPr>
  </w:style>
  <w:style w:type="paragraph" w:customStyle="1" w:styleId="1676">
    <w:name w:val="_Style 59"/>
    <w:basedOn w:val="1"/>
    <w:uiPriority w:val="0"/>
    <w:pPr>
      <w:widowControl/>
      <w:spacing w:after="160" w:line="240" w:lineRule="exact"/>
      <w:jc w:val="left"/>
    </w:pPr>
    <w:rPr>
      <w:rFonts w:ascii="Times New Roman" w:hAnsi="Times New Roman"/>
    </w:rPr>
  </w:style>
  <w:style w:type="paragraph" w:customStyle="1" w:styleId="1677">
    <w:name w:val="二级"/>
    <w:basedOn w:val="1"/>
    <w:uiPriority w:val="0"/>
    <w:pPr>
      <w:spacing w:line="600" w:lineRule="exact"/>
    </w:pPr>
    <w:rPr>
      <w:b/>
      <w:bCs/>
      <w:sz w:val="32"/>
    </w:rPr>
  </w:style>
  <w:style w:type="paragraph" w:customStyle="1" w:styleId="1678">
    <w:name w:val="银洲湖石化基地表"/>
    <w:basedOn w:val="1"/>
    <w:uiPriority w:val="0"/>
    <w:pPr>
      <w:autoSpaceDE w:val="0"/>
      <w:autoSpaceDN w:val="0"/>
      <w:adjustRightInd w:val="0"/>
      <w:spacing w:line="0" w:lineRule="atLeast"/>
      <w:jc w:val="center"/>
      <w:textAlignment w:val="center"/>
    </w:pPr>
    <w:rPr>
      <w:kern w:val="0"/>
      <w:szCs w:val="21"/>
    </w:rPr>
  </w:style>
  <w:style w:type="paragraph" w:customStyle="1" w:styleId="1679">
    <w:name w:val="样式 宋体 小四 首行缩进:  0.85 厘米 行距: 多倍行距 1.75 字行"/>
    <w:basedOn w:val="1"/>
    <w:uiPriority w:val="0"/>
    <w:pPr>
      <w:adjustRightInd w:val="0"/>
      <w:spacing w:line="360" w:lineRule="auto"/>
      <w:ind w:firstLine="340"/>
    </w:pPr>
    <w:rPr>
      <w:rFonts w:ascii="宋体" w:hAnsi="宋体"/>
      <w:sz w:val="24"/>
      <w:szCs w:val="20"/>
    </w:rPr>
  </w:style>
  <w:style w:type="paragraph" w:customStyle="1" w:styleId="1680">
    <w:name w:val="环科院表格文字"/>
    <w:basedOn w:val="1"/>
    <w:uiPriority w:val="0"/>
    <w:pPr>
      <w:jc w:val="center"/>
    </w:pPr>
    <w:rPr>
      <w:rFonts w:ascii="Times New Roman" w:hAnsi="宋体"/>
      <w:sz w:val="18"/>
      <w:szCs w:val="18"/>
    </w:rPr>
  </w:style>
  <w:style w:type="paragraph" w:customStyle="1" w:styleId="1681">
    <w:name w:val="样式 样式9 + 首行缩进:  2 字符"/>
    <w:basedOn w:val="1"/>
    <w:uiPriority w:val="0"/>
    <w:pPr>
      <w:spacing w:line="360" w:lineRule="auto"/>
      <w:ind w:firstLine="480" w:firstLineChars="200"/>
    </w:pPr>
    <w:rPr>
      <w:sz w:val="24"/>
      <w:szCs w:val="20"/>
    </w:rPr>
  </w:style>
  <w:style w:type="paragraph" w:customStyle="1" w:styleId="1682">
    <w:name w:val="Char Char Char1 Char11"/>
    <w:basedOn w:val="1"/>
    <w:uiPriority w:val="0"/>
    <w:pPr>
      <w:widowControl/>
      <w:jc w:val="left"/>
    </w:pPr>
    <w:rPr>
      <w:rFonts w:ascii="宋体" w:hAnsi="宋体" w:cs="宋体"/>
      <w:kern w:val="0"/>
      <w:sz w:val="24"/>
    </w:rPr>
  </w:style>
  <w:style w:type="paragraph" w:customStyle="1" w:styleId="1683">
    <w:name w:val="正文 New New New New New New New New New New New New"/>
    <w:uiPriority w:val="0"/>
    <w:pPr>
      <w:widowControl w:val="0"/>
      <w:jc w:val="both"/>
    </w:pPr>
    <w:rPr>
      <w:kern w:val="2"/>
      <w:sz w:val="21"/>
      <w:szCs w:val="24"/>
      <w:lang w:val="en-US" w:eastAsia="zh-CN" w:bidi="ar-SA"/>
    </w:rPr>
  </w:style>
  <w:style w:type="paragraph" w:customStyle="1" w:styleId="1684">
    <w:name w:val="text"/>
    <w:basedOn w:val="1"/>
    <w:uiPriority w:val="0"/>
    <w:pPr>
      <w:widowControl/>
      <w:overflowPunct w:val="0"/>
      <w:autoSpaceDE w:val="0"/>
      <w:autoSpaceDN w:val="0"/>
      <w:adjustRightInd w:val="0"/>
      <w:spacing w:line="360" w:lineRule="auto"/>
      <w:ind w:firstLine="562"/>
      <w:textAlignment w:val="baseline"/>
    </w:pPr>
    <w:rPr>
      <w:rFonts w:ascii="仿宋体" w:eastAsia="仿宋体"/>
      <w:kern w:val="0"/>
      <w:sz w:val="26"/>
      <w:szCs w:val="20"/>
    </w:rPr>
  </w:style>
  <w:style w:type="paragraph" w:customStyle="1" w:styleId="1685">
    <w:name w:val="正文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686">
    <w:name w:val="正文 New"/>
    <w:uiPriority w:val="0"/>
    <w:pPr>
      <w:widowControl w:val="0"/>
      <w:jc w:val="both"/>
    </w:pPr>
    <w:rPr>
      <w:kern w:val="2"/>
      <w:sz w:val="21"/>
      <w:szCs w:val="24"/>
      <w:lang w:val="en-US" w:eastAsia="zh-CN" w:bidi="ar-SA"/>
    </w:rPr>
  </w:style>
  <w:style w:type="paragraph" w:customStyle="1" w:styleId="1687">
    <w:name w:val="Char Char Char Char Char Char Char Char Char Char Char Char Char Char Char Char Char Char Char1"/>
    <w:basedOn w:val="1"/>
    <w:uiPriority w:val="0"/>
    <w:pPr>
      <w:spacing w:line="360" w:lineRule="auto"/>
      <w:ind w:firstLine="200" w:firstLineChars="200"/>
    </w:pPr>
    <w:rPr>
      <w:rFonts w:ascii="宋体" w:hAnsi="宋体"/>
      <w:sz w:val="24"/>
      <w:szCs w:val="20"/>
    </w:rPr>
  </w:style>
  <w:style w:type="paragraph" w:customStyle="1" w:styleId="1688">
    <w:name w:val="环评标题三级"/>
    <w:basedOn w:val="7"/>
    <w:uiPriority w:val="0"/>
    <w:pPr>
      <w:snapToGrid w:val="0"/>
      <w:spacing w:line="413" w:lineRule="auto"/>
    </w:pPr>
    <w:rPr>
      <w:rFonts w:eastAsia="黑体"/>
      <w:bCs w:val="0"/>
      <w:kern w:val="0"/>
      <w:sz w:val="28"/>
      <w:szCs w:val="20"/>
    </w:rPr>
  </w:style>
  <w:style w:type="paragraph" w:customStyle="1" w:styleId="1689">
    <w:name w:val="图表名"/>
    <w:basedOn w:val="1"/>
    <w:uiPriority w:val="0"/>
    <w:pPr>
      <w:spacing w:line="360" w:lineRule="auto"/>
      <w:jc w:val="center"/>
    </w:pPr>
    <w:rPr>
      <w:b/>
      <w:sz w:val="24"/>
    </w:rPr>
  </w:style>
  <w:style w:type="paragraph" w:customStyle="1" w:styleId="1690">
    <w:name w:val="列出段落11"/>
    <w:basedOn w:val="1"/>
    <w:uiPriority w:val="0"/>
    <w:pPr>
      <w:ind w:firstLine="420" w:firstLineChars="200"/>
    </w:pPr>
    <w:rPr>
      <w:rFonts w:ascii="Times New Roman" w:hAnsi="Times New Roman"/>
      <w:szCs w:val="22"/>
    </w:rPr>
  </w:style>
  <w:style w:type="paragraph" w:customStyle="1" w:styleId="1691">
    <w:name w:val="第四层次"/>
    <w:basedOn w:val="6"/>
    <w:uiPriority w:val="0"/>
    <w:pPr>
      <w:spacing w:before="120" w:beforeLines="0" w:line="360" w:lineRule="auto"/>
    </w:pPr>
    <w:rPr>
      <w:rFonts w:ascii="宋体" w:hAnsi="宋体" w:eastAsia="宋体"/>
      <w:sz w:val="24"/>
    </w:rPr>
  </w:style>
  <w:style w:type="paragraph" w:customStyle="1" w:styleId="1692">
    <w:name w:val="7"/>
    <w:basedOn w:val="1"/>
    <w:next w:val="1"/>
    <w:uiPriority w:val="0"/>
    <w:pPr>
      <w:spacing w:line="360" w:lineRule="auto"/>
    </w:pPr>
    <w:rPr>
      <w:sz w:val="24"/>
      <w:szCs w:val="20"/>
    </w:rPr>
  </w:style>
  <w:style w:type="paragraph" w:customStyle="1" w:styleId="1693">
    <w:name w:val="样式 样式 标题 4 + 首行缩进:  2 字符1 + 首行缩进:  2 字符"/>
    <w:basedOn w:val="1659"/>
    <w:uiPriority w:val="0"/>
    <w:pPr>
      <w:ind w:firstLine="482"/>
    </w:pPr>
    <w:rPr>
      <w:rFonts w:ascii="Times New Roman" w:hAnsi="Times New Roman"/>
    </w:rPr>
  </w:style>
  <w:style w:type="paragraph" w:customStyle="1" w:styleId="1694">
    <w:name w:val="正文 t"/>
    <w:basedOn w:val="1"/>
    <w:uiPriority w:val="0"/>
    <w:pPr>
      <w:spacing w:before="120" w:beforeLines="0" w:after="120" w:afterLines="0" w:line="240" w:lineRule="atLeast"/>
    </w:pPr>
    <w:rPr>
      <w:rFonts w:ascii="Arial" w:hAnsi="Arial"/>
      <w:sz w:val="24"/>
      <w:szCs w:val="20"/>
    </w:rPr>
  </w:style>
  <w:style w:type="paragraph" w:customStyle="1" w:styleId="1695">
    <w:name w:val="font5"/>
    <w:basedOn w:val="1"/>
    <w:uiPriority w:val="0"/>
    <w:pPr>
      <w:widowControl/>
      <w:spacing w:before="100" w:beforeLines="0" w:beforeAutospacing="1" w:after="100" w:afterLines="0" w:afterAutospacing="1"/>
      <w:jc w:val="left"/>
    </w:pPr>
    <w:rPr>
      <w:kern w:val="0"/>
      <w:szCs w:val="21"/>
    </w:rPr>
  </w:style>
  <w:style w:type="paragraph" w:customStyle="1" w:styleId="1696">
    <w:name w:val="样式 标题 2标题 21标题 121 + Times New Roman 小三 非加粗 黑色 段前: 8 磅 段..."/>
    <w:basedOn w:val="6"/>
    <w:uiPriority w:val="0"/>
    <w:pPr>
      <w:tabs>
        <w:tab w:val="left" w:pos="360"/>
      </w:tabs>
      <w:spacing w:before="160" w:after="160" w:line="240" w:lineRule="auto"/>
    </w:pPr>
    <w:rPr>
      <w:rFonts w:ascii="Times New Roman" w:hAnsi="Times New Roman"/>
      <w:b w:val="0"/>
      <w:bCs w:val="0"/>
      <w:color w:val="000000"/>
      <w:sz w:val="30"/>
      <w:szCs w:val="20"/>
    </w:rPr>
  </w:style>
  <w:style w:type="paragraph" w:customStyle="1" w:styleId="1697">
    <w:name w:val=" Char Char Char Char Char Char Char Char Char Char Char Char Char Char Char Char Char Char Char Char Char Char Char Char Char Char Char Char"/>
    <w:basedOn w:val="1"/>
    <w:uiPriority w:val="0"/>
    <w:pPr>
      <w:spacing w:line="480" w:lineRule="exact"/>
    </w:pPr>
  </w:style>
  <w:style w:type="paragraph" w:customStyle="1" w:styleId="1698">
    <w:name w:val="标题111"/>
    <w:basedOn w:val="5"/>
    <w:next w:val="1"/>
    <w:uiPriority w:val="0"/>
    <w:pPr>
      <w:keepNext w:val="0"/>
      <w:keepLines w:val="0"/>
      <w:autoSpaceDN w:val="0"/>
      <w:adjustRightInd w:val="0"/>
      <w:snapToGrid w:val="0"/>
      <w:spacing w:before="156" w:beforeLines="50" w:after="156" w:afterLines="50" w:line="520" w:lineRule="exact"/>
      <w:ind w:firstLine="471"/>
      <w:contextualSpacing/>
      <w:textAlignment w:val="baseline"/>
    </w:pPr>
    <w:rPr>
      <w:rFonts w:ascii="黑体" w:hAnsi="Arial" w:eastAsia="黑体"/>
      <w:b w:val="0"/>
      <w:bCs w:val="0"/>
      <w:snapToGrid w:val="0"/>
      <w:kern w:val="2"/>
      <w:sz w:val="36"/>
      <w:szCs w:val="20"/>
      <w:lang w:val="eu-ES"/>
    </w:rPr>
  </w:style>
  <w:style w:type="paragraph" w:customStyle="1" w:styleId="1699">
    <w:name w:val="正文 + (西文) 宋体"/>
    <w:basedOn w:val="1"/>
    <w:uiPriority w:val="0"/>
    <w:pPr>
      <w:tabs>
        <w:tab w:val="left" w:pos="780"/>
      </w:tabs>
      <w:spacing w:line="360" w:lineRule="auto"/>
      <w:ind w:left="780" w:firstLine="510"/>
    </w:pPr>
    <w:rPr>
      <w:rFonts w:ascii="宋体" w:hAnsi="宋体" w:eastAsia="仿宋_GB2312"/>
      <w:sz w:val="24"/>
    </w:rPr>
  </w:style>
  <w:style w:type="paragraph" w:customStyle="1" w:styleId="1700">
    <w:name w:val="表格小五"/>
    <w:basedOn w:val="1"/>
    <w:uiPriority w:val="0"/>
    <w:pPr>
      <w:adjustRightInd w:val="0"/>
      <w:snapToGrid w:val="0"/>
      <w:spacing w:afterLines="30" w:line="240" w:lineRule="atLeast"/>
      <w:ind w:firstLine="510"/>
      <w:jc w:val="left"/>
    </w:pPr>
    <w:rPr>
      <w:rFonts w:ascii="Times New Roman" w:hAnsi="Times New Roman"/>
      <w:spacing w:val="16"/>
      <w:kern w:val="0"/>
      <w:sz w:val="18"/>
      <w:szCs w:val="20"/>
    </w:rPr>
  </w:style>
  <w:style w:type="paragraph" w:customStyle="1" w:styleId="1701">
    <w:name w:val="环科院标题3"/>
    <w:basedOn w:val="7"/>
    <w:uiPriority w:val="0"/>
    <w:pPr>
      <w:spacing w:before="0" w:after="0" w:line="360" w:lineRule="auto"/>
    </w:pPr>
    <w:rPr>
      <w:rFonts w:ascii="宋体" w:hAnsi="宋体"/>
      <w:sz w:val="24"/>
      <w:szCs w:val="24"/>
    </w:rPr>
  </w:style>
  <w:style w:type="paragraph" w:customStyle="1" w:styleId="1702">
    <w:name w:val="正文5"/>
    <w:basedOn w:val="35"/>
    <w:uiPriority w:val="0"/>
    <w:pPr>
      <w:spacing w:after="0" w:afterLines="0" w:line="360" w:lineRule="auto"/>
      <w:ind w:firstLine="200" w:firstLineChars="200"/>
    </w:pPr>
    <w:rPr>
      <w:sz w:val="24"/>
    </w:rPr>
  </w:style>
  <w:style w:type="paragraph" w:customStyle="1" w:styleId="1703">
    <w:name w:val="表标题1"/>
    <w:basedOn w:val="1"/>
    <w:next w:val="1"/>
    <w:uiPriority w:val="0"/>
    <w:pPr>
      <w:spacing w:before="156" w:beforeLines="50" w:after="120" w:afterLines="0" w:line="300" w:lineRule="auto"/>
      <w:jc w:val="center"/>
    </w:pPr>
    <w:rPr>
      <w:color w:val="000000"/>
      <w:sz w:val="24"/>
      <w:szCs w:val="20"/>
    </w:rPr>
  </w:style>
  <w:style w:type="paragraph" w:customStyle="1" w:styleId="1704">
    <w:name w:val="标题4（韶关规划）"/>
    <w:basedOn w:val="8"/>
    <w:uiPriority w:val="0"/>
    <w:pPr>
      <w:adjustRightInd w:val="0"/>
      <w:snapToGrid w:val="0"/>
      <w:spacing w:before="240" w:beforeLines="0" w:after="240" w:afterLines="0" w:line="240" w:lineRule="auto"/>
    </w:pPr>
    <w:rPr>
      <w:rFonts w:ascii="Times New Roman" w:hAnsi="Times New Roman" w:eastAsia="宋体"/>
      <w:kern w:val="0"/>
      <w:szCs w:val="28"/>
    </w:rPr>
  </w:style>
  <w:style w:type="paragraph" w:customStyle="1" w:styleId="1705">
    <w:name w:val="样式 样式 标题 4 + 四号 + 首行缩进:  2 字符"/>
    <w:basedOn w:val="1395"/>
    <w:uiPriority w:val="0"/>
  </w:style>
  <w:style w:type="paragraph" w:customStyle="1" w:styleId="1706">
    <w:name w:val="Char11"/>
    <w:basedOn w:val="1"/>
    <w:uiPriority w:val="0"/>
    <w:rPr>
      <w:rFonts w:ascii="Times New Roman" w:hAnsi="Times New Roman"/>
    </w:rPr>
  </w:style>
  <w:style w:type="paragraph" w:customStyle="1" w:styleId="1707">
    <w:name w:val="s16qcsl240slmult0nowidct"/>
    <w:uiPriority w:val="0"/>
    <w:pPr>
      <w:widowControl w:val="0"/>
      <w:adjustRightInd w:val="0"/>
    </w:pPr>
    <w:rPr>
      <w:sz w:val="21"/>
      <w:lang w:val="en-US" w:eastAsia="zh-CN" w:bidi="ar-SA"/>
    </w:rPr>
  </w:style>
  <w:style w:type="paragraph" w:customStyle="1" w:styleId="1708">
    <w:name w:val="样式 标题 3Heading3SectionMB3标题 3XW3h33rd levelH3l3CT标题 3..."/>
    <w:basedOn w:val="7"/>
    <w:uiPriority w:val="0"/>
    <w:pPr>
      <w:spacing w:before="0" w:after="0" w:line="360" w:lineRule="auto"/>
    </w:pPr>
    <w:rPr>
      <w:rFonts w:ascii="宋体" w:hAnsi="宋体" w:cs="宋体"/>
      <w:sz w:val="28"/>
      <w:szCs w:val="20"/>
    </w:rPr>
  </w:style>
  <w:style w:type="paragraph" w:customStyle="1" w:styleId="1709">
    <w:name w:val="样式 表格2 + Times New Roman"/>
    <w:basedOn w:val="1"/>
    <w:uiPriority w:val="0"/>
    <w:pPr>
      <w:spacing w:before="15" w:beforeLines="5"/>
      <w:jc w:val="center"/>
    </w:pPr>
    <w:rPr>
      <w:rFonts w:eastAsia="Times New Roman"/>
      <w:szCs w:val="20"/>
      <w:lang w:val="zh-CN"/>
    </w:rPr>
  </w:style>
  <w:style w:type="paragraph" w:customStyle="1" w:styleId="1710">
    <w:name w:val="图标题"/>
    <w:basedOn w:val="1"/>
    <w:next w:val="1"/>
    <w:uiPriority w:val="0"/>
    <w:pPr>
      <w:spacing w:before="60" w:beforeLines="0" w:after="120" w:afterLines="0" w:line="400" w:lineRule="atLeast"/>
      <w:ind w:firstLine="510"/>
      <w:jc w:val="center"/>
    </w:pPr>
    <w:rPr>
      <w:b/>
      <w:spacing w:val="2"/>
      <w:sz w:val="24"/>
      <w:szCs w:val="20"/>
    </w:rPr>
  </w:style>
  <w:style w:type="paragraph" w:customStyle="1" w:styleId="1711">
    <w:name w:val="样式 小四 加粗 行距: 1.5 倍行距"/>
    <w:basedOn w:val="1"/>
    <w:uiPriority w:val="0"/>
    <w:pPr>
      <w:spacing w:line="360" w:lineRule="auto"/>
    </w:pPr>
    <w:rPr>
      <w:rFonts w:ascii="宋体" w:hAnsi="Times New Roman" w:cs="宋体"/>
      <w:b/>
      <w:bCs/>
      <w:kern w:val="0"/>
      <w:sz w:val="24"/>
      <w:szCs w:val="20"/>
    </w:rPr>
  </w:style>
  <w:style w:type="paragraph" w:customStyle="1" w:styleId="1712">
    <w:name w:val="附录二级条标题"/>
    <w:basedOn w:val="1"/>
    <w:next w:val="1"/>
    <w:uiPriority w:val="0"/>
    <w:pPr>
      <w:widowControl/>
      <w:tabs>
        <w:tab w:val="left" w:pos="360"/>
        <w:tab w:val="left" w:pos="1680"/>
        <w:tab w:val="left" w:pos="1812"/>
        <w:tab w:val="left" w:pos="2232"/>
      </w:tabs>
      <w:wordWrap w:val="0"/>
      <w:overflowPunct w:val="0"/>
      <w:autoSpaceDE w:val="0"/>
      <w:autoSpaceDN w:val="0"/>
      <w:ind w:left="360" w:hanging="360"/>
      <w:outlineLvl w:val="3"/>
    </w:pPr>
    <w:rPr>
      <w:rFonts w:ascii="黑体" w:hAnsi="Times New Roman" w:eastAsia="黑体"/>
      <w:kern w:val="21"/>
      <w:szCs w:val="20"/>
    </w:rPr>
  </w:style>
  <w:style w:type="paragraph" w:customStyle="1" w:styleId="1713">
    <w:name w:val="样式27"/>
    <w:basedOn w:val="1"/>
    <w:uiPriority w:val="0"/>
    <w:pPr>
      <w:keepNext/>
      <w:keepLines/>
      <w:tabs>
        <w:tab w:val="left" w:pos="360"/>
        <w:tab w:val="left" w:pos="540"/>
        <w:tab w:val="left" w:pos="1476"/>
      </w:tabs>
      <w:spacing w:before="156" w:beforeLines="50" w:after="156" w:afterLines="50" w:line="360" w:lineRule="auto"/>
      <w:ind w:left="1476" w:hanging="1296"/>
      <w:outlineLvl w:val="1"/>
    </w:pPr>
    <w:rPr>
      <w:rFonts w:ascii="宋体" w:hAnsi="宋体" w:eastAsia="黑体"/>
      <w:sz w:val="28"/>
      <w:szCs w:val="28"/>
      <w:lang/>
    </w:rPr>
  </w:style>
  <w:style w:type="paragraph" w:customStyle="1" w:styleId="1714">
    <w:name w:val="xl54"/>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b/>
      <w:kern w:val="0"/>
      <w:sz w:val="36"/>
      <w:szCs w:val="20"/>
    </w:rPr>
  </w:style>
  <w:style w:type="paragraph" w:customStyle="1" w:styleId="1715">
    <w:name w:val="样式 样式 首行缩进:  2 字符1 + 首行缩进:  2 字符"/>
    <w:basedOn w:val="1"/>
    <w:uiPriority w:val="0"/>
    <w:pPr>
      <w:spacing w:line="480" w:lineRule="exact"/>
      <w:ind w:firstLine="200" w:firstLineChars="200"/>
    </w:pPr>
    <w:rPr>
      <w:rFonts w:eastAsia="楷体_GB2312" w:cs="宋体"/>
      <w:sz w:val="24"/>
      <w:szCs w:val="20"/>
    </w:rPr>
  </w:style>
  <w:style w:type="paragraph" w:customStyle="1" w:styleId="1716">
    <w:name w:val="MTDisplayEquation"/>
    <w:basedOn w:val="1"/>
    <w:next w:val="1"/>
    <w:uiPriority w:val="0"/>
    <w:pPr>
      <w:tabs>
        <w:tab w:val="center" w:pos="4160"/>
        <w:tab w:val="right" w:pos="8320"/>
      </w:tabs>
      <w:ind w:firstLine="480"/>
    </w:pPr>
    <w:rPr>
      <w:sz w:val="24"/>
    </w:rPr>
  </w:style>
  <w:style w:type="paragraph" w:customStyle="1" w:styleId="1717">
    <w:name w:val="样式 样式 样式 样式 样式 样式 样式 123 + 自动设置 首行缩进:  2 字符 + 首行缩进:  2 字符 + 黑色 首..."/>
    <w:basedOn w:val="1"/>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cs="宋体"/>
      <w:kern w:val="0"/>
      <w:sz w:val="28"/>
      <w:szCs w:val="28"/>
    </w:rPr>
  </w:style>
  <w:style w:type="paragraph" w:customStyle="1" w:styleId="1718">
    <w:name w:val="列出段落4"/>
    <w:basedOn w:val="1"/>
    <w:uiPriority w:val="0"/>
    <w:pPr>
      <w:ind w:firstLine="420" w:firstLineChars="200"/>
    </w:pPr>
    <w:rPr>
      <w:rFonts w:ascii="Times New Roman" w:hAnsi="Times New Roman"/>
      <w:szCs w:val="20"/>
    </w:rPr>
  </w:style>
  <w:style w:type="paragraph" w:customStyle="1" w:styleId="1719">
    <w:name w:val=" Char Char Char Char Char Char Char Char Char Char Char1 Char Char Char Char Char Char Char"/>
    <w:basedOn w:val="1"/>
    <w:uiPriority w:val="0"/>
    <w:rPr>
      <w:sz w:val="24"/>
    </w:rPr>
  </w:style>
  <w:style w:type="paragraph" w:customStyle="1" w:styleId="1720">
    <w:name w:val="Char Char Char Char Char Char1 Char Char Char"/>
    <w:basedOn w:val="1"/>
    <w:uiPriority w:val="0"/>
    <w:pPr>
      <w:adjustRightInd w:val="0"/>
      <w:spacing w:line="360" w:lineRule="auto"/>
    </w:pPr>
    <w:rPr>
      <w:kern w:val="0"/>
      <w:sz w:val="24"/>
      <w:szCs w:val="20"/>
    </w:rPr>
  </w:style>
  <w:style w:type="paragraph" w:customStyle="1" w:styleId="1721">
    <w:name w:val="图片"/>
    <w:basedOn w:val="1"/>
    <w:uiPriority w:val="0"/>
    <w:pPr>
      <w:tabs>
        <w:tab w:val="left" w:pos="0"/>
      </w:tabs>
      <w:spacing w:before="156" w:beforeLines="50" w:after="156" w:afterLines="50"/>
      <w:jc w:val="center"/>
    </w:pPr>
    <w:rPr>
      <w:rFonts w:ascii="宋体" w:hAnsi="宋体"/>
      <w:sz w:val="24"/>
      <w:szCs w:val="21"/>
      <w:lang w:val="eu-ES"/>
    </w:rPr>
  </w:style>
  <w:style w:type="paragraph" w:customStyle="1" w:styleId="1722">
    <w:name w:val="style17"/>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723">
    <w:name w:val="a封面－项目名称"/>
    <w:basedOn w:val="1"/>
    <w:next w:val="1"/>
    <w:uiPriority w:val="0"/>
    <w:pPr>
      <w:spacing w:beforeLines="50" w:afterLines="50" w:line="360" w:lineRule="auto"/>
      <w:jc w:val="center"/>
    </w:pPr>
    <w:rPr>
      <w:rFonts w:eastAsia="黑体"/>
      <w:b/>
      <w:sz w:val="48"/>
    </w:rPr>
  </w:style>
  <w:style w:type="paragraph" w:customStyle="1" w:styleId="1724">
    <w:name w:val="xl95"/>
    <w:basedOn w:val="1"/>
    <w:uiPriority w:val="0"/>
    <w:pPr>
      <w:widowControl/>
      <w:pBdr>
        <w:top w:val="single" w:color="auto" w:sz="4" w:space="0"/>
        <w:bottom w:val="single" w:color="auto" w:sz="8" w:space="0"/>
      </w:pBdr>
      <w:spacing w:before="100" w:beforeAutospacing="1" w:after="100" w:afterAutospacing="1"/>
      <w:jc w:val="center"/>
    </w:pPr>
    <w:rPr>
      <w:rFonts w:ascii="Times New Roman" w:hAnsi="Times New Roman"/>
      <w:kern w:val="0"/>
      <w:sz w:val="28"/>
      <w:szCs w:val="28"/>
    </w:rPr>
  </w:style>
  <w:style w:type="paragraph" w:customStyle="1" w:styleId="1725">
    <w:name w:val="表头5"/>
    <w:basedOn w:val="1"/>
    <w:uiPriority w:val="0"/>
    <w:pPr>
      <w:tabs>
        <w:tab w:val="left" w:pos="1200"/>
      </w:tabs>
      <w:adjustRightInd w:val="0"/>
      <w:snapToGrid w:val="0"/>
      <w:spacing w:before="312" w:beforeLines="100" w:after="156" w:afterLines="50" w:line="240" w:lineRule="atLeast"/>
      <w:ind w:left="950" w:leftChars="250" w:hanging="720"/>
    </w:pPr>
    <w:rPr>
      <w:b/>
      <w:sz w:val="24"/>
    </w:rPr>
  </w:style>
  <w:style w:type="paragraph" w:customStyle="1" w:styleId="1726">
    <w:name w:val="正文 New New New New New New New New"/>
    <w:uiPriority w:val="0"/>
    <w:pPr>
      <w:widowControl w:val="0"/>
      <w:jc w:val="both"/>
    </w:pPr>
    <w:rPr>
      <w:kern w:val="2"/>
      <w:sz w:val="21"/>
      <w:szCs w:val="24"/>
      <w:lang w:val="en-US" w:eastAsia="zh-CN" w:bidi="ar-SA"/>
    </w:rPr>
  </w:style>
  <w:style w:type="paragraph" w:customStyle="1" w:styleId="1727">
    <w:name w:val="表格样式1"/>
    <w:basedOn w:val="1"/>
    <w:uiPriority w:val="0"/>
    <w:pPr>
      <w:adjustRightInd w:val="0"/>
      <w:spacing w:line="20" w:lineRule="atLeast"/>
      <w:ind w:firstLine="200" w:firstLineChars="200"/>
      <w:jc w:val="center"/>
      <w:textAlignment w:val="baseline"/>
    </w:pPr>
    <w:rPr>
      <w:rFonts w:ascii="宋体" w:hAnsi="宋体"/>
      <w:kern w:val="0"/>
      <w:sz w:val="24"/>
      <w:szCs w:val="20"/>
    </w:rPr>
  </w:style>
  <w:style w:type="paragraph" w:customStyle="1" w:styleId="1728">
    <w:name w:val="样式 宋体 10 磅 左"/>
    <w:basedOn w:val="1"/>
    <w:uiPriority w:val="0"/>
    <w:pPr>
      <w:spacing w:line="460" w:lineRule="exact"/>
      <w:ind w:firstLine="360" w:firstLineChars="150"/>
      <w:jc w:val="left"/>
    </w:pPr>
    <w:rPr>
      <w:rFonts w:ascii="宋体" w:hAnsi="宋体"/>
      <w:kern w:val="0"/>
      <w:sz w:val="24"/>
      <w:szCs w:val="20"/>
    </w:rPr>
  </w:style>
  <w:style w:type="paragraph" w:customStyle="1" w:styleId="1729">
    <w:name w:val=" Char Char1 Char Char Char Char Char Char Char Char Char Char Char Char Char Char Char"/>
    <w:basedOn w:val="1"/>
    <w:uiPriority w:val="0"/>
  </w:style>
  <w:style w:type="paragraph" w:customStyle="1" w:styleId="1730">
    <w:name w:val=" Char Char Char2 Char Char Char Char Char Char Char Char Char Char"/>
    <w:basedOn w:val="1"/>
    <w:uiPriority w:val="0"/>
  </w:style>
  <w:style w:type="paragraph" w:customStyle="1" w:styleId="1731">
    <w:name w:val="样式 小四"/>
    <w:basedOn w:val="1"/>
    <w:uiPriority w:val="0"/>
    <w:pPr>
      <w:tabs>
        <w:tab w:val="left" w:pos="1800"/>
      </w:tabs>
      <w:adjustRightInd w:val="0"/>
      <w:snapToGrid w:val="0"/>
      <w:spacing w:before="156" w:beforeLines="50"/>
      <w:ind w:firstLine="560" w:firstLineChars="200"/>
    </w:pPr>
    <w:rPr>
      <w:rFonts w:ascii="仿宋_GB2312" w:eastAsia="仿宋_GB2312"/>
      <w:sz w:val="28"/>
      <w:szCs w:val="20"/>
    </w:rPr>
  </w:style>
  <w:style w:type="paragraph" w:customStyle="1" w:styleId="1732">
    <w:name w:val="纯文本2"/>
    <w:basedOn w:val="1"/>
    <w:uiPriority w:val="0"/>
    <w:pPr>
      <w:adjustRightInd w:val="0"/>
      <w:textAlignment w:val="baseline"/>
    </w:pPr>
    <w:rPr>
      <w:rFonts w:ascii="Courier New" w:hAnsi="Courier New"/>
      <w:sz w:val="15"/>
      <w:szCs w:val="20"/>
    </w:rPr>
  </w:style>
  <w:style w:type="paragraph" w:customStyle="1" w:styleId="1733">
    <w:name w:val="xl62"/>
    <w:basedOn w:val="1"/>
    <w:uiPriority w:val="0"/>
    <w:pPr>
      <w:widowControl/>
      <w:pBdr>
        <w:bottom w:val="single" w:color="auto" w:sz="4" w:space="0"/>
      </w:pBdr>
      <w:spacing w:before="100" w:after="100"/>
      <w:jc w:val="center"/>
    </w:pPr>
    <w:rPr>
      <w:rFonts w:hint="eastAsia" w:ascii="宋体" w:hAnsi="宋体"/>
      <w:kern w:val="0"/>
      <w:sz w:val="24"/>
      <w:szCs w:val="20"/>
    </w:rPr>
  </w:style>
  <w:style w:type="paragraph" w:customStyle="1" w:styleId="1734">
    <w:name w:val="Normal (Web)"/>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1735">
    <w:name w:val="xl79"/>
    <w:basedOn w:val="1"/>
    <w:uiPriority w:val="0"/>
    <w:pPr>
      <w:widowControl/>
      <w:spacing w:before="100" w:beforeLines="0" w:beforeAutospacing="1" w:after="100" w:afterLines="0" w:afterAutospacing="1"/>
      <w:jc w:val="center"/>
    </w:pPr>
    <w:rPr>
      <w:rFonts w:ascii="Arial" w:hAnsi="Arial" w:cs="Arial"/>
      <w:kern w:val="0"/>
      <w:sz w:val="24"/>
    </w:rPr>
  </w:style>
  <w:style w:type="paragraph" w:customStyle="1" w:styleId="1736">
    <w:name w:val="表格001"/>
    <w:basedOn w:val="1"/>
    <w:uiPriority w:val="0"/>
    <w:pPr>
      <w:jc w:val="center"/>
    </w:pPr>
    <w:rPr>
      <w:rFonts w:ascii="Times New Roman" w:hAnsi="Times New Roman"/>
      <w:sz w:val="24"/>
      <w:szCs w:val="20"/>
    </w:rPr>
  </w:style>
  <w:style w:type="paragraph" w:customStyle="1" w:styleId="1737">
    <w:name w:val="Char Char Char Char Char Char Char1"/>
    <w:basedOn w:val="1"/>
    <w:uiPriority w:val="0"/>
    <w:pPr>
      <w:widowControl/>
      <w:spacing w:after="160" w:line="240" w:lineRule="exact"/>
      <w:jc w:val="left"/>
    </w:pPr>
    <w:rPr>
      <w:szCs w:val="20"/>
    </w:rPr>
  </w:style>
  <w:style w:type="paragraph" w:customStyle="1" w:styleId="1738">
    <w:name w:val="第2层"/>
    <w:basedOn w:val="6"/>
    <w:uiPriority w:val="0"/>
    <w:pPr>
      <w:spacing w:before="0" w:after="0" w:line="560" w:lineRule="exact"/>
    </w:pPr>
    <w:rPr>
      <w:rFonts w:ascii="宋体" w:hAnsi="宋体" w:eastAsia="宋体"/>
      <w:bCs w:val="0"/>
      <w:sz w:val="28"/>
      <w:szCs w:val="20"/>
    </w:rPr>
  </w:style>
  <w:style w:type="paragraph" w:customStyle="1" w:styleId="1739">
    <w:name w:val="Char1 Char Char Char Char Char Char Char Char Char Char Char Char"/>
    <w:basedOn w:val="1"/>
    <w:uiPriority w:val="0"/>
    <w:rPr>
      <w:rFonts w:ascii="Times New Roman" w:hAnsi="Times New Roman"/>
      <w:sz w:val="24"/>
      <w:szCs w:val="20"/>
    </w:rPr>
  </w:style>
  <w:style w:type="paragraph" w:customStyle="1" w:styleId="1740">
    <w:name w:val="WW-正文缩进"/>
    <w:basedOn w:val="1"/>
    <w:uiPriority w:val="0"/>
    <w:pPr>
      <w:suppressAutoHyphens/>
      <w:ind w:firstLine="420"/>
    </w:pPr>
    <w:rPr>
      <w:kern w:val="1"/>
      <w:szCs w:val="20"/>
      <w:lang w:eastAsia="ar-SA"/>
    </w:rPr>
  </w:style>
  <w:style w:type="paragraph" w:customStyle="1" w:styleId="1741">
    <w:name w:val="style7"/>
    <w:basedOn w:val="1"/>
    <w:uiPriority w:val="0"/>
    <w:pPr>
      <w:widowControl/>
      <w:spacing w:before="100" w:beforeLines="0" w:beforeAutospacing="1" w:after="100" w:afterLines="0" w:afterAutospacing="1" w:line="375" w:lineRule="atLeast"/>
      <w:jc w:val="left"/>
    </w:pPr>
    <w:rPr>
      <w:rFonts w:ascii="宋体" w:hAnsi="宋体" w:cs="宋体"/>
      <w:color w:val="000000"/>
      <w:kern w:val="0"/>
      <w:sz w:val="20"/>
      <w:szCs w:val="20"/>
    </w:rPr>
  </w:style>
  <w:style w:type="paragraph" w:customStyle="1" w:styleId="1742">
    <w:name w:val="样式 标题 2 + 段前: 0.5 行 段后: 0.5 行"/>
    <w:basedOn w:val="6"/>
    <w:uiPriority w:val="0"/>
    <w:pPr>
      <w:keepNext w:val="0"/>
      <w:autoSpaceDE w:val="0"/>
      <w:autoSpaceDN w:val="0"/>
      <w:adjustRightInd w:val="0"/>
      <w:snapToGrid w:val="0"/>
      <w:spacing w:before="120" w:beforeLines="0" w:after="1872" w:afterLines="600" w:line="520" w:lineRule="exact"/>
      <w:ind w:firstLine="471"/>
      <w:textAlignment w:val="baseline"/>
    </w:pPr>
    <w:rPr>
      <w:rFonts w:ascii="黑体" w:hAnsi="宋体" w:eastAsia="宋体" w:cs="宋体"/>
      <w:b w:val="0"/>
      <w:snapToGrid w:val="0"/>
      <w:sz w:val="28"/>
      <w:szCs w:val="20"/>
      <w:lang w:val="eu-ES"/>
    </w:rPr>
  </w:style>
  <w:style w:type="paragraph" w:customStyle="1" w:styleId="1743">
    <w:name w:val="xl48"/>
    <w:basedOn w:val="1"/>
    <w:uiPriority w:val="0"/>
    <w:pPr>
      <w:widowControl/>
      <w:pBdr>
        <w:left w:val="single" w:color="auto" w:sz="8" w:space="0"/>
        <w:bottom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1744">
    <w:name w:val="f4"/>
    <w:basedOn w:val="1"/>
    <w:uiPriority w:val="0"/>
    <w:pPr>
      <w:widowControl/>
      <w:spacing w:before="100" w:beforeAutospacing="1" w:after="100" w:afterAutospacing="1"/>
      <w:jc w:val="left"/>
    </w:pPr>
    <w:rPr>
      <w:rFonts w:ascii="宋体" w:hAnsi="宋体"/>
      <w:color w:val="333333"/>
      <w:kern w:val="0"/>
      <w:sz w:val="24"/>
      <w:szCs w:val="20"/>
    </w:rPr>
  </w:style>
  <w:style w:type="paragraph" w:customStyle="1" w:styleId="1745">
    <w:name w:val="Char Char5 Char Char Char Char Char Char Char Char Char Char Char Char Char Char Char1 Char"/>
    <w:basedOn w:val="7"/>
    <w:uiPriority w:val="0"/>
    <w:pPr>
      <w:tabs>
        <w:tab w:val="left" w:pos="360"/>
        <w:tab w:val="left" w:pos="900"/>
      </w:tabs>
      <w:snapToGrid w:val="0"/>
      <w:spacing w:before="120" w:after="120" w:line="360" w:lineRule="auto"/>
      <w:ind w:left="542" w:leftChars="-12" w:firstLine="200" w:firstLineChars="200"/>
      <w:jc w:val="left"/>
    </w:pPr>
    <w:rPr>
      <w:rFonts w:ascii="Arial" w:hAnsi="Arial" w:eastAsia="黑体"/>
      <w:bCs w:val="0"/>
      <w:sz w:val="28"/>
      <w:szCs w:val="20"/>
    </w:rPr>
  </w:style>
  <w:style w:type="paragraph" w:customStyle="1" w:styleId="1746">
    <w:name w:val="编号4号"/>
    <w:basedOn w:val="1"/>
    <w:uiPriority w:val="0"/>
    <w:pPr>
      <w:widowControl/>
      <w:snapToGrid w:val="0"/>
      <w:spacing w:line="312" w:lineRule="auto"/>
    </w:pPr>
    <w:rPr>
      <w:rFonts w:ascii="Arial" w:hAnsi="Arial" w:cs="Arial"/>
    </w:rPr>
  </w:style>
  <w:style w:type="paragraph" w:customStyle="1" w:styleId="1747">
    <w:name w:val="默认段落字体 Para Char Char Char1 Char Char Char Char"/>
    <w:basedOn w:val="1"/>
    <w:uiPriority w:val="0"/>
    <w:rPr>
      <w:sz w:val="24"/>
    </w:rPr>
  </w:style>
  <w:style w:type="paragraph" w:customStyle="1" w:styleId="1748">
    <w:name w:val="表格标题01"/>
    <w:basedOn w:val="1"/>
    <w:uiPriority w:val="0"/>
    <w:pPr>
      <w:adjustRightInd w:val="0"/>
      <w:snapToGrid w:val="0"/>
      <w:spacing w:line="480" w:lineRule="exact"/>
      <w:jc w:val="center"/>
    </w:pPr>
    <w:rPr>
      <w:rFonts w:ascii="Times New Roman" w:hAnsi="Times New Roman"/>
      <w:kern w:val="0"/>
      <w:sz w:val="28"/>
      <w:szCs w:val="28"/>
    </w:rPr>
  </w:style>
  <w:style w:type="paragraph" w:customStyle="1" w:styleId="1749">
    <w:name w:val="2.1.1"/>
    <w:basedOn w:val="1"/>
    <w:uiPriority w:val="0"/>
    <w:rPr>
      <w:rFonts w:ascii="Times New Roman" w:hAnsi="Times New Roman"/>
      <w:sz w:val="24"/>
      <w:szCs w:val="20"/>
    </w:rPr>
  </w:style>
  <w:style w:type="paragraph" w:customStyle="1" w:styleId="1750">
    <w:name w:val="封面正文"/>
    <w:uiPriority w:val="0"/>
    <w:pPr>
      <w:jc w:val="both"/>
    </w:pPr>
    <w:rPr>
      <w:lang w:val="en-US" w:eastAsia="zh-CN" w:bidi="ar-SA"/>
    </w:rPr>
  </w:style>
  <w:style w:type="paragraph" w:customStyle="1" w:styleId="1751">
    <w:name w:val="表题 2"/>
    <w:basedOn w:val="1"/>
    <w:uiPriority w:val="0"/>
    <w:pPr>
      <w:adjustRightInd w:val="0"/>
      <w:spacing w:before="120" w:after="120"/>
      <w:jc w:val="center"/>
      <w:textAlignment w:val="baseline"/>
    </w:pPr>
    <w:rPr>
      <w:kern w:val="0"/>
      <w:sz w:val="28"/>
      <w:szCs w:val="20"/>
    </w:rPr>
  </w:style>
  <w:style w:type="paragraph" w:customStyle="1" w:styleId="1752">
    <w:name w:val="自动表格内部"/>
    <w:basedOn w:val="1"/>
    <w:uiPriority w:val="0"/>
    <w:pPr>
      <w:adjustRightInd w:val="0"/>
      <w:snapToGrid w:val="0"/>
      <w:jc w:val="center"/>
    </w:pPr>
    <w:rPr>
      <w:szCs w:val="21"/>
    </w:rPr>
  </w:style>
  <w:style w:type="paragraph" w:customStyle="1" w:styleId="1753">
    <w:name w:val="正文 Char Char Char"/>
    <w:basedOn w:val="1"/>
    <w:uiPriority w:val="0"/>
    <w:pPr>
      <w:spacing w:line="520" w:lineRule="exact"/>
      <w:ind w:firstLine="200" w:firstLineChars="200"/>
    </w:pPr>
    <w:rPr>
      <w:rFonts w:ascii="Times New Roman" w:hAnsi="Times New Roman"/>
      <w:sz w:val="24"/>
      <w:szCs w:val="20"/>
    </w:rPr>
  </w:style>
  <w:style w:type="paragraph" w:customStyle="1" w:styleId="1754">
    <w:name w:val="仿宋体"/>
    <w:basedOn w:val="1"/>
    <w:uiPriority w:val="0"/>
    <w:pPr>
      <w:widowControl/>
      <w:spacing w:line="844" w:lineRule="atLeast"/>
      <w:ind w:firstLine="419"/>
    </w:pPr>
    <w:rPr>
      <w:rFonts w:ascii="Times New Roman" w:hAnsi="Times New Roman" w:eastAsia="仿宋_GB2312"/>
      <w:color w:val="000000"/>
      <w:kern w:val="0"/>
      <w:sz w:val="31"/>
      <w:szCs w:val="20"/>
    </w:rPr>
  </w:style>
  <w:style w:type="paragraph" w:customStyle="1" w:styleId="1755">
    <w:name w:val="样式 标题 4标题 14 + 加粗 无下划线 自动设置 段前: 3 磅 段后: 10 磅2"/>
    <w:basedOn w:val="8"/>
    <w:uiPriority w:val="0"/>
    <w:pPr>
      <w:keepLines w:val="0"/>
      <w:tabs>
        <w:tab w:val="left" w:pos="1080"/>
      </w:tabs>
      <w:adjustRightInd w:val="0"/>
      <w:snapToGrid w:val="0"/>
      <w:spacing w:before="60" w:after="200" w:line="240" w:lineRule="auto"/>
      <w:ind w:left="851" w:hanging="851"/>
    </w:pPr>
    <w:rPr>
      <w:rFonts w:ascii="Times New Roman" w:hAnsi="Times New Roman" w:eastAsia="宋体"/>
      <w:bCs/>
      <w:sz w:val="24"/>
      <w:szCs w:val="20"/>
    </w:rPr>
  </w:style>
  <w:style w:type="paragraph" w:customStyle="1" w:styleId="1756">
    <w:name w:val="正文 1"/>
    <w:basedOn w:val="1"/>
    <w:uiPriority w:val="0"/>
    <w:pPr>
      <w:spacing w:line="480" w:lineRule="exact"/>
      <w:ind w:firstLine="567"/>
    </w:pPr>
    <w:rPr>
      <w:sz w:val="28"/>
      <w:szCs w:val="20"/>
    </w:rPr>
  </w:style>
  <w:style w:type="paragraph" w:customStyle="1" w:styleId="1757">
    <w:name w:val="_Style 1"/>
    <w:basedOn w:val="1"/>
    <w:uiPriority w:val="0"/>
    <w:pPr>
      <w:ind w:firstLine="420" w:firstLineChars="200"/>
    </w:pPr>
    <w:rPr>
      <w:rFonts w:ascii="Times New Roman" w:hAnsi="Times New Roman"/>
      <w:szCs w:val="22"/>
    </w:rPr>
  </w:style>
  <w:style w:type="paragraph" w:customStyle="1" w:styleId="1758">
    <w:name w:val="正文 New New New New New"/>
    <w:uiPriority w:val="0"/>
    <w:pPr>
      <w:widowControl w:val="0"/>
      <w:jc w:val="both"/>
    </w:pPr>
    <w:rPr>
      <w:rFonts w:hint="eastAsia"/>
      <w:kern w:val="2"/>
      <w:sz w:val="24"/>
      <w:lang w:val="en-US" w:eastAsia="zh-CN" w:bidi="ar-SA"/>
    </w:rPr>
  </w:style>
  <w:style w:type="paragraph" w:customStyle="1" w:styleId="1759">
    <w:name w:val="样式 热电厂正文 + 四号 首行缩进:  2 字符"/>
    <w:basedOn w:val="1248"/>
    <w:uiPriority w:val="0"/>
    <w:pPr>
      <w:spacing w:line="480" w:lineRule="exact"/>
      <w:ind w:firstLine="200"/>
    </w:pPr>
  </w:style>
  <w:style w:type="paragraph" w:customStyle="1" w:styleId="1760">
    <w:name w:val="样式 标题 2标题21.1H2h2第一层条2Header 2nd PageA.B.C.h2 main head..."/>
    <w:basedOn w:val="6"/>
    <w:uiPriority w:val="0"/>
    <w:pPr>
      <w:snapToGrid w:val="0"/>
      <w:spacing w:before="0" w:after="0" w:line="360" w:lineRule="auto"/>
    </w:pPr>
    <w:rPr>
      <w:rFonts w:ascii="Times New Roman" w:hAnsi="Times New Roman"/>
      <w:bCs w:val="0"/>
      <w:sz w:val="30"/>
      <w:szCs w:val="30"/>
    </w:rPr>
  </w:style>
  <w:style w:type="paragraph" w:customStyle="1" w:styleId="1761">
    <w:name w:val="样式 标题 3 + 宋体 四号 Char"/>
    <w:basedOn w:val="7"/>
    <w:uiPriority w:val="0"/>
    <w:pPr>
      <w:spacing w:before="249" w:beforeLines="80" w:after="124" w:afterLines="40" w:line="360" w:lineRule="auto"/>
      <w:ind w:left="200" w:leftChars="200"/>
    </w:pPr>
    <w:rPr>
      <w:rFonts w:ascii="宋体" w:hAnsi="宋体"/>
      <w:sz w:val="28"/>
      <w:szCs w:val="28"/>
    </w:rPr>
  </w:style>
  <w:style w:type="paragraph" w:customStyle="1" w:styleId="1762">
    <w:name w:val="hb4"/>
    <w:uiPriority w:val="0"/>
    <w:pPr>
      <w:keepNext/>
      <w:keepLines/>
      <w:spacing w:beforeLines="50" w:afterLines="50" w:line="240" w:lineRule="atLeast"/>
      <w:outlineLvl w:val="3"/>
    </w:pPr>
    <w:rPr>
      <w:bCs/>
      <w:kern w:val="24"/>
      <w:sz w:val="24"/>
      <w:szCs w:val="24"/>
      <w:lang w:val="en-US" w:eastAsia="zh-CN" w:bidi="ar-SA"/>
    </w:rPr>
  </w:style>
  <w:style w:type="paragraph" w:customStyle="1" w:styleId="1763">
    <w:name w:val="小标题（3黑）"/>
    <w:basedOn w:val="5"/>
    <w:uiPriority w:val="0"/>
    <w:pPr>
      <w:widowControl/>
      <w:suppressLineNumbers/>
      <w:adjustRightInd w:val="0"/>
      <w:snapToGrid w:val="0"/>
      <w:spacing w:before="100" w:beforeLines="0" w:beforeAutospacing="1" w:after="100" w:afterLines="0" w:afterAutospacing="1" w:line="240" w:lineRule="auto"/>
      <w:ind w:firstLine="567"/>
    </w:pPr>
    <w:rPr>
      <w:rFonts w:ascii="方正黑体_GBK" w:hAnsi="黑体" w:eastAsia="黑体"/>
      <w:bCs w:val="0"/>
      <w:kern w:val="2"/>
      <w:sz w:val="32"/>
      <w:szCs w:val="20"/>
    </w:rPr>
  </w:style>
  <w:style w:type="paragraph" w:customStyle="1" w:styleId="1764">
    <w:name w:val="默认段落字体 Para Char Char Char Char Char Char Char Char Char Char Char Char Char"/>
    <w:basedOn w:val="1"/>
    <w:uiPriority w:val="0"/>
  </w:style>
  <w:style w:type="paragraph" w:customStyle="1" w:styleId="1765">
    <w:name w:val=" Char Char Char Char Char Char Char Char Char Char Char Char Char Char Char Char Char Char Char Char Char Char Char Char Char Char Char Char Char Char"/>
    <w:basedOn w:val="1"/>
    <w:uiPriority w:val="0"/>
    <w:pPr>
      <w:spacing w:line="480" w:lineRule="exact"/>
    </w:pPr>
  </w:style>
  <w:style w:type="paragraph" w:customStyle="1" w:styleId="1766">
    <w:name w:val="Char Char1 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767">
    <w:name w:val="正文 New New"/>
    <w:uiPriority w:val="0"/>
    <w:pPr>
      <w:widowControl w:val="0"/>
      <w:jc w:val="both"/>
    </w:pPr>
    <w:rPr>
      <w:kern w:val="2"/>
      <w:sz w:val="21"/>
      <w:szCs w:val="24"/>
      <w:lang w:val="en-US" w:eastAsia="zh-CN" w:bidi="ar-SA"/>
    </w:rPr>
  </w:style>
  <w:style w:type="paragraph" w:customStyle="1" w:styleId="1768">
    <w:name w:val="Char Char1 Char1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769">
    <w:name w:val="Char2 Char Char Char Char Char Char Char Char Char1"/>
    <w:basedOn w:val="1"/>
    <w:uiPriority w:val="0"/>
    <w:pPr>
      <w:spacing w:line="360" w:lineRule="auto"/>
      <w:ind w:firstLine="200" w:firstLineChars="200"/>
    </w:pPr>
    <w:rPr>
      <w:rFonts w:ascii="宋体" w:hAnsi="宋体" w:cs="宋体"/>
      <w:sz w:val="24"/>
    </w:rPr>
  </w:style>
  <w:style w:type="paragraph" w:customStyle="1" w:styleId="1770">
    <w:name w:val="CM126"/>
    <w:basedOn w:val="1"/>
    <w:next w:val="1"/>
    <w:uiPriority w:val="0"/>
    <w:pPr>
      <w:autoSpaceDE w:val="0"/>
      <w:autoSpaceDN w:val="0"/>
      <w:adjustRightInd w:val="0"/>
      <w:spacing w:after="310"/>
      <w:jc w:val="left"/>
    </w:pPr>
    <w:rPr>
      <w:rFonts w:ascii="宋体" w:hAnsi="Times New Roman"/>
      <w:kern w:val="0"/>
      <w:sz w:val="24"/>
      <w:szCs w:val="20"/>
    </w:rPr>
  </w:style>
  <w:style w:type="paragraph" w:customStyle="1" w:styleId="1771">
    <w:name w:val="样式 标题 3 + 首行缩进:  0 厘米"/>
    <w:basedOn w:val="7"/>
    <w:uiPriority w:val="0"/>
    <w:pPr>
      <w:numPr>
        <w:ilvl w:val="0"/>
        <w:numId w:val="0"/>
      </w:numPr>
      <w:autoSpaceDN w:val="0"/>
      <w:adjustRightInd w:val="0"/>
      <w:spacing w:before="0" w:beforeLines="0" w:after="0" w:afterLines="0" w:line="360" w:lineRule="auto"/>
      <w:contextualSpacing/>
      <w:textAlignment w:val="baseline"/>
    </w:pPr>
    <w:rPr>
      <w:rFonts w:ascii="黑体" w:hAnsi="黑体" w:eastAsia="黑体" w:cs="宋体"/>
      <w:b w:val="0"/>
      <w:snapToGrid w:val="0"/>
      <w:sz w:val="30"/>
      <w:szCs w:val="28"/>
      <w:lang w:val="eu-ES"/>
    </w:rPr>
  </w:style>
  <w:style w:type="paragraph" w:customStyle="1" w:styleId="1772">
    <w:name w:val="Char Char1 Char Char Char Char Char Char Char Char Char Char Char Char Char Char Char Char Char Char Char Char1 Char"/>
    <w:basedOn w:val="1"/>
    <w:uiPriority w:val="0"/>
    <w:pPr>
      <w:spacing w:line="360" w:lineRule="auto"/>
      <w:ind w:firstLine="200" w:firstLineChars="200"/>
    </w:pPr>
    <w:rPr>
      <w:rFonts w:ascii="宋体" w:hAnsi="宋体" w:cs="宋体"/>
      <w:sz w:val="24"/>
    </w:rPr>
  </w:style>
  <w:style w:type="paragraph" w:customStyle="1" w:styleId="1773">
    <w:name w:val="样式 标题 2 + (西文) Times New Roman (中文) 楷体_GB2312 黑色 段前: 5 磅 段后:..."/>
    <w:basedOn w:val="6"/>
    <w:uiPriority w:val="0"/>
    <w:pPr>
      <w:spacing w:before="120" w:beforeLines="0" w:after="120" w:afterLines="0" w:line="360" w:lineRule="auto"/>
      <w:ind w:firstLine="200" w:firstLineChars="200"/>
    </w:pPr>
    <w:rPr>
      <w:rFonts w:ascii="Times New Roman" w:hAnsi="Times New Roman" w:cs="宋体"/>
      <w:b w:val="0"/>
      <w:bCs w:val="0"/>
      <w:color w:val="000000"/>
      <w:sz w:val="28"/>
      <w:szCs w:val="20"/>
    </w:rPr>
  </w:style>
  <w:style w:type="paragraph" w:customStyle="1" w:styleId="1774">
    <w:name w:val="Char Char1 Char Char Char Char Char Char Char Char Char Char Char Char Char Char Char"/>
    <w:basedOn w:val="1"/>
    <w:uiPriority w:val="0"/>
  </w:style>
  <w:style w:type="paragraph" w:customStyle="1" w:styleId="1775">
    <w:name w:val="样式 Arial 行距: 多倍行距 1.45 字行"/>
    <w:basedOn w:val="1"/>
    <w:uiPriority w:val="0"/>
    <w:pPr>
      <w:spacing w:line="480" w:lineRule="exact"/>
      <w:ind w:firstLine="480" w:firstLineChars="200"/>
    </w:pPr>
    <w:rPr>
      <w:rFonts w:ascii="宋体" w:hAnsi="宋体"/>
      <w:kern w:val="0"/>
      <w:sz w:val="24"/>
      <w:szCs w:val="20"/>
    </w:rPr>
  </w:style>
  <w:style w:type="paragraph" w:customStyle="1" w:styleId="1776">
    <w:name w:val="新正文1"/>
    <w:basedOn w:val="36"/>
    <w:uiPriority w:val="0"/>
    <w:pPr>
      <w:spacing w:line="440" w:lineRule="exact"/>
      <w:ind w:firstLine="200"/>
    </w:pPr>
  </w:style>
  <w:style w:type="paragraph" w:customStyle="1" w:styleId="1777">
    <w:name w:val="样式 小四 行距: 1.5 倍行距 首行缩进:  2 字符"/>
    <w:basedOn w:val="1"/>
    <w:uiPriority w:val="0"/>
    <w:pPr>
      <w:spacing w:line="360" w:lineRule="auto"/>
      <w:ind w:firstLine="480" w:firstLineChars="200"/>
    </w:pPr>
    <w:rPr>
      <w:rFonts w:ascii="Times New Roman" w:hAnsi="Times New Roman"/>
      <w:sz w:val="24"/>
      <w:szCs w:val="20"/>
    </w:rPr>
  </w:style>
  <w:style w:type="paragraph" w:customStyle="1" w:styleId="1778">
    <w:name w:val="样式 标题 2 + 段前: 0 磅 段后: 0 磅 行距: 单倍行距"/>
    <w:basedOn w:val="6"/>
    <w:uiPriority w:val="0"/>
    <w:pPr>
      <w:keepNext w:val="0"/>
      <w:keepLines w:val="0"/>
      <w:adjustRightInd w:val="0"/>
      <w:spacing w:before="0" w:beforeLines="0" w:after="0" w:afterLines="0" w:line="360" w:lineRule="auto"/>
    </w:pPr>
    <w:rPr>
      <w:rFonts w:ascii="宋体" w:hAnsi="宋体" w:eastAsia="宋体"/>
      <w:sz w:val="28"/>
      <w:szCs w:val="28"/>
    </w:rPr>
  </w:style>
  <w:style w:type="paragraph" w:customStyle="1" w:styleId="1779">
    <w:name w:val="正文罗"/>
    <w:basedOn w:val="1"/>
    <w:uiPriority w:val="0"/>
    <w:pPr>
      <w:spacing w:line="360" w:lineRule="auto"/>
      <w:ind w:firstLine="200" w:firstLineChars="200"/>
    </w:pPr>
    <w:rPr>
      <w:rFonts w:cs="宋体"/>
      <w:color w:val="000000"/>
      <w:sz w:val="24"/>
    </w:rPr>
  </w:style>
  <w:style w:type="paragraph" w:customStyle="1" w:styleId="1780">
    <w:name w:val="正文一"/>
    <w:basedOn w:val="1"/>
    <w:uiPriority w:val="0"/>
    <w:pPr>
      <w:spacing w:line="460" w:lineRule="exact"/>
      <w:ind w:firstLine="200" w:firstLineChars="200"/>
    </w:pPr>
    <w:rPr>
      <w:rFonts w:ascii="Times New Roman" w:hAnsi="Times New Roman"/>
      <w:sz w:val="24"/>
      <w:szCs w:val="20"/>
    </w:rPr>
  </w:style>
  <w:style w:type="paragraph" w:customStyle="1" w:styleId="1781">
    <w:name w:val="Char Char Char Char Char Char Char Char Char Char Char Char Char Char Char Char Char Char Char Char Char Char Char Char Char Char Char Char Char Char"/>
    <w:basedOn w:val="1"/>
    <w:uiPriority w:val="0"/>
    <w:pPr>
      <w:spacing w:line="480" w:lineRule="exact"/>
    </w:pPr>
  </w:style>
  <w:style w:type="paragraph" w:customStyle="1" w:styleId="1782">
    <w:name w:val="注解文字"/>
    <w:basedOn w:val="1"/>
    <w:uiPriority w:val="0"/>
    <w:pPr>
      <w:spacing w:after="156" w:afterLines="50"/>
    </w:pPr>
    <w:rPr>
      <w:rFonts w:hAnsi="Arial"/>
      <w:bCs/>
      <w:snapToGrid w:val="0"/>
      <w:kern w:val="0"/>
      <w:sz w:val="18"/>
      <w:szCs w:val="18"/>
      <w:lang w:val="eu-ES"/>
    </w:rPr>
  </w:style>
  <w:style w:type="paragraph" w:customStyle="1" w:styleId="1783">
    <w:name w:val="表格 2"/>
    <w:basedOn w:val="1"/>
    <w:uiPriority w:val="0"/>
    <w:pPr>
      <w:autoSpaceDE w:val="0"/>
      <w:autoSpaceDN w:val="0"/>
      <w:adjustRightInd w:val="0"/>
      <w:jc w:val="center"/>
      <w:textAlignment w:val="baseline"/>
    </w:pPr>
    <w:rPr>
      <w:kern w:val="0"/>
      <w:sz w:val="24"/>
      <w:szCs w:val="20"/>
    </w:rPr>
  </w:style>
  <w:style w:type="paragraph" w:customStyle="1" w:styleId="1784">
    <w:name w:val=" Char Char Char Char Char Char"/>
    <w:basedOn w:val="1"/>
    <w:uiPriority w:val="0"/>
    <w:rPr>
      <w:sz w:val="24"/>
    </w:rPr>
  </w:style>
  <w:style w:type="paragraph" w:customStyle="1" w:styleId="1785">
    <w:name w:val="小四表格"/>
    <w:basedOn w:val="1"/>
    <w:next w:val="1"/>
    <w:uiPriority w:val="0"/>
    <w:pPr>
      <w:snapToGrid w:val="0"/>
      <w:jc w:val="center"/>
    </w:pPr>
    <w:rPr>
      <w:rFonts w:ascii="Arial" w:hAnsi="Arial"/>
      <w:sz w:val="24"/>
      <w:szCs w:val="20"/>
    </w:rPr>
  </w:style>
  <w:style w:type="paragraph" w:customStyle="1" w:styleId="1786">
    <w:name w:val="标题4"/>
    <w:basedOn w:val="8"/>
    <w:uiPriority w:val="0"/>
    <w:pPr>
      <w:spacing w:before="0" w:after="0" w:line="360" w:lineRule="auto"/>
      <w:ind w:firstLine="200" w:firstLineChars="200"/>
    </w:pPr>
    <w:rPr>
      <w:bCs/>
      <w:szCs w:val="28"/>
    </w:rPr>
  </w:style>
  <w:style w:type="paragraph" w:customStyle="1" w:styleId="1787">
    <w:name w:val="农贸市场四级标题"/>
    <w:basedOn w:val="1140"/>
    <w:uiPriority w:val="0"/>
    <w:pPr>
      <w:ind w:firstLine="0" w:firstLineChars="0"/>
    </w:pPr>
    <w:rPr>
      <w:rFonts w:ascii="宋体" w:eastAsia="宋体"/>
      <w:b/>
    </w:rPr>
  </w:style>
  <w:style w:type="paragraph" w:customStyle="1" w:styleId="1788">
    <w:name w:val="正文表格"/>
    <w:basedOn w:val="1"/>
    <w:uiPriority w:val="0"/>
    <w:pPr>
      <w:jc w:val="center"/>
    </w:pPr>
    <w:rPr>
      <w:rFonts w:ascii="宋体" w:hAnsi="宋体"/>
      <w:szCs w:val="20"/>
    </w:rPr>
  </w:style>
  <w:style w:type="paragraph" w:customStyle="1" w:styleId="1789">
    <w:name w:val="正文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790">
    <w:name w:val="密级编号"/>
    <w:basedOn w:val="1"/>
    <w:uiPriority w:val="0"/>
    <w:pPr>
      <w:adjustRightInd w:val="0"/>
      <w:spacing w:line="360" w:lineRule="auto"/>
      <w:jc w:val="center"/>
      <w:textAlignment w:val="baseline"/>
    </w:pPr>
    <w:rPr>
      <w:rFonts w:ascii="仿宋_GB2312" w:hAnsi="MS Sans Serif" w:eastAsia="仿宋_GB2312" w:cs="宋体"/>
      <w:kern w:val="0"/>
      <w:sz w:val="24"/>
    </w:rPr>
  </w:style>
  <w:style w:type="paragraph" w:customStyle="1" w:styleId="1791">
    <w:name w:val="Char Char Char1 Char1 Char Char Char"/>
    <w:basedOn w:val="1"/>
    <w:uiPriority w:val="0"/>
    <w:rPr>
      <w:rFonts w:ascii="宋体" w:hAnsi="Times New Roman"/>
      <w:kern w:val="0"/>
      <w:sz w:val="34"/>
      <w:szCs w:val="20"/>
    </w:rPr>
  </w:style>
  <w:style w:type="paragraph" w:customStyle="1" w:styleId="1792">
    <w:name w:val="Normal New New New New"/>
    <w:uiPriority w:val="0"/>
    <w:pPr>
      <w:jc w:val="both"/>
    </w:pPr>
    <w:rPr>
      <w:kern w:val="2"/>
      <w:sz w:val="21"/>
      <w:lang w:val="en-US" w:eastAsia="zh-CN" w:bidi="ar-SA"/>
    </w:rPr>
  </w:style>
  <w:style w:type="paragraph" w:customStyle="1" w:styleId="1793">
    <w:name w:val="表标题 "/>
    <w:basedOn w:val="1"/>
    <w:uiPriority w:val="0"/>
    <w:pPr>
      <w:keepNext/>
      <w:adjustRightInd w:val="0"/>
      <w:spacing w:before="180" w:beforeLines="0" w:after="120" w:afterLines="0" w:line="397" w:lineRule="atLeast"/>
      <w:jc w:val="center"/>
      <w:textAlignment w:val="baseline"/>
    </w:pPr>
    <w:rPr>
      <w:b/>
      <w:kern w:val="0"/>
      <w:sz w:val="24"/>
      <w:szCs w:val="20"/>
    </w:rPr>
  </w:style>
  <w:style w:type="paragraph" w:customStyle="1" w:styleId="1794">
    <w:name w:val="列出段落3"/>
    <w:basedOn w:val="1"/>
    <w:uiPriority w:val="0"/>
    <w:pPr>
      <w:spacing w:line="360" w:lineRule="auto"/>
      <w:ind w:firstLine="420" w:firstLineChars="200"/>
    </w:pPr>
    <w:rPr>
      <w:rFonts w:ascii="Times New Roman" w:hAnsi="Times New Roman"/>
      <w:sz w:val="28"/>
      <w:szCs w:val="22"/>
    </w:rPr>
  </w:style>
  <w:style w:type="paragraph" w:customStyle="1" w:styleId="1795">
    <w:name w:val="样式 首行缩进:  0.85 厘米"/>
    <w:basedOn w:val="1"/>
    <w:uiPriority w:val="0"/>
    <w:pPr>
      <w:spacing w:before="80" w:beforeLines="0" w:after="80" w:afterLines="0" w:line="400" w:lineRule="exact"/>
      <w:ind w:firstLine="480" w:firstLineChars="200"/>
    </w:pPr>
    <w:rPr>
      <w:color w:val="000000"/>
      <w:sz w:val="24"/>
    </w:rPr>
  </w:style>
  <w:style w:type="paragraph" w:customStyle="1" w:styleId="1796">
    <w:name w:val="麦志勤表格式"/>
    <w:basedOn w:val="1"/>
    <w:uiPriority w:val="0"/>
    <w:pPr>
      <w:adjustRightInd w:val="0"/>
      <w:snapToGrid w:val="0"/>
      <w:spacing w:line="0" w:lineRule="atLeast"/>
      <w:jc w:val="center"/>
    </w:pPr>
    <w:rPr>
      <w:rFonts w:ascii="宋体" w:hAnsi="宋体"/>
      <w:color w:val="000000"/>
      <w:sz w:val="24"/>
    </w:rPr>
  </w:style>
  <w:style w:type="paragraph" w:customStyle="1" w:styleId="1797">
    <w:name w:val="3级别"/>
    <w:basedOn w:val="338"/>
    <w:uiPriority w:val="0"/>
    <w:pPr>
      <w:spacing w:before="120" w:after="120"/>
    </w:pPr>
    <w:rPr>
      <w:bCs w:val="0"/>
      <w:color w:val="000000"/>
    </w:rPr>
  </w:style>
  <w:style w:type="paragraph" w:customStyle="1" w:styleId="1798">
    <w:name w:val="正文 New New New New New New New New New New New"/>
    <w:uiPriority w:val="0"/>
    <w:pPr>
      <w:widowControl w:val="0"/>
      <w:jc w:val="both"/>
    </w:pPr>
    <w:rPr>
      <w:kern w:val="2"/>
      <w:sz w:val="21"/>
      <w:szCs w:val="24"/>
      <w:lang w:val="en-US" w:eastAsia="zh-CN" w:bidi="ar-SA"/>
    </w:rPr>
  </w:style>
  <w:style w:type="paragraph" w:customStyle="1" w:styleId="1799">
    <w:name w:val="二号标题样式"/>
    <w:basedOn w:val="1"/>
    <w:uiPriority w:val="0"/>
    <w:pPr>
      <w:keepNext/>
      <w:keepLines/>
      <w:spacing w:beforeLines="50" w:afterLines="50" w:line="520" w:lineRule="exact"/>
      <w:outlineLvl w:val="2"/>
    </w:pPr>
    <w:rPr>
      <w:rFonts w:ascii="Arial" w:hAnsi="Arial" w:eastAsia="黑体" w:cs="宋体"/>
      <w:sz w:val="28"/>
      <w:szCs w:val="20"/>
    </w:rPr>
  </w:style>
  <w:style w:type="paragraph" w:customStyle="1" w:styleId="1800">
    <w:name w:val="样式 标题 3 + 首行缩进:  2 字符 段前: 8.15 磅 段后: 8.15 磅2"/>
    <w:basedOn w:val="7"/>
    <w:uiPriority w:val="0"/>
    <w:pPr>
      <w:spacing w:before="163" w:beforeLines="0" w:after="163" w:afterLines="0" w:line="240" w:lineRule="atLeast"/>
      <w:ind w:firstLine="482" w:firstLineChars="200"/>
      <w:jc w:val="left"/>
    </w:pPr>
    <w:rPr>
      <w:rFonts w:ascii="Arial Unicode MS" w:hAnsi="Arial Unicode MS" w:eastAsia="黑体"/>
      <w:sz w:val="24"/>
      <w:szCs w:val="24"/>
    </w:rPr>
  </w:style>
  <w:style w:type="paragraph" w:customStyle="1" w:styleId="1801">
    <w:name w:val="报告正文 Char Char"/>
    <w:basedOn w:val="1"/>
    <w:uiPriority w:val="0"/>
    <w:pPr>
      <w:adjustRightInd w:val="0"/>
      <w:snapToGrid w:val="0"/>
      <w:spacing w:line="360" w:lineRule="auto"/>
      <w:ind w:firstLine="200" w:firstLineChars="200"/>
    </w:pPr>
    <w:rPr>
      <w:rFonts w:ascii="宋体" w:eastAsia="宋体"/>
      <w:kern w:val="2"/>
      <w:sz w:val="24"/>
      <w:lang w:val="en-US" w:eastAsia="zh-CN" w:bidi="ar-SA"/>
    </w:rPr>
  </w:style>
  <w:style w:type="paragraph" w:customStyle="1" w:styleId="1802">
    <w:name w:val="纯文本3"/>
    <w:basedOn w:val="1"/>
    <w:uiPriority w:val="0"/>
    <w:pPr>
      <w:adjustRightInd w:val="0"/>
    </w:pPr>
    <w:rPr>
      <w:rFonts w:ascii="宋体" w:hAnsi="Times New Roman"/>
      <w:kern w:val="0"/>
      <w:szCs w:val="20"/>
    </w:rPr>
  </w:style>
  <w:style w:type="paragraph" w:customStyle="1" w:styleId="1803">
    <w:name w:val="文本框五号1.5倍行距"/>
    <w:basedOn w:val="1804"/>
    <w:uiPriority w:val="0"/>
    <w:pPr>
      <w:spacing w:line="360" w:lineRule="auto"/>
    </w:pPr>
  </w:style>
  <w:style w:type="paragraph" w:customStyle="1" w:styleId="1804">
    <w:name w:val="文本框五号 Char"/>
    <w:uiPriority w:val="0"/>
    <w:pPr>
      <w:jc w:val="center"/>
    </w:pPr>
    <w:rPr>
      <w:rFonts w:eastAsia="仿宋_GB2312"/>
      <w:kern w:val="2"/>
      <w:sz w:val="21"/>
      <w:szCs w:val="21"/>
      <w:lang w:val="en-US" w:eastAsia="zh-CN" w:bidi="ar-SA"/>
    </w:rPr>
  </w:style>
  <w:style w:type="paragraph" w:customStyle="1" w:styleId="1805">
    <w:name w:val="——"/>
    <w:basedOn w:val="1806"/>
    <w:uiPriority w:val="0"/>
    <w:pPr>
      <w:ind w:left="0" w:firstLine="660" w:firstLineChars="300"/>
    </w:pPr>
  </w:style>
  <w:style w:type="paragraph" w:customStyle="1" w:styleId="1806">
    <w:name w:val="Texte"/>
    <w:basedOn w:val="1"/>
    <w:uiPriority w:val="0"/>
    <w:pPr>
      <w:widowControl/>
      <w:spacing w:before="120" w:after="120"/>
      <w:ind w:left="851" w:firstLine="200" w:firstLineChars="200"/>
    </w:pPr>
    <w:rPr>
      <w:rFonts w:ascii="Arial" w:hAnsi="Arial"/>
      <w:kern w:val="0"/>
      <w:sz w:val="22"/>
      <w:szCs w:val="20"/>
      <w:lang w:val="en-GB"/>
    </w:rPr>
  </w:style>
  <w:style w:type="paragraph" w:customStyle="1" w:styleId="1807">
    <w:name w:val="Char C1har Char Char Char Char"/>
    <w:basedOn w:val="1"/>
    <w:next w:val="4"/>
    <w:uiPriority w:val="0"/>
    <w:rPr>
      <w:rFonts w:ascii="Times New Roman" w:hAnsi="Times New Roman"/>
      <w:sz w:val="28"/>
      <w:szCs w:val="28"/>
    </w:rPr>
  </w:style>
  <w:style w:type="paragraph" w:customStyle="1" w:styleId="1808">
    <w:name w:val="电镀正文"/>
    <w:basedOn w:val="10"/>
    <w:uiPriority w:val="0"/>
    <w:pPr>
      <w:spacing w:line="400" w:lineRule="exact"/>
      <w:ind w:firstLine="200"/>
    </w:pPr>
    <w:rPr>
      <w:rFonts w:ascii="宋体" w:hAnsi="宋体"/>
      <w:sz w:val="24"/>
    </w:rPr>
  </w:style>
  <w:style w:type="paragraph" w:customStyle="1" w:styleId="1809">
    <w:name w:val="小3楷顶"/>
    <w:basedOn w:val="1581"/>
    <w:uiPriority w:val="0"/>
    <w:pPr>
      <w:spacing w:before="240" w:beforeLines="0"/>
    </w:pPr>
    <w:rPr>
      <w:rFonts w:eastAsia="楷体_GB2312"/>
    </w:rPr>
  </w:style>
  <w:style w:type="paragraph" w:customStyle="1" w:styleId="1810">
    <w:name w:val="样式 表格 + 宋体 五号"/>
    <w:basedOn w:val="1"/>
    <w:uiPriority w:val="0"/>
    <w:pPr>
      <w:adjustRightInd w:val="0"/>
      <w:snapToGrid w:val="0"/>
      <w:spacing w:line="360" w:lineRule="auto"/>
      <w:textAlignment w:val="center"/>
    </w:pPr>
    <w:rPr>
      <w:rFonts w:ascii="宋体" w:hAnsi="宋体"/>
      <w:snapToGrid w:val="0"/>
      <w:kern w:val="0"/>
      <w:szCs w:val="20"/>
      <w:lang w:val="eu-ES"/>
    </w:rPr>
  </w:style>
  <w:style w:type="paragraph" w:customStyle="1" w:styleId="1811">
    <w:name w:val=" Char Char Char Char1"/>
    <w:basedOn w:val="1"/>
    <w:uiPriority w:val="0"/>
    <w:rPr>
      <w:szCs w:val="20"/>
    </w:rPr>
  </w:style>
  <w:style w:type="paragraph" w:customStyle="1" w:styleId="1812">
    <w:name w:val="Char Char1 Char Char Char Char Char Char Char"/>
    <w:basedOn w:val="1"/>
    <w:uiPriority w:val="0"/>
  </w:style>
  <w:style w:type="paragraph" w:customStyle="1" w:styleId="1813">
    <w:name w:val="样式 左侧:  0.74 厘米"/>
    <w:basedOn w:val="1"/>
    <w:next w:val="8"/>
    <w:uiPriority w:val="0"/>
    <w:pPr>
      <w:ind w:left="420"/>
    </w:pPr>
    <w:rPr>
      <w:rFonts w:ascii="Times New Roman" w:hAnsi="Times New Roman" w:cs="宋体"/>
      <w:szCs w:val="20"/>
    </w:rPr>
  </w:style>
  <w:style w:type="paragraph" w:customStyle="1" w:styleId="1814">
    <w:name w:val="defaultfont"/>
    <w:basedOn w:val="1"/>
    <w:uiPriority w:val="0"/>
    <w:pPr>
      <w:widowControl/>
      <w:spacing w:before="100" w:beforeLines="0" w:beforeAutospacing="1" w:after="100" w:afterLines="0" w:afterAutospacing="1"/>
      <w:jc w:val="left"/>
    </w:pPr>
    <w:rPr>
      <w:rFonts w:ascii="Arial Unicode MS" w:hAnsi="Arial Unicode MS" w:eastAsia="Arial Unicode MS" w:cs="Arial Unicode MS"/>
      <w:kern w:val="0"/>
      <w:sz w:val="24"/>
    </w:rPr>
  </w:style>
  <w:style w:type="paragraph" w:customStyle="1" w:styleId="1815">
    <w:name w:val="m3"/>
    <w:basedOn w:val="1"/>
    <w:uiPriority w:val="0"/>
    <w:pPr>
      <w:widowControl/>
      <w:overflowPunct w:val="0"/>
      <w:autoSpaceDE w:val="0"/>
      <w:autoSpaceDN w:val="0"/>
      <w:adjustRightInd w:val="0"/>
      <w:spacing w:before="120" w:line="312" w:lineRule="auto"/>
      <w:textAlignment w:val="baseline"/>
    </w:pPr>
    <w:rPr>
      <w:rFonts w:ascii="仿宋体" w:eastAsia="仿宋体"/>
      <w:spacing w:val="-14"/>
      <w:kern w:val="0"/>
      <w:sz w:val="28"/>
      <w:szCs w:val="20"/>
      <w:lang/>
    </w:rPr>
  </w:style>
  <w:style w:type="paragraph" w:customStyle="1" w:styleId="1816">
    <w:name w:val="正文图小四"/>
    <w:basedOn w:val="1"/>
    <w:uiPriority w:val="0"/>
    <w:pPr>
      <w:adjustRightInd w:val="0"/>
      <w:snapToGrid w:val="0"/>
      <w:jc w:val="center"/>
      <w:textAlignment w:val="baseline"/>
    </w:pPr>
    <w:rPr>
      <w:rFonts w:ascii="宋体"/>
      <w:kern w:val="0"/>
      <w:sz w:val="24"/>
      <w:szCs w:val="20"/>
    </w:rPr>
  </w:style>
  <w:style w:type="paragraph" w:customStyle="1" w:styleId="1817">
    <w:name w:val="小五"/>
    <w:basedOn w:val="1"/>
    <w:uiPriority w:val="0"/>
    <w:pPr>
      <w:snapToGrid w:val="0"/>
      <w:jc w:val="center"/>
    </w:pPr>
    <w:rPr>
      <w:sz w:val="18"/>
    </w:rPr>
  </w:style>
  <w:style w:type="paragraph" w:customStyle="1" w:styleId="1818">
    <w:name w:val="样式9"/>
    <w:basedOn w:val="10"/>
    <w:uiPriority w:val="0"/>
    <w:pPr>
      <w:spacing w:line="360" w:lineRule="auto"/>
      <w:ind w:firstLine="480"/>
    </w:pPr>
    <w:rPr>
      <w:rFonts w:ascii="宋体"/>
      <w:snapToGrid w:val="0"/>
      <w:kern w:val="0"/>
      <w:sz w:val="24"/>
    </w:rPr>
  </w:style>
  <w:style w:type="paragraph" w:customStyle="1" w:styleId="1819">
    <w:name w:val="xl55"/>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1820">
    <w:name w:val="Char4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1821">
    <w:name w:val="Char Char1 Char Char Char Char Char Char Char Char Char Char Char Char Char Char Char Char Char Char Char Char Char Char Char Char Char1"/>
    <w:basedOn w:val="1"/>
    <w:uiPriority w:val="0"/>
  </w:style>
  <w:style w:type="paragraph" w:customStyle="1" w:styleId="1822">
    <w:name w:val="标准"/>
    <w:basedOn w:val="1"/>
    <w:uiPriority w:val="0"/>
    <w:pPr>
      <w:keepNext/>
      <w:keepLines/>
      <w:adjustRightInd w:val="0"/>
      <w:spacing w:before="156" w:beforeLines="50" w:line="400" w:lineRule="atLeast"/>
      <w:textAlignment w:val="baseline"/>
    </w:pPr>
    <w:rPr>
      <w:kern w:val="0"/>
      <w:sz w:val="24"/>
      <w:szCs w:val="20"/>
    </w:rPr>
  </w:style>
  <w:style w:type="paragraph" w:customStyle="1" w:styleId="1823">
    <w:name w:val="表头4"/>
    <w:basedOn w:val="1725"/>
    <w:uiPriority w:val="0"/>
    <w:pPr>
      <w:tabs>
        <w:tab w:val="left" w:pos="360"/>
        <w:tab w:val="left" w:pos="1800"/>
        <w:tab w:val="clear" w:pos="1200"/>
      </w:tabs>
      <w:ind w:left="360" w:hanging="360"/>
    </w:pPr>
  </w:style>
  <w:style w:type="paragraph" w:customStyle="1" w:styleId="1824">
    <w:name w:val="8说明(治)"/>
    <w:basedOn w:val="1"/>
    <w:next w:val="470"/>
    <w:uiPriority w:val="0"/>
    <w:pPr>
      <w:ind w:firstLine="435"/>
    </w:pPr>
    <w:rPr>
      <w:rFonts w:eastAsia="仿宋_GB2312"/>
    </w:rPr>
  </w:style>
  <w:style w:type="paragraph" w:customStyle="1" w:styleId="1825">
    <w:name w:val=" Char Char Char Char Char Char Char Char Char Char Char Char1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1826">
    <w:name w:val="a"/>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827">
    <w:name w:val="英标"/>
    <w:basedOn w:val="1"/>
    <w:uiPriority w:val="0"/>
    <w:pPr>
      <w:autoSpaceDE w:val="0"/>
      <w:autoSpaceDN w:val="0"/>
      <w:adjustRightInd w:val="0"/>
      <w:spacing w:line="360" w:lineRule="auto"/>
      <w:outlineLvl w:val="4"/>
    </w:pPr>
    <w:rPr>
      <w:rFonts w:ascii="宋体" w:hAnsi="宋体"/>
      <w:kern w:val="0"/>
      <w:sz w:val="24"/>
      <w:szCs w:val="20"/>
    </w:rPr>
  </w:style>
  <w:style w:type="paragraph" w:customStyle="1" w:styleId="1828">
    <w:name w:val="样式 首行缩进:  2 字符17"/>
    <w:basedOn w:val="1"/>
    <w:uiPriority w:val="0"/>
    <w:pPr>
      <w:spacing w:line="520" w:lineRule="exact"/>
      <w:ind w:firstLine="560" w:firstLineChars="200"/>
    </w:pPr>
    <w:rPr>
      <w:rFonts w:ascii="Times New Roman" w:hAnsi="Times New Roman"/>
      <w:sz w:val="24"/>
      <w:szCs w:val="20"/>
    </w:rPr>
  </w:style>
  <w:style w:type="paragraph" w:customStyle="1" w:styleId="1829">
    <w:name w:val="目录2"/>
    <w:basedOn w:val="74"/>
    <w:next w:val="1"/>
    <w:uiPriority w:val="0"/>
    <w:pPr>
      <w:widowControl/>
      <w:tabs>
        <w:tab w:val="left" w:leader="dot" w:pos="8492"/>
        <w:tab w:val="clear" w:pos="8302"/>
      </w:tabs>
      <w:adjustRightInd w:val="0"/>
      <w:spacing w:beforeLines="50"/>
      <w:ind w:left="0" w:firstLine="420"/>
      <w:jc w:val="both"/>
    </w:pPr>
    <w:rPr>
      <w:rFonts w:ascii="宋体" w:hAnsi="Arial"/>
      <w:color w:val="000000"/>
      <w:kern w:val="0"/>
      <w:sz w:val="21"/>
      <w:lang w:val="en-US" w:eastAsia="zh-CN"/>
    </w:rPr>
  </w:style>
  <w:style w:type="paragraph" w:customStyle="1" w:styleId="1830">
    <w:name w:val="封面3"/>
    <w:basedOn w:val="1831"/>
    <w:uiPriority w:val="0"/>
    <w:pPr>
      <w:spacing w:line="480" w:lineRule="auto"/>
    </w:pPr>
    <w:rPr>
      <w:rFonts w:ascii="宋体" w:hAnsi="宋体"/>
      <w:sz w:val="48"/>
      <w:szCs w:val="48"/>
    </w:rPr>
  </w:style>
  <w:style w:type="paragraph" w:customStyle="1" w:styleId="1831">
    <w:name w:val="封面2"/>
    <w:basedOn w:val="1"/>
    <w:uiPriority w:val="0"/>
    <w:pPr>
      <w:jc w:val="center"/>
    </w:pPr>
    <w:rPr>
      <w:b/>
      <w:sz w:val="44"/>
    </w:rPr>
  </w:style>
  <w:style w:type="paragraph" w:customStyle="1" w:styleId="1832">
    <w:name w:val="样式 四号 黑色"/>
    <w:basedOn w:val="1"/>
    <w:uiPriority w:val="0"/>
    <w:pPr>
      <w:ind w:firstLine="200" w:firstLineChars="200"/>
    </w:pPr>
    <w:rPr>
      <w:rFonts w:cs="宋体"/>
      <w:color w:val="000000"/>
      <w:sz w:val="28"/>
      <w:szCs w:val="20"/>
    </w:rPr>
  </w:style>
  <w:style w:type="paragraph" w:customStyle="1" w:styleId="1833">
    <w:name w:val="2级标题"/>
    <w:basedOn w:val="6"/>
    <w:uiPriority w:val="0"/>
    <w:pPr>
      <w:keepNext w:val="0"/>
      <w:keepLines w:val="0"/>
      <w:tabs>
        <w:tab w:val="left" w:pos="3564"/>
      </w:tabs>
      <w:adjustRightInd w:val="0"/>
      <w:snapToGrid w:val="0"/>
      <w:spacing w:before="50" w:after="0" w:line="360" w:lineRule="auto"/>
    </w:pPr>
    <w:rPr>
      <w:rFonts w:ascii="黑体"/>
      <w:b w:val="0"/>
      <w:bCs w:val="0"/>
      <w:kern w:val="0"/>
      <w:sz w:val="30"/>
      <w:szCs w:val="28"/>
    </w:rPr>
  </w:style>
  <w:style w:type="paragraph" w:customStyle="1" w:styleId="1834">
    <w:name w:val="样式 黑体 小四 加粗 行距: 固定值 20 磅1"/>
    <w:basedOn w:val="1"/>
    <w:uiPriority w:val="0"/>
    <w:pPr>
      <w:spacing w:line="400" w:lineRule="exact"/>
    </w:pPr>
    <w:rPr>
      <w:rFonts w:ascii="黑体" w:eastAsia="黑体" w:cs="宋体"/>
      <w:b/>
      <w:bCs/>
      <w:sz w:val="28"/>
      <w:szCs w:val="20"/>
    </w:rPr>
  </w:style>
  <w:style w:type="paragraph" w:customStyle="1" w:styleId="1835">
    <w:name w:val="Char Char Char Char Char Char Char Char Char Char Char Char Char Char Char Char Char Char Char"/>
    <w:basedOn w:val="1"/>
    <w:uiPriority w:val="0"/>
    <w:pPr>
      <w:tabs>
        <w:tab w:val="left" w:pos="360"/>
      </w:tabs>
    </w:pPr>
    <w:rPr>
      <w:rFonts w:ascii="宋体" w:hAnsi="Times New Roman"/>
      <w:kern w:val="0"/>
      <w:sz w:val="24"/>
    </w:rPr>
  </w:style>
  <w:style w:type="paragraph" w:customStyle="1" w:styleId="1836">
    <w:name w:val=" Char1 Char Char Char Char Char Char"/>
    <w:basedOn w:val="1"/>
    <w:uiPriority w:val="0"/>
  </w:style>
  <w:style w:type="paragraph" w:customStyle="1" w:styleId="1837">
    <w:name w:val="样式 小四 首行缩进:  0.74 厘米 行距: 固定值 20 磅"/>
    <w:basedOn w:val="1"/>
    <w:uiPriority w:val="0"/>
    <w:pPr>
      <w:spacing w:line="440" w:lineRule="exact"/>
      <w:ind w:firstLine="454"/>
    </w:pPr>
    <w:rPr>
      <w:rFonts w:ascii="Times New Roman" w:hAnsi="Times New Roman"/>
      <w:sz w:val="24"/>
      <w:szCs w:val="20"/>
    </w:rPr>
  </w:style>
  <w:style w:type="paragraph" w:customStyle="1" w:styleId="1838">
    <w:name w:val="表格文字居中"/>
    <w:basedOn w:val="85"/>
    <w:uiPriority w:val="0"/>
    <w:pPr>
      <w:tabs>
        <w:tab w:val="left" w:pos="628"/>
        <w:tab w:val="left" w:pos="1727"/>
        <w:tab w:val="left" w:pos="1884"/>
      </w:tabs>
      <w:snapToGrid w:val="0"/>
      <w:spacing w:after="0"/>
      <w:ind w:firstLine="0" w:firstLineChars="0"/>
      <w:jc w:val="center"/>
    </w:pPr>
    <w:rPr>
      <w:rFonts w:ascii="宋体" w:hAnsi="Times New Roman"/>
      <w:bCs/>
      <w:sz w:val="18"/>
      <w:szCs w:val="18"/>
    </w:rPr>
  </w:style>
  <w:style w:type="paragraph" w:customStyle="1" w:styleId="1839">
    <w:name w:val="图片名称"/>
    <w:basedOn w:val="1"/>
    <w:uiPriority w:val="0"/>
    <w:pPr>
      <w:wordWrap w:val="0"/>
      <w:jc w:val="center"/>
    </w:pPr>
    <w:rPr>
      <w:rFonts w:ascii="黑体" w:hAnsi="宋体" w:eastAsia="黑体"/>
      <w:bCs/>
      <w:snapToGrid w:val="0"/>
      <w:color w:val="000000"/>
      <w:spacing w:val="-4"/>
      <w:kern w:val="0"/>
      <w:sz w:val="24"/>
      <w:lang w:val="eu-ES"/>
    </w:rPr>
  </w:style>
  <w:style w:type="paragraph" w:customStyle="1" w:styleId="1840">
    <w:name w:val="hg正文文本"/>
    <w:basedOn w:val="35"/>
    <w:uiPriority w:val="0"/>
    <w:pPr>
      <w:adjustRightInd w:val="0"/>
      <w:snapToGrid w:val="0"/>
      <w:spacing w:after="0" w:line="360" w:lineRule="auto"/>
      <w:ind w:firstLine="200" w:firstLineChars="200"/>
    </w:pPr>
    <w:rPr>
      <w:rFonts w:ascii="宋体" w:hAnsi="Times New Roman"/>
      <w:sz w:val="24"/>
    </w:rPr>
  </w:style>
  <w:style w:type="paragraph" w:customStyle="1" w:styleId="1841">
    <w:name w:val="码头表"/>
    <w:basedOn w:val="1"/>
    <w:uiPriority w:val="0"/>
    <w:pPr>
      <w:jc w:val="center"/>
    </w:pPr>
  </w:style>
  <w:style w:type="paragraph" w:customStyle="1" w:styleId="1842">
    <w:name w:val="xl28"/>
    <w:basedOn w:val="1"/>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1843">
    <w:name w:val="样式 首行缩进:  2 字符16"/>
    <w:basedOn w:val="1"/>
    <w:uiPriority w:val="0"/>
    <w:pPr>
      <w:spacing w:line="520" w:lineRule="exact"/>
      <w:ind w:firstLine="560" w:firstLineChars="200"/>
    </w:pPr>
    <w:rPr>
      <w:rFonts w:ascii="Times New Roman" w:hAnsi="Times New Roman"/>
      <w:sz w:val="24"/>
      <w:szCs w:val="20"/>
    </w:rPr>
  </w:style>
  <w:style w:type="paragraph" w:customStyle="1" w:styleId="1844">
    <w:name w:val="表中"/>
    <w:basedOn w:val="1"/>
    <w:uiPriority w:val="0"/>
    <w:pPr>
      <w:adjustRightInd w:val="0"/>
      <w:snapToGrid w:val="0"/>
      <w:spacing w:line="240" w:lineRule="atLeast"/>
      <w:jc w:val="center"/>
    </w:pPr>
    <w:rPr>
      <w:snapToGrid w:val="0"/>
      <w:spacing w:val="10"/>
      <w:kern w:val="0"/>
      <w:sz w:val="24"/>
      <w:szCs w:val="20"/>
    </w:rPr>
  </w:style>
  <w:style w:type="paragraph" w:customStyle="1" w:styleId="1845">
    <w:name w:val="样式 正文缩进正文缩进 Char表格标题标题4正文不缩进s4正文2首行缩进两字正文缩进1 + 首行缩进:  2 ..."/>
    <w:basedOn w:val="10"/>
    <w:uiPriority w:val="0"/>
    <w:pPr>
      <w:spacing w:line="360" w:lineRule="auto"/>
      <w:ind w:firstLine="480"/>
    </w:pPr>
    <w:rPr>
      <w:rFonts w:ascii="宋体" w:hAnsi="宋体" w:cs="宋体"/>
      <w:sz w:val="24"/>
      <w:szCs w:val="20"/>
    </w:rPr>
  </w:style>
  <w:style w:type="paragraph" w:customStyle="1" w:styleId="1846">
    <w:name w:val="样式 标题 3 + 首行缩进:  2 字符 段前: 6 磅 段后: 6 磅 行距: 最小值 24 磅"/>
    <w:basedOn w:val="7"/>
    <w:uiPriority w:val="0"/>
    <w:pPr>
      <w:adjustRightInd w:val="0"/>
      <w:snapToGrid w:val="0"/>
      <w:spacing w:before="120" w:after="120" w:line="480" w:lineRule="atLeast"/>
      <w:ind w:firstLine="100" w:firstLineChars="100"/>
    </w:pPr>
    <w:rPr>
      <w:rFonts w:ascii="Times New Roman" w:hAnsi="Times New Roman" w:eastAsia="黑体"/>
      <w:bCs w:val="0"/>
      <w:sz w:val="28"/>
      <w:szCs w:val="20"/>
    </w:rPr>
  </w:style>
  <w:style w:type="paragraph" w:customStyle="1" w:styleId="1847">
    <w:name w:val="右五"/>
    <w:basedOn w:val="1848"/>
    <w:next w:val="1"/>
    <w:uiPriority w:val="0"/>
    <w:pPr>
      <w:jc w:val="right"/>
    </w:pPr>
  </w:style>
  <w:style w:type="paragraph" w:customStyle="1" w:styleId="1848">
    <w:name w:val="左五"/>
    <w:basedOn w:val="1"/>
    <w:uiPriority w:val="0"/>
    <w:pPr>
      <w:adjustRightInd w:val="0"/>
      <w:snapToGrid w:val="0"/>
      <w:spacing w:line="280" w:lineRule="exact"/>
      <w:jc w:val="left"/>
    </w:pPr>
    <w:rPr>
      <w:rFonts w:ascii="宋体" w:hAnsi="Symusic"/>
      <w:color w:val="000000"/>
      <w:kern w:val="0"/>
      <w:sz w:val="18"/>
      <w:szCs w:val="20"/>
    </w:rPr>
  </w:style>
  <w:style w:type="paragraph" w:customStyle="1" w:styleId="1849">
    <w:name w:val="表格标题"/>
    <w:next w:val="777"/>
    <w:uiPriority w:val="0"/>
    <w:pPr>
      <w:spacing w:beforeLines="50"/>
      <w:jc w:val="center"/>
    </w:pPr>
    <w:rPr>
      <w:b/>
      <w:kern w:val="2"/>
      <w:sz w:val="21"/>
      <w:szCs w:val="24"/>
      <w:lang w:val="en-US" w:eastAsia="zh-CN" w:bidi="ar-SA"/>
    </w:rPr>
  </w:style>
  <w:style w:type="paragraph" w:customStyle="1" w:styleId="1850">
    <w:name w:val="样式 标题 1 + 首行缩进:  2 字符 段前: 12 磅 段后: 12 磅 行距: 最小值 24 磅"/>
    <w:basedOn w:val="5"/>
    <w:uiPriority w:val="0"/>
    <w:pPr>
      <w:adjustRightInd w:val="0"/>
      <w:snapToGrid w:val="0"/>
      <w:spacing w:before="240" w:after="240" w:line="480" w:lineRule="atLeast"/>
    </w:pPr>
    <w:rPr>
      <w:rFonts w:ascii="Times New Roman" w:hAnsi="Times New Roman"/>
      <w:bCs w:val="0"/>
      <w:sz w:val="32"/>
      <w:szCs w:val="20"/>
    </w:rPr>
  </w:style>
  <w:style w:type="paragraph" w:customStyle="1" w:styleId="1851">
    <w:name w:val="样式11 标题 1-*+章标题 11.标题 1h11st levelSection Headl1b1H1Head..."/>
    <w:basedOn w:val="5"/>
    <w:uiPriority w:val="0"/>
    <w:pPr>
      <w:spacing w:before="120" w:after="120" w:line="480" w:lineRule="exact"/>
    </w:pPr>
    <w:rPr>
      <w:sz w:val="36"/>
    </w:rPr>
  </w:style>
  <w:style w:type="paragraph" w:customStyle="1" w:styleId="1852">
    <w:name w:val="环表头"/>
    <w:basedOn w:val="1"/>
    <w:next w:val="1"/>
    <w:uiPriority w:val="0"/>
    <w:pPr>
      <w:suppressAutoHyphens/>
      <w:adjustRightInd w:val="0"/>
      <w:spacing w:line="420" w:lineRule="exact"/>
      <w:ind w:right="28"/>
      <w:jc w:val="center"/>
    </w:pPr>
    <w:rPr>
      <w:rFonts w:ascii="黑体" w:hAnsi="宋体" w:eastAsia="黑体"/>
      <w:color w:val="000000"/>
      <w:kern w:val="0"/>
      <w:sz w:val="24"/>
      <w:szCs w:val="20"/>
    </w:rPr>
  </w:style>
  <w:style w:type="paragraph" w:customStyle="1" w:styleId="1853">
    <w:name w:val="xl33"/>
    <w:basedOn w:val="1"/>
    <w:uiPriority w:val="0"/>
    <w:pPr>
      <w:widowControl/>
      <w:pBdr>
        <w:left w:val="single" w:color="auto" w:sz="4" w:space="0"/>
        <w:right w:val="single" w:color="auto" w:sz="4" w:space="0"/>
      </w:pBdr>
      <w:spacing w:before="100" w:beforeLines="0" w:beforeAutospacing="1" w:after="100" w:afterLines="0" w:afterAutospacing="1"/>
      <w:jc w:val="center"/>
    </w:pPr>
    <w:rPr>
      <w:color w:val="FF0000"/>
      <w:kern w:val="0"/>
      <w:szCs w:val="21"/>
    </w:rPr>
  </w:style>
  <w:style w:type="paragraph" w:customStyle="1" w:styleId="1854">
    <w:name w:val="标题11"/>
    <w:basedOn w:val="1"/>
    <w:uiPriority w:val="0"/>
    <w:pPr>
      <w:adjustRightInd w:val="0"/>
      <w:spacing w:before="180" w:after="180" w:line="480" w:lineRule="exact"/>
      <w:outlineLvl w:val="0"/>
    </w:pPr>
    <w:rPr>
      <w:rFonts w:ascii="Times New Roman" w:hAnsi="Times New Roman"/>
      <w:b/>
      <w:sz w:val="30"/>
      <w:szCs w:val="20"/>
    </w:rPr>
  </w:style>
  <w:style w:type="paragraph" w:customStyle="1" w:styleId="1855">
    <w:name w:val="环标2"/>
    <w:basedOn w:val="6"/>
    <w:next w:val="1652"/>
    <w:uiPriority w:val="0"/>
    <w:pPr>
      <w:widowControl/>
      <w:tabs>
        <w:tab w:val="left" w:pos="849"/>
      </w:tabs>
      <w:adjustRightInd w:val="0"/>
      <w:spacing w:before="0" w:after="0" w:line="360" w:lineRule="auto"/>
      <w:ind w:firstLine="480" w:firstLineChars="200"/>
      <w:jc w:val="left"/>
    </w:pPr>
    <w:rPr>
      <w:rFonts w:ascii="宋体" w:hAnsi="宋体" w:eastAsia="宋体"/>
      <w:bCs w:val="0"/>
      <w:kern w:val="0"/>
      <w:sz w:val="24"/>
      <w:szCs w:val="20"/>
    </w:rPr>
  </w:style>
  <w:style w:type="paragraph" w:customStyle="1" w:styleId="1856">
    <w:name w:val="font7"/>
    <w:basedOn w:val="1"/>
    <w:uiPriority w:val="0"/>
    <w:pPr>
      <w:widowControl/>
      <w:spacing w:before="100" w:beforeLines="0" w:beforeAutospacing="1" w:after="100" w:afterLines="0" w:afterAutospacing="1"/>
      <w:jc w:val="left"/>
    </w:pPr>
    <w:rPr>
      <w:kern w:val="0"/>
      <w:szCs w:val="21"/>
    </w:rPr>
  </w:style>
  <w:style w:type="paragraph" w:customStyle="1" w:styleId="1857">
    <w:name w:val="Char Char Char Char Char Char Char2"/>
    <w:basedOn w:val="1"/>
    <w:uiPriority w:val="0"/>
    <w:rPr>
      <w:rFonts w:ascii="Times New Roman" w:hAnsi="Times New Roman"/>
      <w:sz w:val="24"/>
      <w:szCs w:val="20"/>
    </w:rPr>
  </w:style>
  <w:style w:type="paragraph" w:customStyle="1" w:styleId="1858">
    <w:name w:val="默认段落字体 Para Char Char Char Char Char Char Char Char Char1 Char Char Char Char Char Char Char"/>
    <w:basedOn w:val="27"/>
    <w:uiPriority w:val="0"/>
    <w:rPr>
      <w:rFonts w:ascii="Tahoma" w:hAnsi="Tahoma" w:cs="Tahoma"/>
      <w:sz w:val="28"/>
    </w:rPr>
  </w:style>
  <w:style w:type="paragraph" w:customStyle="1" w:styleId="1859">
    <w:name w:val="表图"/>
    <w:basedOn w:val="1"/>
    <w:qFormat/>
    <w:uiPriority w:val="0"/>
    <w:pPr>
      <w:adjustRightInd w:val="0"/>
      <w:snapToGrid w:val="0"/>
      <w:spacing w:line="320" w:lineRule="exact"/>
      <w:ind w:firstLine="480" w:firstLineChars="200"/>
      <w:jc w:val="center"/>
    </w:pPr>
    <w:rPr>
      <w:sz w:val="24"/>
      <w:szCs w:val="20"/>
    </w:rPr>
  </w:style>
  <w:style w:type="paragraph" w:customStyle="1" w:styleId="1860">
    <w:name w:val="样式 标题 2标题2Se节标题 1.11.1标题2条标题h2l22nd levelTitre22Heade..."/>
    <w:basedOn w:val="6"/>
    <w:uiPriority w:val="0"/>
    <w:pPr>
      <w:spacing w:before="240" w:beforeLines="0" w:after="120" w:afterLines="0" w:line="415" w:lineRule="auto"/>
    </w:pPr>
    <w:rPr>
      <w:rFonts w:ascii="宋体" w:hAnsi="华文中宋" w:cs="宋体"/>
      <w:sz w:val="28"/>
      <w:szCs w:val="28"/>
    </w:rPr>
  </w:style>
  <w:style w:type="paragraph" w:customStyle="1" w:styleId="1861">
    <w:name w:val="3级"/>
    <w:basedOn w:val="1"/>
    <w:uiPriority w:val="0"/>
    <w:rPr>
      <w:rFonts w:ascii="Times New Roman" w:hAnsi="Times New Roman"/>
      <w:sz w:val="24"/>
      <w:szCs w:val="20"/>
    </w:rPr>
  </w:style>
  <w:style w:type="paragraph" w:customStyle="1" w:styleId="1862">
    <w:name w:val="默认段落字体 Para Char Char Char Char Char Char Char"/>
    <w:basedOn w:val="1"/>
    <w:uiPriority w:val="0"/>
    <w:pPr>
      <w:adjustRightInd w:val="0"/>
      <w:spacing w:line="360" w:lineRule="auto"/>
    </w:pPr>
    <w:rPr>
      <w:rFonts w:ascii="Times New Roman" w:hAnsi="Times New Roman"/>
      <w:kern w:val="0"/>
      <w:sz w:val="24"/>
      <w:szCs w:val="20"/>
    </w:rPr>
  </w:style>
  <w:style w:type="paragraph" w:customStyle="1" w:styleId="1863">
    <w:name w:val="Char Char1 Char Char Char Char Char Char Char Char Char Char Char Char Char Char Char Char Char Char Char Char Char Char Char Char Char"/>
    <w:basedOn w:val="1"/>
    <w:uiPriority w:val="0"/>
  </w:style>
  <w:style w:type="paragraph" w:customStyle="1" w:styleId="1864">
    <w:name w:val="样式 标题 1标题 11Head 1wsah1一、标题2Part'Document章Ch + 加粗"/>
    <w:basedOn w:val="5"/>
    <w:uiPriority w:val="0"/>
    <w:pPr>
      <w:spacing w:before="0" w:after="0" w:line="360" w:lineRule="auto"/>
      <w:jc w:val="left"/>
    </w:pPr>
    <w:rPr>
      <w:rFonts w:eastAsia="黑体" w:cs="Arial"/>
      <w:sz w:val="30"/>
    </w:rPr>
  </w:style>
  <w:style w:type="paragraph" w:customStyle="1" w:styleId="1865">
    <w:name w:val="样式 样式 表格 + (符号) 宋体 五号 居中 + 小五"/>
    <w:basedOn w:val="1"/>
    <w:uiPriority w:val="0"/>
    <w:pPr>
      <w:kinsoku w:val="0"/>
      <w:overflowPunct w:val="0"/>
      <w:adjustRightInd w:val="0"/>
      <w:snapToGrid w:val="0"/>
      <w:jc w:val="center"/>
    </w:pPr>
    <w:rPr>
      <w:rFonts w:ascii="宋体" w:hAnsi="Times New Roman"/>
      <w:kern w:val="0"/>
      <w:sz w:val="18"/>
      <w:szCs w:val="21"/>
    </w:rPr>
  </w:style>
  <w:style w:type="paragraph" w:customStyle="1" w:styleId="1866">
    <w:name w:val="样式 标题 1 + 宋体"/>
    <w:basedOn w:val="5"/>
    <w:uiPriority w:val="0"/>
    <w:pPr>
      <w:keepLines w:val="0"/>
      <w:widowControl/>
      <w:tabs>
        <w:tab w:val="left" w:pos="0"/>
        <w:tab w:val="right" w:pos="8640"/>
      </w:tabs>
      <w:overflowPunct w:val="0"/>
      <w:autoSpaceDE w:val="0"/>
      <w:autoSpaceDN w:val="0"/>
      <w:adjustRightInd w:val="0"/>
      <w:spacing w:before="120" w:beforeLines="0" w:after="120" w:afterLines="0" w:line="440" w:lineRule="exact"/>
      <w:ind w:left="432" w:hanging="432"/>
      <w:jc w:val="left"/>
      <w:textAlignment w:val="baseline"/>
    </w:pPr>
    <w:rPr>
      <w:rFonts w:ascii="宋体"/>
      <w:bCs w:val="0"/>
      <w:kern w:val="28"/>
      <w:sz w:val="30"/>
      <w:szCs w:val="20"/>
    </w:rPr>
  </w:style>
  <w:style w:type="paragraph" w:customStyle="1" w:styleId="1867">
    <w:name w:val="无间隔2"/>
    <w:uiPriority w:val="0"/>
    <w:pPr>
      <w:widowControl w:val="0"/>
      <w:jc w:val="both"/>
    </w:pPr>
    <w:rPr>
      <w:rFonts w:ascii="等线" w:hAnsi="等线" w:eastAsia="等线"/>
      <w:kern w:val="2"/>
      <w:sz w:val="21"/>
      <w:szCs w:val="22"/>
      <w:lang w:val="en-US" w:eastAsia="zh-CN" w:bidi="ar-SA"/>
    </w:rPr>
  </w:style>
  <w:style w:type="paragraph" w:customStyle="1" w:styleId="1868">
    <w:name w:val="小表"/>
    <w:basedOn w:val="1"/>
    <w:uiPriority w:val="0"/>
    <w:pPr>
      <w:widowControl/>
      <w:overflowPunct w:val="0"/>
      <w:autoSpaceDE w:val="0"/>
      <w:autoSpaceDN w:val="0"/>
      <w:adjustRightInd w:val="0"/>
      <w:jc w:val="center"/>
      <w:textAlignment w:val="bottom"/>
    </w:pPr>
    <w:rPr>
      <w:rFonts w:ascii="宋体"/>
      <w:kern w:val="0"/>
      <w:sz w:val="28"/>
      <w:szCs w:val="20"/>
    </w:rPr>
  </w:style>
  <w:style w:type="paragraph" w:customStyle="1" w:styleId="1869">
    <w:name w:val="样式 样式 首行缩进:  2 字符 + 首行缩进:  2 字符 段前: 0.5 行 段后: 0.5 行"/>
    <w:basedOn w:val="1"/>
    <w:uiPriority w:val="0"/>
    <w:pPr>
      <w:spacing w:beforeLines="50" w:afterLines="50" w:line="400" w:lineRule="atLeast"/>
      <w:ind w:firstLine="200" w:firstLineChars="200"/>
    </w:pPr>
    <w:rPr>
      <w:rFonts w:ascii="Times New Roman" w:hAnsi="Times New Roman"/>
      <w:sz w:val="24"/>
      <w:szCs w:val="20"/>
    </w:rPr>
  </w:style>
  <w:style w:type="paragraph" w:customStyle="1" w:styleId="1870">
    <w:name w:val="正文 New New New New"/>
    <w:uiPriority w:val="0"/>
    <w:pPr>
      <w:widowControl w:val="0"/>
      <w:jc w:val="both"/>
    </w:pPr>
    <w:rPr>
      <w:kern w:val="2"/>
      <w:sz w:val="21"/>
      <w:szCs w:val="24"/>
      <w:lang w:val="en-US" w:eastAsia="zh-CN" w:bidi="ar-SA"/>
    </w:rPr>
  </w:style>
  <w:style w:type="paragraph" w:customStyle="1" w:styleId="1871">
    <w:name w:val="样式 首行缩进:  2 字符 行距: 固定值 26 磅"/>
    <w:basedOn w:val="1"/>
    <w:uiPriority w:val="0"/>
    <w:pPr>
      <w:spacing w:line="480" w:lineRule="exact"/>
      <w:ind w:firstLine="200" w:firstLineChars="200"/>
    </w:pPr>
    <w:rPr>
      <w:rFonts w:ascii="Times New Roman" w:hAnsi="Times New Roman"/>
      <w:sz w:val="24"/>
      <w:szCs w:val="20"/>
    </w:rPr>
  </w:style>
  <w:style w:type="paragraph" w:customStyle="1" w:styleId="1872">
    <w:name w:val="样式 标题 4 + 宋体 小四 非加粗"/>
    <w:basedOn w:val="8"/>
    <w:uiPriority w:val="0"/>
    <w:pPr>
      <w:tabs>
        <w:tab w:val="left" w:pos="1680"/>
      </w:tabs>
      <w:spacing w:line="374" w:lineRule="auto"/>
      <w:ind w:left="1680" w:hanging="420"/>
    </w:pPr>
    <w:rPr>
      <w:rFonts w:ascii="宋体" w:hAnsi="宋体" w:eastAsia="宋体"/>
      <w:b w:val="0"/>
      <w:sz w:val="24"/>
      <w:szCs w:val="28"/>
    </w:rPr>
  </w:style>
  <w:style w:type="paragraph" w:customStyle="1" w:styleId="1873">
    <w:name w:val="公式1"/>
    <w:basedOn w:val="1"/>
    <w:uiPriority w:val="0"/>
    <w:pPr>
      <w:spacing w:before="156" w:beforeLines="50" w:line="400" w:lineRule="exact"/>
      <w:ind w:firstLine="480" w:firstLineChars="200"/>
    </w:pPr>
    <w:rPr>
      <w:rFonts w:ascii="Century Gothic" w:hAnsi="Century Gothic"/>
      <w:sz w:val="24"/>
      <w:szCs w:val="20"/>
    </w:rPr>
  </w:style>
  <w:style w:type="paragraph" w:customStyle="1" w:styleId="1874">
    <w:name w:val="样式 标题 2标题 21标题 121节H2SeHead wsa2标题 1.1 + 黑体 四号 非加粗"/>
    <w:basedOn w:val="6"/>
    <w:uiPriority w:val="0"/>
    <w:pPr>
      <w:tabs>
        <w:tab w:val="left" w:pos="840"/>
      </w:tabs>
      <w:spacing w:line="415" w:lineRule="auto"/>
      <w:ind w:left="840" w:hanging="420"/>
    </w:pPr>
    <w:rPr>
      <w:rFonts w:ascii="黑体" w:hAnsi="黑体"/>
      <w:b w:val="0"/>
      <w:bCs w:val="0"/>
      <w:sz w:val="28"/>
    </w:rPr>
  </w:style>
  <w:style w:type="paragraph" w:customStyle="1" w:styleId="1875">
    <w:name w:val="样式 小四 黑色 首行缩进:  0.74 厘米 行距: 固定值 20 磅"/>
    <w:basedOn w:val="1"/>
    <w:uiPriority w:val="0"/>
    <w:pPr>
      <w:spacing w:line="440" w:lineRule="exact"/>
      <w:ind w:firstLine="454"/>
    </w:pPr>
    <w:rPr>
      <w:rFonts w:ascii="Times New Roman" w:hAnsi="Times New Roman"/>
      <w:color w:val="000000"/>
      <w:sz w:val="24"/>
      <w:szCs w:val="20"/>
    </w:rPr>
  </w:style>
  <w:style w:type="paragraph" w:customStyle="1" w:styleId="1876">
    <w:name w:val="acee01"/>
    <w:basedOn w:val="1"/>
    <w:uiPriority w:val="0"/>
    <w:pPr>
      <w:adjustRightInd w:val="0"/>
      <w:snapToGrid w:val="0"/>
      <w:spacing w:line="400" w:lineRule="exact"/>
      <w:outlineLvl w:val="0"/>
    </w:pPr>
    <w:rPr>
      <w:rFonts w:ascii="黑体" w:hAnsi="宋体" w:eastAsia="黑体"/>
      <w:sz w:val="24"/>
    </w:rPr>
  </w:style>
  <w:style w:type="paragraph" w:customStyle="1" w:styleId="1877">
    <w:name w:val="样式 标题 4Subsection标题 14标题 4 Char Char款标题1.1.1.1H4第三层条PIM 4..."/>
    <w:basedOn w:val="8"/>
    <w:uiPriority w:val="0"/>
    <w:pPr>
      <w:spacing w:before="0" w:beforeLines="0" w:after="0" w:afterLines="0" w:line="360" w:lineRule="auto"/>
    </w:pPr>
    <w:rPr>
      <w:rFonts w:ascii="Times New Roman" w:hAnsi="Times New Roman" w:eastAsia="仿宋_GB2312" w:cs="宋体"/>
      <w:bCs/>
    </w:rPr>
  </w:style>
  <w:style w:type="paragraph" w:customStyle="1" w:styleId="1878">
    <w:name w:val="Char Char1"/>
    <w:basedOn w:val="1"/>
    <w:uiPriority w:val="0"/>
    <w:pPr>
      <w:spacing w:line="360" w:lineRule="auto"/>
      <w:ind w:firstLine="200" w:firstLineChars="200"/>
    </w:pPr>
    <w:rPr>
      <w:rFonts w:ascii="宋体" w:hAnsi="宋体" w:cs="宋体"/>
      <w:sz w:val="24"/>
    </w:rPr>
  </w:style>
  <w:style w:type="paragraph" w:customStyle="1" w:styleId="1879">
    <w:name w:val="文章正文样式"/>
    <w:basedOn w:val="1"/>
    <w:uiPriority w:val="0"/>
    <w:pPr>
      <w:spacing w:line="520" w:lineRule="exact"/>
      <w:ind w:firstLine="480" w:firstLineChars="200"/>
      <w:jc w:val="left"/>
    </w:pPr>
    <w:rPr>
      <w:rFonts w:ascii="宋体" w:hAnsi="宋体" w:cs="宋体"/>
      <w:sz w:val="24"/>
      <w:szCs w:val="20"/>
    </w:rPr>
  </w:style>
  <w:style w:type="paragraph" w:customStyle="1" w:styleId="1880">
    <w:name w:val="样式 标题 3 + 首行缩进:  2 字符 段前: 8.15 磅 段后: 8.15 磅"/>
    <w:basedOn w:val="7"/>
    <w:uiPriority w:val="0"/>
    <w:pPr>
      <w:spacing w:before="163" w:beforeLines="0" w:after="163" w:afterLines="0" w:line="240" w:lineRule="atLeast"/>
      <w:ind w:firstLine="482" w:firstLineChars="200"/>
      <w:jc w:val="left"/>
    </w:pPr>
    <w:rPr>
      <w:rFonts w:ascii="Arial Unicode MS" w:hAnsi="Arial Unicode MS" w:eastAsia="黑体"/>
      <w:sz w:val="24"/>
      <w:szCs w:val="24"/>
    </w:rPr>
  </w:style>
  <w:style w:type="paragraph" w:customStyle="1" w:styleId="1881">
    <w:name w:val="华1，标题1，标宋"/>
    <w:basedOn w:val="1618"/>
    <w:next w:val="1618"/>
    <w:uiPriority w:val="0"/>
    <w:pPr>
      <w:spacing w:before="360" w:beforeLines="0" w:after="300" w:afterLines="0"/>
      <w:ind w:firstLine="0"/>
      <w:jc w:val="center"/>
      <w:outlineLvl w:val="0"/>
    </w:pPr>
    <w:rPr>
      <w:rFonts w:ascii="方正大标宋_GBK" w:hAnsi="Arial" w:eastAsia="方正大标宋_GBK"/>
      <w:spacing w:val="20"/>
      <w:sz w:val="44"/>
      <w:lang w:val="en-US"/>
    </w:rPr>
  </w:style>
  <w:style w:type="paragraph" w:customStyle="1" w:styleId="1882">
    <w:name w:val="6"/>
    <w:basedOn w:val="1"/>
    <w:next w:val="1"/>
    <w:uiPriority w:val="0"/>
    <w:pPr>
      <w:snapToGrid w:val="0"/>
      <w:spacing w:line="360" w:lineRule="auto"/>
      <w:ind w:firstLine="200" w:firstLineChars="200"/>
    </w:pPr>
    <w:rPr>
      <w:sz w:val="24"/>
    </w:rPr>
  </w:style>
  <w:style w:type="paragraph" w:customStyle="1" w:styleId="1883">
    <w:name w:val="图表3"/>
    <w:basedOn w:val="1"/>
    <w:uiPriority w:val="0"/>
    <w:pPr>
      <w:widowControl/>
      <w:overflowPunct w:val="0"/>
      <w:autoSpaceDE w:val="0"/>
      <w:autoSpaceDN w:val="0"/>
      <w:adjustRightInd w:val="0"/>
      <w:jc w:val="center"/>
      <w:textAlignment w:val="baseline"/>
    </w:pPr>
    <w:rPr>
      <w:rFonts w:ascii="宋体"/>
      <w:kern w:val="28"/>
      <w:sz w:val="20"/>
      <w:szCs w:val="20"/>
    </w:rPr>
  </w:style>
  <w:style w:type="paragraph" w:customStyle="1" w:styleId="1884">
    <w:name w:val="样式 正文首行缩进 2 + 首行缩进:  2 字符1"/>
    <w:basedOn w:val="86"/>
    <w:uiPriority w:val="0"/>
    <w:pPr>
      <w:adjustRightInd w:val="0"/>
      <w:spacing w:line="360" w:lineRule="auto"/>
      <w:ind w:left="0" w:leftChars="0" w:firstLine="480"/>
      <w:textAlignment w:val="baseline"/>
    </w:pPr>
    <w:rPr>
      <w:rFonts w:cs="宋体"/>
      <w:szCs w:val="20"/>
    </w:rPr>
  </w:style>
  <w:style w:type="paragraph" w:customStyle="1" w:styleId="1885">
    <w:name w:val="样式 样式 首行缩进:  2 字符 + 首行缩进:  2 字符"/>
    <w:basedOn w:val="799"/>
    <w:uiPriority w:val="0"/>
    <w:pPr>
      <w:ind w:firstLine="502"/>
    </w:pPr>
    <w:rPr>
      <w:rFonts w:cs="Times New Roman"/>
    </w:rPr>
  </w:style>
  <w:style w:type="paragraph" w:customStyle="1" w:styleId="1886">
    <w:name w:val="样式 四级标题（赵志杰） + 段前: 0.5 行 段后: 0.5 行"/>
    <w:basedOn w:val="1"/>
    <w:uiPriority w:val="0"/>
    <w:pPr>
      <w:keepNext/>
      <w:keepLines/>
      <w:spacing w:beforeLines="50" w:afterLines="50" w:line="360" w:lineRule="auto"/>
      <w:outlineLvl w:val="3"/>
    </w:pPr>
    <w:rPr>
      <w:rFonts w:ascii="Arial" w:hAnsi="Arial" w:eastAsia="黑体" w:cs="宋体"/>
      <w:sz w:val="24"/>
      <w:szCs w:val="20"/>
    </w:rPr>
  </w:style>
  <w:style w:type="paragraph" w:customStyle="1" w:styleId="1887">
    <w:name w:val="样式 标题 1文章 + 段前: 0.5 行 段后: 0.5 行"/>
    <w:basedOn w:val="1562"/>
    <w:next w:val="1"/>
    <w:uiPriority w:val="0"/>
    <w:pPr>
      <w:tabs>
        <w:tab w:val="left" w:pos="360"/>
      </w:tabs>
      <w:spacing w:before="156" w:beforeLines="50" w:after="156" w:afterLines="50" w:line="520" w:lineRule="exact"/>
      <w:ind w:left="360" w:firstLine="720" w:firstLineChars="200"/>
      <w:jc w:val="left"/>
      <w:outlineLvl w:val="0"/>
    </w:pPr>
    <w:rPr>
      <w:rFonts w:hAnsi="Arial"/>
      <w:b w:val="0"/>
      <w:spacing w:val="0"/>
      <w:kern w:val="2"/>
      <w:sz w:val="36"/>
      <w:szCs w:val="20"/>
    </w:rPr>
  </w:style>
  <w:style w:type="paragraph" w:customStyle="1" w:styleId="1888">
    <w:name w:val=" Char Char Char1 Char Char Char Char Char Char Char Char Char Char Char Char Char Char Char Char Char Char Char Char Char Char Char Char Char Char Char Char"/>
    <w:basedOn w:val="1"/>
    <w:uiPriority w:val="0"/>
  </w:style>
  <w:style w:type="paragraph" w:customStyle="1" w:styleId="1889">
    <w:name w:val="日期1"/>
    <w:basedOn w:val="1"/>
    <w:next w:val="1"/>
    <w:uiPriority w:val="0"/>
    <w:pPr>
      <w:adjustRightInd w:val="0"/>
      <w:spacing w:line="312" w:lineRule="atLeast"/>
      <w:jc w:val="right"/>
      <w:textAlignment w:val="baseline"/>
    </w:pPr>
    <w:rPr>
      <w:rFonts w:ascii="楷体_GB2312"/>
      <w:kern w:val="0"/>
      <w:sz w:val="24"/>
      <w:szCs w:val="20"/>
    </w:rPr>
  </w:style>
  <w:style w:type="paragraph" w:customStyle="1" w:styleId="1890">
    <w:name w:val="样式 四号 首行缩进:  0.85 厘米 行距: 1.5 倍行距"/>
    <w:basedOn w:val="1"/>
    <w:uiPriority w:val="0"/>
    <w:pPr>
      <w:spacing w:line="360" w:lineRule="auto"/>
      <w:ind w:firstLine="200" w:firstLineChars="200"/>
    </w:pPr>
    <w:rPr>
      <w:rFonts w:cs="宋体"/>
      <w:sz w:val="28"/>
      <w:szCs w:val="20"/>
    </w:rPr>
  </w:style>
  <w:style w:type="paragraph" w:customStyle="1" w:styleId="1891">
    <w:name w:val="TAB"/>
    <w:basedOn w:val="35"/>
    <w:uiPriority w:val="0"/>
    <w:pPr>
      <w:widowControl/>
      <w:spacing w:before="60" w:beforeLines="0" w:after="60" w:afterLines="0"/>
      <w:jc w:val="left"/>
    </w:pPr>
    <w:rPr>
      <w:rFonts w:ascii="Arial" w:hAnsi="Arial"/>
      <w:kern w:val="0"/>
      <w:sz w:val="18"/>
      <w:szCs w:val="20"/>
      <w:lang w:eastAsia="fr-FR"/>
    </w:rPr>
  </w:style>
  <w:style w:type="paragraph" w:customStyle="1" w:styleId="1892">
    <w:name w:val="样式 标题 3标题 13 + (中文) 黑体 四号 非加粗 黑色 段前: 21 磅 段后: 21 磅 行距: 单倍..."/>
    <w:basedOn w:val="7"/>
    <w:uiPriority w:val="0"/>
    <w:pPr>
      <w:spacing w:before="420" w:after="420" w:line="240" w:lineRule="auto"/>
    </w:pPr>
    <w:rPr>
      <w:rFonts w:eastAsia="黑体" w:cs="宋体"/>
      <w:b w:val="0"/>
      <w:bCs w:val="0"/>
      <w:color w:val="000000"/>
      <w:sz w:val="28"/>
      <w:szCs w:val="20"/>
    </w:rPr>
  </w:style>
  <w:style w:type="paragraph" w:customStyle="1" w:styleId="1893">
    <w:name w:val="font0"/>
    <w:basedOn w:val="1"/>
    <w:uiPriority w:val="0"/>
    <w:pPr>
      <w:widowControl/>
      <w:spacing w:before="100" w:beforeLines="0" w:beforeAutospacing="1" w:after="100" w:afterLines="0" w:afterAutospacing="1"/>
      <w:jc w:val="left"/>
    </w:pPr>
    <w:rPr>
      <w:rFonts w:hint="eastAsia" w:ascii="宋体" w:hAnsi="宋体"/>
      <w:kern w:val="0"/>
      <w:sz w:val="24"/>
    </w:rPr>
  </w:style>
  <w:style w:type="paragraph" w:customStyle="1" w:styleId="1894">
    <w:name w:val="样式 宋体 小四 首行缩进:  1.01 厘米 行距: 1.5 倍行距"/>
    <w:basedOn w:val="1"/>
    <w:uiPriority w:val="0"/>
    <w:pPr>
      <w:spacing w:line="360" w:lineRule="auto"/>
      <w:ind w:firstLine="570"/>
    </w:pPr>
    <w:rPr>
      <w:rFonts w:ascii="宋体" w:hAnsi="宋体"/>
      <w:sz w:val="24"/>
      <w:szCs w:val="20"/>
    </w:rPr>
  </w:style>
  <w:style w:type="paragraph" w:customStyle="1" w:styleId="1895">
    <w:name w:val="自动标题3"/>
    <w:basedOn w:val="1"/>
    <w:uiPriority w:val="0"/>
    <w:pPr>
      <w:tabs>
        <w:tab w:val="left" w:pos="720"/>
      </w:tabs>
      <w:ind w:left="720" w:hanging="720"/>
    </w:pPr>
  </w:style>
  <w:style w:type="paragraph" w:customStyle="1" w:styleId="1896">
    <w:name w:val="正文 New New New New New New New New New New New New New New New"/>
    <w:uiPriority w:val="0"/>
    <w:pPr>
      <w:widowControl w:val="0"/>
      <w:jc w:val="both"/>
    </w:pPr>
    <w:rPr>
      <w:kern w:val="2"/>
      <w:sz w:val="21"/>
      <w:szCs w:val="24"/>
      <w:lang w:val="en-US" w:eastAsia="zh-CN" w:bidi="ar-SA"/>
    </w:rPr>
  </w:style>
  <w:style w:type="paragraph" w:customStyle="1" w:styleId="1897">
    <w:name w:val="標準（日本語）"/>
    <w:basedOn w:val="1"/>
    <w:uiPriority w:val="0"/>
    <w:pPr>
      <w:overflowPunct w:val="0"/>
      <w:adjustRightInd w:val="0"/>
      <w:spacing w:after="156" w:afterLines="50" w:line="360" w:lineRule="auto"/>
      <w:ind w:firstLine="465"/>
    </w:pPr>
    <w:rPr>
      <w:rFonts w:eastAsia="MS Mincho"/>
      <w:snapToGrid w:val="0"/>
      <w:kern w:val="0"/>
      <w:sz w:val="24"/>
      <w:szCs w:val="20"/>
      <w:lang w:eastAsia="ja-JP"/>
    </w:rPr>
  </w:style>
  <w:style w:type="paragraph" w:customStyle="1" w:styleId="1898">
    <w:name w:val="...."/>
    <w:basedOn w:val="1"/>
    <w:next w:val="1"/>
    <w:uiPriority w:val="0"/>
    <w:pPr>
      <w:autoSpaceDE w:val="0"/>
      <w:autoSpaceDN w:val="0"/>
      <w:adjustRightInd w:val="0"/>
      <w:jc w:val="left"/>
    </w:pPr>
    <w:rPr>
      <w:kern w:val="0"/>
      <w:sz w:val="24"/>
    </w:rPr>
  </w:style>
  <w:style w:type="paragraph" w:customStyle="1" w:styleId="1899">
    <w:name w:val="样式8"/>
    <w:basedOn w:val="10"/>
    <w:uiPriority w:val="0"/>
    <w:pPr>
      <w:spacing w:line="360" w:lineRule="auto"/>
      <w:ind w:firstLine="480"/>
    </w:pPr>
    <w:rPr>
      <w:rFonts w:ascii="宋体"/>
      <w:color w:val="FF0000"/>
      <w:sz w:val="24"/>
    </w:rPr>
  </w:style>
  <w:style w:type="paragraph" w:customStyle="1" w:styleId="1900">
    <w:name w:val="样式 首行缩进:  2 字符4"/>
    <w:basedOn w:val="1"/>
    <w:uiPriority w:val="0"/>
    <w:pPr>
      <w:adjustRightInd w:val="0"/>
      <w:snapToGrid w:val="0"/>
      <w:spacing w:line="360" w:lineRule="auto"/>
      <w:ind w:firstLine="480" w:firstLineChars="200"/>
    </w:pPr>
    <w:rPr>
      <w:sz w:val="24"/>
      <w:szCs w:val="20"/>
    </w:rPr>
  </w:style>
  <w:style w:type="paragraph" w:customStyle="1" w:styleId="1901">
    <w:name w:val="第三节"/>
    <w:basedOn w:val="1"/>
    <w:uiPriority w:val="0"/>
    <w:pPr>
      <w:spacing w:before="312" w:beforeLines="100" w:line="360" w:lineRule="auto"/>
      <w:jc w:val="left"/>
    </w:pPr>
    <w:rPr>
      <w:rFonts w:ascii="黑体" w:eastAsia="黑体"/>
      <w:sz w:val="32"/>
      <w:szCs w:val="28"/>
    </w:rPr>
  </w:style>
  <w:style w:type="paragraph" w:customStyle="1" w:styleId="1902">
    <w:name w:val=" Char Char Char Char Char Char1 Char Char Char Char Char Char Char Char Char Char Char Char Char"/>
    <w:basedOn w:val="1"/>
    <w:uiPriority w:val="0"/>
    <w:rPr>
      <w:rFonts w:ascii="Tahoma" w:hAnsi="Tahoma"/>
      <w:sz w:val="24"/>
      <w:szCs w:val="20"/>
    </w:rPr>
  </w:style>
  <w:style w:type="paragraph" w:customStyle="1" w:styleId="1903">
    <w:name w:val="comm3"/>
    <w:basedOn w:val="1"/>
    <w:uiPriority w:val="0"/>
    <w:pPr>
      <w:widowControl/>
      <w:spacing w:after="60" w:afterLines="0"/>
      <w:jc w:val="center"/>
    </w:pPr>
    <w:rPr>
      <w:rFonts w:ascii="Arial" w:hAnsi="Arial"/>
      <w:kern w:val="0"/>
      <w:sz w:val="24"/>
      <w:szCs w:val="20"/>
      <w:lang w:val="en-CA" w:eastAsia="en-US"/>
    </w:rPr>
  </w:style>
  <w:style w:type="paragraph" w:customStyle="1" w:styleId="1904">
    <w:name w:val="(1)"/>
    <w:basedOn w:val="1"/>
    <w:uiPriority w:val="0"/>
    <w:pPr>
      <w:adjustRightInd w:val="0"/>
      <w:spacing w:line="500" w:lineRule="exact"/>
      <w:textAlignment w:val="baseline"/>
    </w:pPr>
    <w:rPr>
      <w:rFonts w:ascii="宋体"/>
      <w:kern w:val="0"/>
      <w:sz w:val="24"/>
      <w:szCs w:val="20"/>
    </w:rPr>
  </w:style>
  <w:style w:type="paragraph" w:customStyle="1" w:styleId="1905">
    <w:name w:val="书正文"/>
    <w:basedOn w:val="1"/>
    <w:uiPriority w:val="0"/>
    <w:pPr>
      <w:spacing w:line="400" w:lineRule="atLeast"/>
      <w:ind w:firstLine="200" w:firstLineChars="200"/>
    </w:pPr>
    <w:rPr>
      <w:sz w:val="28"/>
    </w:rPr>
  </w:style>
  <w:style w:type="paragraph" w:customStyle="1" w:styleId="1906">
    <w:name w:val="样式 标题 2节 + 宋体 左侧:  0 厘米 段前: 12 磅"/>
    <w:basedOn w:val="6"/>
    <w:uiPriority w:val="0"/>
    <w:pPr>
      <w:adjustRightInd w:val="0"/>
      <w:spacing w:before="240" w:beforeLines="0" w:after="240" w:afterLines="0" w:line="240" w:lineRule="auto"/>
      <w:jc w:val="left"/>
      <w:textAlignment w:val="baseline"/>
    </w:pPr>
    <w:rPr>
      <w:rFonts w:ascii="宋体" w:hAnsi="宋体" w:eastAsia="宋体" w:cs="宋体"/>
      <w:bCs w:val="0"/>
      <w:kern w:val="0"/>
      <w:sz w:val="28"/>
      <w:szCs w:val="24"/>
    </w:rPr>
  </w:style>
  <w:style w:type="paragraph" w:customStyle="1" w:styleId="1907">
    <w:name w:val="表头及表尾"/>
    <w:uiPriority w:val="0"/>
    <w:pPr>
      <w:tabs>
        <w:tab w:val="center" w:pos="4200"/>
        <w:tab w:val="right" w:pos="8400"/>
      </w:tabs>
      <w:adjustRightInd w:val="0"/>
      <w:snapToGrid w:val="0"/>
    </w:pPr>
    <w:rPr>
      <w:b/>
      <w:snapToGrid w:val="0"/>
      <w:sz w:val="21"/>
      <w:lang w:val="en-US" w:eastAsia="zh-CN" w:bidi="ar-SA"/>
    </w:rPr>
  </w:style>
  <w:style w:type="paragraph" w:customStyle="1" w:styleId="1908">
    <w:name w:val="1名"/>
    <w:basedOn w:val="1"/>
    <w:uiPriority w:val="0"/>
    <w:pPr>
      <w:spacing w:before="120" w:beforeLines="0"/>
    </w:pPr>
    <w:rPr>
      <w:rFonts w:ascii="宋体"/>
      <w:sz w:val="28"/>
      <w:szCs w:val="20"/>
    </w:rPr>
  </w:style>
  <w:style w:type="paragraph" w:customStyle="1" w:styleId="1909">
    <w:name w:val="1233"/>
    <w:basedOn w:val="1"/>
    <w:uiPriority w:val="0"/>
    <w:pPr>
      <w:spacing w:before="100" w:beforeLines="0" w:beforeAutospacing="1" w:line="360" w:lineRule="auto"/>
      <w:ind w:firstLine="480" w:firstLineChars="200"/>
    </w:pPr>
    <w:rPr>
      <w:sz w:val="24"/>
    </w:rPr>
  </w:style>
  <w:style w:type="paragraph" w:customStyle="1" w:styleId="1910">
    <w:name w:val="样式 宋体 小四 两端对齐 首行缩进:  0.85 厘米 行距: 1.5 倍行距"/>
    <w:basedOn w:val="1"/>
    <w:uiPriority w:val="0"/>
    <w:pPr>
      <w:widowControl/>
      <w:spacing w:line="360" w:lineRule="auto"/>
      <w:ind w:firstLine="482"/>
    </w:pPr>
    <w:rPr>
      <w:kern w:val="0"/>
      <w:sz w:val="24"/>
      <w:szCs w:val="20"/>
    </w:rPr>
  </w:style>
  <w:style w:type="paragraph" w:customStyle="1" w:styleId="1911">
    <w:name w:val="3 Char Char Char Char Char Char Char"/>
    <w:basedOn w:val="1"/>
    <w:uiPriority w:val="0"/>
    <w:pPr>
      <w:adjustRightInd w:val="0"/>
      <w:snapToGrid w:val="0"/>
      <w:spacing w:line="400" w:lineRule="exact"/>
      <w:ind w:firstLine="200" w:firstLineChars="200"/>
    </w:pPr>
    <w:rPr>
      <w:sz w:val="24"/>
      <w:szCs w:val="20"/>
    </w:rPr>
  </w:style>
  <w:style w:type="paragraph" w:customStyle="1" w:styleId="1912">
    <w:name w:val=" Char2 Char Char Char Char Char Char Char Char Char Char Char Char Char Char Char"/>
    <w:basedOn w:val="1"/>
    <w:uiPriority w:val="0"/>
    <w:rPr>
      <w:szCs w:val="20"/>
    </w:rPr>
  </w:style>
  <w:style w:type="paragraph" w:customStyle="1" w:styleId="1913">
    <w:name w:val="zmzw"/>
    <w:basedOn w:val="1"/>
    <w:uiPriority w:val="0"/>
    <w:pPr>
      <w:spacing w:line="360" w:lineRule="auto"/>
    </w:pPr>
    <w:rPr>
      <w:sz w:val="28"/>
      <w:szCs w:val="20"/>
    </w:rPr>
  </w:style>
  <w:style w:type="paragraph" w:customStyle="1" w:styleId="1914">
    <w:name w:val="xl23"/>
    <w:basedOn w:val="1"/>
    <w:uiPriority w:val="0"/>
    <w:pPr>
      <w:widowControl/>
      <w:spacing w:before="100" w:beforeLines="0" w:beforeAutospacing="1" w:after="100" w:afterLines="0" w:afterAutospacing="1"/>
      <w:jc w:val="center"/>
    </w:pPr>
    <w:rPr>
      <w:rFonts w:eastAsia="Arial Unicode MS"/>
      <w:kern w:val="0"/>
      <w:sz w:val="24"/>
    </w:rPr>
  </w:style>
  <w:style w:type="paragraph" w:customStyle="1" w:styleId="1915">
    <w:name w:val="正文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916">
    <w:name w:val="003 3j"/>
    <w:basedOn w:val="1"/>
    <w:uiPriority w:val="0"/>
    <w:pPr>
      <w:keepNext/>
      <w:keepLines/>
      <w:spacing w:before="100" w:beforeLines="0" w:after="100" w:afterLines="0" w:line="415" w:lineRule="auto"/>
      <w:ind w:firstLine="200" w:firstLineChars="200"/>
      <w:outlineLvl w:val="2"/>
    </w:pPr>
    <w:rPr>
      <w:b/>
      <w:sz w:val="28"/>
      <w:szCs w:val="28"/>
    </w:rPr>
  </w:style>
  <w:style w:type="paragraph" w:customStyle="1" w:styleId="1917">
    <w:name w:val="样式 标题 3 + 段前: 0.3 行 段后: 0.3 行1"/>
    <w:basedOn w:val="7"/>
    <w:uiPriority w:val="0"/>
    <w:pPr>
      <w:spacing w:beforeLines="30" w:afterLines="30" w:line="360" w:lineRule="auto"/>
    </w:pPr>
    <w:rPr>
      <w:rFonts w:eastAsia="Times New Roman" w:cs="宋体"/>
      <w:sz w:val="30"/>
      <w:szCs w:val="20"/>
    </w:rPr>
  </w:style>
  <w:style w:type="paragraph" w:customStyle="1" w:styleId="1918">
    <w:name w:val="1表格"/>
    <w:basedOn w:val="1"/>
    <w:uiPriority w:val="0"/>
    <w:pPr>
      <w:snapToGrid w:val="0"/>
      <w:jc w:val="center"/>
      <w:outlineLvl w:val="4"/>
    </w:pPr>
    <w:rPr>
      <w:spacing w:val="4"/>
    </w:rPr>
  </w:style>
  <w:style w:type="paragraph" w:customStyle="1" w:styleId="1919">
    <w:name w:val="正文 New New New New New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920">
    <w:name w:val="xl46"/>
    <w:basedOn w:val="1"/>
    <w:uiPriority w:val="0"/>
    <w:pPr>
      <w:widowControl/>
      <w:spacing w:before="100" w:beforeLines="0" w:beforeAutospacing="1" w:after="100" w:afterLines="0" w:afterAutospacing="1"/>
      <w:jc w:val="center"/>
    </w:pPr>
    <w:rPr>
      <w:rFonts w:ascii="宋体" w:hAnsi="宋体"/>
      <w:kern w:val="0"/>
      <w:sz w:val="20"/>
      <w:szCs w:val="20"/>
    </w:rPr>
  </w:style>
  <w:style w:type="paragraph" w:customStyle="1" w:styleId="1921">
    <w:name w:val="基准页脚样式"/>
    <w:basedOn w:val="35"/>
    <w:uiPriority w:val="0"/>
    <w:pPr>
      <w:adjustRightInd w:val="0"/>
      <w:snapToGrid w:val="0"/>
      <w:spacing w:after="0" w:afterLines="0"/>
      <w:jc w:val="center"/>
    </w:pPr>
    <w:rPr>
      <w:rFonts w:ascii="宋体"/>
      <w:szCs w:val="20"/>
    </w:rPr>
  </w:style>
  <w:style w:type="paragraph" w:customStyle="1" w:styleId="1922">
    <w:name w:val="标准正文"/>
    <w:basedOn w:val="1"/>
    <w:uiPriority w:val="0"/>
    <w:pPr>
      <w:spacing w:before="312" w:beforeLines="100" w:line="360" w:lineRule="auto"/>
      <w:jc w:val="left"/>
    </w:pPr>
    <w:rPr>
      <w:rFonts w:ascii="宋体"/>
    </w:rPr>
  </w:style>
  <w:style w:type="paragraph" w:customStyle="1" w:styleId="1923">
    <w:name w:val="正文王"/>
    <w:basedOn w:val="47"/>
    <w:uiPriority w:val="0"/>
    <w:pPr>
      <w:spacing w:line="440" w:lineRule="exact"/>
    </w:pPr>
    <w:rPr>
      <w:rFonts w:ascii="Arial" w:hAnsi="Arial" w:cs="Times New Roman"/>
      <w:snapToGrid w:val="0"/>
      <w:kern w:val="0"/>
      <w:sz w:val="24"/>
      <w:szCs w:val="20"/>
    </w:rPr>
  </w:style>
  <w:style w:type="paragraph" w:customStyle="1" w:styleId="1924">
    <w:name w:val="p1"/>
    <w:basedOn w:val="1"/>
    <w:uiPriority w:val="0"/>
    <w:pPr>
      <w:widowControl/>
      <w:spacing w:before="100" w:beforeLines="0" w:beforeAutospacing="1" w:after="100" w:afterLines="0" w:afterAutospacing="1" w:line="384" w:lineRule="atLeast"/>
      <w:jc w:val="left"/>
    </w:pPr>
    <w:rPr>
      <w:rFonts w:ascii="Arial Unicode MS" w:hAnsi="Arial Unicode MS" w:eastAsia="Arial Unicode MS" w:cs="Arial Unicode MS"/>
      <w:color w:val="333333"/>
      <w:kern w:val="0"/>
      <w:sz w:val="24"/>
    </w:rPr>
  </w:style>
  <w:style w:type="paragraph" w:customStyle="1" w:styleId="1925">
    <w:name w:val="大纲正文"/>
    <w:basedOn w:val="10"/>
    <w:semiHidden/>
    <w:uiPriority w:val="0"/>
    <w:pPr>
      <w:autoSpaceDE w:val="0"/>
      <w:autoSpaceDN w:val="0"/>
      <w:adjustRightInd w:val="0"/>
      <w:ind w:firstLine="539" w:firstLineChars="0"/>
      <w:jc w:val="left"/>
    </w:pPr>
    <w:rPr>
      <w:rFonts w:ascii="宋体" w:eastAsia="仿宋_GB2312"/>
      <w:kern w:val="0"/>
      <w:sz w:val="24"/>
      <w:szCs w:val="20"/>
    </w:rPr>
  </w:style>
  <w:style w:type="paragraph" w:customStyle="1" w:styleId="1926">
    <w:name w:val=" Char Char Char Char Char Char Char Char Char1 Char Char Char Char Char Char Char Char Char Char Char Char Char Char Char Char Char Char Char Char Char Char"/>
    <w:basedOn w:val="1"/>
    <w:uiPriority w:val="0"/>
    <w:rPr>
      <w:sz w:val="24"/>
    </w:rPr>
  </w:style>
  <w:style w:type="paragraph" w:customStyle="1" w:styleId="1927">
    <w:name w:val="样式 首行缩进:  1 厘米"/>
    <w:basedOn w:val="1"/>
    <w:uiPriority w:val="0"/>
    <w:pPr>
      <w:topLinePunct/>
      <w:spacing w:line="520" w:lineRule="exact"/>
      <w:ind w:firstLine="567"/>
    </w:pPr>
    <w:rPr>
      <w:rFonts w:eastAsia="仿宋_GB2312"/>
      <w:sz w:val="28"/>
      <w:szCs w:val="28"/>
    </w:rPr>
  </w:style>
  <w:style w:type="paragraph" w:customStyle="1" w:styleId="1928">
    <w:name w:val="样式 标题 1Head 1wsa文章标题标题 1111. heading 1标准章H1PIM 1h11.章节..."/>
    <w:basedOn w:val="5"/>
    <w:uiPriority w:val="0"/>
    <w:pPr>
      <w:widowControl/>
      <w:adjustRightInd w:val="0"/>
      <w:snapToGrid w:val="0"/>
      <w:spacing w:before="0" w:beforeLines="0" w:after="0" w:afterLines="0" w:line="360" w:lineRule="auto"/>
    </w:pPr>
    <w:rPr>
      <w:snapToGrid w:val="0"/>
    </w:rPr>
  </w:style>
  <w:style w:type="paragraph" w:customStyle="1" w:styleId="1929">
    <w:name w:val="公式"/>
    <w:basedOn w:val="1"/>
    <w:uiPriority w:val="0"/>
    <w:pPr>
      <w:adjustRightInd w:val="0"/>
      <w:spacing w:before="60" w:beforeLines="0" w:line="394" w:lineRule="atLeast"/>
      <w:jc w:val="center"/>
      <w:textAlignment w:val="baseline"/>
    </w:pPr>
    <w:rPr>
      <w:rFonts w:ascii="宋体"/>
      <w:kern w:val="0"/>
      <w:sz w:val="24"/>
      <w:szCs w:val="20"/>
    </w:rPr>
  </w:style>
  <w:style w:type="paragraph" w:customStyle="1" w:styleId="1930">
    <w:name w:val="Char Char Char Char Char Char Char Char Char Char Char Char Char Char Char Char Char Char Char Char Char Char Char Char Char Char Char Char Char Char Char Char Char Char Char Char Char"/>
    <w:basedOn w:val="1"/>
    <w:uiPriority w:val="0"/>
    <w:pPr>
      <w:spacing w:line="480" w:lineRule="exact"/>
    </w:pPr>
  </w:style>
  <w:style w:type="paragraph" w:customStyle="1" w:styleId="1931">
    <w:name w:val="Date"/>
    <w:basedOn w:val="1"/>
    <w:next w:val="1"/>
    <w:uiPriority w:val="0"/>
    <w:pPr>
      <w:adjustRightInd w:val="0"/>
      <w:spacing w:line="312" w:lineRule="atLeast"/>
      <w:jc w:val="right"/>
      <w:textAlignment w:val="baseline"/>
    </w:pPr>
    <w:rPr>
      <w:rFonts w:ascii="楷体_GB2312"/>
      <w:kern w:val="0"/>
      <w:sz w:val="24"/>
      <w:szCs w:val="20"/>
    </w:rPr>
  </w:style>
  <w:style w:type="paragraph" w:customStyle="1" w:styleId="1932">
    <w:name w:val="样式 样式 标题 2H2SeHead wsa21标题 1.1 + 小三 左侧:  0 厘米 首行缩进:  0 厘米 行... +..."/>
    <w:basedOn w:val="1"/>
    <w:uiPriority w:val="0"/>
    <w:pPr>
      <w:keepNext/>
      <w:keepLines/>
      <w:snapToGrid w:val="0"/>
      <w:spacing w:before="156" w:beforeLines="50" w:after="156" w:afterLines="50" w:line="360" w:lineRule="auto"/>
      <w:outlineLvl w:val="1"/>
    </w:pPr>
    <w:rPr>
      <w:rFonts w:hint="eastAsia" w:ascii="宋体"/>
      <w:b/>
      <w:bCs/>
      <w:color w:val="000000"/>
      <w:sz w:val="30"/>
      <w:szCs w:val="20"/>
    </w:rPr>
  </w:style>
  <w:style w:type="paragraph" w:customStyle="1" w:styleId="1933">
    <w:name w:val="样式 样式 首行缩进:  1.01 厘米 + 首行缩进:  2 字符"/>
    <w:basedOn w:val="1596"/>
    <w:uiPriority w:val="0"/>
    <w:pPr>
      <w:ind w:firstLine="560"/>
      <w:jc w:val="both"/>
    </w:pPr>
    <w:rPr>
      <w:rFonts w:cs="宋体"/>
    </w:rPr>
  </w:style>
  <w:style w:type="paragraph" w:customStyle="1" w:styleId="1934">
    <w:name w:val="xl25"/>
    <w:basedOn w:val="1"/>
    <w:uiPriority w:val="0"/>
    <w:pPr>
      <w:widowControl/>
      <w:pBdr>
        <w:bottom w:val="single" w:color="auto" w:sz="4" w:space="0"/>
        <w:right w:val="single" w:color="auto" w:sz="4" w:space="0"/>
      </w:pBdr>
      <w:spacing w:before="100" w:beforeLines="0" w:beforeAutospacing="1" w:after="100" w:afterLines="0" w:afterAutospacing="1"/>
      <w:jc w:val="center"/>
      <w:textAlignment w:val="top"/>
    </w:pPr>
    <w:rPr>
      <w:kern w:val="0"/>
      <w:szCs w:val="21"/>
    </w:rPr>
  </w:style>
  <w:style w:type="paragraph" w:customStyle="1" w:styleId="1935">
    <w:name w:val="008 表文字"/>
    <w:basedOn w:val="1"/>
    <w:uiPriority w:val="0"/>
    <w:pPr>
      <w:widowControl/>
      <w:spacing w:line="312" w:lineRule="auto"/>
      <w:jc w:val="center"/>
    </w:pPr>
    <w:rPr>
      <w:rFonts w:cs="宋体"/>
      <w:bCs/>
      <w:kern w:val="21"/>
      <w:szCs w:val="21"/>
    </w:rPr>
  </w:style>
  <w:style w:type="paragraph" w:customStyle="1" w:styleId="1936">
    <w:name w:val=" Char Char1 Char Char Char Char Char Char Char Char Char Char Char Char Char Char Char Char Char Char Char Char Char Char Char Char Char Char Char Char Char Char1 Char Char Char Char"/>
    <w:basedOn w:val="1"/>
    <w:uiPriority w:val="0"/>
  </w:style>
  <w:style w:type="paragraph" w:customStyle="1" w:styleId="1937">
    <w:name w:val="标1"/>
    <w:basedOn w:val="1"/>
    <w:uiPriority w:val="0"/>
    <w:pPr>
      <w:tabs>
        <w:tab w:val="left" w:pos="839"/>
      </w:tabs>
      <w:adjustRightInd w:val="0"/>
      <w:spacing w:line="288" w:lineRule="auto"/>
      <w:ind w:right="-34" w:firstLine="465"/>
      <w:textAlignment w:val="baseline"/>
    </w:pPr>
    <w:rPr>
      <w:rFonts w:eastAsia="楷体_GB2312"/>
      <w:kern w:val="0"/>
      <w:sz w:val="32"/>
      <w:szCs w:val="20"/>
    </w:rPr>
  </w:style>
  <w:style w:type="paragraph" w:customStyle="1" w:styleId="1938">
    <w:name w:val="Char Char Char Char Char Char Char Char Char Char Char Char6"/>
    <w:basedOn w:val="1"/>
    <w:uiPriority w:val="0"/>
    <w:pPr>
      <w:spacing w:line="360" w:lineRule="auto"/>
      <w:ind w:firstLine="200" w:firstLineChars="200"/>
    </w:pPr>
    <w:rPr>
      <w:rFonts w:ascii="宋体" w:hAnsi="宋体" w:cs="宋体"/>
      <w:sz w:val="24"/>
    </w:rPr>
  </w:style>
  <w:style w:type="paragraph" w:customStyle="1" w:styleId="1939">
    <w:name w:val="dxj标题4"/>
    <w:basedOn w:val="8"/>
    <w:uiPriority w:val="0"/>
    <w:pPr>
      <w:spacing w:before="0" w:after="0" w:line="360" w:lineRule="auto"/>
      <w:jc w:val="left"/>
    </w:pPr>
    <w:rPr>
      <w:rFonts w:ascii="Times New Roman" w:hAnsi="Times New Roman" w:eastAsia="Times New Roman"/>
      <w:b w:val="0"/>
      <w:bCs/>
      <w:sz w:val="24"/>
      <w:szCs w:val="28"/>
    </w:rPr>
  </w:style>
  <w:style w:type="paragraph" w:customStyle="1" w:styleId="1940">
    <w:name w:val="图表"/>
    <w:basedOn w:val="1"/>
    <w:next w:val="1"/>
    <w:uiPriority w:val="0"/>
    <w:pPr>
      <w:keepNext/>
      <w:autoSpaceDE w:val="0"/>
      <w:autoSpaceDN w:val="0"/>
      <w:adjustRightInd w:val="0"/>
    </w:pPr>
    <w:rPr>
      <w:rFonts w:ascii="宋体" w:hAnsi="宋体"/>
      <w:bCs/>
      <w:szCs w:val="21"/>
    </w:rPr>
  </w:style>
  <w:style w:type="paragraph" w:customStyle="1" w:styleId="1941">
    <w:name w:val="表格名和图名"/>
    <w:basedOn w:val="1"/>
    <w:uiPriority w:val="0"/>
    <w:pPr>
      <w:spacing w:line="360" w:lineRule="auto"/>
      <w:ind w:firstLine="420"/>
      <w:jc w:val="center"/>
    </w:pPr>
    <w:rPr>
      <w:b/>
      <w:color w:val="000000"/>
      <w:sz w:val="24"/>
    </w:rPr>
  </w:style>
  <w:style w:type="paragraph" w:customStyle="1" w:styleId="1942">
    <w:name w:val="body"/>
    <w:basedOn w:val="1"/>
    <w:uiPriority w:val="0"/>
    <w:pPr>
      <w:spacing w:line="360" w:lineRule="auto"/>
      <w:ind w:firstLine="480" w:firstLineChars="200"/>
    </w:pPr>
    <w:rPr>
      <w:rFonts w:ascii="宋体" w:eastAsia="仿宋_GB2312"/>
      <w:bCs/>
      <w:sz w:val="24"/>
    </w:rPr>
  </w:style>
  <w:style w:type="paragraph" w:customStyle="1" w:styleId="1943">
    <w:name w:val="样式 标题 3 + 四号"/>
    <w:basedOn w:val="7"/>
    <w:uiPriority w:val="0"/>
    <w:pPr>
      <w:snapToGrid w:val="0"/>
      <w:spacing w:before="0" w:beforeLines="0" w:after="0" w:afterLines="0" w:line="360" w:lineRule="auto"/>
    </w:pPr>
    <w:rPr>
      <w:kern w:val="0"/>
      <w:sz w:val="28"/>
    </w:rPr>
  </w:style>
  <w:style w:type="paragraph" w:customStyle="1" w:styleId="1944">
    <w:name w:val="样式 (西文) 宋体 四号 首行缩进:  1.02 厘米"/>
    <w:basedOn w:val="1"/>
    <w:uiPriority w:val="0"/>
    <w:pPr>
      <w:ind w:firstLine="576"/>
    </w:pPr>
    <w:rPr>
      <w:rFonts w:ascii="宋体" w:hAnsi="宋体" w:cs="宋体"/>
      <w:sz w:val="28"/>
      <w:szCs w:val="20"/>
    </w:rPr>
  </w:style>
  <w:style w:type="paragraph" w:customStyle="1" w:styleId="1945">
    <w:name w:val="默认段落字体 Para Char"/>
    <w:basedOn w:val="1"/>
    <w:uiPriority w:val="0"/>
    <w:pPr>
      <w:spacing w:line="360" w:lineRule="auto"/>
      <w:ind w:firstLine="200" w:firstLineChars="200"/>
    </w:pPr>
    <w:rPr>
      <w:rFonts w:ascii="宋体" w:hAnsi="宋体" w:cs="宋体"/>
      <w:sz w:val="24"/>
    </w:rPr>
  </w:style>
  <w:style w:type="paragraph" w:customStyle="1" w:styleId="1946">
    <w:name w:val="123"/>
    <w:basedOn w:val="10"/>
    <w:uiPriority w:val="0"/>
    <w:pPr>
      <w:widowControl/>
      <w:tabs>
        <w:tab w:val="left" w:pos="352"/>
      </w:tabs>
      <w:overflowPunct w:val="0"/>
      <w:autoSpaceDE w:val="0"/>
      <w:autoSpaceDN w:val="0"/>
      <w:adjustRightInd w:val="0"/>
      <w:snapToGrid w:val="0"/>
      <w:spacing w:before="50" w:beforeLines="0" w:line="460" w:lineRule="exact"/>
      <w:ind w:firstLine="200"/>
      <w:textAlignment w:val="bottom"/>
    </w:pPr>
    <w:rPr>
      <w:color w:val="000000"/>
      <w:kern w:val="0"/>
      <w:szCs w:val="20"/>
    </w:rPr>
  </w:style>
  <w:style w:type="paragraph" w:customStyle="1" w:styleId="1947">
    <w:name w:val=" Char Char Char Char Char Char1 Char Char Char"/>
    <w:basedOn w:val="1"/>
    <w:uiPriority w:val="0"/>
    <w:pPr>
      <w:adjustRightInd w:val="0"/>
      <w:spacing w:line="360" w:lineRule="auto"/>
    </w:pPr>
    <w:rPr>
      <w:kern w:val="0"/>
      <w:sz w:val="24"/>
      <w:szCs w:val="20"/>
    </w:rPr>
  </w:style>
  <w:style w:type="paragraph" w:customStyle="1" w:styleId="1948">
    <w:name w:val="麦志勤标题五"/>
    <w:basedOn w:val="51"/>
    <w:uiPriority w:val="0"/>
    <w:pPr>
      <w:adjustRightInd w:val="0"/>
      <w:snapToGrid w:val="0"/>
      <w:spacing w:before="312" w:beforeLines="100" w:line="300" w:lineRule="auto"/>
      <w:ind w:firstLine="200" w:firstLineChars="200"/>
      <w:outlineLvl w:val="0"/>
    </w:pPr>
    <w:rPr>
      <w:rFonts w:ascii="黑体" w:eastAsia="黑体"/>
      <w:sz w:val="28"/>
    </w:rPr>
  </w:style>
  <w:style w:type="paragraph" w:customStyle="1" w:styleId="1949">
    <w:name w:val="正文 New New New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950">
    <w:name w:val=" Char Char1 Char"/>
    <w:basedOn w:val="1"/>
    <w:uiPriority w:val="0"/>
  </w:style>
  <w:style w:type="paragraph" w:customStyle="1" w:styleId="1951">
    <w:name w:val="参加人员"/>
    <w:basedOn w:val="1"/>
    <w:uiPriority w:val="0"/>
    <w:pPr>
      <w:spacing w:line="500" w:lineRule="atLeast"/>
    </w:pPr>
    <w:rPr>
      <w:sz w:val="24"/>
      <w:szCs w:val="20"/>
    </w:rPr>
  </w:style>
  <w:style w:type="paragraph" w:customStyle="1" w:styleId="1952">
    <w:name w:val="普通 (Web)"/>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1953">
    <w:name w:val="xl31"/>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pPr>
    <w:rPr>
      <w:rFonts w:ascii="宋体" w:hAnsi="宋体"/>
      <w:kern w:val="0"/>
      <w:szCs w:val="21"/>
    </w:rPr>
  </w:style>
  <w:style w:type="paragraph" w:customStyle="1" w:styleId="1954">
    <w:name w:val="my table header"/>
    <w:basedOn w:val="994"/>
    <w:locked/>
    <w:uiPriority w:val="0"/>
    <w:pPr>
      <w:widowControl/>
      <w:tabs>
        <w:tab w:val="clear" w:pos="3480"/>
      </w:tabs>
      <w:overflowPunct w:val="0"/>
      <w:spacing w:line="312" w:lineRule="auto"/>
      <w:ind w:firstLine="480" w:firstLineChars="200"/>
      <w:jc w:val="both"/>
      <w:textAlignment w:val="bottom"/>
    </w:pPr>
    <w:rPr>
      <w:rFonts w:ascii="黑体" w:hAnsi="黑体" w:eastAsia="黑体"/>
      <w:bCs w:val="0"/>
      <w:szCs w:val="20"/>
    </w:rPr>
  </w:style>
  <w:style w:type="paragraph" w:customStyle="1" w:styleId="1955">
    <w:name w:val="c12"/>
    <w:basedOn w:val="1"/>
    <w:uiPriority w:val="0"/>
    <w:pPr>
      <w:widowControl/>
      <w:spacing w:before="100" w:beforeLines="0" w:beforeAutospacing="1" w:after="100" w:afterLines="0" w:afterAutospacing="1" w:line="315" w:lineRule="atLeast"/>
      <w:jc w:val="left"/>
    </w:pPr>
    <w:rPr>
      <w:rFonts w:ascii="宋体" w:hAnsi="宋体"/>
      <w:color w:val="666666"/>
      <w:kern w:val="0"/>
      <w:sz w:val="18"/>
      <w:szCs w:val="18"/>
    </w:rPr>
  </w:style>
  <w:style w:type="paragraph" w:customStyle="1" w:styleId="1956">
    <w:name w:val="5"/>
    <w:basedOn w:val="1"/>
    <w:next w:val="1"/>
    <w:uiPriority w:val="0"/>
    <w:pPr>
      <w:snapToGrid w:val="0"/>
      <w:spacing w:line="360" w:lineRule="auto"/>
      <w:ind w:firstLine="200" w:firstLineChars="200"/>
    </w:pPr>
    <w:rPr>
      <w:sz w:val="24"/>
    </w:rPr>
  </w:style>
  <w:style w:type="paragraph" w:customStyle="1" w:styleId="1957">
    <w:name w:val="正文-使用"/>
    <w:basedOn w:val="1"/>
    <w:uiPriority w:val="0"/>
    <w:pPr>
      <w:adjustRightInd w:val="0"/>
      <w:snapToGrid w:val="0"/>
      <w:spacing w:line="360" w:lineRule="auto"/>
      <w:ind w:firstLine="482"/>
    </w:pPr>
    <w:rPr>
      <w:sz w:val="24"/>
      <w:szCs w:val="20"/>
    </w:rPr>
  </w:style>
  <w:style w:type="paragraph" w:customStyle="1" w:styleId="1958">
    <w:name w:val="表格15"/>
    <w:basedOn w:val="1"/>
    <w:uiPriority w:val="0"/>
    <w:pPr>
      <w:adjustRightInd w:val="0"/>
      <w:snapToGrid w:val="0"/>
      <w:spacing w:line="300" w:lineRule="exact"/>
      <w:jc w:val="center"/>
    </w:pPr>
    <w:rPr>
      <w:szCs w:val="21"/>
    </w:rPr>
  </w:style>
  <w:style w:type="paragraph" w:customStyle="1" w:styleId="1959">
    <w:name w:val="Normal"/>
    <w:basedOn w:val="1"/>
    <w:uiPriority w:val="0"/>
    <w:pPr>
      <w:adjustRightInd w:val="0"/>
      <w:spacing w:line="480" w:lineRule="exact"/>
      <w:ind w:firstLine="465"/>
      <w:textAlignment w:val="baseline"/>
    </w:pPr>
    <w:rPr>
      <w:spacing w:val="-2"/>
      <w:kern w:val="0"/>
      <w:sz w:val="28"/>
      <w:szCs w:val="20"/>
    </w:rPr>
  </w:style>
  <w:style w:type="paragraph" w:customStyle="1" w:styleId="1960">
    <w:name w:val="默认段落字体 Para Char Char Char Char Char Char Char Char Char Char Char Char Char1 Char"/>
    <w:basedOn w:val="27"/>
    <w:uiPriority w:val="0"/>
    <w:rPr>
      <w:rFonts w:ascii="Tahoma" w:hAnsi="Tahoma"/>
      <w:sz w:val="24"/>
    </w:rPr>
  </w:style>
  <w:style w:type="paragraph" w:customStyle="1" w:styleId="1961">
    <w:name w:val="样式 题注 + 首行缩进:  2 字符"/>
    <w:basedOn w:val="24"/>
    <w:uiPriority w:val="0"/>
    <w:pPr>
      <w:spacing w:line="360" w:lineRule="auto"/>
      <w:ind w:firstLine="502"/>
    </w:pPr>
    <w:rPr>
      <w:rFonts w:ascii="黑体"/>
    </w:rPr>
  </w:style>
  <w:style w:type="paragraph" w:customStyle="1" w:styleId="1962">
    <w:name w:val="四级标题S"/>
    <w:basedOn w:val="8"/>
    <w:next w:val="1963"/>
    <w:uiPriority w:val="0"/>
    <w:pPr>
      <w:numPr>
        <w:ilvl w:val="3"/>
        <w:numId w:val="0"/>
      </w:numPr>
      <w:tabs>
        <w:tab w:val="left" w:pos="864"/>
      </w:tabs>
      <w:spacing w:before="0" w:after="0" w:line="360" w:lineRule="auto"/>
      <w:ind w:left="864" w:hanging="864"/>
    </w:pPr>
    <w:rPr>
      <w:rFonts w:ascii="Times New Roman" w:hAnsi="Times New Roman" w:eastAsia="仿宋_GB2312"/>
      <w:b w:val="0"/>
      <w:sz w:val="24"/>
      <w:szCs w:val="20"/>
    </w:rPr>
  </w:style>
  <w:style w:type="paragraph" w:customStyle="1" w:styleId="1963">
    <w:name w:val="正文段落S"/>
    <w:basedOn w:val="1"/>
    <w:uiPriority w:val="0"/>
    <w:pPr>
      <w:spacing w:line="360" w:lineRule="auto"/>
      <w:ind w:firstLine="420" w:firstLineChars="200"/>
    </w:pPr>
    <w:rPr>
      <w:rFonts w:eastAsia="仿宋_GB2312"/>
      <w:snapToGrid w:val="0"/>
      <w:kern w:val="0"/>
      <w:sz w:val="24"/>
      <w:szCs w:val="20"/>
    </w:rPr>
  </w:style>
  <w:style w:type="paragraph" w:customStyle="1" w:styleId="1964">
    <w:name w:val="框图1"/>
    <w:basedOn w:val="1"/>
    <w:uiPriority w:val="0"/>
    <w:pPr>
      <w:adjustRightInd w:val="0"/>
      <w:spacing w:before="20" w:beforeLines="0" w:after="20" w:afterLines="0" w:line="20" w:lineRule="atLeast"/>
      <w:jc w:val="center"/>
      <w:textAlignment w:val="baseline"/>
    </w:pPr>
    <w:rPr>
      <w:kern w:val="18"/>
      <w:sz w:val="24"/>
      <w:szCs w:val="20"/>
    </w:rPr>
  </w:style>
  <w:style w:type="paragraph" w:customStyle="1" w:styleId="1965">
    <w:name w:val="样式 小四 首行缩进:  0.85 厘米 行距: 1.5 倍行距"/>
    <w:basedOn w:val="1"/>
    <w:uiPriority w:val="0"/>
    <w:pPr>
      <w:adjustRightInd w:val="0"/>
      <w:spacing w:line="360" w:lineRule="auto"/>
      <w:ind w:firstLine="480"/>
      <w:textAlignment w:val="baseline"/>
    </w:pPr>
    <w:rPr>
      <w:rFonts w:cs="宋体"/>
      <w:sz w:val="24"/>
      <w:szCs w:val="20"/>
    </w:rPr>
  </w:style>
  <w:style w:type="paragraph" w:customStyle="1" w:styleId="1966">
    <w:name w:val="Normal New"/>
    <w:uiPriority w:val="0"/>
    <w:pPr>
      <w:jc w:val="both"/>
    </w:pPr>
    <w:rPr>
      <w:kern w:val="2"/>
      <w:sz w:val="21"/>
      <w:lang w:val="en-US" w:eastAsia="zh-CN" w:bidi="ar-SA"/>
    </w:rPr>
  </w:style>
  <w:style w:type="paragraph" w:customStyle="1" w:styleId="1967">
    <w:name w:val="Char Char Char Char Char Char Char Char Char Char Char1 Char"/>
    <w:basedOn w:val="1"/>
    <w:uiPriority w:val="0"/>
    <w:rPr>
      <w:sz w:val="24"/>
    </w:rPr>
  </w:style>
  <w:style w:type="paragraph" w:customStyle="1" w:styleId="1968">
    <w:name w:val="xl47"/>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1969">
    <w:name w:val="Char1 Char Char Char Char Char Char"/>
    <w:basedOn w:val="1"/>
    <w:uiPriority w:val="0"/>
  </w:style>
  <w:style w:type="paragraph" w:customStyle="1" w:styleId="1970">
    <w:name w:val="Char Char Char"/>
    <w:basedOn w:val="1"/>
    <w:uiPriority w:val="0"/>
    <w:pPr>
      <w:snapToGrid w:val="0"/>
      <w:spacing w:line="440" w:lineRule="atLeast"/>
      <w:jc w:val="left"/>
    </w:pPr>
    <w:rPr>
      <w:rFonts w:ascii="宋体" w:eastAsia="Times New Roman"/>
      <w:b/>
      <w:kern w:val="0"/>
      <w:sz w:val="36"/>
    </w:rPr>
  </w:style>
  <w:style w:type="paragraph" w:customStyle="1" w:styleId="1971">
    <w:name w:val="默认段落字体 Para Char Char Char Char Char Char Char Char Char Char"/>
    <w:basedOn w:val="7"/>
    <w:uiPriority w:val="0"/>
    <w:pPr>
      <w:tabs>
        <w:tab w:val="left" w:pos="360"/>
        <w:tab w:val="left" w:pos="900"/>
      </w:tabs>
      <w:snapToGrid w:val="0"/>
      <w:spacing w:before="120" w:beforeLines="0" w:after="120" w:afterLines="0" w:line="360" w:lineRule="auto"/>
      <w:ind w:left="542" w:leftChars="-12" w:firstLine="200" w:firstLineChars="200"/>
      <w:jc w:val="left"/>
    </w:pPr>
    <w:rPr>
      <w:rFonts w:eastAsia="黑体"/>
      <w:b w:val="0"/>
      <w:bCs w:val="0"/>
      <w:sz w:val="24"/>
      <w:szCs w:val="24"/>
    </w:rPr>
  </w:style>
  <w:style w:type="paragraph" w:customStyle="1" w:styleId="1972">
    <w:name w:val=" Char Char Char Char2 Char"/>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1973">
    <w:name w:val="样式10"/>
    <w:basedOn w:val="994"/>
    <w:uiPriority w:val="0"/>
    <w:pPr>
      <w:tabs>
        <w:tab w:val="clear" w:pos="3480"/>
      </w:tabs>
      <w:ind w:left="0" w:leftChars="0" w:firstLine="0" w:firstLineChars="0"/>
    </w:pPr>
    <w:rPr>
      <w:rFonts w:ascii="宋体" w:hAnsi="宋体"/>
    </w:rPr>
  </w:style>
  <w:style w:type="paragraph" w:customStyle="1" w:styleId="1974">
    <w:name w:val="1.1"/>
    <w:basedOn w:val="1"/>
    <w:uiPriority w:val="0"/>
    <w:pPr>
      <w:adjustRightInd w:val="0"/>
      <w:spacing w:before="600" w:beforeLines="0" w:after="120" w:afterLines="0" w:line="360" w:lineRule="exact"/>
      <w:jc w:val="left"/>
      <w:textAlignment w:val="baseline"/>
    </w:pPr>
    <w:rPr>
      <w:rFonts w:eastAsia="DFKai-SB"/>
      <w:kern w:val="0"/>
      <w:sz w:val="30"/>
      <w:szCs w:val="20"/>
      <w:lang w:eastAsia="zh-TW"/>
    </w:rPr>
  </w:style>
  <w:style w:type="paragraph" w:customStyle="1" w:styleId="1975">
    <w:name w:val="正文文本 New"/>
    <w:basedOn w:val="1976"/>
    <w:uiPriority w:val="0"/>
    <w:rPr>
      <w:sz w:val="18"/>
    </w:rPr>
  </w:style>
  <w:style w:type="paragraph" w:customStyle="1" w:styleId="1976">
    <w:name w:val="正文 New New New New New New New New New New"/>
    <w:uiPriority w:val="0"/>
    <w:pPr>
      <w:widowControl w:val="0"/>
      <w:jc w:val="both"/>
    </w:pPr>
    <w:rPr>
      <w:kern w:val="2"/>
      <w:sz w:val="24"/>
      <w:szCs w:val="24"/>
      <w:lang w:val="en-US" w:eastAsia="zh-CN" w:bidi="ar-SA"/>
    </w:rPr>
  </w:style>
  <w:style w:type="paragraph" w:customStyle="1" w:styleId="1977">
    <w:name w:val="样式 1标题3级 + 左侧:  -0.85 厘米 段前: 1.55 磅"/>
    <w:basedOn w:val="1"/>
    <w:uiPriority w:val="0"/>
    <w:pPr>
      <w:keepNext/>
      <w:snapToGrid w:val="0"/>
      <w:spacing w:before="120" w:beforeLines="0" w:line="420" w:lineRule="auto"/>
      <w:ind w:left="-482" w:firstLine="199" w:firstLineChars="199"/>
      <w:outlineLvl w:val="2"/>
    </w:pPr>
    <w:rPr>
      <w:rFonts w:eastAsia="黑体"/>
      <w:b/>
      <w:sz w:val="24"/>
      <w:szCs w:val="20"/>
    </w:rPr>
  </w:style>
  <w:style w:type="paragraph" w:customStyle="1" w:styleId="1978">
    <w:name w:val="图表题"/>
    <w:next w:val="1"/>
    <w:uiPriority w:val="0"/>
    <w:pPr>
      <w:spacing w:before="156" w:after="156" w:line="360" w:lineRule="exact"/>
      <w:jc w:val="center"/>
      <w:textAlignment w:val="center"/>
    </w:pPr>
    <w:rPr>
      <w:rFonts w:ascii="宋体" w:hAnsi="宋体"/>
      <w:b/>
      <w:kern w:val="2"/>
      <w:sz w:val="24"/>
      <w:lang w:val="en-US" w:eastAsia="zh-CN" w:bidi="ar-SA"/>
    </w:rPr>
  </w:style>
  <w:style w:type="paragraph" w:customStyle="1" w:styleId="1979">
    <w:name w:val="样式 (符号) 宋体 首行缩进:  0.93 厘米 段前: 6 磅 段后: 6 磅 行距: 固定值 18 磅1"/>
    <w:basedOn w:val="1"/>
    <w:uiPriority w:val="0"/>
    <w:pPr>
      <w:spacing w:before="160" w:after="160" w:line="320" w:lineRule="exact"/>
      <w:ind w:firstLine="527"/>
    </w:pPr>
    <w:rPr>
      <w:rFonts w:hAnsi="宋体"/>
      <w:sz w:val="24"/>
      <w:szCs w:val="20"/>
    </w:rPr>
  </w:style>
  <w:style w:type="paragraph" w:customStyle="1" w:styleId="1980">
    <w:name w:val="test"/>
    <w:basedOn w:val="1"/>
    <w:uiPriority w:val="0"/>
    <w:pPr>
      <w:widowControl/>
      <w:overflowPunct w:val="0"/>
      <w:autoSpaceDE w:val="0"/>
      <w:autoSpaceDN w:val="0"/>
      <w:adjustRightInd w:val="0"/>
      <w:spacing w:before="60" w:after="60"/>
      <w:textAlignment w:val="baseline"/>
    </w:pPr>
    <w:rPr>
      <w:rFonts w:ascii="楷体_GB2312" w:eastAsia="楷体_GB2312"/>
      <w:spacing w:val="-30"/>
      <w:kern w:val="0"/>
      <w:sz w:val="22"/>
      <w:szCs w:val="20"/>
    </w:rPr>
  </w:style>
  <w:style w:type="paragraph" w:customStyle="1" w:styleId="1981">
    <w:name w:val="Title_u"/>
    <w:basedOn w:val="1"/>
    <w:uiPriority w:val="0"/>
    <w:pPr>
      <w:widowControl/>
      <w:overflowPunct w:val="0"/>
      <w:autoSpaceDE w:val="0"/>
      <w:autoSpaceDN w:val="0"/>
      <w:adjustRightInd w:val="0"/>
      <w:spacing w:before="120" w:beforeLines="0" w:after="120" w:afterLines="0" w:line="360" w:lineRule="auto"/>
      <w:jc w:val="center"/>
      <w:textAlignment w:val="baseline"/>
    </w:pPr>
    <w:rPr>
      <w:rFonts w:ascii="黑体" w:eastAsia="黑体"/>
      <w:b/>
      <w:kern w:val="0"/>
      <w:sz w:val="28"/>
      <w:szCs w:val="20"/>
    </w:rPr>
  </w:style>
  <w:style w:type="paragraph" w:customStyle="1" w:styleId="1982">
    <w:name w:val="样式 标题 2标题 21标题 121 + Times New Roman 小三 非加粗 黑色 段前: 8 磅 段...2"/>
    <w:basedOn w:val="6"/>
    <w:uiPriority w:val="0"/>
    <w:pPr>
      <w:tabs>
        <w:tab w:val="left" w:pos="780"/>
      </w:tabs>
      <w:spacing w:before="160" w:after="160" w:line="240" w:lineRule="auto"/>
      <w:ind w:left="780" w:hanging="360"/>
    </w:pPr>
    <w:rPr>
      <w:rFonts w:ascii="Times New Roman" w:hAnsi="Times New Roman"/>
      <w:b w:val="0"/>
      <w:bCs w:val="0"/>
      <w:color w:val="000000"/>
      <w:sz w:val="30"/>
      <w:szCs w:val="20"/>
    </w:rPr>
  </w:style>
  <w:style w:type="paragraph" w:customStyle="1" w:styleId="1983">
    <w:name w:val="样式 样式 标题 2节 + 宋体 左侧:  0 厘米 段前: 12 磅 + Times New Roman1"/>
    <w:basedOn w:val="1906"/>
    <w:uiPriority w:val="0"/>
    <w:rPr>
      <w:rFonts w:ascii="Arial" w:hAnsi="Arial" w:eastAsia="黑体"/>
      <w:b w:val="0"/>
      <w:bCs/>
      <w:sz w:val="30"/>
      <w:szCs w:val="30"/>
    </w:rPr>
  </w:style>
  <w:style w:type="paragraph" w:customStyle="1" w:styleId="1984">
    <w:name w:val="样式 标题 41H4Subsection第三层条PIM 4h4标题 4 CharFab-4T5Ref Hea..."/>
    <w:basedOn w:val="8"/>
    <w:uiPriority w:val="0"/>
    <w:pPr>
      <w:keepNext w:val="0"/>
      <w:keepLines w:val="0"/>
      <w:numPr>
        <w:ilvl w:val="0"/>
        <w:numId w:val="0"/>
      </w:numPr>
      <w:tabs>
        <w:tab w:val="left" w:pos="180"/>
      </w:tabs>
      <w:spacing w:before="0" w:beforeLines="0" w:after="156" w:afterLines="50" w:line="360" w:lineRule="auto"/>
      <w:ind w:left="3238" w:hanging="3238"/>
    </w:pPr>
    <w:rPr>
      <w:rFonts w:ascii="宋体" w:hAnsi="宋体" w:eastAsia="宋体" w:cs="宋体"/>
      <w:bCs/>
      <w:kern w:val="0"/>
      <w:sz w:val="24"/>
    </w:rPr>
  </w:style>
  <w:style w:type="paragraph" w:customStyle="1" w:styleId="1985">
    <w:name w:val="正文LXF"/>
    <w:basedOn w:val="1"/>
    <w:uiPriority w:val="0"/>
    <w:pPr>
      <w:spacing w:line="580" w:lineRule="atLeast"/>
      <w:ind w:firstLine="200" w:firstLineChars="200"/>
    </w:pPr>
    <w:rPr>
      <w:sz w:val="28"/>
      <w:szCs w:val="20"/>
    </w:rPr>
  </w:style>
  <w:style w:type="paragraph" w:customStyle="1" w:styleId="1986">
    <w:name w:val="样式"/>
    <w:basedOn w:val="1"/>
    <w:next w:val="36"/>
    <w:uiPriority w:val="0"/>
    <w:pPr>
      <w:adjustRightInd w:val="0"/>
      <w:spacing w:line="360" w:lineRule="auto"/>
      <w:ind w:firstLine="480"/>
      <w:textAlignment w:val="baseline"/>
    </w:pPr>
    <w:rPr>
      <w:rFonts w:ascii="宋体"/>
      <w:kern w:val="0"/>
      <w:sz w:val="24"/>
    </w:rPr>
  </w:style>
  <w:style w:type="paragraph" w:customStyle="1" w:styleId="1987">
    <w:name w:val="表格文字3"/>
    <w:basedOn w:val="578"/>
    <w:uiPriority w:val="0"/>
    <w:pPr>
      <w:autoSpaceDE w:val="0"/>
      <w:autoSpaceDN w:val="0"/>
      <w:snapToGrid/>
      <w:spacing w:before="31" w:beforeLines="10" w:after="31" w:afterLines="10"/>
      <w:ind w:left="0" w:leftChars="0" w:right="0" w:rightChars="0"/>
      <w:jc w:val="both"/>
      <w:textAlignment w:val="auto"/>
    </w:pPr>
    <w:rPr>
      <w:rFonts w:ascii="Times New Roman" w:hAnsi="Times New Roman"/>
      <w:bCs/>
      <w:kern w:val="0"/>
      <w:sz w:val="21"/>
      <w:szCs w:val="24"/>
      <w:lang/>
    </w:rPr>
  </w:style>
  <w:style w:type="paragraph" w:customStyle="1" w:styleId="1988">
    <w:name w:val="标题 1YHY"/>
    <w:basedOn w:val="5"/>
    <w:uiPriority w:val="0"/>
    <w:pPr>
      <w:spacing w:beforeLines="50" w:afterLines="50" w:line="360" w:lineRule="auto"/>
    </w:pPr>
    <w:rPr>
      <w:rFonts w:eastAsia="黑体" w:cs="宋体"/>
      <w:bCs w:val="0"/>
      <w:color w:val="000000"/>
      <w:sz w:val="30"/>
      <w:szCs w:val="30"/>
    </w:rPr>
  </w:style>
  <w:style w:type="paragraph" w:customStyle="1" w:styleId="1989">
    <w:name w:val="xl43"/>
    <w:basedOn w:val="1"/>
    <w:uiPriority w:val="0"/>
    <w:pPr>
      <w:widowControl/>
      <w:pBdr>
        <w:top w:val="single" w:color="auto" w:sz="8" w:space="0"/>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1990">
    <w:name w:val="wangjunbo.bullet"/>
    <w:basedOn w:val="1"/>
    <w:uiPriority w:val="0"/>
    <w:pPr>
      <w:adjustRightInd w:val="0"/>
      <w:snapToGrid w:val="0"/>
      <w:spacing w:line="280" w:lineRule="exact"/>
      <w:jc w:val="center"/>
    </w:pPr>
    <w:rPr>
      <w:snapToGrid w:val="0"/>
      <w:kern w:val="0"/>
      <w:szCs w:val="20"/>
    </w:rPr>
  </w:style>
  <w:style w:type="paragraph" w:customStyle="1" w:styleId="1991">
    <w:name w:val="表格 21"/>
    <w:uiPriority w:val="0"/>
    <w:pPr>
      <w:widowControl w:val="0"/>
      <w:autoSpaceDE w:val="0"/>
      <w:autoSpaceDN w:val="0"/>
      <w:adjustRightInd w:val="0"/>
      <w:jc w:val="center"/>
      <w:textAlignment w:val="baseline"/>
    </w:pPr>
    <w:rPr>
      <w:rFonts w:eastAsia="仿宋体"/>
      <w:sz w:val="28"/>
      <w:lang w:val="en-US" w:eastAsia="zh-CN" w:bidi="ar-SA"/>
    </w:rPr>
  </w:style>
  <w:style w:type="paragraph" w:customStyle="1" w:styleId="1992">
    <w:name w:val="正文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1993">
    <w:name w:val="湛宝标题"/>
    <w:basedOn w:val="24"/>
    <w:uiPriority w:val="0"/>
    <w:pPr>
      <w:snapToGrid/>
      <w:spacing w:line="360" w:lineRule="auto"/>
    </w:pPr>
    <w:rPr>
      <w:rFonts w:ascii="Arial" w:hAnsi="Arial" w:cs="Arial"/>
      <w:b w:val="0"/>
      <w:szCs w:val="20"/>
    </w:rPr>
  </w:style>
  <w:style w:type="paragraph" w:customStyle="1" w:styleId="1994">
    <w:name w:val="样式 正文文本缩进 + 宋体 五号 黑色 全部大写 居中 首行缩进:  0 厘米 段前: 0 磅 行距: 单倍行距"/>
    <w:basedOn w:val="36"/>
    <w:uiPriority w:val="0"/>
    <w:pPr>
      <w:adjustRightInd w:val="0"/>
      <w:spacing w:line="240" w:lineRule="auto"/>
      <w:ind w:firstLine="0" w:firstLineChars="0"/>
      <w:jc w:val="center"/>
      <w:textAlignment w:val="baseline"/>
    </w:pPr>
    <w:rPr>
      <w:color w:val="000000"/>
      <w:kern w:val="28"/>
      <w:sz w:val="21"/>
      <w:szCs w:val="20"/>
    </w:rPr>
  </w:style>
  <w:style w:type="paragraph" w:customStyle="1" w:styleId="1995">
    <w:name w:val="样式 标题 2 + 段后: 16.3 磅"/>
    <w:basedOn w:val="6"/>
    <w:uiPriority w:val="0"/>
    <w:pPr>
      <w:spacing w:after="326" w:afterLines="0" w:line="312" w:lineRule="auto"/>
      <w:jc w:val="left"/>
    </w:pPr>
    <w:rPr>
      <w:rFonts w:ascii="Times New Roman" w:hAnsi="Times New Roman" w:eastAsia="宋体"/>
      <w:sz w:val="24"/>
      <w:szCs w:val="24"/>
    </w:rPr>
  </w:style>
  <w:style w:type="paragraph" w:customStyle="1" w:styleId="1996">
    <w:name w:val="样式 编制日期 + 首行缩进:  6.4 字符"/>
    <w:basedOn w:val="1"/>
    <w:uiPriority w:val="0"/>
    <w:pPr>
      <w:ind w:firstLine="1799" w:firstLineChars="640"/>
    </w:pPr>
    <w:rPr>
      <w:b/>
      <w:sz w:val="28"/>
      <w:szCs w:val="20"/>
    </w:rPr>
  </w:style>
  <w:style w:type="paragraph" w:customStyle="1" w:styleId="1997">
    <w:name w:val="xl37"/>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kern w:val="0"/>
      <w:szCs w:val="21"/>
    </w:rPr>
  </w:style>
  <w:style w:type="paragraph" w:customStyle="1" w:styleId="1998">
    <w:name w:val="xl52"/>
    <w:basedOn w:val="1"/>
    <w:uiPriority w:val="0"/>
    <w:pPr>
      <w:widowControl/>
      <w:pBdr>
        <w:left w:val="single" w:color="auto" w:sz="8" w:space="0"/>
        <w:bottom w:val="single" w:color="auto" w:sz="8" w:space="0"/>
        <w:right w:val="single" w:color="auto" w:sz="8" w:space="0"/>
      </w:pBdr>
      <w:shd w:val="clear" w:color="auto" w:fill="FF99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1999">
    <w:name w:val="正文 New New New New New New New New New"/>
    <w:uiPriority w:val="0"/>
    <w:pPr>
      <w:widowControl w:val="0"/>
      <w:jc w:val="both"/>
    </w:pPr>
    <w:rPr>
      <w:kern w:val="2"/>
      <w:sz w:val="21"/>
      <w:szCs w:val="24"/>
      <w:lang w:val="en-US" w:eastAsia="zh-CN" w:bidi="ar-SA"/>
    </w:rPr>
  </w:style>
  <w:style w:type="paragraph" w:customStyle="1" w:styleId="2000">
    <w:name w:val=" Char Char Char Char Char Char Char Char Char Char Char Char Char Char Char"/>
    <w:basedOn w:val="1"/>
    <w:uiPriority w:val="0"/>
    <w:pPr>
      <w:spacing w:line="480" w:lineRule="exact"/>
    </w:pPr>
  </w:style>
  <w:style w:type="paragraph" w:customStyle="1" w:styleId="2001">
    <w:name w:val="表格文字 New New"/>
    <w:basedOn w:val="1"/>
    <w:uiPriority w:val="0"/>
    <w:pPr>
      <w:jc w:val="center"/>
    </w:pPr>
    <w:rPr>
      <w:sz w:val="24"/>
    </w:rPr>
  </w:style>
  <w:style w:type="paragraph" w:customStyle="1" w:styleId="2002">
    <w:name w:val=".."/>
    <w:basedOn w:val="1"/>
    <w:next w:val="1"/>
    <w:uiPriority w:val="0"/>
    <w:pPr>
      <w:autoSpaceDE w:val="0"/>
      <w:autoSpaceDN w:val="0"/>
      <w:adjustRightInd w:val="0"/>
      <w:jc w:val="left"/>
    </w:pPr>
    <w:rPr>
      <w:kern w:val="0"/>
      <w:sz w:val="24"/>
    </w:rPr>
  </w:style>
  <w:style w:type="paragraph" w:customStyle="1" w:styleId="2003">
    <w:name w:val="报告表  段"/>
    <w:basedOn w:val="1"/>
    <w:uiPriority w:val="0"/>
    <w:pPr>
      <w:adjustRightInd w:val="0"/>
      <w:spacing w:line="360" w:lineRule="auto"/>
      <w:ind w:firstLine="505"/>
      <w:textAlignment w:val="baseline"/>
    </w:pPr>
    <w:rPr>
      <w:rFonts w:ascii="宋体"/>
      <w:kern w:val="0"/>
      <w:sz w:val="24"/>
      <w:szCs w:val="20"/>
    </w:rPr>
  </w:style>
  <w:style w:type="paragraph" w:customStyle="1" w:styleId="2004">
    <w:name w:val="Char Char Char Char Char Char Char Char Char Char Char Char Char Char Char Char Char Char Char Char Char Char1"/>
    <w:basedOn w:val="1"/>
    <w:next w:val="1"/>
    <w:uiPriority w:val="0"/>
    <w:pPr>
      <w:spacing w:line="360" w:lineRule="auto"/>
      <w:ind w:firstLine="200" w:firstLineChars="200"/>
    </w:pPr>
    <w:rPr>
      <w:rFonts w:cs="宋体"/>
      <w:sz w:val="24"/>
    </w:rPr>
  </w:style>
  <w:style w:type="paragraph" w:customStyle="1" w:styleId="2005">
    <w:name w:val="第三标题"/>
    <w:basedOn w:val="7"/>
    <w:uiPriority w:val="0"/>
    <w:pPr>
      <w:adjustRightInd w:val="0"/>
      <w:spacing w:before="50" w:beforeLines="0" w:after="50" w:afterLines="0" w:line="240" w:lineRule="atLeast"/>
    </w:pPr>
    <w:rPr>
      <w:rFonts w:ascii="Arial" w:hAnsi="Arial"/>
      <w:color w:val="000000"/>
    </w:rPr>
  </w:style>
  <w:style w:type="paragraph" w:customStyle="1" w:styleId="2006">
    <w:name w:val=" Char1 Char Char Char"/>
    <w:basedOn w:val="1"/>
    <w:uiPriority w:val="0"/>
    <w:rPr>
      <w:sz w:val="24"/>
    </w:rPr>
  </w:style>
  <w:style w:type="paragraph" w:customStyle="1" w:styleId="2007">
    <w:name w:val="表格名称"/>
    <w:basedOn w:val="1"/>
    <w:uiPriority w:val="0"/>
    <w:pPr>
      <w:keepLines/>
      <w:widowControl/>
      <w:wordWrap w:val="0"/>
      <w:topLinePunct/>
      <w:spacing w:after="156" w:afterLines="50" w:line="312" w:lineRule="auto"/>
      <w:ind w:firstLine="482"/>
      <w:jc w:val="center"/>
    </w:pPr>
    <w:rPr>
      <w:b/>
      <w:sz w:val="24"/>
    </w:rPr>
  </w:style>
  <w:style w:type="paragraph" w:customStyle="1" w:styleId="2008">
    <w:name w:val="项目名称"/>
    <w:basedOn w:val="1"/>
    <w:uiPriority w:val="0"/>
    <w:pPr>
      <w:adjustRightInd w:val="0"/>
      <w:spacing w:before="60" w:beforeLines="0" w:after="60" w:afterLines="0" w:line="360" w:lineRule="atLeast"/>
      <w:jc w:val="center"/>
      <w:textAlignment w:val="baseline"/>
    </w:pPr>
    <w:rPr>
      <w:rFonts w:eastAsia="楷体"/>
      <w:bCs/>
      <w:color w:val="000000"/>
      <w:sz w:val="24"/>
      <w:szCs w:val="20"/>
    </w:rPr>
  </w:style>
  <w:style w:type="paragraph" w:customStyle="1" w:styleId="2009">
    <w:name w:val="表11111"/>
    <w:basedOn w:val="1"/>
    <w:uiPriority w:val="0"/>
    <w:pPr>
      <w:spacing w:line="480" w:lineRule="exact"/>
    </w:pPr>
    <w:rPr>
      <w:rFonts w:eastAsia="黑体"/>
      <w:spacing w:val="-2"/>
      <w:sz w:val="24"/>
    </w:rPr>
  </w:style>
  <w:style w:type="paragraph" w:customStyle="1" w:styleId="2010">
    <w:name w:val="样式 四号 加粗 黑色"/>
    <w:basedOn w:val="1"/>
    <w:next w:val="64"/>
    <w:uiPriority w:val="0"/>
    <w:pPr>
      <w:spacing w:line="360" w:lineRule="auto"/>
    </w:pPr>
    <w:rPr>
      <w:rFonts w:cs="宋体"/>
      <w:b/>
      <w:bCs/>
      <w:color w:val="000000"/>
      <w:sz w:val="32"/>
      <w:szCs w:val="20"/>
    </w:rPr>
  </w:style>
  <w:style w:type="paragraph" w:customStyle="1" w:styleId="2011">
    <w:name w:val="Body Text 21"/>
    <w:basedOn w:val="1"/>
    <w:uiPriority w:val="0"/>
    <w:pPr>
      <w:autoSpaceDE w:val="0"/>
      <w:autoSpaceDN w:val="0"/>
      <w:adjustRightInd w:val="0"/>
      <w:spacing w:line="480" w:lineRule="exact"/>
      <w:ind w:firstLine="540"/>
      <w:textAlignment w:val="baseline"/>
    </w:pPr>
    <w:rPr>
      <w:rFonts w:ascii="宋体" w:hAnsi="Tms Rmn"/>
      <w:kern w:val="0"/>
      <w:sz w:val="24"/>
    </w:rPr>
  </w:style>
  <w:style w:type="paragraph" w:customStyle="1" w:styleId="2012">
    <w:name w:val="表后间隔"/>
    <w:basedOn w:val="56"/>
    <w:uiPriority w:val="0"/>
    <w:pPr>
      <w:tabs>
        <w:tab w:val="left" w:pos="0"/>
        <w:tab w:val="clear" w:pos="4153"/>
        <w:tab w:val="clear" w:pos="8306"/>
      </w:tabs>
      <w:spacing w:before="50" w:beforeLines="0" w:after="50" w:afterLines="0" w:line="40" w:lineRule="exact"/>
      <w:ind w:firstLine="471"/>
    </w:pPr>
    <w:rPr>
      <w:rFonts w:ascii="宋体" w:hAnsi="宋体"/>
      <w:kern w:val="0"/>
      <w:szCs w:val="27"/>
      <w:lang w:val="eu-ES"/>
    </w:rPr>
  </w:style>
  <w:style w:type="paragraph" w:customStyle="1" w:styleId="2013">
    <w:name w:val="样式 标题 4 + 非加粗"/>
    <w:basedOn w:val="8"/>
    <w:uiPriority w:val="0"/>
    <w:pPr>
      <w:spacing w:before="0" w:beforeLines="0" w:after="0" w:afterLines="0" w:line="480" w:lineRule="auto"/>
    </w:pPr>
    <w:rPr>
      <w:b w:val="0"/>
      <w:szCs w:val="28"/>
    </w:rPr>
  </w:style>
  <w:style w:type="paragraph" w:customStyle="1" w:styleId="2014">
    <w:name w:val="表内5S"/>
    <w:basedOn w:val="1"/>
    <w:uiPriority w:val="0"/>
    <w:pPr>
      <w:spacing w:line="300" w:lineRule="exact"/>
    </w:pPr>
    <w:rPr>
      <w:rFonts w:eastAsia="方正宋三简体"/>
      <w:szCs w:val="20"/>
    </w:rPr>
  </w:style>
  <w:style w:type="paragraph" w:customStyle="1" w:styleId="2015">
    <w:name w:val="样式 小四 行距: 1.5 倍行距"/>
    <w:basedOn w:val="1"/>
    <w:uiPriority w:val="0"/>
    <w:pPr>
      <w:spacing w:line="360" w:lineRule="auto"/>
    </w:pPr>
    <w:rPr>
      <w:rFonts w:cs="宋体"/>
      <w:sz w:val="24"/>
      <w:szCs w:val="20"/>
    </w:rPr>
  </w:style>
  <w:style w:type="paragraph" w:customStyle="1" w:styleId="2016">
    <w:name w:val="正文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2017">
    <w:name w:val="黄埔正文"/>
    <w:uiPriority w:val="0"/>
    <w:pPr>
      <w:spacing w:before="156" w:beforeLines="50" w:line="440" w:lineRule="exact"/>
      <w:ind w:firstLine="480"/>
      <w:jc w:val="both"/>
    </w:pPr>
    <w:rPr>
      <w:rFonts w:ascii="宋体"/>
      <w:color w:val="000000"/>
      <w:kern w:val="2"/>
      <w:sz w:val="24"/>
      <w:lang w:val="en-US" w:eastAsia="zh-CN" w:bidi="ar-SA"/>
    </w:rPr>
  </w:style>
  <w:style w:type="paragraph" w:customStyle="1" w:styleId="2018">
    <w:name w:val="2152793030"/>
    <w:basedOn w:val="1"/>
    <w:uiPriority w:val="0"/>
    <w:pPr>
      <w:adjustRightInd w:val="0"/>
      <w:spacing w:line="420" w:lineRule="atLeast"/>
      <w:ind w:firstLine="601"/>
      <w:jc w:val="left"/>
      <w:textAlignment w:val="baseline"/>
    </w:pPr>
    <w:rPr>
      <w:rFonts w:ascii="宋体"/>
      <w:spacing w:val="20"/>
      <w:kern w:val="0"/>
      <w:sz w:val="24"/>
      <w:szCs w:val="20"/>
    </w:rPr>
  </w:style>
  <w:style w:type="paragraph" w:customStyle="1" w:styleId="2019">
    <w:name w:val="第四层标题"/>
    <w:basedOn w:val="1"/>
    <w:uiPriority w:val="0"/>
    <w:pPr>
      <w:spacing w:line="360" w:lineRule="auto"/>
    </w:pPr>
    <w:rPr>
      <w:rFonts w:ascii="Arial" w:hAnsi="Arial"/>
      <w:b/>
      <w:sz w:val="24"/>
      <w:szCs w:val="28"/>
    </w:rPr>
  </w:style>
  <w:style w:type="paragraph" w:customStyle="1" w:styleId="2020">
    <w:name w:val="样式 样式 标题 41H4Subsection第三层条PIM 4h4标题 4 CharFab-4T5Ref Hea... + 段..."/>
    <w:basedOn w:val="1984"/>
    <w:uiPriority w:val="0"/>
    <w:pPr>
      <w:spacing w:after="93" w:afterLines="30"/>
    </w:pPr>
  </w:style>
  <w:style w:type="paragraph" w:customStyle="1" w:styleId="2021">
    <w:name w:val="表格内容居中"/>
    <w:uiPriority w:val="0"/>
    <w:pPr>
      <w:adjustRightInd w:val="0"/>
      <w:snapToGrid w:val="0"/>
      <w:jc w:val="center"/>
    </w:pPr>
    <w:rPr>
      <w:snapToGrid w:val="0"/>
      <w:sz w:val="21"/>
      <w:lang w:val="en-US" w:eastAsia="zh-CN" w:bidi="ar-SA"/>
    </w:rPr>
  </w:style>
  <w:style w:type="paragraph" w:customStyle="1" w:styleId="2022">
    <w:name w:val="My table tailer"/>
    <w:basedOn w:val="67"/>
    <w:locked/>
    <w:uiPriority w:val="0"/>
    <w:pPr>
      <w:suppressAutoHyphens/>
      <w:ind w:left="0" w:firstLine="0" w:firstLineChars="0"/>
    </w:pPr>
    <w:rPr>
      <w:rFonts w:ascii="宋体" w:hAnsi="宋体"/>
      <w:spacing w:val="-1"/>
      <w:kern w:val="0"/>
      <w:szCs w:val="21"/>
    </w:rPr>
  </w:style>
  <w:style w:type="paragraph" w:customStyle="1" w:styleId="2023">
    <w:name w:val="样式 小四 行距: 固定值 23 磅"/>
    <w:basedOn w:val="1"/>
    <w:uiPriority w:val="0"/>
    <w:pPr>
      <w:tabs>
        <w:tab w:val="left" w:pos="960"/>
      </w:tabs>
      <w:ind w:left="960" w:hanging="480"/>
    </w:pPr>
    <w:rPr>
      <w:sz w:val="28"/>
    </w:rPr>
  </w:style>
  <w:style w:type="paragraph" w:customStyle="1" w:styleId="2024">
    <w:name w:val="样式 标题 1 + 宋体1"/>
    <w:basedOn w:val="5"/>
    <w:uiPriority w:val="0"/>
    <w:pPr>
      <w:keepLines w:val="0"/>
      <w:widowControl/>
      <w:tabs>
        <w:tab w:val="left" w:pos="425"/>
        <w:tab w:val="right" w:pos="8640"/>
      </w:tabs>
      <w:overflowPunct w:val="0"/>
      <w:autoSpaceDE w:val="0"/>
      <w:autoSpaceDN w:val="0"/>
      <w:adjustRightInd w:val="0"/>
      <w:spacing w:before="120" w:beforeLines="0" w:after="120" w:afterLines="0" w:line="440" w:lineRule="exact"/>
      <w:jc w:val="left"/>
      <w:textAlignment w:val="baseline"/>
    </w:pPr>
    <w:rPr>
      <w:rFonts w:ascii="宋体"/>
      <w:bCs w:val="0"/>
      <w:kern w:val="28"/>
      <w:sz w:val="30"/>
      <w:szCs w:val="20"/>
    </w:rPr>
  </w:style>
  <w:style w:type="paragraph" w:customStyle="1" w:styleId="2025">
    <w:name w:val="退格正文"/>
    <w:basedOn w:val="1"/>
    <w:uiPriority w:val="0"/>
    <w:pPr>
      <w:spacing w:line="360" w:lineRule="auto"/>
      <w:ind w:firstLine="538" w:firstLineChars="192"/>
    </w:pPr>
    <w:rPr>
      <w:sz w:val="28"/>
    </w:rPr>
  </w:style>
  <w:style w:type="paragraph" w:customStyle="1" w:styleId="2026">
    <w:name w:val="dxj标题3"/>
    <w:basedOn w:val="7"/>
    <w:uiPriority w:val="0"/>
    <w:pPr>
      <w:spacing w:before="0" w:after="0" w:line="360" w:lineRule="auto"/>
    </w:pPr>
    <w:rPr>
      <w:rFonts w:eastAsia="黑体"/>
      <w:b w:val="0"/>
      <w:sz w:val="24"/>
    </w:rPr>
  </w:style>
  <w:style w:type="paragraph" w:customStyle="1" w:styleId="2027">
    <w:name w:val="表格头"/>
    <w:basedOn w:val="1"/>
    <w:uiPriority w:val="0"/>
    <w:pPr>
      <w:adjustRightInd w:val="0"/>
      <w:ind w:left="-74"/>
      <w:jc w:val="center"/>
    </w:pPr>
    <w:rPr>
      <w:rFonts w:hAnsi="黑体" w:eastAsia="黑体"/>
      <w:bCs/>
      <w:color w:val="000000"/>
      <w:kern w:val="0"/>
      <w:sz w:val="24"/>
    </w:rPr>
  </w:style>
  <w:style w:type="paragraph" w:customStyle="1" w:styleId="2028">
    <w:name w:val="样式 样式 标题 1文章 + 段前: 0.5 行 段后: 0.5 行 + 段前: 0.5 行 段后: 0.5 行"/>
    <w:basedOn w:val="1887"/>
    <w:uiPriority w:val="0"/>
    <w:pPr>
      <w:spacing w:before="50" w:beforeLines="0" w:after="50" w:afterLines="0"/>
      <w:ind w:firstLine="0" w:firstLineChars="0"/>
    </w:pPr>
  </w:style>
  <w:style w:type="paragraph" w:customStyle="1" w:styleId="2029">
    <w:name w:val="样式 样式 样式 样式 标题 3H3B HeadReHead 3 WSAh3标题 3 Char标题 3 Char Char标题 ..."/>
    <w:basedOn w:val="1"/>
    <w:uiPriority w:val="0"/>
    <w:pPr>
      <w:keepNext/>
      <w:keepLines/>
      <w:adjustRightInd w:val="0"/>
      <w:spacing w:before="156" w:beforeLines="50" w:line="360" w:lineRule="auto"/>
      <w:jc w:val="left"/>
      <w:outlineLvl w:val="2"/>
    </w:pPr>
    <w:rPr>
      <w:rFonts w:cs="宋体"/>
      <w:b/>
      <w:bCs/>
      <w:kern w:val="0"/>
      <w:sz w:val="28"/>
      <w:szCs w:val="20"/>
    </w:rPr>
  </w:style>
  <w:style w:type="paragraph" w:customStyle="1" w:styleId="2030">
    <w:name w:val="样式 表格 23 + 宋体 行距: 固定值 14 磅"/>
    <w:basedOn w:val="1"/>
    <w:uiPriority w:val="0"/>
    <w:pPr>
      <w:autoSpaceDE w:val="0"/>
      <w:autoSpaceDN w:val="0"/>
      <w:adjustRightInd w:val="0"/>
      <w:spacing w:line="280" w:lineRule="exact"/>
      <w:jc w:val="center"/>
    </w:pPr>
    <w:rPr>
      <w:rFonts w:ascii="宋体" w:hAnsi="宋体"/>
      <w:szCs w:val="20"/>
    </w:rPr>
  </w:style>
  <w:style w:type="paragraph" w:customStyle="1" w:styleId="2031">
    <w:name w:val="段落"/>
    <w:basedOn w:val="1"/>
    <w:uiPriority w:val="0"/>
    <w:pPr>
      <w:spacing w:line="360" w:lineRule="auto"/>
    </w:pPr>
    <w:rPr>
      <w:sz w:val="24"/>
      <w:lang/>
    </w:rPr>
  </w:style>
  <w:style w:type="paragraph" w:customStyle="1" w:styleId="2032">
    <w:name w:val="质表正文1"/>
    <w:basedOn w:val="1"/>
    <w:uiPriority w:val="0"/>
    <w:pPr>
      <w:adjustRightInd w:val="0"/>
      <w:snapToGrid w:val="0"/>
      <w:spacing w:line="360" w:lineRule="auto"/>
      <w:jc w:val="center"/>
    </w:pPr>
    <w:rPr>
      <w:rFonts w:ascii="宋体" w:hAnsi="宋体"/>
    </w:rPr>
  </w:style>
  <w:style w:type="paragraph" w:customStyle="1" w:styleId="2033">
    <w:name w:val=" Char3 Char Char Char"/>
    <w:basedOn w:val="1"/>
    <w:uiPriority w:val="0"/>
    <w:rPr>
      <w:rFonts w:ascii="宋体" w:hAnsi="宋体" w:cs="宋体"/>
      <w:sz w:val="24"/>
    </w:rPr>
  </w:style>
  <w:style w:type="paragraph" w:customStyle="1" w:styleId="2034">
    <w:name w:val="插图"/>
    <w:basedOn w:val="1"/>
    <w:next w:val="1"/>
    <w:uiPriority w:val="0"/>
    <w:pPr>
      <w:keepLines/>
      <w:adjustRightInd w:val="0"/>
      <w:spacing w:before="360" w:beforeLines="0" w:after="300" w:afterLines="0" w:line="567" w:lineRule="atLeast"/>
      <w:jc w:val="center"/>
      <w:textAlignment w:val="baseline"/>
    </w:pPr>
    <w:rPr>
      <w:b/>
      <w:kern w:val="0"/>
      <w:sz w:val="24"/>
      <w:szCs w:val="20"/>
    </w:rPr>
  </w:style>
  <w:style w:type="paragraph" w:customStyle="1" w:styleId="2035">
    <w:name w:val=" Char Char Char1 Char Char Char Char"/>
    <w:basedOn w:val="1"/>
    <w:uiPriority w:val="0"/>
    <w:rPr>
      <w:sz w:val="24"/>
    </w:rPr>
  </w:style>
  <w:style w:type="paragraph" w:customStyle="1" w:styleId="2036">
    <w:name w:val="table"/>
    <w:basedOn w:val="1"/>
    <w:uiPriority w:val="0"/>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paragraph" w:customStyle="1" w:styleId="2037">
    <w:name w:val="海南化工城正文"/>
    <w:basedOn w:val="1"/>
    <w:uiPriority w:val="0"/>
    <w:pPr>
      <w:spacing w:line="324" w:lineRule="auto"/>
      <w:ind w:firstLine="480" w:firstLineChars="200"/>
    </w:pPr>
    <w:rPr>
      <w:rFonts w:ascii="宋体" w:hAnsi="宋体" w:cs="宋体"/>
      <w:sz w:val="24"/>
      <w:szCs w:val="20"/>
    </w:rPr>
  </w:style>
  <w:style w:type="paragraph" w:customStyle="1" w:styleId="2038">
    <w:name w:val="正文 New New New New New New New"/>
    <w:uiPriority w:val="0"/>
    <w:pPr>
      <w:widowControl w:val="0"/>
      <w:jc w:val="both"/>
    </w:pPr>
    <w:rPr>
      <w:rFonts w:hint="eastAsia"/>
      <w:kern w:val="2"/>
      <w:sz w:val="24"/>
      <w:lang w:val="en-US" w:eastAsia="zh-CN" w:bidi="ar-SA"/>
    </w:rPr>
  </w:style>
  <w:style w:type="paragraph" w:customStyle="1" w:styleId="2039">
    <w:name w:val="样式 正文缩进 + 居中 首行缩进:  0 厘米 段前: 0 磅 行距: 单倍行距"/>
    <w:basedOn w:val="10"/>
    <w:uiPriority w:val="0"/>
    <w:pPr>
      <w:adjustRightInd w:val="0"/>
      <w:ind w:firstLine="0" w:firstLineChars="0"/>
      <w:jc w:val="center"/>
      <w:textAlignment w:val="baseline"/>
    </w:pPr>
    <w:rPr>
      <w:kern w:val="28"/>
      <w:sz w:val="24"/>
      <w:szCs w:val="20"/>
    </w:rPr>
  </w:style>
  <w:style w:type="paragraph" w:customStyle="1" w:styleId="2040">
    <w:name w:val="流程图"/>
    <w:basedOn w:val="1"/>
    <w:uiPriority w:val="0"/>
    <w:rPr>
      <w:rFonts w:ascii="宋体" w:hAnsi="Times New Roman"/>
      <w:kern w:val="0"/>
      <w:sz w:val="34"/>
      <w:szCs w:val="18"/>
    </w:rPr>
  </w:style>
  <w:style w:type="paragraph" w:customStyle="1" w:styleId="2041">
    <w:name w:val="xl50"/>
    <w:basedOn w:val="1"/>
    <w:uiPriority w:val="0"/>
    <w:pPr>
      <w:widowControl/>
      <w:pBdr>
        <w:left w:val="single" w:color="auto" w:sz="8" w:space="0"/>
        <w:bottom w:val="single" w:color="auto" w:sz="8" w:space="0"/>
        <w:right w:val="single" w:color="auto" w:sz="8" w:space="0"/>
      </w:pBdr>
      <w:shd w:val="clear" w:color="auto" w:fill="FF99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2042">
    <w:name w:val=" Char Char Char Char Char Char Char Char Char Char Char Char Char Char Char Char Char Char Char Char Char Char Char Char Char Char Char Char Char Char Char Char Char Char Char Char Char Char Char Char Char Char Char Char Char Char Char Char"/>
    <w:basedOn w:val="1"/>
    <w:uiPriority w:val="0"/>
    <w:pPr>
      <w:adjustRightInd w:val="0"/>
      <w:spacing w:line="360" w:lineRule="auto"/>
    </w:pPr>
    <w:rPr>
      <w:kern w:val="0"/>
      <w:sz w:val="24"/>
      <w:szCs w:val="20"/>
    </w:rPr>
  </w:style>
  <w:style w:type="paragraph" w:customStyle="1" w:styleId="2043">
    <w:name w:val=" 正文"/>
    <w:basedOn w:val="1"/>
    <w:uiPriority w:val="0"/>
    <w:pPr>
      <w:adjustRightInd w:val="0"/>
      <w:spacing w:line="315" w:lineRule="atLeast"/>
      <w:jc w:val="left"/>
      <w:textAlignment w:val="baseline"/>
    </w:pPr>
    <w:rPr>
      <w:rFonts w:ascii="宋体"/>
      <w:kern w:val="0"/>
      <w:sz w:val="24"/>
      <w:szCs w:val="20"/>
    </w:rPr>
  </w:style>
  <w:style w:type="paragraph" w:customStyle="1" w:styleId="2044">
    <w:name w:val="正文 New New New New New New New New New New New New New"/>
    <w:uiPriority w:val="0"/>
    <w:pPr>
      <w:widowControl w:val="0"/>
      <w:jc w:val="both"/>
    </w:pPr>
    <w:rPr>
      <w:kern w:val="2"/>
      <w:sz w:val="21"/>
      <w:szCs w:val="24"/>
      <w:lang w:val="en-US" w:eastAsia="zh-CN" w:bidi="ar-SA"/>
    </w:rPr>
  </w:style>
  <w:style w:type="paragraph" w:customStyle="1" w:styleId="2045">
    <w:name w:val="样式 标题 3B HeadH3标题 3 Char Char标题 3 Char Char Char Char标题 3 C..."/>
    <w:basedOn w:val="7"/>
    <w:uiPriority w:val="0"/>
    <w:pPr>
      <w:tabs>
        <w:tab w:val="left" w:pos="1605"/>
      </w:tabs>
      <w:spacing w:before="100" w:beforeLines="0" w:after="100" w:afterLines="0" w:line="300" w:lineRule="auto"/>
      <w:ind w:left="1234" w:hanging="709"/>
    </w:pPr>
    <w:rPr>
      <w:rFonts w:ascii="黑体" w:eastAsia="黑体"/>
      <w:b w:val="0"/>
      <w:bCs w:val="0"/>
      <w:sz w:val="28"/>
      <w:szCs w:val="20"/>
    </w:rPr>
  </w:style>
  <w:style w:type="paragraph" w:customStyle="1" w:styleId="2046">
    <w:name w:val="表注"/>
    <w:basedOn w:val="1"/>
    <w:next w:val="85"/>
    <w:uiPriority w:val="0"/>
  </w:style>
  <w:style w:type="paragraph" w:customStyle="1" w:styleId="2047">
    <w:name w:val=" Char Char1 Char Char Char Char Char Char Char"/>
    <w:basedOn w:val="1"/>
    <w:uiPriority w:val="0"/>
  </w:style>
  <w:style w:type="paragraph" w:customStyle="1" w:styleId="2048">
    <w:name w:val="小房1"/>
    <w:basedOn w:val="1"/>
    <w:uiPriority w:val="0"/>
    <w:pPr>
      <w:adjustRightInd w:val="0"/>
      <w:spacing w:before="60" w:beforeLines="0" w:line="276" w:lineRule="auto"/>
      <w:ind w:firstLine="482"/>
      <w:textAlignment w:val="baseline"/>
    </w:pPr>
    <w:rPr>
      <w:rFonts w:eastAsia="仿宋_GB2312"/>
      <w:kern w:val="0"/>
      <w:sz w:val="28"/>
      <w:szCs w:val="20"/>
    </w:rPr>
  </w:style>
  <w:style w:type="paragraph" w:customStyle="1" w:styleId="2049">
    <w:name w:val="table1"/>
    <w:basedOn w:val="1"/>
    <w:uiPriority w:val="0"/>
    <w:pPr>
      <w:overflowPunct w:val="0"/>
      <w:autoSpaceDE w:val="0"/>
      <w:autoSpaceDN w:val="0"/>
      <w:adjustRightInd w:val="0"/>
      <w:spacing w:before="60" w:after="60"/>
      <w:jc w:val="center"/>
      <w:textAlignment w:val="baseline"/>
    </w:pPr>
    <w:rPr>
      <w:rFonts w:ascii="宋体"/>
      <w:kern w:val="28"/>
      <w:szCs w:val="20"/>
    </w:rPr>
  </w:style>
  <w:style w:type="paragraph" w:customStyle="1" w:styleId="2050">
    <w:name w:val="一"/>
    <w:basedOn w:val="1"/>
    <w:uiPriority w:val="0"/>
    <w:pPr>
      <w:widowControl/>
      <w:spacing w:before="100" w:beforeAutospacing="1" w:after="100" w:afterAutospacing="1"/>
    </w:pPr>
    <w:rPr>
      <w:b/>
      <w:bCs/>
      <w:kern w:val="0"/>
      <w:sz w:val="24"/>
      <w:szCs w:val="20"/>
    </w:rPr>
  </w:style>
  <w:style w:type="paragraph" w:customStyle="1" w:styleId="2051">
    <w:name w:val="样式 纯文本 + 黑体 首行缩进:  2 字符"/>
    <w:basedOn w:val="47"/>
    <w:uiPriority w:val="0"/>
    <w:pPr>
      <w:tabs>
        <w:tab w:val="left" w:pos="900"/>
        <w:tab w:val="left" w:pos="1620"/>
      </w:tabs>
      <w:ind w:left="538" w:firstLine="480" w:firstLineChars="200"/>
    </w:pPr>
    <w:rPr>
      <w:rFonts w:ascii="黑体" w:cs="宋体"/>
      <w:b/>
      <w:bCs/>
      <w:kern w:val="0"/>
      <w:sz w:val="24"/>
      <w:szCs w:val="20"/>
    </w:rPr>
  </w:style>
  <w:style w:type="paragraph" w:customStyle="1" w:styleId="2052">
    <w:name w:val=" Char1 Char Char Char Char Char Char Char Char Char"/>
    <w:basedOn w:val="1"/>
    <w:uiPriority w:val="0"/>
    <w:pPr>
      <w:adjustRightInd w:val="0"/>
      <w:spacing w:line="360" w:lineRule="auto"/>
    </w:pPr>
    <w:rPr>
      <w:kern w:val="0"/>
      <w:sz w:val="24"/>
      <w:szCs w:val="20"/>
    </w:rPr>
  </w:style>
  <w:style w:type="paragraph" w:customStyle="1" w:styleId="2053">
    <w:name w:val="样式 热电厂正文 + 首行缩进:  2 字符"/>
    <w:basedOn w:val="1"/>
    <w:uiPriority w:val="0"/>
    <w:pPr>
      <w:spacing w:line="480" w:lineRule="exact"/>
      <w:ind w:firstLine="480" w:firstLineChars="200"/>
    </w:pPr>
    <w:rPr>
      <w:rFonts w:ascii="Times New Roman" w:hAnsi="Times New Roman"/>
      <w:sz w:val="24"/>
      <w:szCs w:val="20"/>
    </w:rPr>
  </w:style>
  <w:style w:type="paragraph" w:customStyle="1" w:styleId="2054">
    <w:name w:val="普通(Web)1"/>
    <w:basedOn w:val="1"/>
    <w:uiPriority w:val="0"/>
    <w:pPr>
      <w:widowControl/>
      <w:spacing w:before="100" w:beforeLines="0" w:beforeAutospacing="1" w:after="100" w:afterLines="0" w:afterAutospacing="1" w:line="360" w:lineRule="atLeast"/>
      <w:jc w:val="left"/>
    </w:pPr>
    <w:rPr>
      <w:rFonts w:ascii="宋体" w:hAnsi="宋体" w:cs="宋体"/>
      <w:color w:val="333333"/>
      <w:kern w:val="0"/>
      <w:szCs w:val="21"/>
    </w:rPr>
  </w:style>
  <w:style w:type="paragraph" w:customStyle="1" w:styleId="2055">
    <w:name w:val="my table"/>
    <w:basedOn w:val="1"/>
    <w:locked/>
    <w:uiPriority w:val="0"/>
    <w:pPr>
      <w:widowControl/>
      <w:snapToGrid w:val="0"/>
      <w:spacing w:line="240" w:lineRule="exact"/>
    </w:pPr>
    <w:rPr>
      <w:rFonts w:ascii="宋体" w:hAnsi="宋体"/>
      <w:szCs w:val="20"/>
    </w:rPr>
  </w:style>
  <w:style w:type="paragraph" w:customStyle="1" w:styleId="2056">
    <w:name w:val="样式 仿宋_GB2312 四号 行距: 1.5 倍行距"/>
    <w:basedOn w:val="1"/>
    <w:uiPriority w:val="0"/>
    <w:pPr>
      <w:tabs>
        <w:tab w:val="left" w:pos="5940"/>
      </w:tabs>
      <w:spacing w:line="360" w:lineRule="auto"/>
      <w:ind w:firstLine="560" w:firstLineChars="200"/>
    </w:pPr>
    <w:rPr>
      <w:rFonts w:eastAsia="仿宋_GB2312"/>
      <w:snapToGrid w:val="0"/>
      <w:kern w:val="0"/>
      <w:sz w:val="28"/>
      <w:szCs w:val="28"/>
    </w:rPr>
  </w:style>
  <w:style w:type="paragraph" w:customStyle="1" w:styleId="2057">
    <w:name w:val="样式 标题 2标题 21标题 121 + Times New Roman 小三 非加粗 黑色 段前: 8 磅 段...1"/>
    <w:basedOn w:val="6"/>
    <w:uiPriority w:val="0"/>
    <w:pPr>
      <w:tabs>
        <w:tab w:val="left" w:pos="456"/>
      </w:tabs>
      <w:spacing w:before="160" w:after="160" w:line="240" w:lineRule="auto"/>
      <w:ind w:left="456" w:hanging="456"/>
    </w:pPr>
    <w:rPr>
      <w:rFonts w:ascii="Times New Roman" w:hAnsi="Times New Roman"/>
      <w:b w:val="0"/>
      <w:bCs w:val="0"/>
      <w:color w:val="000000"/>
      <w:sz w:val="30"/>
      <w:szCs w:val="20"/>
    </w:rPr>
  </w:style>
  <w:style w:type="paragraph" w:customStyle="1" w:styleId="2058">
    <w:name w:val="封面5"/>
    <w:basedOn w:val="1"/>
    <w:uiPriority w:val="0"/>
    <w:pPr>
      <w:snapToGrid w:val="0"/>
    </w:pPr>
  </w:style>
  <w:style w:type="paragraph" w:customStyle="1" w:styleId="2059">
    <w:name w:val="00 标题2"/>
    <w:basedOn w:val="7"/>
    <w:uiPriority w:val="0"/>
    <w:pPr>
      <w:spacing w:before="156" w:beforeLines="50" w:after="156" w:afterLines="50" w:line="300" w:lineRule="auto"/>
      <w:jc w:val="left"/>
    </w:pPr>
    <w:rPr>
      <w:rFonts w:eastAsia="黑体"/>
      <w:sz w:val="30"/>
    </w:rPr>
  </w:style>
  <w:style w:type="paragraph" w:styleId="2060">
    <w:name w:val=""/>
    <w:basedOn w:val="5"/>
    <w:next w:val="1"/>
    <w:qFormat/>
    <w:uiPriority w:val="0"/>
    <w:pPr>
      <w:widowControl/>
      <w:spacing w:before="480" w:beforeLines="0" w:after="0" w:afterLines="0" w:line="276" w:lineRule="auto"/>
      <w:jc w:val="left"/>
      <w:outlineLvl w:val="9"/>
    </w:pPr>
    <w:rPr>
      <w:rFonts w:ascii="Cambria" w:hAnsi="Cambria"/>
      <w:bCs w:val="0"/>
      <w:color w:val="365F91"/>
      <w:kern w:val="0"/>
      <w:sz w:val="28"/>
      <w:szCs w:val="20"/>
    </w:rPr>
  </w:style>
  <w:style w:type="paragraph" w:customStyle="1" w:styleId="2061">
    <w:name w:val="正文缩近"/>
    <w:basedOn w:val="1"/>
    <w:uiPriority w:val="0"/>
    <w:pPr>
      <w:spacing w:line="360" w:lineRule="auto"/>
      <w:ind w:firstLine="560" w:firstLineChars="200"/>
    </w:pPr>
    <w:rPr>
      <w:sz w:val="28"/>
      <w:szCs w:val="28"/>
    </w:rPr>
  </w:style>
  <w:style w:type="paragraph" w:customStyle="1" w:styleId="2062">
    <w:name w:val=" Char Char Char Char Char Char Char Char Char Char Char Char Char Char Char Char Char Char Char Char Char Char Char Char Char Char Char Char Char Char Char Char Char"/>
    <w:basedOn w:val="1"/>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2063">
    <w:name w:val="环评正文01"/>
    <w:basedOn w:val="1"/>
    <w:uiPriority w:val="0"/>
    <w:pPr>
      <w:spacing w:line="360" w:lineRule="auto"/>
      <w:ind w:firstLine="480" w:firstLineChars="200"/>
    </w:pPr>
    <w:rPr>
      <w:sz w:val="24"/>
      <w:szCs w:val="20"/>
    </w:rPr>
  </w:style>
  <w:style w:type="paragraph" w:customStyle="1" w:styleId="2064">
    <w:name w:val="Plain Text"/>
    <w:basedOn w:val="1"/>
    <w:uiPriority w:val="0"/>
    <w:pPr>
      <w:adjustRightInd w:val="0"/>
      <w:textAlignment w:val="baseline"/>
    </w:pPr>
    <w:rPr>
      <w:rFonts w:ascii="宋体" w:hAnsi="Courier New"/>
      <w:szCs w:val="20"/>
    </w:rPr>
  </w:style>
  <w:style w:type="paragraph" w:customStyle="1" w:styleId="2065">
    <w:name w:val=" Char Char Char1"/>
    <w:basedOn w:val="1"/>
    <w:uiPriority w:val="0"/>
    <w:pPr>
      <w:keepNext/>
      <w:widowControl/>
      <w:tabs>
        <w:tab w:val="left" w:pos="425"/>
      </w:tabs>
      <w:autoSpaceDE w:val="0"/>
      <w:autoSpaceDN w:val="0"/>
      <w:adjustRightInd w:val="0"/>
      <w:spacing w:before="80" w:beforeLines="0" w:after="80" w:afterLines="0"/>
      <w:ind w:hanging="425"/>
    </w:pPr>
    <w:rPr>
      <w:rFonts w:ascii="Arial" w:hAnsi="Arial" w:cs="Arial"/>
      <w:sz w:val="20"/>
      <w:szCs w:val="20"/>
    </w:rPr>
  </w:style>
  <w:style w:type="paragraph" w:customStyle="1" w:styleId="2066">
    <w:name w:val=" Char Char Char Char Char Char Char Char Char Char Char Char Char Char Char Char Char Char Char"/>
    <w:basedOn w:val="1"/>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2067">
    <w:name w:val=" Char Char1 Char Char Char Char Char Char Char Char Char Char Char Char Char Char Char Char Char Char Char Char Char Char Char Char Char Char Char Char Char Char"/>
    <w:basedOn w:val="1"/>
    <w:uiPriority w:val="0"/>
  </w:style>
  <w:style w:type="paragraph" w:customStyle="1" w:styleId="2068">
    <w:name w:val="Char Char Char Char Char Char Char Char Char Char Char Char Char Char Char Char Char Char Char Char Char Char Char Char Char Char Char Char Char Char Char Char Char Char Char Char"/>
    <w:basedOn w:val="1"/>
    <w:uiPriority w:val="0"/>
    <w:pPr>
      <w:snapToGrid w:val="0"/>
      <w:spacing w:line="440" w:lineRule="atLeast"/>
      <w:ind w:firstLine="200" w:firstLineChars="200"/>
    </w:pPr>
    <w:rPr>
      <w:szCs w:val="20"/>
    </w:rPr>
  </w:style>
  <w:style w:type="paragraph" w:customStyle="1" w:styleId="2069">
    <w:name w:val="1st level Bullet"/>
    <w:basedOn w:val="1"/>
    <w:uiPriority w:val="0"/>
    <w:pPr>
      <w:widowControl/>
      <w:tabs>
        <w:tab w:val="left" w:pos="1440"/>
      </w:tabs>
      <w:spacing w:after="120" w:afterLines="0" w:line="360" w:lineRule="auto"/>
      <w:ind w:left="1440" w:hanging="360"/>
    </w:pPr>
    <w:rPr>
      <w:rFonts w:ascii="Arial" w:hAnsi="Arial"/>
      <w:kern w:val="0"/>
      <w:sz w:val="22"/>
      <w:szCs w:val="20"/>
      <w:lang w:val="en-GB" w:eastAsia="en-US"/>
    </w:rPr>
  </w:style>
  <w:style w:type="paragraph" w:customStyle="1" w:styleId="2070">
    <w:name w:val="Char Char1 Char Char Char Char Char Char Char Char Char Char Char Char Char Char Char Char Char Char Char Char Char Char Char Char Char Char Char Char Char Char1 Char Char Char"/>
    <w:basedOn w:val="1"/>
    <w:uiPriority w:val="0"/>
  </w:style>
  <w:style w:type="paragraph" w:customStyle="1" w:styleId="2071">
    <w:name w:val="样式 纯文本 + 黑体"/>
    <w:basedOn w:val="47"/>
    <w:uiPriority w:val="0"/>
    <w:pPr>
      <w:tabs>
        <w:tab w:val="left" w:pos="1620"/>
      </w:tabs>
    </w:pPr>
    <w:rPr>
      <w:rFonts w:ascii="黑体" w:hAnsi="黑体" w:cs="Times New Roman"/>
      <w:bCs/>
      <w:kern w:val="0"/>
      <w:sz w:val="24"/>
      <w:szCs w:val="20"/>
    </w:rPr>
  </w:style>
  <w:style w:type="paragraph" w:customStyle="1" w:styleId="2072">
    <w:name w:val="标题附件2"/>
    <w:basedOn w:val="36"/>
    <w:uiPriority w:val="0"/>
    <w:pPr>
      <w:spacing w:before="156" w:beforeLines="50" w:after="156" w:afterLines="50" w:line="240" w:lineRule="auto"/>
      <w:ind w:firstLine="171" w:firstLineChars="171"/>
    </w:pPr>
    <w:rPr>
      <w:rFonts w:ascii="Times New Roman" w:hAnsi="Times New Roman" w:eastAsia="黑体"/>
      <w:sz w:val="28"/>
      <w:szCs w:val="20"/>
    </w:rPr>
  </w:style>
  <w:style w:type="paragraph" w:customStyle="1" w:styleId="2073">
    <w:name w:val="Char Char Char Char Char Char Char Char Char Char Char Char Char Char Char"/>
    <w:basedOn w:val="1"/>
    <w:uiPriority w:val="0"/>
    <w:pPr>
      <w:spacing w:line="480" w:lineRule="exact"/>
    </w:pPr>
  </w:style>
  <w:style w:type="paragraph" w:customStyle="1" w:styleId="2074">
    <w:name w:val="编号1"/>
    <w:basedOn w:val="1"/>
    <w:uiPriority w:val="0"/>
    <w:pPr>
      <w:tabs>
        <w:tab w:val="left" w:pos="840"/>
      </w:tabs>
      <w:ind w:left="840" w:hanging="360"/>
    </w:pPr>
    <w:rPr>
      <w:szCs w:val="20"/>
    </w:rPr>
  </w:style>
  <w:style w:type="paragraph" w:customStyle="1" w:styleId="2075">
    <w:name w:val="Heading Base"/>
    <w:basedOn w:val="35"/>
    <w:next w:val="35"/>
    <w:uiPriority w:val="0"/>
    <w:pPr>
      <w:keepNext/>
      <w:keepLines/>
      <w:widowControl/>
      <w:spacing w:after="0" w:afterLines="0"/>
      <w:jc w:val="left"/>
    </w:pPr>
    <w:rPr>
      <w:rFonts w:ascii="Garamond" w:hAnsi="Garamond"/>
      <w:kern w:val="20"/>
      <w:szCs w:val="20"/>
    </w:rPr>
  </w:style>
  <w:style w:type="paragraph" w:customStyle="1" w:styleId="2076">
    <w:name w:val="zhang正文"/>
    <w:basedOn w:val="36"/>
    <w:uiPriority w:val="0"/>
    <w:pPr>
      <w:autoSpaceDE w:val="0"/>
      <w:autoSpaceDN w:val="0"/>
      <w:adjustRightInd w:val="0"/>
      <w:snapToGrid w:val="0"/>
      <w:spacing w:line="360" w:lineRule="auto"/>
      <w:ind w:firstLine="539" w:firstLineChars="0"/>
      <w:textAlignment w:val="baseline"/>
    </w:pPr>
    <w:rPr>
      <w:rFonts w:ascii="Times New Roman" w:hAnsi="Times New Roman" w:eastAsia="楷体_GB2312"/>
      <w:kern w:val="0"/>
      <w:sz w:val="28"/>
      <w:szCs w:val="20"/>
    </w:rPr>
  </w:style>
  <w:style w:type="paragraph" w:customStyle="1" w:styleId="2077">
    <w:name w:val=" Char1 Char Char Char Char Char Char Char Char1 Char Char Char Char"/>
    <w:basedOn w:val="1"/>
    <w:uiPriority w:val="0"/>
    <w:pPr>
      <w:adjustRightInd w:val="0"/>
      <w:spacing w:line="360" w:lineRule="auto"/>
    </w:pPr>
    <w:rPr>
      <w:kern w:val="0"/>
      <w:sz w:val="24"/>
      <w:szCs w:val="20"/>
    </w:rPr>
  </w:style>
  <w:style w:type="paragraph" w:styleId="2078">
    <w:name w:val="List Paragraph"/>
    <w:basedOn w:val="1"/>
    <w:qFormat/>
    <w:uiPriority w:val="0"/>
    <w:pPr>
      <w:ind w:firstLine="420" w:firstLineChars="200"/>
    </w:pPr>
  </w:style>
  <w:style w:type="paragraph" w:customStyle="1" w:styleId="2079">
    <w:name w:val="小点"/>
    <w:uiPriority w:val="0"/>
    <w:pPr>
      <w:tabs>
        <w:tab w:val="left" w:pos="432"/>
      </w:tabs>
      <w:adjustRightInd w:val="0"/>
      <w:snapToGrid w:val="0"/>
      <w:spacing w:line="360" w:lineRule="auto"/>
      <w:ind w:left="432" w:hanging="432"/>
    </w:pPr>
    <w:rPr>
      <w:rFonts w:ascii="宋体" w:hAnsi="宋体"/>
      <w:sz w:val="24"/>
      <w:szCs w:val="24"/>
      <w:lang w:val="en-US" w:eastAsia="zh-CN" w:bidi="ar-SA"/>
    </w:rPr>
  </w:style>
  <w:style w:type="paragraph" w:customStyle="1" w:styleId="2080">
    <w:name w:val="图表格式"/>
    <w:basedOn w:val="1"/>
    <w:uiPriority w:val="0"/>
    <w:pPr>
      <w:adjustRightInd w:val="0"/>
      <w:snapToGrid w:val="0"/>
      <w:spacing w:line="360" w:lineRule="auto"/>
      <w:ind w:firstLine="250" w:firstLineChars="250"/>
    </w:pPr>
    <w:rPr>
      <w:rFonts w:eastAsia="黑体"/>
      <w:snapToGrid w:val="0"/>
      <w:kern w:val="0"/>
      <w:sz w:val="24"/>
      <w:szCs w:val="20"/>
    </w:rPr>
  </w:style>
  <w:style w:type="paragraph" w:customStyle="1" w:styleId="2081">
    <w:name w:val="湛宝表格"/>
    <w:basedOn w:val="1"/>
    <w:uiPriority w:val="0"/>
    <w:pPr>
      <w:adjustRightInd w:val="0"/>
      <w:jc w:val="center"/>
      <w:textAlignment w:val="baseline"/>
    </w:pPr>
    <w:rPr>
      <w:rFonts w:eastAsia="Times New Roman"/>
      <w:spacing w:val="10"/>
      <w:kern w:val="0"/>
      <w:szCs w:val="20"/>
    </w:rPr>
  </w:style>
  <w:style w:type="paragraph" w:customStyle="1" w:styleId="2082">
    <w:name w:val="Char Char Char Char Char Char Char Char Char Char Char Char4"/>
    <w:basedOn w:val="1"/>
    <w:uiPriority w:val="0"/>
    <w:pPr>
      <w:spacing w:line="360" w:lineRule="auto"/>
      <w:ind w:firstLine="200" w:firstLineChars="200"/>
    </w:pPr>
    <w:rPr>
      <w:rFonts w:ascii="宋体" w:hAnsi="宋体" w:cs="宋体"/>
      <w:sz w:val="24"/>
    </w:rPr>
  </w:style>
  <w:style w:type="paragraph" w:customStyle="1" w:styleId="2083">
    <w:name w:val="dxj表后"/>
    <w:basedOn w:val="919"/>
    <w:uiPriority w:val="0"/>
    <w:pPr>
      <w:keepLines/>
      <w:spacing w:line="280" w:lineRule="exact"/>
      <w:ind w:firstLine="0" w:firstLineChars="0"/>
    </w:pPr>
    <w:rPr>
      <w:sz w:val="18"/>
    </w:rPr>
  </w:style>
  <w:style w:type="paragraph" w:customStyle="1" w:styleId="2084">
    <w:name w:val="样式 正文缩进 + 首行缩进:  2 字符"/>
    <w:basedOn w:val="10"/>
    <w:uiPriority w:val="0"/>
    <w:pPr>
      <w:snapToGrid w:val="0"/>
      <w:spacing w:line="360" w:lineRule="auto"/>
      <w:ind w:firstLine="480"/>
    </w:pPr>
    <w:rPr>
      <w:rFonts w:ascii="宋体" w:hAnsi="宋体"/>
      <w:kern w:val="0"/>
      <w:sz w:val="24"/>
      <w:szCs w:val="20"/>
    </w:rPr>
  </w:style>
  <w:style w:type="paragraph" w:customStyle="1" w:styleId="2085">
    <w:name w:val="Char Char Char Char Char Char Char Char Char Char Char Char3"/>
    <w:basedOn w:val="1"/>
    <w:uiPriority w:val="0"/>
    <w:pPr>
      <w:spacing w:line="360" w:lineRule="auto"/>
      <w:ind w:firstLine="200" w:firstLineChars="200"/>
    </w:pPr>
    <w:rPr>
      <w:rFonts w:ascii="宋体" w:hAnsi="宋体" w:cs="宋体"/>
      <w:sz w:val="24"/>
    </w:rPr>
  </w:style>
  <w:style w:type="paragraph" w:customStyle="1" w:styleId="2086">
    <w:name w:val="自定义 标题 1"/>
    <w:basedOn w:val="1484"/>
    <w:uiPriority w:val="0"/>
    <w:rPr>
      <w:szCs w:val="44"/>
    </w:rPr>
  </w:style>
  <w:style w:type="paragraph" w:customStyle="1" w:styleId="2087">
    <w:name w:val="四级标题"/>
    <w:basedOn w:val="8"/>
    <w:uiPriority w:val="0"/>
    <w:pPr>
      <w:spacing w:beforeLines="50" w:afterLines="50" w:line="360" w:lineRule="auto"/>
    </w:pPr>
    <w:rPr>
      <w:rFonts w:ascii="宋体" w:hAnsi="宋体" w:eastAsia="宋体"/>
      <w:b w:val="0"/>
      <w:bCs/>
      <w:sz w:val="24"/>
    </w:rPr>
  </w:style>
  <w:style w:type="paragraph" w:customStyle="1" w:styleId="2088">
    <w:name w:val="z正文"/>
    <w:basedOn w:val="36"/>
    <w:uiPriority w:val="0"/>
    <w:pPr>
      <w:autoSpaceDE w:val="0"/>
      <w:autoSpaceDN w:val="0"/>
      <w:adjustRightInd w:val="0"/>
      <w:snapToGrid w:val="0"/>
      <w:spacing w:line="360" w:lineRule="auto"/>
      <w:ind w:firstLine="200"/>
      <w:textAlignment w:val="baseline"/>
    </w:pPr>
    <w:rPr>
      <w:rFonts w:ascii="Times New Roman" w:hAnsi="Times New Roman"/>
      <w:kern w:val="0"/>
    </w:rPr>
  </w:style>
  <w:style w:type="paragraph" w:customStyle="1" w:styleId="2089">
    <w:name w:val="Char Char1 Char Char Char Char Char Char Char Char Char Char Char Char Char Char Char Char Char Char Char Char Char Char Char Char Char Char Char Char Char Char1 Char Char Char Char"/>
    <w:basedOn w:val="1"/>
    <w:uiPriority w:val="0"/>
    <w:rPr>
      <w:szCs w:val="20"/>
    </w:rPr>
  </w:style>
  <w:style w:type="paragraph" w:customStyle="1" w:styleId="2090">
    <w:name w:val="CM104"/>
    <w:basedOn w:val="1"/>
    <w:next w:val="1"/>
    <w:uiPriority w:val="0"/>
    <w:pPr>
      <w:autoSpaceDE w:val="0"/>
      <w:autoSpaceDN w:val="0"/>
      <w:adjustRightInd w:val="0"/>
      <w:spacing w:after="543" w:afterLines="0"/>
      <w:jc w:val="left"/>
    </w:pPr>
    <w:rPr>
      <w:rFonts w:ascii="宋体"/>
      <w:kern w:val="0"/>
      <w:sz w:val="24"/>
    </w:rPr>
  </w:style>
  <w:style w:type="paragraph" w:customStyle="1" w:styleId="2091">
    <w:name w:val="正文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2092">
    <w:name w:val="样式 标题 4标题 14 + 加粗 无下划线 自动设置 段前: 3 磅 段后: 10 磅"/>
    <w:basedOn w:val="8"/>
    <w:uiPriority w:val="0"/>
    <w:pPr>
      <w:keepLines w:val="0"/>
      <w:tabs>
        <w:tab w:val="left" w:pos="456"/>
      </w:tabs>
      <w:adjustRightInd w:val="0"/>
      <w:snapToGrid w:val="0"/>
      <w:spacing w:before="60" w:after="200" w:line="240" w:lineRule="auto"/>
      <w:ind w:left="456" w:hanging="456"/>
    </w:pPr>
    <w:rPr>
      <w:rFonts w:ascii="Times New Roman" w:hAnsi="Times New Roman" w:eastAsia="宋体"/>
      <w:bCs/>
      <w:sz w:val="24"/>
      <w:szCs w:val="20"/>
    </w:rPr>
  </w:style>
  <w:style w:type="paragraph" w:customStyle="1" w:styleId="2093">
    <w:name w:val="Char Char1 Char Char Char Char Char Char Char Char Char Char Char Char Char Char Char Char Char Char Char Char Char Char Char Char Char Char Char Char Char Char1 Char"/>
    <w:basedOn w:val="1"/>
    <w:uiPriority w:val="0"/>
  </w:style>
  <w:style w:type="paragraph" w:customStyle="1" w:styleId="2094">
    <w:name w:val="WW-题注"/>
    <w:basedOn w:val="1"/>
    <w:next w:val="1"/>
    <w:uiPriority w:val="0"/>
    <w:pPr>
      <w:suppressAutoHyphens/>
    </w:pPr>
    <w:rPr>
      <w:rFonts w:ascii="Arial" w:hAnsi="Arial" w:eastAsia="黑体" w:cs="Arial"/>
      <w:kern w:val="1"/>
      <w:sz w:val="20"/>
      <w:szCs w:val="20"/>
      <w:lang w:eastAsia="ar-SA"/>
    </w:rPr>
  </w:style>
  <w:style w:type="paragraph" w:customStyle="1" w:styleId="2095">
    <w:name w:val="样式 题注 + (西文) 宋体 居中"/>
    <w:basedOn w:val="24"/>
    <w:uiPriority w:val="0"/>
    <w:pPr>
      <w:snapToGrid/>
      <w:ind w:firstLine="422" w:firstLineChars="200"/>
    </w:pPr>
    <w:rPr>
      <w:rFonts w:ascii="宋体" w:cs="宋体"/>
      <w:b w:val="0"/>
      <w:bCs w:val="0"/>
      <w:sz w:val="28"/>
      <w:szCs w:val="21"/>
    </w:rPr>
  </w:style>
  <w:style w:type="paragraph" w:customStyle="1" w:styleId="2096">
    <w:name w:val="Char Char Char Char Char Char Char Char Char Char Char Char Char Char Char Char Char Char Char Char Char Char Char Char Char Char Char Char"/>
    <w:basedOn w:val="1"/>
    <w:uiPriority w:val="0"/>
    <w:pPr>
      <w:spacing w:line="480" w:lineRule="exact"/>
    </w:pPr>
  </w:style>
  <w:style w:type="paragraph" w:styleId="2097">
    <w:name w:val=""/>
    <w:uiPriority w:val="0"/>
    <w:rPr>
      <w:kern w:val="2"/>
      <w:sz w:val="21"/>
      <w:szCs w:val="24"/>
      <w:lang w:val="en-US" w:eastAsia="zh-CN" w:bidi="ar-SA"/>
    </w:rPr>
  </w:style>
  <w:style w:type="paragraph" w:customStyle="1" w:styleId="2098">
    <w:name w:val="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2099">
    <w:name w:val="样式 正文 + 首行缩进:  2 字符 + 宋体 四号"/>
    <w:basedOn w:val="1610"/>
    <w:uiPriority w:val="0"/>
    <w:pPr>
      <w:spacing w:line="240" w:lineRule="auto"/>
    </w:pPr>
    <w:rPr>
      <w:rFonts w:ascii="宋体" w:hAnsi="宋体" w:cs="宋体"/>
      <w:sz w:val="28"/>
    </w:rPr>
  </w:style>
  <w:style w:type="paragraph" w:customStyle="1" w:styleId="2100">
    <w:name w:val="样式 样式 正文仿宋 + 首行缩进:  2 字符 + 首行缩进:  2 字符"/>
    <w:basedOn w:val="1"/>
    <w:uiPriority w:val="0"/>
    <w:pPr>
      <w:spacing w:line="480" w:lineRule="exact"/>
      <w:ind w:firstLine="480" w:firstLineChars="200"/>
    </w:pPr>
    <w:rPr>
      <w:rFonts w:hAnsi="宋体"/>
      <w:snapToGrid w:val="0"/>
      <w:color w:val="000000"/>
      <w:sz w:val="24"/>
    </w:rPr>
  </w:style>
  <w:style w:type="paragraph" w:customStyle="1" w:styleId="2101">
    <w:name w:val="样式30"/>
    <w:basedOn w:val="1"/>
    <w:uiPriority w:val="0"/>
    <w:pPr>
      <w:spacing w:before="156" w:beforeLines="50" w:after="156" w:afterLines="50" w:line="360" w:lineRule="auto"/>
      <w:ind w:firstLine="480" w:firstLineChars="200"/>
    </w:pPr>
    <w:rPr>
      <w:sz w:val="24"/>
    </w:rPr>
  </w:style>
  <w:style w:type="paragraph" w:customStyle="1" w:styleId="2102">
    <w:name w:val="正文（3仿）"/>
    <w:uiPriority w:val="0"/>
    <w:pPr>
      <w:spacing w:line="500" w:lineRule="exact"/>
      <w:ind w:firstLine="510"/>
      <w:jc w:val="both"/>
    </w:pPr>
    <w:rPr>
      <w:rFonts w:eastAsia="仿宋_GB2312"/>
      <w:sz w:val="32"/>
      <w:lang w:val="en-US" w:eastAsia="zh-CN" w:bidi="ar-SA"/>
    </w:rPr>
  </w:style>
  <w:style w:type="paragraph" w:customStyle="1" w:styleId="2103">
    <w:name w:val="正文 New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2104">
    <w:name w:val="表X－X"/>
    <w:basedOn w:val="1"/>
    <w:uiPriority w:val="0"/>
    <w:pPr>
      <w:jc w:val="center"/>
    </w:pPr>
    <w:rPr>
      <w:rFonts w:ascii="黑体" w:hAnsi="华文仿宋" w:eastAsia="黑体"/>
      <w:sz w:val="28"/>
    </w:rPr>
  </w:style>
  <w:style w:type="paragraph" w:customStyle="1" w:styleId="2105">
    <w:name w:val="Char2"/>
    <w:basedOn w:val="1"/>
    <w:uiPriority w:val="0"/>
    <w:pPr>
      <w:spacing w:line="360" w:lineRule="auto"/>
      <w:ind w:firstLine="200" w:firstLineChars="200"/>
    </w:pPr>
    <w:rPr>
      <w:rFonts w:ascii="宋体" w:hAnsi="宋体" w:cs="宋体"/>
      <w:sz w:val="24"/>
    </w:rPr>
  </w:style>
  <w:style w:type="paragraph" w:customStyle="1" w:styleId="2106">
    <w:name w:val="正文21"/>
    <w:basedOn w:val="1"/>
    <w:uiPriority w:val="0"/>
    <w:pPr>
      <w:widowControl/>
      <w:spacing w:before="100" w:beforeAutospacing="1" w:after="100" w:afterAutospacing="1"/>
      <w:ind w:firstLine="200" w:firstLineChars="200"/>
    </w:pPr>
    <w:rPr>
      <w:sz w:val="24"/>
      <w:szCs w:val="21"/>
    </w:rPr>
  </w:style>
  <w:style w:type="paragraph" w:customStyle="1" w:styleId="2107">
    <w:name w:val="佛表"/>
    <w:basedOn w:val="67"/>
    <w:uiPriority w:val="0"/>
    <w:pPr>
      <w:spacing w:line="300" w:lineRule="auto"/>
      <w:ind w:left="0" w:firstLine="0" w:firstLineChars="0"/>
    </w:pPr>
    <w:rPr>
      <w:rFonts w:ascii="宋体" w:hAnsi="宋体" w:eastAsia="楷体_GB2312"/>
      <w:b/>
      <w:color w:val="FF0000"/>
      <w:kern w:val="0"/>
      <w:sz w:val="24"/>
      <w:lang/>
    </w:rPr>
  </w:style>
  <w:style w:type="paragraph" w:customStyle="1" w:styleId="2108">
    <w:name w:val="常用表头样式"/>
    <w:basedOn w:val="85"/>
    <w:uiPriority w:val="0"/>
    <w:pPr>
      <w:overflowPunct w:val="0"/>
      <w:autoSpaceDE w:val="0"/>
      <w:autoSpaceDN w:val="0"/>
      <w:adjustRightInd w:val="0"/>
      <w:spacing w:after="0" w:line="360" w:lineRule="auto"/>
      <w:ind w:firstLine="0" w:firstLineChars="0"/>
      <w:jc w:val="center"/>
      <w:textAlignment w:val="baseline"/>
    </w:pPr>
    <w:rPr>
      <w:rFonts w:ascii="黑体" w:eastAsia="仿宋_GB2312"/>
      <w:b/>
      <w:szCs w:val="21"/>
    </w:rPr>
  </w:style>
  <w:style w:type="paragraph" w:customStyle="1" w:styleId="2109">
    <w:name w:val="样式 标题 2SeHead wsa2ChapterChapter TitleH2标题 2 Char Char Cha..."/>
    <w:basedOn w:val="6"/>
    <w:uiPriority w:val="0"/>
    <w:pPr>
      <w:spacing w:before="240" w:beforeLines="0" w:after="240" w:afterLines="0" w:line="360" w:lineRule="auto"/>
      <w:ind w:firstLine="200" w:firstLineChars="200"/>
    </w:pPr>
    <w:rPr>
      <w:rFonts w:ascii="黑体" w:hAnsi="宋体"/>
      <w:b w:val="0"/>
      <w:bCs w:val="0"/>
      <w:sz w:val="28"/>
    </w:rPr>
  </w:style>
  <w:style w:type="paragraph" w:customStyle="1" w:styleId="2110">
    <w:name w:val="二级无标题条"/>
    <w:basedOn w:val="1"/>
    <w:uiPriority w:val="0"/>
  </w:style>
  <w:style w:type="paragraph" w:customStyle="1" w:styleId="2111">
    <w:name w:val="表"/>
    <w:basedOn w:val="1"/>
    <w:uiPriority w:val="0"/>
    <w:pPr>
      <w:spacing w:line="360" w:lineRule="auto"/>
      <w:jc w:val="center"/>
    </w:pPr>
    <w:rPr>
      <w:rFonts w:ascii="宋体" w:hAnsi="宋体"/>
      <w:sz w:val="24"/>
    </w:rPr>
  </w:style>
  <w:style w:type="paragraph" w:customStyle="1" w:styleId="2112">
    <w:name w:val="xl57"/>
    <w:basedOn w:val="1"/>
    <w:uiPriority w:val="0"/>
    <w:pPr>
      <w:widowControl/>
      <w:pBdr>
        <w:left w:val="single" w:color="auto" w:sz="4" w:space="0"/>
        <w:right w:val="single" w:color="auto" w:sz="4" w:space="0"/>
      </w:pBdr>
      <w:spacing w:before="100" w:beforeLines="0" w:after="100" w:afterLines="0"/>
      <w:jc w:val="center"/>
      <w:textAlignment w:val="center"/>
    </w:pPr>
    <w:rPr>
      <w:rFonts w:ascii="宋体" w:hAnsi="宋体"/>
      <w:kern w:val="0"/>
      <w:sz w:val="22"/>
      <w:szCs w:val="20"/>
    </w:rPr>
  </w:style>
  <w:style w:type="paragraph" w:customStyle="1" w:styleId="2113">
    <w:name w:val="正文文本缩进 32"/>
    <w:basedOn w:val="1"/>
    <w:uiPriority w:val="0"/>
    <w:pPr>
      <w:adjustRightInd w:val="0"/>
      <w:spacing w:line="360" w:lineRule="atLeast"/>
      <w:ind w:firstLine="480" w:firstLineChars="200"/>
    </w:pPr>
    <w:rPr>
      <w:rFonts w:ascii="宋体" w:hAnsi="宋体"/>
      <w:kern w:val="0"/>
      <w:sz w:val="24"/>
      <w:szCs w:val="20"/>
    </w:rPr>
  </w:style>
  <w:style w:type="paragraph" w:customStyle="1" w:styleId="2114">
    <w:name w:val="样式 列表 + 居中"/>
    <w:basedOn w:val="67"/>
    <w:uiPriority w:val="0"/>
    <w:pPr>
      <w:snapToGrid w:val="0"/>
      <w:ind w:left="0" w:firstLine="0" w:firstLineChars="0"/>
      <w:jc w:val="center"/>
    </w:pPr>
    <w:rPr>
      <w:szCs w:val="20"/>
    </w:rPr>
  </w:style>
  <w:style w:type="paragraph" w:customStyle="1" w:styleId="2115">
    <w:name w:val="报告标题3"/>
    <w:basedOn w:val="7"/>
    <w:uiPriority w:val="0"/>
    <w:pPr>
      <w:tabs>
        <w:tab w:val="left" w:pos="0"/>
      </w:tabs>
      <w:spacing w:before="0" w:after="0" w:line="360" w:lineRule="auto"/>
      <w:jc w:val="left"/>
    </w:pPr>
    <w:rPr>
      <w:rFonts w:ascii="Arial" w:hAnsi="Arial"/>
      <w:bCs w:val="0"/>
      <w:color w:val="000000"/>
      <w:sz w:val="24"/>
    </w:rPr>
  </w:style>
  <w:style w:type="paragraph" w:customStyle="1" w:styleId="2116">
    <w:name w:val="居中正文"/>
    <w:basedOn w:val="85"/>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2117">
    <w:name w:val="1.1.1"/>
    <w:basedOn w:val="1"/>
    <w:uiPriority w:val="0"/>
    <w:pPr>
      <w:adjustRightInd w:val="0"/>
      <w:spacing w:before="240" w:beforeLines="0" w:after="120" w:afterLines="0" w:line="360" w:lineRule="atLeast"/>
      <w:ind w:firstLine="198"/>
      <w:jc w:val="left"/>
      <w:textAlignment w:val="baseline"/>
    </w:pPr>
    <w:rPr>
      <w:rFonts w:eastAsia="DFKai-SB"/>
      <w:kern w:val="0"/>
      <w:sz w:val="28"/>
      <w:szCs w:val="20"/>
      <w:lang w:eastAsia="zh-TW"/>
    </w:rPr>
  </w:style>
  <w:style w:type="paragraph" w:customStyle="1" w:styleId="2118">
    <w:name w:val="Char Char1 Char Char Char Char"/>
    <w:basedOn w:val="1"/>
    <w:uiPriority w:val="0"/>
    <w:rPr>
      <w:rFonts w:ascii="Times New Roman" w:hAnsi="Times New Roman"/>
      <w:sz w:val="24"/>
      <w:szCs w:val="20"/>
    </w:rPr>
  </w:style>
  <w:style w:type="paragraph" w:customStyle="1" w:styleId="2119">
    <w:name w:val=" Char Char Char Char Char Char Char Char Char Char Char1 Char"/>
    <w:basedOn w:val="1"/>
    <w:uiPriority w:val="0"/>
    <w:rPr>
      <w:sz w:val="24"/>
    </w:rPr>
  </w:style>
  <w:style w:type="paragraph" w:customStyle="1" w:styleId="2120">
    <w:name w:val="DL"/>
    <w:basedOn w:val="1"/>
    <w:uiPriority w:val="0"/>
    <w:pPr>
      <w:spacing w:beforeLines="50" w:line="360" w:lineRule="auto"/>
      <w:ind w:firstLine="200" w:firstLineChars="200"/>
    </w:pPr>
    <w:rPr>
      <w:rFonts w:ascii="Times New Roman" w:hAnsi="Times New Roman"/>
      <w:sz w:val="24"/>
      <w:szCs w:val="20"/>
    </w:rPr>
  </w:style>
  <w:style w:type="paragraph" w:customStyle="1" w:styleId="2121">
    <w:name w:val="l_text"/>
    <w:basedOn w:val="1"/>
    <w:uiPriority w:val="0"/>
    <w:pPr>
      <w:widowControl/>
      <w:overflowPunct w:val="0"/>
      <w:autoSpaceDE w:val="0"/>
      <w:autoSpaceDN w:val="0"/>
      <w:adjustRightInd w:val="0"/>
      <w:spacing w:line="360" w:lineRule="auto"/>
      <w:ind w:firstLine="567"/>
      <w:textAlignment w:val="baseline"/>
    </w:pPr>
    <w:rPr>
      <w:kern w:val="0"/>
      <w:sz w:val="28"/>
      <w:szCs w:val="20"/>
      <w:lang w:val="en-GB"/>
    </w:rPr>
  </w:style>
  <w:style w:type="paragraph" w:customStyle="1" w:styleId="2122">
    <w:name w:val="dxj表内容"/>
    <w:basedOn w:val="1"/>
    <w:next w:val="1"/>
    <w:uiPriority w:val="0"/>
    <w:pPr>
      <w:spacing w:line="280" w:lineRule="exact"/>
      <w:jc w:val="center"/>
    </w:pPr>
    <w:rPr>
      <w:sz w:val="18"/>
      <w:szCs w:val="18"/>
    </w:rPr>
  </w:style>
  <w:style w:type="paragraph" w:customStyle="1" w:styleId="2123">
    <w:name w:val="简单回函地址"/>
    <w:basedOn w:val="1"/>
    <w:uiPriority w:val="0"/>
    <w:rPr>
      <w:szCs w:val="20"/>
    </w:rPr>
  </w:style>
  <w:style w:type="paragraph" w:customStyle="1" w:styleId="2124">
    <w:name w:val="a)"/>
    <w:basedOn w:val="1"/>
    <w:uiPriority w:val="0"/>
    <w:pPr>
      <w:autoSpaceDE w:val="0"/>
      <w:autoSpaceDN w:val="0"/>
      <w:adjustRightInd w:val="0"/>
      <w:spacing w:line="360" w:lineRule="auto"/>
      <w:ind w:firstLine="567"/>
    </w:pPr>
    <w:rPr>
      <w:rFonts w:ascii="Times New Roman" w:hAnsi="Times New Roman"/>
      <w:kern w:val="0"/>
      <w:sz w:val="28"/>
      <w:szCs w:val="20"/>
    </w:rPr>
  </w:style>
  <w:style w:type="paragraph" w:customStyle="1" w:styleId="2125">
    <w:name w:val="样式62"/>
    <w:basedOn w:val="1"/>
    <w:uiPriority w:val="0"/>
    <w:pPr>
      <w:spacing w:before="156" w:beforeLines="50" w:after="156" w:afterLines="50" w:line="360" w:lineRule="auto"/>
      <w:ind w:firstLine="480" w:firstLineChars="200"/>
    </w:pPr>
    <w:rPr>
      <w:sz w:val="24"/>
    </w:rPr>
  </w:style>
  <w:style w:type="paragraph" w:customStyle="1" w:styleId="2126">
    <w:name w:val="普通(网站)1"/>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2127">
    <w:name w:val="xl59"/>
    <w:basedOn w:val="1"/>
    <w:uiPriority w:val="0"/>
    <w:pPr>
      <w:widowControl/>
      <w:pBdr>
        <w:left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hint="eastAsia" w:ascii="黑体" w:hAnsi="Arial Unicode MS" w:eastAsia="黑体"/>
      <w:b/>
      <w:kern w:val="0"/>
      <w:sz w:val="28"/>
      <w:szCs w:val="20"/>
    </w:rPr>
  </w:style>
  <w:style w:type="paragraph" w:customStyle="1" w:styleId="2128">
    <w:name w:val="表格内容格式"/>
    <w:basedOn w:val="1"/>
    <w:uiPriority w:val="0"/>
    <w:pPr>
      <w:adjustRightInd w:val="0"/>
      <w:spacing w:line="240" w:lineRule="atLeast"/>
      <w:textAlignment w:val="baseline"/>
    </w:pPr>
    <w:rPr>
      <w:rFonts w:ascii="宋体" w:hAnsi="宋体"/>
      <w:snapToGrid w:val="0"/>
      <w:color w:val="000000"/>
      <w:kern w:val="0"/>
      <w:szCs w:val="20"/>
    </w:rPr>
  </w:style>
  <w:style w:type="paragraph" w:customStyle="1" w:styleId="2129">
    <w:name w:val="xl61"/>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楷体_GB2312" w:hAnsi="宋体" w:eastAsia="楷体_GB2312"/>
      <w:kern w:val="0"/>
      <w:sz w:val="20"/>
      <w:szCs w:val="20"/>
    </w:rPr>
  </w:style>
  <w:style w:type="paragraph" w:customStyle="1" w:styleId="2130">
    <w:name w:val="xl30"/>
    <w:basedOn w:val="1"/>
    <w:uiPriority w:val="0"/>
    <w:pPr>
      <w:widowControl/>
      <w:pBdr>
        <w:bottom w:val="single" w:color="auto" w:sz="4" w:space="0"/>
        <w:right w:val="single" w:color="auto" w:sz="4" w:space="0"/>
      </w:pBdr>
      <w:spacing w:before="100" w:beforeLines="0" w:beforeAutospacing="1" w:after="100" w:afterLines="0" w:afterAutospacing="1"/>
      <w:jc w:val="center"/>
    </w:pPr>
    <w:rPr>
      <w:color w:val="FF0000"/>
      <w:kern w:val="0"/>
      <w:szCs w:val="21"/>
    </w:rPr>
  </w:style>
  <w:style w:type="paragraph" w:customStyle="1" w:styleId="2131">
    <w:name w:val="大标题"/>
    <w:basedOn w:val="5"/>
    <w:uiPriority w:val="0"/>
    <w:pPr>
      <w:widowControl/>
      <w:suppressLineNumbers/>
      <w:adjustRightInd w:val="0"/>
      <w:snapToGrid w:val="0"/>
      <w:spacing w:before="100" w:beforeLines="0" w:beforeAutospacing="1" w:after="100" w:afterLines="0" w:afterAutospacing="1" w:line="540" w:lineRule="exact"/>
      <w:jc w:val="center"/>
    </w:pPr>
    <w:rPr>
      <w:rFonts w:ascii="方正黑体_GBK" w:hAnsi="黑体" w:eastAsia="黑体"/>
      <w:bCs w:val="0"/>
      <w:kern w:val="2"/>
      <w:szCs w:val="20"/>
    </w:rPr>
  </w:style>
  <w:style w:type="paragraph" w:customStyle="1" w:styleId="2132">
    <w:name w:val="表题"/>
    <w:next w:val="1"/>
    <w:uiPriority w:val="0"/>
    <w:pPr>
      <w:adjustRightInd w:val="0"/>
      <w:snapToGrid w:val="0"/>
      <w:jc w:val="center"/>
    </w:pPr>
    <w:rPr>
      <w:rFonts w:eastAsia="Times New Roman"/>
      <w:b/>
      <w:kern w:val="2"/>
      <w:sz w:val="24"/>
      <w:lang w:val="en-GB" w:eastAsia="zh-CN" w:bidi="ar-SA"/>
    </w:rPr>
  </w:style>
  <w:style w:type="paragraph" w:customStyle="1" w:styleId="2133">
    <w:name w:val="Char1 Char Char Char Char Char Char Char Char Char"/>
    <w:basedOn w:val="1"/>
    <w:uiPriority w:val="0"/>
    <w:pPr>
      <w:spacing w:line="360" w:lineRule="auto"/>
      <w:ind w:firstLine="200" w:firstLineChars="200"/>
    </w:pPr>
    <w:rPr>
      <w:rFonts w:ascii="宋体" w:hAnsi="宋体" w:cs="宋体"/>
      <w:sz w:val="24"/>
    </w:rPr>
  </w:style>
  <w:style w:type="paragraph" w:customStyle="1" w:styleId="2134">
    <w:name w:val="Char2 Char Char Char Char Char Char Char Char Char"/>
    <w:basedOn w:val="1"/>
    <w:uiPriority w:val="0"/>
    <w:pPr>
      <w:spacing w:line="360" w:lineRule="auto"/>
      <w:ind w:firstLine="200" w:firstLineChars="200"/>
    </w:pPr>
    <w:rPr>
      <w:rFonts w:ascii="宋体" w:hAnsi="宋体" w:cs="宋体"/>
      <w:sz w:val="24"/>
    </w:rPr>
  </w:style>
  <w:style w:type="paragraph" w:customStyle="1" w:styleId="2135">
    <w:name w:val="表目"/>
    <w:basedOn w:val="777"/>
    <w:uiPriority w:val="0"/>
    <w:pPr>
      <w:shd w:val="pct5" w:color="auto" w:fill="FFFFFF"/>
      <w:tabs>
        <w:tab w:val="left" w:pos="0"/>
      </w:tabs>
      <w:snapToGrid w:val="0"/>
      <w:spacing w:after="0" w:line="360" w:lineRule="auto"/>
      <w:ind w:right="-40"/>
      <w:jc w:val="center"/>
      <w:textAlignment w:val="auto"/>
    </w:pPr>
    <w:rPr>
      <w:rFonts w:hint="eastAsia"/>
      <w:kern w:val="0"/>
      <w:sz w:val="24"/>
      <w:szCs w:val="20"/>
      <w:lang/>
    </w:rPr>
  </w:style>
  <w:style w:type="paragraph" w:customStyle="1" w:styleId="2136">
    <w:name w:val="样式 正文 + 首行缩进:  2 字符 + 宋体 四号 首行缩进:  2 字符"/>
    <w:basedOn w:val="1"/>
    <w:uiPriority w:val="0"/>
    <w:pPr>
      <w:spacing w:line="480" w:lineRule="exact"/>
      <w:ind w:firstLine="200" w:firstLineChars="200"/>
    </w:pPr>
    <w:rPr>
      <w:rFonts w:ascii="宋体" w:hAnsi="宋体" w:cs="宋体"/>
      <w:sz w:val="28"/>
      <w:szCs w:val="20"/>
    </w:rPr>
  </w:style>
  <w:style w:type="paragraph" w:customStyle="1" w:styleId="2137">
    <w:name w:val="g_w_100 g_t_wrap g_t_center g_t_bold g_t_24 g_c_pdin c07"/>
    <w:basedOn w:val="1"/>
    <w:uiPriority w:val="0"/>
    <w:pPr>
      <w:widowControl/>
      <w:spacing w:before="100" w:beforeAutospacing="1" w:after="100" w:afterAutospacing="1"/>
      <w:jc w:val="left"/>
    </w:pPr>
    <w:rPr>
      <w:rFonts w:ascii="宋体" w:hAnsi="宋体"/>
      <w:kern w:val="0"/>
      <w:sz w:val="24"/>
      <w:szCs w:val="20"/>
    </w:rPr>
  </w:style>
  <w:style w:type="paragraph" w:customStyle="1" w:styleId="2138">
    <w:name w:val="1章(治)"/>
    <w:basedOn w:val="1"/>
    <w:next w:val="1"/>
    <w:uiPriority w:val="0"/>
    <w:pPr>
      <w:spacing w:line="360" w:lineRule="auto"/>
      <w:jc w:val="center"/>
      <w:outlineLvl w:val="0"/>
    </w:pPr>
    <w:rPr>
      <w:rFonts w:ascii="黑体" w:hAnsi="宋体" w:eastAsia="黑体"/>
      <w:b/>
      <w:sz w:val="44"/>
      <w:szCs w:val="20"/>
    </w:rPr>
  </w:style>
  <w:style w:type="paragraph" w:customStyle="1" w:styleId="2139">
    <w:name w:val="In Table"/>
    <w:basedOn w:val="1"/>
    <w:uiPriority w:val="0"/>
    <w:pPr>
      <w:tabs>
        <w:tab w:val="left" w:pos="3960"/>
        <w:tab w:val="left" w:pos="5280"/>
      </w:tabs>
      <w:spacing w:before="96" w:after="96" w:line="0" w:lineRule="atLeast"/>
      <w:jc w:val="center"/>
    </w:pPr>
    <w:rPr>
      <w:rFonts w:ascii="Tahoma" w:hAnsi="Tahoma" w:eastAsia="华文中宋"/>
      <w:szCs w:val="20"/>
    </w:rPr>
  </w:style>
  <w:style w:type="paragraph" w:customStyle="1" w:styleId="2140">
    <w:name w:val="样式 首行缩进:  0.85 厘米 行距: 1.5 倍行距"/>
    <w:basedOn w:val="1"/>
    <w:uiPriority w:val="0"/>
    <w:pPr>
      <w:spacing w:line="360" w:lineRule="auto"/>
      <w:ind w:firstLine="480" w:firstLineChars="200"/>
    </w:pPr>
    <w:rPr>
      <w:rFonts w:cs="宋体"/>
      <w:sz w:val="24"/>
    </w:rPr>
  </w:style>
  <w:style w:type="paragraph" w:customStyle="1" w:styleId="2141">
    <w:name w:val="样式 标题 3 +"/>
    <w:basedOn w:val="7"/>
    <w:uiPriority w:val="0"/>
    <w:pPr>
      <w:spacing w:before="0" w:after="0" w:line="412" w:lineRule="auto"/>
    </w:pPr>
    <w:rPr>
      <w:rFonts w:ascii="Times New Roman" w:hAnsi="Times New Roman"/>
      <w:kern w:val="0"/>
      <w:sz w:val="24"/>
      <w:szCs w:val="24"/>
    </w:rPr>
  </w:style>
  <w:style w:type="paragraph" w:customStyle="1" w:styleId="2142">
    <w:name w:val="样式 题注2 + 首行缩进:  2 字符"/>
    <w:basedOn w:val="1"/>
    <w:uiPriority w:val="0"/>
    <w:pPr>
      <w:spacing w:line="324" w:lineRule="auto"/>
      <w:ind w:firstLine="420" w:firstLineChars="200"/>
      <w:jc w:val="center"/>
    </w:pPr>
    <w:rPr>
      <w:rFonts w:ascii="Arial" w:hAnsi="Arial"/>
      <w:b/>
      <w:color w:val="000000"/>
      <w:szCs w:val="20"/>
    </w:rPr>
  </w:style>
  <w:style w:type="paragraph" w:customStyle="1" w:styleId="2143">
    <w:name w:val="正文仿宋小四"/>
    <w:basedOn w:val="1"/>
    <w:uiPriority w:val="0"/>
    <w:pPr>
      <w:adjustRightInd w:val="0"/>
      <w:snapToGrid w:val="0"/>
      <w:spacing w:line="360" w:lineRule="auto"/>
      <w:ind w:firstLine="480" w:firstLineChars="200"/>
    </w:pPr>
    <w:rPr>
      <w:rFonts w:eastAsia="仿宋_GB2312"/>
      <w:sz w:val="24"/>
    </w:rPr>
  </w:style>
  <w:style w:type="paragraph" w:customStyle="1" w:styleId="2144">
    <w:name w:val="Char Char Char Char Char Char Char"/>
    <w:basedOn w:val="1"/>
    <w:uiPriority w:val="0"/>
    <w:rPr>
      <w:sz w:val="32"/>
      <w:szCs w:val="20"/>
    </w:rPr>
  </w:style>
  <w:style w:type="paragraph" w:customStyle="1" w:styleId="2145">
    <w:name w:val="样式34"/>
    <w:basedOn w:val="1"/>
    <w:uiPriority w:val="0"/>
    <w:pPr>
      <w:keepNext/>
      <w:keepLines/>
      <w:tabs>
        <w:tab w:val="left" w:pos="567"/>
      </w:tabs>
      <w:snapToGrid w:val="0"/>
      <w:spacing w:before="50" w:after="50" w:line="360" w:lineRule="auto"/>
      <w:ind w:left="567" w:hanging="567"/>
      <w:outlineLvl w:val="1"/>
    </w:pPr>
    <w:rPr>
      <w:rFonts w:ascii="黑体" w:hAnsi="Arial" w:eastAsia="黑体"/>
      <w:b/>
      <w:bCs/>
      <w:color w:val="000000"/>
      <w:sz w:val="28"/>
      <w:szCs w:val="28"/>
    </w:rPr>
  </w:style>
  <w:style w:type="paragraph" w:customStyle="1" w:styleId="2146">
    <w:name w:val="xl90"/>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147">
    <w:name w:val="附录图标题"/>
    <w:next w:val="950"/>
    <w:uiPriority w:val="0"/>
    <w:pPr>
      <w:jc w:val="center"/>
    </w:pPr>
    <w:rPr>
      <w:rFonts w:ascii="黑体" w:eastAsia="黑体"/>
      <w:sz w:val="21"/>
      <w:lang w:val="en-US" w:eastAsia="zh-CN" w:bidi="ar-SA"/>
    </w:rPr>
  </w:style>
  <w:style w:type="paragraph" w:customStyle="1" w:styleId="2148">
    <w:name w:val="正文标准样式 + 黑体"/>
    <w:basedOn w:val="1407"/>
    <w:uiPriority w:val="0"/>
    <w:pPr>
      <w:spacing w:line="460" w:lineRule="exact"/>
      <w:ind w:firstLine="0"/>
      <w:outlineLvl w:val="0"/>
    </w:pPr>
    <w:rPr>
      <w:rFonts w:ascii="黑体" w:eastAsia="黑体"/>
      <w:b/>
      <w:sz w:val="28"/>
      <w:szCs w:val="28"/>
    </w:rPr>
  </w:style>
  <w:style w:type="paragraph" w:customStyle="1" w:styleId="2149">
    <w:name w:val="样式 样式 样式 样式 标题 3标题 3 Char条标题1.1.1ReHead 3 WSAh3BSH-3H3b333rd le...."/>
    <w:basedOn w:val="1496"/>
    <w:uiPriority w:val="0"/>
    <w:pPr>
      <w:ind w:firstLine="560"/>
    </w:pPr>
  </w:style>
  <w:style w:type="paragraph" w:customStyle="1" w:styleId="2150">
    <w:name w:val="节标题"/>
    <w:basedOn w:val="1"/>
    <w:next w:val="1"/>
    <w:uiPriority w:val="0"/>
    <w:pPr>
      <w:tabs>
        <w:tab w:val="center" w:pos="3920"/>
      </w:tabs>
      <w:spacing w:before="139" w:after="139" w:line="520" w:lineRule="exact"/>
      <w:jc w:val="center"/>
      <w:outlineLvl w:val="3"/>
    </w:pPr>
    <w:rPr>
      <w:rFonts w:ascii="Times New Roman" w:hAnsi="Times New Roman" w:eastAsia="华文新魏"/>
      <w:b/>
      <w:sz w:val="32"/>
      <w:szCs w:val="20"/>
    </w:rPr>
  </w:style>
  <w:style w:type="paragraph" w:customStyle="1" w:styleId="2151">
    <w:name w:val="font8"/>
    <w:basedOn w:val="1"/>
    <w:uiPriority w:val="0"/>
    <w:pPr>
      <w:widowControl/>
      <w:spacing w:before="100" w:beforeLines="0" w:beforeAutospacing="1" w:after="100" w:afterLines="0" w:afterAutospacing="1"/>
      <w:jc w:val="left"/>
    </w:pPr>
    <w:rPr>
      <w:kern w:val="0"/>
      <w:szCs w:val="21"/>
    </w:rPr>
  </w:style>
  <w:style w:type="paragraph" w:customStyle="1" w:styleId="2152">
    <w:name w:val="正文 New New New New New New"/>
    <w:uiPriority w:val="0"/>
    <w:pPr>
      <w:widowControl w:val="0"/>
      <w:jc w:val="both"/>
    </w:pPr>
    <w:rPr>
      <w:kern w:val="2"/>
      <w:sz w:val="21"/>
      <w:szCs w:val="24"/>
      <w:lang w:val="en-US" w:eastAsia="zh-CN" w:bidi="ar-SA"/>
    </w:rPr>
  </w:style>
  <w:style w:type="paragraph" w:customStyle="1" w:styleId="2153">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154">
    <w:name w:val="样式 标题 2标题 21标题 121H2SeHead wsa2标题 1.1 + 小三 非加粗 段前: 12.5..."/>
    <w:basedOn w:val="6"/>
    <w:uiPriority w:val="0"/>
    <w:pPr>
      <w:numPr>
        <w:ilvl w:val="1"/>
        <w:numId w:val="0"/>
      </w:numPr>
      <w:tabs>
        <w:tab w:val="left" w:pos="238"/>
      </w:tabs>
      <w:spacing w:before="120" w:after="0" w:line="415" w:lineRule="auto"/>
      <w:ind w:left="238"/>
    </w:pPr>
    <w:rPr>
      <w:rFonts w:cs="宋体"/>
      <w:b w:val="0"/>
      <w:bCs w:val="0"/>
      <w:sz w:val="30"/>
      <w:szCs w:val="20"/>
    </w:rPr>
  </w:style>
  <w:style w:type="paragraph" w:customStyle="1" w:styleId="2155">
    <w:name w:val="节标题1"/>
    <w:basedOn w:val="1"/>
    <w:uiPriority w:val="0"/>
    <w:pPr>
      <w:widowControl/>
      <w:adjustRightInd w:val="0"/>
      <w:snapToGrid w:val="0"/>
      <w:spacing w:before="100" w:beforeAutospacing="1" w:after="100" w:afterAutospacing="1" w:line="360" w:lineRule="auto"/>
      <w:ind w:firstLine="641" w:firstLineChars="200"/>
      <w:jc w:val="left"/>
      <w:outlineLvl w:val="0"/>
    </w:pPr>
    <w:rPr>
      <w:rFonts w:ascii="仿宋_GB2312" w:hAnsi="宋体" w:eastAsia="仿宋_GB2312" w:cs="Arial"/>
      <w:b/>
      <w:bCs/>
      <w:sz w:val="30"/>
      <w:szCs w:val="32"/>
    </w:rPr>
  </w:style>
  <w:style w:type="paragraph" w:customStyle="1" w:styleId="2156">
    <w:name w:val="沥青表"/>
    <w:basedOn w:val="1"/>
    <w:uiPriority w:val="0"/>
    <w:pPr>
      <w:adjustRightInd w:val="0"/>
      <w:spacing w:line="0" w:lineRule="atLeast"/>
      <w:jc w:val="center"/>
      <w:textAlignment w:val="baseline"/>
    </w:pPr>
    <w:rPr>
      <w:bCs/>
      <w:spacing w:val="10"/>
      <w:kern w:val="0"/>
      <w:szCs w:val="21"/>
    </w:rPr>
  </w:style>
  <w:style w:type="paragraph" w:customStyle="1" w:styleId="2157">
    <w:name w:val="xl122"/>
    <w:basedOn w:val="1"/>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cs="Arial Unicode MS"/>
      <w:kern w:val="0"/>
      <w:sz w:val="24"/>
    </w:rPr>
  </w:style>
  <w:style w:type="paragraph" w:customStyle="1" w:styleId="2158">
    <w:name w:val="font13"/>
    <w:basedOn w:val="1"/>
    <w:uiPriority w:val="0"/>
    <w:pPr>
      <w:widowControl/>
      <w:spacing w:before="100" w:beforeAutospacing="1" w:after="100" w:afterAutospacing="1"/>
      <w:jc w:val="left"/>
    </w:pPr>
    <w:rPr>
      <w:rFonts w:ascii="宋体" w:hAnsi="宋体"/>
      <w:kern w:val="0"/>
      <w:sz w:val="18"/>
      <w:szCs w:val="18"/>
    </w:rPr>
  </w:style>
  <w:style w:type="paragraph" w:customStyle="1" w:styleId="2159">
    <w:name w:val="五级无标题条"/>
    <w:basedOn w:val="1"/>
    <w:uiPriority w:val="0"/>
  </w:style>
  <w:style w:type="paragraph" w:customStyle="1" w:styleId="2160">
    <w:name w:val="char"/>
    <w:basedOn w:val="1"/>
    <w:uiPriority w:val="0"/>
    <w:pPr>
      <w:widowControl/>
      <w:tabs>
        <w:tab w:val="center" w:pos="4153"/>
        <w:tab w:val="right" w:pos="8306"/>
      </w:tabs>
      <w:snapToGrid w:val="0"/>
      <w:spacing w:after="160" w:afterLines="0" w:line="300" w:lineRule="auto"/>
      <w:jc w:val="center"/>
    </w:pPr>
    <w:rPr>
      <w:rFonts w:ascii="宋体" w:hAnsi="宋体" w:cs="”“Times New Roman”“"/>
      <w:bCs/>
      <w:spacing w:val="2"/>
      <w:kern w:val="0"/>
      <w:szCs w:val="21"/>
      <w:lang w:eastAsia="en-US"/>
    </w:rPr>
  </w:style>
  <w:style w:type="paragraph" w:customStyle="1" w:styleId="2161">
    <w:name w:val="正文 小四 行距: 1.5 倍行距"/>
    <w:basedOn w:val="1"/>
    <w:uiPriority w:val="0"/>
    <w:pPr>
      <w:spacing w:line="360" w:lineRule="auto"/>
      <w:ind w:firstLine="480" w:firstLineChars="200"/>
    </w:pPr>
    <w:rPr>
      <w:rFonts w:ascii="宋体" w:hAnsi="Times New Roman" w:cs="宋体"/>
      <w:kern w:val="0"/>
      <w:sz w:val="24"/>
      <w:szCs w:val="20"/>
    </w:rPr>
  </w:style>
  <w:style w:type="paragraph" w:customStyle="1" w:styleId="2162">
    <w:name w:val="样式 首行缩进"/>
    <w:basedOn w:val="1"/>
    <w:uiPriority w:val="0"/>
    <w:pPr>
      <w:spacing w:before="60" w:after="60" w:line="360" w:lineRule="auto"/>
      <w:ind w:firstLine="480" w:firstLineChars="200"/>
    </w:pPr>
    <w:rPr>
      <w:rFonts w:cs="宋体"/>
      <w:sz w:val="24"/>
      <w:szCs w:val="20"/>
    </w:rPr>
  </w:style>
  <w:style w:type="paragraph" w:customStyle="1" w:styleId="2163">
    <w:name w:val=" 字元 字元 Char Char 字元 字元1"/>
    <w:basedOn w:val="1"/>
    <w:uiPriority w:val="0"/>
    <w:rPr>
      <w:sz w:val="24"/>
      <w:szCs w:val="20"/>
    </w:rPr>
  </w:style>
  <w:style w:type="paragraph" w:customStyle="1" w:styleId="2164">
    <w:name w:val="p19"/>
    <w:basedOn w:val="1"/>
    <w:uiPriority w:val="0"/>
    <w:pPr>
      <w:widowControl/>
      <w:spacing w:line="400" w:lineRule="atLeast"/>
      <w:ind w:firstLine="420"/>
    </w:pPr>
    <w:rPr>
      <w:rFonts w:ascii="宋体" w:hAnsi="宋体" w:cs="宋体"/>
      <w:kern w:val="0"/>
      <w:sz w:val="24"/>
    </w:rPr>
  </w:style>
  <w:style w:type="paragraph" w:customStyle="1" w:styleId="2165">
    <w:name w:val="xl63"/>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kern w:val="0"/>
      <w:sz w:val="20"/>
      <w:szCs w:val="20"/>
    </w:rPr>
  </w:style>
  <w:style w:type="paragraph" w:customStyle="1" w:styleId="2166">
    <w:name w:val="Char3"/>
    <w:basedOn w:val="27"/>
    <w:uiPriority w:val="0"/>
    <w:pPr>
      <w:spacing w:line="360" w:lineRule="auto"/>
    </w:pPr>
    <w:rPr>
      <w:rFonts w:ascii="Tahoma" w:hAnsi="Tahoma"/>
      <w:sz w:val="24"/>
    </w:rPr>
  </w:style>
  <w:style w:type="paragraph" w:customStyle="1" w:styleId="2167">
    <w:name w:val="正文报告"/>
    <w:basedOn w:val="1"/>
    <w:uiPriority w:val="0"/>
    <w:pPr>
      <w:spacing w:line="360" w:lineRule="auto"/>
      <w:ind w:firstLine="480" w:firstLineChars="200"/>
    </w:pPr>
    <w:rPr>
      <w:rFonts w:ascii="宋体" w:hAnsi="Times New Roman"/>
      <w:kern w:val="0"/>
      <w:sz w:val="24"/>
      <w:szCs w:val="20"/>
    </w:rPr>
  </w:style>
  <w:style w:type="paragraph" w:customStyle="1" w:styleId="2168">
    <w:name w:val="xl32"/>
    <w:basedOn w:val="1"/>
    <w:uiPriority w:val="0"/>
    <w:pPr>
      <w:widowControl/>
      <w:pBdr>
        <w:bottom w:val="single" w:color="auto" w:sz="4" w:space="0"/>
        <w:right w:val="single" w:color="auto" w:sz="4" w:space="0"/>
      </w:pBdr>
      <w:spacing w:before="100" w:beforeLines="0" w:beforeAutospacing="1" w:after="100" w:afterLines="0" w:afterAutospacing="1"/>
      <w:jc w:val="center"/>
    </w:pPr>
    <w:rPr>
      <w:color w:val="FF0000"/>
      <w:kern w:val="0"/>
      <w:szCs w:val="21"/>
    </w:rPr>
  </w:style>
  <w:style w:type="paragraph" w:customStyle="1" w:styleId="2169">
    <w:name w:val="封面标准文稿编辑信息"/>
    <w:uiPriority w:val="0"/>
    <w:pPr>
      <w:spacing w:before="180" w:line="180" w:lineRule="exact"/>
      <w:jc w:val="center"/>
    </w:pPr>
    <w:rPr>
      <w:rFonts w:ascii="宋体"/>
      <w:sz w:val="21"/>
      <w:lang w:val="en-US" w:eastAsia="zh-CN" w:bidi="ar-SA"/>
    </w:rPr>
  </w:style>
  <w:style w:type="paragraph" w:customStyle="1" w:styleId="2170">
    <w:name w:val="农贸市场表格表头"/>
    <w:basedOn w:val="1"/>
    <w:uiPriority w:val="0"/>
    <w:pPr>
      <w:jc w:val="center"/>
    </w:pPr>
    <w:rPr>
      <w:rFonts w:ascii="宋体" w:hAnsi="宋体" w:cs="仿宋_GB2312"/>
      <w:b/>
      <w:kern w:val="0"/>
      <w:sz w:val="34"/>
      <w:szCs w:val="21"/>
    </w:rPr>
  </w:style>
  <w:style w:type="paragraph" w:customStyle="1" w:styleId="2171">
    <w:name w:val="样式 宋体 左 行距: 固定值 22 磅"/>
    <w:basedOn w:val="1"/>
    <w:uiPriority w:val="0"/>
    <w:pPr>
      <w:suppressAutoHyphens/>
      <w:spacing w:line="440" w:lineRule="exact"/>
      <w:ind w:firstLine="480"/>
      <w:jc w:val="left"/>
    </w:pPr>
    <w:rPr>
      <w:rFonts w:ascii="宋体" w:hAnsi="宋体" w:cs="宋体"/>
      <w:kern w:val="1"/>
      <w:sz w:val="24"/>
      <w:szCs w:val="20"/>
      <w:lang w:eastAsia="ar-SA"/>
    </w:rPr>
  </w:style>
  <w:style w:type="paragraph" w:customStyle="1" w:styleId="2172">
    <w:name w:val="wtext"/>
    <w:basedOn w:val="1"/>
    <w:uiPriority w:val="0"/>
    <w:pPr>
      <w:widowControl/>
      <w:spacing w:before="100" w:beforeLines="0" w:beforeAutospacing="1" w:after="100" w:afterLines="0" w:afterAutospacing="1"/>
      <w:ind w:firstLine="480"/>
      <w:jc w:val="left"/>
    </w:pPr>
    <w:rPr>
      <w:rFonts w:hint="eastAsia" w:ascii="宋体" w:hAnsi="宋体"/>
      <w:color w:val="000000"/>
      <w:kern w:val="0"/>
      <w:sz w:val="22"/>
      <w:szCs w:val="22"/>
    </w:rPr>
  </w:style>
  <w:style w:type="paragraph" w:customStyle="1" w:styleId="2173">
    <w:name w:val="样式 (西文) 宋体 四号 首行缩进:  2 字符"/>
    <w:basedOn w:val="1"/>
    <w:uiPriority w:val="0"/>
    <w:pPr>
      <w:ind w:firstLine="560" w:firstLineChars="200"/>
    </w:pPr>
    <w:rPr>
      <w:rFonts w:ascii="宋体" w:hAnsi="宋体" w:cs="宋体"/>
      <w:sz w:val="28"/>
      <w:szCs w:val="20"/>
    </w:rPr>
  </w:style>
  <w:style w:type="paragraph" w:customStyle="1" w:styleId="2174">
    <w:name w:val="xl81"/>
    <w:basedOn w:val="1"/>
    <w:uiPriority w:val="0"/>
    <w:pPr>
      <w:widowControl/>
      <w:pBdr>
        <w:top w:val="single" w:color="auto" w:sz="8" w:space="0"/>
      </w:pBdr>
      <w:spacing w:before="100" w:beforeAutospacing="1" w:after="100" w:afterAutospacing="1"/>
      <w:jc w:val="center"/>
    </w:pPr>
    <w:rPr>
      <w:rFonts w:ascii="Times New Roman" w:hAnsi="Times New Roman"/>
      <w:kern w:val="0"/>
      <w:sz w:val="28"/>
      <w:szCs w:val="28"/>
    </w:rPr>
  </w:style>
  <w:style w:type="paragraph" w:customStyle="1" w:styleId="2175">
    <w:name w:val="样式 样式 标题 4 + 非加粗 + 行距: 1.5 倍行距"/>
    <w:basedOn w:val="2013"/>
    <w:uiPriority w:val="0"/>
    <w:pPr>
      <w:spacing w:before="156" w:beforeLines="50" w:after="156" w:afterLines="50" w:line="360" w:lineRule="auto"/>
    </w:pPr>
    <w:rPr>
      <w:rFonts w:cs="宋体"/>
      <w:szCs w:val="20"/>
    </w:rPr>
  </w:style>
  <w:style w:type="paragraph" w:customStyle="1" w:styleId="2176">
    <w:name w:val="可研-节标题"/>
    <w:next w:val="1413"/>
    <w:uiPriority w:val="0"/>
    <w:pPr>
      <w:spacing w:line="360" w:lineRule="auto"/>
      <w:ind w:firstLine="200" w:firstLineChars="200"/>
      <w:outlineLvl w:val="1"/>
    </w:pPr>
    <w:rPr>
      <w:b/>
      <w:sz w:val="28"/>
      <w:szCs w:val="30"/>
      <w:lang w:val="en-US" w:eastAsia="zh-CN" w:bidi="ar-SA"/>
    </w:rPr>
  </w:style>
  <w:style w:type="paragraph" w:customStyle="1" w:styleId="2177">
    <w:name w:val="普通(Web)12"/>
    <w:basedOn w:val="1"/>
    <w:uiPriority w:val="0"/>
    <w:pPr>
      <w:widowControl/>
      <w:spacing w:before="100" w:beforeAutospacing="1" w:after="100" w:afterAutospacing="1" w:line="384" w:lineRule="auto"/>
      <w:ind w:left="225" w:right="225"/>
      <w:jc w:val="left"/>
    </w:pPr>
    <w:rPr>
      <w:rFonts w:ascii="宋体" w:hAnsi="宋体" w:cs="宋体"/>
      <w:kern w:val="0"/>
      <w:sz w:val="24"/>
    </w:rPr>
  </w:style>
  <w:style w:type="paragraph" w:customStyle="1" w:styleId="2178">
    <w:name w:val="小2黑"/>
    <w:basedOn w:val="6"/>
    <w:uiPriority w:val="0"/>
    <w:pPr>
      <w:spacing w:before="156" w:beforeLines="50" w:after="156" w:afterLines="50" w:line="540" w:lineRule="exact"/>
    </w:pPr>
    <w:rPr>
      <w:rFonts w:ascii="黑体" w:eastAsia="宋体"/>
      <w:bCs w:val="0"/>
      <w:sz w:val="36"/>
      <w:szCs w:val="20"/>
    </w:rPr>
  </w:style>
  <w:style w:type="paragraph" w:customStyle="1" w:styleId="2179">
    <w:name w:val="样2"/>
    <w:basedOn w:val="1"/>
    <w:next w:val="1"/>
    <w:uiPriority w:val="0"/>
    <w:pPr>
      <w:adjustRightInd w:val="0"/>
      <w:jc w:val="center"/>
      <w:textAlignment w:val="baseline"/>
    </w:pPr>
    <w:rPr>
      <w:kern w:val="0"/>
      <w:szCs w:val="20"/>
    </w:rPr>
  </w:style>
  <w:style w:type="paragraph" w:customStyle="1" w:styleId="2180">
    <w:name w:val="表头样式1"/>
    <w:basedOn w:val="1"/>
    <w:uiPriority w:val="0"/>
    <w:pPr>
      <w:spacing w:after="80" w:afterLines="0" w:line="480" w:lineRule="atLeast"/>
      <w:jc w:val="center"/>
    </w:pPr>
    <w:rPr>
      <w:rFonts w:eastAsia="黑体"/>
      <w:b/>
      <w:sz w:val="24"/>
      <w:szCs w:val="20"/>
    </w:rPr>
  </w:style>
  <w:style w:type="paragraph" w:customStyle="1" w:styleId="2181">
    <w:name w:val="麦志勤标题四"/>
    <w:basedOn w:val="1"/>
    <w:uiPriority w:val="0"/>
    <w:pPr>
      <w:adjustRightInd w:val="0"/>
      <w:snapToGrid w:val="0"/>
      <w:spacing w:before="312" w:beforeLines="100" w:line="300" w:lineRule="auto"/>
      <w:outlineLvl w:val="2"/>
    </w:pPr>
    <w:rPr>
      <w:rFonts w:ascii="黑体" w:hAnsi="宋体" w:eastAsia="黑体"/>
      <w:sz w:val="30"/>
      <w:szCs w:val="20"/>
    </w:rPr>
  </w:style>
  <w:style w:type="paragraph" w:customStyle="1" w:styleId="2182">
    <w:name w:val="中文报告书样式"/>
    <w:basedOn w:val="1"/>
    <w:uiPriority w:val="0"/>
    <w:pPr>
      <w:adjustRightInd w:val="0"/>
      <w:spacing w:line="480" w:lineRule="atLeast"/>
      <w:ind w:firstLine="482"/>
      <w:textAlignment w:val="baseline"/>
    </w:pPr>
    <w:rPr>
      <w:kern w:val="24"/>
      <w:sz w:val="24"/>
      <w:szCs w:val="20"/>
    </w:rPr>
  </w:style>
  <w:style w:type="paragraph" w:customStyle="1" w:styleId="2183">
    <w:name w:val="正文(a)"/>
    <w:basedOn w:val="35"/>
    <w:uiPriority w:val="0"/>
    <w:pPr>
      <w:widowControl/>
      <w:tabs>
        <w:tab w:val="left" w:pos="1139"/>
        <w:tab w:val="left" w:pos="1332"/>
      </w:tabs>
      <w:spacing w:after="0" w:afterLines="0" w:line="351" w:lineRule="atLeast"/>
      <w:ind w:left="-141" w:firstLine="566"/>
      <w:textAlignment w:val="baseline"/>
    </w:pPr>
    <w:rPr>
      <w:rFonts w:ascii="宋体"/>
      <w:color w:val="000000"/>
      <w:spacing w:val="5"/>
      <w:u w:val="none" w:color="000000"/>
    </w:rPr>
  </w:style>
  <w:style w:type="paragraph" w:customStyle="1" w:styleId="2184">
    <w:name w:val=" 字元 字元"/>
    <w:basedOn w:val="1"/>
    <w:uiPriority w:val="0"/>
    <w:pPr>
      <w:adjustRightInd w:val="0"/>
      <w:spacing w:line="360" w:lineRule="auto"/>
    </w:pPr>
    <w:rPr>
      <w:kern w:val="0"/>
      <w:sz w:val="24"/>
      <w:szCs w:val="20"/>
    </w:rPr>
  </w:style>
  <w:style w:type="paragraph" w:customStyle="1" w:styleId="2185">
    <w:name w:val="Char Char1 Char Char Char Char Char Char Char Char Char Char Char Char Char Char Char Char Char Char"/>
    <w:basedOn w:val="1"/>
    <w:uiPriority w:val="0"/>
    <w:pPr>
      <w:spacing w:line="360" w:lineRule="auto"/>
      <w:ind w:firstLine="200" w:firstLineChars="200"/>
    </w:pPr>
    <w:rPr>
      <w:szCs w:val="21"/>
    </w:rPr>
  </w:style>
  <w:style w:type="paragraph" w:customStyle="1" w:styleId="2186">
    <w:name w:val="样式 标题 3条标题1.1.1ReHead 3 WSAh3BSH-3H3b333rd levell3CT..."/>
    <w:basedOn w:val="7"/>
    <w:uiPriority w:val="0"/>
    <w:pPr>
      <w:spacing w:before="120" w:beforeLines="0" w:after="120" w:afterLines="0" w:line="360" w:lineRule="auto"/>
    </w:pPr>
    <w:rPr>
      <w:rFonts w:cs="宋体"/>
      <w:szCs w:val="20"/>
    </w:rPr>
  </w:style>
  <w:style w:type="paragraph" w:customStyle="1" w:styleId="2187">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2188">
    <w:name w:val="样式 标题 3 + 宋体 四号 段前: 0 磅 段后: 0 磅 行距: 单倍行距"/>
    <w:basedOn w:val="7"/>
    <w:uiPriority w:val="0"/>
    <w:pPr>
      <w:spacing w:before="0" w:after="0" w:line="240" w:lineRule="auto"/>
    </w:pPr>
    <w:rPr>
      <w:rFonts w:cs="宋体"/>
      <w:sz w:val="28"/>
      <w:szCs w:val="28"/>
    </w:rPr>
  </w:style>
  <w:style w:type="paragraph" w:customStyle="1" w:styleId="2189">
    <w:name w:val=" Char Char Char Char Char Char Char Char Char Char Char Char Char"/>
    <w:basedOn w:val="1"/>
    <w:uiPriority w:val="0"/>
    <w:pPr>
      <w:spacing w:line="480" w:lineRule="exact"/>
    </w:pPr>
  </w:style>
  <w:style w:type="paragraph" w:customStyle="1" w:styleId="2190">
    <w:name w:val="样式 样式 样式 首行缩进:  2 字符 + 首行缩进:  2 字符 + 首行缩进:  2 字符"/>
    <w:basedOn w:val="1"/>
    <w:uiPriority w:val="0"/>
    <w:pPr>
      <w:spacing w:line="360" w:lineRule="auto"/>
      <w:ind w:firstLine="480" w:firstLineChars="200"/>
    </w:pPr>
    <w:rPr>
      <w:rFonts w:eastAsia="仿宋_GB2312" w:cs="宋体"/>
      <w:sz w:val="24"/>
      <w:szCs w:val="20"/>
    </w:rPr>
  </w:style>
  <w:style w:type="paragraph" w:customStyle="1" w:styleId="2191">
    <w:name w:val="p0"/>
    <w:basedOn w:val="1"/>
    <w:uiPriority w:val="0"/>
    <w:pPr>
      <w:widowControl/>
    </w:pPr>
    <w:rPr>
      <w:kern w:val="0"/>
      <w:szCs w:val="21"/>
    </w:rPr>
  </w:style>
  <w:style w:type="paragraph" w:customStyle="1" w:styleId="2192">
    <w:name w:val="正文4"/>
    <w:basedOn w:val="1"/>
    <w:uiPriority w:val="0"/>
    <w:pPr>
      <w:adjustRightInd w:val="0"/>
      <w:spacing w:line="315" w:lineRule="atLeast"/>
      <w:jc w:val="left"/>
      <w:textAlignment w:val="baseline"/>
    </w:pPr>
    <w:rPr>
      <w:rFonts w:ascii="宋体"/>
      <w:kern w:val="0"/>
      <w:sz w:val="24"/>
      <w:szCs w:val="20"/>
    </w:rPr>
  </w:style>
  <w:style w:type="paragraph" w:customStyle="1" w:styleId="2193">
    <w:name w:val="样式 标题 2 + 首行缩进:  0 字符"/>
    <w:basedOn w:val="6"/>
    <w:uiPriority w:val="0"/>
    <w:pPr>
      <w:spacing w:line="360" w:lineRule="auto"/>
    </w:pPr>
    <w:rPr>
      <w:rFonts w:cs="宋体"/>
      <w:sz w:val="28"/>
      <w:szCs w:val="20"/>
    </w:rPr>
  </w:style>
  <w:style w:type="paragraph" w:customStyle="1" w:styleId="2194">
    <w:name w:val="font9"/>
    <w:basedOn w:val="1"/>
    <w:uiPriority w:val="0"/>
    <w:pPr>
      <w:widowControl/>
      <w:spacing w:before="100" w:beforeLines="0" w:beforeAutospacing="1" w:after="100" w:afterLines="0" w:afterAutospacing="1"/>
      <w:jc w:val="left"/>
    </w:pPr>
    <w:rPr>
      <w:color w:val="FF0000"/>
      <w:kern w:val="0"/>
      <w:szCs w:val="21"/>
    </w:rPr>
  </w:style>
  <w:style w:type="paragraph" w:customStyle="1" w:styleId="2195">
    <w:name w:val="款项"/>
    <w:basedOn w:val="1"/>
    <w:uiPriority w:val="0"/>
    <w:pPr>
      <w:spacing w:before="156" w:beforeLines="50" w:after="156" w:afterLines="50"/>
    </w:pPr>
    <w:rPr>
      <w:rFonts w:ascii="黑体" w:eastAsia="黑体"/>
      <w:sz w:val="24"/>
    </w:rPr>
  </w:style>
  <w:style w:type="paragraph" w:customStyle="1" w:styleId="2196">
    <w:name w:val="样式02"/>
    <w:basedOn w:val="6"/>
    <w:uiPriority w:val="0"/>
    <w:pPr>
      <w:spacing w:before="156" w:beforeLines="0" w:after="156" w:afterLines="0" w:line="240" w:lineRule="auto"/>
    </w:pPr>
    <w:rPr>
      <w:rFonts w:ascii="Times New Roman" w:hAnsi="Times New Roman"/>
      <w:bCs w:val="0"/>
      <w:sz w:val="28"/>
      <w:szCs w:val="20"/>
    </w:rPr>
  </w:style>
  <w:style w:type="paragraph" w:customStyle="1" w:styleId="2197">
    <w:name w:val="xl27"/>
    <w:basedOn w:val="1"/>
    <w:uiPriority w:val="0"/>
    <w:pPr>
      <w:widowControl/>
      <w:pBdr>
        <w:bottom w:val="single" w:color="auto" w:sz="4" w:space="0"/>
        <w:right w:val="single" w:color="auto" w:sz="4" w:space="0"/>
      </w:pBdr>
      <w:spacing w:before="100" w:beforeLines="0" w:beforeAutospacing="1" w:after="100" w:afterLines="0" w:afterAutospacing="1"/>
      <w:jc w:val="center"/>
    </w:pPr>
    <w:rPr>
      <w:kern w:val="0"/>
      <w:szCs w:val="21"/>
    </w:rPr>
  </w:style>
  <w:style w:type="paragraph" w:customStyle="1" w:styleId="2198">
    <w:name w:val="Char Char Char Char Char Char1 Char"/>
    <w:basedOn w:val="1"/>
    <w:uiPriority w:val="0"/>
    <w:pPr>
      <w:tabs>
        <w:tab w:val="left" w:pos="360"/>
      </w:tabs>
      <w:spacing w:line="360" w:lineRule="auto"/>
      <w:ind w:firstLine="482"/>
    </w:pPr>
    <w:rPr>
      <w:rFonts w:ascii="Tahoma" w:hAnsi="Tahoma" w:eastAsia="黑体"/>
      <w:szCs w:val="21"/>
    </w:rPr>
  </w:style>
  <w:style w:type="paragraph" w:customStyle="1" w:styleId="2199">
    <w:name w:val="段落样式"/>
    <w:basedOn w:val="1"/>
    <w:uiPriority w:val="0"/>
    <w:pPr>
      <w:keepNext/>
      <w:suppressLineNumbers/>
      <w:suppressAutoHyphens/>
      <w:topLinePunct/>
      <w:adjustRightInd w:val="0"/>
      <w:snapToGrid w:val="0"/>
      <w:spacing w:line="480" w:lineRule="atLeast"/>
      <w:ind w:firstLine="482"/>
      <w:textAlignment w:val="baseline"/>
    </w:pPr>
    <w:rPr>
      <w:snapToGrid w:val="0"/>
      <w:w w:val="90"/>
      <w:kern w:val="0"/>
      <w:sz w:val="28"/>
      <w:szCs w:val="20"/>
    </w:rPr>
  </w:style>
  <w:style w:type="paragraph" w:customStyle="1" w:styleId="2200">
    <w:name w:val="正文首缩"/>
    <w:basedOn w:val="1"/>
    <w:uiPriority w:val="0"/>
    <w:pPr>
      <w:adjustRightInd w:val="0"/>
      <w:snapToGrid w:val="0"/>
      <w:spacing w:line="360" w:lineRule="atLeast"/>
      <w:ind w:firstLine="510"/>
      <w:textAlignment w:val="baseline"/>
    </w:pPr>
    <w:rPr>
      <w:kern w:val="0"/>
      <w:sz w:val="24"/>
      <w:szCs w:val="20"/>
    </w:rPr>
  </w:style>
  <w:style w:type="paragraph" w:customStyle="1" w:styleId="2201">
    <w:name w:val="自动3"/>
    <w:basedOn w:val="338"/>
    <w:uiPriority w:val="0"/>
    <w:pPr>
      <w:tabs>
        <w:tab w:val="left" w:pos="23925"/>
      </w:tabs>
      <w:spacing w:beforeLines="0" w:afterLines="0"/>
      <w:ind w:left="23925" w:hanging="420"/>
    </w:pPr>
    <w:rPr>
      <w:bCs w:val="0"/>
      <w:color w:val="000000"/>
    </w:rPr>
  </w:style>
  <w:style w:type="paragraph" w:customStyle="1" w:styleId="2202">
    <w:name w:val="自动1"/>
    <w:basedOn w:val="2203"/>
    <w:uiPriority w:val="0"/>
    <w:pPr>
      <w:tabs>
        <w:tab w:val="left" w:pos="432"/>
      </w:tabs>
      <w:spacing w:before="120" w:after="120"/>
      <w:ind w:left="432" w:hanging="432"/>
    </w:pPr>
    <w:rPr>
      <w:color w:val="000000"/>
    </w:rPr>
  </w:style>
  <w:style w:type="paragraph" w:customStyle="1" w:styleId="2203">
    <w:name w:val="一级标题"/>
    <w:basedOn w:val="5"/>
    <w:uiPriority w:val="0"/>
    <w:pPr>
      <w:spacing w:beforeLines="50" w:afterLines="50" w:line="360" w:lineRule="auto"/>
    </w:pPr>
    <w:rPr>
      <w:rFonts w:ascii="黑体" w:hAnsi="Arial Unicode MS" w:eastAsia="黑体" w:cs="Arial Unicode MS"/>
      <w:sz w:val="30"/>
      <w:szCs w:val="30"/>
    </w:rPr>
  </w:style>
  <w:style w:type="paragraph" w:customStyle="1" w:styleId="2204">
    <w:name w:val="报告样式"/>
    <w:basedOn w:val="1"/>
    <w:next w:val="1"/>
    <w:uiPriority w:val="0"/>
    <w:rPr>
      <w:sz w:val="24"/>
      <w:szCs w:val="20"/>
    </w:rPr>
  </w:style>
  <w:style w:type="paragraph" w:customStyle="1" w:styleId="2205">
    <w:name w:val="xl49"/>
    <w:basedOn w:val="1"/>
    <w:uiPriority w:val="0"/>
    <w:pPr>
      <w:widowControl/>
      <w:pBdr>
        <w:top w:val="single" w:color="auto" w:sz="8" w:space="0"/>
        <w:left w:val="single" w:color="auto" w:sz="8" w:space="0"/>
        <w:right w:val="single" w:color="auto" w:sz="8" w:space="0"/>
      </w:pBdr>
      <w:shd w:val="clear" w:color="auto" w:fill="FF99CC"/>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2206">
    <w:name w:val="Char Char Char Char2 Char"/>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2207">
    <w:name w:val="标-5"/>
    <w:basedOn w:val="1"/>
    <w:uiPriority w:val="0"/>
    <w:pPr>
      <w:tabs>
        <w:tab w:val="right" w:leader="dot" w:pos="8789"/>
      </w:tabs>
      <w:spacing w:line="360" w:lineRule="auto"/>
      <w:ind w:firstLine="523" w:firstLineChars="218"/>
    </w:pPr>
    <w:rPr>
      <w:sz w:val="24"/>
      <w:szCs w:val="20"/>
    </w:rPr>
  </w:style>
  <w:style w:type="paragraph" w:customStyle="1" w:styleId="2208">
    <w:name w:val="y1"/>
    <w:basedOn w:val="47"/>
    <w:uiPriority w:val="0"/>
    <w:pPr>
      <w:suppressAutoHyphens/>
      <w:snapToGrid w:val="0"/>
      <w:spacing w:before="62" w:beforeLines="0" w:after="62" w:afterLines="0"/>
      <w:ind w:firstLine="480"/>
    </w:pPr>
    <w:rPr>
      <w:rFonts w:hAnsi="宋体"/>
      <w:kern w:val="1"/>
      <w:sz w:val="24"/>
      <w:lang w:eastAsia="ar-SA"/>
    </w:rPr>
  </w:style>
  <w:style w:type="paragraph" w:customStyle="1" w:styleId="2209">
    <w:name w:val="样式 标题 1 + (中文) 黑体 小二 居中 段前: 0 磅 段后: 0 磅 行距: 1.5 倍行距"/>
    <w:basedOn w:val="5"/>
    <w:uiPriority w:val="0"/>
    <w:pPr>
      <w:spacing w:before="0" w:after="0" w:line="360" w:lineRule="auto"/>
      <w:jc w:val="center"/>
    </w:pPr>
    <w:rPr>
      <w:rFonts w:eastAsia="黑体" w:cs="宋体"/>
      <w:sz w:val="32"/>
      <w:szCs w:val="32"/>
    </w:rPr>
  </w:style>
  <w:style w:type="paragraph" w:customStyle="1" w:styleId="2210">
    <w:name w:val="标准 Char"/>
    <w:basedOn w:val="1"/>
    <w:uiPriority w:val="0"/>
    <w:pPr>
      <w:adjustRightInd w:val="0"/>
      <w:spacing w:line="480" w:lineRule="exact"/>
      <w:textAlignment w:val="baseline"/>
    </w:pPr>
    <w:rPr>
      <w:spacing w:val="-2"/>
      <w:kern w:val="0"/>
      <w:sz w:val="28"/>
      <w:szCs w:val="20"/>
      <w:lang w:val="en-GB"/>
    </w:rPr>
  </w:style>
  <w:style w:type="paragraph" w:customStyle="1" w:styleId="2211">
    <w:name w:val="样式 表头 + 首行缩进:  2 字符"/>
    <w:basedOn w:val="1"/>
    <w:uiPriority w:val="0"/>
    <w:pPr>
      <w:adjustRightInd w:val="0"/>
      <w:snapToGrid w:val="0"/>
      <w:spacing w:after="120" w:afterLines="0"/>
      <w:jc w:val="center"/>
    </w:pPr>
    <w:rPr>
      <w:sz w:val="24"/>
      <w:szCs w:val="20"/>
    </w:rPr>
  </w:style>
  <w:style w:type="paragraph" w:customStyle="1" w:styleId="2212">
    <w:name w:val="表标题2"/>
    <w:basedOn w:val="1"/>
    <w:uiPriority w:val="0"/>
    <w:pPr>
      <w:keepNext/>
      <w:adjustRightInd w:val="0"/>
      <w:spacing w:before="180" w:beforeLines="0" w:after="120" w:afterLines="0" w:line="397" w:lineRule="atLeast"/>
      <w:jc w:val="center"/>
      <w:textAlignment w:val="baseline"/>
    </w:pPr>
    <w:rPr>
      <w:b/>
      <w:kern w:val="0"/>
      <w:sz w:val="24"/>
      <w:szCs w:val="20"/>
    </w:rPr>
  </w:style>
  <w:style w:type="paragraph" w:customStyle="1" w:styleId="2213">
    <w:name w:val="样式 标题 3 + (西文) Times New Roman (中文) 宋体 非加粗 段前: 0 磅 行距: 固定值 2..."/>
    <w:basedOn w:val="7"/>
    <w:uiPriority w:val="0"/>
    <w:pPr>
      <w:keepLines w:val="0"/>
      <w:autoSpaceDE w:val="0"/>
      <w:autoSpaceDN w:val="0"/>
      <w:adjustRightInd w:val="0"/>
      <w:snapToGrid w:val="0"/>
      <w:spacing w:before="0" w:beforeLines="0" w:after="0" w:afterLines="0" w:line="460" w:lineRule="exact"/>
      <w:jc w:val="left"/>
      <w:textAlignment w:val="baseline"/>
    </w:pPr>
    <w:rPr>
      <w:b w:val="0"/>
      <w:bCs w:val="0"/>
      <w:kern w:val="0"/>
      <w:sz w:val="24"/>
      <w:szCs w:val="20"/>
    </w:rPr>
  </w:style>
  <w:style w:type="paragraph" w:customStyle="1" w:styleId="2214">
    <w:name w:val="封面标准号2"/>
    <w:basedOn w:val="1"/>
    <w:uiPriority w:val="0"/>
    <w:pPr>
      <w:kinsoku w:val="0"/>
      <w:overflowPunct w:val="0"/>
      <w:autoSpaceDE w:val="0"/>
      <w:autoSpaceDN w:val="0"/>
      <w:adjustRightInd w:val="0"/>
      <w:spacing w:before="357" w:beforeLines="0" w:line="280" w:lineRule="exact"/>
      <w:jc w:val="right"/>
      <w:textAlignment w:val="center"/>
    </w:pPr>
    <w:rPr>
      <w:kern w:val="0"/>
      <w:sz w:val="24"/>
      <w:szCs w:val="28"/>
    </w:rPr>
  </w:style>
  <w:style w:type="paragraph" w:customStyle="1" w:styleId="2215">
    <w:name w:val="正文 New New New New New New New New New New New New New New New New New New New New"/>
    <w:uiPriority w:val="0"/>
    <w:pPr>
      <w:widowControl w:val="0"/>
      <w:jc w:val="both"/>
    </w:pPr>
    <w:rPr>
      <w:kern w:val="2"/>
      <w:sz w:val="21"/>
      <w:szCs w:val="24"/>
      <w:lang w:val="en-US" w:eastAsia="zh-CN" w:bidi="ar-SA"/>
    </w:rPr>
  </w:style>
  <w:style w:type="paragraph" w:customStyle="1" w:styleId="2216">
    <w:name w:val="样式23"/>
    <w:basedOn w:val="1"/>
    <w:uiPriority w:val="0"/>
    <w:pPr>
      <w:keepNext/>
      <w:keepLines/>
      <w:tabs>
        <w:tab w:val="left" w:pos="360"/>
        <w:tab w:val="left" w:pos="540"/>
        <w:tab w:val="left" w:pos="576"/>
      </w:tabs>
      <w:spacing w:before="156" w:beforeLines="50" w:after="156" w:afterLines="50" w:line="360" w:lineRule="auto"/>
      <w:ind w:left="576" w:hanging="576"/>
      <w:outlineLvl w:val="1"/>
    </w:pPr>
    <w:rPr>
      <w:rFonts w:ascii="宋体" w:hAnsi="宋体" w:eastAsia="黑体"/>
      <w:sz w:val="28"/>
      <w:szCs w:val="28"/>
      <w:lang/>
    </w:rPr>
  </w:style>
  <w:style w:type="paragraph" w:customStyle="1" w:styleId="2217">
    <w:name w:val="样式 第三标题 + 宋体"/>
    <w:basedOn w:val="2005"/>
    <w:uiPriority w:val="0"/>
    <w:pPr>
      <w:spacing w:line="360" w:lineRule="auto"/>
    </w:pPr>
    <w:rPr>
      <w:rFonts w:ascii="宋体" w:hAnsi="宋体"/>
    </w:rPr>
  </w:style>
  <w:style w:type="paragraph" w:customStyle="1" w:styleId="2218">
    <w:name w:val="第一标题"/>
    <w:basedOn w:val="5"/>
    <w:uiPriority w:val="0"/>
    <w:pPr>
      <w:snapToGrid w:val="0"/>
      <w:spacing w:line="360" w:lineRule="auto"/>
      <w:jc w:val="center"/>
    </w:pPr>
    <w:rPr>
      <w:rFonts w:cs="宋体"/>
    </w:rPr>
  </w:style>
  <w:style w:type="paragraph" w:customStyle="1" w:styleId="2219">
    <w:name w:val="xl34"/>
    <w:basedOn w:val="1"/>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color w:val="FF0000"/>
      <w:kern w:val="0"/>
      <w:szCs w:val="21"/>
    </w:rPr>
  </w:style>
  <w:style w:type="paragraph" w:customStyle="1" w:styleId="2220">
    <w:name w:val="样式 标题 3 + 首行缩进:  2 字符"/>
    <w:basedOn w:val="7"/>
    <w:uiPriority w:val="0"/>
    <w:pPr>
      <w:tabs>
        <w:tab w:val="left" w:pos="360"/>
      </w:tabs>
      <w:spacing w:before="0" w:after="0" w:line="300" w:lineRule="auto"/>
      <w:ind w:left="360" w:hanging="360"/>
    </w:pPr>
    <w:rPr>
      <w:rFonts w:eastAsia="黑体" w:cs="宋体"/>
      <w:b w:val="0"/>
      <w:sz w:val="24"/>
      <w:szCs w:val="20"/>
    </w:rPr>
  </w:style>
  <w:style w:type="paragraph" w:customStyle="1" w:styleId="2221">
    <w:name w:val="表头名称"/>
    <w:basedOn w:val="10"/>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2222">
    <w:name w:val="样式 五号 加粗 居中"/>
    <w:basedOn w:val="1"/>
    <w:uiPriority w:val="0"/>
    <w:pPr>
      <w:jc w:val="center"/>
    </w:pPr>
    <w:rPr>
      <w:rFonts w:cs="宋体"/>
      <w:b/>
      <w:bCs/>
      <w:szCs w:val="20"/>
    </w:rPr>
  </w:style>
  <w:style w:type="paragraph" w:customStyle="1" w:styleId="2223">
    <w:name w:val="标题5"/>
    <w:basedOn w:val="6"/>
    <w:uiPriority w:val="0"/>
    <w:pPr>
      <w:adjustRightInd w:val="0"/>
      <w:snapToGrid w:val="0"/>
      <w:spacing w:before="120" w:beforeLines="0" w:after="0" w:afterLines="0" w:line="300" w:lineRule="auto"/>
    </w:pPr>
    <w:rPr>
      <w:rFonts w:ascii="Times New Roman" w:hAnsi="Times New Roman" w:eastAsia="宋体"/>
      <w:szCs w:val="24"/>
    </w:rPr>
  </w:style>
  <w:style w:type="paragraph" w:customStyle="1" w:styleId="2224">
    <w:name w:val="图表2"/>
    <w:basedOn w:val="1"/>
    <w:uiPriority w:val="0"/>
    <w:pPr>
      <w:widowControl/>
      <w:overflowPunct w:val="0"/>
      <w:autoSpaceDE w:val="0"/>
      <w:autoSpaceDN w:val="0"/>
      <w:adjustRightInd w:val="0"/>
      <w:spacing w:after="60"/>
      <w:jc w:val="center"/>
      <w:textAlignment w:val="baseline"/>
    </w:pPr>
    <w:rPr>
      <w:rFonts w:ascii="宋体"/>
      <w:kern w:val="28"/>
      <w:sz w:val="20"/>
      <w:szCs w:val="20"/>
    </w:rPr>
  </w:style>
  <w:style w:type="paragraph" w:customStyle="1" w:styleId="2225">
    <w:name w:val="normal"/>
    <w:basedOn w:val="35"/>
    <w:uiPriority w:val="0"/>
    <w:pPr>
      <w:spacing w:after="0" w:afterLines="0" w:line="360" w:lineRule="auto"/>
      <w:ind w:firstLine="200" w:firstLineChars="200"/>
    </w:pPr>
    <w:rPr>
      <w:sz w:val="24"/>
    </w:rPr>
  </w:style>
  <w:style w:type="paragraph" w:customStyle="1" w:styleId="2226">
    <w:name w:val="dxj图名"/>
    <w:basedOn w:val="1"/>
    <w:qFormat/>
    <w:uiPriority w:val="0"/>
    <w:pPr>
      <w:adjustRightInd w:val="0"/>
      <w:snapToGrid w:val="0"/>
      <w:spacing w:beforeLines="50" w:afterLines="50" w:line="360" w:lineRule="auto"/>
      <w:jc w:val="center"/>
    </w:pPr>
    <w:rPr>
      <w:rFonts w:eastAsia="黑体"/>
      <w:snapToGrid w:val="0"/>
      <w:color w:val="000000"/>
      <w:kern w:val="0"/>
      <w:sz w:val="24"/>
      <w:szCs w:val="21"/>
      <w:lang/>
    </w:rPr>
  </w:style>
  <w:style w:type="paragraph" w:customStyle="1" w:styleId="2227">
    <w:name w:val="第二标题"/>
    <w:basedOn w:val="6"/>
    <w:uiPriority w:val="0"/>
    <w:pPr>
      <w:snapToGrid w:val="0"/>
      <w:spacing w:line="360" w:lineRule="auto"/>
    </w:pPr>
    <w:rPr>
      <w:rFonts w:ascii="宋体" w:hAnsi="宋体" w:eastAsia="宋体"/>
      <w:bCs w:val="0"/>
      <w:sz w:val="36"/>
      <w:szCs w:val="36"/>
    </w:rPr>
  </w:style>
  <w:style w:type="paragraph" w:customStyle="1" w:styleId="2228">
    <w:name w:val="样式 标题 3标题3H3h33rd level第二层条三级标题ReHead 3 WSAB Head..条标..."/>
    <w:basedOn w:val="7"/>
    <w:uiPriority w:val="0"/>
    <w:pPr>
      <w:keepNext w:val="0"/>
      <w:keepLines w:val="0"/>
      <w:numPr>
        <w:ilvl w:val="0"/>
        <w:numId w:val="0"/>
      </w:numPr>
      <w:tabs>
        <w:tab w:val="left" w:pos="0"/>
        <w:tab w:val="left" w:pos="851"/>
      </w:tabs>
      <w:snapToGrid w:val="0"/>
      <w:spacing w:before="200" w:beforeLines="0" w:after="93" w:afterLines="30" w:line="360" w:lineRule="auto"/>
    </w:pPr>
    <w:rPr>
      <w:rFonts w:ascii="宋体" w:hAnsi="宋体" w:cs="宋体"/>
      <w:sz w:val="24"/>
      <w:szCs w:val="20"/>
      <w:lang w:val="zh-CN"/>
    </w:rPr>
  </w:style>
  <w:style w:type="paragraph" w:customStyle="1" w:styleId="2229">
    <w:name w:val="样式 正文（zha） + 首行缩进:  2 字符"/>
    <w:basedOn w:val="1"/>
    <w:uiPriority w:val="0"/>
    <w:pPr>
      <w:adjustRightInd w:val="0"/>
      <w:snapToGrid w:val="0"/>
      <w:spacing w:line="360" w:lineRule="auto"/>
      <w:ind w:firstLine="520" w:firstLineChars="200"/>
      <w:jc w:val="left"/>
    </w:pPr>
    <w:rPr>
      <w:rFonts w:eastAsia="Times New Roman"/>
      <w:snapToGrid w:val="0"/>
      <w:kern w:val="0"/>
      <w:sz w:val="26"/>
      <w:szCs w:val="20"/>
    </w:rPr>
  </w:style>
  <w:style w:type="paragraph" w:customStyle="1" w:styleId="2230">
    <w:name w:val="样式 标题 3 + 首行缩进:  2 字符 段前: 8.15 磅 段后: 8.15 磅1"/>
    <w:basedOn w:val="7"/>
    <w:uiPriority w:val="0"/>
    <w:pPr>
      <w:spacing w:before="163" w:beforeLines="0" w:after="163" w:afterLines="0" w:line="240" w:lineRule="atLeast"/>
      <w:ind w:firstLine="482" w:firstLineChars="200"/>
      <w:jc w:val="left"/>
    </w:pPr>
    <w:rPr>
      <w:rFonts w:ascii="Arial Unicode MS" w:hAnsi="Arial Unicode MS" w:eastAsia="黑体"/>
      <w:sz w:val="24"/>
      <w:szCs w:val="24"/>
    </w:rPr>
  </w:style>
  <w:style w:type="paragraph" w:customStyle="1" w:styleId="2231">
    <w:name w:val="3.1"/>
    <w:basedOn w:val="1"/>
    <w:uiPriority w:val="0"/>
    <w:pPr>
      <w:spacing w:before="240" w:beforeLines="0" w:after="120" w:afterLines="0" w:line="360" w:lineRule="exact"/>
      <w:jc w:val="left"/>
    </w:pPr>
    <w:rPr>
      <w:rFonts w:eastAsia="DFKai-SB"/>
      <w:sz w:val="28"/>
      <w:szCs w:val="20"/>
      <w:lang w:eastAsia="zh-TW"/>
    </w:rPr>
  </w:style>
  <w:style w:type="paragraph" w:customStyle="1" w:styleId="2232">
    <w:name w:val="正文2"/>
    <w:basedOn w:val="1"/>
    <w:uiPriority w:val="0"/>
    <w:pPr>
      <w:adjustRightInd w:val="0"/>
      <w:spacing w:line="480" w:lineRule="exact"/>
      <w:textAlignment w:val="baseline"/>
    </w:pPr>
    <w:rPr>
      <w:spacing w:val="-2"/>
      <w:kern w:val="0"/>
      <w:sz w:val="28"/>
      <w:szCs w:val="20"/>
    </w:rPr>
  </w:style>
  <w:style w:type="paragraph" w:customStyle="1" w:styleId="2233">
    <w:name w:val="正文 New New New New New New New New New New New New New New New New New New New New New New New New New New New New New New New New New New"/>
    <w:uiPriority w:val="0"/>
    <w:pPr>
      <w:widowControl w:val="0"/>
      <w:jc w:val="both"/>
    </w:pPr>
    <w:rPr>
      <w:kern w:val="2"/>
      <w:sz w:val="21"/>
      <w:szCs w:val="24"/>
      <w:lang w:val="en-US" w:eastAsia="zh-CN" w:bidi="ar-SA"/>
    </w:rPr>
  </w:style>
  <w:style w:type="paragraph" w:customStyle="1" w:styleId="2234">
    <w:name w:val="定表"/>
    <w:basedOn w:val="1"/>
    <w:uiPriority w:val="0"/>
    <w:pPr>
      <w:snapToGrid w:val="0"/>
      <w:spacing w:after="156" w:afterLines="50"/>
    </w:pPr>
    <w:rPr>
      <w:szCs w:val="20"/>
    </w:rPr>
  </w:style>
  <w:style w:type="paragraph" w:customStyle="1" w:styleId="2235">
    <w:name w:val="样式 标题 2标题 2 Char Char + 宋体"/>
    <w:basedOn w:val="1"/>
    <w:uiPriority w:val="0"/>
    <w:pPr>
      <w:tabs>
        <w:tab w:val="left" w:pos="576"/>
      </w:tabs>
      <w:ind w:left="576" w:hanging="576"/>
    </w:pPr>
    <w:rPr>
      <w:szCs w:val="20"/>
    </w:rPr>
  </w:style>
  <w:style w:type="paragraph" w:customStyle="1" w:styleId="2236">
    <w:name w:val="样式 正文首行缩进 2 + 左侧:  2 字符 首行缩进:  2 字符 行距: 1.5 倍行距"/>
    <w:basedOn w:val="86"/>
    <w:uiPriority w:val="0"/>
    <w:pPr>
      <w:spacing w:after="0" w:afterLines="0" w:line="360" w:lineRule="auto"/>
      <w:ind w:left="200" w:firstLine="200"/>
    </w:pPr>
    <w:rPr>
      <w:rFonts w:cs="宋体"/>
      <w:szCs w:val="20"/>
    </w:rPr>
  </w:style>
  <w:style w:type="paragraph" w:customStyle="1" w:styleId="2237">
    <w:name w:val="Char Char1 Char Char Char Char Char Char Char Char Char Char Char Char Char Char Char Char Char Char Char Char Char Char Char Char Char2"/>
    <w:basedOn w:val="1"/>
    <w:uiPriority w:val="0"/>
  </w:style>
  <w:style w:type="paragraph" w:customStyle="1" w:styleId="2238">
    <w:name w:val="样式 小四 首行缩进:  0.99 厘米 行距: 1.5 倍行距"/>
    <w:basedOn w:val="1"/>
    <w:uiPriority w:val="0"/>
    <w:pPr>
      <w:widowControl/>
      <w:tabs>
        <w:tab w:val="left" w:pos="352"/>
      </w:tabs>
      <w:overflowPunct w:val="0"/>
      <w:autoSpaceDE w:val="0"/>
      <w:autoSpaceDN w:val="0"/>
      <w:adjustRightInd w:val="0"/>
      <w:spacing w:line="360" w:lineRule="auto"/>
      <w:ind w:firstLine="560"/>
      <w:textAlignment w:val="bottom"/>
    </w:pPr>
    <w:rPr>
      <w:rFonts w:cs="宋体"/>
      <w:kern w:val="0"/>
      <w:sz w:val="24"/>
    </w:rPr>
  </w:style>
  <w:style w:type="paragraph" w:customStyle="1" w:styleId="2239">
    <w:name w:val="Char Char Char Char Char Char"/>
    <w:basedOn w:val="1"/>
    <w:uiPriority w:val="0"/>
    <w:rPr>
      <w:sz w:val="24"/>
    </w:rPr>
  </w:style>
  <w:style w:type="paragraph" w:customStyle="1" w:styleId="2240">
    <w:name w:val="Definition Term"/>
    <w:basedOn w:val="1"/>
    <w:next w:val="1"/>
    <w:uiPriority w:val="0"/>
    <w:pPr>
      <w:widowControl/>
      <w:overflowPunct w:val="0"/>
      <w:autoSpaceDE w:val="0"/>
      <w:autoSpaceDN w:val="0"/>
      <w:adjustRightInd w:val="0"/>
      <w:jc w:val="left"/>
      <w:textAlignment w:val="baseline"/>
    </w:pPr>
    <w:rPr>
      <w:kern w:val="0"/>
      <w:sz w:val="24"/>
      <w:lang w:val="en-GB"/>
    </w:rPr>
  </w:style>
  <w:style w:type="paragraph" w:customStyle="1" w:styleId="2241">
    <w:name w:val="样式 样式 标题 2 + (西文) Times New Roman (中文) 楷体_GB2312 自动设置 段前: 13 磅 ...."/>
    <w:basedOn w:val="1"/>
    <w:uiPriority w:val="0"/>
    <w:pPr>
      <w:overflowPunct w:val="0"/>
      <w:spacing w:before="240" w:beforeLines="0" w:after="240" w:afterLines="0"/>
      <w:jc w:val="center"/>
      <w:outlineLvl w:val="1"/>
    </w:pPr>
    <w:rPr>
      <w:rFonts w:eastAsia="楷体_GB2312" w:cs="宋体"/>
      <w:b/>
      <w:sz w:val="32"/>
      <w:szCs w:val="20"/>
    </w:rPr>
  </w:style>
  <w:style w:type="paragraph" w:customStyle="1" w:styleId="2242">
    <w:name w:val="Char Char Char Char Char Char Char Char Char Char Char Char5"/>
    <w:basedOn w:val="1"/>
    <w:uiPriority w:val="0"/>
    <w:pPr>
      <w:spacing w:line="360" w:lineRule="auto"/>
      <w:ind w:firstLine="200" w:firstLineChars="200"/>
    </w:pPr>
    <w:rPr>
      <w:rFonts w:ascii="宋体" w:hAnsi="宋体" w:cs="宋体"/>
      <w:sz w:val="24"/>
    </w:rPr>
  </w:style>
  <w:style w:type="paragraph" w:customStyle="1" w:styleId="2243">
    <w:name w:val="样式 正文编号（1） +"/>
    <w:basedOn w:val="1"/>
    <w:uiPriority w:val="0"/>
    <w:pPr>
      <w:tabs>
        <w:tab w:val="left" w:pos="432"/>
        <w:tab w:val="left" w:pos="572"/>
      </w:tabs>
      <w:spacing w:line="520" w:lineRule="exact"/>
      <w:ind w:left="432" w:hanging="432"/>
    </w:pPr>
    <w:rPr>
      <w:kern w:val="0"/>
      <w:sz w:val="28"/>
    </w:rPr>
  </w:style>
  <w:style w:type="paragraph" w:customStyle="1" w:styleId="2244">
    <w:name w:val="a8"/>
    <w:basedOn w:val="1"/>
    <w:uiPriority w:val="0"/>
    <w:pPr>
      <w:widowControl/>
      <w:spacing w:before="100" w:beforeAutospacing="1" w:after="100" w:afterAutospacing="1"/>
      <w:jc w:val="left"/>
    </w:pPr>
    <w:rPr>
      <w:rFonts w:ascii="Arial Unicode MS" w:hAnsi="Arial Unicode MS"/>
      <w:kern w:val="0"/>
      <w:sz w:val="24"/>
    </w:rPr>
  </w:style>
  <w:style w:type="paragraph" w:customStyle="1" w:styleId="2245">
    <w:name w:val="样式 标题 + 首行缩进:  0.83 厘米"/>
    <w:basedOn w:val="83"/>
    <w:uiPriority w:val="0"/>
    <w:pPr>
      <w:tabs>
        <w:tab w:val="left" w:pos="360"/>
      </w:tabs>
      <w:autoSpaceDN w:val="0"/>
      <w:adjustRightInd w:val="0"/>
      <w:spacing w:before="156" w:beforeLines="50" w:after="156" w:afterLines="50" w:line="520" w:lineRule="exact"/>
      <w:ind w:left="360" w:firstLine="471"/>
      <w:contextualSpacing/>
      <w:jc w:val="center"/>
      <w:textAlignment w:val="baseline"/>
    </w:pPr>
    <w:rPr>
      <w:rFonts w:ascii="黑体" w:hAnsi="Arial" w:eastAsia="黑体" w:cs="宋体"/>
      <w:b w:val="0"/>
      <w:bCs/>
      <w:snapToGrid w:val="0"/>
      <w:kern w:val="2"/>
      <w:sz w:val="36"/>
      <w:szCs w:val="36"/>
      <w:lang w:val="eu-ES"/>
    </w:rPr>
  </w:style>
  <w:style w:type="paragraph" w:customStyle="1" w:styleId="2246">
    <w:name w:val="样式 标题 3标题 13 + 黑色 段前: 4 磅 段后: 10 磅 行距: 单倍行距"/>
    <w:basedOn w:val="1"/>
    <w:uiPriority w:val="0"/>
    <w:rPr>
      <w:sz w:val="28"/>
    </w:rPr>
  </w:style>
  <w:style w:type="paragraph" w:customStyle="1" w:styleId="2247">
    <w:name w:val="图文框"/>
    <w:basedOn w:val="1"/>
    <w:uiPriority w:val="0"/>
    <w:pPr>
      <w:spacing w:line="0" w:lineRule="atLeast"/>
      <w:jc w:val="center"/>
    </w:pPr>
    <w:rPr>
      <w:rFonts w:eastAsia="仿宋_GB2312"/>
      <w:sz w:val="24"/>
    </w:rPr>
  </w:style>
  <w:style w:type="paragraph" w:customStyle="1" w:styleId="2248">
    <w:name w:val="样式 (符号) 宋体 四号 黑色 行距: 固定值 28磅"/>
    <w:basedOn w:val="1"/>
    <w:uiPriority w:val="0"/>
    <w:pPr>
      <w:spacing w:line="360" w:lineRule="auto"/>
      <w:ind w:firstLine="480" w:firstLineChars="200"/>
      <w:jc w:val="left"/>
    </w:pPr>
    <w:rPr>
      <w:rFonts w:ascii="宋体" w:hAnsi="宋体"/>
      <w:sz w:val="24"/>
      <w:szCs w:val="20"/>
    </w:rPr>
  </w:style>
  <w:style w:type="paragraph" w:customStyle="1" w:styleId="2249">
    <w:name w:val="样式 样式 正文2 + + 首行缩进:  2 字符1"/>
    <w:basedOn w:val="177"/>
    <w:uiPriority w:val="0"/>
    <w:rPr>
      <w:rFonts w:hAnsi="宋体" w:cs="宋体"/>
      <w:szCs w:val="20"/>
    </w:rPr>
  </w:style>
  <w:style w:type="paragraph" w:customStyle="1" w:styleId="2250">
    <w:name w:val="样式 样式 标题 3标题 3 Char Char Char Char Char Char Char Char Char Char..."/>
    <w:basedOn w:val="1"/>
    <w:uiPriority w:val="0"/>
    <w:pPr>
      <w:keepNext/>
      <w:keepLines/>
      <w:adjustRightInd w:val="0"/>
      <w:spacing w:line="360" w:lineRule="auto"/>
      <w:jc w:val="left"/>
      <w:textAlignment w:val="baseline"/>
      <w:outlineLvl w:val="2"/>
    </w:pPr>
    <w:rPr>
      <w:rFonts w:ascii="Arial" w:hAnsi="Arial" w:eastAsia="黑体"/>
      <w:bCs/>
      <w:kern w:val="0"/>
      <w:sz w:val="24"/>
      <w:lang/>
    </w:rPr>
  </w:style>
  <w:style w:type="paragraph" w:customStyle="1" w:styleId="2251">
    <w:name w:val="Table Paragraph"/>
    <w:basedOn w:val="1"/>
    <w:uiPriority w:val="0"/>
    <w:pPr>
      <w:autoSpaceDE w:val="0"/>
      <w:autoSpaceDN w:val="0"/>
      <w:jc w:val="left"/>
    </w:pPr>
    <w:rPr>
      <w:rFonts w:ascii="宋体" w:hAnsi="宋体" w:cs="宋体"/>
      <w:kern w:val="0"/>
      <w:sz w:val="22"/>
      <w:szCs w:val="22"/>
    </w:rPr>
  </w:style>
  <w:style w:type="paragraph" w:customStyle="1" w:styleId="2252">
    <w:name w:val="font10"/>
    <w:basedOn w:val="1"/>
    <w:uiPriority w:val="0"/>
    <w:pPr>
      <w:widowControl/>
      <w:spacing w:before="100" w:beforeLines="0" w:beforeAutospacing="1" w:after="100" w:afterLines="0" w:afterAutospacing="1"/>
      <w:jc w:val="left"/>
    </w:pPr>
    <w:rPr>
      <w:rFonts w:hint="eastAsia" w:ascii="宋体" w:hAnsi="宋体" w:cs="Arial Unicode MS"/>
      <w:color w:val="000000"/>
      <w:kern w:val="0"/>
      <w:sz w:val="18"/>
      <w:szCs w:val="18"/>
    </w:rPr>
  </w:style>
  <w:style w:type="paragraph" w:customStyle="1" w:styleId="2253">
    <w:name w:val="样式 样式 样式 四号 + 首行缩进:  2 字符 + 宋体 行距: 固定值 31 磅"/>
    <w:basedOn w:val="1"/>
    <w:uiPriority w:val="0"/>
    <w:pPr>
      <w:spacing w:line="600" w:lineRule="exact"/>
      <w:ind w:firstLine="200" w:firstLineChars="200"/>
    </w:pPr>
    <w:rPr>
      <w:rFonts w:ascii="宋体" w:hAnsi="宋体" w:cs="宋体"/>
      <w:sz w:val="28"/>
      <w:szCs w:val="28"/>
    </w:rPr>
  </w:style>
  <w:style w:type="paragraph" w:customStyle="1" w:styleId="2254">
    <w:name w:val=" Char Char1 Char Char Char Char Char Char Char Char Char Char Char Char Char Char Char Char Char Char Char Char Char Char Char Char Char Char Char Char Char Char1 Char Char Char"/>
    <w:basedOn w:val="1"/>
    <w:uiPriority w:val="0"/>
  </w:style>
  <w:style w:type="paragraph" w:customStyle="1" w:styleId="2255">
    <w:name w:val="样式正文首行缩进"/>
    <w:basedOn w:val="1"/>
    <w:uiPriority w:val="0"/>
    <w:pPr>
      <w:spacing w:line="500" w:lineRule="exact"/>
      <w:ind w:firstLine="567"/>
    </w:pPr>
    <w:rPr>
      <w:sz w:val="28"/>
      <w:szCs w:val="28"/>
    </w:rPr>
  </w:style>
  <w:style w:type="paragraph" w:customStyle="1" w:styleId="2256">
    <w:name w:val="一号标题"/>
    <w:basedOn w:val="6"/>
    <w:uiPriority w:val="0"/>
    <w:pPr>
      <w:spacing w:before="240" w:after="240" w:line="520" w:lineRule="exact"/>
      <w:jc w:val="left"/>
    </w:pPr>
    <w:rPr>
      <w:b w:val="0"/>
      <w:bCs w:val="0"/>
      <w:kern w:val="24"/>
    </w:rPr>
  </w:style>
  <w:style w:type="paragraph" w:customStyle="1" w:styleId="2257">
    <w:name w:val="农业部一"/>
    <w:next w:val="35"/>
    <w:uiPriority w:val="0"/>
    <w:pPr>
      <w:widowControl w:val="0"/>
      <w:topLinePunct/>
      <w:spacing w:line="360" w:lineRule="atLeast"/>
      <w:jc w:val="center"/>
    </w:pPr>
    <w:rPr>
      <w:kern w:val="2"/>
      <w:sz w:val="24"/>
      <w:lang w:val="en-US" w:eastAsia="zh-CN" w:bidi="ar-SA"/>
    </w:rPr>
  </w:style>
  <w:style w:type="paragraph" w:customStyle="1" w:styleId="2258">
    <w:name w:val="正文（首行缩进两字）m"/>
    <w:basedOn w:val="10"/>
    <w:uiPriority w:val="0"/>
    <w:pPr>
      <w:tabs>
        <w:tab w:val="left" w:pos="1848"/>
        <w:tab w:val="left" w:pos="6061"/>
        <w:tab w:val="left" w:pos="8665"/>
      </w:tabs>
      <w:adjustRightInd w:val="0"/>
      <w:snapToGrid w:val="0"/>
      <w:spacing w:before="156" w:beforeLines="50" w:line="460" w:lineRule="exact"/>
      <w:ind w:firstLine="480"/>
      <w:jc w:val="left"/>
    </w:pPr>
    <w:rPr>
      <w:color w:val="339966"/>
      <w:sz w:val="24"/>
      <w:szCs w:val="20"/>
    </w:rPr>
  </w:style>
  <w:style w:type="paragraph" w:customStyle="1" w:styleId="2259">
    <w:name w:val="样式 正文（首行缩进两字） + 宋体 小四 加粗 首行缩进:  0.85 厘米 行距: 固定值 24 磅"/>
    <w:basedOn w:val="10"/>
    <w:uiPriority w:val="0"/>
    <w:pPr>
      <w:adjustRightInd w:val="0"/>
      <w:spacing w:line="480" w:lineRule="exact"/>
      <w:ind w:firstLine="482" w:firstLineChars="0"/>
    </w:pPr>
    <w:rPr>
      <w:rFonts w:hint="eastAsia" w:ascii="宋体" w:hAnsi="宋体"/>
      <w:kern w:val="0"/>
      <w:sz w:val="24"/>
      <w:szCs w:val="20"/>
      <w:lang/>
    </w:rPr>
  </w:style>
  <w:style w:type="paragraph" w:customStyle="1" w:styleId="2260">
    <w:name w:val="YHY"/>
    <w:basedOn w:val="1"/>
    <w:uiPriority w:val="0"/>
    <w:pPr>
      <w:spacing w:beforeLines="50" w:afterLines="50" w:line="360" w:lineRule="auto"/>
      <w:ind w:firstLine="200" w:firstLineChars="200"/>
    </w:pPr>
    <w:rPr>
      <w:rFonts w:cs="宋体"/>
      <w:sz w:val="24"/>
    </w:rPr>
  </w:style>
  <w:style w:type="paragraph" w:customStyle="1" w:styleId="2261">
    <w:name w:val="样式 标题 3 + 宋体"/>
    <w:basedOn w:val="1"/>
    <w:uiPriority w:val="0"/>
    <w:pPr>
      <w:tabs>
        <w:tab w:val="left" w:pos="720"/>
      </w:tabs>
      <w:ind w:left="720" w:hanging="720"/>
    </w:pPr>
    <w:rPr>
      <w:szCs w:val="20"/>
    </w:rPr>
  </w:style>
  <w:style w:type="paragraph" w:customStyle="1" w:styleId="2262">
    <w:name w:val="Char Char1 Char Char1 Char Char1 Char Char1 Char Char Char Char Char Char Char"/>
    <w:basedOn w:val="1"/>
    <w:uiPriority w:val="0"/>
    <w:rPr>
      <w:rFonts w:ascii="Tahoma" w:hAnsi="Tahoma"/>
      <w:sz w:val="24"/>
      <w:szCs w:val="20"/>
    </w:rPr>
  </w:style>
  <w:style w:type="paragraph" w:customStyle="1" w:styleId="2263">
    <w:name w:val="正文6"/>
    <w:basedOn w:val="1"/>
    <w:uiPriority w:val="0"/>
    <w:pPr>
      <w:adjustRightInd w:val="0"/>
      <w:spacing w:line="480" w:lineRule="exact"/>
      <w:ind w:firstLine="465"/>
      <w:textAlignment w:val="baseline"/>
    </w:pPr>
    <w:rPr>
      <w:spacing w:val="-2"/>
      <w:kern w:val="0"/>
      <w:sz w:val="28"/>
      <w:szCs w:val="20"/>
    </w:rPr>
  </w:style>
  <w:style w:type="paragraph" w:customStyle="1" w:styleId="2264">
    <w:name w:val=" Char Char1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2265">
    <w:name w:val="样式 标题 4标题 14 + 加粗 无下划线 自动设置 段前: 3 磅 段后: 10 磅4"/>
    <w:basedOn w:val="8"/>
    <w:uiPriority w:val="0"/>
    <w:pPr>
      <w:keepLines w:val="0"/>
      <w:tabs>
        <w:tab w:val="left" w:pos="855"/>
      </w:tabs>
      <w:adjustRightInd w:val="0"/>
      <w:snapToGrid w:val="0"/>
      <w:spacing w:before="60" w:after="200" w:line="240" w:lineRule="auto"/>
      <w:ind w:left="855" w:hanging="855"/>
    </w:pPr>
    <w:rPr>
      <w:rFonts w:ascii="Times New Roman" w:hAnsi="Times New Roman" w:eastAsia="宋体"/>
      <w:bCs/>
      <w:sz w:val="24"/>
      <w:szCs w:val="20"/>
    </w:rPr>
  </w:style>
  <w:style w:type="paragraph" w:customStyle="1" w:styleId="2266">
    <w:name w:val="Char Char Char Char Char Char Char Char Char Char"/>
    <w:basedOn w:val="1"/>
    <w:uiPriority w:val="0"/>
    <w:pPr>
      <w:spacing w:line="240" w:lineRule="exact"/>
      <w:ind w:firstLine="200" w:firstLineChars="200"/>
    </w:pPr>
    <w:rPr>
      <w:rFonts w:ascii="黑体" w:hAnsi="Arial" w:eastAsia="黑体" w:cs="Arial"/>
      <w:bCs/>
      <w:sz w:val="24"/>
    </w:rPr>
  </w:style>
  <w:style w:type="paragraph" w:customStyle="1" w:styleId="2267">
    <w:name w:val="Char Char Char Char"/>
    <w:basedOn w:val="1"/>
    <w:uiPriority w:val="0"/>
    <w:pPr>
      <w:spacing w:line="360" w:lineRule="auto"/>
      <w:ind w:firstLine="200" w:firstLineChars="200"/>
    </w:pPr>
    <w:rPr>
      <w:rFonts w:ascii="宋体" w:hAnsi="宋体" w:cs="宋体"/>
      <w:sz w:val="24"/>
    </w:rPr>
  </w:style>
  <w:style w:type="paragraph" w:customStyle="1" w:styleId="2268">
    <w:name w:val="样式 正文首行缩进 + 宋体 小四 行距: 1.5 倍行距"/>
    <w:basedOn w:val="85"/>
    <w:uiPriority w:val="0"/>
    <w:pPr>
      <w:spacing w:line="360" w:lineRule="auto"/>
      <w:ind w:firstLine="480" w:firstLineChars="200"/>
    </w:pPr>
    <w:rPr>
      <w:rFonts w:ascii="宋体" w:hAnsi="宋体" w:cs="宋体"/>
      <w:snapToGrid w:val="0"/>
      <w:sz w:val="24"/>
      <w:szCs w:val="20"/>
      <w:lang w:val="eu-ES"/>
    </w:rPr>
  </w:style>
  <w:style w:type="paragraph" w:customStyle="1" w:styleId="2269">
    <w:name w:val="目录3"/>
    <w:basedOn w:val="1"/>
    <w:next w:val="1"/>
    <w:uiPriority w:val="0"/>
    <w:pPr>
      <w:widowControl/>
      <w:tabs>
        <w:tab w:val="left" w:leader="dot" w:pos="8503"/>
      </w:tabs>
      <w:spacing w:line="317" w:lineRule="atLeast"/>
      <w:ind w:left="419" w:firstLine="419"/>
      <w:textAlignment w:val="baseline"/>
    </w:pPr>
    <w:rPr>
      <w:color w:val="000000"/>
      <w:kern w:val="0"/>
      <w:szCs w:val="20"/>
      <w:u w:val="none" w:color="000000"/>
    </w:rPr>
  </w:style>
  <w:style w:type="paragraph" w:customStyle="1" w:styleId="2270">
    <w:name w:val="brdrw15brsp20 tqctx4153t"/>
    <w:uiPriority w:val="0"/>
    <w:pPr>
      <w:widowControl w:val="0"/>
      <w:pBdr>
        <w:bottom w:val="single" w:color="auto" w:sz="6" w:space="0"/>
      </w:pBdr>
      <w:adjustRightInd w:val="0"/>
      <w:spacing w:line="312" w:lineRule="atLeast"/>
      <w:jc w:val="center"/>
      <w:textAlignment w:val="baseline"/>
    </w:pPr>
    <w:rPr>
      <w:sz w:val="21"/>
      <w:lang w:val="en-US" w:eastAsia="zh-CN" w:bidi="ar-SA"/>
    </w:rPr>
  </w:style>
  <w:style w:type="paragraph" w:customStyle="1" w:styleId="2271">
    <w:name w:val="表内五中"/>
    <w:uiPriority w:val="0"/>
    <w:pPr>
      <w:adjustRightInd w:val="0"/>
      <w:ind w:left="-50"/>
      <w:jc w:val="center"/>
      <w:textAlignment w:val="baseline"/>
    </w:pPr>
    <w:rPr>
      <w:sz w:val="21"/>
      <w:lang w:val="en-US" w:eastAsia="zh-CN" w:bidi="ar-SA"/>
    </w:rPr>
  </w:style>
  <w:style w:type="paragraph" w:customStyle="1" w:styleId="2272">
    <w:name w:val="样式 标题 2标题 21 + Times New Roman 黑色 段前: 0 磅 段后: 0 磅 行距: 单倍行距"/>
    <w:basedOn w:val="6"/>
    <w:uiPriority w:val="0"/>
    <w:pPr>
      <w:spacing w:before="0" w:after="0" w:line="240" w:lineRule="auto"/>
    </w:pPr>
    <w:rPr>
      <w:rFonts w:cs="宋体"/>
      <w:color w:val="000000"/>
      <w:sz w:val="30"/>
      <w:szCs w:val="30"/>
    </w:rPr>
  </w:style>
  <w:style w:type="paragraph" w:customStyle="1" w:styleId="2273">
    <w:name w:val="表内式样"/>
    <w:uiPriority w:val="0"/>
    <w:pPr>
      <w:widowControl w:val="0"/>
      <w:adjustRightInd w:val="0"/>
      <w:snapToGrid w:val="0"/>
      <w:jc w:val="center"/>
    </w:pPr>
    <w:rPr>
      <w:snapToGrid w:val="0"/>
      <w:color w:val="000000"/>
      <w:sz w:val="21"/>
      <w:szCs w:val="24"/>
      <w:lang w:val="en-US" w:eastAsia="zh-CN" w:bidi="ar-SA"/>
    </w:rPr>
  </w:style>
  <w:style w:type="paragraph" w:customStyle="1" w:styleId="2274">
    <w:name w:val="xl56"/>
    <w:basedOn w:val="1"/>
    <w:uiPriority w:val="0"/>
    <w:pPr>
      <w:widowControl/>
      <w:pBdr>
        <w:left w:val="single" w:color="auto" w:sz="8" w:space="0"/>
        <w:bottom w:val="single" w:color="auto" w:sz="8" w:space="0"/>
        <w:right w:val="single" w:color="auto" w:sz="8" w:space="0"/>
      </w:pBdr>
      <w:spacing w:before="100" w:beforeLines="0" w:beforeAutospacing="1" w:after="100" w:afterLines="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2275">
    <w:name w:val="Char Char Char Char Char Char Char Char Char Char Char1 Char Char Char Char Char Char Char"/>
    <w:basedOn w:val="1"/>
    <w:uiPriority w:val="0"/>
    <w:rPr>
      <w:sz w:val="24"/>
    </w:rPr>
  </w:style>
  <w:style w:type="paragraph" w:customStyle="1" w:styleId="2276">
    <w:name w:val="样式 标题 2 + 首行缩进:  2 字符 + 首行缩进:  2 字符"/>
    <w:basedOn w:val="1"/>
    <w:uiPriority w:val="0"/>
    <w:pPr>
      <w:keepNext/>
      <w:keepLines/>
      <w:spacing w:line="300" w:lineRule="auto"/>
      <w:jc w:val="center"/>
      <w:outlineLvl w:val="1"/>
    </w:pPr>
    <w:rPr>
      <w:rFonts w:ascii="Arial" w:hAnsi="Arial" w:eastAsia="黑体"/>
      <w:sz w:val="30"/>
      <w:szCs w:val="20"/>
    </w:rPr>
  </w:style>
  <w:style w:type="paragraph" w:customStyle="1" w:styleId="2277">
    <w:name w:val="正文 New New New New New New New New New New New New New New New New New"/>
    <w:uiPriority w:val="0"/>
    <w:pPr>
      <w:widowControl w:val="0"/>
      <w:jc w:val="both"/>
    </w:pPr>
    <w:rPr>
      <w:kern w:val="2"/>
      <w:sz w:val="21"/>
      <w:szCs w:val="24"/>
      <w:lang w:val="en-US" w:eastAsia="zh-CN" w:bidi="ar-SA"/>
    </w:rPr>
  </w:style>
  <w:style w:type="paragraph" w:customStyle="1" w:styleId="2278">
    <w:name w:val="样式 表头 + 段前: 0.5 行 行距: 1.5 倍行距"/>
    <w:basedOn w:val="994"/>
    <w:uiPriority w:val="0"/>
    <w:pPr>
      <w:widowControl/>
      <w:tabs>
        <w:tab w:val="clear" w:pos="3480"/>
      </w:tabs>
      <w:overflowPunct w:val="0"/>
      <w:spacing w:before="120" w:beforeLines="50" w:line="360" w:lineRule="auto"/>
      <w:ind w:firstLine="422" w:firstLineChars="200"/>
      <w:jc w:val="both"/>
      <w:textAlignment w:val="bottom"/>
    </w:pPr>
    <w:rPr>
      <w:rFonts w:ascii="黑体" w:hAnsi="Times New Roman" w:eastAsia="黑体"/>
      <w:kern w:val="2"/>
      <w:sz w:val="21"/>
      <w:szCs w:val="20"/>
    </w:rPr>
  </w:style>
  <w:style w:type="paragraph" w:customStyle="1" w:styleId="2279">
    <w:name w:val="样式 样式 样式 样式 样式 样式 样式 123 + 自动设置 首行缩进:  2 字符 + 首行缩进:  2 字符 + 黑色 首... Char"/>
    <w:basedOn w:val="1"/>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cs="宋体"/>
      <w:kern w:val="0"/>
      <w:sz w:val="28"/>
      <w:szCs w:val="28"/>
    </w:rPr>
  </w:style>
  <w:style w:type="paragraph" w:customStyle="1" w:styleId="2280">
    <w:name w:val="Char Char Char Char Char Char1"/>
    <w:basedOn w:val="1"/>
    <w:next w:val="4"/>
    <w:uiPriority w:val="0"/>
    <w:rPr>
      <w:rFonts w:ascii="Times New Roman" w:hAnsi="Times New Roman"/>
      <w:sz w:val="28"/>
      <w:szCs w:val="28"/>
    </w:rPr>
  </w:style>
  <w:style w:type="paragraph" w:customStyle="1" w:styleId="2281">
    <w:name w:val="节标题2"/>
    <w:basedOn w:val="1"/>
    <w:uiPriority w:val="0"/>
    <w:pPr>
      <w:widowControl/>
      <w:spacing w:beforeLines="50" w:afterLines="50" w:line="600" w:lineRule="exact"/>
      <w:ind w:firstLine="200" w:firstLineChars="200"/>
      <w:jc w:val="left"/>
      <w:outlineLvl w:val="3"/>
    </w:pPr>
    <w:rPr>
      <w:rFonts w:ascii="Arial" w:hAnsi="Arial" w:eastAsia="华文中宋"/>
      <w:b/>
      <w:kern w:val="0"/>
      <w:sz w:val="28"/>
    </w:rPr>
  </w:style>
  <w:style w:type="paragraph" w:customStyle="1" w:styleId="2282">
    <w:name w:val="正缩1"/>
    <w:basedOn w:val="1"/>
    <w:uiPriority w:val="0"/>
    <w:pPr>
      <w:adjustRightInd w:val="0"/>
      <w:snapToGrid w:val="0"/>
      <w:spacing w:line="500" w:lineRule="exact"/>
      <w:ind w:firstLine="567"/>
    </w:pPr>
    <w:rPr>
      <w:rFonts w:ascii="Times New Roman" w:hAnsi="Times New Roman" w:eastAsia="仿宋_GB2312"/>
      <w:color w:val="000000"/>
      <w:sz w:val="28"/>
      <w:szCs w:val="20"/>
    </w:rPr>
  </w:style>
  <w:style w:type="paragraph" w:customStyle="1" w:styleId="2283">
    <w:name w:val="word"/>
    <w:basedOn w:val="1"/>
    <w:uiPriority w:val="0"/>
    <w:pPr>
      <w:widowControl/>
      <w:spacing w:before="100" w:beforeAutospacing="1" w:after="100" w:afterAutospacing="1"/>
      <w:jc w:val="left"/>
    </w:pPr>
    <w:rPr>
      <w:rFonts w:ascii="宋体" w:hAnsi="宋体"/>
      <w:color w:val="000000"/>
      <w:kern w:val="0"/>
      <w:sz w:val="24"/>
    </w:rPr>
  </w:style>
  <w:style w:type="paragraph" w:customStyle="1" w:styleId="2284">
    <w:name w:val="F正文"/>
    <w:basedOn w:val="1"/>
    <w:uiPriority w:val="0"/>
    <w:pPr>
      <w:spacing w:line="360" w:lineRule="auto"/>
      <w:ind w:firstLine="200" w:firstLineChars="200"/>
    </w:pPr>
    <w:rPr>
      <w:rFonts w:ascii="Times New Roman" w:hAnsi="Times New Roman"/>
      <w:sz w:val="24"/>
    </w:rPr>
  </w:style>
  <w:style w:type="paragraph" w:customStyle="1" w:styleId="2285">
    <w:name w:val="ourfont"/>
    <w:basedOn w:val="1"/>
    <w:uiPriority w:val="0"/>
    <w:pPr>
      <w:widowControl/>
      <w:spacing w:before="100" w:beforeAutospacing="1" w:after="100" w:afterAutospacing="1" w:line="280" w:lineRule="atLeast"/>
      <w:jc w:val="left"/>
    </w:pPr>
    <w:rPr>
      <w:rFonts w:ascii="宋体" w:hAnsi="宋体" w:cs="宋体"/>
      <w:color w:val="000000"/>
      <w:kern w:val="0"/>
      <w:sz w:val="18"/>
      <w:szCs w:val="18"/>
    </w:rPr>
  </w:style>
  <w:style w:type="paragraph" w:customStyle="1" w:styleId="2286">
    <w:name w:val="表格02"/>
    <w:basedOn w:val="1"/>
    <w:uiPriority w:val="0"/>
    <w:pPr>
      <w:adjustRightInd w:val="0"/>
      <w:snapToGrid w:val="0"/>
      <w:spacing w:line="360" w:lineRule="exact"/>
      <w:jc w:val="center"/>
    </w:pPr>
    <w:rPr>
      <w:rFonts w:ascii="Times New Roman" w:hAnsi="Times New Roman"/>
      <w:kern w:val="0"/>
      <w:sz w:val="24"/>
    </w:rPr>
  </w:style>
  <w:style w:type="paragraph" w:customStyle="1" w:styleId="2287">
    <w:name w:val="列表段落1"/>
    <w:basedOn w:val="1"/>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2288">
    <w:name w:val="样式 方正书宋简体 四号 行距: 固定值 28 磅"/>
    <w:basedOn w:val="1"/>
    <w:uiPriority w:val="0"/>
    <w:pPr>
      <w:spacing w:line="560" w:lineRule="exact"/>
      <w:ind w:firstLine="560" w:firstLineChars="200"/>
    </w:pPr>
    <w:rPr>
      <w:rFonts w:ascii="方正书宋简体" w:hAnsi="Times New Roman" w:cs="宋体"/>
      <w:sz w:val="28"/>
      <w:szCs w:val="20"/>
    </w:rPr>
  </w:style>
  <w:style w:type="paragraph" w:customStyle="1" w:styleId="2289">
    <w:name w:val="带编号的正文缩进"/>
    <w:basedOn w:val="10"/>
    <w:uiPriority w:val="0"/>
    <w:pPr>
      <w:tabs>
        <w:tab w:val="left" w:pos="720"/>
      </w:tabs>
      <w:ind w:firstLine="0" w:firstLineChars="0"/>
    </w:pPr>
    <w:rPr>
      <w:rFonts w:hint="eastAsia" w:ascii="宋体" w:hAnsi="宋体"/>
      <w:kern w:val="0"/>
      <w:sz w:val="20"/>
      <w:lang/>
    </w:rPr>
  </w:style>
  <w:style w:type="paragraph" w:customStyle="1" w:styleId="2290">
    <w:name w:val="表格体"/>
    <w:basedOn w:val="1"/>
    <w:uiPriority w:val="0"/>
    <w:pPr>
      <w:adjustRightInd w:val="0"/>
      <w:snapToGrid w:val="0"/>
      <w:jc w:val="center"/>
    </w:pPr>
    <w:rPr>
      <w:rFonts w:ascii="Times New Roman" w:hAnsi="Times New Roman"/>
      <w:bCs/>
    </w:rPr>
  </w:style>
  <w:style w:type="paragraph" w:customStyle="1" w:styleId="2291">
    <w:name w:val="样式 表格 + 首行缩进:  0.74 厘米"/>
    <w:basedOn w:val="1"/>
    <w:uiPriority w:val="0"/>
    <w:pPr>
      <w:jc w:val="center"/>
    </w:pPr>
    <w:rPr>
      <w:rFonts w:ascii="Times New Roman" w:hAnsi="Times New Roman" w:cs="宋体"/>
      <w:szCs w:val="20"/>
    </w:rPr>
  </w:style>
  <w:style w:type="paragraph" w:customStyle="1" w:styleId="2292">
    <w:name w:val="表格04"/>
    <w:basedOn w:val="1"/>
    <w:uiPriority w:val="0"/>
    <w:pPr>
      <w:adjustRightInd w:val="0"/>
      <w:snapToGrid w:val="0"/>
      <w:spacing w:line="320" w:lineRule="exact"/>
      <w:jc w:val="center"/>
    </w:pPr>
    <w:rPr>
      <w:rFonts w:ascii="Times New Roman" w:hAnsi="Times New Roman"/>
      <w:kern w:val="0"/>
      <w:sz w:val="18"/>
      <w:szCs w:val="18"/>
    </w:rPr>
  </w:style>
  <w:style w:type="paragraph" w:customStyle="1" w:styleId="2293">
    <w:name w:val="Char Char Char1 Char"/>
    <w:basedOn w:val="1"/>
    <w:uiPriority w:val="0"/>
    <w:pPr>
      <w:widowControl/>
      <w:jc w:val="left"/>
    </w:pPr>
    <w:rPr>
      <w:rFonts w:ascii="宋体" w:hAnsi="宋体" w:cs="宋体"/>
      <w:kern w:val="0"/>
      <w:sz w:val="24"/>
    </w:rPr>
  </w:style>
  <w:style w:type="paragraph" w:customStyle="1" w:styleId="2294">
    <w:name w:val="xl80"/>
    <w:basedOn w:val="1"/>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color w:val="FF0000"/>
      <w:kern w:val="0"/>
      <w:sz w:val="24"/>
      <w:szCs w:val="20"/>
    </w:rPr>
  </w:style>
  <w:style w:type="paragraph" w:customStyle="1" w:styleId="2295">
    <w:name w:val="txtBox"/>
    <w:basedOn w:val="1"/>
    <w:uiPriority w:val="0"/>
    <w:pPr>
      <w:adjustRightInd w:val="0"/>
      <w:snapToGrid w:val="0"/>
      <w:jc w:val="center"/>
    </w:pPr>
    <w:rPr>
      <w:rFonts w:ascii="Times New Roman" w:hAnsi="Times New Roman"/>
      <w:color w:val="000000"/>
      <w:spacing w:val="-8"/>
      <w:sz w:val="24"/>
    </w:rPr>
  </w:style>
  <w:style w:type="paragraph" w:customStyle="1" w:styleId="2296">
    <w:name w:val="表格01"/>
    <w:basedOn w:val="1"/>
    <w:uiPriority w:val="0"/>
    <w:pPr>
      <w:spacing w:line="498" w:lineRule="exact"/>
      <w:jc w:val="center"/>
    </w:pPr>
    <w:rPr>
      <w:rFonts w:ascii="Times New Roman" w:hAnsi="Times New Roman"/>
      <w:sz w:val="28"/>
      <w:szCs w:val="20"/>
    </w:rPr>
  </w:style>
  <w:style w:type="paragraph" w:customStyle="1" w:styleId="2297">
    <w:name w:val="样式 正文文本缩进 + 宋体 四号"/>
    <w:basedOn w:val="1"/>
    <w:uiPriority w:val="0"/>
    <w:pPr>
      <w:spacing w:line="360" w:lineRule="auto"/>
      <w:ind w:firstLine="200" w:firstLineChars="200"/>
    </w:pPr>
    <w:rPr>
      <w:rFonts w:ascii="宋体" w:hAnsi="宋体" w:cs="宋体"/>
      <w:kern w:val="22"/>
      <w:sz w:val="28"/>
      <w:szCs w:val="20"/>
    </w:rPr>
  </w:style>
  <w:style w:type="paragraph" w:customStyle="1" w:styleId="2298">
    <w:name w:val="样式 正文首行缩进正文首行缩进 Char + 段前: 0.5 行"/>
    <w:basedOn w:val="85"/>
    <w:uiPriority w:val="0"/>
    <w:pPr>
      <w:spacing w:beforeLines="50" w:after="0" w:line="360" w:lineRule="auto"/>
      <w:ind w:firstLine="567" w:firstLineChars="0"/>
    </w:pPr>
    <w:rPr>
      <w:rFonts w:ascii="等线" w:hAnsi="等线"/>
      <w:sz w:val="28"/>
    </w:rPr>
  </w:style>
  <w:style w:type="paragraph" w:customStyle="1" w:styleId="2299">
    <w:name w:val="列出段落1"/>
    <w:basedOn w:val="1"/>
    <w:uiPriority w:val="0"/>
    <w:pPr>
      <w:ind w:firstLine="420" w:firstLineChars="200"/>
    </w:pPr>
    <w:rPr>
      <w:rFonts w:eastAsia="等线"/>
      <w:szCs w:val="22"/>
    </w:rPr>
  </w:style>
  <w:style w:type="paragraph" w:customStyle="1" w:styleId="2300">
    <w:name w:val="样式 标题 1 + 宋体 四号 左 段前: 0 磅 段后: 0 磅 行距: 单倍行距"/>
    <w:basedOn w:val="5"/>
    <w:uiPriority w:val="0"/>
    <w:pPr>
      <w:tabs>
        <w:tab w:val="left" w:pos="720"/>
      </w:tabs>
      <w:spacing w:before="0" w:after="0" w:line="240" w:lineRule="auto"/>
      <w:ind w:firstLine="551" w:firstLineChars="196"/>
      <w:jc w:val="left"/>
    </w:pPr>
    <w:rPr>
      <w:rFonts w:ascii="宋体" w:hAnsi="宋体" w:cs="宋体"/>
      <w:kern w:val="2"/>
      <w:sz w:val="32"/>
      <w:szCs w:val="20"/>
    </w:rPr>
  </w:style>
  <w:style w:type="paragraph" w:customStyle="1" w:styleId="2301">
    <w:name w:val="a5"/>
    <w:basedOn w:val="1"/>
    <w:uiPriority w:val="0"/>
    <w:pPr>
      <w:widowControl/>
      <w:spacing w:before="100" w:beforeAutospacing="1" w:after="100" w:afterAutospacing="1"/>
      <w:jc w:val="left"/>
    </w:pPr>
    <w:rPr>
      <w:rFonts w:ascii="Arial Unicode MS" w:hAnsi="Arial Unicode MS" w:eastAsia="Arial Unicode MS" w:cs="Arial Unicode MS"/>
      <w:kern w:val="0"/>
      <w:sz w:val="17"/>
      <w:szCs w:val="17"/>
    </w:rPr>
  </w:style>
  <w:style w:type="paragraph" w:customStyle="1" w:styleId="2302">
    <w:name w:val="表格说明"/>
    <w:basedOn w:val="1"/>
    <w:uiPriority w:val="0"/>
    <w:pPr>
      <w:adjustRightInd w:val="0"/>
      <w:snapToGrid w:val="0"/>
      <w:spacing w:line="480" w:lineRule="exact"/>
      <w:ind w:firstLine="573"/>
    </w:pPr>
    <w:rPr>
      <w:rFonts w:ascii="Times New Roman" w:hAnsi="Times New Roman"/>
      <w:kern w:val="0"/>
      <w:sz w:val="24"/>
    </w:rPr>
  </w:style>
  <w:style w:type="paragraph" w:customStyle="1" w:styleId="2303">
    <w:name w:val="样式 正文首行缩进 + 段前: 0.5 行"/>
    <w:basedOn w:val="85"/>
    <w:uiPriority w:val="0"/>
    <w:pPr>
      <w:spacing w:after="0" w:line="360" w:lineRule="auto"/>
      <w:ind w:firstLine="567" w:firstLineChars="0"/>
    </w:pPr>
    <w:rPr>
      <w:rFonts w:ascii="等线" w:hAnsi="等线"/>
      <w:sz w:val="28"/>
    </w:rPr>
  </w:style>
  <w:style w:type="paragraph" w:customStyle="1" w:styleId="2304">
    <w:name w:val="标格标题"/>
    <w:basedOn w:val="1463"/>
    <w:next w:val="1463"/>
    <w:uiPriority w:val="0"/>
    <w:pPr>
      <w:widowControl/>
      <w:tabs>
        <w:tab w:val="clear" w:pos="0"/>
      </w:tabs>
      <w:spacing w:before="0" w:beforeLines="0" w:after="0" w:afterLines="0"/>
    </w:pPr>
    <w:rPr>
      <w:rFonts w:hint="eastAsia"/>
      <w:b/>
      <w:bCs w:val="0"/>
      <w:kern w:val="0"/>
      <w:sz w:val="20"/>
      <w:lang/>
    </w:rPr>
  </w:style>
  <w:style w:type="paragraph" w:customStyle="1" w:styleId="2305">
    <w:name w:val="TxtBox"/>
    <w:basedOn w:val="1"/>
    <w:uiPriority w:val="0"/>
    <w:pPr>
      <w:spacing w:line="280" w:lineRule="exact"/>
      <w:jc w:val="center"/>
    </w:pPr>
    <w:rPr>
      <w:rFonts w:ascii="Times New Roman" w:hAnsi="Times New Roman"/>
    </w:rPr>
  </w:style>
  <w:style w:type="paragraph" w:customStyle="1" w:styleId="2306">
    <w:name w:val="正文表标题"/>
    <w:next w:val="1"/>
    <w:uiPriority w:val="0"/>
    <w:pPr>
      <w:jc w:val="center"/>
    </w:pPr>
    <w:rPr>
      <w:rFonts w:ascii="黑体" w:eastAsia="黑体"/>
      <w:sz w:val="21"/>
      <w:lang w:val="en-US" w:eastAsia="zh-CN" w:bidi="ar-SA"/>
    </w:rPr>
  </w:style>
  <w:style w:type="paragraph" w:customStyle="1" w:styleId="2307">
    <w:name w:val="TableButton"/>
    <w:basedOn w:val="1"/>
    <w:uiPriority w:val="0"/>
    <w:pPr>
      <w:tabs>
        <w:tab w:val="left" w:pos="357"/>
        <w:tab w:val="left" w:pos="1200"/>
      </w:tabs>
      <w:kinsoku w:val="0"/>
      <w:overflowPunct w:val="0"/>
      <w:autoSpaceDE w:val="0"/>
      <w:autoSpaceDN w:val="0"/>
      <w:snapToGrid w:val="0"/>
      <w:spacing w:line="600" w:lineRule="exact"/>
      <w:ind w:left="1200" w:hanging="720"/>
      <w:jc w:val="center"/>
      <w:outlineLvl w:val="0"/>
    </w:pPr>
    <w:rPr>
      <w:rFonts w:ascii="Times New Roman" w:hAnsi="Times New Roman"/>
      <w:kern w:val="0"/>
      <w:sz w:val="24"/>
      <w:szCs w:val="20"/>
    </w:rPr>
  </w:style>
  <w:style w:type="paragraph" w:customStyle="1" w:styleId="2308">
    <w:name w:val="标题五"/>
    <w:basedOn w:val="1"/>
    <w:uiPriority w:val="0"/>
    <w:pPr>
      <w:widowControl/>
      <w:tabs>
        <w:tab w:val="left" w:pos="987"/>
      </w:tabs>
      <w:spacing w:line="360" w:lineRule="auto"/>
      <w:ind w:left="987" w:hanging="420"/>
    </w:pPr>
    <w:rPr>
      <w:rFonts w:ascii="Times New Roman" w:hAnsi="Times New Roman"/>
      <w:sz w:val="24"/>
    </w:rPr>
  </w:style>
  <w:style w:type="paragraph" w:customStyle="1" w:styleId="2309">
    <w:name w:val="正文居中"/>
    <w:basedOn w:val="1"/>
    <w:uiPriority w:val="0"/>
    <w:pPr>
      <w:jc w:val="center"/>
    </w:pPr>
    <w:rPr>
      <w:rFonts w:ascii="Times New Roman" w:hAnsi="Times New Roman"/>
    </w:rPr>
  </w:style>
  <w:style w:type="paragraph" w:customStyle="1" w:styleId="2310">
    <w:name w:val="1111111111111"/>
    <w:basedOn w:val="1"/>
    <w:uiPriority w:val="0"/>
    <w:pPr>
      <w:spacing w:line="360" w:lineRule="auto"/>
      <w:ind w:firstLine="480" w:firstLineChars="200"/>
    </w:pPr>
    <w:rPr>
      <w:rFonts w:ascii="仿宋_GB2312" w:hAnsi="宋体" w:eastAsia="仿宋_GB2312"/>
      <w:sz w:val="24"/>
    </w:rPr>
  </w:style>
  <w:style w:type="paragraph" w:customStyle="1" w:styleId="2311">
    <w:name w:val="样式 黑体 小四 加粗 行距: 固定值 20 磅3"/>
    <w:basedOn w:val="1"/>
    <w:uiPriority w:val="0"/>
    <w:pPr>
      <w:spacing w:line="400" w:lineRule="exact"/>
    </w:pPr>
    <w:rPr>
      <w:rFonts w:ascii="黑体" w:hAnsi="Times New Roman" w:eastAsia="黑体"/>
      <w:b/>
      <w:bCs/>
      <w:sz w:val="28"/>
      <w:szCs w:val="20"/>
    </w:rPr>
  </w:style>
  <w:style w:type="paragraph" w:customStyle="1" w:styleId="2312">
    <w:name w:val="节1"/>
    <w:basedOn w:val="1"/>
    <w:uiPriority w:val="0"/>
    <w:pPr>
      <w:spacing w:line="360" w:lineRule="auto"/>
      <w:ind w:left="350" w:leftChars="350"/>
      <w:jc w:val="left"/>
      <w:outlineLvl w:val="2"/>
    </w:pPr>
    <w:rPr>
      <w:rFonts w:ascii="黑体" w:hAnsi="Times New Roman" w:eastAsia="黑体"/>
      <w:b/>
      <w:bCs/>
      <w:sz w:val="28"/>
    </w:rPr>
  </w:style>
  <w:style w:type="paragraph" w:customStyle="1" w:styleId="2313">
    <w:name w:val="w4"/>
    <w:basedOn w:val="1"/>
    <w:uiPriority w:val="0"/>
    <w:pPr>
      <w:adjustRightInd w:val="0"/>
      <w:spacing w:line="360" w:lineRule="auto"/>
      <w:ind w:left="1200" w:firstLine="654"/>
    </w:pPr>
    <w:rPr>
      <w:rFonts w:ascii="宋体" w:hAnsi="Times New Roman"/>
      <w:kern w:val="0"/>
      <w:sz w:val="28"/>
      <w:szCs w:val="20"/>
    </w:rPr>
  </w:style>
  <w:style w:type="paragraph" w:customStyle="1" w:styleId="2314">
    <w:name w:val="Char Char Char Char2"/>
    <w:basedOn w:val="1"/>
    <w:uiPriority w:val="0"/>
    <w:pPr>
      <w:spacing w:line="360" w:lineRule="auto"/>
      <w:ind w:firstLine="200" w:firstLineChars="200"/>
    </w:pPr>
    <w:rPr>
      <w:rFonts w:ascii="宋体" w:hAnsi="宋体" w:cs="宋体"/>
      <w:sz w:val="24"/>
    </w:rPr>
  </w:style>
  <w:style w:type="paragraph" w:customStyle="1" w:styleId="2315">
    <w:name w:val="样式 标题 3Heading3SectionMB3标题 3XW3h33rd levelH3l3CT标题 3...1"/>
    <w:basedOn w:val="7"/>
    <w:uiPriority w:val="0"/>
    <w:pPr>
      <w:tabs>
        <w:tab w:val="left" w:pos="1080"/>
        <w:tab w:val="left" w:pos="1134"/>
        <w:tab w:val="right" w:pos="7371"/>
      </w:tabs>
      <w:spacing w:before="156" w:after="156" w:line="412" w:lineRule="auto"/>
      <w:outlineLvl w:val="0"/>
    </w:pPr>
    <w:rPr>
      <w:rFonts w:ascii="Times New Roman" w:hAnsi="Times New Roman" w:cs="宋体"/>
      <w:bCs w:val="0"/>
    </w:rPr>
  </w:style>
  <w:style w:type="paragraph" w:customStyle="1" w:styleId="2316">
    <w:name w:val="标3"/>
    <w:basedOn w:val="7"/>
    <w:next w:val="47"/>
    <w:uiPriority w:val="0"/>
    <w:pPr>
      <w:tabs>
        <w:tab w:val="left" w:pos="578"/>
        <w:tab w:val="left" w:pos="1080"/>
        <w:tab w:val="left" w:pos="1134"/>
        <w:tab w:val="center" w:pos="6804"/>
        <w:tab w:val="right" w:pos="7371"/>
      </w:tabs>
      <w:overflowPunct w:val="0"/>
      <w:spacing w:before="0" w:after="0" w:line="500" w:lineRule="exact"/>
      <w:ind w:left="726" w:hanging="726"/>
    </w:pPr>
    <w:rPr>
      <w:rFonts w:ascii="Times New Roman" w:hAnsi="Times New Roman"/>
      <w:b w:val="0"/>
      <w:bCs w:val="0"/>
      <w:color w:val="0000FF"/>
      <w:sz w:val="28"/>
      <w:szCs w:val="20"/>
    </w:rPr>
  </w:style>
  <w:style w:type="paragraph" w:customStyle="1" w:styleId="2317">
    <w:name w:val="Char Char Char Char Char Char Char Char Char1 Char Char Char Char"/>
    <w:basedOn w:val="1"/>
    <w:uiPriority w:val="0"/>
    <w:pPr>
      <w:spacing w:line="360" w:lineRule="auto"/>
      <w:ind w:firstLine="200" w:firstLineChars="200"/>
    </w:pPr>
    <w:rPr>
      <w:rFonts w:ascii="宋体" w:hAnsi="宋体" w:cs="宋体"/>
      <w:kern w:val="0"/>
      <w:sz w:val="24"/>
      <w:szCs w:val="26"/>
    </w:rPr>
  </w:style>
  <w:style w:type="paragraph" w:customStyle="1" w:styleId="2318">
    <w:name w:val="表格标题2"/>
    <w:basedOn w:val="1"/>
    <w:uiPriority w:val="0"/>
    <w:pPr>
      <w:tabs>
        <w:tab w:val="center" w:pos="4156"/>
        <w:tab w:val="left" w:pos="6330"/>
      </w:tabs>
      <w:spacing w:line="360" w:lineRule="auto"/>
      <w:ind w:firstLine="2904" w:firstLineChars="1100"/>
      <w:jc w:val="left"/>
    </w:pPr>
    <w:rPr>
      <w:rFonts w:ascii="宋体" w:hAnsi="宋体"/>
      <w:bCs/>
      <w:spacing w:val="12"/>
      <w:kern w:val="0"/>
      <w:sz w:val="24"/>
    </w:rPr>
  </w:style>
  <w:style w:type="paragraph" w:customStyle="1" w:styleId="2319">
    <w:name w:val="右侧"/>
    <w:uiPriority w:val="0"/>
    <w:pPr>
      <w:spacing w:line="280" w:lineRule="exact"/>
      <w:jc w:val="right"/>
    </w:pPr>
    <w:rPr>
      <w:rFonts w:ascii="Batang" w:hAnsi="Batang"/>
      <w:color w:val="000000"/>
      <w:sz w:val="18"/>
      <w:lang w:val="en-US" w:eastAsia="zh-CN" w:bidi="ar-SA"/>
    </w:rPr>
  </w:style>
  <w:style w:type="paragraph" w:customStyle="1" w:styleId="2320">
    <w:name w:val="正文图竖五"/>
    <w:basedOn w:val="1"/>
    <w:uiPriority w:val="0"/>
    <w:pPr>
      <w:jc w:val="center"/>
    </w:pPr>
    <w:rPr>
      <w:rFonts w:ascii="宋体" w:hAnsi="Times New Roman" w:eastAsia="仿宋_GB2312"/>
      <w:color w:val="000000"/>
      <w:kern w:val="0"/>
      <w:sz w:val="34"/>
      <w:szCs w:val="21"/>
    </w:rPr>
  </w:style>
  <w:style w:type="paragraph" w:customStyle="1" w:styleId="2321">
    <w:name w:val="xl65"/>
    <w:basedOn w:val="1"/>
    <w:uiPriority w:val="0"/>
    <w:pPr>
      <w:widowControl/>
      <w:pBdr>
        <w:left w:val="single" w:color="auto" w:sz="4" w:space="0"/>
        <w:right w:val="single" w:color="auto" w:sz="4" w:space="0"/>
      </w:pBdr>
      <w:spacing w:before="100" w:beforeAutospacing="1" w:after="100" w:afterAutospacing="1"/>
      <w:jc w:val="center"/>
    </w:pPr>
    <w:rPr>
      <w:rFonts w:ascii="楷体_GB2312" w:hAnsi="宋体" w:eastAsia="楷体_GB2312"/>
      <w:kern w:val="0"/>
      <w:sz w:val="20"/>
      <w:szCs w:val="20"/>
    </w:rPr>
  </w:style>
  <w:style w:type="paragraph" w:customStyle="1" w:styleId="2322">
    <w:name w:val="样式 标题 2节节标题 1.1H2（一）Underrubrik1prop2Heading 2 HiddenHea...2"/>
    <w:basedOn w:val="6"/>
    <w:uiPriority w:val="0"/>
    <w:pPr>
      <w:tabs>
        <w:tab w:val="left" w:pos="576"/>
      </w:tabs>
      <w:spacing w:before="0" w:beforeLines="50" w:after="0" w:line="360" w:lineRule="auto"/>
      <w:jc w:val="left"/>
    </w:pPr>
    <w:rPr>
      <w:rFonts w:ascii="宋体" w:eastAsia="宋体"/>
      <w:color w:val="000000"/>
      <w:sz w:val="30"/>
    </w:rPr>
  </w:style>
  <w:style w:type="paragraph" w:customStyle="1" w:styleId="2323">
    <w:name w:val="正文文本缩进 21"/>
    <w:basedOn w:val="1"/>
    <w:uiPriority w:val="0"/>
    <w:pPr>
      <w:adjustRightInd w:val="0"/>
      <w:ind w:firstLine="540"/>
    </w:pPr>
    <w:rPr>
      <w:rFonts w:ascii="Times New Roman" w:hAnsi="Times New Roman"/>
      <w:sz w:val="28"/>
      <w:szCs w:val="20"/>
    </w:rPr>
  </w:style>
  <w:style w:type="paragraph" w:customStyle="1" w:styleId="2324">
    <w:name w:val="xl88"/>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Times New Roman" w:hAnsi="Times New Roman"/>
      <w:kern w:val="0"/>
      <w:sz w:val="28"/>
      <w:szCs w:val="28"/>
    </w:rPr>
  </w:style>
  <w:style w:type="paragraph" w:customStyle="1" w:styleId="2325">
    <w:name w:val="6表格"/>
    <w:basedOn w:val="1"/>
    <w:uiPriority w:val="0"/>
    <w:pPr>
      <w:snapToGrid w:val="0"/>
      <w:spacing w:before="60" w:line="264" w:lineRule="auto"/>
      <w:jc w:val="center"/>
    </w:pPr>
    <w:rPr>
      <w:rFonts w:ascii="Times New Roman" w:hAnsi="Times New Roman" w:eastAsia="仿宋_GB2312"/>
      <w:kern w:val="0"/>
      <w:szCs w:val="20"/>
    </w:rPr>
  </w:style>
  <w:style w:type="paragraph" w:customStyle="1" w:styleId="2326">
    <w:name w:val="2"/>
    <w:basedOn w:val="1"/>
    <w:next w:val="36"/>
    <w:uiPriority w:val="0"/>
    <w:pPr>
      <w:ind w:firstLine="560" w:firstLineChars="200"/>
    </w:pPr>
    <w:rPr>
      <w:rFonts w:ascii="Times New Roman" w:hAnsi="Times New Roman"/>
      <w:sz w:val="28"/>
    </w:rPr>
  </w:style>
  <w:style w:type="paragraph" w:customStyle="1" w:styleId="2327">
    <w:name w:val="xl78"/>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16"/>
      <w:szCs w:val="16"/>
    </w:rPr>
  </w:style>
  <w:style w:type="paragraph" w:customStyle="1" w:styleId="2328">
    <w:name w:val="报告表格"/>
    <w:basedOn w:val="1"/>
    <w:next w:val="1"/>
    <w:uiPriority w:val="0"/>
    <w:pPr>
      <w:autoSpaceDE w:val="0"/>
      <w:autoSpaceDN w:val="0"/>
      <w:adjustRightInd w:val="0"/>
      <w:spacing w:line="318" w:lineRule="atLeast"/>
      <w:jc w:val="center"/>
    </w:pPr>
    <w:rPr>
      <w:rFonts w:ascii="Times New Roman" w:hAnsi="Times New Roman"/>
      <w:kern w:val="0"/>
      <w:sz w:val="24"/>
      <w:szCs w:val="20"/>
    </w:rPr>
  </w:style>
  <w:style w:type="paragraph" w:customStyle="1" w:styleId="2329">
    <w:name w:val="表内文字"/>
    <w:basedOn w:val="1"/>
    <w:uiPriority w:val="0"/>
    <w:pPr>
      <w:spacing w:line="360" w:lineRule="exact"/>
      <w:jc w:val="center"/>
    </w:pPr>
    <w:rPr>
      <w:rFonts w:ascii="Times New Roman" w:hAnsi="Times New Roman"/>
      <w:spacing w:val="20"/>
      <w:kern w:val="0"/>
      <w:szCs w:val="20"/>
    </w:rPr>
  </w:style>
  <w:style w:type="paragraph" w:customStyle="1" w:styleId="2330">
    <w:name w:val="xl97"/>
    <w:basedOn w:val="1"/>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31">
    <w:name w:val="Char Char Char Char Char Char2"/>
    <w:basedOn w:val="1"/>
    <w:next w:val="4"/>
    <w:uiPriority w:val="0"/>
    <w:rPr>
      <w:rFonts w:ascii="Times New Roman" w:hAnsi="Times New Roman"/>
      <w:sz w:val="28"/>
      <w:szCs w:val="28"/>
    </w:rPr>
  </w:style>
  <w:style w:type="paragraph" w:customStyle="1" w:styleId="2332">
    <w:name w:val="xl91"/>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33">
    <w:name w:val="正文本"/>
    <w:basedOn w:val="1"/>
    <w:uiPriority w:val="0"/>
    <w:pPr>
      <w:spacing w:line="600" w:lineRule="exact"/>
    </w:pPr>
    <w:rPr>
      <w:rFonts w:ascii="Arial Narrow" w:hAnsi="Arial Narrow" w:eastAsia="仿宋_GB2312"/>
      <w:sz w:val="28"/>
    </w:rPr>
  </w:style>
  <w:style w:type="paragraph" w:customStyle="1" w:styleId="2334">
    <w:name w:val="标2"/>
    <w:basedOn w:val="6"/>
    <w:next w:val="47"/>
    <w:uiPriority w:val="0"/>
    <w:pPr>
      <w:tabs>
        <w:tab w:val="left" w:pos="576"/>
        <w:tab w:val="center" w:pos="6804"/>
        <w:tab w:val="right" w:pos="7371"/>
      </w:tabs>
      <w:overflowPunct w:val="0"/>
      <w:adjustRightInd w:val="0"/>
      <w:spacing w:before="0" w:after="0" w:line="500" w:lineRule="exact"/>
      <w:ind w:left="576" w:hanging="576"/>
      <w:jc w:val="left"/>
    </w:pPr>
    <w:rPr>
      <w:bCs w:val="0"/>
      <w:color w:val="FF0000"/>
      <w:kern w:val="0"/>
      <w:sz w:val="28"/>
      <w:szCs w:val="20"/>
    </w:rPr>
  </w:style>
  <w:style w:type="paragraph" w:customStyle="1" w:styleId="2335">
    <w:name w:val="xl82"/>
    <w:basedOn w:val="1"/>
    <w:uiPriority w:val="0"/>
    <w:pPr>
      <w:widowControl/>
      <w:pBdr>
        <w:top w:val="single" w:color="auto" w:sz="8"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36">
    <w:name w:val="样式36"/>
    <w:basedOn w:val="1"/>
    <w:uiPriority w:val="0"/>
    <w:pPr>
      <w:keepNext/>
      <w:keepLines/>
      <w:tabs>
        <w:tab w:val="left" w:pos="1146"/>
      </w:tabs>
      <w:snapToGrid w:val="0"/>
      <w:spacing w:before="120" w:after="120" w:line="360" w:lineRule="auto"/>
      <w:ind w:left="993" w:hanging="567"/>
      <w:outlineLvl w:val="2"/>
    </w:pPr>
    <w:rPr>
      <w:rFonts w:ascii="宋体" w:hAnsi="宋体" w:cs="Arial Unicode MS"/>
      <w:b/>
      <w:color w:val="000000"/>
      <w:sz w:val="24"/>
    </w:rPr>
  </w:style>
  <w:style w:type="paragraph" w:customStyle="1" w:styleId="2337">
    <w:name w:val="第"/>
    <w:basedOn w:val="1"/>
    <w:uiPriority w:val="0"/>
    <w:pPr>
      <w:spacing w:line="384" w:lineRule="auto"/>
    </w:pPr>
    <w:rPr>
      <w:rFonts w:ascii="Times New Roman" w:hAnsi="Times New Roman"/>
      <w:spacing w:val="16"/>
      <w:sz w:val="28"/>
    </w:rPr>
  </w:style>
  <w:style w:type="paragraph" w:customStyle="1" w:styleId="2338">
    <w:name w:val="xl94"/>
    <w:basedOn w:val="1"/>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8"/>
      <w:szCs w:val="28"/>
    </w:rPr>
  </w:style>
  <w:style w:type="paragraph" w:customStyle="1" w:styleId="2339">
    <w:name w:val="xl7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楷体_GB2312" w:hAnsi="宋体" w:eastAsia="楷体_GB2312"/>
      <w:kern w:val="0"/>
      <w:sz w:val="24"/>
    </w:rPr>
  </w:style>
  <w:style w:type="paragraph" w:customStyle="1" w:styleId="2340">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2341">
    <w:name w:val="xl87"/>
    <w:basedOn w:val="1"/>
    <w:uiPriority w:val="0"/>
    <w:pPr>
      <w:widowControl/>
      <w:pBdr>
        <w:bottom w:val="single" w:color="auto" w:sz="8" w:space="0"/>
      </w:pBdr>
      <w:spacing w:before="100" w:beforeAutospacing="1" w:after="100" w:afterAutospacing="1"/>
      <w:jc w:val="center"/>
    </w:pPr>
    <w:rPr>
      <w:rFonts w:ascii="Times New Roman" w:hAnsi="Times New Roman"/>
      <w:b/>
      <w:bCs/>
      <w:color w:val="000000"/>
      <w:kern w:val="0"/>
      <w:sz w:val="40"/>
      <w:szCs w:val="40"/>
    </w:rPr>
  </w:style>
  <w:style w:type="paragraph" w:customStyle="1" w:styleId="2342">
    <w:name w:val="依据文字"/>
    <w:basedOn w:val="86"/>
    <w:uiPriority w:val="0"/>
    <w:pPr>
      <w:tabs>
        <w:tab w:val="left" w:pos="420"/>
        <w:tab w:val="left" w:pos="870"/>
        <w:tab w:val="left" w:pos="3150"/>
      </w:tabs>
      <w:autoSpaceDE w:val="0"/>
      <w:autoSpaceDN w:val="0"/>
      <w:adjustRightInd w:val="0"/>
      <w:snapToGrid w:val="0"/>
      <w:spacing w:beforeLines="25" w:after="0" w:line="336" w:lineRule="auto"/>
      <w:ind w:left="0" w:leftChars="0" w:firstLine="527" w:firstLineChars="0"/>
    </w:pPr>
    <w:rPr>
      <w:rFonts w:ascii="宋体" w:cs="Tahoma"/>
      <w:szCs w:val="20"/>
    </w:rPr>
  </w:style>
  <w:style w:type="paragraph" w:customStyle="1" w:styleId="2343">
    <w:name w:val="流程图1"/>
    <w:basedOn w:val="1"/>
    <w:uiPriority w:val="0"/>
    <w:pPr>
      <w:spacing w:before="40" w:line="280" w:lineRule="exact"/>
      <w:jc w:val="center"/>
    </w:pPr>
    <w:rPr>
      <w:rFonts w:ascii="Times New Roman" w:hAnsi="Times New Roman"/>
      <w:sz w:val="24"/>
      <w:szCs w:val="20"/>
    </w:rPr>
  </w:style>
  <w:style w:type="paragraph" w:customStyle="1" w:styleId="2344">
    <w:name w:val="xl92"/>
    <w:basedOn w:val="1"/>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345">
    <w:name w:val="Char Char Char Char11"/>
    <w:basedOn w:val="1"/>
    <w:uiPriority w:val="0"/>
    <w:rPr>
      <w:rFonts w:ascii="Times New Roman" w:hAnsi="Times New Roman"/>
    </w:rPr>
  </w:style>
  <w:style w:type="paragraph" w:customStyle="1" w:styleId="2346">
    <w:name w:val="表列"/>
    <w:basedOn w:val="777"/>
    <w:uiPriority w:val="0"/>
    <w:pPr>
      <w:tabs>
        <w:tab w:val="left" w:pos="0"/>
      </w:tabs>
      <w:snapToGrid w:val="0"/>
      <w:spacing w:after="0" w:line="360" w:lineRule="auto"/>
      <w:ind w:right="-40"/>
      <w:textAlignment w:val="auto"/>
    </w:pPr>
    <w:rPr>
      <w:rFonts w:hint="eastAsia"/>
      <w:b w:val="0"/>
      <w:kern w:val="0"/>
      <w:sz w:val="20"/>
      <w:szCs w:val="20"/>
      <w:lang/>
    </w:rPr>
  </w:style>
  <w:style w:type="paragraph" w:customStyle="1" w:styleId="2347">
    <w:name w:val="正文11111111"/>
    <w:basedOn w:val="1"/>
    <w:uiPriority w:val="0"/>
    <w:pPr>
      <w:spacing w:line="440" w:lineRule="exact"/>
      <w:ind w:firstLine="200" w:firstLineChars="200"/>
    </w:pPr>
    <w:rPr>
      <w:rFonts w:ascii="宋体" w:hAnsi="Times New Roman" w:cs="宋体"/>
      <w:kern w:val="0"/>
      <w:sz w:val="24"/>
      <w:szCs w:val="20"/>
    </w:rPr>
  </w:style>
  <w:style w:type="paragraph" w:customStyle="1" w:styleId="2348">
    <w:name w:val="xl66"/>
    <w:basedOn w:val="1"/>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szCs w:val="20"/>
    </w:rPr>
  </w:style>
  <w:style w:type="paragraph" w:customStyle="1" w:styleId="2349">
    <w:name w:val="目录"/>
    <w:basedOn w:val="1"/>
    <w:uiPriority w:val="0"/>
    <w:pPr>
      <w:tabs>
        <w:tab w:val="right" w:leader="dot" w:pos="8505"/>
      </w:tabs>
      <w:overflowPunct w:val="0"/>
      <w:adjustRightInd w:val="0"/>
      <w:spacing w:line="360" w:lineRule="auto"/>
      <w:ind w:left="568" w:right="851" w:hanging="284"/>
    </w:pPr>
    <w:rPr>
      <w:rFonts w:ascii="宋体" w:hAnsi="Times New Roman"/>
      <w:kern w:val="0"/>
      <w:sz w:val="28"/>
      <w:szCs w:val="20"/>
    </w:rPr>
  </w:style>
  <w:style w:type="paragraph" w:customStyle="1" w:styleId="2350">
    <w:name w:val="样式 正文样式 + 五号 居中"/>
    <w:basedOn w:val="790"/>
    <w:uiPriority w:val="0"/>
    <w:pPr>
      <w:tabs>
        <w:tab w:val="clear" w:pos="1440"/>
        <w:tab w:val="clear" w:pos="4368"/>
      </w:tabs>
      <w:spacing w:before="0" w:beforeLines="0" w:line="240" w:lineRule="auto"/>
      <w:ind w:firstLine="0"/>
      <w:jc w:val="center"/>
    </w:pPr>
    <w:rPr>
      <w:rFonts w:hint="eastAsia" w:ascii="宋体" w:hAnsi="宋体" w:eastAsia="宋体"/>
      <w:spacing w:val="0"/>
      <w:kern w:val="0"/>
      <w:sz w:val="21"/>
      <w:lang/>
    </w:rPr>
  </w:style>
  <w:style w:type="paragraph" w:customStyle="1" w:styleId="2351">
    <w:name w:val="表左"/>
    <w:basedOn w:val="1"/>
    <w:uiPriority w:val="0"/>
    <w:pPr>
      <w:spacing w:line="280" w:lineRule="exact"/>
      <w:jc w:val="left"/>
    </w:pPr>
    <w:rPr>
      <w:rFonts w:ascii="宋体" w:hAnsi="Times New Roman"/>
      <w:color w:val="000000"/>
      <w:kern w:val="0"/>
      <w:sz w:val="18"/>
      <w:szCs w:val="20"/>
    </w:rPr>
  </w:style>
  <w:style w:type="paragraph" w:customStyle="1" w:styleId="2352">
    <w:name w:val="样式 正文首行缩进 + 首行缩进:  2 字符"/>
    <w:basedOn w:val="85"/>
    <w:uiPriority w:val="0"/>
    <w:pPr>
      <w:spacing w:line="240" w:lineRule="atLeast"/>
      <w:ind w:firstLine="200" w:firstLineChars="200"/>
    </w:pPr>
    <w:rPr>
      <w:rFonts w:ascii="Times New Roman" w:hAnsi="Times New Roman"/>
      <w:sz w:val="28"/>
    </w:rPr>
  </w:style>
  <w:style w:type="paragraph" w:customStyle="1" w:styleId="2353">
    <w:name w:val="正文式样"/>
    <w:basedOn w:val="10"/>
    <w:uiPriority w:val="0"/>
    <w:pPr>
      <w:ind w:firstLine="601" w:firstLineChars="0"/>
    </w:pPr>
    <w:rPr>
      <w:rFonts w:hint="eastAsia" w:ascii="宋体" w:hAnsi="宋体"/>
      <w:kern w:val="0"/>
      <w:sz w:val="28"/>
      <w:szCs w:val="20"/>
      <w:lang/>
    </w:rPr>
  </w:style>
  <w:style w:type="paragraph" w:customStyle="1" w:styleId="2354">
    <w:name w:val="目录1"/>
    <w:basedOn w:val="60"/>
    <w:next w:val="60"/>
    <w:uiPriority w:val="0"/>
    <w:pPr>
      <w:widowControl/>
      <w:tabs>
        <w:tab w:val="left" w:leader="dot" w:pos="8492"/>
        <w:tab w:val="right" w:leader="dot" w:pos="8525"/>
        <w:tab w:val="clear" w:pos="8302"/>
      </w:tabs>
      <w:adjustRightInd w:val="0"/>
      <w:spacing w:before="0" w:after="0" w:afterLines="50" w:line="360" w:lineRule="auto"/>
    </w:pPr>
    <w:rPr>
      <w:rFonts w:ascii="宋体" w:hAnsi="Times New Roman"/>
      <w:b w:val="0"/>
      <w:bCs w:val="0"/>
      <w:color w:val="000000"/>
      <w:kern w:val="0"/>
      <w:szCs w:val="21"/>
    </w:rPr>
  </w:style>
  <w:style w:type="paragraph" w:customStyle="1" w:styleId="2355">
    <w:name w:val="heading"/>
    <w:basedOn w:val="1"/>
    <w:next w:val="1"/>
    <w:uiPriority w:val="0"/>
    <w:pPr>
      <w:keepNext/>
      <w:keepLines/>
      <w:spacing w:line="360" w:lineRule="auto"/>
      <w:outlineLvl w:val="1"/>
    </w:pPr>
    <w:rPr>
      <w:rFonts w:ascii="宋体" w:hAnsi="Arial Black" w:cs="宋体"/>
      <w:kern w:val="0"/>
      <w:sz w:val="24"/>
      <w:szCs w:val="20"/>
    </w:rPr>
  </w:style>
  <w:style w:type="paragraph" w:customStyle="1" w:styleId="2356">
    <w:name w:val="样式 仿宋_GB2312 小四1"/>
    <w:basedOn w:val="1"/>
    <w:uiPriority w:val="0"/>
    <w:pPr>
      <w:adjustRightInd w:val="0"/>
      <w:spacing w:line="360" w:lineRule="auto"/>
      <w:ind w:firstLine="480" w:firstLineChars="200"/>
    </w:pPr>
    <w:rPr>
      <w:rFonts w:ascii="宋体" w:hAnsi="Times New Roman" w:eastAsia="仿宋_GB2312"/>
      <w:kern w:val="0"/>
      <w:sz w:val="24"/>
      <w:szCs w:val="20"/>
    </w:rPr>
  </w:style>
  <w:style w:type="paragraph" w:customStyle="1" w:styleId="2357">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58">
    <w:name w:val="修订1"/>
    <w:uiPriority w:val="0"/>
    <w:rPr>
      <w:sz w:val="21"/>
      <w:lang w:val="en-US" w:eastAsia="zh-CN" w:bidi="ar-SA"/>
    </w:rPr>
  </w:style>
  <w:style w:type="paragraph" w:customStyle="1" w:styleId="2359">
    <w:name w:val="样式12"/>
    <w:basedOn w:val="861"/>
    <w:uiPriority w:val="0"/>
    <w:pPr>
      <w:keepNext/>
      <w:keepLines/>
      <w:tabs>
        <w:tab w:val="left" w:pos="2354"/>
      </w:tabs>
      <w:adjustRightInd/>
      <w:snapToGrid/>
      <w:spacing w:beforeLines="50" w:line="360" w:lineRule="auto"/>
      <w:ind w:left="3964" w:hanging="708"/>
      <w:jc w:val="both"/>
      <w:outlineLvl w:val="3"/>
    </w:pPr>
    <w:rPr>
      <w:rFonts w:hAnsi="宋体"/>
      <w:bCs/>
      <w:color w:val="000000"/>
      <w:kern w:val="0"/>
      <w:sz w:val="24"/>
      <w:szCs w:val="24"/>
    </w:rPr>
  </w:style>
  <w:style w:type="paragraph" w:customStyle="1" w:styleId="2360">
    <w:name w:val="水印"/>
    <w:basedOn w:val="1"/>
    <w:uiPriority w:val="0"/>
    <w:pPr>
      <w:adjustRightInd w:val="0"/>
      <w:spacing w:line="240" w:lineRule="atLeast"/>
    </w:pPr>
    <w:rPr>
      <w:rFonts w:ascii="宋体" w:hAnsi="Times New Roman"/>
      <w:kern w:val="0"/>
      <w:sz w:val="34"/>
      <w:szCs w:val="20"/>
    </w:rPr>
  </w:style>
  <w:style w:type="paragraph" w:customStyle="1" w:styleId="2361">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362">
    <w:name w:val="正文图"/>
    <w:basedOn w:val="1"/>
    <w:uiPriority w:val="0"/>
    <w:pPr>
      <w:adjustRightInd w:val="0"/>
      <w:snapToGrid w:val="0"/>
      <w:spacing w:before="40"/>
      <w:jc w:val="center"/>
    </w:pPr>
    <w:rPr>
      <w:rFonts w:ascii="宋体" w:hAnsi="Times New Roman"/>
      <w:kern w:val="0"/>
      <w:sz w:val="24"/>
      <w:szCs w:val="20"/>
    </w:rPr>
  </w:style>
  <w:style w:type="paragraph" w:customStyle="1" w:styleId="2363">
    <w:name w:val="Char Char Char Char3"/>
    <w:basedOn w:val="1"/>
    <w:uiPriority w:val="0"/>
    <w:rPr>
      <w:rFonts w:ascii="宋体" w:hAnsi="Times New Roman"/>
      <w:kern w:val="0"/>
      <w:sz w:val="34"/>
      <w:szCs w:val="20"/>
    </w:rPr>
  </w:style>
  <w:style w:type="paragraph" w:customStyle="1" w:styleId="2364">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2365">
    <w:name w:val="可研-节标题 Char"/>
    <w:next w:val="1"/>
    <w:uiPriority w:val="0"/>
    <w:pPr>
      <w:spacing w:line="360" w:lineRule="auto"/>
      <w:outlineLvl w:val="1"/>
    </w:pPr>
    <w:rPr>
      <w:rFonts w:ascii="黑体" w:hAnsi="宋体" w:eastAsia="黑体"/>
      <w:b/>
      <w:bCs/>
      <w:sz w:val="28"/>
      <w:szCs w:val="28"/>
      <w:lang w:val="en-US" w:eastAsia="zh-CN" w:bidi="ar-SA"/>
    </w:rPr>
  </w:style>
  <w:style w:type="paragraph" w:customStyle="1" w:styleId="2366">
    <w:name w:val="可研-章标题"/>
    <w:basedOn w:val="1"/>
    <w:next w:val="2365"/>
    <w:uiPriority w:val="0"/>
    <w:pPr>
      <w:pageBreakBefore/>
      <w:spacing w:before="500" w:after="300"/>
      <w:jc w:val="left"/>
      <w:outlineLvl w:val="0"/>
    </w:pPr>
    <w:rPr>
      <w:rFonts w:ascii="黑体" w:hAnsi="Times New Roman" w:eastAsia="黑体"/>
      <w:kern w:val="32"/>
      <w:sz w:val="32"/>
      <w:szCs w:val="44"/>
    </w:rPr>
  </w:style>
  <w:style w:type="paragraph" w:customStyle="1" w:styleId="2367">
    <w:name w:val="xl93"/>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68">
    <w:name w:val="样式 四号 首行缩进:  1.92 字符"/>
    <w:basedOn w:val="1"/>
    <w:uiPriority w:val="0"/>
    <w:pPr>
      <w:widowControl/>
      <w:ind w:firstLine="560" w:firstLineChars="200"/>
    </w:pPr>
    <w:rPr>
      <w:rFonts w:ascii="Times New Roman" w:hAnsi="Times New Roman"/>
      <w:sz w:val="28"/>
      <w:szCs w:val="28"/>
    </w:rPr>
  </w:style>
  <w:style w:type="paragraph" w:customStyle="1" w:styleId="2369">
    <w:name w:val="xl83"/>
    <w:basedOn w:val="1"/>
    <w:uiPriority w:val="0"/>
    <w:pPr>
      <w:widowControl/>
      <w:pBdr>
        <w:lef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70">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371">
    <w:name w:val="xl76"/>
    <w:basedOn w:val="1"/>
    <w:uiPriority w:val="0"/>
    <w:pPr>
      <w:widowControl/>
      <w:pBdr>
        <w:bottom w:val="single" w:color="auto" w:sz="4" w:space="0"/>
      </w:pBdr>
      <w:spacing w:before="100" w:beforeAutospacing="1" w:after="100" w:afterAutospacing="1"/>
      <w:jc w:val="left"/>
    </w:pPr>
    <w:rPr>
      <w:rFonts w:ascii="宋体" w:hAnsi="宋体"/>
      <w:kern w:val="0"/>
      <w:sz w:val="20"/>
      <w:szCs w:val="20"/>
    </w:rPr>
  </w:style>
  <w:style w:type="paragraph" w:customStyle="1" w:styleId="2372">
    <w:name w:val="2 Char Char Char Char Char Char Char Char Char Char"/>
    <w:basedOn w:val="1"/>
    <w:uiPriority w:val="0"/>
    <w:rPr>
      <w:rFonts w:ascii="宋体" w:hAnsi="Times New Roman"/>
      <w:kern w:val="0"/>
      <w:sz w:val="34"/>
      <w:szCs w:val="20"/>
    </w:rPr>
  </w:style>
  <w:style w:type="paragraph" w:customStyle="1" w:styleId="2373">
    <w:name w:val="正文文本 31"/>
    <w:basedOn w:val="1"/>
    <w:uiPriority w:val="0"/>
    <w:pPr>
      <w:adjustRightInd w:val="0"/>
      <w:jc w:val="center"/>
    </w:pPr>
    <w:rPr>
      <w:rFonts w:ascii="Times New Roman" w:hAnsi="Times New Roman"/>
    </w:rPr>
  </w:style>
  <w:style w:type="paragraph" w:customStyle="1" w:styleId="2374">
    <w:name w:val="农贸市场二级标题"/>
    <w:basedOn w:val="1"/>
    <w:uiPriority w:val="0"/>
    <w:pPr>
      <w:spacing w:beforeLines="100" w:afterLines="100" w:line="360" w:lineRule="auto"/>
      <w:outlineLvl w:val="1"/>
    </w:pPr>
    <w:rPr>
      <w:rFonts w:ascii="宋体" w:hAnsi="宋体"/>
      <w:b/>
      <w:bCs/>
      <w:kern w:val="0"/>
      <w:sz w:val="30"/>
      <w:szCs w:val="30"/>
    </w:rPr>
  </w:style>
  <w:style w:type="paragraph" w:customStyle="1" w:styleId="2375">
    <w:name w:val="xl96"/>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76">
    <w:name w:val="样式 四号 首行缩进:  2 字符"/>
    <w:basedOn w:val="1"/>
    <w:uiPriority w:val="0"/>
    <w:pPr>
      <w:spacing w:line="480" w:lineRule="atLeast"/>
      <w:ind w:firstLine="200" w:firstLineChars="200"/>
    </w:pPr>
    <w:rPr>
      <w:rFonts w:ascii="Times New Roman" w:hAnsi="Times New Roman"/>
      <w:sz w:val="24"/>
    </w:rPr>
  </w:style>
  <w:style w:type="paragraph" w:customStyle="1" w:styleId="2377">
    <w:name w:val="xl84"/>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378">
    <w:name w:val="MG"/>
    <w:basedOn w:val="5"/>
    <w:uiPriority w:val="0"/>
    <w:pPr>
      <w:keepLines w:val="0"/>
      <w:widowControl/>
      <w:tabs>
        <w:tab w:val="left" w:pos="2260"/>
        <w:tab w:val="left" w:pos="2820"/>
        <w:tab w:val="left" w:pos="3420"/>
      </w:tabs>
      <w:adjustRightInd w:val="0"/>
      <w:snapToGrid w:val="0"/>
      <w:spacing w:before="440" w:after="0" w:line="240" w:lineRule="auto"/>
      <w:ind w:left="851" w:right="-28" w:hanging="851"/>
    </w:pPr>
    <w:rPr>
      <w:rFonts w:ascii="Arial" w:hAnsi="Arial"/>
      <w:bCs w:val="0"/>
      <w:kern w:val="0"/>
      <w:sz w:val="22"/>
      <w:szCs w:val="20"/>
      <w:lang w:val="en-GB"/>
    </w:rPr>
  </w:style>
  <w:style w:type="paragraph" w:customStyle="1" w:styleId="2379">
    <w:name w:val="样式 样式 四号 首行缩进:  1.92 字符 + 宋体 加粗"/>
    <w:basedOn w:val="2368"/>
    <w:uiPriority w:val="0"/>
    <w:pPr>
      <w:ind w:left="538" w:leftChars="256" w:firstLine="1687" w:firstLineChars="600"/>
    </w:pPr>
    <w:rPr>
      <w:rFonts w:ascii="宋体" w:hAnsi="宋体"/>
      <w:b/>
      <w:bCs/>
    </w:rPr>
  </w:style>
  <w:style w:type="paragraph" w:customStyle="1" w:styleId="2380">
    <w:name w:val="样式 标题 2标题 21标题 121标题 2 Char1 CharH2SeHead wsa2标题 1.1 + 行..."/>
    <w:basedOn w:val="6"/>
    <w:uiPriority w:val="0"/>
    <w:pPr>
      <w:keepNext w:val="0"/>
      <w:keepLines w:val="0"/>
      <w:widowControl/>
      <w:adjustRightInd w:val="0"/>
      <w:spacing w:before="100" w:after="100" w:line="460" w:lineRule="exact"/>
      <w:jc w:val="left"/>
    </w:pPr>
    <w:rPr>
      <w:rFonts w:ascii="黑体" w:hAnsi="Times New Roman"/>
      <w:b w:val="0"/>
      <w:color w:val="000000"/>
      <w:kern w:val="0"/>
      <w:sz w:val="30"/>
      <w:szCs w:val="30"/>
    </w:rPr>
  </w:style>
  <w:style w:type="paragraph" w:customStyle="1" w:styleId="2381">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382">
    <w:name w:val="图题"/>
    <w:basedOn w:val="1"/>
    <w:uiPriority w:val="0"/>
    <w:rPr>
      <w:rFonts w:ascii="Arial" w:hAnsi="Arial" w:eastAsia="黑体"/>
      <w:sz w:val="28"/>
      <w:szCs w:val="20"/>
    </w:rPr>
  </w:style>
  <w:style w:type="paragraph" w:customStyle="1" w:styleId="2383">
    <w:name w:val="xl60"/>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384">
    <w:name w:val="font12"/>
    <w:basedOn w:val="1"/>
    <w:uiPriority w:val="0"/>
    <w:pPr>
      <w:widowControl/>
      <w:spacing w:before="100" w:beforeAutospacing="1" w:after="100" w:afterAutospacing="1"/>
      <w:jc w:val="left"/>
    </w:pPr>
    <w:rPr>
      <w:rFonts w:ascii="Times New Roman" w:hAnsi="Times New Roman" w:eastAsia="Arial Unicode MS"/>
      <w:kern w:val="0"/>
      <w:sz w:val="22"/>
      <w:szCs w:val="22"/>
    </w:rPr>
  </w:style>
  <w:style w:type="paragraph" w:customStyle="1" w:styleId="2385">
    <w:name w:val="列出段落2"/>
    <w:basedOn w:val="1"/>
    <w:qFormat/>
    <w:uiPriority w:val="99"/>
    <w:pPr>
      <w:jc w:val="center"/>
    </w:pPr>
    <w:rPr>
      <w:rFonts w:ascii="宋体" w:hAnsi="Times New Roman"/>
      <w:kern w:val="0"/>
      <w:sz w:val="34"/>
      <w:szCs w:val="20"/>
    </w:rPr>
  </w:style>
  <w:style w:type="paragraph" w:customStyle="1" w:styleId="2386">
    <w:name w:val="样式 样式 四号 首行缩进:  1.92 字符 + 宋体"/>
    <w:basedOn w:val="2368"/>
    <w:uiPriority w:val="0"/>
    <w:rPr>
      <w:rFonts w:ascii="宋体" w:hAnsi="宋体"/>
    </w:rPr>
  </w:style>
  <w:style w:type="paragraph" w:customStyle="1" w:styleId="2387">
    <w:name w:val="xl85"/>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2388">
    <w:name w:val="样式 首行缩进:  0.97 厘米 行距: 1.5 倍行距"/>
    <w:basedOn w:val="1"/>
    <w:uiPriority w:val="0"/>
    <w:pPr>
      <w:adjustRightInd w:val="0"/>
      <w:snapToGrid w:val="0"/>
      <w:spacing w:line="360" w:lineRule="auto"/>
      <w:ind w:firstLine="550"/>
    </w:pPr>
    <w:rPr>
      <w:rFonts w:ascii="Times New Roman" w:hAnsi="Times New Roman" w:cs="宋体"/>
      <w:spacing w:val="-2"/>
      <w:kern w:val="0"/>
      <w:sz w:val="28"/>
      <w:szCs w:val="28"/>
    </w:rPr>
  </w:style>
  <w:style w:type="paragraph" w:customStyle="1" w:styleId="2389">
    <w:name w:val="框图格式2"/>
    <w:basedOn w:val="1"/>
    <w:uiPriority w:val="0"/>
    <w:rPr>
      <w:rFonts w:ascii="宋体" w:hAnsi="Times New Roman"/>
      <w:kern w:val="0"/>
      <w:sz w:val="18"/>
      <w:szCs w:val="20"/>
    </w:rPr>
  </w:style>
  <w:style w:type="paragraph" w:customStyle="1" w:styleId="2390">
    <w:name w:val="样式 标题 1 + 加粗"/>
    <w:basedOn w:val="5"/>
    <w:uiPriority w:val="0"/>
    <w:pPr>
      <w:widowControl/>
      <w:adjustRightInd w:val="0"/>
      <w:snapToGrid w:val="0"/>
      <w:spacing w:before="360" w:after="360" w:line="480" w:lineRule="atLeast"/>
    </w:pPr>
    <w:rPr>
      <w:rFonts w:ascii="Times New Roman" w:hAnsi="Times New Roman" w:eastAsia="黑体"/>
      <w:bCs w:val="0"/>
      <w:sz w:val="36"/>
      <w:szCs w:val="20"/>
    </w:rPr>
  </w:style>
  <w:style w:type="paragraph" w:customStyle="1" w:styleId="2391">
    <w:name w:val="样式 标题 2 +"/>
    <w:basedOn w:val="6"/>
    <w:uiPriority w:val="0"/>
    <w:pPr>
      <w:spacing w:line="415" w:lineRule="auto"/>
    </w:pPr>
    <w:rPr>
      <w:rFonts w:eastAsia="宋体"/>
      <w:kern w:val="0"/>
      <w:sz w:val="28"/>
    </w:rPr>
  </w:style>
  <w:style w:type="paragraph" w:customStyle="1" w:styleId="2392">
    <w:name w:val="文本匡小五号 Char Char"/>
    <w:uiPriority w:val="0"/>
    <w:pPr>
      <w:jc w:val="center"/>
    </w:pPr>
    <w:rPr>
      <w:rFonts w:eastAsia="仿宋_GB2312"/>
      <w:sz w:val="18"/>
      <w:szCs w:val="24"/>
      <w:lang w:val="en-US" w:eastAsia="zh-CN" w:bidi="ar-SA"/>
    </w:rPr>
  </w:style>
  <w:style w:type="paragraph" w:customStyle="1" w:styleId="2393">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394">
    <w:name w:val="签名 - 姓名"/>
    <w:basedOn w:val="1"/>
    <w:next w:val="1"/>
    <w:uiPriority w:val="0"/>
    <w:pPr>
      <w:keepNext/>
      <w:keepLines/>
      <w:widowControl/>
      <w:spacing w:before="660" w:line="240" w:lineRule="atLeast"/>
      <w:jc w:val="left"/>
    </w:pPr>
    <w:rPr>
      <w:rFonts w:ascii="Garamond" w:hAnsi="Garamond"/>
      <w:spacing w:val="-5"/>
      <w:kern w:val="0"/>
      <w:sz w:val="24"/>
      <w:szCs w:val="20"/>
      <w:lang w:bidi="he-IL"/>
    </w:rPr>
  </w:style>
  <w:style w:type="paragraph" w:customStyle="1" w:styleId="2395">
    <w:name w:val="Char Char Char1 Char Char Char Char"/>
    <w:basedOn w:val="1"/>
    <w:next w:val="1"/>
    <w:uiPriority w:val="0"/>
    <w:pPr>
      <w:spacing w:line="360" w:lineRule="auto"/>
      <w:ind w:firstLine="200" w:firstLineChars="200"/>
    </w:pPr>
    <w:rPr>
      <w:rFonts w:ascii="宋体" w:hAnsi="宋体" w:eastAsia="汉鼎简书宋" w:cs="宋体"/>
      <w:kern w:val="0"/>
      <w:sz w:val="24"/>
      <w:szCs w:val="20"/>
    </w:rPr>
  </w:style>
  <w:style w:type="paragraph" w:customStyle="1" w:styleId="2396">
    <w:name w:val="Char Char Char1 Char1"/>
    <w:basedOn w:val="1"/>
    <w:uiPriority w:val="0"/>
    <w:pPr>
      <w:widowControl/>
      <w:jc w:val="left"/>
    </w:pPr>
    <w:rPr>
      <w:rFonts w:ascii="宋体" w:hAnsi="宋体" w:cs="宋体"/>
      <w:kern w:val="0"/>
      <w:sz w:val="24"/>
    </w:rPr>
  </w:style>
  <w:style w:type="paragraph" w:customStyle="1" w:styleId="2397">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2398">
    <w:name w:val="流程图2"/>
    <w:basedOn w:val="1"/>
    <w:uiPriority w:val="0"/>
    <w:pPr>
      <w:spacing w:before="40" w:line="280" w:lineRule="exact"/>
      <w:jc w:val="center"/>
    </w:pPr>
    <w:rPr>
      <w:rFonts w:ascii="Times New Roman" w:hAnsi="Times New Roman"/>
      <w:szCs w:val="20"/>
    </w:rPr>
  </w:style>
  <w:style w:type="paragraph" w:customStyle="1" w:styleId="2399">
    <w:name w:val="xl89"/>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400">
    <w:name w:val="xl86"/>
    <w:basedOn w:val="1"/>
    <w:uiPriority w:val="0"/>
    <w:pPr>
      <w:widowControl/>
      <w:pBdr>
        <w:bottom w:val="single" w:color="auto" w:sz="8" w:space="0"/>
      </w:pBdr>
      <w:spacing w:before="100" w:beforeAutospacing="1" w:after="100" w:afterAutospacing="1"/>
      <w:jc w:val="center"/>
    </w:pPr>
    <w:rPr>
      <w:rFonts w:ascii="宋体" w:hAnsi="宋体" w:cs="宋体"/>
      <w:b/>
      <w:bCs/>
      <w:color w:val="000000"/>
      <w:kern w:val="0"/>
      <w:sz w:val="40"/>
      <w:szCs w:val="40"/>
    </w:rPr>
  </w:style>
  <w:style w:type="paragraph" w:customStyle="1" w:styleId="2401">
    <w:name w:val="表名、图名"/>
    <w:basedOn w:val="1"/>
    <w:next w:val="1"/>
    <w:uiPriority w:val="0"/>
    <w:pPr>
      <w:spacing w:line="360" w:lineRule="auto"/>
      <w:jc w:val="center"/>
    </w:pPr>
    <w:rPr>
      <w:rFonts w:ascii="Times New Roman" w:hAnsi="Times New Roman" w:eastAsia="黑体"/>
      <w:sz w:val="24"/>
    </w:rPr>
  </w:style>
  <w:style w:type="paragraph" w:customStyle="1" w:styleId="2402">
    <w:name w:val="标4"/>
    <w:basedOn w:val="2316"/>
    <w:uiPriority w:val="0"/>
    <w:pPr>
      <w:tabs>
        <w:tab w:val="left" w:pos="420"/>
        <w:tab w:val="left" w:pos="927"/>
        <w:tab w:val="left" w:pos="1021"/>
        <w:tab w:val="left" w:pos="1275"/>
        <w:tab w:val="left" w:pos="2250"/>
        <w:tab w:val="clear" w:pos="578"/>
        <w:tab w:val="clear" w:pos="1080"/>
        <w:tab w:val="clear" w:pos="6804"/>
        <w:tab w:val="clear" w:pos="7371"/>
      </w:tabs>
      <w:ind w:left="420" w:hanging="420"/>
    </w:pPr>
  </w:style>
  <w:style w:type="paragraph" w:customStyle="1" w:styleId="2403">
    <w:name w:val="et1"/>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404">
    <w:name w:val="et2"/>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2405">
    <w:name w:val="自定义表格内容"/>
    <w:basedOn w:val="1"/>
    <w:uiPriority w:val="0"/>
    <w:pPr>
      <w:spacing w:line="360" w:lineRule="auto"/>
      <w:jc w:val="center"/>
    </w:pPr>
    <w:rPr>
      <w:rFonts w:ascii="Times New Roman" w:hAnsi="Times New Roman"/>
      <w:szCs w:val="21"/>
    </w:rPr>
  </w:style>
  <w:style w:type="paragraph" w:customStyle="1" w:styleId="2406">
    <w:name w:val="Char4"/>
    <w:basedOn w:val="1"/>
    <w:uiPriority w:val="0"/>
    <w:pPr>
      <w:keepNext/>
      <w:adjustRightInd w:val="0"/>
      <w:snapToGrid w:val="0"/>
      <w:spacing w:before="100" w:beforeAutospacing="1" w:after="100" w:afterAutospacing="1" w:line="432" w:lineRule="auto"/>
      <w:ind w:firstLine="600" w:firstLineChars="200"/>
    </w:pPr>
    <w:rPr>
      <w:rFonts w:ascii="仿宋_GB2312" w:hAnsi="Times New Roman" w:eastAsia="仿宋_GB2312"/>
      <w:b/>
      <w:bCs/>
      <w:kern w:val="0"/>
      <w:sz w:val="32"/>
      <w:szCs w:val="32"/>
    </w:rPr>
  </w:style>
  <w:style w:type="paragraph" w:customStyle="1" w:styleId="2407">
    <w:name w:val="Char5"/>
    <w:basedOn w:val="1"/>
    <w:uiPriority w:val="0"/>
    <w:pPr>
      <w:keepNext/>
      <w:adjustRightInd w:val="0"/>
      <w:snapToGrid w:val="0"/>
      <w:spacing w:before="100" w:beforeAutospacing="1" w:after="100" w:afterAutospacing="1" w:line="432" w:lineRule="auto"/>
      <w:ind w:firstLine="600" w:firstLineChars="200"/>
    </w:pPr>
    <w:rPr>
      <w:rFonts w:hint="eastAsia" w:ascii="仿宋_GB2312" w:hAnsi="Times New Roman" w:eastAsia="仿宋_GB2312"/>
      <w:b/>
      <w:bCs/>
      <w:snapToGrid w:val="0"/>
      <w:kern w:val="0"/>
      <w:sz w:val="32"/>
      <w:szCs w:val="32"/>
      <w:lang/>
    </w:rPr>
  </w:style>
  <w:style w:type="paragraph" w:customStyle="1" w:styleId="2408">
    <w:name w:val="样式 样式 样式 正文@ + 首行缩进:  2 字符 + 首行缩进:  2 字符 + 行距: 多倍行距 1.3 字行"/>
    <w:basedOn w:val="1"/>
    <w:uiPriority w:val="0"/>
    <w:pPr>
      <w:spacing w:line="312" w:lineRule="auto"/>
      <w:ind w:firstLine="200" w:firstLineChars="200"/>
    </w:pPr>
    <w:rPr>
      <w:rFonts w:ascii="宋体" w:hAnsi="宋体" w:cs="宋体"/>
      <w:sz w:val="24"/>
      <w:szCs w:val="20"/>
    </w:rPr>
  </w:style>
  <w:style w:type="paragraph" w:customStyle="1" w:styleId="2409">
    <w:name w:val="农贸市场三级标题"/>
    <w:basedOn w:val="1140"/>
    <w:uiPriority w:val="0"/>
    <w:pPr>
      <w:spacing w:beforeLines="50"/>
      <w:ind w:firstLine="0" w:firstLineChars="0"/>
      <w:outlineLvl w:val="2"/>
    </w:pPr>
    <w:rPr>
      <w:rFonts w:ascii="宋体" w:eastAsia="宋体"/>
      <w:b/>
      <w:sz w:val="28"/>
    </w:rPr>
  </w:style>
  <w:style w:type="paragraph" w:customStyle="1" w:styleId="2410">
    <w:name w:val="文-1"/>
    <w:basedOn w:val="1"/>
    <w:uiPriority w:val="0"/>
    <w:pPr>
      <w:spacing w:before="120"/>
      <w:ind w:left="851" w:firstLine="482"/>
    </w:pPr>
    <w:rPr>
      <w:rFonts w:ascii="宋体" w:hAnsi="Times New Roman"/>
      <w:kern w:val="0"/>
      <w:sz w:val="24"/>
      <w:szCs w:val="20"/>
    </w:rPr>
  </w:style>
  <w:style w:type="paragraph" w:customStyle="1" w:styleId="2411">
    <w:name w:val="BG1"/>
    <w:basedOn w:val="1"/>
    <w:uiPriority w:val="0"/>
    <w:pPr>
      <w:autoSpaceDE w:val="0"/>
      <w:autoSpaceDN w:val="0"/>
      <w:jc w:val="center"/>
    </w:pPr>
    <w:rPr>
      <w:rFonts w:ascii="宋体" w:hAnsi="Times New Roman"/>
      <w:color w:val="000000"/>
      <w:kern w:val="0"/>
      <w:sz w:val="34"/>
      <w:szCs w:val="20"/>
    </w:rPr>
  </w:style>
  <w:style w:type="paragraph" w:customStyle="1" w:styleId="2412">
    <w:name w:val="样式 标题 1标题 1宋旭峰标题1章节H1h11headingHeader 1st Pageh1 chapte..."/>
    <w:basedOn w:val="5"/>
    <w:uiPriority w:val="0"/>
    <w:pPr>
      <w:adjustRightInd w:val="0"/>
      <w:snapToGrid w:val="0"/>
      <w:spacing w:before="0" w:after="156" w:line="360" w:lineRule="auto"/>
      <w:jc w:val="left"/>
    </w:pPr>
    <w:rPr>
      <w:rFonts w:ascii="宋体" w:hAnsi="Times New Roman" w:eastAsia="黑体"/>
      <w:kern w:val="2"/>
      <w:sz w:val="32"/>
      <w:szCs w:val="30"/>
    </w:rPr>
  </w:style>
  <w:style w:type="paragraph" w:customStyle="1" w:styleId="2413">
    <w:name w:val="表体宋旭峰"/>
    <w:basedOn w:val="47"/>
    <w:uiPriority w:val="0"/>
    <w:pPr>
      <w:overflowPunct w:val="0"/>
      <w:snapToGrid w:val="0"/>
      <w:spacing w:line="280" w:lineRule="atLeast"/>
      <w:jc w:val="center"/>
    </w:pPr>
    <w:rPr>
      <w:rFonts w:hint="eastAsia"/>
      <w:kern w:val="24"/>
      <w:sz w:val="18"/>
      <w:szCs w:val="20"/>
      <w:lang/>
    </w:rPr>
  </w:style>
  <w:style w:type="paragraph" w:customStyle="1" w:styleId="2414">
    <w:name w:val="Char Char Char Char Char Char Char Char Char"/>
    <w:basedOn w:val="1"/>
    <w:uiPriority w:val="0"/>
    <w:rPr>
      <w:rFonts w:ascii="宋体" w:hAnsi="Times New Roman"/>
      <w:kern w:val="0"/>
      <w:sz w:val="34"/>
      <w:szCs w:val="20"/>
    </w:rPr>
  </w:style>
  <w:style w:type="paragraph" w:customStyle="1" w:styleId="2415">
    <w:name w:val="正文样式一"/>
    <w:basedOn w:val="1"/>
    <w:uiPriority w:val="0"/>
    <w:pPr>
      <w:adjustRightInd w:val="0"/>
      <w:spacing w:line="400" w:lineRule="atLeast"/>
      <w:ind w:firstLine="510"/>
    </w:pPr>
    <w:rPr>
      <w:rFonts w:ascii="宋体" w:hAnsi="Times New Roman"/>
      <w:kern w:val="0"/>
      <w:sz w:val="24"/>
      <w:szCs w:val="20"/>
    </w:rPr>
  </w:style>
  <w:style w:type="paragraph" w:customStyle="1" w:styleId="2416">
    <w:name w:val="缺省文本_宋体"/>
    <w:basedOn w:val="1"/>
    <w:uiPriority w:val="0"/>
    <w:pPr>
      <w:tabs>
        <w:tab w:val="left" w:pos="525"/>
        <w:tab w:val="center" w:pos="5670"/>
        <w:tab w:val="right" w:pos="7655"/>
      </w:tabs>
      <w:spacing w:before="80" w:after="120" w:line="360" w:lineRule="auto"/>
      <w:outlineLvl w:val="7"/>
    </w:pPr>
    <w:rPr>
      <w:rFonts w:ascii="宋体" w:hAnsi="Times New Roman"/>
      <w:spacing w:val="16"/>
      <w:kern w:val="28"/>
      <w:sz w:val="24"/>
      <w:szCs w:val="20"/>
    </w:rPr>
  </w:style>
  <w:style w:type="paragraph" w:customStyle="1" w:styleId="2417">
    <w:name w:val="标-4"/>
    <w:basedOn w:val="1"/>
    <w:uiPriority w:val="0"/>
    <w:pPr>
      <w:spacing w:before="120"/>
      <w:ind w:left="851" w:hanging="851"/>
    </w:pPr>
    <w:rPr>
      <w:rFonts w:ascii="宋体" w:hAnsi="Times New Roman"/>
      <w:kern w:val="0"/>
      <w:sz w:val="24"/>
      <w:szCs w:val="20"/>
    </w:rPr>
  </w:style>
  <w:style w:type="paragraph" w:customStyle="1" w:styleId="2418">
    <w:name w:val="文-5"/>
    <w:basedOn w:val="1"/>
    <w:uiPriority w:val="0"/>
    <w:pPr>
      <w:tabs>
        <w:tab w:val="right" w:leader="dot" w:pos="8789"/>
      </w:tabs>
      <w:spacing w:before="120"/>
      <w:ind w:left="1276" w:firstLine="482"/>
    </w:pPr>
    <w:rPr>
      <w:rFonts w:ascii="宋体" w:hAnsi="Times New Roman"/>
      <w:kern w:val="0"/>
      <w:sz w:val="24"/>
      <w:szCs w:val="20"/>
    </w:rPr>
  </w:style>
  <w:style w:type="paragraph" w:customStyle="1" w:styleId="2419">
    <w:name w:val="样式 标题 4 + (西文) Times New Roman (中文) 楷体_GB2312 非加粗 黑色 首行缩进:  ..."/>
    <w:basedOn w:val="8"/>
    <w:uiPriority w:val="0"/>
    <w:pPr>
      <w:spacing w:before="0" w:after="0" w:line="360" w:lineRule="auto"/>
      <w:jc w:val="left"/>
    </w:pPr>
    <w:rPr>
      <w:rFonts w:ascii="Times New Roman" w:hAnsi="Times New Roman" w:eastAsia="宋体"/>
      <w:color w:val="000000"/>
      <w:kern w:val="0"/>
      <w:sz w:val="24"/>
    </w:rPr>
  </w:style>
  <w:style w:type="paragraph" w:customStyle="1" w:styleId="2420">
    <w:name w:val="表格中"/>
    <w:basedOn w:val="1"/>
    <w:uiPriority w:val="0"/>
    <w:pPr>
      <w:spacing w:line="280" w:lineRule="exact"/>
      <w:jc w:val="center"/>
    </w:pPr>
    <w:rPr>
      <w:rFonts w:ascii="宋体" w:hAnsi="Times New Roman"/>
      <w:kern w:val="0"/>
      <w:sz w:val="18"/>
      <w:szCs w:val="20"/>
    </w:rPr>
  </w:style>
  <w:style w:type="paragraph" w:customStyle="1" w:styleId="2421">
    <w:name w:val="标题 2 + Times New Roman1"/>
    <w:basedOn w:val="6"/>
    <w:uiPriority w:val="0"/>
    <w:pPr>
      <w:spacing w:before="0" w:beforeLines="50" w:line="412" w:lineRule="auto"/>
      <w:ind w:firstLine="480" w:firstLineChars="200"/>
    </w:pPr>
    <w:rPr>
      <w:rFonts w:ascii="Times New Roman" w:hAnsi="Times New Roman"/>
      <w:spacing w:val="6"/>
    </w:rPr>
  </w:style>
  <w:style w:type="paragraph" w:customStyle="1" w:styleId="2422">
    <w:name w:val="样式 正文(首行缩进) + 8 磅 加粗 首行缩进:  2 字符"/>
    <w:basedOn w:val="1"/>
    <w:uiPriority w:val="0"/>
    <w:pPr>
      <w:adjustRightInd w:val="0"/>
      <w:snapToGrid w:val="0"/>
      <w:ind w:firstLine="200" w:firstLineChars="200"/>
    </w:pPr>
    <w:rPr>
      <w:rFonts w:ascii="宋体" w:hAnsi="Times New Roman" w:cs="宋体"/>
      <w:b/>
      <w:bCs/>
      <w:kern w:val="0"/>
      <w:sz w:val="16"/>
      <w:szCs w:val="20"/>
    </w:rPr>
  </w:style>
  <w:style w:type="paragraph" w:customStyle="1" w:styleId="2423">
    <w:name w:val="表、图名宋旭峰"/>
    <w:basedOn w:val="994"/>
    <w:uiPriority w:val="0"/>
    <w:pPr>
      <w:tabs>
        <w:tab w:val="clear" w:pos="3480"/>
      </w:tabs>
      <w:autoSpaceDE/>
      <w:autoSpaceDN/>
      <w:adjustRightInd/>
      <w:spacing w:line="360" w:lineRule="auto"/>
      <w:textAlignment w:val="auto"/>
    </w:pPr>
    <w:rPr>
      <w:rFonts w:hint="eastAsia" w:ascii="黑体" w:eastAsia="黑体"/>
      <w:b w:val="0"/>
      <w:bCs w:val="0"/>
      <w:sz w:val="21"/>
      <w:szCs w:val="21"/>
      <w:lang/>
    </w:rPr>
  </w:style>
  <w:style w:type="paragraph" w:customStyle="1" w:styleId="2424">
    <w:name w:val="样式 标题 2 + 段后: 0.5 行"/>
    <w:basedOn w:val="6"/>
    <w:uiPriority w:val="0"/>
    <w:pPr>
      <w:keepNext w:val="0"/>
      <w:keepLines w:val="0"/>
      <w:tabs>
        <w:tab w:val="left" w:pos="630"/>
        <w:tab w:val="left" w:pos="840"/>
        <w:tab w:val="left" w:pos="1287"/>
        <w:tab w:val="left" w:pos="3920"/>
        <w:tab w:val="left" w:pos="5670"/>
      </w:tabs>
      <w:adjustRightInd w:val="0"/>
      <w:snapToGrid w:val="0"/>
      <w:spacing w:before="60" w:after="0" w:line="240" w:lineRule="auto"/>
      <w:ind w:firstLine="567"/>
    </w:pPr>
    <w:rPr>
      <w:rFonts w:ascii="Times New Roman" w:hAnsi="Times New Roman" w:eastAsia="仿宋_GB2312"/>
      <w:bCs w:val="0"/>
      <w:color w:val="000000"/>
      <w:sz w:val="30"/>
    </w:rPr>
  </w:style>
  <w:style w:type="paragraph" w:customStyle="1" w:styleId="2425">
    <w:name w:val="样式19"/>
    <w:basedOn w:val="6"/>
    <w:uiPriority w:val="0"/>
    <w:pPr>
      <w:keepNext w:val="0"/>
      <w:keepLines w:val="0"/>
      <w:tabs>
        <w:tab w:val="left" w:pos="630"/>
        <w:tab w:val="left" w:pos="840"/>
        <w:tab w:val="left" w:pos="1287"/>
        <w:tab w:val="left" w:pos="3920"/>
        <w:tab w:val="left" w:pos="5670"/>
      </w:tabs>
      <w:snapToGrid w:val="0"/>
      <w:spacing w:before="60" w:after="60" w:line="520" w:lineRule="exact"/>
      <w:ind w:firstLine="567"/>
    </w:pPr>
    <w:rPr>
      <w:rFonts w:ascii="Times New Roman" w:hAnsi="Times New Roman" w:eastAsia="华文行楷"/>
      <w:color w:val="000000"/>
      <w:kern w:val="0"/>
      <w:sz w:val="30"/>
      <w:szCs w:val="30"/>
    </w:rPr>
  </w:style>
  <w:style w:type="paragraph" w:customStyle="1" w:styleId="2426">
    <w:name w:val="Char 正文"/>
    <w:basedOn w:val="5"/>
    <w:uiPriority w:val="0"/>
    <w:pPr>
      <w:adjustRightInd w:val="0"/>
      <w:snapToGrid w:val="0"/>
      <w:spacing w:before="240" w:after="240" w:line="348" w:lineRule="auto"/>
    </w:pPr>
    <w:rPr>
      <w:rFonts w:ascii="Tahoma" w:hAnsi="Tahoma"/>
      <w:bCs w:val="0"/>
      <w:sz w:val="24"/>
      <w:szCs w:val="20"/>
    </w:rPr>
  </w:style>
  <w:style w:type="paragraph" w:customStyle="1" w:styleId="2427">
    <w:name w:val="注×："/>
    <w:uiPriority w:val="0"/>
    <w:pPr>
      <w:widowControl w:val="0"/>
      <w:tabs>
        <w:tab w:val="left" w:pos="630"/>
        <w:tab w:val="left" w:pos="1080"/>
      </w:tabs>
      <w:autoSpaceDE w:val="0"/>
      <w:autoSpaceDN w:val="0"/>
      <w:ind w:left="1080" w:hanging="720"/>
      <w:jc w:val="both"/>
    </w:pPr>
    <w:rPr>
      <w:rFonts w:ascii="宋体"/>
      <w:sz w:val="18"/>
      <w:lang w:val="en-US" w:eastAsia="zh-CN" w:bidi="ar-SA"/>
    </w:rPr>
  </w:style>
  <w:style w:type="paragraph" w:customStyle="1" w:styleId="2428">
    <w:name w:val="样式 正文首行缩进 + 首行缩进:  2 字符1"/>
    <w:basedOn w:val="85"/>
    <w:uiPriority w:val="0"/>
    <w:pPr>
      <w:spacing w:after="0" w:line="360" w:lineRule="auto"/>
      <w:ind w:firstLine="480" w:firstLineChars="200"/>
    </w:pPr>
    <w:rPr>
      <w:rFonts w:ascii="宋体" w:hAnsi="Times New Roman"/>
      <w:sz w:val="24"/>
    </w:rPr>
  </w:style>
  <w:style w:type="paragraph" w:customStyle="1" w:styleId="2429">
    <w:name w:val="样式 表格 + 左  25 字符1"/>
    <w:basedOn w:val="777"/>
    <w:uiPriority w:val="0"/>
    <w:pPr>
      <w:widowControl/>
      <w:adjustRightInd/>
      <w:spacing w:after="0"/>
      <w:jc w:val="center"/>
      <w:textAlignment w:val="auto"/>
    </w:pPr>
    <w:rPr>
      <w:rFonts w:hint="eastAsia" w:cs="宋体"/>
      <w:b w:val="0"/>
      <w:kern w:val="0"/>
      <w:sz w:val="18"/>
      <w:szCs w:val="20"/>
      <w:lang/>
    </w:rPr>
  </w:style>
  <w:style w:type="paragraph" w:customStyle="1" w:styleId="2430">
    <w:name w:val="正文999"/>
    <w:basedOn w:val="1"/>
    <w:uiPriority w:val="0"/>
    <w:pPr>
      <w:spacing w:line="360" w:lineRule="auto"/>
      <w:ind w:firstLine="480" w:firstLineChars="200"/>
    </w:pPr>
    <w:rPr>
      <w:rFonts w:ascii="宋体" w:hAnsi="宋体"/>
      <w:kern w:val="0"/>
      <w:sz w:val="24"/>
      <w:szCs w:val="20"/>
    </w:rPr>
  </w:style>
  <w:style w:type="paragraph" w:customStyle="1" w:styleId="2431">
    <w:name w:val="文本匡小五号 Char"/>
    <w:uiPriority w:val="0"/>
    <w:pPr>
      <w:snapToGrid w:val="0"/>
      <w:spacing w:line="100" w:lineRule="atLeast"/>
      <w:jc w:val="center"/>
    </w:pPr>
    <w:rPr>
      <w:rFonts w:eastAsia="仿宋_GB2312"/>
      <w:sz w:val="21"/>
      <w:szCs w:val="21"/>
      <w:lang w:val="en-US" w:eastAsia="zh-CN" w:bidi="ar-SA"/>
    </w:rPr>
  </w:style>
  <w:style w:type="paragraph" w:customStyle="1" w:styleId="2432">
    <w:name w:val="中石油正文"/>
    <w:basedOn w:val="1"/>
    <w:uiPriority w:val="0"/>
    <w:pPr>
      <w:spacing w:line="560" w:lineRule="exact"/>
      <w:ind w:firstLine="480" w:firstLineChars="200"/>
    </w:pPr>
    <w:rPr>
      <w:rFonts w:ascii="宋体" w:hAnsi="宋体"/>
      <w:kern w:val="0"/>
      <w:sz w:val="24"/>
      <w:szCs w:val="20"/>
    </w:rPr>
  </w:style>
  <w:style w:type="paragraph" w:customStyle="1" w:styleId="2433">
    <w:name w:val="Char21"/>
    <w:basedOn w:val="1"/>
    <w:uiPriority w:val="0"/>
    <w:pPr>
      <w:spacing w:line="360" w:lineRule="auto"/>
      <w:ind w:firstLine="200" w:firstLineChars="200"/>
    </w:pPr>
    <w:rPr>
      <w:rFonts w:ascii="宋体" w:hAnsi="宋体" w:cs="宋体"/>
      <w:kern w:val="0"/>
      <w:sz w:val="24"/>
      <w:szCs w:val="20"/>
    </w:rPr>
  </w:style>
  <w:style w:type="paragraph" w:customStyle="1" w:styleId="2434">
    <w:name w:val="文"/>
    <w:basedOn w:val="7"/>
    <w:uiPriority w:val="0"/>
    <w:pPr>
      <w:keepNext w:val="0"/>
      <w:keepLines w:val="0"/>
      <w:spacing w:before="0" w:after="0" w:line="360" w:lineRule="auto"/>
      <w:ind w:firstLine="480" w:firstLineChars="200"/>
      <w:outlineLvl w:val="9"/>
    </w:pPr>
    <w:rPr>
      <w:rFonts w:ascii="宋体" w:hAnsi="Times New Roman"/>
      <w:b w:val="0"/>
      <w:bCs w:val="0"/>
      <w:sz w:val="24"/>
      <w:szCs w:val="24"/>
    </w:rPr>
  </w:style>
  <w:style w:type="paragraph" w:customStyle="1" w:styleId="2435">
    <w:name w:val="Char Char Char Char Char Char Char Char Char Char Char Char Char Char Char Char"/>
    <w:basedOn w:val="1"/>
    <w:uiPriority w:val="0"/>
    <w:rPr>
      <w:rFonts w:ascii="宋体" w:hAnsi="Times New Roman"/>
      <w:kern w:val="0"/>
      <w:sz w:val="34"/>
      <w:szCs w:val="20"/>
    </w:rPr>
  </w:style>
  <w:style w:type="paragraph" w:customStyle="1" w:styleId="2436">
    <w:name w:val="表名1"/>
    <w:basedOn w:val="1138"/>
    <w:uiPriority w:val="0"/>
    <w:pPr>
      <w:keepNext/>
      <w:overflowPunct w:val="0"/>
      <w:snapToGrid w:val="0"/>
      <w:spacing w:line="240" w:lineRule="auto"/>
    </w:pPr>
    <w:rPr>
      <w:rFonts w:ascii="Times New Roman" w:hAnsi="Times New Roman" w:eastAsia="黑体"/>
      <w:b w:val="0"/>
      <w:i w:val="0"/>
      <w:kern w:val="24"/>
      <w:sz w:val="21"/>
      <w:szCs w:val="21"/>
    </w:rPr>
  </w:style>
  <w:style w:type="paragraph" w:customStyle="1" w:styleId="2437">
    <w:name w:val="Char Char Char Char Char Char1 Char Char Char Char"/>
    <w:basedOn w:val="1"/>
    <w:uiPriority w:val="0"/>
    <w:rPr>
      <w:rFonts w:ascii="Tahoma" w:hAnsi="Tahoma"/>
      <w:kern w:val="0"/>
      <w:sz w:val="24"/>
      <w:szCs w:val="20"/>
    </w:rPr>
  </w:style>
  <w:style w:type="paragraph" w:customStyle="1" w:styleId="2438">
    <w:name w:val="文本框5号两端齐"/>
    <w:basedOn w:val="1"/>
    <w:uiPriority w:val="0"/>
    <w:pPr>
      <w:widowControl/>
    </w:pPr>
    <w:rPr>
      <w:rFonts w:ascii="宋体" w:hAnsi="Times New Roman" w:eastAsia="仿宋_GB2312"/>
      <w:kern w:val="0"/>
      <w:sz w:val="34"/>
      <w:szCs w:val="21"/>
    </w:rPr>
  </w:style>
  <w:style w:type="paragraph" w:customStyle="1" w:styleId="2439">
    <w:name w:val="框图内容"/>
    <w:basedOn w:val="1"/>
    <w:uiPriority w:val="0"/>
    <w:pPr>
      <w:jc w:val="center"/>
    </w:pPr>
    <w:rPr>
      <w:rFonts w:ascii="宋体" w:hAnsi="Times New Roman"/>
      <w:kern w:val="0"/>
      <w:sz w:val="34"/>
      <w:szCs w:val="20"/>
      <w:lang w:val="en-GB"/>
    </w:rPr>
  </w:style>
  <w:style w:type="paragraph" w:customStyle="1" w:styleId="2440">
    <w:name w:val="罗英文本"/>
    <w:basedOn w:val="1"/>
    <w:uiPriority w:val="0"/>
    <w:pPr>
      <w:adjustRightInd w:val="0"/>
      <w:spacing w:line="500" w:lineRule="exact"/>
      <w:ind w:firstLine="200" w:firstLineChars="200"/>
    </w:pPr>
    <w:rPr>
      <w:rFonts w:ascii="宋体" w:hAnsi="宋体"/>
      <w:color w:val="000000"/>
      <w:sz w:val="24"/>
    </w:rPr>
  </w:style>
  <w:style w:type="paragraph" w:customStyle="1" w:styleId="2441">
    <w:name w:val="样式 正文缩进正文（首行缩进两字）正文（首行缩进两字） Char Char Char Char Char Char Char..."/>
    <w:basedOn w:val="10"/>
    <w:uiPriority w:val="0"/>
    <w:pPr>
      <w:tabs>
        <w:tab w:val="left" w:pos="3360"/>
      </w:tabs>
      <w:adjustRightInd w:val="0"/>
      <w:snapToGrid w:val="0"/>
      <w:spacing w:line="360" w:lineRule="auto"/>
      <w:ind w:firstLine="480"/>
    </w:pPr>
    <w:rPr>
      <w:rFonts w:hint="eastAsia" w:ascii="楷体_GB2312" w:hAnsi="宋体" w:eastAsia="楷体_GB2312"/>
      <w:kern w:val="0"/>
      <w:sz w:val="24"/>
      <w:lang/>
    </w:rPr>
  </w:style>
  <w:style w:type="paragraph" w:customStyle="1" w:styleId="2442">
    <w:name w:val="正文-ls"/>
    <w:basedOn w:val="1"/>
    <w:uiPriority w:val="0"/>
    <w:pPr>
      <w:spacing w:line="360" w:lineRule="auto"/>
      <w:ind w:firstLine="200" w:firstLineChars="200"/>
    </w:pPr>
    <w:rPr>
      <w:rFonts w:ascii="宋体" w:hAnsi="宋体" w:cs="宋体"/>
      <w:kern w:val="0"/>
      <w:sz w:val="24"/>
      <w:szCs w:val="20"/>
    </w:rPr>
  </w:style>
  <w:style w:type="paragraph" w:customStyle="1" w:styleId="2443">
    <w:name w:val="Char Char Char1 Char Char Char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444">
    <w:name w:val="Char Char Char1 Char Char Char1 Char Char Char Char Char Char1 Char Char Char1 Char"/>
    <w:basedOn w:val="1"/>
    <w:uiPriority w:val="0"/>
    <w:rPr>
      <w:rFonts w:ascii="宋体" w:hAnsi="Times New Roman"/>
      <w:kern w:val="0"/>
      <w:sz w:val="34"/>
      <w:szCs w:val="20"/>
    </w:rPr>
  </w:style>
  <w:style w:type="paragraph" w:customStyle="1" w:styleId="2445">
    <w:name w:val="TOC 标题1"/>
    <w:basedOn w:val="5"/>
    <w:next w:val="1"/>
    <w:uiPriority w:val="0"/>
    <w:pPr>
      <w:widowControl/>
      <w:spacing w:before="480" w:after="0" w:line="276" w:lineRule="auto"/>
      <w:jc w:val="left"/>
      <w:outlineLvl w:val="9"/>
    </w:pPr>
    <w:rPr>
      <w:rFonts w:ascii="Cambria" w:hAnsi="Cambria"/>
      <w:color w:val="365F91"/>
      <w:kern w:val="0"/>
      <w:sz w:val="28"/>
      <w:szCs w:val="28"/>
    </w:rPr>
  </w:style>
  <w:style w:type="paragraph" w:customStyle="1" w:styleId="2446">
    <w:name w:val="样式 样式 (西文) 仿宋_GB2312 (中文) 仿宋_GB2312 (符号) 宋体 段前: 0.5 行 行距: 1.5 倍...."/>
    <w:basedOn w:val="1"/>
    <w:uiPriority w:val="0"/>
    <w:pPr>
      <w:adjustRightInd w:val="0"/>
      <w:snapToGrid w:val="0"/>
      <w:spacing w:afterLines="100" w:line="300" w:lineRule="auto"/>
      <w:ind w:firstLine="200" w:firstLineChars="200"/>
    </w:pPr>
    <w:rPr>
      <w:rFonts w:ascii="仿宋_GB2312" w:hAnsi="宋体" w:eastAsia="仿宋_GB2312" w:cs="宋体"/>
      <w:kern w:val="0"/>
      <w:sz w:val="28"/>
      <w:szCs w:val="20"/>
    </w:rPr>
  </w:style>
  <w:style w:type="paragraph" w:customStyle="1" w:styleId="2447">
    <w:name w:val="Char111"/>
    <w:basedOn w:val="1"/>
    <w:uiPriority w:val="0"/>
    <w:rPr>
      <w:rFonts w:ascii="宋体" w:hAnsi="Times New Roman"/>
      <w:kern w:val="0"/>
      <w:sz w:val="34"/>
      <w:szCs w:val="20"/>
    </w:rPr>
  </w:style>
  <w:style w:type="paragraph" w:customStyle="1" w:styleId="2448">
    <w:name w:val="日期2"/>
    <w:basedOn w:val="1"/>
    <w:next w:val="1"/>
    <w:uiPriority w:val="0"/>
    <w:pPr>
      <w:adjustRightInd w:val="0"/>
      <w:spacing w:line="312" w:lineRule="atLeast"/>
    </w:pPr>
    <w:rPr>
      <w:rFonts w:ascii="宋体" w:hAnsi="Times New Roman"/>
      <w:kern w:val="0"/>
      <w:sz w:val="28"/>
      <w:szCs w:val="20"/>
    </w:rPr>
  </w:style>
  <w:style w:type="paragraph" w:customStyle="1" w:styleId="2449">
    <w:name w:val="样式 样式 标题 2标题2，@ + 段前: 0.5 行 段后: 0.5 行 + 段前: 0.5 行 段后: 0.5 行"/>
    <w:basedOn w:val="1"/>
    <w:uiPriority w:val="0"/>
    <w:pPr>
      <w:spacing w:beforeLines="50" w:afterLines="50" w:line="360" w:lineRule="auto"/>
      <w:ind w:left="1134" w:hanging="567"/>
      <w:outlineLvl w:val="1"/>
    </w:pPr>
    <w:rPr>
      <w:rFonts w:ascii="宋体" w:hAnsi="宋体" w:cs="宋体"/>
      <w:b/>
      <w:bCs/>
      <w:sz w:val="24"/>
      <w:szCs w:val="20"/>
    </w:rPr>
  </w:style>
  <w:style w:type="paragraph" w:customStyle="1" w:styleId="2450">
    <w:name w:val="puce"/>
    <w:basedOn w:val="1"/>
    <w:uiPriority w:val="0"/>
    <w:pPr>
      <w:widowControl/>
      <w:tabs>
        <w:tab w:val="left" w:pos="1200"/>
        <w:tab w:val="left" w:pos="1275"/>
      </w:tabs>
      <w:adjustRightInd w:val="0"/>
      <w:snapToGrid w:val="0"/>
      <w:spacing w:line="360" w:lineRule="auto"/>
      <w:ind w:firstLine="480" w:firstLineChars="200"/>
    </w:pPr>
    <w:rPr>
      <w:rFonts w:ascii="Arial" w:hAnsi="Arial"/>
      <w:color w:val="FF00FF"/>
      <w:kern w:val="0"/>
      <w:sz w:val="24"/>
      <w:szCs w:val="20"/>
    </w:rPr>
  </w:style>
  <w:style w:type="paragraph" w:customStyle="1" w:styleId="2451">
    <w:name w:val="Char Char Char1 Char Char Char Char Char Char Char Char Char Char Char Char 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452">
    <w:name w:val="湛江码头表"/>
    <w:basedOn w:val="1"/>
    <w:uiPriority w:val="0"/>
    <w:pPr>
      <w:jc w:val="center"/>
    </w:pPr>
    <w:rPr>
      <w:rFonts w:ascii="宋体" w:hAnsi="Times New Roman" w:eastAsia="仿宋_GB2312"/>
      <w:kern w:val="0"/>
      <w:sz w:val="34"/>
      <w:szCs w:val="20"/>
      <w:lang w:eastAsia="zh-TW"/>
    </w:rPr>
  </w:style>
  <w:style w:type="paragraph" w:customStyle="1" w:styleId="2453">
    <w:name w:val="正文单倍行距"/>
    <w:basedOn w:val="1"/>
    <w:uiPriority w:val="0"/>
    <w:pPr>
      <w:tabs>
        <w:tab w:val="left" w:pos="8640"/>
      </w:tabs>
      <w:snapToGrid w:val="0"/>
      <w:ind w:firstLine="200" w:firstLineChars="200"/>
    </w:pPr>
    <w:rPr>
      <w:rFonts w:ascii="宋体" w:hAnsi="Times New Roman" w:eastAsia="仿宋_GB2312"/>
      <w:kern w:val="0"/>
      <w:sz w:val="24"/>
      <w:szCs w:val="20"/>
    </w:rPr>
  </w:style>
  <w:style w:type="paragraph" w:customStyle="1" w:styleId="2454">
    <w:name w:val="正文（缩进）"/>
    <w:basedOn w:val="1"/>
    <w:uiPriority w:val="0"/>
    <w:pPr>
      <w:adjustRightInd w:val="0"/>
      <w:snapToGrid w:val="0"/>
      <w:spacing w:line="360" w:lineRule="auto"/>
      <w:ind w:firstLine="200" w:firstLineChars="200"/>
    </w:pPr>
    <w:rPr>
      <w:rFonts w:ascii="宋体" w:hAnsi="Times New Roman"/>
      <w:kern w:val="0"/>
      <w:sz w:val="24"/>
      <w:szCs w:val="20"/>
    </w:rPr>
  </w:style>
  <w:style w:type="paragraph" w:customStyle="1" w:styleId="2455">
    <w:name w:val="正文1111111"/>
    <w:basedOn w:val="1"/>
    <w:uiPriority w:val="0"/>
    <w:pPr>
      <w:spacing w:line="440" w:lineRule="exact"/>
      <w:ind w:firstLine="200" w:firstLineChars="200"/>
    </w:pPr>
    <w:rPr>
      <w:rFonts w:ascii="宋体" w:hAnsi="Times New Roman" w:cs="宋体"/>
      <w:kern w:val="0"/>
      <w:sz w:val="24"/>
      <w:szCs w:val="20"/>
    </w:rPr>
  </w:style>
  <w:style w:type="paragraph" w:customStyle="1" w:styleId="2456">
    <w:name w:val="1级标题"/>
    <w:basedOn w:val="5"/>
    <w:uiPriority w:val="0"/>
    <w:pPr>
      <w:keepNext w:val="0"/>
      <w:keepLines w:val="0"/>
      <w:adjustRightInd w:val="0"/>
      <w:snapToGrid w:val="0"/>
      <w:spacing w:before="0" w:after="0" w:line="360" w:lineRule="auto"/>
    </w:pPr>
    <w:rPr>
      <w:rFonts w:ascii="黑体" w:hAnsi="Times New Roman" w:eastAsia="黑体"/>
      <w:b w:val="0"/>
      <w:sz w:val="32"/>
      <w:szCs w:val="30"/>
    </w:rPr>
  </w:style>
  <w:style w:type="paragraph" w:customStyle="1" w:styleId="2457">
    <w:name w:val="注："/>
    <w:next w:val="1"/>
    <w:uiPriority w:val="0"/>
    <w:pPr>
      <w:widowControl w:val="0"/>
      <w:tabs>
        <w:tab w:val="left" w:pos="895"/>
      </w:tabs>
      <w:autoSpaceDE w:val="0"/>
      <w:autoSpaceDN w:val="0"/>
      <w:ind w:left="895" w:hanging="420"/>
      <w:jc w:val="both"/>
    </w:pPr>
    <w:rPr>
      <w:rFonts w:ascii="宋体"/>
      <w:sz w:val="18"/>
      <w:lang w:val="en-US" w:eastAsia="zh-CN" w:bidi="ar-SA"/>
    </w:rPr>
  </w:style>
  <w:style w:type="paragraph" w:customStyle="1" w:styleId="2458">
    <w:name w:val="小节标题"/>
    <w:basedOn w:val="1"/>
    <w:next w:val="1"/>
    <w:uiPriority w:val="0"/>
    <w:pPr>
      <w:widowControl/>
      <w:spacing w:before="175" w:after="102" w:line="782" w:lineRule="atLeast"/>
    </w:pPr>
    <w:rPr>
      <w:rFonts w:ascii="宋体" w:hAnsi="Times New Roman" w:eastAsia="黑体"/>
      <w:color w:val="000000"/>
      <w:kern w:val="0"/>
      <w:sz w:val="34"/>
      <w:szCs w:val="20"/>
    </w:rPr>
  </w:style>
  <w:style w:type="paragraph" w:customStyle="1" w:styleId="2459">
    <w:name w:val="自定义缩进"/>
    <w:basedOn w:val="1"/>
    <w:uiPriority w:val="0"/>
    <w:pPr>
      <w:keepNext/>
      <w:spacing w:line="336" w:lineRule="auto"/>
      <w:ind w:firstLine="480" w:firstLineChars="200"/>
      <w:jc w:val="left"/>
    </w:pPr>
    <w:rPr>
      <w:rFonts w:ascii="宋体" w:hAnsi="宋体"/>
      <w:kern w:val="0"/>
      <w:sz w:val="24"/>
      <w:szCs w:val="20"/>
    </w:rPr>
  </w:style>
  <w:style w:type="paragraph" w:customStyle="1" w:styleId="2460">
    <w:name w:val="M"/>
    <w:basedOn w:val="5"/>
    <w:uiPriority w:val="0"/>
    <w:pPr>
      <w:keepLines w:val="0"/>
      <w:widowControl/>
      <w:tabs>
        <w:tab w:val="left" w:pos="2260"/>
        <w:tab w:val="left" w:pos="2820"/>
        <w:tab w:val="left" w:pos="3420"/>
      </w:tabs>
      <w:adjustRightInd w:val="0"/>
      <w:snapToGrid w:val="0"/>
      <w:spacing w:before="440" w:after="0" w:line="240" w:lineRule="auto"/>
      <w:ind w:left="851" w:right="-28" w:hanging="851"/>
    </w:pPr>
    <w:rPr>
      <w:rFonts w:ascii="Arial" w:hAnsi="Arial"/>
      <w:b w:val="0"/>
      <w:bCs w:val="0"/>
      <w:kern w:val="0"/>
      <w:sz w:val="22"/>
      <w:szCs w:val="20"/>
      <w:lang w:val="en-GB"/>
    </w:rPr>
  </w:style>
  <w:style w:type="paragraph" w:customStyle="1" w:styleId="2461">
    <w:name w:val="Content"/>
    <w:basedOn w:val="1"/>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2462">
    <w:name w:val="样式 行距: 1.5 倍行距"/>
    <w:basedOn w:val="1"/>
    <w:uiPriority w:val="0"/>
    <w:pPr>
      <w:spacing w:line="480" w:lineRule="exact"/>
      <w:ind w:firstLine="200" w:firstLineChars="200"/>
    </w:pPr>
    <w:rPr>
      <w:rFonts w:ascii="Times New Roman" w:hAnsi="Times New Roman"/>
      <w:sz w:val="24"/>
      <w:szCs w:val="20"/>
    </w:rPr>
  </w:style>
  <w:style w:type="paragraph" w:customStyle="1" w:styleId="2463">
    <w:name w:val="表第一列"/>
    <w:basedOn w:val="85"/>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0"/>
    </w:rPr>
  </w:style>
  <w:style w:type="paragraph" w:customStyle="1" w:styleId="2464">
    <w:name w:val="项目符号1"/>
    <w:basedOn w:val="1"/>
    <w:uiPriority w:val="0"/>
    <w:pPr>
      <w:tabs>
        <w:tab w:val="left" w:pos="1200"/>
      </w:tabs>
      <w:overflowPunct w:val="0"/>
      <w:snapToGrid w:val="0"/>
      <w:spacing w:line="480" w:lineRule="exact"/>
      <w:ind w:left="1200" w:firstLine="567"/>
    </w:pPr>
    <w:rPr>
      <w:rFonts w:ascii="Arial" w:hAnsi="Arial" w:eastAsia="仿宋_GB2312"/>
      <w:sz w:val="28"/>
      <w:szCs w:val="20"/>
    </w:rPr>
  </w:style>
  <w:style w:type="paragraph" w:customStyle="1" w:styleId="2465">
    <w:name w:val="表格（5号）"/>
    <w:basedOn w:val="1"/>
    <w:uiPriority w:val="0"/>
    <w:pPr>
      <w:spacing w:line="360" w:lineRule="exact"/>
      <w:ind w:left="-113" w:right="-113"/>
      <w:jc w:val="center"/>
    </w:pPr>
    <w:rPr>
      <w:rFonts w:ascii="仿宋_GB2312" w:hAnsi="Times New Roman" w:eastAsia="仿宋_GB2312" w:cs="Courier New"/>
      <w:color w:val="000000"/>
      <w:sz w:val="18"/>
      <w:szCs w:val="20"/>
    </w:rPr>
  </w:style>
  <w:style w:type="paragraph" w:customStyle="1" w:styleId="2466">
    <w:name w:val="正文001"/>
    <w:basedOn w:val="1"/>
    <w:semiHidden/>
    <w:uiPriority w:val="0"/>
    <w:pPr>
      <w:spacing w:before="60" w:line="420" w:lineRule="exact"/>
      <w:ind w:firstLine="482"/>
    </w:pPr>
    <w:rPr>
      <w:rFonts w:ascii="Times New Roman" w:hAnsi="Times New Roman"/>
      <w:sz w:val="24"/>
      <w:szCs w:val="20"/>
    </w:rPr>
  </w:style>
  <w:style w:type="paragraph" w:customStyle="1" w:styleId="2467">
    <w:name w:val="无间隔4"/>
    <w:uiPriority w:val="0"/>
    <w:pPr>
      <w:widowControl w:val="0"/>
      <w:jc w:val="both"/>
    </w:pPr>
    <w:rPr>
      <w:kern w:val="2"/>
      <w:sz w:val="21"/>
      <w:szCs w:val="22"/>
      <w:lang w:val="en-US" w:eastAsia="zh-CN" w:bidi="ar-SA"/>
    </w:rPr>
  </w:style>
  <w:style w:type="paragraph" w:customStyle="1" w:styleId="2468">
    <w:name w:val="列出段落21"/>
    <w:basedOn w:val="1"/>
    <w:uiPriority w:val="0"/>
    <w:pPr>
      <w:spacing w:line="360" w:lineRule="auto"/>
      <w:ind w:firstLine="420" w:firstLineChars="200"/>
    </w:pPr>
    <w:rPr>
      <w:rFonts w:ascii="Times New Roman" w:hAnsi="Times New Roman"/>
      <w:sz w:val="28"/>
      <w:szCs w:val="22"/>
    </w:rPr>
  </w:style>
  <w:style w:type="paragraph" w:customStyle="1" w:styleId="2469">
    <w:name w:val="表格用"/>
    <w:basedOn w:val="1"/>
    <w:uiPriority w:val="0"/>
    <w:pPr>
      <w:spacing w:line="300" w:lineRule="exact"/>
      <w:jc w:val="center"/>
    </w:pPr>
    <w:rPr>
      <w:rFonts w:ascii="Times New Roman" w:hAnsi="Times New Roman"/>
    </w:rPr>
  </w:style>
  <w:style w:type="paragraph" w:customStyle="1" w:styleId="2470">
    <w:name w:val="水库最新标题4"/>
    <w:basedOn w:val="7"/>
    <w:next w:val="1"/>
    <w:uiPriority w:val="0"/>
    <w:pPr>
      <w:spacing w:before="120" w:after="0" w:afterLines="50" w:line="340" w:lineRule="exact"/>
      <w:outlineLvl w:val="3"/>
    </w:pPr>
    <w:rPr>
      <w:rFonts w:ascii="Times New Roman" w:hAnsi="Times New Roman"/>
      <w:bCs w:val="0"/>
      <w:sz w:val="30"/>
    </w:rPr>
  </w:style>
  <w:style w:type="paragraph" w:customStyle="1" w:styleId="2471">
    <w:name w:val="Char Char Char Char Char Char Char Char Char Char Char Char Char Char Char Char Char Char Char Char1 Char Char Char Char Char Char Char Char Char Char Char Char Char Char Char Char"/>
    <w:basedOn w:val="1"/>
    <w:uiPriority w:val="0"/>
    <w:rPr>
      <w:rFonts w:ascii="Tahoma" w:hAnsi="Tahoma" w:eastAsia="仿宋_GB2312"/>
      <w:b/>
      <w:sz w:val="24"/>
      <w:szCs w:val="20"/>
    </w:rPr>
  </w:style>
  <w:style w:type="paragraph" w:customStyle="1" w:styleId="2472">
    <w:name w:val="正文正"/>
    <w:basedOn w:val="1"/>
    <w:uiPriority w:val="0"/>
    <w:pPr>
      <w:ind w:firstLine="720" w:firstLineChars="257"/>
    </w:pPr>
    <w:rPr>
      <w:rFonts w:ascii="Times New Roman" w:hAnsi="Times New Roman"/>
      <w:sz w:val="28"/>
    </w:rPr>
  </w:style>
  <w:style w:type="paragraph" w:customStyle="1" w:styleId="2473">
    <w:name w:val="标准条文"/>
    <w:basedOn w:val="1"/>
    <w:next w:val="1"/>
    <w:uiPriority w:val="0"/>
    <w:pPr>
      <w:autoSpaceDE w:val="0"/>
      <w:autoSpaceDN w:val="0"/>
      <w:adjustRightInd w:val="0"/>
      <w:jc w:val="left"/>
    </w:pPr>
    <w:rPr>
      <w:rFonts w:ascii="宋体" w:hAnsi="Times New Roman"/>
      <w:kern w:val="0"/>
      <w:sz w:val="24"/>
    </w:rPr>
  </w:style>
  <w:style w:type="paragraph" w:customStyle="1" w:styleId="2474">
    <w:name w:val="0正文"/>
    <w:basedOn w:val="36"/>
    <w:uiPriority w:val="0"/>
    <w:pPr>
      <w:spacing w:line="300" w:lineRule="auto"/>
    </w:pPr>
    <w:rPr>
      <w:rFonts w:ascii="Times New Roman" w:hAnsi="Times New Roman" w:cs="宋体"/>
      <w:kern w:val="0"/>
      <w:szCs w:val="20"/>
    </w:rPr>
  </w:style>
  <w:style w:type="paragraph" w:customStyle="1" w:styleId="2475">
    <w:name w:val="正文000000"/>
    <w:basedOn w:val="1"/>
    <w:next w:val="1"/>
    <w:uiPriority w:val="0"/>
    <w:pPr>
      <w:adjustRightInd w:val="0"/>
      <w:snapToGrid w:val="0"/>
      <w:spacing w:line="360" w:lineRule="auto"/>
      <w:ind w:firstLine="200" w:firstLineChars="200"/>
    </w:pPr>
    <w:rPr>
      <w:rFonts w:ascii="宋体" w:hAnsi="宋体" w:cs="宋体"/>
      <w:sz w:val="24"/>
    </w:rPr>
  </w:style>
  <w:style w:type="paragraph" w:customStyle="1" w:styleId="2476">
    <w:name w:val="0486A6F124DD4F49B89D80E0FAC79CBF"/>
    <w:uiPriority w:val="0"/>
    <w:pPr>
      <w:spacing w:after="200" w:line="276" w:lineRule="auto"/>
    </w:pPr>
    <w:rPr>
      <w:sz w:val="22"/>
      <w:szCs w:val="22"/>
      <w:lang w:val="en-US" w:eastAsia="en-US" w:bidi="ar-SA"/>
    </w:rPr>
  </w:style>
  <w:style w:type="paragraph" w:customStyle="1" w:styleId="2477">
    <w:name w:val="珠江啤酒正文"/>
    <w:basedOn w:val="1"/>
    <w:uiPriority w:val="0"/>
    <w:pPr>
      <w:adjustRightInd w:val="0"/>
      <w:spacing w:line="480" w:lineRule="exact"/>
      <w:ind w:firstLine="200" w:firstLineChars="200"/>
    </w:pPr>
    <w:rPr>
      <w:rFonts w:ascii="Times New Roman" w:hAnsi="Times New Roman"/>
      <w:kern w:val="0"/>
      <w:sz w:val="24"/>
    </w:rPr>
  </w:style>
  <w:style w:type="paragraph" w:customStyle="1" w:styleId="2478">
    <w:name w:val="自动编号（1）  （2）"/>
    <w:basedOn w:val="1"/>
    <w:uiPriority w:val="0"/>
    <w:pPr>
      <w:numPr>
        <w:ilvl w:val="0"/>
        <w:numId w:val="78"/>
      </w:numPr>
      <w:tabs>
        <w:tab w:val="left" w:pos="0"/>
      </w:tabs>
      <w:spacing w:line="312" w:lineRule="auto"/>
      <w:ind w:firstLine="454"/>
      <w:jc w:val="left"/>
    </w:pPr>
    <w:rPr>
      <w:rFonts w:ascii="宋体" w:hAnsi="宋体"/>
      <w:sz w:val="24"/>
    </w:rPr>
  </w:style>
  <w:style w:type="paragraph" w:customStyle="1" w:styleId="2479">
    <w:name w:val="Char Char Char Char Char Char Char Char Char1"/>
    <w:basedOn w:val="1"/>
    <w:uiPriority w:val="0"/>
    <w:rPr>
      <w:rFonts w:ascii="Times New Roman" w:hAnsi="Times New Roman"/>
      <w:sz w:val="24"/>
      <w:szCs w:val="20"/>
    </w:rPr>
  </w:style>
  <w:style w:type="paragraph" w:customStyle="1" w:styleId="2480">
    <w:name w:val="正文文本 21"/>
    <w:basedOn w:val="1"/>
    <w:uiPriority w:val="0"/>
    <w:pPr>
      <w:adjustRightInd w:val="0"/>
      <w:spacing w:line="432" w:lineRule="auto"/>
      <w:ind w:firstLine="480"/>
    </w:pPr>
    <w:rPr>
      <w:rFonts w:ascii="Times New Roman" w:hAnsi="Times New Roman"/>
      <w:sz w:val="24"/>
      <w:szCs w:val="20"/>
    </w:rPr>
  </w:style>
  <w:style w:type="paragraph" w:customStyle="1" w:styleId="2481">
    <w:name w:val="样式 行距: 固定值 24 磅"/>
    <w:basedOn w:val="1"/>
    <w:uiPriority w:val="0"/>
    <w:pPr>
      <w:spacing w:line="480" w:lineRule="exact"/>
      <w:ind w:firstLine="200" w:firstLineChars="200"/>
    </w:pPr>
    <w:rPr>
      <w:rFonts w:ascii="Times New Roman" w:hAnsi="Times New Roman"/>
      <w:sz w:val="24"/>
      <w:szCs w:val="20"/>
    </w:rPr>
  </w:style>
  <w:style w:type="paragraph" w:customStyle="1" w:styleId="2482">
    <w:name w:val="样式 小四 行距: 固定值 24 磅 首行缩进:  2 字符"/>
    <w:basedOn w:val="1"/>
    <w:uiPriority w:val="0"/>
    <w:pPr>
      <w:spacing w:line="440" w:lineRule="exact"/>
      <w:ind w:firstLine="200" w:firstLineChars="200"/>
    </w:pPr>
    <w:rPr>
      <w:rFonts w:ascii="Times New Roman" w:hAnsi="Times New Roman"/>
      <w:sz w:val="24"/>
      <w:szCs w:val="20"/>
    </w:rPr>
  </w:style>
  <w:style w:type="paragraph" w:customStyle="1" w:styleId="2483">
    <w:name w:val="报告书表格"/>
    <w:basedOn w:val="1"/>
    <w:uiPriority w:val="0"/>
    <w:pPr>
      <w:adjustRightInd w:val="0"/>
      <w:spacing w:before="60" w:after="60" w:line="240" w:lineRule="atLeast"/>
      <w:jc w:val="center"/>
    </w:pPr>
    <w:rPr>
      <w:rFonts w:ascii="Times New Roman" w:hAnsi="Times New Roman"/>
      <w:kern w:val="0"/>
      <w:sz w:val="24"/>
      <w:szCs w:val="20"/>
    </w:rPr>
  </w:style>
  <w:style w:type="paragraph" w:customStyle="1" w:styleId="2484">
    <w:name w:val="样式 四号 行距: 1.0 倍行距"/>
    <w:basedOn w:val="1"/>
    <w:uiPriority w:val="0"/>
    <w:pPr>
      <w:spacing w:line="360" w:lineRule="auto"/>
    </w:pPr>
    <w:rPr>
      <w:rFonts w:ascii="Times New Roman" w:hAnsi="Times New Roman"/>
      <w:sz w:val="28"/>
      <w:szCs w:val="20"/>
    </w:rPr>
  </w:style>
  <w:style w:type="paragraph" w:customStyle="1" w:styleId="2485">
    <w:name w:val="Char Char5 Char Char Char Char Char Char Char Char Char2 Char"/>
    <w:basedOn w:val="7"/>
    <w:uiPriority w:val="0"/>
    <w:pPr>
      <w:tabs>
        <w:tab w:val="left" w:pos="360"/>
        <w:tab w:val="left" w:pos="900"/>
      </w:tabs>
      <w:snapToGrid w:val="0"/>
      <w:spacing w:before="120" w:after="120" w:line="360" w:lineRule="auto"/>
      <w:ind w:left="542" w:leftChars="-12" w:firstLine="200" w:firstLineChars="200"/>
      <w:jc w:val="left"/>
    </w:pPr>
    <w:rPr>
      <w:rFonts w:ascii="Times New Roman" w:hAnsi="Times New Roman" w:eastAsia="黑体"/>
      <w:b w:val="0"/>
      <w:bCs w:val="0"/>
      <w:sz w:val="24"/>
      <w:szCs w:val="20"/>
    </w:rPr>
  </w:style>
  <w:style w:type="paragraph" w:customStyle="1" w:styleId="2486">
    <w:name w:val="样式 标题 1 + 加粗 首行缩进:  0 厘米"/>
    <w:basedOn w:val="5"/>
    <w:uiPriority w:val="0"/>
    <w:pPr>
      <w:widowControl/>
      <w:adjustRightInd w:val="0"/>
      <w:snapToGrid w:val="0"/>
      <w:spacing w:before="360" w:after="360" w:line="480" w:lineRule="atLeast"/>
    </w:pPr>
    <w:rPr>
      <w:rFonts w:ascii="Times New Roman" w:hAnsi="Times New Roman"/>
      <w:bCs w:val="0"/>
      <w:sz w:val="36"/>
      <w:szCs w:val="20"/>
    </w:rPr>
  </w:style>
  <w:style w:type="paragraph" w:customStyle="1" w:styleId="2487">
    <w:name w:val="样式 首行缩进:  2 字符14"/>
    <w:basedOn w:val="1"/>
    <w:uiPriority w:val="0"/>
    <w:pPr>
      <w:spacing w:line="520" w:lineRule="exact"/>
      <w:ind w:firstLine="560" w:firstLineChars="200"/>
    </w:pPr>
    <w:rPr>
      <w:rFonts w:ascii="Times New Roman" w:hAnsi="Times New Roman"/>
      <w:sz w:val="24"/>
      <w:szCs w:val="20"/>
    </w:rPr>
  </w:style>
  <w:style w:type="paragraph" w:customStyle="1" w:styleId="2488">
    <w:name w:val="Char1 Char Char Char2"/>
    <w:basedOn w:val="1"/>
    <w:uiPriority w:val="0"/>
    <w:pPr>
      <w:snapToGrid w:val="0"/>
      <w:spacing w:line="360" w:lineRule="auto"/>
      <w:ind w:firstLine="529" w:firstLineChars="200"/>
    </w:pPr>
    <w:rPr>
      <w:rFonts w:ascii="宋体" w:hAnsi="宋体"/>
      <w:b/>
      <w:szCs w:val="20"/>
    </w:rPr>
  </w:style>
  <w:style w:type="paragraph" w:customStyle="1" w:styleId="2489">
    <w:name w:val="设计文本"/>
    <w:basedOn w:val="1"/>
    <w:uiPriority w:val="0"/>
    <w:pPr>
      <w:spacing w:line="300" w:lineRule="exact"/>
      <w:jc w:val="center"/>
    </w:pPr>
    <w:rPr>
      <w:rFonts w:ascii="Times New Roman" w:hAnsi="Times New Roman"/>
      <w:color w:val="FF0000"/>
      <w:spacing w:val="8"/>
      <w:szCs w:val="20"/>
    </w:rPr>
  </w:style>
  <w:style w:type="paragraph" w:customStyle="1" w:styleId="2490">
    <w:name w:val="样式 四号 黑色 首行缩进:  2 字符"/>
    <w:basedOn w:val="1"/>
    <w:uiPriority w:val="0"/>
    <w:pPr>
      <w:spacing w:line="480" w:lineRule="atLeast"/>
      <w:ind w:firstLine="200" w:firstLineChars="200"/>
    </w:pPr>
    <w:rPr>
      <w:rFonts w:ascii="Times New Roman" w:hAnsi="Times New Roman"/>
      <w:color w:val="000000"/>
      <w:sz w:val="24"/>
      <w:szCs w:val="20"/>
    </w:rPr>
  </w:style>
  <w:style w:type="paragraph" w:customStyle="1" w:styleId="2491">
    <w:name w:val="样式 样式 标题 3 + 首行缩进:  2 字符 段前: 6 磅 段后: 6 磅 行距: 最小值 24 磅 + 首行缩进:  1..."/>
    <w:basedOn w:val="1846"/>
    <w:uiPriority w:val="0"/>
    <w:pPr>
      <w:ind w:firstLine="280"/>
    </w:pPr>
    <w:rPr>
      <w:b w:val="0"/>
    </w:rPr>
  </w:style>
  <w:style w:type="paragraph" w:customStyle="1" w:styleId="2492">
    <w:name w:val="[1]正文"/>
    <w:basedOn w:val="1"/>
    <w:qFormat/>
    <w:uiPriority w:val="0"/>
    <w:pPr>
      <w:autoSpaceDE w:val="0"/>
      <w:autoSpaceDN w:val="0"/>
      <w:ind w:firstLine="200" w:firstLineChars="200"/>
    </w:pPr>
    <w:rPr>
      <w:rFonts w:ascii="Times New Roman" w:hAnsi="Times New Roman"/>
      <w:color w:val="000000"/>
      <w:kern w:val="0"/>
      <w:lang w:val="zh-CN"/>
    </w:rPr>
  </w:style>
  <w:style w:type="paragraph" w:customStyle="1" w:styleId="2493">
    <w:name w:val="特殊标题３"/>
    <w:basedOn w:val="1"/>
    <w:qFormat/>
    <w:uiPriority w:val="0"/>
    <w:pPr>
      <w:overflowPunct w:val="0"/>
      <w:autoSpaceDE w:val="0"/>
      <w:autoSpaceDN w:val="0"/>
      <w:adjustRightInd w:val="0"/>
      <w:spacing w:line="360" w:lineRule="auto"/>
      <w:ind w:firstLine="720" w:firstLineChars="200"/>
      <w:textAlignment w:val="baseline"/>
    </w:pPr>
    <w:rPr>
      <w:rFonts w:ascii="Times New Roman" w:hAnsi="Times New Roman" w:eastAsia="仿宋_GB2312"/>
      <w:kern w:val="0"/>
      <w:sz w:val="28"/>
      <w:szCs w:val="20"/>
    </w:rPr>
  </w:style>
  <w:style w:type="paragraph" w:customStyle="1" w:styleId="2494">
    <w:name w:val="封面主标题"/>
    <w:basedOn w:val="1345"/>
    <w:uiPriority w:val="0"/>
    <w:pPr>
      <w:jc w:val="center"/>
    </w:pPr>
    <w:rPr>
      <w:rFonts w:ascii="华文新魏" w:eastAsia="华文新魏" w:cs="宋体"/>
      <w:b/>
      <w:bCs/>
      <w:w w:val="100"/>
      <w:sz w:val="84"/>
      <w:szCs w:val="84"/>
    </w:rPr>
  </w:style>
  <w:style w:type="table" w:customStyle="1" w:styleId="2495">
    <w:name w:val="网格型7"/>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6">
    <w:name w:val="灰度表格113"/>
    <w:basedOn w:val="87"/>
    <w:uiPriority w:val="0"/>
    <w:pPr>
      <w:widowControl w:val="0"/>
      <w:spacing w:line="529" w:lineRule="exact"/>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7">
    <w:name w:val="灰度表格133"/>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灰度表格11"/>
    <w:basedOn w:val="87"/>
    <w:uiPriority w:val="0"/>
    <w:pPr>
      <w:widowControl w:val="0"/>
      <w:spacing w:line="360" w:lineRule="auto"/>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灰度表格7"/>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灰度表格8"/>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网格型2"/>
    <w:basedOn w:val="87"/>
    <w:uiPriority w:val="0"/>
    <w:pPr>
      <w:widowControl w:val="0"/>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网格型10"/>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3">
    <w:name w:val="灰度表格1"/>
    <w:basedOn w:val="87"/>
    <w:uiPriority w:val="0"/>
    <w:pPr>
      <w:widowControl w:val="0"/>
      <w:spacing w:line="529" w:lineRule="exact"/>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网格型11"/>
    <w:basedOn w:val="87"/>
    <w:uiPriority w:val="0"/>
    <w:pPr>
      <w:widowControl w:val="0"/>
      <w:spacing w:line="360" w:lineRule="auto"/>
      <w:ind w:firstLine="48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灰度表格5"/>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灰度表格114"/>
    <w:basedOn w:val="87"/>
    <w:uiPriority w:val="0"/>
    <w:pPr>
      <w:widowControl w:val="0"/>
      <w:spacing w:line="529" w:lineRule="exact"/>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灰度表格2"/>
    <w:basedOn w:val="87"/>
    <w:uiPriority w:val="0"/>
    <w:pPr>
      <w:widowControl w:val="0"/>
      <w:spacing w:line="360" w:lineRule="auto"/>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灰度表格10"/>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网格型1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0">
    <w:name w:val="灰度表格17"/>
    <w:basedOn w:val="87"/>
    <w:uiPriority w:val="0"/>
    <w:pPr>
      <w:widowControl w:val="0"/>
      <w:spacing w:line="360" w:lineRule="auto"/>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网格型3"/>
    <w:basedOn w:val="87"/>
    <w:uiPriority w:val="0"/>
    <w:pPr>
      <w:widowControl w:val="0"/>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网格型4"/>
    <w:basedOn w:val="87"/>
    <w:uiPriority w:val="0"/>
    <w:pPr>
      <w:widowControl w:val="0"/>
      <w:spacing w:line="360" w:lineRule="auto"/>
      <w:ind w:firstLine="48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灰度表格131"/>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网格型111"/>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5">
    <w:name w:val="网格型13"/>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灰度表格1113"/>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7">
    <w:name w:val="灰度表格21"/>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网格型11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9">
    <w:name w:val="网格型8"/>
    <w:basedOn w:val="87"/>
    <w:uiPriority w:val="0"/>
    <w:pPr>
      <w:widowControl w:val="0"/>
      <w:spacing w:line="360" w:lineRule="auto"/>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0">
    <w:name w:val="灰度表格3"/>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网格型6"/>
    <w:basedOn w:val="87"/>
    <w:uiPriority w:val="0"/>
    <w:pPr>
      <w:widowControl w:val="0"/>
      <w:spacing w:line="360" w:lineRule="auto"/>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灰度表格11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灰度表格9"/>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网格型 11"/>
    <w:basedOn w:val="87"/>
    <w:uiPriority w:val="0"/>
    <w:pPr>
      <w:widowControl w:val="0"/>
      <w:spacing w:line="440" w:lineRule="exact"/>
      <w:jc w:val="both"/>
    </w:pPr>
    <w:tblPr>
      <w:tblStyle w:val="87"/>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7"/>
      </w:tblPr>
      <w:tcPr>
        <w:tcBorders>
          <w:top w:val="nil"/>
          <w:left w:val="nil"/>
          <w:bottom w:val="nil"/>
          <w:right w:val="nil"/>
          <w:insideH w:val="nil"/>
          <w:insideV w:val="nil"/>
          <w:tl2br w:val="nil"/>
          <w:tr2bl w:val="nil"/>
        </w:tcBorders>
      </w:tcPr>
    </w:tblStylePr>
    <w:tblStylePr w:type="lastCol">
      <w:rPr>
        <w:i/>
        <w:iCs/>
      </w:rPr>
      <w:tblPr>
        <w:tblStyle w:val="87"/>
      </w:tblPr>
      <w:tcPr>
        <w:tcBorders>
          <w:top w:val="nil"/>
          <w:left w:val="nil"/>
          <w:bottom w:val="nil"/>
          <w:right w:val="nil"/>
          <w:insideH w:val="nil"/>
          <w:insideV w:val="nil"/>
          <w:tl2br w:val="nil"/>
          <w:tr2bl w:val="nil"/>
        </w:tcBorders>
      </w:tcPr>
    </w:tblStylePr>
    <w:tblStylePr w:type="nwCell">
      <w:tblPr>
        <w:tblStyle w:val="87"/>
      </w:tblPr>
      <w:tcPr>
        <w:tcBorders>
          <w:top w:val="nil"/>
          <w:left w:val="nil"/>
          <w:bottom w:val="nil"/>
          <w:right w:val="nil"/>
          <w:insideH w:val="nil"/>
          <w:insideV w:val="nil"/>
          <w:tl2br w:val="single" w:color="000000" w:sz="6" w:space="0"/>
          <w:tr2bl w:val="nil"/>
        </w:tcBorders>
      </w:tcPr>
    </w:tblStylePr>
  </w:style>
  <w:style w:type="table" w:customStyle="1" w:styleId="2525">
    <w:name w:val="灰度表格111"/>
    <w:basedOn w:val="87"/>
    <w:uiPriority w:val="0"/>
    <w:pPr>
      <w:widowControl w:val="0"/>
      <w:spacing w:line="529" w:lineRule="exact"/>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6">
    <w:name w:val="灰度表格15"/>
    <w:basedOn w:val="87"/>
    <w:uiPriority w:val="0"/>
    <w:pPr>
      <w:widowControl w:val="0"/>
      <w:spacing w:line="360" w:lineRule="auto"/>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灰度表格1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网格型1"/>
    <w:basedOn w:val="87"/>
    <w:uiPriority w:val="0"/>
    <w:pPr>
      <w:widowControl w:val="0"/>
      <w:spacing w:line="360" w:lineRule="auto"/>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网格型14"/>
    <w:basedOn w:val="87"/>
    <w:uiPriority w:val="0"/>
    <w:pPr>
      <w:widowControl w:val="0"/>
      <w:spacing w:line="360" w:lineRule="auto"/>
      <w:ind w:firstLine="48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灰度表格111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网格型5"/>
    <w:basedOn w:val="87"/>
    <w:uiPriority w:val="0"/>
    <w:pPr>
      <w:widowControl w:val="0"/>
      <w:spacing w:line="360" w:lineRule="auto"/>
      <w:ind w:firstLine="48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灰度表格13"/>
    <w:basedOn w:val="87"/>
    <w:uiPriority w:val="0"/>
    <w:pPr>
      <w:widowControl w:val="0"/>
      <w:spacing w:line="529" w:lineRule="exact"/>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灰度表格18"/>
    <w:basedOn w:val="87"/>
    <w:uiPriority w:val="0"/>
    <w:pPr>
      <w:widowControl w:val="0"/>
      <w:spacing w:line="360" w:lineRule="auto"/>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灰度表格6"/>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5">
    <w:name w:val="灰度表格4"/>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胃口的"/>
    <w:basedOn w:val="87"/>
    <w:uiPriority w:val="0"/>
    <w:pPr>
      <w:jc w:val="center"/>
    </w:pPr>
    <w:rPr>
      <w:rFonts w:ascii="Times New Roman" w:hAnsi="Times New Roman"/>
    </w:rPr>
    <w:tblPr>
      <w:tblStyle w:val="87"/>
      <w:tblBorders>
        <w:top w:val="double" w:color="auto" w:sz="4" w:space="0"/>
        <w:bottom w:val="double" w:color="auto" w:sz="4" w:space="0"/>
        <w:insideH w:val="single" w:color="auto" w:sz="4" w:space="0"/>
        <w:insideV w:val="single" w:color="auto" w:sz="4" w:space="0"/>
      </w:tblBorders>
    </w:tblPr>
    <w:tcPr>
      <w:vAlign w:val="center"/>
    </w:tcPr>
  </w:style>
  <w:style w:type="table" w:customStyle="1" w:styleId="2537">
    <w:name w:val="灰度表格14"/>
    <w:basedOn w:val="87"/>
    <w:uiPriority w:val="0"/>
    <w:pPr>
      <w:widowControl w:val="0"/>
      <w:spacing w:line="529" w:lineRule="exact"/>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灰度表格2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灰度表格1111"/>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0">
    <w:name w:val="灰度表格16"/>
    <w:basedOn w:val="87"/>
    <w:uiPriority w:val="0"/>
    <w:pPr>
      <w:widowControl w:val="0"/>
      <w:spacing w:line="360" w:lineRule="auto"/>
      <w:ind w:firstLine="200" w:firstLineChars="20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网格型 111"/>
    <w:basedOn w:val="87"/>
    <w:uiPriority w:val="0"/>
    <w:pPr>
      <w:widowControl w:val="0"/>
      <w:jc w:val="both"/>
    </w:pPr>
    <w:tblPr>
      <w:tblStyle w:val="87"/>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7"/>
      </w:tblPr>
      <w:tcPr>
        <w:tcBorders>
          <w:top w:val="nil"/>
          <w:left w:val="nil"/>
          <w:bottom w:val="nil"/>
          <w:right w:val="nil"/>
          <w:insideH w:val="nil"/>
          <w:insideV w:val="nil"/>
          <w:tl2br w:val="nil"/>
          <w:tr2bl w:val="nil"/>
        </w:tcBorders>
      </w:tcPr>
    </w:tblStylePr>
    <w:tblStylePr w:type="lastCol">
      <w:rPr>
        <w:i/>
        <w:iCs/>
      </w:rPr>
      <w:tblPr>
        <w:tblStyle w:val="87"/>
      </w:tblPr>
      <w:tcPr>
        <w:tcBorders>
          <w:top w:val="nil"/>
          <w:left w:val="nil"/>
          <w:bottom w:val="nil"/>
          <w:right w:val="nil"/>
          <w:insideH w:val="nil"/>
          <w:insideV w:val="nil"/>
          <w:tl2br w:val="nil"/>
          <w:tr2bl w:val="nil"/>
        </w:tcBorders>
      </w:tcPr>
    </w:tblStylePr>
    <w:tblStylePr w:type="nwCell">
      <w:tblPr>
        <w:tblStyle w:val="87"/>
      </w:tblPr>
      <w:tcPr>
        <w:tcBorders>
          <w:top w:val="nil"/>
          <w:left w:val="nil"/>
          <w:bottom w:val="nil"/>
          <w:right w:val="nil"/>
          <w:insideH w:val="nil"/>
          <w:insideV w:val="nil"/>
          <w:tl2br w:val="single" w:color="000000" w:sz="6" w:space="0"/>
          <w:tr2bl w:val="nil"/>
        </w:tcBorders>
      </w:tcPr>
    </w:tblStylePr>
  </w:style>
  <w:style w:type="table" w:customStyle="1" w:styleId="2542">
    <w:name w:val="灰度表格132"/>
    <w:basedOn w:val="87"/>
    <w:uiPriority w:val="0"/>
    <w:pPr>
      <w:widowControl w:val="0"/>
      <w:jc w:val="both"/>
    </w:pPr>
    <w:tblPr>
      <w:tblStyle w:val="8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3.png"/><Relationship Id="rId51" Type="http://schemas.openxmlformats.org/officeDocument/2006/relationships/image" Target="media/image22.wmf"/><Relationship Id="rId50" Type="http://schemas.openxmlformats.org/officeDocument/2006/relationships/oleObject" Target="embeddings/oleObject15.bin"/><Relationship Id="rId5" Type="http://schemas.openxmlformats.org/officeDocument/2006/relationships/header" Target="header1.xml"/><Relationship Id="rId49" Type="http://schemas.openxmlformats.org/officeDocument/2006/relationships/image" Target="media/image21.wmf"/><Relationship Id="rId48" Type="http://schemas.openxmlformats.org/officeDocument/2006/relationships/oleObject" Target="embeddings/oleObject14.bin"/><Relationship Id="rId47" Type="http://schemas.openxmlformats.org/officeDocument/2006/relationships/image" Target="media/image20.wmf"/><Relationship Id="rId46" Type="http://schemas.openxmlformats.org/officeDocument/2006/relationships/image" Target="media/image19.wmf"/><Relationship Id="rId45" Type="http://schemas.openxmlformats.org/officeDocument/2006/relationships/image" Target="media/image18.wmf"/><Relationship Id="rId44" Type="http://schemas.openxmlformats.org/officeDocument/2006/relationships/oleObject" Target="embeddings/oleObject13.bin"/><Relationship Id="rId43" Type="http://schemas.openxmlformats.org/officeDocument/2006/relationships/image" Target="media/image17.wmf"/><Relationship Id="rId42" Type="http://schemas.openxmlformats.org/officeDocument/2006/relationships/oleObject" Target="embeddings/oleObject12.bin"/><Relationship Id="rId41" Type="http://schemas.openxmlformats.org/officeDocument/2006/relationships/image" Target="media/image16.png"/><Relationship Id="rId40" Type="http://schemas.openxmlformats.org/officeDocument/2006/relationships/image" Target="media/image15.wmf"/><Relationship Id="rId4" Type="http://schemas.microsoft.com/office/2011/relationships/commentsExtended" Target="commentsExtended.xml"/><Relationship Id="rId39" Type="http://schemas.openxmlformats.org/officeDocument/2006/relationships/oleObject" Target="embeddings/oleObject11.bin"/><Relationship Id="rId38" Type="http://schemas.openxmlformats.org/officeDocument/2006/relationships/image" Target="media/image14.wmf"/><Relationship Id="rId37" Type="http://schemas.openxmlformats.org/officeDocument/2006/relationships/oleObject" Target="embeddings/oleObject10.bin"/><Relationship Id="rId36" Type="http://schemas.openxmlformats.org/officeDocument/2006/relationships/image" Target="media/image13.wmf"/><Relationship Id="rId35" Type="http://schemas.openxmlformats.org/officeDocument/2006/relationships/oleObject" Target="embeddings/oleObject9.bin"/><Relationship Id="rId34" Type="http://schemas.openxmlformats.org/officeDocument/2006/relationships/image" Target="media/image12.wmf"/><Relationship Id="rId33" Type="http://schemas.openxmlformats.org/officeDocument/2006/relationships/oleObject" Target="embeddings/oleObject8.bin"/><Relationship Id="rId32" Type="http://schemas.openxmlformats.org/officeDocument/2006/relationships/image" Target="media/image11.wmf"/><Relationship Id="rId31" Type="http://schemas.openxmlformats.org/officeDocument/2006/relationships/oleObject" Target="embeddings/oleObject7.bin"/><Relationship Id="rId30" Type="http://schemas.openxmlformats.org/officeDocument/2006/relationships/image" Target="media/image10.wmf"/><Relationship Id="rId3" Type="http://schemas.openxmlformats.org/officeDocument/2006/relationships/comments" Target="comments.xml"/><Relationship Id="rId29" Type="http://schemas.openxmlformats.org/officeDocument/2006/relationships/oleObject" Target="embeddings/oleObject6.bin"/><Relationship Id="rId28" Type="http://schemas.openxmlformats.org/officeDocument/2006/relationships/image" Target="media/image9.wmf"/><Relationship Id="rId27" Type="http://schemas.openxmlformats.org/officeDocument/2006/relationships/oleObject" Target="embeddings/oleObject5.bin"/><Relationship Id="rId26" Type="http://schemas.openxmlformats.org/officeDocument/2006/relationships/image" Target="media/image8.wmf"/><Relationship Id="rId25" Type="http://schemas.openxmlformats.org/officeDocument/2006/relationships/oleObject" Target="embeddings/oleObject4.bin"/><Relationship Id="rId24" Type="http://schemas.openxmlformats.org/officeDocument/2006/relationships/image" Target="media/image7.wmf"/><Relationship Id="rId23" Type="http://schemas.openxmlformats.org/officeDocument/2006/relationships/oleObject" Target="embeddings/oleObject3.bin"/><Relationship Id="rId22" Type="http://schemas.openxmlformats.org/officeDocument/2006/relationships/image" Target="media/image6.emf"/><Relationship Id="rId21" Type="http://schemas.openxmlformats.org/officeDocument/2006/relationships/oleObject" Target="embeddings/oleObject2.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4.png"/><Relationship Id="rId17" Type="http://schemas.openxmlformats.org/officeDocument/2006/relationships/image" Target="media/image3.bmp"/><Relationship Id="rId16" Type="http://schemas.openxmlformats.org/officeDocument/2006/relationships/image" Target="media/image2.wmf"/><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249</Pages>
  <Words>11322</Words>
  <Characters>12651</Characters>
  <Lines>1550</Lines>
  <Paragraphs>436</Paragraphs>
  <TotalTime>2</TotalTime>
  <ScaleCrop>false</ScaleCrop>
  <LinksUpToDate>false</LinksUpToDate>
  <CharactersWithSpaces>12788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2019-11-21T06:53:00Z</dcterms:created>
  <dc:creator>Administrator</dc:creator>
  <cp:lastModifiedBy>符号</cp:lastModifiedBy>
  <cp:lastPrinted>2019-11-21T07:09:00Z</cp:lastPrinted>
  <dcterms:modified xsi:type="dcterms:W3CDTF">2026-03-05T07:13:38Z</dcterms:modified>
  <dc:title>2 工程概况与工程分析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3D9B594F18AA4972BA4AAB39D138C468_13</vt:lpwstr>
  </property>
  <property fmtid="{D5CDD505-2E9C-101B-9397-08002B2CF9AE}" pid="4" name="KSOTemplateDocerSaveRecord">
    <vt:lpwstr>eyJoZGlkIjoiZDBhMjlkMWVkOWU1MmNmYmI1OWFkYmZkZTE3YTZjZTQiLCJ1c2VySWQiOiIzNjE2NjA5NTcifQ==</vt:lpwstr>
  </property>
</Properties>
</file>